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5"/>
          <w:szCs w:val="15"/>
          <w:b w:val="1"/>
          <w:bCs w:val="1"/>
          <w:u w:val="single" w:color="auto"/>
          <w:color w:val="0000EE"/>
        </w:rPr>
      </w:pPr>
      <w:hyperlink w:anchor="page7">
        <w:r>
          <w:rPr>
            <w:rFonts w:ascii="Arial" w:cs="Arial" w:eastAsia="Arial" w:hAnsi="Arial"/>
            <w:sz w:val="15"/>
            <w:szCs w:val="15"/>
            <w:b w:val="1"/>
            <w:bCs w:val="1"/>
            <w:u w:val="single" w:color="auto"/>
            <w:color w:val="0000EE"/>
          </w:rPr>
          <w:t>Table of Contents</w:t>
        </w:r>
      </w:hyperlink>
    </w:p>
    <w:p>
      <w:pPr>
        <w:spacing w:after="0" w:line="251" w:lineRule="exact"/>
        <w:rPr>
          <w:sz w:val="24"/>
          <w:szCs w:val="24"/>
          <w:color w:val="auto"/>
        </w:rPr>
      </w:pPr>
    </w:p>
    <w:p>
      <w:pPr>
        <w:ind w:left="3820"/>
        <w:spacing w:after="0"/>
        <w:rPr>
          <w:sz w:val="20"/>
          <w:szCs w:val="20"/>
          <w:color w:val="auto"/>
        </w:rPr>
      </w:pPr>
      <w:r>
        <w:rPr>
          <w:rFonts w:ascii="Arial" w:cs="Arial" w:eastAsia="Arial" w:hAnsi="Arial"/>
          <w:sz w:val="12"/>
          <w:szCs w:val="12"/>
          <w:b w:val="1"/>
          <w:bCs w:val="1"/>
          <w:color w:val="auto"/>
        </w:rPr>
        <w:t>As filed with the Securities and Exchange Commission on March 21, 2018</w:t>
      </w:r>
    </w:p>
    <w:p>
      <w:pPr>
        <w:spacing w:after="0" w:line="20" w:lineRule="exact"/>
        <w:rPr>
          <w:sz w:val="24"/>
          <w:szCs w:val="24"/>
          <w:color w:val="auto"/>
        </w:rPr>
      </w:pPr>
    </w:p>
    <w:p>
      <w:pPr>
        <w:jc w:val="right"/>
        <w:spacing w:after="0"/>
        <w:rPr>
          <w:sz w:val="20"/>
          <w:szCs w:val="20"/>
          <w:color w:val="auto"/>
        </w:rPr>
      </w:pPr>
      <w:r>
        <w:rPr>
          <w:rFonts w:ascii="Arial" w:cs="Arial" w:eastAsia="Arial" w:hAnsi="Arial"/>
          <w:sz w:val="12"/>
          <w:szCs w:val="12"/>
          <w:b w:val="1"/>
          <w:bCs w:val="1"/>
          <w:color w:val="auto"/>
        </w:rPr>
        <w:t>Registration No. 333-223182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709930</wp:posOffset>
            </wp:positionH>
            <wp:positionV relativeFrom="paragraph">
              <wp:posOffset>46355</wp:posOffset>
            </wp:positionV>
            <wp:extent cx="5843905" cy="69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843905" cy="6985"/>
                    </a:xfrm>
                    <a:prstGeom prst="rect">
                      <a:avLst/>
                    </a:prstGeom>
                    <a:noFill/>
                  </pic:spPr>
                </pic:pic>
              </a:graphicData>
            </a:graphic>
          </wp:anchor>
        </w:drawing>
        <w:drawing>
          <wp:anchor simplePos="0" relativeHeight="251657728" behindDoc="1" locked="0" layoutInCell="0" allowOverlap="1">
            <wp:simplePos x="0" y="0"/>
            <wp:positionH relativeFrom="column">
              <wp:posOffset>709930</wp:posOffset>
            </wp:positionH>
            <wp:positionV relativeFrom="paragraph">
              <wp:posOffset>82550</wp:posOffset>
            </wp:positionV>
            <wp:extent cx="5843905" cy="69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3905" cy="6985"/>
                    </a:xfrm>
                    <a:prstGeom prst="rect">
                      <a:avLst/>
                    </a:prstGeom>
                    <a:noFill/>
                  </pic:spPr>
                </pic:pic>
              </a:graphicData>
            </a:graphic>
          </wp:anchor>
        </w:drawing>
      </w:r>
    </w:p>
    <w:p>
      <w:pPr>
        <w:spacing w:after="0" w:line="124" w:lineRule="exact"/>
        <w:rPr>
          <w:sz w:val="24"/>
          <w:szCs w:val="24"/>
          <w:color w:val="auto"/>
        </w:rPr>
      </w:pPr>
    </w:p>
    <w:p>
      <w:pPr>
        <w:jc w:val="center"/>
        <w:ind w:right="-1099"/>
        <w:spacing w:after="0"/>
        <w:rPr>
          <w:sz w:val="20"/>
          <w:szCs w:val="20"/>
          <w:color w:val="auto"/>
        </w:rPr>
      </w:pPr>
      <w:r>
        <w:rPr>
          <w:rFonts w:ascii="Arial" w:cs="Arial" w:eastAsia="Arial" w:hAnsi="Arial"/>
          <w:sz w:val="21"/>
          <w:szCs w:val="21"/>
          <w:b w:val="1"/>
          <w:bCs w:val="1"/>
          <w:color w:val="auto"/>
        </w:rPr>
        <w:t>UNITED STATES</w:t>
      </w:r>
    </w:p>
    <w:p>
      <w:pPr>
        <w:spacing w:after="0" w:line="31" w:lineRule="exact"/>
        <w:rPr>
          <w:sz w:val="24"/>
          <w:szCs w:val="24"/>
          <w:color w:val="auto"/>
        </w:rPr>
      </w:pPr>
    </w:p>
    <w:p>
      <w:pPr>
        <w:jc w:val="center"/>
        <w:ind w:right="-1099"/>
        <w:spacing w:after="0"/>
        <w:rPr>
          <w:sz w:val="20"/>
          <w:szCs w:val="20"/>
          <w:color w:val="auto"/>
        </w:rPr>
      </w:pPr>
      <w:r>
        <w:rPr>
          <w:rFonts w:ascii="Arial" w:cs="Arial" w:eastAsia="Arial" w:hAnsi="Arial"/>
          <w:sz w:val="21"/>
          <w:szCs w:val="21"/>
          <w:b w:val="1"/>
          <w:bCs w:val="1"/>
          <w:color w:val="auto"/>
        </w:rPr>
        <w:t>SECURITIES AND EXCHANGE COMMISSION</w:t>
      </w:r>
    </w:p>
    <w:p>
      <w:pPr>
        <w:spacing w:after="0" w:line="4" w:lineRule="exact"/>
        <w:rPr>
          <w:sz w:val="24"/>
          <w:szCs w:val="24"/>
          <w:color w:val="auto"/>
        </w:rPr>
      </w:pPr>
    </w:p>
    <w:p>
      <w:pPr>
        <w:jc w:val="center"/>
        <w:ind w:right="-1099"/>
        <w:spacing w:after="0"/>
        <w:rPr>
          <w:sz w:val="20"/>
          <w:szCs w:val="20"/>
          <w:color w:val="auto"/>
        </w:rPr>
      </w:pPr>
      <w:r>
        <w:rPr>
          <w:rFonts w:ascii="Arial" w:cs="Arial" w:eastAsia="Arial" w:hAnsi="Arial"/>
          <w:sz w:val="15"/>
          <w:szCs w:val="15"/>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3016250</wp:posOffset>
            </wp:positionH>
            <wp:positionV relativeFrom="paragraph">
              <wp:posOffset>90170</wp:posOffset>
            </wp:positionV>
            <wp:extent cx="1224915" cy="69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24915" cy="6985"/>
                    </a:xfrm>
                    <a:prstGeom prst="rect">
                      <a:avLst/>
                    </a:prstGeom>
                    <a:noFill/>
                  </pic:spPr>
                </pic:pic>
              </a:graphicData>
            </a:graphic>
          </wp:anchor>
        </w:drawing>
      </w:r>
    </w:p>
    <w:p>
      <w:pPr>
        <w:spacing w:after="0" w:line="136" w:lineRule="exact"/>
        <w:rPr>
          <w:sz w:val="24"/>
          <w:szCs w:val="24"/>
          <w:color w:val="auto"/>
        </w:rPr>
      </w:pPr>
    </w:p>
    <w:p>
      <w:pPr>
        <w:jc w:val="center"/>
        <w:ind w:right="-1099"/>
        <w:spacing w:after="0"/>
        <w:rPr>
          <w:sz w:val="20"/>
          <w:szCs w:val="20"/>
          <w:color w:val="auto"/>
        </w:rPr>
      </w:pPr>
      <w:r>
        <w:rPr>
          <w:rFonts w:ascii="Arial" w:cs="Arial" w:eastAsia="Arial" w:hAnsi="Arial"/>
          <w:sz w:val="21"/>
          <w:szCs w:val="21"/>
          <w:b w:val="1"/>
          <w:bCs w:val="1"/>
          <w:color w:val="auto"/>
        </w:rPr>
        <w:t>AMENDMENT NO. 2</w:t>
      </w:r>
    </w:p>
    <w:p>
      <w:pPr>
        <w:spacing w:after="0" w:line="31" w:lineRule="exact"/>
        <w:rPr>
          <w:sz w:val="24"/>
          <w:szCs w:val="24"/>
          <w:color w:val="auto"/>
        </w:rPr>
      </w:pPr>
    </w:p>
    <w:p>
      <w:pPr>
        <w:jc w:val="center"/>
        <w:ind w:right="-1099"/>
        <w:spacing w:after="0"/>
        <w:rPr>
          <w:sz w:val="20"/>
          <w:szCs w:val="20"/>
          <w:color w:val="auto"/>
        </w:rPr>
      </w:pPr>
      <w:r>
        <w:rPr>
          <w:rFonts w:ascii="Arial" w:cs="Arial" w:eastAsia="Arial" w:hAnsi="Arial"/>
          <w:sz w:val="21"/>
          <w:szCs w:val="21"/>
          <w:b w:val="1"/>
          <w:bCs w:val="1"/>
          <w:color w:val="auto"/>
        </w:rPr>
        <w:t>TO</w:t>
      </w:r>
    </w:p>
    <w:p>
      <w:pPr>
        <w:spacing w:after="0" w:line="7" w:lineRule="exact"/>
        <w:rPr>
          <w:sz w:val="24"/>
          <w:szCs w:val="24"/>
          <w:color w:val="auto"/>
        </w:rPr>
      </w:pPr>
    </w:p>
    <w:p>
      <w:pPr>
        <w:jc w:val="center"/>
        <w:ind w:right="-1099"/>
        <w:spacing w:after="0"/>
        <w:rPr>
          <w:sz w:val="20"/>
          <w:szCs w:val="20"/>
          <w:color w:val="auto"/>
        </w:rPr>
      </w:pPr>
      <w:r>
        <w:rPr>
          <w:rFonts w:ascii="Arial" w:cs="Arial" w:eastAsia="Arial" w:hAnsi="Arial"/>
          <w:sz w:val="21"/>
          <w:szCs w:val="21"/>
          <w:b w:val="1"/>
          <w:bCs w:val="1"/>
          <w:color w:val="auto"/>
        </w:rPr>
        <w:t>FORM S-1</w:t>
      </w:r>
    </w:p>
    <w:p>
      <w:pPr>
        <w:spacing w:after="0" w:line="7" w:lineRule="exact"/>
        <w:rPr>
          <w:sz w:val="24"/>
          <w:szCs w:val="24"/>
          <w:color w:val="auto"/>
        </w:rPr>
      </w:pPr>
    </w:p>
    <w:p>
      <w:pPr>
        <w:jc w:val="center"/>
        <w:ind w:right="-1099"/>
        <w:spacing w:after="0"/>
        <w:rPr>
          <w:sz w:val="20"/>
          <w:szCs w:val="20"/>
          <w:color w:val="auto"/>
        </w:rPr>
      </w:pPr>
      <w:r>
        <w:rPr>
          <w:rFonts w:ascii="Arial" w:cs="Arial" w:eastAsia="Arial" w:hAnsi="Arial"/>
          <w:sz w:val="21"/>
          <w:szCs w:val="21"/>
          <w:b w:val="1"/>
          <w:bCs w:val="1"/>
          <w:color w:val="auto"/>
        </w:rPr>
        <w:t>REGISTRATION STATEMENT</w:t>
      </w:r>
    </w:p>
    <w:p>
      <w:pPr>
        <w:spacing w:after="0" w:line="4" w:lineRule="exact"/>
        <w:rPr>
          <w:sz w:val="24"/>
          <w:szCs w:val="24"/>
          <w:color w:val="auto"/>
        </w:rPr>
      </w:pPr>
    </w:p>
    <w:p>
      <w:pPr>
        <w:jc w:val="center"/>
        <w:ind w:right="-1099"/>
        <w:spacing w:after="0"/>
        <w:rPr>
          <w:sz w:val="20"/>
          <w:szCs w:val="20"/>
          <w:color w:val="auto"/>
        </w:rPr>
      </w:pPr>
      <w:r>
        <w:rPr>
          <w:rFonts w:ascii="Arial" w:cs="Arial" w:eastAsia="Arial" w:hAnsi="Arial"/>
          <w:sz w:val="15"/>
          <w:szCs w:val="15"/>
          <w:b w:val="1"/>
          <w:bCs w:val="1"/>
          <w:i w:val="1"/>
          <w:iCs w:val="1"/>
          <w:color w:val="auto"/>
        </w:rPr>
        <w:t>Under</w:t>
      </w:r>
    </w:p>
    <w:p>
      <w:pPr>
        <w:spacing w:after="0" w:line="5" w:lineRule="exact"/>
        <w:rPr>
          <w:sz w:val="24"/>
          <w:szCs w:val="24"/>
          <w:color w:val="auto"/>
        </w:rPr>
      </w:pPr>
    </w:p>
    <w:p>
      <w:pPr>
        <w:jc w:val="center"/>
        <w:ind w:right="-1099"/>
        <w:spacing w:after="0"/>
        <w:rPr>
          <w:sz w:val="20"/>
          <w:szCs w:val="20"/>
          <w:color w:val="auto"/>
        </w:rPr>
      </w:pPr>
      <w:r>
        <w:rPr>
          <w:rFonts w:ascii="Arial" w:cs="Arial" w:eastAsia="Arial" w:hAnsi="Arial"/>
          <w:sz w:val="15"/>
          <w:szCs w:val="15"/>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3016250</wp:posOffset>
            </wp:positionH>
            <wp:positionV relativeFrom="paragraph">
              <wp:posOffset>77470</wp:posOffset>
            </wp:positionV>
            <wp:extent cx="1224915" cy="69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24915" cy="6985"/>
                    </a:xfrm>
                    <a:prstGeom prst="rect">
                      <a:avLst/>
                    </a:prstGeom>
                    <a:noFill/>
                  </pic:spPr>
                </pic:pic>
              </a:graphicData>
            </a:graphic>
          </wp:anchor>
        </w:drawing>
      </w:r>
    </w:p>
    <w:p>
      <w:pPr>
        <w:spacing w:after="0" w:line="104" w:lineRule="exact"/>
        <w:rPr>
          <w:sz w:val="24"/>
          <w:szCs w:val="24"/>
          <w:color w:val="auto"/>
        </w:rPr>
      </w:pPr>
    </w:p>
    <w:p>
      <w:pPr>
        <w:jc w:val="center"/>
        <w:ind w:right="-1099"/>
        <w:spacing w:after="0"/>
        <w:rPr>
          <w:sz w:val="20"/>
          <w:szCs w:val="20"/>
          <w:color w:val="auto"/>
        </w:rPr>
      </w:pPr>
      <w:r>
        <w:rPr>
          <w:rFonts w:ascii="Arial" w:cs="Arial" w:eastAsia="Arial" w:hAnsi="Arial"/>
          <w:sz w:val="30"/>
          <w:szCs w:val="30"/>
          <w:b w:val="1"/>
          <w:bCs w:val="1"/>
          <w:color w:val="auto"/>
        </w:rPr>
        <w:t>Dropbox, Inc.</w:t>
      </w:r>
    </w:p>
    <w:p>
      <w:pPr>
        <w:spacing w:after="0" w:line="30" w:lineRule="exact"/>
        <w:rPr>
          <w:sz w:val="24"/>
          <w:szCs w:val="24"/>
          <w:color w:val="auto"/>
        </w:rPr>
      </w:pPr>
    </w:p>
    <w:p>
      <w:pPr>
        <w:ind w:left="4360"/>
        <w:spacing w:after="0"/>
        <w:rPr>
          <w:sz w:val="20"/>
          <w:szCs w:val="20"/>
          <w:color w:val="auto"/>
        </w:rPr>
      </w:pPr>
      <w:r>
        <w:rPr>
          <w:rFonts w:ascii="Arial" w:cs="Arial" w:eastAsia="Arial" w:hAnsi="Arial"/>
          <w:sz w:val="12"/>
          <w:szCs w:val="12"/>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3016250</wp:posOffset>
            </wp:positionH>
            <wp:positionV relativeFrom="paragraph">
              <wp:posOffset>66040</wp:posOffset>
            </wp:positionV>
            <wp:extent cx="1224915" cy="69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24915" cy="6985"/>
                    </a:xfrm>
                    <a:prstGeom prst="rect">
                      <a:avLst/>
                    </a:prstGeom>
                    <a:noFill/>
                  </pic:spPr>
                </pic:pic>
              </a:graphicData>
            </a:graphic>
          </wp:anchor>
        </w:drawing>
      </w:r>
    </w:p>
    <w:p>
      <w:pPr>
        <w:spacing w:after="0" w:line="119" w:lineRule="exact"/>
        <w:rPr>
          <w:sz w:val="24"/>
          <w:szCs w:val="24"/>
          <w:color w:val="auto"/>
        </w:rPr>
      </w:pPr>
    </w:p>
    <w:tbl>
      <w:tblPr>
        <w:tblLayout w:type="fixed"/>
        <w:tblInd w:w="1900" w:type="dxa"/>
        <w:tblCellMar>
          <w:top w:w="0" w:type="dxa"/>
          <w:left w:w="0" w:type="dxa"/>
          <w:bottom w:w="0" w:type="dxa"/>
          <w:right w:w="0" w:type="dxa"/>
        </w:tblCellMar>
      </w:tblPr>
      <w:tr>
        <w:trPr>
          <w:trHeight w:val="138"/>
        </w:trPr>
        <w:tc>
          <w:tcPr>
            <w:tcW w:w="2360" w:type="dxa"/>
            <w:vAlign w:val="bottom"/>
          </w:tcPr>
          <w:p>
            <w:pPr>
              <w:jc w:val="center"/>
              <w:ind w:right="740"/>
              <w:spacing w:after="0"/>
              <w:rPr>
                <w:sz w:val="20"/>
                <w:szCs w:val="20"/>
                <w:color w:val="auto"/>
              </w:rPr>
            </w:pPr>
            <w:r>
              <w:rPr>
                <w:rFonts w:ascii="Arial" w:cs="Arial" w:eastAsia="Arial" w:hAnsi="Arial"/>
                <w:sz w:val="12"/>
                <w:szCs w:val="12"/>
                <w:b w:val="1"/>
                <w:bCs w:val="1"/>
                <w:color w:val="auto"/>
                <w:w w:val="91"/>
              </w:rPr>
              <w:t>Delaware</w:t>
            </w:r>
          </w:p>
        </w:tc>
        <w:tc>
          <w:tcPr>
            <w:tcW w:w="3160" w:type="dxa"/>
            <w:vAlign w:val="bottom"/>
          </w:tcPr>
          <w:p>
            <w:pPr>
              <w:jc w:val="center"/>
              <w:spacing w:after="0"/>
              <w:rPr>
                <w:sz w:val="20"/>
                <w:szCs w:val="20"/>
                <w:color w:val="auto"/>
              </w:rPr>
            </w:pPr>
            <w:r>
              <w:rPr>
                <w:rFonts w:ascii="Arial" w:cs="Arial" w:eastAsia="Arial" w:hAnsi="Arial"/>
                <w:sz w:val="12"/>
                <w:szCs w:val="12"/>
                <w:b w:val="1"/>
                <w:bCs w:val="1"/>
                <w:color w:val="auto"/>
                <w:w w:val="97"/>
              </w:rPr>
              <w:t>7372</w:t>
            </w:r>
          </w:p>
        </w:tc>
        <w:tc>
          <w:tcPr>
            <w:tcW w:w="2020" w:type="dxa"/>
            <w:vAlign w:val="bottom"/>
          </w:tcPr>
          <w:p>
            <w:pPr>
              <w:jc w:val="center"/>
              <w:ind w:left="780"/>
              <w:spacing w:after="0"/>
              <w:rPr>
                <w:sz w:val="20"/>
                <w:szCs w:val="20"/>
                <w:color w:val="auto"/>
              </w:rPr>
            </w:pPr>
            <w:r>
              <w:rPr>
                <w:rFonts w:ascii="Arial" w:cs="Arial" w:eastAsia="Arial" w:hAnsi="Arial"/>
                <w:sz w:val="12"/>
                <w:szCs w:val="12"/>
                <w:b w:val="1"/>
                <w:bCs w:val="1"/>
                <w:color w:val="auto"/>
                <w:w w:val="90"/>
              </w:rPr>
              <w:t>26-0138832</w:t>
            </w:r>
          </w:p>
        </w:tc>
      </w:tr>
      <w:tr>
        <w:trPr>
          <w:trHeight w:val="124"/>
        </w:trPr>
        <w:tc>
          <w:tcPr>
            <w:tcW w:w="2360" w:type="dxa"/>
            <w:vAlign w:val="bottom"/>
          </w:tcPr>
          <w:p>
            <w:pPr>
              <w:jc w:val="center"/>
              <w:ind w:right="760"/>
              <w:spacing w:after="0" w:line="124" w:lineRule="exact"/>
              <w:rPr>
                <w:sz w:val="20"/>
                <w:szCs w:val="20"/>
                <w:color w:val="auto"/>
              </w:rPr>
            </w:pPr>
            <w:r>
              <w:rPr>
                <w:rFonts w:ascii="Arial" w:cs="Arial" w:eastAsia="Arial" w:hAnsi="Arial"/>
                <w:sz w:val="12"/>
                <w:szCs w:val="12"/>
                <w:b w:val="1"/>
                <w:bCs w:val="1"/>
                <w:color w:val="auto"/>
                <w:w w:val="91"/>
              </w:rPr>
              <w:t>(State or other jurisdiction of</w:t>
            </w:r>
          </w:p>
        </w:tc>
        <w:tc>
          <w:tcPr>
            <w:tcW w:w="3160" w:type="dxa"/>
            <w:vAlign w:val="bottom"/>
          </w:tcPr>
          <w:p>
            <w:pPr>
              <w:jc w:val="center"/>
              <w:spacing w:after="0" w:line="124" w:lineRule="exact"/>
              <w:rPr>
                <w:sz w:val="20"/>
                <w:szCs w:val="20"/>
                <w:color w:val="auto"/>
              </w:rPr>
            </w:pPr>
            <w:r>
              <w:rPr>
                <w:rFonts w:ascii="Arial" w:cs="Arial" w:eastAsia="Arial" w:hAnsi="Arial"/>
                <w:sz w:val="12"/>
                <w:szCs w:val="12"/>
                <w:b w:val="1"/>
                <w:bCs w:val="1"/>
                <w:color w:val="auto"/>
                <w:w w:val="95"/>
              </w:rPr>
              <w:t>(Primary Standard Industrial</w:t>
            </w:r>
          </w:p>
        </w:tc>
        <w:tc>
          <w:tcPr>
            <w:tcW w:w="2020" w:type="dxa"/>
            <w:vAlign w:val="bottom"/>
          </w:tcPr>
          <w:p>
            <w:pPr>
              <w:jc w:val="center"/>
              <w:ind w:left="760"/>
              <w:spacing w:after="0" w:line="124" w:lineRule="exact"/>
              <w:rPr>
                <w:sz w:val="20"/>
                <w:szCs w:val="20"/>
                <w:color w:val="auto"/>
              </w:rPr>
            </w:pPr>
            <w:r>
              <w:rPr>
                <w:rFonts w:ascii="Arial" w:cs="Arial" w:eastAsia="Arial" w:hAnsi="Arial"/>
                <w:sz w:val="12"/>
                <w:szCs w:val="12"/>
                <w:b w:val="1"/>
                <w:bCs w:val="1"/>
                <w:color w:val="auto"/>
                <w:w w:val="95"/>
              </w:rPr>
              <w:t>(I.R.S. Employer</w:t>
            </w:r>
          </w:p>
        </w:tc>
      </w:tr>
      <w:tr>
        <w:trPr>
          <w:trHeight w:val="157"/>
        </w:trPr>
        <w:tc>
          <w:tcPr>
            <w:tcW w:w="2360" w:type="dxa"/>
            <w:vAlign w:val="bottom"/>
          </w:tcPr>
          <w:p>
            <w:pPr>
              <w:jc w:val="center"/>
              <w:ind w:right="740"/>
              <w:spacing w:after="0"/>
              <w:rPr>
                <w:sz w:val="20"/>
                <w:szCs w:val="20"/>
                <w:color w:val="auto"/>
              </w:rPr>
            </w:pPr>
            <w:r>
              <w:rPr>
                <w:rFonts w:ascii="Arial" w:cs="Arial" w:eastAsia="Arial" w:hAnsi="Arial"/>
                <w:sz w:val="12"/>
                <w:szCs w:val="12"/>
                <w:b w:val="1"/>
                <w:bCs w:val="1"/>
                <w:color w:val="auto"/>
                <w:w w:val="91"/>
              </w:rPr>
              <w:t>incorporation or organization)</w:t>
            </w:r>
          </w:p>
        </w:tc>
        <w:tc>
          <w:tcPr>
            <w:tcW w:w="3160" w:type="dxa"/>
            <w:vAlign w:val="bottom"/>
          </w:tcPr>
          <w:p>
            <w:pPr>
              <w:jc w:val="center"/>
              <w:spacing w:after="0"/>
              <w:rPr>
                <w:sz w:val="20"/>
                <w:szCs w:val="20"/>
                <w:color w:val="auto"/>
              </w:rPr>
            </w:pPr>
            <w:r>
              <w:rPr>
                <w:rFonts w:ascii="Arial" w:cs="Arial" w:eastAsia="Arial" w:hAnsi="Arial"/>
                <w:sz w:val="12"/>
                <w:szCs w:val="12"/>
                <w:b w:val="1"/>
                <w:bCs w:val="1"/>
                <w:color w:val="auto"/>
                <w:w w:val="91"/>
              </w:rPr>
              <w:t>Classification Code Number)</w:t>
            </w:r>
          </w:p>
        </w:tc>
        <w:tc>
          <w:tcPr>
            <w:tcW w:w="2020" w:type="dxa"/>
            <w:vAlign w:val="bottom"/>
          </w:tcPr>
          <w:p>
            <w:pPr>
              <w:jc w:val="center"/>
              <w:ind w:left="760"/>
              <w:spacing w:after="0"/>
              <w:rPr>
                <w:sz w:val="20"/>
                <w:szCs w:val="20"/>
                <w:color w:val="auto"/>
              </w:rPr>
            </w:pPr>
            <w:r>
              <w:rPr>
                <w:rFonts w:ascii="Arial" w:cs="Arial" w:eastAsia="Arial" w:hAnsi="Arial"/>
                <w:sz w:val="12"/>
                <w:szCs w:val="12"/>
                <w:b w:val="1"/>
                <w:bCs w:val="1"/>
                <w:color w:val="auto"/>
                <w:w w:val="94"/>
              </w:rPr>
              <w:t>Identification Number)</w:t>
            </w:r>
          </w:p>
        </w:tc>
      </w:tr>
    </w:tbl>
    <w:p>
      <w:pPr>
        <w:spacing w:after="0" w:line="12" w:lineRule="exact"/>
        <w:rPr>
          <w:sz w:val="24"/>
          <w:szCs w:val="24"/>
          <w:color w:val="auto"/>
        </w:rPr>
      </w:pPr>
    </w:p>
    <w:p>
      <w:pPr>
        <w:jc w:val="center"/>
        <w:ind w:right="-1099"/>
        <w:spacing w:after="0"/>
        <w:rPr>
          <w:sz w:val="20"/>
          <w:szCs w:val="20"/>
          <w:color w:val="auto"/>
        </w:rPr>
      </w:pPr>
      <w:r>
        <w:rPr>
          <w:rFonts w:ascii="Arial" w:cs="Arial" w:eastAsia="Arial" w:hAnsi="Arial"/>
          <w:sz w:val="12"/>
          <w:szCs w:val="12"/>
          <w:b w:val="1"/>
          <w:bCs w:val="1"/>
          <w:color w:val="auto"/>
        </w:rPr>
        <w:t>Dropbox, Inc.</w:t>
      </w:r>
    </w:p>
    <w:p>
      <w:pPr>
        <w:jc w:val="center"/>
        <w:ind w:right="-1099"/>
        <w:spacing w:after="0" w:line="215" w:lineRule="auto"/>
        <w:rPr>
          <w:sz w:val="20"/>
          <w:szCs w:val="20"/>
          <w:color w:val="auto"/>
        </w:rPr>
      </w:pPr>
      <w:r>
        <w:rPr>
          <w:rFonts w:ascii="Arial" w:cs="Arial" w:eastAsia="Arial" w:hAnsi="Arial"/>
          <w:sz w:val="12"/>
          <w:szCs w:val="12"/>
          <w:b w:val="1"/>
          <w:bCs w:val="1"/>
          <w:color w:val="auto"/>
        </w:rPr>
        <w:t>333 Brannan Street</w:t>
      </w:r>
    </w:p>
    <w:p>
      <w:pPr>
        <w:jc w:val="center"/>
        <w:ind w:right="-1099"/>
        <w:spacing w:after="0" w:line="216" w:lineRule="auto"/>
        <w:rPr>
          <w:sz w:val="20"/>
          <w:szCs w:val="20"/>
          <w:color w:val="auto"/>
        </w:rPr>
      </w:pPr>
      <w:r>
        <w:rPr>
          <w:rFonts w:ascii="Arial" w:cs="Arial" w:eastAsia="Arial" w:hAnsi="Arial"/>
          <w:sz w:val="12"/>
          <w:szCs w:val="12"/>
          <w:b w:val="1"/>
          <w:bCs w:val="1"/>
          <w:color w:val="auto"/>
        </w:rPr>
        <w:t>San Francisco, California 94107</w:t>
      </w:r>
    </w:p>
    <w:p>
      <w:pPr>
        <w:jc w:val="center"/>
        <w:ind w:right="-1099"/>
        <w:spacing w:after="0" w:line="216" w:lineRule="auto"/>
        <w:rPr>
          <w:sz w:val="20"/>
          <w:szCs w:val="20"/>
          <w:color w:val="auto"/>
        </w:rPr>
      </w:pPr>
      <w:r>
        <w:rPr>
          <w:rFonts w:ascii="Arial" w:cs="Arial" w:eastAsia="Arial" w:hAnsi="Arial"/>
          <w:sz w:val="12"/>
          <w:szCs w:val="12"/>
          <w:b w:val="1"/>
          <w:bCs w:val="1"/>
          <w:color w:val="auto"/>
        </w:rPr>
        <w:t>(415) 857-6800</w:t>
      </w:r>
    </w:p>
    <w:p>
      <w:pPr>
        <w:jc w:val="center"/>
        <w:ind w:right="-1099"/>
        <w:spacing w:after="0"/>
        <w:rPr>
          <w:sz w:val="20"/>
          <w:szCs w:val="20"/>
          <w:color w:val="auto"/>
        </w:rPr>
      </w:pPr>
      <w:r>
        <w:rPr>
          <w:rFonts w:ascii="Arial" w:cs="Arial" w:eastAsia="Arial" w:hAnsi="Arial"/>
          <w:sz w:val="12"/>
          <w:szCs w:val="12"/>
          <w:b w:val="1"/>
          <w:bCs w:val="1"/>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3016250</wp:posOffset>
            </wp:positionH>
            <wp:positionV relativeFrom="paragraph">
              <wp:posOffset>73660</wp:posOffset>
            </wp:positionV>
            <wp:extent cx="1224915" cy="698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24915" cy="6985"/>
                    </a:xfrm>
                    <a:prstGeom prst="rect">
                      <a:avLst/>
                    </a:prstGeom>
                    <a:noFill/>
                  </pic:spPr>
                </pic:pic>
              </a:graphicData>
            </a:graphic>
          </wp:anchor>
        </w:drawing>
      </w:r>
    </w:p>
    <w:p>
      <w:pPr>
        <w:spacing w:after="0" w:line="121" w:lineRule="exact"/>
        <w:rPr>
          <w:sz w:val="24"/>
          <w:szCs w:val="24"/>
          <w:color w:val="auto"/>
        </w:rPr>
      </w:pPr>
    </w:p>
    <w:p>
      <w:pPr>
        <w:jc w:val="center"/>
        <w:ind w:right="-1099"/>
        <w:spacing w:after="0"/>
        <w:rPr>
          <w:sz w:val="20"/>
          <w:szCs w:val="20"/>
          <w:color w:val="auto"/>
        </w:rPr>
      </w:pPr>
      <w:r>
        <w:rPr>
          <w:rFonts w:ascii="Arial" w:cs="Arial" w:eastAsia="Arial" w:hAnsi="Arial"/>
          <w:sz w:val="12"/>
          <w:szCs w:val="12"/>
          <w:b w:val="1"/>
          <w:bCs w:val="1"/>
          <w:color w:val="auto"/>
        </w:rPr>
        <w:t>Andrew W. Houston</w:t>
      </w:r>
    </w:p>
    <w:p>
      <w:pPr>
        <w:jc w:val="center"/>
        <w:ind w:right="-1099"/>
        <w:spacing w:after="0" w:line="215" w:lineRule="auto"/>
        <w:rPr>
          <w:sz w:val="20"/>
          <w:szCs w:val="20"/>
          <w:color w:val="auto"/>
        </w:rPr>
      </w:pPr>
      <w:r>
        <w:rPr>
          <w:rFonts w:ascii="Arial" w:cs="Arial" w:eastAsia="Arial" w:hAnsi="Arial"/>
          <w:sz w:val="12"/>
          <w:szCs w:val="12"/>
          <w:b w:val="1"/>
          <w:bCs w:val="1"/>
          <w:color w:val="auto"/>
        </w:rPr>
        <w:t>Chief Executive Officer</w:t>
      </w:r>
    </w:p>
    <w:p>
      <w:pPr>
        <w:jc w:val="center"/>
        <w:ind w:right="-1099"/>
        <w:spacing w:after="0" w:line="216" w:lineRule="auto"/>
        <w:rPr>
          <w:sz w:val="20"/>
          <w:szCs w:val="20"/>
          <w:color w:val="auto"/>
        </w:rPr>
      </w:pPr>
      <w:r>
        <w:rPr>
          <w:rFonts w:ascii="Arial" w:cs="Arial" w:eastAsia="Arial" w:hAnsi="Arial"/>
          <w:sz w:val="12"/>
          <w:szCs w:val="12"/>
          <w:b w:val="1"/>
          <w:bCs w:val="1"/>
          <w:color w:val="auto"/>
        </w:rPr>
        <w:t>Dropbox, Inc.</w:t>
      </w:r>
    </w:p>
    <w:p>
      <w:pPr>
        <w:jc w:val="center"/>
        <w:ind w:right="-1099"/>
        <w:spacing w:after="0" w:line="216" w:lineRule="auto"/>
        <w:rPr>
          <w:sz w:val="20"/>
          <w:szCs w:val="20"/>
          <w:color w:val="auto"/>
        </w:rPr>
      </w:pPr>
      <w:r>
        <w:rPr>
          <w:rFonts w:ascii="Arial" w:cs="Arial" w:eastAsia="Arial" w:hAnsi="Arial"/>
          <w:sz w:val="12"/>
          <w:szCs w:val="12"/>
          <w:b w:val="1"/>
          <w:bCs w:val="1"/>
          <w:color w:val="auto"/>
        </w:rPr>
        <w:t>333 Brannan Street</w:t>
      </w:r>
    </w:p>
    <w:p>
      <w:pPr>
        <w:jc w:val="center"/>
        <w:ind w:right="-1099"/>
        <w:spacing w:after="0" w:line="216" w:lineRule="auto"/>
        <w:rPr>
          <w:sz w:val="20"/>
          <w:szCs w:val="20"/>
          <w:color w:val="auto"/>
        </w:rPr>
      </w:pPr>
      <w:r>
        <w:rPr>
          <w:rFonts w:ascii="Arial" w:cs="Arial" w:eastAsia="Arial" w:hAnsi="Arial"/>
          <w:sz w:val="12"/>
          <w:szCs w:val="12"/>
          <w:b w:val="1"/>
          <w:bCs w:val="1"/>
          <w:color w:val="auto"/>
        </w:rPr>
        <w:t>San Francisco, California 94107</w:t>
      </w:r>
    </w:p>
    <w:p>
      <w:pPr>
        <w:jc w:val="center"/>
        <w:ind w:right="-1099"/>
        <w:spacing w:after="0" w:line="215" w:lineRule="auto"/>
        <w:rPr>
          <w:sz w:val="20"/>
          <w:szCs w:val="20"/>
          <w:color w:val="auto"/>
        </w:rPr>
      </w:pPr>
      <w:r>
        <w:rPr>
          <w:rFonts w:ascii="Arial" w:cs="Arial" w:eastAsia="Arial" w:hAnsi="Arial"/>
          <w:sz w:val="12"/>
          <w:szCs w:val="12"/>
          <w:b w:val="1"/>
          <w:bCs w:val="1"/>
          <w:color w:val="auto"/>
        </w:rPr>
        <w:t>(415) 857-6800</w:t>
      </w:r>
    </w:p>
    <w:p>
      <w:pPr>
        <w:spacing w:after="0" w:line="1" w:lineRule="exact"/>
        <w:rPr>
          <w:sz w:val="24"/>
          <w:szCs w:val="24"/>
          <w:color w:val="auto"/>
        </w:rPr>
      </w:pPr>
    </w:p>
    <w:p>
      <w:pPr>
        <w:jc w:val="center"/>
        <w:ind w:right="-1099"/>
        <w:spacing w:after="0"/>
        <w:rPr>
          <w:sz w:val="20"/>
          <w:szCs w:val="20"/>
          <w:color w:val="auto"/>
        </w:rPr>
      </w:pPr>
      <w:r>
        <w:rPr>
          <w:rFonts w:ascii="Arial" w:cs="Arial" w:eastAsia="Arial" w:hAnsi="Arial"/>
          <w:sz w:val="12"/>
          <w:szCs w:val="12"/>
          <w:b w:val="1"/>
          <w:bCs w:val="1"/>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3016250</wp:posOffset>
            </wp:positionH>
            <wp:positionV relativeFrom="paragraph">
              <wp:posOffset>52070</wp:posOffset>
            </wp:positionV>
            <wp:extent cx="1224915" cy="698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24915" cy="6985"/>
                    </a:xfrm>
                    <a:prstGeom prst="rect">
                      <a:avLst/>
                    </a:prstGeom>
                    <a:noFill/>
                  </pic:spPr>
                </pic:pic>
              </a:graphicData>
            </a:graphic>
          </wp:anchor>
        </w:drawing>
      </w:r>
    </w:p>
    <w:p>
      <w:pPr>
        <w:spacing w:after="0" w:line="91" w:lineRule="exact"/>
        <w:rPr>
          <w:sz w:val="24"/>
          <w:szCs w:val="24"/>
          <w:color w:val="auto"/>
        </w:rPr>
      </w:pPr>
    </w:p>
    <w:tbl>
      <w:tblPr>
        <w:tblLayout w:type="fixed"/>
        <w:tblInd w:w="1660" w:type="dxa"/>
        <w:tblCellMar>
          <w:top w:w="0" w:type="dxa"/>
          <w:left w:w="0" w:type="dxa"/>
          <w:bottom w:w="0" w:type="dxa"/>
          <w:right w:w="0" w:type="dxa"/>
        </w:tblCellMar>
      </w:tblPr>
      <w:tr>
        <w:trPr>
          <w:trHeight w:val="153"/>
        </w:trPr>
        <w:tc>
          <w:tcPr>
            <w:tcW w:w="2680" w:type="dxa"/>
            <w:vAlign w:val="bottom"/>
          </w:tcPr>
          <w:p>
            <w:pPr>
              <w:spacing w:after="0"/>
              <w:rPr>
                <w:sz w:val="13"/>
                <w:szCs w:val="13"/>
                <w:color w:val="auto"/>
              </w:rPr>
            </w:pPr>
          </w:p>
        </w:tc>
        <w:tc>
          <w:tcPr>
            <w:tcW w:w="2960" w:type="dxa"/>
            <w:vAlign w:val="bottom"/>
          </w:tcPr>
          <w:p>
            <w:pPr>
              <w:ind w:left="1120"/>
              <w:spacing w:after="0"/>
              <w:rPr>
                <w:sz w:val="20"/>
                <w:szCs w:val="20"/>
                <w:color w:val="auto"/>
              </w:rPr>
            </w:pPr>
            <w:r>
              <w:rPr>
                <w:rFonts w:ascii="Arial" w:cs="Arial" w:eastAsia="Arial" w:hAnsi="Arial"/>
                <w:sz w:val="12"/>
                <w:szCs w:val="12"/>
                <w:b w:val="1"/>
                <w:bCs w:val="1"/>
                <w:i w:val="1"/>
                <w:iCs w:val="1"/>
                <w:color w:val="auto"/>
              </w:rPr>
              <w:t>Copies to:</w:t>
            </w:r>
          </w:p>
        </w:tc>
        <w:tc>
          <w:tcPr>
            <w:tcW w:w="2400" w:type="dxa"/>
            <w:vAlign w:val="bottom"/>
          </w:tcPr>
          <w:p>
            <w:pPr>
              <w:spacing w:after="0"/>
              <w:rPr>
                <w:sz w:val="13"/>
                <w:szCs w:val="13"/>
                <w:color w:val="auto"/>
              </w:rPr>
            </w:pPr>
          </w:p>
        </w:tc>
      </w:tr>
      <w:tr>
        <w:trPr>
          <w:trHeight w:val="125"/>
        </w:trPr>
        <w:tc>
          <w:tcPr>
            <w:tcW w:w="2680" w:type="dxa"/>
            <w:vAlign w:val="bottom"/>
          </w:tcPr>
          <w:p>
            <w:pPr>
              <w:jc w:val="center"/>
              <w:ind w:right="600"/>
              <w:spacing w:after="0" w:line="125" w:lineRule="exact"/>
              <w:rPr>
                <w:sz w:val="20"/>
                <w:szCs w:val="20"/>
                <w:color w:val="auto"/>
              </w:rPr>
            </w:pPr>
            <w:r>
              <w:rPr>
                <w:rFonts w:ascii="Arial" w:cs="Arial" w:eastAsia="Arial" w:hAnsi="Arial"/>
                <w:sz w:val="12"/>
                <w:szCs w:val="12"/>
                <w:b w:val="1"/>
                <w:bCs w:val="1"/>
                <w:color w:val="auto"/>
                <w:w w:val="88"/>
              </w:rPr>
              <w:t>Tony Jeffries, Esq.</w:t>
            </w:r>
          </w:p>
        </w:tc>
        <w:tc>
          <w:tcPr>
            <w:tcW w:w="2960" w:type="dxa"/>
            <w:vAlign w:val="bottom"/>
          </w:tcPr>
          <w:p>
            <w:pPr>
              <w:jc w:val="center"/>
              <w:spacing w:after="0" w:line="125" w:lineRule="exact"/>
              <w:rPr>
                <w:sz w:val="20"/>
                <w:szCs w:val="20"/>
                <w:color w:val="auto"/>
              </w:rPr>
            </w:pPr>
            <w:r>
              <w:rPr>
                <w:rFonts w:ascii="Arial" w:cs="Arial" w:eastAsia="Arial" w:hAnsi="Arial"/>
                <w:sz w:val="12"/>
                <w:szCs w:val="12"/>
                <w:b w:val="1"/>
                <w:bCs w:val="1"/>
                <w:color w:val="auto"/>
                <w:w w:val="90"/>
              </w:rPr>
              <w:t>Bart E. Volkmer, Esq.</w:t>
            </w:r>
          </w:p>
        </w:tc>
        <w:tc>
          <w:tcPr>
            <w:tcW w:w="2400" w:type="dxa"/>
            <w:vAlign w:val="bottom"/>
          </w:tcPr>
          <w:p>
            <w:pPr>
              <w:jc w:val="center"/>
              <w:ind w:left="620"/>
              <w:spacing w:after="0" w:line="125" w:lineRule="exact"/>
              <w:rPr>
                <w:sz w:val="20"/>
                <w:szCs w:val="20"/>
                <w:color w:val="auto"/>
              </w:rPr>
            </w:pPr>
            <w:r>
              <w:rPr>
                <w:rFonts w:ascii="Arial" w:cs="Arial" w:eastAsia="Arial" w:hAnsi="Arial"/>
                <w:sz w:val="12"/>
                <w:szCs w:val="12"/>
                <w:b w:val="1"/>
                <w:bCs w:val="1"/>
                <w:color w:val="auto"/>
                <w:w w:val="89"/>
              </w:rPr>
              <w:t>Kevin P. Kennedy, Esq.</w:t>
            </w:r>
          </w:p>
        </w:tc>
      </w:tr>
      <w:tr>
        <w:trPr>
          <w:trHeight w:val="124"/>
        </w:trPr>
        <w:tc>
          <w:tcPr>
            <w:tcW w:w="2680" w:type="dxa"/>
            <w:vAlign w:val="bottom"/>
          </w:tcPr>
          <w:p>
            <w:pPr>
              <w:jc w:val="center"/>
              <w:ind w:right="600"/>
              <w:spacing w:after="0" w:line="124" w:lineRule="exact"/>
              <w:rPr>
                <w:sz w:val="20"/>
                <w:szCs w:val="20"/>
                <w:color w:val="auto"/>
              </w:rPr>
            </w:pPr>
            <w:r>
              <w:rPr>
                <w:rFonts w:ascii="Arial" w:cs="Arial" w:eastAsia="Arial" w:hAnsi="Arial"/>
                <w:sz w:val="12"/>
                <w:szCs w:val="12"/>
                <w:b w:val="1"/>
                <w:bCs w:val="1"/>
                <w:color w:val="auto"/>
                <w:w w:val="91"/>
              </w:rPr>
              <w:t>Rezwan D. Pavri, Esq.</w:t>
            </w:r>
          </w:p>
        </w:tc>
        <w:tc>
          <w:tcPr>
            <w:tcW w:w="2960" w:type="dxa"/>
            <w:vAlign w:val="bottom"/>
          </w:tcPr>
          <w:p>
            <w:pPr>
              <w:jc w:val="center"/>
              <w:spacing w:after="0" w:line="124" w:lineRule="exact"/>
              <w:rPr>
                <w:sz w:val="20"/>
                <w:szCs w:val="20"/>
                <w:color w:val="auto"/>
              </w:rPr>
            </w:pPr>
            <w:r>
              <w:rPr>
                <w:rFonts w:ascii="Arial" w:cs="Arial" w:eastAsia="Arial" w:hAnsi="Arial"/>
                <w:sz w:val="12"/>
                <w:szCs w:val="12"/>
                <w:b w:val="1"/>
                <w:bCs w:val="1"/>
                <w:color w:val="auto"/>
                <w:w w:val="90"/>
              </w:rPr>
              <w:t>Mary Anne Becking, Esq.</w:t>
            </w:r>
          </w:p>
        </w:tc>
        <w:tc>
          <w:tcPr>
            <w:tcW w:w="2400" w:type="dxa"/>
            <w:vAlign w:val="bottom"/>
          </w:tcPr>
          <w:p>
            <w:pPr>
              <w:jc w:val="center"/>
              <w:ind w:left="620"/>
              <w:spacing w:after="0" w:line="124" w:lineRule="exact"/>
              <w:rPr>
                <w:sz w:val="20"/>
                <w:szCs w:val="20"/>
                <w:color w:val="auto"/>
              </w:rPr>
            </w:pPr>
            <w:r>
              <w:rPr>
                <w:rFonts w:ascii="Arial" w:cs="Arial" w:eastAsia="Arial" w:hAnsi="Arial"/>
                <w:sz w:val="12"/>
                <w:szCs w:val="12"/>
                <w:b w:val="1"/>
                <w:bCs w:val="1"/>
                <w:color w:val="auto"/>
                <w:w w:val="93"/>
              </w:rPr>
              <w:t>Simpson Thacher &amp; Bartlett LLP</w:t>
            </w:r>
          </w:p>
        </w:tc>
      </w:tr>
      <w:tr>
        <w:trPr>
          <w:trHeight w:val="124"/>
        </w:trPr>
        <w:tc>
          <w:tcPr>
            <w:tcW w:w="2680" w:type="dxa"/>
            <w:vAlign w:val="bottom"/>
          </w:tcPr>
          <w:p>
            <w:pPr>
              <w:jc w:val="center"/>
              <w:ind w:right="600"/>
              <w:spacing w:after="0" w:line="124" w:lineRule="exact"/>
              <w:rPr>
                <w:sz w:val="20"/>
                <w:szCs w:val="20"/>
                <w:color w:val="auto"/>
              </w:rPr>
            </w:pPr>
            <w:r>
              <w:rPr>
                <w:rFonts w:ascii="Arial" w:cs="Arial" w:eastAsia="Arial" w:hAnsi="Arial"/>
                <w:sz w:val="12"/>
                <w:szCs w:val="12"/>
                <w:b w:val="1"/>
                <w:bCs w:val="1"/>
                <w:color w:val="auto"/>
                <w:w w:val="92"/>
              </w:rPr>
              <w:t>Lisa L. Stimmell, Esq.</w:t>
            </w:r>
          </w:p>
        </w:tc>
        <w:tc>
          <w:tcPr>
            <w:tcW w:w="2960" w:type="dxa"/>
            <w:vAlign w:val="bottom"/>
          </w:tcPr>
          <w:p>
            <w:pPr>
              <w:jc w:val="center"/>
              <w:spacing w:after="0" w:line="124" w:lineRule="exact"/>
              <w:rPr>
                <w:sz w:val="20"/>
                <w:szCs w:val="20"/>
                <w:color w:val="auto"/>
              </w:rPr>
            </w:pPr>
            <w:r>
              <w:rPr>
                <w:rFonts w:ascii="Arial" w:cs="Arial" w:eastAsia="Arial" w:hAnsi="Arial"/>
                <w:sz w:val="12"/>
                <w:szCs w:val="12"/>
                <w:b w:val="1"/>
                <w:bCs w:val="1"/>
                <w:color w:val="auto"/>
                <w:w w:val="93"/>
              </w:rPr>
              <w:t>Cara M. Angelmar, Esq.</w:t>
            </w:r>
          </w:p>
        </w:tc>
        <w:tc>
          <w:tcPr>
            <w:tcW w:w="2400" w:type="dxa"/>
            <w:vAlign w:val="bottom"/>
          </w:tcPr>
          <w:p>
            <w:pPr>
              <w:jc w:val="center"/>
              <w:ind w:left="640"/>
              <w:spacing w:after="0" w:line="124" w:lineRule="exact"/>
              <w:rPr>
                <w:sz w:val="20"/>
                <w:szCs w:val="20"/>
                <w:color w:val="auto"/>
              </w:rPr>
            </w:pPr>
            <w:r>
              <w:rPr>
                <w:rFonts w:ascii="Arial" w:cs="Arial" w:eastAsia="Arial" w:hAnsi="Arial"/>
                <w:sz w:val="12"/>
                <w:szCs w:val="12"/>
                <w:b w:val="1"/>
                <w:bCs w:val="1"/>
                <w:color w:val="auto"/>
                <w:w w:val="92"/>
              </w:rPr>
              <w:t>2475 Hanover St</w:t>
            </w:r>
          </w:p>
        </w:tc>
      </w:tr>
      <w:tr>
        <w:trPr>
          <w:trHeight w:val="124"/>
        </w:trPr>
        <w:tc>
          <w:tcPr>
            <w:tcW w:w="2680" w:type="dxa"/>
            <w:vAlign w:val="bottom"/>
          </w:tcPr>
          <w:p>
            <w:pPr>
              <w:jc w:val="center"/>
              <w:ind w:right="600"/>
              <w:spacing w:after="0" w:line="124" w:lineRule="exact"/>
              <w:rPr>
                <w:sz w:val="20"/>
                <w:szCs w:val="20"/>
                <w:color w:val="auto"/>
              </w:rPr>
            </w:pPr>
            <w:r>
              <w:rPr>
                <w:rFonts w:ascii="Arial" w:cs="Arial" w:eastAsia="Arial" w:hAnsi="Arial"/>
                <w:sz w:val="12"/>
                <w:szCs w:val="12"/>
                <w:b w:val="1"/>
                <w:bCs w:val="1"/>
                <w:color w:val="auto"/>
                <w:w w:val="89"/>
              </w:rPr>
              <w:t>Shannon R. Delahaye, Esq.</w:t>
            </w:r>
          </w:p>
        </w:tc>
        <w:tc>
          <w:tcPr>
            <w:tcW w:w="2960" w:type="dxa"/>
            <w:vAlign w:val="bottom"/>
          </w:tcPr>
          <w:p>
            <w:pPr>
              <w:jc w:val="center"/>
              <w:spacing w:after="0" w:line="124" w:lineRule="exact"/>
              <w:rPr>
                <w:sz w:val="20"/>
                <w:szCs w:val="20"/>
                <w:color w:val="auto"/>
              </w:rPr>
            </w:pPr>
            <w:r>
              <w:rPr>
                <w:rFonts w:ascii="Arial" w:cs="Arial" w:eastAsia="Arial" w:hAnsi="Arial"/>
                <w:sz w:val="12"/>
                <w:szCs w:val="12"/>
                <w:b w:val="1"/>
                <w:bCs w:val="1"/>
                <w:color w:val="auto"/>
                <w:w w:val="91"/>
              </w:rPr>
              <w:t>Dropbox, Inc.</w:t>
            </w:r>
          </w:p>
        </w:tc>
        <w:tc>
          <w:tcPr>
            <w:tcW w:w="2400" w:type="dxa"/>
            <w:vAlign w:val="bottom"/>
          </w:tcPr>
          <w:p>
            <w:pPr>
              <w:jc w:val="center"/>
              <w:ind w:left="620"/>
              <w:spacing w:after="0" w:line="124" w:lineRule="exact"/>
              <w:rPr>
                <w:sz w:val="20"/>
                <w:szCs w:val="20"/>
                <w:color w:val="auto"/>
              </w:rPr>
            </w:pPr>
            <w:r>
              <w:rPr>
                <w:rFonts w:ascii="Arial" w:cs="Arial" w:eastAsia="Arial" w:hAnsi="Arial"/>
                <w:sz w:val="12"/>
                <w:szCs w:val="12"/>
                <w:b w:val="1"/>
                <w:bCs w:val="1"/>
                <w:color w:val="auto"/>
                <w:w w:val="92"/>
              </w:rPr>
              <w:t>Palo Alto, California 94304</w:t>
            </w:r>
          </w:p>
        </w:tc>
      </w:tr>
      <w:tr>
        <w:trPr>
          <w:trHeight w:val="124"/>
        </w:trPr>
        <w:tc>
          <w:tcPr>
            <w:tcW w:w="2680" w:type="dxa"/>
            <w:vAlign w:val="bottom"/>
          </w:tcPr>
          <w:p>
            <w:pPr>
              <w:jc w:val="center"/>
              <w:ind w:right="580"/>
              <w:spacing w:after="0" w:line="124" w:lineRule="exact"/>
              <w:rPr>
                <w:sz w:val="20"/>
                <w:szCs w:val="20"/>
                <w:color w:val="auto"/>
              </w:rPr>
            </w:pPr>
            <w:r>
              <w:rPr>
                <w:rFonts w:ascii="Arial" w:cs="Arial" w:eastAsia="Arial" w:hAnsi="Arial"/>
                <w:sz w:val="12"/>
                <w:szCs w:val="12"/>
                <w:b w:val="1"/>
                <w:bCs w:val="1"/>
                <w:color w:val="auto"/>
                <w:w w:val="90"/>
              </w:rPr>
              <w:t>Wilson Sonsini Goodrich &amp; Rosati, P.C.</w:t>
            </w:r>
          </w:p>
        </w:tc>
        <w:tc>
          <w:tcPr>
            <w:tcW w:w="2960" w:type="dxa"/>
            <w:vAlign w:val="bottom"/>
          </w:tcPr>
          <w:p>
            <w:pPr>
              <w:jc w:val="center"/>
              <w:spacing w:after="0" w:line="124" w:lineRule="exact"/>
              <w:rPr>
                <w:sz w:val="20"/>
                <w:szCs w:val="20"/>
                <w:color w:val="auto"/>
              </w:rPr>
            </w:pPr>
            <w:r>
              <w:rPr>
                <w:rFonts w:ascii="Arial" w:cs="Arial" w:eastAsia="Arial" w:hAnsi="Arial"/>
                <w:sz w:val="12"/>
                <w:szCs w:val="12"/>
                <w:b w:val="1"/>
                <w:bCs w:val="1"/>
                <w:color w:val="auto"/>
                <w:w w:val="89"/>
              </w:rPr>
              <w:t>333 Brannan Street</w:t>
            </w:r>
          </w:p>
        </w:tc>
        <w:tc>
          <w:tcPr>
            <w:tcW w:w="2400" w:type="dxa"/>
            <w:vAlign w:val="bottom"/>
          </w:tcPr>
          <w:p>
            <w:pPr>
              <w:jc w:val="center"/>
              <w:ind w:left="620"/>
              <w:spacing w:after="0" w:line="124" w:lineRule="exact"/>
              <w:rPr>
                <w:sz w:val="20"/>
                <w:szCs w:val="20"/>
                <w:color w:val="auto"/>
              </w:rPr>
            </w:pPr>
            <w:r>
              <w:rPr>
                <w:rFonts w:ascii="Arial" w:cs="Arial" w:eastAsia="Arial" w:hAnsi="Arial"/>
                <w:sz w:val="12"/>
                <w:szCs w:val="12"/>
                <w:b w:val="1"/>
                <w:bCs w:val="1"/>
                <w:color w:val="auto"/>
                <w:w w:val="92"/>
              </w:rPr>
              <w:t>(650) 251-5000</w:t>
            </w:r>
          </w:p>
        </w:tc>
      </w:tr>
      <w:tr>
        <w:trPr>
          <w:trHeight w:val="124"/>
        </w:trPr>
        <w:tc>
          <w:tcPr>
            <w:tcW w:w="2680" w:type="dxa"/>
            <w:vAlign w:val="bottom"/>
          </w:tcPr>
          <w:p>
            <w:pPr>
              <w:jc w:val="center"/>
              <w:ind w:right="580"/>
              <w:spacing w:after="0" w:line="124" w:lineRule="exact"/>
              <w:rPr>
                <w:sz w:val="20"/>
                <w:szCs w:val="20"/>
                <w:color w:val="auto"/>
              </w:rPr>
            </w:pPr>
            <w:r>
              <w:rPr>
                <w:rFonts w:ascii="Arial" w:cs="Arial" w:eastAsia="Arial" w:hAnsi="Arial"/>
                <w:sz w:val="12"/>
                <w:szCs w:val="12"/>
                <w:b w:val="1"/>
                <w:bCs w:val="1"/>
                <w:color w:val="auto"/>
                <w:w w:val="91"/>
              </w:rPr>
              <w:t>650 Page Mill Road</w:t>
            </w:r>
          </w:p>
        </w:tc>
        <w:tc>
          <w:tcPr>
            <w:tcW w:w="2960" w:type="dxa"/>
            <w:vAlign w:val="bottom"/>
          </w:tcPr>
          <w:p>
            <w:pPr>
              <w:jc w:val="center"/>
              <w:spacing w:after="0" w:line="124" w:lineRule="exact"/>
              <w:rPr>
                <w:sz w:val="20"/>
                <w:szCs w:val="20"/>
                <w:color w:val="auto"/>
              </w:rPr>
            </w:pPr>
            <w:r>
              <w:rPr>
                <w:rFonts w:ascii="Arial" w:cs="Arial" w:eastAsia="Arial" w:hAnsi="Arial"/>
                <w:sz w:val="12"/>
                <w:szCs w:val="12"/>
                <w:b w:val="1"/>
                <w:bCs w:val="1"/>
                <w:color w:val="auto"/>
                <w:w w:val="91"/>
              </w:rPr>
              <w:t>San Francisco, California 94107</w:t>
            </w:r>
          </w:p>
        </w:tc>
        <w:tc>
          <w:tcPr>
            <w:tcW w:w="2400" w:type="dxa"/>
            <w:vAlign w:val="bottom"/>
          </w:tcPr>
          <w:p>
            <w:pPr>
              <w:spacing w:after="0"/>
              <w:rPr>
                <w:sz w:val="10"/>
                <w:szCs w:val="10"/>
                <w:color w:val="auto"/>
              </w:rPr>
            </w:pPr>
          </w:p>
        </w:tc>
      </w:tr>
      <w:tr>
        <w:trPr>
          <w:trHeight w:val="124"/>
        </w:trPr>
        <w:tc>
          <w:tcPr>
            <w:tcW w:w="2680" w:type="dxa"/>
            <w:vAlign w:val="bottom"/>
          </w:tcPr>
          <w:p>
            <w:pPr>
              <w:jc w:val="center"/>
              <w:ind w:right="600"/>
              <w:spacing w:after="0" w:line="124" w:lineRule="exact"/>
              <w:rPr>
                <w:sz w:val="20"/>
                <w:szCs w:val="20"/>
                <w:color w:val="auto"/>
              </w:rPr>
            </w:pPr>
            <w:r>
              <w:rPr>
                <w:rFonts w:ascii="Arial" w:cs="Arial" w:eastAsia="Arial" w:hAnsi="Arial"/>
                <w:sz w:val="12"/>
                <w:szCs w:val="12"/>
                <w:b w:val="1"/>
                <w:bCs w:val="1"/>
                <w:color w:val="auto"/>
                <w:w w:val="91"/>
              </w:rPr>
              <w:t>Palo Alto, California 94304</w:t>
            </w:r>
          </w:p>
        </w:tc>
        <w:tc>
          <w:tcPr>
            <w:tcW w:w="2960" w:type="dxa"/>
            <w:vAlign w:val="bottom"/>
          </w:tcPr>
          <w:p>
            <w:pPr>
              <w:jc w:val="center"/>
              <w:spacing w:after="0" w:line="124" w:lineRule="exact"/>
              <w:rPr>
                <w:sz w:val="20"/>
                <w:szCs w:val="20"/>
                <w:color w:val="auto"/>
              </w:rPr>
            </w:pPr>
            <w:r>
              <w:rPr>
                <w:rFonts w:ascii="Arial" w:cs="Arial" w:eastAsia="Arial" w:hAnsi="Arial"/>
                <w:sz w:val="12"/>
                <w:szCs w:val="12"/>
                <w:b w:val="1"/>
                <w:bCs w:val="1"/>
                <w:color w:val="auto"/>
                <w:w w:val="90"/>
              </w:rPr>
              <w:t>(415) 857-6800</w:t>
            </w:r>
          </w:p>
        </w:tc>
        <w:tc>
          <w:tcPr>
            <w:tcW w:w="2400" w:type="dxa"/>
            <w:vAlign w:val="bottom"/>
          </w:tcPr>
          <w:p>
            <w:pPr>
              <w:spacing w:after="0"/>
              <w:rPr>
                <w:sz w:val="10"/>
                <w:szCs w:val="10"/>
                <w:color w:val="auto"/>
              </w:rPr>
            </w:pPr>
          </w:p>
        </w:tc>
      </w:tr>
      <w:tr>
        <w:trPr>
          <w:trHeight w:val="157"/>
        </w:trPr>
        <w:tc>
          <w:tcPr>
            <w:tcW w:w="2680" w:type="dxa"/>
            <w:vAlign w:val="bottom"/>
          </w:tcPr>
          <w:p>
            <w:pPr>
              <w:jc w:val="center"/>
              <w:ind w:right="600"/>
              <w:spacing w:after="0"/>
              <w:rPr>
                <w:sz w:val="20"/>
                <w:szCs w:val="20"/>
                <w:color w:val="auto"/>
              </w:rPr>
            </w:pPr>
            <w:r>
              <w:rPr>
                <w:rFonts w:ascii="Arial" w:cs="Arial" w:eastAsia="Arial" w:hAnsi="Arial"/>
                <w:sz w:val="12"/>
                <w:szCs w:val="12"/>
                <w:b w:val="1"/>
                <w:bCs w:val="1"/>
                <w:color w:val="auto"/>
                <w:w w:val="90"/>
              </w:rPr>
              <w:t>(650) 493-9300</w:t>
            </w:r>
          </w:p>
        </w:tc>
        <w:tc>
          <w:tcPr>
            <w:tcW w:w="2960" w:type="dxa"/>
            <w:vAlign w:val="bottom"/>
          </w:tcPr>
          <w:p>
            <w:pPr>
              <w:spacing w:after="0"/>
              <w:rPr>
                <w:sz w:val="13"/>
                <w:szCs w:val="13"/>
                <w:color w:val="auto"/>
              </w:rPr>
            </w:pPr>
          </w:p>
        </w:tc>
        <w:tc>
          <w:tcPr>
            <w:tcW w:w="2400" w:type="dxa"/>
            <w:vAlign w:val="bottom"/>
          </w:tcPr>
          <w:p>
            <w:pPr>
              <w:spacing w:after="0"/>
              <w:rPr>
                <w:sz w:val="13"/>
                <w:szCs w:val="13"/>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3016250</wp:posOffset>
            </wp:positionH>
            <wp:positionV relativeFrom="paragraph">
              <wp:posOffset>48895</wp:posOffset>
            </wp:positionV>
            <wp:extent cx="1224915" cy="698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24915" cy="6985"/>
                    </a:xfrm>
                    <a:prstGeom prst="rect">
                      <a:avLst/>
                    </a:prstGeom>
                    <a:noFill/>
                  </pic:spPr>
                </pic:pic>
              </a:graphicData>
            </a:graphic>
          </wp:anchor>
        </w:drawing>
      </w:r>
    </w:p>
    <w:p>
      <w:pPr>
        <w:spacing w:after="0" w:line="82" w:lineRule="exact"/>
        <w:rPr>
          <w:sz w:val="24"/>
          <w:szCs w:val="24"/>
          <w:color w:val="auto"/>
        </w:rPr>
      </w:pPr>
    </w:p>
    <w:p>
      <w:pPr>
        <w:ind w:left="1380"/>
        <w:spacing w:after="0"/>
        <w:rPr>
          <w:sz w:val="20"/>
          <w:szCs w:val="20"/>
          <w:color w:val="auto"/>
        </w:rPr>
      </w:pPr>
      <w:r>
        <w:rPr>
          <w:rFonts w:ascii="Arial" w:cs="Arial" w:eastAsia="Arial" w:hAnsi="Arial"/>
          <w:sz w:val="12"/>
          <w:szCs w:val="12"/>
          <w:b w:val="1"/>
          <w:bCs w:val="1"/>
          <w:color w:val="auto"/>
        </w:rPr>
        <w:t>Approximate date of commencement of proposed sale to the public</w:t>
      </w:r>
      <w:r>
        <w:rPr>
          <w:rFonts w:ascii="Arial" w:cs="Arial" w:eastAsia="Arial" w:hAnsi="Arial"/>
          <w:sz w:val="12"/>
          <w:szCs w:val="12"/>
          <w:color w:val="auto"/>
        </w:rPr>
        <w:t>: As soon as practicable after this registration statement becomes effective.</w:t>
      </w:r>
    </w:p>
    <w:p>
      <w:pPr>
        <w:spacing w:after="0" w:line="24" w:lineRule="exact"/>
        <w:rPr>
          <w:sz w:val="24"/>
          <w:szCs w:val="24"/>
          <w:color w:val="auto"/>
        </w:rPr>
      </w:pPr>
    </w:p>
    <w:p>
      <w:pPr>
        <w:ind w:left="1120" w:right="380" w:firstLine="276"/>
        <w:spacing w:after="0" w:line="151" w:lineRule="exact"/>
        <w:rPr>
          <w:sz w:val="20"/>
          <w:szCs w:val="20"/>
          <w:color w:val="auto"/>
        </w:rPr>
      </w:pPr>
      <w:r>
        <w:rPr>
          <w:rFonts w:ascii="Arial" w:cs="Arial" w:eastAsia="Arial" w:hAnsi="Arial"/>
          <w:sz w:val="12"/>
          <w:szCs w:val="12"/>
          <w:color w:val="auto"/>
        </w:rPr>
        <w:t xml:space="preserve">If any of the securities being registered on this Form are to be offered on a delayed or continuous basis pursuant to Rule 415 under the Securities Act of 1933 check the following box. </w:t>
      </w:r>
      <w:r>
        <w:rPr>
          <w:rFonts w:ascii="MS PGothic" w:cs="MS PGothic" w:eastAsia="MS PGothic" w:hAnsi="MS PGothic"/>
          <w:sz w:val="12"/>
          <w:szCs w:val="12"/>
          <w:color w:val="auto"/>
        </w:rPr>
        <w:t>☐</w:t>
      </w:r>
    </w:p>
    <w:p>
      <w:pPr>
        <w:ind w:left="1120" w:right="580" w:firstLine="276"/>
        <w:spacing w:after="0" w:line="147" w:lineRule="exact"/>
        <w:rPr>
          <w:sz w:val="20"/>
          <w:szCs w:val="20"/>
          <w:color w:val="auto"/>
        </w:rPr>
      </w:pPr>
      <w:r>
        <w:rPr>
          <w:rFonts w:ascii="Arial" w:cs="Arial" w:eastAsia="Arial" w:hAnsi="Arial"/>
          <w:sz w:val="12"/>
          <w:szCs w:val="12"/>
          <w:color w:val="auto"/>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rFonts w:ascii="MS PGothic" w:cs="MS PGothic" w:eastAsia="MS PGothic" w:hAnsi="MS PGothic"/>
          <w:sz w:val="12"/>
          <w:szCs w:val="12"/>
          <w:color w:val="auto"/>
        </w:rPr>
        <w:t>☐</w:t>
      </w:r>
    </w:p>
    <w:p>
      <w:pPr>
        <w:spacing w:after="0" w:line="4" w:lineRule="exact"/>
        <w:rPr>
          <w:sz w:val="24"/>
          <w:szCs w:val="24"/>
          <w:color w:val="auto"/>
        </w:rPr>
      </w:pPr>
    </w:p>
    <w:p>
      <w:pPr>
        <w:ind w:left="1120" w:right="20" w:firstLine="276"/>
        <w:spacing w:after="0" w:line="151" w:lineRule="exact"/>
        <w:rPr>
          <w:sz w:val="20"/>
          <w:szCs w:val="20"/>
          <w:color w:val="auto"/>
        </w:rPr>
      </w:pPr>
      <w:r>
        <w:rPr>
          <w:rFonts w:ascii="Arial" w:cs="Arial" w:eastAsia="Arial" w:hAnsi="Arial"/>
          <w:sz w:val="12"/>
          <w:szCs w:val="12"/>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2"/>
          <w:szCs w:val="12"/>
          <w:color w:val="auto"/>
        </w:rPr>
        <w:t>☐</w:t>
      </w:r>
    </w:p>
    <w:p>
      <w:pPr>
        <w:spacing w:after="0" w:line="4" w:lineRule="exact"/>
        <w:rPr>
          <w:sz w:val="24"/>
          <w:szCs w:val="24"/>
          <w:color w:val="auto"/>
        </w:rPr>
      </w:pPr>
    </w:p>
    <w:p>
      <w:pPr>
        <w:ind w:left="1120" w:firstLine="276"/>
        <w:spacing w:after="0" w:line="151" w:lineRule="exact"/>
        <w:rPr>
          <w:sz w:val="20"/>
          <w:szCs w:val="20"/>
          <w:color w:val="auto"/>
        </w:rPr>
      </w:pPr>
      <w:r>
        <w:rPr>
          <w:rFonts w:ascii="Arial" w:cs="Arial" w:eastAsia="Arial" w:hAnsi="Arial"/>
          <w:sz w:val="12"/>
          <w:szCs w:val="12"/>
          <w:color w:val="auto"/>
        </w:rPr>
        <w:t xml:space="preserve">If this Form is a post-effective amendment filed pursuant to Rule 462(d) under the Securities Act, check the following box and list the Securities Act registration statement number of the earlier effective registration statement for the same offering. </w:t>
      </w:r>
      <w:r>
        <w:rPr>
          <w:rFonts w:ascii="MS PGothic" w:cs="MS PGothic" w:eastAsia="MS PGothic" w:hAnsi="MS PGothic"/>
          <w:sz w:val="12"/>
          <w:szCs w:val="12"/>
          <w:color w:val="auto"/>
        </w:rPr>
        <w:t>☐</w:t>
      </w:r>
    </w:p>
    <w:p>
      <w:pPr>
        <w:ind w:left="1120" w:right="100" w:firstLine="276"/>
        <w:spacing w:after="0" w:line="272" w:lineRule="auto"/>
        <w:rPr>
          <w:sz w:val="20"/>
          <w:szCs w:val="20"/>
          <w:color w:val="auto"/>
        </w:rPr>
      </w:pPr>
      <w:r>
        <w:rPr>
          <w:rFonts w:ascii="Arial" w:cs="Arial" w:eastAsia="Arial" w:hAnsi="Arial"/>
          <w:sz w:val="11"/>
          <w:szCs w:val="11"/>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33" w:lineRule="exact"/>
        <w:rPr>
          <w:sz w:val="24"/>
          <w:szCs w:val="24"/>
          <w:color w:val="auto"/>
        </w:rPr>
      </w:pPr>
    </w:p>
    <w:tbl>
      <w:tblPr>
        <w:tblLayout w:type="fixed"/>
        <w:tblInd w:w="1120" w:type="dxa"/>
        <w:tblCellMar>
          <w:top w:w="0" w:type="dxa"/>
          <w:left w:w="0" w:type="dxa"/>
          <w:bottom w:w="0" w:type="dxa"/>
          <w:right w:w="0" w:type="dxa"/>
        </w:tblCellMar>
      </w:tblPr>
      <w:tr>
        <w:trPr>
          <w:trHeight w:val="188"/>
        </w:trPr>
        <w:tc>
          <w:tcPr>
            <w:tcW w:w="1480" w:type="dxa"/>
            <w:vAlign w:val="bottom"/>
          </w:tcPr>
          <w:p>
            <w:pPr>
              <w:spacing w:after="0"/>
              <w:rPr>
                <w:sz w:val="20"/>
                <w:szCs w:val="20"/>
                <w:color w:val="auto"/>
              </w:rPr>
            </w:pPr>
            <w:r>
              <w:rPr>
                <w:rFonts w:ascii="Arial" w:cs="Arial" w:eastAsia="Arial" w:hAnsi="Arial"/>
                <w:sz w:val="12"/>
                <w:szCs w:val="12"/>
                <w:color w:val="auto"/>
              </w:rPr>
              <w:t>Large accelerated filer</w:t>
            </w:r>
          </w:p>
        </w:tc>
        <w:tc>
          <w:tcPr>
            <w:tcW w:w="4260" w:type="dxa"/>
            <w:vAlign w:val="bottom"/>
          </w:tcPr>
          <w:p>
            <w:pPr>
              <w:ind w:left="180"/>
              <w:spacing w:after="0" w:line="121" w:lineRule="exact"/>
              <w:rPr>
                <w:sz w:val="20"/>
                <w:szCs w:val="20"/>
                <w:color w:val="auto"/>
              </w:rPr>
            </w:pPr>
            <w:r>
              <w:rPr>
                <w:rFonts w:ascii="MS PGothic" w:cs="MS PGothic" w:eastAsia="MS PGothic" w:hAnsi="MS PGothic"/>
                <w:sz w:val="12"/>
                <w:szCs w:val="12"/>
                <w:color w:val="auto"/>
              </w:rPr>
              <w:t>☐</w:t>
            </w:r>
          </w:p>
        </w:tc>
        <w:tc>
          <w:tcPr>
            <w:tcW w:w="3180" w:type="dxa"/>
            <w:vAlign w:val="bottom"/>
          </w:tcPr>
          <w:p>
            <w:pPr>
              <w:ind w:left="1700"/>
              <w:spacing w:after="0"/>
              <w:rPr>
                <w:sz w:val="20"/>
                <w:szCs w:val="20"/>
                <w:color w:val="auto"/>
              </w:rPr>
            </w:pPr>
            <w:r>
              <w:rPr>
                <w:rFonts w:ascii="Arial" w:cs="Arial" w:eastAsia="Arial" w:hAnsi="Arial"/>
                <w:sz w:val="12"/>
                <w:szCs w:val="12"/>
                <w:color w:val="auto"/>
              </w:rPr>
              <w:t>Accelerated filer</w:t>
            </w:r>
          </w:p>
        </w:tc>
        <w:tc>
          <w:tcPr>
            <w:tcW w:w="280" w:type="dxa"/>
            <w:vAlign w:val="bottom"/>
          </w:tcPr>
          <w:p>
            <w:pPr>
              <w:ind w:left="160"/>
              <w:spacing w:after="0" w:line="121" w:lineRule="exact"/>
              <w:rPr>
                <w:sz w:val="20"/>
                <w:szCs w:val="20"/>
                <w:color w:val="auto"/>
              </w:rPr>
            </w:pPr>
            <w:r>
              <w:rPr>
                <w:rFonts w:ascii="MS PGothic" w:cs="MS PGothic" w:eastAsia="MS PGothic" w:hAnsi="MS PGothic"/>
                <w:sz w:val="12"/>
                <w:szCs w:val="12"/>
                <w:color w:val="auto"/>
                <w:w w:val="82"/>
              </w:rPr>
              <w:t>☐</w:t>
            </w:r>
          </w:p>
        </w:tc>
      </w:tr>
      <w:tr>
        <w:trPr>
          <w:trHeight w:val="203"/>
        </w:trPr>
        <w:tc>
          <w:tcPr>
            <w:tcW w:w="1480" w:type="dxa"/>
            <w:vAlign w:val="bottom"/>
          </w:tcPr>
          <w:p>
            <w:pPr>
              <w:spacing w:after="0"/>
              <w:rPr>
                <w:sz w:val="20"/>
                <w:szCs w:val="20"/>
                <w:color w:val="auto"/>
              </w:rPr>
            </w:pPr>
            <w:r>
              <w:rPr>
                <w:rFonts w:ascii="Arial" w:cs="Arial" w:eastAsia="Arial" w:hAnsi="Arial"/>
                <w:sz w:val="12"/>
                <w:szCs w:val="12"/>
                <w:color w:val="auto"/>
              </w:rPr>
              <w:t>Non-accelerated filer</w:t>
            </w:r>
          </w:p>
        </w:tc>
        <w:tc>
          <w:tcPr>
            <w:tcW w:w="4260" w:type="dxa"/>
            <w:vAlign w:val="bottom"/>
          </w:tcPr>
          <w:p>
            <w:pPr>
              <w:ind w:left="180"/>
              <w:spacing w:after="0" w:line="138" w:lineRule="exact"/>
              <w:rPr>
                <w:sz w:val="20"/>
                <w:szCs w:val="20"/>
                <w:color w:val="auto"/>
              </w:rPr>
            </w:pPr>
            <w:r>
              <w:rPr>
                <w:rFonts w:ascii="MS PGothic" w:cs="MS PGothic" w:eastAsia="MS PGothic" w:hAnsi="MS PGothic"/>
                <w:sz w:val="12"/>
                <w:szCs w:val="12"/>
                <w:color w:val="auto"/>
              </w:rPr>
              <w:t>☒</w:t>
            </w:r>
            <w:r>
              <w:rPr>
                <w:rFonts w:ascii="Arial" w:cs="Arial" w:eastAsia="Arial" w:hAnsi="Arial"/>
                <w:sz w:val="12"/>
                <w:szCs w:val="12"/>
                <w:color w:val="auto"/>
              </w:rPr>
              <w:t xml:space="preserve"> (Do not check if a smaller reporting company)</w:t>
            </w:r>
          </w:p>
        </w:tc>
        <w:tc>
          <w:tcPr>
            <w:tcW w:w="3180" w:type="dxa"/>
            <w:vAlign w:val="bottom"/>
          </w:tcPr>
          <w:p>
            <w:pPr>
              <w:ind w:left="1700"/>
              <w:spacing w:after="0"/>
              <w:rPr>
                <w:sz w:val="20"/>
                <w:szCs w:val="20"/>
                <w:color w:val="auto"/>
              </w:rPr>
            </w:pPr>
            <w:r>
              <w:rPr>
                <w:rFonts w:ascii="Arial" w:cs="Arial" w:eastAsia="Arial" w:hAnsi="Arial"/>
                <w:sz w:val="12"/>
                <w:szCs w:val="12"/>
                <w:color w:val="auto"/>
              </w:rPr>
              <w:t>Smaller reporting company</w:t>
            </w:r>
          </w:p>
        </w:tc>
        <w:tc>
          <w:tcPr>
            <w:tcW w:w="280" w:type="dxa"/>
            <w:vAlign w:val="bottom"/>
          </w:tcPr>
          <w:p>
            <w:pPr>
              <w:ind w:left="160"/>
              <w:spacing w:after="0" w:line="121" w:lineRule="exact"/>
              <w:rPr>
                <w:sz w:val="20"/>
                <w:szCs w:val="20"/>
                <w:color w:val="auto"/>
              </w:rPr>
            </w:pPr>
            <w:r>
              <w:rPr>
                <w:rFonts w:ascii="MS PGothic" w:cs="MS PGothic" w:eastAsia="MS PGothic" w:hAnsi="MS PGothic"/>
                <w:sz w:val="12"/>
                <w:szCs w:val="12"/>
                <w:color w:val="auto"/>
                <w:w w:val="82"/>
              </w:rPr>
              <w:t>☐</w:t>
            </w:r>
          </w:p>
        </w:tc>
      </w:tr>
      <w:tr>
        <w:trPr>
          <w:trHeight w:val="203"/>
        </w:trPr>
        <w:tc>
          <w:tcPr>
            <w:tcW w:w="1480" w:type="dxa"/>
            <w:vAlign w:val="bottom"/>
          </w:tcPr>
          <w:p>
            <w:pPr>
              <w:spacing w:after="0"/>
              <w:rPr>
                <w:sz w:val="20"/>
                <w:szCs w:val="20"/>
                <w:color w:val="auto"/>
              </w:rPr>
            </w:pPr>
            <w:r>
              <w:rPr>
                <w:rFonts w:ascii="Arial" w:cs="Arial" w:eastAsia="Arial" w:hAnsi="Arial"/>
                <w:sz w:val="12"/>
                <w:szCs w:val="12"/>
                <w:color w:val="auto"/>
              </w:rPr>
              <w:t>Emerging growth company</w:t>
            </w:r>
          </w:p>
        </w:tc>
        <w:tc>
          <w:tcPr>
            <w:tcW w:w="4260" w:type="dxa"/>
            <w:vAlign w:val="bottom"/>
          </w:tcPr>
          <w:p>
            <w:pPr>
              <w:ind w:left="180"/>
              <w:spacing w:after="0" w:line="121" w:lineRule="exact"/>
              <w:rPr>
                <w:sz w:val="20"/>
                <w:szCs w:val="20"/>
                <w:color w:val="auto"/>
              </w:rPr>
            </w:pPr>
            <w:r>
              <w:rPr>
                <w:rFonts w:ascii="MS PGothic" w:cs="MS PGothic" w:eastAsia="MS PGothic" w:hAnsi="MS PGothic"/>
                <w:sz w:val="12"/>
                <w:szCs w:val="12"/>
                <w:color w:val="auto"/>
              </w:rPr>
              <w:t>☐</w:t>
            </w:r>
          </w:p>
        </w:tc>
        <w:tc>
          <w:tcPr>
            <w:tcW w:w="3180" w:type="dxa"/>
            <w:vAlign w:val="bottom"/>
          </w:tcPr>
          <w:p>
            <w:pPr>
              <w:spacing w:after="0"/>
              <w:rPr>
                <w:sz w:val="17"/>
                <w:szCs w:val="17"/>
                <w:color w:val="auto"/>
              </w:rPr>
            </w:pPr>
          </w:p>
        </w:tc>
        <w:tc>
          <w:tcPr>
            <w:tcW w:w="280" w:type="dxa"/>
            <w:vAlign w:val="bottom"/>
          </w:tcPr>
          <w:p>
            <w:pPr>
              <w:spacing w:after="0"/>
              <w:rPr>
                <w:sz w:val="17"/>
                <w:szCs w:val="17"/>
                <w:color w:val="auto"/>
              </w:rPr>
            </w:pPr>
          </w:p>
        </w:tc>
      </w:tr>
    </w:tbl>
    <w:p>
      <w:pPr>
        <w:spacing w:after="0" w:line="4" w:lineRule="exact"/>
        <w:rPr>
          <w:sz w:val="24"/>
          <w:szCs w:val="24"/>
          <w:color w:val="auto"/>
        </w:rPr>
      </w:pPr>
    </w:p>
    <w:p>
      <w:pPr>
        <w:ind w:left="1120" w:right="300"/>
        <w:spacing w:after="0" w:line="151" w:lineRule="exact"/>
        <w:rPr>
          <w:sz w:val="20"/>
          <w:szCs w:val="20"/>
          <w:color w:val="auto"/>
        </w:rPr>
      </w:pPr>
      <w:r>
        <w:rPr>
          <w:rFonts w:ascii="Arial" w:cs="Arial" w:eastAsia="Arial" w:hAnsi="Arial"/>
          <w:sz w:val="12"/>
          <w:szCs w:val="12"/>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2"/>
          <w:szCs w:val="12"/>
          <w:color w:val="auto"/>
        </w:rPr>
        <w:t>☐</w:t>
      </w:r>
    </w:p>
    <w:p>
      <w:pPr>
        <w:ind w:left="1120" w:right="160" w:firstLine="276"/>
        <w:spacing w:after="0" w:line="302" w:lineRule="auto"/>
        <w:rPr>
          <w:sz w:val="20"/>
          <w:szCs w:val="20"/>
          <w:color w:val="auto"/>
        </w:rPr>
      </w:pPr>
      <w:r>
        <w:rPr>
          <w:rFonts w:ascii="Arial" w:cs="Arial" w:eastAsia="Arial" w:hAnsi="Arial"/>
          <w:sz w:val="10"/>
          <w:szCs w:val="10"/>
          <w:b w:val="1"/>
          <w:bCs w:val="1"/>
          <w:color w:val="auto"/>
        </w:rPr>
        <w:t>The Registrant hereby amends this registration statement on such date or dates as may be necessary to delay its effective date until the Registrant will file a further amendment which specifically states that this registration statement will thereafter become effective in accordance with Section 8(a) of the Securities Act of 1933, as amended, or until the registration statement will become effective on such date as the Securities and Exchange Commission, acting pursuant to said Section 8(a), may determine.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709930</wp:posOffset>
            </wp:positionH>
            <wp:positionV relativeFrom="paragraph">
              <wp:posOffset>23495</wp:posOffset>
            </wp:positionV>
            <wp:extent cx="5843905" cy="698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843905" cy="6985"/>
                    </a:xfrm>
                    <a:prstGeom prst="rect">
                      <a:avLst/>
                    </a:prstGeom>
                    <a:noFill/>
                  </pic:spPr>
                </pic:pic>
              </a:graphicData>
            </a:graphic>
          </wp:anchor>
        </w:drawing>
        <w:drawing>
          <wp:anchor simplePos="0" relativeHeight="251657728" behindDoc="1" locked="0" layoutInCell="0" allowOverlap="1">
            <wp:simplePos x="0" y="0"/>
            <wp:positionH relativeFrom="column">
              <wp:posOffset>709930</wp:posOffset>
            </wp:positionH>
            <wp:positionV relativeFrom="paragraph">
              <wp:posOffset>59055</wp:posOffset>
            </wp:positionV>
            <wp:extent cx="5843905" cy="698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843905" cy="6985"/>
                    </a:xfrm>
                    <a:prstGeom prst="rect">
                      <a:avLst/>
                    </a:prstGeom>
                    <a:noFill/>
                  </pic:spPr>
                </pic:pic>
              </a:graphicData>
            </a:graphic>
          </wp:anchor>
        </w:drawing>
      </w:r>
    </w:p>
    <w:p>
      <w:pPr>
        <w:sectPr>
          <w:pgSz w:w="11900" w:h="16838" w:orient="portrait"/>
          <w:cols w:equalWidth="0" w:num="1">
            <w:col w:w="10320"/>
          </w:cols>
          <w:pgMar w:left="240" w:top="216" w:right="1339" w:bottom="1440" w:gutter="0" w:footer="0" w:header="0"/>
        </w:sectPr>
      </w:pPr>
    </w:p>
    <w:bookmarkStart w:id="1" w:name="page2"/>
    <w:bookmarkEnd w:id="1"/>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133350</wp:posOffset>
            </wp:positionH>
            <wp:positionV relativeFrom="page">
              <wp:posOffset>88900</wp:posOffset>
            </wp:positionV>
            <wp:extent cx="7308850" cy="342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308850" cy="34290"/>
                    </a:xfrm>
                    <a:prstGeom prst="rect">
                      <a:avLst/>
                    </a:prstGeom>
                    <a:noFill/>
                  </pic:spPr>
                </pic:pic>
              </a:graphicData>
            </a:graphic>
          </wp:anchor>
        </w:drawing>
      </w:r>
      <w:hyperlink w:anchor="page7">
        <w:r>
          <w:rPr>
            <w:rFonts w:ascii="Arial" w:cs="Arial" w:eastAsia="Arial" w:hAnsi="Arial"/>
            <w:sz w:val="15"/>
            <w:szCs w:val="15"/>
            <w:b w:val="1"/>
            <w:bCs w:val="1"/>
            <w:u w:val="single" w:color="auto"/>
            <w:color w:val="0000EE"/>
          </w:rPr>
          <w:t>Table of Contents</w:t>
        </w:r>
      </w:hyperlink>
    </w:p>
    <w:p>
      <w:pPr>
        <w:spacing w:after="0" w:line="256" w:lineRule="exact"/>
        <w:rPr>
          <w:sz w:val="20"/>
          <w:szCs w:val="20"/>
          <w:color w:val="auto"/>
        </w:rPr>
      </w:pPr>
    </w:p>
    <w:p>
      <w:pPr>
        <w:jc w:val="both"/>
        <w:ind w:left="1260" w:right="59"/>
        <w:spacing w:after="0" w:line="293" w:lineRule="auto"/>
        <w:rPr>
          <w:sz w:val="20"/>
          <w:szCs w:val="20"/>
          <w:color w:val="auto"/>
        </w:rPr>
      </w:pPr>
      <w:r>
        <w:rPr>
          <w:rFonts w:ascii="Arial" w:cs="Arial" w:eastAsia="Arial" w:hAnsi="Arial"/>
          <w:sz w:val="14"/>
          <w:szCs w:val="14"/>
          <w:b w:val="1"/>
          <w:bCs w:val="1"/>
          <w:color w:val="EB0029"/>
        </w:rPr>
        <w:t>The information in this preliminary prospectus is not complete and may be changed. These securities may not be sold until the registration statement filed with the Securities and Exchange Commission is effective. This preliminary prospectus is not an offer to sell nor does it seek an offer to buy these securities in any jurisdiction where the offer or sale is not permitted.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709930</wp:posOffset>
            </wp:positionH>
            <wp:positionV relativeFrom="paragraph">
              <wp:posOffset>-364490</wp:posOffset>
            </wp:positionV>
            <wp:extent cx="5843905" cy="746950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843905" cy="7469505"/>
                    </a:xfrm>
                    <a:prstGeom prst="rect">
                      <a:avLst/>
                    </a:prstGeom>
                    <a:noFill/>
                  </pic:spPr>
                </pic:pic>
              </a:graphicData>
            </a:graphic>
          </wp:anchor>
        </w:drawing>
      </w:r>
    </w:p>
    <w:p>
      <w:pPr>
        <w:spacing w:after="0" w:line="56" w:lineRule="exact"/>
        <w:rPr>
          <w:sz w:val="20"/>
          <w:szCs w:val="20"/>
          <w:color w:val="auto"/>
        </w:rPr>
      </w:pPr>
    </w:p>
    <w:p>
      <w:pPr>
        <w:ind w:left="1260"/>
        <w:spacing w:after="0"/>
        <w:rPr>
          <w:sz w:val="20"/>
          <w:szCs w:val="20"/>
          <w:color w:val="auto"/>
        </w:rPr>
      </w:pPr>
      <w:r>
        <w:rPr>
          <w:rFonts w:ascii="Arial" w:cs="Arial" w:eastAsia="Arial" w:hAnsi="Arial"/>
          <w:sz w:val="14"/>
          <w:szCs w:val="14"/>
          <w:b w:val="1"/>
          <w:bCs w:val="1"/>
          <w:color w:val="EB0029"/>
        </w:rPr>
        <w:t>Subject To Completion. Dated March 21, 2018.</w:t>
      </w:r>
    </w:p>
    <w:p>
      <w:pPr>
        <w:spacing w:after="0" w:line="144" w:lineRule="exact"/>
        <w:rPr>
          <w:sz w:val="20"/>
          <w:szCs w:val="20"/>
          <w:color w:val="auto"/>
        </w:rPr>
      </w:pPr>
    </w:p>
    <w:p>
      <w:pPr>
        <w:ind w:left="1260"/>
        <w:spacing w:after="0"/>
        <w:rPr>
          <w:sz w:val="20"/>
          <w:szCs w:val="20"/>
          <w:color w:val="auto"/>
        </w:rPr>
      </w:pPr>
      <w:r>
        <w:rPr>
          <w:rFonts w:ascii="Arial" w:cs="Arial" w:eastAsia="Arial" w:hAnsi="Arial"/>
          <w:sz w:val="21"/>
          <w:szCs w:val="21"/>
          <w:b w:val="1"/>
          <w:bCs w:val="1"/>
          <w:color w:val="auto"/>
        </w:rPr>
        <w:t>36,000,000 Shares</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ind w:left="1260"/>
        <w:spacing w:after="0"/>
        <w:rPr>
          <w:sz w:val="20"/>
          <w:szCs w:val="20"/>
          <w:color w:val="auto"/>
        </w:rPr>
      </w:pPr>
      <w:r>
        <w:rPr>
          <w:rFonts w:ascii="Arial" w:cs="Arial" w:eastAsia="Arial" w:hAnsi="Arial"/>
          <w:sz w:val="21"/>
          <w:szCs w:val="21"/>
          <w:b w:val="1"/>
          <w:bCs w:val="1"/>
          <w:color w:val="auto"/>
        </w:rPr>
        <w:t>Class A Common Stock</w:t>
      </w:r>
    </w:p>
    <w:p>
      <w:pPr>
        <w:spacing w:after="0" w:line="279" w:lineRule="exact"/>
        <w:rPr>
          <w:sz w:val="20"/>
          <w:szCs w:val="20"/>
          <w:color w:val="auto"/>
        </w:rPr>
      </w:pPr>
    </w:p>
    <w:p>
      <w:pPr>
        <w:ind w:left="1260"/>
        <w:spacing w:after="0"/>
        <w:rPr>
          <w:sz w:val="20"/>
          <w:szCs w:val="20"/>
          <w:color w:val="auto"/>
        </w:rPr>
      </w:pPr>
      <w:r>
        <w:rPr>
          <w:rFonts w:ascii="Arial" w:cs="Arial" w:eastAsia="Arial" w:hAnsi="Arial"/>
          <w:sz w:val="15"/>
          <w:szCs w:val="15"/>
          <w:color w:val="auto"/>
        </w:rPr>
        <w:t>This is an initial public offering of shares of Class A common stock of Dropbox, Inc.</w:t>
      </w:r>
    </w:p>
    <w:p>
      <w:pPr>
        <w:spacing w:after="0" w:line="87" w:lineRule="exact"/>
        <w:rPr>
          <w:sz w:val="20"/>
          <w:szCs w:val="20"/>
          <w:color w:val="auto"/>
        </w:rPr>
      </w:pPr>
    </w:p>
    <w:p>
      <w:pPr>
        <w:jc w:val="both"/>
        <w:ind w:left="1260" w:right="139"/>
        <w:spacing w:after="0"/>
        <w:rPr>
          <w:sz w:val="20"/>
          <w:szCs w:val="20"/>
          <w:color w:val="auto"/>
        </w:rPr>
      </w:pPr>
      <w:r>
        <w:rPr>
          <w:rFonts w:ascii="Arial" w:cs="Arial" w:eastAsia="Arial" w:hAnsi="Arial"/>
          <w:sz w:val="15"/>
          <w:szCs w:val="15"/>
          <w:color w:val="auto"/>
        </w:rPr>
        <w:t>Dropbox, Inc. is offering to sell 26,822,409 shares of Class A common stock in this offering. The selling stockholders identified in this prospectus are offering to sell an additional 9,177,591 shares of Class A common stock. We will not receive any of the proceeds from the sale of the shares being sold by the selling stockholders.</w:t>
      </w:r>
    </w:p>
    <w:p>
      <w:pPr>
        <w:spacing w:after="0" w:line="80" w:lineRule="exact"/>
        <w:rPr>
          <w:sz w:val="20"/>
          <w:szCs w:val="20"/>
          <w:color w:val="auto"/>
        </w:rPr>
      </w:pPr>
    </w:p>
    <w:p>
      <w:pPr>
        <w:ind w:left="1260" w:right="39"/>
        <w:spacing w:after="0" w:line="237" w:lineRule="auto"/>
        <w:rPr>
          <w:sz w:val="20"/>
          <w:szCs w:val="20"/>
          <w:color w:val="auto"/>
        </w:rPr>
      </w:pPr>
      <w:r>
        <w:rPr>
          <w:rFonts w:ascii="Arial" w:cs="Arial" w:eastAsia="Arial" w:hAnsi="Arial"/>
          <w:sz w:val="15"/>
          <w:szCs w:val="15"/>
          <w:color w:val="auto"/>
        </w:rPr>
        <w:t>We have three classes of authorized common stock, Class A common stock, Class B common stock, and Class C common stock. The rights of the holders of Class A common stock, Class B common stock, and Class C common stock are identical, except with respect to voting and conversion. Each share of Class A common stock is entitled to one vote per share. Each share of Class B common stock is entitled to ten votes per share and is convertible at any time into one share of Class A common stock. Shares of Class C common stock have no voting rights, except as otherwise required by law, and will convert into Class A common stock, on a share-for-share basis, following the conversion of all outstanding shares of Class B common stock into shares of Class A common stock and upon the date or time specified by the holders of a majority of the outstanding shares of Class A common stock voting as a separate class. Following this offering, outstanding shares of Class B common stock will represent approximately 98.0% of the voting power of our outstanding capital stock.</w:t>
      </w:r>
    </w:p>
    <w:p>
      <w:pPr>
        <w:spacing w:after="0" w:line="80" w:lineRule="exact"/>
        <w:rPr>
          <w:sz w:val="20"/>
          <w:szCs w:val="20"/>
          <w:color w:val="auto"/>
        </w:rPr>
      </w:pPr>
    </w:p>
    <w:p>
      <w:pPr>
        <w:ind w:left="1260" w:right="119"/>
        <w:spacing w:after="0"/>
        <w:rPr>
          <w:sz w:val="20"/>
          <w:szCs w:val="20"/>
          <w:color w:val="auto"/>
        </w:rPr>
      </w:pPr>
      <w:r>
        <w:rPr>
          <w:rFonts w:ascii="Arial" w:cs="Arial" w:eastAsia="Arial" w:hAnsi="Arial"/>
          <w:sz w:val="15"/>
          <w:szCs w:val="15"/>
          <w:color w:val="auto"/>
        </w:rPr>
        <w:t>Prior to this offering, there has been no public market for the Class A common stock. It is currently estimated that the initial public offering price per share will be between $18.00 and $20.00. We have been approved to list the Class A common stock on the Nasdaq Global Select Market under the symbol “DBX”.</w:t>
      </w:r>
    </w:p>
    <w:p>
      <w:pPr>
        <w:spacing w:after="0" w:line="80" w:lineRule="exact"/>
        <w:rPr>
          <w:sz w:val="20"/>
          <w:szCs w:val="20"/>
          <w:color w:val="auto"/>
        </w:rPr>
      </w:pPr>
    </w:p>
    <w:p>
      <w:pPr>
        <w:ind w:left="1260" w:right="479"/>
        <w:spacing w:after="0" w:line="239" w:lineRule="auto"/>
        <w:rPr>
          <w:sz w:val="20"/>
          <w:szCs w:val="20"/>
          <w:color w:val="auto"/>
        </w:rPr>
      </w:pPr>
      <w:r>
        <w:rPr>
          <w:rFonts w:ascii="Arial" w:cs="Arial" w:eastAsia="Arial" w:hAnsi="Arial"/>
          <w:sz w:val="15"/>
          <w:szCs w:val="15"/>
          <w:color w:val="auto"/>
        </w:rPr>
        <w:t>We will be treated as an “emerging growth company,” as defined in the Jumpstart Our Business Startups Act of 2012, for certain purposes until we complete this offering. As such, in this registration statement we have taken advantage of certain reduced disclosure obligations that apply to emerging growth companies regarding selected financial data and executive compensation arrangements.</w:t>
      </w:r>
    </w:p>
    <w:p>
      <w:pPr>
        <w:spacing w:after="0" w:line="170" w:lineRule="exact"/>
        <w:rPr>
          <w:sz w:val="20"/>
          <w:szCs w:val="20"/>
          <w:color w:val="auto"/>
        </w:rPr>
      </w:pPr>
    </w:p>
    <w:p>
      <w:pPr>
        <w:jc w:val="both"/>
        <w:ind w:left="1260" w:right="359"/>
        <w:spacing w:after="0"/>
        <w:rPr>
          <w:sz w:val="20"/>
          <w:szCs w:val="20"/>
          <w:color w:val="auto"/>
        </w:rPr>
      </w:pPr>
      <w:r>
        <w:rPr>
          <w:rFonts w:ascii="Arial" w:cs="Arial" w:eastAsia="Arial" w:hAnsi="Arial"/>
          <w:sz w:val="15"/>
          <w:szCs w:val="15"/>
          <w:color w:val="auto"/>
        </w:rPr>
        <w:t>Salesforce Ventures LLC has entered into an agreement with us pursuant to which it has agreed to purchase $100,000,000 of our Class A common stock in a private placement at a price per share equal to the initial offering price. This transaction is contingent upon, and is scheduled to close immediately subsequent to, the closing of this offering.</w:t>
      </w:r>
    </w:p>
    <w:p>
      <w:pPr>
        <w:spacing w:after="0" w:line="288" w:lineRule="exact"/>
        <w:rPr>
          <w:sz w:val="20"/>
          <w:szCs w:val="20"/>
          <w:color w:val="auto"/>
        </w:rPr>
      </w:pPr>
    </w:p>
    <w:p>
      <w:pPr>
        <w:jc w:val="both"/>
        <w:ind w:left="1260" w:right="359"/>
        <w:spacing w:after="0" w:line="270" w:lineRule="auto"/>
        <w:rPr>
          <w:rFonts w:ascii="Arial" w:cs="Arial" w:eastAsia="Arial" w:hAnsi="Arial"/>
          <w:sz w:val="15"/>
          <w:szCs w:val="15"/>
          <w:b w:val="1"/>
          <w:bCs w:val="1"/>
          <w:color w:val="auto"/>
        </w:rPr>
      </w:pPr>
      <w:r>
        <w:rPr>
          <w:rFonts w:ascii="Arial" w:cs="Arial" w:eastAsia="Arial" w:hAnsi="Arial"/>
          <w:sz w:val="15"/>
          <w:szCs w:val="15"/>
          <w:b w:val="1"/>
          <w:bCs w:val="1"/>
          <w:color w:val="auto"/>
        </w:rPr>
        <w:t>See “</w:t>
      </w:r>
      <w:hyperlink w:anchor="page23">
        <w:r>
          <w:rPr>
            <w:rFonts w:ascii="Arial" w:cs="Arial" w:eastAsia="Arial" w:hAnsi="Arial"/>
            <w:sz w:val="15"/>
            <w:szCs w:val="15"/>
            <w:b w:val="1"/>
            <w:bCs w:val="1"/>
            <w:u w:val="single" w:color="auto"/>
            <w:color w:val="0000EE"/>
          </w:rPr>
          <w:t>Risk Factors</w:t>
        </w:r>
      </w:hyperlink>
      <w:r>
        <w:rPr>
          <w:rFonts w:ascii="Arial" w:cs="Arial" w:eastAsia="Arial" w:hAnsi="Arial"/>
          <w:sz w:val="15"/>
          <w:szCs w:val="15"/>
          <w:b w:val="1"/>
          <w:bCs w:val="1"/>
          <w:color w:val="auto"/>
        </w:rPr>
        <w:t>” beginning on page 16 to read about factors you should consider before buying shares of our Class A common stock.</w:t>
      </w:r>
    </w:p>
    <w:p>
      <w:pPr>
        <w:spacing w:after="0" w:line="266" w:lineRule="exact"/>
        <w:rPr>
          <w:sz w:val="20"/>
          <w:szCs w:val="20"/>
          <w:color w:val="auto"/>
        </w:rPr>
      </w:pPr>
    </w:p>
    <w:p>
      <w:pPr>
        <w:jc w:val="both"/>
        <w:ind w:left="1260" w:right="419"/>
        <w:spacing w:after="0" w:line="253" w:lineRule="auto"/>
        <w:rPr>
          <w:sz w:val="20"/>
          <w:szCs w:val="20"/>
          <w:color w:val="auto"/>
        </w:rPr>
      </w:pPr>
      <w:r>
        <w:rPr>
          <w:rFonts w:ascii="Arial" w:cs="Arial" w:eastAsia="Arial" w:hAnsi="Arial"/>
          <w:sz w:val="15"/>
          <w:szCs w:val="15"/>
          <w:b w:val="1"/>
          <w:bCs w:val="1"/>
          <w:color w:val="auto"/>
        </w:rPr>
        <w:t>Neither the Securities and Exchange Commission nor any other regulatory body has approved or disapproved of these securities or passed upon the accuracy or adequacy of this prospectus. Any representation to the contrary is a criminal offense.</w:t>
      </w:r>
    </w:p>
    <w:p>
      <w:pPr>
        <w:spacing w:after="0" w:line="328" w:lineRule="exact"/>
        <w:rPr>
          <w:sz w:val="20"/>
          <w:szCs w:val="20"/>
          <w:color w:val="auto"/>
        </w:rPr>
      </w:pPr>
    </w:p>
    <w:tbl>
      <w:tblPr>
        <w:tblLayout w:type="fixed"/>
        <w:tblInd w:w="1260" w:type="dxa"/>
        <w:tblCellMar>
          <w:top w:w="0" w:type="dxa"/>
          <w:left w:w="0" w:type="dxa"/>
          <w:bottom w:w="0" w:type="dxa"/>
          <w:right w:w="0" w:type="dxa"/>
        </w:tblCellMar>
      </w:tblPr>
      <w:tr>
        <w:trPr>
          <w:trHeight w:val="138"/>
        </w:trPr>
        <w:tc>
          <w:tcPr>
            <w:tcW w:w="5300" w:type="dxa"/>
            <w:vAlign w:val="bottom"/>
            <w:vMerge w:val="restart"/>
          </w:tcPr>
          <w:p>
            <w:pPr>
              <w:spacing w:after="0"/>
              <w:rPr>
                <w:sz w:val="20"/>
                <w:szCs w:val="20"/>
                <w:color w:val="auto"/>
              </w:rPr>
            </w:pPr>
            <w:r>
              <w:rPr>
                <w:rFonts w:ascii="Arial" w:cs="Arial" w:eastAsia="Arial" w:hAnsi="Arial"/>
                <w:sz w:val="15"/>
                <w:szCs w:val="15"/>
                <w:color w:val="auto"/>
              </w:rPr>
              <w:t>Initial public offering price</w:t>
            </w:r>
          </w:p>
        </w:tc>
        <w:tc>
          <w:tcPr>
            <w:tcW w:w="2900" w:type="dxa"/>
            <w:vAlign w:val="bottom"/>
            <w:gridSpan w:val="3"/>
          </w:tcPr>
          <w:p>
            <w:pPr>
              <w:ind w:left="1920"/>
              <w:spacing w:after="0"/>
              <w:rPr>
                <w:sz w:val="20"/>
                <w:szCs w:val="20"/>
                <w:color w:val="auto"/>
              </w:rPr>
            </w:pPr>
            <w:r>
              <w:rPr>
                <w:rFonts w:ascii="Arial" w:cs="Arial" w:eastAsia="Arial" w:hAnsi="Arial"/>
                <w:sz w:val="12"/>
                <w:szCs w:val="12"/>
                <w:color w:val="auto"/>
              </w:rPr>
              <w:t>Per share</w:t>
            </w:r>
          </w:p>
        </w:tc>
        <w:tc>
          <w:tcPr>
            <w:tcW w:w="660" w:type="dxa"/>
            <w:vAlign w:val="bottom"/>
          </w:tcPr>
          <w:p>
            <w:pPr>
              <w:spacing w:after="0"/>
              <w:rPr>
                <w:sz w:val="20"/>
                <w:szCs w:val="20"/>
                <w:color w:val="auto"/>
              </w:rPr>
            </w:pPr>
            <w:r>
              <w:rPr>
                <w:rFonts w:ascii="Arial" w:cs="Arial" w:eastAsia="Arial" w:hAnsi="Arial"/>
                <w:sz w:val="12"/>
                <w:szCs w:val="12"/>
                <w:color w:val="auto"/>
              </w:rPr>
              <w:t>Total</w:t>
            </w:r>
          </w:p>
        </w:tc>
        <w:tc>
          <w:tcPr>
            <w:tcW w:w="0" w:type="dxa"/>
            <w:vAlign w:val="bottom"/>
          </w:tcPr>
          <w:p>
            <w:pPr>
              <w:spacing w:after="0"/>
              <w:rPr>
                <w:sz w:val="1"/>
                <w:szCs w:val="1"/>
                <w:color w:val="auto"/>
              </w:rPr>
            </w:pPr>
          </w:p>
        </w:tc>
      </w:tr>
      <w:tr>
        <w:trPr>
          <w:trHeight w:val="158"/>
        </w:trPr>
        <w:tc>
          <w:tcPr>
            <w:tcW w:w="5300" w:type="dxa"/>
            <w:vAlign w:val="bottom"/>
            <w:vMerge w:val="continue"/>
          </w:tcPr>
          <w:p>
            <w:pPr>
              <w:spacing w:after="0"/>
              <w:rPr>
                <w:sz w:val="13"/>
                <w:szCs w:val="13"/>
                <w:color w:val="auto"/>
              </w:rPr>
            </w:pPr>
          </w:p>
        </w:tc>
        <w:tc>
          <w:tcPr>
            <w:tcW w:w="1920" w:type="dxa"/>
            <w:vAlign w:val="bottom"/>
          </w:tcPr>
          <w:p>
            <w:pPr>
              <w:spacing w:after="0"/>
              <w:rPr>
                <w:sz w:val="13"/>
                <w:szCs w:val="13"/>
                <w:color w:val="auto"/>
              </w:rPr>
            </w:pPr>
          </w:p>
        </w:tc>
        <w:tc>
          <w:tcPr>
            <w:tcW w:w="660" w:type="dxa"/>
            <w:vAlign w:val="bottom"/>
            <w:tcBorders>
              <w:top w:val="single" w:sz="8" w:color="auto"/>
            </w:tcBorders>
          </w:tcPr>
          <w:p>
            <w:pPr>
              <w:jc w:val="right"/>
              <w:ind w:right="505"/>
              <w:spacing w:after="0" w:line="158" w:lineRule="exact"/>
              <w:rPr>
                <w:sz w:val="20"/>
                <w:szCs w:val="20"/>
                <w:color w:val="auto"/>
              </w:rPr>
            </w:pPr>
            <w:r>
              <w:rPr>
                <w:rFonts w:ascii="Arial" w:cs="Arial" w:eastAsia="Arial" w:hAnsi="Arial"/>
                <w:sz w:val="15"/>
                <w:szCs w:val="15"/>
                <w:color w:val="auto"/>
                <w:w w:val="71"/>
              </w:rPr>
              <w:t>$</w:t>
            </w:r>
          </w:p>
        </w:tc>
        <w:tc>
          <w:tcPr>
            <w:tcW w:w="320" w:type="dxa"/>
            <w:vAlign w:val="bottom"/>
          </w:tcPr>
          <w:p>
            <w:pPr>
              <w:spacing w:after="0"/>
              <w:rPr>
                <w:sz w:val="13"/>
                <w:szCs w:val="13"/>
                <w:color w:val="auto"/>
              </w:rPr>
            </w:pPr>
          </w:p>
        </w:tc>
        <w:tc>
          <w:tcPr>
            <w:tcW w:w="660" w:type="dxa"/>
            <w:vAlign w:val="bottom"/>
            <w:tcBorders>
              <w:top w:val="single" w:sz="8" w:color="auto"/>
            </w:tcBorders>
          </w:tcPr>
          <w:p>
            <w:pPr>
              <w:spacing w:after="0" w:line="158" w:lineRule="exact"/>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71"/>
        </w:trPr>
        <w:tc>
          <w:tcPr>
            <w:tcW w:w="5300" w:type="dxa"/>
            <w:vAlign w:val="bottom"/>
          </w:tcPr>
          <w:p>
            <w:pPr>
              <w:spacing w:after="0" w:line="172" w:lineRule="exact"/>
              <w:rPr>
                <w:sz w:val="20"/>
                <w:szCs w:val="20"/>
                <w:color w:val="auto"/>
              </w:rPr>
            </w:pPr>
            <w:r>
              <w:rPr>
                <w:rFonts w:ascii="Arial" w:cs="Arial" w:eastAsia="Arial" w:hAnsi="Arial"/>
                <w:sz w:val="15"/>
                <w:szCs w:val="15"/>
                <w:color w:val="auto"/>
              </w:rPr>
              <w:t>Underwriting discount</w:t>
            </w:r>
            <w:r>
              <w:rPr>
                <w:rFonts w:ascii="Arial" w:cs="Arial" w:eastAsia="Arial" w:hAnsi="Arial"/>
                <w:sz w:val="12"/>
                <w:szCs w:val="12"/>
                <w:color w:val="auto"/>
              </w:rPr>
              <w:t>(1)</w:t>
            </w:r>
          </w:p>
        </w:tc>
        <w:tc>
          <w:tcPr>
            <w:tcW w:w="2580" w:type="dxa"/>
            <w:vAlign w:val="bottom"/>
            <w:gridSpan w:val="2"/>
          </w:tcPr>
          <w:p>
            <w:pPr>
              <w:jc w:val="right"/>
              <w:ind w:right="505"/>
              <w:spacing w:after="0" w:line="172" w:lineRule="exact"/>
              <w:rPr>
                <w:sz w:val="20"/>
                <w:szCs w:val="20"/>
                <w:color w:val="auto"/>
              </w:rPr>
            </w:pPr>
            <w:r>
              <w:rPr>
                <w:rFonts w:ascii="Arial" w:cs="Arial" w:eastAsia="Arial" w:hAnsi="Arial"/>
                <w:sz w:val="15"/>
                <w:szCs w:val="15"/>
                <w:color w:val="auto"/>
              </w:rPr>
              <w:t>$</w:t>
            </w:r>
          </w:p>
        </w:tc>
        <w:tc>
          <w:tcPr>
            <w:tcW w:w="320" w:type="dxa"/>
            <w:vAlign w:val="bottom"/>
          </w:tcPr>
          <w:p>
            <w:pPr>
              <w:spacing w:after="0"/>
              <w:rPr>
                <w:sz w:val="14"/>
                <w:szCs w:val="14"/>
                <w:color w:val="auto"/>
              </w:rPr>
            </w:pPr>
          </w:p>
        </w:tc>
        <w:tc>
          <w:tcPr>
            <w:tcW w:w="660" w:type="dxa"/>
            <w:vAlign w:val="bottom"/>
          </w:tcPr>
          <w:p>
            <w:pPr>
              <w:spacing w:after="0" w:line="172" w:lineRule="exact"/>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69"/>
        </w:trPr>
        <w:tc>
          <w:tcPr>
            <w:tcW w:w="5300" w:type="dxa"/>
            <w:vAlign w:val="bottom"/>
          </w:tcPr>
          <w:p>
            <w:pPr>
              <w:spacing w:after="0" w:line="169" w:lineRule="exact"/>
              <w:rPr>
                <w:sz w:val="20"/>
                <w:szCs w:val="20"/>
                <w:color w:val="auto"/>
              </w:rPr>
            </w:pPr>
            <w:r>
              <w:rPr>
                <w:rFonts w:ascii="Arial" w:cs="Arial" w:eastAsia="Arial" w:hAnsi="Arial"/>
                <w:sz w:val="15"/>
                <w:szCs w:val="15"/>
                <w:color w:val="auto"/>
              </w:rPr>
              <w:t>Proceeds, before expenses, to Dropbox, Inc.</w:t>
            </w:r>
          </w:p>
        </w:tc>
        <w:tc>
          <w:tcPr>
            <w:tcW w:w="2580" w:type="dxa"/>
            <w:vAlign w:val="bottom"/>
            <w:gridSpan w:val="2"/>
          </w:tcPr>
          <w:p>
            <w:pPr>
              <w:jc w:val="right"/>
              <w:ind w:right="505"/>
              <w:spacing w:after="0" w:line="169" w:lineRule="exact"/>
              <w:rPr>
                <w:sz w:val="20"/>
                <w:szCs w:val="20"/>
                <w:color w:val="auto"/>
              </w:rPr>
            </w:pPr>
            <w:r>
              <w:rPr>
                <w:rFonts w:ascii="Arial" w:cs="Arial" w:eastAsia="Arial" w:hAnsi="Arial"/>
                <w:sz w:val="15"/>
                <w:szCs w:val="15"/>
                <w:color w:val="auto"/>
              </w:rPr>
              <w:t>$</w:t>
            </w:r>
          </w:p>
        </w:tc>
        <w:tc>
          <w:tcPr>
            <w:tcW w:w="320" w:type="dxa"/>
            <w:vAlign w:val="bottom"/>
          </w:tcPr>
          <w:p>
            <w:pPr>
              <w:spacing w:after="0"/>
              <w:rPr>
                <w:sz w:val="14"/>
                <w:szCs w:val="14"/>
                <w:color w:val="auto"/>
              </w:rPr>
            </w:pPr>
          </w:p>
        </w:tc>
        <w:tc>
          <w:tcPr>
            <w:tcW w:w="660" w:type="dxa"/>
            <w:vAlign w:val="bottom"/>
          </w:tcPr>
          <w:p>
            <w:pPr>
              <w:spacing w:after="0" w:line="169" w:lineRule="exact"/>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80"/>
        </w:trPr>
        <w:tc>
          <w:tcPr>
            <w:tcW w:w="5300" w:type="dxa"/>
            <w:vAlign w:val="bottom"/>
          </w:tcPr>
          <w:p>
            <w:pPr>
              <w:spacing w:after="0"/>
              <w:rPr>
                <w:sz w:val="20"/>
                <w:szCs w:val="20"/>
                <w:color w:val="auto"/>
              </w:rPr>
            </w:pPr>
            <w:r>
              <w:rPr>
                <w:rFonts w:ascii="Arial" w:cs="Arial" w:eastAsia="Arial" w:hAnsi="Arial"/>
                <w:sz w:val="15"/>
                <w:szCs w:val="15"/>
                <w:color w:val="auto"/>
              </w:rPr>
              <w:t>Proceeds, before expenses, to selling stockholders</w:t>
            </w:r>
          </w:p>
        </w:tc>
        <w:tc>
          <w:tcPr>
            <w:tcW w:w="2580" w:type="dxa"/>
            <w:vAlign w:val="bottom"/>
            <w:gridSpan w:val="2"/>
          </w:tcPr>
          <w:p>
            <w:pPr>
              <w:jc w:val="right"/>
              <w:ind w:right="505"/>
              <w:spacing w:after="0"/>
              <w:rPr>
                <w:sz w:val="20"/>
                <w:szCs w:val="20"/>
                <w:color w:val="auto"/>
              </w:rPr>
            </w:pPr>
            <w:r>
              <w:rPr>
                <w:rFonts w:ascii="Arial" w:cs="Arial" w:eastAsia="Arial" w:hAnsi="Arial"/>
                <w:sz w:val="15"/>
                <w:szCs w:val="15"/>
                <w:color w:val="auto"/>
              </w:rPr>
              <w:t>$</w:t>
            </w:r>
          </w:p>
        </w:tc>
        <w:tc>
          <w:tcPr>
            <w:tcW w:w="320" w:type="dxa"/>
            <w:vAlign w:val="bottom"/>
          </w:tcPr>
          <w:p>
            <w:pPr>
              <w:spacing w:after="0"/>
              <w:rPr>
                <w:sz w:val="15"/>
                <w:szCs w:val="15"/>
                <w:color w:val="auto"/>
              </w:rPr>
            </w:pPr>
          </w:p>
        </w:tc>
        <w:tc>
          <w:tcPr>
            <w:tcW w:w="660" w:type="dxa"/>
            <w:vAlign w:val="bottom"/>
          </w:tcPr>
          <w:p>
            <w:pPr>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bl>
    <w:p>
      <w:pPr>
        <w:spacing w:after="0" w:line="67" w:lineRule="exact"/>
        <w:rPr>
          <w:sz w:val="20"/>
          <w:szCs w:val="20"/>
          <w:color w:val="auto"/>
        </w:rPr>
      </w:pPr>
    </w:p>
    <w:p>
      <w:pPr>
        <w:ind w:left="1500" w:hanging="250"/>
        <w:spacing w:after="0"/>
        <w:tabs>
          <w:tab w:leader="none" w:pos="1500" w:val="left"/>
        </w:tabs>
        <w:numPr>
          <w:ilvl w:val="0"/>
          <w:numId w:val="1"/>
        </w:numPr>
        <w:rPr>
          <w:rFonts w:ascii="Arial" w:cs="Arial" w:eastAsia="Arial" w:hAnsi="Arial"/>
          <w:sz w:val="20"/>
          <w:szCs w:val="20"/>
          <w:color w:val="auto"/>
          <w:vertAlign w:val="superscript"/>
        </w:rPr>
      </w:pPr>
      <w:r>
        <w:rPr>
          <w:rFonts w:ascii="Arial" w:cs="Arial" w:eastAsia="Arial" w:hAnsi="Arial"/>
          <w:sz w:val="12"/>
          <w:szCs w:val="12"/>
          <w:color w:val="auto"/>
        </w:rPr>
        <w:t>See the section titled “Underwriting (Conflicts of Interest)” for a description of the compensation payable to the underwriters.</w:t>
      </w:r>
    </w:p>
    <w:p>
      <w:pPr>
        <w:spacing w:after="0" w:line="76" w:lineRule="exact"/>
        <w:rPr>
          <w:sz w:val="20"/>
          <w:szCs w:val="20"/>
          <w:color w:val="auto"/>
        </w:rPr>
      </w:pPr>
    </w:p>
    <w:p>
      <w:pPr>
        <w:ind w:left="1260" w:right="299"/>
        <w:spacing w:after="0" w:line="280" w:lineRule="auto"/>
        <w:rPr>
          <w:sz w:val="20"/>
          <w:szCs w:val="20"/>
          <w:color w:val="auto"/>
        </w:rPr>
      </w:pPr>
      <w:r>
        <w:rPr>
          <w:rFonts w:ascii="Arial" w:cs="Arial" w:eastAsia="Arial" w:hAnsi="Arial"/>
          <w:sz w:val="14"/>
          <w:szCs w:val="14"/>
          <w:color w:val="auto"/>
        </w:rPr>
        <w:t>To the extent that the underwriters sell more than 36,000,000 shares of Class A common stock, the underwriters have the option to purchase up to an additional 5,400,000 shares from Dropbox, Inc. at the initial public offering price less the underwriting discount.</w:t>
      </w:r>
    </w:p>
    <w:p>
      <w:pPr>
        <w:spacing w:after="0" w:line="53" w:lineRule="exact"/>
        <w:rPr>
          <w:sz w:val="20"/>
          <w:szCs w:val="20"/>
          <w:color w:val="auto"/>
        </w:rPr>
      </w:pPr>
    </w:p>
    <w:tbl>
      <w:tblPr>
        <w:tblLayout w:type="fixed"/>
        <w:tblInd w:w="1260" w:type="dxa"/>
        <w:tblCellMar>
          <w:top w:w="0" w:type="dxa"/>
          <w:left w:w="0" w:type="dxa"/>
          <w:bottom w:w="0" w:type="dxa"/>
          <w:right w:w="0" w:type="dxa"/>
        </w:tblCellMar>
      </w:tblPr>
      <w:tr>
        <w:trPr>
          <w:trHeight w:val="180"/>
        </w:trPr>
        <w:tc>
          <w:tcPr>
            <w:tcW w:w="7320" w:type="dxa"/>
            <w:vAlign w:val="bottom"/>
            <w:gridSpan w:val="6"/>
          </w:tcPr>
          <w:p>
            <w:pPr>
              <w:spacing w:after="0"/>
              <w:rPr>
                <w:sz w:val="20"/>
                <w:szCs w:val="20"/>
                <w:color w:val="auto"/>
              </w:rPr>
            </w:pPr>
            <w:r>
              <w:rPr>
                <w:rFonts w:ascii="Arial" w:cs="Arial" w:eastAsia="Arial" w:hAnsi="Arial"/>
                <w:sz w:val="15"/>
                <w:szCs w:val="15"/>
                <w:color w:val="auto"/>
              </w:rPr>
              <w:t>The underwriters expect to deliver the shares against payment in New York, New York, on or about</w:t>
            </w:r>
          </w:p>
        </w:tc>
        <w:tc>
          <w:tcPr>
            <w:tcW w:w="1600" w:type="dxa"/>
            <w:vAlign w:val="bottom"/>
          </w:tcPr>
          <w:p>
            <w:pPr>
              <w:jc w:val="right"/>
              <w:ind w:right="965"/>
              <w:spacing w:after="0"/>
              <w:rPr>
                <w:sz w:val="20"/>
                <w:szCs w:val="20"/>
                <w:color w:val="auto"/>
              </w:rPr>
            </w:pPr>
            <w:r>
              <w:rPr>
                <w:rFonts w:ascii="Arial" w:cs="Arial" w:eastAsia="Arial" w:hAnsi="Arial"/>
                <w:sz w:val="15"/>
                <w:szCs w:val="15"/>
                <w:color w:val="auto"/>
              </w:rPr>
              <w:t>, 2018.</w:t>
            </w:r>
          </w:p>
        </w:tc>
      </w:tr>
      <w:tr>
        <w:trPr>
          <w:trHeight w:val="193"/>
        </w:trPr>
        <w:tc>
          <w:tcPr>
            <w:tcW w:w="2100" w:type="dxa"/>
            <w:vAlign w:val="bottom"/>
            <w:tcBorders>
              <w:bottom w:val="single" w:sz="8" w:color="auto"/>
            </w:tcBorders>
            <w:gridSpan w:val="2"/>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2120" w:type="dxa"/>
            <w:vAlign w:val="bottom"/>
            <w:tcBorders>
              <w:bottom w:val="single" w:sz="8" w:color="auto"/>
            </w:tcBorders>
            <w:gridSpan w:val="2"/>
          </w:tcPr>
          <w:p>
            <w:pPr>
              <w:spacing w:after="0"/>
              <w:rPr>
                <w:sz w:val="16"/>
                <w:szCs w:val="16"/>
                <w:color w:val="auto"/>
              </w:rPr>
            </w:pPr>
          </w:p>
        </w:tc>
        <w:tc>
          <w:tcPr>
            <w:tcW w:w="196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tcPr>
          <w:p>
            <w:pPr>
              <w:spacing w:after="0"/>
              <w:rPr>
                <w:sz w:val="16"/>
                <w:szCs w:val="16"/>
                <w:color w:val="auto"/>
              </w:rPr>
            </w:pPr>
          </w:p>
        </w:tc>
      </w:tr>
      <w:tr>
        <w:trPr>
          <w:trHeight w:val="311"/>
        </w:trPr>
        <w:tc>
          <w:tcPr>
            <w:tcW w:w="2100" w:type="dxa"/>
            <w:vAlign w:val="bottom"/>
            <w:gridSpan w:val="2"/>
          </w:tcPr>
          <w:p>
            <w:pPr>
              <w:spacing w:after="0"/>
              <w:rPr>
                <w:sz w:val="20"/>
                <w:szCs w:val="20"/>
                <w:color w:val="auto"/>
              </w:rPr>
            </w:pPr>
            <w:r>
              <w:rPr>
                <w:rFonts w:ascii="Arial" w:cs="Arial" w:eastAsia="Arial" w:hAnsi="Arial"/>
                <w:sz w:val="15"/>
                <w:szCs w:val="15"/>
                <w:b w:val="1"/>
                <w:bCs w:val="1"/>
                <w:color w:val="auto"/>
              </w:rPr>
              <w:t>Goldman Sachs &amp; Co. LLC</w:t>
            </w:r>
          </w:p>
        </w:tc>
        <w:tc>
          <w:tcPr>
            <w:tcW w:w="1140" w:type="dxa"/>
            <w:vAlign w:val="bottom"/>
          </w:tcPr>
          <w:p>
            <w:pPr>
              <w:ind w:left="220"/>
              <w:spacing w:after="0"/>
              <w:rPr>
                <w:sz w:val="20"/>
                <w:szCs w:val="20"/>
                <w:color w:val="auto"/>
              </w:rPr>
            </w:pPr>
            <w:r>
              <w:rPr>
                <w:rFonts w:ascii="Arial" w:cs="Arial" w:eastAsia="Arial" w:hAnsi="Arial"/>
                <w:sz w:val="15"/>
                <w:szCs w:val="15"/>
                <w:b w:val="1"/>
                <w:bCs w:val="1"/>
                <w:color w:val="auto"/>
              </w:rPr>
              <w:t>J.P. Morgan</w:t>
            </w:r>
          </w:p>
        </w:tc>
        <w:tc>
          <w:tcPr>
            <w:tcW w:w="2120" w:type="dxa"/>
            <w:vAlign w:val="bottom"/>
            <w:gridSpan w:val="2"/>
          </w:tcPr>
          <w:p>
            <w:pPr>
              <w:ind w:left="220"/>
              <w:spacing w:after="0"/>
              <w:rPr>
                <w:sz w:val="20"/>
                <w:szCs w:val="20"/>
                <w:color w:val="auto"/>
              </w:rPr>
            </w:pPr>
            <w:r>
              <w:rPr>
                <w:rFonts w:ascii="Arial" w:cs="Arial" w:eastAsia="Arial" w:hAnsi="Arial"/>
                <w:sz w:val="15"/>
                <w:szCs w:val="15"/>
                <w:b w:val="1"/>
                <w:bCs w:val="1"/>
                <w:color w:val="auto"/>
              </w:rPr>
              <w:t>Deutsche Bank Securities</w:t>
            </w:r>
          </w:p>
        </w:tc>
        <w:tc>
          <w:tcPr>
            <w:tcW w:w="1960" w:type="dxa"/>
            <w:vAlign w:val="bottom"/>
          </w:tcPr>
          <w:p>
            <w:pPr>
              <w:ind w:left="280"/>
              <w:spacing w:after="0"/>
              <w:rPr>
                <w:sz w:val="20"/>
                <w:szCs w:val="20"/>
                <w:color w:val="auto"/>
              </w:rPr>
            </w:pPr>
            <w:r>
              <w:rPr>
                <w:rFonts w:ascii="Arial" w:cs="Arial" w:eastAsia="Arial" w:hAnsi="Arial"/>
                <w:sz w:val="15"/>
                <w:szCs w:val="15"/>
                <w:b w:val="1"/>
                <w:bCs w:val="1"/>
                <w:color w:val="auto"/>
              </w:rPr>
              <w:t>Allen &amp; Company LLC</w:t>
            </w:r>
          </w:p>
        </w:tc>
        <w:tc>
          <w:tcPr>
            <w:tcW w:w="1600" w:type="dxa"/>
            <w:vAlign w:val="bottom"/>
          </w:tcPr>
          <w:p>
            <w:pPr>
              <w:jc w:val="right"/>
              <w:spacing w:after="0"/>
              <w:rPr>
                <w:sz w:val="20"/>
                <w:szCs w:val="20"/>
                <w:color w:val="auto"/>
              </w:rPr>
            </w:pPr>
            <w:r>
              <w:rPr>
                <w:rFonts w:ascii="Arial" w:cs="Arial" w:eastAsia="Arial" w:hAnsi="Arial"/>
                <w:sz w:val="15"/>
                <w:szCs w:val="15"/>
                <w:b w:val="1"/>
                <w:bCs w:val="1"/>
                <w:color w:val="auto"/>
              </w:rPr>
              <w:t>BofA Merrill Lynch</w:t>
            </w:r>
          </w:p>
        </w:tc>
      </w:tr>
      <w:tr>
        <w:trPr>
          <w:trHeight w:val="169"/>
        </w:trPr>
        <w:tc>
          <w:tcPr>
            <w:tcW w:w="1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860" w:type="dxa"/>
            <w:vAlign w:val="bottom"/>
            <w:gridSpan w:val="2"/>
          </w:tcPr>
          <w:p>
            <w:pPr>
              <w:ind w:left="120"/>
              <w:spacing w:after="0" w:line="169" w:lineRule="exact"/>
              <w:rPr>
                <w:sz w:val="20"/>
                <w:szCs w:val="20"/>
                <w:color w:val="auto"/>
              </w:rPr>
            </w:pPr>
            <w:r>
              <w:rPr>
                <w:rFonts w:ascii="Arial" w:cs="Arial" w:eastAsia="Arial" w:hAnsi="Arial"/>
                <w:sz w:val="15"/>
                <w:szCs w:val="15"/>
                <w:b w:val="1"/>
                <w:bCs w:val="1"/>
                <w:color w:val="auto"/>
              </w:rPr>
              <w:t>RBC Capital Markets</w:t>
            </w:r>
          </w:p>
        </w:tc>
        <w:tc>
          <w:tcPr>
            <w:tcW w:w="1400" w:type="dxa"/>
            <w:vAlign w:val="bottom"/>
          </w:tcPr>
          <w:p>
            <w:pPr>
              <w:ind w:left="260"/>
              <w:spacing w:after="0" w:line="169" w:lineRule="exact"/>
              <w:rPr>
                <w:sz w:val="20"/>
                <w:szCs w:val="20"/>
                <w:color w:val="auto"/>
              </w:rPr>
            </w:pPr>
            <w:r>
              <w:rPr>
                <w:rFonts w:ascii="Arial" w:cs="Arial" w:eastAsia="Arial" w:hAnsi="Arial"/>
                <w:sz w:val="15"/>
                <w:szCs w:val="15"/>
                <w:b w:val="1"/>
                <w:bCs w:val="1"/>
                <w:color w:val="auto"/>
              </w:rPr>
              <w:t>Jefferies</w:t>
            </w:r>
          </w:p>
        </w:tc>
        <w:tc>
          <w:tcPr>
            <w:tcW w:w="1960" w:type="dxa"/>
            <w:vAlign w:val="bottom"/>
          </w:tcPr>
          <w:p>
            <w:pPr>
              <w:ind w:left="40"/>
              <w:spacing w:after="0" w:line="169" w:lineRule="exact"/>
              <w:rPr>
                <w:sz w:val="20"/>
                <w:szCs w:val="20"/>
                <w:color w:val="auto"/>
              </w:rPr>
            </w:pPr>
            <w:r>
              <w:rPr>
                <w:rFonts w:ascii="Arial" w:cs="Arial" w:eastAsia="Arial" w:hAnsi="Arial"/>
                <w:sz w:val="15"/>
                <w:szCs w:val="15"/>
                <w:b w:val="1"/>
                <w:bCs w:val="1"/>
                <w:color w:val="auto"/>
              </w:rPr>
              <w:t>Macquarie Capital</w:t>
            </w:r>
          </w:p>
        </w:tc>
        <w:tc>
          <w:tcPr>
            <w:tcW w:w="1600" w:type="dxa"/>
            <w:vAlign w:val="bottom"/>
          </w:tcPr>
          <w:p>
            <w:pPr>
              <w:spacing w:after="0"/>
              <w:rPr>
                <w:sz w:val="14"/>
                <w:szCs w:val="14"/>
                <w:color w:val="auto"/>
              </w:rPr>
            </w:pPr>
          </w:p>
        </w:tc>
      </w:tr>
      <w:tr>
        <w:trPr>
          <w:trHeight w:val="198"/>
        </w:trPr>
        <w:tc>
          <w:tcPr>
            <w:tcW w:w="1220" w:type="dxa"/>
            <w:vAlign w:val="bottom"/>
          </w:tcPr>
          <w:p>
            <w:pPr>
              <w:spacing w:after="0"/>
              <w:rPr>
                <w:sz w:val="17"/>
                <w:szCs w:val="17"/>
                <w:color w:val="auto"/>
              </w:rPr>
            </w:pPr>
          </w:p>
        </w:tc>
        <w:tc>
          <w:tcPr>
            <w:tcW w:w="2020" w:type="dxa"/>
            <w:vAlign w:val="bottom"/>
            <w:gridSpan w:val="2"/>
          </w:tcPr>
          <w:p>
            <w:pPr>
              <w:ind w:left="100"/>
              <w:spacing w:after="0"/>
              <w:rPr>
                <w:sz w:val="20"/>
                <w:szCs w:val="20"/>
                <w:color w:val="auto"/>
              </w:rPr>
            </w:pPr>
            <w:r>
              <w:rPr>
                <w:rFonts w:ascii="Arial" w:cs="Arial" w:eastAsia="Arial" w:hAnsi="Arial"/>
                <w:sz w:val="15"/>
                <w:szCs w:val="15"/>
                <w:b w:val="1"/>
                <w:bCs w:val="1"/>
                <w:color w:val="auto"/>
              </w:rPr>
              <w:t>Canaccord Genuity</w:t>
            </w:r>
          </w:p>
        </w:tc>
        <w:tc>
          <w:tcPr>
            <w:tcW w:w="5680" w:type="dxa"/>
            <w:vAlign w:val="bottom"/>
            <w:gridSpan w:val="4"/>
          </w:tcPr>
          <w:p>
            <w:pPr>
              <w:jc w:val="right"/>
              <w:ind w:right="1265"/>
              <w:spacing w:after="0"/>
              <w:rPr>
                <w:sz w:val="20"/>
                <w:szCs w:val="20"/>
                <w:color w:val="auto"/>
              </w:rPr>
            </w:pPr>
            <w:r>
              <w:rPr>
                <w:rFonts w:ascii="Arial" w:cs="Arial" w:eastAsia="Arial" w:hAnsi="Arial"/>
                <w:sz w:val="15"/>
                <w:szCs w:val="15"/>
                <w:b w:val="1"/>
                <w:bCs w:val="1"/>
                <w:color w:val="auto"/>
              </w:rPr>
              <w:t>JMP Securities   KeyBanc Capital Markets   Piper Jaffray</w:t>
            </w:r>
          </w:p>
        </w:tc>
      </w:tr>
      <w:tr>
        <w:trPr>
          <w:trHeight w:val="210"/>
        </w:trPr>
        <w:tc>
          <w:tcPr>
            <w:tcW w:w="1220" w:type="dxa"/>
            <w:vAlign w:val="bottom"/>
          </w:tcPr>
          <w:p>
            <w:pPr>
              <w:spacing w:after="0"/>
              <w:rPr>
                <w:sz w:val="20"/>
                <w:szCs w:val="20"/>
                <w:color w:val="auto"/>
              </w:rPr>
            </w:pPr>
            <w:r>
              <w:rPr>
                <w:rFonts w:ascii="Arial" w:cs="Arial" w:eastAsia="Arial" w:hAnsi="Arial"/>
                <w:sz w:val="14"/>
                <w:szCs w:val="14"/>
                <w:b w:val="1"/>
                <w:bCs w:val="1"/>
                <w:color w:val="auto"/>
              </w:rPr>
              <w:t>Prospectus dated</w:t>
            </w:r>
          </w:p>
        </w:tc>
        <w:tc>
          <w:tcPr>
            <w:tcW w:w="880" w:type="dxa"/>
            <w:vAlign w:val="bottom"/>
          </w:tcPr>
          <w:p>
            <w:pPr>
              <w:jc w:val="right"/>
              <w:ind w:right="29"/>
              <w:spacing w:after="0"/>
              <w:rPr>
                <w:sz w:val="20"/>
                <w:szCs w:val="20"/>
                <w:color w:val="auto"/>
              </w:rPr>
            </w:pPr>
            <w:r>
              <w:rPr>
                <w:rFonts w:ascii="Arial" w:cs="Arial" w:eastAsia="Arial" w:hAnsi="Arial"/>
                <w:sz w:val="14"/>
                <w:szCs w:val="14"/>
                <w:b w:val="1"/>
                <w:bCs w:val="1"/>
                <w:color w:val="auto"/>
              </w:rPr>
              <w:t>, 2018</w:t>
            </w:r>
          </w:p>
        </w:tc>
        <w:tc>
          <w:tcPr>
            <w:tcW w:w="1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1600" w:type="dxa"/>
            <w:vAlign w:val="bottom"/>
          </w:tcPr>
          <w:p>
            <w:pPr>
              <w:spacing w:after="0"/>
              <w:rPr>
                <w:sz w:val="18"/>
                <w:szCs w:val="18"/>
                <w:color w:val="auto"/>
              </w:rPr>
            </w:pPr>
          </w:p>
        </w:tc>
      </w:tr>
    </w:tbl>
    <w:p>
      <w:pPr>
        <w:sectPr>
          <w:pgSz w:w="11900" w:h="16838" w:orient="portrait"/>
          <w:cols w:equalWidth="0" w:num="1">
            <w:col w:w="10219"/>
          </w:cols>
          <w:pgMar w:left="240" w:top="407" w:right="1440" w:bottom="1440" w:gutter="0" w:footer="0" w:header="0"/>
        </w:sectPr>
      </w:pPr>
    </w:p>
    <w:bookmarkStart w:id="2" w:name="page3"/>
    <w:bookmarkEnd w:id="2"/>
    <w:p>
      <w:pPr>
        <w:spacing w:after="0"/>
        <w:rPr>
          <w:rFonts w:ascii="Arial" w:cs="Arial" w:eastAsia="Arial" w:hAnsi="Arial"/>
          <w:sz w:val="13"/>
          <w:szCs w:val="13"/>
          <w:b w:val="1"/>
          <w:bCs w:val="1"/>
          <w:u w:val="single" w:color="auto"/>
          <w:color w:val="0000EE"/>
        </w:rPr>
      </w:pPr>
      <w:r>
        <w:rPr>
          <w:rFonts w:ascii="Arial" w:cs="Arial" w:eastAsia="Arial" w:hAnsi="Arial"/>
          <w:sz w:val="13"/>
          <w:szCs w:val="13"/>
          <w:b w:val="1"/>
          <w:bCs w:val="1"/>
          <w:u w:val="single" w:color="auto"/>
          <w:color w:val="0000EE"/>
        </w:rPr>
        <w:drawing>
          <wp:anchor simplePos="0" relativeHeight="251657728" behindDoc="1" locked="0" layoutInCell="0" allowOverlap="1">
            <wp:simplePos x="0" y="0"/>
            <wp:positionH relativeFrom="page">
              <wp:posOffset>133350</wp:posOffset>
            </wp:positionH>
            <wp:positionV relativeFrom="page">
              <wp:posOffset>88900</wp:posOffset>
            </wp:positionV>
            <wp:extent cx="7308850" cy="342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308850" cy="34290"/>
                    </a:xfrm>
                    <a:prstGeom prst="rect">
                      <a:avLst/>
                    </a:prstGeom>
                    <a:noFill/>
                  </pic:spPr>
                </pic:pic>
              </a:graphicData>
            </a:graphic>
          </wp:anchor>
        </w:drawing>
      </w:r>
      <w:hyperlink w:anchor="page7">
        <w:r>
          <w:rPr>
            <w:rFonts w:ascii="Arial" w:cs="Arial" w:eastAsia="Arial" w:hAnsi="Arial"/>
            <w:sz w:val="13"/>
            <w:szCs w:val="13"/>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1354455</wp:posOffset>
            </wp:positionH>
            <wp:positionV relativeFrom="paragraph">
              <wp:posOffset>186055</wp:posOffset>
            </wp:positionV>
            <wp:extent cx="4554855" cy="630237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4554855" cy="6302375"/>
                    </a:xfrm>
                    <a:prstGeom prst="rect">
                      <a:avLst/>
                    </a:prstGeom>
                    <a:noFill/>
                  </pic:spPr>
                </pic:pic>
              </a:graphicData>
            </a:graphic>
          </wp:anchor>
        </w:drawing>
      </w:r>
    </w:p>
    <w:p>
      <w:pPr>
        <w:sectPr>
          <w:pgSz w:w="11900" w:h="16838" w:orient="portrait"/>
          <w:cols w:equalWidth="0" w:num="1">
            <w:col w:w="10219"/>
          </w:cols>
          <w:pgMar w:left="240" w:top="407" w:right="1440" w:bottom="1440" w:gutter="0" w:footer="0" w:header="0"/>
        </w:sectPr>
      </w:pPr>
    </w:p>
    <w:bookmarkStart w:id="3" w:name="page4"/>
    <w:bookmarkEnd w:id="3"/>
    <w:p>
      <w:pPr>
        <w:spacing w:after="0"/>
        <w:rPr>
          <w:rFonts w:ascii="Arial" w:cs="Arial" w:eastAsia="Arial" w:hAnsi="Arial"/>
          <w:sz w:val="13"/>
          <w:szCs w:val="13"/>
          <w:b w:val="1"/>
          <w:bCs w:val="1"/>
          <w:u w:val="single" w:color="auto"/>
          <w:color w:val="0000EE"/>
        </w:rPr>
      </w:pPr>
      <w:r>
        <w:rPr>
          <w:rFonts w:ascii="Arial" w:cs="Arial" w:eastAsia="Arial" w:hAnsi="Arial"/>
          <w:sz w:val="13"/>
          <w:szCs w:val="13"/>
          <w:b w:val="1"/>
          <w:bCs w:val="1"/>
          <w:u w:val="single" w:color="auto"/>
          <w:color w:val="0000EE"/>
        </w:rPr>
        <w:drawing>
          <wp:anchor simplePos="0" relativeHeight="251657728" behindDoc="1" locked="0" layoutInCell="0" allowOverlap="1">
            <wp:simplePos x="0" y="0"/>
            <wp:positionH relativeFrom="page">
              <wp:posOffset>133350</wp:posOffset>
            </wp:positionH>
            <wp:positionV relativeFrom="page">
              <wp:posOffset>88900</wp:posOffset>
            </wp:positionV>
            <wp:extent cx="7308850" cy="342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308850" cy="34290"/>
                    </a:xfrm>
                    <a:prstGeom prst="rect">
                      <a:avLst/>
                    </a:prstGeom>
                    <a:noFill/>
                  </pic:spPr>
                </pic:pic>
              </a:graphicData>
            </a:graphic>
          </wp:anchor>
        </w:drawing>
      </w:r>
      <w:hyperlink w:anchor="page7">
        <w:r>
          <w:rPr>
            <w:rFonts w:ascii="Arial" w:cs="Arial" w:eastAsia="Arial" w:hAnsi="Arial"/>
            <w:sz w:val="13"/>
            <w:szCs w:val="13"/>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709930</wp:posOffset>
            </wp:positionH>
            <wp:positionV relativeFrom="paragraph">
              <wp:posOffset>186055</wp:posOffset>
            </wp:positionV>
            <wp:extent cx="6302375" cy="42970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302375" cy="4297045"/>
                    </a:xfrm>
                    <a:prstGeom prst="rect">
                      <a:avLst/>
                    </a:prstGeom>
                    <a:noFill/>
                  </pic:spPr>
                </pic:pic>
              </a:graphicData>
            </a:graphic>
          </wp:anchor>
        </w:drawing>
      </w:r>
    </w:p>
    <w:p>
      <w:pPr>
        <w:sectPr>
          <w:pgSz w:w="11900" w:h="16838" w:orient="portrait"/>
          <w:cols w:equalWidth="0" w:num="1">
            <w:col w:w="10219"/>
          </w:cols>
          <w:pgMar w:left="240" w:top="407" w:right="1440" w:bottom="1440" w:gutter="0" w:footer="0" w:header="0"/>
        </w:sectPr>
      </w:pPr>
    </w:p>
    <w:bookmarkStart w:id="4" w:name="page5"/>
    <w:bookmarkEnd w:id="4"/>
    <w:p>
      <w:pPr>
        <w:spacing w:after="0"/>
        <w:rPr>
          <w:rFonts w:ascii="Arial" w:cs="Arial" w:eastAsia="Arial" w:hAnsi="Arial"/>
          <w:sz w:val="13"/>
          <w:szCs w:val="13"/>
          <w:b w:val="1"/>
          <w:bCs w:val="1"/>
          <w:u w:val="single" w:color="auto"/>
          <w:color w:val="0000EE"/>
        </w:rPr>
      </w:pPr>
      <w:r>
        <w:rPr>
          <w:rFonts w:ascii="Arial" w:cs="Arial" w:eastAsia="Arial" w:hAnsi="Arial"/>
          <w:sz w:val="13"/>
          <w:szCs w:val="13"/>
          <w:b w:val="1"/>
          <w:bCs w:val="1"/>
          <w:u w:val="single" w:color="auto"/>
          <w:color w:val="0000EE"/>
        </w:rPr>
        <w:drawing>
          <wp:anchor simplePos="0" relativeHeight="251657728" behindDoc="1" locked="0" layoutInCell="0" allowOverlap="1">
            <wp:simplePos x="0" y="0"/>
            <wp:positionH relativeFrom="page">
              <wp:posOffset>133350</wp:posOffset>
            </wp:positionH>
            <wp:positionV relativeFrom="page">
              <wp:posOffset>88900</wp:posOffset>
            </wp:positionV>
            <wp:extent cx="7308850" cy="342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308850" cy="34290"/>
                    </a:xfrm>
                    <a:prstGeom prst="rect">
                      <a:avLst/>
                    </a:prstGeom>
                    <a:noFill/>
                  </pic:spPr>
                </pic:pic>
              </a:graphicData>
            </a:graphic>
          </wp:anchor>
        </w:drawing>
      </w:r>
      <w:hyperlink w:anchor="page7">
        <w:r>
          <w:rPr>
            <w:rFonts w:ascii="Arial" w:cs="Arial" w:eastAsia="Arial" w:hAnsi="Arial"/>
            <w:sz w:val="13"/>
            <w:szCs w:val="13"/>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1196975</wp:posOffset>
            </wp:positionH>
            <wp:positionV relativeFrom="paragraph">
              <wp:posOffset>186055</wp:posOffset>
            </wp:positionV>
            <wp:extent cx="4869815" cy="625919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4869815" cy="6259195"/>
                    </a:xfrm>
                    <a:prstGeom prst="rect">
                      <a:avLst/>
                    </a:prstGeom>
                    <a:noFill/>
                  </pic:spPr>
                </pic:pic>
              </a:graphicData>
            </a:graphic>
          </wp:anchor>
        </w:drawing>
      </w:r>
    </w:p>
    <w:p>
      <w:pPr>
        <w:sectPr>
          <w:pgSz w:w="11900" w:h="16838" w:orient="portrait"/>
          <w:cols w:equalWidth="0" w:num="1">
            <w:col w:w="10219"/>
          </w:cols>
          <w:pgMar w:left="240" w:top="407" w:right="1440" w:bottom="1440" w:gutter="0" w:footer="0" w:header="0"/>
        </w:sectPr>
      </w:pPr>
    </w:p>
    <w:bookmarkStart w:id="5" w:name="page6"/>
    <w:bookmarkEnd w:id="5"/>
    <w:p>
      <w:pPr>
        <w:spacing w:after="0"/>
        <w:rPr>
          <w:rFonts w:ascii="Arial" w:cs="Arial" w:eastAsia="Arial" w:hAnsi="Arial"/>
          <w:sz w:val="13"/>
          <w:szCs w:val="13"/>
          <w:b w:val="1"/>
          <w:bCs w:val="1"/>
          <w:u w:val="single" w:color="auto"/>
          <w:color w:val="0000EE"/>
        </w:rPr>
      </w:pPr>
      <w:r>
        <w:rPr>
          <w:rFonts w:ascii="Arial" w:cs="Arial" w:eastAsia="Arial" w:hAnsi="Arial"/>
          <w:sz w:val="13"/>
          <w:szCs w:val="13"/>
          <w:b w:val="1"/>
          <w:bCs w:val="1"/>
          <w:u w:val="single" w:color="auto"/>
          <w:color w:val="0000EE"/>
        </w:rPr>
        <w:drawing>
          <wp:anchor simplePos="0" relativeHeight="251657728" behindDoc="1" locked="0" layoutInCell="0" allowOverlap="1">
            <wp:simplePos x="0" y="0"/>
            <wp:positionH relativeFrom="page">
              <wp:posOffset>133350</wp:posOffset>
            </wp:positionH>
            <wp:positionV relativeFrom="page">
              <wp:posOffset>88900</wp:posOffset>
            </wp:positionV>
            <wp:extent cx="7308850" cy="342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308850" cy="34290"/>
                    </a:xfrm>
                    <a:prstGeom prst="rect">
                      <a:avLst/>
                    </a:prstGeom>
                    <a:noFill/>
                  </pic:spPr>
                </pic:pic>
              </a:graphicData>
            </a:graphic>
          </wp:anchor>
        </w:drawing>
      </w:r>
      <w:hyperlink w:anchor="page7">
        <w:r>
          <w:rPr>
            <w:rFonts w:ascii="Arial" w:cs="Arial" w:eastAsia="Arial" w:hAnsi="Arial"/>
            <w:sz w:val="13"/>
            <w:szCs w:val="13"/>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1318895</wp:posOffset>
            </wp:positionH>
            <wp:positionV relativeFrom="paragraph">
              <wp:posOffset>186055</wp:posOffset>
            </wp:positionV>
            <wp:extent cx="4619625" cy="60159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4619625" cy="6015990"/>
                    </a:xfrm>
                    <a:prstGeom prst="rect">
                      <a:avLst/>
                    </a:prstGeom>
                    <a:noFill/>
                  </pic:spPr>
                </pic:pic>
              </a:graphicData>
            </a:graphic>
          </wp:anchor>
        </w:drawing>
      </w:r>
    </w:p>
    <w:p>
      <w:pPr>
        <w:sectPr>
          <w:pgSz w:w="11900" w:h="16838" w:orient="portrait"/>
          <w:cols w:equalWidth="0" w:num="1">
            <w:col w:w="10219"/>
          </w:cols>
          <w:pgMar w:left="240" w:top="407" w:right="1440" w:bottom="1440" w:gutter="0" w:footer="0" w:header="0"/>
        </w:sectPr>
      </w:pPr>
    </w:p>
    <w:bookmarkStart w:id="6" w:name="page7"/>
    <w:bookmarkEnd w:id="6"/>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133350</wp:posOffset>
            </wp:positionH>
            <wp:positionV relativeFrom="page">
              <wp:posOffset>88900</wp:posOffset>
            </wp:positionV>
            <wp:extent cx="7308850" cy="342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308850" cy="34290"/>
                    </a:xfrm>
                    <a:prstGeom prst="rect">
                      <a:avLst/>
                    </a:prstGeom>
                    <a:noFill/>
                  </pic:spPr>
                </pic:pic>
              </a:graphicData>
            </a:graphic>
          </wp:anchor>
        </w:drawing>
      </w:r>
      <w:hyperlink w:anchor="page7">
        <w:r>
          <w:rPr>
            <w:rFonts w:ascii="Arial" w:cs="Arial" w:eastAsia="Arial" w:hAnsi="Arial"/>
            <w:sz w:val="15"/>
            <w:szCs w:val="15"/>
            <w:b w:val="1"/>
            <w:bCs w:val="1"/>
            <w:u w:val="single" w:color="auto"/>
            <w:color w:val="0000EE"/>
          </w:rPr>
          <w:t>Table of Contents</w:t>
        </w:r>
      </w:hyperlink>
    </w:p>
    <w:p>
      <w:pPr>
        <w:spacing w:after="0" w:line="256" w:lineRule="exact"/>
        <w:rPr>
          <w:sz w:val="20"/>
          <w:szCs w:val="20"/>
          <w:color w:val="auto"/>
        </w:rPr>
      </w:pPr>
    </w:p>
    <w:tbl>
      <w:tblPr>
        <w:tblLayout w:type="fixed"/>
        <w:tblInd w:w="1120" w:type="dxa"/>
        <w:tblCellMar>
          <w:top w:w="0" w:type="dxa"/>
          <w:left w:w="0" w:type="dxa"/>
          <w:bottom w:w="0" w:type="dxa"/>
          <w:right w:w="0" w:type="dxa"/>
        </w:tblCellMar>
      </w:tblPr>
      <w:tr>
        <w:trPr>
          <w:trHeight w:val="194"/>
        </w:trPr>
        <w:tc>
          <w:tcPr>
            <w:tcW w:w="4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5640" w:type="dxa"/>
            <w:vAlign w:val="bottom"/>
            <w:gridSpan w:val="4"/>
          </w:tcPr>
          <w:p>
            <w:pPr>
              <w:jc w:val="center"/>
              <w:ind w:right="2940"/>
              <w:spacing w:after="0"/>
              <w:rPr>
                <w:sz w:val="20"/>
                <w:szCs w:val="20"/>
                <w:color w:val="auto"/>
              </w:rPr>
            </w:pPr>
            <w:r>
              <w:rPr>
                <w:rFonts w:ascii="Arial" w:cs="Arial" w:eastAsia="Arial" w:hAnsi="Arial"/>
                <w:sz w:val="15"/>
                <w:szCs w:val="15"/>
                <w:b w:val="1"/>
                <w:bCs w:val="1"/>
                <w:color w:val="auto"/>
              </w:rPr>
              <w:t>TABLE OF CONTENTS</w:t>
            </w:r>
          </w:p>
        </w:tc>
        <w:tc>
          <w:tcPr>
            <w:tcW w:w="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61"/>
        </w:trPr>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640" w:type="dxa"/>
            <w:vAlign w:val="bottom"/>
            <w:gridSpan w:val="4"/>
          </w:tcPr>
          <w:p>
            <w:pPr>
              <w:jc w:val="center"/>
              <w:ind w:right="2940"/>
              <w:spacing w:after="0"/>
              <w:rPr>
                <w:sz w:val="20"/>
                <w:szCs w:val="20"/>
                <w:color w:val="auto"/>
              </w:rPr>
            </w:pPr>
            <w:r>
              <w:rPr>
                <w:rFonts w:ascii="Arial" w:cs="Arial" w:eastAsia="Arial" w:hAnsi="Arial"/>
                <w:sz w:val="15"/>
                <w:szCs w:val="15"/>
                <w:b w:val="1"/>
                <w:bCs w:val="1"/>
                <w:color w:val="auto"/>
                <w:w w:val="85"/>
              </w:rPr>
              <w:t>Prospectus</w:t>
            </w: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8"/>
        </w:trPr>
        <w:tc>
          <w:tcPr>
            <w:tcW w:w="8880" w:type="dxa"/>
            <w:vAlign w:val="bottom"/>
            <w:gridSpan w:val="25"/>
            <w:vMerge w:val="restart"/>
          </w:tcPr>
          <w:p>
            <w:pPr>
              <w:spacing w:after="0"/>
              <w:rPr>
                <w:rFonts w:ascii="Arial" w:cs="Arial" w:eastAsia="Arial" w:hAnsi="Arial"/>
                <w:sz w:val="15"/>
                <w:szCs w:val="15"/>
                <w:color w:val="0000EE"/>
              </w:rPr>
            </w:pPr>
            <w:hyperlink w:anchor="page8">
              <w:r>
                <w:rPr>
                  <w:rFonts w:ascii="Arial" w:cs="Arial" w:eastAsia="Arial" w:hAnsi="Arial"/>
                  <w:sz w:val="15"/>
                  <w:szCs w:val="15"/>
                  <w:color w:val="0000EE"/>
                </w:rPr>
                <w:t>Prospectus Summary</w:t>
              </w:r>
            </w:hyperlink>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w w:val="83"/>
              </w:rPr>
              <w:t>Page</w:t>
            </w:r>
          </w:p>
        </w:tc>
        <w:tc>
          <w:tcPr>
            <w:tcW w:w="0" w:type="dxa"/>
            <w:vAlign w:val="bottom"/>
          </w:tcPr>
          <w:p>
            <w:pPr>
              <w:spacing w:after="0"/>
              <w:rPr>
                <w:sz w:val="1"/>
                <w:szCs w:val="1"/>
                <w:color w:val="auto"/>
              </w:rPr>
            </w:pPr>
          </w:p>
        </w:tc>
      </w:tr>
      <w:tr>
        <w:trPr>
          <w:trHeight w:val="127"/>
        </w:trPr>
        <w:tc>
          <w:tcPr>
            <w:tcW w:w="8880" w:type="dxa"/>
            <w:vAlign w:val="bottom"/>
            <w:gridSpan w:val="25"/>
            <w:vMerge w:val="continue"/>
          </w:tcPr>
          <w:p>
            <w:pPr>
              <w:spacing w:after="0"/>
              <w:rPr>
                <w:sz w:val="11"/>
                <w:szCs w:val="11"/>
                <w:color w:val="auto"/>
              </w:rPr>
            </w:pPr>
          </w:p>
        </w:tc>
        <w:tc>
          <w:tcPr>
            <w:tcW w:w="280" w:type="dxa"/>
            <w:vAlign w:val="bottom"/>
          </w:tcPr>
          <w:p>
            <w:pPr>
              <w:jc w:val="right"/>
              <w:spacing w:after="0" w:line="116" w:lineRule="exact"/>
              <w:rPr>
                <w:sz w:val="20"/>
                <w:szCs w:val="20"/>
                <w:color w:val="auto"/>
              </w:rPr>
            </w:pPr>
            <w:r>
              <w:rPr>
                <w:rFonts w:ascii="Arial" w:cs="Arial" w:eastAsia="Arial" w:hAnsi="Arial"/>
                <w:sz w:val="13"/>
                <w:szCs w:val="13"/>
                <w:color w:val="auto"/>
              </w:rPr>
              <w:t>1</w:t>
            </w:r>
          </w:p>
        </w:tc>
        <w:tc>
          <w:tcPr>
            <w:tcW w:w="0" w:type="dxa"/>
            <w:vAlign w:val="bottom"/>
          </w:tcPr>
          <w:p>
            <w:pPr>
              <w:spacing w:after="0"/>
              <w:rPr>
                <w:sz w:val="1"/>
                <w:szCs w:val="1"/>
                <w:color w:val="auto"/>
              </w:rPr>
            </w:pPr>
          </w:p>
        </w:tc>
      </w:tr>
      <w:tr>
        <w:trPr>
          <w:trHeight w:val="172"/>
        </w:trPr>
        <w:tc>
          <w:tcPr>
            <w:tcW w:w="1260" w:type="dxa"/>
            <w:vAlign w:val="bottom"/>
            <w:tcBorders>
              <w:top w:val="single" w:sz="8" w:color="0000EE"/>
            </w:tcBorders>
            <w:gridSpan w:val="10"/>
          </w:tcPr>
          <w:p>
            <w:pPr>
              <w:spacing w:after="0"/>
              <w:rPr>
                <w:rFonts w:ascii="Arial" w:cs="Arial" w:eastAsia="Arial" w:hAnsi="Arial"/>
                <w:sz w:val="15"/>
                <w:szCs w:val="15"/>
                <w:color w:val="0000EE"/>
              </w:rPr>
            </w:pPr>
            <w:hyperlink w:anchor="page23">
              <w:r>
                <w:rPr>
                  <w:rFonts w:ascii="Arial" w:cs="Arial" w:eastAsia="Arial" w:hAnsi="Arial"/>
                  <w:sz w:val="15"/>
                  <w:szCs w:val="15"/>
                  <w:color w:val="0000EE"/>
                </w:rPr>
                <w:t>Risk Factors</w:t>
              </w:r>
            </w:hyperlink>
          </w:p>
        </w:tc>
        <w:tc>
          <w:tcPr>
            <w:tcW w:w="7620" w:type="dxa"/>
            <w:vAlign w:val="bottom"/>
            <w:gridSpan w:val="15"/>
          </w:tcPr>
          <w:p>
            <w:pPr>
              <w:spacing w:after="0"/>
              <w:rPr>
                <w:sz w:val="14"/>
                <w:szCs w:val="14"/>
                <w:color w:val="auto"/>
              </w:rPr>
            </w:pPr>
          </w:p>
        </w:tc>
        <w:tc>
          <w:tcPr>
            <w:tcW w:w="280" w:type="dxa"/>
            <w:vAlign w:val="bottom"/>
          </w:tcPr>
          <w:p>
            <w:pPr>
              <w:jc w:val="right"/>
              <w:spacing w:after="0"/>
              <w:rPr>
                <w:sz w:val="20"/>
                <w:szCs w:val="20"/>
                <w:color w:val="auto"/>
              </w:rPr>
            </w:pPr>
            <w:r>
              <w:rPr>
                <w:rFonts w:ascii="Arial" w:cs="Arial" w:eastAsia="Arial" w:hAnsi="Arial"/>
                <w:sz w:val="15"/>
                <w:szCs w:val="15"/>
                <w:color w:val="auto"/>
              </w:rPr>
              <w:t>16</w:t>
            </w:r>
          </w:p>
        </w:tc>
        <w:tc>
          <w:tcPr>
            <w:tcW w:w="0" w:type="dxa"/>
            <w:vAlign w:val="bottom"/>
          </w:tcPr>
          <w:p>
            <w:pPr>
              <w:spacing w:after="0"/>
              <w:rPr>
                <w:sz w:val="1"/>
                <w:szCs w:val="1"/>
                <w:color w:val="auto"/>
              </w:rPr>
            </w:pPr>
          </w:p>
        </w:tc>
      </w:tr>
      <w:tr>
        <w:trPr>
          <w:trHeight w:val="20"/>
        </w:trPr>
        <w:tc>
          <w:tcPr>
            <w:tcW w:w="4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3240" w:type="dxa"/>
            <w:vAlign w:val="bottom"/>
            <w:tcBorders>
              <w:bottom w:val="single" w:sz="8" w:color="0000EE"/>
            </w:tcBorders>
            <w:gridSpan w:val="21"/>
          </w:tcPr>
          <w:p>
            <w:pPr>
              <w:spacing w:after="0" w:line="161" w:lineRule="exact"/>
              <w:rPr>
                <w:rFonts w:ascii="Arial" w:cs="Arial" w:eastAsia="Arial" w:hAnsi="Arial"/>
                <w:sz w:val="15"/>
                <w:szCs w:val="15"/>
                <w:color w:val="0000EE"/>
                <w:w w:val="90"/>
              </w:rPr>
            </w:pPr>
            <w:hyperlink w:anchor="page53">
              <w:r>
                <w:rPr>
                  <w:rFonts w:ascii="Arial" w:cs="Arial" w:eastAsia="Arial" w:hAnsi="Arial"/>
                  <w:sz w:val="15"/>
                  <w:szCs w:val="15"/>
                  <w:color w:val="0000EE"/>
                  <w:w w:val="90"/>
                </w:rPr>
                <w:t>Special Note Regarding Forward-Looking Statements</w:t>
              </w:r>
            </w:hyperlink>
          </w:p>
        </w:tc>
        <w:tc>
          <w:tcPr>
            <w:tcW w:w="5640" w:type="dxa"/>
            <w:vAlign w:val="bottom"/>
            <w:gridSpan w:val="4"/>
          </w:tcPr>
          <w:p>
            <w:pPr>
              <w:spacing w:after="0"/>
              <w:rPr>
                <w:sz w:val="13"/>
                <w:szCs w:val="13"/>
                <w:color w:val="auto"/>
              </w:rPr>
            </w:pPr>
          </w:p>
        </w:tc>
        <w:tc>
          <w:tcPr>
            <w:tcW w:w="280" w:type="dxa"/>
            <w:vAlign w:val="bottom"/>
          </w:tcPr>
          <w:p>
            <w:pPr>
              <w:jc w:val="right"/>
              <w:spacing w:after="0" w:line="161" w:lineRule="exact"/>
              <w:rPr>
                <w:sz w:val="20"/>
                <w:szCs w:val="20"/>
                <w:color w:val="auto"/>
              </w:rPr>
            </w:pPr>
            <w:r>
              <w:rPr>
                <w:rFonts w:ascii="Arial" w:cs="Arial" w:eastAsia="Arial" w:hAnsi="Arial"/>
                <w:sz w:val="15"/>
                <w:szCs w:val="15"/>
                <w:color w:val="auto"/>
              </w:rPr>
              <w:t>46</w:t>
            </w:r>
          </w:p>
        </w:tc>
        <w:tc>
          <w:tcPr>
            <w:tcW w:w="0" w:type="dxa"/>
            <w:vAlign w:val="bottom"/>
          </w:tcPr>
          <w:p>
            <w:pPr>
              <w:spacing w:after="0"/>
              <w:rPr>
                <w:sz w:val="1"/>
                <w:szCs w:val="1"/>
                <w:color w:val="auto"/>
              </w:rPr>
            </w:pPr>
          </w:p>
        </w:tc>
      </w:tr>
      <w:tr>
        <w:trPr>
          <w:trHeight w:val="160"/>
        </w:trPr>
        <w:tc>
          <w:tcPr>
            <w:tcW w:w="8880" w:type="dxa"/>
            <w:vAlign w:val="bottom"/>
            <w:gridSpan w:val="25"/>
          </w:tcPr>
          <w:p>
            <w:pPr>
              <w:spacing w:after="0" w:line="161" w:lineRule="exact"/>
              <w:rPr>
                <w:rFonts w:ascii="Arial" w:cs="Arial" w:eastAsia="Arial" w:hAnsi="Arial"/>
                <w:sz w:val="15"/>
                <w:szCs w:val="15"/>
                <w:color w:val="0000EE"/>
              </w:rPr>
            </w:pPr>
            <w:hyperlink w:anchor="page55">
              <w:r>
                <w:rPr>
                  <w:rFonts w:ascii="Arial" w:cs="Arial" w:eastAsia="Arial" w:hAnsi="Arial"/>
                  <w:sz w:val="15"/>
                  <w:szCs w:val="15"/>
                  <w:color w:val="0000EE"/>
                </w:rPr>
                <w:t>Industry And Market Data</w:t>
              </w:r>
            </w:hyperlink>
          </w:p>
        </w:tc>
        <w:tc>
          <w:tcPr>
            <w:tcW w:w="280" w:type="dxa"/>
            <w:vAlign w:val="bottom"/>
          </w:tcPr>
          <w:p>
            <w:pPr>
              <w:jc w:val="right"/>
              <w:spacing w:after="0" w:line="161" w:lineRule="exact"/>
              <w:rPr>
                <w:sz w:val="20"/>
                <w:szCs w:val="20"/>
                <w:color w:val="auto"/>
              </w:rPr>
            </w:pPr>
            <w:r>
              <w:rPr>
                <w:rFonts w:ascii="Arial" w:cs="Arial" w:eastAsia="Arial" w:hAnsi="Arial"/>
                <w:sz w:val="15"/>
                <w:szCs w:val="15"/>
                <w:color w:val="auto"/>
              </w:rPr>
              <w:t>48</w:t>
            </w:r>
          </w:p>
        </w:tc>
        <w:tc>
          <w:tcPr>
            <w:tcW w:w="0" w:type="dxa"/>
            <w:vAlign w:val="bottom"/>
          </w:tcPr>
          <w:p>
            <w:pPr>
              <w:spacing w:after="0"/>
              <w:rPr>
                <w:sz w:val="1"/>
                <w:szCs w:val="1"/>
                <w:color w:val="auto"/>
              </w:rPr>
            </w:pPr>
          </w:p>
        </w:tc>
      </w:tr>
      <w:tr>
        <w:trPr>
          <w:trHeight w:val="160"/>
        </w:trPr>
        <w:tc>
          <w:tcPr>
            <w:tcW w:w="1580" w:type="dxa"/>
            <w:vAlign w:val="bottom"/>
            <w:tcBorders>
              <w:top w:val="single" w:sz="8" w:color="0000EE"/>
            </w:tcBorders>
            <w:gridSpan w:val="12"/>
          </w:tcPr>
          <w:p>
            <w:pPr>
              <w:spacing w:after="0" w:line="161" w:lineRule="exact"/>
              <w:rPr>
                <w:rFonts w:ascii="Arial" w:cs="Arial" w:eastAsia="Arial" w:hAnsi="Arial"/>
                <w:sz w:val="15"/>
                <w:szCs w:val="15"/>
                <w:color w:val="0000EE"/>
              </w:rPr>
            </w:pPr>
            <w:hyperlink w:anchor="page56">
              <w:r>
                <w:rPr>
                  <w:rFonts w:ascii="Arial" w:cs="Arial" w:eastAsia="Arial" w:hAnsi="Arial"/>
                  <w:sz w:val="15"/>
                  <w:szCs w:val="15"/>
                  <w:color w:val="0000EE"/>
                </w:rPr>
                <w:t>Use of Proceeds</w:t>
              </w:r>
            </w:hyperlink>
          </w:p>
        </w:tc>
        <w:tc>
          <w:tcPr>
            <w:tcW w:w="7300" w:type="dxa"/>
            <w:vAlign w:val="bottom"/>
            <w:gridSpan w:val="13"/>
          </w:tcPr>
          <w:p>
            <w:pPr>
              <w:spacing w:after="0"/>
              <w:rPr>
                <w:sz w:val="13"/>
                <w:szCs w:val="13"/>
                <w:color w:val="auto"/>
              </w:rPr>
            </w:pPr>
          </w:p>
        </w:tc>
        <w:tc>
          <w:tcPr>
            <w:tcW w:w="280" w:type="dxa"/>
            <w:vAlign w:val="bottom"/>
          </w:tcPr>
          <w:p>
            <w:pPr>
              <w:jc w:val="right"/>
              <w:spacing w:after="0" w:line="161" w:lineRule="exact"/>
              <w:rPr>
                <w:sz w:val="20"/>
                <w:szCs w:val="20"/>
                <w:color w:val="auto"/>
              </w:rPr>
            </w:pPr>
            <w:r>
              <w:rPr>
                <w:rFonts w:ascii="Arial" w:cs="Arial" w:eastAsia="Arial" w:hAnsi="Arial"/>
                <w:sz w:val="15"/>
                <w:szCs w:val="15"/>
                <w:color w:val="auto"/>
              </w:rPr>
              <w:t>49</w:t>
            </w:r>
          </w:p>
        </w:tc>
        <w:tc>
          <w:tcPr>
            <w:tcW w:w="0" w:type="dxa"/>
            <w:vAlign w:val="bottom"/>
          </w:tcPr>
          <w:p>
            <w:pPr>
              <w:spacing w:after="0"/>
              <w:rPr>
                <w:sz w:val="1"/>
                <w:szCs w:val="1"/>
                <w:color w:val="auto"/>
              </w:rPr>
            </w:pPr>
          </w:p>
        </w:tc>
      </w:tr>
      <w:tr>
        <w:trPr>
          <w:trHeight w:val="20"/>
        </w:trPr>
        <w:tc>
          <w:tcPr>
            <w:tcW w:w="4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560" w:type="dxa"/>
            <w:vAlign w:val="bottom"/>
            <w:gridSpan w:val="2"/>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980" w:type="dxa"/>
            <w:vAlign w:val="bottom"/>
            <w:tcBorders>
              <w:bottom w:val="single" w:sz="8" w:color="0000EE"/>
            </w:tcBorders>
            <w:gridSpan w:val="9"/>
          </w:tcPr>
          <w:p>
            <w:pPr>
              <w:spacing w:after="0" w:line="161" w:lineRule="exact"/>
              <w:rPr>
                <w:rFonts w:ascii="Arial" w:cs="Arial" w:eastAsia="Arial" w:hAnsi="Arial"/>
                <w:sz w:val="15"/>
                <w:szCs w:val="15"/>
                <w:color w:val="0000EE"/>
                <w:w w:val="93"/>
              </w:rPr>
            </w:pPr>
            <w:hyperlink w:anchor="page57">
              <w:r>
                <w:rPr>
                  <w:rFonts w:ascii="Arial" w:cs="Arial" w:eastAsia="Arial" w:hAnsi="Arial"/>
                  <w:sz w:val="15"/>
                  <w:szCs w:val="15"/>
                  <w:color w:val="0000EE"/>
                  <w:w w:val="93"/>
                </w:rPr>
                <w:t>Dividend Policy</w:t>
              </w:r>
            </w:hyperlink>
          </w:p>
        </w:tc>
        <w:tc>
          <w:tcPr>
            <w:tcW w:w="7900" w:type="dxa"/>
            <w:vAlign w:val="bottom"/>
            <w:gridSpan w:val="16"/>
          </w:tcPr>
          <w:p>
            <w:pPr>
              <w:spacing w:after="0"/>
              <w:rPr>
                <w:sz w:val="13"/>
                <w:szCs w:val="13"/>
                <w:color w:val="auto"/>
              </w:rPr>
            </w:pPr>
          </w:p>
        </w:tc>
        <w:tc>
          <w:tcPr>
            <w:tcW w:w="280" w:type="dxa"/>
            <w:vAlign w:val="bottom"/>
          </w:tcPr>
          <w:p>
            <w:pPr>
              <w:jc w:val="right"/>
              <w:spacing w:after="0" w:line="161" w:lineRule="exact"/>
              <w:rPr>
                <w:sz w:val="20"/>
                <w:szCs w:val="20"/>
                <w:color w:val="auto"/>
              </w:rPr>
            </w:pPr>
            <w:r>
              <w:rPr>
                <w:rFonts w:ascii="Arial" w:cs="Arial" w:eastAsia="Arial" w:hAnsi="Arial"/>
                <w:sz w:val="15"/>
                <w:szCs w:val="15"/>
                <w:color w:val="auto"/>
              </w:rPr>
              <w:t>50</w:t>
            </w:r>
          </w:p>
        </w:tc>
        <w:tc>
          <w:tcPr>
            <w:tcW w:w="0" w:type="dxa"/>
            <w:vAlign w:val="bottom"/>
          </w:tcPr>
          <w:p>
            <w:pPr>
              <w:spacing w:after="0"/>
              <w:rPr>
                <w:sz w:val="1"/>
                <w:szCs w:val="1"/>
                <w:color w:val="auto"/>
              </w:rPr>
            </w:pPr>
          </w:p>
        </w:tc>
      </w:tr>
      <w:tr>
        <w:trPr>
          <w:trHeight w:val="160"/>
        </w:trPr>
        <w:tc>
          <w:tcPr>
            <w:tcW w:w="860" w:type="dxa"/>
            <w:vAlign w:val="bottom"/>
            <w:tcBorders>
              <w:bottom w:val="single" w:sz="8" w:color="0000EE"/>
            </w:tcBorders>
            <w:gridSpan w:val="7"/>
          </w:tcPr>
          <w:p>
            <w:pPr>
              <w:spacing w:after="0" w:line="161" w:lineRule="exact"/>
              <w:rPr>
                <w:rFonts w:ascii="Arial" w:cs="Arial" w:eastAsia="Arial" w:hAnsi="Arial"/>
                <w:sz w:val="15"/>
                <w:szCs w:val="15"/>
                <w:color w:val="0000EE"/>
                <w:w w:val="93"/>
              </w:rPr>
            </w:pPr>
            <w:hyperlink w:anchor="page58">
              <w:r>
                <w:rPr>
                  <w:rFonts w:ascii="Arial" w:cs="Arial" w:eastAsia="Arial" w:hAnsi="Arial"/>
                  <w:sz w:val="15"/>
                  <w:szCs w:val="15"/>
                  <w:color w:val="0000EE"/>
                  <w:w w:val="93"/>
                </w:rPr>
                <w:t>Capitalization</w:t>
              </w:r>
            </w:hyperlink>
          </w:p>
        </w:tc>
        <w:tc>
          <w:tcPr>
            <w:tcW w:w="8020" w:type="dxa"/>
            <w:vAlign w:val="bottom"/>
            <w:gridSpan w:val="18"/>
          </w:tcPr>
          <w:p>
            <w:pPr>
              <w:spacing w:after="0"/>
              <w:rPr>
                <w:sz w:val="13"/>
                <w:szCs w:val="13"/>
                <w:color w:val="auto"/>
              </w:rPr>
            </w:pPr>
          </w:p>
        </w:tc>
        <w:tc>
          <w:tcPr>
            <w:tcW w:w="280" w:type="dxa"/>
            <w:vAlign w:val="bottom"/>
          </w:tcPr>
          <w:p>
            <w:pPr>
              <w:jc w:val="right"/>
              <w:spacing w:after="0" w:line="161" w:lineRule="exact"/>
              <w:rPr>
                <w:sz w:val="20"/>
                <w:szCs w:val="20"/>
                <w:color w:val="auto"/>
              </w:rPr>
            </w:pPr>
            <w:r>
              <w:rPr>
                <w:rFonts w:ascii="Arial" w:cs="Arial" w:eastAsia="Arial" w:hAnsi="Arial"/>
                <w:sz w:val="15"/>
                <w:szCs w:val="15"/>
                <w:color w:val="auto"/>
              </w:rPr>
              <w:t>51</w:t>
            </w:r>
          </w:p>
        </w:tc>
        <w:tc>
          <w:tcPr>
            <w:tcW w:w="0" w:type="dxa"/>
            <w:vAlign w:val="bottom"/>
          </w:tcPr>
          <w:p>
            <w:pPr>
              <w:spacing w:after="0"/>
              <w:rPr>
                <w:sz w:val="1"/>
                <w:szCs w:val="1"/>
                <w:color w:val="auto"/>
              </w:rPr>
            </w:pPr>
          </w:p>
        </w:tc>
      </w:tr>
      <w:tr>
        <w:trPr>
          <w:trHeight w:val="160"/>
        </w:trPr>
        <w:tc>
          <w:tcPr>
            <w:tcW w:w="500" w:type="dxa"/>
            <w:vAlign w:val="bottom"/>
            <w:tcBorders>
              <w:bottom w:val="single" w:sz="8" w:color="0000EE"/>
            </w:tcBorders>
            <w:gridSpan w:val="2"/>
          </w:tcPr>
          <w:p>
            <w:pPr>
              <w:spacing w:after="0" w:line="161" w:lineRule="exact"/>
              <w:rPr>
                <w:rFonts w:ascii="Arial" w:cs="Arial" w:eastAsia="Arial" w:hAnsi="Arial"/>
                <w:sz w:val="15"/>
                <w:szCs w:val="15"/>
                <w:color w:val="0000EE"/>
                <w:w w:val="95"/>
              </w:rPr>
            </w:pPr>
            <w:hyperlink w:anchor="page62">
              <w:r>
                <w:rPr>
                  <w:rFonts w:ascii="Arial" w:cs="Arial" w:eastAsia="Arial" w:hAnsi="Arial"/>
                  <w:sz w:val="15"/>
                  <w:szCs w:val="15"/>
                  <w:color w:val="0000EE"/>
                  <w:w w:val="95"/>
                </w:rPr>
                <w:t>Dilution</w:t>
              </w:r>
            </w:hyperlink>
          </w:p>
        </w:tc>
        <w:tc>
          <w:tcPr>
            <w:tcW w:w="8380" w:type="dxa"/>
            <w:vAlign w:val="bottom"/>
            <w:gridSpan w:val="23"/>
          </w:tcPr>
          <w:p>
            <w:pPr>
              <w:spacing w:after="0"/>
              <w:rPr>
                <w:sz w:val="13"/>
                <w:szCs w:val="13"/>
                <w:color w:val="auto"/>
              </w:rPr>
            </w:pPr>
          </w:p>
        </w:tc>
        <w:tc>
          <w:tcPr>
            <w:tcW w:w="280" w:type="dxa"/>
            <w:vAlign w:val="bottom"/>
          </w:tcPr>
          <w:p>
            <w:pPr>
              <w:jc w:val="right"/>
              <w:spacing w:after="0" w:line="161" w:lineRule="exact"/>
              <w:rPr>
                <w:sz w:val="20"/>
                <w:szCs w:val="20"/>
                <w:color w:val="auto"/>
              </w:rPr>
            </w:pPr>
            <w:r>
              <w:rPr>
                <w:rFonts w:ascii="Arial" w:cs="Arial" w:eastAsia="Arial" w:hAnsi="Arial"/>
                <w:sz w:val="15"/>
                <w:szCs w:val="15"/>
                <w:color w:val="auto"/>
              </w:rPr>
              <w:t>55</w:t>
            </w:r>
          </w:p>
        </w:tc>
        <w:tc>
          <w:tcPr>
            <w:tcW w:w="0" w:type="dxa"/>
            <w:vAlign w:val="bottom"/>
          </w:tcPr>
          <w:p>
            <w:pPr>
              <w:spacing w:after="0"/>
              <w:rPr>
                <w:sz w:val="1"/>
                <w:szCs w:val="1"/>
                <w:color w:val="auto"/>
              </w:rPr>
            </w:pPr>
          </w:p>
        </w:tc>
      </w:tr>
      <w:tr>
        <w:trPr>
          <w:trHeight w:val="160"/>
        </w:trPr>
        <w:tc>
          <w:tcPr>
            <w:tcW w:w="8880" w:type="dxa"/>
            <w:vAlign w:val="bottom"/>
            <w:gridSpan w:val="25"/>
          </w:tcPr>
          <w:p>
            <w:pPr>
              <w:spacing w:after="0" w:line="161" w:lineRule="exact"/>
              <w:rPr>
                <w:rFonts w:ascii="Arial" w:cs="Arial" w:eastAsia="Arial" w:hAnsi="Arial"/>
                <w:sz w:val="15"/>
                <w:szCs w:val="15"/>
                <w:color w:val="0000EE"/>
              </w:rPr>
            </w:pPr>
            <w:hyperlink w:anchor="page66">
              <w:r>
                <w:rPr>
                  <w:rFonts w:ascii="Arial" w:cs="Arial" w:eastAsia="Arial" w:hAnsi="Arial"/>
                  <w:sz w:val="15"/>
                  <w:szCs w:val="15"/>
                  <w:color w:val="0000EE"/>
                </w:rPr>
                <w:t>Selected Consolidated Financial and Other Data</w:t>
              </w:r>
            </w:hyperlink>
          </w:p>
        </w:tc>
        <w:tc>
          <w:tcPr>
            <w:tcW w:w="280" w:type="dxa"/>
            <w:vAlign w:val="bottom"/>
          </w:tcPr>
          <w:p>
            <w:pPr>
              <w:jc w:val="right"/>
              <w:spacing w:after="0" w:line="161" w:lineRule="exact"/>
              <w:rPr>
                <w:sz w:val="20"/>
                <w:szCs w:val="20"/>
                <w:color w:val="auto"/>
              </w:rPr>
            </w:pPr>
            <w:r>
              <w:rPr>
                <w:rFonts w:ascii="Arial" w:cs="Arial" w:eastAsia="Arial" w:hAnsi="Arial"/>
                <w:sz w:val="15"/>
                <w:szCs w:val="15"/>
                <w:color w:val="auto"/>
              </w:rPr>
              <w:t>59</w:t>
            </w:r>
          </w:p>
        </w:tc>
        <w:tc>
          <w:tcPr>
            <w:tcW w:w="0" w:type="dxa"/>
            <w:vAlign w:val="bottom"/>
          </w:tcPr>
          <w:p>
            <w:pPr>
              <w:spacing w:after="0"/>
              <w:rPr>
                <w:sz w:val="1"/>
                <w:szCs w:val="1"/>
                <w:color w:val="auto"/>
              </w:rPr>
            </w:pPr>
          </w:p>
        </w:tc>
      </w:tr>
      <w:tr>
        <w:trPr>
          <w:trHeight w:val="20"/>
        </w:trPr>
        <w:tc>
          <w:tcPr>
            <w:tcW w:w="460" w:type="dxa"/>
            <w:vAlign w:val="bottom"/>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60" w:type="dxa"/>
            <w:vAlign w:val="bottom"/>
            <w:gridSpan w:val="5"/>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560" w:type="dxa"/>
            <w:vAlign w:val="bottom"/>
            <w:gridSpan w:val="2"/>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8880" w:type="dxa"/>
            <w:vAlign w:val="bottom"/>
            <w:gridSpan w:val="25"/>
          </w:tcPr>
          <w:p>
            <w:pPr>
              <w:spacing w:after="0" w:line="161" w:lineRule="exact"/>
              <w:rPr>
                <w:rFonts w:ascii="Arial" w:cs="Arial" w:eastAsia="Arial" w:hAnsi="Arial"/>
                <w:sz w:val="15"/>
                <w:szCs w:val="15"/>
                <w:color w:val="0000EE"/>
              </w:rPr>
            </w:pPr>
            <w:hyperlink w:anchor="page68">
              <w:r>
                <w:rPr>
                  <w:rFonts w:ascii="Arial" w:cs="Arial" w:eastAsia="Arial" w:hAnsi="Arial"/>
                  <w:sz w:val="15"/>
                  <w:szCs w:val="15"/>
                  <w:color w:val="0000EE"/>
                </w:rPr>
                <w:t>Management’s Discussion and Analysis of Financial Condition and Results of Operations</w:t>
              </w:r>
            </w:hyperlink>
          </w:p>
        </w:tc>
        <w:tc>
          <w:tcPr>
            <w:tcW w:w="280" w:type="dxa"/>
            <w:vAlign w:val="bottom"/>
          </w:tcPr>
          <w:p>
            <w:pPr>
              <w:jc w:val="right"/>
              <w:spacing w:after="0" w:line="161" w:lineRule="exact"/>
              <w:rPr>
                <w:sz w:val="20"/>
                <w:szCs w:val="20"/>
                <w:color w:val="auto"/>
              </w:rPr>
            </w:pPr>
            <w:r>
              <w:rPr>
                <w:rFonts w:ascii="Arial" w:cs="Arial" w:eastAsia="Arial" w:hAnsi="Arial"/>
                <w:sz w:val="15"/>
                <w:szCs w:val="15"/>
                <w:color w:val="auto"/>
              </w:rPr>
              <w:t>61</w:t>
            </w:r>
          </w:p>
        </w:tc>
        <w:tc>
          <w:tcPr>
            <w:tcW w:w="0" w:type="dxa"/>
            <w:vAlign w:val="bottom"/>
          </w:tcPr>
          <w:p>
            <w:pPr>
              <w:spacing w:after="0"/>
              <w:rPr>
                <w:sz w:val="1"/>
                <w:szCs w:val="1"/>
                <w:color w:val="auto"/>
              </w:rPr>
            </w:pPr>
          </w:p>
        </w:tc>
      </w:tr>
      <w:tr>
        <w:trPr>
          <w:trHeight w:val="160"/>
        </w:trPr>
        <w:tc>
          <w:tcPr>
            <w:tcW w:w="5380" w:type="dxa"/>
            <w:vAlign w:val="bottom"/>
            <w:tcBorders>
              <w:top w:val="single" w:sz="8" w:color="0000EE"/>
            </w:tcBorders>
            <w:gridSpan w:val="23"/>
          </w:tcPr>
          <w:p>
            <w:pPr>
              <w:spacing w:after="0" w:line="161" w:lineRule="exact"/>
              <w:rPr>
                <w:rFonts w:ascii="Arial" w:cs="Arial" w:eastAsia="Arial" w:hAnsi="Arial"/>
                <w:sz w:val="15"/>
                <w:szCs w:val="15"/>
                <w:color w:val="0000EE"/>
              </w:rPr>
            </w:pPr>
            <w:hyperlink w:anchor="page103">
              <w:r>
                <w:rPr>
                  <w:rFonts w:ascii="Arial" w:cs="Arial" w:eastAsia="Arial" w:hAnsi="Arial"/>
                  <w:sz w:val="15"/>
                  <w:szCs w:val="15"/>
                  <w:color w:val="0000EE"/>
                </w:rPr>
                <w:t>A Letter from Drew &amp; Arash</w:t>
              </w:r>
            </w:hyperlink>
          </w:p>
        </w:tc>
        <w:tc>
          <w:tcPr>
            <w:tcW w:w="3500" w:type="dxa"/>
            <w:vAlign w:val="bottom"/>
            <w:gridSpan w:val="2"/>
          </w:tcPr>
          <w:p>
            <w:pPr>
              <w:spacing w:after="0"/>
              <w:rPr>
                <w:sz w:val="13"/>
                <w:szCs w:val="13"/>
                <w:color w:val="auto"/>
              </w:rPr>
            </w:pPr>
          </w:p>
        </w:tc>
        <w:tc>
          <w:tcPr>
            <w:tcW w:w="280" w:type="dxa"/>
            <w:vAlign w:val="bottom"/>
          </w:tcPr>
          <w:p>
            <w:pPr>
              <w:jc w:val="right"/>
              <w:spacing w:after="0" w:line="161" w:lineRule="exact"/>
              <w:rPr>
                <w:sz w:val="20"/>
                <w:szCs w:val="20"/>
                <w:color w:val="auto"/>
              </w:rPr>
            </w:pPr>
            <w:r>
              <w:rPr>
                <w:rFonts w:ascii="Arial" w:cs="Arial" w:eastAsia="Arial" w:hAnsi="Arial"/>
                <w:sz w:val="15"/>
                <w:szCs w:val="15"/>
                <w:color w:val="auto"/>
              </w:rPr>
              <w:t>95</w:t>
            </w:r>
          </w:p>
        </w:tc>
        <w:tc>
          <w:tcPr>
            <w:tcW w:w="0" w:type="dxa"/>
            <w:vAlign w:val="bottom"/>
          </w:tcPr>
          <w:p>
            <w:pPr>
              <w:spacing w:after="0"/>
              <w:rPr>
                <w:sz w:val="1"/>
                <w:szCs w:val="1"/>
                <w:color w:val="auto"/>
              </w:rPr>
            </w:pPr>
          </w:p>
        </w:tc>
      </w:tr>
      <w:tr>
        <w:trPr>
          <w:trHeight w:val="160"/>
        </w:trPr>
        <w:tc>
          <w:tcPr>
            <w:tcW w:w="1740" w:type="dxa"/>
            <w:vAlign w:val="bottom"/>
            <w:tcBorders>
              <w:top w:val="single" w:sz="8" w:color="0000EE"/>
            </w:tcBorders>
            <w:gridSpan w:val="14"/>
          </w:tcPr>
          <w:p>
            <w:pPr>
              <w:spacing w:after="0" w:line="161" w:lineRule="exact"/>
              <w:rPr>
                <w:rFonts w:ascii="Arial" w:cs="Arial" w:eastAsia="Arial" w:hAnsi="Arial"/>
                <w:sz w:val="15"/>
                <w:szCs w:val="15"/>
                <w:color w:val="0000EE"/>
              </w:rPr>
            </w:pPr>
            <w:hyperlink w:anchor="page108">
              <w:r>
                <w:rPr>
                  <w:rFonts w:ascii="Arial" w:cs="Arial" w:eastAsia="Arial" w:hAnsi="Arial"/>
                  <w:sz w:val="15"/>
                  <w:szCs w:val="15"/>
                  <w:color w:val="0000EE"/>
                </w:rPr>
                <w:t>Business</w:t>
              </w:r>
            </w:hyperlink>
          </w:p>
        </w:tc>
        <w:tc>
          <w:tcPr>
            <w:tcW w:w="7140" w:type="dxa"/>
            <w:vAlign w:val="bottom"/>
            <w:gridSpan w:val="11"/>
          </w:tcPr>
          <w:p>
            <w:pPr>
              <w:spacing w:after="0"/>
              <w:rPr>
                <w:sz w:val="13"/>
                <w:szCs w:val="13"/>
                <w:color w:val="auto"/>
              </w:rPr>
            </w:pPr>
          </w:p>
        </w:tc>
        <w:tc>
          <w:tcPr>
            <w:tcW w:w="280" w:type="dxa"/>
            <w:vAlign w:val="bottom"/>
          </w:tcPr>
          <w:p>
            <w:pPr>
              <w:jc w:val="right"/>
              <w:spacing w:after="0" w:line="161" w:lineRule="exact"/>
              <w:rPr>
                <w:sz w:val="20"/>
                <w:szCs w:val="20"/>
                <w:color w:val="auto"/>
              </w:rPr>
            </w:pPr>
            <w:r>
              <w:rPr>
                <w:rFonts w:ascii="Arial" w:cs="Arial" w:eastAsia="Arial" w:hAnsi="Arial"/>
                <w:sz w:val="15"/>
                <w:szCs w:val="15"/>
                <w:color w:val="auto"/>
              </w:rPr>
              <w:t>101</w:t>
            </w:r>
          </w:p>
        </w:tc>
        <w:tc>
          <w:tcPr>
            <w:tcW w:w="0" w:type="dxa"/>
            <w:vAlign w:val="bottom"/>
          </w:tcPr>
          <w:p>
            <w:pPr>
              <w:spacing w:after="0"/>
              <w:rPr>
                <w:sz w:val="1"/>
                <w:szCs w:val="1"/>
                <w:color w:val="auto"/>
              </w:rPr>
            </w:pPr>
          </w:p>
        </w:tc>
      </w:tr>
      <w:tr>
        <w:trPr>
          <w:trHeight w:val="20"/>
        </w:trPr>
        <w:tc>
          <w:tcPr>
            <w:tcW w:w="460" w:type="dxa"/>
            <w:vAlign w:val="bottom"/>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gridSpan w:val="5"/>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40" w:type="dxa"/>
            <w:vAlign w:val="bottom"/>
            <w:gridSpan w:val="3"/>
          </w:tcPr>
          <w:p>
            <w:pPr>
              <w:spacing w:after="0" w:line="20" w:lineRule="exact"/>
              <w:rPr>
                <w:sz w:val="1"/>
                <w:szCs w:val="1"/>
                <w:color w:val="auto"/>
              </w:rPr>
            </w:pPr>
          </w:p>
        </w:tc>
        <w:tc>
          <w:tcPr>
            <w:tcW w:w="1700" w:type="dxa"/>
            <w:vAlign w:val="bottom"/>
            <w:gridSpan w:val="2"/>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780" w:type="dxa"/>
            <w:vAlign w:val="bottom"/>
            <w:tcBorders>
              <w:bottom w:val="single" w:sz="8" w:color="0000EE"/>
            </w:tcBorders>
            <w:gridSpan w:val="5"/>
          </w:tcPr>
          <w:p>
            <w:pPr>
              <w:spacing w:after="0" w:line="161" w:lineRule="exact"/>
              <w:rPr>
                <w:rFonts w:ascii="Arial" w:cs="Arial" w:eastAsia="Arial" w:hAnsi="Arial"/>
                <w:sz w:val="15"/>
                <w:szCs w:val="15"/>
                <w:color w:val="0000EE"/>
                <w:w w:val="86"/>
              </w:rPr>
            </w:pPr>
            <w:hyperlink w:anchor="page144">
              <w:r>
                <w:rPr>
                  <w:rFonts w:ascii="Arial" w:cs="Arial" w:eastAsia="Arial" w:hAnsi="Arial"/>
                  <w:sz w:val="15"/>
                  <w:szCs w:val="15"/>
                  <w:color w:val="0000EE"/>
                  <w:w w:val="86"/>
                </w:rPr>
                <w:t>Management</w:t>
              </w:r>
            </w:hyperlink>
          </w:p>
        </w:tc>
        <w:tc>
          <w:tcPr>
            <w:tcW w:w="8100" w:type="dxa"/>
            <w:vAlign w:val="bottom"/>
            <w:gridSpan w:val="20"/>
          </w:tcPr>
          <w:p>
            <w:pPr>
              <w:spacing w:after="0"/>
              <w:rPr>
                <w:sz w:val="13"/>
                <w:szCs w:val="13"/>
                <w:color w:val="auto"/>
              </w:rPr>
            </w:pPr>
          </w:p>
        </w:tc>
        <w:tc>
          <w:tcPr>
            <w:tcW w:w="280" w:type="dxa"/>
            <w:vAlign w:val="bottom"/>
          </w:tcPr>
          <w:p>
            <w:pPr>
              <w:jc w:val="right"/>
              <w:spacing w:after="0" w:line="161" w:lineRule="exact"/>
              <w:rPr>
                <w:sz w:val="20"/>
                <w:szCs w:val="20"/>
                <w:color w:val="auto"/>
              </w:rPr>
            </w:pPr>
            <w:r>
              <w:rPr>
                <w:rFonts w:ascii="Arial" w:cs="Arial" w:eastAsia="Arial" w:hAnsi="Arial"/>
                <w:sz w:val="15"/>
                <w:szCs w:val="15"/>
                <w:color w:val="auto"/>
              </w:rPr>
              <w:t>137</w:t>
            </w:r>
          </w:p>
        </w:tc>
        <w:tc>
          <w:tcPr>
            <w:tcW w:w="0" w:type="dxa"/>
            <w:vAlign w:val="bottom"/>
          </w:tcPr>
          <w:p>
            <w:pPr>
              <w:spacing w:after="0"/>
              <w:rPr>
                <w:sz w:val="1"/>
                <w:szCs w:val="1"/>
                <w:color w:val="auto"/>
              </w:rPr>
            </w:pPr>
          </w:p>
        </w:tc>
      </w:tr>
      <w:tr>
        <w:trPr>
          <w:trHeight w:val="160"/>
        </w:trPr>
        <w:tc>
          <w:tcPr>
            <w:tcW w:w="1500" w:type="dxa"/>
            <w:vAlign w:val="bottom"/>
            <w:tcBorders>
              <w:bottom w:val="single" w:sz="8" w:color="0000EE"/>
            </w:tcBorders>
            <w:gridSpan w:val="11"/>
          </w:tcPr>
          <w:p>
            <w:pPr>
              <w:spacing w:after="0" w:line="161" w:lineRule="exact"/>
              <w:rPr>
                <w:rFonts w:ascii="Arial" w:cs="Arial" w:eastAsia="Arial" w:hAnsi="Arial"/>
                <w:sz w:val="15"/>
                <w:szCs w:val="15"/>
                <w:color w:val="0000EE"/>
                <w:w w:val="89"/>
              </w:rPr>
            </w:pPr>
            <w:hyperlink w:anchor="page153">
              <w:r>
                <w:rPr>
                  <w:rFonts w:ascii="Arial" w:cs="Arial" w:eastAsia="Arial" w:hAnsi="Arial"/>
                  <w:sz w:val="15"/>
                  <w:szCs w:val="15"/>
                  <w:color w:val="0000EE"/>
                  <w:w w:val="89"/>
                </w:rPr>
                <w:t>Executive Compensation</w:t>
              </w:r>
            </w:hyperlink>
          </w:p>
        </w:tc>
        <w:tc>
          <w:tcPr>
            <w:tcW w:w="7380" w:type="dxa"/>
            <w:vAlign w:val="bottom"/>
            <w:gridSpan w:val="14"/>
          </w:tcPr>
          <w:p>
            <w:pPr>
              <w:spacing w:after="0"/>
              <w:rPr>
                <w:sz w:val="13"/>
                <w:szCs w:val="13"/>
                <w:color w:val="auto"/>
              </w:rPr>
            </w:pPr>
          </w:p>
        </w:tc>
        <w:tc>
          <w:tcPr>
            <w:tcW w:w="280" w:type="dxa"/>
            <w:vAlign w:val="bottom"/>
          </w:tcPr>
          <w:p>
            <w:pPr>
              <w:jc w:val="right"/>
              <w:spacing w:after="0" w:line="161" w:lineRule="exact"/>
              <w:rPr>
                <w:sz w:val="20"/>
                <w:szCs w:val="20"/>
                <w:color w:val="auto"/>
              </w:rPr>
            </w:pPr>
            <w:r>
              <w:rPr>
                <w:rFonts w:ascii="Arial" w:cs="Arial" w:eastAsia="Arial" w:hAnsi="Arial"/>
                <w:sz w:val="15"/>
                <w:szCs w:val="15"/>
                <w:color w:val="auto"/>
              </w:rPr>
              <w:t>146</w:t>
            </w:r>
          </w:p>
        </w:tc>
        <w:tc>
          <w:tcPr>
            <w:tcW w:w="0" w:type="dxa"/>
            <w:vAlign w:val="bottom"/>
          </w:tcPr>
          <w:p>
            <w:pPr>
              <w:spacing w:after="0"/>
              <w:rPr>
                <w:sz w:val="1"/>
                <w:szCs w:val="1"/>
                <w:color w:val="auto"/>
              </w:rPr>
            </w:pPr>
          </w:p>
        </w:tc>
      </w:tr>
      <w:tr>
        <w:trPr>
          <w:trHeight w:val="160"/>
        </w:trPr>
        <w:tc>
          <w:tcPr>
            <w:tcW w:w="8880" w:type="dxa"/>
            <w:vAlign w:val="bottom"/>
            <w:gridSpan w:val="25"/>
          </w:tcPr>
          <w:p>
            <w:pPr>
              <w:spacing w:after="0" w:line="161" w:lineRule="exact"/>
              <w:rPr>
                <w:rFonts w:ascii="Arial" w:cs="Arial" w:eastAsia="Arial" w:hAnsi="Arial"/>
                <w:sz w:val="15"/>
                <w:szCs w:val="15"/>
                <w:color w:val="0000EE"/>
              </w:rPr>
            </w:pPr>
            <w:hyperlink w:anchor="page168">
              <w:r>
                <w:rPr>
                  <w:rFonts w:ascii="Arial" w:cs="Arial" w:eastAsia="Arial" w:hAnsi="Arial"/>
                  <w:sz w:val="15"/>
                  <w:szCs w:val="15"/>
                  <w:color w:val="0000EE"/>
                </w:rPr>
                <w:t>Certain Relationships, Related Party Transactions, and Other Transactions</w:t>
              </w:r>
            </w:hyperlink>
          </w:p>
        </w:tc>
        <w:tc>
          <w:tcPr>
            <w:tcW w:w="280" w:type="dxa"/>
            <w:vAlign w:val="bottom"/>
          </w:tcPr>
          <w:p>
            <w:pPr>
              <w:jc w:val="right"/>
              <w:spacing w:after="0" w:line="161" w:lineRule="exact"/>
              <w:rPr>
                <w:sz w:val="20"/>
                <w:szCs w:val="20"/>
                <w:color w:val="auto"/>
              </w:rPr>
            </w:pPr>
            <w:r>
              <w:rPr>
                <w:rFonts w:ascii="Arial" w:cs="Arial" w:eastAsia="Arial" w:hAnsi="Arial"/>
                <w:sz w:val="15"/>
                <w:szCs w:val="15"/>
                <w:color w:val="auto"/>
              </w:rPr>
              <w:t>161</w:t>
            </w:r>
          </w:p>
        </w:tc>
        <w:tc>
          <w:tcPr>
            <w:tcW w:w="0" w:type="dxa"/>
            <w:vAlign w:val="bottom"/>
          </w:tcPr>
          <w:p>
            <w:pPr>
              <w:spacing w:after="0"/>
              <w:rPr>
                <w:sz w:val="1"/>
                <w:szCs w:val="1"/>
                <w:color w:val="auto"/>
              </w:rPr>
            </w:pPr>
          </w:p>
        </w:tc>
      </w:tr>
      <w:tr>
        <w:trPr>
          <w:trHeight w:val="160"/>
        </w:trPr>
        <w:tc>
          <w:tcPr>
            <w:tcW w:w="2080" w:type="dxa"/>
            <w:vAlign w:val="bottom"/>
            <w:tcBorders>
              <w:top w:val="single" w:sz="8" w:color="0000EE"/>
              <w:bottom w:val="single" w:sz="8" w:color="0000EE"/>
            </w:tcBorders>
            <w:gridSpan w:val="16"/>
          </w:tcPr>
          <w:p>
            <w:pPr>
              <w:spacing w:after="0" w:line="161" w:lineRule="exact"/>
              <w:rPr>
                <w:rFonts w:ascii="Arial" w:cs="Arial" w:eastAsia="Arial" w:hAnsi="Arial"/>
                <w:sz w:val="15"/>
                <w:szCs w:val="15"/>
                <w:color w:val="0000EE"/>
                <w:w w:val="90"/>
              </w:rPr>
            </w:pPr>
            <w:hyperlink w:anchor="page172">
              <w:r>
                <w:rPr>
                  <w:rFonts w:ascii="Arial" w:cs="Arial" w:eastAsia="Arial" w:hAnsi="Arial"/>
                  <w:sz w:val="15"/>
                  <w:szCs w:val="15"/>
                  <w:color w:val="0000EE"/>
                  <w:w w:val="90"/>
                </w:rPr>
                <w:t>Principal and Selling Stockholders</w:t>
              </w:r>
            </w:hyperlink>
          </w:p>
        </w:tc>
        <w:tc>
          <w:tcPr>
            <w:tcW w:w="2360" w:type="dxa"/>
            <w:vAlign w:val="bottom"/>
            <w:tcBorders>
              <w:top w:val="single" w:sz="8" w:color="0000EE"/>
            </w:tcBorders>
            <w:gridSpan w:val="6"/>
          </w:tcPr>
          <w:p>
            <w:pPr>
              <w:spacing w:after="0"/>
              <w:rPr>
                <w:sz w:val="13"/>
                <w:szCs w:val="13"/>
                <w:color w:val="auto"/>
              </w:rPr>
            </w:pPr>
          </w:p>
        </w:tc>
        <w:tc>
          <w:tcPr>
            <w:tcW w:w="4440" w:type="dxa"/>
            <w:vAlign w:val="bottom"/>
            <w:gridSpan w:val="3"/>
          </w:tcPr>
          <w:p>
            <w:pPr>
              <w:spacing w:after="0"/>
              <w:rPr>
                <w:sz w:val="13"/>
                <w:szCs w:val="13"/>
                <w:color w:val="auto"/>
              </w:rPr>
            </w:pPr>
          </w:p>
        </w:tc>
        <w:tc>
          <w:tcPr>
            <w:tcW w:w="280" w:type="dxa"/>
            <w:vAlign w:val="bottom"/>
          </w:tcPr>
          <w:p>
            <w:pPr>
              <w:jc w:val="right"/>
              <w:spacing w:after="0" w:line="161" w:lineRule="exact"/>
              <w:rPr>
                <w:sz w:val="20"/>
                <w:szCs w:val="20"/>
                <w:color w:val="auto"/>
              </w:rPr>
            </w:pPr>
            <w:r>
              <w:rPr>
                <w:rFonts w:ascii="Arial" w:cs="Arial" w:eastAsia="Arial" w:hAnsi="Arial"/>
                <w:sz w:val="15"/>
                <w:szCs w:val="15"/>
                <w:color w:val="auto"/>
              </w:rPr>
              <w:t>165</w:t>
            </w:r>
          </w:p>
        </w:tc>
        <w:tc>
          <w:tcPr>
            <w:tcW w:w="0" w:type="dxa"/>
            <w:vAlign w:val="bottom"/>
          </w:tcPr>
          <w:p>
            <w:pPr>
              <w:spacing w:after="0"/>
              <w:rPr>
                <w:sz w:val="1"/>
                <w:szCs w:val="1"/>
                <w:color w:val="auto"/>
              </w:rPr>
            </w:pPr>
          </w:p>
        </w:tc>
      </w:tr>
      <w:tr>
        <w:trPr>
          <w:trHeight w:val="160"/>
        </w:trPr>
        <w:tc>
          <w:tcPr>
            <w:tcW w:w="8880" w:type="dxa"/>
            <w:vAlign w:val="bottom"/>
            <w:gridSpan w:val="25"/>
          </w:tcPr>
          <w:p>
            <w:pPr>
              <w:spacing w:after="0" w:line="161" w:lineRule="exact"/>
              <w:rPr>
                <w:rFonts w:ascii="Arial" w:cs="Arial" w:eastAsia="Arial" w:hAnsi="Arial"/>
                <w:sz w:val="15"/>
                <w:szCs w:val="15"/>
                <w:color w:val="0000EE"/>
              </w:rPr>
            </w:pPr>
            <w:hyperlink w:anchor="page176">
              <w:r>
                <w:rPr>
                  <w:rFonts w:ascii="Arial" w:cs="Arial" w:eastAsia="Arial" w:hAnsi="Arial"/>
                  <w:sz w:val="15"/>
                  <w:szCs w:val="15"/>
                  <w:color w:val="0000EE"/>
                </w:rPr>
                <w:t>Description of Capital Stock</w:t>
              </w:r>
            </w:hyperlink>
          </w:p>
        </w:tc>
        <w:tc>
          <w:tcPr>
            <w:tcW w:w="280" w:type="dxa"/>
            <w:vAlign w:val="bottom"/>
          </w:tcPr>
          <w:p>
            <w:pPr>
              <w:jc w:val="right"/>
              <w:spacing w:after="0" w:line="161" w:lineRule="exact"/>
              <w:rPr>
                <w:sz w:val="20"/>
                <w:szCs w:val="20"/>
                <w:color w:val="auto"/>
              </w:rPr>
            </w:pPr>
            <w:r>
              <w:rPr>
                <w:rFonts w:ascii="Arial" w:cs="Arial" w:eastAsia="Arial" w:hAnsi="Arial"/>
                <w:sz w:val="15"/>
                <w:szCs w:val="15"/>
                <w:color w:val="auto"/>
              </w:rPr>
              <w:t>169</w:t>
            </w:r>
          </w:p>
        </w:tc>
        <w:tc>
          <w:tcPr>
            <w:tcW w:w="0" w:type="dxa"/>
            <w:vAlign w:val="bottom"/>
          </w:tcPr>
          <w:p>
            <w:pPr>
              <w:spacing w:after="0"/>
              <w:rPr>
                <w:sz w:val="1"/>
                <w:szCs w:val="1"/>
                <w:color w:val="auto"/>
              </w:rPr>
            </w:pPr>
          </w:p>
        </w:tc>
      </w:tr>
      <w:tr>
        <w:trPr>
          <w:trHeight w:val="20"/>
        </w:trPr>
        <w:tc>
          <w:tcPr>
            <w:tcW w:w="460" w:type="dxa"/>
            <w:vAlign w:val="bottom"/>
            <w:shd w:val="clear" w:color="auto" w:fill="0000EE"/>
          </w:tcPr>
          <w:p>
            <w:pPr>
              <w:spacing w:after="0" w:line="20" w:lineRule="exact"/>
              <w:rPr>
                <w:sz w:val="1"/>
                <w:szCs w:val="1"/>
                <w:color w:val="auto"/>
              </w:rPr>
            </w:pPr>
          </w:p>
        </w:tc>
        <w:tc>
          <w:tcPr>
            <w:tcW w:w="380" w:type="dxa"/>
            <w:vAlign w:val="bottom"/>
            <w:gridSpan w:val="5"/>
            <w:shd w:val="clear" w:color="auto" w:fill="0000EE"/>
          </w:tcPr>
          <w:p>
            <w:pPr>
              <w:spacing w:after="0" w:line="20" w:lineRule="exact"/>
              <w:rPr>
                <w:sz w:val="1"/>
                <w:szCs w:val="1"/>
                <w:color w:val="auto"/>
              </w:rPr>
            </w:pPr>
          </w:p>
        </w:tc>
        <w:tc>
          <w:tcPr>
            <w:tcW w:w="860" w:type="dxa"/>
            <w:vAlign w:val="bottom"/>
            <w:gridSpan w:val="7"/>
            <w:shd w:val="clear" w:color="auto" w:fill="0000EE"/>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40" w:type="dxa"/>
            <w:vAlign w:val="bottom"/>
            <w:gridSpan w:val="5"/>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8880" w:type="dxa"/>
            <w:vAlign w:val="bottom"/>
            <w:gridSpan w:val="25"/>
          </w:tcPr>
          <w:p>
            <w:pPr>
              <w:spacing w:after="0" w:line="161" w:lineRule="exact"/>
              <w:rPr>
                <w:rFonts w:ascii="Arial" w:cs="Arial" w:eastAsia="Arial" w:hAnsi="Arial"/>
                <w:sz w:val="15"/>
                <w:szCs w:val="15"/>
                <w:color w:val="0000EE"/>
              </w:rPr>
            </w:pPr>
            <w:hyperlink w:anchor="page185">
              <w:r>
                <w:rPr>
                  <w:rFonts w:ascii="Arial" w:cs="Arial" w:eastAsia="Arial" w:hAnsi="Arial"/>
                  <w:sz w:val="15"/>
                  <w:szCs w:val="15"/>
                  <w:color w:val="0000EE"/>
                </w:rPr>
                <w:t>Shares Eligible for Future Sale</w:t>
              </w:r>
            </w:hyperlink>
          </w:p>
        </w:tc>
        <w:tc>
          <w:tcPr>
            <w:tcW w:w="280" w:type="dxa"/>
            <w:vAlign w:val="bottom"/>
          </w:tcPr>
          <w:p>
            <w:pPr>
              <w:jc w:val="right"/>
              <w:spacing w:after="0" w:line="161" w:lineRule="exact"/>
              <w:rPr>
                <w:sz w:val="20"/>
                <w:szCs w:val="20"/>
                <w:color w:val="auto"/>
              </w:rPr>
            </w:pPr>
            <w:r>
              <w:rPr>
                <w:rFonts w:ascii="Arial" w:cs="Arial" w:eastAsia="Arial" w:hAnsi="Arial"/>
                <w:sz w:val="15"/>
                <w:szCs w:val="15"/>
                <w:color w:val="auto"/>
              </w:rPr>
              <w:t>178</w:t>
            </w:r>
          </w:p>
        </w:tc>
        <w:tc>
          <w:tcPr>
            <w:tcW w:w="0" w:type="dxa"/>
            <w:vAlign w:val="bottom"/>
          </w:tcPr>
          <w:p>
            <w:pPr>
              <w:spacing w:after="0"/>
              <w:rPr>
                <w:sz w:val="1"/>
                <w:szCs w:val="1"/>
                <w:color w:val="auto"/>
              </w:rPr>
            </w:pPr>
          </w:p>
        </w:tc>
      </w:tr>
      <w:tr>
        <w:trPr>
          <w:trHeight w:val="20"/>
        </w:trPr>
        <w:tc>
          <w:tcPr>
            <w:tcW w:w="460" w:type="dxa"/>
            <w:vAlign w:val="bottom"/>
            <w:shd w:val="clear" w:color="auto" w:fill="0000EE"/>
          </w:tcPr>
          <w:p>
            <w:pPr>
              <w:spacing w:after="0" w:line="20" w:lineRule="exact"/>
              <w:rPr>
                <w:sz w:val="1"/>
                <w:szCs w:val="1"/>
                <w:color w:val="auto"/>
              </w:rPr>
            </w:pPr>
          </w:p>
        </w:tc>
        <w:tc>
          <w:tcPr>
            <w:tcW w:w="380" w:type="dxa"/>
            <w:vAlign w:val="bottom"/>
            <w:gridSpan w:val="5"/>
            <w:shd w:val="clear" w:color="auto" w:fill="0000EE"/>
          </w:tcPr>
          <w:p>
            <w:pPr>
              <w:spacing w:after="0" w:line="20" w:lineRule="exact"/>
              <w:rPr>
                <w:sz w:val="1"/>
                <w:szCs w:val="1"/>
                <w:color w:val="auto"/>
              </w:rPr>
            </w:pPr>
          </w:p>
        </w:tc>
        <w:tc>
          <w:tcPr>
            <w:tcW w:w="1000" w:type="dxa"/>
            <w:vAlign w:val="bottom"/>
            <w:tcBorders>
              <w:right w:val="single" w:sz="8" w:color="0000EE"/>
            </w:tcBorders>
            <w:gridSpan w:val="9"/>
            <w:shd w:val="clear" w:color="auto" w:fill="0000EE"/>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40" w:type="dxa"/>
            <w:vAlign w:val="bottom"/>
            <w:gridSpan w:val="5"/>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6140" w:type="dxa"/>
            <w:vAlign w:val="bottom"/>
            <w:tcBorders>
              <w:bottom w:val="single" w:sz="8" w:color="0000EE"/>
            </w:tcBorders>
            <w:gridSpan w:val="24"/>
          </w:tcPr>
          <w:p>
            <w:pPr>
              <w:spacing w:after="0" w:line="161" w:lineRule="exact"/>
              <w:rPr>
                <w:rFonts w:ascii="Arial" w:cs="Arial" w:eastAsia="Arial" w:hAnsi="Arial"/>
                <w:sz w:val="15"/>
                <w:szCs w:val="15"/>
                <w:color w:val="0000EE"/>
                <w:w w:val="90"/>
              </w:rPr>
            </w:pPr>
            <w:hyperlink w:anchor="page188">
              <w:r>
                <w:rPr>
                  <w:rFonts w:ascii="Arial" w:cs="Arial" w:eastAsia="Arial" w:hAnsi="Arial"/>
                  <w:sz w:val="15"/>
                  <w:szCs w:val="15"/>
                  <w:color w:val="0000EE"/>
                  <w:w w:val="90"/>
                </w:rPr>
                <w:t>Material U.S. Federal Income Tax Consequences to Non-U.S. Holders of Our Class A Common Stock</w:t>
              </w:r>
            </w:hyperlink>
          </w:p>
        </w:tc>
        <w:tc>
          <w:tcPr>
            <w:tcW w:w="2740" w:type="dxa"/>
            <w:vAlign w:val="bottom"/>
          </w:tcPr>
          <w:p>
            <w:pPr>
              <w:spacing w:after="0"/>
              <w:rPr>
                <w:sz w:val="13"/>
                <w:szCs w:val="13"/>
                <w:color w:val="auto"/>
              </w:rPr>
            </w:pPr>
          </w:p>
        </w:tc>
        <w:tc>
          <w:tcPr>
            <w:tcW w:w="280" w:type="dxa"/>
            <w:vAlign w:val="bottom"/>
          </w:tcPr>
          <w:p>
            <w:pPr>
              <w:jc w:val="right"/>
              <w:spacing w:after="0" w:line="161" w:lineRule="exact"/>
              <w:rPr>
                <w:sz w:val="20"/>
                <w:szCs w:val="20"/>
                <w:color w:val="auto"/>
              </w:rPr>
            </w:pPr>
            <w:r>
              <w:rPr>
                <w:rFonts w:ascii="Arial" w:cs="Arial" w:eastAsia="Arial" w:hAnsi="Arial"/>
                <w:sz w:val="15"/>
                <w:szCs w:val="15"/>
                <w:color w:val="auto"/>
              </w:rPr>
              <w:t>181</w:t>
            </w:r>
          </w:p>
        </w:tc>
        <w:tc>
          <w:tcPr>
            <w:tcW w:w="0" w:type="dxa"/>
            <w:vAlign w:val="bottom"/>
          </w:tcPr>
          <w:p>
            <w:pPr>
              <w:spacing w:after="0"/>
              <w:rPr>
                <w:sz w:val="1"/>
                <w:szCs w:val="1"/>
                <w:color w:val="auto"/>
              </w:rPr>
            </w:pPr>
          </w:p>
        </w:tc>
      </w:tr>
      <w:tr>
        <w:trPr>
          <w:trHeight w:val="160"/>
        </w:trPr>
        <w:tc>
          <w:tcPr>
            <w:tcW w:w="8880" w:type="dxa"/>
            <w:vAlign w:val="bottom"/>
            <w:gridSpan w:val="25"/>
          </w:tcPr>
          <w:p>
            <w:pPr>
              <w:spacing w:after="0" w:line="161" w:lineRule="exact"/>
              <w:rPr>
                <w:rFonts w:ascii="Arial" w:cs="Arial" w:eastAsia="Arial" w:hAnsi="Arial"/>
                <w:sz w:val="15"/>
                <w:szCs w:val="15"/>
                <w:color w:val="0000EE"/>
              </w:rPr>
            </w:pPr>
            <w:hyperlink w:anchor="page192">
              <w:r>
                <w:rPr>
                  <w:rFonts w:ascii="Arial" w:cs="Arial" w:eastAsia="Arial" w:hAnsi="Arial"/>
                  <w:sz w:val="15"/>
                  <w:szCs w:val="15"/>
                  <w:color w:val="0000EE"/>
                </w:rPr>
                <w:t>Underwriting (Conflicts of Interest)</w:t>
              </w:r>
            </w:hyperlink>
          </w:p>
        </w:tc>
        <w:tc>
          <w:tcPr>
            <w:tcW w:w="280" w:type="dxa"/>
            <w:vAlign w:val="bottom"/>
          </w:tcPr>
          <w:p>
            <w:pPr>
              <w:jc w:val="right"/>
              <w:spacing w:after="0" w:line="161" w:lineRule="exact"/>
              <w:rPr>
                <w:sz w:val="20"/>
                <w:szCs w:val="20"/>
                <w:color w:val="auto"/>
              </w:rPr>
            </w:pPr>
            <w:r>
              <w:rPr>
                <w:rFonts w:ascii="Arial" w:cs="Arial" w:eastAsia="Arial" w:hAnsi="Arial"/>
                <w:sz w:val="15"/>
                <w:szCs w:val="15"/>
                <w:color w:val="auto"/>
              </w:rPr>
              <w:t>185</w:t>
            </w:r>
          </w:p>
        </w:tc>
        <w:tc>
          <w:tcPr>
            <w:tcW w:w="0" w:type="dxa"/>
            <w:vAlign w:val="bottom"/>
          </w:tcPr>
          <w:p>
            <w:pPr>
              <w:spacing w:after="0"/>
              <w:rPr>
                <w:sz w:val="1"/>
                <w:szCs w:val="1"/>
                <w:color w:val="auto"/>
              </w:rPr>
            </w:pPr>
          </w:p>
        </w:tc>
      </w:tr>
      <w:tr>
        <w:trPr>
          <w:trHeight w:val="160"/>
        </w:trPr>
        <w:tc>
          <w:tcPr>
            <w:tcW w:w="1840" w:type="dxa"/>
            <w:vAlign w:val="bottom"/>
            <w:tcBorders>
              <w:top w:val="single" w:sz="8" w:color="0000EE"/>
              <w:bottom w:val="single" w:sz="8" w:color="0000EE"/>
            </w:tcBorders>
            <w:gridSpan w:val="15"/>
          </w:tcPr>
          <w:p>
            <w:pPr>
              <w:spacing w:after="0" w:line="161" w:lineRule="exact"/>
              <w:rPr>
                <w:rFonts w:ascii="Arial" w:cs="Arial" w:eastAsia="Arial" w:hAnsi="Arial"/>
                <w:sz w:val="15"/>
                <w:szCs w:val="15"/>
                <w:color w:val="0000EE"/>
                <w:w w:val="89"/>
              </w:rPr>
            </w:pPr>
            <w:hyperlink w:anchor="page202">
              <w:r>
                <w:rPr>
                  <w:rFonts w:ascii="Arial" w:cs="Arial" w:eastAsia="Arial" w:hAnsi="Arial"/>
                  <w:sz w:val="15"/>
                  <w:szCs w:val="15"/>
                  <w:color w:val="0000EE"/>
                  <w:w w:val="89"/>
                </w:rPr>
                <w:t>Concurrent Private Placement</w:t>
              </w:r>
            </w:hyperlink>
          </w:p>
        </w:tc>
        <w:tc>
          <w:tcPr>
            <w:tcW w:w="300" w:type="dxa"/>
            <w:vAlign w:val="bottom"/>
            <w:tcBorders>
              <w:top w:val="single" w:sz="8" w:color="0000EE"/>
            </w:tcBorders>
            <w:gridSpan w:val="2"/>
          </w:tcPr>
          <w:p>
            <w:pPr>
              <w:spacing w:after="0"/>
              <w:rPr>
                <w:sz w:val="13"/>
                <w:szCs w:val="13"/>
                <w:color w:val="auto"/>
              </w:rPr>
            </w:pPr>
          </w:p>
        </w:tc>
        <w:tc>
          <w:tcPr>
            <w:tcW w:w="6740" w:type="dxa"/>
            <w:vAlign w:val="bottom"/>
            <w:gridSpan w:val="8"/>
          </w:tcPr>
          <w:p>
            <w:pPr>
              <w:spacing w:after="0"/>
              <w:rPr>
                <w:sz w:val="13"/>
                <w:szCs w:val="13"/>
                <w:color w:val="auto"/>
              </w:rPr>
            </w:pPr>
          </w:p>
        </w:tc>
        <w:tc>
          <w:tcPr>
            <w:tcW w:w="280" w:type="dxa"/>
            <w:vAlign w:val="bottom"/>
          </w:tcPr>
          <w:p>
            <w:pPr>
              <w:jc w:val="right"/>
              <w:spacing w:after="0" w:line="161" w:lineRule="exact"/>
              <w:rPr>
                <w:sz w:val="20"/>
                <w:szCs w:val="20"/>
                <w:color w:val="auto"/>
              </w:rPr>
            </w:pPr>
            <w:r>
              <w:rPr>
                <w:rFonts w:ascii="Arial" w:cs="Arial" w:eastAsia="Arial" w:hAnsi="Arial"/>
                <w:sz w:val="15"/>
                <w:szCs w:val="15"/>
                <w:color w:val="auto"/>
              </w:rPr>
              <w:t>195</w:t>
            </w:r>
          </w:p>
        </w:tc>
        <w:tc>
          <w:tcPr>
            <w:tcW w:w="0" w:type="dxa"/>
            <w:vAlign w:val="bottom"/>
          </w:tcPr>
          <w:p>
            <w:pPr>
              <w:spacing w:after="0"/>
              <w:rPr>
                <w:sz w:val="1"/>
                <w:szCs w:val="1"/>
                <w:color w:val="auto"/>
              </w:rPr>
            </w:pPr>
          </w:p>
        </w:tc>
      </w:tr>
      <w:tr>
        <w:trPr>
          <w:trHeight w:val="160"/>
        </w:trPr>
        <w:tc>
          <w:tcPr>
            <w:tcW w:w="840" w:type="dxa"/>
            <w:vAlign w:val="bottom"/>
            <w:tcBorders>
              <w:bottom w:val="single" w:sz="8" w:color="0000EE"/>
            </w:tcBorders>
            <w:gridSpan w:val="6"/>
          </w:tcPr>
          <w:p>
            <w:pPr>
              <w:spacing w:after="0" w:line="161" w:lineRule="exact"/>
              <w:rPr>
                <w:rFonts w:ascii="Arial" w:cs="Arial" w:eastAsia="Arial" w:hAnsi="Arial"/>
                <w:sz w:val="15"/>
                <w:szCs w:val="15"/>
                <w:color w:val="0000EE"/>
                <w:w w:val="90"/>
              </w:rPr>
            </w:pPr>
            <w:hyperlink w:anchor="page202">
              <w:r>
                <w:rPr>
                  <w:rFonts w:ascii="Arial" w:cs="Arial" w:eastAsia="Arial" w:hAnsi="Arial"/>
                  <w:sz w:val="15"/>
                  <w:szCs w:val="15"/>
                  <w:color w:val="0000EE"/>
                  <w:w w:val="90"/>
                </w:rPr>
                <w:t>Legal Matters</w:t>
              </w:r>
            </w:hyperlink>
          </w:p>
        </w:tc>
        <w:tc>
          <w:tcPr>
            <w:tcW w:w="8040" w:type="dxa"/>
            <w:vAlign w:val="bottom"/>
            <w:gridSpan w:val="19"/>
          </w:tcPr>
          <w:p>
            <w:pPr>
              <w:spacing w:after="0"/>
              <w:rPr>
                <w:sz w:val="13"/>
                <w:szCs w:val="13"/>
                <w:color w:val="auto"/>
              </w:rPr>
            </w:pPr>
          </w:p>
        </w:tc>
        <w:tc>
          <w:tcPr>
            <w:tcW w:w="280" w:type="dxa"/>
            <w:vAlign w:val="bottom"/>
          </w:tcPr>
          <w:p>
            <w:pPr>
              <w:jc w:val="right"/>
              <w:spacing w:after="0" w:line="161" w:lineRule="exact"/>
              <w:rPr>
                <w:sz w:val="20"/>
                <w:szCs w:val="20"/>
                <w:color w:val="auto"/>
              </w:rPr>
            </w:pPr>
            <w:r>
              <w:rPr>
                <w:rFonts w:ascii="Arial" w:cs="Arial" w:eastAsia="Arial" w:hAnsi="Arial"/>
                <w:sz w:val="15"/>
                <w:szCs w:val="15"/>
                <w:color w:val="auto"/>
              </w:rPr>
              <w:t>195</w:t>
            </w:r>
          </w:p>
        </w:tc>
        <w:tc>
          <w:tcPr>
            <w:tcW w:w="0" w:type="dxa"/>
            <w:vAlign w:val="bottom"/>
          </w:tcPr>
          <w:p>
            <w:pPr>
              <w:spacing w:after="0"/>
              <w:rPr>
                <w:sz w:val="1"/>
                <w:szCs w:val="1"/>
                <w:color w:val="auto"/>
              </w:rPr>
            </w:pPr>
          </w:p>
        </w:tc>
      </w:tr>
      <w:tr>
        <w:trPr>
          <w:trHeight w:val="160"/>
        </w:trPr>
        <w:tc>
          <w:tcPr>
            <w:tcW w:w="460" w:type="dxa"/>
            <w:vAlign w:val="bottom"/>
            <w:tcBorders>
              <w:bottom w:val="single" w:sz="8" w:color="0000EE"/>
            </w:tcBorders>
          </w:tcPr>
          <w:p>
            <w:pPr>
              <w:spacing w:after="0" w:line="161" w:lineRule="exact"/>
              <w:rPr>
                <w:rFonts w:ascii="Arial" w:cs="Arial" w:eastAsia="Arial" w:hAnsi="Arial"/>
                <w:sz w:val="15"/>
                <w:szCs w:val="15"/>
                <w:color w:val="0000EE"/>
                <w:w w:val="86"/>
              </w:rPr>
            </w:pPr>
            <w:hyperlink w:anchor="page202">
              <w:r>
                <w:rPr>
                  <w:rFonts w:ascii="Arial" w:cs="Arial" w:eastAsia="Arial" w:hAnsi="Arial"/>
                  <w:sz w:val="15"/>
                  <w:szCs w:val="15"/>
                  <w:color w:val="0000EE"/>
                  <w:w w:val="86"/>
                </w:rPr>
                <w:t>Experts</w:t>
              </w:r>
            </w:hyperlink>
          </w:p>
        </w:tc>
        <w:tc>
          <w:tcPr>
            <w:tcW w:w="8420" w:type="dxa"/>
            <w:vAlign w:val="bottom"/>
            <w:gridSpan w:val="24"/>
          </w:tcPr>
          <w:p>
            <w:pPr>
              <w:spacing w:after="0"/>
              <w:rPr>
                <w:sz w:val="13"/>
                <w:szCs w:val="13"/>
                <w:color w:val="auto"/>
              </w:rPr>
            </w:pPr>
          </w:p>
        </w:tc>
        <w:tc>
          <w:tcPr>
            <w:tcW w:w="280" w:type="dxa"/>
            <w:vAlign w:val="bottom"/>
          </w:tcPr>
          <w:p>
            <w:pPr>
              <w:jc w:val="right"/>
              <w:spacing w:after="0" w:line="161" w:lineRule="exact"/>
              <w:rPr>
                <w:sz w:val="20"/>
                <w:szCs w:val="20"/>
                <w:color w:val="auto"/>
              </w:rPr>
            </w:pPr>
            <w:r>
              <w:rPr>
                <w:rFonts w:ascii="Arial" w:cs="Arial" w:eastAsia="Arial" w:hAnsi="Arial"/>
                <w:sz w:val="15"/>
                <w:szCs w:val="15"/>
                <w:color w:val="auto"/>
              </w:rPr>
              <w:t>195</w:t>
            </w:r>
          </w:p>
        </w:tc>
        <w:tc>
          <w:tcPr>
            <w:tcW w:w="0" w:type="dxa"/>
            <w:vAlign w:val="bottom"/>
          </w:tcPr>
          <w:p>
            <w:pPr>
              <w:spacing w:after="0"/>
              <w:rPr>
                <w:sz w:val="1"/>
                <w:szCs w:val="1"/>
                <w:color w:val="auto"/>
              </w:rPr>
            </w:pPr>
          </w:p>
        </w:tc>
      </w:tr>
      <w:tr>
        <w:trPr>
          <w:trHeight w:val="160"/>
        </w:trPr>
        <w:tc>
          <w:tcPr>
            <w:tcW w:w="8880" w:type="dxa"/>
            <w:vAlign w:val="bottom"/>
            <w:gridSpan w:val="25"/>
          </w:tcPr>
          <w:p>
            <w:pPr>
              <w:spacing w:after="0" w:line="161" w:lineRule="exact"/>
              <w:rPr>
                <w:rFonts w:ascii="Arial" w:cs="Arial" w:eastAsia="Arial" w:hAnsi="Arial"/>
                <w:sz w:val="15"/>
                <w:szCs w:val="15"/>
                <w:color w:val="0000EE"/>
              </w:rPr>
            </w:pPr>
            <w:hyperlink w:anchor="page202">
              <w:r>
                <w:rPr>
                  <w:rFonts w:ascii="Arial" w:cs="Arial" w:eastAsia="Arial" w:hAnsi="Arial"/>
                  <w:sz w:val="15"/>
                  <w:szCs w:val="15"/>
                  <w:color w:val="0000EE"/>
                </w:rPr>
                <w:t>Where You Can Find Additional Information</w:t>
              </w:r>
            </w:hyperlink>
          </w:p>
        </w:tc>
        <w:tc>
          <w:tcPr>
            <w:tcW w:w="280" w:type="dxa"/>
            <w:vAlign w:val="bottom"/>
          </w:tcPr>
          <w:p>
            <w:pPr>
              <w:jc w:val="right"/>
              <w:spacing w:after="0" w:line="161" w:lineRule="exact"/>
              <w:rPr>
                <w:sz w:val="20"/>
                <w:szCs w:val="20"/>
                <w:color w:val="auto"/>
              </w:rPr>
            </w:pPr>
            <w:r>
              <w:rPr>
                <w:rFonts w:ascii="Arial" w:cs="Arial" w:eastAsia="Arial" w:hAnsi="Arial"/>
                <w:sz w:val="15"/>
                <w:szCs w:val="15"/>
                <w:color w:val="auto"/>
              </w:rPr>
              <w:t>195</w:t>
            </w:r>
          </w:p>
        </w:tc>
        <w:tc>
          <w:tcPr>
            <w:tcW w:w="0" w:type="dxa"/>
            <w:vAlign w:val="bottom"/>
          </w:tcPr>
          <w:p>
            <w:pPr>
              <w:spacing w:after="0"/>
              <w:rPr>
                <w:sz w:val="1"/>
                <w:szCs w:val="1"/>
                <w:color w:val="auto"/>
              </w:rPr>
            </w:pPr>
          </w:p>
        </w:tc>
      </w:tr>
      <w:tr>
        <w:trPr>
          <w:trHeight w:val="160"/>
        </w:trPr>
        <w:tc>
          <w:tcPr>
            <w:tcW w:w="2620" w:type="dxa"/>
            <w:vAlign w:val="bottom"/>
            <w:tcBorders>
              <w:top w:val="single" w:sz="8" w:color="0000EE"/>
              <w:bottom w:val="single" w:sz="8" w:color="0000EE"/>
            </w:tcBorders>
            <w:gridSpan w:val="18"/>
          </w:tcPr>
          <w:p>
            <w:pPr>
              <w:spacing w:after="0" w:line="161" w:lineRule="exact"/>
              <w:rPr>
                <w:rFonts w:ascii="Arial" w:cs="Arial" w:eastAsia="Arial" w:hAnsi="Arial"/>
                <w:sz w:val="15"/>
                <w:szCs w:val="15"/>
                <w:color w:val="0000EE"/>
                <w:w w:val="89"/>
              </w:rPr>
            </w:pPr>
            <w:hyperlink w:anchor="page204">
              <w:r>
                <w:rPr>
                  <w:rFonts w:ascii="Arial" w:cs="Arial" w:eastAsia="Arial" w:hAnsi="Arial"/>
                  <w:sz w:val="15"/>
                  <w:szCs w:val="15"/>
                  <w:color w:val="0000EE"/>
                  <w:w w:val="89"/>
                </w:rPr>
                <w:t>Index to Consolidated Financial Statements</w:t>
              </w:r>
            </w:hyperlink>
          </w:p>
        </w:tc>
        <w:tc>
          <w:tcPr>
            <w:tcW w:w="80" w:type="dxa"/>
            <w:vAlign w:val="bottom"/>
            <w:tcBorders>
              <w:top w:val="single" w:sz="8" w:color="0000EE"/>
            </w:tcBorders>
          </w:tcPr>
          <w:p>
            <w:pPr>
              <w:spacing w:after="0"/>
              <w:rPr>
                <w:sz w:val="13"/>
                <w:szCs w:val="13"/>
                <w:color w:val="auto"/>
              </w:rPr>
            </w:pPr>
          </w:p>
        </w:tc>
        <w:tc>
          <w:tcPr>
            <w:tcW w:w="6180" w:type="dxa"/>
            <w:vAlign w:val="bottom"/>
            <w:gridSpan w:val="6"/>
          </w:tcPr>
          <w:p>
            <w:pPr>
              <w:spacing w:after="0"/>
              <w:rPr>
                <w:sz w:val="13"/>
                <w:szCs w:val="13"/>
                <w:color w:val="auto"/>
              </w:rPr>
            </w:pPr>
          </w:p>
        </w:tc>
        <w:tc>
          <w:tcPr>
            <w:tcW w:w="280" w:type="dxa"/>
            <w:vAlign w:val="bottom"/>
          </w:tcPr>
          <w:p>
            <w:pPr>
              <w:jc w:val="right"/>
              <w:spacing w:after="0" w:line="161" w:lineRule="exact"/>
              <w:rPr>
                <w:sz w:val="20"/>
                <w:szCs w:val="20"/>
                <w:color w:val="auto"/>
              </w:rPr>
            </w:pPr>
            <w:r>
              <w:rPr>
                <w:rFonts w:ascii="Arial" w:cs="Arial" w:eastAsia="Arial" w:hAnsi="Arial"/>
                <w:sz w:val="15"/>
                <w:szCs w:val="15"/>
                <w:color w:val="auto"/>
              </w:rPr>
              <w:t>F-1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3016250</wp:posOffset>
            </wp:positionH>
            <wp:positionV relativeFrom="paragraph">
              <wp:posOffset>207645</wp:posOffset>
            </wp:positionV>
            <wp:extent cx="1224915" cy="698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24915" cy="6985"/>
                    </a:xfrm>
                    <a:prstGeom prst="rect">
                      <a:avLst/>
                    </a:prstGeom>
                    <a:noFill/>
                  </pic:spPr>
                </pic:pic>
              </a:graphicData>
            </a:graphic>
          </wp:anchor>
        </w:drawing>
      </w:r>
    </w:p>
    <w:p>
      <w:pPr>
        <w:spacing w:after="0" w:line="200" w:lineRule="exact"/>
        <w:rPr>
          <w:sz w:val="20"/>
          <w:szCs w:val="20"/>
          <w:color w:val="auto"/>
        </w:rPr>
      </w:pPr>
    </w:p>
    <w:p>
      <w:pPr>
        <w:spacing w:after="0" w:line="284" w:lineRule="exact"/>
        <w:rPr>
          <w:sz w:val="20"/>
          <w:szCs w:val="20"/>
          <w:color w:val="auto"/>
        </w:rPr>
      </w:pPr>
    </w:p>
    <w:p>
      <w:pPr>
        <w:ind w:left="1120" w:right="220" w:firstLine="368"/>
        <w:spacing w:after="0" w:line="293" w:lineRule="auto"/>
        <w:rPr>
          <w:sz w:val="20"/>
          <w:szCs w:val="20"/>
          <w:color w:val="auto"/>
        </w:rPr>
      </w:pPr>
      <w:r>
        <w:rPr>
          <w:rFonts w:ascii="Arial" w:cs="Arial" w:eastAsia="Arial" w:hAnsi="Arial"/>
          <w:sz w:val="14"/>
          <w:szCs w:val="14"/>
          <w:b w:val="1"/>
          <w:bCs w:val="1"/>
          <w:color w:val="auto"/>
        </w:rPr>
        <w:t>Through and including , 2018 (the 25th day after the date of this prospectus), all dealers effecting transactions in these securities, whether or not participating in this offering, may be required to deliver a prospectus. This is in addition to a dealer’s obligation to deliver a prospectus when acting as an underwriter and with respect to an unsold allotment or subscription.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3016250</wp:posOffset>
            </wp:positionH>
            <wp:positionV relativeFrom="paragraph">
              <wp:posOffset>165100</wp:posOffset>
            </wp:positionV>
            <wp:extent cx="1224915" cy="698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24915" cy="6985"/>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ind w:left="1120" w:right="100" w:firstLine="368"/>
        <w:spacing w:after="0" w:line="255" w:lineRule="auto"/>
        <w:rPr>
          <w:sz w:val="20"/>
          <w:szCs w:val="20"/>
          <w:color w:val="auto"/>
        </w:rPr>
      </w:pPr>
      <w:r>
        <w:rPr>
          <w:rFonts w:ascii="Arial" w:cs="Arial" w:eastAsia="Arial" w:hAnsi="Arial"/>
          <w:sz w:val="15"/>
          <w:szCs w:val="15"/>
          <w:color w:val="auto"/>
        </w:rPr>
        <w:t>Neither we, the selling stockholders, nor any of the underwriters have authorized anyone to provide any information or to make any representations other than those contained in this prospectus or in any free writing prospectuses we have prepared. Neither we, the selling stockholders, nor any of the underwriters take responsibility for, and can provide no assurance as to the reliability of, any other information that others may give you. This prospectus is an offer to sell only the shares offered hereby, but only under circumstances and in jurisdictions where it is lawful to do so. The information contained in this prospectus is current only as of its date, regardless of the time of delivery of this prospectus or of any sale of our Class A common stock.</w:t>
      </w:r>
    </w:p>
    <w:p>
      <w:pPr>
        <w:spacing w:after="0" w:line="164" w:lineRule="exact"/>
        <w:rPr>
          <w:sz w:val="20"/>
          <w:szCs w:val="20"/>
          <w:color w:val="auto"/>
        </w:rPr>
      </w:pPr>
    </w:p>
    <w:p>
      <w:pPr>
        <w:ind w:left="1120" w:firstLine="368"/>
        <w:spacing w:after="0" w:line="283" w:lineRule="auto"/>
        <w:rPr>
          <w:sz w:val="20"/>
          <w:szCs w:val="20"/>
          <w:color w:val="auto"/>
        </w:rPr>
      </w:pPr>
      <w:r>
        <w:rPr>
          <w:rFonts w:ascii="Arial" w:cs="Arial" w:eastAsia="Arial" w:hAnsi="Arial"/>
          <w:sz w:val="14"/>
          <w:szCs w:val="14"/>
          <w:color w:val="auto"/>
        </w:rPr>
        <w:t>For investors outside the United States: Neither we, the selling stockholders, nor any of the underwriters have done anything that would permit our initial public offering or possession or distribution of this prospectus in any jurisdiction where action for that purpose is required, other than in the United States. Persons outside the United States who come into possession of this prospectus must inform themselves about, and observe any restrictions relating to, the offering of the shares of our Class A common stock and the distribution of this prospectus outside the United States.</w:t>
      </w:r>
    </w:p>
    <w:p>
      <w:pPr>
        <w:sectPr>
          <w:pgSz w:w="11900" w:h="16838" w:orient="portrait"/>
          <w:cols w:equalWidth="0" w:num="1">
            <w:col w:w="10320"/>
          </w:cols>
          <w:pgMar w:left="240" w:top="407" w:right="1339" w:bottom="1440" w:gutter="0" w:footer="0" w:header="0"/>
        </w:sectPr>
      </w:pPr>
    </w:p>
    <w:bookmarkStart w:id="7" w:name="page8"/>
    <w:bookmarkEnd w:id="7"/>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133350</wp:posOffset>
            </wp:positionH>
            <wp:positionV relativeFrom="page">
              <wp:posOffset>88900</wp:posOffset>
            </wp:positionV>
            <wp:extent cx="7308850" cy="342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308850" cy="34290"/>
                    </a:xfrm>
                    <a:prstGeom prst="rect">
                      <a:avLst/>
                    </a:prstGeom>
                    <a:noFill/>
                  </pic:spPr>
                </pic:pic>
              </a:graphicData>
            </a:graphic>
          </wp:anchor>
        </w:drawing>
      </w:r>
      <w:hyperlink w:anchor="page7">
        <w:r>
          <w:rPr>
            <w:rFonts w:ascii="Arial" w:cs="Arial" w:eastAsia="Arial" w:hAnsi="Arial"/>
            <w:sz w:val="15"/>
            <w:szCs w:val="15"/>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707390</wp:posOffset>
            </wp:positionH>
            <wp:positionV relativeFrom="paragraph">
              <wp:posOffset>168910</wp:posOffset>
            </wp:positionV>
            <wp:extent cx="5849620" cy="488251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849620" cy="4882515"/>
                    </a:xfrm>
                    <a:prstGeom prst="rect">
                      <a:avLst/>
                    </a:prstGeom>
                    <a:noFill/>
                  </pic:spPr>
                </pic:pic>
              </a:graphicData>
            </a:graphic>
          </wp:anchor>
        </w:drawing>
      </w:r>
    </w:p>
    <w:p>
      <w:pPr>
        <w:spacing w:after="0" w:line="393" w:lineRule="exact"/>
        <w:rPr>
          <w:sz w:val="20"/>
          <w:szCs w:val="20"/>
          <w:color w:val="auto"/>
        </w:rPr>
      </w:pPr>
    </w:p>
    <w:p>
      <w:pPr>
        <w:jc w:val="center"/>
        <w:ind w:right="-1200"/>
        <w:spacing w:after="0"/>
        <w:rPr>
          <w:sz w:val="20"/>
          <w:szCs w:val="20"/>
          <w:color w:val="auto"/>
        </w:rPr>
      </w:pPr>
      <w:r>
        <w:rPr>
          <w:rFonts w:ascii="Arial" w:cs="Arial" w:eastAsia="Arial" w:hAnsi="Arial"/>
          <w:sz w:val="15"/>
          <w:szCs w:val="15"/>
          <w:b w:val="1"/>
          <w:bCs w:val="1"/>
          <w:color w:val="auto"/>
        </w:rPr>
        <w:t>PROSPECTUS SUMMARY</w:t>
      </w:r>
    </w:p>
    <w:p>
      <w:pPr>
        <w:spacing w:after="0" w:line="192" w:lineRule="exact"/>
        <w:rPr>
          <w:sz w:val="20"/>
          <w:szCs w:val="20"/>
          <w:color w:val="auto"/>
        </w:rPr>
      </w:pPr>
    </w:p>
    <w:p>
      <w:pPr>
        <w:ind w:left="1260" w:right="79" w:firstLine="356"/>
        <w:spacing w:after="0" w:line="255" w:lineRule="auto"/>
        <w:rPr>
          <w:sz w:val="20"/>
          <w:szCs w:val="20"/>
          <w:color w:val="auto"/>
        </w:rPr>
      </w:pPr>
      <w:r>
        <w:rPr>
          <w:rFonts w:ascii="Arial" w:cs="Arial" w:eastAsia="Arial" w:hAnsi="Arial"/>
          <w:sz w:val="15"/>
          <w:szCs w:val="15"/>
          <w:i w:val="1"/>
          <w:iCs w:val="1"/>
          <w:color w:val="auto"/>
        </w:rPr>
        <w:t>This summary highlights selected information that is presented in greater detail elsewhere in this prospectus. This summary does not contain all of the information you should consider before investing in our Class A common stock. You should read this entire prospectus carefully, including the sections titled “Risk Factors” and “Management’s Discussion and Analysis of Financial Condition and Results of Operations,” and our consolidated financial statements, and the related notes included elsewhere in this prospectus, before making an investment decision. Unless the context otherwise requires, the terms “Dropbox,” “the Company,” “we,” “us,” and “our” in this prospectus refer to Dropbox, Inc. and its consolidated subsidiaries, and references to our “common stock” include our Class A common stock, Class B common stock, and Class C common stock.</w:t>
      </w:r>
    </w:p>
    <w:p>
      <w:pPr>
        <w:spacing w:after="0" w:line="337" w:lineRule="exact"/>
        <w:rPr>
          <w:sz w:val="20"/>
          <w:szCs w:val="20"/>
          <w:color w:val="auto"/>
        </w:rPr>
      </w:pPr>
    </w:p>
    <w:p>
      <w:pPr>
        <w:ind w:left="5140"/>
        <w:spacing w:after="0"/>
        <w:rPr>
          <w:sz w:val="20"/>
          <w:szCs w:val="20"/>
          <w:color w:val="auto"/>
        </w:rPr>
      </w:pPr>
      <w:r>
        <w:rPr>
          <w:rFonts w:ascii="Arial" w:cs="Arial" w:eastAsia="Arial" w:hAnsi="Arial"/>
          <w:sz w:val="15"/>
          <w:szCs w:val="15"/>
          <w:b w:val="1"/>
          <w:bCs w:val="1"/>
          <w:color w:val="auto"/>
        </w:rPr>
        <w:t>DROPBOX, INC.</w:t>
      </w:r>
    </w:p>
    <w:p>
      <w:pPr>
        <w:spacing w:after="0" w:line="188" w:lineRule="exact"/>
        <w:rPr>
          <w:sz w:val="20"/>
          <w:szCs w:val="20"/>
          <w:color w:val="auto"/>
        </w:rPr>
      </w:pPr>
    </w:p>
    <w:p>
      <w:pPr>
        <w:ind w:left="1260"/>
        <w:spacing w:after="0"/>
        <w:rPr>
          <w:sz w:val="20"/>
          <w:szCs w:val="20"/>
          <w:color w:val="auto"/>
        </w:rPr>
      </w:pPr>
      <w:r>
        <w:rPr>
          <w:rFonts w:ascii="Arial" w:cs="Arial" w:eastAsia="Arial" w:hAnsi="Arial"/>
          <w:sz w:val="15"/>
          <w:szCs w:val="15"/>
          <w:b w:val="1"/>
          <w:bCs w:val="1"/>
          <w:color w:val="auto"/>
        </w:rPr>
        <w:t>Our Business</w:t>
      </w:r>
    </w:p>
    <w:p>
      <w:pPr>
        <w:spacing w:after="0" w:line="102" w:lineRule="exact"/>
        <w:rPr>
          <w:sz w:val="20"/>
          <w:szCs w:val="20"/>
          <w:color w:val="auto"/>
        </w:rPr>
      </w:pPr>
    </w:p>
    <w:p>
      <w:pPr>
        <w:ind w:left="1260" w:right="359" w:firstLine="356"/>
        <w:spacing w:after="0" w:line="263" w:lineRule="auto"/>
        <w:rPr>
          <w:sz w:val="20"/>
          <w:szCs w:val="20"/>
          <w:color w:val="auto"/>
        </w:rPr>
      </w:pPr>
      <w:r>
        <w:rPr>
          <w:rFonts w:ascii="Arial" w:cs="Arial" w:eastAsia="Arial" w:hAnsi="Arial"/>
          <w:sz w:val="15"/>
          <w:szCs w:val="15"/>
          <w:color w:val="auto"/>
        </w:rPr>
        <w:t>Our modern economy runs on knowledge. Today, knowledge lives in the cloud as digital content, and Dropbox is a global collaboration platform where more and more of this content is created, accessed, and shared with the world. We serve more than 500 million registered users across 180 countries.</w:t>
      </w:r>
    </w:p>
    <w:p>
      <w:pPr>
        <w:spacing w:after="0" w:line="155" w:lineRule="exact"/>
        <w:rPr>
          <w:sz w:val="20"/>
          <w:szCs w:val="20"/>
          <w:color w:val="auto"/>
        </w:rPr>
      </w:pPr>
    </w:p>
    <w:p>
      <w:pPr>
        <w:ind w:left="1260" w:right="259" w:firstLine="356"/>
        <w:spacing w:after="0" w:line="263" w:lineRule="auto"/>
        <w:rPr>
          <w:sz w:val="20"/>
          <w:szCs w:val="20"/>
          <w:color w:val="auto"/>
        </w:rPr>
      </w:pPr>
      <w:r>
        <w:rPr>
          <w:rFonts w:ascii="Arial" w:cs="Arial" w:eastAsia="Arial" w:hAnsi="Arial"/>
          <w:sz w:val="15"/>
          <w:szCs w:val="15"/>
          <w:color w:val="auto"/>
        </w:rPr>
        <w:t>Dropbox was founded in 2007 with a simple idea: Life would be a lot better if everyone could access their most important information anytime from any device. Over the past decade, we’ve largely accomplished that mission—but along the way we recognized that for most of our users, sharing and collaborating on Dropbox was even more valuable than storing files.</w:t>
      </w:r>
    </w:p>
    <w:p>
      <w:pPr>
        <w:spacing w:after="0" w:line="155" w:lineRule="exact"/>
        <w:rPr>
          <w:sz w:val="20"/>
          <w:szCs w:val="20"/>
          <w:color w:val="auto"/>
        </w:rPr>
      </w:pPr>
    </w:p>
    <w:p>
      <w:pPr>
        <w:ind w:left="1260" w:right="199" w:firstLine="356"/>
        <w:spacing w:after="0" w:line="290" w:lineRule="auto"/>
        <w:rPr>
          <w:sz w:val="20"/>
          <w:szCs w:val="20"/>
          <w:color w:val="auto"/>
        </w:rPr>
      </w:pPr>
      <w:r>
        <w:rPr>
          <w:rFonts w:ascii="Arial" w:cs="Arial" w:eastAsia="Arial" w:hAnsi="Arial"/>
          <w:sz w:val="14"/>
          <w:szCs w:val="14"/>
          <w:color w:val="auto"/>
        </w:rPr>
        <w:t>Our market opportunity has grown as we’ve expanded from keeping files in sync to keeping teams in sync. Today, Dropbox is well positioned to reimagine the way work gets done. We’re focused on reducing the inordinate amount of time and energy the world wastes on “work about work”—tedious tasks like searching for content, switching between applications, and managing workflows.</w:t>
      </w:r>
    </w:p>
    <w:p>
      <w:pPr>
        <w:spacing w:after="0" w:line="138" w:lineRule="exact"/>
        <w:rPr>
          <w:sz w:val="20"/>
          <w:szCs w:val="20"/>
          <w:color w:val="auto"/>
        </w:rPr>
      </w:pPr>
    </w:p>
    <w:p>
      <w:pPr>
        <w:ind w:left="1260" w:right="119" w:firstLine="356"/>
        <w:spacing w:after="0" w:line="275" w:lineRule="auto"/>
        <w:rPr>
          <w:sz w:val="20"/>
          <w:szCs w:val="20"/>
          <w:color w:val="auto"/>
        </w:rPr>
      </w:pPr>
      <w:r>
        <w:rPr>
          <w:rFonts w:ascii="Arial" w:cs="Arial" w:eastAsia="Arial" w:hAnsi="Arial"/>
          <w:sz w:val="15"/>
          <w:szCs w:val="15"/>
          <w:color w:val="auto"/>
        </w:rPr>
        <w:t>We want to free up our users to spend more of their time on the work that truly matters. Our mission is to unleash the world’s creative energy by designing a more enlightened way of working.</w:t>
      </w:r>
    </w:p>
    <w:p>
      <w:pPr>
        <w:spacing w:after="0" w:line="146" w:lineRule="exact"/>
        <w:rPr>
          <w:sz w:val="20"/>
          <w:szCs w:val="20"/>
          <w:color w:val="auto"/>
        </w:rPr>
      </w:pPr>
    </w:p>
    <w:p>
      <w:pPr>
        <w:jc w:val="both"/>
        <w:ind w:left="1260" w:right="259" w:firstLine="356"/>
        <w:spacing w:after="0" w:line="263" w:lineRule="auto"/>
        <w:rPr>
          <w:sz w:val="20"/>
          <w:szCs w:val="20"/>
          <w:color w:val="auto"/>
        </w:rPr>
      </w:pPr>
      <w:r>
        <w:rPr>
          <w:rFonts w:ascii="Arial" w:cs="Arial" w:eastAsia="Arial" w:hAnsi="Arial"/>
          <w:sz w:val="15"/>
          <w:szCs w:val="15"/>
          <w:color w:val="auto"/>
        </w:rPr>
        <w:t>We believe the need for our platform will continue to grow as teams become more fluid and global, and content is increasingly fragmented across incompatible tools and devices. Dropbox breaks down silos by centralizing the flow of information between the products and services our users prefer, even if they’re not our own.</w:t>
      </w:r>
    </w:p>
    <w:p>
      <w:pPr>
        <w:spacing w:after="0" w:line="155" w:lineRule="exact"/>
        <w:rPr>
          <w:sz w:val="20"/>
          <w:szCs w:val="20"/>
          <w:color w:val="auto"/>
        </w:rPr>
      </w:pPr>
    </w:p>
    <w:p>
      <w:pPr>
        <w:ind w:left="1260" w:right="279" w:firstLine="356"/>
        <w:spacing w:after="0" w:line="275" w:lineRule="auto"/>
        <w:rPr>
          <w:sz w:val="20"/>
          <w:szCs w:val="20"/>
          <w:color w:val="auto"/>
        </w:rPr>
      </w:pPr>
      <w:r>
        <w:rPr>
          <w:rFonts w:ascii="Arial" w:cs="Arial" w:eastAsia="Arial" w:hAnsi="Arial"/>
          <w:sz w:val="15"/>
          <w:szCs w:val="15"/>
          <w:color w:val="auto"/>
        </w:rPr>
        <w:t>By solving these universal problems, we’ve become invaluable to our users. The popularity of our platform drives viral growth, which has allowed us to scale rapidly and efficiently. We’ve built a thriving global business with over 11 million paying users.</w:t>
      </w:r>
    </w:p>
    <w:p>
      <w:pPr>
        <w:spacing w:after="0" w:line="146" w:lineRule="exact"/>
        <w:rPr>
          <w:sz w:val="20"/>
          <w:szCs w:val="20"/>
          <w:color w:val="auto"/>
        </w:rPr>
      </w:pPr>
    </w:p>
    <w:p>
      <w:pPr>
        <w:ind w:left="1260" w:right="159" w:firstLine="356"/>
        <w:spacing w:after="0" w:line="259" w:lineRule="auto"/>
        <w:rPr>
          <w:sz w:val="20"/>
          <w:szCs w:val="20"/>
          <w:color w:val="auto"/>
        </w:rPr>
      </w:pPr>
      <w:r>
        <w:rPr>
          <w:rFonts w:ascii="Arial" w:cs="Arial" w:eastAsia="Arial" w:hAnsi="Arial"/>
          <w:sz w:val="15"/>
          <w:szCs w:val="15"/>
          <w:color w:val="auto"/>
        </w:rPr>
        <w:t>Our revenue was $603.8 million, $844.8 million, and $1,106.8 million in 2015, 2016, and 2017, respectively, representing an annual growth rate of 40% and 31%, respectively. We generated net losses of $325.9 million, $210.2 million, and $111.7 million in 2015, 2016, and 2017, respectively. We also generated positive free cash flow of $137.4 million and $305.0 million in 2016 and 2017, respectively, compared to negative free cash flow of $63.9 million in 2015.</w:t>
      </w:r>
    </w:p>
    <w:p>
      <w:pPr>
        <w:spacing w:after="0" w:line="200" w:lineRule="exact"/>
        <w:rPr>
          <w:sz w:val="20"/>
          <w:szCs w:val="20"/>
          <w:color w:val="auto"/>
        </w:rPr>
      </w:pPr>
    </w:p>
    <w:p>
      <w:pPr>
        <w:spacing w:after="0" w:line="319" w:lineRule="exact"/>
        <w:rPr>
          <w:sz w:val="20"/>
          <w:szCs w:val="20"/>
          <w:color w:val="auto"/>
        </w:rPr>
      </w:pPr>
    </w:p>
    <w:p>
      <w:pPr>
        <w:ind w:left="5680"/>
        <w:spacing w:after="0"/>
        <w:rPr>
          <w:sz w:val="20"/>
          <w:szCs w:val="20"/>
          <w:color w:val="auto"/>
        </w:rPr>
      </w:pPr>
      <w:r>
        <w:rPr>
          <w:rFonts w:ascii="Arial" w:cs="Arial" w:eastAsia="Arial" w:hAnsi="Arial"/>
          <w:sz w:val="15"/>
          <w:szCs w:val="15"/>
          <w:color w:val="auto"/>
        </w:rPr>
        <w:t>1</w:t>
      </w:r>
    </w:p>
    <w:p>
      <w:pPr>
        <w:sectPr>
          <w:pgSz w:w="11900" w:h="16838" w:orient="portrait"/>
          <w:cols w:equalWidth="0" w:num="1">
            <w:col w:w="10219"/>
          </w:cols>
          <w:pgMar w:left="240" w:top="407" w:right="1440" w:bottom="1440" w:gutter="0" w:footer="0" w:header="0"/>
        </w:sectPr>
      </w:pPr>
    </w:p>
    <w:bookmarkStart w:id="8" w:name="page9"/>
    <w:bookmarkEnd w:id="8"/>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133350</wp:posOffset>
            </wp:positionH>
            <wp:positionV relativeFrom="page">
              <wp:posOffset>88900</wp:posOffset>
            </wp:positionV>
            <wp:extent cx="7308850" cy="342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308850" cy="34290"/>
                    </a:xfrm>
                    <a:prstGeom prst="rect">
                      <a:avLst/>
                    </a:prstGeom>
                    <a:noFill/>
                  </pic:spPr>
                </pic:pic>
              </a:graphicData>
            </a:graphic>
          </wp:anchor>
        </w:drawing>
      </w:r>
      <w:hyperlink w:anchor="page7">
        <w:r>
          <w:rPr>
            <w:rFonts w:ascii="Arial" w:cs="Arial" w:eastAsia="Arial" w:hAnsi="Arial"/>
            <w:sz w:val="15"/>
            <w:szCs w:val="15"/>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707390</wp:posOffset>
            </wp:positionH>
            <wp:positionV relativeFrom="paragraph">
              <wp:posOffset>168910</wp:posOffset>
            </wp:positionV>
            <wp:extent cx="5849620" cy="520509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849620" cy="5205095"/>
                    </a:xfrm>
                    <a:prstGeom prst="rect">
                      <a:avLst/>
                    </a:prstGeom>
                    <a:noFill/>
                  </pic:spPr>
                </pic:pic>
              </a:graphicData>
            </a:graphic>
          </wp:anchor>
        </w:drawing>
      </w:r>
    </w:p>
    <w:p>
      <w:pPr>
        <w:spacing w:after="0" w:line="393" w:lineRule="exact"/>
        <w:rPr>
          <w:sz w:val="20"/>
          <w:szCs w:val="20"/>
          <w:color w:val="auto"/>
        </w:rPr>
      </w:pPr>
    </w:p>
    <w:p>
      <w:pPr>
        <w:ind w:left="1260"/>
        <w:spacing w:after="0"/>
        <w:rPr>
          <w:sz w:val="20"/>
          <w:szCs w:val="20"/>
          <w:color w:val="auto"/>
        </w:rPr>
      </w:pPr>
      <w:r>
        <w:rPr>
          <w:rFonts w:ascii="Arial" w:cs="Arial" w:eastAsia="Arial" w:hAnsi="Arial"/>
          <w:sz w:val="15"/>
          <w:szCs w:val="15"/>
          <w:b w:val="1"/>
          <w:bCs w:val="1"/>
          <w:color w:val="auto"/>
        </w:rPr>
        <w:t>Our Users</w:t>
      </w:r>
    </w:p>
    <w:p>
      <w:pPr>
        <w:spacing w:after="0" w:line="102" w:lineRule="exact"/>
        <w:rPr>
          <w:sz w:val="20"/>
          <w:szCs w:val="20"/>
          <w:color w:val="auto"/>
        </w:rPr>
      </w:pPr>
    </w:p>
    <w:p>
      <w:pPr>
        <w:ind w:left="1260" w:right="79" w:firstLine="356"/>
        <w:spacing w:after="0" w:line="275" w:lineRule="auto"/>
        <w:rPr>
          <w:sz w:val="20"/>
          <w:szCs w:val="20"/>
          <w:color w:val="auto"/>
        </w:rPr>
      </w:pPr>
      <w:r>
        <w:rPr>
          <w:rFonts w:ascii="Arial" w:cs="Arial" w:eastAsia="Arial" w:hAnsi="Arial"/>
          <w:sz w:val="15"/>
          <w:szCs w:val="15"/>
          <w:color w:val="auto"/>
        </w:rPr>
        <w:t>We’re constantly inspired by the diverse ways people use Dropbox to bring their ideas to life and achieve their missions faster. Here are just a few examples:</w:t>
      </w:r>
    </w:p>
    <w:p>
      <w:pPr>
        <w:spacing w:after="0" w:line="67" w:lineRule="exact"/>
        <w:rPr>
          <w:sz w:val="20"/>
          <w:szCs w:val="20"/>
          <w:color w:val="auto"/>
        </w:rPr>
      </w:pPr>
    </w:p>
    <w:p>
      <w:pPr>
        <w:ind w:left="1960" w:hanging="255"/>
        <w:spacing w:after="0"/>
        <w:tabs>
          <w:tab w:leader="none" w:pos="1960" w:val="left"/>
        </w:tabs>
        <w:numPr>
          <w:ilvl w:val="0"/>
          <w:numId w:val="2"/>
        </w:numPr>
        <w:rPr>
          <w:rFonts w:ascii="Arial" w:cs="Arial" w:eastAsia="Arial" w:hAnsi="Arial"/>
          <w:sz w:val="15"/>
          <w:szCs w:val="15"/>
          <w:color w:val="auto"/>
        </w:rPr>
      </w:pPr>
      <w:r>
        <w:rPr>
          <w:rFonts w:ascii="Arial" w:cs="Arial" w:eastAsia="Arial" w:hAnsi="Arial"/>
          <w:sz w:val="15"/>
          <w:szCs w:val="15"/>
          <w:color w:val="auto"/>
        </w:rPr>
        <w:t>Nobel Prize-winning researchers sync data with collaborators to speed development of new scientific breakthroughs.</w:t>
      </w:r>
    </w:p>
    <w:p>
      <w:pPr>
        <w:spacing w:after="0" w:line="109" w:lineRule="exact"/>
        <w:rPr>
          <w:rFonts w:ascii="Arial" w:cs="Arial" w:eastAsia="Arial" w:hAnsi="Arial"/>
          <w:sz w:val="15"/>
          <w:szCs w:val="15"/>
          <w:color w:val="auto"/>
        </w:rPr>
      </w:pPr>
    </w:p>
    <w:p>
      <w:pPr>
        <w:ind w:left="1960" w:hanging="255"/>
        <w:spacing w:after="0"/>
        <w:tabs>
          <w:tab w:leader="none" w:pos="1960" w:val="left"/>
        </w:tabs>
        <w:numPr>
          <w:ilvl w:val="0"/>
          <w:numId w:val="2"/>
        </w:numPr>
        <w:rPr>
          <w:rFonts w:ascii="Arial" w:cs="Arial" w:eastAsia="Arial" w:hAnsi="Arial"/>
          <w:sz w:val="15"/>
          <w:szCs w:val="15"/>
          <w:color w:val="auto"/>
        </w:rPr>
      </w:pPr>
      <w:r>
        <w:rPr>
          <w:rFonts w:ascii="Arial" w:cs="Arial" w:eastAsia="Arial" w:hAnsi="Arial"/>
          <w:sz w:val="15"/>
          <w:szCs w:val="15"/>
          <w:color w:val="auto"/>
        </w:rPr>
        <w:t>Designers for a sustainable apparel company iterate on new designs and coordinate store openings.</w:t>
      </w:r>
    </w:p>
    <w:p>
      <w:pPr>
        <w:spacing w:after="0" w:line="109" w:lineRule="exact"/>
        <w:rPr>
          <w:rFonts w:ascii="Arial" w:cs="Arial" w:eastAsia="Arial" w:hAnsi="Arial"/>
          <w:sz w:val="15"/>
          <w:szCs w:val="15"/>
          <w:color w:val="auto"/>
        </w:rPr>
      </w:pPr>
    </w:p>
    <w:p>
      <w:pPr>
        <w:ind w:left="1960" w:hanging="255"/>
        <w:spacing w:after="0"/>
        <w:tabs>
          <w:tab w:leader="none" w:pos="1960" w:val="left"/>
        </w:tabs>
        <w:numPr>
          <w:ilvl w:val="0"/>
          <w:numId w:val="2"/>
        </w:numPr>
        <w:rPr>
          <w:rFonts w:ascii="Arial" w:cs="Arial" w:eastAsia="Arial" w:hAnsi="Arial"/>
          <w:sz w:val="14"/>
          <w:szCs w:val="14"/>
          <w:color w:val="auto"/>
        </w:rPr>
      </w:pPr>
      <w:r>
        <w:rPr>
          <w:rFonts w:ascii="Arial" w:cs="Arial" w:eastAsia="Arial" w:hAnsi="Arial"/>
          <w:sz w:val="14"/>
          <w:szCs w:val="14"/>
          <w:color w:val="auto"/>
        </w:rPr>
        <w:t>A commercial construction company shares blueprints with subcontractors on job sites and sends bids to prospective clients.</w:t>
      </w:r>
    </w:p>
    <w:p>
      <w:pPr>
        <w:spacing w:after="0" w:line="120" w:lineRule="exact"/>
        <w:rPr>
          <w:rFonts w:ascii="Arial" w:cs="Arial" w:eastAsia="Arial" w:hAnsi="Arial"/>
          <w:sz w:val="14"/>
          <w:szCs w:val="14"/>
          <w:color w:val="auto"/>
        </w:rPr>
      </w:pPr>
    </w:p>
    <w:p>
      <w:pPr>
        <w:ind w:left="1960" w:hanging="255"/>
        <w:spacing w:after="0"/>
        <w:tabs>
          <w:tab w:leader="none" w:pos="1960" w:val="left"/>
        </w:tabs>
        <w:numPr>
          <w:ilvl w:val="0"/>
          <w:numId w:val="2"/>
        </w:numPr>
        <w:rPr>
          <w:rFonts w:ascii="Arial" w:cs="Arial" w:eastAsia="Arial" w:hAnsi="Arial"/>
          <w:sz w:val="15"/>
          <w:szCs w:val="15"/>
          <w:color w:val="auto"/>
        </w:rPr>
      </w:pPr>
      <w:r>
        <w:rPr>
          <w:rFonts w:ascii="Arial" w:cs="Arial" w:eastAsia="Arial" w:hAnsi="Arial"/>
          <w:sz w:val="15"/>
          <w:szCs w:val="15"/>
          <w:color w:val="auto"/>
        </w:rPr>
        <w:t>A Fortune 500 online travel company keeps its global workforce connected with business partners around the world.</w:t>
      </w:r>
    </w:p>
    <w:p>
      <w:pPr>
        <w:spacing w:after="0" w:line="109" w:lineRule="exact"/>
        <w:rPr>
          <w:rFonts w:ascii="Arial" w:cs="Arial" w:eastAsia="Arial" w:hAnsi="Arial"/>
          <w:sz w:val="15"/>
          <w:szCs w:val="15"/>
          <w:color w:val="auto"/>
        </w:rPr>
      </w:pPr>
    </w:p>
    <w:p>
      <w:pPr>
        <w:ind w:left="1960" w:hanging="255"/>
        <w:spacing w:after="0"/>
        <w:tabs>
          <w:tab w:leader="none" w:pos="1960" w:val="left"/>
        </w:tabs>
        <w:numPr>
          <w:ilvl w:val="0"/>
          <w:numId w:val="2"/>
        </w:numPr>
        <w:rPr>
          <w:rFonts w:ascii="Arial" w:cs="Arial" w:eastAsia="Arial" w:hAnsi="Arial"/>
          <w:sz w:val="15"/>
          <w:szCs w:val="15"/>
          <w:color w:val="auto"/>
        </w:rPr>
      </w:pPr>
      <w:r>
        <w:rPr>
          <w:rFonts w:ascii="Arial" w:cs="Arial" w:eastAsia="Arial" w:hAnsi="Arial"/>
          <w:sz w:val="15"/>
          <w:szCs w:val="15"/>
          <w:color w:val="auto"/>
        </w:rPr>
        <w:t>Pro bono lawyers at a refugee assistance organization collect and share information across continents to save lives.</w:t>
      </w:r>
    </w:p>
    <w:p>
      <w:pPr>
        <w:spacing w:after="0" w:line="275" w:lineRule="exact"/>
        <w:rPr>
          <w:sz w:val="20"/>
          <w:szCs w:val="20"/>
          <w:color w:val="auto"/>
        </w:rPr>
      </w:pPr>
    </w:p>
    <w:p>
      <w:pPr>
        <w:ind w:left="1260"/>
        <w:spacing w:after="0"/>
        <w:rPr>
          <w:sz w:val="20"/>
          <w:szCs w:val="20"/>
          <w:color w:val="auto"/>
        </w:rPr>
      </w:pPr>
      <w:r>
        <w:rPr>
          <w:rFonts w:ascii="Arial" w:cs="Arial" w:eastAsia="Arial" w:hAnsi="Arial"/>
          <w:sz w:val="15"/>
          <w:szCs w:val="15"/>
          <w:b w:val="1"/>
          <w:bCs w:val="1"/>
          <w:color w:val="auto"/>
        </w:rPr>
        <w:t>What Sets Us Apart</w:t>
      </w:r>
    </w:p>
    <w:p>
      <w:pPr>
        <w:spacing w:after="0" w:line="102" w:lineRule="exact"/>
        <w:rPr>
          <w:sz w:val="20"/>
          <w:szCs w:val="20"/>
          <w:color w:val="auto"/>
        </w:rPr>
      </w:pPr>
    </w:p>
    <w:p>
      <w:pPr>
        <w:ind w:left="1260" w:right="519" w:firstLine="356"/>
        <w:spacing w:after="0" w:line="275" w:lineRule="auto"/>
        <w:rPr>
          <w:sz w:val="20"/>
          <w:szCs w:val="20"/>
          <w:color w:val="auto"/>
        </w:rPr>
      </w:pPr>
      <w:r>
        <w:rPr>
          <w:rFonts w:ascii="Arial" w:cs="Arial" w:eastAsia="Arial" w:hAnsi="Arial"/>
          <w:sz w:val="15"/>
          <w:szCs w:val="15"/>
          <w:color w:val="auto"/>
        </w:rPr>
        <w:t>Since the beginning, we’ve focused on simplifying the lives of our users. In a world where business software can be frustrating to use, challenging to integrate, and expensive to sell, we take a different approach.</w:t>
      </w:r>
    </w:p>
    <w:p>
      <w:pPr>
        <w:spacing w:after="0" w:line="236" w:lineRule="exact"/>
        <w:rPr>
          <w:sz w:val="20"/>
          <w:szCs w:val="20"/>
          <w:color w:val="auto"/>
        </w:rPr>
      </w:pPr>
    </w:p>
    <w:p>
      <w:pPr>
        <w:ind w:left="1620"/>
        <w:spacing w:after="0"/>
        <w:rPr>
          <w:sz w:val="20"/>
          <w:szCs w:val="20"/>
          <w:color w:val="auto"/>
        </w:rPr>
      </w:pPr>
      <w:r>
        <w:rPr>
          <w:rFonts w:ascii="Arial" w:cs="Arial" w:eastAsia="Arial" w:hAnsi="Arial"/>
          <w:sz w:val="15"/>
          <w:szCs w:val="15"/>
          <w:b w:val="1"/>
          <w:bCs w:val="1"/>
          <w:i w:val="1"/>
          <w:iCs w:val="1"/>
          <w:color w:val="auto"/>
        </w:rPr>
        <w:t>Simple and intuitive design</w:t>
      </w:r>
    </w:p>
    <w:p>
      <w:pPr>
        <w:spacing w:after="0" w:line="98" w:lineRule="exact"/>
        <w:rPr>
          <w:sz w:val="20"/>
          <w:szCs w:val="20"/>
          <w:color w:val="auto"/>
        </w:rPr>
      </w:pPr>
    </w:p>
    <w:p>
      <w:pPr>
        <w:ind w:left="1260" w:right="219" w:firstLine="356"/>
        <w:spacing w:after="0" w:line="322" w:lineRule="auto"/>
        <w:rPr>
          <w:sz w:val="20"/>
          <w:szCs w:val="20"/>
          <w:color w:val="auto"/>
        </w:rPr>
      </w:pPr>
      <w:r>
        <w:rPr>
          <w:rFonts w:ascii="Arial" w:cs="Arial" w:eastAsia="Arial" w:hAnsi="Arial"/>
          <w:sz w:val="13"/>
          <w:szCs w:val="13"/>
          <w:color w:val="auto"/>
        </w:rPr>
        <w:t>While traditional tools developed in the desktop age have struggled to keep up with evolving user demands, Dropbox was designed for the cloud era. We build simple, beautiful products that bring joy to our users and make it easier for them to do their best work. Unencumbered by legacy features, we can perfect the aspects of our platform that matter most today, such as the mobile experience and the ability to work in teams.</w:t>
      </w:r>
    </w:p>
    <w:p>
      <w:pPr>
        <w:spacing w:after="0" w:line="210" w:lineRule="exact"/>
        <w:rPr>
          <w:sz w:val="20"/>
          <w:szCs w:val="20"/>
          <w:color w:val="auto"/>
        </w:rPr>
      </w:pPr>
    </w:p>
    <w:p>
      <w:pPr>
        <w:ind w:left="1620"/>
        <w:spacing w:after="0"/>
        <w:rPr>
          <w:sz w:val="20"/>
          <w:szCs w:val="20"/>
          <w:color w:val="auto"/>
        </w:rPr>
      </w:pPr>
      <w:r>
        <w:rPr>
          <w:rFonts w:ascii="Arial" w:cs="Arial" w:eastAsia="Arial" w:hAnsi="Arial"/>
          <w:sz w:val="15"/>
          <w:szCs w:val="15"/>
          <w:b w:val="1"/>
          <w:bCs w:val="1"/>
          <w:i w:val="1"/>
          <w:iCs w:val="1"/>
          <w:color w:val="auto"/>
        </w:rPr>
        <w:t>Open ecosystem</w:t>
      </w:r>
    </w:p>
    <w:p>
      <w:pPr>
        <w:spacing w:after="0" w:line="98" w:lineRule="exact"/>
        <w:rPr>
          <w:sz w:val="20"/>
          <w:szCs w:val="20"/>
          <w:color w:val="auto"/>
        </w:rPr>
      </w:pPr>
    </w:p>
    <w:p>
      <w:pPr>
        <w:jc w:val="both"/>
        <w:ind w:left="1260" w:right="199" w:firstLine="356"/>
        <w:spacing w:after="0" w:line="263" w:lineRule="auto"/>
        <w:rPr>
          <w:sz w:val="20"/>
          <w:szCs w:val="20"/>
          <w:color w:val="auto"/>
        </w:rPr>
      </w:pPr>
      <w:r>
        <w:rPr>
          <w:rFonts w:ascii="Arial" w:cs="Arial" w:eastAsia="Arial" w:hAnsi="Arial"/>
          <w:sz w:val="15"/>
          <w:szCs w:val="15"/>
          <w:color w:val="auto"/>
        </w:rPr>
        <w:t>We know people will continue to use a wide variety of tools and platforms. That’s why we’ve built Dropbox to work seamlessly with other products, integrating with partners from Google and Microsoft to Slack and Autodesk. More than 75% of Dropbox Business teams have linked to one or more third-party applications.</w:t>
      </w:r>
    </w:p>
    <w:p>
      <w:pPr>
        <w:spacing w:after="0" w:line="245" w:lineRule="exact"/>
        <w:rPr>
          <w:sz w:val="20"/>
          <w:szCs w:val="20"/>
          <w:color w:val="auto"/>
        </w:rPr>
      </w:pPr>
    </w:p>
    <w:p>
      <w:pPr>
        <w:ind w:left="1620"/>
        <w:spacing w:after="0"/>
        <w:rPr>
          <w:sz w:val="20"/>
          <w:szCs w:val="20"/>
          <w:color w:val="auto"/>
        </w:rPr>
      </w:pPr>
      <w:r>
        <w:rPr>
          <w:rFonts w:ascii="Arial" w:cs="Arial" w:eastAsia="Arial" w:hAnsi="Arial"/>
          <w:sz w:val="15"/>
          <w:szCs w:val="15"/>
          <w:b w:val="1"/>
          <w:bCs w:val="1"/>
          <w:i w:val="1"/>
          <w:iCs w:val="1"/>
          <w:color w:val="auto"/>
        </w:rPr>
        <w:t>Viral, bottom-up adoption</w:t>
      </w:r>
    </w:p>
    <w:p>
      <w:pPr>
        <w:spacing w:after="0" w:line="98" w:lineRule="exact"/>
        <w:rPr>
          <w:sz w:val="20"/>
          <w:szCs w:val="20"/>
          <w:color w:val="auto"/>
        </w:rPr>
      </w:pPr>
    </w:p>
    <w:p>
      <w:pPr>
        <w:jc w:val="both"/>
        <w:ind w:left="1260" w:right="259" w:firstLine="356"/>
        <w:spacing w:after="0" w:line="259" w:lineRule="auto"/>
        <w:rPr>
          <w:sz w:val="20"/>
          <w:szCs w:val="20"/>
          <w:color w:val="auto"/>
        </w:rPr>
      </w:pPr>
      <w:r>
        <w:rPr>
          <w:rFonts w:ascii="Arial" w:cs="Arial" w:eastAsia="Arial" w:hAnsi="Arial"/>
          <w:sz w:val="15"/>
          <w:szCs w:val="15"/>
          <w:color w:val="auto"/>
        </w:rPr>
        <w:t>Our 500 million registered users are our best salespeople. They’ve spread Dropbox to their friends and brought us into their offices. Every year, millions of individual users sign up for Dropbox at work. Bottom-up adoption within organizations has been critical to our success as users increasingly choose their own tools at work. We generate over 90% of our revenue from self-serve channels—users who purchase a subscription through our app or website.</w:t>
      </w:r>
    </w:p>
    <w:p>
      <w:pPr>
        <w:spacing w:after="0" w:line="248" w:lineRule="exact"/>
        <w:rPr>
          <w:sz w:val="20"/>
          <w:szCs w:val="20"/>
          <w:color w:val="auto"/>
        </w:rPr>
      </w:pPr>
    </w:p>
    <w:p>
      <w:pPr>
        <w:ind w:left="1620"/>
        <w:spacing w:after="0"/>
        <w:rPr>
          <w:sz w:val="20"/>
          <w:szCs w:val="20"/>
          <w:color w:val="auto"/>
        </w:rPr>
      </w:pPr>
      <w:r>
        <w:rPr>
          <w:rFonts w:ascii="Arial" w:cs="Arial" w:eastAsia="Arial" w:hAnsi="Arial"/>
          <w:sz w:val="15"/>
          <w:szCs w:val="15"/>
          <w:b w:val="1"/>
          <w:bCs w:val="1"/>
          <w:i w:val="1"/>
          <w:iCs w:val="1"/>
          <w:color w:val="auto"/>
        </w:rPr>
        <w:t>Performance and security</w:t>
      </w:r>
    </w:p>
    <w:p>
      <w:pPr>
        <w:spacing w:after="0" w:line="98" w:lineRule="exact"/>
        <w:rPr>
          <w:sz w:val="20"/>
          <w:szCs w:val="20"/>
          <w:color w:val="auto"/>
        </w:rPr>
      </w:pPr>
    </w:p>
    <w:p>
      <w:pPr>
        <w:ind w:left="1260" w:right="119" w:firstLine="356"/>
        <w:spacing w:after="0" w:line="257" w:lineRule="auto"/>
        <w:rPr>
          <w:sz w:val="20"/>
          <w:szCs w:val="20"/>
          <w:color w:val="auto"/>
        </w:rPr>
      </w:pPr>
      <w:r>
        <w:rPr>
          <w:rFonts w:ascii="Arial" w:cs="Arial" w:eastAsia="Arial" w:hAnsi="Arial"/>
          <w:sz w:val="15"/>
          <w:szCs w:val="15"/>
          <w:color w:val="auto"/>
        </w:rPr>
        <w:t>Our custom-built infrastructure allows us to maintain high standards of performance, availability, and security. Dropbox is built on proprietary, block-level sync technology to achieve industry-leading performance. In 2016, IDC highlighted our sync performance as best-in-class, outperforming competitors on multiple sync tests, including upload and download speeds for large files. We designed our platform with multiple layers of redundancy to guard against data loss and deliver high availability. We also offer numerous layers of protection, from secure file data transfer and encryption to network configuration and application-level controls.</w:t>
      </w:r>
    </w:p>
    <w:p>
      <w:pPr>
        <w:spacing w:after="0" w:line="200" w:lineRule="exact"/>
        <w:rPr>
          <w:sz w:val="20"/>
          <w:szCs w:val="20"/>
          <w:color w:val="auto"/>
        </w:rPr>
      </w:pPr>
    </w:p>
    <w:p>
      <w:pPr>
        <w:spacing w:after="0" w:line="320" w:lineRule="exact"/>
        <w:rPr>
          <w:sz w:val="20"/>
          <w:szCs w:val="20"/>
          <w:color w:val="auto"/>
        </w:rPr>
      </w:pPr>
    </w:p>
    <w:p>
      <w:pPr>
        <w:ind w:left="5680"/>
        <w:spacing w:after="0"/>
        <w:rPr>
          <w:sz w:val="20"/>
          <w:szCs w:val="20"/>
          <w:color w:val="auto"/>
        </w:rPr>
      </w:pPr>
      <w:r>
        <w:rPr>
          <w:rFonts w:ascii="Arial" w:cs="Arial" w:eastAsia="Arial" w:hAnsi="Arial"/>
          <w:sz w:val="15"/>
          <w:szCs w:val="15"/>
          <w:color w:val="auto"/>
        </w:rPr>
        <w:t>2</w:t>
      </w:r>
    </w:p>
    <w:p>
      <w:pPr>
        <w:sectPr>
          <w:pgSz w:w="11900" w:h="16838" w:orient="portrait"/>
          <w:cols w:equalWidth="0" w:num="1">
            <w:col w:w="10219"/>
          </w:cols>
          <w:pgMar w:left="240" w:top="407" w:right="1440" w:bottom="1440" w:gutter="0" w:footer="0" w:header="0"/>
        </w:sectPr>
      </w:pPr>
    </w:p>
    <w:bookmarkStart w:id="9" w:name="page10"/>
    <w:bookmarkEnd w:id="9"/>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133350</wp:posOffset>
            </wp:positionH>
            <wp:positionV relativeFrom="page">
              <wp:posOffset>88900</wp:posOffset>
            </wp:positionV>
            <wp:extent cx="7308850" cy="342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308850" cy="34290"/>
                    </a:xfrm>
                    <a:prstGeom prst="rect">
                      <a:avLst/>
                    </a:prstGeom>
                    <a:noFill/>
                  </pic:spPr>
                </pic:pic>
              </a:graphicData>
            </a:graphic>
          </wp:anchor>
        </w:drawing>
      </w:r>
      <w:hyperlink w:anchor="page7">
        <w:r>
          <w:rPr>
            <w:rFonts w:ascii="Arial" w:cs="Arial" w:eastAsia="Arial" w:hAnsi="Arial"/>
            <w:sz w:val="15"/>
            <w:szCs w:val="15"/>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707390</wp:posOffset>
            </wp:positionH>
            <wp:positionV relativeFrom="paragraph">
              <wp:posOffset>168910</wp:posOffset>
            </wp:positionV>
            <wp:extent cx="5849620" cy="54057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849620" cy="5405755"/>
                    </a:xfrm>
                    <a:prstGeom prst="rect">
                      <a:avLst/>
                    </a:prstGeom>
                    <a:noFill/>
                  </pic:spPr>
                </pic:pic>
              </a:graphicData>
            </a:graphic>
          </wp:anchor>
        </w:drawing>
      </w:r>
    </w:p>
    <w:p>
      <w:pPr>
        <w:spacing w:after="0" w:line="393" w:lineRule="exact"/>
        <w:rPr>
          <w:sz w:val="20"/>
          <w:szCs w:val="20"/>
          <w:color w:val="auto"/>
        </w:rPr>
      </w:pPr>
    </w:p>
    <w:p>
      <w:pPr>
        <w:ind w:left="1260"/>
        <w:spacing w:after="0"/>
        <w:rPr>
          <w:sz w:val="20"/>
          <w:szCs w:val="20"/>
          <w:color w:val="auto"/>
        </w:rPr>
      </w:pPr>
      <w:r>
        <w:rPr>
          <w:rFonts w:ascii="Arial" w:cs="Arial" w:eastAsia="Arial" w:hAnsi="Arial"/>
          <w:sz w:val="15"/>
          <w:szCs w:val="15"/>
          <w:b w:val="1"/>
          <w:bCs w:val="1"/>
          <w:color w:val="auto"/>
        </w:rPr>
        <w:t>Industry Trends in Our Favor</w:t>
      </w:r>
    </w:p>
    <w:p>
      <w:pPr>
        <w:spacing w:after="0" w:line="102" w:lineRule="exact"/>
        <w:rPr>
          <w:sz w:val="20"/>
          <w:szCs w:val="20"/>
          <w:color w:val="auto"/>
        </w:rPr>
      </w:pPr>
    </w:p>
    <w:p>
      <w:pPr>
        <w:ind w:left="1620"/>
        <w:spacing w:after="0"/>
        <w:rPr>
          <w:sz w:val="20"/>
          <w:szCs w:val="20"/>
          <w:color w:val="auto"/>
        </w:rPr>
      </w:pPr>
      <w:r>
        <w:rPr>
          <w:rFonts w:ascii="Arial" w:cs="Arial" w:eastAsia="Arial" w:hAnsi="Arial"/>
          <w:sz w:val="15"/>
          <w:szCs w:val="15"/>
          <w:b w:val="1"/>
          <w:bCs w:val="1"/>
          <w:i w:val="1"/>
          <w:iCs w:val="1"/>
          <w:color w:val="auto"/>
        </w:rPr>
        <w:t>Content is increasingly scattered</w:t>
      </w:r>
    </w:p>
    <w:p>
      <w:pPr>
        <w:spacing w:after="0" w:line="98" w:lineRule="exact"/>
        <w:rPr>
          <w:sz w:val="20"/>
          <w:szCs w:val="20"/>
          <w:color w:val="auto"/>
        </w:rPr>
      </w:pPr>
    </w:p>
    <w:p>
      <w:pPr>
        <w:ind w:left="1260" w:right="159" w:firstLine="356"/>
        <w:spacing w:after="0" w:line="290" w:lineRule="auto"/>
        <w:rPr>
          <w:sz w:val="20"/>
          <w:szCs w:val="20"/>
          <w:color w:val="auto"/>
        </w:rPr>
      </w:pPr>
      <w:r>
        <w:rPr>
          <w:rFonts w:ascii="Arial" w:cs="Arial" w:eastAsia="Arial" w:hAnsi="Arial"/>
          <w:sz w:val="14"/>
          <w:szCs w:val="14"/>
          <w:color w:val="auto"/>
        </w:rPr>
        <w:t>The proliferation of devices, operating systems, and applications has dramatically increased the volume and complexity of content in the workplace. Content is now routinely scattered across multiple silos, making it harder to access. According to a 2016 IDC report, more than half of companies ranging from 100 to 5,000+ employees use at least three repositories for accessing documents on a weekly basis.</w:t>
      </w:r>
    </w:p>
    <w:p>
      <w:pPr>
        <w:spacing w:after="0" w:line="228" w:lineRule="exact"/>
        <w:rPr>
          <w:sz w:val="20"/>
          <w:szCs w:val="20"/>
          <w:color w:val="auto"/>
        </w:rPr>
      </w:pPr>
    </w:p>
    <w:p>
      <w:pPr>
        <w:ind w:left="1620"/>
        <w:spacing w:after="0"/>
        <w:rPr>
          <w:sz w:val="20"/>
          <w:szCs w:val="20"/>
          <w:color w:val="auto"/>
        </w:rPr>
      </w:pPr>
      <w:r>
        <w:rPr>
          <w:rFonts w:ascii="Arial" w:cs="Arial" w:eastAsia="Arial" w:hAnsi="Arial"/>
          <w:sz w:val="15"/>
          <w:szCs w:val="15"/>
          <w:b w:val="1"/>
          <w:bCs w:val="1"/>
          <w:i w:val="1"/>
          <w:iCs w:val="1"/>
          <w:color w:val="auto"/>
        </w:rPr>
        <w:t>The tools people use are fragmented</w:t>
      </w:r>
    </w:p>
    <w:p>
      <w:pPr>
        <w:spacing w:after="0" w:line="98" w:lineRule="exact"/>
        <w:rPr>
          <w:sz w:val="20"/>
          <w:szCs w:val="20"/>
          <w:color w:val="auto"/>
        </w:rPr>
      </w:pPr>
    </w:p>
    <w:p>
      <w:pPr>
        <w:jc w:val="both"/>
        <w:ind w:left="1260" w:right="139" w:firstLine="356"/>
        <w:spacing w:after="0" w:line="259" w:lineRule="auto"/>
        <w:rPr>
          <w:sz w:val="20"/>
          <w:szCs w:val="20"/>
          <w:color w:val="auto"/>
        </w:rPr>
      </w:pPr>
      <w:r>
        <w:rPr>
          <w:rFonts w:ascii="Arial" w:cs="Arial" w:eastAsia="Arial" w:hAnsi="Arial"/>
          <w:sz w:val="15"/>
          <w:szCs w:val="15"/>
          <w:color w:val="auto"/>
        </w:rPr>
        <w:t>Content created at work tends to follow a predictable pattern: It’s authored, sent out for feedback, and shared or published once it’s done. At the same time, teams are organizing that content and coordinating tasks around it. But many of the tools people use today don’t work well together and support only one or two steps of the content lifecycle. This requires users to constantly switch between these tools and makes it even harder to get work done.</w:t>
      </w:r>
    </w:p>
    <w:p>
      <w:pPr>
        <w:spacing w:after="0" w:line="248" w:lineRule="exact"/>
        <w:rPr>
          <w:sz w:val="20"/>
          <w:szCs w:val="20"/>
          <w:color w:val="auto"/>
        </w:rPr>
      </w:pPr>
    </w:p>
    <w:p>
      <w:pPr>
        <w:ind w:left="1620"/>
        <w:spacing w:after="0"/>
        <w:rPr>
          <w:sz w:val="20"/>
          <w:szCs w:val="20"/>
          <w:color w:val="auto"/>
        </w:rPr>
      </w:pPr>
      <w:r>
        <w:rPr>
          <w:rFonts w:ascii="Arial" w:cs="Arial" w:eastAsia="Arial" w:hAnsi="Arial"/>
          <w:sz w:val="15"/>
          <w:szCs w:val="15"/>
          <w:b w:val="1"/>
          <w:bCs w:val="1"/>
          <w:i w:val="1"/>
          <w:iCs w:val="1"/>
          <w:color w:val="auto"/>
        </w:rPr>
        <w:t>Teams have become more fluid and global</w:t>
      </w:r>
    </w:p>
    <w:p>
      <w:pPr>
        <w:spacing w:after="0" w:line="98" w:lineRule="exact"/>
        <w:rPr>
          <w:sz w:val="20"/>
          <w:szCs w:val="20"/>
          <w:color w:val="auto"/>
        </w:rPr>
      </w:pPr>
    </w:p>
    <w:p>
      <w:pPr>
        <w:ind w:left="1260" w:right="59" w:firstLine="356"/>
        <w:spacing w:after="0" w:line="259" w:lineRule="auto"/>
        <w:rPr>
          <w:sz w:val="20"/>
          <w:szCs w:val="20"/>
          <w:color w:val="auto"/>
        </w:rPr>
      </w:pPr>
      <w:r>
        <w:rPr>
          <w:rFonts w:ascii="Arial" w:cs="Arial" w:eastAsia="Arial" w:hAnsi="Arial"/>
          <w:sz w:val="15"/>
          <w:szCs w:val="15"/>
          <w:color w:val="auto"/>
        </w:rPr>
        <w:t>Technology hasn’t kept up with a modern workforce that’s increasingly fluid and mobile. People work together on teams that span different functions, organizations, and geographies. A 2016 study by Deloitte found that 37% of the global workforce is now mobile, 30% of full-time employees primarily work remotely, and 20% of the workforce is made up of temporary workers, contractors, and freelancers. The ability to swiftly disseminate content and its relevant context is critical to keeping teams in sync.</w:t>
      </w:r>
    </w:p>
    <w:p>
      <w:pPr>
        <w:spacing w:after="0" w:line="248" w:lineRule="exact"/>
        <w:rPr>
          <w:sz w:val="20"/>
          <w:szCs w:val="20"/>
          <w:color w:val="auto"/>
        </w:rPr>
      </w:pPr>
    </w:p>
    <w:p>
      <w:pPr>
        <w:ind w:left="1620"/>
        <w:spacing w:after="0"/>
        <w:rPr>
          <w:sz w:val="20"/>
          <w:szCs w:val="20"/>
          <w:color w:val="auto"/>
        </w:rPr>
      </w:pPr>
      <w:r>
        <w:rPr>
          <w:rFonts w:ascii="Arial" w:cs="Arial" w:eastAsia="Arial" w:hAnsi="Arial"/>
          <w:sz w:val="15"/>
          <w:szCs w:val="15"/>
          <w:b w:val="1"/>
          <w:bCs w:val="1"/>
          <w:i w:val="1"/>
          <w:iCs w:val="1"/>
          <w:color w:val="auto"/>
        </w:rPr>
        <w:t>“Work about work” is wasteful and stifles creativity</w:t>
      </w:r>
    </w:p>
    <w:p>
      <w:pPr>
        <w:spacing w:after="0" w:line="98" w:lineRule="exact"/>
        <w:rPr>
          <w:sz w:val="20"/>
          <w:szCs w:val="20"/>
          <w:color w:val="auto"/>
        </w:rPr>
      </w:pPr>
    </w:p>
    <w:p>
      <w:pPr>
        <w:ind w:left="1260" w:right="59" w:firstLine="356"/>
        <w:spacing w:after="0" w:line="259" w:lineRule="auto"/>
        <w:rPr>
          <w:sz w:val="20"/>
          <w:szCs w:val="20"/>
          <w:color w:val="auto"/>
        </w:rPr>
      </w:pPr>
      <w:r>
        <w:rPr>
          <w:rFonts w:ascii="Arial" w:cs="Arial" w:eastAsia="Arial" w:hAnsi="Arial"/>
          <w:sz w:val="15"/>
          <w:szCs w:val="15"/>
          <w:color w:val="auto"/>
        </w:rPr>
        <w:t>The combination of scattered content, fragmented tools, and fluid team structures has led to decreased workplace productivity. According to a report by McKinsey &amp; Company, knowledge workers spend approximately 60% of their time at work on tedious tasks such as searching for content, reviewing email, and re-sharing context to keep team members in the loop—what we call “work about work.” This means they spend just 40% of their time doing the jobs they were hired to do.</w:t>
      </w:r>
    </w:p>
    <w:p>
      <w:pPr>
        <w:spacing w:after="0" w:line="248" w:lineRule="exact"/>
        <w:rPr>
          <w:sz w:val="20"/>
          <w:szCs w:val="20"/>
          <w:color w:val="auto"/>
        </w:rPr>
      </w:pPr>
    </w:p>
    <w:p>
      <w:pPr>
        <w:ind w:left="1620"/>
        <w:spacing w:after="0"/>
        <w:rPr>
          <w:sz w:val="20"/>
          <w:szCs w:val="20"/>
          <w:color w:val="auto"/>
        </w:rPr>
      </w:pPr>
      <w:r>
        <w:rPr>
          <w:rFonts w:ascii="Arial" w:cs="Arial" w:eastAsia="Arial" w:hAnsi="Arial"/>
          <w:sz w:val="15"/>
          <w:szCs w:val="15"/>
          <w:b w:val="1"/>
          <w:bCs w:val="1"/>
          <w:i w:val="1"/>
          <w:iCs w:val="1"/>
          <w:color w:val="auto"/>
        </w:rPr>
        <w:t>Individual users are changing the way software is adopted and purchased</w:t>
      </w:r>
    </w:p>
    <w:p>
      <w:pPr>
        <w:spacing w:after="0" w:line="98" w:lineRule="exact"/>
        <w:rPr>
          <w:sz w:val="20"/>
          <w:szCs w:val="20"/>
          <w:color w:val="auto"/>
        </w:rPr>
      </w:pPr>
    </w:p>
    <w:p>
      <w:pPr>
        <w:ind w:left="1260" w:right="299" w:firstLine="356"/>
        <w:spacing w:after="0" w:line="259" w:lineRule="auto"/>
        <w:rPr>
          <w:sz w:val="20"/>
          <w:szCs w:val="20"/>
          <w:color w:val="auto"/>
        </w:rPr>
      </w:pPr>
      <w:r>
        <w:rPr>
          <w:rFonts w:ascii="Arial" w:cs="Arial" w:eastAsia="Arial" w:hAnsi="Arial"/>
          <w:sz w:val="15"/>
          <w:szCs w:val="15"/>
          <w:color w:val="auto"/>
        </w:rPr>
        <w:t>Software purchasing decisions have traditionally been made by an organization’s IT department, which often deploys products that employees don’t like and many refuse to adopt. As individuals increasingly choose their own tools at work, purchasing power has become more decentralized. A 2017 IDC report noted that new devices and software were being adopted at a faster rate by individual users than by IT departments.</w:t>
      </w:r>
    </w:p>
    <w:p>
      <w:pPr>
        <w:spacing w:after="0" w:line="244" w:lineRule="exact"/>
        <w:rPr>
          <w:sz w:val="20"/>
          <w:szCs w:val="20"/>
          <w:color w:val="auto"/>
        </w:rPr>
      </w:pPr>
    </w:p>
    <w:p>
      <w:pPr>
        <w:ind w:left="1260"/>
        <w:spacing w:after="0"/>
        <w:rPr>
          <w:sz w:val="20"/>
          <w:szCs w:val="20"/>
          <w:color w:val="auto"/>
        </w:rPr>
      </w:pPr>
      <w:r>
        <w:rPr>
          <w:rFonts w:ascii="Arial" w:cs="Arial" w:eastAsia="Arial" w:hAnsi="Arial"/>
          <w:sz w:val="15"/>
          <w:szCs w:val="15"/>
          <w:b w:val="1"/>
          <w:bCs w:val="1"/>
          <w:color w:val="auto"/>
        </w:rPr>
        <w:t>Our Solution</w:t>
      </w:r>
    </w:p>
    <w:p>
      <w:pPr>
        <w:spacing w:after="0" w:line="102" w:lineRule="exact"/>
        <w:rPr>
          <w:sz w:val="20"/>
          <w:szCs w:val="20"/>
          <w:color w:val="auto"/>
        </w:rPr>
      </w:pPr>
    </w:p>
    <w:p>
      <w:pPr>
        <w:ind w:left="1260" w:right="339" w:firstLine="356"/>
        <w:spacing w:after="0" w:line="354" w:lineRule="auto"/>
        <w:rPr>
          <w:sz w:val="20"/>
          <w:szCs w:val="20"/>
          <w:color w:val="auto"/>
        </w:rPr>
      </w:pPr>
      <w:r>
        <w:rPr>
          <w:rFonts w:ascii="Arial" w:cs="Arial" w:eastAsia="Arial" w:hAnsi="Arial"/>
          <w:sz w:val="13"/>
          <w:szCs w:val="13"/>
          <w:color w:val="auto"/>
        </w:rPr>
        <w:t>Dropbox allows individuals, teams, and organizations to collaborate more effectively. Anyone can sign up for free through our website or app, and upgrade to a paid subscription plan for premium features. Our platform offers an elegant solution to the challenges described above.</w:t>
      </w:r>
    </w:p>
    <w:p>
      <w:pPr>
        <w:spacing w:after="0" w:line="191" w:lineRule="exact"/>
        <w:rPr>
          <w:sz w:val="20"/>
          <w:szCs w:val="20"/>
          <w:color w:val="auto"/>
        </w:rPr>
      </w:pPr>
    </w:p>
    <w:p>
      <w:pPr>
        <w:ind w:left="1620"/>
        <w:spacing w:after="0"/>
        <w:rPr>
          <w:sz w:val="20"/>
          <w:szCs w:val="20"/>
          <w:color w:val="auto"/>
        </w:rPr>
      </w:pPr>
      <w:r>
        <w:rPr>
          <w:rFonts w:ascii="Arial" w:cs="Arial" w:eastAsia="Arial" w:hAnsi="Arial"/>
          <w:sz w:val="15"/>
          <w:szCs w:val="15"/>
          <w:b w:val="1"/>
          <w:bCs w:val="1"/>
          <w:i w:val="1"/>
          <w:iCs w:val="1"/>
          <w:color w:val="auto"/>
        </w:rPr>
        <w:t>Key elements of our platform</w:t>
      </w:r>
    </w:p>
    <w:p>
      <w:pPr>
        <w:spacing w:after="0" w:line="109" w:lineRule="exact"/>
        <w:rPr>
          <w:sz w:val="20"/>
          <w:szCs w:val="20"/>
          <w:color w:val="auto"/>
        </w:rPr>
      </w:pPr>
    </w:p>
    <w:p>
      <w:pPr>
        <w:jc w:val="both"/>
        <w:ind w:left="1960" w:right="119" w:hanging="255"/>
        <w:spacing w:after="0" w:line="263" w:lineRule="auto"/>
        <w:tabs>
          <w:tab w:leader="none" w:pos="1960" w:val="left"/>
        </w:tabs>
        <w:numPr>
          <w:ilvl w:val="0"/>
          <w:numId w:val="3"/>
        </w:numPr>
        <w:rPr>
          <w:rFonts w:ascii="Arial" w:cs="Arial" w:eastAsia="Arial" w:hAnsi="Arial"/>
          <w:sz w:val="15"/>
          <w:szCs w:val="15"/>
          <w:color w:val="auto"/>
        </w:rPr>
      </w:pPr>
      <w:r>
        <w:rPr>
          <w:rFonts w:ascii="Arial" w:cs="Arial" w:eastAsia="Arial" w:hAnsi="Arial"/>
          <w:sz w:val="15"/>
          <w:szCs w:val="15"/>
          <w:i w:val="1"/>
          <w:iCs w:val="1"/>
          <w:color w:val="auto"/>
        </w:rPr>
        <w:t xml:space="preserve">Unified home for content. </w:t>
      </w:r>
      <w:r>
        <w:rPr>
          <w:rFonts w:ascii="Arial" w:cs="Arial" w:eastAsia="Arial" w:hAnsi="Arial"/>
          <w:sz w:val="15"/>
          <w:szCs w:val="15"/>
          <w:color w:val="auto"/>
        </w:rPr>
        <w:t>We provide a unified home for the world’s content and the relevant context around it. To date, our users have</w:t>
      </w:r>
      <w:r>
        <w:rPr>
          <w:rFonts w:ascii="Arial" w:cs="Arial" w:eastAsia="Arial" w:hAnsi="Arial"/>
          <w:sz w:val="15"/>
          <w:szCs w:val="15"/>
          <w:i w:val="1"/>
          <w:iCs w:val="1"/>
          <w:color w:val="auto"/>
        </w:rPr>
        <w:t xml:space="preserve"> </w:t>
      </w:r>
      <w:r>
        <w:rPr>
          <w:rFonts w:ascii="Arial" w:cs="Arial" w:eastAsia="Arial" w:hAnsi="Arial"/>
          <w:sz w:val="15"/>
          <w:szCs w:val="15"/>
          <w:color w:val="auto"/>
        </w:rPr>
        <w:t>added more than 400 billion pieces of content to Dropbox, totaling over an exabyte (more than 1,000,000,000 gigabytes) of data. When users join Dropbox, they gain</w:t>
      </w:r>
    </w:p>
    <w:p>
      <w:pPr>
        <w:spacing w:after="0" w:line="200" w:lineRule="exact"/>
        <w:rPr>
          <w:sz w:val="20"/>
          <w:szCs w:val="20"/>
          <w:color w:val="auto"/>
        </w:rPr>
      </w:pPr>
    </w:p>
    <w:p>
      <w:pPr>
        <w:spacing w:after="0" w:line="316" w:lineRule="exact"/>
        <w:rPr>
          <w:sz w:val="20"/>
          <w:szCs w:val="20"/>
          <w:color w:val="auto"/>
        </w:rPr>
      </w:pPr>
    </w:p>
    <w:p>
      <w:pPr>
        <w:ind w:left="5680"/>
        <w:spacing w:after="0"/>
        <w:rPr>
          <w:sz w:val="20"/>
          <w:szCs w:val="20"/>
          <w:color w:val="auto"/>
        </w:rPr>
      </w:pPr>
      <w:r>
        <w:rPr>
          <w:rFonts w:ascii="Arial" w:cs="Arial" w:eastAsia="Arial" w:hAnsi="Arial"/>
          <w:sz w:val="15"/>
          <w:szCs w:val="15"/>
          <w:color w:val="auto"/>
        </w:rPr>
        <w:t>3</w:t>
      </w:r>
    </w:p>
    <w:p>
      <w:pPr>
        <w:sectPr>
          <w:pgSz w:w="11900" w:h="16838" w:orient="portrait"/>
          <w:cols w:equalWidth="0" w:num="1">
            <w:col w:w="10219"/>
          </w:cols>
          <w:pgMar w:left="240" w:top="407" w:right="1440" w:bottom="1440" w:gutter="0" w:footer="0" w:header="0"/>
        </w:sectPr>
      </w:pPr>
    </w:p>
    <w:bookmarkStart w:id="10" w:name="page11"/>
    <w:bookmarkEnd w:id="10"/>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133350</wp:posOffset>
            </wp:positionH>
            <wp:positionV relativeFrom="page">
              <wp:posOffset>88900</wp:posOffset>
            </wp:positionV>
            <wp:extent cx="7308850" cy="342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308850" cy="34290"/>
                    </a:xfrm>
                    <a:prstGeom prst="rect">
                      <a:avLst/>
                    </a:prstGeom>
                    <a:noFill/>
                  </pic:spPr>
                </pic:pic>
              </a:graphicData>
            </a:graphic>
          </wp:anchor>
        </w:drawing>
      </w:r>
      <w:hyperlink w:anchor="page7">
        <w:r>
          <w:rPr>
            <w:rFonts w:ascii="Arial" w:cs="Arial" w:eastAsia="Arial" w:hAnsi="Arial"/>
            <w:sz w:val="15"/>
            <w:szCs w:val="15"/>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707390</wp:posOffset>
            </wp:positionH>
            <wp:positionV relativeFrom="paragraph">
              <wp:posOffset>168910</wp:posOffset>
            </wp:positionV>
            <wp:extent cx="5849620" cy="51263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849620" cy="5126355"/>
                    </a:xfrm>
                    <a:prstGeom prst="rect">
                      <a:avLst/>
                    </a:prstGeom>
                    <a:noFill/>
                  </pic:spPr>
                </pic:pic>
              </a:graphicData>
            </a:graphic>
          </wp:anchor>
        </w:drawing>
      </w:r>
    </w:p>
    <w:p>
      <w:pPr>
        <w:spacing w:after="0" w:line="397" w:lineRule="exact"/>
        <w:rPr>
          <w:sz w:val="20"/>
          <w:szCs w:val="20"/>
          <w:color w:val="auto"/>
        </w:rPr>
      </w:pPr>
    </w:p>
    <w:p>
      <w:pPr>
        <w:ind w:left="1980" w:right="619"/>
        <w:spacing w:after="0" w:line="275" w:lineRule="auto"/>
        <w:rPr>
          <w:sz w:val="20"/>
          <w:szCs w:val="20"/>
          <w:color w:val="auto"/>
        </w:rPr>
      </w:pPr>
      <w:r>
        <w:rPr>
          <w:rFonts w:ascii="Arial" w:cs="Arial" w:eastAsia="Arial" w:hAnsi="Arial"/>
          <w:sz w:val="15"/>
          <w:szCs w:val="15"/>
          <w:color w:val="auto"/>
        </w:rPr>
        <w:t>access to a digital workspace that supports the full content lifecycle—they can create and organize their content, access it from anywhere, share it with internal and external collaborators, and review feedback and history.</w:t>
      </w:r>
    </w:p>
    <w:p>
      <w:pPr>
        <w:spacing w:after="0" w:line="67" w:lineRule="exact"/>
        <w:rPr>
          <w:sz w:val="20"/>
          <w:szCs w:val="20"/>
          <w:color w:val="auto"/>
        </w:rPr>
      </w:pPr>
    </w:p>
    <w:p>
      <w:pPr>
        <w:ind w:left="1960" w:right="159" w:hanging="255"/>
        <w:spacing w:after="0" w:line="259" w:lineRule="auto"/>
        <w:tabs>
          <w:tab w:leader="none" w:pos="1960" w:val="left"/>
        </w:tabs>
        <w:numPr>
          <w:ilvl w:val="0"/>
          <w:numId w:val="4"/>
        </w:numPr>
        <w:rPr>
          <w:rFonts w:ascii="Arial" w:cs="Arial" w:eastAsia="Arial" w:hAnsi="Arial"/>
          <w:sz w:val="15"/>
          <w:szCs w:val="15"/>
          <w:color w:val="auto"/>
        </w:rPr>
      </w:pPr>
      <w:r>
        <w:rPr>
          <w:rFonts w:ascii="Arial" w:cs="Arial" w:eastAsia="Arial" w:hAnsi="Arial"/>
          <w:sz w:val="15"/>
          <w:szCs w:val="15"/>
          <w:i w:val="1"/>
          <w:iCs w:val="1"/>
          <w:color w:val="auto"/>
        </w:rPr>
        <w:t xml:space="preserve">Global sharing network. </w:t>
      </w:r>
      <w:r>
        <w:rPr>
          <w:rFonts w:ascii="Arial" w:cs="Arial" w:eastAsia="Arial" w:hAnsi="Arial"/>
          <w:sz w:val="15"/>
          <w:szCs w:val="15"/>
          <w:color w:val="auto"/>
        </w:rPr>
        <w:t>We’ve built one of the largest collaboration platforms in the world, with more than 4.5 billion connections to</w:t>
      </w:r>
      <w:r>
        <w:rPr>
          <w:rFonts w:ascii="Arial" w:cs="Arial" w:eastAsia="Arial" w:hAnsi="Arial"/>
          <w:sz w:val="15"/>
          <w:szCs w:val="15"/>
          <w:i w:val="1"/>
          <w:iCs w:val="1"/>
          <w:color w:val="auto"/>
        </w:rPr>
        <w:t xml:space="preserve"> </w:t>
      </w:r>
      <w:r>
        <w:rPr>
          <w:rFonts w:ascii="Arial" w:cs="Arial" w:eastAsia="Arial" w:hAnsi="Arial"/>
          <w:sz w:val="15"/>
          <w:szCs w:val="15"/>
          <w:color w:val="auto"/>
        </w:rPr>
        <w:t>shared content. We cater to the needs of dynamic, dispersed teams. The overwhelming majority of our customers use Dropbox to share and collaborate. As we continue to grow, more users benefit from frictionless sharing, and powerful network effects increase the utility and stickiness of our platform.</w:t>
      </w:r>
    </w:p>
    <w:p>
      <w:pPr>
        <w:spacing w:after="0" w:line="78" w:lineRule="exact"/>
        <w:rPr>
          <w:rFonts w:ascii="Arial" w:cs="Arial" w:eastAsia="Arial" w:hAnsi="Arial"/>
          <w:sz w:val="15"/>
          <w:szCs w:val="15"/>
          <w:color w:val="auto"/>
        </w:rPr>
      </w:pPr>
    </w:p>
    <w:p>
      <w:pPr>
        <w:ind w:left="1960" w:right="199" w:hanging="255"/>
        <w:spacing w:after="0" w:line="322" w:lineRule="auto"/>
        <w:tabs>
          <w:tab w:leader="none" w:pos="1960" w:val="left"/>
        </w:tabs>
        <w:numPr>
          <w:ilvl w:val="0"/>
          <w:numId w:val="4"/>
        </w:numPr>
        <w:rPr>
          <w:rFonts w:ascii="Arial" w:cs="Arial" w:eastAsia="Arial" w:hAnsi="Arial"/>
          <w:sz w:val="13"/>
          <w:szCs w:val="13"/>
          <w:color w:val="auto"/>
        </w:rPr>
      </w:pPr>
      <w:r>
        <w:rPr>
          <w:rFonts w:ascii="Arial" w:cs="Arial" w:eastAsia="Arial" w:hAnsi="Arial"/>
          <w:sz w:val="13"/>
          <w:szCs w:val="13"/>
          <w:i w:val="1"/>
          <w:iCs w:val="1"/>
          <w:color w:val="auto"/>
        </w:rPr>
        <w:t xml:space="preserve">New product experiences. </w:t>
      </w:r>
      <w:r>
        <w:rPr>
          <w:rFonts w:ascii="Arial" w:cs="Arial" w:eastAsia="Arial" w:hAnsi="Arial"/>
          <w:sz w:val="13"/>
          <w:szCs w:val="13"/>
          <w:color w:val="auto"/>
        </w:rPr>
        <w:t>The insights we glean from our community of users lead us to develop new product experiences, like Paper,</w:t>
      </w:r>
      <w:r>
        <w:rPr>
          <w:rFonts w:ascii="Arial" w:cs="Arial" w:eastAsia="Arial" w:hAnsi="Arial"/>
          <w:sz w:val="13"/>
          <w:szCs w:val="13"/>
          <w:i w:val="1"/>
          <w:iCs w:val="1"/>
          <w:color w:val="auto"/>
        </w:rPr>
        <w:t xml:space="preserve"> </w:t>
      </w:r>
      <w:r>
        <w:rPr>
          <w:rFonts w:ascii="Arial" w:cs="Arial" w:eastAsia="Arial" w:hAnsi="Arial"/>
          <w:sz w:val="13"/>
          <w:szCs w:val="13"/>
          <w:color w:val="auto"/>
        </w:rPr>
        <w:t>Smart Sync, and Showcase. Machine learning further improves the user experience by enabling more intelligent search and better organization and utility of information. This ongoing innovation broadens the value of our platform and deepens user engagement.</w:t>
      </w:r>
    </w:p>
    <w:p>
      <w:pPr>
        <w:spacing w:after="0" w:line="120" w:lineRule="exact"/>
        <w:rPr>
          <w:sz w:val="20"/>
          <w:szCs w:val="20"/>
          <w:color w:val="auto"/>
        </w:rPr>
      </w:pPr>
    </w:p>
    <w:p>
      <w:pPr>
        <w:jc w:val="both"/>
        <w:ind w:left="1260" w:right="179" w:firstLine="356"/>
        <w:spacing w:after="0" w:line="259" w:lineRule="auto"/>
        <w:rPr>
          <w:sz w:val="20"/>
          <w:szCs w:val="20"/>
          <w:color w:val="auto"/>
        </w:rPr>
      </w:pPr>
      <w:r>
        <w:rPr>
          <w:rFonts w:ascii="Arial" w:cs="Arial" w:eastAsia="Arial" w:hAnsi="Arial"/>
          <w:sz w:val="15"/>
          <w:szCs w:val="15"/>
          <w:color w:val="auto"/>
        </w:rPr>
        <w:t>These elements reinforce one another to produce a powerful flywheel effect. As users create and share more content with more people, they expand our global sharing network. This network allows us to gather insights and feedback that help us create new product experiences. And with our scale, we can instantly put these innovations in the hands of millions. This, in turn, helps attract more users and content, which further propels the flywheel.</w:t>
      </w:r>
    </w:p>
    <w:p>
      <w:pPr>
        <w:spacing w:after="0" w:line="244" w:lineRule="exact"/>
        <w:rPr>
          <w:sz w:val="20"/>
          <w:szCs w:val="20"/>
          <w:color w:val="auto"/>
        </w:rPr>
      </w:pPr>
    </w:p>
    <w:p>
      <w:pPr>
        <w:ind w:left="1260"/>
        <w:spacing w:after="0"/>
        <w:rPr>
          <w:sz w:val="20"/>
          <w:szCs w:val="20"/>
          <w:color w:val="auto"/>
        </w:rPr>
      </w:pPr>
      <w:r>
        <w:rPr>
          <w:rFonts w:ascii="Arial" w:cs="Arial" w:eastAsia="Arial" w:hAnsi="Arial"/>
          <w:sz w:val="15"/>
          <w:szCs w:val="15"/>
          <w:b w:val="1"/>
          <w:bCs w:val="1"/>
          <w:color w:val="auto"/>
        </w:rPr>
        <w:t>Our Growth Strategy</w:t>
      </w:r>
    </w:p>
    <w:p>
      <w:pPr>
        <w:spacing w:after="0" w:line="102" w:lineRule="exact"/>
        <w:rPr>
          <w:sz w:val="20"/>
          <w:szCs w:val="20"/>
          <w:color w:val="auto"/>
        </w:rPr>
      </w:pPr>
    </w:p>
    <w:p>
      <w:pPr>
        <w:ind w:left="1620"/>
        <w:spacing w:after="0"/>
        <w:rPr>
          <w:sz w:val="20"/>
          <w:szCs w:val="20"/>
          <w:color w:val="auto"/>
        </w:rPr>
      </w:pPr>
      <w:r>
        <w:rPr>
          <w:rFonts w:ascii="Arial" w:cs="Arial" w:eastAsia="Arial" w:hAnsi="Arial"/>
          <w:sz w:val="15"/>
          <w:szCs w:val="15"/>
          <w:b w:val="1"/>
          <w:bCs w:val="1"/>
          <w:i w:val="1"/>
          <w:iCs w:val="1"/>
          <w:color w:val="auto"/>
        </w:rPr>
        <w:t>Increase adoption and paid conversion</w:t>
      </w:r>
    </w:p>
    <w:p>
      <w:pPr>
        <w:spacing w:after="0" w:line="98" w:lineRule="exact"/>
        <w:rPr>
          <w:sz w:val="20"/>
          <w:szCs w:val="20"/>
          <w:color w:val="auto"/>
        </w:rPr>
      </w:pPr>
    </w:p>
    <w:p>
      <w:pPr>
        <w:ind w:left="1260" w:right="279" w:firstLine="356"/>
        <w:spacing w:after="0" w:line="276" w:lineRule="auto"/>
        <w:rPr>
          <w:sz w:val="20"/>
          <w:szCs w:val="20"/>
          <w:color w:val="auto"/>
        </w:rPr>
      </w:pPr>
      <w:r>
        <w:rPr>
          <w:rFonts w:ascii="Arial" w:cs="Arial" w:eastAsia="Arial" w:hAnsi="Arial"/>
          <w:sz w:val="14"/>
          <w:szCs w:val="14"/>
          <w:color w:val="auto"/>
        </w:rPr>
        <w:t>We designed Dropbox to be easy to try, use, and buy. Anyone can create an account and be up and running in minutes. We believe that our current registered user base represents a significant opportunity to increase our revenue. We estimate that approximately 300 million of our registered users have characteristics—including specific email domains, devices, and geographies—that make them more likely than other registered users to pay over time. Substantially all of our paying users share at least one of these characteristics. We reach our users through in-product notifications on our website and across hundreds of millions of actively connected devices without any external marketing spend. We define an actively connected device as a desktop, laptop, phone, or tablet on which our app has been installed, and from which our app has been launched, and made a request to our servers at least once in the most recent quarter.</w:t>
      </w:r>
    </w:p>
    <w:p>
      <w:pPr>
        <w:spacing w:after="0" w:line="238" w:lineRule="exact"/>
        <w:rPr>
          <w:sz w:val="20"/>
          <w:szCs w:val="20"/>
          <w:color w:val="auto"/>
        </w:rPr>
      </w:pPr>
    </w:p>
    <w:p>
      <w:pPr>
        <w:ind w:left="1620"/>
        <w:spacing w:after="0"/>
        <w:rPr>
          <w:sz w:val="20"/>
          <w:szCs w:val="20"/>
          <w:color w:val="auto"/>
        </w:rPr>
      </w:pPr>
      <w:r>
        <w:rPr>
          <w:rFonts w:ascii="Arial" w:cs="Arial" w:eastAsia="Arial" w:hAnsi="Arial"/>
          <w:sz w:val="15"/>
          <w:szCs w:val="15"/>
          <w:b w:val="1"/>
          <w:bCs w:val="1"/>
          <w:i w:val="1"/>
          <w:iCs w:val="1"/>
          <w:color w:val="auto"/>
        </w:rPr>
        <w:t>Upgrade our paying users</w:t>
      </w:r>
    </w:p>
    <w:p>
      <w:pPr>
        <w:spacing w:after="0" w:line="98" w:lineRule="exact"/>
        <w:rPr>
          <w:sz w:val="20"/>
          <w:szCs w:val="20"/>
          <w:color w:val="auto"/>
        </w:rPr>
      </w:pPr>
    </w:p>
    <w:p>
      <w:pPr>
        <w:ind w:left="1260" w:right="99" w:firstLine="356"/>
        <w:spacing w:after="0" w:line="255" w:lineRule="auto"/>
        <w:rPr>
          <w:sz w:val="20"/>
          <w:szCs w:val="20"/>
          <w:color w:val="auto"/>
        </w:rPr>
      </w:pPr>
      <w:r>
        <w:rPr>
          <w:rFonts w:ascii="Arial" w:cs="Arial" w:eastAsia="Arial" w:hAnsi="Arial"/>
          <w:sz w:val="15"/>
          <w:szCs w:val="15"/>
          <w:color w:val="auto"/>
        </w:rPr>
        <w:t>We offer a range of paid subscription plans, from Plus and Professional for individuals, to Standard, Advanced, and Enterprise for teams. We analyze usage patterns within our network and run hundreds of targeted marketing campaigns to encourage paying users to upgrade their plans. For example, we prompt individual subscribers who collaborate with others on Dropbox to purchase our Standard or Advanced plans for a better team experience. In 2017, over 40% of new Dropbox Business teams included a member who was previously a subscriber to one of our individual paid plans. We believe that a large majority of individual customers use Dropbox for work, which creates an opportunity to significantly increase conversion to Dropbox Business team offerings over time.</w:t>
      </w:r>
    </w:p>
    <w:p>
      <w:pPr>
        <w:spacing w:after="0" w:line="254" w:lineRule="exact"/>
        <w:rPr>
          <w:sz w:val="20"/>
          <w:szCs w:val="20"/>
          <w:color w:val="auto"/>
        </w:rPr>
      </w:pPr>
    </w:p>
    <w:p>
      <w:pPr>
        <w:ind w:left="1620"/>
        <w:spacing w:after="0"/>
        <w:rPr>
          <w:sz w:val="20"/>
          <w:szCs w:val="20"/>
          <w:color w:val="auto"/>
        </w:rPr>
      </w:pPr>
      <w:r>
        <w:rPr>
          <w:rFonts w:ascii="Arial" w:cs="Arial" w:eastAsia="Arial" w:hAnsi="Arial"/>
          <w:sz w:val="15"/>
          <w:szCs w:val="15"/>
          <w:b w:val="1"/>
          <w:bCs w:val="1"/>
          <w:i w:val="1"/>
          <w:iCs w:val="1"/>
          <w:color w:val="auto"/>
        </w:rPr>
        <w:t>Apply insights to build new product experiences</w:t>
      </w:r>
    </w:p>
    <w:p>
      <w:pPr>
        <w:spacing w:after="0" w:line="98" w:lineRule="exact"/>
        <w:rPr>
          <w:sz w:val="20"/>
          <w:szCs w:val="20"/>
          <w:color w:val="auto"/>
        </w:rPr>
      </w:pPr>
    </w:p>
    <w:p>
      <w:pPr>
        <w:ind w:left="1260" w:right="219" w:firstLine="356"/>
        <w:spacing w:after="0" w:line="259" w:lineRule="auto"/>
        <w:rPr>
          <w:sz w:val="20"/>
          <w:szCs w:val="20"/>
          <w:color w:val="auto"/>
        </w:rPr>
      </w:pPr>
      <w:r>
        <w:rPr>
          <w:rFonts w:ascii="Arial" w:cs="Arial" w:eastAsia="Arial" w:hAnsi="Arial"/>
          <w:sz w:val="15"/>
          <w:szCs w:val="15"/>
          <w:color w:val="auto"/>
        </w:rPr>
        <w:t>As our community of users grows, we gain more insight into their needs and pain points. We translate these insights into new product experiences that support the entire content lifecycle. For example, we learned through analytics and research that our users often work with many different types of content. As a result, we added the ability to embed rich media in Paper so they can pull everything together in one place—from InVision graphics and Google slides to Spotify tracks and Vimeo clips.</w:t>
      </w:r>
    </w:p>
    <w:p>
      <w:pPr>
        <w:spacing w:after="0" w:line="200" w:lineRule="exact"/>
        <w:rPr>
          <w:sz w:val="20"/>
          <w:szCs w:val="20"/>
          <w:color w:val="auto"/>
        </w:rPr>
      </w:pPr>
    </w:p>
    <w:p>
      <w:pPr>
        <w:spacing w:after="0" w:line="319" w:lineRule="exact"/>
        <w:rPr>
          <w:sz w:val="20"/>
          <w:szCs w:val="20"/>
          <w:color w:val="auto"/>
        </w:rPr>
      </w:pPr>
    </w:p>
    <w:p>
      <w:pPr>
        <w:ind w:left="5680"/>
        <w:spacing w:after="0"/>
        <w:rPr>
          <w:sz w:val="20"/>
          <w:szCs w:val="20"/>
          <w:color w:val="auto"/>
        </w:rPr>
      </w:pPr>
      <w:r>
        <w:rPr>
          <w:rFonts w:ascii="Arial" w:cs="Arial" w:eastAsia="Arial" w:hAnsi="Arial"/>
          <w:sz w:val="15"/>
          <w:szCs w:val="15"/>
          <w:color w:val="auto"/>
        </w:rPr>
        <w:t>4</w:t>
      </w:r>
    </w:p>
    <w:p>
      <w:pPr>
        <w:sectPr>
          <w:pgSz w:w="11900" w:h="16838" w:orient="portrait"/>
          <w:cols w:equalWidth="0" w:num="1">
            <w:col w:w="10219"/>
          </w:cols>
          <w:pgMar w:left="240" w:top="407" w:right="1440" w:bottom="1440" w:gutter="0" w:footer="0" w:header="0"/>
        </w:sectPr>
      </w:pPr>
    </w:p>
    <w:bookmarkStart w:id="11" w:name="page12"/>
    <w:bookmarkEnd w:id="11"/>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133350</wp:posOffset>
            </wp:positionH>
            <wp:positionV relativeFrom="page">
              <wp:posOffset>88900</wp:posOffset>
            </wp:positionV>
            <wp:extent cx="7308850" cy="342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308850" cy="34290"/>
                    </a:xfrm>
                    <a:prstGeom prst="rect">
                      <a:avLst/>
                    </a:prstGeom>
                    <a:noFill/>
                  </pic:spPr>
                </pic:pic>
              </a:graphicData>
            </a:graphic>
          </wp:anchor>
        </w:drawing>
      </w:r>
      <w:hyperlink w:anchor="page7">
        <w:r>
          <w:rPr>
            <w:rFonts w:ascii="Arial" w:cs="Arial" w:eastAsia="Arial" w:hAnsi="Arial"/>
            <w:sz w:val="15"/>
            <w:szCs w:val="15"/>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707390</wp:posOffset>
            </wp:positionH>
            <wp:positionV relativeFrom="paragraph">
              <wp:posOffset>168910</wp:posOffset>
            </wp:positionV>
            <wp:extent cx="5849620" cy="518350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849620" cy="5183505"/>
                    </a:xfrm>
                    <a:prstGeom prst="rect">
                      <a:avLst/>
                    </a:prstGeom>
                    <a:noFill/>
                  </pic:spPr>
                </pic:pic>
              </a:graphicData>
            </a:graphic>
          </wp:anchor>
        </w:drawing>
      </w:r>
    </w:p>
    <w:p>
      <w:pPr>
        <w:spacing w:after="0" w:line="397" w:lineRule="exact"/>
        <w:rPr>
          <w:sz w:val="20"/>
          <w:szCs w:val="20"/>
          <w:color w:val="auto"/>
        </w:rPr>
      </w:pPr>
    </w:p>
    <w:p>
      <w:pPr>
        <w:ind w:left="1620"/>
        <w:spacing w:after="0"/>
        <w:rPr>
          <w:sz w:val="20"/>
          <w:szCs w:val="20"/>
          <w:color w:val="auto"/>
        </w:rPr>
      </w:pPr>
      <w:r>
        <w:rPr>
          <w:rFonts w:ascii="Arial" w:cs="Arial" w:eastAsia="Arial" w:hAnsi="Arial"/>
          <w:sz w:val="15"/>
          <w:szCs w:val="15"/>
          <w:b w:val="1"/>
          <w:bCs w:val="1"/>
          <w:i w:val="1"/>
          <w:iCs w:val="1"/>
          <w:color w:val="auto"/>
        </w:rPr>
        <w:t>Expand our ecosystem</w:t>
      </w:r>
    </w:p>
    <w:p>
      <w:pPr>
        <w:spacing w:after="0" w:line="98" w:lineRule="exact"/>
        <w:rPr>
          <w:sz w:val="20"/>
          <w:szCs w:val="20"/>
          <w:color w:val="auto"/>
        </w:rPr>
      </w:pPr>
    </w:p>
    <w:p>
      <w:pPr>
        <w:ind w:left="1260" w:right="139" w:firstLine="356"/>
        <w:spacing w:after="0" w:line="259" w:lineRule="auto"/>
        <w:rPr>
          <w:sz w:val="20"/>
          <w:szCs w:val="20"/>
          <w:color w:val="auto"/>
        </w:rPr>
      </w:pPr>
      <w:r>
        <w:rPr>
          <w:rFonts w:ascii="Arial" w:cs="Arial" w:eastAsia="Arial" w:hAnsi="Arial"/>
          <w:sz w:val="15"/>
          <w:szCs w:val="15"/>
          <w:color w:val="auto"/>
        </w:rPr>
        <w:t>Our open and thriving ecosystem fosters deeper relationships with our users and makes Dropbox more valuable to them over time. The scale and reach of our platform is enhanced by a number of third-party applications, developers, and technology partners. As of December 31, 2017, Dropbox was receiving over 50 billion API calls per month, and more than 500,000 developers had registered and built applications on our platform.</w:t>
      </w:r>
    </w:p>
    <w:p>
      <w:pPr>
        <w:spacing w:after="0" w:line="244" w:lineRule="exact"/>
        <w:rPr>
          <w:sz w:val="20"/>
          <w:szCs w:val="20"/>
          <w:color w:val="auto"/>
        </w:rPr>
      </w:pPr>
    </w:p>
    <w:p>
      <w:pPr>
        <w:ind w:left="1260"/>
        <w:spacing w:after="0"/>
        <w:rPr>
          <w:sz w:val="20"/>
          <w:szCs w:val="20"/>
          <w:color w:val="auto"/>
        </w:rPr>
      </w:pPr>
      <w:r>
        <w:rPr>
          <w:rFonts w:ascii="Arial" w:cs="Arial" w:eastAsia="Arial" w:hAnsi="Arial"/>
          <w:sz w:val="15"/>
          <w:szCs w:val="15"/>
          <w:b w:val="1"/>
          <w:bCs w:val="1"/>
          <w:color w:val="auto"/>
        </w:rPr>
        <w:t>Our Market Opportunity</w:t>
      </w:r>
    </w:p>
    <w:p>
      <w:pPr>
        <w:spacing w:after="0" w:line="102" w:lineRule="exact"/>
        <w:rPr>
          <w:sz w:val="20"/>
          <w:szCs w:val="20"/>
          <w:color w:val="auto"/>
        </w:rPr>
      </w:pPr>
    </w:p>
    <w:p>
      <w:pPr>
        <w:jc w:val="both"/>
        <w:ind w:left="1260" w:right="139" w:firstLine="356"/>
        <w:spacing w:after="0" w:line="263" w:lineRule="auto"/>
        <w:rPr>
          <w:sz w:val="20"/>
          <w:szCs w:val="20"/>
          <w:color w:val="auto"/>
        </w:rPr>
      </w:pPr>
      <w:r>
        <w:rPr>
          <w:rFonts w:ascii="Arial" w:cs="Arial" w:eastAsia="Arial" w:hAnsi="Arial"/>
          <w:sz w:val="15"/>
          <w:szCs w:val="15"/>
          <w:color w:val="auto"/>
        </w:rPr>
        <w:t>Over the past decade, Dropbox has pioneered the worldwide adoption of file sync and share software. We’ve since expanded our capabilities and introduced new product experiences to help our users get work done. For the second consecutive year, Gartner has named Dropbox a leader in their Magic Quadrant for Content Collaboration Platforms.</w:t>
      </w:r>
    </w:p>
    <w:p>
      <w:pPr>
        <w:spacing w:after="0" w:line="155" w:lineRule="exact"/>
        <w:rPr>
          <w:sz w:val="20"/>
          <w:szCs w:val="20"/>
          <w:color w:val="auto"/>
        </w:rPr>
      </w:pPr>
    </w:p>
    <w:p>
      <w:pPr>
        <w:ind w:left="1260" w:right="539" w:firstLine="356"/>
        <w:spacing w:after="0" w:line="275" w:lineRule="auto"/>
        <w:rPr>
          <w:sz w:val="20"/>
          <w:szCs w:val="20"/>
          <w:color w:val="auto"/>
        </w:rPr>
      </w:pPr>
      <w:r>
        <w:rPr>
          <w:rFonts w:ascii="Arial" w:cs="Arial" w:eastAsia="Arial" w:hAnsi="Arial"/>
          <w:sz w:val="15"/>
          <w:szCs w:val="15"/>
          <w:color w:val="auto"/>
        </w:rPr>
        <w:t>Our addressable market includes collaborative applications, content management, project and portfolio management, and public cloud storage. IDC estimates that investment in these categories will total more than $50 billion in 2019.</w:t>
      </w:r>
    </w:p>
    <w:p>
      <w:pPr>
        <w:spacing w:after="0" w:line="146" w:lineRule="exact"/>
        <w:rPr>
          <w:sz w:val="20"/>
          <w:szCs w:val="20"/>
          <w:color w:val="auto"/>
        </w:rPr>
      </w:pPr>
    </w:p>
    <w:p>
      <w:pPr>
        <w:ind w:left="1260" w:right="79" w:firstLine="356"/>
        <w:spacing w:after="0" w:line="354" w:lineRule="auto"/>
        <w:rPr>
          <w:sz w:val="20"/>
          <w:szCs w:val="20"/>
          <w:color w:val="auto"/>
        </w:rPr>
      </w:pPr>
      <w:r>
        <w:rPr>
          <w:rFonts w:ascii="Arial" w:cs="Arial" w:eastAsia="Arial" w:hAnsi="Arial"/>
          <w:sz w:val="13"/>
          <w:szCs w:val="13"/>
          <w:color w:val="auto"/>
        </w:rPr>
        <w:t>As one of the few large-scale collaboration platforms that serves customers of all sizes, we also have an opportunity to reach a broad population of independent knowledge and creative workers. We believe that this market hasn’t traditionally been included in IT spending estimates.</w:t>
      </w:r>
    </w:p>
    <w:p>
      <w:pPr>
        <w:spacing w:after="0" w:line="187" w:lineRule="exact"/>
        <w:rPr>
          <w:sz w:val="20"/>
          <w:szCs w:val="20"/>
          <w:color w:val="auto"/>
        </w:rPr>
      </w:pPr>
    </w:p>
    <w:p>
      <w:pPr>
        <w:ind w:left="1260"/>
        <w:spacing w:after="0"/>
        <w:rPr>
          <w:sz w:val="20"/>
          <w:szCs w:val="20"/>
          <w:color w:val="auto"/>
        </w:rPr>
      </w:pPr>
      <w:r>
        <w:rPr>
          <w:rFonts w:ascii="Arial" w:cs="Arial" w:eastAsia="Arial" w:hAnsi="Arial"/>
          <w:sz w:val="15"/>
          <w:szCs w:val="15"/>
          <w:b w:val="1"/>
          <w:bCs w:val="1"/>
          <w:color w:val="auto"/>
        </w:rPr>
        <w:t>Risk Factors Summary</w:t>
      </w:r>
    </w:p>
    <w:p>
      <w:pPr>
        <w:spacing w:after="0" w:line="102" w:lineRule="exact"/>
        <w:rPr>
          <w:sz w:val="20"/>
          <w:szCs w:val="20"/>
          <w:color w:val="auto"/>
        </w:rPr>
      </w:pPr>
    </w:p>
    <w:p>
      <w:pPr>
        <w:ind w:left="1260" w:right="419" w:firstLine="356"/>
        <w:spacing w:after="0" w:line="275" w:lineRule="auto"/>
        <w:rPr>
          <w:sz w:val="20"/>
          <w:szCs w:val="20"/>
          <w:color w:val="auto"/>
        </w:rPr>
      </w:pPr>
      <w:r>
        <w:rPr>
          <w:rFonts w:ascii="Arial" w:cs="Arial" w:eastAsia="Arial" w:hAnsi="Arial"/>
          <w:sz w:val="15"/>
          <w:szCs w:val="15"/>
          <w:color w:val="auto"/>
        </w:rPr>
        <w:t>Our business is subject to numerous risks and uncertainties, including those highlighted in the section titled “Risk Factors” immediately following this prospectus summary. These risks include, but are not limited to, the following:</w:t>
      </w:r>
    </w:p>
    <w:p>
      <w:pPr>
        <w:spacing w:after="0" w:line="67" w:lineRule="exact"/>
        <w:rPr>
          <w:sz w:val="20"/>
          <w:szCs w:val="20"/>
          <w:color w:val="auto"/>
        </w:rPr>
      </w:pPr>
    </w:p>
    <w:p>
      <w:pPr>
        <w:ind w:left="1960" w:right="159" w:hanging="255"/>
        <w:spacing w:after="0" w:line="275" w:lineRule="auto"/>
        <w:tabs>
          <w:tab w:leader="none" w:pos="1960" w:val="left"/>
        </w:tabs>
        <w:numPr>
          <w:ilvl w:val="0"/>
          <w:numId w:val="5"/>
        </w:numPr>
        <w:rPr>
          <w:rFonts w:ascii="Arial" w:cs="Arial" w:eastAsia="Arial" w:hAnsi="Arial"/>
          <w:sz w:val="15"/>
          <w:szCs w:val="15"/>
          <w:color w:val="auto"/>
        </w:rPr>
      </w:pPr>
      <w:r>
        <w:rPr>
          <w:rFonts w:ascii="Arial" w:cs="Arial" w:eastAsia="Arial" w:hAnsi="Arial"/>
          <w:sz w:val="15"/>
          <w:szCs w:val="15"/>
          <w:color w:val="auto"/>
        </w:rPr>
        <w:t>Our business depends on our ability to retain and upgrade paying users, and any decline in renewals or upgrades could adversely affect our future results of operations.</w:t>
      </w:r>
    </w:p>
    <w:p>
      <w:pPr>
        <w:spacing w:after="0" w:line="67" w:lineRule="exact"/>
        <w:rPr>
          <w:rFonts w:ascii="Arial" w:cs="Arial" w:eastAsia="Arial" w:hAnsi="Arial"/>
          <w:sz w:val="15"/>
          <w:szCs w:val="15"/>
          <w:color w:val="auto"/>
        </w:rPr>
      </w:pPr>
    </w:p>
    <w:p>
      <w:pPr>
        <w:ind w:left="1960" w:hanging="255"/>
        <w:spacing w:after="0"/>
        <w:tabs>
          <w:tab w:leader="none" w:pos="1960" w:val="left"/>
        </w:tabs>
        <w:numPr>
          <w:ilvl w:val="0"/>
          <w:numId w:val="5"/>
        </w:numPr>
        <w:rPr>
          <w:rFonts w:ascii="Arial" w:cs="Arial" w:eastAsia="Arial" w:hAnsi="Arial"/>
          <w:sz w:val="15"/>
          <w:szCs w:val="15"/>
          <w:color w:val="auto"/>
        </w:rPr>
      </w:pPr>
      <w:r>
        <w:rPr>
          <w:rFonts w:ascii="Arial" w:cs="Arial" w:eastAsia="Arial" w:hAnsi="Arial"/>
          <w:sz w:val="15"/>
          <w:szCs w:val="15"/>
          <w:color w:val="auto"/>
        </w:rPr>
        <w:t>Our future growth could be harmed if we fail to attract new users or convert registered users to paying users.</w:t>
      </w:r>
    </w:p>
    <w:p>
      <w:pPr>
        <w:spacing w:after="0" w:line="109" w:lineRule="exact"/>
        <w:rPr>
          <w:rFonts w:ascii="Arial" w:cs="Arial" w:eastAsia="Arial" w:hAnsi="Arial"/>
          <w:sz w:val="15"/>
          <w:szCs w:val="15"/>
          <w:color w:val="auto"/>
        </w:rPr>
      </w:pPr>
    </w:p>
    <w:p>
      <w:pPr>
        <w:ind w:left="1960" w:hanging="255"/>
        <w:spacing w:after="0"/>
        <w:tabs>
          <w:tab w:leader="none" w:pos="1960" w:val="left"/>
        </w:tabs>
        <w:numPr>
          <w:ilvl w:val="0"/>
          <w:numId w:val="5"/>
        </w:numPr>
        <w:rPr>
          <w:rFonts w:ascii="Arial" w:cs="Arial" w:eastAsia="Arial" w:hAnsi="Arial"/>
          <w:sz w:val="15"/>
          <w:szCs w:val="15"/>
          <w:color w:val="auto"/>
        </w:rPr>
      </w:pPr>
      <w:r>
        <w:rPr>
          <w:rFonts w:ascii="Arial" w:cs="Arial" w:eastAsia="Arial" w:hAnsi="Arial"/>
          <w:sz w:val="15"/>
          <w:szCs w:val="15"/>
          <w:color w:val="auto"/>
        </w:rPr>
        <w:t>Our revenue growth rate has declined in recent periods and may continue to slow in the future.</w:t>
      </w:r>
    </w:p>
    <w:p>
      <w:pPr>
        <w:spacing w:after="0" w:line="109" w:lineRule="exact"/>
        <w:rPr>
          <w:rFonts w:ascii="Arial" w:cs="Arial" w:eastAsia="Arial" w:hAnsi="Arial"/>
          <w:sz w:val="15"/>
          <w:szCs w:val="15"/>
          <w:color w:val="auto"/>
        </w:rPr>
      </w:pPr>
    </w:p>
    <w:p>
      <w:pPr>
        <w:ind w:left="1960" w:right="659" w:hanging="255"/>
        <w:spacing w:after="0" w:line="275" w:lineRule="auto"/>
        <w:tabs>
          <w:tab w:leader="none" w:pos="1960" w:val="left"/>
        </w:tabs>
        <w:numPr>
          <w:ilvl w:val="0"/>
          <w:numId w:val="5"/>
        </w:numPr>
        <w:rPr>
          <w:rFonts w:ascii="Arial" w:cs="Arial" w:eastAsia="Arial" w:hAnsi="Arial"/>
          <w:sz w:val="15"/>
          <w:szCs w:val="15"/>
          <w:color w:val="auto"/>
        </w:rPr>
      </w:pPr>
      <w:r>
        <w:rPr>
          <w:rFonts w:ascii="Arial" w:cs="Arial" w:eastAsia="Arial" w:hAnsi="Arial"/>
          <w:sz w:val="15"/>
          <w:szCs w:val="15"/>
          <w:color w:val="auto"/>
        </w:rPr>
        <w:t>We have a history of net losses, we anticipate increasing expenses in the future, and we may not be able to achieve or maintain profitability.</w:t>
      </w:r>
    </w:p>
    <w:p>
      <w:pPr>
        <w:spacing w:after="0" w:line="67" w:lineRule="exact"/>
        <w:rPr>
          <w:rFonts w:ascii="Arial" w:cs="Arial" w:eastAsia="Arial" w:hAnsi="Arial"/>
          <w:sz w:val="15"/>
          <w:szCs w:val="15"/>
          <w:color w:val="auto"/>
        </w:rPr>
      </w:pPr>
    </w:p>
    <w:p>
      <w:pPr>
        <w:ind w:left="1960" w:right="79" w:hanging="255"/>
        <w:spacing w:after="0" w:line="275" w:lineRule="auto"/>
        <w:tabs>
          <w:tab w:leader="none" w:pos="1960" w:val="left"/>
        </w:tabs>
        <w:numPr>
          <w:ilvl w:val="0"/>
          <w:numId w:val="5"/>
        </w:numPr>
        <w:rPr>
          <w:rFonts w:ascii="Arial" w:cs="Arial" w:eastAsia="Arial" w:hAnsi="Arial"/>
          <w:sz w:val="15"/>
          <w:szCs w:val="15"/>
          <w:color w:val="auto"/>
        </w:rPr>
      </w:pPr>
      <w:r>
        <w:rPr>
          <w:rFonts w:ascii="Arial" w:cs="Arial" w:eastAsia="Arial" w:hAnsi="Arial"/>
          <w:sz w:val="15"/>
          <w:szCs w:val="15"/>
          <w:color w:val="auto"/>
        </w:rPr>
        <w:t>Our business could be damaged, and we could be subject to liability if there is any unauthorized access to our data or our users’ content, including through privacy and data security breaches.</w:t>
      </w:r>
    </w:p>
    <w:p>
      <w:pPr>
        <w:spacing w:after="0" w:line="67" w:lineRule="exact"/>
        <w:rPr>
          <w:rFonts w:ascii="Arial" w:cs="Arial" w:eastAsia="Arial" w:hAnsi="Arial"/>
          <w:sz w:val="15"/>
          <w:szCs w:val="15"/>
          <w:color w:val="auto"/>
        </w:rPr>
      </w:pPr>
    </w:p>
    <w:p>
      <w:pPr>
        <w:ind w:left="1960" w:hanging="255"/>
        <w:spacing w:after="0"/>
        <w:tabs>
          <w:tab w:leader="none" w:pos="1960" w:val="left"/>
        </w:tabs>
        <w:numPr>
          <w:ilvl w:val="0"/>
          <w:numId w:val="5"/>
        </w:numPr>
        <w:rPr>
          <w:rFonts w:ascii="Arial" w:cs="Arial" w:eastAsia="Arial" w:hAnsi="Arial"/>
          <w:sz w:val="15"/>
          <w:szCs w:val="15"/>
          <w:color w:val="auto"/>
        </w:rPr>
      </w:pPr>
      <w:r>
        <w:rPr>
          <w:rFonts w:ascii="Arial" w:cs="Arial" w:eastAsia="Arial" w:hAnsi="Arial"/>
          <w:sz w:val="15"/>
          <w:szCs w:val="15"/>
          <w:color w:val="auto"/>
        </w:rPr>
        <w:t>Our business could be harmed by any significant disruption of service on our platform or loss of content.</w:t>
      </w:r>
    </w:p>
    <w:p>
      <w:pPr>
        <w:spacing w:after="0" w:line="109" w:lineRule="exact"/>
        <w:rPr>
          <w:rFonts w:ascii="Arial" w:cs="Arial" w:eastAsia="Arial" w:hAnsi="Arial"/>
          <w:sz w:val="15"/>
          <w:szCs w:val="15"/>
          <w:color w:val="auto"/>
        </w:rPr>
      </w:pPr>
    </w:p>
    <w:p>
      <w:pPr>
        <w:ind w:left="1960" w:right="859" w:hanging="255"/>
        <w:spacing w:after="0" w:line="275" w:lineRule="auto"/>
        <w:tabs>
          <w:tab w:leader="none" w:pos="1960" w:val="left"/>
        </w:tabs>
        <w:numPr>
          <w:ilvl w:val="0"/>
          <w:numId w:val="5"/>
        </w:numPr>
        <w:rPr>
          <w:rFonts w:ascii="Arial" w:cs="Arial" w:eastAsia="Arial" w:hAnsi="Arial"/>
          <w:sz w:val="15"/>
          <w:szCs w:val="15"/>
          <w:color w:val="auto"/>
        </w:rPr>
      </w:pPr>
      <w:r>
        <w:rPr>
          <w:rFonts w:ascii="Arial" w:cs="Arial" w:eastAsia="Arial" w:hAnsi="Arial"/>
          <w:sz w:val="15"/>
          <w:szCs w:val="15"/>
          <w:color w:val="auto"/>
        </w:rPr>
        <w:t>We generate revenue from sales of subscriptions to our platform, and any decline in demand for our platform or for content collaboration solutions in general could negatively impact our business.</w:t>
      </w:r>
    </w:p>
    <w:p>
      <w:pPr>
        <w:spacing w:after="0" w:line="67" w:lineRule="exact"/>
        <w:rPr>
          <w:rFonts w:ascii="Arial" w:cs="Arial" w:eastAsia="Arial" w:hAnsi="Arial"/>
          <w:sz w:val="15"/>
          <w:szCs w:val="15"/>
          <w:color w:val="auto"/>
        </w:rPr>
      </w:pPr>
    </w:p>
    <w:p>
      <w:pPr>
        <w:ind w:left="1960" w:right="199" w:hanging="255"/>
        <w:spacing w:after="0" w:line="275" w:lineRule="auto"/>
        <w:tabs>
          <w:tab w:leader="none" w:pos="1960" w:val="left"/>
        </w:tabs>
        <w:numPr>
          <w:ilvl w:val="0"/>
          <w:numId w:val="5"/>
        </w:numPr>
        <w:rPr>
          <w:rFonts w:ascii="Arial" w:cs="Arial" w:eastAsia="Arial" w:hAnsi="Arial"/>
          <w:sz w:val="15"/>
          <w:szCs w:val="15"/>
          <w:color w:val="auto"/>
        </w:rPr>
      </w:pPr>
      <w:r>
        <w:rPr>
          <w:rFonts w:ascii="Arial" w:cs="Arial" w:eastAsia="Arial" w:hAnsi="Arial"/>
          <w:sz w:val="15"/>
          <w:szCs w:val="15"/>
          <w:color w:val="auto"/>
        </w:rPr>
        <w:t>Our business depends upon the interoperability of our platform across devices, operating systems, and third-party applications that we do not control.</w:t>
      </w:r>
    </w:p>
    <w:p>
      <w:pPr>
        <w:spacing w:after="0" w:line="67" w:lineRule="exact"/>
        <w:rPr>
          <w:rFonts w:ascii="Arial" w:cs="Arial" w:eastAsia="Arial" w:hAnsi="Arial"/>
          <w:sz w:val="15"/>
          <w:szCs w:val="15"/>
          <w:color w:val="auto"/>
        </w:rPr>
      </w:pPr>
    </w:p>
    <w:p>
      <w:pPr>
        <w:ind w:left="1960" w:hanging="255"/>
        <w:spacing w:after="0"/>
        <w:tabs>
          <w:tab w:leader="none" w:pos="1960" w:val="left"/>
        </w:tabs>
        <w:numPr>
          <w:ilvl w:val="0"/>
          <w:numId w:val="5"/>
        </w:numPr>
        <w:rPr>
          <w:rFonts w:ascii="Arial" w:cs="Arial" w:eastAsia="Arial" w:hAnsi="Arial"/>
          <w:sz w:val="15"/>
          <w:szCs w:val="15"/>
          <w:color w:val="auto"/>
        </w:rPr>
      </w:pPr>
      <w:r>
        <w:rPr>
          <w:rFonts w:ascii="Arial" w:cs="Arial" w:eastAsia="Arial" w:hAnsi="Arial"/>
          <w:sz w:val="15"/>
          <w:szCs w:val="15"/>
          <w:color w:val="auto"/>
        </w:rPr>
        <w:t>We operate in competitive markets, and we must continue to compete effectively.</w:t>
      </w:r>
    </w:p>
    <w:p>
      <w:pPr>
        <w:spacing w:after="0" w:line="109" w:lineRule="exact"/>
        <w:rPr>
          <w:rFonts w:ascii="Arial" w:cs="Arial" w:eastAsia="Arial" w:hAnsi="Arial"/>
          <w:sz w:val="15"/>
          <w:szCs w:val="15"/>
          <w:color w:val="auto"/>
        </w:rPr>
      </w:pPr>
    </w:p>
    <w:p>
      <w:pPr>
        <w:ind w:left="1960" w:hanging="255"/>
        <w:spacing w:after="0"/>
        <w:tabs>
          <w:tab w:leader="none" w:pos="1960" w:val="left"/>
        </w:tabs>
        <w:numPr>
          <w:ilvl w:val="0"/>
          <w:numId w:val="5"/>
        </w:numPr>
        <w:rPr>
          <w:rFonts w:ascii="Arial" w:cs="Arial" w:eastAsia="Arial" w:hAnsi="Arial"/>
          <w:sz w:val="15"/>
          <w:szCs w:val="15"/>
          <w:color w:val="auto"/>
        </w:rPr>
      </w:pPr>
      <w:r>
        <w:rPr>
          <w:rFonts w:ascii="Arial" w:cs="Arial" w:eastAsia="Arial" w:hAnsi="Arial"/>
          <w:sz w:val="15"/>
          <w:szCs w:val="15"/>
          <w:color w:val="auto"/>
        </w:rPr>
        <w:t>We may not be able to respond to rapid technological changes, extend our platform, or develop new features.</w:t>
      </w:r>
    </w:p>
    <w:p>
      <w:pPr>
        <w:spacing w:after="0" w:line="200" w:lineRule="exact"/>
        <w:rPr>
          <w:sz w:val="20"/>
          <w:szCs w:val="20"/>
          <w:color w:val="auto"/>
        </w:rPr>
      </w:pPr>
    </w:p>
    <w:p>
      <w:pPr>
        <w:spacing w:after="0" w:line="349" w:lineRule="exact"/>
        <w:rPr>
          <w:sz w:val="20"/>
          <w:szCs w:val="20"/>
          <w:color w:val="auto"/>
        </w:rPr>
      </w:pPr>
    </w:p>
    <w:p>
      <w:pPr>
        <w:ind w:left="5680"/>
        <w:spacing w:after="0"/>
        <w:rPr>
          <w:sz w:val="20"/>
          <w:szCs w:val="20"/>
          <w:color w:val="auto"/>
        </w:rPr>
      </w:pPr>
      <w:r>
        <w:rPr>
          <w:rFonts w:ascii="Arial" w:cs="Arial" w:eastAsia="Arial" w:hAnsi="Arial"/>
          <w:sz w:val="15"/>
          <w:szCs w:val="15"/>
          <w:color w:val="auto"/>
        </w:rPr>
        <w:t>5</w:t>
      </w:r>
    </w:p>
    <w:p>
      <w:pPr>
        <w:sectPr>
          <w:pgSz w:w="11900" w:h="16838" w:orient="portrait"/>
          <w:cols w:equalWidth="0" w:num="1">
            <w:col w:w="10219"/>
          </w:cols>
          <w:pgMar w:left="240" w:top="407" w:right="1440" w:bottom="1440" w:gutter="0" w:footer="0" w:header="0"/>
        </w:sectPr>
      </w:pPr>
    </w:p>
    <w:bookmarkStart w:id="12" w:name="page13"/>
    <w:bookmarkEnd w:id="12"/>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133350</wp:posOffset>
            </wp:positionH>
            <wp:positionV relativeFrom="page">
              <wp:posOffset>88900</wp:posOffset>
            </wp:positionV>
            <wp:extent cx="7308850" cy="342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308850" cy="34290"/>
                    </a:xfrm>
                    <a:prstGeom prst="rect">
                      <a:avLst/>
                    </a:prstGeom>
                    <a:noFill/>
                  </pic:spPr>
                </pic:pic>
              </a:graphicData>
            </a:graphic>
          </wp:anchor>
        </w:drawing>
      </w:r>
      <w:hyperlink w:anchor="page7">
        <w:r>
          <w:rPr>
            <w:rFonts w:ascii="Arial" w:cs="Arial" w:eastAsia="Arial" w:hAnsi="Arial"/>
            <w:sz w:val="15"/>
            <w:szCs w:val="15"/>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707390</wp:posOffset>
            </wp:positionH>
            <wp:positionV relativeFrom="paragraph">
              <wp:posOffset>168910</wp:posOffset>
            </wp:positionV>
            <wp:extent cx="5849620" cy="408749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849620" cy="4087495"/>
                    </a:xfrm>
                    <a:prstGeom prst="rect">
                      <a:avLst/>
                    </a:prstGeom>
                    <a:noFill/>
                  </pic:spPr>
                </pic:pic>
              </a:graphicData>
            </a:graphic>
          </wp:anchor>
        </w:drawing>
      </w:r>
    </w:p>
    <w:p>
      <w:pPr>
        <w:spacing w:after="0" w:line="397" w:lineRule="exact"/>
        <w:rPr>
          <w:sz w:val="20"/>
          <w:szCs w:val="20"/>
          <w:color w:val="auto"/>
        </w:rPr>
      </w:pPr>
    </w:p>
    <w:p>
      <w:pPr>
        <w:ind w:left="1960" w:hanging="255"/>
        <w:spacing w:after="0"/>
        <w:tabs>
          <w:tab w:leader="none" w:pos="1960" w:val="left"/>
        </w:tabs>
        <w:numPr>
          <w:ilvl w:val="0"/>
          <w:numId w:val="6"/>
        </w:numPr>
        <w:rPr>
          <w:rFonts w:ascii="Arial" w:cs="Arial" w:eastAsia="Arial" w:hAnsi="Arial"/>
          <w:sz w:val="15"/>
          <w:szCs w:val="15"/>
          <w:color w:val="auto"/>
        </w:rPr>
      </w:pPr>
      <w:r>
        <w:rPr>
          <w:rFonts w:ascii="Arial" w:cs="Arial" w:eastAsia="Arial" w:hAnsi="Arial"/>
          <w:sz w:val="15"/>
          <w:szCs w:val="15"/>
          <w:color w:val="auto"/>
        </w:rPr>
        <w:t>We may not successfully manage our growth or plan for future growth.</w:t>
      </w:r>
    </w:p>
    <w:p>
      <w:pPr>
        <w:spacing w:after="0" w:line="109" w:lineRule="exact"/>
        <w:rPr>
          <w:rFonts w:ascii="Arial" w:cs="Arial" w:eastAsia="Arial" w:hAnsi="Arial"/>
          <w:sz w:val="15"/>
          <w:szCs w:val="15"/>
          <w:color w:val="auto"/>
        </w:rPr>
      </w:pPr>
    </w:p>
    <w:p>
      <w:pPr>
        <w:ind w:left="1960" w:right="79" w:hanging="255"/>
        <w:spacing w:after="0" w:line="312" w:lineRule="auto"/>
        <w:tabs>
          <w:tab w:leader="none" w:pos="1960" w:val="left"/>
        </w:tabs>
        <w:numPr>
          <w:ilvl w:val="0"/>
          <w:numId w:val="6"/>
        </w:numPr>
        <w:rPr>
          <w:rFonts w:ascii="Arial" w:cs="Arial" w:eastAsia="Arial" w:hAnsi="Arial"/>
          <w:sz w:val="14"/>
          <w:szCs w:val="14"/>
          <w:color w:val="auto"/>
        </w:rPr>
      </w:pPr>
      <w:r>
        <w:rPr>
          <w:rFonts w:ascii="Arial" w:cs="Arial" w:eastAsia="Arial" w:hAnsi="Arial"/>
          <w:sz w:val="14"/>
          <w:szCs w:val="14"/>
          <w:color w:val="auto"/>
        </w:rPr>
        <w:t>The multi-class structure of our common stock will have the effect of concentrating voting control with those stockholders who held our capital stock prior to the completion of this offering, and it may depress the trading price of our Class A common stock.</w:t>
      </w:r>
    </w:p>
    <w:p>
      <w:pPr>
        <w:spacing w:after="0" w:line="209" w:lineRule="exact"/>
        <w:rPr>
          <w:sz w:val="20"/>
          <w:szCs w:val="20"/>
          <w:color w:val="auto"/>
        </w:rPr>
      </w:pPr>
    </w:p>
    <w:p>
      <w:pPr>
        <w:ind w:left="1260"/>
        <w:spacing w:after="0"/>
        <w:rPr>
          <w:sz w:val="20"/>
          <w:szCs w:val="20"/>
          <w:color w:val="auto"/>
        </w:rPr>
      </w:pPr>
      <w:r>
        <w:rPr>
          <w:rFonts w:ascii="Arial" w:cs="Arial" w:eastAsia="Arial" w:hAnsi="Arial"/>
          <w:sz w:val="15"/>
          <w:szCs w:val="15"/>
          <w:b w:val="1"/>
          <w:bCs w:val="1"/>
          <w:color w:val="auto"/>
        </w:rPr>
        <w:t>Channels for Disclosure of Information</w:t>
      </w:r>
    </w:p>
    <w:p>
      <w:pPr>
        <w:spacing w:after="0" w:line="102" w:lineRule="exact"/>
        <w:rPr>
          <w:sz w:val="20"/>
          <w:szCs w:val="20"/>
          <w:color w:val="auto"/>
        </w:rPr>
      </w:pPr>
    </w:p>
    <w:p>
      <w:pPr>
        <w:ind w:left="1260" w:right="79" w:firstLine="356"/>
        <w:spacing w:after="0" w:line="290" w:lineRule="auto"/>
        <w:rPr>
          <w:sz w:val="20"/>
          <w:szCs w:val="20"/>
          <w:color w:val="auto"/>
        </w:rPr>
      </w:pPr>
      <w:r>
        <w:rPr>
          <w:rFonts w:ascii="Arial" w:cs="Arial" w:eastAsia="Arial" w:hAnsi="Arial"/>
          <w:sz w:val="14"/>
          <w:szCs w:val="14"/>
          <w:color w:val="auto"/>
        </w:rPr>
        <w:t>Investors, the media, and others should note that, following the completion of this offering, we intend to announce material information to the public through filings with the Securities and Exchange Commission, or the SEC, the investor relations page on our website, press releases, public conference calls, webcasts, our company news site at dropbox.com/news, and our corporate blog at blogs.dropbox.com.</w:t>
      </w:r>
    </w:p>
    <w:p>
      <w:pPr>
        <w:spacing w:after="0" w:line="138" w:lineRule="exact"/>
        <w:rPr>
          <w:sz w:val="20"/>
          <w:szCs w:val="20"/>
          <w:color w:val="auto"/>
        </w:rPr>
      </w:pPr>
    </w:p>
    <w:p>
      <w:pPr>
        <w:ind w:left="1260" w:right="459" w:firstLine="356"/>
        <w:spacing w:after="0" w:line="312" w:lineRule="auto"/>
        <w:rPr>
          <w:sz w:val="20"/>
          <w:szCs w:val="20"/>
          <w:color w:val="auto"/>
        </w:rPr>
      </w:pPr>
      <w:r>
        <w:rPr>
          <w:rFonts w:ascii="Arial" w:cs="Arial" w:eastAsia="Arial" w:hAnsi="Arial"/>
          <w:sz w:val="14"/>
          <w:szCs w:val="14"/>
          <w:color w:val="auto"/>
        </w:rPr>
        <w:t>The information disclosed by the foregoing channels could be deemed to be material information. As such, we encourage investors, the media, and others to follow the channels listed above and to review the information disclosed through such channels.</w:t>
      </w:r>
    </w:p>
    <w:p>
      <w:pPr>
        <w:spacing w:after="0" w:line="123" w:lineRule="exact"/>
        <w:rPr>
          <w:sz w:val="20"/>
          <w:szCs w:val="20"/>
          <w:color w:val="auto"/>
        </w:rPr>
      </w:pPr>
    </w:p>
    <w:p>
      <w:pPr>
        <w:ind w:left="1260" w:right="239" w:firstLine="356"/>
        <w:spacing w:after="0" w:line="275" w:lineRule="auto"/>
        <w:rPr>
          <w:sz w:val="20"/>
          <w:szCs w:val="20"/>
          <w:color w:val="auto"/>
        </w:rPr>
      </w:pPr>
      <w:r>
        <w:rPr>
          <w:rFonts w:ascii="Arial" w:cs="Arial" w:eastAsia="Arial" w:hAnsi="Arial"/>
          <w:sz w:val="15"/>
          <w:szCs w:val="15"/>
          <w:color w:val="auto"/>
        </w:rPr>
        <w:t>Any updates to the list of disclosure channels through which we will announce information will be posted on the investor relations page on our website.</w:t>
      </w:r>
    </w:p>
    <w:p>
      <w:pPr>
        <w:spacing w:after="0" w:line="232" w:lineRule="exact"/>
        <w:rPr>
          <w:sz w:val="20"/>
          <w:szCs w:val="20"/>
          <w:color w:val="auto"/>
        </w:rPr>
      </w:pPr>
    </w:p>
    <w:p>
      <w:pPr>
        <w:ind w:left="1260"/>
        <w:spacing w:after="0"/>
        <w:rPr>
          <w:sz w:val="20"/>
          <w:szCs w:val="20"/>
          <w:color w:val="auto"/>
        </w:rPr>
      </w:pPr>
      <w:r>
        <w:rPr>
          <w:rFonts w:ascii="Arial" w:cs="Arial" w:eastAsia="Arial" w:hAnsi="Arial"/>
          <w:sz w:val="15"/>
          <w:szCs w:val="15"/>
          <w:b w:val="1"/>
          <w:bCs w:val="1"/>
          <w:color w:val="auto"/>
        </w:rPr>
        <w:t>Corporate Information</w:t>
      </w:r>
    </w:p>
    <w:p>
      <w:pPr>
        <w:spacing w:after="0" w:line="102" w:lineRule="exact"/>
        <w:rPr>
          <w:sz w:val="20"/>
          <w:szCs w:val="20"/>
          <w:color w:val="auto"/>
        </w:rPr>
      </w:pPr>
    </w:p>
    <w:p>
      <w:pPr>
        <w:ind w:left="1260" w:right="119" w:firstLine="356"/>
        <w:spacing w:after="0" w:line="283" w:lineRule="auto"/>
        <w:rPr>
          <w:sz w:val="20"/>
          <w:szCs w:val="20"/>
          <w:color w:val="auto"/>
        </w:rPr>
      </w:pPr>
      <w:r>
        <w:rPr>
          <w:rFonts w:ascii="Arial" w:cs="Arial" w:eastAsia="Arial" w:hAnsi="Arial"/>
          <w:sz w:val="14"/>
          <w:szCs w:val="14"/>
          <w:color w:val="auto"/>
        </w:rPr>
        <w:t>We were incorporated in May 2007 as Evenflow, Inc., a Delaware corporation, and changed our name to Dropbox, Inc. in October 2009. Our principal executive offices are located at 333 Brannan Street, San Francisco, California, 94107, and our telephone number is (415) 857-6800. Our website address is www.dropbox.com. Information contained on, or that can be accessed through, our website does not constitute part of this prospectus and inclusions of our website address in this prospectus are inactive textual references only.</w:t>
      </w:r>
    </w:p>
    <w:p>
      <w:pPr>
        <w:spacing w:after="0" w:line="143" w:lineRule="exact"/>
        <w:rPr>
          <w:sz w:val="20"/>
          <w:szCs w:val="20"/>
          <w:color w:val="auto"/>
        </w:rPr>
      </w:pPr>
    </w:p>
    <w:p>
      <w:pPr>
        <w:ind w:left="1260" w:right="139" w:firstLine="356"/>
        <w:spacing w:after="0" w:line="259" w:lineRule="auto"/>
        <w:rPr>
          <w:sz w:val="20"/>
          <w:szCs w:val="20"/>
          <w:color w:val="auto"/>
        </w:rPr>
      </w:pPr>
      <w:r>
        <w:rPr>
          <w:rFonts w:ascii="Arial" w:cs="Arial" w:eastAsia="Arial" w:hAnsi="Arial"/>
          <w:sz w:val="15"/>
          <w:szCs w:val="15"/>
          <w:color w:val="auto"/>
        </w:rPr>
        <w:t>“Dropbox,” “Dropbox Paper,” “Dropbox Smart Sync,” “Dropbox Showcase,” our logo, and our other registered or common law trademarks, service marks, or trade names appearing in this prospectus are the property of Dropbox, Inc. We refer to Dropbox Paper as Paper, Dropbox Smart Sync as Smart Sync, and Dropbox Showcase as Showcase in this prospectus. Other trademarks and trade names referred to in this prospectus are the property of their respective owners.</w:t>
      </w:r>
    </w:p>
    <w:p>
      <w:pPr>
        <w:spacing w:after="0" w:line="244" w:lineRule="exact"/>
        <w:rPr>
          <w:sz w:val="20"/>
          <w:szCs w:val="20"/>
          <w:color w:val="auto"/>
        </w:rPr>
      </w:pPr>
    </w:p>
    <w:p>
      <w:pPr>
        <w:ind w:left="1260"/>
        <w:spacing w:after="0"/>
        <w:rPr>
          <w:sz w:val="20"/>
          <w:szCs w:val="20"/>
          <w:color w:val="auto"/>
        </w:rPr>
      </w:pPr>
      <w:r>
        <w:rPr>
          <w:rFonts w:ascii="Arial" w:cs="Arial" w:eastAsia="Arial" w:hAnsi="Arial"/>
          <w:sz w:val="15"/>
          <w:szCs w:val="15"/>
          <w:b w:val="1"/>
          <w:bCs w:val="1"/>
          <w:color w:val="auto"/>
        </w:rPr>
        <w:t>JOBS Act</w:t>
      </w:r>
    </w:p>
    <w:p>
      <w:pPr>
        <w:spacing w:after="0" w:line="102" w:lineRule="exact"/>
        <w:rPr>
          <w:sz w:val="20"/>
          <w:szCs w:val="20"/>
          <w:color w:val="auto"/>
        </w:rPr>
      </w:pPr>
    </w:p>
    <w:p>
      <w:pPr>
        <w:ind w:left="1260" w:right="119" w:firstLine="356"/>
        <w:spacing w:after="0" w:line="290" w:lineRule="auto"/>
        <w:rPr>
          <w:sz w:val="20"/>
          <w:szCs w:val="20"/>
          <w:color w:val="auto"/>
        </w:rPr>
      </w:pPr>
      <w:r>
        <w:rPr>
          <w:rFonts w:ascii="Arial" w:cs="Arial" w:eastAsia="Arial" w:hAnsi="Arial"/>
          <w:sz w:val="14"/>
          <w:szCs w:val="14"/>
          <w:color w:val="auto"/>
        </w:rPr>
        <w:t>We will be treated as an “emerging growth company,” as defined in the Jumpstart Our Business Startups Act of 2012, for certain purposes until we complete this offering. As such, in this registration statement we have taken advantage of certain reduced disclosure obligations that apply to emerging growth companies regarding selected financial data and executive compensation arrangements.</w:t>
      </w:r>
    </w:p>
    <w:p>
      <w:pPr>
        <w:spacing w:after="0" w:line="200" w:lineRule="exact"/>
        <w:rPr>
          <w:sz w:val="20"/>
          <w:szCs w:val="20"/>
          <w:color w:val="auto"/>
        </w:rPr>
      </w:pPr>
    </w:p>
    <w:p>
      <w:pPr>
        <w:spacing w:after="0" w:line="299" w:lineRule="exact"/>
        <w:rPr>
          <w:sz w:val="20"/>
          <w:szCs w:val="20"/>
          <w:color w:val="auto"/>
        </w:rPr>
      </w:pPr>
    </w:p>
    <w:p>
      <w:pPr>
        <w:ind w:left="5680"/>
        <w:spacing w:after="0"/>
        <w:rPr>
          <w:sz w:val="20"/>
          <w:szCs w:val="20"/>
          <w:color w:val="auto"/>
        </w:rPr>
      </w:pPr>
      <w:r>
        <w:rPr>
          <w:rFonts w:ascii="Arial" w:cs="Arial" w:eastAsia="Arial" w:hAnsi="Arial"/>
          <w:sz w:val="15"/>
          <w:szCs w:val="15"/>
          <w:color w:val="auto"/>
        </w:rPr>
        <w:t>6</w:t>
      </w:r>
    </w:p>
    <w:p>
      <w:pPr>
        <w:sectPr>
          <w:pgSz w:w="11900" w:h="16838" w:orient="portrait"/>
          <w:cols w:equalWidth="0" w:num="1">
            <w:col w:w="10219"/>
          </w:cols>
          <w:pgMar w:left="240" w:top="407" w:right="1440" w:bottom="1440" w:gutter="0" w:footer="0" w:header="0"/>
        </w:sectPr>
      </w:pPr>
    </w:p>
    <w:bookmarkStart w:id="13" w:name="page14"/>
    <w:bookmarkEnd w:id="13"/>
    <w:p>
      <w:pPr>
        <w:spacing w:after="0"/>
        <w:rPr>
          <w:rFonts w:ascii="Arial" w:cs="Arial" w:eastAsia="Arial" w:hAnsi="Arial"/>
          <w:sz w:val="13"/>
          <w:szCs w:val="13"/>
          <w:b w:val="1"/>
          <w:bCs w:val="1"/>
          <w:u w:val="single" w:color="auto"/>
          <w:color w:val="0000EE"/>
        </w:rPr>
      </w:pPr>
      <w:r>
        <w:rPr>
          <w:rFonts w:ascii="Arial" w:cs="Arial" w:eastAsia="Arial" w:hAnsi="Arial"/>
          <w:sz w:val="13"/>
          <w:szCs w:val="13"/>
          <w:b w:val="1"/>
          <w:bCs w:val="1"/>
          <w:u w:val="single" w:color="auto"/>
          <w:color w:val="0000EE"/>
        </w:rPr>
        <w:drawing>
          <wp:anchor simplePos="0" relativeHeight="251657728" behindDoc="1" locked="0" layoutInCell="0" allowOverlap="1">
            <wp:simplePos x="0" y="0"/>
            <wp:positionH relativeFrom="page">
              <wp:posOffset>133350</wp:posOffset>
            </wp:positionH>
            <wp:positionV relativeFrom="page">
              <wp:posOffset>88900</wp:posOffset>
            </wp:positionV>
            <wp:extent cx="7308850" cy="342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308850" cy="34290"/>
                    </a:xfrm>
                    <a:prstGeom prst="rect">
                      <a:avLst/>
                    </a:prstGeom>
                    <a:noFill/>
                  </pic:spPr>
                </pic:pic>
              </a:graphicData>
            </a:graphic>
          </wp:anchor>
        </w:drawing>
      </w:r>
      <w:hyperlink w:anchor="page7">
        <w:r>
          <w:rPr>
            <w:rFonts w:ascii="Arial" w:cs="Arial" w:eastAsia="Arial" w:hAnsi="Arial"/>
            <w:sz w:val="13"/>
            <w:szCs w:val="13"/>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707390</wp:posOffset>
            </wp:positionH>
            <wp:positionV relativeFrom="paragraph">
              <wp:posOffset>183515</wp:posOffset>
            </wp:positionV>
            <wp:extent cx="5849620" cy="4868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849620" cy="4868545"/>
                    </a:xfrm>
                    <a:prstGeom prst="rect">
                      <a:avLst/>
                    </a:prstGeom>
                    <a:noFill/>
                  </pic:spPr>
                </pic:pic>
              </a:graphicData>
            </a:graphic>
          </wp:anchor>
        </w:drawing>
      </w:r>
    </w:p>
    <w:p>
      <w:pPr>
        <w:sectPr>
          <w:pgSz w:w="11900" w:h="16838" w:orient="portrait"/>
          <w:cols w:equalWidth="0" w:num="1">
            <w:col w:w="10320"/>
          </w:cols>
          <w:pgMar w:left="240" w:top="407" w:right="1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1260"/>
        <w:spacing w:after="0"/>
        <w:rPr>
          <w:sz w:val="20"/>
          <w:szCs w:val="20"/>
          <w:color w:val="auto"/>
        </w:rPr>
      </w:pPr>
      <w:r>
        <w:rPr>
          <w:rFonts w:ascii="Arial" w:cs="Arial" w:eastAsia="Arial" w:hAnsi="Arial"/>
          <w:sz w:val="15"/>
          <w:szCs w:val="15"/>
          <w:color w:val="auto"/>
        </w:rPr>
        <w:t>Class A common stock offered by us</w:t>
      </w:r>
    </w:p>
    <w:p>
      <w:pPr>
        <w:spacing w:after="0" w:line="222" w:lineRule="exact"/>
        <w:rPr>
          <w:sz w:val="20"/>
          <w:szCs w:val="20"/>
          <w:color w:val="auto"/>
        </w:rPr>
      </w:pPr>
    </w:p>
    <w:p>
      <w:pPr>
        <w:ind w:left="1340" w:right="400" w:hanging="65"/>
        <w:spacing w:after="0" w:line="275" w:lineRule="auto"/>
        <w:rPr>
          <w:sz w:val="20"/>
          <w:szCs w:val="20"/>
          <w:color w:val="auto"/>
        </w:rPr>
      </w:pPr>
      <w:r>
        <w:rPr>
          <w:rFonts w:ascii="Arial" w:cs="Arial" w:eastAsia="Arial" w:hAnsi="Arial"/>
          <w:sz w:val="15"/>
          <w:szCs w:val="15"/>
          <w:color w:val="auto"/>
        </w:rPr>
        <w:t>Class A common stock offered by the selling stockholders</w:t>
      </w:r>
    </w:p>
    <w:p>
      <w:pPr>
        <w:spacing w:after="0" w:line="180" w:lineRule="exact"/>
        <w:rPr>
          <w:sz w:val="20"/>
          <w:szCs w:val="20"/>
          <w:color w:val="auto"/>
        </w:rPr>
      </w:pPr>
    </w:p>
    <w:p>
      <w:pPr>
        <w:ind w:left="1340" w:hanging="65"/>
        <w:spacing w:after="0" w:line="275" w:lineRule="auto"/>
        <w:rPr>
          <w:sz w:val="20"/>
          <w:szCs w:val="20"/>
          <w:color w:val="auto"/>
        </w:rPr>
      </w:pPr>
      <w:r>
        <w:rPr>
          <w:rFonts w:ascii="Arial" w:cs="Arial" w:eastAsia="Arial" w:hAnsi="Arial"/>
          <w:sz w:val="15"/>
          <w:szCs w:val="15"/>
          <w:color w:val="auto"/>
        </w:rPr>
        <w:t>Class A common stock sold by us in the concurrent private placement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6" w:lineRule="exact"/>
        <w:rPr>
          <w:sz w:val="20"/>
          <w:szCs w:val="20"/>
          <w:color w:val="auto"/>
        </w:rPr>
      </w:pPr>
    </w:p>
    <w:p>
      <w:pPr>
        <w:ind w:left="500"/>
        <w:spacing w:after="0"/>
        <w:rPr>
          <w:sz w:val="20"/>
          <w:szCs w:val="20"/>
          <w:color w:val="auto"/>
        </w:rPr>
      </w:pPr>
      <w:r>
        <w:rPr>
          <w:rFonts w:ascii="Arial" w:cs="Arial" w:eastAsia="Arial" w:hAnsi="Arial"/>
          <w:sz w:val="15"/>
          <w:szCs w:val="15"/>
          <w:b w:val="1"/>
          <w:bCs w:val="1"/>
          <w:color w:val="auto"/>
        </w:rPr>
        <w:t>THE OFFERING</w:t>
      </w:r>
    </w:p>
    <w:p>
      <w:pPr>
        <w:spacing w:after="0" w:line="215" w:lineRule="exact"/>
        <w:rPr>
          <w:sz w:val="20"/>
          <w:szCs w:val="20"/>
          <w:color w:val="auto"/>
        </w:rPr>
      </w:pPr>
    </w:p>
    <w:p>
      <w:pPr>
        <w:spacing w:after="0"/>
        <w:rPr>
          <w:sz w:val="20"/>
          <w:szCs w:val="20"/>
          <w:color w:val="auto"/>
        </w:rPr>
      </w:pPr>
      <w:r>
        <w:rPr>
          <w:rFonts w:ascii="Arial" w:cs="Arial" w:eastAsia="Arial" w:hAnsi="Arial"/>
          <w:sz w:val="15"/>
          <w:szCs w:val="15"/>
          <w:color w:val="auto"/>
        </w:rPr>
        <w:t>26,822,409 shares</w:t>
      </w:r>
    </w:p>
    <w:p>
      <w:pPr>
        <w:spacing w:after="0" w:line="222" w:lineRule="exact"/>
        <w:rPr>
          <w:sz w:val="20"/>
          <w:szCs w:val="20"/>
          <w:color w:val="auto"/>
        </w:rPr>
      </w:pPr>
    </w:p>
    <w:p>
      <w:pPr>
        <w:spacing w:after="0"/>
        <w:rPr>
          <w:sz w:val="20"/>
          <w:szCs w:val="20"/>
          <w:color w:val="auto"/>
        </w:rPr>
      </w:pPr>
      <w:r>
        <w:rPr>
          <w:rFonts w:ascii="Arial" w:cs="Arial" w:eastAsia="Arial" w:hAnsi="Arial"/>
          <w:sz w:val="15"/>
          <w:szCs w:val="15"/>
          <w:color w:val="auto"/>
        </w:rPr>
        <w:t>9,177,591 shares</w:t>
      </w:r>
    </w:p>
    <w:p>
      <w:pPr>
        <w:spacing w:after="0" w:line="200" w:lineRule="exact"/>
        <w:rPr>
          <w:sz w:val="20"/>
          <w:szCs w:val="20"/>
          <w:color w:val="auto"/>
        </w:rPr>
      </w:pPr>
    </w:p>
    <w:p>
      <w:pPr>
        <w:spacing w:after="0" w:line="203" w:lineRule="exact"/>
        <w:rPr>
          <w:sz w:val="20"/>
          <w:szCs w:val="20"/>
          <w:color w:val="auto"/>
        </w:rPr>
      </w:pPr>
    </w:p>
    <w:p>
      <w:pPr>
        <w:ind w:right="200"/>
        <w:spacing w:after="0" w:line="294" w:lineRule="auto"/>
        <w:rPr>
          <w:sz w:val="20"/>
          <w:szCs w:val="20"/>
          <w:color w:val="auto"/>
        </w:rPr>
      </w:pPr>
      <w:r>
        <w:rPr>
          <w:rFonts w:ascii="Arial" w:cs="Arial" w:eastAsia="Arial" w:hAnsi="Arial"/>
          <w:sz w:val="13"/>
          <w:szCs w:val="13"/>
          <w:color w:val="auto"/>
        </w:rPr>
        <w:t>Immediately subsequent to the closing of this offering, Salesforce Ventures LLC will purchase from us in a private placement $100.0 million of our Class A common stock at a price per share equal to the initial public offering price. Based on an assumed initial public offering price of $19.00 per share, which is the midpoint of the estimated offering price range set forth on the cover page of this prospectus, this would be 5,263,158 shares. We will receive the full proceeds and will not pay any underwriting discounts or commissions with respect to the shares that are sold in the private placement. The sale of the shares in the private placement is contingent upon the completion of this offering. The sale of these shares to Salesforce Ventures LLC will not be registered in this offering and will be subject to a market standoff agreement with us and lock-up agreement with the underwriters for a period of up to 180 days after the date of this prospectus. See “Shares Eligible for Future Sale—Lock-Up and Market Standoff Agreements” for additional information regarding such restrictions. We refer to the private placement of these shares of Class A common stock as the concurrent private placement.</w:t>
      </w:r>
    </w:p>
    <w:p>
      <w:pPr>
        <w:spacing w:after="0" w:line="166" w:lineRule="exact"/>
        <w:rPr>
          <w:sz w:val="20"/>
          <w:szCs w:val="20"/>
          <w:color w:val="auto"/>
        </w:rPr>
      </w:pPr>
    </w:p>
    <w:p>
      <w:pPr>
        <w:sectPr>
          <w:pgSz w:w="11900" w:h="16838" w:orient="portrait"/>
          <w:cols w:equalWidth="0" w:num="2">
            <w:col w:w="4360" w:space="280"/>
            <w:col w:w="5680"/>
          </w:cols>
          <w:pgMar w:left="240" w:top="407" w:right="1339" w:bottom="1440" w:gutter="0" w:footer="0" w:header="0"/>
          <w:type w:val="continuous"/>
        </w:sectPr>
      </w:pPr>
    </w:p>
    <w:p>
      <w:pPr>
        <w:ind w:left="1340" w:hanging="65"/>
        <w:spacing w:after="0" w:line="354" w:lineRule="auto"/>
        <w:rPr>
          <w:sz w:val="20"/>
          <w:szCs w:val="20"/>
          <w:color w:val="auto"/>
        </w:rPr>
      </w:pPr>
      <w:r>
        <w:rPr>
          <w:rFonts w:ascii="Arial" w:cs="Arial" w:eastAsia="Arial" w:hAnsi="Arial"/>
          <w:sz w:val="13"/>
          <w:szCs w:val="13"/>
          <w:color w:val="auto"/>
        </w:rPr>
        <w:t>Class A common stock to be outstanding after this offering and the concurrent private placement</w:t>
      </w:r>
    </w:p>
    <w:p>
      <w:pPr>
        <w:spacing w:after="0" w:line="20" w:lineRule="exact"/>
        <w:rPr>
          <w:sz w:val="20"/>
          <w:szCs w:val="20"/>
          <w:color w:val="auto"/>
        </w:rPr>
      </w:pPr>
      <w:r>
        <w:rPr>
          <w:sz w:val="20"/>
          <w:szCs w:val="20"/>
          <w:color w:val="auto"/>
        </w:rPr>
        <w:br w:type="column"/>
      </w:r>
    </w:p>
    <w:p>
      <w:pPr>
        <w:ind w:right="260"/>
        <w:spacing w:after="0" w:line="259" w:lineRule="auto"/>
        <w:rPr>
          <w:sz w:val="20"/>
          <w:szCs w:val="20"/>
          <w:color w:val="auto"/>
        </w:rPr>
      </w:pPr>
      <w:r>
        <w:rPr>
          <w:rFonts w:ascii="Arial" w:cs="Arial" w:eastAsia="Arial" w:hAnsi="Arial"/>
          <w:sz w:val="15"/>
          <w:szCs w:val="15"/>
          <w:color w:val="auto"/>
        </w:rPr>
        <w:t>53,080,406 shares (excluding 14,733,333 shares of our Class A common stock subject to restricted stock awards, or RSAs, that were granted to our co-founders, or collectively, the Co-Founder Grants, and vest upon the satisfaction of a service condition and achievement of certain stock price goals)</w:t>
      </w:r>
    </w:p>
    <w:p>
      <w:pPr>
        <w:spacing w:after="0" w:line="180" w:lineRule="exact"/>
        <w:rPr>
          <w:sz w:val="20"/>
          <w:szCs w:val="20"/>
          <w:color w:val="auto"/>
        </w:rPr>
      </w:pPr>
    </w:p>
    <w:p>
      <w:pPr>
        <w:sectPr>
          <w:pgSz w:w="11900" w:h="16838" w:orient="portrait"/>
          <w:cols w:equalWidth="0" w:num="2">
            <w:col w:w="4280" w:space="360"/>
            <w:col w:w="5680"/>
          </w:cols>
          <w:pgMar w:left="240" w:top="407" w:right="1339" w:bottom="1440" w:gutter="0" w:footer="0" w:header="0"/>
          <w:type w:val="continuous"/>
        </w:sectPr>
      </w:pPr>
    </w:p>
    <w:tbl>
      <w:tblPr>
        <w:tblLayout w:type="fixed"/>
        <w:tblInd w:w="1120" w:type="dxa"/>
        <w:tblCellMar>
          <w:top w:w="0" w:type="dxa"/>
          <w:left w:w="0" w:type="dxa"/>
          <w:bottom w:w="0" w:type="dxa"/>
          <w:right w:w="0" w:type="dxa"/>
        </w:tblCellMar>
      </w:tblPr>
      <w:tr>
        <w:trPr>
          <w:trHeight w:val="180"/>
        </w:trPr>
        <w:tc>
          <w:tcPr>
            <w:tcW w:w="3500" w:type="dxa"/>
            <w:vAlign w:val="bottom"/>
          </w:tcPr>
          <w:p>
            <w:pPr>
              <w:ind w:left="140"/>
              <w:spacing w:after="0"/>
              <w:rPr>
                <w:sz w:val="20"/>
                <w:szCs w:val="20"/>
                <w:color w:val="auto"/>
              </w:rPr>
            </w:pPr>
            <w:r>
              <w:rPr>
                <w:rFonts w:ascii="Arial" w:cs="Arial" w:eastAsia="Arial" w:hAnsi="Arial"/>
                <w:sz w:val="15"/>
                <w:szCs w:val="15"/>
                <w:color w:val="auto"/>
              </w:rPr>
              <w:t>Class B common stock to be outstanding after this</w:t>
            </w:r>
          </w:p>
        </w:tc>
        <w:tc>
          <w:tcPr>
            <w:tcW w:w="5700" w:type="dxa"/>
            <w:vAlign w:val="bottom"/>
          </w:tcPr>
          <w:p>
            <w:pPr>
              <w:ind w:left="20"/>
              <w:spacing w:after="0"/>
              <w:rPr>
                <w:sz w:val="20"/>
                <w:szCs w:val="20"/>
                <w:color w:val="auto"/>
              </w:rPr>
            </w:pPr>
            <w:r>
              <w:rPr>
                <w:rFonts w:ascii="Arial" w:cs="Arial" w:eastAsia="Arial" w:hAnsi="Arial"/>
                <w:sz w:val="15"/>
                <w:szCs w:val="15"/>
                <w:color w:val="auto"/>
              </w:rPr>
              <w:t>339,323,858 shares</w:t>
            </w:r>
          </w:p>
        </w:tc>
      </w:tr>
      <w:tr>
        <w:trPr>
          <w:trHeight w:val="190"/>
        </w:trPr>
        <w:tc>
          <w:tcPr>
            <w:tcW w:w="3500" w:type="dxa"/>
            <w:vAlign w:val="bottom"/>
          </w:tcPr>
          <w:p>
            <w:pPr>
              <w:ind w:left="220"/>
              <w:spacing w:after="0"/>
              <w:rPr>
                <w:sz w:val="20"/>
                <w:szCs w:val="20"/>
                <w:color w:val="auto"/>
              </w:rPr>
            </w:pPr>
            <w:r>
              <w:rPr>
                <w:rFonts w:ascii="Arial" w:cs="Arial" w:eastAsia="Arial" w:hAnsi="Arial"/>
                <w:sz w:val="15"/>
                <w:szCs w:val="15"/>
                <w:color w:val="auto"/>
              </w:rPr>
              <w:t>offering and the concurrent private placement</w:t>
            </w:r>
          </w:p>
        </w:tc>
        <w:tc>
          <w:tcPr>
            <w:tcW w:w="5700" w:type="dxa"/>
            <w:vAlign w:val="bottom"/>
          </w:tcPr>
          <w:p>
            <w:pPr>
              <w:spacing w:after="0"/>
              <w:rPr>
                <w:sz w:val="16"/>
                <w:szCs w:val="16"/>
                <w:color w:val="auto"/>
              </w:rPr>
            </w:pPr>
          </w:p>
        </w:tc>
      </w:tr>
      <w:tr>
        <w:trPr>
          <w:trHeight w:val="385"/>
        </w:trPr>
        <w:tc>
          <w:tcPr>
            <w:tcW w:w="3500" w:type="dxa"/>
            <w:vAlign w:val="bottom"/>
          </w:tcPr>
          <w:p>
            <w:pPr>
              <w:ind w:left="140"/>
              <w:spacing w:after="0"/>
              <w:rPr>
                <w:sz w:val="20"/>
                <w:szCs w:val="20"/>
                <w:color w:val="auto"/>
              </w:rPr>
            </w:pPr>
            <w:r>
              <w:rPr>
                <w:rFonts w:ascii="Arial" w:cs="Arial" w:eastAsia="Arial" w:hAnsi="Arial"/>
                <w:sz w:val="15"/>
                <w:szCs w:val="15"/>
                <w:color w:val="auto"/>
                <w:w w:val="99"/>
              </w:rPr>
              <w:t>Class C common stock to be outstanding after this</w:t>
            </w:r>
          </w:p>
        </w:tc>
        <w:tc>
          <w:tcPr>
            <w:tcW w:w="5700" w:type="dxa"/>
            <w:vAlign w:val="bottom"/>
          </w:tcPr>
          <w:p>
            <w:pPr>
              <w:ind w:left="20"/>
              <w:spacing w:after="0"/>
              <w:rPr>
                <w:sz w:val="20"/>
                <w:szCs w:val="20"/>
                <w:color w:val="auto"/>
              </w:rPr>
            </w:pPr>
            <w:r>
              <w:rPr>
                <w:rFonts w:ascii="Arial" w:cs="Arial" w:eastAsia="Arial" w:hAnsi="Arial"/>
                <w:sz w:val="15"/>
                <w:szCs w:val="15"/>
                <w:color w:val="auto"/>
              </w:rPr>
              <w:t>None</w:t>
            </w:r>
          </w:p>
        </w:tc>
      </w:tr>
      <w:tr>
        <w:trPr>
          <w:trHeight w:val="190"/>
        </w:trPr>
        <w:tc>
          <w:tcPr>
            <w:tcW w:w="3500" w:type="dxa"/>
            <w:vAlign w:val="bottom"/>
          </w:tcPr>
          <w:p>
            <w:pPr>
              <w:ind w:left="220"/>
              <w:spacing w:after="0"/>
              <w:rPr>
                <w:sz w:val="20"/>
                <w:szCs w:val="20"/>
                <w:color w:val="auto"/>
              </w:rPr>
            </w:pPr>
            <w:r>
              <w:rPr>
                <w:rFonts w:ascii="Arial" w:cs="Arial" w:eastAsia="Arial" w:hAnsi="Arial"/>
                <w:sz w:val="15"/>
                <w:szCs w:val="15"/>
                <w:color w:val="auto"/>
              </w:rPr>
              <w:t>offering and the concurrent private placement</w:t>
            </w:r>
          </w:p>
        </w:tc>
        <w:tc>
          <w:tcPr>
            <w:tcW w:w="5700" w:type="dxa"/>
            <w:vAlign w:val="bottom"/>
          </w:tcPr>
          <w:p>
            <w:pPr>
              <w:spacing w:after="0"/>
              <w:rPr>
                <w:sz w:val="16"/>
                <w:szCs w:val="16"/>
                <w:color w:val="auto"/>
              </w:rPr>
            </w:pPr>
          </w:p>
        </w:tc>
      </w:tr>
      <w:tr>
        <w:trPr>
          <w:trHeight w:val="385"/>
        </w:trPr>
        <w:tc>
          <w:tcPr>
            <w:tcW w:w="3500" w:type="dxa"/>
            <w:vAlign w:val="bottom"/>
          </w:tcPr>
          <w:p>
            <w:pPr>
              <w:ind w:left="140"/>
              <w:spacing w:after="0"/>
              <w:rPr>
                <w:sz w:val="20"/>
                <w:szCs w:val="20"/>
                <w:color w:val="auto"/>
              </w:rPr>
            </w:pPr>
            <w:r>
              <w:rPr>
                <w:rFonts w:ascii="Arial" w:cs="Arial" w:eastAsia="Arial" w:hAnsi="Arial"/>
                <w:sz w:val="15"/>
                <w:szCs w:val="15"/>
                <w:color w:val="auto"/>
                <w:w w:val="94"/>
              </w:rPr>
              <w:t>Total Class A common stock, Class B common stock,</w:t>
            </w:r>
          </w:p>
        </w:tc>
        <w:tc>
          <w:tcPr>
            <w:tcW w:w="5700" w:type="dxa"/>
            <w:vAlign w:val="bottom"/>
          </w:tcPr>
          <w:p>
            <w:pPr>
              <w:ind w:left="20"/>
              <w:spacing w:after="0"/>
              <w:rPr>
                <w:sz w:val="20"/>
                <w:szCs w:val="20"/>
                <w:color w:val="auto"/>
              </w:rPr>
            </w:pPr>
            <w:r>
              <w:rPr>
                <w:rFonts w:ascii="Arial" w:cs="Arial" w:eastAsia="Arial" w:hAnsi="Arial"/>
                <w:sz w:val="15"/>
                <w:szCs w:val="15"/>
                <w:color w:val="auto"/>
              </w:rPr>
              <w:t>392,404,264 shares</w:t>
            </w:r>
          </w:p>
        </w:tc>
      </w:tr>
      <w:tr>
        <w:trPr>
          <w:trHeight w:val="180"/>
        </w:trPr>
        <w:tc>
          <w:tcPr>
            <w:tcW w:w="3500" w:type="dxa"/>
            <w:vAlign w:val="bottom"/>
          </w:tcPr>
          <w:p>
            <w:pPr>
              <w:ind w:left="220"/>
              <w:spacing w:after="0"/>
              <w:rPr>
                <w:sz w:val="20"/>
                <w:szCs w:val="20"/>
                <w:color w:val="auto"/>
              </w:rPr>
            </w:pPr>
            <w:r>
              <w:rPr>
                <w:rFonts w:ascii="Arial" w:cs="Arial" w:eastAsia="Arial" w:hAnsi="Arial"/>
                <w:sz w:val="15"/>
                <w:szCs w:val="15"/>
                <w:color w:val="auto"/>
                <w:w w:val="89"/>
              </w:rPr>
              <w:t>and Class C common stock to be outstanding after this</w:t>
            </w:r>
          </w:p>
        </w:tc>
        <w:tc>
          <w:tcPr>
            <w:tcW w:w="5700" w:type="dxa"/>
            <w:vAlign w:val="bottom"/>
          </w:tcPr>
          <w:p>
            <w:pPr>
              <w:spacing w:after="0"/>
              <w:rPr>
                <w:sz w:val="15"/>
                <w:szCs w:val="15"/>
                <w:color w:val="auto"/>
              </w:rPr>
            </w:pPr>
          </w:p>
        </w:tc>
      </w:tr>
      <w:tr>
        <w:trPr>
          <w:trHeight w:val="190"/>
        </w:trPr>
        <w:tc>
          <w:tcPr>
            <w:tcW w:w="3500" w:type="dxa"/>
            <w:vAlign w:val="bottom"/>
          </w:tcPr>
          <w:p>
            <w:pPr>
              <w:ind w:left="220"/>
              <w:spacing w:after="0"/>
              <w:rPr>
                <w:sz w:val="20"/>
                <w:szCs w:val="20"/>
                <w:color w:val="auto"/>
              </w:rPr>
            </w:pPr>
            <w:r>
              <w:rPr>
                <w:rFonts w:ascii="Arial" w:cs="Arial" w:eastAsia="Arial" w:hAnsi="Arial"/>
                <w:sz w:val="15"/>
                <w:szCs w:val="15"/>
                <w:color w:val="auto"/>
              </w:rPr>
              <w:t>offering and the concurrent private placement</w:t>
            </w:r>
          </w:p>
        </w:tc>
        <w:tc>
          <w:tcPr>
            <w:tcW w:w="5700" w:type="dxa"/>
            <w:vAlign w:val="bottom"/>
          </w:tcPr>
          <w:p>
            <w:pPr>
              <w:spacing w:after="0"/>
              <w:rPr>
                <w:sz w:val="16"/>
                <w:szCs w:val="16"/>
                <w:color w:val="auto"/>
              </w:rPr>
            </w:pPr>
          </w:p>
        </w:tc>
      </w:tr>
      <w:tr>
        <w:trPr>
          <w:trHeight w:val="385"/>
        </w:trPr>
        <w:tc>
          <w:tcPr>
            <w:tcW w:w="3500" w:type="dxa"/>
            <w:vAlign w:val="bottom"/>
          </w:tcPr>
          <w:p>
            <w:pPr>
              <w:ind w:left="140"/>
              <w:spacing w:after="0"/>
              <w:rPr>
                <w:sz w:val="20"/>
                <w:szCs w:val="20"/>
                <w:color w:val="auto"/>
              </w:rPr>
            </w:pPr>
            <w:r>
              <w:rPr>
                <w:rFonts w:ascii="Arial" w:cs="Arial" w:eastAsia="Arial" w:hAnsi="Arial"/>
                <w:sz w:val="15"/>
                <w:szCs w:val="15"/>
                <w:color w:val="auto"/>
              </w:rPr>
              <w:t>Option to purchase additional shares of Class A</w:t>
            </w:r>
          </w:p>
        </w:tc>
        <w:tc>
          <w:tcPr>
            <w:tcW w:w="5700" w:type="dxa"/>
            <w:vAlign w:val="bottom"/>
          </w:tcPr>
          <w:p>
            <w:pPr>
              <w:ind w:left="20"/>
              <w:spacing w:after="0"/>
              <w:rPr>
                <w:sz w:val="20"/>
                <w:szCs w:val="20"/>
                <w:color w:val="auto"/>
              </w:rPr>
            </w:pPr>
            <w:r>
              <w:rPr>
                <w:rFonts w:ascii="Arial" w:cs="Arial" w:eastAsia="Arial" w:hAnsi="Arial"/>
                <w:sz w:val="15"/>
                <w:szCs w:val="15"/>
                <w:color w:val="auto"/>
              </w:rPr>
              <w:t>5,400,000 shares</w:t>
            </w:r>
          </w:p>
        </w:tc>
      </w:tr>
      <w:tr>
        <w:trPr>
          <w:trHeight w:val="190"/>
        </w:trPr>
        <w:tc>
          <w:tcPr>
            <w:tcW w:w="3500" w:type="dxa"/>
            <w:vAlign w:val="bottom"/>
          </w:tcPr>
          <w:p>
            <w:pPr>
              <w:ind w:left="220"/>
              <w:spacing w:after="0"/>
              <w:rPr>
                <w:sz w:val="20"/>
                <w:szCs w:val="20"/>
                <w:color w:val="auto"/>
              </w:rPr>
            </w:pPr>
            <w:r>
              <w:rPr>
                <w:rFonts w:ascii="Arial" w:cs="Arial" w:eastAsia="Arial" w:hAnsi="Arial"/>
                <w:sz w:val="15"/>
                <w:szCs w:val="15"/>
                <w:color w:val="auto"/>
              </w:rPr>
              <w:t>common stock from us</w:t>
            </w:r>
          </w:p>
        </w:tc>
        <w:tc>
          <w:tcPr>
            <w:tcW w:w="5700" w:type="dxa"/>
            <w:vAlign w:val="bottom"/>
          </w:tcPr>
          <w:p>
            <w:pPr>
              <w:spacing w:after="0"/>
              <w:rPr>
                <w:sz w:val="16"/>
                <w:szCs w:val="16"/>
                <w:color w:val="auto"/>
              </w:rPr>
            </w:pPr>
          </w:p>
        </w:tc>
      </w:tr>
      <w:tr>
        <w:trPr>
          <w:trHeight w:val="211"/>
        </w:trPr>
        <w:tc>
          <w:tcPr>
            <w:tcW w:w="3500" w:type="dxa"/>
            <w:vAlign w:val="bottom"/>
            <w:tcBorders>
              <w:bottom w:val="single" w:sz="8" w:color="auto"/>
            </w:tcBorders>
          </w:tcPr>
          <w:p>
            <w:pPr>
              <w:spacing w:after="0"/>
              <w:rPr>
                <w:sz w:val="18"/>
                <w:szCs w:val="18"/>
                <w:color w:val="auto"/>
              </w:rPr>
            </w:pPr>
          </w:p>
        </w:tc>
        <w:tc>
          <w:tcPr>
            <w:tcW w:w="5700" w:type="dxa"/>
            <w:vAlign w:val="bottom"/>
            <w:tcBorders>
              <w:bottom w:val="single" w:sz="8" w:color="auto"/>
            </w:tcBorders>
          </w:tcPr>
          <w:p>
            <w:pPr>
              <w:spacing w:after="0"/>
              <w:rPr>
                <w:sz w:val="18"/>
                <w:szCs w:val="18"/>
                <w:color w:val="auto"/>
              </w:rPr>
            </w:pPr>
          </w:p>
        </w:tc>
      </w:tr>
      <w:tr>
        <w:trPr>
          <w:trHeight w:val="502"/>
        </w:trPr>
        <w:tc>
          <w:tcPr>
            <w:tcW w:w="3500" w:type="dxa"/>
            <w:vAlign w:val="bottom"/>
          </w:tcPr>
          <w:p>
            <w:pPr>
              <w:spacing w:after="0"/>
              <w:rPr>
                <w:sz w:val="24"/>
                <w:szCs w:val="24"/>
                <w:color w:val="auto"/>
              </w:rPr>
            </w:pPr>
          </w:p>
        </w:tc>
        <w:tc>
          <w:tcPr>
            <w:tcW w:w="5700" w:type="dxa"/>
            <w:vAlign w:val="bottom"/>
          </w:tcPr>
          <w:p>
            <w:pPr>
              <w:ind w:left="1060"/>
              <w:spacing w:after="0"/>
              <w:rPr>
                <w:sz w:val="20"/>
                <w:szCs w:val="20"/>
                <w:color w:val="auto"/>
              </w:rPr>
            </w:pPr>
            <w:r>
              <w:rPr>
                <w:rFonts w:ascii="Arial" w:cs="Arial" w:eastAsia="Arial" w:hAnsi="Arial"/>
                <w:sz w:val="15"/>
                <w:szCs w:val="15"/>
                <w:color w:val="auto"/>
              </w:rPr>
              <w:t>7</w:t>
            </w:r>
          </w:p>
        </w:tc>
      </w:tr>
    </w:tbl>
    <w:p>
      <w:pPr>
        <w:sectPr>
          <w:pgSz w:w="11900" w:h="16838" w:orient="portrait"/>
          <w:cols w:equalWidth="0" w:num="1">
            <w:col w:w="10320"/>
          </w:cols>
          <w:pgMar w:left="240" w:top="407" w:right="1339" w:bottom="1440" w:gutter="0" w:footer="0" w:header="0"/>
          <w:type w:val="continuous"/>
        </w:sectPr>
      </w:pPr>
    </w:p>
    <w:bookmarkStart w:id="14" w:name="page15"/>
    <w:bookmarkEnd w:id="14"/>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133350</wp:posOffset>
            </wp:positionH>
            <wp:positionV relativeFrom="page">
              <wp:posOffset>88900</wp:posOffset>
            </wp:positionV>
            <wp:extent cx="7308850" cy="342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308850" cy="34290"/>
                    </a:xfrm>
                    <a:prstGeom prst="rect">
                      <a:avLst/>
                    </a:prstGeom>
                    <a:noFill/>
                  </pic:spPr>
                </pic:pic>
              </a:graphicData>
            </a:graphic>
          </wp:anchor>
        </w:drawing>
      </w:r>
      <w:hyperlink w:anchor="page7">
        <w:r>
          <w:rPr>
            <w:rFonts w:ascii="Arial" w:cs="Arial" w:eastAsia="Arial" w:hAnsi="Arial"/>
            <w:sz w:val="15"/>
            <w:szCs w:val="15"/>
            <w:b w:val="1"/>
            <w:bCs w:val="1"/>
            <w:u w:val="single" w:color="auto"/>
            <w:color w:val="0000EE"/>
          </w:rPr>
          <w:t>Table of Contents</w:t>
        </w:r>
      </w:hyperlink>
    </w:p>
    <w:p>
      <w:pPr>
        <w:spacing w:after="0" w:line="246" w:lineRule="exact"/>
        <w:rPr>
          <w:sz w:val="20"/>
          <w:szCs w:val="20"/>
          <w:color w:val="auto"/>
        </w:rPr>
      </w:pPr>
    </w:p>
    <w:tbl>
      <w:tblPr>
        <w:tblLayout w:type="fixed"/>
        <w:tblInd w:w="1130" w:type="dxa"/>
        <w:tblCellMar>
          <w:top w:w="0" w:type="dxa"/>
          <w:left w:w="0" w:type="dxa"/>
          <w:bottom w:w="0" w:type="dxa"/>
          <w:right w:w="0" w:type="dxa"/>
        </w:tblCellMar>
      </w:tblPr>
      <w:tr>
        <w:trPr>
          <w:trHeight w:val="332"/>
        </w:trPr>
        <w:tc>
          <w:tcPr>
            <w:tcW w:w="2320" w:type="dxa"/>
            <w:vAlign w:val="bottom"/>
            <w:tcBorders>
              <w:top w:val="single" w:sz="8" w:color="auto"/>
              <w:left w:val="single" w:sz="8" w:color="auto"/>
            </w:tcBorders>
          </w:tcPr>
          <w:p>
            <w:pPr>
              <w:ind w:left="140"/>
              <w:spacing w:after="0"/>
              <w:rPr>
                <w:sz w:val="20"/>
                <w:szCs w:val="20"/>
                <w:color w:val="auto"/>
              </w:rPr>
            </w:pPr>
            <w:r>
              <w:rPr>
                <w:rFonts w:ascii="Arial" w:cs="Arial" w:eastAsia="Arial" w:hAnsi="Arial"/>
                <w:sz w:val="15"/>
                <w:szCs w:val="15"/>
                <w:color w:val="auto"/>
              </w:rPr>
              <w:t>Use of proceeds</w:t>
            </w:r>
          </w:p>
        </w:tc>
        <w:tc>
          <w:tcPr>
            <w:tcW w:w="6880" w:type="dxa"/>
            <w:vAlign w:val="bottom"/>
            <w:tcBorders>
              <w:top w:val="single" w:sz="8" w:color="auto"/>
              <w:right w:val="single" w:sz="8" w:color="auto"/>
            </w:tcBorders>
          </w:tcPr>
          <w:p>
            <w:pPr>
              <w:ind w:left="1200"/>
              <w:spacing w:after="0"/>
              <w:rPr>
                <w:sz w:val="20"/>
                <w:szCs w:val="20"/>
                <w:color w:val="auto"/>
              </w:rPr>
            </w:pPr>
            <w:r>
              <w:rPr>
                <w:rFonts w:ascii="Arial" w:cs="Arial" w:eastAsia="Arial" w:hAnsi="Arial"/>
                <w:sz w:val="15"/>
                <w:szCs w:val="15"/>
                <w:color w:val="auto"/>
                <w:w w:val="96"/>
              </w:rPr>
              <w:t>We estimate that the net proceeds to us from the sale of shares of our Class A common</w:t>
            </w:r>
          </w:p>
        </w:tc>
      </w:tr>
      <w:tr>
        <w:trPr>
          <w:trHeight w:val="180"/>
        </w:trPr>
        <w:tc>
          <w:tcPr>
            <w:tcW w:w="2320" w:type="dxa"/>
            <w:vAlign w:val="bottom"/>
            <w:tcBorders>
              <w:left w:val="single" w:sz="8" w:color="auto"/>
            </w:tcBorders>
          </w:tcPr>
          <w:p>
            <w:pPr>
              <w:spacing w:after="0"/>
              <w:rPr>
                <w:sz w:val="15"/>
                <w:szCs w:val="15"/>
                <w:color w:val="auto"/>
              </w:rPr>
            </w:pPr>
          </w:p>
        </w:tc>
        <w:tc>
          <w:tcPr>
            <w:tcW w:w="6880" w:type="dxa"/>
            <w:vAlign w:val="bottom"/>
            <w:tcBorders>
              <w:right w:val="single" w:sz="8" w:color="auto"/>
            </w:tcBorders>
          </w:tcPr>
          <w:p>
            <w:pPr>
              <w:ind w:left="1200"/>
              <w:spacing w:after="0"/>
              <w:rPr>
                <w:sz w:val="20"/>
                <w:szCs w:val="20"/>
                <w:color w:val="auto"/>
              </w:rPr>
            </w:pPr>
            <w:r>
              <w:rPr>
                <w:rFonts w:ascii="Arial" w:cs="Arial" w:eastAsia="Arial" w:hAnsi="Arial"/>
                <w:sz w:val="15"/>
                <w:szCs w:val="15"/>
                <w:color w:val="auto"/>
              </w:rPr>
              <w:t>stock in this offering and the concurrent private placement will be approximately</w:t>
            </w:r>
          </w:p>
        </w:tc>
      </w:tr>
      <w:tr>
        <w:trPr>
          <w:trHeight w:val="180"/>
        </w:trPr>
        <w:tc>
          <w:tcPr>
            <w:tcW w:w="2320" w:type="dxa"/>
            <w:vAlign w:val="bottom"/>
            <w:tcBorders>
              <w:left w:val="single" w:sz="8" w:color="auto"/>
            </w:tcBorders>
          </w:tcPr>
          <w:p>
            <w:pPr>
              <w:spacing w:after="0"/>
              <w:rPr>
                <w:sz w:val="15"/>
                <w:szCs w:val="15"/>
                <w:color w:val="auto"/>
              </w:rPr>
            </w:pPr>
          </w:p>
        </w:tc>
        <w:tc>
          <w:tcPr>
            <w:tcW w:w="6880" w:type="dxa"/>
            <w:vAlign w:val="bottom"/>
            <w:tcBorders>
              <w:right w:val="single" w:sz="8" w:color="auto"/>
            </w:tcBorders>
          </w:tcPr>
          <w:p>
            <w:pPr>
              <w:ind w:left="1200"/>
              <w:spacing w:after="0"/>
              <w:rPr>
                <w:sz w:val="20"/>
                <w:szCs w:val="20"/>
                <w:color w:val="auto"/>
              </w:rPr>
            </w:pPr>
            <w:r>
              <w:rPr>
                <w:rFonts w:ascii="Arial" w:cs="Arial" w:eastAsia="Arial" w:hAnsi="Arial"/>
                <w:sz w:val="15"/>
                <w:szCs w:val="15"/>
                <w:color w:val="auto"/>
              </w:rPr>
              <w:t>$579.9 million (or approximately $678.0 million if the underwriters’ option to purchase</w:t>
            </w:r>
          </w:p>
        </w:tc>
      </w:tr>
      <w:tr>
        <w:trPr>
          <w:trHeight w:val="180"/>
        </w:trPr>
        <w:tc>
          <w:tcPr>
            <w:tcW w:w="2320" w:type="dxa"/>
            <w:vAlign w:val="bottom"/>
            <w:tcBorders>
              <w:left w:val="single" w:sz="8" w:color="auto"/>
            </w:tcBorders>
          </w:tcPr>
          <w:p>
            <w:pPr>
              <w:spacing w:after="0"/>
              <w:rPr>
                <w:sz w:val="15"/>
                <w:szCs w:val="15"/>
                <w:color w:val="auto"/>
              </w:rPr>
            </w:pPr>
          </w:p>
        </w:tc>
        <w:tc>
          <w:tcPr>
            <w:tcW w:w="6880" w:type="dxa"/>
            <w:vAlign w:val="bottom"/>
            <w:tcBorders>
              <w:right w:val="single" w:sz="8" w:color="auto"/>
            </w:tcBorders>
          </w:tcPr>
          <w:p>
            <w:pPr>
              <w:ind w:left="1200"/>
              <w:spacing w:after="0"/>
              <w:rPr>
                <w:sz w:val="20"/>
                <w:szCs w:val="20"/>
                <w:color w:val="auto"/>
              </w:rPr>
            </w:pPr>
            <w:r>
              <w:rPr>
                <w:rFonts w:ascii="Arial" w:cs="Arial" w:eastAsia="Arial" w:hAnsi="Arial"/>
                <w:sz w:val="15"/>
                <w:szCs w:val="15"/>
                <w:color w:val="auto"/>
                <w:w w:val="98"/>
              </w:rPr>
              <w:t>additional shares of our Class A common stock from us and the selling stockholders is</w:t>
            </w:r>
          </w:p>
        </w:tc>
      </w:tr>
      <w:tr>
        <w:trPr>
          <w:trHeight w:val="180"/>
        </w:trPr>
        <w:tc>
          <w:tcPr>
            <w:tcW w:w="2320" w:type="dxa"/>
            <w:vAlign w:val="bottom"/>
            <w:tcBorders>
              <w:left w:val="single" w:sz="8" w:color="auto"/>
            </w:tcBorders>
          </w:tcPr>
          <w:p>
            <w:pPr>
              <w:spacing w:after="0"/>
              <w:rPr>
                <w:sz w:val="15"/>
                <w:szCs w:val="15"/>
                <w:color w:val="auto"/>
              </w:rPr>
            </w:pPr>
          </w:p>
        </w:tc>
        <w:tc>
          <w:tcPr>
            <w:tcW w:w="6880" w:type="dxa"/>
            <w:vAlign w:val="bottom"/>
            <w:tcBorders>
              <w:right w:val="single" w:sz="8" w:color="auto"/>
            </w:tcBorders>
          </w:tcPr>
          <w:p>
            <w:pPr>
              <w:ind w:left="1200"/>
              <w:spacing w:after="0"/>
              <w:rPr>
                <w:sz w:val="20"/>
                <w:szCs w:val="20"/>
                <w:color w:val="auto"/>
              </w:rPr>
            </w:pPr>
            <w:r>
              <w:rPr>
                <w:rFonts w:ascii="Arial" w:cs="Arial" w:eastAsia="Arial" w:hAnsi="Arial"/>
                <w:sz w:val="15"/>
                <w:szCs w:val="15"/>
                <w:color w:val="auto"/>
                <w:w w:val="94"/>
              </w:rPr>
              <w:t>exercised in full), based upon the assumed initial public offering price of $19.00 per share,</w:t>
            </w:r>
          </w:p>
        </w:tc>
      </w:tr>
      <w:tr>
        <w:trPr>
          <w:trHeight w:val="180"/>
        </w:trPr>
        <w:tc>
          <w:tcPr>
            <w:tcW w:w="2320" w:type="dxa"/>
            <w:vAlign w:val="bottom"/>
            <w:tcBorders>
              <w:left w:val="single" w:sz="8" w:color="auto"/>
            </w:tcBorders>
          </w:tcPr>
          <w:p>
            <w:pPr>
              <w:spacing w:after="0"/>
              <w:rPr>
                <w:sz w:val="15"/>
                <w:szCs w:val="15"/>
                <w:color w:val="auto"/>
              </w:rPr>
            </w:pPr>
          </w:p>
        </w:tc>
        <w:tc>
          <w:tcPr>
            <w:tcW w:w="6880" w:type="dxa"/>
            <w:vAlign w:val="bottom"/>
            <w:tcBorders>
              <w:right w:val="single" w:sz="8" w:color="auto"/>
            </w:tcBorders>
          </w:tcPr>
          <w:p>
            <w:pPr>
              <w:ind w:left="1200"/>
              <w:spacing w:after="0"/>
              <w:rPr>
                <w:sz w:val="20"/>
                <w:szCs w:val="20"/>
                <w:color w:val="auto"/>
              </w:rPr>
            </w:pPr>
            <w:r>
              <w:rPr>
                <w:rFonts w:ascii="Arial" w:cs="Arial" w:eastAsia="Arial" w:hAnsi="Arial"/>
                <w:sz w:val="15"/>
                <w:szCs w:val="15"/>
                <w:color w:val="auto"/>
                <w:w w:val="96"/>
              </w:rPr>
              <w:t>which is the midpoint of the estimated offering price range set forth on the cover page of</w:t>
            </w:r>
          </w:p>
        </w:tc>
      </w:tr>
      <w:tr>
        <w:trPr>
          <w:trHeight w:val="180"/>
        </w:trPr>
        <w:tc>
          <w:tcPr>
            <w:tcW w:w="2320" w:type="dxa"/>
            <w:vAlign w:val="bottom"/>
            <w:tcBorders>
              <w:left w:val="single" w:sz="8" w:color="auto"/>
            </w:tcBorders>
          </w:tcPr>
          <w:p>
            <w:pPr>
              <w:spacing w:after="0"/>
              <w:rPr>
                <w:sz w:val="15"/>
                <w:szCs w:val="15"/>
                <w:color w:val="auto"/>
              </w:rPr>
            </w:pPr>
          </w:p>
        </w:tc>
        <w:tc>
          <w:tcPr>
            <w:tcW w:w="6880" w:type="dxa"/>
            <w:vAlign w:val="bottom"/>
            <w:tcBorders>
              <w:right w:val="single" w:sz="8" w:color="auto"/>
            </w:tcBorders>
          </w:tcPr>
          <w:p>
            <w:pPr>
              <w:ind w:left="1200"/>
              <w:spacing w:after="0"/>
              <w:rPr>
                <w:sz w:val="20"/>
                <w:szCs w:val="20"/>
                <w:color w:val="auto"/>
              </w:rPr>
            </w:pPr>
            <w:r>
              <w:rPr>
                <w:rFonts w:ascii="Arial" w:cs="Arial" w:eastAsia="Arial" w:hAnsi="Arial"/>
                <w:sz w:val="15"/>
                <w:szCs w:val="15"/>
                <w:color w:val="auto"/>
                <w:w w:val="92"/>
              </w:rPr>
              <w:t>this prospectus, and after deducting estimated underwriting discounts and commissions and</w:t>
            </w:r>
          </w:p>
        </w:tc>
      </w:tr>
      <w:tr>
        <w:trPr>
          <w:trHeight w:val="190"/>
        </w:trPr>
        <w:tc>
          <w:tcPr>
            <w:tcW w:w="2320" w:type="dxa"/>
            <w:vAlign w:val="bottom"/>
            <w:tcBorders>
              <w:left w:val="single" w:sz="8" w:color="auto"/>
            </w:tcBorders>
          </w:tcPr>
          <w:p>
            <w:pPr>
              <w:spacing w:after="0"/>
              <w:rPr>
                <w:sz w:val="16"/>
                <w:szCs w:val="16"/>
                <w:color w:val="auto"/>
              </w:rPr>
            </w:pPr>
          </w:p>
        </w:tc>
        <w:tc>
          <w:tcPr>
            <w:tcW w:w="6880" w:type="dxa"/>
            <w:vAlign w:val="bottom"/>
            <w:tcBorders>
              <w:right w:val="single" w:sz="8" w:color="auto"/>
            </w:tcBorders>
          </w:tcPr>
          <w:p>
            <w:pPr>
              <w:ind w:left="1200"/>
              <w:spacing w:after="0"/>
              <w:rPr>
                <w:sz w:val="20"/>
                <w:szCs w:val="20"/>
                <w:color w:val="auto"/>
              </w:rPr>
            </w:pPr>
            <w:r>
              <w:rPr>
                <w:rFonts w:ascii="Arial" w:cs="Arial" w:eastAsia="Arial" w:hAnsi="Arial"/>
                <w:sz w:val="15"/>
                <w:szCs w:val="15"/>
                <w:color w:val="auto"/>
              </w:rPr>
              <w:t>estimated offering expenses payable by us.</w:t>
            </w:r>
          </w:p>
        </w:tc>
      </w:tr>
      <w:tr>
        <w:trPr>
          <w:trHeight w:val="374"/>
        </w:trPr>
        <w:tc>
          <w:tcPr>
            <w:tcW w:w="2320" w:type="dxa"/>
            <w:vAlign w:val="bottom"/>
            <w:tcBorders>
              <w:left w:val="single" w:sz="8" w:color="auto"/>
            </w:tcBorders>
          </w:tcPr>
          <w:p>
            <w:pPr>
              <w:spacing w:after="0"/>
              <w:rPr>
                <w:sz w:val="24"/>
                <w:szCs w:val="24"/>
                <w:color w:val="auto"/>
              </w:rPr>
            </w:pPr>
          </w:p>
        </w:tc>
        <w:tc>
          <w:tcPr>
            <w:tcW w:w="6880" w:type="dxa"/>
            <w:vAlign w:val="bottom"/>
            <w:tcBorders>
              <w:right w:val="single" w:sz="8" w:color="auto"/>
            </w:tcBorders>
          </w:tcPr>
          <w:p>
            <w:pPr>
              <w:ind w:left="1200"/>
              <w:spacing w:after="0"/>
              <w:rPr>
                <w:sz w:val="20"/>
                <w:szCs w:val="20"/>
                <w:color w:val="auto"/>
              </w:rPr>
            </w:pPr>
            <w:r>
              <w:rPr>
                <w:rFonts w:ascii="Arial" w:cs="Arial" w:eastAsia="Arial" w:hAnsi="Arial"/>
                <w:sz w:val="15"/>
                <w:szCs w:val="15"/>
                <w:color w:val="auto"/>
              </w:rPr>
              <w:t>The principal purposes of this offering are to increase our capitalization and financial</w:t>
            </w:r>
          </w:p>
        </w:tc>
      </w:tr>
      <w:tr>
        <w:trPr>
          <w:trHeight w:val="180"/>
        </w:trPr>
        <w:tc>
          <w:tcPr>
            <w:tcW w:w="2320" w:type="dxa"/>
            <w:vAlign w:val="bottom"/>
            <w:tcBorders>
              <w:left w:val="single" w:sz="8" w:color="auto"/>
            </w:tcBorders>
          </w:tcPr>
          <w:p>
            <w:pPr>
              <w:spacing w:after="0"/>
              <w:rPr>
                <w:sz w:val="15"/>
                <w:szCs w:val="15"/>
                <w:color w:val="auto"/>
              </w:rPr>
            </w:pPr>
          </w:p>
        </w:tc>
        <w:tc>
          <w:tcPr>
            <w:tcW w:w="6880" w:type="dxa"/>
            <w:vAlign w:val="bottom"/>
            <w:tcBorders>
              <w:right w:val="single" w:sz="8" w:color="auto"/>
            </w:tcBorders>
          </w:tcPr>
          <w:p>
            <w:pPr>
              <w:ind w:left="1200"/>
              <w:spacing w:after="0"/>
              <w:rPr>
                <w:sz w:val="20"/>
                <w:szCs w:val="20"/>
                <w:color w:val="auto"/>
              </w:rPr>
            </w:pPr>
            <w:r>
              <w:rPr>
                <w:rFonts w:ascii="Arial" w:cs="Arial" w:eastAsia="Arial" w:hAnsi="Arial"/>
                <w:sz w:val="15"/>
                <w:szCs w:val="15"/>
                <w:color w:val="auto"/>
                <w:w w:val="95"/>
              </w:rPr>
              <w:t>flexibility, create a public market for our Class A common stock, and enable access to the</w:t>
            </w:r>
          </w:p>
        </w:tc>
      </w:tr>
      <w:tr>
        <w:trPr>
          <w:trHeight w:val="180"/>
        </w:trPr>
        <w:tc>
          <w:tcPr>
            <w:tcW w:w="2320" w:type="dxa"/>
            <w:vAlign w:val="bottom"/>
            <w:tcBorders>
              <w:left w:val="single" w:sz="8" w:color="auto"/>
            </w:tcBorders>
          </w:tcPr>
          <w:p>
            <w:pPr>
              <w:spacing w:after="0"/>
              <w:rPr>
                <w:sz w:val="15"/>
                <w:szCs w:val="15"/>
                <w:color w:val="auto"/>
              </w:rPr>
            </w:pPr>
          </w:p>
        </w:tc>
        <w:tc>
          <w:tcPr>
            <w:tcW w:w="6880" w:type="dxa"/>
            <w:vAlign w:val="bottom"/>
            <w:tcBorders>
              <w:right w:val="single" w:sz="8" w:color="auto"/>
            </w:tcBorders>
          </w:tcPr>
          <w:p>
            <w:pPr>
              <w:ind w:left="1200"/>
              <w:spacing w:after="0"/>
              <w:rPr>
                <w:sz w:val="20"/>
                <w:szCs w:val="20"/>
                <w:color w:val="auto"/>
              </w:rPr>
            </w:pPr>
            <w:r>
              <w:rPr>
                <w:rFonts w:ascii="Arial" w:cs="Arial" w:eastAsia="Arial" w:hAnsi="Arial"/>
                <w:sz w:val="15"/>
                <w:szCs w:val="15"/>
                <w:color w:val="auto"/>
                <w:w w:val="97"/>
              </w:rPr>
              <w:t>public equity markets for us and our stockholders. We intend to use a portion of the net</w:t>
            </w:r>
          </w:p>
        </w:tc>
      </w:tr>
      <w:tr>
        <w:trPr>
          <w:trHeight w:val="180"/>
        </w:trPr>
        <w:tc>
          <w:tcPr>
            <w:tcW w:w="2320" w:type="dxa"/>
            <w:vAlign w:val="bottom"/>
            <w:tcBorders>
              <w:left w:val="single" w:sz="8" w:color="auto"/>
            </w:tcBorders>
          </w:tcPr>
          <w:p>
            <w:pPr>
              <w:spacing w:after="0"/>
              <w:rPr>
                <w:sz w:val="15"/>
                <w:szCs w:val="15"/>
                <w:color w:val="auto"/>
              </w:rPr>
            </w:pPr>
          </w:p>
        </w:tc>
        <w:tc>
          <w:tcPr>
            <w:tcW w:w="6880" w:type="dxa"/>
            <w:vAlign w:val="bottom"/>
            <w:tcBorders>
              <w:right w:val="single" w:sz="8" w:color="auto"/>
            </w:tcBorders>
          </w:tcPr>
          <w:p>
            <w:pPr>
              <w:ind w:left="1200"/>
              <w:spacing w:after="0"/>
              <w:rPr>
                <w:sz w:val="20"/>
                <w:szCs w:val="20"/>
                <w:color w:val="auto"/>
              </w:rPr>
            </w:pPr>
            <w:r>
              <w:rPr>
                <w:rFonts w:ascii="Arial" w:cs="Arial" w:eastAsia="Arial" w:hAnsi="Arial"/>
                <w:sz w:val="15"/>
                <w:szCs w:val="15"/>
                <w:color w:val="auto"/>
              </w:rPr>
              <w:t>proceeds we receive from this offering and the concurrent private placement to repay</w:t>
            </w:r>
          </w:p>
        </w:tc>
      </w:tr>
      <w:tr>
        <w:trPr>
          <w:trHeight w:val="180"/>
        </w:trPr>
        <w:tc>
          <w:tcPr>
            <w:tcW w:w="2320" w:type="dxa"/>
            <w:vAlign w:val="bottom"/>
            <w:tcBorders>
              <w:left w:val="single" w:sz="8" w:color="auto"/>
            </w:tcBorders>
          </w:tcPr>
          <w:p>
            <w:pPr>
              <w:spacing w:after="0"/>
              <w:rPr>
                <w:sz w:val="15"/>
                <w:szCs w:val="15"/>
                <w:color w:val="auto"/>
              </w:rPr>
            </w:pPr>
          </w:p>
        </w:tc>
        <w:tc>
          <w:tcPr>
            <w:tcW w:w="6880" w:type="dxa"/>
            <w:vAlign w:val="bottom"/>
            <w:tcBorders>
              <w:right w:val="single" w:sz="8" w:color="auto"/>
            </w:tcBorders>
          </w:tcPr>
          <w:p>
            <w:pPr>
              <w:ind w:left="1200"/>
              <w:spacing w:after="0"/>
              <w:rPr>
                <w:sz w:val="20"/>
                <w:szCs w:val="20"/>
                <w:color w:val="auto"/>
              </w:rPr>
            </w:pPr>
            <w:r>
              <w:rPr>
                <w:rFonts w:ascii="Arial" w:cs="Arial" w:eastAsia="Arial" w:hAnsi="Arial"/>
                <w:sz w:val="15"/>
                <w:szCs w:val="15"/>
                <w:color w:val="auto"/>
                <w:w w:val="98"/>
              </w:rPr>
              <w:t>$193.1 million that is expected to be outstanding immediately prior to the completion of</w:t>
            </w:r>
          </w:p>
        </w:tc>
      </w:tr>
      <w:tr>
        <w:trPr>
          <w:trHeight w:val="180"/>
        </w:trPr>
        <w:tc>
          <w:tcPr>
            <w:tcW w:w="2320" w:type="dxa"/>
            <w:vAlign w:val="bottom"/>
            <w:tcBorders>
              <w:left w:val="single" w:sz="8" w:color="auto"/>
            </w:tcBorders>
          </w:tcPr>
          <w:p>
            <w:pPr>
              <w:spacing w:after="0"/>
              <w:rPr>
                <w:sz w:val="15"/>
                <w:szCs w:val="15"/>
                <w:color w:val="auto"/>
              </w:rPr>
            </w:pPr>
          </w:p>
        </w:tc>
        <w:tc>
          <w:tcPr>
            <w:tcW w:w="6880" w:type="dxa"/>
            <w:vAlign w:val="bottom"/>
            <w:tcBorders>
              <w:right w:val="single" w:sz="8" w:color="auto"/>
            </w:tcBorders>
          </w:tcPr>
          <w:p>
            <w:pPr>
              <w:ind w:left="1200"/>
              <w:spacing w:after="0"/>
              <w:rPr>
                <w:sz w:val="20"/>
                <w:szCs w:val="20"/>
                <w:color w:val="auto"/>
              </w:rPr>
            </w:pPr>
            <w:r>
              <w:rPr>
                <w:rFonts w:ascii="Arial" w:cs="Arial" w:eastAsia="Arial" w:hAnsi="Arial"/>
                <w:sz w:val="15"/>
                <w:szCs w:val="15"/>
                <w:color w:val="auto"/>
                <w:w w:val="97"/>
              </w:rPr>
              <w:t>this offering under our revolving credit facility, which we intend to draw down prior to the</w:t>
            </w:r>
          </w:p>
        </w:tc>
      </w:tr>
      <w:tr>
        <w:trPr>
          <w:trHeight w:val="180"/>
        </w:trPr>
        <w:tc>
          <w:tcPr>
            <w:tcW w:w="2320" w:type="dxa"/>
            <w:vAlign w:val="bottom"/>
            <w:tcBorders>
              <w:left w:val="single" w:sz="8" w:color="auto"/>
            </w:tcBorders>
          </w:tcPr>
          <w:p>
            <w:pPr>
              <w:spacing w:after="0"/>
              <w:rPr>
                <w:sz w:val="15"/>
                <w:szCs w:val="15"/>
                <w:color w:val="auto"/>
              </w:rPr>
            </w:pPr>
          </w:p>
        </w:tc>
        <w:tc>
          <w:tcPr>
            <w:tcW w:w="6880" w:type="dxa"/>
            <w:vAlign w:val="bottom"/>
            <w:tcBorders>
              <w:right w:val="single" w:sz="8" w:color="auto"/>
            </w:tcBorders>
          </w:tcPr>
          <w:p>
            <w:pPr>
              <w:ind w:left="1200"/>
              <w:spacing w:after="0"/>
              <w:rPr>
                <w:sz w:val="20"/>
                <w:szCs w:val="20"/>
                <w:color w:val="auto"/>
              </w:rPr>
            </w:pPr>
            <w:r>
              <w:rPr>
                <w:rFonts w:ascii="Arial" w:cs="Arial" w:eastAsia="Arial" w:hAnsi="Arial"/>
                <w:sz w:val="15"/>
                <w:szCs w:val="15"/>
                <w:color w:val="auto"/>
              </w:rPr>
              <w:t>completion of this offering to satisfy tax withholding and remittance obligations of</w:t>
            </w:r>
          </w:p>
        </w:tc>
      </w:tr>
      <w:tr>
        <w:trPr>
          <w:trHeight w:val="180"/>
        </w:trPr>
        <w:tc>
          <w:tcPr>
            <w:tcW w:w="2320" w:type="dxa"/>
            <w:vAlign w:val="bottom"/>
            <w:tcBorders>
              <w:left w:val="single" w:sz="8" w:color="auto"/>
            </w:tcBorders>
          </w:tcPr>
          <w:p>
            <w:pPr>
              <w:spacing w:after="0"/>
              <w:rPr>
                <w:sz w:val="15"/>
                <w:szCs w:val="15"/>
                <w:color w:val="auto"/>
              </w:rPr>
            </w:pPr>
          </w:p>
        </w:tc>
        <w:tc>
          <w:tcPr>
            <w:tcW w:w="6880" w:type="dxa"/>
            <w:vAlign w:val="bottom"/>
            <w:tcBorders>
              <w:right w:val="single" w:sz="8" w:color="auto"/>
            </w:tcBorders>
          </w:tcPr>
          <w:p>
            <w:pPr>
              <w:ind w:left="1200"/>
              <w:spacing w:after="0"/>
              <w:rPr>
                <w:sz w:val="20"/>
                <w:szCs w:val="20"/>
                <w:color w:val="auto"/>
              </w:rPr>
            </w:pPr>
            <w:r>
              <w:rPr>
                <w:rFonts w:ascii="Arial" w:cs="Arial" w:eastAsia="Arial" w:hAnsi="Arial"/>
                <w:sz w:val="15"/>
                <w:szCs w:val="15"/>
                <w:color w:val="auto"/>
                <w:w w:val="94"/>
              </w:rPr>
              <w:t>$193.1 million related to the settlement of certain restricted stock units, or RSUs, for which</w:t>
            </w:r>
          </w:p>
        </w:tc>
      </w:tr>
      <w:tr>
        <w:trPr>
          <w:trHeight w:val="180"/>
        </w:trPr>
        <w:tc>
          <w:tcPr>
            <w:tcW w:w="2320" w:type="dxa"/>
            <w:vAlign w:val="bottom"/>
            <w:tcBorders>
              <w:left w:val="single" w:sz="8" w:color="auto"/>
            </w:tcBorders>
          </w:tcPr>
          <w:p>
            <w:pPr>
              <w:spacing w:after="0"/>
              <w:rPr>
                <w:sz w:val="15"/>
                <w:szCs w:val="15"/>
                <w:color w:val="auto"/>
              </w:rPr>
            </w:pPr>
          </w:p>
        </w:tc>
        <w:tc>
          <w:tcPr>
            <w:tcW w:w="6880" w:type="dxa"/>
            <w:vAlign w:val="bottom"/>
            <w:tcBorders>
              <w:right w:val="single" w:sz="8" w:color="auto"/>
            </w:tcBorders>
          </w:tcPr>
          <w:p>
            <w:pPr>
              <w:ind w:left="1200"/>
              <w:spacing w:after="0"/>
              <w:rPr>
                <w:sz w:val="20"/>
                <w:szCs w:val="20"/>
                <w:color w:val="auto"/>
              </w:rPr>
            </w:pPr>
            <w:r>
              <w:rPr>
                <w:rFonts w:ascii="Arial" w:cs="Arial" w:eastAsia="Arial" w:hAnsi="Arial"/>
                <w:sz w:val="15"/>
                <w:szCs w:val="15"/>
                <w:color w:val="auto"/>
                <w:w w:val="95"/>
              </w:rPr>
              <w:t>the service condition was satisfied as of December 31, 2017, and for which we expect the</w:t>
            </w:r>
          </w:p>
        </w:tc>
      </w:tr>
      <w:tr>
        <w:trPr>
          <w:trHeight w:val="180"/>
        </w:trPr>
        <w:tc>
          <w:tcPr>
            <w:tcW w:w="2320" w:type="dxa"/>
            <w:vAlign w:val="bottom"/>
            <w:tcBorders>
              <w:left w:val="single" w:sz="8" w:color="auto"/>
            </w:tcBorders>
          </w:tcPr>
          <w:p>
            <w:pPr>
              <w:spacing w:after="0"/>
              <w:rPr>
                <w:sz w:val="15"/>
                <w:szCs w:val="15"/>
                <w:color w:val="auto"/>
              </w:rPr>
            </w:pPr>
          </w:p>
        </w:tc>
        <w:tc>
          <w:tcPr>
            <w:tcW w:w="6880" w:type="dxa"/>
            <w:vAlign w:val="bottom"/>
            <w:tcBorders>
              <w:right w:val="single" w:sz="8" w:color="auto"/>
            </w:tcBorders>
          </w:tcPr>
          <w:p>
            <w:pPr>
              <w:ind w:left="1200"/>
              <w:spacing w:after="0"/>
              <w:rPr>
                <w:sz w:val="20"/>
                <w:szCs w:val="20"/>
                <w:color w:val="auto"/>
              </w:rPr>
            </w:pPr>
            <w:r>
              <w:rPr>
                <w:rFonts w:ascii="Arial" w:cs="Arial" w:eastAsia="Arial" w:hAnsi="Arial"/>
                <w:sz w:val="15"/>
                <w:szCs w:val="15"/>
                <w:color w:val="auto"/>
              </w:rPr>
              <w:t>liquidity event-related performance vesting condition, or the Performance Vesting</w:t>
            </w:r>
          </w:p>
        </w:tc>
      </w:tr>
      <w:tr>
        <w:trPr>
          <w:trHeight w:val="180"/>
        </w:trPr>
        <w:tc>
          <w:tcPr>
            <w:tcW w:w="2320" w:type="dxa"/>
            <w:vAlign w:val="bottom"/>
            <w:tcBorders>
              <w:left w:val="single" w:sz="8" w:color="auto"/>
            </w:tcBorders>
          </w:tcPr>
          <w:p>
            <w:pPr>
              <w:spacing w:after="0"/>
              <w:rPr>
                <w:sz w:val="15"/>
                <w:szCs w:val="15"/>
                <w:color w:val="auto"/>
              </w:rPr>
            </w:pPr>
          </w:p>
        </w:tc>
        <w:tc>
          <w:tcPr>
            <w:tcW w:w="6880" w:type="dxa"/>
            <w:vAlign w:val="bottom"/>
            <w:tcBorders>
              <w:right w:val="single" w:sz="8" w:color="auto"/>
            </w:tcBorders>
          </w:tcPr>
          <w:p>
            <w:pPr>
              <w:ind w:left="1200"/>
              <w:spacing w:after="0"/>
              <w:rPr>
                <w:sz w:val="20"/>
                <w:szCs w:val="20"/>
                <w:color w:val="auto"/>
              </w:rPr>
            </w:pPr>
            <w:r>
              <w:rPr>
                <w:rFonts w:ascii="Arial" w:cs="Arial" w:eastAsia="Arial" w:hAnsi="Arial"/>
                <w:sz w:val="15"/>
                <w:szCs w:val="15"/>
                <w:color w:val="auto"/>
                <w:w w:val="93"/>
              </w:rPr>
              <w:t>Condition, to be satisfied upon the effectiveness of our registration statement related to this</w:t>
            </w:r>
          </w:p>
        </w:tc>
      </w:tr>
      <w:tr>
        <w:trPr>
          <w:trHeight w:val="180"/>
        </w:trPr>
        <w:tc>
          <w:tcPr>
            <w:tcW w:w="2320" w:type="dxa"/>
            <w:vAlign w:val="bottom"/>
            <w:tcBorders>
              <w:left w:val="single" w:sz="8" w:color="auto"/>
            </w:tcBorders>
          </w:tcPr>
          <w:p>
            <w:pPr>
              <w:spacing w:after="0"/>
              <w:rPr>
                <w:sz w:val="15"/>
                <w:szCs w:val="15"/>
                <w:color w:val="auto"/>
              </w:rPr>
            </w:pPr>
          </w:p>
        </w:tc>
        <w:tc>
          <w:tcPr>
            <w:tcW w:w="6880" w:type="dxa"/>
            <w:vAlign w:val="bottom"/>
            <w:tcBorders>
              <w:right w:val="single" w:sz="8" w:color="auto"/>
            </w:tcBorders>
          </w:tcPr>
          <w:p>
            <w:pPr>
              <w:ind w:left="1200"/>
              <w:spacing w:after="0"/>
              <w:rPr>
                <w:sz w:val="20"/>
                <w:szCs w:val="20"/>
                <w:color w:val="auto"/>
              </w:rPr>
            </w:pPr>
            <w:r>
              <w:rPr>
                <w:rFonts w:ascii="Arial" w:cs="Arial" w:eastAsia="Arial" w:hAnsi="Arial"/>
                <w:sz w:val="15"/>
                <w:szCs w:val="15"/>
                <w:color w:val="auto"/>
                <w:w w:val="95"/>
              </w:rPr>
              <w:t>offering. This amount is based upon the assumed initial public offering price of $19.00 per</w:t>
            </w:r>
          </w:p>
        </w:tc>
      </w:tr>
      <w:tr>
        <w:trPr>
          <w:trHeight w:val="180"/>
        </w:trPr>
        <w:tc>
          <w:tcPr>
            <w:tcW w:w="2320" w:type="dxa"/>
            <w:vAlign w:val="bottom"/>
            <w:tcBorders>
              <w:left w:val="single" w:sz="8" w:color="auto"/>
            </w:tcBorders>
          </w:tcPr>
          <w:p>
            <w:pPr>
              <w:spacing w:after="0"/>
              <w:rPr>
                <w:sz w:val="15"/>
                <w:szCs w:val="15"/>
                <w:color w:val="auto"/>
              </w:rPr>
            </w:pPr>
          </w:p>
        </w:tc>
        <w:tc>
          <w:tcPr>
            <w:tcW w:w="6880" w:type="dxa"/>
            <w:vAlign w:val="bottom"/>
            <w:tcBorders>
              <w:right w:val="single" w:sz="8" w:color="auto"/>
            </w:tcBorders>
          </w:tcPr>
          <w:p>
            <w:pPr>
              <w:ind w:left="1200"/>
              <w:spacing w:after="0"/>
              <w:rPr>
                <w:sz w:val="20"/>
                <w:szCs w:val="20"/>
                <w:color w:val="auto"/>
              </w:rPr>
            </w:pPr>
            <w:r>
              <w:rPr>
                <w:rFonts w:ascii="Arial" w:cs="Arial" w:eastAsia="Arial" w:hAnsi="Arial"/>
                <w:sz w:val="15"/>
                <w:szCs w:val="15"/>
                <w:color w:val="auto"/>
                <w:w w:val="98"/>
              </w:rPr>
              <w:t>share, which is the midpoint of the estimated offering price range set forth on the cover</w:t>
            </w:r>
          </w:p>
        </w:tc>
      </w:tr>
      <w:tr>
        <w:trPr>
          <w:trHeight w:val="180"/>
        </w:trPr>
        <w:tc>
          <w:tcPr>
            <w:tcW w:w="2320" w:type="dxa"/>
            <w:vAlign w:val="bottom"/>
            <w:tcBorders>
              <w:left w:val="single" w:sz="8" w:color="auto"/>
            </w:tcBorders>
          </w:tcPr>
          <w:p>
            <w:pPr>
              <w:spacing w:after="0"/>
              <w:rPr>
                <w:sz w:val="15"/>
                <w:szCs w:val="15"/>
                <w:color w:val="auto"/>
              </w:rPr>
            </w:pPr>
          </w:p>
        </w:tc>
        <w:tc>
          <w:tcPr>
            <w:tcW w:w="6880" w:type="dxa"/>
            <w:vAlign w:val="bottom"/>
            <w:tcBorders>
              <w:right w:val="single" w:sz="8" w:color="auto"/>
            </w:tcBorders>
          </w:tcPr>
          <w:p>
            <w:pPr>
              <w:ind w:left="1200"/>
              <w:spacing w:after="0"/>
              <w:rPr>
                <w:sz w:val="20"/>
                <w:szCs w:val="20"/>
                <w:color w:val="auto"/>
              </w:rPr>
            </w:pPr>
            <w:r>
              <w:rPr>
                <w:rFonts w:ascii="Arial" w:cs="Arial" w:eastAsia="Arial" w:hAnsi="Arial"/>
                <w:sz w:val="15"/>
                <w:szCs w:val="15"/>
                <w:color w:val="auto"/>
              </w:rPr>
              <w:t>page of this prospectus. We also intend to use the net proceeds we receive from this</w:t>
            </w:r>
          </w:p>
        </w:tc>
      </w:tr>
      <w:tr>
        <w:trPr>
          <w:trHeight w:val="180"/>
        </w:trPr>
        <w:tc>
          <w:tcPr>
            <w:tcW w:w="2320" w:type="dxa"/>
            <w:vAlign w:val="bottom"/>
            <w:tcBorders>
              <w:left w:val="single" w:sz="8" w:color="auto"/>
            </w:tcBorders>
          </w:tcPr>
          <w:p>
            <w:pPr>
              <w:spacing w:after="0"/>
              <w:rPr>
                <w:sz w:val="15"/>
                <w:szCs w:val="15"/>
                <w:color w:val="auto"/>
              </w:rPr>
            </w:pPr>
          </w:p>
        </w:tc>
        <w:tc>
          <w:tcPr>
            <w:tcW w:w="6880" w:type="dxa"/>
            <w:vAlign w:val="bottom"/>
            <w:tcBorders>
              <w:right w:val="single" w:sz="8" w:color="auto"/>
            </w:tcBorders>
          </w:tcPr>
          <w:p>
            <w:pPr>
              <w:ind w:left="1200"/>
              <w:spacing w:after="0"/>
              <w:rPr>
                <w:sz w:val="20"/>
                <w:szCs w:val="20"/>
                <w:color w:val="auto"/>
              </w:rPr>
            </w:pPr>
            <w:r>
              <w:rPr>
                <w:rFonts w:ascii="Arial" w:cs="Arial" w:eastAsia="Arial" w:hAnsi="Arial"/>
                <w:sz w:val="15"/>
                <w:szCs w:val="15"/>
                <w:color w:val="auto"/>
                <w:w w:val="97"/>
              </w:rPr>
              <w:t>offering and the concurrent private placement for general corporate purposes, including</w:t>
            </w:r>
          </w:p>
        </w:tc>
      </w:tr>
      <w:tr>
        <w:trPr>
          <w:trHeight w:val="180"/>
        </w:trPr>
        <w:tc>
          <w:tcPr>
            <w:tcW w:w="2320" w:type="dxa"/>
            <w:vAlign w:val="bottom"/>
            <w:tcBorders>
              <w:left w:val="single" w:sz="8" w:color="auto"/>
            </w:tcBorders>
          </w:tcPr>
          <w:p>
            <w:pPr>
              <w:spacing w:after="0"/>
              <w:rPr>
                <w:sz w:val="15"/>
                <w:szCs w:val="15"/>
                <w:color w:val="auto"/>
              </w:rPr>
            </w:pPr>
          </w:p>
        </w:tc>
        <w:tc>
          <w:tcPr>
            <w:tcW w:w="6880" w:type="dxa"/>
            <w:vAlign w:val="bottom"/>
            <w:tcBorders>
              <w:right w:val="single" w:sz="8" w:color="auto"/>
            </w:tcBorders>
          </w:tcPr>
          <w:p>
            <w:pPr>
              <w:ind w:left="1200"/>
              <w:spacing w:after="0"/>
              <w:rPr>
                <w:sz w:val="20"/>
                <w:szCs w:val="20"/>
                <w:color w:val="auto"/>
              </w:rPr>
            </w:pPr>
            <w:r>
              <w:rPr>
                <w:rFonts w:ascii="Arial" w:cs="Arial" w:eastAsia="Arial" w:hAnsi="Arial"/>
                <w:sz w:val="15"/>
                <w:szCs w:val="15"/>
                <w:color w:val="auto"/>
                <w:w w:val="94"/>
              </w:rPr>
              <w:t>working capital, operating expenses, and capital expenditures. Additionally, we may use a</w:t>
            </w:r>
          </w:p>
        </w:tc>
      </w:tr>
      <w:tr>
        <w:trPr>
          <w:trHeight w:val="180"/>
        </w:trPr>
        <w:tc>
          <w:tcPr>
            <w:tcW w:w="2320" w:type="dxa"/>
            <w:vAlign w:val="bottom"/>
            <w:tcBorders>
              <w:left w:val="single" w:sz="8" w:color="auto"/>
            </w:tcBorders>
          </w:tcPr>
          <w:p>
            <w:pPr>
              <w:spacing w:after="0"/>
              <w:rPr>
                <w:sz w:val="15"/>
                <w:szCs w:val="15"/>
                <w:color w:val="auto"/>
              </w:rPr>
            </w:pPr>
          </w:p>
        </w:tc>
        <w:tc>
          <w:tcPr>
            <w:tcW w:w="6880" w:type="dxa"/>
            <w:vAlign w:val="bottom"/>
            <w:tcBorders>
              <w:right w:val="single" w:sz="8" w:color="auto"/>
            </w:tcBorders>
          </w:tcPr>
          <w:p>
            <w:pPr>
              <w:ind w:left="1200"/>
              <w:spacing w:after="0"/>
              <w:rPr>
                <w:sz w:val="20"/>
                <w:szCs w:val="20"/>
                <w:color w:val="auto"/>
              </w:rPr>
            </w:pPr>
            <w:r>
              <w:rPr>
                <w:rFonts w:ascii="Arial" w:cs="Arial" w:eastAsia="Arial" w:hAnsi="Arial"/>
                <w:sz w:val="15"/>
                <w:szCs w:val="15"/>
                <w:color w:val="auto"/>
              </w:rPr>
              <w:t>portion of the net proceeds we receive from this offering and the concurrent private</w:t>
            </w:r>
          </w:p>
        </w:tc>
      </w:tr>
      <w:tr>
        <w:trPr>
          <w:trHeight w:val="180"/>
        </w:trPr>
        <w:tc>
          <w:tcPr>
            <w:tcW w:w="2320" w:type="dxa"/>
            <w:vAlign w:val="bottom"/>
            <w:tcBorders>
              <w:left w:val="single" w:sz="8" w:color="auto"/>
            </w:tcBorders>
          </w:tcPr>
          <w:p>
            <w:pPr>
              <w:spacing w:after="0"/>
              <w:rPr>
                <w:sz w:val="15"/>
                <w:szCs w:val="15"/>
                <w:color w:val="auto"/>
              </w:rPr>
            </w:pPr>
          </w:p>
        </w:tc>
        <w:tc>
          <w:tcPr>
            <w:tcW w:w="6880" w:type="dxa"/>
            <w:vAlign w:val="bottom"/>
            <w:tcBorders>
              <w:right w:val="single" w:sz="8" w:color="auto"/>
            </w:tcBorders>
          </w:tcPr>
          <w:p>
            <w:pPr>
              <w:ind w:left="1200"/>
              <w:spacing w:after="0"/>
              <w:rPr>
                <w:sz w:val="20"/>
                <w:szCs w:val="20"/>
                <w:color w:val="auto"/>
              </w:rPr>
            </w:pPr>
            <w:r>
              <w:rPr>
                <w:rFonts w:ascii="Arial" w:cs="Arial" w:eastAsia="Arial" w:hAnsi="Arial"/>
                <w:sz w:val="15"/>
                <w:szCs w:val="15"/>
                <w:color w:val="auto"/>
                <w:w w:val="94"/>
              </w:rPr>
              <w:t>placement to acquire businesses, products, services, or technologies. However, we do not</w:t>
            </w:r>
          </w:p>
        </w:tc>
      </w:tr>
      <w:tr>
        <w:trPr>
          <w:trHeight w:val="180"/>
        </w:trPr>
        <w:tc>
          <w:tcPr>
            <w:tcW w:w="2320" w:type="dxa"/>
            <w:vAlign w:val="bottom"/>
            <w:tcBorders>
              <w:left w:val="single" w:sz="8" w:color="auto"/>
            </w:tcBorders>
          </w:tcPr>
          <w:p>
            <w:pPr>
              <w:spacing w:after="0"/>
              <w:rPr>
                <w:sz w:val="15"/>
                <w:szCs w:val="15"/>
                <w:color w:val="auto"/>
              </w:rPr>
            </w:pPr>
          </w:p>
        </w:tc>
        <w:tc>
          <w:tcPr>
            <w:tcW w:w="6880" w:type="dxa"/>
            <w:vAlign w:val="bottom"/>
            <w:tcBorders>
              <w:right w:val="single" w:sz="8" w:color="auto"/>
            </w:tcBorders>
          </w:tcPr>
          <w:p>
            <w:pPr>
              <w:ind w:left="1200"/>
              <w:spacing w:after="0"/>
              <w:rPr>
                <w:sz w:val="20"/>
                <w:szCs w:val="20"/>
                <w:color w:val="auto"/>
              </w:rPr>
            </w:pPr>
            <w:r>
              <w:rPr>
                <w:rFonts w:ascii="Arial" w:cs="Arial" w:eastAsia="Arial" w:hAnsi="Arial"/>
                <w:sz w:val="15"/>
                <w:szCs w:val="15"/>
                <w:color w:val="auto"/>
                <w:w w:val="98"/>
              </w:rPr>
              <w:t>have agreements or commitments for any material acquisitions at this time. We will not</w:t>
            </w:r>
          </w:p>
        </w:tc>
      </w:tr>
      <w:tr>
        <w:trPr>
          <w:trHeight w:val="180"/>
        </w:trPr>
        <w:tc>
          <w:tcPr>
            <w:tcW w:w="2320" w:type="dxa"/>
            <w:vAlign w:val="bottom"/>
            <w:tcBorders>
              <w:left w:val="single" w:sz="8" w:color="auto"/>
            </w:tcBorders>
          </w:tcPr>
          <w:p>
            <w:pPr>
              <w:spacing w:after="0"/>
              <w:rPr>
                <w:sz w:val="15"/>
                <w:szCs w:val="15"/>
                <w:color w:val="auto"/>
              </w:rPr>
            </w:pPr>
          </w:p>
        </w:tc>
        <w:tc>
          <w:tcPr>
            <w:tcW w:w="6880" w:type="dxa"/>
            <w:vAlign w:val="bottom"/>
            <w:tcBorders>
              <w:right w:val="single" w:sz="8" w:color="auto"/>
            </w:tcBorders>
          </w:tcPr>
          <w:p>
            <w:pPr>
              <w:ind w:left="1200"/>
              <w:spacing w:after="0"/>
              <w:rPr>
                <w:sz w:val="20"/>
                <w:szCs w:val="20"/>
                <w:color w:val="auto"/>
              </w:rPr>
            </w:pPr>
            <w:r>
              <w:rPr>
                <w:rFonts w:ascii="Arial" w:cs="Arial" w:eastAsia="Arial" w:hAnsi="Arial"/>
                <w:sz w:val="15"/>
                <w:szCs w:val="15"/>
                <w:color w:val="auto"/>
                <w:w w:val="95"/>
              </w:rPr>
              <w:t>receive any of the proceeds from the sale of Class A common stock in this offering by the</w:t>
            </w:r>
          </w:p>
        </w:tc>
      </w:tr>
      <w:tr>
        <w:trPr>
          <w:trHeight w:val="190"/>
        </w:trPr>
        <w:tc>
          <w:tcPr>
            <w:tcW w:w="2320" w:type="dxa"/>
            <w:vAlign w:val="bottom"/>
            <w:tcBorders>
              <w:left w:val="single" w:sz="8" w:color="auto"/>
            </w:tcBorders>
          </w:tcPr>
          <w:p>
            <w:pPr>
              <w:spacing w:after="0"/>
              <w:rPr>
                <w:sz w:val="16"/>
                <w:szCs w:val="16"/>
                <w:color w:val="auto"/>
              </w:rPr>
            </w:pPr>
          </w:p>
        </w:tc>
        <w:tc>
          <w:tcPr>
            <w:tcW w:w="6880" w:type="dxa"/>
            <w:vAlign w:val="bottom"/>
            <w:tcBorders>
              <w:right w:val="single" w:sz="8" w:color="auto"/>
            </w:tcBorders>
          </w:tcPr>
          <w:p>
            <w:pPr>
              <w:ind w:left="1200"/>
              <w:spacing w:after="0"/>
              <w:rPr>
                <w:sz w:val="20"/>
                <w:szCs w:val="20"/>
                <w:color w:val="auto"/>
              </w:rPr>
            </w:pPr>
            <w:r>
              <w:rPr>
                <w:rFonts w:ascii="Arial" w:cs="Arial" w:eastAsia="Arial" w:hAnsi="Arial"/>
                <w:sz w:val="15"/>
                <w:szCs w:val="15"/>
                <w:color w:val="auto"/>
              </w:rPr>
              <w:t>selling stockholders. See “Use of Proceeds” for additional information.</w:t>
            </w:r>
          </w:p>
        </w:tc>
      </w:tr>
      <w:tr>
        <w:trPr>
          <w:trHeight w:val="383"/>
        </w:trPr>
        <w:tc>
          <w:tcPr>
            <w:tcW w:w="2320" w:type="dxa"/>
            <w:vAlign w:val="bottom"/>
            <w:tcBorders>
              <w:left w:val="single" w:sz="8" w:color="auto"/>
            </w:tcBorders>
          </w:tcPr>
          <w:p>
            <w:pPr>
              <w:ind w:left="140"/>
              <w:spacing w:after="0"/>
              <w:rPr>
                <w:sz w:val="20"/>
                <w:szCs w:val="20"/>
                <w:color w:val="auto"/>
              </w:rPr>
            </w:pPr>
            <w:r>
              <w:rPr>
                <w:rFonts w:ascii="Arial" w:cs="Arial" w:eastAsia="Arial" w:hAnsi="Arial"/>
                <w:sz w:val="15"/>
                <w:szCs w:val="15"/>
                <w:color w:val="auto"/>
              </w:rPr>
              <w:t>Voting rights</w:t>
            </w:r>
          </w:p>
        </w:tc>
        <w:tc>
          <w:tcPr>
            <w:tcW w:w="6880" w:type="dxa"/>
            <w:vAlign w:val="bottom"/>
            <w:tcBorders>
              <w:right w:val="single" w:sz="8" w:color="auto"/>
            </w:tcBorders>
          </w:tcPr>
          <w:p>
            <w:pPr>
              <w:ind w:left="1200"/>
              <w:spacing w:after="0"/>
              <w:rPr>
                <w:sz w:val="20"/>
                <w:szCs w:val="20"/>
                <w:color w:val="auto"/>
              </w:rPr>
            </w:pPr>
            <w:r>
              <w:rPr>
                <w:rFonts w:ascii="Arial" w:cs="Arial" w:eastAsia="Arial" w:hAnsi="Arial"/>
                <w:sz w:val="15"/>
                <w:szCs w:val="15"/>
                <w:color w:val="auto"/>
              </w:rPr>
              <w:t>Shares of our Class A common stock are entitled to one vote per share.</w:t>
            </w:r>
          </w:p>
        </w:tc>
      </w:tr>
      <w:tr>
        <w:trPr>
          <w:trHeight w:val="395"/>
        </w:trPr>
        <w:tc>
          <w:tcPr>
            <w:tcW w:w="2320" w:type="dxa"/>
            <w:vAlign w:val="bottom"/>
            <w:tcBorders>
              <w:left w:val="single" w:sz="8" w:color="auto"/>
            </w:tcBorders>
          </w:tcPr>
          <w:p>
            <w:pPr>
              <w:spacing w:after="0"/>
              <w:rPr>
                <w:sz w:val="24"/>
                <w:szCs w:val="24"/>
                <w:color w:val="auto"/>
              </w:rPr>
            </w:pPr>
          </w:p>
        </w:tc>
        <w:tc>
          <w:tcPr>
            <w:tcW w:w="6880" w:type="dxa"/>
            <w:vAlign w:val="bottom"/>
            <w:tcBorders>
              <w:right w:val="single" w:sz="8" w:color="auto"/>
            </w:tcBorders>
          </w:tcPr>
          <w:p>
            <w:pPr>
              <w:ind w:left="1200"/>
              <w:spacing w:after="0"/>
              <w:rPr>
                <w:sz w:val="20"/>
                <w:szCs w:val="20"/>
                <w:color w:val="auto"/>
              </w:rPr>
            </w:pPr>
            <w:r>
              <w:rPr>
                <w:rFonts w:ascii="Arial" w:cs="Arial" w:eastAsia="Arial" w:hAnsi="Arial"/>
                <w:sz w:val="15"/>
                <w:szCs w:val="15"/>
                <w:color w:val="auto"/>
              </w:rPr>
              <w:t>Shares of our Class B common stock are entitled to ten votes per share.</w:t>
            </w:r>
          </w:p>
        </w:tc>
      </w:tr>
      <w:tr>
        <w:trPr>
          <w:trHeight w:val="374"/>
        </w:trPr>
        <w:tc>
          <w:tcPr>
            <w:tcW w:w="2320" w:type="dxa"/>
            <w:vAlign w:val="bottom"/>
            <w:tcBorders>
              <w:left w:val="single" w:sz="8" w:color="auto"/>
            </w:tcBorders>
          </w:tcPr>
          <w:p>
            <w:pPr>
              <w:spacing w:after="0"/>
              <w:rPr>
                <w:sz w:val="24"/>
                <w:szCs w:val="24"/>
                <w:color w:val="auto"/>
              </w:rPr>
            </w:pPr>
          </w:p>
        </w:tc>
        <w:tc>
          <w:tcPr>
            <w:tcW w:w="6880" w:type="dxa"/>
            <w:vAlign w:val="bottom"/>
            <w:tcBorders>
              <w:right w:val="single" w:sz="8" w:color="auto"/>
            </w:tcBorders>
          </w:tcPr>
          <w:p>
            <w:pPr>
              <w:ind w:left="1200"/>
              <w:spacing w:after="0"/>
              <w:rPr>
                <w:sz w:val="20"/>
                <w:szCs w:val="20"/>
                <w:color w:val="auto"/>
              </w:rPr>
            </w:pPr>
            <w:r>
              <w:rPr>
                <w:rFonts w:ascii="Arial" w:cs="Arial" w:eastAsia="Arial" w:hAnsi="Arial"/>
                <w:sz w:val="15"/>
                <w:szCs w:val="15"/>
                <w:color w:val="auto"/>
                <w:w w:val="92"/>
              </w:rPr>
              <w:t>Shares of our Class C common stock have no voting rights, except as otherwise required by</w:t>
            </w:r>
          </w:p>
        </w:tc>
      </w:tr>
      <w:tr>
        <w:trPr>
          <w:trHeight w:val="190"/>
        </w:trPr>
        <w:tc>
          <w:tcPr>
            <w:tcW w:w="2320" w:type="dxa"/>
            <w:vAlign w:val="bottom"/>
            <w:tcBorders>
              <w:left w:val="single" w:sz="8" w:color="auto"/>
            </w:tcBorders>
          </w:tcPr>
          <w:p>
            <w:pPr>
              <w:spacing w:after="0"/>
              <w:rPr>
                <w:sz w:val="16"/>
                <w:szCs w:val="16"/>
                <w:color w:val="auto"/>
              </w:rPr>
            </w:pPr>
          </w:p>
        </w:tc>
        <w:tc>
          <w:tcPr>
            <w:tcW w:w="6880" w:type="dxa"/>
            <w:vAlign w:val="bottom"/>
            <w:tcBorders>
              <w:right w:val="single" w:sz="8" w:color="auto"/>
            </w:tcBorders>
          </w:tcPr>
          <w:p>
            <w:pPr>
              <w:ind w:left="1200"/>
              <w:spacing w:after="0"/>
              <w:rPr>
                <w:sz w:val="20"/>
                <w:szCs w:val="20"/>
                <w:color w:val="auto"/>
              </w:rPr>
            </w:pPr>
            <w:r>
              <w:rPr>
                <w:rFonts w:ascii="Arial" w:cs="Arial" w:eastAsia="Arial" w:hAnsi="Arial"/>
                <w:sz w:val="15"/>
                <w:szCs w:val="15"/>
                <w:color w:val="auto"/>
              </w:rPr>
              <w:t>law.</w:t>
            </w:r>
          </w:p>
        </w:tc>
      </w:tr>
      <w:tr>
        <w:trPr>
          <w:trHeight w:val="374"/>
        </w:trPr>
        <w:tc>
          <w:tcPr>
            <w:tcW w:w="2320" w:type="dxa"/>
            <w:vAlign w:val="bottom"/>
            <w:tcBorders>
              <w:left w:val="single" w:sz="8" w:color="auto"/>
            </w:tcBorders>
          </w:tcPr>
          <w:p>
            <w:pPr>
              <w:spacing w:after="0"/>
              <w:rPr>
                <w:sz w:val="24"/>
                <w:szCs w:val="24"/>
                <w:color w:val="auto"/>
              </w:rPr>
            </w:pPr>
          </w:p>
        </w:tc>
        <w:tc>
          <w:tcPr>
            <w:tcW w:w="6880" w:type="dxa"/>
            <w:vAlign w:val="bottom"/>
            <w:tcBorders>
              <w:right w:val="single" w:sz="8" w:color="auto"/>
            </w:tcBorders>
          </w:tcPr>
          <w:p>
            <w:pPr>
              <w:ind w:left="1200"/>
              <w:spacing w:after="0"/>
              <w:rPr>
                <w:sz w:val="20"/>
                <w:szCs w:val="20"/>
                <w:color w:val="auto"/>
              </w:rPr>
            </w:pPr>
            <w:r>
              <w:rPr>
                <w:rFonts w:ascii="Arial" w:cs="Arial" w:eastAsia="Arial" w:hAnsi="Arial"/>
                <w:sz w:val="15"/>
                <w:szCs w:val="15"/>
                <w:color w:val="auto"/>
              </w:rPr>
              <w:t>Holders of our Class A common stock and Class B common stock will generally vote</w:t>
            </w:r>
          </w:p>
        </w:tc>
      </w:tr>
      <w:tr>
        <w:trPr>
          <w:trHeight w:val="190"/>
        </w:trPr>
        <w:tc>
          <w:tcPr>
            <w:tcW w:w="2320" w:type="dxa"/>
            <w:vAlign w:val="bottom"/>
            <w:tcBorders>
              <w:left w:val="single" w:sz="8" w:color="auto"/>
            </w:tcBorders>
          </w:tcPr>
          <w:p>
            <w:pPr>
              <w:spacing w:after="0"/>
              <w:rPr>
                <w:sz w:val="16"/>
                <w:szCs w:val="16"/>
                <w:color w:val="auto"/>
              </w:rPr>
            </w:pPr>
          </w:p>
        </w:tc>
        <w:tc>
          <w:tcPr>
            <w:tcW w:w="6880" w:type="dxa"/>
            <w:vAlign w:val="bottom"/>
            <w:tcBorders>
              <w:right w:val="single" w:sz="8" w:color="auto"/>
            </w:tcBorders>
          </w:tcPr>
          <w:p>
            <w:pPr>
              <w:ind w:left="1200"/>
              <w:spacing w:after="0"/>
              <w:rPr>
                <w:sz w:val="20"/>
                <w:szCs w:val="20"/>
                <w:color w:val="auto"/>
              </w:rPr>
            </w:pPr>
            <w:r>
              <w:rPr>
                <w:rFonts w:ascii="Arial" w:cs="Arial" w:eastAsia="Arial" w:hAnsi="Arial"/>
                <w:sz w:val="15"/>
                <w:szCs w:val="15"/>
                <w:color w:val="auto"/>
              </w:rPr>
              <w:t>together as a single class, unless otherwise</w:t>
            </w:r>
          </w:p>
        </w:tc>
      </w:tr>
      <w:tr>
        <w:trPr>
          <w:trHeight w:val="200"/>
        </w:trPr>
        <w:tc>
          <w:tcPr>
            <w:tcW w:w="2320" w:type="dxa"/>
            <w:vAlign w:val="bottom"/>
            <w:tcBorders>
              <w:left w:val="single" w:sz="8" w:color="auto"/>
              <w:bottom w:val="single" w:sz="8" w:color="auto"/>
            </w:tcBorders>
          </w:tcPr>
          <w:p>
            <w:pPr>
              <w:spacing w:after="0"/>
              <w:rPr>
                <w:sz w:val="17"/>
                <w:szCs w:val="17"/>
                <w:color w:val="auto"/>
              </w:rPr>
            </w:pPr>
          </w:p>
        </w:tc>
        <w:tc>
          <w:tcPr>
            <w:tcW w:w="6880" w:type="dxa"/>
            <w:vAlign w:val="bottom"/>
            <w:tcBorders>
              <w:bottom w:val="single" w:sz="8" w:color="auto"/>
              <w:right w:val="single" w:sz="8" w:color="auto"/>
            </w:tcBorders>
          </w:tcPr>
          <w:p>
            <w:pPr>
              <w:spacing w:after="0"/>
              <w:rPr>
                <w:sz w:val="17"/>
                <w:szCs w:val="17"/>
                <w:color w:val="auto"/>
              </w:rPr>
            </w:pPr>
          </w:p>
        </w:tc>
      </w:tr>
      <w:tr>
        <w:trPr>
          <w:trHeight w:val="502"/>
        </w:trPr>
        <w:tc>
          <w:tcPr>
            <w:tcW w:w="2320" w:type="dxa"/>
            <w:vAlign w:val="bottom"/>
          </w:tcPr>
          <w:p>
            <w:pPr>
              <w:spacing w:after="0"/>
              <w:rPr>
                <w:sz w:val="24"/>
                <w:szCs w:val="24"/>
                <w:color w:val="auto"/>
              </w:rPr>
            </w:pPr>
          </w:p>
        </w:tc>
        <w:tc>
          <w:tcPr>
            <w:tcW w:w="6880" w:type="dxa"/>
            <w:vAlign w:val="bottom"/>
          </w:tcPr>
          <w:p>
            <w:pPr>
              <w:ind w:left="2240"/>
              <w:spacing w:after="0"/>
              <w:rPr>
                <w:sz w:val="20"/>
                <w:szCs w:val="20"/>
                <w:color w:val="auto"/>
              </w:rPr>
            </w:pPr>
            <w:r>
              <w:rPr>
                <w:rFonts w:ascii="Arial" w:cs="Arial" w:eastAsia="Arial" w:hAnsi="Arial"/>
                <w:sz w:val="15"/>
                <w:szCs w:val="15"/>
                <w:color w:val="auto"/>
              </w:rPr>
              <w:t>8</w:t>
            </w:r>
          </w:p>
        </w:tc>
      </w:tr>
    </w:tbl>
    <w:p>
      <w:pPr>
        <w:sectPr>
          <w:pgSz w:w="11900" w:h="16838" w:orient="portrait"/>
          <w:cols w:equalWidth="0" w:num="1">
            <w:col w:w="10320"/>
          </w:cols>
          <w:pgMar w:left="240" w:top="407" w:right="1339" w:bottom="1440" w:gutter="0" w:footer="0" w:header="0"/>
        </w:sectPr>
      </w:pPr>
    </w:p>
    <w:bookmarkStart w:id="15" w:name="page16"/>
    <w:bookmarkEnd w:id="15"/>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133350</wp:posOffset>
            </wp:positionH>
            <wp:positionV relativeFrom="page">
              <wp:posOffset>88900</wp:posOffset>
            </wp:positionV>
            <wp:extent cx="7308850" cy="342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308850" cy="34290"/>
                    </a:xfrm>
                    <a:prstGeom prst="rect">
                      <a:avLst/>
                    </a:prstGeom>
                    <a:noFill/>
                  </pic:spPr>
                </pic:pic>
              </a:graphicData>
            </a:graphic>
          </wp:anchor>
        </w:drawing>
      </w:r>
      <w:hyperlink w:anchor="page7">
        <w:r>
          <w:rPr>
            <w:rFonts w:ascii="Arial" w:cs="Arial" w:eastAsia="Arial" w:hAnsi="Arial"/>
            <w:sz w:val="15"/>
            <w:szCs w:val="15"/>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707390</wp:posOffset>
            </wp:positionH>
            <wp:positionV relativeFrom="paragraph">
              <wp:posOffset>168910</wp:posOffset>
            </wp:positionV>
            <wp:extent cx="5849620" cy="4589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849620" cy="4589145"/>
                    </a:xfrm>
                    <a:prstGeom prst="rect">
                      <a:avLst/>
                    </a:prstGeom>
                    <a:noFill/>
                  </pic:spPr>
                </pic:pic>
              </a:graphicData>
            </a:graphic>
          </wp:anchor>
        </w:drawing>
      </w:r>
    </w:p>
    <w:p>
      <w:pPr>
        <w:spacing w:after="0" w:line="397" w:lineRule="exact"/>
        <w:rPr>
          <w:sz w:val="20"/>
          <w:szCs w:val="20"/>
          <w:color w:val="auto"/>
        </w:rPr>
      </w:pPr>
    </w:p>
    <w:p>
      <w:pPr>
        <w:ind w:left="4640" w:right="99"/>
        <w:spacing w:after="0" w:line="272" w:lineRule="auto"/>
        <w:rPr>
          <w:sz w:val="20"/>
          <w:szCs w:val="20"/>
          <w:color w:val="auto"/>
        </w:rPr>
      </w:pPr>
      <w:r>
        <w:rPr>
          <w:rFonts w:ascii="Arial" w:cs="Arial" w:eastAsia="Arial" w:hAnsi="Arial"/>
          <w:sz w:val="14"/>
          <w:szCs w:val="14"/>
          <w:color w:val="auto"/>
        </w:rPr>
        <w:t>required by law or our amended and restated certificate of incorporation. The holders of our outstanding Class B common stock will hold approximately 98.0% of the voting power of our outstanding capital stock following this offering and the concurrent private placement and will have the ability to control the outcome of matters submitted to our stockholders for approval, including the election of our directors and the approval of any change in control transaction. Additionally, our executive officers, directors, and holders of 5% or more of our common stock will hold, in the aggregate, approximately 68.8% of the voting power of our outstanding capital stock following this offering and the concurrent private placement. Prior to the effectiveness of our registration statement related to this offering, our co-founders are expected to enter into voting agreements with certain of our stockholders, which voting agreements will remain in effect after the completion of this offering. These voting agreements may cover an aggregate of up to 7% of the voting power of our outstanding capital stock after our initial public offering and the concurrent private placement. See “Principal and Selling Stockholders” and “Description of Capital Stock” for additional information.</w:t>
      </w:r>
    </w:p>
    <w:p>
      <w:pPr>
        <w:spacing w:after="0" w:line="184" w:lineRule="exact"/>
        <w:rPr>
          <w:sz w:val="20"/>
          <w:szCs w:val="20"/>
          <w:color w:val="auto"/>
        </w:rPr>
      </w:pPr>
    </w:p>
    <w:p>
      <w:pPr>
        <w:ind w:left="1260"/>
        <w:spacing w:after="0"/>
        <w:rPr>
          <w:sz w:val="20"/>
          <w:szCs w:val="20"/>
          <w:color w:val="auto"/>
        </w:rPr>
      </w:pPr>
      <w:r>
        <w:rPr>
          <w:rFonts w:ascii="Arial" w:cs="Arial" w:eastAsia="Arial" w:hAnsi="Arial"/>
          <w:sz w:val="15"/>
          <w:szCs w:val="15"/>
          <w:color w:val="auto"/>
        </w:rPr>
        <w:t>Proposed Nasdaq Global Select Market trading symbol “DBX”</w:t>
      </w:r>
    </w:p>
    <w:p>
      <w:pPr>
        <w:sectPr>
          <w:pgSz w:w="11900" w:h="16838" w:orient="portrait"/>
          <w:cols w:equalWidth="0" w:num="1">
            <w:col w:w="10219"/>
          </w:cols>
          <w:pgMar w:left="240" w:top="407" w:right="1440" w:bottom="1440" w:gutter="0" w:footer="0" w:header="0"/>
        </w:sectPr>
      </w:pPr>
    </w:p>
    <w:p>
      <w:pPr>
        <w:spacing w:after="0" w:line="222" w:lineRule="exact"/>
        <w:rPr>
          <w:sz w:val="20"/>
          <w:szCs w:val="20"/>
          <w:color w:val="auto"/>
        </w:rPr>
      </w:pPr>
    </w:p>
    <w:p>
      <w:pPr>
        <w:ind w:left="1260"/>
        <w:spacing w:after="0"/>
        <w:rPr>
          <w:sz w:val="20"/>
          <w:szCs w:val="20"/>
          <w:color w:val="auto"/>
        </w:rPr>
      </w:pPr>
      <w:r>
        <w:rPr>
          <w:rFonts w:ascii="Arial" w:cs="Arial" w:eastAsia="Arial" w:hAnsi="Arial"/>
          <w:sz w:val="14"/>
          <w:szCs w:val="14"/>
          <w:color w:val="auto"/>
        </w:rPr>
        <w:t>Conflict of interest</w:t>
      </w:r>
    </w:p>
    <w:p>
      <w:pPr>
        <w:spacing w:after="0" w:line="20" w:lineRule="exact"/>
        <w:rPr>
          <w:sz w:val="20"/>
          <w:szCs w:val="20"/>
          <w:color w:val="auto"/>
        </w:rPr>
      </w:pPr>
      <w:r>
        <w:rPr>
          <w:sz w:val="20"/>
          <w:szCs w:val="20"/>
          <w:color w:val="auto"/>
        </w:rPr>
        <w:br w:type="column"/>
      </w:r>
    </w:p>
    <w:p>
      <w:pPr>
        <w:spacing w:after="0" w:line="202" w:lineRule="exact"/>
        <w:rPr>
          <w:sz w:val="20"/>
          <w:szCs w:val="20"/>
          <w:color w:val="auto"/>
        </w:rPr>
      </w:pPr>
    </w:p>
    <w:p>
      <w:pPr>
        <w:ind w:right="79"/>
        <w:spacing w:after="0" w:line="272" w:lineRule="auto"/>
        <w:rPr>
          <w:sz w:val="20"/>
          <w:szCs w:val="20"/>
          <w:color w:val="auto"/>
        </w:rPr>
      </w:pPr>
      <w:r>
        <w:rPr>
          <w:rFonts w:ascii="Arial" w:cs="Arial" w:eastAsia="Arial" w:hAnsi="Arial"/>
          <w:sz w:val="14"/>
          <w:szCs w:val="14"/>
          <w:color w:val="auto"/>
        </w:rPr>
        <w:t>Affiliates of Goldman Sachs &amp; Co. LLC, J.P. Morgan Securities LLC, Deutsche Bank Securities Inc., and Merrill Lynch, Pierce, Fenner &amp; Smith Incorporated, underwriters in this offering, will receive at least 5% of the net proceeds of this offering in connection with the repayment of $193.1 million that is expected to be outstanding immediately prior to the completion of this offering under our revolving credit facility. See “Use of Proceeds.” Accordingly, this offering is being made in compliance with the requirements of FINRA Rule 5121. This rule requires, among other things, that a “qualified independent underwriter” has participated in the preparation of, and has exercised the usual standards of “due diligence” with respect to, the registration statement. Allen &amp; Company LLC has agreed to act as qualified independent underwriter for this offering and to undertake the legal responsibilities and liabilities of an underwriter under the Securities Act of 1933, as amended, or the Securities Act.</w:t>
      </w:r>
    </w:p>
    <w:p>
      <w:pPr>
        <w:spacing w:after="0" w:line="156" w:lineRule="exact"/>
        <w:rPr>
          <w:sz w:val="20"/>
          <w:szCs w:val="20"/>
          <w:color w:val="auto"/>
        </w:rPr>
      </w:pPr>
    </w:p>
    <w:p>
      <w:pPr>
        <w:sectPr>
          <w:pgSz w:w="11900" w:h="16838" w:orient="portrait"/>
          <w:cols w:equalWidth="0" w:num="2">
            <w:col w:w="3920" w:space="720"/>
            <w:col w:w="5579"/>
          </w:cols>
          <w:pgMar w:left="240" w:top="407" w:right="1440" w:bottom="1440" w:gutter="0" w:footer="0" w:header="0"/>
          <w:type w:val="continuous"/>
        </w:sectPr>
      </w:pPr>
    </w:p>
    <w:p>
      <w:pPr>
        <w:ind w:left="1260" w:right="279" w:firstLine="356"/>
        <w:spacing w:after="0" w:line="290" w:lineRule="auto"/>
        <w:rPr>
          <w:sz w:val="20"/>
          <w:szCs w:val="20"/>
          <w:color w:val="auto"/>
        </w:rPr>
      </w:pPr>
      <w:r>
        <w:rPr>
          <w:rFonts w:ascii="Arial" w:cs="Arial" w:eastAsia="Arial" w:hAnsi="Arial"/>
          <w:sz w:val="14"/>
          <w:szCs w:val="14"/>
          <w:color w:val="auto"/>
        </w:rPr>
        <w:t>The number of shares of our Class A common stock, Class B common stock, and Class C common stock that will be outstanding after this offering and the concurrent private placement is based on 11,817,248 shares of our Class A common stock, 348,501,449 shares of our Class B common stock, and no shares of our Class C common stock outstanding as of December 31, 2017, and reflects:</w:t>
      </w:r>
    </w:p>
    <w:p>
      <w:pPr>
        <w:spacing w:after="0" w:line="59" w:lineRule="exact"/>
        <w:rPr>
          <w:sz w:val="20"/>
          <w:szCs w:val="20"/>
          <w:color w:val="auto"/>
        </w:rPr>
      </w:pPr>
    </w:p>
    <w:p>
      <w:pPr>
        <w:ind w:left="1960" w:right="79" w:hanging="255"/>
        <w:spacing w:after="0" w:line="322" w:lineRule="auto"/>
        <w:tabs>
          <w:tab w:leader="none" w:pos="1960" w:val="left"/>
        </w:tabs>
        <w:numPr>
          <w:ilvl w:val="0"/>
          <w:numId w:val="7"/>
        </w:numPr>
        <w:rPr>
          <w:rFonts w:ascii="Arial" w:cs="Arial" w:eastAsia="Arial" w:hAnsi="Arial"/>
          <w:sz w:val="13"/>
          <w:szCs w:val="13"/>
          <w:color w:val="auto"/>
        </w:rPr>
      </w:pPr>
      <w:r>
        <w:rPr>
          <w:rFonts w:ascii="Arial" w:cs="Arial" w:eastAsia="Arial" w:hAnsi="Arial"/>
          <w:sz w:val="13"/>
          <w:szCs w:val="13"/>
          <w:color w:val="auto"/>
        </w:rPr>
        <w:t>(i) 258,620 shares of preferred stock and 2,609,951 shares of Class B common stock that will convert into Class A common stock immediately prior to the completion of this offering pursuant to the terms of certain transfer agreements, and (ii) 147,310,563 shares of preferred stock that will automatically convert into shares of Class B common stock immediately prior to the completion of this offering</w:t>
      </w:r>
    </w:p>
    <w:p>
      <w:pPr>
        <w:spacing w:after="0" w:line="200" w:lineRule="exact"/>
        <w:rPr>
          <w:sz w:val="20"/>
          <w:szCs w:val="20"/>
          <w:color w:val="auto"/>
        </w:rPr>
      </w:pPr>
    </w:p>
    <w:p>
      <w:pPr>
        <w:spacing w:after="0" w:line="281" w:lineRule="exact"/>
        <w:rPr>
          <w:sz w:val="20"/>
          <w:szCs w:val="20"/>
          <w:color w:val="auto"/>
        </w:rPr>
      </w:pPr>
    </w:p>
    <w:p>
      <w:pPr>
        <w:ind w:left="5680"/>
        <w:spacing w:after="0"/>
        <w:rPr>
          <w:sz w:val="20"/>
          <w:szCs w:val="20"/>
          <w:color w:val="auto"/>
        </w:rPr>
      </w:pPr>
      <w:r>
        <w:rPr>
          <w:rFonts w:ascii="Arial" w:cs="Arial" w:eastAsia="Arial" w:hAnsi="Arial"/>
          <w:sz w:val="15"/>
          <w:szCs w:val="15"/>
          <w:color w:val="auto"/>
        </w:rPr>
        <w:t>9</w:t>
      </w:r>
    </w:p>
    <w:p>
      <w:pPr>
        <w:sectPr>
          <w:pgSz w:w="11900" w:h="16838" w:orient="portrait"/>
          <w:cols w:equalWidth="0" w:num="1">
            <w:col w:w="10219"/>
          </w:cols>
          <w:pgMar w:left="240" w:top="407" w:right="1440" w:bottom="1440" w:gutter="0" w:footer="0" w:header="0"/>
          <w:type w:val="continuous"/>
        </w:sectPr>
      </w:pPr>
    </w:p>
    <w:bookmarkStart w:id="16" w:name="page17"/>
    <w:bookmarkEnd w:id="16"/>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133350</wp:posOffset>
            </wp:positionH>
            <wp:positionV relativeFrom="page">
              <wp:posOffset>88900</wp:posOffset>
            </wp:positionV>
            <wp:extent cx="7308850" cy="342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308850" cy="34290"/>
                    </a:xfrm>
                    <a:prstGeom prst="rect">
                      <a:avLst/>
                    </a:prstGeom>
                    <a:noFill/>
                  </pic:spPr>
                </pic:pic>
              </a:graphicData>
            </a:graphic>
          </wp:anchor>
        </w:drawing>
      </w:r>
      <w:hyperlink w:anchor="page7">
        <w:r>
          <w:rPr>
            <w:rFonts w:ascii="Arial" w:cs="Arial" w:eastAsia="Arial" w:hAnsi="Arial"/>
            <w:sz w:val="15"/>
            <w:szCs w:val="15"/>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707390</wp:posOffset>
            </wp:positionH>
            <wp:positionV relativeFrom="paragraph">
              <wp:posOffset>168910</wp:posOffset>
            </wp:positionV>
            <wp:extent cx="5849620" cy="514032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849620" cy="5140325"/>
                    </a:xfrm>
                    <a:prstGeom prst="rect">
                      <a:avLst/>
                    </a:prstGeom>
                    <a:noFill/>
                  </pic:spPr>
                </pic:pic>
              </a:graphicData>
            </a:graphic>
          </wp:anchor>
        </w:drawing>
      </w:r>
    </w:p>
    <w:p>
      <w:pPr>
        <w:spacing w:after="0" w:line="397" w:lineRule="exact"/>
        <w:rPr>
          <w:sz w:val="20"/>
          <w:szCs w:val="20"/>
          <w:color w:val="auto"/>
        </w:rPr>
      </w:pPr>
    </w:p>
    <w:p>
      <w:pPr>
        <w:ind w:left="1980" w:right="419"/>
        <w:spacing w:after="0" w:line="275" w:lineRule="auto"/>
        <w:rPr>
          <w:sz w:val="20"/>
          <w:szCs w:val="20"/>
          <w:color w:val="auto"/>
        </w:rPr>
      </w:pPr>
      <w:r>
        <w:rPr>
          <w:rFonts w:ascii="Arial" w:cs="Arial" w:eastAsia="Arial" w:hAnsi="Arial"/>
          <w:sz w:val="15"/>
          <w:szCs w:val="15"/>
          <w:color w:val="auto"/>
        </w:rPr>
        <w:t>pursuant to the terms of our amended and restated certificate of incorporation, which we refer to, collectively, as the Capital Stock Conversions; and</w:t>
      </w:r>
    </w:p>
    <w:p>
      <w:pPr>
        <w:spacing w:after="0" w:line="67" w:lineRule="exact"/>
        <w:rPr>
          <w:sz w:val="20"/>
          <w:szCs w:val="20"/>
          <w:color w:val="auto"/>
        </w:rPr>
      </w:pPr>
    </w:p>
    <w:p>
      <w:pPr>
        <w:ind w:left="1960" w:right="219" w:hanging="255"/>
        <w:spacing w:after="0" w:line="279" w:lineRule="auto"/>
        <w:tabs>
          <w:tab w:leader="none" w:pos="1960" w:val="left"/>
        </w:tabs>
        <w:numPr>
          <w:ilvl w:val="0"/>
          <w:numId w:val="8"/>
        </w:numPr>
        <w:rPr>
          <w:rFonts w:ascii="Arial" w:cs="Arial" w:eastAsia="Arial" w:hAnsi="Arial"/>
          <w:sz w:val="14"/>
          <w:szCs w:val="14"/>
          <w:color w:val="auto"/>
        </w:rPr>
      </w:pPr>
      <w:r>
        <w:rPr>
          <w:rFonts w:ascii="Arial" w:cs="Arial" w:eastAsia="Arial" w:hAnsi="Arial"/>
          <w:sz w:val="14"/>
          <w:szCs w:val="14"/>
          <w:color w:val="auto"/>
        </w:rPr>
        <w:t>15,897,254 shares of our Class B common stock subject to RSUs, for which the service condition was satisfied as of December 31, 2017, and for which we expect the Performance Vesting Condition to be satisfied upon the effectiveness of our registration statement related to this offering (after repurchasing 10,163,817 shares of our Class B common stock subject to RSUs to satisfy tax withholding obligations at an assumed tax rate of 39%, with an equivalent number of shares of our Class A common stock becoming available for issuance under our 2018 Equity Incentive Plan, or our 2018 Plan), or the RSU Settlement.</w:t>
      </w:r>
    </w:p>
    <w:p>
      <w:pPr>
        <w:spacing w:after="0" w:line="147" w:lineRule="exact"/>
        <w:rPr>
          <w:sz w:val="20"/>
          <w:szCs w:val="20"/>
          <w:color w:val="auto"/>
        </w:rPr>
      </w:pPr>
    </w:p>
    <w:p>
      <w:pPr>
        <w:ind w:left="1260" w:right="119" w:firstLine="356"/>
        <w:spacing w:after="0" w:line="275" w:lineRule="auto"/>
        <w:rPr>
          <w:sz w:val="20"/>
          <w:szCs w:val="20"/>
          <w:color w:val="auto"/>
        </w:rPr>
      </w:pPr>
      <w:r>
        <w:rPr>
          <w:rFonts w:ascii="Arial" w:cs="Arial" w:eastAsia="Arial" w:hAnsi="Arial"/>
          <w:sz w:val="15"/>
          <w:szCs w:val="15"/>
          <w:color w:val="auto"/>
        </w:rPr>
        <w:t>The shares of our Class A common stock, Class B common stock, and Class C common stock outstanding as of December 31, 2017 excludes the following:</w:t>
      </w:r>
    </w:p>
    <w:p>
      <w:pPr>
        <w:spacing w:after="0" w:line="67" w:lineRule="exact"/>
        <w:rPr>
          <w:sz w:val="20"/>
          <w:szCs w:val="20"/>
          <w:color w:val="auto"/>
        </w:rPr>
      </w:pPr>
    </w:p>
    <w:p>
      <w:pPr>
        <w:ind w:left="1960" w:right="219" w:hanging="255"/>
        <w:spacing w:after="0" w:line="275" w:lineRule="auto"/>
        <w:tabs>
          <w:tab w:leader="none" w:pos="1960" w:val="left"/>
        </w:tabs>
        <w:numPr>
          <w:ilvl w:val="0"/>
          <w:numId w:val="9"/>
        </w:numPr>
        <w:rPr>
          <w:rFonts w:ascii="Arial" w:cs="Arial" w:eastAsia="Arial" w:hAnsi="Arial"/>
          <w:sz w:val="15"/>
          <w:szCs w:val="15"/>
          <w:color w:val="auto"/>
        </w:rPr>
      </w:pPr>
      <w:r>
        <w:rPr>
          <w:rFonts w:ascii="Arial" w:cs="Arial" w:eastAsia="Arial" w:hAnsi="Arial"/>
          <w:sz w:val="15"/>
          <w:szCs w:val="15"/>
          <w:color w:val="auto"/>
        </w:rPr>
        <w:t>14,733,333 shares of our Class A common stock subject to RSAs that were granted pursuant to the Co-Founder Grants, and vest upon the satisfaction of a service condition and achievement of certain stock price goals;</w:t>
      </w:r>
    </w:p>
    <w:p>
      <w:pPr>
        <w:spacing w:after="0" w:line="67" w:lineRule="exact"/>
        <w:rPr>
          <w:rFonts w:ascii="Arial" w:cs="Arial" w:eastAsia="Arial" w:hAnsi="Arial"/>
          <w:sz w:val="15"/>
          <w:szCs w:val="15"/>
          <w:color w:val="auto"/>
        </w:rPr>
      </w:pPr>
    </w:p>
    <w:p>
      <w:pPr>
        <w:ind w:left="1960" w:right="219" w:hanging="255"/>
        <w:spacing w:after="0" w:line="275" w:lineRule="auto"/>
        <w:tabs>
          <w:tab w:leader="none" w:pos="1960" w:val="left"/>
        </w:tabs>
        <w:numPr>
          <w:ilvl w:val="0"/>
          <w:numId w:val="9"/>
        </w:numPr>
        <w:rPr>
          <w:rFonts w:ascii="Arial" w:cs="Arial" w:eastAsia="Arial" w:hAnsi="Arial"/>
          <w:sz w:val="15"/>
          <w:szCs w:val="15"/>
          <w:color w:val="auto"/>
        </w:rPr>
      </w:pPr>
      <w:r>
        <w:rPr>
          <w:rFonts w:ascii="Arial" w:cs="Arial" w:eastAsia="Arial" w:hAnsi="Arial"/>
          <w:sz w:val="15"/>
          <w:szCs w:val="15"/>
          <w:color w:val="auto"/>
        </w:rPr>
        <w:t>4,959,492 shares of our Class B common stock issuable upon the exercise of options to purchase shares of our Class B common stock outstanding as of December 31, 2017, with a weighted-average exercise price of $10.52 per share;</w:t>
      </w:r>
    </w:p>
    <w:p>
      <w:pPr>
        <w:spacing w:after="0" w:line="67" w:lineRule="exact"/>
        <w:rPr>
          <w:rFonts w:ascii="Arial" w:cs="Arial" w:eastAsia="Arial" w:hAnsi="Arial"/>
          <w:sz w:val="15"/>
          <w:szCs w:val="15"/>
          <w:color w:val="auto"/>
        </w:rPr>
      </w:pPr>
    </w:p>
    <w:p>
      <w:pPr>
        <w:ind w:left="1960" w:right="139" w:hanging="255"/>
        <w:spacing w:after="0" w:line="275" w:lineRule="auto"/>
        <w:tabs>
          <w:tab w:leader="none" w:pos="1960" w:val="left"/>
        </w:tabs>
        <w:numPr>
          <w:ilvl w:val="0"/>
          <w:numId w:val="9"/>
        </w:numPr>
        <w:rPr>
          <w:rFonts w:ascii="Arial" w:cs="Arial" w:eastAsia="Arial" w:hAnsi="Arial"/>
          <w:sz w:val="15"/>
          <w:szCs w:val="15"/>
          <w:color w:val="auto"/>
        </w:rPr>
      </w:pPr>
      <w:r>
        <w:rPr>
          <w:rFonts w:ascii="Arial" w:cs="Arial" w:eastAsia="Arial" w:hAnsi="Arial"/>
          <w:sz w:val="15"/>
          <w:szCs w:val="15"/>
          <w:color w:val="auto"/>
        </w:rPr>
        <w:t>16,707,823 shares of our Class A common stock and 12,158,666 shares of our Class B common stock subject to RSUs outstanding, but for which the service condition was not satisfied, as of December 31, 2017;</w:t>
      </w:r>
    </w:p>
    <w:p>
      <w:pPr>
        <w:spacing w:after="0" w:line="67" w:lineRule="exact"/>
        <w:rPr>
          <w:rFonts w:ascii="Arial" w:cs="Arial" w:eastAsia="Arial" w:hAnsi="Arial"/>
          <w:sz w:val="15"/>
          <w:szCs w:val="15"/>
          <w:color w:val="auto"/>
        </w:rPr>
      </w:pPr>
    </w:p>
    <w:p>
      <w:pPr>
        <w:ind w:left="1960" w:hanging="255"/>
        <w:spacing w:after="0"/>
        <w:tabs>
          <w:tab w:leader="none" w:pos="1960" w:val="left"/>
        </w:tabs>
        <w:numPr>
          <w:ilvl w:val="0"/>
          <w:numId w:val="9"/>
        </w:numPr>
        <w:rPr>
          <w:rFonts w:ascii="Arial" w:cs="Arial" w:eastAsia="Arial" w:hAnsi="Arial"/>
          <w:sz w:val="15"/>
          <w:szCs w:val="15"/>
          <w:color w:val="auto"/>
        </w:rPr>
      </w:pPr>
      <w:r>
        <w:rPr>
          <w:rFonts w:ascii="Arial" w:cs="Arial" w:eastAsia="Arial" w:hAnsi="Arial"/>
          <w:sz w:val="15"/>
          <w:szCs w:val="15"/>
          <w:color w:val="auto"/>
        </w:rPr>
        <w:t>10,921,416 shares of our Class A common stock subject to RSUs granted after December 31, 2017;</w:t>
      </w:r>
    </w:p>
    <w:p>
      <w:pPr>
        <w:spacing w:after="0" w:line="109" w:lineRule="exact"/>
        <w:rPr>
          <w:rFonts w:ascii="Arial" w:cs="Arial" w:eastAsia="Arial" w:hAnsi="Arial"/>
          <w:sz w:val="15"/>
          <w:szCs w:val="15"/>
          <w:color w:val="auto"/>
        </w:rPr>
      </w:pPr>
    </w:p>
    <w:p>
      <w:pPr>
        <w:ind w:left="1960" w:hanging="255"/>
        <w:spacing w:after="0"/>
        <w:tabs>
          <w:tab w:leader="none" w:pos="1960" w:val="left"/>
        </w:tabs>
        <w:numPr>
          <w:ilvl w:val="0"/>
          <w:numId w:val="9"/>
        </w:numPr>
        <w:rPr>
          <w:rFonts w:ascii="Arial" w:cs="Arial" w:eastAsia="Arial" w:hAnsi="Arial"/>
          <w:sz w:val="14"/>
          <w:szCs w:val="14"/>
          <w:color w:val="auto"/>
        </w:rPr>
      </w:pPr>
      <w:r>
        <w:rPr>
          <w:rFonts w:ascii="Arial" w:cs="Arial" w:eastAsia="Arial" w:hAnsi="Arial"/>
          <w:sz w:val="14"/>
          <w:szCs w:val="14"/>
          <w:color w:val="auto"/>
        </w:rPr>
        <w:t>65,982,109 shares of our Class A common stock reserved for future issuance under our equity compensation plans, consisting of:</w:t>
      </w:r>
    </w:p>
    <w:p>
      <w:pPr>
        <w:spacing w:after="0" w:line="120" w:lineRule="exact"/>
        <w:rPr>
          <w:rFonts w:ascii="Arial" w:cs="Arial" w:eastAsia="Arial" w:hAnsi="Arial"/>
          <w:sz w:val="14"/>
          <w:szCs w:val="14"/>
          <w:color w:val="auto"/>
        </w:rPr>
      </w:pPr>
    </w:p>
    <w:p>
      <w:pPr>
        <w:ind w:left="2400" w:right="119" w:hanging="346"/>
        <w:spacing w:after="0" w:line="263" w:lineRule="auto"/>
        <w:tabs>
          <w:tab w:leader="none" w:pos="2400" w:val="left"/>
        </w:tabs>
        <w:numPr>
          <w:ilvl w:val="1"/>
          <w:numId w:val="9"/>
        </w:numPr>
        <w:rPr>
          <w:rFonts w:ascii="Arial" w:cs="Arial" w:eastAsia="Arial" w:hAnsi="Arial"/>
          <w:sz w:val="15"/>
          <w:szCs w:val="15"/>
          <w:color w:val="auto"/>
        </w:rPr>
      </w:pPr>
      <w:r>
        <w:rPr>
          <w:rFonts w:ascii="Arial" w:cs="Arial" w:eastAsia="Arial" w:hAnsi="Arial"/>
          <w:sz w:val="15"/>
          <w:szCs w:val="15"/>
          <w:color w:val="auto"/>
        </w:rPr>
        <w:t>51,532,143 shares of our Class A common stock to be reserved for future issuance under our 2018 Plan, which will become effective prior to the completion of this offering (including the shares that will be repurchased by us in connection with the RSU Settlement);</w:t>
      </w:r>
    </w:p>
    <w:p>
      <w:pPr>
        <w:spacing w:after="0" w:line="75" w:lineRule="exact"/>
        <w:rPr>
          <w:rFonts w:ascii="Arial" w:cs="Arial" w:eastAsia="Arial" w:hAnsi="Arial"/>
          <w:sz w:val="15"/>
          <w:szCs w:val="15"/>
          <w:color w:val="auto"/>
        </w:rPr>
      </w:pPr>
    </w:p>
    <w:p>
      <w:pPr>
        <w:ind w:left="2400" w:right="99" w:hanging="346"/>
        <w:spacing w:after="0" w:line="257" w:lineRule="auto"/>
        <w:tabs>
          <w:tab w:leader="none" w:pos="2400" w:val="left"/>
        </w:tabs>
        <w:numPr>
          <w:ilvl w:val="1"/>
          <w:numId w:val="9"/>
        </w:numPr>
        <w:rPr>
          <w:rFonts w:ascii="Arial" w:cs="Arial" w:eastAsia="Arial" w:hAnsi="Arial"/>
          <w:sz w:val="15"/>
          <w:szCs w:val="15"/>
          <w:color w:val="auto"/>
        </w:rPr>
      </w:pPr>
      <w:r>
        <w:rPr>
          <w:rFonts w:ascii="Arial" w:cs="Arial" w:eastAsia="Arial" w:hAnsi="Arial"/>
          <w:sz w:val="15"/>
          <w:szCs w:val="15"/>
          <w:color w:val="auto"/>
        </w:rPr>
        <w:t>10,313,134 shares of our Class A common stock reserved for future issuance under our 2017 Equity Incentive Plan, or our 2017 Plan, which number of shares includes an additional 1,333,333 shares of our Class A common stock reserved for issuance under our 2017 Plan that was approved by our Board of Directors in February 2018 (and which our stockholders approved in March 2018), and will be added to the shares of our Class A common stock to be reserved for future issuance under our 2018 Plan upon its effectiveness;</w:t>
      </w:r>
    </w:p>
    <w:p>
      <w:pPr>
        <w:spacing w:after="0" w:line="80" w:lineRule="exact"/>
        <w:rPr>
          <w:rFonts w:ascii="Arial" w:cs="Arial" w:eastAsia="Arial" w:hAnsi="Arial"/>
          <w:sz w:val="15"/>
          <w:szCs w:val="15"/>
          <w:color w:val="auto"/>
        </w:rPr>
      </w:pPr>
    </w:p>
    <w:p>
      <w:pPr>
        <w:ind w:left="2400" w:right="179" w:hanging="346"/>
        <w:spacing w:after="0" w:line="263" w:lineRule="auto"/>
        <w:tabs>
          <w:tab w:leader="none" w:pos="2400" w:val="left"/>
        </w:tabs>
        <w:numPr>
          <w:ilvl w:val="1"/>
          <w:numId w:val="9"/>
        </w:numPr>
        <w:rPr>
          <w:rFonts w:ascii="Arial" w:cs="Arial" w:eastAsia="Arial" w:hAnsi="Arial"/>
          <w:sz w:val="15"/>
          <w:szCs w:val="15"/>
          <w:color w:val="auto"/>
        </w:rPr>
      </w:pPr>
      <w:r>
        <w:rPr>
          <w:rFonts w:ascii="Arial" w:cs="Arial" w:eastAsia="Arial" w:hAnsi="Arial"/>
          <w:sz w:val="15"/>
          <w:szCs w:val="15"/>
          <w:color w:val="auto"/>
        </w:rPr>
        <w:t>4,136,832 shares of our Class A common stock to be reserved for future issuance under our 2018 Employee Stock Purchase Plan, or our ESPP, which will become effective prior to the completion of this offering, but no offering periods under the ESPP will commence unless and until otherwise determined by our Board of Directors; and</w:t>
      </w:r>
    </w:p>
    <w:p>
      <w:pPr>
        <w:spacing w:after="0" w:line="75" w:lineRule="exact"/>
        <w:rPr>
          <w:rFonts w:ascii="Arial" w:cs="Arial" w:eastAsia="Arial" w:hAnsi="Arial"/>
          <w:sz w:val="15"/>
          <w:szCs w:val="15"/>
          <w:color w:val="auto"/>
        </w:rPr>
      </w:pPr>
    </w:p>
    <w:p>
      <w:pPr>
        <w:ind w:left="1960" w:right="159" w:hanging="255"/>
        <w:spacing w:after="0" w:line="275" w:lineRule="auto"/>
        <w:tabs>
          <w:tab w:leader="none" w:pos="1960" w:val="left"/>
        </w:tabs>
        <w:numPr>
          <w:ilvl w:val="0"/>
          <w:numId w:val="9"/>
        </w:numPr>
        <w:rPr>
          <w:rFonts w:ascii="Arial" w:cs="Arial" w:eastAsia="Arial" w:hAnsi="Arial"/>
          <w:sz w:val="15"/>
          <w:szCs w:val="15"/>
          <w:color w:val="auto"/>
        </w:rPr>
      </w:pPr>
      <w:r>
        <w:rPr>
          <w:rFonts w:ascii="Arial" w:cs="Arial" w:eastAsia="Arial" w:hAnsi="Arial"/>
          <w:sz w:val="15"/>
          <w:szCs w:val="15"/>
          <w:color w:val="auto"/>
        </w:rPr>
        <w:t>45,505,158 shares of our Class C common stock reserved for future issuance under certain other equity compensation plans, consisting of:</w:t>
      </w:r>
    </w:p>
    <w:p>
      <w:pPr>
        <w:spacing w:after="0" w:line="67" w:lineRule="exact"/>
        <w:rPr>
          <w:rFonts w:ascii="Arial" w:cs="Arial" w:eastAsia="Arial" w:hAnsi="Arial"/>
          <w:sz w:val="15"/>
          <w:szCs w:val="15"/>
          <w:color w:val="auto"/>
        </w:rPr>
      </w:pPr>
    </w:p>
    <w:p>
      <w:pPr>
        <w:ind w:left="2400" w:right="99" w:hanging="346"/>
        <w:spacing w:after="0" w:line="275" w:lineRule="auto"/>
        <w:tabs>
          <w:tab w:leader="none" w:pos="2400" w:val="left"/>
        </w:tabs>
        <w:numPr>
          <w:ilvl w:val="1"/>
          <w:numId w:val="9"/>
        </w:numPr>
        <w:rPr>
          <w:rFonts w:ascii="Arial" w:cs="Arial" w:eastAsia="Arial" w:hAnsi="Arial"/>
          <w:sz w:val="15"/>
          <w:szCs w:val="15"/>
          <w:color w:val="auto"/>
        </w:rPr>
      </w:pPr>
      <w:r>
        <w:rPr>
          <w:rFonts w:ascii="Arial" w:cs="Arial" w:eastAsia="Arial" w:hAnsi="Arial"/>
          <w:sz w:val="15"/>
          <w:szCs w:val="15"/>
          <w:color w:val="auto"/>
        </w:rPr>
        <w:t>41,368,326 shares of our Class C common stock to be reserved for future issuance under our 2018 Class C Stock Incentive Plan, or our 2018 Class C Plan, which will become effective prior to the completion of this offering; and</w:t>
      </w:r>
    </w:p>
    <w:p>
      <w:pPr>
        <w:spacing w:after="0" w:line="67" w:lineRule="exact"/>
        <w:rPr>
          <w:rFonts w:ascii="Arial" w:cs="Arial" w:eastAsia="Arial" w:hAnsi="Arial"/>
          <w:sz w:val="15"/>
          <w:szCs w:val="15"/>
          <w:color w:val="auto"/>
        </w:rPr>
      </w:pPr>
    </w:p>
    <w:p>
      <w:pPr>
        <w:ind w:left="2400" w:right="79" w:hanging="346"/>
        <w:spacing w:after="0" w:line="290" w:lineRule="auto"/>
        <w:tabs>
          <w:tab w:leader="none" w:pos="2400" w:val="left"/>
        </w:tabs>
        <w:numPr>
          <w:ilvl w:val="1"/>
          <w:numId w:val="9"/>
        </w:numPr>
        <w:rPr>
          <w:rFonts w:ascii="Arial" w:cs="Arial" w:eastAsia="Arial" w:hAnsi="Arial"/>
          <w:sz w:val="14"/>
          <w:szCs w:val="14"/>
          <w:color w:val="auto"/>
        </w:rPr>
      </w:pPr>
      <w:r>
        <w:rPr>
          <w:rFonts w:ascii="Arial" w:cs="Arial" w:eastAsia="Arial" w:hAnsi="Arial"/>
          <w:sz w:val="14"/>
          <w:szCs w:val="14"/>
          <w:color w:val="auto"/>
        </w:rPr>
        <w:t>4,136,832 shares of our Class C common stock to be reserved for future issuance under our 2018 Class C Employee Stock Purchase Plan, or our Class C ESPP, which will become effective prior to the completion of this offering, but no offering periods under the Class C ESPP will commence unless and until otherwise determined by our Board of Directors.</w:t>
      </w:r>
    </w:p>
    <w:p>
      <w:pPr>
        <w:spacing w:after="0" w:line="200" w:lineRule="exact"/>
        <w:rPr>
          <w:sz w:val="20"/>
          <w:szCs w:val="20"/>
          <w:color w:val="auto"/>
        </w:rPr>
      </w:pPr>
    </w:p>
    <w:p>
      <w:pPr>
        <w:spacing w:after="0" w:line="299" w:lineRule="exact"/>
        <w:rPr>
          <w:sz w:val="20"/>
          <w:szCs w:val="20"/>
          <w:color w:val="auto"/>
        </w:rPr>
      </w:pPr>
    </w:p>
    <w:p>
      <w:pPr>
        <w:ind w:left="5640"/>
        <w:spacing w:after="0"/>
        <w:rPr>
          <w:sz w:val="20"/>
          <w:szCs w:val="20"/>
          <w:color w:val="auto"/>
        </w:rPr>
      </w:pPr>
      <w:r>
        <w:rPr>
          <w:rFonts w:ascii="Arial" w:cs="Arial" w:eastAsia="Arial" w:hAnsi="Arial"/>
          <w:sz w:val="15"/>
          <w:szCs w:val="15"/>
          <w:color w:val="auto"/>
        </w:rPr>
        <w:t>10</w:t>
      </w:r>
    </w:p>
    <w:p>
      <w:pPr>
        <w:sectPr>
          <w:pgSz w:w="11900" w:h="16838" w:orient="portrait"/>
          <w:cols w:equalWidth="0" w:num="1">
            <w:col w:w="10219"/>
          </w:cols>
          <w:pgMar w:left="240" w:top="407" w:right="1440" w:bottom="1440" w:gutter="0" w:footer="0" w:header="0"/>
        </w:sectPr>
      </w:pPr>
    </w:p>
    <w:bookmarkStart w:id="17" w:name="page18"/>
    <w:bookmarkEnd w:id="17"/>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133350</wp:posOffset>
            </wp:positionH>
            <wp:positionV relativeFrom="page">
              <wp:posOffset>88900</wp:posOffset>
            </wp:positionV>
            <wp:extent cx="7308850" cy="342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308850" cy="34290"/>
                    </a:xfrm>
                    <a:prstGeom prst="rect">
                      <a:avLst/>
                    </a:prstGeom>
                    <a:noFill/>
                  </pic:spPr>
                </pic:pic>
              </a:graphicData>
            </a:graphic>
          </wp:anchor>
        </w:drawing>
      </w:r>
      <w:hyperlink w:anchor="page7">
        <w:r>
          <w:rPr>
            <w:rFonts w:ascii="Arial" w:cs="Arial" w:eastAsia="Arial" w:hAnsi="Arial"/>
            <w:sz w:val="15"/>
            <w:szCs w:val="15"/>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707390</wp:posOffset>
            </wp:positionH>
            <wp:positionV relativeFrom="paragraph">
              <wp:posOffset>168910</wp:posOffset>
            </wp:positionV>
            <wp:extent cx="5849620" cy="332867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849620" cy="3328670"/>
                    </a:xfrm>
                    <a:prstGeom prst="rect">
                      <a:avLst/>
                    </a:prstGeom>
                    <a:noFill/>
                  </pic:spPr>
                </pic:pic>
              </a:graphicData>
            </a:graphic>
          </wp:anchor>
        </w:drawing>
      </w:r>
    </w:p>
    <w:p>
      <w:pPr>
        <w:spacing w:after="0" w:line="397" w:lineRule="exact"/>
        <w:rPr>
          <w:sz w:val="20"/>
          <w:szCs w:val="20"/>
          <w:color w:val="auto"/>
        </w:rPr>
      </w:pPr>
    </w:p>
    <w:p>
      <w:pPr>
        <w:ind w:left="1260" w:right="399" w:firstLine="356"/>
        <w:spacing w:after="0" w:line="275" w:lineRule="auto"/>
        <w:rPr>
          <w:sz w:val="20"/>
          <w:szCs w:val="20"/>
          <w:color w:val="auto"/>
        </w:rPr>
      </w:pPr>
      <w:r>
        <w:rPr>
          <w:rFonts w:ascii="Arial" w:cs="Arial" w:eastAsia="Arial" w:hAnsi="Arial"/>
          <w:sz w:val="15"/>
          <w:szCs w:val="15"/>
          <w:color w:val="auto"/>
        </w:rPr>
        <w:t>The Co-Founder Grants are legally issued and outstanding shares of our Class A common stock and, as a result, the holders have certain stockholder rights, such as the right to vote the shares immediately upon grant and prior to their vesting.</w:t>
      </w:r>
    </w:p>
    <w:p>
      <w:pPr>
        <w:spacing w:after="0" w:line="146" w:lineRule="exact"/>
        <w:rPr>
          <w:sz w:val="20"/>
          <w:szCs w:val="20"/>
          <w:color w:val="auto"/>
        </w:rPr>
      </w:pPr>
    </w:p>
    <w:p>
      <w:pPr>
        <w:ind w:left="1260" w:right="59" w:firstLine="356"/>
        <w:spacing w:after="0" w:line="255" w:lineRule="auto"/>
        <w:rPr>
          <w:sz w:val="20"/>
          <w:szCs w:val="20"/>
          <w:color w:val="auto"/>
        </w:rPr>
      </w:pPr>
      <w:r>
        <w:rPr>
          <w:rFonts w:ascii="Arial" w:cs="Arial" w:eastAsia="Arial" w:hAnsi="Arial"/>
          <w:sz w:val="15"/>
          <w:szCs w:val="15"/>
          <w:color w:val="auto"/>
        </w:rPr>
        <w:t>Our 2018 Plan and ESPP each provides for annual automatic increases in the number of shares of our Class A common stock reserved thereunder, and our 2018 Plan also provides for increases to the number of shares of our Class A common stock that may be granted thereunder based on shares under our 2008 Equity Incentive Plan, or our 2008 Plan, and 2017 Plan that expire, are forfeited, or otherwise repurchased by us, as more fully described in the section titled “Executive Compensation—Employee Benefits and Stock Plans.” Additionally, if and when our Board of Directors determines to use our 2018 Class C Plan and Class C ESPP, such plans will provide for annual automatic increases in the number of shares of our Class C common stock reserved thereunder.</w:t>
      </w:r>
    </w:p>
    <w:p>
      <w:pPr>
        <w:spacing w:after="0" w:line="164" w:lineRule="exact"/>
        <w:rPr>
          <w:sz w:val="20"/>
          <w:szCs w:val="20"/>
          <w:color w:val="auto"/>
        </w:rPr>
      </w:pPr>
    </w:p>
    <w:p>
      <w:pPr>
        <w:ind w:left="1620"/>
        <w:spacing w:after="0"/>
        <w:rPr>
          <w:sz w:val="20"/>
          <w:szCs w:val="20"/>
          <w:color w:val="auto"/>
        </w:rPr>
      </w:pPr>
      <w:r>
        <w:rPr>
          <w:rFonts w:ascii="Arial" w:cs="Arial" w:eastAsia="Arial" w:hAnsi="Arial"/>
          <w:sz w:val="15"/>
          <w:szCs w:val="15"/>
          <w:color w:val="auto"/>
        </w:rPr>
        <w:t>Except as otherwise indicated, all information in this prospectus assumes:</w:t>
      </w:r>
    </w:p>
    <w:p>
      <w:pPr>
        <w:spacing w:after="0" w:line="109" w:lineRule="exact"/>
        <w:rPr>
          <w:sz w:val="20"/>
          <w:szCs w:val="20"/>
          <w:color w:val="auto"/>
        </w:rPr>
      </w:pPr>
    </w:p>
    <w:p>
      <w:pPr>
        <w:ind w:left="1960" w:hanging="255"/>
        <w:spacing w:after="0"/>
        <w:tabs>
          <w:tab w:leader="none" w:pos="1960" w:val="left"/>
        </w:tabs>
        <w:numPr>
          <w:ilvl w:val="0"/>
          <w:numId w:val="10"/>
        </w:numPr>
        <w:rPr>
          <w:rFonts w:ascii="Arial" w:cs="Arial" w:eastAsia="Arial" w:hAnsi="Arial"/>
          <w:sz w:val="15"/>
          <w:szCs w:val="15"/>
          <w:color w:val="auto"/>
        </w:rPr>
      </w:pPr>
      <w:r>
        <w:rPr>
          <w:rFonts w:ascii="Arial" w:cs="Arial" w:eastAsia="Arial" w:hAnsi="Arial"/>
          <w:sz w:val="15"/>
          <w:szCs w:val="15"/>
          <w:color w:val="auto"/>
        </w:rPr>
        <w:t>a 1-for-1.5 reverse stock split effected on March 7, 2018;</w:t>
      </w:r>
    </w:p>
    <w:p>
      <w:pPr>
        <w:spacing w:after="0" w:line="109" w:lineRule="exact"/>
        <w:rPr>
          <w:rFonts w:ascii="Arial" w:cs="Arial" w:eastAsia="Arial" w:hAnsi="Arial"/>
          <w:sz w:val="15"/>
          <w:szCs w:val="15"/>
          <w:color w:val="auto"/>
        </w:rPr>
      </w:pPr>
    </w:p>
    <w:p>
      <w:pPr>
        <w:ind w:left="1960" w:hanging="255"/>
        <w:spacing w:after="0"/>
        <w:tabs>
          <w:tab w:leader="none" w:pos="1960" w:val="left"/>
        </w:tabs>
        <w:numPr>
          <w:ilvl w:val="0"/>
          <w:numId w:val="10"/>
        </w:numPr>
        <w:rPr>
          <w:rFonts w:ascii="Arial" w:cs="Arial" w:eastAsia="Arial" w:hAnsi="Arial"/>
          <w:sz w:val="15"/>
          <w:szCs w:val="15"/>
          <w:color w:val="auto"/>
        </w:rPr>
      </w:pPr>
      <w:r>
        <w:rPr>
          <w:rFonts w:ascii="Arial" w:cs="Arial" w:eastAsia="Arial" w:hAnsi="Arial"/>
          <w:sz w:val="15"/>
          <w:szCs w:val="15"/>
          <w:color w:val="auto"/>
        </w:rPr>
        <w:t>the Capital Stock Conversions will occur immediately prior to the completion of this offering;</w:t>
      </w:r>
    </w:p>
    <w:p>
      <w:pPr>
        <w:spacing w:after="0" w:line="109" w:lineRule="exact"/>
        <w:rPr>
          <w:rFonts w:ascii="Arial" w:cs="Arial" w:eastAsia="Arial" w:hAnsi="Arial"/>
          <w:sz w:val="15"/>
          <w:szCs w:val="15"/>
          <w:color w:val="auto"/>
        </w:rPr>
      </w:pPr>
    </w:p>
    <w:p>
      <w:pPr>
        <w:ind w:left="1960" w:right="239" w:hanging="255"/>
        <w:spacing w:after="0" w:line="290" w:lineRule="auto"/>
        <w:tabs>
          <w:tab w:leader="none" w:pos="1960" w:val="left"/>
        </w:tabs>
        <w:numPr>
          <w:ilvl w:val="0"/>
          <w:numId w:val="10"/>
        </w:numPr>
        <w:rPr>
          <w:rFonts w:ascii="Arial" w:cs="Arial" w:eastAsia="Arial" w:hAnsi="Arial"/>
          <w:sz w:val="14"/>
          <w:szCs w:val="14"/>
          <w:color w:val="auto"/>
        </w:rPr>
      </w:pPr>
      <w:r>
        <w:rPr>
          <w:rFonts w:ascii="Arial" w:cs="Arial" w:eastAsia="Arial" w:hAnsi="Arial"/>
          <w:sz w:val="14"/>
          <w:szCs w:val="14"/>
          <w:color w:val="auto"/>
        </w:rPr>
        <w:t>the issuance of 5,263,158 shares of our Class A common stock to Salesforce Ventures LLC upon the closing of the concurrent private placement immediately subsequent to the closing of this offering, based upon the assumed initial public offering price of $19.00 per share, which is the midpoint of the estimated offering price range set forth on the cover page of this prospectus;</w:t>
      </w:r>
    </w:p>
    <w:p>
      <w:pPr>
        <w:spacing w:after="0" w:line="59" w:lineRule="exact"/>
        <w:rPr>
          <w:rFonts w:ascii="Arial" w:cs="Arial" w:eastAsia="Arial" w:hAnsi="Arial"/>
          <w:sz w:val="14"/>
          <w:szCs w:val="14"/>
          <w:color w:val="auto"/>
        </w:rPr>
      </w:pPr>
    </w:p>
    <w:p>
      <w:pPr>
        <w:ind w:left="1960" w:right="219" w:hanging="255"/>
        <w:spacing w:after="0" w:line="275" w:lineRule="auto"/>
        <w:tabs>
          <w:tab w:leader="none" w:pos="1960" w:val="left"/>
        </w:tabs>
        <w:numPr>
          <w:ilvl w:val="0"/>
          <w:numId w:val="10"/>
        </w:numPr>
        <w:rPr>
          <w:rFonts w:ascii="Arial" w:cs="Arial" w:eastAsia="Arial" w:hAnsi="Arial"/>
          <w:sz w:val="15"/>
          <w:szCs w:val="15"/>
          <w:color w:val="auto"/>
        </w:rPr>
      </w:pPr>
      <w:r>
        <w:rPr>
          <w:rFonts w:ascii="Arial" w:cs="Arial" w:eastAsia="Arial" w:hAnsi="Arial"/>
          <w:sz w:val="15"/>
          <w:szCs w:val="15"/>
          <w:color w:val="auto"/>
        </w:rPr>
        <w:t>the filing and effectiveness of our amended and restated certificate of incorporation in Delaware and the effectiveness of our amended and restated bylaws, each of which will occur immediately prior to the completion of this offering;</w:t>
      </w:r>
    </w:p>
    <w:p>
      <w:pPr>
        <w:spacing w:after="0" w:line="67" w:lineRule="exact"/>
        <w:rPr>
          <w:rFonts w:ascii="Arial" w:cs="Arial" w:eastAsia="Arial" w:hAnsi="Arial"/>
          <w:sz w:val="15"/>
          <w:szCs w:val="15"/>
          <w:color w:val="auto"/>
        </w:rPr>
      </w:pPr>
    </w:p>
    <w:p>
      <w:pPr>
        <w:ind w:left="1960" w:right="239" w:hanging="255"/>
        <w:spacing w:after="0" w:line="275" w:lineRule="auto"/>
        <w:tabs>
          <w:tab w:leader="none" w:pos="1960" w:val="left"/>
        </w:tabs>
        <w:numPr>
          <w:ilvl w:val="0"/>
          <w:numId w:val="10"/>
        </w:numPr>
        <w:rPr>
          <w:rFonts w:ascii="Arial" w:cs="Arial" w:eastAsia="Arial" w:hAnsi="Arial"/>
          <w:sz w:val="15"/>
          <w:szCs w:val="15"/>
          <w:color w:val="auto"/>
        </w:rPr>
      </w:pPr>
      <w:r>
        <w:rPr>
          <w:rFonts w:ascii="Arial" w:cs="Arial" w:eastAsia="Arial" w:hAnsi="Arial"/>
          <w:sz w:val="15"/>
          <w:szCs w:val="15"/>
          <w:color w:val="auto"/>
        </w:rPr>
        <w:t>the conversion of shares of our Class B common stock held by certain selling stockholders into an equivalent number of shares of our Class A common stock upon the sale by the selling stockholders in this offering;</w:t>
      </w:r>
    </w:p>
    <w:p>
      <w:pPr>
        <w:spacing w:after="0" w:line="67" w:lineRule="exact"/>
        <w:rPr>
          <w:rFonts w:ascii="Arial" w:cs="Arial" w:eastAsia="Arial" w:hAnsi="Arial"/>
          <w:sz w:val="15"/>
          <w:szCs w:val="15"/>
          <w:color w:val="auto"/>
        </w:rPr>
      </w:pPr>
    </w:p>
    <w:p>
      <w:pPr>
        <w:ind w:left="1960" w:right="439" w:hanging="255"/>
        <w:spacing w:after="0" w:line="275" w:lineRule="auto"/>
        <w:tabs>
          <w:tab w:leader="none" w:pos="1960" w:val="left"/>
        </w:tabs>
        <w:numPr>
          <w:ilvl w:val="0"/>
          <w:numId w:val="10"/>
        </w:numPr>
        <w:rPr>
          <w:rFonts w:ascii="Arial" w:cs="Arial" w:eastAsia="Arial" w:hAnsi="Arial"/>
          <w:sz w:val="15"/>
          <w:szCs w:val="15"/>
          <w:color w:val="auto"/>
        </w:rPr>
      </w:pPr>
      <w:r>
        <w:rPr>
          <w:rFonts w:ascii="Arial" w:cs="Arial" w:eastAsia="Arial" w:hAnsi="Arial"/>
          <w:sz w:val="15"/>
          <w:szCs w:val="15"/>
          <w:color w:val="auto"/>
        </w:rPr>
        <w:t>no exercise of outstanding stock options or settlement of outstanding RSUs subsequent to December 31, 2017, other than the RSU Settlement; and</w:t>
      </w:r>
    </w:p>
    <w:p>
      <w:pPr>
        <w:spacing w:after="0" w:line="67" w:lineRule="exact"/>
        <w:rPr>
          <w:rFonts w:ascii="Arial" w:cs="Arial" w:eastAsia="Arial" w:hAnsi="Arial"/>
          <w:sz w:val="15"/>
          <w:szCs w:val="15"/>
          <w:color w:val="auto"/>
        </w:rPr>
      </w:pPr>
    </w:p>
    <w:p>
      <w:pPr>
        <w:ind w:left="1960" w:hanging="255"/>
        <w:spacing w:after="0"/>
        <w:tabs>
          <w:tab w:leader="none" w:pos="1960" w:val="left"/>
        </w:tabs>
        <w:numPr>
          <w:ilvl w:val="0"/>
          <w:numId w:val="10"/>
        </w:numPr>
        <w:rPr>
          <w:rFonts w:ascii="Arial" w:cs="Arial" w:eastAsia="Arial" w:hAnsi="Arial"/>
          <w:sz w:val="13"/>
          <w:szCs w:val="13"/>
          <w:color w:val="auto"/>
        </w:rPr>
      </w:pPr>
      <w:r>
        <w:rPr>
          <w:rFonts w:ascii="Arial" w:cs="Arial" w:eastAsia="Arial" w:hAnsi="Arial"/>
          <w:sz w:val="13"/>
          <w:szCs w:val="13"/>
          <w:color w:val="auto"/>
        </w:rPr>
        <w:t>no exercise by the underwriters of their option to purchase up to an additional 5,400,000 shares of our Class A common stock from us.</w:t>
      </w:r>
    </w:p>
    <w:p>
      <w:pPr>
        <w:spacing w:after="0" w:line="200" w:lineRule="exact"/>
        <w:rPr>
          <w:sz w:val="20"/>
          <w:szCs w:val="20"/>
          <w:color w:val="auto"/>
        </w:rPr>
      </w:pPr>
    </w:p>
    <w:p>
      <w:pPr>
        <w:spacing w:after="0" w:line="372" w:lineRule="exact"/>
        <w:rPr>
          <w:sz w:val="20"/>
          <w:szCs w:val="20"/>
          <w:color w:val="auto"/>
        </w:rPr>
      </w:pPr>
    </w:p>
    <w:p>
      <w:pPr>
        <w:ind w:left="5640"/>
        <w:spacing w:after="0"/>
        <w:rPr>
          <w:sz w:val="20"/>
          <w:szCs w:val="20"/>
          <w:color w:val="auto"/>
        </w:rPr>
      </w:pPr>
      <w:r>
        <w:rPr>
          <w:rFonts w:ascii="Arial" w:cs="Arial" w:eastAsia="Arial" w:hAnsi="Arial"/>
          <w:sz w:val="15"/>
          <w:szCs w:val="15"/>
          <w:color w:val="auto"/>
        </w:rPr>
        <w:t>11</w:t>
      </w:r>
    </w:p>
    <w:p>
      <w:pPr>
        <w:sectPr>
          <w:pgSz w:w="11900" w:h="16838" w:orient="portrait"/>
          <w:cols w:equalWidth="0" w:num="1">
            <w:col w:w="10219"/>
          </w:cols>
          <w:pgMar w:left="240" w:top="407" w:right="1440" w:bottom="1440" w:gutter="0" w:footer="0" w:header="0"/>
        </w:sectPr>
      </w:pPr>
    </w:p>
    <w:bookmarkStart w:id="18" w:name="page19"/>
    <w:bookmarkEnd w:id="18"/>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133350</wp:posOffset>
            </wp:positionH>
            <wp:positionV relativeFrom="page">
              <wp:posOffset>88900</wp:posOffset>
            </wp:positionV>
            <wp:extent cx="7308850" cy="342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308850" cy="34290"/>
                    </a:xfrm>
                    <a:prstGeom prst="rect">
                      <a:avLst/>
                    </a:prstGeom>
                    <a:noFill/>
                  </pic:spPr>
                </pic:pic>
              </a:graphicData>
            </a:graphic>
          </wp:anchor>
        </w:drawing>
      </w:r>
      <w:hyperlink w:anchor="page7">
        <w:r>
          <w:rPr>
            <w:rFonts w:ascii="Arial" w:cs="Arial" w:eastAsia="Arial" w:hAnsi="Arial"/>
            <w:sz w:val="15"/>
            <w:szCs w:val="15"/>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707390</wp:posOffset>
            </wp:positionH>
            <wp:positionV relativeFrom="paragraph">
              <wp:posOffset>168910</wp:posOffset>
            </wp:positionV>
            <wp:extent cx="5849620" cy="4453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849620" cy="4453255"/>
                    </a:xfrm>
                    <a:prstGeom prst="rect">
                      <a:avLst/>
                    </a:prstGeom>
                    <a:noFill/>
                  </pic:spPr>
                </pic:pic>
              </a:graphicData>
            </a:graphic>
          </wp:anchor>
        </w:drawing>
      </w:r>
    </w:p>
    <w:p>
      <w:pPr>
        <w:spacing w:after="0" w:line="393" w:lineRule="exact"/>
        <w:rPr>
          <w:sz w:val="20"/>
          <w:szCs w:val="20"/>
          <w:color w:val="auto"/>
        </w:rPr>
      </w:pPr>
    </w:p>
    <w:p>
      <w:pPr>
        <w:ind w:left="3560"/>
        <w:spacing w:after="0"/>
        <w:rPr>
          <w:sz w:val="20"/>
          <w:szCs w:val="20"/>
          <w:color w:val="auto"/>
        </w:rPr>
      </w:pPr>
      <w:r>
        <w:rPr>
          <w:rFonts w:ascii="Arial" w:cs="Arial" w:eastAsia="Arial" w:hAnsi="Arial"/>
          <w:sz w:val="15"/>
          <w:szCs w:val="15"/>
          <w:b w:val="1"/>
          <w:bCs w:val="1"/>
          <w:color w:val="auto"/>
        </w:rPr>
        <w:t>SUMMARY CONSOLIDATED FINANCIAL AND OTHER DATA</w:t>
      </w:r>
    </w:p>
    <w:p>
      <w:pPr>
        <w:spacing w:after="0" w:line="192" w:lineRule="exact"/>
        <w:rPr>
          <w:sz w:val="20"/>
          <w:szCs w:val="20"/>
          <w:color w:val="auto"/>
        </w:rPr>
      </w:pPr>
    </w:p>
    <w:p>
      <w:pPr>
        <w:ind w:left="1260" w:right="180" w:firstLine="356"/>
        <w:spacing w:after="0" w:line="276" w:lineRule="auto"/>
        <w:rPr>
          <w:sz w:val="20"/>
          <w:szCs w:val="20"/>
          <w:color w:val="auto"/>
        </w:rPr>
      </w:pPr>
      <w:r>
        <w:rPr>
          <w:rFonts w:ascii="Arial" w:cs="Arial" w:eastAsia="Arial" w:hAnsi="Arial"/>
          <w:sz w:val="14"/>
          <w:szCs w:val="14"/>
          <w:color w:val="auto"/>
        </w:rPr>
        <w:t>The following summary consolidated financial data should be read in conjunction with “Management’s Discussion and Analysis of Financial Condition and Results of Operations” and the consolidated financial statements and related notes thereto included elsewhere in this prospectus. The consolidated statements of operations data for each of the years ended December 31, 2015, 2016, and 2017, and the consolidated balance sheet data as of December 31, 2017 are derived from our audited consolidated financial statements that are included elsewhere in this prospectus. Our historical results are not necessarily indicative of our future results. The summary consolidated financial data in this section are not intended to replace the consolidated financial statements and related notes thereto included elsewhere in this prospectus and are qualified in their entirety by the consolidated financial statements and related notes thereto included elsewhere in this prospectus.</w:t>
      </w:r>
    </w:p>
    <w:p>
      <w:pPr>
        <w:spacing w:after="0" w:line="234" w:lineRule="exact"/>
        <w:rPr>
          <w:sz w:val="20"/>
          <w:szCs w:val="20"/>
          <w:color w:val="auto"/>
        </w:rPr>
      </w:pPr>
    </w:p>
    <w:p>
      <w:pPr>
        <w:ind w:left="1260"/>
        <w:spacing w:after="0"/>
        <w:rPr>
          <w:sz w:val="20"/>
          <w:szCs w:val="20"/>
          <w:color w:val="auto"/>
        </w:rPr>
      </w:pPr>
      <w:r>
        <w:rPr>
          <w:rFonts w:ascii="Arial" w:cs="Arial" w:eastAsia="Arial" w:hAnsi="Arial"/>
          <w:sz w:val="15"/>
          <w:szCs w:val="15"/>
          <w:b w:val="1"/>
          <w:bCs w:val="1"/>
          <w:color w:val="auto"/>
        </w:rPr>
        <w:t>Consolidated Statements of Operations Data</w:t>
      </w:r>
    </w:p>
    <w:p>
      <w:pPr>
        <w:spacing w:after="0" w:line="206" w:lineRule="exact"/>
        <w:rPr>
          <w:sz w:val="20"/>
          <w:szCs w:val="20"/>
          <w:color w:val="auto"/>
        </w:rPr>
      </w:pPr>
    </w:p>
    <w:tbl>
      <w:tblPr>
        <w:tblLayout w:type="fixed"/>
        <w:tblInd w:w="1120" w:type="dxa"/>
        <w:tblCellMar>
          <w:top w:w="0" w:type="dxa"/>
          <w:left w:w="0" w:type="dxa"/>
          <w:bottom w:w="0" w:type="dxa"/>
          <w:right w:w="0" w:type="dxa"/>
        </w:tblCellMar>
      </w:tblPr>
      <w:tr>
        <w:trPr>
          <w:trHeight w:val="144"/>
        </w:trPr>
        <w:tc>
          <w:tcPr>
            <w:tcW w:w="140" w:type="dxa"/>
            <w:vAlign w:val="bottom"/>
          </w:tcPr>
          <w:p>
            <w:pPr>
              <w:spacing w:after="0"/>
              <w:rPr>
                <w:sz w:val="12"/>
                <w:szCs w:val="12"/>
                <w:color w:val="auto"/>
              </w:rPr>
            </w:pPr>
          </w:p>
        </w:tc>
        <w:tc>
          <w:tcPr>
            <w:tcW w:w="634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1400" w:type="dxa"/>
            <w:vAlign w:val="bottom"/>
            <w:tcBorders>
              <w:bottom w:val="single" w:sz="8" w:color="auto"/>
            </w:tcBorders>
            <w:gridSpan w:val="5"/>
          </w:tcPr>
          <w:p>
            <w:pPr>
              <w:jc w:val="right"/>
              <w:spacing w:after="0"/>
              <w:rPr>
                <w:sz w:val="20"/>
                <w:szCs w:val="20"/>
                <w:color w:val="auto"/>
              </w:rPr>
            </w:pPr>
            <w:r>
              <w:rPr>
                <w:rFonts w:ascii="Arial" w:cs="Arial" w:eastAsia="Arial" w:hAnsi="Arial"/>
                <w:sz w:val="12"/>
                <w:szCs w:val="12"/>
                <w:b w:val="1"/>
                <w:bCs w:val="1"/>
                <w:color w:val="auto"/>
                <w:w w:val="90"/>
              </w:rPr>
              <w:t>Year ended December 31,</w:t>
            </w:r>
          </w:p>
        </w:tc>
        <w:tc>
          <w:tcPr>
            <w:tcW w:w="50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5"/>
        </w:trPr>
        <w:tc>
          <w:tcPr>
            <w:tcW w:w="140" w:type="dxa"/>
            <w:vAlign w:val="bottom"/>
          </w:tcPr>
          <w:p>
            <w:pPr>
              <w:spacing w:after="0"/>
              <w:rPr>
                <w:sz w:val="10"/>
                <w:szCs w:val="10"/>
                <w:color w:val="auto"/>
              </w:rPr>
            </w:pPr>
          </w:p>
        </w:tc>
        <w:tc>
          <w:tcPr>
            <w:tcW w:w="634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440" w:type="dxa"/>
            <w:vAlign w:val="bottom"/>
            <w:tcBorders>
              <w:bottom w:val="single" w:sz="8" w:color="auto"/>
            </w:tcBorders>
          </w:tcPr>
          <w:p>
            <w:pPr>
              <w:jc w:val="right"/>
              <w:ind w:right="87"/>
              <w:spacing w:after="0" w:line="115" w:lineRule="exact"/>
              <w:rPr>
                <w:sz w:val="20"/>
                <w:szCs w:val="20"/>
                <w:color w:val="auto"/>
              </w:rPr>
            </w:pPr>
            <w:r>
              <w:rPr>
                <w:rFonts w:ascii="Arial" w:cs="Arial" w:eastAsia="Arial" w:hAnsi="Arial"/>
                <w:sz w:val="12"/>
                <w:szCs w:val="12"/>
                <w:b w:val="1"/>
                <w:bCs w:val="1"/>
                <w:color w:val="auto"/>
                <w:w w:val="97"/>
              </w:rPr>
              <w:t>2015</w:t>
            </w:r>
          </w:p>
        </w:tc>
        <w:tc>
          <w:tcPr>
            <w:tcW w:w="34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440" w:type="dxa"/>
            <w:vAlign w:val="bottom"/>
            <w:tcBorders>
              <w:bottom w:val="single" w:sz="8" w:color="auto"/>
            </w:tcBorders>
          </w:tcPr>
          <w:p>
            <w:pPr>
              <w:jc w:val="right"/>
              <w:ind w:right="86"/>
              <w:spacing w:after="0" w:line="115" w:lineRule="exact"/>
              <w:rPr>
                <w:sz w:val="20"/>
                <w:szCs w:val="20"/>
                <w:color w:val="auto"/>
              </w:rPr>
            </w:pPr>
            <w:r>
              <w:rPr>
                <w:rFonts w:ascii="Arial" w:cs="Arial" w:eastAsia="Arial" w:hAnsi="Arial"/>
                <w:sz w:val="12"/>
                <w:szCs w:val="12"/>
                <w:b w:val="1"/>
                <w:bCs w:val="1"/>
                <w:color w:val="auto"/>
                <w:w w:val="97"/>
              </w:rPr>
              <w:t>2016</w:t>
            </w:r>
          </w:p>
        </w:tc>
        <w:tc>
          <w:tcPr>
            <w:tcW w:w="34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jc w:val="right"/>
              <w:ind w:right="126"/>
              <w:spacing w:after="0" w:line="115" w:lineRule="exact"/>
              <w:rPr>
                <w:sz w:val="20"/>
                <w:szCs w:val="20"/>
                <w:color w:val="auto"/>
              </w:rPr>
            </w:pPr>
            <w:r>
              <w:rPr>
                <w:rFonts w:ascii="Arial" w:cs="Arial" w:eastAsia="Arial" w:hAnsi="Arial"/>
                <w:sz w:val="12"/>
                <w:szCs w:val="12"/>
                <w:b w:val="1"/>
                <w:bCs w:val="1"/>
                <w:color w:val="auto"/>
              </w:rPr>
              <w:t>2017</w:t>
            </w: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7"/>
        </w:trPr>
        <w:tc>
          <w:tcPr>
            <w:tcW w:w="140" w:type="dxa"/>
            <w:vAlign w:val="bottom"/>
          </w:tcPr>
          <w:p>
            <w:pPr>
              <w:spacing w:after="0"/>
              <w:rPr>
                <w:sz w:val="11"/>
                <w:szCs w:val="11"/>
                <w:color w:val="auto"/>
              </w:rPr>
            </w:pPr>
          </w:p>
        </w:tc>
        <w:tc>
          <w:tcPr>
            <w:tcW w:w="6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340" w:type="dxa"/>
            <w:vAlign w:val="bottom"/>
            <w:gridSpan w:val="7"/>
          </w:tcPr>
          <w:p>
            <w:pPr>
              <w:jc w:val="right"/>
              <w:ind w:right="126"/>
              <w:spacing w:after="0" w:line="127" w:lineRule="exact"/>
              <w:rPr>
                <w:sz w:val="20"/>
                <w:szCs w:val="20"/>
                <w:color w:val="auto"/>
              </w:rPr>
            </w:pPr>
            <w:r>
              <w:rPr>
                <w:rFonts w:ascii="Arial" w:cs="Arial" w:eastAsia="Arial" w:hAnsi="Arial"/>
                <w:sz w:val="12"/>
                <w:szCs w:val="12"/>
                <w:i w:val="1"/>
                <w:iCs w:val="1"/>
                <w:color w:val="auto"/>
                <w:w w:val="94"/>
              </w:rPr>
              <w:t>(In millions, except for per share amounts)</w:t>
            </w:r>
          </w:p>
        </w:tc>
        <w:tc>
          <w:tcPr>
            <w:tcW w:w="260" w:type="dxa"/>
            <w:vAlign w:val="bottom"/>
            <w:gridSpan w:val="2"/>
          </w:tcPr>
          <w:p>
            <w:pPr>
              <w:spacing w:after="0"/>
              <w:rPr>
                <w:sz w:val="11"/>
                <w:szCs w:val="11"/>
                <w:color w:val="auto"/>
              </w:rPr>
            </w:pPr>
          </w:p>
        </w:tc>
        <w:tc>
          <w:tcPr>
            <w:tcW w:w="0" w:type="dxa"/>
            <w:vAlign w:val="bottom"/>
          </w:tcPr>
          <w:p>
            <w:pPr>
              <w:spacing w:after="0"/>
              <w:rPr>
                <w:sz w:val="1"/>
                <w:szCs w:val="1"/>
                <w:color w:val="auto"/>
              </w:rPr>
            </w:pPr>
          </w:p>
        </w:tc>
      </w:tr>
      <w:tr>
        <w:trPr>
          <w:trHeight w:val="180"/>
        </w:trPr>
        <w:tc>
          <w:tcPr>
            <w:tcW w:w="140" w:type="dxa"/>
            <w:vAlign w:val="bottom"/>
          </w:tcPr>
          <w:p>
            <w:pPr>
              <w:spacing w:after="0"/>
              <w:rPr>
                <w:sz w:val="15"/>
                <w:szCs w:val="15"/>
                <w:color w:val="auto"/>
              </w:rPr>
            </w:pPr>
          </w:p>
        </w:tc>
        <w:tc>
          <w:tcPr>
            <w:tcW w:w="6340" w:type="dxa"/>
            <w:vAlign w:val="bottom"/>
            <w:shd w:val="clear" w:color="auto" w:fill="CCEEFF"/>
          </w:tcPr>
          <w:p>
            <w:pPr>
              <w:ind w:left="20"/>
              <w:spacing w:after="0"/>
              <w:rPr>
                <w:sz w:val="20"/>
                <w:szCs w:val="20"/>
                <w:color w:val="auto"/>
              </w:rPr>
            </w:pPr>
            <w:r>
              <w:rPr>
                <w:rFonts w:ascii="Arial" w:cs="Arial" w:eastAsia="Arial" w:hAnsi="Arial"/>
                <w:sz w:val="15"/>
                <w:szCs w:val="15"/>
                <w:color w:val="auto"/>
              </w:rPr>
              <w:t>Revenue</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gridSpan w:val="2"/>
            <w:shd w:val="clear" w:color="auto" w:fill="CCEEFF"/>
          </w:tcPr>
          <w:p>
            <w:pPr>
              <w:jc w:val="right"/>
              <w:ind w:right="280"/>
              <w:spacing w:after="0"/>
              <w:rPr>
                <w:sz w:val="20"/>
                <w:szCs w:val="20"/>
                <w:color w:val="auto"/>
              </w:rPr>
            </w:pPr>
            <w:r>
              <w:rPr>
                <w:rFonts w:ascii="Arial" w:cs="Arial" w:eastAsia="Arial" w:hAnsi="Arial"/>
                <w:sz w:val="15"/>
                <w:szCs w:val="15"/>
                <w:color w:val="auto"/>
              </w:rPr>
              <w:t>603.8</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gridSpan w:val="2"/>
            <w:shd w:val="clear" w:color="auto" w:fill="CCEEFF"/>
          </w:tcPr>
          <w:p>
            <w:pPr>
              <w:jc w:val="right"/>
              <w:ind w:right="340"/>
              <w:spacing w:after="0"/>
              <w:rPr>
                <w:sz w:val="20"/>
                <w:szCs w:val="20"/>
                <w:color w:val="auto"/>
              </w:rPr>
            </w:pPr>
            <w:r>
              <w:rPr>
                <w:rFonts w:ascii="Arial" w:cs="Arial" w:eastAsia="Arial" w:hAnsi="Arial"/>
                <w:sz w:val="15"/>
                <w:szCs w:val="15"/>
                <w:color w:val="auto"/>
              </w:rPr>
              <w:t>844.8</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w w:val="95"/>
              </w:rPr>
              <w:t>1,106.8</w:t>
            </w: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140" w:type="dxa"/>
            <w:vAlign w:val="bottom"/>
          </w:tcPr>
          <w:p>
            <w:pPr>
              <w:spacing w:after="0"/>
              <w:rPr>
                <w:sz w:val="15"/>
                <w:szCs w:val="15"/>
                <w:color w:val="auto"/>
              </w:rPr>
            </w:pPr>
          </w:p>
        </w:tc>
        <w:tc>
          <w:tcPr>
            <w:tcW w:w="6340" w:type="dxa"/>
            <w:vAlign w:val="bottom"/>
          </w:tcPr>
          <w:p>
            <w:pPr>
              <w:ind w:left="320"/>
              <w:spacing w:after="0"/>
              <w:rPr>
                <w:sz w:val="20"/>
                <w:szCs w:val="20"/>
                <w:color w:val="auto"/>
              </w:rPr>
            </w:pPr>
            <w:r>
              <w:rPr>
                <w:rFonts w:ascii="Arial" w:cs="Arial" w:eastAsia="Arial" w:hAnsi="Arial"/>
                <w:sz w:val="15"/>
                <w:szCs w:val="15"/>
                <w:color w:val="auto"/>
              </w:rPr>
              <w:t>Cost of revenue</w:t>
            </w:r>
            <w:r>
              <w:rPr>
                <w:rFonts w:ascii="Arial" w:cs="Arial" w:eastAsia="Arial" w:hAnsi="Arial"/>
                <w:sz w:val="12"/>
                <w:szCs w:val="12"/>
                <w:color w:val="auto"/>
              </w:rPr>
              <w:t>(1)</w:t>
            </w:r>
          </w:p>
        </w:tc>
        <w:tc>
          <w:tcPr>
            <w:tcW w:w="120" w:type="dxa"/>
            <w:vAlign w:val="bottom"/>
          </w:tcPr>
          <w:p>
            <w:pPr>
              <w:spacing w:after="0"/>
              <w:rPr>
                <w:sz w:val="15"/>
                <w:szCs w:val="15"/>
                <w:color w:val="auto"/>
              </w:rPr>
            </w:pPr>
          </w:p>
        </w:tc>
        <w:tc>
          <w:tcPr>
            <w:tcW w:w="780" w:type="dxa"/>
            <w:vAlign w:val="bottom"/>
            <w:gridSpan w:val="2"/>
          </w:tcPr>
          <w:p>
            <w:pPr>
              <w:jc w:val="right"/>
              <w:ind w:right="280"/>
              <w:spacing w:after="0"/>
              <w:rPr>
                <w:sz w:val="20"/>
                <w:szCs w:val="20"/>
                <w:color w:val="auto"/>
              </w:rPr>
            </w:pPr>
            <w:r>
              <w:rPr>
                <w:rFonts w:ascii="Arial" w:cs="Arial" w:eastAsia="Arial" w:hAnsi="Arial"/>
                <w:sz w:val="15"/>
                <w:szCs w:val="15"/>
                <w:color w:val="auto"/>
              </w:rPr>
              <w:t>407.4</w:t>
            </w:r>
          </w:p>
        </w:tc>
        <w:tc>
          <w:tcPr>
            <w:tcW w:w="120" w:type="dxa"/>
            <w:vAlign w:val="bottom"/>
          </w:tcPr>
          <w:p>
            <w:pPr>
              <w:spacing w:after="0"/>
              <w:rPr>
                <w:sz w:val="15"/>
                <w:szCs w:val="15"/>
                <w:color w:val="auto"/>
              </w:rPr>
            </w:pPr>
          </w:p>
        </w:tc>
        <w:tc>
          <w:tcPr>
            <w:tcW w:w="780" w:type="dxa"/>
            <w:vAlign w:val="bottom"/>
            <w:gridSpan w:val="2"/>
          </w:tcPr>
          <w:p>
            <w:pPr>
              <w:jc w:val="right"/>
              <w:ind w:right="340"/>
              <w:spacing w:after="0"/>
              <w:rPr>
                <w:sz w:val="20"/>
                <w:szCs w:val="20"/>
                <w:color w:val="auto"/>
              </w:rPr>
            </w:pPr>
            <w:r>
              <w:rPr>
                <w:rFonts w:ascii="Arial" w:cs="Arial" w:eastAsia="Arial" w:hAnsi="Arial"/>
                <w:sz w:val="15"/>
                <w:szCs w:val="15"/>
                <w:color w:val="auto"/>
              </w:rPr>
              <w:t>390.6</w:t>
            </w:r>
          </w:p>
        </w:tc>
        <w:tc>
          <w:tcPr>
            <w:tcW w:w="160" w:type="dxa"/>
            <w:vAlign w:val="bottom"/>
          </w:tcPr>
          <w:p>
            <w:pPr>
              <w:spacing w:after="0"/>
              <w:rPr>
                <w:sz w:val="15"/>
                <w:szCs w:val="15"/>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5"/>
                <w:szCs w:val="15"/>
                <w:color w:val="auto"/>
              </w:rPr>
              <w:t>368.9</w:t>
            </w: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
        </w:trPr>
        <w:tc>
          <w:tcPr>
            <w:tcW w:w="140" w:type="dxa"/>
            <w:vAlign w:val="bottom"/>
          </w:tcPr>
          <w:p>
            <w:pPr>
              <w:spacing w:after="0" w:line="20" w:lineRule="exact"/>
              <w:rPr>
                <w:sz w:val="1"/>
                <w:szCs w:val="1"/>
                <w:color w:val="auto"/>
              </w:rPr>
            </w:pPr>
          </w:p>
        </w:tc>
        <w:tc>
          <w:tcPr>
            <w:tcW w:w="63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140" w:type="dxa"/>
            <w:vAlign w:val="bottom"/>
          </w:tcPr>
          <w:p>
            <w:pPr>
              <w:spacing w:after="0"/>
              <w:rPr>
                <w:sz w:val="15"/>
                <w:szCs w:val="15"/>
                <w:color w:val="auto"/>
              </w:rPr>
            </w:pPr>
          </w:p>
        </w:tc>
        <w:tc>
          <w:tcPr>
            <w:tcW w:w="6340" w:type="dxa"/>
            <w:vAlign w:val="bottom"/>
            <w:shd w:val="clear" w:color="auto" w:fill="CCEEFF"/>
          </w:tcPr>
          <w:p>
            <w:pPr>
              <w:ind w:left="20"/>
              <w:spacing w:after="0"/>
              <w:rPr>
                <w:sz w:val="20"/>
                <w:szCs w:val="20"/>
                <w:color w:val="auto"/>
              </w:rPr>
            </w:pPr>
            <w:r>
              <w:rPr>
                <w:rFonts w:ascii="Arial" w:cs="Arial" w:eastAsia="Arial" w:hAnsi="Arial"/>
                <w:sz w:val="15"/>
                <w:szCs w:val="15"/>
                <w:color w:val="auto"/>
              </w:rPr>
              <w:t>Gross profit</w:t>
            </w:r>
          </w:p>
        </w:tc>
        <w:tc>
          <w:tcPr>
            <w:tcW w:w="12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280"/>
              <w:spacing w:after="0"/>
              <w:rPr>
                <w:sz w:val="20"/>
                <w:szCs w:val="20"/>
                <w:color w:val="auto"/>
              </w:rPr>
            </w:pPr>
            <w:r>
              <w:rPr>
                <w:rFonts w:ascii="Arial" w:cs="Arial" w:eastAsia="Arial" w:hAnsi="Arial"/>
                <w:sz w:val="15"/>
                <w:szCs w:val="15"/>
                <w:color w:val="auto"/>
              </w:rPr>
              <w:t>196.4</w:t>
            </w:r>
          </w:p>
        </w:tc>
        <w:tc>
          <w:tcPr>
            <w:tcW w:w="12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340"/>
              <w:spacing w:after="0"/>
              <w:rPr>
                <w:sz w:val="20"/>
                <w:szCs w:val="20"/>
                <w:color w:val="auto"/>
              </w:rPr>
            </w:pPr>
            <w:r>
              <w:rPr>
                <w:rFonts w:ascii="Arial" w:cs="Arial" w:eastAsia="Arial" w:hAnsi="Arial"/>
                <w:sz w:val="15"/>
                <w:szCs w:val="15"/>
                <w:color w:val="auto"/>
              </w:rPr>
              <w:t>454.2</w:t>
            </w:r>
          </w:p>
        </w:tc>
        <w:tc>
          <w:tcPr>
            <w:tcW w:w="160" w:type="dxa"/>
            <w:vAlign w:val="bottom"/>
            <w:shd w:val="clear" w:color="auto" w:fill="CCEEFF"/>
          </w:tcPr>
          <w:p>
            <w:pPr>
              <w:spacing w:after="0"/>
              <w:rPr>
                <w:sz w:val="15"/>
                <w:szCs w:val="15"/>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737.9</w:t>
            </w: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140" w:type="dxa"/>
            <w:vAlign w:val="bottom"/>
          </w:tcPr>
          <w:p>
            <w:pPr>
              <w:spacing w:after="0"/>
              <w:rPr>
                <w:sz w:val="15"/>
                <w:szCs w:val="15"/>
                <w:color w:val="auto"/>
              </w:rPr>
            </w:pPr>
          </w:p>
        </w:tc>
        <w:tc>
          <w:tcPr>
            <w:tcW w:w="6340" w:type="dxa"/>
            <w:vAlign w:val="bottom"/>
          </w:tcPr>
          <w:p>
            <w:pPr>
              <w:ind w:left="20"/>
              <w:spacing w:after="0"/>
              <w:rPr>
                <w:sz w:val="20"/>
                <w:szCs w:val="20"/>
                <w:color w:val="auto"/>
              </w:rPr>
            </w:pPr>
            <w:r>
              <w:rPr>
                <w:rFonts w:ascii="Arial" w:cs="Arial" w:eastAsia="Arial" w:hAnsi="Arial"/>
                <w:sz w:val="15"/>
                <w:szCs w:val="15"/>
                <w:color w:val="auto"/>
              </w:rPr>
              <w:t>Operating expenses:</w:t>
            </w:r>
            <w:r>
              <w:rPr>
                <w:rFonts w:ascii="Arial" w:cs="Arial" w:eastAsia="Arial" w:hAnsi="Arial"/>
                <w:sz w:val="12"/>
                <w:szCs w:val="12"/>
                <w:color w:val="auto"/>
              </w:rPr>
              <w:t>(1)</w:t>
            </w:r>
          </w:p>
        </w:tc>
        <w:tc>
          <w:tcPr>
            <w:tcW w:w="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140" w:type="dxa"/>
            <w:vAlign w:val="bottom"/>
          </w:tcPr>
          <w:p>
            <w:pPr>
              <w:spacing w:after="0"/>
              <w:rPr>
                <w:sz w:val="15"/>
                <w:szCs w:val="15"/>
                <w:color w:val="auto"/>
              </w:rPr>
            </w:pPr>
          </w:p>
        </w:tc>
        <w:tc>
          <w:tcPr>
            <w:tcW w:w="6340" w:type="dxa"/>
            <w:vAlign w:val="bottom"/>
            <w:shd w:val="clear" w:color="auto" w:fill="CCEEFF"/>
          </w:tcPr>
          <w:p>
            <w:pPr>
              <w:ind w:left="320"/>
              <w:spacing w:after="0"/>
              <w:rPr>
                <w:sz w:val="20"/>
                <w:szCs w:val="20"/>
                <w:color w:val="auto"/>
              </w:rPr>
            </w:pPr>
            <w:r>
              <w:rPr>
                <w:rFonts w:ascii="Arial" w:cs="Arial" w:eastAsia="Arial" w:hAnsi="Arial"/>
                <w:sz w:val="15"/>
                <w:szCs w:val="15"/>
                <w:color w:val="auto"/>
              </w:rPr>
              <w:t>Research and development</w:t>
            </w:r>
          </w:p>
        </w:tc>
        <w:tc>
          <w:tcPr>
            <w:tcW w:w="12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280"/>
              <w:spacing w:after="0"/>
              <w:rPr>
                <w:sz w:val="20"/>
                <w:szCs w:val="20"/>
                <w:color w:val="auto"/>
              </w:rPr>
            </w:pPr>
            <w:r>
              <w:rPr>
                <w:rFonts w:ascii="Arial" w:cs="Arial" w:eastAsia="Arial" w:hAnsi="Arial"/>
                <w:sz w:val="15"/>
                <w:szCs w:val="15"/>
                <w:color w:val="auto"/>
              </w:rPr>
              <w:t>201.6</w:t>
            </w:r>
          </w:p>
        </w:tc>
        <w:tc>
          <w:tcPr>
            <w:tcW w:w="12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340"/>
              <w:spacing w:after="0"/>
              <w:rPr>
                <w:sz w:val="20"/>
                <w:szCs w:val="20"/>
                <w:color w:val="auto"/>
              </w:rPr>
            </w:pPr>
            <w:r>
              <w:rPr>
                <w:rFonts w:ascii="Arial" w:cs="Arial" w:eastAsia="Arial" w:hAnsi="Arial"/>
                <w:sz w:val="15"/>
                <w:szCs w:val="15"/>
                <w:color w:val="auto"/>
              </w:rPr>
              <w:t>289.7</w:t>
            </w:r>
          </w:p>
        </w:tc>
        <w:tc>
          <w:tcPr>
            <w:tcW w:w="160" w:type="dxa"/>
            <w:vAlign w:val="bottom"/>
            <w:shd w:val="clear" w:color="auto" w:fill="CCEEFF"/>
          </w:tcPr>
          <w:p>
            <w:pPr>
              <w:spacing w:after="0"/>
              <w:rPr>
                <w:sz w:val="15"/>
                <w:szCs w:val="15"/>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380.3</w:t>
            </w: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140" w:type="dxa"/>
            <w:vAlign w:val="bottom"/>
          </w:tcPr>
          <w:p>
            <w:pPr>
              <w:spacing w:after="0"/>
              <w:rPr>
                <w:sz w:val="15"/>
                <w:szCs w:val="15"/>
                <w:color w:val="auto"/>
              </w:rPr>
            </w:pPr>
          </w:p>
        </w:tc>
        <w:tc>
          <w:tcPr>
            <w:tcW w:w="6340" w:type="dxa"/>
            <w:vAlign w:val="bottom"/>
          </w:tcPr>
          <w:p>
            <w:pPr>
              <w:ind w:left="320"/>
              <w:spacing w:after="0"/>
              <w:rPr>
                <w:sz w:val="20"/>
                <w:szCs w:val="20"/>
                <w:color w:val="auto"/>
              </w:rPr>
            </w:pPr>
            <w:r>
              <w:rPr>
                <w:rFonts w:ascii="Arial" w:cs="Arial" w:eastAsia="Arial" w:hAnsi="Arial"/>
                <w:sz w:val="15"/>
                <w:szCs w:val="15"/>
                <w:color w:val="auto"/>
              </w:rPr>
              <w:t>Sales and marketing</w:t>
            </w:r>
          </w:p>
        </w:tc>
        <w:tc>
          <w:tcPr>
            <w:tcW w:w="120" w:type="dxa"/>
            <w:vAlign w:val="bottom"/>
          </w:tcPr>
          <w:p>
            <w:pPr>
              <w:spacing w:after="0"/>
              <w:rPr>
                <w:sz w:val="15"/>
                <w:szCs w:val="15"/>
                <w:color w:val="auto"/>
              </w:rPr>
            </w:pPr>
          </w:p>
        </w:tc>
        <w:tc>
          <w:tcPr>
            <w:tcW w:w="780" w:type="dxa"/>
            <w:vAlign w:val="bottom"/>
            <w:gridSpan w:val="2"/>
          </w:tcPr>
          <w:p>
            <w:pPr>
              <w:jc w:val="right"/>
              <w:ind w:right="280"/>
              <w:spacing w:after="0"/>
              <w:rPr>
                <w:sz w:val="20"/>
                <w:szCs w:val="20"/>
                <w:color w:val="auto"/>
              </w:rPr>
            </w:pPr>
            <w:r>
              <w:rPr>
                <w:rFonts w:ascii="Arial" w:cs="Arial" w:eastAsia="Arial" w:hAnsi="Arial"/>
                <w:sz w:val="15"/>
                <w:szCs w:val="15"/>
                <w:color w:val="auto"/>
              </w:rPr>
              <w:t>193.1</w:t>
            </w:r>
          </w:p>
        </w:tc>
        <w:tc>
          <w:tcPr>
            <w:tcW w:w="120" w:type="dxa"/>
            <w:vAlign w:val="bottom"/>
          </w:tcPr>
          <w:p>
            <w:pPr>
              <w:spacing w:after="0"/>
              <w:rPr>
                <w:sz w:val="15"/>
                <w:szCs w:val="15"/>
                <w:color w:val="auto"/>
              </w:rPr>
            </w:pPr>
          </w:p>
        </w:tc>
        <w:tc>
          <w:tcPr>
            <w:tcW w:w="780" w:type="dxa"/>
            <w:vAlign w:val="bottom"/>
            <w:gridSpan w:val="2"/>
          </w:tcPr>
          <w:p>
            <w:pPr>
              <w:jc w:val="right"/>
              <w:ind w:right="340"/>
              <w:spacing w:after="0"/>
              <w:rPr>
                <w:sz w:val="20"/>
                <w:szCs w:val="20"/>
                <w:color w:val="auto"/>
              </w:rPr>
            </w:pPr>
            <w:r>
              <w:rPr>
                <w:rFonts w:ascii="Arial" w:cs="Arial" w:eastAsia="Arial" w:hAnsi="Arial"/>
                <w:sz w:val="15"/>
                <w:szCs w:val="15"/>
                <w:color w:val="auto"/>
              </w:rPr>
              <w:t>250.6</w:t>
            </w:r>
          </w:p>
        </w:tc>
        <w:tc>
          <w:tcPr>
            <w:tcW w:w="160" w:type="dxa"/>
            <w:vAlign w:val="bottom"/>
          </w:tcPr>
          <w:p>
            <w:pPr>
              <w:spacing w:after="0"/>
              <w:rPr>
                <w:sz w:val="15"/>
                <w:szCs w:val="15"/>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5"/>
                <w:szCs w:val="15"/>
                <w:color w:val="auto"/>
              </w:rPr>
              <w:t>314.0</w:t>
            </w: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140" w:type="dxa"/>
            <w:vAlign w:val="bottom"/>
          </w:tcPr>
          <w:p>
            <w:pPr>
              <w:spacing w:after="0"/>
              <w:rPr>
                <w:sz w:val="15"/>
                <w:szCs w:val="15"/>
                <w:color w:val="auto"/>
              </w:rPr>
            </w:pPr>
          </w:p>
        </w:tc>
        <w:tc>
          <w:tcPr>
            <w:tcW w:w="6340" w:type="dxa"/>
            <w:vAlign w:val="bottom"/>
            <w:shd w:val="clear" w:color="auto" w:fill="CCEEFF"/>
          </w:tcPr>
          <w:p>
            <w:pPr>
              <w:ind w:left="320"/>
              <w:spacing w:after="0"/>
              <w:rPr>
                <w:sz w:val="20"/>
                <w:szCs w:val="20"/>
                <w:color w:val="auto"/>
              </w:rPr>
            </w:pPr>
            <w:r>
              <w:rPr>
                <w:rFonts w:ascii="Arial" w:cs="Arial" w:eastAsia="Arial" w:hAnsi="Arial"/>
                <w:sz w:val="15"/>
                <w:szCs w:val="15"/>
                <w:color w:val="auto"/>
              </w:rPr>
              <w:t>General and administrative</w:t>
            </w:r>
          </w:p>
        </w:tc>
        <w:tc>
          <w:tcPr>
            <w:tcW w:w="12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280"/>
              <w:spacing w:after="0"/>
              <w:rPr>
                <w:sz w:val="20"/>
                <w:szCs w:val="20"/>
                <w:color w:val="auto"/>
              </w:rPr>
            </w:pPr>
            <w:r>
              <w:rPr>
                <w:rFonts w:ascii="Arial" w:cs="Arial" w:eastAsia="Arial" w:hAnsi="Arial"/>
                <w:sz w:val="15"/>
                <w:szCs w:val="15"/>
                <w:color w:val="auto"/>
              </w:rPr>
              <w:t>107.9</w:t>
            </w:r>
          </w:p>
        </w:tc>
        <w:tc>
          <w:tcPr>
            <w:tcW w:w="12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340"/>
              <w:spacing w:after="0"/>
              <w:rPr>
                <w:sz w:val="20"/>
                <w:szCs w:val="20"/>
                <w:color w:val="auto"/>
              </w:rPr>
            </w:pPr>
            <w:r>
              <w:rPr>
                <w:rFonts w:ascii="Arial" w:cs="Arial" w:eastAsia="Arial" w:hAnsi="Arial"/>
                <w:sz w:val="15"/>
                <w:szCs w:val="15"/>
                <w:color w:val="auto"/>
              </w:rPr>
              <w:t>107.4</w:t>
            </w:r>
          </w:p>
        </w:tc>
        <w:tc>
          <w:tcPr>
            <w:tcW w:w="160" w:type="dxa"/>
            <w:vAlign w:val="bottom"/>
            <w:shd w:val="clear" w:color="auto" w:fill="CCEEFF"/>
          </w:tcPr>
          <w:p>
            <w:pPr>
              <w:spacing w:after="0"/>
              <w:rPr>
                <w:sz w:val="15"/>
                <w:szCs w:val="15"/>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157.3</w:t>
            </w: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6340" w:type="dxa"/>
            <w:vAlign w:val="bottom"/>
            <w:vMerge w:val="restart"/>
          </w:tcPr>
          <w:p>
            <w:pPr>
              <w:ind w:left="20"/>
              <w:spacing w:after="0"/>
              <w:rPr>
                <w:sz w:val="20"/>
                <w:szCs w:val="20"/>
                <w:color w:val="auto"/>
              </w:rPr>
            </w:pPr>
            <w:r>
              <w:rPr>
                <w:rFonts w:ascii="Arial" w:cs="Arial" w:eastAsia="Arial" w:hAnsi="Arial"/>
                <w:sz w:val="15"/>
                <w:szCs w:val="15"/>
                <w:color w:val="auto"/>
              </w:rPr>
              <w:t>Total operating expenses</w:t>
            </w:r>
          </w:p>
        </w:tc>
        <w:tc>
          <w:tcPr>
            <w:tcW w:w="1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140" w:type="dxa"/>
            <w:vAlign w:val="bottom"/>
          </w:tcPr>
          <w:p>
            <w:pPr>
              <w:spacing w:after="0"/>
              <w:rPr>
                <w:sz w:val="15"/>
                <w:szCs w:val="15"/>
                <w:color w:val="auto"/>
              </w:rPr>
            </w:pPr>
          </w:p>
        </w:tc>
        <w:tc>
          <w:tcPr>
            <w:tcW w:w="634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gridSpan w:val="2"/>
          </w:tcPr>
          <w:p>
            <w:pPr>
              <w:jc w:val="right"/>
              <w:ind w:right="280"/>
              <w:spacing w:after="0"/>
              <w:rPr>
                <w:sz w:val="20"/>
                <w:szCs w:val="20"/>
                <w:color w:val="auto"/>
              </w:rPr>
            </w:pPr>
            <w:r>
              <w:rPr>
                <w:rFonts w:ascii="Arial" w:cs="Arial" w:eastAsia="Arial" w:hAnsi="Arial"/>
                <w:sz w:val="15"/>
                <w:szCs w:val="15"/>
                <w:color w:val="auto"/>
              </w:rPr>
              <w:t>502.6</w:t>
            </w:r>
          </w:p>
        </w:tc>
        <w:tc>
          <w:tcPr>
            <w:tcW w:w="120" w:type="dxa"/>
            <w:vAlign w:val="bottom"/>
          </w:tcPr>
          <w:p>
            <w:pPr>
              <w:spacing w:after="0"/>
              <w:rPr>
                <w:sz w:val="15"/>
                <w:szCs w:val="15"/>
                <w:color w:val="auto"/>
              </w:rPr>
            </w:pPr>
          </w:p>
        </w:tc>
        <w:tc>
          <w:tcPr>
            <w:tcW w:w="780" w:type="dxa"/>
            <w:vAlign w:val="bottom"/>
            <w:gridSpan w:val="2"/>
          </w:tcPr>
          <w:p>
            <w:pPr>
              <w:jc w:val="right"/>
              <w:ind w:right="340"/>
              <w:spacing w:after="0"/>
              <w:rPr>
                <w:sz w:val="20"/>
                <w:szCs w:val="20"/>
                <w:color w:val="auto"/>
              </w:rPr>
            </w:pPr>
            <w:r>
              <w:rPr>
                <w:rFonts w:ascii="Arial" w:cs="Arial" w:eastAsia="Arial" w:hAnsi="Arial"/>
                <w:sz w:val="15"/>
                <w:szCs w:val="15"/>
                <w:color w:val="auto"/>
              </w:rPr>
              <w:t>647.7</w:t>
            </w:r>
          </w:p>
        </w:tc>
        <w:tc>
          <w:tcPr>
            <w:tcW w:w="160" w:type="dxa"/>
            <w:vAlign w:val="bottom"/>
          </w:tcPr>
          <w:p>
            <w:pPr>
              <w:spacing w:after="0"/>
              <w:rPr>
                <w:sz w:val="15"/>
                <w:szCs w:val="15"/>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5"/>
                <w:szCs w:val="15"/>
                <w:color w:val="auto"/>
              </w:rPr>
              <w:t>851.6</w:t>
            </w: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
        </w:trPr>
        <w:tc>
          <w:tcPr>
            <w:tcW w:w="140" w:type="dxa"/>
            <w:vAlign w:val="bottom"/>
          </w:tcPr>
          <w:p>
            <w:pPr>
              <w:spacing w:after="0"/>
              <w:rPr>
                <w:sz w:val="2"/>
                <w:szCs w:val="2"/>
                <w:color w:val="auto"/>
              </w:rPr>
            </w:pPr>
          </w:p>
        </w:tc>
        <w:tc>
          <w:tcPr>
            <w:tcW w:w="63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0"/>
        </w:trPr>
        <w:tc>
          <w:tcPr>
            <w:tcW w:w="140" w:type="dxa"/>
            <w:vAlign w:val="bottom"/>
          </w:tcPr>
          <w:p>
            <w:pPr>
              <w:spacing w:after="0"/>
              <w:rPr>
                <w:sz w:val="15"/>
                <w:szCs w:val="15"/>
                <w:color w:val="auto"/>
              </w:rPr>
            </w:pPr>
          </w:p>
        </w:tc>
        <w:tc>
          <w:tcPr>
            <w:tcW w:w="6340" w:type="dxa"/>
            <w:vAlign w:val="bottom"/>
            <w:shd w:val="clear" w:color="auto" w:fill="CCEEFF"/>
          </w:tcPr>
          <w:p>
            <w:pPr>
              <w:ind w:left="20"/>
              <w:spacing w:after="0"/>
              <w:rPr>
                <w:sz w:val="20"/>
                <w:szCs w:val="20"/>
                <w:color w:val="auto"/>
              </w:rPr>
            </w:pPr>
            <w:r>
              <w:rPr>
                <w:rFonts w:ascii="Arial" w:cs="Arial" w:eastAsia="Arial" w:hAnsi="Arial"/>
                <w:sz w:val="15"/>
                <w:szCs w:val="15"/>
                <w:color w:val="auto"/>
              </w:rPr>
              <w:t>Loss from operations</w:t>
            </w:r>
          </w:p>
        </w:tc>
        <w:tc>
          <w:tcPr>
            <w:tcW w:w="12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(306.2)</w:t>
            </w:r>
          </w:p>
        </w:tc>
        <w:tc>
          <w:tcPr>
            <w:tcW w:w="12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280"/>
              <w:spacing w:after="0"/>
              <w:rPr>
                <w:sz w:val="20"/>
                <w:szCs w:val="20"/>
                <w:color w:val="auto"/>
              </w:rPr>
            </w:pPr>
            <w:r>
              <w:rPr>
                <w:rFonts w:ascii="Arial" w:cs="Arial" w:eastAsia="Arial" w:hAnsi="Arial"/>
                <w:sz w:val="15"/>
                <w:szCs w:val="15"/>
                <w:color w:val="auto"/>
              </w:rPr>
              <w:t>(193.5)</w:t>
            </w:r>
          </w:p>
        </w:tc>
        <w:tc>
          <w:tcPr>
            <w:tcW w:w="160" w:type="dxa"/>
            <w:vAlign w:val="bottom"/>
            <w:shd w:val="clear" w:color="auto" w:fill="CCEEFF"/>
          </w:tcPr>
          <w:p>
            <w:pPr>
              <w:spacing w:after="0"/>
              <w:rPr>
                <w:sz w:val="15"/>
                <w:szCs w:val="15"/>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(113.7)</w:t>
            </w: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140" w:type="dxa"/>
            <w:vAlign w:val="bottom"/>
          </w:tcPr>
          <w:p>
            <w:pPr>
              <w:spacing w:after="0"/>
              <w:rPr>
                <w:sz w:val="15"/>
                <w:szCs w:val="15"/>
                <w:color w:val="auto"/>
              </w:rPr>
            </w:pPr>
          </w:p>
        </w:tc>
        <w:tc>
          <w:tcPr>
            <w:tcW w:w="6340" w:type="dxa"/>
            <w:vAlign w:val="bottom"/>
          </w:tcPr>
          <w:p>
            <w:pPr>
              <w:ind w:left="20"/>
              <w:spacing w:after="0"/>
              <w:rPr>
                <w:sz w:val="20"/>
                <w:szCs w:val="20"/>
                <w:color w:val="auto"/>
              </w:rPr>
            </w:pPr>
            <w:r>
              <w:rPr>
                <w:rFonts w:ascii="Arial" w:cs="Arial" w:eastAsia="Arial" w:hAnsi="Arial"/>
                <w:sz w:val="15"/>
                <w:szCs w:val="15"/>
                <w:color w:val="auto"/>
              </w:rPr>
              <w:t>Interest expense, net</w:t>
            </w:r>
          </w:p>
        </w:tc>
        <w:tc>
          <w:tcPr>
            <w:tcW w:w="120" w:type="dxa"/>
            <w:vAlign w:val="bottom"/>
          </w:tcPr>
          <w:p>
            <w:pPr>
              <w:spacing w:after="0"/>
              <w:rPr>
                <w:sz w:val="15"/>
                <w:szCs w:val="15"/>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5"/>
                <w:szCs w:val="15"/>
                <w:color w:val="auto"/>
              </w:rPr>
              <w:t>(15.2)</w:t>
            </w:r>
          </w:p>
        </w:tc>
        <w:tc>
          <w:tcPr>
            <w:tcW w:w="120" w:type="dxa"/>
            <w:vAlign w:val="bottom"/>
          </w:tcPr>
          <w:p>
            <w:pPr>
              <w:spacing w:after="0"/>
              <w:rPr>
                <w:sz w:val="15"/>
                <w:szCs w:val="15"/>
                <w:color w:val="auto"/>
              </w:rPr>
            </w:pPr>
          </w:p>
        </w:tc>
        <w:tc>
          <w:tcPr>
            <w:tcW w:w="780" w:type="dxa"/>
            <w:vAlign w:val="bottom"/>
            <w:gridSpan w:val="2"/>
          </w:tcPr>
          <w:p>
            <w:pPr>
              <w:jc w:val="right"/>
              <w:ind w:right="280"/>
              <w:spacing w:after="0"/>
              <w:rPr>
                <w:sz w:val="20"/>
                <w:szCs w:val="20"/>
                <w:color w:val="auto"/>
              </w:rPr>
            </w:pPr>
            <w:r>
              <w:rPr>
                <w:rFonts w:ascii="Arial" w:cs="Arial" w:eastAsia="Arial" w:hAnsi="Arial"/>
                <w:sz w:val="15"/>
                <w:szCs w:val="15"/>
                <w:color w:val="auto"/>
              </w:rPr>
              <w:t>(16.4)</w:t>
            </w:r>
          </w:p>
        </w:tc>
        <w:tc>
          <w:tcPr>
            <w:tcW w:w="160" w:type="dxa"/>
            <w:vAlign w:val="bottom"/>
          </w:tcPr>
          <w:p>
            <w:pPr>
              <w:spacing w:after="0"/>
              <w:rPr>
                <w:sz w:val="15"/>
                <w:szCs w:val="15"/>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5"/>
                <w:szCs w:val="15"/>
                <w:color w:val="auto"/>
              </w:rPr>
              <w:t>(11.0)</w:t>
            </w: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140" w:type="dxa"/>
            <w:vAlign w:val="bottom"/>
          </w:tcPr>
          <w:p>
            <w:pPr>
              <w:spacing w:after="0"/>
              <w:rPr>
                <w:sz w:val="15"/>
                <w:szCs w:val="15"/>
                <w:color w:val="auto"/>
              </w:rPr>
            </w:pPr>
          </w:p>
        </w:tc>
        <w:tc>
          <w:tcPr>
            <w:tcW w:w="6340" w:type="dxa"/>
            <w:vAlign w:val="bottom"/>
            <w:shd w:val="clear" w:color="auto" w:fill="CCEEFF"/>
          </w:tcPr>
          <w:p>
            <w:pPr>
              <w:ind w:left="20"/>
              <w:spacing w:after="0"/>
              <w:rPr>
                <w:sz w:val="20"/>
                <w:szCs w:val="20"/>
                <w:color w:val="auto"/>
              </w:rPr>
            </w:pPr>
            <w:r>
              <w:rPr>
                <w:rFonts w:ascii="Arial" w:cs="Arial" w:eastAsia="Arial" w:hAnsi="Arial"/>
                <w:sz w:val="15"/>
                <w:szCs w:val="15"/>
                <w:color w:val="auto"/>
              </w:rPr>
              <w:t>Other income (expense), net</w:t>
            </w:r>
          </w:p>
        </w:tc>
        <w:tc>
          <w:tcPr>
            <w:tcW w:w="12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(4.2)</w:t>
            </w:r>
          </w:p>
        </w:tc>
        <w:tc>
          <w:tcPr>
            <w:tcW w:w="12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340"/>
              <w:spacing w:after="0"/>
              <w:rPr>
                <w:sz w:val="20"/>
                <w:szCs w:val="20"/>
                <w:color w:val="auto"/>
              </w:rPr>
            </w:pPr>
            <w:r>
              <w:rPr>
                <w:rFonts w:ascii="Arial" w:cs="Arial" w:eastAsia="Arial" w:hAnsi="Arial"/>
                <w:sz w:val="15"/>
                <w:szCs w:val="15"/>
                <w:color w:val="auto"/>
              </w:rPr>
              <w:t>4.9</w:t>
            </w:r>
          </w:p>
        </w:tc>
        <w:tc>
          <w:tcPr>
            <w:tcW w:w="160" w:type="dxa"/>
            <w:vAlign w:val="bottom"/>
            <w:shd w:val="clear" w:color="auto" w:fill="CCEEFF"/>
          </w:tcPr>
          <w:p>
            <w:pPr>
              <w:spacing w:after="0"/>
              <w:rPr>
                <w:sz w:val="15"/>
                <w:szCs w:val="15"/>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13.2</w:t>
            </w: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6340" w:type="dxa"/>
            <w:vAlign w:val="bottom"/>
            <w:vMerge w:val="restart"/>
          </w:tcPr>
          <w:p>
            <w:pPr>
              <w:ind w:left="20"/>
              <w:spacing w:after="0"/>
              <w:rPr>
                <w:sz w:val="20"/>
                <w:szCs w:val="20"/>
                <w:color w:val="auto"/>
              </w:rPr>
            </w:pPr>
            <w:r>
              <w:rPr>
                <w:rFonts w:ascii="Arial" w:cs="Arial" w:eastAsia="Arial" w:hAnsi="Arial"/>
                <w:sz w:val="15"/>
                <w:szCs w:val="15"/>
                <w:color w:val="auto"/>
              </w:rPr>
              <w:t>Loss before income taxes</w:t>
            </w:r>
          </w:p>
        </w:tc>
        <w:tc>
          <w:tcPr>
            <w:tcW w:w="1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140" w:type="dxa"/>
            <w:vAlign w:val="bottom"/>
          </w:tcPr>
          <w:p>
            <w:pPr>
              <w:spacing w:after="0"/>
              <w:rPr>
                <w:sz w:val="15"/>
                <w:szCs w:val="15"/>
                <w:color w:val="auto"/>
              </w:rPr>
            </w:pPr>
          </w:p>
        </w:tc>
        <w:tc>
          <w:tcPr>
            <w:tcW w:w="634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5"/>
                <w:szCs w:val="15"/>
                <w:color w:val="auto"/>
              </w:rPr>
              <w:t>(325.6)</w:t>
            </w:r>
          </w:p>
        </w:tc>
        <w:tc>
          <w:tcPr>
            <w:tcW w:w="120" w:type="dxa"/>
            <w:vAlign w:val="bottom"/>
          </w:tcPr>
          <w:p>
            <w:pPr>
              <w:spacing w:after="0"/>
              <w:rPr>
                <w:sz w:val="15"/>
                <w:szCs w:val="15"/>
                <w:color w:val="auto"/>
              </w:rPr>
            </w:pPr>
          </w:p>
        </w:tc>
        <w:tc>
          <w:tcPr>
            <w:tcW w:w="780" w:type="dxa"/>
            <w:vAlign w:val="bottom"/>
            <w:gridSpan w:val="2"/>
          </w:tcPr>
          <w:p>
            <w:pPr>
              <w:jc w:val="right"/>
              <w:ind w:right="280"/>
              <w:spacing w:after="0"/>
              <w:rPr>
                <w:sz w:val="20"/>
                <w:szCs w:val="20"/>
                <w:color w:val="auto"/>
              </w:rPr>
            </w:pPr>
            <w:r>
              <w:rPr>
                <w:rFonts w:ascii="Arial" w:cs="Arial" w:eastAsia="Arial" w:hAnsi="Arial"/>
                <w:sz w:val="15"/>
                <w:szCs w:val="15"/>
                <w:color w:val="auto"/>
              </w:rPr>
              <w:t>(205.0)</w:t>
            </w:r>
          </w:p>
        </w:tc>
        <w:tc>
          <w:tcPr>
            <w:tcW w:w="160" w:type="dxa"/>
            <w:vAlign w:val="bottom"/>
          </w:tcPr>
          <w:p>
            <w:pPr>
              <w:spacing w:after="0"/>
              <w:rPr>
                <w:sz w:val="15"/>
                <w:szCs w:val="15"/>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5"/>
                <w:szCs w:val="15"/>
                <w:color w:val="auto"/>
              </w:rPr>
              <w:t>(111.5)</w:t>
            </w: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140" w:type="dxa"/>
            <w:vAlign w:val="bottom"/>
          </w:tcPr>
          <w:p>
            <w:pPr>
              <w:spacing w:after="0"/>
              <w:rPr>
                <w:sz w:val="15"/>
                <w:szCs w:val="15"/>
                <w:color w:val="auto"/>
              </w:rPr>
            </w:pPr>
          </w:p>
        </w:tc>
        <w:tc>
          <w:tcPr>
            <w:tcW w:w="6340" w:type="dxa"/>
            <w:vAlign w:val="bottom"/>
            <w:shd w:val="clear" w:color="auto" w:fill="CCEEFF"/>
          </w:tcPr>
          <w:p>
            <w:pPr>
              <w:ind w:left="20"/>
              <w:spacing w:after="0"/>
              <w:rPr>
                <w:sz w:val="20"/>
                <w:szCs w:val="20"/>
                <w:color w:val="auto"/>
              </w:rPr>
            </w:pPr>
            <w:r>
              <w:rPr>
                <w:rFonts w:ascii="Arial" w:cs="Arial" w:eastAsia="Arial" w:hAnsi="Arial"/>
                <w:sz w:val="15"/>
                <w:szCs w:val="15"/>
                <w:color w:val="auto"/>
              </w:rPr>
              <w:t>Provision for income taxes</w:t>
            </w:r>
          </w:p>
        </w:tc>
        <w:tc>
          <w:tcPr>
            <w:tcW w:w="12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(0.3)</w:t>
            </w:r>
          </w:p>
        </w:tc>
        <w:tc>
          <w:tcPr>
            <w:tcW w:w="12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280"/>
              <w:spacing w:after="0"/>
              <w:rPr>
                <w:sz w:val="20"/>
                <w:szCs w:val="20"/>
                <w:color w:val="auto"/>
              </w:rPr>
            </w:pPr>
            <w:r>
              <w:rPr>
                <w:rFonts w:ascii="Arial" w:cs="Arial" w:eastAsia="Arial" w:hAnsi="Arial"/>
                <w:sz w:val="15"/>
                <w:szCs w:val="15"/>
                <w:color w:val="auto"/>
              </w:rPr>
              <w:t>(5.2)</w:t>
            </w:r>
          </w:p>
        </w:tc>
        <w:tc>
          <w:tcPr>
            <w:tcW w:w="160" w:type="dxa"/>
            <w:vAlign w:val="bottom"/>
            <w:shd w:val="clear" w:color="auto" w:fill="CCEEFF"/>
          </w:tcPr>
          <w:p>
            <w:pPr>
              <w:spacing w:after="0"/>
              <w:rPr>
                <w:sz w:val="15"/>
                <w:szCs w:val="15"/>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(0.2)</w:t>
            </w: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6340" w:type="dxa"/>
            <w:vAlign w:val="bottom"/>
            <w:vMerge w:val="restart"/>
          </w:tcPr>
          <w:p>
            <w:pPr>
              <w:ind w:left="20"/>
              <w:spacing w:after="0"/>
              <w:rPr>
                <w:sz w:val="20"/>
                <w:szCs w:val="20"/>
                <w:color w:val="auto"/>
              </w:rPr>
            </w:pPr>
            <w:r>
              <w:rPr>
                <w:rFonts w:ascii="Arial" w:cs="Arial" w:eastAsia="Arial" w:hAnsi="Arial"/>
                <w:sz w:val="15"/>
                <w:szCs w:val="15"/>
                <w:color w:val="auto"/>
              </w:rPr>
              <w:t>Net loss</w:t>
            </w:r>
          </w:p>
        </w:tc>
        <w:tc>
          <w:tcPr>
            <w:tcW w:w="1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140" w:type="dxa"/>
            <w:vAlign w:val="bottom"/>
          </w:tcPr>
          <w:p>
            <w:pPr>
              <w:spacing w:after="0"/>
              <w:rPr>
                <w:sz w:val="15"/>
                <w:szCs w:val="15"/>
                <w:color w:val="auto"/>
              </w:rPr>
            </w:pPr>
          </w:p>
        </w:tc>
        <w:tc>
          <w:tcPr>
            <w:tcW w:w="6340" w:type="dxa"/>
            <w:vAlign w:val="bottom"/>
            <w:vMerge w:val="continue"/>
          </w:tcPr>
          <w:p>
            <w:pPr>
              <w:spacing w:after="0"/>
              <w:rPr>
                <w:sz w:val="15"/>
                <w:szCs w:val="15"/>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gridSpan w:val="2"/>
          </w:tcPr>
          <w:p>
            <w:pPr>
              <w:jc w:val="right"/>
              <w:ind w:right="220"/>
              <w:spacing w:after="0"/>
              <w:rPr>
                <w:sz w:val="20"/>
                <w:szCs w:val="20"/>
                <w:color w:val="auto"/>
              </w:rPr>
            </w:pPr>
            <w:r>
              <w:rPr>
                <w:rFonts w:ascii="Arial" w:cs="Arial" w:eastAsia="Arial" w:hAnsi="Arial"/>
                <w:sz w:val="15"/>
                <w:szCs w:val="15"/>
                <w:color w:val="auto"/>
              </w:rPr>
              <w:t>(325.9)</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gridSpan w:val="2"/>
          </w:tcPr>
          <w:p>
            <w:pPr>
              <w:jc w:val="right"/>
              <w:ind w:right="280"/>
              <w:spacing w:after="0"/>
              <w:rPr>
                <w:sz w:val="20"/>
                <w:szCs w:val="20"/>
                <w:color w:val="auto"/>
              </w:rPr>
            </w:pPr>
            <w:r>
              <w:rPr>
                <w:rFonts w:ascii="Arial" w:cs="Arial" w:eastAsia="Arial" w:hAnsi="Arial"/>
                <w:sz w:val="15"/>
                <w:szCs w:val="15"/>
                <w:color w:val="auto"/>
              </w:rPr>
              <w:t>(210.2)</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600" w:type="dxa"/>
            <w:vAlign w:val="bottom"/>
            <w:gridSpan w:val="2"/>
          </w:tcPr>
          <w:p>
            <w:pPr>
              <w:jc w:val="right"/>
              <w:ind w:right="40"/>
              <w:spacing w:after="0"/>
              <w:rPr>
                <w:sz w:val="20"/>
                <w:szCs w:val="20"/>
                <w:color w:val="auto"/>
              </w:rPr>
            </w:pPr>
            <w:r>
              <w:rPr>
                <w:rFonts w:ascii="Arial" w:cs="Arial" w:eastAsia="Arial" w:hAnsi="Arial"/>
                <w:sz w:val="15"/>
                <w:szCs w:val="15"/>
                <w:color w:val="auto"/>
              </w:rPr>
              <w:t>(111.7)</w:t>
            </w: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63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140" w:type="dxa"/>
            <w:vAlign w:val="bottom"/>
          </w:tcPr>
          <w:p>
            <w:pPr>
              <w:spacing w:after="0"/>
              <w:rPr>
                <w:sz w:val="14"/>
                <w:szCs w:val="14"/>
                <w:color w:val="auto"/>
              </w:rPr>
            </w:pPr>
          </w:p>
        </w:tc>
        <w:tc>
          <w:tcPr>
            <w:tcW w:w="6340" w:type="dxa"/>
            <w:vAlign w:val="bottom"/>
            <w:shd w:val="clear" w:color="auto" w:fill="CCEEFF"/>
          </w:tcPr>
          <w:p>
            <w:pPr>
              <w:ind w:left="20"/>
              <w:spacing w:after="0" w:line="167" w:lineRule="exact"/>
              <w:rPr>
                <w:sz w:val="20"/>
                <w:szCs w:val="20"/>
                <w:color w:val="auto"/>
              </w:rPr>
            </w:pPr>
            <w:r>
              <w:rPr>
                <w:rFonts w:ascii="Arial" w:cs="Arial" w:eastAsia="Arial" w:hAnsi="Arial"/>
                <w:sz w:val="15"/>
                <w:szCs w:val="15"/>
                <w:color w:val="auto"/>
              </w:rPr>
              <w:t>Net loss per share attributable to common stockholders, basic and diluted</w:t>
            </w:r>
            <w:r>
              <w:rPr>
                <w:rFonts w:ascii="Arial" w:cs="Arial" w:eastAsia="Arial" w:hAnsi="Arial"/>
                <w:sz w:val="12"/>
                <w:szCs w:val="12"/>
                <w:color w:val="auto"/>
              </w:rPr>
              <w:t>(2)</w:t>
            </w:r>
          </w:p>
        </w:tc>
        <w:tc>
          <w:tcPr>
            <w:tcW w:w="120" w:type="dxa"/>
            <w:vAlign w:val="bottom"/>
            <w:shd w:val="clear" w:color="auto" w:fill="CCEEFF"/>
          </w:tcPr>
          <w:p>
            <w:pPr>
              <w:jc w:val="right"/>
              <w:spacing w:after="0" w:line="167" w:lineRule="exact"/>
              <w:rPr>
                <w:sz w:val="20"/>
                <w:szCs w:val="20"/>
                <w:color w:val="auto"/>
              </w:rPr>
            </w:pPr>
            <w:r>
              <w:rPr>
                <w:rFonts w:ascii="Arial" w:cs="Arial" w:eastAsia="Arial" w:hAnsi="Arial"/>
                <w:sz w:val="15"/>
                <w:szCs w:val="15"/>
                <w:color w:val="auto"/>
                <w:w w:val="71"/>
              </w:rPr>
              <w:t>$</w:t>
            </w:r>
          </w:p>
        </w:tc>
        <w:tc>
          <w:tcPr>
            <w:tcW w:w="780" w:type="dxa"/>
            <w:vAlign w:val="bottom"/>
            <w:gridSpan w:val="2"/>
            <w:shd w:val="clear" w:color="auto" w:fill="CCEEFF"/>
          </w:tcPr>
          <w:p>
            <w:pPr>
              <w:jc w:val="right"/>
              <w:ind w:right="220"/>
              <w:spacing w:after="0" w:line="167" w:lineRule="exact"/>
              <w:rPr>
                <w:sz w:val="20"/>
                <w:szCs w:val="20"/>
                <w:color w:val="auto"/>
              </w:rPr>
            </w:pPr>
            <w:r>
              <w:rPr>
                <w:rFonts w:ascii="Arial" w:cs="Arial" w:eastAsia="Arial" w:hAnsi="Arial"/>
                <w:sz w:val="15"/>
                <w:szCs w:val="15"/>
                <w:color w:val="auto"/>
              </w:rPr>
              <w:t>(1.77)</w:t>
            </w:r>
          </w:p>
        </w:tc>
        <w:tc>
          <w:tcPr>
            <w:tcW w:w="120" w:type="dxa"/>
            <w:vAlign w:val="bottom"/>
            <w:shd w:val="clear" w:color="auto" w:fill="CCEEFF"/>
          </w:tcPr>
          <w:p>
            <w:pPr>
              <w:jc w:val="right"/>
              <w:spacing w:after="0" w:line="167" w:lineRule="exact"/>
              <w:rPr>
                <w:sz w:val="20"/>
                <w:szCs w:val="20"/>
                <w:color w:val="auto"/>
              </w:rPr>
            </w:pPr>
            <w:r>
              <w:rPr>
                <w:rFonts w:ascii="Arial" w:cs="Arial" w:eastAsia="Arial" w:hAnsi="Arial"/>
                <w:sz w:val="15"/>
                <w:szCs w:val="15"/>
                <w:color w:val="auto"/>
                <w:w w:val="71"/>
              </w:rPr>
              <w:t>$</w:t>
            </w:r>
          </w:p>
        </w:tc>
        <w:tc>
          <w:tcPr>
            <w:tcW w:w="780" w:type="dxa"/>
            <w:vAlign w:val="bottom"/>
            <w:gridSpan w:val="2"/>
            <w:shd w:val="clear" w:color="auto" w:fill="CCEEFF"/>
          </w:tcPr>
          <w:p>
            <w:pPr>
              <w:jc w:val="right"/>
              <w:ind w:right="280"/>
              <w:spacing w:after="0" w:line="167" w:lineRule="exact"/>
              <w:rPr>
                <w:sz w:val="20"/>
                <w:szCs w:val="20"/>
                <w:color w:val="auto"/>
              </w:rPr>
            </w:pPr>
            <w:r>
              <w:rPr>
                <w:rFonts w:ascii="Arial" w:cs="Arial" w:eastAsia="Arial" w:hAnsi="Arial"/>
                <w:sz w:val="15"/>
                <w:szCs w:val="15"/>
                <w:color w:val="auto"/>
              </w:rPr>
              <w:t>(1.11)</w:t>
            </w:r>
          </w:p>
        </w:tc>
        <w:tc>
          <w:tcPr>
            <w:tcW w:w="160" w:type="dxa"/>
            <w:vAlign w:val="bottom"/>
            <w:shd w:val="clear" w:color="auto" w:fill="CCEEFF"/>
          </w:tcPr>
          <w:p>
            <w:pPr>
              <w:jc w:val="right"/>
              <w:ind w:right="5"/>
              <w:spacing w:after="0" w:line="167" w:lineRule="exact"/>
              <w:rPr>
                <w:sz w:val="20"/>
                <w:szCs w:val="20"/>
                <w:color w:val="auto"/>
              </w:rPr>
            </w:pPr>
            <w:r>
              <w:rPr>
                <w:rFonts w:ascii="Arial" w:cs="Arial" w:eastAsia="Arial" w:hAnsi="Arial"/>
                <w:sz w:val="15"/>
                <w:szCs w:val="15"/>
                <w:color w:val="auto"/>
                <w:w w:val="71"/>
              </w:rPr>
              <w:t>$</w:t>
            </w:r>
          </w:p>
        </w:tc>
        <w:tc>
          <w:tcPr>
            <w:tcW w:w="600" w:type="dxa"/>
            <w:vAlign w:val="bottom"/>
            <w:gridSpan w:val="2"/>
            <w:shd w:val="clear" w:color="auto" w:fill="CCEEFF"/>
          </w:tcPr>
          <w:p>
            <w:pPr>
              <w:jc w:val="right"/>
              <w:ind w:right="40"/>
              <w:spacing w:after="0" w:line="167" w:lineRule="exact"/>
              <w:rPr>
                <w:sz w:val="20"/>
                <w:szCs w:val="20"/>
                <w:color w:val="auto"/>
              </w:rPr>
            </w:pPr>
            <w:r>
              <w:rPr>
                <w:rFonts w:ascii="Arial" w:cs="Arial" w:eastAsia="Arial" w:hAnsi="Arial"/>
                <w:sz w:val="15"/>
                <w:szCs w:val="15"/>
                <w:color w:val="auto"/>
              </w:rPr>
              <w:t>(0.57)</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6340" w:type="dxa"/>
            <w:vAlign w:val="bottom"/>
            <w:vMerge w:val="restart"/>
          </w:tcPr>
          <w:p>
            <w:pPr>
              <w:ind w:left="20"/>
              <w:spacing w:after="0"/>
              <w:rPr>
                <w:sz w:val="20"/>
                <w:szCs w:val="20"/>
                <w:color w:val="auto"/>
              </w:rPr>
            </w:pPr>
            <w:r>
              <w:rPr>
                <w:rFonts w:ascii="Arial" w:cs="Arial" w:eastAsia="Arial" w:hAnsi="Arial"/>
                <w:sz w:val="15"/>
                <w:szCs w:val="15"/>
                <w:color w:val="auto"/>
                <w:w w:val="93"/>
              </w:rPr>
              <w:t>Weighted-average shares used in computing net loss per share attributable to common stockholders,</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140" w:type="dxa"/>
            <w:vAlign w:val="bottom"/>
          </w:tcPr>
          <w:p>
            <w:pPr>
              <w:spacing w:after="0"/>
              <w:rPr>
                <w:sz w:val="13"/>
                <w:szCs w:val="13"/>
                <w:color w:val="auto"/>
              </w:rPr>
            </w:pPr>
          </w:p>
        </w:tc>
        <w:tc>
          <w:tcPr>
            <w:tcW w:w="634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1"/>
        </w:trPr>
        <w:tc>
          <w:tcPr>
            <w:tcW w:w="140" w:type="dxa"/>
            <w:vAlign w:val="bottom"/>
          </w:tcPr>
          <w:p>
            <w:pPr>
              <w:spacing w:after="0"/>
              <w:rPr>
                <w:sz w:val="16"/>
                <w:szCs w:val="16"/>
                <w:color w:val="auto"/>
              </w:rPr>
            </w:pPr>
          </w:p>
        </w:tc>
        <w:tc>
          <w:tcPr>
            <w:tcW w:w="6340" w:type="dxa"/>
            <w:vAlign w:val="bottom"/>
          </w:tcPr>
          <w:p>
            <w:pPr>
              <w:ind w:left="160"/>
              <w:spacing w:after="0"/>
              <w:rPr>
                <w:sz w:val="20"/>
                <w:szCs w:val="20"/>
                <w:color w:val="auto"/>
              </w:rPr>
            </w:pPr>
            <w:r>
              <w:rPr>
                <w:rFonts w:ascii="Arial" w:cs="Arial" w:eastAsia="Arial" w:hAnsi="Arial"/>
                <w:sz w:val="15"/>
                <w:szCs w:val="15"/>
                <w:color w:val="auto"/>
              </w:rPr>
              <w:t>basic and diluted</w:t>
            </w:r>
          </w:p>
        </w:tc>
        <w:tc>
          <w:tcPr>
            <w:tcW w:w="120" w:type="dxa"/>
            <w:vAlign w:val="bottom"/>
          </w:tcPr>
          <w:p>
            <w:pPr>
              <w:spacing w:after="0"/>
              <w:rPr>
                <w:sz w:val="16"/>
                <w:szCs w:val="16"/>
                <w:color w:val="auto"/>
              </w:rPr>
            </w:pPr>
          </w:p>
        </w:tc>
        <w:tc>
          <w:tcPr>
            <w:tcW w:w="780" w:type="dxa"/>
            <w:vAlign w:val="bottom"/>
            <w:gridSpan w:val="2"/>
          </w:tcPr>
          <w:p>
            <w:pPr>
              <w:jc w:val="right"/>
              <w:ind w:right="280"/>
              <w:spacing w:after="0"/>
              <w:rPr>
                <w:sz w:val="20"/>
                <w:szCs w:val="20"/>
                <w:color w:val="auto"/>
              </w:rPr>
            </w:pPr>
            <w:r>
              <w:rPr>
                <w:rFonts w:ascii="Arial" w:cs="Arial" w:eastAsia="Arial" w:hAnsi="Arial"/>
                <w:sz w:val="15"/>
                <w:szCs w:val="15"/>
                <w:color w:val="auto"/>
              </w:rPr>
              <w:t>184.5</w:t>
            </w:r>
          </w:p>
        </w:tc>
        <w:tc>
          <w:tcPr>
            <w:tcW w:w="120" w:type="dxa"/>
            <w:vAlign w:val="bottom"/>
          </w:tcPr>
          <w:p>
            <w:pPr>
              <w:spacing w:after="0"/>
              <w:rPr>
                <w:sz w:val="16"/>
                <w:szCs w:val="16"/>
                <w:color w:val="auto"/>
              </w:rPr>
            </w:pPr>
          </w:p>
        </w:tc>
        <w:tc>
          <w:tcPr>
            <w:tcW w:w="780" w:type="dxa"/>
            <w:vAlign w:val="bottom"/>
            <w:gridSpan w:val="2"/>
          </w:tcPr>
          <w:p>
            <w:pPr>
              <w:jc w:val="right"/>
              <w:ind w:right="340"/>
              <w:spacing w:after="0"/>
              <w:rPr>
                <w:sz w:val="20"/>
                <w:szCs w:val="20"/>
                <w:color w:val="auto"/>
              </w:rPr>
            </w:pPr>
            <w:r>
              <w:rPr>
                <w:rFonts w:ascii="Arial" w:cs="Arial" w:eastAsia="Arial" w:hAnsi="Arial"/>
                <w:sz w:val="15"/>
                <w:szCs w:val="15"/>
                <w:color w:val="auto"/>
              </w:rPr>
              <w:t>189.1</w:t>
            </w:r>
          </w:p>
        </w:tc>
        <w:tc>
          <w:tcPr>
            <w:tcW w:w="160" w:type="dxa"/>
            <w:vAlign w:val="bottom"/>
          </w:tcPr>
          <w:p>
            <w:pPr>
              <w:spacing w:after="0"/>
              <w:rPr>
                <w:sz w:val="16"/>
                <w:szCs w:val="16"/>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5"/>
                <w:szCs w:val="15"/>
                <w:color w:val="auto"/>
              </w:rPr>
              <w:t>195.9</w:t>
            </w: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63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140" w:type="dxa"/>
            <w:vAlign w:val="bottom"/>
          </w:tcPr>
          <w:p>
            <w:pPr>
              <w:spacing w:after="0"/>
              <w:rPr>
                <w:sz w:val="14"/>
                <w:szCs w:val="14"/>
                <w:color w:val="auto"/>
              </w:rPr>
            </w:pPr>
          </w:p>
        </w:tc>
        <w:tc>
          <w:tcPr>
            <w:tcW w:w="6340" w:type="dxa"/>
            <w:vAlign w:val="bottom"/>
            <w:shd w:val="clear" w:color="auto" w:fill="CCEEFF"/>
          </w:tcPr>
          <w:p>
            <w:pPr>
              <w:ind w:left="20"/>
              <w:spacing w:after="0" w:line="167" w:lineRule="exact"/>
              <w:rPr>
                <w:sz w:val="20"/>
                <w:szCs w:val="20"/>
                <w:color w:val="auto"/>
              </w:rPr>
            </w:pPr>
            <w:r>
              <w:rPr>
                <w:rFonts w:ascii="Arial" w:cs="Arial" w:eastAsia="Arial" w:hAnsi="Arial"/>
                <w:sz w:val="15"/>
                <w:szCs w:val="15"/>
                <w:color w:val="auto"/>
              </w:rPr>
              <w:t>Pro forma net loss per share attributable to common stockholders, basic and diluted</w:t>
            </w:r>
            <w:r>
              <w:rPr>
                <w:rFonts w:ascii="Arial" w:cs="Arial" w:eastAsia="Arial" w:hAnsi="Arial"/>
                <w:sz w:val="12"/>
                <w:szCs w:val="12"/>
                <w:color w:val="auto"/>
              </w:rPr>
              <w:t>(2)</w:t>
            </w:r>
          </w:p>
        </w:tc>
        <w:tc>
          <w:tcPr>
            <w:tcW w:w="12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60" w:type="dxa"/>
            <w:vAlign w:val="bottom"/>
            <w:shd w:val="clear" w:color="auto" w:fill="CCEEFF"/>
          </w:tcPr>
          <w:p>
            <w:pPr>
              <w:jc w:val="right"/>
              <w:ind w:right="5"/>
              <w:spacing w:after="0" w:line="167" w:lineRule="exact"/>
              <w:rPr>
                <w:sz w:val="20"/>
                <w:szCs w:val="20"/>
                <w:color w:val="auto"/>
              </w:rPr>
            </w:pPr>
            <w:r>
              <w:rPr>
                <w:rFonts w:ascii="Arial" w:cs="Arial" w:eastAsia="Arial" w:hAnsi="Arial"/>
                <w:sz w:val="15"/>
                <w:szCs w:val="15"/>
                <w:color w:val="auto"/>
                <w:w w:val="71"/>
              </w:rPr>
              <w:t>$</w:t>
            </w:r>
          </w:p>
        </w:tc>
        <w:tc>
          <w:tcPr>
            <w:tcW w:w="600" w:type="dxa"/>
            <w:vAlign w:val="bottom"/>
            <w:gridSpan w:val="2"/>
            <w:shd w:val="clear" w:color="auto" w:fill="CCEEFF"/>
          </w:tcPr>
          <w:p>
            <w:pPr>
              <w:jc w:val="right"/>
              <w:ind w:right="40"/>
              <w:spacing w:after="0" w:line="167" w:lineRule="exact"/>
              <w:rPr>
                <w:sz w:val="20"/>
                <w:szCs w:val="20"/>
                <w:color w:val="auto"/>
              </w:rPr>
            </w:pPr>
            <w:r>
              <w:rPr>
                <w:rFonts w:ascii="Arial" w:cs="Arial" w:eastAsia="Arial" w:hAnsi="Arial"/>
                <w:sz w:val="15"/>
                <w:szCs w:val="15"/>
                <w:color w:val="auto"/>
              </w:rPr>
              <w:t>(0.31)</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6340" w:type="dxa"/>
            <w:vAlign w:val="bottom"/>
            <w:vMerge w:val="restart"/>
          </w:tcPr>
          <w:p>
            <w:pPr>
              <w:ind w:left="20"/>
              <w:spacing w:after="0"/>
              <w:rPr>
                <w:sz w:val="20"/>
                <w:szCs w:val="20"/>
                <w:color w:val="auto"/>
              </w:rPr>
            </w:pPr>
            <w:r>
              <w:rPr>
                <w:rFonts w:ascii="Arial" w:cs="Arial" w:eastAsia="Arial" w:hAnsi="Arial"/>
                <w:sz w:val="15"/>
                <w:szCs w:val="15"/>
                <w:color w:val="auto"/>
                <w:w w:val="97"/>
              </w:rPr>
              <w:t>Weighted-average shares used in computing pro forma net loss per share attributable to common</w:t>
            </w: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140" w:type="dxa"/>
            <w:vAlign w:val="bottom"/>
          </w:tcPr>
          <w:p>
            <w:pPr>
              <w:spacing w:after="0"/>
              <w:rPr>
                <w:sz w:val="13"/>
                <w:szCs w:val="13"/>
                <w:color w:val="auto"/>
              </w:rPr>
            </w:pPr>
          </w:p>
        </w:tc>
        <w:tc>
          <w:tcPr>
            <w:tcW w:w="634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1"/>
        </w:trPr>
        <w:tc>
          <w:tcPr>
            <w:tcW w:w="140" w:type="dxa"/>
            <w:vAlign w:val="bottom"/>
          </w:tcPr>
          <w:p>
            <w:pPr>
              <w:spacing w:after="0"/>
              <w:rPr>
                <w:sz w:val="16"/>
                <w:szCs w:val="16"/>
                <w:color w:val="auto"/>
              </w:rPr>
            </w:pPr>
          </w:p>
        </w:tc>
        <w:tc>
          <w:tcPr>
            <w:tcW w:w="6340" w:type="dxa"/>
            <w:vAlign w:val="bottom"/>
          </w:tcPr>
          <w:p>
            <w:pPr>
              <w:ind w:left="160"/>
              <w:spacing w:after="0"/>
              <w:rPr>
                <w:sz w:val="20"/>
                <w:szCs w:val="20"/>
                <w:color w:val="auto"/>
              </w:rPr>
            </w:pPr>
            <w:r>
              <w:rPr>
                <w:rFonts w:ascii="Arial" w:cs="Arial" w:eastAsia="Arial" w:hAnsi="Arial"/>
                <w:sz w:val="15"/>
                <w:szCs w:val="15"/>
                <w:color w:val="auto"/>
              </w:rPr>
              <w:t>stockholders, basic and diluted</w:t>
            </w: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5"/>
                <w:szCs w:val="15"/>
                <w:color w:val="auto"/>
              </w:rPr>
              <w:t>358.6</w:t>
            </w: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6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140" w:type="dxa"/>
            <w:vAlign w:val="bottom"/>
            <w:tcBorders>
              <w:bottom w:val="single" w:sz="8" w:color="auto"/>
            </w:tcBorders>
          </w:tcPr>
          <w:p>
            <w:pPr>
              <w:spacing w:after="0"/>
              <w:rPr>
                <w:sz w:val="16"/>
                <w:szCs w:val="16"/>
                <w:color w:val="auto"/>
              </w:rPr>
            </w:pPr>
          </w:p>
        </w:tc>
        <w:tc>
          <w:tcPr>
            <w:tcW w:w="63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502"/>
        </w:trPr>
        <w:tc>
          <w:tcPr>
            <w:tcW w:w="6480" w:type="dxa"/>
            <w:vAlign w:val="bottom"/>
            <w:gridSpan w:val="2"/>
          </w:tcPr>
          <w:p>
            <w:pPr>
              <w:jc w:val="right"/>
              <w:ind w:right="1745"/>
              <w:spacing w:after="0"/>
              <w:rPr>
                <w:sz w:val="20"/>
                <w:szCs w:val="20"/>
                <w:color w:val="auto"/>
              </w:rPr>
            </w:pPr>
            <w:r>
              <w:rPr>
                <w:rFonts w:ascii="Arial" w:cs="Arial" w:eastAsia="Arial" w:hAnsi="Arial"/>
                <w:sz w:val="15"/>
                <w:szCs w:val="15"/>
                <w:color w:val="auto"/>
              </w:rPr>
              <w:t>12</w:t>
            </w: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320"/>
          </w:cols>
          <w:pgMar w:left="240" w:top="407" w:right="1339" w:bottom="1440" w:gutter="0" w:footer="0" w:header="0"/>
        </w:sectPr>
      </w:pPr>
    </w:p>
    <w:bookmarkStart w:id="19" w:name="page20"/>
    <w:bookmarkEnd w:id="19"/>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133350</wp:posOffset>
            </wp:positionH>
            <wp:positionV relativeFrom="page">
              <wp:posOffset>88900</wp:posOffset>
            </wp:positionV>
            <wp:extent cx="7308850" cy="342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308850" cy="34290"/>
                    </a:xfrm>
                    <a:prstGeom prst="rect">
                      <a:avLst/>
                    </a:prstGeom>
                    <a:noFill/>
                  </pic:spPr>
                </pic:pic>
              </a:graphicData>
            </a:graphic>
          </wp:anchor>
        </w:drawing>
      </w:r>
      <w:hyperlink w:anchor="page7">
        <w:r>
          <w:rPr>
            <w:rFonts w:ascii="Arial" w:cs="Arial" w:eastAsia="Arial" w:hAnsi="Arial"/>
            <w:sz w:val="15"/>
            <w:szCs w:val="15"/>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707390</wp:posOffset>
            </wp:positionH>
            <wp:positionV relativeFrom="paragraph">
              <wp:posOffset>168910</wp:posOffset>
            </wp:positionV>
            <wp:extent cx="5849620" cy="5376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849620" cy="5376545"/>
                    </a:xfrm>
                    <a:prstGeom prst="rect">
                      <a:avLst/>
                    </a:prstGeom>
                    <a:noFill/>
                  </pic:spPr>
                </pic:pic>
              </a:graphicData>
            </a:graphic>
          </wp:anchor>
        </w:drawing>
      </w:r>
    </w:p>
    <w:p>
      <w:pPr>
        <w:spacing w:after="0" w:line="308" w:lineRule="exact"/>
        <w:rPr>
          <w:sz w:val="20"/>
          <w:szCs w:val="20"/>
          <w:color w:val="auto"/>
        </w:rPr>
      </w:pPr>
    </w:p>
    <w:p>
      <w:pPr>
        <w:ind w:left="1520" w:hanging="255"/>
        <w:spacing w:after="0"/>
        <w:tabs>
          <w:tab w:leader="none" w:pos="1520" w:val="left"/>
        </w:tabs>
        <w:numPr>
          <w:ilvl w:val="0"/>
          <w:numId w:val="11"/>
        </w:numPr>
        <w:rPr>
          <w:rFonts w:ascii="Arial" w:cs="Arial" w:eastAsia="Arial" w:hAnsi="Arial"/>
          <w:sz w:val="23"/>
          <w:szCs w:val="23"/>
          <w:color w:val="auto"/>
          <w:vertAlign w:val="superscript"/>
        </w:rPr>
      </w:pPr>
      <w:r>
        <w:rPr>
          <w:rFonts w:ascii="Arial" w:cs="Arial" w:eastAsia="Arial" w:hAnsi="Arial"/>
          <w:sz w:val="14"/>
          <w:szCs w:val="14"/>
          <w:color w:val="auto"/>
        </w:rPr>
        <w:t>Includes stock-based compensation as follows:</w:t>
      </w:r>
    </w:p>
    <w:p>
      <w:pPr>
        <w:spacing w:after="0" w:line="189" w:lineRule="exact"/>
        <w:rPr>
          <w:sz w:val="20"/>
          <w:szCs w:val="20"/>
          <w:color w:val="auto"/>
        </w:rPr>
      </w:pPr>
    </w:p>
    <w:tbl>
      <w:tblPr>
        <w:tblLayout w:type="fixed"/>
        <w:tblInd w:w="1620" w:type="dxa"/>
        <w:tblCellMar>
          <w:top w:w="0" w:type="dxa"/>
          <w:left w:w="0" w:type="dxa"/>
          <w:bottom w:w="0" w:type="dxa"/>
          <w:right w:w="0" w:type="dxa"/>
        </w:tblCellMar>
      </w:tblPr>
      <w:tr>
        <w:trPr>
          <w:trHeight w:val="144"/>
        </w:trPr>
        <w:tc>
          <w:tcPr>
            <w:tcW w:w="20" w:type="dxa"/>
            <w:vAlign w:val="bottom"/>
          </w:tcPr>
          <w:p>
            <w:pPr>
              <w:spacing w:after="0"/>
              <w:rPr>
                <w:sz w:val="12"/>
                <w:szCs w:val="12"/>
                <w:color w:val="auto"/>
              </w:rPr>
            </w:pPr>
          </w:p>
        </w:tc>
        <w:tc>
          <w:tcPr>
            <w:tcW w:w="402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760" w:type="dxa"/>
            <w:vAlign w:val="bottom"/>
            <w:gridSpan w:val="9"/>
          </w:tcPr>
          <w:p>
            <w:pPr>
              <w:jc w:val="center"/>
              <w:ind w:right="100"/>
              <w:spacing w:after="0"/>
              <w:rPr>
                <w:sz w:val="20"/>
                <w:szCs w:val="20"/>
                <w:color w:val="auto"/>
              </w:rPr>
            </w:pPr>
            <w:r>
              <w:rPr>
                <w:rFonts w:ascii="Arial" w:cs="Arial" w:eastAsia="Arial" w:hAnsi="Arial"/>
                <w:sz w:val="12"/>
                <w:szCs w:val="12"/>
                <w:b w:val="1"/>
                <w:bCs w:val="1"/>
                <w:color w:val="auto"/>
                <w:w w:val="88"/>
              </w:rPr>
              <w:t>Year ended December 31,</w:t>
            </w:r>
          </w:p>
        </w:tc>
      </w:tr>
      <w:tr>
        <w:trPr>
          <w:trHeight w:val="115"/>
        </w:trPr>
        <w:tc>
          <w:tcPr>
            <w:tcW w:w="20" w:type="dxa"/>
            <w:vAlign w:val="bottom"/>
          </w:tcPr>
          <w:p>
            <w:pPr>
              <w:spacing w:after="0"/>
              <w:rPr>
                <w:sz w:val="10"/>
                <w:szCs w:val="10"/>
                <w:color w:val="auto"/>
              </w:rPr>
            </w:pPr>
          </w:p>
        </w:tc>
        <w:tc>
          <w:tcPr>
            <w:tcW w:w="4020" w:type="dxa"/>
            <w:vAlign w:val="bottom"/>
          </w:tcPr>
          <w:p>
            <w:pPr>
              <w:spacing w:after="0"/>
              <w:rPr>
                <w:sz w:val="10"/>
                <w:szCs w:val="10"/>
                <w:color w:val="auto"/>
              </w:rPr>
            </w:pPr>
          </w:p>
        </w:tc>
        <w:tc>
          <w:tcPr>
            <w:tcW w:w="2300" w:type="dxa"/>
            <w:vAlign w:val="bottom"/>
          </w:tcPr>
          <w:p>
            <w:pPr>
              <w:spacing w:after="0"/>
              <w:rPr>
                <w:sz w:val="10"/>
                <w:szCs w:val="10"/>
                <w:color w:val="auto"/>
              </w:rPr>
            </w:pPr>
          </w:p>
        </w:tc>
        <w:tc>
          <w:tcPr>
            <w:tcW w:w="320" w:type="dxa"/>
            <w:vAlign w:val="bottom"/>
            <w:tcBorders>
              <w:top w:val="single" w:sz="8" w:color="auto"/>
              <w:bottom w:val="single" w:sz="8" w:color="auto"/>
            </w:tcBorders>
            <w:gridSpan w:val="2"/>
          </w:tcPr>
          <w:p>
            <w:pPr>
              <w:jc w:val="right"/>
              <w:spacing w:after="0" w:line="115" w:lineRule="exact"/>
              <w:rPr>
                <w:sz w:val="20"/>
                <w:szCs w:val="20"/>
                <w:color w:val="auto"/>
              </w:rPr>
            </w:pPr>
            <w:r>
              <w:rPr>
                <w:rFonts w:ascii="Arial" w:cs="Arial" w:eastAsia="Arial" w:hAnsi="Arial"/>
                <w:sz w:val="12"/>
                <w:szCs w:val="12"/>
                <w:b w:val="1"/>
                <w:bCs w:val="1"/>
                <w:color w:val="auto"/>
                <w:w w:val="97"/>
              </w:rPr>
              <w:t>2015</w:t>
            </w:r>
          </w:p>
        </w:tc>
        <w:tc>
          <w:tcPr>
            <w:tcW w:w="340" w:type="dxa"/>
            <w:vAlign w:val="bottom"/>
            <w:tcBorders>
              <w:top w:val="single" w:sz="8" w:color="auto"/>
              <w:bottom w:val="single" w:sz="8" w:color="auto"/>
            </w:tcBorders>
          </w:tcPr>
          <w:p>
            <w:pPr>
              <w:spacing w:after="0"/>
              <w:rPr>
                <w:sz w:val="10"/>
                <w:szCs w:val="10"/>
                <w:color w:val="auto"/>
              </w:rPr>
            </w:pPr>
          </w:p>
        </w:tc>
        <w:tc>
          <w:tcPr>
            <w:tcW w:w="80" w:type="dxa"/>
            <w:vAlign w:val="bottom"/>
            <w:tcBorders>
              <w:top w:val="single" w:sz="8" w:color="auto"/>
              <w:bottom w:val="single" w:sz="8" w:color="auto"/>
            </w:tcBorders>
          </w:tcPr>
          <w:p>
            <w:pPr>
              <w:spacing w:after="0"/>
              <w:rPr>
                <w:sz w:val="10"/>
                <w:szCs w:val="10"/>
                <w:color w:val="auto"/>
              </w:rPr>
            </w:pPr>
          </w:p>
        </w:tc>
        <w:tc>
          <w:tcPr>
            <w:tcW w:w="320" w:type="dxa"/>
            <w:vAlign w:val="bottom"/>
            <w:tcBorders>
              <w:top w:val="single" w:sz="8" w:color="auto"/>
              <w:bottom w:val="single" w:sz="8" w:color="auto"/>
            </w:tcBorders>
          </w:tcPr>
          <w:p>
            <w:pPr>
              <w:jc w:val="right"/>
              <w:ind w:right="14"/>
              <w:spacing w:after="0" w:line="115" w:lineRule="exact"/>
              <w:rPr>
                <w:sz w:val="20"/>
                <w:szCs w:val="20"/>
                <w:color w:val="auto"/>
              </w:rPr>
            </w:pPr>
            <w:r>
              <w:rPr>
                <w:rFonts w:ascii="Arial" w:cs="Arial" w:eastAsia="Arial" w:hAnsi="Arial"/>
                <w:sz w:val="12"/>
                <w:szCs w:val="12"/>
                <w:b w:val="1"/>
                <w:bCs w:val="1"/>
                <w:color w:val="auto"/>
                <w:w w:val="82"/>
              </w:rPr>
              <w:t>2016</w:t>
            </w:r>
          </w:p>
        </w:tc>
        <w:tc>
          <w:tcPr>
            <w:tcW w:w="240" w:type="dxa"/>
            <w:vAlign w:val="bottom"/>
            <w:tcBorders>
              <w:top w:val="single" w:sz="8" w:color="auto"/>
              <w:bottom w:val="single" w:sz="8" w:color="auto"/>
            </w:tcBorders>
          </w:tcPr>
          <w:p>
            <w:pPr>
              <w:spacing w:after="0"/>
              <w:rPr>
                <w:sz w:val="10"/>
                <w:szCs w:val="10"/>
                <w:color w:val="auto"/>
              </w:rPr>
            </w:pPr>
          </w:p>
        </w:tc>
        <w:tc>
          <w:tcPr>
            <w:tcW w:w="100" w:type="dxa"/>
            <w:vAlign w:val="bottom"/>
            <w:tcBorders>
              <w:top w:val="single" w:sz="8" w:color="auto"/>
              <w:bottom w:val="single" w:sz="8" w:color="auto"/>
            </w:tcBorders>
          </w:tcPr>
          <w:p>
            <w:pPr>
              <w:spacing w:after="0"/>
              <w:rPr>
                <w:sz w:val="10"/>
                <w:szCs w:val="10"/>
                <w:color w:val="auto"/>
              </w:rPr>
            </w:pPr>
          </w:p>
        </w:tc>
        <w:tc>
          <w:tcPr>
            <w:tcW w:w="80" w:type="dxa"/>
            <w:vAlign w:val="bottom"/>
            <w:tcBorders>
              <w:top w:val="single" w:sz="8" w:color="auto"/>
              <w:bottom w:val="single" w:sz="8" w:color="auto"/>
            </w:tcBorders>
          </w:tcPr>
          <w:p>
            <w:pPr>
              <w:spacing w:after="0"/>
              <w:rPr>
                <w:sz w:val="10"/>
                <w:szCs w:val="10"/>
                <w:color w:val="auto"/>
              </w:rPr>
            </w:pPr>
          </w:p>
        </w:tc>
        <w:tc>
          <w:tcPr>
            <w:tcW w:w="320" w:type="dxa"/>
            <w:vAlign w:val="bottom"/>
            <w:tcBorders>
              <w:top w:val="single" w:sz="8" w:color="auto"/>
              <w:bottom w:val="single" w:sz="8" w:color="auto"/>
            </w:tcBorders>
          </w:tcPr>
          <w:p>
            <w:pPr>
              <w:jc w:val="right"/>
              <w:ind w:right="14"/>
              <w:spacing w:after="0" w:line="115" w:lineRule="exact"/>
              <w:rPr>
                <w:sz w:val="20"/>
                <w:szCs w:val="20"/>
                <w:color w:val="auto"/>
              </w:rPr>
            </w:pPr>
            <w:r>
              <w:rPr>
                <w:rFonts w:ascii="Arial" w:cs="Arial" w:eastAsia="Arial" w:hAnsi="Arial"/>
                <w:sz w:val="12"/>
                <w:szCs w:val="12"/>
                <w:b w:val="1"/>
                <w:bCs w:val="1"/>
                <w:color w:val="auto"/>
                <w:w w:val="82"/>
              </w:rPr>
              <w:t>2017</w:t>
            </w:r>
          </w:p>
        </w:tc>
        <w:tc>
          <w:tcPr>
            <w:tcW w:w="40" w:type="dxa"/>
            <w:vAlign w:val="bottom"/>
          </w:tcPr>
          <w:p>
            <w:pPr>
              <w:spacing w:after="0"/>
              <w:rPr>
                <w:sz w:val="10"/>
                <w:szCs w:val="10"/>
                <w:color w:val="auto"/>
              </w:rPr>
            </w:pPr>
          </w:p>
        </w:tc>
      </w:tr>
      <w:tr>
        <w:trPr>
          <w:trHeight w:val="115"/>
        </w:trPr>
        <w:tc>
          <w:tcPr>
            <w:tcW w:w="20" w:type="dxa"/>
            <w:vAlign w:val="bottom"/>
          </w:tcPr>
          <w:p>
            <w:pPr>
              <w:spacing w:after="0"/>
              <w:rPr>
                <w:sz w:val="10"/>
                <w:szCs w:val="10"/>
                <w:color w:val="auto"/>
              </w:rPr>
            </w:pPr>
          </w:p>
        </w:tc>
        <w:tc>
          <w:tcPr>
            <w:tcW w:w="4020" w:type="dxa"/>
            <w:vAlign w:val="bottom"/>
          </w:tcPr>
          <w:p>
            <w:pPr>
              <w:spacing w:after="0"/>
              <w:rPr>
                <w:sz w:val="10"/>
                <w:szCs w:val="10"/>
                <w:color w:val="auto"/>
              </w:rPr>
            </w:pPr>
          </w:p>
        </w:tc>
        <w:tc>
          <w:tcPr>
            <w:tcW w:w="23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980" w:type="dxa"/>
            <w:vAlign w:val="bottom"/>
            <w:gridSpan w:val="4"/>
          </w:tcPr>
          <w:p>
            <w:pPr>
              <w:jc w:val="center"/>
              <w:ind w:left="115"/>
              <w:spacing w:after="0" w:line="115" w:lineRule="exact"/>
              <w:rPr>
                <w:sz w:val="20"/>
                <w:szCs w:val="20"/>
                <w:color w:val="auto"/>
              </w:rPr>
            </w:pPr>
            <w:r>
              <w:rPr>
                <w:rFonts w:ascii="Arial" w:cs="Arial" w:eastAsia="Arial" w:hAnsi="Arial"/>
                <w:sz w:val="12"/>
                <w:szCs w:val="12"/>
                <w:i w:val="1"/>
                <w:iCs w:val="1"/>
                <w:color w:val="auto"/>
                <w:w w:val="97"/>
              </w:rPr>
              <w:t>(In millions)</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0" w:type="dxa"/>
            <w:vAlign w:val="bottom"/>
          </w:tcPr>
          <w:p>
            <w:pPr>
              <w:spacing w:after="0"/>
              <w:rPr>
                <w:sz w:val="10"/>
                <w:szCs w:val="10"/>
                <w:color w:val="auto"/>
              </w:rPr>
            </w:pPr>
          </w:p>
        </w:tc>
      </w:tr>
      <w:tr>
        <w:trPr>
          <w:trHeight w:val="169"/>
        </w:trPr>
        <w:tc>
          <w:tcPr>
            <w:tcW w:w="20" w:type="dxa"/>
            <w:vAlign w:val="bottom"/>
          </w:tcPr>
          <w:p>
            <w:pPr>
              <w:spacing w:after="0"/>
              <w:rPr>
                <w:sz w:val="14"/>
                <w:szCs w:val="14"/>
                <w:color w:val="auto"/>
              </w:rPr>
            </w:pPr>
          </w:p>
        </w:tc>
        <w:tc>
          <w:tcPr>
            <w:tcW w:w="4020" w:type="dxa"/>
            <w:vAlign w:val="bottom"/>
            <w:shd w:val="clear" w:color="auto" w:fill="CCEEFF"/>
          </w:tcPr>
          <w:p>
            <w:pPr>
              <w:ind w:left="260"/>
              <w:spacing w:after="0"/>
              <w:rPr>
                <w:sz w:val="20"/>
                <w:szCs w:val="20"/>
                <w:color w:val="auto"/>
              </w:rPr>
            </w:pPr>
            <w:r>
              <w:rPr>
                <w:rFonts w:ascii="Arial" w:cs="Arial" w:eastAsia="Arial" w:hAnsi="Arial"/>
                <w:sz w:val="14"/>
                <w:szCs w:val="14"/>
                <w:color w:val="auto"/>
              </w:rPr>
              <w:t>Cost of revenue</w:t>
            </w:r>
          </w:p>
        </w:tc>
        <w:tc>
          <w:tcPr>
            <w:tcW w:w="23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8.2</w:t>
            </w:r>
          </w:p>
        </w:tc>
        <w:tc>
          <w:tcPr>
            <w:tcW w:w="240" w:type="dxa"/>
            <w:vAlign w:val="bottom"/>
            <w:shd w:val="clear" w:color="auto" w:fill="CCEEFF"/>
          </w:tcPr>
          <w:p>
            <w:pPr>
              <w:spacing w:after="0"/>
              <w:rPr>
                <w:sz w:val="14"/>
                <w:szCs w:val="14"/>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12.2</w:t>
            </w:r>
          </w:p>
        </w:tc>
        <w:tc>
          <w:tcPr>
            <w:tcW w:w="40" w:type="dxa"/>
            <w:vAlign w:val="bottom"/>
            <w:shd w:val="clear" w:color="auto" w:fill="CCEEFF"/>
          </w:tcPr>
          <w:p>
            <w:pPr>
              <w:spacing w:after="0"/>
              <w:rPr>
                <w:sz w:val="14"/>
                <w:szCs w:val="14"/>
                <w:color w:val="auto"/>
              </w:rPr>
            </w:pPr>
          </w:p>
        </w:tc>
      </w:tr>
      <w:tr>
        <w:trPr>
          <w:trHeight w:val="169"/>
        </w:trPr>
        <w:tc>
          <w:tcPr>
            <w:tcW w:w="20" w:type="dxa"/>
            <w:vAlign w:val="bottom"/>
          </w:tcPr>
          <w:p>
            <w:pPr>
              <w:spacing w:after="0"/>
              <w:rPr>
                <w:sz w:val="14"/>
                <w:szCs w:val="14"/>
                <w:color w:val="auto"/>
              </w:rPr>
            </w:pPr>
          </w:p>
        </w:tc>
        <w:tc>
          <w:tcPr>
            <w:tcW w:w="4020" w:type="dxa"/>
            <w:vAlign w:val="bottom"/>
          </w:tcPr>
          <w:p>
            <w:pPr>
              <w:ind w:left="260"/>
              <w:spacing w:after="0"/>
              <w:rPr>
                <w:sz w:val="20"/>
                <w:szCs w:val="20"/>
                <w:color w:val="auto"/>
              </w:rPr>
            </w:pPr>
            <w:r>
              <w:rPr>
                <w:rFonts w:ascii="Arial" w:cs="Arial" w:eastAsia="Arial" w:hAnsi="Arial"/>
                <w:sz w:val="14"/>
                <w:szCs w:val="14"/>
                <w:color w:val="auto"/>
              </w:rPr>
              <w:t>Research and development</w:t>
            </w:r>
          </w:p>
        </w:tc>
        <w:tc>
          <w:tcPr>
            <w:tcW w:w="2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jc w:val="right"/>
              <w:spacing w:after="0"/>
              <w:rPr>
                <w:sz w:val="20"/>
                <w:szCs w:val="20"/>
                <w:color w:val="auto"/>
              </w:rPr>
            </w:pPr>
            <w:r>
              <w:rPr>
                <w:rFonts w:ascii="Arial" w:cs="Arial" w:eastAsia="Arial" w:hAnsi="Arial"/>
                <w:sz w:val="14"/>
                <w:szCs w:val="14"/>
                <w:color w:val="auto"/>
                <w:w w:val="80"/>
              </w:rPr>
              <w:t>36.1</w:t>
            </w: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jc w:val="right"/>
              <w:spacing w:after="0"/>
              <w:rPr>
                <w:sz w:val="20"/>
                <w:szCs w:val="20"/>
                <w:color w:val="auto"/>
              </w:rPr>
            </w:pPr>
            <w:r>
              <w:rPr>
                <w:rFonts w:ascii="Arial" w:cs="Arial" w:eastAsia="Arial" w:hAnsi="Arial"/>
                <w:sz w:val="14"/>
                <w:szCs w:val="14"/>
                <w:color w:val="auto"/>
              </w:rPr>
              <w:t>72.7</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jc w:val="right"/>
              <w:spacing w:after="0"/>
              <w:rPr>
                <w:sz w:val="20"/>
                <w:szCs w:val="20"/>
                <w:color w:val="auto"/>
              </w:rPr>
            </w:pPr>
            <w:r>
              <w:rPr>
                <w:rFonts w:ascii="Arial" w:cs="Arial" w:eastAsia="Arial" w:hAnsi="Arial"/>
                <w:sz w:val="14"/>
                <w:szCs w:val="14"/>
                <w:color w:val="auto"/>
              </w:rPr>
              <w:t>93.1</w:t>
            </w:r>
          </w:p>
        </w:tc>
        <w:tc>
          <w:tcPr>
            <w:tcW w:w="40" w:type="dxa"/>
            <w:vAlign w:val="bottom"/>
          </w:tcPr>
          <w:p>
            <w:pPr>
              <w:spacing w:after="0"/>
              <w:rPr>
                <w:sz w:val="14"/>
                <w:szCs w:val="14"/>
                <w:color w:val="auto"/>
              </w:rPr>
            </w:pPr>
          </w:p>
        </w:tc>
      </w:tr>
      <w:tr>
        <w:trPr>
          <w:trHeight w:val="169"/>
        </w:trPr>
        <w:tc>
          <w:tcPr>
            <w:tcW w:w="20" w:type="dxa"/>
            <w:vAlign w:val="bottom"/>
          </w:tcPr>
          <w:p>
            <w:pPr>
              <w:spacing w:after="0"/>
              <w:rPr>
                <w:sz w:val="14"/>
                <w:szCs w:val="14"/>
                <w:color w:val="auto"/>
              </w:rPr>
            </w:pPr>
          </w:p>
        </w:tc>
        <w:tc>
          <w:tcPr>
            <w:tcW w:w="4020" w:type="dxa"/>
            <w:vAlign w:val="bottom"/>
            <w:shd w:val="clear" w:color="auto" w:fill="CCEEFF"/>
          </w:tcPr>
          <w:p>
            <w:pPr>
              <w:ind w:left="260"/>
              <w:spacing w:after="0"/>
              <w:rPr>
                <w:sz w:val="20"/>
                <w:szCs w:val="20"/>
                <w:color w:val="auto"/>
              </w:rPr>
            </w:pPr>
            <w:r>
              <w:rPr>
                <w:rFonts w:ascii="Arial" w:cs="Arial" w:eastAsia="Arial" w:hAnsi="Arial"/>
                <w:sz w:val="14"/>
                <w:szCs w:val="14"/>
                <w:color w:val="auto"/>
              </w:rPr>
              <w:t>Sales and marketing</w:t>
            </w:r>
          </w:p>
        </w:tc>
        <w:tc>
          <w:tcPr>
            <w:tcW w:w="23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80"/>
              </w:rPr>
              <w:t>19.8</w:t>
            </w:r>
          </w:p>
        </w:tc>
        <w:tc>
          <w:tcPr>
            <w:tcW w:w="3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44.6</w:t>
            </w:r>
          </w:p>
        </w:tc>
        <w:tc>
          <w:tcPr>
            <w:tcW w:w="2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33.7</w:t>
            </w:r>
          </w:p>
        </w:tc>
        <w:tc>
          <w:tcPr>
            <w:tcW w:w="40" w:type="dxa"/>
            <w:vAlign w:val="bottom"/>
            <w:shd w:val="clear" w:color="auto" w:fill="CCEEFF"/>
          </w:tcPr>
          <w:p>
            <w:pPr>
              <w:spacing w:after="0"/>
              <w:rPr>
                <w:sz w:val="14"/>
                <w:szCs w:val="14"/>
                <w:color w:val="auto"/>
              </w:rPr>
            </w:pPr>
          </w:p>
        </w:tc>
      </w:tr>
      <w:tr>
        <w:trPr>
          <w:trHeight w:val="172"/>
        </w:trPr>
        <w:tc>
          <w:tcPr>
            <w:tcW w:w="20" w:type="dxa"/>
            <w:vAlign w:val="bottom"/>
          </w:tcPr>
          <w:p>
            <w:pPr>
              <w:spacing w:after="0"/>
              <w:rPr>
                <w:sz w:val="14"/>
                <w:szCs w:val="14"/>
                <w:color w:val="auto"/>
              </w:rPr>
            </w:pPr>
          </w:p>
        </w:tc>
        <w:tc>
          <w:tcPr>
            <w:tcW w:w="4020" w:type="dxa"/>
            <w:vAlign w:val="bottom"/>
          </w:tcPr>
          <w:p>
            <w:pPr>
              <w:ind w:left="260"/>
              <w:spacing w:after="0"/>
              <w:rPr>
                <w:sz w:val="20"/>
                <w:szCs w:val="20"/>
                <w:color w:val="auto"/>
              </w:rPr>
            </w:pPr>
            <w:r>
              <w:rPr>
                <w:rFonts w:ascii="Arial" w:cs="Arial" w:eastAsia="Arial" w:hAnsi="Arial"/>
                <w:sz w:val="14"/>
                <w:szCs w:val="14"/>
                <w:color w:val="auto"/>
              </w:rPr>
              <w:t>General and administrative</w:t>
            </w:r>
          </w:p>
        </w:tc>
        <w:tc>
          <w:tcPr>
            <w:tcW w:w="23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7.6</w:t>
            </w:r>
          </w:p>
        </w:tc>
        <w:tc>
          <w:tcPr>
            <w:tcW w:w="3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22.1</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25.6</w:t>
            </w:r>
          </w:p>
        </w:tc>
        <w:tc>
          <w:tcPr>
            <w:tcW w:w="40" w:type="dxa"/>
            <w:vAlign w:val="bottom"/>
          </w:tcPr>
          <w:p>
            <w:pPr>
              <w:spacing w:after="0"/>
              <w:rPr>
                <w:sz w:val="14"/>
                <w:szCs w:val="14"/>
                <w:color w:val="auto"/>
              </w:rPr>
            </w:pPr>
          </w:p>
        </w:tc>
      </w:tr>
      <w:tr>
        <w:trPr>
          <w:trHeight w:val="169"/>
        </w:trPr>
        <w:tc>
          <w:tcPr>
            <w:tcW w:w="20" w:type="dxa"/>
            <w:vAlign w:val="bottom"/>
          </w:tcPr>
          <w:p>
            <w:pPr>
              <w:spacing w:after="0"/>
              <w:rPr>
                <w:sz w:val="14"/>
                <w:szCs w:val="14"/>
                <w:color w:val="auto"/>
              </w:rPr>
            </w:pPr>
          </w:p>
        </w:tc>
        <w:tc>
          <w:tcPr>
            <w:tcW w:w="4020" w:type="dxa"/>
            <w:vAlign w:val="bottom"/>
            <w:shd w:val="clear" w:color="auto" w:fill="CCEEFF"/>
          </w:tcPr>
          <w:p>
            <w:pPr>
              <w:spacing w:after="0"/>
              <w:rPr>
                <w:sz w:val="20"/>
                <w:szCs w:val="20"/>
                <w:color w:val="auto"/>
              </w:rPr>
            </w:pPr>
            <w:r>
              <w:rPr>
                <w:rFonts w:ascii="Arial" w:cs="Arial" w:eastAsia="Arial" w:hAnsi="Arial"/>
                <w:sz w:val="14"/>
                <w:szCs w:val="14"/>
                <w:color w:val="auto"/>
              </w:rPr>
              <w:t>Total stock-based compensation</w:t>
            </w:r>
          </w:p>
        </w:tc>
        <w:tc>
          <w:tcPr>
            <w:tcW w:w="2380" w:type="dxa"/>
            <w:vAlign w:val="bottom"/>
            <w:gridSpan w:val="2"/>
            <w:shd w:val="clear" w:color="auto" w:fill="CCEEFF"/>
          </w:tcPr>
          <w:p>
            <w:pPr>
              <w:jc w:val="right"/>
              <w:spacing w:after="0"/>
              <w:rPr>
                <w:sz w:val="20"/>
                <w:szCs w:val="20"/>
                <w:color w:val="auto"/>
              </w:rPr>
            </w:pPr>
            <w:r>
              <w:rPr>
                <w:rFonts w:ascii="Arial" w:cs="Arial" w:eastAsia="Arial" w:hAnsi="Arial"/>
                <w:sz w:val="14"/>
                <w:szCs w:val="14"/>
                <w:u w:val="single" w:color="auto"/>
                <w:color w:val="auto"/>
              </w:rPr>
              <w:t>$</w:t>
            </w:r>
          </w:p>
        </w:tc>
        <w:tc>
          <w:tcPr>
            <w:tcW w:w="2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80"/>
              </w:rPr>
              <w:t>66.1</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4"/>
                <w:szCs w:val="14"/>
                <w:u w:val="single" w:color="auto"/>
                <w:color w:val="auto"/>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85"/>
              </w:rPr>
              <w:t>147.6</w:t>
            </w:r>
          </w:p>
        </w:tc>
        <w:tc>
          <w:tcPr>
            <w:tcW w:w="240" w:type="dxa"/>
            <w:vAlign w:val="bottom"/>
            <w:shd w:val="clear" w:color="auto" w:fill="CCEEFF"/>
          </w:tcPr>
          <w:p>
            <w:pPr>
              <w:spacing w:after="0"/>
              <w:rPr>
                <w:sz w:val="14"/>
                <w:szCs w:val="14"/>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85"/>
              </w:rPr>
              <w:t>164.6</w:t>
            </w:r>
          </w:p>
        </w:tc>
        <w:tc>
          <w:tcPr>
            <w:tcW w:w="40" w:type="dxa"/>
            <w:vAlign w:val="bottom"/>
            <w:shd w:val="clear" w:color="auto" w:fill="CCEEFF"/>
          </w:tcPr>
          <w:p>
            <w:pPr>
              <w:spacing w:after="0"/>
              <w:rPr>
                <w:sz w:val="14"/>
                <w:szCs w:val="14"/>
                <w:color w:val="auto"/>
              </w:rPr>
            </w:pPr>
          </w:p>
        </w:tc>
      </w:tr>
      <w:tr>
        <w:trPr>
          <w:trHeight w:val="20"/>
        </w:trPr>
        <w:tc>
          <w:tcPr>
            <w:tcW w:w="2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6" w:lineRule="exact"/>
        <w:rPr>
          <w:sz w:val="20"/>
          <w:szCs w:val="20"/>
          <w:color w:val="auto"/>
        </w:rPr>
      </w:pPr>
    </w:p>
    <w:p>
      <w:pPr>
        <w:ind w:left="1520" w:right="119" w:hanging="255"/>
        <w:spacing w:after="0" w:line="209" w:lineRule="auto"/>
        <w:tabs>
          <w:tab w:leader="none" w:pos="1520" w:val="left"/>
        </w:tabs>
        <w:numPr>
          <w:ilvl w:val="0"/>
          <w:numId w:val="12"/>
        </w:numPr>
        <w:rPr>
          <w:rFonts w:ascii="Arial" w:cs="Arial" w:eastAsia="Arial" w:hAnsi="Arial"/>
          <w:sz w:val="23"/>
          <w:szCs w:val="23"/>
          <w:color w:val="auto"/>
          <w:vertAlign w:val="superscript"/>
        </w:rPr>
      </w:pPr>
      <w:r>
        <w:rPr>
          <w:rFonts w:ascii="Arial" w:cs="Arial" w:eastAsia="Arial" w:hAnsi="Arial"/>
          <w:sz w:val="14"/>
          <w:szCs w:val="14"/>
          <w:color w:val="auto"/>
        </w:rPr>
        <w:t>See Note 12, “Net Loss Per Share” to our consolidated financial statements included elsewhere in this prospectus for an explanation of the method used to calculate basic and diluted net loss per share attributable to common stockholders and Note 13, “Unaudited Pro Forma Net Loss Per Share” for an explanation of the method used to calculate pro forma net loss per share attributable to common stockholders.</w:t>
      </w:r>
    </w:p>
    <w:p>
      <w:pPr>
        <w:spacing w:after="0" w:line="261" w:lineRule="exact"/>
        <w:rPr>
          <w:sz w:val="20"/>
          <w:szCs w:val="20"/>
          <w:color w:val="auto"/>
        </w:rPr>
      </w:pPr>
    </w:p>
    <w:p>
      <w:pPr>
        <w:ind w:left="1260"/>
        <w:spacing w:after="0"/>
        <w:rPr>
          <w:sz w:val="20"/>
          <w:szCs w:val="20"/>
          <w:color w:val="auto"/>
        </w:rPr>
      </w:pPr>
      <w:r>
        <w:rPr>
          <w:rFonts w:ascii="Arial" w:cs="Arial" w:eastAsia="Arial" w:hAnsi="Arial"/>
          <w:sz w:val="15"/>
          <w:szCs w:val="15"/>
          <w:b w:val="1"/>
          <w:bCs w:val="1"/>
          <w:color w:val="auto"/>
        </w:rPr>
        <w:t>Consolidated Balance Sheet Data</w:t>
      </w:r>
    </w:p>
    <w:p>
      <w:pPr>
        <w:spacing w:after="0" w:line="206" w:lineRule="exact"/>
        <w:rPr>
          <w:sz w:val="20"/>
          <w:szCs w:val="20"/>
          <w:color w:val="auto"/>
        </w:rPr>
      </w:pPr>
    </w:p>
    <w:tbl>
      <w:tblPr>
        <w:tblLayout w:type="fixed"/>
        <w:tblInd w:w="1980" w:type="dxa"/>
        <w:tblCellMar>
          <w:top w:w="0" w:type="dxa"/>
          <w:left w:w="0" w:type="dxa"/>
          <w:bottom w:w="0" w:type="dxa"/>
          <w:right w:w="0" w:type="dxa"/>
        </w:tblCellMar>
      </w:tblPr>
      <w:tr>
        <w:trPr>
          <w:trHeight w:val="144"/>
        </w:trPr>
        <w:tc>
          <w:tcPr>
            <w:tcW w:w="4340" w:type="dxa"/>
            <w:vAlign w:val="bottom"/>
          </w:tcPr>
          <w:p>
            <w:pPr>
              <w:spacing w:after="0"/>
              <w:rPr>
                <w:sz w:val="12"/>
                <w:szCs w:val="12"/>
                <w:color w:val="auto"/>
              </w:rPr>
            </w:pPr>
          </w:p>
        </w:tc>
        <w:tc>
          <w:tcPr>
            <w:tcW w:w="740" w:type="dxa"/>
            <w:vAlign w:val="bottom"/>
            <w:tcBorders>
              <w:bottom w:val="single" w:sz="8" w:color="auto"/>
            </w:tcBorders>
          </w:tcPr>
          <w:p>
            <w:pPr>
              <w:spacing w:after="0"/>
              <w:rPr>
                <w:sz w:val="12"/>
                <w:szCs w:val="12"/>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As of December 31, 2017</w:t>
            </w:r>
          </w:p>
        </w:tc>
        <w:tc>
          <w:tcPr>
            <w:tcW w:w="14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96"/>
        </w:trPr>
        <w:tc>
          <w:tcPr>
            <w:tcW w:w="4340" w:type="dxa"/>
            <w:vAlign w:val="bottom"/>
          </w:tcPr>
          <w:p>
            <w:pPr>
              <w:spacing w:after="0"/>
              <w:rPr>
                <w:sz w:val="8"/>
                <w:szCs w:val="8"/>
                <w:color w:val="auto"/>
              </w:rPr>
            </w:pPr>
          </w:p>
        </w:tc>
        <w:tc>
          <w:tcPr>
            <w:tcW w:w="740" w:type="dxa"/>
            <w:vAlign w:val="bottom"/>
            <w:vMerge w:val="restart"/>
          </w:tcPr>
          <w:p>
            <w:pPr>
              <w:jc w:val="right"/>
              <w:ind w:right="227"/>
              <w:spacing w:after="0"/>
              <w:rPr>
                <w:sz w:val="20"/>
                <w:szCs w:val="20"/>
                <w:color w:val="auto"/>
              </w:rPr>
            </w:pPr>
            <w:r>
              <w:rPr>
                <w:rFonts w:ascii="Arial" w:cs="Arial" w:eastAsia="Arial" w:hAnsi="Arial"/>
                <w:sz w:val="12"/>
                <w:szCs w:val="12"/>
                <w:b w:val="1"/>
                <w:bCs w:val="1"/>
                <w:color w:val="auto"/>
              </w:rPr>
              <w:t>Actual</w:t>
            </w:r>
          </w:p>
        </w:tc>
        <w:tc>
          <w:tcPr>
            <w:tcW w:w="1480" w:type="dxa"/>
            <w:vAlign w:val="bottom"/>
          </w:tcPr>
          <w:p>
            <w:pPr>
              <w:jc w:val="right"/>
              <w:ind w:right="670"/>
              <w:spacing w:after="0" w:line="96" w:lineRule="exact"/>
              <w:rPr>
                <w:sz w:val="20"/>
                <w:szCs w:val="20"/>
                <w:color w:val="auto"/>
              </w:rPr>
            </w:pPr>
            <w:r>
              <w:rPr>
                <w:rFonts w:ascii="Arial" w:cs="Arial" w:eastAsia="Arial" w:hAnsi="Arial"/>
                <w:sz w:val="11"/>
                <w:szCs w:val="11"/>
                <w:b w:val="1"/>
                <w:bCs w:val="1"/>
                <w:color w:val="auto"/>
              </w:rPr>
              <w:t>Pro</w:t>
            </w:r>
          </w:p>
        </w:tc>
        <w:tc>
          <w:tcPr>
            <w:tcW w:w="140" w:type="dxa"/>
            <w:vAlign w:val="bottom"/>
          </w:tcPr>
          <w:p>
            <w:pPr>
              <w:spacing w:after="0"/>
              <w:rPr>
                <w:sz w:val="8"/>
                <w:szCs w:val="8"/>
                <w:color w:val="auto"/>
              </w:rPr>
            </w:pPr>
          </w:p>
        </w:tc>
        <w:tc>
          <w:tcPr>
            <w:tcW w:w="720" w:type="dxa"/>
            <w:vAlign w:val="bottom"/>
          </w:tcPr>
          <w:p>
            <w:pPr>
              <w:jc w:val="right"/>
              <w:ind w:right="67"/>
              <w:spacing w:after="0" w:line="96" w:lineRule="exact"/>
              <w:rPr>
                <w:sz w:val="20"/>
                <w:szCs w:val="20"/>
                <w:color w:val="auto"/>
              </w:rPr>
            </w:pPr>
            <w:r>
              <w:rPr>
                <w:rFonts w:ascii="Arial" w:cs="Arial" w:eastAsia="Arial" w:hAnsi="Arial"/>
                <w:sz w:val="11"/>
                <w:szCs w:val="11"/>
                <w:b w:val="1"/>
                <w:bCs w:val="1"/>
                <w:color w:val="auto"/>
              </w:rPr>
              <w:t>Pro forma</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4"/>
        </w:trPr>
        <w:tc>
          <w:tcPr>
            <w:tcW w:w="4340" w:type="dxa"/>
            <w:vAlign w:val="bottom"/>
          </w:tcPr>
          <w:p>
            <w:pPr>
              <w:spacing w:after="0"/>
              <w:rPr>
                <w:sz w:val="12"/>
                <w:szCs w:val="12"/>
                <w:color w:val="auto"/>
              </w:rPr>
            </w:pPr>
          </w:p>
        </w:tc>
        <w:tc>
          <w:tcPr>
            <w:tcW w:w="740" w:type="dxa"/>
            <w:vAlign w:val="bottom"/>
            <w:vMerge w:val="continue"/>
          </w:tcPr>
          <w:p>
            <w:pPr>
              <w:spacing w:after="0"/>
              <w:rPr>
                <w:sz w:val="12"/>
                <w:szCs w:val="12"/>
                <w:color w:val="auto"/>
              </w:rPr>
            </w:pPr>
          </w:p>
        </w:tc>
        <w:tc>
          <w:tcPr>
            <w:tcW w:w="1480" w:type="dxa"/>
            <w:vAlign w:val="bottom"/>
          </w:tcPr>
          <w:p>
            <w:pPr>
              <w:jc w:val="right"/>
              <w:ind w:right="550"/>
              <w:spacing w:after="0"/>
              <w:rPr>
                <w:sz w:val="20"/>
                <w:szCs w:val="20"/>
                <w:color w:val="auto"/>
              </w:rPr>
            </w:pPr>
            <w:r>
              <w:rPr>
                <w:rFonts w:ascii="Arial" w:cs="Arial" w:eastAsia="Arial" w:hAnsi="Arial"/>
                <w:sz w:val="12"/>
                <w:szCs w:val="12"/>
                <w:b w:val="1"/>
                <w:bCs w:val="1"/>
                <w:color w:val="auto"/>
              </w:rPr>
              <w:t>forma</w:t>
            </w:r>
            <w:r>
              <w:rPr>
                <w:rFonts w:ascii="Arial" w:cs="Arial" w:eastAsia="Arial" w:hAnsi="Arial"/>
                <w:sz w:val="10"/>
                <w:szCs w:val="10"/>
                <w:b w:val="1"/>
                <w:bCs w:val="1"/>
                <w:color w:val="auto"/>
              </w:rPr>
              <w:t>(1)</w:t>
            </w:r>
          </w:p>
        </w:tc>
        <w:tc>
          <w:tcPr>
            <w:tcW w:w="900" w:type="dxa"/>
            <w:vAlign w:val="bottom"/>
            <w:gridSpan w:val="3"/>
          </w:tcPr>
          <w:p>
            <w:pPr>
              <w:ind w:left="40"/>
              <w:spacing w:after="0"/>
              <w:rPr>
                <w:sz w:val="20"/>
                <w:szCs w:val="20"/>
                <w:color w:val="auto"/>
              </w:rPr>
            </w:pPr>
            <w:r>
              <w:rPr>
                <w:rFonts w:ascii="Arial" w:cs="Arial" w:eastAsia="Arial" w:hAnsi="Arial"/>
                <w:sz w:val="12"/>
                <w:szCs w:val="12"/>
                <w:b w:val="1"/>
                <w:bCs w:val="1"/>
                <w:color w:val="auto"/>
                <w:w w:val="92"/>
              </w:rPr>
              <w:t>as adjusted</w:t>
            </w:r>
            <w:r>
              <w:rPr>
                <w:rFonts w:ascii="Arial" w:cs="Arial" w:eastAsia="Arial" w:hAnsi="Arial"/>
                <w:sz w:val="10"/>
                <w:szCs w:val="10"/>
                <w:b w:val="1"/>
                <w:bCs w:val="1"/>
                <w:color w:val="auto"/>
                <w:w w:val="92"/>
              </w:rPr>
              <w:t>(2)(3)</w:t>
            </w:r>
          </w:p>
        </w:tc>
        <w:tc>
          <w:tcPr>
            <w:tcW w:w="0" w:type="dxa"/>
            <w:vAlign w:val="bottom"/>
          </w:tcPr>
          <w:p>
            <w:pPr>
              <w:spacing w:after="0"/>
              <w:rPr>
                <w:sz w:val="1"/>
                <w:szCs w:val="1"/>
                <w:color w:val="auto"/>
              </w:rPr>
            </w:pPr>
          </w:p>
        </w:tc>
      </w:tr>
      <w:tr>
        <w:trPr>
          <w:trHeight w:val="115"/>
        </w:trPr>
        <w:tc>
          <w:tcPr>
            <w:tcW w:w="4340" w:type="dxa"/>
            <w:vAlign w:val="bottom"/>
          </w:tcPr>
          <w:p>
            <w:pPr>
              <w:spacing w:after="0"/>
              <w:rPr>
                <w:sz w:val="10"/>
                <w:szCs w:val="10"/>
                <w:color w:val="auto"/>
              </w:rPr>
            </w:pPr>
          </w:p>
        </w:tc>
        <w:tc>
          <w:tcPr>
            <w:tcW w:w="740" w:type="dxa"/>
            <w:vAlign w:val="bottom"/>
            <w:tcBorders>
              <w:top w:val="single" w:sz="8" w:color="auto"/>
            </w:tcBorders>
          </w:tcPr>
          <w:p>
            <w:pPr>
              <w:spacing w:after="0"/>
              <w:rPr>
                <w:sz w:val="10"/>
                <w:szCs w:val="10"/>
                <w:color w:val="auto"/>
              </w:rPr>
            </w:pPr>
          </w:p>
        </w:tc>
        <w:tc>
          <w:tcPr>
            <w:tcW w:w="1480" w:type="dxa"/>
            <w:vAlign w:val="bottom"/>
            <w:tcBorders>
              <w:top w:val="single" w:sz="8" w:color="auto"/>
            </w:tcBorders>
          </w:tcPr>
          <w:p>
            <w:pPr>
              <w:jc w:val="right"/>
              <w:ind w:right="310"/>
              <w:spacing w:after="0" w:line="115" w:lineRule="exact"/>
              <w:rPr>
                <w:sz w:val="20"/>
                <w:szCs w:val="20"/>
                <w:color w:val="auto"/>
              </w:rPr>
            </w:pPr>
            <w:r>
              <w:rPr>
                <w:rFonts w:ascii="Arial" w:cs="Arial" w:eastAsia="Arial" w:hAnsi="Arial"/>
                <w:sz w:val="12"/>
                <w:szCs w:val="12"/>
                <w:i w:val="1"/>
                <w:iCs w:val="1"/>
                <w:color w:val="auto"/>
              </w:rPr>
              <w:t>(In millions)</w:t>
            </w:r>
          </w:p>
        </w:tc>
        <w:tc>
          <w:tcPr>
            <w:tcW w:w="14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0"/>
        </w:trPr>
        <w:tc>
          <w:tcPr>
            <w:tcW w:w="4340" w:type="dxa"/>
            <w:vAlign w:val="bottom"/>
            <w:shd w:val="clear" w:color="auto" w:fill="CCEEFF"/>
          </w:tcPr>
          <w:p>
            <w:pPr>
              <w:spacing w:after="0"/>
              <w:rPr>
                <w:sz w:val="20"/>
                <w:szCs w:val="20"/>
                <w:color w:val="auto"/>
              </w:rPr>
            </w:pPr>
            <w:r>
              <w:rPr>
                <w:rFonts w:ascii="Arial" w:cs="Arial" w:eastAsia="Arial" w:hAnsi="Arial"/>
                <w:sz w:val="15"/>
                <w:szCs w:val="15"/>
                <w:color w:val="auto"/>
              </w:rPr>
              <w:t>Cash and cash equivalents</w:t>
            </w:r>
          </w:p>
        </w:tc>
        <w:tc>
          <w:tcPr>
            <w:tcW w:w="740" w:type="dxa"/>
            <w:vAlign w:val="bottom"/>
            <w:shd w:val="clear" w:color="auto" w:fill="CCEEFF"/>
          </w:tcPr>
          <w:p>
            <w:pPr>
              <w:jc w:val="right"/>
              <w:ind w:right="127"/>
              <w:spacing w:after="0"/>
              <w:rPr>
                <w:sz w:val="20"/>
                <w:szCs w:val="20"/>
                <w:color w:val="auto"/>
              </w:rPr>
            </w:pPr>
            <w:r>
              <w:rPr>
                <w:rFonts w:ascii="Arial" w:cs="Arial" w:eastAsia="Arial" w:hAnsi="Arial"/>
                <w:sz w:val="15"/>
                <w:szCs w:val="15"/>
                <w:color w:val="auto"/>
                <w:w w:val="95"/>
              </w:rPr>
              <w:t>$  430.0</w:t>
            </w:r>
          </w:p>
        </w:tc>
        <w:tc>
          <w:tcPr>
            <w:tcW w:w="1480" w:type="dxa"/>
            <w:vAlign w:val="bottom"/>
            <w:shd w:val="clear" w:color="auto" w:fill="CCEEFF"/>
          </w:tcPr>
          <w:p>
            <w:pPr>
              <w:jc w:val="right"/>
              <w:ind w:right="510"/>
              <w:spacing w:after="0"/>
              <w:rPr>
                <w:sz w:val="20"/>
                <w:szCs w:val="20"/>
                <w:color w:val="auto"/>
              </w:rPr>
            </w:pPr>
            <w:r>
              <w:rPr>
                <w:rFonts w:ascii="Arial" w:cs="Arial" w:eastAsia="Arial" w:hAnsi="Arial"/>
                <w:sz w:val="15"/>
                <w:szCs w:val="15"/>
                <w:color w:val="auto"/>
              </w:rPr>
              <w:t>$  430.0</w:t>
            </w:r>
          </w:p>
        </w:tc>
        <w:tc>
          <w:tcPr>
            <w:tcW w:w="140" w:type="dxa"/>
            <w:vAlign w:val="bottom"/>
            <w:shd w:val="clear" w:color="auto" w:fill="CCEEFF"/>
          </w:tcPr>
          <w:p>
            <w:pPr>
              <w:ind w:left="40"/>
              <w:spacing w:after="0"/>
              <w:rPr>
                <w:sz w:val="20"/>
                <w:szCs w:val="20"/>
                <w:color w:val="auto"/>
              </w:rPr>
            </w:pPr>
            <w:r>
              <w:rPr>
                <w:rFonts w:ascii="Arial" w:cs="Arial" w:eastAsia="Arial" w:hAnsi="Arial"/>
                <w:sz w:val="15"/>
                <w:szCs w:val="15"/>
                <w:color w:val="auto"/>
                <w:w w:val="95"/>
              </w:rPr>
              <w:t>$</w:t>
            </w: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816.6</w:t>
            </w:r>
          </w:p>
        </w:tc>
        <w:tc>
          <w:tcPr>
            <w:tcW w:w="0" w:type="dxa"/>
            <w:vAlign w:val="bottom"/>
          </w:tcPr>
          <w:p>
            <w:pPr>
              <w:spacing w:after="0"/>
              <w:rPr>
                <w:sz w:val="1"/>
                <w:szCs w:val="1"/>
                <w:color w:val="auto"/>
              </w:rPr>
            </w:pPr>
          </w:p>
        </w:tc>
      </w:tr>
      <w:tr>
        <w:trPr>
          <w:trHeight w:val="180"/>
        </w:trPr>
        <w:tc>
          <w:tcPr>
            <w:tcW w:w="4340" w:type="dxa"/>
            <w:vAlign w:val="bottom"/>
          </w:tcPr>
          <w:p>
            <w:pPr>
              <w:spacing w:after="0"/>
              <w:rPr>
                <w:sz w:val="20"/>
                <w:szCs w:val="20"/>
                <w:color w:val="auto"/>
              </w:rPr>
            </w:pPr>
            <w:r>
              <w:rPr>
                <w:rFonts w:ascii="Arial" w:cs="Arial" w:eastAsia="Arial" w:hAnsi="Arial"/>
                <w:sz w:val="15"/>
                <w:szCs w:val="15"/>
                <w:color w:val="auto"/>
              </w:rPr>
              <w:t>Working capital</w:t>
            </w:r>
          </w:p>
        </w:tc>
        <w:tc>
          <w:tcPr>
            <w:tcW w:w="740" w:type="dxa"/>
            <w:vAlign w:val="bottom"/>
          </w:tcPr>
          <w:p>
            <w:pPr>
              <w:jc w:val="right"/>
              <w:ind w:right="87"/>
              <w:spacing w:after="0"/>
              <w:rPr>
                <w:sz w:val="20"/>
                <w:szCs w:val="20"/>
                <w:color w:val="auto"/>
              </w:rPr>
            </w:pPr>
            <w:r>
              <w:rPr>
                <w:rFonts w:ascii="Arial" w:cs="Arial" w:eastAsia="Arial" w:hAnsi="Arial"/>
                <w:sz w:val="15"/>
                <w:szCs w:val="15"/>
                <w:color w:val="auto"/>
              </w:rPr>
              <w:t>(220.3)</w:t>
            </w:r>
          </w:p>
        </w:tc>
        <w:tc>
          <w:tcPr>
            <w:tcW w:w="1480" w:type="dxa"/>
            <w:vAlign w:val="bottom"/>
          </w:tcPr>
          <w:p>
            <w:pPr>
              <w:jc w:val="right"/>
              <w:ind w:right="510"/>
              <w:spacing w:after="0"/>
              <w:rPr>
                <w:sz w:val="20"/>
                <w:szCs w:val="20"/>
                <w:color w:val="auto"/>
              </w:rPr>
            </w:pPr>
            <w:r>
              <w:rPr>
                <w:rFonts w:ascii="Arial" w:cs="Arial" w:eastAsia="Arial" w:hAnsi="Arial"/>
                <w:sz w:val="15"/>
                <w:szCs w:val="15"/>
                <w:color w:val="auto"/>
              </w:rPr>
              <w:t>(413.4)</w:t>
            </w:r>
          </w:p>
        </w:tc>
        <w:tc>
          <w:tcPr>
            <w:tcW w:w="140" w:type="dxa"/>
            <w:vAlign w:val="bottom"/>
          </w:tcPr>
          <w:p>
            <w:pPr>
              <w:spacing w:after="0"/>
              <w:rPr>
                <w:sz w:val="15"/>
                <w:szCs w:val="15"/>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5"/>
                <w:szCs w:val="15"/>
                <w:color w:val="auto"/>
              </w:rPr>
              <w:t>166.3</w:t>
            </w:r>
          </w:p>
        </w:tc>
        <w:tc>
          <w:tcPr>
            <w:tcW w:w="0" w:type="dxa"/>
            <w:vAlign w:val="bottom"/>
          </w:tcPr>
          <w:p>
            <w:pPr>
              <w:spacing w:after="0"/>
              <w:rPr>
                <w:sz w:val="1"/>
                <w:szCs w:val="1"/>
                <w:color w:val="auto"/>
              </w:rPr>
            </w:pPr>
          </w:p>
        </w:tc>
      </w:tr>
      <w:tr>
        <w:trPr>
          <w:trHeight w:val="180"/>
        </w:trPr>
        <w:tc>
          <w:tcPr>
            <w:tcW w:w="4340" w:type="dxa"/>
            <w:vAlign w:val="bottom"/>
            <w:shd w:val="clear" w:color="auto" w:fill="CCEEFF"/>
          </w:tcPr>
          <w:p>
            <w:pPr>
              <w:spacing w:after="0"/>
              <w:rPr>
                <w:sz w:val="20"/>
                <w:szCs w:val="20"/>
                <w:color w:val="auto"/>
              </w:rPr>
            </w:pPr>
            <w:r>
              <w:rPr>
                <w:rFonts w:ascii="Arial" w:cs="Arial" w:eastAsia="Arial" w:hAnsi="Arial"/>
                <w:sz w:val="15"/>
                <w:szCs w:val="15"/>
                <w:color w:val="auto"/>
              </w:rPr>
              <w:t>Property and equipment, net</w:t>
            </w:r>
          </w:p>
        </w:tc>
        <w:tc>
          <w:tcPr>
            <w:tcW w:w="740" w:type="dxa"/>
            <w:vAlign w:val="bottom"/>
            <w:shd w:val="clear" w:color="auto" w:fill="CCEEFF"/>
          </w:tcPr>
          <w:p>
            <w:pPr>
              <w:jc w:val="right"/>
              <w:ind w:right="127"/>
              <w:spacing w:after="0"/>
              <w:rPr>
                <w:sz w:val="20"/>
                <w:szCs w:val="20"/>
                <w:color w:val="auto"/>
              </w:rPr>
            </w:pPr>
            <w:r>
              <w:rPr>
                <w:rFonts w:ascii="Arial" w:cs="Arial" w:eastAsia="Arial" w:hAnsi="Arial"/>
                <w:sz w:val="15"/>
                <w:szCs w:val="15"/>
                <w:color w:val="auto"/>
              </w:rPr>
              <w:t>341.9</w:t>
            </w:r>
          </w:p>
        </w:tc>
        <w:tc>
          <w:tcPr>
            <w:tcW w:w="1480" w:type="dxa"/>
            <w:vAlign w:val="bottom"/>
            <w:shd w:val="clear" w:color="auto" w:fill="CCEEFF"/>
          </w:tcPr>
          <w:p>
            <w:pPr>
              <w:jc w:val="right"/>
              <w:ind w:right="510"/>
              <w:spacing w:after="0"/>
              <w:rPr>
                <w:sz w:val="20"/>
                <w:szCs w:val="20"/>
                <w:color w:val="auto"/>
              </w:rPr>
            </w:pPr>
            <w:r>
              <w:rPr>
                <w:rFonts w:ascii="Arial" w:cs="Arial" w:eastAsia="Arial" w:hAnsi="Arial"/>
                <w:sz w:val="15"/>
                <w:szCs w:val="15"/>
                <w:color w:val="auto"/>
              </w:rPr>
              <w:t>341.9</w:t>
            </w:r>
          </w:p>
        </w:tc>
        <w:tc>
          <w:tcPr>
            <w:tcW w:w="14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341.9</w:t>
            </w:r>
          </w:p>
        </w:tc>
        <w:tc>
          <w:tcPr>
            <w:tcW w:w="0" w:type="dxa"/>
            <w:vAlign w:val="bottom"/>
          </w:tcPr>
          <w:p>
            <w:pPr>
              <w:spacing w:after="0"/>
              <w:rPr>
                <w:sz w:val="1"/>
                <w:szCs w:val="1"/>
                <w:color w:val="auto"/>
              </w:rPr>
            </w:pPr>
          </w:p>
        </w:tc>
      </w:tr>
      <w:tr>
        <w:trPr>
          <w:trHeight w:val="180"/>
        </w:trPr>
        <w:tc>
          <w:tcPr>
            <w:tcW w:w="4340" w:type="dxa"/>
            <w:vAlign w:val="bottom"/>
          </w:tcPr>
          <w:p>
            <w:pPr>
              <w:spacing w:after="0"/>
              <w:rPr>
                <w:sz w:val="20"/>
                <w:szCs w:val="20"/>
                <w:color w:val="auto"/>
              </w:rPr>
            </w:pPr>
            <w:r>
              <w:rPr>
                <w:rFonts w:ascii="Arial" w:cs="Arial" w:eastAsia="Arial" w:hAnsi="Arial"/>
                <w:sz w:val="15"/>
                <w:szCs w:val="15"/>
                <w:color w:val="auto"/>
              </w:rPr>
              <w:t>Total assets</w:t>
            </w:r>
          </w:p>
        </w:tc>
        <w:tc>
          <w:tcPr>
            <w:tcW w:w="740" w:type="dxa"/>
            <w:vAlign w:val="bottom"/>
          </w:tcPr>
          <w:p>
            <w:pPr>
              <w:jc w:val="right"/>
              <w:ind w:right="127"/>
              <w:spacing w:after="0"/>
              <w:rPr>
                <w:sz w:val="20"/>
                <w:szCs w:val="20"/>
                <w:color w:val="auto"/>
              </w:rPr>
            </w:pPr>
            <w:r>
              <w:rPr>
                <w:rFonts w:ascii="Arial" w:cs="Arial" w:eastAsia="Arial" w:hAnsi="Arial"/>
                <w:sz w:val="15"/>
                <w:szCs w:val="15"/>
                <w:color w:val="auto"/>
              </w:rPr>
              <w:t>1,019.9</w:t>
            </w:r>
          </w:p>
        </w:tc>
        <w:tc>
          <w:tcPr>
            <w:tcW w:w="1480" w:type="dxa"/>
            <w:vAlign w:val="bottom"/>
          </w:tcPr>
          <w:p>
            <w:pPr>
              <w:jc w:val="right"/>
              <w:ind w:right="510"/>
              <w:spacing w:after="0"/>
              <w:rPr>
                <w:sz w:val="20"/>
                <w:szCs w:val="20"/>
                <w:color w:val="auto"/>
              </w:rPr>
            </w:pPr>
            <w:r>
              <w:rPr>
                <w:rFonts w:ascii="Arial" w:cs="Arial" w:eastAsia="Arial" w:hAnsi="Arial"/>
                <w:sz w:val="15"/>
                <w:szCs w:val="15"/>
                <w:color w:val="auto"/>
              </w:rPr>
              <w:t>1,019.9</w:t>
            </w:r>
          </w:p>
        </w:tc>
        <w:tc>
          <w:tcPr>
            <w:tcW w:w="140" w:type="dxa"/>
            <w:vAlign w:val="bottom"/>
          </w:tcPr>
          <w:p>
            <w:pPr>
              <w:spacing w:after="0"/>
              <w:rPr>
                <w:sz w:val="15"/>
                <w:szCs w:val="15"/>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5"/>
                <w:szCs w:val="15"/>
                <w:color w:val="auto"/>
              </w:rPr>
              <w:t>1,406.5</w:t>
            </w:r>
          </w:p>
        </w:tc>
        <w:tc>
          <w:tcPr>
            <w:tcW w:w="0" w:type="dxa"/>
            <w:vAlign w:val="bottom"/>
          </w:tcPr>
          <w:p>
            <w:pPr>
              <w:spacing w:after="0"/>
              <w:rPr>
                <w:sz w:val="1"/>
                <w:szCs w:val="1"/>
                <w:color w:val="auto"/>
              </w:rPr>
            </w:pPr>
          </w:p>
        </w:tc>
      </w:tr>
      <w:tr>
        <w:trPr>
          <w:trHeight w:val="180"/>
        </w:trPr>
        <w:tc>
          <w:tcPr>
            <w:tcW w:w="4340" w:type="dxa"/>
            <w:vAlign w:val="bottom"/>
            <w:shd w:val="clear" w:color="auto" w:fill="CCEEFF"/>
          </w:tcPr>
          <w:p>
            <w:pPr>
              <w:spacing w:after="0"/>
              <w:rPr>
                <w:sz w:val="20"/>
                <w:szCs w:val="20"/>
                <w:color w:val="auto"/>
              </w:rPr>
            </w:pPr>
            <w:r>
              <w:rPr>
                <w:rFonts w:ascii="Arial" w:cs="Arial" w:eastAsia="Arial" w:hAnsi="Arial"/>
                <w:sz w:val="15"/>
                <w:szCs w:val="15"/>
                <w:color w:val="auto"/>
              </w:rPr>
              <w:t>Total deferred revenue</w:t>
            </w:r>
          </w:p>
        </w:tc>
        <w:tc>
          <w:tcPr>
            <w:tcW w:w="740" w:type="dxa"/>
            <w:vAlign w:val="bottom"/>
            <w:shd w:val="clear" w:color="auto" w:fill="CCEEFF"/>
          </w:tcPr>
          <w:p>
            <w:pPr>
              <w:jc w:val="right"/>
              <w:ind w:right="127"/>
              <w:spacing w:after="0"/>
              <w:rPr>
                <w:sz w:val="20"/>
                <w:szCs w:val="20"/>
                <w:color w:val="auto"/>
              </w:rPr>
            </w:pPr>
            <w:r>
              <w:rPr>
                <w:rFonts w:ascii="Arial" w:cs="Arial" w:eastAsia="Arial" w:hAnsi="Arial"/>
                <w:sz w:val="15"/>
                <w:szCs w:val="15"/>
                <w:color w:val="auto"/>
              </w:rPr>
              <w:t>419.2</w:t>
            </w:r>
          </w:p>
        </w:tc>
        <w:tc>
          <w:tcPr>
            <w:tcW w:w="1480" w:type="dxa"/>
            <w:vAlign w:val="bottom"/>
            <w:shd w:val="clear" w:color="auto" w:fill="CCEEFF"/>
          </w:tcPr>
          <w:p>
            <w:pPr>
              <w:jc w:val="right"/>
              <w:ind w:right="510"/>
              <w:spacing w:after="0"/>
              <w:rPr>
                <w:sz w:val="20"/>
                <w:szCs w:val="20"/>
                <w:color w:val="auto"/>
              </w:rPr>
            </w:pPr>
            <w:r>
              <w:rPr>
                <w:rFonts w:ascii="Arial" w:cs="Arial" w:eastAsia="Arial" w:hAnsi="Arial"/>
                <w:sz w:val="15"/>
                <w:szCs w:val="15"/>
                <w:color w:val="auto"/>
              </w:rPr>
              <w:t>419.2</w:t>
            </w:r>
          </w:p>
        </w:tc>
        <w:tc>
          <w:tcPr>
            <w:tcW w:w="14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419.2</w:t>
            </w:r>
          </w:p>
        </w:tc>
        <w:tc>
          <w:tcPr>
            <w:tcW w:w="0" w:type="dxa"/>
            <w:vAlign w:val="bottom"/>
          </w:tcPr>
          <w:p>
            <w:pPr>
              <w:spacing w:after="0"/>
              <w:rPr>
                <w:sz w:val="1"/>
                <w:szCs w:val="1"/>
                <w:color w:val="auto"/>
              </w:rPr>
            </w:pPr>
          </w:p>
        </w:tc>
      </w:tr>
      <w:tr>
        <w:trPr>
          <w:trHeight w:val="180"/>
        </w:trPr>
        <w:tc>
          <w:tcPr>
            <w:tcW w:w="4340" w:type="dxa"/>
            <w:vAlign w:val="bottom"/>
          </w:tcPr>
          <w:p>
            <w:pPr>
              <w:spacing w:after="0"/>
              <w:rPr>
                <w:sz w:val="20"/>
                <w:szCs w:val="20"/>
                <w:color w:val="auto"/>
              </w:rPr>
            </w:pPr>
            <w:r>
              <w:rPr>
                <w:rFonts w:ascii="Arial" w:cs="Arial" w:eastAsia="Arial" w:hAnsi="Arial"/>
                <w:sz w:val="15"/>
                <w:szCs w:val="15"/>
                <w:color w:val="auto"/>
              </w:rPr>
              <w:t>Total capital lease obligations</w:t>
            </w:r>
          </w:p>
        </w:tc>
        <w:tc>
          <w:tcPr>
            <w:tcW w:w="740" w:type="dxa"/>
            <w:vAlign w:val="bottom"/>
          </w:tcPr>
          <w:p>
            <w:pPr>
              <w:jc w:val="right"/>
              <w:ind w:right="127"/>
              <w:spacing w:after="0"/>
              <w:rPr>
                <w:sz w:val="20"/>
                <w:szCs w:val="20"/>
                <w:color w:val="auto"/>
              </w:rPr>
            </w:pPr>
            <w:r>
              <w:rPr>
                <w:rFonts w:ascii="Arial" w:cs="Arial" w:eastAsia="Arial" w:hAnsi="Arial"/>
                <w:sz w:val="15"/>
                <w:szCs w:val="15"/>
                <w:color w:val="auto"/>
              </w:rPr>
              <w:t>174.3</w:t>
            </w:r>
          </w:p>
        </w:tc>
        <w:tc>
          <w:tcPr>
            <w:tcW w:w="1480" w:type="dxa"/>
            <w:vAlign w:val="bottom"/>
          </w:tcPr>
          <w:p>
            <w:pPr>
              <w:jc w:val="right"/>
              <w:ind w:right="510"/>
              <w:spacing w:after="0"/>
              <w:rPr>
                <w:sz w:val="20"/>
                <w:szCs w:val="20"/>
                <w:color w:val="auto"/>
              </w:rPr>
            </w:pPr>
            <w:r>
              <w:rPr>
                <w:rFonts w:ascii="Arial" w:cs="Arial" w:eastAsia="Arial" w:hAnsi="Arial"/>
                <w:sz w:val="15"/>
                <w:szCs w:val="15"/>
                <w:color w:val="auto"/>
              </w:rPr>
              <w:t>174.3</w:t>
            </w:r>
          </w:p>
        </w:tc>
        <w:tc>
          <w:tcPr>
            <w:tcW w:w="140" w:type="dxa"/>
            <w:vAlign w:val="bottom"/>
          </w:tcPr>
          <w:p>
            <w:pPr>
              <w:spacing w:after="0"/>
              <w:rPr>
                <w:sz w:val="15"/>
                <w:szCs w:val="15"/>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5"/>
                <w:szCs w:val="15"/>
                <w:color w:val="auto"/>
              </w:rPr>
              <w:t>174.3</w:t>
            </w:r>
          </w:p>
        </w:tc>
        <w:tc>
          <w:tcPr>
            <w:tcW w:w="0" w:type="dxa"/>
            <w:vAlign w:val="bottom"/>
          </w:tcPr>
          <w:p>
            <w:pPr>
              <w:spacing w:after="0"/>
              <w:rPr>
                <w:sz w:val="1"/>
                <w:szCs w:val="1"/>
                <w:color w:val="auto"/>
              </w:rPr>
            </w:pPr>
          </w:p>
        </w:tc>
      </w:tr>
      <w:tr>
        <w:trPr>
          <w:trHeight w:val="180"/>
        </w:trPr>
        <w:tc>
          <w:tcPr>
            <w:tcW w:w="4340" w:type="dxa"/>
            <w:vAlign w:val="bottom"/>
            <w:shd w:val="clear" w:color="auto" w:fill="CCEEFF"/>
          </w:tcPr>
          <w:p>
            <w:pPr>
              <w:spacing w:after="0"/>
              <w:rPr>
                <w:sz w:val="20"/>
                <w:szCs w:val="20"/>
                <w:color w:val="auto"/>
              </w:rPr>
            </w:pPr>
            <w:r>
              <w:rPr>
                <w:rFonts w:ascii="Arial" w:cs="Arial" w:eastAsia="Arial" w:hAnsi="Arial"/>
                <w:sz w:val="15"/>
                <w:szCs w:val="15"/>
                <w:color w:val="auto"/>
              </w:rPr>
              <w:t>Revolving credit facility</w:t>
            </w:r>
          </w:p>
        </w:tc>
        <w:tc>
          <w:tcPr>
            <w:tcW w:w="740" w:type="dxa"/>
            <w:vAlign w:val="bottom"/>
            <w:shd w:val="clear" w:color="auto" w:fill="CCEEFF"/>
          </w:tcPr>
          <w:p>
            <w:pPr>
              <w:jc w:val="right"/>
              <w:ind w:right="207"/>
              <w:spacing w:after="0"/>
              <w:rPr>
                <w:sz w:val="20"/>
                <w:szCs w:val="20"/>
                <w:color w:val="auto"/>
              </w:rPr>
            </w:pPr>
            <w:r>
              <w:rPr>
                <w:rFonts w:ascii="Arial" w:cs="Arial" w:eastAsia="Arial" w:hAnsi="Arial"/>
                <w:sz w:val="15"/>
                <w:szCs w:val="15"/>
                <w:color w:val="auto"/>
              </w:rPr>
              <w:t>—</w:t>
            </w:r>
          </w:p>
        </w:tc>
        <w:tc>
          <w:tcPr>
            <w:tcW w:w="1480" w:type="dxa"/>
            <w:vAlign w:val="bottom"/>
            <w:shd w:val="clear" w:color="auto" w:fill="CCEEFF"/>
          </w:tcPr>
          <w:p>
            <w:pPr>
              <w:jc w:val="right"/>
              <w:ind w:right="510"/>
              <w:spacing w:after="0"/>
              <w:rPr>
                <w:sz w:val="20"/>
                <w:szCs w:val="20"/>
                <w:color w:val="auto"/>
              </w:rPr>
            </w:pPr>
            <w:r>
              <w:rPr>
                <w:rFonts w:ascii="Arial" w:cs="Arial" w:eastAsia="Arial" w:hAnsi="Arial"/>
                <w:sz w:val="15"/>
                <w:szCs w:val="15"/>
                <w:color w:val="auto"/>
              </w:rPr>
              <w:t>193.1</w:t>
            </w:r>
          </w:p>
        </w:tc>
        <w:tc>
          <w:tcPr>
            <w:tcW w:w="14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90"/>
        </w:trPr>
        <w:tc>
          <w:tcPr>
            <w:tcW w:w="4340" w:type="dxa"/>
            <w:vAlign w:val="bottom"/>
          </w:tcPr>
          <w:p>
            <w:pPr>
              <w:spacing w:after="0"/>
              <w:rPr>
                <w:sz w:val="20"/>
                <w:szCs w:val="20"/>
                <w:color w:val="auto"/>
              </w:rPr>
            </w:pPr>
            <w:r>
              <w:rPr>
                <w:rFonts w:ascii="Arial" w:cs="Arial" w:eastAsia="Arial" w:hAnsi="Arial"/>
                <w:sz w:val="15"/>
                <w:szCs w:val="15"/>
                <w:color w:val="auto"/>
              </w:rPr>
              <w:t>Total stockholders’ equity (deficit)</w:t>
            </w:r>
          </w:p>
        </w:tc>
        <w:tc>
          <w:tcPr>
            <w:tcW w:w="740" w:type="dxa"/>
            <w:vAlign w:val="bottom"/>
          </w:tcPr>
          <w:p>
            <w:pPr>
              <w:jc w:val="right"/>
              <w:ind w:right="127"/>
              <w:spacing w:after="0"/>
              <w:rPr>
                <w:sz w:val="20"/>
                <w:szCs w:val="20"/>
                <w:color w:val="auto"/>
              </w:rPr>
            </w:pPr>
            <w:r>
              <w:rPr>
                <w:rFonts w:ascii="Arial" w:cs="Arial" w:eastAsia="Arial" w:hAnsi="Arial"/>
                <w:sz w:val="15"/>
                <w:szCs w:val="15"/>
                <w:color w:val="auto"/>
              </w:rPr>
              <w:t>102.9</w:t>
            </w:r>
          </w:p>
        </w:tc>
        <w:tc>
          <w:tcPr>
            <w:tcW w:w="1480" w:type="dxa"/>
            <w:vAlign w:val="bottom"/>
          </w:tcPr>
          <w:p>
            <w:pPr>
              <w:jc w:val="right"/>
              <w:ind w:right="510"/>
              <w:spacing w:after="0"/>
              <w:rPr>
                <w:sz w:val="20"/>
                <w:szCs w:val="20"/>
                <w:color w:val="auto"/>
              </w:rPr>
            </w:pPr>
            <w:r>
              <w:rPr>
                <w:rFonts w:ascii="Arial" w:cs="Arial" w:eastAsia="Arial" w:hAnsi="Arial"/>
                <w:sz w:val="15"/>
                <w:szCs w:val="15"/>
                <w:color w:val="auto"/>
              </w:rPr>
              <w:t>(90.2)</w:t>
            </w:r>
          </w:p>
        </w:tc>
        <w:tc>
          <w:tcPr>
            <w:tcW w:w="140" w:type="dxa"/>
            <w:vAlign w:val="bottom"/>
          </w:tcPr>
          <w:p>
            <w:pPr>
              <w:spacing w:after="0"/>
              <w:rPr>
                <w:sz w:val="16"/>
                <w:szCs w:val="16"/>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5"/>
                <w:szCs w:val="15"/>
                <w:color w:val="auto"/>
              </w:rPr>
              <w:t>489.5</w:t>
            </w:r>
          </w:p>
        </w:tc>
        <w:tc>
          <w:tcPr>
            <w:tcW w:w="0" w:type="dxa"/>
            <w:vAlign w:val="bottom"/>
          </w:tcPr>
          <w:p>
            <w:pPr>
              <w:spacing w:after="0"/>
              <w:rPr>
                <w:sz w:val="1"/>
                <w:szCs w:val="1"/>
                <w:color w:val="auto"/>
              </w:rPr>
            </w:pPr>
          </w:p>
        </w:tc>
      </w:tr>
    </w:tbl>
    <w:p>
      <w:pPr>
        <w:spacing w:after="0" w:line="185" w:lineRule="exact"/>
        <w:rPr>
          <w:sz w:val="20"/>
          <w:szCs w:val="20"/>
          <w:color w:val="auto"/>
        </w:rPr>
      </w:pPr>
    </w:p>
    <w:p>
      <w:pPr>
        <w:ind w:left="1520" w:right="179" w:hanging="255"/>
        <w:spacing w:after="0" w:line="269" w:lineRule="auto"/>
        <w:tabs>
          <w:tab w:leader="none" w:pos="1520" w:val="left"/>
        </w:tabs>
        <w:numPr>
          <w:ilvl w:val="0"/>
          <w:numId w:val="13"/>
        </w:numPr>
        <w:rPr>
          <w:rFonts w:ascii="Arial" w:cs="Arial" w:eastAsia="Arial" w:hAnsi="Arial"/>
          <w:sz w:val="20"/>
          <w:szCs w:val="20"/>
          <w:color w:val="auto"/>
          <w:vertAlign w:val="superscript"/>
        </w:rPr>
      </w:pPr>
      <w:r>
        <w:rPr>
          <w:rFonts w:ascii="Arial" w:cs="Arial" w:eastAsia="Arial" w:hAnsi="Arial"/>
          <w:sz w:val="12"/>
          <w:szCs w:val="12"/>
          <w:color w:val="auto"/>
        </w:rPr>
        <w:t>The pro forma column in the balance sheet data table above reflects (a) the Capital Stock Conversions, as if such conversions had occurred on December 31, 2017, (b) the filing and effectiveness of our amended and restated certificate of incorporation in Delaware that will become effective immediately prior to the completion of this offering, (c) stock-based compensation expense of $415.6 million associated with the RSU Settlement, (d) the net issuance of 15,897,254 shares of our Class B common stock upon the RSU Settlement, (e) the borrowing of $193.1 million under our revolving credit facility to satisfy our tax withholding and remittance obligations related to the RSU Settlement, and (f) a cash payment of $193.1 million to satisfy our tax withholding and remittance obligations related to the RSU Settlement, which amounts in (e) and (f) are based upon the assumed initial public offering price of $19.00 per share, which is the midpoint of the estimated offering price range set forth on the cover page of this prospectus.</w:t>
      </w:r>
    </w:p>
    <w:p>
      <w:pPr>
        <w:spacing w:after="0" w:line="1" w:lineRule="exact"/>
        <w:rPr>
          <w:rFonts w:ascii="Arial" w:cs="Arial" w:eastAsia="Arial" w:hAnsi="Arial"/>
          <w:sz w:val="20"/>
          <w:szCs w:val="20"/>
          <w:color w:val="auto"/>
          <w:vertAlign w:val="superscript"/>
        </w:rPr>
      </w:pPr>
    </w:p>
    <w:p>
      <w:pPr>
        <w:ind w:left="1520" w:right="119" w:hanging="255"/>
        <w:spacing w:after="0" w:line="243" w:lineRule="auto"/>
        <w:tabs>
          <w:tab w:leader="none" w:pos="1520" w:val="left"/>
        </w:tabs>
        <w:numPr>
          <w:ilvl w:val="0"/>
          <w:numId w:val="13"/>
        </w:numPr>
        <w:rPr>
          <w:rFonts w:ascii="Arial" w:cs="Arial" w:eastAsia="Arial" w:hAnsi="Arial"/>
          <w:sz w:val="22"/>
          <w:szCs w:val="22"/>
          <w:color w:val="auto"/>
          <w:vertAlign w:val="superscript"/>
        </w:rPr>
      </w:pPr>
      <w:r>
        <w:rPr>
          <w:rFonts w:ascii="Arial" w:cs="Arial" w:eastAsia="Arial" w:hAnsi="Arial"/>
          <w:sz w:val="13"/>
          <w:szCs w:val="13"/>
          <w:color w:val="auto"/>
        </w:rPr>
        <w:t>The pro forma as adjusted column in the balance sheet data table above gives effect to (a) the pro forma adjustments set forth above, (b) the sale and issuance by us of 32,085,567 shares of our Class A common stock in this offering and the concurrent private placement, based upon the assumed initial public offering price of $19.00 per share, which is the midpoint of the estimated offering price range set forth on the cover page of this prospectus, and after deducting estimated underwriting discounts and commissions and estimated offering expenses payable by us, and (c) the use of proceeds from the offering to repay $193.1 million drawn down under our revolving credit facility to satisfy our tax withholding and remittance obligations related to the RSU Settlement and pay related net costs of approximately $0.2 million.</w:t>
      </w:r>
    </w:p>
    <w:p>
      <w:pPr>
        <w:spacing w:after="0" w:line="2" w:lineRule="exact"/>
        <w:rPr>
          <w:rFonts w:ascii="Arial" w:cs="Arial" w:eastAsia="Arial" w:hAnsi="Arial"/>
          <w:sz w:val="22"/>
          <w:szCs w:val="22"/>
          <w:color w:val="auto"/>
          <w:vertAlign w:val="superscript"/>
        </w:rPr>
      </w:pPr>
    </w:p>
    <w:p>
      <w:pPr>
        <w:ind w:left="1520" w:right="119" w:hanging="255"/>
        <w:spacing w:after="0" w:line="217" w:lineRule="auto"/>
        <w:tabs>
          <w:tab w:leader="none" w:pos="1520" w:val="left"/>
        </w:tabs>
        <w:numPr>
          <w:ilvl w:val="0"/>
          <w:numId w:val="13"/>
        </w:numPr>
        <w:rPr>
          <w:rFonts w:ascii="Arial" w:cs="Arial" w:eastAsia="Arial" w:hAnsi="Arial"/>
          <w:sz w:val="23"/>
          <w:szCs w:val="23"/>
          <w:color w:val="auto"/>
          <w:vertAlign w:val="superscript"/>
        </w:rPr>
      </w:pPr>
      <w:r>
        <w:rPr>
          <w:rFonts w:ascii="Arial" w:cs="Arial" w:eastAsia="Arial" w:hAnsi="Arial"/>
          <w:sz w:val="14"/>
          <w:szCs w:val="14"/>
          <w:color w:val="auto"/>
        </w:rPr>
        <w:t>Each $1.00 increase or decrease in the assumed initial public offering price of $19.00 per share, which is the midpoint of the estimated offering price range set forth on the cover page of this prospectus, would increase or decrease, as applicable, (a) the amount of our pro forma as adjusted cash and cash equivalents, working capital, total assets, and total stockholders’ equity by $25.6 million, assuming that the number of shares offered by us, as set forth on the cover page of</w:t>
      </w:r>
    </w:p>
    <w:p>
      <w:pPr>
        <w:spacing w:after="0" w:line="200" w:lineRule="exact"/>
        <w:rPr>
          <w:sz w:val="20"/>
          <w:szCs w:val="20"/>
          <w:color w:val="auto"/>
        </w:rPr>
      </w:pPr>
    </w:p>
    <w:p>
      <w:pPr>
        <w:spacing w:after="0" w:line="337" w:lineRule="exact"/>
        <w:rPr>
          <w:sz w:val="20"/>
          <w:szCs w:val="20"/>
          <w:color w:val="auto"/>
        </w:rPr>
      </w:pPr>
    </w:p>
    <w:p>
      <w:pPr>
        <w:ind w:left="5640"/>
        <w:spacing w:after="0"/>
        <w:rPr>
          <w:sz w:val="20"/>
          <w:szCs w:val="20"/>
          <w:color w:val="auto"/>
        </w:rPr>
      </w:pPr>
      <w:r>
        <w:rPr>
          <w:rFonts w:ascii="Arial" w:cs="Arial" w:eastAsia="Arial" w:hAnsi="Arial"/>
          <w:sz w:val="15"/>
          <w:szCs w:val="15"/>
          <w:color w:val="auto"/>
        </w:rPr>
        <w:t>13</w:t>
      </w:r>
    </w:p>
    <w:p>
      <w:pPr>
        <w:sectPr>
          <w:pgSz w:w="11900" w:h="16838" w:orient="portrait"/>
          <w:cols w:equalWidth="0" w:num="1">
            <w:col w:w="10219"/>
          </w:cols>
          <w:pgMar w:left="240" w:top="407" w:right="1440" w:bottom="1440" w:gutter="0" w:footer="0" w:header="0"/>
        </w:sectPr>
      </w:pPr>
    </w:p>
    <w:bookmarkStart w:id="20" w:name="page21"/>
    <w:bookmarkEnd w:id="20"/>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133350</wp:posOffset>
            </wp:positionH>
            <wp:positionV relativeFrom="page">
              <wp:posOffset>88900</wp:posOffset>
            </wp:positionV>
            <wp:extent cx="7308850" cy="342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308850" cy="34290"/>
                    </a:xfrm>
                    <a:prstGeom prst="rect">
                      <a:avLst/>
                    </a:prstGeom>
                    <a:noFill/>
                  </pic:spPr>
                </pic:pic>
              </a:graphicData>
            </a:graphic>
          </wp:anchor>
        </w:drawing>
      </w:r>
      <w:hyperlink w:anchor="page7">
        <w:r>
          <w:rPr>
            <w:rFonts w:ascii="Arial" w:cs="Arial" w:eastAsia="Arial" w:hAnsi="Arial"/>
            <w:sz w:val="15"/>
            <w:szCs w:val="15"/>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707390</wp:posOffset>
            </wp:positionH>
            <wp:positionV relativeFrom="paragraph">
              <wp:posOffset>168910</wp:posOffset>
            </wp:positionV>
            <wp:extent cx="5849620" cy="48901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849620" cy="4890135"/>
                    </a:xfrm>
                    <a:prstGeom prst="rect">
                      <a:avLst/>
                    </a:prstGeom>
                    <a:noFill/>
                  </pic:spPr>
                </pic:pic>
              </a:graphicData>
            </a:graphic>
          </wp:anchor>
        </w:drawing>
      </w:r>
    </w:p>
    <w:p>
      <w:pPr>
        <w:spacing w:after="0" w:line="400" w:lineRule="exact"/>
        <w:rPr>
          <w:sz w:val="20"/>
          <w:szCs w:val="20"/>
          <w:color w:val="auto"/>
        </w:rPr>
      </w:pPr>
    </w:p>
    <w:p>
      <w:pPr>
        <w:ind w:left="1520" w:right="199"/>
        <w:spacing w:after="0" w:line="297" w:lineRule="auto"/>
        <w:rPr>
          <w:sz w:val="20"/>
          <w:szCs w:val="20"/>
          <w:color w:val="auto"/>
        </w:rPr>
      </w:pPr>
      <w:r>
        <w:rPr>
          <w:rFonts w:ascii="Arial" w:cs="Arial" w:eastAsia="Arial" w:hAnsi="Arial"/>
          <w:sz w:val="12"/>
          <w:szCs w:val="12"/>
          <w:color w:val="auto"/>
        </w:rPr>
        <w:t>this prospectus, remains the same, after deducting estimated underwriting discounts and commissions payable by us, (b) the amount we would be required to draw down under our revolving credit facility to satisfy our tax withholding and remittance obligations related to the RSU Settlement by $10.2 million, and</w:t>
      </w:r>
    </w:p>
    <w:p>
      <w:pPr>
        <w:jc w:val="both"/>
        <w:ind w:left="1520" w:right="179" w:firstLine="4"/>
        <w:spacing w:after="0" w:line="312" w:lineRule="auto"/>
        <w:tabs>
          <w:tab w:leader="none" w:pos="1704" w:val="left"/>
        </w:tabs>
        <w:numPr>
          <w:ilvl w:val="0"/>
          <w:numId w:val="14"/>
        </w:numPr>
        <w:rPr>
          <w:rFonts w:ascii="Arial" w:cs="Arial" w:eastAsia="Arial" w:hAnsi="Arial"/>
          <w:sz w:val="12"/>
          <w:szCs w:val="12"/>
          <w:color w:val="auto"/>
        </w:rPr>
      </w:pPr>
      <w:r>
        <w:rPr>
          <w:rFonts w:ascii="Arial" w:cs="Arial" w:eastAsia="Arial" w:hAnsi="Arial"/>
          <w:sz w:val="12"/>
          <w:szCs w:val="12"/>
          <w:color w:val="auto"/>
        </w:rPr>
        <w:t>the amount we would be required to pay to satisfy our tax withholding and remittance obligations related to the RSU Settlement by $10.2 million. An increase or decrease of 1.0 million shares in the number of shares offered by us would increase or decrease, as applicable, the amount of our pro forma as adjusted cash and cash equivalents, working capital, total assets, and total stockholders’ equity by $18.2 million, assuming the assumed initial public offering price remains the same, and after deducting estimated underwriting discounts and commissions payable by us.</w:t>
      </w:r>
    </w:p>
    <w:p>
      <w:pPr>
        <w:spacing w:after="0" w:line="220" w:lineRule="exact"/>
        <w:rPr>
          <w:sz w:val="20"/>
          <w:szCs w:val="20"/>
          <w:color w:val="auto"/>
        </w:rPr>
      </w:pPr>
    </w:p>
    <w:p>
      <w:pPr>
        <w:ind w:left="1260"/>
        <w:spacing w:after="0"/>
        <w:rPr>
          <w:sz w:val="20"/>
          <w:szCs w:val="20"/>
          <w:color w:val="auto"/>
        </w:rPr>
      </w:pPr>
      <w:r>
        <w:rPr>
          <w:rFonts w:ascii="Arial" w:cs="Arial" w:eastAsia="Arial" w:hAnsi="Arial"/>
          <w:sz w:val="15"/>
          <w:szCs w:val="15"/>
          <w:b w:val="1"/>
          <w:bCs w:val="1"/>
          <w:color w:val="auto"/>
        </w:rPr>
        <w:t>Key Business Metrics</w:t>
      </w:r>
    </w:p>
    <w:p>
      <w:pPr>
        <w:spacing w:after="0" w:line="102" w:lineRule="exact"/>
        <w:rPr>
          <w:sz w:val="20"/>
          <w:szCs w:val="20"/>
          <w:color w:val="auto"/>
        </w:rPr>
      </w:pPr>
    </w:p>
    <w:p>
      <w:pPr>
        <w:ind w:left="1260" w:right="779" w:firstLine="356"/>
        <w:spacing w:after="0" w:line="275" w:lineRule="auto"/>
        <w:rPr>
          <w:sz w:val="20"/>
          <w:szCs w:val="20"/>
          <w:color w:val="auto"/>
        </w:rPr>
      </w:pPr>
      <w:r>
        <w:rPr>
          <w:rFonts w:ascii="Arial" w:cs="Arial" w:eastAsia="Arial" w:hAnsi="Arial"/>
          <w:sz w:val="15"/>
          <w:szCs w:val="15"/>
          <w:color w:val="auto"/>
        </w:rPr>
        <w:t>We review a number of operating and financial metrics, including the following key metrics to evaluate our business, measure our performance, identify trends affecting our business, formulate business plans, and make strategic decisions.</w:t>
      </w:r>
    </w:p>
    <w:p>
      <w:pPr>
        <w:spacing w:after="0" w:line="236" w:lineRule="exact"/>
        <w:rPr>
          <w:sz w:val="20"/>
          <w:szCs w:val="20"/>
          <w:color w:val="auto"/>
        </w:rPr>
      </w:pPr>
    </w:p>
    <w:p>
      <w:pPr>
        <w:ind w:left="1620"/>
        <w:spacing w:after="0"/>
        <w:rPr>
          <w:sz w:val="20"/>
          <w:szCs w:val="20"/>
          <w:color w:val="auto"/>
        </w:rPr>
      </w:pPr>
      <w:r>
        <w:rPr>
          <w:rFonts w:ascii="Arial" w:cs="Arial" w:eastAsia="Arial" w:hAnsi="Arial"/>
          <w:sz w:val="15"/>
          <w:szCs w:val="15"/>
          <w:b w:val="1"/>
          <w:bCs w:val="1"/>
          <w:i w:val="1"/>
          <w:iCs w:val="1"/>
          <w:color w:val="auto"/>
        </w:rPr>
        <w:t>Paying users</w:t>
      </w:r>
    </w:p>
    <w:p>
      <w:pPr>
        <w:spacing w:after="0" w:line="98" w:lineRule="exact"/>
        <w:rPr>
          <w:sz w:val="20"/>
          <w:szCs w:val="20"/>
          <w:color w:val="auto"/>
        </w:rPr>
      </w:pPr>
    </w:p>
    <w:p>
      <w:pPr>
        <w:ind w:left="1260" w:right="59" w:firstLine="356"/>
        <w:spacing w:after="0" w:line="283" w:lineRule="auto"/>
        <w:rPr>
          <w:sz w:val="20"/>
          <w:szCs w:val="20"/>
          <w:color w:val="auto"/>
        </w:rPr>
      </w:pPr>
      <w:r>
        <w:rPr>
          <w:rFonts w:ascii="Arial" w:cs="Arial" w:eastAsia="Arial" w:hAnsi="Arial"/>
          <w:sz w:val="14"/>
          <w:szCs w:val="14"/>
          <w:color w:val="auto"/>
        </w:rPr>
        <w:t>We define paying users as the number of users who have active paid licenses for access to our platform as of the end of the period. One person would count as multiple paying users if the person had more than one active license. For example, a 50-person Dropbox Business team would count as 50 paying users, and an individual Dropbox Plus user would count as one paying user. If that individual Dropbox Plus user was also part of the 50-person Dropbox Business team, we would count the individual as two paying users.</w:t>
      </w:r>
    </w:p>
    <w:p>
      <w:pPr>
        <w:spacing w:after="0" w:line="143" w:lineRule="exact"/>
        <w:rPr>
          <w:sz w:val="20"/>
          <w:szCs w:val="20"/>
          <w:color w:val="auto"/>
        </w:rPr>
      </w:pPr>
    </w:p>
    <w:p>
      <w:pPr>
        <w:ind w:left="1620"/>
        <w:spacing w:after="0"/>
        <w:rPr>
          <w:sz w:val="20"/>
          <w:szCs w:val="20"/>
          <w:color w:val="auto"/>
        </w:rPr>
      </w:pPr>
      <w:r>
        <w:rPr>
          <w:rFonts w:ascii="Arial" w:cs="Arial" w:eastAsia="Arial" w:hAnsi="Arial"/>
          <w:sz w:val="15"/>
          <w:szCs w:val="15"/>
          <w:color w:val="auto"/>
        </w:rPr>
        <w:t>The below table sets forth the number of paying users as of December 31, 2015, 2016, and 2017:</w:t>
      </w:r>
    </w:p>
    <w:p>
      <w:pPr>
        <w:spacing w:after="0" w:line="202" w:lineRule="exact"/>
        <w:rPr>
          <w:sz w:val="20"/>
          <w:szCs w:val="20"/>
          <w:color w:val="auto"/>
        </w:rPr>
      </w:pPr>
    </w:p>
    <w:p>
      <w:pPr>
        <w:ind w:left="8160"/>
        <w:spacing w:after="0"/>
        <w:rPr>
          <w:sz w:val="20"/>
          <w:szCs w:val="20"/>
          <w:color w:val="auto"/>
        </w:rPr>
      </w:pPr>
      <w:r>
        <w:rPr>
          <w:rFonts w:ascii="Arial" w:cs="Arial" w:eastAsia="Arial" w:hAnsi="Arial"/>
          <w:sz w:val="12"/>
          <w:szCs w:val="12"/>
          <w:b w:val="1"/>
          <w:bCs w:val="1"/>
          <w:color w:val="auto"/>
        </w:rPr>
        <w:t>As of December 31,</w:t>
      </w:r>
    </w:p>
    <w:p>
      <w:pPr>
        <w:spacing w:after="0" w:line="9" w:lineRule="exact"/>
        <w:rPr>
          <w:sz w:val="20"/>
          <w:szCs w:val="20"/>
          <w:color w:val="auto"/>
        </w:rPr>
      </w:pPr>
    </w:p>
    <w:p>
      <w:pPr>
        <w:ind w:left="7920"/>
        <w:spacing w:after="0"/>
        <w:tabs>
          <w:tab w:leader="none" w:pos="8500" w:val="left"/>
          <w:tab w:leader="none" w:pos="9100" w:val="left"/>
        </w:tabs>
        <w:rPr>
          <w:sz w:val="20"/>
          <w:szCs w:val="20"/>
          <w:color w:val="auto"/>
        </w:rPr>
      </w:pPr>
      <w:r>
        <w:rPr>
          <w:rFonts w:ascii="Arial" w:cs="Arial" w:eastAsia="Arial" w:hAnsi="Arial"/>
          <w:sz w:val="12"/>
          <w:szCs w:val="12"/>
          <w:b w:val="1"/>
          <w:bCs w:val="1"/>
          <w:color w:val="auto"/>
        </w:rPr>
        <w:t>2015</w:t>
      </w:r>
      <w:r>
        <w:rPr>
          <w:sz w:val="20"/>
          <w:szCs w:val="20"/>
          <w:color w:val="auto"/>
        </w:rPr>
        <w:tab/>
      </w:r>
      <w:r>
        <w:rPr>
          <w:rFonts w:ascii="Arial" w:cs="Arial" w:eastAsia="Arial" w:hAnsi="Arial"/>
          <w:sz w:val="12"/>
          <w:szCs w:val="12"/>
          <w:b w:val="1"/>
          <w:bCs w:val="1"/>
          <w:color w:val="auto"/>
        </w:rPr>
        <w:t>2016</w:t>
      </w:r>
      <w:r>
        <w:rPr>
          <w:sz w:val="20"/>
          <w:szCs w:val="20"/>
          <w:color w:val="auto"/>
        </w:rPr>
        <w:tab/>
      </w:r>
      <w:r>
        <w:rPr>
          <w:rFonts w:ascii="Arial" w:cs="Arial" w:eastAsia="Arial" w:hAnsi="Arial"/>
          <w:sz w:val="10"/>
          <w:szCs w:val="10"/>
          <w:b w:val="1"/>
          <w:bCs w:val="1"/>
          <w:color w:val="auto"/>
        </w:rPr>
        <w:t>2017</w:t>
      </w:r>
    </w:p>
    <w:p>
      <w:pPr>
        <w:ind w:left="8360"/>
        <w:spacing w:after="0" w:line="225" w:lineRule="auto"/>
        <w:rPr>
          <w:sz w:val="20"/>
          <w:szCs w:val="20"/>
          <w:color w:val="auto"/>
        </w:rPr>
      </w:pPr>
      <w:r>
        <w:rPr>
          <w:rFonts w:ascii="Arial" w:cs="Arial" w:eastAsia="Arial" w:hAnsi="Arial"/>
          <w:sz w:val="12"/>
          <w:szCs w:val="12"/>
          <w:i w:val="1"/>
          <w:iCs w:val="1"/>
          <w:color w:val="auto"/>
        </w:rPr>
        <w:t>(In millions)</w:t>
      </w:r>
    </w:p>
    <w:p>
      <w:pPr>
        <w:spacing w:after="0" w:line="8" w:lineRule="exact"/>
        <w:rPr>
          <w:sz w:val="20"/>
          <w:szCs w:val="20"/>
          <w:color w:val="auto"/>
        </w:rPr>
      </w:pPr>
    </w:p>
    <w:tbl>
      <w:tblPr>
        <w:tblLayout w:type="fixed"/>
        <w:tblInd w:w="1980" w:type="dxa"/>
        <w:tblCellMar>
          <w:top w:w="0" w:type="dxa"/>
          <w:left w:w="0" w:type="dxa"/>
          <w:bottom w:w="0" w:type="dxa"/>
          <w:right w:w="0" w:type="dxa"/>
        </w:tblCellMar>
      </w:tblPr>
      <w:tr>
        <w:trPr>
          <w:trHeight w:val="172"/>
        </w:trPr>
        <w:tc>
          <w:tcPr>
            <w:tcW w:w="3380" w:type="dxa"/>
            <w:vAlign w:val="bottom"/>
            <w:shd w:val="clear" w:color="auto" w:fill="CCEEFF"/>
          </w:tcPr>
          <w:p>
            <w:pPr>
              <w:spacing w:after="0"/>
              <w:rPr>
                <w:sz w:val="20"/>
                <w:szCs w:val="20"/>
                <w:color w:val="auto"/>
              </w:rPr>
            </w:pPr>
            <w:r>
              <w:rPr>
                <w:rFonts w:ascii="Arial" w:cs="Arial" w:eastAsia="Arial" w:hAnsi="Arial"/>
                <w:sz w:val="15"/>
                <w:szCs w:val="15"/>
                <w:color w:val="auto"/>
              </w:rPr>
              <w:t>Paying users</w:t>
            </w:r>
          </w:p>
        </w:tc>
        <w:tc>
          <w:tcPr>
            <w:tcW w:w="3020" w:type="dxa"/>
            <w:vAlign w:val="bottom"/>
            <w:shd w:val="clear" w:color="auto" w:fill="CCEEFF"/>
          </w:tcPr>
          <w:p>
            <w:pPr>
              <w:jc w:val="right"/>
              <w:ind w:right="125"/>
              <w:spacing w:after="0"/>
              <w:rPr>
                <w:sz w:val="20"/>
                <w:szCs w:val="20"/>
                <w:color w:val="auto"/>
              </w:rPr>
            </w:pPr>
            <w:r>
              <w:rPr>
                <w:rFonts w:ascii="Arial" w:cs="Arial" w:eastAsia="Arial" w:hAnsi="Arial"/>
                <w:sz w:val="15"/>
                <w:szCs w:val="15"/>
                <w:color w:val="auto"/>
              </w:rPr>
              <w:t>6.5</w:t>
            </w:r>
          </w:p>
        </w:tc>
        <w:tc>
          <w:tcPr>
            <w:tcW w:w="580" w:type="dxa"/>
            <w:vAlign w:val="bottom"/>
            <w:shd w:val="clear" w:color="auto" w:fill="CCEEFF"/>
          </w:tcPr>
          <w:p>
            <w:pPr>
              <w:jc w:val="right"/>
              <w:ind w:right="125"/>
              <w:spacing w:after="0"/>
              <w:rPr>
                <w:sz w:val="20"/>
                <w:szCs w:val="20"/>
                <w:color w:val="auto"/>
              </w:rPr>
            </w:pPr>
            <w:r>
              <w:rPr>
                <w:rFonts w:ascii="Arial" w:cs="Arial" w:eastAsia="Arial" w:hAnsi="Arial"/>
                <w:sz w:val="15"/>
                <w:szCs w:val="15"/>
                <w:color w:val="auto"/>
              </w:rPr>
              <w:t>8.8</w:t>
            </w:r>
          </w:p>
        </w:tc>
        <w:tc>
          <w:tcPr>
            <w:tcW w:w="4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11.0</w:t>
            </w:r>
          </w:p>
        </w:tc>
      </w:tr>
    </w:tbl>
    <w:p>
      <w:pPr>
        <w:spacing w:after="0" w:line="260" w:lineRule="exact"/>
        <w:rPr>
          <w:sz w:val="20"/>
          <w:szCs w:val="20"/>
          <w:color w:val="auto"/>
        </w:rPr>
      </w:pPr>
    </w:p>
    <w:p>
      <w:pPr>
        <w:ind w:left="1620"/>
        <w:spacing w:after="0"/>
        <w:rPr>
          <w:sz w:val="20"/>
          <w:szCs w:val="20"/>
          <w:color w:val="auto"/>
        </w:rPr>
      </w:pPr>
      <w:r>
        <w:rPr>
          <w:rFonts w:ascii="Arial" w:cs="Arial" w:eastAsia="Arial" w:hAnsi="Arial"/>
          <w:sz w:val="15"/>
          <w:szCs w:val="15"/>
          <w:b w:val="1"/>
          <w:bCs w:val="1"/>
          <w:i w:val="1"/>
          <w:iCs w:val="1"/>
          <w:color w:val="auto"/>
        </w:rPr>
        <w:t>Average revenue per paying user</w:t>
      </w:r>
    </w:p>
    <w:p>
      <w:pPr>
        <w:spacing w:after="0" w:line="98" w:lineRule="exact"/>
        <w:rPr>
          <w:sz w:val="20"/>
          <w:szCs w:val="20"/>
          <w:color w:val="auto"/>
        </w:rPr>
      </w:pPr>
    </w:p>
    <w:p>
      <w:pPr>
        <w:ind w:left="1260" w:right="79" w:firstLine="356"/>
        <w:spacing w:after="0" w:line="283" w:lineRule="auto"/>
        <w:rPr>
          <w:sz w:val="20"/>
          <w:szCs w:val="20"/>
          <w:color w:val="auto"/>
        </w:rPr>
      </w:pPr>
      <w:r>
        <w:rPr>
          <w:rFonts w:ascii="Arial" w:cs="Arial" w:eastAsia="Arial" w:hAnsi="Arial"/>
          <w:sz w:val="14"/>
          <w:szCs w:val="14"/>
          <w:color w:val="auto"/>
        </w:rPr>
        <w:t>We define average revenue per paying user, or ARPU, as our revenue for the period presented divided by the average paying users during the same period. For interim periods, we use annualized revenue, which is calculated by dividing the revenue for the particular period by the number of days in that period and multiplying this value by 365 days. Average paying users are calculated based on adding the number of paying users as of the beginning of the period to the number of paying users as of the end of the period, and then dividing by two.</w:t>
      </w:r>
    </w:p>
    <w:p>
      <w:pPr>
        <w:spacing w:after="0" w:line="143" w:lineRule="exact"/>
        <w:rPr>
          <w:sz w:val="20"/>
          <w:szCs w:val="20"/>
          <w:color w:val="auto"/>
        </w:rPr>
      </w:pPr>
    </w:p>
    <w:p>
      <w:pPr>
        <w:ind w:left="1620"/>
        <w:spacing w:after="0"/>
        <w:rPr>
          <w:sz w:val="20"/>
          <w:szCs w:val="20"/>
          <w:color w:val="auto"/>
        </w:rPr>
      </w:pPr>
      <w:r>
        <w:rPr>
          <w:rFonts w:ascii="Arial" w:cs="Arial" w:eastAsia="Arial" w:hAnsi="Arial"/>
          <w:sz w:val="15"/>
          <w:szCs w:val="15"/>
          <w:color w:val="auto"/>
        </w:rPr>
        <w:t>The below table sets forth our ARPU for the years ended December 31, 2015, 2016, and 2017.</w:t>
      </w:r>
    </w:p>
    <w:p>
      <w:pPr>
        <w:spacing w:after="0" w:line="202" w:lineRule="exact"/>
        <w:rPr>
          <w:sz w:val="20"/>
          <w:szCs w:val="20"/>
          <w:color w:val="auto"/>
        </w:rPr>
      </w:pPr>
    </w:p>
    <w:tbl>
      <w:tblPr>
        <w:tblLayout w:type="fixed"/>
        <w:tblInd w:w="1620" w:type="dxa"/>
        <w:tblCellMar>
          <w:top w:w="0" w:type="dxa"/>
          <w:left w:w="0" w:type="dxa"/>
          <w:bottom w:w="0" w:type="dxa"/>
          <w:right w:w="0" w:type="dxa"/>
        </w:tblCellMar>
      </w:tblPr>
      <w:tr>
        <w:trPr>
          <w:trHeight w:val="144"/>
        </w:trPr>
        <w:tc>
          <w:tcPr>
            <w:tcW w:w="3160" w:type="dxa"/>
            <w:vAlign w:val="bottom"/>
          </w:tcPr>
          <w:p>
            <w:pPr>
              <w:spacing w:after="0"/>
              <w:rPr>
                <w:sz w:val="12"/>
                <w:szCs w:val="12"/>
                <w:color w:val="auto"/>
              </w:rPr>
            </w:pPr>
          </w:p>
        </w:tc>
        <w:tc>
          <w:tcPr>
            <w:tcW w:w="2760" w:type="dxa"/>
            <w:vAlign w:val="bottom"/>
          </w:tcPr>
          <w:p>
            <w:pPr>
              <w:spacing w:after="0"/>
              <w:rPr>
                <w:sz w:val="12"/>
                <w:szCs w:val="12"/>
                <w:color w:val="auto"/>
              </w:rPr>
            </w:pPr>
          </w:p>
        </w:tc>
        <w:tc>
          <w:tcPr>
            <w:tcW w:w="2260" w:type="dxa"/>
            <w:vAlign w:val="bottom"/>
            <w:gridSpan w:val="6"/>
          </w:tcPr>
          <w:p>
            <w:pPr>
              <w:ind w:left="460"/>
              <w:spacing w:after="0"/>
              <w:rPr>
                <w:sz w:val="20"/>
                <w:szCs w:val="20"/>
                <w:color w:val="auto"/>
              </w:rPr>
            </w:pPr>
            <w:r>
              <w:rPr>
                <w:rFonts w:ascii="Arial" w:cs="Arial" w:eastAsia="Arial" w:hAnsi="Arial"/>
                <w:sz w:val="12"/>
                <w:szCs w:val="12"/>
                <w:b w:val="1"/>
                <w:bCs w:val="1"/>
                <w:color w:val="auto"/>
              </w:rPr>
              <w:t>Year ended December 31,</w:t>
            </w:r>
          </w:p>
        </w:tc>
      </w:tr>
      <w:tr>
        <w:trPr>
          <w:trHeight w:val="115"/>
        </w:trPr>
        <w:tc>
          <w:tcPr>
            <w:tcW w:w="3160" w:type="dxa"/>
            <w:vAlign w:val="bottom"/>
          </w:tcPr>
          <w:p>
            <w:pPr>
              <w:spacing w:after="0"/>
              <w:rPr>
                <w:sz w:val="10"/>
                <w:szCs w:val="10"/>
                <w:color w:val="auto"/>
              </w:rPr>
            </w:pPr>
          </w:p>
        </w:tc>
        <w:tc>
          <w:tcPr>
            <w:tcW w:w="2760" w:type="dxa"/>
            <w:vAlign w:val="bottom"/>
          </w:tcPr>
          <w:p>
            <w:pPr>
              <w:spacing w:after="0"/>
              <w:rPr>
                <w:sz w:val="10"/>
                <w:szCs w:val="10"/>
                <w:color w:val="auto"/>
              </w:rPr>
            </w:pPr>
          </w:p>
        </w:tc>
        <w:tc>
          <w:tcPr>
            <w:tcW w:w="500" w:type="dxa"/>
            <w:vAlign w:val="bottom"/>
            <w:tcBorders>
              <w:top w:val="single" w:sz="8" w:color="auto"/>
            </w:tcBorders>
          </w:tcPr>
          <w:p>
            <w:pPr>
              <w:jc w:val="right"/>
              <w:ind w:right="75"/>
              <w:spacing w:after="0" w:line="115" w:lineRule="exact"/>
              <w:rPr>
                <w:sz w:val="20"/>
                <w:szCs w:val="20"/>
                <w:color w:val="auto"/>
              </w:rPr>
            </w:pPr>
            <w:r>
              <w:rPr>
                <w:rFonts w:ascii="Arial" w:cs="Arial" w:eastAsia="Arial" w:hAnsi="Arial"/>
                <w:sz w:val="12"/>
                <w:szCs w:val="12"/>
                <w:b w:val="1"/>
                <w:bCs w:val="1"/>
                <w:color w:val="auto"/>
              </w:rPr>
              <w:t>2015</w:t>
            </w:r>
          </w:p>
        </w:tc>
        <w:tc>
          <w:tcPr>
            <w:tcW w:w="860" w:type="dxa"/>
            <w:vAlign w:val="bottom"/>
            <w:tcBorders>
              <w:top w:val="single" w:sz="8" w:color="auto"/>
            </w:tcBorders>
            <w:gridSpan w:val="2"/>
          </w:tcPr>
          <w:p>
            <w:pPr>
              <w:jc w:val="right"/>
              <w:ind w:right="45"/>
              <w:spacing w:after="0" w:line="115" w:lineRule="exact"/>
              <w:rPr>
                <w:sz w:val="20"/>
                <w:szCs w:val="20"/>
                <w:color w:val="auto"/>
              </w:rPr>
            </w:pPr>
            <w:r>
              <w:rPr>
                <w:rFonts w:ascii="Arial" w:cs="Arial" w:eastAsia="Arial" w:hAnsi="Arial"/>
                <w:sz w:val="12"/>
                <w:szCs w:val="12"/>
                <w:b w:val="1"/>
                <w:bCs w:val="1"/>
                <w:color w:val="auto"/>
              </w:rPr>
              <w:t>2016</w:t>
            </w:r>
          </w:p>
        </w:tc>
        <w:tc>
          <w:tcPr>
            <w:tcW w:w="860" w:type="dxa"/>
            <w:vAlign w:val="bottom"/>
            <w:tcBorders>
              <w:top w:val="single" w:sz="8" w:color="auto"/>
            </w:tcBorders>
            <w:gridSpan w:val="2"/>
          </w:tcPr>
          <w:p>
            <w:pPr>
              <w:jc w:val="right"/>
              <w:ind w:right="45"/>
              <w:spacing w:after="0" w:line="115" w:lineRule="exact"/>
              <w:rPr>
                <w:sz w:val="20"/>
                <w:szCs w:val="20"/>
                <w:color w:val="auto"/>
              </w:rPr>
            </w:pPr>
            <w:r>
              <w:rPr>
                <w:rFonts w:ascii="Arial" w:cs="Arial" w:eastAsia="Arial" w:hAnsi="Arial"/>
                <w:sz w:val="12"/>
                <w:szCs w:val="12"/>
                <w:b w:val="1"/>
                <w:bCs w:val="1"/>
                <w:color w:val="auto"/>
              </w:rPr>
              <w:t>2017</w:t>
            </w:r>
          </w:p>
        </w:tc>
        <w:tc>
          <w:tcPr>
            <w:tcW w:w="40" w:type="dxa"/>
            <w:vAlign w:val="bottom"/>
          </w:tcPr>
          <w:p>
            <w:pPr>
              <w:spacing w:after="0"/>
              <w:rPr>
                <w:sz w:val="10"/>
                <w:szCs w:val="10"/>
                <w:color w:val="auto"/>
              </w:rPr>
            </w:pPr>
          </w:p>
        </w:tc>
      </w:tr>
      <w:tr>
        <w:trPr>
          <w:trHeight w:val="172"/>
        </w:trPr>
        <w:tc>
          <w:tcPr>
            <w:tcW w:w="3160" w:type="dxa"/>
            <w:vAlign w:val="bottom"/>
            <w:tcBorders>
              <w:top w:val="single" w:sz="8" w:color="CCEEFF"/>
            </w:tcBorders>
            <w:shd w:val="clear" w:color="auto" w:fill="CCEEFF"/>
          </w:tcPr>
          <w:p>
            <w:pPr>
              <w:spacing w:after="0" w:line="170" w:lineRule="exact"/>
              <w:rPr>
                <w:sz w:val="20"/>
                <w:szCs w:val="20"/>
                <w:color w:val="auto"/>
              </w:rPr>
            </w:pPr>
            <w:r>
              <w:rPr>
                <w:rFonts w:ascii="Arial" w:cs="Arial" w:eastAsia="Arial" w:hAnsi="Arial"/>
                <w:sz w:val="15"/>
                <w:szCs w:val="15"/>
                <w:color w:val="auto"/>
              </w:rPr>
              <w:t>ARPU</w:t>
            </w:r>
          </w:p>
        </w:tc>
        <w:tc>
          <w:tcPr>
            <w:tcW w:w="2760" w:type="dxa"/>
            <w:vAlign w:val="bottom"/>
            <w:tcBorders>
              <w:top w:val="single" w:sz="8" w:color="CCEEFF"/>
            </w:tcBorders>
            <w:shd w:val="clear" w:color="auto" w:fill="CCEEFF"/>
          </w:tcPr>
          <w:p>
            <w:pPr>
              <w:spacing w:after="0"/>
              <w:rPr>
                <w:sz w:val="14"/>
                <w:szCs w:val="14"/>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88"/>
              </w:rPr>
              <w:t>$113.54</w:t>
            </w:r>
          </w:p>
        </w:tc>
        <w:tc>
          <w:tcPr>
            <w:tcW w:w="360" w:type="dxa"/>
            <w:vAlign w:val="bottom"/>
            <w:tcBorders>
              <w:top w:val="single" w:sz="8" w:color="CCEEFF"/>
            </w:tcBorders>
            <w:shd w:val="clear" w:color="auto" w:fill="CCEEFF"/>
          </w:tcPr>
          <w:p>
            <w:pPr>
              <w:spacing w:after="0"/>
              <w:rPr>
                <w:sz w:val="14"/>
                <w:szCs w:val="14"/>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88"/>
              </w:rPr>
              <w:t>$110.54</w:t>
            </w:r>
          </w:p>
        </w:tc>
        <w:tc>
          <w:tcPr>
            <w:tcW w:w="380" w:type="dxa"/>
            <w:vAlign w:val="bottom"/>
            <w:tcBorders>
              <w:top w:val="single" w:sz="8" w:color="CCEEFF"/>
            </w:tcBorders>
            <w:shd w:val="clear" w:color="auto" w:fill="CCEEFF"/>
          </w:tcPr>
          <w:p>
            <w:pPr>
              <w:spacing w:after="0"/>
              <w:rPr>
                <w:sz w:val="14"/>
                <w:szCs w:val="14"/>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84"/>
              </w:rPr>
              <w:t>$111.91</w:t>
            </w:r>
          </w:p>
        </w:tc>
        <w:tc>
          <w:tcPr>
            <w:tcW w:w="40" w:type="dxa"/>
            <w:vAlign w:val="bottom"/>
            <w:tcBorders>
              <w:top w:val="single" w:sz="8" w:color="CCEEFF"/>
            </w:tcBorders>
            <w:shd w:val="clear" w:color="auto" w:fill="CCEEFF"/>
          </w:tcPr>
          <w:p>
            <w:pPr>
              <w:spacing w:after="0"/>
              <w:rPr>
                <w:sz w:val="14"/>
                <w:szCs w:val="14"/>
                <w:color w:val="auto"/>
              </w:rPr>
            </w:pPr>
          </w:p>
        </w:tc>
      </w:tr>
    </w:tbl>
    <w:p>
      <w:pPr>
        <w:spacing w:after="0" w:line="260" w:lineRule="exact"/>
        <w:rPr>
          <w:sz w:val="20"/>
          <w:szCs w:val="20"/>
          <w:color w:val="auto"/>
        </w:rPr>
      </w:pPr>
    </w:p>
    <w:p>
      <w:pPr>
        <w:ind w:left="1620"/>
        <w:spacing w:after="0"/>
        <w:rPr>
          <w:sz w:val="20"/>
          <w:szCs w:val="20"/>
          <w:color w:val="auto"/>
        </w:rPr>
      </w:pPr>
      <w:r>
        <w:rPr>
          <w:rFonts w:ascii="Arial" w:cs="Arial" w:eastAsia="Arial" w:hAnsi="Arial"/>
          <w:sz w:val="15"/>
          <w:szCs w:val="15"/>
          <w:b w:val="1"/>
          <w:bCs w:val="1"/>
          <w:i w:val="1"/>
          <w:iCs w:val="1"/>
          <w:color w:val="auto"/>
        </w:rPr>
        <w:t>Free cash flow</w:t>
      </w:r>
    </w:p>
    <w:p>
      <w:pPr>
        <w:spacing w:after="0" w:line="98" w:lineRule="exact"/>
        <w:rPr>
          <w:sz w:val="20"/>
          <w:szCs w:val="20"/>
          <w:color w:val="auto"/>
        </w:rPr>
      </w:pPr>
    </w:p>
    <w:p>
      <w:pPr>
        <w:ind w:left="1620"/>
        <w:spacing w:after="0"/>
        <w:rPr>
          <w:sz w:val="20"/>
          <w:szCs w:val="20"/>
          <w:color w:val="auto"/>
        </w:rPr>
      </w:pPr>
      <w:r>
        <w:rPr>
          <w:rFonts w:ascii="Arial" w:cs="Arial" w:eastAsia="Arial" w:hAnsi="Arial"/>
          <w:sz w:val="15"/>
          <w:szCs w:val="15"/>
          <w:color w:val="auto"/>
        </w:rPr>
        <w:t>We define free cash flow, or FCF, as net cash provided by operating activities less capital expenditures.</w:t>
      </w:r>
    </w:p>
    <w:p>
      <w:pPr>
        <w:spacing w:after="0" w:line="200" w:lineRule="exact"/>
        <w:rPr>
          <w:sz w:val="20"/>
          <w:szCs w:val="20"/>
          <w:color w:val="auto"/>
        </w:rPr>
      </w:pPr>
    </w:p>
    <w:p>
      <w:pPr>
        <w:spacing w:after="0" w:line="349" w:lineRule="exact"/>
        <w:rPr>
          <w:sz w:val="20"/>
          <w:szCs w:val="20"/>
          <w:color w:val="auto"/>
        </w:rPr>
      </w:pPr>
    </w:p>
    <w:p>
      <w:pPr>
        <w:ind w:left="5640"/>
        <w:spacing w:after="0"/>
        <w:rPr>
          <w:sz w:val="20"/>
          <w:szCs w:val="20"/>
          <w:color w:val="auto"/>
        </w:rPr>
      </w:pPr>
      <w:r>
        <w:rPr>
          <w:rFonts w:ascii="Arial" w:cs="Arial" w:eastAsia="Arial" w:hAnsi="Arial"/>
          <w:sz w:val="15"/>
          <w:szCs w:val="15"/>
          <w:color w:val="auto"/>
        </w:rPr>
        <w:t>14</w:t>
      </w:r>
    </w:p>
    <w:p>
      <w:pPr>
        <w:sectPr>
          <w:pgSz w:w="11900" w:h="16838" w:orient="portrait"/>
          <w:cols w:equalWidth="0" w:num="1">
            <w:col w:w="10219"/>
          </w:cols>
          <w:pgMar w:left="240" w:top="407" w:right="1440" w:bottom="1440" w:gutter="0" w:footer="0" w:header="0"/>
        </w:sectPr>
      </w:pPr>
    </w:p>
    <w:bookmarkStart w:id="21" w:name="page22"/>
    <w:bookmarkEnd w:id="21"/>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133350</wp:posOffset>
            </wp:positionH>
            <wp:positionV relativeFrom="page">
              <wp:posOffset>88900</wp:posOffset>
            </wp:positionV>
            <wp:extent cx="7308850" cy="342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308850" cy="34290"/>
                    </a:xfrm>
                    <a:prstGeom prst="rect">
                      <a:avLst/>
                    </a:prstGeom>
                    <a:noFill/>
                  </pic:spPr>
                </pic:pic>
              </a:graphicData>
            </a:graphic>
          </wp:anchor>
        </w:drawing>
      </w:r>
      <w:hyperlink w:anchor="page7">
        <w:r>
          <w:rPr>
            <w:rFonts w:ascii="Arial" w:cs="Arial" w:eastAsia="Arial" w:hAnsi="Arial"/>
            <w:sz w:val="15"/>
            <w:szCs w:val="15"/>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707390</wp:posOffset>
            </wp:positionH>
            <wp:positionV relativeFrom="paragraph">
              <wp:posOffset>168910</wp:posOffset>
            </wp:positionV>
            <wp:extent cx="5849620" cy="146685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849620" cy="1466850"/>
                    </a:xfrm>
                    <a:prstGeom prst="rect">
                      <a:avLst/>
                    </a:prstGeom>
                    <a:noFill/>
                  </pic:spPr>
                </pic:pic>
              </a:graphicData>
            </a:graphic>
          </wp:anchor>
        </w:drawing>
      </w:r>
    </w:p>
    <w:p>
      <w:pPr>
        <w:spacing w:after="0" w:line="397" w:lineRule="exact"/>
        <w:rPr>
          <w:sz w:val="20"/>
          <w:szCs w:val="20"/>
          <w:color w:val="auto"/>
        </w:rPr>
      </w:pPr>
    </w:p>
    <w:p>
      <w:pPr>
        <w:ind w:left="1620"/>
        <w:spacing w:after="0"/>
        <w:rPr>
          <w:sz w:val="20"/>
          <w:szCs w:val="20"/>
          <w:color w:val="auto"/>
        </w:rPr>
      </w:pPr>
      <w:r>
        <w:rPr>
          <w:rFonts w:ascii="Arial" w:cs="Arial" w:eastAsia="Arial" w:hAnsi="Arial"/>
          <w:sz w:val="15"/>
          <w:szCs w:val="15"/>
          <w:color w:val="auto"/>
        </w:rPr>
        <w:t>The following is a reconciliation of FCF to the most comparable GAAP measure, net cash provided by operating activities:</w:t>
      </w:r>
    </w:p>
    <w:p>
      <w:pPr>
        <w:spacing w:after="0" w:line="202" w:lineRule="exact"/>
        <w:rPr>
          <w:sz w:val="20"/>
          <w:szCs w:val="20"/>
          <w:color w:val="auto"/>
        </w:rPr>
      </w:pPr>
    </w:p>
    <w:p>
      <w:pPr>
        <w:jc w:val="center"/>
        <w:ind w:left="5920"/>
        <w:spacing w:after="0"/>
        <w:rPr>
          <w:sz w:val="20"/>
          <w:szCs w:val="20"/>
          <w:color w:val="auto"/>
        </w:rPr>
      </w:pPr>
      <w:r>
        <w:rPr>
          <w:rFonts w:ascii="Arial" w:cs="Arial" w:eastAsia="Arial" w:hAnsi="Arial"/>
          <w:sz w:val="12"/>
          <w:szCs w:val="12"/>
          <w:b w:val="1"/>
          <w:bCs w:val="1"/>
          <w:color w:val="auto"/>
        </w:rPr>
        <w:t>Year ended December 31,</w:t>
      </w:r>
    </w:p>
    <w:p>
      <w:pPr>
        <w:spacing w:after="0" w:line="9" w:lineRule="exact"/>
        <w:rPr>
          <w:sz w:val="20"/>
          <w:szCs w:val="20"/>
          <w:color w:val="auto"/>
        </w:rPr>
      </w:pPr>
    </w:p>
    <w:p>
      <w:pPr>
        <w:ind w:left="7700"/>
        <w:spacing w:after="0"/>
        <w:tabs>
          <w:tab w:leader="none" w:pos="8520" w:val="left"/>
          <w:tab w:leader="none" w:pos="9360" w:val="left"/>
        </w:tabs>
        <w:rPr>
          <w:sz w:val="20"/>
          <w:szCs w:val="20"/>
          <w:color w:val="auto"/>
        </w:rPr>
      </w:pPr>
      <w:r>
        <w:rPr>
          <w:rFonts w:ascii="Arial" w:cs="Arial" w:eastAsia="Arial" w:hAnsi="Arial"/>
          <w:sz w:val="12"/>
          <w:szCs w:val="12"/>
          <w:b w:val="1"/>
          <w:bCs w:val="1"/>
          <w:color w:val="auto"/>
        </w:rPr>
        <w:t>2015</w:t>
      </w:r>
      <w:r>
        <w:rPr>
          <w:sz w:val="20"/>
          <w:szCs w:val="20"/>
          <w:color w:val="auto"/>
        </w:rPr>
        <w:tab/>
      </w:r>
      <w:r>
        <w:rPr>
          <w:rFonts w:ascii="Arial" w:cs="Arial" w:eastAsia="Arial" w:hAnsi="Arial"/>
          <w:sz w:val="12"/>
          <w:szCs w:val="12"/>
          <w:b w:val="1"/>
          <w:bCs w:val="1"/>
          <w:color w:val="auto"/>
        </w:rPr>
        <w:t>2016</w:t>
      </w:r>
      <w:r>
        <w:rPr>
          <w:sz w:val="20"/>
          <w:szCs w:val="20"/>
          <w:color w:val="auto"/>
        </w:rPr>
        <w:tab/>
      </w:r>
      <w:r>
        <w:rPr>
          <w:rFonts w:ascii="Arial" w:cs="Arial" w:eastAsia="Arial" w:hAnsi="Arial"/>
          <w:sz w:val="10"/>
          <w:szCs w:val="10"/>
          <w:b w:val="1"/>
          <w:bCs w:val="1"/>
          <w:color w:val="auto"/>
        </w:rPr>
        <w:t>2017</w:t>
      </w:r>
    </w:p>
    <w:p>
      <w:pPr>
        <w:ind w:left="8380"/>
        <w:spacing w:after="0" w:line="225" w:lineRule="auto"/>
        <w:rPr>
          <w:sz w:val="20"/>
          <w:szCs w:val="20"/>
          <w:color w:val="auto"/>
        </w:rPr>
      </w:pPr>
      <w:r>
        <w:rPr>
          <w:rFonts w:ascii="Arial" w:cs="Arial" w:eastAsia="Arial" w:hAnsi="Arial"/>
          <w:sz w:val="12"/>
          <w:szCs w:val="12"/>
          <w:i w:val="1"/>
          <w:iCs w:val="1"/>
          <w:color w:val="auto"/>
        </w:rPr>
        <w:t>(In millions)</w:t>
      </w:r>
    </w:p>
    <w:p>
      <w:pPr>
        <w:spacing w:after="0" w:line="8" w:lineRule="exact"/>
        <w:rPr>
          <w:sz w:val="20"/>
          <w:szCs w:val="20"/>
          <w:color w:val="auto"/>
        </w:rPr>
      </w:pPr>
    </w:p>
    <w:tbl>
      <w:tblPr>
        <w:tblLayout w:type="fixed"/>
        <w:tblInd w:w="162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4220" w:type="dxa"/>
            <w:vAlign w:val="bottom"/>
            <w:shd w:val="clear" w:color="auto" w:fill="CCEEFF"/>
          </w:tcPr>
          <w:p>
            <w:pPr>
              <w:spacing w:after="0"/>
              <w:rPr>
                <w:sz w:val="20"/>
                <w:szCs w:val="20"/>
                <w:color w:val="auto"/>
              </w:rPr>
            </w:pPr>
            <w:r>
              <w:rPr>
                <w:rFonts w:ascii="Arial" w:cs="Arial" w:eastAsia="Arial" w:hAnsi="Arial"/>
                <w:sz w:val="15"/>
                <w:szCs w:val="15"/>
                <w:color w:val="auto"/>
              </w:rPr>
              <w:t>Net cash provided by operating activities</w:t>
            </w:r>
          </w:p>
        </w:tc>
        <w:tc>
          <w:tcPr>
            <w:tcW w:w="216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$ 14.8</w:t>
            </w:r>
          </w:p>
        </w:tc>
        <w:tc>
          <w:tcPr>
            <w:tcW w:w="22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$ 252.6</w:t>
            </w:r>
          </w:p>
        </w:tc>
        <w:tc>
          <w:tcPr>
            <w:tcW w:w="240" w:type="dxa"/>
            <w:vAlign w:val="bottom"/>
            <w:shd w:val="clear" w:color="auto" w:fill="CCEEFF"/>
          </w:tcPr>
          <w:p>
            <w:pPr>
              <w:spacing w:after="0"/>
              <w:rPr>
                <w:sz w:val="14"/>
                <w:szCs w:val="14"/>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$330.3</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220" w:type="dxa"/>
            <w:vAlign w:val="bottom"/>
          </w:tcPr>
          <w:p>
            <w:pPr>
              <w:spacing w:after="0"/>
              <w:rPr>
                <w:sz w:val="20"/>
                <w:szCs w:val="20"/>
                <w:color w:val="auto"/>
              </w:rPr>
            </w:pPr>
            <w:r>
              <w:rPr>
                <w:rFonts w:ascii="Arial" w:cs="Arial" w:eastAsia="Arial" w:hAnsi="Arial"/>
                <w:sz w:val="15"/>
                <w:szCs w:val="15"/>
                <w:color w:val="auto"/>
              </w:rPr>
              <w:t>Capital expenditures</w:t>
            </w:r>
          </w:p>
        </w:tc>
        <w:tc>
          <w:tcPr>
            <w:tcW w:w="1760" w:type="dxa"/>
            <w:vAlign w:val="bottom"/>
          </w:tcPr>
          <w:p>
            <w:pPr>
              <w:spacing w:after="0"/>
              <w:rPr>
                <w:sz w:val="15"/>
                <w:szCs w:val="15"/>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5"/>
                <w:szCs w:val="15"/>
                <w:color w:val="auto"/>
              </w:rPr>
              <w:t>(78.7)</w:t>
            </w:r>
          </w:p>
        </w:tc>
        <w:tc>
          <w:tcPr>
            <w:tcW w:w="880" w:type="dxa"/>
            <w:vAlign w:val="bottom"/>
            <w:gridSpan w:val="3"/>
          </w:tcPr>
          <w:p>
            <w:pPr>
              <w:jc w:val="right"/>
              <w:ind w:right="180"/>
              <w:spacing w:after="0"/>
              <w:rPr>
                <w:sz w:val="20"/>
                <w:szCs w:val="20"/>
                <w:color w:val="auto"/>
              </w:rPr>
            </w:pPr>
            <w:r>
              <w:rPr>
                <w:rFonts w:ascii="Arial" w:cs="Arial" w:eastAsia="Arial" w:hAnsi="Arial"/>
                <w:sz w:val="15"/>
                <w:szCs w:val="15"/>
                <w:color w:val="auto"/>
              </w:rPr>
              <w:t>(115.2)</w:t>
            </w:r>
          </w:p>
        </w:tc>
        <w:tc>
          <w:tcPr>
            <w:tcW w:w="680" w:type="dxa"/>
            <w:vAlign w:val="bottom"/>
            <w:gridSpan w:val="3"/>
          </w:tcPr>
          <w:p>
            <w:pPr>
              <w:jc w:val="right"/>
              <w:ind w:right="40"/>
              <w:spacing w:after="0"/>
              <w:rPr>
                <w:sz w:val="20"/>
                <w:szCs w:val="20"/>
                <w:color w:val="auto"/>
              </w:rPr>
            </w:pPr>
            <w:r>
              <w:rPr>
                <w:rFonts w:ascii="Arial" w:cs="Arial" w:eastAsia="Arial" w:hAnsi="Arial"/>
                <w:sz w:val="15"/>
                <w:szCs w:val="15"/>
                <w:color w:val="auto"/>
              </w:rPr>
              <w:t>(25.3)</w:t>
            </w:r>
          </w:p>
        </w:tc>
        <w:tc>
          <w:tcPr>
            <w:tcW w:w="0" w:type="dxa"/>
            <w:vAlign w:val="bottom"/>
          </w:tcPr>
          <w:p>
            <w:pPr>
              <w:spacing w:after="0"/>
              <w:rPr>
                <w:sz w:val="1"/>
                <w:szCs w:val="1"/>
                <w:color w:val="auto"/>
              </w:rPr>
            </w:pPr>
          </w:p>
        </w:tc>
      </w:tr>
      <w:tr>
        <w:trPr>
          <w:trHeight w:val="23"/>
        </w:trPr>
        <w:tc>
          <w:tcPr>
            <w:tcW w:w="20" w:type="dxa"/>
            <w:vAlign w:val="bottom"/>
            <w:vMerge w:val="restart"/>
          </w:tcPr>
          <w:p>
            <w:pPr>
              <w:spacing w:after="0" w:line="20" w:lineRule="exact"/>
              <w:rPr>
                <w:sz w:val="1"/>
                <w:szCs w:val="1"/>
                <w:color w:val="auto"/>
              </w:rPr>
            </w:pPr>
          </w:p>
        </w:tc>
        <w:tc>
          <w:tcPr>
            <w:tcW w:w="422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20" w:type="dxa"/>
            <w:vAlign w:val="bottom"/>
            <w:vMerge w:val="continue"/>
          </w:tcPr>
          <w:p>
            <w:pPr>
              <w:spacing w:after="0"/>
              <w:rPr>
                <w:sz w:val="15"/>
                <w:szCs w:val="15"/>
                <w:color w:val="auto"/>
              </w:rPr>
            </w:pPr>
          </w:p>
        </w:tc>
        <w:tc>
          <w:tcPr>
            <w:tcW w:w="4220" w:type="dxa"/>
            <w:vAlign w:val="bottom"/>
            <w:shd w:val="clear" w:color="auto" w:fill="CCEEFF"/>
          </w:tcPr>
          <w:p>
            <w:pPr>
              <w:spacing w:after="0"/>
              <w:rPr>
                <w:sz w:val="20"/>
                <w:szCs w:val="20"/>
                <w:color w:val="auto"/>
              </w:rPr>
            </w:pPr>
            <w:r>
              <w:rPr>
                <w:rFonts w:ascii="Arial" w:cs="Arial" w:eastAsia="Arial" w:hAnsi="Arial"/>
                <w:sz w:val="15"/>
                <w:szCs w:val="15"/>
                <w:color w:val="auto"/>
              </w:rPr>
              <w:t>Free cash flow</w:t>
            </w:r>
          </w:p>
        </w:tc>
        <w:tc>
          <w:tcPr>
            <w:tcW w:w="1760" w:type="dxa"/>
            <w:vAlign w:val="bottom"/>
            <w:shd w:val="clear" w:color="auto" w:fill="CCEEFF"/>
          </w:tcPr>
          <w:p>
            <w:pPr>
              <w:spacing w:after="0"/>
              <w:rPr>
                <w:sz w:val="15"/>
                <w:szCs w:val="15"/>
                <w:color w:val="auto"/>
              </w:rPr>
            </w:pP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u w:val="single" w:color="auto"/>
                <w:color w:val="auto"/>
                <w:w w:val="92"/>
              </w:rPr>
              <w:t>$</w:t>
            </w:r>
            <w:r>
              <w:rPr>
                <w:rFonts w:ascii="Arial" w:cs="Arial" w:eastAsia="Arial" w:hAnsi="Arial"/>
                <w:sz w:val="15"/>
                <w:szCs w:val="15"/>
                <w:color w:val="auto"/>
                <w:w w:val="92"/>
              </w:rPr>
              <w:t>(63.9)</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$ 137.4</w:t>
            </w:r>
          </w:p>
        </w:tc>
        <w:tc>
          <w:tcPr>
            <w:tcW w:w="240" w:type="dxa"/>
            <w:vAlign w:val="bottom"/>
            <w:shd w:val="clear" w:color="auto" w:fill="CCEEFF"/>
          </w:tcPr>
          <w:p>
            <w:pPr>
              <w:spacing w:after="0"/>
              <w:rPr>
                <w:sz w:val="15"/>
                <w:szCs w:val="15"/>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5"/>
                <w:szCs w:val="15"/>
                <w:u w:val="single" w:color="auto"/>
                <w:color w:val="auto"/>
              </w:rPr>
              <w:t>$</w:t>
            </w:r>
            <w:r>
              <w:rPr>
                <w:rFonts w:ascii="Arial" w:cs="Arial" w:eastAsia="Arial" w:hAnsi="Arial"/>
                <w:sz w:val="15"/>
                <w:szCs w:val="15"/>
                <w:color w:val="auto"/>
              </w:rPr>
              <w:t>305.0</w:t>
            </w: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2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1" w:lineRule="exact"/>
        <w:rPr>
          <w:sz w:val="20"/>
          <w:szCs w:val="20"/>
          <w:color w:val="auto"/>
        </w:rPr>
      </w:pPr>
    </w:p>
    <w:p>
      <w:pPr>
        <w:ind w:left="1260" w:right="379" w:firstLine="356"/>
        <w:spacing w:after="0" w:line="275" w:lineRule="auto"/>
        <w:rPr>
          <w:sz w:val="20"/>
          <w:szCs w:val="20"/>
          <w:color w:val="auto"/>
        </w:rPr>
      </w:pPr>
      <w:r>
        <w:rPr>
          <w:rFonts w:ascii="Arial" w:cs="Arial" w:eastAsia="Arial" w:hAnsi="Arial"/>
          <w:sz w:val="15"/>
          <w:szCs w:val="15"/>
          <w:color w:val="auto"/>
        </w:rPr>
        <w:t>See the section titled “Management’s Discussion and Analysis of Financial Condition and Results of Operations—Non-GAAP Financial Measure” for additional information.</w:t>
      </w:r>
    </w:p>
    <w:p>
      <w:pPr>
        <w:spacing w:after="0" w:line="200" w:lineRule="exact"/>
        <w:rPr>
          <w:sz w:val="20"/>
          <w:szCs w:val="20"/>
          <w:color w:val="auto"/>
        </w:rPr>
      </w:pPr>
    </w:p>
    <w:p>
      <w:pPr>
        <w:spacing w:after="0" w:line="307" w:lineRule="exact"/>
        <w:rPr>
          <w:sz w:val="20"/>
          <w:szCs w:val="20"/>
          <w:color w:val="auto"/>
        </w:rPr>
      </w:pPr>
    </w:p>
    <w:p>
      <w:pPr>
        <w:ind w:left="5640"/>
        <w:spacing w:after="0"/>
        <w:rPr>
          <w:sz w:val="20"/>
          <w:szCs w:val="20"/>
          <w:color w:val="auto"/>
        </w:rPr>
      </w:pPr>
      <w:r>
        <w:rPr>
          <w:rFonts w:ascii="Arial" w:cs="Arial" w:eastAsia="Arial" w:hAnsi="Arial"/>
          <w:sz w:val="15"/>
          <w:szCs w:val="15"/>
          <w:color w:val="auto"/>
        </w:rPr>
        <w:t>15</w:t>
      </w:r>
    </w:p>
    <w:p>
      <w:pPr>
        <w:sectPr>
          <w:pgSz w:w="11900" w:h="16838" w:orient="portrait"/>
          <w:cols w:equalWidth="0" w:num="1">
            <w:col w:w="10219"/>
          </w:cols>
          <w:pgMar w:left="240" w:top="407" w:right="1440" w:bottom="1440" w:gutter="0" w:footer="0" w:header="0"/>
        </w:sectPr>
      </w:pPr>
    </w:p>
    <w:bookmarkStart w:id="22" w:name="page23"/>
    <w:bookmarkEnd w:id="22"/>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133350</wp:posOffset>
            </wp:positionH>
            <wp:positionV relativeFrom="page">
              <wp:posOffset>88900</wp:posOffset>
            </wp:positionV>
            <wp:extent cx="7308850" cy="342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308850" cy="34290"/>
                    </a:xfrm>
                    <a:prstGeom prst="rect">
                      <a:avLst/>
                    </a:prstGeom>
                    <a:noFill/>
                  </pic:spPr>
                </pic:pic>
              </a:graphicData>
            </a:graphic>
          </wp:anchor>
        </w:drawing>
      </w:r>
      <w:hyperlink w:anchor="page7">
        <w:r>
          <w:rPr>
            <w:rFonts w:ascii="Arial" w:cs="Arial" w:eastAsia="Arial" w:hAnsi="Arial"/>
            <w:sz w:val="15"/>
            <w:szCs w:val="15"/>
            <w:b w:val="1"/>
            <w:bCs w:val="1"/>
            <w:u w:val="single" w:color="auto"/>
            <w:color w:val="0000EE"/>
          </w:rPr>
          <w:t>Table of Contents</w:t>
        </w:r>
      </w:hyperlink>
    </w:p>
    <w:p>
      <w:pPr>
        <w:spacing w:after="0" w:line="256" w:lineRule="exact"/>
        <w:rPr>
          <w:sz w:val="20"/>
          <w:szCs w:val="20"/>
          <w:color w:val="auto"/>
        </w:rPr>
      </w:pPr>
    </w:p>
    <w:p>
      <w:pPr>
        <w:jc w:val="center"/>
        <w:ind w:right="-1119"/>
        <w:spacing w:after="0"/>
        <w:rPr>
          <w:sz w:val="20"/>
          <w:szCs w:val="20"/>
          <w:color w:val="auto"/>
        </w:rPr>
      </w:pPr>
      <w:r>
        <w:rPr>
          <w:rFonts w:ascii="Arial" w:cs="Arial" w:eastAsia="Arial" w:hAnsi="Arial"/>
          <w:sz w:val="15"/>
          <w:szCs w:val="15"/>
          <w:b w:val="1"/>
          <w:bCs w:val="1"/>
          <w:color w:val="auto"/>
        </w:rPr>
        <w:t>RISK FACTORS</w:t>
      </w:r>
    </w:p>
    <w:p>
      <w:pPr>
        <w:spacing w:after="0" w:line="192" w:lineRule="exact"/>
        <w:rPr>
          <w:sz w:val="20"/>
          <w:szCs w:val="20"/>
          <w:color w:val="auto"/>
        </w:rPr>
      </w:pPr>
    </w:p>
    <w:p>
      <w:pPr>
        <w:ind w:left="1120" w:firstLine="368"/>
        <w:spacing w:after="0" w:line="255" w:lineRule="auto"/>
        <w:rPr>
          <w:sz w:val="20"/>
          <w:szCs w:val="20"/>
          <w:color w:val="auto"/>
        </w:rPr>
      </w:pPr>
      <w:r>
        <w:rPr>
          <w:rFonts w:ascii="Arial" w:cs="Arial" w:eastAsia="Arial" w:hAnsi="Arial"/>
          <w:sz w:val="15"/>
          <w:szCs w:val="15"/>
          <w:i w:val="1"/>
          <w:iCs w:val="1"/>
          <w:color w:val="auto"/>
        </w:rPr>
        <w:t>Investing in our Class A common stock involves a high degree of risk. You should consider carefully the risks and uncertainties described below, together with all of the other information in this prospectus, including the section titled “Management’s Discussion and Analysis of Financial Condition and Results of Operations” and our consolidated financial statements and related notes, before making a decision to invest in our Class A common stock. Our business, results of operations, financial condition, or prospects could also be harmed by risks and uncertainties that are not presently known to us or that we currently believe are not material. If any of the risks actually occur, our business, results of operations, financial condition, and prospects could be materially and adversely affected. In that event, the market price of our Class A common stock could decline, and you could lose all or part of your investment.</w:t>
      </w:r>
    </w:p>
    <w:p>
      <w:pPr>
        <w:spacing w:after="0" w:line="247" w:lineRule="exact"/>
        <w:rPr>
          <w:sz w:val="20"/>
          <w:szCs w:val="20"/>
          <w:color w:val="auto"/>
        </w:rPr>
      </w:pPr>
    </w:p>
    <w:p>
      <w:pPr>
        <w:jc w:val="center"/>
        <w:ind w:right="-1119"/>
        <w:spacing w:after="0"/>
        <w:rPr>
          <w:sz w:val="20"/>
          <w:szCs w:val="20"/>
          <w:color w:val="auto"/>
        </w:rPr>
      </w:pPr>
      <w:r>
        <w:rPr>
          <w:rFonts w:ascii="Arial" w:cs="Arial" w:eastAsia="Arial" w:hAnsi="Arial"/>
          <w:sz w:val="15"/>
          <w:szCs w:val="15"/>
          <w:b w:val="1"/>
          <w:bCs w:val="1"/>
          <w:color w:val="auto"/>
        </w:rPr>
        <w:t>Risks Related to Our Business and Our Industry</w:t>
      </w:r>
    </w:p>
    <w:p>
      <w:pPr>
        <w:spacing w:after="0" w:line="192" w:lineRule="exact"/>
        <w:rPr>
          <w:sz w:val="20"/>
          <w:szCs w:val="20"/>
          <w:color w:val="auto"/>
        </w:rPr>
      </w:pPr>
    </w:p>
    <w:p>
      <w:pPr>
        <w:ind w:left="1120" w:right="120"/>
        <w:spacing w:after="0" w:line="275" w:lineRule="auto"/>
        <w:rPr>
          <w:sz w:val="20"/>
          <w:szCs w:val="20"/>
          <w:color w:val="auto"/>
        </w:rPr>
      </w:pPr>
      <w:r>
        <w:rPr>
          <w:rFonts w:ascii="Arial" w:cs="Arial" w:eastAsia="Arial" w:hAnsi="Arial"/>
          <w:sz w:val="15"/>
          <w:szCs w:val="15"/>
          <w:b w:val="1"/>
          <w:bCs w:val="1"/>
          <w:i w:val="1"/>
          <w:iCs w:val="1"/>
          <w:color w:val="auto"/>
        </w:rPr>
        <w:t>Our business depends on our ability to retain and upgrade paying users, and any decline in renewals or upgrades could adversely affect our future results of operations.</w:t>
      </w:r>
    </w:p>
    <w:p>
      <w:pPr>
        <w:spacing w:after="0" w:line="56" w:lineRule="exact"/>
        <w:rPr>
          <w:sz w:val="20"/>
          <w:szCs w:val="20"/>
          <w:color w:val="auto"/>
        </w:rPr>
      </w:pPr>
    </w:p>
    <w:p>
      <w:pPr>
        <w:ind w:left="1120" w:right="140" w:firstLine="368"/>
        <w:spacing w:after="0" w:line="255" w:lineRule="auto"/>
        <w:rPr>
          <w:sz w:val="20"/>
          <w:szCs w:val="20"/>
          <w:color w:val="auto"/>
        </w:rPr>
      </w:pPr>
      <w:r>
        <w:rPr>
          <w:rFonts w:ascii="Arial" w:cs="Arial" w:eastAsia="Arial" w:hAnsi="Arial"/>
          <w:sz w:val="15"/>
          <w:szCs w:val="15"/>
          <w:color w:val="auto"/>
        </w:rPr>
        <w:t>Our business depends upon our ability to maintain and expand our relationships with our users. Our business is subscription based, and paying users are not obligated to and may not renew their subscriptions after their existing subscriptions expire. As a result, we cannot provide assurance that paying users will renew their subscriptions utilizing the same tier of our products or upgrade to premium offerings. Renewals of subscriptions to our platform may decline or fluctuate because of several factors, such as dissatisfaction with our products and support, a user no longer having a need for our products, or the perception that competitive products provide better or less expensive options. In addition, some paying users downgrade or do not renew their subscriptions.</w:t>
      </w:r>
    </w:p>
    <w:p>
      <w:pPr>
        <w:spacing w:after="0" w:line="164" w:lineRule="exact"/>
        <w:rPr>
          <w:sz w:val="20"/>
          <w:szCs w:val="20"/>
          <w:color w:val="auto"/>
        </w:rPr>
      </w:pPr>
    </w:p>
    <w:p>
      <w:pPr>
        <w:ind w:left="1120" w:right="220" w:firstLine="368"/>
        <w:spacing w:after="0" w:line="255" w:lineRule="auto"/>
        <w:rPr>
          <w:sz w:val="20"/>
          <w:szCs w:val="20"/>
          <w:color w:val="auto"/>
        </w:rPr>
      </w:pPr>
      <w:r>
        <w:rPr>
          <w:rFonts w:ascii="Arial" w:cs="Arial" w:eastAsia="Arial" w:hAnsi="Arial"/>
          <w:sz w:val="15"/>
          <w:szCs w:val="15"/>
          <w:color w:val="auto"/>
        </w:rPr>
        <w:t>We encourage paying users to upgrade to our premium offerings by recommending additional features and through in-product prompts and notifications. Additionally, we seek to expand within organizations through viral means by adding new users, having workplaces purchase additional products, or expanding the use of Dropbox into other departments within a workplace. We often see enterprise IT decision-makers deciding to adopt Dropbox after noticing substantial organic adoption by individuals and teams within the organization. If our paying users fail to renew or cancel their subscriptions, or if we fail to upgrade our paying users to premium offerings or expand within organizations, our business, results of operations, and financial condition may be harmed.</w:t>
      </w:r>
    </w:p>
    <w:p>
      <w:pPr>
        <w:spacing w:after="0" w:line="164" w:lineRule="exact"/>
        <w:rPr>
          <w:sz w:val="20"/>
          <w:szCs w:val="20"/>
          <w:color w:val="auto"/>
        </w:rPr>
      </w:pPr>
    </w:p>
    <w:p>
      <w:pPr>
        <w:jc w:val="both"/>
        <w:ind w:left="1120" w:right="140" w:firstLine="368"/>
        <w:spacing w:after="0" w:line="290" w:lineRule="auto"/>
        <w:rPr>
          <w:sz w:val="20"/>
          <w:szCs w:val="20"/>
          <w:color w:val="auto"/>
        </w:rPr>
      </w:pPr>
      <w:r>
        <w:rPr>
          <w:rFonts w:ascii="Arial" w:cs="Arial" w:eastAsia="Arial" w:hAnsi="Arial"/>
          <w:sz w:val="14"/>
          <w:szCs w:val="14"/>
          <w:color w:val="auto"/>
        </w:rPr>
        <w:t>Although it is important to our business that our users renew their subscriptions after their existing subscriptions expire and that we expand our commercial relationships with our users, given the volume of our users, we do not track the retention rates of our individual users. As a result, we may be unable to address any retention issues with specific users in a timely manner, which could harm our business.</w:t>
      </w:r>
    </w:p>
    <w:p>
      <w:pPr>
        <w:spacing w:after="0" w:line="228" w:lineRule="exact"/>
        <w:rPr>
          <w:sz w:val="20"/>
          <w:szCs w:val="20"/>
          <w:color w:val="auto"/>
        </w:rPr>
      </w:pPr>
    </w:p>
    <w:p>
      <w:pPr>
        <w:ind w:left="1120"/>
        <w:spacing w:after="0"/>
        <w:rPr>
          <w:sz w:val="20"/>
          <w:szCs w:val="20"/>
          <w:color w:val="auto"/>
        </w:rPr>
      </w:pPr>
      <w:r>
        <w:rPr>
          <w:rFonts w:ascii="Arial" w:cs="Arial" w:eastAsia="Arial" w:hAnsi="Arial"/>
          <w:sz w:val="15"/>
          <w:szCs w:val="15"/>
          <w:b w:val="1"/>
          <w:bCs w:val="1"/>
          <w:i w:val="1"/>
          <w:iCs w:val="1"/>
          <w:color w:val="auto"/>
        </w:rPr>
        <w:t>Our future growth could be harmed if we fail to attract new users or convert registered users to paying users.</w:t>
      </w:r>
    </w:p>
    <w:p>
      <w:pPr>
        <w:spacing w:after="0" w:line="98" w:lineRule="exact"/>
        <w:rPr>
          <w:sz w:val="20"/>
          <w:szCs w:val="20"/>
          <w:color w:val="auto"/>
        </w:rPr>
      </w:pPr>
    </w:p>
    <w:p>
      <w:pPr>
        <w:ind w:left="1120" w:right="80" w:firstLine="368"/>
        <w:spacing w:after="0" w:line="290" w:lineRule="auto"/>
        <w:rPr>
          <w:sz w:val="20"/>
          <w:szCs w:val="20"/>
          <w:color w:val="auto"/>
        </w:rPr>
      </w:pPr>
      <w:r>
        <w:rPr>
          <w:rFonts w:ascii="Arial" w:cs="Arial" w:eastAsia="Arial" w:hAnsi="Arial"/>
          <w:sz w:val="14"/>
          <w:szCs w:val="14"/>
          <w:color w:val="auto"/>
        </w:rPr>
        <w:t>We must continually add new users to grow our business beyond our current user base and to replace users who choose not to continue to use our platform. Historically, our revenue has been driven by our self-serve model, and we generate more than 90% of our revenue from self-serve channels. Any decrease in user satisfaction with our products or support could harm our brand, word-of-mouth referrals, and ability to grow.</w:t>
      </w:r>
    </w:p>
    <w:p>
      <w:pPr>
        <w:spacing w:after="0" w:line="138" w:lineRule="exact"/>
        <w:rPr>
          <w:sz w:val="20"/>
          <w:szCs w:val="20"/>
          <w:color w:val="auto"/>
        </w:rPr>
      </w:pPr>
    </w:p>
    <w:p>
      <w:pPr>
        <w:ind w:left="1120" w:firstLine="368"/>
        <w:spacing w:after="0" w:line="279" w:lineRule="auto"/>
        <w:rPr>
          <w:sz w:val="20"/>
          <w:szCs w:val="20"/>
          <w:color w:val="auto"/>
        </w:rPr>
      </w:pPr>
      <w:r>
        <w:rPr>
          <w:rFonts w:ascii="Arial" w:cs="Arial" w:eastAsia="Arial" w:hAnsi="Arial"/>
          <w:sz w:val="14"/>
          <w:szCs w:val="14"/>
          <w:color w:val="auto"/>
        </w:rPr>
        <w:t>Additionally, many of our users initially access our platform free of charge. We strive to demonstrate the value of our platform to our registered users, thereby encouraging them to convert to paying users through in-product prompts and notifications, and time-limited trials of paid subscription plans. As of December 31, 2017, we served over 500 million registered users but only 11 million paying users. The actual number of unique users is lower than we report as one person may register more than once for our platform. As a result, we have fewer unique registered users that we may be able to convert to paying users. A majority of our registered users may never convert to a paid subscription to our platform.</w:t>
      </w:r>
    </w:p>
    <w:p>
      <w:pPr>
        <w:spacing w:after="0" w:line="91" w:lineRule="exact"/>
        <w:rPr>
          <w:sz w:val="20"/>
          <w:szCs w:val="20"/>
          <w:color w:val="auto"/>
        </w:rPr>
      </w:pPr>
    </w:p>
    <w:p>
      <w:pPr>
        <w:ind w:left="5640"/>
        <w:spacing w:after="0"/>
        <w:rPr>
          <w:sz w:val="20"/>
          <w:szCs w:val="20"/>
          <w:color w:val="auto"/>
        </w:rPr>
      </w:pPr>
      <w:r>
        <w:rPr>
          <w:rFonts w:ascii="Arial" w:cs="Arial" w:eastAsia="Arial" w:hAnsi="Arial"/>
          <w:sz w:val="15"/>
          <w:szCs w:val="15"/>
          <w:color w:val="auto"/>
        </w:rPr>
        <w:t>16</w:t>
      </w:r>
    </w:p>
    <w:p>
      <w:pPr>
        <w:sectPr>
          <w:pgSz w:w="11900" w:h="16838" w:orient="portrait"/>
          <w:cols w:equalWidth="0" w:num="1">
            <w:col w:w="10300"/>
          </w:cols>
          <w:pgMar w:left="240" w:top="407" w:right="1359" w:bottom="1440" w:gutter="0" w:footer="0" w:header="0"/>
        </w:sectPr>
      </w:pPr>
    </w:p>
    <w:bookmarkStart w:id="23" w:name="page24"/>
    <w:bookmarkEnd w:id="23"/>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133350</wp:posOffset>
            </wp:positionH>
            <wp:positionV relativeFrom="page">
              <wp:posOffset>88900</wp:posOffset>
            </wp:positionV>
            <wp:extent cx="7308850" cy="342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308850" cy="34290"/>
                    </a:xfrm>
                    <a:prstGeom prst="rect">
                      <a:avLst/>
                    </a:prstGeom>
                    <a:noFill/>
                  </pic:spPr>
                </pic:pic>
              </a:graphicData>
            </a:graphic>
          </wp:anchor>
        </w:drawing>
      </w:r>
      <w:hyperlink w:anchor="page7">
        <w:r>
          <w:rPr>
            <w:rFonts w:ascii="Arial" w:cs="Arial" w:eastAsia="Arial" w:hAnsi="Arial"/>
            <w:sz w:val="15"/>
            <w:szCs w:val="15"/>
            <w:b w:val="1"/>
            <w:bCs w:val="1"/>
            <w:u w:val="single" w:color="auto"/>
            <w:color w:val="0000EE"/>
          </w:rPr>
          <w:t>Table of Contents</w:t>
        </w:r>
      </w:hyperlink>
    </w:p>
    <w:p>
      <w:pPr>
        <w:spacing w:after="0" w:line="260" w:lineRule="exact"/>
        <w:rPr>
          <w:sz w:val="20"/>
          <w:szCs w:val="20"/>
          <w:color w:val="auto"/>
        </w:rPr>
      </w:pPr>
    </w:p>
    <w:p>
      <w:pPr>
        <w:jc w:val="both"/>
        <w:ind w:left="1120" w:right="220" w:firstLine="368"/>
        <w:spacing w:after="0" w:line="322" w:lineRule="auto"/>
        <w:rPr>
          <w:sz w:val="20"/>
          <w:szCs w:val="20"/>
          <w:color w:val="auto"/>
        </w:rPr>
      </w:pPr>
      <w:r>
        <w:rPr>
          <w:rFonts w:ascii="Arial" w:cs="Arial" w:eastAsia="Arial" w:hAnsi="Arial"/>
          <w:sz w:val="13"/>
          <w:szCs w:val="13"/>
          <w:color w:val="auto"/>
        </w:rPr>
        <w:t>In addition, our user growth rate may slow in the future as our market penetration rates increase and we turn our focus to converting registered users to paying users rather than growing the total number of registered users. If we are not able to continue to expand our user base or fail to convert our registered users to paying users, demand for our paid services and our revenue may grow more slowly than expected or decline.</w:t>
      </w:r>
    </w:p>
    <w:p>
      <w:pPr>
        <w:spacing w:after="0" w:line="210" w:lineRule="exact"/>
        <w:rPr>
          <w:sz w:val="20"/>
          <w:szCs w:val="20"/>
          <w:color w:val="auto"/>
        </w:rPr>
      </w:pPr>
    </w:p>
    <w:p>
      <w:pPr>
        <w:ind w:left="1120"/>
        <w:spacing w:after="0"/>
        <w:rPr>
          <w:sz w:val="20"/>
          <w:szCs w:val="20"/>
          <w:color w:val="auto"/>
        </w:rPr>
      </w:pPr>
      <w:r>
        <w:rPr>
          <w:rFonts w:ascii="Arial" w:cs="Arial" w:eastAsia="Arial" w:hAnsi="Arial"/>
          <w:sz w:val="15"/>
          <w:szCs w:val="15"/>
          <w:b w:val="1"/>
          <w:bCs w:val="1"/>
          <w:i w:val="1"/>
          <w:iCs w:val="1"/>
          <w:color w:val="auto"/>
        </w:rPr>
        <w:t>Our revenue growth rate has declined in recent periods and may continue to slow in the future.</w:t>
      </w:r>
    </w:p>
    <w:p>
      <w:pPr>
        <w:spacing w:after="0" w:line="98" w:lineRule="exact"/>
        <w:rPr>
          <w:sz w:val="20"/>
          <w:szCs w:val="20"/>
          <w:color w:val="auto"/>
        </w:rPr>
      </w:pPr>
    </w:p>
    <w:p>
      <w:pPr>
        <w:ind w:left="1120" w:right="40" w:firstLine="368"/>
        <w:spacing w:after="0" w:line="255" w:lineRule="auto"/>
        <w:rPr>
          <w:sz w:val="20"/>
          <w:szCs w:val="20"/>
          <w:color w:val="auto"/>
        </w:rPr>
      </w:pPr>
      <w:r>
        <w:rPr>
          <w:rFonts w:ascii="Arial" w:cs="Arial" w:eastAsia="Arial" w:hAnsi="Arial"/>
          <w:sz w:val="15"/>
          <w:szCs w:val="15"/>
          <w:color w:val="auto"/>
        </w:rPr>
        <w:t>We have experienced significant revenue growth in prior periods. However, our rates of revenue growth are slowing and may continue to slow in the future. Many factors may contribute to declines in our growth rates, including higher market penetration, increased competition, slowing demand for our platform, a decrease in the growth of the overall content collaboration market, a failure by us to continue capitalizing on growth opportunities, and the maturation of our business, among others. You should not rely on the revenue growth of any prior quarterly or annual period as an indication of our future performance. If our growth rates decline, investors’ perceptions of our business and the trading price of our Class A common stock could be adversely affected.</w:t>
      </w:r>
    </w:p>
    <w:p>
      <w:pPr>
        <w:spacing w:after="0" w:line="254" w:lineRule="exact"/>
        <w:rPr>
          <w:sz w:val="20"/>
          <w:szCs w:val="20"/>
          <w:color w:val="auto"/>
        </w:rPr>
      </w:pPr>
    </w:p>
    <w:p>
      <w:pPr>
        <w:ind w:left="1120"/>
        <w:spacing w:after="0"/>
        <w:rPr>
          <w:sz w:val="20"/>
          <w:szCs w:val="20"/>
          <w:color w:val="auto"/>
        </w:rPr>
      </w:pPr>
      <w:r>
        <w:rPr>
          <w:rFonts w:ascii="Arial" w:cs="Arial" w:eastAsia="Arial" w:hAnsi="Arial"/>
          <w:sz w:val="13"/>
          <w:szCs w:val="13"/>
          <w:b w:val="1"/>
          <w:bCs w:val="1"/>
          <w:i w:val="1"/>
          <w:iCs w:val="1"/>
          <w:color w:val="auto"/>
        </w:rPr>
        <w:t>We have a history of net losses, we anticipate increasing expenses in the future, and we may not be able to achieve or maintain profitability.</w:t>
      </w:r>
    </w:p>
    <w:p>
      <w:pPr>
        <w:spacing w:after="0" w:line="121" w:lineRule="exact"/>
        <w:rPr>
          <w:sz w:val="20"/>
          <w:szCs w:val="20"/>
          <w:color w:val="auto"/>
        </w:rPr>
      </w:pPr>
    </w:p>
    <w:p>
      <w:pPr>
        <w:ind w:left="1120" w:firstLine="368"/>
        <w:spacing w:after="0" w:line="272" w:lineRule="auto"/>
        <w:rPr>
          <w:sz w:val="20"/>
          <w:szCs w:val="20"/>
          <w:color w:val="auto"/>
        </w:rPr>
      </w:pPr>
      <w:r>
        <w:rPr>
          <w:rFonts w:ascii="Arial" w:cs="Arial" w:eastAsia="Arial" w:hAnsi="Arial"/>
          <w:sz w:val="14"/>
          <w:szCs w:val="14"/>
          <w:color w:val="auto"/>
        </w:rPr>
        <w:t>We have incurred net losses on an annual basis since our inception. We incurred net losses of $325.9 million, $210.2 million, and $111.7 million in 2015, 2016, and 2017, respectively, and we had an accumulated deficit of $1,049.7 million as of December 31, 2017. As we strive to grow our business, we expect expenses to increase in the near term, particularly as we continue to make investments to scale our business. For example, we will need an increasing amount of technical infrastructure to continue to satisfy the needs of our user base. We also expect our research and development expenses to increase as we plan to continue to hire employees for our engineering, product, and design teams to support these efforts. In addition, we will incur additional rent expense in connection with our move to our new corporate headquarters, and additional general and administrative expenses to support both our growth as well as our transition to being a publicly traded company. These investments may not result in increased revenue or growth in our business. We may encounter unforeseen or unpredictable factors, including unforeseen operating expenses, complications, or delays, which may result in increased costs. Furthermore, it is difficult to predict the size and growth rate of our market, user demand for our platform, user adoption and renewal of our platform, the entry of competitive products and services, or the success of existing competitive products and services. As a result, we may not achieve or maintain profitability in future periods. If we fail to grow our revenue sufficiently to keep pace with our investments and other expenses, our results of operations and financial condition would be adversely affected.</w:t>
      </w:r>
    </w:p>
    <w:p>
      <w:pPr>
        <w:spacing w:after="0" w:line="247" w:lineRule="exact"/>
        <w:rPr>
          <w:sz w:val="20"/>
          <w:szCs w:val="20"/>
          <w:color w:val="auto"/>
        </w:rPr>
      </w:pPr>
    </w:p>
    <w:p>
      <w:pPr>
        <w:ind w:left="1120" w:right="140"/>
        <w:spacing w:after="0" w:line="275" w:lineRule="auto"/>
        <w:rPr>
          <w:sz w:val="20"/>
          <w:szCs w:val="20"/>
          <w:color w:val="auto"/>
        </w:rPr>
      </w:pPr>
      <w:r>
        <w:rPr>
          <w:rFonts w:ascii="Arial" w:cs="Arial" w:eastAsia="Arial" w:hAnsi="Arial"/>
          <w:sz w:val="15"/>
          <w:szCs w:val="15"/>
          <w:b w:val="1"/>
          <w:bCs w:val="1"/>
          <w:i w:val="1"/>
          <w:iCs w:val="1"/>
          <w:color w:val="auto"/>
        </w:rPr>
        <w:t>Our business could be damaged, and we could be subject to liability if there is any unauthorized access to our data or our users’ content, including through privacy and data security breaches.</w:t>
      </w:r>
    </w:p>
    <w:p>
      <w:pPr>
        <w:spacing w:after="0" w:line="56" w:lineRule="exact"/>
        <w:rPr>
          <w:sz w:val="20"/>
          <w:szCs w:val="20"/>
          <w:color w:val="auto"/>
        </w:rPr>
      </w:pPr>
    </w:p>
    <w:p>
      <w:pPr>
        <w:ind w:left="1120" w:right="40" w:firstLine="368"/>
        <w:spacing w:after="0" w:line="273" w:lineRule="auto"/>
        <w:rPr>
          <w:sz w:val="20"/>
          <w:szCs w:val="20"/>
          <w:color w:val="auto"/>
        </w:rPr>
      </w:pPr>
      <w:r>
        <w:rPr>
          <w:rFonts w:ascii="Arial" w:cs="Arial" w:eastAsia="Arial" w:hAnsi="Arial"/>
          <w:sz w:val="14"/>
          <w:szCs w:val="14"/>
          <w:color w:val="auto"/>
        </w:rPr>
        <w:t>The use of our platform involves the transmission, storage, and processing of user content, some of which may be considered personally identifiable, confidential, or sensitive. We face security threats from malicious third parties that could obtain unauthorized access to our systems and networks. We anticipate that these threats will continue to grow in scope and complexity over time. For example, in 2016, we learned that an old set of Dropbox user credentials for approximately 68 million accounts was released. These credentials consisted of email addresses and passwords protected by cryptographic techniques known as hashing and salting. Hashing and salting can make it more difficult to obtain the original password, but may not fully protect the original password from being obtained. We believe these Dropbox user credentials were obtained in 2012 and related to a security incident we disclosed to users. In response, we notified all existing users we believed to be affected and completed a password reset for anyone who had not updated their password since mid-2012. We have responded to this event by expanding our security team and data monitoring capabilities and continuing to work on features such as two-factor authentication to increase protection of user information. While we believe our corrective actions will reduce the likelihood of similar incidents occurring in the future, third parties might use techniques</w:t>
      </w:r>
    </w:p>
    <w:p>
      <w:pPr>
        <w:spacing w:after="0" w:line="97" w:lineRule="exact"/>
        <w:rPr>
          <w:sz w:val="20"/>
          <w:szCs w:val="20"/>
          <w:color w:val="auto"/>
        </w:rPr>
      </w:pPr>
    </w:p>
    <w:p>
      <w:pPr>
        <w:ind w:left="5640"/>
        <w:spacing w:after="0"/>
        <w:rPr>
          <w:sz w:val="20"/>
          <w:szCs w:val="20"/>
          <w:color w:val="auto"/>
        </w:rPr>
      </w:pPr>
      <w:r>
        <w:rPr>
          <w:rFonts w:ascii="Arial" w:cs="Arial" w:eastAsia="Arial" w:hAnsi="Arial"/>
          <w:sz w:val="15"/>
          <w:szCs w:val="15"/>
          <w:color w:val="auto"/>
        </w:rPr>
        <w:t>17</w:t>
      </w:r>
    </w:p>
    <w:p>
      <w:pPr>
        <w:sectPr>
          <w:pgSz w:w="11900" w:h="16838" w:orient="portrait"/>
          <w:cols w:equalWidth="0" w:num="1">
            <w:col w:w="10320"/>
          </w:cols>
          <w:pgMar w:left="240" w:top="407" w:right="1339" w:bottom="1440" w:gutter="0" w:footer="0" w:header="0"/>
        </w:sectPr>
      </w:pPr>
    </w:p>
    <w:bookmarkStart w:id="24" w:name="page25"/>
    <w:bookmarkEnd w:id="24"/>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133350</wp:posOffset>
            </wp:positionH>
            <wp:positionV relativeFrom="page">
              <wp:posOffset>88900</wp:posOffset>
            </wp:positionV>
            <wp:extent cx="7308850" cy="342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308850" cy="34290"/>
                    </a:xfrm>
                    <a:prstGeom prst="rect">
                      <a:avLst/>
                    </a:prstGeom>
                    <a:noFill/>
                  </pic:spPr>
                </pic:pic>
              </a:graphicData>
            </a:graphic>
          </wp:anchor>
        </w:drawing>
      </w:r>
      <w:hyperlink w:anchor="page7">
        <w:r>
          <w:rPr>
            <w:rFonts w:ascii="Arial" w:cs="Arial" w:eastAsia="Arial" w:hAnsi="Arial"/>
            <w:sz w:val="15"/>
            <w:szCs w:val="15"/>
            <w:b w:val="1"/>
            <w:bCs w:val="1"/>
            <w:u w:val="single" w:color="auto"/>
            <w:color w:val="0000EE"/>
          </w:rPr>
          <w:t>Table of Contents</w:t>
        </w:r>
      </w:hyperlink>
    </w:p>
    <w:p>
      <w:pPr>
        <w:spacing w:after="0" w:line="260" w:lineRule="exact"/>
        <w:rPr>
          <w:sz w:val="20"/>
          <w:szCs w:val="20"/>
          <w:color w:val="auto"/>
        </w:rPr>
      </w:pPr>
    </w:p>
    <w:p>
      <w:pPr>
        <w:ind w:left="1120" w:right="20"/>
        <w:spacing w:after="0" w:line="255" w:lineRule="auto"/>
        <w:rPr>
          <w:sz w:val="20"/>
          <w:szCs w:val="20"/>
          <w:color w:val="auto"/>
        </w:rPr>
      </w:pPr>
      <w:r>
        <w:rPr>
          <w:rFonts w:ascii="Arial" w:cs="Arial" w:eastAsia="Arial" w:hAnsi="Arial"/>
          <w:sz w:val="15"/>
          <w:szCs w:val="15"/>
          <w:color w:val="auto"/>
        </w:rPr>
        <w:t>that we are unable to defend against to compromise and infiltrate our systems and networks. We may fail to detect the existence of a breach of user content and be unable to prevent unauthorized access to user and company content. The techniques used to obtain unauthorized access, disable or degrade service, or sabotage systems change frequently and are often not recognized until launched against a target. They may originate from less regulated or remote areas around the world, or from state-sponsored actors. If our security measures are breached, or our users’ content is otherwise accessed through unauthorized means, or if any such actions are believed to occur, our platform may be perceived as insecure, and we may lose existing users or fail to attract and retain new users.</w:t>
      </w:r>
    </w:p>
    <w:p>
      <w:pPr>
        <w:spacing w:after="0" w:line="164" w:lineRule="exact"/>
        <w:rPr>
          <w:sz w:val="20"/>
          <w:szCs w:val="20"/>
          <w:color w:val="auto"/>
        </w:rPr>
      </w:pPr>
    </w:p>
    <w:p>
      <w:pPr>
        <w:jc w:val="both"/>
        <w:ind w:left="1120" w:right="120" w:firstLine="368"/>
        <w:spacing w:after="0" w:line="263" w:lineRule="auto"/>
        <w:rPr>
          <w:sz w:val="20"/>
          <w:szCs w:val="20"/>
          <w:color w:val="auto"/>
        </w:rPr>
      </w:pPr>
      <w:r>
        <w:rPr>
          <w:rFonts w:ascii="Arial" w:cs="Arial" w:eastAsia="Arial" w:hAnsi="Arial"/>
          <w:sz w:val="15"/>
          <w:szCs w:val="15"/>
          <w:color w:val="auto"/>
        </w:rPr>
        <w:t>We may rely on third parties when deploying our infrastructure, and in doing so, expose it to security risks outside of our direct control. We rely on outside vendors and contractors to perform services necessary for the operation of the business, and they may fail to adequately secure our user and company content.</w:t>
      </w:r>
    </w:p>
    <w:p>
      <w:pPr>
        <w:spacing w:after="0" w:line="155" w:lineRule="exact"/>
        <w:rPr>
          <w:sz w:val="20"/>
          <w:szCs w:val="20"/>
          <w:color w:val="auto"/>
        </w:rPr>
      </w:pPr>
    </w:p>
    <w:p>
      <w:pPr>
        <w:ind w:left="1120" w:right="160" w:firstLine="368"/>
        <w:spacing w:after="0" w:line="283" w:lineRule="auto"/>
        <w:rPr>
          <w:sz w:val="20"/>
          <w:szCs w:val="20"/>
          <w:color w:val="auto"/>
        </w:rPr>
      </w:pPr>
      <w:r>
        <w:rPr>
          <w:rFonts w:ascii="Arial" w:cs="Arial" w:eastAsia="Arial" w:hAnsi="Arial"/>
          <w:sz w:val="14"/>
          <w:szCs w:val="14"/>
          <w:color w:val="auto"/>
        </w:rPr>
        <w:t>Third parties may attempt to compromise our employees and their privileged access into internal systems to gain access to accounts, our information, our networks, or our systems. Employee error, malfeasance, or other errors in the storage, use, or transmission of personal information could result in an actual or perceived breach of user privacy. Our users may also disclose or lose control of their passwords, or use the same or similar passwords on third parties’ systems, which could lead to unauthorized access to their accounts on our platform.</w:t>
      </w:r>
    </w:p>
    <w:p>
      <w:pPr>
        <w:spacing w:after="0" w:line="143" w:lineRule="exact"/>
        <w:rPr>
          <w:sz w:val="20"/>
          <w:szCs w:val="20"/>
          <w:color w:val="auto"/>
        </w:rPr>
      </w:pPr>
    </w:p>
    <w:p>
      <w:pPr>
        <w:ind w:left="1120" w:firstLine="368"/>
        <w:spacing w:after="0" w:line="273" w:lineRule="auto"/>
        <w:rPr>
          <w:sz w:val="20"/>
          <w:szCs w:val="20"/>
          <w:color w:val="auto"/>
        </w:rPr>
      </w:pPr>
      <w:r>
        <w:rPr>
          <w:rFonts w:ascii="Arial" w:cs="Arial" w:eastAsia="Arial" w:hAnsi="Arial"/>
          <w:sz w:val="14"/>
          <w:szCs w:val="14"/>
          <w:color w:val="auto"/>
        </w:rPr>
        <w:t>Any unauthorized or inadvertent access to, or an actual or perceived security breach of, our systems or networks could result in an actual or perceived loss of, or unauthorized access to, our data or our users’ content, regulatory investigations and orders, litigation, indemnity obligations, damages, penalties, fines, and other costs in connection with actual and alleged contractual breaches, violations of applicable laws and regulations, and other liabilities. Any such incident could also materially damage our reputation and harm our business, results of operations, and financial condition, including reducing our revenue, causing us to issue credits to users, negatively impacting our ability to accept and process user payment information, eroding our users’ trust in our services and payment solutions, subjecting us to costly user notification or remediation, harming our ability to retain users, harming our brand, or increasing our cost of acquiring new users. We maintain errors, omissions, and cyber liability insurance policies covering certain security and privacy damages. However, we cannot be certain that our coverage will be adequate for liabilities actually incurred or that insurance will continue to be available to us on economically reasonable terms, or at all. Further, if a high profile security breach occurs with respect to another content collaboration solutions provider, our users and potential users could lose trust in the security of content collaboration solutions providers generally, which could adversely impact our ability to retain users or attract new ones.</w:t>
      </w:r>
    </w:p>
    <w:p>
      <w:pPr>
        <w:spacing w:after="0" w:line="241" w:lineRule="exact"/>
        <w:rPr>
          <w:sz w:val="20"/>
          <w:szCs w:val="20"/>
          <w:color w:val="auto"/>
        </w:rPr>
      </w:pPr>
    </w:p>
    <w:p>
      <w:pPr>
        <w:ind w:left="1120"/>
        <w:spacing w:after="0"/>
        <w:rPr>
          <w:sz w:val="20"/>
          <w:szCs w:val="20"/>
          <w:color w:val="auto"/>
        </w:rPr>
      </w:pPr>
      <w:r>
        <w:rPr>
          <w:rFonts w:ascii="Arial" w:cs="Arial" w:eastAsia="Arial" w:hAnsi="Arial"/>
          <w:sz w:val="15"/>
          <w:szCs w:val="15"/>
          <w:b w:val="1"/>
          <w:bCs w:val="1"/>
          <w:i w:val="1"/>
          <w:iCs w:val="1"/>
          <w:color w:val="auto"/>
        </w:rPr>
        <w:t>Our business could be harmed by any significant disruption of service on our platform or loss of content.</w:t>
      </w:r>
    </w:p>
    <w:p>
      <w:pPr>
        <w:spacing w:after="0" w:line="98" w:lineRule="exact"/>
        <w:rPr>
          <w:sz w:val="20"/>
          <w:szCs w:val="20"/>
          <w:color w:val="auto"/>
        </w:rPr>
      </w:pPr>
    </w:p>
    <w:p>
      <w:pPr>
        <w:jc w:val="both"/>
        <w:ind w:left="1120" w:right="20" w:firstLine="368"/>
        <w:spacing w:after="0" w:line="279" w:lineRule="auto"/>
        <w:rPr>
          <w:sz w:val="20"/>
          <w:szCs w:val="20"/>
          <w:color w:val="auto"/>
        </w:rPr>
      </w:pPr>
      <w:r>
        <w:rPr>
          <w:rFonts w:ascii="Arial" w:cs="Arial" w:eastAsia="Arial" w:hAnsi="Arial"/>
          <w:sz w:val="14"/>
          <w:szCs w:val="14"/>
          <w:color w:val="auto"/>
        </w:rPr>
        <w:t>Our brand, reputation, and ability to attract, retain, and serve our users are dependent upon the reliable performance of our platform, including our underlying technical infrastructure. Our users rely on our platform to store digital copies of their valuable content, including financial records, business information, documents, photos, and other important content. Our technical infrastructure may not be adequately designed with sufficient reliability and redundancy to avoid performance delays or outages that could be harmful to our business. If our platform is unavailable when users attempt to access it, or if it does not load as quickly as they expect, users may not use our platform as often in the future, or at all.</w:t>
      </w:r>
    </w:p>
    <w:p>
      <w:pPr>
        <w:spacing w:after="0" w:line="147" w:lineRule="exact"/>
        <w:rPr>
          <w:sz w:val="20"/>
          <w:szCs w:val="20"/>
          <w:color w:val="auto"/>
        </w:rPr>
      </w:pPr>
    </w:p>
    <w:p>
      <w:pPr>
        <w:ind w:left="1120" w:right="160" w:firstLine="368"/>
        <w:spacing w:after="0" w:line="259" w:lineRule="auto"/>
        <w:rPr>
          <w:sz w:val="20"/>
          <w:szCs w:val="20"/>
          <w:color w:val="auto"/>
        </w:rPr>
      </w:pPr>
      <w:r>
        <w:rPr>
          <w:rFonts w:ascii="Arial" w:cs="Arial" w:eastAsia="Arial" w:hAnsi="Arial"/>
          <w:sz w:val="15"/>
          <w:szCs w:val="15"/>
          <w:color w:val="auto"/>
        </w:rPr>
        <w:t>As our user base and the amount and types of information stored, synced, and shared on our platform continues to grow, we will need an increasing amount of technical infrastructure, including network capacity and computing power, to continue to satisfy the needs of our users. During 2015 and 2016, we migrated the vast majority of user content to our own custom-built infrastructure in co-location facilities that we directly lease and operate. As we add to our infrastructure, we may move or transfer additional content.</w:t>
      </w:r>
    </w:p>
    <w:p>
      <w:pPr>
        <w:spacing w:after="0" w:line="158" w:lineRule="exact"/>
        <w:rPr>
          <w:sz w:val="20"/>
          <w:szCs w:val="20"/>
          <w:color w:val="auto"/>
        </w:rPr>
      </w:pPr>
    </w:p>
    <w:p>
      <w:pPr>
        <w:ind w:left="1120" w:right="200" w:firstLine="368"/>
        <w:spacing w:after="0" w:line="275" w:lineRule="auto"/>
        <w:rPr>
          <w:sz w:val="20"/>
          <w:szCs w:val="20"/>
          <w:color w:val="auto"/>
        </w:rPr>
      </w:pPr>
      <w:r>
        <w:rPr>
          <w:rFonts w:ascii="Arial" w:cs="Arial" w:eastAsia="Arial" w:hAnsi="Arial"/>
          <w:sz w:val="15"/>
          <w:szCs w:val="15"/>
          <w:color w:val="auto"/>
        </w:rPr>
        <w:t>Further, as we continue to grow and scale our business to meet the needs of our users, we may overestimate or underestimate our infrastructure capacity requirements, which could adversely affect our results of operations.</w:t>
      </w:r>
    </w:p>
    <w:p>
      <w:pPr>
        <w:spacing w:after="0" w:line="90" w:lineRule="exact"/>
        <w:rPr>
          <w:sz w:val="20"/>
          <w:szCs w:val="20"/>
          <w:color w:val="auto"/>
        </w:rPr>
      </w:pPr>
    </w:p>
    <w:p>
      <w:pPr>
        <w:ind w:left="5640"/>
        <w:spacing w:after="0"/>
        <w:rPr>
          <w:sz w:val="20"/>
          <w:szCs w:val="20"/>
          <w:color w:val="auto"/>
        </w:rPr>
      </w:pPr>
      <w:r>
        <w:rPr>
          <w:rFonts w:ascii="Arial" w:cs="Arial" w:eastAsia="Arial" w:hAnsi="Arial"/>
          <w:sz w:val="15"/>
          <w:szCs w:val="15"/>
          <w:color w:val="auto"/>
        </w:rPr>
        <w:t>18</w:t>
      </w:r>
    </w:p>
    <w:p>
      <w:pPr>
        <w:sectPr>
          <w:pgSz w:w="11900" w:h="16838" w:orient="portrait"/>
          <w:cols w:equalWidth="0" w:num="1">
            <w:col w:w="10280"/>
          </w:cols>
          <w:pgMar w:left="240" w:top="407" w:right="1379" w:bottom="1440" w:gutter="0" w:footer="0" w:header="0"/>
        </w:sectPr>
      </w:pPr>
    </w:p>
    <w:bookmarkStart w:id="25" w:name="page26"/>
    <w:bookmarkEnd w:id="25"/>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133350</wp:posOffset>
            </wp:positionH>
            <wp:positionV relativeFrom="page">
              <wp:posOffset>88900</wp:posOffset>
            </wp:positionV>
            <wp:extent cx="7308850" cy="342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308850" cy="34290"/>
                    </a:xfrm>
                    <a:prstGeom prst="rect">
                      <a:avLst/>
                    </a:prstGeom>
                    <a:noFill/>
                  </pic:spPr>
                </pic:pic>
              </a:graphicData>
            </a:graphic>
          </wp:anchor>
        </w:drawing>
      </w:r>
      <w:hyperlink w:anchor="page7">
        <w:r>
          <w:rPr>
            <w:rFonts w:ascii="Arial" w:cs="Arial" w:eastAsia="Arial" w:hAnsi="Arial"/>
            <w:sz w:val="15"/>
            <w:szCs w:val="15"/>
            <w:b w:val="1"/>
            <w:bCs w:val="1"/>
            <w:u w:val="single" w:color="auto"/>
            <w:color w:val="0000EE"/>
          </w:rPr>
          <w:t>Table of Contents</w:t>
        </w:r>
      </w:hyperlink>
    </w:p>
    <w:p>
      <w:pPr>
        <w:spacing w:after="0" w:line="260" w:lineRule="exact"/>
        <w:rPr>
          <w:sz w:val="20"/>
          <w:szCs w:val="20"/>
          <w:color w:val="auto"/>
        </w:rPr>
      </w:pPr>
    </w:p>
    <w:p>
      <w:pPr>
        <w:ind w:left="1120"/>
        <w:spacing w:after="0" w:line="305" w:lineRule="auto"/>
        <w:rPr>
          <w:sz w:val="20"/>
          <w:szCs w:val="20"/>
          <w:color w:val="auto"/>
        </w:rPr>
      </w:pPr>
      <w:r>
        <w:rPr>
          <w:rFonts w:ascii="Arial" w:cs="Arial" w:eastAsia="Arial" w:hAnsi="Arial"/>
          <w:sz w:val="13"/>
          <w:szCs w:val="13"/>
          <w:color w:val="auto"/>
        </w:rPr>
        <w:t>The costs associated with leasing and maintaining our custom-built infrastructure in co-location facilities and third-party datacenters already constitute a significant portion of our capital and operating expenses. We continuously evaluate our short- and long-term infrastructure capacity requirements to ensure adequate capacity for new and existing users while minimizing unnecessary excess capacity costs. If we overestimate the demand for our platform and therefore secure excess infrastructure capacity, our operating margins could be reduced. If we underestimate our infrastructure capacity requirements, we may not be able to service the expanding needs of new and existing users, and our hosting facilities, network, or systems may fail.</w:t>
      </w:r>
    </w:p>
    <w:p>
      <w:pPr>
        <w:spacing w:after="0" w:line="133" w:lineRule="exact"/>
        <w:rPr>
          <w:sz w:val="20"/>
          <w:szCs w:val="20"/>
          <w:color w:val="auto"/>
        </w:rPr>
      </w:pPr>
    </w:p>
    <w:p>
      <w:pPr>
        <w:ind w:left="1120" w:firstLine="368"/>
        <w:spacing w:after="0" w:line="305" w:lineRule="auto"/>
        <w:rPr>
          <w:sz w:val="20"/>
          <w:szCs w:val="20"/>
          <w:color w:val="auto"/>
        </w:rPr>
      </w:pPr>
      <w:r>
        <w:rPr>
          <w:rFonts w:ascii="Arial" w:cs="Arial" w:eastAsia="Arial" w:hAnsi="Arial"/>
          <w:sz w:val="13"/>
          <w:szCs w:val="13"/>
          <w:color w:val="auto"/>
        </w:rPr>
        <w:t>In addition, the datacenters that we use are vulnerable to damage or interruption from human error, intentional bad acts, earthquakes, floods, fires, war, terrorist attacks, power losses, hardware failures, systems failures, telecommunications failures, and similar events, any of which could disrupt our service, destroy user content, or prevent us from being able to continuously back up or record changes in our users’ content. In the event of significant physical damage to one of these datacenters, it may take a significant period of time to achieve full resumption of our services, and our disaster recovery planning may not account for all eventualities. Damage or interruptions to these datacenters could harm our platform and business.</w:t>
      </w:r>
    </w:p>
    <w:p>
      <w:pPr>
        <w:spacing w:after="0" w:line="223" w:lineRule="exact"/>
        <w:rPr>
          <w:sz w:val="20"/>
          <w:szCs w:val="20"/>
          <w:color w:val="auto"/>
        </w:rPr>
      </w:pPr>
    </w:p>
    <w:p>
      <w:pPr>
        <w:ind w:left="1120" w:right="60"/>
        <w:spacing w:after="0" w:line="275" w:lineRule="auto"/>
        <w:rPr>
          <w:sz w:val="20"/>
          <w:szCs w:val="20"/>
          <w:color w:val="auto"/>
        </w:rPr>
      </w:pPr>
      <w:r>
        <w:rPr>
          <w:rFonts w:ascii="Arial" w:cs="Arial" w:eastAsia="Arial" w:hAnsi="Arial"/>
          <w:sz w:val="15"/>
          <w:szCs w:val="15"/>
          <w:b w:val="1"/>
          <w:bCs w:val="1"/>
          <w:i w:val="1"/>
          <w:iCs w:val="1"/>
          <w:color w:val="auto"/>
        </w:rPr>
        <w:t>We generate revenue from sales of subscriptions to our platform, and any decline in demand for our platform or for content collaboration solutions in general could negatively impact our business.</w:t>
      </w:r>
    </w:p>
    <w:p>
      <w:pPr>
        <w:spacing w:after="0" w:line="56" w:lineRule="exact"/>
        <w:rPr>
          <w:sz w:val="20"/>
          <w:szCs w:val="20"/>
          <w:color w:val="auto"/>
        </w:rPr>
      </w:pPr>
    </w:p>
    <w:p>
      <w:pPr>
        <w:ind w:left="1120" w:right="100" w:firstLine="368"/>
        <w:spacing w:after="0" w:line="290" w:lineRule="auto"/>
        <w:rPr>
          <w:sz w:val="20"/>
          <w:szCs w:val="20"/>
          <w:color w:val="auto"/>
        </w:rPr>
      </w:pPr>
      <w:r>
        <w:rPr>
          <w:rFonts w:ascii="Arial" w:cs="Arial" w:eastAsia="Arial" w:hAnsi="Arial"/>
          <w:sz w:val="14"/>
          <w:szCs w:val="14"/>
          <w:color w:val="auto"/>
        </w:rPr>
        <w:t>We generate, and expect to continue to generate, revenue from the sale of subscriptions to our platform. As a result, widespread acceptance and use of content collaboration solutions in general, and our platform in particular, is critical to our future growth and success. If the content collaboration market fails to grow or grows more slowly than we currently anticipate, demand for our platform could be negatively affected.</w:t>
      </w:r>
    </w:p>
    <w:p>
      <w:pPr>
        <w:spacing w:after="0" w:line="138" w:lineRule="exact"/>
        <w:rPr>
          <w:sz w:val="20"/>
          <w:szCs w:val="20"/>
          <w:color w:val="auto"/>
        </w:rPr>
      </w:pPr>
    </w:p>
    <w:p>
      <w:pPr>
        <w:ind w:left="1120" w:right="40" w:firstLine="368"/>
        <w:spacing w:after="0" w:line="263" w:lineRule="auto"/>
        <w:rPr>
          <w:sz w:val="20"/>
          <w:szCs w:val="20"/>
          <w:color w:val="auto"/>
        </w:rPr>
      </w:pPr>
      <w:r>
        <w:rPr>
          <w:rFonts w:ascii="Arial" w:cs="Arial" w:eastAsia="Arial" w:hAnsi="Arial"/>
          <w:sz w:val="15"/>
          <w:szCs w:val="15"/>
          <w:color w:val="auto"/>
        </w:rPr>
        <w:t>Changes in user preferences for content collaboration may have a disproportionately greater impact on us than if we offered multiple platforms or disparate products. Demand for content collaboration solutions in general, and our platform in particular, is affected by a number of factors, many of which are beyond our control. Some of these potential factors include:</w:t>
      </w:r>
    </w:p>
    <w:p>
      <w:pPr>
        <w:spacing w:after="0" w:line="76" w:lineRule="exact"/>
        <w:rPr>
          <w:sz w:val="20"/>
          <w:szCs w:val="20"/>
          <w:color w:val="auto"/>
        </w:rPr>
      </w:pPr>
    </w:p>
    <w:p>
      <w:pPr>
        <w:ind w:left="1840" w:hanging="276"/>
        <w:spacing w:after="0"/>
        <w:tabs>
          <w:tab w:leader="none" w:pos="1840" w:val="left"/>
        </w:tabs>
        <w:numPr>
          <w:ilvl w:val="0"/>
          <w:numId w:val="15"/>
        </w:numPr>
        <w:rPr>
          <w:rFonts w:ascii="Arial" w:cs="Arial" w:eastAsia="Arial" w:hAnsi="Arial"/>
          <w:sz w:val="15"/>
          <w:szCs w:val="15"/>
          <w:color w:val="auto"/>
        </w:rPr>
      </w:pPr>
      <w:r>
        <w:rPr>
          <w:rFonts w:ascii="Arial" w:cs="Arial" w:eastAsia="Arial" w:hAnsi="Arial"/>
          <w:sz w:val="15"/>
          <w:szCs w:val="15"/>
          <w:color w:val="auto"/>
        </w:rPr>
        <w:t>awareness of the content collaboration category generally;</w:t>
      </w:r>
    </w:p>
    <w:p>
      <w:pPr>
        <w:spacing w:after="0" w:line="109" w:lineRule="exact"/>
        <w:rPr>
          <w:rFonts w:ascii="Arial" w:cs="Arial" w:eastAsia="Arial" w:hAnsi="Arial"/>
          <w:sz w:val="15"/>
          <w:szCs w:val="15"/>
          <w:color w:val="auto"/>
        </w:rPr>
      </w:pPr>
    </w:p>
    <w:p>
      <w:pPr>
        <w:ind w:left="1840" w:hanging="276"/>
        <w:spacing w:after="0"/>
        <w:tabs>
          <w:tab w:leader="none" w:pos="1840" w:val="left"/>
        </w:tabs>
        <w:numPr>
          <w:ilvl w:val="0"/>
          <w:numId w:val="15"/>
        </w:numPr>
        <w:rPr>
          <w:rFonts w:ascii="Arial" w:cs="Arial" w:eastAsia="Arial" w:hAnsi="Arial"/>
          <w:sz w:val="15"/>
          <w:szCs w:val="15"/>
          <w:color w:val="auto"/>
        </w:rPr>
      </w:pPr>
      <w:r>
        <w:rPr>
          <w:rFonts w:ascii="Arial" w:cs="Arial" w:eastAsia="Arial" w:hAnsi="Arial"/>
          <w:sz w:val="15"/>
          <w:szCs w:val="15"/>
          <w:color w:val="auto"/>
        </w:rPr>
        <w:t>availability of products and services that compete with ours;</w:t>
      </w:r>
    </w:p>
    <w:p>
      <w:pPr>
        <w:spacing w:after="0" w:line="109" w:lineRule="exact"/>
        <w:rPr>
          <w:rFonts w:ascii="Arial" w:cs="Arial" w:eastAsia="Arial" w:hAnsi="Arial"/>
          <w:sz w:val="15"/>
          <w:szCs w:val="15"/>
          <w:color w:val="auto"/>
        </w:rPr>
      </w:pPr>
    </w:p>
    <w:p>
      <w:pPr>
        <w:ind w:left="1840" w:hanging="276"/>
        <w:spacing w:after="0"/>
        <w:tabs>
          <w:tab w:leader="none" w:pos="1840" w:val="left"/>
        </w:tabs>
        <w:numPr>
          <w:ilvl w:val="0"/>
          <w:numId w:val="15"/>
        </w:numPr>
        <w:rPr>
          <w:rFonts w:ascii="Arial" w:cs="Arial" w:eastAsia="Arial" w:hAnsi="Arial"/>
          <w:sz w:val="15"/>
          <w:szCs w:val="15"/>
          <w:color w:val="auto"/>
        </w:rPr>
      </w:pPr>
      <w:r>
        <w:rPr>
          <w:rFonts w:ascii="Arial" w:cs="Arial" w:eastAsia="Arial" w:hAnsi="Arial"/>
          <w:sz w:val="15"/>
          <w:szCs w:val="15"/>
          <w:color w:val="auto"/>
        </w:rPr>
        <w:t>ease of adoption and use;</w:t>
      </w:r>
    </w:p>
    <w:p>
      <w:pPr>
        <w:spacing w:after="0" w:line="109" w:lineRule="exact"/>
        <w:rPr>
          <w:rFonts w:ascii="Arial" w:cs="Arial" w:eastAsia="Arial" w:hAnsi="Arial"/>
          <w:sz w:val="15"/>
          <w:szCs w:val="15"/>
          <w:color w:val="auto"/>
        </w:rPr>
      </w:pPr>
    </w:p>
    <w:p>
      <w:pPr>
        <w:ind w:left="1840" w:hanging="276"/>
        <w:spacing w:after="0"/>
        <w:tabs>
          <w:tab w:leader="none" w:pos="1840" w:val="left"/>
        </w:tabs>
        <w:numPr>
          <w:ilvl w:val="0"/>
          <w:numId w:val="15"/>
        </w:numPr>
        <w:rPr>
          <w:rFonts w:ascii="Arial" w:cs="Arial" w:eastAsia="Arial" w:hAnsi="Arial"/>
          <w:sz w:val="15"/>
          <w:szCs w:val="15"/>
          <w:color w:val="auto"/>
        </w:rPr>
      </w:pPr>
      <w:r>
        <w:rPr>
          <w:rFonts w:ascii="Arial" w:cs="Arial" w:eastAsia="Arial" w:hAnsi="Arial"/>
          <w:sz w:val="15"/>
          <w:szCs w:val="15"/>
          <w:color w:val="auto"/>
        </w:rPr>
        <w:t>features and platform experience;</w:t>
      </w:r>
    </w:p>
    <w:p>
      <w:pPr>
        <w:spacing w:after="0" w:line="109" w:lineRule="exact"/>
        <w:rPr>
          <w:rFonts w:ascii="Arial" w:cs="Arial" w:eastAsia="Arial" w:hAnsi="Arial"/>
          <w:sz w:val="15"/>
          <w:szCs w:val="15"/>
          <w:color w:val="auto"/>
        </w:rPr>
      </w:pPr>
    </w:p>
    <w:p>
      <w:pPr>
        <w:ind w:left="1840" w:hanging="276"/>
        <w:spacing w:after="0"/>
        <w:tabs>
          <w:tab w:leader="none" w:pos="1840" w:val="left"/>
        </w:tabs>
        <w:numPr>
          <w:ilvl w:val="0"/>
          <w:numId w:val="15"/>
        </w:numPr>
        <w:rPr>
          <w:rFonts w:ascii="Arial" w:cs="Arial" w:eastAsia="Arial" w:hAnsi="Arial"/>
          <w:sz w:val="15"/>
          <w:szCs w:val="15"/>
          <w:color w:val="auto"/>
        </w:rPr>
      </w:pPr>
      <w:r>
        <w:rPr>
          <w:rFonts w:ascii="Arial" w:cs="Arial" w:eastAsia="Arial" w:hAnsi="Arial"/>
          <w:sz w:val="15"/>
          <w:szCs w:val="15"/>
          <w:color w:val="auto"/>
        </w:rPr>
        <w:t>performance;</w:t>
      </w:r>
    </w:p>
    <w:p>
      <w:pPr>
        <w:spacing w:after="0" w:line="109" w:lineRule="exact"/>
        <w:rPr>
          <w:rFonts w:ascii="Arial" w:cs="Arial" w:eastAsia="Arial" w:hAnsi="Arial"/>
          <w:sz w:val="15"/>
          <w:szCs w:val="15"/>
          <w:color w:val="auto"/>
        </w:rPr>
      </w:pPr>
    </w:p>
    <w:p>
      <w:pPr>
        <w:ind w:left="1840" w:hanging="276"/>
        <w:spacing w:after="0"/>
        <w:tabs>
          <w:tab w:leader="none" w:pos="1840" w:val="left"/>
        </w:tabs>
        <w:numPr>
          <w:ilvl w:val="0"/>
          <w:numId w:val="15"/>
        </w:numPr>
        <w:rPr>
          <w:rFonts w:ascii="Arial" w:cs="Arial" w:eastAsia="Arial" w:hAnsi="Arial"/>
          <w:sz w:val="15"/>
          <w:szCs w:val="15"/>
          <w:color w:val="auto"/>
        </w:rPr>
      </w:pPr>
      <w:r>
        <w:rPr>
          <w:rFonts w:ascii="Arial" w:cs="Arial" w:eastAsia="Arial" w:hAnsi="Arial"/>
          <w:sz w:val="15"/>
          <w:szCs w:val="15"/>
          <w:color w:val="auto"/>
        </w:rPr>
        <w:t>brand;</w:t>
      </w:r>
    </w:p>
    <w:p>
      <w:pPr>
        <w:spacing w:after="0" w:line="109" w:lineRule="exact"/>
        <w:rPr>
          <w:rFonts w:ascii="Arial" w:cs="Arial" w:eastAsia="Arial" w:hAnsi="Arial"/>
          <w:sz w:val="15"/>
          <w:szCs w:val="15"/>
          <w:color w:val="auto"/>
        </w:rPr>
      </w:pPr>
    </w:p>
    <w:p>
      <w:pPr>
        <w:ind w:left="1840" w:hanging="276"/>
        <w:spacing w:after="0"/>
        <w:tabs>
          <w:tab w:leader="none" w:pos="1840" w:val="left"/>
        </w:tabs>
        <w:numPr>
          <w:ilvl w:val="0"/>
          <w:numId w:val="15"/>
        </w:numPr>
        <w:rPr>
          <w:rFonts w:ascii="Arial" w:cs="Arial" w:eastAsia="Arial" w:hAnsi="Arial"/>
          <w:sz w:val="15"/>
          <w:szCs w:val="15"/>
          <w:color w:val="auto"/>
        </w:rPr>
      </w:pPr>
      <w:r>
        <w:rPr>
          <w:rFonts w:ascii="Arial" w:cs="Arial" w:eastAsia="Arial" w:hAnsi="Arial"/>
          <w:sz w:val="15"/>
          <w:szCs w:val="15"/>
          <w:color w:val="auto"/>
        </w:rPr>
        <w:t>security and privacy;</w:t>
      </w:r>
    </w:p>
    <w:p>
      <w:pPr>
        <w:spacing w:after="0" w:line="109" w:lineRule="exact"/>
        <w:rPr>
          <w:rFonts w:ascii="Arial" w:cs="Arial" w:eastAsia="Arial" w:hAnsi="Arial"/>
          <w:sz w:val="15"/>
          <w:szCs w:val="15"/>
          <w:color w:val="auto"/>
        </w:rPr>
      </w:pPr>
    </w:p>
    <w:p>
      <w:pPr>
        <w:ind w:left="1840" w:hanging="276"/>
        <w:spacing w:after="0"/>
        <w:tabs>
          <w:tab w:leader="none" w:pos="1840" w:val="left"/>
        </w:tabs>
        <w:numPr>
          <w:ilvl w:val="0"/>
          <w:numId w:val="15"/>
        </w:numPr>
        <w:rPr>
          <w:rFonts w:ascii="Arial" w:cs="Arial" w:eastAsia="Arial" w:hAnsi="Arial"/>
          <w:sz w:val="15"/>
          <w:szCs w:val="15"/>
          <w:color w:val="auto"/>
        </w:rPr>
      </w:pPr>
      <w:r>
        <w:rPr>
          <w:rFonts w:ascii="Arial" w:cs="Arial" w:eastAsia="Arial" w:hAnsi="Arial"/>
          <w:sz w:val="15"/>
          <w:szCs w:val="15"/>
          <w:color w:val="auto"/>
        </w:rPr>
        <w:t>customer support; and</w:t>
      </w:r>
    </w:p>
    <w:p>
      <w:pPr>
        <w:spacing w:after="0" w:line="109" w:lineRule="exact"/>
        <w:rPr>
          <w:rFonts w:ascii="Arial" w:cs="Arial" w:eastAsia="Arial" w:hAnsi="Arial"/>
          <w:sz w:val="15"/>
          <w:szCs w:val="15"/>
          <w:color w:val="auto"/>
        </w:rPr>
      </w:pPr>
    </w:p>
    <w:p>
      <w:pPr>
        <w:ind w:left="1840" w:hanging="276"/>
        <w:spacing w:after="0"/>
        <w:tabs>
          <w:tab w:leader="none" w:pos="1840" w:val="left"/>
        </w:tabs>
        <w:numPr>
          <w:ilvl w:val="0"/>
          <w:numId w:val="15"/>
        </w:numPr>
        <w:rPr>
          <w:rFonts w:ascii="Arial" w:cs="Arial" w:eastAsia="Arial" w:hAnsi="Arial"/>
          <w:sz w:val="15"/>
          <w:szCs w:val="15"/>
          <w:color w:val="auto"/>
        </w:rPr>
      </w:pPr>
      <w:r>
        <w:rPr>
          <w:rFonts w:ascii="Arial" w:cs="Arial" w:eastAsia="Arial" w:hAnsi="Arial"/>
          <w:sz w:val="15"/>
          <w:szCs w:val="15"/>
          <w:color w:val="auto"/>
        </w:rPr>
        <w:t>pricing.</w:t>
      </w:r>
    </w:p>
    <w:p>
      <w:pPr>
        <w:spacing w:after="0" w:line="188" w:lineRule="exact"/>
        <w:rPr>
          <w:sz w:val="20"/>
          <w:szCs w:val="20"/>
          <w:color w:val="auto"/>
        </w:rPr>
      </w:pPr>
    </w:p>
    <w:p>
      <w:pPr>
        <w:ind w:left="1120" w:right="380" w:firstLine="368"/>
        <w:spacing w:after="0" w:line="263" w:lineRule="auto"/>
        <w:rPr>
          <w:sz w:val="20"/>
          <w:szCs w:val="20"/>
          <w:color w:val="auto"/>
        </w:rPr>
      </w:pPr>
      <w:r>
        <w:rPr>
          <w:rFonts w:ascii="Arial" w:cs="Arial" w:eastAsia="Arial" w:hAnsi="Arial"/>
          <w:sz w:val="15"/>
          <w:szCs w:val="15"/>
          <w:color w:val="auto"/>
        </w:rPr>
        <w:t>The content collaboration market is subject to rapidly changing user demand and trends in preferences. If we fail to successfully predict and address these changes and trends, meet user demands, or achieve more widespread market acceptance of our platform, our business, results of operations, and financial condition could be harmed.</w:t>
      </w:r>
    </w:p>
    <w:p>
      <w:pPr>
        <w:spacing w:after="0" w:line="245" w:lineRule="exact"/>
        <w:rPr>
          <w:sz w:val="20"/>
          <w:szCs w:val="20"/>
          <w:color w:val="auto"/>
        </w:rPr>
      </w:pPr>
    </w:p>
    <w:p>
      <w:pPr>
        <w:ind w:left="1120" w:right="460"/>
        <w:spacing w:after="0" w:line="275" w:lineRule="auto"/>
        <w:rPr>
          <w:sz w:val="20"/>
          <w:szCs w:val="20"/>
          <w:color w:val="auto"/>
        </w:rPr>
      </w:pPr>
      <w:r>
        <w:rPr>
          <w:rFonts w:ascii="Arial" w:cs="Arial" w:eastAsia="Arial" w:hAnsi="Arial"/>
          <w:sz w:val="15"/>
          <w:szCs w:val="15"/>
          <w:b w:val="1"/>
          <w:bCs w:val="1"/>
          <w:i w:val="1"/>
          <w:iCs w:val="1"/>
          <w:color w:val="auto"/>
        </w:rPr>
        <w:t>Our business depends upon the interoperability of our platform across devices, operating systems, and third-party applications that we do not control.</w:t>
      </w:r>
    </w:p>
    <w:p>
      <w:pPr>
        <w:spacing w:after="0" w:line="56" w:lineRule="exact"/>
        <w:rPr>
          <w:sz w:val="20"/>
          <w:szCs w:val="20"/>
          <w:color w:val="auto"/>
        </w:rPr>
      </w:pPr>
    </w:p>
    <w:p>
      <w:pPr>
        <w:ind w:left="1120" w:right="40" w:firstLine="368"/>
        <w:spacing w:after="0" w:line="275" w:lineRule="auto"/>
        <w:rPr>
          <w:sz w:val="20"/>
          <w:szCs w:val="20"/>
          <w:color w:val="auto"/>
        </w:rPr>
      </w:pPr>
      <w:r>
        <w:rPr>
          <w:rFonts w:ascii="Arial" w:cs="Arial" w:eastAsia="Arial" w:hAnsi="Arial"/>
          <w:sz w:val="15"/>
          <w:szCs w:val="15"/>
          <w:color w:val="auto"/>
        </w:rPr>
        <w:t>One of the most important features of our platform is its broad interoperability with a range of diverse devices, operating systems, and third-party applications. Our platform is accessible from the web and from</w:t>
      </w:r>
    </w:p>
    <w:p>
      <w:pPr>
        <w:spacing w:after="0" w:line="90" w:lineRule="exact"/>
        <w:rPr>
          <w:sz w:val="20"/>
          <w:szCs w:val="20"/>
          <w:color w:val="auto"/>
        </w:rPr>
      </w:pPr>
    </w:p>
    <w:p>
      <w:pPr>
        <w:ind w:left="5640"/>
        <w:spacing w:after="0"/>
        <w:rPr>
          <w:sz w:val="20"/>
          <w:szCs w:val="20"/>
          <w:color w:val="auto"/>
        </w:rPr>
      </w:pPr>
      <w:r>
        <w:rPr>
          <w:rFonts w:ascii="Arial" w:cs="Arial" w:eastAsia="Arial" w:hAnsi="Arial"/>
          <w:sz w:val="15"/>
          <w:szCs w:val="15"/>
          <w:color w:val="auto"/>
        </w:rPr>
        <w:t>19</w:t>
      </w:r>
    </w:p>
    <w:p>
      <w:pPr>
        <w:sectPr>
          <w:pgSz w:w="11900" w:h="16838" w:orient="portrait"/>
          <w:cols w:equalWidth="0" w:num="1">
            <w:col w:w="10280"/>
          </w:cols>
          <w:pgMar w:left="240" w:top="407" w:right="1379" w:bottom="1440" w:gutter="0" w:footer="0" w:header="0"/>
        </w:sectPr>
      </w:pPr>
    </w:p>
    <w:bookmarkStart w:id="26" w:name="page27"/>
    <w:bookmarkEnd w:id="26"/>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133350</wp:posOffset>
            </wp:positionH>
            <wp:positionV relativeFrom="page">
              <wp:posOffset>88900</wp:posOffset>
            </wp:positionV>
            <wp:extent cx="7308850" cy="342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308850" cy="34290"/>
                    </a:xfrm>
                    <a:prstGeom prst="rect">
                      <a:avLst/>
                    </a:prstGeom>
                    <a:noFill/>
                  </pic:spPr>
                </pic:pic>
              </a:graphicData>
            </a:graphic>
          </wp:anchor>
        </w:drawing>
      </w:r>
      <w:hyperlink w:anchor="page7">
        <w:r>
          <w:rPr>
            <w:rFonts w:ascii="Arial" w:cs="Arial" w:eastAsia="Arial" w:hAnsi="Arial"/>
            <w:sz w:val="15"/>
            <w:szCs w:val="15"/>
            <w:b w:val="1"/>
            <w:bCs w:val="1"/>
            <w:u w:val="single" w:color="auto"/>
            <w:color w:val="0000EE"/>
          </w:rPr>
          <w:t>Table of Contents</w:t>
        </w:r>
      </w:hyperlink>
    </w:p>
    <w:p>
      <w:pPr>
        <w:spacing w:after="0" w:line="260" w:lineRule="exact"/>
        <w:rPr>
          <w:sz w:val="20"/>
          <w:szCs w:val="20"/>
          <w:color w:val="auto"/>
        </w:rPr>
      </w:pPr>
    </w:p>
    <w:p>
      <w:pPr>
        <w:ind w:left="1120"/>
        <w:spacing w:after="0" w:line="300" w:lineRule="auto"/>
        <w:rPr>
          <w:sz w:val="20"/>
          <w:szCs w:val="20"/>
          <w:color w:val="auto"/>
        </w:rPr>
      </w:pPr>
      <w:r>
        <w:rPr>
          <w:rFonts w:ascii="Arial" w:cs="Arial" w:eastAsia="Arial" w:hAnsi="Arial"/>
          <w:sz w:val="13"/>
          <w:szCs w:val="13"/>
          <w:color w:val="auto"/>
        </w:rPr>
        <w:t>devices running Windows, Mac OS, iOS, Android, WindowsMobile, and Linux. We also have integrations with Microsoft, Adobe, Apple, Salesforce, Atlassian, Slack, IBM, Cisco, VMware, Okta, Symantec, Palo Alto Networks, and a variety of other productivity, collaboration, data management, and security vendors. We are dependent on the accessibility of our platform across these third-party operating systems and applications that we do not control. Several of our competitors own, develop, operate, or distribute operating systems, app stores, third-party datacenter services, and other software, and also have material business relationships with companies that own, develop, operate, or distribute operating systems, applications markets, third-party datacenter services, and other software that our platform requires in order to operate. Moreover, some of these competitors have inherent advantages developing products and services that more tightly integrate with their software and hardware platforms or those of their business partners.</w:t>
      </w:r>
    </w:p>
    <w:p>
      <w:pPr>
        <w:spacing w:after="0" w:line="136" w:lineRule="exact"/>
        <w:rPr>
          <w:sz w:val="20"/>
          <w:szCs w:val="20"/>
          <w:color w:val="auto"/>
        </w:rPr>
      </w:pPr>
    </w:p>
    <w:p>
      <w:pPr>
        <w:ind w:left="1120" w:firstLine="368"/>
        <w:spacing w:after="0" w:line="275" w:lineRule="auto"/>
        <w:rPr>
          <w:sz w:val="20"/>
          <w:szCs w:val="20"/>
          <w:color w:val="auto"/>
        </w:rPr>
      </w:pPr>
      <w:r>
        <w:rPr>
          <w:rFonts w:ascii="Arial" w:cs="Arial" w:eastAsia="Arial" w:hAnsi="Arial"/>
          <w:sz w:val="14"/>
          <w:szCs w:val="14"/>
          <w:color w:val="auto"/>
        </w:rPr>
        <w:t>Third-party services and products are constantly evolving, and we may not be able to modify our platform to assure its compatibility with that of other third parties following development changes. In addition, some of our competitors may be able to disrupt the operations or compatibility of our platform with their products or services, or exert strong business influence on our ability to, and terms on which we, operate and distribute our platform. For example, we currently offer products that directly compete with several large technology companies that we rely on to ensure the interoperability of our platform with their products or services. As our respective products evolve, we expect this level of competition to increase. Should any of our competitors modify their products or standards in a manner that degrades the functionality of our platform or gives preferential treatment to competitive products or services, whether to enhance their competitive position or for any other reason, the interoperability of our platform with these products could decrease and our business, results of operations, and financial condition could be harmed.</w:t>
      </w:r>
    </w:p>
    <w:p>
      <w:pPr>
        <w:spacing w:after="0" w:line="239" w:lineRule="exact"/>
        <w:rPr>
          <w:sz w:val="20"/>
          <w:szCs w:val="20"/>
          <w:color w:val="auto"/>
        </w:rPr>
      </w:pPr>
    </w:p>
    <w:p>
      <w:pPr>
        <w:ind w:left="1120"/>
        <w:spacing w:after="0"/>
        <w:rPr>
          <w:sz w:val="20"/>
          <w:szCs w:val="20"/>
          <w:color w:val="auto"/>
        </w:rPr>
      </w:pPr>
      <w:r>
        <w:rPr>
          <w:rFonts w:ascii="Arial" w:cs="Arial" w:eastAsia="Arial" w:hAnsi="Arial"/>
          <w:sz w:val="15"/>
          <w:szCs w:val="15"/>
          <w:b w:val="1"/>
          <w:bCs w:val="1"/>
          <w:i w:val="1"/>
          <w:iCs w:val="1"/>
          <w:color w:val="auto"/>
        </w:rPr>
        <w:t>We operate in competitive markets, and we must continue to compete effectively.</w:t>
      </w:r>
    </w:p>
    <w:p>
      <w:pPr>
        <w:spacing w:after="0" w:line="98" w:lineRule="exact"/>
        <w:rPr>
          <w:sz w:val="20"/>
          <w:szCs w:val="20"/>
          <w:color w:val="auto"/>
        </w:rPr>
      </w:pPr>
    </w:p>
    <w:p>
      <w:pPr>
        <w:ind w:left="1120" w:right="40" w:firstLine="368"/>
        <w:spacing w:after="0" w:line="257" w:lineRule="auto"/>
        <w:rPr>
          <w:sz w:val="20"/>
          <w:szCs w:val="20"/>
          <w:color w:val="auto"/>
        </w:rPr>
      </w:pPr>
      <w:r>
        <w:rPr>
          <w:rFonts w:ascii="Arial" w:cs="Arial" w:eastAsia="Arial" w:hAnsi="Arial"/>
          <w:sz w:val="15"/>
          <w:szCs w:val="15"/>
          <w:color w:val="auto"/>
        </w:rPr>
        <w:t>The market for content collaboration platforms is competitive and rapidly changing. Certain features of our platform compete in the cloud storage market with products offered by Amazon, Apple, Google, and Microsoft, and in the content collaboration market with products offered by Atlassian, Google, and Microsoft. We compete with Box on a more limited basis in the cloud storage market for deployments by large enterprises. We also compete with smaller private companies that offer point solutions in the cloud storage market or the content collaboration market. We believe the principal competitive factors in our markets include the following:</w:t>
      </w:r>
    </w:p>
    <w:p>
      <w:pPr>
        <w:spacing w:after="0" w:line="80" w:lineRule="exact"/>
        <w:rPr>
          <w:sz w:val="20"/>
          <w:szCs w:val="20"/>
          <w:color w:val="auto"/>
        </w:rPr>
      </w:pPr>
    </w:p>
    <w:p>
      <w:pPr>
        <w:ind w:left="1840" w:hanging="276"/>
        <w:spacing w:after="0"/>
        <w:tabs>
          <w:tab w:leader="none" w:pos="1840" w:val="left"/>
        </w:tabs>
        <w:numPr>
          <w:ilvl w:val="0"/>
          <w:numId w:val="16"/>
        </w:numPr>
        <w:rPr>
          <w:rFonts w:ascii="Arial" w:cs="Arial" w:eastAsia="Arial" w:hAnsi="Arial"/>
          <w:sz w:val="15"/>
          <w:szCs w:val="15"/>
          <w:color w:val="auto"/>
        </w:rPr>
      </w:pPr>
      <w:r>
        <w:rPr>
          <w:rFonts w:ascii="Arial" w:cs="Arial" w:eastAsia="Arial" w:hAnsi="Arial"/>
          <w:sz w:val="15"/>
          <w:szCs w:val="15"/>
          <w:color w:val="auto"/>
        </w:rPr>
        <w:t>user-centric design;</w:t>
      </w:r>
    </w:p>
    <w:p>
      <w:pPr>
        <w:spacing w:after="0" w:line="109" w:lineRule="exact"/>
        <w:rPr>
          <w:rFonts w:ascii="Arial" w:cs="Arial" w:eastAsia="Arial" w:hAnsi="Arial"/>
          <w:sz w:val="15"/>
          <w:szCs w:val="15"/>
          <w:color w:val="auto"/>
        </w:rPr>
      </w:pPr>
    </w:p>
    <w:p>
      <w:pPr>
        <w:ind w:left="1840" w:hanging="276"/>
        <w:spacing w:after="0"/>
        <w:tabs>
          <w:tab w:leader="none" w:pos="1840" w:val="left"/>
        </w:tabs>
        <w:numPr>
          <w:ilvl w:val="0"/>
          <w:numId w:val="16"/>
        </w:numPr>
        <w:rPr>
          <w:rFonts w:ascii="Arial" w:cs="Arial" w:eastAsia="Arial" w:hAnsi="Arial"/>
          <w:sz w:val="15"/>
          <w:szCs w:val="15"/>
          <w:color w:val="auto"/>
        </w:rPr>
      </w:pPr>
      <w:r>
        <w:rPr>
          <w:rFonts w:ascii="Arial" w:cs="Arial" w:eastAsia="Arial" w:hAnsi="Arial"/>
          <w:sz w:val="15"/>
          <w:szCs w:val="15"/>
          <w:color w:val="auto"/>
        </w:rPr>
        <w:t>ease of adoption and use;</w:t>
      </w:r>
    </w:p>
    <w:p>
      <w:pPr>
        <w:spacing w:after="0" w:line="109" w:lineRule="exact"/>
        <w:rPr>
          <w:rFonts w:ascii="Arial" w:cs="Arial" w:eastAsia="Arial" w:hAnsi="Arial"/>
          <w:sz w:val="15"/>
          <w:szCs w:val="15"/>
          <w:color w:val="auto"/>
        </w:rPr>
      </w:pPr>
    </w:p>
    <w:p>
      <w:pPr>
        <w:ind w:left="1840" w:hanging="276"/>
        <w:spacing w:after="0"/>
        <w:tabs>
          <w:tab w:leader="none" w:pos="1840" w:val="left"/>
        </w:tabs>
        <w:numPr>
          <w:ilvl w:val="0"/>
          <w:numId w:val="16"/>
        </w:numPr>
        <w:rPr>
          <w:rFonts w:ascii="Arial" w:cs="Arial" w:eastAsia="Arial" w:hAnsi="Arial"/>
          <w:sz w:val="15"/>
          <w:szCs w:val="15"/>
          <w:color w:val="auto"/>
        </w:rPr>
      </w:pPr>
      <w:r>
        <w:rPr>
          <w:rFonts w:ascii="Arial" w:cs="Arial" w:eastAsia="Arial" w:hAnsi="Arial"/>
          <w:sz w:val="15"/>
          <w:szCs w:val="15"/>
          <w:color w:val="auto"/>
        </w:rPr>
        <w:t>scale of user network;</w:t>
      </w:r>
    </w:p>
    <w:p>
      <w:pPr>
        <w:spacing w:after="0" w:line="109" w:lineRule="exact"/>
        <w:rPr>
          <w:rFonts w:ascii="Arial" w:cs="Arial" w:eastAsia="Arial" w:hAnsi="Arial"/>
          <w:sz w:val="15"/>
          <w:szCs w:val="15"/>
          <w:color w:val="auto"/>
        </w:rPr>
      </w:pPr>
    </w:p>
    <w:p>
      <w:pPr>
        <w:ind w:left="1840" w:hanging="276"/>
        <w:spacing w:after="0"/>
        <w:tabs>
          <w:tab w:leader="none" w:pos="1840" w:val="left"/>
        </w:tabs>
        <w:numPr>
          <w:ilvl w:val="0"/>
          <w:numId w:val="16"/>
        </w:numPr>
        <w:rPr>
          <w:rFonts w:ascii="Arial" w:cs="Arial" w:eastAsia="Arial" w:hAnsi="Arial"/>
          <w:sz w:val="15"/>
          <w:szCs w:val="15"/>
          <w:color w:val="auto"/>
        </w:rPr>
      </w:pPr>
      <w:r>
        <w:rPr>
          <w:rFonts w:ascii="Arial" w:cs="Arial" w:eastAsia="Arial" w:hAnsi="Arial"/>
          <w:sz w:val="15"/>
          <w:szCs w:val="15"/>
          <w:color w:val="auto"/>
        </w:rPr>
        <w:t>features and platform experience;</w:t>
      </w:r>
    </w:p>
    <w:p>
      <w:pPr>
        <w:spacing w:after="0" w:line="109" w:lineRule="exact"/>
        <w:rPr>
          <w:rFonts w:ascii="Arial" w:cs="Arial" w:eastAsia="Arial" w:hAnsi="Arial"/>
          <w:sz w:val="15"/>
          <w:szCs w:val="15"/>
          <w:color w:val="auto"/>
        </w:rPr>
      </w:pPr>
    </w:p>
    <w:p>
      <w:pPr>
        <w:ind w:left="1840" w:hanging="276"/>
        <w:spacing w:after="0"/>
        <w:tabs>
          <w:tab w:leader="none" w:pos="1840" w:val="left"/>
        </w:tabs>
        <w:numPr>
          <w:ilvl w:val="0"/>
          <w:numId w:val="16"/>
        </w:numPr>
        <w:rPr>
          <w:rFonts w:ascii="Arial" w:cs="Arial" w:eastAsia="Arial" w:hAnsi="Arial"/>
          <w:sz w:val="15"/>
          <w:szCs w:val="15"/>
          <w:color w:val="auto"/>
        </w:rPr>
      </w:pPr>
      <w:r>
        <w:rPr>
          <w:rFonts w:ascii="Arial" w:cs="Arial" w:eastAsia="Arial" w:hAnsi="Arial"/>
          <w:sz w:val="15"/>
          <w:szCs w:val="15"/>
          <w:color w:val="auto"/>
        </w:rPr>
        <w:t>performance;</w:t>
      </w:r>
    </w:p>
    <w:p>
      <w:pPr>
        <w:spacing w:after="0" w:line="109" w:lineRule="exact"/>
        <w:rPr>
          <w:rFonts w:ascii="Arial" w:cs="Arial" w:eastAsia="Arial" w:hAnsi="Arial"/>
          <w:sz w:val="15"/>
          <w:szCs w:val="15"/>
          <w:color w:val="auto"/>
        </w:rPr>
      </w:pPr>
    </w:p>
    <w:p>
      <w:pPr>
        <w:ind w:left="1840" w:hanging="276"/>
        <w:spacing w:after="0"/>
        <w:tabs>
          <w:tab w:leader="none" w:pos="1840" w:val="left"/>
        </w:tabs>
        <w:numPr>
          <w:ilvl w:val="0"/>
          <w:numId w:val="16"/>
        </w:numPr>
        <w:rPr>
          <w:rFonts w:ascii="Arial" w:cs="Arial" w:eastAsia="Arial" w:hAnsi="Arial"/>
          <w:sz w:val="15"/>
          <w:szCs w:val="15"/>
          <w:color w:val="auto"/>
        </w:rPr>
      </w:pPr>
      <w:r>
        <w:rPr>
          <w:rFonts w:ascii="Arial" w:cs="Arial" w:eastAsia="Arial" w:hAnsi="Arial"/>
          <w:sz w:val="15"/>
          <w:szCs w:val="15"/>
          <w:color w:val="auto"/>
        </w:rPr>
        <w:t>brand;</w:t>
      </w:r>
    </w:p>
    <w:p>
      <w:pPr>
        <w:spacing w:after="0" w:line="109" w:lineRule="exact"/>
        <w:rPr>
          <w:rFonts w:ascii="Arial" w:cs="Arial" w:eastAsia="Arial" w:hAnsi="Arial"/>
          <w:sz w:val="15"/>
          <w:szCs w:val="15"/>
          <w:color w:val="auto"/>
        </w:rPr>
      </w:pPr>
    </w:p>
    <w:p>
      <w:pPr>
        <w:ind w:left="1840" w:hanging="276"/>
        <w:spacing w:after="0"/>
        <w:tabs>
          <w:tab w:leader="none" w:pos="1840" w:val="left"/>
        </w:tabs>
        <w:numPr>
          <w:ilvl w:val="0"/>
          <w:numId w:val="16"/>
        </w:numPr>
        <w:rPr>
          <w:rFonts w:ascii="Arial" w:cs="Arial" w:eastAsia="Arial" w:hAnsi="Arial"/>
          <w:sz w:val="15"/>
          <w:szCs w:val="15"/>
          <w:color w:val="auto"/>
        </w:rPr>
      </w:pPr>
      <w:r>
        <w:rPr>
          <w:rFonts w:ascii="Arial" w:cs="Arial" w:eastAsia="Arial" w:hAnsi="Arial"/>
          <w:sz w:val="15"/>
          <w:szCs w:val="15"/>
          <w:color w:val="auto"/>
        </w:rPr>
        <w:t>security and privacy;</w:t>
      </w:r>
    </w:p>
    <w:p>
      <w:pPr>
        <w:spacing w:after="0" w:line="109" w:lineRule="exact"/>
        <w:rPr>
          <w:rFonts w:ascii="Arial" w:cs="Arial" w:eastAsia="Arial" w:hAnsi="Arial"/>
          <w:sz w:val="15"/>
          <w:szCs w:val="15"/>
          <w:color w:val="auto"/>
        </w:rPr>
      </w:pPr>
    </w:p>
    <w:p>
      <w:pPr>
        <w:ind w:left="1840" w:hanging="276"/>
        <w:spacing w:after="0"/>
        <w:tabs>
          <w:tab w:leader="none" w:pos="1840" w:val="left"/>
        </w:tabs>
        <w:numPr>
          <w:ilvl w:val="0"/>
          <w:numId w:val="16"/>
        </w:numPr>
        <w:rPr>
          <w:rFonts w:ascii="Arial" w:cs="Arial" w:eastAsia="Arial" w:hAnsi="Arial"/>
          <w:sz w:val="15"/>
          <w:szCs w:val="15"/>
          <w:color w:val="auto"/>
        </w:rPr>
      </w:pPr>
      <w:r>
        <w:rPr>
          <w:rFonts w:ascii="Arial" w:cs="Arial" w:eastAsia="Arial" w:hAnsi="Arial"/>
          <w:sz w:val="15"/>
          <w:szCs w:val="15"/>
          <w:color w:val="auto"/>
        </w:rPr>
        <w:t>accessibility across several devices, operating systems, and applications;</w:t>
      </w:r>
    </w:p>
    <w:p>
      <w:pPr>
        <w:spacing w:after="0" w:line="109" w:lineRule="exact"/>
        <w:rPr>
          <w:rFonts w:ascii="Arial" w:cs="Arial" w:eastAsia="Arial" w:hAnsi="Arial"/>
          <w:sz w:val="15"/>
          <w:szCs w:val="15"/>
          <w:color w:val="auto"/>
        </w:rPr>
      </w:pPr>
    </w:p>
    <w:p>
      <w:pPr>
        <w:ind w:left="1840" w:hanging="276"/>
        <w:spacing w:after="0"/>
        <w:tabs>
          <w:tab w:leader="none" w:pos="1840" w:val="left"/>
        </w:tabs>
        <w:numPr>
          <w:ilvl w:val="0"/>
          <w:numId w:val="16"/>
        </w:numPr>
        <w:rPr>
          <w:rFonts w:ascii="Arial" w:cs="Arial" w:eastAsia="Arial" w:hAnsi="Arial"/>
          <w:sz w:val="15"/>
          <w:szCs w:val="15"/>
          <w:color w:val="auto"/>
        </w:rPr>
      </w:pPr>
      <w:r>
        <w:rPr>
          <w:rFonts w:ascii="Arial" w:cs="Arial" w:eastAsia="Arial" w:hAnsi="Arial"/>
          <w:sz w:val="15"/>
          <w:szCs w:val="15"/>
          <w:color w:val="auto"/>
        </w:rPr>
        <w:t>third-party integration;</w:t>
      </w:r>
    </w:p>
    <w:p>
      <w:pPr>
        <w:spacing w:after="0" w:line="109" w:lineRule="exact"/>
        <w:rPr>
          <w:rFonts w:ascii="Arial" w:cs="Arial" w:eastAsia="Arial" w:hAnsi="Arial"/>
          <w:sz w:val="15"/>
          <w:szCs w:val="15"/>
          <w:color w:val="auto"/>
        </w:rPr>
      </w:pPr>
    </w:p>
    <w:p>
      <w:pPr>
        <w:ind w:left="1840" w:hanging="276"/>
        <w:spacing w:after="0"/>
        <w:tabs>
          <w:tab w:leader="none" w:pos="1840" w:val="left"/>
        </w:tabs>
        <w:numPr>
          <w:ilvl w:val="0"/>
          <w:numId w:val="16"/>
        </w:numPr>
        <w:rPr>
          <w:rFonts w:ascii="Arial" w:cs="Arial" w:eastAsia="Arial" w:hAnsi="Arial"/>
          <w:sz w:val="15"/>
          <w:szCs w:val="15"/>
          <w:color w:val="auto"/>
        </w:rPr>
      </w:pPr>
      <w:r>
        <w:rPr>
          <w:rFonts w:ascii="Arial" w:cs="Arial" w:eastAsia="Arial" w:hAnsi="Arial"/>
          <w:sz w:val="15"/>
          <w:szCs w:val="15"/>
          <w:color w:val="auto"/>
        </w:rPr>
        <w:t>customer support;</w:t>
      </w:r>
    </w:p>
    <w:p>
      <w:pPr>
        <w:spacing w:after="0" w:line="109" w:lineRule="exact"/>
        <w:rPr>
          <w:rFonts w:ascii="Arial" w:cs="Arial" w:eastAsia="Arial" w:hAnsi="Arial"/>
          <w:sz w:val="15"/>
          <w:szCs w:val="15"/>
          <w:color w:val="auto"/>
        </w:rPr>
      </w:pPr>
    </w:p>
    <w:p>
      <w:pPr>
        <w:ind w:left="1840" w:hanging="276"/>
        <w:spacing w:after="0"/>
        <w:tabs>
          <w:tab w:leader="none" w:pos="1840" w:val="left"/>
        </w:tabs>
        <w:numPr>
          <w:ilvl w:val="0"/>
          <w:numId w:val="16"/>
        </w:numPr>
        <w:rPr>
          <w:rFonts w:ascii="Arial" w:cs="Arial" w:eastAsia="Arial" w:hAnsi="Arial"/>
          <w:sz w:val="15"/>
          <w:szCs w:val="15"/>
          <w:color w:val="auto"/>
        </w:rPr>
      </w:pPr>
      <w:r>
        <w:rPr>
          <w:rFonts w:ascii="Arial" w:cs="Arial" w:eastAsia="Arial" w:hAnsi="Arial"/>
          <w:sz w:val="15"/>
          <w:szCs w:val="15"/>
          <w:color w:val="auto"/>
        </w:rPr>
        <w:t>continued innovation; and</w:t>
      </w:r>
    </w:p>
    <w:p>
      <w:pPr>
        <w:spacing w:after="0" w:line="109" w:lineRule="exact"/>
        <w:rPr>
          <w:rFonts w:ascii="Arial" w:cs="Arial" w:eastAsia="Arial" w:hAnsi="Arial"/>
          <w:sz w:val="15"/>
          <w:szCs w:val="15"/>
          <w:color w:val="auto"/>
        </w:rPr>
      </w:pPr>
    </w:p>
    <w:p>
      <w:pPr>
        <w:ind w:left="1840" w:hanging="276"/>
        <w:spacing w:after="0"/>
        <w:tabs>
          <w:tab w:leader="none" w:pos="1840" w:val="left"/>
        </w:tabs>
        <w:numPr>
          <w:ilvl w:val="0"/>
          <w:numId w:val="16"/>
        </w:numPr>
        <w:rPr>
          <w:rFonts w:ascii="Arial" w:cs="Arial" w:eastAsia="Arial" w:hAnsi="Arial"/>
          <w:sz w:val="15"/>
          <w:szCs w:val="15"/>
          <w:color w:val="auto"/>
        </w:rPr>
      </w:pPr>
      <w:r>
        <w:rPr>
          <w:rFonts w:ascii="Arial" w:cs="Arial" w:eastAsia="Arial" w:hAnsi="Arial"/>
          <w:sz w:val="15"/>
          <w:szCs w:val="15"/>
          <w:color w:val="auto"/>
        </w:rPr>
        <w:t>pricing.</w:t>
      </w:r>
    </w:p>
    <w:p>
      <w:pPr>
        <w:spacing w:after="0" w:line="188" w:lineRule="exact"/>
        <w:rPr>
          <w:sz w:val="20"/>
          <w:szCs w:val="20"/>
          <w:color w:val="auto"/>
        </w:rPr>
      </w:pPr>
    </w:p>
    <w:p>
      <w:pPr>
        <w:ind w:left="1120" w:right="100" w:firstLine="368"/>
        <w:spacing w:after="0" w:line="275" w:lineRule="auto"/>
        <w:rPr>
          <w:sz w:val="20"/>
          <w:szCs w:val="20"/>
          <w:color w:val="auto"/>
        </w:rPr>
      </w:pPr>
      <w:r>
        <w:rPr>
          <w:rFonts w:ascii="Arial" w:cs="Arial" w:eastAsia="Arial" w:hAnsi="Arial"/>
          <w:sz w:val="15"/>
          <w:szCs w:val="15"/>
          <w:color w:val="auto"/>
        </w:rPr>
        <w:t>With the introduction of new technologies and market entrants, we expect competition to intensify in the future. Many of our actual and potential competitors benefit from competitive advantages over us, such as greater</w:t>
      </w:r>
    </w:p>
    <w:p>
      <w:pPr>
        <w:spacing w:after="0" w:line="90" w:lineRule="exact"/>
        <w:rPr>
          <w:sz w:val="20"/>
          <w:szCs w:val="20"/>
          <w:color w:val="auto"/>
        </w:rPr>
      </w:pPr>
    </w:p>
    <w:p>
      <w:pPr>
        <w:ind w:left="5640"/>
        <w:spacing w:after="0"/>
        <w:rPr>
          <w:sz w:val="20"/>
          <w:szCs w:val="20"/>
          <w:color w:val="auto"/>
        </w:rPr>
      </w:pPr>
      <w:r>
        <w:rPr>
          <w:rFonts w:ascii="Arial" w:cs="Arial" w:eastAsia="Arial" w:hAnsi="Arial"/>
          <w:sz w:val="15"/>
          <w:szCs w:val="15"/>
          <w:color w:val="auto"/>
        </w:rPr>
        <w:t>20</w:t>
      </w:r>
    </w:p>
    <w:p>
      <w:pPr>
        <w:sectPr>
          <w:pgSz w:w="11900" w:h="16838" w:orient="portrait"/>
          <w:cols w:equalWidth="0" w:num="1">
            <w:col w:w="10300"/>
          </w:cols>
          <w:pgMar w:left="240" w:top="407" w:right="1359" w:bottom="1440" w:gutter="0" w:footer="0" w:header="0"/>
        </w:sectPr>
      </w:pPr>
    </w:p>
    <w:bookmarkStart w:id="27" w:name="page28"/>
    <w:bookmarkEnd w:id="27"/>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133350</wp:posOffset>
            </wp:positionH>
            <wp:positionV relativeFrom="page">
              <wp:posOffset>88900</wp:posOffset>
            </wp:positionV>
            <wp:extent cx="7308850" cy="342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308850" cy="34290"/>
                    </a:xfrm>
                    <a:prstGeom prst="rect">
                      <a:avLst/>
                    </a:prstGeom>
                    <a:noFill/>
                  </pic:spPr>
                </pic:pic>
              </a:graphicData>
            </a:graphic>
          </wp:anchor>
        </w:drawing>
      </w:r>
      <w:hyperlink w:anchor="page7">
        <w:r>
          <w:rPr>
            <w:rFonts w:ascii="Arial" w:cs="Arial" w:eastAsia="Arial" w:hAnsi="Arial"/>
            <w:sz w:val="15"/>
            <w:szCs w:val="15"/>
            <w:b w:val="1"/>
            <w:bCs w:val="1"/>
            <w:u w:val="single" w:color="auto"/>
            <w:color w:val="0000EE"/>
          </w:rPr>
          <w:t>Table of Contents</w:t>
        </w:r>
      </w:hyperlink>
    </w:p>
    <w:p>
      <w:pPr>
        <w:spacing w:after="0" w:line="260" w:lineRule="exact"/>
        <w:rPr>
          <w:sz w:val="20"/>
          <w:szCs w:val="20"/>
          <w:color w:val="auto"/>
        </w:rPr>
      </w:pPr>
    </w:p>
    <w:p>
      <w:pPr>
        <w:ind w:left="1120" w:right="80"/>
        <w:spacing w:after="0" w:line="257" w:lineRule="auto"/>
        <w:rPr>
          <w:sz w:val="20"/>
          <w:szCs w:val="20"/>
          <w:color w:val="auto"/>
        </w:rPr>
      </w:pPr>
      <w:r>
        <w:rPr>
          <w:rFonts w:ascii="Arial" w:cs="Arial" w:eastAsia="Arial" w:hAnsi="Arial"/>
          <w:sz w:val="15"/>
          <w:szCs w:val="15"/>
          <w:color w:val="auto"/>
        </w:rPr>
        <w:t>name recognition, longer operating histories, more varied products and services, larger marketing budgets, more established marketing relationships, access to larger user bases, major distribution agreements with hardware manufacturers and resellers, and greater financial, technical, and other resources. Some of our competitors may make acquisitions or enter into strategic relationships to offer a broader range of products and services than we do. These combinations may make it more difficult for us to compete effectively. We expect these trends to continue as competitors attempt to strengthen or maintain their market positions.</w:t>
      </w:r>
    </w:p>
    <w:p>
      <w:pPr>
        <w:spacing w:after="0" w:line="159" w:lineRule="exact"/>
        <w:rPr>
          <w:sz w:val="20"/>
          <w:szCs w:val="20"/>
          <w:color w:val="auto"/>
        </w:rPr>
      </w:pPr>
    </w:p>
    <w:p>
      <w:pPr>
        <w:ind w:left="1120" w:right="120" w:firstLine="368"/>
        <w:spacing w:after="0" w:line="302" w:lineRule="auto"/>
        <w:rPr>
          <w:sz w:val="20"/>
          <w:szCs w:val="20"/>
          <w:color w:val="auto"/>
        </w:rPr>
      </w:pPr>
      <w:r>
        <w:rPr>
          <w:rFonts w:ascii="Arial" w:cs="Arial" w:eastAsia="Arial" w:hAnsi="Arial"/>
          <w:sz w:val="13"/>
          <w:szCs w:val="13"/>
          <w:color w:val="auto"/>
        </w:rPr>
        <w:t>Demand for our platform is also sensitive to price. Many factors, including our marketing, user acquisition and technology costs, and our current and future competitors’ pricing and marketing strategies, can significantly affect our pricing strategies. Certain of our competitors offer, or may in the future offer, lower-priced or free products or services that compete with our platform or may bundle and offer a broader range of products and services. Similarly, certain competitors may use marketing strategies that enable them to acquire users at a lower cost than us. There can be no assurance that we will not be forced to engage in price-cutting initiatives or to increase our marketing and other expenses to attract and retain users in response to competitive pressures, either of which could materially and adversely affect our business, results of operations, and financial condition.</w:t>
      </w:r>
    </w:p>
    <w:p>
      <w:pPr>
        <w:spacing w:after="0" w:line="225" w:lineRule="exact"/>
        <w:rPr>
          <w:sz w:val="20"/>
          <w:szCs w:val="20"/>
          <w:color w:val="auto"/>
        </w:rPr>
      </w:pPr>
    </w:p>
    <w:p>
      <w:pPr>
        <w:ind w:left="1120"/>
        <w:spacing w:after="0"/>
        <w:rPr>
          <w:sz w:val="20"/>
          <w:szCs w:val="20"/>
          <w:color w:val="auto"/>
        </w:rPr>
      </w:pPr>
      <w:r>
        <w:rPr>
          <w:rFonts w:ascii="Arial" w:cs="Arial" w:eastAsia="Arial" w:hAnsi="Arial"/>
          <w:sz w:val="15"/>
          <w:szCs w:val="15"/>
          <w:b w:val="1"/>
          <w:bCs w:val="1"/>
          <w:i w:val="1"/>
          <w:iCs w:val="1"/>
          <w:color w:val="auto"/>
        </w:rPr>
        <w:t>We may not be able to respond to rapid technological changes, extend our platform, or develop new features.</w:t>
      </w:r>
    </w:p>
    <w:p>
      <w:pPr>
        <w:spacing w:after="0" w:line="98" w:lineRule="exact"/>
        <w:rPr>
          <w:sz w:val="20"/>
          <w:szCs w:val="20"/>
          <w:color w:val="auto"/>
        </w:rPr>
      </w:pPr>
    </w:p>
    <w:p>
      <w:pPr>
        <w:ind w:left="1120" w:firstLine="368"/>
        <w:spacing w:after="0" w:line="297" w:lineRule="auto"/>
        <w:rPr>
          <w:sz w:val="20"/>
          <w:szCs w:val="20"/>
          <w:color w:val="auto"/>
        </w:rPr>
      </w:pPr>
      <w:r>
        <w:rPr>
          <w:rFonts w:ascii="Arial" w:cs="Arial" w:eastAsia="Arial" w:hAnsi="Arial"/>
          <w:sz w:val="13"/>
          <w:szCs w:val="13"/>
          <w:color w:val="auto"/>
        </w:rPr>
        <w:t>The content collaboration market is characterized by rapid technological change and frequent new product and service introductions. Our ability to grow our user base and increase revenue from existing users will depend heavily on our ability to enhance and improve our platform, introduce new features and products, and interoperate across an increasing range of devices, operating systems, and third-party applications. Users may require features and capabilities that our current platform does not have. We invest significantly in research and development, and our goal is to focus our spending on measures that improve quality and ease of adoption and create organic user demand for our platform. For example, we recently introduced Paper, a new collaborative product experience, and Smart Sync, a new advanced productivity feature, to add additional functionality to our platform. There is no assurance that our enhancements to our platform or our new product experiences, features, or capabilities will be compelling to our users or gain market acceptance. If our research and development investments do not accurately anticipate user demand, or if we fail to develop our platform in a manner that satisfies user preferences in a timely and cost-effective manner, we may fail to retain our existing users or increase demand for our platform.</w:t>
      </w:r>
    </w:p>
    <w:p>
      <w:pPr>
        <w:spacing w:after="0" w:line="140" w:lineRule="exact"/>
        <w:rPr>
          <w:sz w:val="20"/>
          <w:szCs w:val="20"/>
          <w:color w:val="auto"/>
        </w:rPr>
      </w:pPr>
    </w:p>
    <w:p>
      <w:pPr>
        <w:ind w:left="1120" w:firstLine="368"/>
        <w:spacing w:after="0" w:line="273" w:lineRule="auto"/>
        <w:rPr>
          <w:sz w:val="20"/>
          <w:szCs w:val="20"/>
          <w:color w:val="auto"/>
        </w:rPr>
      </w:pPr>
      <w:r>
        <w:rPr>
          <w:rFonts w:ascii="Arial" w:cs="Arial" w:eastAsia="Arial" w:hAnsi="Arial"/>
          <w:sz w:val="14"/>
          <w:szCs w:val="14"/>
          <w:color w:val="auto"/>
        </w:rPr>
        <w:t>The introduction of new products and services by competitors or the development of entirely new technologies to replace existing offerings could make our platform obsolete or adversely affect our business, results of operations, and financial condition. We may experience difficulties with software development, design, or marketing that could delay or prevent our development, introduction, or implementation of new product experiences, features, or capabilities. We have in the past experienced delays in our internally planned release dates of new features and capabilities, and there can be no assurance that new product experiences, features, or capabilities will be released according to schedule. Any delays could result in adverse publicity, loss of revenue or market acceptance, or claims by users brought against us, all of which could have a material and adverse effect on our reputation, business, results of operations, and financial condition. Moreover, new productivity features to our platform, such as Smart Sync, may require substantial investment, and we have no assurance that such investments will be successful. If users do not widely adopt our new product experiences, features, and capabilities, we may not be able to realize a return on our investment. If we are unable to develop, license, or acquire new features and capabilities to our platform on a timely and cost-effective basis, or if such enhancements do not achieve market acceptance, our business, results of operations, and financial condition could be adversely affected.</w:t>
      </w:r>
    </w:p>
    <w:p>
      <w:pPr>
        <w:spacing w:after="0" w:line="241" w:lineRule="exact"/>
        <w:rPr>
          <w:sz w:val="20"/>
          <w:szCs w:val="20"/>
          <w:color w:val="auto"/>
        </w:rPr>
      </w:pPr>
    </w:p>
    <w:p>
      <w:pPr>
        <w:ind w:left="1120"/>
        <w:spacing w:after="0"/>
        <w:rPr>
          <w:sz w:val="20"/>
          <w:szCs w:val="20"/>
          <w:color w:val="auto"/>
        </w:rPr>
      </w:pPr>
      <w:r>
        <w:rPr>
          <w:rFonts w:ascii="Arial" w:cs="Arial" w:eastAsia="Arial" w:hAnsi="Arial"/>
          <w:sz w:val="15"/>
          <w:szCs w:val="15"/>
          <w:b w:val="1"/>
          <w:bCs w:val="1"/>
          <w:i w:val="1"/>
          <w:iCs w:val="1"/>
          <w:color w:val="auto"/>
        </w:rPr>
        <w:t>We may not successfully manage our growth or plan for future growth.</w:t>
      </w:r>
    </w:p>
    <w:p>
      <w:pPr>
        <w:spacing w:after="0" w:line="98" w:lineRule="exact"/>
        <w:rPr>
          <w:sz w:val="20"/>
          <w:szCs w:val="20"/>
          <w:color w:val="auto"/>
        </w:rPr>
      </w:pPr>
    </w:p>
    <w:p>
      <w:pPr>
        <w:ind w:left="1120" w:right="40" w:firstLine="368"/>
        <w:spacing w:after="0" w:line="275" w:lineRule="auto"/>
        <w:rPr>
          <w:sz w:val="20"/>
          <w:szCs w:val="20"/>
          <w:color w:val="auto"/>
        </w:rPr>
      </w:pPr>
      <w:r>
        <w:rPr>
          <w:rFonts w:ascii="Arial" w:cs="Arial" w:eastAsia="Arial" w:hAnsi="Arial"/>
          <w:sz w:val="15"/>
          <w:szCs w:val="15"/>
          <w:color w:val="auto"/>
        </w:rPr>
        <w:t>Since our founding in 2007, we have experienced rapid growth. For example, our headcount has grown from 1,446 employees as of December 31, 2015, to 1,858 employees as of December 31, 2017, with employees</w:t>
      </w:r>
    </w:p>
    <w:p>
      <w:pPr>
        <w:spacing w:after="0" w:line="90" w:lineRule="exact"/>
        <w:rPr>
          <w:sz w:val="20"/>
          <w:szCs w:val="20"/>
          <w:color w:val="auto"/>
        </w:rPr>
      </w:pPr>
    </w:p>
    <w:p>
      <w:pPr>
        <w:ind w:left="5640"/>
        <w:spacing w:after="0"/>
        <w:rPr>
          <w:sz w:val="20"/>
          <w:szCs w:val="20"/>
          <w:color w:val="auto"/>
        </w:rPr>
      </w:pPr>
      <w:r>
        <w:rPr>
          <w:rFonts w:ascii="Arial" w:cs="Arial" w:eastAsia="Arial" w:hAnsi="Arial"/>
          <w:sz w:val="15"/>
          <w:szCs w:val="15"/>
          <w:color w:val="auto"/>
        </w:rPr>
        <w:t>21</w:t>
      </w:r>
    </w:p>
    <w:p>
      <w:pPr>
        <w:sectPr>
          <w:pgSz w:w="11900" w:h="16838" w:orient="portrait"/>
          <w:cols w:equalWidth="0" w:num="1">
            <w:col w:w="10320"/>
          </w:cols>
          <w:pgMar w:left="240" w:top="407" w:right="1339" w:bottom="1440" w:gutter="0" w:footer="0" w:header="0"/>
        </w:sectPr>
      </w:pPr>
    </w:p>
    <w:bookmarkStart w:id="28" w:name="page29"/>
    <w:bookmarkEnd w:id="28"/>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133350</wp:posOffset>
            </wp:positionH>
            <wp:positionV relativeFrom="page">
              <wp:posOffset>88900</wp:posOffset>
            </wp:positionV>
            <wp:extent cx="7308850" cy="342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308850" cy="34290"/>
                    </a:xfrm>
                    <a:prstGeom prst="rect">
                      <a:avLst/>
                    </a:prstGeom>
                    <a:noFill/>
                  </pic:spPr>
                </pic:pic>
              </a:graphicData>
            </a:graphic>
          </wp:anchor>
        </w:drawing>
      </w:r>
      <w:hyperlink w:anchor="page7">
        <w:r>
          <w:rPr>
            <w:rFonts w:ascii="Arial" w:cs="Arial" w:eastAsia="Arial" w:hAnsi="Arial"/>
            <w:sz w:val="15"/>
            <w:szCs w:val="15"/>
            <w:b w:val="1"/>
            <w:bCs w:val="1"/>
            <w:u w:val="single" w:color="auto"/>
            <w:color w:val="0000EE"/>
          </w:rPr>
          <w:t>Table of Contents</w:t>
        </w:r>
      </w:hyperlink>
    </w:p>
    <w:p>
      <w:pPr>
        <w:spacing w:after="0" w:line="260" w:lineRule="exact"/>
        <w:rPr>
          <w:sz w:val="20"/>
          <w:szCs w:val="20"/>
          <w:color w:val="auto"/>
        </w:rPr>
      </w:pPr>
    </w:p>
    <w:p>
      <w:pPr>
        <w:ind w:left="1120" w:right="20"/>
        <w:spacing w:after="0" w:line="255" w:lineRule="auto"/>
        <w:rPr>
          <w:sz w:val="20"/>
          <w:szCs w:val="20"/>
          <w:color w:val="auto"/>
        </w:rPr>
      </w:pPr>
      <w:r>
        <w:rPr>
          <w:rFonts w:ascii="Arial" w:cs="Arial" w:eastAsia="Arial" w:hAnsi="Arial"/>
          <w:sz w:val="15"/>
          <w:szCs w:val="15"/>
          <w:color w:val="auto"/>
        </w:rPr>
        <w:t>located both in the United States and internationally. The growth and expansion of our business places a continuous significant strain on our management, operational, and financial resources. Further growth of our operations to support our user base or our expanding third-party relationships, our information technology systems, and our internal controls and procedures may not be adequate to support our operations. In addition, as we continue to grow, we face challenges of integrating, developing, and motivating a rapidly growing employee base in various countries around the world. Certain members of our management have not previously worked together for an extended period of time and some do not have experience managing a public company, which may affect how they manage our growth. Managing our growth will also require significant expenditures and allocation of valuable management resources.</w:t>
      </w:r>
    </w:p>
    <w:p>
      <w:pPr>
        <w:spacing w:after="0" w:line="161" w:lineRule="exact"/>
        <w:rPr>
          <w:sz w:val="20"/>
          <w:szCs w:val="20"/>
          <w:color w:val="auto"/>
        </w:rPr>
      </w:pPr>
    </w:p>
    <w:p>
      <w:pPr>
        <w:ind w:left="1120" w:firstLine="368"/>
        <w:spacing w:after="0" w:line="257" w:lineRule="auto"/>
        <w:rPr>
          <w:sz w:val="20"/>
          <w:szCs w:val="20"/>
          <w:color w:val="auto"/>
        </w:rPr>
      </w:pPr>
      <w:r>
        <w:rPr>
          <w:rFonts w:ascii="Arial" w:cs="Arial" w:eastAsia="Arial" w:hAnsi="Arial"/>
          <w:sz w:val="15"/>
          <w:szCs w:val="15"/>
          <w:color w:val="auto"/>
        </w:rPr>
        <w:t>In addition, our rapid growth may make it difficult to evaluate our future prospects. Our ability to forecast our future results of operations is subject to a number of uncertainties, including our ability to effectively plan for and model future growth. We have encountered in the past, and may encounter in the future, risks and uncertainties frequently experienced by growing companies in rapidly changing industries. If we fail to achieve the necessary level of efficiency in our organization as it grows, or if we are not able to accurately forecast future growth, our business, results of operations, and financial condition could be harmed.</w:t>
      </w:r>
    </w:p>
    <w:p>
      <w:pPr>
        <w:spacing w:after="0" w:line="249" w:lineRule="exact"/>
        <w:rPr>
          <w:sz w:val="20"/>
          <w:szCs w:val="20"/>
          <w:color w:val="auto"/>
        </w:rPr>
      </w:pPr>
    </w:p>
    <w:p>
      <w:pPr>
        <w:ind w:left="1120"/>
        <w:spacing w:after="0"/>
        <w:rPr>
          <w:sz w:val="20"/>
          <w:szCs w:val="20"/>
          <w:color w:val="auto"/>
        </w:rPr>
      </w:pPr>
      <w:r>
        <w:rPr>
          <w:rFonts w:ascii="Arial" w:cs="Arial" w:eastAsia="Arial" w:hAnsi="Arial"/>
          <w:sz w:val="15"/>
          <w:szCs w:val="15"/>
          <w:b w:val="1"/>
          <w:bCs w:val="1"/>
          <w:i w:val="1"/>
          <w:iCs w:val="1"/>
          <w:color w:val="auto"/>
        </w:rPr>
        <w:t>Our lack of a significant outbound sales force may limit the potential growth of our business.</w:t>
      </w:r>
    </w:p>
    <w:p>
      <w:pPr>
        <w:spacing w:after="0" w:line="98" w:lineRule="exact"/>
        <w:rPr>
          <w:sz w:val="20"/>
          <w:szCs w:val="20"/>
          <w:color w:val="auto"/>
        </w:rPr>
      </w:pPr>
    </w:p>
    <w:p>
      <w:pPr>
        <w:ind w:left="1120" w:right="20" w:firstLine="368"/>
        <w:spacing w:after="0" w:line="273" w:lineRule="auto"/>
        <w:rPr>
          <w:sz w:val="20"/>
          <w:szCs w:val="20"/>
          <w:color w:val="auto"/>
        </w:rPr>
      </w:pPr>
      <w:r>
        <w:rPr>
          <w:rFonts w:ascii="Arial" w:cs="Arial" w:eastAsia="Arial" w:hAnsi="Arial"/>
          <w:sz w:val="14"/>
          <w:szCs w:val="14"/>
          <w:color w:val="auto"/>
        </w:rPr>
        <w:t>Historically, our business model has been driven by organic adoption and viral growth, with more than 90% of our revenue generated from self-serve channels. As a result, we do not have a significant outbound sales force, which has enabled us to be more efficient with our sales and marketing spend. Although we believe our business model can continue to scale without a large outbound sales force, our word-of-mouth and user referral marketing model may not continue to be as successful as we anticipate, and our limited experience selling directly to large organizations through our outbound sales force may impede our future growth. As we continue to scale our business, an enhanced sales infrastructure could assist in reaching larger organizations and growing our revenue. Identifying and recruiting additional qualified sales personnel and training them would require significant time, expense, and attention, and would significantly impact our business model. Further, adding more sales personnel would change our cost structure and results of operations, and we may have to reduce other expenses in order to accommodate a corresponding increase in sales and marketing expenses. If our limited experience selling and marketing to large organizations prevents us from reaching larger organizations and growing our revenue, and if we are unable to hire, develop, and retain talented sales personnel in the future, our business, results of operations, and financial condition could be adversely affected.</w:t>
      </w:r>
    </w:p>
    <w:p>
      <w:pPr>
        <w:spacing w:after="0" w:line="241" w:lineRule="exact"/>
        <w:rPr>
          <w:sz w:val="20"/>
          <w:szCs w:val="20"/>
          <w:color w:val="auto"/>
        </w:rPr>
      </w:pPr>
    </w:p>
    <w:p>
      <w:pPr>
        <w:ind w:left="1120"/>
        <w:spacing w:after="0"/>
        <w:rPr>
          <w:sz w:val="20"/>
          <w:szCs w:val="20"/>
          <w:color w:val="auto"/>
        </w:rPr>
      </w:pPr>
      <w:r>
        <w:rPr>
          <w:rFonts w:ascii="Arial" w:cs="Arial" w:eastAsia="Arial" w:hAnsi="Arial"/>
          <w:sz w:val="15"/>
          <w:szCs w:val="15"/>
          <w:b w:val="1"/>
          <w:bCs w:val="1"/>
          <w:i w:val="1"/>
          <w:iCs w:val="1"/>
          <w:color w:val="auto"/>
        </w:rPr>
        <w:t>We may expand sales to large organizations, which could lengthen sales cycles and result in greater deployment challenges.</w:t>
      </w:r>
    </w:p>
    <w:p>
      <w:pPr>
        <w:spacing w:after="0" w:line="98" w:lineRule="exact"/>
        <w:rPr>
          <w:sz w:val="20"/>
          <w:szCs w:val="20"/>
          <w:color w:val="auto"/>
        </w:rPr>
      </w:pPr>
    </w:p>
    <w:p>
      <w:pPr>
        <w:ind w:left="1120" w:right="40" w:firstLine="368"/>
        <w:spacing w:after="0" w:line="255" w:lineRule="auto"/>
        <w:rPr>
          <w:sz w:val="20"/>
          <w:szCs w:val="20"/>
          <w:color w:val="auto"/>
        </w:rPr>
      </w:pPr>
      <w:r>
        <w:rPr>
          <w:rFonts w:ascii="Arial" w:cs="Arial" w:eastAsia="Arial" w:hAnsi="Arial"/>
          <w:sz w:val="15"/>
          <w:szCs w:val="15"/>
          <w:color w:val="auto"/>
        </w:rPr>
        <w:t>As our business evolves, we may need to invest more resources into sales to large organizations. Large organizations may undertake a significant evaluation and negotiation process, which can lengthen our sales cycle. We may also face unexpected deployment challenges with large organizations or more complicated deployment of our platform. Large organizations may demand more configuration and integration of our platform or require additional security management or control features. We may spend substantial time, effort, and money on sales efforts to large organizations without any assurance that our efforts will produce any sales. As a result, sales to large organizations may lead to greater unpredictability in our business, results of operations, and financial condition.</w:t>
      </w:r>
    </w:p>
    <w:p>
      <w:pPr>
        <w:spacing w:after="0" w:line="254" w:lineRule="exact"/>
        <w:rPr>
          <w:sz w:val="20"/>
          <w:szCs w:val="20"/>
          <w:color w:val="auto"/>
        </w:rPr>
      </w:pPr>
    </w:p>
    <w:p>
      <w:pPr>
        <w:ind w:left="1120"/>
        <w:spacing w:after="0"/>
        <w:rPr>
          <w:sz w:val="20"/>
          <w:szCs w:val="20"/>
          <w:color w:val="auto"/>
        </w:rPr>
      </w:pPr>
      <w:r>
        <w:rPr>
          <w:rFonts w:ascii="Arial" w:cs="Arial" w:eastAsia="Arial" w:hAnsi="Arial"/>
          <w:sz w:val="15"/>
          <w:szCs w:val="15"/>
          <w:b w:val="1"/>
          <w:bCs w:val="1"/>
          <w:i w:val="1"/>
          <w:iCs w:val="1"/>
          <w:color w:val="auto"/>
        </w:rPr>
        <w:t>Any failure to offer high-quality customer support may harm our relationships with our users and our financial results.</w:t>
      </w:r>
    </w:p>
    <w:p>
      <w:pPr>
        <w:spacing w:after="0" w:line="98" w:lineRule="exact"/>
        <w:rPr>
          <w:sz w:val="20"/>
          <w:szCs w:val="20"/>
          <w:color w:val="auto"/>
        </w:rPr>
      </w:pPr>
    </w:p>
    <w:p>
      <w:pPr>
        <w:ind w:left="1120" w:right="80" w:firstLine="368"/>
        <w:spacing w:after="0" w:line="263" w:lineRule="auto"/>
        <w:rPr>
          <w:sz w:val="20"/>
          <w:szCs w:val="20"/>
          <w:color w:val="auto"/>
        </w:rPr>
      </w:pPr>
      <w:r>
        <w:rPr>
          <w:rFonts w:ascii="Arial" w:cs="Arial" w:eastAsia="Arial" w:hAnsi="Arial"/>
          <w:sz w:val="15"/>
          <w:szCs w:val="15"/>
          <w:color w:val="auto"/>
        </w:rPr>
        <w:t>We have designed our platform to be easy to adopt and use with minimal to no support necessary. Any increased user demand for customer support could increase costs and harm our results of operations. In addition, as we continue to grow our operations and support our global user base, we need to be able to continue to provide</w:t>
      </w:r>
    </w:p>
    <w:p>
      <w:pPr>
        <w:spacing w:after="0" w:line="98" w:lineRule="exact"/>
        <w:rPr>
          <w:sz w:val="20"/>
          <w:szCs w:val="20"/>
          <w:color w:val="auto"/>
        </w:rPr>
      </w:pPr>
    </w:p>
    <w:p>
      <w:pPr>
        <w:ind w:left="5640"/>
        <w:spacing w:after="0"/>
        <w:rPr>
          <w:sz w:val="20"/>
          <w:szCs w:val="20"/>
          <w:color w:val="auto"/>
        </w:rPr>
      </w:pPr>
      <w:r>
        <w:rPr>
          <w:rFonts w:ascii="Arial" w:cs="Arial" w:eastAsia="Arial" w:hAnsi="Arial"/>
          <w:sz w:val="15"/>
          <w:szCs w:val="15"/>
          <w:color w:val="auto"/>
        </w:rPr>
        <w:t>22</w:t>
      </w:r>
    </w:p>
    <w:p>
      <w:pPr>
        <w:sectPr>
          <w:pgSz w:w="11900" w:h="16838" w:orient="portrait"/>
          <w:cols w:equalWidth="0" w:num="1">
            <w:col w:w="10320"/>
          </w:cols>
          <w:pgMar w:left="240" w:top="407" w:right="1339" w:bottom="1440" w:gutter="0" w:footer="0" w:header="0"/>
        </w:sectPr>
      </w:pPr>
    </w:p>
    <w:bookmarkStart w:id="29" w:name="page30"/>
    <w:bookmarkEnd w:id="29"/>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133350</wp:posOffset>
            </wp:positionH>
            <wp:positionV relativeFrom="page">
              <wp:posOffset>88900</wp:posOffset>
            </wp:positionV>
            <wp:extent cx="7308850" cy="342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308850" cy="34290"/>
                    </a:xfrm>
                    <a:prstGeom prst="rect">
                      <a:avLst/>
                    </a:prstGeom>
                    <a:noFill/>
                  </pic:spPr>
                </pic:pic>
              </a:graphicData>
            </a:graphic>
          </wp:anchor>
        </w:drawing>
      </w:r>
      <w:hyperlink w:anchor="page7">
        <w:r>
          <w:rPr>
            <w:rFonts w:ascii="Arial" w:cs="Arial" w:eastAsia="Arial" w:hAnsi="Arial"/>
            <w:sz w:val="15"/>
            <w:szCs w:val="15"/>
            <w:b w:val="1"/>
            <w:bCs w:val="1"/>
            <w:u w:val="single" w:color="auto"/>
            <w:color w:val="0000EE"/>
          </w:rPr>
          <w:t>Table of Contents</w:t>
        </w:r>
      </w:hyperlink>
    </w:p>
    <w:p>
      <w:pPr>
        <w:spacing w:after="0" w:line="260" w:lineRule="exact"/>
        <w:rPr>
          <w:sz w:val="20"/>
          <w:szCs w:val="20"/>
          <w:color w:val="auto"/>
        </w:rPr>
      </w:pPr>
    </w:p>
    <w:p>
      <w:pPr>
        <w:ind w:left="1120"/>
        <w:spacing w:after="0" w:line="276" w:lineRule="auto"/>
        <w:rPr>
          <w:sz w:val="20"/>
          <w:szCs w:val="20"/>
          <w:color w:val="auto"/>
        </w:rPr>
      </w:pPr>
      <w:r>
        <w:rPr>
          <w:rFonts w:ascii="Arial" w:cs="Arial" w:eastAsia="Arial" w:hAnsi="Arial"/>
          <w:sz w:val="14"/>
          <w:szCs w:val="14"/>
          <w:color w:val="auto"/>
        </w:rPr>
        <w:t>efficient customer support that meets our customers’ needs globally at scale. Paying users receive additional customer support features and the number of our paying users has grown significantly, which will put additional pressure on our support organization. For example, the number of paying users has grown from 6.5 million as of December 31, 2015, to 11 million as of December 31, 2017. If we are unable to provide efficient customer support globally at scale, our ability to grow our operations may be harmed and we may need to hire additional support personnel, which could harm our results of operations. Our new user signups are highly dependent on our business reputation and on positive recommendations from our existing users. Any failure to maintain high-quality customer support, or a market perception that we do not maintain high-quality customer support, could harm our reputation, business, results of operations, and financial condition.</w:t>
      </w:r>
    </w:p>
    <w:p>
      <w:pPr>
        <w:spacing w:after="0" w:line="238" w:lineRule="exact"/>
        <w:rPr>
          <w:sz w:val="20"/>
          <w:szCs w:val="20"/>
          <w:color w:val="auto"/>
        </w:rPr>
      </w:pPr>
    </w:p>
    <w:p>
      <w:pPr>
        <w:ind w:left="1120"/>
        <w:spacing w:after="0"/>
        <w:rPr>
          <w:sz w:val="20"/>
          <w:szCs w:val="20"/>
          <w:color w:val="auto"/>
        </w:rPr>
      </w:pPr>
      <w:r>
        <w:rPr>
          <w:rFonts w:ascii="Arial" w:cs="Arial" w:eastAsia="Arial" w:hAnsi="Arial"/>
          <w:sz w:val="15"/>
          <w:szCs w:val="15"/>
          <w:b w:val="1"/>
          <w:bCs w:val="1"/>
          <w:i w:val="1"/>
          <w:iCs w:val="1"/>
          <w:color w:val="auto"/>
        </w:rPr>
        <w:t>Our quarterly results may fluctuate significantly and may not fully reflect the underlying performance of our business.</w:t>
      </w:r>
    </w:p>
    <w:p>
      <w:pPr>
        <w:spacing w:after="0" w:line="98" w:lineRule="exact"/>
        <w:rPr>
          <w:sz w:val="20"/>
          <w:szCs w:val="20"/>
          <w:color w:val="auto"/>
        </w:rPr>
      </w:pPr>
    </w:p>
    <w:p>
      <w:pPr>
        <w:ind w:left="1120" w:right="120" w:firstLine="368"/>
        <w:spacing w:after="0" w:line="255" w:lineRule="auto"/>
        <w:rPr>
          <w:sz w:val="20"/>
          <w:szCs w:val="20"/>
          <w:color w:val="auto"/>
        </w:rPr>
      </w:pPr>
      <w:r>
        <w:rPr>
          <w:rFonts w:ascii="Arial" w:cs="Arial" w:eastAsia="Arial" w:hAnsi="Arial"/>
          <w:sz w:val="15"/>
          <w:szCs w:val="15"/>
          <w:color w:val="auto"/>
        </w:rPr>
        <w:t>Our quarterly results of operations, including our revenue, gross margin, operating margin, profitability, cash flow from operations, and deferred revenue, may vary significantly in the future and period-to-period comparisons of our results of operations may not be meaningful. Accordingly, the results of any one quarter should not be relied upon as an indication of future performance. Our quarterly results of operations may fluctuate as a result of a variety of factors, many of which are outside of our control, and as a result, may not fully reflect the underlying performance of our business. Fluctuation in quarterly results may negatively impact the value of our securities. Factors that may cause fluctuations in our quarterly results of operations include, without limitation, those listed below:</w:t>
      </w:r>
    </w:p>
    <w:p>
      <w:pPr>
        <w:spacing w:after="0" w:line="85" w:lineRule="exact"/>
        <w:rPr>
          <w:sz w:val="20"/>
          <w:szCs w:val="20"/>
          <w:color w:val="auto"/>
        </w:rPr>
      </w:pPr>
    </w:p>
    <w:p>
      <w:pPr>
        <w:ind w:left="1840" w:hanging="276"/>
        <w:spacing w:after="0"/>
        <w:tabs>
          <w:tab w:leader="none" w:pos="1840" w:val="left"/>
        </w:tabs>
        <w:numPr>
          <w:ilvl w:val="0"/>
          <w:numId w:val="17"/>
        </w:numPr>
        <w:rPr>
          <w:rFonts w:ascii="Arial" w:cs="Arial" w:eastAsia="Arial" w:hAnsi="Arial"/>
          <w:sz w:val="15"/>
          <w:szCs w:val="15"/>
          <w:color w:val="auto"/>
        </w:rPr>
      </w:pPr>
      <w:r>
        <w:rPr>
          <w:rFonts w:ascii="Arial" w:cs="Arial" w:eastAsia="Arial" w:hAnsi="Arial"/>
          <w:sz w:val="15"/>
          <w:szCs w:val="15"/>
          <w:color w:val="auto"/>
        </w:rPr>
        <w:t>our ability to retain and upgrade paying users;</w:t>
      </w:r>
    </w:p>
    <w:p>
      <w:pPr>
        <w:spacing w:after="0" w:line="109" w:lineRule="exact"/>
        <w:rPr>
          <w:rFonts w:ascii="Arial" w:cs="Arial" w:eastAsia="Arial" w:hAnsi="Arial"/>
          <w:sz w:val="15"/>
          <w:szCs w:val="15"/>
          <w:color w:val="auto"/>
        </w:rPr>
      </w:pPr>
    </w:p>
    <w:p>
      <w:pPr>
        <w:ind w:left="1840" w:hanging="276"/>
        <w:spacing w:after="0"/>
        <w:tabs>
          <w:tab w:leader="none" w:pos="1840" w:val="left"/>
        </w:tabs>
        <w:numPr>
          <w:ilvl w:val="0"/>
          <w:numId w:val="17"/>
        </w:numPr>
        <w:rPr>
          <w:rFonts w:ascii="Arial" w:cs="Arial" w:eastAsia="Arial" w:hAnsi="Arial"/>
          <w:sz w:val="15"/>
          <w:szCs w:val="15"/>
          <w:color w:val="auto"/>
        </w:rPr>
      </w:pPr>
      <w:r>
        <w:rPr>
          <w:rFonts w:ascii="Arial" w:cs="Arial" w:eastAsia="Arial" w:hAnsi="Arial"/>
          <w:sz w:val="15"/>
          <w:szCs w:val="15"/>
          <w:color w:val="auto"/>
        </w:rPr>
        <w:t>our ability to attract new paying users and convert registered to paying users;</w:t>
      </w:r>
    </w:p>
    <w:p>
      <w:pPr>
        <w:spacing w:after="0" w:line="109" w:lineRule="exact"/>
        <w:rPr>
          <w:rFonts w:ascii="Arial" w:cs="Arial" w:eastAsia="Arial" w:hAnsi="Arial"/>
          <w:sz w:val="15"/>
          <w:szCs w:val="15"/>
          <w:color w:val="auto"/>
        </w:rPr>
      </w:pPr>
    </w:p>
    <w:p>
      <w:pPr>
        <w:ind w:left="1840" w:hanging="276"/>
        <w:spacing w:after="0"/>
        <w:tabs>
          <w:tab w:leader="none" w:pos="1840" w:val="left"/>
        </w:tabs>
        <w:numPr>
          <w:ilvl w:val="0"/>
          <w:numId w:val="17"/>
        </w:numPr>
        <w:rPr>
          <w:rFonts w:ascii="Arial" w:cs="Arial" w:eastAsia="Arial" w:hAnsi="Arial"/>
          <w:sz w:val="15"/>
          <w:szCs w:val="15"/>
          <w:color w:val="auto"/>
        </w:rPr>
      </w:pPr>
      <w:r>
        <w:rPr>
          <w:rFonts w:ascii="Arial" w:cs="Arial" w:eastAsia="Arial" w:hAnsi="Arial"/>
          <w:sz w:val="15"/>
          <w:szCs w:val="15"/>
          <w:color w:val="auto"/>
        </w:rPr>
        <w:t>the timing of expenses and recognition of revenue;</w:t>
      </w:r>
    </w:p>
    <w:p>
      <w:pPr>
        <w:spacing w:after="0" w:line="109" w:lineRule="exact"/>
        <w:rPr>
          <w:rFonts w:ascii="Arial" w:cs="Arial" w:eastAsia="Arial" w:hAnsi="Arial"/>
          <w:sz w:val="15"/>
          <w:szCs w:val="15"/>
          <w:color w:val="auto"/>
        </w:rPr>
      </w:pPr>
    </w:p>
    <w:p>
      <w:pPr>
        <w:ind w:left="1840" w:right="260" w:hanging="276"/>
        <w:spacing w:after="0" w:line="275" w:lineRule="auto"/>
        <w:tabs>
          <w:tab w:leader="none" w:pos="1840" w:val="left"/>
        </w:tabs>
        <w:numPr>
          <w:ilvl w:val="0"/>
          <w:numId w:val="17"/>
        </w:numPr>
        <w:rPr>
          <w:rFonts w:ascii="Arial" w:cs="Arial" w:eastAsia="Arial" w:hAnsi="Arial"/>
          <w:sz w:val="15"/>
          <w:szCs w:val="15"/>
          <w:color w:val="auto"/>
        </w:rPr>
      </w:pPr>
      <w:r>
        <w:rPr>
          <w:rFonts w:ascii="Arial" w:cs="Arial" w:eastAsia="Arial" w:hAnsi="Arial"/>
          <w:sz w:val="15"/>
          <w:szCs w:val="15"/>
          <w:color w:val="auto"/>
        </w:rPr>
        <w:t>the amount and timing of operating expenses related to the maintenance and expansion of our business, operations, and infrastructure, as well as entry into operating and capital leases;</w:t>
      </w:r>
    </w:p>
    <w:p>
      <w:pPr>
        <w:spacing w:after="0" w:line="67" w:lineRule="exact"/>
        <w:rPr>
          <w:rFonts w:ascii="Arial" w:cs="Arial" w:eastAsia="Arial" w:hAnsi="Arial"/>
          <w:sz w:val="15"/>
          <w:szCs w:val="15"/>
          <w:color w:val="auto"/>
        </w:rPr>
      </w:pPr>
    </w:p>
    <w:p>
      <w:pPr>
        <w:ind w:left="1840" w:hanging="276"/>
        <w:spacing w:after="0"/>
        <w:tabs>
          <w:tab w:leader="none" w:pos="1840" w:val="left"/>
        </w:tabs>
        <w:numPr>
          <w:ilvl w:val="0"/>
          <w:numId w:val="17"/>
        </w:numPr>
        <w:rPr>
          <w:rFonts w:ascii="Arial" w:cs="Arial" w:eastAsia="Arial" w:hAnsi="Arial"/>
          <w:sz w:val="15"/>
          <w:szCs w:val="15"/>
          <w:color w:val="auto"/>
        </w:rPr>
      </w:pPr>
      <w:r>
        <w:rPr>
          <w:rFonts w:ascii="Arial" w:cs="Arial" w:eastAsia="Arial" w:hAnsi="Arial"/>
          <w:sz w:val="15"/>
          <w:szCs w:val="15"/>
          <w:color w:val="auto"/>
        </w:rPr>
        <w:t>the timing of expenses related to acquisitions;</w:t>
      </w:r>
    </w:p>
    <w:p>
      <w:pPr>
        <w:spacing w:after="0" w:line="109" w:lineRule="exact"/>
        <w:rPr>
          <w:rFonts w:ascii="Arial" w:cs="Arial" w:eastAsia="Arial" w:hAnsi="Arial"/>
          <w:sz w:val="15"/>
          <w:szCs w:val="15"/>
          <w:color w:val="auto"/>
        </w:rPr>
      </w:pPr>
    </w:p>
    <w:p>
      <w:pPr>
        <w:ind w:left="1840" w:hanging="276"/>
        <w:spacing w:after="0"/>
        <w:tabs>
          <w:tab w:leader="none" w:pos="1840" w:val="left"/>
        </w:tabs>
        <w:numPr>
          <w:ilvl w:val="0"/>
          <w:numId w:val="17"/>
        </w:numPr>
        <w:rPr>
          <w:rFonts w:ascii="Arial" w:cs="Arial" w:eastAsia="Arial" w:hAnsi="Arial"/>
          <w:sz w:val="15"/>
          <w:szCs w:val="15"/>
          <w:color w:val="auto"/>
        </w:rPr>
      </w:pPr>
      <w:r>
        <w:rPr>
          <w:rFonts w:ascii="Arial" w:cs="Arial" w:eastAsia="Arial" w:hAnsi="Arial"/>
          <w:sz w:val="15"/>
          <w:szCs w:val="15"/>
          <w:color w:val="auto"/>
        </w:rPr>
        <w:t>any large indemnification payments to our users or other third parties;</w:t>
      </w:r>
    </w:p>
    <w:p>
      <w:pPr>
        <w:spacing w:after="0" w:line="109" w:lineRule="exact"/>
        <w:rPr>
          <w:rFonts w:ascii="Arial" w:cs="Arial" w:eastAsia="Arial" w:hAnsi="Arial"/>
          <w:sz w:val="15"/>
          <w:szCs w:val="15"/>
          <w:color w:val="auto"/>
        </w:rPr>
      </w:pPr>
    </w:p>
    <w:p>
      <w:pPr>
        <w:ind w:left="1840" w:hanging="276"/>
        <w:spacing w:after="0"/>
        <w:tabs>
          <w:tab w:leader="none" w:pos="1840" w:val="left"/>
        </w:tabs>
        <w:numPr>
          <w:ilvl w:val="0"/>
          <w:numId w:val="17"/>
        </w:numPr>
        <w:rPr>
          <w:rFonts w:ascii="Arial" w:cs="Arial" w:eastAsia="Arial" w:hAnsi="Arial"/>
          <w:sz w:val="15"/>
          <w:szCs w:val="15"/>
          <w:color w:val="auto"/>
        </w:rPr>
      </w:pPr>
      <w:r>
        <w:rPr>
          <w:rFonts w:ascii="Arial" w:cs="Arial" w:eastAsia="Arial" w:hAnsi="Arial"/>
          <w:sz w:val="15"/>
          <w:szCs w:val="15"/>
          <w:color w:val="auto"/>
        </w:rPr>
        <w:t>changes in our pricing policies or those of our competitors;</w:t>
      </w:r>
    </w:p>
    <w:p>
      <w:pPr>
        <w:spacing w:after="0" w:line="109" w:lineRule="exact"/>
        <w:rPr>
          <w:rFonts w:ascii="Arial" w:cs="Arial" w:eastAsia="Arial" w:hAnsi="Arial"/>
          <w:sz w:val="15"/>
          <w:szCs w:val="15"/>
          <w:color w:val="auto"/>
        </w:rPr>
      </w:pPr>
    </w:p>
    <w:p>
      <w:pPr>
        <w:ind w:left="1840" w:hanging="276"/>
        <w:spacing w:after="0"/>
        <w:tabs>
          <w:tab w:leader="none" w:pos="1840" w:val="left"/>
        </w:tabs>
        <w:numPr>
          <w:ilvl w:val="0"/>
          <w:numId w:val="17"/>
        </w:numPr>
        <w:rPr>
          <w:rFonts w:ascii="Arial" w:cs="Arial" w:eastAsia="Arial" w:hAnsi="Arial"/>
          <w:sz w:val="15"/>
          <w:szCs w:val="15"/>
          <w:color w:val="auto"/>
        </w:rPr>
      </w:pPr>
      <w:r>
        <w:rPr>
          <w:rFonts w:ascii="Arial" w:cs="Arial" w:eastAsia="Arial" w:hAnsi="Arial"/>
          <w:sz w:val="15"/>
          <w:szCs w:val="15"/>
          <w:color w:val="auto"/>
        </w:rPr>
        <w:t>the timing and success of new product feature and service introductions by us or our competitors;</w:t>
      </w:r>
    </w:p>
    <w:p>
      <w:pPr>
        <w:spacing w:after="0" w:line="109" w:lineRule="exact"/>
        <w:rPr>
          <w:rFonts w:ascii="Arial" w:cs="Arial" w:eastAsia="Arial" w:hAnsi="Arial"/>
          <w:sz w:val="15"/>
          <w:szCs w:val="15"/>
          <w:color w:val="auto"/>
        </w:rPr>
      </w:pPr>
    </w:p>
    <w:p>
      <w:pPr>
        <w:ind w:left="1840" w:hanging="276"/>
        <w:spacing w:after="0"/>
        <w:tabs>
          <w:tab w:leader="none" w:pos="1840" w:val="left"/>
        </w:tabs>
        <w:numPr>
          <w:ilvl w:val="0"/>
          <w:numId w:val="17"/>
        </w:numPr>
        <w:rPr>
          <w:rFonts w:ascii="Arial" w:cs="Arial" w:eastAsia="Arial" w:hAnsi="Arial"/>
          <w:sz w:val="15"/>
          <w:szCs w:val="15"/>
          <w:color w:val="auto"/>
        </w:rPr>
      </w:pPr>
      <w:r>
        <w:rPr>
          <w:rFonts w:ascii="Arial" w:cs="Arial" w:eastAsia="Arial" w:hAnsi="Arial"/>
          <w:sz w:val="15"/>
          <w:szCs w:val="15"/>
          <w:color w:val="auto"/>
        </w:rPr>
        <w:t>network outages or actual or perceived security breaches;</w:t>
      </w:r>
    </w:p>
    <w:p>
      <w:pPr>
        <w:spacing w:after="0" w:line="109" w:lineRule="exact"/>
        <w:rPr>
          <w:rFonts w:ascii="Arial" w:cs="Arial" w:eastAsia="Arial" w:hAnsi="Arial"/>
          <w:sz w:val="15"/>
          <w:szCs w:val="15"/>
          <w:color w:val="auto"/>
        </w:rPr>
      </w:pPr>
    </w:p>
    <w:p>
      <w:pPr>
        <w:ind w:left="1840" w:hanging="276"/>
        <w:spacing w:after="0"/>
        <w:tabs>
          <w:tab w:leader="none" w:pos="1840" w:val="left"/>
        </w:tabs>
        <w:numPr>
          <w:ilvl w:val="0"/>
          <w:numId w:val="17"/>
        </w:numPr>
        <w:rPr>
          <w:rFonts w:ascii="Arial" w:cs="Arial" w:eastAsia="Arial" w:hAnsi="Arial"/>
          <w:sz w:val="15"/>
          <w:szCs w:val="15"/>
          <w:color w:val="auto"/>
        </w:rPr>
      </w:pPr>
      <w:r>
        <w:rPr>
          <w:rFonts w:ascii="Arial" w:cs="Arial" w:eastAsia="Arial" w:hAnsi="Arial"/>
          <w:sz w:val="15"/>
          <w:szCs w:val="15"/>
          <w:color w:val="auto"/>
        </w:rPr>
        <w:t>changes in the competitive dynamics of our industry, including consolidation among competitors;</w:t>
      </w:r>
    </w:p>
    <w:p>
      <w:pPr>
        <w:spacing w:after="0" w:line="109" w:lineRule="exact"/>
        <w:rPr>
          <w:rFonts w:ascii="Arial" w:cs="Arial" w:eastAsia="Arial" w:hAnsi="Arial"/>
          <w:sz w:val="15"/>
          <w:szCs w:val="15"/>
          <w:color w:val="auto"/>
        </w:rPr>
      </w:pPr>
    </w:p>
    <w:p>
      <w:pPr>
        <w:ind w:left="1840" w:hanging="276"/>
        <w:spacing w:after="0"/>
        <w:tabs>
          <w:tab w:leader="none" w:pos="1840" w:val="left"/>
        </w:tabs>
        <w:numPr>
          <w:ilvl w:val="0"/>
          <w:numId w:val="17"/>
        </w:numPr>
        <w:rPr>
          <w:rFonts w:ascii="Arial" w:cs="Arial" w:eastAsia="Arial" w:hAnsi="Arial"/>
          <w:sz w:val="15"/>
          <w:szCs w:val="15"/>
          <w:color w:val="auto"/>
        </w:rPr>
      </w:pPr>
      <w:r>
        <w:rPr>
          <w:rFonts w:ascii="Arial" w:cs="Arial" w:eastAsia="Arial" w:hAnsi="Arial"/>
          <w:sz w:val="15"/>
          <w:szCs w:val="15"/>
          <w:color w:val="auto"/>
        </w:rPr>
        <w:t>changes in laws and regulations that impact our business; and</w:t>
      </w:r>
    </w:p>
    <w:p>
      <w:pPr>
        <w:spacing w:after="0" w:line="109" w:lineRule="exact"/>
        <w:rPr>
          <w:rFonts w:ascii="Arial" w:cs="Arial" w:eastAsia="Arial" w:hAnsi="Arial"/>
          <w:sz w:val="15"/>
          <w:szCs w:val="15"/>
          <w:color w:val="auto"/>
        </w:rPr>
      </w:pPr>
    </w:p>
    <w:p>
      <w:pPr>
        <w:ind w:left="1840" w:hanging="276"/>
        <w:spacing w:after="0"/>
        <w:tabs>
          <w:tab w:leader="none" w:pos="1840" w:val="left"/>
        </w:tabs>
        <w:numPr>
          <w:ilvl w:val="0"/>
          <w:numId w:val="17"/>
        </w:numPr>
        <w:rPr>
          <w:rFonts w:ascii="Arial" w:cs="Arial" w:eastAsia="Arial" w:hAnsi="Arial"/>
          <w:sz w:val="15"/>
          <w:szCs w:val="15"/>
          <w:color w:val="auto"/>
        </w:rPr>
      </w:pPr>
      <w:r>
        <w:rPr>
          <w:rFonts w:ascii="Arial" w:cs="Arial" w:eastAsia="Arial" w:hAnsi="Arial"/>
          <w:sz w:val="15"/>
          <w:szCs w:val="15"/>
          <w:color w:val="auto"/>
        </w:rPr>
        <w:t>general economic and market conditions.</w:t>
      </w:r>
    </w:p>
    <w:p>
      <w:pPr>
        <w:spacing w:after="0" w:line="279" w:lineRule="exact"/>
        <w:rPr>
          <w:sz w:val="20"/>
          <w:szCs w:val="20"/>
          <w:color w:val="auto"/>
        </w:rPr>
      </w:pPr>
    </w:p>
    <w:p>
      <w:pPr>
        <w:ind w:left="1120" w:right="120"/>
        <w:spacing w:after="0" w:line="275" w:lineRule="auto"/>
        <w:rPr>
          <w:sz w:val="20"/>
          <w:szCs w:val="20"/>
          <w:color w:val="auto"/>
        </w:rPr>
      </w:pPr>
      <w:r>
        <w:rPr>
          <w:rFonts w:ascii="Arial" w:cs="Arial" w:eastAsia="Arial" w:hAnsi="Arial"/>
          <w:sz w:val="15"/>
          <w:szCs w:val="15"/>
          <w:b w:val="1"/>
          <w:bCs w:val="1"/>
          <w:i w:val="1"/>
          <w:iCs w:val="1"/>
          <w:color w:val="auto"/>
        </w:rPr>
        <w:t>Our results of operations may not immediately reflect downturns or upturns in sales because we recognize revenue from our users over the term of their subscriptions with us.</w:t>
      </w:r>
    </w:p>
    <w:p>
      <w:pPr>
        <w:spacing w:after="0" w:line="56" w:lineRule="exact"/>
        <w:rPr>
          <w:sz w:val="20"/>
          <w:szCs w:val="20"/>
          <w:color w:val="auto"/>
        </w:rPr>
      </w:pPr>
    </w:p>
    <w:p>
      <w:pPr>
        <w:ind w:left="1120" w:right="100" w:firstLine="368"/>
        <w:spacing w:after="0" w:line="302" w:lineRule="auto"/>
        <w:rPr>
          <w:sz w:val="20"/>
          <w:szCs w:val="20"/>
          <w:color w:val="auto"/>
        </w:rPr>
      </w:pPr>
      <w:r>
        <w:rPr>
          <w:rFonts w:ascii="Arial" w:cs="Arial" w:eastAsia="Arial" w:hAnsi="Arial"/>
          <w:sz w:val="13"/>
          <w:szCs w:val="13"/>
          <w:color w:val="auto"/>
        </w:rPr>
        <w:t>We recognize revenue from subscriptions to our platform over the terms of these subscriptions. Our subscription arrangements generally have monthly or annual contractual terms, and we also have a small percentage of multi-year contractual terms. Amounts that have been billed are initially recorded as deferred revenue until the revenue is recognized. As a result, a large portion of our revenue for each quarter reflects deferred revenue from subscriptions entered into during previous quarters, and downturns or upturns in subscription sales, or renewals and potential changes in our pricing policies may not be reflected in our results of operations until later periods. Our subscription model also makes it difficult for us to rapidly increase our revenue through additional sales in any period, as subscription revenue from new users is recognized over the</w:t>
      </w:r>
    </w:p>
    <w:p>
      <w:pPr>
        <w:spacing w:after="0" w:line="78" w:lineRule="exact"/>
        <w:rPr>
          <w:sz w:val="20"/>
          <w:szCs w:val="20"/>
          <w:color w:val="auto"/>
        </w:rPr>
      </w:pPr>
    </w:p>
    <w:p>
      <w:pPr>
        <w:ind w:left="5640"/>
        <w:spacing w:after="0"/>
        <w:rPr>
          <w:sz w:val="20"/>
          <w:szCs w:val="20"/>
          <w:color w:val="auto"/>
        </w:rPr>
      </w:pPr>
      <w:r>
        <w:rPr>
          <w:rFonts w:ascii="Arial" w:cs="Arial" w:eastAsia="Arial" w:hAnsi="Arial"/>
          <w:sz w:val="15"/>
          <w:szCs w:val="15"/>
          <w:color w:val="auto"/>
        </w:rPr>
        <w:t>23</w:t>
      </w:r>
    </w:p>
    <w:p>
      <w:pPr>
        <w:sectPr>
          <w:pgSz w:w="11900" w:h="16838" w:orient="portrait"/>
          <w:cols w:equalWidth="0" w:num="1">
            <w:col w:w="10300"/>
          </w:cols>
          <w:pgMar w:left="240" w:top="407" w:right="1359" w:bottom="1440" w:gutter="0" w:footer="0" w:header="0"/>
        </w:sectPr>
      </w:pPr>
    </w:p>
    <w:bookmarkStart w:id="30" w:name="page31"/>
    <w:bookmarkEnd w:id="30"/>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133350</wp:posOffset>
            </wp:positionH>
            <wp:positionV relativeFrom="page">
              <wp:posOffset>88900</wp:posOffset>
            </wp:positionV>
            <wp:extent cx="7308850" cy="342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308850" cy="34290"/>
                    </a:xfrm>
                    <a:prstGeom prst="rect">
                      <a:avLst/>
                    </a:prstGeom>
                    <a:noFill/>
                  </pic:spPr>
                </pic:pic>
              </a:graphicData>
            </a:graphic>
          </wp:anchor>
        </w:drawing>
      </w:r>
      <w:hyperlink w:anchor="page7">
        <w:r>
          <w:rPr>
            <w:rFonts w:ascii="Arial" w:cs="Arial" w:eastAsia="Arial" w:hAnsi="Arial"/>
            <w:sz w:val="15"/>
            <w:szCs w:val="15"/>
            <w:b w:val="1"/>
            <w:bCs w:val="1"/>
            <w:u w:val="single" w:color="auto"/>
            <w:color w:val="0000EE"/>
          </w:rPr>
          <w:t>Table of Contents</w:t>
        </w:r>
      </w:hyperlink>
    </w:p>
    <w:p>
      <w:pPr>
        <w:spacing w:after="0" w:line="260" w:lineRule="exact"/>
        <w:rPr>
          <w:sz w:val="20"/>
          <w:szCs w:val="20"/>
          <w:color w:val="auto"/>
        </w:rPr>
      </w:pPr>
    </w:p>
    <w:p>
      <w:pPr>
        <w:jc w:val="both"/>
        <w:ind w:left="1120" w:right="200"/>
        <w:spacing w:after="0" w:line="290" w:lineRule="auto"/>
        <w:rPr>
          <w:sz w:val="20"/>
          <w:szCs w:val="20"/>
          <w:color w:val="auto"/>
        </w:rPr>
      </w:pPr>
      <w:r>
        <w:rPr>
          <w:rFonts w:ascii="Arial" w:cs="Arial" w:eastAsia="Arial" w:hAnsi="Arial"/>
          <w:sz w:val="14"/>
          <w:szCs w:val="14"/>
          <w:color w:val="auto"/>
        </w:rPr>
        <w:t>applicable subscription term. By contrast, a significant majority of our costs are expensed as incurred, which occurs as soon as a user starts using our platform. As a result, an increase in users could result in our recognition of more costs than revenue in the earlier portion of the subscription term. We may not attain sufficient revenue to maintain positive cash flow from operations or achieve profitability in any given period.</w:t>
      </w:r>
    </w:p>
    <w:p>
      <w:pPr>
        <w:spacing w:after="0" w:line="228" w:lineRule="exact"/>
        <w:rPr>
          <w:sz w:val="20"/>
          <w:szCs w:val="20"/>
          <w:color w:val="auto"/>
        </w:rPr>
      </w:pPr>
    </w:p>
    <w:p>
      <w:pPr>
        <w:ind w:left="1120"/>
        <w:spacing w:after="0" w:line="275" w:lineRule="auto"/>
        <w:rPr>
          <w:sz w:val="20"/>
          <w:szCs w:val="20"/>
          <w:color w:val="auto"/>
        </w:rPr>
      </w:pPr>
      <w:r>
        <w:rPr>
          <w:rFonts w:ascii="Arial" w:cs="Arial" w:eastAsia="Arial" w:hAnsi="Arial"/>
          <w:sz w:val="15"/>
          <w:szCs w:val="15"/>
          <w:b w:val="1"/>
          <w:bCs w:val="1"/>
          <w:i w:val="1"/>
          <w:iCs w:val="1"/>
          <w:color w:val="auto"/>
        </w:rPr>
        <w:t>We depend on our key personnel and other highly qualified personnel, and if we fail to attract, integrate, and retain our personnel, and maintain our unique corporate culture, our business could be harmed.</w:t>
      </w:r>
    </w:p>
    <w:p>
      <w:pPr>
        <w:spacing w:after="0" w:line="56" w:lineRule="exact"/>
        <w:rPr>
          <w:sz w:val="20"/>
          <w:szCs w:val="20"/>
          <w:color w:val="auto"/>
        </w:rPr>
      </w:pPr>
    </w:p>
    <w:p>
      <w:pPr>
        <w:ind w:left="1120" w:right="60" w:firstLine="368"/>
        <w:spacing w:after="0" w:line="279" w:lineRule="auto"/>
        <w:rPr>
          <w:sz w:val="20"/>
          <w:szCs w:val="20"/>
          <w:color w:val="auto"/>
        </w:rPr>
      </w:pPr>
      <w:r>
        <w:rPr>
          <w:rFonts w:ascii="Arial" w:cs="Arial" w:eastAsia="Arial" w:hAnsi="Arial"/>
          <w:sz w:val="14"/>
          <w:szCs w:val="14"/>
          <w:color w:val="auto"/>
        </w:rPr>
        <w:t>We depend on the continued service and performance of our key personnel. In particular, Andrew W. Houston, our President and Chief Executive Officer and one of our co-founders, is critical to our vision, strategic direction, culture, and offerings. Some of our other key personnel have recently joined us and are still being integrated into our company. We may continue to make changes to our management team, which could make it difficult to execute on our business plans and strategies. New hires also require significant training and, in most cases, take significant time before they achieve full productivity. Our failure to successfully integrate these key personnel into our business could adversely affect our business.</w:t>
      </w:r>
    </w:p>
    <w:p>
      <w:pPr>
        <w:spacing w:after="0" w:line="147" w:lineRule="exact"/>
        <w:rPr>
          <w:sz w:val="20"/>
          <w:szCs w:val="20"/>
          <w:color w:val="auto"/>
        </w:rPr>
      </w:pPr>
    </w:p>
    <w:p>
      <w:pPr>
        <w:ind w:left="1120" w:right="20" w:firstLine="368"/>
        <w:spacing w:after="0" w:line="259" w:lineRule="auto"/>
        <w:rPr>
          <w:sz w:val="20"/>
          <w:szCs w:val="20"/>
          <w:color w:val="auto"/>
        </w:rPr>
      </w:pPr>
      <w:r>
        <w:rPr>
          <w:rFonts w:ascii="Arial" w:cs="Arial" w:eastAsia="Arial" w:hAnsi="Arial"/>
          <w:sz w:val="15"/>
          <w:szCs w:val="15"/>
          <w:color w:val="auto"/>
        </w:rPr>
        <w:t>We do not have long-term employment agreements with any of our officers or key personnel. In addition, many of our key technologies and systems are custom-made for our business by our key personnel. The loss of key personnel, including key members of our management team, as well as certain of our key marketing, sales, product development, or technology personnel, could disrupt our operations and have an adverse effect on our ability to grow our business.</w:t>
      </w:r>
    </w:p>
    <w:p>
      <w:pPr>
        <w:spacing w:after="0" w:line="158" w:lineRule="exact"/>
        <w:rPr>
          <w:sz w:val="20"/>
          <w:szCs w:val="20"/>
          <w:color w:val="auto"/>
        </w:rPr>
      </w:pPr>
    </w:p>
    <w:p>
      <w:pPr>
        <w:ind w:left="1120" w:right="40" w:firstLine="368"/>
        <w:spacing w:after="0" w:line="296" w:lineRule="auto"/>
        <w:rPr>
          <w:sz w:val="20"/>
          <w:szCs w:val="20"/>
          <w:color w:val="auto"/>
        </w:rPr>
      </w:pPr>
      <w:r>
        <w:rPr>
          <w:rFonts w:ascii="Arial" w:cs="Arial" w:eastAsia="Arial" w:hAnsi="Arial"/>
          <w:sz w:val="13"/>
          <w:szCs w:val="13"/>
          <w:color w:val="auto"/>
        </w:rPr>
        <w:t>To execute our growth plan, we must attract and retain highly qualified personnel. Competition for these employees is intense, particularly in the San Francisco Bay Area where our headquarters are located, and we may not be successful in attracting and retaining qualified personnel. We have from time to time in the past experienced, and we expect to continue to experience, difficulty in hiring and retaining highly skilled employees with appropriate qualifications. Our recent hires and planned hires may not become as productive as we expect, and we may be unable to hire, integrate, or retain sufficient numbers of qualified individuals. Many of the companies with which we compete for experienced personnel have greater resources than we have. In addition, in making employment decisions, particularly in the internet and high-technology industries, job candidates often consider the value of the equity they are to receive in connection with their employment. Employees may be more likely to leave us if the shares they own or the shares underlying their equity incentive awards have significantly appreciated or significantly reduced in value. Many of our employees may receive significant proceeds from sales of our equity in the public markets after this offering, which may reduce their motivation to continue to work for us. If we fail to attract new personnel, or fail to retain and motivate our current personnel, our business and growth prospects could be harmed.</w:t>
      </w:r>
    </w:p>
    <w:p>
      <w:pPr>
        <w:spacing w:after="0" w:line="141" w:lineRule="exact"/>
        <w:rPr>
          <w:sz w:val="20"/>
          <w:szCs w:val="20"/>
          <w:color w:val="auto"/>
        </w:rPr>
      </w:pPr>
    </w:p>
    <w:p>
      <w:pPr>
        <w:jc w:val="both"/>
        <w:ind w:left="1120" w:right="240" w:firstLine="368"/>
        <w:spacing w:after="0" w:line="263" w:lineRule="auto"/>
        <w:rPr>
          <w:sz w:val="20"/>
          <w:szCs w:val="20"/>
          <w:color w:val="auto"/>
        </w:rPr>
      </w:pPr>
      <w:r>
        <w:rPr>
          <w:rFonts w:ascii="Arial" w:cs="Arial" w:eastAsia="Arial" w:hAnsi="Arial"/>
          <w:sz w:val="15"/>
          <w:szCs w:val="15"/>
          <w:color w:val="auto"/>
        </w:rPr>
        <w:t>Additionally, if we do not maintain and continue to develop our corporate culture as we grow and evolve, it could harm our ability to foster the innovation, creativity, and teamwork we believe that we need to support our growth. Additions of executive-level management and large numbers of employees could significantly and adversely impact our culture.</w:t>
      </w:r>
    </w:p>
    <w:p>
      <w:pPr>
        <w:spacing w:after="0" w:line="245" w:lineRule="exact"/>
        <w:rPr>
          <w:sz w:val="20"/>
          <w:szCs w:val="20"/>
          <w:color w:val="auto"/>
        </w:rPr>
      </w:pPr>
    </w:p>
    <w:p>
      <w:pPr>
        <w:ind w:left="1120" w:right="160"/>
        <w:spacing w:after="0" w:line="275" w:lineRule="auto"/>
        <w:rPr>
          <w:sz w:val="20"/>
          <w:szCs w:val="20"/>
          <w:color w:val="auto"/>
        </w:rPr>
      </w:pPr>
      <w:r>
        <w:rPr>
          <w:rFonts w:ascii="Arial" w:cs="Arial" w:eastAsia="Arial" w:hAnsi="Arial"/>
          <w:sz w:val="15"/>
          <w:szCs w:val="15"/>
          <w:b w:val="1"/>
          <w:bCs w:val="1"/>
          <w:i w:val="1"/>
          <w:iCs w:val="1"/>
          <w:color w:val="auto"/>
        </w:rPr>
        <w:t>Our business depends on a strong brand, and if we are not able to maintain and enhance our brand, our ability to expand our base of users will be impaired and our business, results of operations, and financial condition will be harmed.</w:t>
      </w:r>
    </w:p>
    <w:p>
      <w:pPr>
        <w:spacing w:after="0" w:line="56" w:lineRule="exact"/>
        <w:rPr>
          <w:sz w:val="20"/>
          <w:szCs w:val="20"/>
          <w:color w:val="auto"/>
        </w:rPr>
      </w:pPr>
    </w:p>
    <w:p>
      <w:pPr>
        <w:ind w:left="1120" w:right="20" w:firstLine="368"/>
        <w:spacing w:after="0" w:line="257" w:lineRule="auto"/>
        <w:rPr>
          <w:sz w:val="20"/>
          <w:szCs w:val="20"/>
          <w:color w:val="auto"/>
        </w:rPr>
      </w:pPr>
      <w:r>
        <w:rPr>
          <w:rFonts w:ascii="Arial" w:cs="Arial" w:eastAsia="Arial" w:hAnsi="Arial"/>
          <w:sz w:val="15"/>
          <w:szCs w:val="15"/>
          <w:color w:val="auto"/>
        </w:rPr>
        <w:t>We believe that our brand identity and awareness have contributed to our success and have helped fuel our efficient go-to-market strategy. We also believe that maintaining and enhancing the Dropbox brand is critical to expanding our base of users. We anticipate that, as our market becomes increasingly competitive, maintaining and enhancing our brand may become increasingly difficult and expensive. Any unfavorable publicity or consumer perception of our platform or the providers of content collaboration solutions generally could adversely affect our reputation and our ability to attract and retain users. Additionally, if we fail to promote and maintain</w:t>
      </w:r>
    </w:p>
    <w:p>
      <w:pPr>
        <w:spacing w:after="0" w:line="103" w:lineRule="exact"/>
        <w:rPr>
          <w:sz w:val="20"/>
          <w:szCs w:val="20"/>
          <w:color w:val="auto"/>
        </w:rPr>
      </w:pPr>
    </w:p>
    <w:p>
      <w:pPr>
        <w:ind w:left="5640"/>
        <w:spacing w:after="0"/>
        <w:rPr>
          <w:sz w:val="20"/>
          <w:szCs w:val="20"/>
          <w:color w:val="auto"/>
        </w:rPr>
      </w:pPr>
      <w:r>
        <w:rPr>
          <w:rFonts w:ascii="Arial" w:cs="Arial" w:eastAsia="Arial" w:hAnsi="Arial"/>
          <w:sz w:val="15"/>
          <w:szCs w:val="15"/>
          <w:color w:val="auto"/>
        </w:rPr>
        <w:t>24</w:t>
      </w:r>
    </w:p>
    <w:p>
      <w:pPr>
        <w:sectPr>
          <w:pgSz w:w="11900" w:h="16838" w:orient="portrait"/>
          <w:cols w:equalWidth="0" w:num="1">
            <w:col w:w="10320"/>
          </w:cols>
          <w:pgMar w:left="240" w:top="407" w:right="1339" w:bottom="1440" w:gutter="0" w:footer="0" w:header="0"/>
        </w:sectPr>
      </w:pPr>
    </w:p>
    <w:bookmarkStart w:id="31" w:name="page32"/>
    <w:bookmarkEnd w:id="31"/>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133350</wp:posOffset>
            </wp:positionH>
            <wp:positionV relativeFrom="page">
              <wp:posOffset>88900</wp:posOffset>
            </wp:positionV>
            <wp:extent cx="7308850" cy="342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308850" cy="34290"/>
                    </a:xfrm>
                    <a:prstGeom prst="rect">
                      <a:avLst/>
                    </a:prstGeom>
                    <a:noFill/>
                  </pic:spPr>
                </pic:pic>
              </a:graphicData>
            </a:graphic>
          </wp:anchor>
        </w:drawing>
      </w:r>
      <w:hyperlink w:anchor="page7">
        <w:r>
          <w:rPr>
            <w:rFonts w:ascii="Arial" w:cs="Arial" w:eastAsia="Arial" w:hAnsi="Arial"/>
            <w:sz w:val="15"/>
            <w:szCs w:val="15"/>
            <w:b w:val="1"/>
            <w:bCs w:val="1"/>
            <w:u w:val="single" w:color="auto"/>
            <w:color w:val="0000EE"/>
          </w:rPr>
          <w:t>Table of Contents</w:t>
        </w:r>
      </w:hyperlink>
    </w:p>
    <w:p>
      <w:pPr>
        <w:spacing w:after="0" w:line="260" w:lineRule="exact"/>
        <w:rPr>
          <w:sz w:val="20"/>
          <w:szCs w:val="20"/>
          <w:color w:val="auto"/>
        </w:rPr>
      </w:pPr>
    </w:p>
    <w:p>
      <w:pPr>
        <w:ind w:left="1120" w:right="240"/>
        <w:spacing w:after="0" w:line="275" w:lineRule="auto"/>
        <w:rPr>
          <w:sz w:val="20"/>
          <w:szCs w:val="20"/>
          <w:color w:val="auto"/>
        </w:rPr>
      </w:pPr>
      <w:r>
        <w:rPr>
          <w:rFonts w:ascii="Arial" w:cs="Arial" w:eastAsia="Arial" w:hAnsi="Arial"/>
          <w:sz w:val="15"/>
          <w:szCs w:val="15"/>
          <w:color w:val="auto"/>
        </w:rPr>
        <w:t>the Dropbox brand, or if we incur excessive expenses in this effort, our business, results of operations, and financial condition will be materially and adversely affected.</w:t>
      </w:r>
    </w:p>
    <w:p>
      <w:pPr>
        <w:spacing w:after="0" w:line="236" w:lineRule="exact"/>
        <w:rPr>
          <w:sz w:val="20"/>
          <w:szCs w:val="20"/>
          <w:color w:val="auto"/>
        </w:rPr>
      </w:pPr>
    </w:p>
    <w:p>
      <w:pPr>
        <w:ind w:left="1120" w:right="20"/>
        <w:spacing w:after="0" w:line="275" w:lineRule="auto"/>
        <w:rPr>
          <w:sz w:val="20"/>
          <w:szCs w:val="20"/>
          <w:color w:val="auto"/>
        </w:rPr>
      </w:pPr>
      <w:r>
        <w:rPr>
          <w:rFonts w:ascii="Arial" w:cs="Arial" w:eastAsia="Arial" w:hAnsi="Arial"/>
          <w:sz w:val="15"/>
          <w:szCs w:val="15"/>
          <w:b w:val="1"/>
          <w:bCs w:val="1"/>
          <w:i w:val="1"/>
          <w:iCs w:val="1"/>
          <w:color w:val="auto"/>
        </w:rPr>
        <w:t>We are continuing to expand our operations outside the United States, where we may be subject to increased business and economic risks that could impact our results of operations.</w:t>
      </w:r>
    </w:p>
    <w:p>
      <w:pPr>
        <w:spacing w:after="0" w:line="56" w:lineRule="exact"/>
        <w:rPr>
          <w:sz w:val="20"/>
          <w:szCs w:val="20"/>
          <w:color w:val="auto"/>
        </w:rPr>
      </w:pPr>
    </w:p>
    <w:p>
      <w:pPr>
        <w:ind w:left="1120" w:right="20" w:firstLine="368"/>
        <w:spacing w:after="0" w:line="274" w:lineRule="auto"/>
        <w:rPr>
          <w:sz w:val="20"/>
          <w:szCs w:val="20"/>
          <w:color w:val="auto"/>
        </w:rPr>
      </w:pPr>
      <w:r>
        <w:rPr>
          <w:rFonts w:ascii="Arial" w:cs="Arial" w:eastAsia="Arial" w:hAnsi="Arial"/>
          <w:sz w:val="14"/>
          <w:szCs w:val="14"/>
          <w:color w:val="auto"/>
        </w:rPr>
        <w:t>We have paying users across 180 countries and approximately half of our revenue in the year ended December 31, 2017 was generated from paying users outside the United States. We expect to continue to expand our international operations, which may include opening offices in new jurisdictions and providing our platform in additional languages. Any new markets or countries into which we attempt to sell subscriptions to our platform may not be receptive. For example, we may not be able to expand further in some markets if we are not able to satisfy certain government- and industry-specific requirements. In addition, our ability to manage our business and conduct our operations internationally requires considerable management attention and resources and is subject to the particular challenges of supporting a rapidly growing business in an environment of multiple languages, cultures, customs, legal and regulatory systems, alternative dispute systems, and commercial markets. International expansion has required, and will continue to require, investment of significant funds and other resources. Operating internationally subjects us to new risks and may increase risks that we currently face, including risks associated with:</w:t>
      </w:r>
    </w:p>
    <w:p>
      <w:pPr>
        <w:spacing w:after="0" w:line="71" w:lineRule="exact"/>
        <w:rPr>
          <w:sz w:val="20"/>
          <w:szCs w:val="20"/>
          <w:color w:val="auto"/>
        </w:rPr>
      </w:pPr>
    </w:p>
    <w:p>
      <w:pPr>
        <w:ind w:left="1840" w:right="220" w:hanging="276"/>
        <w:spacing w:after="0" w:line="275" w:lineRule="auto"/>
        <w:tabs>
          <w:tab w:leader="none" w:pos="1840" w:val="left"/>
        </w:tabs>
        <w:numPr>
          <w:ilvl w:val="0"/>
          <w:numId w:val="18"/>
        </w:numPr>
        <w:rPr>
          <w:rFonts w:ascii="Arial" w:cs="Arial" w:eastAsia="Arial" w:hAnsi="Arial"/>
          <w:sz w:val="15"/>
          <w:szCs w:val="15"/>
          <w:color w:val="auto"/>
        </w:rPr>
      </w:pPr>
      <w:r>
        <w:rPr>
          <w:rFonts w:ascii="Arial" w:cs="Arial" w:eastAsia="Arial" w:hAnsi="Arial"/>
          <w:sz w:val="15"/>
          <w:szCs w:val="15"/>
          <w:color w:val="auto"/>
        </w:rPr>
        <w:t>recruiting and retaining talented and capable employees outside the United States, and maintaining our company culture across all of our offices;</w:t>
      </w:r>
    </w:p>
    <w:p>
      <w:pPr>
        <w:spacing w:after="0" w:line="67" w:lineRule="exact"/>
        <w:rPr>
          <w:rFonts w:ascii="Arial" w:cs="Arial" w:eastAsia="Arial" w:hAnsi="Arial"/>
          <w:sz w:val="15"/>
          <w:szCs w:val="15"/>
          <w:color w:val="auto"/>
        </w:rPr>
      </w:pPr>
    </w:p>
    <w:p>
      <w:pPr>
        <w:ind w:left="1840" w:right="400" w:hanging="276"/>
        <w:spacing w:after="0" w:line="263" w:lineRule="auto"/>
        <w:tabs>
          <w:tab w:leader="none" w:pos="1840" w:val="left"/>
        </w:tabs>
        <w:numPr>
          <w:ilvl w:val="0"/>
          <w:numId w:val="18"/>
        </w:numPr>
        <w:rPr>
          <w:rFonts w:ascii="Arial" w:cs="Arial" w:eastAsia="Arial" w:hAnsi="Arial"/>
          <w:sz w:val="15"/>
          <w:szCs w:val="15"/>
          <w:color w:val="auto"/>
        </w:rPr>
      </w:pPr>
      <w:r>
        <w:rPr>
          <w:rFonts w:ascii="Arial" w:cs="Arial" w:eastAsia="Arial" w:hAnsi="Arial"/>
          <w:sz w:val="15"/>
          <w:szCs w:val="15"/>
          <w:color w:val="auto"/>
        </w:rPr>
        <w:t>providing our platform and operating our business across a significant distance, in different languages and among different cultures, including the potential need to modify our platform and features to ensure that they are culturally appropriate and relevant in different countries;</w:t>
      </w:r>
    </w:p>
    <w:p>
      <w:pPr>
        <w:spacing w:after="0" w:line="75" w:lineRule="exact"/>
        <w:rPr>
          <w:rFonts w:ascii="Arial" w:cs="Arial" w:eastAsia="Arial" w:hAnsi="Arial"/>
          <w:sz w:val="15"/>
          <w:szCs w:val="15"/>
          <w:color w:val="auto"/>
        </w:rPr>
      </w:pPr>
    </w:p>
    <w:p>
      <w:pPr>
        <w:ind w:left="1840" w:right="180" w:hanging="276"/>
        <w:spacing w:after="0" w:line="263" w:lineRule="auto"/>
        <w:tabs>
          <w:tab w:leader="none" w:pos="1840" w:val="left"/>
        </w:tabs>
        <w:numPr>
          <w:ilvl w:val="0"/>
          <w:numId w:val="18"/>
        </w:numPr>
        <w:rPr>
          <w:rFonts w:ascii="Arial" w:cs="Arial" w:eastAsia="Arial" w:hAnsi="Arial"/>
          <w:sz w:val="15"/>
          <w:szCs w:val="15"/>
          <w:color w:val="auto"/>
        </w:rPr>
      </w:pPr>
      <w:r>
        <w:rPr>
          <w:rFonts w:ascii="Arial" w:cs="Arial" w:eastAsia="Arial" w:hAnsi="Arial"/>
          <w:sz w:val="15"/>
          <w:szCs w:val="15"/>
          <w:color w:val="auto"/>
        </w:rPr>
        <w:t>compliance with applicable international laws and regulations, including laws and regulations with respect to privacy, data protection, consumer protection, and unsolicited email, and the risk of penalties to our users and individual members of management or employees if our practices are deemed to be out of compliance;</w:t>
      </w:r>
    </w:p>
    <w:p>
      <w:pPr>
        <w:spacing w:after="0" w:line="75" w:lineRule="exact"/>
        <w:rPr>
          <w:rFonts w:ascii="Arial" w:cs="Arial" w:eastAsia="Arial" w:hAnsi="Arial"/>
          <w:sz w:val="15"/>
          <w:szCs w:val="15"/>
          <w:color w:val="auto"/>
        </w:rPr>
      </w:pPr>
    </w:p>
    <w:p>
      <w:pPr>
        <w:ind w:left="1840" w:right="260" w:hanging="276"/>
        <w:spacing w:after="0" w:line="275" w:lineRule="auto"/>
        <w:tabs>
          <w:tab w:leader="none" w:pos="1840" w:val="left"/>
        </w:tabs>
        <w:numPr>
          <w:ilvl w:val="0"/>
          <w:numId w:val="18"/>
        </w:numPr>
        <w:rPr>
          <w:rFonts w:ascii="Arial" w:cs="Arial" w:eastAsia="Arial" w:hAnsi="Arial"/>
          <w:sz w:val="15"/>
          <w:szCs w:val="15"/>
          <w:color w:val="auto"/>
        </w:rPr>
      </w:pPr>
      <w:r>
        <w:rPr>
          <w:rFonts w:ascii="Arial" w:cs="Arial" w:eastAsia="Arial" w:hAnsi="Arial"/>
          <w:sz w:val="15"/>
          <w:szCs w:val="15"/>
          <w:color w:val="auto"/>
        </w:rPr>
        <w:t>management of an employee base in jurisdictions that may not give us the same employment and retention flexibility as does the United States;</w:t>
      </w:r>
    </w:p>
    <w:p>
      <w:pPr>
        <w:spacing w:after="0" w:line="67" w:lineRule="exact"/>
        <w:rPr>
          <w:rFonts w:ascii="Arial" w:cs="Arial" w:eastAsia="Arial" w:hAnsi="Arial"/>
          <w:sz w:val="15"/>
          <w:szCs w:val="15"/>
          <w:color w:val="auto"/>
        </w:rPr>
      </w:pPr>
    </w:p>
    <w:p>
      <w:pPr>
        <w:ind w:left="1840" w:hanging="276"/>
        <w:spacing w:after="0"/>
        <w:tabs>
          <w:tab w:leader="none" w:pos="1840" w:val="left"/>
        </w:tabs>
        <w:numPr>
          <w:ilvl w:val="0"/>
          <w:numId w:val="18"/>
        </w:numPr>
        <w:rPr>
          <w:rFonts w:ascii="Arial" w:cs="Arial" w:eastAsia="Arial" w:hAnsi="Arial"/>
          <w:sz w:val="15"/>
          <w:szCs w:val="15"/>
          <w:color w:val="auto"/>
        </w:rPr>
      </w:pPr>
      <w:r>
        <w:rPr>
          <w:rFonts w:ascii="Arial" w:cs="Arial" w:eastAsia="Arial" w:hAnsi="Arial"/>
          <w:sz w:val="15"/>
          <w:szCs w:val="15"/>
          <w:color w:val="auto"/>
        </w:rPr>
        <w:t>operating in jurisdictions that do not protect intellectual property rights to the same extent as does the United States;</w:t>
      </w:r>
    </w:p>
    <w:p>
      <w:pPr>
        <w:spacing w:after="0" w:line="109" w:lineRule="exact"/>
        <w:rPr>
          <w:rFonts w:ascii="Arial" w:cs="Arial" w:eastAsia="Arial" w:hAnsi="Arial"/>
          <w:sz w:val="15"/>
          <w:szCs w:val="15"/>
          <w:color w:val="auto"/>
        </w:rPr>
      </w:pPr>
    </w:p>
    <w:p>
      <w:pPr>
        <w:ind w:left="1840" w:right="380" w:hanging="276"/>
        <w:spacing w:after="0" w:line="312" w:lineRule="auto"/>
        <w:tabs>
          <w:tab w:leader="none" w:pos="1840" w:val="left"/>
        </w:tabs>
        <w:numPr>
          <w:ilvl w:val="0"/>
          <w:numId w:val="18"/>
        </w:numPr>
        <w:rPr>
          <w:rFonts w:ascii="Arial" w:cs="Arial" w:eastAsia="Arial" w:hAnsi="Arial"/>
          <w:sz w:val="14"/>
          <w:szCs w:val="14"/>
          <w:color w:val="auto"/>
        </w:rPr>
      </w:pPr>
      <w:r>
        <w:rPr>
          <w:rFonts w:ascii="Arial" w:cs="Arial" w:eastAsia="Arial" w:hAnsi="Arial"/>
          <w:sz w:val="14"/>
          <w:szCs w:val="14"/>
          <w:color w:val="auto"/>
        </w:rPr>
        <w:t>compliance by us and our business partners with anti-corruption laws, import and export control laws, tariffs, trade barriers, economic sanctions, and other regulatory limitations on our ability to provide our platform in certain international markets;</w:t>
      </w:r>
    </w:p>
    <w:p>
      <w:pPr>
        <w:spacing w:after="0" w:line="43" w:lineRule="exact"/>
        <w:rPr>
          <w:rFonts w:ascii="Arial" w:cs="Arial" w:eastAsia="Arial" w:hAnsi="Arial"/>
          <w:sz w:val="14"/>
          <w:szCs w:val="14"/>
          <w:color w:val="auto"/>
        </w:rPr>
      </w:pPr>
    </w:p>
    <w:p>
      <w:pPr>
        <w:ind w:left="1840" w:hanging="276"/>
        <w:spacing w:after="0" w:line="275" w:lineRule="auto"/>
        <w:tabs>
          <w:tab w:leader="none" w:pos="1840" w:val="left"/>
        </w:tabs>
        <w:numPr>
          <w:ilvl w:val="0"/>
          <w:numId w:val="18"/>
        </w:numPr>
        <w:rPr>
          <w:rFonts w:ascii="Arial" w:cs="Arial" w:eastAsia="Arial" w:hAnsi="Arial"/>
          <w:sz w:val="15"/>
          <w:szCs w:val="15"/>
          <w:color w:val="auto"/>
        </w:rPr>
      </w:pPr>
      <w:r>
        <w:rPr>
          <w:rFonts w:ascii="Arial" w:cs="Arial" w:eastAsia="Arial" w:hAnsi="Arial"/>
          <w:sz w:val="15"/>
          <w:szCs w:val="15"/>
          <w:color w:val="auto"/>
        </w:rPr>
        <w:t>foreign exchange controls that might require significant lead time in setting up operations in certain geographic territories and might prevent us from repatriating cash earned outside the United States;</w:t>
      </w:r>
    </w:p>
    <w:p>
      <w:pPr>
        <w:spacing w:after="0" w:line="67" w:lineRule="exact"/>
        <w:rPr>
          <w:rFonts w:ascii="Arial" w:cs="Arial" w:eastAsia="Arial" w:hAnsi="Arial"/>
          <w:sz w:val="15"/>
          <w:szCs w:val="15"/>
          <w:color w:val="auto"/>
        </w:rPr>
      </w:pPr>
    </w:p>
    <w:p>
      <w:pPr>
        <w:ind w:left="1840" w:hanging="276"/>
        <w:spacing w:after="0"/>
        <w:tabs>
          <w:tab w:leader="none" w:pos="1840" w:val="left"/>
        </w:tabs>
        <w:numPr>
          <w:ilvl w:val="0"/>
          <w:numId w:val="18"/>
        </w:numPr>
        <w:rPr>
          <w:rFonts w:ascii="Arial" w:cs="Arial" w:eastAsia="Arial" w:hAnsi="Arial"/>
          <w:sz w:val="15"/>
          <w:szCs w:val="15"/>
          <w:color w:val="auto"/>
        </w:rPr>
      </w:pPr>
      <w:r>
        <w:rPr>
          <w:rFonts w:ascii="Arial" w:cs="Arial" w:eastAsia="Arial" w:hAnsi="Arial"/>
          <w:sz w:val="15"/>
          <w:szCs w:val="15"/>
          <w:color w:val="auto"/>
        </w:rPr>
        <w:t>political and economic instability;</w:t>
      </w:r>
    </w:p>
    <w:p>
      <w:pPr>
        <w:spacing w:after="0" w:line="109" w:lineRule="exact"/>
        <w:rPr>
          <w:rFonts w:ascii="Arial" w:cs="Arial" w:eastAsia="Arial" w:hAnsi="Arial"/>
          <w:sz w:val="15"/>
          <w:szCs w:val="15"/>
          <w:color w:val="auto"/>
        </w:rPr>
      </w:pPr>
    </w:p>
    <w:p>
      <w:pPr>
        <w:ind w:left="1840" w:right="160" w:hanging="276"/>
        <w:spacing w:after="0" w:line="275" w:lineRule="auto"/>
        <w:tabs>
          <w:tab w:leader="none" w:pos="1840" w:val="left"/>
        </w:tabs>
        <w:numPr>
          <w:ilvl w:val="0"/>
          <w:numId w:val="18"/>
        </w:numPr>
        <w:rPr>
          <w:rFonts w:ascii="Arial" w:cs="Arial" w:eastAsia="Arial" w:hAnsi="Arial"/>
          <w:sz w:val="15"/>
          <w:szCs w:val="15"/>
          <w:color w:val="auto"/>
        </w:rPr>
      </w:pPr>
      <w:r>
        <w:rPr>
          <w:rFonts w:ascii="Arial" w:cs="Arial" w:eastAsia="Arial" w:hAnsi="Arial"/>
          <w:sz w:val="15"/>
          <w:szCs w:val="15"/>
          <w:color w:val="auto"/>
        </w:rPr>
        <w:t>double taxation of our international earnings and potentially adverse tax consequences due to changes in the income and other tax laws of the United States or the international jurisdictions in which we operate; and</w:t>
      </w:r>
    </w:p>
    <w:p>
      <w:pPr>
        <w:spacing w:after="0" w:line="67" w:lineRule="exact"/>
        <w:rPr>
          <w:rFonts w:ascii="Arial" w:cs="Arial" w:eastAsia="Arial" w:hAnsi="Arial"/>
          <w:sz w:val="15"/>
          <w:szCs w:val="15"/>
          <w:color w:val="auto"/>
        </w:rPr>
      </w:pPr>
    </w:p>
    <w:p>
      <w:pPr>
        <w:ind w:left="1840" w:hanging="276"/>
        <w:spacing w:after="0"/>
        <w:tabs>
          <w:tab w:leader="none" w:pos="1840" w:val="left"/>
        </w:tabs>
        <w:numPr>
          <w:ilvl w:val="0"/>
          <w:numId w:val="18"/>
        </w:numPr>
        <w:rPr>
          <w:rFonts w:ascii="Arial" w:cs="Arial" w:eastAsia="Arial" w:hAnsi="Arial"/>
          <w:sz w:val="14"/>
          <w:szCs w:val="14"/>
          <w:color w:val="auto"/>
        </w:rPr>
      </w:pPr>
      <w:r>
        <w:rPr>
          <w:rFonts w:ascii="Arial" w:cs="Arial" w:eastAsia="Arial" w:hAnsi="Arial"/>
          <w:sz w:val="14"/>
          <w:szCs w:val="14"/>
          <w:color w:val="auto"/>
        </w:rPr>
        <w:t>higher costs of doing business internationally, including increased accounting, travel, infrastructure, and legal compliance costs.</w:t>
      </w:r>
    </w:p>
    <w:p>
      <w:pPr>
        <w:spacing w:after="0" w:line="200" w:lineRule="exact"/>
        <w:rPr>
          <w:sz w:val="20"/>
          <w:szCs w:val="20"/>
          <w:color w:val="auto"/>
        </w:rPr>
      </w:pPr>
    </w:p>
    <w:p>
      <w:pPr>
        <w:jc w:val="both"/>
        <w:ind w:left="1120" w:right="360" w:firstLine="368"/>
        <w:spacing w:after="0" w:line="322" w:lineRule="auto"/>
        <w:rPr>
          <w:sz w:val="20"/>
          <w:szCs w:val="20"/>
          <w:color w:val="auto"/>
        </w:rPr>
      </w:pPr>
      <w:r>
        <w:rPr>
          <w:rFonts w:ascii="Arial" w:cs="Arial" w:eastAsia="Arial" w:hAnsi="Arial"/>
          <w:sz w:val="13"/>
          <w:szCs w:val="13"/>
          <w:color w:val="auto"/>
        </w:rPr>
        <w:t>Compliance with laws and regulations applicable to our global operations substantially increases our cost of doing business in international jurisdictions. We may be unable to keep current with changes in laws and regulations as they change. Although we have implemented policies and procedures designed to support compliance with these laws and regulations, there can be no assurance that we will always maintain compliance</w:t>
      </w:r>
    </w:p>
    <w:p>
      <w:pPr>
        <w:spacing w:after="0" w:line="64" w:lineRule="exact"/>
        <w:rPr>
          <w:sz w:val="20"/>
          <w:szCs w:val="20"/>
          <w:color w:val="auto"/>
        </w:rPr>
      </w:pPr>
    </w:p>
    <w:p>
      <w:pPr>
        <w:ind w:left="5640"/>
        <w:spacing w:after="0"/>
        <w:rPr>
          <w:sz w:val="20"/>
          <w:szCs w:val="20"/>
          <w:color w:val="auto"/>
        </w:rPr>
      </w:pPr>
      <w:r>
        <w:rPr>
          <w:rFonts w:ascii="Arial" w:cs="Arial" w:eastAsia="Arial" w:hAnsi="Arial"/>
          <w:sz w:val="15"/>
          <w:szCs w:val="15"/>
          <w:color w:val="auto"/>
        </w:rPr>
        <w:t>25</w:t>
      </w:r>
    </w:p>
    <w:p>
      <w:pPr>
        <w:sectPr>
          <w:pgSz w:w="11900" w:h="16838" w:orient="portrait"/>
          <w:cols w:equalWidth="0" w:num="1">
            <w:col w:w="10280"/>
          </w:cols>
          <w:pgMar w:left="240" w:top="407" w:right="1379" w:bottom="1440" w:gutter="0" w:footer="0" w:header="0"/>
        </w:sectPr>
      </w:pPr>
    </w:p>
    <w:bookmarkStart w:id="32" w:name="page33"/>
    <w:bookmarkEnd w:id="32"/>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133350</wp:posOffset>
            </wp:positionH>
            <wp:positionV relativeFrom="page">
              <wp:posOffset>88900</wp:posOffset>
            </wp:positionV>
            <wp:extent cx="7308850" cy="342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308850" cy="34290"/>
                    </a:xfrm>
                    <a:prstGeom prst="rect">
                      <a:avLst/>
                    </a:prstGeom>
                    <a:noFill/>
                  </pic:spPr>
                </pic:pic>
              </a:graphicData>
            </a:graphic>
          </wp:anchor>
        </w:drawing>
      </w:r>
      <w:hyperlink w:anchor="page7">
        <w:r>
          <w:rPr>
            <w:rFonts w:ascii="Arial" w:cs="Arial" w:eastAsia="Arial" w:hAnsi="Arial"/>
            <w:sz w:val="15"/>
            <w:szCs w:val="15"/>
            <w:b w:val="1"/>
            <w:bCs w:val="1"/>
            <w:u w:val="single" w:color="auto"/>
            <w:color w:val="0000EE"/>
          </w:rPr>
          <w:t>Table of Contents</w:t>
        </w:r>
      </w:hyperlink>
    </w:p>
    <w:p>
      <w:pPr>
        <w:spacing w:after="0" w:line="260" w:lineRule="exact"/>
        <w:rPr>
          <w:sz w:val="20"/>
          <w:szCs w:val="20"/>
          <w:color w:val="auto"/>
        </w:rPr>
      </w:pPr>
    </w:p>
    <w:p>
      <w:pPr>
        <w:jc w:val="both"/>
        <w:ind w:left="1120" w:right="100"/>
        <w:spacing w:after="0" w:line="290" w:lineRule="auto"/>
        <w:rPr>
          <w:sz w:val="20"/>
          <w:szCs w:val="20"/>
          <w:color w:val="auto"/>
        </w:rPr>
      </w:pPr>
      <w:r>
        <w:rPr>
          <w:rFonts w:ascii="Arial" w:cs="Arial" w:eastAsia="Arial" w:hAnsi="Arial"/>
          <w:sz w:val="14"/>
          <w:szCs w:val="14"/>
          <w:color w:val="auto"/>
        </w:rPr>
        <w:t>or that all of our employees, contractors, partners, and agents will comply. Any violations could result in enforcement actions, fines, civil and criminal penalties, damages, injunctions, or reputational harm. If we are unable comply with these laws and regulations or manage the complexity of our global operations successfully, our business, results of operations, and financial condition could be adversely affected.</w:t>
      </w:r>
    </w:p>
    <w:p>
      <w:pPr>
        <w:spacing w:after="0" w:line="228" w:lineRule="exact"/>
        <w:rPr>
          <w:sz w:val="20"/>
          <w:szCs w:val="20"/>
          <w:color w:val="auto"/>
        </w:rPr>
      </w:pPr>
    </w:p>
    <w:p>
      <w:pPr>
        <w:ind w:left="1120" w:right="220"/>
        <w:spacing w:after="0" w:line="275" w:lineRule="auto"/>
        <w:rPr>
          <w:sz w:val="20"/>
          <w:szCs w:val="20"/>
          <w:color w:val="auto"/>
        </w:rPr>
      </w:pPr>
      <w:r>
        <w:rPr>
          <w:rFonts w:ascii="Arial" w:cs="Arial" w:eastAsia="Arial" w:hAnsi="Arial"/>
          <w:sz w:val="15"/>
          <w:szCs w:val="15"/>
          <w:b w:val="1"/>
          <w:bCs w:val="1"/>
          <w:i w:val="1"/>
          <w:iCs w:val="1"/>
          <w:color w:val="auto"/>
        </w:rPr>
        <w:t>Our results of operations, which are reported in U.S. dollars, could be adversely affected if currency exchange rates fluctuate substantially in the future.</w:t>
      </w:r>
    </w:p>
    <w:p>
      <w:pPr>
        <w:spacing w:after="0" w:line="56" w:lineRule="exact"/>
        <w:rPr>
          <w:sz w:val="20"/>
          <w:szCs w:val="20"/>
          <w:color w:val="auto"/>
        </w:rPr>
      </w:pPr>
    </w:p>
    <w:p>
      <w:pPr>
        <w:ind w:left="1120" w:firstLine="368"/>
        <w:spacing w:after="0" w:line="254" w:lineRule="auto"/>
        <w:rPr>
          <w:sz w:val="20"/>
          <w:szCs w:val="20"/>
          <w:color w:val="auto"/>
        </w:rPr>
      </w:pPr>
      <w:r>
        <w:rPr>
          <w:rFonts w:ascii="Arial" w:cs="Arial" w:eastAsia="Arial" w:hAnsi="Arial"/>
          <w:sz w:val="15"/>
          <w:szCs w:val="15"/>
          <w:color w:val="auto"/>
        </w:rPr>
        <w:t>We conduct our business across 180 countries around the world. As we continue to expand our international operations, we will become more exposed to the effects of fluctuations in currency exchange rates. This exposure is the result of selling in multiple currencies and operating in foreign countries where the functional currency is the local currency. In 2017, 29% of our sales were denominated in currencies other than U.S. dollars. Our expenses, by contrast, are primarily denominated in U.S. dollars. As a result, any increase in the value of the U.S. dollar against these foreign currencies could cause our revenue to decline relative to our costs, thereby decreasing our gross margins. Our results of operations are primarily subject to fluctuations in the euro and British pound sterling. Because we conduct business in currencies other than U.S. dollars, but report our results of operations in U.S. dollars, we also face remeasurement exposure to fluctuations in currency exchange rates, which could hinder our ability to predict our future results and earnings and could materially impact our results of operations. We do not currently maintain a program to hedge exposures to non-U.S. dollar currencies.</w:t>
      </w:r>
    </w:p>
    <w:p>
      <w:pPr>
        <w:spacing w:after="0" w:line="252" w:lineRule="exact"/>
        <w:rPr>
          <w:sz w:val="20"/>
          <w:szCs w:val="20"/>
          <w:color w:val="auto"/>
        </w:rPr>
      </w:pPr>
    </w:p>
    <w:p>
      <w:pPr>
        <w:ind w:left="1120" w:right="120"/>
        <w:spacing w:after="0" w:line="275" w:lineRule="auto"/>
        <w:rPr>
          <w:sz w:val="20"/>
          <w:szCs w:val="20"/>
          <w:color w:val="auto"/>
        </w:rPr>
      </w:pPr>
      <w:r>
        <w:rPr>
          <w:rFonts w:ascii="Arial" w:cs="Arial" w:eastAsia="Arial" w:hAnsi="Arial"/>
          <w:sz w:val="15"/>
          <w:szCs w:val="15"/>
          <w:b w:val="1"/>
          <w:bCs w:val="1"/>
          <w:i w:val="1"/>
          <w:iCs w:val="1"/>
          <w:color w:val="auto"/>
        </w:rPr>
        <w:t>We depend on our infrastructure and third-party datacenters, and any disruption in the operation of these facilities or failure to renew the services could adversely affect our business.</w:t>
      </w:r>
    </w:p>
    <w:p>
      <w:pPr>
        <w:spacing w:after="0" w:line="56" w:lineRule="exact"/>
        <w:rPr>
          <w:sz w:val="20"/>
          <w:szCs w:val="20"/>
          <w:color w:val="auto"/>
        </w:rPr>
      </w:pPr>
    </w:p>
    <w:p>
      <w:pPr>
        <w:ind w:left="1120" w:firstLine="368"/>
        <w:spacing w:after="0" w:line="257" w:lineRule="auto"/>
        <w:rPr>
          <w:sz w:val="20"/>
          <w:szCs w:val="20"/>
          <w:color w:val="auto"/>
        </w:rPr>
      </w:pPr>
      <w:r>
        <w:rPr>
          <w:rFonts w:ascii="Arial" w:cs="Arial" w:eastAsia="Arial" w:hAnsi="Arial"/>
          <w:sz w:val="15"/>
          <w:szCs w:val="15"/>
          <w:color w:val="auto"/>
        </w:rPr>
        <w:t>We host our services and serve all of our users using a combination of our own custom-built infrastructure that we lease and operate in co-location facilities and third-party datacenter services such as Amazon Web Services. While we typically control and have access to the servers we operate in co-location facilities and the components of our custom-built infrastructure that are located in those co-location facilities, we control neither the operation of these facilities nor our third-party service providers. Furthermore, we have no physical access or control over the services provided by Amazon Web Services.</w:t>
      </w:r>
    </w:p>
    <w:p>
      <w:pPr>
        <w:spacing w:after="0" w:line="159" w:lineRule="exact"/>
        <w:rPr>
          <w:sz w:val="20"/>
          <w:szCs w:val="20"/>
          <w:color w:val="auto"/>
        </w:rPr>
      </w:pPr>
    </w:p>
    <w:p>
      <w:pPr>
        <w:ind w:left="1120" w:right="40" w:firstLine="368"/>
        <w:spacing w:after="0" w:line="276" w:lineRule="auto"/>
        <w:rPr>
          <w:sz w:val="20"/>
          <w:szCs w:val="20"/>
          <w:color w:val="auto"/>
        </w:rPr>
      </w:pPr>
      <w:r>
        <w:rPr>
          <w:rFonts w:ascii="Arial" w:cs="Arial" w:eastAsia="Arial" w:hAnsi="Arial"/>
          <w:sz w:val="14"/>
          <w:szCs w:val="14"/>
          <w:color w:val="auto"/>
        </w:rPr>
        <w:t>Datacenter leases and agreements with the providers of datacenter services expire at various times. The owners of these datacenters and providers of these datacenter services may have no obligation to renew their agreements with us on commercially reasonable terms, or at all. Problems faced by datacenters, with our third-party datacenter service providers, with the telecommunications network providers with whom we or they contract, or with the systems by which our telecommunications providers allocate capacity among their users, including us, could adversely affect the experience of our users. Our third-party datacenter operators could decide to close their facilities or cease providing services without adequate notice. In addition, any financial difficulties, such as bankruptcy, faced by our third-party datacenters operators or any of the service providers with whom we or they contract may have negative effects on our business, the nature and extent of which are difficult to predict.</w:t>
      </w:r>
    </w:p>
    <w:p>
      <w:pPr>
        <w:spacing w:after="0" w:line="148" w:lineRule="exact"/>
        <w:rPr>
          <w:sz w:val="20"/>
          <w:szCs w:val="20"/>
          <w:color w:val="auto"/>
        </w:rPr>
      </w:pPr>
    </w:p>
    <w:p>
      <w:pPr>
        <w:ind w:left="1120" w:firstLine="368"/>
        <w:spacing w:after="0" w:line="302" w:lineRule="auto"/>
        <w:rPr>
          <w:sz w:val="20"/>
          <w:szCs w:val="20"/>
          <w:color w:val="auto"/>
        </w:rPr>
      </w:pPr>
      <w:r>
        <w:rPr>
          <w:rFonts w:ascii="Arial" w:cs="Arial" w:eastAsia="Arial" w:hAnsi="Arial"/>
          <w:sz w:val="13"/>
          <w:szCs w:val="13"/>
          <w:color w:val="auto"/>
        </w:rPr>
        <w:t>If the datacenters and service providers that we use are unable to keep up with our growing needs for capacity, or if we are unable to renew our agreements with datacenters, and service providers on commercially reasonable terms, we may be required to transfer servers or content to new datacenters or engage new service providers, and we may incur significant costs, and possible service interruption in connection with doing so. Any changes in third-party service levels at datacenters or any real or perceived errors, defects, disruptions, or other performance problems with our platform could harm our reputation and may result in damage to, or loss or compromise of, our users’ content. Interruptions in our platform might, among other things, reduce our revenue, cause us to issue refunds to users, subject us to potential liability, harm our reputation, or decrease our renewal rates.</w:t>
      </w:r>
    </w:p>
    <w:p>
      <w:pPr>
        <w:spacing w:after="0" w:line="78" w:lineRule="exact"/>
        <w:rPr>
          <w:sz w:val="20"/>
          <w:szCs w:val="20"/>
          <w:color w:val="auto"/>
        </w:rPr>
      </w:pPr>
    </w:p>
    <w:p>
      <w:pPr>
        <w:ind w:left="5640"/>
        <w:spacing w:after="0"/>
        <w:rPr>
          <w:sz w:val="20"/>
          <w:szCs w:val="20"/>
          <w:color w:val="auto"/>
        </w:rPr>
      </w:pPr>
      <w:r>
        <w:rPr>
          <w:rFonts w:ascii="Arial" w:cs="Arial" w:eastAsia="Arial" w:hAnsi="Arial"/>
          <w:sz w:val="15"/>
          <w:szCs w:val="15"/>
          <w:color w:val="auto"/>
        </w:rPr>
        <w:t>26</w:t>
      </w:r>
    </w:p>
    <w:p>
      <w:pPr>
        <w:sectPr>
          <w:pgSz w:w="11900" w:h="16838" w:orient="portrait"/>
          <w:cols w:equalWidth="0" w:num="1">
            <w:col w:w="10280"/>
          </w:cols>
          <w:pgMar w:left="240" w:top="407" w:right="1379" w:bottom="1440" w:gutter="0" w:footer="0" w:header="0"/>
        </w:sectPr>
      </w:pPr>
    </w:p>
    <w:bookmarkStart w:id="33" w:name="page34"/>
    <w:bookmarkEnd w:id="33"/>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133350</wp:posOffset>
            </wp:positionH>
            <wp:positionV relativeFrom="page">
              <wp:posOffset>88900</wp:posOffset>
            </wp:positionV>
            <wp:extent cx="7308850" cy="342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308850" cy="34290"/>
                    </a:xfrm>
                    <a:prstGeom prst="rect">
                      <a:avLst/>
                    </a:prstGeom>
                    <a:noFill/>
                  </pic:spPr>
                </pic:pic>
              </a:graphicData>
            </a:graphic>
          </wp:anchor>
        </w:drawing>
      </w:r>
      <w:hyperlink w:anchor="page7">
        <w:r>
          <w:rPr>
            <w:rFonts w:ascii="Arial" w:cs="Arial" w:eastAsia="Arial" w:hAnsi="Arial"/>
            <w:sz w:val="15"/>
            <w:szCs w:val="15"/>
            <w:b w:val="1"/>
            <w:bCs w:val="1"/>
            <w:u w:val="single" w:color="auto"/>
            <w:color w:val="0000EE"/>
          </w:rPr>
          <w:t>Table of Contents</w:t>
        </w:r>
      </w:hyperlink>
    </w:p>
    <w:p>
      <w:pPr>
        <w:spacing w:after="0" w:line="260" w:lineRule="exact"/>
        <w:rPr>
          <w:sz w:val="20"/>
          <w:szCs w:val="20"/>
          <w:color w:val="auto"/>
        </w:rPr>
      </w:pPr>
    </w:p>
    <w:p>
      <w:pPr>
        <w:ind w:left="1120" w:right="320"/>
        <w:spacing w:after="0" w:line="275" w:lineRule="auto"/>
        <w:rPr>
          <w:sz w:val="20"/>
          <w:szCs w:val="20"/>
          <w:color w:val="auto"/>
        </w:rPr>
      </w:pPr>
      <w:r>
        <w:rPr>
          <w:rFonts w:ascii="Arial" w:cs="Arial" w:eastAsia="Arial" w:hAnsi="Arial"/>
          <w:sz w:val="15"/>
          <w:szCs w:val="15"/>
          <w:b w:val="1"/>
          <w:bCs w:val="1"/>
          <w:i w:val="1"/>
          <w:iCs w:val="1"/>
          <w:color w:val="auto"/>
        </w:rPr>
        <w:t>We have relationships with third parties to provide, develop, and create applications that integrate with our platform, and our business could be harmed if we are not able to continue these relationships.</w:t>
      </w:r>
    </w:p>
    <w:p>
      <w:pPr>
        <w:spacing w:after="0" w:line="56" w:lineRule="exact"/>
        <w:rPr>
          <w:sz w:val="20"/>
          <w:szCs w:val="20"/>
          <w:color w:val="auto"/>
        </w:rPr>
      </w:pPr>
    </w:p>
    <w:p>
      <w:pPr>
        <w:ind w:left="1120" w:firstLine="368"/>
        <w:spacing w:after="0" w:line="277" w:lineRule="auto"/>
        <w:rPr>
          <w:sz w:val="20"/>
          <w:szCs w:val="20"/>
          <w:color w:val="auto"/>
        </w:rPr>
      </w:pPr>
      <w:r>
        <w:rPr>
          <w:rFonts w:ascii="Arial" w:cs="Arial" w:eastAsia="Arial" w:hAnsi="Arial"/>
          <w:sz w:val="14"/>
          <w:szCs w:val="14"/>
          <w:color w:val="auto"/>
        </w:rPr>
        <w:t>We use software and services licensed and procured from third parties to develop and offer our platform. We may need to obtain future licenses and services from third parties to use intellectual property and technology associated with the development of our platform, which might not be available to us on acceptable terms, or at all. Any loss of the right to use any software or services required for the development and maintenance of our platform could result in delays in the provision of our platform until equivalent technology is either developed by us, or, if available from others, is identified, obtained, and integrated, which could harm our platform and business. Any errors or defects in third-party software or services could result in errors or a failure of our platform, which could harm our business, results of operations, and financial condition.</w:t>
      </w:r>
    </w:p>
    <w:p>
      <w:pPr>
        <w:spacing w:after="0" w:line="148" w:lineRule="exact"/>
        <w:rPr>
          <w:sz w:val="20"/>
          <w:szCs w:val="20"/>
          <w:color w:val="auto"/>
        </w:rPr>
      </w:pPr>
    </w:p>
    <w:p>
      <w:pPr>
        <w:ind w:left="1120" w:firstLine="368"/>
        <w:spacing w:after="0" w:line="255" w:lineRule="auto"/>
        <w:rPr>
          <w:sz w:val="20"/>
          <w:szCs w:val="20"/>
          <w:color w:val="auto"/>
        </w:rPr>
      </w:pPr>
      <w:r>
        <w:rPr>
          <w:rFonts w:ascii="Arial" w:cs="Arial" w:eastAsia="Arial" w:hAnsi="Arial"/>
          <w:sz w:val="15"/>
          <w:szCs w:val="15"/>
          <w:color w:val="auto"/>
        </w:rPr>
        <w:t>We also depend on our ecosystem of developers to create applications that will integrate with our platform. As of December 31, 2017, Dropbox was receiving over 50 billion API calls per month, and more than 500,000 developers had registered and built applications on our platform. Our reliance on this ecosystem of developers creates certain business risks relating to the quality of the applications built using our APIs, service interruptions of our platform from these applications, lack of service support for these applications, and possession of intellectual property rights associated with these applications. We may not have the ability to control or prevent these risks. As a result, issues relating to these applications could adversely affect our business, brand, and reputation.</w:t>
      </w:r>
    </w:p>
    <w:p>
      <w:pPr>
        <w:spacing w:after="0" w:line="254" w:lineRule="exact"/>
        <w:rPr>
          <w:sz w:val="20"/>
          <w:szCs w:val="20"/>
          <w:color w:val="auto"/>
        </w:rPr>
      </w:pPr>
    </w:p>
    <w:p>
      <w:pPr>
        <w:ind w:left="1120" w:right="180"/>
        <w:spacing w:after="0" w:line="263" w:lineRule="auto"/>
        <w:rPr>
          <w:sz w:val="20"/>
          <w:szCs w:val="20"/>
          <w:color w:val="auto"/>
        </w:rPr>
      </w:pPr>
      <w:r>
        <w:rPr>
          <w:rFonts w:ascii="Arial" w:cs="Arial" w:eastAsia="Arial" w:hAnsi="Arial"/>
          <w:sz w:val="15"/>
          <w:szCs w:val="15"/>
          <w:b w:val="1"/>
          <w:bCs w:val="1"/>
          <w:i w:val="1"/>
          <w:iCs w:val="1"/>
          <w:color w:val="auto"/>
        </w:rPr>
        <w:t>We are subject to a variety of U.S. and international laws that could subject us to claims, increase the cost of operations, or otherwise harm our business due to changes in the laws, changes in the interpretations of the laws, greater enforcement of the laws, or investigations into compliance with the laws.</w:t>
      </w:r>
    </w:p>
    <w:p>
      <w:pPr>
        <w:spacing w:after="0" w:line="65" w:lineRule="exact"/>
        <w:rPr>
          <w:sz w:val="20"/>
          <w:szCs w:val="20"/>
          <w:color w:val="auto"/>
        </w:rPr>
      </w:pPr>
    </w:p>
    <w:p>
      <w:pPr>
        <w:ind w:left="1120" w:right="80" w:firstLine="368"/>
        <w:spacing w:after="0" w:line="276" w:lineRule="auto"/>
        <w:rPr>
          <w:sz w:val="20"/>
          <w:szCs w:val="20"/>
          <w:color w:val="auto"/>
        </w:rPr>
      </w:pPr>
      <w:r>
        <w:rPr>
          <w:rFonts w:ascii="Arial" w:cs="Arial" w:eastAsia="Arial" w:hAnsi="Arial"/>
          <w:sz w:val="14"/>
          <w:szCs w:val="14"/>
          <w:color w:val="auto"/>
        </w:rPr>
        <w:t>We are subject to compliance with various laws, including those covering copyright, indecent content, child protection, consumer protection, and similar matters. There have been instances where improper or illegal content has been stored on our platform without our knowledge. As a service provider, we do not regularly monitor our platform to evaluate the legality of content stored on it. While to date we have not been subject to material legal or administrative actions as result of this content, the laws in this area are currently in a state of flux and vary widely between jurisdictions. Accordingly, it may be possible that in the future we and our competitors may be subject to legal actions, along with the users who uploaded such content. In addition, regardless of any legal liability we may face, our reputation could be harmed should there be an incident generating extensive negative publicity about the content stored on our platform. Such publicity could harm our business and results of operations.</w:t>
      </w:r>
    </w:p>
    <w:p>
      <w:pPr>
        <w:spacing w:after="0" w:line="148" w:lineRule="exact"/>
        <w:rPr>
          <w:sz w:val="20"/>
          <w:szCs w:val="20"/>
          <w:color w:val="auto"/>
        </w:rPr>
      </w:pPr>
    </w:p>
    <w:p>
      <w:pPr>
        <w:ind w:left="1120" w:firstLine="368"/>
        <w:spacing w:after="0" w:line="302" w:lineRule="auto"/>
        <w:rPr>
          <w:sz w:val="20"/>
          <w:szCs w:val="20"/>
          <w:color w:val="auto"/>
        </w:rPr>
      </w:pPr>
      <w:r>
        <w:rPr>
          <w:rFonts w:ascii="Arial" w:cs="Arial" w:eastAsia="Arial" w:hAnsi="Arial"/>
          <w:sz w:val="13"/>
          <w:szCs w:val="13"/>
          <w:color w:val="auto"/>
        </w:rPr>
        <w:t>We are also subject to consumer protection laws that may impact our sales and marketing efforts, including laws related to subscriptions, billing, and auto-renewal. These laws, as well as any changes in these laws, could adversely affect our self-serve model and make it more difficult for us to retain and upgrade paying users and attract new ones. Additionally, we have in the past, are currently, and may from time to time in the future become the subject of inquiries and other actions by regulatory authorities as a result of our business practices, including our subscription, billing, and auto-renewal policies. Consumer protection laws may be interpreted or applied by regulatory authorities in a manner that could require us to make changes to our operations or incur fines, penalties or settlement expenses, which may result in harm to our business, results of operations, and brand.</w:t>
      </w:r>
    </w:p>
    <w:p>
      <w:pPr>
        <w:spacing w:after="0" w:line="134" w:lineRule="exact"/>
        <w:rPr>
          <w:sz w:val="20"/>
          <w:szCs w:val="20"/>
          <w:color w:val="auto"/>
        </w:rPr>
      </w:pPr>
    </w:p>
    <w:p>
      <w:pPr>
        <w:ind w:left="1120" w:right="60" w:firstLine="368"/>
        <w:spacing w:after="0" w:line="259" w:lineRule="auto"/>
        <w:rPr>
          <w:sz w:val="20"/>
          <w:szCs w:val="20"/>
          <w:color w:val="auto"/>
        </w:rPr>
      </w:pPr>
      <w:r>
        <w:rPr>
          <w:rFonts w:ascii="Arial" w:cs="Arial" w:eastAsia="Arial" w:hAnsi="Arial"/>
          <w:sz w:val="15"/>
          <w:szCs w:val="15"/>
          <w:color w:val="auto"/>
        </w:rPr>
        <w:t>Our platform depends on the ability of our users to access the internet and our platform has been blocked or restricted in some countries for various reasons. For example, our platform is blocked in the People’s Republic of China. If we fail to anticipate developments in the law, or fail for any reason to comply with relevant law, our platform could be further blocked or restricted and we could be exposed to significant liability that could harm our business.</w:t>
      </w:r>
    </w:p>
    <w:p>
      <w:pPr>
        <w:spacing w:after="0" w:line="158" w:lineRule="exact"/>
        <w:rPr>
          <w:sz w:val="20"/>
          <w:szCs w:val="20"/>
          <w:color w:val="auto"/>
        </w:rPr>
      </w:pPr>
    </w:p>
    <w:p>
      <w:pPr>
        <w:ind w:left="1120" w:right="200" w:firstLine="368"/>
        <w:spacing w:after="0" w:line="275" w:lineRule="auto"/>
        <w:rPr>
          <w:sz w:val="20"/>
          <w:szCs w:val="20"/>
          <w:color w:val="auto"/>
        </w:rPr>
      </w:pPr>
      <w:r>
        <w:rPr>
          <w:rFonts w:ascii="Arial" w:cs="Arial" w:eastAsia="Arial" w:hAnsi="Arial"/>
          <w:sz w:val="15"/>
          <w:szCs w:val="15"/>
          <w:color w:val="auto"/>
        </w:rPr>
        <w:t>We are also subject to various U.S. and international anti-corruption laws, such as the U.S. Foreign Corrupt Practices Act and the U.K. Bribery Act, as well as other similar anti-bribery and anti-kickback laws and</w:t>
      </w:r>
    </w:p>
    <w:p>
      <w:pPr>
        <w:spacing w:after="0" w:line="90" w:lineRule="exact"/>
        <w:rPr>
          <w:sz w:val="20"/>
          <w:szCs w:val="20"/>
          <w:color w:val="auto"/>
        </w:rPr>
      </w:pPr>
    </w:p>
    <w:p>
      <w:pPr>
        <w:ind w:left="5640"/>
        <w:spacing w:after="0"/>
        <w:rPr>
          <w:sz w:val="20"/>
          <w:szCs w:val="20"/>
          <w:color w:val="auto"/>
        </w:rPr>
      </w:pPr>
      <w:r>
        <w:rPr>
          <w:rFonts w:ascii="Arial" w:cs="Arial" w:eastAsia="Arial" w:hAnsi="Arial"/>
          <w:sz w:val="15"/>
          <w:szCs w:val="15"/>
          <w:color w:val="auto"/>
        </w:rPr>
        <w:t>27</w:t>
      </w:r>
    </w:p>
    <w:p>
      <w:pPr>
        <w:sectPr>
          <w:pgSz w:w="11900" w:h="16838" w:orient="portrait"/>
          <w:cols w:equalWidth="0" w:num="1">
            <w:col w:w="10280"/>
          </w:cols>
          <w:pgMar w:left="240" w:top="407" w:right="1379" w:bottom="1440" w:gutter="0" w:footer="0" w:header="0"/>
        </w:sectPr>
      </w:pPr>
    </w:p>
    <w:bookmarkStart w:id="34" w:name="page35"/>
    <w:bookmarkEnd w:id="34"/>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133350</wp:posOffset>
            </wp:positionH>
            <wp:positionV relativeFrom="page">
              <wp:posOffset>88900</wp:posOffset>
            </wp:positionV>
            <wp:extent cx="7308850" cy="342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308850" cy="34290"/>
                    </a:xfrm>
                    <a:prstGeom prst="rect">
                      <a:avLst/>
                    </a:prstGeom>
                    <a:noFill/>
                  </pic:spPr>
                </pic:pic>
              </a:graphicData>
            </a:graphic>
          </wp:anchor>
        </w:drawing>
      </w:r>
      <w:hyperlink w:anchor="page7">
        <w:r>
          <w:rPr>
            <w:rFonts w:ascii="Arial" w:cs="Arial" w:eastAsia="Arial" w:hAnsi="Arial"/>
            <w:sz w:val="15"/>
            <w:szCs w:val="15"/>
            <w:b w:val="1"/>
            <w:bCs w:val="1"/>
            <w:u w:val="single" w:color="auto"/>
            <w:color w:val="0000EE"/>
          </w:rPr>
          <w:t>Table of Contents</w:t>
        </w:r>
      </w:hyperlink>
    </w:p>
    <w:p>
      <w:pPr>
        <w:spacing w:after="0" w:line="260" w:lineRule="exact"/>
        <w:rPr>
          <w:sz w:val="20"/>
          <w:szCs w:val="20"/>
          <w:color w:val="auto"/>
        </w:rPr>
      </w:pPr>
    </w:p>
    <w:p>
      <w:pPr>
        <w:ind w:left="1120"/>
        <w:spacing w:after="0" w:line="259" w:lineRule="auto"/>
        <w:rPr>
          <w:sz w:val="20"/>
          <w:szCs w:val="20"/>
          <w:color w:val="auto"/>
        </w:rPr>
      </w:pPr>
      <w:r>
        <w:rPr>
          <w:rFonts w:ascii="Arial" w:cs="Arial" w:eastAsia="Arial" w:hAnsi="Arial"/>
          <w:sz w:val="15"/>
          <w:szCs w:val="15"/>
          <w:color w:val="auto"/>
        </w:rPr>
        <w:t>regulations. These laws and regulations generally prohibit companies and their employees and intermediaries from authorizing, offering, or providing improper payments or benefits to officials and other recipients for improper purposes. Although we take precautions to prevent violations of these laws, our exposure for violating these laws increases as we continue to expand our international presence and any failure to comply with such laws could harm our reputation and our business.</w:t>
      </w:r>
    </w:p>
    <w:p>
      <w:pPr>
        <w:spacing w:after="0" w:line="248" w:lineRule="exact"/>
        <w:rPr>
          <w:sz w:val="20"/>
          <w:szCs w:val="20"/>
          <w:color w:val="auto"/>
        </w:rPr>
      </w:pPr>
    </w:p>
    <w:p>
      <w:pPr>
        <w:ind w:left="1120" w:right="200"/>
        <w:spacing w:after="0" w:line="275" w:lineRule="auto"/>
        <w:rPr>
          <w:sz w:val="20"/>
          <w:szCs w:val="20"/>
          <w:color w:val="auto"/>
        </w:rPr>
      </w:pPr>
      <w:r>
        <w:rPr>
          <w:rFonts w:ascii="Arial" w:cs="Arial" w:eastAsia="Arial" w:hAnsi="Arial"/>
          <w:sz w:val="15"/>
          <w:szCs w:val="15"/>
          <w:b w:val="1"/>
          <w:bCs w:val="1"/>
          <w:i w:val="1"/>
          <w:iCs w:val="1"/>
          <w:color w:val="auto"/>
        </w:rPr>
        <w:t>We are subject to export and import control laws and regulations that could impair our ability to compete in international markets or subject us to liability if we violate such laws and regulations.</w:t>
      </w:r>
    </w:p>
    <w:p>
      <w:pPr>
        <w:spacing w:after="0" w:line="56" w:lineRule="exact"/>
        <w:rPr>
          <w:sz w:val="20"/>
          <w:szCs w:val="20"/>
          <w:color w:val="auto"/>
        </w:rPr>
      </w:pPr>
    </w:p>
    <w:p>
      <w:pPr>
        <w:ind w:left="1120" w:right="60" w:firstLine="368"/>
        <w:spacing w:after="0" w:line="272" w:lineRule="auto"/>
        <w:rPr>
          <w:sz w:val="20"/>
          <w:szCs w:val="20"/>
          <w:color w:val="auto"/>
        </w:rPr>
      </w:pPr>
      <w:r>
        <w:rPr>
          <w:rFonts w:ascii="Arial" w:cs="Arial" w:eastAsia="Arial" w:hAnsi="Arial"/>
          <w:sz w:val="14"/>
          <w:szCs w:val="14"/>
          <w:color w:val="auto"/>
        </w:rPr>
        <w:t>We are subject to U.S. export controls and sanctions regulations that prohibit the shipment or provision of certain products and services to certain countries, governments, and persons targeted by U.S. sanctions. While we take precautions to prevent our products and services from being exported in violation of these laws, including implementing IP address blocking, we cannot guarantee that the precautions we take will prevent violations of export control and sanctions laws. For example, in 2011, we provided certain downloadable portions of our software to international users that, prior to export, required either a one-time product review or application for an encryption registration number in lieu of such product review. These exports were likely made in violation of U.S. export control and sanction laws. In March 2011, we filed a Final Voluntary Self Disclosure with the U.S. Department of Commerce’s Bureau of Industry and Security, or BIS, concerning these potential violations. In June 2012, BIS notified us that it had completed its review of these matters and closed its review with the issuance of a Warning Letter. No monetary penalties were assessed against us by BIS with respect to the 2011 filing. In addition, in 2017, we discovered that our platform has been accessed by certain users in apparent violation of United States sanctions regulations. We filed an Initial Voluntary Self Disclosure in October 2017 with the Office of Foreign Assets Control, or OFAC, and a Final Voluntary Self Disclosure with OFAC in February 2018. If we are found to be in violation of U.S. sanctions or export control laws, it could result in substantial fines and penalties for us and for the individuals working for us.</w:t>
      </w:r>
    </w:p>
    <w:p>
      <w:pPr>
        <w:spacing w:after="0" w:line="156" w:lineRule="exact"/>
        <w:rPr>
          <w:sz w:val="20"/>
          <w:szCs w:val="20"/>
          <w:color w:val="auto"/>
        </w:rPr>
      </w:pPr>
    </w:p>
    <w:p>
      <w:pPr>
        <w:ind w:left="1120" w:right="60" w:firstLine="368"/>
        <w:spacing w:after="0" w:line="298" w:lineRule="auto"/>
        <w:rPr>
          <w:sz w:val="20"/>
          <w:szCs w:val="20"/>
          <w:color w:val="auto"/>
        </w:rPr>
      </w:pPr>
      <w:r>
        <w:rPr>
          <w:rFonts w:ascii="Arial" w:cs="Arial" w:eastAsia="Arial" w:hAnsi="Arial"/>
          <w:sz w:val="13"/>
          <w:szCs w:val="13"/>
          <w:color w:val="auto"/>
        </w:rPr>
        <w:t>In addition, various countries regulate the import and export of certain encryption and other technology, including import and export permitting and licensing requirements, and have enacted laws that could limit our ability to distribute our products or could limit our users’ ability to access our platform in those countries. Changes in our platform or client-side software, or future changes in export and import regulations may prevent our users with international operations from deploying our platform globally or, in some cases, prevent the export or import of our platform to certain countries, governments, or persons altogether. Any change in export or import regulations, economic sanctions or related legislation, or change in the countries, governments, persons or technologies targeted by such regulations, could result in decreased use of our platform by, or in our decreased ability to export or sell subscriptions to our platform to, existing or potential users with international operations. Any decreased use of our platform or limitation on our ability to export or sell our products would likely adversely affect our business, results of operations, and financial results.</w:t>
      </w:r>
    </w:p>
    <w:p>
      <w:pPr>
        <w:spacing w:after="0" w:line="229" w:lineRule="exact"/>
        <w:rPr>
          <w:sz w:val="20"/>
          <w:szCs w:val="20"/>
          <w:color w:val="auto"/>
        </w:rPr>
      </w:pPr>
    </w:p>
    <w:p>
      <w:pPr>
        <w:ind w:left="1120" w:right="120"/>
        <w:spacing w:after="0" w:line="275" w:lineRule="auto"/>
        <w:rPr>
          <w:sz w:val="20"/>
          <w:szCs w:val="20"/>
          <w:color w:val="auto"/>
        </w:rPr>
      </w:pPr>
      <w:r>
        <w:rPr>
          <w:rFonts w:ascii="Arial" w:cs="Arial" w:eastAsia="Arial" w:hAnsi="Arial"/>
          <w:sz w:val="15"/>
          <w:szCs w:val="15"/>
          <w:b w:val="1"/>
          <w:bCs w:val="1"/>
          <w:i w:val="1"/>
          <w:iCs w:val="1"/>
          <w:color w:val="auto"/>
        </w:rPr>
        <w:t>Our actual or perceived failure to comply with privacy, data protection, and information security laws, regulations, and obligations could harm our business.</w:t>
      </w:r>
    </w:p>
    <w:p>
      <w:pPr>
        <w:spacing w:after="0" w:line="56" w:lineRule="exact"/>
        <w:rPr>
          <w:sz w:val="20"/>
          <w:szCs w:val="20"/>
          <w:color w:val="auto"/>
        </w:rPr>
      </w:pPr>
    </w:p>
    <w:p>
      <w:pPr>
        <w:ind w:left="1120" w:firstLine="368"/>
        <w:spacing w:after="0" w:line="275" w:lineRule="auto"/>
        <w:rPr>
          <w:sz w:val="20"/>
          <w:szCs w:val="20"/>
          <w:color w:val="auto"/>
        </w:rPr>
      </w:pPr>
      <w:r>
        <w:rPr>
          <w:rFonts w:ascii="Arial" w:cs="Arial" w:eastAsia="Arial" w:hAnsi="Arial"/>
          <w:sz w:val="14"/>
          <w:szCs w:val="14"/>
          <w:color w:val="auto"/>
        </w:rPr>
        <w:t>We receive, store, process, and use personal information and other user content. There are numerous federal, state, local, and international laws and regulations regarding privacy, data protection, information security, and the storing, sharing, use, processing, transfer, disclosure, and protection of personal information and other content, the scope of which are changing, subject to differing interpretations, and may be inconsistent among countries, or conflict with other rules. We are also subject to the terms of our privacy policies and obligations to third parties related to privacy, data protection, and information security. We strive to comply with applicable laws, regulations, policies, and other legal obligations relating to privacy, data protection, and information security to the extent possible. However, the regulatory framework for privacy and data protection worldwide is, and is likely to remain, uncertain for the foreseeable future, and it is possible that these or other actual or alleged obligations may be interpreted and applied in a manner that is inconsistent from one jurisdiction to another and may conflict with other rules or our practices.</w:t>
      </w:r>
    </w:p>
    <w:p>
      <w:pPr>
        <w:spacing w:after="0" w:line="92" w:lineRule="exact"/>
        <w:rPr>
          <w:sz w:val="20"/>
          <w:szCs w:val="20"/>
          <w:color w:val="auto"/>
        </w:rPr>
      </w:pPr>
    </w:p>
    <w:p>
      <w:pPr>
        <w:ind w:left="5640"/>
        <w:spacing w:after="0"/>
        <w:rPr>
          <w:sz w:val="20"/>
          <w:szCs w:val="20"/>
          <w:color w:val="auto"/>
        </w:rPr>
      </w:pPr>
      <w:r>
        <w:rPr>
          <w:rFonts w:ascii="Arial" w:cs="Arial" w:eastAsia="Arial" w:hAnsi="Arial"/>
          <w:sz w:val="15"/>
          <w:szCs w:val="15"/>
          <w:color w:val="auto"/>
        </w:rPr>
        <w:t>28</w:t>
      </w:r>
    </w:p>
    <w:p>
      <w:pPr>
        <w:sectPr>
          <w:pgSz w:w="11900" w:h="16838" w:orient="portrait"/>
          <w:cols w:equalWidth="0" w:num="1">
            <w:col w:w="10320"/>
          </w:cols>
          <w:pgMar w:left="240" w:top="407" w:right="1339" w:bottom="1440" w:gutter="0" w:footer="0" w:header="0"/>
        </w:sectPr>
      </w:pPr>
    </w:p>
    <w:bookmarkStart w:id="35" w:name="page36"/>
    <w:bookmarkEnd w:id="35"/>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133350</wp:posOffset>
            </wp:positionH>
            <wp:positionV relativeFrom="page">
              <wp:posOffset>88900</wp:posOffset>
            </wp:positionV>
            <wp:extent cx="7308850" cy="342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308850" cy="34290"/>
                    </a:xfrm>
                    <a:prstGeom prst="rect">
                      <a:avLst/>
                    </a:prstGeom>
                    <a:noFill/>
                  </pic:spPr>
                </pic:pic>
              </a:graphicData>
            </a:graphic>
          </wp:anchor>
        </w:drawing>
      </w:r>
      <w:hyperlink w:anchor="page7">
        <w:r>
          <w:rPr>
            <w:rFonts w:ascii="Arial" w:cs="Arial" w:eastAsia="Arial" w:hAnsi="Arial"/>
            <w:sz w:val="15"/>
            <w:szCs w:val="15"/>
            <w:b w:val="1"/>
            <w:bCs w:val="1"/>
            <w:u w:val="single" w:color="auto"/>
            <w:color w:val="0000EE"/>
          </w:rPr>
          <w:t>Table of Contents</w:t>
        </w:r>
      </w:hyperlink>
    </w:p>
    <w:p>
      <w:pPr>
        <w:spacing w:after="0" w:line="260" w:lineRule="exact"/>
        <w:rPr>
          <w:sz w:val="20"/>
          <w:szCs w:val="20"/>
          <w:color w:val="auto"/>
        </w:rPr>
      </w:pPr>
    </w:p>
    <w:p>
      <w:pPr>
        <w:ind w:left="1120" w:right="20" w:firstLine="368"/>
        <w:spacing w:after="0" w:line="296" w:lineRule="auto"/>
        <w:rPr>
          <w:sz w:val="20"/>
          <w:szCs w:val="20"/>
          <w:color w:val="auto"/>
        </w:rPr>
      </w:pPr>
      <w:r>
        <w:rPr>
          <w:rFonts w:ascii="Arial" w:cs="Arial" w:eastAsia="Arial" w:hAnsi="Arial"/>
          <w:sz w:val="13"/>
          <w:szCs w:val="13"/>
          <w:color w:val="auto"/>
        </w:rPr>
        <w:t>We also expect that there will continue to be new laws, regulations, and industry standards concerning privacy, data protection, and information security proposed and enacted in various jurisdictions. For example, European legislators have adopted a General Data Protection Regulation, or GDPR, that will, when effective in May 2018, supersede current European Union, or EU, data protection legislation, impose more stringent EU data protection requirements, and provide for greater penalties for noncompliance. Further, following a referendum in June 2016 in which voters in the United Kingdom approved an exit from the EU, the United Kingdom government has initiated a process to leave the EU, or Brexit. Brexit has created uncertainty with regard to the regulation of data protection in the United Kingdom. In particular, it is unclear whether the United Kingdom will enact data protection laws or regulations designed to be consistent with the pending EU General Data Protection Regulation and how data transfers to and from the United Kingdom will be regulated. Additionally, although we have self-certified under the U.S.-EU and U.S.-Swiss Privacy Shield Frameworks with regard to our transfer of certain personal data from the EU and Switzerland to the United States, some regulatory uncertainty remains surrounding the future of data transfers from the EU and Switzerland to the United States, and we are closely monitoring regulatory developments in this area.</w:t>
      </w:r>
    </w:p>
    <w:p>
      <w:pPr>
        <w:spacing w:after="0" w:line="141" w:lineRule="exact"/>
        <w:rPr>
          <w:sz w:val="20"/>
          <w:szCs w:val="20"/>
          <w:color w:val="auto"/>
        </w:rPr>
      </w:pPr>
    </w:p>
    <w:p>
      <w:pPr>
        <w:ind w:left="1120" w:firstLine="368"/>
        <w:spacing w:after="0" w:line="255" w:lineRule="auto"/>
        <w:rPr>
          <w:sz w:val="20"/>
          <w:szCs w:val="20"/>
          <w:color w:val="auto"/>
        </w:rPr>
      </w:pPr>
      <w:r>
        <w:rPr>
          <w:rFonts w:ascii="Arial" w:cs="Arial" w:eastAsia="Arial" w:hAnsi="Arial"/>
          <w:sz w:val="15"/>
          <w:szCs w:val="15"/>
          <w:color w:val="auto"/>
        </w:rPr>
        <w:t>Any failure or perceived failure by us to comply with our privacy policies, our privacy-related obligations to users or other third parties, or any of our other legal obligations relating to privacy, data protection, or information security may result in governmental investigations or enforcement actions, litigation, claims, or public statements against us by consumer advocacy groups or others and could result in significant liability or cause our users to lose trust in us, which could have an adverse effect on our reputation and business. Furthermore, the costs of compliance with, and other burdens imposed by, the laws, regulations, and policies that are applicable to the businesses of our users may limit the adoption and use of, and reduce the overall demand for, our services.</w:t>
      </w:r>
    </w:p>
    <w:p>
      <w:pPr>
        <w:spacing w:after="0" w:line="164" w:lineRule="exact"/>
        <w:rPr>
          <w:sz w:val="20"/>
          <w:szCs w:val="20"/>
          <w:color w:val="auto"/>
        </w:rPr>
      </w:pPr>
    </w:p>
    <w:p>
      <w:pPr>
        <w:ind w:left="1120" w:firstLine="368"/>
        <w:spacing w:after="0" w:line="255" w:lineRule="auto"/>
        <w:rPr>
          <w:sz w:val="20"/>
          <w:szCs w:val="20"/>
          <w:color w:val="auto"/>
        </w:rPr>
      </w:pPr>
      <w:r>
        <w:rPr>
          <w:rFonts w:ascii="Arial" w:cs="Arial" w:eastAsia="Arial" w:hAnsi="Arial"/>
          <w:sz w:val="15"/>
          <w:szCs w:val="15"/>
          <w:color w:val="auto"/>
        </w:rPr>
        <w:t>Additionally, if third parties we work with, such as vendors or developers, violate applicable laws or regulations or our policies, such violations may also put our users’ content at risk and could in turn have an adverse effect on our business. Any significant change to applicable laws, regulations, or industry practices regarding the collection, use, retention, security, or disclosure of our users’ content, or regarding the manner in which the express or implied consent of users for the collection, use, retention, or disclosure of such content is obtained, could increase our costs and require us to modify our services and features, possibly in a material manner, which we may be unable to complete, and may limit our ability to store and process user data or develop new services and features.</w:t>
      </w:r>
    </w:p>
    <w:p>
      <w:pPr>
        <w:spacing w:after="0" w:line="254" w:lineRule="exact"/>
        <w:rPr>
          <w:sz w:val="20"/>
          <w:szCs w:val="20"/>
          <w:color w:val="auto"/>
        </w:rPr>
      </w:pPr>
    </w:p>
    <w:p>
      <w:pPr>
        <w:ind w:left="1120"/>
        <w:spacing w:after="0"/>
        <w:rPr>
          <w:sz w:val="20"/>
          <w:szCs w:val="20"/>
          <w:color w:val="auto"/>
        </w:rPr>
      </w:pPr>
      <w:r>
        <w:rPr>
          <w:rFonts w:ascii="Arial" w:cs="Arial" w:eastAsia="Arial" w:hAnsi="Arial"/>
          <w:sz w:val="14"/>
          <w:szCs w:val="14"/>
          <w:b w:val="1"/>
          <w:bCs w:val="1"/>
          <w:i w:val="1"/>
          <w:iCs w:val="1"/>
          <w:color w:val="auto"/>
        </w:rPr>
        <w:t>Our business could be adversely impacted by changes in internet access for our users or laws specifically governing the internet.</w:t>
      </w:r>
    </w:p>
    <w:p>
      <w:pPr>
        <w:spacing w:after="0" w:line="110" w:lineRule="exact"/>
        <w:rPr>
          <w:sz w:val="20"/>
          <w:szCs w:val="20"/>
          <w:color w:val="auto"/>
        </w:rPr>
      </w:pPr>
    </w:p>
    <w:p>
      <w:pPr>
        <w:jc w:val="both"/>
        <w:ind w:left="1120" w:right="40" w:firstLine="368"/>
        <w:spacing w:after="0" w:line="259" w:lineRule="auto"/>
        <w:rPr>
          <w:sz w:val="20"/>
          <w:szCs w:val="20"/>
          <w:color w:val="auto"/>
        </w:rPr>
      </w:pPr>
      <w:r>
        <w:rPr>
          <w:rFonts w:ascii="Arial" w:cs="Arial" w:eastAsia="Arial" w:hAnsi="Arial"/>
          <w:sz w:val="15"/>
          <w:szCs w:val="15"/>
          <w:color w:val="auto"/>
        </w:rPr>
        <w:t>Our platform depends on the quality of our users’ access to the internet. Certain features of our platform require significant bandwidth and fidelity to work effectively. Internet access is frequently provided by companies that have significant market power that could take actions that degrade, disrupt or increase the cost of user access to our platform, which would negatively impact our business. We could incur greater operating expenses and our user acquisition and retention could be negatively impacted if network operators:</w:t>
      </w:r>
    </w:p>
    <w:p>
      <w:pPr>
        <w:spacing w:after="0" w:line="79" w:lineRule="exact"/>
        <w:rPr>
          <w:sz w:val="20"/>
          <w:szCs w:val="20"/>
          <w:color w:val="auto"/>
        </w:rPr>
      </w:pPr>
    </w:p>
    <w:p>
      <w:pPr>
        <w:ind w:left="1840" w:hanging="276"/>
        <w:spacing w:after="0"/>
        <w:tabs>
          <w:tab w:leader="none" w:pos="1840" w:val="left"/>
        </w:tabs>
        <w:numPr>
          <w:ilvl w:val="0"/>
          <w:numId w:val="19"/>
        </w:numPr>
        <w:rPr>
          <w:rFonts w:ascii="Arial" w:cs="Arial" w:eastAsia="Arial" w:hAnsi="Arial"/>
          <w:sz w:val="15"/>
          <w:szCs w:val="15"/>
          <w:color w:val="auto"/>
        </w:rPr>
      </w:pPr>
      <w:r>
        <w:rPr>
          <w:rFonts w:ascii="Arial" w:cs="Arial" w:eastAsia="Arial" w:hAnsi="Arial"/>
          <w:sz w:val="15"/>
          <w:szCs w:val="15"/>
          <w:color w:val="auto"/>
        </w:rPr>
        <w:t>implement usage-based pricing;</w:t>
      </w:r>
    </w:p>
    <w:p>
      <w:pPr>
        <w:spacing w:after="0" w:line="109" w:lineRule="exact"/>
        <w:rPr>
          <w:rFonts w:ascii="Arial" w:cs="Arial" w:eastAsia="Arial" w:hAnsi="Arial"/>
          <w:sz w:val="15"/>
          <w:szCs w:val="15"/>
          <w:color w:val="auto"/>
        </w:rPr>
      </w:pPr>
    </w:p>
    <w:p>
      <w:pPr>
        <w:ind w:left="1840" w:hanging="276"/>
        <w:spacing w:after="0"/>
        <w:tabs>
          <w:tab w:leader="none" w:pos="1840" w:val="left"/>
        </w:tabs>
        <w:numPr>
          <w:ilvl w:val="0"/>
          <w:numId w:val="19"/>
        </w:numPr>
        <w:rPr>
          <w:rFonts w:ascii="Arial" w:cs="Arial" w:eastAsia="Arial" w:hAnsi="Arial"/>
          <w:sz w:val="15"/>
          <w:szCs w:val="15"/>
          <w:color w:val="auto"/>
        </w:rPr>
      </w:pPr>
      <w:r>
        <w:rPr>
          <w:rFonts w:ascii="Arial" w:cs="Arial" w:eastAsia="Arial" w:hAnsi="Arial"/>
          <w:sz w:val="15"/>
          <w:szCs w:val="15"/>
          <w:color w:val="auto"/>
        </w:rPr>
        <w:t>discount pricing for competitive products;</w:t>
      </w:r>
    </w:p>
    <w:p>
      <w:pPr>
        <w:spacing w:after="0" w:line="109" w:lineRule="exact"/>
        <w:rPr>
          <w:rFonts w:ascii="Arial" w:cs="Arial" w:eastAsia="Arial" w:hAnsi="Arial"/>
          <w:sz w:val="15"/>
          <w:szCs w:val="15"/>
          <w:color w:val="auto"/>
        </w:rPr>
      </w:pPr>
    </w:p>
    <w:p>
      <w:pPr>
        <w:ind w:left="1840" w:hanging="276"/>
        <w:spacing w:after="0"/>
        <w:tabs>
          <w:tab w:leader="none" w:pos="1840" w:val="left"/>
        </w:tabs>
        <w:numPr>
          <w:ilvl w:val="0"/>
          <w:numId w:val="19"/>
        </w:numPr>
        <w:rPr>
          <w:rFonts w:ascii="Arial" w:cs="Arial" w:eastAsia="Arial" w:hAnsi="Arial"/>
          <w:sz w:val="15"/>
          <w:szCs w:val="15"/>
          <w:color w:val="auto"/>
        </w:rPr>
      </w:pPr>
      <w:r>
        <w:rPr>
          <w:rFonts w:ascii="Arial" w:cs="Arial" w:eastAsia="Arial" w:hAnsi="Arial"/>
          <w:sz w:val="15"/>
          <w:szCs w:val="15"/>
          <w:color w:val="auto"/>
        </w:rPr>
        <w:t>otherwise materially change their pricing rates or schemes;</w:t>
      </w:r>
    </w:p>
    <w:p>
      <w:pPr>
        <w:spacing w:after="0" w:line="109" w:lineRule="exact"/>
        <w:rPr>
          <w:rFonts w:ascii="Arial" w:cs="Arial" w:eastAsia="Arial" w:hAnsi="Arial"/>
          <w:sz w:val="15"/>
          <w:szCs w:val="15"/>
          <w:color w:val="auto"/>
        </w:rPr>
      </w:pPr>
    </w:p>
    <w:p>
      <w:pPr>
        <w:ind w:left="1840" w:hanging="276"/>
        <w:spacing w:after="0"/>
        <w:tabs>
          <w:tab w:leader="none" w:pos="1840" w:val="left"/>
        </w:tabs>
        <w:numPr>
          <w:ilvl w:val="0"/>
          <w:numId w:val="19"/>
        </w:numPr>
        <w:rPr>
          <w:rFonts w:ascii="Arial" w:cs="Arial" w:eastAsia="Arial" w:hAnsi="Arial"/>
          <w:sz w:val="15"/>
          <w:szCs w:val="15"/>
          <w:color w:val="auto"/>
        </w:rPr>
      </w:pPr>
      <w:r>
        <w:rPr>
          <w:rFonts w:ascii="Arial" w:cs="Arial" w:eastAsia="Arial" w:hAnsi="Arial"/>
          <w:sz w:val="15"/>
          <w:szCs w:val="15"/>
          <w:color w:val="auto"/>
        </w:rPr>
        <w:t>charge us to deliver our traffic at certain levels or at all;</w:t>
      </w:r>
    </w:p>
    <w:p>
      <w:pPr>
        <w:spacing w:after="0" w:line="109" w:lineRule="exact"/>
        <w:rPr>
          <w:rFonts w:ascii="Arial" w:cs="Arial" w:eastAsia="Arial" w:hAnsi="Arial"/>
          <w:sz w:val="15"/>
          <w:szCs w:val="15"/>
          <w:color w:val="auto"/>
        </w:rPr>
      </w:pPr>
    </w:p>
    <w:p>
      <w:pPr>
        <w:ind w:left="1840" w:hanging="276"/>
        <w:spacing w:after="0"/>
        <w:tabs>
          <w:tab w:leader="none" w:pos="1840" w:val="left"/>
        </w:tabs>
        <w:numPr>
          <w:ilvl w:val="0"/>
          <w:numId w:val="19"/>
        </w:numPr>
        <w:rPr>
          <w:rFonts w:ascii="Arial" w:cs="Arial" w:eastAsia="Arial" w:hAnsi="Arial"/>
          <w:sz w:val="15"/>
          <w:szCs w:val="15"/>
          <w:color w:val="auto"/>
        </w:rPr>
      </w:pPr>
      <w:r>
        <w:rPr>
          <w:rFonts w:ascii="Arial" w:cs="Arial" w:eastAsia="Arial" w:hAnsi="Arial"/>
          <w:sz w:val="15"/>
          <w:szCs w:val="15"/>
          <w:color w:val="auto"/>
        </w:rPr>
        <w:t>throttle traffic based on its source or type;</w:t>
      </w:r>
    </w:p>
    <w:p>
      <w:pPr>
        <w:spacing w:after="0" w:line="109" w:lineRule="exact"/>
        <w:rPr>
          <w:rFonts w:ascii="Arial" w:cs="Arial" w:eastAsia="Arial" w:hAnsi="Arial"/>
          <w:sz w:val="15"/>
          <w:szCs w:val="15"/>
          <w:color w:val="auto"/>
        </w:rPr>
      </w:pPr>
    </w:p>
    <w:p>
      <w:pPr>
        <w:ind w:left="1840" w:hanging="276"/>
        <w:spacing w:after="0"/>
        <w:tabs>
          <w:tab w:leader="none" w:pos="1840" w:val="left"/>
        </w:tabs>
        <w:numPr>
          <w:ilvl w:val="0"/>
          <w:numId w:val="19"/>
        </w:numPr>
        <w:rPr>
          <w:rFonts w:ascii="Arial" w:cs="Arial" w:eastAsia="Arial" w:hAnsi="Arial"/>
          <w:sz w:val="15"/>
          <w:szCs w:val="15"/>
          <w:color w:val="auto"/>
        </w:rPr>
      </w:pPr>
      <w:r>
        <w:rPr>
          <w:rFonts w:ascii="Arial" w:cs="Arial" w:eastAsia="Arial" w:hAnsi="Arial"/>
          <w:sz w:val="15"/>
          <w:szCs w:val="15"/>
          <w:color w:val="auto"/>
        </w:rPr>
        <w:t>implement bandwidth caps or other usage restrictions; or</w:t>
      </w:r>
    </w:p>
    <w:p>
      <w:pPr>
        <w:spacing w:after="0" w:line="109" w:lineRule="exact"/>
        <w:rPr>
          <w:rFonts w:ascii="Arial" w:cs="Arial" w:eastAsia="Arial" w:hAnsi="Arial"/>
          <w:sz w:val="15"/>
          <w:szCs w:val="15"/>
          <w:color w:val="auto"/>
        </w:rPr>
      </w:pPr>
    </w:p>
    <w:p>
      <w:pPr>
        <w:ind w:left="1840" w:hanging="276"/>
        <w:spacing w:after="0"/>
        <w:tabs>
          <w:tab w:leader="none" w:pos="1840" w:val="left"/>
        </w:tabs>
        <w:numPr>
          <w:ilvl w:val="0"/>
          <w:numId w:val="19"/>
        </w:numPr>
        <w:rPr>
          <w:rFonts w:ascii="Arial" w:cs="Arial" w:eastAsia="Arial" w:hAnsi="Arial"/>
          <w:sz w:val="15"/>
          <w:szCs w:val="15"/>
          <w:color w:val="auto"/>
        </w:rPr>
      </w:pPr>
      <w:r>
        <w:rPr>
          <w:rFonts w:ascii="Arial" w:cs="Arial" w:eastAsia="Arial" w:hAnsi="Arial"/>
          <w:sz w:val="15"/>
          <w:szCs w:val="15"/>
          <w:color w:val="auto"/>
        </w:rPr>
        <w:t>otherwise try to monetize or control access to their networks.</w:t>
      </w:r>
    </w:p>
    <w:p>
      <w:pPr>
        <w:spacing w:after="0" w:line="132" w:lineRule="exact"/>
        <w:rPr>
          <w:sz w:val="20"/>
          <w:szCs w:val="20"/>
          <w:color w:val="auto"/>
        </w:rPr>
      </w:pPr>
    </w:p>
    <w:p>
      <w:pPr>
        <w:ind w:left="5640"/>
        <w:spacing w:after="0"/>
        <w:rPr>
          <w:sz w:val="20"/>
          <w:szCs w:val="20"/>
          <w:color w:val="auto"/>
        </w:rPr>
      </w:pPr>
      <w:r>
        <w:rPr>
          <w:rFonts w:ascii="Arial" w:cs="Arial" w:eastAsia="Arial" w:hAnsi="Arial"/>
          <w:sz w:val="15"/>
          <w:szCs w:val="15"/>
          <w:color w:val="auto"/>
        </w:rPr>
        <w:t>29</w:t>
      </w:r>
    </w:p>
    <w:p>
      <w:pPr>
        <w:sectPr>
          <w:pgSz w:w="11900" w:h="16838" w:orient="portrait"/>
          <w:cols w:equalWidth="0" w:num="1">
            <w:col w:w="10320"/>
          </w:cols>
          <w:pgMar w:left="240" w:top="407" w:right="1339" w:bottom="1440" w:gutter="0" w:footer="0" w:header="0"/>
        </w:sectPr>
      </w:pPr>
    </w:p>
    <w:bookmarkStart w:id="36" w:name="page37"/>
    <w:bookmarkEnd w:id="36"/>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133350</wp:posOffset>
            </wp:positionH>
            <wp:positionV relativeFrom="page">
              <wp:posOffset>88900</wp:posOffset>
            </wp:positionV>
            <wp:extent cx="7308850" cy="342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308850" cy="34290"/>
                    </a:xfrm>
                    <a:prstGeom prst="rect">
                      <a:avLst/>
                    </a:prstGeom>
                    <a:noFill/>
                  </pic:spPr>
                </pic:pic>
              </a:graphicData>
            </a:graphic>
          </wp:anchor>
        </w:drawing>
      </w:r>
      <w:hyperlink w:anchor="page7">
        <w:r>
          <w:rPr>
            <w:rFonts w:ascii="Arial" w:cs="Arial" w:eastAsia="Arial" w:hAnsi="Arial"/>
            <w:sz w:val="15"/>
            <w:szCs w:val="15"/>
            <w:b w:val="1"/>
            <w:bCs w:val="1"/>
            <w:u w:val="single" w:color="auto"/>
            <w:color w:val="0000EE"/>
          </w:rPr>
          <w:t>Table of Contents</w:t>
        </w:r>
      </w:hyperlink>
    </w:p>
    <w:p>
      <w:pPr>
        <w:spacing w:after="0" w:line="260" w:lineRule="exact"/>
        <w:rPr>
          <w:sz w:val="20"/>
          <w:szCs w:val="20"/>
          <w:color w:val="auto"/>
        </w:rPr>
      </w:pPr>
    </w:p>
    <w:p>
      <w:pPr>
        <w:ind w:left="1120" w:right="20" w:firstLine="368"/>
        <w:spacing w:after="0" w:line="257" w:lineRule="auto"/>
        <w:rPr>
          <w:sz w:val="20"/>
          <w:szCs w:val="20"/>
          <w:color w:val="auto"/>
        </w:rPr>
      </w:pPr>
      <w:r>
        <w:rPr>
          <w:rFonts w:ascii="Arial" w:cs="Arial" w:eastAsia="Arial" w:hAnsi="Arial"/>
          <w:sz w:val="15"/>
          <w:szCs w:val="15"/>
          <w:color w:val="auto"/>
        </w:rPr>
        <w:t>On December 14, 2017, the Federal Communications Commission voted to repeal the “net neutrality” rules and return to a “light-touch” regulatory framework. However, the repeal has not yet taken effect and a number of parties have already stated their intent to appeal this order; thus, the future impact of such repeal and any challenge thereto remains uncertain. The rules were designed to ensure that all online content is treated the same by internet service providers and other companies that provide broadband services. Should the repeal of net neutrality rules take effect, we could incur greater operating expenses, which could harm our results of operations.</w:t>
      </w:r>
    </w:p>
    <w:p>
      <w:pPr>
        <w:spacing w:after="0" w:line="159" w:lineRule="exact"/>
        <w:rPr>
          <w:sz w:val="20"/>
          <w:szCs w:val="20"/>
          <w:color w:val="auto"/>
        </w:rPr>
      </w:pPr>
    </w:p>
    <w:p>
      <w:pPr>
        <w:jc w:val="both"/>
        <w:ind w:left="1120" w:right="20" w:firstLine="368"/>
        <w:spacing w:after="0" w:line="263" w:lineRule="auto"/>
        <w:rPr>
          <w:sz w:val="20"/>
          <w:szCs w:val="20"/>
          <w:color w:val="auto"/>
        </w:rPr>
      </w:pPr>
      <w:r>
        <w:rPr>
          <w:rFonts w:ascii="Arial" w:cs="Arial" w:eastAsia="Arial" w:hAnsi="Arial"/>
          <w:sz w:val="15"/>
          <w:szCs w:val="15"/>
          <w:color w:val="auto"/>
        </w:rPr>
        <w:t>As the internet continues to experience growth in the number of users, frequency of use, and amount of data transmitted, the internet infrastructure that we and our users rely on may be unable to support the demands placed upon it. The failure of the internet infrastructure that we or our users rely on, even for a short period of time, could undermine our operations and harm our results of operations.</w:t>
      </w:r>
    </w:p>
    <w:p>
      <w:pPr>
        <w:spacing w:after="0" w:line="155" w:lineRule="exact"/>
        <w:rPr>
          <w:sz w:val="20"/>
          <w:szCs w:val="20"/>
          <w:color w:val="auto"/>
        </w:rPr>
      </w:pPr>
    </w:p>
    <w:p>
      <w:pPr>
        <w:ind w:left="1120" w:firstLine="368"/>
        <w:spacing w:after="0" w:line="255" w:lineRule="auto"/>
        <w:rPr>
          <w:sz w:val="20"/>
          <w:szCs w:val="20"/>
          <w:color w:val="auto"/>
        </w:rPr>
      </w:pPr>
      <w:r>
        <w:rPr>
          <w:rFonts w:ascii="Arial" w:cs="Arial" w:eastAsia="Arial" w:hAnsi="Arial"/>
          <w:sz w:val="15"/>
          <w:szCs w:val="15"/>
          <w:color w:val="auto"/>
        </w:rPr>
        <w:t>In addition, there are various laws and regulations that could impede the growth of the internet or other online services, and new laws and regulations may be adopted in the future. These laws and regulations could, in addition to limiting internet neutrality, involve taxation, tariffs, privacy, data protection, content, copyrights, distribution, electronic contracts and other communications, consumer protection, and the characteristics and quality of services, any of which could decrease the demand for, or the usage of, our platform. Legislators and regulators may make legal and regulatory changes, or interpret and apply existing laws, in ways that require us to incur substantial costs, expose us to unanticipated civil or criminal liability, or cause us to change our business practices. These changes or increased costs could materially harm our business, results of operations, and financial condition.</w:t>
      </w:r>
    </w:p>
    <w:p>
      <w:pPr>
        <w:spacing w:after="0" w:line="251" w:lineRule="exact"/>
        <w:rPr>
          <w:sz w:val="20"/>
          <w:szCs w:val="20"/>
          <w:color w:val="auto"/>
        </w:rPr>
      </w:pPr>
    </w:p>
    <w:p>
      <w:pPr>
        <w:ind w:left="1120" w:right="260"/>
        <w:spacing w:after="0" w:line="275" w:lineRule="auto"/>
        <w:rPr>
          <w:sz w:val="20"/>
          <w:szCs w:val="20"/>
          <w:color w:val="auto"/>
        </w:rPr>
      </w:pPr>
      <w:r>
        <w:rPr>
          <w:rFonts w:ascii="Arial" w:cs="Arial" w:eastAsia="Arial" w:hAnsi="Arial"/>
          <w:sz w:val="15"/>
          <w:szCs w:val="15"/>
          <w:b w:val="1"/>
          <w:bCs w:val="1"/>
          <w:i w:val="1"/>
          <w:iCs w:val="1"/>
          <w:color w:val="auto"/>
        </w:rPr>
        <w:t>We are currently, and may be in the future, party to intellectual property rights claims and other litigation matters and, if resolved adversely, they could have a significant impact on our business, results of operations, or financial condition.</w:t>
      </w:r>
    </w:p>
    <w:p>
      <w:pPr>
        <w:spacing w:after="0" w:line="56" w:lineRule="exact"/>
        <w:rPr>
          <w:sz w:val="20"/>
          <w:szCs w:val="20"/>
          <w:color w:val="auto"/>
        </w:rPr>
      </w:pPr>
    </w:p>
    <w:p>
      <w:pPr>
        <w:ind w:left="1120" w:right="40" w:firstLine="368"/>
        <w:spacing w:after="0" w:line="295" w:lineRule="auto"/>
        <w:rPr>
          <w:sz w:val="20"/>
          <w:szCs w:val="20"/>
          <w:color w:val="auto"/>
        </w:rPr>
      </w:pPr>
      <w:r>
        <w:rPr>
          <w:rFonts w:ascii="Arial" w:cs="Arial" w:eastAsia="Arial" w:hAnsi="Arial"/>
          <w:sz w:val="13"/>
          <w:szCs w:val="13"/>
          <w:color w:val="auto"/>
        </w:rPr>
        <w:t>We own a large number of patents, copyrights, trademarks, domain names, and trade secrets and, from time to time, are subject to litigation based on allegations of infringement, misappropriation or other violations of intellectual property, or other rights. As we face increasing competition and gain an increasingly high profile, the possibility of intellectual property rights claims, commercial claims, and other assertions against us grows. We have in the past been, are currently, and may from time to time in the future become, a party to litigation and disputes related to our intellectual property, our business practices, and our platform. The costs of supporting litigation and dispute resolution proceedings are considerable, and there can be no assurances that a favorable outcome will be obtained. We may need to settle litigation and disputes on terms that are unfavorable to us, or we may be subject to an unfavorable judgment that may not be reversible upon appeal. The terms of any settlement or judgment may require us to cease some or all of our operations or pay substantial amounts to the other party. With respect to any intellectual property rights claim, we may have to seek a license to continue practices found to be in violation of third-party rights, which may not be available on reasonable terms and may significantly increase our operating expenses. A license to continue such practices may not be available to us at all, and we may be required to develop alternative non-infringing technology or practices or discontinue the practices. The development of alternative, non-infringing technology or practices could require significant effort and expense. Our business, results of operations, and financial condition could be materially and adversely affected as a result.</w:t>
      </w:r>
    </w:p>
    <w:p>
      <w:pPr>
        <w:spacing w:after="0" w:line="231" w:lineRule="exact"/>
        <w:rPr>
          <w:sz w:val="20"/>
          <w:szCs w:val="20"/>
          <w:color w:val="auto"/>
        </w:rPr>
      </w:pPr>
    </w:p>
    <w:p>
      <w:pPr>
        <w:ind w:left="1120"/>
        <w:spacing w:after="0"/>
        <w:rPr>
          <w:sz w:val="20"/>
          <w:szCs w:val="20"/>
          <w:color w:val="auto"/>
        </w:rPr>
      </w:pPr>
      <w:r>
        <w:rPr>
          <w:rFonts w:ascii="Arial" w:cs="Arial" w:eastAsia="Arial" w:hAnsi="Arial"/>
          <w:sz w:val="14"/>
          <w:szCs w:val="14"/>
          <w:b w:val="1"/>
          <w:bCs w:val="1"/>
          <w:i w:val="1"/>
          <w:iCs w:val="1"/>
          <w:color w:val="auto"/>
        </w:rPr>
        <w:t>Our failure to protect our intellectual property rights and proprietary information could diminish our brand and other intangible assets.</w:t>
      </w:r>
    </w:p>
    <w:p>
      <w:pPr>
        <w:spacing w:after="0" w:line="110" w:lineRule="exact"/>
        <w:rPr>
          <w:sz w:val="20"/>
          <w:szCs w:val="20"/>
          <w:color w:val="auto"/>
        </w:rPr>
      </w:pPr>
    </w:p>
    <w:p>
      <w:pPr>
        <w:ind w:left="1120" w:right="100" w:firstLine="368"/>
        <w:spacing w:after="0" w:line="283" w:lineRule="auto"/>
        <w:rPr>
          <w:sz w:val="20"/>
          <w:szCs w:val="20"/>
          <w:color w:val="auto"/>
        </w:rPr>
      </w:pPr>
      <w:r>
        <w:rPr>
          <w:rFonts w:ascii="Arial" w:cs="Arial" w:eastAsia="Arial" w:hAnsi="Arial"/>
          <w:sz w:val="14"/>
          <w:szCs w:val="14"/>
          <w:color w:val="auto"/>
        </w:rPr>
        <w:t>We rely and expect to continue to rely on a combination of patent, patent licenses, trade secret, and domain name protection, trademark, and copyright laws, as well as confidentiality and license agreements with our employees, consultants, and third parties, to protect our intellectual property and proprietary rights. In the United States and abroad, we have over 600 issued patents and more than 600 pending patent applications. However, third parties may knowingly or unknowingly infringe our proprietary rights, third parties may challenge our</w:t>
      </w:r>
    </w:p>
    <w:p>
      <w:pPr>
        <w:spacing w:after="0" w:line="87" w:lineRule="exact"/>
        <w:rPr>
          <w:sz w:val="20"/>
          <w:szCs w:val="20"/>
          <w:color w:val="auto"/>
        </w:rPr>
      </w:pPr>
    </w:p>
    <w:p>
      <w:pPr>
        <w:ind w:left="5640"/>
        <w:spacing w:after="0"/>
        <w:rPr>
          <w:sz w:val="20"/>
          <w:szCs w:val="20"/>
          <w:color w:val="auto"/>
        </w:rPr>
      </w:pPr>
      <w:r>
        <w:rPr>
          <w:rFonts w:ascii="Arial" w:cs="Arial" w:eastAsia="Arial" w:hAnsi="Arial"/>
          <w:sz w:val="15"/>
          <w:szCs w:val="15"/>
          <w:color w:val="auto"/>
        </w:rPr>
        <w:t>30</w:t>
      </w:r>
    </w:p>
    <w:p>
      <w:pPr>
        <w:sectPr>
          <w:pgSz w:w="11900" w:h="16838" w:orient="portrait"/>
          <w:cols w:equalWidth="0" w:num="1">
            <w:col w:w="10320"/>
          </w:cols>
          <w:pgMar w:left="240" w:top="407" w:right="1339" w:bottom="1440" w:gutter="0" w:footer="0" w:header="0"/>
        </w:sectPr>
      </w:pPr>
    </w:p>
    <w:bookmarkStart w:id="37" w:name="page38"/>
    <w:bookmarkEnd w:id="37"/>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133350</wp:posOffset>
            </wp:positionH>
            <wp:positionV relativeFrom="page">
              <wp:posOffset>88900</wp:posOffset>
            </wp:positionV>
            <wp:extent cx="7308850" cy="342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308850" cy="34290"/>
                    </a:xfrm>
                    <a:prstGeom prst="rect">
                      <a:avLst/>
                    </a:prstGeom>
                    <a:noFill/>
                  </pic:spPr>
                </pic:pic>
              </a:graphicData>
            </a:graphic>
          </wp:anchor>
        </w:drawing>
      </w:r>
      <w:hyperlink w:anchor="page7">
        <w:r>
          <w:rPr>
            <w:rFonts w:ascii="Arial" w:cs="Arial" w:eastAsia="Arial" w:hAnsi="Arial"/>
            <w:sz w:val="15"/>
            <w:szCs w:val="15"/>
            <w:b w:val="1"/>
            <w:bCs w:val="1"/>
            <w:u w:val="single" w:color="auto"/>
            <w:color w:val="0000EE"/>
          </w:rPr>
          <w:t>Table of Contents</w:t>
        </w:r>
      </w:hyperlink>
    </w:p>
    <w:p>
      <w:pPr>
        <w:spacing w:after="0" w:line="260" w:lineRule="exact"/>
        <w:rPr>
          <w:sz w:val="20"/>
          <w:szCs w:val="20"/>
          <w:color w:val="auto"/>
        </w:rPr>
      </w:pPr>
    </w:p>
    <w:p>
      <w:pPr>
        <w:ind w:left="1120" w:right="40"/>
        <w:spacing w:after="0" w:line="272" w:lineRule="auto"/>
        <w:rPr>
          <w:sz w:val="20"/>
          <w:szCs w:val="20"/>
          <w:color w:val="auto"/>
        </w:rPr>
      </w:pPr>
      <w:r>
        <w:rPr>
          <w:rFonts w:ascii="Arial" w:cs="Arial" w:eastAsia="Arial" w:hAnsi="Arial"/>
          <w:sz w:val="14"/>
          <w:szCs w:val="14"/>
          <w:color w:val="auto"/>
        </w:rPr>
        <w:t>proprietary rights, pending and future patent, trademark, and copyright applications may not be approved, and we may not be able to prevent infringement without incurring substantial expense. We have also devoted substantial resources to the development of our proprietary technologies and related processes. In order to protect our proprietary technologies and processes, we rely in part on trade secret laws and confidentiality agreements with our employees, consultants, and third parties. These agreements may not effectively prevent disclosure of confidential information and may not provide an adequate remedy in the event of unauthorized disclosure of confidential information. In addition, others may independently discover our trade secrets, in which case we would not be able to assert trade secret rights, or develop similar technologies and processes. Further, laws in certain jurisdictions may afford little or no trade secret protection, and any changes in, or unexpected interpretations of, the intellectual property laws in any country in which we operate may compromise our ability to enforce our intellectual property rights. Costly and time-consuming litigation could be necessary to enforce and determine the scope of our proprietary rights. If the protection of our proprietary rights is inadequate to prevent use or appropriation by third parties, the value of our platform, brand, and other intangible assets may be diminished and competitors may be able to more effectively replicate our platform and its features. Any of these events could materially and adversely affect our business, results of operations, and financial condition.</w:t>
      </w:r>
    </w:p>
    <w:p>
      <w:pPr>
        <w:spacing w:after="0" w:line="247" w:lineRule="exact"/>
        <w:rPr>
          <w:sz w:val="20"/>
          <w:szCs w:val="20"/>
          <w:color w:val="auto"/>
        </w:rPr>
      </w:pPr>
    </w:p>
    <w:p>
      <w:pPr>
        <w:jc w:val="right"/>
        <w:spacing w:after="0"/>
        <w:rPr>
          <w:sz w:val="20"/>
          <w:szCs w:val="20"/>
          <w:color w:val="auto"/>
        </w:rPr>
      </w:pPr>
      <w:r>
        <w:rPr>
          <w:rFonts w:ascii="Arial" w:cs="Arial" w:eastAsia="Arial" w:hAnsi="Arial"/>
          <w:sz w:val="14"/>
          <w:szCs w:val="14"/>
          <w:b w:val="1"/>
          <w:bCs w:val="1"/>
          <w:i w:val="1"/>
          <w:iCs w:val="1"/>
          <w:color w:val="auto"/>
        </w:rPr>
        <w:t>Our use of open source software could negatively affect our ability to offer and sell subscriptions to our platform and subject us to possible litigation.</w:t>
      </w:r>
    </w:p>
    <w:p>
      <w:pPr>
        <w:spacing w:after="0" w:line="110" w:lineRule="exact"/>
        <w:rPr>
          <w:sz w:val="20"/>
          <w:szCs w:val="20"/>
          <w:color w:val="auto"/>
        </w:rPr>
      </w:pPr>
    </w:p>
    <w:p>
      <w:pPr>
        <w:ind w:left="1120" w:right="80" w:firstLine="368"/>
        <w:spacing w:after="0" w:line="273" w:lineRule="auto"/>
        <w:rPr>
          <w:sz w:val="20"/>
          <w:szCs w:val="20"/>
          <w:color w:val="auto"/>
        </w:rPr>
      </w:pPr>
      <w:r>
        <w:rPr>
          <w:rFonts w:ascii="Arial" w:cs="Arial" w:eastAsia="Arial" w:hAnsi="Arial"/>
          <w:sz w:val="14"/>
          <w:szCs w:val="14"/>
          <w:color w:val="auto"/>
        </w:rPr>
        <w:t>A portion of the technologies we use incorporates open source software, and we may incorporate open source software in the future. Open source software is generally licensed by its authors or other third parties under open source licenses. These licenses may subject us to certain unfavorable conditions, including requirements that we offer our platform that incorporates the open source software for no cost, that we make publicly available source code for modifications or derivative works we create based upon, incorporating or using the open source software, and/or that we license such modifications or derivative works under the terms of the particular open source license. Additionally, if a third-party software provider has incorporated open source software into software that we license from such provider, we could be required to disclose any of our source code that incorporates or is a modification of our licensed software. If an author or other third party that distributes open source software that we use or license were to allege that we had not complied with the conditions of the applicable license, we could be required to incur significant legal expenses defending against those allegations and could be subject to significant damages, enjoined from offering or selling our solutions that contained the open source software, and required to comply with the foregoing conditions. Any of the foregoing could disrupt and harm our business, results of operations, and financial condition.</w:t>
      </w:r>
    </w:p>
    <w:p>
      <w:pPr>
        <w:spacing w:after="0" w:line="241" w:lineRule="exact"/>
        <w:rPr>
          <w:sz w:val="20"/>
          <w:szCs w:val="20"/>
          <w:color w:val="auto"/>
        </w:rPr>
      </w:pPr>
    </w:p>
    <w:p>
      <w:pPr>
        <w:ind w:left="1120"/>
        <w:spacing w:after="0"/>
        <w:rPr>
          <w:sz w:val="20"/>
          <w:szCs w:val="20"/>
          <w:color w:val="auto"/>
        </w:rPr>
      </w:pPr>
      <w:r>
        <w:rPr>
          <w:rFonts w:ascii="Arial" w:cs="Arial" w:eastAsia="Arial" w:hAnsi="Arial"/>
          <w:sz w:val="15"/>
          <w:szCs w:val="15"/>
          <w:b w:val="1"/>
          <w:bCs w:val="1"/>
          <w:i w:val="1"/>
          <w:iCs w:val="1"/>
          <w:color w:val="auto"/>
        </w:rPr>
        <w:t>Our ability to sell subscriptions to our platform could be harmed by real or perceived material defects or errors in our platform.</w:t>
      </w:r>
    </w:p>
    <w:p>
      <w:pPr>
        <w:spacing w:after="0" w:line="98" w:lineRule="exact"/>
        <w:rPr>
          <w:sz w:val="20"/>
          <w:szCs w:val="20"/>
          <w:color w:val="auto"/>
        </w:rPr>
      </w:pPr>
    </w:p>
    <w:p>
      <w:pPr>
        <w:ind w:left="1120" w:right="20" w:firstLine="368"/>
        <w:spacing w:after="0" w:line="300" w:lineRule="auto"/>
        <w:rPr>
          <w:sz w:val="20"/>
          <w:szCs w:val="20"/>
          <w:color w:val="auto"/>
        </w:rPr>
      </w:pPr>
      <w:r>
        <w:rPr>
          <w:rFonts w:ascii="Arial" w:cs="Arial" w:eastAsia="Arial" w:hAnsi="Arial"/>
          <w:sz w:val="13"/>
          <w:szCs w:val="13"/>
          <w:color w:val="auto"/>
        </w:rPr>
        <w:t>The software technology underlying our platform is inherently complex and may contain material defects or errors, particularly when first introduced or when new features or capabilities are released. We have from time to time found defects or errors in our platform, and new defects or errors in our existing platform or new software may be detected in the future by us or our users. There can be no assurance that our existing platform and new software will not contain defects. Any real or perceived errors, failures, vulnerabilities, or bugs in our platform could result in negative publicity or lead to data security, access, retention, or other performance issues, all of which could harm our business. The costs incurred in correcting such defects or errors may be substantial and could harm our results of operations and financial condition. Moreover, the harm to our reputation and legal liability related to such defects or errors may be substantial and could harm our business, results of operations, and financial condition.</w:t>
      </w:r>
    </w:p>
    <w:p>
      <w:pPr>
        <w:spacing w:after="0" w:line="136" w:lineRule="exact"/>
        <w:rPr>
          <w:sz w:val="20"/>
          <w:szCs w:val="20"/>
          <w:color w:val="auto"/>
        </w:rPr>
      </w:pPr>
    </w:p>
    <w:p>
      <w:pPr>
        <w:ind w:left="1120" w:right="500" w:firstLine="368"/>
        <w:spacing w:after="0" w:line="263" w:lineRule="auto"/>
        <w:rPr>
          <w:sz w:val="20"/>
          <w:szCs w:val="20"/>
          <w:color w:val="auto"/>
        </w:rPr>
      </w:pPr>
      <w:r>
        <w:rPr>
          <w:rFonts w:ascii="Arial" w:cs="Arial" w:eastAsia="Arial" w:hAnsi="Arial"/>
          <w:sz w:val="15"/>
          <w:szCs w:val="15"/>
          <w:color w:val="auto"/>
        </w:rPr>
        <w:t>We also utilize hardware purchased or leased and software and services licensed from third parties to offer our platform. Any defects in, or unavailability of, our or third-party software, services, or hardware that cause interruptions to the availability of our services, loss of data, or performance issues could, among other things:</w:t>
      </w:r>
    </w:p>
    <w:p>
      <w:pPr>
        <w:spacing w:after="0" w:line="76" w:lineRule="exact"/>
        <w:rPr>
          <w:sz w:val="20"/>
          <w:szCs w:val="20"/>
          <w:color w:val="auto"/>
        </w:rPr>
      </w:pPr>
    </w:p>
    <w:p>
      <w:pPr>
        <w:ind w:left="5640" w:right="3940" w:hanging="4076"/>
        <w:spacing w:after="0" w:line="497" w:lineRule="auto"/>
        <w:tabs>
          <w:tab w:leader="none" w:pos="1835" w:val="left"/>
        </w:tabs>
        <w:numPr>
          <w:ilvl w:val="0"/>
          <w:numId w:val="20"/>
        </w:numPr>
        <w:rPr>
          <w:rFonts w:ascii="Arial" w:cs="Arial" w:eastAsia="Arial" w:hAnsi="Arial"/>
          <w:sz w:val="14"/>
          <w:szCs w:val="14"/>
          <w:color w:val="auto"/>
        </w:rPr>
      </w:pPr>
      <w:r>
        <w:rPr>
          <w:rFonts w:ascii="Arial" w:cs="Arial" w:eastAsia="Arial" w:hAnsi="Arial"/>
          <w:sz w:val="14"/>
          <w:szCs w:val="14"/>
          <w:color w:val="auto"/>
        </w:rPr>
        <w:t>cause a reduction in revenue or delay in market acceptance of our platform; 31</w:t>
      </w:r>
    </w:p>
    <w:p>
      <w:pPr>
        <w:sectPr>
          <w:pgSz w:w="11900" w:h="16838" w:orient="portrait"/>
          <w:cols w:equalWidth="0" w:num="1">
            <w:col w:w="10320"/>
          </w:cols>
          <w:pgMar w:left="240" w:top="407" w:right="1339" w:bottom="1440" w:gutter="0" w:footer="0" w:header="0"/>
        </w:sectPr>
      </w:pPr>
    </w:p>
    <w:bookmarkStart w:id="38" w:name="page39"/>
    <w:bookmarkEnd w:id="38"/>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133350</wp:posOffset>
            </wp:positionH>
            <wp:positionV relativeFrom="page">
              <wp:posOffset>88900</wp:posOffset>
            </wp:positionV>
            <wp:extent cx="7308850" cy="342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308850" cy="34290"/>
                    </a:xfrm>
                    <a:prstGeom prst="rect">
                      <a:avLst/>
                    </a:prstGeom>
                    <a:noFill/>
                  </pic:spPr>
                </pic:pic>
              </a:graphicData>
            </a:graphic>
          </wp:anchor>
        </w:drawing>
      </w:r>
      <w:hyperlink w:anchor="page7">
        <w:r>
          <w:rPr>
            <w:rFonts w:ascii="Arial" w:cs="Arial" w:eastAsia="Arial" w:hAnsi="Arial"/>
            <w:sz w:val="15"/>
            <w:szCs w:val="15"/>
            <w:b w:val="1"/>
            <w:bCs w:val="1"/>
            <w:u w:val="single" w:color="auto"/>
            <w:color w:val="0000EE"/>
          </w:rPr>
          <w:t>Table of Contents</w:t>
        </w:r>
      </w:hyperlink>
    </w:p>
    <w:p>
      <w:pPr>
        <w:spacing w:after="0" w:line="260" w:lineRule="exact"/>
        <w:rPr>
          <w:sz w:val="20"/>
          <w:szCs w:val="20"/>
          <w:color w:val="auto"/>
        </w:rPr>
      </w:pPr>
    </w:p>
    <w:p>
      <w:pPr>
        <w:ind w:left="1840" w:hanging="276"/>
        <w:spacing w:after="0"/>
        <w:tabs>
          <w:tab w:leader="none" w:pos="1840" w:val="left"/>
        </w:tabs>
        <w:numPr>
          <w:ilvl w:val="0"/>
          <w:numId w:val="21"/>
        </w:numPr>
        <w:rPr>
          <w:rFonts w:ascii="Arial" w:cs="Arial" w:eastAsia="Arial" w:hAnsi="Arial"/>
          <w:sz w:val="15"/>
          <w:szCs w:val="15"/>
          <w:color w:val="auto"/>
        </w:rPr>
      </w:pPr>
      <w:r>
        <w:rPr>
          <w:rFonts w:ascii="Arial" w:cs="Arial" w:eastAsia="Arial" w:hAnsi="Arial"/>
          <w:sz w:val="15"/>
          <w:szCs w:val="15"/>
          <w:color w:val="auto"/>
        </w:rPr>
        <w:t>require us to issue refunds to our users or expose us to claims for damages;</w:t>
      </w:r>
    </w:p>
    <w:p>
      <w:pPr>
        <w:spacing w:after="0" w:line="109" w:lineRule="exact"/>
        <w:rPr>
          <w:rFonts w:ascii="Arial" w:cs="Arial" w:eastAsia="Arial" w:hAnsi="Arial"/>
          <w:sz w:val="15"/>
          <w:szCs w:val="15"/>
          <w:color w:val="auto"/>
        </w:rPr>
      </w:pPr>
    </w:p>
    <w:p>
      <w:pPr>
        <w:ind w:left="1840" w:hanging="276"/>
        <w:spacing w:after="0"/>
        <w:tabs>
          <w:tab w:leader="none" w:pos="1840" w:val="left"/>
        </w:tabs>
        <w:numPr>
          <w:ilvl w:val="0"/>
          <w:numId w:val="21"/>
        </w:numPr>
        <w:rPr>
          <w:rFonts w:ascii="Arial" w:cs="Arial" w:eastAsia="Arial" w:hAnsi="Arial"/>
          <w:sz w:val="15"/>
          <w:szCs w:val="15"/>
          <w:color w:val="auto"/>
        </w:rPr>
      </w:pPr>
      <w:r>
        <w:rPr>
          <w:rFonts w:ascii="Arial" w:cs="Arial" w:eastAsia="Arial" w:hAnsi="Arial"/>
          <w:sz w:val="15"/>
          <w:szCs w:val="15"/>
          <w:color w:val="auto"/>
        </w:rPr>
        <w:t>cause us to lose existing users and make it more difficult to attract new users;</w:t>
      </w:r>
    </w:p>
    <w:p>
      <w:pPr>
        <w:spacing w:after="0" w:line="109" w:lineRule="exact"/>
        <w:rPr>
          <w:rFonts w:ascii="Arial" w:cs="Arial" w:eastAsia="Arial" w:hAnsi="Arial"/>
          <w:sz w:val="15"/>
          <w:szCs w:val="15"/>
          <w:color w:val="auto"/>
        </w:rPr>
      </w:pPr>
    </w:p>
    <w:p>
      <w:pPr>
        <w:ind w:left="1840" w:hanging="276"/>
        <w:spacing w:after="0"/>
        <w:tabs>
          <w:tab w:leader="none" w:pos="1840" w:val="left"/>
        </w:tabs>
        <w:numPr>
          <w:ilvl w:val="0"/>
          <w:numId w:val="21"/>
        </w:numPr>
        <w:rPr>
          <w:rFonts w:ascii="Arial" w:cs="Arial" w:eastAsia="Arial" w:hAnsi="Arial"/>
          <w:sz w:val="14"/>
          <w:szCs w:val="14"/>
          <w:color w:val="auto"/>
        </w:rPr>
      </w:pPr>
      <w:r>
        <w:rPr>
          <w:rFonts w:ascii="Arial" w:cs="Arial" w:eastAsia="Arial" w:hAnsi="Arial"/>
          <w:sz w:val="14"/>
          <w:szCs w:val="14"/>
          <w:color w:val="auto"/>
        </w:rPr>
        <w:t>divert our development resources or require us to make extensive changes to our platform, which would increase our expenses;</w:t>
      </w:r>
    </w:p>
    <w:p>
      <w:pPr>
        <w:spacing w:after="0" w:line="120" w:lineRule="exact"/>
        <w:rPr>
          <w:rFonts w:ascii="Arial" w:cs="Arial" w:eastAsia="Arial" w:hAnsi="Arial"/>
          <w:sz w:val="14"/>
          <w:szCs w:val="14"/>
          <w:color w:val="auto"/>
        </w:rPr>
      </w:pPr>
    </w:p>
    <w:p>
      <w:pPr>
        <w:ind w:left="1840" w:hanging="276"/>
        <w:spacing w:after="0"/>
        <w:tabs>
          <w:tab w:leader="none" w:pos="1840" w:val="left"/>
        </w:tabs>
        <w:numPr>
          <w:ilvl w:val="0"/>
          <w:numId w:val="21"/>
        </w:numPr>
        <w:rPr>
          <w:rFonts w:ascii="Arial" w:cs="Arial" w:eastAsia="Arial" w:hAnsi="Arial"/>
          <w:sz w:val="15"/>
          <w:szCs w:val="15"/>
          <w:color w:val="auto"/>
        </w:rPr>
      </w:pPr>
      <w:r>
        <w:rPr>
          <w:rFonts w:ascii="Arial" w:cs="Arial" w:eastAsia="Arial" w:hAnsi="Arial"/>
          <w:sz w:val="15"/>
          <w:szCs w:val="15"/>
          <w:color w:val="auto"/>
        </w:rPr>
        <w:t>increase our technical support costs; and</w:t>
      </w:r>
    </w:p>
    <w:p>
      <w:pPr>
        <w:spacing w:after="0" w:line="109" w:lineRule="exact"/>
        <w:rPr>
          <w:rFonts w:ascii="Arial" w:cs="Arial" w:eastAsia="Arial" w:hAnsi="Arial"/>
          <w:sz w:val="15"/>
          <w:szCs w:val="15"/>
          <w:color w:val="auto"/>
        </w:rPr>
      </w:pPr>
    </w:p>
    <w:p>
      <w:pPr>
        <w:ind w:left="1840" w:hanging="276"/>
        <w:spacing w:after="0"/>
        <w:tabs>
          <w:tab w:leader="none" w:pos="1840" w:val="left"/>
        </w:tabs>
        <w:numPr>
          <w:ilvl w:val="0"/>
          <w:numId w:val="21"/>
        </w:numPr>
        <w:rPr>
          <w:rFonts w:ascii="Arial" w:cs="Arial" w:eastAsia="Arial" w:hAnsi="Arial"/>
          <w:sz w:val="15"/>
          <w:szCs w:val="15"/>
          <w:color w:val="auto"/>
        </w:rPr>
      </w:pPr>
      <w:r>
        <w:rPr>
          <w:rFonts w:ascii="Arial" w:cs="Arial" w:eastAsia="Arial" w:hAnsi="Arial"/>
          <w:sz w:val="15"/>
          <w:szCs w:val="15"/>
          <w:color w:val="auto"/>
        </w:rPr>
        <w:t>harm our reputation and brand.</w:t>
      </w:r>
    </w:p>
    <w:p>
      <w:pPr>
        <w:spacing w:after="0" w:line="279" w:lineRule="exact"/>
        <w:rPr>
          <w:sz w:val="20"/>
          <w:szCs w:val="20"/>
          <w:color w:val="auto"/>
        </w:rPr>
      </w:pPr>
    </w:p>
    <w:p>
      <w:pPr>
        <w:ind w:left="1120" w:right="200"/>
        <w:spacing w:after="0" w:line="275" w:lineRule="auto"/>
        <w:rPr>
          <w:sz w:val="20"/>
          <w:szCs w:val="20"/>
          <w:color w:val="auto"/>
        </w:rPr>
      </w:pPr>
      <w:r>
        <w:rPr>
          <w:rFonts w:ascii="Arial" w:cs="Arial" w:eastAsia="Arial" w:hAnsi="Arial"/>
          <w:sz w:val="15"/>
          <w:szCs w:val="15"/>
          <w:b w:val="1"/>
          <w:bCs w:val="1"/>
          <w:i w:val="1"/>
          <w:iCs w:val="1"/>
          <w:color w:val="auto"/>
        </w:rPr>
        <w:t>We may acquire other businesses or receive offers to be acquired, which could require significant management attention, disrupt our business, or dilute stockholder value.</w:t>
      </w:r>
    </w:p>
    <w:p>
      <w:pPr>
        <w:spacing w:after="0" w:line="56" w:lineRule="exact"/>
        <w:rPr>
          <w:sz w:val="20"/>
          <w:szCs w:val="20"/>
          <w:color w:val="auto"/>
        </w:rPr>
      </w:pPr>
    </w:p>
    <w:p>
      <w:pPr>
        <w:ind w:left="1120" w:firstLine="368"/>
        <w:spacing w:after="0" w:line="273" w:lineRule="auto"/>
        <w:rPr>
          <w:sz w:val="20"/>
          <w:szCs w:val="20"/>
          <w:color w:val="auto"/>
        </w:rPr>
      </w:pPr>
      <w:r>
        <w:rPr>
          <w:rFonts w:ascii="Arial" w:cs="Arial" w:eastAsia="Arial" w:hAnsi="Arial"/>
          <w:sz w:val="14"/>
          <w:szCs w:val="14"/>
          <w:color w:val="auto"/>
        </w:rPr>
        <w:t>Part of our business strategy is to make acquisitions of other companies, products, and technologies. We have limited experience in acquisitions. We may not be able to find suitable acquisition candidates and we may not be able to complete acquisitions on favorable terms, if at all. If we do complete acquisitions, we may not ultimately strengthen our competitive position or achieve our goals, and any acquisitions we complete could be viewed negatively by users, developers, or investors. In addition, we may not be able to integrate acquired businesses successfully or effectively manage the combined company following an acquisition. If we fail to successfully integrate our acquisitions, or the people or technologies associated with those acquisitions, into our company, the results of operations of the combined company could be adversely affected. Any integration process will require significant time and resources, require significant attention from management, and disrupt the ordinary functioning of our business, and we may not be able to manage the process successfully, which could adversely affect our business, results of operations, and financial condition. In addition, we may not successfully evaluate or utilize the acquired technology and accurately forecast the financial impact of an acquisition transaction, including accounting charges.</w:t>
      </w:r>
    </w:p>
    <w:p>
      <w:pPr>
        <w:spacing w:after="0" w:line="154" w:lineRule="exact"/>
        <w:rPr>
          <w:sz w:val="20"/>
          <w:szCs w:val="20"/>
          <w:color w:val="auto"/>
        </w:rPr>
      </w:pPr>
    </w:p>
    <w:p>
      <w:pPr>
        <w:ind w:left="1120" w:right="20" w:firstLine="368"/>
        <w:spacing w:after="0" w:line="259" w:lineRule="auto"/>
        <w:rPr>
          <w:sz w:val="20"/>
          <w:szCs w:val="20"/>
          <w:color w:val="auto"/>
        </w:rPr>
      </w:pPr>
      <w:r>
        <w:rPr>
          <w:rFonts w:ascii="Arial" w:cs="Arial" w:eastAsia="Arial" w:hAnsi="Arial"/>
          <w:sz w:val="15"/>
          <w:szCs w:val="15"/>
          <w:color w:val="auto"/>
        </w:rPr>
        <w:t>We may have to pay cash, incur debt, or issue equity securities to pay for any such acquisition, each of which could affect our financial condition or the value of our capital stock. The sale of equity to finance any such acquisitions could result in dilution to our stockholders. If we incur more debt, it would result in increased fixed obligations and could also subject us to covenants or other restrictions that would impede our ability to flexibly operate our business.</w:t>
      </w:r>
    </w:p>
    <w:p>
      <w:pPr>
        <w:spacing w:after="0" w:line="248" w:lineRule="exact"/>
        <w:rPr>
          <w:sz w:val="20"/>
          <w:szCs w:val="20"/>
          <w:color w:val="auto"/>
        </w:rPr>
      </w:pPr>
    </w:p>
    <w:p>
      <w:pPr>
        <w:ind w:left="1120"/>
        <w:spacing w:after="0"/>
        <w:rPr>
          <w:sz w:val="20"/>
          <w:szCs w:val="20"/>
          <w:color w:val="auto"/>
        </w:rPr>
      </w:pPr>
      <w:r>
        <w:rPr>
          <w:rFonts w:ascii="Arial" w:cs="Arial" w:eastAsia="Arial" w:hAnsi="Arial"/>
          <w:sz w:val="13"/>
          <w:szCs w:val="13"/>
          <w:b w:val="1"/>
          <w:bCs w:val="1"/>
          <w:i w:val="1"/>
          <w:iCs w:val="1"/>
          <w:color w:val="auto"/>
        </w:rPr>
        <w:t>Our business may be significantly impacted by a change in the economy, including any resulting effect on consumer or business spending.</w:t>
      </w:r>
    </w:p>
    <w:p>
      <w:pPr>
        <w:spacing w:after="0" w:line="121" w:lineRule="exact"/>
        <w:rPr>
          <w:sz w:val="20"/>
          <w:szCs w:val="20"/>
          <w:color w:val="auto"/>
        </w:rPr>
      </w:pPr>
    </w:p>
    <w:p>
      <w:pPr>
        <w:ind w:left="1120" w:right="140" w:firstLine="368"/>
        <w:spacing w:after="0" w:line="257" w:lineRule="auto"/>
        <w:rPr>
          <w:sz w:val="20"/>
          <w:szCs w:val="20"/>
          <w:color w:val="auto"/>
        </w:rPr>
      </w:pPr>
      <w:r>
        <w:rPr>
          <w:rFonts w:ascii="Arial" w:cs="Arial" w:eastAsia="Arial" w:hAnsi="Arial"/>
          <w:sz w:val="15"/>
          <w:szCs w:val="15"/>
          <w:color w:val="auto"/>
        </w:rPr>
        <w:t>Our business may be affected by changes in the economy generally, including any resulting effect on spending by our business and consumer users. Some of our users may view a subscription to our platform as a discretionary purchase, and our paying users may reduce their discretionary spending on our platform during an economic downturn. If an economic downturn were to occur, we may experience such a reduction in the future, especially in the event of a prolonged recessionary period. As a result, our business, results of operations, and financial condition may be significantly affected by changes in the economy generally.</w:t>
      </w:r>
    </w:p>
    <w:p>
      <w:pPr>
        <w:spacing w:after="0" w:line="249" w:lineRule="exact"/>
        <w:rPr>
          <w:sz w:val="20"/>
          <w:szCs w:val="20"/>
          <w:color w:val="auto"/>
        </w:rPr>
      </w:pPr>
    </w:p>
    <w:p>
      <w:pPr>
        <w:ind w:left="1120"/>
        <w:spacing w:after="0"/>
        <w:rPr>
          <w:sz w:val="20"/>
          <w:szCs w:val="20"/>
          <w:color w:val="auto"/>
        </w:rPr>
      </w:pPr>
      <w:r>
        <w:rPr>
          <w:rFonts w:ascii="Arial" w:cs="Arial" w:eastAsia="Arial" w:hAnsi="Arial"/>
          <w:sz w:val="15"/>
          <w:szCs w:val="15"/>
          <w:b w:val="1"/>
          <w:bCs w:val="1"/>
          <w:i w:val="1"/>
          <w:iCs w:val="1"/>
          <w:color w:val="auto"/>
        </w:rPr>
        <w:t>Our business could be disrupted by catastrophic events.</w:t>
      </w:r>
    </w:p>
    <w:p>
      <w:pPr>
        <w:spacing w:after="0" w:line="98" w:lineRule="exact"/>
        <w:rPr>
          <w:sz w:val="20"/>
          <w:szCs w:val="20"/>
          <w:color w:val="auto"/>
        </w:rPr>
      </w:pPr>
    </w:p>
    <w:p>
      <w:pPr>
        <w:ind w:left="1120" w:right="100" w:firstLine="368"/>
        <w:spacing w:after="0" w:line="302" w:lineRule="auto"/>
        <w:rPr>
          <w:sz w:val="20"/>
          <w:szCs w:val="20"/>
          <w:color w:val="auto"/>
        </w:rPr>
      </w:pPr>
      <w:r>
        <w:rPr>
          <w:rFonts w:ascii="Arial" w:cs="Arial" w:eastAsia="Arial" w:hAnsi="Arial"/>
          <w:sz w:val="13"/>
          <w:szCs w:val="13"/>
          <w:color w:val="auto"/>
        </w:rPr>
        <w:t>Occurrence of any catastrophic event, including earthquake, fire, flood, tsunami, or other weather event, power loss, telecommunications failure, software or hardware malfunctions, cyber-attack, war, or terrorist attack, could result in lengthy interruptions in our service. In particular, our U.S. headquarters and some of the datacenters we utilize are located in the San Francisco Bay Area, a region known for seismic activity, and our insurance coverage may not compensate us for losses that may occur in the event of an earthquake or other significant natural disaster. In addition, acts of terrorism could cause disruptions to the internet or the economy as a whole. Even with our disaster recovery arrangements, our service could be interrupted. If our systems were to fail or be negatively impacted as a result of a natural disaster or other event, our ability to deliver products to our</w:t>
      </w:r>
    </w:p>
    <w:p>
      <w:pPr>
        <w:spacing w:after="0" w:line="78" w:lineRule="exact"/>
        <w:rPr>
          <w:sz w:val="20"/>
          <w:szCs w:val="20"/>
          <w:color w:val="auto"/>
        </w:rPr>
      </w:pPr>
    </w:p>
    <w:p>
      <w:pPr>
        <w:ind w:left="5640"/>
        <w:spacing w:after="0"/>
        <w:rPr>
          <w:sz w:val="20"/>
          <w:szCs w:val="20"/>
          <w:color w:val="auto"/>
        </w:rPr>
      </w:pPr>
      <w:r>
        <w:rPr>
          <w:rFonts w:ascii="Arial" w:cs="Arial" w:eastAsia="Arial" w:hAnsi="Arial"/>
          <w:sz w:val="15"/>
          <w:szCs w:val="15"/>
          <w:color w:val="auto"/>
        </w:rPr>
        <w:t>32</w:t>
      </w:r>
    </w:p>
    <w:p>
      <w:pPr>
        <w:sectPr>
          <w:pgSz w:w="11900" w:h="16838" w:orient="portrait"/>
          <w:cols w:equalWidth="0" w:num="1">
            <w:col w:w="10280"/>
          </w:cols>
          <w:pgMar w:left="240" w:top="407" w:right="1379" w:bottom="1440" w:gutter="0" w:footer="0" w:header="0"/>
        </w:sectPr>
      </w:pPr>
    </w:p>
    <w:bookmarkStart w:id="39" w:name="page40"/>
    <w:bookmarkEnd w:id="39"/>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133350</wp:posOffset>
            </wp:positionH>
            <wp:positionV relativeFrom="page">
              <wp:posOffset>88900</wp:posOffset>
            </wp:positionV>
            <wp:extent cx="7308850" cy="342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308850" cy="34290"/>
                    </a:xfrm>
                    <a:prstGeom prst="rect">
                      <a:avLst/>
                    </a:prstGeom>
                    <a:noFill/>
                  </pic:spPr>
                </pic:pic>
              </a:graphicData>
            </a:graphic>
          </wp:anchor>
        </w:drawing>
      </w:r>
      <w:hyperlink w:anchor="page7">
        <w:r>
          <w:rPr>
            <w:rFonts w:ascii="Arial" w:cs="Arial" w:eastAsia="Arial" w:hAnsi="Arial"/>
            <w:sz w:val="15"/>
            <w:szCs w:val="15"/>
            <w:b w:val="1"/>
            <w:bCs w:val="1"/>
            <w:u w:val="single" w:color="auto"/>
            <w:color w:val="0000EE"/>
          </w:rPr>
          <w:t>Table of Contents</w:t>
        </w:r>
      </w:hyperlink>
    </w:p>
    <w:p>
      <w:pPr>
        <w:spacing w:after="0" w:line="260" w:lineRule="exact"/>
        <w:rPr>
          <w:sz w:val="20"/>
          <w:szCs w:val="20"/>
          <w:color w:val="auto"/>
        </w:rPr>
      </w:pPr>
    </w:p>
    <w:p>
      <w:pPr>
        <w:ind w:left="1120" w:right="200"/>
        <w:spacing w:after="0" w:line="263" w:lineRule="auto"/>
        <w:rPr>
          <w:sz w:val="20"/>
          <w:szCs w:val="20"/>
          <w:color w:val="auto"/>
        </w:rPr>
      </w:pPr>
      <w:r>
        <w:rPr>
          <w:rFonts w:ascii="Arial" w:cs="Arial" w:eastAsia="Arial" w:hAnsi="Arial"/>
          <w:sz w:val="15"/>
          <w:szCs w:val="15"/>
          <w:color w:val="auto"/>
        </w:rPr>
        <w:t>users would be impaired or we could lose critical data. If we are unable to develop adequate plans to ensure that our business functions continue to operate during and after a disaster, and successfully execute on those plans in the event of a disaster or emergency, our business, results of operations, financial condition, and reputation would be harmed.</w:t>
      </w:r>
    </w:p>
    <w:p>
      <w:pPr>
        <w:spacing w:after="0" w:line="245" w:lineRule="exact"/>
        <w:rPr>
          <w:sz w:val="20"/>
          <w:szCs w:val="20"/>
          <w:color w:val="auto"/>
        </w:rPr>
      </w:pPr>
    </w:p>
    <w:p>
      <w:pPr>
        <w:ind w:left="1120"/>
        <w:spacing w:after="0"/>
        <w:rPr>
          <w:sz w:val="20"/>
          <w:szCs w:val="20"/>
          <w:color w:val="auto"/>
        </w:rPr>
      </w:pPr>
      <w:r>
        <w:rPr>
          <w:rFonts w:ascii="Arial" w:cs="Arial" w:eastAsia="Arial" w:hAnsi="Arial"/>
          <w:sz w:val="15"/>
          <w:szCs w:val="15"/>
          <w:b w:val="1"/>
          <w:bCs w:val="1"/>
          <w:i w:val="1"/>
          <w:iCs w:val="1"/>
          <w:color w:val="auto"/>
        </w:rPr>
        <w:t>We may have exposure to greater than anticipated tax liabilities, which could adversely impact our results of operations.</w:t>
      </w:r>
    </w:p>
    <w:p>
      <w:pPr>
        <w:spacing w:after="0" w:line="98" w:lineRule="exact"/>
        <w:rPr>
          <w:sz w:val="20"/>
          <w:szCs w:val="20"/>
          <w:color w:val="auto"/>
        </w:rPr>
      </w:pPr>
    </w:p>
    <w:p>
      <w:pPr>
        <w:ind w:left="1120" w:firstLine="368"/>
        <w:spacing w:after="0" w:line="257" w:lineRule="auto"/>
        <w:rPr>
          <w:sz w:val="20"/>
          <w:szCs w:val="20"/>
          <w:color w:val="auto"/>
        </w:rPr>
      </w:pPr>
      <w:r>
        <w:rPr>
          <w:rFonts w:ascii="Arial" w:cs="Arial" w:eastAsia="Arial" w:hAnsi="Arial"/>
          <w:sz w:val="15"/>
          <w:szCs w:val="15"/>
          <w:color w:val="auto"/>
        </w:rPr>
        <w:t>While to date we have not incurred significant income taxes in operating our business, we are subject to income taxes in the United States and various jurisdictions outside of the United States. Our effective tax rate could fluctuate due to changes in the mix of earnings and losses in countries with differing statutory tax rates. Our tax expense could also be impacted by changes in non-deductible expenses, changes in excess tax benefits of stock-based compensation, changes in the valuation of deferred tax assets and liabilities and our ability to utilize them, the applicability of withholding taxes and effects from acquisitions.</w:t>
      </w:r>
    </w:p>
    <w:p>
      <w:pPr>
        <w:spacing w:after="0" w:line="159" w:lineRule="exact"/>
        <w:rPr>
          <w:sz w:val="20"/>
          <w:szCs w:val="20"/>
          <w:color w:val="auto"/>
        </w:rPr>
      </w:pPr>
    </w:p>
    <w:p>
      <w:pPr>
        <w:jc w:val="both"/>
        <w:ind w:left="1120" w:right="160" w:firstLine="368"/>
        <w:spacing w:after="0" w:line="294" w:lineRule="auto"/>
        <w:rPr>
          <w:sz w:val="20"/>
          <w:szCs w:val="20"/>
          <w:color w:val="auto"/>
        </w:rPr>
      </w:pPr>
      <w:r>
        <w:rPr>
          <w:rFonts w:ascii="Arial" w:cs="Arial" w:eastAsia="Arial" w:hAnsi="Arial"/>
          <w:sz w:val="13"/>
          <w:szCs w:val="13"/>
          <w:color w:val="auto"/>
        </w:rPr>
        <w:t>Our tax provision could also be impacted by changes in accounting principles, changes in U.S. federal, state, or international tax laws applicable to corporate multinationals such as the recent legislation enacted in the United States, United Kingdom and Australia, other fundamental law changes currently being considered by many countries, and changes in taxing jurisdictions’ administrative interpretations, decisions, policies, and positions.</w:t>
      </w:r>
    </w:p>
    <w:p>
      <w:pPr>
        <w:spacing w:after="0" w:line="1" w:lineRule="exact"/>
        <w:rPr>
          <w:sz w:val="20"/>
          <w:szCs w:val="20"/>
          <w:color w:val="auto"/>
        </w:rPr>
      </w:pPr>
    </w:p>
    <w:p>
      <w:pPr>
        <w:ind w:left="1120" w:right="420"/>
        <w:spacing w:after="0" w:line="256" w:lineRule="auto"/>
        <w:rPr>
          <w:sz w:val="20"/>
          <w:szCs w:val="20"/>
          <w:color w:val="auto"/>
        </w:rPr>
      </w:pPr>
      <w:r>
        <w:rPr>
          <w:rFonts w:ascii="Arial" w:cs="Arial" w:eastAsia="Arial" w:hAnsi="Arial"/>
          <w:sz w:val="15"/>
          <w:szCs w:val="15"/>
          <w:color w:val="auto"/>
        </w:rPr>
        <w:t>Additionally, in October 2015, the Organization for Economic Co-Operation and Development released final guidance covering various topics, including transfer pricing, country-by-country reporting, and definitional changes to permanent establishment that could ultimately impact our tax liabilities.</w:t>
      </w:r>
    </w:p>
    <w:p>
      <w:pPr>
        <w:spacing w:after="0" w:line="160" w:lineRule="exact"/>
        <w:rPr>
          <w:sz w:val="20"/>
          <w:szCs w:val="20"/>
          <w:color w:val="auto"/>
        </w:rPr>
      </w:pPr>
    </w:p>
    <w:p>
      <w:pPr>
        <w:ind w:left="1120" w:right="20" w:firstLine="368"/>
        <w:spacing w:after="0" w:line="277" w:lineRule="auto"/>
        <w:rPr>
          <w:sz w:val="20"/>
          <w:szCs w:val="20"/>
          <w:color w:val="auto"/>
        </w:rPr>
      </w:pPr>
      <w:r>
        <w:rPr>
          <w:rFonts w:ascii="Arial" w:cs="Arial" w:eastAsia="Arial" w:hAnsi="Arial"/>
          <w:sz w:val="14"/>
          <w:szCs w:val="14"/>
          <w:color w:val="auto"/>
        </w:rPr>
        <w:t>We are subject to review and audit by U.S. federal, state, local, and foreign tax authorities. Such tax authorities may disagree with tax positions we take and if any such tax authority were to successfully challenge any such position, our financial results and operations could be materially and adversely affected. We may also be subject to additional tax liabilities due to changes in non-income based taxes resulting from changes in federal, state, or international tax laws, changes in taxing jurisdictions’ administrative interpretations, decisions, policies, and positions, results of tax examinations, settlements or judicial decisions, changes in accounting principles, changes to the business operations, including acquisitions, as well as the evaluation of new information that results in a change to a tax position taken in a prior period.</w:t>
      </w:r>
    </w:p>
    <w:p>
      <w:pPr>
        <w:spacing w:after="0" w:line="239" w:lineRule="exact"/>
        <w:rPr>
          <w:sz w:val="20"/>
          <w:szCs w:val="20"/>
          <w:color w:val="auto"/>
        </w:rPr>
      </w:pPr>
    </w:p>
    <w:p>
      <w:pPr>
        <w:ind w:left="1120"/>
        <w:spacing w:after="0"/>
        <w:rPr>
          <w:sz w:val="20"/>
          <w:szCs w:val="20"/>
          <w:color w:val="auto"/>
        </w:rPr>
      </w:pPr>
      <w:r>
        <w:rPr>
          <w:rFonts w:ascii="Arial" w:cs="Arial" w:eastAsia="Arial" w:hAnsi="Arial"/>
          <w:sz w:val="15"/>
          <w:szCs w:val="15"/>
          <w:b w:val="1"/>
          <w:bCs w:val="1"/>
          <w:i w:val="1"/>
          <w:iCs w:val="1"/>
          <w:color w:val="auto"/>
        </w:rPr>
        <w:t>Our ability to use our net operating loss carryforwards and certain other tax attributes may be limited.</w:t>
      </w:r>
    </w:p>
    <w:p>
      <w:pPr>
        <w:spacing w:after="0" w:line="98" w:lineRule="exact"/>
        <w:rPr>
          <w:sz w:val="20"/>
          <w:szCs w:val="20"/>
          <w:color w:val="auto"/>
        </w:rPr>
      </w:pPr>
    </w:p>
    <w:p>
      <w:pPr>
        <w:ind w:left="1120" w:right="20" w:firstLine="368"/>
        <w:spacing w:after="0" w:line="272" w:lineRule="auto"/>
        <w:rPr>
          <w:sz w:val="20"/>
          <w:szCs w:val="20"/>
          <w:color w:val="auto"/>
        </w:rPr>
      </w:pPr>
      <w:r>
        <w:rPr>
          <w:rFonts w:ascii="Arial" w:cs="Arial" w:eastAsia="Arial" w:hAnsi="Arial"/>
          <w:sz w:val="14"/>
          <w:szCs w:val="14"/>
          <w:color w:val="auto"/>
        </w:rPr>
        <w:t>As of December 31, 2017, we had $312.2 million of federal and $143.0 million of state net operating loss carryforwards available to reduce future taxable income, which will begin to expire in 2031 for federal and 2030 for state tax purposes. As of December 31, 2017, we also had $289.3 million of foreign net operating loss carryforwards available to reduce future taxable income, which will carryforward indefinitely. In addition, we had $22.9 million of foreign acquired net operating losses, which will carryforward indefinitely. It is possible that we will not generate taxable income in time to use these net operating loss carryforwards before their expiration or at all. Under Sections 382 and 383 of the Internal Revenue Code of 1986, as amended, or the Code, if a corporation undergoes an “ownership change,” the corporation’s ability to use its pre-change net operating loss carryforwards and other pre-change attributes, such as research tax credits, to offset its post-change income may be limited. In general, an “ownership change” will occur if there is a cumulative change in our ownership by “5-percent shareholders” that exceeds 50 percentage points over a rolling three-year period. Similar rules may apply under state tax laws. We performed a study for the period through December 31, 2017, and determined that no ownership changes exceeding 50 percentage points had occurred. Our ability to use net operating loss and tax credit carryforwards to reduce future taxable income and liabilities may be subject to annual limitations as a result of ownership changes from January 1, 2018, and subsequent years or as a result of this offering.</w:t>
      </w:r>
    </w:p>
    <w:p>
      <w:pPr>
        <w:spacing w:after="0" w:line="100" w:lineRule="exact"/>
        <w:rPr>
          <w:sz w:val="20"/>
          <w:szCs w:val="20"/>
          <w:color w:val="auto"/>
        </w:rPr>
      </w:pPr>
    </w:p>
    <w:p>
      <w:pPr>
        <w:ind w:left="5640"/>
        <w:spacing w:after="0"/>
        <w:rPr>
          <w:sz w:val="20"/>
          <w:szCs w:val="20"/>
          <w:color w:val="auto"/>
        </w:rPr>
      </w:pPr>
      <w:r>
        <w:rPr>
          <w:rFonts w:ascii="Arial" w:cs="Arial" w:eastAsia="Arial" w:hAnsi="Arial"/>
          <w:sz w:val="15"/>
          <w:szCs w:val="15"/>
          <w:color w:val="auto"/>
        </w:rPr>
        <w:t>33</w:t>
      </w:r>
    </w:p>
    <w:p>
      <w:pPr>
        <w:sectPr>
          <w:pgSz w:w="11900" w:h="16838" w:orient="portrait"/>
          <w:cols w:equalWidth="0" w:num="1">
            <w:col w:w="10320"/>
          </w:cols>
          <w:pgMar w:left="240" w:top="407" w:right="1339" w:bottom="1440" w:gutter="0" w:footer="0" w:header="0"/>
        </w:sectPr>
      </w:pPr>
    </w:p>
    <w:bookmarkStart w:id="40" w:name="page41"/>
    <w:bookmarkEnd w:id="40"/>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133350</wp:posOffset>
            </wp:positionH>
            <wp:positionV relativeFrom="page">
              <wp:posOffset>88900</wp:posOffset>
            </wp:positionV>
            <wp:extent cx="7308850" cy="342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308850" cy="34290"/>
                    </a:xfrm>
                    <a:prstGeom prst="rect">
                      <a:avLst/>
                    </a:prstGeom>
                    <a:noFill/>
                  </pic:spPr>
                </pic:pic>
              </a:graphicData>
            </a:graphic>
          </wp:anchor>
        </w:drawing>
      </w:r>
      <w:hyperlink w:anchor="page7">
        <w:r>
          <w:rPr>
            <w:rFonts w:ascii="Arial" w:cs="Arial" w:eastAsia="Arial" w:hAnsi="Arial"/>
            <w:sz w:val="15"/>
            <w:szCs w:val="15"/>
            <w:b w:val="1"/>
            <w:bCs w:val="1"/>
            <w:u w:val="single" w:color="auto"/>
            <w:color w:val="0000EE"/>
          </w:rPr>
          <w:t>Table of Contents</w:t>
        </w:r>
      </w:hyperlink>
    </w:p>
    <w:p>
      <w:pPr>
        <w:spacing w:after="0" w:line="260" w:lineRule="exact"/>
        <w:rPr>
          <w:sz w:val="20"/>
          <w:szCs w:val="20"/>
          <w:color w:val="auto"/>
        </w:rPr>
      </w:pPr>
    </w:p>
    <w:p>
      <w:pPr>
        <w:ind w:left="1120" w:right="60"/>
        <w:spacing w:after="0" w:line="275" w:lineRule="auto"/>
        <w:rPr>
          <w:sz w:val="20"/>
          <w:szCs w:val="20"/>
          <w:color w:val="auto"/>
        </w:rPr>
      </w:pPr>
      <w:r>
        <w:rPr>
          <w:rFonts w:ascii="Arial" w:cs="Arial" w:eastAsia="Arial" w:hAnsi="Arial"/>
          <w:sz w:val="15"/>
          <w:szCs w:val="15"/>
          <w:b w:val="1"/>
          <w:bCs w:val="1"/>
          <w:i w:val="1"/>
          <w:iCs w:val="1"/>
          <w:color w:val="auto"/>
        </w:rPr>
        <w:t>Our operating results may be harmed if we are required to collect sales or other related taxes for our subscription services in jurisdictions where we have not historically done so.</w:t>
      </w:r>
    </w:p>
    <w:p>
      <w:pPr>
        <w:spacing w:after="0" w:line="56" w:lineRule="exact"/>
        <w:rPr>
          <w:sz w:val="20"/>
          <w:szCs w:val="20"/>
          <w:color w:val="auto"/>
        </w:rPr>
      </w:pPr>
    </w:p>
    <w:p>
      <w:pPr>
        <w:ind w:left="1120" w:right="20" w:firstLine="368"/>
        <w:spacing w:after="0" w:line="279" w:lineRule="auto"/>
        <w:rPr>
          <w:sz w:val="20"/>
          <w:szCs w:val="20"/>
          <w:color w:val="auto"/>
        </w:rPr>
      </w:pPr>
      <w:r>
        <w:rPr>
          <w:rFonts w:ascii="Arial" w:cs="Arial" w:eastAsia="Arial" w:hAnsi="Arial"/>
          <w:sz w:val="14"/>
          <w:szCs w:val="14"/>
          <w:color w:val="auto"/>
        </w:rPr>
        <w:t>We collect sales and value-added tax as part of our subscription agreements in a number of jurisdictions. One or more states or countries may seek to impose incremental or new sales, use, or other tax collection obligations on us, including for past sales by us or our resellers and other partners. A successful assertion by a state, country, or other jurisdiction that we should have been or should be collecting additional sales, use, or other taxes on our services could, among other things, result in substantial tax liabilities for past sales, create significant administrative burdens for us, discourage users from purchasing our platform, or otherwise harm our business, results of operations, and financial condition.</w:t>
      </w:r>
    </w:p>
    <w:p>
      <w:pPr>
        <w:spacing w:after="0" w:line="237" w:lineRule="exact"/>
        <w:rPr>
          <w:sz w:val="20"/>
          <w:szCs w:val="20"/>
          <w:color w:val="auto"/>
        </w:rPr>
      </w:pPr>
    </w:p>
    <w:p>
      <w:pPr>
        <w:ind w:left="1120" w:right="160"/>
        <w:spacing w:after="0" w:line="275" w:lineRule="auto"/>
        <w:rPr>
          <w:sz w:val="20"/>
          <w:szCs w:val="20"/>
          <w:color w:val="auto"/>
        </w:rPr>
      </w:pPr>
      <w:r>
        <w:rPr>
          <w:rFonts w:ascii="Arial" w:cs="Arial" w:eastAsia="Arial" w:hAnsi="Arial"/>
          <w:sz w:val="15"/>
          <w:szCs w:val="15"/>
          <w:b w:val="1"/>
          <w:bCs w:val="1"/>
          <w:i w:val="1"/>
          <w:iCs w:val="1"/>
          <w:color w:val="auto"/>
        </w:rPr>
        <w:t>Our results of operations and financial condition could be materially affected by the enactment of legislation implementing changes in the U.S. or foreign taxation of international business activities or the adoption of other tax reform policies.</w:t>
      </w:r>
    </w:p>
    <w:p>
      <w:pPr>
        <w:spacing w:after="0" w:line="56" w:lineRule="exact"/>
        <w:rPr>
          <w:sz w:val="20"/>
          <w:szCs w:val="20"/>
          <w:color w:val="auto"/>
        </w:rPr>
      </w:pPr>
    </w:p>
    <w:p>
      <w:pPr>
        <w:ind w:left="1120" w:firstLine="368"/>
        <w:spacing w:after="0" w:line="297" w:lineRule="auto"/>
        <w:rPr>
          <w:sz w:val="20"/>
          <w:szCs w:val="20"/>
          <w:color w:val="auto"/>
        </w:rPr>
      </w:pPr>
      <w:r>
        <w:rPr>
          <w:rFonts w:ascii="Arial" w:cs="Arial" w:eastAsia="Arial" w:hAnsi="Arial"/>
          <w:sz w:val="13"/>
          <w:szCs w:val="13"/>
          <w:color w:val="auto"/>
        </w:rPr>
        <w:t>On December 22, 2017, the legislation commonly referred to as the Tax Cuts and Jobs Act, or the Tax Reform Act, was enacted, which contains significant changes to U.S. tax law, including, but not limited to, a reduction in the corporate tax rate and a transition to a new territorial system of taxation. The primary impact of the new legislation on our provision for income taxes was a reduction of the future tax benefits of our deferred tax assets as a result of the reduction in the corporate tax rate. However, since we have recorded a full valuation allowance against our deferred tax assets, we do not currently anticipate that these changes will have a material impact on our consolidated financial statements. The impact of the Tax Reform Act will likely be subject to ongoing technical guidance and accounting interpretation, which we will continue to monitor and assess. Provisional accounting impacts may change in future reporting periods until the accounting analysis is finalized, which will occur no later than one year from the date the Tax Reform Act was enacted. As we expand the scale of our international business activities, any changes in the U.S. or foreign taxation of such activities may increase our worldwide effective tax rate and harm our business, results of operations, and financial condition.</w:t>
      </w:r>
    </w:p>
    <w:p>
      <w:pPr>
        <w:spacing w:after="0" w:line="230" w:lineRule="exact"/>
        <w:rPr>
          <w:sz w:val="20"/>
          <w:szCs w:val="20"/>
          <w:color w:val="auto"/>
        </w:rPr>
      </w:pPr>
    </w:p>
    <w:p>
      <w:pPr>
        <w:ind w:left="1120" w:right="420"/>
        <w:spacing w:after="0" w:line="275" w:lineRule="auto"/>
        <w:rPr>
          <w:sz w:val="20"/>
          <w:szCs w:val="20"/>
          <w:color w:val="auto"/>
        </w:rPr>
      </w:pPr>
      <w:r>
        <w:rPr>
          <w:rFonts w:ascii="Arial" w:cs="Arial" w:eastAsia="Arial" w:hAnsi="Arial"/>
          <w:sz w:val="15"/>
          <w:szCs w:val="15"/>
          <w:b w:val="1"/>
          <w:bCs w:val="1"/>
          <w:i w:val="1"/>
          <w:iCs w:val="1"/>
          <w:color w:val="auto"/>
        </w:rPr>
        <w:t>If we fail to maintain an effective system of disclosure controls and internal control over financial reporting, our ability to produce timely and accurate financial statements or comply with applicable regulations could be impaired.</w:t>
      </w:r>
    </w:p>
    <w:p>
      <w:pPr>
        <w:spacing w:after="0" w:line="56" w:lineRule="exact"/>
        <w:rPr>
          <w:sz w:val="20"/>
          <w:szCs w:val="20"/>
          <w:color w:val="auto"/>
        </w:rPr>
      </w:pPr>
    </w:p>
    <w:p>
      <w:pPr>
        <w:ind w:left="1120" w:firstLine="368"/>
        <w:spacing w:after="0" w:line="311" w:lineRule="auto"/>
        <w:rPr>
          <w:sz w:val="20"/>
          <w:szCs w:val="20"/>
          <w:color w:val="auto"/>
        </w:rPr>
      </w:pPr>
      <w:r>
        <w:rPr>
          <w:rFonts w:ascii="Arial" w:cs="Arial" w:eastAsia="Arial" w:hAnsi="Arial"/>
          <w:sz w:val="13"/>
          <w:szCs w:val="13"/>
          <w:color w:val="auto"/>
        </w:rPr>
        <w:t>As a public company, we will be subject to the reporting requirements of the Securities Exchange Act of 1934, as amended, or the Exchange Act, the Sarbanes-Oxley Act of 2002, or the Sarbanes-Oxley Act, and the rules and regulations of the applicable listing standards of the Nasdaq Global Select Market, or Nasdaq. We expect that the requirements of these rules and regulations will continue to increase our legal, accounting, and financial compliance costs, make some activities more difficult, time-consuming and costly, and place significant strain on our personnel, systems, and resources.</w:t>
      </w:r>
    </w:p>
    <w:p>
      <w:pPr>
        <w:spacing w:after="0" w:line="127" w:lineRule="exact"/>
        <w:rPr>
          <w:sz w:val="20"/>
          <w:szCs w:val="20"/>
          <w:color w:val="auto"/>
        </w:rPr>
      </w:pPr>
    </w:p>
    <w:p>
      <w:pPr>
        <w:ind w:left="1120" w:right="100" w:firstLine="368"/>
        <w:spacing w:after="0" w:line="300" w:lineRule="auto"/>
        <w:rPr>
          <w:sz w:val="20"/>
          <w:szCs w:val="20"/>
          <w:color w:val="auto"/>
        </w:rPr>
      </w:pPr>
      <w:r>
        <w:rPr>
          <w:rFonts w:ascii="Arial" w:cs="Arial" w:eastAsia="Arial" w:hAnsi="Arial"/>
          <w:sz w:val="13"/>
          <w:szCs w:val="13"/>
          <w:color w:val="auto"/>
        </w:rPr>
        <w:t>The Sarbanes-Oxley Act requires, among other things, that we maintain effective disclosure controls and procedures and internal control over financial reporting. We are continuing to develop and refine our disclosure controls and other procedures that are designed to ensure that information required to be disclosed by us in the reports that we will file with the SEC is recorded, processed, summarized, and reported within the time periods specified in SEC rules and forms and that information required to be disclosed in reports under the Exchange Act is accumulated and communicated to our principal executive and financial officers. We are also continuing to improve our internal control over financial reporting. In order to maintain and improve the effectiveness of our disclosure controls and procedures and internal control over financial reporting, we have expended, and anticipate that we will continue to expend, significant resources, including accounting-related costs and significant management oversight.</w:t>
      </w:r>
    </w:p>
    <w:p>
      <w:pPr>
        <w:spacing w:after="0" w:line="136" w:lineRule="exact"/>
        <w:rPr>
          <w:sz w:val="20"/>
          <w:szCs w:val="20"/>
          <w:color w:val="auto"/>
        </w:rPr>
      </w:pPr>
    </w:p>
    <w:p>
      <w:pPr>
        <w:ind w:left="1120" w:right="300" w:firstLine="368"/>
        <w:spacing w:after="0" w:line="275" w:lineRule="auto"/>
        <w:rPr>
          <w:sz w:val="20"/>
          <w:szCs w:val="20"/>
          <w:color w:val="auto"/>
        </w:rPr>
      </w:pPr>
      <w:r>
        <w:rPr>
          <w:rFonts w:ascii="Arial" w:cs="Arial" w:eastAsia="Arial" w:hAnsi="Arial"/>
          <w:sz w:val="15"/>
          <w:szCs w:val="15"/>
          <w:color w:val="auto"/>
        </w:rPr>
        <w:t>Our current controls and any new controls that we develop may become inadequate because of changes in conditions in our business. Further, weaknesses in our disclosure controls and internal control over financial</w:t>
      </w:r>
    </w:p>
    <w:p>
      <w:pPr>
        <w:spacing w:after="0" w:line="90" w:lineRule="exact"/>
        <w:rPr>
          <w:sz w:val="20"/>
          <w:szCs w:val="20"/>
          <w:color w:val="auto"/>
        </w:rPr>
      </w:pPr>
    </w:p>
    <w:p>
      <w:pPr>
        <w:ind w:left="5640"/>
        <w:spacing w:after="0"/>
        <w:rPr>
          <w:sz w:val="20"/>
          <w:szCs w:val="20"/>
          <w:color w:val="auto"/>
        </w:rPr>
      </w:pPr>
      <w:r>
        <w:rPr>
          <w:rFonts w:ascii="Arial" w:cs="Arial" w:eastAsia="Arial" w:hAnsi="Arial"/>
          <w:sz w:val="15"/>
          <w:szCs w:val="15"/>
          <w:color w:val="auto"/>
        </w:rPr>
        <w:t>34</w:t>
      </w:r>
    </w:p>
    <w:p>
      <w:pPr>
        <w:sectPr>
          <w:pgSz w:w="11900" w:h="16838" w:orient="portrait"/>
          <w:cols w:equalWidth="0" w:num="1">
            <w:col w:w="10300"/>
          </w:cols>
          <w:pgMar w:left="240" w:top="407" w:right="1359" w:bottom="1440" w:gutter="0" w:footer="0" w:header="0"/>
        </w:sectPr>
      </w:pPr>
    </w:p>
    <w:bookmarkStart w:id="41" w:name="page42"/>
    <w:bookmarkEnd w:id="41"/>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133350</wp:posOffset>
            </wp:positionH>
            <wp:positionV relativeFrom="page">
              <wp:posOffset>88900</wp:posOffset>
            </wp:positionV>
            <wp:extent cx="7308850" cy="342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308850" cy="34290"/>
                    </a:xfrm>
                    <a:prstGeom prst="rect">
                      <a:avLst/>
                    </a:prstGeom>
                    <a:noFill/>
                  </pic:spPr>
                </pic:pic>
              </a:graphicData>
            </a:graphic>
          </wp:anchor>
        </w:drawing>
      </w:r>
      <w:hyperlink w:anchor="page7">
        <w:r>
          <w:rPr>
            <w:rFonts w:ascii="Arial" w:cs="Arial" w:eastAsia="Arial" w:hAnsi="Arial"/>
            <w:sz w:val="15"/>
            <w:szCs w:val="15"/>
            <w:b w:val="1"/>
            <w:bCs w:val="1"/>
            <w:u w:val="single" w:color="auto"/>
            <w:color w:val="0000EE"/>
          </w:rPr>
          <w:t>Table of Contents</w:t>
        </w:r>
      </w:hyperlink>
    </w:p>
    <w:p>
      <w:pPr>
        <w:spacing w:after="0" w:line="260" w:lineRule="exact"/>
        <w:rPr>
          <w:sz w:val="20"/>
          <w:szCs w:val="20"/>
          <w:color w:val="auto"/>
        </w:rPr>
      </w:pPr>
    </w:p>
    <w:p>
      <w:pPr>
        <w:ind w:left="1120"/>
        <w:spacing w:after="0" w:line="273" w:lineRule="auto"/>
        <w:rPr>
          <w:sz w:val="20"/>
          <w:szCs w:val="20"/>
          <w:color w:val="auto"/>
        </w:rPr>
      </w:pPr>
      <w:r>
        <w:rPr>
          <w:rFonts w:ascii="Arial" w:cs="Arial" w:eastAsia="Arial" w:hAnsi="Arial"/>
          <w:sz w:val="14"/>
          <w:szCs w:val="14"/>
          <w:color w:val="auto"/>
        </w:rPr>
        <w:t>reporting may be discovered in the future. Any failure to develop or maintain effective controls or any difficulties encountered in their implementation or improvement could harm our results of operations or cause us to fail to meet our reporting obligations and may result in a restatement of our financial statements for prior periods. Any failure to implement and maintain effective internal control over financial reporting also could adversely affect the results of periodic management evaluations and annual independent registered public accounting firm attestation reports regarding the effectiveness of our internal control over financial reporting that we will eventually be required to include in our periodic reports that will be filed with the SEC. Ineffective disclosure controls and procedures and internal control over financial reporting could also cause investors to lose confidence in our reported financial and other information, which would likely have a negative effect on the trading price of our Class A common stock. In addition, if we are unable to continue to meet these requirements, we may not be able to remain listed on Nasdaq. We are not currently required to comply with the SEC rules that implement Section 404 of the Sarbanes-Oxley Act and are therefore not required to make a formal assessment of the effectiveness of our internal control over financial reporting for that purpose. As a public company, we will be required to provide an annual management report on the effectiveness of our internal control over financial reporting commencing with our second annual report on Form 10-K.</w:t>
      </w:r>
    </w:p>
    <w:p>
      <w:pPr>
        <w:spacing w:after="0" w:line="151" w:lineRule="exact"/>
        <w:rPr>
          <w:sz w:val="20"/>
          <w:szCs w:val="20"/>
          <w:color w:val="auto"/>
        </w:rPr>
      </w:pPr>
    </w:p>
    <w:p>
      <w:pPr>
        <w:ind w:left="1120" w:right="20" w:firstLine="368"/>
        <w:spacing w:after="0" w:line="255" w:lineRule="auto"/>
        <w:rPr>
          <w:sz w:val="20"/>
          <w:szCs w:val="20"/>
          <w:color w:val="auto"/>
        </w:rPr>
      </w:pPr>
      <w:r>
        <w:rPr>
          <w:rFonts w:ascii="Arial" w:cs="Arial" w:eastAsia="Arial" w:hAnsi="Arial"/>
          <w:sz w:val="15"/>
          <w:szCs w:val="15"/>
          <w:color w:val="auto"/>
        </w:rPr>
        <w:t>Our independent registered public accounting firm is not required to formally attest to the effectiveness of our internal control over financial reporting until our first annual report filed with the SEC where we are an “accelerated filer” or a “large accelerated filer”. At such time, our independent registered public accounting firm may issue a report that is adverse in the event it is not satisfied with the level at which our internal control over financial reporting is documented, designed, or operating. Any failure to maintain effective disclosure controls and internal control over financial reporting could materially and adversely affect our business, results of operations, and financial condition and could cause a decline in the trading price of our Class A common stock.</w:t>
      </w:r>
    </w:p>
    <w:p>
      <w:pPr>
        <w:spacing w:after="0" w:line="254" w:lineRule="exact"/>
        <w:rPr>
          <w:sz w:val="20"/>
          <w:szCs w:val="20"/>
          <w:color w:val="auto"/>
        </w:rPr>
      </w:pPr>
    </w:p>
    <w:p>
      <w:pPr>
        <w:ind w:left="1120" w:right="240"/>
        <w:spacing w:after="0" w:line="275" w:lineRule="auto"/>
        <w:rPr>
          <w:sz w:val="20"/>
          <w:szCs w:val="20"/>
          <w:color w:val="auto"/>
        </w:rPr>
      </w:pPr>
      <w:r>
        <w:rPr>
          <w:rFonts w:ascii="Arial" w:cs="Arial" w:eastAsia="Arial" w:hAnsi="Arial"/>
          <w:sz w:val="15"/>
          <w:szCs w:val="15"/>
          <w:b w:val="1"/>
          <w:bCs w:val="1"/>
          <w:i w:val="1"/>
          <w:iCs w:val="1"/>
          <w:color w:val="auto"/>
        </w:rPr>
        <w:t>Although we ceased to be an “emerging growth company,” we can continue to take advantage of certain reduced disclosure requirements in this registration statement, which may make our Class A common stock less attractive to investors.</w:t>
      </w:r>
    </w:p>
    <w:p>
      <w:pPr>
        <w:spacing w:after="0" w:line="56" w:lineRule="exact"/>
        <w:rPr>
          <w:sz w:val="20"/>
          <w:szCs w:val="20"/>
          <w:color w:val="auto"/>
        </w:rPr>
      </w:pPr>
    </w:p>
    <w:p>
      <w:pPr>
        <w:ind w:left="1120" w:right="100" w:firstLine="368"/>
        <w:spacing w:after="0" w:line="275" w:lineRule="auto"/>
        <w:rPr>
          <w:sz w:val="20"/>
          <w:szCs w:val="20"/>
          <w:color w:val="auto"/>
        </w:rPr>
      </w:pPr>
      <w:r>
        <w:rPr>
          <w:rFonts w:ascii="Arial" w:cs="Arial" w:eastAsia="Arial" w:hAnsi="Arial"/>
          <w:sz w:val="14"/>
          <w:szCs w:val="14"/>
          <w:color w:val="auto"/>
        </w:rPr>
        <w:t>We ceased to be an “emerging growth company,” as defined in the Jumpstart Our Business Startups Act of 2012, or the JOBS Act, on December 31, 2017. However, because we ceased to be an “emerging growth company” after we confidentially submitted our registration statement related to this offering to the SEC, we will continue to be treated as an “emerging growth company” for certain purposes until the earlier of the date on which we complete this offering or December 31, 2018. As such, we have taken advantage of certain reduced disclosure obligations regarding selected financial data and executive compensation arrangements in our registration statement related to this offering that are not available to non-emerging growth companies. We cannot predict if investors will find our Class A common stock less attractive because we have relied on these exemptions. If some investors find our Class A common stock less attractive as a result, there may be less demand for our Class A common stock and the price that some investors are willing to pay for our Class A common stock may decrease.</w:t>
      </w:r>
    </w:p>
    <w:p>
      <w:pPr>
        <w:spacing w:after="0" w:line="239" w:lineRule="exact"/>
        <w:rPr>
          <w:sz w:val="20"/>
          <w:szCs w:val="20"/>
          <w:color w:val="auto"/>
        </w:rPr>
      </w:pPr>
    </w:p>
    <w:p>
      <w:pPr>
        <w:ind w:left="1120"/>
        <w:spacing w:after="0"/>
        <w:rPr>
          <w:sz w:val="20"/>
          <w:szCs w:val="20"/>
          <w:color w:val="auto"/>
        </w:rPr>
      </w:pPr>
      <w:r>
        <w:rPr>
          <w:rFonts w:ascii="Arial" w:cs="Arial" w:eastAsia="Arial" w:hAnsi="Arial"/>
          <w:sz w:val="13"/>
          <w:szCs w:val="13"/>
          <w:b w:val="1"/>
          <w:bCs w:val="1"/>
          <w:i w:val="1"/>
          <w:iCs w:val="1"/>
          <w:color w:val="auto"/>
        </w:rPr>
        <w:t>Our reported results of operations may be adversely affected by changes in accounting principles generally accepted in the United States.</w:t>
      </w:r>
    </w:p>
    <w:p>
      <w:pPr>
        <w:spacing w:after="0" w:line="121" w:lineRule="exact"/>
        <w:rPr>
          <w:sz w:val="20"/>
          <w:szCs w:val="20"/>
          <w:color w:val="auto"/>
        </w:rPr>
      </w:pPr>
    </w:p>
    <w:p>
      <w:pPr>
        <w:ind w:left="1120" w:firstLine="368"/>
        <w:spacing w:after="0" w:line="276" w:lineRule="auto"/>
        <w:rPr>
          <w:sz w:val="20"/>
          <w:szCs w:val="20"/>
          <w:color w:val="auto"/>
        </w:rPr>
      </w:pPr>
      <w:r>
        <w:rPr>
          <w:rFonts w:ascii="Arial" w:cs="Arial" w:eastAsia="Arial" w:hAnsi="Arial"/>
          <w:sz w:val="14"/>
          <w:szCs w:val="14"/>
          <w:color w:val="auto"/>
        </w:rPr>
        <w:t xml:space="preserve">Generally accepted accounting principles in the United States are subject to interpretation by the Financial Accounting Standards Board, or FASB, the SEC, and various bodies formed to promulgate and interpret appropriate accounting principles. A change in these principles or interpretations could have a significant effect on our reported results of operations, and may even affect the reporting of transactions completed before the announcement or effectiveness of a change. For example, in May 2014, the FASB issued Accounting Standards Update, or ASU, No. 2014-09, </w:t>
      </w:r>
      <w:r>
        <w:rPr>
          <w:rFonts w:ascii="Arial" w:cs="Arial" w:eastAsia="Arial" w:hAnsi="Arial"/>
          <w:sz w:val="14"/>
          <w:szCs w:val="14"/>
          <w:i w:val="1"/>
          <w:iCs w:val="1"/>
          <w:color w:val="auto"/>
        </w:rPr>
        <w:t>Revenue from Contracts</w:t>
      </w:r>
      <w:r>
        <w:rPr>
          <w:rFonts w:ascii="Arial" w:cs="Arial" w:eastAsia="Arial" w:hAnsi="Arial"/>
          <w:sz w:val="14"/>
          <w:szCs w:val="14"/>
          <w:color w:val="auto"/>
        </w:rPr>
        <w:t xml:space="preserve"> </w:t>
      </w:r>
      <w:r>
        <w:rPr>
          <w:rFonts w:ascii="Arial" w:cs="Arial" w:eastAsia="Arial" w:hAnsi="Arial"/>
          <w:sz w:val="14"/>
          <w:szCs w:val="14"/>
          <w:i w:val="1"/>
          <w:iCs w:val="1"/>
          <w:color w:val="auto"/>
        </w:rPr>
        <w:t>with Customers (Topic 606)</w:t>
      </w:r>
      <w:r>
        <w:rPr>
          <w:rFonts w:ascii="Arial" w:cs="Arial" w:eastAsia="Arial" w:hAnsi="Arial"/>
          <w:sz w:val="14"/>
          <w:szCs w:val="14"/>
          <w:color w:val="auto"/>
        </w:rPr>
        <w:t>, or Topic 606, which superseded nearly all existing revenue recognition guidance. We adopted the requirements of Topic</w:t>
      </w:r>
      <w:r>
        <w:rPr>
          <w:rFonts w:ascii="Arial" w:cs="Arial" w:eastAsia="Arial" w:hAnsi="Arial"/>
          <w:sz w:val="14"/>
          <w:szCs w:val="14"/>
          <w:i w:val="1"/>
          <w:iCs w:val="1"/>
          <w:color w:val="auto"/>
        </w:rPr>
        <w:t xml:space="preserve"> </w:t>
      </w:r>
      <w:r>
        <w:rPr>
          <w:rFonts w:ascii="Arial" w:cs="Arial" w:eastAsia="Arial" w:hAnsi="Arial"/>
          <w:sz w:val="14"/>
          <w:szCs w:val="14"/>
          <w:color w:val="auto"/>
        </w:rPr>
        <w:t>606 as of January 1, 2017, utilizing the full retrospective method of transition. As such, Topic 606 is reflected in our financial results for all periods presented in this prospectus. The adoption of Topic 606 primarily resulted in</w:t>
      </w:r>
    </w:p>
    <w:p>
      <w:pPr>
        <w:spacing w:after="0" w:line="91" w:lineRule="exact"/>
        <w:rPr>
          <w:sz w:val="20"/>
          <w:szCs w:val="20"/>
          <w:color w:val="auto"/>
        </w:rPr>
      </w:pPr>
    </w:p>
    <w:p>
      <w:pPr>
        <w:ind w:left="5640"/>
        <w:spacing w:after="0"/>
        <w:rPr>
          <w:sz w:val="20"/>
          <w:szCs w:val="20"/>
          <w:color w:val="auto"/>
        </w:rPr>
      </w:pPr>
      <w:r>
        <w:rPr>
          <w:rFonts w:ascii="Arial" w:cs="Arial" w:eastAsia="Arial" w:hAnsi="Arial"/>
          <w:sz w:val="15"/>
          <w:szCs w:val="15"/>
          <w:color w:val="auto"/>
        </w:rPr>
        <w:t>35</w:t>
      </w:r>
    </w:p>
    <w:p>
      <w:pPr>
        <w:sectPr>
          <w:pgSz w:w="11900" w:h="16838" w:orient="portrait"/>
          <w:cols w:equalWidth="0" w:num="1">
            <w:col w:w="10280"/>
          </w:cols>
          <w:pgMar w:left="240" w:top="407" w:right="1379" w:bottom="1440" w:gutter="0" w:footer="0" w:header="0"/>
        </w:sectPr>
      </w:pPr>
    </w:p>
    <w:bookmarkStart w:id="42" w:name="page43"/>
    <w:bookmarkEnd w:id="42"/>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133350</wp:posOffset>
            </wp:positionH>
            <wp:positionV relativeFrom="page">
              <wp:posOffset>88900</wp:posOffset>
            </wp:positionV>
            <wp:extent cx="7308850" cy="342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308850" cy="34290"/>
                    </a:xfrm>
                    <a:prstGeom prst="rect">
                      <a:avLst/>
                    </a:prstGeom>
                    <a:noFill/>
                  </pic:spPr>
                </pic:pic>
              </a:graphicData>
            </a:graphic>
          </wp:anchor>
        </w:drawing>
      </w:r>
      <w:hyperlink w:anchor="page7">
        <w:r>
          <w:rPr>
            <w:rFonts w:ascii="Arial" w:cs="Arial" w:eastAsia="Arial" w:hAnsi="Arial"/>
            <w:sz w:val="15"/>
            <w:szCs w:val="15"/>
            <w:b w:val="1"/>
            <w:bCs w:val="1"/>
            <w:u w:val="single" w:color="auto"/>
            <w:color w:val="0000EE"/>
          </w:rPr>
          <w:t>Table of Contents</w:t>
        </w:r>
      </w:hyperlink>
    </w:p>
    <w:p>
      <w:pPr>
        <w:spacing w:after="0" w:line="260" w:lineRule="exact"/>
        <w:rPr>
          <w:sz w:val="20"/>
          <w:szCs w:val="20"/>
          <w:color w:val="auto"/>
        </w:rPr>
      </w:pPr>
    </w:p>
    <w:p>
      <w:pPr>
        <w:ind w:left="1120" w:right="280"/>
        <w:spacing w:after="0" w:line="263" w:lineRule="auto"/>
        <w:rPr>
          <w:sz w:val="20"/>
          <w:szCs w:val="20"/>
          <w:color w:val="auto"/>
        </w:rPr>
      </w:pPr>
      <w:r>
        <w:rPr>
          <w:rFonts w:ascii="Arial" w:cs="Arial" w:eastAsia="Arial" w:hAnsi="Arial"/>
          <w:sz w:val="15"/>
          <w:szCs w:val="15"/>
          <w:color w:val="auto"/>
        </w:rPr>
        <w:t>changes to our accounting policies for revenue recognition and deferred commissions, which we believe to be critical accounting policies. While the impact of adopting Topic 606 on our revenue was not material, it is difficult to predict the impact of future changes to accounting principles or our accounting policies, any of which could negatively affect our results of operations.</w:t>
      </w:r>
    </w:p>
    <w:p>
      <w:pPr>
        <w:spacing w:after="0" w:line="245" w:lineRule="exact"/>
        <w:rPr>
          <w:sz w:val="20"/>
          <w:szCs w:val="20"/>
          <w:color w:val="auto"/>
        </w:rPr>
      </w:pPr>
    </w:p>
    <w:p>
      <w:pPr>
        <w:ind w:left="1120" w:right="40"/>
        <w:spacing w:after="0" w:line="263" w:lineRule="auto"/>
        <w:rPr>
          <w:sz w:val="20"/>
          <w:szCs w:val="20"/>
          <w:color w:val="auto"/>
        </w:rPr>
      </w:pPr>
      <w:r>
        <w:rPr>
          <w:rFonts w:ascii="Arial" w:cs="Arial" w:eastAsia="Arial" w:hAnsi="Arial"/>
          <w:sz w:val="15"/>
          <w:szCs w:val="15"/>
          <w:b w:val="1"/>
          <w:bCs w:val="1"/>
          <w:i w:val="1"/>
          <w:iCs w:val="1"/>
          <w:color w:val="auto"/>
        </w:rPr>
        <w:t>We recently implemented a new enterprise resource planning system, and if this new system proves ineffective or if we experience issues with the transition, we may be unable to timely or accurately prepare financial reports, make payments to our suppliers and employees, or invoice and collect from our users.</w:t>
      </w:r>
    </w:p>
    <w:p>
      <w:pPr>
        <w:spacing w:after="0" w:line="65" w:lineRule="exact"/>
        <w:rPr>
          <w:sz w:val="20"/>
          <w:szCs w:val="20"/>
          <w:color w:val="auto"/>
        </w:rPr>
      </w:pPr>
    </w:p>
    <w:p>
      <w:pPr>
        <w:ind w:left="1120" w:right="80" w:firstLine="368"/>
        <w:spacing w:after="0" w:line="298" w:lineRule="auto"/>
        <w:rPr>
          <w:sz w:val="20"/>
          <w:szCs w:val="20"/>
          <w:color w:val="auto"/>
        </w:rPr>
      </w:pPr>
      <w:r>
        <w:rPr>
          <w:rFonts w:ascii="Arial" w:cs="Arial" w:eastAsia="Arial" w:hAnsi="Arial"/>
          <w:sz w:val="13"/>
          <w:szCs w:val="13"/>
          <w:color w:val="auto"/>
        </w:rPr>
        <w:t>In 2017, we implemented a new enterprise resource planning, or ERP, system, including our systems for tracking revenue recognition. Our ERP system is critical to our ability to accurately maintain books and records and to prepare our financial statements. The transition to our new ERP system may be disruptive to our business if the ERP system does not work as planned or if we experience issues relating to the implementation. Such disruptions could impact our ability to timely or accurately make payments to our suppliers and employees, and could also inhibit our ability to invoice, and collect from our users. Data integrity problems or other issues may be discovered which, if not corrected, could impact our business or financial results. In addition, we may experience periodic or prolonged disruption of our financial functions arising out of this conversion, general use of such system, other periodic upgrades or updates, or other external factors that are outside of our control. If we encounter unforeseen problems with our ERP system or other related systems and infrastructure, our business, results of operations, and financial condition could be adversely affected.</w:t>
      </w:r>
    </w:p>
    <w:p>
      <w:pPr>
        <w:spacing w:after="0" w:line="229" w:lineRule="exact"/>
        <w:rPr>
          <w:sz w:val="20"/>
          <w:szCs w:val="20"/>
          <w:color w:val="auto"/>
        </w:rPr>
      </w:pPr>
    </w:p>
    <w:p>
      <w:pPr>
        <w:ind w:left="1120"/>
        <w:spacing w:after="0" w:line="275" w:lineRule="auto"/>
        <w:rPr>
          <w:sz w:val="20"/>
          <w:szCs w:val="20"/>
          <w:color w:val="auto"/>
        </w:rPr>
      </w:pPr>
      <w:r>
        <w:rPr>
          <w:rFonts w:ascii="Arial" w:cs="Arial" w:eastAsia="Arial" w:hAnsi="Arial"/>
          <w:sz w:val="15"/>
          <w:szCs w:val="15"/>
          <w:b w:val="1"/>
          <w:bCs w:val="1"/>
          <w:i w:val="1"/>
          <w:iCs w:val="1"/>
          <w:color w:val="auto"/>
        </w:rPr>
        <w:t>Certain of our market opportunity estimates, growth forecasts, and key metrics included in this prospectus could prove to be inaccurate, and any real or perceived inaccuracies may harm our reputation and negatively affect our business.</w:t>
      </w:r>
    </w:p>
    <w:p>
      <w:pPr>
        <w:spacing w:after="0" w:line="56" w:lineRule="exact"/>
        <w:rPr>
          <w:sz w:val="20"/>
          <w:szCs w:val="20"/>
          <w:color w:val="auto"/>
        </w:rPr>
      </w:pPr>
    </w:p>
    <w:p>
      <w:pPr>
        <w:ind w:left="1120" w:right="60" w:firstLine="368"/>
        <w:spacing w:after="0" w:line="273" w:lineRule="auto"/>
        <w:rPr>
          <w:sz w:val="20"/>
          <w:szCs w:val="20"/>
          <w:color w:val="auto"/>
        </w:rPr>
      </w:pPr>
      <w:r>
        <w:rPr>
          <w:rFonts w:ascii="Arial" w:cs="Arial" w:eastAsia="Arial" w:hAnsi="Arial"/>
          <w:sz w:val="14"/>
          <w:szCs w:val="14"/>
          <w:color w:val="auto"/>
        </w:rPr>
        <w:t>Market opportunity estimates and growth forecasts are subject to significant uncertainty and are based on assumptions and estimates that may not prove to be accurate. The estimates and forecasts in this prospectus relating to the size and expected growth of our target market may prove to be inaccurate. Even if the markets in which we compete meet the size estimates and growth forecasted in this prospectus, our business could fail to grow at similar rates, if at all. We also rely on assumptions and estimates to calculate certain of our key metrics, such as paying users, average revenue per paying user, and free cash flow. We regularly review and may adjust our processes for calculating our key metrics to improve their accuracy. Our key metrics may differ from estimates published by third parties or from similarly titled metrics of our competitors due to differences in methodology. We have found that aggregate user activity metrics are not leading indicators of revenue or conversion. For that reason, we do not comprehensively track user activity across the Dropbox platform for financial planning and forecasting purposes. If investors or analysts do not perceive our metrics to be accurate representations of our business, or if we discover material inaccuracies in our metrics, our reputation, business, results of operations, and financial condition would be harmed.</w:t>
      </w:r>
    </w:p>
    <w:p>
      <w:pPr>
        <w:spacing w:after="0" w:line="244" w:lineRule="exact"/>
        <w:rPr>
          <w:sz w:val="20"/>
          <w:szCs w:val="20"/>
          <w:color w:val="auto"/>
        </w:rPr>
      </w:pPr>
    </w:p>
    <w:p>
      <w:pPr>
        <w:ind w:left="1120" w:right="100"/>
        <w:spacing w:after="0" w:line="263" w:lineRule="auto"/>
        <w:rPr>
          <w:sz w:val="20"/>
          <w:szCs w:val="20"/>
          <w:color w:val="auto"/>
        </w:rPr>
      </w:pPr>
      <w:r>
        <w:rPr>
          <w:rFonts w:ascii="Arial" w:cs="Arial" w:eastAsia="Arial" w:hAnsi="Arial"/>
          <w:sz w:val="15"/>
          <w:szCs w:val="15"/>
          <w:b w:val="1"/>
          <w:bCs w:val="1"/>
          <w:i w:val="1"/>
          <w:iCs w:val="1"/>
          <w:color w:val="auto"/>
        </w:rPr>
        <w:t>Our revolving credit facility provides our lenders with a first-priority lien against substantially all of our intellectual property and certain other assets, and contains financial covenants and other restrictions on our actions that may limit our operational flexibility or otherwise adversely affect our results of operations.</w:t>
      </w:r>
    </w:p>
    <w:p>
      <w:pPr>
        <w:spacing w:after="0" w:line="65" w:lineRule="exact"/>
        <w:rPr>
          <w:sz w:val="20"/>
          <w:szCs w:val="20"/>
          <w:color w:val="auto"/>
        </w:rPr>
      </w:pPr>
    </w:p>
    <w:p>
      <w:pPr>
        <w:ind w:left="1120" w:right="20" w:firstLine="368"/>
        <w:spacing w:after="0" w:line="276" w:lineRule="auto"/>
        <w:rPr>
          <w:sz w:val="20"/>
          <w:szCs w:val="20"/>
          <w:color w:val="auto"/>
        </w:rPr>
      </w:pPr>
      <w:r>
        <w:rPr>
          <w:rFonts w:ascii="Arial" w:cs="Arial" w:eastAsia="Arial" w:hAnsi="Arial"/>
          <w:sz w:val="14"/>
          <w:szCs w:val="14"/>
          <w:color w:val="auto"/>
        </w:rPr>
        <w:t>We are party to a revolving credit and guarantee agreement, as amended, which contains a number of covenants that limit our ability and our subsidiaries’ ability to, among other things, incur additional indebtedness, pay dividends, make redemptions and repurchases of stock, make investments, loans and acquisitions, create liens, engage in transactions with affiliates, merge or consolidate with other companies, or sell substantially all of our assets. We are also required to maintain certain financial covenants, including a maximum consolidated leverage ratio and a minimum liquidity balance. The terms of our revolving credit facility may restrict our current and future operations and could adversely affect our ability to finance our future operations or capital needs or to execute preferred business strategies. In addition, complying with these covenants may make it more difficult for us to successfully execute our business strategy and compete against companies who are not subject to such restrictions.</w:t>
      </w:r>
    </w:p>
    <w:p>
      <w:pPr>
        <w:spacing w:after="0" w:line="91" w:lineRule="exact"/>
        <w:rPr>
          <w:sz w:val="20"/>
          <w:szCs w:val="20"/>
          <w:color w:val="auto"/>
        </w:rPr>
      </w:pPr>
    </w:p>
    <w:p>
      <w:pPr>
        <w:ind w:left="5640"/>
        <w:spacing w:after="0"/>
        <w:rPr>
          <w:sz w:val="20"/>
          <w:szCs w:val="20"/>
          <w:color w:val="auto"/>
        </w:rPr>
      </w:pPr>
      <w:r>
        <w:rPr>
          <w:rFonts w:ascii="Arial" w:cs="Arial" w:eastAsia="Arial" w:hAnsi="Arial"/>
          <w:sz w:val="15"/>
          <w:szCs w:val="15"/>
          <w:color w:val="auto"/>
        </w:rPr>
        <w:t>36</w:t>
      </w:r>
    </w:p>
    <w:p>
      <w:pPr>
        <w:sectPr>
          <w:pgSz w:w="11900" w:h="16838" w:orient="portrait"/>
          <w:cols w:equalWidth="0" w:num="1">
            <w:col w:w="10320"/>
          </w:cols>
          <w:pgMar w:left="240" w:top="407" w:right="1339" w:bottom="1440" w:gutter="0" w:footer="0" w:header="0"/>
        </w:sectPr>
      </w:pPr>
    </w:p>
    <w:bookmarkStart w:id="43" w:name="page44"/>
    <w:bookmarkEnd w:id="43"/>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133350</wp:posOffset>
            </wp:positionH>
            <wp:positionV relativeFrom="page">
              <wp:posOffset>88900</wp:posOffset>
            </wp:positionV>
            <wp:extent cx="7308850" cy="342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308850" cy="34290"/>
                    </a:xfrm>
                    <a:prstGeom prst="rect">
                      <a:avLst/>
                    </a:prstGeom>
                    <a:noFill/>
                  </pic:spPr>
                </pic:pic>
              </a:graphicData>
            </a:graphic>
          </wp:anchor>
        </w:drawing>
      </w:r>
      <w:hyperlink w:anchor="page7">
        <w:r>
          <w:rPr>
            <w:rFonts w:ascii="Arial" w:cs="Arial" w:eastAsia="Arial" w:hAnsi="Arial"/>
            <w:sz w:val="15"/>
            <w:szCs w:val="15"/>
            <w:b w:val="1"/>
            <w:bCs w:val="1"/>
            <w:u w:val="single" w:color="auto"/>
            <w:color w:val="0000EE"/>
          </w:rPr>
          <w:t>Table of Contents</w:t>
        </w:r>
      </w:hyperlink>
    </w:p>
    <w:p>
      <w:pPr>
        <w:spacing w:after="0" w:line="260" w:lineRule="exact"/>
        <w:rPr>
          <w:sz w:val="20"/>
          <w:szCs w:val="20"/>
          <w:color w:val="auto"/>
        </w:rPr>
      </w:pPr>
    </w:p>
    <w:p>
      <w:pPr>
        <w:ind w:left="1120" w:right="80" w:firstLine="368"/>
        <w:spacing w:after="0" w:line="275" w:lineRule="auto"/>
        <w:rPr>
          <w:sz w:val="20"/>
          <w:szCs w:val="20"/>
          <w:color w:val="auto"/>
        </w:rPr>
      </w:pPr>
      <w:r>
        <w:rPr>
          <w:rFonts w:ascii="Arial" w:cs="Arial" w:eastAsia="Arial" w:hAnsi="Arial"/>
          <w:sz w:val="14"/>
          <w:szCs w:val="14"/>
          <w:color w:val="auto"/>
        </w:rPr>
        <w:t>A failure by us to comply with the covenants or payment requirements specified in our credit agreement, as amended, could result in an event of default under the agreement, which would give the lenders the right to terminate their commitments to provide additional loans under our revolving credit facility and to declare all borrowings outstanding, together with accrued and unpaid interest and fees, to be immediately due and payable. In addition, the lenders would have the right to proceed against the collateral we granted to them, which consists of substantially all our intellectual property and certain other assets. If the debt under our revolving credit facility were to be accelerated, we may not have sufficient cash or be able to borrow sufficient funds to refinance the debt or sell sufficient assets to repay the debt, which could immediately materially and adversely affect our business, cash flows, results of operations, and financial condition. Even if we were able to obtain new financing, it may not be on commercially reasonable terms or on terms that are acceptable to us.</w:t>
      </w:r>
    </w:p>
    <w:p>
      <w:pPr>
        <w:spacing w:after="0" w:line="239" w:lineRule="exact"/>
        <w:rPr>
          <w:sz w:val="20"/>
          <w:szCs w:val="20"/>
          <w:color w:val="auto"/>
        </w:rPr>
      </w:pPr>
    </w:p>
    <w:p>
      <w:pPr>
        <w:ind w:left="1120" w:right="60"/>
        <w:spacing w:after="0" w:line="275" w:lineRule="auto"/>
        <w:rPr>
          <w:sz w:val="20"/>
          <w:szCs w:val="20"/>
          <w:color w:val="auto"/>
        </w:rPr>
      </w:pPr>
      <w:r>
        <w:rPr>
          <w:rFonts w:ascii="Arial" w:cs="Arial" w:eastAsia="Arial" w:hAnsi="Arial"/>
          <w:sz w:val="15"/>
          <w:szCs w:val="15"/>
          <w:b w:val="1"/>
          <w:bCs w:val="1"/>
          <w:i w:val="1"/>
          <w:iCs w:val="1"/>
          <w:color w:val="auto"/>
        </w:rPr>
        <w:t>Our operations may be interrupted and our business, results of operations, and financial condition could be adversely affected if we default on our leasing or credit obligations.</w:t>
      </w:r>
    </w:p>
    <w:p>
      <w:pPr>
        <w:spacing w:after="0" w:line="56" w:lineRule="exact"/>
        <w:rPr>
          <w:sz w:val="20"/>
          <w:szCs w:val="20"/>
          <w:color w:val="auto"/>
        </w:rPr>
      </w:pPr>
    </w:p>
    <w:p>
      <w:pPr>
        <w:ind w:left="1120" w:right="40" w:firstLine="368"/>
        <w:spacing w:after="0" w:line="277" w:lineRule="auto"/>
        <w:rPr>
          <w:sz w:val="20"/>
          <w:szCs w:val="20"/>
          <w:color w:val="auto"/>
        </w:rPr>
      </w:pPr>
      <w:r>
        <w:rPr>
          <w:rFonts w:ascii="Arial" w:cs="Arial" w:eastAsia="Arial" w:hAnsi="Arial"/>
          <w:sz w:val="14"/>
          <w:szCs w:val="14"/>
          <w:color w:val="auto"/>
        </w:rPr>
        <w:t>We finance a significant portion of our expenditures through leasing arrangements, some of which are not required to be reflected on our balance sheet, and we may enter into additional similar arrangements in the future. As of December 31, 2017, we had an aggregate of $1,687.0 million of commitments to settle contractual obligations. In particular, we have used these types of arrangements to finance some of our equipment and datacenters. In addition, we may draw upon our revolving credit facility to finance our operations or for other corporate purposes, such as funding our tax withholding and remittance obligations in connection with the settlement of restricted stock units, or RSUs. If we default on these leasing or credit obligations, our leasing partners and lenders may, among other things:</w:t>
      </w:r>
    </w:p>
    <w:p>
      <w:pPr>
        <w:spacing w:after="0" w:line="69" w:lineRule="exact"/>
        <w:rPr>
          <w:sz w:val="20"/>
          <w:szCs w:val="20"/>
          <w:color w:val="auto"/>
        </w:rPr>
      </w:pPr>
    </w:p>
    <w:p>
      <w:pPr>
        <w:ind w:left="1840" w:hanging="276"/>
        <w:spacing w:after="0"/>
        <w:tabs>
          <w:tab w:leader="none" w:pos="1840" w:val="left"/>
        </w:tabs>
        <w:numPr>
          <w:ilvl w:val="0"/>
          <w:numId w:val="22"/>
        </w:numPr>
        <w:rPr>
          <w:rFonts w:ascii="Arial" w:cs="Arial" w:eastAsia="Arial" w:hAnsi="Arial"/>
          <w:sz w:val="15"/>
          <w:szCs w:val="15"/>
          <w:color w:val="auto"/>
        </w:rPr>
      </w:pPr>
      <w:r>
        <w:rPr>
          <w:rFonts w:ascii="Arial" w:cs="Arial" w:eastAsia="Arial" w:hAnsi="Arial"/>
          <w:sz w:val="15"/>
          <w:szCs w:val="15"/>
          <w:color w:val="auto"/>
        </w:rPr>
        <w:t>require repayment of any outstanding lease obligations;</w:t>
      </w:r>
    </w:p>
    <w:p>
      <w:pPr>
        <w:spacing w:after="0" w:line="109" w:lineRule="exact"/>
        <w:rPr>
          <w:rFonts w:ascii="Arial" w:cs="Arial" w:eastAsia="Arial" w:hAnsi="Arial"/>
          <w:sz w:val="15"/>
          <w:szCs w:val="15"/>
          <w:color w:val="auto"/>
        </w:rPr>
      </w:pPr>
    </w:p>
    <w:p>
      <w:pPr>
        <w:ind w:left="1840" w:hanging="276"/>
        <w:spacing w:after="0"/>
        <w:tabs>
          <w:tab w:leader="none" w:pos="1840" w:val="left"/>
        </w:tabs>
        <w:numPr>
          <w:ilvl w:val="0"/>
          <w:numId w:val="22"/>
        </w:numPr>
        <w:rPr>
          <w:rFonts w:ascii="Arial" w:cs="Arial" w:eastAsia="Arial" w:hAnsi="Arial"/>
          <w:sz w:val="15"/>
          <w:szCs w:val="15"/>
          <w:color w:val="auto"/>
        </w:rPr>
      </w:pPr>
      <w:r>
        <w:rPr>
          <w:rFonts w:ascii="Arial" w:cs="Arial" w:eastAsia="Arial" w:hAnsi="Arial"/>
          <w:sz w:val="15"/>
          <w:szCs w:val="15"/>
          <w:color w:val="auto"/>
        </w:rPr>
        <w:t>terminate our leasing arrangements;</w:t>
      </w:r>
    </w:p>
    <w:p>
      <w:pPr>
        <w:spacing w:after="0" w:line="109" w:lineRule="exact"/>
        <w:rPr>
          <w:rFonts w:ascii="Arial" w:cs="Arial" w:eastAsia="Arial" w:hAnsi="Arial"/>
          <w:sz w:val="15"/>
          <w:szCs w:val="15"/>
          <w:color w:val="auto"/>
        </w:rPr>
      </w:pPr>
    </w:p>
    <w:p>
      <w:pPr>
        <w:ind w:left="1840" w:hanging="276"/>
        <w:spacing w:after="0"/>
        <w:tabs>
          <w:tab w:leader="none" w:pos="1840" w:val="left"/>
        </w:tabs>
        <w:numPr>
          <w:ilvl w:val="0"/>
          <w:numId w:val="22"/>
        </w:numPr>
        <w:rPr>
          <w:rFonts w:ascii="Arial" w:cs="Arial" w:eastAsia="Arial" w:hAnsi="Arial"/>
          <w:sz w:val="15"/>
          <w:szCs w:val="15"/>
          <w:color w:val="auto"/>
        </w:rPr>
      </w:pPr>
      <w:r>
        <w:rPr>
          <w:rFonts w:ascii="Arial" w:cs="Arial" w:eastAsia="Arial" w:hAnsi="Arial"/>
          <w:sz w:val="15"/>
          <w:szCs w:val="15"/>
          <w:color w:val="auto"/>
        </w:rPr>
        <w:t>terminate our access to the leased datacenters we utilize;</w:t>
      </w:r>
    </w:p>
    <w:p>
      <w:pPr>
        <w:spacing w:after="0" w:line="109" w:lineRule="exact"/>
        <w:rPr>
          <w:rFonts w:ascii="Arial" w:cs="Arial" w:eastAsia="Arial" w:hAnsi="Arial"/>
          <w:sz w:val="15"/>
          <w:szCs w:val="15"/>
          <w:color w:val="auto"/>
        </w:rPr>
      </w:pPr>
    </w:p>
    <w:p>
      <w:pPr>
        <w:ind w:left="1840" w:hanging="276"/>
        <w:spacing w:after="0"/>
        <w:tabs>
          <w:tab w:leader="none" w:pos="1840" w:val="left"/>
        </w:tabs>
        <w:numPr>
          <w:ilvl w:val="0"/>
          <w:numId w:val="22"/>
        </w:numPr>
        <w:rPr>
          <w:rFonts w:ascii="Arial" w:cs="Arial" w:eastAsia="Arial" w:hAnsi="Arial"/>
          <w:sz w:val="15"/>
          <w:szCs w:val="15"/>
          <w:color w:val="auto"/>
        </w:rPr>
      </w:pPr>
      <w:r>
        <w:rPr>
          <w:rFonts w:ascii="Arial" w:cs="Arial" w:eastAsia="Arial" w:hAnsi="Arial"/>
          <w:sz w:val="15"/>
          <w:szCs w:val="15"/>
          <w:color w:val="auto"/>
        </w:rPr>
        <w:t>stop delivery of ordered equipment;</w:t>
      </w:r>
    </w:p>
    <w:p>
      <w:pPr>
        <w:spacing w:after="0" w:line="109" w:lineRule="exact"/>
        <w:rPr>
          <w:rFonts w:ascii="Arial" w:cs="Arial" w:eastAsia="Arial" w:hAnsi="Arial"/>
          <w:sz w:val="15"/>
          <w:szCs w:val="15"/>
          <w:color w:val="auto"/>
        </w:rPr>
      </w:pPr>
    </w:p>
    <w:p>
      <w:pPr>
        <w:ind w:left="1840" w:hanging="276"/>
        <w:spacing w:after="0"/>
        <w:tabs>
          <w:tab w:leader="none" w:pos="1840" w:val="left"/>
        </w:tabs>
        <w:numPr>
          <w:ilvl w:val="0"/>
          <w:numId w:val="22"/>
        </w:numPr>
        <w:rPr>
          <w:rFonts w:ascii="Arial" w:cs="Arial" w:eastAsia="Arial" w:hAnsi="Arial"/>
          <w:sz w:val="15"/>
          <w:szCs w:val="15"/>
          <w:color w:val="auto"/>
        </w:rPr>
      </w:pPr>
      <w:r>
        <w:rPr>
          <w:rFonts w:ascii="Arial" w:cs="Arial" w:eastAsia="Arial" w:hAnsi="Arial"/>
          <w:sz w:val="15"/>
          <w:szCs w:val="15"/>
          <w:color w:val="auto"/>
        </w:rPr>
        <w:t>sell or require us to return our leased equipment;</w:t>
      </w:r>
    </w:p>
    <w:p>
      <w:pPr>
        <w:spacing w:after="0" w:line="109" w:lineRule="exact"/>
        <w:rPr>
          <w:rFonts w:ascii="Arial" w:cs="Arial" w:eastAsia="Arial" w:hAnsi="Arial"/>
          <w:sz w:val="15"/>
          <w:szCs w:val="15"/>
          <w:color w:val="auto"/>
        </w:rPr>
      </w:pPr>
    </w:p>
    <w:p>
      <w:pPr>
        <w:ind w:left="1840" w:hanging="276"/>
        <w:spacing w:after="0"/>
        <w:tabs>
          <w:tab w:leader="none" w:pos="1840" w:val="left"/>
        </w:tabs>
        <w:numPr>
          <w:ilvl w:val="0"/>
          <w:numId w:val="22"/>
        </w:numPr>
        <w:rPr>
          <w:rFonts w:ascii="Arial" w:cs="Arial" w:eastAsia="Arial" w:hAnsi="Arial"/>
          <w:sz w:val="15"/>
          <w:szCs w:val="15"/>
          <w:color w:val="auto"/>
        </w:rPr>
      </w:pPr>
      <w:r>
        <w:rPr>
          <w:rFonts w:ascii="Arial" w:cs="Arial" w:eastAsia="Arial" w:hAnsi="Arial"/>
          <w:sz w:val="15"/>
          <w:szCs w:val="15"/>
          <w:color w:val="auto"/>
        </w:rPr>
        <w:t>require repayment of any outstanding amounts drawn on our revolving credit facility;</w:t>
      </w:r>
    </w:p>
    <w:p>
      <w:pPr>
        <w:spacing w:after="0" w:line="109" w:lineRule="exact"/>
        <w:rPr>
          <w:rFonts w:ascii="Arial" w:cs="Arial" w:eastAsia="Arial" w:hAnsi="Arial"/>
          <w:sz w:val="15"/>
          <w:szCs w:val="15"/>
          <w:color w:val="auto"/>
        </w:rPr>
      </w:pPr>
    </w:p>
    <w:p>
      <w:pPr>
        <w:ind w:left="1840" w:hanging="276"/>
        <w:spacing w:after="0"/>
        <w:tabs>
          <w:tab w:leader="none" w:pos="1840" w:val="left"/>
        </w:tabs>
        <w:numPr>
          <w:ilvl w:val="0"/>
          <w:numId w:val="22"/>
        </w:numPr>
        <w:rPr>
          <w:rFonts w:ascii="Arial" w:cs="Arial" w:eastAsia="Arial" w:hAnsi="Arial"/>
          <w:sz w:val="15"/>
          <w:szCs w:val="15"/>
          <w:color w:val="auto"/>
        </w:rPr>
      </w:pPr>
      <w:r>
        <w:rPr>
          <w:rFonts w:ascii="Arial" w:cs="Arial" w:eastAsia="Arial" w:hAnsi="Arial"/>
          <w:sz w:val="15"/>
          <w:szCs w:val="15"/>
          <w:color w:val="auto"/>
        </w:rPr>
        <w:t>terminate our revolving credit facility; or</w:t>
      </w:r>
    </w:p>
    <w:p>
      <w:pPr>
        <w:spacing w:after="0" w:line="109" w:lineRule="exact"/>
        <w:rPr>
          <w:rFonts w:ascii="Arial" w:cs="Arial" w:eastAsia="Arial" w:hAnsi="Arial"/>
          <w:sz w:val="15"/>
          <w:szCs w:val="15"/>
          <w:color w:val="auto"/>
        </w:rPr>
      </w:pPr>
    </w:p>
    <w:p>
      <w:pPr>
        <w:ind w:left="1840" w:hanging="276"/>
        <w:spacing w:after="0"/>
        <w:tabs>
          <w:tab w:leader="none" w:pos="1840" w:val="left"/>
        </w:tabs>
        <w:numPr>
          <w:ilvl w:val="0"/>
          <w:numId w:val="22"/>
        </w:numPr>
        <w:rPr>
          <w:rFonts w:ascii="Arial" w:cs="Arial" w:eastAsia="Arial" w:hAnsi="Arial"/>
          <w:sz w:val="15"/>
          <w:szCs w:val="15"/>
          <w:color w:val="auto"/>
        </w:rPr>
      </w:pPr>
      <w:r>
        <w:rPr>
          <w:rFonts w:ascii="Arial" w:cs="Arial" w:eastAsia="Arial" w:hAnsi="Arial"/>
          <w:sz w:val="15"/>
          <w:szCs w:val="15"/>
          <w:color w:val="auto"/>
        </w:rPr>
        <w:t>require us to pay significant fees, penalties, or damages.</w:t>
      </w:r>
    </w:p>
    <w:p>
      <w:pPr>
        <w:spacing w:after="0" w:line="188" w:lineRule="exact"/>
        <w:rPr>
          <w:sz w:val="20"/>
          <w:szCs w:val="20"/>
          <w:color w:val="auto"/>
        </w:rPr>
      </w:pPr>
    </w:p>
    <w:p>
      <w:pPr>
        <w:ind w:left="1120" w:firstLine="368"/>
        <w:spacing w:after="0" w:line="255" w:lineRule="auto"/>
        <w:rPr>
          <w:sz w:val="20"/>
          <w:szCs w:val="20"/>
          <w:color w:val="auto"/>
        </w:rPr>
      </w:pPr>
      <w:r>
        <w:rPr>
          <w:rFonts w:ascii="Arial" w:cs="Arial" w:eastAsia="Arial" w:hAnsi="Arial"/>
          <w:sz w:val="15"/>
          <w:szCs w:val="15"/>
          <w:color w:val="auto"/>
        </w:rPr>
        <w:t>In October 2017, we entered into a new lease agreement to rent office space in San Francisco, California, to serve as our new corporate headquarters. The total minimum obligations under this lease agreement are expected to be approximately $827.0 million. Before moving to our new corporate headquarters, we will continue to operate in our current corporate headquarters, during which time we will be incurring rent expense on both our current and new corporate headquarters. After moving to our new corporate headquarters, we plan to vacate our current corporate headquarters with the intention of subleasing the space to a third-party for the remainder of the lease term, which terminates in the third quarter of 2027. If we are unable to find sublessors for all or a portion of our current corporate headquarters, our results of operations will be adversely impacted as a result of this additional rent expense through 2027.</w:t>
      </w:r>
    </w:p>
    <w:p>
      <w:pPr>
        <w:spacing w:after="0" w:line="161" w:lineRule="exact"/>
        <w:rPr>
          <w:sz w:val="20"/>
          <w:szCs w:val="20"/>
          <w:color w:val="auto"/>
        </w:rPr>
      </w:pPr>
    </w:p>
    <w:p>
      <w:pPr>
        <w:ind w:left="1120" w:right="20" w:firstLine="368"/>
        <w:spacing w:after="0" w:line="275" w:lineRule="auto"/>
        <w:rPr>
          <w:sz w:val="20"/>
          <w:szCs w:val="20"/>
          <w:color w:val="auto"/>
        </w:rPr>
      </w:pPr>
      <w:r>
        <w:rPr>
          <w:rFonts w:ascii="Arial" w:cs="Arial" w:eastAsia="Arial" w:hAnsi="Arial"/>
          <w:sz w:val="15"/>
          <w:szCs w:val="15"/>
          <w:color w:val="auto"/>
        </w:rPr>
        <w:t>If some or all of these events were to occur, our operations may be interrupted and our ability to fund our operations or obligations, as well as our business, results of operations, and financial condition, could be adversely affected.</w:t>
      </w:r>
    </w:p>
    <w:p>
      <w:pPr>
        <w:spacing w:after="0" w:line="236" w:lineRule="exact"/>
        <w:rPr>
          <w:sz w:val="20"/>
          <w:szCs w:val="20"/>
          <w:color w:val="auto"/>
        </w:rPr>
      </w:pPr>
    </w:p>
    <w:p>
      <w:pPr>
        <w:jc w:val="center"/>
        <w:ind w:right="20"/>
        <w:spacing w:after="0"/>
        <w:rPr>
          <w:sz w:val="20"/>
          <w:szCs w:val="20"/>
          <w:color w:val="auto"/>
        </w:rPr>
      </w:pPr>
      <w:r>
        <w:rPr>
          <w:rFonts w:ascii="Arial" w:cs="Arial" w:eastAsia="Arial" w:hAnsi="Arial"/>
          <w:sz w:val="15"/>
          <w:szCs w:val="15"/>
          <w:b w:val="1"/>
          <w:bCs w:val="1"/>
          <w:i w:val="1"/>
          <w:iCs w:val="1"/>
          <w:color w:val="auto"/>
        </w:rPr>
        <w:t>We may need additional capital, and we cannot be certain that additional financing will be available on favorable terms, or at all.</w:t>
      </w:r>
    </w:p>
    <w:p>
      <w:pPr>
        <w:spacing w:after="0" w:line="98" w:lineRule="exact"/>
        <w:rPr>
          <w:sz w:val="20"/>
          <w:szCs w:val="20"/>
          <w:color w:val="auto"/>
        </w:rPr>
      </w:pPr>
    </w:p>
    <w:p>
      <w:pPr>
        <w:ind w:left="1120" w:right="20" w:firstLine="368"/>
        <w:spacing w:after="0" w:line="275" w:lineRule="auto"/>
        <w:rPr>
          <w:sz w:val="20"/>
          <w:szCs w:val="20"/>
          <w:color w:val="auto"/>
        </w:rPr>
      </w:pPr>
      <w:r>
        <w:rPr>
          <w:rFonts w:ascii="Arial" w:cs="Arial" w:eastAsia="Arial" w:hAnsi="Arial"/>
          <w:sz w:val="15"/>
          <w:szCs w:val="15"/>
          <w:color w:val="auto"/>
        </w:rPr>
        <w:t>Historically, we have funded our operations and capital expenditures primarily through equity issuances, cash generated from our operations, and debt financing for capital purchases. Although we currently anticipate</w:t>
      </w:r>
    </w:p>
    <w:p>
      <w:pPr>
        <w:spacing w:after="0" w:line="90" w:lineRule="exact"/>
        <w:rPr>
          <w:sz w:val="20"/>
          <w:szCs w:val="20"/>
          <w:color w:val="auto"/>
        </w:rPr>
      </w:pPr>
    </w:p>
    <w:p>
      <w:pPr>
        <w:ind w:left="5640"/>
        <w:spacing w:after="0"/>
        <w:rPr>
          <w:sz w:val="20"/>
          <w:szCs w:val="20"/>
          <w:color w:val="auto"/>
        </w:rPr>
      </w:pPr>
      <w:r>
        <w:rPr>
          <w:rFonts w:ascii="Arial" w:cs="Arial" w:eastAsia="Arial" w:hAnsi="Arial"/>
          <w:sz w:val="15"/>
          <w:szCs w:val="15"/>
          <w:color w:val="auto"/>
        </w:rPr>
        <w:t>37</w:t>
      </w:r>
    </w:p>
    <w:p>
      <w:pPr>
        <w:sectPr>
          <w:pgSz w:w="11900" w:h="16838" w:orient="portrait"/>
          <w:cols w:equalWidth="0" w:num="1">
            <w:col w:w="10240"/>
          </w:cols>
          <w:pgMar w:left="240" w:top="407" w:right="1419" w:bottom="1440" w:gutter="0" w:footer="0" w:header="0"/>
        </w:sectPr>
      </w:pPr>
    </w:p>
    <w:bookmarkStart w:id="44" w:name="page45"/>
    <w:bookmarkEnd w:id="44"/>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133350</wp:posOffset>
            </wp:positionH>
            <wp:positionV relativeFrom="page">
              <wp:posOffset>88900</wp:posOffset>
            </wp:positionV>
            <wp:extent cx="7308850" cy="342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308850" cy="34290"/>
                    </a:xfrm>
                    <a:prstGeom prst="rect">
                      <a:avLst/>
                    </a:prstGeom>
                    <a:noFill/>
                  </pic:spPr>
                </pic:pic>
              </a:graphicData>
            </a:graphic>
          </wp:anchor>
        </w:drawing>
      </w:r>
      <w:hyperlink w:anchor="page7">
        <w:r>
          <w:rPr>
            <w:rFonts w:ascii="Arial" w:cs="Arial" w:eastAsia="Arial" w:hAnsi="Arial"/>
            <w:sz w:val="15"/>
            <w:szCs w:val="15"/>
            <w:b w:val="1"/>
            <w:bCs w:val="1"/>
            <w:u w:val="single" w:color="auto"/>
            <w:color w:val="0000EE"/>
          </w:rPr>
          <w:t>Table of Contents</w:t>
        </w:r>
      </w:hyperlink>
    </w:p>
    <w:p>
      <w:pPr>
        <w:spacing w:after="0" w:line="260" w:lineRule="exact"/>
        <w:rPr>
          <w:sz w:val="20"/>
          <w:szCs w:val="20"/>
          <w:color w:val="auto"/>
        </w:rPr>
      </w:pPr>
    </w:p>
    <w:p>
      <w:pPr>
        <w:ind w:left="1120" w:right="140"/>
        <w:spacing w:after="0" w:line="277" w:lineRule="auto"/>
        <w:rPr>
          <w:sz w:val="20"/>
          <w:szCs w:val="20"/>
          <w:color w:val="auto"/>
        </w:rPr>
      </w:pPr>
      <w:r>
        <w:rPr>
          <w:rFonts w:ascii="Arial" w:cs="Arial" w:eastAsia="Arial" w:hAnsi="Arial"/>
          <w:sz w:val="14"/>
          <w:szCs w:val="14"/>
          <w:color w:val="auto"/>
        </w:rPr>
        <w:t>that our existing cash and cash equivalents, amounts available under our existing credit facilities, and cash flow from operations will be sufficient to meet our cash needs for the foreseeable future, we may require additional financing. We evaluate financing opportunities from time to time, and our ability to obtain financing will depend, among other things, on our development efforts, business plans, operating performance, and condition of the capital markets at the time we seek financing. We cannot assure you that additional financing will be available to us on favorable terms when required, or at all. If we raise additional funds through the issuance of equity or equity-linked or debt securities, those securities may have rights, preferences or privileges senior to the rights of our Class A common stock, and our stockholders may experience dilution.</w:t>
      </w:r>
    </w:p>
    <w:p>
      <w:pPr>
        <w:spacing w:after="0" w:line="235" w:lineRule="exact"/>
        <w:rPr>
          <w:sz w:val="20"/>
          <w:szCs w:val="20"/>
          <w:color w:val="auto"/>
        </w:rPr>
      </w:pPr>
    </w:p>
    <w:p>
      <w:pPr>
        <w:ind w:left="3820"/>
        <w:spacing w:after="0"/>
        <w:rPr>
          <w:sz w:val="20"/>
          <w:szCs w:val="20"/>
          <w:color w:val="auto"/>
        </w:rPr>
      </w:pPr>
      <w:r>
        <w:rPr>
          <w:rFonts w:ascii="Arial" w:cs="Arial" w:eastAsia="Arial" w:hAnsi="Arial"/>
          <w:sz w:val="15"/>
          <w:szCs w:val="15"/>
          <w:b w:val="1"/>
          <w:bCs w:val="1"/>
          <w:color w:val="auto"/>
        </w:rPr>
        <w:t>Risks Related to Ownership of Our Class A Common Stock</w:t>
      </w:r>
    </w:p>
    <w:p>
      <w:pPr>
        <w:spacing w:after="0" w:line="192" w:lineRule="exact"/>
        <w:rPr>
          <w:sz w:val="20"/>
          <w:szCs w:val="20"/>
          <w:color w:val="auto"/>
        </w:rPr>
      </w:pPr>
    </w:p>
    <w:p>
      <w:pPr>
        <w:ind w:left="1120"/>
        <w:spacing w:after="0"/>
        <w:rPr>
          <w:sz w:val="20"/>
          <w:szCs w:val="20"/>
          <w:color w:val="auto"/>
        </w:rPr>
      </w:pPr>
      <w:r>
        <w:rPr>
          <w:rFonts w:ascii="Arial" w:cs="Arial" w:eastAsia="Arial" w:hAnsi="Arial"/>
          <w:sz w:val="15"/>
          <w:szCs w:val="15"/>
          <w:b w:val="1"/>
          <w:bCs w:val="1"/>
          <w:i w:val="1"/>
          <w:iCs w:val="1"/>
          <w:color w:val="auto"/>
        </w:rPr>
        <w:t>An active trading market for our Class A common stock may never develop or be sustained.</w:t>
      </w:r>
    </w:p>
    <w:p>
      <w:pPr>
        <w:spacing w:after="0" w:line="98" w:lineRule="exact"/>
        <w:rPr>
          <w:sz w:val="20"/>
          <w:szCs w:val="20"/>
          <w:color w:val="auto"/>
        </w:rPr>
      </w:pPr>
    </w:p>
    <w:p>
      <w:pPr>
        <w:ind w:left="1120" w:right="260" w:firstLine="368"/>
        <w:spacing w:after="0" w:line="257" w:lineRule="auto"/>
        <w:rPr>
          <w:sz w:val="20"/>
          <w:szCs w:val="20"/>
          <w:color w:val="auto"/>
        </w:rPr>
      </w:pPr>
      <w:r>
        <w:rPr>
          <w:rFonts w:ascii="Arial" w:cs="Arial" w:eastAsia="Arial" w:hAnsi="Arial"/>
          <w:sz w:val="15"/>
          <w:szCs w:val="15"/>
          <w:color w:val="auto"/>
        </w:rPr>
        <w:t>We have been approved to list our Class A common stock on Nasdaq under the symbol “DBX”. However, we cannot assure you that an active trading market for our Class A common stock will develop on that exchange or elsewhere or, if developed, that any market will be sustained. Accordingly, we cannot assure you of the likelihood that an active trading market for our Class A common stock will develop or be maintained, the liquidity of any trading market, your ability to sell your shares of our Class A common stock when desired or the prices that you may obtain for your shares.</w:t>
      </w:r>
    </w:p>
    <w:p>
      <w:pPr>
        <w:spacing w:after="0" w:line="249" w:lineRule="exact"/>
        <w:rPr>
          <w:sz w:val="20"/>
          <w:szCs w:val="20"/>
          <w:color w:val="auto"/>
        </w:rPr>
      </w:pPr>
    </w:p>
    <w:p>
      <w:pPr>
        <w:ind w:left="1120"/>
        <w:spacing w:after="0"/>
        <w:rPr>
          <w:sz w:val="20"/>
          <w:szCs w:val="20"/>
          <w:color w:val="auto"/>
        </w:rPr>
      </w:pPr>
      <w:r>
        <w:rPr>
          <w:rFonts w:ascii="Arial" w:cs="Arial" w:eastAsia="Arial" w:hAnsi="Arial"/>
          <w:sz w:val="15"/>
          <w:szCs w:val="15"/>
          <w:b w:val="1"/>
          <w:bCs w:val="1"/>
          <w:i w:val="1"/>
          <w:iCs w:val="1"/>
          <w:color w:val="auto"/>
        </w:rPr>
        <w:t>The trading price of our Class A common stock may be volatile, and you could lose all or part of your investment.</w:t>
      </w:r>
    </w:p>
    <w:p>
      <w:pPr>
        <w:spacing w:after="0" w:line="98" w:lineRule="exact"/>
        <w:rPr>
          <w:sz w:val="20"/>
          <w:szCs w:val="20"/>
          <w:color w:val="auto"/>
        </w:rPr>
      </w:pPr>
    </w:p>
    <w:p>
      <w:pPr>
        <w:ind w:left="1120" w:firstLine="368"/>
        <w:spacing w:after="0" w:line="255" w:lineRule="auto"/>
        <w:rPr>
          <w:sz w:val="20"/>
          <w:szCs w:val="20"/>
          <w:color w:val="auto"/>
        </w:rPr>
      </w:pPr>
      <w:r>
        <w:rPr>
          <w:rFonts w:ascii="Arial" w:cs="Arial" w:eastAsia="Arial" w:hAnsi="Arial"/>
          <w:sz w:val="15"/>
          <w:szCs w:val="15"/>
          <w:color w:val="auto"/>
        </w:rPr>
        <w:t>Prior to this offering, there has been no public market for shares of our Class A common stock. The initial public offering price of our Class A common stock was determined through negotiation among us, the selling stockholders, and the underwriters. This price does not necessarily reflect the price at which investors in the market will be willing to buy and sell shares of our Class A common stock following this offering. In addition, the trading price of our Class A common stock following this offering is likely to be volatile and could be subject to fluctuations in response to various factors, some of which are beyond our control. These fluctuations could cause you to lose all or part of your investment in our Class A common stock since you might be unable to sell your shares at or above the price you paid in this offering. Factors that could cause fluctuations in the trading price of our Class A common stock include the following:</w:t>
      </w:r>
    </w:p>
    <w:p>
      <w:pPr>
        <w:spacing w:after="0" w:line="82" w:lineRule="exact"/>
        <w:rPr>
          <w:sz w:val="20"/>
          <w:szCs w:val="20"/>
          <w:color w:val="auto"/>
        </w:rPr>
      </w:pPr>
    </w:p>
    <w:p>
      <w:pPr>
        <w:ind w:left="1840" w:hanging="276"/>
        <w:spacing w:after="0"/>
        <w:tabs>
          <w:tab w:leader="none" w:pos="1840" w:val="left"/>
        </w:tabs>
        <w:numPr>
          <w:ilvl w:val="0"/>
          <w:numId w:val="23"/>
        </w:numPr>
        <w:rPr>
          <w:rFonts w:ascii="Arial" w:cs="Arial" w:eastAsia="Arial" w:hAnsi="Arial"/>
          <w:sz w:val="15"/>
          <w:szCs w:val="15"/>
          <w:color w:val="auto"/>
        </w:rPr>
      </w:pPr>
      <w:r>
        <w:rPr>
          <w:rFonts w:ascii="Arial" w:cs="Arial" w:eastAsia="Arial" w:hAnsi="Arial"/>
          <w:sz w:val="15"/>
          <w:szCs w:val="15"/>
          <w:color w:val="auto"/>
        </w:rPr>
        <w:t>price and volume fluctuations in the overall stock market from time to time;</w:t>
      </w:r>
    </w:p>
    <w:p>
      <w:pPr>
        <w:spacing w:after="0" w:line="109" w:lineRule="exact"/>
        <w:rPr>
          <w:rFonts w:ascii="Arial" w:cs="Arial" w:eastAsia="Arial" w:hAnsi="Arial"/>
          <w:sz w:val="15"/>
          <w:szCs w:val="15"/>
          <w:color w:val="auto"/>
        </w:rPr>
      </w:pPr>
    </w:p>
    <w:p>
      <w:pPr>
        <w:ind w:left="1840" w:hanging="276"/>
        <w:spacing w:after="0"/>
        <w:tabs>
          <w:tab w:leader="none" w:pos="1840" w:val="left"/>
        </w:tabs>
        <w:numPr>
          <w:ilvl w:val="0"/>
          <w:numId w:val="23"/>
        </w:numPr>
        <w:rPr>
          <w:rFonts w:ascii="Arial" w:cs="Arial" w:eastAsia="Arial" w:hAnsi="Arial"/>
          <w:sz w:val="15"/>
          <w:szCs w:val="15"/>
          <w:color w:val="auto"/>
        </w:rPr>
      </w:pPr>
      <w:r>
        <w:rPr>
          <w:rFonts w:ascii="Arial" w:cs="Arial" w:eastAsia="Arial" w:hAnsi="Arial"/>
          <w:sz w:val="15"/>
          <w:szCs w:val="15"/>
          <w:color w:val="auto"/>
        </w:rPr>
        <w:t>volatility in the trading prices and trading volumes of technology stocks;</w:t>
      </w:r>
    </w:p>
    <w:p>
      <w:pPr>
        <w:spacing w:after="0" w:line="109" w:lineRule="exact"/>
        <w:rPr>
          <w:rFonts w:ascii="Arial" w:cs="Arial" w:eastAsia="Arial" w:hAnsi="Arial"/>
          <w:sz w:val="15"/>
          <w:szCs w:val="15"/>
          <w:color w:val="auto"/>
        </w:rPr>
      </w:pPr>
    </w:p>
    <w:p>
      <w:pPr>
        <w:ind w:left="1840" w:right="620" w:hanging="276"/>
        <w:spacing w:after="0" w:line="275" w:lineRule="auto"/>
        <w:tabs>
          <w:tab w:leader="none" w:pos="1840" w:val="left"/>
        </w:tabs>
        <w:numPr>
          <w:ilvl w:val="0"/>
          <w:numId w:val="23"/>
        </w:numPr>
        <w:rPr>
          <w:rFonts w:ascii="Arial" w:cs="Arial" w:eastAsia="Arial" w:hAnsi="Arial"/>
          <w:sz w:val="15"/>
          <w:szCs w:val="15"/>
          <w:color w:val="auto"/>
        </w:rPr>
      </w:pPr>
      <w:r>
        <w:rPr>
          <w:rFonts w:ascii="Arial" w:cs="Arial" w:eastAsia="Arial" w:hAnsi="Arial"/>
          <w:sz w:val="15"/>
          <w:szCs w:val="15"/>
          <w:color w:val="auto"/>
        </w:rPr>
        <w:t>changes in operating performance and stock market valuations of other technology companies generally, or those in our industry in particular;</w:t>
      </w:r>
    </w:p>
    <w:p>
      <w:pPr>
        <w:spacing w:after="0" w:line="67" w:lineRule="exact"/>
        <w:rPr>
          <w:rFonts w:ascii="Arial" w:cs="Arial" w:eastAsia="Arial" w:hAnsi="Arial"/>
          <w:sz w:val="15"/>
          <w:szCs w:val="15"/>
          <w:color w:val="auto"/>
        </w:rPr>
      </w:pPr>
    </w:p>
    <w:p>
      <w:pPr>
        <w:ind w:left="1840" w:hanging="276"/>
        <w:spacing w:after="0"/>
        <w:tabs>
          <w:tab w:leader="none" w:pos="1840" w:val="left"/>
        </w:tabs>
        <w:numPr>
          <w:ilvl w:val="0"/>
          <w:numId w:val="23"/>
        </w:numPr>
        <w:rPr>
          <w:rFonts w:ascii="Arial" w:cs="Arial" w:eastAsia="Arial" w:hAnsi="Arial"/>
          <w:sz w:val="15"/>
          <w:szCs w:val="15"/>
          <w:color w:val="auto"/>
        </w:rPr>
      </w:pPr>
      <w:r>
        <w:rPr>
          <w:rFonts w:ascii="Arial" w:cs="Arial" w:eastAsia="Arial" w:hAnsi="Arial"/>
          <w:sz w:val="15"/>
          <w:szCs w:val="15"/>
          <w:color w:val="auto"/>
        </w:rPr>
        <w:t>sales of shares of our Class A common stock by us or our stockholders;</w:t>
      </w:r>
    </w:p>
    <w:p>
      <w:pPr>
        <w:spacing w:after="0" w:line="109" w:lineRule="exact"/>
        <w:rPr>
          <w:rFonts w:ascii="Arial" w:cs="Arial" w:eastAsia="Arial" w:hAnsi="Arial"/>
          <w:sz w:val="15"/>
          <w:szCs w:val="15"/>
          <w:color w:val="auto"/>
        </w:rPr>
      </w:pPr>
    </w:p>
    <w:p>
      <w:pPr>
        <w:ind w:left="1840" w:right="240" w:hanging="276"/>
        <w:spacing w:after="0" w:line="275" w:lineRule="auto"/>
        <w:tabs>
          <w:tab w:leader="none" w:pos="1840" w:val="left"/>
        </w:tabs>
        <w:numPr>
          <w:ilvl w:val="0"/>
          <w:numId w:val="23"/>
        </w:numPr>
        <w:rPr>
          <w:rFonts w:ascii="Arial" w:cs="Arial" w:eastAsia="Arial" w:hAnsi="Arial"/>
          <w:sz w:val="15"/>
          <w:szCs w:val="15"/>
          <w:color w:val="auto"/>
        </w:rPr>
      </w:pPr>
      <w:r>
        <w:rPr>
          <w:rFonts w:ascii="Arial" w:cs="Arial" w:eastAsia="Arial" w:hAnsi="Arial"/>
          <w:sz w:val="15"/>
          <w:szCs w:val="15"/>
          <w:color w:val="auto"/>
        </w:rPr>
        <w:t>failure of securities analysts to maintain coverage of us, changes in financial estimates by securities analysts who follow our company, or our failure to meet these estimates or the expectations of investors;</w:t>
      </w:r>
    </w:p>
    <w:p>
      <w:pPr>
        <w:spacing w:after="0" w:line="67" w:lineRule="exact"/>
        <w:rPr>
          <w:rFonts w:ascii="Arial" w:cs="Arial" w:eastAsia="Arial" w:hAnsi="Arial"/>
          <w:sz w:val="15"/>
          <w:szCs w:val="15"/>
          <w:color w:val="auto"/>
        </w:rPr>
      </w:pPr>
    </w:p>
    <w:p>
      <w:pPr>
        <w:ind w:left="1840" w:hanging="276"/>
        <w:spacing w:after="0"/>
        <w:tabs>
          <w:tab w:leader="none" w:pos="1840" w:val="left"/>
        </w:tabs>
        <w:numPr>
          <w:ilvl w:val="0"/>
          <w:numId w:val="23"/>
        </w:numPr>
        <w:rPr>
          <w:rFonts w:ascii="Arial" w:cs="Arial" w:eastAsia="Arial" w:hAnsi="Arial"/>
          <w:sz w:val="15"/>
          <w:szCs w:val="15"/>
          <w:color w:val="auto"/>
        </w:rPr>
      </w:pPr>
      <w:r>
        <w:rPr>
          <w:rFonts w:ascii="Arial" w:cs="Arial" w:eastAsia="Arial" w:hAnsi="Arial"/>
          <w:sz w:val="15"/>
          <w:szCs w:val="15"/>
          <w:color w:val="auto"/>
        </w:rPr>
        <w:t>the financial projections we may provide to the public, any changes in those projections, or our failure to meet those projections;</w:t>
      </w:r>
    </w:p>
    <w:p>
      <w:pPr>
        <w:spacing w:after="0" w:line="109" w:lineRule="exact"/>
        <w:rPr>
          <w:rFonts w:ascii="Arial" w:cs="Arial" w:eastAsia="Arial" w:hAnsi="Arial"/>
          <w:sz w:val="15"/>
          <w:szCs w:val="15"/>
          <w:color w:val="auto"/>
        </w:rPr>
      </w:pPr>
    </w:p>
    <w:p>
      <w:pPr>
        <w:ind w:left="1840" w:hanging="276"/>
        <w:spacing w:after="0"/>
        <w:tabs>
          <w:tab w:leader="none" w:pos="1840" w:val="left"/>
        </w:tabs>
        <w:numPr>
          <w:ilvl w:val="0"/>
          <w:numId w:val="23"/>
        </w:numPr>
        <w:rPr>
          <w:rFonts w:ascii="Arial" w:cs="Arial" w:eastAsia="Arial" w:hAnsi="Arial"/>
          <w:sz w:val="15"/>
          <w:szCs w:val="15"/>
          <w:color w:val="auto"/>
        </w:rPr>
      </w:pPr>
      <w:r>
        <w:rPr>
          <w:rFonts w:ascii="Arial" w:cs="Arial" w:eastAsia="Arial" w:hAnsi="Arial"/>
          <w:sz w:val="15"/>
          <w:szCs w:val="15"/>
          <w:color w:val="auto"/>
        </w:rPr>
        <w:t>announcements by us or our competitors of new products, features, or services;</w:t>
      </w:r>
    </w:p>
    <w:p>
      <w:pPr>
        <w:spacing w:after="0" w:line="109" w:lineRule="exact"/>
        <w:rPr>
          <w:rFonts w:ascii="Arial" w:cs="Arial" w:eastAsia="Arial" w:hAnsi="Arial"/>
          <w:sz w:val="15"/>
          <w:szCs w:val="15"/>
          <w:color w:val="auto"/>
        </w:rPr>
      </w:pPr>
    </w:p>
    <w:p>
      <w:pPr>
        <w:ind w:left="1840" w:hanging="276"/>
        <w:spacing w:after="0"/>
        <w:tabs>
          <w:tab w:leader="none" w:pos="1840" w:val="left"/>
        </w:tabs>
        <w:numPr>
          <w:ilvl w:val="0"/>
          <w:numId w:val="23"/>
        </w:numPr>
        <w:rPr>
          <w:rFonts w:ascii="Arial" w:cs="Arial" w:eastAsia="Arial" w:hAnsi="Arial"/>
          <w:sz w:val="15"/>
          <w:szCs w:val="15"/>
          <w:color w:val="auto"/>
        </w:rPr>
      </w:pPr>
      <w:r>
        <w:rPr>
          <w:rFonts w:ascii="Arial" w:cs="Arial" w:eastAsia="Arial" w:hAnsi="Arial"/>
          <w:sz w:val="15"/>
          <w:szCs w:val="15"/>
          <w:color w:val="auto"/>
        </w:rPr>
        <w:t>the public’s reaction to our press releases, other public announcements, and filings with the SEC;</w:t>
      </w:r>
    </w:p>
    <w:p>
      <w:pPr>
        <w:spacing w:after="0" w:line="109" w:lineRule="exact"/>
        <w:rPr>
          <w:rFonts w:ascii="Arial" w:cs="Arial" w:eastAsia="Arial" w:hAnsi="Arial"/>
          <w:sz w:val="15"/>
          <w:szCs w:val="15"/>
          <w:color w:val="auto"/>
        </w:rPr>
      </w:pPr>
    </w:p>
    <w:p>
      <w:pPr>
        <w:ind w:left="1840" w:hanging="276"/>
        <w:spacing w:after="0"/>
        <w:tabs>
          <w:tab w:leader="none" w:pos="1840" w:val="left"/>
        </w:tabs>
        <w:numPr>
          <w:ilvl w:val="0"/>
          <w:numId w:val="23"/>
        </w:numPr>
        <w:rPr>
          <w:rFonts w:ascii="Arial" w:cs="Arial" w:eastAsia="Arial" w:hAnsi="Arial"/>
          <w:sz w:val="15"/>
          <w:szCs w:val="15"/>
          <w:color w:val="auto"/>
        </w:rPr>
      </w:pPr>
      <w:r>
        <w:rPr>
          <w:rFonts w:ascii="Arial" w:cs="Arial" w:eastAsia="Arial" w:hAnsi="Arial"/>
          <w:sz w:val="15"/>
          <w:szCs w:val="15"/>
          <w:color w:val="auto"/>
        </w:rPr>
        <w:t>rumors and market speculation involving us or other companies in our industry;</w:t>
      </w:r>
    </w:p>
    <w:p>
      <w:pPr>
        <w:spacing w:after="0" w:line="109" w:lineRule="exact"/>
        <w:rPr>
          <w:rFonts w:ascii="Arial" w:cs="Arial" w:eastAsia="Arial" w:hAnsi="Arial"/>
          <w:sz w:val="15"/>
          <w:szCs w:val="15"/>
          <w:color w:val="auto"/>
        </w:rPr>
      </w:pPr>
    </w:p>
    <w:p>
      <w:pPr>
        <w:ind w:left="1840" w:hanging="276"/>
        <w:spacing w:after="0"/>
        <w:tabs>
          <w:tab w:leader="none" w:pos="1840" w:val="left"/>
        </w:tabs>
        <w:numPr>
          <w:ilvl w:val="0"/>
          <w:numId w:val="23"/>
        </w:numPr>
        <w:rPr>
          <w:rFonts w:ascii="Arial" w:cs="Arial" w:eastAsia="Arial" w:hAnsi="Arial"/>
          <w:sz w:val="15"/>
          <w:szCs w:val="15"/>
          <w:color w:val="auto"/>
        </w:rPr>
      </w:pPr>
      <w:r>
        <w:rPr>
          <w:rFonts w:ascii="Arial" w:cs="Arial" w:eastAsia="Arial" w:hAnsi="Arial"/>
          <w:sz w:val="15"/>
          <w:szCs w:val="15"/>
          <w:color w:val="auto"/>
        </w:rPr>
        <w:t>actual or anticipated changes in our results of operations or fluctuations in our results of operations;</w:t>
      </w:r>
    </w:p>
    <w:p>
      <w:pPr>
        <w:spacing w:after="0" w:line="132" w:lineRule="exact"/>
        <w:rPr>
          <w:sz w:val="20"/>
          <w:szCs w:val="20"/>
          <w:color w:val="auto"/>
        </w:rPr>
      </w:pPr>
    </w:p>
    <w:p>
      <w:pPr>
        <w:ind w:left="5640"/>
        <w:spacing w:after="0"/>
        <w:rPr>
          <w:sz w:val="20"/>
          <w:szCs w:val="20"/>
          <w:color w:val="auto"/>
        </w:rPr>
      </w:pPr>
      <w:r>
        <w:rPr>
          <w:rFonts w:ascii="Arial" w:cs="Arial" w:eastAsia="Arial" w:hAnsi="Arial"/>
          <w:sz w:val="15"/>
          <w:szCs w:val="15"/>
          <w:color w:val="auto"/>
        </w:rPr>
        <w:t>38</w:t>
      </w:r>
    </w:p>
    <w:p>
      <w:pPr>
        <w:sectPr>
          <w:pgSz w:w="11900" w:h="16838" w:orient="portrait"/>
          <w:cols w:equalWidth="0" w:num="1">
            <w:col w:w="10320"/>
          </w:cols>
          <w:pgMar w:left="240" w:top="407" w:right="1339" w:bottom="1440" w:gutter="0" w:footer="0" w:header="0"/>
        </w:sectPr>
      </w:pPr>
    </w:p>
    <w:bookmarkStart w:id="45" w:name="page46"/>
    <w:bookmarkEnd w:id="45"/>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133350</wp:posOffset>
            </wp:positionH>
            <wp:positionV relativeFrom="page">
              <wp:posOffset>88900</wp:posOffset>
            </wp:positionV>
            <wp:extent cx="7308850" cy="342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308850" cy="34290"/>
                    </a:xfrm>
                    <a:prstGeom prst="rect">
                      <a:avLst/>
                    </a:prstGeom>
                    <a:noFill/>
                  </pic:spPr>
                </pic:pic>
              </a:graphicData>
            </a:graphic>
          </wp:anchor>
        </w:drawing>
      </w:r>
      <w:hyperlink w:anchor="page7">
        <w:r>
          <w:rPr>
            <w:rFonts w:ascii="Arial" w:cs="Arial" w:eastAsia="Arial" w:hAnsi="Arial"/>
            <w:sz w:val="15"/>
            <w:szCs w:val="15"/>
            <w:b w:val="1"/>
            <w:bCs w:val="1"/>
            <w:u w:val="single" w:color="auto"/>
            <w:color w:val="0000EE"/>
          </w:rPr>
          <w:t>Table of Contents</w:t>
        </w:r>
      </w:hyperlink>
    </w:p>
    <w:p>
      <w:pPr>
        <w:spacing w:after="0" w:line="260" w:lineRule="exact"/>
        <w:rPr>
          <w:sz w:val="20"/>
          <w:szCs w:val="20"/>
          <w:color w:val="auto"/>
        </w:rPr>
      </w:pPr>
    </w:p>
    <w:p>
      <w:pPr>
        <w:ind w:left="1840" w:hanging="276"/>
        <w:spacing w:after="0"/>
        <w:tabs>
          <w:tab w:leader="none" w:pos="1840" w:val="left"/>
        </w:tabs>
        <w:numPr>
          <w:ilvl w:val="0"/>
          <w:numId w:val="24"/>
        </w:numPr>
        <w:rPr>
          <w:rFonts w:ascii="Arial" w:cs="Arial" w:eastAsia="Arial" w:hAnsi="Arial"/>
          <w:sz w:val="15"/>
          <w:szCs w:val="15"/>
          <w:color w:val="auto"/>
        </w:rPr>
      </w:pPr>
      <w:r>
        <w:rPr>
          <w:rFonts w:ascii="Arial" w:cs="Arial" w:eastAsia="Arial" w:hAnsi="Arial"/>
          <w:sz w:val="15"/>
          <w:szCs w:val="15"/>
          <w:color w:val="auto"/>
        </w:rPr>
        <w:t>actual or anticipated developments in our business, our competitors’ businesses or the competitive landscape generally;</w:t>
      </w:r>
    </w:p>
    <w:p>
      <w:pPr>
        <w:spacing w:after="0" w:line="109" w:lineRule="exact"/>
        <w:rPr>
          <w:rFonts w:ascii="Arial" w:cs="Arial" w:eastAsia="Arial" w:hAnsi="Arial"/>
          <w:sz w:val="15"/>
          <w:szCs w:val="15"/>
          <w:color w:val="auto"/>
        </w:rPr>
      </w:pPr>
    </w:p>
    <w:p>
      <w:pPr>
        <w:ind w:left="1840" w:hanging="276"/>
        <w:spacing w:after="0"/>
        <w:tabs>
          <w:tab w:leader="none" w:pos="1840" w:val="left"/>
        </w:tabs>
        <w:numPr>
          <w:ilvl w:val="0"/>
          <w:numId w:val="24"/>
        </w:numPr>
        <w:rPr>
          <w:rFonts w:ascii="Arial" w:cs="Arial" w:eastAsia="Arial" w:hAnsi="Arial"/>
          <w:sz w:val="15"/>
          <w:szCs w:val="15"/>
          <w:color w:val="auto"/>
        </w:rPr>
      </w:pPr>
      <w:r>
        <w:rPr>
          <w:rFonts w:ascii="Arial" w:cs="Arial" w:eastAsia="Arial" w:hAnsi="Arial"/>
          <w:sz w:val="15"/>
          <w:szCs w:val="15"/>
          <w:color w:val="auto"/>
        </w:rPr>
        <w:t>litigation involving us, our industry, or both, or investigations by regulators into our operations or those of our competitors;</w:t>
      </w:r>
    </w:p>
    <w:p>
      <w:pPr>
        <w:spacing w:after="0" w:line="109" w:lineRule="exact"/>
        <w:rPr>
          <w:rFonts w:ascii="Arial" w:cs="Arial" w:eastAsia="Arial" w:hAnsi="Arial"/>
          <w:sz w:val="15"/>
          <w:szCs w:val="15"/>
          <w:color w:val="auto"/>
        </w:rPr>
      </w:pPr>
    </w:p>
    <w:p>
      <w:pPr>
        <w:ind w:left="1840" w:hanging="276"/>
        <w:spacing w:after="0"/>
        <w:tabs>
          <w:tab w:leader="none" w:pos="1840" w:val="left"/>
        </w:tabs>
        <w:numPr>
          <w:ilvl w:val="0"/>
          <w:numId w:val="24"/>
        </w:numPr>
        <w:rPr>
          <w:rFonts w:ascii="Arial" w:cs="Arial" w:eastAsia="Arial" w:hAnsi="Arial"/>
          <w:sz w:val="15"/>
          <w:szCs w:val="15"/>
          <w:color w:val="auto"/>
        </w:rPr>
      </w:pPr>
      <w:r>
        <w:rPr>
          <w:rFonts w:ascii="Arial" w:cs="Arial" w:eastAsia="Arial" w:hAnsi="Arial"/>
          <w:sz w:val="15"/>
          <w:szCs w:val="15"/>
          <w:color w:val="auto"/>
        </w:rPr>
        <w:t>developments or disputes concerning our intellectual property or other proprietary rights;</w:t>
      </w:r>
    </w:p>
    <w:p>
      <w:pPr>
        <w:spacing w:after="0" w:line="109" w:lineRule="exact"/>
        <w:rPr>
          <w:rFonts w:ascii="Arial" w:cs="Arial" w:eastAsia="Arial" w:hAnsi="Arial"/>
          <w:sz w:val="15"/>
          <w:szCs w:val="15"/>
          <w:color w:val="auto"/>
        </w:rPr>
      </w:pPr>
    </w:p>
    <w:p>
      <w:pPr>
        <w:ind w:left="1840" w:hanging="276"/>
        <w:spacing w:after="0"/>
        <w:tabs>
          <w:tab w:leader="none" w:pos="1840" w:val="left"/>
        </w:tabs>
        <w:numPr>
          <w:ilvl w:val="0"/>
          <w:numId w:val="24"/>
        </w:numPr>
        <w:rPr>
          <w:rFonts w:ascii="Arial" w:cs="Arial" w:eastAsia="Arial" w:hAnsi="Arial"/>
          <w:sz w:val="15"/>
          <w:szCs w:val="15"/>
          <w:color w:val="auto"/>
        </w:rPr>
      </w:pPr>
      <w:r>
        <w:rPr>
          <w:rFonts w:ascii="Arial" w:cs="Arial" w:eastAsia="Arial" w:hAnsi="Arial"/>
          <w:sz w:val="15"/>
          <w:szCs w:val="15"/>
          <w:color w:val="auto"/>
        </w:rPr>
        <w:t>announced or completed acquisitions of businesses, products, services, or technologies by us or our competitors;</w:t>
      </w:r>
    </w:p>
    <w:p>
      <w:pPr>
        <w:spacing w:after="0" w:line="109" w:lineRule="exact"/>
        <w:rPr>
          <w:rFonts w:ascii="Arial" w:cs="Arial" w:eastAsia="Arial" w:hAnsi="Arial"/>
          <w:sz w:val="15"/>
          <w:szCs w:val="15"/>
          <w:color w:val="auto"/>
        </w:rPr>
      </w:pPr>
    </w:p>
    <w:p>
      <w:pPr>
        <w:ind w:left="1840" w:hanging="276"/>
        <w:spacing w:after="0"/>
        <w:tabs>
          <w:tab w:leader="none" w:pos="1840" w:val="left"/>
        </w:tabs>
        <w:numPr>
          <w:ilvl w:val="0"/>
          <w:numId w:val="24"/>
        </w:numPr>
        <w:rPr>
          <w:rFonts w:ascii="Arial" w:cs="Arial" w:eastAsia="Arial" w:hAnsi="Arial"/>
          <w:sz w:val="15"/>
          <w:szCs w:val="15"/>
          <w:color w:val="auto"/>
        </w:rPr>
      </w:pPr>
      <w:r>
        <w:rPr>
          <w:rFonts w:ascii="Arial" w:cs="Arial" w:eastAsia="Arial" w:hAnsi="Arial"/>
          <w:sz w:val="15"/>
          <w:szCs w:val="15"/>
          <w:color w:val="auto"/>
        </w:rPr>
        <w:t>new laws or regulations or new interpretations of existing laws or regulations applicable to our business;</w:t>
      </w:r>
    </w:p>
    <w:p>
      <w:pPr>
        <w:spacing w:after="0" w:line="109" w:lineRule="exact"/>
        <w:rPr>
          <w:rFonts w:ascii="Arial" w:cs="Arial" w:eastAsia="Arial" w:hAnsi="Arial"/>
          <w:sz w:val="15"/>
          <w:szCs w:val="15"/>
          <w:color w:val="auto"/>
        </w:rPr>
      </w:pPr>
    </w:p>
    <w:p>
      <w:pPr>
        <w:ind w:left="1840" w:hanging="276"/>
        <w:spacing w:after="0"/>
        <w:tabs>
          <w:tab w:leader="none" w:pos="1840" w:val="left"/>
        </w:tabs>
        <w:numPr>
          <w:ilvl w:val="0"/>
          <w:numId w:val="24"/>
        </w:numPr>
        <w:rPr>
          <w:rFonts w:ascii="Arial" w:cs="Arial" w:eastAsia="Arial" w:hAnsi="Arial"/>
          <w:sz w:val="15"/>
          <w:szCs w:val="15"/>
          <w:color w:val="auto"/>
        </w:rPr>
      </w:pPr>
      <w:r>
        <w:rPr>
          <w:rFonts w:ascii="Arial" w:cs="Arial" w:eastAsia="Arial" w:hAnsi="Arial"/>
          <w:sz w:val="15"/>
          <w:szCs w:val="15"/>
          <w:color w:val="auto"/>
        </w:rPr>
        <w:t>changes in accounting standards, policies, guidelines, interpretations, or principles;</w:t>
      </w:r>
    </w:p>
    <w:p>
      <w:pPr>
        <w:spacing w:after="0" w:line="109" w:lineRule="exact"/>
        <w:rPr>
          <w:rFonts w:ascii="Arial" w:cs="Arial" w:eastAsia="Arial" w:hAnsi="Arial"/>
          <w:sz w:val="15"/>
          <w:szCs w:val="15"/>
          <w:color w:val="auto"/>
        </w:rPr>
      </w:pPr>
    </w:p>
    <w:p>
      <w:pPr>
        <w:ind w:left="1840" w:hanging="276"/>
        <w:spacing w:after="0"/>
        <w:tabs>
          <w:tab w:leader="none" w:pos="1840" w:val="left"/>
        </w:tabs>
        <w:numPr>
          <w:ilvl w:val="0"/>
          <w:numId w:val="24"/>
        </w:numPr>
        <w:rPr>
          <w:rFonts w:ascii="Arial" w:cs="Arial" w:eastAsia="Arial" w:hAnsi="Arial"/>
          <w:sz w:val="15"/>
          <w:szCs w:val="15"/>
          <w:color w:val="auto"/>
        </w:rPr>
      </w:pPr>
      <w:r>
        <w:rPr>
          <w:rFonts w:ascii="Arial" w:cs="Arial" w:eastAsia="Arial" w:hAnsi="Arial"/>
          <w:sz w:val="15"/>
          <w:szCs w:val="15"/>
          <w:color w:val="auto"/>
        </w:rPr>
        <w:t>any significant change in our management; and</w:t>
      </w:r>
    </w:p>
    <w:p>
      <w:pPr>
        <w:spacing w:after="0" w:line="109" w:lineRule="exact"/>
        <w:rPr>
          <w:rFonts w:ascii="Arial" w:cs="Arial" w:eastAsia="Arial" w:hAnsi="Arial"/>
          <w:sz w:val="15"/>
          <w:szCs w:val="15"/>
          <w:color w:val="auto"/>
        </w:rPr>
      </w:pPr>
    </w:p>
    <w:p>
      <w:pPr>
        <w:ind w:left="1840" w:hanging="276"/>
        <w:spacing w:after="0"/>
        <w:tabs>
          <w:tab w:leader="none" w:pos="1840" w:val="left"/>
        </w:tabs>
        <w:numPr>
          <w:ilvl w:val="0"/>
          <w:numId w:val="24"/>
        </w:numPr>
        <w:rPr>
          <w:rFonts w:ascii="Arial" w:cs="Arial" w:eastAsia="Arial" w:hAnsi="Arial"/>
          <w:sz w:val="15"/>
          <w:szCs w:val="15"/>
          <w:color w:val="auto"/>
        </w:rPr>
      </w:pPr>
      <w:r>
        <w:rPr>
          <w:rFonts w:ascii="Arial" w:cs="Arial" w:eastAsia="Arial" w:hAnsi="Arial"/>
          <w:sz w:val="15"/>
          <w:szCs w:val="15"/>
          <w:color w:val="auto"/>
        </w:rPr>
        <w:t>general economic conditions and slow or negative growth of our markets.</w:t>
      </w:r>
    </w:p>
    <w:p>
      <w:pPr>
        <w:spacing w:after="0" w:line="188" w:lineRule="exact"/>
        <w:rPr>
          <w:sz w:val="20"/>
          <w:szCs w:val="20"/>
          <w:color w:val="auto"/>
        </w:rPr>
      </w:pPr>
    </w:p>
    <w:p>
      <w:pPr>
        <w:jc w:val="both"/>
        <w:ind w:left="1120" w:right="220" w:firstLine="368"/>
        <w:spacing w:after="0" w:line="263" w:lineRule="auto"/>
        <w:rPr>
          <w:sz w:val="20"/>
          <w:szCs w:val="20"/>
          <w:color w:val="auto"/>
        </w:rPr>
      </w:pPr>
      <w:r>
        <w:rPr>
          <w:rFonts w:ascii="Arial" w:cs="Arial" w:eastAsia="Arial" w:hAnsi="Arial"/>
          <w:sz w:val="15"/>
          <w:szCs w:val="15"/>
          <w:color w:val="auto"/>
        </w:rPr>
        <w:t>In addition, in the past, following periods of volatility in the overall market and the market price of a particular company’s securities, securities class action litigation has often been instituted against these companies. This litigation, if instituted against us, could result in substantial costs and a diversion of our management’s attention and resources.</w:t>
      </w:r>
    </w:p>
    <w:p>
      <w:pPr>
        <w:spacing w:after="0" w:line="245" w:lineRule="exact"/>
        <w:rPr>
          <w:sz w:val="20"/>
          <w:szCs w:val="20"/>
          <w:color w:val="auto"/>
        </w:rPr>
      </w:pPr>
    </w:p>
    <w:p>
      <w:pPr>
        <w:jc w:val="both"/>
        <w:ind w:left="1120" w:right="320"/>
        <w:spacing w:after="0" w:line="263" w:lineRule="auto"/>
        <w:rPr>
          <w:sz w:val="20"/>
          <w:szCs w:val="20"/>
          <w:color w:val="auto"/>
        </w:rPr>
      </w:pPr>
      <w:r>
        <w:rPr>
          <w:rFonts w:ascii="Arial" w:cs="Arial" w:eastAsia="Arial" w:hAnsi="Arial"/>
          <w:sz w:val="15"/>
          <w:szCs w:val="15"/>
          <w:b w:val="1"/>
          <w:bCs w:val="1"/>
          <w:i w:val="1"/>
          <w:iCs w:val="1"/>
          <w:color w:val="auto"/>
        </w:rPr>
        <w:t>The multi-class structure of our common stock will have the effect of concentrating voting control with those stockholders who held our capital stock prior to the completion of this offering and the concurrent private placement, and it may depress the trading price of our Class A common stock.</w:t>
      </w:r>
    </w:p>
    <w:p>
      <w:pPr>
        <w:spacing w:after="0" w:line="65" w:lineRule="exact"/>
        <w:rPr>
          <w:sz w:val="20"/>
          <w:szCs w:val="20"/>
          <w:color w:val="auto"/>
        </w:rPr>
      </w:pPr>
    </w:p>
    <w:p>
      <w:pPr>
        <w:ind w:left="1120" w:firstLine="368"/>
        <w:spacing w:after="0" w:line="295" w:lineRule="auto"/>
        <w:rPr>
          <w:sz w:val="20"/>
          <w:szCs w:val="20"/>
          <w:color w:val="auto"/>
        </w:rPr>
      </w:pPr>
      <w:r>
        <w:rPr>
          <w:rFonts w:ascii="Arial" w:cs="Arial" w:eastAsia="Arial" w:hAnsi="Arial"/>
          <w:sz w:val="13"/>
          <w:szCs w:val="13"/>
          <w:color w:val="auto"/>
        </w:rPr>
        <w:t>Our Class A common stock, which is the stock we are offering in this offering and the concurrent private placement, has one vote per share, our Class B common stock has ten votes per share, and our Class C common stock has no voting rights, except as otherwise required by law. Following this offering and the concurrent private placement, our directors, executive officers and holders of more than 5% of our common stock, and their respective affiliates, will hold in the aggregate 68.8% of the voting power of our capital stock (including the Co-Founder Grants). We are including the Co-Founder Grants in this calculation since they are legally issued and outstanding shares of our Class A common stock and our co-founders are able to vote these shares immediately upon grant and prior to their vesting. Because of the ten-to-one voting ratio between our Class B and Class A common stock, the holders of our Class B common stock collectively will continue to control a majority of the combined voting power of our common stock and therefore be able to control all matters submitted to our stockholders for approval so long as the shares of Class B common stock represent at least 9.1% of all outstanding shares of our Class A and Class B common stock. This concentrated control will limit or preclude your ability to influence corporate matters for the foreseeable future, including the election of directors, amendments of our organizational documents and any merger, consolidation, sale of all or substantially all of our assets, or other major corporate transaction requiring stockholder approval. In addition, this may prevent or discourage unsolicited acquisition proposals or offers for our capital stock that you may feel are in your best interest as one of our stockholders.</w:t>
      </w:r>
    </w:p>
    <w:p>
      <w:pPr>
        <w:spacing w:after="0" w:line="141" w:lineRule="exact"/>
        <w:rPr>
          <w:sz w:val="20"/>
          <w:szCs w:val="20"/>
          <w:color w:val="auto"/>
        </w:rPr>
      </w:pPr>
    </w:p>
    <w:p>
      <w:pPr>
        <w:ind w:left="1120" w:right="40" w:firstLine="368"/>
        <w:spacing w:after="0" w:line="302" w:lineRule="auto"/>
        <w:rPr>
          <w:sz w:val="20"/>
          <w:szCs w:val="20"/>
          <w:color w:val="auto"/>
        </w:rPr>
      </w:pPr>
      <w:r>
        <w:rPr>
          <w:rFonts w:ascii="Arial" w:cs="Arial" w:eastAsia="Arial" w:hAnsi="Arial"/>
          <w:sz w:val="13"/>
          <w:szCs w:val="13"/>
          <w:color w:val="auto"/>
        </w:rPr>
        <w:t>Future transfers or sales by holders of Class B common stock will generally result in those shares converting to Class A common stock, except for certain transfers described in our amended and restated certificate of incorporation, including transfers effected for estate planning purposes where sole dispositive power and exclusive voting control with respect to the shares of Class B common stock is retained by the transferring holder and transfers between our co-founders. In addition, each outstanding share of Class B common stock held by a stockholder who is a natural person, or held by the permitted entities or permitted transferees of such stockholder (as described in our amended and restated certificate of incorporation), will convert automatically into one share of Class A common stock upon the death of such natural person. In the event of the death or permanent and total</w:t>
      </w:r>
    </w:p>
    <w:p>
      <w:pPr>
        <w:spacing w:after="0" w:line="78" w:lineRule="exact"/>
        <w:rPr>
          <w:sz w:val="20"/>
          <w:szCs w:val="20"/>
          <w:color w:val="auto"/>
        </w:rPr>
      </w:pPr>
    </w:p>
    <w:p>
      <w:pPr>
        <w:ind w:left="5640"/>
        <w:spacing w:after="0"/>
        <w:rPr>
          <w:sz w:val="20"/>
          <w:szCs w:val="20"/>
          <w:color w:val="auto"/>
        </w:rPr>
      </w:pPr>
      <w:r>
        <w:rPr>
          <w:rFonts w:ascii="Arial" w:cs="Arial" w:eastAsia="Arial" w:hAnsi="Arial"/>
          <w:sz w:val="15"/>
          <w:szCs w:val="15"/>
          <w:color w:val="auto"/>
        </w:rPr>
        <w:t>39</w:t>
      </w:r>
    </w:p>
    <w:p>
      <w:pPr>
        <w:sectPr>
          <w:pgSz w:w="11900" w:h="16838" w:orient="portrait"/>
          <w:cols w:equalWidth="0" w:num="1">
            <w:col w:w="10300"/>
          </w:cols>
          <w:pgMar w:left="240" w:top="407" w:right="1359" w:bottom="1440" w:gutter="0" w:footer="0" w:header="0"/>
        </w:sectPr>
      </w:pPr>
    </w:p>
    <w:bookmarkStart w:id="46" w:name="page47"/>
    <w:bookmarkEnd w:id="46"/>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133350</wp:posOffset>
            </wp:positionH>
            <wp:positionV relativeFrom="page">
              <wp:posOffset>88900</wp:posOffset>
            </wp:positionV>
            <wp:extent cx="7308850" cy="342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308850" cy="34290"/>
                    </a:xfrm>
                    <a:prstGeom prst="rect">
                      <a:avLst/>
                    </a:prstGeom>
                    <a:noFill/>
                  </pic:spPr>
                </pic:pic>
              </a:graphicData>
            </a:graphic>
          </wp:anchor>
        </w:drawing>
      </w:r>
      <w:hyperlink w:anchor="page7">
        <w:r>
          <w:rPr>
            <w:rFonts w:ascii="Arial" w:cs="Arial" w:eastAsia="Arial" w:hAnsi="Arial"/>
            <w:sz w:val="15"/>
            <w:szCs w:val="15"/>
            <w:b w:val="1"/>
            <w:bCs w:val="1"/>
            <w:u w:val="single" w:color="auto"/>
            <w:color w:val="0000EE"/>
          </w:rPr>
          <w:t>Table of Contents</w:t>
        </w:r>
      </w:hyperlink>
    </w:p>
    <w:p>
      <w:pPr>
        <w:spacing w:after="0" w:line="260" w:lineRule="exact"/>
        <w:rPr>
          <w:sz w:val="20"/>
          <w:szCs w:val="20"/>
          <w:color w:val="auto"/>
        </w:rPr>
      </w:pPr>
    </w:p>
    <w:p>
      <w:pPr>
        <w:ind w:left="1120" w:right="40"/>
        <w:spacing w:after="0" w:line="275" w:lineRule="auto"/>
        <w:rPr>
          <w:sz w:val="20"/>
          <w:szCs w:val="20"/>
          <w:color w:val="auto"/>
        </w:rPr>
      </w:pPr>
      <w:r>
        <w:rPr>
          <w:rFonts w:ascii="Arial" w:cs="Arial" w:eastAsia="Arial" w:hAnsi="Arial"/>
          <w:sz w:val="14"/>
          <w:szCs w:val="14"/>
          <w:color w:val="auto"/>
        </w:rPr>
        <w:t>disability of a co-founder, shares of Class B common stock held by such co-founder, his permitted entities or permitted transferees will convert to Class A common stock, provided that the conversion will be deferred for nine months, or up to 18 months if approved by a majority of our independent directors, following his death or permanent and total disability. Transfers between our co-founders are permitted transfers and will not result in conversion of the shares of Class B common stock that are transferred; however, upon the death or total and permanent disability of the transferring co-founder, the transferred shares would convert to Class A common stock following the deferral period of nine months, or up to 18 months if approved by a majority of our independent directors. See the section titled “Description of Capital Stock – Conversion of Class B Common Stock” for additional information about conversions. The conversion of Class B common stock to Class A common stock will have the effect, over time, of increasing the relative voting power of those individual holders of Class B common stock who retain their shares in the long term.</w:t>
      </w:r>
    </w:p>
    <w:p>
      <w:pPr>
        <w:spacing w:after="0" w:line="148" w:lineRule="exact"/>
        <w:rPr>
          <w:sz w:val="20"/>
          <w:szCs w:val="20"/>
          <w:color w:val="auto"/>
        </w:rPr>
      </w:pPr>
    </w:p>
    <w:p>
      <w:pPr>
        <w:ind w:left="1120" w:right="60" w:firstLine="368"/>
        <w:spacing w:after="0" w:line="283" w:lineRule="auto"/>
        <w:rPr>
          <w:sz w:val="20"/>
          <w:szCs w:val="20"/>
          <w:color w:val="auto"/>
        </w:rPr>
      </w:pPr>
      <w:r>
        <w:rPr>
          <w:rFonts w:ascii="Arial" w:cs="Arial" w:eastAsia="Arial" w:hAnsi="Arial"/>
          <w:sz w:val="14"/>
          <w:szCs w:val="14"/>
          <w:color w:val="auto"/>
        </w:rPr>
        <w:t>In addition, because our Class C common stock carries no voting rights (except as otherwise required by law), if we issue Class C common stock in the future, the holders of Class B common stock may be able to elect all of our directors and to determine the outcome of most matters submitted to a vote of our stockholders for a longer period of time than would be the case if we issued Class A common stock rather than Class C common stock in such transactions. See the section titled “Description of Capital Stock—Anti-Takeover Provisions” for additional information.</w:t>
      </w:r>
    </w:p>
    <w:p>
      <w:pPr>
        <w:spacing w:after="0" w:line="143" w:lineRule="exact"/>
        <w:rPr>
          <w:sz w:val="20"/>
          <w:szCs w:val="20"/>
          <w:color w:val="auto"/>
        </w:rPr>
      </w:pPr>
    </w:p>
    <w:p>
      <w:pPr>
        <w:ind w:left="1120" w:right="80" w:firstLine="368"/>
        <w:spacing w:after="0" w:line="255" w:lineRule="auto"/>
        <w:rPr>
          <w:sz w:val="20"/>
          <w:szCs w:val="20"/>
          <w:color w:val="auto"/>
        </w:rPr>
      </w:pPr>
      <w:r>
        <w:rPr>
          <w:rFonts w:ascii="Arial" w:cs="Arial" w:eastAsia="Arial" w:hAnsi="Arial"/>
          <w:sz w:val="15"/>
          <w:szCs w:val="15"/>
          <w:color w:val="auto"/>
        </w:rPr>
        <w:t>In addition, in July 2017, FTSE Russell and Standard &amp; Poor’s announced that they would cease to allow most newly public companies utilizing dual or multi-class capital structures to be included in their indices. Affected indices include the Russell 2000 and the S&amp;P 500, S&amp;P MidCap 400, and S&amp;P SmallCap 600, which together make up the S&amp;P Composite 1500. Under the announced policies, our multi-class capital structure would make us ineligible for inclusion in any of these indices, and as a result, mutual funds, exchange-traded funds, and other investment vehicles that attempt to passively track these indices will not be investing in our stock. These policies are very new and it is as of yet unclear what effect, if any, they will have on the valuations of publicly traded companies excluded from the indices, but it is possible that they may depress these valuations compared to those of other similar companies that are included.</w:t>
      </w:r>
    </w:p>
    <w:p>
      <w:pPr>
        <w:spacing w:after="0" w:line="251" w:lineRule="exact"/>
        <w:rPr>
          <w:sz w:val="20"/>
          <w:szCs w:val="20"/>
          <w:color w:val="auto"/>
        </w:rPr>
      </w:pPr>
    </w:p>
    <w:p>
      <w:pPr>
        <w:ind w:left="1120"/>
        <w:spacing w:after="0" w:line="263" w:lineRule="auto"/>
        <w:rPr>
          <w:sz w:val="20"/>
          <w:szCs w:val="20"/>
          <w:color w:val="auto"/>
        </w:rPr>
      </w:pPr>
      <w:r>
        <w:rPr>
          <w:rFonts w:ascii="Arial" w:cs="Arial" w:eastAsia="Arial" w:hAnsi="Arial"/>
          <w:sz w:val="15"/>
          <w:szCs w:val="15"/>
          <w:b w:val="1"/>
          <w:bCs w:val="1"/>
          <w:i w:val="1"/>
          <w:iCs w:val="1"/>
          <w:color w:val="auto"/>
        </w:rPr>
        <w:t>Because of the relatively small number of shares of our Class A common stock outstanding immediately after this offering and the number of shares of Class A common stock held by our founders as a result of their RSAs, which shares have full voting rights, our co-founders will have significant influence over any vote of the Class A common stock voting as a separate class.</w:t>
      </w:r>
    </w:p>
    <w:p>
      <w:pPr>
        <w:spacing w:after="0" w:line="65" w:lineRule="exact"/>
        <w:rPr>
          <w:sz w:val="20"/>
          <w:szCs w:val="20"/>
          <w:color w:val="auto"/>
        </w:rPr>
      </w:pPr>
    </w:p>
    <w:p>
      <w:pPr>
        <w:ind w:left="1120" w:firstLine="368"/>
        <w:spacing w:after="0" w:line="295" w:lineRule="auto"/>
        <w:rPr>
          <w:sz w:val="20"/>
          <w:szCs w:val="20"/>
          <w:color w:val="auto"/>
        </w:rPr>
      </w:pPr>
      <w:r>
        <w:rPr>
          <w:rFonts w:ascii="Arial" w:cs="Arial" w:eastAsia="Arial" w:hAnsi="Arial"/>
          <w:sz w:val="13"/>
          <w:szCs w:val="13"/>
          <w:color w:val="auto"/>
        </w:rPr>
        <w:t>Based on 26,550,581 shares of Class A common stock (including the Capital Stock Conversions) outstanding as of December 31, 2017, inclusive of 14,733,333 shares of Class A common stock subject to RSAs that were granted pursuant to our Co-Founder Grants, following this offering, we will have 67,813,739 shares of Class A common stock legally issued and outstanding. As a result, until the public float of our Class A common stock increases, which is expected to occur primarily as a result of conversion of shares of Class B common stock into shares of Class A common stock upon transfer, our co-founders will hold a significant percentage of the outstanding Class A common stock. Although the terms of our amended and restated certificate of incorporation only provide for a separate vote of the holders of the Class A common stock on matters occurring after the conversion of the Class B common stock as a class, under Delaware law, certain actions may require the approval of the holders of the Class A common stock voting as a separate class. For example, if we amend our amended and restated certificate of incorporation to adversely affect our Class A common stock, Delaware law could require approval of the holders of our Class A common stock voting separately as a single class. For any vote of the Class A common stock voting as a separate class, our co-founders will heavily influence such vote until the number of outstanding shares of Class A common stock significantly increases. Further, our co-founders will have the right to vote those shares until the termination of the award even if the performance targets have not been met or are not expected to be met. To the extent that the RSAs vest, our co-founders will have the ability to gain liquidity by selling shares of our Class A common stock without reducing their voting power by converting their Class B common stock.</w:t>
      </w:r>
    </w:p>
    <w:p>
      <w:pPr>
        <w:spacing w:after="0" w:line="81" w:lineRule="exact"/>
        <w:rPr>
          <w:sz w:val="20"/>
          <w:szCs w:val="20"/>
          <w:color w:val="auto"/>
        </w:rPr>
      </w:pPr>
    </w:p>
    <w:p>
      <w:pPr>
        <w:ind w:left="5640"/>
        <w:spacing w:after="0"/>
        <w:rPr>
          <w:sz w:val="20"/>
          <w:szCs w:val="20"/>
          <w:color w:val="auto"/>
        </w:rPr>
      </w:pPr>
      <w:r>
        <w:rPr>
          <w:rFonts w:ascii="Arial" w:cs="Arial" w:eastAsia="Arial" w:hAnsi="Arial"/>
          <w:sz w:val="15"/>
          <w:szCs w:val="15"/>
          <w:color w:val="auto"/>
        </w:rPr>
        <w:t>40</w:t>
      </w:r>
    </w:p>
    <w:p>
      <w:pPr>
        <w:sectPr>
          <w:pgSz w:w="11900" w:h="16838" w:orient="portrait"/>
          <w:cols w:equalWidth="0" w:num="1">
            <w:col w:w="10300"/>
          </w:cols>
          <w:pgMar w:left="240" w:top="407" w:right="1359" w:bottom="1440" w:gutter="0" w:footer="0" w:header="0"/>
        </w:sectPr>
      </w:pPr>
    </w:p>
    <w:bookmarkStart w:id="47" w:name="page48"/>
    <w:bookmarkEnd w:id="47"/>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133350</wp:posOffset>
            </wp:positionH>
            <wp:positionV relativeFrom="page">
              <wp:posOffset>88900</wp:posOffset>
            </wp:positionV>
            <wp:extent cx="7308850" cy="342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308850" cy="34290"/>
                    </a:xfrm>
                    <a:prstGeom prst="rect">
                      <a:avLst/>
                    </a:prstGeom>
                    <a:noFill/>
                  </pic:spPr>
                </pic:pic>
              </a:graphicData>
            </a:graphic>
          </wp:anchor>
        </w:drawing>
      </w:r>
      <w:hyperlink w:anchor="page7">
        <w:r>
          <w:rPr>
            <w:rFonts w:ascii="Arial" w:cs="Arial" w:eastAsia="Arial" w:hAnsi="Arial"/>
            <w:sz w:val="15"/>
            <w:szCs w:val="15"/>
            <w:b w:val="1"/>
            <w:bCs w:val="1"/>
            <w:u w:val="single" w:color="auto"/>
            <w:color w:val="0000EE"/>
          </w:rPr>
          <w:t>Table of Contents</w:t>
        </w:r>
      </w:hyperlink>
    </w:p>
    <w:p>
      <w:pPr>
        <w:spacing w:after="0" w:line="260" w:lineRule="exact"/>
        <w:rPr>
          <w:sz w:val="20"/>
          <w:szCs w:val="20"/>
          <w:color w:val="auto"/>
        </w:rPr>
      </w:pPr>
    </w:p>
    <w:p>
      <w:pPr>
        <w:ind w:left="1120" w:right="140"/>
        <w:spacing w:after="0" w:line="259" w:lineRule="auto"/>
        <w:rPr>
          <w:sz w:val="20"/>
          <w:szCs w:val="20"/>
          <w:color w:val="auto"/>
        </w:rPr>
      </w:pPr>
      <w:r>
        <w:rPr>
          <w:rFonts w:ascii="Arial" w:cs="Arial" w:eastAsia="Arial" w:hAnsi="Arial"/>
          <w:sz w:val="15"/>
          <w:szCs w:val="15"/>
          <w:b w:val="1"/>
          <w:bCs w:val="1"/>
          <w:i w:val="1"/>
          <w:iCs w:val="1"/>
          <w:color w:val="auto"/>
        </w:rPr>
        <w:t>A substantial portion of the outstanding shares of our Class A common stock and Class B common stock after this offering and the concurrent private placement will be restricted from immediate resale, but may be sold on a stock exchange in the near future. The large number of shares of our capital stock eligible for public sale or subject to rights requiring us to register them for public sale could depress the market price of our Class A common stock.</w:t>
      </w:r>
    </w:p>
    <w:p>
      <w:pPr>
        <w:spacing w:after="0" w:line="67" w:lineRule="exact"/>
        <w:rPr>
          <w:sz w:val="20"/>
          <w:szCs w:val="20"/>
          <w:color w:val="auto"/>
        </w:rPr>
      </w:pPr>
    </w:p>
    <w:p>
      <w:pPr>
        <w:ind w:left="1120" w:firstLine="368"/>
        <w:spacing w:after="0" w:line="272" w:lineRule="auto"/>
        <w:rPr>
          <w:sz w:val="20"/>
          <w:szCs w:val="20"/>
          <w:color w:val="auto"/>
        </w:rPr>
      </w:pPr>
      <w:r>
        <w:rPr>
          <w:rFonts w:ascii="Arial" w:cs="Arial" w:eastAsia="Arial" w:hAnsi="Arial"/>
          <w:sz w:val="14"/>
          <w:szCs w:val="14"/>
          <w:color w:val="auto"/>
        </w:rPr>
        <w:t>The market price of our Class A common stock could decline as a result of sales of a large number of shares of our Class A common stock in the market after this offering and the concurrent private placement, and the perception that these sales could occur may also depress the market price of our Class A common stock. Based on 11,817,248 shares of our Class A common stock (including the Capital Stock Conversions) and 348,501,449 shares of our Class B common stock (including the Capital Stock Conversions and the RSU Settlement) outstanding as of December 31, 2017, we will have 53,080,406 shares of our Class A common stock and 339,323,858 shares Class B common stock outstanding after this offering and the concurrent private placement. Our executive officers, directors, and the holders of substantially all of our capital stock and securities convertible into or exchangeable for our capital stock have entered into market standoff agreements with us or have entered into lock-up agreements with the underwriters under which they have agreed, subject to specific exceptions, not to sell any of our stock for 180 days following the date of this prospectus. We refer to such period as the lock-up period. Pursuant to the lock-up agreements with the underwriters, if (i) at least 120 days have elapsed since the date of this prospectus, (ii) we have publicly released our earnings results for the quarterly period during which this offering occurred, and (iii) such lock-up period is scheduled to end during or within five trading days prior to a broadly applicable period during which trading in our securities would not be permitted under our insider trading policy, or a blackout period, such lock-up period will end ten trading days prior to the commencement of such blackout period. We and the underwriters may release certain stockholders from the market standoff agreements or lock-up agreements prior to the end of the lock-up period.</w:t>
      </w:r>
    </w:p>
    <w:p>
      <w:pPr>
        <w:spacing w:after="0" w:line="152" w:lineRule="exact"/>
        <w:rPr>
          <w:sz w:val="20"/>
          <w:szCs w:val="20"/>
          <w:color w:val="auto"/>
        </w:rPr>
      </w:pPr>
    </w:p>
    <w:p>
      <w:pPr>
        <w:ind w:left="1120" w:firstLine="368"/>
        <w:spacing w:after="0" w:line="263" w:lineRule="auto"/>
        <w:rPr>
          <w:sz w:val="20"/>
          <w:szCs w:val="20"/>
          <w:color w:val="auto"/>
        </w:rPr>
      </w:pPr>
      <w:r>
        <w:rPr>
          <w:rFonts w:ascii="Arial" w:cs="Arial" w:eastAsia="Arial" w:hAnsi="Arial"/>
          <w:sz w:val="15"/>
          <w:szCs w:val="15"/>
          <w:color w:val="auto"/>
        </w:rPr>
        <w:t>As a result of these agreements and the provisions of our investors’ rights agreement described further in the section titled “Description of Capital Stock—Registration Rights,” and subject to the provisions of Rule 144 or Rule 701, shares of our Class A common stock and Class B common stock will be available for sale in the public market as follows:</w:t>
      </w:r>
    </w:p>
    <w:p>
      <w:pPr>
        <w:spacing w:after="0" w:line="76" w:lineRule="exact"/>
        <w:rPr>
          <w:sz w:val="20"/>
          <w:szCs w:val="20"/>
          <w:color w:val="auto"/>
        </w:rPr>
      </w:pPr>
    </w:p>
    <w:p>
      <w:pPr>
        <w:ind w:left="1840" w:right="40" w:hanging="276"/>
        <w:spacing w:after="0" w:line="275" w:lineRule="auto"/>
        <w:tabs>
          <w:tab w:leader="none" w:pos="1840" w:val="left"/>
        </w:tabs>
        <w:numPr>
          <w:ilvl w:val="0"/>
          <w:numId w:val="25"/>
        </w:numPr>
        <w:rPr>
          <w:rFonts w:ascii="Arial" w:cs="Arial" w:eastAsia="Arial" w:hAnsi="Arial"/>
          <w:sz w:val="15"/>
          <w:szCs w:val="15"/>
          <w:color w:val="auto"/>
        </w:rPr>
      </w:pPr>
      <w:r>
        <w:rPr>
          <w:rFonts w:ascii="Arial" w:cs="Arial" w:eastAsia="Arial" w:hAnsi="Arial"/>
          <w:sz w:val="15"/>
          <w:szCs w:val="15"/>
          <w:color w:val="auto"/>
        </w:rPr>
        <w:t>beginning on the date of this prospectus, all shares of our Class A common stock sold in this offering will be immediately available for sale in the public market; and</w:t>
      </w:r>
    </w:p>
    <w:p>
      <w:pPr>
        <w:spacing w:after="0" w:line="67" w:lineRule="exact"/>
        <w:rPr>
          <w:rFonts w:ascii="Arial" w:cs="Arial" w:eastAsia="Arial" w:hAnsi="Arial"/>
          <w:sz w:val="15"/>
          <w:szCs w:val="15"/>
          <w:color w:val="auto"/>
        </w:rPr>
      </w:pPr>
    </w:p>
    <w:p>
      <w:pPr>
        <w:ind w:left="1840" w:hanging="276"/>
        <w:spacing w:after="0" w:line="290" w:lineRule="auto"/>
        <w:tabs>
          <w:tab w:leader="none" w:pos="1840" w:val="left"/>
        </w:tabs>
        <w:numPr>
          <w:ilvl w:val="0"/>
          <w:numId w:val="25"/>
        </w:numPr>
        <w:rPr>
          <w:rFonts w:ascii="Arial" w:cs="Arial" w:eastAsia="Arial" w:hAnsi="Arial"/>
          <w:sz w:val="14"/>
          <w:szCs w:val="14"/>
          <w:color w:val="auto"/>
        </w:rPr>
      </w:pPr>
      <w:r>
        <w:rPr>
          <w:rFonts w:ascii="Arial" w:cs="Arial" w:eastAsia="Arial" w:hAnsi="Arial"/>
          <w:sz w:val="14"/>
          <w:szCs w:val="14"/>
          <w:color w:val="auto"/>
        </w:rPr>
        <w:t>beginning 181 days after the date of this prospectus (subject to the terms of the lock-up agreements and market standoff agreements described above), the remainder of the shares of our Class A common stock and Class B common stock will be eligible for sale in the public market from time to time thereafter, subject in some cases to the volume and other restrictions of Rule 144, as described below.</w:t>
      </w:r>
    </w:p>
    <w:p>
      <w:pPr>
        <w:spacing w:after="0" w:line="138" w:lineRule="exact"/>
        <w:rPr>
          <w:sz w:val="20"/>
          <w:szCs w:val="20"/>
          <w:color w:val="auto"/>
        </w:rPr>
      </w:pPr>
    </w:p>
    <w:p>
      <w:pPr>
        <w:ind w:left="1120" w:right="40" w:firstLine="368"/>
        <w:spacing w:after="0" w:line="302" w:lineRule="auto"/>
        <w:rPr>
          <w:sz w:val="20"/>
          <w:szCs w:val="20"/>
          <w:color w:val="auto"/>
        </w:rPr>
      </w:pPr>
      <w:r>
        <w:rPr>
          <w:rFonts w:ascii="Arial" w:cs="Arial" w:eastAsia="Arial" w:hAnsi="Arial"/>
          <w:sz w:val="13"/>
          <w:szCs w:val="13"/>
          <w:color w:val="auto"/>
        </w:rPr>
        <w:t>Upon completion of this offering and the concurrent private placement, stockholders owning an aggregate of up to 144,907,822 shares of our Class B common stock and 5,521,778 shares of our Class A common stock will be entitled, under our investors’ rights agreement, to require us to register shares owned by them for public sale in the United States. In addition, we intend to file a registration statement to register shares reserved for future issuance under our equity compensation plans. Upon effectiveness of that registration statement, subject to the satisfaction of applicable exercise periods and the expiration or waiver of the market standoff agreements and lock-up agreements referred to above, the shares issued upon exercise of outstanding stock options or upon settlement of outstanding RSU awards will be available for immediate resale in the United States in the open market.</w:t>
      </w:r>
    </w:p>
    <w:p>
      <w:pPr>
        <w:spacing w:after="0" w:line="134" w:lineRule="exact"/>
        <w:rPr>
          <w:sz w:val="20"/>
          <w:szCs w:val="20"/>
          <w:color w:val="auto"/>
        </w:rPr>
      </w:pPr>
    </w:p>
    <w:p>
      <w:pPr>
        <w:ind w:left="1120" w:right="80" w:firstLine="368"/>
        <w:spacing w:after="0" w:line="263" w:lineRule="auto"/>
        <w:rPr>
          <w:sz w:val="20"/>
          <w:szCs w:val="20"/>
          <w:color w:val="auto"/>
        </w:rPr>
      </w:pPr>
      <w:r>
        <w:rPr>
          <w:rFonts w:ascii="Arial" w:cs="Arial" w:eastAsia="Arial" w:hAnsi="Arial"/>
          <w:sz w:val="15"/>
          <w:szCs w:val="15"/>
          <w:color w:val="auto"/>
        </w:rPr>
        <w:t>Sales of our shares as restrictions end or pursuant to registration rights may make it more difficult for us to sell equity securities in the future at a time and at a price that we deem appropriate. These sales also could cause the trading price of our Class A common stock to fall and make it more difficult for you to sell shares of our Class A common stock.</w:t>
      </w:r>
    </w:p>
    <w:p>
      <w:pPr>
        <w:spacing w:after="0" w:line="98" w:lineRule="exact"/>
        <w:rPr>
          <w:sz w:val="20"/>
          <w:szCs w:val="20"/>
          <w:color w:val="auto"/>
        </w:rPr>
      </w:pPr>
    </w:p>
    <w:p>
      <w:pPr>
        <w:ind w:left="5640"/>
        <w:spacing w:after="0"/>
        <w:rPr>
          <w:sz w:val="20"/>
          <w:szCs w:val="20"/>
          <w:color w:val="auto"/>
        </w:rPr>
      </w:pPr>
      <w:r>
        <w:rPr>
          <w:rFonts w:ascii="Arial" w:cs="Arial" w:eastAsia="Arial" w:hAnsi="Arial"/>
          <w:sz w:val="15"/>
          <w:szCs w:val="15"/>
          <w:color w:val="auto"/>
        </w:rPr>
        <w:t>41</w:t>
      </w:r>
    </w:p>
    <w:p>
      <w:pPr>
        <w:sectPr>
          <w:pgSz w:w="11900" w:h="16838" w:orient="portrait"/>
          <w:cols w:equalWidth="0" w:num="1">
            <w:col w:w="10260"/>
          </w:cols>
          <w:pgMar w:left="240" w:top="407" w:right="1399" w:bottom="1440" w:gutter="0" w:footer="0" w:header="0"/>
        </w:sectPr>
      </w:pPr>
    </w:p>
    <w:bookmarkStart w:id="48" w:name="page49"/>
    <w:bookmarkEnd w:id="48"/>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133350</wp:posOffset>
            </wp:positionH>
            <wp:positionV relativeFrom="page">
              <wp:posOffset>88900</wp:posOffset>
            </wp:positionV>
            <wp:extent cx="7308850" cy="342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308850" cy="34290"/>
                    </a:xfrm>
                    <a:prstGeom prst="rect">
                      <a:avLst/>
                    </a:prstGeom>
                    <a:noFill/>
                  </pic:spPr>
                </pic:pic>
              </a:graphicData>
            </a:graphic>
          </wp:anchor>
        </w:drawing>
      </w:r>
      <w:hyperlink w:anchor="page7">
        <w:r>
          <w:rPr>
            <w:rFonts w:ascii="Arial" w:cs="Arial" w:eastAsia="Arial" w:hAnsi="Arial"/>
            <w:sz w:val="15"/>
            <w:szCs w:val="15"/>
            <w:b w:val="1"/>
            <w:bCs w:val="1"/>
            <w:u w:val="single" w:color="auto"/>
            <w:color w:val="0000EE"/>
          </w:rPr>
          <w:t>Table of Contents</w:t>
        </w:r>
      </w:hyperlink>
    </w:p>
    <w:p>
      <w:pPr>
        <w:spacing w:after="0" w:line="260" w:lineRule="exact"/>
        <w:rPr>
          <w:sz w:val="20"/>
          <w:szCs w:val="20"/>
          <w:color w:val="auto"/>
        </w:rPr>
      </w:pPr>
    </w:p>
    <w:p>
      <w:pPr>
        <w:ind w:left="1120"/>
        <w:spacing w:after="0"/>
        <w:rPr>
          <w:sz w:val="20"/>
          <w:szCs w:val="20"/>
          <w:color w:val="auto"/>
        </w:rPr>
      </w:pPr>
      <w:r>
        <w:rPr>
          <w:rFonts w:ascii="Arial" w:cs="Arial" w:eastAsia="Arial" w:hAnsi="Arial"/>
          <w:sz w:val="15"/>
          <w:szCs w:val="15"/>
          <w:b w:val="1"/>
          <w:bCs w:val="1"/>
          <w:i w:val="1"/>
          <w:iCs w:val="1"/>
          <w:color w:val="auto"/>
        </w:rPr>
        <w:t>If you purchase our Class A common stock in this offering, you will incur immediate and substantial dilution.</w:t>
      </w:r>
    </w:p>
    <w:p>
      <w:pPr>
        <w:spacing w:after="0" w:line="98" w:lineRule="exact"/>
        <w:rPr>
          <w:sz w:val="20"/>
          <w:szCs w:val="20"/>
          <w:color w:val="auto"/>
        </w:rPr>
      </w:pPr>
    </w:p>
    <w:p>
      <w:pPr>
        <w:ind w:left="1120" w:firstLine="368"/>
        <w:spacing w:after="0" w:line="279" w:lineRule="auto"/>
        <w:rPr>
          <w:sz w:val="20"/>
          <w:szCs w:val="20"/>
          <w:color w:val="auto"/>
        </w:rPr>
      </w:pPr>
      <w:r>
        <w:rPr>
          <w:rFonts w:ascii="Arial" w:cs="Arial" w:eastAsia="Arial" w:hAnsi="Arial"/>
          <w:sz w:val="14"/>
          <w:szCs w:val="14"/>
          <w:color w:val="auto"/>
        </w:rPr>
        <w:t>The initial public offering price is substantially higher than the pro forma as adjusted net tangible book value per share of our outstanding common stock of $0.95 per share as of December 31, 2017. Investors purchasing shares of our Class A common stock in this offering will pay a price per share that substantially exceeds the book value of our tangible assets after subtracting our liabilities. As a result, investors purchasing Class A common stock in this offering will incur immediate dilution of $18.05 per share, based on the assumed initial public offering price of $19.00 per share, which is the midpoint of the estimated offering price range set forth on the cover page of this prospectus.</w:t>
      </w:r>
    </w:p>
    <w:p>
      <w:pPr>
        <w:spacing w:after="0" w:line="147" w:lineRule="exact"/>
        <w:rPr>
          <w:sz w:val="20"/>
          <w:szCs w:val="20"/>
          <w:color w:val="auto"/>
        </w:rPr>
      </w:pPr>
    </w:p>
    <w:p>
      <w:pPr>
        <w:ind w:left="1120" w:right="120" w:firstLine="368"/>
        <w:spacing w:after="0" w:line="273" w:lineRule="auto"/>
        <w:rPr>
          <w:sz w:val="20"/>
          <w:szCs w:val="20"/>
          <w:color w:val="auto"/>
        </w:rPr>
      </w:pPr>
      <w:r>
        <w:rPr>
          <w:rFonts w:ascii="Arial" w:cs="Arial" w:eastAsia="Arial" w:hAnsi="Arial"/>
          <w:sz w:val="14"/>
          <w:szCs w:val="14"/>
          <w:color w:val="auto"/>
        </w:rPr>
        <w:t>This dilution is due to the substantially lower price paid by our investors who purchased shares prior to this offering as compared to the price offered to the public in this offering, and any previous exercise of stock options granted to our service providers. In addition, as of December 31, 2017, options to purchase 4,959,492 shares of our Class B common stock with a weighted-average exercise price of approximately $10.52 per share were outstanding as well as 16,707,823 shares of our Class A common stock and 38,219,737 shares of our Class B common stock subject to RSUs. The exercise of any of these options and settlement of any of these RSUs would result in additional dilution. Our Board of Directors has approved the acceleration of the Performance Vesting Condition for 26,061,071 RSUs (which are included in the 38,219,737 shares of our Class B common stock subject to RSUs referenced above) for which the service condition was satisfied as of December 31, 2017, to occur upon the effectiveness of our registration statement related to this offering, which will result in the net issuance of 15,897,254 shares of our Class B common stock upon the RSU Settlement. As a result of the dilution to investors purchasing shares in this offering, investors may receive less than the purchase price paid in this offering, if anything, in the event of our liquidation.</w:t>
      </w:r>
    </w:p>
    <w:p>
      <w:pPr>
        <w:spacing w:after="0" w:line="244" w:lineRule="exact"/>
        <w:rPr>
          <w:sz w:val="20"/>
          <w:szCs w:val="20"/>
          <w:color w:val="auto"/>
        </w:rPr>
      </w:pPr>
    </w:p>
    <w:p>
      <w:pPr>
        <w:ind w:left="1120" w:right="560"/>
        <w:spacing w:after="0" w:line="275" w:lineRule="auto"/>
        <w:rPr>
          <w:sz w:val="20"/>
          <w:szCs w:val="20"/>
          <w:color w:val="auto"/>
        </w:rPr>
      </w:pPr>
      <w:r>
        <w:rPr>
          <w:rFonts w:ascii="Arial" w:cs="Arial" w:eastAsia="Arial" w:hAnsi="Arial"/>
          <w:sz w:val="15"/>
          <w:szCs w:val="15"/>
          <w:b w:val="1"/>
          <w:bCs w:val="1"/>
          <w:i w:val="1"/>
          <w:iCs w:val="1"/>
          <w:color w:val="auto"/>
        </w:rPr>
        <w:t>We have broad discretion over the use of the net proceeds from this offering and the concurrent private placement and we may not use them effectively.</w:t>
      </w:r>
    </w:p>
    <w:p>
      <w:pPr>
        <w:spacing w:after="0" w:line="56" w:lineRule="exact"/>
        <w:rPr>
          <w:sz w:val="20"/>
          <w:szCs w:val="20"/>
          <w:color w:val="auto"/>
        </w:rPr>
      </w:pPr>
    </w:p>
    <w:p>
      <w:pPr>
        <w:ind w:left="1120" w:right="40" w:firstLine="368"/>
        <w:spacing w:after="0" w:line="275" w:lineRule="auto"/>
        <w:rPr>
          <w:sz w:val="20"/>
          <w:szCs w:val="20"/>
          <w:color w:val="auto"/>
        </w:rPr>
      </w:pPr>
      <w:r>
        <w:rPr>
          <w:rFonts w:ascii="Arial" w:cs="Arial" w:eastAsia="Arial" w:hAnsi="Arial"/>
          <w:sz w:val="14"/>
          <w:szCs w:val="14"/>
          <w:color w:val="auto"/>
        </w:rPr>
        <w:t>We cannot specify with any certainty the particular uses of the net proceeds that we will receive from this offering and the concurrent private placement. Our management will have broad discretion in the application of the net proceeds from this offering and the concurrent private placement, including for any of the purposes described in “Use of Proceeds,” and you will not have the opportunity as part of your investment decision to assess whether the net proceeds are being used appropriately. Because of the number and variability of factors that will determine our use of the net proceeds from this offering and the concurrent private placement, their ultimate use may vary substantially from their currently intended use. The failure by our management to apply these proceeds effectively could adversely affect our business, results of operations, and financial condition. Pending their use, we may invest our proceeds in a manner that does not produce income or that loses value. Our investments may not yield a favorable return to our investors and may negatively impact the price of our Class A common stock.</w:t>
      </w:r>
    </w:p>
    <w:p>
      <w:pPr>
        <w:spacing w:after="0" w:line="239" w:lineRule="exact"/>
        <w:rPr>
          <w:sz w:val="20"/>
          <w:szCs w:val="20"/>
          <w:color w:val="auto"/>
        </w:rPr>
      </w:pPr>
    </w:p>
    <w:p>
      <w:pPr>
        <w:ind w:left="1120" w:right="320"/>
        <w:spacing w:after="0" w:line="275" w:lineRule="auto"/>
        <w:rPr>
          <w:sz w:val="20"/>
          <w:szCs w:val="20"/>
          <w:color w:val="auto"/>
        </w:rPr>
      </w:pPr>
      <w:r>
        <w:rPr>
          <w:rFonts w:ascii="Arial" w:cs="Arial" w:eastAsia="Arial" w:hAnsi="Arial"/>
          <w:sz w:val="15"/>
          <w:szCs w:val="15"/>
          <w:b w:val="1"/>
          <w:bCs w:val="1"/>
          <w:i w:val="1"/>
          <w:iCs w:val="1"/>
          <w:color w:val="auto"/>
        </w:rPr>
        <w:t>Delaware law and provisions in our restated certificate of incorporation and restated bylaws could make a merger, tender offer, or proxy contest difficult, thereby depressing the market price of our Class A common stock.</w:t>
      </w:r>
    </w:p>
    <w:p>
      <w:pPr>
        <w:spacing w:after="0" w:line="56" w:lineRule="exact"/>
        <w:rPr>
          <w:sz w:val="20"/>
          <w:szCs w:val="20"/>
          <w:color w:val="auto"/>
        </w:rPr>
      </w:pPr>
    </w:p>
    <w:p>
      <w:pPr>
        <w:ind w:left="1120" w:firstLine="368"/>
        <w:spacing w:after="0" w:line="311" w:lineRule="auto"/>
        <w:rPr>
          <w:sz w:val="20"/>
          <w:szCs w:val="20"/>
          <w:color w:val="auto"/>
        </w:rPr>
      </w:pPr>
      <w:r>
        <w:rPr>
          <w:rFonts w:ascii="Arial" w:cs="Arial" w:eastAsia="Arial" w:hAnsi="Arial"/>
          <w:sz w:val="13"/>
          <w:szCs w:val="13"/>
          <w:color w:val="auto"/>
        </w:rPr>
        <w:t>Our status as a Delaware corporation and the anti-takeover provisions of the Delaware General Corporation Law may discourage, delay, or prevent a change in control by prohibiting us from engaging in a business combination with an interested stockholder for a period of three years after the person becomes an interested stockholder, even if a change of control would be beneficial to our existing stockholders. In addition, our restated certificate of incorporation and restated bylaws contain provisions that may make the acquisition of our company more difficult, including the following:</w:t>
      </w:r>
    </w:p>
    <w:p>
      <w:pPr>
        <w:spacing w:after="0" w:line="48" w:lineRule="exact"/>
        <w:rPr>
          <w:sz w:val="20"/>
          <w:szCs w:val="20"/>
          <w:color w:val="auto"/>
        </w:rPr>
      </w:pPr>
    </w:p>
    <w:p>
      <w:pPr>
        <w:ind w:left="1840" w:right="440" w:hanging="276"/>
        <w:spacing w:after="0" w:line="275" w:lineRule="auto"/>
        <w:tabs>
          <w:tab w:leader="none" w:pos="1840" w:val="left"/>
        </w:tabs>
        <w:numPr>
          <w:ilvl w:val="0"/>
          <w:numId w:val="26"/>
        </w:numPr>
        <w:rPr>
          <w:rFonts w:ascii="Arial" w:cs="Arial" w:eastAsia="Arial" w:hAnsi="Arial"/>
          <w:sz w:val="15"/>
          <w:szCs w:val="15"/>
          <w:color w:val="auto"/>
        </w:rPr>
      </w:pPr>
      <w:r>
        <w:rPr>
          <w:rFonts w:ascii="Arial" w:cs="Arial" w:eastAsia="Arial" w:hAnsi="Arial"/>
          <w:sz w:val="15"/>
          <w:szCs w:val="15"/>
          <w:color w:val="auto"/>
        </w:rPr>
        <w:t>any transaction that would result in a change in control of our company requires the approval of a majority of our outstanding Class B common stock voting as a separate class;</w:t>
      </w:r>
    </w:p>
    <w:p>
      <w:pPr>
        <w:spacing w:after="0" w:line="90" w:lineRule="exact"/>
        <w:rPr>
          <w:sz w:val="20"/>
          <w:szCs w:val="20"/>
          <w:color w:val="auto"/>
        </w:rPr>
      </w:pPr>
    </w:p>
    <w:p>
      <w:pPr>
        <w:ind w:left="5640"/>
        <w:spacing w:after="0"/>
        <w:rPr>
          <w:sz w:val="20"/>
          <w:szCs w:val="20"/>
          <w:color w:val="auto"/>
        </w:rPr>
      </w:pPr>
      <w:r>
        <w:rPr>
          <w:rFonts w:ascii="Arial" w:cs="Arial" w:eastAsia="Arial" w:hAnsi="Arial"/>
          <w:sz w:val="15"/>
          <w:szCs w:val="15"/>
          <w:color w:val="auto"/>
        </w:rPr>
        <w:t>42</w:t>
      </w:r>
    </w:p>
    <w:p>
      <w:pPr>
        <w:sectPr>
          <w:pgSz w:w="11900" w:h="16838" w:orient="portrait"/>
          <w:cols w:equalWidth="0" w:num="1">
            <w:col w:w="10320"/>
          </w:cols>
          <w:pgMar w:left="240" w:top="407" w:right="1339" w:bottom="1440" w:gutter="0" w:footer="0" w:header="0"/>
        </w:sectPr>
      </w:pPr>
    </w:p>
    <w:bookmarkStart w:id="49" w:name="page50"/>
    <w:bookmarkEnd w:id="49"/>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133350</wp:posOffset>
            </wp:positionH>
            <wp:positionV relativeFrom="page">
              <wp:posOffset>88900</wp:posOffset>
            </wp:positionV>
            <wp:extent cx="7308850" cy="342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308850" cy="34290"/>
                    </a:xfrm>
                    <a:prstGeom prst="rect">
                      <a:avLst/>
                    </a:prstGeom>
                    <a:noFill/>
                  </pic:spPr>
                </pic:pic>
              </a:graphicData>
            </a:graphic>
          </wp:anchor>
        </w:drawing>
      </w:r>
      <w:hyperlink w:anchor="page7">
        <w:r>
          <w:rPr>
            <w:rFonts w:ascii="Arial" w:cs="Arial" w:eastAsia="Arial" w:hAnsi="Arial"/>
            <w:sz w:val="15"/>
            <w:szCs w:val="15"/>
            <w:b w:val="1"/>
            <w:bCs w:val="1"/>
            <w:u w:val="single" w:color="auto"/>
            <w:color w:val="0000EE"/>
          </w:rPr>
          <w:t>Table of Contents</w:t>
        </w:r>
      </w:hyperlink>
    </w:p>
    <w:p>
      <w:pPr>
        <w:spacing w:after="0" w:line="260" w:lineRule="exact"/>
        <w:rPr>
          <w:sz w:val="20"/>
          <w:szCs w:val="20"/>
          <w:color w:val="auto"/>
        </w:rPr>
      </w:pPr>
    </w:p>
    <w:p>
      <w:pPr>
        <w:ind w:left="1840" w:right="60" w:hanging="276"/>
        <w:spacing w:after="0" w:line="263" w:lineRule="auto"/>
        <w:tabs>
          <w:tab w:leader="none" w:pos="1840" w:val="left"/>
        </w:tabs>
        <w:numPr>
          <w:ilvl w:val="0"/>
          <w:numId w:val="27"/>
        </w:numPr>
        <w:rPr>
          <w:rFonts w:ascii="Arial" w:cs="Arial" w:eastAsia="Arial" w:hAnsi="Arial"/>
          <w:sz w:val="15"/>
          <w:szCs w:val="15"/>
          <w:color w:val="auto"/>
        </w:rPr>
      </w:pPr>
      <w:r>
        <w:rPr>
          <w:rFonts w:ascii="Arial" w:cs="Arial" w:eastAsia="Arial" w:hAnsi="Arial"/>
          <w:sz w:val="15"/>
          <w:szCs w:val="15"/>
          <w:color w:val="auto"/>
        </w:rPr>
        <w:t>our multi-class common stock structure, which provides our holders of Class B common stock with the ability to significantly influence the outcome of matters requiring stockholder approval, even if they own significantly less than a majority of the shares of our outstanding Class A common stock, Class B common stock, and Class C common stock;</w:t>
      </w:r>
    </w:p>
    <w:p>
      <w:pPr>
        <w:spacing w:after="0" w:line="75" w:lineRule="exact"/>
        <w:rPr>
          <w:rFonts w:ascii="Arial" w:cs="Arial" w:eastAsia="Arial" w:hAnsi="Arial"/>
          <w:sz w:val="15"/>
          <w:szCs w:val="15"/>
          <w:color w:val="auto"/>
        </w:rPr>
      </w:pPr>
    </w:p>
    <w:p>
      <w:pPr>
        <w:jc w:val="both"/>
        <w:ind w:left="1840" w:right="40" w:hanging="276"/>
        <w:spacing w:after="0" w:line="263" w:lineRule="auto"/>
        <w:tabs>
          <w:tab w:leader="none" w:pos="1840" w:val="left"/>
        </w:tabs>
        <w:numPr>
          <w:ilvl w:val="0"/>
          <w:numId w:val="27"/>
        </w:numPr>
        <w:rPr>
          <w:rFonts w:ascii="Arial" w:cs="Arial" w:eastAsia="Arial" w:hAnsi="Arial"/>
          <w:sz w:val="15"/>
          <w:szCs w:val="15"/>
          <w:color w:val="auto"/>
        </w:rPr>
      </w:pPr>
      <w:r>
        <w:rPr>
          <w:rFonts w:ascii="Arial" w:cs="Arial" w:eastAsia="Arial" w:hAnsi="Arial"/>
          <w:sz w:val="15"/>
          <w:szCs w:val="15"/>
          <w:color w:val="auto"/>
        </w:rPr>
        <w:t>when the outstanding shares of Class B common stock represent less than a majority of the total combined voting power of our Class A and Class B common stock, or the Voting Threshold Date, our Board of Directors will be classified into three classes of directors with staggered three-year terms, and directors will only be able to be removed from office for cause;</w:t>
      </w:r>
    </w:p>
    <w:p>
      <w:pPr>
        <w:spacing w:after="0" w:line="75" w:lineRule="exact"/>
        <w:rPr>
          <w:rFonts w:ascii="Arial" w:cs="Arial" w:eastAsia="Arial" w:hAnsi="Arial"/>
          <w:sz w:val="15"/>
          <w:szCs w:val="15"/>
          <w:color w:val="auto"/>
        </w:rPr>
      </w:pPr>
    </w:p>
    <w:p>
      <w:pPr>
        <w:ind w:left="1840" w:right="80" w:hanging="276"/>
        <w:spacing w:after="0" w:line="311" w:lineRule="auto"/>
        <w:tabs>
          <w:tab w:leader="none" w:pos="1840" w:val="left"/>
        </w:tabs>
        <w:numPr>
          <w:ilvl w:val="0"/>
          <w:numId w:val="27"/>
        </w:numPr>
        <w:rPr>
          <w:rFonts w:ascii="Arial" w:cs="Arial" w:eastAsia="Arial" w:hAnsi="Arial"/>
          <w:sz w:val="13"/>
          <w:szCs w:val="13"/>
          <w:color w:val="auto"/>
        </w:rPr>
      </w:pPr>
      <w:r>
        <w:rPr>
          <w:rFonts w:ascii="Arial" w:cs="Arial" w:eastAsia="Arial" w:hAnsi="Arial"/>
          <w:sz w:val="13"/>
          <w:szCs w:val="13"/>
          <w:color w:val="auto"/>
        </w:rPr>
        <w:t>until the Class B common stock, as a class, converts to Class A common stock, any amendments to our restated certificate of incorporation will require the approval of two-thirds of the combined vote of our then-outstanding shares of Class A common stock and Class B common stock; and following the conversion of our Class B common stock, as a class, to Class A common stock, certain amendments to our amended and restated certificate of incorporation will require the approval of two-thirds of our then outstanding voting power;</w:t>
      </w:r>
    </w:p>
    <w:p>
      <w:pPr>
        <w:spacing w:after="0" w:line="48" w:lineRule="exact"/>
        <w:rPr>
          <w:rFonts w:ascii="Arial" w:cs="Arial" w:eastAsia="Arial" w:hAnsi="Arial"/>
          <w:sz w:val="13"/>
          <w:szCs w:val="13"/>
          <w:color w:val="auto"/>
        </w:rPr>
      </w:pPr>
    </w:p>
    <w:p>
      <w:pPr>
        <w:ind w:left="1840" w:right="80" w:hanging="276"/>
        <w:spacing w:after="0" w:line="275" w:lineRule="auto"/>
        <w:tabs>
          <w:tab w:leader="none" w:pos="1840" w:val="left"/>
        </w:tabs>
        <w:numPr>
          <w:ilvl w:val="0"/>
          <w:numId w:val="27"/>
        </w:numPr>
        <w:rPr>
          <w:rFonts w:ascii="Arial" w:cs="Arial" w:eastAsia="Arial" w:hAnsi="Arial"/>
          <w:sz w:val="15"/>
          <w:szCs w:val="15"/>
          <w:color w:val="auto"/>
        </w:rPr>
      </w:pPr>
      <w:r>
        <w:rPr>
          <w:rFonts w:ascii="Arial" w:cs="Arial" w:eastAsia="Arial" w:hAnsi="Arial"/>
          <w:sz w:val="15"/>
          <w:szCs w:val="15"/>
          <w:color w:val="auto"/>
        </w:rPr>
        <w:t>our amended and restated bylaws will provide that approval of stockholders holding two-thirds of our outstanding voting power voting as a single class is required for stockholders to amend or adopt any provision of our bylaws;</w:t>
      </w:r>
    </w:p>
    <w:p>
      <w:pPr>
        <w:spacing w:after="0" w:line="67" w:lineRule="exact"/>
        <w:rPr>
          <w:rFonts w:ascii="Arial" w:cs="Arial" w:eastAsia="Arial" w:hAnsi="Arial"/>
          <w:sz w:val="15"/>
          <w:szCs w:val="15"/>
          <w:color w:val="auto"/>
        </w:rPr>
      </w:pPr>
    </w:p>
    <w:p>
      <w:pPr>
        <w:ind w:left="1840" w:right="180" w:hanging="276"/>
        <w:spacing w:after="0" w:line="275" w:lineRule="auto"/>
        <w:tabs>
          <w:tab w:leader="none" w:pos="1840" w:val="left"/>
        </w:tabs>
        <w:numPr>
          <w:ilvl w:val="0"/>
          <w:numId w:val="27"/>
        </w:numPr>
        <w:rPr>
          <w:rFonts w:ascii="Arial" w:cs="Arial" w:eastAsia="Arial" w:hAnsi="Arial"/>
          <w:sz w:val="15"/>
          <w:szCs w:val="15"/>
          <w:color w:val="auto"/>
        </w:rPr>
      </w:pPr>
      <w:r>
        <w:rPr>
          <w:rFonts w:ascii="Arial" w:cs="Arial" w:eastAsia="Arial" w:hAnsi="Arial"/>
          <w:sz w:val="15"/>
          <w:szCs w:val="15"/>
          <w:color w:val="auto"/>
        </w:rPr>
        <w:t>after the Voting Threshold Date our stockholders will only be able to take action at a meeting of stockholders, and will not be able to take action by written consent for any matter;</w:t>
      </w:r>
    </w:p>
    <w:p>
      <w:pPr>
        <w:spacing w:after="0" w:line="67" w:lineRule="exact"/>
        <w:rPr>
          <w:rFonts w:ascii="Arial" w:cs="Arial" w:eastAsia="Arial" w:hAnsi="Arial"/>
          <w:sz w:val="15"/>
          <w:szCs w:val="15"/>
          <w:color w:val="auto"/>
        </w:rPr>
      </w:pPr>
    </w:p>
    <w:p>
      <w:pPr>
        <w:ind w:left="1840" w:right="100" w:hanging="276"/>
        <w:spacing w:after="0" w:line="275" w:lineRule="auto"/>
        <w:tabs>
          <w:tab w:leader="none" w:pos="1840" w:val="left"/>
        </w:tabs>
        <w:numPr>
          <w:ilvl w:val="0"/>
          <w:numId w:val="27"/>
        </w:numPr>
        <w:rPr>
          <w:rFonts w:ascii="Arial" w:cs="Arial" w:eastAsia="Arial" w:hAnsi="Arial"/>
          <w:sz w:val="15"/>
          <w:szCs w:val="15"/>
          <w:color w:val="auto"/>
        </w:rPr>
      </w:pPr>
      <w:r>
        <w:rPr>
          <w:rFonts w:ascii="Arial" w:cs="Arial" w:eastAsia="Arial" w:hAnsi="Arial"/>
          <w:sz w:val="15"/>
          <w:szCs w:val="15"/>
          <w:color w:val="auto"/>
        </w:rPr>
        <w:t>until the Voting Threshold Date, our stockholders will be able to act by written consent only if the action is first recommended or approved by the Board of Directors;</w:t>
      </w:r>
    </w:p>
    <w:p>
      <w:pPr>
        <w:spacing w:after="0" w:line="67" w:lineRule="exact"/>
        <w:rPr>
          <w:rFonts w:ascii="Arial" w:cs="Arial" w:eastAsia="Arial" w:hAnsi="Arial"/>
          <w:sz w:val="15"/>
          <w:szCs w:val="15"/>
          <w:color w:val="auto"/>
        </w:rPr>
      </w:pPr>
    </w:p>
    <w:p>
      <w:pPr>
        <w:ind w:left="1840" w:hanging="276"/>
        <w:spacing w:after="0"/>
        <w:tabs>
          <w:tab w:leader="none" w:pos="1840" w:val="left"/>
        </w:tabs>
        <w:numPr>
          <w:ilvl w:val="0"/>
          <w:numId w:val="27"/>
        </w:numPr>
        <w:rPr>
          <w:rFonts w:ascii="Arial" w:cs="Arial" w:eastAsia="Arial" w:hAnsi="Arial"/>
          <w:sz w:val="15"/>
          <w:szCs w:val="15"/>
          <w:color w:val="auto"/>
        </w:rPr>
      </w:pPr>
      <w:r>
        <w:rPr>
          <w:rFonts w:ascii="Arial" w:cs="Arial" w:eastAsia="Arial" w:hAnsi="Arial"/>
          <w:sz w:val="15"/>
          <w:szCs w:val="15"/>
          <w:color w:val="auto"/>
        </w:rPr>
        <w:t>vacancies on our Board of Directors will be able to be filled only by our Board of Directors and not by stockholders;</w:t>
      </w:r>
    </w:p>
    <w:p>
      <w:pPr>
        <w:spacing w:after="0" w:line="109" w:lineRule="exact"/>
        <w:rPr>
          <w:rFonts w:ascii="Arial" w:cs="Arial" w:eastAsia="Arial" w:hAnsi="Arial"/>
          <w:sz w:val="15"/>
          <w:szCs w:val="15"/>
          <w:color w:val="auto"/>
        </w:rPr>
      </w:pPr>
    </w:p>
    <w:p>
      <w:pPr>
        <w:ind w:left="1840" w:right="40" w:hanging="276"/>
        <w:spacing w:after="0" w:line="263" w:lineRule="auto"/>
        <w:tabs>
          <w:tab w:leader="none" w:pos="1840" w:val="left"/>
        </w:tabs>
        <w:numPr>
          <w:ilvl w:val="0"/>
          <w:numId w:val="27"/>
        </w:numPr>
        <w:rPr>
          <w:rFonts w:ascii="Arial" w:cs="Arial" w:eastAsia="Arial" w:hAnsi="Arial"/>
          <w:sz w:val="15"/>
          <w:szCs w:val="15"/>
          <w:color w:val="auto"/>
        </w:rPr>
      </w:pPr>
      <w:r>
        <w:rPr>
          <w:rFonts w:ascii="Arial" w:cs="Arial" w:eastAsia="Arial" w:hAnsi="Arial"/>
          <w:sz w:val="15"/>
          <w:szCs w:val="15"/>
          <w:color w:val="auto"/>
        </w:rPr>
        <w:t>only our chairman of the Board of Directors, chief executive officer, a majority of Board of Directors or until the Class B common stock, as a class, converts to Class A common stock, a stockholder holding thirty percent of the combined voting power of our Class A and Class B common stock are authorized to call a special meeting of stockholders;</w:t>
      </w:r>
    </w:p>
    <w:p>
      <w:pPr>
        <w:spacing w:after="0" w:line="75" w:lineRule="exact"/>
        <w:rPr>
          <w:rFonts w:ascii="Arial" w:cs="Arial" w:eastAsia="Arial" w:hAnsi="Arial"/>
          <w:sz w:val="15"/>
          <w:szCs w:val="15"/>
          <w:color w:val="auto"/>
        </w:rPr>
      </w:pPr>
    </w:p>
    <w:p>
      <w:pPr>
        <w:ind w:left="1840" w:hanging="276"/>
        <w:spacing w:after="0"/>
        <w:tabs>
          <w:tab w:leader="none" w:pos="1840" w:val="left"/>
        </w:tabs>
        <w:numPr>
          <w:ilvl w:val="0"/>
          <w:numId w:val="27"/>
        </w:numPr>
        <w:rPr>
          <w:rFonts w:ascii="Arial" w:cs="Arial" w:eastAsia="Arial" w:hAnsi="Arial"/>
          <w:sz w:val="15"/>
          <w:szCs w:val="15"/>
          <w:color w:val="auto"/>
        </w:rPr>
      </w:pPr>
      <w:r>
        <w:rPr>
          <w:rFonts w:ascii="Arial" w:cs="Arial" w:eastAsia="Arial" w:hAnsi="Arial"/>
          <w:sz w:val="15"/>
          <w:szCs w:val="15"/>
          <w:color w:val="auto"/>
        </w:rPr>
        <w:t>certain litigation against us can only be brought in Delaware;</w:t>
      </w:r>
    </w:p>
    <w:p>
      <w:pPr>
        <w:spacing w:after="0" w:line="109" w:lineRule="exact"/>
        <w:rPr>
          <w:rFonts w:ascii="Arial" w:cs="Arial" w:eastAsia="Arial" w:hAnsi="Arial"/>
          <w:sz w:val="15"/>
          <w:szCs w:val="15"/>
          <w:color w:val="auto"/>
        </w:rPr>
      </w:pPr>
    </w:p>
    <w:p>
      <w:pPr>
        <w:ind w:left="1840" w:right="40" w:hanging="276"/>
        <w:spacing w:after="0" w:line="275" w:lineRule="auto"/>
        <w:tabs>
          <w:tab w:leader="none" w:pos="1840" w:val="left"/>
        </w:tabs>
        <w:numPr>
          <w:ilvl w:val="0"/>
          <w:numId w:val="27"/>
        </w:numPr>
        <w:rPr>
          <w:rFonts w:ascii="Arial" w:cs="Arial" w:eastAsia="Arial" w:hAnsi="Arial"/>
          <w:sz w:val="15"/>
          <w:szCs w:val="15"/>
          <w:color w:val="auto"/>
        </w:rPr>
      </w:pPr>
      <w:r>
        <w:rPr>
          <w:rFonts w:ascii="Arial" w:cs="Arial" w:eastAsia="Arial" w:hAnsi="Arial"/>
          <w:sz w:val="15"/>
          <w:szCs w:val="15"/>
          <w:color w:val="auto"/>
        </w:rPr>
        <w:t>our restated certificate of incorporation authorizes undesignated preferred stock, the terms of which may be established and shares of which may be issued, without the approval of the holders of Class A common stock; and</w:t>
      </w:r>
    </w:p>
    <w:p>
      <w:pPr>
        <w:spacing w:after="0" w:line="67" w:lineRule="exact"/>
        <w:rPr>
          <w:rFonts w:ascii="Arial" w:cs="Arial" w:eastAsia="Arial" w:hAnsi="Arial"/>
          <w:sz w:val="15"/>
          <w:szCs w:val="15"/>
          <w:color w:val="auto"/>
        </w:rPr>
      </w:pPr>
    </w:p>
    <w:p>
      <w:pPr>
        <w:ind w:left="1840" w:right="400" w:hanging="276"/>
        <w:spacing w:after="0" w:line="275" w:lineRule="auto"/>
        <w:tabs>
          <w:tab w:leader="none" w:pos="1840" w:val="left"/>
        </w:tabs>
        <w:numPr>
          <w:ilvl w:val="0"/>
          <w:numId w:val="27"/>
        </w:numPr>
        <w:rPr>
          <w:rFonts w:ascii="Arial" w:cs="Arial" w:eastAsia="Arial" w:hAnsi="Arial"/>
          <w:sz w:val="15"/>
          <w:szCs w:val="15"/>
          <w:color w:val="auto"/>
        </w:rPr>
      </w:pPr>
      <w:r>
        <w:rPr>
          <w:rFonts w:ascii="Arial" w:cs="Arial" w:eastAsia="Arial" w:hAnsi="Arial"/>
          <w:sz w:val="15"/>
          <w:szCs w:val="15"/>
          <w:color w:val="auto"/>
        </w:rPr>
        <w:t>advance notice procedures apply for stockholders to nominate candidates for election as directors or to bring matters before an annual meeting of stockholders.</w:t>
      </w:r>
    </w:p>
    <w:p>
      <w:pPr>
        <w:spacing w:after="0" w:line="146" w:lineRule="exact"/>
        <w:rPr>
          <w:sz w:val="20"/>
          <w:szCs w:val="20"/>
          <w:color w:val="auto"/>
        </w:rPr>
      </w:pPr>
    </w:p>
    <w:p>
      <w:pPr>
        <w:ind w:left="1120" w:right="60" w:firstLine="368"/>
        <w:spacing w:after="0" w:line="283" w:lineRule="auto"/>
        <w:rPr>
          <w:sz w:val="20"/>
          <w:szCs w:val="20"/>
          <w:color w:val="auto"/>
        </w:rPr>
      </w:pPr>
      <w:r>
        <w:rPr>
          <w:rFonts w:ascii="Arial" w:cs="Arial" w:eastAsia="Arial" w:hAnsi="Arial"/>
          <w:sz w:val="14"/>
          <w:szCs w:val="14"/>
          <w:color w:val="auto"/>
        </w:rPr>
        <w:t>These anti-takeover defenses could discourage, delay, or prevent a transaction involving a change in control of our company. These provisions could also discourage proxy contests and make it more difficult for stockholders to elect directors of their choosing and to cause us to take other corporate actions they desire, any of which, under certain circumstances, could limit the opportunity for our stockholders to receive a premium for their shares of our capital stock, and could also affect the price that some investors are willing to pay for our Class A common stock.</w:t>
      </w:r>
    </w:p>
    <w:p>
      <w:pPr>
        <w:spacing w:after="0" w:line="233" w:lineRule="exact"/>
        <w:rPr>
          <w:sz w:val="20"/>
          <w:szCs w:val="20"/>
          <w:color w:val="auto"/>
        </w:rPr>
      </w:pPr>
    </w:p>
    <w:p>
      <w:pPr>
        <w:ind w:left="1120"/>
        <w:spacing w:after="0" w:line="259" w:lineRule="auto"/>
        <w:rPr>
          <w:sz w:val="20"/>
          <w:szCs w:val="20"/>
          <w:color w:val="auto"/>
        </w:rPr>
      </w:pPr>
      <w:r>
        <w:rPr>
          <w:rFonts w:ascii="Arial" w:cs="Arial" w:eastAsia="Arial" w:hAnsi="Arial"/>
          <w:sz w:val="15"/>
          <w:szCs w:val="15"/>
          <w:b w:val="1"/>
          <w:bCs w:val="1"/>
          <w:i w:val="1"/>
          <w:iCs w:val="1"/>
          <w:color w:val="auto"/>
        </w:rPr>
        <w:t>Our amended and restated bylaws will designate a state or federal court located within the State of Delaware as the exclusive forum for substantially all disputes between us and our stockholders, and also provide that the federal district courts will be the exclusive forum for resolving any complaint asserting a cause of action arising under the Securities Act, each of which could limit our stockholders’ ability to choose the judicial forum for disputes with us or our directors, officers, or employees.</w:t>
      </w:r>
    </w:p>
    <w:p>
      <w:pPr>
        <w:spacing w:after="0" w:line="67" w:lineRule="exact"/>
        <w:rPr>
          <w:sz w:val="20"/>
          <w:szCs w:val="20"/>
          <w:color w:val="auto"/>
        </w:rPr>
      </w:pPr>
    </w:p>
    <w:p>
      <w:pPr>
        <w:ind w:left="1120" w:right="100" w:firstLine="368"/>
        <w:spacing w:after="0" w:line="275" w:lineRule="auto"/>
        <w:rPr>
          <w:sz w:val="20"/>
          <w:szCs w:val="20"/>
          <w:color w:val="auto"/>
        </w:rPr>
      </w:pPr>
      <w:r>
        <w:rPr>
          <w:rFonts w:ascii="Arial" w:cs="Arial" w:eastAsia="Arial" w:hAnsi="Arial"/>
          <w:sz w:val="15"/>
          <w:szCs w:val="15"/>
          <w:color w:val="auto"/>
        </w:rPr>
        <w:t>Our amended and restated bylaws, which will become effective immediately prior to the completion of this offering, will provide that, unless we consent in writing to the selection of an alternative forum, the sole and</w:t>
      </w:r>
    </w:p>
    <w:p>
      <w:pPr>
        <w:spacing w:after="0" w:line="90" w:lineRule="exact"/>
        <w:rPr>
          <w:sz w:val="20"/>
          <w:szCs w:val="20"/>
          <w:color w:val="auto"/>
        </w:rPr>
      </w:pPr>
    </w:p>
    <w:p>
      <w:pPr>
        <w:ind w:left="5640"/>
        <w:spacing w:after="0"/>
        <w:rPr>
          <w:sz w:val="20"/>
          <w:szCs w:val="20"/>
          <w:color w:val="auto"/>
        </w:rPr>
      </w:pPr>
      <w:r>
        <w:rPr>
          <w:rFonts w:ascii="Arial" w:cs="Arial" w:eastAsia="Arial" w:hAnsi="Arial"/>
          <w:sz w:val="15"/>
          <w:szCs w:val="15"/>
          <w:color w:val="auto"/>
        </w:rPr>
        <w:t>43</w:t>
      </w:r>
    </w:p>
    <w:p>
      <w:pPr>
        <w:sectPr>
          <w:pgSz w:w="11900" w:h="16838" w:orient="portrait"/>
          <w:cols w:equalWidth="0" w:num="1">
            <w:col w:w="10280"/>
          </w:cols>
          <w:pgMar w:left="240" w:top="407" w:right="1379" w:bottom="1440" w:gutter="0" w:footer="0" w:header="0"/>
        </w:sectPr>
      </w:pPr>
    </w:p>
    <w:bookmarkStart w:id="50" w:name="page51"/>
    <w:bookmarkEnd w:id="50"/>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133350</wp:posOffset>
            </wp:positionH>
            <wp:positionV relativeFrom="page">
              <wp:posOffset>88900</wp:posOffset>
            </wp:positionV>
            <wp:extent cx="7308850" cy="342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308850" cy="34290"/>
                    </a:xfrm>
                    <a:prstGeom prst="rect">
                      <a:avLst/>
                    </a:prstGeom>
                    <a:noFill/>
                  </pic:spPr>
                </pic:pic>
              </a:graphicData>
            </a:graphic>
          </wp:anchor>
        </w:drawing>
      </w:r>
      <w:hyperlink w:anchor="page7">
        <w:r>
          <w:rPr>
            <w:rFonts w:ascii="Arial" w:cs="Arial" w:eastAsia="Arial" w:hAnsi="Arial"/>
            <w:sz w:val="15"/>
            <w:szCs w:val="15"/>
            <w:b w:val="1"/>
            <w:bCs w:val="1"/>
            <w:u w:val="single" w:color="auto"/>
            <w:color w:val="0000EE"/>
          </w:rPr>
          <w:t>Table of Contents</w:t>
        </w:r>
      </w:hyperlink>
    </w:p>
    <w:p>
      <w:pPr>
        <w:spacing w:after="0" w:line="260" w:lineRule="exact"/>
        <w:rPr>
          <w:sz w:val="20"/>
          <w:szCs w:val="20"/>
          <w:color w:val="auto"/>
        </w:rPr>
      </w:pPr>
    </w:p>
    <w:p>
      <w:pPr>
        <w:ind w:left="1120" w:right="20"/>
        <w:spacing w:after="0" w:line="305" w:lineRule="auto"/>
        <w:rPr>
          <w:sz w:val="20"/>
          <w:szCs w:val="20"/>
          <w:color w:val="auto"/>
        </w:rPr>
      </w:pPr>
      <w:r>
        <w:rPr>
          <w:rFonts w:ascii="Arial" w:cs="Arial" w:eastAsia="Arial" w:hAnsi="Arial"/>
          <w:sz w:val="13"/>
          <w:szCs w:val="13"/>
          <w:color w:val="auto"/>
        </w:rPr>
        <w:t>exclusive forum for (1) any derivative action or proceeding brought on our behalf, (2) any action asserting a claim of breach of a fiduciary duty owed by any of our directors, officers, or other employees to us or our stockholders, (3) any action arising pursuant to any provision of the Delaware General Corporation Law, or the certificate of incorporation or the amended and restated bylaws or (4) any other action asserting a claim that is governed by the internal affairs doctrine shall be the Court of Chancery of the State of Delaware (or, if the Court of Chancery does not have jurisdiction, the federal district court for the District of Delaware), in all cases subject to the court having jurisdiction over indispensable parties named as defendants.</w:t>
      </w:r>
    </w:p>
    <w:p>
      <w:pPr>
        <w:spacing w:after="0" w:line="133" w:lineRule="exact"/>
        <w:rPr>
          <w:sz w:val="20"/>
          <w:szCs w:val="20"/>
          <w:color w:val="auto"/>
        </w:rPr>
      </w:pPr>
    </w:p>
    <w:p>
      <w:pPr>
        <w:ind w:left="1120" w:right="100" w:firstLine="368"/>
        <w:spacing w:after="0" w:line="275" w:lineRule="auto"/>
        <w:rPr>
          <w:sz w:val="20"/>
          <w:szCs w:val="20"/>
          <w:color w:val="auto"/>
        </w:rPr>
      </w:pPr>
      <w:r>
        <w:rPr>
          <w:rFonts w:ascii="Arial" w:cs="Arial" w:eastAsia="Arial" w:hAnsi="Arial"/>
          <w:sz w:val="15"/>
          <w:szCs w:val="15"/>
          <w:color w:val="auto"/>
        </w:rPr>
        <w:t>Our amended and restated bylaws will also provide that the federal district courts of the United States of America will be the exclusive forum for resolving any complaint asserting a cause of action arising under the Securities Act.</w:t>
      </w:r>
    </w:p>
    <w:p>
      <w:pPr>
        <w:spacing w:after="0" w:line="146" w:lineRule="exact"/>
        <w:rPr>
          <w:sz w:val="20"/>
          <w:szCs w:val="20"/>
          <w:color w:val="auto"/>
        </w:rPr>
      </w:pPr>
    </w:p>
    <w:p>
      <w:pPr>
        <w:ind w:left="1120" w:firstLine="368"/>
        <w:spacing w:after="0" w:line="279" w:lineRule="auto"/>
        <w:rPr>
          <w:sz w:val="20"/>
          <w:szCs w:val="20"/>
          <w:color w:val="auto"/>
        </w:rPr>
      </w:pPr>
      <w:r>
        <w:rPr>
          <w:rFonts w:ascii="Arial" w:cs="Arial" w:eastAsia="Arial" w:hAnsi="Arial"/>
          <w:sz w:val="14"/>
          <w:szCs w:val="14"/>
          <w:color w:val="auto"/>
        </w:rPr>
        <w:t>Any person or entity purchasing or otherwise acquiring any interest in any of our securities shall be deemed to have notice of and consented to this provision. These exclusive-forum provisions may limit a stockholder’s ability to bring a claim in a judicial forum of its choosing for disputes with us or our directors, officers, or other employees, which may discourage lawsuits against us and our directors, officers, and other employees. If a court were to find either exclusive-forum provision in our amended and restated bylaws to be inapplicable or unenforceable in an action, we may incur additional costs associated with resolving the dispute in other jurisdictions, which could harm our results of operations.</w:t>
      </w:r>
    </w:p>
    <w:p>
      <w:pPr>
        <w:spacing w:after="0" w:line="237" w:lineRule="exact"/>
        <w:rPr>
          <w:sz w:val="20"/>
          <w:szCs w:val="20"/>
          <w:color w:val="auto"/>
        </w:rPr>
      </w:pPr>
    </w:p>
    <w:p>
      <w:pPr>
        <w:ind w:left="1120" w:right="140"/>
        <w:spacing w:after="0" w:line="275" w:lineRule="auto"/>
        <w:rPr>
          <w:sz w:val="20"/>
          <w:szCs w:val="20"/>
          <w:color w:val="auto"/>
        </w:rPr>
      </w:pPr>
      <w:r>
        <w:rPr>
          <w:rFonts w:ascii="Arial" w:cs="Arial" w:eastAsia="Arial" w:hAnsi="Arial"/>
          <w:sz w:val="15"/>
          <w:szCs w:val="15"/>
          <w:b w:val="1"/>
          <w:bCs w:val="1"/>
          <w:i w:val="1"/>
          <w:iCs w:val="1"/>
          <w:color w:val="auto"/>
        </w:rPr>
        <w:t>Affiliates of several of the underwriters in this offering may receive at least 5% of the net proceeds of this offering and may have an interest in this offering beyond customary underwriting discounts and commissions.</w:t>
      </w:r>
    </w:p>
    <w:p>
      <w:pPr>
        <w:spacing w:after="0" w:line="56" w:lineRule="exact"/>
        <w:rPr>
          <w:sz w:val="20"/>
          <w:szCs w:val="20"/>
          <w:color w:val="auto"/>
        </w:rPr>
      </w:pPr>
    </w:p>
    <w:p>
      <w:pPr>
        <w:ind w:left="1120" w:firstLine="368"/>
        <w:spacing w:after="0" w:line="271" w:lineRule="auto"/>
        <w:rPr>
          <w:sz w:val="20"/>
          <w:szCs w:val="20"/>
          <w:color w:val="auto"/>
        </w:rPr>
      </w:pPr>
      <w:r>
        <w:rPr>
          <w:rFonts w:ascii="Arial" w:cs="Arial" w:eastAsia="Arial" w:hAnsi="Arial"/>
          <w:sz w:val="14"/>
          <w:szCs w:val="14"/>
          <w:color w:val="auto"/>
        </w:rPr>
        <w:t>Goldman Sachs &amp; Co. LLC, J.P. Morgan Securities LLC, Deutsche Bank Securities Inc., and Merrill Lynch, Pierce, Fenner &amp; Smith Incorporated are underwriters in this offering and their affiliates will receive at least 5% of the net proceeds of this offering in connection with the repayment of $193.1 million that is expected to be outstanding under our revolving credit facility immediately prior to the completion of this offering. As such, Goldman Sachs &amp; Co. LLC, J.P. Morgan Securities LLC, Deutsche Bank Securities Inc., and Merrill Lynch, Pierce, Fenner &amp; Smith Incorporated are each deemed to have a “conflict of interest” under Rule 5121 of the Financial Industry Regulatory Authority Inc., or Rule 5121. Accordingly, this offering will be made in compliance with the applicable provisions of Rule 5121. This rule requires, among other things, that a “qualified independent underwriter” has participated in the preparation of, and has exercised the usual standards of “due diligence” with respect to, the registration statement. Allen &amp; Company LLC has agreed to act as qualified independent underwriter for this offering and to undertake the legal responsibilities and liabilities of an underwriter under the Securities Act. Allen &amp; Company LLC will not receive any additional fees for serving as qualified independent underwriter in connection with this offering. Although Allen &amp; Company LLC has, in its capacity as qualified independent underwriter, participated in due diligence and the preparation of this prospectus and the registration statement of which this prospectus forms a part, we cannot assure you that this will adequately address all potential conflicts of interest. We have agreed to indemnify Allen &amp; Company LLC against liabilities incurred in connection with acting as qualified independent underwriter, including liabilities under the Securities Act. Pursuant to FINRA Rule 5121, Goldman Sachs &amp; Co. LLC, J.P. Morgan Securities LLC, Deutsche Bank Securities Inc., and Merrill Lynch, Pierce, Fenner &amp; Smith Incorporated will not confirm sales of securities to any account over which it exercises discretionary authority without the prior written approval of the customer. See “Underwriting (Conflicts of Interest)” for additional information.</w:t>
      </w:r>
    </w:p>
    <w:p>
      <w:pPr>
        <w:spacing w:after="0" w:line="249" w:lineRule="exact"/>
        <w:rPr>
          <w:sz w:val="20"/>
          <w:szCs w:val="20"/>
          <w:color w:val="auto"/>
        </w:rPr>
      </w:pPr>
    </w:p>
    <w:p>
      <w:pPr>
        <w:ind w:left="1120" w:right="400"/>
        <w:spacing w:after="0" w:line="275" w:lineRule="auto"/>
        <w:rPr>
          <w:sz w:val="20"/>
          <w:szCs w:val="20"/>
          <w:color w:val="auto"/>
        </w:rPr>
      </w:pPr>
      <w:r>
        <w:rPr>
          <w:rFonts w:ascii="Arial" w:cs="Arial" w:eastAsia="Arial" w:hAnsi="Arial"/>
          <w:sz w:val="15"/>
          <w:szCs w:val="15"/>
          <w:b w:val="1"/>
          <w:bCs w:val="1"/>
          <w:i w:val="1"/>
          <w:iCs w:val="1"/>
          <w:color w:val="auto"/>
        </w:rPr>
        <w:t>Our Class A common stock market price and trading volume could decline if securities or industry analysts do not publish research or publish inaccurate or unfavorable research about our business.</w:t>
      </w:r>
    </w:p>
    <w:p>
      <w:pPr>
        <w:spacing w:after="0" w:line="56" w:lineRule="exact"/>
        <w:rPr>
          <w:sz w:val="20"/>
          <w:szCs w:val="20"/>
          <w:color w:val="auto"/>
        </w:rPr>
      </w:pPr>
    </w:p>
    <w:p>
      <w:pPr>
        <w:jc w:val="both"/>
        <w:ind w:left="1120" w:right="40" w:firstLine="368"/>
        <w:spacing w:after="0" w:line="322" w:lineRule="auto"/>
        <w:rPr>
          <w:sz w:val="20"/>
          <w:szCs w:val="20"/>
          <w:color w:val="auto"/>
        </w:rPr>
      </w:pPr>
      <w:r>
        <w:rPr>
          <w:rFonts w:ascii="Arial" w:cs="Arial" w:eastAsia="Arial" w:hAnsi="Arial"/>
          <w:sz w:val="13"/>
          <w:szCs w:val="13"/>
          <w:color w:val="auto"/>
        </w:rPr>
        <w:t>The trading market for our Class A common stock will depend in part on the research and reports that securities or industry analysts publish about us or our business. The analysts’ estimates are based upon their own opinions and are often different from our estimates or expectations. If one or more of the analysts who cover us downgrade our Class A common stock or publish inaccurate or unfavorable research about our business, the price</w:t>
      </w:r>
    </w:p>
    <w:p>
      <w:pPr>
        <w:spacing w:after="0" w:line="64" w:lineRule="exact"/>
        <w:rPr>
          <w:sz w:val="20"/>
          <w:szCs w:val="20"/>
          <w:color w:val="auto"/>
        </w:rPr>
      </w:pPr>
    </w:p>
    <w:p>
      <w:pPr>
        <w:ind w:left="5640"/>
        <w:spacing w:after="0"/>
        <w:rPr>
          <w:sz w:val="20"/>
          <w:szCs w:val="20"/>
          <w:color w:val="auto"/>
        </w:rPr>
      </w:pPr>
      <w:r>
        <w:rPr>
          <w:rFonts w:ascii="Arial" w:cs="Arial" w:eastAsia="Arial" w:hAnsi="Arial"/>
          <w:sz w:val="15"/>
          <w:szCs w:val="15"/>
          <w:color w:val="auto"/>
        </w:rPr>
        <w:t>44</w:t>
      </w:r>
    </w:p>
    <w:p>
      <w:pPr>
        <w:sectPr>
          <w:pgSz w:w="11900" w:h="16838" w:orient="portrait"/>
          <w:cols w:equalWidth="0" w:num="1">
            <w:col w:w="10300"/>
          </w:cols>
          <w:pgMar w:left="240" w:top="407" w:right="1359" w:bottom="1440" w:gutter="0" w:footer="0" w:header="0"/>
        </w:sectPr>
      </w:pPr>
    </w:p>
    <w:bookmarkStart w:id="51" w:name="page52"/>
    <w:bookmarkEnd w:id="51"/>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133350</wp:posOffset>
            </wp:positionH>
            <wp:positionV relativeFrom="page">
              <wp:posOffset>88900</wp:posOffset>
            </wp:positionV>
            <wp:extent cx="7308850" cy="342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308850" cy="34290"/>
                    </a:xfrm>
                    <a:prstGeom prst="rect">
                      <a:avLst/>
                    </a:prstGeom>
                    <a:noFill/>
                  </pic:spPr>
                </pic:pic>
              </a:graphicData>
            </a:graphic>
          </wp:anchor>
        </w:drawing>
      </w:r>
      <w:hyperlink w:anchor="page7">
        <w:r>
          <w:rPr>
            <w:rFonts w:ascii="Arial" w:cs="Arial" w:eastAsia="Arial" w:hAnsi="Arial"/>
            <w:sz w:val="15"/>
            <w:szCs w:val="15"/>
            <w:b w:val="1"/>
            <w:bCs w:val="1"/>
            <w:u w:val="single" w:color="auto"/>
            <w:color w:val="0000EE"/>
          </w:rPr>
          <w:t>Table of Contents</w:t>
        </w:r>
      </w:hyperlink>
    </w:p>
    <w:p>
      <w:pPr>
        <w:spacing w:after="0" w:line="260" w:lineRule="exact"/>
        <w:rPr>
          <w:sz w:val="20"/>
          <w:szCs w:val="20"/>
          <w:color w:val="auto"/>
        </w:rPr>
      </w:pPr>
    </w:p>
    <w:p>
      <w:pPr>
        <w:ind w:left="1120"/>
        <w:spacing w:after="0" w:line="263" w:lineRule="auto"/>
        <w:rPr>
          <w:sz w:val="20"/>
          <w:szCs w:val="20"/>
          <w:color w:val="auto"/>
        </w:rPr>
      </w:pPr>
      <w:r>
        <w:rPr>
          <w:rFonts w:ascii="Arial" w:cs="Arial" w:eastAsia="Arial" w:hAnsi="Arial"/>
          <w:sz w:val="15"/>
          <w:szCs w:val="15"/>
          <w:color w:val="auto"/>
        </w:rPr>
        <w:t>of our securities would likely decline. If few securities analysts commence coverage of us, or if one or more of these analysts cease coverage of us or fail to publish reports on us regularly, demand for our securities could decrease, which might cause the price and trading volume of our Class A common stock to decline.</w:t>
      </w:r>
    </w:p>
    <w:p>
      <w:pPr>
        <w:spacing w:after="0" w:line="245" w:lineRule="exact"/>
        <w:rPr>
          <w:sz w:val="20"/>
          <w:szCs w:val="20"/>
          <w:color w:val="auto"/>
        </w:rPr>
      </w:pPr>
    </w:p>
    <w:p>
      <w:pPr>
        <w:ind w:left="1120"/>
        <w:spacing w:after="0"/>
        <w:rPr>
          <w:sz w:val="20"/>
          <w:szCs w:val="20"/>
          <w:color w:val="auto"/>
        </w:rPr>
      </w:pPr>
      <w:r>
        <w:rPr>
          <w:rFonts w:ascii="Arial" w:cs="Arial" w:eastAsia="Arial" w:hAnsi="Arial"/>
          <w:sz w:val="15"/>
          <w:szCs w:val="15"/>
          <w:b w:val="1"/>
          <w:bCs w:val="1"/>
          <w:i w:val="1"/>
          <w:iCs w:val="1"/>
          <w:color w:val="auto"/>
        </w:rPr>
        <w:t>We do not intend to pay dividends for the foreseeable future.</w:t>
      </w:r>
    </w:p>
    <w:p>
      <w:pPr>
        <w:spacing w:after="0" w:line="98" w:lineRule="exact"/>
        <w:rPr>
          <w:sz w:val="20"/>
          <w:szCs w:val="20"/>
          <w:color w:val="auto"/>
        </w:rPr>
      </w:pPr>
    </w:p>
    <w:p>
      <w:pPr>
        <w:ind w:left="1120" w:firstLine="368"/>
        <w:spacing w:after="0" w:line="259" w:lineRule="auto"/>
        <w:rPr>
          <w:sz w:val="20"/>
          <w:szCs w:val="20"/>
          <w:color w:val="auto"/>
        </w:rPr>
      </w:pPr>
      <w:r>
        <w:rPr>
          <w:rFonts w:ascii="Arial" w:cs="Arial" w:eastAsia="Arial" w:hAnsi="Arial"/>
          <w:sz w:val="15"/>
          <w:szCs w:val="15"/>
          <w:color w:val="auto"/>
        </w:rPr>
        <w:t>We have never declared nor paid cash dividends on our capital stock. We currently intend to retain any future earnings to finance the operation and expansion of our business, and we do not expect to declare or pay any dividends in the foreseeable future. As a result, stockholders must rely on sales of their Class A common stock after price appreciation as the only way to realize any future gains on their investment. In addition, our revolving credit facility contains restrictions on our ability to pay dividends.</w:t>
      </w:r>
    </w:p>
    <w:p>
      <w:pPr>
        <w:spacing w:after="0" w:line="101" w:lineRule="exact"/>
        <w:rPr>
          <w:sz w:val="20"/>
          <w:szCs w:val="20"/>
          <w:color w:val="auto"/>
        </w:rPr>
      </w:pPr>
    </w:p>
    <w:p>
      <w:pPr>
        <w:ind w:left="5640"/>
        <w:spacing w:after="0"/>
        <w:rPr>
          <w:sz w:val="20"/>
          <w:szCs w:val="20"/>
          <w:color w:val="auto"/>
        </w:rPr>
      </w:pPr>
      <w:r>
        <w:rPr>
          <w:rFonts w:ascii="Arial" w:cs="Arial" w:eastAsia="Arial" w:hAnsi="Arial"/>
          <w:sz w:val="15"/>
          <w:szCs w:val="15"/>
          <w:color w:val="auto"/>
        </w:rPr>
        <w:t>45</w:t>
      </w:r>
    </w:p>
    <w:p>
      <w:pPr>
        <w:sectPr>
          <w:pgSz w:w="11900" w:h="16838" w:orient="portrait"/>
          <w:cols w:equalWidth="0" w:num="1">
            <w:col w:w="10300"/>
          </w:cols>
          <w:pgMar w:left="240" w:top="407" w:right="1359" w:bottom="1440" w:gutter="0" w:footer="0" w:header="0"/>
        </w:sectPr>
      </w:pPr>
    </w:p>
    <w:bookmarkStart w:id="52" w:name="page53"/>
    <w:bookmarkEnd w:id="52"/>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133350</wp:posOffset>
            </wp:positionH>
            <wp:positionV relativeFrom="page">
              <wp:posOffset>88900</wp:posOffset>
            </wp:positionV>
            <wp:extent cx="7308850" cy="342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308850" cy="34290"/>
                    </a:xfrm>
                    <a:prstGeom prst="rect">
                      <a:avLst/>
                    </a:prstGeom>
                    <a:noFill/>
                  </pic:spPr>
                </pic:pic>
              </a:graphicData>
            </a:graphic>
          </wp:anchor>
        </w:drawing>
      </w:r>
      <w:hyperlink w:anchor="page7">
        <w:r>
          <w:rPr>
            <w:rFonts w:ascii="Arial" w:cs="Arial" w:eastAsia="Arial" w:hAnsi="Arial"/>
            <w:sz w:val="15"/>
            <w:szCs w:val="15"/>
            <w:b w:val="1"/>
            <w:bCs w:val="1"/>
            <w:u w:val="single" w:color="auto"/>
            <w:color w:val="0000EE"/>
          </w:rPr>
          <w:t>Table of Contents</w:t>
        </w:r>
      </w:hyperlink>
    </w:p>
    <w:p>
      <w:pPr>
        <w:spacing w:after="0" w:line="256" w:lineRule="exact"/>
        <w:rPr>
          <w:sz w:val="20"/>
          <w:szCs w:val="20"/>
          <w:color w:val="auto"/>
        </w:rPr>
      </w:pPr>
    </w:p>
    <w:p>
      <w:pPr>
        <w:ind w:left="3360"/>
        <w:spacing w:after="0"/>
        <w:rPr>
          <w:sz w:val="20"/>
          <w:szCs w:val="20"/>
          <w:color w:val="auto"/>
        </w:rPr>
      </w:pPr>
      <w:r>
        <w:rPr>
          <w:rFonts w:ascii="Arial" w:cs="Arial" w:eastAsia="Arial" w:hAnsi="Arial"/>
          <w:sz w:val="15"/>
          <w:szCs w:val="15"/>
          <w:b w:val="1"/>
          <w:bCs w:val="1"/>
          <w:color w:val="auto"/>
        </w:rPr>
        <w:t>SPECIAL NOTE REGARDING FORWARD-LOOKING STATEMENTS</w:t>
      </w:r>
    </w:p>
    <w:p>
      <w:pPr>
        <w:spacing w:after="0" w:line="192" w:lineRule="exact"/>
        <w:rPr>
          <w:sz w:val="20"/>
          <w:szCs w:val="20"/>
          <w:color w:val="auto"/>
        </w:rPr>
      </w:pPr>
    </w:p>
    <w:p>
      <w:pPr>
        <w:jc w:val="both"/>
        <w:ind w:left="1120" w:firstLine="368"/>
        <w:spacing w:after="0" w:line="255" w:lineRule="auto"/>
        <w:rPr>
          <w:sz w:val="20"/>
          <w:szCs w:val="20"/>
          <w:color w:val="auto"/>
        </w:rPr>
      </w:pPr>
      <w:r>
        <w:rPr>
          <w:rFonts w:ascii="Arial" w:cs="Arial" w:eastAsia="Arial" w:hAnsi="Arial"/>
          <w:sz w:val="15"/>
          <w:szCs w:val="15"/>
          <w:color w:val="auto"/>
        </w:rPr>
        <w:t>This prospectus contains forward-looking statements within the meaning of the federal securities laws, which statements involve substantial risks and uncertainties. Forward-looking statements generally relate to future events or our future financial or operating performance. In some cases, you can identify forward-looking statements because they contain words such as “may,” “will,” “should,” “expects,” “plans,” “anticipates,” “could,” “intends,” “target,” “projects,” “contemplates,” “believes,” “estimates,” “predicts,” “potential,” or “continue” or the negative of these words or other similar terms or expressions that concern our expectations, strategy, plans, or intentions. Forward-looking statements contained in this prospectus include, but are not limited to, statements about:</w:t>
      </w:r>
    </w:p>
    <w:p>
      <w:pPr>
        <w:spacing w:after="0" w:line="85" w:lineRule="exact"/>
        <w:rPr>
          <w:sz w:val="20"/>
          <w:szCs w:val="20"/>
          <w:color w:val="auto"/>
        </w:rPr>
      </w:pPr>
    </w:p>
    <w:p>
      <w:pPr>
        <w:ind w:left="1840" w:hanging="276"/>
        <w:spacing w:after="0"/>
        <w:tabs>
          <w:tab w:leader="none" w:pos="1840" w:val="left"/>
        </w:tabs>
        <w:numPr>
          <w:ilvl w:val="0"/>
          <w:numId w:val="28"/>
        </w:numPr>
        <w:rPr>
          <w:rFonts w:ascii="Arial" w:cs="Arial" w:eastAsia="Arial" w:hAnsi="Arial"/>
          <w:sz w:val="15"/>
          <w:szCs w:val="15"/>
          <w:color w:val="auto"/>
        </w:rPr>
      </w:pPr>
      <w:r>
        <w:rPr>
          <w:rFonts w:ascii="Arial" w:cs="Arial" w:eastAsia="Arial" w:hAnsi="Arial"/>
          <w:sz w:val="15"/>
          <w:szCs w:val="15"/>
          <w:color w:val="auto"/>
        </w:rPr>
        <w:t>our ability to retain and upgrade paying users;</w:t>
      </w:r>
    </w:p>
    <w:p>
      <w:pPr>
        <w:spacing w:after="0" w:line="109" w:lineRule="exact"/>
        <w:rPr>
          <w:rFonts w:ascii="Arial" w:cs="Arial" w:eastAsia="Arial" w:hAnsi="Arial"/>
          <w:sz w:val="15"/>
          <w:szCs w:val="15"/>
          <w:color w:val="auto"/>
        </w:rPr>
      </w:pPr>
    </w:p>
    <w:p>
      <w:pPr>
        <w:ind w:left="1840" w:hanging="276"/>
        <w:spacing w:after="0"/>
        <w:tabs>
          <w:tab w:leader="none" w:pos="1840" w:val="left"/>
        </w:tabs>
        <w:numPr>
          <w:ilvl w:val="0"/>
          <w:numId w:val="28"/>
        </w:numPr>
        <w:rPr>
          <w:rFonts w:ascii="Arial" w:cs="Arial" w:eastAsia="Arial" w:hAnsi="Arial"/>
          <w:sz w:val="15"/>
          <w:szCs w:val="15"/>
          <w:color w:val="auto"/>
        </w:rPr>
      </w:pPr>
      <w:r>
        <w:rPr>
          <w:rFonts w:ascii="Arial" w:cs="Arial" w:eastAsia="Arial" w:hAnsi="Arial"/>
          <w:sz w:val="15"/>
          <w:szCs w:val="15"/>
          <w:color w:val="auto"/>
        </w:rPr>
        <w:t>our ability to attract new users or convert registered users to paying users;</w:t>
      </w:r>
    </w:p>
    <w:p>
      <w:pPr>
        <w:spacing w:after="0" w:line="109" w:lineRule="exact"/>
        <w:rPr>
          <w:rFonts w:ascii="Arial" w:cs="Arial" w:eastAsia="Arial" w:hAnsi="Arial"/>
          <w:sz w:val="15"/>
          <w:szCs w:val="15"/>
          <w:color w:val="auto"/>
        </w:rPr>
      </w:pPr>
    </w:p>
    <w:p>
      <w:pPr>
        <w:ind w:left="1840" w:right="220" w:hanging="276"/>
        <w:spacing w:after="0" w:line="275" w:lineRule="auto"/>
        <w:tabs>
          <w:tab w:leader="none" w:pos="1840" w:val="left"/>
        </w:tabs>
        <w:numPr>
          <w:ilvl w:val="0"/>
          <w:numId w:val="28"/>
        </w:numPr>
        <w:rPr>
          <w:rFonts w:ascii="Arial" w:cs="Arial" w:eastAsia="Arial" w:hAnsi="Arial"/>
          <w:sz w:val="15"/>
          <w:szCs w:val="15"/>
          <w:color w:val="auto"/>
        </w:rPr>
      </w:pPr>
      <w:r>
        <w:rPr>
          <w:rFonts w:ascii="Arial" w:cs="Arial" w:eastAsia="Arial" w:hAnsi="Arial"/>
          <w:sz w:val="15"/>
          <w:szCs w:val="15"/>
          <w:color w:val="auto"/>
        </w:rPr>
        <w:t>our future financial performance, including trends in revenue, costs of revenue, gross profit or gross margin, operating expenses, paying users, and free cash flow;</w:t>
      </w:r>
    </w:p>
    <w:p>
      <w:pPr>
        <w:spacing w:after="0" w:line="67" w:lineRule="exact"/>
        <w:rPr>
          <w:rFonts w:ascii="Arial" w:cs="Arial" w:eastAsia="Arial" w:hAnsi="Arial"/>
          <w:sz w:val="15"/>
          <w:szCs w:val="15"/>
          <w:color w:val="auto"/>
        </w:rPr>
      </w:pPr>
    </w:p>
    <w:p>
      <w:pPr>
        <w:ind w:left="1840" w:hanging="276"/>
        <w:spacing w:after="0"/>
        <w:tabs>
          <w:tab w:leader="none" w:pos="1840" w:val="left"/>
        </w:tabs>
        <w:numPr>
          <w:ilvl w:val="0"/>
          <w:numId w:val="28"/>
        </w:numPr>
        <w:rPr>
          <w:rFonts w:ascii="Arial" w:cs="Arial" w:eastAsia="Arial" w:hAnsi="Arial"/>
          <w:sz w:val="15"/>
          <w:szCs w:val="15"/>
          <w:color w:val="auto"/>
        </w:rPr>
      </w:pPr>
      <w:r>
        <w:rPr>
          <w:rFonts w:ascii="Arial" w:cs="Arial" w:eastAsia="Arial" w:hAnsi="Arial"/>
          <w:sz w:val="15"/>
          <w:szCs w:val="15"/>
          <w:color w:val="auto"/>
        </w:rPr>
        <w:t>our ability to achieve or maintain profitability;</w:t>
      </w:r>
    </w:p>
    <w:p>
      <w:pPr>
        <w:spacing w:after="0" w:line="109" w:lineRule="exact"/>
        <w:rPr>
          <w:rFonts w:ascii="Arial" w:cs="Arial" w:eastAsia="Arial" w:hAnsi="Arial"/>
          <w:sz w:val="15"/>
          <w:szCs w:val="15"/>
          <w:color w:val="auto"/>
        </w:rPr>
      </w:pPr>
    </w:p>
    <w:p>
      <w:pPr>
        <w:ind w:left="1840" w:hanging="276"/>
        <w:spacing w:after="0"/>
        <w:tabs>
          <w:tab w:leader="none" w:pos="1840" w:val="left"/>
        </w:tabs>
        <w:numPr>
          <w:ilvl w:val="0"/>
          <w:numId w:val="28"/>
        </w:numPr>
        <w:rPr>
          <w:rFonts w:ascii="Arial" w:cs="Arial" w:eastAsia="Arial" w:hAnsi="Arial"/>
          <w:sz w:val="15"/>
          <w:szCs w:val="15"/>
          <w:color w:val="auto"/>
        </w:rPr>
      </w:pPr>
      <w:r>
        <w:rPr>
          <w:rFonts w:ascii="Arial" w:cs="Arial" w:eastAsia="Arial" w:hAnsi="Arial"/>
          <w:sz w:val="15"/>
          <w:szCs w:val="15"/>
          <w:color w:val="auto"/>
        </w:rPr>
        <w:t>the demand for our platform or for content collaboration solutions in general;</w:t>
      </w:r>
    </w:p>
    <w:p>
      <w:pPr>
        <w:spacing w:after="0" w:line="109" w:lineRule="exact"/>
        <w:rPr>
          <w:rFonts w:ascii="Arial" w:cs="Arial" w:eastAsia="Arial" w:hAnsi="Arial"/>
          <w:sz w:val="15"/>
          <w:szCs w:val="15"/>
          <w:color w:val="auto"/>
        </w:rPr>
      </w:pPr>
    </w:p>
    <w:p>
      <w:pPr>
        <w:ind w:left="1840" w:hanging="276"/>
        <w:spacing w:after="0"/>
        <w:tabs>
          <w:tab w:leader="none" w:pos="1840" w:val="left"/>
        </w:tabs>
        <w:numPr>
          <w:ilvl w:val="0"/>
          <w:numId w:val="28"/>
        </w:numPr>
        <w:rPr>
          <w:rFonts w:ascii="Arial" w:cs="Arial" w:eastAsia="Arial" w:hAnsi="Arial"/>
          <w:sz w:val="15"/>
          <w:szCs w:val="15"/>
          <w:color w:val="auto"/>
        </w:rPr>
      </w:pPr>
      <w:r>
        <w:rPr>
          <w:rFonts w:ascii="Arial" w:cs="Arial" w:eastAsia="Arial" w:hAnsi="Arial"/>
          <w:sz w:val="15"/>
          <w:szCs w:val="15"/>
          <w:color w:val="auto"/>
        </w:rPr>
        <w:t>possible harm caused by significant disruption of service or loss or unauthorized access to users’ content;</w:t>
      </w:r>
    </w:p>
    <w:p>
      <w:pPr>
        <w:spacing w:after="0" w:line="109" w:lineRule="exact"/>
        <w:rPr>
          <w:rFonts w:ascii="Arial" w:cs="Arial" w:eastAsia="Arial" w:hAnsi="Arial"/>
          <w:sz w:val="15"/>
          <w:szCs w:val="15"/>
          <w:color w:val="auto"/>
        </w:rPr>
      </w:pPr>
    </w:p>
    <w:p>
      <w:pPr>
        <w:ind w:left="1840" w:hanging="276"/>
        <w:spacing w:after="0"/>
        <w:tabs>
          <w:tab w:leader="none" w:pos="1840" w:val="left"/>
        </w:tabs>
        <w:numPr>
          <w:ilvl w:val="0"/>
          <w:numId w:val="28"/>
        </w:numPr>
        <w:rPr>
          <w:rFonts w:ascii="Arial" w:cs="Arial" w:eastAsia="Arial" w:hAnsi="Arial"/>
          <w:sz w:val="15"/>
          <w:szCs w:val="15"/>
          <w:color w:val="auto"/>
        </w:rPr>
      </w:pPr>
      <w:r>
        <w:rPr>
          <w:rFonts w:ascii="Arial" w:cs="Arial" w:eastAsia="Arial" w:hAnsi="Arial"/>
          <w:sz w:val="15"/>
          <w:szCs w:val="15"/>
          <w:color w:val="auto"/>
        </w:rPr>
        <w:t>our ability to effectively integrate our platform with others;</w:t>
      </w:r>
    </w:p>
    <w:p>
      <w:pPr>
        <w:spacing w:after="0" w:line="109" w:lineRule="exact"/>
        <w:rPr>
          <w:rFonts w:ascii="Arial" w:cs="Arial" w:eastAsia="Arial" w:hAnsi="Arial"/>
          <w:sz w:val="15"/>
          <w:szCs w:val="15"/>
          <w:color w:val="auto"/>
        </w:rPr>
      </w:pPr>
    </w:p>
    <w:p>
      <w:pPr>
        <w:ind w:left="1840" w:hanging="276"/>
        <w:spacing w:after="0"/>
        <w:tabs>
          <w:tab w:leader="none" w:pos="1840" w:val="left"/>
        </w:tabs>
        <w:numPr>
          <w:ilvl w:val="0"/>
          <w:numId w:val="28"/>
        </w:numPr>
        <w:rPr>
          <w:rFonts w:ascii="Arial" w:cs="Arial" w:eastAsia="Arial" w:hAnsi="Arial"/>
          <w:sz w:val="15"/>
          <w:szCs w:val="15"/>
          <w:color w:val="auto"/>
        </w:rPr>
      </w:pPr>
      <w:r>
        <w:rPr>
          <w:rFonts w:ascii="Arial" w:cs="Arial" w:eastAsia="Arial" w:hAnsi="Arial"/>
          <w:sz w:val="15"/>
          <w:szCs w:val="15"/>
          <w:color w:val="auto"/>
        </w:rPr>
        <w:t>our ability to compete successfully in competitive markets;</w:t>
      </w:r>
    </w:p>
    <w:p>
      <w:pPr>
        <w:spacing w:after="0" w:line="109" w:lineRule="exact"/>
        <w:rPr>
          <w:rFonts w:ascii="Arial" w:cs="Arial" w:eastAsia="Arial" w:hAnsi="Arial"/>
          <w:sz w:val="15"/>
          <w:szCs w:val="15"/>
          <w:color w:val="auto"/>
        </w:rPr>
      </w:pPr>
    </w:p>
    <w:p>
      <w:pPr>
        <w:ind w:left="1840" w:hanging="276"/>
        <w:spacing w:after="0"/>
        <w:tabs>
          <w:tab w:leader="none" w:pos="1840" w:val="left"/>
        </w:tabs>
        <w:numPr>
          <w:ilvl w:val="0"/>
          <w:numId w:val="28"/>
        </w:numPr>
        <w:rPr>
          <w:rFonts w:ascii="Arial" w:cs="Arial" w:eastAsia="Arial" w:hAnsi="Arial"/>
          <w:sz w:val="15"/>
          <w:szCs w:val="15"/>
          <w:color w:val="auto"/>
        </w:rPr>
      </w:pPr>
      <w:r>
        <w:rPr>
          <w:rFonts w:ascii="Arial" w:cs="Arial" w:eastAsia="Arial" w:hAnsi="Arial"/>
          <w:sz w:val="15"/>
          <w:szCs w:val="15"/>
          <w:color w:val="auto"/>
        </w:rPr>
        <w:t>our ability to respond to rapid technological changes;</w:t>
      </w:r>
    </w:p>
    <w:p>
      <w:pPr>
        <w:spacing w:after="0" w:line="109" w:lineRule="exact"/>
        <w:rPr>
          <w:rFonts w:ascii="Arial" w:cs="Arial" w:eastAsia="Arial" w:hAnsi="Arial"/>
          <w:sz w:val="15"/>
          <w:szCs w:val="15"/>
          <w:color w:val="auto"/>
        </w:rPr>
      </w:pPr>
    </w:p>
    <w:p>
      <w:pPr>
        <w:ind w:left="1840" w:hanging="276"/>
        <w:spacing w:after="0"/>
        <w:tabs>
          <w:tab w:leader="none" w:pos="1840" w:val="left"/>
        </w:tabs>
        <w:numPr>
          <w:ilvl w:val="0"/>
          <w:numId w:val="28"/>
        </w:numPr>
        <w:rPr>
          <w:rFonts w:ascii="Arial" w:cs="Arial" w:eastAsia="Arial" w:hAnsi="Arial"/>
          <w:sz w:val="15"/>
          <w:szCs w:val="15"/>
          <w:color w:val="auto"/>
        </w:rPr>
      </w:pPr>
      <w:r>
        <w:rPr>
          <w:rFonts w:ascii="Arial" w:cs="Arial" w:eastAsia="Arial" w:hAnsi="Arial"/>
          <w:sz w:val="15"/>
          <w:szCs w:val="15"/>
          <w:color w:val="auto"/>
        </w:rPr>
        <w:t>our expectations and management of future growth;</w:t>
      </w:r>
    </w:p>
    <w:p>
      <w:pPr>
        <w:spacing w:after="0" w:line="109" w:lineRule="exact"/>
        <w:rPr>
          <w:rFonts w:ascii="Arial" w:cs="Arial" w:eastAsia="Arial" w:hAnsi="Arial"/>
          <w:sz w:val="15"/>
          <w:szCs w:val="15"/>
          <w:color w:val="auto"/>
        </w:rPr>
      </w:pPr>
    </w:p>
    <w:p>
      <w:pPr>
        <w:ind w:left="1840" w:hanging="276"/>
        <w:spacing w:after="0"/>
        <w:tabs>
          <w:tab w:leader="none" w:pos="1840" w:val="left"/>
        </w:tabs>
        <w:numPr>
          <w:ilvl w:val="0"/>
          <w:numId w:val="28"/>
        </w:numPr>
        <w:rPr>
          <w:rFonts w:ascii="Arial" w:cs="Arial" w:eastAsia="Arial" w:hAnsi="Arial"/>
          <w:sz w:val="15"/>
          <w:szCs w:val="15"/>
          <w:color w:val="auto"/>
        </w:rPr>
      </w:pPr>
      <w:r>
        <w:rPr>
          <w:rFonts w:ascii="Arial" w:cs="Arial" w:eastAsia="Arial" w:hAnsi="Arial"/>
          <w:sz w:val="15"/>
          <w:szCs w:val="15"/>
          <w:color w:val="auto"/>
        </w:rPr>
        <w:t>our ability to grow due to our lack of a significant outbound sales force;</w:t>
      </w:r>
    </w:p>
    <w:p>
      <w:pPr>
        <w:spacing w:after="0" w:line="109" w:lineRule="exact"/>
        <w:rPr>
          <w:rFonts w:ascii="Arial" w:cs="Arial" w:eastAsia="Arial" w:hAnsi="Arial"/>
          <w:sz w:val="15"/>
          <w:szCs w:val="15"/>
          <w:color w:val="auto"/>
        </w:rPr>
      </w:pPr>
    </w:p>
    <w:p>
      <w:pPr>
        <w:ind w:left="1840" w:hanging="276"/>
        <w:spacing w:after="0"/>
        <w:tabs>
          <w:tab w:leader="none" w:pos="1840" w:val="left"/>
        </w:tabs>
        <w:numPr>
          <w:ilvl w:val="0"/>
          <w:numId w:val="28"/>
        </w:numPr>
        <w:rPr>
          <w:rFonts w:ascii="Arial" w:cs="Arial" w:eastAsia="Arial" w:hAnsi="Arial"/>
          <w:sz w:val="15"/>
          <w:szCs w:val="15"/>
          <w:color w:val="auto"/>
        </w:rPr>
      </w:pPr>
      <w:r>
        <w:rPr>
          <w:rFonts w:ascii="Arial" w:cs="Arial" w:eastAsia="Arial" w:hAnsi="Arial"/>
          <w:sz w:val="15"/>
          <w:szCs w:val="15"/>
          <w:color w:val="auto"/>
        </w:rPr>
        <w:t>our ability to attract large organizations as users;</w:t>
      </w:r>
    </w:p>
    <w:p>
      <w:pPr>
        <w:spacing w:after="0" w:line="109" w:lineRule="exact"/>
        <w:rPr>
          <w:rFonts w:ascii="Arial" w:cs="Arial" w:eastAsia="Arial" w:hAnsi="Arial"/>
          <w:sz w:val="15"/>
          <w:szCs w:val="15"/>
          <w:color w:val="auto"/>
        </w:rPr>
      </w:pPr>
    </w:p>
    <w:p>
      <w:pPr>
        <w:ind w:left="1840" w:hanging="276"/>
        <w:spacing w:after="0"/>
        <w:tabs>
          <w:tab w:leader="none" w:pos="1840" w:val="left"/>
        </w:tabs>
        <w:numPr>
          <w:ilvl w:val="0"/>
          <w:numId w:val="28"/>
        </w:numPr>
        <w:rPr>
          <w:rFonts w:ascii="Arial" w:cs="Arial" w:eastAsia="Arial" w:hAnsi="Arial"/>
          <w:sz w:val="15"/>
          <w:szCs w:val="15"/>
          <w:color w:val="auto"/>
        </w:rPr>
      </w:pPr>
      <w:r>
        <w:rPr>
          <w:rFonts w:ascii="Arial" w:cs="Arial" w:eastAsia="Arial" w:hAnsi="Arial"/>
          <w:sz w:val="15"/>
          <w:szCs w:val="15"/>
          <w:color w:val="auto"/>
        </w:rPr>
        <w:t>our ability to offer high-quality customer support;</w:t>
      </w:r>
    </w:p>
    <w:p>
      <w:pPr>
        <w:spacing w:after="0" w:line="109" w:lineRule="exact"/>
        <w:rPr>
          <w:rFonts w:ascii="Arial" w:cs="Arial" w:eastAsia="Arial" w:hAnsi="Arial"/>
          <w:sz w:val="15"/>
          <w:szCs w:val="15"/>
          <w:color w:val="auto"/>
        </w:rPr>
      </w:pPr>
    </w:p>
    <w:p>
      <w:pPr>
        <w:ind w:left="1840" w:hanging="276"/>
        <w:spacing w:after="0"/>
        <w:tabs>
          <w:tab w:leader="none" w:pos="1840" w:val="left"/>
        </w:tabs>
        <w:numPr>
          <w:ilvl w:val="0"/>
          <w:numId w:val="28"/>
        </w:numPr>
        <w:rPr>
          <w:rFonts w:ascii="Arial" w:cs="Arial" w:eastAsia="Arial" w:hAnsi="Arial"/>
          <w:sz w:val="15"/>
          <w:szCs w:val="15"/>
          <w:color w:val="auto"/>
        </w:rPr>
      </w:pPr>
      <w:r>
        <w:rPr>
          <w:rFonts w:ascii="Arial" w:cs="Arial" w:eastAsia="Arial" w:hAnsi="Arial"/>
          <w:sz w:val="15"/>
          <w:szCs w:val="15"/>
          <w:color w:val="auto"/>
        </w:rPr>
        <w:t>our ability to manage our international expansion;</w:t>
      </w:r>
    </w:p>
    <w:p>
      <w:pPr>
        <w:spacing w:after="0" w:line="109" w:lineRule="exact"/>
        <w:rPr>
          <w:rFonts w:ascii="Arial" w:cs="Arial" w:eastAsia="Arial" w:hAnsi="Arial"/>
          <w:sz w:val="15"/>
          <w:szCs w:val="15"/>
          <w:color w:val="auto"/>
        </w:rPr>
      </w:pPr>
    </w:p>
    <w:p>
      <w:pPr>
        <w:ind w:left="1840" w:hanging="276"/>
        <w:spacing w:after="0"/>
        <w:tabs>
          <w:tab w:leader="none" w:pos="1840" w:val="left"/>
        </w:tabs>
        <w:numPr>
          <w:ilvl w:val="0"/>
          <w:numId w:val="28"/>
        </w:numPr>
        <w:rPr>
          <w:rFonts w:ascii="Arial" w:cs="Arial" w:eastAsia="Arial" w:hAnsi="Arial"/>
          <w:sz w:val="15"/>
          <w:szCs w:val="15"/>
          <w:color w:val="auto"/>
        </w:rPr>
      </w:pPr>
      <w:r>
        <w:rPr>
          <w:rFonts w:ascii="Arial" w:cs="Arial" w:eastAsia="Arial" w:hAnsi="Arial"/>
          <w:sz w:val="15"/>
          <w:szCs w:val="15"/>
          <w:color w:val="auto"/>
        </w:rPr>
        <w:t>our ability to attract and retain key personnel and highly qualified personnel;</w:t>
      </w:r>
    </w:p>
    <w:p>
      <w:pPr>
        <w:spacing w:after="0" w:line="109" w:lineRule="exact"/>
        <w:rPr>
          <w:rFonts w:ascii="Arial" w:cs="Arial" w:eastAsia="Arial" w:hAnsi="Arial"/>
          <w:sz w:val="15"/>
          <w:szCs w:val="15"/>
          <w:color w:val="auto"/>
        </w:rPr>
      </w:pPr>
    </w:p>
    <w:p>
      <w:pPr>
        <w:ind w:left="1840" w:hanging="276"/>
        <w:spacing w:after="0"/>
        <w:tabs>
          <w:tab w:leader="none" w:pos="1840" w:val="left"/>
        </w:tabs>
        <w:numPr>
          <w:ilvl w:val="0"/>
          <w:numId w:val="28"/>
        </w:numPr>
        <w:rPr>
          <w:rFonts w:ascii="Arial" w:cs="Arial" w:eastAsia="Arial" w:hAnsi="Arial"/>
          <w:sz w:val="15"/>
          <w:szCs w:val="15"/>
          <w:color w:val="auto"/>
        </w:rPr>
      </w:pPr>
      <w:r>
        <w:rPr>
          <w:rFonts w:ascii="Arial" w:cs="Arial" w:eastAsia="Arial" w:hAnsi="Arial"/>
          <w:sz w:val="15"/>
          <w:szCs w:val="15"/>
          <w:color w:val="auto"/>
        </w:rPr>
        <w:t>our ability to protect our brand;</w:t>
      </w:r>
    </w:p>
    <w:p>
      <w:pPr>
        <w:spacing w:after="0" w:line="109" w:lineRule="exact"/>
        <w:rPr>
          <w:rFonts w:ascii="Arial" w:cs="Arial" w:eastAsia="Arial" w:hAnsi="Arial"/>
          <w:sz w:val="15"/>
          <w:szCs w:val="15"/>
          <w:color w:val="auto"/>
        </w:rPr>
      </w:pPr>
    </w:p>
    <w:p>
      <w:pPr>
        <w:ind w:left="1840" w:hanging="276"/>
        <w:spacing w:after="0"/>
        <w:tabs>
          <w:tab w:leader="none" w:pos="1840" w:val="left"/>
        </w:tabs>
        <w:numPr>
          <w:ilvl w:val="0"/>
          <w:numId w:val="28"/>
        </w:numPr>
        <w:rPr>
          <w:rFonts w:ascii="Arial" w:cs="Arial" w:eastAsia="Arial" w:hAnsi="Arial"/>
          <w:sz w:val="15"/>
          <w:szCs w:val="15"/>
          <w:color w:val="auto"/>
        </w:rPr>
      </w:pPr>
      <w:r>
        <w:rPr>
          <w:rFonts w:ascii="Arial" w:cs="Arial" w:eastAsia="Arial" w:hAnsi="Arial"/>
          <w:sz w:val="15"/>
          <w:szCs w:val="15"/>
          <w:color w:val="auto"/>
        </w:rPr>
        <w:t>our ability to prevent serious errors or defects in our platform;</w:t>
      </w:r>
    </w:p>
    <w:p>
      <w:pPr>
        <w:spacing w:after="0" w:line="109" w:lineRule="exact"/>
        <w:rPr>
          <w:rFonts w:ascii="Arial" w:cs="Arial" w:eastAsia="Arial" w:hAnsi="Arial"/>
          <w:sz w:val="15"/>
          <w:szCs w:val="15"/>
          <w:color w:val="auto"/>
        </w:rPr>
      </w:pPr>
    </w:p>
    <w:p>
      <w:pPr>
        <w:ind w:left="1840" w:hanging="276"/>
        <w:spacing w:after="0"/>
        <w:tabs>
          <w:tab w:leader="none" w:pos="1840" w:val="left"/>
        </w:tabs>
        <w:numPr>
          <w:ilvl w:val="0"/>
          <w:numId w:val="28"/>
        </w:numPr>
        <w:rPr>
          <w:rFonts w:ascii="Arial" w:cs="Arial" w:eastAsia="Arial" w:hAnsi="Arial"/>
          <w:sz w:val="15"/>
          <w:szCs w:val="15"/>
          <w:color w:val="auto"/>
        </w:rPr>
      </w:pPr>
      <w:r>
        <w:rPr>
          <w:rFonts w:ascii="Arial" w:cs="Arial" w:eastAsia="Arial" w:hAnsi="Arial"/>
          <w:sz w:val="15"/>
          <w:szCs w:val="15"/>
          <w:color w:val="auto"/>
        </w:rPr>
        <w:t>our ability to maintain, protect, and enhance our intellectual property;</w:t>
      </w:r>
    </w:p>
    <w:p>
      <w:pPr>
        <w:spacing w:after="0" w:line="109" w:lineRule="exact"/>
        <w:rPr>
          <w:rFonts w:ascii="Arial" w:cs="Arial" w:eastAsia="Arial" w:hAnsi="Arial"/>
          <w:sz w:val="15"/>
          <w:szCs w:val="15"/>
          <w:color w:val="auto"/>
        </w:rPr>
      </w:pPr>
    </w:p>
    <w:p>
      <w:pPr>
        <w:ind w:left="1840" w:hanging="276"/>
        <w:spacing w:after="0"/>
        <w:tabs>
          <w:tab w:leader="none" w:pos="1840" w:val="left"/>
        </w:tabs>
        <w:numPr>
          <w:ilvl w:val="0"/>
          <w:numId w:val="28"/>
        </w:numPr>
        <w:rPr>
          <w:rFonts w:ascii="Arial" w:cs="Arial" w:eastAsia="Arial" w:hAnsi="Arial"/>
          <w:sz w:val="15"/>
          <w:szCs w:val="15"/>
          <w:color w:val="auto"/>
        </w:rPr>
      </w:pPr>
      <w:r>
        <w:rPr>
          <w:rFonts w:ascii="Arial" w:cs="Arial" w:eastAsia="Arial" w:hAnsi="Arial"/>
          <w:sz w:val="15"/>
          <w:szCs w:val="15"/>
          <w:color w:val="auto"/>
        </w:rPr>
        <w:t>our ability to successfully identify, acquire, and integrate companies and assets;</w:t>
      </w:r>
    </w:p>
    <w:p>
      <w:pPr>
        <w:spacing w:after="0" w:line="109" w:lineRule="exact"/>
        <w:rPr>
          <w:rFonts w:ascii="Arial" w:cs="Arial" w:eastAsia="Arial" w:hAnsi="Arial"/>
          <w:sz w:val="15"/>
          <w:szCs w:val="15"/>
          <w:color w:val="auto"/>
        </w:rPr>
      </w:pPr>
    </w:p>
    <w:p>
      <w:pPr>
        <w:ind w:left="1840" w:hanging="276"/>
        <w:spacing w:after="0"/>
        <w:tabs>
          <w:tab w:leader="none" w:pos="1840" w:val="left"/>
        </w:tabs>
        <w:numPr>
          <w:ilvl w:val="0"/>
          <w:numId w:val="28"/>
        </w:numPr>
        <w:rPr>
          <w:rFonts w:ascii="Arial" w:cs="Arial" w:eastAsia="Arial" w:hAnsi="Arial"/>
          <w:sz w:val="15"/>
          <w:szCs w:val="15"/>
          <w:color w:val="auto"/>
        </w:rPr>
      </w:pPr>
      <w:r>
        <w:rPr>
          <w:rFonts w:ascii="Arial" w:cs="Arial" w:eastAsia="Arial" w:hAnsi="Arial"/>
          <w:sz w:val="15"/>
          <w:szCs w:val="15"/>
          <w:color w:val="auto"/>
        </w:rPr>
        <w:t>the increased expenses associated with being a public company; and</w:t>
      </w:r>
    </w:p>
    <w:p>
      <w:pPr>
        <w:spacing w:after="0" w:line="109" w:lineRule="exact"/>
        <w:rPr>
          <w:rFonts w:ascii="Arial" w:cs="Arial" w:eastAsia="Arial" w:hAnsi="Arial"/>
          <w:sz w:val="15"/>
          <w:szCs w:val="15"/>
          <w:color w:val="auto"/>
        </w:rPr>
      </w:pPr>
    </w:p>
    <w:p>
      <w:pPr>
        <w:ind w:left="1840" w:hanging="276"/>
        <w:spacing w:after="0"/>
        <w:tabs>
          <w:tab w:leader="none" w:pos="1840" w:val="left"/>
        </w:tabs>
        <w:numPr>
          <w:ilvl w:val="0"/>
          <w:numId w:val="28"/>
        </w:numPr>
        <w:rPr>
          <w:rFonts w:ascii="Arial" w:cs="Arial" w:eastAsia="Arial" w:hAnsi="Arial"/>
          <w:sz w:val="15"/>
          <w:szCs w:val="15"/>
          <w:color w:val="auto"/>
        </w:rPr>
      </w:pPr>
      <w:r>
        <w:rPr>
          <w:rFonts w:ascii="Arial" w:cs="Arial" w:eastAsia="Arial" w:hAnsi="Arial"/>
          <w:sz w:val="15"/>
          <w:szCs w:val="15"/>
          <w:color w:val="auto"/>
        </w:rPr>
        <w:t>our anticipated uses of net proceeds from this offering and the concurrent private placement.</w:t>
      </w:r>
    </w:p>
    <w:p>
      <w:pPr>
        <w:spacing w:after="0" w:line="188" w:lineRule="exact"/>
        <w:rPr>
          <w:sz w:val="20"/>
          <w:szCs w:val="20"/>
          <w:color w:val="auto"/>
        </w:rPr>
      </w:pPr>
    </w:p>
    <w:p>
      <w:pPr>
        <w:ind w:left="1480"/>
        <w:spacing w:after="0"/>
        <w:rPr>
          <w:sz w:val="20"/>
          <w:szCs w:val="20"/>
          <w:color w:val="auto"/>
        </w:rPr>
      </w:pPr>
      <w:r>
        <w:rPr>
          <w:rFonts w:ascii="Arial" w:cs="Arial" w:eastAsia="Arial" w:hAnsi="Arial"/>
          <w:sz w:val="15"/>
          <w:szCs w:val="15"/>
          <w:color w:val="auto"/>
        </w:rPr>
        <w:t>We caution you that the foregoing list may not contain all of the forward-looking statements made in this prospectus.</w:t>
      </w:r>
    </w:p>
    <w:p>
      <w:pPr>
        <w:spacing w:after="0" w:line="188" w:lineRule="exact"/>
        <w:rPr>
          <w:sz w:val="20"/>
          <w:szCs w:val="20"/>
          <w:color w:val="auto"/>
        </w:rPr>
      </w:pPr>
    </w:p>
    <w:p>
      <w:pPr>
        <w:ind w:left="1120" w:firstLine="368"/>
        <w:spacing w:after="0" w:line="322" w:lineRule="auto"/>
        <w:rPr>
          <w:sz w:val="20"/>
          <w:szCs w:val="20"/>
          <w:color w:val="auto"/>
        </w:rPr>
      </w:pPr>
      <w:r>
        <w:rPr>
          <w:rFonts w:ascii="Arial" w:cs="Arial" w:eastAsia="Arial" w:hAnsi="Arial"/>
          <w:sz w:val="13"/>
          <w:szCs w:val="13"/>
          <w:color w:val="auto"/>
        </w:rPr>
        <w:t>You should not rely upon forward-looking statements as predictions of future events. We have based the forward-looking statements contained in this prospectus primarily on our current expectations and projections about future events and trends that we believe may affect our business, financial condition, results of operations, and prospects. The outcome of the events described in these forward-looking statements is subject to risks,</w:t>
      </w:r>
    </w:p>
    <w:p>
      <w:pPr>
        <w:spacing w:after="0" w:line="64" w:lineRule="exact"/>
        <w:rPr>
          <w:sz w:val="20"/>
          <w:szCs w:val="20"/>
          <w:color w:val="auto"/>
        </w:rPr>
      </w:pPr>
    </w:p>
    <w:p>
      <w:pPr>
        <w:ind w:left="5640"/>
        <w:spacing w:after="0"/>
        <w:rPr>
          <w:sz w:val="20"/>
          <w:szCs w:val="20"/>
          <w:color w:val="auto"/>
        </w:rPr>
      </w:pPr>
      <w:r>
        <w:rPr>
          <w:rFonts w:ascii="Arial" w:cs="Arial" w:eastAsia="Arial" w:hAnsi="Arial"/>
          <w:sz w:val="15"/>
          <w:szCs w:val="15"/>
          <w:color w:val="auto"/>
        </w:rPr>
        <w:t>46</w:t>
      </w:r>
    </w:p>
    <w:p>
      <w:pPr>
        <w:sectPr>
          <w:pgSz w:w="11900" w:h="16838" w:orient="portrait"/>
          <w:cols w:equalWidth="0" w:num="1">
            <w:col w:w="10220"/>
          </w:cols>
          <w:pgMar w:left="240" w:top="407" w:right="1439" w:bottom="1440" w:gutter="0" w:footer="0" w:header="0"/>
        </w:sectPr>
      </w:pPr>
    </w:p>
    <w:bookmarkStart w:id="53" w:name="page54"/>
    <w:bookmarkEnd w:id="53"/>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133350</wp:posOffset>
            </wp:positionH>
            <wp:positionV relativeFrom="page">
              <wp:posOffset>88900</wp:posOffset>
            </wp:positionV>
            <wp:extent cx="7308850" cy="342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308850" cy="34290"/>
                    </a:xfrm>
                    <a:prstGeom prst="rect">
                      <a:avLst/>
                    </a:prstGeom>
                    <a:noFill/>
                  </pic:spPr>
                </pic:pic>
              </a:graphicData>
            </a:graphic>
          </wp:anchor>
        </w:drawing>
      </w:r>
      <w:hyperlink w:anchor="page7">
        <w:r>
          <w:rPr>
            <w:rFonts w:ascii="Arial" w:cs="Arial" w:eastAsia="Arial" w:hAnsi="Arial"/>
            <w:sz w:val="15"/>
            <w:szCs w:val="15"/>
            <w:b w:val="1"/>
            <w:bCs w:val="1"/>
            <w:u w:val="single" w:color="auto"/>
            <w:color w:val="0000EE"/>
          </w:rPr>
          <w:t>Table of Contents</w:t>
        </w:r>
      </w:hyperlink>
    </w:p>
    <w:p>
      <w:pPr>
        <w:spacing w:after="0" w:line="260" w:lineRule="exact"/>
        <w:rPr>
          <w:sz w:val="20"/>
          <w:szCs w:val="20"/>
          <w:color w:val="auto"/>
        </w:rPr>
      </w:pPr>
    </w:p>
    <w:p>
      <w:pPr>
        <w:ind w:left="1120"/>
        <w:spacing w:after="0" w:line="257" w:lineRule="auto"/>
        <w:rPr>
          <w:sz w:val="20"/>
          <w:szCs w:val="20"/>
          <w:color w:val="auto"/>
        </w:rPr>
      </w:pPr>
      <w:r>
        <w:rPr>
          <w:rFonts w:ascii="Arial" w:cs="Arial" w:eastAsia="Arial" w:hAnsi="Arial"/>
          <w:sz w:val="15"/>
          <w:szCs w:val="15"/>
          <w:color w:val="auto"/>
        </w:rPr>
        <w:t>uncertainties and other factors described in the section titled “Risk Factors” and elsewhere in this prospectus. Moreover, we operate in a very competitive and rapidly changing environment. New risks and uncertainties emerge from time to time, and it is not possible for us to predict all risks and uncertainties that could have an impact on the forward-looking statements contained in this prospectus. We cannot assure you that the results, events, and circumstances reflected in the forward-looking statements will be achieved or occur, and actual results, events, or circumstances could differ materially from those described in the forward-looking statements.</w:t>
      </w:r>
    </w:p>
    <w:p>
      <w:pPr>
        <w:spacing w:after="0" w:line="159" w:lineRule="exact"/>
        <w:rPr>
          <w:sz w:val="20"/>
          <w:szCs w:val="20"/>
          <w:color w:val="auto"/>
        </w:rPr>
      </w:pPr>
    </w:p>
    <w:p>
      <w:pPr>
        <w:ind w:left="1120" w:right="200" w:firstLine="368"/>
        <w:spacing w:after="0" w:line="305" w:lineRule="auto"/>
        <w:rPr>
          <w:sz w:val="20"/>
          <w:szCs w:val="20"/>
          <w:color w:val="auto"/>
        </w:rPr>
      </w:pPr>
      <w:r>
        <w:rPr>
          <w:rFonts w:ascii="Arial" w:cs="Arial" w:eastAsia="Arial" w:hAnsi="Arial"/>
          <w:sz w:val="13"/>
          <w:szCs w:val="13"/>
          <w:color w:val="auto"/>
        </w:rPr>
        <w:t>The forward-looking statements made in this prospectus relate only to events as of the date on which the statements are made. We undertake no obligation to update any forward-looking statements made in this prospectus to reflect events or circumstances after the date of this prospectus or to reflect new information or the occurrence of unanticipated events, except as required by law. We may not actually achieve the plans, intentions, or expectations disclosed in our forward-looking statements, and you should not place undue reliance on our forward-looking statements. Our forward-looking statements do not reflect the potential impact of any future acquisitions, mergers, dispositions, joint ventures, or investments we may make.</w:t>
      </w:r>
    </w:p>
    <w:p>
      <w:pPr>
        <w:spacing w:after="0" w:line="133" w:lineRule="exact"/>
        <w:rPr>
          <w:sz w:val="20"/>
          <w:szCs w:val="20"/>
          <w:color w:val="auto"/>
        </w:rPr>
      </w:pPr>
    </w:p>
    <w:p>
      <w:pPr>
        <w:ind w:left="1120" w:right="280" w:firstLine="368"/>
        <w:spacing w:after="0" w:line="257" w:lineRule="auto"/>
        <w:rPr>
          <w:sz w:val="20"/>
          <w:szCs w:val="20"/>
          <w:color w:val="auto"/>
        </w:rPr>
      </w:pPr>
      <w:r>
        <w:rPr>
          <w:rFonts w:ascii="Arial" w:cs="Arial" w:eastAsia="Arial" w:hAnsi="Arial"/>
          <w:sz w:val="15"/>
          <w:szCs w:val="15"/>
          <w:color w:val="auto"/>
        </w:rPr>
        <w:t>In addition, statements that “we believe” and similar statements reflect our beliefs and opinions on the relevant subject. These statements are based upon information available to us as of the date of this prospectus,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investors are cautioned not to unduly rely upon these statements.</w:t>
      </w:r>
    </w:p>
    <w:p>
      <w:pPr>
        <w:spacing w:after="0" w:line="103" w:lineRule="exact"/>
        <w:rPr>
          <w:sz w:val="20"/>
          <w:szCs w:val="20"/>
          <w:color w:val="auto"/>
        </w:rPr>
      </w:pPr>
    </w:p>
    <w:p>
      <w:pPr>
        <w:ind w:left="5640"/>
        <w:spacing w:after="0"/>
        <w:rPr>
          <w:sz w:val="20"/>
          <w:szCs w:val="20"/>
          <w:color w:val="auto"/>
        </w:rPr>
      </w:pPr>
      <w:r>
        <w:rPr>
          <w:rFonts w:ascii="Arial" w:cs="Arial" w:eastAsia="Arial" w:hAnsi="Arial"/>
          <w:sz w:val="15"/>
          <w:szCs w:val="15"/>
          <w:color w:val="auto"/>
        </w:rPr>
        <w:t>47</w:t>
      </w:r>
    </w:p>
    <w:p>
      <w:pPr>
        <w:sectPr>
          <w:pgSz w:w="11900" w:h="16838" w:orient="portrait"/>
          <w:cols w:equalWidth="0" w:num="1">
            <w:col w:w="10300"/>
          </w:cols>
          <w:pgMar w:left="240" w:top="407" w:right="1359" w:bottom="1440" w:gutter="0" w:footer="0" w:header="0"/>
        </w:sectPr>
      </w:pPr>
    </w:p>
    <w:bookmarkStart w:id="54" w:name="page55"/>
    <w:bookmarkEnd w:id="54"/>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133350</wp:posOffset>
            </wp:positionH>
            <wp:positionV relativeFrom="page">
              <wp:posOffset>88900</wp:posOffset>
            </wp:positionV>
            <wp:extent cx="7308850" cy="342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308850" cy="34290"/>
                    </a:xfrm>
                    <a:prstGeom prst="rect">
                      <a:avLst/>
                    </a:prstGeom>
                    <a:noFill/>
                  </pic:spPr>
                </pic:pic>
              </a:graphicData>
            </a:graphic>
          </wp:anchor>
        </w:drawing>
      </w:r>
      <w:hyperlink w:anchor="page7">
        <w:r>
          <w:rPr>
            <w:rFonts w:ascii="Arial" w:cs="Arial" w:eastAsia="Arial" w:hAnsi="Arial"/>
            <w:sz w:val="15"/>
            <w:szCs w:val="15"/>
            <w:b w:val="1"/>
            <w:bCs w:val="1"/>
            <w:u w:val="single" w:color="auto"/>
            <w:color w:val="0000EE"/>
          </w:rPr>
          <w:t>Table of Contents</w:t>
        </w:r>
      </w:hyperlink>
    </w:p>
    <w:p>
      <w:pPr>
        <w:spacing w:after="0" w:line="256" w:lineRule="exact"/>
        <w:rPr>
          <w:sz w:val="20"/>
          <w:szCs w:val="20"/>
          <w:color w:val="auto"/>
        </w:rPr>
      </w:pPr>
    </w:p>
    <w:p>
      <w:pPr>
        <w:jc w:val="center"/>
        <w:ind w:right="-1139"/>
        <w:spacing w:after="0"/>
        <w:rPr>
          <w:sz w:val="20"/>
          <w:szCs w:val="20"/>
          <w:color w:val="auto"/>
        </w:rPr>
      </w:pPr>
      <w:r>
        <w:rPr>
          <w:rFonts w:ascii="Arial" w:cs="Arial" w:eastAsia="Arial" w:hAnsi="Arial"/>
          <w:sz w:val="15"/>
          <w:szCs w:val="15"/>
          <w:b w:val="1"/>
          <w:bCs w:val="1"/>
          <w:color w:val="auto"/>
        </w:rPr>
        <w:t>INDUSTRY AND MARKET DATA</w:t>
      </w:r>
    </w:p>
    <w:p>
      <w:pPr>
        <w:spacing w:after="0" w:line="192" w:lineRule="exact"/>
        <w:rPr>
          <w:sz w:val="20"/>
          <w:szCs w:val="20"/>
          <w:color w:val="auto"/>
        </w:rPr>
      </w:pPr>
    </w:p>
    <w:p>
      <w:pPr>
        <w:ind w:left="1120" w:right="20" w:firstLine="368"/>
        <w:spacing w:after="0" w:line="305" w:lineRule="auto"/>
        <w:rPr>
          <w:sz w:val="20"/>
          <w:szCs w:val="20"/>
          <w:color w:val="auto"/>
        </w:rPr>
      </w:pPr>
      <w:r>
        <w:rPr>
          <w:rFonts w:ascii="Arial" w:cs="Arial" w:eastAsia="Arial" w:hAnsi="Arial"/>
          <w:sz w:val="13"/>
          <w:szCs w:val="13"/>
          <w:color w:val="auto"/>
        </w:rPr>
        <w:t>This prospectus contains estimates and information concerning our industry, including market size of the markets in which we participate, that are based on industry publications and reports. This information involves a number of assumptions and limitations, and you are cautioned not to give undue weight to these estimates. We have not independently verified the accuracy or completeness of the data contained in these industry publications and reports. The markets in which we operate are subject to a high degree of uncertainty and risk due to a variety of factors, including those described in the section titled “Risk Factors.” These and other factors could cause results to differ materially from those expressed in these publications and reports.</w:t>
      </w:r>
    </w:p>
    <w:p>
      <w:pPr>
        <w:spacing w:after="0" w:line="133" w:lineRule="exact"/>
        <w:rPr>
          <w:sz w:val="20"/>
          <w:szCs w:val="20"/>
          <w:color w:val="auto"/>
        </w:rPr>
      </w:pPr>
    </w:p>
    <w:p>
      <w:pPr>
        <w:ind w:left="1120" w:right="160" w:firstLine="368"/>
        <w:spacing w:after="0" w:line="275" w:lineRule="auto"/>
        <w:rPr>
          <w:sz w:val="20"/>
          <w:szCs w:val="20"/>
          <w:color w:val="auto"/>
        </w:rPr>
      </w:pPr>
      <w:r>
        <w:rPr>
          <w:rFonts w:ascii="Arial" w:cs="Arial" w:eastAsia="Arial" w:hAnsi="Arial"/>
          <w:sz w:val="15"/>
          <w:szCs w:val="15"/>
          <w:color w:val="auto"/>
        </w:rPr>
        <w:t>The source of certain statistical data, estimates and forecasts contained in this prospectus are the following independent industry publications or reports:</w:t>
      </w:r>
    </w:p>
    <w:p>
      <w:pPr>
        <w:spacing w:after="0" w:line="67" w:lineRule="exact"/>
        <w:rPr>
          <w:sz w:val="20"/>
          <w:szCs w:val="20"/>
          <w:color w:val="auto"/>
        </w:rPr>
      </w:pPr>
    </w:p>
    <w:p>
      <w:pPr>
        <w:ind w:left="1840" w:hanging="276"/>
        <w:spacing w:after="0"/>
        <w:tabs>
          <w:tab w:leader="none" w:pos="1840" w:val="left"/>
        </w:tabs>
        <w:numPr>
          <w:ilvl w:val="1"/>
          <w:numId w:val="29"/>
        </w:numPr>
        <w:rPr>
          <w:rFonts w:ascii="Arial" w:cs="Arial" w:eastAsia="Arial" w:hAnsi="Arial"/>
          <w:sz w:val="15"/>
          <w:szCs w:val="15"/>
          <w:color w:val="auto"/>
        </w:rPr>
      </w:pPr>
      <w:r>
        <w:rPr>
          <w:rFonts w:ascii="Arial" w:cs="Arial" w:eastAsia="Arial" w:hAnsi="Arial"/>
          <w:sz w:val="15"/>
          <w:szCs w:val="15"/>
          <w:color w:val="auto"/>
        </w:rPr>
        <w:t>Gartner, Inc., Magic Quadrant for Content Collaboration Platforms, July 2017.</w:t>
      </w:r>
      <w:r>
        <w:rPr>
          <w:rFonts w:ascii="Arial" w:cs="Arial" w:eastAsia="Arial" w:hAnsi="Arial"/>
          <w:sz w:val="12"/>
          <w:szCs w:val="12"/>
          <w:color w:val="auto"/>
        </w:rPr>
        <w:t>*</w:t>
      </w:r>
    </w:p>
    <w:p>
      <w:pPr>
        <w:spacing w:after="0" w:line="109" w:lineRule="exact"/>
        <w:rPr>
          <w:rFonts w:ascii="Arial" w:cs="Arial" w:eastAsia="Arial" w:hAnsi="Arial"/>
          <w:sz w:val="15"/>
          <w:szCs w:val="15"/>
          <w:color w:val="auto"/>
        </w:rPr>
      </w:pPr>
    </w:p>
    <w:p>
      <w:pPr>
        <w:ind w:left="1840" w:right="180" w:hanging="276"/>
        <w:spacing w:after="0" w:line="275" w:lineRule="auto"/>
        <w:tabs>
          <w:tab w:leader="none" w:pos="1840" w:val="left"/>
        </w:tabs>
        <w:numPr>
          <w:ilvl w:val="1"/>
          <w:numId w:val="29"/>
        </w:numPr>
        <w:rPr>
          <w:rFonts w:ascii="Arial" w:cs="Arial" w:eastAsia="Arial" w:hAnsi="Arial"/>
          <w:sz w:val="15"/>
          <w:szCs w:val="15"/>
          <w:color w:val="auto"/>
        </w:rPr>
      </w:pPr>
      <w:r>
        <w:rPr>
          <w:rFonts w:ascii="Arial" w:cs="Arial" w:eastAsia="Arial" w:hAnsi="Arial"/>
          <w:sz w:val="15"/>
          <w:szCs w:val="15"/>
          <w:color w:val="auto"/>
        </w:rPr>
        <w:t>International Data Corporation, Inc., Market Forecast: Worldwide Collaborative Applications Forecast, 2017-2021: Creating Productivity Growth with Customer Experience, July 2017.</w:t>
      </w:r>
    </w:p>
    <w:p>
      <w:pPr>
        <w:spacing w:after="0" w:line="67" w:lineRule="exact"/>
        <w:rPr>
          <w:rFonts w:ascii="Arial" w:cs="Arial" w:eastAsia="Arial" w:hAnsi="Arial"/>
          <w:sz w:val="15"/>
          <w:szCs w:val="15"/>
          <w:color w:val="auto"/>
        </w:rPr>
      </w:pPr>
    </w:p>
    <w:p>
      <w:pPr>
        <w:ind w:left="1840" w:right="680" w:hanging="276"/>
        <w:spacing w:after="0" w:line="275" w:lineRule="auto"/>
        <w:tabs>
          <w:tab w:leader="none" w:pos="1840" w:val="left"/>
        </w:tabs>
        <w:numPr>
          <w:ilvl w:val="1"/>
          <w:numId w:val="29"/>
        </w:numPr>
        <w:rPr>
          <w:rFonts w:ascii="Arial" w:cs="Arial" w:eastAsia="Arial" w:hAnsi="Arial"/>
          <w:sz w:val="15"/>
          <w:szCs w:val="15"/>
          <w:color w:val="auto"/>
        </w:rPr>
      </w:pPr>
      <w:r>
        <w:rPr>
          <w:rFonts w:ascii="Arial" w:cs="Arial" w:eastAsia="Arial" w:hAnsi="Arial"/>
          <w:sz w:val="15"/>
          <w:szCs w:val="15"/>
          <w:color w:val="auto"/>
        </w:rPr>
        <w:t>International Data Corporation, Inc., Market Forecast: Worldwide Project and Portfolio Management Forecast, 2017-2021: Agile Governance in the Cloud Drives Market, June 2017.</w:t>
      </w:r>
    </w:p>
    <w:p>
      <w:pPr>
        <w:spacing w:after="0" w:line="67" w:lineRule="exact"/>
        <w:rPr>
          <w:rFonts w:ascii="Arial" w:cs="Arial" w:eastAsia="Arial" w:hAnsi="Arial"/>
          <w:sz w:val="15"/>
          <w:szCs w:val="15"/>
          <w:color w:val="auto"/>
        </w:rPr>
      </w:pPr>
    </w:p>
    <w:p>
      <w:pPr>
        <w:ind w:left="1840" w:right="300" w:hanging="276"/>
        <w:spacing w:after="0" w:line="275" w:lineRule="auto"/>
        <w:tabs>
          <w:tab w:leader="none" w:pos="1840" w:val="left"/>
        </w:tabs>
        <w:numPr>
          <w:ilvl w:val="1"/>
          <w:numId w:val="29"/>
        </w:numPr>
        <w:rPr>
          <w:rFonts w:ascii="Arial" w:cs="Arial" w:eastAsia="Arial" w:hAnsi="Arial"/>
          <w:sz w:val="15"/>
          <w:szCs w:val="15"/>
          <w:color w:val="auto"/>
        </w:rPr>
      </w:pPr>
      <w:r>
        <w:rPr>
          <w:rFonts w:ascii="Arial" w:cs="Arial" w:eastAsia="Arial" w:hAnsi="Arial"/>
          <w:sz w:val="15"/>
          <w:szCs w:val="15"/>
          <w:color w:val="auto"/>
        </w:rPr>
        <w:t>International Data Corporation, Inc., Market Forecast: Worldwide Enterprise Content Management Software Forecast, 2017-2021, May 2017.</w:t>
      </w:r>
    </w:p>
    <w:p>
      <w:pPr>
        <w:spacing w:after="0" w:line="67" w:lineRule="exact"/>
        <w:rPr>
          <w:rFonts w:ascii="Arial" w:cs="Arial" w:eastAsia="Arial" w:hAnsi="Arial"/>
          <w:sz w:val="15"/>
          <w:szCs w:val="15"/>
          <w:color w:val="auto"/>
        </w:rPr>
      </w:pPr>
    </w:p>
    <w:p>
      <w:pPr>
        <w:ind w:left="1840" w:hanging="276"/>
        <w:spacing w:after="0" w:line="275" w:lineRule="auto"/>
        <w:tabs>
          <w:tab w:leader="none" w:pos="1840" w:val="left"/>
        </w:tabs>
        <w:numPr>
          <w:ilvl w:val="1"/>
          <w:numId w:val="29"/>
        </w:numPr>
        <w:rPr>
          <w:rFonts w:ascii="Arial" w:cs="Arial" w:eastAsia="Arial" w:hAnsi="Arial"/>
          <w:sz w:val="15"/>
          <w:szCs w:val="15"/>
          <w:color w:val="auto"/>
        </w:rPr>
      </w:pPr>
      <w:r>
        <w:rPr>
          <w:rFonts w:ascii="Arial" w:cs="Arial" w:eastAsia="Arial" w:hAnsi="Arial"/>
          <w:sz w:val="15"/>
          <w:szCs w:val="15"/>
          <w:color w:val="auto"/>
        </w:rPr>
        <w:t>International Data Corporation, Inc., IDC’s Forecast Scenario Assumptions for the ICT Markets and Historical Market Values and Exchange Rates, Version 1, March 2017.</w:t>
      </w:r>
    </w:p>
    <w:p>
      <w:pPr>
        <w:spacing w:after="0" w:line="67" w:lineRule="exact"/>
        <w:rPr>
          <w:rFonts w:ascii="Arial" w:cs="Arial" w:eastAsia="Arial" w:hAnsi="Arial"/>
          <w:sz w:val="15"/>
          <w:szCs w:val="15"/>
          <w:color w:val="auto"/>
        </w:rPr>
      </w:pPr>
    </w:p>
    <w:p>
      <w:pPr>
        <w:ind w:left="1840" w:right="300" w:hanging="276"/>
        <w:spacing w:after="0" w:line="275" w:lineRule="auto"/>
        <w:tabs>
          <w:tab w:leader="none" w:pos="1840" w:val="left"/>
        </w:tabs>
        <w:numPr>
          <w:ilvl w:val="1"/>
          <w:numId w:val="29"/>
        </w:numPr>
        <w:rPr>
          <w:rFonts w:ascii="Arial" w:cs="Arial" w:eastAsia="Arial" w:hAnsi="Arial"/>
          <w:sz w:val="15"/>
          <w:szCs w:val="15"/>
          <w:color w:val="auto"/>
        </w:rPr>
      </w:pPr>
      <w:r>
        <w:rPr>
          <w:rFonts w:ascii="Arial" w:cs="Arial" w:eastAsia="Arial" w:hAnsi="Arial"/>
          <w:sz w:val="15"/>
          <w:szCs w:val="15"/>
          <w:color w:val="auto"/>
        </w:rPr>
        <w:t>International Data Corporation, Inc., Market Forecast: Worldwide Storage for Public and Private Cloud Forecast 2016-2020, December 2016.</w:t>
      </w:r>
    </w:p>
    <w:p>
      <w:pPr>
        <w:spacing w:after="0" w:line="67" w:lineRule="exact"/>
        <w:rPr>
          <w:rFonts w:ascii="Arial" w:cs="Arial" w:eastAsia="Arial" w:hAnsi="Arial"/>
          <w:sz w:val="15"/>
          <w:szCs w:val="15"/>
          <w:color w:val="auto"/>
        </w:rPr>
      </w:pPr>
    </w:p>
    <w:p>
      <w:pPr>
        <w:ind w:left="1840" w:hanging="276"/>
        <w:spacing w:after="0"/>
        <w:tabs>
          <w:tab w:leader="none" w:pos="1840" w:val="left"/>
        </w:tabs>
        <w:numPr>
          <w:ilvl w:val="1"/>
          <w:numId w:val="29"/>
        </w:numPr>
        <w:rPr>
          <w:rFonts w:ascii="Arial" w:cs="Arial" w:eastAsia="Arial" w:hAnsi="Arial"/>
          <w:sz w:val="15"/>
          <w:szCs w:val="15"/>
          <w:color w:val="auto"/>
        </w:rPr>
      </w:pPr>
      <w:r>
        <w:rPr>
          <w:rFonts w:ascii="Arial" w:cs="Arial" w:eastAsia="Arial" w:hAnsi="Arial"/>
          <w:sz w:val="15"/>
          <w:szCs w:val="15"/>
          <w:color w:val="auto"/>
        </w:rPr>
        <w:t>International Data Corporation, Inc., EFSS Evaluation Guide: Dropbox Sync Performance, July 2016.</w:t>
      </w:r>
    </w:p>
    <w:p>
      <w:pPr>
        <w:spacing w:after="0" w:line="109" w:lineRule="exact"/>
        <w:rPr>
          <w:rFonts w:ascii="Arial" w:cs="Arial" w:eastAsia="Arial" w:hAnsi="Arial"/>
          <w:sz w:val="15"/>
          <w:szCs w:val="15"/>
          <w:color w:val="auto"/>
        </w:rPr>
      </w:pPr>
    </w:p>
    <w:p>
      <w:pPr>
        <w:ind w:left="1840" w:hanging="276"/>
        <w:spacing w:after="0"/>
        <w:tabs>
          <w:tab w:leader="none" w:pos="1840" w:val="left"/>
        </w:tabs>
        <w:numPr>
          <w:ilvl w:val="1"/>
          <w:numId w:val="29"/>
        </w:numPr>
        <w:rPr>
          <w:rFonts w:ascii="Arial" w:cs="Arial" w:eastAsia="Arial" w:hAnsi="Arial"/>
          <w:sz w:val="15"/>
          <w:szCs w:val="15"/>
          <w:color w:val="auto"/>
        </w:rPr>
      </w:pPr>
      <w:r>
        <w:rPr>
          <w:rFonts w:ascii="Arial" w:cs="Arial" w:eastAsia="Arial" w:hAnsi="Arial"/>
          <w:sz w:val="15"/>
          <w:szCs w:val="15"/>
          <w:color w:val="auto"/>
        </w:rPr>
        <w:t>International Data Corporation, Inc., Knowledge Worker Outlook on Content Managed Systems, June 2016.</w:t>
      </w:r>
    </w:p>
    <w:p>
      <w:pPr>
        <w:spacing w:after="0" w:line="109" w:lineRule="exact"/>
        <w:rPr>
          <w:rFonts w:ascii="Arial" w:cs="Arial" w:eastAsia="Arial" w:hAnsi="Arial"/>
          <w:sz w:val="15"/>
          <w:szCs w:val="15"/>
          <w:color w:val="auto"/>
        </w:rPr>
      </w:pPr>
    </w:p>
    <w:p>
      <w:pPr>
        <w:ind w:left="1840" w:hanging="276"/>
        <w:spacing w:after="0"/>
        <w:tabs>
          <w:tab w:leader="none" w:pos="1840" w:val="left"/>
        </w:tabs>
        <w:numPr>
          <w:ilvl w:val="1"/>
          <w:numId w:val="29"/>
        </w:numPr>
        <w:rPr>
          <w:rFonts w:ascii="Arial" w:cs="Arial" w:eastAsia="Arial" w:hAnsi="Arial"/>
          <w:sz w:val="15"/>
          <w:szCs w:val="15"/>
          <w:color w:val="auto"/>
        </w:rPr>
      </w:pPr>
      <w:r>
        <w:rPr>
          <w:rFonts w:ascii="Arial" w:cs="Arial" w:eastAsia="Arial" w:hAnsi="Arial"/>
          <w:sz w:val="15"/>
          <w:szCs w:val="15"/>
          <w:color w:val="auto"/>
        </w:rPr>
        <w:t>McKinsey Global Institute, The Social Economy: Unlocking Value and Productivity Through Social Technologies, July 2012.</w:t>
      </w:r>
    </w:p>
    <w:p>
      <w:pPr>
        <w:spacing w:after="0" w:line="109" w:lineRule="exact"/>
        <w:rPr>
          <w:rFonts w:ascii="Arial" w:cs="Arial" w:eastAsia="Arial" w:hAnsi="Arial"/>
          <w:sz w:val="15"/>
          <w:szCs w:val="15"/>
          <w:color w:val="auto"/>
        </w:rPr>
      </w:pPr>
    </w:p>
    <w:p>
      <w:pPr>
        <w:ind w:left="1840" w:right="320" w:hanging="276"/>
        <w:spacing w:after="0" w:line="275" w:lineRule="auto"/>
        <w:tabs>
          <w:tab w:leader="none" w:pos="1840" w:val="left"/>
        </w:tabs>
        <w:numPr>
          <w:ilvl w:val="1"/>
          <w:numId w:val="29"/>
        </w:numPr>
        <w:rPr>
          <w:rFonts w:ascii="Arial" w:cs="Arial" w:eastAsia="Arial" w:hAnsi="Arial"/>
          <w:sz w:val="15"/>
          <w:szCs w:val="15"/>
          <w:color w:val="auto"/>
        </w:rPr>
      </w:pPr>
      <w:r>
        <w:rPr>
          <w:rFonts w:ascii="Arial" w:cs="Arial" w:eastAsia="Arial" w:hAnsi="Arial"/>
          <w:sz w:val="15"/>
          <w:szCs w:val="15"/>
          <w:color w:val="auto"/>
        </w:rPr>
        <w:t>Deloitte Consulting LLP, Transitioning to the Future of Work and the Workplace: Embracing Digital Culture, Tools and Approaches, A White Paper on the Future of Work Research Study, 2016.</w:t>
      </w:r>
    </w:p>
    <w:p>
      <w:pPr>
        <w:spacing w:after="0" w:line="118" w:lineRule="exact"/>
        <w:rPr>
          <w:rFonts w:ascii="Arial" w:cs="Arial" w:eastAsia="Arial" w:hAnsi="Arial"/>
          <w:sz w:val="15"/>
          <w:szCs w:val="15"/>
          <w:color w:val="auto"/>
        </w:rPr>
      </w:pPr>
    </w:p>
    <w:p>
      <w:pPr>
        <w:ind w:left="1200" w:right="60" w:hanging="90"/>
        <w:spacing w:after="0" w:line="224" w:lineRule="auto"/>
        <w:rPr>
          <w:rFonts w:ascii="Arial" w:cs="Arial" w:eastAsia="Arial" w:hAnsi="Arial"/>
          <w:sz w:val="15"/>
          <w:szCs w:val="15"/>
          <w:color w:val="auto"/>
        </w:rPr>
      </w:pPr>
      <w:r>
        <w:rPr>
          <w:rFonts w:ascii="Arial" w:cs="Arial" w:eastAsia="Arial" w:hAnsi="Arial"/>
          <w:sz w:val="8"/>
          <w:szCs w:val="8"/>
          <w:color w:val="auto"/>
        </w:rPr>
        <w:t xml:space="preserve">* </w:t>
      </w:r>
      <w:r>
        <w:rPr>
          <w:rFonts w:ascii="Arial" w:cs="Arial" w:eastAsia="Arial" w:hAnsi="Arial"/>
          <w:sz w:val="12"/>
          <w:szCs w:val="12"/>
          <w:color w:val="auto"/>
        </w:rPr>
        <w:t>The Gartner Report described herein, or the Gartner Report, represents research opinion or viewpoints published, as part of a syndicated subscription service, by Gartner, Inc., or Gartner,</w:t>
      </w:r>
      <w:r>
        <w:rPr>
          <w:rFonts w:ascii="Arial" w:cs="Arial" w:eastAsia="Arial" w:hAnsi="Arial"/>
          <w:sz w:val="8"/>
          <w:szCs w:val="8"/>
          <w:color w:val="auto"/>
        </w:rPr>
        <w:t xml:space="preserve"> </w:t>
      </w:r>
      <w:r>
        <w:rPr>
          <w:rFonts w:ascii="Arial" w:cs="Arial" w:eastAsia="Arial" w:hAnsi="Arial"/>
          <w:sz w:val="12"/>
          <w:szCs w:val="12"/>
          <w:color w:val="auto"/>
        </w:rPr>
        <w:t>and are not representations of fact. The Gartner Report speaks as of its original publication date (and not as of the date of this prospectus), and the opinions expressed in the Gartner Report are subject to change without notice. Gartner has advised us that it does not endorse any vendor, product, or service depicted in its research publications, and does not advise technology users to select only those vendors with the highest ratings or other designation. Gartner research publications consist of the opinions of Gartner’s research organization and should not be construed as statements of fact. Gartner has advised us that it disclaims all warranties, expressed or implied, with respect to this research, including any warranties of merchantability or fitness for a particular purpose.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709930</wp:posOffset>
            </wp:positionH>
            <wp:positionV relativeFrom="paragraph">
              <wp:posOffset>-508635</wp:posOffset>
            </wp:positionV>
            <wp:extent cx="580390" cy="698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580390" cy="6985"/>
                    </a:xfrm>
                    <a:prstGeom prst="rect">
                      <a:avLst/>
                    </a:prstGeom>
                    <a:noFill/>
                  </pic:spPr>
                </pic:pic>
              </a:graphicData>
            </a:graphic>
          </wp:anchor>
        </w:drawing>
      </w:r>
    </w:p>
    <w:p>
      <w:pPr>
        <w:spacing w:after="0" w:line="81" w:lineRule="exact"/>
        <w:rPr>
          <w:sz w:val="20"/>
          <w:szCs w:val="20"/>
          <w:color w:val="auto"/>
        </w:rPr>
      </w:pPr>
    </w:p>
    <w:p>
      <w:pPr>
        <w:ind w:left="5640"/>
        <w:spacing w:after="0"/>
        <w:rPr>
          <w:sz w:val="20"/>
          <w:szCs w:val="20"/>
          <w:color w:val="auto"/>
        </w:rPr>
      </w:pPr>
      <w:r>
        <w:rPr>
          <w:rFonts w:ascii="Arial" w:cs="Arial" w:eastAsia="Arial" w:hAnsi="Arial"/>
          <w:sz w:val="15"/>
          <w:szCs w:val="15"/>
          <w:color w:val="auto"/>
        </w:rPr>
        <w:t>48</w:t>
      </w:r>
    </w:p>
    <w:p>
      <w:pPr>
        <w:sectPr>
          <w:pgSz w:w="11900" w:h="16838" w:orient="portrait"/>
          <w:cols w:equalWidth="0" w:num="1">
            <w:col w:w="10280"/>
          </w:cols>
          <w:pgMar w:left="240" w:top="407" w:right="1379" w:bottom="1440" w:gutter="0" w:footer="0" w:header="0"/>
        </w:sectPr>
      </w:pPr>
    </w:p>
    <w:bookmarkStart w:id="55" w:name="page56"/>
    <w:bookmarkEnd w:id="55"/>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133350</wp:posOffset>
            </wp:positionH>
            <wp:positionV relativeFrom="page">
              <wp:posOffset>88900</wp:posOffset>
            </wp:positionV>
            <wp:extent cx="7308850" cy="342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308850" cy="34290"/>
                    </a:xfrm>
                    <a:prstGeom prst="rect">
                      <a:avLst/>
                    </a:prstGeom>
                    <a:noFill/>
                  </pic:spPr>
                </pic:pic>
              </a:graphicData>
            </a:graphic>
          </wp:anchor>
        </w:drawing>
      </w:r>
      <w:hyperlink w:anchor="page7">
        <w:r>
          <w:rPr>
            <w:rFonts w:ascii="Arial" w:cs="Arial" w:eastAsia="Arial" w:hAnsi="Arial"/>
            <w:sz w:val="15"/>
            <w:szCs w:val="15"/>
            <w:b w:val="1"/>
            <w:bCs w:val="1"/>
            <w:u w:val="single" w:color="auto"/>
            <w:color w:val="0000EE"/>
          </w:rPr>
          <w:t>Table of Contents</w:t>
        </w:r>
      </w:hyperlink>
    </w:p>
    <w:p>
      <w:pPr>
        <w:spacing w:after="0" w:line="256" w:lineRule="exact"/>
        <w:rPr>
          <w:sz w:val="20"/>
          <w:szCs w:val="20"/>
          <w:color w:val="auto"/>
        </w:rPr>
      </w:pPr>
    </w:p>
    <w:p>
      <w:pPr>
        <w:jc w:val="center"/>
        <w:ind w:right="-1119"/>
        <w:spacing w:after="0"/>
        <w:rPr>
          <w:sz w:val="20"/>
          <w:szCs w:val="20"/>
          <w:color w:val="auto"/>
        </w:rPr>
      </w:pPr>
      <w:r>
        <w:rPr>
          <w:rFonts w:ascii="Arial" w:cs="Arial" w:eastAsia="Arial" w:hAnsi="Arial"/>
          <w:sz w:val="15"/>
          <w:szCs w:val="15"/>
          <w:b w:val="1"/>
          <w:bCs w:val="1"/>
          <w:color w:val="auto"/>
        </w:rPr>
        <w:t>USE OF PROCEEDS</w:t>
      </w:r>
    </w:p>
    <w:p>
      <w:pPr>
        <w:spacing w:after="0" w:line="192" w:lineRule="exact"/>
        <w:rPr>
          <w:sz w:val="20"/>
          <w:szCs w:val="20"/>
          <w:color w:val="auto"/>
        </w:rPr>
      </w:pPr>
    </w:p>
    <w:p>
      <w:pPr>
        <w:ind w:left="1120" w:right="40" w:firstLine="368"/>
        <w:spacing w:after="0" w:line="255" w:lineRule="auto"/>
        <w:rPr>
          <w:sz w:val="20"/>
          <w:szCs w:val="20"/>
          <w:color w:val="auto"/>
        </w:rPr>
      </w:pPr>
      <w:r>
        <w:rPr>
          <w:rFonts w:ascii="Arial" w:cs="Arial" w:eastAsia="Arial" w:hAnsi="Arial"/>
          <w:sz w:val="15"/>
          <w:szCs w:val="15"/>
          <w:color w:val="auto"/>
        </w:rPr>
        <w:t>We estimate that the net proceeds to us from the sale of shares of our Class A common stock in this offering and the concurrent private placement will be approximately $579.9 million, based upon the assumed initial public offering price of $19.00 per share, which is the midpoint of the estimated offering price range set forth on the cover page of this prospectus, and after deducting estimated underwriting discounts and commissions and estimated offering expenses payable by us. If the underwriters’ option to purchase additional shares of our Class A common stock from us is exercised in full, we estimate that the net proceeds to us would be approximately $678.0 million, after deducting estimated underwriting discounts and commissions and estimated offering expenses payable by us. We will not receive any of the proceeds from the sale of Class A common stock in this offering by the selling stockholders.</w:t>
      </w:r>
    </w:p>
    <w:p>
      <w:pPr>
        <w:spacing w:after="0" w:line="161" w:lineRule="exact"/>
        <w:rPr>
          <w:sz w:val="20"/>
          <w:szCs w:val="20"/>
          <w:color w:val="auto"/>
        </w:rPr>
      </w:pPr>
    </w:p>
    <w:p>
      <w:pPr>
        <w:ind w:left="1120" w:right="120" w:firstLine="368"/>
        <w:spacing w:after="0" w:line="276" w:lineRule="auto"/>
        <w:rPr>
          <w:sz w:val="20"/>
          <w:szCs w:val="20"/>
          <w:color w:val="auto"/>
        </w:rPr>
      </w:pPr>
      <w:r>
        <w:rPr>
          <w:rFonts w:ascii="Arial" w:cs="Arial" w:eastAsia="Arial" w:hAnsi="Arial"/>
          <w:sz w:val="14"/>
          <w:szCs w:val="14"/>
          <w:color w:val="auto"/>
        </w:rPr>
        <w:t>Each $1.00 increase or decrease in the assumed initial public offering price of $19.00 per share, which is the midpoint of the estimated offering price range set forth on the cover page of this prospectus, would increase or decrease the net proceeds that we receive from this offering and the concurrent private placement by approximately $25.6 million, assuming that the number of shares offered by us, as set forth on the cover page of this prospectus, remains the same and after deducting the estimated underwriting discounts and commissions payable by us. Similarly, each increase or decrease of 1.0 million in the number of shares of our Class A common stock offered by us would increase or decrease the net proceeds that we receive from this offering and the concurrent private placement by approximately $18.2 million, assuming the assumed initial public offering price remains the same and after deducting the estimated underwriting discounts and commissions payable by us.</w:t>
      </w:r>
    </w:p>
    <w:p>
      <w:pPr>
        <w:spacing w:after="0" w:line="148" w:lineRule="exact"/>
        <w:rPr>
          <w:sz w:val="20"/>
          <w:szCs w:val="20"/>
          <w:color w:val="auto"/>
        </w:rPr>
      </w:pPr>
    </w:p>
    <w:p>
      <w:pPr>
        <w:ind w:left="1120" w:right="180" w:firstLine="368"/>
        <w:spacing w:after="0" w:line="275" w:lineRule="auto"/>
        <w:rPr>
          <w:sz w:val="20"/>
          <w:szCs w:val="20"/>
          <w:color w:val="auto"/>
        </w:rPr>
      </w:pPr>
      <w:r>
        <w:rPr>
          <w:rFonts w:ascii="Arial" w:cs="Arial" w:eastAsia="Arial" w:hAnsi="Arial"/>
          <w:sz w:val="15"/>
          <w:szCs w:val="15"/>
          <w:color w:val="auto"/>
        </w:rPr>
        <w:t>The principal purposes of this offering are to increase our capitalization and financial flexibility, create a public market for our Class A common stock, and enable access to the public equity markets for us and our stockholders.</w:t>
      </w:r>
    </w:p>
    <w:p>
      <w:pPr>
        <w:spacing w:after="0" w:line="146" w:lineRule="exact"/>
        <w:rPr>
          <w:sz w:val="20"/>
          <w:szCs w:val="20"/>
          <w:color w:val="auto"/>
        </w:rPr>
      </w:pPr>
    </w:p>
    <w:p>
      <w:pPr>
        <w:ind w:left="1120" w:right="120" w:firstLine="368"/>
        <w:spacing w:after="0" w:line="277" w:lineRule="auto"/>
        <w:rPr>
          <w:sz w:val="20"/>
          <w:szCs w:val="20"/>
          <w:color w:val="auto"/>
        </w:rPr>
      </w:pPr>
      <w:r>
        <w:rPr>
          <w:rFonts w:ascii="Arial" w:cs="Arial" w:eastAsia="Arial" w:hAnsi="Arial"/>
          <w:sz w:val="14"/>
          <w:szCs w:val="14"/>
          <w:color w:val="auto"/>
        </w:rPr>
        <w:t>We intend to use a portion of the net proceeds we receive from this offering and the concurrent private placement to repay $193.1 million that is expected to be outstanding immediately prior to the completion of this offering under our revolving credit facility, which we intend to draw down prior to the completion of this offering to satisfy tax withholding and remittance obligations of $193.1 million related to the RSU Settlement. This amount is based upon the assumed initial public offering price of $19.00 per share, which is the midpoint of the estimated offering price range set forth on the cover page of this prospectus. See the section titled “Management’s Discussion and Analysis of Financial Condition and Results of Operations— Liquidity and Capital Resources” for additional information regarding our revolving credit facility.</w:t>
      </w:r>
    </w:p>
    <w:p>
      <w:pPr>
        <w:spacing w:after="0" w:line="148" w:lineRule="exact"/>
        <w:rPr>
          <w:sz w:val="20"/>
          <w:szCs w:val="20"/>
          <w:color w:val="auto"/>
        </w:rPr>
      </w:pPr>
    </w:p>
    <w:p>
      <w:pPr>
        <w:ind w:left="1120" w:firstLine="368"/>
        <w:spacing w:after="0" w:line="255" w:lineRule="auto"/>
        <w:rPr>
          <w:sz w:val="20"/>
          <w:szCs w:val="20"/>
          <w:color w:val="auto"/>
        </w:rPr>
      </w:pPr>
      <w:r>
        <w:rPr>
          <w:rFonts w:ascii="Arial" w:cs="Arial" w:eastAsia="Arial" w:hAnsi="Arial"/>
          <w:sz w:val="15"/>
          <w:szCs w:val="15"/>
          <w:color w:val="auto"/>
        </w:rPr>
        <w:t>We also intend to use the net proceeds we receive from this offering and the concurrent private placement for general corporate purposes, including working capital, operating expenses, and capital expenditures. Additionally, we may use a portion of the net proceeds we receive from this offering and the concurrent private placement to acquire businesses, products, services, or technologies. However, we do not have agreements or commitments for any material acquisitions at this time. We cannot specify with certainty the particular uses of the net proceeds that we will receive from this offering and the concurrent private placement. Accordingly, we will have broad discretion in using these proceeds. Pending the use of proceeds from this offering as described above, we may invest the net proceeds that we receive in this offering and the concurrent private placement in short-term, investment grade, interest-bearing instruments.</w:t>
      </w:r>
    </w:p>
    <w:p>
      <w:pPr>
        <w:spacing w:after="0" w:line="104" w:lineRule="exact"/>
        <w:rPr>
          <w:sz w:val="20"/>
          <w:szCs w:val="20"/>
          <w:color w:val="auto"/>
        </w:rPr>
      </w:pPr>
    </w:p>
    <w:p>
      <w:pPr>
        <w:ind w:left="5640"/>
        <w:spacing w:after="0"/>
        <w:rPr>
          <w:sz w:val="20"/>
          <w:szCs w:val="20"/>
          <w:color w:val="auto"/>
        </w:rPr>
      </w:pPr>
      <w:r>
        <w:rPr>
          <w:rFonts w:ascii="Arial" w:cs="Arial" w:eastAsia="Arial" w:hAnsi="Arial"/>
          <w:sz w:val="15"/>
          <w:szCs w:val="15"/>
          <w:color w:val="auto"/>
        </w:rPr>
        <w:t>49</w:t>
      </w:r>
    </w:p>
    <w:p>
      <w:pPr>
        <w:sectPr>
          <w:pgSz w:w="11900" w:h="16838" w:orient="portrait"/>
          <w:cols w:equalWidth="0" w:num="1">
            <w:col w:w="10320"/>
          </w:cols>
          <w:pgMar w:left="240" w:top="407" w:right="1339" w:bottom="1440" w:gutter="0" w:footer="0" w:header="0"/>
        </w:sectPr>
      </w:pPr>
    </w:p>
    <w:bookmarkStart w:id="56" w:name="page57"/>
    <w:bookmarkEnd w:id="56"/>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133350</wp:posOffset>
            </wp:positionH>
            <wp:positionV relativeFrom="page">
              <wp:posOffset>88900</wp:posOffset>
            </wp:positionV>
            <wp:extent cx="7308850" cy="342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308850" cy="34290"/>
                    </a:xfrm>
                    <a:prstGeom prst="rect">
                      <a:avLst/>
                    </a:prstGeom>
                    <a:noFill/>
                  </pic:spPr>
                </pic:pic>
              </a:graphicData>
            </a:graphic>
          </wp:anchor>
        </w:drawing>
      </w:r>
      <w:hyperlink w:anchor="page7">
        <w:r>
          <w:rPr>
            <w:rFonts w:ascii="Arial" w:cs="Arial" w:eastAsia="Arial" w:hAnsi="Arial"/>
            <w:sz w:val="15"/>
            <w:szCs w:val="15"/>
            <w:b w:val="1"/>
            <w:bCs w:val="1"/>
            <w:u w:val="single" w:color="auto"/>
            <w:color w:val="0000EE"/>
          </w:rPr>
          <w:t>Table of Contents</w:t>
        </w:r>
      </w:hyperlink>
    </w:p>
    <w:p>
      <w:pPr>
        <w:spacing w:after="0" w:line="256" w:lineRule="exact"/>
        <w:rPr>
          <w:sz w:val="20"/>
          <w:szCs w:val="20"/>
          <w:color w:val="auto"/>
        </w:rPr>
      </w:pPr>
    </w:p>
    <w:p>
      <w:pPr>
        <w:jc w:val="center"/>
        <w:ind w:right="-1139"/>
        <w:spacing w:after="0"/>
        <w:rPr>
          <w:sz w:val="20"/>
          <w:szCs w:val="20"/>
          <w:color w:val="auto"/>
        </w:rPr>
      </w:pPr>
      <w:r>
        <w:rPr>
          <w:rFonts w:ascii="Arial" w:cs="Arial" w:eastAsia="Arial" w:hAnsi="Arial"/>
          <w:sz w:val="15"/>
          <w:szCs w:val="15"/>
          <w:b w:val="1"/>
          <w:bCs w:val="1"/>
          <w:color w:val="auto"/>
        </w:rPr>
        <w:t>DIVIDEND POLICY</w:t>
      </w:r>
    </w:p>
    <w:p>
      <w:pPr>
        <w:spacing w:after="0" w:line="192" w:lineRule="exact"/>
        <w:rPr>
          <w:sz w:val="20"/>
          <w:szCs w:val="20"/>
          <w:color w:val="auto"/>
        </w:rPr>
      </w:pPr>
    </w:p>
    <w:p>
      <w:pPr>
        <w:ind w:left="1120" w:firstLine="368"/>
        <w:spacing w:after="0" w:line="305" w:lineRule="auto"/>
        <w:rPr>
          <w:sz w:val="20"/>
          <w:szCs w:val="20"/>
          <w:color w:val="auto"/>
        </w:rPr>
      </w:pPr>
      <w:r>
        <w:rPr>
          <w:rFonts w:ascii="Arial" w:cs="Arial" w:eastAsia="Arial" w:hAnsi="Arial"/>
          <w:sz w:val="13"/>
          <w:szCs w:val="13"/>
          <w:color w:val="auto"/>
        </w:rPr>
        <w:t>We have never declared or paid any cash dividends on our capital stock. We currently intend to retain any future earnings and do not expect to pay any dividends in the foreseeable future. Any future determination to declare cash dividends will be made at the discretion of our Board of Directors, subject to applicable laws, and will depend on a number of factors, including our financial condition, results of operations, capital requirements, contractual restrictions, general business conditions, and other factors that our Board of Directors may deem relevant. In addition, the terms of our revolving credit facility place certain limitations on the amount of cash dividends we can pay, even if no amounts are currently outstanding.</w:t>
      </w:r>
    </w:p>
    <w:p>
      <w:pPr>
        <w:spacing w:after="0" w:line="76" w:lineRule="exact"/>
        <w:rPr>
          <w:sz w:val="20"/>
          <w:szCs w:val="20"/>
          <w:color w:val="auto"/>
        </w:rPr>
      </w:pPr>
    </w:p>
    <w:p>
      <w:pPr>
        <w:ind w:left="5640"/>
        <w:spacing w:after="0"/>
        <w:rPr>
          <w:sz w:val="20"/>
          <w:szCs w:val="20"/>
          <w:color w:val="auto"/>
        </w:rPr>
      </w:pPr>
      <w:r>
        <w:rPr>
          <w:rFonts w:ascii="Arial" w:cs="Arial" w:eastAsia="Arial" w:hAnsi="Arial"/>
          <w:sz w:val="15"/>
          <w:szCs w:val="15"/>
          <w:color w:val="auto"/>
        </w:rPr>
        <w:t>50</w:t>
      </w:r>
    </w:p>
    <w:p>
      <w:pPr>
        <w:sectPr>
          <w:pgSz w:w="11900" w:h="16838" w:orient="portrait"/>
          <w:cols w:equalWidth="0" w:num="1">
            <w:col w:w="10280"/>
          </w:cols>
          <w:pgMar w:left="240" w:top="407" w:right="1379" w:bottom="1440" w:gutter="0" w:footer="0" w:header="0"/>
        </w:sectPr>
      </w:pPr>
    </w:p>
    <w:bookmarkStart w:id="57" w:name="page58"/>
    <w:bookmarkEnd w:id="57"/>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133350</wp:posOffset>
            </wp:positionH>
            <wp:positionV relativeFrom="page">
              <wp:posOffset>88900</wp:posOffset>
            </wp:positionV>
            <wp:extent cx="7308850" cy="342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308850" cy="34290"/>
                    </a:xfrm>
                    <a:prstGeom prst="rect">
                      <a:avLst/>
                    </a:prstGeom>
                    <a:noFill/>
                  </pic:spPr>
                </pic:pic>
              </a:graphicData>
            </a:graphic>
          </wp:anchor>
        </w:drawing>
      </w:r>
      <w:hyperlink w:anchor="page7">
        <w:r>
          <w:rPr>
            <w:rFonts w:ascii="Arial" w:cs="Arial" w:eastAsia="Arial" w:hAnsi="Arial"/>
            <w:sz w:val="15"/>
            <w:szCs w:val="15"/>
            <w:b w:val="1"/>
            <w:bCs w:val="1"/>
            <w:u w:val="single" w:color="auto"/>
            <w:color w:val="0000EE"/>
          </w:rPr>
          <w:t>Table of Contents</w:t>
        </w:r>
      </w:hyperlink>
    </w:p>
    <w:p>
      <w:pPr>
        <w:spacing w:after="0" w:line="256" w:lineRule="exact"/>
        <w:rPr>
          <w:sz w:val="20"/>
          <w:szCs w:val="20"/>
          <w:color w:val="auto"/>
        </w:rPr>
      </w:pPr>
    </w:p>
    <w:p>
      <w:pPr>
        <w:ind w:left="5060"/>
        <w:spacing w:after="0"/>
        <w:rPr>
          <w:sz w:val="20"/>
          <w:szCs w:val="20"/>
          <w:color w:val="auto"/>
        </w:rPr>
      </w:pPr>
      <w:r>
        <w:rPr>
          <w:rFonts w:ascii="Arial" w:cs="Arial" w:eastAsia="Arial" w:hAnsi="Arial"/>
          <w:sz w:val="15"/>
          <w:szCs w:val="15"/>
          <w:b w:val="1"/>
          <w:bCs w:val="1"/>
          <w:color w:val="auto"/>
        </w:rPr>
        <w:t>CAPITALIZATION</w:t>
      </w:r>
    </w:p>
    <w:p>
      <w:pPr>
        <w:spacing w:after="0" w:line="192" w:lineRule="exact"/>
        <w:rPr>
          <w:sz w:val="20"/>
          <w:szCs w:val="20"/>
          <w:color w:val="auto"/>
        </w:rPr>
      </w:pPr>
    </w:p>
    <w:p>
      <w:pPr>
        <w:jc w:val="center"/>
        <w:ind w:right="-99"/>
        <w:spacing w:after="0"/>
        <w:rPr>
          <w:sz w:val="20"/>
          <w:szCs w:val="20"/>
          <w:color w:val="auto"/>
        </w:rPr>
      </w:pPr>
      <w:r>
        <w:rPr>
          <w:rFonts w:ascii="Arial" w:cs="Arial" w:eastAsia="Arial" w:hAnsi="Arial"/>
          <w:sz w:val="15"/>
          <w:szCs w:val="15"/>
          <w:color w:val="auto"/>
        </w:rPr>
        <w:t>The following table sets forth cash and cash equivalents, as well as our capitalization, as of December 31, 2017, as follows:</w:t>
      </w:r>
    </w:p>
    <w:p>
      <w:pPr>
        <w:spacing w:after="0" w:line="109" w:lineRule="exact"/>
        <w:rPr>
          <w:sz w:val="20"/>
          <w:szCs w:val="20"/>
          <w:color w:val="auto"/>
        </w:rPr>
      </w:pPr>
    </w:p>
    <w:p>
      <w:pPr>
        <w:ind w:left="1840" w:hanging="276"/>
        <w:spacing w:after="0"/>
        <w:tabs>
          <w:tab w:leader="none" w:pos="1840" w:val="left"/>
        </w:tabs>
        <w:numPr>
          <w:ilvl w:val="0"/>
          <w:numId w:val="30"/>
        </w:numPr>
        <w:rPr>
          <w:rFonts w:ascii="Arial" w:cs="Arial" w:eastAsia="Arial" w:hAnsi="Arial"/>
          <w:sz w:val="15"/>
          <w:szCs w:val="15"/>
          <w:color w:val="auto"/>
        </w:rPr>
      </w:pPr>
      <w:r>
        <w:rPr>
          <w:rFonts w:ascii="Arial" w:cs="Arial" w:eastAsia="Arial" w:hAnsi="Arial"/>
          <w:sz w:val="15"/>
          <w:szCs w:val="15"/>
          <w:color w:val="auto"/>
        </w:rPr>
        <w:t>on an actual basis;</w:t>
      </w:r>
    </w:p>
    <w:p>
      <w:pPr>
        <w:spacing w:after="0" w:line="109" w:lineRule="exact"/>
        <w:rPr>
          <w:rFonts w:ascii="Arial" w:cs="Arial" w:eastAsia="Arial" w:hAnsi="Arial"/>
          <w:sz w:val="15"/>
          <w:szCs w:val="15"/>
          <w:color w:val="auto"/>
        </w:rPr>
      </w:pPr>
    </w:p>
    <w:p>
      <w:pPr>
        <w:ind w:left="1840" w:hanging="276"/>
        <w:spacing w:after="0" w:line="275" w:lineRule="auto"/>
        <w:tabs>
          <w:tab w:leader="none" w:pos="1840" w:val="left"/>
        </w:tabs>
        <w:numPr>
          <w:ilvl w:val="0"/>
          <w:numId w:val="30"/>
        </w:numPr>
        <w:rPr>
          <w:rFonts w:ascii="Arial" w:cs="Arial" w:eastAsia="Arial" w:hAnsi="Arial"/>
          <w:sz w:val="14"/>
          <w:szCs w:val="14"/>
          <w:color w:val="auto"/>
        </w:rPr>
      </w:pPr>
      <w:r>
        <w:rPr>
          <w:rFonts w:ascii="Arial" w:cs="Arial" w:eastAsia="Arial" w:hAnsi="Arial"/>
          <w:sz w:val="14"/>
          <w:szCs w:val="14"/>
          <w:color w:val="auto"/>
        </w:rPr>
        <w:t>on a pro forma basis, giving effect to (i) the Capital Stock Conversions, as if such conversions had occurred on December 31, 2017, (ii) the filing and effectiveness of our amended and restated certificate of incorporation in Delaware that will become effective immediately prior to the completion of this offering, (iii) stock-based compensation expense of $415.6 million associated with the RSU Settlement, (iv) the net issuance of 15,897,254 shares of our Class B common stock upon the RSU Settlement, (v) the borrowing of $193.1 million under our revolving credit facility to satisfy our tax withholding and remittance obligations related to the RSU Settlement, and (vi) a cash payment of $193.1 million to satisfy our tax withholding and remittance obligations related to the RSU Settlement, which amounts in (v) and (vi) are based upon the assumed initial public offering price of $19.00 per share, which is the midpoint of the estimated offering price range set forth on the cover page of this prospectus; and</w:t>
      </w:r>
    </w:p>
    <w:p>
      <w:pPr>
        <w:spacing w:after="0" w:line="69" w:lineRule="exact"/>
        <w:rPr>
          <w:rFonts w:ascii="Arial" w:cs="Arial" w:eastAsia="Arial" w:hAnsi="Arial"/>
          <w:sz w:val="14"/>
          <w:szCs w:val="14"/>
          <w:color w:val="auto"/>
        </w:rPr>
      </w:pPr>
    </w:p>
    <w:p>
      <w:pPr>
        <w:ind w:left="1840" w:hanging="276"/>
        <w:spacing w:after="0"/>
        <w:tabs>
          <w:tab w:leader="none" w:pos="1840" w:val="left"/>
        </w:tabs>
        <w:numPr>
          <w:ilvl w:val="0"/>
          <w:numId w:val="30"/>
        </w:numPr>
        <w:rPr>
          <w:rFonts w:ascii="Arial" w:cs="Arial" w:eastAsia="Arial" w:hAnsi="Arial"/>
          <w:sz w:val="14"/>
          <w:szCs w:val="14"/>
          <w:color w:val="auto"/>
        </w:rPr>
      </w:pPr>
      <w:r>
        <w:rPr>
          <w:rFonts w:ascii="Arial" w:cs="Arial" w:eastAsia="Arial" w:hAnsi="Arial"/>
          <w:sz w:val="14"/>
          <w:szCs w:val="14"/>
          <w:color w:val="auto"/>
        </w:rPr>
        <w:t>on a pro forma as adjusted basis, giving effect to (i) the pro forma adjustments set forth above, (ii) the sale and issuance by us of</w:t>
      </w:r>
    </w:p>
    <w:p>
      <w:pPr>
        <w:spacing w:after="0" w:line="28" w:lineRule="exact"/>
        <w:rPr>
          <w:rFonts w:ascii="Arial" w:cs="Arial" w:eastAsia="Arial" w:hAnsi="Arial"/>
          <w:sz w:val="14"/>
          <w:szCs w:val="14"/>
          <w:color w:val="auto"/>
        </w:rPr>
      </w:pPr>
    </w:p>
    <w:p>
      <w:pPr>
        <w:ind w:left="1840" w:right="20"/>
        <w:spacing w:after="0" w:line="289" w:lineRule="auto"/>
        <w:rPr>
          <w:rFonts w:ascii="Arial" w:cs="Arial" w:eastAsia="Arial" w:hAnsi="Arial"/>
          <w:sz w:val="14"/>
          <w:szCs w:val="14"/>
          <w:color w:val="auto"/>
        </w:rPr>
      </w:pPr>
      <w:r>
        <w:rPr>
          <w:rFonts w:ascii="Arial" w:cs="Arial" w:eastAsia="Arial" w:hAnsi="Arial"/>
          <w:sz w:val="13"/>
          <w:szCs w:val="13"/>
          <w:color w:val="auto"/>
        </w:rPr>
        <w:t>32,085,567 shares of our Class A common stock in this offering and the concurrent private placement, based upon the assumed initial public offering price of $19.00 per share, which is the midpoint of the estimated offering price range set forth on the cover page of this prospectus, and after deducting estimated underwriting discounts and commissions and estimated offering expenses payable by us, (iii) the conversion of 9,177,591 shares of our Class B common stock held by certain selling stockholders into an equivalent number of shares of our Class A common stock upon the sale by the selling stockholders in this offering, and (iv) the use of proceeds from the offering to repay</w:t>
      </w:r>
    </w:p>
    <w:p>
      <w:pPr>
        <w:spacing w:after="0" w:line="2" w:lineRule="exact"/>
        <w:rPr>
          <w:rFonts w:ascii="Arial" w:cs="Arial" w:eastAsia="Arial" w:hAnsi="Arial"/>
          <w:sz w:val="14"/>
          <w:szCs w:val="14"/>
          <w:color w:val="auto"/>
        </w:rPr>
      </w:pPr>
    </w:p>
    <w:p>
      <w:pPr>
        <w:ind w:left="1840" w:right="120"/>
        <w:spacing w:after="0" w:line="262" w:lineRule="auto"/>
        <w:rPr>
          <w:rFonts w:ascii="Arial" w:cs="Arial" w:eastAsia="Arial" w:hAnsi="Arial"/>
          <w:sz w:val="14"/>
          <w:szCs w:val="14"/>
          <w:color w:val="auto"/>
        </w:rPr>
      </w:pPr>
      <w:r>
        <w:rPr>
          <w:rFonts w:ascii="Arial" w:cs="Arial" w:eastAsia="Arial" w:hAnsi="Arial"/>
          <w:sz w:val="15"/>
          <w:szCs w:val="15"/>
          <w:color w:val="auto"/>
        </w:rPr>
        <w:t>$193.1 million drawn down under our revolving credit facility to satisfy our tax withholding and remittance obligations related to the RSU Settlement and pay related net costs of approximately $0.2 million.</w:t>
      </w:r>
    </w:p>
    <w:p>
      <w:pPr>
        <w:spacing w:after="0" w:line="99" w:lineRule="exact"/>
        <w:rPr>
          <w:sz w:val="20"/>
          <w:szCs w:val="20"/>
          <w:color w:val="auto"/>
        </w:rPr>
      </w:pPr>
    </w:p>
    <w:p>
      <w:pPr>
        <w:ind w:left="5640"/>
        <w:spacing w:after="0"/>
        <w:rPr>
          <w:sz w:val="20"/>
          <w:szCs w:val="20"/>
          <w:color w:val="auto"/>
        </w:rPr>
      </w:pPr>
      <w:r>
        <w:rPr>
          <w:rFonts w:ascii="Arial" w:cs="Arial" w:eastAsia="Arial" w:hAnsi="Arial"/>
          <w:sz w:val="15"/>
          <w:szCs w:val="15"/>
          <w:color w:val="auto"/>
        </w:rPr>
        <w:t>51</w:t>
      </w:r>
    </w:p>
    <w:p>
      <w:pPr>
        <w:sectPr>
          <w:pgSz w:w="11900" w:h="16838" w:orient="portrait"/>
          <w:cols w:equalWidth="0" w:num="1">
            <w:col w:w="10300"/>
          </w:cols>
          <w:pgMar w:left="240" w:top="407" w:right="1359" w:bottom="1440" w:gutter="0" w:footer="0" w:header="0"/>
        </w:sectPr>
      </w:pPr>
    </w:p>
    <w:bookmarkStart w:id="58" w:name="page59"/>
    <w:bookmarkEnd w:id="58"/>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133350</wp:posOffset>
            </wp:positionH>
            <wp:positionV relativeFrom="page">
              <wp:posOffset>88900</wp:posOffset>
            </wp:positionV>
            <wp:extent cx="7308850" cy="342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308850" cy="34290"/>
                    </a:xfrm>
                    <a:prstGeom prst="rect">
                      <a:avLst/>
                    </a:prstGeom>
                    <a:noFill/>
                  </pic:spPr>
                </pic:pic>
              </a:graphicData>
            </a:graphic>
          </wp:anchor>
        </w:drawing>
      </w:r>
      <w:hyperlink w:anchor="page7">
        <w:r>
          <w:rPr>
            <w:rFonts w:ascii="Arial" w:cs="Arial" w:eastAsia="Arial" w:hAnsi="Arial"/>
            <w:sz w:val="15"/>
            <w:szCs w:val="15"/>
            <w:b w:val="1"/>
            <w:bCs w:val="1"/>
            <w:u w:val="single" w:color="auto"/>
            <w:color w:val="0000EE"/>
          </w:rPr>
          <w:t>Table of Contents</w:t>
        </w:r>
      </w:hyperlink>
    </w:p>
    <w:p>
      <w:pPr>
        <w:spacing w:after="0" w:line="260" w:lineRule="exact"/>
        <w:rPr>
          <w:sz w:val="20"/>
          <w:szCs w:val="20"/>
          <w:color w:val="auto"/>
        </w:rPr>
      </w:pPr>
    </w:p>
    <w:p>
      <w:pPr>
        <w:ind w:left="1120" w:firstLine="368"/>
        <w:spacing w:after="0" w:line="259" w:lineRule="auto"/>
        <w:rPr>
          <w:sz w:val="20"/>
          <w:szCs w:val="20"/>
          <w:color w:val="auto"/>
        </w:rPr>
      </w:pPr>
      <w:r>
        <w:rPr>
          <w:rFonts w:ascii="Arial" w:cs="Arial" w:eastAsia="Arial" w:hAnsi="Arial"/>
          <w:sz w:val="15"/>
          <w:szCs w:val="15"/>
          <w:color w:val="auto"/>
        </w:rPr>
        <w:t>The pro forma as adjusted information set forth in the table below is illustrative only and will be adjusted based on the actual initial public offering price and other terms of this offering determined at pricing. You should read this table together with our consolidated financial statements and related notes, and the sections titled “Selected Consolidated Financial and Other Data” and “Management’s Discussion and Analysis of Financial Condition and Results of Operations” that are included elsewhere in this prospectus.</w:t>
      </w:r>
    </w:p>
    <w:p>
      <w:pPr>
        <w:spacing w:after="0" w:line="171" w:lineRule="exact"/>
        <w:rPr>
          <w:sz w:val="20"/>
          <w:szCs w:val="20"/>
          <w:color w:val="auto"/>
        </w:rPr>
      </w:pPr>
    </w:p>
    <w:tbl>
      <w:tblPr>
        <w:tblLayout w:type="fixed"/>
        <w:tblInd w:w="1120" w:type="dxa"/>
        <w:tblCellMar>
          <w:top w:w="0" w:type="dxa"/>
          <w:left w:w="0" w:type="dxa"/>
          <w:bottom w:w="0" w:type="dxa"/>
          <w:right w:w="0" w:type="dxa"/>
        </w:tblCellMar>
      </w:tblPr>
      <w:tr>
        <w:trPr>
          <w:trHeight w:val="144"/>
        </w:trPr>
        <w:tc>
          <w:tcPr>
            <w:tcW w:w="62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1340" w:type="dxa"/>
            <w:vAlign w:val="bottom"/>
            <w:tcBorders>
              <w:bottom w:val="single" w:sz="8" w:color="auto"/>
            </w:tcBorders>
            <w:gridSpan w:val="4"/>
          </w:tcPr>
          <w:p>
            <w:pPr>
              <w:jc w:val="center"/>
              <w:ind w:right="40"/>
              <w:spacing w:after="0"/>
              <w:rPr>
                <w:sz w:val="20"/>
                <w:szCs w:val="20"/>
                <w:color w:val="auto"/>
              </w:rPr>
            </w:pPr>
            <w:r>
              <w:rPr>
                <w:rFonts w:ascii="Arial" w:cs="Arial" w:eastAsia="Arial" w:hAnsi="Arial"/>
                <w:sz w:val="12"/>
                <w:szCs w:val="12"/>
                <w:b w:val="1"/>
                <w:bCs w:val="1"/>
                <w:color w:val="auto"/>
                <w:w w:val="89"/>
              </w:rPr>
              <w:t>As of December 31, 2017</w:t>
            </w:r>
          </w:p>
        </w:tc>
        <w:tc>
          <w:tcPr>
            <w:tcW w:w="4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96"/>
        </w:trPr>
        <w:tc>
          <w:tcPr>
            <w:tcW w:w="6280" w:type="dxa"/>
            <w:vAlign w:val="bottom"/>
          </w:tcPr>
          <w:p>
            <w:pPr>
              <w:spacing w:after="0"/>
              <w:rPr>
                <w:sz w:val="8"/>
                <w:szCs w:val="8"/>
                <w:color w:val="auto"/>
              </w:rPr>
            </w:pPr>
          </w:p>
        </w:tc>
        <w:tc>
          <w:tcPr>
            <w:tcW w:w="280" w:type="dxa"/>
            <w:vAlign w:val="bottom"/>
          </w:tcPr>
          <w:p>
            <w:pPr>
              <w:spacing w:after="0"/>
              <w:rPr>
                <w:sz w:val="8"/>
                <w:szCs w:val="8"/>
                <w:color w:val="auto"/>
              </w:rPr>
            </w:pPr>
          </w:p>
        </w:tc>
        <w:tc>
          <w:tcPr>
            <w:tcW w:w="520" w:type="dxa"/>
            <w:vAlign w:val="bottom"/>
          </w:tcPr>
          <w:p>
            <w:pPr>
              <w:spacing w:after="0"/>
              <w:rPr>
                <w:sz w:val="8"/>
                <w:szCs w:val="8"/>
                <w:color w:val="auto"/>
              </w:rPr>
            </w:pPr>
          </w:p>
        </w:tc>
        <w:tc>
          <w:tcPr>
            <w:tcW w:w="60" w:type="dxa"/>
            <w:vAlign w:val="bottom"/>
          </w:tcPr>
          <w:p>
            <w:pPr>
              <w:spacing w:after="0"/>
              <w:rPr>
                <w:sz w:val="8"/>
                <w:szCs w:val="8"/>
                <w:color w:val="auto"/>
              </w:rPr>
            </w:pPr>
          </w:p>
        </w:tc>
        <w:tc>
          <w:tcPr>
            <w:tcW w:w="360" w:type="dxa"/>
            <w:vAlign w:val="bottom"/>
          </w:tcPr>
          <w:p>
            <w:pPr>
              <w:spacing w:after="0"/>
              <w:rPr>
                <w:sz w:val="8"/>
                <w:szCs w:val="8"/>
                <w:color w:val="auto"/>
              </w:rPr>
            </w:pPr>
          </w:p>
        </w:tc>
        <w:tc>
          <w:tcPr>
            <w:tcW w:w="80" w:type="dxa"/>
            <w:vAlign w:val="bottom"/>
          </w:tcPr>
          <w:p>
            <w:pPr>
              <w:spacing w:after="0"/>
              <w:rPr>
                <w:sz w:val="8"/>
                <w:szCs w:val="8"/>
                <w:color w:val="auto"/>
              </w:rPr>
            </w:pPr>
          </w:p>
        </w:tc>
        <w:tc>
          <w:tcPr>
            <w:tcW w:w="900" w:type="dxa"/>
            <w:vAlign w:val="bottom"/>
            <w:gridSpan w:val="2"/>
            <w:vMerge w:val="restart"/>
          </w:tcPr>
          <w:p>
            <w:pPr>
              <w:jc w:val="center"/>
              <w:ind w:right="480"/>
              <w:spacing w:after="0"/>
              <w:rPr>
                <w:sz w:val="20"/>
                <w:szCs w:val="20"/>
                <w:color w:val="auto"/>
              </w:rPr>
            </w:pPr>
            <w:r>
              <w:rPr>
                <w:rFonts w:ascii="Arial" w:cs="Arial" w:eastAsia="Arial" w:hAnsi="Arial"/>
                <w:sz w:val="12"/>
                <w:szCs w:val="12"/>
                <w:b w:val="1"/>
                <w:bCs w:val="1"/>
                <w:color w:val="auto"/>
                <w:w w:val="89"/>
              </w:rPr>
              <w:t>Pro</w:t>
            </w: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520" w:type="dxa"/>
            <w:vAlign w:val="bottom"/>
          </w:tcPr>
          <w:p>
            <w:pPr>
              <w:jc w:val="right"/>
              <w:ind w:right="146"/>
              <w:spacing w:after="0" w:line="96" w:lineRule="exact"/>
              <w:rPr>
                <w:sz w:val="20"/>
                <w:szCs w:val="20"/>
                <w:color w:val="auto"/>
              </w:rPr>
            </w:pPr>
            <w:r>
              <w:rPr>
                <w:rFonts w:ascii="Arial" w:cs="Arial" w:eastAsia="Arial" w:hAnsi="Arial"/>
                <w:sz w:val="11"/>
                <w:szCs w:val="11"/>
                <w:b w:val="1"/>
                <w:bCs w:val="1"/>
                <w:color w:val="auto"/>
              </w:rPr>
              <w:t>Pro</w:t>
            </w: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4"/>
        </w:trPr>
        <w:tc>
          <w:tcPr>
            <w:tcW w:w="62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580" w:type="dxa"/>
            <w:vAlign w:val="bottom"/>
            <w:gridSpan w:val="2"/>
            <w:vMerge w:val="restart"/>
          </w:tcPr>
          <w:p>
            <w:pPr>
              <w:jc w:val="right"/>
              <w:ind w:right="180"/>
              <w:spacing w:after="0"/>
              <w:rPr>
                <w:sz w:val="20"/>
                <w:szCs w:val="20"/>
                <w:color w:val="auto"/>
              </w:rPr>
            </w:pPr>
            <w:r>
              <w:rPr>
                <w:rFonts w:ascii="Arial" w:cs="Arial" w:eastAsia="Arial" w:hAnsi="Arial"/>
                <w:sz w:val="12"/>
                <w:szCs w:val="12"/>
                <w:b w:val="1"/>
                <w:bCs w:val="1"/>
                <w:color w:val="auto"/>
              </w:rPr>
              <w:t>Actual</w:t>
            </w:r>
          </w:p>
        </w:tc>
        <w:tc>
          <w:tcPr>
            <w:tcW w:w="3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00" w:type="dxa"/>
            <w:vAlign w:val="bottom"/>
            <w:gridSpan w:val="2"/>
            <w:vMerge w:val="continue"/>
          </w:tcPr>
          <w:p>
            <w:pPr>
              <w:spacing w:after="0"/>
              <w:rPr>
                <w:sz w:val="10"/>
                <w:szCs w:val="10"/>
                <w:color w:val="auto"/>
              </w:rPr>
            </w:pPr>
          </w:p>
        </w:tc>
        <w:tc>
          <w:tcPr>
            <w:tcW w:w="40" w:type="dxa"/>
            <w:vAlign w:val="bottom"/>
          </w:tcPr>
          <w:p>
            <w:pPr>
              <w:spacing w:after="0"/>
              <w:rPr>
                <w:sz w:val="10"/>
                <w:szCs w:val="10"/>
                <w:color w:val="auto"/>
              </w:rPr>
            </w:pPr>
          </w:p>
        </w:tc>
        <w:tc>
          <w:tcPr>
            <w:tcW w:w="680" w:type="dxa"/>
            <w:vAlign w:val="bottom"/>
            <w:gridSpan w:val="3"/>
          </w:tcPr>
          <w:p>
            <w:pPr>
              <w:ind w:left="60"/>
              <w:spacing w:after="0" w:line="124" w:lineRule="exact"/>
              <w:rPr>
                <w:sz w:val="20"/>
                <w:szCs w:val="20"/>
                <w:color w:val="auto"/>
              </w:rPr>
            </w:pPr>
            <w:r>
              <w:rPr>
                <w:rFonts w:ascii="Arial" w:cs="Arial" w:eastAsia="Arial" w:hAnsi="Arial"/>
                <w:sz w:val="12"/>
                <w:szCs w:val="12"/>
                <w:b w:val="1"/>
                <w:bCs w:val="1"/>
                <w:color w:val="auto"/>
              </w:rPr>
              <w:t>forma as</w:t>
            </w:r>
          </w:p>
        </w:tc>
        <w:tc>
          <w:tcPr>
            <w:tcW w:w="0" w:type="dxa"/>
            <w:vAlign w:val="bottom"/>
          </w:tcPr>
          <w:p>
            <w:pPr>
              <w:spacing w:after="0"/>
              <w:rPr>
                <w:sz w:val="1"/>
                <w:szCs w:val="1"/>
                <w:color w:val="auto"/>
              </w:rPr>
            </w:pPr>
          </w:p>
        </w:tc>
      </w:tr>
      <w:tr>
        <w:trPr>
          <w:trHeight w:val="144"/>
        </w:trPr>
        <w:tc>
          <w:tcPr>
            <w:tcW w:w="62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80" w:type="dxa"/>
            <w:vAlign w:val="bottom"/>
            <w:gridSpan w:val="2"/>
            <w:vMerge w:val="continue"/>
          </w:tcPr>
          <w:p>
            <w:pPr>
              <w:spacing w:after="0"/>
              <w:rPr>
                <w:sz w:val="12"/>
                <w:szCs w:val="12"/>
                <w:color w:val="auto"/>
              </w:rPr>
            </w:pP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gridSpan w:val="2"/>
          </w:tcPr>
          <w:p>
            <w:pPr>
              <w:jc w:val="right"/>
              <w:ind w:right="460"/>
              <w:spacing w:after="0"/>
              <w:rPr>
                <w:sz w:val="20"/>
                <w:szCs w:val="20"/>
                <w:color w:val="auto"/>
              </w:rPr>
            </w:pPr>
            <w:r>
              <w:rPr>
                <w:rFonts w:ascii="Arial" w:cs="Arial" w:eastAsia="Arial" w:hAnsi="Arial"/>
                <w:sz w:val="12"/>
                <w:szCs w:val="12"/>
                <w:b w:val="1"/>
                <w:bCs w:val="1"/>
                <w:color w:val="auto"/>
                <w:w w:val="92"/>
              </w:rPr>
              <w:t>forma</w:t>
            </w:r>
            <w:r>
              <w:rPr>
                <w:rFonts w:ascii="Arial" w:cs="Arial" w:eastAsia="Arial" w:hAnsi="Arial"/>
                <w:sz w:val="10"/>
                <w:szCs w:val="10"/>
                <w:b w:val="1"/>
                <w:bCs w:val="1"/>
                <w:color w:val="auto"/>
                <w:w w:val="92"/>
              </w:rPr>
              <w:t>(1)</w:t>
            </w:r>
          </w:p>
        </w:tc>
        <w:tc>
          <w:tcPr>
            <w:tcW w:w="40" w:type="dxa"/>
            <w:vAlign w:val="bottom"/>
          </w:tcPr>
          <w:p>
            <w:pPr>
              <w:spacing w:after="0"/>
              <w:rPr>
                <w:sz w:val="12"/>
                <w:szCs w:val="12"/>
                <w:color w:val="auto"/>
              </w:rPr>
            </w:pPr>
          </w:p>
        </w:tc>
        <w:tc>
          <w:tcPr>
            <w:tcW w:w="680" w:type="dxa"/>
            <w:vAlign w:val="bottom"/>
            <w:gridSpan w:val="3"/>
          </w:tcPr>
          <w:p>
            <w:pPr>
              <w:ind w:left="20"/>
              <w:spacing w:after="0"/>
              <w:rPr>
                <w:sz w:val="20"/>
                <w:szCs w:val="20"/>
                <w:color w:val="auto"/>
              </w:rPr>
            </w:pPr>
            <w:r>
              <w:rPr>
                <w:rFonts w:ascii="Arial" w:cs="Arial" w:eastAsia="Arial" w:hAnsi="Arial"/>
                <w:sz w:val="12"/>
                <w:szCs w:val="12"/>
                <w:b w:val="1"/>
                <w:bCs w:val="1"/>
                <w:color w:val="auto"/>
              </w:rPr>
              <w:t>adjusted</w:t>
            </w:r>
            <w:r>
              <w:rPr>
                <w:rFonts w:ascii="Arial" w:cs="Arial" w:eastAsia="Arial" w:hAnsi="Arial"/>
                <w:sz w:val="10"/>
                <w:szCs w:val="10"/>
                <w:b w:val="1"/>
                <w:bCs w:val="1"/>
                <w:color w:val="auto"/>
              </w:rPr>
              <w:t>(2)</w:t>
            </w:r>
          </w:p>
        </w:tc>
        <w:tc>
          <w:tcPr>
            <w:tcW w:w="0" w:type="dxa"/>
            <w:vAlign w:val="bottom"/>
          </w:tcPr>
          <w:p>
            <w:pPr>
              <w:spacing w:after="0"/>
              <w:rPr>
                <w:sz w:val="1"/>
                <w:szCs w:val="1"/>
                <w:color w:val="auto"/>
              </w:rPr>
            </w:pPr>
          </w:p>
        </w:tc>
      </w:tr>
      <w:tr>
        <w:trPr>
          <w:trHeight w:val="100"/>
        </w:trPr>
        <w:tc>
          <w:tcPr>
            <w:tcW w:w="6280" w:type="dxa"/>
            <w:vAlign w:val="bottom"/>
          </w:tcPr>
          <w:p>
            <w:pPr>
              <w:spacing w:after="0"/>
              <w:rPr>
                <w:sz w:val="8"/>
                <w:szCs w:val="8"/>
                <w:color w:val="auto"/>
              </w:rPr>
            </w:pPr>
          </w:p>
        </w:tc>
        <w:tc>
          <w:tcPr>
            <w:tcW w:w="280" w:type="dxa"/>
            <w:vAlign w:val="bottom"/>
          </w:tcPr>
          <w:p>
            <w:pPr>
              <w:spacing w:after="0"/>
              <w:rPr>
                <w:sz w:val="8"/>
                <w:szCs w:val="8"/>
                <w:color w:val="auto"/>
              </w:rPr>
            </w:pPr>
          </w:p>
        </w:tc>
        <w:tc>
          <w:tcPr>
            <w:tcW w:w="2560" w:type="dxa"/>
            <w:vAlign w:val="bottom"/>
            <w:tcBorders>
              <w:top w:val="single" w:sz="8" w:color="auto"/>
            </w:tcBorders>
            <w:gridSpan w:val="9"/>
          </w:tcPr>
          <w:p>
            <w:pPr>
              <w:jc w:val="center"/>
              <w:ind w:right="6"/>
              <w:spacing w:after="0" w:line="100" w:lineRule="exact"/>
              <w:rPr>
                <w:sz w:val="20"/>
                <w:szCs w:val="20"/>
                <w:color w:val="auto"/>
              </w:rPr>
            </w:pPr>
            <w:r>
              <w:rPr>
                <w:rFonts w:ascii="Arial" w:cs="Arial" w:eastAsia="Arial" w:hAnsi="Arial"/>
                <w:sz w:val="11"/>
                <w:szCs w:val="11"/>
                <w:i w:val="1"/>
                <w:iCs w:val="1"/>
                <w:color w:val="auto"/>
                <w:w w:val="99"/>
              </w:rPr>
              <w:t>(In millions, except share and per share</w:t>
            </w: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0"/>
        </w:trPr>
        <w:tc>
          <w:tcPr>
            <w:tcW w:w="62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gridSpan w:val="2"/>
          </w:tcPr>
          <w:p>
            <w:pPr>
              <w:jc w:val="center"/>
              <w:ind w:right="460"/>
              <w:spacing w:after="0"/>
              <w:rPr>
                <w:sz w:val="20"/>
                <w:szCs w:val="20"/>
                <w:color w:val="auto"/>
              </w:rPr>
            </w:pPr>
            <w:r>
              <w:rPr>
                <w:rFonts w:ascii="Arial" w:cs="Arial" w:eastAsia="Arial" w:hAnsi="Arial"/>
                <w:sz w:val="12"/>
                <w:szCs w:val="12"/>
                <w:i w:val="1"/>
                <w:iCs w:val="1"/>
                <w:color w:val="auto"/>
                <w:w w:val="87"/>
              </w:rPr>
              <w:t>data)</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6280" w:type="dxa"/>
            <w:vAlign w:val="bottom"/>
            <w:shd w:val="clear" w:color="auto" w:fill="CCEEFF"/>
          </w:tcPr>
          <w:p>
            <w:pPr>
              <w:spacing w:after="0"/>
              <w:rPr>
                <w:sz w:val="20"/>
                <w:szCs w:val="20"/>
                <w:color w:val="auto"/>
              </w:rPr>
            </w:pPr>
            <w:r>
              <w:rPr>
                <w:rFonts w:ascii="Arial" w:cs="Arial" w:eastAsia="Arial" w:hAnsi="Arial"/>
                <w:sz w:val="15"/>
                <w:szCs w:val="15"/>
                <w:color w:val="auto"/>
              </w:rPr>
              <w:t>Cash and cash equivalents</w:t>
            </w:r>
          </w:p>
        </w:tc>
        <w:tc>
          <w:tcPr>
            <w:tcW w:w="2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430.0</w:t>
            </w:r>
          </w:p>
        </w:tc>
        <w:tc>
          <w:tcPr>
            <w:tcW w:w="60" w:type="dxa"/>
            <w:vAlign w:val="bottom"/>
            <w:shd w:val="clear" w:color="auto" w:fill="CCEEFF"/>
          </w:tcPr>
          <w:p>
            <w:pPr>
              <w:spacing w:after="0"/>
              <w:rPr>
                <w:sz w:val="15"/>
                <w:szCs w:val="15"/>
                <w:color w:val="auto"/>
              </w:rPr>
            </w:pP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430.0</w:t>
            </w:r>
          </w:p>
        </w:tc>
        <w:tc>
          <w:tcPr>
            <w:tcW w:w="380" w:type="dxa"/>
            <w:vAlign w:val="bottom"/>
            <w:shd w:val="clear" w:color="auto" w:fill="CCEEFF"/>
          </w:tcPr>
          <w:p>
            <w:pPr>
              <w:spacing w:after="0"/>
              <w:rPr>
                <w:sz w:val="15"/>
                <w:szCs w:val="15"/>
                <w:color w:val="auto"/>
              </w:rPr>
            </w:pPr>
          </w:p>
        </w:tc>
        <w:tc>
          <w:tcPr>
            <w:tcW w:w="120" w:type="dxa"/>
            <w:vAlign w:val="bottom"/>
            <w:gridSpan w:val="2"/>
            <w:shd w:val="clear" w:color="auto" w:fill="CCEEFF"/>
          </w:tcPr>
          <w:p>
            <w:pPr>
              <w:ind w:left="40"/>
              <w:spacing w:after="0"/>
              <w:rPr>
                <w:sz w:val="20"/>
                <w:szCs w:val="20"/>
                <w:color w:val="auto"/>
              </w:rPr>
            </w:pPr>
            <w:r>
              <w:rPr>
                <w:rFonts w:ascii="Arial" w:cs="Arial" w:eastAsia="Arial" w:hAnsi="Arial"/>
                <w:sz w:val="15"/>
                <w:szCs w:val="15"/>
                <w:color w:val="auto"/>
                <w:w w:val="71"/>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816.6</w:t>
            </w: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spacing w:after="0"/>
              <w:rPr>
                <w:sz w:val="20"/>
                <w:szCs w:val="20"/>
                <w:color w:val="auto"/>
              </w:rPr>
            </w:pPr>
            <w:r>
              <w:rPr>
                <w:rFonts w:ascii="Arial" w:cs="Arial" w:eastAsia="Arial" w:hAnsi="Arial"/>
                <w:sz w:val="15"/>
                <w:szCs w:val="15"/>
                <w:color w:val="auto"/>
              </w:rPr>
              <w:t>Revolving credit facility</w:t>
            </w:r>
          </w:p>
        </w:tc>
        <w:tc>
          <w:tcPr>
            <w:tcW w:w="28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4"/>
        </w:trPr>
        <w:tc>
          <w:tcPr>
            <w:tcW w:w="6280" w:type="dxa"/>
            <w:vAlign w:val="bottom"/>
            <w:vMerge w:val="continue"/>
          </w:tcPr>
          <w:p>
            <w:pPr>
              <w:spacing w:after="0"/>
              <w:rPr>
                <w:sz w:val="14"/>
                <w:szCs w:val="14"/>
                <w:color w:val="auto"/>
              </w:rPr>
            </w:pPr>
          </w:p>
        </w:tc>
        <w:tc>
          <w:tcPr>
            <w:tcW w:w="280" w:type="dxa"/>
            <w:vAlign w:val="bottom"/>
          </w:tcPr>
          <w:p>
            <w:pPr>
              <w:jc w:val="right"/>
              <w:spacing w:after="0" w:line="164" w:lineRule="exact"/>
              <w:rPr>
                <w:sz w:val="20"/>
                <w:szCs w:val="20"/>
                <w:color w:val="auto"/>
              </w:rPr>
            </w:pPr>
            <w:r>
              <w:rPr>
                <w:rFonts w:ascii="Arial" w:cs="Arial" w:eastAsia="Arial" w:hAnsi="Arial"/>
                <w:sz w:val="15"/>
                <w:szCs w:val="15"/>
                <w:color w:val="auto"/>
              </w:rPr>
              <w:t>$</w:t>
            </w:r>
          </w:p>
        </w:tc>
        <w:tc>
          <w:tcPr>
            <w:tcW w:w="580" w:type="dxa"/>
            <w:vAlign w:val="bottom"/>
            <w:gridSpan w:val="2"/>
          </w:tcPr>
          <w:p>
            <w:pPr>
              <w:jc w:val="right"/>
              <w:ind w:right="140"/>
              <w:spacing w:after="0" w:line="164" w:lineRule="exact"/>
              <w:rPr>
                <w:sz w:val="20"/>
                <w:szCs w:val="20"/>
                <w:color w:val="auto"/>
              </w:rPr>
            </w:pPr>
            <w:r>
              <w:rPr>
                <w:rFonts w:ascii="Arial" w:cs="Arial" w:eastAsia="Arial" w:hAnsi="Arial"/>
                <w:sz w:val="15"/>
                <w:szCs w:val="15"/>
                <w:color w:val="auto"/>
              </w:rPr>
              <w:t>—</w:t>
            </w:r>
          </w:p>
        </w:tc>
        <w:tc>
          <w:tcPr>
            <w:tcW w:w="440" w:type="dxa"/>
            <w:vAlign w:val="bottom"/>
            <w:gridSpan w:val="2"/>
          </w:tcPr>
          <w:p>
            <w:pPr>
              <w:jc w:val="right"/>
              <w:spacing w:after="0" w:line="164" w:lineRule="exact"/>
              <w:rPr>
                <w:sz w:val="20"/>
                <w:szCs w:val="20"/>
                <w:color w:val="auto"/>
              </w:rPr>
            </w:pPr>
            <w:r>
              <w:rPr>
                <w:rFonts w:ascii="Arial" w:cs="Arial" w:eastAsia="Arial" w:hAnsi="Arial"/>
                <w:sz w:val="15"/>
                <w:szCs w:val="15"/>
                <w:color w:val="auto"/>
              </w:rPr>
              <w:t>$</w:t>
            </w:r>
          </w:p>
        </w:tc>
        <w:tc>
          <w:tcPr>
            <w:tcW w:w="520" w:type="dxa"/>
            <w:vAlign w:val="bottom"/>
          </w:tcPr>
          <w:p>
            <w:pPr>
              <w:jc w:val="right"/>
              <w:spacing w:after="0" w:line="164" w:lineRule="exact"/>
              <w:rPr>
                <w:sz w:val="20"/>
                <w:szCs w:val="20"/>
                <w:color w:val="auto"/>
              </w:rPr>
            </w:pPr>
            <w:r>
              <w:rPr>
                <w:rFonts w:ascii="Arial" w:cs="Arial" w:eastAsia="Arial" w:hAnsi="Arial"/>
                <w:sz w:val="15"/>
                <w:szCs w:val="15"/>
                <w:color w:val="auto"/>
              </w:rPr>
              <w:t>193.1</w:t>
            </w:r>
          </w:p>
        </w:tc>
        <w:tc>
          <w:tcPr>
            <w:tcW w:w="380" w:type="dxa"/>
            <w:vAlign w:val="bottom"/>
          </w:tcPr>
          <w:p>
            <w:pPr>
              <w:spacing w:after="0"/>
              <w:rPr>
                <w:sz w:val="14"/>
                <w:szCs w:val="14"/>
                <w:color w:val="auto"/>
              </w:rPr>
            </w:pPr>
          </w:p>
        </w:tc>
        <w:tc>
          <w:tcPr>
            <w:tcW w:w="120" w:type="dxa"/>
            <w:vAlign w:val="bottom"/>
            <w:gridSpan w:val="2"/>
          </w:tcPr>
          <w:p>
            <w:pPr>
              <w:ind w:left="40"/>
              <w:spacing w:after="0" w:line="164" w:lineRule="exact"/>
              <w:rPr>
                <w:sz w:val="20"/>
                <w:szCs w:val="20"/>
                <w:color w:val="auto"/>
              </w:rPr>
            </w:pPr>
            <w:r>
              <w:rPr>
                <w:rFonts w:ascii="Arial" w:cs="Arial" w:eastAsia="Arial" w:hAnsi="Arial"/>
                <w:sz w:val="15"/>
                <w:szCs w:val="15"/>
                <w:color w:val="auto"/>
                <w:w w:val="71"/>
              </w:rPr>
              <w:t>$</w:t>
            </w:r>
          </w:p>
        </w:tc>
        <w:tc>
          <w:tcPr>
            <w:tcW w:w="600" w:type="dxa"/>
            <w:vAlign w:val="bottom"/>
            <w:gridSpan w:val="2"/>
          </w:tcPr>
          <w:p>
            <w:pPr>
              <w:jc w:val="right"/>
              <w:ind w:right="160"/>
              <w:spacing w:after="0" w:line="164" w:lineRule="exact"/>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82"/>
        </w:trPr>
        <w:tc>
          <w:tcPr>
            <w:tcW w:w="6280" w:type="dxa"/>
            <w:vAlign w:val="bottom"/>
            <w:shd w:val="clear" w:color="auto" w:fill="CCEEFF"/>
          </w:tcPr>
          <w:p>
            <w:pPr>
              <w:spacing w:after="0"/>
              <w:rPr>
                <w:sz w:val="20"/>
                <w:szCs w:val="20"/>
                <w:color w:val="auto"/>
              </w:rPr>
            </w:pPr>
            <w:r>
              <w:rPr>
                <w:rFonts w:ascii="Arial" w:cs="Arial" w:eastAsia="Arial" w:hAnsi="Arial"/>
                <w:sz w:val="15"/>
                <w:szCs w:val="15"/>
                <w:color w:val="auto"/>
              </w:rPr>
              <w:t>Stockholders’ equity (deficit):</w:t>
            </w:r>
          </w:p>
        </w:tc>
        <w:tc>
          <w:tcPr>
            <w:tcW w:w="280" w:type="dxa"/>
            <w:vAlign w:val="bottom"/>
            <w:tcBorders>
              <w:right w:val="single" w:sz="8" w:color="CCEEFF"/>
            </w:tcBorders>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0"/>
        </w:trPr>
        <w:tc>
          <w:tcPr>
            <w:tcW w:w="6280" w:type="dxa"/>
            <w:vAlign w:val="bottom"/>
          </w:tcPr>
          <w:p>
            <w:pPr>
              <w:ind w:left="300"/>
              <w:spacing w:after="0" w:line="170" w:lineRule="exact"/>
              <w:rPr>
                <w:sz w:val="20"/>
                <w:szCs w:val="20"/>
                <w:color w:val="auto"/>
              </w:rPr>
            </w:pPr>
            <w:r>
              <w:rPr>
                <w:rFonts w:ascii="Arial" w:cs="Arial" w:eastAsia="Arial" w:hAnsi="Arial"/>
                <w:sz w:val="15"/>
                <w:szCs w:val="15"/>
                <w:color w:val="auto"/>
                <w:w w:val="98"/>
              </w:rPr>
              <w:t>Convertible preferred stock, par value $0.00001 per share: 151,212,292 shares authorized,</w:t>
            </w:r>
          </w:p>
        </w:tc>
        <w:tc>
          <w:tcPr>
            <w:tcW w:w="2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6280" w:type="dxa"/>
            <w:vAlign w:val="bottom"/>
          </w:tcPr>
          <w:p>
            <w:pPr>
              <w:ind w:left="440"/>
              <w:spacing w:after="0"/>
              <w:rPr>
                <w:sz w:val="20"/>
                <w:szCs w:val="20"/>
                <w:color w:val="auto"/>
              </w:rPr>
            </w:pPr>
            <w:r>
              <w:rPr>
                <w:rFonts w:ascii="Arial" w:cs="Arial" w:eastAsia="Arial" w:hAnsi="Arial"/>
                <w:sz w:val="15"/>
                <w:szCs w:val="15"/>
                <w:color w:val="auto"/>
                <w:w w:val="92"/>
              </w:rPr>
              <w:t>147,569,183 issued and outstanding, actual; no shares authorized, issued and outstanding, pro</w:t>
            </w:r>
          </w:p>
        </w:tc>
        <w:tc>
          <w:tcPr>
            <w:tcW w:w="2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6280" w:type="dxa"/>
            <w:vAlign w:val="bottom"/>
          </w:tcPr>
          <w:p>
            <w:pPr>
              <w:ind w:left="440"/>
              <w:spacing w:after="0"/>
              <w:rPr>
                <w:sz w:val="20"/>
                <w:szCs w:val="20"/>
                <w:color w:val="auto"/>
              </w:rPr>
            </w:pPr>
            <w:r>
              <w:rPr>
                <w:rFonts w:ascii="Arial" w:cs="Arial" w:eastAsia="Arial" w:hAnsi="Arial"/>
                <w:sz w:val="15"/>
                <w:szCs w:val="15"/>
                <w:color w:val="auto"/>
              </w:rPr>
              <w:t>forma, and pro forma as adjusted</w:t>
            </w:r>
          </w:p>
        </w:tc>
        <w:tc>
          <w:tcPr>
            <w:tcW w:w="28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Arial" w:cs="Arial" w:eastAsia="Arial" w:hAnsi="Arial"/>
                <w:sz w:val="15"/>
                <w:szCs w:val="15"/>
                <w:color w:val="auto"/>
              </w:rPr>
              <w:t>615.3</w:t>
            </w:r>
          </w:p>
        </w:tc>
        <w:tc>
          <w:tcPr>
            <w:tcW w:w="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gridSpan w:val="2"/>
          </w:tcPr>
          <w:p>
            <w:pPr>
              <w:jc w:val="right"/>
              <w:ind w:right="460"/>
              <w:spacing w:after="0"/>
              <w:rPr>
                <w:sz w:val="20"/>
                <w:szCs w:val="20"/>
                <w:color w:val="auto"/>
              </w:rPr>
            </w:pPr>
            <w:r>
              <w:rPr>
                <w:rFonts w:ascii="Arial" w:cs="Arial" w:eastAsia="Arial" w:hAnsi="Arial"/>
                <w:sz w:val="15"/>
                <w:szCs w:val="15"/>
                <w:color w:val="auto"/>
              </w:rPr>
              <w:t>—</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70"/>
        </w:trPr>
        <w:tc>
          <w:tcPr>
            <w:tcW w:w="6280" w:type="dxa"/>
            <w:vAlign w:val="bottom"/>
            <w:shd w:val="clear" w:color="auto" w:fill="CCEEFF"/>
          </w:tcPr>
          <w:p>
            <w:pPr>
              <w:ind w:left="300"/>
              <w:spacing w:after="0" w:line="171" w:lineRule="exact"/>
              <w:rPr>
                <w:sz w:val="20"/>
                <w:szCs w:val="20"/>
                <w:color w:val="auto"/>
              </w:rPr>
            </w:pPr>
            <w:r>
              <w:rPr>
                <w:rFonts w:ascii="Arial" w:cs="Arial" w:eastAsia="Arial" w:hAnsi="Arial"/>
                <w:sz w:val="15"/>
                <w:szCs w:val="15"/>
                <w:color w:val="auto"/>
                <w:w w:val="95"/>
              </w:rPr>
              <w:t>Preferred stock, par value $0.00001 per share: no shares authorized, issued and outstanding,</w:t>
            </w:r>
          </w:p>
        </w:tc>
        <w:tc>
          <w:tcPr>
            <w:tcW w:w="280" w:type="dxa"/>
            <w:vAlign w:val="bottom"/>
            <w:tcBorders>
              <w:right w:val="single" w:sz="8" w:color="CCEEFF"/>
            </w:tcBorders>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6280" w:type="dxa"/>
            <w:vAlign w:val="bottom"/>
            <w:shd w:val="clear" w:color="auto" w:fill="CCEEFF"/>
          </w:tcPr>
          <w:p>
            <w:pPr>
              <w:ind w:left="440"/>
              <w:spacing w:after="0"/>
              <w:rPr>
                <w:sz w:val="20"/>
                <w:szCs w:val="20"/>
                <w:color w:val="auto"/>
              </w:rPr>
            </w:pPr>
            <w:r>
              <w:rPr>
                <w:rFonts w:ascii="Arial" w:cs="Arial" w:eastAsia="Arial" w:hAnsi="Arial"/>
                <w:sz w:val="15"/>
                <w:szCs w:val="15"/>
                <w:color w:val="auto"/>
                <w:w w:val="93"/>
              </w:rPr>
              <w:t>actual; 240,000,000 shares authorized, no shares issued and outstanding, pro forma, and pro</w:t>
            </w:r>
          </w:p>
        </w:tc>
        <w:tc>
          <w:tcPr>
            <w:tcW w:w="280" w:type="dxa"/>
            <w:vAlign w:val="bottom"/>
            <w:tcBorders>
              <w:right w:val="single" w:sz="8" w:color="CCEEFF"/>
            </w:tcBorders>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6280" w:type="dxa"/>
            <w:vAlign w:val="bottom"/>
            <w:shd w:val="clear" w:color="auto" w:fill="CCEEFF"/>
          </w:tcPr>
          <w:p>
            <w:pPr>
              <w:ind w:left="440"/>
              <w:spacing w:after="0"/>
              <w:rPr>
                <w:sz w:val="20"/>
                <w:szCs w:val="20"/>
                <w:color w:val="auto"/>
              </w:rPr>
            </w:pPr>
            <w:r>
              <w:rPr>
                <w:rFonts w:ascii="Arial" w:cs="Arial" w:eastAsia="Arial" w:hAnsi="Arial"/>
                <w:sz w:val="15"/>
                <w:szCs w:val="15"/>
                <w:color w:val="auto"/>
              </w:rPr>
              <w:t>forma as adjusted</w:t>
            </w:r>
          </w:p>
        </w:tc>
        <w:tc>
          <w:tcPr>
            <w:tcW w:w="280" w:type="dxa"/>
            <w:vAlign w:val="bottom"/>
            <w:tcBorders>
              <w:right w:val="single" w:sz="8" w:color="CCEEFF"/>
            </w:tcBorders>
            <w:shd w:val="clear" w:color="auto" w:fill="CCEEFF"/>
          </w:tcPr>
          <w:p>
            <w:pPr>
              <w:spacing w:after="0"/>
              <w:rPr>
                <w:sz w:val="16"/>
                <w:szCs w:val="16"/>
                <w:color w:val="auto"/>
              </w:rPr>
            </w:pP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3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460"/>
              <w:spacing w:after="0"/>
              <w:rPr>
                <w:sz w:val="20"/>
                <w:szCs w:val="20"/>
                <w:color w:val="auto"/>
              </w:rPr>
            </w:pPr>
            <w:r>
              <w:rPr>
                <w:rFonts w:ascii="Arial" w:cs="Arial" w:eastAsia="Arial" w:hAnsi="Arial"/>
                <w:sz w:val="15"/>
                <w:szCs w:val="15"/>
                <w:color w:val="auto"/>
              </w:rPr>
              <w:t>—</w:t>
            </w: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70"/>
        </w:trPr>
        <w:tc>
          <w:tcPr>
            <w:tcW w:w="6280" w:type="dxa"/>
            <w:vAlign w:val="bottom"/>
          </w:tcPr>
          <w:p>
            <w:pPr>
              <w:ind w:left="300"/>
              <w:spacing w:after="0" w:line="170" w:lineRule="exact"/>
              <w:rPr>
                <w:sz w:val="20"/>
                <w:szCs w:val="20"/>
                <w:color w:val="auto"/>
              </w:rPr>
            </w:pPr>
            <w:r>
              <w:rPr>
                <w:rFonts w:ascii="Arial" w:cs="Arial" w:eastAsia="Arial" w:hAnsi="Arial"/>
                <w:sz w:val="15"/>
                <w:szCs w:val="15"/>
                <w:color w:val="auto"/>
                <w:w w:val="92"/>
              </w:rPr>
              <w:t>Class A common stock, par value $0.00001 per share: 533,333,333 shares authorized, 8,948,677</w:t>
            </w:r>
          </w:p>
        </w:tc>
        <w:tc>
          <w:tcPr>
            <w:tcW w:w="2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6280" w:type="dxa"/>
            <w:vAlign w:val="bottom"/>
          </w:tcPr>
          <w:p>
            <w:pPr>
              <w:ind w:left="440"/>
              <w:spacing w:after="0"/>
              <w:rPr>
                <w:sz w:val="20"/>
                <w:szCs w:val="20"/>
                <w:color w:val="auto"/>
              </w:rPr>
            </w:pPr>
            <w:r>
              <w:rPr>
                <w:rFonts w:ascii="Arial" w:cs="Arial" w:eastAsia="Arial" w:hAnsi="Arial"/>
                <w:sz w:val="15"/>
                <w:szCs w:val="15"/>
                <w:color w:val="auto"/>
                <w:w w:val="95"/>
              </w:rPr>
              <w:t>shares issued and outstanding, actual; 2,400,000,000 shares authorized, 11,817,248 shares</w:t>
            </w:r>
          </w:p>
        </w:tc>
        <w:tc>
          <w:tcPr>
            <w:tcW w:w="2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6280" w:type="dxa"/>
            <w:vAlign w:val="bottom"/>
          </w:tcPr>
          <w:p>
            <w:pPr>
              <w:ind w:left="440"/>
              <w:spacing w:after="0"/>
              <w:rPr>
                <w:sz w:val="20"/>
                <w:szCs w:val="20"/>
                <w:color w:val="auto"/>
              </w:rPr>
            </w:pPr>
            <w:r>
              <w:rPr>
                <w:rFonts w:ascii="Arial" w:cs="Arial" w:eastAsia="Arial" w:hAnsi="Arial"/>
                <w:sz w:val="15"/>
                <w:szCs w:val="15"/>
                <w:color w:val="auto"/>
                <w:w w:val="94"/>
              </w:rPr>
              <w:t>issued and outstanding, pro forma, and 2,400,000,000 shares authorized, 53,080,406 shares</w:t>
            </w:r>
          </w:p>
        </w:tc>
        <w:tc>
          <w:tcPr>
            <w:tcW w:w="2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6280" w:type="dxa"/>
            <w:vAlign w:val="bottom"/>
          </w:tcPr>
          <w:p>
            <w:pPr>
              <w:ind w:left="440"/>
              <w:spacing w:after="0"/>
              <w:rPr>
                <w:sz w:val="20"/>
                <w:szCs w:val="20"/>
                <w:color w:val="auto"/>
              </w:rPr>
            </w:pPr>
            <w:r>
              <w:rPr>
                <w:rFonts w:ascii="Arial" w:cs="Arial" w:eastAsia="Arial" w:hAnsi="Arial"/>
                <w:sz w:val="15"/>
                <w:szCs w:val="15"/>
                <w:color w:val="auto"/>
              </w:rPr>
              <w:t>issued and outstanding, pro forma as adjusted</w:t>
            </w:r>
          </w:p>
        </w:tc>
        <w:tc>
          <w:tcPr>
            <w:tcW w:w="280" w:type="dxa"/>
            <w:vAlign w:val="bottom"/>
          </w:tcPr>
          <w:p>
            <w:pPr>
              <w:spacing w:after="0"/>
              <w:rPr>
                <w:sz w:val="16"/>
                <w:szCs w:val="16"/>
                <w:color w:val="auto"/>
              </w:rPr>
            </w:pPr>
          </w:p>
        </w:tc>
        <w:tc>
          <w:tcPr>
            <w:tcW w:w="58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gridSpan w:val="2"/>
          </w:tcPr>
          <w:p>
            <w:pPr>
              <w:jc w:val="right"/>
              <w:ind w:right="460"/>
              <w:spacing w:after="0"/>
              <w:rPr>
                <w:sz w:val="20"/>
                <w:szCs w:val="20"/>
                <w:color w:val="auto"/>
              </w:rPr>
            </w:pPr>
            <w:r>
              <w:rPr>
                <w:rFonts w:ascii="Arial" w:cs="Arial" w:eastAsia="Arial" w:hAnsi="Arial"/>
                <w:sz w:val="15"/>
                <w:szCs w:val="15"/>
                <w:color w:val="auto"/>
              </w:rPr>
              <w:t>—</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70"/>
        </w:trPr>
        <w:tc>
          <w:tcPr>
            <w:tcW w:w="6280" w:type="dxa"/>
            <w:vAlign w:val="bottom"/>
            <w:shd w:val="clear" w:color="auto" w:fill="CCEEFF"/>
          </w:tcPr>
          <w:p>
            <w:pPr>
              <w:ind w:left="300"/>
              <w:spacing w:after="0" w:line="171" w:lineRule="exact"/>
              <w:rPr>
                <w:sz w:val="20"/>
                <w:szCs w:val="20"/>
                <w:color w:val="auto"/>
              </w:rPr>
            </w:pPr>
            <w:r>
              <w:rPr>
                <w:rFonts w:ascii="Arial" w:cs="Arial" w:eastAsia="Arial" w:hAnsi="Arial"/>
                <w:sz w:val="15"/>
                <w:szCs w:val="15"/>
                <w:color w:val="auto"/>
              </w:rPr>
              <w:t>Class B common stock, par value $0.00001 per share: 466,666,666 shares authorized,</w:t>
            </w:r>
          </w:p>
        </w:tc>
        <w:tc>
          <w:tcPr>
            <w:tcW w:w="280" w:type="dxa"/>
            <w:vAlign w:val="bottom"/>
            <w:tcBorders>
              <w:right w:val="single" w:sz="8" w:color="CCEEFF"/>
            </w:tcBorders>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6280" w:type="dxa"/>
            <w:vAlign w:val="bottom"/>
            <w:shd w:val="clear" w:color="auto" w:fill="CCEEFF"/>
          </w:tcPr>
          <w:p>
            <w:pPr>
              <w:ind w:left="440"/>
              <w:spacing w:after="0"/>
              <w:rPr>
                <w:sz w:val="20"/>
                <w:szCs w:val="20"/>
                <w:color w:val="auto"/>
              </w:rPr>
            </w:pPr>
            <w:r>
              <w:rPr>
                <w:rFonts w:ascii="Arial" w:cs="Arial" w:eastAsia="Arial" w:hAnsi="Arial"/>
                <w:sz w:val="15"/>
                <w:szCs w:val="15"/>
                <w:color w:val="auto"/>
              </w:rPr>
              <w:t>187,903,583 shares issued and outstanding, actual; 475,000,000 shares authorized,</w:t>
            </w:r>
          </w:p>
        </w:tc>
        <w:tc>
          <w:tcPr>
            <w:tcW w:w="280" w:type="dxa"/>
            <w:vAlign w:val="bottom"/>
            <w:tcBorders>
              <w:right w:val="single" w:sz="8" w:color="CCEEFF"/>
            </w:tcBorders>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6280" w:type="dxa"/>
            <w:vAlign w:val="bottom"/>
            <w:shd w:val="clear" w:color="auto" w:fill="CCEEFF"/>
          </w:tcPr>
          <w:p>
            <w:pPr>
              <w:ind w:left="440"/>
              <w:spacing w:after="0"/>
              <w:rPr>
                <w:sz w:val="20"/>
                <w:szCs w:val="20"/>
                <w:color w:val="auto"/>
              </w:rPr>
            </w:pPr>
            <w:r>
              <w:rPr>
                <w:rFonts w:ascii="Arial" w:cs="Arial" w:eastAsia="Arial" w:hAnsi="Arial"/>
                <w:sz w:val="15"/>
                <w:szCs w:val="15"/>
                <w:color w:val="auto"/>
                <w:w w:val="95"/>
              </w:rPr>
              <w:t>348,501,449 shares issued and outstanding, pro forma, and 475,000,000 shares authorized,</w:t>
            </w:r>
          </w:p>
        </w:tc>
        <w:tc>
          <w:tcPr>
            <w:tcW w:w="280" w:type="dxa"/>
            <w:vAlign w:val="bottom"/>
            <w:tcBorders>
              <w:right w:val="single" w:sz="8" w:color="CCEEFF"/>
            </w:tcBorders>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6280" w:type="dxa"/>
            <w:vAlign w:val="bottom"/>
            <w:shd w:val="clear" w:color="auto" w:fill="CCEEFF"/>
          </w:tcPr>
          <w:p>
            <w:pPr>
              <w:ind w:left="440"/>
              <w:spacing w:after="0"/>
              <w:rPr>
                <w:sz w:val="20"/>
                <w:szCs w:val="20"/>
                <w:color w:val="auto"/>
              </w:rPr>
            </w:pPr>
            <w:r>
              <w:rPr>
                <w:rFonts w:ascii="Arial" w:cs="Arial" w:eastAsia="Arial" w:hAnsi="Arial"/>
                <w:sz w:val="15"/>
                <w:szCs w:val="15"/>
                <w:color w:val="auto"/>
              </w:rPr>
              <w:t>339,323,858 shares issued and outstanding, pro forma as adjusted</w:t>
            </w:r>
          </w:p>
        </w:tc>
        <w:tc>
          <w:tcPr>
            <w:tcW w:w="280" w:type="dxa"/>
            <w:vAlign w:val="bottom"/>
            <w:tcBorders>
              <w:right w:val="single" w:sz="8" w:color="CCEEFF"/>
            </w:tcBorders>
            <w:shd w:val="clear" w:color="auto" w:fill="CCEEFF"/>
          </w:tcPr>
          <w:p>
            <w:pPr>
              <w:spacing w:after="0"/>
              <w:rPr>
                <w:sz w:val="16"/>
                <w:szCs w:val="16"/>
                <w:color w:val="auto"/>
              </w:rPr>
            </w:pP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3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460"/>
              <w:spacing w:after="0"/>
              <w:rPr>
                <w:sz w:val="20"/>
                <w:szCs w:val="20"/>
                <w:color w:val="auto"/>
              </w:rPr>
            </w:pPr>
            <w:r>
              <w:rPr>
                <w:rFonts w:ascii="Arial" w:cs="Arial" w:eastAsia="Arial" w:hAnsi="Arial"/>
                <w:sz w:val="15"/>
                <w:szCs w:val="15"/>
                <w:color w:val="auto"/>
              </w:rPr>
              <w:t>—</w:t>
            </w: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70"/>
        </w:trPr>
        <w:tc>
          <w:tcPr>
            <w:tcW w:w="6280" w:type="dxa"/>
            <w:vAlign w:val="bottom"/>
          </w:tcPr>
          <w:p>
            <w:pPr>
              <w:ind w:left="300"/>
              <w:spacing w:after="0" w:line="170" w:lineRule="exact"/>
              <w:rPr>
                <w:sz w:val="20"/>
                <w:szCs w:val="20"/>
                <w:color w:val="auto"/>
              </w:rPr>
            </w:pPr>
            <w:r>
              <w:rPr>
                <w:rFonts w:ascii="Arial" w:cs="Arial" w:eastAsia="Arial" w:hAnsi="Arial"/>
                <w:sz w:val="15"/>
                <w:szCs w:val="15"/>
                <w:color w:val="auto"/>
              </w:rPr>
              <w:t>Class C common stock, par value $0.00001 per share: no shares authorized, issued and</w:t>
            </w:r>
          </w:p>
        </w:tc>
        <w:tc>
          <w:tcPr>
            <w:tcW w:w="2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6280" w:type="dxa"/>
            <w:vAlign w:val="bottom"/>
          </w:tcPr>
          <w:p>
            <w:pPr>
              <w:ind w:left="440"/>
              <w:spacing w:after="0"/>
              <w:rPr>
                <w:sz w:val="20"/>
                <w:szCs w:val="20"/>
                <w:color w:val="auto"/>
              </w:rPr>
            </w:pPr>
            <w:r>
              <w:rPr>
                <w:rFonts w:ascii="Arial" w:cs="Arial" w:eastAsia="Arial" w:hAnsi="Arial"/>
                <w:sz w:val="15"/>
                <w:szCs w:val="15"/>
                <w:color w:val="auto"/>
                <w:w w:val="96"/>
              </w:rPr>
              <w:t>outstanding, actual; 800,000,000 shares authorized, no shares issued and outstanding, pro</w:t>
            </w:r>
          </w:p>
        </w:tc>
        <w:tc>
          <w:tcPr>
            <w:tcW w:w="2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6280" w:type="dxa"/>
            <w:vAlign w:val="bottom"/>
          </w:tcPr>
          <w:p>
            <w:pPr>
              <w:ind w:left="440"/>
              <w:spacing w:after="0"/>
              <w:rPr>
                <w:sz w:val="20"/>
                <w:szCs w:val="20"/>
                <w:color w:val="auto"/>
              </w:rPr>
            </w:pPr>
            <w:r>
              <w:rPr>
                <w:rFonts w:ascii="Arial" w:cs="Arial" w:eastAsia="Arial" w:hAnsi="Arial"/>
                <w:sz w:val="15"/>
                <w:szCs w:val="15"/>
                <w:color w:val="auto"/>
                <w:w w:val="95"/>
              </w:rPr>
              <w:t>forma, and 800,000,000 shares authorized, no shares issued and outstanding, pro forma as</w:t>
            </w:r>
          </w:p>
        </w:tc>
        <w:tc>
          <w:tcPr>
            <w:tcW w:w="2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6280" w:type="dxa"/>
            <w:vAlign w:val="bottom"/>
          </w:tcPr>
          <w:p>
            <w:pPr>
              <w:ind w:left="440"/>
              <w:spacing w:after="0"/>
              <w:rPr>
                <w:sz w:val="20"/>
                <w:szCs w:val="20"/>
                <w:color w:val="auto"/>
              </w:rPr>
            </w:pPr>
            <w:r>
              <w:rPr>
                <w:rFonts w:ascii="Arial" w:cs="Arial" w:eastAsia="Arial" w:hAnsi="Arial"/>
                <w:sz w:val="15"/>
                <w:szCs w:val="15"/>
                <w:color w:val="auto"/>
              </w:rPr>
              <w:t>adjusted</w:t>
            </w:r>
          </w:p>
        </w:tc>
        <w:tc>
          <w:tcPr>
            <w:tcW w:w="280" w:type="dxa"/>
            <w:vAlign w:val="bottom"/>
          </w:tcPr>
          <w:p>
            <w:pPr>
              <w:spacing w:after="0"/>
              <w:rPr>
                <w:sz w:val="16"/>
                <w:szCs w:val="16"/>
                <w:color w:val="auto"/>
              </w:rPr>
            </w:pPr>
          </w:p>
        </w:tc>
        <w:tc>
          <w:tcPr>
            <w:tcW w:w="58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gridSpan w:val="2"/>
          </w:tcPr>
          <w:p>
            <w:pPr>
              <w:jc w:val="right"/>
              <w:ind w:right="460"/>
              <w:spacing w:after="0"/>
              <w:rPr>
                <w:sz w:val="20"/>
                <w:szCs w:val="20"/>
                <w:color w:val="auto"/>
              </w:rPr>
            </w:pPr>
            <w:r>
              <w:rPr>
                <w:rFonts w:ascii="Arial" w:cs="Arial" w:eastAsia="Arial" w:hAnsi="Arial"/>
                <w:sz w:val="15"/>
                <w:szCs w:val="15"/>
                <w:color w:val="auto"/>
              </w:rPr>
              <w:t>—</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82"/>
        </w:trPr>
        <w:tc>
          <w:tcPr>
            <w:tcW w:w="6280" w:type="dxa"/>
            <w:vAlign w:val="bottom"/>
            <w:shd w:val="clear" w:color="auto" w:fill="CCEEFF"/>
          </w:tcPr>
          <w:p>
            <w:pPr>
              <w:spacing w:after="0"/>
              <w:rPr>
                <w:sz w:val="20"/>
                <w:szCs w:val="20"/>
                <w:color w:val="auto"/>
              </w:rPr>
            </w:pPr>
            <w:r>
              <w:rPr>
                <w:rFonts w:ascii="Arial" w:cs="Arial" w:eastAsia="Arial" w:hAnsi="Arial"/>
                <w:sz w:val="15"/>
                <w:szCs w:val="15"/>
                <w:color w:val="auto"/>
              </w:rPr>
              <w:t>Additional paid-in capital</w:t>
            </w:r>
          </w:p>
        </w:tc>
        <w:tc>
          <w:tcPr>
            <w:tcW w:w="280" w:type="dxa"/>
            <w:vAlign w:val="bottom"/>
            <w:tcBorders>
              <w:right w:val="single" w:sz="8" w:color="CCEEFF"/>
            </w:tcBorders>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533.1</w:t>
            </w:r>
          </w:p>
        </w:tc>
        <w:tc>
          <w:tcPr>
            <w:tcW w:w="6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9"/>
              </w:rPr>
              <w:t>1,370.9</w:t>
            </w:r>
          </w:p>
        </w:tc>
        <w:tc>
          <w:tcPr>
            <w:tcW w:w="3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1,950.8</w:t>
            </w: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6280" w:type="dxa"/>
            <w:vAlign w:val="bottom"/>
          </w:tcPr>
          <w:p>
            <w:pPr>
              <w:spacing w:after="0"/>
              <w:rPr>
                <w:sz w:val="20"/>
                <w:szCs w:val="20"/>
                <w:color w:val="auto"/>
              </w:rPr>
            </w:pPr>
            <w:r>
              <w:rPr>
                <w:rFonts w:ascii="Arial" w:cs="Arial" w:eastAsia="Arial" w:hAnsi="Arial"/>
                <w:sz w:val="15"/>
                <w:szCs w:val="15"/>
                <w:color w:val="auto"/>
              </w:rPr>
              <w:t>Accumulated deficit</w:t>
            </w:r>
          </w:p>
        </w:tc>
        <w:tc>
          <w:tcPr>
            <w:tcW w:w="280" w:type="dxa"/>
            <w:vAlign w:val="bottom"/>
          </w:tcPr>
          <w:p>
            <w:pPr>
              <w:spacing w:after="0"/>
              <w:rPr>
                <w:sz w:val="15"/>
                <w:szCs w:val="15"/>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5"/>
                <w:szCs w:val="15"/>
                <w:color w:val="auto"/>
                <w:w w:val="89"/>
              </w:rPr>
              <w:t>(1,049.7)</w:t>
            </w:r>
          </w:p>
        </w:tc>
        <w:tc>
          <w:tcPr>
            <w:tcW w:w="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00" w:type="dxa"/>
            <w:vAlign w:val="bottom"/>
            <w:gridSpan w:val="2"/>
          </w:tcPr>
          <w:p>
            <w:pPr>
              <w:jc w:val="right"/>
              <w:ind w:right="340"/>
              <w:spacing w:after="0"/>
              <w:rPr>
                <w:sz w:val="20"/>
                <w:szCs w:val="20"/>
                <w:color w:val="auto"/>
              </w:rPr>
            </w:pPr>
            <w:r>
              <w:rPr>
                <w:rFonts w:ascii="Arial" w:cs="Arial" w:eastAsia="Arial" w:hAnsi="Arial"/>
                <w:sz w:val="15"/>
                <w:szCs w:val="15"/>
                <w:color w:val="auto"/>
                <w:w w:val="89"/>
              </w:rPr>
              <w:t>(1,465.3)</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5"/>
                <w:szCs w:val="15"/>
                <w:color w:val="auto"/>
                <w:w w:val="89"/>
              </w:rPr>
              <w:t>(1,465.5)</w:t>
            </w:r>
          </w:p>
        </w:tc>
        <w:tc>
          <w:tcPr>
            <w:tcW w:w="0" w:type="dxa"/>
            <w:vAlign w:val="bottom"/>
          </w:tcPr>
          <w:p>
            <w:pPr>
              <w:spacing w:after="0"/>
              <w:rPr>
                <w:sz w:val="1"/>
                <w:szCs w:val="1"/>
                <w:color w:val="auto"/>
              </w:rPr>
            </w:pPr>
          </w:p>
        </w:tc>
      </w:tr>
      <w:tr>
        <w:trPr>
          <w:trHeight w:val="180"/>
        </w:trPr>
        <w:tc>
          <w:tcPr>
            <w:tcW w:w="6280" w:type="dxa"/>
            <w:vAlign w:val="bottom"/>
            <w:shd w:val="clear" w:color="auto" w:fill="CCEEFF"/>
          </w:tcPr>
          <w:p>
            <w:pPr>
              <w:spacing w:after="0"/>
              <w:rPr>
                <w:sz w:val="20"/>
                <w:szCs w:val="20"/>
                <w:color w:val="auto"/>
              </w:rPr>
            </w:pPr>
            <w:r>
              <w:rPr>
                <w:rFonts w:ascii="Arial" w:cs="Arial" w:eastAsia="Arial" w:hAnsi="Arial"/>
                <w:sz w:val="15"/>
                <w:szCs w:val="15"/>
                <w:color w:val="auto"/>
              </w:rPr>
              <w:t>Accumulated other comprehensive income</w:t>
            </w:r>
          </w:p>
        </w:tc>
        <w:tc>
          <w:tcPr>
            <w:tcW w:w="280" w:type="dxa"/>
            <w:vAlign w:val="bottom"/>
            <w:tcBorders>
              <w:right w:val="single" w:sz="8" w:color="CCEEFF"/>
            </w:tcBorders>
            <w:shd w:val="clear" w:color="auto" w:fill="CCEEFF"/>
          </w:tcPr>
          <w:p>
            <w:pPr>
              <w:spacing w:after="0"/>
              <w:rPr>
                <w:sz w:val="15"/>
                <w:szCs w:val="15"/>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4.2</w:t>
            </w:r>
          </w:p>
        </w:tc>
        <w:tc>
          <w:tcPr>
            <w:tcW w:w="6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4.2</w:t>
            </w:r>
          </w:p>
        </w:tc>
        <w:tc>
          <w:tcPr>
            <w:tcW w:w="3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4.2</w:t>
            </w: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6280" w:type="dxa"/>
            <w:vAlign w:val="bottom"/>
          </w:tcPr>
          <w:p>
            <w:pPr>
              <w:ind w:left="300"/>
              <w:spacing w:after="0"/>
              <w:rPr>
                <w:sz w:val="20"/>
                <w:szCs w:val="20"/>
                <w:color w:val="auto"/>
              </w:rPr>
            </w:pPr>
            <w:r>
              <w:rPr>
                <w:rFonts w:ascii="Arial" w:cs="Arial" w:eastAsia="Arial" w:hAnsi="Arial"/>
                <w:sz w:val="15"/>
                <w:szCs w:val="15"/>
                <w:color w:val="auto"/>
              </w:rPr>
              <w:t>Total stockholders’ equity (deficit)</w:t>
            </w:r>
          </w:p>
        </w:tc>
        <w:tc>
          <w:tcPr>
            <w:tcW w:w="28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5"/>
                <w:szCs w:val="15"/>
                <w:color w:val="auto"/>
              </w:rPr>
              <w:t>102.9</w:t>
            </w:r>
          </w:p>
        </w:tc>
        <w:tc>
          <w:tcPr>
            <w:tcW w:w="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00" w:type="dxa"/>
            <w:vAlign w:val="bottom"/>
            <w:gridSpan w:val="2"/>
          </w:tcPr>
          <w:p>
            <w:pPr>
              <w:jc w:val="right"/>
              <w:ind w:right="340"/>
              <w:spacing w:after="0"/>
              <w:rPr>
                <w:sz w:val="20"/>
                <w:szCs w:val="20"/>
                <w:color w:val="auto"/>
              </w:rPr>
            </w:pPr>
            <w:r>
              <w:rPr>
                <w:rFonts w:ascii="Arial" w:cs="Arial" w:eastAsia="Arial" w:hAnsi="Arial"/>
                <w:sz w:val="15"/>
                <w:szCs w:val="15"/>
                <w:color w:val="auto"/>
              </w:rPr>
              <w:t>(90.2)</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5"/>
                <w:szCs w:val="15"/>
                <w:color w:val="auto"/>
              </w:rPr>
              <w:t>489.5</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
        </w:trPr>
        <w:tc>
          <w:tcPr>
            <w:tcW w:w="6280" w:type="dxa"/>
            <w:vAlign w:val="bottom"/>
          </w:tcPr>
          <w:p>
            <w:pPr>
              <w:spacing w:after="0"/>
              <w:rPr>
                <w:sz w:val="2"/>
                <w:szCs w:val="2"/>
                <w:color w:val="auto"/>
              </w:rPr>
            </w:pPr>
          </w:p>
        </w:tc>
        <w:tc>
          <w:tcPr>
            <w:tcW w:w="280" w:type="dxa"/>
            <w:vAlign w:val="bottom"/>
            <w:tcBorders>
              <w:right w:val="single" w:sz="8" w:color="auto"/>
            </w:tcBorders>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0"/>
        </w:trPr>
        <w:tc>
          <w:tcPr>
            <w:tcW w:w="6280" w:type="dxa"/>
            <w:vAlign w:val="bottom"/>
            <w:shd w:val="clear" w:color="auto" w:fill="CCEEFF"/>
          </w:tcPr>
          <w:p>
            <w:pPr>
              <w:ind w:left="600"/>
              <w:spacing w:after="0"/>
              <w:rPr>
                <w:sz w:val="20"/>
                <w:szCs w:val="20"/>
                <w:color w:val="auto"/>
              </w:rPr>
            </w:pPr>
            <w:r>
              <w:rPr>
                <w:rFonts w:ascii="Arial" w:cs="Arial" w:eastAsia="Arial" w:hAnsi="Arial"/>
                <w:sz w:val="15"/>
                <w:szCs w:val="15"/>
                <w:color w:val="auto"/>
              </w:rPr>
              <w:t>Total capitalization</w:t>
            </w:r>
          </w:p>
        </w:tc>
        <w:tc>
          <w:tcPr>
            <w:tcW w:w="2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102.9</w:t>
            </w:r>
          </w:p>
        </w:tc>
        <w:tc>
          <w:tcPr>
            <w:tcW w:w="60" w:type="dxa"/>
            <w:vAlign w:val="bottom"/>
            <w:shd w:val="clear" w:color="auto" w:fill="CCEEFF"/>
          </w:tcPr>
          <w:p>
            <w:pPr>
              <w:spacing w:after="0"/>
              <w:rPr>
                <w:sz w:val="15"/>
                <w:szCs w:val="15"/>
                <w:color w:val="auto"/>
              </w:rPr>
            </w:pP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102.9</w:t>
            </w:r>
          </w:p>
        </w:tc>
        <w:tc>
          <w:tcPr>
            <w:tcW w:w="380" w:type="dxa"/>
            <w:vAlign w:val="bottom"/>
            <w:shd w:val="clear" w:color="auto" w:fill="CCEEFF"/>
          </w:tcPr>
          <w:p>
            <w:pPr>
              <w:spacing w:after="0"/>
              <w:rPr>
                <w:sz w:val="15"/>
                <w:szCs w:val="15"/>
                <w:color w:val="auto"/>
              </w:rPr>
            </w:pPr>
          </w:p>
        </w:tc>
        <w:tc>
          <w:tcPr>
            <w:tcW w:w="120" w:type="dxa"/>
            <w:vAlign w:val="bottom"/>
            <w:gridSpan w:val="2"/>
            <w:shd w:val="clear" w:color="auto" w:fill="CCEEFF"/>
          </w:tcPr>
          <w:p>
            <w:pPr>
              <w:ind w:left="40"/>
              <w:spacing w:after="0"/>
              <w:rPr>
                <w:sz w:val="20"/>
                <w:szCs w:val="20"/>
                <w:color w:val="auto"/>
              </w:rPr>
            </w:pPr>
            <w:r>
              <w:rPr>
                <w:rFonts w:ascii="Arial" w:cs="Arial" w:eastAsia="Arial" w:hAnsi="Arial"/>
                <w:sz w:val="15"/>
                <w:szCs w:val="15"/>
                <w:color w:val="auto"/>
                <w:w w:val="71"/>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489.5</w:t>
            </w: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6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709930</wp:posOffset>
            </wp:positionH>
            <wp:positionV relativeFrom="paragraph">
              <wp:posOffset>78740</wp:posOffset>
            </wp:positionV>
            <wp:extent cx="580390" cy="698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580390" cy="6985"/>
                    </a:xfrm>
                    <a:prstGeom prst="rect">
                      <a:avLst/>
                    </a:prstGeom>
                    <a:noFill/>
                  </pic:spPr>
                </pic:pic>
              </a:graphicData>
            </a:graphic>
          </wp:anchor>
        </w:drawing>
      </w:r>
    </w:p>
    <w:p>
      <w:pPr>
        <w:spacing w:after="0" w:line="141" w:lineRule="exact"/>
        <w:rPr>
          <w:sz w:val="20"/>
          <w:szCs w:val="20"/>
          <w:color w:val="auto"/>
        </w:rPr>
      </w:pPr>
    </w:p>
    <w:p>
      <w:pPr>
        <w:jc w:val="both"/>
        <w:ind w:left="1380" w:right="280" w:hanging="268"/>
        <w:spacing w:after="0" w:line="209" w:lineRule="auto"/>
        <w:tabs>
          <w:tab w:leader="none" w:pos="1380" w:val="left"/>
        </w:tabs>
        <w:numPr>
          <w:ilvl w:val="0"/>
          <w:numId w:val="31"/>
        </w:numPr>
        <w:rPr>
          <w:rFonts w:ascii="Arial" w:cs="Arial" w:eastAsia="Arial" w:hAnsi="Arial"/>
          <w:sz w:val="23"/>
          <w:szCs w:val="23"/>
          <w:color w:val="auto"/>
          <w:vertAlign w:val="superscript"/>
        </w:rPr>
      </w:pPr>
      <w:r>
        <w:rPr>
          <w:rFonts w:ascii="Arial" w:cs="Arial" w:eastAsia="Arial" w:hAnsi="Arial"/>
          <w:sz w:val="14"/>
          <w:szCs w:val="14"/>
          <w:color w:val="auto"/>
        </w:rPr>
        <w:t>The pro forma data as of December 31, 2017, gives effect to stock-based compensation expense of $415.6 million associated with the RSU Settlement. The pro forma adjustment related to stock-based compensation expense of $415.6 million has been reflected as an increase to additional paid-in capital and accumulated deficit.</w:t>
      </w:r>
    </w:p>
    <w:p>
      <w:pPr>
        <w:ind w:left="1380" w:right="60" w:hanging="268"/>
        <w:spacing w:after="0" w:line="259" w:lineRule="auto"/>
        <w:tabs>
          <w:tab w:leader="none" w:pos="1380" w:val="left"/>
        </w:tabs>
        <w:numPr>
          <w:ilvl w:val="0"/>
          <w:numId w:val="31"/>
        </w:numPr>
        <w:rPr>
          <w:rFonts w:ascii="Arial" w:cs="Arial" w:eastAsia="Arial" w:hAnsi="Arial"/>
          <w:sz w:val="20"/>
          <w:szCs w:val="20"/>
          <w:color w:val="auto"/>
          <w:vertAlign w:val="superscript"/>
        </w:rPr>
      </w:pPr>
      <w:r>
        <w:rPr>
          <w:rFonts w:ascii="Arial" w:cs="Arial" w:eastAsia="Arial" w:hAnsi="Arial"/>
          <w:sz w:val="12"/>
          <w:szCs w:val="12"/>
          <w:color w:val="auto"/>
        </w:rPr>
        <w:t>Each $1.00 increase or decrease in the assumed initial public offering price of $19.00 per share, which is the midpoint of the estimated offering price range set forth on the cover page of this prospectus, would increase or decrease, as applicable, (i) the amount of our pro forma as adjusted cash and cash equivalents, additional paid-in capital, total stockholders’ equity, and total capitalization by approximately $25.6 million, assuming that the number of shares offered by us, as set forth on the cover page of this prospectus, remains the same and after deducting estimated underwriting discounts and commissions payable by us, (ii) the amount we would be required to draw down under our revolving credit facility to satisfy our tax withholding and remittance obligations related to the RSU Settlement by</w:t>
      </w:r>
    </w:p>
    <w:p>
      <w:pPr>
        <w:spacing w:after="0" w:line="2" w:lineRule="exact"/>
        <w:rPr>
          <w:rFonts w:ascii="Arial" w:cs="Arial" w:eastAsia="Arial" w:hAnsi="Arial"/>
          <w:sz w:val="20"/>
          <w:szCs w:val="20"/>
          <w:color w:val="auto"/>
          <w:vertAlign w:val="superscript"/>
        </w:rPr>
      </w:pPr>
    </w:p>
    <w:p>
      <w:pPr>
        <w:ind w:left="1380"/>
        <w:spacing w:after="0"/>
        <w:rPr>
          <w:rFonts w:ascii="Arial" w:cs="Arial" w:eastAsia="Arial" w:hAnsi="Arial"/>
          <w:sz w:val="20"/>
          <w:szCs w:val="20"/>
          <w:color w:val="auto"/>
          <w:vertAlign w:val="superscript"/>
        </w:rPr>
      </w:pPr>
      <w:r>
        <w:rPr>
          <w:rFonts w:ascii="Arial" w:cs="Arial" w:eastAsia="Arial" w:hAnsi="Arial"/>
          <w:sz w:val="14"/>
          <w:szCs w:val="14"/>
          <w:color w:val="auto"/>
        </w:rPr>
        <w:t>$10.2 million, and</w:t>
      </w:r>
    </w:p>
    <w:p>
      <w:pPr>
        <w:spacing w:after="0" w:line="127" w:lineRule="exact"/>
        <w:rPr>
          <w:sz w:val="20"/>
          <w:szCs w:val="20"/>
          <w:color w:val="auto"/>
        </w:rPr>
      </w:pPr>
    </w:p>
    <w:p>
      <w:pPr>
        <w:ind w:left="5640"/>
        <w:spacing w:after="0"/>
        <w:rPr>
          <w:sz w:val="20"/>
          <w:szCs w:val="20"/>
          <w:color w:val="auto"/>
        </w:rPr>
      </w:pPr>
      <w:r>
        <w:rPr>
          <w:rFonts w:ascii="Arial" w:cs="Arial" w:eastAsia="Arial" w:hAnsi="Arial"/>
          <w:sz w:val="15"/>
          <w:szCs w:val="15"/>
          <w:color w:val="auto"/>
        </w:rPr>
        <w:t>52</w:t>
      </w:r>
    </w:p>
    <w:p>
      <w:pPr>
        <w:sectPr>
          <w:pgSz w:w="11900" w:h="16838" w:orient="portrait"/>
          <w:cols w:equalWidth="0" w:num="1">
            <w:col w:w="10320"/>
          </w:cols>
          <w:pgMar w:left="240" w:top="407" w:right="1339" w:bottom="1440" w:gutter="0" w:footer="0" w:header="0"/>
        </w:sectPr>
      </w:pPr>
    </w:p>
    <w:bookmarkStart w:id="59" w:name="page60"/>
    <w:bookmarkEnd w:id="59"/>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133350</wp:posOffset>
            </wp:positionH>
            <wp:positionV relativeFrom="page">
              <wp:posOffset>88900</wp:posOffset>
            </wp:positionV>
            <wp:extent cx="7308850" cy="342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308850" cy="34290"/>
                    </a:xfrm>
                    <a:prstGeom prst="rect">
                      <a:avLst/>
                    </a:prstGeom>
                    <a:noFill/>
                  </pic:spPr>
                </pic:pic>
              </a:graphicData>
            </a:graphic>
          </wp:anchor>
        </w:drawing>
      </w:r>
      <w:hyperlink w:anchor="page7">
        <w:r>
          <w:rPr>
            <w:rFonts w:ascii="Arial" w:cs="Arial" w:eastAsia="Arial" w:hAnsi="Arial"/>
            <w:sz w:val="15"/>
            <w:szCs w:val="15"/>
            <w:b w:val="1"/>
            <w:bCs w:val="1"/>
            <w:u w:val="single" w:color="auto"/>
            <w:color w:val="0000EE"/>
          </w:rPr>
          <w:t>Table of Contents</w:t>
        </w:r>
      </w:hyperlink>
    </w:p>
    <w:p>
      <w:pPr>
        <w:spacing w:after="0" w:line="262" w:lineRule="exact"/>
        <w:rPr>
          <w:sz w:val="20"/>
          <w:szCs w:val="20"/>
          <w:color w:val="auto"/>
        </w:rPr>
      </w:pPr>
    </w:p>
    <w:p>
      <w:pPr>
        <w:jc w:val="both"/>
        <w:ind w:left="1380" w:right="40" w:firstLine="3"/>
        <w:spacing w:after="0" w:line="314" w:lineRule="auto"/>
        <w:tabs>
          <w:tab w:leader="none" w:pos="1617" w:val="left"/>
        </w:tabs>
        <w:numPr>
          <w:ilvl w:val="0"/>
          <w:numId w:val="32"/>
        </w:numPr>
        <w:rPr>
          <w:rFonts w:ascii="Arial" w:cs="Arial" w:eastAsia="Arial" w:hAnsi="Arial"/>
          <w:sz w:val="12"/>
          <w:szCs w:val="12"/>
          <w:color w:val="auto"/>
        </w:rPr>
      </w:pPr>
      <w:r>
        <w:rPr>
          <w:rFonts w:ascii="Arial" w:cs="Arial" w:eastAsia="Arial" w:hAnsi="Arial"/>
          <w:sz w:val="12"/>
          <w:szCs w:val="12"/>
          <w:color w:val="auto"/>
        </w:rPr>
        <w:t>the amount we would be required to pay to satisfy our tax withholding and remittance obligations related to the RSU Settlement by $10.2 million. An increase or decrease of 1.0 million shares in the number of shares offered by us would increase or decrease, as applicable, the amount of our pro forma as adjusted cash, and cash equivalents, additional paid-in capital, total stockholders’ equity, and total capitalization by approximately $18.2 million, assuming the assumed initial public offering price remains the same, and after deducting estimated underwriting discounts and commissions payable by us.</w:t>
      </w:r>
    </w:p>
    <w:p>
      <w:pPr>
        <w:spacing w:after="0" w:line="133" w:lineRule="exact"/>
        <w:rPr>
          <w:sz w:val="20"/>
          <w:szCs w:val="20"/>
          <w:color w:val="auto"/>
        </w:rPr>
      </w:pPr>
    </w:p>
    <w:p>
      <w:pPr>
        <w:jc w:val="both"/>
        <w:ind w:left="1120" w:right="40" w:firstLine="368"/>
        <w:spacing w:after="0" w:line="290" w:lineRule="auto"/>
        <w:rPr>
          <w:sz w:val="20"/>
          <w:szCs w:val="20"/>
          <w:color w:val="auto"/>
        </w:rPr>
      </w:pPr>
      <w:r>
        <w:rPr>
          <w:rFonts w:ascii="Arial" w:cs="Arial" w:eastAsia="Arial" w:hAnsi="Arial"/>
          <w:sz w:val="14"/>
          <w:szCs w:val="14"/>
          <w:color w:val="auto"/>
        </w:rPr>
        <w:t>If the underwriters’ option to purchase additional shares of our Class A common stock from us were exercised in full, pro forma as adjusted cash and cash equivalents, additional paid-in capital, total stockholders’ equity, total capitalization, and Class A shares outstanding as of December 31, 2017, would be $914.7 million, $2,048.9 million, $587.6 million, $587.6 million, and 58,480,406 shares, respectively.</w:t>
      </w:r>
    </w:p>
    <w:p>
      <w:pPr>
        <w:spacing w:after="0" w:line="138" w:lineRule="exact"/>
        <w:rPr>
          <w:sz w:val="20"/>
          <w:szCs w:val="20"/>
          <w:color w:val="auto"/>
        </w:rPr>
      </w:pPr>
    </w:p>
    <w:p>
      <w:pPr>
        <w:ind w:left="1120" w:right="160" w:firstLine="368"/>
        <w:spacing w:after="0" w:line="259" w:lineRule="auto"/>
        <w:rPr>
          <w:sz w:val="20"/>
          <w:szCs w:val="20"/>
          <w:color w:val="auto"/>
        </w:rPr>
      </w:pPr>
      <w:r>
        <w:rPr>
          <w:rFonts w:ascii="Arial" w:cs="Arial" w:eastAsia="Arial" w:hAnsi="Arial"/>
          <w:sz w:val="15"/>
          <w:szCs w:val="15"/>
          <w:color w:val="auto"/>
        </w:rPr>
        <w:t>The number of shares of our Class A common stock, Class B common stock, and Class C common stock that will be outstanding after this offering and the concurrent private placement is based on 11,817,248 shares of our Class A common stock (including the Capital Stock Conversions), 348,501,449 shares of our Class B common stock (including the Capital Stock Conversions and the RSU Settlement), and no shares of our Class C common stock outstanding as of December 31, 2017, and excludes the following:</w:t>
      </w:r>
    </w:p>
    <w:p>
      <w:pPr>
        <w:spacing w:after="0" w:line="79" w:lineRule="exact"/>
        <w:rPr>
          <w:sz w:val="20"/>
          <w:szCs w:val="20"/>
          <w:color w:val="auto"/>
        </w:rPr>
      </w:pPr>
    </w:p>
    <w:p>
      <w:pPr>
        <w:ind w:left="1840" w:right="180" w:hanging="276"/>
        <w:spacing w:after="0" w:line="275" w:lineRule="auto"/>
        <w:tabs>
          <w:tab w:leader="none" w:pos="1840" w:val="left"/>
        </w:tabs>
        <w:numPr>
          <w:ilvl w:val="0"/>
          <w:numId w:val="33"/>
        </w:numPr>
        <w:rPr>
          <w:rFonts w:ascii="Arial" w:cs="Arial" w:eastAsia="Arial" w:hAnsi="Arial"/>
          <w:sz w:val="15"/>
          <w:szCs w:val="15"/>
          <w:color w:val="auto"/>
        </w:rPr>
      </w:pPr>
      <w:r>
        <w:rPr>
          <w:rFonts w:ascii="Arial" w:cs="Arial" w:eastAsia="Arial" w:hAnsi="Arial"/>
          <w:sz w:val="15"/>
          <w:szCs w:val="15"/>
          <w:color w:val="auto"/>
        </w:rPr>
        <w:t>14,733,333 shares of our Class A common stock subject to RSAs that were granted pursuant to the Co-Founder Grants, and vest upon the satisfaction of a service condition and achievement of certain stock price goals;</w:t>
      </w:r>
    </w:p>
    <w:p>
      <w:pPr>
        <w:spacing w:after="0" w:line="67" w:lineRule="exact"/>
        <w:rPr>
          <w:rFonts w:ascii="Arial" w:cs="Arial" w:eastAsia="Arial" w:hAnsi="Arial"/>
          <w:sz w:val="15"/>
          <w:szCs w:val="15"/>
          <w:color w:val="auto"/>
        </w:rPr>
      </w:pPr>
    </w:p>
    <w:p>
      <w:pPr>
        <w:ind w:left="1840" w:right="400" w:hanging="276"/>
        <w:spacing w:after="0" w:line="275" w:lineRule="auto"/>
        <w:tabs>
          <w:tab w:leader="none" w:pos="1840" w:val="left"/>
        </w:tabs>
        <w:numPr>
          <w:ilvl w:val="0"/>
          <w:numId w:val="33"/>
        </w:numPr>
        <w:rPr>
          <w:rFonts w:ascii="Arial" w:cs="Arial" w:eastAsia="Arial" w:hAnsi="Arial"/>
          <w:sz w:val="15"/>
          <w:szCs w:val="15"/>
          <w:color w:val="auto"/>
        </w:rPr>
      </w:pPr>
      <w:r>
        <w:rPr>
          <w:rFonts w:ascii="Arial" w:cs="Arial" w:eastAsia="Arial" w:hAnsi="Arial"/>
          <w:sz w:val="15"/>
          <w:szCs w:val="15"/>
          <w:color w:val="auto"/>
        </w:rPr>
        <w:t>4,959,492 shares of our Class B common stock issuable upon the exercise of options to purchase shares of our Class B common stock outstanding as of December 31, 2017, with a weighted-average exercise price of $10.52 per share;</w:t>
      </w:r>
    </w:p>
    <w:p>
      <w:pPr>
        <w:spacing w:after="0" w:line="67" w:lineRule="exact"/>
        <w:rPr>
          <w:rFonts w:ascii="Arial" w:cs="Arial" w:eastAsia="Arial" w:hAnsi="Arial"/>
          <w:sz w:val="15"/>
          <w:szCs w:val="15"/>
          <w:color w:val="auto"/>
        </w:rPr>
      </w:pPr>
    </w:p>
    <w:p>
      <w:pPr>
        <w:ind w:left="1840" w:right="100" w:hanging="276"/>
        <w:spacing w:after="0" w:line="275" w:lineRule="auto"/>
        <w:tabs>
          <w:tab w:leader="none" w:pos="1840" w:val="left"/>
        </w:tabs>
        <w:numPr>
          <w:ilvl w:val="0"/>
          <w:numId w:val="33"/>
        </w:numPr>
        <w:rPr>
          <w:rFonts w:ascii="Arial" w:cs="Arial" w:eastAsia="Arial" w:hAnsi="Arial"/>
          <w:sz w:val="15"/>
          <w:szCs w:val="15"/>
          <w:color w:val="auto"/>
        </w:rPr>
      </w:pPr>
      <w:r>
        <w:rPr>
          <w:rFonts w:ascii="Arial" w:cs="Arial" w:eastAsia="Arial" w:hAnsi="Arial"/>
          <w:sz w:val="15"/>
          <w:szCs w:val="15"/>
          <w:color w:val="auto"/>
        </w:rPr>
        <w:t>16,707,823 shares of our Class A common stock and 12,158,666 shares of our Class B common stock subject to RSUs outstanding, but for which the service condition was not satisfied as of December 31, 2017;</w:t>
      </w:r>
    </w:p>
    <w:p>
      <w:pPr>
        <w:spacing w:after="0" w:line="67" w:lineRule="exact"/>
        <w:rPr>
          <w:rFonts w:ascii="Arial" w:cs="Arial" w:eastAsia="Arial" w:hAnsi="Arial"/>
          <w:sz w:val="15"/>
          <w:szCs w:val="15"/>
          <w:color w:val="auto"/>
        </w:rPr>
      </w:pPr>
    </w:p>
    <w:p>
      <w:pPr>
        <w:ind w:left="1840" w:hanging="276"/>
        <w:spacing w:after="0"/>
        <w:tabs>
          <w:tab w:leader="none" w:pos="1840" w:val="left"/>
        </w:tabs>
        <w:numPr>
          <w:ilvl w:val="0"/>
          <w:numId w:val="33"/>
        </w:numPr>
        <w:rPr>
          <w:rFonts w:ascii="Arial" w:cs="Arial" w:eastAsia="Arial" w:hAnsi="Arial"/>
          <w:sz w:val="15"/>
          <w:szCs w:val="15"/>
          <w:color w:val="auto"/>
        </w:rPr>
      </w:pPr>
      <w:r>
        <w:rPr>
          <w:rFonts w:ascii="Arial" w:cs="Arial" w:eastAsia="Arial" w:hAnsi="Arial"/>
          <w:sz w:val="15"/>
          <w:szCs w:val="15"/>
          <w:color w:val="auto"/>
        </w:rPr>
        <w:t>10,921,416 shares of our Class A common stock subject to RSUs granted after December 31, 2017;</w:t>
      </w:r>
    </w:p>
    <w:p>
      <w:pPr>
        <w:spacing w:after="0" w:line="109" w:lineRule="exact"/>
        <w:rPr>
          <w:rFonts w:ascii="Arial" w:cs="Arial" w:eastAsia="Arial" w:hAnsi="Arial"/>
          <w:sz w:val="15"/>
          <w:szCs w:val="15"/>
          <w:color w:val="auto"/>
        </w:rPr>
      </w:pPr>
    </w:p>
    <w:p>
      <w:pPr>
        <w:ind w:left="1840" w:hanging="276"/>
        <w:spacing w:after="0"/>
        <w:tabs>
          <w:tab w:leader="none" w:pos="1840" w:val="left"/>
        </w:tabs>
        <w:numPr>
          <w:ilvl w:val="0"/>
          <w:numId w:val="33"/>
        </w:numPr>
        <w:rPr>
          <w:rFonts w:ascii="Arial" w:cs="Arial" w:eastAsia="Arial" w:hAnsi="Arial"/>
          <w:sz w:val="14"/>
          <w:szCs w:val="14"/>
          <w:color w:val="auto"/>
        </w:rPr>
      </w:pPr>
      <w:r>
        <w:rPr>
          <w:rFonts w:ascii="Arial" w:cs="Arial" w:eastAsia="Arial" w:hAnsi="Arial"/>
          <w:sz w:val="14"/>
          <w:szCs w:val="14"/>
          <w:color w:val="auto"/>
        </w:rPr>
        <w:t>65,982,109 shares of our Class A common stock reserved for future issuance under our equity compensation plans, consisting of:</w:t>
      </w:r>
    </w:p>
    <w:p>
      <w:pPr>
        <w:spacing w:after="0" w:line="120" w:lineRule="exact"/>
        <w:rPr>
          <w:rFonts w:ascii="Arial" w:cs="Arial" w:eastAsia="Arial" w:hAnsi="Arial"/>
          <w:sz w:val="14"/>
          <w:szCs w:val="14"/>
          <w:color w:val="auto"/>
        </w:rPr>
      </w:pPr>
    </w:p>
    <w:p>
      <w:pPr>
        <w:ind w:left="2300" w:hanging="364"/>
        <w:spacing w:after="0" w:line="354" w:lineRule="auto"/>
        <w:tabs>
          <w:tab w:leader="none" w:pos="2300" w:val="left"/>
        </w:tabs>
        <w:numPr>
          <w:ilvl w:val="1"/>
          <w:numId w:val="33"/>
        </w:numPr>
        <w:rPr>
          <w:rFonts w:ascii="Arial" w:cs="Arial" w:eastAsia="Arial" w:hAnsi="Arial"/>
          <w:sz w:val="13"/>
          <w:szCs w:val="13"/>
          <w:color w:val="auto"/>
        </w:rPr>
      </w:pPr>
      <w:r>
        <w:rPr>
          <w:rFonts w:ascii="Arial" w:cs="Arial" w:eastAsia="Arial" w:hAnsi="Arial"/>
          <w:sz w:val="13"/>
          <w:szCs w:val="13"/>
          <w:color w:val="auto"/>
        </w:rPr>
        <w:t>51,532,143 shares of our Class A common stock to be reserved for future issuance under our 2018 Plan, which will become effective prior to the completion of this offering (including the shares that will be repurchased by us in connection with the RSU Settlement);</w:t>
      </w:r>
    </w:p>
    <w:p>
      <w:pPr>
        <w:spacing w:after="0" w:line="21" w:lineRule="exact"/>
        <w:rPr>
          <w:rFonts w:ascii="Arial" w:cs="Arial" w:eastAsia="Arial" w:hAnsi="Arial"/>
          <w:sz w:val="13"/>
          <w:szCs w:val="13"/>
          <w:color w:val="auto"/>
        </w:rPr>
      </w:pPr>
    </w:p>
    <w:p>
      <w:pPr>
        <w:ind w:left="2300" w:right="60" w:hanging="364"/>
        <w:spacing w:after="0" w:line="283" w:lineRule="auto"/>
        <w:tabs>
          <w:tab w:leader="none" w:pos="2300" w:val="left"/>
        </w:tabs>
        <w:numPr>
          <w:ilvl w:val="1"/>
          <w:numId w:val="33"/>
        </w:numPr>
        <w:rPr>
          <w:rFonts w:ascii="Arial" w:cs="Arial" w:eastAsia="Arial" w:hAnsi="Arial"/>
          <w:sz w:val="14"/>
          <w:szCs w:val="14"/>
          <w:color w:val="auto"/>
        </w:rPr>
      </w:pPr>
      <w:r>
        <w:rPr>
          <w:rFonts w:ascii="Arial" w:cs="Arial" w:eastAsia="Arial" w:hAnsi="Arial"/>
          <w:sz w:val="14"/>
          <w:szCs w:val="14"/>
          <w:color w:val="auto"/>
        </w:rPr>
        <w:t>10,313,134 shares of our Class A common stock reserved for future issuance under our 2017 Plan, which number of shares includes an additional 1,333,333 shares of our Class A common stock reserved for issuance under our 2017 Plan that was approved by our Board of Directors in February 2018 (and which our stockholders approved in March 2018), and will be added to the shares of our Class A common stock to be reserved for future issuance under our 2018 Plan upon its effectiveness;</w:t>
      </w:r>
    </w:p>
    <w:p>
      <w:pPr>
        <w:spacing w:after="0" w:line="63" w:lineRule="exact"/>
        <w:rPr>
          <w:rFonts w:ascii="Arial" w:cs="Arial" w:eastAsia="Arial" w:hAnsi="Arial"/>
          <w:sz w:val="14"/>
          <w:szCs w:val="14"/>
          <w:color w:val="auto"/>
        </w:rPr>
      </w:pPr>
    </w:p>
    <w:p>
      <w:pPr>
        <w:ind w:left="2300" w:right="20" w:hanging="364"/>
        <w:spacing w:after="0" w:line="263" w:lineRule="auto"/>
        <w:tabs>
          <w:tab w:leader="none" w:pos="2300" w:val="left"/>
        </w:tabs>
        <w:numPr>
          <w:ilvl w:val="1"/>
          <w:numId w:val="33"/>
        </w:numPr>
        <w:rPr>
          <w:rFonts w:ascii="Arial" w:cs="Arial" w:eastAsia="Arial" w:hAnsi="Arial"/>
          <w:sz w:val="15"/>
          <w:szCs w:val="15"/>
          <w:color w:val="auto"/>
        </w:rPr>
      </w:pPr>
      <w:r>
        <w:rPr>
          <w:rFonts w:ascii="Arial" w:cs="Arial" w:eastAsia="Arial" w:hAnsi="Arial"/>
          <w:sz w:val="15"/>
          <w:szCs w:val="15"/>
          <w:color w:val="auto"/>
        </w:rPr>
        <w:t>4,136,832 shares of our Class A common stock to be reserved for future issuance under our ESPP, which will become effective prior to the completion of this offering, but no offering periods under the ESPP will commence unless and until otherwise determined by our Board of Directors; and</w:t>
      </w:r>
    </w:p>
    <w:p>
      <w:pPr>
        <w:spacing w:after="0" w:line="75" w:lineRule="exact"/>
        <w:rPr>
          <w:rFonts w:ascii="Arial" w:cs="Arial" w:eastAsia="Arial" w:hAnsi="Arial"/>
          <w:sz w:val="15"/>
          <w:szCs w:val="15"/>
          <w:color w:val="auto"/>
        </w:rPr>
      </w:pPr>
    </w:p>
    <w:p>
      <w:pPr>
        <w:ind w:left="1840" w:hanging="276"/>
        <w:spacing w:after="0"/>
        <w:tabs>
          <w:tab w:leader="none" w:pos="1840" w:val="left"/>
        </w:tabs>
        <w:numPr>
          <w:ilvl w:val="0"/>
          <w:numId w:val="33"/>
        </w:numPr>
        <w:rPr>
          <w:rFonts w:ascii="Arial" w:cs="Arial" w:eastAsia="Arial" w:hAnsi="Arial"/>
          <w:sz w:val="13"/>
          <w:szCs w:val="13"/>
          <w:color w:val="auto"/>
        </w:rPr>
      </w:pPr>
      <w:r>
        <w:rPr>
          <w:rFonts w:ascii="Arial" w:cs="Arial" w:eastAsia="Arial" w:hAnsi="Arial"/>
          <w:sz w:val="13"/>
          <w:szCs w:val="13"/>
          <w:color w:val="auto"/>
        </w:rPr>
        <w:t>45,505,158 shares of our Class C common stock reserved for future issuance under certain other equity compensation plans, consisting of:</w:t>
      </w:r>
    </w:p>
    <w:p>
      <w:pPr>
        <w:spacing w:after="0" w:line="132" w:lineRule="exact"/>
        <w:rPr>
          <w:rFonts w:ascii="Arial" w:cs="Arial" w:eastAsia="Arial" w:hAnsi="Arial"/>
          <w:sz w:val="13"/>
          <w:szCs w:val="13"/>
          <w:color w:val="auto"/>
        </w:rPr>
      </w:pPr>
    </w:p>
    <w:p>
      <w:pPr>
        <w:ind w:left="2300" w:right="40" w:hanging="364"/>
        <w:spacing w:after="0" w:line="275" w:lineRule="auto"/>
        <w:tabs>
          <w:tab w:leader="none" w:pos="2300" w:val="left"/>
        </w:tabs>
        <w:numPr>
          <w:ilvl w:val="1"/>
          <w:numId w:val="33"/>
        </w:numPr>
        <w:rPr>
          <w:rFonts w:ascii="Arial" w:cs="Arial" w:eastAsia="Arial" w:hAnsi="Arial"/>
          <w:sz w:val="15"/>
          <w:szCs w:val="15"/>
          <w:color w:val="auto"/>
        </w:rPr>
      </w:pPr>
      <w:r>
        <w:rPr>
          <w:rFonts w:ascii="Arial" w:cs="Arial" w:eastAsia="Arial" w:hAnsi="Arial"/>
          <w:sz w:val="15"/>
          <w:szCs w:val="15"/>
          <w:color w:val="auto"/>
        </w:rPr>
        <w:t>41,368,326 shares of our Class C common stock to be reserved for future issuance under our 2018 Class C Equity Incentive Plan, or our 2018 Class C Plan, which will become effective prior to the completion of this offering; and</w:t>
      </w:r>
    </w:p>
    <w:p>
      <w:pPr>
        <w:spacing w:after="0" w:line="67" w:lineRule="exact"/>
        <w:rPr>
          <w:rFonts w:ascii="Arial" w:cs="Arial" w:eastAsia="Arial" w:hAnsi="Arial"/>
          <w:sz w:val="15"/>
          <w:szCs w:val="15"/>
          <w:color w:val="auto"/>
        </w:rPr>
      </w:pPr>
    </w:p>
    <w:p>
      <w:pPr>
        <w:ind w:left="2300" w:right="40" w:hanging="364"/>
        <w:spacing w:after="0" w:line="275" w:lineRule="auto"/>
        <w:tabs>
          <w:tab w:leader="none" w:pos="2300" w:val="left"/>
        </w:tabs>
        <w:numPr>
          <w:ilvl w:val="1"/>
          <w:numId w:val="33"/>
        </w:numPr>
        <w:rPr>
          <w:rFonts w:ascii="Arial" w:cs="Arial" w:eastAsia="Arial" w:hAnsi="Arial"/>
          <w:sz w:val="15"/>
          <w:szCs w:val="15"/>
          <w:color w:val="auto"/>
        </w:rPr>
      </w:pPr>
      <w:r>
        <w:rPr>
          <w:rFonts w:ascii="Arial" w:cs="Arial" w:eastAsia="Arial" w:hAnsi="Arial"/>
          <w:sz w:val="15"/>
          <w:szCs w:val="15"/>
          <w:color w:val="auto"/>
        </w:rPr>
        <w:t>4,136,832 shares of our Class C common stock to be reserved for future issuance under our 2018 Class C Employee Stock Purchase Plan, or our Class C ESPP, which will become effective prior</w:t>
      </w:r>
    </w:p>
    <w:p>
      <w:pPr>
        <w:spacing w:after="0" w:line="90" w:lineRule="exact"/>
        <w:rPr>
          <w:sz w:val="20"/>
          <w:szCs w:val="20"/>
          <w:color w:val="auto"/>
        </w:rPr>
      </w:pPr>
    </w:p>
    <w:p>
      <w:pPr>
        <w:ind w:left="5640"/>
        <w:spacing w:after="0"/>
        <w:rPr>
          <w:sz w:val="20"/>
          <w:szCs w:val="20"/>
          <w:color w:val="auto"/>
        </w:rPr>
      </w:pPr>
      <w:r>
        <w:rPr>
          <w:rFonts w:ascii="Arial" w:cs="Arial" w:eastAsia="Arial" w:hAnsi="Arial"/>
          <w:sz w:val="15"/>
          <w:szCs w:val="15"/>
          <w:color w:val="auto"/>
        </w:rPr>
        <w:t>53</w:t>
      </w:r>
    </w:p>
    <w:p>
      <w:pPr>
        <w:sectPr>
          <w:pgSz w:w="11900" w:h="16838" w:orient="portrait"/>
          <w:cols w:equalWidth="0" w:num="1">
            <w:col w:w="10280"/>
          </w:cols>
          <w:pgMar w:left="240" w:top="407" w:right="1379" w:bottom="1440" w:gutter="0" w:footer="0" w:header="0"/>
        </w:sectPr>
      </w:pPr>
    </w:p>
    <w:bookmarkStart w:id="60" w:name="page61"/>
    <w:bookmarkEnd w:id="60"/>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133350</wp:posOffset>
            </wp:positionH>
            <wp:positionV relativeFrom="page">
              <wp:posOffset>88900</wp:posOffset>
            </wp:positionV>
            <wp:extent cx="7308850" cy="342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308850" cy="34290"/>
                    </a:xfrm>
                    <a:prstGeom prst="rect">
                      <a:avLst/>
                    </a:prstGeom>
                    <a:noFill/>
                  </pic:spPr>
                </pic:pic>
              </a:graphicData>
            </a:graphic>
          </wp:anchor>
        </w:drawing>
      </w:r>
      <w:hyperlink w:anchor="page7">
        <w:r>
          <w:rPr>
            <w:rFonts w:ascii="Arial" w:cs="Arial" w:eastAsia="Arial" w:hAnsi="Arial"/>
            <w:sz w:val="15"/>
            <w:szCs w:val="15"/>
            <w:b w:val="1"/>
            <w:bCs w:val="1"/>
            <w:u w:val="single" w:color="auto"/>
            <w:color w:val="0000EE"/>
          </w:rPr>
          <w:t>Table of Contents</w:t>
        </w:r>
      </w:hyperlink>
    </w:p>
    <w:p>
      <w:pPr>
        <w:spacing w:after="0" w:line="260" w:lineRule="exact"/>
        <w:rPr>
          <w:sz w:val="20"/>
          <w:szCs w:val="20"/>
          <w:color w:val="auto"/>
        </w:rPr>
      </w:pPr>
    </w:p>
    <w:p>
      <w:pPr>
        <w:ind w:left="2300" w:right="500"/>
        <w:spacing w:after="0" w:line="275" w:lineRule="auto"/>
        <w:rPr>
          <w:sz w:val="20"/>
          <w:szCs w:val="20"/>
          <w:color w:val="auto"/>
        </w:rPr>
      </w:pPr>
      <w:r>
        <w:rPr>
          <w:rFonts w:ascii="Arial" w:cs="Arial" w:eastAsia="Arial" w:hAnsi="Arial"/>
          <w:sz w:val="15"/>
          <w:szCs w:val="15"/>
          <w:color w:val="auto"/>
        </w:rPr>
        <w:t>to the completion of this offering, but no offering periods under the Class C ESPP will commence unless and until otherwise determined by our Board of Directors.</w:t>
      </w:r>
    </w:p>
    <w:p>
      <w:pPr>
        <w:spacing w:after="0" w:line="146" w:lineRule="exact"/>
        <w:rPr>
          <w:sz w:val="20"/>
          <w:szCs w:val="20"/>
          <w:color w:val="auto"/>
        </w:rPr>
      </w:pPr>
    </w:p>
    <w:p>
      <w:pPr>
        <w:ind w:left="1120" w:firstLine="368"/>
        <w:spacing w:after="0" w:line="255" w:lineRule="auto"/>
        <w:rPr>
          <w:sz w:val="20"/>
          <w:szCs w:val="20"/>
          <w:color w:val="auto"/>
        </w:rPr>
      </w:pPr>
      <w:r>
        <w:rPr>
          <w:rFonts w:ascii="Arial" w:cs="Arial" w:eastAsia="Arial" w:hAnsi="Arial"/>
          <w:sz w:val="15"/>
          <w:szCs w:val="15"/>
          <w:color w:val="auto"/>
        </w:rPr>
        <w:t>Our 2018 Plan and ESPP each provides for annual automatic increases in the number of shares of our Class A common stock reserved thereunder, and our 2018 Plan also provides for increases to the number of shares of our Class A common stock that may be granted thereunder based on shares under our 2008 Equity Incentive Plan, or our 2008 Plan, and 2017 Plan that expire, are forfeited, or otherwise repurchased by us, as more fully described in the section titled “Executive Compensation—Employee Benefits and Stock Plans.” Additionally, if and when our Board of Directors determines to use our 2018 Class C Plan and Class C ESPP, such plans will provide for annual automatic increases in the number of shares of our Class C common stock reserved thereunder.</w:t>
      </w:r>
    </w:p>
    <w:p>
      <w:pPr>
        <w:spacing w:after="0" w:line="107" w:lineRule="exact"/>
        <w:rPr>
          <w:sz w:val="20"/>
          <w:szCs w:val="20"/>
          <w:color w:val="auto"/>
        </w:rPr>
      </w:pPr>
    </w:p>
    <w:p>
      <w:pPr>
        <w:ind w:left="5640"/>
        <w:spacing w:after="0"/>
        <w:rPr>
          <w:sz w:val="20"/>
          <w:szCs w:val="20"/>
          <w:color w:val="auto"/>
        </w:rPr>
      </w:pPr>
      <w:r>
        <w:rPr>
          <w:rFonts w:ascii="Arial" w:cs="Arial" w:eastAsia="Arial" w:hAnsi="Arial"/>
          <w:sz w:val="15"/>
          <w:szCs w:val="15"/>
          <w:color w:val="auto"/>
        </w:rPr>
        <w:t>54</w:t>
      </w:r>
    </w:p>
    <w:p>
      <w:pPr>
        <w:sectPr>
          <w:pgSz w:w="11900" w:h="16838" w:orient="portrait"/>
          <w:cols w:equalWidth="0" w:num="1">
            <w:col w:w="10300"/>
          </w:cols>
          <w:pgMar w:left="240" w:top="407" w:right="1359" w:bottom="1440" w:gutter="0" w:footer="0" w:header="0"/>
        </w:sectPr>
      </w:pPr>
    </w:p>
    <w:bookmarkStart w:id="61" w:name="page62"/>
    <w:bookmarkEnd w:id="61"/>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133350</wp:posOffset>
            </wp:positionH>
            <wp:positionV relativeFrom="page">
              <wp:posOffset>88900</wp:posOffset>
            </wp:positionV>
            <wp:extent cx="7308850" cy="342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308850" cy="34290"/>
                    </a:xfrm>
                    <a:prstGeom prst="rect">
                      <a:avLst/>
                    </a:prstGeom>
                    <a:noFill/>
                  </pic:spPr>
                </pic:pic>
              </a:graphicData>
            </a:graphic>
          </wp:anchor>
        </w:drawing>
      </w:r>
      <w:hyperlink w:anchor="page7">
        <w:r>
          <w:rPr>
            <w:rFonts w:ascii="Arial" w:cs="Arial" w:eastAsia="Arial" w:hAnsi="Arial"/>
            <w:sz w:val="15"/>
            <w:szCs w:val="15"/>
            <w:b w:val="1"/>
            <w:bCs w:val="1"/>
            <w:u w:val="single" w:color="auto"/>
            <w:color w:val="0000EE"/>
          </w:rPr>
          <w:t>Table of Contents</w:t>
        </w:r>
      </w:hyperlink>
    </w:p>
    <w:p>
      <w:pPr>
        <w:spacing w:after="0" w:line="256" w:lineRule="exact"/>
        <w:rPr>
          <w:sz w:val="20"/>
          <w:szCs w:val="20"/>
          <w:color w:val="auto"/>
        </w:rPr>
      </w:pPr>
    </w:p>
    <w:p>
      <w:pPr>
        <w:jc w:val="center"/>
        <w:ind w:right="-1119"/>
        <w:spacing w:after="0"/>
        <w:rPr>
          <w:sz w:val="20"/>
          <w:szCs w:val="20"/>
          <w:color w:val="auto"/>
        </w:rPr>
      </w:pPr>
      <w:r>
        <w:rPr>
          <w:rFonts w:ascii="Arial" w:cs="Arial" w:eastAsia="Arial" w:hAnsi="Arial"/>
          <w:sz w:val="15"/>
          <w:szCs w:val="15"/>
          <w:b w:val="1"/>
          <w:bCs w:val="1"/>
          <w:color w:val="auto"/>
        </w:rPr>
        <w:t>DILUTION</w:t>
      </w:r>
    </w:p>
    <w:p>
      <w:pPr>
        <w:spacing w:after="0" w:line="192" w:lineRule="exact"/>
        <w:rPr>
          <w:sz w:val="20"/>
          <w:szCs w:val="20"/>
          <w:color w:val="auto"/>
        </w:rPr>
      </w:pPr>
    </w:p>
    <w:p>
      <w:pPr>
        <w:ind w:left="1120" w:firstLine="368"/>
        <w:spacing w:after="0" w:line="279" w:lineRule="auto"/>
        <w:rPr>
          <w:sz w:val="20"/>
          <w:szCs w:val="20"/>
          <w:color w:val="auto"/>
        </w:rPr>
      </w:pPr>
      <w:r>
        <w:rPr>
          <w:rFonts w:ascii="Arial" w:cs="Arial" w:eastAsia="Arial" w:hAnsi="Arial"/>
          <w:sz w:val="14"/>
          <w:szCs w:val="14"/>
          <w:color w:val="auto"/>
        </w:rPr>
        <w:t>If you invest in our Class A common stock in this offering, your ownership interest will be diluted to the extent of the difference between the initial public offering price per share of our Class A common stock and the pro forma as adjusted net tangible book value per share of our common stock immediately after this offering and the concurrent private placement. Net tangible book value dilution per share to new investors represents the difference between the amount per share paid by purchasers of shares of our Class A common stock in this offering and the pro forma as adjusted net tangible book value per share of our common stock immediately after completion of this offering and the concurrent private placement.</w:t>
      </w:r>
    </w:p>
    <w:p>
      <w:pPr>
        <w:spacing w:after="0" w:line="147" w:lineRule="exact"/>
        <w:rPr>
          <w:sz w:val="20"/>
          <w:szCs w:val="20"/>
          <w:color w:val="auto"/>
        </w:rPr>
      </w:pPr>
    </w:p>
    <w:p>
      <w:pPr>
        <w:ind w:left="1120" w:firstLine="368"/>
        <w:spacing w:after="0" w:line="311" w:lineRule="auto"/>
        <w:rPr>
          <w:sz w:val="20"/>
          <w:szCs w:val="20"/>
          <w:color w:val="auto"/>
        </w:rPr>
      </w:pPr>
      <w:r>
        <w:rPr>
          <w:rFonts w:ascii="Arial" w:cs="Arial" w:eastAsia="Arial" w:hAnsi="Arial"/>
          <w:sz w:val="13"/>
          <w:szCs w:val="13"/>
          <w:color w:val="auto"/>
        </w:rPr>
        <w:t>Net tangible book value per share is determined by dividing our total tangible assets less our total liabilities by the number of shares of our common stock outstanding. Our historical net tangible book value as of December 31, 2017, was $(13.0) million, or $(0.04) per share. Our pro forma net tangible book value as of December 31, 2017, was $(206.2) million, or $(0.57) per share, based on the total number of shares of our Class A common stock and Class B common stock outstanding as of December 31, 2017, after giving effect to the Capital Stock Conversions and the RSU Settlement.</w:t>
      </w:r>
    </w:p>
    <w:p>
      <w:pPr>
        <w:spacing w:after="0" w:line="127" w:lineRule="exact"/>
        <w:rPr>
          <w:sz w:val="20"/>
          <w:szCs w:val="20"/>
          <w:color w:val="auto"/>
        </w:rPr>
      </w:pPr>
    </w:p>
    <w:p>
      <w:pPr>
        <w:ind w:left="1480"/>
        <w:spacing w:after="0"/>
        <w:rPr>
          <w:sz w:val="20"/>
          <w:szCs w:val="20"/>
          <w:color w:val="auto"/>
        </w:rPr>
      </w:pPr>
      <w:r>
        <w:rPr>
          <w:rFonts w:ascii="Arial" w:cs="Arial" w:eastAsia="Arial" w:hAnsi="Arial"/>
          <w:sz w:val="13"/>
          <w:szCs w:val="13"/>
          <w:color w:val="auto"/>
        </w:rPr>
        <w:t>After giving effect to the sale by us of 32,085,567 shares of our Class A common stock in this offering and the concurrent private placement at the</w:t>
      </w:r>
    </w:p>
    <w:p>
      <w:pPr>
        <w:spacing w:after="0" w:line="40" w:lineRule="exact"/>
        <w:rPr>
          <w:sz w:val="20"/>
          <w:szCs w:val="20"/>
          <w:color w:val="auto"/>
        </w:rPr>
      </w:pPr>
    </w:p>
    <w:p>
      <w:pPr>
        <w:ind w:left="1120"/>
        <w:spacing w:after="0"/>
        <w:rPr>
          <w:sz w:val="20"/>
          <w:szCs w:val="20"/>
          <w:color w:val="auto"/>
        </w:rPr>
      </w:pPr>
      <w:r>
        <w:rPr>
          <w:rFonts w:ascii="Arial" w:cs="Arial" w:eastAsia="Arial" w:hAnsi="Arial"/>
          <w:sz w:val="13"/>
          <w:szCs w:val="13"/>
          <w:color w:val="auto"/>
        </w:rPr>
        <w:t>assumed initial public offering price of $19.00 per share, which is the midpoint of the estimated offering price range set forth on the cover page of this</w:t>
      </w:r>
    </w:p>
    <w:p>
      <w:pPr>
        <w:spacing w:after="0" w:line="31" w:lineRule="exact"/>
        <w:rPr>
          <w:sz w:val="20"/>
          <w:szCs w:val="20"/>
          <w:color w:val="auto"/>
        </w:rPr>
      </w:pPr>
    </w:p>
    <w:p>
      <w:pPr>
        <w:ind w:left="1120"/>
        <w:spacing w:after="0"/>
        <w:rPr>
          <w:sz w:val="20"/>
          <w:szCs w:val="20"/>
          <w:color w:val="auto"/>
        </w:rPr>
      </w:pPr>
      <w:r>
        <w:rPr>
          <w:rFonts w:ascii="Arial" w:cs="Arial" w:eastAsia="Arial" w:hAnsi="Arial"/>
          <w:sz w:val="13"/>
          <w:szCs w:val="13"/>
          <w:color w:val="auto"/>
        </w:rPr>
        <w:t>prospectus, and after deducting estimated underwriting discounts and commissions and estimated offering expenses payable by us, our pro forma as</w:t>
      </w:r>
    </w:p>
    <w:p>
      <w:pPr>
        <w:spacing w:after="0" w:line="31" w:lineRule="exact"/>
        <w:rPr>
          <w:sz w:val="20"/>
          <w:szCs w:val="20"/>
          <w:color w:val="auto"/>
        </w:rPr>
      </w:pPr>
    </w:p>
    <w:p>
      <w:pPr>
        <w:ind w:left="1120"/>
        <w:spacing w:after="0"/>
        <w:rPr>
          <w:sz w:val="20"/>
          <w:szCs w:val="20"/>
          <w:color w:val="auto"/>
        </w:rPr>
      </w:pPr>
      <w:r>
        <w:rPr>
          <w:rFonts w:ascii="Arial" w:cs="Arial" w:eastAsia="Arial" w:hAnsi="Arial"/>
          <w:sz w:val="13"/>
          <w:szCs w:val="13"/>
          <w:color w:val="auto"/>
        </w:rPr>
        <w:t>adjusted net tangible book value as of December 31, 2017, would have been $373.8 million, or $0.95 per share. This represents an immediate increase in</w:t>
      </w:r>
    </w:p>
    <w:p>
      <w:pPr>
        <w:spacing w:after="0" w:line="31" w:lineRule="exact"/>
        <w:rPr>
          <w:sz w:val="20"/>
          <w:szCs w:val="20"/>
          <w:color w:val="auto"/>
        </w:rPr>
      </w:pPr>
    </w:p>
    <w:p>
      <w:pPr>
        <w:ind w:left="1120"/>
        <w:spacing w:after="0"/>
        <w:rPr>
          <w:sz w:val="20"/>
          <w:szCs w:val="20"/>
          <w:color w:val="auto"/>
        </w:rPr>
      </w:pPr>
      <w:r>
        <w:rPr>
          <w:rFonts w:ascii="Arial" w:cs="Arial" w:eastAsia="Arial" w:hAnsi="Arial"/>
          <w:sz w:val="14"/>
          <w:szCs w:val="14"/>
          <w:color w:val="auto"/>
        </w:rPr>
        <w:t>pro forma net tangible book value of $1.52 per share to our existing stockholders and an immediate dilution in pro forma net tangible book value of</w:t>
      </w:r>
    </w:p>
    <w:p>
      <w:pPr>
        <w:spacing w:after="0" w:line="19" w:lineRule="exact"/>
        <w:rPr>
          <w:sz w:val="20"/>
          <w:szCs w:val="20"/>
          <w:color w:val="auto"/>
        </w:rPr>
      </w:pPr>
    </w:p>
    <w:p>
      <w:pPr>
        <w:ind w:left="1120"/>
        <w:spacing w:after="0"/>
        <w:rPr>
          <w:sz w:val="20"/>
          <w:szCs w:val="20"/>
          <w:color w:val="auto"/>
        </w:rPr>
      </w:pPr>
      <w:r>
        <w:rPr>
          <w:rFonts w:ascii="Arial" w:cs="Arial" w:eastAsia="Arial" w:hAnsi="Arial"/>
          <w:sz w:val="13"/>
          <w:szCs w:val="13"/>
          <w:color w:val="auto"/>
        </w:rPr>
        <w:t>$18.05 per share to investors purchasing shares of our Class A common stock in this offering at the assumed initial public offering price. The following</w:t>
      </w:r>
    </w:p>
    <w:p>
      <w:pPr>
        <w:spacing w:after="0" w:line="31" w:lineRule="exact"/>
        <w:rPr>
          <w:sz w:val="20"/>
          <w:szCs w:val="20"/>
          <w:color w:val="auto"/>
        </w:rPr>
      </w:pPr>
    </w:p>
    <w:p>
      <w:pPr>
        <w:ind w:left="1120"/>
        <w:spacing w:after="0"/>
        <w:rPr>
          <w:sz w:val="20"/>
          <w:szCs w:val="20"/>
          <w:color w:val="auto"/>
        </w:rPr>
      </w:pPr>
      <w:r>
        <w:rPr>
          <w:rFonts w:ascii="Arial" w:cs="Arial" w:eastAsia="Arial" w:hAnsi="Arial"/>
          <w:sz w:val="15"/>
          <w:szCs w:val="15"/>
          <w:color w:val="auto"/>
        </w:rPr>
        <w:t>table illustrates this dilution:</w:t>
      </w:r>
    </w:p>
    <w:p>
      <w:pPr>
        <w:spacing w:after="0" w:line="212" w:lineRule="exact"/>
        <w:rPr>
          <w:sz w:val="20"/>
          <w:szCs w:val="20"/>
          <w:color w:val="auto"/>
        </w:rPr>
      </w:pPr>
    </w:p>
    <w:tbl>
      <w:tblPr>
        <w:tblLayout w:type="fixed"/>
        <w:tblInd w:w="1860" w:type="dxa"/>
        <w:tblCellMar>
          <w:top w:w="0" w:type="dxa"/>
          <w:left w:w="0" w:type="dxa"/>
          <w:bottom w:w="0" w:type="dxa"/>
          <w:right w:w="0" w:type="dxa"/>
        </w:tblCellMar>
      </w:tblPr>
      <w:tr>
        <w:trPr>
          <w:trHeight w:val="180"/>
        </w:trPr>
        <w:tc>
          <w:tcPr>
            <w:tcW w:w="6460" w:type="dxa"/>
            <w:vAlign w:val="bottom"/>
            <w:shd w:val="clear" w:color="auto" w:fill="CCEEFF"/>
          </w:tcPr>
          <w:p>
            <w:pPr>
              <w:spacing w:after="0"/>
              <w:rPr>
                <w:sz w:val="20"/>
                <w:szCs w:val="20"/>
                <w:color w:val="auto"/>
              </w:rPr>
            </w:pPr>
            <w:r>
              <w:rPr>
                <w:rFonts w:ascii="Arial" w:cs="Arial" w:eastAsia="Arial" w:hAnsi="Arial"/>
                <w:sz w:val="15"/>
                <w:szCs w:val="15"/>
                <w:color w:val="auto"/>
              </w:rPr>
              <w:t>Assumed initial public offering price per share</w:t>
            </w:r>
          </w:p>
        </w:tc>
        <w:tc>
          <w:tcPr>
            <w:tcW w:w="1260" w:type="dxa"/>
            <w:vAlign w:val="bottom"/>
            <w:gridSpan w:val="4"/>
            <w:shd w:val="clear" w:color="auto" w:fill="CCEEFF"/>
          </w:tcPr>
          <w:p>
            <w:pPr>
              <w:jc w:val="right"/>
              <w:ind w:right="40"/>
              <w:spacing w:after="0"/>
              <w:rPr>
                <w:sz w:val="20"/>
                <w:szCs w:val="20"/>
                <w:color w:val="auto"/>
              </w:rPr>
            </w:pPr>
            <w:r>
              <w:rPr>
                <w:rFonts w:ascii="Arial" w:cs="Arial" w:eastAsia="Arial" w:hAnsi="Arial"/>
                <w:sz w:val="15"/>
                <w:szCs w:val="15"/>
                <w:color w:val="auto"/>
              </w:rPr>
              <w:t>$19.00</w:t>
            </w:r>
          </w:p>
        </w:tc>
      </w:tr>
      <w:tr>
        <w:trPr>
          <w:trHeight w:val="180"/>
        </w:trPr>
        <w:tc>
          <w:tcPr>
            <w:tcW w:w="6460" w:type="dxa"/>
            <w:vAlign w:val="bottom"/>
          </w:tcPr>
          <w:p>
            <w:pPr>
              <w:ind w:left="300"/>
              <w:spacing w:after="0"/>
              <w:rPr>
                <w:sz w:val="20"/>
                <w:szCs w:val="20"/>
                <w:color w:val="auto"/>
              </w:rPr>
            </w:pPr>
            <w:r>
              <w:rPr>
                <w:rFonts w:ascii="Arial" w:cs="Arial" w:eastAsia="Arial" w:hAnsi="Arial"/>
                <w:sz w:val="15"/>
                <w:szCs w:val="15"/>
                <w:color w:val="auto"/>
              </w:rPr>
              <w:t>Pro forma net tangible book value per share as of December 31, 2017</w:t>
            </w:r>
          </w:p>
        </w:tc>
        <w:tc>
          <w:tcPr>
            <w:tcW w:w="800" w:type="dxa"/>
            <w:vAlign w:val="bottom"/>
            <w:gridSpan w:val="2"/>
          </w:tcPr>
          <w:p>
            <w:pPr>
              <w:jc w:val="right"/>
              <w:ind w:right="360"/>
              <w:spacing w:after="0"/>
              <w:rPr>
                <w:sz w:val="20"/>
                <w:szCs w:val="20"/>
                <w:color w:val="auto"/>
              </w:rPr>
            </w:pPr>
            <w:r>
              <w:rPr>
                <w:rFonts w:ascii="Arial" w:cs="Arial" w:eastAsia="Arial" w:hAnsi="Arial"/>
                <w:sz w:val="15"/>
                <w:szCs w:val="15"/>
                <w:color w:val="auto"/>
                <w:w w:val="88"/>
              </w:rPr>
              <w:t>$(0.57)</w:t>
            </w:r>
          </w:p>
        </w:tc>
        <w:tc>
          <w:tcPr>
            <w:tcW w:w="420" w:type="dxa"/>
            <w:vAlign w:val="bottom"/>
          </w:tcPr>
          <w:p>
            <w:pPr>
              <w:spacing w:after="0"/>
              <w:rPr>
                <w:sz w:val="15"/>
                <w:szCs w:val="15"/>
                <w:color w:val="auto"/>
              </w:rPr>
            </w:pPr>
          </w:p>
        </w:tc>
        <w:tc>
          <w:tcPr>
            <w:tcW w:w="40" w:type="dxa"/>
            <w:vAlign w:val="bottom"/>
          </w:tcPr>
          <w:p>
            <w:pPr>
              <w:spacing w:after="0"/>
              <w:rPr>
                <w:sz w:val="15"/>
                <w:szCs w:val="15"/>
                <w:color w:val="auto"/>
              </w:rPr>
            </w:pPr>
          </w:p>
        </w:tc>
      </w:tr>
      <w:tr>
        <w:trPr>
          <w:trHeight w:val="170"/>
        </w:trPr>
        <w:tc>
          <w:tcPr>
            <w:tcW w:w="6460" w:type="dxa"/>
            <w:vAlign w:val="bottom"/>
            <w:shd w:val="clear" w:color="auto" w:fill="CCEEFF"/>
          </w:tcPr>
          <w:p>
            <w:pPr>
              <w:ind w:left="300"/>
              <w:spacing w:after="0" w:line="170" w:lineRule="exact"/>
              <w:rPr>
                <w:sz w:val="20"/>
                <w:szCs w:val="20"/>
                <w:color w:val="auto"/>
              </w:rPr>
            </w:pPr>
            <w:r>
              <w:rPr>
                <w:rFonts w:ascii="Arial" w:cs="Arial" w:eastAsia="Arial" w:hAnsi="Arial"/>
                <w:sz w:val="15"/>
                <w:szCs w:val="15"/>
                <w:color w:val="auto"/>
                <w:w w:val="96"/>
              </w:rPr>
              <w:t>Increase in pro forma net tangible book value per share attributable to new investors purchasing</w:t>
            </w:r>
          </w:p>
        </w:tc>
        <w:tc>
          <w:tcPr>
            <w:tcW w:w="4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r>
      <w:tr>
        <w:trPr>
          <w:trHeight w:val="191"/>
        </w:trPr>
        <w:tc>
          <w:tcPr>
            <w:tcW w:w="6460" w:type="dxa"/>
            <w:vAlign w:val="bottom"/>
            <w:shd w:val="clear" w:color="auto" w:fill="CCEEFF"/>
          </w:tcPr>
          <w:p>
            <w:pPr>
              <w:ind w:left="440"/>
              <w:spacing w:after="0"/>
              <w:rPr>
                <w:sz w:val="20"/>
                <w:szCs w:val="20"/>
                <w:color w:val="auto"/>
              </w:rPr>
            </w:pPr>
            <w:r>
              <w:rPr>
                <w:rFonts w:ascii="Arial" w:cs="Arial" w:eastAsia="Arial" w:hAnsi="Arial"/>
                <w:sz w:val="15"/>
                <w:szCs w:val="15"/>
                <w:color w:val="auto"/>
              </w:rPr>
              <w:t>shares of Class A common stock in this offering and the concurrent private placement</w:t>
            </w:r>
          </w:p>
        </w:tc>
        <w:tc>
          <w:tcPr>
            <w:tcW w:w="800" w:type="dxa"/>
            <w:vAlign w:val="bottom"/>
            <w:gridSpan w:val="2"/>
            <w:shd w:val="clear" w:color="auto" w:fill="CCEEFF"/>
          </w:tcPr>
          <w:p>
            <w:pPr>
              <w:jc w:val="right"/>
              <w:ind w:right="400"/>
              <w:spacing w:after="0"/>
              <w:rPr>
                <w:sz w:val="20"/>
                <w:szCs w:val="20"/>
                <w:color w:val="auto"/>
              </w:rPr>
            </w:pPr>
            <w:r>
              <w:rPr>
                <w:rFonts w:ascii="Arial" w:cs="Arial" w:eastAsia="Arial" w:hAnsi="Arial"/>
                <w:sz w:val="15"/>
                <w:szCs w:val="15"/>
                <w:color w:val="auto"/>
              </w:rPr>
              <w:t>1.52</w:t>
            </w:r>
          </w:p>
        </w:tc>
        <w:tc>
          <w:tcPr>
            <w:tcW w:w="4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r>
      <w:tr>
        <w:trPr>
          <w:trHeight w:val="172"/>
        </w:trPr>
        <w:tc>
          <w:tcPr>
            <w:tcW w:w="6460" w:type="dxa"/>
            <w:vAlign w:val="bottom"/>
          </w:tcPr>
          <w:p>
            <w:pPr>
              <w:spacing w:after="0"/>
              <w:rPr>
                <w:sz w:val="20"/>
                <w:szCs w:val="20"/>
                <w:color w:val="auto"/>
              </w:rPr>
            </w:pPr>
            <w:r>
              <w:rPr>
                <w:rFonts w:ascii="Arial" w:cs="Arial" w:eastAsia="Arial" w:hAnsi="Arial"/>
                <w:sz w:val="15"/>
                <w:szCs w:val="15"/>
                <w:color w:val="auto"/>
                <w:w w:val="96"/>
              </w:rPr>
              <w:t>Pro forma as adjusted net tangible book value per share after this offering and the concurrent private</w:t>
            </w:r>
          </w:p>
        </w:tc>
        <w:tc>
          <w:tcPr>
            <w:tcW w:w="400" w:type="dxa"/>
            <w:vAlign w:val="bottom"/>
            <w:tcBorders>
              <w:top w:val="single" w:sz="8" w:color="auto"/>
            </w:tcBorders>
          </w:tcPr>
          <w:p>
            <w:pPr>
              <w:spacing w:after="0"/>
              <w:rPr>
                <w:sz w:val="14"/>
                <w:szCs w:val="14"/>
                <w:color w:val="auto"/>
              </w:rPr>
            </w:pPr>
          </w:p>
        </w:tc>
        <w:tc>
          <w:tcPr>
            <w:tcW w:w="4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94"/>
        </w:trPr>
        <w:tc>
          <w:tcPr>
            <w:tcW w:w="6460" w:type="dxa"/>
            <w:vAlign w:val="bottom"/>
          </w:tcPr>
          <w:p>
            <w:pPr>
              <w:ind w:left="140"/>
              <w:spacing w:after="0"/>
              <w:rPr>
                <w:sz w:val="20"/>
                <w:szCs w:val="20"/>
                <w:color w:val="auto"/>
              </w:rPr>
            </w:pPr>
            <w:r>
              <w:rPr>
                <w:rFonts w:ascii="Arial" w:cs="Arial" w:eastAsia="Arial" w:hAnsi="Arial"/>
                <w:sz w:val="15"/>
                <w:szCs w:val="15"/>
                <w:color w:val="auto"/>
              </w:rPr>
              <w:t>placement</w:t>
            </w:r>
          </w:p>
        </w:tc>
        <w:tc>
          <w:tcPr>
            <w:tcW w:w="1260" w:type="dxa"/>
            <w:vAlign w:val="bottom"/>
            <w:gridSpan w:val="4"/>
          </w:tcPr>
          <w:p>
            <w:pPr>
              <w:jc w:val="right"/>
              <w:ind w:right="40"/>
              <w:spacing w:after="0"/>
              <w:rPr>
                <w:sz w:val="20"/>
                <w:szCs w:val="20"/>
                <w:color w:val="auto"/>
              </w:rPr>
            </w:pPr>
            <w:r>
              <w:rPr>
                <w:rFonts w:ascii="Arial" w:cs="Arial" w:eastAsia="Arial" w:hAnsi="Arial"/>
                <w:sz w:val="15"/>
                <w:szCs w:val="15"/>
                <w:color w:val="auto"/>
              </w:rPr>
              <w:t>0.95</w:t>
            </w:r>
          </w:p>
        </w:tc>
      </w:tr>
      <w:tr>
        <w:trPr>
          <w:trHeight w:val="170"/>
        </w:trPr>
        <w:tc>
          <w:tcPr>
            <w:tcW w:w="6460" w:type="dxa"/>
            <w:vAlign w:val="bottom"/>
            <w:shd w:val="clear" w:color="auto" w:fill="CCEEFF"/>
          </w:tcPr>
          <w:p>
            <w:pPr>
              <w:spacing w:after="0" w:line="170" w:lineRule="exact"/>
              <w:rPr>
                <w:sz w:val="20"/>
                <w:szCs w:val="20"/>
                <w:color w:val="auto"/>
              </w:rPr>
            </w:pPr>
            <w:r>
              <w:rPr>
                <w:rFonts w:ascii="Arial" w:cs="Arial" w:eastAsia="Arial" w:hAnsi="Arial"/>
                <w:sz w:val="15"/>
                <w:szCs w:val="15"/>
                <w:color w:val="auto"/>
              </w:rPr>
              <w:t>Dilution in pro forma net tangible book value per share to new investors in this offering and the</w:t>
            </w:r>
          </w:p>
        </w:tc>
        <w:tc>
          <w:tcPr>
            <w:tcW w:w="4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420" w:type="dxa"/>
            <w:vAlign w:val="bottom"/>
            <w:tcBorders>
              <w:top w:val="single" w:sz="8" w:color="auto"/>
            </w:tcBorders>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r>
      <w:tr>
        <w:trPr>
          <w:trHeight w:val="191"/>
        </w:trPr>
        <w:tc>
          <w:tcPr>
            <w:tcW w:w="6460" w:type="dxa"/>
            <w:vAlign w:val="bottom"/>
            <w:shd w:val="clear" w:color="auto" w:fill="CCEEFF"/>
          </w:tcPr>
          <w:p>
            <w:pPr>
              <w:ind w:left="140"/>
              <w:spacing w:after="0"/>
              <w:rPr>
                <w:sz w:val="20"/>
                <w:szCs w:val="20"/>
                <w:color w:val="auto"/>
              </w:rPr>
            </w:pPr>
            <w:r>
              <w:rPr>
                <w:rFonts w:ascii="Arial" w:cs="Arial" w:eastAsia="Arial" w:hAnsi="Arial"/>
                <w:sz w:val="15"/>
                <w:szCs w:val="15"/>
                <w:color w:val="auto"/>
              </w:rPr>
              <w:t>concurrent private placement</w:t>
            </w:r>
          </w:p>
        </w:tc>
        <w:tc>
          <w:tcPr>
            <w:tcW w:w="1260" w:type="dxa"/>
            <w:vAlign w:val="bottom"/>
            <w:gridSpan w:val="4"/>
            <w:shd w:val="clear" w:color="auto" w:fill="CCEEFF"/>
          </w:tcPr>
          <w:p>
            <w:pPr>
              <w:jc w:val="right"/>
              <w:ind w:right="40"/>
              <w:spacing w:after="0"/>
              <w:rPr>
                <w:sz w:val="20"/>
                <w:szCs w:val="20"/>
                <w:color w:val="auto"/>
              </w:rPr>
            </w:pPr>
            <w:r>
              <w:rPr>
                <w:rFonts w:ascii="Arial" w:cs="Arial" w:eastAsia="Arial" w:hAnsi="Arial"/>
                <w:sz w:val="15"/>
                <w:szCs w:val="15"/>
                <w:u w:val="single" w:color="auto"/>
                <w:color w:val="auto"/>
              </w:rPr>
              <w:t>$</w:t>
            </w:r>
            <w:r>
              <w:rPr>
                <w:rFonts w:ascii="Arial" w:cs="Arial" w:eastAsia="Arial" w:hAnsi="Arial"/>
                <w:sz w:val="15"/>
                <w:szCs w:val="15"/>
                <w:color w:val="auto"/>
              </w:rPr>
              <w:t>18.05</w:t>
            </w:r>
          </w:p>
        </w:tc>
      </w:tr>
      <w:tr>
        <w:trPr>
          <w:trHeight w:val="20"/>
        </w:trPr>
        <w:tc>
          <w:tcPr>
            <w:tcW w:w="64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181" w:lineRule="exact"/>
        <w:rPr>
          <w:sz w:val="20"/>
          <w:szCs w:val="20"/>
          <w:color w:val="auto"/>
        </w:rPr>
      </w:pPr>
    </w:p>
    <w:p>
      <w:pPr>
        <w:ind w:left="1120" w:right="20" w:firstLine="368"/>
        <w:spacing w:after="0" w:line="297" w:lineRule="auto"/>
        <w:rPr>
          <w:sz w:val="20"/>
          <w:szCs w:val="20"/>
          <w:color w:val="auto"/>
        </w:rPr>
      </w:pPr>
      <w:r>
        <w:rPr>
          <w:rFonts w:ascii="Arial" w:cs="Arial" w:eastAsia="Arial" w:hAnsi="Arial"/>
          <w:sz w:val="13"/>
          <w:szCs w:val="13"/>
          <w:color w:val="auto"/>
        </w:rPr>
        <w:t>Each $1.00 increase or decrease in the assumed initial public offering price of $19.00 per share, which is the midpoint of the estimated offering price range set forth on the cover page of this prospectus, would increase or decrease, as applicable, our pro forma as adjusted net tangible book value per share to new investors by $0.07, and would increase or decrease, as applicable, dilution per share to new investors purchasing shares of our Class A common stock in this offering by $0.93, assuming that the number of shares offered by us, as set forth on the cover page of this prospectus, remains the same and after deducting estimated underwriting discounts and commissions and estimated offering expenses payable by us. Similarly, each increase or decrease of 1.0 million shares in the number of shares of our Class A common stock offered by us would increase or decrease, as applicable, our pro forma as adjusted net tangible book value by approximately $0.04 per share and increase or decrease, as applicable, the dilution to new investors purchasing shares of our Class A common stock in this offering by $0.04 per share, assuming the assumed initial public offering price remains the same, and after deducting underwriting discounts and commissions and estimated offering expenses payable by us.</w:t>
      </w:r>
    </w:p>
    <w:p>
      <w:pPr>
        <w:spacing w:after="0" w:line="83" w:lineRule="exact"/>
        <w:rPr>
          <w:sz w:val="20"/>
          <w:szCs w:val="20"/>
          <w:color w:val="auto"/>
        </w:rPr>
      </w:pPr>
    </w:p>
    <w:p>
      <w:pPr>
        <w:ind w:left="5640"/>
        <w:spacing w:after="0"/>
        <w:rPr>
          <w:sz w:val="20"/>
          <w:szCs w:val="20"/>
          <w:color w:val="auto"/>
        </w:rPr>
      </w:pPr>
      <w:r>
        <w:rPr>
          <w:rFonts w:ascii="Arial" w:cs="Arial" w:eastAsia="Arial" w:hAnsi="Arial"/>
          <w:sz w:val="15"/>
          <w:szCs w:val="15"/>
          <w:color w:val="auto"/>
        </w:rPr>
        <w:t>55</w:t>
      </w:r>
    </w:p>
    <w:p>
      <w:pPr>
        <w:sectPr>
          <w:pgSz w:w="11900" w:h="16838" w:orient="portrait"/>
          <w:cols w:equalWidth="0" w:num="1">
            <w:col w:w="10300"/>
          </w:cols>
          <w:pgMar w:left="240" w:top="407" w:right="1359" w:bottom="1440" w:gutter="0" w:footer="0" w:header="0"/>
        </w:sectPr>
      </w:pPr>
    </w:p>
    <w:bookmarkStart w:id="62" w:name="page63"/>
    <w:bookmarkEnd w:id="62"/>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133350</wp:posOffset>
            </wp:positionH>
            <wp:positionV relativeFrom="page">
              <wp:posOffset>88900</wp:posOffset>
            </wp:positionV>
            <wp:extent cx="7308850" cy="342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308850" cy="34290"/>
                    </a:xfrm>
                    <a:prstGeom prst="rect">
                      <a:avLst/>
                    </a:prstGeom>
                    <a:noFill/>
                  </pic:spPr>
                </pic:pic>
              </a:graphicData>
            </a:graphic>
          </wp:anchor>
        </w:drawing>
      </w:r>
      <w:hyperlink w:anchor="page7">
        <w:r>
          <w:rPr>
            <w:rFonts w:ascii="Arial" w:cs="Arial" w:eastAsia="Arial" w:hAnsi="Arial"/>
            <w:sz w:val="15"/>
            <w:szCs w:val="15"/>
            <w:b w:val="1"/>
            <w:bCs w:val="1"/>
            <w:u w:val="single" w:color="auto"/>
            <w:color w:val="0000EE"/>
          </w:rPr>
          <w:t>Table of Contents</w:t>
        </w:r>
      </w:hyperlink>
    </w:p>
    <w:p>
      <w:pPr>
        <w:spacing w:after="0" w:line="260" w:lineRule="exact"/>
        <w:rPr>
          <w:sz w:val="20"/>
          <w:szCs w:val="20"/>
          <w:color w:val="auto"/>
        </w:rPr>
      </w:pPr>
    </w:p>
    <w:p>
      <w:pPr>
        <w:ind w:left="1120" w:right="120" w:firstLine="368"/>
        <w:spacing w:after="0" w:line="259" w:lineRule="auto"/>
        <w:rPr>
          <w:sz w:val="20"/>
          <w:szCs w:val="20"/>
          <w:color w:val="auto"/>
        </w:rPr>
      </w:pPr>
      <w:r>
        <w:rPr>
          <w:rFonts w:ascii="Arial" w:cs="Arial" w:eastAsia="Arial" w:hAnsi="Arial"/>
          <w:sz w:val="15"/>
          <w:szCs w:val="15"/>
          <w:color w:val="auto"/>
        </w:rPr>
        <w:t>If the underwriters’ option to purchase additional shares of our Class A common stock from us is exercised in full, the pro forma as adjusted net tangible book value per share of our common stock, as adjusted to give effect to this offering and the concurrent private placement, would be $1.19 per share, and the dilution in pro forma net tangible book value per share to new investors purchasing shares of our Class A common stock in this offering would be $17.81 per share.</w:t>
      </w:r>
    </w:p>
    <w:p>
      <w:pPr>
        <w:spacing w:after="0" w:line="158" w:lineRule="exact"/>
        <w:rPr>
          <w:sz w:val="20"/>
          <w:szCs w:val="20"/>
          <w:color w:val="auto"/>
        </w:rPr>
      </w:pPr>
    </w:p>
    <w:p>
      <w:pPr>
        <w:ind w:left="1120" w:right="120" w:firstLine="368"/>
        <w:spacing w:after="0" w:line="277" w:lineRule="auto"/>
        <w:rPr>
          <w:sz w:val="20"/>
          <w:szCs w:val="20"/>
          <w:color w:val="auto"/>
        </w:rPr>
      </w:pPr>
      <w:r>
        <w:rPr>
          <w:rFonts w:ascii="Arial" w:cs="Arial" w:eastAsia="Arial" w:hAnsi="Arial"/>
          <w:sz w:val="14"/>
          <w:szCs w:val="14"/>
          <w:color w:val="auto"/>
        </w:rPr>
        <w:t>The following table presents, as of December 31, 2017, after giving effect to the Capital Stock Conversions and the RSU Settlement, the differences between the existing stockholders and the new investors purchasing shares of our Class A common stock in this offering and the concurrent private placement with respect to the number of shares purchased from us, the total consideration paid or to be paid to us, which includes net proceeds received from the issuance of our Class A common stock and the average price per share paid or to be paid to us at the assumed initial public offering price of $19.00 per share, which is the midpoint of the estimated offering price range set forth on the cover page of this prospectus, before deducting estimated underwriting discounts and commissions and estimated offering expenses payable by us:</w:t>
      </w:r>
    </w:p>
    <w:p>
      <w:pPr>
        <w:spacing w:after="0" w:line="148" w:lineRule="exact"/>
        <w:rPr>
          <w:sz w:val="20"/>
          <w:szCs w:val="20"/>
          <w:color w:val="auto"/>
        </w:rPr>
      </w:pPr>
    </w:p>
    <w:tbl>
      <w:tblPr>
        <w:tblLayout w:type="fixed"/>
        <w:tblInd w:w="1120" w:type="dxa"/>
        <w:tblCellMar>
          <w:top w:w="0" w:type="dxa"/>
          <w:left w:w="0" w:type="dxa"/>
          <w:bottom w:w="0" w:type="dxa"/>
          <w:right w:w="0" w:type="dxa"/>
        </w:tblCellMar>
      </w:tblPr>
      <w:tr>
        <w:trPr>
          <w:trHeight w:val="138"/>
        </w:trPr>
        <w:tc>
          <w:tcPr>
            <w:tcW w:w="4560" w:type="dxa"/>
            <w:vAlign w:val="bottom"/>
          </w:tcPr>
          <w:p>
            <w:pPr>
              <w:spacing w:after="0"/>
              <w:rPr>
                <w:sz w:val="12"/>
                <w:szCs w:val="12"/>
                <w:color w:val="auto"/>
              </w:rPr>
            </w:pPr>
          </w:p>
        </w:tc>
        <w:tc>
          <w:tcPr>
            <w:tcW w:w="1500" w:type="dxa"/>
            <w:vAlign w:val="bottom"/>
            <w:gridSpan w:val="3"/>
            <w:vMerge w:val="restart"/>
          </w:tcPr>
          <w:p>
            <w:pPr>
              <w:jc w:val="right"/>
              <w:ind w:right="225"/>
              <w:spacing w:after="0"/>
              <w:rPr>
                <w:sz w:val="20"/>
                <w:szCs w:val="20"/>
                <w:color w:val="auto"/>
              </w:rPr>
            </w:pPr>
            <w:r>
              <w:rPr>
                <w:rFonts w:ascii="Arial" w:cs="Arial" w:eastAsia="Arial" w:hAnsi="Arial"/>
                <w:sz w:val="12"/>
                <w:szCs w:val="12"/>
                <w:b w:val="1"/>
                <w:bCs w:val="1"/>
                <w:color w:val="auto"/>
              </w:rPr>
              <w:t>Shares purchased</w:t>
            </w:r>
          </w:p>
        </w:tc>
        <w:tc>
          <w:tcPr>
            <w:tcW w:w="280" w:type="dxa"/>
            <w:vAlign w:val="bottom"/>
            <w:vMerge w:val="restart"/>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760" w:type="dxa"/>
            <w:vAlign w:val="bottom"/>
            <w:gridSpan w:val="3"/>
            <w:vMerge w:val="restart"/>
          </w:tcPr>
          <w:p>
            <w:pPr>
              <w:jc w:val="right"/>
              <w:ind w:right="365"/>
              <w:spacing w:after="0"/>
              <w:rPr>
                <w:sz w:val="20"/>
                <w:szCs w:val="20"/>
                <w:color w:val="auto"/>
              </w:rPr>
            </w:pPr>
            <w:r>
              <w:rPr>
                <w:rFonts w:ascii="Arial" w:cs="Arial" w:eastAsia="Arial" w:hAnsi="Arial"/>
                <w:sz w:val="12"/>
                <w:szCs w:val="12"/>
                <w:b w:val="1"/>
                <w:bCs w:val="1"/>
                <w:color w:val="auto"/>
              </w:rPr>
              <w:t>Total consideration</w:t>
            </w:r>
          </w:p>
        </w:tc>
        <w:tc>
          <w:tcPr>
            <w:tcW w:w="260" w:type="dxa"/>
            <w:vAlign w:val="bottom"/>
            <w:vMerge w:val="restart"/>
          </w:tcPr>
          <w:p>
            <w:pPr>
              <w:spacing w:after="0"/>
              <w:rPr>
                <w:sz w:val="12"/>
                <w:szCs w:val="12"/>
                <w:color w:val="auto"/>
              </w:rPr>
            </w:pPr>
          </w:p>
        </w:tc>
        <w:tc>
          <w:tcPr>
            <w:tcW w:w="620" w:type="dxa"/>
            <w:vAlign w:val="bottom"/>
            <w:gridSpan w:val="3"/>
          </w:tcPr>
          <w:p>
            <w:pPr>
              <w:ind w:left="140"/>
              <w:spacing w:after="0"/>
              <w:rPr>
                <w:sz w:val="20"/>
                <w:szCs w:val="20"/>
                <w:color w:val="auto"/>
              </w:rPr>
            </w:pPr>
            <w:r>
              <w:rPr>
                <w:rFonts w:ascii="Arial" w:cs="Arial" w:eastAsia="Arial" w:hAnsi="Arial"/>
                <w:sz w:val="12"/>
                <w:szCs w:val="12"/>
                <w:b w:val="1"/>
                <w:bCs w:val="1"/>
                <w:color w:val="auto"/>
                <w:w w:val="92"/>
              </w:rPr>
              <w:t>Average</w:t>
            </w:r>
          </w:p>
        </w:tc>
        <w:tc>
          <w:tcPr>
            <w:tcW w:w="0" w:type="dxa"/>
            <w:vAlign w:val="bottom"/>
          </w:tcPr>
          <w:p>
            <w:pPr>
              <w:spacing w:after="0"/>
              <w:rPr>
                <w:sz w:val="1"/>
                <w:szCs w:val="1"/>
                <w:color w:val="auto"/>
              </w:rPr>
            </w:pPr>
          </w:p>
        </w:tc>
      </w:tr>
      <w:tr>
        <w:trPr>
          <w:trHeight w:val="132"/>
        </w:trPr>
        <w:tc>
          <w:tcPr>
            <w:tcW w:w="4560" w:type="dxa"/>
            <w:vAlign w:val="bottom"/>
          </w:tcPr>
          <w:p>
            <w:pPr>
              <w:spacing w:after="0"/>
              <w:rPr>
                <w:sz w:val="11"/>
                <w:szCs w:val="11"/>
                <w:color w:val="auto"/>
              </w:rPr>
            </w:pPr>
          </w:p>
        </w:tc>
        <w:tc>
          <w:tcPr>
            <w:tcW w:w="1500" w:type="dxa"/>
            <w:vAlign w:val="bottom"/>
            <w:tcBorders>
              <w:bottom w:val="single" w:sz="8" w:color="auto"/>
            </w:tcBorders>
            <w:gridSpan w:val="3"/>
            <w:vMerge w:val="continue"/>
          </w:tcPr>
          <w:p>
            <w:pPr>
              <w:spacing w:after="0"/>
              <w:rPr>
                <w:sz w:val="11"/>
                <w:szCs w:val="11"/>
                <w:color w:val="auto"/>
              </w:rPr>
            </w:pPr>
          </w:p>
        </w:tc>
        <w:tc>
          <w:tcPr>
            <w:tcW w:w="280" w:type="dxa"/>
            <w:vAlign w:val="bottom"/>
            <w:vMerge w:val="continue"/>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760" w:type="dxa"/>
            <w:vAlign w:val="bottom"/>
            <w:tcBorders>
              <w:bottom w:val="single" w:sz="8" w:color="auto"/>
            </w:tcBorders>
            <w:gridSpan w:val="3"/>
            <w:vMerge w:val="continue"/>
          </w:tcPr>
          <w:p>
            <w:pPr>
              <w:spacing w:after="0"/>
              <w:rPr>
                <w:sz w:val="11"/>
                <w:szCs w:val="11"/>
                <w:color w:val="auto"/>
              </w:rPr>
            </w:pPr>
          </w:p>
        </w:tc>
        <w:tc>
          <w:tcPr>
            <w:tcW w:w="260" w:type="dxa"/>
            <w:vAlign w:val="bottom"/>
            <w:vMerge w:val="continue"/>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jc w:val="center"/>
              <w:ind w:right="73"/>
              <w:spacing w:after="0" w:line="133" w:lineRule="exact"/>
              <w:rPr>
                <w:sz w:val="20"/>
                <w:szCs w:val="20"/>
                <w:color w:val="auto"/>
              </w:rPr>
            </w:pPr>
            <w:r>
              <w:rPr>
                <w:rFonts w:ascii="Arial" w:cs="Arial" w:eastAsia="Arial" w:hAnsi="Arial"/>
                <w:sz w:val="12"/>
                <w:szCs w:val="12"/>
                <w:b w:val="1"/>
                <w:bCs w:val="1"/>
                <w:color w:val="auto"/>
                <w:w w:val="90"/>
              </w:rPr>
              <w:t>price</w:t>
            </w:r>
          </w:p>
        </w:tc>
        <w:tc>
          <w:tcPr>
            <w:tcW w:w="0" w:type="dxa"/>
            <w:vAlign w:val="bottom"/>
          </w:tcPr>
          <w:p>
            <w:pPr>
              <w:spacing w:after="0"/>
              <w:rPr>
                <w:sz w:val="1"/>
                <w:szCs w:val="1"/>
                <w:color w:val="auto"/>
              </w:rPr>
            </w:pPr>
          </w:p>
        </w:tc>
      </w:tr>
      <w:tr>
        <w:trPr>
          <w:trHeight w:val="96"/>
        </w:trPr>
        <w:tc>
          <w:tcPr>
            <w:tcW w:w="4560" w:type="dxa"/>
            <w:vAlign w:val="bottom"/>
          </w:tcPr>
          <w:p>
            <w:pPr>
              <w:spacing w:after="0"/>
              <w:rPr>
                <w:sz w:val="8"/>
                <w:szCs w:val="8"/>
                <w:color w:val="auto"/>
              </w:rPr>
            </w:pPr>
          </w:p>
        </w:tc>
        <w:tc>
          <w:tcPr>
            <w:tcW w:w="800" w:type="dxa"/>
            <w:vAlign w:val="bottom"/>
            <w:vMerge w:val="restart"/>
          </w:tcPr>
          <w:p>
            <w:pPr>
              <w:jc w:val="right"/>
              <w:ind w:right="110"/>
              <w:spacing w:after="0"/>
              <w:rPr>
                <w:sz w:val="20"/>
                <w:szCs w:val="20"/>
                <w:color w:val="auto"/>
              </w:rPr>
            </w:pPr>
            <w:r>
              <w:rPr>
                <w:rFonts w:ascii="Arial" w:cs="Arial" w:eastAsia="Arial" w:hAnsi="Arial"/>
                <w:sz w:val="12"/>
                <w:szCs w:val="12"/>
                <w:b w:val="1"/>
                <w:bCs w:val="1"/>
                <w:color w:val="auto"/>
              </w:rPr>
              <w:t>Number</w:t>
            </w:r>
          </w:p>
        </w:tc>
        <w:tc>
          <w:tcPr>
            <w:tcW w:w="980" w:type="dxa"/>
            <w:vAlign w:val="bottom"/>
            <w:gridSpan w:val="3"/>
            <w:vMerge w:val="restart"/>
          </w:tcPr>
          <w:p>
            <w:pPr>
              <w:jc w:val="right"/>
              <w:ind w:right="280"/>
              <w:spacing w:after="0"/>
              <w:rPr>
                <w:sz w:val="20"/>
                <w:szCs w:val="20"/>
                <w:color w:val="auto"/>
              </w:rPr>
            </w:pPr>
            <w:r>
              <w:rPr>
                <w:rFonts w:ascii="Arial" w:cs="Arial" w:eastAsia="Arial" w:hAnsi="Arial"/>
                <w:sz w:val="12"/>
                <w:szCs w:val="12"/>
                <w:b w:val="1"/>
                <w:bCs w:val="1"/>
                <w:color w:val="auto"/>
              </w:rPr>
              <w:t>Percent</w:t>
            </w: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880" w:type="dxa"/>
            <w:vAlign w:val="bottom"/>
            <w:vMerge w:val="restart"/>
          </w:tcPr>
          <w:p>
            <w:pPr>
              <w:jc w:val="right"/>
              <w:ind w:right="210"/>
              <w:spacing w:after="0"/>
              <w:rPr>
                <w:sz w:val="20"/>
                <w:szCs w:val="20"/>
                <w:color w:val="auto"/>
              </w:rPr>
            </w:pPr>
            <w:r>
              <w:rPr>
                <w:rFonts w:ascii="Arial" w:cs="Arial" w:eastAsia="Arial" w:hAnsi="Arial"/>
                <w:sz w:val="12"/>
                <w:szCs w:val="12"/>
                <w:b w:val="1"/>
                <w:bCs w:val="1"/>
                <w:color w:val="auto"/>
              </w:rPr>
              <w:t>Amount</w:t>
            </w:r>
          </w:p>
        </w:tc>
        <w:tc>
          <w:tcPr>
            <w:tcW w:w="1140" w:type="dxa"/>
            <w:vAlign w:val="bottom"/>
            <w:gridSpan w:val="3"/>
            <w:vMerge w:val="restart"/>
          </w:tcPr>
          <w:p>
            <w:pPr>
              <w:jc w:val="right"/>
              <w:ind w:right="280"/>
              <w:spacing w:after="0"/>
              <w:rPr>
                <w:sz w:val="20"/>
                <w:szCs w:val="20"/>
                <w:color w:val="auto"/>
              </w:rPr>
            </w:pPr>
            <w:r>
              <w:rPr>
                <w:rFonts w:ascii="Arial" w:cs="Arial" w:eastAsia="Arial" w:hAnsi="Arial"/>
                <w:sz w:val="12"/>
                <w:szCs w:val="12"/>
                <w:b w:val="1"/>
                <w:bCs w:val="1"/>
                <w:color w:val="auto"/>
              </w:rPr>
              <w:t>Percentage</w:t>
            </w: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400" w:type="dxa"/>
            <w:vAlign w:val="bottom"/>
          </w:tcPr>
          <w:p>
            <w:pPr>
              <w:jc w:val="center"/>
              <w:ind w:right="73"/>
              <w:spacing w:after="0" w:line="96" w:lineRule="exact"/>
              <w:rPr>
                <w:sz w:val="20"/>
                <w:szCs w:val="20"/>
                <w:color w:val="auto"/>
              </w:rPr>
            </w:pPr>
            <w:r>
              <w:rPr>
                <w:rFonts w:ascii="Arial" w:cs="Arial" w:eastAsia="Arial" w:hAnsi="Arial"/>
                <w:sz w:val="11"/>
                <w:szCs w:val="11"/>
                <w:b w:val="1"/>
                <w:bCs w:val="1"/>
                <w:color w:val="auto"/>
              </w:rPr>
              <w:t>per</w:t>
            </w:r>
          </w:p>
        </w:tc>
        <w:tc>
          <w:tcPr>
            <w:tcW w:w="0" w:type="dxa"/>
            <w:vAlign w:val="bottom"/>
          </w:tcPr>
          <w:p>
            <w:pPr>
              <w:spacing w:after="0"/>
              <w:rPr>
                <w:sz w:val="1"/>
                <w:szCs w:val="1"/>
                <w:color w:val="auto"/>
              </w:rPr>
            </w:pPr>
          </w:p>
        </w:tc>
      </w:tr>
      <w:tr>
        <w:trPr>
          <w:trHeight w:val="144"/>
        </w:trPr>
        <w:tc>
          <w:tcPr>
            <w:tcW w:w="456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980" w:type="dxa"/>
            <w:vAlign w:val="bottom"/>
            <w:gridSpan w:val="3"/>
            <w:vMerge w:val="continue"/>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vMerge w:val="continue"/>
          </w:tcPr>
          <w:p>
            <w:pPr>
              <w:spacing w:after="0"/>
              <w:rPr>
                <w:sz w:val="12"/>
                <w:szCs w:val="12"/>
                <w:color w:val="auto"/>
              </w:rPr>
            </w:pPr>
          </w:p>
        </w:tc>
        <w:tc>
          <w:tcPr>
            <w:tcW w:w="1140" w:type="dxa"/>
            <w:vAlign w:val="bottom"/>
            <w:gridSpan w:val="3"/>
            <w:vMerge w:val="continue"/>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jc w:val="center"/>
              <w:ind w:right="53"/>
              <w:spacing w:after="0"/>
              <w:rPr>
                <w:sz w:val="20"/>
                <w:szCs w:val="20"/>
                <w:color w:val="auto"/>
              </w:rPr>
            </w:pPr>
            <w:r>
              <w:rPr>
                <w:rFonts w:ascii="Arial" w:cs="Arial" w:eastAsia="Arial" w:hAnsi="Arial"/>
                <w:sz w:val="12"/>
                <w:szCs w:val="12"/>
                <w:b w:val="1"/>
                <w:bCs w:val="1"/>
                <w:color w:val="auto"/>
                <w:w w:val="87"/>
              </w:rPr>
              <w:t>share</w:t>
            </w:r>
          </w:p>
        </w:tc>
        <w:tc>
          <w:tcPr>
            <w:tcW w:w="0" w:type="dxa"/>
            <w:vAlign w:val="bottom"/>
          </w:tcPr>
          <w:p>
            <w:pPr>
              <w:spacing w:after="0"/>
              <w:rPr>
                <w:sz w:val="1"/>
                <w:szCs w:val="1"/>
                <w:color w:val="auto"/>
              </w:rPr>
            </w:pPr>
          </w:p>
        </w:tc>
      </w:tr>
      <w:tr>
        <w:trPr>
          <w:trHeight w:val="20"/>
        </w:trPr>
        <w:tc>
          <w:tcPr>
            <w:tcW w:w="4560" w:type="dxa"/>
            <w:vAlign w:val="bottom"/>
            <w:vMerge w:val="restart"/>
            <w:shd w:val="clear" w:color="auto" w:fill="CCEEFF"/>
          </w:tcPr>
          <w:p>
            <w:pPr>
              <w:spacing w:after="0"/>
              <w:rPr>
                <w:sz w:val="20"/>
                <w:szCs w:val="20"/>
                <w:color w:val="auto"/>
              </w:rPr>
            </w:pPr>
            <w:r>
              <w:rPr>
                <w:rFonts w:ascii="Arial" w:cs="Arial" w:eastAsia="Arial" w:hAnsi="Arial"/>
                <w:sz w:val="15"/>
                <w:szCs w:val="15"/>
                <w:color w:val="auto"/>
              </w:rPr>
              <w:t>Existing stockholders</w:t>
            </w:r>
          </w:p>
        </w:tc>
        <w:tc>
          <w:tcPr>
            <w:tcW w:w="800" w:type="dxa"/>
            <w:vAlign w:val="bottom"/>
            <w:shd w:val="clear" w:color="auto" w:fill="000000"/>
          </w:tcPr>
          <w:p>
            <w:pPr>
              <w:spacing w:after="0" w:line="20" w:lineRule="exact"/>
              <w:rPr>
                <w:sz w:val="1"/>
                <w:szCs w:val="1"/>
                <w:color w:val="auto"/>
              </w:rPr>
            </w:pPr>
          </w:p>
        </w:tc>
        <w:tc>
          <w:tcPr>
            <w:tcW w:w="320" w:type="dxa"/>
            <w:vAlign w:val="bottom"/>
            <w:vMerge w:val="restart"/>
            <w:shd w:val="clear" w:color="auto" w:fill="CCEEFF"/>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40" w:type="dxa"/>
            <w:vAlign w:val="bottom"/>
            <w:vMerge w:val="restart"/>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00" w:type="dxa"/>
            <w:vAlign w:val="bottom"/>
            <w:vMerge w:val="restart"/>
            <w:shd w:val="clear" w:color="auto" w:fill="CCEEFF"/>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40" w:type="dxa"/>
            <w:vAlign w:val="bottom"/>
            <w:vMerge w:val="restart"/>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0" w:type="dxa"/>
            <w:vAlign w:val="bottom"/>
            <w:tcBorders>
              <w:right w:val="single" w:sz="8" w:color="CCEEFF"/>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2"/>
        </w:trPr>
        <w:tc>
          <w:tcPr>
            <w:tcW w:w="4560" w:type="dxa"/>
            <w:vAlign w:val="bottom"/>
            <w:vMerge w:val="continue"/>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3"/>
              </w:rPr>
              <w:t>360,318,697</w:t>
            </w:r>
          </w:p>
        </w:tc>
        <w:tc>
          <w:tcPr>
            <w:tcW w:w="320" w:type="dxa"/>
            <w:vAlign w:val="bottom"/>
            <w:vMerge w:val="continue"/>
            <w:shd w:val="clear" w:color="auto" w:fill="CCEEFF"/>
          </w:tcPr>
          <w:p>
            <w:pPr>
              <w:spacing w:after="0"/>
              <w:rPr>
                <w:sz w:val="14"/>
                <w:szCs w:val="14"/>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91.8%</w:t>
            </w:r>
          </w:p>
        </w:tc>
        <w:tc>
          <w:tcPr>
            <w:tcW w:w="14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639,593,106</w:t>
            </w:r>
          </w:p>
        </w:tc>
        <w:tc>
          <w:tcPr>
            <w:tcW w:w="300" w:type="dxa"/>
            <w:vAlign w:val="bottom"/>
            <w:vMerge w:val="continue"/>
            <w:shd w:val="clear" w:color="auto" w:fill="CCEEFF"/>
          </w:tcPr>
          <w:p>
            <w:pPr>
              <w:spacing w:after="0"/>
              <w:rPr>
                <w:sz w:val="14"/>
                <w:szCs w:val="14"/>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51.2%</w:t>
            </w:r>
          </w:p>
        </w:tc>
        <w:tc>
          <w:tcPr>
            <w:tcW w:w="14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4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1.78</w:t>
            </w:r>
          </w:p>
        </w:tc>
        <w:tc>
          <w:tcPr>
            <w:tcW w:w="0" w:type="dxa"/>
            <w:vAlign w:val="bottom"/>
          </w:tcPr>
          <w:p>
            <w:pPr>
              <w:spacing w:after="0"/>
              <w:rPr>
                <w:sz w:val="1"/>
                <w:szCs w:val="1"/>
                <w:color w:val="auto"/>
              </w:rPr>
            </w:pPr>
          </w:p>
        </w:tc>
      </w:tr>
      <w:tr>
        <w:trPr>
          <w:trHeight w:val="180"/>
        </w:trPr>
        <w:tc>
          <w:tcPr>
            <w:tcW w:w="4560" w:type="dxa"/>
            <w:vAlign w:val="bottom"/>
          </w:tcPr>
          <w:p>
            <w:pPr>
              <w:spacing w:after="0"/>
              <w:rPr>
                <w:sz w:val="20"/>
                <w:szCs w:val="20"/>
                <w:color w:val="auto"/>
              </w:rPr>
            </w:pPr>
            <w:r>
              <w:rPr>
                <w:rFonts w:ascii="Arial" w:cs="Arial" w:eastAsia="Arial" w:hAnsi="Arial"/>
                <w:sz w:val="15"/>
                <w:szCs w:val="15"/>
                <w:color w:val="auto"/>
              </w:rPr>
              <w:t>New investors</w:t>
            </w:r>
          </w:p>
        </w:tc>
        <w:tc>
          <w:tcPr>
            <w:tcW w:w="800" w:type="dxa"/>
            <w:vAlign w:val="bottom"/>
          </w:tcPr>
          <w:p>
            <w:pPr>
              <w:jc w:val="right"/>
              <w:spacing w:after="0"/>
              <w:rPr>
                <w:sz w:val="20"/>
                <w:szCs w:val="20"/>
                <w:color w:val="auto"/>
              </w:rPr>
            </w:pPr>
            <w:r>
              <w:rPr>
                <w:rFonts w:ascii="Arial" w:cs="Arial" w:eastAsia="Arial" w:hAnsi="Arial"/>
                <w:sz w:val="15"/>
                <w:szCs w:val="15"/>
                <w:color w:val="auto"/>
              </w:rPr>
              <w:t>26,822,409</w:t>
            </w:r>
          </w:p>
        </w:tc>
        <w:tc>
          <w:tcPr>
            <w:tcW w:w="980" w:type="dxa"/>
            <w:vAlign w:val="bottom"/>
            <w:gridSpan w:val="3"/>
          </w:tcPr>
          <w:p>
            <w:pPr>
              <w:jc w:val="right"/>
              <w:ind w:right="160"/>
              <w:spacing w:after="0"/>
              <w:rPr>
                <w:sz w:val="20"/>
                <w:szCs w:val="20"/>
                <w:color w:val="auto"/>
              </w:rPr>
            </w:pPr>
            <w:r>
              <w:rPr>
                <w:rFonts w:ascii="Arial" w:cs="Arial" w:eastAsia="Arial" w:hAnsi="Arial"/>
                <w:sz w:val="15"/>
                <w:szCs w:val="15"/>
                <w:color w:val="auto"/>
              </w:rPr>
              <w:t>6.8%</w:t>
            </w:r>
          </w:p>
        </w:tc>
        <w:tc>
          <w:tcPr>
            <w:tcW w:w="22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880" w:type="dxa"/>
            <w:vAlign w:val="bottom"/>
          </w:tcPr>
          <w:p>
            <w:pPr>
              <w:jc w:val="right"/>
              <w:spacing w:after="0"/>
              <w:rPr>
                <w:sz w:val="20"/>
                <w:szCs w:val="20"/>
                <w:color w:val="auto"/>
              </w:rPr>
            </w:pPr>
            <w:r>
              <w:rPr>
                <w:rFonts w:ascii="Arial" w:cs="Arial" w:eastAsia="Arial" w:hAnsi="Arial"/>
                <w:sz w:val="15"/>
                <w:szCs w:val="15"/>
                <w:color w:val="auto"/>
              </w:rPr>
              <w:t>509,625,771</w:t>
            </w:r>
          </w:p>
        </w:tc>
        <w:tc>
          <w:tcPr>
            <w:tcW w:w="1140" w:type="dxa"/>
            <w:vAlign w:val="bottom"/>
            <w:gridSpan w:val="3"/>
          </w:tcPr>
          <w:p>
            <w:pPr>
              <w:jc w:val="right"/>
              <w:ind w:right="160"/>
              <w:spacing w:after="0"/>
              <w:rPr>
                <w:sz w:val="20"/>
                <w:szCs w:val="20"/>
                <w:color w:val="auto"/>
              </w:rPr>
            </w:pPr>
            <w:r>
              <w:rPr>
                <w:rFonts w:ascii="Arial" w:cs="Arial" w:eastAsia="Arial" w:hAnsi="Arial"/>
                <w:sz w:val="15"/>
                <w:szCs w:val="15"/>
                <w:color w:val="auto"/>
              </w:rPr>
              <w:t>40.8%</w:t>
            </w:r>
          </w:p>
        </w:tc>
        <w:tc>
          <w:tcPr>
            <w:tcW w:w="220" w:type="dxa"/>
            <w:vAlign w:val="bottom"/>
            <w:gridSpan w:val="2"/>
          </w:tcPr>
          <w:p>
            <w:pPr>
              <w:ind w:left="140"/>
              <w:spacing w:after="0"/>
              <w:rPr>
                <w:sz w:val="20"/>
                <w:szCs w:val="20"/>
                <w:color w:val="auto"/>
              </w:rPr>
            </w:pPr>
            <w:r>
              <w:rPr>
                <w:rFonts w:ascii="Arial" w:cs="Arial" w:eastAsia="Arial" w:hAnsi="Arial"/>
                <w:sz w:val="15"/>
                <w:szCs w:val="15"/>
                <w:color w:val="auto"/>
                <w:w w:val="71"/>
              </w:rPr>
              <w:t>$</w:t>
            </w:r>
          </w:p>
        </w:tc>
        <w:tc>
          <w:tcPr>
            <w:tcW w:w="400" w:type="dxa"/>
            <w:vAlign w:val="bottom"/>
          </w:tcPr>
          <w:p>
            <w:pPr>
              <w:jc w:val="right"/>
              <w:spacing w:after="0"/>
              <w:rPr>
                <w:sz w:val="20"/>
                <w:szCs w:val="20"/>
                <w:color w:val="auto"/>
              </w:rPr>
            </w:pPr>
            <w:r>
              <w:rPr>
                <w:rFonts w:ascii="Arial" w:cs="Arial" w:eastAsia="Arial" w:hAnsi="Arial"/>
                <w:sz w:val="15"/>
                <w:szCs w:val="15"/>
                <w:color w:val="auto"/>
                <w:w w:val="90"/>
              </w:rPr>
              <w:t>19.00</w:t>
            </w:r>
          </w:p>
        </w:tc>
        <w:tc>
          <w:tcPr>
            <w:tcW w:w="0" w:type="dxa"/>
            <w:vAlign w:val="bottom"/>
          </w:tcPr>
          <w:p>
            <w:pPr>
              <w:spacing w:after="0"/>
              <w:rPr>
                <w:sz w:val="1"/>
                <w:szCs w:val="1"/>
                <w:color w:val="auto"/>
              </w:rPr>
            </w:pPr>
          </w:p>
        </w:tc>
      </w:tr>
      <w:tr>
        <w:trPr>
          <w:trHeight w:val="180"/>
        </w:trPr>
        <w:tc>
          <w:tcPr>
            <w:tcW w:w="4560" w:type="dxa"/>
            <w:vAlign w:val="bottom"/>
            <w:shd w:val="clear" w:color="auto" w:fill="CCEEFF"/>
          </w:tcPr>
          <w:p>
            <w:pPr>
              <w:spacing w:after="0"/>
              <w:rPr>
                <w:sz w:val="20"/>
                <w:szCs w:val="20"/>
                <w:color w:val="auto"/>
              </w:rPr>
            </w:pPr>
            <w:r>
              <w:rPr>
                <w:rFonts w:ascii="Arial" w:cs="Arial" w:eastAsia="Arial" w:hAnsi="Arial"/>
                <w:sz w:val="15"/>
                <w:szCs w:val="15"/>
                <w:color w:val="auto"/>
              </w:rPr>
              <w:t>Concurrent private placement investor</w:t>
            </w:r>
          </w:p>
        </w:tc>
        <w:tc>
          <w:tcPr>
            <w:tcW w:w="8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5,263,158</w:t>
            </w:r>
          </w:p>
        </w:tc>
        <w:tc>
          <w:tcPr>
            <w:tcW w:w="320" w:type="dxa"/>
            <w:vAlign w:val="bottom"/>
            <w:shd w:val="clear" w:color="auto" w:fill="CCEEFF"/>
          </w:tcPr>
          <w:p>
            <w:pPr>
              <w:spacing w:after="0"/>
              <w:rPr>
                <w:sz w:val="15"/>
                <w:szCs w:val="15"/>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1.4%</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100,000,002</w:t>
            </w:r>
          </w:p>
        </w:tc>
        <w:tc>
          <w:tcPr>
            <w:tcW w:w="1140" w:type="dxa"/>
            <w:vAlign w:val="bottom"/>
            <w:gridSpan w:val="3"/>
            <w:shd w:val="clear" w:color="auto" w:fill="CCEEFF"/>
          </w:tcPr>
          <w:p>
            <w:pPr>
              <w:jc w:val="right"/>
              <w:ind w:right="160"/>
              <w:spacing w:after="0"/>
              <w:rPr>
                <w:sz w:val="20"/>
                <w:szCs w:val="20"/>
                <w:color w:val="auto"/>
              </w:rPr>
            </w:pPr>
            <w:r>
              <w:rPr>
                <w:rFonts w:ascii="Arial" w:cs="Arial" w:eastAsia="Arial" w:hAnsi="Arial"/>
                <w:sz w:val="15"/>
                <w:szCs w:val="15"/>
                <w:color w:val="auto"/>
              </w:rPr>
              <w:t>8.0%</w:t>
            </w:r>
          </w:p>
        </w:tc>
        <w:tc>
          <w:tcPr>
            <w:tcW w:w="220" w:type="dxa"/>
            <w:vAlign w:val="bottom"/>
            <w:gridSpan w:val="2"/>
            <w:shd w:val="clear" w:color="auto" w:fill="CCEEFF"/>
          </w:tcPr>
          <w:p>
            <w:pPr>
              <w:ind w:left="140"/>
              <w:spacing w:after="0"/>
              <w:rPr>
                <w:sz w:val="20"/>
                <w:szCs w:val="20"/>
                <w:color w:val="auto"/>
              </w:rPr>
            </w:pPr>
            <w:r>
              <w:rPr>
                <w:rFonts w:ascii="Arial" w:cs="Arial" w:eastAsia="Arial" w:hAnsi="Arial"/>
                <w:sz w:val="15"/>
                <w:szCs w:val="15"/>
                <w:color w:val="auto"/>
                <w:w w:val="71"/>
              </w:rPr>
              <w:t>$</w:t>
            </w:r>
          </w:p>
        </w:tc>
        <w:tc>
          <w:tcPr>
            <w:tcW w:w="4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90"/>
              </w:rPr>
              <w:t>19.00</w:t>
            </w:r>
          </w:p>
        </w:tc>
        <w:tc>
          <w:tcPr>
            <w:tcW w:w="0" w:type="dxa"/>
            <w:vAlign w:val="bottom"/>
          </w:tcPr>
          <w:p>
            <w:pPr>
              <w:spacing w:after="0"/>
              <w:rPr>
                <w:sz w:val="1"/>
                <w:szCs w:val="1"/>
                <w:color w:val="auto"/>
              </w:rPr>
            </w:pPr>
          </w:p>
        </w:tc>
      </w:tr>
      <w:tr>
        <w:trPr>
          <w:trHeight w:val="20"/>
        </w:trPr>
        <w:tc>
          <w:tcPr>
            <w:tcW w:w="4560" w:type="dxa"/>
            <w:vAlign w:val="bottom"/>
            <w:vMerge w:val="restart"/>
          </w:tcPr>
          <w:p>
            <w:pPr>
              <w:ind w:left="300"/>
              <w:spacing w:after="0"/>
              <w:rPr>
                <w:sz w:val="20"/>
                <w:szCs w:val="20"/>
                <w:color w:val="auto"/>
              </w:rPr>
            </w:pPr>
            <w:r>
              <w:rPr>
                <w:rFonts w:ascii="Arial" w:cs="Arial" w:eastAsia="Arial" w:hAnsi="Arial"/>
                <w:sz w:val="15"/>
                <w:szCs w:val="15"/>
                <w:color w:val="auto"/>
              </w:rPr>
              <w:t>Totals</w:t>
            </w:r>
          </w:p>
        </w:tc>
        <w:tc>
          <w:tcPr>
            <w:tcW w:w="8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4560" w:type="dxa"/>
            <w:vAlign w:val="bottom"/>
            <w:vMerge w:val="continue"/>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w w:val="93"/>
              </w:rPr>
              <w:t>392,404,264</w:t>
            </w:r>
          </w:p>
        </w:tc>
        <w:tc>
          <w:tcPr>
            <w:tcW w:w="320" w:type="dxa"/>
            <w:vAlign w:val="bottom"/>
          </w:tcPr>
          <w:p>
            <w:pPr>
              <w:spacing w:after="0"/>
              <w:rPr>
                <w:sz w:val="15"/>
                <w:szCs w:val="15"/>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5"/>
                <w:szCs w:val="15"/>
                <w:color w:val="auto"/>
                <w:w w:val="94"/>
              </w:rPr>
              <w:t>100.0%</w:t>
            </w:r>
          </w:p>
        </w:tc>
        <w:tc>
          <w:tcPr>
            <w:tcW w:w="220" w:type="dxa"/>
            <w:vAlign w:val="bottom"/>
            <w:gridSpan w:val="2"/>
          </w:tcPr>
          <w:p>
            <w:pPr>
              <w:jc w:val="right"/>
              <w:spacing w:after="0"/>
              <w:rPr>
                <w:sz w:val="20"/>
                <w:szCs w:val="20"/>
                <w:color w:val="auto"/>
              </w:rPr>
            </w:pPr>
            <w:r>
              <w:rPr>
                <w:rFonts w:ascii="Arial" w:cs="Arial" w:eastAsia="Arial" w:hAnsi="Arial"/>
                <w:sz w:val="15"/>
                <w:szCs w:val="15"/>
                <w:u w:val="single" w:color="auto"/>
                <w:color w:val="auto"/>
              </w:rPr>
              <w:t>$</w:t>
            </w:r>
          </w:p>
        </w:tc>
        <w:tc>
          <w:tcPr>
            <w:tcW w:w="880" w:type="dxa"/>
            <w:vAlign w:val="bottom"/>
          </w:tcPr>
          <w:p>
            <w:pPr>
              <w:jc w:val="right"/>
              <w:spacing w:after="0"/>
              <w:rPr>
                <w:sz w:val="20"/>
                <w:szCs w:val="20"/>
                <w:color w:val="auto"/>
              </w:rPr>
            </w:pPr>
            <w:r>
              <w:rPr>
                <w:rFonts w:ascii="Arial" w:cs="Arial" w:eastAsia="Arial" w:hAnsi="Arial"/>
                <w:sz w:val="15"/>
                <w:szCs w:val="15"/>
                <w:color w:val="auto"/>
                <w:w w:val="87"/>
              </w:rPr>
              <w:t>1,249,218,879</w:t>
            </w:r>
          </w:p>
        </w:tc>
        <w:tc>
          <w:tcPr>
            <w:tcW w:w="1140" w:type="dxa"/>
            <w:vAlign w:val="bottom"/>
            <w:gridSpan w:val="3"/>
          </w:tcPr>
          <w:p>
            <w:pPr>
              <w:jc w:val="right"/>
              <w:ind w:right="160"/>
              <w:spacing w:after="0"/>
              <w:rPr>
                <w:sz w:val="20"/>
                <w:szCs w:val="20"/>
                <w:color w:val="auto"/>
              </w:rPr>
            </w:pPr>
            <w:r>
              <w:rPr>
                <w:rFonts w:ascii="Arial" w:cs="Arial" w:eastAsia="Arial" w:hAnsi="Arial"/>
                <w:sz w:val="15"/>
                <w:szCs w:val="15"/>
                <w:color w:val="auto"/>
              </w:rPr>
              <w:t>100%</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56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1" w:lineRule="exact"/>
        <w:rPr>
          <w:sz w:val="20"/>
          <w:szCs w:val="20"/>
          <w:color w:val="auto"/>
        </w:rPr>
      </w:pPr>
    </w:p>
    <w:p>
      <w:pPr>
        <w:ind w:left="1120" w:firstLine="368"/>
        <w:spacing w:after="0" w:line="275" w:lineRule="auto"/>
        <w:rPr>
          <w:sz w:val="20"/>
          <w:szCs w:val="20"/>
          <w:color w:val="auto"/>
        </w:rPr>
      </w:pPr>
      <w:r>
        <w:rPr>
          <w:rFonts w:ascii="Arial" w:cs="Arial" w:eastAsia="Arial" w:hAnsi="Arial"/>
          <w:sz w:val="14"/>
          <w:szCs w:val="14"/>
          <w:color w:val="auto"/>
        </w:rPr>
        <w:t>Each $1.00 increase or decrease in the assumed initial public offering price of $19.00 per share, which is the midpoint of the estimated offering price range set forth on the cover page of this prospectus, would increase or decrease, as applicable, the total consideration paid by new investors and total consideration paid by all stockholders by approximately $25.6 million, assuming that the number of shares of our Class A common stock offered by us, as set forth on the cover page of this prospectus, remains the same and after deducting estimated underwriting discounts and commissions and estimated offering expenses payable by us. Similarly, each increase or decrease of 1.0 million in the number of shares of our Class A common stock offered by us would increase or decrease the total consideration paid by new investors and total consideration paid by all stockholders by approximately $18.2 million, assuming the assumed initial public offering price remains the same and after deducting the estimated underwriting discounts and commissions payable by us.</w:t>
      </w:r>
    </w:p>
    <w:p>
      <w:pPr>
        <w:spacing w:after="0" w:line="148" w:lineRule="exact"/>
        <w:rPr>
          <w:sz w:val="20"/>
          <w:szCs w:val="20"/>
          <w:color w:val="auto"/>
        </w:rPr>
      </w:pPr>
    </w:p>
    <w:p>
      <w:pPr>
        <w:ind w:left="1120" w:right="60" w:firstLine="368"/>
        <w:spacing w:after="0" w:line="259" w:lineRule="auto"/>
        <w:rPr>
          <w:sz w:val="20"/>
          <w:szCs w:val="20"/>
          <w:color w:val="auto"/>
        </w:rPr>
      </w:pPr>
      <w:r>
        <w:rPr>
          <w:rFonts w:ascii="Arial" w:cs="Arial" w:eastAsia="Arial" w:hAnsi="Arial"/>
          <w:sz w:val="15"/>
          <w:szCs w:val="15"/>
          <w:color w:val="auto"/>
        </w:rPr>
        <w:t>Except as otherwise indicated, the above discussion and tables assume no exercise of the underwriters’ option to purchase additional shares of our Class A common stock from us. If the underwriters’ option to purchase additional shares of our Class A common stock were exercised in full, our existing stockholders would own 90.6% and our new investors would own 9.4% of the total number of shares of our common stock outstanding upon completion of this offering and the concurrent private placement.</w:t>
      </w:r>
    </w:p>
    <w:p>
      <w:pPr>
        <w:spacing w:after="0" w:line="158" w:lineRule="exact"/>
        <w:rPr>
          <w:sz w:val="20"/>
          <w:szCs w:val="20"/>
          <w:color w:val="auto"/>
        </w:rPr>
      </w:pPr>
    </w:p>
    <w:p>
      <w:pPr>
        <w:ind w:left="1120" w:right="280" w:firstLine="368"/>
        <w:spacing w:after="0" w:line="259" w:lineRule="auto"/>
        <w:rPr>
          <w:sz w:val="20"/>
          <w:szCs w:val="20"/>
          <w:color w:val="auto"/>
        </w:rPr>
      </w:pPr>
      <w:r>
        <w:rPr>
          <w:rFonts w:ascii="Arial" w:cs="Arial" w:eastAsia="Arial" w:hAnsi="Arial"/>
          <w:sz w:val="15"/>
          <w:szCs w:val="15"/>
          <w:color w:val="auto"/>
        </w:rPr>
        <w:t>Sales by the selling stockholders in this offering will cause the number of shares held by existing stockholders to be reduced to 351,141,106 shares, or 89.5% of the total number of shares of our common stock outstanding following the completion of this offering and the concurrent private placement, and will increase the number of shares held by new investors to 41,263,158 shares, or 10.5% of the total number of shares outstanding following the completion of this offering and the concurrent private placement.</w:t>
      </w:r>
    </w:p>
    <w:p>
      <w:pPr>
        <w:spacing w:after="0" w:line="101" w:lineRule="exact"/>
        <w:rPr>
          <w:sz w:val="20"/>
          <w:szCs w:val="20"/>
          <w:color w:val="auto"/>
        </w:rPr>
      </w:pPr>
    </w:p>
    <w:p>
      <w:pPr>
        <w:ind w:left="5640"/>
        <w:spacing w:after="0"/>
        <w:rPr>
          <w:sz w:val="20"/>
          <w:szCs w:val="20"/>
          <w:color w:val="auto"/>
        </w:rPr>
      </w:pPr>
      <w:r>
        <w:rPr>
          <w:rFonts w:ascii="Arial" w:cs="Arial" w:eastAsia="Arial" w:hAnsi="Arial"/>
          <w:sz w:val="15"/>
          <w:szCs w:val="15"/>
          <w:color w:val="auto"/>
        </w:rPr>
        <w:t>56</w:t>
      </w:r>
    </w:p>
    <w:p>
      <w:pPr>
        <w:sectPr>
          <w:pgSz w:w="11900" w:h="16838" w:orient="portrait"/>
          <w:cols w:equalWidth="0" w:num="1">
            <w:col w:w="10320"/>
          </w:cols>
          <w:pgMar w:left="240" w:top="407" w:right="1339" w:bottom="1440" w:gutter="0" w:footer="0" w:header="0"/>
        </w:sectPr>
      </w:pPr>
    </w:p>
    <w:bookmarkStart w:id="63" w:name="page64"/>
    <w:bookmarkEnd w:id="63"/>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133350</wp:posOffset>
            </wp:positionH>
            <wp:positionV relativeFrom="page">
              <wp:posOffset>88900</wp:posOffset>
            </wp:positionV>
            <wp:extent cx="7308850" cy="342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308850" cy="34290"/>
                    </a:xfrm>
                    <a:prstGeom prst="rect">
                      <a:avLst/>
                    </a:prstGeom>
                    <a:noFill/>
                  </pic:spPr>
                </pic:pic>
              </a:graphicData>
            </a:graphic>
          </wp:anchor>
        </w:drawing>
      </w:r>
      <w:hyperlink w:anchor="page7">
        <w:r>
          <w:rPr>
            <w:rFonts w:ascii="Arial" w:cs="Arial" w:eastAsia="Arial" w:hAnsi="Arial"/>
            <w:sz w:val="15"/>
            <w:szCs w:val="15"/>
            <w:b w:val="1"/>
            <w:bCs w:val="1"/>
            <w:u w:val="single" w:color="auto"/>
            <w:color w:val="0000EE"/>
          </w:rPr>
          <w:t>Table of Contents</w:t>
        </w:r>
      </w:hyperlink>
    </w:p>
    <w:p>
      <w:pPr>
        <w:spacing w:after="0" w:line="260" w:lineRule="exact"/>
        <w:rPr>
          <w:sz w:val="20"/>
          <w:szCs w:val="20"/>
          <w:color w:val="auto"/>
        </w:rPr>
      </w:pPr>
    </w:p>
    <w:p>
      <w:pPr>
        <w:ind w:left="1120" w:right="180" w:firstLine="368"/>
        <w:spacing w:after="0" w:line="259" w:lineRule="auto"/>
        <w:rPr>
          <w:sz w:val="20"/>
          <w:szCs w:val="20"/>
          <w:color w:val="auto"/>
        </w:rPr>
      </w:pPr>
      <w:r>
        <w:rPr>
          <w:rFonts w:ascii="Arial" w:cs="Arial" w:eastAsia="Arial" w:hAnsi="Arial"/>
          <w:sz w:val="15"/>
          <w:szCs w:val="15"/>
          <w:color w:val="auto"/>
        </w:rPr>
        <w:t>The number of shares of our Class A common stock, Class B common stock, and Class C common stock that will be outstanding after this offering and the concurrent private placement is based on 11,817,248 shares of our Class A common stock (including the Capital Stock Conversions), 348,501,449 shares of our Class B common stock (including the Capital Stock Conversions and the RSU Settlement) and no shares of our Class C common stock outstanding as of December 31, 2017, and excludes the following:</w:t>
      </w:r>
    </w:p>
    <w:p>
      <w:pPr>
        <w:spacing w:after="0" w:line="79" w:lineRule="exact"/>
        <w:rPr>
          <w:sz w:val="20"/>
          <w:szCs w:val="20"/>
          <w:color w:val="auto"/>
        </w:rPr>
      </w:pPr>
    </w:p>
    <w:p>
      <w:pPr>
        <w:ind w:left="1840" w:right="200" w:hanging="276"/>
        <w:spacing w:after="0" w:line="275" w:lineRule="auto"/>
        <w:tabs>
          <w:tab w:leader="none" w:pos="1840" w:val="left"/>
        </w:tabs>
        <w:numPr>
          <w:ilvl w:val="0"/>
          <w:numId w:val="34"/>
        </w:numPr>
        <w:rPr>
          <w:rFonts w:ascii="Arial" w:cs="Arial" w:eastAsia="Arial" w:hAnsi="Arial"/>
          <w:sz w:val="15"/>
          <w:szCs w:val="15"/>
          <w:color w:val="auto"/>
        </w:rPr>
      </w:pPr>
      <w:r>
        <w:rPr>
          <w:rFonts w:ascii="Arial" w:cs="Arial" w:eastAsia="Arial" w:hAnsi="Arial"/>
          <w:sz w:val="15"/>
          <w:szCs w:val="15"/>
          <w:color w:val="auto"/>
        </w:rPr>
        <w:t>14,733,333 shares of our Class A common stock subject to RSAs that were granted pursuant to the Co-Founder Grants, and vest upon the satisfaction of a service condition and achievement of certain stock price goals;</w:t>
      </w:r>
    </w:p>
    <w:p>
      <w:pPr>
        <w:spacing w:after="0" w:line="67" w:lineRule="exact"/>
        <w:rPr>
          <w:rFonts w:ascii="Arial" w:cs="Arial" w:eastAsia="Arial" w:hAnsi="Arial"/>
          <w:sz w:val="15"/>
          <w:szCs w:val="15"/>
          <w:color w:val="auto"/>
        </w:rPr>
      </w:pPr>
    </w:p>
    <w:p>
      <w:pPr>
        <w:ind w:left="1840" w:right="420" w:hanging="276"/>
        <w:spacing w:after="0" w:line="275" w:lineRule="auto"/>
        <w:tabs>
          <w:tab w:leader="none" w:pos="1840" w:val="left"/>
        </w:tabs>
        <w:numPr>
          <w:ilvl w:val="0"/>
          <w:numId w:val="34"/>
        </w:numPr>
        <w:rPr>
          <w:rFonts w:ascii="Arial" w:cs="Arial" w:eastAsia="Arial" w:hAnsi="Arial"/>
          <w:sz w:val="15"/>
          <w:szCs w:val="15"/>
          <w:color w:val="auto"/>
        </w:rPr>
      </w:pPr>
      <w:r>
        <w:rPr>
          <w:rFonts w:ascii="Arial" w:cs="Arial" w:eastAsia="Arial" w:hAnsi="Arial"/>
          <w:sz w:val="15"/>
          <w:szCs w:val="15"/>
          <w:color w:val="auto"/>
        </w:rPr>
        <w:t>4,959,492 shares of our Class B common stock issuable upon the exercise of options to purchase shares of our Class B common stock outstanding as of December 31, 2017, with a weighted-average exercise price of $10.52 per share;</w:t>
      </w:r>
    </w:p>
    <w:p>
      <w:pPr>
        <w:spacing w:after="0" w:line="67" w:lineRule="exact"/>
        <w:rPr>
          <w:rFonts w:ascii="Arial" w:cs="Arial" w:eastAsia="Arial" w:hAnsi="Arial"/>
          <w:sz w:val="15"/>
          <w:szCs w:val="15"/>
          <w:color w:val="auto"/>
        </w:rPr>
      </w:pPr>
    </w:p>
    <w:p>
      <w:pPr>
        <w:ind w:left="1840" w:right="120" w:hanging="276"/>
        <w:spacing w:after="0" w:line="275" w:lineRule="auto"/>
        <w:tabs>
          <w:tab w:leader="none" w:pos="1840" w:val="left"/>
        </w:tabs>
        <w:numPr>
          <w:ilvl w:val="0"/>
          <w:numId w:val="34"/>
        </w:numPr>
        <w:rPr>
          <w:rFonts w:ascii="Arial" w:cs="Arial" w:eastAsia="Arial" w:hAnsi="Arial"/>
          <w:sz w:val="15"/>
          <w:szCs w:val="15"/>
          <w:color w:val="auto"/>
        </w:rPr>
      </w:pPr>
      <w:r>
        <w:rPr>
          <w:rFonts w:ascii="Arial" w:cs="Arial" w:eastAsia="Arial" w:hAnsi="Arial"/>
          <w:sz w:val="15"/>
          <w:szCs w:val="15"/>
          <w:color w:val="auto"/>
        </w:rPr>
        <w:t>16,707,823 shares of our Class A common stock and 12,158,666 shares of our Class B common stock subject to RSUs outstanding, but for which the service condition was not satisfied, as of December 31, 2017;</w:t>
      </w:r>
    </w:p>
    <w:p>
      <w:pPr>
        <w:spacing w:after="0" w:line="67" w:lineRule="exact"/>
        <w:rPr>
          <w:rFonts w:ascii="Arial" w:cs="Arial" w:eastAsia="Arial" w:hAnsi="Arial"/>
          <w:sz w:val="15"/>
          <w:szCs w:val="15"/>
          <w:color w:val="auto"/>
        </w:rPr>
      </w:pPr>
    </w:p>
    <w:p>
      <w:pPr>
        <w:ind w:left="1840" w:hanging="276"/>
        <w:spacing w:after="0"/>
        <w:tabs>
          <w:tab w:leader="none" w:pos="1840" w:val="left"/>
        </w:tabs>
        <w:numPr>
          <w:ilvl w:val="0"/>
          <w:numId w:val="34"/>
        </w:numPr>
        <w:rPr>
          <w:rFonts w:ascii="Arial" w:cs="Arial" w:eastAsia="Arial" w:hAnsi="Arial"/>
          <w:sz w:val="15"/>
          <w:szCs w:val="15"/>
          <w:color w:val="auto"/>
        </w:rPr>
      </w:pPr>
      <w:r>
        <w:rPr>
          <w:rFonts w:ascii="Arial" w:cs="Arial" w:eastAsia="Arial" w:hAnsi="Arial"/>
          <w:sz w:val="15"/>
          <w:szCs w:val="15"/>
          <w:color w:val="auto"/>
        </w:rPr>
        <w:t>10,921,416 shares of our Class A common stock subject to RSUs granted after December 31, 2017;</w:t>
      </w:r>
    </w:p>
    <w:p>
      <w:pPr>
        <w:spacing w:after="0" w:line="109" w:lineRule="exact"/>
        <w:rPr>
          <w:rFonts w:ascii="Arial" w:cs="Arial" w:eastAsia="Arial" w:hAnsi="Arial"/>
          <w:sz w:val="15"/>
          <w:szCs w:val="15"/>
          <w:color w:val="auto"/>
        </w:rPr>
      </w:pPr>
    </w:p>
    <w:p>
      <w:pPr>
        <w:ind w:left="1840" w:hanging="276"/>
        <w:spacing w:after="0"/>
        <w:tabs>
          <w:tab w:leader="none" w:pos="1840" w:val="left"/>
        </w:tabs>
        <w:numPr>
          <w:ilvl w:val="0"/>
          <w:numId w:val="34"/>
        </w:numPr>
        <w:rPr>
          <w:rFonts w:ascii="Arial" w:cs="Arial" w:eastAsia="Arial" w:hAnsi="Arial"/>
          <w:sz w:val="14"/>
          <w:szCs w:val="14"/>
          <w:color w:val="auto"/>
        </w:rPr>
      </w:pPr>
      <w:r>
        <w:rPr>
          <w:rFonts w:ascii="Arial" w:cs="Arial" w:eastAsia="Arial" w:hAnsi="Arial"/>
          <w:sz w:val="14"/>
          <w:szCs w:val="14"/>
          <w:color w:val="auto"/>
        </w:rPr>
        <w:t>65,982,109 shares of our Class A common stock reserved for future issuance under our equity compensation plans, consisting of:</w:t>
      </w:r>
    </w:p>
    <w:p>
      <w:pPr>
        <w:spacing w:after="0" w:line="120" w:lineRule="exact"/>
        <w:rPr>
          <w:rFonts w:ascii="Arial" w:cs="Arial" w:eastAsia="Arial" w:hAnsi="Arial"/>
          <w:sz w:val="14"/>
          <w:szCs w:val="14"/>
          <w:color w:val="auto"/>
        </w:rPr>
      </w:pPr>
    </w:p>
    <w:p>
      <w:pPr>
        <w:ind w:left="2300" w:hanging="364"/>
        <w:spacing w:after="0"/>
        <w:tabs>
          <w:tab w:leader="none" w:pos="2300" w:val="left"/>
        </w:tabs>
        <w:numPr>
          <w:ilvl w:val="1"/>
          <w:numId w:val="34"/>
        </w:numPr>
        <w:rPr>
          <w:rFonts w:ascii="Arial" w:cs="Arial" w:eastAsia="Arial" w:hAnsi="Arial"/>
          <w:sz w:val="14"/>
          <w:szCs w:val="14"/>
          <w:color w:val="auto"/>
        </w:rPr>
      </w:pPr>
      <w:r>
        <w:rPr>
          <w:rFonts w:ascii="Arial" w:cs="Arial" w:eastAsia="Arial" w:hAnsi="Arial"/>
          <w:sz w:val="14"/>
          <w:szCs w:val="14"/>
          <w:color w:val="auto"/>
        </w:rPr>
        <w:t>51,532,143 shares of our Class A common stock to be reserved for future issuance under our 2018 Equity Incentive Plan, or our</w:t>
      </w:r>
    </w:p>
    <w:p>
      <w:pPr>
        <w:spacing w:after="0" w:line="28" w:lineRule="exact"/>
        <w:rPr>
          <w:rFonts w:ascii="Arial" w:cs="Arial" w:eastAsia="Arial" w:hAnsi="Arial"/>
          <w:sz w:val="14"/>
          <w:szCs w:val="14"/>
          <w:color w:val="auto"/>
        </w:rPr>
      </w:pPr>
    </w:p>
    <w:p>
      <w:pPr>
        <w:ind w:left="2300" w:right="140"/>
        <w:spacing w:after="0" w:line="262" w:lineRule="auto"/>
        <w:rPr>
          <w:rFonts w:ascii="Arial" w:cs="Arial" w:eastAsia="Arial" w:hAnsi="Arial"/>
          <w:sz w:val="14"/>
          <w:szCs w:val="14"/>
          <w:color w:val="auto"/>
        </w:rPr>
      </w:pPr>
      <w:r>
        <w:rPr>
          <w:rFonts w:ascii="Arial" w:cs="Arial" w:eastAsia="Arial" w:hAnsi="Arial"/>
          <w:sz w:val="15"/>
          <w:szCs w:val="15"/>
          <w:color w:val="auto"/>
        </w:rPr>
        <w:t>2018 Plan, which will become effective prior to the completion of this offering (including the shares that will be repurchased by us in connection with the RSU Settlement);</w:t>
      </w:r>
    </w:p>
    <w:p>
      <w:pPr>
        <w:spacing w:after="0" w:line="76" w:lineRule="exact"/>
        <w:rPr>
          <w:rFonts w:ascii="Arial" w:cs="Arial" w:eastAsia="Arial" w:hAnsi="Arial"/>
          <w:sz w:val="14"/>
          <w:szCs w:val="14"/>
          <w:color w:val="auto"/>
        </w:rPr>
      </w:pPr>
    </w:p>
    <w:p>
      <w:pPr>
        <w:ind w:left="2300" w:hanging="364"/>
        <w:spacing w:after="0" w:line="257" w:lineRule="auto"/>
        <w:tabs>
          <w:tab w:leader="none" w:pos="2300" w:val="left"/>
        </w:tabs>
        <w:numPr>
          <w:ilvl w:val="1"/>
          <w:numId w:val="34"/>
        </w:numPr>
        <w:rPr>
          <w:rFonts w:ascii="Arial" w:cs="Arial" w:eastAsia="Arial" w:hAnsi="Arial"/>
          <w:sz w:val="15"/>
          <w:szCs w:val="15"/>
          <w:color w:val="auto"/>
        </w:rPr>
      </w:pPr>
      <w:r>
        <w:rPr>
          <w:rFonts w:ascii="Arial" w:cs="Arial" w:eastAsia="Arial" w:hAnsi="Arial"/>
          <w:sz w:val="15"/>
          <w:szCs w:val="15"/>
          <w:color w:val="auto"/>
        </w:rPr>
        <w:t>10,313,134 shares of our Class A common stock reserved for future issuance under our 2017 Equity Incentive Plan, or our 2017 Plan, which number of shares includes an additional 1,333,333 shares of our Class A common stock reserved for issuance under our 2017 Plan that was approved by our Board of Directors in February 2018 (and which our stockholders approved in March 2018), and will be added to the shares of our Class A common stock to be reserved for future issuance under our 2018 Plan upon its effectiveness;</w:t>
      </w:r>
    </w:p>
    <w:p>
      <w:pPr>
        <w:spacing w:after="0" w:line="80" w:lineRule="exact"/>
        <w:rPr>
          <w:rFonts w:ascii="Arial" w:cs="Arial" w:eastAsia="Arial" w:hAnsi="Arial"/>
          <w:sz w:val="15"/>
          <w:szCs w:val="15"/>
          <w:color w:val="auto"/>
        </w:rPr>
      </w:pPr>
    </w:p>
    <w:p>
      <w:pPr>
        <w:ind w:left="2300" w:right="40" w:hanging="364"/>
        <w:spacing w:after="0" w:line="263" w:lineRule="auto"/>
        <w:tabs>
          <w:tab w:leader="none" w:pos="2300" w:val="left"/>
        </w:tabs>
        <w:numPr>
          <w:ilvl w:val="1"/>
          <w:numId w:val="34"/>
        </w:numPr>
        <w:rPr>
          <w:rFonts w:ascii="Arial" w:cs="Arial" w:eastAsia="Arial" w:hAnsi="Arial"/>
          <w:sz w:val="15"/>
          <w:szCs w:val="15"/>
          <w:color w:val="auto"/>
        </w:rPr>
      </w:pPr>
      <w:r>
        <w:rPr>
          <w:rFonts w:ascii="Arial" w:cs="Arial" w:eastAsia="Arial" w:hAnsi="Arial"/>
          <w:sz w:val="15"/>
          <w:szCs w:val="15"/>
          <w:color w:val="auto"/>
        </w:rPr>
        <w:t>4,136,832 shares of our Class A common stock to be reserved for future issuance under our ESPP, which will become effective prior to the completion of this offering, but no offering periods under the ESPP will commence unless and until otherwise determined by our Board of Directors; and</w:t>
      </w:r>
    </w:p>
    <w:p>
      <w:pPr>
        <w:spacing w:after="0" w:line="75" w:lineRule="exact"/>
        <w:rPr>
          <w:rFonts w:ascii="Arial" w:cs="Arial" w:eastAsia="Arial" w:hAnsi="Arial"/>
          <w:sz w:val="15"/>
          <w:szCs w:val="15"/>
          <w:color w:val="auto"/>
        </w:rPr>
      </w:pPr>
    </w:p>
    <w:p>
      <w:pPr>
        <w:ind w:left="1840" w:hanging="276"/>
        <w:spacing w:after="0"/>
        <w:tabs>
          <w:tab w:leader="none" w:pos="1840" w:val="left"/>
        </w:tabs>
        <w:numPr>
          <w:ilvl w:val="0"/>
          <w:numId w:val="34"/>
        </w:numPr>
        <w:rPr>
          <w:rFonts w:ascii="Arial" w:cs="Arial" w:eastAsia="Arial" w:hAnsi="Arial"/>
          <w:sz w:val="13"/>
          <w:szCs w:val="13"/>
          <w:color w:val="auto"/>
        </w:rPr>
      </w:pPr>
      <w:r>
        <w:rPr>
          <w:rFonts w:ascii="Arial" w:cs="Arial" w:eastAsia="Arial" w:hAnsi="Arial"/>
          <w:sz w:val="13"/>
          <w:szCs w:val="13"/>
          <w:color w:val="auto"/>
        </w:rPr>
        <w:t>45,505,158 shares of our Class C common stock reserved for future issuance under certain other equity compensation plans, consisting of:</w:t>
      </w:r>
    </w:p>
    <w:p>
      <w:pPr>
        <w:spacing w:after="0" w:line="132" w:lineRule="exact"/>
        <w:rPr>
          <w:rFonts w:ascii="Arial" w:cs="Arial" w:eastAsia="Arial" w:hAnsi="Arial"/>
          <w:sz w:val="13"/>
          <w:szCs w:val="13"/>
          <w:color w:val="auto"/>
        </w:rPr>
      </w:pPr>
    </w:p>
    <w:p>
      <w:pPr>
        <w:ind w:left="2300" w:right="120" w:hanging="364"/>
        <w:spacing w:after="0" w:line="275" w:lineRule="auto"/>
        <w:tabs>
          <w:tab w:leader="none" w:pos="2300" w:val="left"/>
        </w:tabs>
        <w:numPr>
          <w:ilvl w:val="1"/>
          <w:numId w:val="34"/>
        </w:numPr>
        <w:rPr>
          <w:rFonts w:ascii="Arial" w:cs="Arial" w:eastAsia="Arial" w:hAnsi="Arial"/>
          <w:sz w:val="15"/>
          <w:szCs w:val="15"/>
          <w:color w:val="auto"/>
        </w:rPr>
      </w:pPr>
      <w:r>
        <w:rPr>
          <w:rFonts w:ascii="Arial" w:cs="Arial" w:eastAsia="Arial" w:hAnsi="Arial"/>
          <w:sz w:val="15"/>
          <w:szCs w:val="15"/>
          <w:color w:val="auto"/>
        </w:rPr>
        <w:t>41,368,326 shares of our Class C common stock to be reserved for future issuance under our 2018 Class C Stock Incentive Plan, or our 2018 Class C Plan, which will become effective prior to the completion of this offering; and</w:t>
      </w:r>
    </w:p>
    <w:p>
      <w:pPr>
        <w:spacing w:after="0" w:line="67" w:lineRule="exact"/>
        <w:rPr>
          <w:rFonts w:ascii="Arial" w:cs="Arial" w:eastAsia="Arial" w:hAnsi="Arial"/>
          <w:sz w:val="15"/>
          <w:szCs w:val="15"/>
          <w:color w:val="auto"/>
        </w:rPr>
      </w:pPr>
    </w:p>
    <w:p>
      <w:pPr>
        <w:ind w:left="2300" w:right="60" w:hanging="364"/>
        <w:spacing w:after="0" w:line="290" w:lineRule="auto"/>
        <w:tabs>
          <w:tab w:leader="none" w:pos="2300" w:val="left"/>
        </w:tabs>
        <w:numPr>
          <w:ilvl w:val="1"/>
          <w:numId w:val="34"/>
        </w:numPr>
        <w:rPr>
          <w:rFonts w:ascii="Arial" w:cs="Arial" w:eastAsia="Arial" w:hAnsi="Arial"/>
          <w:sz w:val="14"/>
          <w:szCs w:val="14"/>
          <w:color w:val="auto"/>
        </w:rPr>
      </w:pPr>
      <w:r>
        <w:rPr>
          <w:rFonts w:ascii="Arial" w:cs="Arial" w:eastAsia="Arial" w:hAnsi="Arial"/>
          <w:sz w:val="14"/>
          <w:szCs w:val="14"/>
          <w:color w:val="auto"/>
        </w:rPr>
        <w:t>4,136,832 shares of our Class C common stock to be reserved for future issuance under our 2018 Class C Employee Stock Purchase Plan, or our Class C ESPP, which will become effective prior to the completion of this offering, but no offering periods under the Class C ESPP will commence unless and until otherwise determined by our Board of Directors.</w:t>
      </w:r>
    </w:p>
    <w:p>
      <w:pPr>
        <w:spacing w:after="0" w:line="138" w:lineRule="exact"/>
        <w:rPr>
          <w:sz w:val="20"/>
          <w:szCs w:val="20"/>
          <w:color w:val="auto"/>
        </w:rPr>
      </w:pPr>
    </w:p>
    <w:p>
      <w:pPr>
        <w:ind w:left="1120" w:firstLine="368"/>
        <w:spacing w:after="0" w:line="257" w:lineRule="auto"/>
        <w:rPr>
          <w:sz w:val="20"/>
          <w:szCs w:val="20"/>
          <w:color w:val="auto"/>
        </w:rPr>
      </w:pPr>
      <w:r>
        <w:rPr>
          <w:rFonts w:ascii="Arial" w:cs="Arial" w:eastAsia="Arial" w:hAnsi="Arial"/>
          <w:sz w:val="15"/>
          <w:szCs w:val="15"/>
          <w:color w:val="auto"/>
        </w:rPr>
        <w:t>Our 2018 Plan and ESPP each provides for annual automatic increases in the number of shares of our Class A common stock reserved thereunder, and our 2018 Plan also provides for increases to the number of shares of our Class A common stock that may be granted thereunder based on shares under our 2008 Equity Incentive Plan, or our 2008 Plan, and 2017 Plan that expire, are forfeited, or otherwise repurchased by us, as more fully described in the section titled “Executive Compensation—Employee Benefits and Stock Plans.” Additionally, if and when our Board of Directors determines to use our 2018 Class C Plan and Class C ESPP,</w:t>
      </w:r>
    </w:p>
    <w:p>
      <w:pPr>
        <w:spacing w:after="0" w:line="103" w:lineRule="exact"/>
        <w:rPr>
          <w:sz w:val="20"/>
          <w:szCs w:val="20"/>
          <w:color w:val="auto"/>
        </w:rPr>
      </w:pPr>
    </w:p>
    <w:p>
      <w:pPr>
        <w:ind w:left="5640"/>
        <w:spacing w:after="0"/>
        <w:rPr>
          <w:sz w:val="20"/>
          <w:szCs w:val="20"/>
          <w:color w:val="auto"/>
        </w:rPr>
      </w:pPr>
      <w:r>
        <w:rPr>
          <w:rFonts w:ascii="Arial" w:cs="Arial" w:eastAsia="Arial" w:hAnsi="Arial"/>
          <w:sz w:val="15"/>
          <w:szCs w:val="15"/>
          <w:color w:val="auto"/>
        </w:rPr>
        <w:t>57</w:t>
      </w:r>
    </w:p>
    <w:p>
      <w:pPr>
        <w:sectPr>
          <w:pgSz w:w="11900" w:h="16838" w:orient="portrait"/>
          <w:cols w:equalWidth="0" w:num="1">
            <w:col w:w="10300"/>
          </w:cols>
          <w:pgMar w:left="240" w:top="407" w:right="1359" w:bottom="1440" w:gutter="0" w:footer="0" w:header="0"/>
        </w:sectPr>
      </w:pPr>
    </w:p>
    <w:bookmarkStart w:id="64" w:name="page65"/>
    <w:bookmarkEnd w:id="64"/>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133350</wp:posOffset>
            </wp:positionH>
            <wp:positionV relativeFrom="page">
              <wp:posOffset>88900</wp:posOffset>
            </wp:positionV>
            <wp:extent cx="7308850" cy="342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308850" cy="34290"/>
                    </a:xfrm>
                    <a:prstGeom prst="rect">
                      <a:avLst/>
                    </a:prstGeom>
                    <a:noFill/>
                  </pic:spPr>
                </pic:pic>
              </a:graphicData>
            </a:graphic>
          </wp:anchor>
        </w:drawing>
      </w:r>
      <w:hyperlink w:anchor="page7">
        <w:r>
          <w:rPr>
            <w:rFonts w:ascii="Arial" w:cs="Arial" w:eastAsia="Arial" w:hAnsi="Arial"/>
            <w:sz w:val="15"/>
            <w:szCs w:val="15"/>
            <w:b w:val="1"/>
            <w:bCs w:val="1"/>
            <w:u w:val="single" w:color="auto"/>
            <w:color w:val="0000EE"/>
          </w:rPr>
          <w:t>Table of Contents</w:t>
        </w:r>
      </w:hyperlink>
    </w:p>
    <w:p>
      <w:pPr>
        <w:spacing w:after="0" w:line="260" w:lineRule="exact"/>
        <w:rPr>
          <w:sz w:val="20"/>
          <w:szCs w:val="20"/>
          <w:color w:val="auto"/>
        </w:rPr>
      </w:pPr>
    </w:p>
    <w:p>
      <w:pPr>
        <w:ind w:left="1120"/>
        <w:spacing w:after="0"/>
        <w:rPr>
          <w:sz w:val="20"/>
          <w:szCs w:val="20"/>
          <w:color w:val="auto"/>
        </w:rPr>
      </w:pPr>
      <w:r>
        <w:rPr>
          <w:rFonts w:ascii="Arial" w:cs="Arial" w:eastAsia="Arial" w:hAnsi="Arial"/>
          <w:sz w:val="15"/>
          <w:szCs w:val="15"/>
          <w:color w:val="auto"/>
        </w:rPr>
        <w:t>such plans will provide for annual automatic increases in the number of shares of our Class C common stock reserved thereunder.</w:t>
      </w:r>
    </w:p>
    <w:p>
      <w:pPr>
        <w:spacing w:after="0" w:line="188" w:lineRule="exact"/>
        <w:rPr>
          <w:sz w:val="20"/>
          <w:szCs w:val="20"/>
          <w:color w:val="auto"/>
        </w:rPr>
      </w:pPr>
    </w:p>
    <w:p>
      <w:pPr>
        <w:ind w:left="1120" w:right="199" w:firstLine="368"/>
        <w:spacing w:after="0" w:line="275" w:lineRule="auto"/>
        <w:rPr>
          <w:sz w:val="20"/>
          <w:szCs w:val="20"/>
          <w:color w:val="auto"/>
        </w:rPr>
      </w:pPr>
      <w:r>
        <w:rPr>
          <w:rFonts w:ascii="Arial" w:cs="Arial" w:eastAsia="Arial" w:hAnsi="Arial"/>
          <w:sz w:val="15"/>
          <w:szCs w:val="15"/>
          <w:color w:val="auto"/>
        </w:rPr>
        <w:t>To the extent that any outstanding options to purchase our common stock are exercised, RSUs are settled or new awards are granted under our equity compensation plans, there will be further dilution to investors participating in this offering.</w:t>
      </w:r>
    </w:p>
    <w:p>
      <w:pPr>
        <w:spacing w:after="0" w:line="90" w:lineRule="exact"/>
        <w:rPr>
          <w:sz w:val="20"/>
          <w:szCs w:val="20"/>
          <w:color w:val="auto"/>
        </w:rPr>
      </w:pPr>
    </w:p>
    <w:p>
      <w:pPr>
        <w:ind w:left="5640"/>
        <w:spacing w:after="0"/>
        <w:rPr>
          <w:sz w:val="20"/>
          <w:szCs w:val="20"/>
          <w:color w:val="auto"/>
        </w:rPr>
      </w:pPr>
      <w:r>
        <w:rPr>
          <w:rFonts w:ascii="Arial" w:cs="Arial" w:eastAsia="Arial" w:hAnsi="Arial"/>
          <w:sz w:val="15"/>
          <w:szCs w:val="15"/>
          <w:color w:val="auto"/>
        </w:rPr>
        <w:t>58</w:t>
      </w:r>
    </w:p>
    <w:p>
      <w:pPr>
        <w:sectPr>
          <w:pgSz w:w="11900" w:h="16838" w:orient="portrait"/>
          <w:cols w:equalWidth="0" w:num="1">
            <w:col w:w="10219"/>
          </w:cols>
          <w:pgMar w:left="240" w:top="407" w:right="1440" w:bottom="1440" w:gutter="0" w:footer="0" w:header="0"/>
        </w:sectPr>
      </w:pPr>
    </w:p>
    <w:bookmarkStart w:id="65" w:name="page66"/>
    <w:bookmarkEnd w:id="65"/>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133350</wp:posOffset>
            </wp:positionH>
            <wp:positionV relativeFrom="page">
              <wp:posOffset>88900</wp:posOffset>
            </wp:positionV>
            <wp:extent cx="7308850" cy="342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308850" cy="34290"/>
                    </a:xfrm>
                    <a:prstGeom prst="rect">
                      <a:avLst/>
                    </a:prstGeom>
                    <a:noFill/>
                  </pic:spPr>
                </pic:pic>
              </a:graphicData>
            </a:graphic>
          </wp:anchor>
        </w:drawing>
      </w:r>
      <w:hyperlink w:anchor="page7">
        <w:r>
          <w:rPr>
            <w:rFonts w:ascii="Arial" w:cs="Arial" w:eastAsia="Arial" w:hAnsi="Arial"/>
            <w:sz w:val="15"/>
            <w:szCs w:val="15"/>
            <w:b w:val="1"/>
            <w:bCs w:val="1"/>
            <w:u w:val="single" w:color="auto"/>
            <w:color w:val="0000EE"/>
          </w:rPr>
          <w:t>Table of Contents</w:t>
        </w:r>
      </w:hyperlink>
    </w:p>
    <w:p>
      <w:pPr>
        <w:spacing w:after="0" w:line="256" w:lineRule="exact"/>
        <w:rPr>
          <w:sz w:val="20"/>
          <w:szCs w:val="20"/>
          <w:color w:val="auto"/>
        </w:rPr>
      </w:pPr>
    </w:p>
    <w:p>
      <w:pPr>
        <w:jc w:val="center"/>
        <w:ind w:right="-1099"/>
        <w:spacing w:after="0"/>
        <w:rPr>
          <w:sz w:val="20"/>
          <w:szCs w:val="20"/>
          <w:color w:val="auto"/>
        </w:rPr>
      </w:pPr>
      <w:r>
        <w:rPr>
          <w:rFonts w:ascii="Arial" w:cs="Arial" w:eastAsia="Arial" w:hAnsi="Arial"/>
          <w:sz w:val="15"/>
          <w:szCs w:val="15"/>
          <w:b w:val="1"/>
          <w:bCs w:val="1"/>
          <w:color w:val="auto"/>
        </w:rPr>
        <w:t>SELECTED CONSOLIDATED FINANCIAL AND OTHER DATA</w:t>
      </w:r>
    </w:p>
    <w:p>
      <w:pPr>
        <w:spacing w:after="0" w:line="192" w:lineRule="exact"/>
        <w:rPr>
          <w:sz w:val="20"/>
          <w:szCs w:val="20"/>
          <w:color w:val="auto"/>
        </w:rPr>
      </w:pPr>
    </w:p>
    <w:p>
      <w:pPr>
        <w:ind w:left="1120" w:right="40" w:firstLine="368"/>
        <w:spacing w:after="0" w:line="276" w:lineRule="auto"/>
        <w:rPr>
          <w:sz w:val="20"/>
          <w:szCs w:val="20"/>
          <w:color w:val="auto"/>
        </w:rPr>
      </w:pPr>
      <w:r>
        <w:rPr>
          <w:rFonts w:ascii="Arial" w:cs="Arial" w:eastAsia="Arial" w:hAnsi="Arial"/>
          <w:sz w:val="14"/>
          <w:szCs w:val="14"/>
          <w:color w:val="auto"/>
        </w:rPr>
        <w:t>The following selected consolidated financial data should be read in conjunction with “Management’s Discussion and Analysis of Financial Condition and Results of Operations” and the consolidated financial statements and related notes thereto included elsewhere in this prospectus. The consolidated statements of operations data for each of the years ended December 31, 2015, 2016, and 2017 and the consolidated balance sheet data as of December 31, 2016 and 2017, are derived from our audited consolidated financial statements that are included elsewhere in this prospectus. Our historical results are not necessarily indicative of our future results. The selected consolidated financial data in this section are not intended to replace the consolidated financial statements and related notes thereto included elsewhere in this prospectus and are qualified in their entirety by the consolidated financial statements and related notes thereto included elsewhere in this prospectus.</w:t>
      </w:r>
    </w:p>
    <w:p>
      <w:pPr>
        <w:spacing w:after="0" w:line="234" w:lineRule="exact"/>
        <w:rPr>
          <w:sz w:val="20"/>
          <w:szCs w:val="20"/>
          <w:color w:val="auto"/>
        </w:rPr>
      </w:pPr>
    </w:p>
    <w:p>
      <w:pPr>
        <w:ind w:left="1120"/>
        <w:spacing w:after="0"/>
        <w:rPr>
          <w:sz w:val="20"/>
          <w:szCs w:val="20"/>
          <w:color w:val="auto"/>
        </w:rPr>
      </w:pPr>
      <w:r>
        <w:rPr>
          <w:rFonts w:ascii="Arial" w:cs="Arial" w:eastAsia="Arial" w:hAnsi="Arial"/>
          <w:sz w:val="15"/>
          <w:szCs w:val="15"/>
          <w:b w:val="1"/>
          <w:bCs w:val="1"/>
          <w:color w:val="auto"/>
        </w:rPr>
        <w:t>Consolidated Statements of Operations Data</w:t>
      </w:r>
    </w:p>
    <w:p>
      <w:pPr>
        <w:spacing w:after="0" w:line="206" w:lineRule="exact"/>
        <w:rPr>
          <w:sz w:val="20"/>
          <w:szCs w:val="20"/>
          <w:color w:val="auto"/>
        </w:rPr>
      </w:pPr>
    </w:p>
    <w:tbl>
      <w:tblPr>
        <w:tblLayout w:type="fixed"/>
        <w:tblInd w:w="1120" w:type="dxa"/>
        <w:tblCellMar>
          <w:top w:w="0" w:type="dxa"/>
          <w:left w:w="0" w:type="dxa"/>
          <w:bottom w:w="0" w:type="dxa"/>
          <w:right w:w="0" w:type="dxa"/>
        </w:tblCellMar>
      </w:tblPr>
      <w:tr>
        <w:trPr>
          <w:trHeight w:val="144"/>
        </w:trPr>
        <w:tc>
          <w:tcPr>
            <w:tcW w:w="20" w:type="dxa"/>
            <w:vAlign w:val="bottom"/>
          </w:tcPr>
          <w:p>
            <w:pPr>
              <w:spacing w:after="0"/>
              <w:rPr>
                <w:sz w:val="12"/>
                <w:szCs w:val="12"/>
                <w:color w:val="auto"/>
              </w:rPr>
            </w:pPr>
          </w:p>
        </w:tc>
        <w:tc>
          <w:tcPr>
            <w:tcW w:w="6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0" w:type="dxa"/>
            <w:vAlign w:val="bottom"/>
            <w:gridSpan w:val="10"/>
          </w:tcPr>
          <w:p>
            <w:pPr>
              <w:jc w:val="center"/>
              <w:ind w:right="160"/>
              <w:spacing w:after="0"/>
              <w:rPr>
                <w:sz w:val="20"/>
                <w:szCs w:val="20"/>
                <w:color w:val="auto"/>
              </w:rPr>
            </w:pPr>
            <w:r>
              <w:rPr>
                <w:rFonts w:ascii="Arial" w:cs="Arial" w:eastAsia="Arial" w:hAnsi="Arial"/>
                <w:sz w:val="12"/>
                <w:szCs w:val="12"/>
                <w:b w:val="1"/>
                <w:bCs w:val="1"/>
                <w:color w:val="auto"/>
                <w:w w:val="90"/>
              </w:rPr>
              <w:t>Year ended December 31,</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67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00" w:type="dxa"/>
            <w:vAlign w:val="bottom"/>
            <w:tcBorders>
              <w:top w:val="single" w:sz="8" w:color="auto"/>
              <w:bottom w:val="single" w:sz="8" w:color="auto"/>
            </w:tcBorders>
          </w:tcPr>
          <w:p>
            <w:pPr>
              <w:jc w:val="right"/>
              <w:ind w:right="48"/>
              <w:spacing w:after="0" w:line="115" w:lineRule="exact"/>
              <w:rPr>
                <w:sz w:val="20"/>
                <w:szCs w:val="20"/>
                <w:color w:val="auto"/>
              </w:rPr>
            </w:pPr>
            <w:r>
              <w:rPr>
                <w:rFonts w:ascii="Arial" w:cs="Arial" w:eastAsia="Arial" w:hAnsi="Arial"/>
                <w:sz w:val="12"/>
                <w:szCs w:val="12"/>
                <w:b w:val="1"/>
                <w:bCs w:val="1"/>
                <w:color w:val="auto"/>
                <w:w w:val="97"/>
              </w:rPr>
              <w:t>2015</w:t>
            </w:r>
          </w:p>
        </w:tc>
        <w:tc>
          <w:tcPr>
            <w:tcW w:w="200" w:type="dxa"/>
            <w:vAlign w:val="bottom"/>
            <w:tcBorders>
              <w:top w:val="single" w:sz="8" w:color="auto"/>
              <w:bottom w:val="single" w:sz="8" w:color="auto"/>
            </w:tcBorders>
          </w:tcPr>
          <w:p>
            <w:pPr>
              <w:spacing w:after="0"/>
              <w:rPr>
                <w:sz w:val="10"/>
                <w:szCs w:val="10"/>
                <w:color w:val="auto"/>
              </w:rPr>
            </w:pPr>
          </w:p>
        </w:tc>
        <w:tc>
          <w:tcPr>
            <w:tcW w:w="160" w:type="dxa"/>
            <w:vAlign w:val="bottom"/>
            <w:tcBorders>
              <w:top w:val="single" w:sz="8" w:color="auto"/>
              <w:bottom w:val="single" w:sz="8" w:color="auto"/>
            </w:tcBorders>
          </w:tcPr>
          <w:p>
            <w:pPr>
              <w:spacing w:after="0"/>
              <w:rPr>
                <w:sz w:val="10"/>
                <w:szCs w:val="10"/>
                <w:color w:val="auto"/>
              </w:rPr>
            </w:pPr>
          </w:p>
        </w:tc>
        <w:tc>
          <w:tcPr>
            <w:tcW w:w="80" w:type="dxa"/>
            <w:vAlign w:val="bottom"/>
            <w:tcBorders>
              <w:top w:val="single" w:sz="8" w:color="auto"/>
              <w:bottom w:val="single" w:sz="8" w:color="auto"/>
            </w:tcBorders>
          </w:tcPr>
          <w:p>
            <w:pPr>
              <w:spacing w:after="0"/>
              <w:rPr>
                <w:sz w:val="10"/>
                <w:szCs w:val="10"/>
                <w:color w:val="auto"/>
              </w:rPr>
            </w:pPr>
          </w:p>
        </w:tc>
        <w:tc>
          <w:tcPr>
            <w:tcW w:w="400" w:type="dxa"/>
            <w:vAlign w:val="bottom"/>
            <w:tcBorders>
              <w:top w:val="single" w:sz="8" w:color="auto"/>
              <w:bottom w:val="single" w:sz="8" w:color="auto"/>
            </w:tcBorders>
          </w:tcPr>
          <w:p>
            <w:pPr>
              <w:jc w:val="right"/>
              <w:ind w:right="66"/>
              <w:spacing w:after="0" w:line="115" w:lineRule="exact"/>
              <w:rPr>
                <w:sz w:val="20"/>
                <w:szCs w:val="20"/>
                <w:color w:val="auto"/>
              </w:rPr>
            </w:pPr>
            <w:r>
              <w:rPr>
                <w:rFonts w:ascii="Arial" w:cs="Arial" w:eastAsia="Arial" w:hAnsi="Arial"/>
                <w:sz w:val="12"/>
                <w:szCs w:val="12"/>
                <w:b w:val="1"/>
                <w:bCs w:val="1"/>
                <w:color w:val="auto"/>
                <w:w w:val="89"/>
              </w:rPr>
              <w:t>2016</w:t>
            </w:r>
          </w:p>
        </w:tc>
        <w:tc>
          <w:tcPr>
            <w:tcW w:w="180" w:type="dxa"/>
            <w:vAlign w:val="bottom"/>
            <w:tcBorders>
              <w:top w:val="single" w:sz="8" w:color="auto"/>
              <w:bottom w:val="single" w:sz="8" w:color="auto"/>
            </w:tcBorders>
          </w:tcPr>
          <w:p>
            <w:pPr>
              <w:spacing w:after="0"/>
              <w:rPr>
                <w:sz w:val="10"/>
                <w:szCs w:val="10"/>
                <w:color w:val="auto"/>
              </w:rPr>
            </w:pPr>
          </w:p>
        </w:tc>
        <w:tc>
          <w:tcPr>
            <w:tcW w:w="160" w:type="dxa"/>
            <w:vAlign w:val="bottom"/>
            <w:tcBorders>
              <w:top w:val="single" w:sz="8" w:color="auto"/>
              <w:bottom w:val="single" w:sz="8" w:color="auto"/>
            </w:tcBorders>
          </w:tcPr>
          <w:p>
            <w:pPr>
              <w:spacing w:after="0"/>
              <w:rPr>
                <w:sz w:val="10"/>
                <w:szCs w:val="10"/>
                <w:color w:val="auto"/>
              </w:rPr>
            </w:pPr>
          </w:p>
        </w:tc>
        <w:tc>
          <w:tcPr>
            <w:tcW w:w="80" w:type="dxa"/>
            <w:vAlign w:val="bottom"/>
            <w:tcBorders>
              <w:top w:val="single" w:sz="8" w:color="auto"/>
              <w:bottom w:val="single" w:sz="8" w:color="auto"/>
            </w:tcBorders>
          </w:tcPr>
          <w:p>
            <w:pPr>
              <w:spacing w:after="0"/>
              <w:rPr>
                <w:sz w:val="10"/>
                <w:szCs w:val="10"/>
                <w:color w:val="auto"/>
              </w:rPr>
            </w:pPr>
          </w:p>
        </w:tc>
        <w:tc>
          <w:tcPr>
            <w:tcW w:w="460" w:type="dxa"/>
            <w:vAlign w:val="bottom"/>
            <w:tcBorders>
              <w:top w:val="single" w:sz="8" w:color="auto"/>
              <w:bottom w:val="single" w:sz="8" w:color="auto"/>
            </w:tcBorders>
          </w:tcPr>
          <w:p>
            <w:pPr>
              <w:jc w:val="right"/>
              <w:ind w:right="86"/>
              <w:spacing w:after="0" w:line="115" w:lineRule="exact"/>
              <w:rPr>
                <w:sz w:val="20"/>
                <w:szCs w:val="20"/>
                <w:color w:val="auto"/>
              </w:rPr>
            </w:pPr>
            <w:r>
              <w:rPr>
                <w:rFonts w:ascii="Arial" w:cs="Arial" w:eastAsia="Arial" w:hAnsi="Arial"/>
                <w:sz w:val="12"/>
                <w:szCs w:val="12"/>
                <w:b w:val="1"/>
                <w:bCs w:val="1"/>
                <w:color w:val="auto"/>
              </w:rPr>
              <w:t>2017</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6760" w:type="dxa"/>
            <w:vAlign w:val="bottom"/>
          </w:tcPr>
          <w:p>
            <w:pPr>
              <w:spacing w:after="0"/>
              <w:rPr>
                <w:sz w:val="8"/>
                <w:szCs w:val="8"/>
                <w:color w:val="auto"/>
              </w:rPr>
            </w:pPr>
          </w:p>
        </w:tc>
        <w:tc>
          <w:tcPr>
            <w:tcW w:w="220" w:type="dxa"/>
            <w:vAlign w:val="bottom"/>
          </w:tcPr>
          <w:p>
            <w:pPr>
              <w:spacing w:after="0"/>
              <w:rPr>
                <w:sz w:val="8"/>
                <w:szCs w:val="8"/>
                <w:color w:val="auto"/>
              </w:rPr>
            </w:pPr>
          </w:p>
        </w:tc>
        <w:tc>
          <w:tcPr>
            <w:tcW w:w="2120" w:type="dxa"/>
            <w:vAlign w:val="bottom"/>
            <w:gridSpan w:val="9"/>
          </w:tcPr>
          <w:p>
            <w:pPr>
              <w:jc w:val="center"/>
              <w:ind w:right="6"/>
              <w:spacing w:after="0" w:line="100" w:lineRule="exact"/>
              <w:rPr>
                <w:sz w:val="20"/>
                <w:szCs w:val="20"/>
                <w:color w:val="auto"/>
              </w:rPr>
            </w:pPr>
            <w:r>
              <w:rPr>
                <w:rFonts w:ascii="Arial" w:cs="Arial" w:eastAsia="Arial" w:hAnsi="Arial"/>
                <w:sz w:val="11"/>
                <w:szCs w:val="11"/>
                <w:i w:val="1"/>
                <w:iCs w:val="1"/>
                <w:color w:val="auto"/>
              </w:rPr>
              <w:t>(In millions except for per share</w:t>
            </w: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gridSpan w:val="3"/>
          </w:tcPr>
          <w:p>
            <w:pPr>
              <w:jc w:val="center"/>
              <w:ind w:right="140"/>
              <w:spacing w:after="0"/>
              <w:rPr>
                <w:sz w:val="20"/>
                <w:szCs w:val="20"/>
                <w:color w:val="auto"/>
              </w:rPr>
            </w:pPr>
            <w:r>
              <w:rPr>
                <w:rFonts w:ascii="Arial" w:cs="Arial" w:eastAsia="Arial" w:hAnsi="Arial"/>
                <w:sz w:val="12"/>
                <w:szCs w:val="12"/>
                <w:i w:val="1"/>
                <w:iCs w:val="1"/>
                <w:color w:val="auto"/>
                <w:w w:val="87"/>
              </w:rPr>
              <w:t>amounts)</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760" w:type="dxa"/>
            <w:vAlign w:val="bottom"/>
            <w:shd w:val="clear" w:color="auto" w:fill="CCEEFF"/>
          </w:tcPr>
          <w:p>
            <w:pPr>
              <w:spacing w:after="0"/>
              <w:rPr>
                <w:sz w:val="20"/>
                <w:szCs w:val="20"/>
                <w:color w:val="auto"/>
              </w:rPr>
            </w:pPr>
            <w:r>
              <w:rPr>
                <w:rFonts w:ascii="Arial" w:cs="Arial" w:eastAsia="Arial" w:hAnsi="Arial"/>
                <w:sz w:val="15"/>
                <w:szCs w:val="15"/>
                <w:color w:val="auto"/>
              </w:rPr>
              <w:t>Revenue</w:t>
            </w:r>
          </w:p>
        </w:tc>
        <w:tc>
          <w:tcPr>
            <w:tcW w:w="2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603.8</w:t>
            </w:r>
          </w:p>
        </w:tc>
        <w:tc>
          <w:tcPr>
            <w:tcW w:w="200" w:type="dxa"/>
            <w:vAlign w:val="bottom"/>
            <w:shd w:val="clear" w:color="auto" w:fill="CCEEFF"/>
          </w:tcPr>
          <w:p>
            <w:pPr>
              <w:spacing w:after="0"/>
              <w:rPr>
                <w:sz w:val="15"/>
                <w:szCs w:val="15"/>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844.8</w:t>
            </w:r>
          </w:p>
        </w:tc>
        <w:tc>
          <w:tcPr>
            <w:tcW w:w="180" w:type="dxa"/>
            <w:vAlign w:val="bottom"/>
            <w:shd w:val="clear" w:color="auto" w:fill="CCEEFF"/>
          </w:tcPr>
          <w:p>
            <w:pPr>
              <w:spacing w:after="0"/>
              <w:rPr>
                <w:sz w:val="15"/>
                <w:szCs w:val="15"/>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5"/>
                <w:szCs w:val="15"/>
                <w:color w:val="auto"/>
                <w:w w:val="83"/>
              </w:rPr>
              <w:t>1,106.8</w:t>
            </w: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6760" w:type="dxa"/>
            <w:vAlign w:val="bottom"/>
          </w:tcPr>
          <w:p>
            <w:pPr>
              <w:ind w:left="280"/>
              <w:spacing w:after="0"/>
              <w:rPr>
                <w:sz w:val="20"/>
                <w:szCs w:val="20"/>
                <w:color w:val="auto"/>
              </w:rPr>
            </w:pPr>
            <w:r>
              <w:rPr>
                <w:rFonts w:ascii="Arial" w:cs="Arial" w:eastAsia="Arial" w:hAnsi="Arial"/>
                <w:sz w:val="15"/>
                <w:szCs w:val="15"/>
                <w:color w:val="auto"/>
              </w:rPr>
              <w:t>Cost of revenue</w:t>
            </w:r>
            <w:r>
              <w:rPr>
                <w:rFonts w:ascii="Arial" w:cs="Arial" w:eastAsia="Arial" w:hAnsi="Arial"/>
                <w:sz w:val="12"/>
                <w:szCs w:val="12"/>
                <w:color w:val="auto"/>
              </w:rPr>
              <w:t>(1)</w:t>
            </w:r>
          </w:p>
        </w:tc>
        <w:tc>
          <w:tcPr>
            <w:tcW w:w="220" w:type="dxa"/>
            <w:vAlign w:val="bottom"/>
          </w:tcPr>
          <w:p>
            <w:pPr>
              <w:spacing w:after="0"/>
              <w:rPr>
                <w:sz w:val="15"/>
                <w:szCs w:val="15"/>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407.4</w:t>
            </w: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5"/>
              </w:rPr>
              <w:t>390.6</w:t>
            </w: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368.9</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760" w:type="dxa"/>
            <w:vAlign w:val="bottom"/>
            <w:shd w:val="clear" w:color="auto" w:fill="CCEEFF"/>
          </w:tcPr>
          <w:p>
            <w:pPr>
              <w:spacing w:after="0"/>
              <w:rPr>
                <w:sz w:val="20"/>
                <w:szCs w:val="20"/>
                <w:color w:val="auto"/>
              </w:rPr>
            </w:pPr>
            <w:r>
              <w:rPr>
                <w:rFonts w:ascii="Arial" w:cs="Arial" w:eastAsia="Arial" w:hAnsi="Arial"/>
                <w:sz w:val="15"/>
                <w:szCs w:val="15"/>
                <w:color w:val="auto"/>
              </w:rPr>
              <w:t>Gross profit</w:t>
            </w:r>
          </w:p>
        </w:tc>
        <w:tc>
          <w:tcPr>
            <w:tcW w:w="220" w:type="dxa"/>
            <w:vAlign w:val="bottom"/>
            <w:tcBorders>
              <w:right w:val="single" w:sz="8" w:color="CCEEFF"/>
            </w:tcBorders>
            <w:shd w:val="clear" w:color="auto" w:fill="CCEEFF"/>
          </w:tcPr>
          <w:p>
            <w:pPr>
              <w:spacing w:after="0"/>
              <w:rPr>
                <w:sz w:val="15"/>
                <w:szCs w:val="15"/>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196.4</w:t>
            </w:r>
          </w:p>
        </w:tc>
        <w:tc>
          <w:tcPr>
            <w:tcW w:w="2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454.2</w:t>
            </w:r>
          </w:p>
        </w:tc>
        <w:tc>
          <w:tcPr>
            <w:tcW w:w="1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737.9</w:t>
            </w: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760" w:type="dxa"/>
            <w:vAlign w:val="bottom"/>
          </w:tcPr>
          <w:p>
            <w:pPr>
              <w:spacing w:after="0"/>
              <w:rPr>
                <w:sz w:val="20"/>
                <w:szCs w:val="20"/>
                <w:color w:val="auto"/>
              </w:rPr>
            </w:pPr>
            <w:r>
              <w:rPr>
                <w:rFonts w:ascii="Arial" w:cs="Arial" w:eastAsia="Arial" w:hAnsi="Arial"/>
                <w:sz w:val="15"/>
                <w:szCs w:val="15"/>
                <w:color w:val="auto"/>
              </w:rPr>
              <w:t>Operating expenses:</w:t>
            </w:r>
            <w:r>
              <w:rPr>
                <w:rFonts w:ascii="Arial" w:cs="Arial" w:eastAsia="Arial" w:hAnsi="Arial"/>
                <w:sz w:val="12"/>
                <w:szCs w:val="12"/>
                <w:color w:val="auto"/>
              </w:rPr>
              <w:t>(1)</w:t>
            </w:r>
          </w:p>
        </w:tc>
        <w:tc>
          <w:tcPr>
            <w:tcW w:w="2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760" w:type="dxa"/>
            <w:vAlign w:val="bottom"/>
            <w:shd w:val="clear" w:color="auto" w:fill="CCEEFF"/>
          </w:tcPr>
          <w:p>
            <w:pPr>
              <w:ind w:left="280"/>
              <w:spacing w:after="0"/>
              <w:rPr>
                <w:sz w:val="20"/>
                <w:szCs w:val="20"/>
                <w:color w:val="auto"/>
              </w:rPr>
            </w:pPr>
            <w:r>
              <w:rPr>
                <w:rFonts w:ascii="Arial" w:cs="Arial" w:eastAsia="Arial" w:hAnsi="Arial"/>
                <w:sz w:val="15"/>
                <w:szCs w:val="15"/>
                <w:color w:val="auto"/>
              </w:rPr>
              <w:t>Research and development</w:t>
            </w:r>
          </w:p>
        </w:tc>
        <w:tc>
          <w:tcPr>
            <w:tcW w:w="220" w:type="dxa"/>
            <w:vAlign w:val="bottom"/>
            <w:tcBorders>
              <w:right w:val="single" w:sz="8" w:color="CCEEFF"/>
            </w:tcBorders>
            <w:shd w:val="clear" w:color="auto" w:fill="CCEEFF"/>
          </w:tcPr>
          <w:p>
            <w:pPr>
              <w:spacing w:after="0"/>
              <w:rPr>
                <w:sz w:val="15"/>
                <w:szCs w:val="15"/>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201.6</w:t>
            </w:r>
          </w:p>
        </w:tc>
        <w:tc>
          <w:tcPr>
            <w:tcW w:w="2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289.7</w:t>
            </w:r>
          </w:p>
        </w:tc>
        <w:tc>
          <w:tcPr>
            <w:tcW w:w="1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380.3</w:t>
            </w: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760" w:type="dxa"/>
            <w:vAlign w:val="bottom"/>
          </w:tcPr>
          <w:p>
            <w:pPr>
              <w:ind w:left="280"/>
              <w:spacing w:after="0"/>
              <w:rPr>
                <w:sz w:val="20"/>
                <w:szCs w:val="20"/>
                <w:color w:val="auto"/>
              </w:rPr>
            </w:pPr>
            <w:r>
              <w:rPr>
                <w:rFonts w:ascii="Arial" w:cs="Arial" w:eastAsia="Arial" w:hAnsi="Arial"/>
                <w:sz w:val="15"/>
                <w:szCs w:val="15"/>
                <w:color w:val="auto"/>
              </w:rPr>
              <w:t>Sales and marketing</w:t>
            </w:r>
          </w:p>
        </w:tc>
        <w:tc>
          <w:tcPr>
            <w:tcW w:w="220" w:type="dxa"/>
            <w:vAlign w:val="bottom"/>
          </w:tcPr>
          <w:p>
            <w:pPr>
              <w:spacing w:after="0"/>
              <w:rPr>
                <w:sz w:val="15"/>
                <w:szCs w:val="15"/>
                <w:color w:val="auto"/>
              </w:rPr>
            </w:pPr>
          </w:p>
        </w:tc>
        <w:tc>
          <w:tcPr>
            <w:tcW w:w="400" w:type="dxa"/>
            <w:vAlign w:val="bottom"/>
          </w:tcPr>
          <w:p>
            <w:pPr>
              <w:jc w:val="right"/>
              <w:spacing w:after="0"/>
              <w:rPr>
                <w:sz w:val="20"/>
                <w:szCs w:val="20"/>
                <w:color w:val="auto"/>
              </w:rPr>
            </w:pPr>
            <w:r>
              <w:rPr>
                <w:rFonts w:ascii="Arial" w:cs="Arial" w:eastAsia="Arial" w:hAnsi="Arial"/>
                <w:sz w:val="15"/>
                <w:szCs w:val="15"/>
                <w:color w:val="auto"/>
              </w:rPr>
              <w:t>193.1</w:t>
            </w: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0" w:type="dxa"/>
            <w:vAlign w:val="bottom"/>
          </w:tcPr>
          <w:p>
            <w:pPr>
              <w:jc w:val="right"/>
              <w:spacing w:after="0"/>
              <w:rPr>
                <w:sz w:val="20"/>
                <w:szCs w:val="20"/>
                <w:color w:val="auto"/>
              </w:rPr>
            </w:pPr>
            <w:r>
              <w:rPr>
                <w:rFonts w:ascii="Arial" w:cs="Arial" w:eastAsia="Arial" w:hAnsi="Arial"/>
                <w:sz w:val="15"/>
                <w:szCs w:val="15"/>
                <w:color w:val="auto"/>
                <w:w w:val="95"/>
              </w:rPr>
              <w:t>250.6</w:t>
            </w: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Arial" w:cs="Arial" w:eastAsia="Arial" w:hAnsi="Arial"/>
                <w:sz w:val="15"/>
                <w:szCs w:val="15"/>
                <w:color w:val="auto"/>
              </w:rPr>
              <w:t>314.0</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760" w:type="dxa"/>
            <w:vAlign w:val="bottom"/>
            <w:shd w:val="clear" w:color="auto" w:fill="CCEEFF"/>
          </w:tcPr>
          <w:p>
            <w:pPr>
              <w:ind w:left="280"/>
              <w:spacing w:after="0"/>
              <w:rPr>
                <w:sz w:val="20"/>
                <w:szCs w:val="20"/>
                <w:color w:val="auto"/>
              </w:rPr>
            </w:pPr>
            <w:r>
              <w:rPr>
                <w:rFonts w:ascii="Arial" w:cs="Arial" w:eastAsia="Arial" w:hAnsi="Arial"/>
                <w:sz w:val="15"/>
                <w:szCs w:val="15"/>
                <w:color w:val="auto"/>
              </w:rPr>
              <w:t>General and administrative</w:t>
            </w:r>
          </w:p>
        </w:tc>
        <w:tc>
          <w:tcPr>
            <w:tcW w:w="220" w:type="dxa"/>
            <w:vAlign w:val="bottom"/>
            <w:tcBorders>
              <w:right w:val="single" w:sz="8" w:color="CCEEFF"/>
            </w:tcBorders>
            <w:shd w:val="clear" w:color="auto" w:fill="CCEEFF"/>
          </w:tcPr>
          <w:p>
            <w:pPr>
              <w:spacing w:after="0"/>
              <w:rPr>
                <w:sz w:val="15"/>
                <w:szCs w:val="15"/>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107.9</w:t>
            </w:r>
          </w:p>
        </w:tc>
        <w:tc>
          <w:tcPr>
            <w:tcW w:w="2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107.4</w:t>
            </w:r>
          </w:p>
        </w:tc>
        <w:tc>
          <w:tcPr>
            <w:tcW w:w="1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157.3</w:t>
            </w: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6780" w:type="dxa"/>
            <w:vAlign w:val="bottom"/>
            <w:gridSpan w:val="2"/>
          </w:tcPr>
          <w:p>
            <w:pPr>
              <w:spacing w:after="0"/>
              <w:rPr>
                <w:sz w:val="20"/>
                <w:szCs w:val="20"/>
                <w:color w:val="auto"/>
              </w:rPr>
            </w:pPr>
            <w:r>
              <w:rPr>
                <w:rFonts w:ascii="Arial" w:cs="Arial" w:eastAsia="Arial" w:hAnsi="Arial"/>
                <w:sz w:val="15"/>
                <w:szCs w:val="15"/>
                <w:color w:val="auto"/>
              </w:rPr>
              <w:t>Total operating expenses</w:t>
            </w:r>
          </w:p>
        </w:tc>
        <w:tc>
          <w:tcPr>
            <w:tcW w:w="220" w:type="dxa"/>
            <w:vAlign w:val="bottom"/>
          </w:tcPr>
          <w:p>
            <w:pPr>
              <w:spacing w:after="0"/>
              <w:rPr>
                <w:sz w:val="16"/>
                <w:szCs w:val="16"/>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502.6</w:t>
            </w: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5"/>
              </w:rPr>
              <w:t>647.7</w:t>
            </w: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851.6</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760" w:type="dxa"/>
            <w:vAlign w:val="bottom"/>
            <w:shd w:val="clear" w:color="auto" w:fill="CCEEFF"/>
          </w:tcPr>
          <w:p>
            <w:pPr>
              <w:spacing w:after="0"/>
              <w:rPr>
                <w:sz w:val="20"/>
                <w:szCs w:val="20"/>
                <w:color w:val="auto"/>
              </w:rPr>
            </w:pPr>
            <w:r>
              <w:rPr>
                <w:rFonts w:ascii="Arial" w:cs="Arial" w:eastAsia="Arial" w:hAnsi="Arial"/>
                <w:sz w:val="15"/>
                <w:szCs w:val="15"/>
                <w:color w:val="auto"/>
              </w:rPr>
              <w:t>Loss from operations</w:t>
            </w:r>
          </w:p>
        </w:tc>
        <w:tc>
          <w:tcPr>
            <w:tcW w:w="220" w:type="dxa"/>
            <w:vAlign w:val="bottom"/>
            <w:tcBorders>
              <w:right w:val="single" w:sz="8" w:color="CCEEFF"/>
            </w:tcBorders>
            <w:shd w:val="clear" w:color="auto" w:fill="CCEEFF"/>
          </w:tcPr>
          <w:p>
            <w:pPr>
              <w:spacing w:after="0"/>
              <w:rPr>
                <w:sz w:val="15"/>
                <w:szCs w:val="15"/>
                <w:color w:val="auto"/>
              </w:rPr>
            </w:pP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w w:val="92"/>
              </w:rPr>
              <w:t>(306.2)</w:t>
            </w:r>
          </w:p>
        </w:tc>
        <w:tc>
          <w:tcPr>
            <w:tcW w:w="1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w w:val="88"/>
              </w:rPr>
              <w:t>(193.5)</w:t>
            </w:r>
          </w:p>
        </w:tc>
        <w:tc>
          <w:tcPr>
            <w:tcW w:w="1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(113.7)</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760" w:type="dxa"/>
            <w:vAlign w:val="bottom"/>
          </w:tcPr>
          <w:p>
            <w:pPr>
              <w:spacing w:after="0"/>
              <w:rPr>
                <w:sz w:val="20"/>
                <w:szCs w:val="20"/>
                <w:color w:val="auto"/>
              </w:rPr>
            </w:pPr>
            <w:r>
              <w:rPr>
                <w:rFonts w:ascii="Arial" w:cs="Arial" w:eastAsia="Arial" w:hAnsi="Arial"/>
                <w:sz w:val="15"/>
                <w:szCs w:val="15"/>
                <w:color w:val="auto"/>
              </w:rPr>
              <w:t>Interest expense, net</w:t>
            </w:r>
          </w:p>
        </w:tc>
        <w:tc>
          <w:tcPr>
            <w:tcW w:w="220" w:type="dxa"/>
            <w:vAlign w:val="bottom"/>
          </w:tcPr>
          <w:p>
            <w:pPr>
              <w:spacing w:after="0"/>
              <w:rPr>
                <w:sz w:val="15"/>
                <w:szCs w:val="15"/>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5"/>
                <w:szCs w:val="15"/>
                <w:color w:val="auto"/>
              </w:rPr>
              <w:t>(15.2)</w:t>
            </w: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gridSpan w:val="2"/>
          </w:tcPr>
          <w:p>
            <w:pPr>
              <w:jc w:val="right"/>
              <w:ind w:right="140"/>
              <w:spacing w:after="0"/>
              <w:rPr>
                <w:sz w:val="20"/>
                <w:szCs w:val="20"/>
                <w:color w:val="auto"/>
              </w:rPr>
            </w:pPr>
            <w:r>
              <w:rPr>
                <w:rFonts w:ascii="Arial" w:cs="Arial" w:eastAsia="Arial" w:hAnsi="Arial"/>
                <w:sz w:val="15"/>
                <w:szCs w:val="15"/>
                <w:color w:val="auto"/>
              </w:rPr>
              <w:t>(16.4)</w:t>
            </w: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gridSpan w:val="2"/>
          </w:tcPr>
          <w:p>
            <w:pPr>
              <w:jc w:val="right"/>
              <w:ind w:right="40"/>
              <w:spacing w:after="0"/>
              <w:rPr>
                <w:sz w:val="20"/>
                <w:szCs w:val="20"/>
                <w:color w:val="auto"/>
              </w:rPr>
            </w:pPr>
            <w:r>
              <w:rPr>
                <w:rFonts w:ascii="Arial" w:cs="Arial" w:eastAsia="Arial" w:hAnsi="Arial"/>
                <w:sz w:val="15"/>
                <w:szCs w:val="15"/>
                <w:color w:val="auto"/>
              </w:rPr>
              <w:t>(11.0)</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760" w:type="dxa"/>
            <w:vAlign w:val="bottom"/>
            <w:shd w:val="clear" w:color="auto" w:fill="CCEEFF"/>
          </w:tcPr>
          <w:p>
            <w:pPr>
              <w:spacing w:after="0"/>
              <w:rPr>
                <w:sz w:val="20"/>
                <w:szCs w:val="20"/>
                <w:color w:val="auto"/>
              </w:rPr>
            </w:pPr>
            <w:r>
              <w:rPr>
                <w:rFonts w:ascii="Arial" w:cs="Arial" w:eastAsia="Arial" w:hAnsi="Arial"/>
                <w:sz w:val="15"/>
                <w:szCs w:val="15"/>
                <w:color w:val="auto"/>
              </w:rPr>
              <w:t>Other income (expense), net</w:t>
            </w:r>
          </w:p>
        </w:tc>
        <w:tc>
          <w:tcPr>
            <w:tcW w:w="220" w:type="dxa"/>
            <w:vAlign w:val="bottom"/>
            <w:tcBorders>
              <w:right w:val="single" w:sz="8" w:color="CCEEFF"/>
            </w:tcBorders>
            <w:shd w:val="clear" w:color="auto" w:fill="CCEEFF"/>
          </w:tcPr>
          <w:p>
            <w:pPr>
              <w:spacing w:after="0"/>
              <w:rPr>
                <w:sz w:val="15"/>
                <w:szCs w:val="15"/>
                <w:color w:val="auto"/>
              </w:rPr>
            </w:pP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(4.2)</w:t>
            </w:r>
          </w:p>
        </w:tc>
        <w:tc>
          <w:tcPr>
            <w:tcW w:w="1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4.9</w:t>
            </w:r>
          </w:p>
        </w:tc>
        <w:tc>
          <w:tcPr>
            <w:tcW w:w="1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13.2</w:t>
            </w: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6780" w:type="dxa"/>
            <w:vAlign w:val="bottom"/>
            <w:gridSpan w:val="2"/>
            <w:vMerge w:val="restart"/>
          </w:tcPr>
          <w:p>
            <w:pPr>
              <w:spacing w:after="0"/>
              <w:rPr>
                <w:sz w:val="20"/>
                <w:szCs w:val="20"/>
                <w:color w:val="auto"/>
              </w:rPr>
            </w:pPr>
            <w:r>
              <w:rPr>
                <w:rFonts w:ascii="Arial" w:cs="Arial" w:eastAsia="Arial" w:hAnsi="Arial"/>
                <w:sz w:val="15"/>
                <w:szCs w:val="15"/>
                <w:color w:val="auto"/>
              </w:rPr>
              <w:t>Loss before income taxes</w:t>
            </w:r>
          </w:p>
        </w:tc>
        <w:tc>
          <w:tcPr>
            <w:tcW w:w="220" w:type="dxa"/>
            <w:vAlign w:val="bottom"/>
            <w:tcBorders>
              <w:right w:val="single" w:sz="8" w:color="auto"/>
            </w:tcBorders>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780" w:type="dxa"/>
            <w:vAlign w:val="bottom"/>
            <w:gridSpan w:val="2"/>
            <w:vMerge w:val="continue"/>
          </w:tcPr>
          <w:p>
            <w:pPr>
              <w:spacing w:after="0"/>
              <w:rPr>
                <w:sz w:val="15"/>
                <w:szCs w:val="15"/>
                <w:color w:val="auto"/>
              </w:rPr>
            </w:pPr>
          </w:p>
        </w:tc>
        <w:tc>
          <w:tcPr>
            <w:tcW w:w="220" w:type="dxa"/>
            <w:vAlign w:val="bottom"/>
          </w:tcPr>
          <w:p>
            <w:pPr>
              <w:spacing w:after="0"/>
              <w:rPr>
                <w:sz w:val="15"/>
                <w:szCs w:val="15"/>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5"/>
                <w:szCs w:val="15"/>
                <w:color w:val="auto"/>
                <w:w w:val="92"/>
              </w:rPr>
              <w:t>(325.6)</w:t>
            </w: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gridSpan w:val="2"/>
          </w:tcPr>
          <w:p>
            <w:pPr>
              <w:jc w:val="right"/>
              <w:ind w:right="140"/>
              <w:spacing w:after="0"/>
              <w:rPr>
                <w:sz w:val="20"/>
                <w:szCs w:val="20"/>
                <w:color w:val="auto"/>
              </w:rPr>
            </w:pPr>
            <w:r>
              <w:rPr>
                <w:rFonts w:ascii="Arial" w:cs="Arial" w:eastAsia="Arial" w:hAnsi="Arial"/>
                <w:sz w:val="15"/>
                <w:szCs w:val="15"/>
                <w:color w:val="auto"/>
                <w:w w:val="88"/>
              </w:rPr>
              <w:t>(205.0)</w:t>
            </w: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gridSpan w:val="2"/>
          </w:tcPr>
          <w:p>
            <w:pPr>
              <w:jc w:val="right"/>
              <w:ind w:right="40"/>
              <w:spacing w:after="0"/>
              <w:rPr>
                <w:sz w:val="20"/>
                <w:szCs w:val="20"/>
                <w:color w:val="auto"/>
              </w:rPr>
            </w:pPr>
            <w:r>
              <w:rPr>
                <w:rFonts w:ascii="Arial" w:cs="Arial" w:eastAsia="Arial" w:hAnsi="Arial"/>
                <w:sz w:val="15"/>
                <w:szCs w:val="15"/>
                <w:color w:val="auto"/>
              </w:rPr>
              <w:t>(111.5)</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6760" w:type="dxa"/>
            <w:vAlign w:val="bottom"/>
            <w:shd w:val="clear" w:color="auto" w:fill="CCEEFF"/>
          </w:tcPr>
          <w:p>
            <w:pPr>
              <w:spacing w:after="0"/>
              <w:rPr>
                <w:sz w:val="20"/>
                <w:szCs w:val="20"/>
                <w:color w:val="auto"/>
              </w:rPr>
            </w:pPr>
            <w:r>
              <w:rPr>
                <w:rFonts w:ascii="Arial" w:cs="Arial" w:eastAsia="Arial" w:hAnsi="Arial"/>
                <w:sz w:val="15"/>
                <w:szCs w:val="15"/>
                <w:color w:val="auto"/>
              </w:rPr>
              <w:t>Provision for income taxes</w:t>
            </w:r>
          </w:p>
        </w:tc>
        <w:tc>
          <w:tcPr>
            <w:tcW w:w="220" w:type="dxa"/>
            <w:vAlign w:val="bottom"/>
            <w:tcBorders>
              <w:right w:val="single" w:sz="8" w:color="CCEEFF"/>
            </w:tcBorders>
            <w:shd w:val="clear" w:color="auto" w:fill="CCEEFF"/>
          </w:tcPr>
          <w:p>
            <w:pPr>
              <w:spacing w:after="0"/>
              <w:rPr>
                <w:sz w:val="15"/>
                <w:szCs w:val="15"/>
                <w:color w:val="auto"/>
              </w:rPr>
            </w:pP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(0.3)</w:t>
            </w:r>
          </w:p>
        </w:tc>
        <w:tc>
          <w:tcPr>
            <w:tcW w:w="1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(5.2)</w:t>
            </w:r>
          </w:p>
        </w:tc>
        <w:tc>
          <w:tcPr>
            <w:tcW w:w="1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(0.2)</w:t>
            </w:r>
          </w:p>
        </w:tc>
        <w:tc>
          <w:tcPr>
            <w:tcW w:w="0" w:type="dxa"/>
            <w:vAlign w:val="bottom"/>
          </w:tcPr>
          <w:p>
            <w:pPr>
              <w:spacing w:after="0"/>
              <w:rPr>
                <w:sz w:val="1"/>
                <w:szCs w:val="1"/>
                <w:color w:val="auto"/>
              </w:rPr>
            </w:pPr>
          </w:p>
        </w:tc>
      </w:tr>
      <w:tr>
        <w:trPr>
          <w:trHeight w:val="20"/>
        </w:trPr>
        <w:tc>
          <w:tcPr>
            <w:tcW w:w="6780" w:type="dxa"/>
            <w:vAlign w:val="bottom"/>
            <w:gridSpan w:val="2"/>
            <w:vMerge w:val="restart"/>
          </w:tcPr>
          <w:p>
            <w:pPr>
              <w:spacing w:after="0"/>
              <w:rPr>
                <w:sz w:val="20"/>
                <w:szCs w:val="20"/>
                <w:color w:val="auto"/>
              </w:rPr>
            </w:pPr>
            <w:r>
              <w:rPr>
                <w:rFonts w:ascii="Arial" w:cs="Arial" w:eastAsia="Arial" w:hAnsi="Arial"/>
                <w:sz w:val="15"/>
                <w:szCs w:val="15"/>
                <w:color w:val="auto"/>
              </w:rPr>
              <w:t>Net loss</w:t>
            </w:r>
          </w:p>
        </w:tc>
        <w:tc>
          <w:tcPr>
            <w:tcW w:w="220" w:type="dxa"/>
            <w:vAlign w:val="bottom"/>
            <w:tcBorders>
              <w:right w:val="single" w:sz="8" w:color="auto"/>
            </w:tcBorders>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780" w:type="dxa"/>
            <w:vAlign w:val="bottom"/>
            <w:gridSpan w:val="2"/>
            <w:vMerge w:val="continue"/>
          </w:tcPr>
          <w:p>
            <w:pPr>
              <w:spacing w:after="0"/>
              <w:rPr>
                <w:sz w:val="15"/>
                <w:szCs w:val="15"/>
                <w:color w:val="auto"/>
              </w:rPr>
            </w:pPr>
          </w:p>
        </w:tc>
        <w:tc>
          <w:tcPr>
            <w:tcW w:w="220" w:type="dxa"/>
            <w:vAlign w:val="bottom"/>
          </w:tcPr>
          <w:p>
            <w:pPr>
              <w:jc w:val="right"/>
              <w:spacing w:after="0"/>
              <w:rPr>
                <w:sz w:val="20"/>
                <w:szCs w:val="20"/>
                <w:color w:val="auto"/>
              </w:rPr>
            </w:pPr>
            <w:r>
              <w:rPr>
                <w:rFonts w:ascii="Arial" w:cs="Arial" w:eastAsia="Arial" w:hAnsi="Arial"/>
                <w:sz w:val="15"/>
                <w:szCs w:val="15"/>
                <w:u w:val="single" w:color="auto"/>
                <w:color w:val="auto"/>
              </w:rPr>
              <w:t>$</w:t>
            </w:r>
          </w:p>
        </w:tc>
        <w:tc>
          <w:tcPr>
            <w:tcW w:w="600" w:type="dxa"/>
            <w:vAlign w:val="bottom"/>
            <w:gridSpan w:val="2"/>
          </w:tcPr>
          <w:p>
            <w:pPr>
              <w:jc w:val="right"/>
              <w:ind w:right="140"/>
              <w:spacing w:after="0"/>
              <w:rPr>
                <w:sz w:val="20"/>
                <w:szCs w:val="20"/>
                <w:color w:val="auto"/>
              </w:rPr>
            </w:pPr>
            <w:r>
              <w:rPr>
                <w:rFonts w:ascii="Arial" w:cs="Arial" w:eastAsia="Arial" w:hAnsi="Arial"/>
                <w:sz w:val="15"/>
                <w:szCs w:val="15"/>
                <w:color w:val="auto"/>
                <w:w w:val="92"/>
              </w:rPr>
              <w:t>(325.9)</w:t>
            </w:r>
          </w:p>
        </w:tc>
        <w:tc>
          <w:tcPr>
            <w:tcW w:w="240" w:type="dxa"/>
            <w:vAlign w:val="bottom"/>
            <w:gridSpan w:val="2"/>
          </w:tcPr>
          <w:p>
            <w:pPr>
              <w:jc w:val="right"/>
              <w:spacing w:after="0"/>
              <w:rPr>
                <w:sz w:val="20"/>
                <w:szCs w:val="20"/>
                <w:color w:val="auto"/>
              </w:rPr>
            </w:pPr>
            <w:r>
              <w:rPr>
                <w:rFonts w:ascii="Arial" w:cs="Arial" w:eastAsia="Arial" w:hAnsi="Arial"/>
                <w:sz w:val="15"/>
                <w:szCs w:val="15"/>
                <w:u w:val="single" w:color="auto"/>
                <w:color w:val="auto"/>
              </w:rPr>
              <w:t>$</w:t>
            </w:r>
          </w:p>
        </w:tc>
        <w:tc>
          <w:tcPr>
            <w:tcW w:w="580" w:type="dxa"/>
            <w:vAlign w:val="bottom"/>
            <w:gridSpan w:val="2"/>
          </w:tcPr>
          <w:p>
            <w:pPr>
              <w:jc w:val="right"/>
              <w:ind w:right="140"/>
              <w:spacing w:after="0"/>
              <w:rPr>
                <w:sz w:val="20"/>
                <w:szCs w:val="20"/>
                <w:color w:val="auto"/>
              </w:rPr>
            </w:pPr>
            <w:r>
              <w:rPr>
                <w:rFonts w:ascii="Arial" w:cs="Arial" w:eastAsia="Arial" w:hAnsi="Arial"/>
                <w:sz w:val="15"/>
                <w:szCs w:val="15"/>
                <w:color w:val="auto"/>
                <w:w w:val="88"/>
              </w:rPr>
              <w:t>(210.2)</w:t>
            </w:r>
          </w:p>
        </w:tc>
        <w:tc>
          <w:tcPr>
            <w:tcW w:w="24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540" w:type="dxa"/>
            <w:vAlign w:val="bottom"/>
            <w:gridSpan w:val="2"/>
          </w:tcPr>
          <w:p>
            <w:pPr>
              <w:jc w:val="right"/>
              <w:ind w:right="40"/>
              <w:spacing w:after="0"/>
              <w:rPr>
                <w:sz w:val="20"/>
                <w:szCs w:val="20"/>
                <w:color w:val="auto"/>
              </w:rPr>
            </w:pPr>
            <w:r>
              <w:rPr>
                <w:rFonts w:ascii="Arial" w:cs="Arial" w:eastAsia="Arial" w:hAnsi="Arial"/>
                <w:sz w:val="15"/>
                <w:szCs w:val="15"/>
                <w:color w:val="auto"/>
              </w:rPr>
              <w:t>(111.7)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20" w:type="dxa"/>
            <w:vAlign w:val="bottom"/>
          </w:tcPr>
          <w:p>
            <w:pPr>
              <w:spacing w:after="0"/>
              <w:rPr>
                <w:sz w:val="14"/>
                <w:szCs w:val="14"/>
                <w:color w:val="auto"/>
              </w:rPr>
            </w:pPr>
          </w:p>
        </w:tc>
        <w:tc>
          <w:tcPr>
            <w:tcW w:w="6760" w:type="dxa"/>
            <w:vAlign w:val="bottom"/>
            <w:shd w:val="clear" w:color="auto" w:fill="CCEEFF"/>
          </w:tcPr>
          <w:p>
            <w:pPr>
              <w:spacing w:after="0" w:line="167" w:lineRule="exact"/>
              <w:rPr>
                <w:sz w:val="20"/>
                <w:szCs w:val="20"/>
                <w:color w:val="auto"/>
              </w:rPr>
            </w:pPr>
            <w:r>
              <w:rPr>
                <w:rFonts w:ascii="Arial" w:cs="Arial" w:eastAsia="Arial" w:hAnsi="Arial"/>
                <w:sz w:val="15"/>
                <w:szCs w:val="15"/>
                <w:color w:val="auto"/>
              </w:rPr>
              <w:t>Net loss per share attributable to common stockholders, basic and diluted</w:t>
            </w:r>
            <w:r>
              <w:rPr>
                <w:rFonts w:ascii="Arial" w:cs="Arial" w:eastAsia="Arial" w:hAnsi="Arial"/>
                <w:sz w:val="12"/>
                <w:szCs w:val="12"/>
                <w:color w:val="auto"/>
              </w:rPr>
              <w:t>(2)</w:t>
            </w:r>
          </w:p>
        </w:tc>
        <w:tc>
          <w:tcPr>
            <w:tcW w:w="220" w:type="dxa"/>
            <w:vAlign w:val="bottom"/>
            <w:tcBorders>
              <w:right w:val="single" w:sz="8" w:color="CCEEFF"/>
            </w:tcBorders>
            <w:shd w:val="clear" w:color="auto" w:fill="CCEEFF"/>
          </w:tcPr>
          <w:p>
            <w:pPr>
              <w:jc w:val="right"/>
              <w:spacing w:after="0" w:line="167" w:lineRule="exact"/>
              <w:rPr>
                <w:sz w:val="20"/>
                <w:szCs w:val="20"/>
                <w:color w:val="auto"/>
              </w:rPr>
            </w:pPr>
            <w:r>
              <w:rPr>
                <w:rFonts w:ascii="Arial" w:cs="Arial" w:eastAsia="Arial" w:hAnsi="Arial"/>
                <w:sz w:val="15"/>
                <w:szCs w:val="15"/>
                <w:color w:val="auto"/>
              </w:rPr>
              <w:t>$</w:t>
            </w:r>
          </w:p>
        </w:tc>
        <w:tc>
          <w:tcPr>
            <w:tcW w:w="600" w:type="dxa"/>
            <w:vAlign w:val="bottom"/>
            <w:gridSpan w:val="2"/>
            <w:shd w:val="clear" w:color="auto" w:fill="CCEEFF"/>
          </w:tcPr>
          <w:p>
            <w:pPr>
              <w:jc w:val="right"/>
              <w:ind w:right="140"/>
              <w:spacing w:after="0" w:line="167" w:lineRule="exact"/>
              <w:rPr>
                <w:sz w:val="20"/>
                <w:szCs w:val="20"/>
                <w:color w:val="auto"/>
              </w:rPr>
            </w:pPr>
            <w:r>
              <w:rPr>
                <w:rFonts w:ascii="Arial" w:cs="Arial" w:eastAsia="Arial" w:hAnsi="Arial"/>
                <w:sz w:val="15"/>
                <w:szCs w:val="15"/>
                <w:color w:val="auto"/>
              </w:rPr>
              <w:t>(1.77)</w:t>
            </w:r>
          </w:p>
        </w:tc>
        <w:tc>
          <w:tcPr>
            <w:tcW w:w="240" w:type="dxa"/>
            <w:vAlign w:val="bottom"/>
            <w:gridSpan w:val="2"/>
            <w:shd w:val="clear" w:color="auto" w:fill="CCEEFF"/>
          </w:tcPr>
          <w:p>
            <w:pPr>
              <w:jc w:val="right"/>
              <w:spacing w:after="0" w:line="167" w:lineRule="exact"/>
              <w:rPr>
                <w:sz w:val="20"/>
                <w:szCs w:val="20"/>
                <w:color w:val="auto"/>
              </w:rPr>
            </w:pPr>
            <w:r>
              <w:rPr>
                <w:rFonts w:ascii="Arial" w:cs="Arial" w:eastAsia="Arial" w:hAnsi="Arial"/>
                <w:sz w:val="15"/>
                <w:szCs w:val="15"/>
                <w:color w:val="auto"/>
              </w:rPr>
              <w:t>$</w:t>
            </w:r>
          </w:p>
        </w:tc>
        <w:tc>
          <w:tcPr>
            <w:tcW w:w="580" w:type="dxa"/>
            <w:vAlign w:val="bottom"/>
            <w:gridSpan w:val="2"/>
            <w:shd w:val="clear" w:color="auto" w:fill="CCEEFF"/>
          </w:tcPr>
          <w:p>
            <w:pPr>
              <w:jc w:val="right"/>
              <w:ind w:right="140"/>
              <w:spacing w:after="0" w:line="167" w:lineRule="exact"/>
              <w:rPr>
                <w:sz w:val="20"/>
                <w:szCs w:val="20"/>
                <w:color w:val="auto"/>
              </w:rPr>
            </w:pPr>
            <w:r>
              <w:rPr>
                <w:rFonts w:ascii="Arial" w:cs="Arial" w:eastAsia="Arial" w:hAnsi="Arial"/>
                <w:sz w:val="15"/>
                <w:szCs w:val="15"/>
                <w:color w:val="auto"/>
              </w:rPr>
              <w:t>(1.11)</w:t>
            </w:r>
          </w:p>
        </w:tc>
        <w:tc>
          <w:tcPr>
            <w:tcW w:w="240" w:type="dxa"/>
            <w:vAlign w:val="bottom"/>
            <w:gridSpan w:val="2"/>
            <w:shd w:val="clear" w:color="auto" w:fill="CCEEFF"/>
          </w:tcPr>
          <w:p>
            <w:pPr>
              <w:jc w:val="right"/>
              <w:spacing w:after="0" w:line="167" w:lineRule="exact"/>
              <w:rPr>
                <w:sz w:val="20"/>
                <w:szCs w:val="20"/>
                <w:color w:val="auto"/>
              </w:rPr>
            </w:pPr>
            <w:r>
              <w:rPr>
                <w:rFonts w:ascii="Arial" w:cs="Arial" w:eastAsia="Arial" w:hAnsi="Arial"/>
                <w:sz w:val="15"/>
                <w:szCs w:val="15"/>
                <w:color w:val="auto"/>
              </w:rPr>
              <w:t>$</w:t>
            </w:r>
          </w:p>
        </w:tc>
        <w:tc>
          <w:tcPr>
            <w:tcW w:w="540" w:type="dxa"/>
            <w:vAlign w:val="bottom"/>
            <w:gridSpan w:val="2"/>
            <w:shd w:val="clear" w:color="auto" w:fill="CCEEFF"/>
          </w:tcPr>
          <w:p>
            <w:pPr>
              <w:jc w:val="right"/>
              <w:ind w:right="40"/>
              <w:spacing w:after="0" w:line="167" w:lineRule="exact"/>
              <w:rPr>
                <w:sz w:val="20"/>
                <w:szCs w:val="20"/>
                <w:color w:val="auto"/>
              </w:rPr>
            </w:pPr>
            <w:r>
              <w:rPr>
                <w:rFonts w:ascii="Arial" w:cs="Arial" w:eastAsia="Arial" w:hAnsi="Arial"/>
                <w:sz w:val="15"/>
                <w:szCs w:val="15"/>
                <w:color w:val="auto"/>
              </w:rPr>
              <w:t>(0.57)</w:t>
            </w:r>
          </w:p>
        </w:tc>
        <w:tc>
          <w:tcPr>
            <w:tcW w:w="0" w:type="dxa"/>
            <w:vAlign w:val="bottom"/>
          </w:tcPr>
          <w:p>
            <w:pPr>
              <w:spacing w:after="0"/>
              <w:rPr>
                <w:sz w:val="1"/>
                <w:szCs w:val="1"/>
                <w:color w:val="auto"/>
              </w:rPr>
            </w:pPr>
          </w:p>
        </w:tc>
      </w:tr>
      <w:tr>
        <w:trPr>
          <w:trHeight w:val="20"/>
        </w:trPr>
        <w:tc>
          <w:tcPr>
            <w:tcW w:w="6780" w:type="dxa"/>
            <w:vAlign w:val="bottom"/>
            <w:gridSpan w:val="2"/>
            <w:vMerge w:val="restart"/>
          </w:tcPr>
          <w:p>
            <w:pPr>
              <w:spacing w:after="0"/>
              <w:rPr>
                <w:sz w:val="20"/>
                <w:szCs w:val="20"/>
                <w:color w:val="auto"/>
              </w:rPr>
            </w:pPr>
            <w:r>
              <w:rPr>
                <w:rFonts w:ascii="Arial" w:cs="Arial" w:eastAsia="Arial" w:hAnsi="Arial"/>
                <w:sz w:val="15"/>
                <w:szCs w:val="15"/>
                <w:color w:val="auto"/>
                <w:w w:val="91"/>
              </w:rPr>
              <w:t>Weighted-average shares used in computing net loss per share attributable to common stockholders, basic and</w:t>
            </w:r>
          </w:p>
        </w:tc>
        <w:tc>
          <w:tcPr>
            <w:tcW w:w="22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6780" w:type="dxa"/>
            <w:vAlign w:val="bottom"/>
            <w:gridSpan w:val="2"/>
            <w:vMerge w:val="continue"/>
          </w:tcPr>
          <w:p>
            <w:pPr>
              <w:spacing w:after="0"/>
              <w:rPr>
                <w:sz w:val="13"/>
                <w:szCs w:val="13"/>
                <w:color w:val="auto"/>
              </w:rPr>
            </w:pPr>
          </w:p>
        </w:tc>
        <w:tc>
          <w:tcPr>
            <w:tcW w:w="2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6760" w:type="dxa"/>
            <w:vAlign w:val="bottom"/>
          </w:tcPr>
          <w:p>
            <w:pPr>
              <w:ind w:left="120"/>
              <w:spacing w:after="0"/>
              <w:rPr>
                <w:sz w:val="20"/>
                <w:szCs w:val="20"/>
                <w:color w:val="auto"/>
              </w:rPr>
            </w:pPr>
            <w:r>
              <w:rPr>
                <w:rFonts w:ascii="Arial" w:cs="Arial" w:eastAsia="Arial" w:hAnsi="Arial"/>
                <w:sz w:val="15"/>
                <w:szCs w:val="15"/>
                <w:color w:val="auto"/>
              </w:rPr>
              <w:t>diluted</w:t>
            </w:r>
          </w:p>
        </w:tc>
        <w:tc>
          <w:tcPr>
            <w:tcW w:w="220" w:type="dxa"/>
            <w:vAlign w:val="bottom"/>
          </w:tcPr>
          <w:p>
            <w:pPr>
              <w:spacing w:after="0"/>
              <w:rPr>
                <w:sz w:val="16"/>
                <w:szCs w:val="16"/>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184.5</w:t>
            </w: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5"/>
              </w:rPr>
              <w:t>189.1</w:t>
            </w: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195.9</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20" w:type="dxa"/>
            <w:vAlign w:val="bottom"/>
          </w:tcPr>
          <w:p>
            <w:pPr>
              <w:spacing w:after="0"/>
              <w:rPr>
                <w:sz w:val="14"/>
                <w:szCs w:val="14"/>
                <w:color w:val="auto"/>
              </w:rPr>
            </w:pPr>
          </w:p>
        </w:tc>
        <w:tc>
          <w:tcPr>
            <w:tcW w:w="6760" w:type="dxa"/>
            <w:vAlign w:val="bottom"/>
            <w:shd w:val="clear" w:color="auto" w:fill="CCEEFF"/>
          </w:tcPr>
          <w:p>
            <w:pPr>
              <w:spacing w:after="0" w:line="167" w:lineRule="exact"/>
              <w:rPr>
                <w:sz w:val="20"/>
                <w:szCs w:val="20"/>
                <w:color w:val="auto"/>
              </w:rPr>
            </w:pPr>
            <w:r>
              <w:rPr>
                <w:rFonts w:ascii="Arial" w:cs="Arial" w:eastAsia="Arial" w:hAnsi="Arial"/>
                <w:sz w:val="15"/>
                <w:szCs w:val="15"/>
                <w:color w:val="auto"/>
              </w:rPr>
              <w:t>Pro forma net loss per share attributable to common stockholders, basic and diluted</w:t>
            </w:r>
            <w:r>
              <w:rPr>
                <w:rFonts w:ascii="Arial" w:cs="Arial" w:eastAsia="Arial" w:hAnsi="Arial"/>
                <w:sz w:val="12"/>
                <w:szCs w:val="12"/>
                <w:color w:val="auto"/>
              </w:rPr>
              <w:t>(2)</w:t>
            </w:r>
          </w:p>
        </w:tc>
        <w:tc>
          <w:tcPr>
            <w:tcW w:w="220" w:type="dxa"/>
            <w:vAlign w:val="bottom"/>
            <w:tcBorders>
              <w:right w:val="single" w:sz="8" w:color="CCEEFF"/>
            </w:tcBorders>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240" w:type="dxa"/>
            <w:vAlign w:val="bottom"/>
            <w:gridSpan w:val="2"/>
            <w:shd w:val="clear" w:color="auto" w:fill="CCEEFF"/>
          </w:tcPr>
          <w:p>
            <w:pPr>
              <w:jc w:val="right"/>
              <w:spacing w:after="0" w:line="167" w:lineRule="exact"/>
              <w:rPr>
                <w:sz w:val="20"/>
                <w:szCs w:val="20"/>
                <w:color w:val="auto"/>
              </w:rPr>
            </w:pPr>
            <w:r>
              <w:rPr>
                <w:rFonts w:ascii="Arial" w:cs="Arial" w:eastAsia="Arial" w:hAnsi="Arial"/>
                <w:sz w:val="15"/>
                <w:szCs w:val="15"/>
                <w:color w:val="auto"/>
              </w:rPr>
              <w:t>$</w:t>
            </w:r>
          </w:p>
        </w:tc>
        <w:tc>
          <w:tcPr>
            <w:tcW w:w="540" w:type="dxa"/>
            <w:vAlign w:val="bottom"/>
            <w:gridSpan w:val="2"/>
            <w:shd w:val="clear" w:color="auto" w:fill="CCEEFF"/>
          </w:tcPr>
          <w:p>
            <w:pPr>
              <w:jc w:val="right"/>
              <w:ind w:right="40"/>
              <w:spacing w:after="0" w:line="167" w:lineRule="exact"/>
              <w:rPr>
                <w:sz w:val="20"/>
                <w:szCs w:val="20"/>
                <w:color w:val="auto"/>
              </w:rPr>
            </w:pPr>
            <w:r>
              <w:rPr>
                <w:rFonts w:ascii="Arial" w:cs="Arial" w:eastAsia="Arial" w:hAnsi="Arial"/>
                <w:sz w:val="15"/>
                <w:szCs w:val="15"/>
                <w:color w:val="auto"/>
              </w:rPr>
              <w:t>(0.31)</w:t>
            </w:r>
          </w:p>
        </w:tc>
        <w:tc>
          <w:tcPr>
            <w:tcW w:w="0" w:type="dxa"/>
            <w:vAlign w:val="bottom"/>
          </w:tcPr>
          <w:p>
            <w:pPr>
              <w:spacing w:after="0"/>
              <w:rPr>
                <w:sz w:val="1"/>
                <w:szCs w:val="1"/>
                <w:color w:val="auto"/>
              </w:rPr>
            </w:pPr>
          </w:p>
        </w:tc>
      </w:tr>
      <w:tr>
        <w:trPr>
          <w:trHeight w:val="20"/>
        </w:trPr>
        <w:tc>
          <w:tcPr>
            <w:tcW w:w="6780" w:type="dxa"/>
            <w:vAlign w:val="bottom"/>
            <w:gridSpan w:val="2"/>
            <w:vMerge w:val="restart"/>
          </w:tcPr>
          <w:p>
            <w:pPr>
              <w:spacing w:after="0"/>
              <w:rPr>
                <w:sz w:val="20"/>
                <w:szCs w:val="20"/>
                <w:color w:val="auto"/>
              </w:rPr>
            </w:pPr>
            <w:r>
              <w:rPr>
                <w:rFonts w:ascii="Arial" w:cs="Arial" w:eastAsia="Arial" w:hAnsi="Arial"/>
                <w:sz w:val="15"/>
                <w:szCs w:val="15"/>
                <w:color w:val="auto"/>
                <w:w w:val="91"/>
              </w:rPr>
              <w:t>Weighted-average shares used in computing pro forma net loss per share attributable to common stockholders,</w:t>
            </w:r>
          </w:p>
        </w:tc>
        <w:tc>
          <w:tcPr>
            <w:tcW w:w="2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6780" w:type="dxa"/>
            <w:vAlign w:val="bottom"/>
            <w:gridSpan w:val="2"/>
            <w:vMerge w:val="continue"/>
          </w:tcPr>
          <w:p>
            <w:pPr>
              <w:spacing w:after="0"/>
              <w:rPr>
                <w:sz w:val="13"/>
                <w:szCs w:val="13"/>
                <w:color w:val="auto"/>
              </w:rPr>
            </w:pPr>
          </w:p>
        </w:tc>
        <w:tc>
          <w:tcPr>
            <w:tcW w:w="2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6760" w:type="dxa"/>
            <w:vAlign w:val="bottom"/>
          </w:tcPr>
          <w:p>
            <w:pPr>
              <w:ind w:left="120"/>
              <w:spacing w:after="0"/>
              <w:rPr>
                <w:sz w:val="20"/>
                <w:szCs w:val="20"/>
                <w:color w:val="auto"/>
              </w:rPr>
            </w:pPr>
            <w:r>
              <w:rPr>
                <w:rFonts w:ascii="Arial" w:cs="Arial" w:eastAsia="Arial" w:hAnsi="Arial"/>
                <w:sz w:val="15"/>
                <w:szCs w:val="15"/>
                <w:color w:val="auto"/>
              </w:rPr>
              <w:t>basic and diluted</w:t>
            </w:r>
          </w:p>
        </w:tc>
        <w:tc>
          <w:tcPr>
            <w:tcW w:w="2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358.6</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6780" w:type="dxa"/>
            <w:vAlign w:val="bottom"/>
            <w:gridSpan w:val="2"/>
            <w:vMerge w:val="restart"/>
          </w:tcPr>
          <w:p>
            <w:pPr>
              <w:ind w:left="4520"/>
              <w:spacing w:after="0"/>
              <w:rPr>
                <w:sz w:val="20"/>
                <w:szCs w:val="20"/>
                <w:color w:val="auto"/>
              </w:rPr>
            </w:pPr>
            <w:r>
              <w:rPr>
                <w:rFonts w:ascii="Arial" w:cs="Arial" w:eastAsia="Arial" w:hAnsi="Arial"/>
                <w:sz w:val="15"/>
                <w:szCs w:val="15"/>
                <w:color w:val="auto"/>
              </w:rPr>
              <w:t>59</w:t>
            </w:r>
          </w:p>
        </w:tc>
        <w:tc>
          <w:tcPr>
            <w:tcW w:w="2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0"/>
        </w:trPr>
        <w:tc>
          <w:tcPr>
            <w:tcW w:w="6780" w:type="dxa"/>
            <w:vAlign w:val="bottom"/>
            <w:gridSpan w:val="2"/>
            <w:vMerge w:val="continue"/>
          </w:tcPr>
          <w:p>
            <w:pPr>
              <w:spacing w:after="0"/>
              <w:rPr>
                <w:sz w:val="24"/>
                <w:szCs w:val="24"/>
                <w:color w:val="auto"/>
              </w:rPr>
            </w:pPr>
          </w:p>
        </w:tc>
        <w:tc>
          <w:tcPr>
            <w:tcW w:w="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320"/>
          </w:cols>
          <w:pgMar w:left="240" w:top="407" w:right="1339" w:bottom="1440" w:gutter="0" w:footer="0" w:header="0"/>
        </w:sectPr>
      </w:pPr>
    </w:p>
    <w:bookmarkStart w:id="66" w:name="page67"/>
    <w:bookmarkEnd w:id="66"/>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133350</wp:posOffset>
            </wp:positionH>
            <wp:positionV relativeFrom="page">
              <wp:posOffset>88900</wp:posOffset>
            </wp:positionV>
            <wp:extent cx="7308850" cy="342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308850" cy="34290"/>
                    </a:xfrm>
                    <a:prstGeom prst="rect">
                      <a:avLst/>
                    </a:prstGeom>
                    <a:noFill/>
                  </pic:spPr>
                </pic:pic>
              </a:graphicData>
            </a:graphic>
          </wp:anchor>
        </w:drawing>
      </w:r>
      <w:hyperlink w:anchor="page7">
        <w:r>
          <w:rPr>
            <w:rFonts w:ascii="Arial" w:cs="Arial" w:eastAsia="Arial" w:hAnsi="Arial"/>
            <w:sz w:val="15"/>
            <w:szCs w:val="15"/>
            <w:b w:val="1"/>
            <w:bCs w:val="1"/>
            <w:u w:val="single" w:color="auto"/>
            <w:color w:val="0000EE"/>
          </w:rPr>
          <w:t>Table of Contents</w:t>
        </w:r>
      </w:hyperlink>
    </w:p>
    <w:p>
      <w:pPr>
        <w:spacing w:after="0" w:line="170" w:lineRule="exact"/>
        <w:rPr>
          <w:sz w:val="20"/>
          <w:szCs w:val="20"/>
          <w:color w:val="auto"/>
        </w:rPr>
      </w:pPr>
    </w:p>
    <w:p>
      <w:pPr>
        <w:ind w:left="1380" w:hanging="268"/>
        <w:spacing w:after="0"/>
        <w:tabs>
          <w:tab w:leader="none" w:pos="1380" w:val="left"/>
        </w:tabs>
        <w:numPr>
          <w:ilvl w:val="0"/>
          <w:numId w:val="35"/>
        </w:numPr>
        <w:rPr>
          <w:rFonts w:ascii="Arial" w:cs="Arial" w:eastAsia="Arial" w:hAnsi="Arial"/>
          <w:sz w:val="23"/>
          <w:szCs w:val="23"/>
          <w:color w:val="auto"/>
          <w:vertAlign w:val="superscript"/>
        </w:rPr>
      </w:pPr>
      <w:r>
        <w:rPr>
          <w:rFonts w:ascii="Arial" w:cs="Arial" w:eastAsia="Arial" w:hAnsi="Arial"/>
          <w:sz w:val="14"/>
          <w:szCs w:val="14"/>
          <w:color w:val="auto"/>
        </w:rPr>
        <w:t>Includes stock-based compensation as follows:</w:t>
      </w:r>
    </w:p>
    <w:p>
      <w:pPr>
        <w:spacing w:after="0" w:line="189" w:lineRule="exact"/>
        <w:rPr>
          <w:sz w:val="20"/>
          <w:szCs w:val="20"/>
          <w:color w:val="auto"/>
        </w:rPr>
      </w:pPr>
    </w:p>
    <w:tbl>
      <w:tblPr>
        <w:tblLayout w:type="fixed"/>
        <w:tblInd w:w="1480" w:type="dxa"/>
        <w:tblCellMar>
          <w:top w:w="0" w:type="dxa"/>
          <w:left w:w="0" w:type="dxa"/>
          <w:bottom w:w="0" w:type="dxa"/>
          <w:right w:w="0" w:type="dxa"/>
        </w:tblCellMar>
      </w:tblPr>
      <w:tr>
        <w:trPr>
          <w:trHeight w:val="144"/>
        </w:trPr>
        <w:tc>
          <w:tcPr>
            <w:tcW w:w="20" w:type="dxa"/>
            <w:vAlign w:val="bottom"/>
          </w:tcPr>
          <w:p>
            <w:pPr>
              <w:spacing w:after="0"/>
              <w:rPr>
                <w:sz w:val="12"/>
                <w:szCs w:val="12"/>
                <w:color w:val="auto"/>
              </w:rPr>
            </w:pPr>
          </w:p>
        </w:tc>
        <w:tc>
          <w:tcPr>
            <w:tcW w:w="416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760" w:type="dxa"/>
            <w:vAlign w:val="bottom"/>
            <w:gridSpan w:val="9"/>
          </w:tcPr>
          <w:p>
            <w:pPr>
              <w:jc w:val="center"/>
              <w:ind w:right="100"/>
              <w:spacing w:after="0"/>
              <w:rPr>
                <w:sz w:val="20"/>
                <w:szCs w:val="20"/>
                <w:color w:val="auto"/>
              </w:rPr>
            </w:pPr>
            <w:r>
              <w:rPr>
                <w:rFonts w:ascii="Arial" w:cs="Arial" w:eastAsia="Arial" w:hAnsi="Arial"/>
                <w:sz w:val="12"/>
                <w:szCs w:val="12"/>
                <w:b w:val="1"/>
                <w:bCs w:val="1"/>
                <w:color w:val="auto"/>
                <w:w w:val="88"/>
              </w:rPr>
              <w:t>Year ended December 31,</w:t>
            </w:r>
          </w:p>
        </w:tc>
      </w:tr>
      <w:tr>
        <w:trPr>
          <w:trHeight w:val="115"/>
        </w:trPr>
        <w:tc>
          <w:tcPr>
            <w:tcW w:w="20" w:type="dxa"/>
            <w:vAlign w:val="bottom"/>
          </w:tcPr>
          <w:p>
            <w:pPr>
              <w:spacing w:after="0"/>
              <w:rPr>
                <w:sz w:val="10"/>
                <w:szCs w:val="10"/>
                <w:color w:val="auto"/>
              </w:rPr>
            </w:pPr>
          </w:p>
        </w:tc>
        <w:tc>
          <w:tcPr>
            <w:tcW w:w="4160" w:type="dxa"/>
            <w:vAlign w:val="bottom"/>
          </w:tcPr>
          <w:p>
            <w:pPr>
              <w:spacing w:after="0"/>
              <w:rPr>
                <w:sz w:val="10"/>
                <w:szCs w:val="10"/>
                <w:color w:val="auto"/>
              </w:rPr>
            </w:pPr>
          </w:p>
        </w:tc>
        <w:tc>
          <w:tcPr>
            <w:tcW w:w="2460" w:type="dxa"/>
            <w:vAlign w:val="bottom"/>
          </w:tcPr>
          <w:p>
            <w:pPr>
              <w:spacing w:after="0"/>
              <w:rPr>
                <w:sz w:val="10"/>
                <w:szCs w:val="10"/>
                <w:color w:val="auto"/>
              </w:rPr>
            </w:pPr>
          </w:p>
        </w:tc>
        <w:tc>
          <w:tcPr>
            <w:tcW w:w="300" w:type="dxa"/>
            <w:vAlign w:val="bottom"/>
            <w:tcBorders>
              <w:top w:val="single" w:sz="8" w:color="auto"/>
              <w:bottom w:val="single" w:sz="8" w:color="auto"/>
            </w:tcBorders>
            <w:gridSpan w:val="2"/>
          </w:tcPr>
          <w:p>
            <w:pPr>
              <w:jc w:val="right"/>
              <w:spacing w:after="0" w:line="115" w:lineRule="exact"/>
              <w:rPr>
                <w:sz w:val="20"/>
                <w:szCs w:val="20"/>
                <w:color w:val="auto"/>
              </w:rPr>
            </w:pPr>
            <w:r>
              <w:rPr>
                <w:rFonts w:ascii="Arial" w:cs="Arial" w:eastAsia="Arial" w:hAnsi="Arial"/>
                <w:sz w:val="12"/>
                <w:szCs w:val="12"/>
                <w:b w:val="1"/>
                <w:bCs w:val="1"/>
                <w:color w:val="auto"/>
                <w:w w:val="89"/>
              </w:rPr>
              <w:t>2015</w:t>
            </w:r>
          </w:p>
        </w:tc>
        <w:tc>
          <w:tcPr>
            <w:tcW w:w="380" w:type="dxa"/>
            <w:vAlign w:val="bottom"/>
            <w:tcBorders>
              <w:top w:val="single" w:sz="8" w:color="auto"/>
              <w:bottom w:val="single" w:sz="8" w:color="auto"/>
            </w:tcBorders>
          </w:tcPr>
          <w:p>
            <w:pPr>
              <w:spacing w:after="0"/>
              <w:rPr>
                <w:sz w:val="10"/>
                <w:szCs w:val="10"/>
                <w:color w:val="auto"/>
              </w:rPr>
            </w:pPr>
          </w:p>
        </w:tc>
        <w:tc>
          <w:tcPr>
            <w:tcW w:w="60" w:type="dxa"/>
            <w:vAlign w:val="bottom"/>
            <w:tcBorders>
              <w:top w:val="single" w:sz="8" w:color="auto"/>
              <w:bottom w:val="single" w:sz="8" w:color="auto"/>
            </w:tcBorders>
          </w:tcPr>
          <w:p>
            <w:pPr>
              <w:spacing w:after="0"/>
              <w:rPr>
                <w:sz w:val="10"/>
                <w:szCs w:val="10"/>
                <w:color w:val="auto"/>
              </w:rPr>
            </w:pPr>
          </w:p>
        </w:tc>
        <w:tc>
          <w:tcPr>
            <w:tcW w:w="320" w:type="dxa"/>
            <w:vAlign w:val="bottom"/>
            <w:tcBorders>
              <w:top w:val="single" w:sz="8" w:color="auto"/>
              <w:bottom w:val="single" w:sz="8" w:color="auto"/>
            </w:tcBorders>
          </w:tcPr>
          <w:p>
            <w:pPr>
              <w:jc w:val="right"/>
              <w:ind w:right="14"/>
              <w:spacing w:after="0" w:line="115" w:lineRule="exact"/>
              <w:rPr>
                <w:sz w:val="20"/>
                <w:szCs w:val="20"/>
                <w:color w:val="auto"/>
              </w:rPr>
            </w:pPr>
            <w:r>
              <w:rPr>
                <w:rFonts w:ascii="Arial" w:cs="Arial" w:eastAsia="Arial" w:hAnsi="Arial"/>
                <w:sz w:val="12"/>
                <w:szCs w:val="12"/>
                <w:b w:val="1"/>
                <w:bCs w:val="1"/>
                <w:color w:val="auto"/>
                <w:w w:val="82"/>
              </w:rPr>
              <w:t>2016</w:t>
            </w:r>
          </w:p>
        </w:tc>
        <w:tc>
          <w:tcPr>
            <w:tcW w:w="240" w:type="dxa"/>
            <w:vAlign w:val="bottom"/>
            <w:tcBorders>
              <w:top w:val="single" w:sz="8" w:color="auto"/>
              <w:bottom w:val="single" w:sz="8" w:color="auto"/>
            </w:tcBorders>
          </w:tcPr>
          <w:p>
            <w:pPr>
              <w:spacing w:after="0"/>
              <w:rPr>
                <w:sz w:val="10"/>
                <w:szCs w:val="10"/>
                <w:color w:val="auto"/>
              </w:rPr>
            </w:pPr>
          </w:p>
        </w:tc>
        <w:tc>
          <w:tcPr>
            <w:tcW w:w="120" w:type="dxa"/>
            <w:vAlign w:val="bottom"/>
            <w:tcBorders>
              <w:top w:val="single" w:sz="8" w:color="auto"/>
              <w:bottom w:val="single" w:sz="8" w:color="auto"/>
            </w:tcBorders>
          </w:tcPr>
          <w:p>
            <w:pPr>
              <w:spacing w:after="0"/>
              <w:rPr>
                <w:sz w:val="10"/>
                <w:szCs w:val="10"/>
                <w:color w:val="auto"/>
              </w:rPr>
            </w:pPr>
          </w:p>
        </w:tc>
        <w:tc>
          <w:tcPr>
            <w:tcW w:w="60" w:type="dxa"/>
            <w:vAlign w:val="bottom"/>
            <w:tcBorders>
              <w:top w:val="single" w:sz="8" w:color="auto"/>
              <w:bottom w:val="single" w:sz="8" w:color="auto"/>
            </w:tcBorders>
          </w:tcPr>
          <w:p>
            <w:pPr>
              <w:spacing w:after="0"/>
              <w:rPr>
                <w:sz w:val="10"/>
                <w:szCs w:val="10"/>
                <w:color w:val="auto"/>
              </w:rPr>
            </w:pPr>
          </w:p>
        </w:tc>
        <w:tc>
          <w:tcPr>
            <w:tcW w:w="320" w:type="dxa"/>
            <w:vAlign w:val="bottom"/>
            <w:tcBorders>
              <w:top w:val="single" w:sz="8" w:color="auto"/>
              <w:bottom w:val="single" w:sz="8" w:color="auto"/>
            </w:tcBorders>
          </w:tcPr>
          <w:p>
            <w:pPr>
              <w:jc w:val="right"/>
              <w:ind w:right="14"/>
              <w:spacing w:after="0" w:line="115" w:lineRule="exact"/>
              <w:rPr>
                <w:sz w:val="20"/>
                <w:szCs w:val="20"/>
                <w:color w:val="auto"/>
              </w:rPr>
            </w:pPr>
            <w:r>
              <w:rPr>
                <w:rFonts w:ascii="Arial" w:cs="Arial" w:eastAsia="Arial" w:hAnsi="Arial"/>
                <w:sz w:val="12"/>
                <w:szCs w:val="12"/>
                <w:b w:val="1"/>
                <w:bCs w:val="1"/>
                <w:color w:val="auto"/>
                <w:w w:val="82"/>
              </w:rPr>
              <w:t>2017</w:t>
            </w:r>
          </w:p>
        </w:tc>
        <w:tc>
          <w:tcPr>
            <w:tcW w:w="20" w:type="dxa"/>
            <w:vAlign w:val="bottom"/>
          </w:tcPr>
          <w:p>
            <w:pPr>
              <w:spacing w:after="0"/>
              <w:rPr>
                <w:sz w:val="10"/>
                <w:szCs w:val="10"/>
                <w:color w:val="auto"/>
              </w:rPr>
            </w:pPr>
          </w:p>
        </w:tc>
      </w:tr>
      <w:tr>
        <w:trPr>
          <w:trHeight w:val="115"/>
        </w:trPr>
        <w:tc>
          <w:tcPr>
            <w:tcW w:w="20" w:type="dxa"/>
            <w:vAlign w:val="bottom"/>
          </w:tcPr>
          <w:p>
            <w:pPr>
              <w:spacing w:after="0"/>
              <w:rPr>
                <w:sz w:val="10"/>
                <w:szCs w:val="10"/>
                <w:color w:val="auto"/>
              </w:rPr>
            </w:pPr>
          </w:p>
        </w:tc>
        <w:tc>
          <w:tcPr>
            <w:tcW w:w="4160" w:type="dxa"/>
            <w:vAlign w:val="bottom"/>
          </w:tcPr>
          <w:p>
            <w:pPr>
              <w:spacing w:after="0"/>
              <w:rPr>
                <w:sz w:val="10"/>
                <w:szCs w:val="10"/>
                <w:color w:val="auto"/>
              </w:rPr>
            </w:pPr>
          </w:p>
        </w:tc>
        <w:tc>
          <w:tcPr>
            <w:tcW w:w="24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0" w:type="dxa"/>
            <w:vAlign w:val="bottom"/>
            <w:gridSpan w:val="4"/>
          </w:tcPr>
          <w:p>
            <w:pPr>
              <w:jc w:val="center"/>
              <w:ind w:left="135"/>
              <w:spacing w:after="0" w:line="115" w:lineRule="exact"/>
              <w:rPr>
                <w:sz w:val="20"/>
                <w:szCs w:val="20"/>
                <w:color w:val="auto"/>
              </w:rPr>
            </w:pPr>
            <w:r>
              <w:rPr>
                <w:rFonts w:ascii="Arial" w:cs="Arial" w:eastAsia="Arial" w:hAnsi="Arial"/>
                <w:sz w:val="12"/>
                <w:szCs w:val="12"/>
                <w:i w:val="1"/>
                <w:iCs w:val="1"/>
                <w:color w:val="auto"/>
                <w:w w:val="97"/>
              </w:rPr>
              <w:t>(In millions)</w:t>
            </w: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0" w:type="dxa"/>
            <w:vAlign w:val="bottom"/>
          </w:tcPr>
          <w:p>
            <w:pPr>
              <w:spacing w:after="0"/>
              <w:rPr>
                <w:sz w:val="10"/>
                <w:szCs w:val="10"/>
                <w:color w:val="auto"/>
              </w:rPr>
            </w:pPr>
          </w:p>
        </w:tc>
      </w:tr>
      <w:tr>
        <w:trPr>
          <w:trHeight w:val="169"/>
        </w:trPr>
        <w:tc>
          <w:tcPr>
            <w:tcW w:w="20" w:type="dxa"/>
            <w:vAlign w:val="bottom"/>
          </w:tcPr>
          <w:p>
            <w:pPr>
              <w:spacing w:after="0"/>
              <w:rPr>
                <w:sz w:val="14"/>
                <w:szCs w:val="14"/>
                <w:color w:val="auto"/>
              </w:rPr>
            </w:pPr>
          </w:p>
        </w:tc>
        <w:tc>
          <w:tcPr>
            <w:tcW w:w="4160" w:type="dxa"/>
            <w:vAlign w:val="bottom"/>
            <w:shd w:val="clear" w:color="auto" w:fill="CCEEFF"/>
          </w:tcPr>
          <w:p>
            <w:pPr>
              <w:ind w:left="260"/>
              <w:spacing w:after="0"/>
              <w:rPr>
                <w:sz w:val="20"/>
                <w:szCs w:val="20"/>
                <w:color w:val="auto"/>
              </w:rPr>
            </w:pPr>
            <w:r>
              <w:rPr>
                <w:rFonts w:ascii="Arial" w:cs="Arial" w:eastAsia="Arial" w:hAnsi="Arial"/>
                <w:sz w:val="14"/>
                <w:szCs w:val="14"/>
                <w:color w:val="auto"/>
              </w:rPr>
              <w:t>Cost of revenue</w:t>
            </w:r>
          </w:p>
        </w:tc>
        <w:tc>
          <w:tcPr>
            <w:tcW w:w="25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8.2</w:t>
            </w:r>
          </w:p>
        </w:tc>
        <w:tc>
          <w:tcPr>
            <w:tcW w:w="240" w:type="dxa"/>
            <w:vAlign w:val="bottom"/>
            <w:shd w:val="clear" w:color="auto" w:fill="CCEEFF"/>
          </w:tcPr>
          <w:p>
            <w:pPr>
              <w:spacing w:after="0"/>
              <w:rPr>
                <w:sz w:val="14"/>
                <w:szCs w:val="14"/>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12.2</w:t>
            </w:r>
          </w:p>
        </w:tc>
        <w:tc>
          <w:tcPr>
            <w:tcW w:w="20" w:type="dxa"/>
            <w:vAlign w:val="bottom"/>
            <w:shd w:val="clear" w:color="auto" w:fill="CCEEFF"/>
          </w:tcPr>
          <w:p>
            <w:pPr>
              <w:spacing w:after="0"/>
              <w:rPr>
                <w:sz w:val="14"/>
                <w:szCs w:val="14"/>
                <w:color w:val="auto"/>
              </w:rPr>
            </w:pPr>
          </w:p>
        </w:tc>
      </w:tr>
      <w:tr>
        <w:trPr>
          <w:trHeight w:val="169"/>
        </w:trPr>
        <w:tc>
          <w:tcPr>
            <w:tcW w:w="20" w:type="dxa"/>
            <w:vAlign w:val="bottom"/>
          </w:tcPr>
          <w:p>
            <w:pPr>
              <w:spacing w:after="0"/>
              <w:rPr>
                <w:sz w:val="14"/>
                <w:szCs w:val="14"/>
                <w:color w:val="auto"/>
              </w:rPr>
            </w:pPr>
          </w:p>
        </w:tc>
        <w:tc>
          <w:tcPr>
            <w:tcW w:w="4160" w:type="dxa"/>
            <w:vAlign w:val="bottom"/>
          </w:tcPr>
          <w:p>
            <w:pPr>
              <w:ind w:left="260"/>
              <w:spacing w:after="0"/>
              <w:rPr>
                <w:sz w:val="20"/>
                <w:szCs w:val="20"/>
                <w:color w:val="auto"/>
              </w:rPr>
            </w:pPr>
            <w:r>
              <w:rPr>
                <w:rFonts w:ascii="Arial" w:cs="Arial" w:eastAsia="Arial" w:hAnsi="Arial"/>
                <w:sz w:val="14"/>
                <w:szCs w:val="14"/>
                <w:color w:val="auto"/>
              </w:rPr>
              <w:t>Research and development</w:t>
            </w:r>
          </w:p>
        </w:tc>
        <w:tc>
          <w:tcPr>
            <w:tcW w:w="24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40" w:type="dxa"/>
            <w:vAlign w:val="bottom"/>
          </w:tcPr>
          <w:p>
            <w:pPr>
              <w:jc w:val="right"/>
              <w:spacing w:after="0"/>
              <w:rPr>
                <w:sz w:val="20"/>
                <w:szCs w:val="20"/>
                <w:color w:val="auto"/>
              </w:rPr>
            </w:pPr>
            <w:r>
              <w:rPr>
                <w:rFonts w:ascii="Arial" w:cs="Arial" w:eastAsia="Arial" w:hAnsi="Arial"/>
                <w:sz w:val="14"/>
                <w:szCs w:val="14"/>
                <w:color w:val="auto"/>
                <w:w w:val="80"/>
              </w:rPr>
              <w:t>36.1</w:t>
            </w:r>
          </w:p>
        </w:tc>
        <w:tc>
          <w:tcPr>
            <w:tcW w:w="3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20" w:type="dxa"/>
            <w:vAlign w:val="bottom"/>
          </w:tcPr>
          <w:p>
            <w:pPr>
              <w:jc w:val="right"/>
              <w:spacing w:after="0"/>
              <w:rPr>
                <w:sz w:val="20"/>
                <w:szCs w:val="20"/>
                <w:color w:val="auto"/>
              </w:rPr>
            </w:pPr>
            <w:r>
              <w:rPr>
                <w:rFonts w:ascii="Arial" w:cs="Arial" w:eastAsia="Arial" w:hAnsi="Arial"/>
                <w:sz w:val="14"/>
                <w:szCs w:val="14"/>
                <w:color w:val="auto"/>
              </w:rPr>
              <w:t>72.7</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20" w:type="dxa"/>
            <w:vAlign w:val="bottom"/>
          </w:tcPr>
          <w:p>
            <w:pPr>
              <w:jc w:val="right"/>
              <w:spacing w:after="0"/>
              <w:rPr>
                <w:sz w:val="20"/>
                <w:szCs w:val="20"/>
                <w:color w:val="auto"/>
              </w:rPr>
            </w:pPr>
            <w:r>
              <w:rPr>
                <w:rFonts w:ascii="Arial" w:cs="Arial" w:eastAsia="Arial" w:hAnsi="Arial"/>
                <w:sz w:val="14"/>
                <w:szCs w:val="14"/>
                <w:color w:val="auto"/>
              </w:rPr>
              <w:t>93.1</w:t>
            </w:r>
          </w:p>
        </w:tc>
        <w:tc>
          <w:tcPr>
            <w:tcW w:w="20" w:type="dxa"/>
            <w:vAlign w:val="bottom"/>
          </w:tcPr>
          <w:p>
            <w:pPr>
              <w:spacing w:after="0"/>
              <w:rPr>
                <w:sz w:val="14"/>
                <w:szCs w:val="14"/>
                <w:color w:val="auto"/>
              </w:rPr>
            </w:pPr>
          </w:p>
        </w:tc>
      </w:tr>
      <w:tr>
        <w:trPr>
          <w:trHeight w:val="169"/>
        </w:trPr>
        <w:tc>
          <w:tcPr>
            <w:tcW w:w="20" w:type="dxa"/>
            <w:vAlign w:val="bottom"/>
          </w:tcPr>
          <w:p>
            <w:pPr>
              <w:spacing w:after="0"/>
              <w:rPr>
                <w:sz w:val="14"/>
                <w:szCs w:val="14"/>
                <w:color w:val="auto"/>
              </w:rPr>
            </w:pPr>
          </w:p>
        </w:tc>
        <w:tc>
          <w:tcPr>
            <w:tcW w:w="4160" w:type="dxa"/>
            <w:vAlign w:val="bottom"/>
            <w:shd w:val="clear" w:color="auto" w:fill="CCEEFF"/>
          </w:tcPr>
          <w:p>
            <w:pPr>
              <w:ind w:left="260"/>
              <w:spacing w:after="0"/>
              <w:rPr>
                <w:sz w:val="20"/>
                <w:szCs w:val="20"/>
                <w:color w:val="auto"/>
              </w:rPr>
            </w:pPr>
            <w:r>
              <w:rPr>
                <w:rFonts w:ascii="Arial" w:cs="Arial" w:eastAsia="Arial" w:hAnsi="Arial"/>
                <w:sz w:val="14"/>
                <w:szCs w:val="14"/>
                <w:color w:val="auto"/>
              </w:rPr>
              <w:t>Sales and marketing</w:t>
            </w:r>
          </w:p>
        </w:tc>
        <w:tc>
          <w:tcPr>
            <w:tcW w:w="24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80"/>
              </w:rPr>
              <w:t>19.8</w:t>
            </w:r>
          </w:p>
        </w:tc>
        <w:tc>
          <w:tcPr>
            <w:tcW w:w="3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44.6</w:t>
            </w:r>
          </w:p>
        </w:tc>
        <w:tc>
          <w:tcPr>
            <w:tcW w:w="2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33.7</w:t>
            </w:r>
          </w:p>
        </w:tc>
        <w:tc>
          <w:tcPr>
            <w:tcW w:w="20" w:type="dxa"/>
            <w:vAlign w:val="bottom"/>
            <w:shd w:val="clear" w:color="auto" w:fill="CCEEFF"/>
          </w:tcPr>
          <w:p>
            <w:pPr>
              <w:spacing w:after="0"/>
              <w:rPr>
                <w:sz w:val="14"/>
                <w:szCs w:val="14"/>
                <w:color w:val="auto"/>
              </w:rPr>
            </w:pPr>
          </w:p>
        </w:tc>
      </w:tr>
      <w:tr>
        <w:trPr>
          <w:trHeight w:val="172"/>
        </w:trPr>
        <w:tc>
          <w:tcPr>
            <w:tcW w:w="20" w:type="dxa"/>
            <w:vAlign w:val="bottom"/>
          </w:tcPr>
          <w:p>
            <w:pPr>
              <w:spacing w:after="0"/>
              <w:rPr>
                <w:sz w:val="14"/>
                <w:szCs w:val="14"/>
                <w:color w:val="auto"/>
              </w:rPr>
            </w:pPr>
          </w:p>
        </w:tc>
        <w:tc>
          <w:tcPr>
            <w:tcW w:w="4160" w:type="dxa"/>
            <w:vAlign w:val="bottom"/>
          </w:tcPr>
          <w:p>
            <w:pPr>
              <w:ind w:left="260"/>
              <w:spacing w:after="0"/>
              <w:rPr>
                <w:sz w:val="20"/>
                <w:szCs w:val="20"/>
                <w:color w:val="auto"/>
              </w:rPr>
            </w:pPr>
            <w:r>
              <w:rPr>
                <w:rFonts w:ascii="Arial" w:cs="Arial" w:eastAsia="Arial" w:hAnsi="Arial"/>
                <w:sz w:val="14"/>
                <w:szCs w:val="14"/>
                <w:color w:val="auto"/>
              </w:rPr>
              <w:t>General and administrative</w:t>
            </w:r>
          </w:p>
        </w:tc>
        <w:tc>
          <w:tcPr>
            <w:tcW w:w="246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7.6</w:t>
            </w:r>
          </w:p>
        </w:tc>
        <w:tc>
          <w:tcPr>
            <w:tcW w:w="38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22.1</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25.6</w:t>
            </w:r>
          </w:p>
        </w:tc>
        <w:tc>
          <w:tcPr>
            <w:tcW w:w="20" w:type="dxa"/>
            <w:vAlign w:val="bottom"/>
          </w:tcPr>
          <w:p>
            <w:pPr>
              <w:spacing w:after="0"/>
              <w:rPr>
                <w:sz w:val="14"/>
                <w:szCs w:val="14"/>
                <w:color w:val="auto"/>
              </w:rPr>
            </w:pPr>
          </w:p>
        </w:tc>
      </w:tr>
      <w:tr>
        <w:trPr>
          <w:trHeight w:val="169"/>
        </w:trPr>
        <w:tc>
          <w:tcPr>
            <w:tcW w:w="20" w:type="dxa"/>
            <w:vAlign w:val="bottom"/>
          </w:tcPr>
          <w:p>
            <w:pPr>
              <w:spacing w:after="0"/>
              <w:rPr>
                <w:sz w:val="14"/>
                <w:szCs w:val="14"/>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4"/>
                <w:szCs w:val="14"/>
                <w:color w:val="auto"/>
              </w:rPr>
              <w:t>Total stock-based compensation</w:t>
            </w:r>
          </w:p>
        </w:tc>
        <w:tc>
          <w:tcPr>
            <w:tcW w:w="2520" w:type="dxa"/>
            <w:vAlign w:val="bottom"/>
            <w:gridSpan w:val="2"/>
            <w:shd w:val="clear" w:color="auto" w:fill="CCEEFF"/>
          </w:tcPr>
          <w:p>
            <w:pPr>
              <w:jc w:val="right"/>
              <w:spacing w:after="0"/>
              <w:rPr>
                <w:sz w:val="20"/>
                <w:szCs w:val="20"/>
                <w:color w:val="auto"/>
              </w:rPr>
            </w:pPr>
            <w:r>
              <w:rPr>
                <w:rFonts w:ascii="Arial" w:cs="Arial" w:eastAsia="Arial" w:hAnsi="Arial"/>
                <w:sz w:val="14"/>
                <w:szCs w:val="14"/>
                <w:u w:val="single" w:color="auto"/>
                <w:color w:val="auto"/>
              </w:rPr>
              <w:t>$</w:t>
            </w:r>
          </w:p>
        </w:tc>
        <w:tc>
          <w:tcPr>
            <w:tcW w:w="2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80"/>
              </w:rPr>
              <w:t>66.1</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4"/>
                <w:szCs w:val="14"/>
                <w:u w:val="single" w:color="auto"/>
                <w:color w:val="auto"/>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9"/>
              </w:rPr>
              <w:t>147.6</w:t>
            </w:r>
          </w:p>
        </w:tc>
        <w:tc>
          <w:tcPr>
            <w:tcW w:w="240" w:type="dxa"/>
            <w:vAlign w:val="bottom"/>
            <w:shd w:val="clear" w:color="auto" w:fill="CCEEFF"/>
          </w:tcPr>
          <w:p>
            <w:pPr>
              <w:spacing w:after="0"/>
              <w:rPr>
                <w:sz w:val="14"/>
                <w:szCs w:val="14"/>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4"/>
                <w:szCs w:val="14"/>
                <w:u w:val="single" w:color="auto"/>
                <w:color w:val="auto"/>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9"/>
              </w:rPr>
              <w:t>164.6</w:t>
            </w:r>
          </w:p>
        </w:tc>
        <w:tc>
          <w:tcPr>
            <w:tcW w:w="20" w:type="dxa"/>
            <w:vAlign w:val="bottom"/>
            <w:shd w:val="clear" w:color="auto" w:fill="CCEEFF"/>
          </w:tcPr>
          <w:p>
            <w:pPr>
              <w:spacing w:after="0"/>
              <w:rPr>
                <w:sz w:val="14"/>
                <w:szCs w:val="14"/>
                <w:color w:val="auto"/>
              </w:rPr>
            </w:pPr>
          </w:p>
        </w:tc>
      </w:tr>
      <w:tr>
        <w:trPr>
          <w:trHeight w:val="20"/>
        </w:trPr>
        <w:tc>
          <w:tcPr>
            <w:tcW w:w="20" w:type="dxa"/>
            <w:vAlign w:val="bottom"/>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6" w:lineRule="exact"/>
        <w:rPr>
          <w:sz w:val="20"/>
          <w:szCs w:val="20"/>
          <w:color w:val="auto"/>
        </w:rPr>
      </w:pPr>
    </w:p>
    <w:p>
      <w:pPr>
        <w:jc w:val="both"/>
        <w:ind w:left="1380" w:hanging="268"/>
        <w:spacing w:after="0" w:line="209" w:lineRule="auto"/>
        <w:tabs>
          <w:tab w:leader="none" w:pos="1380" w:val="left"/>
        </w:tabs>
        <w:numPr>
          <w:ilvl w:val="0"/>
          <w:numId w:val="36"/>
        </w:numPr>
        <w:rPr>
          <w:rFonts w:ascii="Arial" w:cs="Arial" w:eastAsia="Arial" w:hAnsi="Arial"/>
          <w:sz w:val="23"/>
          <w:szCs w:val="23"/>
          <w:color w:val="auto"/>
          <w:vertAlign w:val="superscript"/>
        </w:rPr>
      </w:pPr>
      <w:r>
        <w:rPr>
          <w:rFonts w:ascii="Arial" w:cs="Arial" w:eastAsia="Arial" w:hAnsi="Arial"/>
          <w:sz w:val="14"/>
          <w:szCs w:val="14"/>
          <w:color w:val="auto"/>
        </w:rPr>
        <w:t>See Note 12, “Net Loss Per Share” to our consolidated financial statements included elsewhere in this prospectus for an explanation of the method used to calculate basic and diluted net loss per share attributable to common stockholders and Note 13, “Unaudited Pro Forma Net Loss Per Share” for an explanation of the method used to calculate pro forma net loss per share attributable to common stockholders.</w:t>
      </w:r>
    </w:p>
    <w:p>
      <w:pPr>
        <w:spacing w:after="0" w:line="261" w:lineRule="exact"/>
        <w:rPr>
          <w:sz w:val="20"/>
          <w:szCs w:val="20"/>
          <w:color w:val="auto"/>
        </w:rPr>
      </w:pPr>
    </w:p>
    <w:p>
      <w:pPr>
        <w:ind w:left="1120"/>
        <w:spacing w:after="0"/>
        <w:rPr>
          <w:sz w:val="20"/>
          <w:szCs w:val="20"/>
          <w:color w:val="auto"/>
        </w:rPr>
      </w:pPr>
      <w:r>
        <w:rPr>
          <w:rFonts w:ascii="Arial" w:cs="Arial" w:eastAsia="Arial" w:hAnsi="Arial"/>
          <w:sz w:val="15"/>
          <w:szCs w:val="15"/>
          <w:b w:val="1"/>
          <w:bCs w:val="1"/>
          <w:color w:val="auto"/>
        </w:rPr>
        <w:t>Consolidated Balance Sheet Data</w:t>
      </w:r>
    </w:p>
    <w:p>
      <w:pPr>
        <w:spacing w:after="0" w:line="206" w:lineRule="exact"/>
        <w:rPr>
          <w:sz w:val="20"/>
          <w:szCs w:val="20"/>
          <w:color w:val="auto"/>
        </w:rPr>
      </w:pPr>
    </w:p>
    <w:tbl>
      <w:tblPr>
        <w:tblLayout w:type="fixed"/>
        <w:tblInd w:w="1860" w:type="dxa"/>
        <w:tblCellMar>
          <w:top w:w="0" w:type="dxa"/>
          <w:left w:w="0" w:type="dxa"/>
          <w:bottom w:w="0" w:type="dxa"/>
          <w:right w:w="0" w:type="dxa"/>
        </w:tblCellMar>
      </w:tblPr>
      <w:tr>
        <w:trPr>
          <w:trHeight w:val="144"/>
        </w:trPr>
        <w:tc>
          <w:tcPr>
            <w:tcW w:w="2780" w:type="dxa"/>
            <w:vAlign w:val="bottom"/>
          </w:tcPr>
          <w:p>
            <w:pPr>
              <w:spacing w:after="0"/>
              <w:rPr>
                <w:sz w:val="12"/>
                <w:szCs w:val="12"/>
                <w:color w:val="auto"/>
              </w:rPr>
            </w:pPr>
          </w:p>
        </w:tc>
        <w:tc>
          <w:tcPr>
            <w:tcW w:w="3260" w:type="dxa"/>
            <w:vAlign w:val="bottom"/>
          </w:tcPr>
          <w:p>
            <w:pPr>
              <w:spacing w:after="0"/>
              <w:rPr>
                <w:sz w:val="12"/>
                <w:szCs w:val="12"/>
                <w:color w:val="auto"/>
              </w:rPr>
            </w:pPr>
          </w:p>
        </w:tc>
        <w:tc>
          <w:tcPr>
            <w:tcW w:w="1680" w:type="dxa"/>
            <w:vAlign w:val="bottom"/>
            <w:gridSpan w:val="4"/>
          </w:tcPr>
          <w:p>
            <w:pPr>
              <w:jc w:val="center"/>
              <w:ind w:right="100"/>
              <w:spacing w:after="0"/>
              <w:rPr>
                <w:sz w:val="20"/>
                <w:szCs w:val="20"/>
                <w:color w:val="auto"/>
              </w:rPr>
            </w:pPr>
            <w:r>
              <w:rPr>
                <w:rFonts w:ascii="Arial" w:cs="Arial" w:eastAsia="Arial" w:hAnsi="Arial"/>
                <w:sz w:val="12"/>
                <w:szCs w:val="12"/>
                <w:b w:val="1"/>
                <w:bCs w:val="1"/>
                <w:color w:val="auto"/>
                <w:w w:val="87"/>
              </w:rPr>
              <w:t>As of December 31,</w:t>
            </w:r>
          </w:p>
        </w:tc>
      </w:tr>
      <w:tr>
        <w:trPr>
          <w:trHeight w:val="115"/>
        </w:trPr>
        <w:tc>
          <w:tcPr>
            <w:tcW w:w="2780" w:type="dxa"/>
            <w:vAlign w:val="bottom"/>
          </w:tcPr>
          <w:p>
            <w:pPr>
              <w:spacing w:after="0"/>
              <w:rPr>
                <w:sz w:val="10"/>
                <w:szCs w:val="10"/>
                <w:color w:val="auto"/>
              </w:rPr>
            </w:pPr>
          </w:p>
        </w:tc>
        <w:tc>
          <w:tcPr>
            <w:tcW w:w="3260" w:type="dxa"/>
            <w:vAlign w:val="bottom"/>
          </w:tcPr>
          <w:p>
            <w:pPr>
              <w:spacing w:after="0"/>
              <w:rPr>
                <w:sz w:val="10"/>
                <w:szCs w:val="10"/>
                <w:color w:val="auto"/>
              </w:rPr>
            </w:pPr>
          </w:p>
        </w:tc>
        <w:tc>
          <w:tcPr>
            <w:tcW w:w="820" w:type="dxa"/>
            <w:vAlign w:val="bottom"/>
            <w:tcBorders>
              <w:top w:val="single" w:sz="8" w:color="auto"/>
              <w:bottom w:val="single" w:sz="8" w:color="auto"/>
            </w:tcBorders>
          </w:tcPr>
          <w:p>
            <w:pPr>
              <w:jc w:val="right"/>
              <w:ind w:right="380"/>
              <w:spacing w:after="0" w:line="115" w:lineRule="exact"/>
              <w:rPr>
                <w:sz w:val="20"/>
                <w:szCs w:val="20"/>
                <w:color w:val="auto"/>
              </w:rPr>
            </w:pPr>
            <w:r>
              <w:rPr>
                <w:rFonts w:ascii="Arial" w:cs="Arial" w:eastAsia="Arial" w:hAnsi="Arial"/>
                <w:sz w:val="12"/>
                <w:szCs w:val="12"/>
                <w:b w:val="1"/>
                <w:bCs w:val="1"/>
                <w:color w:val="auto"/>
              </w:rPr>
              <w:t>2016</w:t>
            </w:r>
          </w:p>
        </w:tc>
        <w:tc>
          <w:tcPr>
            <w:tcW w:w="320" w:type="dxa"/>
            <w:vAlign w:val="bottom"/>
            <w:tcBorders>
              <w:top w:val="single" w:sz="8" w:color="auto"/>
              <w:bottom w:val="single" w:sz="8" w:color="auto"/>
            </w:tcBorders>
          </w:tcPr>
          <w:p>
            <w:pPr>
              <w:spacing w:after="0"/>
              <w:rPr>
                <w:sz w:val="10"/>
                <w:szCs w:val="10"/>
                <w:color w:val="auto"/>
              </w:rPr>
            </w:pPr>
          </w:p>
        </w:tc>
        <w:tc>
          <w:tcPr>
            <w:tcW w:w="440" w:type="dxa"/>
            <w:vAlign w:val="bottom"/>
            <w:tcBorders>
              <w:top w:val="single" w:sz="8" w:color="auto"/>
              <w:bottom w:val="single" w:sz="8" w:color="auto"/>
            </w:tcBorders>
          </w:tcPr>
          <w:p>
            <w:pPr>
              <w:jc w:val="right"/>
              <w:ind w:right="67"/>
              <w:spacing w:after="0" w:line="115" w:lineRule="exact"/>
              <w:rPr>
                <w:sz w:val="20"/>
                <w:szCs w:val="20"/>
                <w:color w:val="auto"/>
              </w:rPr>
            </w:pPr>
            <w:r>
              <w:rPr>
                <w:rFonts w:ascii="Arial" w:cs="Arial" w:eastAsia="Arial" w:hAnsi="Arial"/>
                <w:sz w:val="12"/>
                <w:szCs w:val="12"/>
                <w:b w:val="1"/>
                <w:bCs w:val="1"/>
                <w:color w:val="auto"/>
              </w:rPr>
              <w:t>2017</w:t>
            </w:r>
          </w:p>
        </w:tc>
        <w:tc>
          <w:tcPr>
            <w:tcW w:w="100" w:type="dxa"/>
            <w:vAlign w:val="bottom"/>
          </w:tcPr>
          <w:p>
            <w:pPr>
              <w:spacing w:after="0"/>
              <w:rPr>
                <w:sz w:val="10"/>
                <w:szCs w:val="10"/>
                <w:color w:val="auto"/>
              </w:rPr>
            </w:pPr>
          </w:p>
        </w:tc>
      </w:tr>
      <w:tr>
        <w:trPr>
          <w:trHeight w:val="115"/>
        </w:trPr>
        <w:tc>
          <w:tcPr>
            <w:tcW w:w="2780" w:type="dxa"/>
            <w:vAlign w:val="bottom"/>
          </w:tcPr>
          <w:p>
            <w:pPr>
              <w:spacing w:after="0"/>
              <w:rPr>
                <w:sz w:val="10"/>
                <w:szCs w:val="10"/>
                <w:color w:val="auto"/>
              </w:rPr>
            </w:pPr>
          </w:p>
        </w:tc>
        <w:tc>
          <w:tcPr>
            <w:tcW w:w="3260" w:type="dxa"/>
            <w:vAlign w:val="bottom"/>
          </w:tcPr>
          <w:p>
            <w:pPr>
              <w:spacing w:after="0"/>
              <w:rPr>
                <w:sz w:val="10"/>
                <w:szCs w:val="10"/>
                <w:color w:val="auto"/>
              </w:rPr>
            </w:pPr>
          </w:p>
        </w:tc>
        <w:tc>
          <w:tcPr>
            <w:tcW w:w="1140" w:type="dxa"/>
            <w:vAlign w:val="bottom"/>
            <w:gridSpan w:val="2"/>
          </w:tcPr>
          <w:p>
            <w:pPr>
              <w:jc w:val="center"/>
              <w:ind w:left="400"/>
              <w:spacing w:after="0" w:line="115" w:lineRule="exact"/>
              <w:rPr>
                <w:sz w:val="20"/>
                <w:szCs w:val="20"/>
                <w:color w:val="auto"/>
              </w:rPr>
            </w:pPr>
            <w:r>
              <w:rPr>
                <w:rFonts w:ascii="Arial" w:cs="Arial" w:eastAsia="Arial" w:hAnsi="Arial"/>
                <w:sz w:val="12"/>
                <w:szCs w:val="12"/>
                <w:i w:val="1"/>
                <w:iCs w:val="1"/>
                <w:color w:val="auto"/>
                <w:w w:val="97"/>
              </w:rPr>
              <w:t>(In millions)</w:t>
            </w: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80"/>
        </w:trPr>
        <w:tc>
          <w:tcPr>
            <w:tcW w:w="2780" w:type="dxa"/>
            <w:vAlign w:val="bottom"/>
            <w:shd w:val="clear" w:color="auto" w:fill="CCEEFF"/>
          </w:tcPr>
          <w:p>
            <w:pPr>
              <w:spacing w:after="0"/>
              <w:rPr>
                <w:sz w:val="20"/>
                <w:szCs w:val="20"/>
                <w:color w:val="auto"/>
              </w:rPr>
            </w:pPr>
            <w:r>
              <w:rPr>
                <w:rFonts w:ascii="Arial" w:cs="Arial" w:eastAsia="Arial" w:hAnsi="Arial"/>
                <w:sz w:val="15"/>
                <w:szCs w:val="15"/>
                <w:color w:val="auto"/>
              </w:rPr>
              <w:t>Cash and cash equivalents</w:t>
            </w:r>
          </w:p>
        </w:tc>
        <w:tc>
          <w:tcPr>
            <w:tcW w:w="408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  352.7</w:t>
            </w:r>
          </w:p>
        </w:tc>
        <w:tc>
          <w:tcPr>
            <w:tcW w:w="3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430.0</w:t>
            </w:r>
          </w:p>
        </w:tc>
        <w:tc>
          <w:tcPr>
            <w:tcW w:w="100" w:type="dxa"/>
            <w:vAlign w:val="bottom"/>
            <w:shd w:val="clear" w:color="auto" w:fill="CCEEFF"/>
          </w:tcPr>
          <w:p>
            <w:pPr>
              <w:spacing w:after="0"/>
              <w:rPr>
                <w:sz w:val="15"/>
                <w:szCs w:val="15"/>
                <w:color w:val="auto"/>
              </w:rPr>
            </w:pPr>
          </w:p>
        </w:tc>
      </w:tr>
      <w:tr>
        <w:trPr>
          <w:trHeight w:val="180"/>
        </w:trPr>
        <w:tc>
          <w:tcPr>
            <w:tcW w:w="2780" w:type="dxa"/>
            <w:vAlign w:val="bottom"/>
          </w:tcPr>
          <w:p>
            <w:pPr>
              <w:spacing w:after="0"/>
              <w:rPr>
                <w:sz w:val="20"/>
                <w:szCs w:val="20"/>
                <w:color w:val="auto"/>
              </w:rPr>
            </w:pPr>
            <w:r>
              <w:rPr>
                <w:rFonts w:ascii="Arial" w:cs="Arial" w:eastAsia="Arial" w:hAnsi="Arial"/>
                <w:sz w:val="15"/>
                <w:szCs w:val="15"/>
                <w:color w:val="auto"/>
              </w:rPr>
              <w:t>Working capital</w:t>
            </w:r>
          </w:p>
        </w:tc>
        <w:tc>
          <w:tcPr>
            <w:tcW w:w="4080" w:type="dxa"/>
            <w:vAlign w:val="bottom"/>
            <w:gridSpan w:val="2"/>
          </w:tcPr>
          <w:p>
            <w:pPr>
              <w:jc w:val="right"/>
              <w:ind w:right="180"/>
              <w:spacing w:after="0"/>
              <w:rPr>
                <w:sz w:val="20"/>
                <w:szCs w:val="20"/>
                <w:color w:val="auto"/>
              </w:rPr>
            </w:pPr>
            <w:r>
              <w:rPr>
                <w:rFonts w:ascii="Arial" w:cs="Arial" w:eastAsia="Arial" w:hAnsi="Arial"/>
                <w:sz w:val="15"/>
                <w:szCs w:val="15"/>
                <w:color w:val="auto"/>
              </w:rPr>
              <w:t>(221.9)</w:t>
            </w:r>
          </w:p>
        </w:tc>
        <w:tc>
          <w:tcPr>
            <w:tcW w:w="320" w:type="dxa"/>
            <w:vAlign w:val="bottom"/>
          </w:tcPr>
          <w:p>
            <w:pPr>
              <w:spacing w:after="0"/>
              <w:rPr>
                <w:sz w:val="15"/>
                <w:szCs w:val="15"/>
                <w:color w:val="auto"/>
              </w:rPr>
            </w:pPr>
          </w:p>
        </w:tc>
        <w:tc>
          <w:tcPr>
            <w:tcW w:w="540" w:type="dxa"/>
            <w:vAlign w:val="bottom"/>
            <w:gridSpan w:val="2"/>
          </w:tcPr>
          <w:p>
            <w:pPr>
              <w:jc w:val="right"/>
              <w:ind w:right="40"/>
              <w:spacing w:after="0"/>
              <w:rPr>
                <w:sz w:val="20"/>
                <w:szCs w:val="20"/>
                <w:color w:val="auto"/>
              </w:rPr>
            </w:pPr>
            <w:r>
              <w:rPr>
                <w:rFonts w:ascii="Arial" w:cs="Arial" w:eastAsia="Arial" w:hAnsi="Arial"/>
                <w:sz w:val="15"/>
                <w:szCs w:val="15"/>
                <w:color w:val="auto"/>
              </w:rPr>
              <w:t>(220.3)</w:t>
            </w:r>
          </w:p>
        </w:tc>
      </w:tr>
      <w:tr>
        <w:trPr>
          <w:trHeight w:val="180"/>
        </w:trPr>
        <w:tc>
          <w:tcPr>
            <w:tcW w:w="2780" w:type="dxa"/>
            <w:vAlign w:val="bottom"/>
            <w:shd w:val="clear" w:color="auto" w:fill="CCEEFF"/>
          </w:tcPr>
          <w:p>
            <w:pPr>
              <w:spacing w:after="0"/>
              <w:rPr>
                <w:sz w:val="20"/>
                <w:szCs w:val="20"/>
                <w:color w:val="auto"/>
              </w:rPr>
            </w:pPr>
            <w:r>
              <w:rPr>
                <w:rFonts w:ascii="Arial" w:cs="Arial" w:eastAsia="Arial" w:hAnsi="Arial"/>
                <w:sz w:val="15"/>
                <w:szCs w:val="15"/>
                <w:color w:val="auto"/>
              </w:rPr>
              <w:t>Property and equipment, net</w:t>
            </w:r>
          </w:p>
        </w:tc>
        <w:tc>
          <w:tcPr>
            <w:tcW w:w="408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444.0</w:t>
            </w:r>
          </w:p>
        </w:tc>
        <w:tc>
          <w:tcPr>
            <w:tcW w:w="320" w:type="dxa"/>
            <w:vAlign w:val="bottom"/>
            <w:shd w:val="clear" w:color="auto" w:fill="CCEEFF"/>
          </w:tcPr>
          <w:p>
            <w:pPr>
              <w:spacing w:after="0"/>
              <w:rPr>
                <w:sz w:val="15"/>
                <w:szCs w:val="15"/>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341.9</w:t>
            </w:r>
          </w:p>
        </w:tc>
        <w:tc>
          <w:tcPr>
            <w:tcW w:w="100" w:type="dxa"/>
            <w:vAlign w:val="bottom"/>
            <w:shd w:val="clear" w:color="auto" w:fill="CCEEFF"/>
          </w:tcPr>
          <w:p>
            <w:pPr>
              <w:spacing w:after="0"/>
              <w:rPr>
                <w:sz w:val="15"/>
                <w:szCs w:val="15"/>
                <w:color w:val="auto"/>
              </w:rPr>
            </w:pPr>
          </w:p>
        </w:tc>
      </w:tr>
      <w:tr>
        <w:trPr>
          <w:trHeight w:val="180"/>
        </w:trPr>
        <w:tc>
          <w:tcPr>
            <w:tcW w:w="2780" w:type="dxa"/>
            <w:vAlign w:val="bottom"/>
          </w:tcPr>
          <w:p>
            <w:pPr>
              <w:spacing w:after="0"/>
              <w:rPr>
                <w:sz w:val="20"/>
                <w:szCs w:val="20"/>
                <w:color w:val="auto"/>
              </w:rPr>
            </w:pPr>
            <w:r>
              <w:rPr>
                <w:rFonts w:ascii="Arial" w:cs="Arial" w:eastAsia="Arial" w:hAnsi="Arial"/>
                <w:sz w:val="15"/>
                <w:szCs w:val="15"/>
                <w:color w:val="auto"/>
              </w:rPr>
              <w:t>Total assets</w:t>
            </w:r>
          </w:p>
        </w:tc>
        <w:tc>
          <w:tcPr>
            <w:tcW w:w="4080" w:type="dxa"/>
            <w:vAlign w:val="bottom"/>
            <w:gridSpan w:val="2"/>
          </w:tcPr>
          <w:p>
            <w:pPr>
              <w:jc w:val="right"/>
              <w:ind w:right="240"/>
              <w:spacing w:after="0"/>
              <w:rPr>
                <w:sz w:val="20"/>
                <w:szCs w:val="20"/>
                <w:color w:val="auto"/>
              </w:rPr>
            </w:pPr>
            <w:r>
              <w:rPr>
                <w:rFonts w:ascii="Arial" w:cs="Arial" w:eastAsia="Arial" w:hAnsi="Arial"/>
                <w:sz w:val="15"/>
                <w:szCs w:val="15"/>
                <w:color w:val="auto"/>
              </w:rPr>
              <w:t>1,004.2</w:t>
            </w:r>
          </w:p>
        </w:tc>
        <w:tc>
          <w:tcPr>
            <w:tcW w:w="32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Arial" w:cs="Arial" w:eastAsia="Arial" w:hAnsi="Arial"/>
                <w:sz w:val="15"/>
                <w:szCs w:val="15"/>
                <w:color w:val="auto"/>
                <w:w w:val="83"/>
              </w:rPr>
              <w:t>1,019.9</w:t>
            </w:r>
          </w:p>
        </w:tc>
        <w:tc>
          <w:tcPr>
            <w:tcW w:w="100" w:type="dxa"/>
            <w:vAlign w:val="bottom"/>
          </w:tcPr>
          <w:p>
            <w:pPr>
              <w:spacing w:after="0"/>
              <w:rPr>
                <w:sz w:val="15"/>
                <w:szCs w:val="15"/>
                <w:color w:val="auto"/>
              </w:rPr>
            </w:pPr>
          </w:p>
        </w:tc>
      </w:tr>
      <w:tr>
        <w:trPr>
          <w:trHeight w:val="180"/>
        </w:trPr>
        <w:tc>
          <w:tcPr>
            <w:tcW w:w="2780" w:type="dxa"/>
            <w:vAlign w:val="bottom"/>
            <w:shd w:val="clear" w:color="auto" w:fill="CCEEFF"/>
          </w:tcPr>
          <w:p>
            <w:pPr>
              <w:spacing w:after="0"/>
              <w:rPr>
                <w:sz w:val="20"/>
                <w:szCs w:val="20"/>
                <w:color w:val="auto"/>
              </w:rPr>
            </w:pPr>
            <w:r>
              <w:rPr>
                <w:rFonts w:ascii="Arial" w:cs="Arial" w:eastAsia="Arial" w:hAnsi="Arial"/>
                <w:sz w:val="15"/>
                <w:szCs w:val="15"/>
                <w:color w:val="auto"/>
              </w:rPr>
              <w:t>Total deferred revenue</w:t>
            </w:r>
          </w:p>
        </w:tc>
        <w:tc>
          <w:tcPr>
            <w:tcW w:w="408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354.9</w:t>
            </w:r>
          </w:p>
        </w:tc>
        <w:tc>
          <w:tcPr>
            <w:tcW w:w="320" w:type="dxa"/>
            <w:vAlign w:val="bottom"/>
            <w:shd w:val="clear" w:color="auto" w:fill="CCEEFF"/>
          </w:tcPr>
          <w:p>
            <w:pPr>
              <w:spacing w:after="0"/>
              <w:rPr>
                <w:sz w:val="15"/>
                <w:szCs w:val="15"/>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419.2</w:t>
            </w:r>
          </w:p>
        </w:tc>
        <w:tc>
          <w:tcPr>
            <w:tcW w:w="100" w:type="dxa"/>
            <w:vAlign w:val="bottom"/>
            <w:shd w:val="clear" w:color="auto" w:fill="CCEEFF"/>
          </w:tcPr>
          <w:p>
            <w:pPr>
              <w:spacing w:after="0"/>
              <w:rPr>
                <w:sz w:val="15"/>
                <w:szCs w:val="15"/>
                <w:color w:val="auto"/>
              </w:rPr>
            </w:pPr>
          </w:p>
        </w:tc>
      </w:tr>
      <w:tr>
        <w:trPr>
          <w:trHeight w:val="180"/>
        </w:trPr>
        <w:tc>
          <w:tcPr>
            <w:tcW w:w="2780" w:type="dxa"/>
            <w:vAlign w:val="bottom"/>
          </w:tcPr>
          <w:p>
            <w:pPr>
              <w:spacing w:after="0"/>
              <w:rPr>
                <w:sz w:val="20"/>
                <w:szCs w:val="20"/>
                <w:color w:val="auto"/>
              </w:rPr>
            </w:pPr>
            <w:r>
              <w:rPr>
                <w:rFonts w:ascii="Arial" w:cs="Arial" w:eastAsia="Arial" w:hAnsi="Arial"/>
                <w:sz w:val="15"/>
                <w:szCs w:val="15"/>
                <w:color w:val="auto"/>
              </w:rPr>
              <w:t>Total capital lease obligations</w:t>
            </w:r>
          </w:p>
        </w:tc>
        <w:tc>
          <w:tcPr>
            <w:tcW w:w="4080" w:type="dxa"/>
            <w:vAlign w:val="bottom"/>
            <w:gridSpan w:val="2"/>
          </w:tcPr>
          <w:p>
            <w:pPr>
              <w:jc w:val="right"/>
              <w:ind w:right="240"/>
              <w:spacing w:after="0"/>
              <w:rPr>
                <w:sz w:val="20"/>
                <w:szCs w:val="20"/>
                <w:color w:val="auto"/>
              </w:rPr>
            </w:pPr>
            <w:r>
              <w:rPr>
                <w:rFonts w:ascii="Arial" w:cs="Arial" w:eastAsia="Arial" w:hAnsi="Arial"/>
                <w:sz w:val="15"/>
                <w:szCs w:val="15"/>
                <w:color w:val="auto"/>
              </w:rPr>
              <w:t>257.2</w:t>
            </w:r>
          </w:p>
        </w:tc>
        <w:tc>
          <w:tcPr>
            <w:tcW w:w="32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Arial" w:cs="Arial" w:eastAsia="Arial" w:hAnsi="Arial"/>
                <w:sz w:val="15"/>
                <w:szCs w:val="15"/>
                <w:color w:val="auto"/>
              </w:rPr>
              <w:t>174.3</w:t>
            </w:r>
          </w:p>
        </w:tc>
        <w:tc>
          <w:tcPr>
            <w:tcW w:w="100" w:type="dxa"/>
            <w:vAlign w:val="bottom"/>
          </w:tcPr>
          <w:p>
            <w:pPr>
              <w:spacing w:after="0"/>
              <w:rPr>
                <w:sz w:val="15"/>
                <w:szCs w:val="15"/>
                <w:color w:val="auto"/>
              </w:rPr>
            </w:pPr>
          </w:p>
        </w:tc>
      </w:tr>
      <w:tr>
        <w:trPr>
          <w:trHeight w:val="180"/>
        </w:trPr>
        <w:tc>
          <w:tcPr>
            <w:tcW w:w="2780" w:type="dxa"/>
            <w:vAlign w:val="bottom"/>
            <w:shd w:val="clear" w:color="auto" w:fill="CCEEFF"/>
          </w:tcPr>
          <w:p>
            <w:pPr>
              <w:spacing w:after="0"/>
              <w:rPr>
                <w:sz w:val="20"/>
                <w:szCs w:val="20"/>
                <w:color w:val="auto"/>
              </w:rPr>
            </w:pPr>
            <w:r>
              <w:rPr>
                <w:rFonts w:ascii="Arial" w:cs="Arial" w:eastAsia="Arial" w:hAnsi="Arial"/>
                <w:sz w:val="15"/>
                <w:szCs w:val="15"/>
                <w:color w:val="auto"/>
              </w:rPr>
              <w:t>Total stockholders’ equity</w:t>
            </w:r>
          </w:p>
        </w:tc>
        <w:tc>
          <w:tcPr>
            <w:tcW w:w="408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122.8</w:t>
            </w:r>
          </w:p>
        </w:tc>
        <w:tc>
          <w:tcPr>
            <w:tcW w:w="320" w:type="dxa"/>
            <w:vAlign w:val="bottom"/>
            <w:shd w:val="clear" w:color="auto" w:fill="CCEEFF"/>
          </w:tcPr>
          <w:p>
            <w:pPr>
              <w:spacing w:after="0"/>
              <w:rPr>
                <w:sz w:val="15"/>
                <w:szCs w:val="15"/>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102.9</w:t>
            </w:r>
          </w:p>
        </w:tc>
        <w:tc>
          <w:tcPr>
            <w:tcW w:w="100" w:type="dxa"/>
            <w:vAlign w:val="bottom"/>
            <w:shd w:val="clear" w:color="auto" w:fill="CCEEFF"/>
          </w:tcPr>
          <w:p>
            <w:pPr>
              <w:spacing w:after="0"/>
              <w:rPr>
                <w:sz w:val="15"/>
                <w:szCs w:val="15"/>
                <w:color w:val="auto"/>
              </w:rPr>
            </w:pPr>
          </w:p>
        </w:tc>
      </w:tr>
      <w:tr>
        <w:trPr>
          <w:trHeight w:val="303"/>
        </w:trPr>
        <w:tc>
          <w:tcPr>
            <w:tcW w:w="2780" w:type="dxa"/>
            <w:vAlign w:val="bottom"/>
          </w:tcPr>
          <w:p>
            <w:pPr>
              <w:spacing w:after="0"/>
              <w:rPr>
                <w:sz w:val="24"/>
                <w:szCs w:val="24"/>
                <w:color w:val="auto"/>
              </w:rPr>
            </w:pPr>
          </w:p>
        </w:tc>
        <w:tc>
          <w:tcPr>
            <w:tcW w:w="3260" w:type="dxa"/>
            <w:vAlign w:val="bottom"/>
          </w:tcPr>
          <w:p>
            <w:pPr>
              <w:jc w:val="right"/>
              <w:ind w:right="2045"/>
              <w:spacing w:after="0"/>
              <w:rPr>
                <w:sz w:val="20"/>
                <w:szCs w:val="20"/>
                <w:color w:val="auto"/>
              </w:rPr>
            </w:pPr>
            <w:r>
              <w:rPr>
                <w:rFonts w:ascii="Arial" w:cs="Arial" w:eastAsia="Arial" w:hAnsi="Arial"/>
                <w:sz w:val="15"/>
                <w:szCs w:val="15"/>
                <w:color w:val="auto"/>
              </w:rPr>
              <w:t>60</w:t>
            </w:r>
          </w:p>
        </w:tc>
        <w:tc>
          <w:tcPr>
            <w:tcW w:w="8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0260"/>
          </w:cols>
          <w:pgMar w:left="240" w:top="407" w:right="1399" w:bottom="1440" w:gutter="0" w:footer="0" w:header="0"/>
        </w:sectPr>
      </w:pPr>
    </w:p>
    <w:bookmarkStart w:id="67" w:name="page68"/>
    <w:bookmarkEnd w:id="67"/>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133350</wp:posOffset>
            </wp:positionH>
            <wp:positionV relativeFrom="page">
              <wp:posOffset>88900</wp:posOffset>
            </wp:positionV>
            <wp:extent cx="7308850" cy="342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308850" cy="34290"/>
                    </a:xfrm>
                    <a:prstGeom prst="rect">
                      <a:avLst/>
                    </a:prstGeom>
                    <a:noFill/>
                  </pic:spPr>
                </pic:pic>
              </a:graphicData>
            </a:graphic>
          </wp:anchor>
        </w:drawing>
      </w:r>
      <w:hyperlink w:anchor="page7">
        <w:r>
          <w:rPr>
            <w:rFonts w:ascii="Arial" w:cs="Arial" w:eastAsia="Arial" w:hAnsi="Arial"/>
            <w:sz w:val="15"/>
            <w:szCs w:val="15"/>
            <w:b w:val="1"/>
            <w:bCs w:val="1"/>
            <w:u w:val="single" w:color="auto"/>
            <w:color w:val="0000EE"/>
          </w:rPr>
          <w:t>Table of Contents</w:t>
        </w:r>
      </w:hyperlink>
    </w:p>
    <w:p>
      <w:pPr>
        <w:spacing w:after="0" w:line="256" w:lineRule="exact"/>
        <w:rPr>
          <w:sz w:val="20"/>
          <w:szCs w:val="20"/>
          <w:color w:val="auto"/>
        </w:rPr>
      </w:pPr>
    </w:p>
    <w:p>
      <w:pPr>
        <w:ind w:left="1840"/>
        <w:spacing w:after="0"/>
        <w:rPr>
          <w:sz w:val="20"/>
          <w:szCs w:val="20"/>
          <w:color w:val="auto"/>
        </w:rPr>
      </w:pPr>
      <w:r>
        <w:rPr>
          <w:rFonts w:ascii="Arial" w:cs="Arial" w:eastAsia="Arial" w:hAnsi="Arial"/>
          <w:sz w:val="15"/>
          <w:szCs w:val="15"/>
          <w:b w:val="1"/>
          <w:bCs w:val="1"/>
          <w:color w:val="auto"/>
        </w:rPr>
        <w:t>MANAGEMENT’S DISCUSSION AND ANALYSIS OF FINANCIAL CONDITION AND RESULTS OF OPERATIONS</w:t>
      </w:r>
    </w:p>
    <w:p>
      <w:pPr>
        <w:spacing w:after="0" w:line="192" w:lineRule="exact"/>
        <w:rPr>
          <w:sz w:val="20"/>
          <w:szCs w:val="20"/>
          <w:color w:val="auto"/>
        </w:rPr>
      </w:pPr>
    </w:p>
    <w:p>
      <w:pPr>
        <w:ind w:left="1120" w:right="179" w:firstLine="368"/>
        <w:spacing w:after="0" w:line="279" w:lineRule="auto"/>
        <w:rPr>
          <w:sz w:val="20"/>
          <w:szCs w:val="20"/>
          <w:color w:val="auto"/>
        </w:rPr>
      </w:pPr>
      <w:r>
        <w:rPr>
          <w:rFonts w:ascii="Arial" w:cs="Arial" w:eastAsia="Arial" w:hAnsi="Arial"/>
          <w:sz w:val="14"/>
          <w:szCs w:val="14"/>
          <w:i w:val="1"/>
          <w:iCs w:val="1"/>
          <w:color w:val="auto"/>
        </w:rPr>
        <w:t>The following discussion and analysis of our financial condition and results of operations should be read in conjunction with the section titled “Selected Consolidated Financial and Other Data” and the consolidated financial statements and related notes thereto included elsewhere in this prospectus. This discussion contains forward-looking statements that involve risks and uncertainties. Our actual results could differ materially from those discussed below. Factors that could cause or contribute to such differences include, but are not limited to, those identified below and those discussed in the section titled “Risk Factors” included elsewhere in this prospectus.</w:t>
      </w:r>
    </w:p>
    <w:p>
      <w:pPr>
        <w:spacing w:after="0" w:line="233" w:lineRule="exact"/>
        <w:rPr>
          <w:sz w:val="20"/>
          <w:szCs w:val="20"/>
          <w:color w:val="auto"/>
        </w:rPr>
      </w:pPr>
    </w:p>
    <w:p>
      <w:pPr>
        <w:ind w:left="1120"/>
        <w:spacing w:after="0"/>
        <w:rPr>
          <w:sz w:val="20"/>
          <w:szCs w:val="20"/>
          <w:color w:val="auto"/>
        </w:rPr>
      </w:pPr>
      <w:r>
        <w:rPr>
          <w:rFonts w:ascii="Arial" w:cs="Arial" w:eastAsia="Arial" w:hAnsi="Arial"/>
          <w:sz w:val="15"/>
          <w:szCs w:val="15"/>
          <w:b w:val="1"/>
          <w:bCs w:val="1"/>
          <w:color w:val="auto"/>
        </w:rPr>
        <w:t>Our Business</w:t>
      </w:r>
    </w:p>
    <w:p>
      <w:pPr>
        <w:spacing w:after="0" w:line="102" w:lineRule="exact"/>
        <w:rPr>
          <w:sz w:val="20"/>
          <w:szCs w:val="20"/>
          <w:color w:val="auto"/>
        </w:rPr>
      </w:pPr>
    </w:p>
    <w:p>
      <w:pPr>
        <w:ind w:left="1120" w:right="19" w:firstLine="368"/>
        <w:spacing w:after="0" w:line="263" w:lineRule="auto"/>
        <w:rPr>
          <w:sz w:val="20"/>
          <w:szCs w:val="20"/>
          <w:color w:val="auto"/>
        </w:rPr>
      </w:pPr>
      <w:r>
        <w:rPr>
          <w:rFonts w:ascii="Arial" w:cs="Arial" w:eastAsia="Arial" w:hAnsi="Arial"/>
          <w:sz w:val="15"/>
          <w:szCs w:val="15"/>
          <w:color w:val="auto"/>
        </w:rPr>
        <w:t>Our modern economy runs on knowledge. Today, knowledge lives in the cloud as digital content, and Dropbox is a global collaboration platform where more and more of this content is created, accessed, and shared with the world. We serve more than 500 million registered users across 180 countries.</w:t>
      </w:r>
    </w:p>
    <w:p>
      <w:pPr>
        <w:spacing w:after="0" w:line="155" w:lineRule="exact"/>
        <w:rPr>
          <w:sz w:val="20"/>
          <w:szCs w:val="20"/>
          <w:color w:val="auto"/>
        </w:rPr>
      </w:pPr>
    </w:p>
    <w:p>
      <w:pPr>
        <w:jc w:val="both"/>
        <w:ind w:left="1120" w:right="59" w:firstLine="368"/>
        <w:spacing w:after="0" w:line="263" w:lineRule="auto"/>
        <w:rPr>
          <w:sz w:val="20"/>
          <w:szCs w:val="20"/>
          <w:color w:val="auto"/>
        </w:rPr>
      </w:pPr>
      <w:r>
        <w:rPr>
          <w:rFonts w:ascii="Arial" w:cs="Arial" w:eastAsia="Arial" w:hAnsi="Arial"/>
          <w:sz w:val="15"/>
          <w:szCs w:val="15"/>
          <w:color w:val="auto"/>
        </w:rPr>
        <w:t>Dropbox was founded in 2007 with a simple idea: Life would be a lot better if everyone could access their most important information anytime from any device. Over the past decade, we’ve largely accomplished that mission—but along the way we recognized that for most of our users, sharing and collaborating on Dropbox was even more valuable than storing files.</w:t>
      </w:r>
    </w:p>
    <w:p>
      <w:pPr>
        <w:spacing w:after="0" w:line="155" w:lineRule="exact"/>
        <w:rPr>
          <w:sz w:val="20"/>
          <w:szCs w:val="20"/>
          <w:color w:val="auto"/>
        </w:rPr>
      </w:pPr>
    </w:p>
    <w:p>
      <w:pPr>
        <w:ind w:left="1120" w:right="39" w:firstLine="368"/>
        <w:spacing w:after="0" w:line="263" w:lineRule="auto"/>
        <w:rPr>
          <w:sz w:val="20"/>
          <w:szCs w:val="20"/>
          <w:color w:val="auto"/>
        </w:rPr>
      </w:pPr>
      <w:r>
        <w:rPr>
          <w:rFonts w:ascii="Arial" w:cs="Arial" w:eastAsia="Arial" w:hAnsi="Arial"/>
          <w:sz w:val="15"/>
          <w:szCs w:val="15"/>
          <w:color w:val="auto"/>
        </w:rPr>
        <w:t>Our market opportunity has grown as we’ve expanded from keeping files in sync to keeping teams in sync. Today, Dropbox is well positioned to reimagine the way work gets done. We’re focused on reducing the inordinate amount of time and energy the world wastes on “work about work”— tedious tasks like searching for content, switching between applications, and managing workflows.</w:t>
      </w:r>
    </w:p>
    <w:p>
      <w:pPr>
        <w:spacing w:after="0" w:line="155" w:lineRule="exact"/>
        <w:rPr>
          <w:sz w:val="20"/>
          <w:szCs w:val="20"/>
          <w:color w:val="auto"/>
        </w:rPr>
      </w:pPr>
    </w:p>
    <w:p>
      <w:pPr>
        <w:ind w:left="1120" w:right="239" w:firstLine="368"/>
        <w:spacing w:after="0" w:line="283" w:lineRule="auto"/>
        <w:rPr>
          <w:sz w:val="20"/>
          <w:szCs w:val="20"/>
          <w:color w:val="auto"/>
        </w:rPr>
      </w:pPr>
      <w:r>
        <w:rPr>
          <w:rFonts w:ascii="Arial" w:cs="Arial" w:eastAsia="Arial" w:hAnsi="Arial"/>
          <w:sz w:val="14"/>
          <w:szCs w:val="14"/>
          <w:color w:val="auto"/>
        </w:rPr>
        <w:t>We’ve built a thriving global business with 11 million paying users. Our revenue was $603.8 million, $844.8 million, and $1,106.8 million in 2015, 2016, and 2017, respectively, representing an annual growth rate of 40% and 31%, respectively. We generated net losses of $325.9 million, $210.2 million, and $111.7 million in 2015, 2016, and 2017, respectively. We also generated positive free cash flow of $137.4 million and $305.0 million in 2016 and 2017, respectively, compared to negative free cash flow of $63.9 million in 2015.</w:t>
      </w:r>
    </w:p>
    <w:p>
      <w:pPr>
        <w:spacing w:after="0" w:line="87" w:lineRule="exact"/>
        <w:rPr>
          <w:sz w:val="20"/>
          <w:szCs w:val="20"/>
          <w:color w:val="auto"/>
        </w:rPr>
      </w:pPr>
    </w:p>
    <w:p>
      <w:pPr>
        <w:ind w:left="5640"/>
        <w:spacing w:after="0"/>
        <w:rPr>
          <w:sz w:val="20"/>
          <w:szCs w:val="20"/>
          <w:color w:val="auto"/>
        </w:rPr>
      </w:pPr>
      <w:r>
        <w:rPr>
          <w:rFonts w:ascii="Arial" w:cs="Arial" w:eastAsia="Arial" w:hAnsi="Arial"/>
          <w:sz w:val="15"/>
          <w:szCs w:val="15"/>
          <w:color w:val="auto"/>
        </w:rPr>
        <w:t>61</w:t>
      </w:r>
    </w:p>
    <w:p>
      <w:pPr>
        <w:sectPr>
          <w:pgSz w:w="11900" w:h="16838" w:orient="portrait"/>
          <w:cols w:equalWidth="0" w:num="1">
            <w:col w:w="10219"/>
          </w:cols>
          <w:pgMar w:left="240" w:top="407" w:right="1440" w:bottom="1440" w:gutter="0" w:footer="0" w:header="0"/>
        </w:sectPr>
      </w:pPr>
    </w:p>
    <w:bookmarkStart w:id="68" w:name="page69"/>
    <w:bookmarkEnd w:id="68"/>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133350</wp:posOffset>
            </wp:positionH>
            <wp:positionV relativeFrom="page">
              <wp:posOffset>88900</wp:posOffset>
            </wp:positionV>
            <wp:extent cx="7308850" cy="342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308850" cy="34290"/>
                    </a:xfrm>
                    <a:prstGeom prst="rect">
                      <a:avLst/>
                    </a:prstGeom>
                    <a:noFill/>
                  </pic:spPr>
                </pic:pic>
              </a:graphicData>
            </a:graphic>
          </wp:anchor>
        </w:drawing>
      </w:r>
      <w:hyperlink w:anchor="page7">
        <w:r>
          <w:rPr>
            <w:rFonts w:ascii="Arial" w:cs="Arial" w:eastAsia="Arial" w:hAnsi="Arial"/>
            <w:sz w:val="15"/>
            <w:szCs w:val="15"/>
            <w:b w:val="1"/>
            <w:bCs w:val="1"/>
            <w:u w:val="single" w:color="auto"/>
            <w:color w:val="0000EE"/>
          </w:rPr>
          <w:t>Table of Contents</w:t>
        </w:r>
      </w:hyperlink>
    </w:p>
    <w:p>
      <w:pPr>
        <w:spacing w:after="0" w:line="256" w:lineRule="exact"/>
        <w:rPr>
          <w:sz w:val="20"/>
          <w:szCs w:val="20"/>
          <w:color w:val="auto"/>
        </w:rPr>
      </w:pPr>
    </w:p>
    <w:p>
      <w:pPr>
        <w:ind w:left="1120"/>
        <w:spacing w:after="0"/>
        <w:rPr>
          <w:sz w:val="20"/>
          <w:szCs w:val="20"/>
          <w:color w:val="auto"/>
        </w:rPr>
      </w:pPr>
      <w:r>
        <w:rPr>
          <w:rFonts w:ascii="Arial" w:cs="Arial" w:eastAsia="Arial" w:hAnsi="Arial"/>
          <w:sz w:val="15"/>
          <w:szCs w:val="15"/>
          <w:b w:val="1"/>
          <w:bCs w:val="1"/>
          <w:color w:val="auto"/>
        </w:rPr>
        <w:t>Our History</w:t>
      </w:r>
    </w:p>
    <w:p>
      <w:pPr>
        <w:spacing w:after="0" w:line="102" w:lineRule="exact"/>
        <w:rPr>
          <w:sz w:val="20"/>
          <w:szCs w:val="20"/>
          <w:color w:val="auto"/>
        </w:rPr>
      </w:pPr>
    </w:p>
    <w:p>
      <w:pPr>
        <w:ind w:left="1480"/>
        <w:spacing w:after="0"/>
        <w:rPr>
          <w:sz w:val="20"/>
          <w:szCs w:val="20"/>
          <w:color w:val="auto"/>
        </w:rPr>
      </w:pPr>
      <w:r>
        <w:rPr>
          <w:rFonts w:ascii="Arial" w:cs="Arial" w:eastAsia="Arial" w:hAnsi="Arial"/>
          <w:sz w:val="15"/>
          <w:szCs w:val="15"/>
          <w:color w:val="auto"/>
        </w:rPr>
        <w:t>Since our founding, we’ve built one of the largest collaboration platforms in the world.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1526540</wp:posOffset>
            </wp:positionH>
            <wp:positionV relativeFrom="paragraph">
              <wp:posOffset>140970</wp:posOffset>
            </wp:positionV>
            <wp:extent cx="4203700" cy="479107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4203700" cy="47910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1120"/>
        <w:spacing w:after="0"/>
        <w:rPr>
          <w:sz w:val="20"/>
          <w:szCs w:val="20"/>
          <w:color w:val="auto"/>
        </w:rPr>
      </w:pPr>
      <w:r>
        <w:rPr>
          <w:rFonts w:ascii="Arial" w:cs="Arial" w:eastAsia="Arial" w:hAnsi="Arial"/>
          <w:sz w:val="15"/>
          <w:szCs w:val="15"/>
          <w:b w:val="1"/>
          <w:bCs w:val="1"/>
          <w:color w:val="auto"/>
        </w:rPr>
        <w:t>Our Subscription Plans</w:t>
      </w:r>
    </w:p>
    <w:p>
      <w:pPr>
        <w:spacing w:after="0" w:line="102" w:lineRule="exact"/>
        <w:rPr>
          <w:sz w:val="20"/>
          <w:szCs w:val="20"/>
          <w:color w:val="auto"/>
        </w:rPr>
      </w:pPr>
    </w:p>
    <w:p>
      <w:pPr>
        <w:jc w:val="both"/>
        <w:ind w:left="1120" w:right="119" w:firstLine="368"/>
        <w:spacing w:after="0" w:line="322" w:lineRule="auto"/>
        <w:rPr>
          <w:sz w:val="20"/>
          <w:szCs w:val="20"/>
          <w:color w:val="auto"/>
        </w:rPr>
      </w:pPr>
      <w:r>
        <w:rPr>
          <w:rFonts w:ascii="Arial" w:cs="Arial" w:eastAsia="Arial" w:hAnsi="Arial"/>
          <w:sz w:val="13"/>
          <w:szCs w:val="13"/>
          <w:color w:val="auto"/>
        </w:rPr>
        <w:t>We generate revenue from individuals, teams, and organizations by selling subscriptions to our platform, which serve the varying needs of our diverse customer base. Of our 11 million paying users, approximately 30% use Dropbox for work on a Dropbox Business team plan, and we estimate that an additional 50% use Dropbox for work on an individual plan, collectively totaling approximately 80% of paying users. As of December 31,</w:t>
      </w:r>
    </w:p>
    <w:p>
      <w:pPr>
        <w:spacing w:after="0" w:line="64" w:lineRule="exact"/>
        <w:rPr>
          <w:sz w:val="20"/>
          <w:szCs w:val="20"/>
          <w:color w:val="auto"/>
        </w:rPr>
      </w:pPr>
    </w:p>
    <w:p>
      <w:pPr>
        <w:ind w:left="5640"/>
        <w:spacing w:after="0"/>
        <w:rPr>
          <w:sz w:val="20"/>
          <w:szCs w:val="20"/>
          <w:color w:val="auto"/>
        </w:rPr>
      </w:pPr>
      <w:r>
        <w:rPr>
          <w:rFonts w:ascii="Arial" w:cs="Arial" w:eastAsia="Arial" w:hAnsi="Arial"/>
          <w:sz w:val="15"/>
          <w:szCs w:val="15"/>
          <w:color w:val="auto"/>
        </w:rPr>
        <w:t>62</w:t>
      </w:r>
    </w:p>
    <w:p>
      <w:pPr>
        <w:sectPr>
          <w:pgSz w:w="11900" w:h="16838" w:orient="portrait"/>
          <w:cols w:equalWidth="0" w:num="1">
            <w:col w:w="10219"/>
          </w:cols>
          <w:pgMar w:left="240" w:top="407" w:right="1440" w:bottom="1440" w:gutter="0" w:footer="0" w:header="0"/>
        </w:sectPr>
      </w:pPr>
    </w:p>
    <w:bookmarkStart w:id="69" w:name="page70"/>
    <w:bookmarkEnd w:id="69"/>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133350</wp:posOffset>
            </wp:positionH>
            <wp:positionV relativeFrom="page">
              <wp:posOffset>88900</wp:posOffset>
            </wp:positionV>
            <wp:extent cx="7308850" cy="342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308850" cy="34290"/>
                    </a:xfrm>
                    <a:prstGeom prst="rect">
                      <a:avLst/>
                    </a:prstGeom>
                    <a:noFill/>
                  </pic:spPr>
                </pic:pic>
              </a:graphicData>
            </a:graphic>
          </wp:anchor>
        </w:drawing>
      </w:r>
      <w:hyperlink w:anchor="page7">
        <w:r>
          <w:rPr>
            <w:rFonts w:ascii="Arial" w:cs="Arial" w:eastAsia="Arial" w:hAnsi="Arial"/>
            <w:sz w:val="15"/>
            <w:szCs w:val="15"/>
            <w:b w:val="1"/>
            <w:bCs w:val="1"/>
            <w:u w:val="single" w:color="auto"/>
            <w:color w:val="0000EE"/>
          </w:rPr>
          <w:t>Table of Contents</w:t>
        </w:r>
      </w:hyperlink>
    </w:p>
    <w:p>
      <w:pPr>
        <w:spacing w:after="0" w:line="260" w:lineRule="exact"/>
        <w:rPr>
          <w:sz w:val="20"/>
          <w:szCs w:val="20"/>
          <w:color w:val="auto"/>
        </w:rPr>
      </w:pPr>
    </w:p>
    <w:p>
      <w:pPr>
        <w:ind w:left="1120" w:right="119"/>
        <w:spacing w:after="0" w:line="276" w:lineRule="auto"/>
        <w:rPr>
          <w:sz w:val="20"/>
          <w:szCs w:val="20"/>
          <w:color w:val="auto"/>
        </w:rPr>
      </w:pPr>
      <w:r>
        <w:rPr>
          <w:rFonts w:ascii="Arial" w:cs="Arial" w:eastAsia="Arial" w:hAnsi="Arial"/>
          <w:sz w:val="14"/>
          <w:szCs w:val="14"/>
          <w:color w:val="auto"/>
        </w:rPr>
        <w:t>2017, approximately 92% of Fortune 500 companies had paying Dropbox users within their organization, and approximately 56% had at least one paying Dropbox Business team. We had more than 300,000 paying Dropbox Business teams as of December 31, 2017. Each Dropbox Business team represents a separately billed deployment that is managed through a single administrative dashboard. Each team must have a minimum of three users, but we also serve teams that can have more than tens of thousands of users. Customers can choose between an annual or monthly plan, with a small number of large organizations on multi-year plans. A majority of our customers opt for our annual plans. We typically bill our customers at the beginning of their respective terms and recognize revenue ratably over the term of the subscription period. International customers can pay in U.S. dollars or a select number of foreign currencies.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1526540</wp:posOffset>
            </wp:positionH>
            <wp:positionV relativeFrom="paragraph">
              <wp:posOffset>114935</wp:posOffset>
            </wp:positionV>
            <wp:extent cx="4203700" cy="484124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4203700" cy="48412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5640"/>
        <w:spacing w:after="0"/>
        <w:rPr>
          <w:sz w:val="20"/>
          <w:szCs w:val="20"/>
          <w:color w:val="auto"/>
        </w:rPr>
      </w:pPr>
      <w:r>
        <w:rPr>
          <w:rFonts w:ascii="Arial" w:cs="Arial" w:eastAsia="Arial" w:hAnsi="Arial"/>
          <w:sz w:val="15"/>
          <w:szCs w:val="15"/>
          <w:color w:val="auto"/>
        </w:rPr>
        <w:t>63</w:t>
      </w:r>
    </w:p>
    <w:p>
      <w:pPr>
        <w:sectPr>
          <w:pgSz w:w="11900" w:h="16838" w:orient="portrait"/>
          <w:cols w:equalWidth="0" w:num="1">
            <w:col w:w="10219"/>
          </w:cols>
          <w:pgMar w:left="240" w:top="407" w:right="1440" w:bottom="1440" w:gutter="0" w:footer="0" w:header="0"/>
        </w:sectPr>
      </w:pPr>
    </w:p>
    <w:bookmarkStart w:id="70" w:name="page71"/>
    <w:bookmarkEnd w:id="70"/>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133350</wp:posOffset>
            </wp:positionH>
            <wp:positionV relativeFrom="page">
              <wp:posOffset>88900</wp:posOffset>
            </wp:positionV>
            <wp:extent cx="7308850" cy="342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308850" cy="34290"/>
                    </a:xfrm>
                    <a:prstGeom prst="rect">
                      <a:avLst/>
                    </a:prstGeom>
                    <a:noFill/>
                  </pic:spPr>
                </pic:pic>
              </a:graphicData>
            </a:graphic>
          </wp:anchor>
        </w:drawing>
      </w:r>
      <w:hyperlink w:anchor="page7">
        <w:r>
          <w:rPr>
            <w:rFonts w:ascii="Arial" w:cs="Arial" w:eastAsia="Arial" w:hAnsi="Arial"/>
            <w:sz w:val="15"/>
            <w:szCs w:val="15"/>
            <w:b w:val="1"/>
            <w:bCs w:val="1"/>
            <w:u w:val="single" w:color="auto"/>
            <w:color w:val="0000EE"/>
          </w:rPr>
          <w:t>Table of Contents</w:t>
        </w:r>
      </w:hyperlink>
    </w:p>
    <w:p>
      <w:pPr>
        <w:spacing w:after="0" w:line="260" w:lineRule="exact"/>
        <w:rPr>
          <w:sz w:val="20"/>
          <w:szCs w:val="20"/>
          <w:color w:val="auto"/>
        </w:rPr>
      </w:pPr>
    </w:p>
    <w:p>
      <w:pPr>
        <w:ind w:left="1120" w:firstLine="368"/>
        <w:spacing w:after="0" w:line="283" w:lineRule="auto"/>
        <w:rPr>
          <w:sz w:val="20"/>
          <w:szCs w:val="20"/>
          <w:color w:val="auto"/>
        </w:rPr>
      </w:pPr>
      <w:r>
        <w:rPr>
          <w:rFonts w:ascii="Arial" w:cs="Arial" w:eastAsia="Arial" w:hAnsi="Arial"/>
          <w:sz w:val="14"/>
          <w:szCs w:val="14"/>
          <w:color w:val="auto"/>
        </w:rPr>
        <w:t>Our premium subscription plans, such as Professional and Advanced, provide more functionality than other subscription plans and are offered at higher prices per user. Our Standard and Advanced subscription plans offer robust capabilities for businesses, and the vast majority of Dropbox Business teams, including those at Fortune 500 companies, purchase our Standard or Advanced subscription plans. While our Enterprise subscription plan offers more opportunities for customization, companies can subscribe to any of these team plans for their business needs.</w:t>
      </w:r>
    </w:p>
    <w:p>
      <w:pPr>
        <w:spacing w:after="0" w:line="229" w:lineRule="exact"/>
        <w:rPr>
          <w:sz w:val="20"/>
          <w:szCs w:val="20"/>
          <w:color w:val="auto"/>
        </w:rPr>
      </w:pPr>
    </w:p>
    <w:p>
      <w:pPr>
        <w:ind w:left="1120"/>
        <w:spacing w:after="0"/>
        <w:rPr>
          <w:sz w:val="20"/>
          <w:szCs w:val="20"/>
          <w:color w:val="auto"/>
        </w:rPr>
      </w:pPr>
      <w:r>
        <w:rPr>
          <w:rFonts w:ascii="Arial" w:cs="Arial" w:eastAsia="Arial" w:hAnsi="Arial"/>
          <w:sz w:val="15"/>
          <w:szCs w:val="15"/>
          <w:b w:val="1"/>
          <w:bCs w:val="1"/>
          <w:color w:val="auto"/>
        </w:rPr>
        <w:t>Our Business Model</w:t>
      </w:r>
    </w:p>
    <w:p>
      <w:pPr>
        <w:spacing w:after="0" w:line="102" w:lineRule="exact"/>
        <w:rPr>
          <w:sz w:val="20"/>
          <w:szCs w:val="20"/>
          <w:color w:val="auto"/>
        </w:rPr>
      </w:pPr>
    </w:p>
    <w:p>
      <w:pPr>
        <w:ind w:left="1480"/>
        <w:spacing w:after="0"/>
        <w:rPr>
          <w:sz w:val="20"/>
          <w:szCs w:val="20"/>
          <w:color w:val="auto"/>
        </w:rPr>
      </w:pPr>
      <w:r>
        <w:rPr>
          <w:rFonts w:ascii="Arial" w:cs="Arial" w:eastAsia="Arial" w:hAnsi="Arial"/>
          <w:sz w:val="15"/>
          <w:szCs w:val="15"/>
          <w:b w:val="1"/>
          <w:bCs w:val="1"/>
          <w:i w:val="1"/>
          <w:iCs w:val="1"/>
          <w:color w:val="auto"/>
        </w:rPr>
        <w:t>Drive new signups</w:t>
      </w:r>
    </w:p>
    <w:p>
      <w:pPr>
        <w:spacing w:after="0" w:line="98" w:lineRule="exact"/>
        <w:rPr>
          <w:sz w:val="20"/>
          <w:szCs w:val="20"/>
          <w:color w:val="auto"/>
        </w:rPr>
      </w:pPr>
    </w:p>
    <w:p>
      <w:pPr>
        <w:ind w:left="1480"/>
        <w:spacing w:after="0"/>
        <w:rPr>
          <w:sz w:val="20"/>
          <w:szCs w:val="20"/>
          <w:color w:val="auto"/>
        </w:rPr>
      </w:pPr>
      <w:r>
        <w:rPr>
          <w:rFonts w:ascii="Arial" w:cs="Arial" w:eastAsia="Arial" w:hAnsi="Arial"/>
          <w:sz w:val="14"/>
          <w:szCs w:val="14"/>
          <w:color w:val="auto"/>
        </w:rPr>
        <w:t>We acquire users efficiently and at relatively low costs through word-of-mouth referrals, direct in-product referrals, and sharing of content.</w:t>
      </w:r>
    </w:p>
    <w:p>
      <w:pPr>
        <w:spacing w:after="0" w:line="200" w:lineRule="exact"/>
        <w:rPr>
          <w:sz w:val="20"/>
          <w:szCs w:val="20"/>
          <w:color w:val="auto"/>
        </w:rPr>
      </w:pPr>
    </w:p>
    <w:p>
      <w:pPr>
        <w:ind w:left="1120" w:right="180" w:firstLine="368"/>
        <w:spacing w:after="0" w:line="283" w:lineRule="auto"/>
        <w:rPr>
          <w:sz w:val="20"/>
          <w:szCs w:val="20"/>
          <w:color w:val="auto"/>
        </w:rPr>
      </w:pPr>
      <w:r>
        <w:rPr>
          <w:rFonts w:ascii="Arial" w:cs="Arial" w:eastAsia="Arial" w:hAnsi="Arial"/>
          <w:sz w:val="14"/>
          <w:szCs w:val="14"/>
          <w:color w:val="auto"/>
        </w:rPr>
        <w:t>Anyone can create a Dropbox account for free through our website or app and be up and running in minutes. These users often share and collaborate with other non-registered users, attracting new signups into our network. For example, many people use Dropbox for work and spread our platform by collaborating on projects or sharing content externally. We also acquire a small proportion of our registered users through paid marketing and distribution partnerships in which hardware manufacturers pre-install our software on their devices.</w:t>
      </w:r>
    </w:p>
    <w:p>
      <w:pPr>
        <w:spacing w:after="0" w:line="143" w:lineRule="exact"/>
        <w:rPr>
          <w:sz w:val="20"/>
          <w:szCs w:val="20"/>
          <w:color w:val="auto"/>
        </w:rPr>
      </w:pPr>
    </w:p>
    <w:p>
      <w:pPr>
        <w:ind w:left="1480"/>
        <w:spacing w:after="0"/>
        <w:rPr>
          <w:sz w:val="20"/>
          <w:szCs w:val="20"/>
          <w:color w:val="auto"/>
        </w:rPr>
      </w:pPr>
      <w:r>
        <w:rPr>
          <w:rFonts w:ascii="Arial" w:cs="Arial" w:eastAsia="Arial" w:hAnsi="Arial"/>
          <w:sz w:val="15"/>
          <w:szCs w:val="15"/>
          <w:color w:val="auto"/>
        </w:rPr>
        <w:t>We have over 500 million registered users on our platform, of which over 100 million signed up since the beginning of 2017.</w:t>
      </w:r>
    </w:p>
    <w:p>
      <w:pPr>
        <w:spacing w:after="0" w:line="279" w:lineRule="exact"/>
        <w:rPr>
          <w:sz w:val="20"/>
          <w:szCs w:val="20"/>
          <w:color w:val="auto"/>
        </w:rPr>
      </w:pPr>
    </w:p>
    <w:p>
      <w:pPr>
        <w:ind w:left="1480"/>
        <w:spacing w:after="0"/>
        <w:rPr>
          <w:sz w:val="20"/>
          <w:szCs w:val="20"/>
          <w:color w:val="auto"/>
        </w:rPr>
      </w:pPr>
      <w:r>
        <w:rPr>
          <w:rFonts w:ascii="Arial" w:cs="Arial" w:eastAsia="Arial" w:hAnsi="Arial"/>
          <w:sz w:val="15"/>
          <w:szCs w:val="15"/>
          <w:b w:val="1"/>
          <w:bCs w:val="1"/>
          <w:i w:val="1"/>
          <w:iCs w:val="1"/>
          <w:color w:val="auto"/>
        </w:rPr>
        <w:t>Increase conversion of registered users to our paid subscription plans</w:t>
      </w:r>
    </w:p>
    <w:p>
      <w:pPr>
        <w:spacing w:after="0" w:line="98" w:lineRule="exact"/>
        <w:rPr>
          <w:sz w:val="20"/>
          <w:szCs w:val="20"/>
          <w:color w:val="auto"/>
        </w:rPr>
      </w:pPr>
    </w:p>
    <w:p>
      <w:pPr>
        <w:ind w:left="1120" w:firstLine="368"/>
        <w:spacing w:after="0" w:line="273" w:lineRule="auto"/>
        <w:rPr>
          <w:sz w:val="20"/>
          <w:szCs w:val="20"/>
          <w:color w:val="auto"/>
        </w:rPr>
      </w:pPr>
      <w:r>
        <w:rPr>
          <w:rFonts w:ascii="Arial" w:cs="Arial" w:eastAsia="Arial" w:hAnsi="Arial"/>
          <w:sz w:val="14"/>
          <w:szCs w:val="14"/>
          <w:color w:val="auto"/>
        </w:rPr>
        <w:t>Dropbox Basic, the free version of our product, serves as a major funnel for conversions to our paid subscription plans. It fosters brand awareness, product familiarity, and organic adoption of Dropbox. When they purchase a subscription, our users gain access to premium features such as richer collaboration tools, administrative controls, and advanced security features, as well as larger storage capacity. We believe that our current registered user base represents a significant opportunity to increase our revenue. We estimate that approximately 300 million of our registered users have at least one characteristic that we believe makes them more likely than other registered users to pay over time. These characteristics include: (i) having signed up for Dropbox with a business domain email; (ii) having used specific types of computers or mobile devices to access our platform; or (iii) having signed up from certain countries in more developed markets in North America, Europe, and Asia Pacific, and having linked a desktop or laptop to our platform. Substantially all of our paying users share at least one of these characteristics. We’ve found that aggregate user activity metrics aren’t leading indicators of revenue or conversion. For that reason, we don’t comprehensively track user activity across the Dropbox platform for financial planning and forecasting purposes.</w:t>
      </w:r>
    </w:p>
    <w:p>
      <w:pPr>
        <w:spacing w:after="0" w:line="154" w:lineRule="exact"/>
        <w:rPr>
          <w:sz w:val="20"/>
          <w:szCs w:val="20"/>
          <w:color w:val="auto"/>
        </w:rPr>
      </w:pPr>
    </w:p>
    <w:p>
      <w:pPr>
        <w:ind w:left="1120" w:right="100" w:firstLine="368"/>
        <w:spacing w:after="0" w:line="263" w:lineRule="auto"/>
        <w:rPr>
          <w:sz w:val="20"/>
          <w:szCs w:val="20"/>
          <w:color w:val="auto"/>
        </w:rPr>
      </w:pPr>
      <w:r>
        <w:rPr>
          <w:rFonts w:ascii="Arial" w:cs="Arial" w:eastAsia="Arial" w:hAnsi="Arial"/>
          <w:sz w:val="15"/>
          <w:szCs w:val="15"/>
          <w:color w:val="auto"/>
        </w:rPr>
        <w:t>We generate over 90% of our revenue from self-serve channels—users who purchase a subscription through our app or website. We actively encourage our registered users to become paying users through in-product prompts and notifications, time-limited free trials of paid subscription plans, email campaigns, and lifecycle marketing.</w:t>
      </w:r>
    </w:p>
    <w:p>
      <w:pPr>
        <w:spacing w:after="0" w:line="155" w:lineRule="exact"/>
        <w:rPr>
          <w:sz w:val="20"/>
          <w:szCs w:val="20"/>
          <w:color w:val="auto"/>
        </w:rPr>
      </w:pPr>
    </w:p>
    <w:p>
      <w:pPr>
        <w:ind w:left="1120" w:right="240" w:firstLine="368"/>
        <w:spacing w:after="0" w:line="290" w:lineRule="auto"/>
        <w:rPr>
          <w:sz w:val="20"/>
          <w:szCs w:val="20"/>
          <w:color w:val="auto"/>
        </w:rPr>
      </w:pPr>
      <w:r>
        <w:rPr>
          <w:rFonts w:ascii="Arial" w:cs="Arial" w:eastAsia="Arial" w:hAnsi="Arial"/>
          <w:sz w:val="14"/>
          <w:szCs w:val="14"/>
          <w:color w:val="auto"/>
        </w:rPr>
        <w:t>During the fourth quarter of 2017, hundreds of millions of devices—including computers, phones, and tablets—were actively connected to the Dropbox platform. Because our users have installed Dropbox on many devices, we have multiple opportunities to inform them about new product experiences and premium subscription plans via in-product notifications, without any external marketing spend.</w:t>
      </w:r>
    </w:p>
    <w:p>
      <w:pPr>
        <w:spacing w:after="0" w:line="138" w:lineRule="exact"/>
        <w:rPr>
          <w:sz w:val="20"/>
          <w:szCs w:val="20"/>
          <w:color w:val="auto"/>
        </w:rPr>
      </w:pPr>
    </w:p>
    <w:p>
      <w:pPr>
        <w:ind w:left="1120" w:right="360" w:firstLine="368"/>
        <w:spacing w:after="0" w:line="354" w:lineRule="auto"/>
        <w:rPr>
          <w:sz w:val="20"/>
          <w:szCs w:val="20"/>
          <w:color w:val="auto"/>
        </w:rPr>
      </w:pPr>
      <w:r>
        <w:rPr>
          <w:rFonts w:ascii="Arial" w:cs="Arial" w:eastAsia="Arial" w:hAnsi="Arial"/>
          <w:sz w:val="13"/>
          <w:szCs w:val="13"/>
          <w:color w:val="auto"/>
        </w:rPr>
        <w:t>Our scale enables us to experiment and optimize the conversion marketing process. We run hundreds of product tests and targeted marketing campaigns simultaneously, and analyze usage patterns within our network to continually improve our user targeting and marketing messaging.</w:t>
      </w:r>
    </w:p>
    <w:p>
      <w:pPr>
        <w:spacing w:after="0" w:line="44" w:lineRule="exact"/>
        <w:rPr>
          <w:sz w:val="20"/>
          <w:szCs w:val="20"/>
          <w:color w:val="auto"/>
        </w:rPr>
      </w:pPr>
    </w:p>
    <w:p>
      <w:pPr>
        <w:ind w:left="5640"/>
        <w:spacing w:after="0"/>
        <w:rPr>
          <w:sz w:val="20"/>
          <w:szCs w:val="20"/>
          <w:color w:val="auto"/>
        </w:rPr>
      </w:pPr>
      <w:r>
        <w:rPr>
          <w:rFonts w:ascii="Arial" w:cs="Arial" w:eastAsia="Arial" w:hAnsi="Arial"/>
          <w:sz w:val="15"/>
          <w:szCs w:val="15"/>
          <w:color w:val="auto"/>
        </w:rPr>
        <w:t>64</w:t>
      </w:r>
    </w:p>
    <w:p>
      <w:pPr>
        <w:sectPr>
          <w:pgSz w:w="11900" w:h="16838" w:orient="portrait"/>
          <w:cols w:equalWidth="0" w:num="1">
            <w:col w:w="10300"/>
          </w:cols>
          <w:pgMar w:left="240" w:top="407" w:right="1359" w:bottom="1440" w:gutter="0" w:footer="0" w:header="0"/>
        </w:sectPr>
      </w:pPr>
    </w:p>
    <w:bookmarkStart w:id="71" w:name="page72"/>
    <w:bookmarkEnd w:id="71"/>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133350</wp:posOffset>
            </wp:positionH>
            <wp:positionV relativeFrom="page">
              <wp:posOffset>88900</wp:posOffset>
            </wp:positionV>
            <wp:extent cx="7308850" cy="342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308850" cy="34290"/>
                    </a:xfrm>
                    <a:prstGeom prst="rect">
                      <a:avLst/>
                    </a:prstGeom>
                    <a:noFill/>
                  </pic:spPr>
                </pic:pic>
              </a:graphicData>
            </a:graphic>
          </wp:anchor>
        </w:drawing>
      </w:r>
      <w:hyperlink w:anchor="page7">
        <w:r>
          <w:rPr>
            <w:rFonts w:ascii="Arial" w:cs="Arial" w:eastAsia="Arial" w:hAnsi="Arial"/>
            <w:sz w:val="15"/>
            <w:szCs w:val="15"/>
            <w:b w:val="1"/>
            <w:bCs w:val="1"/>
            <w:u w:val="single" w:color="auto"/>
            <w:color w:val="0000EE"/>
          </w:rPr>
          <w:t>Table of Contents</w:t>
        </w:r>
      </w:hyperlink>
    </w:p>
    <w:p>
      <w:pPr>
        <w:spacing w:after="0" w:line="260" w:lineRule="exact"/>
        <w:rPr>
          <w:sz w:val="20"/>
          <w:szCs w:val="20"/>
          <w:color w:val="auto"/>
        </w:rPr>
      </w:pPr>
    </w:p>
    <w:p>
      <w:pPr>
        <w:ind w:left="1480"/>
        <w:spacing w:after="0"/>
        <w:rPr>
          <w:sz w:val="20"/>
          <w:szCs w:val="20"/>
          <w:color w:val="auto"/>
        </w:rPr>
      </w:pPr>
      <w:r>
        <w:rPr>
          <w:rFonts w:ascii="Arial" w:cs="Arial" w:eastAsia="Arial" w:hAnsi="Arial"/>
          <w:sz w:val="15"/>
          <w:szCs w:val="15"/>
          <w:b w:val="1"/>
          <w:bCs w:val="1"/>
          <w:i w:val="1"/>
          <w:iCs w:val="1"/>
          <w:color w:val="auto"/>
        </w:rPr>
        <w:t>Upgrade and expand existing customers</w:t>
      </w:r>
    </w:p>
    <w:p>
      <w:pPr>
        <w:spacing w:after="0" w:line="98" w:lineRule="exact"/>
        <w:rPr>
          <w:sz w:val="20"/>
          <w:szCs w:val="20"/>
          <w:color w:val="auto"/>
        </w:rPr>
      </w:pPr>
    </w:p>
    <w:p>
      <w:pPr>
        <w:ind w:left="1120" w:right="180" w:firstLine="368"/>
        <w:spacing w:after="0" w:line="305" w:lineRule="auto"/>
        <w:rPr>
          <w:sz w:val="20"/>
          <w:szCs w:val="20"/>
          <w:color w:val="auto"/>
        </w:rPr>
      </w:pPr>
      <w:r>
        <w:rPr>
          <w:rFonts w:ascii="Arial" w:cs="Arial" w:eastAsia="Arial" w:hAnsi="Arial"/>
          <w:sz w:val="13"/>
          <w:szCs w:val="13"/>
          <w:color w:val="auto"/>
        </w:rPr>
        <w:t>We offer a range of paid subscription plans, from Plus and Professional for individuals to Standard, Advanced, and Enterprise for teams. We analyze usage patterns within our network and run hundreds of targeted marketing campaigns to encourage paying users to upgrade their plans. For example, we prompt individual subscribers who collaborate with others on Dropbox to purchase our Standard or Advanced plans for a better team experience. They can do this by either joining an existing Dropbox Business team or by creating a new Dropbox Business team and inviting others to join. In 2017, over 40% of new Dropbox Business teams included a member who was previously a subscriber to one of our individual paid plans.</w:t>
      </w:r>
    </w:p>
    <w:p>
      <w:pPr>
        <w:spacing w:after="0" w:line="133" w:lineRule="exact"/>
        <w:rPr>
          <w:sz w:val="20"/>
          <w:szCs w:val="20"/>
          <w:color w:val="auto"/>
        </w:rPr>
      </w:pPr>
    </w:p>
    <w:p>
      <w:pPr>
        <w:ind w:left="1120" w:right="60" w:firstLine="368"/>
        <w:spacing w:after="0" w:line="263" w:lineRule="auto"/>
        <w:rPr>
          <w:sz w:val="20"/>
          <w:szCs w:val="20"/>
          <w:color w:val="auto"/>
        </w:rPr>
      </w:pPr>
      <w:r>
        <w:rPr>
          <w:rFonts w:ascii="Arial" w:cs="Arial" w:eastAsia="Arial" w:hAnsi="Arial"/>
          <w:sz w:val="15"/>
          <w:szCs w:val="15"/>
          <w:color w:val="auto"/>
        </w:rPr>
        <w:t>We believe that a large majority of individual customers use Dropbox for work, which creates an opportunity to significantly increase conversion to Dropbox Business team offerings over time. We also encourage existing Dropbox Business teams to purchase additional licenses or to upgrade to premium subscription plans.</w:t>
      </w:r>
    </w:p>
    <w:p>
      <w:pPr>
        <w:spacing w:after="0" w:line="155" w:lineRule="exact"/>
        <w:rPr>
          <w:sz w:val="20"/>
          <w:szCs w:val="20"/>
          <w:color w:val="auto"/>
        </w:rPr>
      </w:pPr>
    </w:p>
    <w:p>
      <w:pPr>
        <w:jc w:val="both"/>
        <w:ind w:left="1120" w:firstLine="368"/>
        <w:spacing w:after="0" w:line="263" w:lineRule="auto"/>
        <w:rPr>
          <w:sz w:val="20"/>
          <w:szCs w:val="20"/>
          <w:color w:val="auto"/>
        </w:rPr>
      </w:pPr>
      <w:r>
        <w:rPr>
          <w:rFonts w:ascii="Arial" w:cs="Arial" w:eastAsia="Arial" w:hAnsi="Arial"/>
          <w:sz w:val="15"/>
          <w:szCs w:val="15"/>
          <w:color w:val="auto"/>
        </w:rPr>
        <w:t>Within an organization, Dropbox usage may be spread between a mix of Basic users, Plus and Professional subscribers, and one or more Dropbox Business teams. Our outbound sales team focuses on converting and consolidating these separate pockets of usage into a centralized deployment. Nearly all of our largest outbound deals originated as smaller self-serve deployments.</w:t>
      </w:r>
    </w:p>
    <w:p>
      <w:pPr>
        <w:spacing w:after="0" w:line="241" w:lineRule="exact"/>
        <w:rPr>
          <w:sz w:val="20"/>
          <w:szCs w:val="20"/>
          <w:color w:val="auto"/>
        </w:rPr>
      </w:pPr>
    </w:p>
    <w:p>
      <w:pPr>
        <w:ind w:left="1120"/>
        <w:spacing w:after="0"/>
        <w:rPr>
          <w:sz w:val="20"/>
          <w:szCs w:val="20"/>
          <w:color w:val="auto"/>
        </w:rPr>
      </w:pPr>
      <w:r>
        <w:rPr>
          <w:rFonts w:ascii="Arial" w:cs="Arial" w:eastAsia="Arial" w:hAnsi="Arial"/>
          <w:sz w:val="15"/>
          <w:szCs w:val="15"/>
          <w:b w:val="1"/>
          <w:bCs w:val="1"/>
          <w:color w:val="auto"/>
        </w:rPr>
        <w:t>Our Attractive Cohort Economics</w:t>
      </w:r>
    </w:p>
    <w:p>
      <w:pPr>
        <w:spacing w:after="0" w:line="102" w:lineRule="exact"/>
        <w:rPr>
          <w:sz w:val="20"/>
          <w:szCs w:val="20"/>
          <w:color w:val="auto"/>
        </w:rPr>
      </w:pPr>
    </w:p>
    <w:p>
      <w:pPr>
        <w:ind w:left="1120" w:right="20" w:firstLine="368"/>
        <w:spacing w:after="0" w:line="275" w:lineRule="auto"/>
        <w:rPr>
          <w:sz w:val="20"/>
          <w:szCs w:val="20"/>
          <w:color w:val="auto"/>
        </w:rPr>
      </w:pPr>
      <w:r>
        <w:rPr>
          <w:rFonts w:ascii="Arial" w:cs="Arial" w:eastAsia="Arial" w:hAnsi="Arial"/>
          <w:sz w:val="14"/>
          <w:szCs w:val="14"/>
          <w:color w:val="auto"/>
        </w:rPr>
        <w:t>We define a cohort as all registered users who signed up for Dropbox in a given period of time. We track the total monthly subscription amount of all paying users in each cohort as of the end of the month, or the monthly subscription amount. For paying users who opt for our monthly plans, the monthly subscription amount is equal to the price of the monthly plan. For paying users who opt for our annual plans, which a majority of our users do, the monthly subscription amount is equal to the price of the annual plan divided by twelve. These amounts increase as more registered users in each cohort convert to paying users, paying users upgrade to premium subscription offerings, and team administrators purchase additional licenses. These amounts decrease when paying users terminate their subscriptions, downgrade their subscriptions to a lower tier, or team administrators reduce the number of licenses on their subscription plans. We continuously focus on adding new users and increasing the value we offer to them. As a result, each cohort of new users typically generates higher subscription amounts over time.</w:t>
      </w:r>
    </w:p>
    <w:p>
      <w:pPr>
        <w:spacing w:after="0" w:line="92" w:lineRule="exact"/>
        <w:rPr>
          <w:sz w:val="20"/>
          <w:szCs w:val="20"/>
          <w:color w:val="auto"/>
        </w:rPr>
      </w:pPr>
    </w:p>
    <w:p>
      <w:pPr>
        <w:ind w:left="5640"/>
        <w:spacing w:after="0"/>
        <w:rPr>
          <w:sz w:val="20"/>
          <w:szCs w:val="20"/>
          <w:color w:val="auto"/>
        </w:rPr>
      </w:pPr>
      <w:r>
        <w:rPr>
          <w:rFonts w:ascii="Arial" w:cs="Arial" w:eastAsia="Arial" w:hAnsi="Arial"/>
          <w:sz w:val="15"/>
          <w:szCs w:val="15"/>
          <w:color w:val="auto"/>
        </w:rPr>
        <w:t>65</w:t>
      </w:r>
    </w:p>
    <w:p>
      <w:pPr>
        <w:sectPr>
          <w:pgSz w:w="11900" w:h="16838" w:orient="portrait"/>
          <w:cols w:equalWidth="0" w:num="1">
            <w:col w:w="10280"/>
          </w:cols>
          <w:pgMar w:left="240" w:top="407" w:right="1379" w:bottom="1440" w:gutter="0" w:footer="0" w:header="0"/>
        </w:sectPr>
      </w:pPr>
    </w:p>
    <w:bookmarkStart w:id="72" w:name="page73"/>
    <w:bookmarkEnd w:id="72"/>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133350</wp:posOffset>
            </wp:positionH>
            <wp:positionV relativeFrom="page">
              <wp:posOffset>88900</wp:posOffset>
            </wp:positionV>
            <wp:extent cx="7308850" cy="342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308850" cy="34290"/>
                    </a:xfrm>
                    <a:prstGeom prst="rect">
                      <a:avLst/>
                    </a:prstGeom>
                    <a:noFill/>
                  </pic:spPr>
                </pic:pic>
              </a:graphicData>
            </a:graphic>
          </wp:anchor>
        </w:drawing>
      </w:r>
      <w:hyperlink w:anchor="page7">
        <w:r>
          <w:rPr>
            <w:rFonts w:ascii="Arial" w:cs="Arial" w:eastAsia="Arial" w:hAnsi="Arial"/>
            <w:sz w:val="15"/>
            <w:szCs w:val="15"/>
            <w:b w:val="1"/>
            <w:bCs w:val="1"/>
            <w:u w:val="single" w:color="auto"/>
            <w:color w:val="0000EE"/>
          </w:rPr>
          <w:t>Table of Contents</w:t>
        </w:r>
      </w:hyperlink>
    </w:p>
    <w:p>
      <w:pPr>
        <w:spacing w:after="0" w:line="260" w:lineRule="exact"/>
        <w:rPr>
          <w:sz w:val="20"/>
          <w:szCs w:val="20"/>
          <w:color w:val="auto"/>
        </w:rPr>
      </w:pPr>
    </w:p>
    <w:p>
      <w:pPr>
        <w:ind w:left="1120" w:right="299" w:firstLine="368"/>
        <w:spacing w:after="0" w:line="275" w:lineRule="auto"/>
        <w:rPr>
          <w:sz w:val="20"/>
          <w:szCs w:val="20"/>
          <w:color w:val="auto"/>
        </w:rPr>
      </w:pPr>
      <w:r>
        <w:rPr>
          <w:rFonts w:ascii="Arial" w:cs="Arial" w:eastAsia="Arial" w:hAnsi="Arial"/>
          <w:sz w:val="15"/>
          <w:szCs w:val="15"/>
          <w:color w:val="auto"/>
        </w:rPr>
        <w:t>The chart below reflects the monthly subscription amount from January 2013 to December 2017 of all paying users in each quarterly cohort, including those who signed up for our platform prior to 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1741170</wp:posOffset>
            </wp:positionH>
            <wp:positionV relativeFrom="paragraph">
              <wp:posOffset>113665</wp:posOffset>
            </wp:positionV>
            <wp:extent cx="3781425" cy="310832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3781425" cy="31083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1120" w:right="39" w:firstLine="368"/>
        <w:spacing w:after="0" w:line="263" w:lineRule="auto"/>
        <w:rPr>
          <w:sz w:val="20"/>
          <w:szCs w:val="20"/>
          <w:color w:val="auto"/>
        </w:rPr>
      </w:pPr>
      <w:r>
        <w:rPr>
          <w:rFonts w:ascii="Arial" w:cs="Arial" w:eastAsia="Arial" w:hAnsi="Arial"/>
          <w:sz w:val="15"/>
          <w:szCs w:val="15"/>
          <w:color w:val="auto"/>
        </w:rPr>
        <w:t>We continuously focus on adding new users and increasing the value we offer to them. As a result, each cohort of new users typically generates higher subscription amounts over time. For example, the monthly subscription amount generated by the January 2015 cohort doubled in less than three years after signup. We believe this cohort is representative of a typical cohort in recent periods.</w:t>
      </w:r>
    </w:p>
    <w:p>
      <w:pPr>
        <w:spacing w:after="0" w:line="98" w:lineRule="exact"/>
        <w:rPr>
          <w:sz w:val="20"/>
          <w:szCs w:val="20"/>
          <w:color w:val="auto"/>
        </w:rPr>
      </w:pPr>
    </w:p>
    <w:p>
      <w:pPr>
        <w:ind w:left="5640"/>
        <w:spacing w:after="0"/>
        <w:rPr>
          <w:sz w:val="20"/>
          <w:szCs w:val="20"/>
          <w:color w:val="auto"/>
        </w:rPr>
      </w:pPr>
      <w:r>
        <w:rPr>
          <w:rFonts w:ascii="Arial" w:cs="Arial" w:eastAsia="Arial" w:hAnsi="Arial"/>
          <w:sz w:val="15"/>
          <w:szCs w:val="15"/>
          <w:color w:val="auto"/>
        </w:rPr>
        <w:t>66</w:t>
      </w:r>
    </w:p>
    <w:p>
      <w:pPr>
        <w:sectPr>
          <w:pgSz w:w="11900" w:h="16838" w:orient="portrait"/>
          <w:cols w:equalWidth="0" w:num="1">
            <w:col w:w="10219"/>
          </w:cols>
          <w:pgMar w:left="240" w:top="407" w:right="1440" w:bottom="1440" w:gutter="0" w:footer="0" w:header="0"/>
        </w:sectPr>
      </w:pPr>
    </w:p>
    <w:bookmarkStart w:id="73" w:name="page74"/>
    <w:bookmarkEnd w:id="73"/>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133350</wp:posOffset>
            </wp:positionH>
            <wp:positionV relativeFrom="page">
              <wp:posOffset>88900</wp:posOffset>
            </wp:positionV>
            <wp:extent cx="7308850" cy="342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308850" cy="34290"/>
                    </a:xfrm>
                    <a:prstGeom prst="rect">
                      <a:avLst/>
                    </a:prstGeom>
                    <a:noFill/>
                  </pic:spPr>
                </pic:pic>
              </a:graphicData>
            </a:graphic>
          </wp:anchor>
        </w:drawing>
      </w:r>
      <w:hyperlink w:anchor="page7">
        <w:r>
          <w:rPr>
            <w:rFonts w:ascii="Arial" w:cs="Arial" w:eastAsia="Arial" w:hAnsi="Arial"/>
            <w:sz w:val="15"/>
            <w:szCs w:val="15"/>
            <w:b w:val="1"/>
            <w:bCs w:val="1"/>
            <w:u w:val="single" w:color="auto"/>
            <w:color w:val="0000EE"/>
          </w:rPr>
          <w:t>Table of Contents</w:t>
        </w:r>
      </w:hyperlink>
    </w:p>
    <w:p>
      <w:pPr>
        <w:spacing w:after="0" w:line="260" w:lineRule="exact"/>
        <w:rPr>
          <w:sz w:val="20"/>
          <w:szCs w:val="20"/>
          <w:color w:val="auto"/>
        </w:rPr>
      </w:pPr>
    </w:p>
    <w:p>
      <w:pPr>
        <w:ind w:left="1120" w:firstLine="368"/>
        <w:spacing w:after="0" w:line="322" w:lineRule="auto"/>
        <w:rPr>
          <w:sz w:val="20"/>
          <w:szCs w:val="20"/>
          <w:color w:val="auto"/>
        </w:rPr>
      </w:pPr>
      <w:r>
        <w:rPr>
          <w:rFonts w:ascii="Arial" w:cs="Arial" w:eastAsia="Arial" w:hAnsi="Arial"/>
          <w:sz w:val="13"/>
          <w:szCs w:val="13"/>
          <w:color w:val="auto"/>
        </w:rPr>
        <w:t>Moreover, as we continue to innovate and optimize our go-to-market strategy, we have successfully increased monetization for subsequent cohorts. Comparing January cohorts from the last three years, at virtually every point in time after signup, the January 2017 cohort generated a higher monthly subscription amount than the January 2016 cohort, which in turn generated a higher monthly subscription amount than the January 2015 cohort.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1741170</wp:posOffset>
            </wp:positionH>
            <wp:positionV relativeFrom="paragraph">
              <wp:posOffset>97155</wp:posOffset>
            </wp:positionV>
            <wp:extent cx="3781425" cy="236347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3781425" cy="23634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1120"/>
        <w:spacing w:after="0"/>
        <w:rPr>
          <w:sz w:val="20"/>
          <w:szCs w:val="20"/>
          <w:color w:val="auto"/>
        </w:rPr>
      </w:pPr>
      <w:r>
        <w:rPr>
          <w:rFonts w:ascii="Arial" w:cs="Arial" w:eastAsia="Arial" w:hAnsi="Arial"/>
          <w:sz w:val="15"/>
          <w:szCs w:val="15"/>
          <w:b w:val="1"/>
          <w:bCs w:val="1"/>
          <w:color w:val="auto"/>
        </w:rPr>
        <w:t>Our Global, Diversified Customer Base</w:t>
      </w:r>
    </w:p>
    <w:p>
      <w:pPr>
        <w:spacing w:after="0" w:line="102" w:lineRule="exact"/>
        <w:rPr>
          <w:sz w:val="20"/>
          <w:szCs w:val="20"/>
          <w:color w:val="auto"/>
        </w:rPr>
      </w:pPr>
    </w:p>
    <w:p>
      <w:pPr>
        <w:ind w:left="1120" w:right="320" w:firstLine="368"/>
        <w:spacing w:after="0" w:line="312" w:lineRule="auto"/>
        <w:rPr>
          <w:sz w:val="20"/>
          <w:szCs w:val="20"/>
          <w:color w:val="auto"/>
        </w:rPr>
      </w:pPr>
      <w:r>
        <w:rPr>
          <w:rFonts w:ascii="Arial" w:cs="Arial" w:eastAsia="Arial" w:hAnsi="Arial"/>
          <w:sz w:val="14"/>
          <w:szCs w:val="14"/>
          <w:color w:val="auto"/>
        </w:rPr>
        <w:t>The growing need for a unified home for content and the viral nature of our business have allowed us to scale globally. We have paying users across 180 countries, and we generated approximately half of our revenue in 2017 from customers outside the United States.</w:t>
      </w:r>
    </w:p>
    <w:p>
      <w:pPr>
        <w:spacing w:after="0" w:line="123" w:lineRule="exact"/>
        <w:rPr>
          <w:sz w:val="20"/>
          <w:szCs w:val="20"/>
          <w:color w:val="auto"/>
        </w:rPr>
      </w:pPr>
    </w:p>
    <w:p>
      <w:pPr>
        <w:ind w:left="1120" w:right="60" w:firstLine="368"/>
        <w:spacing w:after="0" w:line="257" w:lineRule="auto"/>
        <w:rPr>
          <w:sz w:val="20"/>
          <w:szCs w:val="20"/>
          <w:color w:val="auto"/>
        </w:rPr>
      </w:pPr>
      <w:r>
        <w:rPr>
          <w:rFonts w:ascii="Arial" w:cs="Arial" w:eastAsia="Arial" w:hAnsi="Arial"/>
          <w:sz w:val="15"/>
          <w:szCs w:val="15"/>
          <w:color w:val="auto"/>
        </w:rPr>
        <w:t>Our customer base is highly diversified, and in the periods presented, no customer accounted for more than 1% of our revenue. Our customers include individuals, teams, and organizations of all sizes, from freelancers and small businesses to Fortune 100 companies. They work across a wide range of industries, including professional services, technology, media, education, industrials, consumer and retail, and financial services. Within companies, our platform is used by all types of teams and functions, including sales, marketing, product, design, engineering, finance, legal, and human resources.</w:t>
      </w:r>
    </w:p>
    <w:p>
      <w:pPr>
        <w:spacing w:after="0" w:line="103" w:lineRule="exact"/>
        <w:rPr>
          <w:sz w:val="20"/>
          <w:szCs w:val="20"/>
          <w:color w:val="auto"/>
        </w:rPr>
      </w:pPr>
    </w:p>
    <w:p>
      <w:pPr>
        <w:ind w:left="5640"/>
        <w:spacing w:after="0"/>
        <w:rPr>
          <w:sz w:val="20"/>
          <w:szCs w:val="20"/>
          <w:color w:val="auto"/>
        </w:rPr>
      </w:pPr>
      <w:r>
        <w:rPr>
          <w:rFonts w:ascii="Arial" w:cs="Arial" w:eastAsia="Arial" w:hAnsi="Arial"/>
          <w:sz w:val="15"/>
          <w:szCs w:val="15"/>
          <w:color w:val="auto"/>
        </w:rPr>
        <w:t>67</w:t>
      </w:r>
    </w:p>
    <w:p>
      <w:pPr>
        <w:sectPr>
          <w:pgSz w:w="11900" w:h="16838" w:orient="portrait"/>
          <w:cols w:equalWidth="0" w:num="1">
            <w:col w:w="10300"/>
          </w:cols>
          <w:pgMar w:left="240" w:top="407" w:right="1359" w:bottom="1440" w:gutter="0" w:footer="0" w:header="0"/>
        </w:sectPr>
      </w:pPr>
    </w:p>
    <w:bookmarkStart w:id="74" w:name="page75"/>
    <w:bookmarkEnd w:id="74"/>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133350</wp:posOffset>
            </wp:positionH>
            <wp:positionV relativeFrom="page">
              <wp:posOffset>88900</wp:posOffset>
            </wp:positionV>
            <wp:extent cx="7308850" cy="342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308850" cy="34290"/>
                    </a:xfrm>
                    <a:prstGeom prst="rect">
                      <a:avLst/>
                    </a:prstGeom>
                    <a:noFill/>
                  </pic:spPr>
                </pic:pic>
              </a:graphicData>
            </a:graphic>
          </wp:anchor>
        </w:drawing>
      </w:r>
      <w:hyperlink w:anchor="page7">
        <w:r>
          <w:rPr>
            <w:rFonts w:ascii="Arial" w:cs="Arial" w:eastAsia="Arial" w:hAnsi="Arial"/>
            <w:sz w:val="15"/>
            <w:szCs w:val="15"/>
            <w:b w:val="1"/>
            <w:bCs w:val="1"/>
            <w:u w:val="single" w:color="auto"/>
            <w:color w:val="0000EE"/>
          </w:rPr>
          <w:t>Table of Contents</w:t>
        </w:r>
      </w:hyperlink>
    </w:p>
    <w:p>
      <w:pPr>
        <w:spacing w:after="0" w:line="256" w:lineRule="exact"/>
        <w:rPr>
          <w:sz w:val="20"/>
          <w:szCs w:val="20"/>
          <w:color w:val="auto"/>
        </w:rPr>
      </w:pPr>
    </w:p>
    <w:p>
      <w:pPr>
        <w:ind w:left="1120"/>
        <w:spacing w:after="0"/>
        <w:rPr>
          <w:sz w:val="20"/>
          <w:szCs w:val="20"/>
          <w:color w:val="auto"/>
        </w:rPr>
      </w:pPr>
      <w:r>
        <w:rPr>
          <w:rFonts w:ascii="Arial" w:cs="Arial" w:eastAsia="Arial" w:hAnsi="Arial"/>
          <w:sz w:val="15"/>
          <w:szCs w:val="15"/>
          <w:b w:val="1"/>
          <w:bCs w:val="1"/>
          <w:color w:val="auto"/>
        </w:rPr>
        <w:t>Our Predictable Subscription Revenue</w:t>
      </w:r>
    </w:p>
    <w:p>
      <w:pPr>
        <w:spacing w:after="0" w:line="102" w:lineRule="exact"/>
        <w:rPr>
          <w:sz w:val="20"/>
          <w:szCs w:val="20"/>
          <w:color w:val="auto"/>
        </w:rPr>
      </w:pPr>
    </w:p>
    <w:p>
      <w:pPr>
        <w:ind w:left="1120" w:right="560" w:firstLine="368"/>
        <w:spacing w:after="0" w:line="312" w:lineRule="auto"/>
        <w:rPr>
          <w:sz w:val="20"/>
          <w:szCs w:val="20"/>
          <w:color w:val="auto"/>
        </w:rPr>
      </w:pPr>
      <w:r>
        <w:rPr>
          <w:rFonts w:ascii="Arial" w:cs="Arial" w:eastAsia="Arial" w:hAnsi="Arial"/>
          <w:sz w:val="14"/>
          <w:szCs w:val="14"/>
          <w:color w:val="auto"/>
        </w:rPr>
        <w:t>Taken together, our subscription revenue model, consistent cohort trends, self-serve monetization engine, and large and diversified global customer base resulted in linear and predictable revenue generation over the duration of the quarters presented in the chart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1727200</wp:posOffset>
            </wp:positionH>
            <wp:positionV relativeFrom="paragraph">
              <wp:posOffset>84455</wp:posOffset>
            </wp:positionV>
            <wp:extent cx="3803015" cy="26498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3803015" cy="26498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1120" w:right="60" w:firstLine="368"/>
        <w:spacing w:after="0" w:line="275" w:lineRule="auto"/>
        <w:rPr>
          <w:sz w:val="20"/>
          <w:szCs w:val="20"/>
          <w:color w:val="auto"/>
        </w:rPr>
      </w:pPr>
      <w:r>
        <w:rPr>
          <w:rFonts w:ascii="Arial" w:cs="Arial" w:eastAsia="Arial" w:hAnsi="Arial"/>
          <w:sz w:val="15"/>
          <w:szCs w:val="15"/>
          <w:color w:val="auto"/>
        </w:rPr>
        <w:t>As of December 31, 2017, more than 80% of our annualized revenue came from existing individual users and Dropbox Business teams who were on our platform as of December 31, 2016.</w:t>
      </w:r>
    </w:p>
    <w:p>
      <w:pPr>
        <w:spacing w:after="0" w:line="146" w:lineRule="exact"/>
        <w:rPr>
          <w:sz w:val="20"/>
          <w:szCs w:val="20"/>
          <w:color w:val="auto"/>
        </w:rPr>
      </w:pPr>
    </w:p>
    <w:p>
      <w:pPr>
        <w:ind w:left="1120" w:right="40" w:firstLine="368"/>
        <w:spacing w:after="0" w:line="276" w:lineRule="auto"/>
        <w:rPr>
          <w:sz w:val="20"/>
          <w:szCs w:val="20"/>
          <w:color w:val="auto"/>
        </w:rPr>
      </w:pPr>
      <w:r>
        <w:rPr>
          <w:rFonts w:ascii="Arial" w:cs="Arial" w:eastAsia="Arial" w:hAnsi="Arial"/>
          <w:sz w:val="14"/>
          <w:szCs w:val="14"/>
          <w:color w:val="auto"/>
        </w:rPr>
        <w:t>As of December 31, 2017, our Annualized Net Revenue Retention for paying Dropbox Business customers was approximately 100%. Annualized Net Revenue Retention is the percentage of annualized revenue retained over a 365-day period, inclusive of changes in price, changes in number of licenses, upgrades and downgrades to different subscription plans, and churn. We calculate Annualized Net Revenue Retention by aggregating the annualized revenue from all paying Dropbox Business customers subscribing to a Dropbox Business plan at the beginning of the period, then aggregating the annualized revenue from those same Dropbox Business customers at the end of the period. For customers whose renewal is pending at the end of the period, we include their annualized revenue in the ending total if they resume payment within 30 days from the end of that period. Annualized Net Revenue Retention is equal to ending annualized revenue divided by beginning annualized revenue.</w:t>
      </w:r>
    </w:p>
    <w:p>
      <w:pPr>
        <w:spacing w:after="0" w:line="148" w:lineRule="exact"/>
        <w:rPr>
          <w:sz w:val="20"/>
          <w:szCs w:val="20"/>
          <w:color w:val="auto"/>
        </w:rPr>
      </w:pPr>
    </w:p>
    <w:p>
      <w:pPr>
        <w:ind w:left="1120" w:firstLine="368"/>
        <w:spacing w:after="0" w:line="275" w:lineRule="auto"/>
        <w:rPr>
          <w:sz w:val="20"/>
          <w:szCs w:val="20"/>
          <w:color w:val="auto"/>
        </w:rPr>
      </w:pPr>
      <w:r>
        <w:rPr>
          <w:rFonts w:ascii="Arial" w:cs="Arial" w:eastAsia="Arial" w:hAnsi="Arial"/>
          <w:sz w:val="15"/>
          <w:szCs w:val="15"/>
          <w:color w:val="auto"/>
        </w:rPr>
        <w:t>As of December 31, 2017, our blended Annualized Net Revenue Retention across the entire business, including individuals and Dropbox Business customers, was over 90%.</w:t>
      </w:r>
    </w:p>
    <w:p>
      <w:pPr>
        <w:spacing w:after="0" w:line="232" w:lineRule="exact"/>
        <w:rPr>
          <w:sz w:val="20"/>
          <w:szCs w:val="20"/>
          <w:color w:val="auto"/>
        </w:rPr>
      </w:pPr>
    </w:p>
    <w:p>
      <w:pPr>
        <w:ind w:left="1120"/>
        <w:spacing w:after="0"/>
        <w:rPr>
          <w:sz w:val="20"/>
          <w:szCs w:val="20"/>
          <w:color w:val="auto"/>
        </w:rPr>
      </w:pPr>
      <w:r>
        <w:rPr>
          <w:rFonts w:ascii="Arial" w:cs="Arial" w:eastAsia="Arial" w:hAnsi="Arial"/>
          <w:sz w:val="15"/>
          <w:szCs w:val="15"/>
          <w:b w:val="1"/>
          <w:bCs w:val="1"/>
          <w:color w:val="auto"/>
        </w:rPr>
        <w:t>Key Factors Affecting Our Performance</w:t>
      </w:r>
    </w:p>
    <w:p>
      <w:pPr>
        <w:spacing w:after="0" w:line="102" w:lineRule="exact"/>
        <w:rPr>
          <w:sz w:val="20"/>
          <w:szCs w:val="20"/>
          <w:color w:val="auto"/>
        </w:rPr>
      </w:pPr>
    </w:p>
    <w:p>
      <w:pPr>
        <w:ind w:left="1120" w:right="260" w:firstLine="368"/>
        <w:spacing w:after="0" w:line="263" w:lineRule="auto"/>
        <w:rPr>
          <w:sz w:val="20"/>
          <w:szCs w:val="20"/>
          <w:color w:val="auto"/>
        </w:rPr>
      </w:pPr>
      <w:r>
        <w:rPr>
          <w:rFonts w:ascii="Arial" w:cs="Arial" w:eastAsia="Arial" w:hAnsi="Arial"/>
          <w:sz w:val="15"/>
          <w:szCs w:val="15"/>
          <w:color w:val="auto"/>
        </w:rPr>
        <w:t>We believe that the growth and future success of our business depends on many factors. While each of these factors presents significant opportunities for our business, they also pose important challenges that we must successfully address in order to sustain our growth and improve our results of operations.</w:t>
      </w:r>
    </w:p>
    <w:p>
      <w:pPr>
        <w:spacing w:after="0" w:line="155" w:lineRule="exact"/>
        <w:rPr>
          <w:sz w:val="20"/>
          <w:szCs w:val="20"/>
          <w:color w:val="auto"/>
        </w:rPr>
      </w:pPr>
    </w:p>
    <w:p>
      <w:pPr>
        <w:ind w:left="1120" w:right="120" w:firstLine="368"/>
        <w:spacing w:after="0" w:line="275" w:lineRule="auto"/>
        <w:rPr>
          <w:sz w:val="20"/>
          <w:szCs w:val="20"/>
          <w:color w:val="auto"/>
        </w:rPr>
      </w:pPr>
      <w:r>
        <w:rPr>
          <w:rFonts w:ascii="Arial" w:cs="Arial" w:eastAsia="Arial" w:hAnsi="Arial"/>
          <w:sz w:val="15"/>
          <w:szCs w:val="15"/>
          <w:b w:val="1"/>
          <w:bCs w:val="1"/>
          <w:i w:val="1"/>
          <w:iCs w:val="1"/>
          <w:color w:val="auto"/>
        </w:rPr>
        <w:t xml:space="preserve">Attract Users and Expand Relationships with Them. </w:t>
      </w:r>
      <w:r>
        <w:rPr>
          <w:rFonts w:ascii="Arial" w:cs="Arial" w:eastAsia="Arial" w:hAnsi="Arial"/>
          <w:sz w:val="15"/>
          <w:szCs w:val="15"/>
          <w:color w:val="auto"/>
        </w:rPr>
        <w:t>Our business model is based on attracting new users to our platform, converting registered</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users to paying users, and retaining and expanding paying users’</w:t>
      </w:r>
    </w:p>
    <w:p>
      <w:pPr>
        <w:spacing w:after="0" w:line="90" w:lineRule="exact"/>
        <w:rPr>
          <w:sz w:val="20"/>
          <w:szCs w:val="20"/>
          <w:color w:val="auto"/>
        </w:rPr>
      </w:pPr>
    </w:p>
    <w:p>
      <w:pPr>
        <w:ind w:left="5640"/>
        <w:spacing w:after="0"/>
        <w:rPr>
          <w:sz w:val="20"/>
          <w:szCs w:val="20"/>
          <w:color w:val="auto"/>
        </w:rPr>
      </w:pPr>
      <w:r>
        <w:rPr>
          <w:rFonts w:ascii="Arial" w:cs="Arial" w:eastAsia="Arial" w:hAnsi="Arial"/>
          <w:sz w:val="15"/>
          <w:szCs w:val="15"/>
          <w:color w:val="auto"/>
        </w:rPr>
        <w:t>68</w:t>
      </w:r>
    </w:p>
    <w:p>
      <w:pPr>
        <w:sectPr>
          <w:pgSz w:w="11900" w:h="16838" w:orient="portrait"/>
          <w:cols w:equalWidth="0" w:num="1">
            <w:col w:w="10300"/>
          </w:cols>
          <w:pgMar w:left="240" w:top="407" w:right="1359" w:bottom="1440" w:gutter="0" w:footer="0" w:header="0"/>
        </w:sectPr>
      </w:pPr>
    </w:p>
    <w:bookmarkStart w:id="75" w:name="page76"/>
    <w:bookmarkEnd w:id="75"/>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133350</wp:posOffset>
            </wp:positionH>
            <wp:positionV relativeFrom="page">
              <wp:posOffset>88900</wp:posOffset>
            </wp:positionV>
            <wp:extent cx="7308850" cy="342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308850" cy="34290"/>
                    </a:xfrm>
                    <a:prstGeom prst="rect">
                      <a:avLst/>
                    </a:prstGeom>
                    <a:noFill/>
                  </pic:spPr>
                </pic:pic>
              </a:graphicData>
            </a:graphic>
          </wp:anchor>
        </w:drawing>
      </w:r>
      <w:hyperlink w:anchor="page7">
        <w:r>
          <w:rPr>
            <w:rFonts w:ascii="Arial" w:cs="Arial" w:eastAsia="Arial" w:hAnsi="Arial"/>
            <w:sz w:val="15"/>
            <w:szCs w:val="15"/>
            <w:b w:val="1"/>
            <w:bCs w:val="1"/>
            <w:u w:val="single" w:color="auto"/>
            <w:color w:val="0000EE"/>
          </w:rPr>
          <w:t>Table of Contents</w:t>
        </w:r>
      </w:hyperlink>
    </w:p>
    <w:p>
      <w:pPr>
        <w:spacing w:after="0" w:line="260" w:lineRule="exact"/>
        <w:rPr>
          <w:sz w:val="20"/>
          <w:szCs w:val="20"/>
          <w:color w:val="auto"/>
        </w:rPr>
      </w:pPr>
    </w:p>
    <w:p>
      <w:pPr>
        <w:ind w:left="1120" w:right="220"/>
        <w:spacing w:after="0" w:line="311" w:lineRule="auto"/>
        <w:rPr>
          <w:sz w:val="20"/>
          <w:szCs w:val="20"/>
          <w:color w:val="auto"/>
        </w:rPr>
      </w:pPr>
      <w:r>
        <w:rPr>
          <w:rFonts w:ascii="Arial" w:cs="Arial" w:eastAsia="Arial" w:hAnsi="Arial"/>
          <w:sz w:val="13"/>
          <w:szCs w:val="13"/>
          <w:color w:val="auto"/>
        </w:rPr>
        <w:t>subscriptions over time. Our continued success depends in part on our ability to offer compelling subscription plans with valuable capabilities, and to market these plans effectively to users. In addition, we must continue to provide a quality user experience to retain paying customers and encourage existing Dropbox Business teams to purchase additional licenses for their organizations over time. We intend to continue driving organic adoption by individual users and Dropbox Business teams through our self-serve model, and supplement this with our outbound sales force.</w:t>
      </w:r>
    </w:p>
    <w:p>
      <w:pPr>
        <w:spacing w:after="0" w:line="127" w:lineRule="exact"/>
        <w:rPr>
          <w:sz w:val="20"/>
          <w:szCs w:val="20"/>
          <w:color w:val="auto"/>
        </w:rPr>
      </w:pPr>
    </w:p>
    <w:p>
      <w:pPr>
        <w:ind w:left="1120" w:right="40" w:firstLine="368"/>
        <w:spacing w:after="0" w:line="298" w:lineRule="auto"/>
        <w:rPr>
          <w:sz w:val="20"/>
          <w:szCs w:val="20"/>
          <w:color w:val="auto"/>
        </w:rPr>
      </w:pPr>
      <w:r>
        <w:rPr>
          <w:rFonts w:ascii="Arial" w:cs="Arial" w:eastAsia="Arial" w:hAnsi="Arial"/>
          <w:sz w:val="13"/>
          <w:szCs w:val="13"/>
          <w:b w:val="1"/>
          <w:bCs w:val="1"/>
          <w:i w:val="1"/>
          <w:iCs w:val="1"/>
          <w:color w:val="auto"/>
        </w:rPr>
        <w:t xml:space="preserve">Continued Investment in Growth. </w:t>
      </w:r>
      <w:r>
        <w:rPr>
          <w:rFonts w:ascii="Arial" w:cs="Arial" w:eastAsia="Arial" w:hAnsi="Arial"/>
          <w:sz w:val="13"/>
          <w:szCs w:val="13"/>
          <w:color w:val="auto"/>
        </w:rPr>
        <w:t>We intend to continue to make focused investments to increase revenue and scale operations to support the</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growth of our business, and therefore expect expenses to increase. We plan to further invest in research and development as we hire employees in engineering, product, and design to enhance our platform and support the needs of our growing user base. We also plan to invest in sales and marketing activities to drive our self-serve business model and increase our brand awareness. We expect to incur additional general and administrative expenses to support our growth and our transition to being a publicly traded company. Further, we continue to make investments in our technical infrastructure to support user growth, and in our office locations to support employee growth, which will increase expenses and capital expenditures. As cost of revenue, operating expenses, and capital expenditures fluctuate over time, we may experience short-term, negative impacts to our results of operations and cash flows, but we are undertaking such investments in the belief that they will contribute to long-term growth.</w:t>
      </w:r>
    </w:p>
    <w:p>
      <w:pPr>
        <w:spacing w:after="0" w:line="139" w:lineRule="exact"/>
        <w:rPr>
          <w:sz w:val="20"/>
          <w:szCs w:val="20"/>
          <w:color w:val="auto"/>
        </w:rPr>
      </w:pPr>
    </w:p>
    <w:p>
      <w:pPr>
        <w:ind w:left="1120" w:firstLine="368"/>
        <w:spacing w:after="0" w:line="279" w:lineRule="auto"/>
        <w:rPr>
          <w:sz w:val="20"/>
          <w:szCs w:val="20"/>
          <w:color w:val="auto"/>
        </w:rPr>
      </w:pPr>
      <w:r>
        <w:rPr>
          <w:rFonts w:ascii="Arial" w:cs="Arial" w:eastAsia="Arial" w:hAnsi="Arial"/>
          <w:sz w:val="14"/>
          <w:szCs w:val="14"/>
          <w:b w:val="1"/>
          <w:bCs w:val="1"/>
          <w:i w:val="1"/>
          <w:iCs w:val="1"/>
          <w:color w:val="auto"/>
        </w:rPr>
        <w:t>Ongoing Innovation in a Rapidly Changing Environment</w:t>
      </w:r>
      <w:r>
        <w:rPr>
          <w:rFonts w:ascii="Arial" w:cs="Arial" w:eastAsia="Arial" w:hAnsi="Arial"/>
          <w:sz w:val="14"/>
          <w:szCs w:val="14"/>
          <w:color w:val="auto"/>
        </w:rPr>
        <w:t>. The market for content collaboration platforms is characterized by rapid technological</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change and frequent new product and service introductions. Our ability to acquire, retain, and upgrade paying users will depend in part on our ability to enhance our platform, introduce new features, and interoperate across an increasing range of devices, operating systems, and third-party applications. Certain features of our platform compete directly with products offered by Amazon, Apple, Atlassian, Box, Google, and Microsoft. We will need to continue to innovate in the face of this rapidly changing landscape to remain competitive.</w:t>
      </w:r>
    </w:p>
    <w:p>
      <w:pPr>
        <w:spacing w:after="0" w:line="233" w:lineRule="exact"/>
        <w:rPr>
          <w:sz w:val="20"/>
          <w:szCs w:val="20"/>
          <w:color w:val="auto"/>
        </w:rPr>
      </w:pPr>
    </w:p>
    <w:p>
      <w:pPr>
        <w:ind w:left="1120"/>
        <w:spacing w:after="0"/>
        <w:rPr>
          <w:sz w:val="20"/>
          <w:szCs w:val="20"/>
          <w:color w:val="auto"/>
        </w:rPr>
      </w:pPr>
      <w:r>
        <w:rPr>
          <w:rFonts w:ascii="Arial" w:cs="Arial" w:eastAsia="Arial" w:hAnsi="Arial"/>
          <w:sz w:val="15"/>
          <w:szCs w:val="15"/>
          <w:b w:val="1"/>
          <w:bCs w:val="1"/>
          <w:color w:val="auto"/>
        </w:rPr>
        <w:t>Key Business Metrics</w:t>
      </w:r>
    </w:p>
    <w:p>
      <w:pPr>
        <w:spacing w:after="0" w:line="102" w:lineRule="exact"/>
        <w:rPr>
          <w:sz w:val="20"/>
          <w:szCs w:val="20"/>
          <w:color w:val="auto"/>
        </w:rPr>
      </w:pPr>
    </w:p>
    <w:p>
      <w:pPr>
        <w:ind w:left="1120" w:right="160" w:firstLine="368"/>
        <w:spacing w:after="0" w:line="275" w:lineRule="auto"/>
        <w:rPr>
          <w:sz w:val="20"/>
          <w:szCs w:val="20"/>
          <w:color w:val="auto"/>
        </w:rPr>
      </w:pPr>
      <w:r>
        <w:rPr>
          <w:rFonts w:ascii="Arial" w:cs="Arial" w:eastAsia="Arial" w:hAnsi="Arial"/>
          <w:sz w:val="15"/>
          <w:szCs w:val="15"/>
          <w:color w:val="auto"/>
        </w:rPr>
        <w:t>We review a number of operating and financial metrics, including the following key metrics to evaluate our business, measure our performance, identify trends affecting our business, formulate business plans, and make strategic decisions.</w:t>
      </w:r>
    </w:p>
    <w:p>
      <w:pPr>
        <w:spacing w:after="0" w:line="236" w:lineRule="exact"/>
        <w:rPr>
          <w:sz w:val="20"/>
          <w:szCs w:val="20"/>
          <w:color w:val="auto"/>
        </w:rPr>
      </w:pPr>
    </w:p>
    <w:p>
      <w:pPr>
        <w:ind w:left="1480"/>
        <w:spacing w:after="0"/>
        <w:rPr>
          <w:sz w:val="20"/>
          <w:szCs w:val="20"/>
          <w:color w:val="auto"/>
        </w:rPr>
      </w:pPr>
      <w:r>
        <w:rPr>
          <w:rFonts w:ascii="Arial" w:cs="Arial" w:eastAsia="Arial" w:hAnsi="Arial"/>
          <w:sz w:val="15"/>
          <w:szCs w:val="15"/>
          <w:b w:val="1"/>
          <w:bCs w:val="1"/>
          <w:i w:val="1"/>
          <w:iCs w:val="1"/>
          <w:color w:val="auto"/>
        </w:rPr>
        <w:t>Paying users</w:t>
      </w:r>
    </w:p>
    <w:p>
      <w:pPr>
        <w:spacing w:after="0" w:line="98" w:lineRule="exact"/>
        <w:rPr>
          <w:sz w:val="20"/>
          <w:szCs w:val="20"/>
          <w:color w:val="auto"/>
        </w:rPr>
      </w:pPr>
    </w:p>
    <w:p>
      <w:pPr>
        <w:ind w:left="1120" w:right="120" w:firstLine="368"/>
        <w:spacing w:after="0" w:line="259" w:lineRule="auto"/>
        <w:rPr>
          <w:sz w:val="20"/>
          <w:szCs w:val="20"/>
          <w:color w:val="auto"/>
        </w:rPr>
      </w:pPr>
      <w:r>
        <w:rPr>
          <w:rFonts w:ascii="Arial" w:cs="Arial" w:eastAsia="Arial" w:hAnsi="Arial"/>
          <w:sz w:val="15"/>
          <w:szCs w:val="15"/>
          <w:color w:val="auto"/>
        </w:rPr>
        <w:t>We define paying users as the number of users who have active paid licenses for access to our platform as of the end of the period. One person would count as multiple paying users if the person had more than one active license. For example, a 50-person Dropbox Business team would count as 50 paying users, and an individual Dropbox Plus user would count as one paying user. If that individual Dropbox Plus user was also part of the 50-person Dropbox Business team, we would count the individual as two paying users.</w:t>
      </w:r>
    </w:p>
    <w:p>
      <w:pPr>
        <w:spacing w:after="0" w:line="158" w:lineRule="exact"/>
        <w:rPr>
          <w:sz w:val="20"/>
          <w:szCs w:val="20"/>
          <w:color w:val="auto"/>
        </w:rPr>
      </w:pPr>
    </w:p>
    <w:p>
      <w:pPr>
        <w:ind w:left="1120" w:right="160" w:firstLine="368"/>
        <w:spacing w:after="0" w:line="275" w:lineRule="auto"/>
        <w:rPr>
          <w:sz w:val="20"/>
          <w:szCs w:val="20"/>
          <w:color w:val="auto"/>
        </w:rPr>
      </w:pPr>
      <w:r>
        <w:rPr>
          <w:rFonts w:ascii="Arial" w:cs="Arial" w:eastAsia="Arial" w:hAnsi="Arial"/>
          <w:sz w:val="15"/>
          <w:szCs w:val="15"/>
          <w:color w:val="auto"/>
        </w:rPr>
        <w:t>We have experienced growth in the number of paying users across our products, with the vast majority of paying users for the periods presented coming from our self-serve channels.</w:t>
      </w:r>
    </w:p>
    <w:p>
      <w:pPr>
        <w:spacing w:after="0" w:line="146" w:lineRule="exact"/>
        <w:rPr>
          <w:sz w:val="20"/>
          <w:szCs w:val="20"/>
          <w:color w:val="auto"/>
        </w:rPr>
      </w:pPr>
    </w:p>
    <w:p>
      <w:pPr>
        <w:ind w:left="1480"/>
        <w:spacing w:after="0"/>
        <w:rPr>
          <w:sz w:val="20"/>
          <w:szCs w:val="20"/>
          <w:color w:val="auto"/>
        </w:rPr>
      </w:pPr>
      <w:r>
        <w:rPr>
          <w:rFonts w:ascii="Arial" w:cs="Arial" w:eastAsia="Arial" w:hAnsi="Arial"/>
          <w:sz w:val="15"/>
          <w:szCs w:val="15"/>
          <w:color w:val="auto"/>
        </w:rPr>
        <w:t>The below table sets forth the number of paying users as of December 31, 2015, 2016, and 2017:</w:t>
      </w:r>
    </w:p>
    <w:p>
      <w:pPr>
        <w:spacing w:after="0" w:line="202" w:lineRule="exact"/>
        <w:rPr>
          <w:sz w:val="20"/>
          <w:szCs w:val="20"/>
          <w:color w:val="auto"/>
        </w:rPr>
      </w:pPr>
    </w:p>
    <w:p>
      <w:pPr>
        <w:ind w:left="8280"/>
        <w:spacing w:after="0"/>
        <w:rPr>
          <w:sz w:val="20"/>
          <w:szCs w:val="20"/>
          <w:color w:val="auto"/>
        </w:rPr>
      </w:pPr>
      <w:r>
        <w:rPr>
          <w:rFonts w:ascii="Arial" w:cs="Arial" w:eastAsia="Arial" w:hAnsi="Arial"/>
          <w:sz w:val="12"/>
          <w:szCs w:val="12"/>
          <w:b w:val="1"/>
          <w:bCs w:val="1"/>
          <w:color w:val="auto"/>
        </w:rPr>
        <w:t>As of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5100320</wp:posOffset>
            </wp:positionH>
            <wp:positionV relativeFrom="paragraph">
              <wp:posOffset>3810</wp:posOffset>
            </wp:positionV>
            <wp:extent cx="952500" cy="698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952500" cy="6985"/>
                    </a:xfrm>
                    <a:prstGeom prst="rect">
                      <a:avLst/>
                    </a:prstGeom>
                    <a:noFill/>
                  </pic:spPr>
                </pic:pic>
              </a:graphicData>
            </a:graphic>
          </wp:anchor>
        </w:drawing>
      </w:r>
    </w:p>
    <w:p>
      <w:pPr>
        <w:ind w:left="8040"/>
        <w:spacing w:after="0"/>
        <w:tabs>
          <w:tab w:leader="none" w:pos="8620" w:val="left"/>
          <w:tab w:leader="none" w:pos="9240" w:val="left"/>
        </w:tabs>
        <w:rPr>
          <w:sz w:val="20"/>
          <w:szCs w:val="20"/>
          <w:color w:val="auto"/>
        </w:rPr>
      </w:pPr>
      <w:r>
        <w:rPr>
          <w:rFonts w:ascii="Arial" w:cs="Arial" w:eastAsia="Arial" w:hAnsi="Arial"/>
          <w:sz w:val="12"/>
          <w:szCs w:val="12"/>
          <w:b w:val="1"/>
          <w:bCs w:val="1"/>
          <w:color w:val="auto"/>
        </w:rPr>
        <w:t>2015</w:t>
      </w:r>
      <w:r>
        <w:rPr>
          <w:sz w:val="20"/>
          <w:szCs w:val="20"/>
          <w:color w:val="auto"/>
        </w:rPr>
        <w:tab/>
      </w:r>
      <w:r>
        <w:rPr>
          <w:rFonts w:ascii="Arial" w:cs="Arial" w:eastAsia="Arial" w:hAnsi="Arial"/>
          <w:sz w:val="12"/>
          <w:szCs w:val="12"/>
          <w:b w:val="1"/>
          <w:bCs w:val="1"/>
          <w:color w:val="auto"/>
        </w:rPr>
        <w:t>2016</w:t>
      </w:r>
      <w:r>
        <w:rPr>
          <w:sz w:val="20"/>
          <w:szCs w:val="20"/>
          <w:color w:val="auto"/>
        </w:rPr>
        <w:tab/>
      </w:r>
      <w:r>
        <w:rPr>
          <w:rFonts w:ascii="Arial" w:cs="Arial" w:eastAsia="Arial" w:hAnsi="Arial"/>
          <w:sz w:val="10"/>
          <w:szCs w:val="10"/>
          <w:b w:val="1"/>
          <w:bCs w:val="1"/>
          <w:color w:val="auto"/>
        </w:rPr>
        <w:t>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5100320</wp:posOffset>
            </wp:positionH>
            <wp:positionV relativeFrom="paragraph">
              <wp:posOffset>-3175</wp:posOffset>
            </wp:positionV>
            <wp:extent cx="952500" cy="698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952500" cy="6985"/>
                    </a:xfrm>
                    <a:prstGeom prst="rect">
                      <a:avLst/>
                    </a:prstGeom>
                    <a:noFill/>
                  </pic:spPr>
                </pic:pic>
              </a:graphicData>
            </a:graphic>
          </wp:anchor>
        </w:drawing>
      </w:r>
    </w:p>
    <w:p>
      <w:pPr>
        <w:ind w:left="8480"/>
        <w:spacing w:after="0" w:line="225" w:lineRule="auto"/>
        <w:rPr>
          <w:sz w:val="20"/>
          <w:szCs w:val="20"/>
          <w:color w:val="auto"/>
        </w:rPr>
      </w:pPr>
      <w:r>
        <w:rPr>
          <w:rFonts w:ascii="Arial" w:cs="Arial" w:eastAsia="Arial" w:hAnsi="Arial"/>
          <w:sz w:val="12"/>
          <w:szCs w:val="12"/>
          <w:i w:val="1"/>
          <w:iCs w:val="1"/>
          <w:color w:val="auto"/>
        </w:rPr>
        <w:t>(In millions)</w:t>
      </w:r>
    </w:p>
    <w:p>
      <w:pPr>
        <w:spacing w:after="0" w:line="8" w:lineRule="exact"/>
        <w:rPr>
          <w:sz w:val="20"/>
          <w:szCs w:val="20"/>
          <w:color w:val="auto"/>
        </w:rPr>
      </w:pPr>
    </w:p>
    <w:tbl>
      <w:tblPr>
        <w:tblLayout w:type="fixed"/>
        <w:tblInd w:w="1860" w:type="dxa"/>
        <w:tblCellMar>
          <w:top w:w="0" w:type="dxa"/>
          <w:left w:w="0" w:type="dxa"/>
          <w:bottom w:w="0" w:type="dxa"/>
          <w:right w:w="0" w:type="dxa"/>
        </w:tblCellMar>
      </w:tblPr>
      <w:tr>
        <w:trPr>
          <w:trHeight w:val="172"/>
        </w:trPr>
        <w:tc>
          <w:tcPr>
            <w:tcW w:w="3500" w:type="dxa"/>
            <w:vAlign w:val="bottom"/>
            <w:shd w:val="clear" w:color="auto" w:fill="CCEEFF"/>
          </w:tcPr>
          <w:p>
            <w:pPr>
              <w:spacing w:after="0"/>
              <w:rPr>
                <w:sz w:val="20"/>
                <w:szCs w:val="20"/>
                <w:color w:val="auto"/>
              </w:rPr>
            </w:pPr>
            <w:r>
              <w:rPr>
                <w:rFonts w:ascii="Arial" w:cs="Arial" w:eastAsia="Arial" w:hAnsi="Arial"/>
                <w:sz w:val="15"/>
                <w:szCs w:val="15"/>
                <w:color w:val="auto"/>
              </w:rPr>
              <w:t>Paying users</w:t>
            </w:r>
          </w:p>
        </w:tc>
        <w:tc>
          <w:tcPr>
            <w:tcW w:w="3120" w:type="dxa"/>
            <w:vAlign w:val="bottom"/>
            <w:shd w:val="clear" w:color="auto" w:fill="CCEEFF"/>
          </w:tcPr>
          <w:p>
            <w:pPr>
              <w:jc w:val="right"/>
              <w:ind w:right="125"/>
              <w:spacing w:after="0"/>
              <w:rPr>
                <w:sz w:val="20"/>
                <w:szCs w:val="20"/>
                <w:color w:val="auto"/>
              </w:rPr>
            </w:pPr>
            <w:r>
              <w:rPr>
                <w:rFonts w:ascii="Arial" w:cs="Arial" w:eastAsia="Arial" w:hAnsi="Arial"/>
                <w:sz w:val="15"/>
                <w:szCs w:val="15"/>
                <w:color w:val="auto"/>
              </w:rPr>
              <w:t>6.5</w:t>
            </w:r>
          </w:p>
        </w:tc>
        <w:tc>
          <w:tcPr>
            <w:tcW w:w="600" w:type="dxa"/>
            <w:vAlign w:val="bottom"/>
            <w:shd w:val="clear" w:color="auto" w:fill="CCEEFF"/>
          </w:tcPr>
          <w:p>
            <w:pPr>
              <w:jc w:val="right"/>
              <w:ind w:right="125"/>
              <w:spacing w:after="0"/>
              <w:rPr>
                <w:sz w:val="20"/>
                <w:szCs w:val="20"/>
                <w:color w:val="auto"/>
              </w:rPr>
            </w:pPr>
            <w:r>
              <w:rPr>
                <w:rFonts w:ascii="Arial" w:cs="Arial" w:eastAsia="Arial" w:hAnsi="Arial"/>
                <w:sz w:val="15"/>
                <w:szCs w:val="15"/>
                <w:color w:val="auto"/>
              </w:rPr>
              <w:t>8.8</w:t>
            </w:r>
          </w:p>
        </w:tc>
        <w:tc>
          <w:tcPr>
            <w:tcW w:w="5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11.0</w:t>
            </w:r>
          </w:p>
        </w:tc>
      </w:tr>
    </w:tbl>
    <w:p>
      <w:pPr>
        <w:spacing w:after="0" w:line="113" w:lineRule="exact"/>
        <w:rPr>
          <w:sz w:val="20"/>
          <w:szCs w:val="20"/>
          <w:color w:val="auto"/>
        </w:rPr>
      </w:pPr>
    </w:p>
    <w:p>
      <w:pPr>
        <w:ind w:left="5640"/>
        <w:spacing w:after="0"/>
        <w:rPr>
          <w:sz w:val="20"/>
          <w:szCs w:val="20"/>
          <w:color w:val="auto"/>
        </w:rPr>
      </w:pPr>
      <w:r>
        <w:rPr>
          <w:rFonts w:ascii="Arial" w:cs="Arial" w:eastAsia="Arial" w:hAnsi="Arial"/>
          <w:sz w:val="15"/>
          <w:szCs w:val="15"/>
          <w:color w:val="auto"/>
        </w:rPr>
        <w:t>69</w:t>
      </w:r>
    </w:p>
    <w:p>
      <w:pPr>
        <w:sectPr>
          <w:pgSz w:w="11900" w:h="16838" w:orient="portrait"/>
          <w:cols w:equalWidth="0" w:num="1">
            <w:col w:w="10300"/>
          </w:cols>
          <w:pgMar w:left="240" w:top="407" w:right="1359" w:bottom="1440" w:gutter="0" w:footer="0" w:header="0"/>
        </w:sectPr>
      </w:pPr>
    </w:p>
    <w:bookmarkStart w:id="76" w:name="page77"/>
    <w:bookmarkEnd w:id="76"/>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133350</wp:posOffset>
            </wp:positionH>
            <wp:positionV relativeFrom="page">
              <wp:posOffset>88900</wp:posOffset>
            </wp:positionV>
            <wp:extent cx="7308850" cy="342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308850" cy="34290"/>
                    </a:xfrm>
                    <a:prstGeom prst="rect">
                      <a:avLst/>
                    </a:prstGeom>
                    <a:noFill/>
                  </pic:spPr>
                </pic:pic>
              </a:graphicData>
            </a:graphic>
          </wp:anchor>
        </w:drawing>
      </w:r>
      <w:hyperlink w:anchor="page7">
        <w:r>
          <w:rPr>
            <w:rFonts w:ascii="Arial" w:cs="Arial" w:eastAsia="Arial" w:hAnsi="Arial"/>
            <w:sz w:val="15"/>
            <w:szCs w:val="15"/>
            <w:b w:val="1"/>
            <w:bCs w:val="1"/>
            <w:u w:val="single" w:color="auto"/>
            <w:color w:val="0000EE"/>
          </w:rPr>
          <w:t>Table of Contents</w:t>
        </w:r>
      </w:hyperlink>
    </w:p>
    <w:p>
      <w:pPr>
        <w:spacing w:after="0" w:line="260" w:lineRule="exact"/>
        <w:rPr>
          <w:sz w:val="20"/>
          <w:szCs w:val="20"/>
          <w:color w:val="auto"/>
        </w:rPr>
      </w:pPr>
    </w:p>
    <w:p>
      <w:pPr>
        <w:ind w:left="1480"/>
        <w:spacing w:after="0"/>
        <w:rPr>
          <w:sz w:val="20"/>
          <w:szCs w:val="20"/>
          <w:color w:val="auto"/>
        </w:rPr>
      </w:pPr>
      <w:r>
        <w:rPr>
          <w:rFonts w:ascii="Arial" w:cs="Arial" w:eastAsia="Arial" w:hAnsi="Arial"/>
          <w:sz w:val="15"/>
          <w:szCs w:val="15"/>
          <w:b w:val="1"/>
          <w:bCs w:val="1"/>
          <w:i w:val="1"/>
          <w:iCs w:val="1"/>
          <w:color w:val="auto"/>
        </w:rPr>
        <w:t>Average revenue per paying user</w:t>
      </w:r>
    </w:p>
    <w:p>
      <w:pPr>
        <w:spacing w:after="0" w:line="98" w:lineRule="exact"/>
        <w:rPr>
          <w:sz w:val="20"/>
          <w:szCs w:val="20"/>
          <w:color w:val="auto"/>
        </w:rPr>
      </w:pPr>
    </w:p>
    <w:p>
      <w:pPr>
        <w:ind w:left="1120" w:right="20" w:firstLine="368"/>
        <w:spacing w:after="0" w:line="283" w:lineRule="auto"/>
        <w:rPr>
          <w:sz w:val="20"/>
          <w:szCs w:val="20"/>
          <w:color w:val="auto"/>
        </w:rPr>
      </w:pPr>
      <w:r>
        <w:rPr>
          <w:rFonts w:ascii="Arial" w:cs="Arial" w:eastAsia="Arial" w:hAnsi="Arial"/>
          <w:sz w:val="14"/>
          <w:szCs w:val="14"/>
          <w:color w:val="auto"/>
        </w:rPr>
        <w:t>We define average revenue per paying user, or ARPU, as our revenue for the period presented divided by the average paying users during the same period. For interim periods, we use annualized revenue, which is calculated by dividing the revenue for the particular period by the number of days in that period and multiplying this value by 365 days. Average paying users are calculated based on adding the number of paying users as of the beginning of the period to the number of paying users as of the end of the period, and then dividing by two.</w:t>
      </w:r>
    </w:p>
    <w:p>
      <w:pPr>
        <w:spacing w:after="0" w:line="143" w:lineRule="exact"/>
        <w:rPr>
          <w:sz w:val="20"/>
          <w:szCs w:val="20"/>
          <w:color w:val="auto"/>
        </w:rPr>
      </w:pPr>
    </w:p>
    <w:p>
      <w:pPr>
        <w:ind w:left="1120" w:firstLine="368"/>
        <w:spacing w:after="0" w:line="259" w:lineRule="auto"/>
        <w:rPr>
          <w:sz w:val="20"/>
          <w:szCs w:val="20"/>
          <w:color w:val="auto"/>
        </w:rPr>
      </w:pPr>
      <w:r>
        <w:rPr>
          <w:rFonts w:ascii="Arial" w:cs="Arial" w:eastAsia="Arial" w:hAnsi="Arial"/>
          <w:sz w:val="15"/>
          <w:szCs w:val="15"/>
          <w:color w:val="auto"/>
        </w:rPr>
        <w:t>Our ARPU declined for the year ended December 31, 2016, compared to the year ended December 31, 2015, primarily due to foreign currency fluctuations related to our sales that are denominated in foreign currencies. Our ARPU increased for the year ended December 31, 2017, compared to the year ended December 31, 2016, primarily due to an increased mix of sales towards our higher priced subscription plans, including our new Dropbox Business Advanced plan.</w:t>
      </w:r>
    </w:p>
    <w:p>
      <w:pPr>
        <w:spacing w:after="0" w:line="158" w:lineRule="exact"/>
        <w:rPr>
          <w:sz w:val="20"/>
          <w:szCs w:val="20"/>
          <w:color w:val="auto"/>
        </w:rPr>
      </w:pPr>
    </w:p>
    <w:p>
      <w:pPr>
        <w:ind w:left="1480"/>
        <w:spacing w:after="0"/>
        <w:rPr>
          <w:sz w:val="20"/>
          <w:szCs w:val="20"/>
          <w:color w:val="auto"/>
        </w:rPr>
      </w:pPr>
      <w:r>
        <w:rPr>
          <w:rFonts w:ascii="Arial" w:cs="Arial" w:eastAsia="Arial" w:hAnsi="Arial"/>
          <w:sz w:val="15"/>
          <w:szCs w:val="15"/>
          <w:color w:val="auto"/>
        </w:rPr>
        <w:t>The below table sets forth our ARPU for the years ended December 31, 2015, 2016, and 2017.</w:t>
      </w:r>
    </w:p>
    <w:p>
      <w:pPr>
        <w:spacing w:after="0" w:line="202" w:lineRule="exact"/>
        <w:rPr>
          <w:sz w:val="20"/>
          <w:szCs w:val="20"/>
          <w:color w:val="auto"/>
        </w:rPr>
      </w:pPr>
    </w:p>
    <w:tbl>
      <w:tblPr>
        <w:tblLayout w:type="fixed"/>
        <w:tblInd w:w="1480" w:type="dxa"/>
        <w:tblCellMar>
          <w:top w:w="0" w:type="dxa"/>
          <w:left w:w="0" w:type="dxa"/>
          <w:bottom w:w="0" w:type="dxa"/>
          <w:right w:w="0" w:type="dxa"/>
        </w:tblCellMar>
      </w:tblPr>
      <w:tr>
        <w:trPr>
          <w:trHeight w:val="144"/>
        </w:trPr>
        <w:tc>
          <w:tcPr>
            <w:tcW w:w="20" w:type="dxa"/>
            <w:vAlign w:val="bottom"/>
          </w:tcPr>
          <w:p>
            <w:pPr>
              <w:spacing w:after="0"/>
              <w:rPr>
                <w:sz w:val="12"/>
                <w:szCs w:val="12"/>
                <w:color w:val="auto"/>
              </w:rPr>
            </w:pPr>
          </w:p>
        </w:tc>
        <w:tc>
          <w:tcPr>
            <w:tcW w:w="3260" w:type="dxa"/>
            <w:vAlign w:val="bottom"/>
          </w:tcPr>
          <w:p>
            <w:pPr>
              <w:spacing w:after="0"/>
              <w:rPr>
                <w:sz w:val="12"/>
                <w:szCs w:val="12"/>
                <w:color w:val="auto"/>
              </w:rPr>
            </w:pPr>
          </w:p>
        </w:tc>
        <w:tc>
          <w:tcPr>
            <w:tcW w:w="2900" w:type="dxa"/>
            <w:vAlign w:val="bottom"/>
          </w:tcPr>
          <w:p>
            <w:pPr>
              <w:spacing w:after="0"/>
              <w:rPr>
                <w:sz w:val="12"/>
                <w:szCs w:val="12"/>
                <w:color w:val="auto"/>
              </w:rPr>
            </w:pPr>
          </w:p>
        </w:tc>
        <w:tc>
          <w:tcPr>
            <w:tcW w:w="2280" w:type="dxa"/>
            <w:vAlign w:val="bottom"/>
            <w:gridSpan w:val="6"/>
          </w:tcPr>
          <w:p>
            <w:pPr>
              <w:ind w:left="460"/>
              <w:spacing w:after="0"/>
              <w:rPr>
                <w:sz w:val="20"/>
                <w:szCs w:val="20"/>
                <w:color w:val="auto"/>
              </w:rPr>
            </w:pPr>
            <w:r>
              <w:rPr>
                <w:rFonts w:ascii="Arial" w:cs="Arial" w:eastAsia="Arial" w:hAnsi="Arial"/>
                <w:sz w:val="12"/>
                <w:szCs w:val="12"/>
                <w:b w:val="1"/>
                <w:bCs w:val="1"/>
                <w:color w:val="auto"/>
              </w:rPr>
              <w:t>Year ended December 31,</w:t>
            </w:r>
          </w:p>
        </w:tc>
      </w:tr>
      <w:tr>
        <w:trPr>
          <w:trHeight w:val="115"/>
        </w:trPr>
        <w:tc>
          <w:tcPr>
            <w:tcW w:w="20" w:type="dxa"/>
            <w:vAlign w:val="bottom"/>
          </w:tcPr>
          <w:p>
            <w:pPr>
              <w:spacing w:after="0"/>
              <w:rPr>
                <w:sz w:val="10"/>
                <w:szCs w:val="10"/>
                <w:color w:val="auto"/>
              </w:rPr>
            </w:pPr>
          </w:p>
        </w:tc>
        <w:tc>
          <w:tcPr>
            <w:tcW w:w="3260" w:type="dxa"/>
            <w:vAlign w:val="bottom"/>
          </w:tcPr>
          <w:p>
            <w:pPr>
              <w:spacing w:after="0"/>
              <w:rPr>
                <w:sz w:val="10"/>
                <w:szCs w:val="10"/>
                <w:color w:val="auto"/>
              </w:rPr>
            </w:pPr>
          </w:p>
        </w:tc>
        <w:tc>
          <w:tcPr>
            <w:tcW w:w="2900" w:type="dxa"/>
            <w:vAlign w:val="bottom"/>
          </w:tcPr>
          <w:p>
            <w:pPr>
              <w:spacing w:after="0"/>
              <w:rPr>
                <w:sz w:val="10"/>
                <w:szCs w:val="10"/>
                <w:color w:val="auto"/>
              </w:rPr>
            </w:pPr>
          </w:p>
        </w:tc>
        <w:tc>
          <w:tcPr>
            <w:tcW w:w="500" w:type="dxa"/>
            <w:vAlign w:val="bottom"/>
            <w:tcBorders>
              <w:top w:val="single" w:sz="8" w:color="auto"/>
            </w:tcBorders>
          </w:tcPr>
          <w:p>
            <w:pPr>
              <w:jc w:val="right"/>
              <w:ind w:right="75"/>
              <w:spacing w:after="0" w:line="115" w:lineRule="exact"/>
              <w:rPr>
                <w:sz w:val="20"/>
                <w:szCs w:val="20"/>
                <w:color w:val="auto"/>
              </w:rPr>
            </w:pPr>
            <w:r>
              <w:rPr>
                <w:rFonts w:ascii="Arial" w:cs="Arial" w:eastAsia="Arial" w:hAnsi="Arial"/>
                <w:sz w:val="12"/>
                <w:szCs w:val="12"/>
                <w:b w:val="1"/>
                <w:bCs w:val="1"/>
                <w:color w:val="auto"/>
              </w:rPr>
              <w:t>2015</w:t>
            </w:r>
          </w:p>
        </w:tc>
        <w:tc>
          <w:tcPr>
            <w:tcW w:w="880" w:type="dxa"/>
            <w:vAlign w:val="bottom"/>
            <w:tcBorders>
              <w:top w:val="single" w:sz="8" w:color="auto"/>
            </w:tcBorders>
            <w:gridSpan w:val="2"/>
          </w:tcPr>
          <w:p>
            <w:pPr>
              <w:jc w:val="right"/>
              <w:ind w:right="65"/>
              <w:spacing w:after="0" w:line="115" w:lineRule="exact"/>
              <w:rPr>
                <w:sz w:val="20"/>
                <w:szCs w:val="20"/>
                <w:color w:val="auto"/>
              </w:rPr>
            </w:pPr>
            <w:r>
              <w:rPr>
                <w:rFonts w:ascii="Arial" w:cs="Arial" w:eastAsia="Arial" w:hAnsi="Arial"/>
                <w:sz w:val="12"/>
                <w:szCs w:val="12"/>
                <w:b w:val="1"/>
                <w:bCs w:val="1"/>
                <w:color w:val="auto"/>
              </w:rPr>
              <w:t>2016</w:t>
            </w:r>
          </w:p>
        </w:tc>
        <w:tc>
          <w:tcPr>
            <w:tcW w:w="860" w:type="dxa"/>
            <w:vAlign w:val="bottom"/>
            <w:tcBorders>
              <w:top w:val="single" w:sz="8" w:color="auto"/>
            </w:tcBorders>
            <w:gridSpan w:val="2"/>
          </w:tcPr>
          <w:p>
            <w:pPr>
              <w:jc w:val="right"/>
              <w:ind w:right="45"/>
              <w:spacing w:after="0" w:line="115" w:lineRule="exact"/>
              <w:rPr>
                <w:sz w:val="20"/>
                <w:szCs w:val="20"/>
                <w:color w:val="auto"/>
              </w:rPr>
            </w:pPr>
            <w:r>
              <w:rPr>
                <w:rFonts w:ascii="Arial" w:cs="Arial" w:eastAsia="Arial" w:hAnsi="Arial"/>
                <w:sz w:val="12"/>
                <w:szCs w:val="12"/>
                <w:b w:val="1"/>
                <w:bCs w:val="1"/>
                <w:color w:val="auto"/>
              </w:rPr>
              <w:t>2017</w:t>
            </w:r>
          </w:p>
        </w:tc>
        <w:tc>
          <w:tcPr>
            <w:tcW w:w="40" w:type="dxa"/>
            <w:vAlign w:val="bottom"/>
          </w:tcPr>
          <w:p>
            <w:pPr>
              <w:spacing w:after="0"/>
              <w:rPr>
                <w:sz w:val="10"/>
                <w:szCs w:val="10"/>
                <w:color w:val="auto"/>
              </w:rPr>
            </w:pPr>
          </w:p>
        </w:tc>
      </w:tr>
      <w:tr>
        <w:trPr>
          <w:trHeight w:val="172"/>
        </w:trPr>
        <w:tc>
          <w:tcPr>
            <w:tcW w:w="20" w:type="dxa"/>
            <w:vAlign w:val="bottom"/>
          </w:tcPr>
          <w:p>
            <w:pPr>
              <w:spacing w:after="0"/>
              <w:rPr>
                <w:sz w:val="14"/>
                <w:szCs w:val="14"/>
                <w:color w:val="auto"/>
              </w:rPr>
            </w:pPr>
          </w:p>
        </w:tc>
        <w:tc>
          <w:tcPr>
            <w:tcW w:w="3260" w:type="dxa"/>
            <w:vAlign w:val="bottom"/>
            <w:tcBorders>
              <w:top w:val="single" w:sz="8" w:color="CCEEFF"/>
            </w:tcBorders>
            <w:shd w:val="clear" w:color="auto" w:fill="CCEEFF"/>
          </w:tcPr>
          <w:p>
            <w:pPr>
              <w:spacing w:after="0" w:line="170" w:lineRule="exact"/>
              <w:rPr>
                <w:sz w:val="20"/>
                <w:szCs w:val="20"/>
                <w:color w:val="auto"/>
              </w:rPr>
            </w:pPr>
            <w:r>
              <w:rPr>
                <w:rFonts w:ascii="Arial" w:cs="Arial" w:eastAsia="Arial" w:hAnsi="Arial"/>
                <w:sz w:val="15"/>
                <w:szCs w:val="15"/>
                <w:color w:val="auto"/>
              </w:rPr>
              <w:t>ARPU</w:t>
            </w:r>
          </w:p>
        </w:tc>
        <w:tc>
          <w:tcPr>
            <w:tcW w:w="2900" w:type="dxa"/>
            <w:vAlign w:val="bottom"/>
            <w:tcBorders>
              <w:top w:val="single" w:sz="8" w:color="CCEEFF"/>
            </w:tcBorders>
            <w:shd w:val="clear" w:color="auto" w:fill="CCEEFF"/>
          </w:tcPr>
          <w:p>
            <w:pPr>
              <w:spacing w:after="0"/>
              <w:rPr>
                <w:sz w:val="14"/>
                <w:szCs w:val="14"/>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88"/>
              </w:rPr>
              <w:t>$113.54</w:t>
            </w:r>
          </w:p>
        </w:tc>
        <w:tc>
          <w:tcPr>
            <w:tcW w:w="380" w:type="dxa"/>
            <w:vAlign w:val="bottom"/>
            <w:tcBorders>
              <w:top w:val="single" w:sz="8" w:color="CCEEFF"/>
            </w:tcBorders>
            <w:shd w:val="clear" w:color="auto" w:fill="CCEEFF"/>
          </w:tcPr>
          <w:p>
            <w:pPr>
              <w:spacing w:after="0"/>
              <w:rPr>
                <w:sz w:val="14"/>
                <w:szCs w:val="14"/>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84"/>
              </w:rPr>
              <w:t>$110.54</w:t>
            </w:r>
          </w:p>
        </w:tc>
        <w:tc>
          <w:tcPr>
            <w:tcW w:w="380" w:type="dxa"/>
            <w:vAlign w:val="bottom"/>
            <w:tcBorders>
              <w:top w:val="single" w:sz="8" w:color="CCEEFF"/>
            </w:tcBorders>
            <w:shd w:val="clear" w:color="auto" w:fill="CCEEFF"/>
          </w:tcPr>
          <w:p>
            <w:pPr>
              <w:spacing w:after="0"/>
              <w:rPr>
                <w:sz w:val="14"/>
                <w:szCs w:val="14"/>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84"/>
              </w:rPr>
              <w:t>$111.91</w:t>
            </w:r>
          </w:p>
        </w:tc>
        <w:tc>
          <w:tcPr>
            <w:tcW w:w="40" w:type="dxa"/>
            <w:vAlign w:val="bottom"/>
            <w:tcBorders>
              <w:top w:val="single" w:sz="8" w:color="CCEEFF"/>
            </w:tcBorders>
            <w:shd w:val="clear" w:color="auto" w:fill="CCEEFF"/>
          </w:tcPr>
          <w:p>
            <w:pPr>
              <w:spacing w:after="0"/>
              <w:rPr>
                <w:sz w:val="14"/>
                <w:szCs w:val="14"/>
                <w:color w:val="auto"/>
              </w:rPr>
            </w:pPr>
          </w:p>
        </w:tc>
      </w:tr>
    </w:tbl>
    <w:p>
      <w:pPr>
        <w:spacing w:after="0" w:line="256" w:lineRule="exact"/>
        <w:rPr>
          <w:sz w:val="20"/>
          <w:szCs w:val="20"/>
          <w:color w:val="auto"/>
        </w:rPr>
      </w:pPr>
    </w:p>
    <w:p>
      <w:pPr>
        <w:ind w:left="1120"/>
        <w:spacing w:after="0"/>
        <w:rPr>
          <w:sz w:val="20"/>
          <w:szCs w:val="20"/>
          <w:color w:val="auto"/>
        </w:rPr>
      </w:pPr>
      <w:r>
        <w:rPr>
          <w:rFonts w:ascii="Arial" w:cs="Arial" w:eastAsia="Arial" w:hAnsi="Arial"/>
          <w:sz w:val="15"/>
          <w:szCs w:val="15"/>
          <w:b w:val="1"/>
          <w:bCs w:val="1"/>
          <w:color w:val="auto"/>
        </w:rPr>
        <w:t>Non-GAAP Financial Measure</w:t>
      </w:r>
    </w:p>
    <w:p>
      <w:pPr>
        <w:spacing w:after="0" w:line="102" w:lineRule="exact"/>
        <w:rPr>
          <w:sz w:val="20"/>
          <w:szCs w:val="20"/>
          <w:color w:val="auto"/>
        </w:rPr>
      </w:pPr>
    </w:p>
    <w:p>
      <w:pPr>
        <w:ind w:left="1120" w:right="160" w:firstLine="368"/>
        <w:spacing w:after="0" w:line="275" w:lineRule="auto"/>
        <w:rPr>
          <w:sz w:val="20"/>
          <w:szCs w:val="20"/>
          <w:color w:val="auto"/>
        </w:rPr>
      </w:pPr>
      <w:r>
        <w:rPr>
          <w:rFonts w:ascii="Arial" w:cs="Arial" w:eastAsia="Arial" w:hAnsi="Arial"/>
          <w:sz w:val="15"/>
          <w:szCs w:val="15"/>
          <w:color w:val="auto"/>
        </w:rPr>
        <w:t>In addition to our results determined in accordance with U.S. generally accepted accounting principles, or GAAP, we believe that free cash flow, or FCF, a non-GAAP financial measure, is useful in evaluating our liquidity.</w:t>
      </w:r>
    </w:p>
    <w:p>
      <w:pPr>
        <w:spacing w:after="0" w:line="236" w:lineRule="exact"/>
        <w:rPr>
          <w:sz w:val="20"/>
          <w:szCs w:val="20"/>
          <w:color w:val="auto"/>
        </w:rPr>
      </w:pPr>
    </w:p>
    <w:p>
      <w:pPr>
        <w:ind w:left="1480"/>
        <w:spacing w:after="0"/>
        <w:rPr>
          <w:sz w:val="20"/>
          <w:szCs w:val="20"/>
          <w:color w:val="auto"/>
        </w:rPr>
      </w:pPr>
      <w:r>
        <w:rPr>
          <w:rFonts w:ascii="Arial" w:cs="Arial" w:eastAsia="Arial" w:hAnsi="Arial"/>
          <w:sz w:val="15"/>
          <w:szCs w:val="15"/>
          <w:b w:val="1"/>
          <w:bCs w:val="1"/>
          <w:i w:val="1"/>
          <w:iCs w:val="1"/>
          <w:color w:val="auto"/>
        </w:rPr>
        <w:t>Free cash flow</w:t>
      </w:r>
    </w:p>
    <w:p>
      <w:pPr>
        <w:spacing w:after="0" w:line="98" w:lineRule="exact"/>
        <w:rPr>
          <w:sz w:val="20"/>
          <w:szCs w:val="20"/>
          <w:color w:val="auto"/>
        </w:rPr>
      </w:pPr>
    </w:p>
    <w:p>
      <w:pPr>
        <w:ind w:left="1120" w:right="60" w:firstLine="368"/>
        <w:spacing w:after="0" w:line="276" w:lineRule="auto"/>
        <w:rPr>
          <w:sz w:val="20"/>
          <w:szCs w:val="20"/>
          <w:color w:val="auto"/>
        </w:rPr>
      </w:pPr>
      <w:r>
        <w:rPr>
          <w:rFonts w:ascii="Arial" w:cs="Arial" w:eastAsia="Arial" w:hAnsi="Arial"/>
          <w:sz w:val="14"/>
          <w:szCs w:val="14"/>
          <w:color w:val="auto"/>
        </w:rPr>
        <w:t>We define FCF as GAAP net cash provided by operating activities less capital expenditures. We believe that FCF is a liquidity measure and that it provides useful information regarding cash provided by operating activities and cash used for investments in property and equipment required to maintain and grow our business. FCF is presented for supplemental informational purposes only and should not be considered a substitute for financial information presented in accordance with GAAP. FCF has limitations as an analytical tool, and it should not be considered in isolation or as a substitute for analysis of other GAAP financial measures, such as net cash provided by operating activities. Some of the limitations of FCF are that FCF does not reflect our future contractual commitments, excludes investments made to acquire assets under capital leases, and may be calculated differently by other companies in our industry, limiting its usefulness as a comparative measure.</w:t>
      </w:r>
    </w:p>
    <w:p>
      <w:pPr>
        <w:spacing w:after="0" w:line="148" w:lineRule="exact"/>
        <w:rPr>
          <w:sz w:val="20"/>
          <w:szCs w:val="20"/>
          <w:color w:val="auto"/>
        </w:rPr>
      </w:pPr>
    </w:p>
    <w:p>
      <w:pPr>
        <w:ind w:left="1120" w:right="80" w:firstLine="368"/>
        <w:spacing w:after="0" w:line="255" w:lineRule="auto"/>
        <w:rPr>
          <w:sz w:val="20"/>
          <w:szCs w:val="20"/>
          <w:color w:val="auto"/>
        </w:rPr>
      </w:pPr>
      <w:r>
        <w:rPr>
          <w:rFonts w:ascii="Arial" w:cs="Arial" w:eastAsia="Arial" w:hAnsi="Arial"/>
          <w:sz w:val="15"/>
          <w:szCs w:val="15"/>
          <w:color w:val="auto"/>
        </w:rPr>
        <w:t>We have experienced an increase in our FCF as a result of an increase in net cash provided by operating activities, primarily due to our Infrastructure Optimization discussed below in “ —Recent Initiative,” increased sales in the periods presented, and a decrease in capital expenditures relating to infrastructure equipment and leasehold improvements for our office spaces. We expect our FCF to fluctuate in future periods as we purchase infrastructure equipment to support our user base and invest in our new and existing office spaces, including our new corporate headquarters, to support our plans for growth. These activities, along with certain increased operating expenses as described below, may result in a decrease in FCF as a percentage of revenue in future periods.</w:t>
      </w:r>
    </w:p>
    <w:p>
      <w:pPr>
        <w:spacing w:after="0" w:line="107" w:lineRule="exact"/>
        <w:rPr>
          <w:sz w:val="20"/>
          <w:szCs w:val="20"/>
          <w:color w:val="auto"/>
        </w:rPr>
      </w:pPr>
    </w:p>
    <w:p>
      <w:pPr>
        <w:ind w:left="5640"/>
        <w:spacing w:after="0"/>
        <w:rPr>
          <w:sz w:val="20"/>
          <w:szCs w:val="20"/>
          <w:color w:val="auto"/>
        </w:rPr>
      </w:pPr>
      <w:r>
        <w:rPr>
          <w:rFonts w:ascii="Arial" w:cs="Arial" w:eastAsia="Arial" w:hAnsi="Arial"/>
          <w:sz w:val="15"/>
          <w:szCs w:val="15"/>
          <w:color w:val="auto"/>
        </w:rPr>
        <w:t>70</w:t>
      </w:r>
    </w:p>
    <w:p>
      <w:pPr>
        <w:sectPr>
          <w:pgSz w:w="11900" w:h="16838" w:orient="portrait"/>
          <w:cols w:equalWidth="0" w:num="1">
            <w:col w:w="10320"/>
          </w:cols>
          <w:pgMar w:left="240" w:top="407" w:right="1339" w:bottom="1440" w:gutter="0" w:footer="0" w:header="0"/>
        </w:sectPr>
      </w:pPr>
    </w:p>
    <w:bookmarkStart w:id="77" w:name="page78"/>
    <w:bookmarkEnd w:id="77"/>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133350</wp:posOffset>
            </wp:positionH>
            <wp:positionV relativeFrom="page">
              <wp:posOffset>88900</wp:posOffset>
            </wp:positionV>
            <wp:extent cx="7308850" cy="342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308850" cy="34290"/>
                    </a:xfrm>
                    <a:prstGeom prst="rect">
                      <a:avLst/>
                    </a:prstGeom>
                    <a:noFill/>
                  </pic:spPr>
                </pic:pic>
              </a:graphicData>
            </a:graphic>
          </wp:anchor>
        </w:drawing>
      </w:r>
      <w:hyperlink w:anchor="page7">
        <w:r>
          <w:rPr>
            <w:rFonts w:ascii="Arial" w:cs="Arial" w:eastAsia="Arial" w:hAnsi="Arial"/>
            <w:sz w:val="15"/>
            <w:szCs w:val="15"/>
            <w:b w:val="1"/>
            <w:bCs w:val="1"/>
            <w:u w:val="single" w:color="auto"/>
            <w:color w:val="0000EE"/>
          </w:rPr>
          <w:t>Table of Contents</w:t>
        </w:r>
      </w:hyperlink>
    </w:p>
    <w:p>
      <w:pPr>
        <w:spacing w:after="0" w:line="260" w:lineRule="exact"/>
        <w:rPr>
          <w:sz w:val="20"/>
          <w:szCs w:val="20"/>
          <w:color w:val="auto"/>
        </w:rPr>
      </w:pPr>
    </w:p>
    <w:p>
      <w:pPr>
        <w:jc w:val="center"/>
        <w:ind w:right="-139"/>
        <w:spacing w:after="0"/>
        <w:rPr>
          <w:sz w:val="20"/>
          <w:szCs w:val="20"/>
          <w:color w:val="auto"/>
        </w:rPr>
      </w:pPr>
      <w:r>
        <w:rPr>
          <w:rFonts w:ascii="Arial" w:cs="Arial" w:eastAsia="Arial" w:hAnsi="Arial"/>
          <w:sz w:val="15"/>
          <w:szCs w:val="15"/>
          <w:color w:val="auto"/>
        </w:rPr>
        <w:t>The following is a reconciliation of FCF to the most comparable GAAP measure, net cash provided by operating activities:</w:t>
      </w:r>
    </w:p>
    <w:p>
      <w:pPr>
        <w:spacing w:after="0" w:line="202" w:lineRule="exact"/>
        <w:rPr>
          <w:sz w:val="20"/>
          <w:szCs w:val="20"/>
          <w:color w:val="auto"/>
        </w:rPr>
      </w:pPr>
    </w:p>
    <w:p>
      <w:pPr>
        <w:jc w:val="center"/>
        <w:ind w:left="6180"/>
        <w:spacing w:after="0"/>
        <w:rPr>
          <w:sz w:val="20"/>
          <w:szCs w:val="20"/>
          <w:color w:val="auto"/>
        </w:rPr>
      </w:pPr>
      <w:r>
        <w:rPr>
          <w:rFonts w:ascii="Arial" w:cs="Arial" w:eastAsia="Arial" w:hAnsi="Arial"/>
          <w:sz w:val="12"/>
          <w:szCs w:val="12"/>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4921250</wp:posOffset>
            </wp:positionH>
            <wp:positionV relativeFrom="paragraph">
              <wp:posOffset>3810</wp:posOffset>
            </wp:positionV>
            <wp:extent cx="1339215" cy="698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1339215" cy="6985"/>
                    </a:xfrm>
                    <a:prstGeom prst="rect">
                      <a:avLst/>
                    </a:prstGeom>
                    <a:noFill/>
                  </pic:spPr>
                </pic:pic>
              </a:graphicData>
            </a:graphic>
          </wp:anchor>
        </w:drawing>
      </w:r>
    </w:p>
    <w:p>
      <w:pPr>
        <w:ind w:left="7820"/>
        <w:spacing w:after="0"/>
        <w:tabs>
          <w:tab w:leader="none" w:pos="8640" w:val="left"/>
          <w:tab w:leader="none" w:pos="9500" w:val="left"/>
        </w:tabs>
        <w:rPr>
          <w:sz w:val="20"/>
          <w:szCs w:val="20"/>
          <w:color w:val="auto"/>
        </w:rPr>
      </w:pPr>
      <w:r>
        <w:rPr>
          <w:rFonts w:ascii="Arial" w:cs="Arial" w:eastAsia="Arial" w:hAnsi="Arial"/>
          <w:sz w:val="12"/>
          <w:szCs w:val="12"/>
          <w:b w:val="1"/>
          <w:bCs w:val="1"/>
          <w:color w:val="auto"/>
        </w:rPr>
        <w:t>2015</w:t>
      </w:r>
      <w:r>
        <w:rPr>
          <w:sz w:val="20"/>
          <w:szCs w:val="20"/>
          <w:color w:val="auto"/>
        </w:rPr>
        <w:tab/>
      </w:r>
      <w:r>
        <w:rPr>
          <w:rFonts w:ascii="Arial" w:cs="Arial" w:eastAsia="Arial" w:hAnsi="Arial"/>
          <w:sz w:val="12"/>
          <w:szCs w:val="12"/>
          <w:b w:val="1"/>
          <w:bCs w:val="1"/>
          <w:color w:val="auto"/>
        </w:rPr>
        <w:t>2016</w:t>
      </w:r>
      <w:r>
        <w:rPr>
          <w:sz w:val="20"/>
          <w:szCs w:val="20"/>
          <w:color w:val="auto"/>
        </w:rPr>
        <w:tab/>
      </w:r>
      <w:r>
        <w:rPr>
          <w:rFonts w:ascii="Arial" w:cs="Arial" w:eastAsia="Arial" w:hAnsi="Arial"/>
          <w:sz w:val="10"/>
          <w:szCs w:val="10"/>
          <w:b w:val="1"/>
          <w:bCs w:val="1"/>
          <w:color w:val="auto"/>
        </w:rPr>
        <w:t>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4921250</wp:posOffset>
            </wp:positionH>
            <wp:positionV relativeFrom="paragraph">
              <wp:posOffset>-3175</wp:posOffset>
            </wp:positionV>
            <wp:extent cx="1339215" cy="698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1339215" cy="6985"/>
                    </a:xfrm>
                    <a:prstGeom prst="rect">
                      <a:avLst/>
                    </a:prstGeom>
                    <a:noFill/>
                  </pic:spPr>
                </pic:pic>
              </a:graphicData>
            </a:graphic>
          </wp:anchor>
        </w:drawing>
      </w:r>
    </w:p>
    <w:p>
      <w:pPr>
        <w:ind w:left="8500"/>
        <w:spacing w:after="0" w:line="225" w:lineRule="auto"/>
        <w:rPr>
          <w:sz w:val="20"/>
          <w:szCs w:val="20"/>
          <w:color w:val="auto"/>
        </w:rPr>
      </w:pPr>
      <w:r>
        <w:rPr>
          <w:rFonts w:ascii="Arial" w:cs="Arial" w:eastAsia="Arial" w:hAnsi="Arial"/>
          <w:sz w:val="12"/>
          <w:szCs w:val="12"/>
          <w:i w:val="1"/>
          <w:iCs w:val="1"/>
          <w:color w:val="auto"/>
        </w:rPr>
        <w:t>(In millions)</w:t>
      </w:r>
    </w:p>
    <w:p>
      <w:pPr>
        <w:spacing w:after="0" w:line="8" w:lineRule="exact"/>
        <w:rPr>
          <w:sz w:val="20"/>
          <w:szCs w:val="20"/>
          <w:color w:val="auto"/>
        </w:rPr>
      </w:pPr>
    </w:p>
    <w:tbl>
      <w:tblPr>
        <w:tblLayout w:type="fixed"/>
        <w:tblInd w:w="148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4340" w:type="dxa"/>
            <w:vAlign w:val="bottom"/>
            <w:shd w:val="clear" w:color="auto" w:fill="CCEEFF"/>
          </w:tcPr>
          <w:p>
            <w:pPr>
              <w:spacing w:after="0"/>
              <w:rPr>
                <w:sz w:val="20"/>
                <w:szCs w:val="20"/>
                <w:color w:val="auto"/>
              </w:rPr>
            </w:pPr>
            <w:r>
              <w:rPr>
                <w:rFonts w:ascii="Arial" w:cs="Arial" w:eastAsia="Arial" w:hAnsi="Arial"/>
                <w:sz w:val="15"/>
                <w:szCs w:val="15"/>
                <w:color w:val="auto"/>
              </w:rPr>
              <w:t>Net cash provided by operating activities</w:t>
            </w:r>
          </w:p>
        </w:tc>
        <w:tc>
          <w:tcPr>
            <w:tcW w:w="23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$ 14.8</w:t>
            </w:r>
          </w:p>
        </w:tc>
        <w:tc>
          <w:tcPr>
            <w:tcW w:w="24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$ 252.6</w:t>
            </w:r>
          </w:p>
        </w:tc>
        <w:tc>
          <w:tcPr>
            <w:tcW w:w="240" w:type="dxa"/>
            <w:vAlign w:val="bottom"/>
            <w:shd w:val="clear" w:color="auto" w:fill="CCEEFF"/>
          </w:tcPr>
          <w:p>
            <w:pPr>
              <w:spacing w:after="0"/>
              <w:rPr>
                <w:sz w:val="14"/>
                <w:szCs w:val="14"/>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$330.3</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340" w:type="dxa"/>
            <w:vAlign w:val="bottom"/>
          </w:tcPr>
          <w:p>
            <w:pPr>
              <w:spacing w:after="0"/>
              <w:rPr>
                <w:sz w:val="20"/>
                <w:szCs w:val="20"/>
                <w:color w:val="auto"/>
              </w:rPr>
            </w:pPr>
            <w:r>
              <w:rPr>
                <w:rFonts w:ascii="Arial" w:cs="Arial" w:eastAsia="Arial" w:hAnsi="Arial"/>
                <w:sz w:val="15"/>
                <w:szCs w:val="15"/>
                <w:color w:val="auto"/>
              </w:rPr>
              <w:t>Capital expenditures</w:t>
            </w:r>
          </w:p>
        </w:tc>
        <w:tc>
          <w:tcPr>
            <w:tcW w:w="1900" w:type="dxa"/>
            <w:vAlign w:val="bottom"/>
          </w:tcPr>
          <w:p>
            <w:pPr>
              <w:spacing w:after="0"/>
              <w:rPr>
                <w:sz w:val="15"/>
                <w:szCs w:val="15"/>
                <w:color w:val="auto"/>
              </w:rPr>
            </w:pPr>
          </w:p>
        </w:tc>
        <w:tc>
          <w:tcPr>
            <w:tcW w:w="640" w:type="dxa"/>
            <w:vAlign w:val="bottom"/>
            <w:gridSpan w:val="2"/>
          </w:tcPr>
          <w:p>
            <w:pPr>
              <w:jc w:val="right"/>
              <w:ind w:right="200"/>
              <w:spacing w:after="0"/>
              <w:rPr>
                <w:sz w:val="20"/>
                <w:szCs w:val="20"/>
                <w:color w:val="auto"/>
              </w:rPr>
            </w:pPr>
            <w:r>
              <w:rPr>
                <w:rFonts w:ascii="Arial" w:cs="Arial" w:eastAsia="Arial" w:hAnsi="Arial"/>
                <w:sz w:val="15"/>
                <w:szCs w:val="15"/>
                <w:color w:val="auto"/>
              </w:rPr>
              <w:t>(78.7)</w:t>
            </w:r>
          </w:p>
        </w:tc>
        <w:tc>
          <w:tcPr>
            <w:tcW w:w="880" w:type="dxa"/>
            <w:vAlign w:val="bottom"/>
            <w:gridSpan w:val="3"/>
          </w:tcPr>
          <w:p>
            <w:pPr>
              <w:jc w:val="right"/>
              <w:ind w:right="200"/>
              <w:spacing w:after="0"/>
              <w:rPr>
                <w:sz w:val="20"/>
                <w:szCs w:val="20"/>
                <w:color w:val="auto"/>
              </w:rPr>
            </w:pPr>
            <w:r>
              <w:rPr>
                <w:rFonts w:ascii="Arial" w:cs="Arial" w:eastAsia="Arial" w:hAnsi="Arial"/>
                <w:sz w:val="15"/>
                <w:szCs w:val="15"/>
                <w:color w:val="auto"/>
              </w:rPr>
              <w:t>(115.2)</w:t>
            </w:r>
          </w:p>
        </w:tc>
        <w:tc>
          <w:tcPr>
            <w:tcW w:w="680" w:type="dxa"/>
            <w:vAlign w:val="bottom"/>
            <w:gridSpan w:val="3"/>
          </w:tcPr>
          <w:p>
            <w:pPr>
              <w:jc w:val="right"/>
              <w:ind w:right="40"/>
              <w:spacing w:after="0"/>
              <w:rPr>
                <w:sz w:val="20"/>
                <w:szCs w:val="20"/>
                <w:color w:val="auto"/>
              </w:rPr>
            </w:pPr>
            <w:r>
              <w:rPr>
                <w:rFonts w:ascii="Arial" w:cs="Arial" w:eastAsia="Arial" w:hAnsi="Arial"/>
                <w:sz w:val="15"/>
                <w:szCs w:val="15"/>
                <w:color w:val="auto"/>
              </w:rPr>
              <w:t>(25.3)</w:t>
            </w:r>
          </w:p>
        </w:tc>
        <w:tc>
          <w:tcPr>
            <w:tcW w:w="0" w:type="dxa"/>
            <w:vAlign w:val="bottom"/>
          </w:tcPr>
          <w:p>
            <w:pPr>
              <w:spacing w:after="0"/>
              <w:rPr>
                <w:sz w:val="1"/>
                <w:szCs w:val="1"/>
                <w:color w:val="auto"/>
              </w:rPr>
            </w:pPr>
          </w:p>
        </w:tc>
      </w:tr>
      <w:tr>
        <w:trPr>
          <w:trHeight w:val="23"/>
        </w:trPr>
        <w:tc>
          <w:tcPr>
            <w:tcW w:w="20" w:type="dxa"/>
            <w:vAlign w:val="bottom"/>
            <w:vMerge w:val="restart"/>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20" w:type="dxa"/>
            <w:vAlign w:val="bottom"/>
            <w:vMerge w:val="continue"/>
          </w:tcPr>
          <w:p>
            <w:pPr>
              <w:spacing w:after="0"/>
              <w:rPr>
                <w:sz w:val="15"/>
                <w:szCs w:val="15"/>
                <w:color w:val="auto"/>
              </w:rPr>
            </w:pPr>
          </w:p>
        </w:tc>
        <w:tc>
          <w:tcPr>
            <w:tcW w:w="4340" w:type="dxa"/>
            <w:vAlign w:val="bottom"/>
            <w:shd w:val="clear" w:color="auto" w:fill="CCEEFF"/>
          </w:tcPr>
          <w:p>
            <w:pPr>
              <w:spacing w:after="0"/>
              <w:rPr>
                <w:sz w:val="20"/>
                <w:szCs w:val="20"/>
                <w:color w:val="auto"/>
              </w:rPr>
            </w:pPr>
            <w:r>
              <w:rPr>
                <w:rFonts w:ascii="Arial" w:cs="Arial" w:eastAsia="Arial" w:hAnsi="Arial"/>
                <w:sz w:val="15"/>
                <w:szCs w:val="15"/>
                <w:color w:val="auto"/>
              </w:rPr>
              <w:t>Free cash flow</w:t>
            </w:r>
          </w:p>
        </w:tc>
        <w:tc>
          <w:tcPr>
            <w:tcW w:w="1900" w:type="dxa"/>
            <w:vAlign w:val="bottom"/>
            <w:shd w:val="clear" w:color="auto" w:fill="CCEEFF"/>
          </w:tcPr>
          <w:p>
            <w:pPr>
              <w:spacing w:after="0"/>
              <w:rPr>
                <w:sz w:val="15"/>
                <w:szCs w:val="15"/>
                <w:color w:val="auto"/>
              </w:rPr>
            </w:pP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5"/>
                <w:szCs w:val="15"/>
                <w:u w:val="single" w:color="auto"/>
                <w:color w:val="auto"/>
                <w:w w:val="88"/>
              </w:rPr>
              <w:t>$</w:t>
            </w:r>
            <w:r>
              <w:rPr>
                <w:rFonts w:ascii="Arial" w:cs="Arial" w:eastAsia="Arial" w:hAnsi="Arial"/>
                <w:sz w:val="15"/>
                <w:szCs w:val="15"/>
                <w:color w:val="auto"/>
                <w:w w:val="88"/>
              </w:rPr>
              <w:t>(63.9)</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$ 137.4</w:t>
            </w:r>
          </w:p>
        </w:tc>
        <w:tc>
          <w:tcPr>
            <w:tcW w:w="240" w:type="dxa"/>
            <w:vAlign w:val="bottom"/>
            <w:shd w:val="clear" w:color="auto" w:fill="CCEEFF"/>
          </w:tcPr>
          <w:p>
            <w:pPr>
              <w:spacing w:after="0"/>
              <w:rPr>
                <w:sz w:val="15"/>
                <w:szCs w:val="15"/>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5"/>
                <w:szCs w:val="15"/>
                <w:u w:val="single" w:color="auto"/>
                <w:color w:val="auto"/>
              </w:rPr>
              <w:t>$</w:t>
            </w:r>
            <w:r>
              <w:rPr>
                <w:rFonts w:ascii="Arial" w:cs="Arial" w:eastAsia="Arial" w:hAnsi="Arial"/>
                <w:sz w:val="15"/>
                <w:szCs w:val="15"/>
                <w:color w:val="auto"/>
              </w:rPr>
              <w:t>305.0</w:t>
            </w: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67" w:lineRule="exact"/>
        <w:rPr>
          <w:sz w:val="20"/>
          <w:szCs w:val="20"/>
          <w:color w:val="auto"/>
        </w:rPr>
      </w:pPr>
    </w:p>
    <w:p>
      <w:pPr>
        <w:ind w:left="1120"/>
        <w:spacing w:after="0"/>
        <w:rPr>
          <w:sz w:val="20"/>
          <w:szCs w:val="20"/>
          <w:color w:val="auto"/>
        </w:rPr>
      </w:pPr>
      <w:r>
        <w:rPr>
          <w:rFonts w:ascii="Arial" w:cs="Arial" w:eastAsia="Arial" w:hAnsi="Arial"/>
          <w:sz w:val="15"/>
          <w:szCs w:val="15"/>
          <w:b w:val="1"/>
          <w:bCs w:val="1"/>
          <w:color w:val="auto"/>
        </w:rPr>
        <w:t>Recent Initiative</w:t>
      </w:r>
    </w:p>
    <w:p>
      <w:pPr>
        <w:spacing w:after="0" w:line="102" w:lineRule="exact"/>
        <w:rPr>
          <w:sz w:val="20"/>
          <w:szCs w:val="20"/>
          <w:color w:val="auto"/>
        </w:rPr>
      </w:pPr>
    </w:p>
    <w:p>
      <w:pPr>
        <w:ind w:left="1480"/>
        <w:spacing w:after="0"/>
        <w:rPr>
          <w:sz w:val="20"/>
          <w:szCs w:val="20"/>
          <w:color w:val="auto"/>
        </w:rPr>
      </w:pPr>
      <w:r>
        <w:rPr>
          <w:rFonts w:ascii="Arial" w:cs="Arial" w:eastAsia="Arial" w:hAnsi="Arial"/>
          <w:sz w:val="15"/>
          <w:szCs w:val="15"/>
          <w:b w:val="1"/>
          <w:bCs w:val="1"/>
          <w:i w:val="1"/>
          <w:iCs w:val="1"/>
          <w:color w:val="auto"/>
        </w:rPr>
        <w:t>Infrastructure Optimization</w:t>
      </w:r>
    </w:p>
    <w:p>
      <w:pPr>
        <w:spacing w:after="0" w:line="98" w:lineRule="exact"/>
        <w:rPr>
          <w:sz w:val="20"/>
          <w:szCs w:val="20"/>
          <w:color w:val="auto"/>
        </w:rPr>
      </w:pPr>
    </w:p>
    <w:p>
      <w:pPr>
        <w:ind w:left="1120" w:firstLine="368"/>
        <w:spacing w:after="0" w:line="254" w:lineRule="auto"/>
        <w:rPr>
          <w:sz w:val="20"/>
          <w:szCs w:val="20"/>
          <w:color w:val="auto"/>
        </w:rPr>
      </w:pPr>
      <w:r>
        <w:rPr>
          <w:rFonts w:ascii="Arial" w:cs="Arial" w:eastAsia="Arial" w:hAnsi="Arial"/>
          <w:sz w:val="15"/>
          <w:szCs w:val="15"/>
          <w:color w:val="auto"/>
        </w:rPr>
        <w:t>In recent years, we have taken several steps to improve the efficiency of the infrastructure that supports our platform. These efforts include an initiative that focused on migrating the vast majority of user data stored on the infrastructure of third-party service providers to our own lower cost, custom-built infrastructure in co-location facilities that we directly lease and operate. In order to host user data on our own infrastructure, we leased or purchased infrastructure that is depreciated within our cost of revenue. During the migration to our internal infrastructure, we duplicated our users’ data between our internal infrastructure and that of our third-party service providers, resulting in higher storage costs. We reduced this practice over time until we completed the migration in the fourth quarter of 2016. Related to this initiative, we no longer duplicate data between our internal infrastructure and that of any third-party service providers. We expect to continue to realize benefits from expanding our internal infrastructure due to our operating scale and lower unit costs.</w:t>
      </w:r>
    </w:p>
    <w:p>
      <w:pPr>
        <w:spacing w:after="0" w:line="164" w:lineRule="exact"/>
        <w:rPr>
          <w:sz w:val="20"/>
          <w:szCs w:val="20"/>
          <w:color w:val="auto"/>
        </w:rPr>
      </w:pPr>
    </w:p>
    <w:p>
      <w:pPr>
        <w:ind w:left="1120" w:right="100" w:firstLine="368"/>
        <w:spacing w:after="0" w:line="255" w:lineRule="auto"/>
        <w:rPr>
          <w:sz w:val="20"/>
          <w:szCs w:val="20"/>
          <w:color w:val="auto"/>
        </w:rPr>
      </w:pPr>
      <w:r>
        <w:rPr>
          <w:rFonts w:ascii="Arial" w:cs="Arial" w:eastAsia="Arial" w:hAnsi="Arial"/>
          <w:sz w:val="15"/>
          <w:szCs w:val="15"/>
          <w:color w:val="auto"/>
        </w:rPr>
        <w:t>Starting in 2016, we also took measures to manage the storage footprint of certain long-inactive Basic users, freeing up additional storage capacity. Specifically, we closed the accounts of certain Basic users who had not engaged in any activity on the Dropbox platform in the last year and did not respond to multiple e-mail inquiries from us regarding their inactivity. We continue to regularly take similar measures to manage long-inactive and non-responsive Basic user accounts, and our total registered user numbers do not include accounts that have been closed. This effort, along with additional usage optimizations in 2017, enabled us to continue operating our business within our existing infrastructure base without a need for extensive incremental capital expenditures and leasing activity.</w:t>
      </w:r>
    </w:p>
    <w:p>
      <w:pPr>
        <w:spacing w:after="0" w:line="164" w:lineRule="exact"/>
        <w:rPr>
          <w:sz w:val="20"/>
          <w:szCs w:val="20"/>
          <w:color w:val="auto"/>
        </w:rPr>
      </w:pPr>
    </w:p>
    <w:p>
      <w:pPr>
        <w:ind w:left="1480"/>
        <w:spacing w:after="0"/>
        <w:rPr>
          <w:sz w:val="20"/>
          <w:szCs w:val="20"/>
          <w:color w:val="auto"/>
        </w:rPr>
      </w:pPr>
      <w:r>
        <w:rPr>
          <w:rFonts w:ascii="Arial" w:cs="Arial" w:eastAsia="Arial" w:hAnsi="Arial"/>
          <w:sz w:val="15"/>
          <w:szCs w:val="15"/>
          <w:color w:val="auto"/>
        </w:rPr>
        <w:t>These efforts are collectively referred to as our Infrastructure Optimization, and some are ongoing.</w:t>
      </w:r>
    </w:p>
    <w:p>
      <w:pPr>
        <w:spacing w:after="0" w:line="188" w:lineRule="exact"/>
        <w:rPr>
          <w:sz w:val="20"/>
          <w:szCs w:val="20"/>
          <w:color w:val="auto"/>
        </w:rPr>
      </w:pPr>
    </w:p>
    <w:p>
      <w:pPr>
        <w:ind w:left="1120" w:right="540" w:firstLine="368"/>
        <w:spacing w:after="0" w:line="263" w:lineRule="auto"/>
        <w:rPr>
          <w:sz w:val="20"/>
          <w:szCs w:val="20"/>
          <w:color w:val="auto"/>
        </w:rPr>
      </w:pPr>
      <w:r>
        <w:rPr>
          <w:rFonts w:ascii="Arial" w:cs="Arial" w:eastAsia="Arial" w:hAnsi="Arial"/>
          <w:sz w:val="15"/>
          <w:szCs w:val="15"/>
          <w:color w:val="auto"/>
        </w:rPr>
        <w:t>Our Infrastructure Optimization reduced unit costs and helped limit capital expenditures and associated depreciation. Combined with the concurrent increase in our base of paying users, we experienced a reduction in our cost of revenue, an increase in our gross margins, and an improvement in our free cash flow in the periods presented.</w:t>
      </w:r>
    </w:p>
    <w:p>
      <w:pPr>
        <w:spacing w:after="0" w:line="241" w:lineRule="exact"/>
        <w:rPr>
          <w:sz w:val="20"/>
          <w:szCs w:val="20"/>
          <w:color w:val="auto"/>
        </w:rPr>
      </w:pPr>
    </w:p>
    <w:p>
      <w:pPr>
        <w:ind w:left="1120"/>
        <w:spacing w:after="0"/>
        <w:rPr>
          <w:sz w:val="20"/>
          <w:szCs w:val="20"/>
          <w:color w:val="auto"/>
        </w:rPr>
      </w:pPr>
      <w:r>
        <w:rPr>
          <w:rFonts w:ascii="Arial" w:cs="Arial" w:eastAsia="Arial" w:hAnsi="Arial"/>
          <w:sz w:val="15"/>
          <w:szCs w:val="15"/>
          <w:b w:val="1"/>
          <w:bCs w:val="1"/>
          <w:color w:val="auto"/>
        </w:rPr>
        <w:t>Components of Our Results of Operations</w:t>
      </w:r>
    </w:p>
    <w:p>
      <w:pPr>
        <w:spacing w:after="0" w:line="102" w:lineRule="exact"/>
        <w:rPr>
          <w:sz w:val="20"/>
          <w:szCs w:val="20"/>
          <w:color w:val="auto"/>
        </w:rPr>
      </w:pPr>
    </w:p>
    <w:p>
      <w:pPr>
        <w:ind w:left="1480"/>
        <w:spacing w:after="0"/>
        <w:rPr>
          <w:sz w:val="20"/>
          <w:szCs w:val="20"/>
          <w:color w:val="auto"/>
        </w:rPr>
      </w:pPr>
      <w:r>
        <w:rPr>
          <w:rFonts w:ascii="Arial" w:cs="Arial" w:eastAsia="Arial" w:hAnsi="Arial"/>
          <w:sz w:val="15"/>
          <w:szCs w:val="15"/>
          <w:b w:val="1"/>
          <w:bCs w:val="1"/>
          <w:i w:val="1"/>
          <w:iCs w:val="1"/>
          <w:color w:val="auto"/>
        </w:rPr>
        <w:t>Revenue</w:t>
      </w:r>
    </w:p>
    <w:p>
      <w:pPr>
        <w:spacing w:after="0" w:line="98" w:lineRule="exact"/>
        <w:rPr>
          <w:sz w:val="20"/>
          <w:szCs w:val="20"/>
          <w:color w:val="auto"/>
        </w:rPr>
      </w:pPr>
    </w:p>
    <w:p>
      <w:pPr>
        <w:ind w:left="1480"/>
        <w:spacing w:after="0"/>
        <w:rPr>
          <w:sz w:val="20"/>
          <w:szCs w:val="20"/>
          <w:color w:val="auto"/>
        </w:rPr>
      </w:pPr>
      <w:r>
        <w:rPr>
          <w:rFonts w:ascii="Arial" w:cs="Arial" w:eastAsia="Arial" w:hAnsi="Arial"/>
          <w:sz w:val="15"/>
          <w:szCs w:val="15"/>
          <w:color w:val="auto"/>
        </w:rPr>
        <w:t>We generate revenue from sales of subscriptions to our platform.</w:t>
      </w:r>
    </w:p>
    <w:p>
      <w:pPr>
        <w:spacing w:after="0" w:line="188" w:lineRule="exact"/>
        <w:rPr>
          <w:sz w:val="20"/>
          <w:szCs w:val="20"/>
          <w:color w:val="auto"/>
        </w:rPr>
      </w:pPr>
    </w:p>
    <w:p>
      <w:pPr>
        <w:ind w:left="1120" w:firstLine="368"/>
        <w:spacing w:after="0" w:line="283" w:lineRule="auto"/>
        <w:rPr>
          <w:sz w:val="20"/>
          <w:szCs w:val="20"/>
          <w:color w:val="auto"/>
        </w:rPr>
      </w:pPr>
      <w:r>
        <w:rPr>
          <w:rFonts w:ascii="Arial" w:cs="Arial" w:eastAsia="Arial" w:hAnsi="Arial"/>
          <w:sz w:val="14"/>
          <w:szCs w:val="14"/>
          <w:color w:val="auto"/>
        </w:rPr>
        <w:t>Revenue is recognized ratably over the related contractual term generally beginning on the date that our platform is made available to a customer. Our subscription agreements typically have monthly or annual contractual terms, although a small percentage have multi-year contractual terms. Our agreements are generally non-cancelable. We typically bill in advance for monthly contracts and annually in advance for contracts with terms of one year or longer. Amounts that have been billed are initially recorded as deferred revenue until the revenue is recognized.</w:t>
      </w:r>
    </w:p>
    <w:p>
      <w:pPr>
        <w:spacing w:after="0" w:line="87" w:lineRule="exact"/>
        <w:rPr>
          <w:sz w:val="20"/>
          <w:szCs w:val="20"/>
          <w:color w:val="auto"/>
        </w:rPr>
      </w:pPr>
    </w:p>
    <w:p>
      <w:pPr>
        <w:ind w:left="5640"/>
        <w:spacing w:after="0"/>
        <w:rPr>
          <w:sz w:val="20"/>
          <w:szCs w:val="20"/>
          <w:color w:val="auto"/>
        </w:rPr>
      </w:pPr>
      <w:r>
        <w:rPr>
          <w:rFonts w:ascii="Arial" w:cs="Arial" w:eastAsia="Arial" w:hAnsi="Arial"/>
          <w:sz w:val="15"/>
          <w:szCs w:val="15"/>
          <w:color w:val="auto"/>
        </w:rPr>
        <w:t>71</w:t>
      </w:r>
    </w:p>
    <w:p>
      <w:pPr>
        <w:sectPr>
          <w:pgSz w:w="11900" w:h="16838" w:orient="portrait"/>
          <w:cols w:equalWidth="0" w:num="1">
            <w:col w:w="10240"/>
          </w:cols>
          <w:pgMar w:left="240" w:top="407" w:right="1419" w:bottom="1440" w:gutter="0" w:footer="0" w:header="0"/>
        </w:sectPr>
      </w:pPr>
    </w:p>
    <w:bookmarkStart w:id="78" w:name="page79"/>
    <w:bookmarkEnd w:id="78"/>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133350</wp:posOffset>
            </wp:positionH>
            <wp:positionV relativeFrom="page">
              <wp:posOffset>88900</wp:posOffset>
            </wp:positionV>
            <wp:extent cx="7308850" cy="342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308850" cy="34290"/>
                    </a:xfrm>
                    <a:prstGeom prst="rect">
                      <a:avLst/>
                    </a:prstGeom>
                    <a:noFill/>
                  </pic:spPr>
                </pic:pic>
              </a:graphicData>
            </a:graphic>
          </wp:anchor>
        </w:drawing>
      </w:r>
      <w:hyperlink w:anchor="page7">
        <w:r>
          <w:rPr>
            <w:rFonts w:ascii="Arial" w:cs="Arial" w:eastAsia="Arial" w:hAnsi="Arial"/>
            <w:sz w:val="15"/>
            <w:szCs w:val="15"/>
            <w:b w:val="1"/>
            <w:bCs w:val="1"/>
            <w:u w:val="single" w:color="auto"/>
            <w:color w:val="0000EE"/>
          </w:rPr>
          <w:t>Table of Contents</w:t>
        </w:r>
      </w:hyperlink>
    </w:p>
    <w:p>
      <w:pPr>
        <w:spacing w:after="0" w:line="260" w:lineRule="exact"/>
        <w:rPr>
          <w:sz w:val="20"/>
          <w:szCs w:val="20"/>
          <w:color w:val="auto"/>
        </w:rPr>
      </w:pPr>
    </w:p>
    <w:p>
      <w:pPr>
        <w:jc w:val="both"/>
        <w:ind w:left="1120" w:right="20" w:firstLine="368"/>
        <w:spacing w:after="0" w:line="263" w:lineRule="auto"/>
        <w:rPr>
          <w:sz w:val="20"/>
          <w:szCs w:val="20"/>
          <w:color w:val="auto"/>
        </w:rPr>
      </w:pPr>
      <w:r>
        <w:rPr>
          <w:rFonts w:ascii="Arial" w:cs="Arial" w:eastAsia="Arial" w:hAnsi="Arial"/>
          <w:sz w:val="15"/>
          <w:szCs w:val="15"/>
          <w:color w:val="auto"/>
        </w:rPr>
        <w:t>Our revenue is driven primarily by the number of paying users and the price we charge for access to our platform, which varies based on the type of plan to which a customer subscribes. We generate over 90% of our revenue from self-serve channels. No customer represented more than 1% of our revenue in the periods presented.</w:t>
      </w:r>
    </w:p>
    <w:p>
      <w:pPr>
        <w:spacing w:after="0" w:line="245" w:lineRule="exact"/>
        <w:rPr>
          <w:sz w:val="20"/>
          <w:szCs w:val="20"/>
          <w:color w:val="auto"/>
        </w:rPr>
      </w:pPr>
    </w:p>
    <w:p>
      <w:pPr>
        <w:ind w:left="1480"/>
        <w:spacing w:after="0"/>
        <w:rPr>
          <w:sz w:val="20"/>
          <w:szCs w:val="20"/>
          <w:color w:val="auto"/>
        </w:rPr>
      </w:pPr>
      <w:r>
        <w:rPr>
          <w:rFonts w:ascii="Arial" w:cs="Arial" w:eastAsia="Arial" w:hAnsi="Arial"/>
          <w:sz w:val="15"/>
          <w:szCs w:val="15"/>
          <w:b w:val="1"/>
          <w:bCs w:val="1"/>
          <w:i w:val="1"/>
          <w:iCs w:val="1"/>
          <w:color w:val="auto"/>
        </w:rPr>
        <w:t>Cost of revenue and gross margin</w:t>
      </w:r>
    </w:p>
    <w:p>
      <w:pPr>
        <w:spacing w:after="0" w:line="98" w:lineRule="exact"/>
        <w:rPr>
          <w:sz w:val="20"/>
          <w:szCs w:val="20"/>
          <w:color w:val="auto"/>
        </w:rPr>
      </w:pPr>
    </w:p>
    <w:p>
      <w:pPr>
        <w:ind w:left="1120" w:firstLine="368"/>
        <w:spacing w:after="0" w:line="274" w:lineRule="auto"/>
        <w:rPr>
          <w:sz w:val="20"/>
          <w:szCs w:val="20"/>
          <w:color w:val="auto"/>
        </w:rPr>
      </w:pPr>
      <w:r>
        <w:rPr>
          <w:rFonts w:ascii="Arial" w:cs="Arial" w:eastAsia="Arial" w:hAnsi="Arial"/>
          <w:sz w:val="14"/>
          <w:szCs w:val="14"/>
          <w:i w:val="1"/>
          <w:iCs w:val="1"/>
          <w:color w:val="auto"/>
        </w:rPr>
        <w:t xml:space="preserve">Cost of revenue. </w:t>
      </w:r>
      <w:r>
        <w:rPr>
          <w:rFonts w:ascii="Arial" w:cs="Arial" w:eastAsia="Arial" w:hAnsi="Arial"/>
          <w:sz w:val="14"/>
          <w:szCs w:val="14"/>
          <w:color w:val="auto"/>
        </w:rPr>
        <w:t>Our cost of revenue consists primarily of expenses associated with the storage, delivery, and distribution of our platform for both</w:t>
      </w:r>
      <w:r>
        <w:rPr>
          <w:rFonts w:ascii="Arial" w:cs="Arial" w:eastAsia="Arial" w:hAnsi="Arial"/>
          <w:sz w:val="14"/>
          <w:szCs w:val="14"/>
          <w:i w:val="1"/>
          <w:iCs w:val="1"/>
          <w:color w:val="auto"/>
        </w:rPr>
        <w:t xml:space="preserve"> </w:t>
      </w:r>
      <w:r>
        <w:rPr>
          <w:rFonts w:ascii="Arial" w:cs="Arial" w:eastAsia="Arial" w:hAnsi="Arial"/>
          <w:sz w:val="14"/>
          <w:szCs w:val="14"/>
          <w:color w:val="auto"/>
        </w:rPr>
        <w:t>paying users and Basic users. These costs, which we refer to as infrastructure costs, include depreciation of our servers located in co-location facilities that we lease and operate, rent and facilities expense for those datacenters, network and bandwidth costs, support and maintenance costs for our infrastructure equipment, and payments to third-party datacenter service providers. Cost of revenue also includes costs, such as salaries, bonuses, benefits, travel-related expenses, and stock-based compensation, which we refer to as employee-related costs, for employees whose primary responsibilities relate to supporting our infrastructure and delivering user support. Other non-employee costs included in cost of revenue include credit card fees related to processing customer transactions, and allocated overhead, such as facilities, including rent, utilities, depreciation on leasehold improvements and other equipment shared by all departments, and shared information technology costs. In addition, cost of revenue includes amortization of developed technologies, professional fees related to user support initiatives, and property taxes related to the datacenters.</w:t>
      </w:r>
    </w:p>
    <w:p>
      <w:pPr>
        <w:spacing w:after="0" w:line="150" w:lineRule="exact"/>
        <w:rPr>
          <w:sz w:val="20"/>
          <w:szCs w:val="20"/>
          <w:color w:val="auto"/>
        </w:rPr>
      </w:pPr>
    </w:p>
    <w:p>
      <w:pPr>
        <w:ind w:left="1120" w:firstLine="368"/>
        <w:spacing w:after="0" w:line="257" w:lineRule="auto"/>
        <w:rPr>
          <w:sz w:val="20"/>
          <w:szCs w:val="20"/>
          <w:color w:val="auto"/>
        </w:rPr>
      </w:pPr>
      <w:r>
        <w:rPr>
          <w:rFonts w:ascii="Arial" w:cs="Arial" w:eastAsia="Arial" w:hAnsi="Arial"/>
          <w:sz w:val="15"/>
          <w:szCs w:val="15"/>
          <w:color w:val="auto"/>
        </w:rPr>
        <w:t>We plan to continue increasing the capacity and enhancing the capability and reliability of our infrastructure to support user growth and increased use of our platform. We expect that cost of revenue, excluding the impact of certain stock-based compensation charges described in “—Significant Impacts of Stock-Based Compensation”, will increase in absolute dollars in future periods. In addition, as a result of certain stock-based compensation charges described in “—Significant Impacts of Stock-Based Compensation,” we expect our cost of revenue to increase significantly in absolute dollars in the quarter during which we complete this offering.</w:t>
      </w:r>
    </w:p>
    <w:p>
      <w:pPr>
        <w:spacing w:after="0" w:line="159" w:lineRule="exact"/>
        <w:rPr>
          <w:sz w:val="20"/>
          <w:szCs w:val="20"/>
          <w:color w:val="auto"/>
        </w:rPr>
      </w:pPr>
    </w:p>
    <w:p>
      <w:pPr>
        <w:ind w:left="1120" w:right="20" w:firstLine="368"/>
        <w:spacing w:after="0" w:line="255" w:lineRule="auto"/>
        <w:rPr>
          <w:sz w:val="20"/>
          <w:szCs w:val="20"/>
          <w:color w:val="auto"/>
        </w:rPr>
      </w:pPr>
      <w:r>
        <w:rPr>
          <w:rFonts w:ascii="Arial" w:cs="Arial" w:eastAsia="Arial" w:hAnsi="Arial"/>
          <w:sz w:val="15"/>
          <w:szCs w:val="15"/>
          <w:i w:val="1"/>
          <w:iCs w:val="1"/>
          <w:color w:val="auto"/>
        </w:rPr>
        <w:t xml:space="preserve">Gross margin. </w:t>
      </w:r>
      <w:r>
        <w:rPr>
          <w:rFonts w:ascii="Arial" w:cs="Arial" w:eastAsia="Arial" w:hAnsi="Arial"/>
          <w:sz w:val="15"/>
          <w:szCs w:val="15"/>
          <w:color w:val="auto"/>
        </w:rPr>
        <w:t>Gross margin is gross profit expressed as a percentage of revenue. Our gross margin may fluctuate from period to period based on</w:t>
      </w:r>
      <w:r>
        <w:rPr>
          <w:rFonts w:ascii="Arial" w:cs="Arial" w:eastAsia="Arial" w:hAnsi="Arial"/>
          <w:sz w:val="15"/>
          <w:szCs w:val="15"/>
          <w:i w:val="1"/>
          <w:iCs w:val="1"/>
          <w:color w:val="auto"/>
        </w:rPr>
        <w:t xml:space="preserve"> </w:t>
      </w:r>
      <w:r>
        <w:rPr>
          <w:rFonts w:ascii="Arial" w:cs="Arial" w:eastAsia="Arial" w:hAnsi="Arial"/>
          <w:sz w:val="15"/>
          <w:szCs w:val="15"/>
          <w:color w:val="auto"/>
        </w:rPr>
        <w:t>the timing of additional capital expenditures and the related depreciation expense, or other increases in our infrastructure costs, as well as revenue fluctuations. As we continue to increase the utilization of our internal infrastructure, we generally expect our gross margin, excluding the impact of certain stock-based compensation charges described in “—Significant Impacts of Stock-Based Compensation”, to remain relatively constant in the near term and to increase modestly in the long term. Taking into account these charges, we expect our gross margin to decrease significantly in the quarter during which we complete this offering.</w:t>
      </w:r>
    </w:p>
    <w:p>
      <w:pPr>
        <w:spacing w:after="0" w:line="254" w:lineRule="exact"/>
        <w:rPr>
          <w:sz w:val="20"/>
          <w:szCs w:val="20"/>
          <w:color w:val="auto"/>
        </w:rPr>
      </w:pPr>
    </w:p>
    <w:p>
      <w:pPr>
        <w:ind w:left="1480"/>
        <w:spacing w:after="0"/>
        <w:rPr>
          <w:sz w:val="20"/>
          <w:szCs w:val="20"/>
          <w:color w:val="auto"/>
        </w:rPr>
      </w:pPr>
      <w:r>
        <w:rPr>
          <w:rFonts w:ascii="Arial" w:cs="Arial" w:eastAsia="Arial" w:hAnsi="Arial"/>
          <w:sz w:val="15"/>
          <w:szCs w:val="15"/>
          <w:b w:val="1"/>
          <w:bCs w:val="1"/>
          <w:i w:val="1"/>
          <w:iCs w:val="1"/>
          <w:color w:val="auto"/>
        </w:rPr>
        <w:t>Operating expenses</w:t>
      </w:r>
    </w:p>
    <w:p>
      <w:pPr>
        <w:spacing w:after="0" w:line="98" w:lineRule="exact"/>
        <w:rPr>
          <w:sz w:val="20"/>
          <w:szCs w:val="20"/>
          <w:color w:val="auto"/>
        </w:rPr>
      </w:pPr>
    </w:p>
    <w:p>
      <w:pPr>
        <w:ind w:left="1120" w:firstLine="368"/>
        <w:spacing w:after="0" w:line="290" w:lineRule="auto"/>
        <w:rPr>
          <w:sz w:val="20"/>
          <w:szCs w:val="20"/>
          <w:color w:val="auto"/>
        </w:rPr>
      </w:pPr>
      <w:r>
        <w:rPr>
          <w:rFonts w:ascii="Arial" w:cs="Arial" w:eastAsia="Arial" w:hAnsi="Arial"/>
          <w:sz w:val="14"/>
          <w:szCs w:val="14"/>
          <w:i w:val="1"/>
          <w:iCs w:val="1"/>
          <w:color w:val="auto"/>
        </w:rPr>
        <w:t>Research and development</w:t>
      </w:r>
      <w:r>
        <w:rPr>
          <w:rFonts w:ascii="Arial" w:cs="Arial" w:eastAsia="Arial" w:hAnsi="Arial"/>
          <w:sz w:val="14"/>
          <w:szCs w:val="14"/>
          <w:color w:val="auto"/>
        </w:rPr>
        <w:t>. Our research and development expenses consist primarily of employee-related costs for our engineering, product, and</w:t>
      </w:r>
      <w:r>
        <w:rPr>
          <w:rFonts w:ascii="Arial" w:cs="Arial" w:eastAsia="Arial" w:hAnsi="Arial"/>
          <w:sz w:val="14"/>
          <w:szCs w:val="14"/>
          <w:i w:val="1"/>
          <w:iCs w:val="1"/>
          <w:color w:val="auto"/>
        </w:rPr>
        <w:t xml:space="preserve"> </w:t>
      </w:r>
      <w:r>
        <w:rPr>
          <w:rFonts w:ascii="Arial" w:cs="Arial" w:eastAsia="Arial" w:hAnsi="Arial"/>
          <w:sz w:val="14"/>
          <w:szCs w:val="14"/>
          <w:color w:val="auto"/>
        </w:rPr>
        <w:t>design teams, and allocated overhead. Additionally, research and development expenses include internal development-related third-party hosting fees. We have expensed almost all of our research and development costs as they were incurred.</w:t>
      </w:r>
    </w:p>
    <w:p>
      <w:pPr>
        <w:spacing w:after="0" w:line="138" w:lineRule="exact"/>
        <w:rPr>
          <w:sz w:val="20"/>
          <w:szCs w:val="20"/>
          <w:color w:val="auto"/>
        </w:rPr>
      </w:pPr>
    </w:p>
    <w:p>
      <w:pPr>
        <w:ind w:left="1120" w:firstLine="368"/>
        <w:spacing w:after="0" w:line="290" w:lineRule="auto"/>
        <w:rPr>
          <w:sz w:val="20"/>
          <w:szCs w:val="20"/>
          <w:color w:val="auto"/>
        </w:rPr>
      </w:pPr>
      <w:r>
        <w:rPr>
          <w:rFonts w:ascii="Arial" w:cs="Arial" w:eastAsia="Arial" w:hAnsi="Arial"/>
          <w:sz w:val="14"/>
          <w:szCs w:val="14"/>
          <w:color w:val="auto"/>
        </w:rPr>
        <w:t>We plan to continue to hire employees for our engineering, product, and design teams to support our research and development efforts. We expect that research and development costs will increase in absolute dollars in future periods and, excluding the impact of certain stock-based compensation charges described in “—Significant Impacts of Stock-Based Compensation”, vary from period to period as a percentage of revenue.</w:t>
      </w:r>
    </w:p>
    <w:p>
      <w:pPr>
        <w:spacing w:after="0" w:line="138" w:lineRule="exact"/>
        <w:rPr>
          <w:sz w:val="20"/>
          <w:szCs w:val="20"/>
          <w:color w:val="auto"/>
        </w:rPr>
      </w:pPr>
    </w:p>
    <w:p>
      <w:pPr>
        <w:jc w:val="both"/>
        <w:ind w:left="1120" w:firstLine="368"/>
        <w:spacing w:after="0" w:line="322" w:lineRule="auto"/>
        <w:rPr>
          <w:sz w:val="20"/>
          <w:szCs w:val="20"/>
          <w:color w:val="auto"/>
        </w:rPr>
      </w:pPr>
      <w:r>
        <w:rPr>
          <w:rFonts w:ascii="Arial" w:cs="Arial" w:eastAsia="Arial" w:hAnsi="Arial"/>
          <w:sz w:val="13"/>
          <w:szCs w:val="13"/>
          <w:i w:val="1"/>
          <w:iCs w:val="1"/>
          <w:color w:val="auto"/>
        </w:rPr>
        <w:t>Sales and marketing</w:t>
      </w:r>
      <w:r>
        <w:rPr>
          <w:rFonts w:ascii="Arial" w:cs="Arial" w:eastAsia="Arial" w:hAnsi="Arial"/>
          <w:sz w:val="13"/>
          <w:szCs w:val="13"/>
          <w:color w:val="auto"/>
        </w:rPr>
        <w:t>. Our sales and marketing expenses relate to both self-serve and outbound sales activities, and consist primarily of employee-related costs, brand campaign fees, lead generation fees, and allocated overhead. Sales commissions earned by our outbound sales team and the related payroll taxes, as well as commissions earned by third-party resellers that we consider to be incremental and recoverable costs of</w:t>
      </w:r>
    </w:p>
    <w:p>
      <w:pPr>
        <w:spacing w:after="0" w:line="64" w:lineRule="exact"/>
        <w:rPr>
          <w:sz w:val="20"/>
          <w:szCs w:val="20"/>
          <w:color w:val="auto"/>
        </w:rPr>
      </w:pPr>
    </w:p>
    <w:p>
      <w:pPr>
        <w:ind w:left="5640"/>
        <w:spacing w:after="0"/>
        <w:rPr>
          <w:sz w:val="20"/>
          <w:szCs w:val="20"/>
          <w:color w:val="auto"/>
        </w:rPr>
      </w:pPr>
      <w:r>
        <w:rPr>
          <w:rFonts w:ascii="Arial" w:cs="Arial" w:eastAsia="Arial" w:hAnsi="Arial"/>
          <w:sz w:val="15"/>
          <w:szCs w:val="15"/>
          <w:color w:val="auto"/>
        </w:rPr>
        <w:t>72</w:t>
      </w:r>
    </w:p>
    <w:p>
      <w:pPr>
        <w:sectPr>
          <w:pgSz w:w="11900" w:h="16838" w:orient="portrait"/>
          <w:cols w:equalWidth="0" w:num="1">
            <w:col w:w="10240"/>
          </w:cols>
          <w:pgMar w:left="240" w:top="407" w:right="1419" w:bottom="1440" w:gutter="0" w:footer="0" w:header="0"/>
        </w:sectPr>
      </w:pPr>
    </w:p>
    <w:bookmarkStart w:id="79" w:name="page80"/>
    <w:bookmarkEnd w:id="79"/>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133350</wp:posOffset>
            </wp:positionH>
            <wp:positionV relativeFrom="page">
              <wp:posOffset>88900</wp:posOffset>
            </wp:positionV>
            <wp:extent cx="7308850" cy="342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308850" cy="34290"/>
                    </a:xfrm>
                    <a:prstGeom prst="rect">
                      <a:avLst/>
                    </a:prstGeom>
                    <a:noFill/>
                  </pic:spPr>
                </pic:pic>
              </a:graphicData>
            </a:graphic>
          </wp:anchor>
        </w:drawing>
      </w:r>
      <w:hyperlink w:anchor="page7">
        <w:r>
          <w:rPr>
            <w:rFonts w:ascii="Arial" w:cs="Arial" w:eastAsia="Arial" w:hAnsi="Arial"/>
            <w:sz w:val="15"/>
            <w:szCs w:val="15"/>
            <w:b w:val="1"/>
            <w:bCs w:val="1"/>
            <w:u w:val="single" w:color="auto"/>
            <w:color w:val="0000EE"/>
          </w:rPr>
          <w:t>Table of Contents</w:t>
        </w:r>
      </w:hyperlink>
    </w:p>
    <w:p>
      <w:pPr>
        <w:spacing w:after="0" w:line="260" w:lineRule="exact"/>
        <w:rPr>
          <w:sz w:val="20"/>
          <w:szCs w:val="20"/>
          <w:color w:val="auto"/>
        </w:rPr>
      </w:pPr>
    </w:p>
    <w:p>
      <w:pPr>
        <w:ind w:left="1120"/>
        <w:spacing w:after="0" w:line="275" w:lineRule="auto"/>
        <w:rPr>
          <w:sz w:val="20"/>
          <w:szCs w:val="20"/>
          <w:color w:val="auto"/>
        </w:rPr>
      </w:pPr>
      <w:r>
        <w:rPr>
          <w:rFonts w:ascii="Arial" w:cs="Arial" w:eastAsia="Arial" w:hAnsi="Arial"/>
          <w:sz w:val="15"/>
          <w:szCs w:val="15"/>
          <w:color w:val="auto"/>
        </w:rPr>
        <w:t>obtaining a contract with a user, are deferred and amortized over an estimated period of benefit of five years. Additionally, sales and marketing expenses include non-employee costs related to app store fees and fees payable to third-party sales representatives.</w:t>
      </w:r>
    </w:p>
    <w:p>
      <w:pPr>
        <w:spacing w:after="0" w:line="146" w:lineRule="exact"/>
        <w:rPr>
          <w:sz w:val="20"/>
          <w:szCs w:val="20"/>
          <w:color w:val="auto"/>
        </w:rPr>
      </w:pPr>
    </w:p>
    <w:p>
      <w:pPr>
        <w:ind w:left="1120" w:firstLine="368"/>
        <w:spacing w:after="0" w:line="311" w:lineRule="auto"/>
        <w:rPr>
          <w:sz w:val="20"/>
          <w:szCs w:val="20"/>
          <w:color w:val="auto"/>
        </w:rPr>
      </w:pPr>
      <w:r>
        <w:rPr>
          <w:rFonts w:ascii="Arial" w:cs="Arial" w:eastAsia="Arial" w:hAnsi="Arial"/>
          <w:sz w:val="13"/>
          <w:szCs w:val="13"/>
          <w:color w:val="auto"/>
        </w:rPr>
        <w:t>We plan to continue to invest in sales and marketing to grow our user base and increase our brand awareness, including marketing efforts to continue to drive our self-serve business model. The trend and timing of sales and marketing expenses will depend in part on the timing of marketing campaigns. We expect that sales and marketing expenses will increase in absolute dollars in future periods and, excluding the impact of certain stock-based compensation charges described in “—Significant Impacts of Stock-Based Compensation”, vary from period to period as a percentage of revenue.</w:t>
      </w:r>
    </w:p>
    <w:p>
      <w:pPr>
        <w:spacing w:after="0" w:line="127" w:lineRule="exact"/>
        <w:rPr>
          <w:sz w:val="20"/>
          <w:szCs w:val="20"/>
          <w:color w:val="auto"/>
        </w:rPr>
      </w:pPr>
    </w:p>
    <w:p>
      <w:pPr>
        <w:jc w:val="both"/>
        <w:ind w:left="1120" w:right="200" w:firstLine="368"/>
        <w:spacing w:after="0" w:line="263" w:lineRule="auto"/>
        <w:rPr>
          <w:sz w:val="20"/>
          <w:szCs w:val="20"/>
          <w:color w:val="auto"/>
        </w:rPr>
      </w:pPr>
      <w:r>
        <w:rPr>
          <w:rFonts w:ascii="Arial" w:cs="Arial" w:eastAsia="Arial" w:hAnsi="Arial"/>
          <w:sz w:val="15"/>
          <w:szCs w:val="15"/>
          <w:i w:val="1"/>
          <w:iCs w:val="1"/>
          <w:color w:val="auto"/>
        </w:rPr>
        <w:t>General and administrative</w:t>
      </w:r>
      <w:r>
        <w:rPr>
          <w:rFonts w:ascii="Arial" w:cs="Arial" w:eastAsia="Arial" w:hAnsi="Arial"/>
          <w:sz w:val="15"/>
          <w:szCs w:val="15"/>
          <w:color w:val="auto"/>
        </w:rPr>
        <w:t>. Our general and administrative expenses consist primarily of employee-related costs for our legal, finance, human</w:t>
      </w:r>
      <w:r>
        <w:rPr>
          <w:rFonts w:ascii="Arial" w:cs="Arial" w:eastAsia="Arial" w:hAnsi="Arial"/>
          <w:sz w:val="15"/>
          <w:szCs w:val="15"/>
          <w:i w:val="1"/>
          <w:iCs w:val="1"/>
          <w:color w:val="auto"/>
        </w:rPr>
        <w:t xml:space="preserve"> </w:t>
      </w:r>
      <w:r>
        <w:rPr>
          <w:rFonts w:ascii="Arial" w:cs="Arial" w:eastAsia="Arial" w:hAnsi="Arial"/>
          <w:sz w:val="15"/>
          <w:szCs w:val="15"/>
          <w:color w:val="auto"/>
        </w:rPr>
        <w:t>resources, and other administrative teams, as well as certain executives. In addition, general and administrative expenses include allocated overhead, outside legal, accounting and other professional fees, and non-income based taxes.</w:t>
      </w:r>
    </w:p>
    <w:p>
      <w:pPr>
        <w:spacing w:after="0" w:line="155" w:lineRule="exact"/>
        <w:rPr>
          <w:sz w:val="20"/>
          <w:szCs w:val="20"/>
          <w:color w:val="auto"/>
        </w:rPr>
      </w:pPr>
    </w:p>
    <w:p>
      <w:pPr>
        <w:ind w:left="1120" w:right="180" w:firstLine="368"/>
        <w:spacing w:after="0" w:line="257" w:lineRule="auto"/>
        <w:rPr>
          <w:sz w:val="20"/>
          <w:szCs w:val="20"/>
          <w:color w:val="auto"/>
        </w:rPr>
      </w:pPr>
      <w:r>
        <w:rPr>
          <w:rFonts w:ascii="Arial" w:cs="Arial" w:eastAsia="Arial" w:hAnsi="Arial"/>
          <w:sz w:val="15"/>
          <w:szCs w:val="15"/>
          <w:color w:val="auto"/>
        </w:rPr>
        <w:t>We expect to incur additional general and administrative expenses to support the growth of the Company as well as our transition to being a publicly traded company, which includes the recognition of stock-based compensation expense related to grants of restricted stock made to our co-founders. We expect that general and administrative expenses will increase in absolute dollars in future periods and, excluding the impact of certain stock-based compensation charges described in “—Significant Impacts of Stock-Based Compensation”, vary from period to period as a percentage of revenue.</w:t>
      </w:r>
    </w:p>
    <w:p>
      <w:pPr>
        <w:spacing w:after="0" w:line="159" w:lineRule="exact"/>
        <w:rPr>
          <w:sz w:val="20"/>
          <w:szCs w:val="20"/>
          <w:color w:val="auto"/>
        </w:rPr>
      </w:pPr>
    </w:p>
    <w:p>
      <w:pPr>
        <w:ind w:left="1120" w:firstLine="368"/>
        <w:spacing w:after="0" w:line="263" w:lineRule="auto"/>
        <w:rPr>
          <w:sz w:val="20"/>
          <w:szCs w:val="20"/>
          <w:color w:val="auto"/>
        </w:rPr>
      </w:pPr>
      <w:r>
        <w:rPr>
          <w:rFonts w:ascii="Arial" w:cs="Arial" w:eastAsia="Arial" w:hAnsi="Arial"/>
          <w:sz w:val="15"/>
          <w:szCs w:val="15"/>
          <w:color w:val="auto"/>
        </w:rPr>
        <w:t>As a result of certain stock-based compensation charges described in “—Significant Impacts of Stock-Based Compensation,” we expect our research and development, sales and marketing, and general and administrative expenses to increase significantly in absolute dollars and as a percentage of revenue in the quarter during which we complete this offering.</w:t>
      </w:r>
    </w:p>
    <w:p>
      <w:pPr>
        <w:spacing w:after="0" w:line="245" w:lineRule="exact"/>
        <w:rPr>
          <w:sz w:val="20"/>
          <w:szCs w:val="20"/>
          <w:color w:val="auto"/>
        </w:rPr>
      </w:pPr>
    </w:p>
    <w:p>
      <w:pPr>
        <w:ind w:left="1480"/>
        <w:spacing w:after="0"/>
        <w:rPr>
          <w:sz w:val="20"/>
          <w:szCs w:val="20"/>
          <w:color w:val="auto"/>
        </w:rPr>
      </w:pPr>
      <w:r>
        <w:rPr>
          <w:rFonts w:ascii="Arial" w:cs="Arial" w:eastAsia="Arial" w:hAnsi="Arial"/>
          <w:sz w:val="15"/>
          <w:szCs w:val="15"/>
          <w:b w:val="1"/>
          <w:bCs w:val="1"/>
          <w:i w:val="1"/>
          <w:iCs w:val="1"/>
          <w:color w:val="auto"/>
        </w:rPr>
        <w:t>Interest expense, net</w:t>
      </w:r>
    </w:p>
    <w:p>
      <w:pPr>
        <w:spacing w:after="0" w:line="98" w:lineRule="exact"/>
        <w:rPr>
          <w:sz w:val="20"/>
          <w:szCs w:val="20"/>
          <w:color w:val="auto"/>
        </w:rPr>
      </w:pPr>
    </w:p>
    <w:p>
      <w:pPr>
        <w:ind w:left="1120" w:right="100" w:firstLine="368"/>
        <w:spacing w:after="0" w:line="263" w:lineRule="auto"/>
        <w:rPr>
          <w:sz w:val="20"/>
          <w:szCs w:val="20"/>
          <w:color w:val="auto"/>
        </w:rPr>
      </w:pPr>
      <w:r>
        <w:rPr>
          <w:rFonts w:ascii="Arial" w:cs="Arial" w:eastAsia="Arial" w:hAnsi="Arial"/>
          <w:sz w:val="15"/>
          <w:szCs w:val="15"/>
          <w:color w:val="auto"/>
        </w:rPr>
        <w:t>Interest expense, net consists primarily of interest expense related to our capital lease obligations for infrastructure and our imputed financing obligation for our obligation to the legal owner of our previous corporate headquarters, partially offset by interest income earned on our money market funds classified as cash and cash equivalents.</w:t>
      </w:r>
    </w:p>
    <w:p>
      <w:pPr>
        <w:spacing w:after="0" w:line="245" w:lineRule="exact"/>
        <w:rPr>
          <w:sz w:val="20"/>
          <w:szCs w:val="20"/>
          <w:color w:val="auto"/>
        </w:rPr>
      </w:pPr>
    </w:p>
    <w:p>
      <w:pPr>
        <w:ind w:left="1480"/>
        <w:spacing w:after="0"/>
        <w:rPr>
          <w:sz w:val="20"/>
          <w:szCs w:val="20"/>
          <w:color w:val="auto"/>
        </w:rPr>
      </w:pPr>
      <w:r>
        <w:rPr>
          <w:rFonts w:ascii="Arial" w:cs="Arial" w:eastAsia="Arial" w:hAnsi="Arial"/>
          <w:sz w:val="15"/>
          <w:szCs w:val="15"/>
          <w:b w:val="1"/>
          <w:bCs w:val="1"/>
          <w:i w:val="1"/>
          <w:iCs w:val="1"/>
          <w:color w:val="auto"/>
        </w:rPr>
        <w:t>Other income (expense), net</w:t>
      </w:r>
    </w:p>
    <w:p>
      <w:pPr>
        <w:spacing w:after="0" w:line="98" w:lineRule="exact"/>
        <w:rPr>
          <w:sz w:val="20"/>
          <w:szCs w:val="20"/>
          <w:color w:val="auto"/>
        </w:rPr>
      </w:pPr>
    </w:p>
    <w:p>
      <w:pPr>
        <w:ind w:left="1120" w:right="260" w:firstLine="368"/>
        <w:spacing w:after="0" w:line="275" w:lineRule="auto"/>
        <w:rPr>
          <w:sz w:val="20"/>
          <w:szCs w:val="20"/>
          <w:color w:val="auto"/>
        </w:rPr>
      </w:pPr>
      <w:r>
        <w:rPr>
          <w:rFonts w:ascii="Arial" w:cs="Arial" w:eastAsia="Arial" w:hAnsi="Arial"/>
          <w:sz w:val="15"/>
          <w:szCs w:val="15"/>
          <w:color w:val="auto"/>
        </w:rPr>
        <w:t>Other income (expense), net consists of other non-operating gains or losses, including those related to ongoing subleases and foreign currency transaction gains and losses.</w:t>
      </w:r>
    </w:p>
    <w:p>
      <w:pPr>
        <w:spacing w:after="0" w:line="236" w:lineRule="exact"/>
        <w:rPr>
          <w:sz w:val="20"/>
          <w:szCs w:val="20"/>
          <w:color w:val="auto"/>
        </w:rPr>
      </w:pPr>
    </w:p>
    <w:p>
      <w:pPr>
        <w:ind w:left="1480"/>
        <w:spacing w:after="0"/>
        <w:rPr>
          <w:sz w:val="20"/>
          <w:szCs w:val="20"/>
          <w:color w:val="auto"/>
        </w:rPr>
      </w:pPr>
      <w:r>
        <w:rPr>
          <w:rFonts w:ascii="Arial" w:cs="Arial" w:eastAsia="Arial" w:hAnsi="Arial"/>
          <w:sz w:val="15"/>
          <w:szCs w:val="15"/>
          <w:b w:val="1"/>
          <w:bCs w:val="1"/>
          <w:i w:val="1"/>
          <w:iCs w:val="1"/>
          <w:color w:val="auto"/>
        </w:rPr>
        <w:t>Provision for income taxes</w:t>
      </w:r>
    </w:p>
    <w:p>
      <w:pPr>
        <w:spacing w:after="0" w:line="98" w:lineRule="exact"/>
        <w:rPr>
          <w:sz w:val="20"/>
          <w:szCs w:val="20"/>
          <w:color w:val="auto"/>
        </w:rPr>
      </w:pPr>
    </w:p>
    <w:p>
      <w:pPr>
        <w:ind w:left="1120" w:right="40" w:firstLine="368"/>
        <w:spacing w:after="0" w:line="279" w:lineRule="auto"/>
        <w:rPr>
          <w:sz w:val="20"/>
          <w:szCs w:val="20"/>
          <w:color w:val="auto"/>
        </w:rPr>
      </w:pPr>
      <w:r>
        <w:rPr>
          <w:rFonts w:ascii="Arial" w:cs="Arial" w:eastAsia="Arial" w:hAnsi="Arial"/>
          <w:sz w:val="14"/>
          <w:szCs w:val="14"/>
          <w:color w:val="auto"/>
        </w:rPr>
        <w:t>Provision for income taxes consists primarily of U.S. federal and state income taxes and income taxes in certain foreign jurisdictions in which we conduct business. For the periods presented, the difference between the U.S. statutory rate and our effective tax rate is primarily due to the valuation allowance on deferred tax assets. Our effective tax rate is also impacted by earnings realized in foreign jurisdictions with statutory tax rates lower than the federal statutory tax rate. We maintain a full valuation allowance on our net deferred tax assets for federal, state, and certain foreign jurisdictions as we have concluded that it is not more likely than not that the deferred assets will be realized.</w:t>
      </w:r>
    </w:p>
    <w:p>
      <w:pPr>
        <w:spacing w:after="0" w:line="147" w:lineRule="exact"/>
        <w:rPr>
          <w:sz w:val="20"/>
          <w:szCs w:val="20"/>
          <w:color w:val="auto"/>
        </w:rPr>
      </w:pPr>
    </w:p>
    <w:p>
      <w:pPr>
        <w:ind w:left="1120" w:firstLine="368"/>
        <w:spacing w:after="0" w:line="275" w:lineRule="auto"/>
        <w:rPr>
          <w:sz w:val="20"/>
          <w:szCs w:val="20"/>
          <w:color w:val="auto"/>
        </w:rPr>
      </w:pPr>
      <w:r>
        <w:rPr>
          <w:rFonts w:ascii="Arial" w:cs="Arial" w:eastAsia="Arial" w:hAnsi="Arial"/>
          <w:sz w:val="15"/>
          <w:szCs w:val="15"/>
          <w:color w:val="auto"/>
        </w:rPr>
        <w:t>As of December 31, 2017, we had $312.2 million of federal and $143.0 million of state net operating loss carryforwards available to reduce future taxable income, which will begin to expire in 2031 for federal and 2030</w:t>
      </w:r>
    </w:p>
    <w:p>
      <w:pPr>
        <w:spacing w:after="0" w:line="90" w:lineRule="exact"/>
        <w:rPr>
          <w:sz w:val="20"/>
          <w:szCs w:val="20"/>
          <w:color w:val="auto"/>
        </w:rPr>
      </w:pPr>
    </w:p>
    <w:p>
      <w:pPr>
        <w:ind w:left="5640"/>
        <w:spacing w:after="0"/>
        <w:rPr>
          <w:sz w:val="20"/>
          <w:szCs w:val="20"/>
          <w:color w:val="auto"/>
        </w:rPr>
      </w:pPr>
      <w:r>
        <w:rPr>
          <w:rFonts w:ascii="Arial" w:cs="Arial" w:eastAsia="Arial" w:hAnsi="Arial"/>
          <w:sz w:val="15"/>
          <w:szCs w:val="15"/>
          <w:color w:val="auto"/>
        </w:rPr>
        <w:t>73</w:t>
      </w:r>
    </w:p>
    <w:p>
      <w:pPr>
        <w:sectPr>
          <w:pgSz w:w="11900" w:h="16838" w:orient="portrait"/>
          <w:cols w:equalWidth="0" w:num="1">
            <w:col w:w="10280"/>
          </w:cols>
          <w:pgMar w:left="240" w:top="407" w:right="1379" w:bottom="1440" w:gutter="0" w:footer="0" w:header="0"/>
        </w:sectPr>
      </w:pPr>
    </w:p>
    <w:bookmarkStart w:id="80" w:name="page81"/>
    <w:bookmarkEnd w:id="80"/>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133350</wp:posOffset>
            </wp:positionH>
            <wp:positionV relativeFrom="page">
              <wp:posOffset>88900</wp:posOffset>
            </wp:positionV>
            <wp:extent cx="7308850" cy="342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308850" cy="34290"/>
                    </a:xfrm>
                    <a:prstGeom prst="rect">
                      <a:avLst/>
                    </a:prstGeom>
                    <a:noFill/>
                  </pic:spPr>
                </pic:pic>
              </a:graphicData>
            </a:graphic>
          </wp:anchor>
        </w:drawing>
      </w:r>
      <w:hyperlink w:anchor="page7">
        <w:r>
          <w:rPr>
            <w:rFonts w:ascii="Arial" w:cs="Arial" w:eastAsia="Arial" w:hAnsi="Arial"/>
            <w:sz w:val="15"/>
            <w:szCs w:val="15"/>
            <w:b w:val="1"/>
            <w:bCs w:val="1"/>
            <w:u w:val="single" w:color="auto"/>
            <w:color w:val="0000EE"/>
          </w:rPr>
          <w:t>Table of Contents</w:t>
        </w:r>
      </w:hyperlink>
    </w:p>
    <w:p>
      <w:pPr>
        <w:spacing w:after="0" w:line="260" w:lineRule="exact"/>
        <w:rPr>
          <w:sz w:val="20"/>
          <w:szCs w:val="20"/>
          <w:color w:val="auto"/>
        </w:rPr>
      </w:pPr>
    </w:p>
    <w:p>
      <w:pPr>
        <w:ind w:left="1120"/>
        <w:spacing w:after="0" w:line="273" w:lineRule="auto"/>
        <w:rPr>
          <w:sz w:val="20"/>
          <w:szCs w:val="20"/>
          <w:color w:val="auto"/>
        </w:rPr>
      </w:pPr>
      <w:r>
        <w:rPr>
          <w:rFonts w:ascii="Arial" w:cs="Arial" w:eastAsia="Arial" w:hAnsi="Arial"/>
          <w:sz w:val="14"/>
          <w:szCs w:val="14"/>
          <w:color w:val="auto"/>
        </w:rPr>
        <w:t>for state tax purposes. As of December 31, 2017, we also had $289.3 million of foreign net operating loss carryforwards available to reduce future taxable income, which will carryforward indefinitely. In addition, we had $22.9 million of foreign acquired net operating losses, which will carryforward indefinitely. It is possible that we will not generate taxable income in time to use these net operating loss carryforwards before their expiration. In addition, under Section 382 and 383 of the Internal Revenue Code of 1986, as amended, or the Code, if a corporation undergoes an “ownership change,” the corporation’s ability to use its pre-change net operating loss carryforwards and other pre-change attributes, such as research tax credits, to offset its post-change income may be limited. In general, an “ownership change” will occur if there is a cumulative change in our ownership by “5-percent shareholders” that exceeds 50 percentage points over a rolling three-year period. Similar rules may apply under state tax laws. We performed a study for the period through December 31, 2017, and determined that no ownership changes exceeding 50 percentage points have occurred. Our ability to use net operating loss and tax credit carryforwards to reduce future taxable income and liabilities may be subject to annual limitations as a result of ownership changes from January 1, 2018, and subsequent years, or as a result of this offering.</w:t>
      </w:r>
    </w:p>
    <w:p>
      <w:pPr>
        <w:spacing w:after="0" w:line="154" w:lineRule="exact"/>
        <w:rPr>
          <w:sz w:val="20"/>
          <w:szCs w:val="20"/>
          <w:color w:val="auto"/>
        </w:rPr>
      </w:pPr>
    </w:p>
    <w:p>
      <w:pPr>
        <w:ind w:left="1120" w:right="40" w:firstLine="368"/>
        <w:spacing w:after="0" w:line="274" w:lineRule="auto"/>
        <w:rPr>
          <w:sz w:val="20"/>
          <w:szCs w:val="20"/>
          <w:color w:val="auto"/>
        </w:rPr>
      </w:pPr>
      <w:r>
        <w:rPr>
          <w:rFonts w:ascii="Arial" w:cs="Arial" w:eastAsia="Arial" w:hAnsi="Arial"/>
          <w:sz w:val="14"/>
          <w:szCs w:val="14"/>
          <w:color w:val="auto"/>
        </w:rPr>
        <w:t>The Tax Cuts and Jobs Act, or the Tax Reform Act, was enacted on December 22, 2017 and provides for significant changes to U.S. tax law. Among other provisions, the Tax Reform Act reduces the U.S. corporate income tax rate to 21% effective in 2018. The Tax Reform Act also contains a number of provisions that may impact us in future years. Since the Tax Reform Act was recently finalized and ongoing guidance and accounting interpretation is expected over the next twelve months, we have made certain provisional accounting estimates, as permitted under Staff Accounting Bulletin No. 118, and continue to analyze our accounting policies in this area. The U.S. Treasury Department, the IRS, and other standard-setting bodies could interpret or issue guidance on how provisions of the Tax Reform Act will be applied or otherwise administered that is different from our interpretation. As we complete our analysis of the Tax Reform Act, collect and prepare necessary data, and interpret any additional guidance, the we may make adjustments to provisional amounts that we have recorded that may be material in the period in which the adjustments are made. The final accounting analysis will occur no later than one year from the date the Tax Reform Act was enacted.</w:t>
      </w:r>
    </w:p>
    <w:p>
      <w:pPr>
        <w:spacing w:after="0" w:line="150" w:lineRule="exact"/>
        <w:rPr>
          <w:sz w:val="20"/>
          <w:szCs w:val="20"/>
          <w:color w:val="auto"/>
        </w:rPr>
      </w:pPr>
    </w:p>
    <w:p>
      <w:pPr>
        <w:ind w:left="1120" w:right="200" w:firstLine="368"/>
        <w:spacing w:after="0" w:line="277" w:lineRule="auto"/>
        <w:rPr>
          <w:sz w:val="20"/>
          <w:szCs w:val="20"/>
          <w:color w:val="auto"/>
        </w:rPr>
      </w:pPr>
      <w:r>
        <w:rPr>
          <w:rFonts w:ascii="Arial" w:cs="Arial" w:eastAsia="Arial" w:hAnsi="Arial"/>
          <w:sz w:val="14"/>
          <w:szCs w:val="14"/>
          <w:color w:val="auto"/>
        </w:rPr>
        <w:t>As a result of the reduction in the corporate rate, we have remeasured our U.S. deferred tax assets and liabilities as of December 31, 2017 to reflect the lower rate expected to apply when these temporary differences reverse. We provisionally estimate that the remeasurement resulted in a reduction in deferred tax assets of $63.1 million, which was fully offset by a corresponding change to our valuation allowance. Although the tax rate reduction is known, we have not collected all of the necessary data to complete our analysis of the effect of the Tax Reform Act on the underlying deferred taxes and as such, the amounts recorded as of December 31, 2017 are provisional. However, we anticipate that any adjustment to provisional amounts recorded would be fully offset by a corresponding change to our valuation allowance.</w:t>
      </w:r>
    </w:p>
    <w:p>
      <w:pPr>
        <w:spacing w:after="0" w:line="148" w:lineRule="exact"/>
        <w:rPr>
          <w:sz w:val="20"/>
          <w:szCs w:val="20"/>
          <w:color w:val="auto"/>
        </w:rPr>
      </w:pPr>
    </w:p>
    <w:p>
      <w:pPr>
        <w:ind w:left="1120" w:right="100" w:firstLine="368"/>
        <w:spacing w:after="0" w:line="305" w:lineRule="auto"/>
        <w:rPr>
          <w:sz w:val="20"/>
          <w:szCs w:val="20"/>
          <w:color w:val="auto"/>
        </w:rPr>
      </w:pPr>
      <w:r>
        <w:rPr>
          <w:rFonts w:ascii="Arial" w:cs="Arial" w:eastAsia="Arial" w:hAnsi="Arial"/>
          <w:sz w:val="13"/>
          <w:szCs w:val="13"/>
          <w:color w:val="auto"/>
        </w:rPr>
        <w:t>The Tax Reform Act repeals the corporate alternative minimum tax, or AMT, effective beginning in 2018 and permits AMT credit carryforwards to be refunded to the extent unused through 2021. Since we do not anticipate the use of these credits to reduce future federal taxes, we recognized an income tax benefit and established an income tax receivable to reflect anticipated refunds of $1.4 million for our 2016 AMT credit carryforward during the year ended December 31, 2017. We have not collected all of the necessary data to complete our analysis of the classification of the AMT tax credit as a receivable and as such, the amounts recorded as an income tax receivable as of December 31, 2017 are provisional.</w:t>
      </w:r>
    </w:p>
    <w:p>
      <w:pPr>
        <w:spacing w:after="0" w:line="133" w:lineRule="exact"/>
        <w:rPr>
          <w:sz w:val="20"/>
          <w:szCs w:val="20"/>
          <w:color w:val="auto"/>
        </w:rPr>
      </w:pPr>
    </w:p>
    <w:p>
      <w:pPr>
        <w:ind w:left="1120" w:right="20" w:firstLine="368"/>
        <w:spacing w:after="0" w:line="263" w:lineRule="auto"/>
        <w:rPr>
          <w:sz w:val="20"/>
          <w:szCs w:val="20"/>
          <w:color w:val="auto"/>
        </w:rPr>
      </w:pPr>
      <w:r>
        <w:rPr>
          <w:rFonts w:ascii="Arial" w:cs="Arial" w:eastAsia="Arial" w:hAnsi="Arial"/>
          <w:sz w:val="15"/>
          <w:szCs w:val="15"/>
          <w:color w:val="auto"/>
        </w:rPr>
        <w:t>The Tax Reform Act also provides for a transition to a new territorial system of taxation and generally requires companies to include certain untaxed foreign earnings of non-U.S. subsidiaries into taxable income in 2017, or the Transition Tax. As a result of the cumulative deficits in our foreign subsidiaries, we estimate that we will have no Transition Tax inclusion.</w:t>
      </w:r>
    </w:p>
    <w:p>
      <w:pPr>
        <w:spacing w:after="0" w:line="155" w:lineRule="exact"/>
        <w:rPr>
          <w:sz w:val="20"/>
          <w:szCs w:val="20"/>
          <w:color w:val="auto"/>
        </w:rPr>
      </w:pPr>
    </w:p>
    <w:p>
      <w:pPr>
        <w:ind w:left="1120" w:right="180" w:firstLine="368"/>
        <w:spacing w:after="0" w:line="275" w:lineRule="auto"/>
        <w:rPr>
          <w:sz w:val="20"/>
          <w:szCs w:val="20"/>
          <w:color w:val="auto"/>
        </w:rPr>
      </w:pPr>
      <w:r>
        <w:rPr>
          <w:rFonts w:ascii="Arial" w:cs="Arial" w:eastAsia="Arial" w:hAnsi="Arial"/>
          <w:sz w:val="15"/>
          <w:szCs w:val="15"/>
          <w:color w:val="auto"/>
        </w:rPr>
        <w:t>We continue to evaluate our accounting policy for recording deferred taxes, if any, that would arise as a result of other new provisions including the global intangible low-taxed income tax and the base erosion tax</w:t>
      </w:r>
    </w:p>
    <w:p>
      <w:pPr>
        <w:spacing w:after="0" w:line="90" w:lineRule="exact"/>
        <w:rPr>
          <w:sz w:val="20"/>
          <w:szCs w:val="20"/>
          <w:color w:val="auto"/>
        </w:rPr>
      </w:pPr>
    </w:p>
    <w:p>
      <w:pPr>
        <w:ind w:left="5640"/>
        <w:spacing w:after="0"/>
        <w:rPr>
          <w:sz w:val="20"/>
          <w:szCs w:val="20"/>
          <w:color w:val="auto"/>
        </w:rPr>
      </w:pPr>
      <w:r>
        <w:rPr>
          <w:rFonts w:ascii="Arial" w:cs="Arial" w:eastAsia="Arial" w:hAnsi="Arial"/>
          <w:sz w:val="15"/>
          <w:szCs w:val="15"/>
          <w:color w:val="auto"/>
        </w:rPr>
        <w:t>74</w:t>
      </w:r>
    </w:p>
    <w:p>
      <w:pPr>
        <w:sectPr>
          <w:pgSz w:w="11900" w:h="16838" w:orient="portrait"/>
          <w:cols w:equalWidth="0" w:num="1">
            <w:col w:w="10320"/>
          </w:cols>
          <w:pgMar w:left="240" w:top="407" w:right="1339" w:bottom="1440" w:gutter="0" w:footer="0" w:header="0"/>
        </w:sectPr>
      </w:pPr>
    </w:p>
    <w:bookmarkStart w:id="81" w:name="page82"/>
    <w:bookmarkEnd w:id="81"/>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133350</wp:posOffset>
            </wp:positionH>
            <wp:positionV relativeFrom="page">
              <wp:posOffset>88900</wp:posOffset>
            </wp:positionV>
            <wp:extent cx="7308850" cy="342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308850" cy="34290"/>
                    </a:xfrm>
                    <a:prstGeom prst="rect">
                      <a:avLst/>
                    </a:prstGeom>
                    <a:noFill/>
                  </pic:spPr>
                </pic:pic>
              </a:graphicData>
            </a:graphic>
          </wp:anchor>
        </w:drawing>
      </w:r>
      <w:hyperlink w:anchor="page7">
        <w:r>
          <w:rPr>
            <w:rFonts w:ascii="Arial" w:cs="Arial" w:eastAsia="Arial" w:hAnsi="Arial"/>
            <w:sz w:val="15"/>
            <w:szCs w:val="15"/>
            <w:b w:val="1"/>
            <w:bCs w:val="1"/>
            <w:u w:val="single" w:color="auto"/>
            <w:color w:val="0000EE"/>
          </w:rPr>
          <w:t>Table of Contents</w:t>
        </w:r>
      </w:hyperlink>
    </w:p>
    <w:p>
      <w:pPr>
        <w:spacing w:after="0" w:line="260" w:lineRule="exact"/>
        <w:rPr>
          <w:sz w:val="20"/>
          <w:szCs w:val="20"/>
          <w:color w:val="auto"/>
        </w:rPr>
      </w:pPr>
    </w:p>
    <w:p>
      <w:pPr>
        <w:jc w:val="right"/>
        <w:spacing w:after="0"/>
        <w:rPr>
          <w:sz w:val="20"/>
          <w:szCs w:val="20"/>
          <w:color w:val="auto"/>
        </w:rPr>
      </w:pPr>
      <w:r>
        <w:rPr>
          <w:rFonts w:ascii="Arial" w:cs="Arial" w:eastAsia="Arial" w:hAnsi="Arial"/>
          <w:sz w:val="15"/>
          <w:szCs w:val="15"/>
          <w:color w:val="auto"/>
        </w:rPr>
        <w:t>regimes established under the Tax Reform Act. This evaluation will be completed no later than one year from the date the Tax Reform Act was enacted.</w:t>
      </w:r>
    </w:p>
    <w:p>
      <w:pPr>
        <w:spacing w:after="0" w:line="275" w:lineRule="exact"/>
        <w:rPr>
          <w:sz w:val="20"/>
          <w:szCs w:val="20"/>
          <w:color w:val="auto"/>
        </w:rPr>
      </w:pPr>
    </w:p>
    <w:p>
      <w:pPr>
        <w:ind w:left="1120"/>
        <w:spacing w:after="0"/>
        <w:rPr>
          <w:sz w:val="20"/>
          <w:szCs w:val="20"/>
          <w:color w:val="auto"/>
        </w:rPr>
      </w:pPr>
      <w:r>
        <w:rPr>
          <w:rFonts w:ascii="Arial" w:cs="Arial" w:eastAsia="Arial" w:hAnsi="Arial"/>
          <w:sz w:val="15"/>
          <w:szCs w:val="15"/>
          <w:b w:val="1"/>
          <w:bCs w:val="1"/>
          <w:color w:val="auto"/>
        </w:rPr>
        <w:t>Results of Operations</w:t>
      </w:r>
    </w:p>
    <w:p>
      <w:pPr>
        <w:spacing w:after="0" w:line="102" w:lineRule="exact"/>
        <w:rPr>
          <w:sz w:val="20"/>
          <w:szCs w:val="20"/>
          <w:color w:val="auto"/>
        </w:rPr>
      </w:pPr>
    </w:p>
    <w:p>
      <w:pPr>
        <w:ind w:left="1480"/>
        <w:spacing w:after="0"/>
        <w:rPr>
          <w:sz w:val="20"/>
          <w:szCs w:val="20"/>
          <w:color w:val="auto"/>
        </w:rPr>
      </w:pPr>
      <w:r>
        <w:rPr>
          <w:rFonts w:ascii="Arial" w:cs="Arial" w:eastAsia="Arial" w:hAnsi="Arial"/>
          <w:sz w:val="14"/>
          <w:szCs w:val="14"/>
          <w:color w:val="auto"/>
        </w:rPr>
        <w:t>The following tables set forth our results of operations for the periods presented and as a percentage of our total revenue for those periods:</w:t>
      </w:r>
    </w:p>
    <w:p>
      <w:pPr>
        <w:spacing w:after="0" w:line="213" w:lineRule="exact"/>
        <w:rPr>
          <w:sz w:val="20"/>
          <w:szCs w:val="20"/>
          <w:color w:val="auto"/>
        </w:rPr>
      </w:pPr>
    </w:p>
    <w:tbl>
      <w:tblPr>
        <w:tblLayout w:type="fixed"/>
        <w:tblInd w:w="1480" w:type="dxa"/>
        <w:tblCellMar>
          <w:top w:w="0" w:type="dxa"/>
          <w:left w:w="0" w:type="dxa"/>
          <w:bottom w:w="0" w:type="dxa"/>
          <w:right w:w="0" w:type="dxa"/>
        </w:tblCellMar>
      </w:tblPr>
      <w:tr>
        <w:trPr>
          <w:trHeight w:val="144"/>
        </w:trPr>
        <w:tc>
          <w:tcPr>
            <w:tcW w:w="20" w:type="dxa"/>
            <w:vAlign w:val="bottom"/>
          </w:tcPr>
          <w:p>
            <w:pPr>
              <w:spacing w:after="0"/>
              <w:rPr>
                <w:sz w:val="12"/>
                <w:szCs w:val="12"/>
                <w:color w:val="auto"/>
              </w:rPr>
            </w:pPr>
          </w:p>
        </w:tc>
        <w:tc>
          <w:tcPr>
            <w:tcW w:w="3020" w:type="dxa"/>
            <w:vAlign w:val="bottom"/>
          </w:tcPr>
          <w:p>
            <w:pPr>
              <w:spacing w:after="0"/>
              <w:rPr>
                <w:sz w:val="12"/>
                <w:szCs w:val="12"/>
                <w:color w:val="auto"/>
              </w:rPr>
            </w:pPr>
          </w:p>
        </w:tc>
        <w:tc>
          <w:tcPr>
            <w:tcW w:w="3000" w:type="dxa"/>
            <w:vAlign w:val="bottom"/>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1400" w:type="dxa"/>
            <w:vAlign w:val="bottom"/>
            <w:tcBorders>
              <w:bottom w:val="single" w:sz="8" w:color="auto"/>
            </w:tcBorders>
            <w:gridSpan w:val="6"/>
          </w:tcPr>
          <w:p>
            <w:pPr>
              <w:jc w:val="right"/>
              <w:ind w:right="60"/>
              <w:spacing w:after="0"/>
              <w:rPr>
                <w:sz w:val="20"/>
                <w:szCs w:val="20"/>
                <w:color w:val="auto"/>
              </w:rPr>
            </w:pPr>
            <w:r>
              <w:rPr>
                <w:rFonts w:ascii="Arial" w:cs="Arial" w:eastAsia="Arial" w:hAnsi="Arial"/>
                <w:sz w:val="12"/>
                <w:szCs w:val="12"/>
                <w:b w:val="1"/>
                <w:bCs w:val="1"/>
                <w:color w:val="auto"/>
                <w:w w:val="90"/>
              </w:rPr>
              <w:t>Year ended December 31,</w:t>
            </w:r>
          </w:p>
        </w:tc>
        <w:tc>
          <w:tcPr>
            <w:tcW w:w="46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3020" w:type="dxa"/>
            <w:vAlign w:val="bottom"/>
          </w:tcPr>
          <w:p>
            <w:pPr>
              <w:spacing w:after="0"/>
              <w:rPr>
                <w:sz w:val="10"/>
                <w:szCs w:val="10"/>
                <w:color w:val="auto"/>
              </w:rPr>
            </w:pPr>
          </w:p>
        </w:tc>
        <w:tc>
          <w:tcPr>
            <w:tcW w:w="3000" w:type="dxa"/>
            <w:vAlign w:val="bottom"/>
          </w:tcPr>
          <w:p>
            <w:pPr>
              <w:spacing w:after="0"/>
              <w:rPr>
                <w:sz w:val="10"/>
                <w:szCs w:val="10"/>
                <w:color w:val="auto"/>
              </w:rPr>
            </w:pPr>
          </w:p>
        </w:tc>
        <w:tc>
          <w:tcPr>
            <w:tcW w:w="480" w:type="dxa"/>
            <w:vAlign w:val="bottom"/>
            <w:tcBorders>
              <w:bottom w:val="single" w:sz="8" w:color="auto"/>
            </w:tcBorders>
          </w:tcPr>
          <w:p>
            <w:pPr>
              <w:jc w:val="right"/>
              <w:ind w:right="47"/>
              <w:spacing w:after="0" w:line="115" w:lineRule="exact"/>
              <w:rPr>
                <w:sz w:val="20"/>
                <w:szCs w:val="20"/>
                <w:color w:val="auto"/>
              </w:rPr>
            </w:pPr>
            <w:r>
              <w:rPr>
                <w:rFonts w:ascii="Arial" w:cs="Arial" w:eastAsia="Arial" w:hAnsi="Arial"/>
                <w:sz w:val="12"/>
                <w:szCs w:val="12"/>
                <w:b w:val="1"/>
                <w:bCs w:val="1"/>
                <w:color w:val="auto"/>
              </w:rPr>
              <w:t>2015</w:t>
            </w:r>
          </w:p>
        </w:tc>
        <w:tc>
          <w:tcPr>
            <w:tcW w:w="220" w:type="dxa"/>
            <w:vAlign w:val="bottom"/>
            <w:tcBorders>
              <w:bottom w:val="single" w:sz="8" w:color="auto"/>
            </w:tcBorders>
          </w:tcPr>
          <w:p>
            <w:pPr>
              <w:spacing w:after="0"/>
              <w:rPr>
                <w:sz w:val="10"/>
                <w:szCs w:val="10"/>
                <w:color w:val="auto"/>
              </w:rPr>
            </w:pPr>
          </w:p>
        </w:tc>
        <w:tc>
          <w:tcPr>
            <w:tcW w:w="680" w:type="dxa"/>
            <w:vAlign w:val="bottom"/>
            <w:tcBorders>
              <w:bottom w:val="single" w:sz="8" w:color="auto"/>
            </w:tcBorders>
            <w:gridSpan w:val="2"/>
          </w:tcPr>
          <w:p>
            <w:pPr>
              <w:jc w:val="right"/>
              <w:ind w:right="45"/>
              <w:spacing w:after="0" w:line="115" w:lineRule="exact"/>
              <w:rPr>
                <w:sz w:val="20"/>
                <w:szCs w:val="20"/>
                <w:color w:val="auto"/>
              </w:rPr>
            </w:pPr>
            <w:r>
              <w:rPr>
                <w:rFonts w:ascii="Arial" w:cs="Arial" w:eastAsia="Arial" w:hAnsi="Arial"/>
                <w:sz w:val="12"/>
                <w:szCs w:val="12"/>
                <w:b w:val="1"/>
                <w:bCs w:val="1"/>
                <w:color w:val="auto"/>
              </w:rPr>
              <w:t>2016</w:t>
            </w:r>
          </w:p>
        </w:tc>
        <w:tc>
          <w:tcPr>
            <w:tcW w:w="26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tcPr>
          <w:p>
            <w:pPr>
              <w:jc w:val="right"/>
              <w:ind w:right="86"/>
              <w:spacing w:after="0" w:line="115" w:lineRule="exact"/>
              <w:rPr>
                <w:sz w:val="20"/>
                <w:szCs w:val="20"/>
                <w:color w:val="auto"/>
              </w:rPr>
            </w:pPr>
            <w:r>
              <w:rPr>
                <w:rFonts w:ascii="Arial" w:cs="Arial" w:eastAsia="Arial" w:hAnsi="Arial"/>
                <w:sz w:val="12"/>
                <w:szCs w:val="12"/>
                <w:b w:val="1"/>
                <w:bCs w:val="1"/>
                <w:color w:val="auto"/>
              </w:rPr>
              <w:t>2017</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3020" w:type="dxa"/>
            <w:vAlign w:val="bottom"/>
          </w:tcPr>
          <w:p>
            <w:pPr>
              <w:spacing w:after="0"/>
              <w:rPr>
                <w:sz w:val="10"/>
                <w:szCs w:val="10"/>
                <w:color w:val="auto"/>
              </w:rPr>
            </w:pPr>
          </w:p>
        </w:tc>
        <w:tc>
          <w:tcPr>
            <w:tcW w:w="30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40" w:type="dxa"/>
            <w:vAlign w:val="bottom"/>
            <w:gridSpan w:val="3"/>
          </w:tcPr>
          <w:p>
            <w:pPr>
              <w:jc w:val="right"/>
              <w:ind w:right="180"/>
              <w:spacing w:after="0" w:line="115" w:lineRule="exact"/>
              <w:rPr>
                <w:sz w:val="20"/>
                <w:szCs w:val="20"/>
                <w:color w:val="auto"/>
              </w:rPr>
            </w:pPr>
            <w:r>
              <w:rPr>
                <w:rFonts w:ascii="Arial" w:cs="Arial" w:eastAsia="Arial" w:hAnsi="Arial"/>
                <w:sz w:val="12"/>
                <w:szCs w:val="12"/>
                <w:i w:val="1"/>
                <w:iCs w:val="1"/>
                <w:color w:val="auto"/>
              </w:rPr>
              <w:t>(In millions)</w:t>
            </w: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020" w:type="dxa"/>
            <w:vAlign w:val="bottom"/>
            <w:shd w:val="clear" w:color="auto" w:fill="CCEEFF"/>
          </w:tcPr>
          <w:p>
            <w:pPr>
              <w:spacing w:after="0"/>
              <w:rPr>
                <w:sz w:val="20"/>
                <w:szCs w:val="20"/>
                <w:color w:val="auto"/>
              </w:rPr>
            </w:pPr>
            <w:r>
              <w:rPr>
                <w:rFonts w:ascii="Arial" w:cs="Arial" w:eastAsia="Arial" w:hAnsi="Arial"/>
                <w:sz w:val="15"/>
                <w:szCs w:val="15"/>
                <w:color w:val="auto"/>
              </w:rPr>
              <w:t>Revenue</w:t>
            </w:r>
          </w:p>
        </w:tc>
        <w:tc>
          <w:tcPr>
            <w:tcW w:w="34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$ 603.8</w:t>
            </w:r>
          </w:p>
        </w:tc>
        <w:tc>
          <w:tcPr>
            <w:tcW w:w="220" w:type="dxa"/>
            <w:vAlign w:val="bottom"/>
            <w:shd w:val="clear" w:color="auto" w:fill="CCEEFF"/>
          </w:tcPr>
          <w:p>
            <w:pPr>
              <w:spacing w:after="0"/>
              <w:rPr>
                <w:sz w:val="15"/>
                <w:szCs w:val="15"/>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$ 844.8</w:t>
            </w:r>
          </w:p>
        </w:tc>
        <w:tc>
          <w:tcPr>
            <w:tcW w:w="260" w:type="dxa"/>
            <w:vAlign w:val="bottom"/>
            <w:shd w:val="clear" w:color="auto" w:fill="CCEEFF"/>
          </w:tcPr>
          <w:p>
            <w:pPr>
              <w:spacing w:after="0"/>
              <w:rPr>
                <w:sz w:val="15"/>
                <w:szCs w:val="15"/>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5"/>
                <w:szCs w:val="15"/>
                <w:color w:val="auto"/>
                <w:w w:val="87"/>
              </w:rPr>
              <w:t>1,106.8</w:t>
            </w: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3020" w:type="dxa"/>
            <w:vAlign w:val="bottom"/>
          </w:tcPr>
          <w:p>
            <w:pPr>
              <w:ind w:left="280"/>
              <w:spacing w:after="0"/>
              <w:rPr>
                <w:sz w:val="20"/>
                <w:szCs w:val="20"/>
                <w:color w:val="auto"/>
              </w:rPr>
            </w:pPr>
            <w:r>
              <w:rPr>
                <w:rFonts w:ascii="Arial" w:cs="Arial" w:eastAsia="Arial" w:hAnsi="Arial"/>
                <w:sz w:val="15"/>
                <w:szCs w:val="15"/>
                <w:color w:val="auto"/>
              </w:rPr>
              <w:t>Cost of revenue</w:t>
            </w:r>
            <w:r>
              <w:rPr>
                <w:rFonts w:ascii="Arial" w:cs="Arial" w:eastAsia="Arial" w:hAnsi="Arial"/>
                <w:sz w:val="12"/>
                <w:szCs w:val="12"/>
                <w:color w:val="auto"/>
              </w:rPr>
              <w:t>(1)</w:t>
            </w:r>
          </w:p>
        </w:tc>
        <w:tc>
          <w:tcPr>
            <w:tcW w:w="3000" w:type="dxa"/>
            <w:vAlign w:val="bottom"/>
          </w:tcPr>
          <w:p>
            <w:pPr>
              <w:spacing w:after="0"/>
              <w:rPr>
                <w:sz w:val="15"/>
                <w:szCs w:val="15"/>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407.4</w:t>
            </w: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390.6</w:t>
            </w: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368.9</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020" w:type="dxa"/>
            <w:vAlign w:val="bottom"/>
            <w:shd w:val="clear" w:color="auto" w:fill="CCEEFF"/>
          </w:tcPr>
          <w:p>
            <w:pPr>
              <w:spacing w:after="0"/>
              <w:rPr>
                <w:sz w:val="20"/>
                <w:szCs w:val="20"/>
                <w:color w:val="auto"/>
              </w:rPr>
            </w:pPr>
            <w:r>
              <w:rPr>
                <w:rFonts w:ascii="Arial" w:cs="Arial" w:eastAsia="Arial" w:hAnsi="Arial"/>
                <w:sz w:val="15"/>
                <w:szCs w:val="15"/>
                <w:color w:val="auto"/>
              </w:rPr>
              <w:t>Gross profit</w:t>
            </w:r>
          </w:p>
        </w:tc>
        <w:tc>
          <w:tcPr>
            <w:tcW w:w="34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196.4</w:t>
            </w:r>
          </w:p>
        </w:tc>
        <w:tc>
          <w:tcPr>
            <w:tcW w:w="220" w:type="dxa"/>
            <w:vAlign w:val="bottom"/>
            <w:shd w:val="clear" w:color="auto" w:fill="CCEEFF"/>
          </w:tcPr>
          <w:p>
            <w:pPr>
              <w:spacing w:after="0"/>
              <w:rPr>
                <w:sz w:val="15"/>
                <w:szCs w:val="15"/>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454.2</w:t>
            </w:r>
          </w:p>
        </w:tc>
        <w:tc>
          <w:tcPr>
            <w:tcW w:w="2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737.9</w:t>
            </w: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020" w:type="dxa"/>
            <w:vAlign w:val="bottom"/>
          </w:tcPr>
          <w:p>
            <w:pPr>
              <w:spacing w:after="0"/>
              <w:rPr>
                <w:sz w:val="20"/>
                <w:szCs w:val="20"/>
                <w:color w:val="auto"/>
              </w:rPr>
            </w:pPr>
            <w:r>
              <w:rPr>
                <w:rFonts w:ascii="Arial" w:cs="Arial" w:eastAsia="Arial" w:hAnsi="Arial"/>
                <w:sz w:val="15"/>
                <w:szCs w:val="15"/>
                <w:color w:val="auto"/>
              </w:rPr>
              <w:t>Operating expenses:</w:t>
            </w:r>
            <w:r>
              <w:rPr>
                <w:rFonts w:ascii="Arial" w:cs="Arial" w:eastAsia="Arial" w:hAnsi="Arial"/>
                <w:sz w:val="12"/>
                <w:szCs w:val="12"/>
                <w:color w:val="auto"/>
              </w:rPr>
              <w:t>(1)</w:t>
            </w:r>
          </w:p>
        </w:tc>
        <w:tc>
          <w:tcPr>
            <w:tcW w:w="30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020" w:type="dxa"/>
            <w:vAlign w:val="bottom"/>
            <w:shd w:val="clear" w:color="auto" w:fill="CCEEFF"/>
          </w:tcPr>
          <w:p>
            <w:pPr>
              <w:ind w:left="280"/>
              <w:spacing w:after="0"/>
              <w:rPr>
                <w:sz w:val="20"/>
                <w:szCs w:val="20"/>
                <w:color w:val="auto"/>
              </w:rPr>
            </w:pPr>
            <w:r>
              <w:rPr>
                <w:rFonts w:ascii="Arial" w:cs="Arial" w:eastAsia="Arial" w:hAnsi="Arial"/>
                <w:sz w:val="15"/>
                <w:szCs w:val="15"/>
                <w:color w:val="auto"/>
              </w:rPr>
              <w:t>Research and development</w:t>
            </w:r>
          </w:p>
        </w:tc>
        <w:tc>
          <w:tcPr>
            <w:tcW w:w="34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201.6</w:t>
            </w:r>
          </w:p>
        </w:tc>
        <w:tc>
          <w:tcPr>
            <w:tcW w:w="220" w:type="dxa"/>
            <w:vAlign w:val="bottom"/>
            <w:shd w:val="clear" w:color="auto" w:fill="CCEEFF"/>
          </w:tcPr>
          <w:p>
            <w:pPr>
              <w:spacing w:after="0"/>
              <w:rPr>
                <w:sz w:val="15"/>
                <w:szCs w:val="15"/>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289.7</w:t>
            </w:r>
          </w:p>
        </w:tc>
        <w:tc>
          <w:tcPr>
            <w:tcW w:w="2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380.3</w:t>
            </w: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020" w:type="dxa"/>
            <w:vAlign w:val="bottom"/>
          </w:tcPr>
          <w:p>
            <w:pPr>
              <w:ind w:left="280"/>
              <w:spacing w:after="0"/>
              <w:rPr>
                <w:sz w:val="20"/>
                <w:szCs w:val="20"/>
                <w:color w:val="auto"/>
              </w:rPr>
            </w:pPr>
            <w:r>
              <w:rPr>
                <w:rFonts w:ascii="Arial" w:cs="Arial" w:eastAsia="Arial" w:hAnsi="Arial"/>
                <w:sz w:val="15"/>
                <w:szCs w:val="15"/>
                <w:color w:val="auto"/>
              </w:rPr>
              <w:t>Sales and marketing</w:t>
            </w:r>
          </w:p>
        </w:tc>
        <w:tc>
          <w:tcPr>
            <w:tcW w:w="3480" w:type="dxa"/>
            <w:vAlign w:val="bottom"/>
            <w:gridSpan w:val="2"/>
          </w:tcPr>
          <w:p>
            <w:pPr>
              <w:jc w:val="right"/>
              <w:spacing w:after="0"/>
              <w:rPr>
                <w:sz w:val="20"/>
                <w:szCs w:val="20"/>
                <w:color w:val="auto"/>
              </w:rPr>
            </w:pPr>
            <w:r>
              <w:rPr>
                <w:rFonts w:ascii="Arial" w:cs="Arial" w:eastAsia="Arial" w:hAnsi="Arial"/>
                <w:sz w:val="15"/>
                <w:szCs w:val="15"/>
                <w:color w:val="auto"/>
              </w:rPr>
              <w:t>193.1</w:t>
            </w:r>
          </w:p>
        </w:tc>
        <w:tc>
          <w:tcPr>
            <w:tcW w:w="220" w:type="dxa"/>
            <w:vAlign w:val="bottom"/>
          </w:tcPr>
          <w:p>
            <w:pPr>
              <w:spacing w:after="0"/>
              <w:rPr>
                <w:sz w:val="15"/>
                <w:szCs w:val="15"/>
                <w:color w:val="auto"/>
              </w:rPr>
            </w:pPr>
          </w:p>
        </w:tc>
        <w:tc>
          <w:tcPr>
            <w:tcW w:w="680" w:type="dxa"/>
            <w:vAlign w:val="bottom"/>
            <w:gridSpan w:val="2"/>
          </w:tcPr>
          <w:p>
            <w:pPr>
              <w:jc w:val="right"/>
              <w:spacing w:after="0"/>
              <w:rPr>
                <w:sz w:val="20"/>
                <w:szCs w:val="20"/>
                <w:color w:val="auto"/>
              </w:rPr>
            </w:pPr>
            <w:r>
              <w:rPr>
                <w:rFonts w:ascii="Arial" w:cs="Arial" w:eastAsia="Arial" w:hAnsi="Arial"/>
                <w:sz w:val="15"/>
                <w:szCs w:val="15"/>
                <w:color w:val="auto"/>
              </w:rPr>
              <w:t>250.6</w:t>
            </w: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Arial" w:cs="Arial" w:eastAsia="Arial" w:hAnsi="Arial"/>
                <w:sz w:val="15"/>
                <w:szCs w:val="15"/>
                <w:color w:val="auto"/>
              </w:rPr>
              <w:t>314.0</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020" w:type="dxa"/>
            <w:vAlign w:val="bottom"/>
            <w:shd w:val="clear" w:color="auto" w:fill="CCEEFF"/>
          </w:tcPr>
          <w:p>
            <w:pPr>
              <w:ind w:left="280"/>
              <w:spacing w:after="0"/>
              <w:rPr>
                <w:sz w:val="20"/>
                <w:szCs w:val="20"/>
                <w:color w:val="auto"/>
              </w:rPr>
            </w:pPr>
            <w:r>
              <w:rPr>
                <w:rFonts w:ascii="Arial" w:cs="Arial" w:eastAsia="Arial" w:hAnsi="Arial"/>
                <w:sz w:val="15"/>
                <w:szCs w:val="15"/>
                <w:color w:val="auto"/>
              </w:rPr>
              <w:t>General and administrative</w:t>
            </w:r>
          </w:p>
        </w:tc>
        <w:tc>
          <w:tcPr>
            <w:tcW w:w="3000" w:type="dxa"/>
            <w:vAlign w:val="bottom"/>
            <w:shd w:val="clear" w:color="auto" w:fill="CCEEFF"/>
          </w:tcPr>
          <w:p>
            <w:pPr>
              <w:spacing w:after="0"/>
              <w:rPr>
                <w:sz w:val="15"/>
                <w:szCs w:val="15"/>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107.9</w:t>
            </w:r>
          </w:p>
        </w:tc>
        <w:tc>
          <w:tcPr>
            <w:tcW w:w="2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107.4</w:t>
            </w:r>
          </w:p>
        </w:tc>
        <w:tc>
          <w:tcPr>
            <w:tcW w:w="2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157.3</w:t>
            </w: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3040" w:type="dxa"/>
            <w:vAlign w:val="bottom"/>
            <w:gridSpan w:val="2"/>
          </w:tcPr>
          <w:p>
            <w:pPr>
              <w:spacing w:after="0"/>
              <w:rPr>
                <w:sz w:val="20"/>
                <w:szCs w:val="20"/>
                <w:color w:val="auto"/>
              </w:rPr>
            </w:pPr>
            <w:r>
              <w:rPr>
                <w:rFonts w:ascii="Arial" w:cs="Arial" w:eastAsia="Arial" w:hAnsi="Arial"/>
                <w:sz w:val="15"/>
                <w:szCs w:val="15"/>
                <w:color w:val="auto"/>
              </w:rPr>
              <w:t>Total operating expenses</w:t>
            </w:r>
          </w:p>
        </w:tc>
        <w:tc>
          <w:tcPr>
            <w:tcW w:w="3000" w:type="dxa"/>
            <w:vAlign w:val="bottom"/>
          </w:tcPr>
          <w:p>
            <w:pPr>
              <w:spacing w:after="0"/>
              <w:rPr>
                <w:sz w:val="16"/>
                <w:szCs w:val="16"/>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502.6</w:t>
            </w: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647.7</w:t>
            </w:r>
          </w:p>
        </w:tc>
        <w:tc>
          <w:tcPr>
            <w:tcW w:w="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851.6</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020" w:type="dxa"/>
            <w:vAlign w:val="bottom"/>
            <w:shd w:val="clear" w:color="auto" w:fill="CCEEFF"/>
          </w:tcPr>
          <w:p>
            <w:pPr>
              <w:spacing w:after="0"/>
              <w:rPr>
                <w:sz w:val="20"/>
                <w:szCs w:val="20"/>
                <w:color w:val="auto"/>
              </w:rPr>
            </w:pPr>
            <w:r>
              <w:rPr>
                <w:rFonts w:ascii="Arial" w:cs="Arial" w:eastAsia="Arial" w:hAnsi="Arial"/>
                <w:sz w:val="15"/>
                <w:szCs w:val="15"/>
                <w:color w:val="auto"/>
              </w:rPr>
              <w:t>Loss from operations</w:t>
            </w:r>
          </w:p>
        </w:tc>
        <w:tc>
          <w:tcPr>
            <w:tcW w:w="3700" w:type="dxa"/>
            <w:vAlign w:val="bottom"/>
            <w:gridSpan w:val="3"/>
            <w:shd w:val="clear" w:color="auto" w:fill="CCEEFF"/>
          </w:tcPr>
          <w:p>
            <w:pPr>
              <w:jc w:val="right"/>
              <w:ind w:right="120"/>
              <w:spacing w:after="0"/>
              <w:rPr>
                <w:sz w:val="20"/>
                <w:szCs w:val="20"/>
                <w:color w:val="auto"/>
              </w:rPr>
            </w:pPr>
            <w:r>
              <w:rPr>
                <w:rFonts w:ascii="Arial" w:cs="Arial" w:eastAsia="Arial" w:hAnsi="Arial"/>
                <w:sz w:val="15"/>
                <w:szCs w:val="15"/>
                <w:color w:val="auto"/>
              </w:rPr>
              <w:t>(306.2)</w:t>
            </w:r>
          </w:p>
        </w:tc>
        <w:tc>
          <w:tcPr>
            <w:tcW w:w="940" w:type="dxa"/>
            <w:vAlign w:val="bottom"/>
            <w:gridSpan w:val="3"/>
            <w:shd w:val="clear" w:color="auto" w:fill="CCEEFF"/>
          </w:tcPr>
          <w:p>
            <w:pPr>
              <w:jc w:val="right"/>
              <w:ind w:right="220"/>
              <w:spacing w:after="0"/>
              <w:rPr>
                <w:sz w:val="20"/>
                <w:szCs w:val="20"/>
                <w:color w:val="auto"/>
              </w:rPr>
            </w:pPr>
            <w:r>
              <w:rPr>
                <w:rFonts w:ascii="Arial" w:cs="Arial" w:eastAsia="Arial" w:hAnsi="Arial"/>
                <w:sz w:val="15"/>
                <w:szCs w:val="15"/>
                <w:color w:val="auto"/>
              </w:rPr>
              <w:t>(193.5)</w:t>
            </w:r>
          </w:p>
        </w:tc>
        <w:tc>
          <w:tcPr>
            <w:tcW w:w="1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(113.7)</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020" w:type="dxa"/>
            <w:vAlign w:val="bottom"/>
          </w:tcPr>
          <w:p>
            <w:pPr>
              <w:spacing w:after="0"/>
              <w:rPr>
                <w:sz w:val="20"/>
                <w:szCs w:val="20"/>
                <w:color w:val="auto"/>
              </w:rPr>
            </w:pPr>
            <w:r>
              <w:rPr>
                <w:rFonts w:ascii="Arial" w:cs="Arial" w:eastAsia="Arial" w:hAnsi="Arial"/>
                <w:sz w:val="15"/>
                <w:szCs w:val="15"/>
                <w:color w:val="auto"/>
              </w:rPr>
              <w:t>Interest expense, net</w:t>
            </w:r>
          </w:p>
        </w:tc>
        <w:tc>
          <w:tcPr>
            <w:tcW w:w="3700" w:type="dxa"/>
            <w:vAlign w:val="bottom"/>
            <w:gridSpan w:val="3"/>
          </w:tcPr>
          <w:p>
            <w:pPr>
              <w:jc w:val="right"/>
              <w:ind w:right="120"/>
              <w:spacing w:after="0"/>
              <w:rPr>
                <w:sz w:val="20"/>
                <w:szCs w:val="20"/>
                <w:color w:val="auto"/>
              </w:rPr>
            </w:pPr>
            <w:r>
              <w:rPr>
                <w:rFonts w:ascii="Arial" w:cs="Arial" w:eastAsia="Arial" w:hAnsi="Arial"/>
                <w:sz w:val="15"/>
                <w:szCs w:val="15"/>
                <w:color w:val="auto"/>
              </w:rPr>
              <w:t>(15.2)</w:t>
            </w:r>
          </w:p>
        </w:tc>
        <w:tc>
          <w:tcPr>
            <w:tcW w:w="940" w:type="dxa"/>
            <w:vAlign w:val="bottom"/>
            <w:gridSpan w:val="3"/>
          </w:tcPr>
          <w:p>
            <w:pPr>
              <w:jc w:val="right"/>
              <w:ind w:right="220"/>
              <w:spacing w:after="0"/>
              <w:rPr>
                <w:sz w:val="20"/>
                <w:szCs w:val="20"/>
                <w:color w:val="auto"/>
              </w:rPr>
            </w:pPr>
            <w:r>
              <w:rPr>
                <w:rFonts w:ascii="Arial" w:cs="Arial" w:eastAsia="Arial" w:hAnsi="Arial"/>
                <w:sz w:val="15"/>
                <w:szCs w:val="15"/>
                <w:color w:val="auto"/>
              </w:rPr>
              <w:t>(16.4)</w:t>
            </w: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gridSpan w:val="2"/>
          </w:tcPr>
          <w:p>
            <w:pPr>
              <w:jc w:val="right"/>
              <w:ind w:right="40"/>
              <w:spacing w:after="0"/>
              <w:rPr>
                <w:sz w:val="20"/>
                <w:szCs w:val="20"/>
                <w:color w:val="auto"/>
              </w:rPr>
            </w:pPr>
            <w:r>
              <w:rPr>
                <w:rFonts w:ascii="Arial" w:cs="Arial" w:eastAsia="Arial" w:hAnsi="Arial"/>
                <w:sz w:val="15"/>
                <w:szCs w:val="15"/>
                <w:color w:val="auto"/>
              </w:rPr>
              <w:t>(11.0)</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020" w:type="dxa"/>
            <w:vAlign w:val="bottom"/>
            <w:shd w:val="clear" w:color="auto" w:fill="CCEEFF"/>
          </w:tcPr>
          <w:p>
            <w:pPr>
              <w:spacing w:after="0"/>
              <w:rPr>
                <w:sz w:val="20"/>
                <w:szCs w:val="20"/>
                <w:color w:val="auto"/>
              </w:rPr>
            </w:pPr>
            <w:r>
              <w:rPr>
                <w:rFonts w:ascii="Arial" w:cs="Arial" w:eastAsia="Arial" w:hAnsi="Arial"/>
                <w:sz w:val="15"/>
                <w:szCs w:val="15"/>
                <w:color w:val="auto"/>
              </w:rPr>
              <w:t>Other income (expense), net</w:t>
            </w:r>
          </w:p>
        </w:tc>
        <w:tc>
          <w:tcPr>
            <w:tcW w:w="3000" w:type="dxa"/>
            <w:vAlign w:val="bottom"/>
            <w:shd w:val="clear" w:color="auto" w:fill="CCEEFF"/>
          </w:tcPr>
          <w:p>
            <w:pPr>
              <w:spacing w:after="0"/>
              <w:rPr>
                <w:sz w:val="15"/>
                <w:szCs w:val="15"/>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(4.2)</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4.9</w:t>
            </w:r>
          </w:p>
        </w:tc>
        <w:tc>
          <w:tcPr>
            <w:tcW w:w="2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13.2</w:t>
            </w: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040" w:type="dxa"/>
            <w:vAlign w:val="bottom"/>
            <w:gridSpan w:val="2"/>
            <w:vMerge w:val="restart"/>
          </w:tcPr>
          <w:p>
            <w:pPr>
              <w:spacing w:after="0"/>
              <w:rPr>
                <w:sz w:val="20"/>
                <w:szCs w:val="20"/>
                <w:color w:val="auto"/>
              </w:rPr>
            </w:pPr>
            <w:r>
              <w:rPr>
                <w:rFonts w:ascii="Arial" w:cs="Arial" w:eastAsia="Arial" w:hAnsi="Arial"/>
                <w:sz w:val="15"/>
                <w:szCs w:val="15"/>
                <w:color w:val="auto"/>
              </w:rPr>
              <w:t>Loss before income taxes</w:t>
            </w:r>
          </w:p>
        </w:tc>
        <w:tc>
          <w:tcPr>
            <w:tcW w:w="300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3040" w:type="dxa"/>
            <w:vAlign w:val="bottom"/>
            <w:gridSpan w:val="2"/>
            <w:vMerge w:val="continue"/>
          </w:tcPr>
          <w:p>
            <w:pPr>
              <w:spacing w:after="0"/>
              <w:rPr>
                <w:sz w:val="15"/>
                <w:szCs w:val="15"/>
                <w:color w:val="auto"/>
              </w:rPr>
            </w:pPr>
          </w:p>
        </w:tc>
        <w:tc>
          <w:tcPr>
            <w:tcW w:w="3000" w:type="dxa"/>
            <w:vAlign w:val="bottom"/>
          </w:tcPr>
          <w:p>
            <w:pPr>
              <w:spacing w:after="0"/>
              <w:rPr>
                <w:sz w:val="15"/>
                <w:szCs w:val="15"/>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5"/>
                <w:szCs w:val="15"/>
                <w:color w:val="auto"/>
              </w:rPr>
              <w:t>(325.6)</w:t>
            </w:r>
          </w:p>
        </w:tc>
        <w:tc>
          <w:tcPr>
            <w:tcW w:w="940" w:type="dxa"/>
            <w:vAlign w:val="bottom"/>
            <w:gridSpan w:val="3"/>
          </w:tcPr>
          <w:p>
            <w:pPr>
              <w:jc w:val="right"/>
              <w:ind w:right="220"/>
              <w:spacing w:after="0"/>
              <w:rPr>
                <w:sz w:val="20"/>
                <w:szCs w:val="20"/>
                <w:color w:val="auto"/>
              </w:rPr>
            </w:pPr>
            <w:r>
              <w:rPr>
                <w:rFonts w:ascii="Arial" w:cs="Arial" w:eastAsia="Arial" w:hAnsi="Arial"/>
                <w:sz w:val="15"/>
                <w:szCs w:val="15"/>
                <w:color w:val="auto"/>
              </w:rPr>
              <w:t>(205.0)</w:t>
            </w: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gridSpan w:val="2"/>
          </w:tcPr>
          <w:p>
            <w:pPr>
              <w:jc w:val="right"/>
              <w:ind w:right="40"/>
              <w:spacing w:after="0"/>
              <w:rPr>
                <w:sz w:val="20"/>
                <w:szCs w:val="20"/>
                <w:color w:val="auto"/>
              </w:rPr>
            </w:pPr>
            <w:r>
              <w:rPr>
                <w:rFonts w:ascii="Arial" w:cs="Arial" w:eastAsia="Arial" w:hAnsi="Arial"/>
                <w:sz w:val="15"/>
                <w:szCs w:val="15"/>
                <w:color w:val="auto"/>
              </w:rPr>
              <w:t>(111.5)</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3020" w:type="dxa"/>
            <w:vAlign w:val="bottom"/>
            <w:shd w:val="clear" w:color="auto" w:fill="CCEEFF"/>
          </w:tcPr>
          <w:p>
            <w:pPr>
              <w:spacing w:after="0"/>
              <w:rPr>
                <w:sz w:val="20"/>
                <w:szCs w:val="20"/>
                <w:color w:val="auto"/>
              </w:rPr>
            </w:pPr>
            <w:r>
              <w:rPr>
                <w:rFonts w:ascii="Arial" w:cs="Arial" w:eastAsia="Arial" w:hAnsi="Arial"/>
                <w:sz w:val="15"/>
                <w:szCs w:val="15"/>
                <w:color w:val="auto"/>
              </w:rPr>
              <w:t>Provision for income taxes</w:t>
            </w:r>
          </w:p>
        </w:tc>
        <w:tc>
          <w:tcPr>
            <w:tcW w:w="3000" w:type="dxa"/>
            <w:vAlign w:val="bottom"/>
            <w:shd w:val="clear" w:color="auto" w:fill="CCEEFF"/>
          </w:tcPr>
          <w:p>
            <w:pPr>
              <w:spacing w:after="0"/>
              <w:rPr>
                <w:sz w:val="15"/>
                <w:szCs w:val="15"/>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(0.3)</w:t>
            </w:r>
          </w:p>
        </w:tc>
        <w:tc>
          <w:tcPr>
            <w:tcW w:w="940" w:type="dxa"/>
            <w:vAlign w:val="bottom"/>
            <w:gridSpan w:val="3"/>
            <w:shd w:val="clear" w:color="auto" w:fill="CCEEFF"/>
          </w:tcPr>
          <w:p>
            <w:pPr>
              <w:jc w:val="right"/>
              <w:ind w:right="220"/>
              <w:spacing w:after="0"/>
              <w:rPr>
                <w:sz w:val="20"/>
                <w:szCs w:val="20"/>
                <w:color w:val="auto"/>
              </w:rPr>
            </w:pPr>
            <w:r>
              <w:rPr>
                <w:rFonts w:ascii="Arial" w:cs="Arial" w:eastAsia="Arial" w:hAnsi="Arial"/>
                <w:sz w:val="15"/>
                <w:szCs w:val="15"/>
                <w:color w:val="auto"/>
              </w:rPr>
              <w:t>(5.2)</w:t>
            </w:r>
          </w:p>
        </w:tc>
        <w:tc>
          <w:tcPr>
            <w:tcW w:w="1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(0.2)</w:t>
            </w:r>
          </w:p>
        </w:tc>
        <w:tc>
          <w:tcPr>
            <w:tcW w:w="0" w:type="dxa"/>
            <w:vAlign w:val="bottom"/>
          </w:tcPr>
          <w:p>
            <w:pPr>
              <w:spacing w:after="0"/>
              <w:rPr>
                <w:sz w:val="1"/>
                <w:szCs w:val="1"/>
                <w:color w:val="auto"/>
              </w:rPr>
            </w:pPr>
          </w:p>
        </w:tc>
      </w:tr>
      <w:tr>
        <w:trPr>
          <w:trHeight w:val="20"/>
        </w:trPr>
        <w:tc>
          <w:tcPr>
            <w:tcW w:w="3040" w:type="dxa"/>
            <w:vAlign w:val="bottom"/>
            <w:gridSpan w:val="2"/>
            <w:vMerge w:val="restart"/>
          </w:tcPr>
          <w:p>
            <w:pPr>
              <w:spacing w:after="0"/>
              <w:rPr>
                <w:sz w:val="20"/>
                <w:szCs w:val="20"/>
                <w:color w:val="auto"/>
              </w:rPr>
            </w:pPr>
            <w:r>
              <w:rPr>
                <w:rFonts w:ascii="Arial" w:cs="Arial" w:eastAsia="Arial" w:hAnsi="Arial"/>
                <w:sz w:val="15"/>
                <w:szCs w:val="15"/>
                <w:color w:val="auto"/>
              </w:rPr>
              <w:t>Net loss</w:t>
            </w:r>
          </w:p>
        </w:tc>
        <w:tc>
          <w:tcPr>
            <w:tcW w:w="300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3040" w:type="dxa"/>
            <w:vAlign w:val="bottom"/>
            <w:gridSpan w:val="2"/>
            <w:vMerge w:val="continue"/>
          </w:tcPr>
          <w:p>
            <w:pPr>
              <w:spacing w:after="0"/>
              <w:rPr>
                <w:sz w:val="15"/>
                <w:szCs w:val="15"/>
                <w:color w:val="auto"/>
              </w:rPr>
            </w:pPr>
          </w:p>
        </w:tc>
        <w:tc>
          <w:tcPr>
            <w:tcW w:w="3700" w:type="dxa"/>
            <w:vAlign w:val="bottom"/>
            <w:gridSpan w:val="3"/>
          </w:tcPr>
          <w:p>
            <w:pPr>
              <w:jc w:val="right"/>
              <w:ind w:right="120"/>
              <w:spacing w:after="0"/>
              <w:rPr>
                <w:sz w:val="20"/>
                <w:szCs w:val="20"/>
                <w:color w:val="auto"/>
              </w:rPr>
            </w:pPr>
            <w:r>
              <w:rPr>
                <w:rFonts w:ascii="Arial" w:cs="Arial" w:eastAsia="Arial" w:hAnsi="Arial"/>
                <w:sz w:val="15"/>
                <w:szCs w:val="15"/>
                <w:u w:val="single" w:color="auto"/>
                <w:color w:val="auto"/>
              </w:rPr>
              <w:t>$</w:t>
            </w:r>
            <w:r>
              <w:rPr>
                <w:rFonts w:ascii="Arial" w:cs="Arial" w:eastAsia="Arial" w:hAnsi="Arial"/>
                <w:sz w:val="15"/>
                <w:szCs w:val="15"/>
                <w:color w:val="auto"/>
              </w:rPr>
              <w:t>(325.9)</w:t>
            </w:r>
          </w:p>
        </w:tc>
        <w:tc>
          <w:tcPr>
            <w:tcW w:w="940" w:type="dxa"/>
            <w:vAlign w:val="bottom"/>
            <w:gridSpan w:val="3"/>
          </w:tcPr>
          <w:p>
            <w:pPr>
              <w:jc w:val="right"/>
              <w:ind w:right="220"/>
              <w:spacing w:after="0"/>
              <w:rPr>
                <w:sz w:val="20"/>
                <w:szCs w:val="20"/>
                <w:color w:val="auto"/>
              </w:rPr>
            </w:pPr>
            <w:r>
              <w:rPr>
                <w:rFonts w:ascii="Arial" w:cs="Arial" w:eastAsia="Arial" w:hAnsi="Arial"/>
                <w:sz w:val="15"/>
                <w:szCs w:val="15"/>
                <w:u w:val="single" w:color="auto"/>
                <w:color w:val="auto"/>
              </w:rPr>
              <w:t>$</w:t>
            </w:r>
            <w:r>
              <w:rPr>
                <w:rFonts w:ascii="Arial" w:cs="Arial" w:eastAsia="Arial" w:hAnsi="Arial"/>
                <w:sz w:val="15"/>
                <w:szCs w:val="15"/>
                <w:color w:val="auto"/>
              </w:rPr>
              <w:t>(210.2)</w:t>
            </w:r>
          </w:p>
        </w:tc>
        <w:tc>
          <w:tcPr>
            <w:tcW w:w="24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540" w:type="dxa"/>
            <w:vAlign w:val="bottom"/>
            <w:gridSpan w:val="2"/>
          </w:tcPr>
          <w:p>
            <w:pPr>
              <w:jc w:val="right"/>
              <w:ind w:right="40"/>
              <w:spacing w:after="0"/>
              <w:rPr>
                <w:sz w:val="20"/>
                <w:szCs w:val="20"/>
                <w:color w:val="auto"/>
              </w:rPr>
            </w:pPr>
            <w:r>
              <w:rPr>
                <w:rFonts w:ascii="Arial" w:cs="Arial" w:eastAsia="Arial" w:hAnsi="Arial"/>
                <w:sz w:val="15"/>
                <w:szCs w:val="15"/>
                <w:color w:val="auto"/>
              </w:rPr>
              <w:t>(111.7)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3000" w:type="dxa"/>
            <w:vAlign w:val="bottom"/>
            <w:vMerge w:val="restart"/>
          </w:tcPr>
          <w:p>
            <w:pPr>
              <w:jc w:val="right"/>
              <w:ind w:right="1665"/>
              <w:spacing w:after="0"/>
              <w:rPr>
                <w:sz w:val="20"/>
                <w:szCs w:val="20"/>
                <w:color w:val="auto"/>
              </w:rPr>
            </w:pPr>
            <w:r>
              <w:rPr>
                <w:rFonts w:ascii="Arial" w:cs="Arial" w:eastAsia="Arial" w:hAnsi="Arial"/>
                <w:sz w:val="15"/>
                <w:szCs w:val="15"/>
                <w:color w:val="auto"/>
              </w:rPr>
              <w:t>75</w:t>
            </w:r>
          </w:p>
        </w:tc>
        <w:tc>
          <w:tcPr>
            <w:tcW w:w="4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0"/>
        </w:trPr>
        <w:tc>
          <w:tcPr>
            <w:tcW w:w="2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3000" w:type="dxa"/>
            <w:vAlign w:val="bottom"/>
            <w:vMerge w:val="continue"/>
          </w:tcPr>
          <w:p>
            <w:pPr>
              <w:spacing w:after="0"/>
              <w:rPr>
                <w:sz w:val="24"/>
                <w:szCs w:val="24"/>
                <w:color w:val="auto"/>
              </w:rPr>
            </w:pPr>
          </w:p>
        </w:tc>
        <w:tc>
          <w:tcPr>
            <w:tcW w:w="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240"/>
          </w:cols>
          <w:pgMar w:left="240" w:top="407" w:right="1419" w:bottom="1440" w:gutter="0" w:footer="0" w:header="0"/>
        </w:sectPr>
      </w:pPr>
    </w:p>
    <w:bookmarkStart w:id="82" w:name="page83"/>
    <w:bookmarkEnd w:id="82"/>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133350</wp:posOffset>
            </wp:positionH>
            <wp:positionV relativeFrom="page">
              <wp:posOffset>88900</wp:posOffset>
            </wp:positionV>
            <wp:extent cx="7308850" cy="342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308850" cy="34290"/>
                    </a:xfrm>
                    <a:prstGeom prst="rect">
                      <a:avLst/>
                    </a:prstGeom>
                    <a:noFill/>
                  </pic:spPr>
                </pic:pic>
              </a:graphicData>
            </a:graphic>
          </wp:anchor>
        </w:drawing>
      </w:r>
      <w:hyperlink w:anchor="page7">
        <w:r>
          <w:rPr>
            <w:rFonts w:ascii="Arial" w:cs="Arial" w:eastAsia="Arial" w:hAnsi="Arial"/>
            <w:sz w:val="15"/>
            <w:szCs w:val="15"/>
            <w:b w:val="1"/>
            <w:bCs w:val="1"/>
            <w:u w:val="single" w:color="auto"/>
            <w:color w:val="0000EE"/>
          </w:rPr>
          <w:t>Table of Contents</w:t>
        </w:r>
      </w:hyperlink>
    </w:p>
    <w:p>
      <w:pPr>
        <w:spacing w:after="0" w:line="167" w:lineRule="exact"/>
        <w:rPr>
          <w:sz w:val="20"/>
          <w:szCs w:val="20"/>
          <w:color w:val="auto"/>
        </w:rPr>
      </w:pPr>
    </w:p>
    <w:p>
      <w:pPr>
        <w:ind w:left="1120"/>
        <w:spacing w:after="0"/>
        <w:tabs>
          <w:tab w:leader="none" w:pos="1360" w:val="left"/>
        </w:tabs>
        <w:rPr>
          <w:sz w:val="20"/>
          <w:szCs w:val="20"/>
          <w:color w:val="auto"/>
        </w:rPr>
      </w:pPr>
      <w:r>
        <w:rPr>
          <w:rFonts w:ascii="Arial" w:cs="Arial" w:eastAsia="Arial" w:hAnsi="Arial"/>
          <w:sz w:val="23"/>
          <w:szCs w:val="23"/>
          <w:color w:val="auto"/>
          <w:vertAlign w:val="superscript"/>
        </w:rPr>
        <w:t>(1)</w:t>
      </w:r>
      <w:r>
        <w:rPr>
          <w:sz w:val="20"/>
          <w:szCs w:val="20"/>
          <w:color w:val="auto"/>
        </w:rPr>
        <w:tab/>
      </w:r>
      <w:r>
        <w:rPr>
          <w:rFonts w:ascii="Arial" w:cs="Arial" w:eastAsia="Arial" w:hAnsi="Arial"/>
          <w:sz w:val="14"/>
          <w:szCs w:val="14"/>
          <w:color w:val="auto"/>
        </w:rPr>
        <w:t>Includes stock-based compensation as follows:</w:t>
      </w:r>
    </w:p>
    <w:p>
      <w:pPr>
        <w:spacing w:after="0" w:line="195" w:lineRule="exact"/>
        <w:rPr>
          <w:sz w:val="20"/>
          <w:szCs w:val="20"/>
          <w:color w:val="auto"/>
        </w:rPr>
      </w:pPr>
    </w:p>
    <w:tbl>
      <w:tblPr>
        <w:tblLayout w:type="fixed"/>
        <w:tblInd w:w="1480" w:type="dxa"/>
        <w:tblCellMar>
          <w:top w:w="0" w:type="dxa"/>
          <w:left w:w="0" w:type="dxa"/>
          <w:bottom w:w="0" w:type="dxa"/>
          <w:right w:w="0" w:type="dxa"/>
        </w:tblCellMar>
      </w:tblPr>
      <w:tr>
        <w:trPr>
          <w:trHeight w:val="128"/>
        </w:trPr>
        <w:tc>
          <w:tcPr>
            <w:tcW w:w="20" w:type="dxa"/>
            <w:vAlign w:val="bottom"/>
          </w:tcPr>
          <w:p>
            <w:pPr>
              <w:spacing w:after="0"/>
              <w:rPr>
                <w:sz w:val="11"/>
                <w:szCs w:val="11"/>
                <w:color w:val="auto"/>
              </w:rPr>
            </w:pPr>
          </w:p>
        </w:tc>
        <w:tc>
          <w:tcPr>
            <w:tcW w:w="4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1400" w:type="dxa"/>
            <w:vAlign w:val="bottom"/>
            <w:tcBorders>
              <w:bottom w:val="single" w:sz="8" w:color="auto"/>
            </w:tcBorders>
            <w:gridSpan w:val="4"/>
          </w:tcPr>
          <w:p>
            <w:pPr>
              <w:jc w:val="center"/>
              <w:ind w:right="20"/>
              <w:spacing w:after="0"/>
              <w:rPr>
                <w:sz w:val="20"/>
                <w:szCs w:val="20"/>
                <w:color w:val="auto"/>
              </w:rPr>
            </w:pPr>
            <w:r>
              <w:rPr>
                <w:rFonts w:ascii="Arial" w:cs="Arial" w:eastAsia="Arial" w:hAnsi="Arial"/>
                <w:sz w:val="11"/>
                <w:szCs w:val="11"/>
                <w:b w:val="1"/>
                <w:bCs w:val="1"/>
                <w:color w:val="auto"/>
                <w:w w:val="85"/>
              </w:rPr>
              <w:t>Year ended December 31,</w:t>
            </w:r>
          </w:p>
        </w:tc>
        <w:tc>
          <w:tcPr>
            <w:tcW w:w="6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4220" w:type="dxa"/>
            <w:vAlign w:val="bottom"/>
          </w:tcPr>
          <w:p>
            <w:pPr>
              <w:spacing w:after="0"/>
              <w:rPr>
                <w:sz w:val="9"/>
                <w:szCs w:val="9"/>
                <w:color w:val="auto"/>
              </w:rPr>
            </w:pPr>
          </w:p>
        </w:tc>
        <w:tc>
          <w:tcPr>
            <w:tcW w:w="560" w:type="dxa"/>
            <w:vAlign w:val="bottom"/>
          </w:tcPr>
          <w:p>
            <w:pPr>
              <w:spacing w:after="0"/>
              <w:rPr>
                <w:sz w:val="9"/>
                <w:szCs w:val="9"/>
                <w:color w:val="auto"/>
              </w:rPr>
            </w:pPr>
          </w:p>
        </w:tc>
        <w:tc>
          <w:tcPr>
            <w:tcW w:w="400" w:type="dxa"/>
            <w:vAlign w:val="bottom"/>
          </w:tcPr>
          <w:p>
            <w:pPr>
              <w:spacing w:after="0"/>
              <w:rPr>
                <w:sz w:val="9"/>
                <w:szCs w:val="9"/>
                <w:color w:val="auto"/>
              </w:rPr>
            </w:pPr>
          </w:p>
        </w:tc>
        <w:tc>
          <w:tcPr>
            <w:tcW w:w="48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jc w:val="right"/>
              <w:ind w:right="29"/>
              <w:spacing w:after="0" w:line="104" w:lineRule="exact"/>
              <w:rPr>
                <w:sz w:val="20"/>
                <w:szCs w:val="20"/>
                <w:color w:val="auto"/>
              </w:rPr>
            </w:pPr>
            <w:r>
              <w:rPr>
                <w:rFonts w:ascii="Arial" w:cs="Arial" w:eastAsia="Arial" w:hAnsi="Arial"/>
                <w:sz w:val="11"/>
                <w:szCs w:val="11"/>
                <w:b w:val="1"/>
                <w:bCs w:val="1"/>
                <w:color w:val="auto"/>
                <w:w w:val="81"/>
              </w:rPr>
              <w:t>2015</w:t>
            </w:r>
          </w:p>
        </w:tc>
        <w:tc>
          <w:tcPr>
            <w:tcW w:w="160" w:type="dxa"/>
            <w:vAlign w:val="bottom"/>
            <w:tcBorders>
              <w:bottom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860" w:type="dxa"/>
            <w:vAlign w:val="bottom"/>
            <w:tcBorders>
              <w:bottom w:val="single" w:sz="8" w:color="auto"/>
            </w:tcBorders>
            <w:gridSpan w:val="2"/>
          </w:tcPr>
          <w:p>
            <w:pPr>
              <w:jc w:val="right"/>
              <w:ind w:right="29"/>
              <w:spacing w:after="0" w:line="104" w:lineRule="exact"/>
              <w:rPr>
                <w:sz w:val="20"/>
                <w:szCs w:val="20"/>
                <w:color w:val="auto"/>
              </w:rPr>
            </w:pPr>
            <w:r>
              <w:rPr>
                <w:rFonts w:ascii="Arial" w:cs="Arial" w:eastAsia="Arial" w:hAnsi="Arial"/>
                <w:sz w:val="11"/>
                <w:szCs w:val="11"/>
                <w:b w:val="1"/>
                <w:bCs w:val="1"/>
                <w:color w:val="auto"/>
              </w:rPr>
              <w:t>2016</w:t>
            </w:r>
          </w:p>
        </w:tc>
        <w:tc>
          <w:tcPr>
            <w:tcW w:w="100" w:type="dxa"/>
            <w:vAlign w:val="bottom"/>
            <w:tcBorders>
              <w:bottom w:val="single" w:sz="8" w:color="auto"/>
            </w:tcBorders>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jc w:val="right"/>
              <w:ind w:right="68"/>
              <w:spacing w:after="0" w:line="104" w:lineRule="exact"/>
              <w:rPr>
                <w:sz w:val="20"/>
                <w:szCs w:val="20"/>
                <w:color w:val="auto"/>
              </w:rPr>
            </w:pPr>
            <w:r>
              <w:rPr>
                <w:rFonts w:ascii="Arial" w:cs="Arial" w:eastAsia="Arial" w:hAnsi="Arial"/>
                <w:sz w:val="11"/>
                <w:szCs w:val="11"/>
                <w:b w:val="1"/>
                <w:bCs w:val="1"/>
                <w:color w:val="auto"/>
                <w:w w:val="97"/>
              </w:rPr>
              <w:t>2017</w:t>
            </w:r>
          </w:p>
        </w:tc>
        <w:tc>
          <w:tcPr>
            <w:tcW w:w="40" w:type="dxa"/>
            <w:vAlign w:val="bottom"/>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4220" w:type="dxa"/>
            <w:vAlign w:val="bottom"/>
          </w:tcPr>
          <w:p>
            <w:pPr>
              <w:spacing w:after="0"/>
              <w:rPr>
                <w:sz w:val="9"/>
                <w:szCs w:val="9"/>
                <w:color w:val="auto"/>
              </w:rPr>
            </w:pPr>
          </w:p>
        </w:tc>
        <w:tc>
          <w:tcPr>
            <w:tcW w:w="560" w:type="dxa"/>
            <w:vAlign w:val="bottom"/>
          </w:tcPr>
          <w:p>
            <w:pPr>
              <w:spacing w:after="0"/>
              <w:rPr>
                <w:sz w:val="9"/>
                <w:szCs w:val="9"/>
                <w:color w:val="auto"/>
              </w:rPr>
            </w:pPr>
          </w:p>
        </w:tc>
        <w:tc>
          <w:tcPr>
            <w:tcW w:w="400" w:type="dxa"/>
            <w:vAlign w:val="bottom"/>
          </w:tcPr>
          <w:p>
            <w:pPr>
              <w:spacing w:after="0"/>
              <w:rPr>
                <w:sz w:val="9"/>
                <w:szCs w:val="9"/>
                <w:color w:val="auto"/>
              </w:rPr>
            </w:pPr>
          </w:p>
        </w:tc>
        <w:tc>
          <w:tcPr>
            <w:tcW w:w="480" w:type="dxa"/>
            <w:vAlign w:val="bottom"/>
          </w:tcPr>
          <w:p>
            <w:pPr>
              <w:spacing w:after="0"/>
              <w:rPr>
                <w:sz w:val="9"/>
                <w:szCs w:val="9"/>
                <w:color w:val="auto"/>
              </w:rPr>
            </w:pPr>
          </w:p>
        </w:tc>
        <w:tc>
          <w:tcPr>
            <w:tcW w:w="80" w:type="dxa"/>
            <w:vAlign w:val="bottom"/>
          </w:tcPr>
          <w:p>
            <w:pPr>
              <w:spacing w:after="0"/>
              <w:rPr>
                <w:sz w:val="9"/>
                <w:szCs w:val="9"/>
                <w:color w:val="auto"/>
              </w:rPr>
            </w:pPr>
          </w:p>
        </w:tc>
        <w:tc>
          <w:tcPr>
            <w:tcW w:w="320" w:type="dxa"/>
            <w:vAlign w:val="bottom"/>
          </w:tcPr>
          <w:p>
            <w:pPr>
              <w:spacing w:after="0"/>
              <w:rPr>
                <w:sz w:val="9"/>
                <w:szCs w:val="9"/>
                <w:color w:val="auto"/>
              </w:rPr>
            </w:pPr>
          </w:p>
        </w:tc>
        <w:tc>
          <w:tcPr>
            <w:tcW w:w="160" w:type="dxa"/>
            <w:vAlign w:val="bottom"/>
          </w:tcPr>
          <w:p>
            <w:pPr>
              <w:spacing w:after="0"/>
              <w:rPr>
                <w:sz w:val="9"/>
                <w:szCs w:val="9"/>
                <w:color w:val="auto"/>
              </w:rPr>
            </w:pPr>
          </w:p>
        </w:tc>
        <w:tc>
          <w:tcPr>
            <w:tcW w:w="40" w:type="dxa"/>
            <w:vAlign w:val="bottom"/>
          </w:tcPr>
          <w:p>
            <w:pPr>
              <w:spacing w:after="0"/>
              <w:rPr>
                <w:sz w:val="9"/>
                <w:szCs w:val="9"/>
                <w:color w:val="auto"/>
              </w:rPr>
            </w:pPr>
          </w:p>
        </w:tc>
        <w:tc>
          <w:tcPr>
            <w:tcW w:w="1400" w:type="dxa"/>
            <w:vAlign w:val="bottom"/>
            <w:gridSpan w:val="4"/>
          </w:tcPr>
          <w:p>
            <w:pPr>
              <w:jc w:val="center"/>
              <w:ind w:right="40"/>
              <w:spacing w:after="0" w:line="104" w:lineRule="exact"/>
              <w:rPr>
                <w:sz w:val="20"/>
                <w:szCs w:val="20"/>
                <w:color w:val="auto"/>
              </w:rPr>
            </w:pPr>
            <w:r>
              <w:rPr>
                <w:rFonts w:ascii="Arial" w:cs="Arial" w:eastAsia="Arial" w:hAnsi="Arial"/>
                <w:sz w:val="11"/>
                <w:szCs w:val="11"/>
                <w:i w:val="1"/>
                <w:iCs w:val="1"/>
                <w:color w:val="auto"/>
                <w:w w:val="92"/>
              </w:rPr>
              <w:t>(In millions)</w:t>
            </w: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400" w:type="dxa"/>
            <w:vAlign w:val="bottom"/>
          </w:tcPr>
          <w:p>
            <w:pPr>
              <w:spacing w:after="0"/>
              <w:rPr>
                <w:sz w:val="9"/>
                <w:szCs w:val="9"/>
                <w:color w:val="auto"/>
              </w:rPr>
            </w:pPr>
          </w:p>
        </w:tc>
        <w:tc>
          <w:tcPr>
            <w:tcW w:w="40" w:type="dxa"/>
            <w:vAlign w:val="bottom"/>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4220" w:type="dxa"/>
            <w:vAlign w:val="bottom"/>
            <w:shd w:val="clear" w:color="auto" w:fill="CCEEFF"/>
          </w:tcPr>
          <w:p>
            <w:pPr>
              <w:ind w:left="260"/>
              <w:spacing w:after="0"/>
              <w:rPr>
                <w:sz w:val="20"/>
                <w:szCs w:val="20"/>
                <w:color w:val="auto"/>
              </w:rPr>
            </w:pPr>
            <w:r>
              <w:rPr>
                <w:rFonts w:ascii="Arial" w:cs="Arial" w:eastAsia="Arial" w:hAnsi="Arial"/>
                <w:sz w:val="14"/>
                <w:szCs w:val="14"/>
                <w:color w:val="auto"/>
              </w:rPr>
              <w:t>Cost of revenue</w:t>
            </w:r>
          </w:p>
        </w:tc>
        <w:tc>
          <w:tcPr>
            <w:tcW w:w="56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w:t>
            </w:r>
          </w:p>
        </w:tc>
        <w:tc>
          <w:tcPr>
            <w:tcW w:w="1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   8.2</w:t>
            </w: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80" w:type="dxa"/>
            <w:vAlign w:val="bottom"/>
            <w:gridSpan w:val="3"/>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12.2</w:t>
            </w:r>
          </w:p>
        </w:tc>
        <w:tc>
          <w:tcPr>
            <w:tcW w:w="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4220" w:type="dxa"/>
            <w:vAlign w:val="bottom"/>
          </w:tcPr>
          <w:p>
            <w:pPr>
              <w:ind w:left="260"/>
              <w:spacing w:after="0"/>
              <w:rPr>
                <w:sz w:val="20"/>
                <w:szCs w:val="20"/>
                <w:color w:val="auto"/>
              </w:rPr>
            </w:pPr>
            <w:r>
              <w:rPr>
                <w:rFonts w:ascii="Arial" w:cs="Arial" w:eastAsia="Arial" w:hAnsi="Arial"/>
                <w:sz w:val="14"/>
                <w:szCs w:val="14"/>
                <w:color w:val="auto"/>
              </w:rPr>
              <w:t>Research and development</w:t>
            </w:r>
          </w:p>
        </w:tc>
        <w:tc>
          <w:tcPr>
            <w:tcW w:w="5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jc w:val="right"/>
              <w:spacing w:after="0"/>
              <w:rPr>
                <w:sz w:val="20"/>
                <w:szCs w:val="20"/>
                <w:color w:val="auto"/>
              </w:rPr>
            </w:pPr>
            <w:r>
              <w:rPr>
                <w:rFonts w:ascii="Arial" w:cs="Arial" w:eastAsia="Arial" w:hAnsi="Arial"/>
                <w:sz w:val="14"/>
                <w:szCs w:val="14"/>
                <w:color w:val="auto"/>
              </w:rPr>
              <w:t>36.1</w:t>
            </w: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60" w:type="dxa"/>
            <w:vAlign w:val="bottom"/>
            <w:gridSpan w:val="2"/>
          </w:tcPr>
          <w:p>
            <w:pPr>
              <w:jc w:val="right"/>
              <w:spacing w:after="0"/>
              <w:rPr>
                <w:sz w:val="20"/>
                <w:szCs w:val="20"/>
                <w:color w:val="auto"/>
              </w:rPr>
            </w:pPr>
            <w:r>
              <w:rPr>
                <w:rFonts w:ascii="Arial" w:cs="Arial" w:eastAsia="Arial" w:hAnsi="Arial"/>
                <w:sz w:val="14"/>
                <w:szCs w:val="14"/>
                <w:color w:val="auto"/>
              </w:rPr>
              <w:t>72.7</w:t>
            </w: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Arial" w:cs="Arial" w:eastAsia="Arial" w:hAnsi="Arial"/>
                <w:sz w:val="14"/>
                <w:szCs w:val="14"/>
                <w:color w:val="auto"/>
              </w:rPr>
              <w:t>93.1</w:t>
            </w: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4220" w:type="dxa"/>
            <w:vAlign w:val="bottom"/>
            <w:shd w:val="clear" w:color="auto" w:fill="CCEEFF"/>
          </w:tcPr>
          <w:p>
            <w:pPr>
              <w:ind w:left="260"/>
              <w:spacing w:after="0"/>
              <w:rPr>
                <w:sz w:val="20"/>
                <w:szCs w:val="20"/>
                <w:color w:val="auto"/>
              </w:rPr>
            </w:pPr>
            <w:r>
              <w:rPr>
                <w:rFonts w:ascii="Arial" w:cs="Arial" w:eastAsia="Arial" w:hAnsi="Arial"/>
                <w:sz w:val="14"/>
                <w:szCs w:val="14"/>
                <w:color w:val="auto"/>
              </w:rPr>
              <w:t>Sales and marketing</w:t>
            </w:r>
          </w:p>
        </w:tc>
        <w:tc>
          <w:tcPr>
            <w:tcW w:w="56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19.8</w:t>
            </w:r>
          </w:p>
        </w:tc>
        <w:tc>
          <w:tcPr>
            <w:tcW w:w="1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44.6</w:t>
            </w: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33.7</w:t>
            </w:r>
          </w:p>
        </w:tc>
        <w:tc>
          <w:tcPr>
            <w:tcW w:w="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220" w:type="dxa"/>
            <w:vAlign w:val="bottom"/>
          </w:tcPr>
          <w:p>
            <w:pPr>
              <w:ind w:left="260"/>
              <w:spacing w:after="0"/>
              <w:rPr>
                <w:sz w:val="20"/>
                <w:szCs w:val="20"/>
                <w:color w:val="auto"/>
              </w:rPr>
            </w:pPr>
            <w:r>
              <w:rPr>
                <w:rFonts w:ascii="Arial" w:cs="Arial" w:eastAsia="Arial" w:hAnsi="Arial"/>
                <w:sz w:val="14"/>
                <w:szCs w:val="14"/>
                <w:color w:val="auto"/>
              </w:rPr>
              <w:t>General and administrative</w:t>
            </w:r>
          </w:p>
        </w:tc>
        <w:tc>
          <w:tcPr>
            <w:tcW w:w="5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7.6</w:t>
            </w: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22.1</w:t>
            </w: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25.6</w:t>
            </w: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220" w:type="dxa"/>
            <w:vAlign w:val="bottom"/>
            <w:shd w:val="clear" w:color="auto" w:fill="CCEEFF"/>
          </w:tcPr>
          <w:p>
            <w:pPr>
              <w:spacing w:after="0"/>
              <w:rPr>
                <w:sz w:val="20"/>
                <w:szCs w:val="20"/>
                <w:color w:val="auto"/>
              </w:rPr>
            </w:pPr>
            <w:r>
              <w:rPr>
                <w:rFonts w:ascii="Arial" w:cs="Arial" w:eastAsia="Arial" w:hAnsi="Arial"/>
                <w:sz w:val="14"/>
                <w:szCs w:val="14"/>
                <w:color w:val="auto"/>
              </w:rPr>
              <w:t>Total stock-based compensation</w:t>
            </w:r>
          </w:p>
        </w:tc>
        <w:tc>
          <w:tcPr>
            <w:tcW w:w="56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66.1</w:t>
            </w:r>
          </w:p>
        </w:tc>
        <w:tc>
          <w:tcPr>
            <w:tcW w:w="1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$ 147.6</w:t>
            </w:r>
          </w:p>
        </w:tc>
        <w:tc>
          <w:tcPr>
            <w:tcW w:w="1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80" w:type="dxa"/>
            <w:vAlign w:val="bottom"/>
            <w:gridSpan w:val="3"/>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164.6</w:t>
            </w:r>
          </w:p>
        </w:tc>
        <w:tc>
          <w:tcPr>
            <w:tcW w:w="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0"/>
        </w:trPr>
        <w:tc>
          <w:tcPr>
            <w:tcW w:w="20" w:type="dxa"/>
            <w:vAlign w:val="bottom"/>
          </w:tcPr>
          <w:p>
            <w:pPr>
              <w:spacing w:after="0"/>
              <w:rPr>
                <w:sz w:val="24"/>
                <w:szCs w:val="24"/>
                <w:color w:val="auto"/>
              </w:rPr>
            </w:pPr>
          </w:p>
        </w:tc>
        <w:tc>
          <w:tcPr>
            <w:tcW w:w="42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gridSpan w:val="4"/>
          </w:tcPr>
          <w:p>
            <w:pPr>
              <w:jc w:val="center"/>
              <w:ind w:right="20"/>
              <w:spacing w:after="0"/>
              <w:rPr>
                <w:sz w:val="20"/>
                <w:szCs w:val="20"/>
                <w:color w:val="auto"/>
              </w:rPr>
            </w:pPr>
            <w:r>
              <w:rPr>
                <w:rFonts w:ascii="Arial" w:cs="Arial" w:eastAsia="Arial" w:hAnsi="Arial"/>
                <w:sz w:val="12"/>
                <w:szCs w:val="12"/>
                <w:b w:val="1"/>
                <w:bCs w:val="1"/>
                <w:color w:val="auto"/>
                <w:w w:val="88"/>
              </w:rPr>
              <w:t>Year ended December 31,</w:t>
            </w:r>
          </w:p>
        </w:tc>
        <w:tc>
          <w:tcPr>
            <w:tcW w:w="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42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jc w:val="right"/>
              <w:ind w:right="9"/>
              <w:spacing w:after="0" w:line="115" w:lineRule="exact"/>
              <w:rPr>
                <w:sz w:val="20"/>
                <w:szCs w:val="20"/>
                <w:color w:val="auto"/>
              </w:rPr>
            </w:pPr>
            <w:r>
              <w:rPr>
                <w:rFonts w:ascii="Arial" w:cs="Arial" w:eastAsia="Arial" w:hAnsi="Arial"/>
                <w:sz w:val="12"/>
                <w:szCs w:val="12"/>
                <w:b w:val="1"/>
                <w:bCs w:val="1"/>
                <w:color w:val="auto"/>
                <w:w w:val="82"/>
              </w:rPr>
              <w:t>2015</w:t>
            </w:r>
          </w:p>
        </w:tc>
        <w:tc>
          <w:tcPr>
            <w:tcW w:w="16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860" w:type="dxa"/>
            <w:vAlign w:val="bottom"/>
            <w:tcBorders>
              <w:bottom w:val="single" w:sz="8" w:color="auto"/>
            </w:tcBorders>
            <w:gridSpan w:val="2"/>
          </w:tcPr>
          <w:p>
            <w:pPr>
              <w:jc w:val="right"/>
              <w:ind w:right="29"/>
              <w:spacing w:after="0" w:line="115" w:lineRule="exact"/>
              <w:rPr>
                <w:sz w:val="20"/>
                <w:szCs w:val="20"/>
                <w:color w:val="auto"/>
              </w:rPr>
            </w:pPr>
            <w:r>
              <w:rPr>
                <w:rFonts w:ascii="Arial" w:cs="Arial" w:eastAsia="Arial" w:hAnsi="Arial"/>
                <w:sz w:val="12"/>
                <w:szCs w:val="12"/>
                <w:b w:val="1"/>
                <w:bCs w:val="1"/>
                <w:color w:val="auto"/>
              </w:rPr>
              <w:t>2016</w:t>
            </w:r>
          </w:p>
        </w:tc>
        <w:tc>
          <w:tcPr>
            <w:tcW w:w="100" w:type="dxa"/>
            <w:vAlign w:val="bottom"/>
            <w:tcBorders>
              <w:bottom w:val="single" w:sz="8" w:color="auto"/>
            </w:tcBorders>
          </w:tcPr>
          <w:p>
            <w:pPr>
              <w:spacing w:after="0"/>
              <w:rPr>
                <w:sz w:val="10"/>
                <w:szCs w:val="10"/>
                <w:color w:val="auto"/>
              </w:rPr>
            </w:pPr>
          </w:p>
        </w:tc>
        <w:tc>
          <w:tcPr>
            <w:tcW w:w="44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jc w:val="right"/>
              <w:ind w:right="48"/>
              <w:spacing w:after="0" w:line="115" w:lineRule="exact"/>
              <w:rPr>
                <w:sz w:val="20"/>
                <w:szCs w:val="20"/>
                <w:color w:val="auto"/>
              </w:rPr>
            </w:pPr>
            <w:r>
              <w:rPr>
                <w:rFonts w:ascii="Arial" w:cs="Arial" w:eastAsia="Arial" w:hAnsi="Arial"/>
                <w:sz w:val="12"/>
                <w:szCs w:val="12"/>
                <w:b w:val="1"/>
                <w:bCs w:val="1"/>
                <w:color w:val="auto"/>
                <w:w w:val="97"/>
              </w:rPr>
              <w:t>2017</w:t>
            </w: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42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0" w:type="dxa"/>
            <w:vAlign w:val="bottom"/>
            <w:gridSpan w:val="4"/>
          </w:tcPr>
          <w:p>
            <w:pPr>
              <w:jc w:val="center"/>
              <w:ind w:right="40"/>
              <w:spacing w:after="0" w:line="115" w:lineRule="exact"/>
              <w:rPr>
                <w:sz w:val="20"/>
                <w:szCs w:val="20"/>
                <w:color w:val="auto"/>
              </w:rPr>
            </w:pPr>
            <w:r>
              <w:rPr>
                <w:rFonts w:ascii="Arial" w:cs="Arial" w:eastAsia="Arial" w:hAnsi="Arial"/>
                <w:sz w:val="12"/>
                <w:szCs w:val="12"/>
                <w:i w:val="1"/>
                <w:iCs w:val="1"/>
                <w:color w:val="auto"/>
                <w:w w:val="90"/>
              </w:rPr>
              <w:t>(As a % of revenue)</w:t>
            </w: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220" w:type="dxa"/>
            <w:vAlign w:val="bottom"/>
            <w:shd w:val="clear" w:color="auto" w:fill="CCEEFF"/>
          </w:tcPr>
          <w:p>
            <w:pPr>
              <w:spacing w:after="0"/>
              <w:rPr>
                <w:sz w:val="20"/>
                <w:szCs w:val="20"/>
                <w:color w:val="auto"/>
              </w:rPr>
            </w:pPr>
            <w:r>
              <w:rPr>
                <w:rFonts w:ascii="Arial" w:cs="Arial" w:eastAsia="Arial" w:hAnsi="Arial"/>
                <w:sz w:val="15"/>
                <w:szCs w:val="15"/>
                <w:color w:val="auto"/>
              </w:rPr>
              <w:t>Revenue</w:t>
            </w:r>
          </w:p>
        </w:tc>
        <w:tc>
          <w:tcPr>
            <w:tcW w:w="56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8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100%</w:t>
            </w:r>
          </w:p>
        </w:tc>
        <w:tc>
          <w:tcPr>
            <w:tcW w:w="40" w:type="dxa"/>
            <w:vAlign w:val="bottom"/>
            <w:shd w:val="clear" w:color="auto" w:fill="CCEEFF"/>
          </w:tcPr>
          <w:p>
            <w:pPr>
              <w:spacing w:after="0"/>
              <w:rPr>
                <w:sz w:val="15"/>
                <w:szCs w:val="15"/>
                <w:color w:val="auto"/>
              </w:rPr>
            </w:pPr>
          </w:p>
        </w:tc>
        <w:tc>
          <w:tcPr>
            <w:tcW w:w="1400" w:type="dxa"/>
            <w:vAlign w:val="bottom"/>
            <w:gridSpan w:val="4"/>
            <w:shd w:val="clear" w:color="auto" w:fill="CCEEFF"/>
          </w:tcPr>
          <w:p>
            <w:pPr>
              <w:jc w:val="right"/>
              <w:ind w:right="420"/>
              <w:spacing w:after="0"/>
              <w:rPr>
                <w:sz w:val="20"/>
                <w:szCs w:val="20"/>
                <w:color w:val="auto"/>
              </w:rPr>
            </w:pPr>
            <w:r>
              <w:rPr>
                <w:rFonts w:ascii="Arial" w:cs="Arial" w:eastAsia="Arial" w:hAnsi="Arial"/>
                <w:sz w:val="15"/>
                <w:szCs w:val="15"/>
                <w:color w:val="auto"/>
              </w:rPr>
              <w:t>100%</w:t>
            </w: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00" w:type="dxa"/>
            <w:vAlign w:val="bottom"/>
            <w:gridSpan w:val="3"/>
            <w:shd w:val="clear" w:color="auto" w:fill="CCEEFF"/>
          </w:tcPr>
          <w:p>
            <w:pPr>
              <w:jc w:val="right"/>
              <w:ind w:right="80"/>
              <w:spacing w:after="0"/>
              <w:rPr>
                <w:sz w:val="20"/>
                <w:szCs w:val="20"/>
                <w:color w:val="auto"/>
              </w:rPr>
            </w:pPr>
            <w:r>
              <w:rPr>
                <w:rFonts w:ascii="Arial" w:cs="Arial" w:eastAsia="Arial" w:hAnsi="Arial"/>
                <w:sz w:val="15"/>
                <w:szCs w:val="15"/>
                <w:color w:val="auto"/>
              </w:rPr>
              <w:t>100%</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4220" w:type="dxa"/>
            <w:vAlign w:val="bottom"/>
          </w:tcPr>
          <w:p>
            <w:pPr>
              <w:ind w:left="280"/>
              <w:spacing w:after="0"/>
              <w:rPr>
                <w:sz w:val="20"/>
                <w:szCs w:val="20"/>
                <w:color w:val="auto"/>
              </w:rPr>
            </w:pPr>
            <w:r>
              <w:rPr>
                <w:rFonts w:ascii="Arial" w:cs="Arial" w:eastAsia="Arial" w:hAnsi="Arial"/>
                <w:sz w:val="15"/>
                <w:szCs w:val="15"/>
                <w:color w:val="auto"/>
              </w:rPr>
              <w:t>Cost of revenue</w:t>
            </w:r>
          </w:p>
        </w:tc>
        <w:tc>
          <w:tcPr>
            <w:tcW w:w="5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67</w:t>
            </w:r>
          </w:p>
        </w:tc>
        <w:tc>
          <w:tcPr>
            <w:tcW w:w="1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46</w:t>
            </w: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33</w:t>
            </w: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220" w:type="dxa"/>
            <w:vAlign w:val="bottom"/>
            <w:shd w:val="clear" w:color="auto" w:fill="CCEEFF"/>
          </w:tcPr>
          <w:p>
            <w:pPr>
              <w:spacing w:after="0"/>
              <w:rPr>
                <w:sz w:val="20"/>
                <w:szCs w:val="20"/>
                <w:color w:val="auto"/>
              </w:rPr>
            </w:pPr>
            <w:r>
              <w:rPr>
                <w:rFonts w:ascii="Arial" w:cs="Arial" w:eastAsia="Arial" w:hAnsi="Arial"/>
                <w:sz w:val="15"/>
                <w:szCs w:val="15"/>
                <w:color w:val="auto"/>
              </w:rPr>
              <w:t>Gross profit</w:t>
            </w:r>
          </w:p>
        </w:tc>
        <w:tc>
          <w:tcPr>
            <w:tcW w:w="56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33</w:t>
            </w:r>
          </w:p>
        </w:tc>
        <w:tc>
          <w:tcPr>
            <w:tcW w:w="1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54</w:t>
            </w:r>
          </w:p>
        </w:tc>
        <w:tc>
          <w:tcPr>
            <w:tcW w:w="1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67</w:t>
            </w:r>
          </w:p>
        </w:tc>
        <w:tc>
          <w:tcPr>
            <w:tcW w:w="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220" w:type="dxa"/>
            <w:vAlign w:val="bottom"/>
          </w:tcPr>
          <w:p>
            <w:pPr>
              <w:spacing w:after="0"/>
              <w:rPr>
                <w:sz w:val="20"/>
                <w:szCs w:val="20"/>
                <w:color w:val="auto"/>
              </w:rPr>
            </w:pPr>
            <w:r>
              <w:rPr>
                <w:rFonts w:ascii="Arial" w:cs="Arial" w:eastAsia="Arial" w:hAnsi="Arial"/>
                <w:sz w:val="15"/>
                <w:szCs w:val="15"/>
                <w:color w:val="auto"/>
              </w:rPr>
              <w:t>Operating expenses:</w:t>
            </w:r>
          </w:p>
        </w:tc>
        <w:tc>
          <w:tcPr>
            <w:tcW w:w="5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220" w:type="dxa"/>
            <w:vAlign w:val="bottom"/>
            <w:shd w:val="clear" w:color="auto" w:fill="CCEEFF"/>
          </w:tcPr>
          <w:p>
            <w:pPr>
              <w:ind w:left="280"/>
              <w:spacing w:after="0"/>
              <w:rPr>
                <w:sz w:val="20"/>
                <w:szCs w:val="20"/>
                <w:color w:val="auto"/>
              </w:rPr>
            </w:pPr>
            <w:r>
              <w:rPr>
                <w:rFonts w:ascii="Arial" w:cs="Arial" w:eastAsia="Arial" w:hAnsi="Arial"/>
                <w:sz w:val="15"/>
                <w:szCs w:val="15"/>
                <w:color w:val="auto"/>
              </w:rPr>
              <w:t>Research and development</w:t>
            </w:r>
          </w:p>
        </w:tc>
        <w:tc>
          <w:tcPr>
            <w:tcW w:w="56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33</w:t>
            </w:r>
          </w:p>
        </w:tc>
        <w:tc>
          <w:tcPr>
            <w:tcW w:w="1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34</w:t>
            </w:r>
          </w:p>
        </w:tc>
        <w:tc>
          <w:tcPr>
            <w:tcW w:w="1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34</w:t>
            </w:r>
          </w:p>
        </w:tc>
        <w:tc>
          <w:tcPr>
            <w:tcW w:w="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220" w:type="dxa"/>
            <w:vAlign w:val="bottom"/>
          </w:tcPr>
          <w:p>
            <w:pPr>
              <w:ind w:left="280"/>
              <w:spacing w:after="0"/>
              <w:rPr>
                <w:sz w:val="20"/>
                <w:szCs w:val="20"/>
                <w:color w:val="auto"/>
              </w:rPr>
            </w:pPr>
            <w:r>
              <w:rPr>
                <w:rFonts w:ascii="Arial" w:cs="Arial" w:eastAsia="Arial" w:hAnsi="Arial"/>
                <w:sz w:val="15"/>
                <w:szCs w:val="15"/>
                <w:color w:val="auto"/>
              </w:rPr>
              <w:t>Sales and marketing</w:t>
            </w:r>
          </w:p>
        </w:tc>
        <w:tc>
          <w:tcPr>
            <w:tcW w:w="5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jc w:val="right"/>
              <w:spacing w:after="0"/>
              <w:rPr>
                <w:sz w:val="20"/>
                <w:szCs w:val="20"/>
                <w:color w:val="auto"/>
              </w:rPr>
            </w:pPr>
            <w:r>
              <w:rPr>
                <w:rFonts w:ascii="Arial" w:cs="Arial" w:eastAsia="Arial" w:hAnsi="Arial"/>
                <w:sz w:val="15"/>
                <w:szCs w:val="15"/>
                <w:color w:val="auto"/>
              </w:rPr>
              <w:t>32</w:t>
            </w:r>
          </w:p>
        </w:tc>
        <w:tc>
          <w:tcPr>
            <w:tcW w:w="1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60" w:type="dxa"/>
            <w:vAlign w:val="bottom"/>
            <w:gridSpan w:val="2"/>
          </w:tcPr>
          <w:p>
            <w:pPr>
              <w:jc w:val="right"/>
              <w:spacing w:after="0"/>
              <w:rPr>
                <w:sz w:val="20"/>
                <w:szCs w:val="20"/>
                <w:color w:val="auto"/>
              </w:rPr>
            </w:pPr>
            <w:r>
              <w:rPr>
                <w:rFonts w:ascii="Arial" w:cs="Arial" w:eastAsia="Arial" w:hAnsi="Arial"/>
                <w:sz w:val="15"/>
                <w:szCs w:val="15"/>
                <w:color w:val="auto"/>
              </w:rPr>
              <w:t>30</w:t>
            </w: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0" w:type="dxa"/>
            <w:vAlign w:val="bottom"/>
          </w:tcPr>
          <w:p>
            <w:pPr>
              <w:jc w:val="right"/>
              <w:spacing w:after="0"/>
              <w:rPr>
                <w:sz w:val="20"/>
                <w:szCs w:val="20"/>
                <w:color w:val="auto"/>
              </w:rPr>
            </w:pPr>
            <w:r>
              <w:rPr>
                <w:rFonts w:ascii="Arial" w:cs="Arial" w:eastAsia="Arial" w:hAnsi="Arial"/>
                <w:sz w:val="15"/>
                <w:szCs w:val="15"/>
                <w:color w:val="auto"/>
              </w:rPr>
              <w:t>28</w:t>
            </w: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220" w:type="dxa"/>
            <w:vAlign w:val="bottom"/>
            <w:shd w:val="clear" w:color="auto" w:fill="CCEEFF"/>
          </w:tcPr>
          <w:p>
            <w:pPr>
              <w:ind w:left="280"/>
              <w:spacing w:after="0"/>
              <w:rPr>
                <w:sz w:val="20"/>
                <w:szCs w:val="20"/>
                <w:color w:val="auto"/>
              </w:rPr>
            </w:pPr>
            <w:r>
              <w:rPr>
                <w:rFonts w:ascii="Arial" w:cs="Arial" w:eastAsia="Arial" w:hAnsi="Arial"/>
                <w:sz w:val="15"/>
                <w:szCs w:val="15"/>
                <w:color w:val="auto"/>
              </w:rPr>
              <w:t>General and administrative</w:t>
            </w:r>
          </w:p>
        </w:tc>
        <w:tc>
          <w:tcPr>
            <w:tcW w:w="56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18</w:t>
            </w:r>
          </w:p>
        </w:tc>
        <w:tc>
          <w:tcPr>
            <w:tcW w:w="1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80" w:type="dxa"/>
            <w:vAlign w:val="bottom"/>
            <w:tcBorders>
              <w:right w:val="single" w:sz="8" w:color="CCEEFF"/>
            </w:tcBorders>
            <w:shd w:val="clear" w:color="auto" w:fill="CCEEFF"/>
          </w:tcPr>
          <w:p>
            <w:pPr>
              <w:spacing w:after="0"/>
              <w:rPr>
                <w:sz w:val="15"/>
                <w:szCs w:val="15"/>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13</w:t>
            </w:r>
          </w:p>
        </w:tc>
        <w:tc>
          <w:tcPr>
            <w:tcW w:w="1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14</w:t>
            </w:r>
          </w:p>
        </w:tc>
        <w:tc>
          <w:tcPr>
            <w:tcW w:w="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4240" w:type="dxa"/>
            <w:vAlign w:val="bottom"/>
            <w:gridSpan w:val="2"/>
          </w:tcPr>
          <w:p>
            <w:pPr>
              <w:spacing w:after="0"/>
              <w:rPr>
                <w:sz w:val="20"/>
                <w:szCs w:val="20"/>
                <w:color w:val="auto"/>
              </w:rPr>
            </w:pPr>
            <w:r>
              <w:rPr>
                <w:rFonts w:ascii="Arial" w:cs="Arial" w:eastAsia="Arial" w:hAnsi="Arial"/>
                <w:sz w:val="15"/>
                <w:szCs w:val="15"/>
                <w:color w:val="auto"/>
              </w:rPr>
              <w:t>Total operating expenses</w:t>
            </w:r>
          </w:p>
        </w:tc>
        <w:tc>
          <w:tcPr>
            <w:tcW w:w="5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83</w:t>
            </w:r>
          </w:p>
        </w:tc>
        <w:tc>
          <w:tcPr>
            <w:tcW w:w="1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77</w:t>
            </w: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77</w:t>
            </w: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220" w:type="dxa"/>
            <w:vAlign w:val="bottom"/>
            <w:shd w:val="clear" w:color="auto" w:fill="CCEEFF"/>
          </w:tcPr>
          <w:p>
            <w:pPr>
              <w:spacing w:after="0"/>
              <w:rPr>
                <w:sz w:val="20"/>
                <w:szCs w:val="20"/>
                <w:color w:val="auto"/>
              </w:rPr>
            </w:pPr>
            <w:r>
              <w:rPr>
                <w:rFonts w:ascii="Arial" w:cs="Arial" w:eastAsia="Arial" w:hAnsi="Arial"/>
                <w:sz w:val="15"/>
                <w:szCs w:val="15"/>
                <w:color w:val="auto"/>
              </w:rPr>
              <w:t>Loss from operations</w:t>
            </w:r>
          </w:p>
        </w:tc>
        <w:tc>
          <w:tcPr>
            <w:tcW w:w="56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(51)</w:t>
            </w:r>
          </w:p>
        </w:tc>
        <w:tc>
          <w:tcPr>
            <w:tcW w:w="40" w:type="dxa"/>
            <w:vAlign w:val="bottom"/>
            <w:shd w:val="clear" w:color="auto" w:fill="CCEEFF"/>
          </w:tcPr>
          <w:p>
            <w:pPr>
              <w:spacing w:after="0"/>
              <w:rPr>
                <w:sz w:val="15"/>
                <w:szCs w:val="15"/>
                <w:color w:val="auto"/>
              </w:rPr>
            </w:pPr>
          </w:p>
        </w:tc>
        <w:tc>
          <w:tcPr>
            <w:tcW w:w="960" w:type="dxa"/>
            <w:vAlign w:val="bottom"/>
            <w:gridSpan w:val="3"/>
            <w:shd w:val="clear" w:color="auto" w:fill="CCEEFF"/>
          </w:tcPr>
          <w:p>
            <w:pPr>
              <w:jc w:val="right"/>
              <w:ind w:right="60"/>
              <w:spacing w:after="0"/>
              <w:rPr>
                <w:sz w:val="20"/>
                <w:szCs w:val="20"/>
                <w:color w:val="auto"/>
              </w:rPr>
            </w:pPr>
            <w:r>
              <w:rPr>
                <w:rFonts w:ascii="Arial" w:cs="Arial" w:eastAsia="Arial" w:hAnsi="Arial"/>
                <w:sz w:val="15"/>
                <w:szCs w:val="15"/>
                <w:color w:val="auto"/>
              </w:rPr>
              <w:t>(23)</w:t>
            </w:r>
          </w:p>
        </w:tc>
        <w:tc>
          <w:tcPr>
            <w:tcW w:w="4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(10)</w:t>
            </w:r>
          </w:p>
        </w:tc>
        <w:tc>
          <w:tcPr>
            <w:tcW w:w="1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220" w:type="dxa"/>
            <w:vAlign w:val="bottom"/>
          </w:tcPr>
          <w:p>
            <w:pPr>
              <w:spacing w:after="0"/>
              <w:rPr>
                <w:sz w:val="20"/>
                <w:szCs w:val="20"/>
                <w:color w:val="auto"/>
              </w:rPr>
            </w:pPr>
            <w:r>
              <w:rPr>
                <w:rFonts w:ascii="Arial" w:cs="Arial" w:eastAsia="Arial" w:hAnsi="Arial"/>
                <w:sz w:val="15"/>
                <w:szCs w:val="15"/>
                <w:color w:val="auto"/>
              </w:rPr>
              <w:t>Interest expense, net</w:t>
            </w:r>
          </w:p>
        </w:tc>
        <w:tc>
          <w:tcPr>
            <w:tcW w:w="5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80" w:type="dxa"/>
            <w:vAlign w:val="bottom"/>
            <w:gridSpan w:val="2"/>
          </w:tcPr>
          <w:p>
            <w:pPr>
              <w:jc w:val="right"/>
              <w:ind w:right="100"/>
              <w:spacing w:after="0"/>
              <w:rPr>
                <w:sz w:val="20"/>
                <w:szCs w:val="20"/>
                <w:color w:val="auto"/>
              </w:rPr>
            </w:pPr>
            <w:r>
              <w:rPr>
                <w:rFonts w:ascii="Arial" w:cs="Arial" w:eastAsia="Arial" w:hAnsi="Arial"/>
                <w:sz w:val="15"/>
                <w:szCs w:val="15"/>
                <w:color w:val="auto"/>
              </w:rPr>
              <w:t>(3)</w:t>
            </w:r>
          </w:p>
        </w:tc>
        <w:tc>
          <w:tcPr>
            <w:tcW w:w="40" w:type="dxa"/>
            <w:vAlign w:val="bottom"/>
          </w:tcPr>
          <w:p>
            <w:pPr>
              <w:spacing w:after="0"/>
              <w:rPr>
                <w:sz w:val="15"/>
                <w:szCs w:val="15"/>
                <w:color w:val="auto"/>
              </w:rPr>
            </w:pPr>
          </w:p>
        </w:tc>
        <w:tc>
          <w:tcPr>
            <w:tcW w:w="960" w:type="dxa"/>
            <w:vAlign w:val="bottom"/>
            <w:gridSpan w:val="3"/>
          </w:tcPr>
          <w:p>
            <w:pPr>
              <w:jc w:val="right"/>
              <w:ind w:right="60"/>
              <w:spacing w:after="0"/>
              <w:rPr>
                <w:sz w:val="20"/>
                <w:szCs w:val="20"/>
                <w:color w:val="auto"/>
              </w:rPr>
            </w:pPr>
            <w:r>
              <w:rPr>
                <w:rFonts w:ascii="Arial" w:cs="Arial" w:eastAsia="Arial" w:hAnsi="Arial"/>
                <w:sz w:val="15"/>
                <w:szCs w:val="15"/>
                <w:color w:val="auto"/>
              </w:rPr>
              <w:t>(2)</w:t>
            </w:r>
          </w:p>
        </w:tc>
        <w:tc>
          <w:tcPr>
            <w:tcW w:w="4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40" w:type="dxa"/>
            <w:vAlign w:val="bottom"/>
            <w:gridSpan w:val="2"/>
          </w:tcPr>
          <w:p>
            <w:pPr>
              <w:jc w:val="right"/>
              <w:spacing w:after="0"/>
              <w:rPr>
                <w:sz w:val="20"/>
                <w:szCs w:val="20"/>
                <w:color w:val="auto"/>
              </w:rPr>
            </w:pPr>
            <w:r>
              <w:rPr>
                <w:rFonts w:ascii="Arial" w:cs="Arial" w:eastAsia="Arial" w:hAnsi="Arial"/>
                <w:sz w:val="15"/>
                <w:szCs w:val="15"/>
                <w:color w:val="auto"/>
              </w:rPr>
              <w:t>(1)</w:t>
            </w: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220" w:type="dxa"/>
            <w:vAlign w:val="bottom"/>
            <w:shd w:val="clear" w:color="auto" w:fill="CCEEFF"/>
          </w:tcPr>
          <w:p>
            <w:pPr>
              <w:spacing w:after="0"/>
              <w:rPr>
                <w:sz w:val="20"/>
                <w:szCs w:val="20"/>
                <w:color w:val="auto"/>
              </w:rPr>
            </w:pPr>
            <w:r>
              <w:rPr>
                <w:rFonts w:ascii="Arial" w:cs="Arial" w:eastAsia="Arial" w:hAnsi="Arial"/>
                <w:sz w:val="15"/>
                <w:szCs w:val="15"/>
                <w:color w:val="auto"/>
              </w:rPr>
              <w:t>Other income (expense), net</w:t>
            </w:r>
          </w:p>
        </w:tc>
        <w:tc>
          <w:tcPr>
            <w:tcW w:w="56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(1)</w:t>
            </w:r>
          </w:p>
        </w:tc>
        <w:tc>
          <w:tcPr>
            <w:tcW w:w="40" w:type="dxa"/>
            <w:vAlign w:val="bottom"/>
            <w:shd w:val="clear" w:color="auto" w:fill="CCEEFF"/>
          </w:tcPr>
          <w:p>
            <w:pPr>
              <w:spacing w:after="0"/>
              <w:rPr>
                <w:sz w:val="15"/>
                <w:szCs w:val="15"/>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1</w:t>
            </w:r>
          </w:p>
        </w:tc>
        <w:tc>
          <w:tcPr>
            <w:tcW w:w="1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w:t>
            </w:r>
          </w:p>
        </w:tc>
        <w:tc>
          <w:tcPr>
            <w:tcW w:w="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240" w:type="dxa"/>
            <w:vAlign w:val="bottom"/>
            <w:gridSpan w:val="2"/>
            <w:vMerge w:val="restart"/>
          </w:tcPr>
          <w:p>
            <w:pPr>
              <w:spacing w:after="0"/>
              <w:rPr>
                <w:sz w:val="20"/>
                <w:szCs w:val="20"/>
                <w:color w:val="auto"/>
              </w:rPr>
            </w:pPr>
            <w:r>
              <w:rPr>
                <w:rFonts w:ascii="Arial" w:cs="Arial" w:eastAsia="Arial" w:hAnsi="Arial"/>
                <w:sz w:val="15"/>
                <w:szCs w:val="15"/>
                <w:color w:val="auto"/>
              </w:rPr>
              <w:t>Loss before income taxes</w:t>
            </w:r>
          </w:p>
        </w:tc>
        <w:tc>
          <w:tcPr>
            <w:tcW w:w="5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Borders>
              <w:right w:val="single" w:sz="8" w:color="auto"/>
            </w:tcBorders>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4240" w:type="dxa"/>
            <w:vAlign w:val="bottom"/>
            <w:gridSpan w:val="2"/>
            <w:vMerge w:val="continue"/>
          </w:tcPr>
          <w:p>
            <w:pPr>
              <w:spacing w:after="0"/>
              <w:rPr>
                <w:sz w:val="15"/>
                <w:szCs w:val="15"/>
                <w:color w:val="auto"/>
              </w:rPr>
            </w:pPr>
          </w:p>
        </w:tc>
        <w:tc>
          <w:tcPr>
            <w:tcW w:w="5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80" w:type="dxa"/>
            <w:vAlign w:val="bottom"/>
            <w:gridSpan w:val="2"/>
          </w:tcPr>
          <w:p>
            <w:pPr>
              <w:jc w:val="right"/>
              <w:ind w:right="100"/>
              <w:spacing w:after="0"/>
              <w:rPr>
                <w:sz w:val="20"/>
                <w:szCs w:val="20"/>
                <w:color w:val="auto"/>
              </w:rPr>
            </w:pPr>
            <w:r>
              <w:rPr>
                <w:rFonts w:ascii="Arial" w:cs="Arial" w:eastAsia="Arial" w:hAnsi="Arial"/>
                <w:sz w:val="15"/>
                <w:szCs w:val="15"/>
                <w:color w:val="auto"/>
              </w:rPr>
              <w:t>(54)</w:t>
            </w:r>
          </w:p>
        </w:tc>
        <w:tc>
          <w:tcPr>
            <w:tcW w:w="40" w:type="dxa"/>
            <w:vAlign w:val="bottom"/>
          </w:tcPr>
          <w:p>
            <w:pPr>
              <w:spacing w:after="0"/>
              <w:rPr>
                <w:sz w:val="15"/>
                <w:szCs w:val="15"/>
                <w:color w:val="auto"/>
              </w:rPr>
            </w:pPr>
          </w:p>
        </w:tc>
        <w:tc>
          <w:tcPr>
            <w:tcW w:w="960" w:type="dxa"/>
            <w:vAlign w:val="bottom"/>
            <w:gridSpan w:val="3"/>
          </w:tcPr>
          <w:p>
            <w:pPr>
              <w:jc w:val="right"/>
              <w:ind w:right="60"/>
              <w:spacing w:after="0"/>
              <w:rPr>
                <w:sz w:val="20"/>
                <w:szCs w:val="20"/>
                <w:color w:val="auto"/>
              </w:rPr>
            </w:pPr>
            <w:r>
              <w:rPr>
                <w:rFonts w:ascii="Arial" w:cs="Arial" w:eastAsia="Arial" w:hAnsi="Arial"/>
                <w:sz w:val="15"/>
                <w:szCs w:val="15"/>
                <w:color w:val="auto"/>
              </w:rPr>
              <w:t>(24)</w:t>
            </w:r>
          </w:p>
        </w:tc>
        <w:tc>
          <w:tcPr>
            <w:tcW w:w="4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40" w:type="dxa"/>
            <w:vAlign w:val="bottom"/>
            <w:gridSpan w:val="2"/>
          </w:tcPr>
          <w:p>
            <w:pPr>
              <w:jc w:val="right"/>
              <w:spacing w:after="0"/>
              <w:rPr>
                <w:sz w:val="20"/>
                <w:szCs w:val="20"/>
                <w:color w:val="auto"/>
              </w:rPr>
            </w:pPr>
            <w:r>
              <w:rPr>
                <w:rFonts w:ascii="Arial" w:cs="Arial" w:eastAsia="Arial" w:hAnsi="Arial"/>
                <w:sz w:val="15"/>
                <w:szCs w:val="15"/>
                <w:color w:val="auto"/>
              </w:rPr>
              <w:t>(10)</w:t>
            </w: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4220" w:type="dxa"/>
            <w:vAlign w:val="bottom"/>
            <w:shd w:val="clear" w:color="auto" w:fill="CCEEFF"/>
          </w:tcPr>
          <w:p>
            <w:pPr>
              <w:spacing w:after="0"/>
              <w:rPr>
                <w:sz w:val="20"/>
                <w:szCs w:val="20"/>
                <w:color w:val="auto"/>
              </w:rPr>
            </w:pPr>
            <w:r>
              <w:rPr>
                <w:rFonts w:ascii="Arial" w:cs="Arial" w:eastAsia="Arial" w:hAnsi="Arial"/>
                <w:sz w:val="15"/>
                <w:szCs w:val="15"/>
                <w:color w:val="auto"/>
              </w:rPr>
              <w:t>Provision for income taxes</w:t>
            </w:r>
          </w:p>
        </w:tc>
        <w:tc>
          <w:tcPr>
            <w:tcW w:w="56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20" w:type="dxa"/>
            <w:vAlign w:val="bottom"/>
            <w:shd w:val="clear" w:color="auto" w:fill="CCEEFF"/>
          </w:tcPr>
          <w:p>
            <w:pPr>
              <w:ind w:left="100"/>
              <w:spacing w:after="0"/>
              <w:rPr>
                <w:sz w:val="20"/>
                <w:szCs w:val="20"/>
                <w:color w:val="auto"/>
              </w:rPr>
            </w:pPr>
            <w:r>
              <w:rPr>
                <w:rFonts w:ascii="Arial" w:cs="Arial" w:eastAsia="Arial" w:hAnsi="Arial"/>
                <w:sz w:val="15"/>
                <w:szCs w:val="15"/>
                <w:color w:val="auto"/>
              </w:rPr>
              <w:t>—</w:t>
            </w:r>
          </w:p>
        </w:tc>
        <w:tc>
          <w:tcPr>
            <w:tcW w:w="200" w:type="dxa"/>
            <w:vAlign w:val="bottom"/>
            <w:gridSpan w:val="2"/>
            <w:shd w:val="clear" w:color="auto" w:fill="CCEEFF"/>
          </w:tcPr>
          <w:p>
            <w:pPr>
              <w:spacing w:after="0"/>
              <w:rPr>
                <w:sz w:val="15"/>
                <w:szCs w:val="15"/>
                <w:color w:val="auto"/>
              </w:rPr>
            </w:pPr>
          </w:p>
        </w:tc>
        <w:tc>
          <w:tcPr>
            <w:tcW w:w="480" w:type="dxa"/>
            <w:vAlign w:val="bottom"/>
            <w:tcBorders>
              <w:right w:val="single" w:sz="8" w:color="CCEEFF"/>
            </w:tcBorders>
            <w:shd w:val="clear" w:color="auto" w:fill="CCEEFF"/>
          </w:tcPr>
          <w:p>
            <w:pPr>
              <w:spacing w:after="0"/>
              <w:rPr>
                <w:sz w:val="15"/>
                <w:szCs w:val="15"/>
                <w:color w:val="auto"/>
              </w:rPr>
            </w:pPr>
          </w:p>
        </w:tc>
        <w:tc>
          <w:tcPr>
            <w:tcW w:w="48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(1)</w:t>
            </w:r>
          </w:p>
        </w:tc>
        <w:tc>
          <w:tcPr>
            <w:tcW w:w="4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00" w:type="dxa"/>
            <w:vAlign w:val="bottom"/>
            <w:gridSpan w:val="3"/>
            <w:shd w:val="clear" w:color="auto" w:fill="CCEEFF"/>
          </w:tcPr>
          <w:p>
            <w:pPr>
              <w:jc w:val="right"/>
              <w:ind w:right="28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
        </w:trPr>
        <w:tc>
          <w:tcPr>
            <w:tcW w:w="4240" w:type="dxa"/>
            <w:vAlign w:val="bottom"/>
            <w:gridSpan w:val="2"/>
            <w:vMerge w:val="restart"/>
          </w:tcPr>
          <w:p>
            <w:pPr>
              <w:spacing w:after="0"/>
              <w:rPr>
                <w:sz w:val="20"/>
                <w:szCs w:val="20"/>
                <w:color w:val="auto"/>
              </w:rPr>
            </w:pPr>
            <w:r>
              <w:rPr>
                <w:rFonts w:ascii="Arial" w:cs="Arial" w:eastAsia="Arial" w:hAnsi="Arial"/>
                <w:sz w:val="15"/>
                <w:szCs w:val="15"/>
                <w:color w:val="auto"/>
              </w:rPr>
              <w:t>Net loss</w:t>
            </w:r>
          </w:p>
        </w:tc>
        <w:tc>
          <w:tcPr>
            <w:tcW w:w="5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Borders>
              <w:right w:val="single" w:sz="8" w:color="auto"/>
            </w:tcBorders>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4240" w:type="dxa"/>
            <w:vAlign w:val="bottom"/>
            <w:gridSpan w:val="2"/>
            <w:vMerge w:val="continue"/>
          </w:tcPr>
          <w:p>
            <w:pPr>
              <w:spacing w:after="0"/>
              <w:rPr>
                <w:sz w:val="15"/>
                <w:szCs w:val="15"/>
                <w:color w:val="auto"/>
              </w:rPr>
            </w:pPr>
          </w:p>
        </w:tc>
        <w:tc>
          <w:tcPr>
            <w:tcW w:w="5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20" w:type="dxa"/>
            <w:vAlign w:val="bottom"/>
            <w:gridSpan w:val="3"/>
          </w:tcPr>
          <w:p>
            <w:pPr>
              <w:jc w:val="right"/>
              <w:ind w:right="20"/>
              <w:spacing w:after="0"/>
              <w:rPr>
                <w:sz w:val="20"/>
                <w:szCs w:val="20"/>
                <w:color w:val="auto"/>
              </w:rPr>
            </w:pPr>
            <w:r>
              <w:rPr>
                <w:rFonts w:ascii="Arial" w:cs="Arial" w:eastAsia="Arial" w:hAnsi="Arial"/>
                <w:sz w:val="15"/>
                <w:szCs w:val="15"/>
                <w:color w:val="auto"/>
              </w:rPr>
              <w:t>(54)%</w:t>
            </w:r>
          </w:p>
        </w:tc>
        <w:tc>
          <w:tcPr>
            <w:tcW w:w="1400" w:type="dxa"/>
            <w:vAlign w:val="bottom"/>
            <w:gridSpan w:val="4"/>
          </w:tcPr>
          <w:p>
            <w:pPr>
              <w:jc w:val="right"/>
              <w:ind w:right="380"/>
              <w:spacing w:after="0"/>
              <w:rPr>
                <w:sz w:val="20"/>
                <w:szCs w:val="20"/>
                <w:color w:val="auto"/>
              </w:rPr>
            </w:pPr>
            <w:r>
              <w:rPr>
                <w:rFonts w:ascii="Arial" w:cs="Arial" w:eastAsia="Arial" w:hAnsi="Arial"/>
                <w:sz w:val="15"/>
                <w:szCs w:val="15"/>
                <w:color w:val="auto"/>
              </w:rPr>
              <w:t>(25)%</w:t>
            </w: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gridSpan w:val="3"/>
          </w:tcPr>
          <w:p>
            <w:pPr>
              <w:jc w:val="right"/>
              <w:ind w:right="40"/>
              <w:spacing w:after="0"/>
              <w:rPr>
                <w:sz w:val="20"/>
                <w:szCs w:val="20"/>
                <w:color w:val="auto"/>
              </w:rPr>
            </w:pPr>
            <w:r>
              <w:rPr>
                <w:rFonts w:ascii="Arial" w:cs="Arial" w:eastAsia="Arial" w:hAnsi="Arial"/>
                <w:sz w:val="15"/>
                <w:szCs w:val="15"/>
                <w:color w:val="auto"/>
              </w:rPr>
              <w:t>(10)%</w:t>
            </w:r>
          </w:p>
        </w:tc>
        <w:tc>
          <w:tcPr>
            <w:tcW w:w="0" w:type="dxa"/>
            <w:vAlign w:val="bottom"/>
          </w:tcPr>
          <w:p>
            <w:pPr>
              <w:spacing w:after="0"/>
              <w:rPr>
                <w:sz w:val="1"/>
                <w:szCs w:val="1"/>
                <w:color w:val="auto"/>
              </w:rPr>
            </w:pPr>
          </w:p>
        </w:tc>
      </w:tr>
      <w:tr>
        <w:trPr>
          <w:trHeight w:val="20"/>
        </w:trPr>
        <w:tc>
          <w:tcPr>
            <w:tcW w:w="4240" w:type="dxa"/>
            <w:vAlign w:val="bottom"/>
            <w:gridSpan w:val="2"/>
            <w:vMerge w:val="restart"/>
          </w:tcPr>
          <w:p>
            <w:pPr>
              <w:spacing w:after="0"/>
              <w:rPr>
                <w:sz w:val="20"/>
                <w:szCs w:val="20"/>
                <w:color w:val="auto"/>
              </w:rPr>
            </w:pPr>
            <w:r>
              <w:rPr>
                <w:rFonts w:ascii="Arial" w:cs="Arial" w:eastAsia="Arial" w:hAnsi="Arial"/>
                <w:sz w:val="15"/>
                <w:szCs w:val="15"/>
                <w:b w:val="1"/>
                <w:bCs w:val="1"/>
                <w:i w:val="1"/>
                <w:iCs w:val="1"/>
                <w:color w:val="auto"/>
                <w:w w:val="99"/>
              </w:rPr>
              <w:t>Comparison of the year ended December 31, 2016 and 2017</w:t>
            </w:r>
          </w:p>
        </w:tc>
        <w:tc>
          <w:tcPr>
            <w:tcW w:w="5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6"/>
        </w:trPr>
        <w:tc>
          <w:tcPr>
            <w:tcW w:w="4240" w:type="dxa"/>
            <w:vAlign w:val="bottom"/>
            <w:gridSpan w:val="2"/>
            <w:vMerge w:val="continue"/>
          </w:tcPr>
          <w:p>
            <w:pPr>
              <w:spacing w:after="0"/>
              <w:rPr>
                <w:sz w:val="24"/>
                <w:szCs w:val="24"/>
                <w:color w:val="auto"/>
              </w:rPr>
            </w:pPr>
          </w:p>
        </w:tc>
        <w:tc>
          <w:tcPr>
            <w:tcW w:w="5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4240" w:type="dxa"/>
            <w:vAlign w:val="bottom"/>
            <w:gridSpan w:val="2"/>
          </w:tcPr>
          <w:p>
            <w:pPr>
              <w:spacing w:after="0"/>
              <w:rPr>
                <w:sz w:val="20"/>
                <w:szCs w:val="20"/>
                <w:color w:val="auto"/>
              </w:rPr>
            </w:pPr>
            <w:r>
              <w:rPr>
                <w:rFonts w:ascii="Arial" w:cs="Arial" w:eastAsia="Arial" w:hAnsi="Arial"/>
                <w:sz w:val="15"/>
                <w:szCs w:val="15"/>
                <w:i w:val="1"/>
                <w:iCs w:val="1"/>
                <w:color w:val="auto"/>
              </w:rPr>
              <w:t>Revenue</w:t>
            </w:r>
          </w:p>
        </w:tc>
        <w:tc>
          <w:tcPr>
            <w:tcW w:w="56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42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80" w:type="dxa"/>
            <w:vAlign w:val="bottom"/>
            <w:gridSpan w:val="5"/>
          </w:tcPr>
          <w:p>
            <w:pPr>
              <w:jc w:val="right"/>
              <w:ind w:right="460"/>
              <w:spacing w:after="0"/>
              <w:rPr>
                <w:sz w:val="20"/>
                <w:szCs w:val="20"/>
                <w:color w:val="auto"/>
              </w:rPr>
            </w:pPr>
            <w:r>
              <w:rPr>
                <w:rFonts w:ascii="Arial" w:cs="Arial" w:eastAsia="Arial" w:hAnsi="Arial"/>
                <w:sz w:val="12"/>
                <w:szCs w:val="12"/>
                <w:b w:val="1"/>
                <w:bCs w:val="1"/>
                <w:color w:val="auto"/>
                <w:w w:val="90"/>
              </w:rPr>
              <w:t>Year Ended</w:t>
            </w:r>
          </w:p>
        </w:tc>
        <w:tc>
          <w:tcPr>
            <w:tcW w:w="4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2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80" w:type="dxa"/>
            <w:vAlign w:val="bottom"/>
            <w:gridSpan w:val="6"/>
          </w:tcPr>
          <w:p>
            <w:pPr>
              <w:jc w:val="right"/>
              <w:ind w:right="420"/>
              <w:spacing w:after="0"/>
              <w:rPr>
                <w:sz w:val="20"/>
                <w:szCs w:val="20"/>
                <w:color w:val="auto"/>
              </w:rPr>
            </w:pPr>
            <w:r>
              <w:rPr>
                <w:rFonts w:ascii="Arial" w:cs="Arial" w:eastAsia="Arial" w:hAnsi="Arial"/>
                <w:sz w:val="12"/>
                <w:szCs w:val="12"/>
                <w:b w:val="1"/>
                <w:bCs w:val="1"/>
                <w:color w:val="auto"/>
              </w:rPr>
              <w:t>December 31,</w:t>
            </w:r>
          </w:p>
        </w:tc>
        <w:tc>
          <w:tcPr>
            <w:tcW w:w="480" w:type="dxa"/>
            <w:vAlign w:val="bottom"/>
          </w:tcPr>
          <w:p>
            <w:pPr>
              <w:spacing w:after="0"/>
              <w:rPr>
                <w:sz w:val="12"/>
                <w:szCs w:val="12"/>
                <w:color w:val="auto"/>
              </w:rPr>
            </w:pPr>
          </w:p>
        </w:tc>
        <w:tc>
          <w:tcPr>
            <w:tcW w:w="920" w:type="dxa"/>
            <w:vAlign w:val="bottom"/>
            <w:gridSpan w:val="3"/>
            <w:vMerge w:val="restart"/>
          </w:tcPr>
          <w:p>
            <w:pPr>
              <w:jc w:val="right"/>
              <w:ind w:right="440"/>
              <w:spacing w:after="0"/>
              <w:rPr>
                <w:sz w:val="20"/>
                <w:szCs w:val="20"/>
                <w:color w:val="auto"/>
              </w:rPr>
            </w:pPr>
            <w:r>
              <w:rPr>
                <w:rFonts w:ascii="Arial" w:cs="Arial" w:eastAsia="Arial" w:hAnsi="Arial"/>
                <w:sz w:val="12"/>
                <w:szCs w:val="12"/>
                <w:b w:val="1"/>
                <w:bCs w:val="1"/>
                <w:color w:val="auto"/>
                <w:w w:val="85"/>
              </w:rPr>
              <w:t>$ Change</w:t>
            </w:r>
          </w:p>
        </w:tc>
        <w:tc>
          <w:tcPr>
            <w:tcW w:w="780" w:type="dxa"/>
            <w:vAlign w:val="bottom"/>
            <w:gridSpan w:val="6"/>
            <w:vMerge w:val="restart"/>
          </w:tcPr>
          <w:p>
            <w:pPr>
              <w:jc w:val="right"/>
              <w:ind w:right="160"/>
              <w:spacing w:after="0"/>
              <w:rPr>
                <w:sz w:val="20"/>
                <w:szCs w:val="20"/>
                <w:color w:val="auto"/>
              </w:rPr>
            </w:pPr>
            <w:r>
              <w:rPr>
                <w:rFonts w:ascii="Arial" w:cs="Arial" w:eastAsia="Arial" w:hAnsi="Arial"/>
                <w:sz w:val="12"/>
                <w:szCs w:val="12"/>
                <w:b w:val="1"/>
                <w:bCs w:val="1"/>
                <w:color w:val="auto"/>
              </w:rPr>
              <w:t>% Change</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42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400" w:type="dxa"/>
            <w:vAlign w:val="bottom"/>
            <w:tcBorders>
              <w:top w:val="single" w:sz="8" w:color="auto"/>
            </w:tcBorders>
          </w:tcPr>
          <w:p>
            <w:pPr>
              <w:jc w:val="right"/>
              <w:ind w:right="20"/>
              <w:spacing w:after="0" w:line="115" w:lineRule="exact"/>
              <w:rPr>
                <w:sz w:val="20"/>
                <w:szCs w:val="20"/>
                <w:color w:val="auto"/>
              </w:rPr>
            </w:pPr>
            <w:r>
              <w:rPr>
                <w:rFonts w:ascii="Arial" w:cs="Arial" w:eastAsia="Arial" w:hAnsi="Arial"/>
                <w:sz w:val="12"/>
                <w:szCs w:val="12"/>
                <w:b w:val="1"/>
                <w:bCs w:val="1"/>
                <w:color w:val="auto"/>
              </w:rPr>
              <w:t>2016</w:t>
            </w:r>
          </w:p>
        </w:tc>
        <w:tc>
          <w:tcPr>
            <w:tcW w:w="48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480" w:type="dxa"/>
            <w:vAlign w:val="bottom"/>
            <w:tcBorders>
              <w:top w:val="single" w:sz="8" w:color="auto"/>
            </w:tcBorders>
            <w:gridSpan w:val="2"/>
          </w:tcPr>
          <w:p>
            <w:pPr>
              <w:ind w:left="100"/>
              <w:spacing w:after="0" w:line="115" w:lineRule="exact"/>
              <w:rPr>
                <w:sz w:val="20"/>
                <w:szCs w:val="20"/>
                <w:color w:val="auto"/>
              </w:rPr>
            </w:pPr>
            <w:r>
              <w:rPr>
                <w:rFonts w:ascii="Arial" w:cs="Arial" w:eastAsia="Arial" w:hAnsi="Arial"/>
                <w:sz w:val="12"/>
                <w:szCs w:val="12"/>
                <w:b w:val="1"/>
                <w:bCs w:val="1"/>
                <w:color w:val="auto"/>
              </w:rPr>
              <w:t>2017</w:t>
            </w:r>
          </w:p>
        </w:tc>
        <w:tc>
          <w:tcPr>
            <w:tcW w:w="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920" w:type="dxa"/>
            <w:vAlign w:val="bottom"/>
            <w:gridSpan w:val="3"/>
            <w:vMerge w:val="continue"/>
          </w:tcPr>
          <w:p>
            <w:pPr>
              <w:spacing w:after="0"/>
              <w:rPr>
                <w:sz w:val="10"/>
                <w:szCs w:val="10"/>
                <w:color w:val="auto"/>
              </w:rPr>
            </w:pPr>
          </w:p>
        </w:tc>
        <w:tc>
          <w:tcPr>
            <w:tcW w:w="780" w:type="dxa"/>
            <w:vAlign w:val="bottom"/>
            <w:gridSpan w:val="6"/>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42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400" w:type="dxa"/>
            <w:vAlign w:val="bottom"/>
            <w:tcBorders>
              <w:top w:val="single" w:sz="8" w:color="auto"/>
            </w:tcBorders>
          </w:tcPr>
          <w:p>
            <w:pPr>
              <w:spacing w:after="0"/>
              <w:rPr>
                <w:sz w:val="10"/>
                <w:szCs w:val="10"/>
                <w:color w:val="auto"/>
              </w:rPr>
            </w:pPr>
          </w:p>
        </w:tc>
        <w:tc>
          <w:tcPr>
            <w:tcW w:w="1040" w:type="dxa"/>
            <w:vAlign w:val="bottom"/>
            <w:tcBorders>
              <w:top w:val="single" w:sz="8" w:color="auto"/>
            </w:tcBorders>
            <w:gridSpan w:val="4"/>
          </w:tcPr>
          <w:p>
            <w:pPr>
              <w:jc w:val="right"/>
              <w:ind w:right="420"/>
              <w:spacing w:after="0" w:line="115" w:lineRule="exact"/>
              <w:rPr>
                <w:sz w:val="20"/>
                <w:szCs w:val="20"/>
                <w:color w:val="auto"/>
              </w:rPr>
            </w:pPr>
            <w:r>
              <w:rPr>
                <w:rFonts w:ascii="Arial" w:cs="Arial" w:eastAsia="Arial" w:hAnsi="Arial"/>
                <w:sz w:val="12"/>
                <w:szCs w:val="12"/>
                <w:i w:val="1"/>
                <w:iCs w:val="1"/>
                <w:color w:val="auto"/>
                <w:w w:val="97"/>
              </w:rPr>
              <w:t>(In millions)</w:t>
            </w:r>
          </w:p>
        </w:tc>
        <w:tc>
          <w:tcPr>
            <w:tcW w:w="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38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4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400" w:type="dxa"/>
            <w:vAlign w:val="bottom"/>
            <w:tcBorders>
              <w:top w:val="single" w:sz="8" w:color="auto"/>
            </w:tcBorders>
          </w:tcPr>
          <w:p>
            <w:pPr>
              <w:spacing w:after="0"/>
              <w:rPr>
                <w:sz w:val="10"/>
                <w:szCs w:val="10"/>
                <w:color w:val="auto"/>
              </w:rPr>
            </w:pPr>
          </w:p>
        </w:tc>
        <w:tc>
          <w:tcPr>
            <w:tcW w:w="40" w:type="dxa"/>
            <w:vAlign w:val="bottom"/>
            <w:tcBorders>
              <w:top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220" w:type="dxa"/>
            <w:vAlign w:val="bottom"/>
            <w:shd w:val="clear" w:color="auto" w:fill="CCEEFF"/>
          </w:tcPr>
          <w:p>
            <w:pPr>
              <w:spacing w:after="0"/>
              <w:rPr>
                <w:sz w:val="20"/>
                <w:szCs w:val="20"/>
                <w:color w:val="auto"/>
              </w:rPr>
            </w:pPr>
            <w:r>
              <w:rPr>
                <w:rFonts w:ascii="Arial" w:cs="Arial" w:eastAsia="Arial" w:hAnsi="Arial"/>
                <w:sz w:val="15"/>
                <w:szCs w:val="15"/>
                <w:color w:val="auto"/>
              </w:rPr>
              <w:t>Revenue</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$844.8</w:t>
            </w:r>
          </w:p>
        </w:tc>
        <w:tc>
          <w:tcPr>
            <w:tcW w:w="1040" w:type="dxa"/>
            <w:vAlign w:val="bottom"/>
            <w:gridSpan w:val="4"/>
            <w:shd w:val="clear" w:color="auto" w:fill="CCEEFF"/>
          </w:tcPr>
          <w:p>
            <w:pPr>
              <w:jc w:val="right"/>
              <w:spacing w:after="0"/>
              <w:rPr>
                <w:sz w:val="20"/>
                <w:szCs w:val="20"/>
                <w:color w:val="auto"/>
              </w:rPr>
            </w:pPr>
            <w:r>
              <w:rPr>
                <w:rFonts w:ascii="Arial" w:cs="Arial" w:eastAsia="Arial" w:hAnsi="Arial"/>
                <w:sz w:val="15"/>
                <w:szCs w:val="15"/>
                <w:color w:val="auto"/>
              </w:rPr>
              <w:t>$1,106.8</w:t>
            </w:r>
          </w:p>
        </w:tc>
        <w:tc>
          <w:tcPr>
            <w:tcW w:w="40" w:type="dxa"/>
            <w:vAlign w:val="bottom"/>
            <w:shd w:val="clear" w:color="auto" w:fill="CCEEFF"/>
          </w:tcPr>
          <w:p>
            <w:pPr>
              <w:spacing w:after="0"/>
              <w:rPr>
                <w:sz w:val="15"/>
                <w:szCs w:val="15"/>
                <w:color w:val="auto"/>
              </w:rPr>
            </w:pPr>
          </w:p>
        </w:tc>
        <w:tc>
          <w:tcPr>
            <w:tcW w:w="960" w:type="dxa"/>
            <w:vAlign w:val="bottom"/>
            <w:gridSpan w:val="3"/>
            <w:shd w:val="clear" w:color="auto" w:fill="CCEEFF"/>
          </w:tcPr>
          <w:p>
            <w:pPr>
              <w:jc w:val="right"/>
              <w:spacing w:after="0"/>
              <w:rPr>
                <w:sz w:val="20"/>
                <w:szCs w:val="20"/>
                <w:color w:val="auto"/>
              </w:rPr>
            </w:pPr>
            <w:r>
              <w:rPr>
                <w:rFonts w:ascii="Arial" w:cs="Arial" w:eastAsia="Arial" w:hAnsi="Arial"/>
                <w:sz w:val="15"/>
                <w:szCs w:val="15"/>
                <w:color w:val="auto"/>
              </w:rPr>
              <w:t>$ 262.0</w:t>
            </w:r>
          </w:p>
        </w:tc>
        <w:tc>
          <w:tcPr>
            <w:tcW w:w="4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00" w:type="dxa"/>
            <w:vAlign w:val="bottom"/>
            <w:gridSpan w:val="3"/>
            <w:shd w:val="clear" w:color="auto" w:fill="CCEEFF"/>
          </w:tcPr>
          <w:p>
            <w:pPr>
              <w:jc w:val="right"/>
              <w:ind w:right="40"/>
              <w:spacing w:after="0"/>
              <w:rPr>
                <w:sz w:val="20"/>
                <w:szCs w:val="20"/>
                <w:color w:val="auto"/>
              </w:rPr>
            </w:pPr>
            <w:r>
              <w:rPr>
                <w:rFonts w:ascii="Arial" w:cs="Arial" w:eastAsia="Arial" w:hAnsi="Arial"/>
                <w:sz w:val="15"/>
                <w:szCs w:val="15"/>
                <w:color w:val="auto"/>
              </w:rPr>
              <w:t>31%</w:t>
            </w:r>
          </w:p>
        </w:tc>
        <w:tc>
          <w:tcPr>
            <w:tcW w:w="0" w:type="dxa"/>
            <w:vAlign w:val="bottom"/>
          </w:tcPr>
          <w:p>
            <w:pPr>
              <w:spacing w:after="0"/>
              <w:rPr>
                <w:sz w:val="1"/>
                <w:szCs w:val="1"/>
                <w:color w:val="auto"/>
              </w:rPr>
            </w:pPr>
          </w:p>
        </w:tc>
      </w:tr>
    </w:tbl>
    <w:p>
      <w:pPr>
        <w:spacing w:after="0" w:line="170" w:lineRule="exact"/>
        <w:rPr>
          <w:sz w:val="20"/>
          <w:szCs w:val="20"/>
          <w:color w:val="auto"/>
        </w:rPr>
      </w:pPr>
    </w:p>
    <w:p>
      <w:pPr>
        <w:ind w:left="1120" w:firstLine="368"/>
        <w:spacing w:after="0" w:line="263" w:lineRule="auto"/>
        <w:rPr>
          <w:sz w:val="20"/>
          <w:szCs w:val="20"/>
          <w:color w:val="auto"/>
        </w:rPr>
      </w:pPr>
      <w:r>
        <w:rPr>
          <w:rFonts w:ascii="Arial" w:cs="Arial" w:eastAsia="Arial" w:hAnsi="Arial"/>
          <w:sz w:val="15"/>
          <w:szCs w:val="15"/>
          <w:color w:val="auto"/>
        </w:rPr>
        <w:t>Revenue increased $262.0 million or 31% during 2017, as compared to 2016. This increase was primarily due to a 25% increase in the number of paying users between periods. The average revenue per paying user also increased slightly between periods primarily due to an increased mix of sales towards our higher priced subscription plans, including our new Dropbox Business Advanced plan.</w:t>
      </w:r>
    </w:p>
    <w:p>
      <w:pPr>
        <w:spacing w:after="0" w:line="245" w:lineRule="exact"/>
        <w:rPr>
          <w:sz w:val="20"/>
          <w:szCs w:val="20"/>
          <w:color w:val="auto"/>
        </w:rPr>
      </w:pPr>
    </w:p>
    <w:p>
      <w:pPr>
        <w:ind w:left="1480"/>
        <w:spacing w:after="0"/>
        <w:rPr>
          <w:sz w:val="20"/>
          <w:szCs w:val="20"/>
          <w:color w:val="auto"/>
        </w:rPr>
      </w:pPr>
      <w:r>
        <w:rPr>
          <w:rFonts w:ascii="Arial" w:cs="Arial" w:eastAsia="Arial" w:hAnsi="Arial"/>
          <w:sz w:val="15"/>
          <w:szCs w:val="15"/>
          <w:i w:val="1"/>
          <w:iCs w:val="1"/>
          <w:color w:val="auto"/>
        </w:rPr>
        <w:t>Cost of revenue, gross profit, and gross margin</w:t>
      </w:r>
    </w:p>
    <w:p>
      <w:pPr>
        <w:spacing w:after="0" w:line="188" w:lineRule="exact"/>
        <w:rPr>
          <w:sz w:val="20"/>
          <w:szCs w:val="20"/>
          <w:color w:val="auto"/>
        </w:rPr>
      </w:pPr>
    </w:p>
    <w:tbl>
      <w:tblPr>
        <w:tblLayout w:type="fixed"/>
        <w:tblInd w:w="1480" w:type="dxa"/>
        <w:tblCellMar>
          <w:top w:w="0" w:type="dxa"/>
          <w:left w:w="0" w:type="dxa"/>
          <w:bottom w:w="0" w:type="dxa"/>
          <w:right w:w="0" w:type="dxa"/>
        </w:tblCellMar>
      </w:tblPr>
      <w:tr>
        <w:trPr>
          <w:trHeight w:val="138"/>
        </w:trPr>
        <w:tc>
          <w:tcPr>
            <w:tcW w:w="20" w:type="dxa"/>
            <w:vAlign w:val="bottom"/>
          </w:tcPr>
          <w:p>
            <w:pPr>
              <w:spacing w:after="0"/>
              <w:rPr>
                <w:sz w:val="12"/>
                <w:szCs w:val="12"/>
                <w:color w:val="auto"/>
              </w:rPr>
            </w:pPr>
          </w:p>
        </w:tc>
        <w:tc>
          <w:tcPr>
            <w:tcW w:w="2540" w:type="dxa"/>
            <w:vAlign w:val="bottom"/>
          </w:tcPr>
          <w:p>
            <w:pPr>
              <w:spacing w:after="0"/>
              <w:rPr>
                <w:sz w:val="12"/>
                <w:szCs w:val="12"/>
                <w:color w:val="auto"/>
              </w:rPr>
            </w:pPr>
          </w:p>
        </w:tc>
        <w:tc>
          <w:tcPr>
            <w:tcW w:w="2440" w:type="dxa"/>
            <w:vAlign w:val="bottom"/>
          </w:tcPr>
          <w:p>
            <w:pPr>
              <w:spacing w:after="0"/>
              <w:rPr>
                <w:sz w:val="12"/>
                <w:szCs w:val="12"/>
                <w:color w:val="auto"/>
              </w:rPr>
            </w:pPr>
          </w:p>
        </w:tc>
        <w:tc>
          <w:tcPr>
            <w:tcW w:w="1720" w:type="dxa"/>
            <w:vAlign w:val="bottom"/>
            <w:gridSpan w:val="3"/>
          </w:tcPr>
          <w:p>
            <w:pPr>
              <w:jc w:val="center"/>
              <w:ind w:right="340"/>
              <w:spacing w:after="0"/>
              <w:rPr>
                <w:sz w:val="20"/>
                <w:szCs w:val="20"/>
                <w:color w:val="auto"/>
              </w:rPr>
            </w:pPr>
            <w:r>
              <w:rPr>
                <w:rFonts w:ascii="Arial" w:cs="Arial" w:eastAsia="Arial" w:hAnsi="Arial"/>
                <w:sz w:val="12"/>
                <w:szCs w:val="12"/>
                <w:b w:val="1"/>
                <w:bCs w:val="1"/>
                <w:color w:val="auto"/>
                <w:w w:val="93"/>
              </w:rPr>
              <w:t>Year Ended</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540" w:type="dxa"/>
            <w:vAlign w:val="bottom"/>
          </w:tcPr>
          <w:p>
            <w:pPr>
              <w:spacing w:after="0"/>
              <w:rPr>
                <w:sz w:val="12"/>
                <w:szCs w:val="12"/>
                <w:color w:val="auto"/>
              </w:rPr>
            </w:pPr>
          </w:p>
        </w:tc>
        <w:tc>
          <w:tcPr>
            <w:tcW w:w="2440" w:type="dxa"/>
            <w:vAlign w:val="bottom"/>
          </w:tcPr>
          <w:p>
            <w:pPr>
              <w:spacing w:after="0"/>
              <w:rPr>
                <w:sz w:val="12"/>
                <w:szCs w:val="12"/>
                <w:color w:val="auto"/>
              </w:rPr>
            </w:pPr>
          </w:p>
        </w:tc>
        <w:tc>
          <w:tcPr>
            <w:tcW w:w="1720" w:type="dxa"/>
            <w:vAlign w:val="bottom"/>
            <w:gridSpan w:val="3"/>
          </w:tcPr>
          <w:p>
            <w:pPr>
              <w:jc w:val="center"/>
              <w:ind w:right="340"/>
              <w:spacing w:after="0"/>
              <w:rPr>
                <w:sz w:val="20"/>
                <w:szCs w:val="20"/>
                <w:color w:val="auto"/>
              </w:rPr>
            </w:pPr>
            <w:r>
              <w:rPr>
                <w:rFonts w:ascii="Arial" w:cs="Arial" w:eastAsia="Arial" w:hAnsi="Arial"/>
                <w:sz w:val="12"/>
                <w:szCs w:val="12"/>
                <w:b w:val="1"/>
                <w:bCs w:val="1"/>
                <w:color w:val="auto"/>
                <w:w w:val="89"/>
              </w:rPr>
              <w:t>December 31,</w:t>
            </w:r>
          </w:p>
        </w:tc>
        <w:tc>
          <w:tcPr>
            <w:tcW w:w="280" w:type="dxa"/>
            <w:vAlign w:val="bottom"/>
            <w:gridSpan w:val="2"/>
            <w:vMerge w:val="restart"/>
          </w:tcPr>
          <w:p>
            <w:pPr>
              <w:ind w:left="200"/>
              <w:spacing w:after="0"/>
              <w:rPr>
                <w:sz w:val="20"/>
                <w:szCs w:val="20"/>
                <w:color w:val="auto"/>
              </w:rPr>
            </w:pPr>
            <w:r>
              <w:rPr>
                <w:rFonts w:ascii="Arial" w:cs="Arial" w:eastAsia="Arial" w:hAnsi="Arial"/>
                <w:sz w:val="12"/>
                <w:szCs w:val="12"/>
                <w:b w:val="1"/>
                <w:bCs w:val="1"/>
                <w:color w:val="auto"/>
                <w:w w:val="89"/>
              </w:rPr>
              <w:t>$</w:t>
            </w:r>
          </w:p>
        </w:tc>
        <w:tc>
          <w:tcPr>
            <w:tcW w:w="660" w:type="dxa"/>
            <w:vAlign w:val="bottom"/>
            <w:gridSpan w:val="2"/>
            <w:vMerge w:val="restart"/>
          </w:tcPr>
          <w:p>
            <w:pPr>
              <w:jc w:val="right"/>
              <w:ind w:right="260"/>
              <w:spacing w:after="0"/>
              <w:rPr>
                <w:sz w:val="20"/>
                <w:szCs w:val="20"/>
                <w:color w:val="auto"/>
              </w:rPr>
            </w:pPr>
            <w:r>
              <w:rPr>
                <w:rFonts w:ascii="Arial" w:cs="Arial" w:eastAsia="Arial" w:hAnsi="Arial"/>
                <w:sz w:val="12"/>
                <w:szCs w:val="12"/>
                <w:b w:val="1"/>
                <w:bCs w:val="1"/>
                <w:color w:val="auto"/>
                <w:w w:val="86"/>
              </w:rPr>
              <w:t>Change</w:t>
            </w:r>
          </w:p>
        </w:tc>
        <w:tc>
          <w:tcPr>
            <w:tcW w:w="800" w:type="dxa"/>
            <w:vAlign w:val="bottom"/>
            <w:gridSpan w:val="3"/>
            <w:vMerge w:val="restart"/>
          </w:tcPr>
          <w:p>
            <w:pPr>
              <w:ind w:left="200"/>
              <w:spacing w:after="0"/>
              <w:rPr>
                <w:sz w:val="20"/>
                <w:szCs w:val="20"/>
                <w:color w:val="auto"/>
              </w:rPr>
            </w:pPr>
            <w:r>
              <w:rPr>
                <w:rFonts w:ascii="Arial" w:cs="Arial" w:eastAsia="Arial" w:hAnsi="Arial"/>
                <w:sz w:val="12"/>
                <w:szCs w:val="12"/>
                <w:b w:val="1"/>
                <w:bCs w:val="1"/>
                <w:color w:val="auto"/>
                <w:w w:val="99"/>
              </w:rPr>
              <w:t>% Change</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2540" w:type="dxa"/>
            <w:vAlign w:val="bottom"/>
          </w:tcPr>
          <w:p>
            <w:pPr>
              <w:spacing w:after="0"/>
              <w:rPr>
                <w:sz w:val="10"/>
                <w:szCs w:val="10"/>
                <w:color w:val="auto"/>
              </w:rPr>
            </w:pPr>
          </w:p>
        </w:tc>
        <w:tc>
          <w:tcPr>
            <w:tcW w:w="2440" w:type="dxa"/>
            <w:vAlign w:val="bottom"/>
          </w:tcPr>
          <w:p>
            <w:pPr>
              <w:spacing w:after="0"/>
              <w:rPr>
                <w:sz w:val="10"/>
                <w:szCs w:val="10"/>
                <w:color w:val="auto"/>
              </w:rPr>
            </w:pPr>
          </w:p>
        </w:tc>
        <w:tc>
          <w:tcPr>
            <w:tcW w:w="760" w:type="dxa"/>
            <w:vAlign w:val="bottom"/>
            <w:tcBorders>
              <w:top w:val="single" w:sz="8" w:color="auto"/>
            </w:tcBorders>
          </w:tcPr>
          <w:p>
            <w:pPr>
              <w:jc w:val="right"/>
              <w:ind w:right="380"/>
              <w:spacing w:after="0" w:line="115" w:lineRule="exact"/>
              <w:rPr>
                <w:sz w:val="20"/>
                <w:szCs w:val="20"/>
                <w:color w:val="auto"/>
              </w:rPr>
            </w:pPr>
            <w:r>
              <w:rPr>
                <w:rFonts w:ascii="Arial" w:cs="Arial" w:eastAsia="Arial" w:hAnsi="Arial"/>
                <w:sz w:val="12"/>
                <w:szCs w:val="12"/>
                <w:b w:val="1"/>
                <w:bCs w:val="1"/>
                <w:color w:val="auto"/>
              </w:rPr>
              <w:t>2016</w:t>
            </w:r>
          </w:p>
        </w:tc>
        <w:tc>
          <w:tcPr>
            <w:tcW w:w="620" w:type="dxa"/>
            <w:vAlign w:val="bottom"/>
            <w:tcBorders>
              <w:top w:val="single" w:sz="8" w:color="auto"/>
            </w:tcBorders>
          </w:tcPr>
          <w:p>
            <w:pPr>
              <w:jc w:val="right"/>
              <w:ind w:right="29"/>
              <w:spacing w:after="0" w:line="115" w:lineRule="exact"/>
              <w:rPr>
                <w:sz w:val="20"/>
                <w:szCs w:val="20"/>
                <w:color w:val="auto"/>
              </w:rPr>
            </w:pPr>
            <w:r>
              <w:rPr>
                <w:rFonts w:ascii="Arial" w:cs="Arial" w:eastAsia="Arial" w:hAnsi="Arial"/>
                <w:sz w:val="12"/>
                <w:szCs w:val="12"/>
                <w:b w:val="1"/>
                <w:bCs w:val="1"/>
                <w:color w:val="auto"/>
              </w:rPr>
              <w:t>2017</w:t>
            </w:r>
          </w:p>
        </w:tc>
        <w:tc>
          <w:tcPr>
            <w:tcW w:w="340" w:type="dxa"/>
            <w:vAlign w:val="bottom"/>
          </w:tcPr>
          <w:p>
            <w:pPr>
              <w:spacing w:after="0"/>
              <w:rPr>
                <w:sz w:val="10"/>
                <w:szCs w:val="10"/>
                <w:color w:val="auto"/>
              </w:rPr>
            </w:pPr>
          </w:p>
        </w:tc>
        <w:tc>
          <w:tcPr>
            <w:tcW w:w="280" w:type="dxa"/>
            <w:vAlign w:val="bottom"/>
            <w:gridSpan w:val="2"/>
            <w:vMerge w:val="continue"/>
          </w:tcPr>
          <w:p>
            <w:pPr>
              <w:spacing w:after="0"/>
              <w:rPr>
                <w:sz w:val="10"/>
                <w:szCs w:val="10"/>
                <w:color w:val="auto"/>
              </w:rPr>
            </w:pPr>
          </w:p>
        </w:tc>
        <w:tc>
          <w:tcPr>
            <w:tcW w:w="660" w:type="dxa"/>
            <w:vAlign w:val="bottom"/>
            <w:gridSpan w:val="2"/>
            <w:vMerge w:val="continue"/>
          </w:tcPr>
          <w:p>
            <w:pPr>
              <w:spacing w:after="0"/>
              <w:rPr>
                <w:sz w:val="10"/>
                <w:szCs w:val="10"/>
                <w:color w:val="auto"/>
              </w:rPr>
            </w:pPr>
          </w:p>
        </w:tc>
        <w:tc>
          <w:tcPr>
            <w:tcW w:w="80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2540" w:type="dxa"/>
            <w:vAlign w:val="bottom"/>
          </w:tcPr>
          <w:p>
            <w:pPr>
              <w:spacing w:after="0"/>
              <w:rPr>
                <w:sz w:val="10"/>
                <w:szCs w:val="10"/>
                <w:color w:val="auto"/>
              </w:rPr>
            </w:pPr>
          </w:p>
        </w:tc>
        <w:tc>
          <w:tcPr>
            <w:tcW w:w="2440" w:type="dxa"/>
            <w:vAlign w:val="bottom"/>
          </w:tcPr>
          <w:p>
            <w:pPr>
              <w:spacing w:after="0"/>
              <w:rPr>
                <w:sz w:val="10"/>
                <w:szCs w:val="10"/>
                <w:color w:val="auto"/>
              </w:rPr>
            </w:pPr>
          </w:p>
        </w:tc>
        <w:tc>
          <w:tcPr>
            <w:tcW w:w="1380" w:type="dxa"/>
            <w:vAlign w:val="bottom"/>
            <w:tcBorders>
              <w:top w:val="single" w:sz="8" w:color="auto"/>
            </w:tcBorders>
            <w:gridSpan w:val="2"/>
          </w:tcPr>
          <w:p>
            <w:pPr>
              <w:jc w:val="center"/>
              <w:spacing w:after="0" w:line="115" w:lineRule="exact"/>
              <w:rPr>
                <w:sz w:val="20"/>
                <w:szCs w:val="20"/>
                <w:color w:val="auto"/>
              </w:rPr>
            </w:pPr>
            <w:r>
              <w:rPr>
                <w:rFonts w:ascii="Arial" w:cs="Arial" w:eastAsia="Arial" w:hAnsi="Arial"/>
                <w:sz w:val="12"/>
                <w:szCs w:val="12"/>
                <w:i w:val="1"/>
                <w:iCs w:val="1"/>
                <w:color w:val="auto"/>
                <w:w w:val="94"/>
              </w:rPr>
              <w:t>(In millions)</w:t>
            </w:r>
          </w:p>
        </w:tc>
        <w:tc>
          <w:tcPr>
            <w:tcW w:w="3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400" w:type="dxa"/>
            <w:vAlign w:val="bottom"/>
            <w:tcBorders>
              <w:top w:val="single" w:sz="8" w:color="auto"/>
            </w:tcBorders>
          </w:tcPr>
          <w:p>
            <w:pPr>
              <w:spacing w:after="0"/>
              <w:rPr>
                <w:sz w:val="10"/>
                <w:szCs w:val="10"/>
                <w:color w:val="auto"/>
              </w:rPr>
            </w:pPr>
          </w:p>
        </w:tc>
        <w:tc>
          <w:tcPr>
            <w:tcW w:w="2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40" w:type="dxa"/>
            <w:vAlign w:val="bottom"/>
            <w:tcBorders>
              <w:top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2540" w:type="dxa"/>
            <w:vAlign w:val="bottom"/>
            <w:shd w:val="clear" w:color="auto" w:fill="CCEEFF"/>
          </w:tcPr>
          <w:p>
            <w:pPr>
              <w:spacing w:after="0"/>
              <w:rPr>
                <w:sz w:val="20"/>
                <w:szCs w:val="20"/>
                <w:color w:val="auto"/>
              </w:rPr>
            </w:pPr>
            <w:r>
              <w:rPr>
                <w:rFonts w:ascii="Arial" w:cs="Arial" w:eastAsia="Arial" w:hAnsi="Arial"/>
                <w:sz w:val="15"/>
                <w:szCs w:val="15"/>
                <w:color w:val="auto"/>
              </w:rPr>
              <w:t>Cost of revenue</w:t>
            </w:r>
          </w:p>
        </w:tc>
        <w:tc>
          <w:tcPr>
            <w:tcW w:w="3200" w:type="dxa"/>
            <w:vAlign w:val="bottom"/>
            <w:gridSpan w:val="2"/>
            <w:shd w:val="clear" w:color="auto" w:fill="CCEEFF"/>
          </w:tcPr>
          <w:p>
            <w:pPr>
              <w:jc w:val="right"/>
              <w:ind w:right="280"/>
              <w:spacing w:after="0"/>
              <w:rPr>
                <w:sz w:val="20"/>
                <w:szCs w:val="20"/>
                <w:color w:val="auto"/>
              </w:rPr>
            </w:pPr>
            <w:r>
              <w:rPr>
                <w:rFonts w:ascii="Arial" w:cs="Arial" w:eastAsia="Arial" w:hAnsi="Arial"/>
                <w:sz w:val="15"/>
                <w:szCs w:val="15"/>
                <w:color w:val="auto"/>
              </w:rPr>
              <w:t>$390.6</w:t>
            </w:r>
          </w:p>
        </w:tc>
        <w:tc>
          <w:tcPr>
            <w:tcW w:w="6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$368.9</w:t>
            </w:r>
          </w:p>
        </w:tc>
        <w:tc>
          <w:tcPr>
            <w:tcW w:w="340" w:type="dxa"/>
            <w:vAlign w:val="bottom"/>
            <w:shd w:val="clear" w:color="auto" w:fill="CCEEFF"/>
          </w:tcPr>
          <w:p>
            <w:pPr>
              <w:spacing w:after="0"/>
              <w:rPr>
                <w:sz w:val="15"/>
                <w:szCs w:val="15"/>
                <w:color w:val="auto"/>
              </w:rPr>
            </w:pPr>
          </w:p>
        </w:tc>
        <w:tc>
          <w:tcPr>
            <w:tcW w:w="280" w:type="dxa"/>
            <w:vAlign w:val="bottom"/>
            <w:gridSpan w:val="2"/>
            <w:shd w:val="clear" w:color="auto" w:fill="CCEEFF"/>
          </w:tcPr>
          <w:p>
            <w:pPr>
              <w:ind w:left="200"/>
              <w:spacing w:after="0"/>
              <w:rPr>
                <w:sz w:val="20"/>
                <w:szCs w:val="20"/>
                <w:color w:val="auto"/>
              </w:rPr>
            </w:pPr>
            <w:r>
              <w:rPr>
                <w:rFonts w:ascii="Arial" w:cs="Arial" w:eastAsia="Arial" w:hAnsi="Arial"/>
                <w:sz w:val="15"/>
                <w:szCs w:val="15"/>
                <w:color w:val="auto"/>
                <w:w w:val="71"/>
              </w:rPr>
              <w:t>$</w:t>
            </w: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(21.7)</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(6)%</w:t>
            </w: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2540" w:type="dxa"/>
            <w:vAlign w:val="bottom"/>
          </w:tcPr>
          <w:p>
            <w:pPr>
              <w:spacing w:after="0"/>
              <w:rPr>
                <w:sz w:val="20"/>
                <w:szCs w:val="20"/>
                <w:color w:val="auto"/>
              </w:rPr>
            </w:pPr>
            <w:r>
              <w:rPr>
                <w:rFonts w:ascii="Arial" w:cs="Arial" w:eastAsia="Arial" w:hAnsi="Arial"/>
                <w:sz w:val="15"/>
                <w:szCs w:val="15"/>
                <w:color w:val="auto"/>
              </w:rPr>
              <w:t>Gross profit</w:t>
            </w:r>
          </w:p>
        </w:tc>
        <w:tc>
          <w:tcPr>
            <w:tcW w:w="3200" w:type="dxa"/>
            <w:vAlign w:val="bottom"/>
            <w:gridSpan w:val="2"/>
          </w:tcPr>
          <w:p>
            <w:pPr>
              <w:jc w:val="right"/>
              <w:ind w:right="280"/>
              <w:spacing w:after="0"/>
              <w:rPr>
                <w:sz w:val="20"/>
                <w:szCs w:val="20"/>
                <w:color w:val="auto"/>
              </w:rPr>
            </w:pPr>
            <w:r>
              <w:rPr>
                <w:rFonts w:ascii="Arial" w:cs="Arial" w:eastAsia="Arial" w:hAnsi="Arial"/>
                <w:sz w:val="15"/>
                <w:szCs w:val="15"/>
                <w:color w:val="auto"/>
              </w:rPr>
              <w:t>454.2</w:t>
            </w:r>
          </w:p>
        </w:tc>
        <w:tc>
          <w:tcPr>
            <w:tcW w:w="620" w:type="dxa"/>
            <w:vAlign w:val="bottom"/>
          </w:tcPr>
          <w:p>
            <w:pPr>
              <w:jc w:val="right"/>
              <w:spacing w:after="0"/>
              <w:rPr>
                <w:sz w:val="20"/>
                <w:szCs w:val="20"/>
                <w:color w:val="auto"/>
              </w:rPr>
            </w:pPr>
            <w:r>
              <w:rPr>
                <w:rFonts w:ascii="Arial" w:cs="Arial" w:eastAsia="Arial" w:hAnsi="Arial"/>
                <w:sz w:val="15"/>
                <w:szCs w:val="15"/>
                <w:color w:val="auto"/>
              </w:rPr>
              <w:t>737.9</w:t>
            </w:r>
          </w:p>
        </w:tc>
        <w:tc>
          <w:tcPr>
            <w:tcW w:w="3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0" w:type="dxa"/>
            <w:vAlign w:val="bottom"/>
          </w:tcPr>
          <w:p>
            <w:pPr>
              <w:jc w:val="right"/>
              <w:spacing w:after="0"/>
              <w:rPr>
                <w:sz w:val="20"/>
                <w:szCs w:val="20"/>
                <w:color w:val="auto"/>
              </w:rPr>
            </w:pPr>
            <w:r>
              <w:rPr>
                <w:rFonts w:ascii="Arial" w:cs="Arial" w:eastAsia="Arial" w:hAnsi="Arial"/>
                <w:sz w:val="15"/>
                <w:szCs w:val="15"/>
                <w:color w:val="auto"/>
              </w:rPr>
              <w:t>283.7</w:t>
            </w:r>
          </w:p>
        </w:tc>
        <w:tc>
          <w:tcPr>
            <w:tcW w:w="260" w:type="dxa"/>
            <w:vAlign w:val="bottom"/>
          </w:tcPr>
          <w:p>
            <w:pPr>
              <w:spacing w:after="0"/>
              <w:rPr>
                <w:sz w:val="15"/>
                <w:szCs w:val="15"/>
                <w:color w:val="auto"/>
              </w:rPr>
            </w:pPr>
          </w:p>
        </w:tc>
        <w:tc>
          <w:tcPr>
            <w:tcW w:w="760" w:type="dxa"/>
            <w:vAlign w:val="bottom"/>
            <w:gridSpan w:val="2"/>
          </w:tcPr>
          <w:p>
            <w:pPr>
              <w:jc w:val="right"/>
              <w:spacing w:after="0"/>
              <w:rPr>
                <w:sz w:val="20"/>
                <w:szCs w:val="20"/>
                <w:color w:val="auto"/>
              </w:rPr>
            </w:pPr>
            <w:r>
              <w:rPr>
                <w:rFonts w:ascii="Arial" w:cs="Arial" w:eastAsia="Arial" w:hAnsi="Arial"/>
                <w:sz w:val="15"/>
                <w:szCs w:val="15"/>
                <w:color w:val="auto"/>
              </w:rPr>
              <w:t>62%</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2540" w:type="dxa"/>
            <w:vAlign w:val="bottom"/>
            <w:shd w:val="clear" w:color="auto" w:fill="CCEEFF"/>
          </w:tcPr>
          <w:p>
            <w:pPr>
              <w:spacing w:after="0"/>
              <w:rPr>
                <w:sz w:val="20"/>
                <w:szCs w:val="20"/>
                <w:color w:val="auto"/>
              </w:rPr>
            </w:pPr>
            <w:r>
              <w:rPr>
                <w:rFonts w:ascii="Arial" w:cs="Arial" w:eastAsia="Arial" w:hAnsi="Arial"/>
                <w:sz w:val="15"/>
                <w:szCs w:val="15"/>
                <w:color w:val="auto"/>
              </w:rPr>
              <w:t>Gross margin</w:t>
            </w:r>
          </w:p>
        </w:tc>
        <w:tc>
          <w:tcPr>
            <w:tcW w:w="320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54%</w:t>
            </w: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67%</w:t>
            </w:r>
          </w:p>
        </w:tc>
        <w:tc>
          <w:tcPr>
            <w:tcW w:w="2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303"/>
        </w:trPr>
        <w:tc>
          <w:tcPr>
            <w:tcW w:w="20" w:type="dxa"/>
            <w:vAlign w:val="bottom"/>
          </w:tcPr>
          <w:p>
            <w:pPr>
              <w:spacing w:after="0"/>
              <w:rPr>
                <w:sz w:val="24"/>
                <w:szCs w:val="24"/>
                <w:color w:val="auto"/>
              </w:rPr>
            </w:pPr>
          </w:p>
        </w:tc>
        <w:tc>
          <w:tcPr>
            <w:tcW w:w="2540" w:type="dxa"/>
            <w:vAlign w:val="bottom"/>
          </w:tcPr>
          <w:p>
            <w:pPr>
              <w:spacing w:after="0"/>
              <w:rPr>
                <w:sz w:val="24"/>
                <w:szCs w:val="24"/>
                <w:color w:val="auto"/>
              </w:rPr>
            </w:pPr>
          </w:p>
        </w:tc>
        <w:tc>
          <w:tcPr>
            <w:tcW w:w="2440" w:type="dxa"/>
            <w:vAlign w:val="bottom"/>
          </w:tcPr>
          <w:p>
            <w:pPr>
              <w:jc w:val="right"/>
              <w:ind w:right="625"/>
              <w:spacing w:after="0"/>
              <w:rPr>
                <w:sz w:val="20"/>
                <w:szCs w:val="20"/>
                <w:color w:val="auto"/>
              </w:rPr>
            </w:pPr>
            <w:r>
              <w:rPr>
                <w:rFonts w:ascii="Arial" w:cs="Arial" w:eastAsia="Arial" w:hAnsi="Arial"/>
                <w:sz w:val="15"/>
                <w:szCs w:val="15"/>
                <w:color w:val="auto"/>
              </w:rPr>
              <w:t>76</w:t>
            </w:r>
          </w:p>
        </w:tc>
        <w:tc>
          <w:tcPr>
            <w:tcW w:w="7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240"/>
          </w:cols>
          <w:pgMar w:left="240" w:top="407" w:right="1419" w:bottom="1440" w:gutter="0" w:footer="0" w:header="0"/>
        </w:sectPr>
      </w:pPr>
    </w:p>
    <w:bookmarkStart w:id="83" w:name="page84"/>
    <w:bookmarkEnd w:id="83"/>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133350</wp:posOffset>
            </wp:positionH>
            <wp:positionV relativeFrom="page">
              <wp:posOffset>88900</wp:posOffset>
            </wp:positionV>
            <wp:extent cx="7308850" cy="342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308850" cy="34290"/>
                    </a:xfrm>
                    <a:prstGeom prst="rect">
                      <a:avLst/>
                    </a:prstGeom>
                    <a:noFill/>
                  </pic:spPr>
                </pic:pic>
              </a:graphicData>
            </a:graphic>
          </wp:anchor>
        </w:drawing>
      </w:r>
      <w:hyperlink w:anchor="page7">
        <w:r>
          <w:rPr>
            <w:rFonts w:ascii="Arial" w:cs="Arial" w:eastAsia="Arial" w:hAnsi="Arial"/>
            <w:sz w:val="15"/>
            <w:szCs w:val="15"/>
            <w:b w:val="1"/>
            <w:bCs w:val="1"/>
            <w:u w:val="single" w:color="auto"/>
            <w:color w:val="0000EE"/>
          </w:rPr>
          <w:t>Table of Contents</w:t>
        </w:r>
      </w:hyperlink>
    </w:p>
    <w:p>
      <w:pPr>
        <w:spacing w:after="0" w:line="260" w:lineRule="exact"/>
        <w:rPr>
          <w:sz w:val="20"/>
          <w:szCs w:val="20"/>
          <w:color w:val="auto"/>
        </w:rPr>
      </w:pPr>
    </w:p>
    <w:p>
      <w:pPr>
        <w:ind w:left="1120" w:right="40" w:firstLine="368"/>
        <w:spacing w:after="0" w:line="257" w:lineRule="auto"/>
        <w:rPr>
          <w:sz w:val="20"/>
          <w:szCs w:val="20"/>
          <w:color w:val="auto"/>
        </w:rPr>
      </w:pPr>
      <w:r>
        <w:rPr>
          <w:rFonts w:ascii="Arial" w:cs="Arial" w:eastAsia="Arial" w:hAnsi="Arial"/>
          <w:sz w:val="15"/>
          <w:szCs w:val="15"/>
          <w:color w:val="auto"/>
        </w:rPr>
        <w:t>Cost of revenue decreased $21.7 million or 6% during 2017, as compared to 2016, primarily due to a $35.1 million decrease in our infrastructure costs due to our Infrastructure Optimization. Further, the decrease in cost of revenue was due to a $5.9 million decrease in amortization of developed technologies, as certain intangible assets became fully amortized during 2016. These decreases were partially offset by an increase of $11.0 million in employee-related expenses, which was due to headcount growth, an increase of $5.3 million in credit card transaction fees due to higher sales and an increase of $3.0 million in professional fees for user support.</w:t>
      </w:r>
    </w:p>
    <w:p>
      <w:pPr>
        <w:spacing w:after="0" w:line="159" w:lineRule="exact"/>
        <w:rPr>
          <w:sz w:val="20"/>
          <w:szCs w:val="20"/>
          <w:color w:val="auto"/>
        </w:rPr>
      </w:pPr>
    </w:p>
    <w:p>
      <w:pPr>
        <w:ind w:left="1120" w:firstLine="368"/>
        <w:spacing w:after="0" w:line="275" w:lineRule="auto"/>
        <w:rPr>
          <w:sz w:val="20"/>
          <w:szCs w:val="20"/>
          <w:color w:val="auto"/>
        </w:rPr>
      </w:pPr>
      <w:r>
        <w:rPr>
          <w:rFonts w:ascii="Arial" w:cs="Arial" w:eastAsia="Arial" w:hAnsi="Arial"/>
          <w:sz w:val="15"/>
          <w:szCs w:val="15"/>
          <w:color w:val="auto"/>
        </w:rPr>
        <w:t>Our gross margin increased from 54% during 2016 to 67% during 2017, primarily due to a 31% increase in our revenue during the period and our Infrastructure Optimization.</w:t>
      </w:r>
    </w:p>
    <w:p>
      <w:pPr>
        <w:spacing w:after="0" w:line="236" w:lineRule="exact"/>
        <w:rPr>
          <w:sz w:val="20"/>
          <w:szCs w:val="20"/>
          <w:color w:val="auto"/>
        </w:rPr>
      </w:pPr>
    </w:p>
    <w:p>
      <w:pPr>
        <w:ind w:left="1480"/>
        <w:spacing w:after="0"/>
        <w:rPr>
          <w:sz w:val="20"/>
          <w:szCs w:val="20"/>
          <w:color w:val="auto"/>
        </w:rPr>
      </w:pPr>
      <w:r>
        <w:rPr>
          <w:rFonts w:ascii="Arial" w:cs="Arial" w:eastAsia="Arial" w:hAnsi="Arial"/>
          <w:sz w:val="15"/>
          <w:szCs w:val="15"/>
          <w:i w:val="1"/>
          <w:iCs w:val="1"/>
          <w:color w:val="auto"/>
        </w:rPr>
        <w:t>Research and development</w:t>
      </w:r>
    </w:p>
    <w:p>
      <w:pPr>
        <w:spacing w:after="0" w:line="188" w:lineRule="exact"/>
        <w:rPr>
          <w:sz w:val="20"/>
          <w:szCs w:val="20"/>
          <w:color w:val="auto"/>
        </w:rPr>
      </w:pPr>
    </w:p>
    <w:tbl>
      <w:tblPr>
        <w:tblLayout w:type="fixed"/>
        <w:tblInd w:w="1480" w:type="dxa"/>
        <w:tblCellMar>
          <w:top w:w="0" w:type="dxa"/>
          <w:left w:w="0" w:type="dxa"/>
          <w:bottom w:w="0" w:type="dxa"/>
          <w:right w:w="0" w:type="dxa"/>
        </w:tblCellMar>
      </w:tblPr>
      <w:tr>
        <w:trPr>
          <w:trHeight w:val="138"/>
        </w:trPr>
        <w:tc>
          <w:tcPr>
            <w:tcW w:w="20" w:type="dxa"/>
            <w:vAlign w:val="bottom"/>
          </w:tcPr>
          <w:p>
            <w:pPr>
              <w:spacing w:after="0"/>
              <w:rPr>
                <w:sz w:val="12"/>
                <w:szCs w:val="12"/>
                <w:color w:val="auto"/>
              </w:rPr>
            </w:pPr>
          </w:p>
        </w:tc>
        <w:tc>
          <w:tcPr>
            <w:tcW w:w="326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1320" w:type="dxa"/>
            <w:vAlign w:val="bottom"/>
            <w:gridSpan w:val="2"/>
          </w:tcPr>
          <w:p>
            <w:pPr>
              <w:jc w:val="center"/>
              <w:spacing w:after="0"/>
              <w:rPr>
                <w:sz w:val="20"/>
                <w:szCs w:val="20"/>
                <w:color w:val="auto"/>
              </w:rPr>
            </w:pPr>
            <w:r>
              <w:rPr>
                <w:rFonts w:ascii="Arial" w:cs="Arial" w:eastAsia="Arial" w:hAnsi="Arial"/>
                <w:sz w:val="12"/>
                <w:szCs w:val="12"/>
                <w:b w:val="1"/>
                <w:bCs w:val="1"/>
                <w:color w:val="auto"/>
                <w:w w:val="90"/>
              </w:rPr>
              <w:t>Year Ended</w:t>
            </w: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26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1320" w:type="dxa"/>
            <w:vAlign w:val="bottom"/>
            <w:tcBorders>
              <w:bottom w:val="single" w:sz="8" w:color="auto"/>
            </w:tcBorders>
            <w:gridSpan w:val="2"/>
          </w:tcPr>
          <w:p>
            <w:pPr>
              <w:jc w:val="center"/>
              <w:spacing w:after="0"/>
              <w:rPr>
                <w:sz w:val="20"/>
                <w:szCs w:val="20"/>
                <w:color w:val="auto"/>
              </w:rPr>
            </w:pPr>
            <w:r>
              <w:rPr>
                <w:rFonts w:ascii="Arial" w:cs="Arial" w:eastAsia="Arial" w:hAnsi="Arial"/>
                <w:sz w:val="12"/>
                <w:szCs w:val="12"/>
                <w:b w:val="1"/>
                <w:bCs w:val="1"/>
                <w:color w:val="auto"/>
                <w:w w:val="89"/>
              </w:rPr>
              <w:t>December 31,</w:t>
            </w:r>
          </w:p>
        </w:tc>
        <w:tc>
          <w:tcPr>
            <w:tcW w:w="580" w:type="dxa"/>
            <w:vAlign w:val="bottom"/>
            <w:gridSpan w:val="2"/>
            <w:vMerge w:val="restart"/>
          </w:tcPr>
          <w:p>
            <w:pPr>
              <w:ind w:left="500"/>
              <w:spacing w:after="0"/>
              <w:rPr>
                <w:sz w:val="20"/>
                <w:szCs w:val="20"/>
                <w:color w:val="auto"/>
              </w:rPr>
            </w:pPr>
            <w:r>
              <w:rPr>
                <w:rFonts w:ascii="Arial" w:cs="Arial" w:eastAsia="Arial" w:hAnsi="Arial"/>
                <w:sz w:val="12"/>
                <w:szCs w:val="12"/>
                <w:b w:val="1"/>
                <w:bCs w:val="1"/>
                <w:color w:val="auto"/>
                <w:w w:val="89"/>
              </w:rPr>
              <w:t>$</w:t>
            </w:r>
          </w:p>
        </w:tc>
        <w:tc>
          <w:tcPr>
            <w:tcW w:w="420" w:type="dxa"/>
            <w:vAlign w:val="bottom"/>
            <w:vMerge w:val="restart"/>
          </w:tcPr>
          <w:p>
            <w:pPr>
              <w:jc w:val="right"/>
              <w:spacing w:after="0"/>
              <w:rPr>
                <w:sz w:val="20"/>
                <w:szCs w:val="20"/>
                <w:color w:val="auto"/>
              </w:rPr>
            </w:pPr>
            <w:r>
              <w:rPr>
                <w:rFonts w:ascii="Arial" w:cs="Arial" w:eastAsia="Arial" w:hAnsi="Arial"/>
                <w:sz w:val="12"/>
                <w:szCs w:val="12"/>
                <w:b w:val="1"/>
                <w:bCs w:val="1"/>
                <w:color w:val="auto"/>
                <w:w w:val="86"/>
              </w:rPr>
              <w:t>Change</w:t>
            </w:r>
          </w:p>
        </w:tc>
        <w:tc>
          <w:tcPr>
            <w:tcW w:w="1200" w:type="dxa"/>
            <w:vAlign w:val="bottom"/>
            <w:gridSpan w:val="3"/>
            <w:vMerge w:val="restart"/>
          </w:tcPr>
          <w:p>
            <w:pPr>
              <w:jc w:val="right"/>
              <w:ind w:right="160"/>
              <w:spacing w:after="0"/>
              <w:rPr>
                <w:sz w:val="20"/>
                <w:szCs w:val="20"/>
                <w:color w:val="auto"/>
              </w:rPr>
            </w:pPr>
            <w:r>
              <w:rPr>
                <w:rFonts w:ascii="Arial" w:cs="Arial" w:eastAsia="Arial" w:hAnsi="Arial"/>
                <w:sz w:val="12"/>
                <w:szCs w:val="12"/>
                <w:b w:val="1"/>
                <w:bCs w:val="1"/>
                <w:color w:val="auto"/>
              </w:rPr>
              <w:t>% Change</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3260" w:type="dxa"/>
            <w:vAlign w:val="bottom"/>
          </w:tcPr>
          <w:p>
            <w:pPr>
              <w:spacing w:after="0"/>
              <w:rPr>
                <w:sz w:val="10"/>
                <w:szCs w:val="10"/>
                <w:color w:val="auto"/>
              </w:rPr>
            </w:pPr>
          </w:p>
        </w:tc>
        <w:tc>
          <w:tcPr>
            <w:tcW w:w="1660" w:type="dxa"/>
            <w:vAlign w:val="bottom"/>
          </w:tcPr>
          <w:p>
            <w:pPr>
              <w:spacing w:after="0"/>
              <w:rPr>
                <w:sz w:val="10"/>
                <w:szCs w:val="10"/>
                <w:color w:val="auto"/>
              </w:rPr>
            </w:pPr>
          </w:p>
        </w:tc>
        <w:tc>
          <w:tcPr>
            <w:tcW w:w="660" w:type="dxa"/>
            <w:vAlign w:val="bottom"/>
          </w:tcPr>
          <w:p>
            <w:pPr>
              <w:jc w:val="right"/>
              <w:ind w:right="280"/>
              <w:spacing w:after="0" w:line="115" w:lineRule="exact"/>
              <w:rPr>
                <w:sz w:val="20"/>
                <w:szCs w:val="20"/>
                <w:color w:val="auto"/>
              </w:rPr>
            </w:pPr>
            <w:r>
              <w:rPr>
                <w:rFonts w:ascii="Arial" w:cs="Arial" w:eastAsia="Arial" w:hAnsi="Arial"/>
                <w:sz w:val="12"/>
                <w:szCs w:val="12"/>
                <w:b w:val="1"/>
                <w:bCs w:val="1"/>
                <w:color w:val="auto"/>
              </w:rPr>
              <w:t>2016</w:t>
            </w:r>
          </w:p>
        </w:tc>
        <w:tc>
          <w:tcPr>
            <w:tcW w:w="660" w:type="dxa"/>
            <w:vAlign w:val="bottom"/>
          </w:tcPr>
          <w:p>
            <w:pPr>
              <w:jc w:val="right"/>
              <w:ind w:right="12"/>
              <w:spacing w:after="0" w:line="115" w:lineRule="exact"/>
              <w:rPr>
                <w:sz w:val="20"/>
                <w:szCs w:val="20"/>
                <w:color w:val="auto"/>
              </w:rPr>
            </w:pPr>
            <w:r>
              <w:rPr>
                <w:rFonts w:ascii="Arial" w:cs="Arial" w:eastAsia="Arial" w:hAnsi="Arial"/>
                <w:sz w:val="12"/>
                <w:szCs w:val="12"/>
                <w:b w:val="1"/>
                <w:bCs w:val="1"/>
                <w:color w:val="auto"/>
              </w:rPr>
              <w:t>2017</w:t>
            </w:r>
          </w:p>
        </w:tc>
        <w:tc>
          <w:tcPr>
            <w:tcW w:w="580" w:type="dxa"/>
            <w:vAlign w:val="bottom"/>
            <w:gridSpan w:val="2"/>
            <w:vMerge w:val="continue"/>
          </w:tcPr>
          <w:p>
            <w:pPr>
              <w:spacing w:after="0"/>
              <w:rPr>
                <w:sz w:val="10"/>
                <w:szCs w:val="10"/>
                <w:color w:val="auto"/>
              </w:rPr>
            </w:pPr>
          </w:p>
        </w:tc>
        <w:tc>
          <w:tcPr>
            <w:tcW w:w="420" w:type="dxa"/>
            <w:vAlign w:val="bottom"/>
            <w:vMerge w:val="continue"/>
          </w:tcPr>
          <w:p>
            <w:pPr>
              <w:spacing w:after="0"/>
              <w:rPr>
                <w:sz w:val="10"/>
                <w:szCs w:val="10"/>
                <w:color w:val="auto"/>
              </w:rPr>
            </w:pPr>
          </w:p>
        </w:tc>
        <w:tc>
          <w:tcPr>
            <w:tcW w:w="120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3260" w:type="dxa"/>
            <w:vAlign w:val="bottom"/>
          </w:tcPr>
          <w:p>
            <w:pPr>
              <w:spacing w:after="0"/>
              <w:rPr>
                <w:sz w:val="10"/>
                <w:szCs w:val="10"/>
                <w:color w:val="auto"/>
              </w:rPr>
            </w:pPr>
          </w:p>
        </w:tc>
        <w:tc>
          <w:tcPr>
            <w:tcW w:w="1660" w:type="dxa"/>
            <w:vAlign w:val="bottom"/>
          </w:tcPr>
          <w:p>
            <w:pPr>
              <w:spacing w:after="0"/>
              <w:rPr>
                <w:sz w:val="10"/>
                <w:szCs w:val="10"/>
                <w:color w:val="auto"/>
              </w:rPr>
            </w:pPr>
          </w:p>
        </w:tc>
        <w:tc>
          <w:tcPr>
            <w:tcW w:w="1320" w:type="dxa"/>
            <w:vAlign w:val="bottom"/>
            <w:tcBorders>
              <w:top w:val="single" w:sz="8" w:color="auto"/>
            </w:tcBorders>
            <w:gridSpan w:val="2"/>
          </w:tcPr>
          <w:p>
            <w:pPr>
              <w:jc w:val="center"/>
              <w:spacing w:after="0" w:line="115" w:lineRule="exact"/>
              <w:rPr>
                <w:sz w:val="20"/>
                <w:szCs w:val="20"/>
                <w:color w:val="auto"/>
              </w:rPr>
            </w:pPr>
            <w:r>
              <w:rPr>
                <w:rFonts w:ascii="Arial" w:cs="Arial" w:eastAsia="Arial" w:hAnsi="Arial"/>
                <w:sz w:val="12"/>
                <w:szCs w:val="12"/>
                <w:i w:val="1"/>
                <w:iCs w:val="1"/>
                <w:color w:val="auto"/>
                <w:w w:val="97"/>
              </w:rPr>
              <w:t>(In millions)</w:t>
            </w:r>
          </w:p>
        </w:tc>
        <w:tc>
          <w:tcPr>
            <w:tcW w:w="50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420" w:type="dxa"/>
            <w:vAlign w:val="bottom"/>
            <w:tcBorders>
              <w:top w:val="single" w:sz="8" w:color="auto"/>
            </w:tcBorders>
          </w:tcPr>
          <w:p>
            <w:pPr>
              <w:spacing w:after="0"/>
              <w:rPr>
                <w:sz w:val="10"/>
                <w:szCs w:val="10"/>
                <w:color w:val="auto"/>
              </w:rPr>
            </w:pPr>
          </w:p>
        </w:tc>
        <w:tc>
          <w:tcPr>
            <w:tcW w:w="480" w:type="dxa"/>
            <w:vAlign w:val="bottom"/>
          </w:tcPr>
          <w:p>
            <w:pPr>
              <w:spacing w:after="0"/>
              <w:rPr>
                <w:sz w:val="10"/>
                <w:szCs w:val="10"/>
                <w:color w:val="auto"/>
              </w:rPr>
            </w:pPr>
          </w:p>
        </w:tc>
        <w:tc>
          <w:tcPr>
            <w:tcW w:w="560" w:type="dxa"/>
            <w:vAlign w:val="bottom"/>
            <w:tcBorders>
              <w:top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260" w:type="dxa"/>
            <w:vAlign w:val="bottom"/>
            <w:shd w:val="clear" w:color="auto" w:fill="CCEEFF"/>
          </w:tcPr>
          <w:p>
            <w:pPr>
              <w:spacing w:after="0"/>
              <w:rPr>
                <w:sz w:val="20"/>
                <w:szCs w:val="20"/>
                <w:color w:val="auto"/>
              </w:rPr>
            </w:pPr>
            <w:r>
              <w:rPr>
                <w:rFonts w:ascii="Arial" w:cs="Arial" w:eastAsia="Arial" w:hAnsi="Arial"/>
                <w:sz w:val="15"/>
                <w:szCs w:val="15"/>
                <w:color w:val="auto"/>
              </w:rPr>
              <w:t>Research and development</w:t>
            </w:r>
          </w:p>
        </w:tc>
        <w:tc>
          <w:tcPr>
            <w:tcW w:w="232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$289.7</w:t>
            </w:r>
          </w:p>
        </w:tc>
        <w:tc>
          <w:tcPr>
            <w:tcW w:w="6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$380.3</w:t>
            </w:r>
          </w:p>
        </w:tc>
        <w:tc>
          <w:tcPr>
            <w:tcW w:w="580" w:type="dxa"/>
            <w:vAlign w:val="bottom"/>
            <w:gridSpan w:val="2"/>
            <w:shd w:val="clear" w:color="auto" w:fill="CCEEFF"/>
          </w:tcPr>
          <w:p>
            <w:pPr>
              <w:ind w:left="500"/>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90.6</w:t>
            </w:r>
          </w:p>
        </w:tc>
        <w:tc>
          <w:tcPr>
            <w:tcW w:w="1200" w:type="dxa"/>
            <w:vAlign w:val="bottom"/>
            <w:gridSpan w:val="3"/>
            <w:shd w:val="clear" w:color="auto" w:fill="CCEEFF"/>
          </w:tcPr>
          <w:p>
            <w:pPr>
              <w:jc w:val="right"/>
              <w:ind w:right="40"/>
              <w:spacing w:after="0"/>
              <w:rPr>
                <w:sz w:val="20"/>
                <w:szCs w:val="20"/>
                <w:color w:val="auto"/>
              </w:rPr>
            </w:pPr>
            <w:r>
              <w:rPr>
                <w:rFonts w:ascii="Arial" w:cs="Arial" w:eastAsia="Arial" w:hAnsi="Arial"/>
                <w:sz w:val="15"/>
                <w:szCs w:val="15"/>
                <w:color w:val="auto"/>
              </w:rPr>
              <w:t>31%</w:t>
            </w:r>
          </w:p>
        </w:tc>
        <w:tc>
          <w:tcPr>
            <w:tcW w:w="0" w:type="dxa"/>
            <w:vAlign w:val="bottom"/>
          </w:tcPr>
          <w:p>
            <w:pPr>
              <w:spacing w:after="0"/>
              <w:rPr>
                <w:sz w:val="1"/>
                <w:szCs w:val="1"/>
                <w:color w:val="auto"/>
              </w:rPr>
            </w:pPr>
          </w:p>
        </w:tc>
      </w:tr>
    </w:tbl>
    <w:p>
      <w:pPr>
        <w:spacing w:after="0" w:line="170" w:lineRule="exact"/>
        <w:rPr>
          <w:sz w:val="20"/>
          <w:szCs w:val="20"/>
          <w:color w:val="auto"/>
        </w:rPr>
      </w:pPr>
    </w:p>
    <w:p>
      <w:pPr>
        <w:ind w:left="1480"/>
        <w:spacing w:after="0"/>
        <w:rPr>
          <w:sz w:val="20"/>
          <w:szCs w:val="20"/>
          <w:color w:val="auto"/>
        </w:rPr>
      </w:pPr>
      <w:r>
        <w:rPr>
          <w:rFonts w:ascii="Arial" w:cs="Arial" w:eastAsia="Arial" w:hAnsi="Arial"/>
          <w:sz w:val="14"/>
          <w:szCs w:val="14"/>
          <w:color w:val="auto"/>
        </w:rPr>
        <w:t>Research and development expenses increased $90.6 million or 31% during 2017, as compared to 2016, primarily due to an increase of</w:t>
      </w:r>
    </w:p>
    <w:p>
      <w:pPr>
        <w:spacing w:after="0" w:line="29" w:lineRule="exact"/>
        <w:rPr>
          <w:sz w:val="20"/>
          <w:szCs w:val="20"/>
          <w:color w:val="auto"/>
        </w:rPr>
      </w:pPr>
    </w:p>
    <w:p>
      <w:pPr>
        <w:ind w:left="1120"/>
        <w:spacing w:after="0" w:line="339" w:lineRule="auto"/>
        <w:rPr>
          <w:sz w:val="20"/>
          <w:szCs w:val="20"/>
          <w:color w:val="auto"/>
        </w:rPr>
      </w:pPr>
      <w:r>
        <w:rPr>
          <w:rFonts w:ascii="Arial" w:cs="Arial" w:eastAsia="Arial" w:hAnsi="Arial"/>
          <w:sz w:val="13"/>
          <w:szCs w:val="13"/>
          <w:color w:val="auto"/>
        </w:rPr>
        <w:t>$64.7 million in employee-related expenses, which was due to headcount growth. Further, the increase in research and development expense was due to an increase of $14.1 million in overhead-related costs and an increase of $4.5 million in internal development-related third-party hosting fees.</w:t>
      </w:r>
    </w:p>
    <w:p>
      <w:pPr>
        <w:spacing w:after="0" w:line="200" w:lineRule="exact"/>
        <w:rPr>
          <w:sz w:val="20"/>
          <w:szCs w:val="20"/>
          <w:color w:val="auto"/>
        </w:rPr>
      </w:pPr>
    </w:p>
    <w:p>
      <w:pPr>
        <w:ind w:left="1480"/>
        <w:spacing w:after="0"/>
        <w:rPr>
          <w:sz w:val="20"/>
          <w:szCs w:val="20"/>
          <w:color w:val="auto"/>
        </w:rPr>
      </w:pPr>
      <w:r>
        <w:rPr>
          <w:rFonts w:ascii="Arial" w:cs="Arial" w:eastAsia="Arial" w:hAnsi="Arial"/>
          <w:sz w:val="15"/>
          <w:szCs w:val="15"/>
          <w:i w:val="1"/>
          <w:iCs w:val="1"/>
          <w:color w:val="auto"/>
        </w:rPr>
        <w:t>Sales and marketing</w:t>
      </w:r>
    </w:p>
    <w:p>
      <w:pPr>
        <w:spacing w:after="0" w:line="188" w:lineRule="exact"/>
        <w:rPr>
          <w:sz w:val="20"/>
          <w:szCs w:val="20"/>
          <w:color w:val="auto"/>
        </w:rPr>
      </w:pPr>
    </w:p>
    <w:tbl>
      <w:tblPr>
        <w:tblLayout w:type="fixed"/>
        <w:tblInd w:w="1480" w:type="dxa"/>
        <w:tblCellMar>
          <w:top w:w="0" w:type="dxa"/>
          <w:left w:w="0" w:type="dxa"/>
          <w:bottom w:w="0" w:type="dxa"/>
          <w:right w:w="0" w:type="dxa"/>
        </w:tblCellMar>
      </w:tblPr>
      <w:tr>
        <w:trPr>
          <w:trHeight w:val="138"/>
        </w:trPr>
        <w:tc>
          <w:tcPr>
            <w:tcW w:w="20" w:type="dxa"/>
            <w:vAlign w:val="bottom"/>
          </w:tcPr>
          <w:p>
            <w:pPr>
              <w:spacing w:after="0"/>
              <w:rPr>
                <w:sz w:val="12"/>
                <w:szCs w:val="12"/>
                <w:color w:val="auto"/>
              </w:rPr>
            </w:pPr>
          </w:p>
        </w:tc>
        <w:tc>
          <w:tcPr>
            <w:tcW w:w="306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320" w:type="dxa"/>
            <w:vAlign w:val="bottom"/>
            <w:gridSpan w:val="2"/>
          </w:tcPr>
          <w:p>
            <w:pPr>
              <w:jc w:val="center"/>
              <w:spacing w:after="0"/>
              <w:rPr>
                <w:sz w:val="20"/>
                <w:szCs w:val="20"/>
                <w:color w:val="auto"/>
              </w:rPr>
            </w:pPr>
            <w:r>
              <w:rPr>
                <w:rFonts w:ascii="Arial" w:cs="Arial" w:eastAsia="Arial" w:hAnsi="Arial"/>
                <w:sz w:val="12"/>
                <w:szCs w:val="12"/>
                <w:b w:val="1"/>
                <w:bCs w:val="1"/>
                <w:color w:val="auto"/>
                <w:w w:val="90"/>
              </w:rPr>
              <w:t>Year Ended</w:t>
            </w: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06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320" w:type="dxa"/>
            <w:vAlign w:val="bottom"/>
            <w:tcBorders>
              <w:bottom w:val="single" w:sz="8" w:color="auto"/>
            </w:tcBorders>
            <w:gridSpan w:val="2"/>
          </w:tcPr>
          <w:p>
            <w:pPr>
              <w:jc w:val="center"/>
              <w:spacing w:after="0"/>
              <w:rPr>
                <w:sz w:val="20"/>
                <w:szCs w:val="20"/>
                <w:color w:val="auto"/>
              </w:rPr>
            </w:pPr>
            <w:r>
              <w:rPr>
                <w:rFonts w:ascii="Arial" w:cs="Arial" w:eastAsia="Arial" w:hAnsi="Arial"/>
                <w:sz w:val="12"/>
                <w:szCs w:val="12"/>
                <w:b w:val="1"/>
                <w:bCs w:val="1"/>
                <w:color w:val="auto"/>
                <w:w w:val="89"/>
              </w:rPr>
              <w:t>December 31,</w:t>
            </w:r>
          </w:p>
        </w:tc>
        <w:tc>
          <w:tcPr>
            <w:tcW w:w="580" w:type="dxa"/>
            <w:vAlign w:val="bottom"/>
            <w:gridSpan w:val="2"/>
            <w:vMerge w:val="restart"/>
          </w:tcPr>
          <w:p>
            <w:pPr>
              <w:ind w:left="500"/>
              <w:spacing w:after="0"/>
              <w:rPr>
                <w:sz w:val="20"/>
                <w:szCs w:val="20"/>
                <w:color w:val="auto"/>
              </w:rPr>
            </w:pPr>
            <w:r>
              <w:rPr>
                <w:rFonts w:ascii="Arial" w:cs="Arial" w:eastAsia="Arial" w:hAnsi="Arial"/>
                <w:sz w:val="12"/>
                <w:szCs w:val="12"/>
                <w:b w:val="1"/>
                <w:bCs w:val="1"/>
                <w:color w:val="auto"/>
                <w:w w:val="89"/>
              </w:rPr>
              <w:t>$</w:t>
            </w:r>
          </w:p>
        </w:tc>
        <w:tc>
          <w:tcPr>
            <w:tcW w:w="420" w:type="dxa"/>
            <w:vAlign w:val="bottom"/>
            <w:vMerge w:val="restart"/>
          </w:tcPr>
          <w:p>
            <w:pPr>
              <w:jc w:val="right"/>
              <w:spacing w:after="0"/>
              <w:rPr>
                <w:sz w:val="20"/>
                <w:szCs w:val="20"/>
                <w:color w:val="auto"/>
              </w:rPr>
            </w:pPr>
            <w:r>
              <w:rPr>
                <w:rFonts w:ascii="Arial" w:cs="Arial" w:eastAsia="Arial" w:hAnsi="Arial"/>
                <w:sz w:val="12"/>
                <w:szCs w:val="12"/>
                <w:b w:val="1"/>
                <w:bCs w:val="1"/>
                <w:color w:val="auto"/>
                <w:w w:val="86"/>
              </w:rPr>
              <w:t>Change</w:t>
            </w:r>
          </w:p>
        </w:tc>
        <w:tc>
          <w:tcPr>
            <w:tcW w:w="1200" w:type="dxa"/>
            <w:vAlign w:val="bottom"/>
            <w:gridSpan w:val="3"/>
            <w:vMerge w:val="restart"/>
          </w:tcPr>
          <w:p>
            <w:pPr>
              <w:jc w:val="right"/>
              <w:ind w:right="160"/>
              <w:spacing w:after="0"/>
              <w:rPr>
                <w:sz w:val="20"/>
                <w:szCs w:val="20"/>
                <w:color w:val="auto"/>
              </w:rPr>
            </w:pPr>
            <w:r>
              <w:rPr>
                <w:rFonts w:ascii="Arial" w:cs="Arial" w:eastAsia="Arial" w:hAnsi="Arial"/>
                <w:sz w:val="12"/>
                <w:szCs w:val="12"/>
                <w:b w:val="1"/>
                <w:bCs w:val="1"/>
                <w:color w:val="auto"/>
              </w:rPr>
              <w:t>% Change</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3060" w:type="dxa"/>
            <w:vAlign w:val="bottom"/>
          </w:tcPr>
          <w:p>
            <w:pPr>
              <w:spacing w:after="0"/>
              <w:rPr>
                <w:sz w:val="10"/>
                <w:szCs w:val="10"/>
                <w:color w:val="auto"/>
              </w:rPr>
            </w:pPr>
          </w:p>
        </w:tc>
        <w:tc>
          <w:tcPr>
            <w:tcW w:w="1860" w:type="dxa"/>
            <w:vAlign w:val="bottom"/>
          </w:tcPr>
          <w:p>
            <w:pPr>
              <w:spacing w:after="0"/>
              <w:rPr>
                <w:sz w:val="10"/>
                <w:szCs w:val="10"/>
                <w:color w:val="auto"/>
              </w:rPr>
            </w:pPr>
          </w:p>
        </w:tc>
        <w:tc>
          <w:tcPr>
            <w:tcW w:w="660" w:type="dxa"/>
            <w:vAlign w:val="bottom"/>
          </w:tcPr>
          <w:p>
            <w:pPr>
              <w:jc w:val="right"/>
              <w:ind w:right="280"/>
              <w:spacing w:after="0" w:line="115" w:lineRule="exact"/>
              <w:rPr>
                <w:sz w:val="20"/>
                <w:szCs w:val="20"/>
                <w:color w:val="auto"/>
              </w:rPr>
            </w:pPr>
            <w:r>
              <w:rPr>
                <w:rFonts w:ascii="Arial" w:cs="Arial" w:eastAsia="Arial" w:hAnsi="Arial"/>
                <w:sz w:val="12"/>
                <w:szCs w:val="12"/>
                <w:b w:val="1"/>
                <w:bCs w:val="1"/>
                <w:color w:val="auto"/>
              </w:rPr>
              <w:t>2016</w:t>
            </w:r>
          </w:p>
        </w:tc>
        <w:tc>
          <w:tcPr>
            <w:tcW w:w="660" w:type="dxa"/>
            <w:vAlign w:val="bottom"/>
          </w:tcPr>
          <w:p>
            <w:pPr>
              <w:jc w:val="right"/>
              <w:ind w:right="12"/>
              <w:spacing w:after="0" w:line="115" w:lineRule="exact"/>
              <w:rPr>
                <w:sz w:val="20"/>
                <w:szCs w:val="20"/>
                <w:color w:val="auto"/>
              </w:rPr>
            </w:pPr>
            <w:r>
              <w:rPr>
                <w:rFonts w:ascii="Arial" w:cs="Arial" w:eastAsia="Arial" w:hAnsi="Arial"/>
                <w:sz w:val="12"/>
                <w:szCs w:val="12"/>
                <w:b w:val="1"/>
                <w:bCs w:val="1"/>
                <w:color w:val="auto"/>
              </w:rPr>
              <w:t>2017</w:t>
            </w:r>
          </w:p>
        </w:tc>
        <w:tc>
          <w:tcPr>
            <w:tcW w:w="580" w:type="dxa"/>
            <w:vAlign w:val="bottom"/>
            <w:gridSpan w:val="2"/>
            <w:vMerge w:val="continue"/>
          </w:tcPr>
          <w:p>
            <w:pPr>
              <w:spacing w:after="0"/>
              <w:rPr>
                <w:sz w:val="10"/>
                <w:szCs w:val="10"/>
                <w:color w:val="auto"/>
              </w:rPr>
            </w:pPr>
          </w:p>
        </w:tc>
        <w:tc>
          <w:tcPr>
            <w:tcW w:w="420" w:type="dxa"/>
            <w:vAlign w:val="bottom"/>
            <w:vMerge w:val="continue"/>
          </w:tcPr>
          <w:p>
            <w:pPr>
              <w:spacing w:after="0"/>
              <w:rPr>
                <w:sz w:val="10"/>
                <w:szCs w:val="10"/>
                <w:color w:val="auto"/>
              </w:rPr>
            </w:pPr>
          </w:p>
        </w:tc>
        <w:tc>
          <w:tcPr>
            <w:tcW w:w="120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3060" w:type="dxa"/>
            <w:vAlign w:val="bottom"/>
          </w:tcPr>
          <w:p>
            <w:pPr>
              <w:spacing w:after="0"/>
              <w:rPr>
                <w:sz w:val="10"/>
                <w:szCs w:val="10"/>
                <w:color w:val="auto"/>
              </w:rPr>
            </w:pPr>
          </w:p>
        </w:tc>
        <w:tc>
          <w:tcPr>
            <w:tcW w:w="1860" w:type="dxa"/>
            <w:vAlign w:val="bottom"/>
          </w:tcPr>
          <w:p>
            <w:pPr>
              <w:spacing w:after="0"/>
              <w:rPr>
                <w:sz w:val="10"/>
                <w:szCs w:val="10"/>
                <w:color w:val="auto"/>
              </w:rPr>
            </w:pPr>
          </w:p>
        </w:tc>
        <w:tc>
          <w:tcPr>
            <w:tcW w:w="1320" w:type="dxa"/>
            <w:vAlign w:val="bottom"/>
            <w:tcBorders>
              <w:top w:val="single" w:sz="8" w:color="auto"/>
            </w:tcBorders>
            <w:gridSpan w:val="2"/>
          </w:tcPr>
          <w:p>
            <w:pPr>
              <w:jc w:val="center"/>
              <w:spacing w:after="0" w:line="115" w:lineRule="exact"/>
              <w:rPr>
                <w:sz w:val="20"/>
                <w:szCs w:val="20"/>
                <w:color w:val="auto"/>
              </w:rPr>
            </w:pPr>
            <w:r>
              <w:rPr>
                <w:rFonts w:ascii="Arial" w:cs="Arial" w:eastAsia="Arial" w:hAnsi="Arial"/>
                <w:sz w:val="12"/>
                <w:szCs w:val="12"/>
                <w:i w:val="1"/>
                <w:iCs w:val="1"/>
                <w:color w:val="auto"/>
                <w:w w:val="97"/>
              </w:rPr>
              <w:t>(In millions)</w:t>
            </w:r>
          </w:p>
        </w:tc>
        <w:tc>
          <w:tcPr>
            <w:tcW w:w="50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420" w:type="dxa"/>
            <w:vAlign w:val="bottom"/>
            <w:tcBorders>
              <w:top w:val="single" w:sz="8" w:color="auto"/>
            </w:tcBorders>
          </w:tcPr>
          <w:p>
            <w:pPr>
              <w:spacing w:after="0"/>
              <w:rPr>
                <w:sz w:val="10"/>
                <w:szCs w:val="10"/>
                <w:color w:val="auto"/>
              </w:rPr>
            </w:pPr>
          </w:p>
        </w:tc>
        <w:tc>
          <w:tcPr>
            <w:tcW w:w="480" w:type="dxa"/>
            <w:vAlign w:val="bottom"/>
          </w:tcPr>
          <w:p>
            <w:pPr>
              <w:spacing w:after="0"/>
              <w:rPr>
                <w:sz w:val="10"/>
                <w:szCs w:val="10"/>
                <w:color w:val="auto"/>
              </w:rPr>
            </w:pPr>
          </w:p>
        </w:tc>
        <w:tc>
          <w:tcPr>
            <w:tcW w:w="560" w:type="dxa"/>
            <w:vAlign w:val="bottom"/>
            <w:tcBorders>
              <w:top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060" w:type="dxa"/>
            <w:vAlign w:val="bottom"/>
            <w:shd w:val="clear" w:color="auto" w:fill="CCEEFF"/>
          </w:tcPr>
          <w:p>
            <w:pPr>
              <w:spacing w:after="0"/>
              <w:rPr>
                <w:sz w:val="20"/>
                <w:szCs w:val="20"/>
                <w:color w:val="auto"/>
              </w:rPr>
            </w:pPr>
            <w:r>
              <w:rPr>
                <w:rFonts w:ascii="Arial" w:cs="Arial" w:eastAsia="Arial" w:hAnsi="Arial"/>
                <w:sz w:val="15"/>
                <w:szCs w:val="15"/>
                <w:color w:val="auto"/>
              </w:rPr>
              <w:t>Sales and marketing</w:t>
            </w:r>
          </w:p>
        </w:tc>
        <w:tc>
          <w:tcPr>
            <w:tcW w:w="252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$250.6</w:t>
            </w:r>
          </w:p>
        </w:tc>
        <w:tc>
          <w:tcPr>
            <w:tcW w:w="6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$314.0</w:t>
            </w:r>
          </w:p>
        </w:tc>
        <w:tc>
          <w:tcPr>
            <w:tcW w:w="580" w:type="dxa"/>
            <w:vAlign w:val="bottom"/>
            <w:gridSpan w:val="2"/>
            <w:shd w:val="clear" w:color="auto" w:fill="CCEEFF"/>
          </w:tcPr>
          <w:p>
            <w:pPr>
              <w:ind w:left="500"/>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63.4</w:t>
            </w:r>
          </w:p>
        </w:tc>
        <w:tc>
          <w:tcPr>
            <w:tcW w:w="1200" w:type="dxa"/>
            <w:vAlign w:val="bottom"/>
            <w:gridSpan w:val="3"/>
            <w:shd w:val="clear" w:color="auto" w:fill="CCEEFF"/>
          </w:tcPr>
          <w:p>
            <w:pPr>
              <w:jc w:val="right"/>
              <w:ind w:right="40"/>
              <w:spacing w:after="0"/>
              <w:rPr>
                <w:sz w:val="20"/>
                <w:szCs w:val="20"/>
                <w:color w:val="auto"/>
              </w:rPr>
            </w:pPr>
            <w:r>
              <w:rPr>
                <w:rFonts w:ascii="Arial" w:cs="Arial" w:eastAsia="Arial" w:hAnsi="Arial"/>
                <w:sz w:val="15"/>
                <w:szCs w:val="15"/>
                <w:color w:val="auto"/>
              </w:rPr>
              <w:t>25%</w:t>
            </w:r>
          </w:p>
        </w:tc>
        <w:tc>
          <w:tcPr>
            <w:tcW w:w="0" w:type="dxa"/>
            <w:vAlign w:val="bottom"/>
          </w:tcPr>
          <w:p>
            <w:pPr>
              <w:spacing w:after="0"/>
              <w:rPr>
                <w:sz w:val="1"/>
                <w:szCs w:val="1"/>
                <w:color w:val="auto"/>
              </w:rPr>
            </w:pPr>
          </w:p>
        </w:tc>
      </w:tr>
    </w:tbl>
    <w:p>
      <w:pPr>
        <w:spacing w:after="0" w:line="170" w:lineRule="exact"/>
        <w:rPr>
          <w:sz w:val="20"/>
          <w:szCs w:val="20"/>
          <w:color w:val="auto"/>
        </w:rPr>
      </w:pPr>
    </w:p>
    <w:p>
      <w:pPr>
        <w:ind w:left="1120" w:right="20" w:firstLine="368"/>
        <w:spacing w:after="0" w:line="255" w:lineRule="auto"/>
        <w:rPr>
          <w:sz w:val="20"/>
          <w:szCs w:val="20"/>
          <w:color w:val="auto"/>
        </w:rPr>
      </w:pPr>
      <w:r>
        <w:rPr>
          <w:rFonts w:ascii="Arial" w:cs="Arial" w:eastAsia="Arial" w:hAnsi="Arial"/>
          <w:sz w:val="15"/>
          <w:szCs w:val="15"/>
          <w:color w:val="auto"/>
        </w:rPr>
        <w:t>Sales and marketing expenses increased $63.4 million or 25% during 2017, as compared to 2016, primarily due to an increase of $40.9 million in variable spend related to brand campaign fees, lead generation fees, and third-party sales representative fees. In addition, sales and marketing expenses increased due to $17.8 million in employee-related expenses excluding stock-based compensation, which was due to headcount growth. Stock-based compensation decreased $10.9 million due to the modification of an executive stock grant during 2016, that resulted in a charge of $18.8 million in that prior period. Sales and marketing expenses also increased $8.4 million due to app store fees as a result of increased sales and $7.6 million due to overhead-related costs.</w:t>
      </w:r>
    </w:p>
    <w:p>
      <w:pPr>
        <w:spacing w:after="0" w:line="254" w:lineRule="exact"/>
        <w:rPr>
          <w:sz w:val="20"/>
          <w:szCs w:val="20"/>
          <w:color w:val="auto"/>
        </w:rPr>
      </w:pPr>
    </w:p>
    <w:p>
      <w:pPr>
        <w:ind w:left="1480"/>
        <w:spacing w:after="0"/>
        <w:rPr>
          <w:sz w:val="20"/>
          <w:szCs w:val="20"/>
          <w:color w:val="auto"/>
        </w:rPr>
      </w:pPr>
      <w:r>
        <w:rPr>
          <w:rFonts w:ascii="Arial" w:cs="Arial" w:eastAsia="Arial" w:hAnsi="Arial"/>
          <w:sz w:val="15"/>
          <w:szCs w:val="15"/>
          <w:i w:val="1"/>
          <w:iCs w:val="1"/>
          <w:color w:val="auto"/>
        </w:rPr>
        <w:t>General and administrative</w:t>
      </w:r>
    </w:p>
    <w:p>
      <w:pPr>
        <w:spacing w:after="0" w:line="188" w:lineRule="exact"/>
        <w:rPr>
          <w:sz w:val="20"/>
          <w:szCs w:val="20"/>
          <w:color w:val="auto"/>
        </w:rPr>
      </w:pPr>
    </w:p>
    <w:tbl>
      <w:tblPr>
        <w:tblLayout w:type="fixed"/>
        <w:tblInd w:w="1480" w:type="dxa"/>
        <w:tblCellMar>
          <w:top w:w="0" w:type="dxa"/>
          <w:left w:w="0" w:type="dxa"/>
          <w:bottom w:w="0" w:type="dxa"/>
          <w:right w:w="0" w:type="dxa"/>
        </w:tblCellMar>
      </w:tblPr>
      <w:tr>
        <w:trPr>
          <w:trHeight w:val="138"/>
        </w:trPr>
        <w:tc>
          <w:tcPr>
            <w:tcW w:w="20" w:type="dxa"/>
            <w:vAlign w:val="bottom"/>
          </w:tcPr>
          <w:p>
            <w:pPr>
              <w:spacing w:after="0"/>
              <w:rPr>
                <w:sz w:val="12"/>
                <w:szCs w:val="12"/>
                <w:color w:val="auto"/>
              </w:rPr>
            </w:pPr>
          </w:p>
        </w:tc>
        <w:tc>
          <w:tcPr>
            <w:tcW w:w="326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1300" w:type="dxa"/>
            <w:vAlign w:val="bottom"/>
            <w:gridSpan w:val="2"/>
          </w:tcPr>
          <w:p>
            <w:pPr>
              <w:jc w:val="center"/>
              <w:spacing w:after="0"/>
              <w:rPr>
                <w:sz w:val="20"/>
                <w:szCs w:val="20"/>
                <w:color w:val="auto"/>
              </w:rPr>
            </w:pPr>
            <w:r>
              <w:rPr>
                <w:rFonts w:ascii="Arial" w:cs="Arial" w:eastAsia="Arial" w:hAnsi="Arial"/>
                <w:sz w:val="12"/>
                <w:szCs w:val="12"/>
                <w:b w:val="1"/>
                <w:bCs w:val="1"/>
                <w:color w:val="auto"/>
                <w:w w:val="90"/>
              </w:rPr>
              <w:t>Year Ended</w:t>
            </w: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26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1300" w:type="dxa"/>
            <w:vAlign w:val="bottom"/>
            <w:tcBorders>
              <w:bottom w:val="single" w:sz="8" w:color="auto"/>
            </w:tcBorders>
            <w:gridSpan w:val="2"/>
          </w:tcPr>
          <w:p>
            <w:pPr>
              <w:jc w:val="center"/>
              <w:spacing w:after="0"/>
              <w:rPr>
                <w:sz w:val="20"/>
                <w:szCs w:val="20"/>
                <w:color w:val="auto"/>
              </w:rPr>
            </w:pPr>
            <w:r>
              <w:rPr>
                <w:rFonts w:ascii="Arial" w:cs="Arial" w:eastAsia="Arial" w:hAnsi="Arial"/>
                <w:sz w:val="12"/>
                <w:szCs w:val="12"/>
                <w:b w:val="1"/>
                <w:bCs w:val="1"/>
                <w:color w:val="auto"/>
                <w:w w:val="89"/>
              </w:rPr>
              <w:t>December 31,</w:t>
            </w:r>
          </w:p>
        </w:tc>
        <w:tc>
          <w:tcPr>
            <w:tcW w:w="580" w:type="dxa"/>
            <w:vAlign w:val="bottom"/>
            <w:gridSpan w:val="2"/>
            <w:vMerge w:val="restart"/>
          </w:tcPr>
          <w:p>
            <w:pPr>
              <w:ind w:left="500"/>
              <w:spacing w:after="0"/>
              <w:rPr>
                <w:sz w:val="20"/>
                <w:szCs w:val="20"/>
                <w:color w:val="auto"/>
              </w:rPr>
            </w:pPr>
            <w:r>
              <w:rPr>
                <w:rFonts w:ascii="Arial" w:cs="Arial" w:eastAsia="Arial" w:hAnsi="Arial"/>
                <w:sz w:val="12"/>
                <w:szCs w:val="12"/>
                <w:b w:val="1"/>
                <w:bCs w:val="1"/>
                <w:color w:val="auto"/>
                <w:w w:val="89"/>
              </w:rPr>
              <w:t>$</w:t>
            </w:r>
          </w:p>
        </w:tc>
        <w:tc>
          <w:tcPr>
            <w:tcW w:w="420" w:type="dxa"/>
            <w:vAlign w:val="bottom"/>
            <w:vMerge w:val="restart"/>
          </w:tcPr>
          <w:p>
            <w:pPr>
              <w:jc w:val="right"/>
              <w:spacing w:after="0"/>
              <w:rPr>
                <w:sz w:val="20"/>
                <w:szCs w:val="20"/>
                <w:color w:val="auto"/>
              </w:rPr>
            </w:pPr>
            <w:r>
              <w:rPr>
                <w:rFonts w:ascii="Arial" w:cs="Arial" w:eastAsia="Arial" w:hAnsi="Arial"/>
                <w:sz w:val="12"/>
                <w:szCs w:val="12"/>
                <w:b w:val="1"/>
                <w:bCs w:val="1"/>
                <w:color w:val="auto"/>
                <w:w w:val="86"/>
              </w:rPr>
              <w:t>Change</w:t>
            </w:r>
          </w:p>
        </w:tc>
        <w:tc>
          <w:tcPr>
            <w:tcW w:w="1200" w:type="dxa"/>
            <w:vAlign w:val="bottom"/>
            <w:gridSpan w:val="3"/>
            <w:vMerge w:val="restart"/>
          </w:tcPr>
          <w:p>
            <w:pPr>
              <w:jc w:val="right"/>
              <w:ind w:right="160"/>
              <w:spacing w:after="0"/>
              <w:rPr>
                <w:sz w:val="20"/>
                <w:szCs w:val="20"/>
                <w:color w:val="auto"/>
              </w:rPr>
            </w:pPr>
            <w:r>
              <w:rPr>
                <w:rFonts w:ascii="Arial" w:cs="Arial" w:eastAsia="Arial" w:hAnsi="Arial"/>
                <w:sz w:val="12"/>
                <w:szCs w:val="12"/>
                <w:b w:val="1"/>
                <w:bCs w:val="1"/>
                <w:color w:val="auto"/>
              </w:rPr>
              <w:t>% Change</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3260" w:type="dxa"/>
            <w:vAlign w:val="bottom"/>
          </w:tcPr>
          <w:p>
            <w:pPr>
              <w:spacing w:after="0"/>
              <w:rPr>
                <w:sz w:val="10"/>
                <w:szCs w:val="10"/>
                <w:color w:val="auto"/>
              </w:rPr>
            </w:pPr>
          </w:p>
        </w:tc>
        <w:tc>
          <w:tcPr>
            <w:tcW w:w="1680" w:type="dxa"/>
            <w:vAlign w:val="bottom"/>
          </w:tcPr>
          <w:p>
            <w:pPr>
              <w:spacing w:after="0"/>
              <w:rPr>
                <w:sz w:val="10"/>
                <w:szCs w:val="10"/>
                <w:color w:val="auto"/>
              </w:rPr>
            </w:pPr>
          </w:p>
        </w:tc>
        <w:tc>
          <w:tcPr>
            <w:tcW w:w="640" w:type="dxa"/>
            <w:vAlign w:val="bottom"/>
          </w:tcPr>
          <w:p>
            <w:pPr>
              <w:jc w:val="right"/>
              <w:ind w:right="260"/>
              <w:spacing w:after="0" w:line="115" w:lineRule="exact"/>
              <w:rPr>
                <w:sz w:val="20"/>
                <w:szCs w:val="20"/>
                <w:color w:val="auto"/>
              </w:rPr>
            </w:pPr>
            <w:r>
              <w:rPr>
                <w:rFonts w:ascii="Arial" w:cs="Arial" w:eastAsia="Arial" w:hAnsi="Arial"/>
                <w:sz w:val="12"/>
                <w:szCs w:val="12"/>
                <w:b w:val="1"/>
                <w:bCs w:val="1"/>
                <w:color w:val="auto"/>
              </w:rPr>
              <w:t>2016</w:t>
            </w:r>
          </w:p>
        </w:tc>
        <w:tc>
          <w:tcPr>
            <w:tcW w:w="660" w:type="dxa"/>
            <w:vAlign w:val="bottom"/>
          </w:tcPr>
          <w:p>
            <w:pPr>
              <w:jc w:val="right"/>
              <w:ind w:right="12"/>
              <w:spacing w:after="0" w:line="115" w:lineRule="exact"/>
              <w:rPr>
                <w:sz w:val="20"/>
                <w:szCs w:val="20"/>
                <w:color w:val="auto"/>
              </w:rPr>
            </w:pPr>
            <w:r>
              <w:rPr>
                <w:rFonts w:ascii="Arial" w:cs="Arial" w:eastAsia="Arial" w:hAnsi="Arial"/>
                <w:sz w:val="12"/>
                <w:szCs w:val="12"/>
                <w:b w:val="1"/>
                <w:bCs w:val="1"/>
                <w:color w:val="auto"/>
              </w:rPr>
              <w:t>2017</w:t>
            </w:r>
          </w:p>
        </w:tc>
        <w:tc>
          <w:tcPr>
            <w:tcW w:w="580" w:type="dxa"/>
            <w:vAlign w:val="bottom"/>
            <w:gridSpan w:val="2"/>
            <w:vMerge w:val="continue"/>
          </w:tcPr>
          <w:p>
            <w:pPr>
              <w:spacing w:after="0"/>
              <w:rPr>
                <w:sz w:val="10"/>
                <w:szCs w:val="10"/>
                <w:color w:val="auto"/>
              </w:rPr>
            </w:pPr>
          </w:p>
        </w:tc>
        <w:tc>
          <w:tcPr>
            <w:tcW w:w="420" w:type="dxa"/>
            <w:vAlign w:val="bottom"/>
            <w:vMerge w:val="continue"/>
          </w:tcPr>
          <w:p>
            <w:pPr>
              <w:spacing w:after="0"/>
              <w:rPr>
                <w:sz w:val="10"/>
                <w:szCs w:val="10"/>
                <w:color w:val="auto"/>
              </w:rPr>
            </w:pPr>
          </w:p>
        </w:tc>
        <w:tc>
          <w:tcPr>
            <w:tcW w:w="120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3260" w:type="dxa"/>
            <w:vAlign w:val="bottom"/>
          </w:tcPr>
          <w:p>
            <w:pPr>
              <w:spacing w:after="0"/>
              <w:rPr>
                <w:sz w:val="10"/>
                <w:szCs w:val="10"/>
                <w:color w:val="auto"/>
              </w:rPr>
            </w:pPr>
          </w:p>
        </w:tc>
        <w:tc>
          <w:tcPr>
            <w:tcW w:w="1680" w:type="dxa"/>
            <w:vAlign w:val="bottom"/>
          </w:tcPr>
          <w:p>
            <w:pPr>
              <w:spacing w:after="0"/>
              <w:rPr>
                <w:sz w:val="10"/>
                <w:szCs w:val="10"/>
                <w:color w:val="auto"/>
              </w:rPr>
            </w:pPr>
          </w:p>
        </w:tc>
        <w:tc>
          <w:tcPr>
            <w:tcW w:w="1300" w:type="dxa"/>
            <w:vAlign w:val="bottom"/>
            <w:tcBorders>
              <w:top w:val="single" w:sz="8" w:color="auto"/>
            </w:tcBorders>
            <w:gridSpan w:val="2"/>
          </w:tcPr>
          <w:p>
            <w:pPr>
              <w:jc w:val="center"/>
              <w:spacing w:after="0" w:line="115" w:lineRule="exact"/>
              <w:rPr>
                <w:sz w:val="20"/>
                <w:szCs w:val="20"/>
                <w:color w:val="auto"/>
              </w:rPr>
            </w:pPr>
            <w:r>
              <w:rPr>
                <w:rFonts w:ascii="Arial" w:cs="Arial" w:eastAsia="Arial" w:hAnsi="Arial"/>
                <w:sz w:val="12"/>
                <w:szCs w:val="12"/>
                <w:i w:val="1"/>
                <w:iCs w:val="1"/>
                <w:color w:val="auto"/>
                <w:w w:val="97"/>
              </w:rPr>
              <w:t>(In millions)</w:t>
            </w:r>
          </w:p>
        </w:tc>
        <w:tc>
          <w:tcPr>
            <w:tcW w:w="50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420" w:type="dxa"/>
            <w:vAlign w:val="bottom"/>
            <w:tcBorders>
              <w:top w:val="single" w:sz="8" w:color="auto"/>
            </w:tcBorders>
          </w:tcPr>
          <w:p>
            <w:pPr>
              <w:spacing w:after="0"/>
              <w:rPr>
                <w:sz w:val="10"/>
                <w:szCs w:val="10"/>
                <w:color w:val="auto"/>
              </w:rPr>
            </w:pPr>
          </w:p>
        </w:tc>
        <w:tc>
          <w:tcPr>
            <w:tcW w:w="480" w:type="dxa"/>
            <w:vAlign w:val="bottom"/>
          </w:tcPr>
          <w:p>
            <w:pPr>
              <w:spacing w:after="0"/>
              <w:rPr>
                <w:sz w:val="10"/>
                <w:szCs w:val="10"/>
                <w:color w:val="auto"/>
              </w:rPr>
            </w:pPr>
          </w:p>
        </w:tc>
        <w:tc>
          <w:tcPr>
            <w:tcW w:w="560" w:type="dxa"/>
            <w:vAlign w:val="bottom"/>
            <w:tcBorders>
              <w:top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260" w:type="dxa"/>
            <w:vAlign w:val="bottom"/>
            <w:shd w:val="clear" w:color="auto" w:fill="CCEEFF"/>
          </w:tcPr>
          <w:p>
            <w:pPr>
              <w:spacing w:after="0"/>
              <w:rPr>
                <w:sz w:val="20"/>
                <w:szCs w:val="20"/>
                <w:color w:val="auto"/>
              </w:rPr>
            </w:pPr>
            <w:r>
              <w:rPr>
                <w:rFonts w:ascii="Arial" w:cs="Arial" w:eastAsia="Arial" w:hAnsi="Arial"/>
                <w:sz w:val="15"/>
                <w:szCs w:val="15"/>
                <w:color w:val="auto"/>
              </w:rPr>
              <w:t>General and administrative</w:t>
            </w:r>
          </w:p>
        </w:tc>
        <w:tc>
          <w:tcPr>
            <w:tcW w:w="232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$107.4</w:t>
            </w:r>
          </w:p>
        </w:tc>
        <w:tc>
          <w:tcPr>
            <w:tcW w:w="6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$157.3</w:t>
            </w:r>
          </w:p>
        </w:tc>
        <w:tc>
          <w:tcPr>
            <w:tcW w:w="580" w:type="dxa"/>
            <w:vAlign w:val="bottom"/>
            <w:gridSpan w:val="2"/>
            <w:shd w:val="clear" w:color="auto" w:fill="CCEEFF"/>
          </w:tcPr>
          <w:p>
            <w:pPr>
              <w:ind w:left="500"/>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49.9</w:t>
            </w:r>
          </w:p>
        </w:tc>
        <w:tc>
          <w:tcPr>
            <w:tcW w:w="1200" w:type="dxa"/>
            <w:vAlign w:val="bottom"/>
            <w:gridSpan w:val="3"/>
            <w:shd w:val="clear" w:color="auto" w:fill="CCEEFF"/>
          </w:tcPr>
          <w:p>
            <w:pPr>
              <w:jc w:val="right"/>
              <w:ind w:right="40"/>
              <w:spacing w:after="0"/>
              <w:rPr>
                <w:sz w:val="20"/>
                <w:szCs w:val="20"/>
                <w:color w:val="auto"/>
              </w:rPr>
            </w:pPr>
            <w:r>
              <w:rPr>
                <w:rFonts w:ascii="Arial" w:cs="Arial" w:eastAsia="Arial" w:hAnsi="Arial"/>
                <w:sz w:val="15"/>
                <w:szCs w:val="15"/>
                <w:color w:val="auto"/>
              </w:rPr>
              <w:t>46%</w:t>
            </w:r>
          </w:p>
        </w:tc>
        <w:tc>
          <w:tcPr>
            <w:tcW w:w="0" w:type="dxa"/>
            <w:vAlign w:val="bottom"/>
          </w:tcPr>
          <w:p>
            <w:pPr>
              <w:spacing w:after="0"/>
              <w:rPr>
                <w:sz w:val="1"/>
                <w:szCs w:val="1"/>
                <w:color w:val="auto"/>
              </w:rPr>
            </w:pPr>
          </w:p>
        </w:tc>
      </w:tr>
    </w:tbl>
    <w:p>
      <w:pPr>
        <w:spacing w:after="0" w:line="170" w:lineRule="exact"/>
        <w:rPr>
          <w:sz w:val="20"/>
          <w:szCs w:val="20"/>
          <w:color w:val="auto"/>
        </w:rPr>
      </w:pPr>
    </w:p>
    <w:p>
      <w:pPr>
        <w:ind w:left="1120" w:right="80" w:firstLine="368"/>
        <w:spacing w:after="0" w:line="322" w:lineRule="auto"/>
        <w:rPr>
          <w:sz w:val="20"/>
          <w:szCs w:val="20"/>
          <w:color w:val="auto"/>
        </w:rPr>
      </w:pPr>
      <w:r>
        <w:rPr>
          <w:rFonts w:ascii="Arial" w:cs="Arial" w:eastAsia="Arial" w:hAnsi="Arial"/>
          <w:sz w:val="13"/>
          <w:szCs w:val="13"/>
          <w:color w:val="auto"/>
        </w:rPr>
        <w:t>General and administrative expenses increased $49.9 million or 46% during 2017, as compared to 2016, primarily due to an increase of $17.3 million in non-income based taxes as a result of the growth in our business. General and administrative expenses during 2016 included a $12.4 million benefit relating to a non-income based tax ruling. In addition, employee-related expenses increased $13.3 million during 2017, as compared to 2016,</w:t>
      </w:r>
    </w:p>
    <w:p>
      <w:pPr>
        <w:spacing w:after="0" w:line="64" w:lineRule="exact"/>
        <w:rPr>
          <w:sz w:val="20"/>
          <w:szCs w:val="20"/>
          <w:color w:val="auto"/>
        </w:rPr>
      </w:pPr>
    </w:p>
    <w:p>
      <w:pPr>
        <w:ind w:left="5640"/>
        <w:spacing w:after="0"/>
        <w:rPr>
          <w:sz w:val="20"/>
          <w:szCs w:val="20"/>
          <w:color w:val="auto"/>
        </w:rPr>
      </w:pPr>
      <w:r>
        <w:rPr>
          <w:rFonts w:ascii="Arial" w:cs="Arial" w:eastAsia="Arial" w:hAnsi="Arial"/>
          <w:sz w:val="15"/>
          <w:szCs w:val="15"/>
          <w:color w:val="auto"/>
        </w:rPr>
        <w:t>77</w:t>
      </w:r>
    </w:p>
    <w:p>
      <w:pPr>
        <w:sectPr>
          <w:pgSz w:w="11900" w:h="16838" w:orient="portrait"/>
          <w:cols w:equalWidth="0" w:num="1">
            <w:col w:w="10240"/>
          </w:cols>
          <w:pgMar w:left="240" w:top="407" w:right="1419" w:bottom="1440" w:gutter="0" w:footer="0" w:header="0"/>
        </w:sectPr>
      </w:pPr>
    </w:p>
    <w:bookmarkStart w:id="84" w:name="page85"/>
    <w:bookmarkEnd w:id="84"/>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133350</wp:posOffset>
            </wp:positionH>
            <wp:positionV relativeFrom="page">
              <wp:posOffset>88900</wp:posOffset>
            </wp:positionV>
            <wp:extent cx="7308850" cy="342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308850" cy="34290"/>
                    </a:xfrm>
                    <a:prstGeom prst="rect">
                      <a:avLst/>
                    </a:prstGeom>
                    <a:noFill/>
                  </pic:spPr>
                </pic:pic>
              </a:graphicData>
            </a:graphic>
          </wp:anchor>
        </w:drawing>
      </w:r>
      <w:hyperlink w:anchor="page7">
        <w:r>
          <w:rPr>
            <w:rFonts w:ascii="Arial" w:cs="Arial" w:eastAsia="Arial" w:hAnsi="Arial"/>
            <w:sz w:val="15"/>
            <w:szCs w:val="15"/>
            <w:b w:val="1"/>
            <w:bCs w:val="1"/>
            <w:u w:val="single" w:color="auto"/>
            <w:color w:val="0000EE"/>
          </w:rPr>
          <w:t>Table of Contents</w:t>
        </w:r>
      </w:hyperlink>
    </w:p>
    <w:p>
      <w:pPr>
        <w:spacing w:after="0" w:line="260" w:lineRule="exact"/>
        <w:rPr>
          <w:sz w:val="20"/>
          <w:szCs w:val="20"/>
          <w:color w:val="auto"/>
        </w:rPr>
      </w:pPr>
    </w:p>
    <w:p>
      <w:pPr>
        <w:ind w:left="1120" w:right="20"/>
        <w:spacing w:after="0" w:line="263" w:lineRule="auto"/>
        <w:rPr>
          <w:sz w:val="20"/>
          <w:szCs w:val="20"/>
          <w:color w:val="auto"/>
        </w:rPr>
      </w:pPr>
      <w:r>
        <w:rPr>
          <w:rFonts w:ascii="Arial" w:cs="Arial" w:eastAsia="Arial" w:hAnsi="Arial"/>
          <w:sz w:val="15"/>
          <w:szCs w:val="15"/>
          <w:color w:val="auto"/>
        </w:rPr>
        <w:t>due to headcount growth, and other general and administrative expenses increased $11.3 million related to the funding of the Dropbox Charitable Foundation. Included in this amount was an equity-based charitable contribution of $9.4 million and cash contributions of $1.9 million. Further, general and administrative expenses increased $4.3 million due to legal-related expenses and accounting services.</w:t>
      </w:r>
    </w:p>
    <w:p>
      <w:pPr>
        <w:spacing w:after="0" w:line="245" w:lineRule="exact"/>
        <w:rPr>
          <w:sz w:val="20"/>
          <w:szCs w:val="20"/>
          <w:color w:val="auto"/>
        </w:rPr>
      </w:pPr>
    </w:p>
    <w:p>
      <w:pPr>
        <w:ind w:left="1480"/>
        <w:spacing w:after="0"/>
        <w:rPr>
          <w:sz w:val="20"/>
          <w:szCs w:val="20"/>
          <w:color w:val="auto"/>
        </w:rPr>
      </w:pPr>
      <w:r>
        <w:rPr>
          <w:rFonts w:ascii="Arial" w:cs="Arial" w:eastAsia="Arial" w:hAnsi="Arial"/>
          <w:sz w:val="15"/>
          <w:szCs w:val="15"/>
          <w:i w:val="1"/>
          <w:iCs w:val="1"/>
          <w:color w:val="auto"/>
        </w:rPr>
        <w:t>Interest expense, net</w:t>
      </w:r>
    </w:p>
    <w:p>
      <w:pPr>
        <w:spacing w:after="0" w:line="98" w:lineRule="exact"/>
        <w:rPr>
          <w:sz w:val="20"/>
          <w:szCs w:val="20"/>
          <w:color w:val="auto"/>
        </w:rPr>
      </w:pPr>
    </w:p>
    <w:p>
      <w:pPr>
        <w:ind w:left="1120" w:firstLine="368"/>
        <w:spacing w:after="0" w:line="312" w:lineRule="auto"/>
        <w:rPr>
          <w:sz w:val="20"/>
          <w:szCs w:val="20"/>
          <w:color w:val="auto"/>
        </w:rPr>
      </w:pPr>
      <w:r>
        <w:rPr>
          <w:rFonts w:ascii="Arial" w:cs="Arial" w:eastAsia="Arial" w:hAnsi="Arial"/>
          <w:sz w:val="14"/>
          <w:szCs w:val="14"/>
          <w:color w:val="auto"/>
        </w:rPr>
        <w:t>Interest expense, net decreased $5.4 million during 2017, as compared to 2016, primarily due to a decrease in interest expense of $3.3 million due to fewer assets acquired under capital leases. In addition, interest income from our money market funds increased by $2.1 million.</w:t>
      </w:r>
    </w:p>
    <w:p>
      <w:pPr>
        <w:spacing w:after="0" w:line="213" w:lineRule="exact"/>
        <w:rPr>
          <w:sz w:val="20"/>
          <w:szCs w:val="20"/>
          <w:color w:val="auto"/>
        </w:rPr>
      </w:pPr>
    </w:p>
    <w:p>
      <w:pPr>
        <w:ind w:left="1480"/>
        <w:spacing w:after="0"/>
        <w:rPr>
          <w:sz w:val="20"/>
          <w:szCs w:val="20"/>
          <w:color w:val="auto"/>
        </w:rPr>
      </w:pPr>
      <w:r>
        <w:rPr>
          <w:rFonts w:ascii="Arial" w:cs="Arial" w:eastAsia="Arial" w:hAnsi="Arial"/>
          <w:sz w:val="15"/>
          <w:szCs w:val="15"/>
          <w:i w:val="1"/>
          <w:iCs w:val="1"/>
          <w:color w:val="auto"/>
        </w:rPr>
        <w:t>Other income (expense), net</w:t>
      </w:r>
    </w:p>
    <w:p>
      <w:pPr>
        <w:spacing w:after="0" w:line="98" w:lineRule="exact"/>
        <w:rPr>
          <w:sz w:val="20"/>
          <w:szCs w:val="20"/>
          <w:color w:val="auto"/>
        </w:rPr>
      </w:pPr>
    </w:p>
    <w:p>
      <w:pPr>
        <w:ind w:left="1120" w:right="300" w:firstLine="368"/>
        <w:spacing w:after="0" w:line="275" w:lineRule="auto"/>
        <w:rPr>
          <w:sz w:val="20"/>
          <w:szCs w:val="20"/>
          <w:color w:val="auto"/>
        </w:rPr>
      </w:pPr>
      <w:r>
        <w:rPr>
          <w:rFonts w:ascii="Arial" w:cs="Arial" w:eastAsia="Arial" w:hAnsi="Arial"/>
          <w:sz w:val="15"/>
          <w:szCs w:val="15"/>
          <w:color w:val="auto"/>
        </w:rPr>
        <w:t>Other income (expense), net increased $8.3 million during 2017, as compared to 2016, primarily due to an increase of $8.6 million in foreign currency gains related to monetary assets and liabilities denominated in euros and British pound sterling.</w:t>
      </w:r>
    </w:p>
    <w:p>
      <w:pPr>
        <w:spacing w:after="0" w:line="236" w:lineRule="exact"/>
        <w:rPr>
          <w:sz w:val="20"/>
          <w:szCs w:val="20"/>
          <w:color w:val="auto"/>
        </w:rPr>
      </w:pPr>
    </w:p>
    <w:p>
      <w:pPr>
        <w:ind w:left="1480"/>
        <w:spacing w:after="0"/>
        <w:rPr>
          <w:sz w:val="20"/>
          <w:szCs w:val="20"/>
          <w:color w:val="auto"/>
        </w:rPr>
      </w:pPr>
      <w:r>
        <w:rPr>
          <w:rFonts w:ascii="Arial" w:cs="Arial" w:eastAsia="Arial" w:hAnsi="Arial"/>
          <w:sz w:val="15"/>
          <w:szCs w:val="15"/>
          <w:i w:val="1"/>
          <w:iCs w:val="1"/>
          <w:color w:val="auto"/>
        </w:rPr>
        <w:t>Provision for income taxes</w:t>
      </w:r>
    </w:p>
    <w:p>
      <w:pPr>
        <w:spacing w:after="0" w:line="98" w:lineRule="exact"/>
        <w:rPr>
          <w:sz w:val="20"/>
          <w:szCs w:val="20"/>
          <w:color w:val="auto"/>
        </w:rPr>
      </w:pPr>
    </w:p>
    <w:p>
      <w:pPr>
        <w:ind w:left="1120" w:right="60" w:firstLine="368"/>
        <w:spacing w:after="0" w:line="259" w:lineRule="auto"/>
        <w:rPr>
          <w:sz w:val="20"/>
          <w:szCs w:val="20"/>
          <w:color w:val="auto"/>
        </w:rPr>
      </w:pPr>
      <w:r>
        <w:rPr>
          <w:rFonts w:ascii="Arial" w:cs="Arial" w:eastAsia="Arial" w:hAnsi="Arial"/>
          <w:sz w:val="15"/>
          <w:szCs w:val="15"/>
          <w:color w:val="auto"/>
        </w:rPr>
        <w:t>Provision for income taxes decreased by $5.0 million during 2017 as compared to 2016, primarily as a result of a change in our U.S. AMT position. We were subject to U.S. AMT during 2016, and we do not expect to be subject to U.S. AMT during 2017. In addition, as a result of the repeal of AMT as part of the Tax Reform Act, we recognized a benefit and established a receivable in 2017 to reflect anticipated refunds of our 2016 AMT credit carryforward.</w:t>
      </w:r>
    </w:p>
    <w:p>
      <w:pPr>
        <w:spacing w:after="0" w:line="248" w:lineRule="exact"/>
        <w:rPr>
          <w:sz w:val="20"/>
          <w:szCs w:val="20"/>
          <w:color w:val="auto"/>
        </w:rPr>
      </w:pPr>
    </w:p>
    <w:p>
      <w:pPr>
        <w:ind w:left="1480"/>
        <w:spacing w:after="0"/>
        <w:rPr>
          <w:sz w:val="20"/>
          <w:szCs w:val="20"/>
          <w:color w:val="auto"/>
        </w:rPr>
      </w:pPr>
      <w:r>
        <w:rPr>
          <w:rFonts w:ascii="Arial" w:cs="Arial" w:eastAsia="Arial" w:hAnsi="Arial"/>
          <w:sz w:val="15"/>
          <w:szCs w:val="15"/>
          <w:b w:val="1"/>
          <w:bCs w:val="1"/>
          <w:i w:val="1"/>
          <w:iCs w:val="1"/>
          <w:color w:val="auto"/>
        </w:rPr>
        <w:t>Comparison of the year ended December 31, 2015 and 2016</w:t>
      </w:r>
    </w:p>
    <w:p>
      <w:pPr>
        <w:spacing w:after="0" w:line="98" w:lineRule="exact"/>
        <w:rPr>
          <w:sz w:val="20"/>
          <w:szCs w:val="20"/>
          <w:color w:val="auto"/>
        </w:rPr>
      </w:pPr>
    </w:p>
    <w:p>
      <w:pPr>
        <w:ind w:left="1480"/>
        <w:spacing w:after="0"/>
        <w:rPr>
          <w:sz w:val="20"/>
          <w:szCs w:val="20"/>
          <w:color w:val="auto"/>
        </w:rPr>
      </w:pPr>
      <w:r>
        <w:rPr>
          <w:rFonts w:ascii="Arial" w:cs="Arial" w:eastAsia="Arial" w:hAnsi="Arial"/>
          <w:sz w:val="15"/>
          <w:szCs w:val="15"/>
          <w:i w:val="1"/>
          <w:iCs w:val="1"/>
          <w:color w:val="auto"/>
        </w:rPr>
        <w:t>Revenue</w:t>
      </w:r>
    </w:p>
    <w:p>
      <w:pPr>
        <w:spacing w:after="0" w:line="188" w:lineRule="exact"/>
        <w:rPr>
          <w:sz w:val="20"/>
          <w:szCs w:val="20"/>
          <w:color w:val="auto"/>
        </w:rPr>
      </w:pPr>
    </w:p>
    <w:tbl>
      <w:tblPr>
        <w:tblLayout w:type="fixed"/>
        <w:tblInd w:w="1480" w:type="dxa"/>
        <w:tblCellMar>
          <w:top w:w="0" w:type="dxa"/>
          <w:left w:w="0" w:type="dxa"/>
          <w:bottom w:w="0" w:type="dxa"/>
          <w:right w:w="0" w:type="dxa"/>
        </w:tblCellMar>
      </w:tblPr>
      <w:tr>
        <w:trPr>
          <w:trHeight w:val="138"/>
        </w:trPr>
        <w:tc>
          <w:tcPr>
            <w:tcW w:w="20" w:type="dxa"/>
            <w:vAlign w:val="bottom"/>
          </w:tcPr>
          <w:p>
            <w:pPr>
              <w:spacing w:after="0"/>
              <w:rPr>
                <w:sz w:val="12"/>
                <w:szCs w:val="12"/>
                <w:color w:val="auto"/>
              </w:rPr>
            </w:pPr>
          </w:p>
        </w:tc>
        <w:tc>
          <w:tcPr>
            <w:tcW w:w="270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1340" w:type="dxa"/>
            <w:vAlign w:val="bottom"/>
            <w:gridSpan w:val="2"/>
          </w:tcPr>
          <w:p>
            <w:pPr>
              <w:jc w:val="center"/>
              <w:spacing w:after="0"/>
              <w:rPr>
                <w:sz w:val="20"/>
                <w:szCs w:val="20"/>
                <w:color w:val="auto"/>
              </w:rPr>
            </w:pPr>
            <w:r>
              <w:rPr>
                <w:rFonts w:ascii="Arial" w:cs="Arial" w:eastAsia="Arial" w:hAnsi="Arial"/>
                <w:sz w:val="12"/>
                <w:szCs w:val="12"/>
                <w:b w:val="1"/>
                <w:bCs w:val="1"/>
                <w:color w:val="auto"/>
                <w:w w:val="89"/>
              </w:rPr>
              <w:t>Year ended</w:t>
            </w:r>
          </w:p>
        </w:tc>
        <w:tc>
          <w:tcPr>
            <w:tcW w:w="5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70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1340" w:type="dxa"/>
            <w:vAlign w:val="bottom"/>
            <w:tcBorders>
              <w:bottom w:val="single" w:sz="8" w:color="auto"/>
            </w:tcBorders>
            <w:gridSpan w:val="2"/>
          </w:tcPr>
          <w:p>
            <w:pPr>
              <w:jc w:val="center"/>
              <w:spacing w:after="0"/>
              <w:rPr>
                <w:sz w:val="20"/>
                <w:szCs w:val="20"/>
                <w:color w:val="auto"/>
              </w:rPr>
            </w:pPr>
            <w:r>
              <w:rPr>
                <w:rFonts w:ascii="Arial" w:cs="Arial" w:eastAsia="Arial" w:hAnsi="Arial"/>
                <w:sz w:val="12"/>
                <w:szCs w:val="12"/>
                <w:b w:val="1"/>
                <w:bCs w:val="1"/>
                <w:color w:val="auto"/>
                <w:w w:val="89"/>
              </w:rPr>
              <w:t>December 31,</w:t>
            </w:r>
          </w:p>
        </w:tc>
        <w:tc>
          <w:tcPr>
            <w:tcW w:w="980" w:type="dxa"/>
            <w:vAlign w:val="bottom"/>
            <w:gridSpan w:val="2"/>
            <w:vMerge w:val="restart"/>
          </w:tcPr>
          <w:p>
            <w:pPr>
              <w:ind w:left="480"/>
              <w:spacing w:after="0"/>
              <w:rPr>
                <w:sz w:val="20"/>
                <w:szCs w:val="20"/>
                <w:color w:val="auto"/>
              </w:rPr>
            </w:pPr>
            <w:r>
              <w:rPr>
                <w:rFonts w:ascii="Arial" w:cs="Arial" w:eastAsia="Arial" w:hAnsi="Arial"/>
                <w:sz w:val="12"/>
                <w:szCs w:val="12"/>
                <w:b w:val="1"/>
                <w:bCs w:val="1"/>
                <w:color w:val="auto"/>
                <w:w w:val="88"/>
              </w:rPr>
              <w:t>$ Change</w:t>
            </w:r>
          </w:p>
        </w:tc>
        <w:tc>
          <w:tcPr>
            <w:tcW w:w="1220" w:type="dxa"/>
            <w:vAlign w:val="bottom"/>
            <w:gridSpan w:val="3"/>
            <w:vMerge w:val="restart"/>
          </w:tcPr>
          <w:p>
            <w:pPr>
              <w:jc w:val="right"/>
              <w:ind w:right="160"/>
              <w:spacing w:after="0"/>
              <w:rPr>
                <w:sz w:val="20"/>
                <w:szCs w:val="20"/>
                <w:color w:val="auto"/>
              </w:rPr>
            </w:pPr>
            <w:r>
              <w:rPr>
                <w:rFonts w:ascii="Arial" w:cs="Arial" w:eastAsia="Arial" w:hAnsi="Arial"/>
                <w:sz w:val="12"/>
                <w:szCs w:val="12"/>
                <w:b w:val="1"/>
                <w:bCs w:val="1"/>
                <w:color w:val="auto"/>
              </w:rPr>
              <w:t>% Change</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2700" w:type="dxa"/>
            <w:vAlign w:val="bottom"/>
          </w:tcPr>
          <w:p>
            <w:pPr>
              <w:spacing w:after="0"/>
              <w:rPr>
                <w:sz w:val="10"/>
                <w:szCs w:val="10"/>
                <w:color w:val="auto"/>
              </w:rPr>
            </w:pPr>
          </w:p>
        </w:tc>
        <w:tc>
          <w:tcPr>
            <w:tcW w:w="2200" w:type="dxa"/>
            <w:vAlign w:val="bottom"/>
          </w:tcPr>
          <w:p>
            <w:pPr>
              <w:spacing w:after="0"/>
              <w:rPr>
                <w:sz w:val="10"/>
                <w:szCs w:val="10"/>
                <w:color w:val="auto"/>
              </w:rPr>
            </w:pPr>
          </w:p>
        </w:tc>
        <w:tc>
          <w:tcPr>
            <w:tcW w:w="660" w:type="dxa"/>
            <w:vAlign w:val="bottom"/>
          </w:tcPr>
          <w:p>
            <w:pPr>
              <w:jc w:val="right"/>
              <w:ind w:right="260"/>
              <w:spacing w:after="0" w:line="115" w:lineRule="exact"/>
              <w:rPr>
                <w:sz w:val="20"/>
                <w:szCs w:val="20"/>
                <w:color w:val="auto"/>
              </w:rPr>
            </w:pPr>
            <w:r>
              <w:rPr>
                <w:rFonts w:ascii="Arial" w:cs="Arial" w:eastAsia="Arial" w:hAnsi="Arial"/>
                <w:sz w:val="12"/>
                <w:szCs w:val="12"/>
                <w:b w:val="1"/>
                <w:bCs w:val="1"/>
                <w:color w:val="auto"/>
              </w:rPr>
              <w:t>2015</w:t>
            </w:r>
          </w:p>
        </w:tc>
        <w:tc>
          <w:tcPr>
            <w:tcW w:w="680" w:type="dxa"/>
            <w:vAlign w:val="bottom"/>
          </w:tcPr>
          <w:p>
            <w:pPr>
              <w:jc w:val="right"/>
              <w:ind w:right="32"/>
              <w:spacing w:after="0" w:line="115" w:lineRule="exact"/>
              <w:rPr>
                <w:sz w:val="20"/>
                <w:szCs w:val="20"/>
                <w:color w:val="auto"/>
              </w:rPr>
            </w:pPr>
            <w:r>
              <w:rPr>
                <w:rFonts w:ascii="Arial" w:cs="Arial" w:eastAsia="Arial" w:hAnsi="Arial"/>
                <w:sz w:val="12"/>
                <w:szCs w:val="12"/>
                <w:b w:val="1"/>
                <w:bCs w:val="1"/>
                <w:color w:val="auto"/>
              </w:rPr>
              <w:t>2016</w:t>
            </w:r>
          </w:p>
        </w:tc>
        <w:tc>
          <w:tcPr>
            <w:tcW w:w="980" w:type="dxa"/>
            <w:vAlign w:val="bottom"/>
            <w:gridSpan w:val="2"/>
            <w:vMerge w:val="continue"/>
          </w:tcPr>
          <w:p>
            <w:pPr>
              <w:spacing w:after="0"/>
              <w:rPr>
                <w:sz w:val="10"/>
                <w:szCs w:val="10"/>
                <w:color w:val="auto"/>
              </w:rPr>
            </w:pPr>
          </w:p>
        </w:tc>
        <w:tc>
          <w:tcPr>
            <w:tcW w:w="12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2700" w:type="dxa"/>
            <w:vAlign w:val="bottom"/>
          </w:tcPr>
          <w:p>
            <w:pPr>
              <w:spacing w:after="0"/>
              <w:rPr>
                <w:sz w:val="10"/>
                <w:szCs w:val="10"/>
                <w:color w:val="auto"/>
              </w:rPr>
            </w:pPr>
          </w:p>
        </w:tc>
        <w:tc>
          <w:tcPr>
            <w:tcW w:w="2200" w:type="dxa"/>
            <w:vAlign w:val="bottom"/>
          </w:tcPr>
          <w:p>
            <w:pPr>
              <w:spacing w:after="0"/>
              <w:rPr>
                <w:sz w:val="10"/>
                <w:szCs w:val="10"/>
                <w:color w:val="auto"/>
              </w:rPr>
            </w:pPr>
          </w:p>
        </w:tc>
        <w:tc>
          <w:tcPr>
            <w:tcW w:w="1340" w:type="dxa"/>
            <w:vAlign w:val="bottom"/>
            <w:tcBorders>
              <w:top w:val="single" w:sz="8" w:color="auto"/>
            </w:tcBorders>
            <w:gridSpan w:val="2"/>
          </w:tcPr>
          <w:p>
            <w:pPr>
              <w:jc w:val="center"/>
              <w:spacing w:after="0" w:line="115" w:lineRule="exact"/>
              <w:rPr>
                <w:sz w:val="20"/>
                <w:szCs w:val="20"/>
                <w:color w:val="auto"/>
              </w:rPr>
            </w:pPr>
            <w:r>
              <w:rPr>
                <w:rFonts w:ascii="Arial" w:cs="Arial" w:eastAsia="Arial" w:hAnsi="Arial"/>
                <w:sz w:val="12"/>
                <w:szCs w:val="12"/>
                <w:i w:val="1"/>
                <w:iCs w:val="1"/>
                <w:color w:val="auto"/>
                <w:w w:val="97"/>
              </w:rPr>
              <w:t>(In millions)</w:t>
            </w:r>
          </w:p>
        </w:tc>
        <w:tc>
          <w:tcPr>
            <w:tcW w:w="500" w:type="dxa"/>
            <w:vAlign w:val="bottom"/>
          </w:tcPr>
          <w:p>
            <w:pPr>
              <w:spacing w:after="0"/>
              <w:rPr>
                <w:sz w:val="10"/>
                <w:szCs w:val="10"/>
                <w:color w:val="auto"/>
              </w:rPr>
            </w:pPr>
          </w:p>
        </w:tc>
        <w:tc>
          <w:tcPr>
            <w:tcW w:w="480" w:type="dxa"/>
            <w:vAlign w:val="bottom"/>
            <w:tcBorders>
              <w:top w:val="single" w:sz="8" w:color="auto"/>
            </w:tcBorders>
          </w:tcPr>
          <w:p>
            <w:pPr>
              <w:spacing w:after="0"/>
              <w:rPr>
                <w:sz w:val="10"/>
                <w:szCs w:val="10"/>
                <w:color w:val="auto"/>
              </w:rPr>
            </w:pPr>
          </w:p>
        </w:tc>
        <w:tc>
          <w:tcPr>
            <w:tcW w:w="500" w:type="dxa"/>
            <w:vAlign w:val="bottom"/>
          </w:tcPr>
          <w:p>
            <w:pPr>
              <w:spacing w:after="0"/>
              <w:rPr>
                <w:sz w:val="10"/>
                <w:szCs w:val="10"/>
                <w:color w:val="auto"/>
              </w:rPr>
            </w:pPr>
          </w:p>
        </w:tc>
        <w:tc>
          <w:tcPr>
            <w:tcW w:w="560" w:type="dxa"/>
            <w:vAlign w:val="bottom"/>
            <w:tcBorders>
              <w:top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2700" w:type="dxa"/>
            <w:vAlign w:val="bottom"/>
            <w:shd w:val="clear" w:color="auto" w:fill="CCEEFF"/>
          </w:tcPr>
          <w:p>
            <w:pPr>
              <w:spacing w:after="0"/>
              <w:rPr>
                <w:sz w:val="20"/>
                <w:szCs w:val="20"/>
                <w:color w:val="auto"/>
              </w:rPr>
            </w:pPr>
            <w:r>
              <w:rPr>
                <w:rFonts w:ascii="Arial" w:cs="Arial" w:eastAsia="Arial" w:hAnsi="Arial"/>
                <w:sz w:val="15"/>
                <w:szCs w:val="15"/>
                <w:color w:val="auto"/>
              </w:rPr>
              <w:t>Revenue</w:t>
            </w:r>
          </w:p>
        </w:tc>
        <w:tc>
          <w:tcPr>
            <w:tcW w:w="286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$603.8</w:t>
            </w:r>
          </w:p>
        </w:tc>
        <w:tc>
          <w:tcPr>
            <w:tcW w:w="6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$844.8</w:t>
            </w:r>
          </w:p>
        </w:tc>
        <w:tc>
          <w:tcPr>
            <w:tcW w:w="980" w:type="dxa"/>
            <w:vAlign w:val="bottom"/>
            <w:gridSpan w:val="2"/>
            <w:shd w:val="clear" w:color="auto" w:fill="CCEEFF"/>
          </w:tcPr>
          <w:p>
            <w:pPr>
              <w:ind w:left="480"/>
              <w:spacing w:after="0"/>
              <w:rPr>
                <w:sz w:val="20"/>
                <w:szCs w:val="20"/>
                <w:color w:val="auto"/>
              </w:rPr>
            </w:pPr>
            <w:r>
              <w:rPr>
                <w:rFonts w:ascii="Arial" w:cs="Arial" w:eastAsia="Arial" w:hAnsi="Arial"/>
                <w:sz w:val="15"/>
                <w:szCs w:val="15"/>
                <w:color w:val="auto"/>
                <w:w w:val="95"/>
              </w:rPr>
              <w:t>$ 241.0</w:t>
            </w:r>
          </w:p>
        </w:tc>
        <w:tc>
          <w:tcPr>
            <w:tcW w:w="1220" w:type="dxa"/>
            <w:vAlign w:val="bottom"/>
            <w:gridSpan w:val="3"/>
            <w:shd w:val="clear" w:color="auto" w:fill="CCEEFF"/>
          </w:tcPr>
          <w:p>
            <w:pPr>
              <w:jc w:val="right"/>
              <w:ind w:right="40"/>
              <w:spacing w:after="0"/>
              <w:rPr>
                <w:sz w:val="20"/>
                <w:szCs w:val="20"/>
                <w:color w:val="auto"/>
              </w:rPr>
            </w:pPr>
            <w:r>
              <w:rPr>
                <w:rFonts w:ascii="Arial" w:cs="Arial" w:eastAsia="Arial" w:hAnsi="Arial"/>
                <w:sz w:val="15"/>
                <w:szCs w:val="15"/>
                <w:color w:val="auto"/>
              </w:rPr>
              <w:t>40%</w:t>
            </w:r>
          </w:p>
        </w:tc>
        <w:tc>
          <w:tcPr>
            <w:tcW w:w="0" w:type="dxa"/>
            <w:vAlign w:val="bottom"/>
          </w:tcPr>
          <w:p>
            <w:pPr>
              <w:spacing w:after="0"/>
              <w:rPr>
                <w:sz w:val="1"/>
                <w:szCs w:val="1"/>
                <w:color w:val="auto"/>
              </w:rPr>
            </w:pPr>
          </w:p>
        </w:tc>
      </w:tr>
    </w:tbl>
    <w:p>
      <w:pPr>
        <w:spacing w:after="0" w:line="170" w:lineRule="exact"/>
        <w:rPr>
          <w:sz w:val="20"/>
          <w:szCs w:val="20"/>
          <w:color w:val="auto"/>
        </w:rPr>
      </w:pPr>
    </w:p>
    <w:p>
      <w:pPr>
        <w:ind w:left="1120" w:right="60" w:firstLine="368"/>
        <w:spacing w:after="0" w:line="275" w:lineRule="auto"/>
        <w:rPr>
          <w:sz w:val="20"/>
          <w:szCs w:val="20"/>
          <w:color w:val="auto"/>
        </w:rPr>
      </w:pPr>
      <w:r>
        <w:rPr>
          <w:rFonts w:ascii="Arial" w:cs="Arial" w:eastAsia="Arial" w:hAnsi="Arial"/>
          <w:sz w:val="15"/>
          <w:szCs w:val="15"/>
          <w:color w:val="auto"/>
        </w:rPr>
        <w:t>Revenue increased $241.0 million or 40% during 2016 as compared to 2015. This increase was primarily due to a 35% increase in the number of paying users between periods. The average revenue per paying user also decreased slightly between periods.</w:t>
      </w:r>
    </w:p>
    <w:p>
      <w:pPr>
        <w:spacing w:after="0" w:line="236" w:lineRule="exact"/>
        <w:rPr>
          <w:sz w:val="20"/>
          <w:szCs w:val="20"/>
          <w:color w:val="auto"/>
        </w:rPr>
      </w:pPr>
    </w:p>
    <w:p>
      <w:pPr>
        <w:ind w:left="1480"/>
        <w:spacing w:after="0"/>
        <w:rPr>
          <w:sz w:val="20"/>
          <w:szCs w:val="20"/>
          <w:color w:val="auto"/>
        </w:rPr>
      </w:pPr>
      <w:r>
        <w:rPr>
          <w:rFonts w:ascii="Arial" w:cs="Arial" w:eastAsia="Arial" w:hAnsi="Arial"/>
          <w:sz w:val="15"/>
          <w:szCs w:val="15"/>
          <w:i w:val="1"/>
          <w:iCs w:val="1"/>
          <w:color w:val="auto"/>
        </w:rPr>
        <w:t>Cost of revenue, gross profit, and gross margin</w:t>
      </w:r>
    </w:p>
    <w:p>
      <w:pPr>
        <w:spacing w:after="0" w:line="188" w:lineRule="exact"/>
        <w:rPr>
          <w:sz w:val="20"/>
          <w:szCs w:val="20"/>
          <w:color w:val="auto"/>
        </w:rPr>
      </w:pPr>
    </w:p>
    <w:tbl>
      <w:tblPr>
        <w:tblLayout w:type="fixed"/>
        <w:tblInd w:w="1480" w:type="dxa"/>
        <w:tblCellMar>
          <w:top w:w="0" w:type="dxa"/>
          <w:left w:w="0" w:type="dxa"/>
          <w:bottom w:w="0" w:type="dxa"/>
          <w:right w:w="0" w:type="dxa"/>
        </w:tblCellMar>
      </w:tblPr>
      <w:tr>
        <w:trPr>
          <w:trHeight w:val="138"/>
        </w:trPr>
        <w:tc>
          <w:tcPr>
            <w:tcW w:w="20" w:type="dxa"/>
            <w:vAlign w:val="bottom"/>
          </w:tcPr>
          <w:p>
            <w:pPr>
              <w:spacing w:after="0"/>
              <w:rPr>
                <w:sz w:val="12"/>
                <w:szCs w:val="12"/>
                <w:color w:val="auto"/>
              </w:rPr>
            </w:pPr>
          </w:p>
        </w:tc>
        <w:tc>
          <w:tcPr>
            <w:tcW w:w="296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1700" w:type="dxa"/>
            <w:vAlign w:val="bottom"/>
            <w:gridSpan w:val="3"/>
          </w:tcPr>
          <w:p>
            <w:pPr>
              <w:jc w:val="center"/>
              <w:ind w:right="360"/>
              <w:spacing w:after="0"/>
              <w:rPr>
                <w:sz w:val="20"/>
                <w:szCs w:val="20"/>
                <w:color w:val="auto"/>
              </w:rPr>
            </w:pPr>
            <w:r>
              <w:rPr>
                <w:rFonts w:ascii="Arial" w:cs="Arial" w:eastAsia="Arial" w:hAnsi="Arial"/>
                <w:sz w:val="12"/>
                <w:szCs w:val="12"/>
                <w:b w:val="1"/>
                <w:bCs w:val="1"/>
                <w:color w:val="auto"/>
                <w:w w:val="89"/>
              </w:rPr>
              <w:t>Year ended</w:t>
            </w: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96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1700" w:type="dxa"/>
            <w:vAlign w:val="bottom"/>
            <w:gridSpan w:val="3"/>
          </w:tcPr>
          <w:p>
            <w:pPr>
              <w:jc w:val="center"/>
              <w:ind w:right="360"/>
              <w:spacing w:after="0"/>
              <w:rPr>
                <w:sz w:val="20"/>
                <w:szCs w:val="20"/>
                <w:color w:val="auto"/>
              </w:rPr>
            </w:pPr>
            <w:r>
              <w:rPr>
                <w:rFonts w:ascii="Arial" w:cs="Arial" w:eastAsia="Arial" w:hAnsi="Arial"/>
                <w:sz w:val="12"/>
                <w:szCs w:val="12"/>
                <w:b w:val="1"/>
                <w:bCs w:val="1"/>
                <w:color w:val="auto"/>
                <w:w w:val="89"/>
              </w:rPr>
              <w:t>December 31,</w:t>
            </w:r>
          </w:p>
        </w:tc>
        <w:tc>
          <w:tcPr>
            <w:tcW w:w="280" w:type="dxa"/>
            <w:vAlign w:val="bottom"/>
            <w:gridSpan w:val="2"/>
            <w:vMerge w:val="restart"/>
          </w:tcPr>
          <w:p>
            <w:pPr>
              <w:ind w:left="200"/>
              <w:spacing w:after="0"/>
              <w:rPr>
                <w:sz w:val="20"/>
                <w:szCs w:val="20"/>
                <w:color w:val="auto"/>
              </w:rPr>
            </w:pPr>
            <w:r>
              <w:rPr>
                <w:rFonts w:ascii="Arial" w:cs="Arial" w:eastAsia="Arial" w:hAnsi="Arial"/>
                <w:sz w:val="12"/>
                <w:szCs w:val="12"/>
                <w:b w:val="1"/>
                <w:bCs w:val="1"/>
                <w:color w:val="auto"/>
                <w:w w:val="89"/>
              </w:rPr>
              <w:t>$</w:t>
            </w:r>
          </w:p>
        </w:tc>
        <w:tc>
          <w:tcPr>
            <w:tcW w:w="680" w:type="dxa"/>
            <w:vAlign w:val="bottom"/>
            <w:gridSpan w:val="2"/>
            <w:vMerge w:val="restart"/>
          </w:tcPr>
          <w:p>
            <w:pPr>
              <w:jc w:val="right"/>
              <w:ind w:right="260"/>
              <w:spacing w:after="0"/>
              <w:rPr>
                <w:sz w:val="20"/>
                <w:szCs w:val="20"/>
                <w:color w:val="auto"/>
              </w:rPr>
            </w:pPr>
            <w:r>
              <w:rPr>
                <w:rFonts w:ascii="Arial" w:cs="Arial" w:eastAsia="Arial" w:hAnsi="Arial"/>
                <w:sz w:val="12"/>
                <w:szCs w:val="12"/>
                <w:b w:val="1"/>
                <w:bCs w:val="1"/>
                <w:color w:val="auto"/>
                <w:w w:val="90"/>
              </w:rPr>
              <w:t>Change</w:t>
            </w:r>
          </w:p>
        </w:tc>
        <w:tc>
          <w:tcPr>
            <w:tcW w:w="800" w:type="dxa"/>
            <w:vAlign w:val="bottom"/>
            <w:gridSpan w:val="3"/>
            <w:vMerge w:val="restart"/>
          </w:tcPr>
          <w:p>
            <w:pPr>
              <w:ind w:left="200"/>
              <w:spacing w:after="0"/>
              <w:rPr>
                <w:sz w:val="20"/>
                <w:szCs w:val="20"/>
                <w:color w:val="auto"/>
              </w:rPr>
            </w:pPr>
            <w:r>
              <w:rPr>
                <w:rFonts w:ascii="Arial" w:cs="Arial" w:eastAsia="Arial" w:hAnsi="Arial"/>
                <w:sz w:val="12"/>
                <w:szCs w:val="12"/>
                <w:b w:val="1"/>
                <w:bCs w:val="1"/>
                <w:color w:val="auto"/>
                <w:w w:val="99"/>
              </w:rPr>
              <w:t>% Change</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2960" w:type="dxa"/>
            <w:vAlign w:val="bottom"/>
          </w:tcPr>
          <w:p>
            <w:pPr>
              <w:spacing w:after="0"/>
              <w:rPr>
                <w:sz w:val="10"/>
                <w:szCs w:val="10"/>
                <w:color w:val="auto"/>
              </w:rPr>
            </w:pPr>
          </w:p>
        </w:tc>
        <w:tc>
          <w:tcPr>
            <w:tcW w:w="2020" w:type="dxa"/>
            <w:vAlign w:val="bottom"/>
          </w:tcPr>
          <w:p>
            <w:pPr>
              <w:spacing w:after="0"/>
              <w:rPr>
                <w:sz w:val="10"/>
                <w:szCs w:val="10"/>
                <w:color w:val="auto"/>
              </w:rPr>
            </w:pPr>
          </w:p>
        </w:tc>
        <w:tc>
          <w:tcPr>
            <w:tcW w:w="740" w:type="dxa"/>
            <w:vAlign w:val="bottom"/>
            <w:tcBorders>
              <w:top w:val="single" w:sz="8" w:color="auto"/>
            </w:tcBorders>
          </w:tcPr>
          <w:p>
            <w:pPr>
              <w:jc w:val="right"/>
              <w:ind w:right="360"/>
              <w:spacing w:after="0" w:line="115" w:lineRule="exact"/>
              <w:rPr>
                <w:sz w:val="20"/>
                <w:szCs w:val="20"/>
                <w:color w:val="auto"/>
              </w:rPr>
            </w:pPr>
            <w:r>
              <w:rPr>
                <w:rFonts w:ascii="Arial" w:cs="Arial" w:eastAsia="Arial" w:hAnsi="Arial"/>
                <w:sz w:val="12"/>
                <w:szCs w:val="12"/>
                <w:b w:val="1"/>
                <w:bCs w:val="1"/>
                <w:color w:val="auto"/>
              </w:rPr>
              <w:t>2015</w:t>
            </w:r>
          </w:p>
        </w:tc>
        <w:tc>
          <w:tcPr>
            <w:tcW w:w="640" w:type="dxa"/>
            <w:vAlign w:val="bottom"/>
            <w:tcBorders>
              <w:top w:val="single" w:sz="8" w:color="auto"/>
            </w:tcBorders>
          </w:tcPr>
          <w:p>
            <w:pPr>
              <w:jc w:val="right"/>
              <w:ind w:right="29"/>
              <w:spacing w:after="0" w:line="115" w:lineRule="exact"/>
              <w:rPr>
                <w:sz w:val="20"/>
                <w:szCs w:val="20"/>
                <w:color w:val="auto"/>
              </w:rPr>
            </w:pPr>
            <w:r>
              <w:rPr>
                <w:rFonts w:ascii="Arial" w:cs="Arial" w:eastAsia="Arial" w:hAnsi="Arial"/>
                <w:sz w:val="12"/>
                <w:szCs w:val="12"/>
                <w:b w:val="1"/>
                <w:bCs w:val="1"/>
                <w:color w:val="auto"/>
              </w:rPr>
              <w:t>2016</w:t>
            </w:r>
          </w:p>
        </w:tc>
        <w:tc>
          <w:tcPr>
            <w:tcW w:w="320" w:type="dxa"/>
            <w:vAlign w:val="bottom"/>
          </w:tcPr>
          <w:p>
            <w:pPr>
              <w:spacing w:after="0"/>
              <w:rPr>
                <w:sz w:val="10"/>
                <w:szCs w:val="10"/>
                <w:color w:val="auto"/>
              </w:rPr>
            </w:pPr>
          </w:p>
        </w:tc>
        <w:tc>
          <w:tcPr>
            <w:tcW w:w="280" w:type="dxa"/>
            <w:vAlign w:val="bottom"/>
            <w:gridSpan w:val="2"/>
            <w:vMerge w:val="continue"/>
          </w:tcPr>
          <w:p>
            <w:pPr>
              <w:spacing w:after="0"/>
              <w:rPr>
                <w:sz w:val="10"/>
                <w:szCs w:val="10"/>
                <w:color w:val="auto"/>
              </w:rPr>
            </w:pPr>
          </w:p>
        </w:tc>
        <w:tc>
          <w:tcPr>
            <w:tcW w:w="680" w:type="dxa"/>
            <w:vAlign w:val="bottom"/>
            <w:gridSpan w:val="2"/>
            <w:vMerge w:val="continue"/>
          </w:tcPr>
          <w:p>
            <w:pPr>
              <w:spacing w:after="0"/>
              <w:rPr>
                <w:sz w:val="10"/>
                <w:szCs w:val="10"/>
                <w:color w:val="auto"/>
              </w:rPr>
            </w:pPr>
          </w:p>
        </w:tc>
        <w:tc>
          <w:tcPr>
            <w:tcW w:w="80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2960" w:type="dxa"/>
            <w:vAlign w:val="bottom"/>
          </w:tcPr>
          <w:p>
            <w:pPr>
              <w:spacing w:after="0"/>
              <w:rPr>
                <w:sz w:val="10"/>
                <w:szCs w:val="10"/>
                <w:color w:val="auto"/>
              </w:rPr>
            </w:pPr>
          </w:p>
        </w:tc>
        <w:tc>
          <w:tcPr>
            <w:tcW w:w="2020" w:type="dxa"/>
            <w:vAlign w:val="bottom"/>
          </w:tcPr>
          <w:p>
            <w:pPr>
              <w:spacing w:after="0"/>
              <w:rPr>
                <w:sz w:val="10"/>
                <w:szCs w:val="10"/>
                <w:color w:val="auto"/>
              </w:rPr>
            </w:pPr>
          </w:p>
        </w:tc>
        <w:tc>
          <w:tcPr>
            <w:tcW w:w="1380" w:type="dxa"/>
            <w:vAlign w:val="bottom"/>
            <w:tcBorders>
              <w:top w:val="single" w:sz="8" w:color="auto"/>
            </w:tcBorders>
            <w:gridSpan w:val="2"/>
          </w:tcPr>
          <w:p>
            <w:pPr>
              <w:jc w:val="center"/>
              <w:spacing w:after="0" w:line="115" w:lineRule="exact"/>
              <w:rPr>
                <w:sz w:val="20"/>
                <w:szCs w:val="20"/>
                <w:color w:val="auto"/>
              </w:rPr>
            </w:pPr>
            <w:r>
              <w:rPr>
                <w:rFonts w:ascii="Arial" w:cs="Arial" w:eastAsia="Arial" w:hAnsi="Arial"/>
                <w:sz w:val="12"/>
                <w:szCs w:val="12"/>
                <w:i w:val="1"/>
                <w:iCs w:val="1"/>
                <w:color w:val="auto"/>
                <w:w w:val="97"/>
              </w:rPr>
              <w:t>(In millions)</w:t>
            </w:r>
          </w:p>
        </w:tc>
        <w:tc>
          <w:tcPr>
            <w:tcW w:w="3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420" w:type="dxa"/>
            <w:vAlign w:val="bottom"/>
            <w:tcBorders>
              <w:top w:val="single" w:sz="8" w:color="auto"/>
            </w:tcBorders>
          </w:tcPr>
          <w:p>
            <w:pPr>
              <w:spacing w:after="0"/>
              <w:rPr>
                <w:sz w:val="10"/>
                <w:szCs w:val="10"/>
                <w:color w:val="auto"/>
              </w:rPr>
            </w:pPr>
          </w:p>
        </w:tc>
        <w:tc>
          <w:tcPr>
            <w:tcW w:w="2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40" w:type="dxa"/>
            <w:vAlign w:val="bottom"/>
            <w:tcBorders>
              <w:top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2960" w:type="dxa"/>
            <w:vAlign w:val="bottom"/>
            <w:shd w:val="clear" w:color="auto" w:fill="CCEEFF"/>
          </w:tcPr>
          <w:p>
            <w:pPr>
              <w:spacing w:after="0"/>
              <w:rPr>
                <w:sz w:val="20"/>
                <w:szCs w:val="20"/>
                <w:color w:val="auto"/>
              </w:rPr>
            </w:pPr>
            <w:r>
              <w:rPr>
                <w:rFonts w:ascii="Arial" w:cs="Arial" w:eastAsia="Arial" w:hAnsi="Arial"/>
                <w:sz w:val="15"/>
                <w:szCs w:val="15"/>
                <w:color w:val="auto"/>
              </w:rPr>
              <w:t>Cost of revenue</w:t>
            </w:r>
          </w:p>
        </w:tc>
        <w:tc>
          <w:tcPr>
            <w:tcW w:w="2760" w:type="dxa"/>
            <w:vAlign w:val="bottom"/>
            <w:gridSpan w:val="2"/>
            <w:shd w:val="clear" w:color="auto" w:fill="CCEEFF"/>
          </w:tcPr>
          <w:p>
            <w:pPr>
              <w:jc w:val="right"/>
              <w:ind w:right="280"/>
              <w:spacing w:after="0"/>
              <w:rPr>
                <w:sz w:val="20"/>
                <w:szCs w:val="20"/>
                <w:color w:val="auto"/>
              </w:rPr>
            </w:pPr>
            <w:r>
              <w:rPr>
                <w:rFonts w:ascii="Arial" w:cs="Arial" w:eastAsia="Arial" w:hAnsi="Arial"/>
                <w:sz w:val="15"/>
                <w:szCs w:val="15"/>
                <w:color w:val="auto"/>
              </w:rPr>
              <w:t>$407.4</w:t>
            </w:r>
          </w:p>
        </w:tc>
        <w:tc>
          <w:tcPr>
            <w:tcW w:w="6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$390.6</w:t>
            </w:r>
          </w:p>
        </w:tc>
        <w:tc>
          <w:tcPr>
            <w:tcW w:w="320" w:type="dxa"/>
            <w:vAlign w:val="bottom"/>
            <w:shd w:val="clear" w:color="auto" w:fill="CCEEFF"/>
          </w:tcPr>
          <w:p>
            <w:pPr>
              <w:spacing w:after="0"/>
              <w:rPr>
                <w:sz w:val="15"/>
                <w:szCs w:val="15"/>
                <w:color w:val="auto"/>
              </w:rPr>
            </w:pPr>
          </w:p>
        </w:tc>
        <w:tc>
          <w:tcPr>
            <w:tcW w:w="280" w:type="dxa"/>
            <w:vAlign w:val="bottom"/>
            <w:gridSpan w:val="2"/>
            <w:shd w:val="clear" w:color="auto" w:fill="CCEEFF"/>
          </w:tcPr>
          <w:p>
            <w:pPr>
              <w:ind w:left="200"/>
              <w:spacing w:after="0"/>
              <w:rPr>
                <w:sz w:val="20"/>
                <w:szCs w:val="20"/>
                <w:color w:val="auto"/>
              </w:rPr>
            </w:pPr>
            <w:r>
              <w:rPr>
                <w:rFonts w:ascii="Arial" w:cs="Arial" w:eastAsia="Arial" w:hAnsi="Arial"/>
                <w:sz w:val="15"/>
                <w:szCs w:val="15"/>
                <w:color w:val="auto"/>
                <w:w w:val="71"/>
              </w:rPr>
              <w:t>$</w:t>
            </w: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(16.8)</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(4)%</w:t>
            </w: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2960" w:type="dxa"/>
            <w:vAlign w:val="bottom"/>
          </w:tcPr>
          <w:p>
            <w:pPr>
              <w:spacing w:after="0"/>
              <w:rPr>
                <w:sz w:val="20"/>
                <w:szCs w:val="20"/>
                <w:color w:val="auto"/>
              </w:rPr>
            </w:pPr>
            <w:r>
              <w:rPr>
                <w:rFonts w:ascii="Arial" w:cs="Arial" w:eastAsia="Arial" w:hAnsi="Arial"/>
                <w:sz w:val="15"/>
                <w:szCs w:val="15"/>
                <w:color w:val="auto"/>
              </w:rPr>
              <w:t>Gross profit</w:t>
            </w:r>
          </w:p>
        </w:tc>
        <w:tc>
          <w:tcPr>
            <w:tcW w:w="2760" w:type="dxa"/>
            <w:vAlign w:val="bottom"/>
            <w:gridSpan w:val="2"/>
          </w:tcPr>
          <w:p>
            <w:pPr>
              <w:jc w:val="right"/>
              <w:ind w:right="280"/>
              <w:spacing w:after="0"/>
              <w:rPr>
                <w:sz w:val="20"/>
                <w:szCs w:val="20"/>
                <w:color w:val="auto"/>
              </w:rPr>
            </w:pPr>
            <w:r>
              <w:rPr>
                <w:rFonts w:ascii="Arial" w:cs="Arial" w:eastAsia="Arial" w:hAnsi="Arial"/>
                <w:sz w:val="15"/>
                <w:szCs w:val="15"/>
                <w:color w:val="auto"/>
              </w:rPr>
              <w:t>196.4</w:t>
            </w:r>
          </w:p>
        </w:tc>
        <w:tc>
          <w:tcPr>
            <w:tcW w:w="640" w:type="dxa"/>
            <w:vAlign w:val="bottom"/>
          </w:tcPr>
          <w:p>
            <w:pPr>
              <w:jc w:val="right"/>
              <w:spacing w:after="0"/>
              <w:rPr>
                <w:sz w:val="20"/>
                <w:szCs w:val="20"/>
                <w:color w:val="auto"/>
              </w:rPr>
            </w:pPr>
            <w:r>
              <w:rPr>
                <w:rFonts w:ascii="Arial" w:cs="Arial" w:eastAsia="Arial" w:hAnsi="Arial"/>
                <w:sz w:val="15"/>
                <w:szCs w:val="15"/>
                <w:color w:val="auto"/>
              </w:rPr>
              <w:t>454.2</w:t>
            </w:r>
          </w:p>
        </w:tc>
        <w:tc>
          <w:tcPr>
            <w:tcW w:w="3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20" w:type="dxa"/>
            <w:vAlign w:val="bottom"/>
          </w:tcPr>
          <w:p>
            <w:pPr>
              <w:jc w:val="right"/>
              <w:spacing w:after="0"/>
              <w:rPr>
                <w:sz w:val="20"/>
                <w:szCs w:val="20"/>
                <w:color w:val="auto"/>
              </w:rPr>
            </w:pPr>
            <w:r>
              <w:rPr>
                <w:rFonts w:ascii="Arial" w:cs="Arial" w:eastAsia="Arial" w:hAnsi="Arial"/>
                <w:sz w:val="15"/>
                <w:szCs w:val="15"/>
                <w:color w:val="auto"/>
              </w:rPr>
              <w:t>257.8</w:t>
            </w:r>
          </w:p>
        </w:tc>
        <w:tc>
          <w:tcPr>
            <w:tcW w:w="260" w:type="dxa"/>
            <w:vAlign w:val="bottom"/>
          </w:tcPr>
          <w:p>
            <w:pPr>
              <w:spacing w:after="0"/>
              <w:rPr>
                <w:sz w:val="15"/>
                <w:szCs w:val="15"/>
                <w:color w:val="auto"/>
              </w:rPr>
            </w:pPr>
          </w:p>
        </w:tc>
        <w:tc>
          <w:tcPr>
            <w:tcW w:w="760" w:type="dxa"/>
            <w:vAlign w:val="bottom"/>
            <w:gridSpan w:val="2"/>
          </w:tcPr>
          <w:p>
            <w:pPr>
              <w:jc w:val="right"/>
              <w:spacing w:after="0"/>
              <w:rPr>
                <w:sz w:val="20"/>
                <w:szCs w:val="20"/>
                <w:color w:val="auto"/>
              </w:rPr>
            </w:pPr>
            <w:r>
              <w:rPr>
                <w:rFonts w:ascii="Arial" w:cs="Arial" w:eastAsia="Arial" w:hAnsi="Arial"/>
                <w:sz w:val="15"/>
                <w:szCs w:val="15"/>
                <w:color w:val="auto"/>
              </w:rPr>
              <w:t>131%</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2960" w:type="dxa"/>
            <w:vAlign w:val="bottom"/>
            <w:shd w:val="clear" w:color="auto" w:fill="CCEEFF"/>
          </w:tcPr>
          <w:p>
            <w:pPr>
              <w:spacing w:after="0"/>
              <w:rPr>
                <w:sz w:val="20"/>
                <w:szCs w:val="20"/>
                <w:color w:val="auto"/>
              </w:rPr>
            </w:pPr>
            <w:r>
              <w:rPr>
                <w:rFonts w:ascii="Arial" w:cs="Arial" w:eastAsia="Arial" w:hAnsi="Arial"/>
                <w:sz w:val="15"/>
                <w:szCs w:val="15"/>
                <w:color w:val="auto"/>
              </w:rPr>
              <w:t>Gross margin</w:t>
            </w:r>
          </w:p>
        </w:tc>
        <w:tc>
          <w:tcPr>
            <w:tcW w:w="276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33%</w:t>
            </w: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54%</w:t>
            </w:r>
          </w:p>
        </w:tc>
        <w:tc>
          <w:tcPr>
            <w:tcW w:w="2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bl>
    <w:p>
      <w:pPr>
        <w:spacing w:after="0" w:line="170" w:lineRule="exact"/>
        <w:rPr>
          <w:sz w:val="20"/>
          <w:szCs w:val="20"/>
          <w:color w:val="auto"/>
        </w:rPr>
      </w:pPr>
    </w:p>
    <w:p>
      <w:pPr>
        <w:ind w:left="1120" w:firstLine="368"/>
        <w:spacing w:after="0" w:line="322" w:lineRule="auto"/>
        <w:rPr>
          <w:sz w:val="20"/>
          <w:szCs w:val="20"/>
          <w:color w:val="auto"/>
        </w:rPr>
      </w:pPr>
      <w:r>
        <w:rPr>
          <w:rFonts w:ascii="Arial" w:cs="Arial" w:eastAsia="Arial" w:hAnsi="Arial"/>
          <w:sz w:val="13"/>
          <w:szCs w:val="13"/>
          <w:color w:val="auto"/>
        </w:rPr>
        <w:t>Cost of revenue decreased $16.8 million or 4% during 2016, as compared to 2015, primarily due to a net decrease of $39.5 million in our infrastructure costs due to our Infrastructure Optimization. The net decrease of $39.5 million included a $92.5 million decrease in expense related to our third-party datacenter service provider, offset by a $53.0 million increase in depreciation, facilities, and support expense related to our infrastructure</w:t>
      </w:r>
    </w:p>
    <w:p>
      <w:pPr>
        <w:spacing w:after="0" w:line="64" w:lineRule="exact"/>
        <w:rPr>
          <w:sz w:val="20"/>
          <w:szCs w:val="20"/>
          <w:color w:val="auto"/>
        </w:rPr>
      </w:pPr>
    </w:p>
    <w:p>
      <w:pPr>
        <w:ind w:left="5640"/>
        <w:spacing w:after="0"/>
        <w:rPr>
          <w:sz w:val="20"/>
          <w:szCs w:val="20"/>
          <w:color w:val="auto"/>
        </w:rPr>
      </w:pPr>
      <w:r>
        <w:rPr>
          <w:rFonts w:ascii="Arial" w:cs="Arial" w:eastAsia="Arial" w:hAnsi="Arial"/>
          <w:sz w:val="15"/>
          <w:szCs w:val="15"/>
          <w:color w:val="auto"/>
        </w:rPr>
        <w:t>78</w:t>
      </w:r>
    </w:p>
    <w:p>
      <w:pPr>
        <w:sectPr>
          <w:pgSz w:w="11900" w:h="16838" w:orient="portrait"/>
          <w:cols w:equalWidth="0" w:num="1">
            <w:col w:w="10260"/>
          </w:cols>
          <w:pgMar w:left="240" w:top="407" w:right="1399" w:bottom="1440" w:gutter="0" w:footer="0" w:header="0"/>
        </w:sectPr>
      </w:pPr>
    </w:p>
    <w:bookmarkStart w:id="85" w:name="page86"/>
    <w:bookmarkEnd w:id="85"/>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133350</wp:posOffset>
            </wp:positionH>
            <wp:positionV relativeFrom="page">
              <wp:posOffset>88900</wp:posOffset>
            </wp:positionV>
            <wp:extent cx="7308850" cy="342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308850" cy="34290"/>
                    </a:xfrm>
                    <a:prstGeom prst="rect">
                      <a:avLst/>
                    </a:prstGeom>
                    <a:noFill/>
                  </pic:spPr>
                </pic:pic>
              </a:graphicData>
            </a:graphic>
          </wp:anchor>
        </w:drawing>
      </w:r>
      <w:hyperlink w:anchor="page7">
        <w:r>
          <w:rPr>
            <w:rFonts w:ascii="Arial" w:cs="Arial" w:eastAsia="Arial" w:hAnsi="Arial"/>
            <w:sz w:val="15"/>
            <w:szCs w:val="15"/>
            <w:b w:val="1"/>
            <w:bCs w:val="1"/>
            <w:u w:val="single" w:color="auto"/>
            <w:color w:val="0000EE"/>
          </w:rPr>
          <w:t>Table of Contents</w:t>
        </w:r>
      </w:hyperlink>
    </w:p>
    <w:p>
      <w:pPr>
        <w:spacing w:after="0" w:line="260" w:lineRule="exact"/>
        <w:rPr>
          <w:sz w:val="20"/>
          <w:szCs w:val="20"/>
          <w:color w:val="auto"/>
        </w:rPr>
      </w:pPr>
    </w:p>
    <w:p>
      <w:pPr>
        <w:ind w:left="1120" w:right="80"/>
        <w:spacing w:after="0" w:line="279" w:lineRule="auto"/>
        <w:rPr>
          <w:sz w:val="20"/>
          <w:szCs w:val="20"/>
          <w:color w:val="auto"/>
        </w:rPr>
      </w:pPr>
      <w:r>
        <w:rPr>
          <w:rFonts w:ascii="Arial" w:cs="Arial" w:eastAsia="Arial" w:hAnsi="Arial"/>
          <w:sz w:val="14"/>
          <w:szCs w:val="14"/>
          <w:color w:val="auto"/>
        </w:rPr>
        <w:t>equipment in co-location facilities that we directly lease and operate. Further, the decrease in cost of revenue was due to a $5.2 million decrease in amortization of developed technologies, as certain intangible assets became fully amortized during 2016. These decreases in cost of revenue were also partially offset by an increase of $13.8 million in employee-related expenses due to headcount growth, an increase of $5.5 million in credit card transaction fees due to higher sales, an increase of $9.9 million related to property taxes for our co-location facilities, professional fees for user support, and overhead-related costs primarily due to the completion of construction on our new corporate headquarters.</w:t>
      </w:r>
    </w:p>
    <w:p>
      <w:pPr>
        <w:spacing w:after="0" w:line="147" w:lineRule="exact"/>
        <w:rPr>
          <w:sz w:val="20"/>
          <w:szCs w:val="20"/>
          <w:color w:val="auto"/>
        </w:rPr>
      </w:pPr>
    </w:p>
    <w:p>
      <w:pPr>
        <w:ind w:left="1120" w:firstLine="368"/>
        <w:spacing w:after="0" w:line="275" w:lineRule="auto"/>
        <w:rPr>
          <w:sz w:val="20"/>
          <w:szCs w:val="20"/>
          <w:color w:val="auto"/>
        </w:rPr>
      </w:pPr>
      <w:r>
        <w:rPr>
          <w:rFonts w:ascii="Arial" w:cs="Arial" w:eastAsia="Arial" w:hAnsi="Arial"/>
          <w:sz w:val="15"/>
          <w:szCs w:val="15"/>
          <w:color w:val="auto"/>
        </w:rPr>
        <w:t>Our gross margin increased from 33% during 2015 to 54% during 2016 primarily due to our Infrastructure Optimization and a 40% increase in our revenue during the period.</w:t>
      </w:r>
    </w:p>
    <w:p>
      <w:pPr>
        <w:spacing w:after="0" w:line="236" w:lineRule="exact"/>
        <w:rPr>
          <w:sz w:val="20"/>
          <w:szCs w:val="20"/>
          <w:color w:val="auto"/>
        </w:rPr>
      </w:pPr>
    </w:p>
    <w:p>
      <w:pPr>
        <w:ind w:left="1480"/>
        <w:spacing w:after="0"/>
        <w:rPr>
          <w:sz w:val="20"/>
          <w:szCs w:val="20"/>
          <w:color w:val="auto"/>
        </w:rPr>
      </w:pPr>
      <w:r>
        <w:rPr>
          <w:rFonts w:ascii="Arial" w:cs="Arial" w:eastAsia="Arial" w:hAnsi="Arial"/>
          <w:sz w:val="15"/>
          <w:szCs w:val="15"/>
          <w:i w:val="1"/>
          <w:iCs w:val="1"/>
          <w:color w:val="auto"/>
        </w:rPr>
        <w:t>Research and development</w:t>
      </w:r>
    </w:p>
    <w:p>
      <w:pPr>
        <w:spacing w:after="0" w:line="188" w:lineRule="exact"/>
        <w:rPr>
          <w:sz w:val="20"/>
          <w:szCs w:val="20"/>
          <w:color w:val="auto"/>
        </w:rPr>
      </w:pPr>
    </w:p>
    <w:tbl>
      <w:tblPr>
        <w:tblLayout w:type="fixed"/>
        <w:tblInd w:w="1480" w:type="dxa"/>
        <w:tblCellMar>
          <w:top w:w="0" w:type="dxa"/>
          <w:left w:w="0" w:type="dxa"/>
          <w:bottom w:w="0" w:type="dxa"/>
          <w:right w:w="0" w:type="dxa"/>
        </w:tblCellMar>
      </w:tblPr>
      <w:tr>
        <w:trPr>
          <w:trHeight w:val="138"/>
        </w:trPr>
        <w:tc>
          <w:tcPr>
            <w:tcW w:w="20" w:type="dxa"/>
            <w:vAlign w:val="bottom"/>
          </w:tcPr>
          <w:p>
            <w:pPr>
              <w:spacing w:after="0"/>
              <w:rPr>
                <w:sz w:val="12"/>
                <w:szCs w:val="12"/>
                <w:color w:val="auto"/>
              </w:rPr>
            </w:pPr>
          </w:p>
        </w:tc>
        <w:tc>
          <w:tcPr>
            <w:tcW w:w="326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1320" w:type="dxa"/>
            <w:vAlign w:val="bottom"/>
            <w:gridSpan w:val="2"/>
          </w:tcPr>
          <w:p>
            <w:pPr>
              <w:jc w:val="center"/>
              <w:spacing w:after="0"/>
              <w:rPr>
                <w:sz w:val="20"/>
                <w:szCs w:val="20"/>
                <w:color w:val="auto"/>
              </w:rPr>
            </w:pPr>
            <w:r>
              <w:rPr>
                <w:rFonts w:ascii="Arial" w:cs="Arial" w:eastAsia="Arial" w:hAnsi="Arial"/>
                <w:sz w:val="12"/>
                <w:szCs w:val="12"/>
                <w:b w:val="1"/>
                <w:bCs w:val="1"/>
                <w:color w:val="auto"/>
                <w:w w:val="89"/>
              </w:rPr>
              <w:t>Year ended</w:t>
            </w: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26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1320" w:type="dxa"/>
            <w:vAlign w:val="bottom"/>
            <w:tcBorders>
              <w:bottom w:val="single" w:sz="8" w:color="auto"/>
            </w:tcBorders>
            <w:gridSpan w:val="2"/>
          </w:tcPr>
          <w:p>
            <w:pPr>
              <w:jc w:val="center"/>
              <w:spacing w:after="0"/>
              <w:rPr>
                <w:sz w:val="20"/>
                <w:szCs w:val="20"/>
                <w:color w:val="auto"/>
              </w:rPr>
            </w:pPr>
            <w:r>
              <w:rPr>
                <w:rFonts w:ascii="Arial" w:cs="Arial" w:eastAsia="Arial" w:hAnsi="Arial"/>
                <w:sz w:val="12"/>
                <w:szCs w:val="12"/>
                <w:b w:val="1"/>
                <w:bCs w:val="1"/>
                <w:color w:val="auto"/>
                <w:w w:val="89"/>
              </w:rPr>
              <w:t>December 31,</w:t>
            </w:r>
          </w:p>
        </w:tc>
        <w:tc>
          <w:tcPr>
            <w:tcW w:w="580" w:type="dxa"/>
            <w:vAlign w:val="bottom"/>
            <w:gridSpan w:val="2"/>
            <w:vMerge w:val="restart"/>
          </w:tcPr>
          <w:p>
            <w:pPr>
              <w:ind w:left="500"/>
              <w:spacing w:after="0"/>
              <w:rPr>
                <w:sz w:val="20"/>
                <w:szCs w:val="20"/>
                <w:color w:val="auto"/>
              </w:rPr>
            </w:pPr>
            <w:r>
              <w:rPr>
                <w:rFonts w:ascii="Arial" w:cs="Arial" w:eastAsia="Arial" w:hAnsi="Arial"/>
                <w:sz w:val="12"/>
                <w:szCs w:val="12"/>
                <w:b w:val="1"/>
                <w:bCs w:val="1"/>
                <w:color w:val="auto"/>
                <w:w w:val="89"/>
              </w:rPr>
              <w:t>$</w:t>
            </w:r>
          </w:p>
        </w:tc>
        <w:tc>
          <w:tcPr>
            <w:tcW w:w="420" w:type="dxa"/>
            <w:vAlign w:val="bottom"/>
            <w:vMerge w:val="restart"/>
          </w:tcPr>
          <w:p>
            <w:pPr>
              <w:jc w:val="right"/>
              <w:spacing w:after="0"/>
              <w:rPr>
                <w:sz w:val="20"/>
                <w:szCs w:val="20"/>
                <w:color w:val="auto"/>
              </w:rPr>
            </w:pPr>
            <w:r>
              <w:rPr>
                <w:rFonts w:ascii="Arial" w:cs="Arial" w:eastAsia="Arial" w:hAnsi="Arial"/>
                <w:sz w:val="12"/>
                <w:szCs w:val="12"/>
                <w:b w:val="1"/>
                <w:bCs w:val="1"/>
                <w:color w:val="auto"/>
                <w:w w:val="86"/>
              </w:rPr>
              <w:t>Change</w:t>
            </w:r>
          </w:p>
        </w:tc>
        <w:tc>
          <w:tcPr>
            <w:tcW w:w="1200" w:type="dxa"/>
            <w:vAlign w:val="bottom"/>
            <w:gridSpan w:val="3"/>
            <w:vMerge w:val="restart"/>
          </w:tcPr>
          <w:p>
            <w:pPr>
              <w:jc w:val="right"/>
              <w:ind w:right="160"/>
              <w:spacing w:after="0"/>
              <w:rPr>
                <w:sz w:val="20"/>
                <w:szCs w:val="20"/>
                <w:color w:val="auto"/>
              </w:rPr>
            </w:pPr>
            <w:r>
              <w:rPr>
                <w:rFonts w:ascii="Arial" w:cs="Arial" w:eastAsia="Arial" w:hAnsi="Arial"/>
                <w:sz w:val="12"/>
                <w:szCs w:val="12"/>
                <w:b w:val="1"/>
                <w:bCs w:val="1"/>
                <w:color w:val="auto"/>
              </w:rPr>
              <w:t>% Change</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3260" w:type="dxa"/>
            <w:vAlign w:val="bottom"/>
          </w:tcPr>
          <w:p>
            <w:pPr>
              <w:spacing w:after="0"/>
              <w:rPr>
                <w:sz w:val="10"/>
                <w:szCs w:val="10"/>
                <w:color w:val="auto"/>
              </w:rPr>
            </w:pPr>
          </w:p>
        </w:tc>
        <w:tc>
          <w:tcPr>
            <w:tcW w:w="1660" w:type="dxa"/>
            <w:vAlign w:val="bottom"/>
          </w:tcPr>
          <w:p>
            <w:pPr>
              <w:spacing w:after="0"/>
              <w:rPr>
                <w:sz w:val="10"/>
                <w:szCs w:val="10"/>
                <w:color w:val="auto"/>
              </w:rPr>
            </w:pPr>
          </w:p>
        </w:tc>
        <w:tc>
          <w:tcPr>
            <w:tcW w:w="660" w:type="dxa"/>
            <w:vAlign w:val="bottom"/>
          </w:tcPr>
          <w:p>
            <w:pPr>
              <w:jc w:val="right"/>
              <w:ind w:right="280"/>
              <w:spacing w:after="0" w:line="115" w:lineRule="exact"/>
              <w:rPr>
                <w:sz w:val="20"/>
                <w:szCs w:val="20"/>
                <w:color w:val="auto"/>
              </w:rPr>
            </w:pPr>
            <w:r>
              <w:rPr>
                <w:rFonts w:ascii="Arial" w:cs="Arial" w:eastAsia="Arial" w:hAnsi="Arial"/>
                <w:sz w:val="12"/>
                <w:szCs w:val="12"/>
                <w:b w:val="1"/>
                <w:bCs w:val="1"/>
                <w:color w:val="auto"/>
              </w:rPr>
              <w:t>2015</w:t>
            </w:r>
          </w:p>
        </w:tc>
        <w:tc>
          <w:tcPr>
            <w:tcW w:w="660" w:type="dxa"/>
            <w:vAlign w:val="bottom"/>
          </w:tcPr>
          <w:p>
            <w:pPr>
              <w:jc w:val="right"/>
              <w:ind w:right="12"/>
              <w:spacing w:after="0" w:line="115" w:lineRule="exact"/>
              <w:rPr>
                <w:sz w:val="20"/>
                <w:szCs w:val="20"/>
                <w:color w:val="auto"/>
              </w:rPr>
            </w:pPr>
            <w:r>
              <w:rPr>
                <w:rFonts w:ascii="Arial" w:cs="Arial" w:eastAsia="Arial" w:hAnsi="Arial"/>
                <w:sz w:val="12"/>
                <w:szCs w:val="12"/>
                <w:b w:val="1"/>
                <w:bCs w:val="1"/>
                <w:color w:val="auto"/>
              </w:rPr>
              <w:t>2016</w:t>
            </w:r>
          </w:p>
        </w:tc>
        <w:tc>
          <w:tcPr>
            <w:tcW w:w="580" w:type="dxa"/>
            <w:vAlign w:val="bottom"/>
            <w:gridSpan w:val="2"/>
            <w:vMerge w:val="continue"/>
          </w:tcPr>
          <w:p>
            <w:pPr>
              <w:spacing w:after="0"/>
              <w:rPr>
                <w:sz w:val="10"/>
                <w:szCs w:val="10"/>
                <w:color w:val="auto"/>
              </w:rPr>
            </w:pPr>
          </w:p>
        </w:tc>
        <w:tc>
          <w:tcPr>
            <w:tcW w:w="420" w:type="dxa"/>
            <w:vAlign w:val="bottom"/>
            <w:vMerge w:val="continue"/>
          </w:tcPr>
          <w:p>
            <w:pPr>
              <w:spacing w:after="0"/>
              <w:rPr>
                <w:sz w:val="10"/>
                <w:szCs w:val="10"/>
                <w:color w:val="auto"/>
              </w:rPr>
            </w:pPr>
          </w:p>
        </w:tc>
        <w:tc>
          <w:tcPr>
            <w:tcW w:w="120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3260" w:type="dxa"/>
            <w:vAlign w:val="bottom"/>
          </w:tcPr>
          <w:p>
            <w:pPr>
              <w:spacing w:after="0"/>
              <w:rPr>
                <w:sz w:val="10"/>
                <w:szCs w:val="10"/>
                <w:color w:val="auto"/>
              </w:rPr>
            </w:pPr>
          </w:p>
        </w:tc>
        <w:tc>
          <w:tcPr>
            <w:tcW w:w="1660" w:type="dxa"/>
            <w:vAlign w:val="bottom"/>
          </w:tcPr>
          <w:p>
            <w:pPr>
              <w:spacing w:after="0"/>
              <w:rPr>
                <w:sz w:val="10"/>
                <w:szCs w:val="10"/>
                <w:color w:val="auto"/>
              </w:rPr>
            </w:pPr>
          </w:p>
        </w:tc>
        <w:tc>
          <w:tcPr>
            <w:tcW w:w="1320" w:type="dxa"/>
            <w:vAlign w:val="bottom"/>
            <w:tcBorders>
              <w:top w:val="single" w:sz="8" w:color="auto"/>
            </w:tcBorders>
            <w:gridSpan w:val="2"/>
          </w:tcPr>
          <w:p>
            <w:pPr>
              <w:jc w:val="center"/>
              <w:spacing w:after="0" w:line="115" w:lineRule="exact"/>
              <w:rPr>
                <w:sz w:val="20"/>
                <w:szCs w:val="20"/>
                <w:color w:val="auto"/>
              </w:rPr>
            </w:pPr>
            <w:r>
              <w:rPr>
                <w:rFonts w:ascii="Arial" w:cs="Arial" w:eastAsia="Arial" w:hAnsi="Arial"/>
                <w:sz w:val="12"/>
                <w:szCs w:val="12"/>
                <w:i w:val="1"/>
                <w:iCs w:val="1"/>
                <w:color w:val="auto"/>
                <w:w w:val="97"/>
              </w:rPr>
              <w:t>(In millions)</w:t>
            </w:r>
          </w:p>
        </w:tc>
        <w:tc>
          <w:tcPr>
            <w:tcW w:w="50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420" w:type="dxa"/>
            <w:vAlign w:val="bottom"/>
            <w:tcBorders>
              <w:top w:val="single" w:sz="8" w:color="auto"/>
            </w:tcBorders>
          </w:tcPr>
          <w:p>
            <w:pPr>
              <w:spacing w:after="0"/>
              <w:rPr>
                <w:sz w:val="10"/>
                <w:szCs w:val="10"/>
                <w:color w:val="auto"/>
              </w:rPr>
            </w:pPr>
          </w:p>
        </w:tc>
        <w:tc>
          <w:tcPr>
            <w:tcW w:w="480" w:type="dxa"/>
            <w:vAlign w:val="bottom"/>
          </w:tcPr>
          <w:p>
            <w:pPr>
              <w:spacing w:after="0"/>
              <w:rPr>
                <w:sz w:val="10"/>
                <w:szCs w:val="10"/>
                <w:color w:val="auto"/>
              </w:rPr>
            </w:pPr>
          </w:p>
        </w:tc>
        <w:tc>
          <w:tcPr>
            <w:tcW w:w="560" w:type="dxa"/>
            <w:vAlign w:val="bottom"/>
            <w:tcBorders>
              <w:top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260" w:type="dxa"/>
            <w:vAlign w:val="bottom"/>
            <w:shd w:val="clear" w:color="auto" w:fill="CCEEFF"/>
          </w:tcPr>
          <w:p>
            <w:pPr>
              <w:spacing w:after="0"/>
              <w:rPr>
                <w:sz w:val="20"/>
                <w:szCs w:val="20"/>
                <w:color w:val="auto"/>
              </w:rPr>
            </w:pPr>
            <w:r>
              <w:rPr>
                <w:rFonts w:ascii="Arial" w:cs="Arial" w:eastAsia="Arial" w:hAnsi="Arial"/>
                <w:sz w:val="15"/>
                <w:szCs w:val="15"/>
                <w:color w:val="auto"/>
              </w:rPr>
              <w:t>Research and development</w:t>
            </w:r>
          </w:p>
        </w:tc>
        <w:tc>
          <w:tcPr>
            <w:tcW w:w="232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$201.6</w:t>
            </w:r>
          </w:p>
        </w:tc>
        <w:tc>
          <w:tcPr>
            <w:tcW w:w="6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$289.7</w:t>
            </w:r>
          </w:p>
        </w:tc>
        <w:tc>
          <w:tcPr>
            <w:tcW w:w="580" w:type="dxa"/>
            <w:vAlign w:val="bottom"/>
            <w:gridSpan w:val="2"/>
            <w:shd w:val="clear" w:color="auto" w:fill="CCEEFF"/>
          </w:tcPr>
          <w:p>
            <w:pPr>
              <w:ind w:left="500"/>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88.1</w:t>
            </w:r>
          </w:p>
        </w:tc>
        <w:tc>
          <w:tcPr>
            <w:tcW w:w="1200" w:type="dxa"/>
            <w:vAlign w:val="bottom"/>
            <w:gridSpan w:val="3"/>
            <w:shd w:val="clear" w:color="auto" w:fill="CCEEFF"/>
          </w:tcPr>
          <w:p>
            <w:pPr>
              <w:jc w:val="right"/>
              <w:ind w:right="40"/>
              <w:spacing w:after="0"/>
              <w:rPr>
                <w:sz w:val="20"/>
                <w:szCs w:val="20"/>
                <w:color w:val="auto"/>
              </w:rPr>
            </w:pPr>
            <w:r>
              <w:rPr>
                <w:rFonts w:ascii="Arial" w:cs="Arial" w:eastAsia="Arial" w:hAnsi="Arial"/>
                <w:sz w:val="15"/>
                <w:szCs w:val="15"/>
                <w:color w:val="auto"/>
              </w:rPr>
              <w:t>44%</w:t>
            </w:r>
          </w:p>
        </w:tc>
        <w:tc>
          <w:tcPr>
            <w:tcW w:w="0" w:type="dxa"/>
            <w:vAlign w:val="bottom"/>
          </w:tcPr>
          <w:p>
            <w:pPr>
              <w:spacing w:after="0"/>
              <w:rPr>
                <w:sz w:val="1"/>
                <w:szCs w:val="1"/>
                <w:color w:val="auto"/>
              </w:rPr>
            </w:pPr>
          </w:p>
        </w:tc>
      </w:tr>
    </w:tbl>
    <w:p>
      <w:pPr>
        <w:spacing w:after="0" w:line="170" w:lineRule="exact"/>
        <w:rPr>
          <w:sz w:val="20"/>
          <w:szCs w:val="20"/>
          <w:color w:val="auto"/>
        </w:rPr>
      </w:pPr>
    </w:p>
    <w:p>
      <w:pPr>
        <w:ind w:left="1480"/>
        <w:spacing w:after="0"/>
        <w:rPr>
          <w:sz w:val="20"/>
          <w:szCs w:val="20"/>
          <w:color w:val="auto"/>
        </w:rPr>
      </w:pPr>
      <w:r>
        <w:rPr>
          <w:rFonts w:ascii="Arial" w:cs="Arial" w:eastAsia="Arial" w:hAnsi="Arial"/>
          <w:sz w:val="14"/>
          <w:szCs w:val="14"/>
          <w:color w:val="auto"/>
        </w:rPr>
        <w:t>Research and development expenses increased $88.1 million or 44% during 2016, as compared to 2015, primarily due to an increase of</w:t>
      </w:r>
    </w:p>
    <w:p>
      <w:pPr>
        <w:spacing w:after="0" w:line="29" w:lineRule="exact"/>
        <w:rPr>
          <w:sz w:val="20"/>
          <w:szCs w:val="20"/>
          <w:color w:val="auto"/>
        </w:rPr>
      </w:pPr>
    </w:p>
    <w:p>
      <w:pPr>
        <w:ind w:left="1120" w:right="60"/>
        <w:spacing w:after="0" w:line="256" w:lineRule="auto"/>
        <w:rPr>
          <w:sz w:val="20"/>
          <w:szCs w:val="20"/>
          <w:color w:val="auto"/>
        </w:rPr>
      </w:pPr>
      <w:r>
        <w:rPr>
          <w:rFonts w:ascii="Arial" w:cs="Arial" w:eastAsia="Arial" w:hAnsi="Arial"/>
          <w:sz w:val="15"/>
          <w:szCs w:val="15"/>
          <w:color w:val="auto"/>
        </w:rPr>
        <w:t>$66.9 million in employee-related expenses due to headcount growth. Further, the increase in research and development expense was due to an increase of $17.7 million in overhead-related costs primarily due to the completion of construction on our new corporate headquarters, and an increase of $5.3 million in internal development-related third-party hosting fees.</w:t>
      </w:r>
    </w:p>
    <w:p>
      <w:pPr>
        <w:spacing w:after="0" w:line="251" w:lineRule="exact"/>
        <w:rPr>
          <w:sz w:val="20"/>
          <w:szCs w:val="20"/>
          <w:color w:val="auto"/>
        </w:rPr>
      </w:pPr>
    </w:p>
    <w:p>
      <w:pPr>
        <w:ind w:left="1480"/>
        <w:spacing w:after="0"/>
        <w:rPr>
          <w:sz w:val="20"/>
          <w:szCs w:val="20"/>
          <w:color w:val="auto"/>
        </w:rPr>
      </w:pPr>
      <w:r>
        <w:rPr>
          <w:rFonts w:ascii="Arial" w:cs="Arial" w:eastAsia="Arial" w:hAnsi="Arial"/>
          <w:sz w:val="15"/>
          <w:szCs w:val="15"/>
          <w:i w:val="1"/>
          <w:iCs w:val="1"/>
          <w:color w:val="auto"/>
        </w:rPr>
        <w:t>Sales and marketing</w:t>
      </w:r>
    </w:p>
    <w:p>
      <w:pPr>
        <w:spacing w:after="0" w:line="188" w:lineRule="exact"/>
        <w:rPr>
          <w:sz w:val="20"/>
          <w:szCs w:val="20"/>
          <w:color w:val="auto"/>
        </w:rPr>
      </w:pPr>
    </w:p>
    <w:tbl>
      <w:tblPr>
        <w:tblLayout w:type="fixed"/>
        <w:tblInd w:w="1480" w:type="dxa"/>
        <w:tblCellMar>
          <w:top w:w="0" w:type="dxa"/>
          <w:left w:w="0" w:type="dxa"/>
          <w:bottom w:w="0" w:type="dxa"/>
          <w:right w:w="0" w:type="dxa"/>
        </w:tblCellMar>
      </w:tblPr>
      <w:tr>
        <w:trPr>
          <w:trHeight w:val="138"/>
        </w:trPr>
        <w:tc>
          <w:tcPr>
            <w:tcW w:w="20" w:type="dxa"/>
            <w:vAlign w:val="bottom"/>
          </w:tcPr>
          <w:p>
            <w:pPr>
              <w:spacing w:after="0"/>
              <w:rPr>
                <w:sz w:val="12"/>
                <w:szCs w:val="12"/>
                <w:color w:val="auto"/>
              </w:rPr>
            </w:pPr>
          </w:p>
        </w:tc>
        <w:tc>
          <w:tcPr>
            <w:tcW w:w="306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320" w:type="dxa"/>
            <w:vAlign w:val="bottom"/>
            <w:gridSpan w:val="2"/>
          </w:tcPr>
          <w:p>
            <w:pPr>
              <w:jc w:val="center"/>
              <w:spacing w:after="0"/>
              <w:rPr>
                <w:sz w:val="20"/>
                <w:szCs w:val="20"/>
                <w:color w:val="auto"/>
              </w:rPr>
            </w:pPr>
            <w:r>
              <w:rPr>
                <w:rFonts w:ascii="Arial" w:cs="Arial" w:eastAsia="Arial" w:hAnsi="Arial"/>
                <w:sz w:val="12"/>
                <w:szCs w:val="12"/>
                <w:b w:val="1"/>
                <w:bCs w:val="1"/>
                <w:color w:val="auto"/>
                <w:w w:val="89"/>
              </w:rPr>
              <w:t>Year ended</w:t>
            </w: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06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320" w:type="dxa"/>
            <w:vAlign w:val="bottom"/>
            <w:tcBorders>
              <w:bottom w:val="single" w:sz="8" w:color="auto"/>
            </w:tcBorders>
            <w:gridSpan w:val="2"/>
          </w:tcPr>
          <w:p>
            <w:pPr>
              <w:jc w:val="center"/>
              <w:spacing w:after="0"/>
              <w:rPr>
                <w:sz w:val="20"/>
                <w:szCs w:val="20"/>
                <w:color w:val="auto"/>
              </w:rPr>
            </w:pPr>
            <w:r>
              <w:rPr>
                <w:rFonts w:ascii="Arial" w:cs="Arial" w:eastAsia="Arial" w:hAnsi="Arial"/>
                <w:sz w:val="12"/>
                <w:szCs w:val="12"/>
                <w:b w:val="1"/>
                <w:bCs w:val="1"/>
                <w:color w:val="auto"/>
                <w:w w:val="89"/>
              </w:rPr>
              <w:t>December 31,</w:t>
            </w:r>
          </w:p>
        </w:tc>
        <w:tc>
          <w:tcPr>
            <w:tcW w:w="580" w:type="dxa"/>
            <w:vAlign w:val="bottom"/>
            <w:gridSpan w:val="2"/>
            <w:vMerge w:val="restart"/>
          </w:tcPr>
          <w:p>
            <w:pPr>
              <w:ind w:left="500"/>
              <w:spacing w:after="0"/>
              <w:rPr>
                <w:sz w:val="20"/>
                <w:szCs w:val="20"/>
                <w:color w:val="auto"/>
              </w:rPr>
            </w:pPr>
            <w:r>
              <w:rPr>
                <w:rFonts w:ascii="Arial" w:cs="Arial" w:eastAsia="Arial" w:hAnsi="Arial"/>
                <w:sz w:val="12"/>
                <w:szCs w:val="12"/>
                <w:b w:val="1"/>
                <w:bCs w:val="1"/>
                <w:color w:val="auto"/>
                <w:w w:val="89"/>
              </w:rPr>
              <w:t>$</w:t>
            </w:r>
          </w:p>
        </w:tc>
        <w:tc>
          <w:tcPr>
            <w:tcW w:w="420" w:type="dxa"/>
            <w:vAlign w:val="bottom"/>
            <w:vMerge w:val="restart"/>
          </w:tcPr>
          <w:p>
            <w:pPr>
              <w:jc w:val="right"/>
              <w:spacing w:after="0"/>
              <w:rPr>
                <w:sz w:val="20"/>
                <w:szCs w:val="20"/>
                <w:color w:val="auto"/>
              </w:rPr>
            </w:pPr>
            <w:r>
              <w:rPr>
                <w:rFonts w:ascii="Arial" w:cs="Arial" w:eastAsia="Arial" w:hAnsi="Arial"/>
                <w:sz w:val="12"/>
                <w:szCs w:val="12"/>
                <w:b w:val="1"/>
                <w:bCs w:val="1"/>
                <w:color w:val="auto"/>
                <w:w w:val="86"/>
              </w:rPr>
              <w:t>Change</w:t>
            </w:r>
          </w:p>
        </w:tc>
        <w:tc>
          <w:tcPr>
            <w:tcW w:w="1200" w:type="dxa"/>
            <w:vAlign w:val="bottom"/>
            <w:gridSpan w:val="3"/>
            <w:vMerge w:val="restart"/>
          </w:tcPr>
          <w:p>
            <w:pPr>
              <w:jc w:val="right"/>
              <w:ind w:right="160"/>
              <w:spacing w:after="0"/>
              <w:rPr>
                <w:sz w:val="20"/>
                <w:szCs w:val="20"/>
                <w:color w:val="auto"/>
              </w:rPr>
            </w:pPr>
            <w:r>
              <w:rPr>
                <w:rFonts w:ascii="Arial" w:cs="Arial" w:eastAsia="Arial" w:hAnsi="Arial"/>
                <w:sz w:val="12"/>
                <w:szCs w:val="12"/>
                <w:b w:val="1"/>
                <w:bCs w:val="1"/>
                <w:color w:val="auto"/>
              </w:rPr>
              <w:t>% Change</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3060" w:type="dxa"/>
            <w:vAlign w:val="bottom"/>
          </w:tcPr>
          <w:p>
            <w:pPr>
              <w:spacing w:after="0"/>
              <w:rPr>
                <w:sz w:val="10"/>
                <w:szCs w:val="10"/>
                <w:color w:val="auto"/>
              </w:rPr>
            </w:pPr>
          </w:p>
        </w:tc>
        <w:tc>
          <w:tcPr>
            <w:tcW w:w="1860" w:type="dxa"/>
            <w:vAlign w:val="bottom"/>
          </w:tcPr>
          <w:p>
            <w:pPr>
              <w:spacing w:after="0"/>
              <w:rPr>
                <w:sz w:val="10"/>
                <w:szCs w:val="10"/>
                <w:color w:val="auto"/>
              </w:rPr>
            </w:pPr>
          </w:p>
        </w:tc>
        <w:tc>
          <w:tcPr>
            <w:tcW w:w="660" w:type="dxa"/>
            <w:vAlign w:val="bottom"/>
          </w:tcPr>
          <w:p>
            <w:pPr>
              <w:jc w:val="right"/>
              <w:ind w:right="280"/>
              <w:spacing w:after="0" w:line="115" w:lineRule="exact"/>
              <w:rPr>
                <w:sz w:val="20"/>
                <w:szCs w:val="20"/>
                <w:color w:val="auto"/>
              </w:rPr>
            </w:pPr>
            <w:r>
              <w:rPr>
                <w:rFonts w:ascii="Arial" w:cs="Arial" w:eastAsia="Arial" w:hAnsi="Arial"/>
                <w:sz w:val="12"/>
                <w:szCs w:val="12"/>
                <w:b w:val="1"/>
                <w:bCs w:val="1"/>
                <w:color w:val="auto"/>
              </w:rPr>
              <w:t>2015</w:t>
            </w:r>
          </w:p>
        </w:tc>
        <w:tc>
          <w:tcPr>
            <w:tcW w:w="660" w:type="dxa"/>
            <w:vAlign w:val="bottom"/>
          </w:tcPr>
          <w:p>
            <w:pPr>
              <w:jc w:val="right"/>
              <w:ind w:right="12"/>
              <w:spacing w:after="0" w:line="115" w:lineRule="exact"/>
              <w:rPr>
                <w:sz w:val="20"/>
                <w:szCs w:val="20"/>
                <w:color w:val="auto"/>
              </w:rPr>
            </w:pPr>
            <w:r>
              <w:rPr>
                <w:rFonts w:ascii="Arial" w:cs="Arial" w:eastAsia="Arial" w:hAnsi="Arial"/>
                <w:sz w:val="12"/>
                <w:szCs w:val="12"/>
                <w:b w:val="1"/>
                <w:bCs w:val="1"/>
                <w:color w:val="auto"/>
              </w:rPr>
              <w:t>2016</w:t>
            </w:r>
          </w:p>
        </w:tc>
        <w:tc>
          <w:tcPr>
            <w:tcW w:w="580" w:type="dxa"/>
            <w:vAlign w:val="bottom"/>
            <w:gridSpan w:val="2"/>
            <w:vMerge w:val="continue"/>
          </w:tcPr>
          <w:p>
            <w:pPr>
              <w:spacing w:after="0"/>
              <w:rPr>
                <w:sz w:val="10"/>
                <w:szCs w:val="10"/>
                <w:color w:val="auto"/>
              </w:rPr>
            </w:pPr>
          </w:p>
        </w:tc>
        <w:tc>
          <w:tcPr>
            <w:tcW w:w="420" w:type="dxa"/>
            <w:vAlign w:val="bottom"/>
            <w:vMerge w:val="continue"/>
          </w:tcPr>
          <w:p>
            <w:pPr>
              <w:spacing w:after="0"/>
              <w:rPr>
                <w:sz w:val="10"/>
                <w:szCs w:val="10"/>
                <w:color w:val="auto"/>
              </w:rPr>
            </w:pPr>
          </w:p>
        </w:tc>
        <w:tc>
          <w:tcPr>
            <w:tcW w:w="120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3060" w:type="dxa"/>
            <w:vAlign w:val="bottom"/>
          </w:tcPr>
          <w:p>
            <w:pPr>
              <w:spacing w:after="0"/>
              <w:rPr>
                <w:sz w:val="10"/>
                <w:szCs w:val="10"/>
                <w:color w:val="auto"/>
              </w:rPr>
            </w:pPr>
          </w:p>
        </w:tc>
        <w:tc>
          <w:tcPr>
            <w:tcW w:w="1860" w:type="dxa"/>
            <w:vAlign w:val="bottom"/>
          </w:tcPr>
          <w:p>
            <w:pPr>
              <w:spacing w:after="0"/>
              <w:rPr>
                <w:sz w:val="10"/>
                <w:szCs w:val="10"/>
                <w:color w:val="auto"/>
              </w:rPr>
            </w:pPr>
          </w:p>
        </w:tc>
        <w:tc>
          <w:tcPr>
            <w:tcW w:w="1320" w:type="dxa"/>
            <w:vAlign w:val="bottom"/>
            <w:tcBorders>
              <w:top w:val="single" w:sz="8" w:color="auto"/>
            </w:tcBorders>
            <w:gridSpan w:val="2"/>
          </w:tcPr>
          <w:p>
            <w:pPr>
              <w:jc w:val="center"/>
              <w:spacing w:after="0" w:line="115" w:lineRule="exact"/>
              <w:rPr>
                <w:sz w:val="20"/>
                <w:szCs w:val="20"/>
                <w:color w:val="auto"/>
              </w:rPr>
            </w:pPr>
            <w:r>
              <w:rPr>
                <w:rFonts w:ascii="Arial" w:cs="Arial" w:eastAsia="Arial" w:hAnsi="Arial"/>
                <w:sz w:val="12"/>
                <w:szCs w:val="12"/>
                <w:i w:val="1"/>
                <w:iCs w:val="1"/>
                <w:color w:val="auto"/>
                <w:w w:val="97"/>
              </w:rPr>
              <w:t>(In millions)</w:t>
            </w:r>
          </w:p>
        </w:tc>
        <w:tc>
          <w:tcPr>
            <w:tcW w:w="50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420" w:type="dxa"/>
            <w:vAlign w:val="bottom"/>
            <w:tcBorders>
              <w:top w:val="single" w:sz="8" w:color="auto"/>
            </w:tcBorders>
          </w:tcPr>
          <w:p>
            <w:pPr>
              <w:spacing w:after="0"/>
              <w:rPr>
                <w:sz w:val="10"/>
                <w:szCs w:val="10"/>
                <w:color w:val="auto"/>
              </w:rPr>
            </w:pPr>
          </w:p>
        </w:tc>
        <w:tc>
          <w:tcPr>
            <w:tcW w:w="480" w:type="dxa"/>
            <w:vAlign w:val="bottom"/>
          </w:tcPr>
          <w:p>
            <w:pPr>
              <w:spacing w:after="0"/>
              <w:rPr>
                <w:sz w:val="10"/>
                <w:szCs w:val="10"/>
                <w:color w:val="auto"/>
              </w:rPr>
            </w:pPr>
          </w:p>
        </w:tc>
        <w:tc>
          <w:tcPr>
            <w:tcW w:w="560" w:type="dxa"/>
            <w:vAlign w:val="bottom"/>
            <w:tcBorders>
              <w:top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060" w:type="dxa"/>
            <w:vAlign w:val="bottom"/>
            <w:shd w:val="clear" w:color="auto" w:fill="CCEEFF"/>
          </w:tcPr>
          <w:p>
            <w:pPr>
              <w:spacing w:after="0"/>
              <w:rPr>
                <w:sz w:val="20"/>
                <w:szCs w:val="20"/>
                <w:color w:val="auto"/>
              </w:rPr>
            </w:pPr>
            <w:r>
              <w:rPr>
                <w:rFonts w:ascii="Arial" w:cs="Arial" w:eastAsia="Arial" w:hAnsi="Arial"/>
                <w:sz w:val="15"/>
                <w:szCs w:val="15"/>
                <w:color w:val="auto"/>
              </w:rPr>
              <w:t>Sales and marketing</w:t>
            </w:r>
          </w:p>
        </w:tc>
        <w:tc>
          <w:tcPr>
            <w:tcW w:w="252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$193.1</w:t>
            </w:r>
          </w:p>
        </w:tc>
        <w:tc>
          <w:tcPr>
            <w:tcW w:w="6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$250.6</w:t>
            </w:r>
          </w:p>
        </w:tc>
        <w:tc>
          <w:tcPr>
            <w:tcW w:w="580" w:type="dxa"/>
            <w:vAlign w:val="bottom"/>
            <w:gridSpan w:val="2"/>
            <w:shd w:val="clear" w:color="auto" w:fill="CCEEFF"/>
          </w:tcPr>
          <w:p>
            <w:pPr>
              <w:ind w:left="500"/>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57.5</w:t>
            </w:r>
          </w:p>
        </w:tc>
        <w:tc>
          <w:tcPr>
            <w:tcW w:w="1200" w:type="dxa"/>
            <w:vAlign w:val="bottom"/>
            <w:gridSpan w:val="3"/>
            <w:shd w:val="clear" w:color="auto" w:fill="CCEEFF"/>
          </w:tcPr>
          <w:p>
            <w:pPr>
              <w:jc w:val="right"/>
              <w:ind w:right="40"/>
              <w:spacing w:after="0"/>
              <w:rPr>
                <w:sz w:val="20"/>
                <w:szCs w:val="20"/>
                <w:color w:val="auto"/>
              </w:rPr>
            </w:pPr>
            <w:r>
              <w:rPr>
                <w:rFonts w:ascii="Arial" w:cs="Arial" w:eastAsia="Arial" w:hAnsi="Arial"/>
                <w:sz w:val="15"/>
                <w:szCs w:val="15"/>
                <w:color w:val="auto"/>
              </w:rPr>
              <w:t>30%</w:t>
            </w:r>
          </w:p>
        </w:tc>
        <w:tc>
          <w:tcPr>
            <w:tcW w:w="0" w:type="dxa"/>
            <w:vAlign w:val="bottom"/>
          </w:tcPr>
          <w:p>
            <w:pPr>
              <w:spacing w:after="0"/>
              <w:rPr>
                <w:sz w:val="1"/>
                <w:szCs w:val="1"/>
                <w:color w:val="auto"/>
              </w:rPr>
            </w:pPr>
          </w:p>
        </w:tc>
      </w:tr>
    </w:tbl>
    <w:p>
      <w:pPr>
        <w:spacing w:after="0" w:line="170" w:lineRule="exact"/>
        <w:rPr>
          <w:sz w:val="20"/>
          <w:szCs w:val="20"/>
          <w:color w:val="auto"/>
        </w:rPr>
      </w:pPr>
    </w:p>
    <w:p>
      <w:pPr>
        <w:ind w:left="1120" w:right="60" w:firstLine="368"/>
        <w:spacing w:after="0" w:line="277" w:lineRule="auto"/>
        <w:rPr>
          <w:sz w:val="20"/>
          <w:szCs w:val="20"/>
          <w:color w:val="auto"/>
        </w:rPr>
      </w:pPr>
      <w:r>
        <w:rPr>
          <w:rFonts w:ascii="Arial" w:cs="Arial" w:eastAsia="Arial" w:hAnsi="Arial"/>
          <w:sz w:val="14"/>
          <w:szCs w:val="14"/>
          <w:color w:val="auto"/>
        </w:rPr>
        <w:t>Sales and marketing expenses increased $57.5 million or 30% during 2016, as compared to 2015, primarily due to an increase of $53.4 million in employee-related expenses. This increase in employee-related expenses was primarily due to an increase in stock-based compensation of $24.8 million, which included a charge of $18.8 million due to the modification of an executive stock grant, headcount growth, and an increase in commission and bonus expense. In addition, the increase in sales and marketing expense was due to an increase of $10.1 million in overhead-related costs primarily due to the completion of construction on our new corporate headquarters. The increase in sales and marketing expense was partially offset by a decrease of $11.8 million in marketing expenses primarily due to a reduction in brand campaign fees.</w:t>
      </w:r>
    </w:p>
    <w:p>
      <w:pPr>
        <w:spacing w:after="0" w:line="239" w:lineRule="exact"/>
        <w:rPr>
          <w:sz w:val="20"/>
          <w:szCs w:val="20"/>
          <w:color w:val="auto"/>
        </w:rPr>
      </w:pPr>
    </w:p>
    <w:p>
      <w:pPr>
        <w:ind w:left="1480"/>
        <w:spacing w:after="0"/>
        <w:rPr>
          <w:sz w:val="20"/>
          <w:szCs w:val="20"/>
          <w:color w:val="auto"/>
        </w:rPr>
      </w:pPr>
      <w:r>
        <w:rPr>
          <w:rFonts w:ascii="Arial" w:cs="Arial" w:eastAsia="Arial" w:hAnsi="Arial"/>
          <w:sz w:val="15"/>
          <w:szCs w:val="15"/>
          <w:i w:val="1"/>
          <w:iCs w:val="1"/>
          <w:color w:val="auto"/>
        </w:rPr>
        <w:t>General and administrative</w:t>
      </w:r>
    </w:p>
    <w:p>
      <w:pPr>
        <w:spacing w:after="0" w:line="188" w:lineRule="exact"/>
        <w:rPr>
          <w:sz w:val="20"/>
          <w:szCs w:val="20"/>
          <w:color w:val="auto"/>
        </w:rPr>
      </w:pPr>
    </w:p>
    <w:tbl>
      <w:tblPr>
        <w:tblLayout w:type="fixed"/>
        <w:tblInd w:w="1480" w:type="dxa"/>
        <w:tblCellMar>
          <w:top w:w="0" w:type="dxa"/>
          <w:left w:w="0" w:type="dxa"/>
          <w:bottom w:w="0" w:type="dxa"/>
          <w:right w:w="0" w:type="dxa"/>
        </w:tblCellMar>
      </w:tblPr>
      <w:tr>
        <w:trPr>
          <w:trHeight w:val="138"/>
        </w:trPr>
        <w:tc>
          <w:tcPr>
            <w:tcW w:w="20" w:type="dxa"/>
            <w:vAlign w:val="bottom"/>
          </w:tcPr>
          <w:p>
            <w:pPr>
              <w:spacing w:after="0"/>
              <w:rPr>
                <w:sz w:val="12"/>
                <w:szCs w:val="12"/>
                <w:color w:val="auto"/>
              </w:rPr>
            </w:pPr>
          </w:p>
        </w:tc>
        <w:tc>
          <w:tcPr>
            <w:tcW w:w="330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1320" w:type="dxa"/>
            <w:vAlign w:val="bottom"/>
            <w:gridSpan w:val="2"/>
          </w:tcPr>
          <w:p>
            <w:pPr>
              <w:jc w:val="center"/>
              <w:spacing w:after="0"/>
              <w:rPr>
                <w:sz w:val="20"/>
                <w:szCs w:val="20"/>
                <w:color w:val="auto"/>
              </w:rPr>
            </w:pPr>
            <w:r>
              <w:rPr>
                <w:rFonts w:ascii="Arial" w:cs="Arial" w:eastAsia="Arial" w:hAnsi="Arial"/>
                <w:sz w:val="12"/>
                <w:szCs w:val="12"/>
                <w:b w:val="1"/>
                <w:bCs w:val="1"/>
                <w:color w:val="auto"/>
                <w:w w:val="89"/>
              </w:rPr>
              <w:t>Year ended</w:t>
            </w: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30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1320" w:type="dxa"/>
            <w:vAlign w:val="bottom"/>
            <w:tcBorders>
              <w:bottom w:val="single" w:sz="8" w:color="auto"/>
            </w:tcBorders>
            <w:gridSpan w:val="2"/>
          </w:tcPr>
          <w:p>
            <w:pPr>
              <w:jc w:val="center"/>
              <w:spacing w:after="0"/>
              <w:rPr>
                <w:sz w:val="20"/>
                <w:szCs w:val="20"/>
                <w:color w:val="auto"/>
              </w:rPr>
            </w:pPr>
            <w:r>
              <w:rPr>
                <w:rFonts w:ascii="Arial" w:cs="Arial" w:eastAsia="Arial" w:hAnsi="Arial"/>
                <w:sz w:val="12"/>
                <w:szCs w:val="12"/>
                <w:b w:val="1"/>
                <w:bCs w:val="1"/>
                <w:color w:val="auto"/>
                <w:w w:val="89"/>
              </w:rPr>
              <w:t>December 31,</w:t>
            </w:r>
          </w:p>
        </w:tc>
        <w:tc>
          <w:tcPr>
            <w:tcW w:w="560" w:type="dxa"/>
            <w:vAlign w:val="bottom"/>
            <w:gridSpan w:val="2"/>
            <w:vMerge w:val="restart"/>
          </w:tcPr>
          <w:p>
            <w:pPr>
              <w:ind w:left="480"/>
              <w:spacing w:after="0"/>
              <w:rPr>
                <w:sz w:val="20"/>
                <w:szCs w:val="20"/>
                <w:color w:val="auto"/>
              </w:rPr>
            </w:pPr>
            <w:r>
              <w:rPr>
                <w:rFonts w:ascii="Arial" w:cs="Arial" w:eastAsia="Arial" w:hAnsi="Arial"/>
                <w:sz w:val="12"/>
                <w:szCs w:val="12"/>
                <w:b w:val="1"/>
                <w:bCs w:val="1"/>
                <w:color w:val="auto"/>
                <w:w w:val="89"/>
              </w:rPr>
              <w:t>$</w:t>
            </w:r>
          </w:p>
        </w:tc>
        <w:tc>
          <w:tcPr>
            <w:tcW w:w="660" w:type="dxa"/>
            <w:vAlign w:val="bottom"/>
            <w:gridSpan w:val="2"/>
            <w:vMerge w:val="restart"/>
          </w:tcPr>
          <w:p>
            <w:pPr>
              <w:jc w:val="right"/>
              <w:ind w:right="260"/>
              <w:spacing w:after="0"/>
              <w:rPr>
                <w:sz w:val="20"/>
                <w:szCs w:val="20"/>
                <w:color w:val="auto"/>
              </w:rPr>
            </w:pPr>
            <w:r>
              <w:rPr>
                <w:rFonts w:ascii="Arial" w:cs="Arial" w:eastAsia="Arial" w:hAnsi="Arial"/>
                <w:sz w:val="12"/>
                <w:szCs w:val="12"/>
                <w:b w:val="1"/>
                <w:bCs w:val="1"/>
                <w:color w:val="auto"/>
                <w:w w:val="86"/>
              </w:rPr>
              <w:t>Change</w:t>
            </w:r>
          </w:p>
        </w:tc>
        <w:tc>
          <w:tcPr>
            <w:tcW w:w="920" w:type="dxa"/>
            <w:vAlign w:val="bottom"/>
            <w:gridSpan w:val="3"/>
            <w:vMerge w:val="restart"/>
          </w:tcPr>
          <w:p>
            <w:pPr>
              <w:ind w:left="200"/>
              <w:spacing w:after="0"/>
              <w:rPr>
                <w:sz w:val="20"/>
                <w:szCs w:val="20"/>
                <w:color w:val="auto"/>
              </w:rPr>
            </w:pPr>
            <w:r>
              <w:rPr>
                <w:rFonts w:ascii="Arial" w:cs="Arial" w:eastAsia="Arial" w:hAnsi="Arial"/>
                <w:sz w:val="12"/>
                <w:szCs w:val="12"/>
                <w:b w:val="1"/>
                <w:bCs w:val="1"/>
                <w:color w:val="auto"/>
              </w:rPr>
              <w:t>% Change</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3300" w:type="dxa"/>
            <w:vAlign w:val="bottom"/>
          </w:tcPr>
          <w:p>
            <w:pPr>
              <w:spacing w:after="0"/>
              <w:rPr>
                <w:sz w:val="10"/>
                <w:szCs w:val="10"/>
                <w:color w:val="auto"/>
              </w:rPr>
            </w:pPr>
          </w:p>
        </w:tc>
        <w:tc>
          <w:tcPr>
            <w:tcW w:w="1680" w:type="dxa"/>
            <w:vAlign w:val="bottom"/>
          </w:tcPr>
          <w:p>
            <w:pPr>
              <w:spacing w:after="0"/>
              <w:rPr>
                <w:sz w:val="10"/>
                <w:szCs w:val="10"/>
                <w:color w:val="auto"/>
              </w:rPr>
            </w:pPr>
          </w:p>
        </w:tc>
        <w:tc>
          <w:tcPr>
            <w:tcW w:w="640" w:type="dxa"/>
            <w:vAlign w:val="bottom"/>
          </w:tcPr>
          <w:p>
            <w:pPr>
              <w:jc w:val="right"/>
              <w:ind w:right="260"/>
              <w:spacing w:after="0" w:line="115" w:lineRule="exact"/>
              <w:rPr>
                <w:sz w:val="20"/>
                <w:szCs w:val="20"/>
                <w:color w:val="auto"/>
              </w:rPr>
            </w:pPr>
            <w:r>
              <w:rPr>
                <w:rFonts w:ascii="Arial" w:cs="Arial" w:eastAsia="Arial" w:hAnsi="Arial"/>
                <w:sz w:val="12"/>
                <w:szCs w:val="12"/>
                <w:b w:val="1"/>
                <w:bCs w:val="1"/>
                <w:color w:val="auto"/>
              </w:rPr>
              <w:t>2015</w:t>
            </w:r>
          </w:p>
        </w:tc>
        <w:tc>
          <w:tcPr>
            <w:tcW w:w="680" w:type="dxa"/>
            <w:vAlign w:val="bottom"/>
          </w:tcPr>
          <w:p>
            <w:pPr>
              <w:jc w:val="right"/>
              <w:ind w:right="32"/>
              <w:spacing w:after="0" w:line="115" w:lineRule="exact"/>
              <w:rPr>
                <w:sz w:val="20"/>
                <w:szCs w:val="20"/>
                <w:color w:val="auto"/>
              </w:rPr>
            </w:pPr>
            <w:r>
              <w:rPr>
                <w:rFonts w:ascii="Arial" w:cs="Arial" w:eastAsia="Arial" w:hAnsi="Arial"/>
                <w:sz w:val="12"/>
                <w:szCs w:val="12"/>
                <w:b w:val="1"/>
                <w:bCs w:val="1"/>
                <w:color w:val="auto"/>
              </w:rPr>
              <w:t>2016</w:t>
            </w:r>
          </w:p>
        </w:tc>
        <w:tc>
          <w:tcPr>
            <w:tcW w:w="560" w:type="dxa"/>
            <w:vAlign w:val="bottom"/>
            <w:gridSpan w:val="2"/>
            <w:vMerge w:val="continue"/>
          </w:tcPr>
          <w:p>
            <w:pPr>
              <w:spacing w:after="0"/>
              <w:rPr>
                <w:sz w:val="10"/>
                <w:szCs w:val="10"/>
                <w:color w:val="auto"/>
              </w:rPr>
            </w:pPr>
          </w:p>
        </w:tc>
        <w:tc>
          <w:tcPr>
            <w:tcW w:w="660" w:type="dxa"/>
            <w:vAlign w:val="bottom"/>
            <w:gridSpan w:val="2"/>
            <w:vMerge w:val="continue"/>
          </w:tcPr>
          <w:p>
            <w:pPr>
              <w:spacing w:after="0"/>
              <w:rPr>
                <w:sz w:val="10"/>
                <w:szCs w:val="10"/>
                <w:color w:val="auto"/>
              </w:rPr>
            </w:pPr>
          </w:p>
        </w:tc>
        <w:tc>
          <w:tcPr>
            <w:tcW w:w="9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3300" w:type="dxa"/>
            <w:vAlign w:val="bottom"/>
          </w:tcPr>
          <w:p>
            <w:pPr>
              <w:spacing w:after="0"/>
              <w:rPr>
                <w:sz w:val="10"/>
                <w:szCs w:val="10"/>
                <w:color w:val="auto"/>
              </w:rPr>
            </w:pPr>
          </w:p>
        </w:tc>
        <w:tc>
          <w:tcPr>
            <w:tcW w:w="1680" w:type="dxa"/>
            <w:vAlign w:val="bottom"/>
          </w:tcPr>
          <w:p>
            <w:pPr>
              <w:spacing w:after="0"/>
              <w:rPr>
                <w:sz w:val="10"/>
                <w:szCs w:val="10"/>
                <w:color w:val="auto"/>
              </w:rPr>
            </w:pPr>
          </w:p>
        </w:tc>
        <w:tc>
          <w:tcPr>
            <w:tcW w:w="1320" w:type="dxa"/>
            <w:vAlign w:val="bottom"/>
            <w:tcBorders>
              <w:top w:val="single" w:sz="8" w:color="auto"/>
            </w:tcBorders>
            <w:gridSpan w:val="2"/>
          </w:tcPr>
          <w:p>
            <w:pPr>
              <w:jc w:val="center"/>
              <w:spacing w:after="0" w:line="115" w:lineRule="exact"/>
              <w:rPr>
                <w:sz w:val="20"/>
                <w:szCs w:val="20"/>
                <w:color w:val="auto"/>
              </w:rPr>
            </w:pPr>
            <w:r>
              <w:rPr>
                <w:rFonts w:ascii="Arial" w:cs="Arial" w:eastAsia="Arial" w:hAnsi="Arial"/>
                <w:sz w:val="12"/>
                <w:szCs w:val="12"/>
                <w:i w:val="1"/>
                <w:iCs w:val="1"/>
                <w:color w:val="auto"/>
                <w:w w:val="94"/>
              </w:rPr>
              <w:t>(In millions)</w:t>
            </w:r>
          </w:p>
        </w:tc>
        <w:tc>
          <w:tcPr>
            <w:tcW w:w="48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400" w:type="dxa"/>
            <w:vAlign w:val="bottom"/>
            <w:tcBorders>
              <w:top w:val="single" w:sz="8" w:color="auto"/>
            </w:tcBorders>
          </w:tcPr>
          <w:p>
            <w:pPr>
              <w:spacing w:after="0"/>
              <w:rPr>
                <w:sz w:val="10"/>
                <w:szCs w:val="10"/>
                <w:color w:val="auto"/>
              </w:rPr>
            </w:pPr>
          </w:p>
        </w:tc>
        <w:tc>
          <w:tcPr>
            <w:tcW w:w="2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60" w:type="dxa"/>
            <w:vAlign w:val="bottom"/>
            <w:tcBorders>
              <w:top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300" w:type="dxa"/>
            <w:vAlign w:val="bottom"/>
            <w:shd w:val="clear" w:color="auto" w:fill="CCEEFF"/>
          </w:tcPr>
          <w:p>
            <w:pPr>
              <w:spacing w:after="0"/>
              <w:rPr>
                <w:sz w:val="20"/>
                <w:szCs w:val="20"/>
                <w:color w:val="auto"/>
              </w:rPr>
            </w:pPr>
            <w:r>
              <w:rPr>
                <w:rFonts w:ascii="Arial" w:cs="Arial" w:eastAsia="Arial" w:hAnsi="Arial"/>
                <w:sz w:val="15"/>
                <w:szCs w:val="15"/>
                <w:color w:val="auto"/>
              </w:rPr>
              <w:t>General and administrative</w:t>
            </w:r>
          </w:p>
        </w:tc>
        <w:tc>
          <w:tcPr>
            <w:tcW w:w="232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$107.9</w:t>
            </w:r>
          </w:p>
        </w:tc>
        <w:tc>
          <w:tcPr>
            <w:tcW w:w="6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$107.4</w:t>
            </w:r>
          </w:p>
        </w:tc>
        <w:tc>
          <w:tcPr>
            <w:tcW w:w="560" w:type="dxa"/>
            <w:vAlign w:val="bottom"/>
            <w:gridSpan w:val="2"/>
            <w:shd w:val="clear" w:color="auto" w:fill="CCEEFF"/>
          </w:tcPr>
          <w:p>
            <w:pPr>
              <w:ind w:left="480"/>
              <w:spacing w:after="0"/>
              <w:rPr>
                <w:sz w:val="20"/>
                <w:szCs w:val="20"/>
                <w:color w:val="auto"/>
              </w:rPr>
            </w:pPr>
            <w:r>
              <w:rPr>
                <w:rFonts w:ascii="Arial" w:cs="Arial" w:eastAsia="Arial" w:hAnsi="Arial"/>
                <w:sz w:val="15"/>
                <w:szCs w:val="15"/>
                <w:color w:val="auto"/>
                <w:w w:val="71"/>
              </w:rPr>
              <w:t>$</w:t>
            </w: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(0.5)</w:t>
            </w:r>
          </w:p>
        </w:tc>
        <w:tc>
          <w:tcPr>
            <w:tcW w:w="200" w:type="dxa"/>
            <w:vAlign w:val="bottom"/>
            <w:shd w:val="clear" w:color="auto" w:fill="CCEEFF"/>
          </w:tcPr>
          <w:p>
            <w:pPr>
              <w:spacing w:after="0"/>
              <w:rPr>
                <w:sz w:val="15"/>
                <w:szCs w:val="15"/>
                <w:color w:val="auto"/>
              </w:rPr>
            </w:pPr>
          </w:p>
        </w:tc>
        <w:tc>
          <w:tcPr>
            <w:tcW w:w="720" w:type="dxa"/>
            <w:vAlign w:val="bottom"/>
            <w:gridSpan w:val="2"/>
            <w:shd w:val="clear" w:color="auto" w:fill="CCEEFF"/>
          </w:tcPr>
          <w:p>
            <w:pPr>
              <w:ind w:left="320"/>
              <w:spacing w:after="0"/>
              <w:rPr>
                <w:sz w:val="20"/>
                <w:szCs w:val="20"/>
                <w:color w:val="auto"/>
              </w:rPr>
            </w:pPr>
            <w:r>
              <w:rPr>
                <w:rFonts w:ascii="Arial" w:cs="Arial" w:eastAsia="Arial" w:hAnsi="Arial"/>
                <w:sz w:val="15"/>
                <w:szCs w:val="15"/>
                <w:color w:val="auto"/>
              </w:rPr>
              <w:t>— %</w:t>
            </w:r>
          </w:p>
        </w:tc>
        <w:tc>
          <w:tcPr>
            <w:tcW w:w="0" w:type="dxa"/>
            <w:vAlign w:val="bottom"/>
          </w:tcPr>
          <w:p>
            <w:pPr>
              <w:spacing w:after="0"/>
              <w:rPr>
                <w:sz w:val="1"/>
                <w:szCs w:val="1"/>
                <w:color w:val="auto"/>
              </w:rPr>
            </w:pPr>
          </w:p>
        </w:tc>
      </w:tr>
    </w:tbl>
    <w:p>
      <w:pPr>
        <w:spacing w:after="0" w:line="170" w:lineRule="exact"/>
        <w:rPr>
          <w:sz w:val="20"/>
          <w:szCs w:val="20"/>
          <w:color w:val="auto"/>
        </w:rPr>
      </w:pPr>
    </w:p>
    <w:p>
      <w:pPr>
        <w:jc w:val="both"/>
        <w:ind w:left="1120" w:right="400" w:firstLine="368"/>
        <w:spacing w:after="0" w:line="275" w:lineRule="auto"/>
        <w:rPr>
          <w:sz w:val="20"/>
          <w:szCs w:val="20"/>
          <w:color w:val="auto"/>
        </w:rPr>
      </w:pPr>
      <w:r>
        <w:rPr>
          <w:rFonts w:ascii="Arial" w:cs="Arial" w:eastAsia="Arial" w:hAnsi="Arial"/>
          <w:sz w:val="15"/>
          <w:szCs w:val="15"/>
          <w:color w:val="auto"/>
        </w:rPr>
        <w:t>General and administrative expenses decreased $0.5 million during 2016, as compared to 2015, primarily due to a decrease of $12.4 million resulting from a non-income based tax ruling and a decrease of $7.3 million in</w:t>
      </w:r>
    </w:p>
    <w:p>
      <w:pPr>
        <w:spacing w:after="0" w:line="90" w:lineRule="exact"/>
        <w:rPr>
          <w:sz w:val="20"/>
          <w:szCs w:val="20"/>
          <w:color w:val="auto"/>
        </w:rPr>
      </w:pPr>
    </w:p>
    <w:p>
      <w:pPr>
        <w:ind w:left="5640"/>
        <w:spacing w:after="0"/>
        <w:rPr>
          <w:sz w:val="20"/>
          <w:szCs w:val="20"/>
          <w:color w:val="auto"/>
        </w:rPr>
      </w:pPr>
      <w:r>
        <w:rPr>
          <w:rFonts w:ascii="Arial" w:cs="Arial" w:eastAsia="Arial" w:hAnsi="Arial"/>
          <w:sz w:val="15"/>
          <w:szCs w:val="15"/>
          <w:color w:val="auto"/>
        </w:rPr>
        <w:t>79</w:t>
      </w:r>
    </w:p>
    <w:p>
      <w:pPr>
        <w:sectPr>
          <w:pgSz w:w="11900" w:h="16838" w:orient="portrait"/>
          <w:cols w:equalWidth="0" w:num="1">
            <w:col w:w="10300"/>
          </w:cols>
          <w:pgMar w:left="240" w:top="407" w:right="1359" w:bottom="1440" w:gutter="0" w:footer="0" w:header="0"/>
        </w:sectPr>
      </w:pPr>
    </w:p>
    <w:bookmarkStart w:id="86" w:name="page87"/>
    <w:bookmarkEnd w:id="86"/>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133350</wp:posOffset>
            </wp:positionH>
            <wp:positionV relativeFrom="page">
              <wp:posOffset>88900</wp:posOffset>
            </wp:positionV>
            <wp:extent cx="7308850" cy="342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308850" cy="34290"/>
                    </a:xfrm>
                    <a:prstGeom prst="rect">
                      <a:avLst/>
                    </a:prstGeom>
                    <a:noFill/>
                  </pic:spPr>
                </pic:pic>
              </a:graphicData>
            </a:graphic>
          </wp:anchor>
        </w:drawing>
      </w:r>
      <w:hyperlink w:anchor="page7">
        <w:r>
          <w:rPr>
            <w:rFonts w:ascii="Arial" w:cs="Arial" w:eastAsia="Arial" w:hAnsi="Arial"/>
            <w:sz w:val="15"/>
            <w:szCs w:val="15"/>
            <w:b w:val="1"/>
            <w:bCs w:val="1"/>
            <w:u w:val="single" w:color="auto"/>
            <w:color w:val="0000EE"/>
          </w:rPr>
          <w:t>Table of Contents</w:t>
        </w:r>
      </w:hyperlink>
    </w:p>
    <w:p>
      <w:pPr>
        <w:spacing w:after="0" w:line="260" w:lineRule="exact"/>
        <w:rPr>
          <w:sz w:val="20"/>
          <w:szCs w:val="20"/>
          <w:color w:val="auto"/>
        </w:rPr>
      </w:pPr>
    </w:p>
    <w:p>
      <w:pPr>
        <w:ind w:left="1120" w:right="280"/>
        <w:spacing w:after="0" w:line="259" w:lineRule="auto"/>
        <w:rPr>
          <w:sz w:val="20"/>
          <w:szCs w:val="20"/>
          <w:color w:val="auto"/>
        </w:rPr>
      </w:pPr>
      <w:r>
        <w:rPr>
          <w:rFonts w:ascii="Arial" w:cs="Arial" w:eastAsia="Arial" w:hAnsi="Arial"/>
          <w:sz w:val="15"/>
          <w:szCs w:val="15"/>
          <w:color w:val="auto"/>
        </w:rPr>
        <w:t>other non-income based taxes in 2016. These decreases were offset by an increase of $7.3 million in employee-related expenses, which was due to headcount growth. Further, the decrease in general and administrative expense was offset by an increase of $8.0 million in overhead-related costs primarily due to the completion of construction on our new corporate headquarters, and an increase of $3.4 million in professional fees for increased legal and accounting services.</w:t>
      </w:r>
    </w:p>
    <w:p>
      <w:pPr>
        <w:spacing w:after="0" w:line="248" w:lineRule="exact"/>
        <w:rPr>
          <w:sz w:val="20"/>
          <w:szCs w:val="20"/>
          <w:color w:val="auto"/>
        </w:rPr>
      </w:pPr>
    </w:p>
    <w:p>
      <w:pPr>
        <w:ind w:left="1480"/>
        <w:spacing w:after="0"/>
        <w:rPr>
          <w:sz w:val="20"/>
          <w:szCs w:val="20"/>
          <w:color w:val="auto"/>
        </w:rPr>
      </w:pPr>
      <w:r>
        <w:rPr>
          <w:rFonts w:ascii="Arial" w:cs="Arial" w:eastAsia="Arial" w:hAnsi="Arial"/>
          <w:sz w:val="15"/>
          <w:szCs w:val="15"/>
          <w:i w:val="1"/>
          <w:iCs w:val="1"/>
          <w:color w:val="auto"/>
        </w:rPr>
        <w:t>Interest expense, net</w:t>
      </w:r>
    </w:p>
    <w:p>
      <w:pPr>
        <w:spacing w:after="0" w:line="98" w:lineRule="exact"/>
        <w:rPr>
          <w:sz w:val="20"/>
          <w:szCs w:val="20"/>
          <w:color w:val="auto"/>
        </w:rPr>
      </w:pPr>
    </w:p>
    <w:p>
      <w:pPr>
        <w:ind w:left="1120" w:right="300" w:firstLine="368"/>
        <w:spacing w:after="0" w:line="312" w:lineRule="auto"/>
        <w:rPr>
          <w:sz w:val="20"/>
          <w:szCs w:val="20"/>
          <w:color w:val="auto"/>
        </w:rPr>
      </w:pPr>
      <w:r>
        <w:rPr>
          <w:rFonts w:ascii="Arial" w:cs="Arial" w:eastAsia="Arial" w:hAnsi="Arial"/>
          <w:sz w:val="14"/>
          <w:szCs w:val="14"/>
          <w:color w:val="auto"/>
        </w:rPr>
        <w:t>Interest expense, net increased $1.2 million during 2016, as compared to 2015, primarily due to an increase of $1.9 million in interest expense primarily due to assets acquired under capital leases, offset by $0.7 million of interest income from our money market funds.</w:t>
      </w:r>
    </w:p>
    <w:p>
      <w:pPr>
        <w:spacing w:after="0" w:line="213" w:lineRule="exact"/>
        <w:rPr>
          <w:sz w:val="20"/>
          <w:szCs w:val="20"/>
          <w:color w:val="auto"/>
        </w:rPr>
      </w:pPr>
    </w:p>
    <w:p>
      <w:pPr>
        <w:ind w:left="1480"/>
        <w:spacing w:after="0"/>
        <w:rPr>
          <w:sz w:val="20"/>
          <w:szCs w:val="20"/>
          <w:color w:val="auto"/>
        </w:rPr>
      </w:pPr>
      <w:r>
        <w:rPr>
          <w:rFonts w:ascii="Arial" w:cs="Arial" w:eastAsia="Arial" w:hAnsi="Arial"/>
          <w:sz w:val="15"/>
          <w:szCs w:val="15"/>
          <w:i w:val="1"/>
          <w:iCs w:val="1"/>
          <w:color w:val="auto"/>
        </w:rPr>
        <w:t>Other income (expense), net</w:t>
      </w:r>
    </w:p>
    <w:p>
      <w:pPr>
        <w:spacing w:after="0" w:line="98" w:lineRule="exact"/>
        <w:rPr>
          <w:sz w:val="20"/>
          <w:szCs w:val="20"/>
          <w:color w:val="auto"/>
        </w:rPr>
      </w:pPr>
    </w:p>
    <w:p>
      <w:pPr>
        <w:ind w:left="1120" w:right="60" w:firstLine="368"/>
        <w:spacing w:after="0" w:line="275" w:lineRule="auto"/>
        <w:rPr>
          <w:sz w:val="20"/>
          <w:szCs w:val="20"/>
          <w:color w:val="auto"/>
        </w:rPr>
      </w:pPr>
      <w:r>
        <w:rPr>
          <w:rFonts w:ascii="Arial" w:cs="Arial" w:eastAsia="Arial" w:hAnsi="Arial"/>
          <w:sz w:val="15"/>
          <w:szCs w:val="15"/>
          <w:color w:val="auto"/>
        </w:rPr>
        <w:t>Other income (expense), net increased $9.1 million during 2016, as compared to 2015, primarily due to the commencement of sublease income of $7.0 million and a net gain of $1.6 million related to fixed asset disposals.</w:t>
      </w:r>
    </w:p>
    <w:p>
      <w:pPr>
        <w:spacing w:after="0" w:line="236" w:lineRule="exact"/>
        <w:rPr>
          <w:sz w:val="20"/>
          <w:szCs w:val="20"/>
          <w:color w:val="auto"/>
        </w:rPr>
      </w:pPr>
    </w:p>
    <w:p>
      <w:pPr>
        <w:ind w:left="1480"/>
        <w:spacing w:after="0"/>
        <w:rPr>
          <w:sz w:val="20"/>
          <w:szCs w:val="20"/>
          <w:color w:val="auto"/>
        </w:rPr>
      </w:pPr>
      <w:r>
        <w:rPr>
          <w:rFonts w:ascii="Arial" w:cs="Arial" w:eastAsia="Arial" w:hAnsi="Arial"/>
          <w:sz w:val="15"/>
          <w:szCs w:val="15"/>
          <w:i w:val="1"/>
          <w:iCs w:val="1"/>
          <w:color w:val="auto"/>
        </w:rPr>
        <w:t>Provision for income taxes</w:t>
      </w:r>
    </w:p>
    <w:p>
      <w:pPr>
        <w:spacing w:after="0" w:line="98" w:lineRule="exact"/>
        <w:rPr>
          <w:sz w:val="20"/>
          <w:szCs w:val="20"/>
          <w:color w:val="auto"/>
        </w:rPr>
      </w:pPr>
    </w:p>
    <w:p>
      <w:pPr>
        <w:ind w:left="1120" w:right="140" w:firstLine="368"/>
        <w:spacing w:after="0" w:line="275" w:lineRule="auto"/>
        <w:rPr>
          <w:sz w:val="20"/>
          <w:szCs w:val="20"/>
          <w:color w:val="auto"/>
        </w:rPr>
      </w:pPr>
      <w:r>
        <w:rPr>
          <w:rFonts w:ascii="Arial" w:cs="Arial" w:eastAsia="Arial" w:hAnsi="Arial"/>
          <w:sz w:val="15"/>
          <w:szCs w:val="15"/>
          <w:color w:val="auto"/>
        </w:rPr>
        <w:t>Provision for income taxes increased by $4.9 million during 2016, as compared to 2015, primarily due to an increase in taxes as a result of being subject to the U.S. alternative minimum tax and foreign taxes related to our foreign operations.</w:t>
      </w:r>
    </w:p>
    <w:p>
      <w:pPr>
        <w:spacing w:after="0" w:line="232" w:lineRule="exact"/>
        <w:rPr>
          <w:sz w:val="20"/>
          <w:szCs w:val="20"/>
          <w:color w:val="auto"/>
        </w:rPr>
      </w:pPr>
    </w:p>
    <w:p>
      <w:pPr>
        <w:ind w:left="1120"/>
        <w:spacing w:after="0"/>
        <w:rPr>
          <w:sz w:val="20"/>
          <w:szCs w:val="20"/>
          <w:color w:val="auto"/>
        </w:rPr>
      </w:pPr>
      <w:r>
        <w:rPr>
          <w:rFonts w:ascii="Arial" w:cs="Arial" w:eastAsia="Arial" w:hAnsi="Arial"/>
          <w:sz w:val="15"/>
          <w:szCs w:val="15"/>
          <w:b w:val="1"/>
          <w:bCs w:val="1"/>
          <w:color w:val="auto"/>
        </w:rPr>
        <w:t>Quarterly Results of Operations</w:t>
      </w:r>
    </w:p>
    <w:p>
      <w:pPr>
        <w:spacing w:after="0" w:line="102" w:lineRule="exact"/>
        <w:rPr>
          <w:sz w:val="20"/>
          <w:szCs w:val="20"/>
          <w:color w:val="auto"/>
        </w:rPr>
      </w:pPr>
    </w:p>
    <w:p>
      <w:pPr>
        <w:ind w:left="1120" w:right="160" w:firstLine="368"/>
        <w:spacing w:after="0" w:line="277" w:lineRule="auto"/>
        <w:rPr>
          <w:sz w:val="20"/>
          <w:szCs w:val="20"/>
          <w:color w:val="auto"/>
        </w:rPr>
      </w:pPr>
      <w:r>
        <w:rPr>
          <w:rFonts w:ascii="Arial" w:cs="Arial" w:eastAsia="Arial" w:hAnsi="Arial"/>
          <w:sz w:val="14"/>
          <w:szCs w:val="14"/>
          <w:color w:val="auto"/>
        </w:rPr>
        <w:t>The following table sets forth our unaudited quarterly statements of operations data for each of the last eight quarters ended December 31, 2017. The information for each of these quarters has been prepared on the same basis as the audited annual financial statements included elsewhere in this prospectus and, in the opinion of management, includes all adjustments, which includes only normal recurring adjustments, necessary for the fair statement of the results of operations for these periods. This data should be read in conjunction with our audited consolidated financial statements and related notes thereto included elsewhere in this prospectus. These quarterly results of operations are not necessarily indicative of our future results of operations that may be expected for any future period.</w:t>
      </w:r>
    </w:p>
    <w:p>
      <w:pPr>
        <w:spacing w:after="0" w:line="162" w:lineRule="exact"/>
        <w:rPr>
          <w:sz w:val="20"/>
          <w:szCs w:val="20"/>
          <w:color w:val="auto"/>
        </w:rPr>
      </w:pPr>
    </w:p>
    <w:tbl>
      <w:tblPr>
        <w:tblLayout w:type="fixed"/>
        <w:tblInd w:w="1120" w:type="dxa"/>
        <w:tblCellMar>
          <w:top w:w="0" w:type="dxa"/>
          <w:left w:w="0" w:type="dxa"/>
          <w:bottom w:w="0" w:type="dxa"/>
          <w:right w:w="0" w:type="dxa"/>
        </w:tblCellMar>
      </w:tblPr>
      <w:tr>
        <w:trPr>
          <w:trHeight w:val="144"/>
        </w:trPr>
        <w:tc>
          <w:tcPr>
            <w:tcW w:w="20" w:type="dxa"/>
            <w:vAlign w:val="bottom"/>
          </w:tcPr>
          <w:p>
            <w:pPr>
              <w:spacing w:after="0"/>
              <w:rPr>
                <w:sz w:val="12"/>
                <w:szCs w:val="12"/>
                <w:color w:val="auto"/>
              </w:rPr>
            </w:pPr>
          </w:p>
        </w:tc>
        <w:tc>
          <w:tcPr>
            <w:tcW w:w="23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440" w:type="dxa"/>
            <w:vAlign w:val="bottom"/>
            <w:tcBorders>
              <w:bottom w:val="single" w:sz="8" w:color="auto"/>
            </w:tcBorders>
            <w:gridSpan w:val="6"/>
          </w:tcPr>
          <w:p>
            <w:pPr>
              <w:jc w:val="right"/>
              <w:ind w:right="240"/>
              <w:spacing w:after="0"/>
              <w:rPr>
                <w:sz w:val="20"/>
                <w:szCs w:val="20"/>
                <w:color w:val="auto"/>
              </w:rPr>
            </w:pPr>
            <w:r>
              <w:rPr>
                <w:rFonts w:ascii="Arial" w:cs="Arial" w:eastAsia="Arial" w:hAnsi="Arial"/>
                <w:sz w:val="12"/>
                <w:szCs w:val="12"/>
                <w:b w:val="1"/>
                <w:bCs w:val="1"/>
                <w:color w:val="auto"/>
                <w:w w:val="99"/>
              </w:rPr>
              <w:t>Three months ended</w:t>
            </w:r>
          </w:p>
        </w:tc>
        <w:tc>
          <w:tcPr>
            <w:tcW w:w="10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r>
      <w:tr>
        <w:trPr>
          <w:trHeight w:val="96"/>
        </w:trPr>
        <w:tc>
          <w:tcPr>
            <w:tcW w:w="20" w:type="dxa"/>
            <w:vAlign w:val="bottom"/>
          </w:tcPr>
          <w:p>
            <w:pPr>
              <w:spacing w:after="0"/>
              <w:rPr>
                <w:sz w:val="8"/>
                <w:szCs w:val="8"/>
                <w:color w:val="auto"/>
              </w:rPr>
            </w:pPr>
          </w:p>
        </w:tc>
        <w:tc>
          <w:tcPr>
            <w:tcW w:w="2320" w:type="dxa"/>
            <w:vAlign w:val="bottom"/>
          </w:tcPr>
          <w:p>
            <w:pPr>
              <w:spacing w:after="0"/>
              <w:rPr>
                <w:sz w:val="8"/>
                <w:szCs w:val="8"/>
                <w:color w:val="auto"/>
              </w:rPr>
            </w:pPr>
          </w:p>
        </w:tc>
        <w:tc>
          <w:tcPr>
            <w:tcW w:w="400" w:type="dxa"/>
            <w:vAlign w:val="bottom"/>
          </w:tcPr>
          <w:p>
            <w:pPr>
              <w:spacing w:after="0"/>
              <w:rPr>
                <w:sz w:val="8"/>
                <w:szCs w:val="8"/>
                <w:color w:val="auto"/>
              </w:rPr>
            </w:pPr>
          </w:p>
        </w:tc>
        <w:tc>
          <w:tcPr>
            <w:tcW w:w="680" w:type="dxa"/>
            <w:vAlign w:val="bottom"/>
            <w:gridSpan w:val="3"/>
          </w:tcPr>
          <w:p>
            <w:pPr>
              <w:spacing w:after="0" w:line="96" w:lineRule="exact"/>
              <w:rPr>
                <w:sz w:val="20"/>
                <w:szCs w:val="20"/>
                <w:color w:val="auto"/>
              </w:rPr>
            </w:pPr>
            <w:r>
              <w:rPr>
                <w:rFonts w:ascii="Arial" w:cs="Arial" w:eastAsia="Arial" w:hAnsi="Arial"/>
                <w:sz w:val="11"/>
                <w:szCs w:val="11"/>
                <w:b w:val="1"/>
                <w:bCs w:val="1"/>
                <w:color w:val="auto"/>
              </w:rPr>
              <w:t>March 31,</w:t>
            </w:r>
          </w:p>
        </w:tc>
        <w:tc>
          <w:tcPr>
            <w:tcW w:w="640" w:type="dxa"/>
            <w:vAlign w:val="bottom"/>
            <w:gridSpan w:val="3"/>
          </w:tcPr>
          <w:p>
            <w:pPr>
              <w:jc w:val="right"/>
              <w:ind w:right="140"/>
              <w:spacing w:after="0" w:line="96" w:lineRule="exact"/>
              <w:rPr>
                <w:sz w:val="20"/>
                <w:szCs w:val="20"/>
                <w:color w:val="auto"/>
              </w:rPr>
            </w:pPr>
            <w:r>
              <w:rPr>
                <w:rFonts w:ascii="Arial" w:cs="Arial" w:eastAsia="Arial" w:hAnsi="Arial"/>
                <w:sz w:val="11"/>
                <w:szCs w:val="11"/>
                <w:b w:val="1"/>
                <w:bCs w:val="1"/>
                <w:color w:val="auto"/>
              </w:rPr>
              <w:t>June 30,</w:t>
            </w:r>
          </w:p>
        </w:tc>
        <w:tc>
          <w:tcPr>
            <w:tcW w:w="960" w:type="dxa"/>
            <w:vAlign w:val="bottom"/>
            <w:gridSpan w:val="4"/>
          </w:tcPr>
          <w:p>
            <w:pPr>
              <w:ind w:left="100"/>
              <w:spacing w:after="0" w:line="96" w:lineRule="exact"/>
              <w:rPr>
                <w:sz w:val="20"/>
                <w:szCs w:val="20"/>
                <w:color w:val="auto"/>
              </w:rPr>
            </w:pPr>
            <w:r>
              <w:rPr>
                <w:rFonts w:ascii="Arial" w:cs="Arial" w:eastAsia="Arial" w:hAnsi="Arial"/>
                <w:sz w:val="11"/>
                <w:szCs w:val="11"/>
                <w:b w:val="1"/>
                <w:bCs w:val="1"/>
                <w:color w:val="auto"/>
              </w:rPr>
              <w:t>September 30,</w:t>
            </w:r>
          </w:p>
        </w:tc>
        <w:tc>
          <w:tcPr>
            <w:tcW w:w="920" w:type="dxa"/>
            <w:vAlign w:val="bottom"/>
            <w:gridSpan w:val="4"/>
          </w:tcPr>
          <w:p>
            <w:pPr>
              <w:ind w:left="100"/>
              <w:spacing w:after="0" w:line="96" w:lineRule="exact"/>
              <w:rPr>
                <w:sz w:val="20"/>
                <w:szCs w:val="20"/>
                <w:color w:val="auto"/>
              </w:rPr>
            </w:pPr>
            <w:r>
              <w:rPr>
                <w:rFonts w:ascii="Arial" w:cs="Arial" w:eastAsia="Arial" w:hAnsi="Arial"/>
                <w:sz w:val="11"/>
                <w:szCs w:val="11"/>
                <w:b w:val="1"/>
                <w:bCs w:val="1"/>
                <w:color w:val="auto"/>
              </w:rPr>
              <w:t>December 31,</w:t>
            </w:r>
          </w:p>
        </w:tc>
        <w:tc>
          <w:tcPr>
            <w:tcW w:w="760" w:type="dxa"/>
            <w:vAlign w:val="bottom"/>
            <w:gridSpan w:val="4"/>
          </w:tcPr>
          <w:p>
            <w:pPr>
              <w:ind w:left="100"/>
              <w:spacing w:after="0" w:line="96" w:lineRule="exact"/>
              <w:rPr>
                <w:sz w:val="20"/>
                <w:szCs w:val="20"/>
                <w:color w:val="auto"/>
              </w:rPr>
            </w:pPr>
            <w:r>
              <w:rPr>
                <w:rFonts w:ascii="Arial" w:cs="Arial" w:eastAsia="Arial" w:hAnsi="Arial"/>
                <w:sz w:val="11"/>
                <w:szCs w:val="11"/>
                <w:b w:val="1"/>
                <w:bCs w:val="1"/>
                <w:color w:val="auto"/>
              </w:rPr>
              <w:t>March 31,</w:t>
            </w:r>
          </w:p>
        </w:tc>
        <w:tc>
          <w:tcPr>
            <w:tcW w:w="660" w:type="dxa"/>
            <w:vAlign w:val="bottom"/>
            <w:gridSpan w:val="3"/>
          </w:tcPr>
          <w:p>
            <w:pPr>
              <w:jc w:val="right"/>
              <w:ind w:right="140"/>
              <w:spacing w:after="0" w:line="96" w:lineRule="exact"/>
              <w:rPr>
                <w:sz w:val="20"/>
                <w:szCs w:val="20"/>
                <w:color w:val="auto"/>
              </w:rPr>
            </w:pPr>
            <w:r>
              <w:rPr>
                <w:rFonts w:ascii="Arial" w:cs="Arial" w:eastAsia="Arial" w:hAnsi="Arial"/>
                <w:sz w:val="11"/>
                <w:szCs w:val="11"/>
                <w:b w:val="1"/>
                <w:bCs w:val="1"/>
                <w:color w:val="auto"/>
              </w:rPr>
              <w:t>June 30,</w:t>
            </w:r>
          </w:p>
        </w:tc>
        <w:tc>
          <w:tcPr>
            <w:tcW w:w="960" w:type="dxa"/>
            <w:vAlign w:val="bottom"/>
            <w:gridSpan w:val="4"/>
          </w:tcPr>
          <w:p>
            <w:pPr>
              <w:ind w:left="80"/>
              <w:spacing w:after="0" w:line="96" w:lineRule="exact"/>
              <w:rPr>
                <w:sz w:val="20"/>
                <w:szCs w:val="20"/>
                <w:color w:val="auto"/>
              </w:rPr>
            </w:pPr>
            <w:r>
              <w:rPr>
                <w:rFonts w:ascii="Arial" w:cs="Arial" w:eastAsia="Arial" w:hAnsi="Arial"/>
                <w:sz w:val="11"/>
                <w:szCs w:val="11"/>
                <w:b w:val="1"/>
                <w:bCs w:val="1"/>
                <w:color w:val="auto"/>
              </w:rPr>
              <w:t>September 30,</w:t>
            </w:r>
          </w:p>
        </w:tc>
        <w:tc>
          <w:tcPr>
            <w:tcW w:w="800" w:type="dxa"/>
            <w:vAlign w:val="bottom"/>
            <w:gridSpan w:val="3"/>
          </w:tcPr>
          <w:p>
            <w:pPr>
              <w:ind w:left="80"/>
              <w:spacing w:after="0" w:line="96" w:lineRule="exact"/>
              <w:rPr>
                <w:sz w:val="20"/>
                <w:szCs w:val="20"/>
                <w:color w:val="auto"/>
              </w:rPr>
            </w:pPr>
            <w:r>
              <w:rPr>
                <w:rFonts w:ascii="Arial" w:cs="Arial" w:eastAsia="Arial" w:hAnsi="Arial"/>
                <w:sz w:val="11"/>
                <w:szCs w:val="11"/>
                <w:b w:val="1"/>
                <w:bCs w:val="1"/>
                <w:color w:val="auto"/>
                <w:w w:val="97"/>
              </w:rPr>
              <w:t>December 31,</w:t>
            </w:r>
          </w:p>
        </w:tc>
        <w:tc>
          <w:tcPr>
            <w:tcW w:w="80" w:type="dxa"/>
            <w:vAlign w:val="bottom"/>
          </w:tcPr>
          <w:p>
            <w:pPr>
              <w:spacing w:after="0"/>
              <w:rPr>
                <w:sz w:val="8"/>
                <w:szCs w:val="8"/>
                <w:color w:val="auto"/>
              </w:rPr>
            </w:pPr>
          </w:p>
        </w:tc>
      </w:tr>
      <w:tr>
        <w:trPr>
          <w:trHeight w:val="144"/>
        </w:trPr>
        <w:tc>
          <w:tcPr>
            <w:tcW w:w="20" w:type="dxa"/>
            <w:vAlign w:val="bottom"/>
          </w:tcPr>
          <w:p>
            <w:pPr>
              <w:spacing w:after="0"/>
              <w:rPr>
                <w:sz w:val="12"/>
                <w:szCs w:val="12"/>
                <w:color w:val="auto"/>
              </w:rPr>
            </w:pPr>
          </w:p>
        </w:tc>
        <w:tc>
          <w:tcPr>
            <w:tcW w:w="23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jc w:val="right"/>
              <w:ind w:right="87"/>
              <w:spacing w:after="0"/>
              <w:rPr>
                <w:sz w:val="20"/>
                <w:szCs w:val="20"/>
                <w:color w:val="auto"/>
              </w:rPr>
            </w:pPr>
            <w:r>
              <w:rPr>
                <w:rFonts w:ascii="Arial" w:cs="Arial" w:eastAsia="Arial" w:hAnsi="Arial"/>
                <w:sz w:val="12"/>
                <w:szCs w:val="12"/>
                <w:b w:val="1"/>
                <w:bCs w:val="1"/>
                <w:color w:val="auto"/>
                <w:w w:val="89"/>
              </w:rPr>
              <w:t>2016</w:t>
            </w:r>
          </w:p>
        </w:tc>
        <w:tc>
          <w:tcPr>
            <w:tcW w:w="14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gridSpan w:val="2"/>
          </w:tcPr>
          <w:p>
            <w:pPr>
              <w:jc w:val="right"/>
              <w:ind w:right="25"/>
              <w:spacing w:after="0"/>
              <w:rPr>
                <w:sz w:val="20"/>
                <w:szCs w:val="20"/>
                <w:color w:val="auto"/>
              </w:rPr>
            </w:pPr>
            <w:r>
              <w:rPr>
                <w:rFonts w:ascii="Arial" w:cs="Arial" w:eastAsia="Arial" w:hAnsi="Arial"/>
                <w:sz w:val="12"/>
                <w:szCs w:val="12"/>
                <w:b w:val="1"/>
                <w:bCs w:val="1"/>
                <w:color w:val="auto"/>
              </w:rPr>
              <w:t>2016</w:t>
            </w:r>
          </w:p>
        </w:tc>
        <w:tc>
          <w:tcPr>
            <w:tcW w:w="1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86"/>
              <w:spacing w:after="0"/>
              <w:rPr>
                <w:sz w:val="20"/>
                <w:szCs w:val="20"/>
                <w:color w:val="auto"/>
              </w:rPr>
            </w:pPr>
            <w:r>
              <w:rPr>
                <w:rFonts w:ascii="Arial" w:cs="Arial" w:eastAsia="Arial" w:hAnsi="Arial"/>
                <w:sz w:val="12"/>
                <w:szCs w:val="12"/>
                <w:b w:val="1"/>
                <w:bCs w:val="1"/>
                <w:color w:val="auto"/>
              </w:rPr>
              <w:t>2016</w:t>
            </w:r>
          </w:p>
        </w:tc>
        <w:tc>
          <w:tcPr>
            <w:tcW w:w="1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68"/>
              <w:spacing w:after="0"/>
              <w:rPr>
                <w:sz w:val="20"/>
                <w:szCs w:val="20"/>
                <w:color w:val="auto"/>
              </w:rPr>
            </w:pPr>
            <w:r>
              <w:rPr>
                <w:rFonts w:ascii="Arial" w:cs="Arial" w:eastAsia="Arial" w:hAnsi="Arial"/>
                <w:sz w:val="12"/>
                <w:szCs w:val="12"/>
                <w:b w:val="1"/>
                <w:bCs w:val="1"/>
                <w:color w:val="auto"/>
              </w:rPr>
              <w:t>2016</w:t>
            </w:r>
          </w:p>
        </w:tc>
        <w:tc>
          <w:tcPr>
            <w:tcW w:w="1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jc w:val="right"/>
              <w:ind w:right="87"/>
              <w:spacing w:after="0"/>
              <w:rPr>
                <w:sz w:val="20"/>
                <w:szCs w:val="20"/>
                <w:color w:val="auto"/>
              </w:rPr>
            </w:pPr>
            <w:r>
              <w:rPr>
                <w:rFonts w:ascii="Arial" w:cs="Arial" w:eastAsia="Arial" w:hAnsi="Arial"/>
                <w:sz w:val="12"/>
                <w:szCs w:val="12"/>
                <w:b w:val="1"/>
                <w:bCs w:val="1"/>
                <w:color w:val="auto"/>
                <w:w w:val="97"/>
              </w:rPr>
              <w:t>2017</w:t>
            </w:r>
          </w:p>
        </w:tc>
        <w:tc>
          <w:tcPr>
            <w:tcW w:w="12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gridSpan w:val="2"/>
          </w:tcPr>
          <w:p>
            <w:pPr>
              <w:jc w:val="right"/>
              <w:ind w:right="25"/>
              <w:spacing w:after="0"/>
              <w:rPr>
                <w:sz w:val="20"/>
                <w:szCs w:val="20"/>
                <w:color w:val="auto"/>
              </w:rPr>
            </w:pPr>
            <w:r>
              <w:rPr>
                <w:rFonts w:ascii="Arial" w:cs="Arial" w:eastAsia="Arial" w:hAnsi="Arial"/>
                <w:sz w:val="12"/>
                <w:szCs w:val="12"/>
                <w:b w:val="1"/>
                <w:bCs w:val="1"/>
                <w:color w:val="auto"/>
              </w:rPr>
              <w:t>2017</w:t>
            </w:r>
          </w:p>
        </w:tc>
        <w:tc>
          <w:tcPr>
            <w:tcW w:w="1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67"/>
              <w:spacing w:after="0"/>
              <w:rPr>
                <w:sz w:val="20"/>
                <w:szCs w:val="20"/>
                <w:color w:val="auto"/>
              </w:rPr>
            </w:pPr>
            <w:r>
              <w:rPr>
                <w:rFonts w:ascii="Arial" w:cs="Arial" w:eastAsia="Arial" w:hAnsi="Arial"/>
                <w:sz w:val="12"/>
                <w:szCs w:val="12"/>
                <w:b w:val="1"/>
                <w:bCs w:val="1"/>
                <w:color w:val="auto"/>
              </w:rPr>
              <w:t>2017</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67"/>
              <w:spacing w:after="0"/>
              <w:rPr>
                <w:sz w:val="20"/>
                <w:szCs w:val="20"/>
                <w:color w:val="auto"/>
              </w:rPr>
            </w:pPr>
            <w:r>
              <w:rPr>
                <w:rFonts w:ascii="Arial" w:cs="Arial" w:eastAsia="Arial" w:hAnsi="Arial"/>
                <w:sz w:val="12"/>
                <w:szCs w:val="12"/>
                <w:b w:val="1"/>
                <w:bCs w:val="1"/>
                <w:color w:val="auto"/>
              </w:rPr>
              <w:t>2017</w:t>
            </w:r>
          </w:p>
        </w:tc>
        <w:tc>
          <w:tcPr>
            <w:tcW w:w="80" w:type="dxa"/>
            <w:vAlign w:val="bottom"/>
          </w:tcPr>
          <w:p>
            <w:pPr>
              <w:spacing w:after="0"/>
              <w:rPr>
                <w:sz w:val="12"/>
                <w:szCs w:val="12"/>
                <w:color w:val="auto"/>
              </w:rPr>
            </w:pPr>
          </w:p>
        </w:tc>
      </w:tr>
      <w:tr>
        <w:trPr>
          <w:trHeight w:val="115"/>
        </w:trPr>
        <w:tc>
          <w:tcPr>
            <w:tcW w:w="20" w:type="dxa"/>
            <w:vAlign w:val="bottom"/>
          </w:tcPr>
          <w:p>
            <w:pPr>
              <w:spacing w:after="0"/>
              <w:rPr>
                <w:sz w:val="10"/>
                <w:szCs w:val="10"/>
                <w:color w:val="auto"/>
              </w:rPr>
            </w:pPr>
          </w:p>
        </w:tc>
        <w:tc>
          <w:tcPr>
            <w:tcW w:w="23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gridSpan w:val="3"/>
          </w:tcPr>
          <w:p>
            <w:pPr>
              <w:jc w:val="right"/>
              <w:ind w:right="180"/>
              <w:spacing w:after="0" w:line="115" w:lineRule="exact"/>
              <w:rPr>
                <w:sz w:val="20"/>
                <w:szCs w:val="20"/>
                <w:color w:val="auto"/>
              </w:rPr>
            </w:pPr>
            <w:r>
              <w:rPr>
                <w:rFonts w:ascii="Arial" w:cs="Arial" w:eastAsia="Arial" w:hAnsi="Arial"/>
                <w:sz w:val="12"/>
                <w:szCs w:val="12"/>
                <w:i w:val="1"/>
                <w:iCs w:val="1"/>
                <w:color w:val="auto"/>
              </w:rPr>
              <w:t>(In millions)</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r>
      <w:tr>
        <w:trPr>
          <w:trHeight w:val="180"/>
        </w:trPr>
        <w:tc>
          <w:tcPr>
            <w:tcW w:w="20" w:type="dxa"/>
            <w:vAlign w:val="bottom"/>
          </w:tcPr>
          <w:p>
            <w:pPr>
              <w:spacing w:after="0"/>
              <w:rPr>
                <w:sz w:val="15"/>
                <w:szCs w:val="15"/>
                <w:color w:val="auto"/>
              </w:rPr>
            </w:pPr>
          </w:p>
        </w:tc>
        <w:tc>
          <w:tcPr>
            <w:tcW w:w="2320" w:type="dxa"/>
            <w:vAlign w:val="bottom"/>
            <w:shd w:val="clear" w:color="auto" w:fill="CCEEFF"/>
          </w:tcPr>
          <w:p>
            <w:pPr>
              <w:spacing w:after="0"/>
              <w:rPr>
                <w:sz w:val="20"/>
                <w:szCs w:val="20"/>
                <w:color w:val="auto"/>
              </w:rPr>
            </w:pPr>
            <w:r>
              <w:rPr>
                <w:rFonts w:ascii="Arial" w:cs="Arial" w:eastAsia="Arial" w:hAnsi="Arial"/>
                <w:sz w:val="15"/>
                <w:szCs w:val="15"/>
                <w:color w:val="auto"/>
              </w:rPr>
              <w:t>Revenue</w:t>
            </w:r>
          </w:p>
        </w:tc>
        <w:tc>
          <w:tcPr>
            <w:tcW w:w="520" w:type="dxa"/>
            <w:vAlign w:val="bottom"/>
            <w:gridSpan w:val="2"/>
            <w:shd w:val="clear" w:color="auto" w:fill="CCEEFF"/>
          </w:tcPr>
          <w:p>
            <w:pPr>
              <w:ind w:left="400"/>
              <w:spacing w:after="0"/>
              <w:rPr>
                <w:sz w:val="20"/>
                <w:szCs w:val="20"/>
                <w:color w:val="auto"/>
              </w:rPr>
            </w:pPr>
            <w:r>
              <w:rPr>
                <w:rFonts w:ascii="Arial" w:cs="Arial" w:eastAsia="Arial" w:hAnsi="Arial"/>
                <w:sz w:val="15"/>
                <w:szCs w:val="15"/>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185.0</w:t>
            </w:r>
          </w:p>
        </w:tc>
        <w:tc>
          <w:tcPr>
            <w:tcW w:w="140" w:type="dxa"/>
            <w:vAlign w:val="bottom"/>
            <w:shd w:val="clear" w:color="auto" w:fill="CCEEFF"/>
          </w:tcPr>
          <w:p>
            <w:pPr>
              <w:spacing w:after="0"/>
              <w:rPr>
                <w:sz w:val="15"/>
                <w:szCs w:val="15"/>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95"/>
              </w:rPr>
              <w:t>$ 200.8</w:t>
            </w:r>
          </w:p>
        </w:tc>
        <w:tc>
          <w:tcPr>
            <w:tcW w:w="120" w:type="dxa"/>
            <w:vAlign w:val="bottom"/>
            <w:shd w:val="clear" w:color="auto" w:fill="CCEEFF"/>
          </w:tcPr>
          <w:p>
            <w:pPr>
              <w:spacing w:after="0"/>
              <w:rPr>
                <w:sz w:val="15"/>
                <w:szCs w:val="15"/>
                <w:color w:val="auto"/>
              </w:rPr>
            </w:pPr>
          </w:p>
        </w:tc>
        <w:tc>
          <w:tcPr>
            <w:tcW w:w="260" w:type="dxa"/>
            <w:vAlign w:val="bottom"/>
            <w:gridSpan w:val="2"/>
            <w:shd w:val="clear" w:color="auto" w:fill="CCEEFF"/>
          </w:tcPr>
          <w:p>
            <w:pPr>
              <w:ind w:left="100"/>
              <w:spacing w:after="0"/>
              <w:rPr>
                <w:sz w:val="20"/>
                <w:szCs w:val="20"/>
                <w:color w:val="auto"/>
              </w:rPr>
            </w:pPr>
            <w:r>
              <w:rPr>
                <w:rFonts w:ascii="Arial" w:cs="Arial" w:eastAsia="Arial" w:hAnsi="Arial"/>
                <w:sz w:val="15"/>
                <w:szCs w:val="15"/>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221.0</w:t>
            </w:r>
          </w:p>
        </w:tc>
        <w:tc>
          <w:tcPr>
            <w:tcW w:w="120" w:type="dxa"/>
            <w:vAlign w:val="bottom"/>
            <w:shd w:val="clear" w:color="auto" w:fill="CCEEFF"/>
          </w:tcPr>
          <w:p>
            <w:pPr>
              <w:spacing w:after="0"/>
              <w:rPr>
                <w:sz w:val="15"/>
                <w:szCs w:val="15"/>
                <w:color w:val="auto"/>
              </w:rPr>
            </w:pPr>
          </w:p>
        </w:tc>
        <w:tc>
          <w:tcPr>
            <w:tcW w:w="240" w:type="dxa"/>
            <w:vAlign w:val="bottom"/>
            <w:gridSpan w:val="2"/>
            <w:shd w:val="clear" w:color="auto" w:fill="CCEEFF"/>
          </w:tcPr>
          <w:p>
            <w:pPr>
              <w:ind w:left="100"/>
              <w:spacing w:after="0"/>
              <w:rPr>
                <w:sz w:val="20"/>
                <w:szCs w:val="20"/>
                <w:color w:val="auto"/>
              </w:rPr>
            </w:pPr>
            <w:r>
              <w:rPr>
                <w:rFonts w:ascii="Arial" w:cs="Arial" w:eastAsia="Arial" w:hAnsi="Arial"/>
                <w:sz w:val="15"/>
                <w:szCs w:val="15"/>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238.0</w:t>
            </w:r>
          </w:p>
        </w:tc>
        <w:tc>
          <w:tcPr>
            <w:tcW w:w="120" w:type="dxa"/>
            <w:vAlign w:val="bottom"/>
            <w:shd w:val="clear" w:color="auto" w:fill="CCEEFF"/>
          </w:tcPr>
          <w:p>
            <w:pPr>
              <w:spacing w:after="0"/>
              <w:rPr>
                <w:sz w:val="15"/>
                <w:szCs w:val="15"/>
                <w:color w:val="auto"/>
              </w:rPr>
            </w:pPr>
          </w:p>
        </w:tc>
        <w:tc>
          <w:tcPr>
            <w:tcW w:w="200" w:type="dxa"/>
            <w:vAlign w:val="bottom"/>
            <w:gridSpan w:val="2"/>
            <w:shd w:val="clear" w:color="auto" w:fill="CCEEFF"/>
          </w:tcPr>
          <w:p>
            <w:pPr>
              <w:ind w:left="100"/>
              <w:spacing w:after="0"/>
              <w:rPr>
                <w:sz w:val="20"/>
                <w:szCs w:val="20"/>
                <w:color w:val="auto"/>
              </w:rPr>
            </w:pPr>
            <w:r>
              <w:rPr>
                <w:rFonts w:ascii="Arial" w:cs="Arial" w:eastAsia="Arial" w:hAnsi="Arial"/>
                <w:sz w:val="15"/>
                <w:szCs w:val="15"/>
                <w:color w:val="auto"/>
                <w:w w:val="95"/>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247.9</w:t>
            </w:r>
          </w:p>
        </w:tc>
        <w:tc>
          <w:tcPr>
            <w:tcW w:w="120" w:type="dxa"/>
            <w:vAlign w:val="bottom"/>
            <w:shd w:val="clear" w:color="auto" w:fill="CCEEFF"/>
          </w:tcPr>
          <w:p>
            <w:pPr>
              <w:spacing w:after="0"/>
              <w:rPr>
                <w:sz w:val="15"/>
                <w:szCs w:val="15"/>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99"/>
              </w:rPr>
              <w:t>$ 266.7</w:t>
            </w:r>
          </w:p>
        </w:tc>
        <w:tc>
          <w:tcPr>
            <w:tcW w:w="140" w:type="dxa"/>
            <w:vAlign w:val="bottom"/>
            <w:shd w:val="clear" w:color="auto" w:fill="CCEEFF"/>
          </w:tcPr>
          <w:p>
            <w:pPr>
              <w:spacing w:after="0"/>
              <w:rPr>
                <w:sz w:val="15"/>
                <w:szCs w:val="15"/>
                <w:color w:val="auto"/>
              </w:rPr>
            </w:pPr>
          </w:p>
        </w:tc>
        <w:tc>
          <w:tcPr>
            <w:tcW w:w="240" w:type="dxa"/>
            <w:vAlign w:val="bottom"/>
            <w:gridSpan w:val="2"/>
            <w:shd w:val="clear" w:color="auto" w:fill="CCEEFF"/>
          </w:tcPr>
          <w:p>
            <w:pPr>
              <w:ind w:left="80"/>
              <w:spacing w:after="0"/>
              <w:rPr>
                <w:sz w:val="20"/>
                <w:szCs w:val="20"/>
                <w:color w:val="auto"/>
              </w:rPr>
            </w:pPr>
            <w:r>
              <w:rPr>
                <w:rFonts w:ascii="Arial" w:cs="Arial" w:eastAsia="Arial" w:hAnsi="Arial"/>
                <w:sz w:val="15"/>
                <w:szCs w:val="15"/>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286.7</w:t>
            </w:r>
          </w:p>
        </w:tc>
        <w:tc>
          <w:tcPr>
            <w:tcW w:w="140" w:type="dxa"/>
            <w:vAlign w:val="bottom"/>
            <w:shd w:val="clear" w:color="auto" w:fill="CCEEFF"/>
          </w:tcPr>
          <w:p>
            <w:pPr>
              <w:spacing w:after="0"/>
              <w:rPr>
                <w:sz w:val="15"/>
                <w:szCs w:val="15"/>
                <w:color w:val="auto"/>
              </w:rPr>
            </w:pPr>
          </w:p>
        </w:tc>
        <w:tc>
          <w:tcPr>
            <w:tcW w:w="240" w:type="dxa"/>
            <w:vAlign w:val="bottom"/>
            <w:gridSpan w:val="2"/>
            <w:shd w:val="clear" w:color="auto" w:fill="CCEEFF"/>
          </w:tcPr>
          <w:p>
            <w:pPr>
              <w:ind w:left="80"/>
              <w:spacing w:after="0"/>
              <w:rPr>
                <w:sz w:val="20"/>
                <w:szCs w:val="20"/>
                <w:color w:val="auto"/>
              </w:rPr>
            </w:pPr>
            <w:r>
              <w:rPr>
                <w:rFonts w:ascii="Arial" w:cs="Arial" w:eastAsia="Arial" w:hAnsi="Arial"/>
                <w:sz w:val="15"/>
                <w:szCs w:val="15"/>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305.5</w:t>
            </w:r>
          </w:p>
        </w:tc>
        <w:tc>
          <w:tcPr>
            <w:tcW w:w="80" w:type="dxa"/>
            <w:vAlign w:val="bottom"/>
            <w:shd w:val="clear" w:color="auto" w:fill="CCEEFF"/>
          </w:tcPr>
          <w:p>
            <w:pPr>
              <w:spacing w:after="0"/>
              <w:rPr>
                <w:sz w:val="15"/>
                <w:szCs w:val="15"/>
                <w:color w:val="auto"/>
              </w:rPr>
            </w:pPr>
          </w:p>
        </w:tc>
      </w:tr>
      <w:tr>
        <w:trPr>
          <w:trHeight w:val="183"/>
        </w:trPr>
        <w:tc>
          <w:tcPr>
            <w:tcW w:w="20" w:type="dxa"/>
            <w:vAlign w:val="bottom"/>
          </w:tcPr>
          <w:p>
            <w:pPr>
              <w:spacing w:after="0"/>
              <w:rPr>
                <w:sz w:val="15"/>
                <w:szCs w:val="15"/>
                <w:color w:val="auto"/>
              </w:rPr>
            </w:pPr>
          </w:p>
        </w:tc>
        <w:tc>
          <w:tcPr>
            <w:tcW w:w="2320" w:type="dxa"/>
            <w:vAlign w:val="bottom"/>
          </w:tcPr>
          <w:p>
            <w:pPr>
              <w:ind w:left="280"/>
              <w:spacing w:after="0"/>
              <w:rPr>
                <w:sz w:val="20"/>
                <w:szCs w:val="20"/>
                <w:color w:val="auto"/>
              </w:rPr>
            </w:pPr>
            <w:r>
              <w:rPr>
                <w:rFonts w:ascii="Arial" w:cs="Arial" w:eastAsia="Arial" w:hAnsi="Arial"/>
                <w:sz w:val="15"/>
                <w:szCs w:val="15"/>
                <w:color w:val="auto"/>
              </w:rPr>
              <w:t>Cost of revenue</w:t>
            </w:r>
            <w:r>
              <w:rPr>
                <w:rFonts w:ascii="Arial" w:cs="Arial" w:eastAsia="Arial" w:hAnsi="Arial"/>
                <w:sz w:val="12"/>
                <w:szCs w:val="12"/>
                <w:color w:val="auto"/>
              </w:rPr>
              <w:t>(1)</w:t>
            </w:r>
          </w:p>
        </w:tc>
        <w:tc>
          <w:tcPr>
            <w:tcW w:w="4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99.8</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102.7</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98.8</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89.3</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93.5</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92.2</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91.5</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91.7</w:t>
            </w:r>
          </w:p>
        </w:tc>
        <w:tc>
          <w:tcPr>
            <w:tcW w:w="80" w:type="dxa"/>
            <w:vAlign w:val="bottom"/>
          </w:tcPr>
          <w:p>
            <w:pPr>
              <w:spacing w:after="0"/>
              <w:rPr>
                <w:sz w:val="15"/>
                <w:szCs w:val="15"/>
                <w:color w:val="auto"/>
              </w:rPr>
            </w:pPr>
          </w:p>
        </w:tc>
      </w:tr>
      <w:tr>
        <w:trPr>
          <w:trHeight w:val="180"/>
        </w:trPr>
        <w:tc>
          <w:tcPr>
            <w:tcW w:w="20" w:type="dxa"/>
            <w:vAlign w:val="bottom"/>
          </w:tcPr>
          <w:p>
            <w:pPr>
              <w:spacing w:after="0"/>
              <w:rPr>
                <w:sz w:val="15"/>
                <w:szCs w:val="15"/>
                <w:color w:val="auto"/>
              </w:rPr>
            </w:pPr>
          </w:p>
        </w:tc>
        <w:tc>
          <w:tcPr>
            <w:tcW w:w="2320" w:type="dxa"/>
            <w:vAlign w:val="bottom"/>
            <w:shd w:val="clear" w:color="auto" w:fill="CCEEFF"/>
          </w:tcPr>
          <w:p>
            <w:pPr>
              <w:spacing w:after="0"/>
              <w:rPr>
                <w:sz w:val="20"/>
                <w:szCs w:val="20"/>
                <w:color w:val="auto"/>
              </w:rPr>
            </w:pPr>
            <w:r>
              <w:rPr>
                <w:rFonts w:ascii="Arial" w:cs="Arial" w:eastAsia="Arial" w:hAnsi="Arial"/>
                <w:sz w:val="15"/>
                <w:szCs w:val="15"/>
                <w:color w:val="auto"/>
              </w:rPr>
              <w:t>Gross profit</w:t>
            </w:r>
          </w:p>
        </w:tc>
        <w:tc>
          <w:tcPr>
            <w:tcW w:w="4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85.2</w:t>
            </w:r>
          </w:p>
        </w:tc>
        <w:tc>
          <w:tcPr>
            <w:tcW w:w="140" w:type="dxa"/>
            <w:vAlign w:val="bottom"/>
            <w:shd w:val="clear" w:color="auto" w:fill="CCEEFF"/>
          </w:tcPr>
          <w:p>
            <w:pPr>
              <w:spacing w:after="0"/>
              <w:rPr>
                <w:sz w:val="15"/>
                <w:szCs w:val="15"/>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98.1</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122.2</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148.7</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154.4</w:t>
            </w:r>
          </w:p>
        </w:tc>
        <w:tc>
          <w:tcPr>
            <w:tcW w:w="120" w:type="dxa"/>
            <w:vAlign w:val="bottom"/>
            <w:shd w:val="clear" w:color="auto" w:fill="CCEEFF"/>
          </w:tcPr>
          <w:p>
            <w:pPr>
              <w:spacing w:after="0"/>
              <w:rPr>
                <w:sz w:val="15"/>
                <w:szCs w:val="15"/>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174.5</w:t>
            </w: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195.2</w:t>
            </w: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213.8</w:t>
            </w:r>
          </w:p>
        </w:tc>
        <w:tc>
          <w:tcPr>
            <w:tcW w:w="80" w:type="dxa"/>
            <w:vAlign w:val="bottom"/>
            <w:shd w:val="clear" w:color="auto" w:fill="CCEEFF"/>
          </w:tcPr>
          <w:p>
            <w:pPr>
              <w:spacing w:after="0"/>
              <w:rPr>
                <w:sz w:val="15"/>
                <w:szCs w:val="15"/>
                <w:color w:val="auto"/>
              </w:rPr>
            </w:pPr>
          </w:p>
        </w:tc>
      </w:tr>
      <w:tr>
        <w:trPr>
          <w:trHeight w:val="180"/>
        </w:trPr>
        <w:tc>
          <w:tcPr>
            <w:tcW w:w="20" w:type="dxa"/>
            <w:vAlign w:val="bottom"/>
          </w:tcPr>
          <w:p>
            <w:pPr>
              <w:spacing w:after="0"/>
              <w:rPr>
                <w:sz w:val="15"/>
                <w:szCs w:val="15"/>
                <w:color w:val="auto"/>
              </w:rPr>
            </w:pPr>
          </w:p>
        </w:tc>
        <w:tc>
          <w:tcPr>
            <w:tcW w:w="2320" w:type="dxa"/>
            <w:vAlign w:val="bottom"/>
          </w:tcPr>
          <w:p>
            <w:pPr>
              <w:spacing w:after="0"/>
              <w:rPr>
                <w:sz w:val="20"/>
                <w:szCs w:val="20"/>
                <w:color w:val="auto"/>
              </w:rPr>
            </w:pPr>
            <w:r>
              <w:rPr>
                <w:rFonts w:ascii="Arial" w:cs="Arial" w:eastAsia="Arial" w:hAnsi="Arial"/>
                <w:sz w:val="15"/>
                <w:szCs w:val="15"/>
                <w:color w:val="auto"/>
              </w:rPr>
              <w:t>Operating expenses:</w:t>
            </w:r>
            <w:r>
              <w:rPr>
                <w:rFonts w:ascii="Arial" w:cs="Arial" w:eastAsia="Arial" w:hAnsi="Arial"/>
                <w:sz w:val="12"/>
                <w:szCs w:val="12"/>
                <w:color w:val="auto"/>
              </w:rPr>
              <w:t>(1)</w:t>
            </w:r>
          </w:p>
        </w:tc>
        <w:tc>
          <w:tcPr>
            <w:tcW w:w="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180"/>
        </w:trPr>
        <w:tc>
          <w:tcPr>
            <w:tcW w:w="20" w:type="dxa"/>
            <w:vAlign w:val="bottom"/>
          </w:tcPr>
          <w:p>
            <w:pPr>
              <w:spacing w:after="0"/>
              <w:rPr>
                <w:sz w:val="15"/>
                <w:szCs w:val="15"/>
                <w:color w:val="auto"/>
              </w:rPr>
            </w:pPr>
          </w:p>
        </w:tc>
        <w:tc>
          <w:tcPr>
            <w:tcW w:w="2320" w:type="dxa"/>
            <w:vAlign w:val="bottom"/>
            <w:shd w:val="clear" w:color="auto" w:fill="CCEEFF"/>
          </w:tcPr>
          <w:p>
            <w:pPr>
              <w:ind w:left="280"/>
              <w:spacing w:after="0"/>
              <w:rPr>
                <w:sz w:val="20"/>
                <w:szCs w:val="20"/>
                <w:color w:val="auto"/>
              </w:rPr>
            </w:pPr>
            <w:r>
              <w:rPr>
                <w:rFonts w:ascii="Arial" w:cs="Arial" w:eastAsia="Arial" w:hAnsi="Arial"/>
                <w:sz w:val="15"/>
                <w:szCs w:val="15"/>
                <w:color w:val="auto"/>
              </w:rPr>
              <w:t>Research and development</w:t>
            </w:r>
          </w:p>
        </w:tc>
        <w:tc>
          <w:tcPr>
            <w:tcW w:w="4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67.9</w:t>
            </w:r>
          </w:p>
        </w:tc>
        <w:tc>
          <w:tcPr>
            <w:tcW w:w="140" w:type="dxa"/>
            <w:vAlign w:val="bottom"/>
            <w:shd w:val="clear" w:color="auto" w:fill="CCEEFF"/>
          </w:tcPr>
          <w:p>
            <w:pPr>
              <w:spacing w:after="0"/>
              <w:rPr>
                <w:sz w:val="15"/>
                <w:szCs w:val="15"/>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72.6</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75.1</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74.1</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89.3</w:t>
            </w:r>
          </w:p>
        </w:tc>
        <w:tc>
          <w:tcPr>
            <w:tcW w:w="120" w:type="dxa"/>
            <w:vAlign w:val="bottom"/>
            <w:shd w:val="clear" w:color="auto" w:fill="CCEEFF"/>
          </w:tcPr>
          <w:p>
            <w:pPr>
              <w:spacing w:after="0"/>
              <w:rPr>
                <w:sz w:val="15"/>
                <w:szCs w:val="15"/>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89.8</w:t>
            </w: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97.2</w:t>
            </w: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104.0</w:t>
            </w:r>
          </w:p>
        </w:tc>
        <w:tc>
          <w:tcPr>
            <w:tcW w:w="80" w:type="dxa"/>
            <w:vAlign w:val="bottom"/>
            <w:shd w:val="clear" w:color="auto" w:fill="CCEEFF"/>
          </w:tcPr>
          <w:p>
            <w:pPr>
              <w:spacing w:after="0"/>
              <w:rPr>
                <w:sz w:val="15"/>
                <w:szCs w:val="15"/>
                <w:color w:val="auto"/>
              </w:rPr>
            </w:pPr>
          </w:p>
        </w:tc>
      </w:tr>
      <w:tr>
        <w:trPr>
          <w:trHeight w:val="180"/>
        </w:trPr>
        <w:tc>
          <w:tcPr>
            <w:tcW w:w="20" w:type="dxa"/>
            <w:vAlign w:val="bottom"/>
          </w:tcPr>
          <w:p>
            <w:pPr>
              <w:spacing w:after="0"/>
              <w:rPr>
                <w:sz w:val="15"/>
                <w:szCs w:val="15"/>
                <w:color w:val="auto"/>
              </w:rPr>
            </w:pPr>
          </w:p>
        </w:tc>
        <w:tc>
          <w:tcPr>
            <w:tcW w:w="2320" w:type="dxa"/>
            <w:vAlign w:val="bottom"/>
          </w:tcPr>
          <w:p>
            <w:pPr>
              <w:ind w:left="280"/>
              <w:spacing w:after="0"/>
              <w:rPr>
                <w:sz w:val="20"/>
                <w:szCs w:val="20"/>
                <w:color w:val="auto"/>
              </w:rPr>
            </w:pPr>
            <w:r>
              <w:rPr>
                <w:rFonts w:ascii="Arial" w:cs="Arial" w:eastAsia="Arial" w:hAnsi="Arial"/>
                <w:sz w:val="15"/>
                <w:szCs w:val="15"/>
                <w:color w:val="auto"/>
              </w:rPr>
              <w:t>Sales and marketing</w:t>
            </w:r>
          </w:p>
        </w:tc>
        <w:tc>
          <w:tcPr>
            <w:tcW w:w="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20" w:type="dxa"/>
            <w:vAlign w:val="bottom"/>
          </w:tcPr>
          <w:p>
            <w:pPr>
              <w:jc w:val="right"/>
              <w:spacing w:after="0"/>
              <w:rPr>
                <w:sz w:val="20"/>
                <w:szCs w:val="20"/>
                <w:color w:val="auto"/>
              </w:rPr>
            </w:pPr>
            <w:r>
              <w:rPr>
                <w:rFonts w:ascii="Arial" w:cs="Arial" w:eastAsia="Arial" w:hAnsi="Arial"/>
                <w:sz w:val="15"/>
                <w:szCs w:val="15"/>
                <w:color w:val="auto"/>
              </w:rPr>
              <w:t>73.8</w:t>
            </w:r>
          </w:p>
        </w:tc>
        <w:tc>
          <w:tcPr>
            <w:tcW w:w="140" w:type="dxa"/>
            <w:vAlign w:val="bottom"/>
          </w:tcPr>
          <w:p>
            <w:pPr>
              <w:spacing w:after="0"/>
              <w:rPr>
                <w:sz w:val="15"/>
                <w:szCs w:val="15"/>
                <w:color w:val="auto"/>
              </w:rPr>
            </w:pPr>
          </w:p>
        </w:tc>
        <w:tc>
          <w:tcPr>
            <w:tcW w:w="520" w:type="dxa"/>
            <w:vAlign w:val="bottom"/>
            <w:gridSpan w:val="2"/>
          </w:tcPr>
          <w:p>
            <w:pPr>
              <w:jc w:val="right"/>
              <w:spacing w:after="0"/>
              <w:rPr>
                <w:sz w:val="20"/>
                <w:szCs w:val="20"/>
                <w:color w:val="auto"/>
              </w:rPr>
            </w:pPr>
            <w:r>
              <w:rPr>
                <w:rFonts w:ascii="Arial" w:cs="Arial" w:eastAsia="Arial" w:hAnsi="Arial"/>
                <w:sz w:val="15"/>
                <w:szCs w:val="15"/>
                <w:color w:val="auto"/>
              </w:rPr>
              <w:t>57.5</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5"/>
                <w:szCs w:val="15"/>
                <w:color w:val="auto"/>
              </w:rPr>
              <w:t>55.4</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5"/>
                <w:szCs w:val="15"/>
                <w:color w:val="auto"/>
              </w:rPr>
              <w:t>63.9</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Arial" w:cs="Arial" w:eastAsia="Arial" w:hAnsi="Arial"/>
                <w:sz w:val="15"/>
                <w:szCs w:val="15"/>
                <w:color w:val="auto"/>
              </w:rPr>
              <w:t>67.2</w:t>
            </w:r>
          </w:p>
        </w:tc>
        <w:tc>
          <w:tcPr>
            <w:tcW w:w="120" w:type="dxa"/>
            <w:vAlign w:val="bottom"/>
          </w:tcPr>
          <w:p>
            <w:pPr>
              <w:spacing w:after="0"/>
              <w:rPr>
                <w:sz w:val="15"/>
                <w:szCs w:val="15"/>
                <w:color w:val="auto"/>
              </w:rPr>
            </w:pPr>
          </w:p>
        </w:tc>
        <w:tc>
          <w:tcPr>
            <w:tcW w:w="520" w:type="dxa"/>
            <w:vAlign w:val="bottom"/>
            <w:gridSpan w:val="2"/>
          </w:tcPr>
          <w:p>
            <w:pPr>
              <w:jc w:val="right"/>
              <w:spacing w:after="0"/>
              <w:rPr>
                <w:sz w:val="20"/>
                <w:szCs w:val="20"/>
                <w:color w:val="auto"/>
              </w:rPr>
            </w:pPr>
            <w:r>
              <w:rPr>
                <w:rFonts w:ascii="Arial" w:cs="Arial" w:eastAsia="Arial" w:hAnsi="Arial"/>
                <w:sz w:val="15"/>
                <w:szCs w:val="15"/>
                <w:color w:val="auto"/>
              </w:rPr>
              <w:t>69.2</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5"/>
                <w:szCs w:val="15"/>
                <w:color w:val="auto"/>
              </w:rPr>
              <w:t>74.7</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5"/>
                <w:szCs w:val="15"/>
                <w:color w:val="auto"/>
              </w:rPr>
              <w:t>102.9</w:t>
            </w:r>
          </w:p>
        </w:tc>
        <w:tc>
          <w:tcPr>
            <w:tcW w:w="80" w:type="dxa"/>
            <w:vAlign w:val="bottom"/>
          </w:tcPr>
          <w:p>
            <w:pPr>
              <w:spacing w:after="0"/>
              <w:rPr>
                <w:sz w:val="15"/>
                <w:szCs w:val="15"/>
                <w:color w:val="auto"/>
              </w:rPr>
            </w:pPr>
          </w:p>
        </w:tc>
      </w:tr>
      <w:tr>
        <w:trPr>
          <w:trHeight w:val="180"/>
        </w:trPr>
        <w:tc>
          <w:tcPr>
            <w:tcW w:w="20" w:type="dxa"/>
            <w:vAlign w:val="bottom"/>
          </w:tcPr>
          <w:p>
            <w:pPr>
              <w:spacing w:after="0"/>
              <w:rPr>
                <w:sz w:val="15"/>
                <w:szCs w:val="15"/>
                <w:color w:val="auto"/>
              </w:rPr>
            </w:pPr>
          </w:p>
        </w:tc>
        <w:tc>
          <w:tcPr>
            <w:tcW w:w="2320" w:type="dxa"/>
            <w:vAlign w:val="bottom"/>
            <w:shd w:val="clear" w:color="auto" w:fill="CCEEFF"/>
          </w:tcPr>
          <w:p>
            <w:pPr>
              <w:ind w:left="280"/>
              <w:spacing w:after="0"/>
              <w:rPr>
                <w:sz w:val="20"/>
                <w:szCs w:val="20"/>
                <w:color w:val="auto"/>
              </w:rPr>
            </w:pPr>
            <w:r>
              <w:rPr>
                <w:rFonts w:ascii="Arial" w:cs="Arial" w:eastAsia="Arial" w:hAnsi="Arial"/>
                <w:sz w:val="15"/>
                <w:szCs w:val="15"/>
                <w:color w:val="auto"/>
              </w:rPr>
              <w:t>General and administrative</w:t>
            </w:r>
          </w:p>
        </w:tc>
        <w:tc>
          <w:tcPr>
            <w:tcW w:w="40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25.3</w:t>
            </w: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18.4</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32.8</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30.9</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31.3</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42.2</w:t>
            </w: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39.6</w:t>
            </w: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44.2</w:t>
            </w:r>
          </w:p>
        </w:tc>
        <w:tc>
          <w:tcPr>
            <w:tcW w:w="80" w:type="dxa"/>
            <w:vAlign w:val="bottom"/>
            <w:shd w:val="clear" w:color="auto" w:fill="CCEEFF"/>
          </w:tcPr>
          <w:p>
            <w:pPr>
              <w:spacing w:after="0"/>
              <w:rPr>
                <w:sz w:val="15"/>
                <w:szCs w:val="15"/>
                <w:color w:val="auto"/>
              </w:rPr>
            </w:pPr>
          </w:p>
        </w:tc>
      </w:tr>
      <w:tr>
        <w:trPr>
          <w:trHeight w:val="186"/>
        </w:trPr>
        <w:tc>
          <w:tcPr>
            <w:tcW w:w="2340" w:type="dxa"/>
            <w:vAlign w:val="bottom"/>
            <w:gridSpan w:val="2"/>
          </w:tcPr>
          <w:p>
            <w:pPr>
              <w:spacing w:after="0"/>
              <w:rPr>
                <w:sz w:val="20"/>
                <w:szCs w:val="20"/>
                <w:color w:val="auto"/>
              </w:rPr>
            </w:pPr>
            <w:r>
              <w:rPr>
                <w:rFonts w:ascii="Arial" w:cs="Arial" w:eastAsia="Arial" w:hAnsi="Arial"/>
                <w:sz w:val="15"/>
                <w:szCs w:val="15"/>
                <w:color w:val="auto"/>
              </w:rPr>
              <w:t>Total operating expenses</w:t>
            </w:r>
          </w:p>
        </w:tc>
        <w:tc>
          <w:tcPr>
            <w:tcW w:w="4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167.0</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148.5</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163.3</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168.9</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187.8</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201.2</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211.5</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251.1</w:t>
            </w:r>
          </w:p>
        </w:tc>
        <w:tc>
          <w:tcPr>
            <w:tcW w:w="80" w:type="dxa"/>
            <w:vAlign w:val="bottom"/>
          </w:tcPr>
          <w:p>
            <w:pPr>
              <w:spacing w:after="0"/>
              <w:rPr>
                <w:sz w:val="16"/>
                <w:szCs w:val="16"/>
                <w:color w:val="auto"/>
              </w:rPr>
            </w:pPr>
          </w:p>
        </w:tc>
      </w:tr>
      <w:tr>
        <w:trPr>
          <w:trHeight w:val="180"/>
        </w:trPr>
        <w:tc>
          <w:tcPr>
            <w:tcW w:w="20" w:type="dxa"/>
            <w:vAlign w:val="bottom"/>
          </w:tcPr>
          <w:p>
            <w:pPr>
              <w:spacing w:after="0"/>
              <w:rPr>
                <w:sz w:val="15"/>
                <w:szCs w:val="15"/>
                <w:color w:val="auto"/>
              </w:rPr>
            </w:pPr>
          </w:p>
        </w:tc>
        <w:tc>
          <w:tcPr>
            <w:tcW w:w="2320" w:type="dxa"/>
            <w:vAlign w:val="bottom"/>
            <w:shd w:val="clear" w:color="auto" w:fill="CCEEFF"/>
          </w:tcPr>
          <w:p>
            <w:pPr>
              <w:spacing w:after="0"/>
              <w:rPr>
                <w:sz w:val="20"/>
                <w:szCs w:val="20"/>
                <w:color w:val="auto"/>
              </w:rPr>
            </w:pPr>
            <w:r>
              <w:rPr>
                <w:rFonts w:ascii="Arial" w:cs="Arial" w:eastAsia="Arial" w:hAnsi="Arial"/>
                <w:sz w:val="15"/>
                <w:szCs w:val="15"/>
                <w:color w:val="auto"/>
              </w:rPr>
              <w:t>Loss from operations</w:t>
            </w:r>
          </w:p>
        </w:tc>
        <w:tc>
          <w:tcPr>
            <w:tcW w:w="520" w:type="dxa"/>
            <w:vAlign w:val="bottom"/>
            <w:gridSpan w:val="2"/>
            <w:shd w:val="clear" w:color="auto" w:fill="CCEEFF"/>
          </w:tcPr>
          <w:p>
            <w:pPr>
              <w:ind w:left="400"/>
              <w:spacing w:after="0"/>
              <w:rPr>
                <w:sz w:val="20"/>
                <w:szCs w:val="20"/>
                <w:color w:val="auto"/>
              </w:rPr>
            </w:pPr>
            <w:r>
              <w:rPr>
                <w:rFonts w:ascii="Arial" w:cs="Arial" w:eastAsia="Arial" w:hAnsi="Arial"/>
                <w:sz w:val="15"/>
                <w:szCs w:val="15"/>
                <w:color w:val="auto"/>
              </w:rPr>
              <w:t>$</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(81.8)</w:t>
            </w:r>
          </w:p>
        </w:tc>
        <w:tc>
          <w:tcPr>
            <w:tcW w:w="640" w:type="dxa"/>
            <w:vAlign w:val="bottom"/>
            <w:gridSpan w:val="3"/>
            <w:shd w:val="clear" w:color="auto" w:fill="CCEEFF"/>
          </w:tcPr>
          <w:p>
            <w:pPr>
              <w:jc w:val="right"/>
              <w:ind w:right="80"/>
              <w:spacing w:after="0"/>
              <w:rPr>
                <w:sz w:val="20"/>
                <w:szCs w:val="20"/>
                <w:color w:val="auto"/>
              </w:rPr>
            </w:pPr>
            <w:r>
              <w:rPr>
                <w:rFonts w:ascii="Arial" w:cs="Arial" w:eastAsia="Arial" w:hAnsi="Arial"/>
                <w:sz w:val="15"/>
                <w:szCs w:val="15"/>
                <w:color w:val="auto"/>
              </w:rPr>
              <w:t>$ (50.4)</w:t>
            </w:r>
          </w:p>
        </w:tc>
        <w:tc>
          <w:tcPr>
            <w:tcW w:w="260" w:type="dxa"/>
            <w:vAlign w:val="bottom"/>
            <w:gridSpan w:val="2"/>
            <w:shd w:val="clear" w:color="auto" w:fill="CCEEFF"/>
          </w:tcPr>
          <w:p>
            <w:pPr>
              <w:ind w:left="100"/>
              <w:spacing w:after="0"/>
              <w:rPr>
                <w:sz w:val="20"/>
                <w:szCs w:val="20"/>
                <w:color w:val="auto"/>
              </w:rPr>
            </w:pPr>
            <w:r>
              <w:rPr>
                <w:rFonts w:ascii="Arial" w:cs="Arial" w:eastAsia="Arial" w:hAnsi="Arial"/>
                <w:sz w:val="15"/>
                <w:szCs w:val="15"/>
                <w:color w:val="auto"/>
              </w:rPr>
              <w:t>$</w:t>
            </w: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(41.1)</w:t>
            </w:r>
          </w:p>
        </w:tc>
        <w:tc>
          <w:tcPr>
            <w:tcW w:w="240" w:type="dxa"/>
            <w:vAlign w:val="bottom"/>
            <w:gridSpan w:val="2"/>
            <w:shd w:val="clear" w:color="auto" w:fill="CCEEFF"/>
          </w:tcPr>
          <w:p>
            <w:pPr>
              <w:ind w:left="100"/>
              <w:spacing w:after="0"/>
              <w:rPr>
                <w:sz w:val="20"/>
                <w:szCs w:val="20"/>
                <w:color w:val="auto"/>
              </w:rPr>
            </w:pPr>
            <w:r>
              <w:rPr>
                <w:rFonts w:ascii="Arial" w:cs="Arial" w:eastAsia="Arial" w:hAnsi="Arial"/>
                <w:sz w:val="15"/>
                <w:szCs w:val="15"/>
                <w:color w:val="auto"/>
              </w:rPr>
              <w:t>$</w:t>
            </w: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(20.2)</w:t>
            </w:r>
          </w:p>
        </w:tc>
        <w:tc>
          <w:tcPr>
            <w:tcW w:w="200" w:type="dxa"/>
            <w:vAlign w:val="bottom"/>
            <w:gridSpan w:val="2"/>
            <w:shd w:val="clear" w:color="auto" w:fill="CCEEFF"/>
          </w:tcPr>
          <w:p>
            <w:pPr>
              <w:ind w:left="100"/>
              <w:spacing w:after="0"/>
              <w:rPr>
                <w:sz w:val="20"/>
                <w:szCs w:val="20"/>
                <w:color w:val="auto"/>
              </w:rPr>
            </w:pPr>
            <w:r>
              <w:rPr>
                <w:rFonts w:ascii="Arial" w:cs="Arial" w:eastAsia="Arial" w:hAnsi="Arial"/>
                <w:sz w:val="15"/>
                <w:szCs w:val="15"/>
                <w:color w:val="auto"/>
                <w:w w:val="95"/>
              </w:rPr>
              <w:t>$</w:t>
            </w: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(33.4)</w:t>
            </w:r>
          </w:p>
        </w:tc>
        <w:tc>
          <w:tcPr>
            <w:tcW w:w="660" w:type="dxa"/>
            <w:vAlign w:val="bottom"/>
            <w:gridSpan w:val="3"/>
            <w:shd w:val="clear" w:color="auto" w:fill="CCEEFF"/>
          </w:tcPr>
          <w:p>
            <w:pPr>
              <w:jc w:val="right"/>
              <w:ind w:right="80"/>
              <w:spacing w:after="0"/>
              <w:rPr>
                <w:sz w:val="20"/>
                <w:szCs w:val="20"/>
                <w:color w:val="auto"/>
              </w:rPr>
            </w:pPr>
            <w:r>
              <w:rPr>
                <w:rFonts w:ascii="Arial" w:cs="Arial" w:eastAsia="Arial" w:hAnsi="Arial"/>
                <w:sz w:val="15"/>
                <w:szCs w:val="15"/>
                <w:color w:val="auto"/>
              </w:rPr>
              <w:t>$ (26.7)</w:t>
            </w:r>
          </w:p>
        </w:tc>
        <w:tc>
          <w:tcPr>
            <w:tcW w:w="240" w:type="dxa"/>
            <w:vAlign w:val="bottom"/>
            <w:gridSpan w:val="2"/>
            <w:shd w:val="clear" w:color="auto" w:fill="CCEEFF"/>
          </w:tcPr>
          <w:p>
            <w:pPr>
              <w:ind w:left="80"/>
              <w:spacing w:after="0"/>
              <w:rPr>
                <w:sz w:val="20"/>
                <w:szCs w:val="20"/>
                <w:color w:val="auto"/>
              </w:rPr>
            </w:pPr>
            <w:r>
              <w:rPr>
                <w:rFonts w:ascii="Arial" w:cs="Arial" w:eastAsia="Arial" w:hAnsi="Arial"/>
                <w:sz w:val="15"/>
                <w:szCs w:val="15"/>
                <w:color w:val="auto"/>
              </w:rPr>
              <w:t>$</w:t>
            </w: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(16.3)</w:t>
            </w:r>
          </w:p>
        </w:tc>
        <w:tc>
          <w:tcPr>
            <w:tcW w:w="240" w:type="dxa"/>
            <w:vAlign w:val="bottom"/>
            <w:gridSpan w:val="2"/>
            <w:shd w:val="clear" w:color="auto" w:fill="CCEEFF"/>
          </w:tcPr>
          <w:p>
            <w:pPr>
              <w:ind w:left="80"/>
              <w:spacing w:after="0"/>
              <w:rPr>
                <w:sz w:val="20"/>
                <w:szCs w:val="20"/>
                <w:color w:val="auto"/>
              </w:rPr>
            </w:pPr>
            <w:r>
              <w:rPr>
                <w:rFonts w:ascii="Arial" w:cs="Arial" w:eastAsia="Arial" w:hAnsi="Arial"/>
                <w:sz w:val="15"/>
                <w:szCs w:val="15"/>
                <w:color w:val="auto"/>
              </w:rPr>
              <w:t>$</w:t>
            </w: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(37.3)</w:t>
            </w:r>
          </w:p>
        </w:tc>
      </w:tr>
      <w:tr>
        <w:trPr>
          <w:trHeight w:val="20"/>
        </w:trPr>
        <w:tc>
          <w:tcPr>
            <w:tcW w:w="2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89"/>
        </w:trPr>
        <w:tc>
          <w:tcPr>
            <w:tcW w:w="2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jc w:val="right"/>
              <w:ind w:right="166"/>
              <w:spacing w:after="0"/>
              <w:rPr>
                <w:sz w:val="20"/>
                <w:szCs w:val="20"/>
                <w:color w:val="auto"/>
              </w:rPr>
            </w:pPr>
            <w:r>
              <w:rPr>
                <w:rFonts w:ascii="Arial" w:cs="Arial" w:eastAsia="Arial" w:hAnsi="Arial"/>
                <w:sz w:val="15"/>
                <w:szCs w:val="15"/>
                <w:color w:val="auto"/>
              </w:rPr>
              <w:t>80</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r>
    </w:tbl>
    <w:p>
      <w:pPr>
        <w:sectPr>
          <w:pgSz w:w="11900" w:h="16838" w:orient="portrait"/>
          <w:cols w:equalWidth="0" w:num="1">
            <w:col w:w="10320"/>
          </w:cols>
          <w:pgMar w:left="240" w:top="407" w:right="1339" w:bottom="1440" w:gutter="0" w:footer="0" w:header="0"/>
        </w:sectPr>
      </w:pPr>
    </w:p>
    <w:bookmarkStart w:id="87" w:name="page88"/>
    <w:bookmarkEnd w:id="87"/>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133350</wp:posOffset>
            </wp:positionH>
            <wp:positionV relativeFrom="page">
              <wp:posOffset>88900</wp:posOffset>
            </wp:positionV>
            <wp:extent cx="7308850" cy="342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308850" cy="34290"/>
                    </a:xfrm>
                    <a:prstGeom prst="rect">
                      <a:avLst/>
                    </a:prstGeom>
                    <a:noFill/>
                  </pic:spPr>
                </pic:pic>
              </a:graphicData>
            </a:graphic>
          </wp:anchor>
        </w:drawing>
      </w:r>
      <w:hyperlink w:anchor="page7">
        <w:r>
          <w:rPr>
            <w:rFonts w:ascii="Arial" w:cs="Arial" w:eastAsia="Arial" w:hAnsi="Arial"/>
            <w:sz w:val="15"/>
            <w:szCs w:val="15"/>
            <w:b w:val="1"/>
            <w:bCs w:val="1"/>
            <w:u w:val="single" w:color="auto"/>
            <w:color w:val="0000EE"/>
          </w:rPr>
          <w:t>Table of Contents</w:t>
        </w:r>
      </w:hyperlink>
    </w:p>
    <w:p>
      <w:pPr>
        <w:spacing w:after="0" w:line="255" w:lineRule="exact"/>
        <w:rPr>
          <w:sz w:val="20"/>
          <w:szCs w:val="20"/>
          <w:color w:val="auto"/>
        </w:rPr>
      </w:pPr>
    </w:p>
    <w:p>
      <w:pPr>
        <w:ind w:left="1380" w:hanging="268"/>
        <w:spacing w:after="0"/>
        <w:tabs>
          <w:tab w:leader="none" w:pos="1380" w:val="left"/>
        </w:tabs>
        <w:numPr>
          <w:ilvl w:val="0"/>
          <w:numId w:val="37"/>
        </w:numPr>
        <w:rPr>
          <w:rFonts w:ascii="Arial" w:cs="Arial" w:eastAsia="Arial" w:hAnsi="Arial"/>
          <w:sz w:val="10"/>
          <w:szCs w:val="10"/>
          <w:color w:val="auto"/>
        </w:rPr>
      </w:pPr>
      <w:r>
        <w:rPr>
          <w:rFonts w:ascii="Arial" w:cs="Arial" w:eastAsia="Arial" w:hAnsi="Arial"/>
          <w:sz w:val="12"/>
          <w:szCs w:val="12"/>
          <w:color w:val="auto"/>
        </w:rPr>
        <w:t>Includes stock-based compensation as follows:</w:t>
      </w:r>
    </w:p>
    <w:p>
      <w:pPr>
        <w:spacing w:after="0" w:line="185" w:lineRule="exact"/>
        <w:rPr>
          <w:sz w:val="20"/>
          <w:szCs w:val="20"/>
          <w:color w:val="auto"/>
        </w:rPr>
      </w:pPr>
    </w:p>
    <w:tbl>
      <w:tblPr>
        <w:tblLayout w:type="fixed"/>
        <w:tblInd w:w="1120" w:type="dxa"/>
        <w:tblCellMar>
          <w:top w:w="0" w:type="dxa"/>
          <w:left w:w="0" w:type="dxa"/>
          <w:bottom w:w="0" w:type="dxa"/>
          <w:right w:w="0" w:type="dxa"/>
        </w:tblCellMar>
      </w:tblPr>
      <w:tr>
        <w:trPr>
          <w:trHeight w:val="144"/>
        </w:trPr>
        <w:tc>
          <w:tcPr>
            <w:tcW w:w="20" w:type="dxa"/>
            <w:vAlign w:val="bottom"/>
          </w:tcPr>
          <w:p>
            <w:pPr>
              <w:spacing w:after="0"/>
              <w:rPr>
                <w:sz w:val="12"/>
                <w:szCs w:val="12"/>
                <w:color w:val="auto"/>
              </w:rPr>
            </w:pPr>
          </w:p>
        </w:tc>
        <w:tc>
          <w:tcPr>
            <w:tcW w:w="2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340" w:type="dxa"/>
            <w:vAlign w:val="bottom"/>
            <w:tcBorders>
              <w:bottom w:val="single" w:sz="8" w:color="auto"/>
            </w:tcBorders>
            <w:gridSpan w:val="4"/>
          </w:tcPr>
          <w:p>
            <w:pPr>
              <w:jc w:val="right"/>
              <w:ind w:right="74"/>
              <w:spacing w:after="0"/>
              <w:rPr>
                <w:sz w:val="20"/>
                <w:szCs w:val="20"/>
                <w:color w:val="auto"/>
              </w:rPr>
            </w:pPr>
            <w:r>
              <w:rPr>
                <w:rFonts w:ascii="Arial" w:cs="Arial" w:eastAsia="Arial" w:hAnsi="Arial"/>
                <w:sz w:val="12"/>
                <w:szCs w:val="12"/>
                <w:b w:val="1"/>
                <w:bCs w:val="1"/>
                <w:color w:val="auto"/>
                <w:w w:val="99"/>
              </w:rPr>
              <w:t>Three months ended</w:t>
            </w:r>
          </w:p>
        </w:tc>
        <w:tc>
          <w:tcPr>
            <w:tcW w:w="26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40" w:type="dxa"/>
            <w:vAlign w:val="bottom"/>
          </w:tcPr>
          <w:p>
            <w:pPr>
              <w:spacing w:after="0"/>
              <w:rPr>
                <w:sz w:val="12"/>
                <w:szCs w:val="12"/>
                <w:color w:val="auto"/>
              </w:rPr>
            </w:pPr>
          </w:p>
        </w:tc>
      </w:tr>
      <w:tr>
        <w:trPr>
          <w:trHeight w:val="96"/>
        </w:trPr>
        <w:tc>
          <w:tcPr>
            <w:tcW w:w="20" w:type="dxa"/>
            <w:vAlign w:val="bottom"/>
          </w:tcPr>
          <w:p>
            <w:pPr>
              <w:spacing w:after="0"/>
              <w:rPr>
                <w:sz w:val="8"/>
                <w:szCs w:val="8"/>
                <w:color w:val="auto"/>
              </w:rPr>
            </w:pPr>
          </w:p>
        </w:tc>
        <w:tc>
          <w:tcPr>
            <w:tcW w:w="2120" w:type="dxa"/>
            <w:vAlign w:val="bottom"/>
          </w:tcPr>
          <w:p>
            <w:pPr>
              <w:spacing w:after="0"/>
              <w:rPr>
                <w:sz w:val="8"/>
                <w:szCs w:val="8"/>
                <w:color w:val="auto"/>
              </w:rPr>
            </w:pPr>
          </w:p>
        </w:tc>
        <w:tc>
          <w:tcPr>
            <w:tcW w:w="420" w:type="dxa"/>
            <w:vAlign w:val="bottom"/>
          </w:tcPr>
          <w:p>
            <w:pPr>
              <w:spacing w:after="0"/>
              <w:rPr>
                <w:sz w:val="8"/>
                <w:szCs w:val="8"/>
                <w:color w:val="auto"/>
              </w:rPr>
            </w:pPr>
          </w:p>
        </w:tc>
        <w:tc>
          <w:tcPr>
            <w:tcW w:w="540" w:type="dxa"/>
            <w:vAlign w:val="bottom"/>
            <w:gridSpan w:val="2"/>
          </w:tcPr>
          <w:p>
            <w:pPr>
              <w:spacing w:after="0" w:line="96" w:lineRule="exact"/>
              <w:rPr>
                <w:sz w:val="20"/>
                <w:szCs w:val="20"/>
                <w:color w:val="auto"/>
              </w:rPr>
            </w:pPr>
            <w:r>
              <w:rPr>
                <w:rFonts w:ascii="Arial" w:cs="Arial" w:eastAsia="Arial" w:hAnsi="Arial"/>
                <w:sz w:val="11"/>
                <w:szCs w:val="11"/>
                <w:b w:val="1"/>
                <w:bCs w:val="1"/>
                <w:color w:val="auto"/>
              </w:rPr>
              <w:t>March 31,</w:t>
            </w:r>
          </w:p>
        </w:tc>
        <w:tc>
          <w:tcPr>
            <w:tcW w:w="680" w:type="dxa"/>
            <w:vAlign w:val="bottom"/>
            <w:gridSpan w:val="3"/>
          </w:tcPr>
          <w:p>
            <w:pPr>
              <w:ind w:left="260"/>
              <w:spacing w:after="0" w:line="96" w:lineRule="exact"/>
              <w:rPr>
                <w:sz w:val="20"/>
                <w:szCs w:val="20"/>
                <w:color w:val="auto"/>
              </w:rPr>
            </w:pPr>
            <w:r>
              <w:rPr>
                <w:rFonts w:ascii="Arial" w:cs="Arial" w:eastAsia="Arial" w:hAnsi="Arial"/>
                <w:sz w:val="11"/>
                <w:szCs w:val="11"/>
                <w:b w:val="1"/>
                <w:bCs w:val="1"/>
                <w:color w:val="auto"/>
                <w:w w:val="90"/>
              </w:rPr>
              <w:t>June 30,</w:t>
            </w:r>
          </w:p>
        </w:tc>
        <w:tc>
          <w:tcPr>
            <w:tcW w:w="1000" w:type="dxa"/>
            <w:vAlign w:val="bottom"/>
            <w:gridSpan w:val="3"/>
          </w:tcPr>
          <w:p>
            <w:pPr>
              <w:ind w:left="260"/>
              <w:spacing w:after="0" w:line="96" w:lineRule="exact"/>
              <w:rPr>
                <w:sz w:val="20"/>
                <w:szCs w:val="20"/>
                <w:color w:val="auto"/>
              </w:rPr>
            </w:pPr>
            <w:r>
              <w:rPr>
                <w:rFonts w:ascii="Arial" w:cs="Arial" w:eastAsia="Arial" w:hAnsi="Arial"/>
                <w:sz w:val="11"/>
                <w:szCs w:val="11"/>
                <w:b w:val="1"/>
                <w:bCs w:val="1"/>
                <w:color w:val="auto"/>
                <w:w w:val="95"/>
              </w:rPr>
              <w:t>September 30,</w:t>
            </w:r>
          </w:p>
        </w:tc>
        <w:tc>
          <w:tcPr>
            <w:tcW w:w="960" w:type="dxa"/>
            <w:vAlign w:val="bottom"/>
            <w:gridSpan w:val="3"/>
          </w:tcPr>
          <w:p>
            <w:pPr>
              <w:ind w:left="260"/>
              <w:spacing w:after="0" w:line="96" w:lineRule="exact"/>
              <w:rPr>
                <w:sz w:val="20"/>
                <w:szCs w:val="20"/>
                <w:color w:val="auto"/>
              </w:rPr>
            </w:pPr>
            <w:r>
              <w:rPr>
                <w:rFonts w:ascii="Arial" w:cs="Arial" w:eastAsia="Arial" w:hAnsi="Arial"/>
                <w:sz w:val="11"/>
                <w:szCs w:val="11"/>
                <w:b w:val="1"/>
                <w:bCs w:val="1"/>
                <w:color w:val="auto"/>
                <w:w w:val="94"/>
              </w:rPr>
              <w:t>December 31,</w:t>
            </w:r>
          </w:p>
        </w:tc>
        <w:tc>
          <w:tcPr>
            <w:tcW w:w="780" w:type="dxa"/>
            <w:vAlign w:val="bottom"/>
            <w:gridSpan w:val="3"/>
          </w:tcPr>
          <w:p>
            <w:pPr>
              <w:ind w:left="260"/>
              <w:spacing w:after="0" w:line="96" w:lineRule="exact"/>
              <w:rPr>
                <w:sz w:val="20"/>
                <w:szCs w:val="20"/>
                <w:color w:val="auto"/>
              </w:rPr>
            </w:pPr>
            <w:r>
              <w:rPr>
                <w:rFonts w:ascii="Arial" w:cs="Arial" w:eastAsia="Arial" w:hAnsi="Arial"/>
                <w:sz w:val="11"/>
                <w:szCs w:val="11"/>
                <w:b w:val="1"/>
                <w:bCs w:val="1"/>
                <w:color w:val="auto"/>
                <w:w w:val="98"/>
              </w:rPr>
              <w:t>March 31,</w:t>
            </w:r>
          </w:p>
        </w:tc>
        <w:tc>
          <w:tcPr>
            <w:tcW w:w="700" w:type="dxa"/>
            <w:vAlign w:val="bottom"/>
            <w:gridSpan w:val="3"/>
          </w:tcPr>
          <w:p>
            <w:pPr>
              <w:ind w:left="260"/>
              <w:spacing w:after="0" w:line="96" w:lineRule="exact"/>
              <w:rPr>
                <w:sz w:val="20"/>
                <w:szCs w:val="20"/>
                <w:color w:val="auto"/>
              </w:rPr>
            </w:pPr>
            <w:r>
              <w:rPr>
                <w:rFonts w:ascii="Arial" w:cs="Arial" w:eastAsia="Arial" w:hAnsi="Arial"/>
                <w:sz w:val="11"/>
                <w:szCs w:val="11"/>
                <w:b w:val="1"/>
                <w:bCs w:val="1"/>
                <w:color w:val="auto"/>
                <w:w w:val="95"/>
              </w:rPr>
              <w:t>June 30,</w:t>
            </w:r>
          </w:p>
        </w:tc>
        <w:tc>
          <w:tcPr>
            <w:tcW w:w="980" w:type="dxa"/>
            <w:vAlign w:val="bottom"/>
            <w:gridSpan w:val="3"/>
          </w:tcPr>
          <w:p>
            <w:pPr>
              <w:ind w:left="260"/>
              <w:spacing w:after="0" w:line="96" w:lineRule="exact"/>
              <w:rPr>
                <w:sz w:val="20"/>
                <w:szCs w:val="20"/>
                <w:color w:val="auto"/>
              </w:rPr>
            </w:pPr>
            <w:r>
              <w:rPr>
                <w:rFonts w:ascii="Arial" w:cs="Arial" w:eastAsia="Arial" w:hAnsi="Arial"/>
                <w:sz w:val="11"/>
                <w:szCs w:val="11"/>
                <w:b w:val="1"/>
                <w:bCs w:val="1"/>
                <w:color w:val="auto"/>
                <w:w w:val="93"/>
              </w:rPr>
              <w:t>September 30,</w:t>
            </w:r>
          </w:p>
        </w:tc>
        <w:tc>
          <w:tcPr>
            <w:tcW w:w="960" w:type="dxa"/>
            <w:vAlign w:val="bottom"/>
            <w:gridSpan w:val="3"/>
          </w:tcPr>
          <w:p>
            <w:pPr>
              <w:ind w:left="260"/>
              <w:spacing w:after="0" w:line="96" w:lineRule="exact"/>
              <w:rPr>
                <w:sz w:val="20"/>
                <w:szCs w:val="20"/>
                <w:color w:val="auto"/>
              </w:rPr>
            </w:pPr>
            <w:r>
              <w:rPr>
                <w:rFonts w:ascii="Arial" w:cs="Arial" w:eastAsia="Arial" w:hAnsi="Arial"/>
                <w:sz w:val="11"/>
                <w:szCs w:val="11"/>
                <w:b w:val="1"/>
                <w:bCs w:val="1"/>
                <w:color w:val="auto"/>
                <w:w w:val="94"/>
              </w:rPr>
              <w:t>December 31,</w:t>
            </w:r>
          </w:p>
        </w:tc>
        <w:tc>
          <w:tcPr>
            <w:tcW w:w="40" w:type="dxa"/>
            <w:vAlign w:val="bottom"/>
          </w:tcPr>
          <w:p>
            <w:pPr>
              <w:spacing w:after="0"/>
              <w:rPr>
                <w:sz w:val="8"/>
                <w:szCs w:val="8"/>
                <w:color w:val="auto"/>
              </w:rPr>
            </w:pPr>
          </w:p>
        </w:tc>
      </w:tr>
      <w:tr>
        <w:trPr>
          <w:trHeight w:val="144"/>
        </w:trPr>
        <w:tc>
          <w:tcPr>
            <w:tcW w:w="20" w:type="dxa"/>
            <w:vAlign w:val="bottom"/>
          </w:tcPr>
          <w:p>
            <w:pPr>
              <w:spacing w:after="0"/>
              <w:rPr>
                <w:sz w:val="12"/>
                <w:szCs w:val="12"/>
                <w:color w:val="auto"/>
              </w:rPr>
            </w:pPr>
          </w:p>
        </w:tc>
        <w:tc>
          <w:tcPr>
            <w:tcW w:w="2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jc w:val="right"/>
              <w:ind w:right="94"/>
              <w:spacing w:after="0"/>
              <w:rPr>
                <w:sz w:val="20"/>
                <w:szCs w:val="20"/>
                <w:color w:val="auto"/>
              </w:rPr>
            </w:pPr>
            <w:r>
              <w:rPr>
                <w:rFonts w:ascii="Arial" w:cs="Arial" w:eastAsia="Arial" w:hAnsi="Arial"/>
                <w:sz w:val="12"/>
                <w:szCs w:val="12"/>
                <w:b w:val="1"/>
                <w:bCs w:val="1"/>
                <w:color w:val="auto"/>
                <w:w w:val="89"/>
              </w:rPr>
              <w:t>2016</w:t>
            </w:r>
          </w:p>
        </w:tc>
        <w:tc>
          <w:tcPr>
            <w:tcW w:w="26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340" w:type="dxa"/>
            <w:vAlign w:val="bottom"/>
            <w:tcBorders>
              <w:bottom w:val="single" w:sz="8" w:color="auto"/>
            </w:tcBorders>
          </w:tcPr>
          <w:p>
            <w:pPr>
              <w:jc w:val="right"/>
              <w:ind w:right="34"/>
              <w:spacing w:after="0"/>
              <w:rPr>
                <w:sz w:val="20"/>
                <w:szCs w:val="20"/>
                <w:color w:val="auto"/>
              </w:rPr>
            </w:pPr>
            <w:r>
              <w:rPr>
                <w:rFonts w:ascii="Arial" w:cs="Arial" w:eastAsia="Arial" w:hAnsi="Arial"/>
                <w:sz w:val="12"/>
                <w:szCs w:val="12"/>
                <w:b w:val="1"/>
                <w:bCs w:val="1"/>
                <w:color w:val="auto"/>
                <w:w w:val="82"/>
              </w:rPr>
              <w:t>2016</w:t>
            </w:r>
          </w:p>
        </w:tc>
        <w:tc>
          <w:tcPr>
            <w:tcW w:w="26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94"/>
              <w:spacing w:after="0"/>
              <w:rPr>
                <w:sz w:val="20"/>
                <w:szCs w:val="20"/>
                <w:color w:val="auto"/>
              </w:rPr>
            </w:pPr>
            <w:r>
              <w:rPr>
                <w:rFonts w:ascii="Arial" w:cs="Arial" w:eastAsia="Arial" w:hAnsi="Arial"/>
                <w:sz w:val="12"/>
                <w:szCs w:val="12"/>
                <w:b w:val="1"/>
                <w:bCs w:val="1"/>
                <w:color w:val="auto"/>
              </w:rPr>
              <w:t>2016</w:t>
            </w:r>
          </w:p>
        </w:tc>
        <w:tc>
          <w:tcPr>
            <w:tcW w:w="26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74"/>
              <w:spacing w:after="0"/>
              <w:rPr>
                <w:sz w:val="20"/>
                <w:szCs w:val="20"/>
                <w:color w:val="auto"/>
              </w:rPr>
            </w:pPr>
            <w:r>
              <w:rPr>
                <w:rFonts w:ascii="Arial" w:cs="Arial" w:eastAsia="Arial" w:hAnsi="Arial"/>
                <w:sz w:val="12"/>
                <w:szCs w:val="12"/>
                <w:b w:val="1"/>
                <w:bCs w:val="1"/>
                <w:color w:val="auto"/>
              </w:rPr>
              <w:t>2016</w:t>
            </w:r>
          </w:p>
        </w:tc>
        <w:tc>
          <w:tcPr>
            <w:tcW w:w="26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jc w:val="right"/>
              <w:ind w:right="74"/>
              <w:spacing w:after="0"/>
              <w:rPr>
                <w:sz w:val="20"/>
                <w:szCs w:val="20"/>
                <w:color w:val="auto"/>
              </w:rPr>
            </w:pPr>
            <w:r>
              <w:rPr>
                <w:rFonts w:ascii="Arial" w:cs="Arial" w:eastAsia="Arial" w:hAnsi="Arial"/>
                <w:sz w:val="12"/>
                <w:szCs w:val="12"/>
                <w:b w:val="1"/>
                <w:bCs w:val="1"/>
                <w:color w:val="auto"/>
                <w:w w:val="97"/>
              </w:rPr>
              <w:t>2017</w:t>
            </w:r>
          </w:p>
        </w:tc>
        <w:tc>
          <w:tcPr>
            <w:tcW w:w="26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360" w:type="dxa"/>
            <w:vAlign w:val="bottom"/>
            <w:tcBorders>
              <w:bottom w:val="single" w:sz="8" w:color="auto"/>
            </w:tcBorders>
          </w:tcPr>
          <w:p>
            <w:pPr>
              <w:jc w:val="right"/>
              <w:ind w:right="34"/>
              <w:spacing w:after="0"/>
              <w:rPr>
                <w:sz w:val="20"/>
                <w:szCs w:val="20"/>
                <w:color w:val="auto"/>
              </w:rPr>
            </w:pPr>
            <w:r>
              <w:rPr>
                <w:rFonts w:ascii="Arial" w:cs="Arial" w:eastAsia="Arial" w:hAnsi="Arial"/>
                <w:sz w:val="12"/>
                <w:szCs w:val="12"/>
                <w:b w:val="1"/>
                <w:bCs w:val="1"/>
                <w:color w:val="auto"/>
                <w:w w:val="89"/>
              </w:rPr>
              <w:t>2017</w:t>
            </w:r>
          </w:p>
        </w:tc>
        <w:tc>
          <w:tcPr>
            <w:tcW w:w="26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74"/>
              <w:spacing w:after="0"/>
              <w:rPr>
                <w:sz w:val="20"/>
                <w:szCs w:val="20"/>
                <w:color w:val="auto"/>
              </w:rPr>
            </w:pPr>
            <w:r>
              <w:rPr>
                <w:rFonts w:ascii="Arial" w:cs="Arial" w:eastAsia="Arial" w:hAnsi="Arial"/>
                <w:sz w:val="12"/>
                <w:szCs w:val="12"/>
                <w:b w:val="1"/>
                <w:bCs w:val="1"/>
                <w:color w:val="auto"/>
              </w:rPr>
              <w:t>2017</w:t>
            </w:r>
          </w:p>
        </w:tc>
        <w:tc>
          <w:tcPr>
            <w:tcW w:w="26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54"/>
              <w:spacing w:after="0"/>
              <w:rPr>
                <w:sz w:val="20"/>
                <w:szCs w:val="20"/>
                <w:color w:val="auto"/>
              </w:rPr>
            </w:pPr>
            <w:r>
              <w:rPr>
                <w:rFonts w:ascii="Arial" w:cs="Arial" w:eastAsia="Arial" w:hAnsi="Arial"/>
                <w:sz w:val="12"/>
                <w:szCs w:val="12"/>
                <w:b w:val="1"/>
                <w:bCs w:val="1"/>
                <w:color w:val="auto"/>
              </w:rPr>
              <w:t>2017</w:t>
            </w:r>
          </w:p>
        </w:tc>
        <w:tc>
          <w:tcPr>
            <w:tcW w:w="40" w:type="dxa"/>
            <w:vAlign w:val="bottom"/>
          </w:tcPr>
          <w:p>
            <w:pPr>
              <w:spacing w:after="0"/>
              <w:rPr>
                <w:sz w:val="12"/>
                <w:szCs w:val="12"/>
                <w:color w:val="auto"/>
              </w:rPr>
            </w:pPr>
          </w:p>
        </w:tc>
      </w:tr>
      <w:tr>
        <w:trPr>
          <w:trHeight w:val="115"/>
        </w:trPr>
        <w:tc>
          <w:tcPr>
            <w:tcW w:w="20" w:type="dxa"/>
            <w:vAlign w:val="bottom"/>
          </w:tcPr>
          <w:p>
            <w:pPr>
              <w:spacing w:after="0"/>
              <w:rPr>
                <w:sz w:val="10"/>
                <w:szCs w:val="10"/>
                <w:color w:val="auto"/>
              </w:rPr>
            </w:pPr>
          </w:p>
        </w:tc>
        <w:tc>
          <w:tcPr>
            <w:tcW w:w="21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700" w:type="dxa"/>
            <w:vAlign w:val="bottom"/>
            <w:gridSpan w:val="2"/>
          </w:tcPr>
          <w:p>
            <w:pPr>
              <w:jc w:val="right"/>
              <w:spacing w:after="0" w:line="115" w:lineRule="exact"/>
              <w:rPr>
                <w:sz w:val="20"/>
                <w:szCs w:val="20"/>
                <w:color w:val="auto"/>
              </w:rPr>
            </w:pPr>
            <w:r>
              <w:rPr>
                <w:rFonts w:ascii="Arial" w:cs="Arial" w:eastAsia="Arial" w:hAnsi="Arial"/>
                <w:sz w:val="12"/>
                <w:szCs w:val="12"/>
                <w:i w:val="1"/>
                <w:iCs w:val="1"/>
                <w:color w:val="auto"/>
              </w:rPr>
              <w:t>(In millions)</w:t>
            </w: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0" w:type="dxa"/>
            <w:vAlign w:val="bottom"/>
          </w:tcPr>
          <w:p>
            <w:pPr>
              <w:spacing w:after="0"/>
              <w:rPr>
                <w:sz w:val="10"/>
                <w:szCs w:val="10"/>
                <w:color w:val="auto"/>
              </w:rPr>
            </w:pPr>
          </w:p>
        </w:tc>
      </w:tr>
      <w:tr>
        <w:trPr>
          <w:trHeight w:val="169"/>
        </w:trPr>
        <w:tc>
          <w:tcPr>
            <w:tcW w:w="20" w:type="dxa"/>
            <w:vAlign w:val="bottom"/>
          </w:tcPr>
          <w:p>
            <w:pPr>
              <w:spacing w:after="0"/>
              <w:rPr>
                <w:sz w:val="14"/>
                <w:szCs w:val="14"/>
                <w:color w:val="auto"/>
              </w:rPr>
            </w:pPr>
          </w:p>
        </w:tc>
        <w:tc>
          <w:tcPr>
            <w:tcW w:w="2120" w:type="dxa"/>
            <w:vAlign w:val="bottom"/>
            <w:shd w:val="clear" w:color="auto" w:fill="CCEEFF"/>
          </w:tcPr>
          <w:p>
            <w:pPr>
              <w:ind w:left="240"/>
              <w:spacing w:after="0"/>
              <w:rPr>
                <w:sz w:val="20"/>
                <w:szCs w:val="20"/>
                <w:color w:val="auto"/>
              </w:rPr>
            </w:pPr>
            <w:r>
              <w:rPr>
                <w:rFonts w:ascii="Arial" w:cs="Arial" w:eastAsia="Arial" w:hAnsi="Arial"/>
                <w:sz w:val="14"/>
                <w:szCs w:val="14"/>
                <w:color w:val="auto"/>
              </w:rPr>
              <w:t>Cost of revenue</w:t>
            </w:r>
          </w:p>
        </w:tc>
        <w:tc>
          <w:tcPr>
            <w:tcW w:w="540" w:type="dxa"/>
            <w:vAlign w:val="bottom"/>
            <w:gridSpan w:val="2"/>
            <w:shd w:val="clear" w:color="auto" w:fill="CCEEFF"/>
          </w:tcPr>
          <w:p>
            <w:pPr>
              <w:ind w:left="420"/>
              <w:spacing w:after="0"/>
              <w:rPr>
                <w:sz w:val="20"/>
                <w:szCs w:val="20"/>
                <w:color w:val="auto"/>
              </w:rPr>
            </w:pPr>
            <w:r>
              <w:rPr>
                <w:rFonts w:ascii="Arial" w:cs="Arial" w:eastAsia="Arial" w:hAnsi="Arial"/>
                <w:sz w:val="14"/>
                <w:szCs w:val="14"/>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w:t>
            </w:r>
          </w:p>
        </w:tc>
        <w:tc>
          <w:tcPr>
            <w:tcW w:w="340" w:type="dxa"/>
            <w:vAlign w:val="bottom"/>
            <w:gridSpan w:val="2"/>
            <w:shd w:val="clear" w:color="auto" w:fill="CCEEFF"/>
          </w:tcPr>
          <w:p>
            <w:pPr>
              <w:ind w:left="260"/>
              <w:spacing w:after="0"/>
              <w:rPr>
                <w:sz w:val="20"/>
                <w:szCs w:val="20"/>
                <w:color w:val="auto"/>
              </w:rPr>
            </w:pPr>
            <w:r>
              <w:rPr>
                <w:rFonts w:ascii="Arial" w:cs="Arial" w:eastAsia="Arial" w:hAnsi="Arial"/>
                <w:sz w:val="14"/>
                <w:szCs w:val="14"/>
                <w:color w:val="auto"/>
                <w:w w:val="76"/>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w:t>
            </w:r>
          </w:p>
        </w:tc>
        <w:tc>
          <w:tcPr>
            <w:tcW w:w="420" w:type="dxa"/>
            <w:vAlign w:val="bottom"/>
            <w:gridSpan w:val="2"/>
            <w:shd w:val="clear" w:color="auto" w:fill="CCEEFF"/>
          </w:tcPr>
          <w:p>
            <w:pPr>
              <w:ind w:left="260"/>
              <w:spacing w:after="0"/>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w:t>
            </w:r>
          </w:p>
        </w:tc>
        <w:tc>
          <w:tcPr>
            <w:tcW w:w="400" w:type="dxa"/>
            <w:vAlign w:val="bottom"/>
            <w:gridSpan w:val="2"/>
            <w:shd w:val="clear" w:color="auto" w:fill="CCEEFF"/>
          </w:tcPr>
          <w:p>
            <w:pPr>
              <w:ind w:left="260"/>
              <w:spacing w:after="0"/>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w:t>
            </w:r>
          </w:p>
        </w:tc>
        <w:tc>
          <w:tcPr>
            <w:tcW w:w="360" w:type="dxa"/>
            <w:vAlign w:val="bottom"/>
            <w:gridSpan w:val="2"/>
            <w:shd w:val="clear" w:color="auto" w:fill="CCEEFF"/>
          </w:tcPr>
          <w:p>
            <w:pPr>
              <w:ind w:left="260"/>
              <w:spacing w:after="0"/>
              <w:rPr>
                <w:sz w:val="20"/>
                <w:szCs w:val="20"/>
                <w:color w:val="auto"/>
              </w:rPr>
            </w:pPr>
            <w:r>
              <w:rPr>
                <w:rFonts w:ascii="Arial" w:cs="Arial" w:eastAsia="Arial" w:hAnsi="Arial"/>
                <w:sz w:val="14"/>
                <w:szCs w:val="14"/>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w:t>
            </w:r>
          </w:p>
        </w:tc>
        <w:tc>
          <w:tcPr>
            <w:tcW w:w="340" w:type="dxa"/>
            <w:vAlign w:val="bottom"/>
            <w:gridSpan w:val="2"/>
            <w:shd w:val="clear" w:color="auto" w:fill="CCEEFF"/>
          </w:tcPr>
          <w:p>
            <w:pPr>
              <w:ind w:left="260"/>
              <w:spacing w:after="0"/>
              <w:rPr>
                <w:sz w:val="20"/>
                <w:szCs w:val="20"/>
                <w:color w:val="auto"/>
              </w:rPr>
            </w:pPr>
            <w:r>
              <w:rPr>
                <w:rFonts w:ascii="Arial" w:cs="Arial" w:eastAsia="Arial" w:hAnsi="Arial"/>
                <w:sz w:val="14"/>
                <w:szCs w:val="14"/>
                <w:color w:val="auto"/>
                <w:w w:val="76"/>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w:t>
            </w:r>
          </w:p>
        </w:tc>
        <w:tc>
          <w:tcPr>
            <w:tcW w:w="400" w:type="dxa"/>
            <w:vAlign w:val="bottom"/>
            <w:gridSpan w:val="2"/>
            <w:shd w:val="clear" w:color="auto" w:fill="CCEEFF"/>
          </w:tcPr>
          <w:p>
            <w:pPr>
              <w:ind w:left="260"/>
              <w:spacing w:after="0"/>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w:t>
            </w:r>
          </w:p>
        </w:tc>
        <w:tc>
          <w:tcPr>
            <w:tcW w:w="420" w:type="dxa"/>
            <w:vAlign w:val="bottom"/>
            <w:gridSpan w:val="2"/>
            <w:shd w:val="clear" w:color="auto" w:fill="CCEEFF"/>
          </w:tcPr>
          <w:p>
            <w:pPr>
              <w:ind w:left="260"/>
              <w:spacing w:after="0"/>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w:t>
            </w:r>
          </w:p>
        </w:tc>
        <w:tc>
          <w:tcPr>
            <w:tcW w:w="40" w:type="dxa"/>
            <w:vAlign w:val="bottom"/>
            <w:shd w:val="clear" w:color="auto" w:fill="CCEEFF"/>
          </w:tcPr>
          <w:p>
            <w:pPr>
              <w:spacing w:after="0"/>
              <w:rPr>
                <w:sz w:val="14"/>
                <w:szCs w:val="14"/>
                <w:color w:val="auto"/>
              </w:rPr>
            </w:pPr>
          </w:p>
        </w:tc>
      </w:tr>
      <w:tr>
        <w:trPr>
          <w:trHeight w:val="169"/>
        </w:trPr>
        <w:tc>
          <w:tcPr>
            <w:tcW w:w="20" w:type="dxa"/>
            <w:vAlign w:val="bottom"/>
          </w:tcPr>
          <w:p>
            <w:pPr>
              <w:spacing w:after="0"/>
              <w:rPr>
                <w:sz w:val="14"/>
                <w:szCs w:val="14"/>
                <w:color w:val="auto"/>
              </w:rPr>
            </w:pPr>
          </w:p>
        </w:tc>
        <w:tc>
          <w:tcPr>
            <w:tcW w:w="2120" w:type="dxa"/>
            <w:vAlign w:val="bottom"/>
          </w:tcPr>
          <w:p>
            <w:pPr>
              <w:ind w:left="240"/>
              <w:spacing w:after="0"/>
              <w:rPr>
                <w:sz w:val="20"/>
                <w:szCs w:val="20"/>
                <w:color w:val="auto"/>
              </w:rPr>
            </w:pPr>
            <w:r>
              <w:rPr>
                <w:rFonts w:ascii="Arial" w:cs="Arial" w:eastAsia="Arial" w:hAnsi="Arial"/>
                <w:sz w:val="14"/>
                <w:szCs w:val="14"/>
                <w:color w:val="auto"/>
              </w:rPr>
              <w:t>Research and development</w:t>
            </w: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rPr>
              <w:t>14.5</w:t>
            </w: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jc w:val="right"/>
              <w:spacing w:after="0"/>
              <w:rPr>
                <w:sz w:val="20"/>
                <w:szCs w:val="20"/>
                <w:color w:val="auto"/>
              </w:rPr>
            </w:pPr>
            <w:r>
              <w:rPr>
                <w:rFonts w:ascii="Arial" w:cs="Arial" w:eastAsia="Arial" w:hAnsi="Arial"/>
                <w:sz w:val="14"/>
                <w:szCs w:val="14"/>
                <w:color w:val="auto"/>
              </w:rPr>
              <w:t>19.0</w:t>
            </w: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19.3</w:t>
            </w: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19.9</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rPr>
              <w:t>21.8</w:t>
            </w: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jc w:val="right"/>
              <w:spacing w:after="0"/>
              <w:rPr>
                <w:sz w:val="20"/>
                <w:szCs w:val="20"/>
                <w:color w:val="auto"/>
              </w:rPr>
            </w:pPr>
            <w:r>
              <w:rPr>
                <w:rFonts w:ascii="Arial" w:cs="Arial" w:eastAsia="Arial" w:hAnsi="Arial"/>
                <w:sz w:val="14"/>
                <w:szCs w:val="14"/>
                <w:color w:val="auto"/>
              </w:rPr>
              <w:t>21.7</w:t>
            </w: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22.9</w:t>
            </w: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26.7</w:t>
            </w:r>
          </w:p>
        </w:tc>
        <w:tc>
          <w:tcPr>
            <w:tcW w:w="40" w:type="dxa"/>
            <w:vAlign w:val="bottom"/>
          </w:tcPr>
          <w:p>
            <w:pPr>
              <w:spacing w:after="0"/>
              <w:rPr>
                <w:sz w:val="14"/>
                <w:szCs w:val="14"/>
                <w:color w:val="auto"/>
              </w:rPr>
            </w:pPr>
          </w:p>
        </w:tc>
      </w:tr>
      <w:tr>
        <w:trPr>
          <w:trHeight w:val="169"/>
        </w:trPr>
        <w:tc>
          <w:tcPr>
            <w:tcW w:w="20" w:type="dxa"/>
            <w:vAlign w:val="bottom"/>
          </w:tcPr>
          <w:p>
            <w:pPr>
              <w:spacing w:after="0"/>
              <w:rPr>
                <w:sz w:val="14"/>
                <w:szCs w:val="14"/>
                <w:color w:val="auto"/>
              </w:rPr>
            </w:pPr>
          </w:p>
        </w:tc>
        <w:tc>
          <w:tcPr>
            <w:tcW w:w="2120" w:type="dxa"/>
            <w:vAlign w:val="bottom"/>
            <w:shd w:val="clear" w:color="auto" w:fill="CCEEFF"/>
          </w:tcPr>
          <w:p>
            <w:pPr>
              <w:ind w:left="240"/>
              <w:spacing w:after="0" w:line="169" w:lineRule="exact"/>
              <w:rPr>
                <w:sz w:val="20"/>
                <w:szCs w:val="20"/>
                <w:color w:val="auto"/>
              </w:rPr>
            </w:pPr>
            <w:r>
              <w:rPr>
                <w:rFonts w:ascii="Arial" w:cs="Arial" w:eastAsia="Arial" w:hAnsi="Arial"/>
                <w:sz w:val="12"/>
                <w:szCs w:val="12"/>
                <w:color w:val="auto"/>
              </w:rPr>
              <w:t>Sales and marketing</w:t>
            </w:r>
            <w:r>
              <w:rPr>
                <w:rFonts w:ascii="Arial" w:cs="Arial" w:eastAsia="Arial" w:hAnsi="Arial"/>
                <w:sz w:val="19"/>
                <w:szCs w:val="19"/>
                <w:color w:val="auto"/>
                <w:vertAlign w:val="superscript"/>
              </w:rPr>
              <w:t>(a)</w:t>
            </w:r>
          </w:p>
        </w:tc>
        <w:tc>
          <w:tcPr>
            <w:tcW w:w="4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24.4</w:t>
            </w:r>
          </w:p>
        </w:tc>
        <w:tc>
          <w:tcPr>
            <w:tcW w:w="2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6.6</w:t>
            </w:r>
          </w:p>
        </w:tc>
        <w:tc>
          <w:tcPr>
            <w:tcW w:w="2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6.7</w:t>
            </w:r>
          </w:p>
        </w:tc>
        <w:tc>
          <w:tcPr>
            <w:tcW w:w="2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6.9</w:t>
            </w:r>
          </w:p>
        </w:tc>
        <w:tc>
          <w:tcPr>
            <w:tcW w:w="2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7.7</w:t>
            </w:r>
          </w:p>
        </w:tc>
        <w:tc>
          <w:tcPr>
            <w:tcW w:w="2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7.7</w:t>
            </w:r>
          </w:p>
        </w:tc>
        <w:tc>
          <w:tcPr>
            <w:tcW w:w="2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7.5</w:t>
            </w:r>
          </w:p>
        </w:tc>
        <w:tc>
          <w:tcPr>
            <w:tcW w:w="2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10.8</w:t>
            </w:r>
          </w:p>
        </w:tc>
        <w:tc>
          <w:tcPr>
            <w:tcW w:w="40" w:type="dxa"/>
            <w:vAlign w:val="bottom"/>
            <w:shd w:val="clear" w:color="auto" w:fill="CCEEFF"/>
          </w:tcPr>
          <w:p>
            <w:pPr>
              <w:spacing w:after="0"/>
              <w:rPr>
                <w:sz w:val="14"/>
                <w:szCs w:val="14"/>
                <w:color w:val="auto"/>
              </w:rPr>
            </w:pPr>
          </w:p>
        </w:tc>
      </w:tr>
      <w:tr>
        <w:trPr>
          <w:trHeight w:val="172"/>
        </w:trPr>
        <w:tc>
          <w:tcPr>
            <w:tcW w:w="20" w:type="dxa"/>
            <w:vAlign w:val="bottom"/>
          </w:tcPr>
          <w:p>
            <w:pPr>
              <w:spacing w:after="0"/>
              <w:rPr>
                <w:sz w:val="14"/>
                <w:szCs w:val="14"/>
                <w:color w:val="auto"/>
              </w:rPr>
            </w:pPr>
          </w:p>
        </w:tc>
        <w:tc>
          <w:tcPr>
            <w:tcW w:w="2120" w:type="dxa"/>
            <w:vAlign w:val="bottom"/>
          </w:tcPr>
          <w:p>
            <w:pPr>
              <w:ind w:left="240"/>
              <w:spacing w:after="0"/>
              <w:rPr>
                <w:sz w:val="20"/>
                <w:szCs w:val="20"/>
                <w:color w:val="auto"/>
              </w:rPr>
            </w:pPr>
            <w:r>
              <w:rPr>
                <w:rFonts w:ascii="Arial" w:cs="Arial" w:eastAsia="Arial" w:hAnsi="Arial"/>
                <w:sz w:val="14"/>
                <w:szCs w:val="14"/>
                <w:color w:val="auto"/>
              </w:rPr>
              <w:t>General and administrative</w:t>
            </w:r>
          </w:p>
        </w:tc>
        <w:tc>
          <w:tcPr>
            <w:tcW w:w="4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3.5</w:t>
            </w:r>
          </w:p>
        </w:tc>
        <w:tc>
          <w:tcPr>
            <w:tcW w:w="2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4.7</w:t>
            </w:r>
          </w:p>
        </w:tc>
        <w:tc>
          <w:tcPr>
            <w:tcW w:w="2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9.0</w:t>
            </w:r>
          </w:p>
        </w:tc>
        <w:tc>
          <w:tcPr>
            <w:tcW w:w="2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4.9</w:t>
            </w:r>
          </w:p>
        </w:tc>
        <w:tc>
          <w:tcPr>
            <w:tcW w:w="2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6.2</w:t>
            </w:r>
          </w:p>
        </w:tc>
        <w:tc>
          <w:tcPr>
            <w:tcW w:w="2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6.0</w:t>
            </w:r>
          </w:p>
        </w:tc>
        <w:tc>
          <w:tcPr>
            <w:tcW w:w="2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6.4</w:t>
            </w:r>
          </w:p>
        </w:tc>
        <w:tc>
          <w:tcPr>
            <w:tcW w:w="2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7.0</w:t>
            </w:r>
          </w:p>
        </w:tc>
        <w:tc>
          <w:tcPr>
            <w:tcW w:w="40" w:type="dxa"/>
            <w:vAlign w:val="bottom"/>
          </w:tcPr>
          <w:p>
            <w:pPr>
              <w:spacing w:after="0"/>
              <w:rPr>
                <w:sz w:val="14"/>
                <w:szCs w:val="14"/>
                <w:color w:val="auto"/>
              </w:rPr>
            </w:pPr>
          </w:p>
        </w:tc>
      </w:tr>
      <w:tr>
        <w:trPr>
          <w:trHeight w:val="169"/>
        </w:trPr>
        <w:tc>
          <w:tcPr>
            <w:tcW w:w="20" w:type="dxa"/>
            <w:vAlign w:val="bottom"/>
          </w:tcPr>
          <w:p>
            <w:pPr>
              <w:spacing w:after="0"/>
              <w:rPr>
                <w:sz w:val="14"/>
                <w:szCs w:val="14"/>
                <w:color w:val="auto"/>
              </w:rPr>
            </w:pPr>
          </w:p>
        </w:tc>
        <w:tc>
          <w:tcPr>
            <w:tcW w:w="2120" w:type="dxa"/>
            <w:vAlign w:val="bottom"/>
            <w:shd w:val="clear" w:color="auto" w:fill="CCEEFF"/>
          </w:tcPr>
          <w:p>
            <w:pPr>
              <w:spacing w:after="0"/>
              <w:rPr>
                <w:sz w:val="20"/>
                <w:szCs w:val="20"/>
                <w:color w:val="auto"/>
              </w:rPr>
            </w:pPr>
            <w:r>
              <w:rPr>
                <w:rFonts w:ascii="Arial" w:cs="Arial" w:eastAsia="Arial" w:hAnsi="Arial"/>
                <w:sz w:val="14"/>
                <w:szCs w:val="14"/>
                <w:color w:val="auto"/>
              </w:rPr>
              <w:t>Total stock-based compensation</w:t>
            </w:r>
          </w:p>
        </w:tc>
        <w:tc>
          <w:tcPr>
            <w:tcW w:w="540" w:type="dxa"/>
            <w:vAlign w:val="bottom"/>
            <w:gridSpan w:val="2"/>
            <w:shd w:val="clear" w:color="auto" w:fill="CCEEFF"/>
          </w:tcPr>
          <w:p>
            <w:pPr>
              <w:ind w:left="420"/>
              <w:spacing w:after="0"/>
              <w:rPr>
                <w:sz w:val="20"/>
                <w:szCs w:val="20"/>
                <w:color w:val="auto"/>
              </w:rPr>
            </w:pPr>
            <w:r>
              <w:rPr>
                <w:rFonts w:ascii="Arial" w:cs="Arial" w:eastAsia="Arial" w:hAnsi="Arial"/>
                <w:sz w:val="14"/>
                <w:szCs w:val="14"/>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43.9</w:t>
            </w:r>
          </w:p>
        </w:tc>
        <w:tc>
          <w:tcPr>
            <w:tcW w:w="340" w:type="dxa"/>
            <w:vAlign w:val="bottom"/>
            <w:gridSpan w:val="2"/>
            <w:shd w:val="clear" w:color="auto" w:fill="CCEEFF"/>
          </w:tcPr>
          <w:p>
            <w:pPr>
              <w:ind w:left="260"/>
              <w:spacing w:after="0"/>
              <w:rPr>
                <w:sz w:val="20"/>
                <w:szCs w:val="20"/>
                <w:color w:val="auto"/>
              </w:rPr>
            </w:pPr>
            <w:r>
              <w:rPr>
                <w:rFonts w:ascii="Arial" w:cs="Arial" w:eastAsia="Arial" w:hAnsi="Arial"/>
                <w:sz w:val="14"/>
                <w:szCs w:val="14"/>
                <w:color w:val="auto"/>
                <w:w w:val="76"/>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32.4</w:t>
            </w:r>
          </w:p>
        </w:tc>
        <w:tc>
          <w:tcPr>
            <w:tcW w:w="420" w:type="dxa"/>
            <w:vAlign w:val="bottom"/>
            <w:gridSpan w:val="2"/>
            <w:shd w:val="clear" w:color="auto" w:fill="CCEEFF"/>
          </w:tcPr>
          <w:p>
            <w:pPr>
              <w:ind w:left="260"/>
              <w:spacing w:after="0"/>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37.3</w:t>
            </w:r>
          </w:p>
        </w:tc>
        <w:tc>
          <w:tcPr>
            <w:tcW w:w="400" w:type="dxa"/>
            <w:vAlign w:val="bottom"/>
            <w:gridSpan w:val="2"/>
            <w:shd w:val="clear" w:color="auto" w:fill="CCEEFF"/>
          </w:tcPr>
          <w:p>
            <w:pPr>
              <w:ind w:left="260"/>
              <w:spacing w:after="0"/>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34.0</w:t>
            </w:r>
          </w:p>
        </w:tc>
        <w:tc>
          <w:tcPr>
            <w:tcW w:w="360" w:type="dxa"/>
            <w:vAlign w:val="bottom"/>
            <w:gridSpan w:val="2"/>
            <w:shd w:val="clear" w:color="auto" w:fill="CCEEFF"/>
          </w:tcPr>
          <w:p>
            <w:pPr>
              <w:ind w:left="260"/>
              <w:spacing w:after="0"/>
              <w:rPr>
                <w:sz w:val="20"/>
                <w:szCs w:val="20"/>
                <w:color w:val="auto"/>
              </w:rPr>
            </w:pPr>
            <w:r>
              <w:rPr>
                <w:rFonts w:ascii="Arial" w:cs="Arial" w:eastAsia="Arial" w:hAnsi="Arial"/>
                <w:sz w:val="14"/>
                <w:szCs w:val="14"/>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38.8</w:t>
            </w:r>
          </w:p>
        </w:tc>
        <w:tc>
          <w:tcPr>
            <w:tcW w:w="340" w:type="dxa"/>
            <w:vAlign w:val="bottom"/>
            <w:gridSpan w:val="2"/>
            <w:shd w:val="clear" w:color="auto" w:fill="CCEEFF"/>
          </w:tcPr>
          <w:p>
            <w:pPr>
              <w:ind w:left="260"/>
              <w:spacing w:after="0"/>
              <w:rPr>
                <w:sz w:val="20"/>
                <w:szCs w:val="20"/>
                <w:color w:val="auto"/>
              </w:rPr>
            </w:pPr>
            <w:r>
              <w:rPr>
                <w:rFonts w:ascii="Arial" w:cs="Arial" w:eastAsia="Arial" w:hAnsi="Arial"/>
                <w:sz w:val="14"/>
                <w:szCs w:val="14"/>
                <w:color w:val="auto"/>
                <w:w w:val="76"/>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38.7</w:t>
            </w:r>
          </w:p>
        </w:tc>
        <w:tc>
          <w:tcPr>
            <w:tcW w:w="400" w:type="dxa"/>
            <w:vAlign w:val="bottom"/>
            <w:gridSpan w:val="2"/>
            <w:shd w:val="clear" w:color="auto" w:fill="CCEEFF"/>
          </w:tcPr>
          <w:p>
            <w:pPr>
              <w:ind w:left="260"/>
              <w:spacing w:after="0"/>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39.7</w:t>
            </w:r>
          </w:p>
        </w:tc>
        <w:tc>
          <w:tcPr>
            <w:tcW w:w="420" w:type="dxa"/>
            <w:vAlign w:val="bottom"/>
            <w:gridSpan w:val="2"/>
            <w:shd w:val="clear" w:color="auto" w:fill="CCEEFF"/>
          </w:tcPr>
          <w:p>
            <w:pPr>
              <w:ind w:left="260"/>
              <w:spacing w:after="0"/>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47.4</w:t>
            </w:r>
          </w:p>
        </w:tc>
        <w:tc>
          <w:tcPr>
            <w:tcW w:w="40" w:type="dxa"/>
            <w:vAlign w:val="bottom"/>
            <w:shd w:val="clear" w:color="auto" w:fill="CCEEFF"/>
          </w:tcPr>
          <w:p>
            <w:pPr>
              <w:spacing w:after="0"/>
              <w:rPr>
                <w:sz w:val="14"/>
                <w:szCs w:val="14"/>
                <w:color w:val="auto"/>
              </w:rPr>
            </w:pPr>
          </w:p>
        </w:tc>
      </w:tr>
      <w:tr>
        <w:trPr>
          <w:trHeight w:val="20"/>
        </w:trPr>
        <w:tc>
          <w:tcPr>
            <w:tcW w:w="2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199" w:lineRule="exact"/>
        <w:rPr>
          <w:sz w:val="20"/>
          <w:szCs w:val="20"/>
          <w:color w:val="auto"/>
        </w:rPr>
      </w:pPr>
    </w:p>
    <w:p>
      <w:pPr>
        <w:ind w:left="1380" w:right="280" w:hanging="268"/>
        <w:spacing w:after="0" w:line="242" w:lineRule="auto"/>
        <w:tabs>
          <w:tab w:leader="none" w:pos="1380" w:val="left"/>
        </w:tabs>
        <w:numPr>
          <w:ilvl w:val="0"/>
          <w:numId w:val="38"/>
        </w:numPr>
        <w:rPr>
          <w:rFonts w:ascii="Arial" w:cs="Arial" w:eastAsia="Arial" w:hAnsi="Arial"/>
          <w:sz w:val="10"/>
          <w:szCs w:val="10"/>
          <w:color w:val="auto"/>
        </w:rPr>
      </w:pPr>
      <w:r>
        <w:rPr>
          <w:rFonts w:ascii="Arial" w:cs="Arial" w:eastAsia="Arial" w:hAnsi="Arial"/>
          <w:sz w:val="12"/>
          <w:szCs w:val="12"/>
          <w:color w:val="auto"/>
        </w:rPr>
        <w:t>Stock-based compensation included in sales and marketing expenses for the three months ended March 31, 2016 includes $18.8 million related to a stock option modification for an executive officer.</w:t>
      </w:r>
    </w:p>
    <w:p>
      <w:pPr>
        <w:spacing w:after="0" w:line="169" w:lineRule="exact"/>
        <w:rPr>
          <w:sz w:val="20"/>
          <w:szCs w:val="20"/>
          <w:color w:val="auto"/>
        </w:rPr>
      </w:pPr>
    </w:p>
    <w:tbl>
      <w:tblPr>
        <w:tblLayout w:type="fixed"/>
        <w:tblInd w:w="1120" w:type="dxa"/>
        <w:tblCellMar>
          <w:top w:w="0" w:type="dxa"/>
          <w:left w:w="0" w:type="dxa"/>
          <w:bottom w:w="0" w:type="dxa"/>
          <w:right w:w="0" w:type="dxa"/>
        </w:tblCellMar>
      </w:tblPr>
      <w:tr>
        <w:trPr>
          <w:trHeight w:val="144"/>
        </w:trPr>
        <w:tc>
          <w:tcPr>
            <w:tcW w:w="2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840" w:type="dxa"/>
            <w:vAlign w:val="bottom"/>
            <w:tcBorders>
              <w:bottom w:val="single" w:sz="8" w:color="auto"/>
            </w:tcBorders>
            <w:gridSpan w:val="5"/>
          </w:tcPr>
          <w:p>
            <w:pPr>
              <w:jc w:val="right"/>
              <w:ind w:right="440"/>
              <w:spacing w:after="0"/>
              <w:rPr>
                <w:sz w:val="20"/>
                <w:szCs w:val="20"/>
                <w:color w:val="auto"/>
              </w:rPr>
            </w:pPr>
            <w:r>
              <w:rPr>
                <w:rFonts w:ascii="Arial" w:cs="Arial" w:eastAsia="Arial" w:hAnsi="Arial"/>
                <w:sz w:val="12"/>
                <w:szCs w:val="12"/>
                <w:b w:val="1"/>
                <w:bCs w:val="1"/>
                <w:color w:val="auto"/>
              </w:rPr>
              <w:t>Three months ended</w:t>
            </w:r>
          </w:p>
        </w:tc>
        <w:tc>
          <w:tcPr>
            <w:tcW w:w="8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spacing w:after="0"/>
              <w:rPr>
                <w:sz w:val="12"/>
                <w:szCs w:val="12"/>
                <w:color w:val="auto"/>
              </w:rPr>
            </w:pPr>
          </w:p>
        </w:tc>
        <w:tc>
          <w:tcPr>
            <w:tcW w:w="220" w:type="dxa"/>
            <w:vAlign w:val="bottom"/>
          </w:tcPr>
          <w:p>
            <w:pPr>
              <w:spacing w:after="0"/>
              <w:rPr>
                <w:sz w:val="12"/>
                <w:szCs w:val="12"/>
                <w:color w:val="auto"/>
              </w:rPr>
            </w:pPr>
          </w:p>
        </w:tc>
      </w:tr>
      <w:tr>
        <w:trPr>
          <w:trHeight w:val="96"/>
        </w:trPr>
        <w:tc>
          <w:tcPr>
            <w:tcW w:w="20" w:type="dxa"/>
            <w:vAlign w:val="bottom"/>
          </w:tcPr>
          <w:p>
            <w:pPr>
              <w:spacing w:after="0"/>
              <w:rPr>
                <w:sz w:val="8"/>
                <w:szCs w:val="8"/>
                <w:color w:val="auto"/>
              </w:rPr>
            </w:pPr>
          </w:p>
        </w:tc>
        <w:tc>
          <w:tcPr>
            <w:tcW w:w="1620" w:type="dxa"/>
            <w:vAlign w:val="bottom"/>
          </w:tcPr>
          <w:p>
            <w:pPr>
              <w:spacing w:after="0"/>
              <w:rPr>
                <w:sz w:val="8"/>
                <w:szCs w:val="8"/>
                <w:color w:val="auto"/>
              </w:rPr>
            </w:pPr>
          </w:p>
        </w:tc>
        <w:tc>
          <w:tcPr>
            <w:tcW w:w="120" w:type="dxa"/>
            <w:vAlign w:val="bottom"/>
          </w:tcPr>
          <w:p>
            <w:pPr>
              <w:spacing w:after="0"/>
              <w:rPr>
                <w:sz w:val="8"/>
                <w:szCs w:val="8"/>
                <w:color w:val="auto"/>
              </w:rPr>
            </w:pPr>
          </w:p>
        </w:tc>
        <w:tc>
          <w:tcPr>
            <w:tcW w:w="780" w:type="dxa"/>
            <w:vAlign w:val="bottom"/>
            <w:gridSpan w:val="2"/>
          </w:tcPr>
          <w:p>
            <w:pPr>
              <w:jc w:val="right"/>
              <w:ind w:right="260"/>
              <w:spacing w:after="0" w:line="96" w:lineRule="exact"/>
              <w:rPr>
                <w:sz w:val="20"/>
                <w:szCs w:val="20"/>
                <w:color w:val="auto"/>
              </w:rPr>
            </w:pPr>
            <w:r>
              <w:rPr>
                <w:rFonts w:ascii="Arial" w:cs="Arial" w:eastAsia="Arial" w:hAnsi="Arial"/>
                <w:sz w:val="11"/>
                <w:szCs w:val="11"/>
                <w:b w:val="1"/>
                <w:bCs w:val="1"/>
                <w:color w:val="auto"/>
                <w:w w:val="98"/>
              </w:rPr>
              <w:t>March 31,</w:t>
            </w:r>
          </w:p>
        </w:tc>
        <w:tc>
          <w:tcPr>
            <w:tcW w:w="780" w:type="dxa"/>
            <w:vAlign w:val="bottom"/>
            <w:gridSpan w:val="3"/>
          </w:tcPr>
          <w:p>
            <w:pPr>
              <w:jc w:val="right"/>
              <w:ind w:right="260"/>
              <w:spacing w:after="0" w:line="96" w:lineRule="exact"/>
              <w:rPr>
                <w:sz w:val="20"/>
                <w:szCs w:val="20"/>
                <w:color w:val="auto"/>
              </w:rPr>
            </w:pPr>
            <w:r>
              <w:rPr>
                <w:rFonts w:ascii="Arial" w:cs="Arial" w:eastAsia="Arial" w:hAnsi="Arial"/>
                <w:sz w:val="11"/>
                <w:szCs w:val="11"/>
                <w:b w:val="1"/>
                <w:bCs w:val="1"/>
                <w:color w:val="auto"/>
              </w:rPr>
              <w:t>June 30,</w:t>
            </w:r>
          </w:p>
        </w:tc>
        <w:tc>
          <w:tcPr>
            <w:tcW w:w="1020" w:type="dxa"/>
            <w:vAlign w:val="bottom"/>
            <w:gridSpan w:val="3"/>
          </w:tcPr>
          <w:p>
            <w:pPr>
              <w:jc w:val="right"/>
              <w:ind w:right="200"/>
              <w:spacing w:after="0" w:line="96" w:lineRule="exact"/>
              <w:rPr>
                <w:sz w:val="20"/>
                <w:szCs w:val="20"/>
                <w:color w:val="auto"/>
              </w:rPr>
            </w:pPr>
            <w:r>
              <w:rPr>
                <w:rFonts w:ascii="Arial" w:cs="Arial" w:eastAsia="Arial" w:hAnsi="Arial"/>
                <w:sz w:val="11"/>
                <w:szCs w:val="11"/>
                <w:b w:val="1"/>
                <w:bCs w:val="1"/>
                <w:color w:val="auto"/>
              </w:rPr>
              <w:t>September 30,</w:t>
            </w:r>
          </w:p>
        </w:tc>
        <w:tc>
          <w:tcPr>
            <w:tcW w:w="1120" w:type="dxa"/>
            <w:vAlign w:val="bottom"/>
            <w:gridSpan w:val="3"/>
          </w:tcPr>
          <w:p>
            <w:pPr>
              <w:jc w:val="center"/>
              <w:ind w:right="100"/>
              <w:spacing w:after="0" w:line="96" w:lineRule="exact"/>
              <w:rPr>
                <w:sz w:val="20"/>
                <w:szCs w:val="20"/>
                <w:color w:val="auto"/>
              </w:rPr>
            </w:pPr>
            <w:r>
              <w:rPr>
                <w:rFonts w:ascii="Arial" w:cs="Arial" w:eastAsia="Arial" w:hAnsi="Arial"/>
                <w:sz w:val="11"/>
                <w:szCs w:val="11"/>
                <w:b w:val="1"/>
                <w:bCs w:val="1"/>
                <w:color w:val="auto"/>
                <w:w w:val="97"/>
              </w:rPr>
              <w:t>December 31,</w:t>
            </w:r>
          </w:p>
        </w:tc>
        <w:tc>
          <w:tcPr>
            <w:tcW w:w="880" w:type="dxa"/>
            <w:vAlign w:val="bottom"/>
            <w:gridSpan w:val="3"/>
          </w:tcPr>
          <w:p>
            <w:pPr>
              <w:jc w:val="right"/>
              <w:ind w:right="280"/>
              <w:spacing w:after="0" w:line="96" w:lineRule="exact"/>
              <w:rPr>
                <w:sz w:val="20"/>
                <w:szCs w:val="20"/>
                <w:color w:val="auto"/>
              </w:rPr>
            </w:pPr>
            <w:r>
              <w:rPr>
                <w:rFonts w:ascii="Arial" w:cs="Arial" w:eastAsia="Arial" w:hAnsi="Arial"/>
                <w:sz w:val="11"/>
                <w:szCs w:val="11"/>
                <w:b w:val="1"/>
                <w:bCs w:val="1"/>
                <w:color w:val="auto"/>
              </w:rPr>
              <w:t>March 31,</w:t>
            </w:r>
          </w:p>
        </w:tc>
        <w:tc>
          <w:tcPr>
            <w:tcW w:w="780" w:type="dxa"/>
            <w:vAlign w:val="bottom"/>
            <w:gridSpan w:val="3"/>
          </w:tcPr>
          <w:p>
            <w:pPr>
              <w:jc w:val="right"/>
              <w:ind w:right="280"/>
              <w:spacing w:after="0" w:line="96" w:lineRule="exact"/>
              <w:rPr>
                <w:sz w:val="20"/>
                <w:szCs w:val="20"/>
                <w:color w:val="auto"/>
              </w:rPr>
            </w:pPr>
            <w:r>
              <w:rPr>
                <w:rFonts w:ascii="Arial" w:cs="Arial" w:eastAsia="Arial" w:hAnsi="Arial"/>
                <w:sz w:val="11"/>
                <w:szCs w:val="11"/>
                <w:b w:val="1"/>
                <w:bCs w:val="1"/>
                <w:color w:val="auto"/>
              </w:rPr>
              <w:t>June 30,</w:t>
            </w:r>
          </w:p>
        </w:tc>
        <w:tc>
          <w:tcPr>
            <w:tcW w:w="1080" w:type="dxa"/>
            <w:vAlign w:val="bottom"/>
            <w:gridSpan w:val="3"/>
          </w:tcPr>
          <w:p>
            <w:pPr>
              <w:jc w:val="right"/>
              <w:ind w:right="260"/>
              <w:spacing w:after="0" w:line="96" w:lineRule="exact"/>
              <w:rPr>
                <w:sz w:val="20"/>
                <w:szCs w:val="20"/>
                <w:color w:val="auto"/>
              </w:rPr>
            </w:pPr>
            <w:r>
              <w:rPr>
                <w:rFonts w:ascii="Arial" w:cs="Arial" w:eastAsia="Arial" w:hAnsi="Arial"/>
                <w:sz w:val="11"/>
                <w:szCs w:val="11"/>
                <w:b w:val="1"/>
                <w:bCs w:val="1"/>
                <w:color w:val="auto"/>
              </w:rPr>
              <w:t>September 30,</w:t>
            </w:r>
          </w:p>
        </w:tc>
        <w:tc>
          <w:tcPr>
            <w:tcW w:w="780" w:type="dxa"/>
            <w:vAlign w:val="bottom"/>
            <w:gridSpan w:val="2"/>
          </w:tcPr>
          <w:p>
            <w:pPr>
              <w:jc w:val="right"/>
              <w:spacing w:after="0" w:line="96" w:lineRule="exact"/>
              <w:rPr>
                <w:sz w:val="20"/>
                <w:szCs w:val="20"/>
                <w:color w:val="auto"/>
              </w:rPr>
            </w:pPr>
            <w:r>
              <w:rPr>
                <w:rFonts w:ascii="Arial" w:cs="Arial" w:eastAsia="Arial" w:hAnsi="Arial"/>
                <w:sz w:val="11"/>
                <w:szCs w:val="11"/>
                <w:b w:val="1"/>
                <w:bCs w:val="1"/>
                <w:color w:val="auto"/>
              </w:rPr>
              <w:t>December 31,</w:t>
            </w:r>
          </w:p>
        </w:tc>
        <w:tc>
          <w:tcPr>
            <w:tcW w:w="220" w:type="dxa"/>
            <w:vAlign w:val="bottom"/>
          </w:tcPr>
          <w:p>
            <w:pPr>
              <w:spacing w:after="0"/>
              <w:rPr>
                <w:sz w:val="8"/>
                <w:szCs w:val="8"/>
                <w:color w:val="auto"/>
              </w:rPr>
            </w:pPr>
          </w:p>
        </w:tc>
      </w:tr>
      <w:tr>
        <w:trPr>
          <w:trHeight w:val="144"/>
        </w:trPr>
        <w:tc>
          <w:tcPr>
            <w:tcW w:w="2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640" w:type="dxa"/>
            <w:vAlign w:val="bottom"/>
            <w:gridSpan w:val="2"/>
          </w:tcPr>
          <w:p>
            <w:pPr>
              <w:jc w:val="right"/>
              <w:ind w:right="70"/>
              <w:spacing w:after="0"/>
              <w:rPr>
                <w:sz w:val="20"/>
                <w:szCs w:val="20"/>
                <w:color w:val="auto"/>
              </w:rPr>
            </w:pPr>
            <w:r>
              <w:rPr>
                <w:rFonts w:ascii="Arial" w:cs="Arial" w:eastAsia="Arial" w:hAnsi="Arial"/>
                <w:sz w:val="12"/>
                <w:szCs w:val="12"/>
                <w:b w:val="1"/>
                <w:bCs w:val="1"/>
                <w:color w:val="auto"/>
              </w:rPr>
              <w:t>2016</w:t>
            </w:r>
          </w:p>
        </w:tc>
        <w:tc>
          <w:tcPr>
            <w:tcW w:w="260" w:type="dxa"/>
            <w:vAlign w:val="bottom"/>
          </w:tcPr>
          <w:p>
            <w:pPr>
              <w:spacing w:after="0"/>
              <w:rPr>
                <w:sz w:val="12"/>
                <w:szCs w:val="12"/>
                <w:color w:val="auto"/>
              </w:rPr>
            </w:pPr>
          </w:p>
        </w:tc>
        <w:tc>
          <w:tcPr>
            <w:tcW w:w="520" w:type="dxa"/>
            <w:vAlign w:val="bottom"/>
            <w:gridSpan w:val="2"/>
          </w:tcPr>
          <w:p>
            <w:pPr>
              <w:jc w:val="right"/>
              <w:ind w:right="25"/>
              <w:spacing w:after="0"/>
              <w:rPr>
                <w:sz w:val="20"/>
                <w:szCs w:val="20"/>
                <w:color w:val="auto"/>
              </w:rPr>
            </w:pPr>
            <w:r>
              <w:rPr>
                <w:rFonts w:ascii="Arial" w:cs="Arial" w:eastAsia="Arial" w:hAnsi="Arial"/>
                <w:sz w:val="12"/>
                <w:szCs w:val="12"/>
                <w:b w:val="1"/>
                <w:bCs w:val="1"/>
                <w:color w:val="auto"/>
              </w:rPr>
              <w:t>2016</w:t>
            </w:r>
          </w:p>
        </w:tc>
        <w:tc>
          <w:tcPr>
            <w:tcW w:w="260" w:type="dxa"/>
            <w:vAlign w:val="bottom"/>
          </w:tcPr>
          <w:p>
            <w:pPr>
              <w:spacing w:after="0"/>
              <w:rPr>
                <w:sz w:val="12"/>
                <w:szCs w:val="12"/>
                <w:color w:val="auto"/>
              </w:rPr>
            </w:pPr>
          </w:p>
        </w:tc>
        <w:tc>
          <w:tcPr>
            <w:tcW w:w="820" w:type="dxa"/>
            <w:vAlign w:val="bottom"/>
            <w:gridSpan w:val="2"/>
          </w:tcPr>
          <w:p>
            <w:pPr>
              <w:jc w:val="right"/>
              <w:ind w:right="165"/>
              <w:spacing w:after="0"/>
              <w:rPr>
                <w:sz w:val="20"/>
                <w:szCs w:val="20"/>
                <w:color w:val="auto"/>
              </w:rPr>
            </w:pPr>
            <w:r>
              <w:rPr>
                <w:rFonts w:ascii="Arial" w:cs="Arial" w:eastAsia="Arial" w:hAnsi="Arial"/>
                <w:sz w:val="12"/>
                <w:szCs w:val="12"/>
                <w:b w:val="1"/>
                <w:bCs w:val="1"/>
                <w:color w:val="auto"/>
              </w:rPr>
              <w:t>2016</w:t>
            </w:r>
          </w:p>
        </w:tc>
        <w:tc>
          <w:tcPr>
            <w:tcW w:w="200" w:type="dxa"/>
            <w:vAlign w:val="bottom"/>
          </w:tcPr>
          <w:p>
            <w:pPr>
              <w:spacing w:after="0"/>
              <w:rPr>
                <w:sz w:val="12"/>
                <w:szCs w:val="12"/>
                <w:color w:val="auto"/>
              </w:rPr>
            </w:pPr>
          </w:p>
        </w:tc>
        <w:tc>
          <w:tcPr>
            <w:tcW w:w="860" w:type="dxa"/>
            <w:vAlign w:val="bottom"/>
            <w:gridSpan w:val="2"/>
          </w:tcPr>
          <w:p>
            <w:pPr>
              <w:jc w:val="center"/>
              <w:ind w:left="71"/>
              <w:spacing w:after="0"/>
              <w:rPr>
                <w:sz w:val="20"/>
                <w:szCs w:val="20"/>
                <w:color w:val="auto"/>
              </w:rPr>
            </w:pPr>
            <w:r>
              <w:rPr>
                <w:rFonts w:ascii="Arial" w:cs="Arial" w:eastAsia="Arial" w:hAnsi="Arial"/>
                <w:sz w:val="12"/>
                <w:szCs w:val="12"/>
                <w:b w:val="1"/>
                <w:bCs w:val="1"/>
                <w:color w:val="auto"/>
                <w:w w:val="89"/>
              </w:rPr>
              <w:t>2016</w:t>
            </w:r>
          </w:p>
        </w:tc>
        <w:tc>
          <w:tcPr>
            <w:tcW w:w="260" w:type="dxa"/>
            <w:vAlign w:val="bottom"/>
          </w:tcPr>
          <w:p>
            <w:pPr>
              <w:spacing w:after="0"/>
              <w:rPr>
                <w:sz w:val="12"/>
                <w:szCs w:val="12"/>
                <w:color w:val="auto"/>
              </w:rPr>
            </w:pPr>
          </w:p>
        </w:tc>
        <w:tc>
          <w:tcPr>
            <w:tcW w:w="620" w:type="dxa"/>
            <w:vAlign w:val="bottom"/>
            <w:gridSpan w:val="2"/>
          </w:tcPr>
          <w:p>
            <w:pPr>
              <w:jc w:val="right"/>
              <w:ind w:right="85"/>
              <w:spacing w:after="0"/>
              <w:rPr>
                <w:sz w:val="20"/>
                <w:szCs w:val="20"/>
                <w:color w:val="auto"/>
              </w:rPr>
            </w:pPr>
            <w:r>
              <w:rPr>
                <w:rFonts w:ascii="Arial" w:cs="Arial" w:eastAsia="Arial" w:hAnsi="Arial"/>
                <w:sz w:val="12"/>
                <w:szCs w:val="12"/>
                <w:b w:val="1"/>
                <w:bCs w:val="1"/>
                <w:color w:val="auto"/>
              </w:rPr>
              <w:t>2017</w:t>
            </w:r>
          </w:p>
        </w:tc>
        <w:tc>
          <w:tcPr>
            <w:tcW w:w="260" w:type="dxa"/>
            <w:vAlign w:val="bottom"/>
          </w:tcPr>
          <w:p>
            <w:pPr>
              <w:spacing w:after="0"/>
              <w:rPr>
                <w:sz w:val="12"/>
                <w:szCs w:val="12"/>
                <w:color w:val="auto"/>
              </w:rPr>
            </w:pPr>
          </w:p>
        </w:tc>
        <w:tc>
          <w:tcPr>
            <w:tcW w:w="520" w:type="dxa"/>
            <w:vAlign w:val="bottom"/>
            <w:gridSpan w:val="2"/>
          </w:tcPr>
          <w:p>
            <w:pPr>
              <w:jc w:val="right"/>
              <w:ind w:right="25"/>
              <w:spacing w:after="0"/>
              <w:rPr>
                <w:sz w:val="20"/>
                <w:szCs w:val="20"/>
                <w:color w:val="auto"/>
              </w:rPr>
            </w:pPr>
            <w:r>
              <w:rPr>
                <w:rFonts w:ascii="Arial" w:cs="Arial" w:eastAsia="Arial" w:hAnsi="Arial"/>
                <w:sz w:val="12"/>
                <w:szCs w:val="12"/>
                <w:b w:val="1"/>
                <w:bCs w:val="1"/>
                <w:color w:val="auto"/>
              </w:rPr>
              <w:t>2017</w:t>
            </w:r>
          </w:p>
        </w:tc>
        <w:tc>
          <w:tcPr>
            <w:tcW w:w="260" w:type="dxa"/>
            <w:vAlign w:val="bottom"/>
          </w:tcPr>
          <w:p>
            <w:pPr>
              <w:spacing w:after="0"/>
              <w:rPr>
                <w:sz w:val="12"/>
                <w:szCs w:val="12"/>
                <w:color w:val="auto"/>
              </w:rPr>
            </w:pPr>
          </w:p>
        </w:tc>
        <w:tc>
          <w:tcPr>
            <w:tcW w:w="820" w:type="dxa"/>
            <w:vAlign w:val="bottom"/>
            <w:gridSpan w:val="2"/>
          </w:tcPr>
          <w:p>
            <w:pPr>
              <w:jc w:val="right"/>
              <w:ind w:right="185"/>
              <w:spacing w:after="0"/>
              <w:rPr>
                <w:sz w:val="20"/>
                <w:szCs w:val="20"/>
                <w:color w:val="auto"/>
              </w:rPr>
            </w:pPr>
            <w:r>
              <w:rPr>
                <w:rFonts w:ascii="Arial" w:cs="Arial" w:eastAsia="Arial" w:hAnsi="Arial"/>
                <w:sz w:val="12"/>
                <w:szCs w:val="12"/>
                <w:b w:val="1"/>
                <w:bCs w:val="1"/>
                <w:color w:val="auto"/>
              </w:rPr>
              <w:t>2017</w:t>
            </w:r>
          </w:p>
        </w:tc>
        <w:tc>
          <w:tcPr>
            <w:tcW w:w="260" w:type="dxa"/>
            <w:vAlign w:val="bottom"/>
          </w:tcPr>
          <w:p>
            <w:pPr>
              <w:spacing w:after="0"/>
              <w:rPr>
                <w:sz w:val="12"/>
                <w:szCs w:val="12"/>
                <w:color w:val="auto"/>
              </w:rPr>
            </w:pPr>
          </w:p>
        </w:tc>
        <w:tc>
          <w:tcPr>
            <w:tcW w:w="780" w:type="dxa"/>
            <w:vAlign w:val="bottom"/>
            <w:gridSpan w:val="2"/>
          </w:tcPr>
          <w:p>
            <w:pPr>
              <w:jc w:val="right"/>
              <w:ind w:right="145"/>
              <w:spacing w:after="0"/>
              <w:rPr>
                <w:sz w:val="20"/>
                <w:szCs w:val="20"/>
                <w:color w:val="auto"/>
              </w:rPr>
            </w:pPr>
            <w:r>
              <w:rPr>
                <w:rFonts w:ascii="Arial" w:cs="Arial" w:eastAsia="Arial" w:hAnsi="Arial"/>
                <w:sz w:val="12"/>
                <w:szCs w:val="12"/>
                <w:b w:val="1"/>
                <w:bCs w:val="1"/>
                <w:color w:val="auto"/>
              </w:rPr>
              <w:t>2017</w:t>
            </w:r>
          </w:p>
        </w:tc>
        <w:tc>
          <w:tcPr>
            <w:tcW w:w="220" w:type="dxa"/>
            <w:vAlign w:val="bottom"/>
          </w:tcPr>
          <w:p>
            <w:pPr>
              <w:spacing w:after="0"/>
              <w:rPr>
                <w:sz w:val="12"/>
                <w:szCs w:val="12"/>
                <w:color w:val="auto"/>
              </w:rPr>
            </w:pPr>
          </w:p>
        </w:tc>
      </w:tr>
      <w:tr>
        <w:trPr>
          <w:trHeight w:val="115"/>
        </w:trPr>
        <w:tc>
          <w:tcPr>
            <w:tcW w:w="20" w:type="dxa"/>
            <w:vAlign w:val="bottom"/>
          </w:tcPr>
          <w:p>
            <w:pPr>
              <w:spacing w:after="0"/>
              <w:rPr>
                <w:sz w:val="10"/>
                <w:szCs w:val="10"/>
                <w:color w:val="auto"/>
              </w:rPr>
            </w:pPr>
          </w:p>
        </w:tc>
        <w:tc>
          <w:tcPr>
            <w:tcW w:w="1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Borders>
              <w:top w:val="single" w:sz="8" w:color="auto"/>
            </w:tcBorders>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420" w:type="dxa"/>
            <w:vAlign w:val="bottom"/>
            <w:tcBorders>
              <w:top w:val="single" w:sz="8" w:color="auto"/>
            </w:tcBorders>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1120" w:type="dxa"/>
            <w:vAlign w:val="bottom"/>
            <w:tcBorders>
              <w:top w:val="single" w:sz="8" w:color="auto"/>
            </w:tcBorders>
            <w:gridSpan w:val="3"/>
          </w:tcPr>
          <w:p>
            <w:pPr>
              <w:jc w:val="center"/>
              <w:ind w:right="120"/>
              <w:spacing w:after="0" w:line="115" w:lineRule="exact"/>
              <w:rPr>
                <w:sz w:val="20"/>
                <w:szCs w:val="20"/>
                <w:color w:val="auto"/>
              </w:rPr>
            </w:pPr>
            <w:r>
              <w:rPr>
                <w:rFonts w:ascii="Arial" w:cs="Arial" w:eastAsia="Arial" w:hAnsi="Arial"/>
                <w:sz w:val="12"/>
                <w:szCs w:val="12"/>
                <w:color w:val="auto"/>
                <w:w w:val="90"/>
              </w:rPr>
              <w:t>(</w:t>
            </w:r>
            <w:r>
              <w:rPr>
                <w:rFonts w:ascii="Arial" w:cs="Arial" w:eastAsia="Arial" w:hAnsi="Arial"/>
                <w:sz w:val="12"/>
                <w:szCs w:val="12"/>
                <w:i w:val="1"/>
                <w:iCs w:val="1"/>
                <w:color w:val="auto"/>
                <w:w w:val="90"/>
              </w:rPr>
              <w:t>As a % of revenue</w:t>
            </w:r>
            <w:r>
              <w:rPr>
                <w:rFonts w:ascii="Arial" w:cs="Arial" w:eastAsia="Arial" w:hAnsi="Arial"/>
                <w:sz w:val="12"/>
                <w:szCs w:val="12"/>
                <w:color w:val="auto"/>
                <w:w w:val="90"/>
              </w:rPr>
              <w:t>)</w:t>
            </w:r>
          </w:p>
        </w:tc>
        <w:tc>
          <w:tcPr>
            <w:tcW w:w="80" w:type="dxa"/>
            <w:vAlign w:val="bottom"/>
            <w:tcBorders>
              <w:top w:val="single" w:sz="8" w:color="auto"/>
            </w:tcBorders>
          </w:tcPr>
          <w:p>
            <w:pPr>
              <w:spacing w:after="0"/>
              <w:rPr>
                <w:sz w:val="10"/>
                <w:szCs w:val="10"/>
                <w:color w:val="auto"/>
              </w:rPr>
            </w:pPr>
          </w:p>
        </w:tc>
        <w:tc>
          <w:tcPr>
            <w:tcW w:w="540" w:type="dxa"/>
            <w:vAlign w:val="bottom"/>
            <w:tcBorders>
              <w:top w:val="single" w:sz="8" w:color="auto"/>
            </w:tcBorders>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440" w:type="dxa"/>
            <w:vAlign w:val="bottom"/>
            <w:tcBorders>
              <w:top w:val="single" w:sz="8" w:color="auto"/>
            </w:tcBorders>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740" w:type="dxa"/>
            <w:vAlign w:val="bottom"/>
            <w:tcBorders>
              <w:top w:val="single" w:sz="8" w:color="auto"/>
            </w:tcBorders>
          </w:tcPr>
          <w:p>
            <w:pPr>
              <w:spacing w:after="0"/>
              <w:rPr>
                <w:sz w:val="10"/>
                <w:szCs w:val="10"/>
                <w:color w:val="auto"/>
              </w:rPr>
            </w:pPr>
          </w:p>
        </w:tc>
        <w:tc>
          <w:tcPr>
            <w:tcW w:w="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Borders>
              <w:top w:val="single" w:sz="8" w:color="auto"/>
            </w:tcBorders>
          </w:tcPr>
          <w:p>
            <w:pPr>
              <w:spacing w:after="0"/>
              <w:rPr>
                <w:sz w:val="10"/>
                <w:szCs w:val="10"/>
                <w:color w:val="auto"/>
              </w:rPr>
            </w:pPr>
          </w:p>
        </w:tc>
        <w:tc>
          <w:tcPr>
            <w:tcW w:w="220" w:type="dxa"/>
            <w:vAlign w:val="bottom"/>
          </w:tcPr>
          <w:p>
            <w:pPr>
              <w:spacing w:after="0"/>
              <w:rPr>
                <w:sz w:val="10"/>
                <w:szCs w:val="10"/>
                <w:color w:val="auto"/>
              </w:rPr>
            </w:pPr>
          </w:p>
        </w:tc>
      </w:tr>
      <w:tr>
        <w:trPr>
          <w:trHeight w:val="180"/>
        </w:trPr>
        <w:tc>
          <w:tcPr>
            <w:tcW w:w="20" w:type="dxa"/>
            <w:vAlign w:val="bottom"/>
          </w:tcPr>
          <w:p>
            <w:pPr>
              <w:spacing w:after="0"/>
              <w:rPr>
                <w:sz w:val="15"/>
                <w:szCs w:val="15"/>
                <w:color w:val="auto"/>
              </w:rPr>
            </w:pPr>
          </w:p>
        </w:tc>
        <w:tc>
          <w:tcPr>
            <w:tcW w:w="1620" w:type="dxa"/>
            <w:vAlign w:val="bottom"/>
            <w:shd w:val="clear" w:color="auto" w:fill="CCEEFF"/>
          </w:tcPr>
          <w:p>
            <w:pPr>
              <w:spacing w:after="0"/>
              <w:rPr>
                <w:sz w:val="20"/>
                <w:szCs w:val="20"/>
                <w:color w:val="auto"/>
              </w:rPr>
            </w:pPr>
            <w:r>
              <w:rPr>
                <w:rFonts w:ascii="Arial" w:cs="Arial" w:eastAsia="Arial" w:hAnsi="Arial"/>
                <w:sz w:val="15"/>
                <w:szCs w:val="15"/>
                <w:color w:val="auto"/>
              </w:rPr>
              <w:t>Revenue</w:t>
            </w:r>
          </w:p>
        </w:tc>
        <w:tc>
          <w:tcPr>
            <w:tcW w:w="900" w:type="dxa"/>
            <w:vAlign w:val="bottom"/>
            <w:gridSpan w:val="3"/>
            <w:shd w:val="clear" w:color="auto" w:fill="CCEEFF"/>
          </w:tcPr>
          <w:p>
            <w:pPr>
              <w:jc w:val="right"/>
              <w:ind w:right="140"/>
              <w:spacing w:after="0"/>
              <w:rPr>
                <w:sz w:val="20"/>
                <w:szCs w:val="20"/>
                <w:color w:val="auto"/>
              </w:rPr>
            </w:pPr>
            <w:r>
              <w:rPr>
                <w:rFonts w:ascii="Arial" w:cs="Arial" w:eastAsia="Arial" w:hAnsi="Arial"/>
                <w:sz w:val="15"/>
                <w:szCs w:val="15"/>
                <w:color w:val="auto"/>
              </w:rPr>
              <w:t>100%</w:t>
            </w:r>
          </w:p>
        </w:tc>
        <w:tc>
          <w:tcPr>
            <w:tcW w:w="780" w:type="dxa"/>
            <w:vAlign w:val="bottom"/>
            <w:gridSpan w:val="3"/>
            <w:shd w:val="clear" w:color="auto" w:fill="CCEEFF"/>
          </w:tcPr>
          <w:p>
            <w:pPr>
              <w:jc w:val="right"/>
              <w:ind w:right="140"/>
              <w:spacing w:after="0"/>
              <w:rPr>
                <w:sz w:val="20"/>
                <w:szCs w:val="20"/>
                <w:color w:val="auto"/>
              </w:rPr>
            </w:pPr>
            <w:r>
              <w:rPr>
                <w:rFonts w:ascii="Arial" w:cs="Arial" w:eastAsia="Arial" w:hAnsi="Arial"/>
                <w:sz w:val="15"/>
                <w:szCs w:val="15"/>
                <w:color w:val="auto"/>
              </w:rPr>
              <w:t>100%</w:t>
            </w:r>
          </w:p>
        </w:tc>
        <w:tc>
          <w:tcPr>
            <w:tcW w:w="1020" w:type="dxa"/>
            <w:vAlign w:val="bottom"/>
            <w:gridSpan w:val="3"/>
            <w:shd w:val="clear" w:color="auto" w:fill="CCEEFF"/>
          </w:tcPr>
          <w:p>
            <w:pPr>
              <w:jc w:val="right"/>
              <w:ind w:right="80"/>
              <w:spacing w:after="0"/>
              <w:rPr>
                <w:sz w:val="20"/>
                <w:szCs w:val="20"/>
                <w:color w:val="auto"/>
              </w:rPr>
            </w:pPr>
            <w:r>
              <w:rPr>
                <w:rFonts w:ascii="Arial" w:cs="Arial" w:eastAsia="Arial" w:hAnsi="Arial"/>
                <w:sz w:val="15"/>
                <w:szCs w:val="15"/>
                <w:color w:val="auto"/>
              </w:rPr>
              <w:t>100%</w:t>
            </w:r>
          </w:p>
        </w:tc>
        <w:tc>
          <w:tcPr>
            <w:tcW w:w="1120" w:type="dxa"/>
            <w:vAlign w:val="bottom"/>
            <w:gridSpan w:val="3"/>
            <w:shd w:val="clear" w:color="auto" w:fill="CCEEFF"/>
          </w:tcPr>
          <w:p>
            <w:pPr>
              <w:jc w:val="right"/>
              <w:ind w:right="140"/>
              <w:spacing w:after="0"/>
              <w:rPr>
                <w:sz w:val="20"/>
                <w:szCs w:val="20"/>
                <w:color w:val="auto"/>
              </w:rPr>
            </w:pPr>
            <w:r>
              <w:rPr>
                <w:rFonts w:ascii="Arial" w:cs="Arial" w:eastAsia="Arial" w:hAnsi="Arial"/>
                <w:sz w:val="15"/>
                <w:szCs w:val="15"/>
                <w:color w:val="auto"/>
              </w:rPr>
              <w:t>100%</w:t>
            </w:r>
          </w:p>
        </w:tc>
        <w:tc>
          <w:tcPr>
            <w:tcW w:w="880" w:type="dxa"/>
            <w:vAlign w:val="bottom"/>
            <w:gridSpan w:val="3"/>
            <w:shd w:val="clear" w:color="auto" w:fill="CCEEFF"/>
          </w:tcPr>
          <w:p>
            <w:pPr>
              <w:jc w:val="right"/>
              <w:ind w:right="140"/>
              <w:spacing w:after="0"/>
              <w:rPr>
                <w:sz w:val="20"/>
                <w:szCs w:val="20"/>
                <w:color w:val="auto"/>
              </w:rPr>
            </w:pPr>
            <w:r>
              <w:rPr>
                <w:rFonts w:ascii="Arial" w:cs="Arial" w:eastAsia="Arial" w:hAnsi="Arial"/>
                <w:sz w:val="15"/>
                <w:szCs w:val="15"/>
                <w:color w:val="auto"/>
              </w:rPr>
              <w:t>100%</w:t>
            </w:r>
          </w:p>
        </w:tc>
        <w:tc>
          <w:tcPr>
            <w:tcW w:w="780" w:type="dxa"/>
            <w:vAlign w:val="bottom"/>
            <w:gridSpan w:val="3"/>
            <w:shd w:val="clear" w:color="auto" w:fill="CCEEFF"/>
          </w:tcPr>
          <w:p>
            <w:pPr>
              <w:jc w:val="right"/>
              <w:ind w:right="140"/>
              <w:spacing w:after="0"/>
              <w:rPr>
                <w:sz w:val="20"/>
                <w:szCs w:val="20"/>
                <w:color w:val="auto"/>
              </w:rPr>
            </w:pPr>
            <w:r>
              <w:rPr>
                <w:rFonts w:ascii="Arial" w:cs="Arial" w:eastAsia="Arial" w:hAnsi="Arial"/>
                <w:sz w:val="15"/>
                <w:szCs w:val="15"/>
                <w:color w:val="auto"/>
              </w:rPr>
              <w:t>100%</w:t>
            </w:r>
          </w:p>
        </w:tc>
        <w:tc>
          <w:tcPr>
            <w:tcW w:w="1080" w:type="dxa"/>
            <w:vAlign w:val="bottom"/>
            <w:gridSpan w:val="3"/>
            <w:shd w:val="clear" w:color="auto" w:fill="CCEEFF"/>
          </w:tcPr>
          <w:p>
            <w:pPr>
              <w:jc w:val="right"/>
              <w:ind w:right="140"/>
              <w:spacing w:after="0"/>
              <w:rPr>
                <w:sz w:val="20"/>
                <w:szCs w:val="20"/>
                <w:color w:val="auto"/>
              </w:rPr>
            </w:pPr>
            <w:r>
              <w:rPr>
                <w:rFonts w:ascii="Arial" w:cs="Arial" w:eastAsia="Arial" w:hAnsi="Arial"/>
                <w:sz w:val="15"/>
                <w:szCs w:val="15"/>
                <w:color w:val="auto"/>
              </w:rPr>
              <w:t>100%</w:t>
            </w:r>
          </w:p>
        </w:tc>
        <w:tc>
          <w:tcPr>
            <w:tcW w:w="1000" w:type="dxa"/>
            <w:vAlign w:val="bottom"/>
            <w:gridSpan w:val="3"/>
            <w:shd w:val="clear" w:color="auto" w:fill="CCEEFF"/>
          </w:tcPr>
          <w:p>
            <w:pPr>
              <w:jc w:val="right"/>
              <w:ind w:right="100"/>
              <w:spacing w:after="0"/>
              <w:rPr>
                <w:sz w:val="20"/>
                <w:szCs w:val="20"/>
                <w:color w:val="auto"/>
              </w:rPr>
            </w:pPr>
            <w:r>
              <w:rPr>
                <w:rFonts w:ascii="Arial" w:cs="Arial" w:eastAsia="Arial" w:hAnsi="Arial"/>
                <w:sz w:val="15"/>
                <w:szCs w:val="15"/>
                <w:color w:val="auto"/>
              </w:rPr>
              <w:t>100%</w:t>
            </w:r>
          </w:p>
        </w:tc>
      </w:tr>
      <w:tr>
        <w:trPr>
          <w:trHeight w:val="183"/>
        </w:trPr>
        <w:tc>
          <w:tcPr>
            <w:tcW w:w="20" w:type="dxa"/>
            <w:vAlign w:val="bottom"/>
          </w:tcPr>
          <w:p>
            <w:pPr>
              <w:spacing w:after="0"/>
              <w:rPr>
                <w:sz w:val="15"/>
                <w:szCs w:val="15"/>
                <w:color w:val="auto"/>
              </w:rPr>
            </w:pPr>
          </w:p>
        </w:tc>
        <w:tc>
          <w:tcPr>
            <w:tcW w:w="1620" w:type="dxa"/>
            <w:vAlign w:val="bottom"/>
          </w:tcPr>
          <w:p>
            <w:pPr>
              <w:ind w:left="280"/>
              <w:spacing w:after="0"/>
              <w:rPr>
                <w:sz w:val="20"/>
                <w:szCs w:val="20"/>
                <w:color w:val="auto"/>
              </w:rPr>
            </w:pPr>
            <w:r>
              <w:rPr>
                <w:rFonts w:ascii="Arial" w:cs="Arial" w:eastAsia="Arial" w:hAnsi="Arial"/>
                <w:sz w:val="15"/>
                <w:szCs w:val="15"/>
                <w:color w:val="auto"/>
              </w:rPr>
              <w:t>Cost of revenue</w:t>
            </w:r>
          </w:p>
        </w:tc>
        <w:tc>
          <w:tcPr>
            <w:tcW w:w="120" w:type="dxa"/>
            <w:vAlign w:val="bottom"/>
          </w:tcPr>
          <w:p>
            <w:pPr>
              <w:spacing w:after="0"/>
              <w:rPr>
                <w:sz w:val="15"/>
                <w:szCs w:val="15"/>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54</w:t>
            </w: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51</w:t>
            </w: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45</w:t>
            </w: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38</w:t>
            </w: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38</w:t>
            </w: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35</w:t>
            </w: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32</w:t>
            </w: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30</w:t>
            </w:r>
          </w:p>
        </w:tc>
        <w:tc>
          <w:tcPr>
            <w:tcW w:w="220" w:type="dxa"/>
            <w:vAlign w:val="bottom"/>
          </w:tcPr>
          <w:p>
            <w:pPr>
              <w:spacing w:after="0"/>
              <w:rPr>
                <w:sz w:val="15"/>
                <w:szCs w:val="15"/>
                <w:color w:val="auto"/>
              </w:rPr>
            </w:pPr>
          </w:p>
        </w:tc>
      </w:tr>
      <w:tr>
        <w:trPr>
          <w:trHeight w:val="180"/>
        </w:trPr>
        <w:tc>
          <w:tcPr>
            <w:tcW w:w="20" w:type="dxa"/>
            <w:vAlign w:val="bottom"/>
          </w:tcPr>
          <w:p>
            <w:pPr>
              <w:spacing w:after="0"/>
              <w:rPr>
                <w:sz w:val="15"/>
                <w:szCs w:val="15"/>
                <w:color w:val="auto"/>
              </w:rPr>
            </w:pPr>
          </w:p>
        </w:tc>
        <w:tc>
          <w:tcPr>
            <w:tcW w:w="1620" w:type="dxa"/>
            <w:vAlign w:val="bottom"/>
            <w:shd w:val="clear" w:color="auto" w:fill="CCEEFF"/>
          </w:tcPr>
          <w:p>
            <w:pPr>
              <w:spacing w:after="0"/>
              <w:rPr>
                <w:sz w:val="20"/>
                <w:szCs w:val="20"/>
                <w:color w:val="auto"/>
              </w:rPr>
            </w:pPr>
            <w:r>
              <w:rPr>
                <w:rFonts w:ascii="Arial" w:cs="Arial" w:eastAsia="Arial" w:hAnsi="Arial"/>
                <w:sz w:val="15"/>
                <w:szCs w:val="15"/>
                <w:color w:val="auto"/>
              </w:rPr>
              <w:t>Gross profit</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46</w:t>
            </w:r>
          </w:p>
        </w:tc>
        <w:tc>
          <w:tcPr>
            <w:tcW w:w="260" w:type="dxa"/>
            <w:vAlign w:val="bottom"/>
            <w:shd w:val="clear" w:color="auto" w:fill="CCEEFF"/>
          </w:tcPr>
          <w:p>
            <w:pPr>
              <w:spacing w:after="0"/>
              <w:rPr>
                <w:sz w:val="15"/>
                <w:szCs w:val="15"/>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49</w:t>
            </w:r>
          </w:p>
        </w:tc>
        <w:tc>
          <w:tcPr>
            <w:tcW w:w="26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55</w:t>
            </w:r>
          </w:p>
        </w:tc>
        <w:tc>
          <w:tcPr>
            <w:tcW w:w="200" w:type="dxa"/>
            <w:vAlign w:val="bottom"/>
            <w:shd w:val="clear" w:color="auto" w:fill="CCEEFF"/>
          </w:tcPr>
          <w:p>
            <w:pPr>
              <w:spacing w:after="0"/>
              <w:rPr>
                <w:sz w:val="15"/>
                <w:szCs w:val="15"/>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62</w:t>
            </w:r>
          </w:p>
        </w:tc>
        <w:tc>
          <w:tcPr>
            <w:tcW w:w="260" w:type="dxa"/>
            <w:vAlign w:val="bottom"/>
            <w:shd w:val="clear" w:color="auto" w:fill="CCEEFF"/>
          </w:tcPr>
          <w:p>
            <w:pPr>
              <w:spacing w:after="0"/>
              <w:rPr>
                <w:sz w:val="15"/>
                <w:szCs w:val="15"/>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62</w:t>
            </w:r>
          </w:p>
        </w:tc>
        <w:tc>
          <w:tcPr>
            <w:tcW w:w="260" w:type="dxa"/>
            <w:vAlign w:val="bottom"/>
            <w:shd w:val="clear" w:color="auto" w:fill="CCEEFF"/>
          </w:tcPr>
          <w:p>
            <w:pPr>
              <w:spacing w:after="0"/>
              <w:rPr>
                <w:sz w:val="15"/>
                <w:szCs w:val="15"/>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65</w:t>
            </w:r>
          </w:p>
        </w:tc>
        <w:tc>
          <w:tcPr>
            <w:tcW w:w="26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68</w:t>
            </w:r>
          </w:p>
        </w:tc>
        <w:tc>
          <w:tcPr>
            <w:tcW w:w="26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70</w:t>
            </w:r>
          </w:p>
        </w:tc>
        <w:tc>
          <w:tcPr>
            <w:tcW w:w="220" w:type="dxa"/>
            <w:vAlign w:val="bottom"/>
            <w:shd w:val="clear" w:color="auto" w:fill="CCEEFF"/>
          </w:tcPr>
          <w:p>
            <w:pPr>
              <w:spacing w:after="0"/>
              <w:rPr>
                <w:sz w:val="15"/>
                <w:szCs w:val="15"/>
                <w:color w:val="auto"/>
              </w:rPr>
            </w:pPr>
          </w:p>
        </w:tc>
      </w:tr>
      <w:tr>
        <w:trPr>
          <w:trHeight w:val="180"/>
        </w:trPr>
        <w:tc>
          <w:tcPr>
            <w:tcW w:w="20" w:type="dxa"/>
            <w:vAlign w:val="bottom"/>
          </w:tcPr>
          <w:p>
            <w:pPr>
              <w:spacing w:after="0"/>
              <w:rPr>
                <w:sz w:val="15"/>
                <w:szCs w:val="15"/>
                <w:color w:val="auto"/>
              </w:rPr>
            </w:pPr>
          </w:p>
        </w:tc>
        <w:tc>
          <w:tcPr>
            <w:tcW w:w="1620" w:type="dxa"/>
            <w:vAlign w:val="bottom"/>
          </w:tcPr>
          <w:p>
            <w:pPr>
              <w:spacing w:after="0"/>
              <w:rPr>
                <w:sz w:val="20"/>
                <w:szCs w:val="20"/>
                <w:color w:val="auto"/>
              </w:rPr>
            </w:pPr>
            <w:r>
              <w:rPr>
                <w:rFonts w:ascii="Arial" w:cs="Arial" w:eastAsia="Arial" w:hAnsi="Arial"/>
                <w:sz w:val="15"/>
                <w:szCs w:val="15"/>
                <w:color w:val="auto"/>
              </w:rPr>
              <w:t>Operating expenses:</w:t>
            </w:r>
          </w:p>
        </w:tc>
        <w:tc>
          <w:tcPr>
            <w:tcW w:w="1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20" w:type="dxa"/>
            <w:vAlign w:val="bottom"/>
          </w:tcPr>
          <w:p>
            <w:pPr>
              <w:spacing w:after="0"/>
              <w:rPr>
                <w:sz w:val="15"/>
                <w:szCs w:val="15"/>
                <w:color w:val="auto"/>
              </w:rPr>
            </w:pPr>
          </w:p>
        </w:tc>
      </w:tr>
      <w:tr>
        <w:trPr>
          <w:trHeight w:val="170"/>
        </w:trPr>
        <w:tc>
          <w:tcPr>
            <w:tcW w:w="20" w:type="dxa"/>
            <w:vAlign w:val="bottom"/>
          </w:tcPr>
          <w:p>
            <w:pPr>
              <w:spacing w:after="0"/>
              <w:rPr>
                <w:sz w:val="14"/>
                <w:szCs w:val="14"/>
                <w:color w:val="auto"/>
              </w:rPr>
            </w:pPr>
          </w:p>
        </w:tc>
        <w:tc>
          <w:tcPr>
            <w:tcW w:w="1620" w:type="dxa"/>
            <w:vAlign w:val="bottom"/>
            <w:shd w:val="clear" w:color="auto" w:fill="CCEEFF"/>
          </w:tcPr>
          <w:p>
            <w:pPr>
              <w:ind w:left="280"/>
              <w:spacing w:after="0" w:line="170" w:lineRule="exact"/>
              <w:rPr>
                <w:sz w:val="20"/>
                <w:szCs w:val="20"/>
                <w:color w:val="auto"/>
              </w:rPr>
            </w:pPr>
            <w:r>
              <w:rPr>
                <w:rFonts w:ascii="Arial" w:cs="Arial" w:eastAsia="Arial" w:hAnsi="Arial"/>
                <w:sz w:val="15"/>
                <w:szCs w:val="15"/>
                <w:color w:val="auto"/>
              </w:rPr>
              <w:t>Research and</w:t>
            </w:r>
          </w:p>
        </w:tc>
        <w:tc>
          <w:tcPr>
            <w:tcW w:w="12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r>
      <w:tr>
        <w:trPr>
          <w:trHeight w:val="191"/>
        </w:trPr>
        <w:tc>
          <w:tcPr>
            <w:tcW w:w="20" w:type="dxa"/>
            <w:vAlign w:val="bottom"/>
          </w:tcPr>
          <w:p>
            <w:pPr>
              <w:spacing w:after="0"/>
              <w:rPr>
                <w:sz w:val="16"/>
                <w:szCs w:val="16"/>
                <w:color w:val="auto"/>
              </w:rPr>
            </w:pPr>
          </w:p>
        </w:tc>
        <w:tc>
          <w:tcPr>
            <w:tcW w:w="1620" w:type="dxa"/>
            <w:vAlign w:val="bottom"/>
            <w:shd w:val="clear" w:color="auto" w:fill="CCEEFF"/>
          </w:tcPr>
          <w:p>
            <w:pPr>
              <w:ind w:left="420"/>
              <w:spacing w:after="0"/>
              <w:rPr>
                <w:sz w:val="20"/>
                <w:szCs w:val="20"/>
                <w:color w:val="auto"/>
              </w:rPr>
            </w:pPr>
            <w:r>
              <w:rPr>
                <w:rFonts w:ascii="Arial" w:cs="Arial" w:eastAsia="Arial" w:hAnsi="Arial"/>
                <w:sz w:val="15"/>
                <w:szCs w:val="15"/>
                <w:color w:val="auto"/>
              </w:rPr>
              <w:t>development</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37</w:t>
            </w:r>
          </w:p>
        </w:tc>
        <w:tc>
          <w:tcPr>
            <w:tcW w:w="260" w:type="dxa"/>
            <w:vAlign w:val="bottom"/>
            <w:shd w:val="clear" w:color="auto" w:fill="CCEEFF"/>
          </w:tcPr>
          <w:p>
            <w:pPr>
              <w:spacing w:after="0"/>
              <w:rPr>
                <w:sz w:val="16"/>
                <w:szCs w:val="16"/>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36</w:t>
            </w:r>
          </w:p>
        </w:tc>
        <w:tc>
          <w:tcPr>
            <w:tcW w:w="26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34</w:t>
            </w:r>
          </w:p>
        </w:tc>
        <w:tc>
          <w:tcPr>
            <w:tcW w:w="20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31</w:t>
            </w:r>
          </w:p>
        </w:tc>
        <w:tc>
          <w:tcPr>
            <w:tcW w:w="260" w:type="dxa"/>
            <w:vAlign w:val="bottom"/>
            <w:shd w:val="clear" w:color="auto" w:fill="CCEEFF"/>
          </w:tcPr>
          <w:p>
            <w:pPr>
              <w:spacing w:after="0"/>
              <w:rPr>
                <w:sz w:val="16"/>
                <w:szCs w:val="16"/>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36</w:t>
            </w:r>
          </w:p>
        </w:tc>
        <w:tc>
          <w:tcPr>
            <w:tcW w:w="260" w:type="dxa"/>
            <w:vAlign w:val="bottom"/>
            <w:shd w:val="clear" w:color="auto" w:fill="CCEEFF"/>
          </w:tcPr>
          <w:p>
            <w:pPr>
              <w:spacing w:after="0"/>
              <w:rPr>
                <w:sz w:val="16"/>
                <w:szCs w:val="16"/>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34</w:t>
            </w:r>
          </w:p>
        </w:tc>
        <w:tc>
          <w:tcPr>
            <w:tcW w:w="26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34</w:t>
            </w:r>
          </w:p>
        </w:tc>
        <w:tc>
          <w:tcPr>
            <w:tcW w:w="26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34</w:t>
            </w:r>
          </w:p>
        </w:tc>
        <w:tc>
          <w:tcPr>
            <w:tcW w:w="220" w:type="dxa"/>
            <w:vAlign w:val="bottom"/>
            <w:shd w:val="clear" w:color="auto" w:fill="CCEEFF"/>
          </w:tcPr>
          <w:p>
            <w:pPr>
              <w:spacing w:after="0"/>
              <w:rPr>
                <w:sz w:val="16"/>
                <w:szCs w:val="16"/>
                <w:color w:val="auto"/>
              </w:rPr>
            </w:pPr>
          </w:p>
        </w:tc>
      </w:tr>
      <w:tr>
        <w:trPr>
          <w:trHeight w:val="180"/>
        </w:trPr>
        <w:tc>
          <w:tcPr>
            <w:tcW w:w="20" w:type="dxa"/>
            <w:vAlign w:val="bottom"/>
          </w:tcPr>
          <w:p>
            <w:pPr>
              <w:spacing w:after="0"/>
              <w:rPr>
                <w:sz w:val="15"/>
                <w:szCs w:val="15"/>
                <w:color w:val="auto"/>
              </w:rPr>
            </w:pPr>
          </w:p>
        </w:tc>
        <w:tc>
          <w:tcPr>
            <w:tcW w:w="1620" w:type="dxa"/>
            <w:vAlign w:val="bottom"/>
          </w:tcPr>
          <w:p>
            <w:pPr>
              <w:ind w:left="280"/>
              <w:spacing w:after="0"/>
              <w:rPr>
                <w:sz w:val="20"/>
                <w:szCs w:val="20"/>
                <w:color w:val="auto"/>
              </w:rPr>
            </w:pPr>
            <w:r>
              <w:rPr>
                <w:rFonts w:ascii="Arial" w:cs="Arial" w:eastAsia="Arial" w:hAnsi="Arial"/>
                <w:sz w:val="15"/>
                <w:szCs w:val="15"/>
                <w:color w:val="auto"/>
                <w:w w:val="96"/>
              </w:rPr>
              <w:t>Sales and marketing</w:t>
            </w:r>
          </w:p>
        </w:tc>
        <w:tc>
          <w:tcPr>
            <w:tcW w:w="640" w:type="dxa"/>
            <w:vAlign w:val="bottom"/>
            <w:gridSpan w:val="2"/>
          </w:tcPr>
          <w:p>
            <w:pPr>
              <w:jc w:val="right"/>
              <w:spacing w:after="0"/>
              <w:rPr>
                <w:sz w:val="20"/>
                <w:szCs w:val="20"/>
                <w:color w:val="auto"/>
              </w:rPr>
            </w:pPr>
            <w:r>
              <w:rPr>
                <w:rFonts w:ascii="Arial" w:cs="Arial" w:eastAsia="Arial" w:hAnsi="Arial"/>
                <w:sz w:val="15"/>
                <w:szCs w:val="15"/>
                <w:color w:val="auto"/>
              </w:rPr>
              <w:t>40</w:t>
            </w:r>
          </w:p>
        </w:tc>
        <w:tc>
          <w:tcPr>
            <w:tcW w:w="260" w:type="dxa"/>
            <w:vAlign w:val="bottom"/>
          </w:tcPr>
          <w:p>
            <w:pPr>
              <w:spacing w:after="0"/>
              <w:rPr>
                <w:sz w:val="15"/>
                <w:szCs w:val="15"/>
                <w:color w:val="auto"/>
              </w:rPr>
            </w:pPr>
          </w:p>
        </w:tc>
        <w:tc>
          <w:tcPr>
            <w:tcW w:w="520" w:type="dxa"/>
            <w:vAlign w:val="bottom"/>
            <w:gridSpan w:val="2"/>
          </w:tcPr>
          <w:p>
            <w:pPr>
              <w:jc w:val="right"/>
              <w:spacing w:after="0"/>
              <w:rPr>
                <w:sz w:val="20"/>
                <w:szCs w:val="20"/>
                <w:color w:val="auto"/>
              </w:rPr>
            </w:pPr>
            <w:r>
              <w:rPr>
                <w:rFonts w:ascii="Arial" w:cs="Arial" w:eastAsia="Arial" w:hAnsi="Arial"/>
                <w:sz w:val="15"/>
                <w:szCs w:val="15"/>
                <w:color w:val="auto"/>
              </w:rPr>
              <w:t>29</w:t>
            </w:r>
          </w:p>
        </w:tc>
        <w:tc>
          <w:tcPr>
            <w:tcW w:w="260" w:type="dxa"/>
            <w:vAlign w:val="bottom"/>
          </w:tcPr>
          <w:p>
            <w:pPr>
              <w:spacing w:after="0"/>
              <w:rPr>
                <w:sz w:val="15"/>
                <w:szCs w:val="15"/>
                <w:color w:val="auto"/>
              </w:rPr>
            </w:pPr>
          </w:p>
        </w:tc>
        <w:tc>
          <w:tcPr>
            <w:tcW w:w="820" w:type="dxa"/>
            <w:vAlign w:val="bottom"/>
            <w:gridSpan w:val="2"/>
          </w:tcPr>
          <w:p>
            <w:pPr>
              <w:jc w:val="right"/>
              <w:spacing w:after="0"/>
              <w:rPr>
                <w:sz w:val="20"/>
                <w:szCs w:val="20"/>
                <w:color w:val="auto"/>
              </w:rPr>
            </w:pPr>
            <w:r>
              <w:rPr>
                <w:rFonts w:ascii="Arial" w:cs="Arial" w:eastAsia="Arial" w:hAnsi="Arial"/>
                <w:sz w:val="15"/>
                <w:szCs w:val="15"/>
                <w:color w:val="auto"/>
              </w:rPr>
              <w:t>25</w:t>
            </w:r>
          </w:p>
        </w:tc>
        <w:tc>
          <w:tcPr>
            <w:tcW w:w="200" w:type="dxa"/>
            <w:vAlign w:val="bottom"/>
          </w:tcPr>
          <w:p>
            <w:pPr>
              <w:spacing w:after="0"/>
              <w:rPr>
                <w:sz w:val="15"/>
                <w:szCs w:val="15"/>
                <w:color w:val="auto"/>
              </w:rPr>
            </w:pPr>
          </w:p>
        </w:tc>
        <w:tc>
          <w:tcPr>
            <w:tcW w:w="860" w:type="dxa"/>
            <w:vAlign w:val="bottom"/>
            <w:gridSpan w:val="2"/>
          </w:tcPr>
          <w:p>
            <w:pPr>
              <w:jc w:val="right"/>
              <w:spacing w:after="0"/>
              <w:rPr>
                <w:sz w:val="20"/>
                <w:szCs w:val="20"/>
                <w:color w:val="auto"/>
              </w:rPr>
            </w:pPr>
            <w:r>
              <w:rPr>
                <w:rFonts w:ascii="Arial" w:cs="Arial" w:eastAsia="Arial" w:hAnsi="Arial"/>
                <w:sz w:val="15"/>
                <w:szCs w:val="15"/>
                <w:color w:val="auto"/>
              </w:rPr>
              <w:t>27</w:t>
            </w:r>
          </w:p>
        </w:tc>
        <w:tc>
          <w:tcPr>
            <w:tcW w:w="260" w:type="dxa"/>
            <w:vAlign w:val="bottom"/>
          </w:tcPr>
          <w:p>
            <w:pPr>
              <w:spacing w:after="0"/>
              <w:rPr>
                <w:sz w:val="15"/>
                <w:szCs w:val="15"/>
                <w:color w:val="auto"/>
              </w:rPr>
            </w:pPr>
          </w:p>
        </w:tc>
        <w:tc>
          <w:tcPr>
            <w:tcW w:w="620" w:type="dxa"/>
            <w:vAlign w:val="bottom"/>
            <w:gridSpan w:val="2"/>
          </w:tcPr>
          <w:p>
            <w:pPr>
              <w:jc w:val="right"/>
              <w:spacing w:after="0"/>
              <w:rPr>
                <w:sz w:val="20"/>
                <w:szCs w:val="20"/>
                <w:color w:val="auto"/>
              </w:rPr>
            </w:pPr>
            <w:r>
              <w:rPr>
                <w:rFonts w:ascii="Arial" w:cs="Arial" w:eastAsia="Arial" w:hAnsi="Arial"/>
                <w:sz w:val="15"/>
                <w:szCs w:val="15"/>
                <w:color w:val="auto"/>
              </w:rPr>
              <w:t>27</w:t>
            </w:r>
          </w:p>
        </w:tc>
        <w:tc>
          <w:tcPr>
            <w:tcW w:w="260" w:type="dxa"/>
            <w:vAlign w:val="bottom"/>
          </w:tcPr>
          <w:p>
            <w:pPr>
              <w:spacing w:after="0"/>
              <w:rPr>
                <w:sz w:val="15"/>
                <w:szCs w:val="15"/>
                <w:color w:val="auto"/>
              </w:rPr>
            </w:pPr>
          </w:p>
        </w:tc>
        <w:tc>
          <w:tcPr>
            <w:tcW w:w="520" w:type="dxa"/>
            <w:vAlign w:val="bottom"/>
            <w:gridSpan w:val="2"/>
          </w:tcPr>
          <w:p>
            <w:pPr>
              <w:jc w:val="right"/>
              <w:spacing w:after="0"/>
              <w:rPr>
                <w:sz w:val="20"/>
                <w:szCs w:val="20"/>
                <w:color w:val="auto"/>
              </w:rPr>
            </w:pPr>
            <w:r>
              <w:rPr>
                <w:rFonts w:ascii="Arial" w:cs="Arial" w:eastAsia="Arial" w:hAnsi="Arial"/>
                <w:sz w:val="15"/>
                <w:szCs w:val="15"/>
                <w:color w:val="auto"/>
              </w:rPr>
              <w:t>26</w:t>
            </w:r>
          </w:p>
        </w:tc>
        <w:tc>
          <w:tcPr>
            <w:tcW w:w="260" w:type="dxa"/>
            <w:vAlign w:val="bottom"/>
          </w:tcPr>
          <w:p>
            <w:pPr>
              <w:spacing w:after="0"/>
              <w:rPr>
                <w:sz w:val="15"/>
                <w:szCs w:val="15"/>
                <w:color w:val="auto"/>
              </w:rPr>
            </w:pPr>
          </w:p>
        </w:tc>
        <w:tc>
          <w:tcPr>
            <w:tcW w:w="820" w:type="dxa"/>
            <w:vAlign w:val="bottom"/>
            <w:gridSpan w:val="2"/>
          </w:tcPr>
          <w:p>
            <w:pPr>
              <w:jc w:val="right"/>
              <w:spacing w:after="0"/>
              <w:rPr>
                <w:sz w:val="20"/>
                <w:szCs w:val="20"/>
                <w:color w:val="auto"/>
              </w:rPr>
            </w:pPr>
            <w:r>
              <w:rPr>
                <w:rFonts w:ascii="Arial" w:cs="Arial" w:eastAsia="Arial" w:hAnsi="Arial"/>
                <w:sz w:val="15"/>
                <w:szCs w:val="15"/>
                <w:color w:val="auto"/>
              </w:rPr>
              <w:t>26</w:t>
            </w:r>
          </w:p>
        </w:tc>
        <w:tc>
          <w:tcPr>
            <w:tcW w:w="260" w:type="dxa"/>
            <w:vAlign w:val="bottom"/>
          </w:tcPr>
          <w:p>
            <w:pPr>
              <w:spacing w:after="0"/>
              <w:rPr>
                <w:sz w:val="15"/>
                <w:szCs w:val="15"/>
                <w:color w:val="auto"/>
              </w:rPr>
            </w:pPr>
          </w:p>
        </w:tc>
        <w:tc>
          <w:tcPr>
            <w:tcW w:w="780" w:type="dxa"/>
            <w:vAlign w:val="bottom"/>
            <w:gridSpan w:val="2"/>
          </w:tcPr>
          <w:p>
            <w:pPr>
              <w:jc w:val="right"/>
              <w:spacing w:after="0"/>
              <w:rPr>
                <w:sz w:val="20"/>
                <w:szCs w:val="20"/>
                <w:color w:val="auto"/>
              </w:rPr>
            </w:pPr>
            <w:r>
              <w:rPr>
                <w:rFonts w:ascii="Arial" w:cs="Arial" w:eastAsia="Arial" w:hAnsi="Arial"/>
                <w:sz w:val="15"/>
                <w:szCs w:val="15"/>
                <w:color w:val="auto"/>
              </w:rPr>
              <w:t>34</w:t>
            </w:r>
          </w:p>
        </w:tc>
        <w:tc>
          <w:tcPr>
            <w:tcW w:w="220" w:type="dxa"/>
            <w:vAlign w:val="bottom"/>
          </w:tcPr>
          <w:p>
            <w:pPr>
              <w:spacing w:after="0"/>
              <w:rPr>
                <w:sz w:val="15"/>
                <w:szCs w:val="15"/>
                <w:color w:val="auto"/>
              </w:rPr>
            </w:pPr>
          </w:p>
        </w:tc>
      </w:tr>
      <w:tr>
        <w:trPr>
          <w:trHeight w:val="170"/>
        </w:trPr>
        <w:tc>
          <w:tcPr>
            <w:tcW w:w="20" w:type="dxa"/>
            <w:vAlign w:val="bottom"/>
          </w:tcPr>
          <w:p>
            <w:pPr>
              <w:spacing w:after="0"/>
              <w:rPr>
                <w:sz w:val="14"/>
                <w:szCs w:val="14"/>
                <w:color w:val="auto"/>
              </w:rPr>
            </w:pPr>
          </w:p>
        </w:tc>
        <w:tc>
          <w:tcPr>
            <w:tcW w:w="1620" w:type="dxa"/>
            <w:vAlign w:val="bottom"/>
            <w:shd w:val="clear" w:color="auto" w:fill="CCEEFF"/>
          </w:tcPr>
          <w:p>
            <w:pPr>
              <w:ind w:left="280"/>
              <w:spacing w:after="0" w:line="170" w:lineRule="exact"/>
              <w:rPr>
                <w:sz w:val="20"/>
                <w:szCs w:val="20"/>
                <w:color w:val="auto"/>
              </w:rPr>
            </w:pPr>
            <w:r>
              <w:rPr>
                <w:rFonts w:ascii="Arial" w:cs="Arial" w:eastAsia="Arial" w:hAnsi="Arial"/>
                <w:sz w:val="15"/>
                <w:szCs w:val="15"/>
                <w:color w:val="auto"/>
              </w:rPr>
              <w:t>General and</w:t>
            </w:r>
          </w:p>
        </w:tc>
        <w:tc>
          <w:tcPr>
            <w:tcW w:w="12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r>
      <w:tr>
        <w:trPr>
          <w:trHeight w:val="191"/>
        </w:trPr>
        <w:tc>
          <w:tcPr>
            <w:tcW w:w="20" w:type="dxa"/>
            <w:vAlign w:val="bottom"/>
          </w:tcPr>
          <w:p>
            <w:pPr>
              <w:spacing w:after="0"/>
              <w:rPr>
                <w:sz w:val="16"/>
                <w:szCs w:val="16"/>
                <w:color w:val="auto"/>
              </w:rPr>
            </w:pPr>
          </w:p>
        </w:tc>
        <w:tc>
          <w:tcPr>
            <w:tcW w:w="1620" w:type="dxa"/>
            <w:vAlign w:val="bottom"/>
            <w:shd w:val="clear" w:color="auto" w:fill="CCEEFF"/>
          </w:tcPr>
          <w:p>
            <w:pPr>
              <w:ind w:left="420"/>
              <w:spacing w:after="0"/>
              <w:rPr>
                <w:sz w:val="20"/>
                <w:szCs w:val="20"/>
                <w:color w:val="auto"/>
              </w:rPr>
            </w:pPr>
            <w:r>
              <w:rPr>
                <w:rFonts w:ascii="Arial" w:cs="Arial" w:eastAsia="Arial" w:hAnsi="Arial"/>
                <w:sz w:val="15"/>
                <w:szCs w:val="15"/>
                <w:color w:val="auto"/>
              </w:rPr>
              <w:t>administrative</w:t>
            </w:r>
          </w:p>
        </w:tc>
        <w:tc>
          <w:tcPr>
            <w:tcW w:w="120" w:type="dxa"/>
            <w:vAlign w:val="bottom"/>
            <w:shd w:val="clear" w:color="auto" w:fill="CCEEFF"/>
          </w:tcPr>
          <w:p>
            <w:pPr>
              <w:spacing w:after="0"/>
              <w:rPr>
                <w:sz w:val="16"/>
                <w:szCs w:val="16"/>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14</w:t>
            </w:r>
          </w:p>
        </w:tc>
        <w:tc>
          <w:tcPr>
            <w:tcW w:w="2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9</w:t>
            </w:r>
          </w:p>
        </w:tc>
        <w:tc>
          <w:tcPr>
            <w:tcW w:w="2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15</w:t>
            </w:r>
          </w:p>
        </w:tc>
        <w:tc>
          <w:tcPr>
            <w:tcW w:w="2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13</w:t>
            </w:r>
          </w:p>
        </w:tc>
        <w:tc>
          <w:tcPr>
            <w:tcW w:w="2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13</w:t>
            </w:r>
          </w:p>
        </w:tc>
        <w:tc>
          <w:tcPr>
            <w:tcW w:w="2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16</w:t>
            </w:r>
          </w:p>
        </w:tc>
        <w:tc>
          <w:tcPr>
            <w:tcW w:w="2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14</w:t>
            </w:r>
          </w:p>
        </w:tc>
        <w:tc>
          <w:tcPr>
            <w:tcW w:w="2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14</w:t>
            </w:r>
          </w:p>
        </w:tc>
        <w:tc>
          <w:tcPr>
            <w:tcW w:w="220" w:type="dxa"/>
            <w:vAlign w:val="bottom"/>
            <w:shd w:val="clear" w:color="auto" w:fill="CCEEFF"/>
          </w:tcPr>
          <w:p>
            <w:pPr>
              <w:spacing w:after="0"/>
              <w:rPr>
                <w:sz w:val="16"/>
                <w:szCs w:val="16"/>
                <w:color w:val="auto"/>
              </w:rPr>
            </w:pPr>
          </w:p>
        </w:tc>
      </w:tr>
      <w:tr>
        <w:trPr>
          <w:trHeight w:val="186"/>
        </w:trPr>
        <w:tc>
          <w:tcPr>
            <w:tcW w:w="1640" w:type="dxa"/>
            <w:vAlign w:val="bottom"/>
            <w:gridSpan w:val="2"/>
          </w:tcPr>
          <w:p>
            <w:pPr>
              <w:spacing w:after="0"/>
              <w:rPr>
                <w:sz w:val="20"/>
                <w:szCs w:val="20"/>
                <w:color w:val="auto"/>
              </w:rPr>
            </w:pPr>
            <w:r>
              <w:rPr>
                <w:rFonts w:ascii="Arial" w:cs="Arial" w:eastAsia="Arial" w:hAnsi="Arial"/>
                <w:sz w:val="15"/>
                <w:szCs w:val="15"/>
                <w:color w:val="auto"/>
                <w:w w:val="96"/>
              </w:rPr>
              <w:t>Total operating expenses</w:t>
            </w:r>
          </w:p>
        </w:tc>
        <w:tc>
          <w:tcPr>
            <w:tcW w:w="120" w:type="dxa"/>
            <w:vAlign w:val="bottom"/>
          </w:tcPr>
          <w:p>
            <w:pPr>
              <w:spacing w:after="0"/>
              <w:rPr>
                <w:sz w:val="16"/>
                <w:szCs w:val="16"/>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90</w:t>
            </w: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74</w:t>
            </w: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74</w:t>
            </w: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71</w:t>
            </w:r>
          </w:p>
        </w:tc>
        <w:tc>
          <w:tcPr>
            <w:tcW w:w="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76</w:t>
            </w:r>
          </w:p>
        </w:tc>
        <w:tc>
          <w:tcPr>
            <w:tcW w:w="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75</w:t>
            </w:r>
          </w:p>
        </w:tc>
        <w:tc>
          <w:tcPr>
            <w:tcW w:w="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74</w:t>
            </w:r>
          </w:p>
        </w:tc>
        <w:tc>
          <w:tcPr>
            <w:tcW w:w="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82</w:t>
            </w:r>
          </w:p>
        </w:tc>
        <w:tc>
          <w:tcPr>
            <w:tcW w:w="220" w:type="dxa"/>
            <w:vAlign w:val="bottom"/>
          </w:tcPr>
          <w:p>
            <w:pPr>
              <w:spacing w:after="0"/>
              <w:rPr>
                <w:sz w:val="16"/>
                <w:szCs w:val="16"/>
                <w:color w:val="auto"/>
              </w:rPr>
            </w:pPr>
          </w:p>
        </w:tc>
      </w:tr>
      <w:tr>
        <w:trPr>
          <w:trHeight w:val="180"/>
        </w:trPr>
        <w:tc>
          <w:tcPr>
            <w:tcW w:w="20" w:type="dxa"/>
            <w:vAlign w:val="bottom"/>
          </w:tcPr>
          <w:p>
            <w:pPr>
              <w:spacing w:after="0"/>
              <w:rPr>
                <w:sz w:val="15"/>
                <w:szCs w:val="15"/>
                <w:color w:val="auto"/>
              </w:rPr>
            </w:pPr>
          </w:p>
        </w:tc>
        <w:tc>
          <w:tcPr>
            <w:tcW w:w="1620" w:type="dxa"/>
            <w:vAlign w:val="bottom"/>
            <w:shd w:val="clear" w:color="auto" w:fill="CCEEFF"/>
          </w:tcPr>
          <w:p>
            <w:pPr>
              <w:spacing w:after="0"/>
              <w:rPr>
                <w:sz w:val="20"/>
                <w:szCs w:val="20"/>
                <w:color w:val="auto"/>
              </w:rPr>
            </w:pPr>
            <w:r>
              <w:rPr>
                <w:rFonts w:ascii="Arial" w:cs="Arial" w:eastAsia="Arial" w:hAnsi="Arial"/>
                <w:sz w:val="15"/>
                <w:szCs w:val="15"/>
                <w:color w:val="auto"/>
              </w:rPr>
              <w:t>Loss from operations</w:t>
            </w:r>
          </w:p>
        </w:tc>
        <w:tc>
          <w:tcPr>
            <w:tcW w:w="900" w:type="dxa"/>
            <w:vAlign w:val="bottom"/>
            <w:gridSpan w:val="3"/>
            <w:shd w:val="clear" w:color="auto" w:fill="CCEEFF"/>
          </w:tcPr>
          <w:p>
            <w:pPr>
              <w:jc w:val="right"/>
              <w:ind w:right="80"/>
              <w:spacing w:after="0"/>
              <w:rPr>
                <w:sz w:val="20"/>
                <w:szCs w:val="20"/>
                <w:color w:val="auto"/>
              </w:rPr>
            </w:pPr>
            <w:r>
              <w:rPr>
                <w:rFonts w:ascii="Arial" w:cs="Arial" w:eastAsia="Arial" w:hAnsi="Arial"/>
                <w:sz w:val="15"/>
                <w:szCs w:val="15"/>
                <w:color w:val="auto"/>
              </w:rPr>
              <w:t>(44)%</w:t>
            </w:r>
          </w:p>
        </w:tc>
        <w:tc>
          <w:tcPr>
            <w:tcW w:w="780" w:type="dxa"/>
            <w:vAlign w:val="bottom"/>
            <w:gridSpan w:val="3"/>
            <w:shd w:val="clear" w:color="auto" w:fill="CCEEFF"/>
          </w:tcPr>
          <w:p>
            <w:pPr>
              <w:jc w:val="right"/>
              <w:ind w:right="80"/>
              <w:spacing w:after="0"/>
              <w:rPr>
                <w:sz w:val="20"/>
                <w:szCs w:val="20"/>
                <w:color w:val="auto"/>
              </w:rPr>
            </w:pPr>
            <w:r>
              <w:rPr>
                <w:rFonts w:ascii="Arial" w:cs="Arial" w:eastAsia="Arial" w:hAnsi="Arial"/>
                <w:sz w:val="15"/>
                <w:szCs w:val="15"/>
                <w:color w:val="auto"/>
              </w:rPr>
              <w:t>(25)%</w:t>
            </w:r>
          </w:p>
        </w:tc>
        <w:tc>
          <w:tcPr>
            <w:tcW w:w="1020" w:type="dxa"/>
            <w:vAlign w:val="bottom"/>
            <w:gridSpan w:val="3"/>
            <w:shd w:val="clear" w:color="auto" w:fill="CCEEFF"/>
          </w:tcPr>
          <w:p>
            <w:pPr>
              <w:jc w:val="right"/>
              <w:ind w:right="20"/>
              <w:spacing w:after="0"/>
              <w:rPr>
                <w:sz w:val="20"/>
                <w:szCs w:val="20"/>
                <w:color w:val="auto"/>
              </w:rPr>
            </w:pPr>
            <w:r>
              <w:rPr>
                <w:rFonts w:ascii="Arial" w:cs="Arial" w:eastAsia="Arial" w:hAnsi="Arial"/>
                <w:sz w:val="15"/>
                <w:szCs w:val="15"/>
                <w:color w:val="auto"/>
              </w:rPr>
              <w:t>(19)%</w:t>
            </w:r>
          </w:p>
        </w:tc>
        <w:tc>
          <w:tcPr>
            <w:tcW w:w="1120" w:type="dxa"/>
            <w:vAlign w:val="bottom"/>
            <w:gridSpan w:val="3"/>
            <w:shd w:val="clear" w:color="auto" w:fill="CCEEFF"/>
          </w:tcPr>
          <w:p>
            <w:pPr>
              <w:jc w:val="right"/>
              <w:ind w:right="100"/>
              <w:spacing w:after="0"/>
              <w:rPr>
                <w:sz w:val="20"/>
                <w:szCs w:val="20"/>
                <w:color w:val="auto"/>
              </w:rPr>
            </w:pPr>
            <w:r>
              <w:rPr>
                <w:rFonts w:ascii="Arial" w:cs="Arial" w:eastAsia="Arial" w:hAnsi="Arial"/>
                <w:sz w:val="15"/>
                <w:szCs w:val="15"/>
                <w:color w:val="auto"/>
              </w:rPr>
              <w:t>(8)%</w:t>
            </w:r>
          </w:p>
        </w:tc>
        <w:tc>
          <w:tcPr>
            <w:tcW w:w="880" w:type="dxa"/>
            <w:vAlign w:val="bottom"/>
            <w:gridSpan w:val="3"/>
            <w:shd w:val="clear" w:color="auto" w:fill="CCEEFF"/>
          </w:tcPr>
          <w:p>
            <w:pPr>
              <w:jc w:val="right"/>
              <w:ind w:right="100"/>
              <w:spacing w:after="0"/>
              <w:rPr>
                <w:sz w:val="20"/>
                <w:szCs w:val="20"/>
                <w:color w:val="auto"/>
              </w:rPr>
            </w:pPr>
            <w:r>
              <w:rPr>
                <w:rFonts w:ascii="Arial" w:cs="Arial" w:eastAsia="Arial" w:hAnsi="Arial"/>
                <w:sz w:val="15"/>
                <w:szCs w:val="15"/>
                <w:color w:val="auto"/>
              </w:rPr>
              <w:t>(13)%</w:t>
            </w:r>
          </w:p>
        </w:tc>
        <w:tc>
          <w:tcPr>
            <w:tcW w:w="780" w:type="dxa"/>
            <w:vAlign w:val="bottom"/>
            <w:gridSpan w:val="3"/>
            <w:shd w:val="clear" w:color="auto" w:fill="CCEEFF"/>
          </w:tcPr>
          <w:p>
            <w:pPr>
              <w:jc w:val="right"/>
              <w:ind w:right="100"/>
              <w:spacing w:after="0"/>
              <w:rPr>
                <w:sz w:val="20"/>
                <w:szCs w:val="20"/>
                <w:color w:val="auto"/>
              </w:rPr>
            </w:pPr>
            <w:r>
              <w:rPr>
                <w:rFonts w:ascii="Arial" w:cs="Arial" w:eastAsia="Arial" w:hAnsi="Arial"/>
                <w:sz w:val="15"/>
                <w:szCs w:val="15"/>
                <w:color w:val="auto"/>
              </w:rPr>
              <w:t>(10)%</w:t>
            </w:r>
          </w:p>
        </w:tc>
        <w:tc>
          <w:tcPr>
            <w:tcW w:w="1080" w:type="dxa"/>
            <w:vAlign w:val="bottom"/>
            <w:gridSpan w:val="3"/>
            <w:shd w:val="clear" w:color="auto" w:fill="CCEEFF"/>
          </w:tcPr>
          <w:p>
            <w:pPr>
              <w:jc w:val="right"/>
              <w:ind w:right="100"/>
              <w:spacing w:after="0"/>
              <w:rPr>
                <w:sz w:val="20"/>
                <w:szCs w:val="20"/>
                <w:color w:val="auto"/>
              </w:rPr>
            </w:pPr>
            <w:r>
              <w:rPr>
                <w:rFonts w:ascii="Arial" w:cs="Arial" w:eastAsia="Arial" w:hAnsi="Arial"/>
                <w:sz w:val="15"/>
                <w:szCs w:val="15"/>
                <w:color w:val="auto"/>
              </w:rPr>
              <w:t>(6)%</w:t>
            </w:r>
          </w:p>
        </w:tc>
        <w:tc>
          <w:tcPr>
            <w:tcW w:w="1000" w:type="dxa"/>
            <w:vAlign w:val="bottom"/>
            <w:gridSpan w:val="3"/>
            <w:shd w:val="clear" w:color="auto" w:fill="CCEEFF"/>
          </w:tcPr>
          <w:p>
            <w:pPr>
              <w:jc w:val="right"/>
              <w:ind w:right="40"/>
              <w:spacing w:after="0"/>
              <w:rPr>
                <w:sz w:val="20"/>
                <w:szCs w:val="20"/>
                <w:color w:val="auto"/>
              </w:rPr>
            </w:pPr>
            <w:r>
              <w:rPr>
                <w:rFonts w:ascii="Arial" w:cs="Arial" w:eastAsia="Arial" w:hAnsi="Arial"/>
                <w:sz w:val="15"/>
                <w:szCs w:val="15"/>
                <w:color w:val="auto"/>
              </w:rPr>
              <w:t>(12)%</w:t>
            </w:r>
          </w:p>
        </w:tc>
      </w:tr>
      <w:tr>
        <w:trPr>
          <w:trHeight w:val="20"/>
        </w:trPr>
        <w:tc>
          <w:tcPr>
            <w:tcW w:w="2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bl>
    <w:p>
      <w:pPr>
        <w:spacing w:after="0" w:line="271" w:lineRule="exact"/>
        <w:rPr>
          <w:sz w:val="20"/>
          <w:szCs w:val="20"/>
          <w:color w:val="auto"/>
        </w:rPr>
      </w:pPr>
    </w:p>
    <w:p>
      <w:pPr>
        <w:ind w:left="1480"/>
        <w:spacing w:after="0"/>
        <w:rPr>
          <w:sz w:val="20"/>
          <w:szCs w:val="20"/>
          <w:color w:val="auto"/>
        </w:rPr>
      </w:pPr>
      <w:r>
        <w:rPr>
          <w:rFonts w:ascii="Arial" w:cs="Arial" w:eastAsia="Arial" w:hAnsi="Arial"/>
          <w:sz w:val="15"/>
          <w:szCs w:val="15"/>
          <w:b w:val="1"/>
          <w:bCs w:val="1"/>
          <w:i w:val="1"/>
          <w:iCs w:val="1"/>
          <w:color w:val="auto"/>
        </w:rPr>
        <w:t>Quarterly revenue trends</w:t>
      </w:r>
    </w:p>
    <w:p>
      <w:pPr>
        <w:spacing w:after="0" w:line="98" w:lineRule="exact"/>
        <w:rPr>
          <w:sz w:val="20"/>
          <w:szCs w:val="20"/>
          <w:color w:val="auto"/>
        </w:rPr>
      </w:pPr>
    </w:p>
    <w:p>
      <w:pPr>
        <w:ind w:left="1120" w:right="160" w:firstLine="368"/>
        <w:spacing w:after="0" w:line="275" w:lineRule="auto"/>
        <w:rPr>
          <w:sz w:val="20"/>
          <w:szCs w:val="20"/>
          <w:color w:val="auto"/>
        </w:rPr>
      </w:pPr>
      <w:r>
        <w:rPr>
          <w:rFonts w:ascii="Arial" w:cs="Arial" w:eastAsia="Arial" w:hAnsi="Arial"/>
          <w:sz w:val="15"/>
          <w:szCs w:val="15"/>
          <w:color w:val="auto"/>
        </w:rPr>
        <w:t>Our revenue increased sequentially in each of the quarters presented primarily due to increases in the number of paying users. Seasonality in our revenue is not material.</w:t>
      </w:r>
    </w:p>
    <w:p>
      <w:pPr>
        <w:spacing w:after="0" w:line="236" w:lineRule="exact"/>
        <w:rPr>
          <w:sz w:val="20"/>
          <w:szCs w:val="20"/>
          <w:color w:val="auto"/>
        </w:rPr>
      </w:pPr>
    </w:p>
    <w:p>
      <w:pPr>
        <w:ind w:left="1480"/>
        <w:spacing w:after="0"/>
        <w:rPr>
          <w:sz w:val="20"/>
          <w:szCs w:val="20"/>
          <w:color w:val="auto"/>
        </w:rPr>
      </w:pPr>
      <w:r>
        <w:rPr>
          <w:rFonts w:ascii="Arial" w:cs="Arial" w:eastAsia="Arial" w:hAnsi="Arial"/>
          <w:sz w:val="15"/>
          <w:szCs w:val="15"/>
          <w:b w:val="1"/>
          <w:bCs w:val="1"/>
          <w:i w:val="1"/>
          <w:iCs w:val="1"/>
          <w:color w:val="auto"/>
        </w:rPr>
        <w:t>Quarterly cost of revenue and gross margin trends</w:t>
      </w:r>
    </w:p>
    <w:p>
      <w:pPr>
        <w:spacing w:after="0" w:line="98" w:lineRule="exact"/>
        <w:rPr>
          <w:sz w:val="20"/>
          <w:szCs w:val="20"/>
          <w:color w:val="auto"/>
        </w:rPr>
      </w:pPr>
    </w:p>
    <w:p>
      <w:pPr>
        <w:ind w:left="1120" w:right="200" w:firstLine="368"/>
        <w:spacing w:after="0" w:line="275" w:lineRule="auto"/>
        <w:rPr>
          <w:sz w:val="20"/>
          <w:szCs w:val="20"/>
          <w:color w:val="auto"/>
        </w:rPr>
      </w:pPr>
      <w:r>
        <w:rPr>
          <w:rFonts w:ascii="Arial" w:cs="Arial" w:eastAsia="Arial" w:hAnsi="Arial"/>
          <w:sz w:val="15"/>
          <w:szCs w:val="15"/>
          <w:color w:val="auto"/>
        </w:rPr>
        <w:t>Our cost of revenue fluctuated in each of the quarters presented primarily due to the timing of our Infrastructure Optimization, which combined with increases in our revenue caused our gross margins to increase or remain constant.</w:t>
      </w:r>
    </w:p>
    <w:p>
      <w:pPr>
        <w:spacing w:after="0" w:line="236" w:lineRule="exact"/>
        <w:rPr>
          <w:sz w:val="20"/>
          <w:szCs w:val="20"/>
          <w:color w:val="auto"/>
        </w:rPr>
      </w:pPr>
    </w:p>
    <w:p>
      <w:pPr>
        <w:ind w:left="1480"/>
        <w:spacing w:after="0"/>
        <w:rPr>
          <w:sz w:val="20"/>
          <w:szCs w:val="20"/>
          <w:color w:val="auto"/>
        </w:rPr>
      </w:pPr>
      <w:r>
        <w:rPr>
          <w:rFonts w:ascii="Arial" w:cs="Arial" w:eastAsia="Arial" w:hAnsi="Arial"/>
          <w:sz w:val="15"/>
          <w:szCs w:val="15"/>
          <w:b w:val="1"/>
          <w:bCs w:val="1"/>
          <w:i w:val="1"/>
          <w:iCs w:val="1"/>
          <w:color w:val="auto"/>
        </w:rPr>
        <w:t>Quarterly operating expense trends</w:t>
      </w:r>
    </w:p>
    <w:p>
      <w:pPr>
        <w:spacing w:after="0" w:line="98" w:lineRule="exact"/>
        <w:rPr>
          <w:sz w:val="20"/>
          <w:szCs w:val="20"/>
          <w:color w:val="auto"/>
        </w:rPr>
      </w:pPr>
    </w:p>
    <w:p>
      <w:pPr>
        <w:ind w:left="1120" w:right="80" w:firstLine="368"/>
        <w:spacing w:after="0" w:line="312" w:lineRule="auto"/>
        <w:rPr>
          <w:sz w:val="20"/>
          <w:szCs w:val="20"/>
          <w:color w:val="auto"/>
        </w:rPr>
      </w:pPr>
      <w:r>
        <w:rPr>
          <w:rFonts w:ascii="Arial" w:cs="Arial" w:eastAsia="Arial" w:hAnsi="Arial"/>
          <w:sz w:val="14"/>
          <w:szCs w:val="14"/>
          <w:color w:val="auto"/>
        </w:rPr>
        <w:t>Except for the three months ended June 30, 2016, our total quarterly operating expenses increased sequentially in the quarters presented primarily due to headcount growth in connection with the expansion of our business and other events that are discussed herein.</w:t>
      </w:r>
    </w:p>
    <w:p>
      <w:pPr>
        <w:spacing w:after="0" w:line="66" w:lineRule="exact"/>
        <w:rPr>
          <w:sz w:val="20"/>
          <w:szCs w:val="20"/>
          <w:color w:val="auto"/>
        </w:rPr>
      </w:pPr>
    </w:p>
    <w:p>
      <w:pPr>
        <w:ind w:left="5640"/>
        <w:spacing w:after="0"/>
        <w:rPr>
          <w:sz w:val="20"/>
          <w:szCs w:val="20"/>
          <w:color w:val="auto"/>
        </w:rPr>
      </w:pPr>
      <w:r>
        <w:rPr>
          <w:rFonts w:ascii="Arial" w:cs="Arial" w:eastAsia="Arial" w:hAnsi="Arial"/>
          <w:sz w:val="15"/>
          <w:szCs w:val="15"/>
          <w:color w:val="auto"/>
        </w:rPr>
        <w:t>81</w:t>
      </w:r>
    </w:p>
    <w:p>
      <w:pPr>
        <w:sectPr>
          <w:pgSz w:w="11900" w:h="16838" w:orient="portrait"/>
          <w:cols w:equalWidth="0" w:num="1">
            <w:col w:w="10320"/>
          </w:cols>
          <w:pgMar w:left="240" w:top="407" w:right="1339" w:bottom="1440" w:gutter="0" w:footer="0" w:header="0"/>
        </w:sectPr>
      </w:pPr>
    </w:p>
    <w:bookmarkStart w:id="88" w:name="page89"/>
    <w:bookmarkEnd w:id="88"/>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133350</wp:posOffset>
            </wp:positionH>
            <wp:positionV relativeFrom="page">
              <wp:posOffset>88900</wp:posOffset>
            </wp:positionV>
            <wp:extent cx="7308850" cy="342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308850" cy="34290"/>
                    </a:xfrm>
                    <a:prstGeom prst="rect">
                      <a:avLst/>
                    </a:prstGeom>
                    <a:noFill/>
                  </pic:spPr>
                </pic:pic>
              </a:graphicData>
            </a:graphic>
          </wp:anchor>
        </w:drawing>
      </w:r>
      <w:hyperlink w:anchor="page7">
        <w:r>
          <w:rPr>
            <w:rFonts w:ascii="Arial" w:cs="Arial" w:eastAsia="Arial" w:hAnsi="Arial"/>
            <w:sz w:val="15"/>
            <w:szCs w:val="15"/>
            <w:b w:val="1"/>
            <w:bCs w:val="1"/>
            <w:u w:val="single" w:color="auto"/>
            <w:color w:val="0000EE"/>
          </w:rPr>
          <w:t>Table of Contents</w:t>
        </w:r>
      </w:hyperlink>
    </w:p>
    <w:p>
      <w:pPr>
        <w:spacing w:after="0" w:line="260" w:lineRule="exact"/>
        <w:rPr>
          <w:sz w:val="20"/>
          <w:szCs w:val="20"/>
          <w:color w:val="auto"/>
        </w:rPr>
      </w:pPr>
    </w:p>
    <w:p>
      <w:pPr>
        <w:ind w:left="1480"/>
        <w:spacing w:after="0"/>
        <w:rPr>
          <w:sz w:val="20"/>
          <w:szCs w:val="20"/>
          <w:color w:val="auto"/>
        </w:rPr>
      </w:pPr>
      <w:r>
        <w:rPr>
          <w:rFonts w:ascii="Arial" w:cs="Arial" w:eastAsia="Arial" w:hAnsi="Arial"/>
          <w:sz w:val="15"/>
          <w:szCs w:val="15"/>
          <w:b w:val="1"/>
          <w:bCs w:val="1"/>
          <w:i w:val="1"/>
          <w:iCs w:val="1"/>
          <w:color w:val="auto"/>
        </w:rPr>
        <w:t>Research and development</w:t>
      </w:r>
    </w:p>
    <w:p>
      <w:pPr>
        <w:spacing w:after="0" w:line="98" w:lineRule="exact"/>
        <w:rPr>
          <w:sz w:val="20"/>
          <w:szCs w:val="20"/>
          <w:color w:val="auto"/>
        </w:rPr>
      </w:pPr>
    </w:p>
    <w:p>
      <w:pPr>
        <w:ind w:left="1120" w:right="60" w:firstLine="368"/>
        <w:spacing w:after="0" w:line="275" w:lineRule="auto"/>
        <w:rPr>
          <w:sz w:val="20"/>
          <w:szCs w:val="20"/>
          <w:color w:val="auto"/>
        </w:rPr>
      </w:pPr>
      <w:r>
        <w:rPr>
          <w:rFonts w:ascii="Arial" w:cs="Arial" w:eastAsia="Arial" w:hAnsi="Arial"/>
          <w:sz w:val="15"/>
          <w:szCs w:val="15"/>
          <w:color w:val="auto"/>
        </w:rPr>
        <w:t>Our research and development expenses increased at a faster rate during the three months ended March 31, 2017, comparatively to other quarters, primarily due to headcount growth and employee-related costs.</w:t>
      </w:r>
    </w:p>
    <w:p>
      <w:pPr>
        <w:spacing w:after="0" w:line="236" w:lineRule="exact"/>
        <w:rPr>
          <w:sz w:val="20"/>
          <w:szCs w:val="20"/>
          <w:color w:val="auto"/>
        </w:rPr>
      </w:pPr>
    </w:p>
    <w:p>
      <w:pPr>
        <w:ind w:left="1480"/>
        <w:spacing w:after="0"/>
        <w:rPr>
          <w:sz w:val="20"/>
          <w:szCs w:val="20"/>
          <w:color w:val="auto"/>
        </w:rPr>
      </w:pPr>
      <w:r>
        <w:rPr>
          <w:rFonts w:ascii="Arial" w:cs="Arial" w:eastAsia="Arial" w:hAnsi="Arial"/>
          <w:sz w:val="15"/>
          <w:szCs w:val="15"/>
          <w:b w:val="1"/>
          <w:bCs w:val="1"/>
          <w:i w:val="1"/>
          <w:iCs w:val="1"/>
          <w:color w:val="auto"/>
        </w:rPr>
        <w:t>Sales and marketing</w:t>
      </w:r>
    </w:p>
    <w:p>
      <w:pPr>
        <w:spacing w:after="0" w:line="98" w:lineRule="exact"/>
        <w:rPr>
          <w:sz w:val="20"/>
          <w:szCs w:val="20"/>
          <w:color w:val="auto"/>
        </w:rPr>
      </w:pPr>
    </w:p>
    <w:p>
      <w:pPr>
        <w:ind w:left="1120" w:firstLine="368"/>
        <w:spacing w:after="0" w:line="305" w:lineRule="auto"/>
        <w:rPr>
          <w:sz w:val="20"/>
          <w:szCs w:val="20"/>
          <w:color w:val="auto"/>
        </w:rPr>
      </w:pPr>
      <w:r>
        <w:rPr>
          <w:rFonts w:ascii="Arial" w:cs="Arial" w:eastAsia="Arial" w:hAnsi="Arial"/>
          <w:sz w:val="13"/>
          <w:szCs w:val="13"/>
          <w:color w:val="auto"/>
        </w:rPr>
        <w:t>Our sales and marketing expenses generally increased in the quarters presented primarily due to employee-related expenses and brand advertising campaigns. The timing of brand advertising campaigns can impact the trends in sales and marketing expenses. The sequential decline in our sales and marketing expenses during the three months ended June 30, 2016 was due to a stock-based compensation charge of $18.8 million related to the modification of an executive stock grant recorded in the three months ended March 31, 2016. Our sales and marketing expenses increased at a faster rate during the three months ended December 31, 2017, as we accelerated our investment in our global brand advertising campaign.</w:t>
      </w:r>
    </w:p>
    <w:p>
      <w:pPr>
        <w:spacing w:after="0" w:line="133" w:lineRule="exact"/>
        <w:rPr>
          <w:sz w:val="20"/>
          <w:szCs w:val="20"/>
          <w:color w:val="auto"/>
        </w:rPr>
      </w:pPr>
    </w:p>
    <w:p>
      <w:pPr>
        <w:ind w:left="1480"/>
        <w:spacing w:after="0"/>
        <w:rPr>
          <w:sz w:val="20"/>
          <w:szCs w:val="20"/>
          <w:color w:val="auto"/>
        </w:rPr>
      </w:pPr>
      <w:r>
        <w:rPr>
          <w:rFonts w:ascii="Arial" w:cs="Arial" w:eastAsia="Arial" w:hAnsi="Arial"/>
          <w:sz w:val="15"/>
          <w:szCs w:val="15"/>
          <w:b w:val="1"/>
          <w:bCs w:val="1"/>
          <w:i w:val="1"/>
          <w:iCs w:val="1"/>
          <w:color w:val="auto"/>
        </w:rPr>
        <w:t>General and administrative</w:t>
      </w:r>
    </w:p>
    <w:p>
      <w:pPr>
        <w:spacing w:after="0" w:line="98" w:lineRule="exact"/>
        <w:rPr>
          <w:sz w:val="20"/>
          <w:szCs w:val="20"/>
          <w:color w:val="auto"/>
        </w:rPr>
      </w:pPr>
    </w:p>
    <w:p>
      <w:pPr>
        <w:ind w:left="1120" w:right="160" w:firstLine="368"/>
        <w:spacing w:after="0" w:line="257" w:lineRule="auto"/>
        <w:rPr>
          <w:sz w:val="20"/>
          <w:szCs w:val="20"/>
          <w:color w:val="auto"/>
        </w:rPr>
      </w:pPr>
      <w:r>
        <w:rPr>
          <w:rFonts w:ascii="Arial" w:cs="Arial" w:eastAsia="Arial" w:hAnsi="Arial"/>
          <w:sz w:val="15"/>
          <w:szCs w:val="15"/>
          <w:color w:val="auto"/>
        </w:rPr>
        <w:t>Our general and administrative expenses fluctuated in the quarters presented, primarily due to increases in employee-related expenses and legal, accounting, and other professional fees. Our general and administrative expenses for certain quarters included certain charges and benefits as follows: the three months ended June 30, 2016 included a benefit of $12.4 million resulting from a non-income based tax ruling, and the three months ended June 30, 2017 included expense of $9.4 million for a non-cash charitable donation of shares of our common stock as initial funding for the Dropbox Charitable Foundation.</w:t>
      </w:r>
    </w:p>
    <w:p>
      <w:pPr>
        <w:spacing w:after="0" w:line="245" w:lineRule="exact"/>
        <w:rPr>
          <w:sz w:val="20"/>
          <w:szCs w:val="20"/>
          <w:color w:val="auto"/>
        </w:rPr>
      </w:pPr>
    </w:p>
    <w:p>
      <w:pPr>
        <w:ind w:left="1120"/>
        <w:spacing w:after="0"/>
        <w:rPr>
          <w:sz w:val="20"/>
          <w:szCs w:val="20"/>
          <w:color w:val="auto"/>
        </w:rPr>
      </w:pPr>
      <w:r>
        <w:rPr>
          <w:rFonts w:ascii="Arial" w:cs="Arial" w:eastAsia="Arial" w:hAnsi="Arial"/>
          <w:sz w:val="15"/>
          <w:szCs w:val="15"/>
          <w:b w:val="1"/>
          <w:bCs w:val="1"/>
          <w:color w:val="auto"/>
        </w:rPr>
        <w:t>Liquidity and Capital Resources</w:t>
      </w:r>
    </w:p>
    <w:p>
      <w:pPr>
        <w:spacing w:after="0" w:line="102" w:lineRule="exact"/>
        <w:rPr>
          <w:sz w:val="20"/>
          <w:szCs w:val="20"/>
          <w:color w:val="auto"/>
        </w:rPr>
      </w:pPr>
    </w:p>
    <w:p>
      <w:pPr>
        <w:jc w:val="both"/>
        <w:ind w:left="1120" w:right="360" w:firstLine="368"/>
        <w:spacing w:after="0" w:line="263" w:lineRule="auto"/>
        <w:rPr>
          <w:sz w:val="20"/>
          <w:szCs w:val="20"/>
          <w:color w:val="auto"/>
        </w:rPr>
      </w:pPr>
      <w:r>
        <w:rPr>
          <w:rFonts w:ascii="Arial" w:cs="Arial" w:eastAsia="Arial" w:hAnsi="Arial"/>
          <w:sz w:val="15"/>
          <w:szCs w:val="15"/>
          <w:color w:val="auto"/>
        </w:rPr>
        <w:t>As of December 31, 2017, we had cash and cash equivalents of $430.0 million. Our cash and cash equivalents consist primarily of cash and money market funds. As of December 31, 2017, we had $86.3 million of our cash and cash equivalents held by our foreign subsidiaries. We do not expect to incur material taxes in the event we repatriate any of these amounts.</w:t>
      </w:r>
    </w:p>
    <w:p>
      <w:pPr>
        <w:spacing w:after="0" w:line="155" w:lineRule="exact"/>
        <w:rPr>
          <w:sz w:val="20"/>
          <w:szCs w:val="20"/>
          <w:color w:val="auto"/>
        </w:rPr>
      </w:pPr>
    </w:p>
    <w:p>
      <w:pPr>
        <w:ind w:left="1120" w:firstLine="368"/>
        <w:spacing w:after="0" w:line="255" w:lineRule="auto"/>
        <w:rPr>
          <w:sz w:val="20"/>
          <w:szCs w:val="20"/>
          <w:color w:val="auto"/>
        </w:rPr>
      </w:pPr>
      <w:r>
        <w:rPr>
          <w:rFonts w:ascii="Arial" w:cs="Arial" w:eastAsia="Arial" w:hAnsi="Arial"/>
          <w:sz w:val="15"/>
          <w:szCs w:val="15"/>
          <w:color w:val="auto"/>
        </w:rPr>
        <w:t>Since our inception, we have financed our operations primarily through equity issuances, cash generated from our operations, and capital leases to finance infrastructure-related assets in co-location facilities that we directly lease and operate. We enter into capital leases in part to better match the timing of payments for infrastructure-related assets with that of cash received from our paying users. In our business model, some of our registered users convert to paying users over time, and consequently there is a lag between initial investment in infrastructure assets and cash received from some of our users. We expect to increase our use of capital leases to finance infrastructure equipment as certain assets reach the end of their useful lives in future periods.</w:t>
      </w:r>
    </w:p>
    <w:p>
      <w:pPr>
        <w:spacing w:after="0" w:line="164" w:lineRule="exact"/>
        <w:rPr>
          <w:sz w:val="20"/>
          <w:szCs w:val="20"/>
          <w:color w:val="auto"/>
        </w:rPr>
      </w:pPr>
    </w:p>
    <w:p>
      <w:pPr>
        <w:ind w:left="1120" w:right="280" w:firstLine="368"/>
        <w:spacing w:after="0" w:line="312" w:lineRule="auto"/>
        <w:rPr>
          <w:sz w:val="20"/>
          <w:szCs w:val="20"/>
          <w:color w:val="auto"/>
        </w:rPr>
      </w:pPr>
      <w:r>
        <w:rPr>
          <w:rFonts w:ascii="Arial" w:cs="Arial" w:eastAsia="Arial" w:hAnsi="Arial"/>
          <w:sz w:val="14"/>
          <w:szCs w:val="14"/>
          <w:color w:val="auto"/>
        </w:rPr>
        <w:t>Our principal uses of cash in recent periods have been funding our operations, making principal payments on our capital lease obligations, the satisfaction of tax withholdings in connection with the settlement of restricted stock units, and making capital expenditures.</w:t>
      </w:r>
    </w:p>
    <w:p>
      <w:pPr>
        <w:spacing w:after="0" w:line="123" w:lineRule="exact"/>
        <w:rPr>
          <w:sz w:val="20"/>
          <w:szCs w:val="20"/>
          <w:color w:val="auto"/>
        </w:rPr>
      </w:pPr>
    </w:p>
    <w:p>
      <w:pPr>
        <w:ind w:left="1120" w:right="160" w:firstLine="368"/>
        <w:spacing w:after="0" w:line="257" w:lineRule="auto"/>
        <w:rPr>
          <w:sz w:val="20"/>
          <w:szCs w:val="20"/>
          <w:color w:val="auto"/>
        </w:rPr>
      </w:pPr>
      <w:r>
        <w:rPr>
          <w:rFonts w:ascii="Arial" w:cs="Arial" w:eastAsia="Arial" w:hAnsi="Arial"/>
          <w:sz w:val="15"/>
          <w:szCs w:val="15"/>
          <w:color w:val="auto"/>
        </w:rPr>
        <w:t>In April 2017, we entered into a $600.0 million credit facility with a syndicate of financial institutions. The revolving credit facility has an accordion option, which, if exercised, would allow us to increase the aggregate commitments by up to $150.0 million, subject to obtaining additional lender commitments and satisfying certain conditions. Pursuant to the terms of the revolving credit facility, we may issue letters of credit under the revolving credit facility, which reduce the total amount available for borrowing under such facility. The revolving credit facility terminates on April 4, 2022.</w:t>
      </w:r>
    </w:p>
    <w:p>
      <w:pPr>
        <w:spacing w:after="0" w:line="159" w:lineRule="exact"/>
        <w:rPr>
          <w:sz w:val="20"/>
          <w:szCs w:val="20"/>
          <w:color w:val="auto"/>
        </w:rPr>
      </w:pPr>
    </w:p>
    <w:p>
      <w:pPr>
        <w:ind w:left="1120" w:firstLine="368"/>
        <w:spacing w:after="0" w:line="263" w:lineRule="auto"/>
        <w:rPr>
          <w:sz w:val="20"/>
          <w:szCs w:val="20"/>
          <w:color w:val="auto"/>
        </w:rPr>
      </w:pPr>
      <w:r>
        <w:rPr>
          <w:rFonts w:ascii="Arial" w:cs="Arial" w:eastAsia="Arial" w:hAnsi="Arial"/>
          <w:sz w:val="15"/>
          <w:szCs w:val="15"/>
          <w:color w:val="auto"/>
        </w:rPr>
        <w:t>Interest on borrowings under the revolving credit facility accrues at a variable rate tied to the prime rate or the LIBOR rate, at our election. Interest is payable quarterly in arrears. Pursuant to the terms of the revolving credit facility, we are required to pay an annual commitment fee that accrues at a rate of 0.20% per annum on the</w:t>
      </w:r>
    </w:p>
    <w:p>
      <w:pPr>
        <w:spacing w:after="0" w:line="98" w:lineRule="exact"/>
        <w:rPr>
          <w:sz w:val="20"/>
          <w:szCs w:val="20"/>
          <w:color w:val="auto"/>
        </w:rPr>
      </w:pPr>
    </w:p>
    <w:p>
      <w:pPr>
        <w:ind w:left="5640"/>
        <w:spacing w:after="0"/>
        <w:rPr>
          <w:sz w:val="20"/>
          <w:szCs w:val="20"/>
          <w:color w:val="auto"/>
        </w:rPr>
      </w:pPr>
      <w:r>
        <w:rPr>
          <w:rFonts w:ascii="Arial" w:cs="Arial" w:eastAsia="Arial" w:hAnsi="Arial"/>
          <w:sz w:val="15"/>
          <w:szCs w:val="15"/>
          <w:color w:val="auto"/>
        </w:rPr>
        <w:t>82</w:t>
      </w:r>
    </w:p>
    <w:p>
      <w:pPr>
        <w:sectPr>
          <w:pgSz w:w="11900" w:h="16838" w:orient="portrait"/>
          <w:cols w:equalWidth="0" w:num="1">
            <w:col w:w="10300"/>
          </w:cols>
          <w:pgMar w:left="240" w:top="407" w:right="1359" w:bottom="1440" w:gutter="0" w:footer="0" w:header="0"/>
        </w:sectPr>
      </w:pPr>
    </w:p>
    <w:bookmarkStart w:id="89" w:name="page90"/>
    <w:bookmarkEnd w:id="89"/>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133350</wp:posOffset>
            </wp:positionH>
            <wp:positionV relativeFrom="page">
              <wp:posOffset>88900</wp:posOffset>
            </wp:positionV>
            <wp:extent cx="7308850" cy="342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308850" cy="34290"/>
                    </a:xfrm>
                    <a:prstGeom prst="rect">
                      <a:avLst/>
                    </a:prstGeom>
                    <a:noFill/>
                  </pic:spPr>
                </pic:pic>
              </a:graphicData>
            </a:graphic>
          </wp:anchor>
        </w:drawing>
      </w:r>
      <w:hyperlink w:anchor="page7">
        <w:r>
          <w:rPr>
            <w:rFonts w:ascii="Arial" w:cs="Arial" w:eastAsia="Arial" w:hAnsi="Arial"/>
            <w:sz w:val="15"/>
            <w:szCs w:val="15"/>
            <w:b w:val="1"/>
            <w:bCs w:val="1"/>
            <w:u w:val="single" w:color="auto"/>
            <w:color w:val="0000EE"/>
          </w:rPr>
          <w:t>Table of Contents</w:t>
        </w:r>
      </w:hyperlink>
    </w:p>
    <w:p>
      <w:pPr>
        <w:spacing w:after="0" w:line="260" w:lineRule="exact"/>
        <w:rPr>
          <w:sz w:val="20"/>
          <w:szCs w:val="20"/>
          <w:color w:val="auto"/>
        </w:rPr>
      </w:pPr>
    </w:p>
    <w:p>
      <w:pPr>
        <w:ind w:left="1120" w:right="20"/>
        <w:spacing w:after="0" w:line="259" w:lineRule="auto"/>
        <w:rPr>
          <w:sz w:val="20"/>
          <w:szCs w:val="20"/>
          <w:color w:val="auto"/>
        </w:rPr>
      </w:pPr>
      <w:r>
        <w:rPr>
          <w:rFonts w:ascii="Arial" w:cs="Arial" w:eastAsia="Arial" w:hAnsi="Arial"/>
          <w:sz w:val="15"/>
          <w:szCs w:val="15"/>
          <w:color w:val="auto"/>
        </w:rPr>
        <w:t>unused portion of the borrowing commitments under the revolving credit facility. In addition, we are required to pay a fee in connection with letters of credit issued under the revolving credit facility that accrues at a rate of 1.5% per annum on the amount to be drawn under such letters of credit outstanding. There is an additional fronting fee of 0.125% per annum multiplied by the average aggregate daily maximum amount available to be drawn under all letters of credit.</w:t>
      </w:r>
    </w:p>
    <w:p>
      <w:pPr>
        <w:spacing w:after="0" w:line="158" w:lineRule="exact"/>
        <w:rPr>
          <w:sz w:val="20"/>
          <w:szCs w:val="20"/>
          <w:color w:val="auto"/>
        </w:rPr>
      </w:pPr>
    </w:p>
    <w:p>
      <w:pPr>
        <w:ind w:left="1120" w:right="200" w:firstLine="368"/>
        <w:spacing w:after="0" w:line="283" w:lineRule="auto"/>
        <w:rPr>
          <w:sz w:val="20"/>
          <w:szCs w:val="20"/>
          <w:color w:val="auto"/>
        </w:rPr>
      </w:pPr>
      <w:r>
        <w:rPr>
          <w:rFonts w:ascii="Arial" w:cs="Arial" w:eastAsia="Arial" w:hAnsi="Arial"/>
          <w:sz w:val="14"/>
          <w:szCs w:val="14"/>
          <w:color w:val="auto"/>
        </w:rPr>
        <w:t>The revolving credit facility contains customary conditions to borrowing, events of default, and covenants, including covenants that restrict our ability to incur indebtedness, grant liens, make distributions to our holders or our subsidiaries’ equity interests, make investments, or engage in transactions with our affiliates. In addition, the revolving credit facility contains financial covenants, including a consolidated leverage ratio covenant and a minimum liquidity balance. We were in compliance with all covenants under the revolving credit facility as of December 31, 2017.</w:t>
      </w:r>
    </w:p>
    <w:p>
      <w:pPr>
        <w:spacing w:after="0" w:line="143" w:lineRule="exact"/>
        <w:rPr>
          <w:sz w:val="20"/>
          <w:szCs w:val="20"/>
          <w:color w:val="auto"/>
        </w:rPr>
      </w:pPr>
    </w:p>
    <w:p>
      <w:pPr>
        <w:ind w:left="1120" w:right="60" w:firstLine="368"/>
        <w:spacing w:after="0" w:line="263" w:lineRule="auto"/>
        <w:rPr>
          <w:sz w:val="20"/>
          <w:szCs w:val="20"/>
          <w:color w:val="auto"/>
        </w:rPr>
      </w:pPr>
      <w:r>
        <w:rPr>
          <w:rFonts w:ascii="Arial" w:cs="Arial" w:eastAsia="Arial" w:hAnsi="Arial"/>
          <w:sz w:val="15"/>
          <w:szCs w:val="15"/>
          <w:color w:val="auto"/>
        </w:rPr>
        <w:t>As of December 31, 2017, we had no amounts outstanding under the revolving credit facility and an aggregate of $82.6 million in letters of credit outstanding under the revolving credit facility. Our total available borrowing capacity under the revolving credit facility was $517.4 million as of December 31, 2017.</w:t>
      </w:r>
    </w:p>
    <w:p>
      <w:pPr>
        <w:spacing w:after="0" w:line="155" w:lineRule="exact"/>
        <w:rPr>
          <w:sz w:val="20"/>
          <w:szCs w:val="20"/>
          <w:color w:val="auto"/>
        </w:rPr>
      </w:pPr>
    </w:p>
    <w:p>
      <w:pPr>
        <w:ind w:left="1120" w:right="20" w:firstLine="368"/>
        <w:spacing w:after="0" w:line="311" w:lineRule="auto"/>
        <w:rPr>
          <w:sz w:val="20"/>
          <w:szCs w:val="20"/>
          <w:color w:val="auto"/>
        </w:rPr>
      </w:pPr>
      <w:r>
        <w:rPr>
          <w:rFonts w:ascii="Arial" w:cs="Arial" w:eastAsia="Arial" w:hAnsi="Arial"/>
          <w:sz w:val="13"/>
          <w:szCs w:val="13"/>
          <w:color w:val="auto"/>
        </w:rPr>
        <w:t>In February 2018, we amended our revolving credit facility to, among other things, permit us to make certain investments, enter into an unsecured standby letter of credit facility, and increase our standby letter of credit sublimit to $187.5 million. We also increased our borrowing capacity under the revolving credit facility from $600.0 million to $725.0 million. We may from time to time request increases in our borrowing capacity under our revolving credit facility of up to $275.0 million, provided no event of default has occurred or is continuing or would result from such increase.</w:t>
      </w:r>
    </w:p>
    <w:p>
      <w:pPr>
        <w:spacing w:after="0" w:line="127" w:lineRule="exact"/>
        <w:rPr>
          <w:sz w:val="20"/>
          <w:szCs w:val="20"/>
          <w:color w:val="auto"/>
        </w:rPr>
      </w:pPr>
    </w:p>
    <w:p>
      <w:pPr>
        <w:ind w:left="1120" w:firstLine="368"/>
        <w:spacing w:after="0" w:line="273" w:lineRule="auto"/>
        <w:rPr>
          <w:sz w:val="20"/>
          <w:szCs w:val="20"/>
          <w:color w:val="auto"/>
        </w:rPr>
      </w:pPr>
      <w:r>
        <w:rPr>
          <w:rFonts w:ascii="Arial" w:cs="Arial" w:eastAsia="Arial" w:hAnsi="Arial"/>
          <w:sz w:val="14"/>
          <w:szCs w:val="14"/>
          <w:color w:val="auto"/>
        </w:rPr>
        <w:t>We believe our existing cash and cash equivalents, together with cash provided by operations and amounts available under the revolving credit facility, will be sufficient to meet our needs for the foreseeable future. Our future capital requirements will depend on many factors including our revenue growth rate, subscription renewal activity, billing frequency, the timing and extent of spending to support further infrastructure development and research and development efforts, the timing and extent of additional capital expenditures to invest in existing and new office spaces, such as our new corporate headquarters, the satisfaction of tax withholding obligations for the release of restricted stock units, the expansion of sales and marketing and international operation activities, the introduction of new product capabilities and enhancement of our platform, and the continuing market acceptance of our platform. We may in the future enter into arrangements to acquire or invest in complementary businesses, services, and technologies, including intellectual property rights. We may be required to seek additional equity or debt financing. In the event that additional financing is required from outside sources, we may not be able to raise it on terms acceptable to us or at all. If we are unable to raise additional capital when desired, our business, results of operations, and financial condition would be materially and adversely affected.</w:t>
      </w:r>
    </w:p>
    <w:p>
      <w:pPr>
        <w:spacing w:after="0" w:line="154" w:lineRule="exact"/>
        <w:rPr>
          <w:sz w:val="20"/>
          <w:szCs w:val="20"/>
          <w:color w:val="auto"/>
        </w:rPr>
      </w:pPr>
    </w:p>
    <w:p>
      <w:pPr>
        <w:ind w:left="1480"/>
        <w:spacing w:after="0"/>
        <w:rPr>
          <w:sz w:val="20"/>
          <w:szCs w:val="20"/>
          <w:color w:val="auto"/>
        </w:rPr>
      </w:pPr>
      <w:r>
        <w:rPr>
          <w:rFonts w:ascii="Arial" w:cs="Arial" w:eastAsia="Arial" w:hAnsi="Arial"/>
          <w:sz w:val="15"/>
          <w:szCs w:val="15"/>
          <w:color w:val="auto"/>
        </w:rPr>
        <w:t>Our cash flow activities were as follows for the periods presented:</w:t>
      </w:r>
    </w:p>
    <w:p>
      <w:pPr>
        <w:sectPr>
          <w:pgSz w:w="11900" w:h="16838" w:orient="portrait"/>
          <w:cols w:equalWidth="0" w:num="1">
            <w:col w:w="10300"/>
          </w:cols>
          <w:pgMar w:left="240" w:top="407" w:right="1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1120"/>
        <w:spacing w:after="0"/>
        <w:rPr>
          <w:sz w:val="20"/>
          <w:szCs w:val="20"/>
          <w:color w:val="auto"/>
        </w:rPr>
      </w:pPr>
      <w:r>
        <w:rPr>
          <w:rFonts w:ascii="Arial" w:cs="Arial" w:eastAsia="Arial" w:hAnsi="Arial"/>
          <w:sz w:val="15"/>
          <w:szCs w:val="15"/>
          <w:color w:val="auto"/>
        </w:rPr>
        <w:t>Net cash provided by operating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709930</wp:posOffset>
            </wp:positionH>
            <wp:positionV relativeFrom="paragraph">
              <wp:posOffset>-102235</wp:posOffset>
            </wp:positionV>
            <wp:extent cx="5843905" cy="12192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5843905" cy="121920"/>
                    </a:xfrm>
                    <a:prstGeom prst="rect">
                      <a:avLst/>
                    </a:prstGeom>
                    <a:noFill/>
                  </pic:spPr>
                </pic:pic>
              </a:graphicData>
            </a:graphic>
          </wp:anchor>
        </w:drawing>
      </w:r>
    </w:p>
    <w:p>
      <w:pPr>
        <w:ind w:left="1120"/>
        <w:spacing w:after="0"/>
        <w:rPr>
          <w:sz w:val="20"/>
          <w:szCs w:val="20"/>
          <w:color w:val="auto"/>
        </w:rPr>
      </w:pPr>
      <w:r>
        <w:rPr>
          <w:rFonts w:ascii="Arial" w:cs="Arial" w:eastAsia="Arial" w:hAnsi="Arial"/>
          <w:sz w:val="15"/>
          <w:szCs w:val="15"/>
          <w:color w:val="auto"/>
        </w:rPr>
        <w:t>Net cash used in investing activities</w:t>
      </w:r>
    </w:p>
    <w:p>
      <w:pPr>
        <w:spacing w:after="0" w:line="19" w:lineRule="exact"/>
        <w:rPr>
          <w:sz w:val="20"/>
          <w:szCs w:val="20"/>
          <w:color w:val="auto"/>
        </w:rPr>
      </w:pPr>
    </w:p>
    <w:p>
      <w:pPr>
        <w:ind w:left="1120"/>
        <w:spacing w:after="0"/>
        <w:rPr>
          <w:sz w:val="20"/>
          <w:szCs w:val="20"/>
          <w:color w:val="auto"/>
        </w:rPr>
      </w:pPr>
      <w:r>
        <w:rPr>
          <w:rFonts w:ascii="Arial" w:cs="Arial" w:eastAsia="Arial" w:hAnsi="Arial"/>
          <w:sz w:val="15"/>
          <w:szCs w:val="15"/>
          <w:color w:val="auto"/>
        </w:rPr>
        <w:t>Net cash used in financing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709930</wp:posOffset>
            </wp:positionH>
            <wp:positionV relativeFrom="paragraph">
              <wp:posOffset>-102235</wp:posOffset>
            </wp:positionV>
            <wp:extent cx="5843905" cy="12192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5843905" cy="121920"/>
                    </a:xfrm>
                    <a:prstGeom prst="rect">
                      <a:avLst/>
                    </a:prstGeom>
                    <a:noFill/>
                  </pic:spPr>
                </pic:pic>
              </a:graphicData>
            </a:graphic>
          </wp:anchor>
        </w:drawing>
      </w:r>
    </w:p>
    <w:p>
      <w:pPr>
        <w:ind w:left="1120"/>
        <w:spacing w:after="0"/>
        <w:rPr>
          <w:sz w:val="20"/>
          <w:szCs w:val="20"/>
          <w:color w:val="auto"/>
        </w:rPr>
      </w:pPr>
      <w:r>
        <w:rPr>
          <w:rFonts w:ascii="Arial" w:cs="Arial" w:eastAsia="Arial" w:hAnsi="Arial"/>
          <w:sz w:val="13"/>
          <w:szCs w:val="13"/>
          <w:color w:val="auto"/>
        </w:rPr>
        <w:t>Effect of exchange rate changes on cash and cash equivalents</w:t>
      </w:r>
    </w:p>
    <w:p>
      <w:pPr>
        <w:spacing w:after="0" w:line="65" w:lineRule="exact"/>
        <w:rPr>
          <w:sz w:val="20"/>
          <w:szCs w:val="20"/>
          <w:color w:val="auto"/>
        </w:rPr>
      </w:pPr>
    </w:p>
    <w:p>
      <w:pPr>
        <w:ind w:left="1120"/>
        <w:spacing w:after="0"/>
        <w:rPr>
          <w:sz w:val="20"/>
          <w:szCs w:val="20"/>
          <w:color w:val="auto"/>
        </w:rPr>
      </w:pPr>
      <w:r>
        <w:rPr>
          <w:rFonts w:ascii="Arial" w:cs="Arial" w:eastAsia="Arial" w:hAnsi="Arial"/>
          <w:sz w:val="15"/>
          <w:szCs w:val="15"/>
          <w:color w:val="auto"/>
        </w:rPr>
        <w:t>Net increase (decrease) in cash and cash equivalents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709930</wp:posOffset>
            </wp:positionH>
            <wp:positionV relativeFrom="paragraph">
              <wp:posOffset>-102235</wp:posOffset>
            </wp:positionV>
            <wp:extent cx="5843905" cy="12192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5843905" cy="121920"/>
                    </a:xfrm>
                    <a:prstGeom prst="rect">
                      <a:avLst/>
                    </a:prstGeom>
                    <a:noFill/>
                  </pic:spPr>
                </pic:pic>
              </a:graphicData>
            </a:graphic>
          </wp:anchor>
        </w:drawing>
      </w:r>
    </w:p>
    <w:p>
      <w:pPr>
        <w:spacing w:after="0" w:line="315" w:lineRule="exact"/>
        <w:rPr>
          <w:sz w:val="20"/>
          <w:szCs w:val="20"/>
          <w:color w:val="auto"/>
        </w:rPr>
      </w:pPr>
    </w:p>
    <w:p>
      <w:pPr>
        <w:ind w:left="1480"/>
        <w:spacing w:after="0"/>
        <w:rPr>
          <w:sz w:val="20"/>
          <w:szCs w:val="20"/>
          <w:color w:val="auto"/>
        </w:rPr>
      </w:pPr>
      <w:r>
        <w:rPr>
          <w:rFonts w:ascii="Arial" w:cs="Arial" w:eastAsia="Arial" w:hAnsi="Arial"/>
          <w:sz w:val="15"/>
          <w:szCs w:val="15"/>
          <w:b w:val="1"/>
          <w:bCs w:val="1"/>
          <w:i w:val="1"/>
          <w:iCs w:val="1"/>
          <w:color w:val="auto"/>
        </w:rPr>
        <w:t>Operating activities</w:t>
      </w:r>
    </w:p>
    <w:p>
      <w:pPr>
        <w:spacing w:after="0" w:line="20" w:lineRule="exact"/>
        <w:rPr>
          <w:sz w:val="20"/>
          <w:szCs w:val="20"/>
          <w:color w:val="auto"/>
        </w:rPr>
      </w:pPr>
      <w:r>
        <w:rPr>
          <w:sz w:val="20"/>
          <w:szCs w:val="20"/>
          <w:color w:val="auto"/>
        </w:rPr>
        <w:br w:type="column"/>
      </w:r>
    </w:p>
    <w:p>
      <w:pPr>
        <w:spacing w:after="0" w:line="182" w:lineRule="exact"/>
        <w:rPr>
          <w:sz w:val="20"/>
          <w:szCs w:val="20"/>
          <w:color w:val="auto"/>
        </w:rPr>
      </w:pPr>
    </w:p>
    <w:p>
      <w:pPr>
        <w:jc w:val="center"/>
        <w:ind w:right="80"/>
        <w:spacing w:after="0"/>
        <w:rPr>
          <w:sz w:val="20"/>
          <w:szCs w:val="20"/>
          <w:color w:val="auto"/>
        </w:rPr>
      </w:pPr>
      <w:r>
        <w:rPr>
          <w:rFonts w:ascii="Arial" w:cs="Arial" w:eastAsia="Arial" w:hAnsi="Arial"/>
          <w:sz w:val="12"/>
          <w:szCs w:val="12"/>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1360805" cy="698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1360805" cy="6985"/>
                    </a:xfrm>
                    <a:prstGeom prst="rect">
                      <a:avLst/>
                    </a:prstGeom>
                    <a:noFill/>
                  </pic:spPr>
                </pic:pic>
              </a:graphicData>
            </a:graphic>
          </wp:anchor>
        </w:drawing>
      </w:r>
    </w:p>
    <w:p>
      <w:pPr>
        <w:ind w:left="120"/>
        <w:spacing w:after="0"/>
        <w:tabs>
          <w:tab w:leader="none" w:pos="940" w:val="left"/>
          <w:tab w:leader="none" w:pos="1760" w:val="left"/>
        </w:tabs>
        <w:rPr>
          <w:sz w:val="20"/>
          <w:szCs w:val="20"/>
          <w:color w:val="auto"/>
        </w:rPr>
      </w:pPr>
      <w:r>
        <w:rPr>
          <w:rFonts w:ascii="Arial" w:cs="Arial" w:eastAsia="Arial" w:hAnsi="Arial"/>
          <w:sz w:val="12"/>
          <w:szCs w:val="12"/>
          <w:b w:val="1"/>
          <w:bCs w:val="1"/>
          <w:color w:val="auto"/>
        </w:rPr>
        <w:t>2015</w:t>
      </w:r>
      <w:r>
        <w:rPr>
          <w:sz w:val="20"/>
          <w:szCs w:val="20"/>
          <w:color w:val="auto"/>
        </w:rPr>
        <w:tab/>
      </w:r>
      <w:r>
        <w:rPr>
          <w:rFonts w:ascii="Arial" w:cs="Arial" w:eastAsia="Arial" w:hAnsi="Arial"/>
          <w:sz w:val="12"/>
          <w:szCs w:val="12"/>
          <w:b w:val="1"/>
          <w:bCs w:val="1"/>
          <w:color w:val="auto"/>
        </w:rPr>
        <w:t>2016</w:t>
      </w:r>
      <w:r>
        <w:rPr>
          <w:sz w:val="20"/>
          <w:szCs w:val="20"/>
          <w:color w:val="auto"/>
        </w:rPr>
        <w:tab/>
      </w:r>
      <w:r>
        <w:rPr>
          <w:rFonts w:ascii="Arial" w:cs="Arial" w:eastAsia="Arial" w:hAnsi="Arial"/>
          <w:sz w:val="10"/>
          <w:szCs w:val="10"/>
          <w:b w:val="1"/>
          <w:bCs w:val="1"/>
          <w:color w:val="auto"/>
        </w:rPr>
        <w:t>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wp:posOffset>
            </wp:positionV>
            <wp:extent cx="1360805" cy="698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1360805" cy="6985"/>
                    </a:xfrm>
                    <a:prstGeom prst="rect">
                      <a:avLst/>
                    </a:prstGeom>
                    <a:noFill/>
                  </pic:spPr>
                </pic:pic>
              </a:graphicData>
            </a:graphic>
          </wp:anchor>
        </w:drawing>
      </w:r>
    </w:p>
    <w:p>
      <w:pPr>
        <w:ind w:left="780"/>
        <w:spacing w:after="0"/>
        <w:rPr>
          <w:sz w:val="20"/>
          <w:szCs w:val="20"/>
          <w:color w:val="auto"/>
        </w:rPr>
      </w:pPr>
      <w:r>
        <w:rPr>
          <w:rFonts w:ascii="Arial" w:cs="Arial" w:eastAsia="Arial" w:hAnsi="Arial"/>
          <w:sz w:val="12"/>
          <w:szCs w:val="12"/>
          <w:i w:val="1"/>
          <w:iCs w:val="1"/>
          <w:color w:val="auto"/>
        </w:rPr>
        <w:t>(In millions)</w:t>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tcPr>
          <w:p>
            <w:pPr>
              <w:jc w:val="right"/>
              <w:spacing w:after="0"/>
              <w:rPr>
                <w:sz w:val="20"/>
                <w:szCs w:val="20"/>
                <w:color w:val="auto"/>
              </w:rPr>
            </w:pPr>
            <w:r>
              <w:rPr>
                <w:rFonts w:ascii="Arial" w:cs="Arial" w:eastAsia="Arial" w:hAnsi="Arial"/>
                <w:sz w:val="15"/>
                <w:szCs w:val="15"/>
                <w:color w:val="auto"/>
              </w:rPr>
              <w:t>14.8</w:t>
            </w:r>
          </w:p>
        </w:tc>
        <w:tc>
          <w:tcPr>
            <w:tcW w:w="200" w:type="dxa"/>
            <w:vAlign w:val="bottom"/>
          </w:tcPr>
          <w:p>
            <w:pPr>
              <w:spacing w:after="0"/>
              <w:rPr>
                <w:sz w:val="15"/>
                <w:szCs w:val="15"/>
                <w:color w:val="auto"/>
              </w:rPr>
            </w:pPr>
          </w:p>
        </w:tc>
        <w:tc>
          <w:tcPr>
            <w:tcW w:w="24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400" w:type="dxa"/>
            <w:vAlign w:val="bottom"/>
          </w:tcPr>
          <w:p>
            <w:pPr>
              <w:jc w:val="right"/>
              <w:spacing w:after="0"/>
              <w:rPr>
                <w:sz w:val="20"/>
                <w:szCs w:val="20"/>
                <w:color w:val="auto"/>
              </w:rPr>
            </w:pPr>
            <w:r>
              <w:rPr>
                <w:rFonts w:ascii="Arial" w:cs="Arial" w:eastAsia="Arial" w:hAnsi="Arial"/>
                <w:sz w:val="15"/>
                <w:szCs w:val="15"/>
                <w:color w:val="auto"/>
              </w:rPr>
              <w:t>252.6</w:t>
            </w:r>
          </w:p>
        </w:tc>
        <w:tc>
          <w:tcPr>
            <w:tcW w:w="200" w:type="dxa"/>
            <w:vAlign w:val="bottom"/>
          </w:tcPr>
          <w:p>
            <w:pPr>
              <w:spacing w:after="0"/>
              <w:rPr>
                <w:sz w:val="15"/>
                <w:szCs w:val="15"/>
                <w:color w:val="auto"/>
              </w:rPr>
            </w:pPr>
          </w:p>
        </w:tc>
        <w:tc>
          <w:tcPr>
            <w:tcW w:w="240" w:type="dxa"/>
            <w:vAlign w:val="bottom"/>
            <w:gridSpan w:val="2"/>
          </w:tcPr>
          <w:p>
            <w:pPr>
              <w:jc w:val="right"/>
              <w:ind w:right="20"/>
              <w:spacing w:after="0"/>
              <w:rPr>
                <w:sz w:val="20"/>
                <w:szCs w:val="20"/>
                <w:color w:val="auto"/>
              </w:rPr>
            </w:pPr>
            <w:r>
              <w:rPr>
                <w:rFonts w:ascii="Arial" w:cs="Arial" w:eastAsia="Arial" w:hAnsi="Arial"/>
                <w:sz w:val="15"/>
                <w:szCs w:val="15"/>
                <w:color w:val="auto"/>
              </w:rPr>
              <w:t>$</w:t>
            </w:r>
          </w:p>
        </w:tc>
        <w:tc>
          <w:tcPr>
            <w:tcW w:w="400" w:type="dxa"/>
            <w:vAlign w:val="bottom"/>
          </w:tcPr>
          <w:p>
            <w:pPr>
              <w:jc w:val="right"/>
              <w:spacing w:after="0"/>
              <w:rPr>
                <w:sz w:val="20"/>
                <w:szCs w:val="20"/>
                <w:color w:val="auto"/>
              </w:rPr>
            </w:pPr>
            <w:r>
              <w:rPr>
                <w:rFonts w:ascii="Arial" w:cs="Arial" w:eastAsia="Arial" w:hAnsi="Arial"/>
                <w:sz w:val="15"/>
                <w:szCs w:val="15"/>
                <w:color w:val="auto"/>
                <w:w w:val="95"/>
              </w:rPr>
              <w:t>330.3</w:t>
            </w:r>
          </w:p>
        </w:tc>
        <w:tc>
          <w:tcPr>
            <w:tcW w:w="40" w:type="dxa"/>
            <w:vAlign w:val="bottom"/>
          </w:tcPr>
          <w:p>
            <w:pPr>
              <w:spacing w:after="0"/>
              <w:rPr>
                <w:sz w:val="15"/>
                <w:szCs w:val="15"/>
                <w:color w:val="auto"/>
              </w:rPr>
            </w:pPr>
          </w:p>
        </w:tc>
      </w:tr>
      <w:tr>
        <w:trPr>
          <w:trHeight w:val="190"/>
        </w:trPr>
        <w:tc>
          <w:tcPr>
            <w:tcW w:w="80" w:type="dxa"/>
            <w:vAlign w:val="bottom"/>
          </w:tcPr>
          <w:p>
            <w:pPr>
              <w:spacing w:after="0"/>
              <w:rPr>
                <w:sz w:val="16"/>
                <w:szCs w:val="16"/>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5"/>
                <w:szCs w:val="15"/>
                <w:color w:val="auto"/>
              </w:rPr>
              <w:t>(85.6)</w:t>
            </w: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5"/>
                <w:szCs w:val="15"/>
                <w:color w:val="auto"/>
                <w:w w:val="88"/>
              </w:rPr>
              <w:t>(118.0)</w:t>
            </w: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40" w:type="dxa"/>
            <w:vAlign w:val="bottom"/>
            <w:gridSpan w:val="2"/>
          </w:tcPr>
          <w:p>
            <w:pPr>
              <w:jc w:val="right"/>
              <w:spacing w:after="0"/>
              <w:rPr>
                <w:sz w:val="20"/>
                <w:szCs w:val="20"/>
                <w:color w:val="auto"/>
              </w:rPr>
            </w:pPr>
            <w:r>
              <w:rPr>
                <w:rFonts w:ascii="Arial" w:cs="Arial" w:eastAsia="Arial" w:hAnsi="Arial"/>
                <w:sz w:val="15"/>
                <w:szCs w:val="15"/>
                <w:color w:val="auto"/>
              </w:rPr>
              <w:t>(23.9)</w:t>
            </w:r>
          </w:p>
        </w:tc>
      </w:tr>
      <w:tr>
        <w:trPr>
          <w:trHeight w:val="192"/>
        </w:trPr>
        <w:tc>
          <w:tcPr>
            <w:tcW w:w="80" w:type="dxa"/>
            <w:vAlign w:val="bottom"/>
          </w:tcPr>
          <w:p>
            <w:pPr>
              <w:spacing w:after="0"/>
              <w:rPr>
                <w:sz w:val="16"/>
                <w:szCs w:val="16"/>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5"/>
                <w:szCs w:val="15"/>
                <w:color w:val="auto"/>
              </w:rPr>
              <w:t>(89.6)</w:t>
            </w: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5"/>
                <w:szCs w:val="15"/>
                <w:color w:val="auto"/>
                <w:w w:val="88"/>
              </w:rPr>
              <w:t>(134.5)</w:t>
            </w: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40" w:type="dxa"/>
            <w:vAlign w:val="bottom"/>
            <w:gridSpan w:val="2"/>
          </w:tcPr>
          <w:p>
            <w:pPr>
              <w:jc w:val="right"/>
              <w:spacing w:after="0"/>
              <w:rPr>
                <w:sz w:val="20"/>
                <w:szCs w:val="20"/>
                <w:color w:val="auto"/>
              </w:rPr>
            </w:pPr>
            <w:r>
              <w:rPr>
                <w:rFonts w:ascii="Arial" w:cs="Arial" w:eastAsia="Arial" w:hAnsi="Arial"/>
                <w:sz w:val="15"/>
                <w:szCs w:val="15"/>
                <w:color w:val="auto"/>
                <w:w w:val="88"/>
              </w:rPr>
              <w:t>(231.7)</w:t>
            </w:r>
          </w:p>
        </w:tc>
      </w:tr>
      <w:tr>
        <w:trPr>
          <w:trHeight w:val="192"/>
        </w:trPr>
        <w:tc>
          <w:tcPr>
            <w:tcW w:w="80" w:type="dxa"/>
            <w:vAlign w:val="bottom"/>
          </w:tcPr>
          <w:p>
            <w:pPr>
              <w:spacing w:after="0"/>
              <w:rPr>
                <w:sz w:val="16"/>
                <w:szCs w:val="16"/>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5"/>
                <w:szCs w:val="15"/>
                <w:color w:val="auto"/>
              </w:rPr>
              <w:t>(0.9)</w:t>
            </w: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5"/>
                <w:szCs w:val="15"/>
                <w:color w:val="auto"/>
              </w:rPr>
              <w:t>(4.3)</w:t>
            </w: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tcPr>
          <w:p>
            <w:pPr>
              <w:jc w:val="right"/>
              <w:spacing w:after="0"/>
              <w:rPr>
                <w:sz w:val="20"/>
                <w:szCs w:val="20"/>
                <w:color w:val="auto"/>
              </w:rPr>
            </w:pPr>
            <w:r>
              <w:rPr>
                <w:rFonts w:ascii="Arial" w:cs="Arial" w:eastAsia="Arial" w:hAnsi="Arial"/>
                <w:sz w:val="15"/>
                <w:szCs w:val="15"/>
                <w:color w:val="auto"/>
              </w:rPr>
              <w:t>2.6</w:t>
            </w:r>
          </w:p>
        </w:tc>
        <w:tc>
          <w:tcPr>
            <w:tcW w:w="40" w:type="dxa"/>
            <w:vAlign w:val="bottom"/>
          </w:tcPr>
          <w:p>
            <w:pPr>
              <w:spacing w:after="0"/>
              <w:rPr>
                <w:sz w:val="16"/>
                <w:szCs w:val="16"/>
                <w:color w:val="auto"/>
              </w:rPr>
            </w:pPr>
          </w:p>
        </w:tc>
      </w:tr>
      <w:tr>
        <w:trPr>
          <w:trHeight w:val="20"/>
        </w:trPr>
        <w:tc>
          <w:tcPr>
            <w:tcW w:w="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4"/>
        </w:trPr>
        <w:tc>
          <w:tcPr>
            <w:tcW w:w="8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600" w:type="dxa"/>
            <w:vAlign w:val="bottom"/>
            <w:gridSpan w:val="2"/>
          </w:tcPr>
          <w:p>
            <w:pPr>
              <w:jc w:val="right"/>
              <w:ind w:right="160"/>
              <w:spacing w:after="0"/>
              <w:rPr>
                <w:sz w:val="20"/>
                <w:szCs w:val="20"/>
                <w:color w:val="auto"/>
              </w:rPr>
            </w:pPr>
            <w:r>
              <w:rPr>
                <w:rFonts w:ascii="Arial" w:cs="Arial" w:eastAsia="Arial" w:hAnsi="Arial"/>
                <w:sz w:val="15"/>
                <w:szCs w:val="15"/>
                <w:color w:val="auto"/>
                <w:w w:val="88"/>
              </w:rPr>
              <w:t>(161.3)</w:t>
            </w:r>
          </w:p>
        </w:tc>
        <w:tc>
          <w:tcPr>
            <w:tcW w:w="24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600" w:type="dxa"/>
            <w:vAlign w:val="bottom"/>
            <w:gridSpan w:val="2"/>
          </w:tcPr>
          <w:p>
            <w:pPr>
              <w:jc w:val="right"/>
              <w:ind w:right="160"/>
              <w:spacing w:after="0"/>
              <w:rPr>
                <w:sz w:val="20"/>
                <w:szCs w:val="20"/>
                <w:color w:val="auto"/>
              </w:rPr>
            </w:pPr>
            <w:r>
              <w:rPr>
                <w:rFonts w:ascii="Arial" w:cs="Arial" w:eastAsia="Arial" w:hAnsi="Arial"/>
                <w:sz w:val="15"/>
                <w:szCs w:val="15"/>
                <w:color w:val="auto"/>
              </w:rPr>
              <w:t>(4.2)</w:t>
            </w:r>
          </w:p>
        </w:tc>
        <w:tc>
          <w:tcPr>
            <w:tcW w:w="240" w:type="dxa"/>
            <w:vAlign w:val="bottom"/>
            <w:gridSpan w:val="2"/>
          </w:tcPr>
          <w:p>
            <w:pPr>
              <w:jc w:val="right"/>
              <w:ind w:right="20"/>
              <w:spacing w:after="0"/>
              <w:rPr>
                <w:sz w:val="20"/>
                <w:szCs w:val="20"/>
                <w:color w:val="auto"/>
              </w:rPr>
            </w:pPr>
            <w:r>
              <w:rPr>
                <w:rFonts w:ascii="Arial" w:cs="Arial" w:eastAsia="Arial" w:hAnsi="Arial"/>
                <w:sz w:val="15"/>
                <w:szCs w:val="15"/>
                <w:color w:val="auto"/>
              </w:rPr>
              <w:t>$</w:t>
            </w:r>
          </w:p>
        </w:tc>
        <w:tc>
          <w:tcPr>
            <w:tcW w:w="400" w:type="dxa"/>
            <w:vAlign w:val="bottom"/>
          </w:tcPr>
          <w:p>
            <w:pPr>
              <w:jc w:val="right"/>
              <w:spacing w:after="0"/>
              <w:rPr>
                <w:sz w:val="20"/>
                <w:szCs w:val="20"/>
                <w:color w:val="auto"/>
              </w:rPr>
            </w:pPr>
            <w:r>
              <w:rPr>
                <w:rFonts w:ascii="Arial" w:cs="Arial" w:eastAsia="Arial" w:hAnsi="Arial"/>
                <w:sz w:val="15"/>
                <w:szCs w:val="15"/>
                <w:color w:val="auto"/>
              </w:rPr>
              <w:t>77.3</w:t>
            </w:r>
          </w:p>
        </w:tc>
        <w:tc>
          <w:tcPr>
            <w:tcW w:w="40" w:type="dxa"/>
            <w:vAlign w:val="bottom"/>
          </w:tcPr>
          <w:p>
            <w:pPr>
              <w:spacing w:after="0"/>
              <w:rPr>
                <w:sz w:val="16"/>
                <w:szCs w:val="16"/>
                <w:color w:val="auto"/>
              </w:rPr>
            </w:pPr>
          </w:p>
        </w:tc>
      </w:tr>
      <w:tr>
        <w:trPr>
          <w:trHeight w:val="20"/>
        </w:trPr>
        <w:tc>
          <w:tcPr>
            <w:tcW w:w="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541" w:lineRule="exact"/>
        <w:rPr>
          <w:sz w:val="20"/>
          <w:szCs w:val="20"/>
          <w:color w:val="auto"/>
        </w:rPr>
      </w:pPr>
    </w:p>
    <w:p>
      <w:pPr>
        <w:sectPr>
          <w:pgSz w:w="11900" w:h="16838" w:orient="portrait"/>
          <w:cols w:equalWidth="0" w:num="2">
            <w:col w:w="7360" w:space="720"/>
            <w:col w:w="2220"/>
          </w:cols>
          <w:pgMar w:left="240" w:top="407" w:right="1359" w:bottom="1440" w:gutter="0" w:footer="0" w:header="0"/>
          <w:type w:val="continuous"/>
        </w:sectPr>
      </w:pPr>
    </w:p>
    <w:p>
      <w:pPr>
        <w:ind w:left="1120" w:right="240" w:firstLine="368"/>
        <w:spacing w:after="0" w:line="275" w:lineRule="auto"/>
        <w:rPr>
          <w:sz w:val="20"/>
          <w:szCs w:val="20"/>
          <w:color w:val="auto"/>
        </w:rPr>
      </w:pPr>
      <w:r>
        <w:rPr>
          <w:rFonts w:ascii="Arial" w:cs="Arial" w:eastAsia="Arial" w:hAnsi="Arial"/>
          <w:sz w:val="15"/>
          <w:szCs w:val="15"/>
          <w:color w:val="auto"/>
        </w:rPr>
        <w:t>Our largest source of operating cash is cash collections from our paying users for subscriptions to our platform. Our primary uses of cash from operating activities are for employee-related expenditures,</w:t>
      </w:r>
    </w:p>
    <w:p>
      <w:pPr>
        <w:spacing w:after="0" w:line="90" w:lineRule="exact"/>
        <w:rPr>
          <w:sz w:val="20"/>
          <w:szCs w:val="20"/>
          <w:color w:val="auto"/>
        </w:rPr>
      </w:pPr>
    </w:p>
    <w:p>
      <w:pPr>
        <w:ind w:left="5640"/>
        <w:spacing w:after="0"/>
        <w:rPr>
          <w:sz w:val="20"/>
          <w:szCs w:val="20"/>
          <w:color w:val="auto"/>
        </w:rPr>
      </w:pPr>
      <w:r>
        <w:rPr>
          <w:rFonts w:ascii="Arial" w:cs="Arial" w:eastAsia="Arial" w:hAnsi="Arial"/>
          <w:sz w:val="15"/>
          <w:szCs w:val="15"/>
          <w:color w:val="auto"/>
        </w:rPr>
        <w:t>83</w:t>
      </w:r>
    </w:p>
    <w:p>
      <w:pPr>
        <w:sectPr>
          <w:pgSz w:w="11900" w:h="16838" w:orient="portrait"/>
          <w:cols w:equalWidth="0" w:num="1">
            <w:col w:w="10300"/>
          </w:cols>
          <w:pgMar w:left="240" w:top="407" w:right="1359" w:bottom="1440" w:gutter="0" w:footer="0" w:header="0"/>
          <w:type w:val="continuous"/>
        </w:sectPr>
      </w:pPr>
    </w:p>
    <w:bookmarkStart w:id="90" w:name="page91"/>
    <w:bookmarkEnd w:id="90"/>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133350</wp:posOffset>
            </wp:positionH>
            <wp:positionV relativeFrom="page">
              <wp:posOffset>88900</wp:posOffset>
            </wp:positionV>
            <wp:extent cx="7308850" cy="342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308850" cy="34290"/>
                    </a:xfrm>
                    <a:prstGeom prst="rect">
                      <a:avLst/>
                    </a:prstGeom>
                    <a:noFill/>
                  </pic:spPr>
                </pic:pic>
              </a:graphicData>
            </a:graphic>
          </wp:anchor>
        </w:drawing>
      </w:r>
      <w:hyperlink w:anchor="page7">
        <w:r>
          <w:rPr>
            <w:rFonts w:ascii="Arial" w:cs="Arial" w:eastAsia="Arial" w:hAnsi="Arial"/>
            <w:sz w:val="15"/>
            <w:szCs w:val="15"/>
            <w:b w:val="1"/>
            <w:bCs w:val="1"/>
            <w:u w:val="single" w:color="auto"/>
            <w:color w:val="0000EE"/>
          </w:rPr>
          <w:t>Table of Contents</w:t>
        </w:r>
      </w:hyperlink>
    </w:p>
    <w:p>
      <w:pPr>
        <w:spacing w:after="0" w:line="260" w:lineRule="exact"/>
        <w:rPr>
          <w:sz w:val="20"/>
          <w:szCs w:val="20"/>
          <w:color w:val="auto"/>
        </w:rPr>
      </w:pPr>
    </w:p>
    <w:p>
      <w:pPr>
        <w:ind w:left="1120" w:right="100"/>
        <w:spacing w:after="0" w:line="263" w:lineRule="auto"/>
        <w:rPr>
          <w:sz w:val="20"/>
          <w:szCs w:val="20"/>
          <w:color w:val="auto"/>
        </w:rPr>
      </w:pPr>
      <w:r>
        <w:rPr>
          <w:rFonts w:ascii="Arial" w:cs="Arial" w:eastAsia="Arial" w:hAnsi="Arial"/>
          <w:sz w:val="15"/>
          <w:szCs w:val="15"/>
          <w:color w:val="auto"/>
        </w:rPr>
        <w:t>infrastructure-related costs, and marketing expenses. Net cash provided by operating activities is impacted by our net loss adjusted for certain non-cash items, including depreciation and amortization expenses and stock-based compensation, as well as the effect of changes in operating assets and liabilities.</w:t>
      </w:r>
    </w:p>
    <w:p>
      <w:pPr>
        <w:spacing w:after="0" w:line="155" w:lineRule="exact"/>
        <w:rPr>
          <w:sz w:val="20"/>
          <w:szCs w:val="20"/>
          <w:color w:val="auto"/>
        </w:rPr>
      </w:pPr>
    </w:p>
    <w:p>
      <w:pPr>
        <w:ind w:left="1480"/>
        <w:spacing w:after="0"/>
        <w:rPr>
          <w:sz w:val="20"/>
          <w:szCs w:val="20"/>
          <w:color w:val="auto"/>
        </w:rPr>
      </w:pPr>
      <w:r>
        <w:rPr>
          <w:rFonts w:ascii="Arial" w:cs="Arial" w:eastAsia="Arial" w:hAnsi="Arial"/>
          <w:sz w:val="14"/>
          <w:szCs w:val="14"/>
          <w:color w:val="auto"/>
        </w:rPr>
        <w:t>For the year ended December 31, 2017, net cash provided by operating activities was $330.3 million, which mostly consisted of our net loss of</w:t>
      </w:r>
    </w:p>
    <w:p>
      <w:pPr>
        <w:spacing w:after="0" w:line="29" w:lineRule="exact"/>
        <w:rPr>
          <w:sz w:val="20"/>
          <w:szCs w:val="20"/>
          <w:color w:val="auto"/>
        </w:rPr>
      </w:pPr>
    </w:p>
    <w:p>
      <w:pPr>
        <w:ind w:left="1120"/>
        <w:spacing w:after="0"/>
        <w:rPr>
          <w:sz w:val="20"/>
          <w:szCs w:val="20"/>
          <w:color w:val="auto"/>
        </w:rPr>
      </w:pPr>
      <w:r>
        <w:rPr>
          <w:rFonts w:ascii="Arial" w:cs="Arial" w:eastAsia="Arial" w:hAnsi="Arial"/>
          <w:sz w:val="13"/>
          <w:szCs w:val="13"/>
          <w:color w:val="auto"/>
        </w:rPr>
        <w:t>$111.7 million, adjusted for depreciation and amortization expenses of $181.8 million and stock-based compensation expense of $164.6 million, and net</w:t>
      </w:r>
    </w:p>
    <w:p>
      <w:pPr>
        <w:spacing w:after="0" w:line="31" w:lineRule="exact"/>
        <w:rPr>
          <w:sz w:val="20"/>
          <w:szCs w:val="20"/>
          <w:color w:val="auto"/>
        </w:rPr>
      </w:pPr>
    </w:p>
    <w:p>
      <w:pPr>
        <w:ind w:left="1120"/>
        <w:spacing w:after="0"/>
        <w:rPr>
          <w:sz w:val="20"/>
          <w:szCs w:val="20"/>
          <w:color w:val="auto"/>
        </w:rPr>
      </w:pPr>
      <w:r>
        <w:rPr>
          <w:rFonts w:ascii="Arial" w:cs="Arial" w:eastAsia="Arial" w:hAnsi="Arial"/>
          <w:sz w:val="14"/>
          <w:szCs w:val="14"/>
          <w:color w:val="auto"/>
        </w:rPr>
        <w:t>cash inflow of $81.3 million from operating assets and liabilities. The inflow from operating assets and liabilities was primarily due to an increase of</w:t>
      </w:r>
    </w:p>
    <w:p>
      <w:pPr>
        <w:spacing w:after="0" w:line="19" w:lineRule="exact"/>
        <w:rPr>
          <w:sz w:val="20"/>
          <w:szCs w:val="20"/>
          <w:color w:val="auto"/>
        </w:rPr>
      </w:pPr>
    </w:p>
    <w:p>
      <w:pPr>
        <w:ind w:left="1120"/>
        <w:spacing w:after="0"/>
        <w:rPr>
          <w:sz w:val="20"/>
          <w:szCs w:val="20"/>
          <w:color w:val="auto"/>
        </w:rPr>
      </w:pPr>
      <w:r>
        <w:rPr>
          <w:rFonts w:ascii="Arial" w:cs="Arial" w:eastAsia="Arial" w:hAnsi="Arial"/>
          <w:sz w:val="13"/>
          <w:szCs w:val="13"/>
          <w:color w:val="auto"/>
        </w:rPr>
        <w:t>$64.3 million in deferred revenue from increased subscription sales, as a majority of our paying users are invoiced in advance. The increase in net cash</w:t>
      </w:r>
    </w:p>
    <w:p>
      <w:pPr>
        <w:spacing w:after="0" w:line="31" w:lineRule="exact"/>
        <w:rPr>
          <w:sz w:val="20"/>
          <w:szCs w:val="20"/>
          <w:color w:val="auto"/>
        </w:rPr>
      </w:pPr>
    </w:p>
    <w:p>
      <w:pPr>
        <w:ind w:left="1120"/>
        <w:spacing w:after="0"/>
        <w:rPr>
          <w:sz w:val="20"/>
          <w:szCs w:val="20"/>
          <w:color w:val="auto"/>
        </w:rPr>
      </w:pPr>
      <w:r>
        <w:rPr>
          <w:rFonts w:ascii="Arial" w:cs="Arial" w:eastAsia="Arial" w:hAnsi="Arial"/>
          <w:sz w:val="14"/>
          <w:szCs w:val="14"/>
          <w:color w:val="auto"/>
        </w:rPr>
        <w:t>provided by operating activities during the year ended December 31, 2017, compared to the year ended December 31, 2016, was primarily due to a</w:t>
      </w:r>
    </w:p>
    <w:p>
      <w:pPr>
        <w:spacing w:after="0" w:line="19" w:lineRule="exact"/>
        <w:rPr>
          <w:sz w:val="20"/>
          <w:szCs w:val="20"/>
          <w:color w:val="auto"/>
        </w:rPr>
      </w:pPr>
    </w:p>
    <w:p>
      <w:pPr>
        <w:ind w:left="1120"/>
        <w:spacing w:after="0"/>
        <w:rPr>
          <w:sz w:val="20"/>
          <w:szCs w:val="20"/>
          <w:color w:val="auto"/>
        </w:rPr>
      </w:pPr>
      <w:r>
        <w:rPr>
          <w:rFonts w:ascii="Arial" w:cs="Arial" w:eastAsia="Arial" w:hAnsi="Arial"/>
          <w:sz w:val="13"/>
          <w:szCs w:val="13"/>
          <w:color w:val="auto"/>
        </w:rPr>
        <w:t>reduction of our net loss, as adjusted for stock-based compensation and depreciation and amortization expenses, as well as cash inflow from changes in</w:t>
      </w:r>
    </w:p>
    <w:p>
      <w:pPr>
        <w:spacing w:after="0" w:line="31" w:lineRule="exact"/>
        <w:rPr>
          <w:sz w:val="20"/>
          <w:szCs w:val="20"/>
          <w:color w:val="auto"/>
        </w:rPr>
      </w:pPr>
    </w:p>
    <w:p>
      <w:pPr>
        <w:ind w:left="1120"/>
        <w:spacing w:after="0"/>
        <w:rPr>
          <w:sz w:val="20"/>
          <w:szCs w:val="20"/>
          <w:color w:val="auto"/>
        </w:rPr>
      </w:pPr>
      <w:r>
        <w:rPr>
          <w:rFonts w:ascii="Arial" w:cs="Arial" w:eastAsia="Arial" w:hAnsi="Arial"/>
          <w:sz w:val="15"/>
          <w:szCs w:val="15"/>
          <w:color w:val="auto"/>
        </w:rPr>
        <w:t>operating assets and liabilities.</w:t>
      </w:r>
    </w:p>
    <w:p>
      <w:pPr>
        <w:spacing w:after="0" w:line="179" w:lineRule="exact"/>
        <w:rPr>
          <w:sz w:val="20"/>
          <w:szCs w:val="20"/>
          <w:color w:val="auto"/>
        </w:rPr>
      </w:pPr>
    </w:p>
    <w:p>
      <w:pPr>
        <w:ind w:left="1120" w:firstLine="368"/>
        <w:spacing w:after="0" w:line="276" w:lineRule="auto"/>
        <w:rPr>
          <w:sz w:val="20"/>
          <w:szCs w:val="20"/>
          <w:color w:val="auto"/>
        </w:rPr>
      </w:pPr>
      <w:r>
        <w:rPr>
          <w:rFonts w:ascii="Arial" w:cs="Arial" w:eastAsia="Arial" w:hAnsi="Arial"/>
          <w:sz w:val="14"/>
          <w:szCs w:val="14"/>
          <w:color w:val="auto"/>
        </w:rPr>
        <w:t>For the year ended December 31, 2016, net cash provided by operating activities was $252.6 million, which primarily consisted of our net loss of $210.2 million, adjusted for depreciation and amortization expenses of $191.6 million and stock-based compensation expense of $147.6 million, as well as a net cash inflow of $118.8 million from operating assets and liabilities. The inflow from operating assets and liabilities was primarily due to an increase of $87.6 million in deferred revenue from increased subscription sales, as a majority of our paying users are invoiced in advance, and an increase of $35.6 million in accrued compensation and benefits due to the introduction of our annual bonus plan. The increase in net cash from operating activities during 2016 compared to 2015 was primarily due to a reduction of our net loss, as adjusted for stock-based compensation and depreciation and amortization expenses, as well as cash inflow from changes in operating assets and liabilities.</w:t>
      </w:r>
    </w:p>
    <w:p>
      <w:pPr>
        <w:spacing w:after="0" w:line="148" w:lineRule="exact"/>
        <w:rPr>
          <w:sz w:val="20"/>
          <w:szCs w:val="20"/>
          <w:color w:val="auto"/>
        </w:rPr>
      </w:pPr>
    </w:p>
    <w:p>
      <w:pPr>
        <w:ind w:left="1480"/>
        <w:spacing w:after="0"/>
        <w:rPr>
          <w:sz w:val="20"/>
          <w:szCs w:val="20"/>
          <w:color w:val="auto"/>
        </w:rPr>
      </w:pPr>
      <w:r>
        <w:rPr>
          <w:rFonts w:ascii="Arial" w:cs="Arial" w:eastAsia="Arial" w:hAnsi="Arial"/>
          <w:sz w:val="14"/>
          <w:szCs w:val="14"/>
          <w:color w:val="auto"/>
        </w:rPr>
        <w:t>For the year ended December 31, 2015, net cash provided by operating activities was $14.8 million, which mostly consisted of our net loss of</w:t>
      </w:r>
    </w:p>
    <w:p>
      <w:pPr>
        <w:spacing w:after="0" w:line="29" w:lineRule="exact"/>
        <w:rPr>
          <w:sz w:val="20"/>
          <w:szCs w:val="20"/>
          <w:color w:val="auto"/>
        </w:rPr>
      </w:pPr>
    </w:p>
    <w:p>
      <w:pPr>
        <w:ind w:left="1120"/>
        <w:spacing w:after="0"/>
        <w:rPr>
          <w:sz w:val="20"/>
          <w:szCs w:val="20"/>
          <w:color w:val="auto"/>
        </w:rPr>
      </w:pPr>
      <w:r>
        <w:rPr>
          <w:rFonts w:ascii="Arial" w:cs="Arial" w:eastAsia="Arial" w:hAnsi="Arial"/>
          <w:sz w:val="13"/>
          <w:szCs w:val="13"/>
          <w:color w:val="auto"/>
        </w:rPr>
        <w:t>$325.9 million, adjusted for depreciation and amortization expenses of $149.6 million and stock-based compensation expense of $66.1 million, as well</w:t>
      </w:r>
    </w:p>
    <w:p>
      <w:pPr>
        <w:spacing w:after="0" w:line="31" w:lineRule="exact"/>
        <w:rPr>
          <w:sz w:val="20"/>
          <w:szCs w:val="20"/>
          <w:color w:val="auto"/>
        </w:rPr>
      </w:pPr>
    </w:p>
    <w:p>
      <w:pPr>
        <w:ind w:left="1120"/>
        <w:spacing w:after="0"/>
        <w:rPr>
          <w:sz w:val="20"/>
          <w:szCs w:val="20"/>
          <w:color w:val="auto"/>
        </w:rPr>
      </w:pPr>
      <w:r>
        <w:rPr>
          <w:rFonts w:ascii="Arial" w:cs="Arial" w:eastAsia="Arial" w:hAnsi="Arial"/>
          <w:sz w:val="14"/>
          <w:szCs w:val="14"/>
          <w:color w:val="auto"/>
        </w:rPr>
        <w:t>as a net cash inflow of $123.6 million from operating assets and liabilities. The inflow from operating assets and liabilities was primarily due to an</w:t>
      </w:r>
    </w:p>
    <w:p>
      <w:pPr>
        <w:spacing w:after="0" w:line="19" w:lineRule="exact"/>
        <w:rPr>
          <w:sz w:val="20"/>
          <w:szCs w:val="20"/>
          <w:color w:val="auto"/>
        </w:rPr>
      </w:pPr>
    </w:p>
    <w:p>
      <w:pPr>
        <w:ind w:left="1120"/>
        <w:spacing w:after="0"/>
        <w:rPr>
          <w:sz w:val="20"/>
          <w:szCs w:val="20"/>
          <w:color w:val="auto"/>
        </w:rPr>
      </w:pPr>
      <w:r>
        <w:rPr>
          <w:rFonts w:ascii="Arial" w:cs="Arial" w:eastAsia="Arial" w:hAnsi="Arial"/>
          <w:sz w:val="14"/>
          <w:szCs w:val="14"/>
          <w:color w:val="auto"/>
        </w:rPr>
        <w:t>increase of $82.0 million in deferred revenue from increased subscription sales, as a majority of our paying users are invoiced in advance, and an</w:t>
      </w:r>
    </w:p>
    <w:p>
      <w:pPr>
        <w:spacing w:after="0" w:line="19" w:lineRule="exact"/>
        <w:rPr>
          <w:sz w:val="20"/>
          <w:szCs w:val="20"/>
          <w:color w:val="auto"/>
        </w:rPr>
      </w:pPr>
    </w:p>
    <w:p>
      <w:pPr>
        <w:ind w:left="1120"/>
        <w:spacing w:after="0"/>
        <w:rPr>
          <w:sz w:val="20"/>
          <w:szCs w:val="20"/>
          <w:color w:val="auto"/>
        </w:rPr>
      </w:pPr>
      <w:r>
        <w:rPr>
          <w:rFonts w:ascii="Arial" w:cs="Arial" w:eastAsia="Arial" w:hAnsi="Arial"/>
          <w:sz w:val="15"/>
          <w:szCs w:val="15"/>
          <w:color w:val="auto"/>
        </w:rPr>
        <w:t>increase of $50.6 million in current and non-current liabilities.</w:t>
      </w:r>
    </w:p>
    <w:p>
      <w:pPr>
        <w:spacing w:after="0" w:line="269" w:lineRule="exact"/>
        <w:rPr>
          <w:sz w:val="20"/>
          <w:szCs w:val="20"/>
          <w:color w:val="auto"/>
        </w:rPr>
      </w:pPr>
    </w:p>
    <w:p>
      <w:pPr>
        <w:ind w:left="1480"/>
        <w:spacing w:after="0"/>
        <w:rPr>
          <w:sz w:val="20"/>
          <w:szCs w:val="20"/>
          <w:color w:val="auto"/>
        </w:rPr>
      </w:pPr>
      <w:r>
        <w:rPr>
          <w:rFonts w:ascii="Arial" w:cs="Arial" w:eastAsia="Arial" w:hAnsi="Arial"/>
          <w:sz w:val="15"/>
          <w:szCs w:val="15"/>
          <w:b w:val="1"/>
          <w:bCs w:val="1"/>
          <w:i w:val="1"/>
          <w:iCs w:val="1"/>
          <w:color w:val="auto"/>
        </w:rPr>
        <w:t>Investing activities</w:t>
      </w:r>
    </w:p>
    <w:p>
      <w:pPr>
        <w:spacing w:after="0" w:line="98" w:lineRule="exact"/>
        <w:rPr>
          <w:sz w:val="20"/>
          <w:szCs w:val="20"/>
          <w:color w:val="auto"/>
        </w:rPr>
      </w:pPr>
    </w:p>
    <w:p>
      <w:pPr>
        <w:ind w:left="1120" w:right="360" w:firstLine="368"/>
        <w:spacing w:after="0" w:line="354" w:lineRule="auto"/>
        <w:rPr>
          <w:sz w:val="20"/>
          <w:szCs w:val="20"/>
          <w:color w:val="auto"/>
        </w:rPr>
      </w:pPr>
      <w:r>
        <w:rPr>
          <w:rFonts w:ascii="Arial" w:cs="Arial" w:eastAsia="Arial" w:hAnsi="Arial"/>
          <w:sz w:val="13"/>
          <w:szCs w:val="13"/>
          <w:color w:val="auto"/>
        </w:rPr>
        <w:t>Net cash used in investing activities is primarily impacted by purchases of property and equipment, particularly for purchasing infrastructure equipment in co-location facilities that we directly lease and operate, and for making improvements to existing and new office spaces.</w:t>
      </w:r>
    </w:p>
    <w:p>
      <w:pPr>
        <w:spacing w:after="0" w:line="100" w:lineRule="exact"/>
        <w:rPr>
          <w:sz w:val="20"/>
          <w:szCs w:val="20"/>
          <w:color w:val="auto"/>
        </w:rPr>
      </w:pPr>
    </w:p>
    <w:p>
      <w:pPr>
        <w:ind w:left="1120" w:right="20" w:firstLine="368"/>
        <w:spacing w:after="0" w:line="259" w:lineRule="auto"/>
        <w:rPr>
          <w:sz w:val="20"/>
          <w:szCs w:val="20"/>
          <w:color w:val="auto"/>
        </w:rPr>
      </w:pPr>
      <w:r>
        <w:rPr>
          <w:rFonts w:ascii="Arial" w:cs="Arial" w:eastAsia="Arial" w:hAnsi="Arial"/>
          <w:sz w:val="15"/>
          <w:szCs w:val="15"/>
          <w:color w:val="auto"/>
        </w:rPr>
        <w:t>For the year ended December 31, 2017, net cash used in investing activities was $23.9 million, which mostly consisted of capital expenditures related to our infrastructure equipment and office build-outs. The decrease in cash used in investing activities during the year ended December 31, 2017, compared to the year ended December 31, 2016, was primarily due to decreases in capital expenditures for infrastructure equipment and leasehold improvements related to our current corporate headquarters.</w:t>
      </w:r>
    </w:p>
    <w:p>
      <w:pPr>
        <w:spacing w:after="0" w:line="158" w:lineRule="exact"/>
        <w:rPr>
          <w:sz w:val="20"/>
          <w:szCs w:val="20"/>
          <w:color w:val="auto"/>
        </w:rPr>
      </w:pPr>
    </w:p>
    <w:p>
      <w:pPr>
        <w:jc w:val="both"/>
        <w:ind w:left="1120" w:right="140" w:firstLine="368"/>
        <w:spacing w:after="0" w:line="263" w:lineRule="auto"/>
        <w:rPr>
          <w:sz w:val="20"/>
          <w:szCs w:val="20"/>
          <w:color w:val="auto"/>
        </w:rPr>
      </w:pPr>
      <w:r>
        <w:rPr>
          <w:rFonts w:ascii="Arial" w:cs="Arial" w:eastAsia="Arial" w:hAnsi="Arial"/>
          <w:sz w:val="15"/>
          <w:szCs w:val="15"/>
          <w:color w:val="auto"/>
        </w:rPr>
        <w:t>For the year ended December 31, 2016, net cash used in investing activities was $118.0 million, which mostly consisted of capital expenditures related to our infrastructure and office build-outs. The increase in cash used in investing activities during 2016 compared to 2015 was primarily due to increases in capital expenditures and patent purchases.</w:t>
      </w:r>
    </w:p>
    <w:p>
      <w:pPr>
        <w:spacing w:after="0" w:line="155" w:lineRule="exact"/>
        <w:rPr>
          <w:sz w:val="20"/>
          <w:szCs w:val="20"/>
          <w:color w:val="auto"/>
        </w:rPr>
      </w:pPr>
    </w:p>
    <w:p>
      <w:pPr>
        <w:ind w:left="1120" w:right="260" w:firstLine="368"/>
        <w:spacing w:after="0" w:line="275" w:lineRule="auto"/>
        <w:rPr>
          <w:sz w:val="20"/>
          <w:szCs w:val="20"/>
          <w:color w:val="auto"/>
        </w:rPr>
      </w:pPr>
      <w:r>
        <w:rPr>
          <w:rFonts w:ascii="Arial" w:cs="Arial" w:eastAsia="Arial" w:hAnsi="Arial"/>
          <w:sz w:val="15"/>
          <w:szCs w:val="15"/>
          <w:color w:val="auto"/>
        </w:rPr>
        <w:t>For the year ended December 31, 2015, net cash used in investing activities was $85.6 million, which mostly consisted of capital expenditures related to our infrastructure equipment and office build-outs.</w:t>
      </w:r>
    </w:p>
    <w:p>
      <w:pPr>
        <w:spacing w:after="0" w:line="90" w:lineRule="exact"/>
        <w:rPr>
          <w:sz w:val="20"/>
          <w:szCs w:val="20"/>
          <w:color w:val="auto"/>
        </w:rPr>
      </w:pPr>
    </w:p>
    <w:p>
      <w:pPr>
        <w:ind w:left="5640"/>
        <w:spacing w:after="0"/>
        <w:rPr>
          <w:sz w:val="20"/>
          <w:szCs w:val="20"/>
          <w:color w:val="auto"/>
        </w:rPr>
      </w:pPr>
      <w:r>
        <w:rPr>
          <w:rFonts w:ascii="Arial" w:cs="Arial" w:eastAsia="Arial" w:hAnsi="Arial"/>
          <w:sz w:val="15"/>
          <w:szCs w:val="15"/>
          <w:color w:val="auto"/>
        </w:rPr>
        <w:t>84</w:t>
      </w:r>
    </w:p>
    <w:p>
      <w:pPr>
        <w:sectPr>
          <w:pgSz w:w="11900" w:h="16838" w:orient="portrait"/>
          <w:cols w:equalWidth="0" w:num="1">
            <w:col w:w="10300"/>
          </w:cols>
          <w:pgMar w:left="240" w:top="407" w:right="1359" w:bottom="1440" w:gutter="0" w:footer="0" w:header="0"/>
        </w:sectPr>
      </w:pPr>
    </w:p>
    <w:bookmarkStart w:id="91" w:name="page92"/>
    <w:bookmarkEnd w:id="91"/>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133350</wp:posOffset>
            </wp:positionH>
            <wp:positionV relativeFrom="page">
              <wp:posOffset>88900</wp:posOffset>
            </wp:positionV>
            <wp:extent cx="7308850" cy="342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308850" cy="34290"/>
                    </a:xfrm>
                    <a:prstGeom prst="rect">
                      <a:avLst/>
                    </a:prstGeom>
                    <a:noFill/>
                  </pic:spPr>
                </pic:pic>
              </a:graphicData>
            </a:graphic>
          </wp:anchor>
        </w:drawing>
      </w:r>
      <w:hyperlink w:anchor="page7">
        <w:r>
          <w:rPr>
            <w:rFonts w:ascii="Arial" w:cs="Arial" w:eastAsia="Arial" w:hAnsi="Arial"/>
            <w:sz w:val="15"/>
            <w:szCs w:val="15"/>
            <w:b w:val="1"/>
            <w:bCs w:val="1"/>
            <w:u w:val="single" w:color="auto"/>
            <w:color w:val="0000EE"/>
          </w:rPr>
          <w:t>Table of Contents</w:t>
        </w:r>
      </w:hyperlink>
    </w:p>
    <w:p>
      <w:pPr>
        <w:spacing w:after="0" w:line="260" w:lineRule="exact"/>
        <w:rPr>
          <w:sz w:val="20"/>
          <w:szCs w:val="20"/>
          <w:color w:val="auto"/>
        </w:rPr>
      </w:pPr>
    </w:p>
    <w:p>
      <w:pPr>
        <w:ind w:left="1480"/>
        <w:spacing w:after="0"/>
        <w:rPr>
          <w:sz w:val="20"/>
          <w:szCs w:val="20"/>
          <w:color w:val="auto"/>
        </w:rPr>
      </w:pPr>
      <w:r>
        <w:rPr>
          <w:rFonts w:ascii="Arial" w:cs="Arial" w:eastAsia="Arial" w:hAnsi="Arial"/>
          <w:sz w:val="15"/>
          <w:szCs w:val="15"/>
          <w:b w:val="1"/>
          <w:bCs w:val="1"/>
          <w:i w:val="1"/>
          <w:iCs w:val="1"/>
          <w:color w:val="auto"/>
        </w:rPr>
        <w:t>Financing activities</w:t>
      </w:r>
    </w:p>
    <w:p>
      <w:pPr>
        <w:spacing w:after="0" w:line="98" w:lineRule="exact"/>
        <w:rPr>
          <w:sz w:val="20"/>
          <w:szCs w:val="20"/>
          <w:color w:val="auto"/>
        </w:rPr>
      </w:pPr>
    </w:p>
    <w:p>
      <w:pPr>
        <w:ind w:left="1120" w:right="20" w:firstLine="368"/>
        <w:spacing w:after="0" w:line="257" w:lineRule="auto"/>
        <w:rPr>
          <w:sz w:val="20"/>
          <w:szCs w:val="20"/>
          <w:color w:val="auto"/>
        </w:rPr>
      </w:pPr>
      <w:r>
        <w:rPr>
          <w:rFonts w:ascii="Arial" w:cs="Arial" w:eastAsia="Arial" w:hAnsi="Arial"/>
          <w:sz w:val="15"/>
          <w:szCs w:val="15"/>
          <w:color w:val="auto"/>
        </w:rPr>
        <w:t>Net cash used in financing activities is primarily impacted by capital lease obligations for our infrastructure equipment and repurchases of common stock to satisfy the tax withholding obligation for the release of restricted stock units (“RSUs”). In 2017, we began releasing shares of common stock underlying vested one-tier RSUs, which generally have a service-based vesting condition over a four-year period and resulted in cash outflows to satisfy the employee tax withholding obligation for those employees who elected to net share settle their awards. See “—Significant Impacts of Stock-Based Compensation” for additional information.</w:t>
      </w:r>
    </w:p>
    <w:p>
      <w:pPr>
        <w:spacing w:after="0" w:line="159" w:lineRule="exact"/>
        <w:rPr>
          <w:sz w:val="20"/>
          <w:szCs w:val="20"/>
          <w:color w:val="auto"/>
        </w:rPr>
      </w:pPr>
    </w:p>
    <w:p>
      <w:pPr>
        <w:ind w:left="1120" w:right="20" w:firstLine="368"/>
        <w:spacing w:after="0" w:line="311" w:lineRule="auto"/>
        <w:rPr>
          <w:sz w:val="20"/>
          <w:szCs w:val="20"/>
          <w:color w:val="auto"/>
        </w:rPr>
      </w:pPr>
      <w:r>
        <w:rPr>
          <w:rFonts w:ascii="Arial" w:cs="Arial" w:eastAsia="Arial" w:hAnsi="Arial"/>
          <w:sz w:val="13"/>
          <w:szCs w:val="13"/>
          <w:color w:val="auto"/>
        </w:rPr>
        <w:t>For the year ended December 31, 2017, net cash used in financing activities was $231.7 million, which primarily consisted of $133.0 million in principal payments against capital lease obligations and $87.9 million for the satisfaction of tax withholding obligations for the release of restricted stock units. The increase in cash used by financing activities during the year ended December 31, 2017, compared to the year ended December 31, 2016, was primarily due to the increase of $87.9 million related to the satisfaction of tax withholding obligations for the release of restricted stock units.</w:t>
      </w:r>
    </w:p>
    <w:p>
      <w:pPr>
        <w:spacing w:after="0" w:line="127" w:lineRule="exact"/>
        <w:rPr>
          <w:sz w:val="20"/>
          <w:szCs w:val="20"/>
          <w:color w:val="auto"/>
        </w:rPr>
      </w:pPr>
    </w:p>
    <w:p>
      <w:pPr>
        <w:ind w:left="1120" w:right="80" w:firstLine="368"/>
        <w:spacing w:after="0" w:line="277" w:lineRule="auto"/>
        <w:rPr>
          <w:sz w:val="20"/>
          <w:szCs w:val="20"/>
          <w:color w:val="auto"/>
        </w:rPr>
      </w:pPr>
      <w:r>
        <w:rPr>
          <w:rFonts w:ascii="Arial" w:cs="Arial" w:eastAsia="Arial" w:hAnsi="Arial"/>
          <w:sz w:val="14"/>
          <w:szCs w:val="14"/>
          <w:color w:val="auto"/>
        </w:rPr>
        <w:t>For the year ended December 31, 2016, net cash used in financing activities was $134.5 million, which primarily consisted of $137.9 million in principal payments against capital lease obligations and $3.8 million in principal payments against the note payable issued in 2015 as described below, offset by $8.8 million in proceeds received for a sale-leaseback agreement. The increase in cash used in financing activities during 2016 compared to 2015 was primarily due to an increase of $36.7 million in principal payments on capital leases for our infrastructure, a decrease of $11.9 million in cash received through the issuance of a note payable issued in 2015, as well as an increase of $3.8 million in payments against the note payable in 2016, partially offset by $8.8 million in cash received in a sale lease-back agreement.</w:t>
      </w:r>
    </w:p>
    <w:p>
      <w:pPr>
        <w:spacing w:after="0" w:line="148" w:lineRule="exact"/>
        <w:rPr>
          <w:sz w:val="20"/>
          <w:szCs w:val="20"/>
          <w:color w:val="auto"/>
        </w:rPr>
      </w:pPr>
    </w:p>
    <w:p>
      <w:pPr>
        <w:ind w:left="1120" w:right="280" w:firstLine="368"/>
        <w:spacing w:after="0" w:line="263" w:lineRule="auto"/>
        <w:rPr>
          <w:sz w:val="20"/>
          <w:szCs w:val="20"/>
          <w:color w:val="auto"/>
        </w:rPr>
      </w:pPr>
      <w:r>
        <w:rPr>
          <w:rFonts w:ascii="Arial" w:cs="Arial" w:eastAsia="Arial" w:hAnsi="Arial"/>
          <w:sz w:val="15"/>
          <w:szCs w:val="15"/>
          <w:color w:val="auto"/>
        </w:rPr>
        <w:t>For the year ended December 31, 2015, net cash used in financing activities was $89.6 million, which primarily consisted of $101.2 million in principal payments against capital lease obligations, offset by $11.9 million in cash received through the issuance of a note payable to finance our infrastructure.</w:t>
      </w:r>
    </w:p>
    <w:p>
      <w:pPr>
        <w:spacing w:after="0" w:line="241" w:lineRule="exact"/>
        <w:rPr>
          <w:sz w:val="20"/>
          <w:szCs w:val="20"/>
          <w:color w:val="auto"/>
        </w:rPr>
      </w:pPr>
    </w:p>
    <w:p>
      <w:pPr>
        <w:ind w:left="1120"/>
        <w:spacing w:after="0"/>
        <w:rPr>
          <w:sz w:val="20"/>
          <w:szCs w:val="20"/>
          <w:color w:val="auto"/>
        </w:rPr>
      </w:pPr>
      <w:r>
        <w:rPr>
          <w:rFonts w:ascii="Arial" w:cs="Arial" w:eastAsia="Arial" w:hAnsi="Arial"/>
          <w:sz w:val="15"/>
          <w:szCs w:val="15"/>
          <w:b w:val="1"/>
          <w:bCs w:val="1"/>
          <w:color w:val="auto"/>
        </w:rPr>
        <w:t>Contractual Obligations</w:t>
      </w:r>
    </w:p>
    <w:p>
      <w:pPr>
        <w:spacing w:after="0" w:line="102" w:lineRule="exact"/>
        <w:rPr>
          <w:sz w:val="20"/>
          <w:szCs w:val="20"/>
          <w:color w:val="auto"/>
        </w:rPr>
      </w:pPr>
    </w:p>
    <w:p>
      <w:pPr>
        <w:ind w:left="1120" w:right="420" w:firstLine="368"/>
        <w:spacing w:after="0" w:line="263" w:lineRule="auto"/>
        <w:rPr>
          <w:sz w:val="20"/>
          <w:szCs w:val="20"/>
          <w:color w:val="auto"/>
        </w:rPr>
      </w:pPr>
      <w:r>
        <w:rPr>
          <w:rFonts w:ascii="Arial" w:cs="Arial" w:eastAsia="Arial" w:hAnsi="Arial"/>
          <w:sz w:val="15"/>
          <w:szCs w:val="15"/>
          <w:color w:val="auto"/>
        </w:rPr>
        <w:t>Our principal commitments consist of obligations under operating leases for office space and datacenter operations, and capital leases for datacenter equipment. The following table summarizes our commitments to settle contractual obligations in cash as of December 31, 2017, for the periods presented below:</w:t>
      </w:r>
    </w:p>
    <w:p>
      <w:pPr>
        <w:spacing w:after="0" w:line="154" w:lineRule="exact"/>
        <w:rPr>
          <w:sz w:val="20"/>
          <w:szCs w:val="20"/>
          <w:color w:val="auto"/>
        </w:rPr>
      </w:pPr>
    </w:p>
    <w:tbl>
      <w:tblPr>
        <w:tblLayout w:type="fixed"/>
        <w:tblInd w:w="1120" w:type="dxa"/>
        <w:tblCellMar>
          <w:top w:w="0" w:type="dxa"/>
          <w:left w:w="0" w:type="dxa"/>
          <w:bottom w:w="0" w:type="dxa"/>
          <w:right w:w="0" w:type="dxa"/>
        </w:tblCellMar>
      </w:tblPr>
      <w:tr>
        <w:trPr>
          <w:trHeight w:val="138"/>
        </w:trPr>
        <w:tc>
          <w:tcPr>
            <w:tcW w:w="5020" w:type="dxa"/>
            <w:vAlign w:val="bottom"/>
          </w:tcPr>
          <w:p>
            <w:pPr>
              <w:spacing w:after="0"/>
              <w:rPr>
                <w:sz w:val="12"/>
                <w:szCs w:val="12"/>
                <w:color w:val="auto"/>
              </w:rPr>
            </w:pPr>
          </w:p>
        </w:tc>
        <w:tc>
          <w:tcPr>
            <w:tcW w:w="540" w:type="dxa"/>
            <w:vAlign w:val="bottom"/>
            <w:vMerge w:val="restart"/>
          </w:tcPr>
          <w:p>
            <w:pPr>
              <w:jc w:val="right"/>
              <w:ind w:right="68"/>
              <w:spacing w:after="0"/>
              <w:rPr>
                <w:sz w:val="20"/>
                <w:szCs w:val="20"/>
                <w:color w:val="auto"/>
              </w:rPr>
            </w:pPr>
            <w:r>
              <w:rPr>
                <w:rFonts w:ascii="Arial" w:cs="Arial" w:eastAsia="Arial" w:hAnsi="Arial"/>
                <w:sz w:val="12"/>
                <w:szCs w:val="12"/>
                <w:b w:val="1"/>
                <w:bCs w:val="1"/>
                <w:color w:val="auto"/>
              </w:rPr>
              <w:t>Total</w:t>
            </w:r>
          </w:p>
        </w:tc>
        <w:tc>
          <w:tcPr>
            <w:tcW w:w="860" w:type="dxa"/>
            <w:vAlign w:val="bottom"/>
            <w:gridSpan w:val="3"/>
          </w:tcPr>
          <w:p>
            <w:pPr>
              <w:ind w:left="360"/>
              <w:spacing w:after="0"/>
              <w:rPr>
                <w:sz w:val="20"/>
                <w:szCs w:val="20"/>
                <w:color w:val="auto"/>
              </w:rPr>
            </w:pPr>
            <w:r>
              <w:rPr>
                <w:rFonts w:ascii="Arial" w:cs="Arial" w:eastAsia="Arial" w:hAnsi="Arial"/>
                <w:sz w:val="12"/>
                <w:szCs w:val="12"/>
                <w:b w:val="1"/>
                <w:bCs w:val="1"/>
                <w:color w:val="auto"/>
                <w:w w:val="85"/>
              </w:rPr>
              <w:t>Less than</w:t>
            </w:r>
          </w:p>
        </w:tc>
        <w:tc>
          <w:tcPr>
            <w:tcW w:w="1120" w:type="dxa"/>
            <w:vAlign w:val="bottom"/>
            <w:gridSpan w:val="4"/>
            <w:vMerge w:val="restart"/>
          </w:tcPr>
          <w:p>
            <w:pPr>
              <w:ind w:left="380"/>
              <w:spacing w:after="0"/>
              <w:rPr>
                <w:sz w:val="20"/>
                <w:szCs w:val="20"/>
                <w:color w:val="auto"/>
              </w:rPr>
            </w:pPr>
            <w:r>
              <w:rPr>
                <w:rFonts w:ascii="Arial" w:cs="Arial" w:eastAsia="Arial" w:hAnsi="Arial"/>
                <w:sz w:val="12"/>
                <w:szCs w:val="12"/>
                <w:b w:val="1"/>
                <w:bCs w:val="1"/>
                <w:color w:val="auto"/>
              </w:rPr>
              <w:t>1 - 3 years</w:t>
            </w:r>
          </w:p>
        </w:tc>
        <w:tc>
          <w:tcPr>
            <w:tcW w:w="700" w:type="dxa"/>
            <w:vAlign w:val="bottom"/>
            <w:gridSpan w:val="3"/>
            <w:vMerge w:val="restart"/>
          </w:tcPr>
          <w:p>
            <w:pPr>
              <w:ind w:left="160"/>
              <w:spacing w:after="0"/>
              <w:rPr>
                <w:sz w:val="20"/>
                <w:szCs w:val="20"/>
                <w:color w:val="auto"/>
              </w:rPr>
            </w:pPr>
            <w:r>
              <w:rPr>
                <w:rFonts w:ascii="Arial" w:cs="Arial" w:eastAsia="Arial" w:hAnsi="Arial"/>
                <w:sz w:val="12"/>
                <w:szCs w:val="12"/>
                <w:b w:val="1"/>
                <w:bCs w:val="1"/>
                <w:color w:val="auto"/>
                <w:w w:val="88"/>
              </w:rPr>
              <w:t>3 - 5 years</w:t>
            </w:r>
          </w:p>
        </w:tc>
        <w:tc>
          <w:tcPr>
            <w:tcW w:w="960" w:type="dxa"/>
            <w:vAlign w:val="bottom"/>
            <w:gridSpan w:val="4"/>
          </w:tcPr>
          <w:p>
            <w:pPr>
              <w:ind w:left="360"/>
              <w:spacing w:after="0"/>
              <w:rPr>
                <w:sz w:val="20"/>
                <w:szCs w:val="20"/>
                <w:color w:val="auto"/>
              </w:rPr>
            </w:pPr>
            <w:r>
              <w:rPr>
                <w:rFonts w:ascii="Arial" w:cs="Arial" w:eastAsia="Arial" w:hAnsi="Arial"/>
                <w:sz w:val="12"/>
                <w:szCs w:val="12"/>
                <w:b w:val="1"/>
                <w:bCs w:val="1"/>
                <w:color w:val="auto"/>
              </w:rPr>
              <w:t>More than</w:t>
            </w:r>
          </w:p>
        </w:tc>
        <w:tc>
          <w:tcPr>
            <w:tcW w:w="0" w:type="dxa"/>
            <w:vAlign w:val="bottom"/>
          </w:tcPr>
          <w:p>
            <w:pPr>
              <w:spacing w:after="0"/>
              <w:rPr>
                <w:sz w:val="1"/>
                <w:szCs w:val="1"/>
                <w:color w:val="auto"/>
              </w:rPr>
            </w:pPr>
          </w:p>
        </w:tc>
      </w:tr>
      <w:tr>
        <w:trPr>
          <w:trHeight w:val="144"/>
        </w:trPr>
        <w:tc>
          <w:tcPr>
            <w:tcW w:w="5020" w:type="dxa"/>
            <w:vAlign w:val="bottom"/>
          </w:tcPr>
          <w:p>
            <w:pPr>
              <w:spacing w:after="0"/>
              <w:rPr>
                <w:sz w:val="12"/>
                <w:szCs w:val="12"/>
                <w:color w:val="auto"/>
              </w:rPr>
            </w:pPr>
          </w:p>
        </w:tc>
        <w:tc>
          <w:tcPr>
            <w:tcW w:w="540" w:type="dxa"/>
            <w:vAlign w:val="bottom"/>
            <w:vMerge w:val="continue"/>
          </w:tcPr>
          <w:p>
            <w:pPr>
              <w:spacing w:after="0"/>
              <w:rPr>
                <w:sz w:val="12"/>
                <w:szCs w:val="12"/>
                <w:color w:val="auto"/>
              </w:rPr>
            </w:pPr>
          </w:p>
        </w:tc>
        <w:tc>
          <w:tcPr>
            <w:tcW w:w="3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20" w:type="dxa"/>
            <w:vAlign w:val="bottom"/>
          </w:tcPr>
          <w:p>
            <w:pPr>
              <w:jc w:val="right"/>
              <w:ind w:right="8"/>
              <w:spacing w:after="0"/>
              <w:rPr>
                <w:sz w:val="20"/>
                <w:szCs w:val="20"/>
                <w:color w:val="auto"/>
              </w:rPr>
            </w:pPr>
            <w:r>
              <w:rPr>
                <w:rFonts w:ascii="Arial" w:cs="Arial" w:eastAsia="Arial" w:hAnsi="Arial"/>
                <w:sz w:val="12"/>
                <w:szCs w:val="12"/>
                <w:b w:val="1"/>
                <w:bCs w:val="1"/>
                <w:color w:val="auto"/>
                <w:w w:val="92"/>
              </w:rPr>
              <w:t>1 year</w:t>
            </w:r>
          </w:p>
        </w:tc>
        <w:tc>
          <w:tcPr>
            <w:tcW w:w="1120" w:type="dxa"/>
            <w:vAlign w:val="bottom"/>
            <w:gridSpan w:val="4"/>
            <w:vMerge w:val="continue"/>
          </w:tcPr>
          <w:p>
            <w:pPr>
              <w:spacing w:after="0"/>
              <w:rPr>
                <w:sz w:val="12"/>
                <w:szCs w:val="12"/>
                <w:color w:val="auto"/>
              </w:rPr>
            </w:pPr>
          </w:p>
        </w:tc>
        <w:tc>
          <w:tcPr>
            <w:tcW w:w="700" w:type="dxa"/>
            <w:vAlign w:val="bottom"/>
            <w:gridSpan w:val="3"/>
            <w:vMerge w:val="continue"/>
          </w:tcPr>
          <w:p>
            <w:pPr>
              <w:spacing w:after="0"/>
              <w:rPr>
                <w:sz w:val="12"/>
                <w:szCs w:val="12"/>
                <w:color w:val="auto"/>
              </w:rPr>
            </w:pP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gridSpan w:val="2"/>
          </w:tcPr>
          <w:p>
            <w:pPr>
              <w:ind w:left="20"/>
              <w:spacing w:after="0"/>
              <w:rPr>
                <w:sz w:val="20"/>
                <w:szCs w:val="20"/>
                <w:color w:val="auto"/>
              </w:rPr>
            </w:pPr>
            <w:r>
              <w:rPr>
                <w:rFonts w:ascii="Arial" w:cs="Arial" w:eastAsia="Arial" w:hAnsi="Arial"/>
                <w:sz w:val="12"/>
                <w:szCs w:val="12"/>
                <w:b w:val="1"/>
                <w:bCs w:val="1"/>
                <w:color w:val="auto"/>
              </w:rPr>
              <w:t>5 years</w:t>
            </w:r>
          </w:p>
        </w:tc>
        <w:tc>
          <w:tcPr>
            <w:tcW w:w="0" w:type="dxa"/>
            <w:vAlign w:val="bottom"/>
          </w:tcPr>
          <w:p>
            <w:pPr>
              <w:spacing w:after="0"/>
              <w:rPr>
                <w:sz w:val="1"/>
                <w:szCs w:val="1"/>
                <w:color w:val="auto"/>
              </w:rPr>
            </w:pPr>
          </w:p>
        </w:tc>
      </w:tr>
      <w:tr>
        <w:trPr>
          <w:trHeight w:val="115"/>
        </w:trPr>
        <w:tc>
          <w:tcPr>
            <w:tcW w:w="5020" w:type="dxa"/>
            <w:vAlign w:val="bottom"/>
          </w:tcPr>
          <w:p>
            <w:pPr>
              <w:spacing w:after="0"/>
              <w:rPr>
                <w:sz w:val="10"/>
                <w:szCs w:val="10"/>
                <w:color w:val="auto"/>
              </w:rPr>
            </w:pPr>
          </w:p>
        </w:tc>
        <w:tc>
          <w:tcPr>
            <w:tcW w:w="540" w:type="dxa"/>
            <w:vAlign w:val="bottom"/>
            <w:tcBorders>
              <w:top w:val="single" w:sz="8" w:color="auto"/>
            </w:tcBorders>
          </w:tcPr>
          <w:p>
            <w:pPr>
              <w:spacing w:after="0"/>
              <w:rPr>
                <w:sz w:val="10"/>
                <w:szCs w:val="10"/>
                <w:color w:val="auto"/>
              </w:rPr>
            </w:pPr>
          </w:p>
        </w:tc>
        <w:tc>
          <w:tcPr>
            <w:tcW w:w="380" w:type="dxa"/>
            <w:vAlign w:val="bottom"/>
            <w:tcBorders>
              <w:top w:val="single" w:sz="8" w:color="auto"/>
            </w:tcBorders>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420" w:type="dxa"/>
            <w:vAlign w:val="bottom"/>
            <w:tcBorders>
              <w:top w:val="single" w:sz="8" w:color="auto"/>
            </w:tcBorders>
          </w:tcPr>
          <w:p>
            <w:pPr>
              <w:spacing w:after="0"/>
              <w:rPr>
                <w:sz w:val="10"/>
                <w:szCs w:val="10"/>
                <w:color w:val="auto"/>
              </w:rPr>
            </w:pPr>
          </w:p>
        </w:tc>
        <w:tc>
          <w:tcPr>
            <w:tcW w:w="1120" w:type="dxa"/>
            <w:vAlign w:val="bottom"/>
            <w:tcBorders>
              <w:top w:val="single" w:sz="8" w:color="auto"/>
            </w:tcBorders>
            <w:gridSpan w:val="4"/>
          </w:tcPr>
          <w:p>
            <w:pPr>
              <w:ind w:left="360"/>
              <w:spacing w:after="0" w:line="115" w:lineRule="exact"/>
              <w:rPr>
                <w:sz w:val="20"/>
                <w:szCs w:val="20"/>
                <w:color w:val="auto"/>
              </w:rPr>
            </w:pPr>
            <w:r>
              <w:rPr>
                <w:rFonts w:ascii="Arial" w:cs="Arial" w:eastAsia="Arial" w:hAnsi="Arial"/>
                <w:sz w:val="12"/>
                <w:szCs w:val="12"/>
                <w:i w:val="1"/>
                <w:iCs w:val="1"/>
                <w:color w:val="auto"/>
              </w:rPr>
              <w:t>(In millions)</w:t>
            </w:r>
          </w:p>
        </w:tc>
        <w:tc>
          <w:tcPr>
            <w:tcW w:w="16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420" w:type="dxa"/>
            <w:vAlign w:val="bottom"/>
            <w:tcBorders>
              <w:top w:val="single" w:sz="8" w:color="auto"/>
            </w:tcBorders>
          </w:tcPr>
          <w:p>
            <w:pPr>
              <w:spacing w:after="0"/>
              <w:rPr>
                <w:sz w:val="10"/>
                <w:szCs w:val="10"/>
                <w:color w:val="auto"/>
              </w:rPr>
            </w:pPr>
          </w:p>
        </w:tc>
        <w:tc>
          <w:tcPr>
            <w:tcW w:w="36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480" w:type="dxa"/>
            <w:vAlign w:val="bottom"/>
            <w:tcBorders>
              <w:top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0"/>
        </w:trPr>
        <w:tc>
          <w:tcPr>
            <w:tcW w:w="5020" w:type="dxa"/>
            <w:vAlign w:val="bottom"/>
            <w:shd w:val="clear" w:color="auto" w:fill="CCEEFF"/>
          </w:tcPr>
          <w:p>
            <w:pPr>
              <w:spacing w:after="0"/>
              <w:rPr>
                <w:sz w:val="20"/>
                <w:szCs w:val="20"/>
                <w:color w:val="auto"/>
              </w:rPr>
            </w:pPr>
            <w:r>
              <w:rPr>
                <w:rFonts w:ascii="Arial" w:cs="Arial" w:eastAsia="Arial" w:hAnsi="Arial"/>
                <w:sz w:val="15"/>
                <w:szCs w:val="15"/>
                <w:color w:val="auto"/>
              </w:rPr>
              <w:t>Operating lease commitments</w:t>
            </w:r>
            <w:r>
              <w:rPr>
                <w:rFonts w:ascii="Arial" w:cs="Arial" w:eastAsia="Arial" w:hAnsi="Arial"/>
                <w:sz w:val="12"/>
                <w:szCs w:val="12"/>
                <w:color w:val="auto"/>
              </w:rPr>
              <w:t>(1)</w:t>
            </w:r>
          </w:p>
        </w:tc>
        <w:tc>
          <w:tcPr>
            <w:tcW w:w="5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88"/>
              </w:rPr>
              <w:t>$1,349.9</w:t>
            </w:r>
          </w:p>
        </w:tc>
        <w:tc>
          <w:tcPr>
            <w:tcW w:w="440" w:type="dxa"/>
            <w:vAlign w:val="bottom"/>
            <w:gridSpan w:val="2"/>
            <w:shd w:val="clear" w:color="auto" w:fill="CCEEFF"/>
          </w:tcPr>
          <w:p>
            <w:pPr>
              <w:ind w:left="360"/>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91.5</w:t>
            </w:r>
          </w:p>
        </w:tc>
        <w:tc>
          <w:tcPr>
            <w:tcW w:w="500" w:type="dxa"/>
            <w:vAlign w:val="bottom"/>
            <w:gridSpan w:val="2"/>
            <w:shd w:val="clear" w:color="auto" w:fill="CCEEFF"/>
          </w:tcPr>
          <w:p>
            <w:pPr>
              <w:ind w:left="380"/>
              <w:spacing w:after="0"/>
              <w:rPr>
                <w:sz w:val="20"/>
                <w:szCs w:val="20"/>
                <w:color w:val="auto"/>
              </w:rPr>
            </w:pPr>
            <w:r>
              <w:rPr>
                <w:rFonts w:ascii="Arial" w:cs="Arial" w:eastAsia="Arial" w:hAnsi="Arial"/>
                <w:sz w:val="15"/>
                <w:szCs w:val="15"/>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336.8</w:t>
            </w:r>
          </w:p>
        </w:tc>
        <w:tc>
          <w:tcPr>
            <w:tcW w:w="220" w:type="dxa"/>
            <w:vAlign w:val="bottom"/>
            <w:shd w:val="clear" w:color="auto" w:fill="CCEEFF"/>
          </w:tcPr>
          <w:p>
            <w:pPr>
              <w:spacing w:after="0"/>
              <w:rPr>
                <w:sz w:val="15"/>
                <w:szCs w:val="15"/>
                <w:color w:val="auto"/>
              </w:rPr>
            </w:pPr>
          </w:p>
        </w:tc>
        <w:tc>
          <w:tcPr>
            <w:tcW w:w="280" w:type="dxa"/>
            <w:vAlign w:val="bottom"/>
            <w:gridSpan w:val="2"/>
            <w:shd w:val="clear" w:color="auto" w:fill="CCEEFF"/>
          </w:tcPr>
          <w:p>
            <w:pPr>
              <w:ind w:left="160"/>
              <w:spacing w:after="0"/>
              <w:rPr>
                <w:sz w:val="20"/>
                <w:szCs w:val="20"/>
                <w:color w:val="auto"/>
              </w:rPr>
            </w:pPr>
            <w:r>
              <w:rPr>
                <w:rFonts w:ascii="Arial" w:cs="Arial" w:eastAsia="Arial" w:hAnsi="Arial"/>
                <w:sz w:val="15"/>
                <w:szCs w:val="15"/>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201.8</w:t>
            </w:r>
          </w:p>
        </w:tc>
        <w:tc>
          <w:tcPr>
            <w:tcW w:w="440" w:type="dxa"/>
            <w:vAlign w:val="bottom"/>
            <w:gridSpan w:val="2"/>
            <w:shd w:val="clear" w:color="auto" w:fill="CCEEFF"/>
          </w:tcPr>
          <w:p>
            <w:pPr>
              <w:ind w:left="360"/>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719.8</w:t>
            </w: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5020" w:type="dxa"/>
            <w:vAlign w:val="bottom"/>
          </w:tcPr>
          <w:p>
            <w:pPr>
              <w:spacing w:after="0"/>
              <w:rPr>
                <w:sz w:val="20"/>
                <w:szCs w:val="20"/>
                <w:color w:val="auto"/>
              </w:rPr>
            </w:pPr>
            <w:r>
              <w:rPr>
                <w:rFonts w:ascii="Arial" w:cs="Arial" w:eastAsia="Arial" w:hAnsi="Arial"/>
                <w:sz w:val="15"/>
                <w:szCs w:val="15"/>
                <w:color w:val="auto"/>
              </w:rPr>
              <w:t>Capital lease commitments</w:t>
            </w:r>
            <w:r>
              <w:rPr>
                <w:rFonts w:ascii="Arial" w:cs="Arial" w:eastAsia="Arial" w:hAnsi="Arial"/>
                <w:sz w:val="12"/>
                <w:szCs w:val="12"/>
                <w:color w:val="auto"/>
              </w:rPr>
              <w:t>(2)</w:t>
            </w:r>
          </w:p>
        </w:tc>
        <w:tc>
          <w:tcPr>
            <w:tcW w:w="540" w:type="dxa"/>
            <w:vAlign w:val="bottom"/>
          </w:tcPr>
          <w:p>
            <w:pPr>
              <w:jc w:val="right"/>
              <w:spacing w:after="0"/>
              <w:rPr>
                <w:sz w:val="20"/>
                <w:szCs w:val="20"/>
                <w:color w:val="auto"/>
              </w:rPr>
            </w:pPr>
            <w:r>
              <w:rPr>
                <w:rFonts w:ascii="Arial" w:cs="Arial" w:eastAsia="Arial" w:hAnsi="Arial"/>
                <w:sz w:val="15"/>
                <w:szCs w:val="15"/>
                <w:color w:val="auto"/>
              </w:rPr>
              <w:t>182.0</w:t>
            </w:r>
          </w:p>
        </w:tc>
        <w:tc>
          <w:tcPr>
            <w:tcW w:w="3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20" w:type="dxa"/>
            <w:vAlign w:val="bottom"/>
          </w:tcPr>
          <w:p>
            <w:pPr>
              <w:jc w:val="right"/>
              <w:spacing w:after="0"/>
              <w:rPr>
                <w:sz w:val="20"/>
                <w:szCs w:val="20"/>
                <w:color w:val="auto"/>
              </w:rPr>
            </w:pPr>
            <w:r>
              <w:rPr>
                <w:rFonts w:ascii="Arial" w:cs="Arial" w:eastAsia="Arial" w:hAnsi="Arial"/>
                <w:sz w:val="15"/>
                <w:szCs w:val="15"/>
                <w:color w:val="auto"/>
              </w:rPr>
              <w:t>108.3</w:t>
            </w:r>
          </w:p>
        </w:tc>
        <w:tc>
          <w:tcPr>
            <w:tcW w:w="3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0" w:type="dxa"/>
            <w:vAlign w:val="bottom"/>
          </w:tcPr>
          <w:p>
            <w:pPr>
              <w:jc w:val="right"/>
              <w:spacing w:after="0"/>
              <w:rPr>
                <w:sz w:val="20"/>
                <w:szCs w:val="20"/>
                <w:color w:val="auto"/>
              </w:rPr>
            </w:pPr>
            <w:r>
              <w:rPr>
                <w:rFonts w:ascii="Arial" w:cs="Arial" w:eastAsia="Arial" w:hAnsi="Arial"/>
                <w:sz w:val="15"/>
                <w:szCs w:val="15"/>
                <w:color w:val="auto"/>
              </w:rPr>
              <w:t>73.7</w:t>
            </w: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20" w:type="dxa"/>
            <w:vAlign w:val="bottom"/>
          </w:tcPr>
          <w:p>
            <w:pPr>
              <w:jc w:val="right"/>
              <w:ind w:right="5"/>
              <w:spacing w:after="0"/>
              <w:rPr>
                <w:sz w:val="20"/>
                <w:szCs w:val="20"/>
                <w:color w:val="auto"/>
              </w:rPr>
            </w:pPr>
            <w:r>
              <w:rPr>
                <w:rFonts w:ascii="Arial" w:cs="Arial" w:eastAsia="Arial" w:hAnsi="Arial"/>
                <w:sz w:val="15"/>
                <w:szCs w:val="15"/>
                <w:color w:val="auto"/>
              </w:rPr>
              <w:t>—</w:t>
            </w:r>
          </w:p>
        </w:tc>
        <w:tc>
          <w:tcPr>
            <w:tcW w:w="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20" w:type="dxa"/>
            <w:vAlign w:val="bottom"/>
            <w:gridSpan w:val="2"/>
          </w:tcPr>
          <w:p>
            <w:pPr>
              <w:ind w:left="24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80"/>
        </w:trPr>
        <w:tc>
          <w:tcPr>
            <w:tcW w:w="5020" w:type="dxa"/>
            <w:vAlign w:val="bottom"/>
            <w:shd w:val="clear" w:color="auto" w:fill="CCEEFF"/>
          </w:tcPr>
          <w:p>
            <w:pPr>
              <w:spacing w:after="0"/>
              <w:rPr>
                <w:sz w:val="20"/>
                <w:szCs w:val="20"/>
                <w:color w:val="auto"/>
              </w:rPr>
            </w:pPr>
            <w:r>
              <w:rPr>
                <w:rFonts w:ascii="Arial" w:cs="Arial" w:eastAsia="Arial" w:hAnsi="Arial"/>
                <w:sz w:val="15"/>
                <w:szCs w:val="15"/>
                <w:color w:val="auto"/>
              </w:rPr>
              <w:t>Other commitments</w:t>
            </w:r>
            <w:r>
              <w:rPr>
                <w:rFonts w:ascii="Arial" w:cs="Arial" w:eastAsia="Arial" w:hAnsi="Arial"/>
                <w:sz w:val="12"/>
                <w:szCs w:val="12"/>
                <w:color w:val="auto"/>
              </w:rPr>
              <w:t>(3)</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155.1</w:t>
            </w:r>
          </w:p>
        </w:tc>
        <w:tc>
          <w:tcPr>
            <w:tcW w:w="380" w:type="dxa"/>
            <w:vAlign w:val="bottom"/>
            <w:shd w:val="clear" w:color="auto" w:fill="CCEEFF"/>
          </w:tcPr>
          <w:p>
            <w:pPr>
              <w:spacing w:after="0"/>
              <w:rPr>
                <w:sz w:val="15"/>
                <w:szCs w:val="15"/>
                <w:color w:val="auto"/>
              </w:rPr>
            </w:pPr>
          </w:p>
        </w:tc>
        <w:tc>
          <w:tcPr>
            <w:tcW w:w="60" w:type="dxa"/>
            <w:vAlign w:val="bottom"/>
            <w:tcBorders>
              <w:bottom w:val="single" w:sz="8" w:color="auto"/>
            </w:tcBorders>
            <w:shd w:val="clear" w:color="auto" w:fill="CCEEFF"/>
          </w:tcPr>
          <w:p>
            <w:pPr>
              <w:spacing w:after="0"/>
              <w:rPr>
                <w:sz w:val="15"/>
                <w:szCs w:val="15"/>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64.0</w:t>
            </w:r>
          </w:p>
        </w:tc>
        <w:tc>
          <w:tcPr>
            <w:tcW w:w="38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86.3</w:t>
            </w:r>
          </w:p>
        </w:tc>
        <w:tc>
          <w:tcPr>
            <w:tcW w:w="2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0.6</w:t>
            </w:r>
          </w:p>
        </w:tc>
        <w:tc>
          <w:tcPr>
            <w:tcW w:w="360" w:type="dxa"/>
            <w:vAlign w:val="bottom"/>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4.2</w:t>
            </w: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5020" w:type="dxa"/>
            <w:vAlign w:val="bottom"/>
          </w:tcPr>
          <w:p>
            <w:pPr>
              <w:spacing w:after="0"/>
              <w:rPr>
                <w:sz w:val="20"/>
                <w:szCs w:val="20"/>
                <w:color w:val="auto"/>
              </w:rPr>
            </w:pPr>
            <w:r>
              <w:rPr>
                <w:rFonts w:ascii="Arial" w:cs="Arial" w:eastAsia="Arial" w:hAnsi="Arial"/>
                <w:sz w:val="15"/>
                <w:szCs w:val="15"/>
                <w:color w:val="auto"/>
              </w:rPr>
              <w:t>Total contractual obligations</w:t>
            </w:r>
          </w:p>
        </w:tc>
        <w:tc>
          <w:tcPr>
            <w:tcW w:w="540" w:type="dxa"/>
            <w:vAlign w:val="bottom"/>
          </w:tcPr>
          <w:p>
            <w:pPr>
              <w:jc w:val="right"/>
              <w:spacing w:after="0"/>
              <w:rPr>
                <w:sz w:val="20"/>
                <w:szCs w:val="20"/>
                <w:color w:val="auto"/>
              </w:rPr>
            </w:pPr>
            <w:r>
              <w:rPr>
                <w:rFonts w:ascii="Arial" w:cs="Arial" w:eastAsia="Arial" w:hAnsi="Arial"/>
                <w:sz w:val="15"/>
                <w:szCs w:val="15"/>
                <w:u w:val="single" w:color="auto"/>
                <w:color w:val="auto"/>
                <w:w w:val="88"/>
              </w:rPr>
              <w:t>$</w:t>
            </w:r>
            <w:r>
              <w:rPr>
                <w:rFonts w:ascii="Arial" w:cs="Arial" w:eastAsia="Arial" w:hAnsi="Arial"/>
                <w:sz w:val="15"/>
                <w:szCs w:val="15"/>
                <w:color w:val="auto"/>
                <w:w w:val="88"/>
              </w:rPr>
              <w:t>1,687.0</w:t>
            </w:r>
          </w:p>
        </w:tc>
        <w:tc>
          <w:tcPr>
            <w:tcW w:w="440" w:type="dxa"/>
            <w:vAlign w:val="bottom"/>
            <w:gridSpan w:val="2"/>
          </w:tcPr>
          <w:p>
            <w:pPr>
              <w:ind w:left="360"/>
              <w:spacing w:after="0"/>
              <w:rPr>
                <w:sz w:val="20"/>
                <w:szCs w:val="20"/>
                <w:color w:val="auto"/>
              </w:rPr>
            </w:pPr>
            <w:r>
              <w:rPr>
                <w:rFonts w:ascii="Arial" w:cs="Arial" w:eastAsia="Arial" w:hAnsi="Arial"/>
                <w:sz w:val="15"/>
                <w:szCs w:val="15"/>
                <w:color w:val="auto"/>
                <w:w w:val="71"/>
              </w:rPr>
              <w:t>$</w:t>
            </w:r>
          </w:p>
        </w:tc>
        <w:tc>
          <w:tcPr>
            <w:tcW w:w="420" w:type="dxa"/>
            <w:vAlign w:val="bottom"/>
          </w:tcPr>
          <w:p>
            <w:pPr>
              <w:jc w:val="right"/>
              <w:spacing w:after="0"/>
              <w:rPr>
                <w:sz w:val="20"/>
                <w:szCs w:val="20"/>
                <w:color w:val="auto"/>
              </w:rPr>
            </w:pPr>
            <w:r>
              <w:rPr>
                <w:rFonts w:ascii="Arial" w:cs="Arial" w:eastAsia="Arial" w:hAnsi="Arial"/>
                <w:sz w:val="15"/>
                <w:szCs w:val="15"/>
                <w:color w:val="auto"/>
              </w:rPr>
              <w:t>263.8</w:t>
            </w:r>
          </w:p>
        </w:tc>
        <w:tc>
          <w:tcPr>
            <w:tcW w:w="500" w:type="dxa"/>
            <w:vAlign w:val="bottom"/>
            <w:gridSpan w:val="2"/>
          </w:tcPr>
          <w:p>
            <w:pPr>
              <w:ind w:left="380"/>
              <w:spacing w:after="0"/>
              <w:rPr>
                <w:sz w:val="20"/>
                <w:szCs w:val="20"/>
                <w:color w:val="auto"/>
              </w:rPr>
            </w:pPr>
            <w:r>
              <w:rPr>
                <w:rFonts w:ascii="Arial" w:cs="Arial" w:eastAsia="Arial" w:hAnsi="Arial"/>
                <w:sz w:val="15"/>
                <w:szCs w:val="15"/>
                <w:color w:val="auto"/>
              </w:rPr>
              <w:t>$</w:t>
            </w:r>
          </w:p>
        </w:tc>
        <w:tc>
          <w:tcPr>
            <w:tcW w:w="400" w:type="dxa"/>
            <w:vAlign w:val="bottom"/>
          </w:tcPr>
          <w:p>
            <w:pPr>
              <w:jc w:val="right"/>
              <w:spacing w:after="0"/>
              <w:rPr>
                <w:sz w:val="20"/>
                <w:szCs w:val="20"/>
                <w:color w:val="auto"/>
              </w:rPr>
            </w:pPr>
            <w:r>
              <w:rPr>
                <w:rFonts w:ascii="Arial" w:cs="Arial" w:eastAsia="Arial" w:hAnsi="Arial"/>
                <w:sz w:val="15"/>
                <w:szCs w:val="15"/>
                <w:color w:val="auto"/>
              </w:rPr>
              <w:t>496.8</w:t>
            </w:r>
          </w:p>
        </w:tc>
        <w:tc>
          <w:tcPr>
            <w:tcW w:w="220" w:type="dxa"/>
            <w:vAlign w:val="bottom"/>
          </w:tcPr>
          <w:p>
            <w:pPr>
              <w:spacing w:after="0"/>
              <w:rPr>
                <w:sz w:val="15"/>
                <w:szCs w:val="15"/>
                <w:color w:val="auto"/>
              </w:rPr>
            </w:pPr>
          </w:p>
        </w:tc>
        <w:tc>
          <w:tcPr>
            <w:tcW w:w="280" w:type="dxa"/>
            <w:vAlign w:val="bottom"/>
            <w:gridSpan w:val="2"/>
          </w:tcPr>
          <w:p>
            <w:pPr>
              <w:ind w:left="160"/>
              <w:spacing w:after="0"/>
              <w:rPr>
                <w:sz w:val="20"/>
                <w:szCs w:val="20"/>
                <w:color w:val="auto"/>
              </w:rPr>
            </w:pPr>
            <w:r>
              <w:rPr>
                <w:rFonts w:ascii="Arial" w:cs="Arial" w:eastAsia="Arial" w:hAnsi="Arial"/>
                <w:sz w:val="15"/>
                <w:szCs w:val="15"/>
                <w:color w:val="auto"/>
              </w:rPr>
              <w:t>$</w:t>
            </w:r>
          </w:p>
        </w:tc>
        <w:tc>
          <w:tcPr>
            <w:tcW w:w="420" w:type="dxa"/>
            <w:vAlign w:val="bottom"/>
          </w:tcPr>
          <w:p>
            <w:pPr>
              <w:jc w:val="right"/>
              <w:spacing w:after="0"/>
              <w:rPr>
                <w:sz w:val="20"/>
                <w:szCs w:val="20"/>
                <w:color w:val="auto"/>
              </w:rPr>
            </w:pPr>
            <w:r>
              <w:rPr>
                <w:rFonts w:ascii="Arial" w:cs="Arial" w:eastAsia="Arial" w:hAnsi="Arial"/>
                <w:sz w:val="15"/>
                <w:szCs w:val="15"/>
                <w:color w:val="auto"/>
              </w:rPr>
              <w:t>202.4</w:t>
            </w:r>
          </w:p>
        </w:tc>
        <w:tc>
          <w:tcPr>
            <w:tcW w:w="440" w:type="dxa"/>
            <w:vAlign w:val="bottom"/>
            <w:gridSpan w:val="2"/>
          </w:tcPr>
          <w:p>
            <w:pPr>
              <w:ind w:left="360"/>
              <w:spacing w:after="0"/>
              <w:rPr>
                <w:sz w:val="20"/>
                <w:szCs w:val="20"/>
                <w:color w:val="auto"/>
              </w:rPr>
            </w:pPr>
            <w:r>
              <w:rPr>
                <w:rFonts w:ascii="Arial" w:cs="Arial" w:eastAsia="Arial" w:hAnsi="Arial"/>
                <w:sz w:val="15"/>
                <w:szCs w:val="15"/>
                <w:color w:val="auto"/>
                <w:w w:val="71"/>
              </w:rPr>
              <w:t>$</w:t>
            </w:r>
          </w:p>
        </w:tc>
        <w:tc>
          <w:tcPr>
            <w:tcW w:w="480" w:type="dxa"/>
            <w:vAlign w:val="bottom"/>
          </w:tcPr>
          <w:p>
            <w:pPr>
              <w:jc w:val="right"/>
              <w:spacing w:after="0"/>
              <w:rPr>
                <w:sz w:val="20"/>
                <w:szCs w:val="20"/>
                <w:color w:val="auto"/>
              </w:rPr>
            </w:pPr>
            <w:r>
              <w:rPr>
                <w:rFonts w:ascii="Arial" w:cs="Arial" w:eastAsia="Arial" w:hAnsi="Arial"/>
                <w:sz w:val="15"/>
                <w:szCs w:val="15"/>
                <w:color w:val="auto"/>
              </w:rPr>
              <w:t>724.0</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02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6" w:lineRule="exact"/>
        <w:rPr>
          <w:sz w:val="20"/>
          <w:szCs w:val="20"/>
          <w:color w:val="auto"/>
        </w:rPr>
      </w:pPr>
    </w:p>
    <w:p>
      <w:pPr>
        <w:ind w:left="1380" w:right="180" w:hanging="268"/>
        <w:spacing w:after="0" w:line="209" w:lineRule="auto"/>
        <w:tabs>
          <w:tab w:leader="none" w:pos="1380" w:val="left"/>
        </w:tabs>
        <w:numPr>
          <w:ilvl w:val="0"/>
          <w:numId w:val="39"/>
        </w:numPr>
        <w:rPr>
          <w:rFonts w:ascii="Arial" w:cs="Arial" w:eastAsia="Arial" w:hAnsi="Arial"/>
          <w:sz w:val="23"/>
          <w:szCs w:val="23"/>
          <w:color w:val="auto"/>
          <w:vertAlign w:val="superscript"/>
        </w:rPr>
      </w:pPr>
      <w:r>
        <w:rPr>
          <w:rFonts w:ascii="Arial" w:cs="Arial" w:eastAsia="Arial" w:hAnsi="Arial"/>
          <w:sz w:val="14"/>
          <w:szCs w:val="14"/>
          <w:color w:val="auto"/>
        </w:rPr>
        <w:t>Consists of future non-cancelable minimum rental payments under operating leases for our offices and datacenters, excluding rent payments from our sub-tenants and variable operating expenses. Non-cancelable rent payments from our sub-tenants as of December 31, 2017, for the next six years are expected to be $72.1 million.</w:t>
      </w:r>
    </w:p>
    <w:p>
      <w:pPr>
        <w:ind w:left="1380" w:hanging="268"/>
        <w:spacing w:after="0" w:line="185" w:lineRule="auto"/>
        <w:tabs>
          <w:tab w:leader="none" w:pos="1380" w:val="left"/>
        </w:tabs>
        <w:numPr>
          <w:ilvl w:val="0"/>
          <w:numId w:val="39"/>
        </w:numPr>
        <w:rPr>
          <w:rFonts w:ascii="Arial" w:cs="Arial" w:eastAsia="Arial" w:hAnsi="Arial"/>
          <w:sz w:val="19"/>
          <w:szCs w:val="19"/>
          <w:color w:val="auto"/>
          <w:vertAlign w:val="superscript"/>
        </w:rPr>
      </w:pPr>
      <w:r>
        <w:rPr>
          <w:rFonts w:ascii="Arial" w:cs="Arial" w:eastAsia="Arial" w:hAnsi="Arial"/>
          <w:sz w:val="12"/>
          <w:szCs w:val="12"/>
          <w:color w:val="auto"/>
        </w:rPr>
        <w:t>Consists of future non-cancelable minimum rental payments under capital leases primarily for our infrastructure.</w:t>
      </w:r>
    </w:p>
    <w:p>
      <w:pPr>
        <w:spacing w:after="0" w:line="9" w:lineRule="exact"/>
        <w:rPr>
          <w:rFonts w:ascii="Arial" w:cs="Arial" w:eastAsia="Arial" w:hAnsi="Arial"/>
          <w:sz w:val="19"/>
          <w:szCs w:val="19"/>
          <w:color w:val="auto"/>
          <w:vertAlign w:val="superscript"/>
        </w:rPr>
      </w:pPr>
    </w:p>
    <w:p>
      <w:pPr>
        <w:ind w:left="1380" w:right="20" w:hanging="268"/>
        <w:spacing w:after="0" w:line="215" w:lineRule="auto"/>
        <w:tabs>
          <w:tab w:leader="none" w:pos="1380" w:val="left"/>
        </w:tabs>
        <w:numPr>
          <w:ilvl w:val="0"/>
          <w:numId w:val="39"/>
        </w:numPr>
        <w:rPr>
          <w:rFonts w:ascii="Arial" w:cs="Arial" w:eastAsia="Arial" w:hAnsi="Arial"/>
          <w:sz w:val="20"/>
          <w:szCs w:val="20"/>
          <w:color w:val="auto"/>
          <w:vertAlign w:val="superscript"/>
        </w:rPr>
      </w:pPr>
      <w:r>
        <w:rPr>
          <w:rFonts w:ascii="Arial" w:cs="Arial" w:eastAsia="Arial" w:hAnsi="Arial"/>
          <w:sz w:val="12"/>
          <w:szCs w:val="12"/>
          <w:color w:val="auto"/>
        </w:rPr>
        <w:t>Consists of commitments to third-party vendors for services related to our infrastructure, infrastructure warranty contracts, payments related to the imputed financing obligation for our previous headquarters, asset retirement obligations for office modifications, and a note payable related to financing of our infrastructure.</w:t>
      </w:r>
    </w:p>
    <w:p>
      <w:pPr>
        <w:spacing w:after="0" w:line="175" w:lineRule="exact"/>
        <w:rPr>
          <w:sz w:val="20"/>
          <w:szCs w:val="20"/>
          <w:color w:val="auto"/>
        </w:rPr>
      </w:pPr>
    </w:p>
    <w:p>
      <w:pPr>
        <w:ind w:left="1120" w:right="460" w:firstLine="368"/>
        <w:spacing w:after="0" w:line="275" w:lineRule="auto"/>
        <w:rPr>
          <w:sz w:val="20"/>
          <w:szCs w:val="20"/>
          <w:color w:val="auto"/>
        </w:rPr>
      </w:pPr>
      <w:r>
        <w:rPr>
          <w:rFonts w:ascii="Arial" w:cs="Arial" w:eastAsia="Arial" w:hAnsi="Arial"/>
          <w:sz w:val="15"/>
          <w:szCs w:val="15"/>
          <w:color w:val="auto"/>
        </w:rPr>
        <w:t>In addition to the contractual obligations set forth above, as of December 31, 2017, we had an aggregate of $82.6 million in letters of credit outstanding under our revolving credit facility.</w:t>
      </w:r>
    </w:p>
    <w:p>
      <w:pPr>
        <w:spacing w:after="0" w:line="90" w:lineRule="exact"/>
        <w:rPr>
          <w:sz w:val="20"/>
          <w:szCs w:val="20"/>
          <w:color w:val="auto"/>
        </w:rPr>
      </w:pPr>
    </w:p>
    <w:p>
      <w:pPr>
        <w:ind w:left="5640"/>
        <w:spacing w:after="0"/>
        <w:rPr>
          <w:sz w:val="20"/>
          <w:szCs w:val="20"/>
          <w:color w:val="auto"/>
        </w:rPr>
      </w:pPr>
      <w:r>
        <w:rPr>
          <w:rFonts w:ascii="Arial" w:cs="Arial" w:eastAsia="Arial" w:hAnsi="Arial"/>
          <w:sz w:val="15"/>
          <w:szCs w:val="15"/>
          <w:color w:val="auto"/>
        </w:rPr>
        <w:t>85</w:t>
      </w:r>
    </w:p>
    <w:p>
      <w:pPr>
        <w:sectPr>
          <w:pgSz w:w="11900" w:h="16838" w:orient="portrait"/>
          <w:cols w:equalWidth="0" w:num="1">
            <w:col w:w="10320"/>
          </w:cols>
          <w:pgMar w:left="240" w:top="407" w:right="1339" w:bottom="1440" w:gutter="0" w:footer="0" w:header="0"/>
        </w:sectPr>
      </w:pPr>
    </w:p>
    <w:bookmarkStart w:id="92" w:name="page93"/>
    <w:bookmarkEnd w:id="92"/>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133350</wp:posOffset>
            </wp:positionH>
            <wp:positionV relativeFrom="page">
              <wp:posOffset>88900</wp:posOffset>
            </wp:positionV>
            <wp:extent cx="7308850" cy="342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308850" cy="34290"/>
                    </a:xfrm>
                    <a:prstGeom prst="rect">
                      <a:avLst/>
                    </a:prstGeom>
                    <a:noFill/>
                  </pic:spPr>
                </pic:pic>
              </a:graphicData>
            </a:graphic>
          </wp:anchor>
        </w:drawing>
      </w:r>
      <w:hyperlink w:anchor="page7">
        <w:r>
          <w:rPr>
            <w:rFonts w:ascii="Arial" w:cs="Arial" w:eastAsia="Arial" w:hAnsi="Arial"/>
            <w:sz w:val="15"/>
            <w:szCs w:val="15"/>
            <w:b w:val="1"/>
            <w:bCs w:val="1"/>
            <w:u w:val="single" w:color="auto"/>
            <w:color w:val="0000EE"/>
          </w:rPr>
          <w:t>Table of Contents</w:t>
        </w:r>
      </w:hyperlink>
    </w:p>
    <w:p>
      <w:pPr>
        <w:spacing w:after="0" w:line="260" w:lineRule="exact"/>
        <w:rPr>
          <w:sz w:val="20"/>
          <w:szCs w:val="20"/>
          <w:color w:val="auto"/>
        </w:rPr>
      </w:pPr>
    </w:p>
    <w:p>
      <w:pPr>
        <w:ind w:left="1120" w:firstLine="368"/>
        <w:spacing w:after="0" w:line="279" w:lineRule="auto"/>
        <w:rPr>
          <w:sz w:val="20"/>
          <w:szCs w:val="20"/>
          <w:color w:val="auto"/>
        </w:rPr>
      </w:pPr>
      <w:r>
        <w:rPr>
          <w:rFonts w:ascii="Arial" w:cs="Arial" w:eastAsia="Arial" w:hAnsi="Arial"/>
          <w:sz w:val="14"/>
          <w:szCs w:val="14"/>
          <w:color w:val="auto"/>
        </w:rPr>
        <w:t>In October 2017, we entered into a new lease agreement for office space in San Francisco, California, to serve as our new corporate headquarters. We expect to start making recurring rental payments under the lease in the third quarter of 2019. Included in the operating lease commitments above are our total expected minimum obligations under the lease agreement of $827.0 million, which exclude expected tenant improvement reimbursements from the landlord of approximately $73.6 million and variable operating expenses. Our obligations under the lease are supported by a $34.2 million letter of credit, which reduced the borrowing capacity under our revolving credit facility.</w:t>
      </w:r>
    </w:p>
    <w:p>
      <w:pPr>
        <w:spacing w:after="0" w:line="147" w:lineRule="exact"/>
        <w:rPr>
          <w:sz w:val="20"/>
          <w:szCs w:val="20"/>
          <w:color w:val="auto"/>
        </w:rPr>
      </w:pPr>
    </w:p>
    <w:p>
      <w:pPr>
        <w:ind w:left="1120" w:right="20" w:firstLine="368"/>
        <w:spacing w:after="0" w:line="302" w:lineRule="auto"/>
        <w:rPr>
          <w:sz w:val="20"/>
          <w:szCs w:val="20"/>
          <w:color w:val="auto"/>
        </w:rPr>
      </w:pPr>
      <w:r>
        <w:rPr>
          <w:rFonts w:ascii="Arial" w:cs="Arial" w:eastAsia="Arial" w:hAnsi="Arial"/>
          <w:sz w:val="13"/>
          <w:szCs w:val="13"/>
          <w:color w:val="auto"/>
        </w:rPr>
        <w:t>We plan to take possession of our new corporate headquarters over several phases. We expect to take initial possession in mid-2018, after which time we plan to incur capital expenditures on leasehold improvements and to begin recording rent expense for the portion of the new corporate headquarters that we have the right to use. Capital expenditures will continue to increase as we take possession of the remaining space over the next few years. We will continue to operate in our current corporate headquarters until the new corporate headquarters is ready for occupancy, which is expected to be in 2019. We intend to sublease our current corporate headquarters once we occupy the new corporate headquarters. However, unless we transfer our contractual obligation, we will continue to include the committed lease payments for our current corporate headquarters in the table above.</w:t>
      </w:r>
    </w:p>
    <w:p>
      <w:pPr>
        <w:spacing w:after="0" w:line="221" w:lineRule="exact"/>
        <w:rPr>
          <w:sz w:val="20"/>
          <w:szCs w:val="20"/>
          <w:color w:val="auto"/>
        </w:rPr>
      </w:pPr>
    </w:p>
    <w:p>
      <w:pPr>
        <w:ind w:left="1120"/>
        <w:spacing w:after="0"/>
        <w:rPr>
          <w:sz w:val="20"/>
          <w:szCs w:val="20"/>
          <w:color w:val="auto"/>
        </w:rPr>
      </w:pPr>
      <w:r>
        <w:rPr>
          <w:rFonts w:ascii="Arial" w:cs="Arial" w:eastAsia="Arial" w:hAnsi="Arial"/>
          <w:sz w:val="15"/>
          <w:szCs w:val="15"/>
          <w:b w:val="1"/>
          <w:bCs w:val="1"/>
          <w:color w:val="auto"/>
        </w:rPr>
        <w:t>Off-Balance Sheet Arrangements</w:t>
      </w:r>
    </w:p>
    <w:p>
      <w:pPr>
        <w:spacing w:after="0" w:line="102" w:lineRule="exact"/>
        <w:rPr>
          <w:sz w:val="20"/>
          <w:szCs w:val="20"/>
          <w:color w:val="auto"/>
        </w:rPr>
      </w:pPr>
    </w:p>
    <w:p>
      <w:pPr>
        <w:jc w:val="both"/>
        <w:ind w:left="1120" w:right="80" w:firstLine="368"/>
        <w:spacing w:after="0" w:line="263" w:lineRule="auto"/>
        <w:rPr>
          <w:sz w:val="20"/>
          <w:szCs w:val="20"/>
          <w:color w:val="auto"/>
        </w:rPr>
      </w:pPr>
      <w:r>
        <w:rPr>
          <w:rFonts w:ascii="Arial" w:cs="Arial" w:eastAsia="Arial" w:hAnsi="Arial"/>
          <w:sz w:val="15"/>
          <w:szCs w:val="15"/>
          <w:color w:val="auto"/>
        </w:rPr>
        <w:t>As of December 31, 2017, we did not have any relationships with unconsolidated entities or financial partnerships, such as entities often referred to as structured finance or variable interest entities, which would have been established for the purpose of facilitating off balance sheet arrangements or other contractually narrow or limited purposes.</w:t>
      </w:r>
    </w:p>
    <w:p>
      <w:pPr>
        <w:spacing w:after="0" w:line="241" w:lineRule="exact"/>
        <w:rPr>
          <w:sz w:val="20"/>
          <w:szCs w:val="20"/>
          <w:color w:val="auto"/>
        </w:rPr>
      </w:pPr>
    </w:p>
    <w:p>
      <w:pPr>
        <w:ind w:left="1120"/>
        <w:spacing w:after="0"/>
        <w:rPr>
          <w:sz w:val="20"/>
          <w:szCs w:val="20"/>
          <w:color w:val="auto"/>
        </w:rPr>
      </w:pPr>
      <w:r>
        <w:rPr>
          <w:rFonts w:ascii="Arial" w:cs="Arial" w:eastAsia="Arial" w:hAnsi="Arial"/>
          <w:sz w:val="15"/>
          <w:szCs w:val="15"/>
          <w:b w:val="1"/>
          <w:bCs w:val="1"/>
          <w:color w:val="auto"/>
        </w:rPr>
        <w:t>Significant Impacts of Stock-Based Compensation</w:t>
      </w:r>
    </w:p>
    <w:p>
      <w:pPr>
        <w:spacing w:after="0" w:line="102" w:lineRule="exact"/>
        <w:rPr>
          <w:sz w:val="20"/>
          <w:szCs w:val="20"/>
          <w:color w:val="auto"/>
        </w:rPr>
      </w:pPr>
    </w:p>
    <w:p>
      <w:pPr>
        <w:ind w:left="1480"/>
        <w:spacing w:after="0"/>
        <w:rPr>
          <w:sz w:val="20"/>
          <w:szCs w:val="20"/>
          <w:color w:val="auto"/>
        </w:rPr>
      </w:pPr>
      <w:r>
        <w:rPr>
          <w:rFonts w:ascii="Arial" w:cs="Arial" w:eastAsia="Arial" w:hAnsi="Arial"/>
          <w:sz w:val="15"/>
          <w:szCs w:val="15"/>
          <w:b w:val="1"/>
          <w:bCs w:val="1"/>
          <w:i w:val="1"/>
          <w:iCs w:val="1"/>
          <w:color w:val="auto"/>
        </w:rPr>
        <w:t>Restricted Stock Units</w:t>
      </w:r>
    </w:p>
    <w:p>
      <w:pPr>
        <w:spacing w:after="0" w:line="98" w:lineRule="exact"/>
        <w:rPr>
          <w:sz w:val="20"/>
          <w:szCs w:val="20"/>
          <w:color w:val="auto"/>
        </w:rPr>
      </w:pPr>
    </w:p>
    <w:p>
      <w:pPr>
        <w:jc w:val="both"/>
        <w:ind w:left="1120" w:right="100" w:firstLine="368"/>
        <w:spacing w:after="0" w:line="312" w:lineRule="auto"/>
        <w:rPr>
          <w:sz w:val="20"/>
          <w:szCs w:val="20"/>
          <w:color w:val="auto"/>
        </w:rPr>
      </w:pPr>
      <w:r>
        <w:rPr>
          <w:rFonts w:ascii="Arial" w:cs="Arial" w:eastAsia="Arial" w:hAnsi="Arial"/>
          <w:sz w:val="14"/>
          <w:szCs w:val="14"/>
          <w:color w:val="auto"/>
        </w:rPr>
        <w:t>We have granted restricted stock units, or RSUs, to our employees and members of our Board of Directors under our 2008 Equity Incentive Plan, or 2008 Plan, and our 2017 Equity Incentive Plan, or 2017 Plan. We have two types of RSUs outstanding as of December 31, 2017:</w:t>
      </w:r>
    </w:p>
    <w:p>
      <w:pPr>
        <w:spacing w:after="0" w:line="44" w:lineRule="exact"/>
        <w:rPr>
          <w:sz w:val="20"/>
          <w:szCs w:val="20"/>
          <w:color w:val="auto"/>
        </w:rPr>
      </w:pPr>
    </w:p>
    <w:p>
      <w:pPr>
        <w:jc w:val="both"/>
        <w:ind w:left="1840" w:right="100" w:hanging="276"/>
        <w:spacing w:after="0" w:line="263" w:lineRule="auto"/>
        <w:tabs>
          <w:tab w:leader="none" w:pos="1840" w:val="left"/>
        </w:tabs>
        <w:numPr>
          <w:ilvl w:val="0"/>
          <w:numId w:val="40"/>
        </w:numPr>
        <w:rPr>
          <w:rFonts w:ascii="Arial" w:cs="Arial" w:eastAsia="Arial" w:hAnsi="Arial"/>
          <w:sz w:val="15"/>
          <w:szCs w:val="15"/>
          <w:color w:val="auto"/>
        </w:rPr>
      </w:pPr>
      <w:r>
        <w:rPr>
          <w:rFonts w:ascii="Arial" w:cs="Arial" w:eastAsia="Arial" w:hAnsi="Arial"/>
          <w:sz w:val="15"/>
          <w:szCs w:val="15"/>
          <w:color w:val="auto"/>
        </w:rPr>
        <w:t>One-tier RSUs, which have a service-based vesting condition over a four-year period. These awards typically have a cliff vesting period of one year and continue to vest quarterly thereafter. We recognize compensation expense associated with one-tier RSUs ratably on a straight-line basis over the requisite service period.</w:t>
      </w:r>
    </w:p>
    <w:p>
      <w:pPr>
        <w:spacing w:after="0" w:line="75" w:lineRule="exact"/>
        <w:rPr>
          <w:rFonts w:ascii="Arial" w:cs="Arial" w:eastAsia="Arial" w:hAnsi="Arial"/>
          <w:sz w:val="15"/>
          <w:szCs w:val="15"/>
          <w:color w:val="auto"/>
        </w:rPr>
      </w:pPr>
    </w:p>
    <w:p>
      <w:pPr>
        <w:ind w:left="1840" w:right="80" w:hanging="276"/>
        <w:spacing w:after="0" w:line="300" w:lineRule="auto"/>
        <w:tabs>
          <w:tab w:leader="none" w:pos="1840" w:val="left"/>
        </w:tabs>
        <w:numPr>
          <w:ilvl w:val="0"/>
          <w:numId w:val="40"/>
        </w:numPr>
        <w:rPr>
          <w:rFonts w:ascii="Arial" w:cs="Arial" w:eastAsia="Arial" w:hAnsi="Arial"/>
          <w:sz w:val="13"/>
          <w:szCs w:val="13"/>
          <w:color w:val="auto"/>
        </w:rPr>
      </w:pPr>
      <w:r>
        <w:rPr>
          <w:rFonts w:ascii="Arial" w:cs="Arial" w:eastAsia="Arial" w:hAnsi="Arial"/>
          <w:sz w:val="13"/>
          <w:szCs w:val="13"/>
          <w:color w:val="auto"/>
        </w:rPr>
        <w:t>Two-tier RSUs, which have both a service-based vesting condition and a liquidity event-related performance vesting condition. These awards typically have a service-based vesting period of four years with a cliff vesting period of one year and continue to vest monthly thereafter. Upon satisfaction of the Performance Vesting Condition, these awards will vest quarterly. The Performance Vesting Condition is satisfied on the earlier of (i) an acquisition or change in control of the Company or (ii) the earlier of (a) six months after our initial public offering or (b) March 15 of the year following our initial public offering. Our Board of Directors has approved the acceleration of the Performance Vesting Condition for two-tier RSUs for which the service condition was satisfied as of December 31, 2017, to occur upon the effectiveness of our registration statement related to this offering. Our last grant date for two-tier RSUs was May 2015.</w:t>
      </w:r>
    </w:p>
    <w:p>
      <w:pPr>
        <w:spacing w:after="0" w:line="136" w:lineRule="exact"/>
        <w:rPr>
          <w:sz w:val="20"/>
          <w:szCs w:val="20"/>
          <w:color w:val="auto"/>
        </w:rPr>
      </w:pPr>
    </w:p>
    <w:p>
      <w:pPr>
        <w:ind w:left="1120" w:right="40" w:firstLine="368"/>
        <w:spacing w:after="0" w:line="283" w:lineRule="auto"/>
        <w:rPr>
          <w:sz w:val="20"/>
          <w:szCs w:val="20"/>
          <w:color w:val="auto"/>
        </w:rPr>
      </w:pPr>
      <w:r>
        <w:rPr>
          <w:rFonts w:ascii="Arial" w:cs="Arial" w:eastAsia="Arial" w:hAnsi="Arial"/>
          <w:sz w:val="14"/>
          <w:szCs w:val="14"/>
          <w:color w:val="auto"/>
        </w:rPr>
        <w:t>As of December 31, 2017, all compensation expense related to two-tier RSUs remained unrecognized because the Performance Vesting Condition was not satisfied. At the time the Performance Vesting Condition becomes probable, we will recognize the cumulative stock-based compensation expense for the two-tier RSUs that have met their service-based vesting condition using the accelerated attribution method. If the Performance Vesting Condition had occurred on December 31, 2017, we would have recorded $415.6 million of stock-based</w:t>
      </w:r>
    </w:p>
    <w:p>
      <w:pPr>
        <w:spacing w:after="0" w:line="87" w:lineRule="exact"/>
        <w:rPr>
          <w:sz w:val="20"/>
          <w:szCs w:val="20"/>
          <w:color w:val="auto"/>
        </w:rPr>
      </w:pPr>
    </w:p>
    <w:p>
      <w:pPr>
        <w:ind w:left="5640"/>
        <w:spacing w:after="0"/>
        <w:rPr>
          <w:sz w:val="20"/>
          <w:szCs w:val="20"/>
          <w:color w:val="auto"/>
        </w:rPr>
      </w:pPr>
      <w:r>
        <w:rPr>
          <w:rFonts w:ascii="Arial" w:cs="Arial" w:eastAsia="Arial" w:hAnsi="Arial"/>
          <w:sz w:val="15"/>
          <w:szCs w:val="15"/>
          <w:color w:val="auto"/>
        </w:rPr>
        <w:t>86</w:t>
      </w:r>
    </w:p>
    <w:p>
      <w:pPr>
        <w:sectPr>
          <w:pgSz w:w="11900" w:h="16838" w:orient="portrait"/>
          <w:cols w:equalWidth="0" w:num="1">
            <w:col w:w="10300"/>
          </w:cols>
          <w:pgMar w:left="240" w:top="407" w:right="1359" w:bottom="1440" w:gutter="0" w:footer="0" w:header="0"/>
        </w:sectPr>
      </w:pPr>
    </w:p>
    <w:bookmarkStart w:id="93" w:name="page94"/>
    <w:bookmarkEnd w:id="93"/>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133350</wp:posOffset>
            </wp:positionH>
            <wp:positionV relativeFrom="page">
              <wp:posOffset>88900</wp:posOffset>
            </wp:positionV>
            <wp:extent cx="7308850" cy="342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308850" cy="34290"/>
                    </a:xfrm>
                    <a:prstGeom prst="rect">
                      <a:avLst/>
                    </a:prstGeom>
                    <a:noFill/>
                  </pic:spPr>
                </pic:pic>
              </a:graphicData>
            </a:graphic>
          </wp:anchor>
        </w:drawing>
      </w:r>
      <w:hyperlink w:anchor="page7">
        <w:r>
          <w:rPr>
            <w:rFonts w:ascii="Arial" w:cs="Arial" w:eastAsia="Arial" w:hAnsi="Arial"/>
            <w:sz w:val="15"/>
            <w:szCs w:val="15"/>
            <w:b w:val="1"/>
            <w:bCs w:val="1"/>
            <w:u w:val="single" w:color="auto"/>
            <w:color w:val="0000EE"/>
          </w:rPr>
          <w:t>Table of Contents</w:t>
        </w:r>
      </w:hyperlink>
    </w:p>
    <w:p>
      <w:pPr>
        <w:spacing w:after="0" w:line="260" w:lineRule="exact"/>
        <w:rPr>
          <w:sz w:val="20"/>
          <w:szCs w:val="20"/>
          <w:color w:val="auto"/>
        </w:rPr>
      </w:pPr>
    </w:p>
    <w:p>
      <w:pPr>
        <w:ind w:left="1120" w:right="40"/>
        <w:spacing w:after="0" w:line="322" w:lineRule="auto"/>
        <w:rPr>
          <w:sz w:val="20"/>
          <w:szCs w:val="20"/>
          <w:color w:val="auto"/>
        </w:rPr>
      </w:pPr>
      <w:r>
        <w:rPr>
          <w:rFonts w:ascii="Arial" w:cs="Arial" w:eastAsia="Arial" w:hAnsi="Arial"/>
          <w:sz w:val="13"/>
          <w:szCs w:val="13"/>
          <w:color w:val="auto"/>
        </w:rPr>
        <w:t>compensation expense. As of December 31, 2017, 28.2 million two-tier RSUs were outstanding, of which 26.1 million had met their service condition. If the Performance Vesting Condition had been satisfied on these two-tier RSUs as of December 31, 2017, we would recognize unamortized stock-based compensation expense of $5.6 million over a weighted-average period of approximately one year if the requisite service is provided.</w:t>
      </w:r>
    </w:p>
    <w:p>
      <w:pPr>
        <w:spacing w:after="0" w:line="120" w:lineRule="exact"/>
        <w:rPr>
          <w:sz w:val="20"/>
          <w:szCs w:val="20"/>
          <w:color w:val="auto"/>
        </w:rPr>
      </w:pPr>
    </w:p>
    <w:p>
      <w:pPr>
        <w:ind w:left="1480"/>
        <w:spacing w:after="0"/>
        <w:rPr>
          <w:sz w:val="20"/>
          <w:szCs w:val="20"/>
          <w:color w:val="auto"/>
        </w:rPr>
      </w:pPr>
      <w:r>
        <w:rPr>
          <w:rFonts w:ascii="Arial" w:cs="Arial" w:eastAsia="Arial" w:hAnsi="Arial"/>
          <w:sz w:val="15"/>
          <w:szCs w:val="15"/>
          <w:b w:val="1"/>
          <w:bCs w:val="1"/>
          <w:i w:val="1"/>
          <w:iCs w:val="1"/>
          <w:color w:val="auto"/>
        </w:rPr>
        <w:t>Co-Founder Grants</w:t>
      </w:r>
    </w:p>
    <w:p>
      <w:pPr>
        <w:spacing w:after="0" w:line="98" w:lineRule="exact"/>
        <w:rPr>
          <w:sz w:val="20"/>
          <w:szCs w:val="20"/>
          <w:color w:val="auto"/>
        </w:rPr>
      </w:pPr>
    </w:p>
    <w:p>
      <w:pPr>
        <w:ind w:left="1120" w:right="180" w:firstLine="368"/>
        <w:spacing w:after="0" w:line="279" w:lineRule="auto"/>
        <w:rPr>
          <w:sz w:val="20"/>
          <w:szCs w:val="20"/>
          <w:color w:val="auto"/>
        </w:rPr>
      </w:pPr>
      <w:r>
        <w:rPr>
          <w:rFonts w:ascii="Arial" w:cs="Arial" w:eastAsia="Arial" w:hAnsi="Arial"/>
          <w:sz w:val="14"/>
          <w:szCs w:val="14"/>
          <w:color w:val="auto"/>
        </w:rPr>
        <w:t>In December 2017, the Board of Directors approved a grant to our co-founders of restricted stock awards, or RSAs, with respect to 14.7 million shares of Class A Common Stock in the aggregate, or collectively, the Co-Founder Grants, of which 10.3 million RSAs were granted to Mr. Houston, the Company’s co-founder and Chief Executive Officer, and 4.4 million RSAs were granted to Mr. Ferdowsi, the Company’s co-founder and Director. These Co-Founder Grants have service-based, market-based, and performance-based vesting conditions. These Co-Founder Grants have certain stockholder rights, such as the right to vote the shares immediately upon grant and prior to their vesting.</w:t>
      </w:r>
    </w:p>
    <w:p>
      <w:pPr>
        <w:spacing w:after="0" w:line="147" w:lineRule="exact"/>
        <w:rPr>
          <w:sz w:val="20"/>
          <w:szCs w:val="20"/>
          <w:color w:val="auto"/>
        </w:rPr>
      </w:pPr>
    </w:p>
    <w:p>
      <w:pPr>
        <w:ind w:left="1120" w:right="140" w:firstLine="368"/>
        <w:spacing w:after="0" w:line="263" w:lineRule="auto"/>
        <w:rPr>
          <w:sz w:val="20"/>
          <w:szCs w:val="20"/>
          <w:color w:val="auto"/>
        </w:rPr>
      </w:pPr>
      <w:r>
        <w:rPr>
          <w:rFonts w:ascii="Arial" w:cs="Arial" w:eastAsia="Arial" w:hAnsi="Arial"/>
          <w:sz w:val="15"/>
          <w:szCs w:val="15"/>
          <w:color w:val="auto"/>
        </w:rPr>
        <w:t>The Co-Founder Grants are eligible to vest over the ten-year period following the closing of this offering. The Co-Founder Grants comprise nine tranches that are eligible to vest based on the achievement of stock price goals, or, each, a Stock Price Target, measured over a consecutive thirty-day trading period during the Performance Period, as follows:</w:t>
      </w:r>
    </w:p>
    <w:p>
      <w:pPr>
        <w:spacing w:after="0" w:line="154" w:lineRule="exact"/>
        <w:rPr>
          <w:sz w:val="20"/>
          <w:szCs w:val="20"/>
          <w:color w:val="auto"/>
        </w:rPr>
      </w:pPr>
    </w:p>
    <w:tbl>
      <w:tblPr>
        <w:tblLayout w:type="fixed"/>
        <w:tblInd w:w="1860" w:type="dxa"/>
        <w:tblCellMar>
          <w:top w:w="0" w:type="dxa"/>
          <w:left w:w="0" w:type="dxa"/>
          <w:bottom w:w="0" w:type="dxa"/>
          <w:right w:w="0" w:type="dxa"/>
        </w:tblCellMar>
      </w:tblPr>
      <w:tr>
        <w:trPr>
          <w:trHeight w:val="138"/>
        </w:trPr>
        <w:tc>
          <w:tcPr>
            <w:tcW w:w="3140" w:type="dxa"/>
            <w:vAlign w:val="bottom"/>
            <w:gridSpan w:val="2"/>
          </w:tcPr>
          <w:p>
            <w:pPr>
              <w:spacing w:after="0"/>
              <w:rPr>
                <w:sz w:val="20"/>
                <w:szCs w:val="20"/>
                <w:color w:val="auto"/>
              </w:rPr>
            </w:pPr>
            <w:r>
              <w:rPr>
                <w:rFonts w:ascii="Arial" w:cs="Arial" w:eastAsia="Arial" w:hAnsi="Arial"/>
                <w:sz w:val="12"/>
                <w:szCs w:val="12"/>
                <w:b w:val="1"/>
                <w:bCs w:val="1"/>
                <w:color w:val="auto"/>
              </w:rPr>
              <w:t>Company Stock Price</w:t>
            </w:r>
          </w:p>
        </w:tc>
        <w:tc>
          <w:tcPr>
            <w:tcW w:w="3380" w:type="dxa"/>
            <w:vAlign w:val="bottom"/>
            <w:gridSpan w:val="2"/>
          </w:tcPr>
          <w:p>
            <w:pPr>
              <w:jc w:val="right"/>
              <w:ind w:right="2040"/>
              <w:spacing w:after="0"/>
              <w:rPr>
                <w:sz w:val="20"/>
                <w:szCs w:val="20"/>
                <w:color w:val="auto"/>
              </w:rPr>
            </w:pPr>
            <w:r>
              <w:rPr>
                <w:rFonts w:ascii="Arial" w:cs="Arial" w:eastAsia="Arial" w:hAnsi="Arial"/>
                <w:sz w:val="12"/>
                <w:szCs w:val="12"/>
                <w:b w:val="1"/>
                <w:bCs w:val="1"/>
                <w:color w:val="auto"/>
                <w:w w:val="88"/>
              </w:rPr>
              <w:t>Shares Eligible to Vest for</w:t>
            </w:r>
          </w:p>
        </w:tc>
        <w:tc>
          <w:tcPr>
            <w:tcW w:w="1200" w:type="dxa"/>
            <w:vAlign w:val="bottom"/>
            <w:gridSpan w:val="2"/>
          </w:tcPr>
          <w:p>
            <w:pPr>
              <w:jc w:val="right"/>
              <w:ind w:right="60"/>
              <w:spacing w:after="0"/>
              <w:rPr>
                <w:sz w:val="20"/>
                <w:szCs w:val="20"/>
                <w:color w:val="auto"/>
              </w:rPr>
            </w:pPr>
            <w:r>
              <w:rPr>
                <w:rFonts w:ascii="Arial" w:cs="Arial" w:eastAsia="Arial" w:hAnsi="Arial"/>
                <w:sz w:val="12"/>
                <w:szCs w:val="12"/>
                <w:b w:val="1"/>
                <w:bCs w:val="1"/>
                <w:color w:val="auto"/>
                <w:w w:val="86"/>
              </w:rPr>
              <w:t>Shares Eligible to Vest</w:t>
            </w:r>
          </w:p>
        </w:tc>
      </w:tr>
      <w:tr>
        <w:trPr>
          <w:trHeight w:val="144"/>
        </w:trPr>
        <w:tc>
          <w:tcPr>
            <w:tcW w:w="3140" w:type="dxa"/>
            <w:vAlign w:val="bottom"/>
            <w:gridSpan w:val="2"/>
          </w:tcPr>
          <w:p>
            <w:pPr>
              <w:ind w:left="380"/>
              <w:spacing w:after="0"/>
              <w:rPr>
                <w:sz w:val="20"/>
                <w:szCs w:val="20"/>
                <w:color w:val="auto"/>
              </w:rPr>
            </w:pPr>
            <w:r>
              <w:rPr>
                <w:rFonts w:ascii="Arial" w:cs="Arial" w:eastAsia="Arial" w:hAnsi="Arial"/>
                <w:sz w:val="12"/>
                <w:szCs w:val="12"/>
                <w:b w:val="1"/>
                <w:bCs w:val="1"/>
                <w:color w:val="auto"/>
              </w:rPr>
              <w:t>Target</w:t>
            </w:r>
          </w:p>
        </w:tc>
        <w:tc>
          <w:tcPr>
            <w:tcW w:w="3380" w:type="dxa"/>
            <w:vAlign w:val="bottom"/>
            <w:gridSpan w:val="2"/>
          </w:tcPr>
          <w:p>
            <w:pPr>
              <w:jc w:val="right"/>
              <w:ind w:right="2380"/>
              <w:spacing w:after="0"/>
              <w:rPr>
                <w:sz w:val="20"/>
                <w:szCs w:val="20"/>
                <w:color w:val="auto"/>
              </w:rPr>
            </w:pPr>
            <w:r>
              <w:rPr>
                <w:rFonts w:ascii="Arial" w:cs="Arial" w:eastAsia="Arial" w:hAnsi="Arial"/>
                <w:sz w:val="12"/>
                <w:szCs w:val="12"/>
                <w:b w:val="1"/>
                <w:bCs w:val="1"/>
                <w:color w:val="auto"/>
              </w:rPr>
              <w:t>Mr. Houston</w:t>
            </w:r>
          </w:p>
        </w:tc>
        <w:tc>
          <w:tcPr>
            <w:tcW w:w="1200" w:type="dxa"/>
            <w:vAlign w:val="bottom"/>
            <w:gridSpan w:val="2"/>
          </w:tcPr>
          <w:p>
            <w:pPr>
              <w:ind w:left="140"/>
              <w:spacing w:after="0"/>
              <w:rPr>
                <w:sz w:val="20"/>
                <w:szCs w:val="20"/>
                <w:color w:val="auto"/>
              </w:rPr>
            </w:pPr>
            <w:r>
              <w:rPr>
                <w:rFonts w:ascii="Arial" w:cs="Arial" w:eastAsia="Arial" w:hAnsi="Arial"/>
                <w:sz w:val="12"/>
                <w:szCs w:val="12"/>
                <w:b w:val="1"/>
                <w:bCs w:val="1"/>
                <w:color w:val="auto"/>
              </w:rPr>
              <w:t>for Mr. Ferdowsi</w:t>
            </w:r>
          </w:p>
        </w:tc>
      </w:tr>
      <w:tr>
        <w:trPr>
          <w:trHeight w:val="172"/>
        </w:trPr>
        <w:tc>
          <w:tcPr>
            <w:tcW w:w="1100" w:type="dxa"/>
            <w:vAlign w:val="bottom"/>
            <w:tcBorders>
              <w:top w:val="single" w:sz="8" w:color="auto"/>
            </w:tcBorders>
            <w:shd w:val="clear" w:color="auto" w:fill="CCEEFF"/>
          </w:tcPr>
          <w:p>
            <w:pPr>
              <w:ind w:left="700"/>
              <w:spacing w:after="0"/>
              <w:rPr>
                <w:sz w:val="20"/>
                <w:szCs w:val="20"/>
                <w:color w:val="auto"/>
              </w:rPr>
            </w:pPr>
            <w:r>
              <w:rPr>
                <w:rFonts w:ascii="Arial" w:cs="Arial" w:eastAsia="Arial" w:hAnsi="Arial"/>
                <w:sz w:val="15"/>
                <w:szCs w:val="15"/>
                <w:color w:val="auto"/>
                <w:w w:val="82"/>
              </w:rPr>
              <w:t>$30.00</w:t>
            </w:r>
          </w:p>
        </w:tc>
        <w:tc>
          <w:tcPr>
            <w:tcW w:w="2040" w:type="dxa"/>
            <w:vAlign w:val="bottom"/>
            <w:tcBorders>
              <w:top w:val="single" w:sz="8" w:color="CCEEFF"/>
            </w:tcBorders>
            <w:shd w:val="clear" w:color="auto" w:fill="CCEEFF"/>
          </w:tcPr>
          <w:p>
            <w:pPr>
              <w:spacing w:after="0"/>
              <w:rPr>
                <w:sz w:val="14"/>
                <w:szCs w:val="14"/>
                <w:color w:val="auto"/>
              </w:rPr>
            </w:pP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2,066,667</w:t>
            </w:r>
          </w:p>
        </w:tc>
        <w:tc>
          <w:tcPr>
            <w:tcW w:w="2040" w:type="dxa"/>
            <w:vAlign w:val="bottom"/>
            <w:tcBorders>
              <w:top w:val="single" w:sz="8" w:color="CCEEFF"/>
            </w:tcBorders>
            <w:shd w:val="clear" w:color="auto" w:fill="CCEEFF"/>
          </w:tcPr>
          <w:p>
            <w:pPr>
              <w:spacing w:after="0"/>
              <w:rPr>
                <w:sz w:val="14"/>
                <w:szCs w:val="14"/>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880,000</w:t>
            </w:r>
          </w:p>
        </w:tc>
        <w:tc>
          <w:tcPr>
            <w:tcW w:w="40" w:type="dxa"/>
            <w:vAlign w:val="bottom"/>
            <w:tcBorders>
              <w:top w:val="single" w:sz="8" w:color="CCEEFF"/>
            </w:tcBorders>
            <w:shd w:val="clear" w:color="auto" w:fill="CCEEFF"/>
          </w:tcPr>
          <w:p>
            <w:pPr>
              <w:spacing w:after="0"/>
              <w:rPr>
                <w:sz w:val="14"/>
                <w:szCs w:val="14"/>
                <w:color w:val="auto"/>
              </w:rPr>
            </w:pPr>
          </w:p>
        </w:tc>
      </w:tr>
      <w:tr>
        <w:trPr>
          <w:trHeight w:val="180"/>
        </w:trPr>
        <w:tc>
          <w:tcPr>
            <w:tcW w:w="3140" w:type="dxa"/>
            <w:vAlign w:val="bottom"/>
            <w:gridSpan w:val="2"/>
          </w:tcPr>
          <w:p>
            <w:pPr>
              <w:ind w:left="700"/>
              <w:spacing w:after="0"/>
              <w:rPr>
                <w:sz w:val="20"/>
                <w:szCs w:val="20"/>
                <w:color w:val="auto"/>
              </w:rPr>
            </w:pPr>
            <w:r>
              <w:rPr>
                <w:rFonts w:ascii="Arial" w:cs="Arial" w:eastAsia="Arial" w:hAnsi="Arial"/>
                <w:sz w:val="15"/>
                <w:szCs w:val="15"/>
                <w:color w:val="auto"/>
              </w:rPr>
              <w:t>$37.50</w:t>
            </w:r>
          </w:p>
        </w:tc>
        <w:tc>
          <w:tcPr>
            <w:tcW w:w="3380" w:type="dxa"/>
            <w:vAlign w:val="bottom"/>
            <w:gridSpan w:val="2"/>
          </w:tcPr>
          <w:p>
            <w:pPr>
              <w:jc w:val="right"/>
              <w:ind w:right="2040"/>
              <w:spacing w:after="0"/>
              <w:rPr>
                <w:sz w:val="20"/>
                <w:szCs w:val="20"/>
                <w:color w:val="auto"/>
              </w:rPr>
            </w:pPr>
            <w:r>
              <w:rPr>
                <w:rFonts w:ascii="Arial" w:cs="Arial" w:eastAsia="Arial" w:hAnsi="Arial"/>
                <w:sz w:val="15"/>
                <w:szCs w:val="15"/>
                <w:color w:val="auto"/>
              </w:rPr>
              <w:t>1,033,334</w:t>
            </w:r>
          </w:p>
        </w:tc>
        <w:tc>
          <w:tcPr>
            <w:tcW w:w="1200" w:type="dxa"/>
            <w:vAlign w:val="bottom"/>
            <w:gridSpan w:val="2"/>
          </w:tcPr>
          <w:p>
            <w:pPr>
              <w:jc w:val="right"/>
              <w:ind w:right="40"/>
              <w:spacing w:after="0"/>
              <w:rPr>
                <w:sz w:val="20"/>
                <w:szCs w:val="20"/>
                <w:color w:val="auto"/>
              </w:rPr>
            </w:pPr>
            <w:r>
              <w:rPr>
                <w:rFonts w:ascii="Arial" w:cs="Arial" w:eastAsia="Arial" w:hAnsi="Arial"/>
                <w:sz w:val="15"/>
                <w:szCs w:val="15"/>
                <w:color w:val="auto"/>
              </w:rPr>
              <w:t>440,000</w:t>
            </w:r>
          </w:p>
        </w:tc>
      </w:tr>
      <w:tr>
        <w:trPr>
          <w:trHeight w:val="180"/>
        </w:trPr>
        <w:tc>
          <w:tcPr>
            <w:tcW w:w="3140" w:type="dxa"/>
            <w:vAlign w:val="bottom"/>
            <w:gridSpan w:val="2"/>
            <w:shd w:val="clear" w:color="auto" w:fill="CCEEFF"/>
          </w:tcPr>
          <w:p>
            <w:pPr>
              <w:ind w:left="700"/>
              <w:spacing w:after="0"/>
              <w:rPr>
                <w:sz w:val="20"/>
                <w:szCs w:val="20"/>
                <w:color w:val="auto"/>
              </w:rPr>
            </w:pPr>
            <w:r>
              <w:rPr>
                <w:rFonts w:ascii="Arial" w:cs="Arial" w:eastAsia="Arial" w:hAnsi="Arial"/>
                <w:sz w:val="15"/>
                <w:szCs w:val="15"/>
                <w:color w:val="auto"/>
              </w:rPr>
              <w:t>$45.00</w:t>
            </w:r>
          </w:p>
        </w:tc>
        <w:tc>
          <w:tcPr>
            <w:tcW w:w="3380" w:type="dxa"/>
            <w:vAlign w:val="bottom"/>
            <w:gridSpan w:val="2"/>
            <w:shd w:val="clear" w:color="auto" w:fill="CCEEFF"/>
          </w:tcPr>
          <w:p>
            <w:pPr>
              <w:jc w:val="right"/>
              <w:ind w:right="2040"/>
              <w:spacing w:after="0"/>
              <w:rPr>
                <w:sz w:val="20"/>
                <w:szCs w:val="20"/>
                <w:color w:val="auto"/>
              </w:rPr>
            </w:pPr>
            <w:r>
              <w:rPr>
                <w:rFonts w:ascii="Arial" w:cs="Arial" w:eastAsia="Arial" w:hAnsi="Arial"/>
                <w:sz w:val="15"/>
                <w:szCs w:val="15"/>
                <w:color w:val="auto"/>
              </w:rPr>
              <w:t>1,033,334</w:t>
            </w:r>
          </w:p>
        </w:tc>
        <w:tc>
          <w:tcPr>
            <w:tcW w:w="120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440,000</w:t>
            </w:r>
          </w:p>
        </w:tc>
      </w:tr>
      <w:tr>
        <w:trPr>
          <w:trHeight w:val="180"/>
        </w:trPr>
        <w:tc>
          <w:tcPr>
            <w:tcW w:w="3140" w:type="dxa"/>
            <w:vAlign w:val="bottom"/>
            <w:gridSpan w:val="2"/>
          </w:tcPr>
          <w:p>
            <w:pPr>
              <w:ind w:left="700"/>
              <w:spacing w:after="0"/>
              <w:rPr>
                <w:sz w:val="20"/>
                <w:szCs w:val="20"/>
                <w:color w:val="auto"/>
              </w:rPr>
            </w:pPr>
            <w:r>
              <w:rPr>
                <w:rFonts w:ascii="Arial" w:cs="Arial" w:eastAsia="Arial" w:hAnsi="Arial"/>
                <w:sz w:val="15"/>
                <w:szCs w:val="15"/>
                <w:color w:val="auto"/>
              </w:rPr>
              <w:t>$52.50</w:t>
            </w:r>
          </w:p>
        </w:tc>
        <w:tc>
          <w:tcPr>
            <w:tcW w:w="3380" w:type="dxa"/>
            <w:vAlign w:val="bottom"/>
            <w:gridSpan w:val="2"/>
          </w:tcPr>
          <w:p>
            <w:pPr>
              <w:jc w:val="right"/>
              <w:ind w:right="2040"/>
              <w:spacing w:after="0"/>
              <w:rPr>
                <w:sz w:val="20"/>
                <w:szCs w:val="20"/>
                <w:color w:val="auto"/>
              </w:rPr>
            </w:pPr>
            <w:r>
              <w:rPr>
                <w:rFonts w:ascii="Arial" w:cs="Arial" w:eastAsia="Arial" w:hAnsi="Arial"/>
                <w:sz w:val="15"/>
                <w:szCs w:val="15"/>
                <w:color w:val="auto"/>
              </w:rPr>
              <w:t>1,033,333</w:t>
            </w:r>
          </w:p>
        </w:tc>
        <w:tc>
          <w:tcPr>
            <w:tcW w:w="1200" w:type="dxa"/>
            <w:vAlign w:val="bottom"/>
            <w:gridSpan w:val="2"/>
          </w:tcPr>
          <w:p>
            <w:pPr>
              <w:jc w:val="right"/>
              <w:ind w:right="40"/>
              <w:spacing w:after="0"/>
              <w:rPr>
                <w:sz w:val="20"/>
                <w:szCs w:val="20"/>
                <w:color w:val="auto"/>
              </w:rPr>
            </w:pPr>
            <w:r>
              <w:rPr>
                <w:rFonts w:ascii="Arial" w:cs="Arial" w:eastAsia="Arial" w:hAnsi="Arial"/>
                <w:sz w:val="15"/>
                <w:szCs w:val="15"/>
                <w:color w:val="auto"/>
              </w:rPr>
              <w:t>440,000</w:t>
            </w:r>
          </w:p>
        </w:tc>
      </w:tr>
      <w:tr>
        <w:trPr>
          <w:trHeight w:val="180"/>
        </w:trPr>
        <w:tc>
          <w:tcPr>
            <w:tcW w:w="3140" w:type="dxa"/>
            <w:vAlign w:val="bottom"/>
            <w:gridSpan w:val="2"/>
            <w:shd w:val="clear" w:color="auto" w:fill="CCEEFF"/>
          </w:tcPr>
          <w:p>
            <w:pPr>
              <w:ind w:left="700"/>
              <w:spacing w:after="0"/>
              <w:rPr>
                <w:sz w:val="20"/>
                <w:szCs w:val="20"/>
                <w:color w:val="auto"/>
              </w:rPr>
            </w:pPr>
            <w:r>
              <w:rPr>
                <w:rFonts w:ascii="Arial" w:cs="Arial" w:eastAsia="Arial" w:hAnsi="Arial"/>
                <w:sz w:val="15"/>
                <w:szCs w:val="15"/>
                <w:color w:val="auto"/>
              </w:rPr>
              <w:t>$60.00</w:t>
            </w:r>
          </w:p>
        </w:tc>
        <w:tc>
          <w:tcPr>
            <w:tcW w:w="3380" w:type="dxa"/>
            <w:vAlign w:val="bottom"/>
            <w:gridSpan w:val="2"/>
            <w:shd w:val="clear" w:color="auto" w:fill="CCEEFF"/>
          </w:tcPr>
          <w:p>
            <w:pPr>
              <w:jc w:val="right"/>
              <w:ind w:right="2040"/>
              <w:spacing w:after="0"/>
              <w:rPr>
                <w:sz w:val="20"/>
                <w:szCs w:val="20"/>
                <w:color w:val="auto"/>
              </w:rPr>
            </w:pPr>
            <w:r>
              <w:rPr>
                <w:rFonts w:ascii="Arial" w:cs="Arial" w:eastAsia="Arial" w:hAnsi="Arial"/>
                <w:sz w:val="15"/>
                <w:szCs w:val="15"/>
                <w:color w:val="auto"/>
              </w:rPr>
              <w:t>1,033,333</w:t>
            </w:r>
          </w:p>
        </w:tc>
        <w:tc>
          <w:tcPr>
            <w:tcW w:w="120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440,000</w:t>
            </w:r>
          </w:p>
        </w:tc>
      </w:tr>
      <w:tr>
        <w:trPr>
          <w:trHeight w:val="180"/>
        </w:trPr>
        <w:tc>
          <w:tcPr>
            <w:tcW w:w="3140" w:type="dxa"/>
            <w:vAlign w:val="bottom"/>
            <w:gridSpan w:val="2"/>
          </w:tcPr>
          <w:p>
            <w:pPr>
              <w:ind w:left="700"/>
              <w:spacing w:after="0"/>
              <w:rPr>
                <w:sz w:val="20"/>
                <w:szCs w:val="20"/>
                <w:color w:val="auto"/>
              </w:rPr>
            </w:pPr>
            <w:r>
              <w:rPr>
                <w:rFonts w:ascii="Arial" w:cs="Arial" w:eastAsia="Arial" w:hAnsi="Arial"/>
                <w:sz w:val="15"/>
                <w:szCs w:val="15"/>
                <w:color w:val="auto"/>
              </w:rPr>
              <w:t>$67.50</w:t>
            </w:r>
          </w:p>
        </w:tc>
        <w:tc>
          <w:tcPr>
            <w:tcW w:w="3380" w:type="dxa"/>
            <w:vAlign w:val="bottom"/>
            <w:gridSpan w:val="2"/>
          </w:tcPr>
          <w:p>
            <w:pPr>
              <w:jc w:val="right"/>
              <w:ind w:right="2040"/>
              <w:spacing w:after="0"/>
              <w:rPr>
                <w:sz w:val="20"/>
                <w:szCs w:val="20"/>
                <w:color w:val="auto"/>
              </w:rPr>
            </w:pPr>
            <w:r>
              <w:rPr>
                <w:rFonts w:ascii="Arial" w:cs="Arial" w:eastAsia="Arial" w:hAnsi="Arial"/>
                <w:sz w:val="15"/>
                <w:szCs w:val="15"/>
                <w:color w:val="auto"/>
              </w:rPr>
              <w:t>1,033,333</w:t>
            </w:r>
          </w:p>
        </w:tc>
        <w:tc>
          <w:tcPr>
            <w:tcW w:w="1200" w:type="dxa"/>
            <w:vAlign w:val="bottom"/>
            <w:gridSpan w:val="2"/>
          </w:tcPr>
          <w:p>
            <w:pPr>
              <w:jc w:val="right"/>
              <w:ind w:right="40"/>
              <w:spacing w:after="0"/>
              <w:rPr>
                <w:sz w:val="20"/>
                <w:szCs w:val="20"/>
                <w:color w:val="auto"/>
              </w:rPr>
            </w:pPr>
            <w:r>
              <w:rPr>
                <w:rFonts w:ascii="Arial" w:cs="Arial" w:eastAsia="Arial" w:hAnsi="Arial"/>
                <w:sz w:val="15"/>
                <w:szCs w:val="15"/>
                <w:color w:val="auto"/>
              </w:rPr>
              <w:t>440,000</w:t>
            </w:r>
          </w:p>
        </w:tc>
      </w:tr>
      <w:tr>
        <w:trPr>
          <w:trHeight w:val="180"/>
        </w:trPr>
        <w:tc>
          <w:tcPr>
            <w:tcW w:w="3140" w:type="dxa"/>
            <w:vAlign w:val="bottom"/>
            <w:gridSpan w:val="2"/>
            <w:shd w:val="clear" w:color="auto" w:fill="CCEEFF"/>
          </w:tcPr>
          <w:p>
            <w:pPr>
              <w:ind w:left="700"/>
              <w:spacing w:after="0"/>
              <w:rPr>
                <w:sz w:val="20"/>
                <w:szCs w:val="20"/>
                <w:color w:val="auto"/>
              </w:rPr>
            </w:pPr>
            <w:r>
              <w:rPr>
                <w:rFonts w:ascii="Arial" w:cs="Arial" w:eastAsia="Arial" w:hAnsi="Arial"/>
                <w:sz w:val="15"/>
                <w:szCs w:val="15"/>
                <w:color w:val="auto"/>
              </w:rPr>
              <w:t>$75.00</w:t>
            </w:r>
          </w:p>
        </w:tc>
        <w:tc>
          <w:tcPr>
            <w:tcW w:w="3380" w:type="dxa"/>
            <w:vAlign w:val="bottom"/>
            <w:gridSpan w:val="2"/>
            <w:shd w:val="clear" w:color="auto" w:fill="CCEEFF"/>
          </w:tcPr>
          <w:p>
            <w:pPr>
              <w:jc w:val="right"/>
              <w:ind w:right="2040"/>
              <w:spacing w:after="0"/>
              <w:rPr>
                <w:sz w:val="20"/>
                <w:szCs w:val="20"/>
                <w:color w:val="auto"/>
              </w:rPr>
            </w:pPr>
            <w:r>
              <w:rPr>
                <w:rFonts w:ascii="Arial" w:cs="Arial" w:eastAsia="Arial" w:hAnsi="Arial"/>
                <w:sz w:val="15"/>
                <w:szCs w:val="15"/>
                <w:color w:val="auto"/>
              </w:rPr>
              <w:t>1,033,333</w:t>
            </w:r>
          </w:p>
        </w:tc>
        <w:tc>
          <w:tcPr>
            <w:tcW w:w="120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440,000</w:t>
            </w:r>
          </w:p>
        </w:tc>
      </w:tr>
      <w:tr>
        <w:trPr>
          <w:trHeight w:val="180"/>
        </w:trPr>
        <w:tc>
          <w:tcPr>
            <w:tcW w:w="3140" w:type="dxa"/>
            <w:vAlign w:val="bottom"/>
            <w:gridSpan w:val="2"/>
          </w:tcPr>
          <w:p>
            <w:pPr>
              <w:ind w:left="700"/>
              <w:spacing w:after="0"/>
              <w:rPr>
                <w:sz w:val="20"/>
                <w:szCs w:val="20"/>
                <w:color w:val="auto"/>
              </w:rPr>
            </w:pPr>
            <w:r>
              <w:rPr>
                <w:rFonts w:ascii="Arial" w:cs="Arial" w:eastAsia="Arial" w:hAnsi="Arial"/>
                <w:sz w:val="15"/>
                <w:szCs w:val="15"/>
                <w:color w:val="auto"/>
              </w:rPr>
              <w:t>$82.50</w:t>
            </w:r>
          </w:p>
        </w:tc>
        <w:tc>
          <w:tcPr>
            <w:tcW w:w="3380" w:type="dxa"/>
            <w:vAlign w:val="bottom"/>
            <w:gridSpan w:val="2"/>
          </w:tcPr>
          <w:p>
            <w:pPr>
              <w:jc w:val="right"/>
              <w:ind w:right="2040"/>
              <w:spacing w:after="0"/>
              <w:rPr>
                <w:sz w:val="20"/>
                <w:szCs w:val="20"/>
                <w:color w:val="auto"/>
              </w:rPr>
            </w:pPr>
            <w:r>
              <w:rPr>
                <w:rFonts w:ascii="Arial" w:cs="Arial" w:eastAsia="Arial" w:hAnsi="Arial"/>
                <w:sz w:val="15"/>
                <w:szCs w:val="15"/>
                <w:color w:val="auto"/>
              </w:rPr>
              <w:t>1,033,333</w:t>
            </w:r>
          </w:p>
        </w:tc>
        <w:tc>
          <w:tcPr>
            <w:tcW w:w="1200" w:type="dxa"/>
            <w:vAlign w:val="bottom"/>
            <w:gridSpan w:val="2"/>
          </w:tcPr>
          <w:p>
            <w:pPr>
              <w:jc w:val="right"/>
              <w:ind w:right="40"/>
              <w:spacing w:after="0"/>
              <w:rPr>
                <w:sz w:val="20"/>
                <w:szCs w:val="20"/>
                <w:color w:val="auto"/>
              </w:rPr>
            </w:pPr>
            <w:r>
              <w:rPr>
                <w:rFonts w:ascii="Arial" w:cs="Arial" w:eastAsia="Arial" w:hAnsi="Arial"/>
                <w:sz w:val="15"/>
                <w:szCs w:val="15"/>
                <w:color w:val="auto"/>
              </w:rPr>
              <w:t>440,000</w:t>
            </w:r>
          </w:p>
        </w:tc>
      </w:tr>
      <w:tr>
        <w:trPr>
          <w:trHeight w:val="180"/>
        </w:trPr>
        <w:tc>
          <w:tcPr>
            <w:tcW w:w="3140" w:type="dxa"/>
            <w:vAlign w:val="bottom"/>
            <w:gridSpan w:val="2"/>
            <w:shd w:val="clear" w:color="auto" w:fill="CCEEFF"/>
          </w:tcPr>
          <w:p>
            <w:pPr>
              <w:ind w:left="700"/>
              <w:spacing w:after="0"/>
              <w:rPr>
                <w:sz w:val="20"/>
                <w:szCs w:val="20"/>
                <w:color w:val="auto"/>
              </w:rPr>
            </w:pPr>
            <w:r>
              <w:rPr>
                <w:rFonts w:ascii="Arial" w:cs="Arial" w:eastAsia="Arial" w:hAnsi="Arial"/>
                <w:sz w:val="15"/>
                <w:szCs w:val="15"/>
                <w:color w:val="auto"/>
              </w:rPr>
              <w:t>$90.00</w:t>
            </w:r>
          </w:p>
        </w:tc>
        <w:tc>
          <w:tcPr>
            <w:tcW w:w="3380" w:type="dxa"/>
            <w:vAlign w:val="bottom"/>
            <w:gridSpan w:val="2"/>
            <w:shd w:val="clear" w:color="auto" w:fill="CCEEFF"/>
          </w:tcPr>
          <w:p>
            <w:pPr>
              <w:jc w:val="right"/>
              <w:ind w:right="2040"/>
              <w:spacing w:after="0"/>
              <w:rPr>
                <w:sz w:val="20"/>
                <w:szCs w:val="20"/>
                <w:color w:val="auto"/>
              </w:rPr>
            </w:pPr>
            <w:r>
              <w:rPr>
                <w:rFonts w:ascii="Arial" w:cs="Arial" w:eastAsia="Arial" w:hAnsi="Arial"/>
                <w:sz w:val="15"/>
                <w:szCs w:val="15"/>
                <w:color w:val="auto"/>
              </w:rPr>
              <w:t>1,033,333</w:t>
            </w:r>
          </w:p>
        </w:tc>
        <w:tc>
          <w:tcPr>
            <w:tcW w:w="120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440,000</w:t>
            </w:r>
          </w:p>
        </w:tc>
      </w:tr>
    </w:tbl>
    <w:p>
      <w:pPr>
        <w:spacing w:after="0" w:line="170" w:lineRule="exact"/>
        <w:rPr>
          <w:sz w:val="20"/>
          <w:szCs w:val="20"/>
          <w:color w:val="auto"/>
        </w:rPr>
      </w:pPr>
    </w:p>
    <w:p>
      <w:pPr>
        <w:ind w:left="1120" w:right="80" w:firstLine="368"/>
        <w:spacing w:after="0" w:line="257" w:lineRule="auto"/>
        <w:rPr>
          <w:sz w:val="20"/>
          <w:szCs w:val="20"/>
          <w:color w:val="auto"/>
        </w:rPr>
      </w:pPr>
      <w:r>
        <w:rPr>
          <w:rFonts w:ascii="Arial" w:cs="Arial" w:eastAsia="Arial" w:hAnsi="Arial"/>
          <w:sz w:val="15"/>
          <w:szCs w:val="15"/>
          <w:color w:val="auto"/>
        </w:rPr>
        <w:t>The Performance Period begins on the first trading day following the later of (a) the expiration of the lock-up period following the first date the Company’s shares are traded on an established national securities exchange or automated quotation system, or the IPO Date, and (b) January 1, 2019, and ends on the earliest to occur of: (i) the date on which all shares subject to the Co-Founder Grants vest, (ii) the date the applicable co-founder ceases to satisfy the service-based vesting condition, (iii) the tenth anniversary of the IPO Date, and (iv) the occurrence of an acquisition of the Company prior to the IPO Date.</w:t>
      </w:r>
    </w:p>
    <w:p>
      <w:pPr>
        <w:spacing w:after="0" w:line="159" w:lineRule="exact"/>
        <w:rPr>
          <w:sz w:val="20"/>
          <w:szCs w:val="20"/>
          <w:color w:val="auto"/>
        </w:rPr>
      </w:pPr>
    </w:p>
    <w:p>
      <w:pPr>
        <w:ind w:left="1120" w:right="80" w:firstLine="368"/>
        <w:spacing w:after="0" w:line="312" w:lineRule="auto"/>
        <w:rPr>
          <w:sz w:val="20"/>
          <w:szCs w:val="20"/>
          <w:color w:val="auto"/>
        </w:rPr>
      </w:pPr>
      <w:r>
        <w:rPr>
          <w:rFonts w:ascii="Arial" w:cs="Arial" w:eastAsia="Arial" w:hAnsi="Arial"/>
          <w:sz w:val="14"/>
          <w:szCs w:val="14"/>
          <w:color w:val="auto"/>
        </w:rPr>
        <w:t>During the first four years of the Performance Period, no more than 20% of the shares subject to each Co-Founder Grant would be eligible to vest in any calendar year. After the first four years, all shares are eligible to vest based on the achievement of the Company Stock Price Targets.</w:t>
      </w:r>
    </w:p>
    <w:p>
      <w:pPr>
        <w:spacing w:after="0" w:line="123" w:lineRule="exact"/>
        <w:rPr>
          <w:sz w:val="20"/>
          <w:szCs w:val="20"/>
          <w:color w:val="auto"/>
        </w:rPr>
      </w:pPr>
    </w:p>
    <w:p>
      <w:pPr>
        <w:jc w:val="both"/>
        <w:ind w:left="1120" w:firstLine="368"/>
        <w:spacing w:after="0" w:line="290" w:lineRule="auto"/>
        <w:rPr>
          <w:sz w:val="20"/>
          <w:szCs w:val="20"/>
          <w:color w:val="auto"/>
        </w:rPr>
      </w:pPr>
      <w:r>
        <w:rPr>
          <w:rFonts w:ascii="Arial" w:cs="Arial" w:eastAsia="Arial" w:hAnsi="Arial"/>
          <w:sz w:val="14"/>
          <w:szCs w:val="14"/>
          <w:color w:val="auto"/>
        </w:rPr>
        <w:t>The Co-Founder Grants contain an implied performance-based vesting condition satisfied upon the IPO Date, because no shares subject to the Co-Founder Grants will vest unless the IPO Date occurs. Accordingly, as of December 31, 2017, all compensation expense related to the Co-Founder Grants remained unrecognized because the performance-based vesting condition was not deemed probable of being achieved.</w:t>
      </w:r>
    </w:p>
    <w:p>
      <w:pPr>
        <w:spacing w:after="0" w:line="138" w:lineRule="exact"/>
        <w:rPr>
          <w:sz w:val="20"/>
          <w:szCs w:val="20"/>
          <w:color w:val="auto"/>
        </w:rPr>
      </w:pPr>
    </w:p>
    <w:p>
      <w:pPr>
        <w:jc w:val="both"/>
        <w:ind w:left="1120" w:right="60" w:firstLine="368"/>
        <w:spacing w:after="0" w:line="283" w:lineRule="auto"/>
        <w:rPr>
          <w:sz w:val="20"/>
          <w:szCs w:val="20"/>
          <w:color w:val="auto"/>
        </w:rPr>
      </w:pPr>
      <w:r>
        <w:rPr>
          <w:rFonts w:ascii="Arial" w:cs="Arial" w:eastAsia="Arial" w:hAnsi="Arial"/>
          <w:sz w:val="14"/>
          <w:szCs w:val="14"/>
          <w:color w:val="auto"/>
        </w:rPr>
        <w:t>We estimated the grant date fair value of the Co-Founder Grants using a model based on multiple stock price paths developed through the use of a Monte Carlo simulation that incorporates into the valuation the possibility that the Stock Price Targets may not be satisfied. The average grant date fair value of each Co-Founder Grant was estimated to be $10.60 per share, and we will recognize total stock-based compensation expense of $156.2 million over the requisite service period of each tranche, which ranged from 2.9 to 6.9 years,</w:t>
      </w:r>
    </w:p>
    <w:p>
      <w:pPr>
        <w:spacing w:after="0" w:line="87" w:lineRule="exact"/>
        <w:rPr>
          <w:sz w:val="20"/>
          <w:szCs w:val="20"/>
          <w:color w:val="auto"/>
        </w:rPr>
      </w:pPr>
    </w:p>
    <w:p>
      <w:pPr>
        <w:ind w:left="5640"/>
        <w:spacing w:after="0"/>
        <w:rPr>
          <w:sz w:val="20"/>
          <w:szCs w:val="20"/>
          <w:color w:val="auto"/>
        </w:rPr>
      </w:pPr>
      <w:r>
        <w:rPr>
          <w:rFonts w:ascii="Arial" w:cs="Arial" w:eastAsia="Arial" w:hAnsi="Arial"/>
          <w:sz w:val="15"/>
          <w:szCs w:val="15"/>
          <w:color w:val="auto"/>
        </w:rPr>
        <w:t>87</w:t>
      </w:r>
    </w:p>
    <w:p>
      <w:pPr>
        <w:sectPr>
          <w:pgSz w:w="11900" w:h="16838" w:orient="portrait"/>
          <w:cols w:equalWidth="0" w:num="1">
            <w:col w:w="10320"/>
          </w:cols>
          <w:pgMar w:left="240" w:top="407" w:right="1339" w:bottom="1440" w:gutter="0" w:footer="0" w:header="0"/>
        </w:sectPr>
      </w:pPr>
    </w:p>
    <w:bookmarkStart w:id="94" w:name="page95"/>
    <w:bookmarkEnd w:id="94"/>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133350</wp:posOffset>
            </wp:positionH>
            <wp:positionV relativeFrom="page">
              <wp:posOffset>88900</wp:posOffset>
            </wp:positionV>
            <wp:extent cx="7308850" cy="342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308850" cy="34290"/>
                    </a:xfrm>
                    <a:prstGeom prst="rect">
                      <a:avLst/>
                    </a:prstGeom>
                    <a:noFill/>
                  </pic:spPr>
                </pic:pic>
              </a:graphicData>
            </a:graphic>
          </wp:anchor>
        </w:drawing>
      </w:r>
      <w:hyperlink w:anchor="page7">
        <w:r>
          <w:rPr>
            <w:rFonts w:ascii="Arial" w:cs="Arial" w:eastAsia="Arial" w:hAnsi="Arial"/>
            <w:sz w:val="15"/>
            <w:szCs w:val="15"/>
            <w:b w:val="1"/>
            <w:bCs w:val="1"/>
            <w:u w:val="single" w:color="auto"/>
            <w:color w:val="0000EE"/>
          </w:rPr>
          <w:t>Table of Contents</w:t>
        </w:r>
      </w:hyperlink>
    </w:p>
    <w:p>
      <w:pPr>
        <w:spacing w:after="0" w:line="260" w:lineRule="exact"/>
        <w:rPr>
          <w:sz w:val="20"/>
          <w:szCs w:val="20"/>
          <w:color w:val="auto"/>
        </w:rPr>
      </w:pPr>
    </w:p>
    <w:p>
      <w:pPr>
        <w:ind w:left="1120" w:right="40"/>
        <w:spacing w:after="0" w:line="263" w:lineRule="auto"/>
        <w:rPr>
          <w:sz w:val="20"/>
          <w:szCs w:val="20"/>
          <w:color w:val="auto"/>
        </w:rPr>
      </w:pPr>
      <w:r>
        <w:rPr>
          <w:rFonts w:ascii="Arial" w:cs="Arial" w:eastAsia="Arial" w:hAnsi="Arial"/>
          <w:sz w:val="15"/>
          <w:szCs w:val="15"/>
          <w:color w:val="auto"/>
        </w:rPr>
        <w:t>using the accelerated attribution method. If the Stock Price Targets are met sooner than the derived service period, we will adjust our stock-based compensation to reflect the cumulative expense associated with the vested awards. We will recognize stock-based compensation expense if the requisite service period is provided, regardless of whether the market conditions are achieved.</w:t>
      </w:r>
    </w:p>
    <w:p>
      <w:pPr>
        <w:spacing w:after="0" w:line="155" w:lineRule="exact"/>
        <w:rPr>
          <w:sz w:val="20"/>
          <w:szCs w:val="20"/>
          <w:color w:val="auto"/>
        </w:rPr>
      </w:pPr>
    </w:p>
    <w:p>
      <w:pPr>
        <w:ind w:left="1120" w:firstLine="368"/>
        <w:spacing w:after="0" w:line="283" w:lineRule="auto"/>
        <w:rPr>
          <w:sz w:val="20"/>
          <w:szCs w:val="20"/>
          <w:color w:val="auto"/>
        </w:rPr>
      </w:pPr>
      <w:r>
        <w:rPr>
          <w:rFonts w:ascii="Arial" w:cs="Arial" w:eastAsia="Arial" w:hAnsi="Arial"/>
          <w:sz w:val="14"/>
          <w:szCs w:val="14"/>
          <w:color w:val="auto"/>
        </w:rPr>
        <w:t>In the period the relevant performance vesting condition becomes probable, we will recognize the cumulative unrecognized expense of our two-tier RSUs and Co-Founder Grants, which will increase our cost of revenue and operating expenses with respect to our two-tier RSUs, and will increase our general and administrative expenses with respect to our Co-Founder Grants, for the quarter and year of our initial public offering. We expect that our research and development expenses will be the line item most significantly impacted by the cumulative expense to be recognized.</w:t>
      </w:r>
    </w:p>
    <w:p>
      <w:pPr>
        <w:spacing w:after="0" w:line="143" w:lineRule="exact"/>
        <w:rPr>
          <w:sz w:val="20"/>
          <w:szCs w:val="20"/>
          <w:color w:val="auto"/>
        </w:rPr>
      </w:pPr>
    </w:p>
    <w:p>
      <w:pPr>
        <w:ind w:left="1120" w:right="680" w:firstLine="368"/>
        <w:spacing w:after="0" w:line="275" w:lineRule="auto"/>
        <w:rPr>
          <w:sz w:val="20"/>
          <w:szCs w:val="20"/>
          <w:color w:val="auto"/>
        </w:rPr>
      </w:pPr>
      <w:r>
        <w:rPr>
          <w:rFonts w:ascii="Arial" w:cs="Arial" w:eastAsia="Arial" w:hAnsi="Arial"/>
          <w:sz w:val="15"/>
          <w:szCs w:val="15"/>
          <w:color w:val="auto"/>
        </w:rPr>
        <w:t>See Note 1, “Description of the Business and Summary of Significant Accounting Policies” and Note 11, “Stockholders’ Equity” to our consolidated financial statements included elsewhere in this prospectus for more information.</w:t>
      </w:r>
    </w:p>
    <w:p>
      <w:pPr>
        <w:spacing w:after="0" w:line="232" w:lineRule="exact"/>
        <w:rPr>
          <w:sz w:val="20"/>
          <w:szCs w:val="20"/>
          <w:color w:val="auto"/>
        </w:rPr>
      </w:pPr>
    </w:p>
    <w:p>
      <w:pPr>
        <w:ind w:left="1120"/>
        <w:spacing w:after="0"/>
        <w:rPr>
          <w:sz w:val="20"/>
          <w:szCs w:val="20"/>
          <w:color w:val="auto"/>
        </w:rPr>
      </w:pPr>
      <w:r>
        <w:rPr>
          <w:rFonts w:ascii="Arial" w:cs="Arial" w:eastAsia="Arial" w:hAnsi="Arial"/>
          <w:sz w:val="15"/>
          <w:szCs w:val="15"/>
          <w:b w:val="1"/>
          <w:bCs w:val="1"/>
          <w:color w:val="auto"/>
        </w:rPr>
        <w:t>Critical Accounting Policies and Judgments</w:t>
      </w:r>
    </w:p>
    <w:p>
      <w:pPr>
        <w:spacing w:after="0" w:line="102" w:lineRule="exact"/>
        <w:rPr>
          <w:sz w:val="20"/>
          <w:szCs w:val="20"/>
          <w:color w:val="auto"/>
        </w:rPr>
      </w:pPr>
    </w:p>
    <w:p>
      <w:pPr>
        <w:ind w:left="1120" w:firstLine="368"/>
        <w:spacing w:after="0" w:line="277" w:lineRule="auto"/>
        <w:rPr>
          <w:sz w:val="20"/>
          <w:szCs w:val="20"/>
          <w:color w:val="auto"/>
        </w:rPr>
      </w:pPr>
      <w:r>
        <w:rPr>
          <w:rFonts w:ascii="Arial" w:cs="Arial" w:eastAsia="Arial" w:hAnsi="Arial"/>
          <w:sz w:val="14"/>
          <w:szCs w:val="14"/>
          <w:color w:val="auto"/>
        </w:rPr>
        <w:t>Our consolidated financial statements and the related notes thereto included elsewhere in this prospectus are prepared in accordance with generally accepted accounting principles, or GAAP, in the United States. The preparation of consolidated financial statements also requires us to make estimates and assumptions that affect the reported amounts of assets, liabilities, revenue, costs and expenses, and related disclosures. We base our estimates on historical experience and on various other assumptions that we believe to be reasonable under the circumstances. Actual results could differ significantly from the estimates made by management. To the extent that there are differences between our estimates and actual results, our future financial statement presentation, financial condition, results of operations, and cash flows will be affected.</w:t>
      </w:r>
    </w:p>
    <w:p>
      <w:pPr>
        <w:spacing w:after="0" w:line="148" w:lineRule="exact"/>
        <w:rPr>
          <w:sz w:val="20"/>
          <w:szCs w:val="20"/>
          <w:color w:val="auto"/>
        </w:rPr>
      </w:pPr>
    </w:p>
    <w:p>
      <w:pPr>
        <w:ind w:left="1120" w:right="80" w:firstLine="368"/>
        <w:spacing w:after="0" w:line="312" w:lineRule="auto"/>
        <w:rPr>
          <w:sz w:val="20"/>
          <w:szCs w:val="20"/>
          <w:color w:val="auto"/>
        </w:rPr>
      </w:pPr>
      <w:r>
        <w:rPr>
          <w:rFonts w:ascii="Arial" w:cs="Arial" w:eastAsia="Arial" w:hAnsi="Arial"/>
          <w:sz w:val="14"/>
          <w:szCs w:val="14"/>
          <w:color w:val="auto"/>
        </w:rPr>
        <w:t>We believe that the accounting policies described below involve a greater degree of judgment and complexity. Accordingly, these are the policies we believe are the most critical to aid in fully understanding and evaluating our consolidated financial condition and results of operations.</w:t>
      </w:r>
    </w:p>
    <w:p>
      <w:pPr>
        <w:spacing w:after="0" w:line="123" w:lineRule="exact"/>
        <w:rPr>
          <w:sz w:val="20"/>
          <w:szCs w:val="20"/>
          <w:color w:val="auto"/>
        </w:rPr>
      </w:pPr>
    </w:p>
    <w:p>
      <w:pPr>
        <w:ind w:left="1120" w:right="60" w:firstLine="368"/>
        <w:spacing w:after="0" w:line="293" w:lineRule="auto"/>
        <w:rPr>
          <w:sz w:val="20"/>
          <w:szCs w:val="20"/>
          <w:color w:val="auto"/>
        </w:rPr>
      </w:pPr>
      <w:r>
        <w:rPr>
          <w:rFonts w:ascii="Arial" w:cs="Arial" w:eastAsia="Arial" w:hAnsi="Arial"/>
          <w:sz w:val="13"/>
          <w:szCs w:val="13"/>
          <w:color w:val="auto"/>
        </w:rPr>
        <w:t xml:space="preserve">In May 2014, the Financial Accounting Standards Board, or FASB, issued Accounting Standards Update, or ASU, No. 2014-09 </w:t>
      </w:r>
      <w:r>
        <w:rPr>
          <w:rFonts w:ascii="Arial" w:cs="Arial" w:eastAsia="Arial" w:hAnsi="Arial"/>
          <w:sz w:val="13"/>
          <w:szCs w:val="13"/>
          <w:i w:val="1"/>
          <w:iCs w:val="1"/>
          <w:color w:val="auto"/>
        </w:rPr>
        <w:t>Revenue from</w:t>
      </w:r>
      <w:r>
        <w:rPr>
          <w:rFonts w:ascii="Arial" w:cs="Arial" w:eastAsia="Arial" w:hAnsi="Arial"/>
          <w:sz w:val="13"/>
          <w:szCs w:val="13"/>
          <w:color w:val="auto"/>
        </w:rPr>
        <w:t xml:space="preserve"> </w:t>
      </w:r>
      <w:r>
        <w:rPr>
          <w:rFonts w:ascii="Arial" w:cs="Arial" w:eastAsia="Arial" w:hAnsi="Arial"/>
          <w:sz w:val="13"/>
          <w:szCs w:val="13"/>
          <w:i w:val="1"/>
          <w:iCs w:val="1"/>
          <w:color w:val="auto"/>
        </w:rPr>
        <w:t>Contracts with Customers (Topic 606)</w:t>
      </w:r>
      <w:r>
        <w:rPr>
          <w:rFonts w:ascii="Arial" w:cs="Arial" w:eastAsia="Arial" w:hAnsi="Arial"/>
          <w:sz w:val="13"/>
          <w:szCs w:val="13"/>
          <w:color w:val="auto"/>
        </w:rPr>
        <w:t>, or Topic 606. Topic 606 supersedes the revenue recognition requirements in Accounting Standards Codification,</w:t>
      </w:r>
      <w:r>
        <w:rPr>
          <w:rFonts w:ascii="Arial" w:cs="Arial" w:eastAsia="Arial" w:hAnsi="Arial"/>
          <w:sz w:val="13"/>
          <w:szCs w:val="13"/>
          <w:i w:val="1"/>
          <w:iCs w:val="1"/>
          <w:color w:val="auto"/>
        </w:rPr>
        <w:t xml:space="preserve"> Revenue Recognition</w:t>
      </w:r>
      <w:r>
        <w:rPr>
          <w:rFonts w:ascii="Arial" w:cs="Arial" w:eastAsia="Arial" w:hAnsi="Arial"/>
          <w:sz w:val="13"/>
          <w:szCs w:val="13"/>
          <w:color w:val="auto"/>
        </w:rPr>
        <w:t>, or Topic 605, and requires the recognition of revenue when promised goods or services are transferred to customers in an amount</w:t>
      </w:r>
      <w:r>
        <w:rPr>
          <w:rFonts w:ascii="Arial" w:cs="Arial" w:eastAsia="Arial" w:hAnsi="Arial"/>
          <w:sz w:val="13"/>
          <w:szCs w:val="13"/>
          <w:i w:val="1"/>
          <w:iCs w:val="1"/>
          <w:color w:val="auto"/>
        </w:rPr>
        <w:t xml:space="preserve"> </w:t>
      </w:r>
      <w:r>
        <w:rPr>
          <w:rFonts w:ascii="Arial" w:cs="Arial" w:eastAsia="Arial" w:hAnsi="Arial"/>
          <w:sz w:val="13"/>
          <w:szCs w:val="13"/>
          <w:color w:val="auto"/>
        </w:rPr>
        <w:t>that reflects the consideration to which the entity expects to be entitled to in exchange for those goods or services. Topic 606 also includes Subtopic</w:t>
      </w:r>
    </w:p>
    <w:p>
      <w:pPr>
        <w:spacing w:after="0" w:line="1" w:lineRule="exact"/>
        <w:rPr>
          <w:sz w:val="20"/>
          <w:szCs w:val="20"/>
          <w:color w:val="auto"/>
        </w:rPr>
      </w:pPr>
    </w:p>
    <w:p>
      <w:pPr>
        <w:ind w:left="1120" w:right="260"/>
        <w:spacing w:after="0" w:line="262" w:lineRule="auto"/>
        <w:rPr>
          <w:sz w:val="20"/>
          <w:szCs w:val="20"/>
          <w:color w:val="auto"/>
        </w:rPr>
      </w:pPr>
      <w:r>
        <w:rPr>
          <w:rFonts w:ascii="Arial" w:cs="Arial" w:eastAsia="Arial" w:hAnsi="Arial"/>
          <w:sz w:val="15"/>
          <w:szCs w:val="15"/>
          <w:color w:val="auto"/>
        </w:rPr>
        <w:t xml:space="preserve">340-40, </w:t>
      </w:r>
      <w:r>
        <w:rPr>
          <w:rFonts w:ascii="Arial" w:cs="Arial" w:eastAsia="Arial" w:hAnsi="Arial"/>
          <w:sz w:val="15"/>
          <w:szCs w:val="15"/>
          <w:i w:val="1"/>
          <w:iCs w:val="1"/>
          <w:color w:val="auto"/>
        </w:rPr>
        <w:t>Other Assets and Deferred Costs—Contracts with Customers</w:t>
      </w:r>
      <w:r>
        <w:rPr>
          <w:rFonts w:ascii="Arial" w:cs="Arial" w:eastAsia="Arial" w:hAnsi="Arial"/>
          <w:sz w:val="15"/>
          <w:szCs w:val="15"/>
          <w:color w:val="auto"/>
        </w:rPr>
        <w:t>, which requires the deferral of incremental costs of obtaining a contract with a customer.</w:t>
      </w:r>
    </w:p>
    <w:p>
      <w:pPr>
        <w:spacing w:after="0" w:line="155" w:lineRule="exact"/>
        <w:rPr>
          <w:sz w:val="20"/>
          <w:szCs w:val="20"/>
          <w:color w:val="auto"/>
        </w:rPr>
      </w:pPr>
    </w:p>
    <w:p>
      <w:pPr>
        <w:ind w:left="1120" w:right="20" w:firstLine="368"/>
        <w:spacing w:after="0" w:line="263" w:lineRule="auto"/>
        <w:rPr>
          <w:sz w:val="20"/>
          <w:szCs w:val="20"/>
          <w:color w:val="auto"/>
        </w:rPr>
      </w:pPr>
      <w:r>
        <w:rPr>
          <w:rFonts w:ascii="Arial" w:cs="Arial" w:eastAsia="Arial" w:hAnsi="Arial"/>
          <w:sz w:val="15"/>
          <w:szCs w:val="15"/>
          <w:color w:val="auto"/>
        </w:rPr>
        <w:t>We adopted the requirements of Topic 606 as of January 1, 2017, utilizing the full retrospective method of transition. As such, Topic 606 is reflected in our financial results for all periods presented in this prospectus. The adoption of Topic 606 resulted in changes to our accounting policies for revenue recognition and deferred commissions.</w:t>
      </w:r>
    </w:p>
    <w:p>
      <w:pPr>
        <w:spacing w:after="0" w:line="155" w:lineRule="exact"/>
        <w:rPr>
          <w:sz w:val="20"/>
          <w:szCs w:val="20"/>
          <w:color w:val="auto"/>
        </w:rPr>
      </w:pPr>
    </w:p>
    <w:p>
      <w:pPr>
        <w:ind w:left="1120" w:right="280" w:firstLine="368"/>
        <w:spacing w:after="0" w:line="354" w:lineRule="auto"/>
        <w:rPr>
          <w:sz w:val="20"/>
          <w:szCs w:val="20"/>
          <w:color w:val="auto"/>
        </w:rPr>
      </w:pPr>
      <w:r>
        <w:rPr>
          <w:rFonts w:ascii="Arial" w:cs="Arial" w:eastAsia="Arial" w:hAnsi="Arial"/>
          <w:sz w:val="13"/>
          <w:szCs w:val="13"/>
          <w:color w:val="auto"/>
        </w:rPr>
        <w:t>The impact of adopting Topic 606 on our revenue was not material to any of the periods presented. The primary impact of adopting Topic 606 relates to the deferral of incremental costs of obtaining customer contracts and the amortization of those costs over a longer period of benefit.</w:t>
      </w:r>
    </w:p>
    <w:p>
      <w:pPr>
        <w:spacing w:after="0" w:line="191" w:lineRule="exact"/>
        <w:rPr>
          <w:sz w:val="20"/>
          <w:szCs w:val="20"/>
          <w:color w:val="auto"/>
        </w:rPr>
      </w:pPr>
    </w:p>
    <w:p>
      <w:pPr>
        <w:ind w:left="1480"/>
        <w:spacing w:after="0"/>
        <w:rPr>
          <w:sz w:val="20"/>
          <w:szCs w:val="20"/>
          <w:color w:val="auto"/>
        </w:rPr>
      </w:pPr>
      <w:r>
        <w:rPr>
          <w:rFonts w:ascii="Arial" w:cs="Arial" w:eastAsia="Arial" w:hAnsi="Arial"/>
          <w:sz w:val="15"/>
          <w:szCs w:val="15"/>
          <w:b w:val="1"/>
          <w:bCs w:val="1"/>
          <w:i w:val="1"/>
          <w:iCs w:val="1"/>
          <w:color w:val="auto"/>
        </w:rPr>
        <w:t>Revenue recognition</w:t>
      </w:r>
    </w:p>
    <w:p>
      <w:pPr>
        <w:spacing w:after="0" w:line="98" w:lineRule="exact"/>
        <w:rPr>
          <w:sz w:val="20"/>
          <w:szCs w:val="20"/>
          <w:color w:val="auto"/>
        </w:rPr>
      </w:pPr>
    </w:p>
    <w:p>
      <w:pPr>
        <w:ind w:left="1120" w:right="140" w:firstLine="368"/>
        <w:spacing w:after="0" w:line="275" w:lineRule="auto"/>
        <w:rPr>
          <w:sz w:val="20"/>
          <w:szCs w:val="20"/>
          <w:color w:val="auto"/>
        </w:rPr>
      </w:pPr>
      <w:r>
        <w:rPr>
          <w:rFonts w:ascii="Arial" w:cs="Arial" w:eastAsia="Arial" w:hAnsi="Arial"/>
          <w:sz w:val="15"/>
          <w:szCs w:val="15"/>
          <w:color w:val="auto"/>
        </w:rPr>
        <w:t>We generate revenue from sales of subscriptions to our platform. Subscription fees exclude sales and other indirect taxes. We determine revenue recognition through the following steps:</w:t>
      </w:r>
    </w:p>
    <w:p>
      <w:pPr>
        <w:spacing w:after="0" w:line="67" w:lineRule="exact"/>
        <w:rPr>
          <w:sz w:val="20"/>
          <w:szCs w:val="20"/>
          <w:color w:val="auto"/>
        </w:rPr>
      </w:pPr>
    </w:p>
    <w:p>
      <w:pPr>
        <w:ind w:left="1840" w:hanging="276"/>
        <w:spacing w:after="0"/>
        <w:tabs>
          <w:tab w:leader="none" w:pos="1840" w:val="left"/>
        </w:tabs>
        <w:numPr>
          <w:ilvl w:val="0"/>
          <w:numId w:val="41"/>
        </w:numPr>
        <w:rPr>
          <w:rFonts w:ascii="Arial" w:cs="Arial" w:eastAsia="Arial" w:hAnsi="Arial"/>
          <w:sz w:val="15"/>
          <w:szCs w:val="15"/>
          <w:color w:val="auto"/>
        </w:rPr>
      </w:pPr>
      <w:r>
        <w:rPr>
          <w:rFonts w:ascii="Arial" w:cs="Arial" w:eastAsia="Arial" w:hAnsi="Arial"/>
          <w:sz w:val="15"/>
          <w:szCs w:val="15"/>
          <w:color w:val="auto"/>
        </w:rPr>
        <w:t>Identification of the contract, or contracts, with a customer</w:t>
      </w:r>
    </w:p>
    <w:p>
      <w:pPr>
        <w:spacing w:after="0" w:line="132" w:lineRule="exact"/>
        <w:rPr>
          <w:sz w:val="20"/>
          <w:szCs w:val="20"/>
          <w:color w:val="auto"/>
        </w:rPr>
      </w:pPr>
    </w:p>
    <w:p>
      <w:pPr>
        <w:ind w:left="5640"/>
        <w:spacing w:after="0"/>
        <w:rPr>
          <w:sz w:val="20"/>
          <w:szCs w:val="20"/>
          <w:color w:val="auto"/>
        </w:rPr>
      </w:pPr>
      <w:r>
        <w:rPr>
          <w:rFonts w:ascii="Arial" w:cs="Arial" w:eastAsia="Arial" w:hAnsi="Arial"/>
          <w:sz w:val="15"/>
          <w:szCs w:val="15"/>
          <w:color w:val="auto"/>
        </w:rPr>
        <w:t>88</w:t>
      </w:r>
    </w:p>
    <w:p>
      <w:pPr>
        <w:sectPr>
          <w:pgSz w:w="11900" w:h="16838" w:orient="portrait"/>
          <w:cols w:equalWidth="0" w:num="1">
            <w:col w:w="10300"/>
          </w:cols>
          <w:pgMar w:left="240" w:top="407" w:right="1359" w:bottom="1440" w:gutter="0" w:footer="0" w:header="0"/>
        </w:sectPr>
      </w:pPr>
    </w:p>
    <w:bookmarkStart w:id="95" w:name="page96"/>
    <w:bookmarkEnd w:id="95"/>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133350</wp:posOffset>
            </wp:positionH>
            <wp:positionV relativeFrom="page">
              <wp:posOffset>88900</wp:posOffset>
            </wp:positionV>
            <wp:extent cx="7308850" cy="342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308850" cy="34290"/>
                    </a:xfrm>
                    <a:prstGeom prst="rect">
                      <a:avLst/>
                    </a:prstGeom>
                    <a:noFill/>
                  </pic:spPr>
                </pic:pic>
              </a:graphicData>
            </a:graphic>
          </wp:anchor>
        </w:drawing>
      </w:r>
      <w:hyperlink w:anchor="page7">
        <w:r>
          <w:rPr>
            <w:rFonts w:ascii="Arial" w:cs="Arial" w:eastAsia="Arial" w:hAnsi="Arial"/>
            <w:sz w:val="15"/>
            <w:szCs w:val="15"/>
            <w:b w:val="1"/>
            <w:bCs w:val="1"/>
            <w:u w:val="single" w:color="auto"/>
            <w:color w:val="0000EE"/>
          </w:rPr>
          <w:t>Table of Contents</w:t>
        </w:r>
      </w:hyperlink>
    </w:p>
    <w:p>
      <w:pPr>
        <w:spacing w:after="0" w:line="260" w:lineRule="exact"/>
        <w:rPr>
          <w:sz w:val="20"/>
          <w:szCs w:val="20"/>
          <w:color w:val="auto"/>
        </w:rPr>
      </w:pPr>
    </w:p>
    <w:p>
      <w:pPr>
        <w:ind w:left="1840" w:hanging="276"/>
        <w:spacing w:after="0"/>
        <w:tabs>
          <w:tab w:leader="none" w:pos="1840" w:val="left"/>
        </w:tabs>
        <w:numPr>
          <w:ilvl w:val="0"/>
          <w:numId w:val="42"/>
        </w:numPr>
        <w:rPr>
          <w:rFonts w:ascii="Arial" w:cs="Arial" w:eastAsia="Arial" w:hAnsi="Arial"/>
          <w:sz w:val="15"/>
          <w:szCs w:val="15"/>
          <w:color w:val="auto"/>
        </w:rPr>
      </w:pPr>
      <w:r>
        <w:rPr>
          <w:rFonts w:ascii="Arial" w:cs="Arial" w:eastAsia="Arial" w:hAnsi="Arial"/>
          <w:sz w:val="15"/>
          <w:szCs w:val="15"/>
          <w:color w:val="auto"/>
        </w:rPr>
        <w:t>Identification of the performance obligations in the contract</w:t>
      </w:r>
    </w:p>
    <w:p>
      <w:pPr>
        <w:spacing w:after="0" w:line="109" w:lineRule="exact"/>
        <w:rPr>
          <w:rFonts w:ascii="Arial" w:cs="Arial" w:eastAsia="Arial" w:hAnsi="Arial"/>
          <w:sz w:val="15"/>
          <w:szCs w:val="15"/>
          <w:color w:val="auto"/>
        </w:rPr>
      </w:pPr>
    </w:p>
    <w:p>
      <w:pPr>
        <w:ind w:left="1840" w:hanging="276"/>
        <w:spacing w:after="0"/>
        <w:tabs>
          <w:tab w:leader="none" w:pos="1840" w:val="left"/>
        </w:tabs>
        <w:numPr>
          <w:ilvl w:val="0"/>
          <w:numId w:val="42"/>
        </w:numPr>
        <w:rPr>
          <w:rFonts w:ascii="Arial" w:cs="Arial" w:eastAsia="Arial" w:hAnsi="Arial"/>
          <w:sz w:val="15"/>
          <w:szCs w:val="15"/>
          <w:color w:val="auto"/>
        </w:rPr>
      </w:pPr>
      <w:r>
        <w:rPr>
          <w:rFonts w:ascii="Arial" w:cs="Arial" w:eastAsia="Arial" w:hAnsi="Arial"/>
          <w:sz w:val="15"/>
          <w:szCs w:val="15"/>
          <w:color w:val="auto"/>
        </w:rPr>
        <w:t>Determination of the transaction price</w:t>
      </w:r>
    </w:p>
    <w:p>
      <w:pPr>
        <w:spacing w:after="0" w:line="109" w:lineRule="exact"/>
        <w:rPr>
          <w:rFonts w:ascii="Arial" w:cs="Arial" w:eastAsia="Arial" w:hAnsi="Arial"/>
          <w:sz w:val="15"/>
          <w:szCs w:val="15"/>
          <w:color w:val="auto"/>
        </w:rPr>
      </w:pPr>
    </w:p>
    <w:p>
      <w:pPr>
        <w:ind w:left="1840" w:hanging="276"/>
        <w:spacing w:after="0"/>
        <w:tabs>
          <w:tab w:leader="none" w:pos="1840" w:val="left"/>
        </w:tabs>
        <w:numPr>
          <w:ilvl w:val="0"/>
          <w:numId w:val="42"/>
        </w:numPr>
        <w:rPr>
          <w:rFonts w:ascii="Arial" w:cs="Arial" w:eastAsia="Arial" w:hAnsi="Arial"/>
          <w:sz w:val="15"/>
          <w:szCs w:val="15"/>
          <w:color w:val="auto"/>
        </w:rPr>
      </w:pPr>
      <w:r>
        <w:rPr>
          <w:rFonts w:ascii="Arial" w:cs="Arial" w:eastAsia="Arial" w:hAnsi="Arial"/>
          <w:sz w:val="15"/>
          <w:szCs w:val="15"/>
          <w:color w:val="auto"/>
        </w:rPr>
        <w:t>Allocation of the transaction price to the performance obligations in the contract</w:t>
      </w:r>
    </w:p>
    <w:p>
      <w:pPr>
        <w:spacing w:after="0" w:line="109" w:lineRule="exact"/>
        <w:rPr>
          <w:rFonts w:ascii="Arial" w:cs="Arial" w:eastAsia="Arial" w:hAnsi="Arial"/>
          <w:sz w:val="15"/>
          <w:szCs w:val="15"/>
          <w:color w:val="auto"/>
        </w:rPr>
      </w:pPr>
    </w:p>
    <w:p>
      <w:pPr>
        <w:ind w:left="1840" w:hanging="276"/>
        <w:spacing w:after="0"/>
        <w:tabs>
          <w:tab w:leader="none" w:pos="1840" w:val="left"/>
        </w:tabs>
        <w:numPr>
          <w:ilvl w:val="0"/>
          <w:numId w:val="42"/>
        </w:numPr>
        <w:rPr>
          <w:rFonts w:ascii="Arial" w:cs="Arial" w:eastAsia="Arial" w:hAnsi="Arial"/>
          <w:sz w:val="15"/>
          <w:szCs w:val="15"/>
          <w:color w:val="auto"/>
        </w:rPr>
      </w:pPr>
      <w:r>
        <w:rPr>
          <w:rFonts w:ascii="Arial" w:cs="Arial" w:eastAsia="Arial" w:hAnsi="Arial"/>
          <w:sz w:val="15"/>
          <w:szCs w:val="15"/>
          <w:color w:val="auto"/>
        </w:rPr>
        <w:t>Recognition of revenue when, or as, we satisfy a performance obligation</w:t>
      </w:r>
    </w:p>
    <w:p>
      <w:pPr>
        <w:spacing w:after="0" w:line="188" w:lineRule="exact"/>
        <w:rPr>
          <w:sz w:val="20"/>
          <w:szCs w:val="20"/>
          <w:color w:val="auto"/>
        </w:rPr>
      </w:pPr>
    </w:p>
    <w:p>
      <w:pPr>
        <w:ind w:left="1120" w:right="140" w:firstLine="368"/>
        <w:spacing w:after="0" w:line="259" w:lineRule="auto"/>
        <w:rPr>
          <w:sz w:val="20"/>
          <w:szCs w:val="20"/>
          <w:color w:val="auto"/>
        </w:rPr>
      </w:pPr>
      <w:r>
        <w:rPr>
          <w:rFonts w:ascii="Arial" w:cs="Arial" w:eastAsia="Arial" w:hAnsi="Arial"/>
          <w:sz w:val="15"/>
          <w:szCs w:val="15"/>
          <w:color w:val="auto"/>
        </w:rPr>
        <w:t>Our subscription agreements typically have monthly or annual contractual terms, and a small percentage have multi-year contractual terms. Revenue is recognized ratably over the related contractual term generally beginning on the date that our platform is made available to a customer. Our agreements are generally non-cancelable. We typically bill in advance for monthly contracts and annually in advance for contracts with terms of one year or longer.</w:t>
      </w:r>
    </w:p>
    <w:p>
      <w:pPr>
        <w:spacing w:after="0" w:line="248" w:lineRule="exact"/>
        <w:rPr>
          <w:sz w:val="20"/>
          <w:szCs w:val="20"/>
          <w:color w:val="auto"/>
        </w:rPr>
      </w:pPr>
    </w:p>
    <w:p>
      <w:pPr>
        <w:ind w:left="1480"/>
        <w:spacing w:after="0"/>
        <w:rPr>
          <w:sz w:val="20"/>
          <w:szCs w:val="20"/>
          <w:color w:val="auto"/>
        </w:rPr>
      </w:pPr>
      <w:r>
        <w:rPr>
          <w:rFonts w:ascii="Arial" w:cs="Arial" w:eastAsia="Arial" w:hAnsi="Arial"/>
          <w:sz w:val="15"/>
          <w:szCs w:val="15"/>
          <w:b w:val="1"/>
          <w:bCs w:val="1"/>
          <w:i w:val="1"/>
          <w:iCs w:val="1"/>
          <w:color w:val="auto"/>
        </w:rPr>
        <w:t>Deferred commissions</w:t>
      </w:r>
    </w:p>
    <w:p>
      <w:pPr>
        <w:spacing w:after="0" w:line="98" w:lineRule="exact"/>
        <w:rPr>
          <w:sz w:val="20"/>
          <w:szCs w:val="20"/>
          <w:color w:val="auto"/>
        </w:rPr>
      </w:pPr>
    </w:p>
    <w:p>
      <w:pPr>
        <w:ind w:left="1120" w:firstLine="368"/>
        <w:spacing w:after="0" w:line="255" w:lineRule="auto"/>
        <w:rPr>
          <w:sz w:val="20"/>
          <w:szCs w:val="20"/>
          <w:color w:val="auto"/>
        </w:rPr>
      </w:pPr>
      <w:r>
        <w:rPr>
          <w:rFonts w:ascii="Arial" w:cs="Arial" w:eastAsia="Arial" w:hAnsi="Arial"/>
          <w:sz w:val="15"/>
          <w:szCs w:val="15"/>
          <w:color w:val="auto"/>
        </w:rPr>
        <w:t>Sales commissions and the related payroll taxes earned by our outbound sales team, as well as commissions earned by third-party resellers, are considered to be incremental and recoverable costs of obtaining a contract with a customer. These costs are deferred and then amortized over a period of benefit that we have determined to be five years. We determined the period of benefit by taking into consideration our historical customer attrition rates, the useful life of our technology, and the impact of competition in our industry. Changing the period of benefit by one year would result in a change to expense of approximately $1.0 million or less in each of the periods presented. Amortization of deferred commissions is included in sales and marketing expenses.</w:t>
      </w:r>
    </w:p>
    <w:p>
      <w:pPr>
        <w:spacing w:after="0" w:line="254" w:lineRule="exact"/>
        <w:rPr>
          <w:sz w:val="20"/>
          <w:szCs w:val="20"/>
          <w:color w:val="auto"/>
        </w:rPr>
      </w:pPr>
    </w:p>
    <w:p>
      <w:pPr>
        <w:ind w:left="1480"/>
        <w:spacing w:after="0"/>
        <w:rPr>
          <w:sz w:val="20"/>
          <w:szCs w:val="20"/>
          <w:color w:val="auto"/>
        </w:rPr>
      </w:pPr>
      <w:r>
        <w:rPr>
          <w:rFonts w:ascii="Arial" w:cs="Arial" w:eastAsia="Arial" w:hAnsi="Arial"/>
          <w:sz w:val="15"/>
          <w:szCs w:val="15"/>
          <w:b w:val="1"/>
          <w:bCs w:val="1"/>
          <w:i w:val="1"/>
          <w:iCs w:val="1"/>
          <w:color w:val="auto"/>
        </w:rPr>
        <w:t>Common stock valuations</w:t>
      </w:r>
    </w:p>
    <w:p>
      <w:pPr>
        <w:spacing w:after="0" w:line="98" w:lineRule="exact"/>
        <w:rPr>
          <w:sz w:val="20"/>
          <w:szCs w:val="20"/>
          <w:color w:val="auto"/>
        </w:rPr>
      </w:pPr>
    </w:p>
    <w:p>
      <w:pPr>
        <w:jc w:val="both"/>
        <w:ind w:left="1120" w:right="140" w:firstLine="368"/>
        <w:spacing w:after="0" w:line="263" w:lineRule="auto"/>
        <w:rPr>
          <w:sz w:val="20"/>
          <w:szCs w:val="20"/>
          <w:color w:val="auto"/>
        </w:rPr>
      </w:pPr>
      <w:r>
        <w:rPr>
          <w:rFonts w:ascii="Arial" w:cs="Arial" w:eastAsia="Arial" w:hAnsi="Arial"/>
          <w:sz w:val="15"/>
          <w:szCs w:val="15"/>
          <w:color w:val="auto"/>
        </w:rPr>
        <w:t>Since August 2015, we have granted RSUs as the only stock-based payment awards to our employees, excluding the Co-Founder Grants. While we stopped granting stock options in August 2015, we currently have stock options outstanding that will continue to vest through 2019 if the requisite service is provided.</w:t>
      </w:r>
    </w:p>
    <w:p>
      <w:pPr>
        <w:spacing w:after="0" w:line="155" w:lineRule="exact"/>
        <w:rPr>
          <w:sz w:val="20"/>
          <w:szCs w:val="20"/>
          <w:color w:val="auto"/>
        </w:rPr>
      </w:pPr>
    </w:p>
    <w:p>
      <w:pPr>
        <w:ind w:left="1120" w:right="340" w:firstLine="368"/>
        <w:spacing w:after="0" w:line="283" w:lineRule="auto"/>
        <w:rPr>
          <w:sz w:val="20"/>
          <w:szCs w:val="20"/>
          <w:color w:val="auto"/>
        </w:rPr>
      </w:pPr>
      <w:r>
        <w:rPr>
          <w:rFonts w:ascii="Arial" w:cs="Arial" w:eastAsia="Arial" w:hAnsi="Arial"/>
          <w:sz w:val="14"/>
          <w:szCs w:val="14"/>
          <w:color w:val="auto"/>
        </w:rPr>
        <w:t>The fair values of the common stock underlying the RSUs were determined by our Board of Directors, with input from management and contemporaneous third-party valuations, which were performed at least quarterly. If RSUs were granted a short period of time prior to the date of a valuation report, we retrospectively assessed the fair value used for financial reporting purposes after considering the fair value reflected in the subsequent valuation report and other facts and circumstances on the date of grant as discussed below.</w:t>
      </w:r>
    </w:p>
    <w:p>
      <w:pPr>
        <w:spacing w:after="0" w:line="143" w:lineRule="exact"/>
        <w:rPr>
          <w:sz w:val="20"/>
          <w:szCs w:val="20"/>
          <w:color w:val="auto"/>
        </w:rPr>
      </w:pPr>
    </w:p>
    <w:p>
      <w:pPr>
        <w:ind w:left="1120" w:right="20" w:firstLine="368"/>
        <w:spacing w:after="0" w:line="259" w:lineRule="auto"/>
        <w:rPr>
          <w:sz w:val="20"/>
          <w:szCs w:val="20"/>
          <w:color w:val="auto"/>
        </w:rPr>
      </w:pPr>
      <w:r>
        <w:rPr>
          <w:rFonts w:ascii="Arial" w:cs="Arial" w:eastAsia="Arial" w:hAnsi="Arial"/>
          <w:sz w:val="15"/>
          <w:szCs w:val="15"/>
          <w:color w:val="auto"/>
        </w:rPr>
        <w:t xml:space="preserve">Given the absence of a public trading market for our common stock, and in accordance with the American Institute of Certified Public Accountants Practice Guide, </w:t>
      </w:r>
      <w:r>
        <w:rPr>
          <w:rFonts w:ascii="Arial" w:cs="Arial" w:eastAsia="Arial" w:hAnsi="Arial"/>
          <w:sz w:val="15"/>
          <w:szCs w:val="15"/>
          <w:i w:val="1"/>
          <w:iCs w:val="1"/>
          <w:color w:val="auto"/>
        </w:rPr>
        <w:t>Valuation of Privately-Held-Company Equity Securities Issued as Compensation,</w:t>
      </w:r>
      <w:r>
        <w:rPr>
          <w:rFonts w:ascii="Arial" w:cs="Arial" w:eastAsia="Arial" w:hAnsi="Arial"/>
          <w:sz w:val="15"/>
          <w:szCs w:val="15"/>
          <w:color w:val="auto"/>
        </w:rPr>
        <w:t xml:space="preserve"> or AICPA Guide, our Board of Directors exercised reasonable judgment and considered numerous objective and subjective factors to determine the best estimate of the fair value of our common stock including:</w:t>
      </w:r>
    </w:p>
    <w:p>
      <w:pPr>
        <w:spacing w:after="0" w:line="79" w:lineRule="exact"/>
        <w:rPr>
          <w:sz w:val="20"/>
          <w:szCs w:val="20"/>
          <w:color w:val="auto"/>
        </w:rPr>
      </w:pPr>
    </w:p>
    <w:p>
      <w:pPr>
        <w:ind w:left="1840" w:hanging="276"/>
        <w:spacing w:after="0"/>
        <w:tabs>
          <w:tab w:leader="none" w:pos="1840" w:val="left"/>
        </w:tabs>
        <w:numPr>
          <w:ilvl w:val="0"/>
          <w:numId w:val="43"/>
        </w:numPr>
        <w:rPr>
          <w:rFonts w:ascii="Arial" w:cs="Arial" w:eastAsia="Arial" w:hAnsi="Arial"/>
          <w:sz w:val="15"/>
          <w:szCs w:val="15"/>
          <w:color w:val="auto"/>
        </w:rPr>
      </w:pPr>
      <w:r>
        <w:rPr>
          <w:rFonts w:ascii="Arial" w:cs="Arial" w:eastAsia="Arial" w:hAnsi="Arial"/>
          <w:sz w:val="15"/>
          <w:szCs w:val="15"/>
          <w:color w:val="auto"/>
        </w:rPr>
        <w:t>The results of contemporaneous valuations of our common stock by unrelated third parties;</w:t>
      </w:r>
    </w:p>
    <w:p>
      <w:pPr>
        <w:spacing w:after="0" w:line="109" w:lineRule="exact"/>
        <w:rPr>
          <w:rFonts w:ascii="Arial" w:cs="Arial" w:eastAsia="Arial" w:hAnsi="Arial"/>
          <w:sz w:val="15"/>
          <w:szCs w:val="15"/>
          <w:color w:val="auto"/>
        </w:rPr>
      </w:pPr>
    </w:p>
    <w:p>
      <w:pPr>
        <w:ind w:left="1840" w:hanging="276"/>
        <w:spacing w:after="0"/>
        <w:tabs>
          <w:tab w:leader="none" w:pos="1840" w:val="left"/>
        </w:tabs>
        <w:numPr>
          <w:ilvl w:val="0"/>
          <w:numId w:val="43"/>
        </w:numPr>
        <w:rPr>
          <w:rFonts w:ascii="Arial" w:cs="Arial" w:eastAsia="Arial" w:hAnsi="Arial"/>
          <w:sz w:val="15"/>
          <w:szCs w:val="15"/>
          <w:color w:val="auto"/>
        </w:rPr>
      </w:pPr>
      <w:r>
        <w:rPr>
          <w:rFonts w:ascii="Arial" w:cs="Arial" w:eastAsia="Arial" w:hAnsi="Arial"/>
          <w:sz w:val="15"/>
          <w:szCs w:val="15"/>
          <w:color w:val="auto"/>
        </w:rPr>
        <w:t>The rights, preferences, and privileges of our convertible preferred stock relative to those of our common stock;</w:t>
      </w:r>
    </w:p>
    <w:p>
      <w:pPr>
        <w:spacing w:after="0" w:line="109" w:lineRule="exact"/>
        <w:rPr>
          <w:rFonts w:ascii="Arial" w:cs="Arial" w:eastAsia="Arial" w:hAnsi="Arial"/>
          <w:sz w:val="15"/>
          <w:szCs w:val="15"/>
          <w:color w:val="auto"/>
        </w:rPr>
      </w:pPr>
    </w:p>
    <w:p>
      <w:pPr>
        <w:ind w:left="1840" w:right="380" w:hanging="276"/>
        <w:spacing w:after="0" w:line="275" w:lineRule="auto"/>
        <w:tabs>
          <w:tab w:leader="none" w:pos="1840" w:val="left"/>
        </w:tabs>
        <w:numPr>
          <w:ilvl w:val="0"/>
          <w:numId w:val="43"/>
        </w:numPr>
        <w:rPr>
          <w:rFonts w:ascii="Arial" w:cs="Arial" w:eastAsia="Arial" w:hAnsi="Arial"/>
          <w:sz w:val="15"/>
          <w:szCs w:val="15"/>
          <w:color w:val="auto"/>
        </w:rPr>
      </w:pPr>
      <w:r>
        <w:rPr>
          <w:rFonts w:ascii="Arial" w:cs="Arial" w:eastAsia="Arial" w:hAnsi="Arial"/>
          <w:sz w:val="15"/>
          <w:szCs w:val="15"/>
          <w:color w:val="auto"/>
        </w:rPr>
        <w:t>Market multiples of comparable public companies in our industry as indicated by their market capitalization and guideline merger and acquisition transactions;</w:t>
      </w:r>
    </w:p>
    <w:p>
      <w:pPr>
        <w:spacing w:after="0" w:line="67" w:lineRule="exact"/>
        <w:rPr>
          <w:rFonts w:ascii="Arial" w:cs="Arial" w:eastAsia="Arial" w:hAnsi="Arial"/>
          <w:sz w:val="15"/>
          <w:szCs w:val="15"/>
          <w:color w:val="auto"/>
        </w:rPr>
      </w:pPr>
    </w:p>
    <w:p>
      <w:pPr>
        <w:ind w:left="1840" w:hanging="276"/>
        <w:spacing w:after="0"/>
        <w:tabs>
          <w:tab w:leader="none" w:pos="1840" w:val="left"/>
        </w:tabs>
        <w:numPr>
          <w:ilvl w:val="0"/>
          <w:numId w:val="43"/>
        </w:numPr>
        <w:rPr>
          <w:rFonts w:ascii="Arial" w:cs="Arial" w:eastAsia="Arial" w:hAnsi="Arial"/>
          <w:sz w:val="15"/>
          <w:szCs w:val="15"/>
          <w:color w:val="auto"/>
        </w:rPr>
      </w:pPr>
      <w:r>
        <w:rPr>
          <w:rFonts w:ascii="Arial" w:cs="Arial" w:eastAsia="Arial" w:hAnsi="Arial"/>
          <w:sz w:val="15"/>
          <w:szCs w:val="15"/>
          <w:color w:val="auto"/>
        </w:rPr>
        <w:t>Our performance and market position relative to our competitors, who may change from time to time;</w:t>
      </w:r>
    </w:p>
    <w:p>
      <w:pPr>
        <w:spacing w:after="0" w:line="109" w:lineRule="exact"/>
        <w:rPr>
          <w:rFonts w:ascii="Arial" w:cs="Arial" w:eastAsia="Arial" w:hAnsi="Arial"/>
          <w:sz w:val="15"/>
          <w:szCs w:val="15"/>
          <w:color w:val="auto"/>
        </w:rPr>
      </w:pPr>
    </w:p>
    <w:p>
      <w:pPr>
        <w:ind w:left="1840" w:hanging="276"/>
        <w:spacing w:after="0"/>
        <w:tabs>
          <w:tab w:leader="none" w:pos="1840" w:val="left"/>
        </w:tabs>
        <w:numPr>
          <w:ilvl w:val="0"/>
          <w:numId w:val="43"/>
        </w:numPr>
        <w:rPr>
          <w:rFonts w:ascii="Arial" w:cs="Arial" w:eastAsia="Arial" w:hAnsi="Arial"/>
          <w:sz w:val="15"/>
          <w:szCs w:val="15"/>
          <w:color w:val="auto"/>
        </w:rPr>
      </w:pPr>
      <w:r>
        <w:rPr>
          <w:rFonts w:ascii="Arial" w:cs="Arial" w:eastAsia="Arial" w:hAnsi="Arial"/>
          <w:sz w:val="15"/>
          <w:szCs w:val="15"/>
          <w:color w:val="auto"/>
        </w:rPr>
        <w:t>Our historical financial results and estimated trends and prospects for our future performance;</w:t>
      </w:r>
    </w:p>
    <w:p>
      <w:pPr>
        <w:spacing w:after="0" w:line="109" w:lineRule="exact"/>
        <w:rPr>
          <w:rFonts w:ascii="Arial" w:cs="Arial" w:eastAsia="Arial" w:hAnsi="Arial"/>
          <w:sz w:val="15"/>
          <w:szCs w:val="15"/>
          <w:color w:val="auto"/>
        </w:rPr>
      </w:pPr>
    </w:p>
    <w:p>
      <w:pPr>
        <w:ind w:left="1840" w:hanging="276"/>
        <w:spacing w:after="0"/>
        <w:tabs>
          <w:tab w:leader="none" w:pos="1840" w:val="left"/>
        </w:tabs>
        <w:numPr>
          <w:ilvl w:val="0"/>
          <w:numId w:val="43"/>
        </w:numPr>
        <w:rPr>
          <w:rFonts w:ascii="Arial" w:cs="Arial" w:eastAsia="Arial" w:hAnsi="Arial"/>
          <w:sz w:val="15"/>
          <w:szCs w:val="15"/>
          <w:color w:val="auto"/>
        </w:rPr>
      </w:pPr>
      <w:r>
        <w:rPr>
          <w:rFonts w:ascii="Arial" w:cs="Arial" w:eastAsia="Arial" w:hAnsi="Arial"/>
          <w:sz w:val="15"/>
          <w:szCs w:val="15"/>
          <w:color w:val="auto"/>
        </w:rPr>
        <w:t>Valuations published by institutional investors that hold investments in our capital stock;</w:t>
      </w:r>
    </w:p>
    <w:p>
      <w:pPr>
        <w:spacing w:after="0" w:line="109" w:lineRule="exact"/>
        <w:rPr>
          <w:rFonts w:ascii="Arial" w:cs="Arial" w:eastAsia="Arial" w:hAnsi="Arial"/>
          <w:sz w:val="15"/>
          <w:szCs w:val="15"/>
          <w:color w:val="auto"/>
        </w:rPr>
      </w:pPr>
    </w:p>
    <w:p>
      <w:pPr>
        <w:ind w:left="1840" w:hanging="276"/>
        <w:spacing w:after="0"/>
        <w:tabs>
          <w:tab w:leader="none" w:pos="1840" w:val="left"/>
        </w:tabs>
        <w:numPr>
          <w:ilvl w:val="0"/>
          <w:numId w:val="43"/>
        </w:numPr>
        <w:rPr>
          <w:rFonts w:ascii="Arial" w:cs="Arial" w:eastAsia="Arial" w:hAnsi="Arial"/>
          <w:sz w:val="15"/>
          <w:szCs w:val="15"/>
          <w:color w:val="auto"/>
        </w:rPr>
      </w:pPr>
      <w:r>
        <w:rPr>
          <w:rFonts w:ascii="Arial" w:cs="Arial" w:eastAsia="Arial" w:hAnsi="Arial"/>
          <w:sz w:val="15"/>
          <w:szCs w:val="15"/>
          <w:color w:val="auto"/>
        </w:rPr>
        <w:t>The economic and competitive environment;</w:t>
      </w:r>
    </w:p>
    <w:p>
      <w:pPr>
        <w:spacing w:after="0" w:line="132" w:lineRule="exact"/>
        <w:rPr>
          <w:sz w:val="20"/>
          <w:szCs w:val="20"/>
          <w:color w:val="auto"/>
        </w:rPr>
      </w:pPr>
    </w:p>
    <w:p>
      <w:pPr>
        <w:ind w:left="5640"/>
        <w:spacing w:after="0"/>
        <w:rPr>
          <w:sz w:val="20"/>
          <w:szCs w:val="20"/>
          <w:color w:val="auto"/>
        </w:rPr>
      </w:pPr>
      <w:r>
        <w:rPr>
          <w:rFonts w:ascii="Arial" w:cs="Arial" w:eastAsia="Arial" w:hAnsi="Arial"/>
          <w:sz w:val="15"/>
          <w:szCs w:val="15"/>
          <w:color w:val="auto"/>
        </w:rPr>
        <w:t>89</w:t>
      </w:r>
    </w:p>
    <w:p>
      <w:pPr>
        <w:sectPr>
          <w:pgSz w:w="11900" w:h="16838" w:orient="portrait"/>
          <w:cols w:equalWidth="0" w:num="1">
            <w:col w:w="10280"/>
          </w:cols>
          <w:pgMar w:left="240" w:top="407" w:right="1379" w:bottom="1440" w:gutter="0" w:footer="0" w:header="0"/>
        </w:sectPr>
      </w:pPr>
    </w:p>
    <w:bookmarkStart w:id="96" w:name="page97"/>
    <w:bookmarkEnd w:id="96"/>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133350</wp:posOffset>
            </wp:positionH>
            <wp:positionV relativeFrom="page">
              <wp:posOffset>88900</wp:posOffset>
            </wp:positionV>
            <wp:extent cx="7308850" cy="342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308850" cy="34290"/>
                    </a:xfrm>
                    <a:prstGeom prst="rect">
                      <a:avLst/>
                    </a:prstGeom>
                    <a:noFill/>
                  </pic:spPr>
                </pic:pic>
              </a:graphicData>
            </a:graphic>
          </wp:anchor>
        </w:drawing>
      </w:r>
      <w:hyperlink w:anchor="page7">
        <w:r>
          <w:rPr>
            <w:rFonts w:ascii="Arial" w:cs="Arial" w:eastAsia="Arial" w:hAnsi="Arial"/>
            <w:sz w:val="15"/>
            <w:szCs w:val="15"/>
            <w:b w:val="1"/>
            <w:bCs w:val="1"/>
            <w:u w:val="single" w:color="auto"/>
            <w:color w:val="0000EE"/>
          </w:rPr>
          <w:t>Table of Contents</w:t>
        </w:r>
      </w:hyperlink>
    </w:p>
    <w:p>
      <w:pPr>
        <w:spacing w:after="0" w:line="260" w:lineRule="exact"/>
        <w:rPr>
          <w:sz w:val="20"/>
          <w:szCs w:val="20"/>
          <w:color w:val="auto"/>
        </w:rPr>
      </w:pPr>
    </w:p>
    <w:p>
      <w:pPr>
        <w:ind w:left="1840" w:hanging="276"/>
        <w:spacing w:after="0"/>
        <w:tabs>
          <w:tab w:leader="none" w:pos="1840" w:val="left"/>
        </w:tabs>
        <w:numPr>
          <w:ilvl w:val="0"/>
          <w:numId w:val="44"/>
        </w:numPr>
        <w:rPr>
          <w:rFonts w:ascii="Arial" w:cs="Arial" w:eastAsia="Arial" w:hAnsi="Arial"/>
          <w:sz w:val="14"/>
          <w:szCs w:val="14"/>
          <w:color w:val="auto"/>
        </w:rPr>
      </w:pPr>
      <w:r>
        <w:rPr>
          <w:rFonts w:ascii="Arial" w:cs="Arial" w:eastAsia="Arial" w:hAnsi="Arial"/>
          <w:sz w:val="14"/>
          <w:szCs w:val="14"/>
          <w:color w:val="auto"/>
        </w:rPr>
        <w:t>The likelihood and timeline of achieving a liquidity event, such as an initial public offering or sale, given prevailing market conditions;</w:t>
      </w:r>
    </w:p>
    <w:p>
      <w:pPr>
        <w:spacing w:after="0" w:line="120" w:lineRule="exact"/>
        <w:rPr>
          <w:rFonts w:ascii="Arial" w:cs="Arial" w:eastAsia="Arial" w:hAnsi="Arial"/>
          <w:sz w:val="14"/>
          <w:szCs w:val="14"/>
          <w:color w:val="auto"/>
        </w:rPr>
      </w:pPr>
    </w:p>
    <w:p>
      <w:pPr>
        <w:ind w:left="1840" w:hanging="276"/>
        <w:spacing w:after="0"/>
        <w:tabs>
          <w:tab w:leader="none" w:pos="1840" w:val="left"/>
        </w:tabs>
        <w:numPr>
          <w:ilvl w:val="0"/>
          <w:numId w:val="44"/>
        </w:numPr>
        <w:rPr>
          <w:rFonts w:ascii="Arial" w:cs="Arial" w:eastAsia="Arial" w:hAnsi="Arial"/>
          <w:sz w:val="15"/>
          <w:szCs w:val="15"/>
          <w:color w:val="auto"/>
        </w:rPr>
      </w:pPr>
      <w:r>
        <w:rPr>
          <w:rFonts w:ascii="Arial" w:cs="Arial" w:eastAsia="Arial" w:hAnsi="Arial"/>
          <w:sz w:val="15"/>
          <w:szCs w:val="15"/>
          <w:color w:val="auto"/>
        </w:rPr>
        <w:t>Any adjustments necessary to recognize a lack of marketability for our common stock; and</w:t>
      </w:r>
    </w:p>
    <w:p>
      <w:pPr>
        <w:spacing w:after="0" w:line="109" w:lineRule="exact"/>
        <w:rPr>
          <w:rFonts w:ascii="Arial" w:cs="Arial" w:eastAsia="Arial" w:hAnsi="Arial"/>
          <w:sz w:val="15"/>
          <w:szCs w:val="15"/>
          <w:color w:val="auto"/>
        </w:rPr>
      </w:pPr>
    </w:p>
    <w:p>
      <w:pPr>
        <w:ind w:left="1840" w:hanging="276"/>
        <w:spacing w:after="0"/>
        <w:tabs>
          <w:tab w:leader="none" w:pos="1840" w:val="left"/>
        </w:tabs>
        <w:numPr>
          <w:ilvl w:val="0"/>
          <w:numId w:val="44"/>
        </w:numPr>
        <w:rPr>
          <w:rFonts w:ascii="Arial" w:cs="Arial" w:eastAsia="Arial" w:hAnsi="Arial"/>
          <w:sz w:val="15"/>
          <w:szCs w:val="15"/>
          <w:color w:val="auto"/>
        </w:rPr>
      </w:pPr>
      <w:r>
        <w:rPr>
          <w:rFonts w:ascii="Arial" w:cs="Arial" w:eastAsia="Arial" w:hAnsi="Arial"/>
          <w:sz w:val="15"/>
          <w:szCs w:val="15"/>
          <w:color w:val="auto"/>
        </w:rPr>
        <w:t>Precedent sales of or offers to purchase our capital stock.</w:t>
      </w:r>
    </w:p>
    <w:p>
      <w:pPr>
        <w:spacing w:after="0" w:line="188" w:lineRule="exact"/>
        <w:rPr>
          <w:sz w:val="20"/>
          <w:szCs w:val="20"/>
          <w:color w:val="auto"/>
        </w:rPr>
      </w:pPr>
    </w:p>
    <w:p>
      <w:pPr>
        <w:ind w:left="1120" w:right="100" w:firstLine="368"/>
        <w:spacing w:after="0" w:line="277" w:lineRule="auto"/>
        <w:rPr>
          <w:sz w:val="20"/>
          <w:szCs w:val="20"/>
          <w:color w:val="auto"/>
        </w:rPr>
      </w:pPr>
      <w:r>
        <w:rPr>
          <w:rFonts w:ascii="Arial" w:cs="Arial" w:eastAsia="Arial" w:hAnsi="Arial"/>
          <w:sz w:val="14"/>
          <w:szCs w:val="14"/>
          <w:color w:val="auto"/>
        </w:rPr>
        <w:t>In valuing our common stock, our Board of Directors determined the fair value of our common stock using both the income and market approach valuation methods. The income approach estimates value based on the expectation of future cash flows that a company will generate. These future cash flows are discounted to their present values using a discount rate based on our weighted-average cost of capital, and is adjusted to reflect the risks inherent in our cash flows. The market approach estimates value based on a comparison of the subject company to comparable public companies in a similar line of business. From the comparable companies, a representative market value multiple is determined and then applied to the subject company’s financial forecasts to estimate the value of the subject company.</w:t>
      </w:r>
    </w:p>
    <w:p>
      <w:pPr>
        <w:spacing w:after="0" w:line="148" w:lineRule="exact"/>
        <w:rPr>
          <w:sz w:val="20"/>
          <w:szCs w:val="20"/>
          <w:color w:val="auto"/>
        </w:rPr>
      </w:pPr>
    </w:p>
    <w:p>
      <w:pPr>
        <w:jc w:val="both"/>
        <w:ind w:left="1120" w:right="480" w:firstLine="368"/>
        <w:spacing w:after="0" w:line="263" w:lineRule="auto"/>
        <w:rPr>
          <w:sz w:val="20"/>
          <w:szCs w:val="20"/>
          <w:color w:val="auto"/>
        </w:rPr>
      </w:pPr>
      <w:r>
        <w:rPr>
          <w:rFonts w:ascii="Arial" w:cs="Arial" w:eastAsia="Arial" w:hAnsi="Arial"/>
          <w:sz w:val="15"/>
          <w:szCs w:val="15"/>
          <w:color w:val="auto"/>
        </w:rPr>
        <w:t>For valuations prior to August 31, 2017, the equity valuation was based on both the income and the market approach valuation methods, in addition to giving consideration to recent secondary sales of our common stock. The Option Pricing Method was selected as the principal equity allocation method. These methods were consistent with prior valuations.</w:t>
      </w:r>
    </w:p>
    <w:p>
      <w:pPr>
        <w:spacing w:after="0" w:line="155" w:lineRule="exact"/>
        <w:rPr>
          <w:sz w:val="20"/>
          <w:szCs w:val="20"/>
          <w:color w:val="auto"/>
        </w:rPr>
      </w:pPr>
    </w:p>
    <w:p>
      <w:pPr>
        <w:ind w:left="1120" w:right="60" w:firstLine="368"/>
        <w:spacing w:after="0" w:line="259" w:lineRule="auto"/>
        <w:rPr>
          <w:sz w:val="20"/>
          <w:szCs w:val="20"/>
          <w:color w:val="auto"/>
        </w:rPr>
      </w:pPr>
      <w:r>
        <w:rPr>
          <w:rFonts w:ascii="Arial" w:cs="Arial" w:eastAsia="Arial" w:hAnsi="Arial"/>
          <w:sz w:val="15"/>
          <w:szCs w:val="15"/>
          <w:color w:val="auto"/>
        </w:rPr>
        <w:t>For valuations as of and subsequent to August 31, 2017, we have used a hybrid method to determine the fair value of our common stock, in addition to giving consideration to recent secondary sales of our common stock. Under the hybrid method, multiple valuation approaches were used and then combined into a single probability weighted valuation. Our approach included the use of initial public offering scenarios, a scenario assuming continued operation as a private entity, and a scenario assuming an acquisition of the company.</w:t>
      </w:r>
    </w:p>
    <w:p>
      <w:pPr>
        <w:spacing w:after="0" w:line="158" w:lineRule="exact"/>
        <w:rPr>
          <w:sz w:val="20"/>
          <w:szCs w:val="20"/>
          <w:color w:val="auto"/>
        </w:rPr>
      </w:pPr>
    </w:p>
    <w:p>
      <w:pPr>
        <w:ind w:left="1120" w:right="200" w:firstLine="368"/>
        <w:spacing w:after="0" w:line="283" w:lineRule="auto"/>
        <w:rPr>
          <w:sz w:val="20"/>
          <w:szCs w:val="20"/>
          <w:color w:val="auto"/>
        </w:rPr>
      </w:pPr>
      <w:r>
        <w:rPr>
          <w:rFonts w:ascii="Arial" w:cs="Arial" w:eastAsia="Arial" w:hAnsi="Arial"/>
          <w:sz w:val="14"/>
          <w:szCs w:val="14"/>
          <w:color w:val="auto"/>
        </w:rPr>
        <w:t>Application of these approaches involves the use of estimates, judgment, and assumptions that are highly complex and subjective, such as those regarding our expected future revenue, expenses, and cash flows, discount rates, market multiples, the selection of comparable companies, and the probability of future events. Changes in any or all of these estimates and assumptions, or the relationships between those assumptions, impact our valuations as of each valuation date and may have a material impact on the valuation of common stock.</w:t>
      </w:r>
    </w:p>
    <w:p>
      <w:pPr>
        <w:spacing w:after="0" w:line="143" w:lineRule="exact"/>
        <w:rPr>
          <w:sz w:val="20"/>
          <w:szCs w:val="20"/>
          <w:color w:val="auto"/>
        </w:rPr>
      </w:pPr>
    </w:p>
    <w:p>
      <w:pPr>
        <w:ind w:left="1120" w:right="120" w:firstLine="368"/>
        <w:spacing w:after="0" w:line="275" w:lineRule="auto"/>
        <w:rPr>
          <w:sz w:val="20"/>
          <w:szCs w:val="20"/>
          <w:color w:val="auto"/>
        </w:rPr>
      </w:pPr>
      <w:r>
        <w:rPr>
          <w:rFonts w:ascii="Arial" w:cs="Arial" w:eastAsia="Arial" w:hAnsi="Arial"/>
          <w:sz w:val="15"/>
          <w:szCs w:val="15"/>
          <w:color w:val="auto"/>
        </w:rPr>
        <w:t>For valuations after the completion of this initial public offering, our Board of Directors will determine the fair value of each share of underlying common stock based on the closing price of our Class A common stock as reported on the date of the grant.</w:t>
      </w:r>
    </w:p>
    <w:p>
      <w:pPr>
        <w:spacing w:after="0" w:line="236" w:lineRule="exact"/>
        <w:rPr>
          <w:sz w:val="20"/>
          <w:szCs w:val="20"/>
          <w:color w:val="auto"/>
        </w:rPr>
      </w:pPr>
    </w:p>
    <w:p>
      <w:pPr>
        <w:ind w:left="1480"/>
        <w:spacing w:after="0"/>
        <w:rPr>
          <w:sz w:val="20"/>
          <w:szCs w:val="20"/>
          <w:color w:val="auto"/>
        </w:rPr>
      </w:pPr>
      <w:r>
        <w:rPr>
          <w:rFonts w:ascii="Arial" w:cs="Arial" w:eastAsia="Arial" w:hAnsi="Arial"/>
          <w:sz w:val="15"/>
          <w:szCs w:val="15"/>
          <w:b w:val="1"/>
          <w:bCs w:val="1"/>
          <w:i w:val="1"/>
          <w:iCs w:val="1"/>
          <w:color w:val="auto"/>
        </w:rPr>
        <w:t>Fair value of market condition awards</w:t>
      </w:r>
    </w:p>
    <w:p>
      <w:pPr>
        <w:spacing w:after="0" w:line="98" w:lineRule="exact"/>
        <w:rPr>
          <w:sz w:val="20"/>
          <w:szCs w:val="20"/>
          <w:color w:val="auto"/>
        </w:rPr>
      </w:pPr>
    </w:p>
    <w:p>
      <w:pPr>
        <w:ind w:left="1120" w:firstLine="368"/>
        <w:spacing w:after="0" w:line="275" w:lineRule="auto"/>
        <w:rPr>
          <w:sz w:val="20"/>
          <w:szCs w:val="20"/>
          <w:color w:val="auto"/>
        </w:rPr>
      </w:pPr>
      <w:r>
        <w:rPr>
          <w:rFonts w:ascii="Arial" w:cs="Arial" w:eastAsia="Arial" w:hAnsi="Arial"/>
          <w:sz w:val="14"/>
          <w:szCs w:val="14"/>
          <w:color w:val="auto"/>
        </w:rPr>
        <w:t>The Co-Founder Grants contain market-based vesting conditions. The market-based vesting condition is considered when calculating the grant date fair value of these awards, which requires the use of various estimates and assumptions. The grant date fair value of the Co-Founder Grants was estimated using a model based on multiple stock price paths developed through the use of a Monte Carlo simulation that incorporates into the valuation the possibility that the market condition may not be satisfied. A Monte Carlo simulation requires the use of various assumptions, including our underlying stock price, volatility, and the risk-free interest rate as of the valuation date, corresponding to the length of time remaining in the performance period, and expected dividend yield. A Monte Carlo simulation also calculates a derived service period for each of the nine vesting tranches, which is the measure of the expected time to achieve the market conditions. Expense associated with market-based awards is recognized over the requisite service period of each tranche using the accelerated attribution method, regardless of whether the market conditions are achieved.</w:t>
      </w:r>
    </w:p>
    <w:p>
      <w:pPr>
        <w:spacing w:after="0" w:line="239" w:lineRule="exact"/>
        <w:rPr>
          <w:sz w:val="20"/>
          <w:szCs w:val="20"/>
          <w:color w:val="auto"/>
        </w:rPr>
      </w:pPr>
    </w:p>
    <w:p>
      <w:pPr>
        <w:ind w:left="1480"/>
        <w:spacing w:after="0"/>
        <w:rPr>
          <w:sz w:val="20"/>
          <w:szCs w:val="20"/>
          <w:color w:val="auto"/>
        </w:rPr>
      </w:pPr>
      <w:r>
        <w:rPr>
          <w:rFonts w:ascii="Arial" w:cs="Arial" w:eastAsia="Arial" w:hAnsi="Arial"/>
          <w:sz w:val="15"/>
          <w:szCs w:val="15"/>
          <w:b w:val="1"/>
          <w:bCs w:val="1"/>
          <w:i w:val="1"/>
          <w:iCs w:val="1"/>
          <w:color w:val="auto"/>
        </w:rPr>
        <w:t>Business combinations and valuation of goodwill and other acquired intangible assets</w:t>
      </w:r>
    </w:p>
    <w:p>
      <w:pPr>
        <w:spacing w:after="0" w:line="98" w:lineRule="exact"/>
        <w:rPr>
          <w:sz w:val="20"/>
          <w:szCs w:val="20"/>
          <w:color w:val="auto"/>
        </w:rPr>
      </w:pPr>
    </w:p>
    <w:p>
      <w:pPr>
        <w:ind w:left="1120" w:right="440" w:firstLine="368"/>
        <w:spacing w:after="0" w:line="275" w:lineRule="auto"/>
        <w:rPr>
          <w:sz w:val="20"/>
          <w:szCs w:val="20"/>
          <w:color w:val="auto"/>
        </w:rPr>
      </w:pPr>
      <w:r>
        <w:rPr>
          <w:rFonts w:ascii="Arial" w:cs="Arial" w:eastAsia="Arial" w:hAnsi="Arial"/>
          <w:sz w:val="15"/>
          <w:szCs w:val="15"/>
          <w:color w:val="auto"/>
        </w:rPr>
        <w:t>When we acquire a business, we allocate the purchase price to the net tangible and identifiable intangible assets acquired based on their fair values. Any residual purchase price is recorded as goodwill. The estimation of</w:t>
      </w:r>
    </w:p>
    <w:p>
      <w:pPr>
        <w:spacing w:after="0" w:line="90" w:lineRule="exact"/>
        <w:rPr>
          <w:sz w:val="20"/>
          <w:szCs w:val="20"/>
          <w:color w:val="auto"/>
        </w:rPr>
      </w:pPr>
    </w:p>
    <w:p>
      <w:pPr>
        <w:ind w:left="5640"/>
        <w:spacing w:after="0"/>
        <w:rPr>
          <w:sz w:val="20"/>
          <w:szCs w:val="20"/>
          <w:color w:val="auto"/>
        </w:rPr>
      </w:pPr>
      <w:r>
        <w:rPr>
          <w:rFonts w:ascii="Arial" w:cs="Arial" w:eastAsia="Arial" w:hAnsi="Arial"/>
          <w:sz w:val="15"/>
          <w:szCs w:val="15"/>
          <w:color w:val="auto"/>
        </w:rPr>
        <w:t>90</w:t>
      </w:r>
    </w:p>
    <w:p>
      <w:pPr>
        <w:sectPr>
          <w:pgSz w:w="11900" w:h="16838" w:orient="portrait"/>
          <w:cols w:equalWidth="0" w:num="1">
            <w:col w:w="10320"/>
          </w:cols>
          <w:pgMar w:left="240" w:top="407" w:right="1339" w:bottom="1440" w:gutter="0" w:footer="0" w:header="0"/>
        </w:sectPr>
      </w:pPr>
    </w:p>
    <w:bookmarkStart w:id="97" w:name="page98"/>
    <w:bookmarkEnd w:id="97"/>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133350</wp:posOffset>
            </wp:positionH>
            <wp:positionV relativeFrom="page">
              <wp:posOffset>88900</wp:posOffset>
            </wp:positionV>
            <wp:extent cx="7308850" cy="342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308850" cy="34290"/>
                    </a:xfrm>
                    <a:prstGeom prst="rect">
                      <a:avLst/>
                    </a:prstGeom>
                    <a:noFill/>
                  </pic:spPr>
                </pic:pic>
              </a:graphicData>
            </a:graphic>
          </wp:anchor>
        </w:drawing>
      </w:r>
      <w:hyperlink w:anchor="page7">
        <w:r>
          <w:rPr>
            <w:rFonts w:ascii="Arial" w:cs="Arial" w:eastAsia="Arial" w:hAnsi="Arial"/>
            <w:sz w:val="15"/>
            <w:szCs w:val="15"/>
            <w:b w:val="1"/>
            <w:bCs w:val="1"/>
            <w:u w:val="single" w:color="auto"/>
            <w:color w:val="0000EE"/>
          </w:rPr>
          <w:t>Table of Contents</w:t>
        </w:r>
      </w:hyperlink>
    </w:p>
    <w:p>
      <w:pPr>
        <w:spacing w:after="0" w:line="260" w:lineRule="exact"/>
        <w:rPr>
          <w:sz w:val="20"/>
          <w:szCs w:val="20"/>
          <w:color w:val="auto"/>
        </w:rPr>
      </w:pPr>
    </w:p>
    <w:p>
      <w:pPr>
        <w:ind w:left="1120" w:right="80"/>
        <w:spacing w:after="0" w:line="275" w:lineRule="auto"/>
        <w:rPr>
          <w:sz w:val="20"/>
          <w:szCs w:val="20"/>
          <w:color w:val="auto"/>
        </w:rPr>
      </w:pPr>
      <w:r>
        <w:rPr>
          <w:rFonts w:ascii="Arial" w:cs="Arial" w:eastAsia="Arial" w:hAnsi="Arial"/>
          <w:sz w:val="15"/>
          <w:szCs w:val="15"/>
          <w:color w:val="auto"/>
        </w:rPr>
        <w:t>the fair value of acquired assets and assumed liabilities requires management to apply significant judgment, especially with respect to intangible assets, which consist primarily of developed technologies.</w:t>
      </w:r>
    </w:p>
    <w:p>
      <w:pPr>
        <w:spacing w:after="0" w:line="146" w:lineRule="exact"/>
        <w:rPr>
          <w:sz w:val="20"/>
          <w:szCs w:val="20"/>
          <w:color w:val="auto"/>
        </w:rPr>
      </w:pPr>
    </w:p>
    <w:p>
      <w:pPr>
        <w:ind w:left="1120" w:firstLine="368"/>
        <w:spacing w:after="0" w:line="257" w:lineRule="auto"/>
        <w:rPr>
          <w:sz w:val="20"/>
          <w:szCs w:val="20"/>
          <w:color w:val="auto"/>
        </w:rPr>
      </w:pPr>
      <w:r>
        <w:rPr>
          <w:rFonts w:ascii="Arial" w:cs="Arial" w:eastAsia="Arial" w:hAnsi="Arial"/>
          <w:sz w:val="15"/>
          <w:szCs w:val="15"/>
          <w:color w:val="auto"/>
        </w:rPr>
        <w:t>These estimates are based upon a number of factors, including historical experience, market conditions, and information obtained from the management of acquired companies. To determine the fair value of acquired intangible assets, we make estimates that can include, but are not limited to, the cash flows that an asset is expected to generate in the future, the appropriate weighted-average cost of capital to utilize, the cost savings expected to be derived from acquiring an asset, and the expected use of the asset. These same factors are also considered in determining the useful life of acquired intangible assets, which impacts the timing of future amortization expense.</w:t>
      </w:r>
    </w:p>
    <w:p>
      <w:pPr>
        <w:spacing w:after="0" w:line="245" w:lineRule="exact"/>
        <w:rPr>
          <w:sz w:val="20"/>
          <w:szCs w:val="20"/>
          <w:color w:val="auto"/>
        </w:rPr>
      </w:pPr>
    </w:p>
    <w:p>
      <w:pPr>
        <w:ind w:left="1120"/>
        <w:spacing w:after="0"/>
        <w:rPr>
          <w:sz w:val="20"/>
          <w:szCs w:val="20"/>
          <w:color w:val="auto"/>
        </w:rPr>
      </w:pPr>
      <w:r>
        <w:rPr>
          <w:rFonts w:ascii="Arial" w:cs="Arial" w:eastAsia="Arial" w:hAnsi="Arial"/>
          <w:sz w:val="15"/>
          <w:szCs w:val="15"/>
          <w:b w:val="1"/>
          <w:bCs w:val="1"/>
          <w:color w:val="auto"/>
        </w:rPr>
        <w:t>Recent Accounting Pronouncements</w:t>
      </w:r>
    </w:p>
    <w:p>
      <w:pPr>
        <w:spacing w:after="0" w:line="102" w:lineRule="exact"/>
        <w:rPr>
          <w:sz w:val="20"/>
          <w:szCs w:val="20"/>
          <w:color w:val="auto"/>
        </w:rPr>
      </w:pPr>
    </w:p>
    <w:p>
      <w:pPr>
        <w:ind w:left="1120" w:right="40" w:firstLine="368"/>
        <w:spacing w:after="0" w:line="272" w:lineRule="auto"/>
        <w:rPr>
          <w:sz w:val="20"/>
          <w:szCs w:val="20"/>
          <w:color w:val="auto"/>
        </w:rPr>
      </w:pPr>
      <w:r>
        <w:rPr>
          <w:rFonts w:ascii="Arial" w:cs="Arial" w:eastAsia="Arial" w:hAnsi="Arial"/>
          <w:sz w:val="14"/>
          <w:szCs w:val="14"/>
          <w:color w:val="auto"/>
        </w:rPr>
        <w:t xml:space="preserve">In February 2016, the FASB issued ASU No. 2016-02, </w:t>
      </w:r>
      <w:r>
        <w:rPr>
          <w:rFonts w:ascii="Arial" w:cs="Arial" w:eastAsia="Arial" w:hAnsi="Arial"/>
          <w:sz w:val="14"/>
          <w:szCs w:val="14"/>
          <w:i w:val="1"/>
          <w:iCs w:val="1"/>
          <w:color w:val="auto"/>
        </w:rPr>
        <w:t>Leases (Topic 842)</w:t>
      </w:r>
      <w:r>
        <w:rPr>
          <w:rFonts w:ascii="Arial" w:cs="Arial" w:eastAsia="Arial" w:hAnsi="Arial"/>
          <w:sz w:val="14"/>
          <w:szCs w:val="14"/>
          <w:color w:val="auto"/>
        </w:rPr>
        <w:t>. Most prominent among the changes in the standard is the recognition of right of use assets and lease liabilities by lessees for those leases classified as operating leases under current GAAP. Under the standard, disclosures are required to meet the objective of enabling users of financial statements to assess the amount, timing, and uncertainty of cash flows arising from leases. We will be required to recognize and measure leases existing at, or entered into after, the beginning of the earliest comparative period presented using a modified retrospective approach, with certain practical expedients available. The new standard is effective for fiscal years beginning after December 15, 2018. Early adoption by public entities is permitted. We are in the initial stage of our assessment of the new standard and are currently evaluating the timing of adoption, the quantitative impact of adoption, and the related disclosure requirements. We anticipate the adoption of this standard will result in a substantial increase in our non-current assets and liabilities recorded on the consolidated balance sheets. The adoption of the standard is not expected to have a material impact on the consolidated statement of operations. While we are assessing all potential impacts of the adoption of the standard, we currently expect the most significant impact to be the capitalization of right-to-use assets and lease liabilities for our office space and datacenter operating leases. We expect our accounting for capital leases related to infrastructure equipment to remain substantially unchanged under the new standard.</w:t>
      </w:r>
    </w:p>
    <w:p>
      <w:pPr>
        <w:spacing w:after="0" w:line="156" w:lineRule="exact"/>
        <w:rPr>
          <w:sz w:val="20"/>
          <w:szCs w:val="20"/>
          <w:color w:val="auto"/>
        </w:rPr>
      </w:pPr>
    </w:p>
    <w:p>
      <w:pPr>
        <w:ind w:left="1120" w:right="320" w:firstLine="368"/>
        <w:spacing w:after="0" w:line="275" w:lineRule="auto"/>
        <w:rPr>
          <w:sz w:val="20"/>
          <w:szCs w:val="20"/>
          <w:color w:val="auto"/>
        </w:rPr>
      </w:pPr>
      <w:r>
        <w:rPr>
          <w:rFonts w:ascii="Arial" w:cs="Arial" w:eastAsia="Arial" w:hAnsi="Arial"/>
          <w:sz w:val="15"/>
          <w:szCs w:val="15"/>
          <w:color w:val="auto"/>
        </w:rPr>
        <w:t>See Note 1, “Description of the Business and Summary of Significant Accounting Policies” to our consolidated financial statements included elsewhere in this prospectus for more information about other recent accounting pronouncements.</w:t>
      </w:r>
    </w:p>
    <w:p>
      <w:pPr>
        <w:spacing w:after="0" w:line="232" w:lineRule="exact"/>
        <w:rPr>
          <w:sz w:val="20"/>
          <w:szCs w:val="20"/>
          <w:color w:val="auto"/>
        </w:rPr>
      </w:pPr>
    </w:p>
    <w:p>
      <w:pPr>
        <w:ind w:left="1120"/>
        <w:spacing w:after="0"/>
        <w:rPr>
          <w:sz w:val="20"/>
          <w:szCs w:val="20"/>
          <w:color w:val="auto"/>
        </w:rPr>
      </w:pPr>
      <w:r>
        <w:rPr>
          <w:rFonts w:ascii="Arial" w:cs="Arial" w:eastAsia="Arial" w:hAnsi="Arial"/>
          <w:sz w:val="15"/>
          <w:szCs w:val="15"/>
          <w:b w:val="1"/>
          <w:bCs w:val="1"/>
          <w:color w:val="auto"/>
        </w:rPr>
        <w:t>Quantitative and Qualitative Disclosures about Market Risk</w:t>
      </w:r>
    </w:p>
    <w:p>
      <w:pPr>
        <w:spacing w:after="0" w:line="102" w:lineRule="exact"/>
        <w:rPr>
          <w:sz w:val="20"/>
          <w:szCs w:val="20"/>
          <w:color w:val="auto"/>
        </w:rPr>
      </w:pPr>
    </w:p>
    <w:p>
      <w:pPr>
        <w:ind w:left="1480"/>
        <w:spacing w:after="0"/>
        <w:rPr>
          <w:sz w:val="20"/>
          <w:szCs w:val="20"/>
          <w:color w:val="auto"/>
        </w:rPr>
      </w:pPr>
      <w:r>
        <w:rPr>
          <w:rFonts w:ascii="Arial" w:cs="Arial" w:eastAsia="Arial" w:hAnsi="Arial"/>
          <w:sz w:val="14"/>
          <w:szCs w:val="14"/>
          <w:color w:val="auto"/>
        </w:rPr>
        <w:t>We are exposed to market risks in the ordinary course of our business, including interest rate, foreign currency exchange, and inflation risks.</w:t>
      </w:r>
    </w:p>
    <w:p>
      <w:pPr>
        <w:spacing w:after="0" w:line="290" w:lineRule="exact"/>
        <w:rPr>
          <w:sz w:val="20"/>
          <w:szCs w:val="20"/>
          <w:color w:val="auto"/>
        </w:rPr>
      </w:pPr>
    </w:p>
    <w:p>
      <w:pPr>
        <w:ind w:left="1480"/>
        <w:spacing w:after="0"/>
        <w:rPr>
          <w:sz w:val="20"/>
          <w:szCs w:val="20"/>
          <w:color w:val="auto"/>
        </w:rPr>
      </w:pPr>
      <w:r>
        <w:rPr>
          <w:rFonts w:ascii="Arial" w:cs="Arial" w:eastAsia="Arial" w:hAnsi="Arial"/>
          <w:sz w:val="15"/>
          <w:szCs w:val="15"/>
          <w:b w:val="1"/>
          <w:bCs w:val="1"/>
          <w:i w:val="1"/>
          <w:iCs w:val="1"/>
          <w:color w:val="auto"/>
        </w:rPr>
        <w:t>Interest rate risk</w:t>
      </w:r>
    </w:p>
    <w:p>
      <w:pPr>
        <w:spacing w:after="0" w:line="98" w:lineRule="exact"/>
        <w:rPr>
          <w:sz w:val="20"/>
          <w:szCs w:val="20"/>
          <w:color w:val="auto"/>
        </w:rPr>
      </w:pPr>
    </w:p>
    <w:p>
      <w:pPr>
        <w:ind w:left="1120" w:right="140" w:firstLine="368"/>
        <w:spacing w:after="0" w:line="305" w:lineRule="auto"/>
        <w:rPr>
          <w:sz w:val="20"/>
          <w:szCs w:val="20"/>
          <w:color w:val="auto"/>
        </w:rPr>
      </w:pPr>
      <w:r>
        <w:rPr>
          <w:rFonts w:ascii="Arial" w:cs="Arial" w:eastAsia="Arial" w:hAnsi="Arial"/>
          <w:sz w:val="13"/>
          <w:szCs w:val="13"/>
          <w:color w:val="auto"/>
        </w:rPr>
        <w:t>We had cash and cash equivalents of $430.0 million as of December 31, 2017. We hold our cash and cash equivalents for working capital purposes. Our cash and cash equivalents are held in cash deposits and money market funds. The primary objectives of our investment activities are the preservation of capital, the fulfillment of liquidity needs, and the control of cash and investments. We do not enter into investments for trading or speculative purposes. Due to the short-term nature of these instruments, we believe that we do not have any material exposure to changes in the fair value of our investment portfolio as a result of changes in interest rates. Decreases in interest rates, however, would reduce future interest income.</w:t>
      </w:r>
    </w:p>
    <w:p>
      <w:pPr>
        <w:spacing w:after="0" w:line="133" w:lineRule="exact"/>
        <w:rPr>
          <w:sz w:val="20"/>
          <w:szCs w:val="20"/>
          <w:color w:val="auto"/>
        </w:rPr>
      </w:pPr>
    </w:p>
    <w:p>
      <w:pPr>
        <w:jc w:val="both"/>
        <w:ind w:left="1120" w:right="180" w:firstLine="368"/>
        <w:spacing w:after="0" w:line="263" w:lineRule="auto"/>
        <w:rPr>
          <w:sz w:val="20"/>
          <w:szCs w:val="20"/>
          <w:color w:val="auto"/>
        </w:rPr>
      </w:pPr>
      <w:r>
        <w:rPr>
          <w:rFonts w:ascii="Arial" w:cs="Arial" w:eastAsia="Arial" w:hAnsi="Arial"/>
          <w:sz w:val="15"/>
          <w:szCs w:val="15"/>
          <w:color w:val="auto"/>
        </w:rPr>
        <w:t>Any borrowings under the revolving credit facility bear interest at a variable rate tied to the prime rate or the LIBOR rate. As of December 31, 2017, we had no amounts outstanding under the revolving credit facility. We do not have any other long-term debt or financial liabilities with floating interest rates that would subject us to interest rate fluctuations.</w:t>
      </w:r>
    </w:p>
    <w:p>
      <w:pPr>
        <w:spacing w:after="0" w:line="98" w:lineRule="exact"/>
        <w:rPr>
          <w:sz w:val="20"/>
          <w:szCs w:val="20"/>
          <w:color w:val="auto"/>
        </w:rPr>
      </w:pPr>
    </w:p>
    <w:p>
      <w:pPr>
        <w:ind w:left="5640"/>
        <w:spacing w:after="0"/>
        <w:rPr>
          <w:sz w:val="20"/>
          <w:szCs w:val="20"/>
          <w:color w:val="auto"/>
        </w:rPr>
      </w:pPr>
      <w:r>
        <w:rPr>
          <w:rFonts w:ascii="Arial" w:cs="Arial" w:eastAsia="Arial" w:hAnsi="Arial"/>
          <w:sz w:val="15"/>
          <w:szCs w:val="15"/>
          <w:color w:val="auto"/>
        </w:rPr>
        <w:t>91</w:t>
      </w:r>
    </w:p>
    <w:p>
      <w:pPr>
        <w:sectPr>
          <w:pgSz w:w="11900" w:h="16838" w:orient="portrait"/>
          <w:cols w:equalWidth="0" w:num="1">
            <w:col w:w="10300"/>
          </w:cols>
          <w:pgMar w:left="240" w:top="407" w:right="1359" w:bottom="1440" w:gutter="0" w:footer="0" w:header="0"/>
        </w:sectPr>
      </w:pPr>
    </w:p>
    <w:bookmarkStart w:id="98" w:name="page99"/>
    <w:bookmarkEnd w:id="98"/>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133350</wp:posOffset>
            </wp:positionH>
            <wp:positionV relativeFrom="page">
              <wp:posOffset>88900</wp:posOffset>
            </wp:positionV>
            <wp:extent cx="7308850" cy="342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308850" cy="34290"/>
                    </a:xfrm>
                    <a:prstGeom prst="rect">
                      <a:avLst/>
                    </a:prstGeom>
                    <a:noFill/>
                  </pic:spPr>
                </pic:pic>
              </a:graphicData>
            </a:graphic>
          </wp:anchor>
        </w:drawing>
      </w:r>
      <w:hyperlink w:anchor="page7">
        <w:r>
          <w:rPr>
            <w:rFonts w:ascii="Arial" w:cs="Arial" w:eastAsia="Arial" w:hAnsi="Arial"/>
            <w:sz w:val="15"/>
            <w:szCs w:val="15"/>
            <w:b w:val="1"/>
            <w:bCs w:val="1"/>
            <w:u w:val="single" w:color="auto"/>
            <w:color w:val="0000EE"/>
          </w:rPr>
          <w:t>Table of Contents</w:t>
        </w:r>
      </w:hyperlink>
    </w:p>
    <w:p>
      <w:pPr>
        <w:spacing w:after="0" w:line="260" w:lineRule="exact"/>
        <w:rPr>
          <w:sz w:val="20"/>
          <w:szCs w:val="20"/>
          <w:color w:val="auto"/>
        </w:rPr>
      </w:pPr>
    </w:p>
    <w:p>
      <w:pPr>
        <w:ind w:left="1480"/>
        <w:spacing w:after="0"/>
        <w:rPr>
          <w:sz w:val="20"/>
          <w:szCs w:val="20"/>
          <w:color w:val="auto"/>
        </w:rPr>
      </w:pPr>
      <w:r>
        <w:rPr>
          <w:rFonts w:ascii="Arial" w:cs="Arial" w:eastAsia="Arial" w:hAnsi="Arial"/>
          <w:sz w:val="13"/>
          <w:szCs w:val="13"/>
          <w:color w:val="auto"/>
        </w:rPr>
        <w:t>A hypothetical 10% change in interest rates during any of the periods presented would not have had a material impact on our financial statements.</w:t>
      </w:r>
    </w:p>
    <w:p>
      <w:pPr>
        <w:spacing w:after="0" w:line="302" w:lineRule="exact"/>
        <w:rPr>
          <w:sz w:val="20"/>
          <w:szCs w:val="20"/>
          <w:color w:val="auto"/>
        </w:rPr>
      </w:pPr>
    </w:p>
    <w:p>
      <w:pPr>
        <w:ind w:left="1480"/>
        <w:spacing w:after="0"/>
        <w:rPr>
          <w:sz w:val="20"/>
          <w:szCs w:val="20"/>
          <w:color w:val="auto"/>
        </w:rPr>
      </w:pPr>
      <w:r>
        <w:rPr>
          <w:rFonts w:ascii="Arial" w:cs="Arial" w:eastAsia="Arial" w:hAnsi="Arial"/>
          <w:sz w:val="15"/>
          <w:szCs w:val="15"/>
          <w:b w:val="1"/>
          <w:bCs w:val="1"/>
          <w:i w:val="1"/>
          <w:iCs w:val="1"/>
          <w:color w:val="auto"/>
        </w:rPr>
        <w:t>Foreign currency exchange risk</w:t>
      </w:r>
    </w:p>
    <w:p>
      <w:pPr>
        <w:spacing w:after="0" w:line="98" w:lineRule="exact"/>
        <w:rPr>
          <w:sz w:val="20"/>
          <w:szCs w:val="20"/>
          <w:color w:val="auto"/>
        </w:rPr>
      </w:pPr>
    </w:p>
    <w:p>
      <w:pPr>
        <w:ind w:left="1120" w:right="60" w:firstLine="368"/>
        <w:spacing w:after="0" w:line="272" w:lineRule="auto"/>
        <w:rPr>
          <w:sz w:val="20"/>
          <w:szCs w:val="20"/>
          <w:color w:val="auto"/>
        </w:rPr>
      </w:pPr>
      <w:r>
        <w:rPr>
          <w:rFonts w:ascii="Arial" w:cs="Arial" w:eastAsia="Arial" w:hAnsi="Arial"/>
          <w:sz w:val="14"/>
          <w:szCs w:val="14"/>
          <w:color w:val="auto"/>
        </w:rPr>
        <w:t>Our results of operations and cash flows are subject to fluctuations due to changes in foreign currency exchange rates relative to U.S. dollars, our reporting currency. Our revenue is generated in U.S. dollars, euros, British pounds sterling, Australian dollars, Canadian dollars, and Japanese yen. Our expenses are generally denominated in the currencies in which our operations are located, which are primarily the United States and, to a lesser extent, Europe and Asia. The functional currency of Dropbox International Unlimited, our international headquarters and largest international entity, is denominated in U.S. dollars. Our results of operations and cash flows are, therefore, subject to fluctuations due to changes in foreign currency exchange rates in ways that are unrelated to our operating performance. As exchange rates may fluctuate significantly between periods, revenue and operating expenses, when converted into U.S. dollars, may also experience significant fluctuations between periods. Historically, a majority of our revenue and operating expenses have been denominated in U.S. dollars, euros, and British pounds sterling. Although we are impacted by the exchange rate movements from a number of currencies relative to the U.S. dollar, our results of operations are particularly impacted by fluctuations in the U.S. dollar-euro and U.S. dollar-British pounds sterling exchange rate. In 2017, 29% of our sales were denominated in currencies other than U.S. dollars. Our expenses, by contrast, are primarily denominated in U.S. dollars. As a result, any increase in the value of the U.S. dollar against these foreign currencies could cause our revenue to decline relative to our costs, thereby decreasing our gross margins.</w:t>
      </w:r>
    </w:p>
    <w:p>
      <w:pPr>
        <w:spacing w:after="0" w:line="156" w:lineRule="exact"/>
        <w:rPr>
          <w:sz w:val="20"/>
          <w:szCs w:val="20"/>
          <w:color w:val="auto"/>
        </w:rPr>
      </w:pPr>
    </w:p>
    <w:p>
      <w:pPr>
        <w:ind w:left="1120" w:firstLine="368"/>
        <w:spacing w:after="0" w:line="290" w:lineRule="auto"/>
        <w:rPr>
          <w:sz w:val="20"/>
          <w:szCs w:val="20"/>
          <w:color w:val="auto"/>
        </w:rPr>
      </w:pPr>
      <w:r>
        <w:rPr>
          <w:rFonts w:ascii="Arial" w:cs="Arial" w:eastAsia="Arial" w:hAnsi="Arial"/>
          <w:sz w:val="14"/>
          <w:szCs w:val="14"/>
          <w:color w:val="auto"/>
        </w:rPr>
        <w:t>We recorded $4.6 million and $3.6 million in net foreign currency transaction losses in the years ended December 31, 2015 and 2016, respectively, and $5.0 million in net foreign currency transaction gains in the year ended December 31, 2017. A hypothetical 10% change in foreign currency rates would not have resulted in material gains or losses for the years ended December 31, 2015, 2016, and 2017.</w:t>
      </w:r>
    </w:p>
    <w:p>
      <w:pPr>
        <w:spacing w:after="0" w:line="138" w:lineRule="exact"/>
        <w:rPr>
          <w:sz w:val="20"/>
          <w:szCs w:val="20"/>
          <w:color w:val="auto"/>
        </w:rPr>
      </w:pPr>
    </w:p>
    <w:p>
      <w:pPr>
        <w:ind w:left="1120" w:right="540" w:firstLine="368"/>
        <w:spacing w:after="0" w:line="275" w:lineRule="auto"/>
        <w:rPr>
          <w:sz w:val="20"/>
          <w:szCs w:val="20"/>
          <w:color w:val="auto"/>
        </w:rPr>
      </w:pPr>
      <w:r>
        <w:rPr>
          <w:rFonts w:ascii="Arial" w:cs="Arial" w:eastAsia="Arial" w:hAnsi="Arial"/>
          <w:sz w:val="15"/>
          <w:szCs w:val="15"/>
          <w:color w:val="auto"/>
        </w:rPr>
        <w:t>To date, we have not engaged in any hedging activities. As our international operations grow, we will continue to reassess our approach to managing risks relating to fluctuations in currency rates.</w:t>
      </w:r>
    </w:p>
    <w:p>
      <w:pPr>
        <w:spacing w:after="0" w:line="236" w:lineRule="exact"/>
        <w:rPr>
          <w:sz w:val="20"/>
          <w:szCs w:val="20"/>
          <w:color w:val="auto"/>
        </w:rPr>
      </w:pPr>
    </w:p>
    <w:p>
      <w:pPr>
        <w:ind w:left="1480"/>
        <w:spacing w:after="0"/>
        <w:rPr>
          <w:sz w:val="20"/>
          <w:szCs w:val="20"/>
          <w:color w:val="auto"/>
        </w:rPr>
      </w:pPr>
      <w:r>
        <w:rPr>
          <w:rFonts w:ascii="Arial" w:cs="Arial" w:eastAsia="Arial" w:hAnsi="Arial"/>
          <w:sz w:val="15"/>
          <w:szCs w:val="15"/>
          <w:b w:val="1"/>
          <w:bCs w:val="1"/>
          <w:i w:val="1"/>
          <w:iCs w:val="1"/>
          <w:color w:val="auto"/>
        </w:rPr>
        <w:t>Inflation risk</w:t>
      </w:r>
    </w:p>
    <w:p>
      <w:pPr>
        <w:spacing w:after="0" w:line="98" w:lineRule="exact"/>
        <w:rPr>
          <w:sz w:val="20"/>
          <w:szCs w:val="20"/>
          <w:color w:val="auto"/>
        </w:rPr>
      </w:pPr>
    </w:p>
    <w:p>
      <w:pPr>
        <w:ind w:left="1120" w:right="140" w:firstLine="368"/>
        <w:spacing w:after="0" w:line="263" w:lineRule="auto"/>
        <w:rPr>
          <w:sz w:val="20"/>
          <w:szCs w:val="20"/>
          <w:color w:val="auto"/>
        </w:rPr>
      </w:pPr>
      <w:r>
        <w:rPr>
          <w:rFonts w:ascii="Arial" w:cs="Arial" w:eastAsia="Arial" w:hAnsi="Arial"/>
          <w:sz w:val="15"/>
          <w:szCs w:val="15"/>
          <w:color w:val="auto"/>
        </w:rPr>
        <w:t>We do not believe that inflation has had a material effect on our business, results of operations, or financial condition. Nonetheless, if our costs were to become subject to significant inflationary pressures, we may not be able to fully offset such higher costs. Our inability or failure to do so could harm our business, results of operations, or financial condition.</w:t>
      </w:r>
    </w:p>
    <w:p>
      <w:pPr>
        <w:spacing w:after="0" w:line="98" w:lineRule="exact"/>
        <w:rPr>
          <w:sz w:val="20"/>
          <w:szCs w:val="20"/>
          <w:color w:val="auto"/>
        </w:rPr>
      </w:pPr>
    </w:p>
    <w:p>
      <w:pPr>
        <w:ind w:left="5640"/>
        <w:spacing w:after="0"/>
        <w:rPr>
          <w:sz w:val="20"/>
          <w:szCs w:val="20"/>
          <w:color w:val="auto"/>
        </w:rPr>
      </w:pPr>
      <w:r>
        <w:rPr>
          <w:rFonts w:ascii="Arial" w:cs="Arial" w:eastAsia="Arial" w:hAnsi="Arial"/>
          <w:sz w:val="15"/>
          <w:szCs w:val="15"/>
          <w:color w:val="auto"/>
        </w:rPr>
        <w:t>92</w:t>
      </w:r>
    </w:p>
    <w:p>
      <w:pPr>
        <w:sectPr>
          <w:pgSz w:w="11900" w:h="16838" w:orient="portrait"/>
          <w:cols w:equalWidth="0" w:num="1">
            <w:col w:w="10320"/>
          </w:cols>
          <w:pgMar w:left="240" w:top="407" w:right="1339" w:bottom="1440" w:gutter="0" w:footer="0" w:header="0"/>
        </w:sectPr>
      </w:pPr>
    </w:p>
    <w:bookmarkStart w:id="99" w:name="page100"/>
    <w:bookmarkEnd w:id="99"/>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133350</wp:posOffset>
            </wp:positionH>
            <wp:positionV relativeFrom="page">
              <wp:posOffset>88900</wp:posOffset>
            </wp:positionV>
            <wp:extent cx="7308850" cy="342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308850" cy="34290"/>
                    </a:xfrm>
                    <a:prstGeom prst="rect">
                      <a:avLst/>
                    </a:prstGeom>
                    <a:noFill/>
                  </pic:spPr>
                </pic:pic>
              </a:graphicData>
            </a:graphic>
          </wp:anchor>
        </w:drawing>
      </w:r>
      <w:hyperlink w:anchor="page7">
        <w:r>
          <w:rPr>
            <w:rFonts w:ascii="Arial" w:cs="Arial" w:eastAsia="Arial" w:hAnsi="Arial"/>
            <w:sz w:val="15"/>
            <w:szCs w:val="15"/>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right"/>
        <w:ind w:right="2979"/>
        <w:spacing w:after="0"/>
        <w:rPr>
          <w:sz w:val="20"/>
          <w:szCs w:val="20"/>
          <w:color w:val="auto"/>
        </w:rPr>
      </w:pPr>
      <w:r>
        <w:rPr>
          <w:rFonts w:ascii="Arial" w:cs="Arial" w:eastAsia="Arial" w:hAnsi="Arial"/>
          <w:sz w:val="15"/>
          <w:szCs w:val="15"/>
          <w:color w:val="auto"/>
        </w:rPr>
        <w:t>[THIS PAGE INTENTIONALLY LEFT BLANK]</w:t>
      </w:r>
    </w:p>
    <w:p>
      <w:pPr>
        <w:sectPr>
          <w:pgSz w:w="11900" w:h="16838" w:orient="portrait"/>
          <w:cols w:equalWidth="0" w:num="1">
            <w:col w:w="10219"/>
          </w:cols>
          <w:pgMar w:left="240" w:top="407" w:right="1440" w:bottom="1440" w:gutter="0" w:footer="0" w:header="0"/>
        </w:sectPr>
      </w:pPr>
    </w:p>
    <w:bookmarkStart w:id="100" w:name="page101"/>
    <w:bookmarkEnd w:id="100"/>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133350</wp:posOffset>
            </wp:positionH>
            <wp:positionV relativeFrom="page">
              <wp:posOffset>88900</wp:posOffset>
            </wp:positionV>
            <wp:extent cx="7308850" cy="342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308850" cy="34290"/>
                    </a:xfrm>
                    <a:prstGeom prst="rect">
                      <a:avLst/>
                    </a:prstGeom>
                    <a:noFill/>
                  </pic:spPr>
                </pic:pic>
              </a:graphicData>
            </a:graphic>
          </wp:anchor>
        </w:drawing>
      </w:r>
      <w:hyperlink w:anchor="page7">
        <w:r>
          <w:rPr>
            <w:rFonts w:ascii="Arial" w:cs="Arial" w:eastAsia="Arial" w:hAnsi="Arial"/>
            <w:sz w:val="15"/>
            <w:szCs w:val="15"/>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right"/>
        <w:ind w:right="2979"/>
        <w:spacing w:after="0"/>
        <w:rPr>
          <w:sz w:val="20"/>
          <w:szCs w:val="20"/>
          <w:color w:val="auto"/>
        </w:rPr>
      </w:pPr>
      <w:r>
        <w:rPr>
          <w:rFonts w:ascii="Arial" w:cs="Arial" w:eastAsia="Arial" w:hAnsi="Arial"/>
          <w:sz w:val="15"/>
          <w:szCs w:val="15"/>
          <w:color w:val="auto"/>
        </w:rPr>
        <w:t>[THIS PAGE INTENTIONALLY LEFT BLANK]</w:t>
      </w:r>
    </w:p>
    <w:p>
      <w:pPr>
        <w:sectPr>
          <w:pgSz w:w="11900" w:h="16838" w:orient="portrait"/>
          <w:cols w:equalWidth="0" w:num="1">
            <w:col w:w="10219"/>
          </w:cols>
          <w:pgMar w:left="240" w:top="407" w:right="1440" w:bottom="1440" w:gutter="0" w:footer="0" w:header="0"/>
        </w:sectPr>
      </w:pPr>
    </w:p>
    <w:bookmarkStart w:id="101" w:name="page102"/>
    <w:bookmarkEnd w:id="101"/>
    <w:p>
      <w:pPr>
        <w:spacing w:after="0"/>
        <w:rPr>
          <w:rFonts w:ascii="Arial" w:cs="Arial" w:eastAsia="Arial" w:hAnsi="Arial"/>
          <w:sz w:val="13"/>
          <w:szCs w:val="13"/>
          <w:b w:val="1"/>
          <w:bCs w:val="1"/>
          <w:u w:val="single" w:color="auto"/>
          <w:color w:val="0000EE"/>
        </w:rPr>
      </w:pPr>
      <w:r>
        <w:rPr>
          <w:rFonts w:ascii="Arial" w:cs="Arial" w:eastAsia="Arial" w:hAnsi="Arial"/>
          <w:sz w:val="13"/>
          <w:szCs w:val="13"/>
          <w:b w:val="1"/>
          <w:bCs w:val="1"/>
          <w:u w:val="single" w:color="auto"/>
          <w:color w:val="0000EE"/>
        </w:rPr>
        <w:drawing>
          <wp:anchor simplePos="0" relativeHeight="251657728" behindDoc="1" locked="0" layoutInCell="0" allowOverlap="1">
            <wp:simplePos x="0" y="0"/>
            <wp:positionH relativeFrom="page">
              <wp:posOffset>133350</wp:posOffset>
            </wp:positionH>
            <wp:positionV relativeFrom="page">
              <wp:posOffset>88900</wp:posOffset>
            </wp:positionV>
            <wp:extent cx="7308850" cy="342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308850" cy="34290"/>
                    </a:xfrm>
                    <a:prstGeom prst="rect">
                      <a:avLst/>
                    </a:prstGeom>
                    <a:noFill/>
                  </pic:spPr>
                </pic:pic>
              </a:graphicData>
            </a:graphic>
          </wp:anchor>
        </w:drawing>
      </w:r>
      <w:hyperlink w:anchor="page7">
        <w:r>
          <w:rPr>
            <w:rFonts w:ascii="Arial" w:cs="Arial" w:eastAsia="Arial" w:hAnsi="Arial"/>
            <w:sz w:val="13"/>
            <w:szCs w:val="13"/>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1196975</wp:posOffset>
            </wp:positionH>
            <wp:positionV relativeFrom="paragraph">
              <wp:posOffset>186055</wp:posOffset>
            </wp:positionV>
            <wp:extent cx="4869815" cy="63455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4869815" cy="6345555"/>
                    </a:xfrm>
                    <a:prstGeom prst="rect">
                      <a:avLst/>
                    </a:prstGeom>
                    <a:noFill/>
                  </pic:spPr>
                </pic:pic>
              </a:graphicData>
            </a:graphic>
          </wp:anchor>
        </w:drawing>
      </w:r>
    </w:p>
    <w:p>
      <w:pPr>
        <w:sectPr>
          <w:pgSz w:w="11900" w:h="16838" w:orient="portrait"/>
          <w:cols w:equalWidth="0" w:num="1">
            <w:col w:w="10219"/>
          </w:cols>
          <w:pgMar w:left="240" w:top="407" w:right="1440" w:bottom="1440" w:gutter="0" w:footer="0" w:header="0"/>
        </w:sectPr>
      </w:pPr>
    </w:p>
    <w:bookmarkStart w:id="102" w:name="page103"/>
    <w:bookmarkEnd w:id="102"/>
    <w:p>
      <w:pPr>
        <w:spacing w:after="0"/>
        <w:rPr>
          <w:rFonts w:ascii="Arial" w:cs="Arial" w:eastAsia="Arial" w:hAnsi="Arial"/>
          <w:sz w:val="13"/>
          <w:szCs w:val="13"/>
          <w:b w:val="1"/>
          <w:bCs w:val="1"/>
          <w:u w:val="single" w:color="auto"/>
          <w:color w:val="0000EE"/>
        </w:rPr>
      </w:pPr>
      <w:r>
        <w:rPr>
          <w:rFonts w:ascii="Arial" w:cs="Arial" w:eastAsia="Arial" w:hAnsi="Arial"/>
          <w:sz w:val="13"/>
          <w:szCs w:val="13"/>
          <w:b w:val="1"/>
          <w:bCs w:val="1"/>
          <w:u w:val="single" w:color="auto"/>
          <w:color w:val="0000EE"/>
        </w:rPr>
        <w:drawing>
          <wp:anchor simplePos="0" relativeHeight="251657728" behindDoc="1" locked="0" layoutInCell="0" allowOverlap="1">
            <wp:simplePos x="0" y="0"/>
            <wp:positionH relativeFrom="page">
              <wp:posOffset>133350</wp:posOffset>
            </wp:positionH>
            <wp:positionV relativeFrom="page">
              <wp:posOffset>88900</wp:posOffset>
            </wp:positionV>
            <wp:extent cx="7308850" cy="342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308850" cy="34290"/>
                    </a:xfrm>
                    <a:prstGeom prst="rect">
                      <a:avLst/>
                    </a:prstGeom>
                    <a:noFill/>
                  </pic:spPr>
                </pic:pic>
              </a:graphicData>
            </a:graphic>
          </wp:anchor>
        </w:drawing>
      </w:r>
      <w:hyperlink w:anchor="page7">
        <w:r>
          <w:rPr>
            <w:rFonts w:ascii="Arial" w:cs="Arial" w:eastAsia="Arial" w:hAnsi="Arial"/>
            <w:sz w:val="13"/>
            <w:szCs w:val="13"/>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709930</wp:posOffset>
            </wp:positionH>
            <wp:positionV relativeFrom="paragraph">
              <wp:posOffset>186055</wp:posOffset>
            </wp:positionV>
            <wp:extent cx="5385435" cy="70186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5385435" cy="7018655"/>
                    </a:xfrm>
                    <a:prstGeom prst="rect">
                      <a:avLst/>
                    </a:prstGeom>
                    <a:noFill/>
                  </pic:spPr>
                </pic:pic>
              </a:graphicData>
            </a:graphic>
          </wp:anchor>
        </w:drawing>
      </w:r>
    </w:p>
    <w:p>
      <w:pPr>
        <w:sectPr>
          <w:pgSz w:w="11900" w:h="16838" w:orient="portrait"/>
          <w:cols w:equalWidth="0" w:num="1">
            <w:col w:w="10219"/>
          </w:cols>
          <w:pgMar w:left="240" w:top="407" w:right="1440" w:bottom="1440" w:gutter="0" w:footer="0" w:header="0"/>
        </w:sectPr>
      </w:pPr>
    </w:p>
    <w:bookmarkStart w:id="103" w:name="page104"/>
    <w:bookmarkEnd w:id="103"/>
    <w:p>
      <w:pPr>
        <w:spacing w:after="0"/>
        <w:rPr>
          <w:rFonts w:ascii="Arial" w:cs="Arial" w:eastAsia="Arial" w:hAnsi="Arial"/>
          <w:sz w:val="13"/>
          <w:szCs w:val="13"/>
          <w:b w:val="1"/>
          <w:bCs w:val="1"/>
          <w:u w:val="single" w:color="auto"/>
          <w:color w:val="0000EE"/>
        </w:rPr>
      </w:pPr>
      <w:r>
        <w:rPr>
          <w:rFonts w:ascii="Arial" w:cs="Arial" w:eastAsia="Arial" w:hAnsi="Arial"/>
          <w:sz w:val="13"/>
          <w:szCs w:val="13"/>
          <w:b w:val="1"/>
          <w:bCs w:val="1"/>
          <w:u w:val="single" w:color="auto"/>
          <w:color w:val="0000EE"/>
        </w:rPr>
        <w:drawing>
          <wp:anchor simplePos="0" relativeHeight="251657728" behindDoc="1" locked="0" layoutInCell="0" allowOverlap="1">
            <wp:simplePos x="0" y="0"/>
            <wp:positionH relativeFrom="page">
              <wp:posOffset>133350</wp:posOffset>
            </wp:positionH>
            <wp:positionV relativeFrom="page">
              <wp:posOffset>88900</wp:posOffset>
            </wp:positionV>
            <wp:extent cx="7308850" cy="342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308850" cy="34290"/>
                    </a:xfrm>
                    <a:prstGeom prst="rect">
                      <a:avLst/>
                    </a:prstGeom>
                    <a:noFill/>
                  </pic:spPr>
                </pic:pic>
              </a:graphicData>
            </a:graphic>
          </wp:anchor>
        </w:drawing>
      </w:r>
      <w:hyperlink w:anchor="page7">
        <w:r>
          <w:rPr>
            <w:rFonts w:ascii="Arial" w:cs="Arial" w:eastAsia="Arial" w:hAnsi="Arial"/>
            <w:sz w:val="13"/>
            <w:szCs w:val="13"/>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709930</wp:posOffset>
            </wp:positionH>
            <wp:positionV relativeFrom="paragraph">
              <wp:posOffset>186055</wp:posOffset>
            </wp:positionV>
            <wp:extent cx="5385435" cy="70186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5385435" cy="7018655"/>
                    </a:xfrm>
                    <a:prstGeom prst="rect">
                      <a:avLst/>
                    </a:prstGeom>
                    <a:noFill/>
                  </pic:spPr>
                </pic:pic>
              </a:graphicData>
            </a:graphic>
          </wp:anchor>
        </w:drawing>
      </w:r>
    </w:p>
    <w:p>
      <w:pPr>
        <w:sectPr>
          <w:pgSz w:w="11900" w:h="16838" w:orient="portrait"/>
          <w:cols w:equalWidth="0" w:num="1">
            <w:col w:w="10219"/>
          </w:cols>
          <w:pgMar w:left="240" w:top="407" w:right="1440" w:bottom="1440" w:gutter="0" w:footer="0" w:header="0"/>
        </w:sectPr>
      </w:pPr>
    </w:p>
    <w:bookmarkStart w:id="104" w:name="page105"/>
    <w:bookmarkEnd w:id="104"/>
    <w:p>
      <w:pPr>
        <w:spacing w:after="0"/>
        <w:rPr>
          <w:rFonts w:ascii="Arial" w:cs="Arial" w:eastAsia="Arial" w:hAnsi="Arial"/>
          <w:sz w:val="13"/>
          <w:szCs w:val="13"/>
          <w:b w:val="1"/>
          <w:bCs w:val="1"/>
          <w:u w:val="single" w:color="auto"/>
          <w:color w:val="0000EE"/>
        </w:rPr>
      </w:pPr>
      <w:r>
        <w:rPr>
          <w:rFonts w:ascii="Arial" w:cs="Arial" w:eastAsia="Arial" w:hAnsi="Arial"/>
          <w:sz w:val="13"/>
          <w:szCs w:val="13"/>
          <w:b w:val="1"/>
          <w:bCs w:val="1"/>
          <w:u w:val="single" w:color="auto"/>
          <w:color w:val="0000EE"/>
        </w:rPr>
        <w:drawing>
          <wp:anchor simplePos="0" relativeHeight="251657728" behindDoc="1" locked="0" layoutInCell="0" allowOverlap="1">
            <wp:simplePos x="0" y="0"/>
            <wp:positionH relativeFrom="page">
              <wp:posOffset>133350</wp:posOffset>
            </wp:positionH>
            <wp:positionV relativeFrom="page">
              <wp:posOffset>88900</wp:posOffset>
            </wp:positionV>
            <wp:extent cx="7308850" cy="342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308850" cy="34290"/>
                    </a:xfrm>
                    <a:prstGeom prst="rect">
                      <a:avLst/>
                    </a:prstGeom>
                    <a:noFill/>
                  </pic:spPr>
                </pic:pic>
              </a:graphicData>
            </a:graphic>
          </wp:anchor>
        </w:drawing>
      </w:r>
      <w:hyperlink w:anchor="page7">
        <w:r>
          <w:rPr>
            <w:rFonts w:ascii="Arial" w:cs="Arial" w:eastAsia="Arial" w:hAnsi="Arial"/>
            <w:sz w:val="13"/>
            <w:szCs w:val="13"/>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709930</wp:posOffset>
            </wp:positionH>
            <wp:positionV relativeFrom="paragraph">
              <wp:posOffset>186055</wp:posOffset>
            </wp:positionV>
            <wp:extent cx="5385435" cy="70186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5385435" cy="7018655"/>
                    </a:xfrm>
                    <a:prstGeom prst="rect">
                      <a:avLst/>
                    </a:prstGeom>
                    <a:noFill/>
                  </pic:spPr>
                </pic:pic>
              </a:graphicData>
            </a:graphic>
          </wp:anchor>
        </w:drawing>
      </w:r>
    </w:p>
    <w:p>
      <w:pPr>
        <w:sectPr>
          <w:pgSz w:w="11900" w:h="16838" w:orient="portrait"/>
          <w:cols w:equalWidth="0" w:num="1">
            <w:col w:w="10219"/>
          </w:cols>
          <w:pgMar w:left="240" w:top="407" w:right="1440" w:bottom="1440" w:gutter="0" w:footer="0" w:header="0"/>
        </w:sectPr>
      </w:pPr>
    </w:p>
    <w:bookmarkStart w:id="105" w:name="page106"/>
    <w:bookmarkEnd w:id="105"/>
    <w:p>
      <w:pPr>
        <w:spacing w:after="0"/>
        <w:rPr>
          <w:rFonts w:ascii="Arial" w:cs="Arial" w:eastAsia="Arial" w:hAnsi="Arial"/>
          <w:sz w:val="13"/>
          <w:szCs w:val="13"/>
          <w:b w:val="1"/>
          <w:bCs w:val="1"/>
          <w:u w:val="single" w:color="auto"/>
          <w:color w:val="0000EE"/>
        </w:rPr>
      </w:pPr>
      <w:r>
        <w:rPr>
          <w:rFonts w:ascii="Arial" w:cs="Arial" w:eastAsia="Arial" w:hAnsi="Arial"/>
          <w:sz w:val="13"/>
          <w:szCs w:val="13"/>
          <w:b w:val="1"/>
          <w:bCs w:val="1"/>
          <w:u w:val="single" w:color="auto"/>
          <w:color w:val="0000EE"/>
        </w:rPr>
        <w:drawing>
          <wp:anchor simplePos="0" relativeHeight="251657728" behindDoc="1" locked="0" layoutInCell="0" allowOverlap="1">
            <wp:simplePos x="0" y="0"/>
            <wp:positionH relativeFrom="page">
              <wp:posOffset>133350</wp:posOffset>
            </wp:positionH>
            <wp:positionV relativeFrom="page">
              <wp:posOffset>88900</wp:posOffset>
            </wp:positionV>
            <wp:extent cx="7308850" cy="342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308850" cy="34290"/>
                    </a:xfrm>
                    <a:prstGeom prst="rect">
                      <a:avLst/>
                    </a:prstGeom>
                    <a:noFill/>
                  </pic:spPr>
                </pic:pic>
              </a:graphicData>
            </a:graphic>
          </wp:anchor>
        </w:drawing>
      </w:r>
      <w:hyperlink w:anchor="page7">
        <w:r>
          <w:rPr>
            <w:rFonts w:ascii="Arial" w:cs="Arial" w:eastAsia="Arial" w:hAnsi="Arial"/>
            <w:sz w:val="13"/>
            <w:szCs w:val="13"/>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709930</wp:posOffset>
            </wp:positionH>
            <wp:positionV relativeFrom="paragraph">
              <wp:posOffset>186055</wp:posOffset>
            </wp:positionV>
            <wp:extent cx="5385435" cy="70186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5385435" cy="7018655"/>
                    </a:xfrm>
                    <a:prstGeom prst="rect">
                      <a:avLst/>
                    </a:prstGeom>
                    <a:noFill/>
                  </pic:spPr>
                </pic:pic>
              </a:graphicData>
            </a:graphic>
          </wp:anchor>
        </w:drawing>
      </w:r>
    </w:p>
    <w:p>
      <w:pPr>
        <w:sectPr>
          <w:pgSz w:w="11900" w:h="16838" w:orient="portrait"/>
          <w:cols w:equalWidth="0" w:num="1">
            <w:col w:w="10219"/>
          </w:cols>
          <w:pgMar w:left="240" w:top="407" w:right="1440" w:bottom="1440" w:gutter="0" w:footer="0" w:header="0"/>
        </w:sectPr>
      </w:pPr>
    </w:p>
    <w:bookmarkStart w:id="106" w:name="page107"/>
    <w:bookmarkEnd w:id="106"/>
    <w:p>
      <w:pPr>
        <w:spacing w:after="0"/>
        <w:rPr>
          <w:rFonts w:ascii="Arial" w:cs="Arial" w:eastAsia="Arial" w:hAnsi="Arial"/>
          <w:sz w:val="13"/>
          <w:szCs w:val="13"/>
          <w:b w:val="1"/>
          <w:bCs w:val="1"/>
          <w:u w:val="single" w:color="auto"/>
          <w:color w:val="0000EE"/>
        </w:rPr>
      </w:pPr>
      <w:r>
        <w:rPr>
          <w:rFonts w:ascii="Arial" w:cs="Arial" w:eastAsia="Arial" w:hAnsi="Arial"/>
          <w:sz w:val="13"/>
          <w:szCs w:val="13"/>
          <w:b w:val="1"/>
          <w:bCs w:val="1"/>
          <w:u w:val="single" w:color="auto"/>
          <w:color w:val="0000EE"/>
        </w:rPr>
        <w:drawing>
          <wp:anchor simplePos="0" relativeHeight="251657728" behindDoc="1" locked="0" layoutInCell="0" allowOverlap="1">
            <wp:simplePos x="0" y="0"/>
            <wp:positionH relativeFrom="page">
              <wp:posOffset>133350</wp:posOffset>
            </wp:positionH>
            <wp:positionV relativeFrom="page">
              <wp:posOffset>88900</wp:posOffset>
            </wp:positionV>
            <wp:extent cx="7308850" cy="342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308850" cy="34290"/>
                    </a:xfrm>
                    <a:prstGeom prst="rect">
                      <a:avLst/>
                    </a:prstGeom>
                    <a:noFill/>
                  </pic:spPr>
                </pic:pic>
              </a:graphicData>
            </a:graphic>
          </wp:anchor>
        </w:drawing>
      </w:r>
      <w:hyperlink w:anchor="page7">
        <w:r>
          <w:rPr>
            <w:rFonts w:ascii="Arial" w:cs="Arial" w:eastAsia="Arial" w:hAnsi="Arial"/>
            <w:sz w:val="13"/>
            <w:szCs w:val="13"/>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1196975</wp:posOffset>
            </wp:positionH>
            <wp:positionV relativeFrom="paragraph">
              <wp:posOffset>186055</wp:posOffset>
            </wp:positionV>
            <wp:extent cx="4869815" cy="63455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4869815" cy="6345555"/>
                    </a:xfrm>
                    <a:prstGeom prst="rect">
                      <a:avLst/>
                    </a:prstGeom>
                    <a:noFill/>
                  </pic:spPr>
                </pic:pic>
              </a:graphicData>
            </a:graphic>
          </wp:anchor>
        </w:drawing>
      </w:r>
    </w:p>
    <w:p>
      <w:pPr>
        <w:sectPr>
          <w:pgSz w:w="11900" w:h="16838" w:orient="portrait"/>
          <w:cols w:equalWidth="0" w:num="1">
            <w:col w:w="10219"/>
          </w:cols>
          <w:pgMar w:left="240" w:top="407" w:right="1440" w:bottom="1440" w:gutter="0" w:footer="0" w:header="0"/>
        </w:sectPr>
      </w:pPr>
    </w:p>
    <w:bookmarkStart w:id="107" w:name="page108"/>
    <w:bookmarkEnd w:id="107"/>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133350</wp:posOffset>
            </wp:positionH>
            <wp:positionV relativeFrom="page">
              <wp:posOffset>88900</wp:posOffset>
            </wp:positionV>
            <wp:extent cx="7308850" cy="342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308850" cy="34290"/>
                    </a:xfrm>
                    <a:prstGeom prst="rect">
                      <a:avLst/>
                    </a:prstGeom>
                    <a:noFill/>
                  </pic:spPr>
                </pic:pic>
              </a:graphicData>
            </a:graphic>
          </wp:anchor>
        </w:drawing>
      </w:r>
      <w:hyperlink w:anchor="page7">
        <w:r>
          <w:rPr>
            <w:rFonts w:ascii="Arial" w:cs="Arial" w:eastAsia="Arial" w:hAnsi="Arial"/>
            <w:sz w:val="15"/>
            <w:szCs w:val="15"/>
            <w:b w:val="1"/>
            <w:bCs w:val="1"/>
            <w:u w:val="single" w:color="auto"/>
            <w:color w:val="0000EE"/>
          </w:rPr>
          <w:t>Table of Contents</w:t>
        </w:r>
      </w:hyperlink>
    </w:p>
    <w:p>
      <w:pPr>
        <w:spacing w:after="0" w:line="256" w:lineRule="exact"/>
        <w:rPr>
          <w:sz w:val="20"/>
          <w:szCs w:val="20"/>
          <w:color w:val="auto"/>
        </w:rPr>
      </w:pPr>
    </w:p>
    <w:p>
      <w:pPr>
        <w:ind w:left="5360"/>
        <w:spacing w:after="0"/>
        <w:rPr>
          <w:sz w:val="20"/>
          <w:szCs w:val="20"/>
          <w:color w:val="auto"/>
        </w:rPr>
      </w:pPr>
      <w:r>
        <w:rPr>
          <w:rFonts w:ascii="Arial" w:cs="Arial" w:eastAsia="Arial" w:hAnsi="Arial"/>
          <w:sz w:val="15"/>
          <w:szCs w:val="15"/>
          <w:b w:val="1"/>
          <w:bCs w:val="1"/>
          <w:color w:val="auto"/>
        </w:rPr>
        <w:t>BUSINESS</w:t>
      </w:r>
    </w:p>
    <w:p>
      <w:pPr>
        <w:spacing w:after="0" w:line="188" w:lineRule="exact"/>
        <w:rPr>
          <w:sz w:val="20"/>
          <w:szCs w:val="20"/>
          <w:color w:val="auto"/>
        </w:rPr>
      </w:pPr>
    </w:p>
    <w:p>
      <w:pPr>
        <w:ind w:left="1120"/>
        <w:spacing w:after="0"/>
        <w:rPr>
          <w:sz w:val="20"/>
          <w:szCs w:val="20"/>
          <w:color w:val="auto"/>
        </w:rPr>
      </w:pPr>
      <w:r>
        <w:rPr>
          <w:rFonts w:ascii="Arial" w:cs="Arial" w:eastAsia="Arial" w:hAnsi="Arial"/>
          <w:sz w:val="15"/>
          <w:szCs w:val="15"/>
          <w:b w:val="1"/>
          <w:bCs w:val="1"/>
          <w:color w:val="auto"/>
        </w:rPr>
        <w:t>Our Business</w:t>
      </w:r>
    </w:p>
    <w:p>
      <w:pPr>
        <w:spacing w:after="0" w:line="102" w:lineRule="exact"/>
        <w:rPr>
          <w:sz w:val="20"/>
          <w:szCs w:val="20"/>
          <w:color w:val="auto"/>
        </w:rPr>
      </w:pPr>
    </w:p>
    <w:p>
      <w:pPr>
        <w:ind w:left="1120" w:right="120" w:firstLine="368"/>
        <w:spacing w:after="0" w:line="263" w:lineRule="auto"/>
        <w:rPr>
          <w:sz w:val="20"/>
          <w:szCs w:val="20"/>
          <w:color w:val="auto"/>
        </w:rPr>
      </w:pPr>
      <w:r>
        <w:rPr>
          <w:rFonts w:ascii="Arial" w:cs="Arial" w:eastAsia="Arial" w:hAnsi="Arial"/>
          <w:sz w:val="15"/>
          <w:szCs w:val="15"/>
          <w:color w:val="auto"/>
        </w:rPr>
        <w:t>Our modern economy runs on knowledge. Today, knowledge lives in the cloud as digital content, and Dropbox is a global collaboration platform where more and more of this content is created, accessed, and shared with the world. We serve more than 500 million registered users across 180 countries.</w:t>
      </w:r>
    </w:p>
    <w:p>
      <w:pPr>
        <w:spacing w:after="0" w:line="155" w:lineRule="exact"/>
        <w:rPr>
          <w:sz w:val="20"/>
          <w:szCs w:val="20"/>
          <w:color w:val="auto"/>
        </w:rPr>
      </w:pPr>
    </w:p>
    <w:p>
      <w:pPr>
        <w:jc w:val="both"/>
        <w:ind w:left="1120" w:right="160" w:firstLine="368"/>
        <w:spacing w:after="0" w:line="263" w:lineRule="auto"/>
        <w:rPr>
          <w:sz w:val="20"/>
          <w:szCs w:val="20"/>
          <w:color w:val="auto"/>
        </w:rPr>
      </w:pPr>
      <w:r>
        <w:rPr>
          <w:rFonts w:ascii="Arial" w:cs="Arial" w:eastAsia="Arial" w:hAnsi="Arial"/>
          <w:sz w:val="15"/>
          <w:szCs w:val="15"/>
          <w:color w:val="auto"/>
        </w:rPr>
        <w:t>Dropbox was founded in 2007 with a simple idea: Life would be a lot better if everyone could access their most important information anytime from any device. Over the past decade, we’ve largely accomplished that mission—but along the way we recognized that for most of our users, sharing and collaborating on Dropbox was even more valuable than storing files.</w:t>
      </w:r>
    </w:p>
    <w:p>
      <w:pPr>
        <w:spacing w:after="0" w:line="155" w:lineRule="exact"/>
        <w:rPr>
          <w:sz w:val="20"/>
          <w:szCs w:val="20"/>
          <w:color w:val="auto"/>
        </w:rPr>
      </w:pPr>
    </w:p>
    <w:p>
      <w:pPr>
        <w:ind w:left="1120" w:right="140" w:firstLine="368"/>
        <w:spacing w:after="0" w:line="263" w:lineRule="auto"/>
        <w:rPr>
          <w:sz w:val="20"/>
          <w:szCs w:val="20"/>
          <w:color w:val="auto"/>
        </w:rPr>
      </w:pPr>
      <w:r>
        <w:rPr>
          <w:rFonts w:ascii="Arial" w:cs="Arial" w:eastAsia="Arial" w:hAnsi="Arial"/>
          <w:sz w:val="15"/>
          <w:szCs w:val="15"/>
          <w:color w:val="auto"/>
        </w:rPr>
        <w:t>Our market opportunity has grown as we’ve expanded from keeping files in sync to keeping teams in sync. Today, Dropbox is well positioned to reimagine the way work gets done. We’re focused on reducing the inordinate amount of time and energy the world wastes on “work about work”— tedious tasks like searching for content, switching between applications, and managing workflows.</w:t>
      </w:r>
    </w:p>
    <w:p>
      <w:pPr>
        <w:spacing w:after="0" w:line="155" w:lineRule="exact"/>
        <w:rPr>
          <w:sz w:val="20"/>
          <w:szCs w:val="20"/>
          <w:color w:val="auto"/>
        </w:rPr>
      </w:pPr>
    </w:p>
    <w:p>
      <w:pPr>
        <w:ind w:left="1120" w:right="160" w:firstLine="368"/>
        <w:spacing w:after="0" w:line="275" w:lineRule="auto"/>
        <w:rPr>
          <w:sz w:val="20"/>
          <w:szCs w:val="20"/>
          <w:color w:val="auto"/>
        </w:rPr>
      </w:pPr>
      <w:r>
        <w:rPr>
          <w:rFonts w:ascii="Arial" w:cs="Arial" w:eastAsia="Arial" w:hAnsi="Arial"/>
          <w:sz w:val="15"/>
          <w:szCs w:val="15"/>
          <w:color w:val="auto"/>
        </w:rPr>
        <w:t>We want to free up our users to spend more of their time on the work that truly matters. Our mission is to unleash the world’s creative energy by designing a more enlightened way of working.</w:t>
      </w:r>
    </w:p>
    <w:p>
      <w:pPr>
        <w:spacing w:after="0" w:line="146" w:lineRule="exact"/>
        <w:rPr>
          <w:sz w:val="20"/>
          <w:szCs w:val="20"/>
          <w:color w:val="auto"/>
        </w:rPr>
      </w:pPr>
    </w:p>
    <w:p>
      <w:pPr>
        <w:jc w:val="both"/>
        <w:ind w:left="1120" w:right="80" w:firstLine="368"/>
        <w:spacing w:after="0" w:line="263" w:lineRule="auto"/>
        <w:rPr>
          <w:sz w:val="20"/>
          <w:szCs w:val="20"/>
          <w:color w:val="auto"/>
        </w:rPr>
      </w:pPr>
      <w:r>
        <w:rPr>
          <w:rFonts w:ascii="Arial" w:cs="Arial" w:eastAsia="Arial" w:hAnsi="Arial"/>
          <w:sz w:val="15"/>
          <w:szCs w:val="15"/>
          <w:color w:val="auto"/>
        </w:rPr>
        <w:t>We believe the need for our platform will continue to grow as teams become more fluid and global, and content is increasingly fragmented across incompatible tools and devices. Dropbox breaks down silos by centralizing the flow of information between the products and services our users prefer, even if they’re not our own.</w:t>
      </w:r>
    </w:p>
    <w:p>
      <w:pPr>
        <w:spacing w:after="0" w:line="155" w:lineRule="exact"/>
        <w:rPr>
          <w:sz w:val="20"/>
          <w:szCs w:val="20"/>
          <w:color w:val="auto"/>
        </w:rPr>
      </w:pPr>
    </w:p>
    <w:p>
      <w:pPr>
        <w:ind w:left="1120" w:firstLine="368"/>
        <w:spacing w:after="0" w:line="275" w:lineRule="auto"/>
        <w:rPr>
          <w:sz w:val="20"/>
          <w:szCs w:val="20"/>
          <w:color w:val="auto"/>
        </w:rPr>
      </w:pPr>
      <w:r>
        <w:rPr>
          <w:rFonts w:ascii="Arial" w:cs="Arial" w:eastAsia="Arial" w:hAnsi="Arial"/>
          <w:sz w:val="15"/>
          <w:szCs w:val="15"/>
          <w:color w:val="auto"/>
        </w:rPr>
        <w:t>By solving these universal problems, we’ve become invaluable to our users. The popularity of our platform drives viral growth, which has allowed us to scale rapidly and efficiently. We’ve built a thriving global business with over 11 million paying users.</w:t>
      </w:r>
    </w:p>
    <w:p>
      <w:pPr>
        <w:spacing w:after="0" w:line="146" w:lineRule="exact"/>
        <w:rPr>
          <w:sz w:val="20"/>
          <w:szCs w:val="20"/>
          <w:color w:val="auto"/>
        </w:rPr>
      </w:pPr>
    </w:p>
    <w:p>
      <w:pPr>
        <w:ind w:left="1120" w:right="80" w:firstLine="368"/>
        <w:spacing w:after="0" w:line="259" w:lineRule="auto"/>
        <w:rPr>
          <w:sz w:val="20"/>
          <w:szCs w:val="20"/>
          <w:color w:val="auto"/>
        </w:rPr>
      </w:pPr>
      <w:r>
        <w:rPr>
          <w:rFonts w:ascii="Arial" w:cs="Arial" w:eastAsia="Arial" w:hAnsi="Arial"/>
          <w:sz w:val="15"/>
          <w:szCs w:val="15"/>
          <w:color w:val="auto"/>
        </w:rPr>
        <w:t>Our revenue was $603.8 million, $844.8 million, and $1,106.8 million in 2015, 2016, and 2017, respectively, representing an annual growth rate of 40% and 31%, respectively. We generated net losses of $325.9 million, $210.2 million, and $111.7 million in 2015, 2016, and 2017, respectively. We also generated positive free cash flow of $137.4 million and $305.0 million in 2016 and 2017, respectively, compared to negative free cash flow of $63.9 million in 2015.</w:t>
      </w:r>
    </w:p>
    <w:p>
      <w:pPr>
        <w:spacing w:after="0" w:line="244" w:lineRule="exact"/>
        <w:rPr>
          <w:sz w:val="20"/>
          <w:szCs w:val="20"/>
          <w:color w:val="auto"/>
        </w:rPr>
      </w:pPr>
    </w:p>
    <w:p>
      <w:pPr>
        <w:ind w:left="1120"/>
        <w:spacing w:after="0"/>
        <w:rPr>
          <w:sz w:val="20"/>
          <w:szCs w:val="20"/>
          <w:color w:val="auto"/>
        </w:rPr>
      </w:pPr>
      <w:r>
        <w:rPr>
          <w:rFonts w:ascii="Arial" w:cs="Arial" w:eastAsia="Arial" w:hAnsi="Arial"/>
          <w:sz w:val="15"/>
          <w:szCs w:val="15"/>
          <w:b w:val="1"/>
          <w:bCs w:val="1"/>
          <w:color w:val="auto"/>
        </w:rPr>
        <w:t>Our Users</w:t>
      </w:r>
    </w:p>
    <w:p>
      <w:pPr>
        <w:spacing w:after="0" w:line="102" w:lineRule="exact"/>
        <w:rPr>
          <w:sz w:val="20"/>
          <w:szCs w:val="20"/>
          <w:color w:val="auto"/>
        </w:rPr>
      </w:pPr>
    </w:p>
    <w:p>
      <w:pPr>
        <w:ind w:left="1120" w:right="60" w:firstLine="368"/>
        <w:spacing w:after="0" w:line="275" w:lineRule="auto"/>
        <w:rPr>
          <w:sz w:val="20"/>
          <w:szCs w:val="20"/>
          <w:color w:val="auto"/>
        </w:rPr>
      </w:pPr>
      <w:r>
        <w:rPr>
          <w:rFonts w:ascii="Arial" w:cs="Arial" w:eastAsia="Arial" w:hAnsi="Arial"/>
          <w:sz w:val="15"/>
          <w:szCs w:val="15"/>
          <w:color w:val="auto"/>
        </w:rPr>
        <w:t>We’re constantly inspired by the diverse ways people use Dropbox to bring their ideas to life and achieve their missions faster. Here are just a few examples:</w:t>
      </w:r>
    </w:p>
    <w:p>
      <w:pPr>
        <w:spacing w:after="0" w:line="67" w:lineRule="exact"/>
        <w:rPr>
          <w:sz w:val="20"/>
          <w:szCs w:val="20"/>
          <w:color w:val="auto"/>
        </w:rPr>
      </w:pPr>
    </w:p>
    <w:p>
      <w:pPr>
        <w:ind w:left="1840" w:hanging="276"/>
        <w:spacing w:after="0"/>
        <w:tabs>
          <w:tab w:leader="none" w:pos="1840" w:val="left"/>
        </w:tabs>
        <w:numPr>
          <w:ilvl w:val="0"/>
          <w:numId w:val="45"/>
        </w:numPr>
        <w:rPr>
          <w:rFonts w:ascii="Arial" w:cs="Arial" w:eastAsia="Arial" w:hAnsi="Arial"/>
          <w:sz w:val="15"/>
          <w:szCs w:val="15"/>
          <w:color w:val="auto"/>
        </w:rPr>
      </w:pPr>
      <w:r>
        <w:rPr>
          <w:rFonts w:ascii="Arial" w:cs="Arial" w:eastAsia="Arial" w:hAnsi="Arial"/>
          <w:sz w:val="15"/>
          <w:szCs w:val="15"/>
          <w:color w:val="auto"/>
        </w:rPr>
        <w:t>Nobel Prize-winning researchers sync data with collaborators to speed development of new scientific breakthroughs.</w:t>
      </w:r>
    </w:p>
    <w:p>
      <w:pPr>
        <w:spacing w:after="0" w:line="109" w:lineRule="exact"/>
        <w:rPr>
          <w:rFonts w:ascii="Arial" w:cs="Arial" w:eastAsia="Arial" w:hAnsi="Arial"/>
          <w:sz w:val="15"/>
          <w:szCs w:val="15"/>
          <w:color w:val="auto"/>
        </w:rPr>
      </w:pPr>
    </w:p>
    <w:p>
      <w:pPr>
        <w:ind w:left="1840" w:hanging="276"/>
        <w:spacing w:after="0"/>
        <w:tabs>
          <w:tab w:leader="none" w:pos="1840" w:val="left"/>
        </w:tabs>
        <w:numPr>
          <w:ilvl w:val="0"/>
          <w:numId w:val="45"/>
        </w:numPr>
        <w:rPr>
          <w:rFonts w:ascii="Arial" w:cs="Arial" w:eastAsia="Arial" w:hAnsi="Arial"/>
          <w:sz w:val="15"/>
          <w:szCs w:val="15"/>
          <w:color w:val="auto"/>
        </w:rPr>
      </w:pPr>
      <w:r>
        <w:rPr>
          <w:rFonts w:ascii="Arial" w:cs="Arial" w:eastAsia="Arial" w:hAnsi="Arial"/>
          <w:sz w:val="15"/>
          <w:szCs w:val="15"/>
          <w:color w:val="auto"/>
        </w:rPr>
        <w:t>Designers for a sustainable apparel company iterate on new designs and coordinate store openings.</w:t>
      </w:r>
    </w:p>
    <w:p>
      <w:pPr>
        <w:spacing w:after="0" w:line="109" w:lineRule="exact"/>
        <w:rPr>
          <w:rFonts w:ascii="Arial" w:cs="Arial" w:eastAsia="Arial" w:hAnsi="Arial"/>
          <w:sz w:val="15"/>
          <w:szCs w:val="15"/>
          <w:color w:val="auto"/>
        </w:rPr>
      </w:pPr>
    </w:p>
    <w:p>
      <w:pPr>
        <w:ind w:left="1840" w:hanging="276"/>
        <w:spacing w:after="0"/>
        <w:tabs>
          <w:tab w:leader="none" w:pos="1840" w:val="left"/>
        </w:tabs>
        <w:numPr>
          <w:ilvl w:val="0"/>
          <w:numId w:val="45"/>
        </w:numPr>
        <w:rPr>
          <w:rFonts w:ascii="Arial" w:cs="Arial" w:eastAsia="Arial" w:hAnsi="Arial"/>
          <w:sz w:val="15"/>
          <w:szCs w:val="15"/>
          <w:color w:val="auto"/>
        </w:rPr>
      </w:pPr>
      <w:r>
        <w:rPr>
          <w:rFonts w:ascii="Arial" w:cs="Arial" w:eastAsia="Arial" w:hAnsi="Arial"/>
          <w:sz w:val="15"/>
          <w:szCs w:val="15"/>
          <w:color w:val="auto"/>
        </w:rPr>
        <w:t>A commercial construction company shares blueprints with subcontractors on job sites and sends bids to prospective clients.</w:t>
      </w:r>
    </w:p>
    <w:p>
      <w:pPr>
        <w:spacing w:after="0" w:line="109" w:lineRule="exact"/>
        <w:rPr>
          <w:rFonts w:ascii="Arial" w:cs="Arial" w:eastAsia="Arial" w:hAnsi="Arial"/>
          <w:sz w:val="15"/>
          <w:szCs w:val="15"/>
          <w:color w:val="auto"/>
        </w:rPr>
      </w:pPr>
    </w:p>
    <w:p>
      <w:pPr>
        <w:ind w:left="1840" w:hanging="276"/>
        <w:spacing w:after="0"/>
        <w:tabs>
          <w:tab w:leader="none" w:pos="1840" w:val="left"/>
        </w:tabs>
        <w:numPr>
          <w:ilvl w:val="0"/>
          <w:numId w:val="45"/>
        </w:numPr>
        <w:rPr>
          <w:rFonts w:ascii="Arial" w:cs="Arial" w:eastAsia="Arial" w:hAnsi="Arial"/>
          <w:sz w:val="15"/>
          <w:szCs w:val="15"/>
          <w:color w:val="auto"/>
        </w:rPr>
      </w:pPr>
      <w:r>
        <w:rPr>
          <w:rFonts w:ascii="Arial" w:cs="Arial" w:eastAsia="Arial" w:hAnsi="Arial"/>
          <w:sz w:val="15"/>
          <w:szCs w:val="15"/>
          <w:color w:val="auto"/>
        </w:rPr>
        <w:t>A Fortune 500 online travel company keeps its global workforce connected with business partners around the world.</w:t>
      </w:r>
    </w:p>
    <w:p>
      <w:pPr>
        <w:spacing w:after="0" w:line="109" w:lineRule="exact"/>
        <w:rPr>
          <w:rFonts w:ascii="Arial" w:cs="Arial" w:eastAsia="Arial" w:hAnsi="Arial"/>
          <w:sz w:val="15"/>
          <w:szCs w:val="15"/>
          <w:color w:val="auto"/>
        </w:rPr>
      </w:pPr>
    </w:p>
    <w:p>
      <w:pPr>
        <w:ind w:left="1840" w:hanging="276"/>
        <w:spacing w:after="0"/>
        <w:tabs>
          <w:tab w:leader="none" w:pos="1840" w:val="left"/>
        </w:tabs>
        <w:numPr>
          <w:ilvl w:val="0"/>
          <w:numId w:val="45"/>
        </w:numPr>
        <w:rPr>
          <w:rFonts w:ascii="Arial" w:cs="Arial" w:eastAsia="Arial" w:hAnsi="Arial"/>
          <w:sz w:val="15"/>
          <w:szCs w:val="15"/>
          <w:color w:val="auto"/>
        </w:rPr>
      </w:pPr>
      <w:r>
        <w:rPr>
          <w:rFonts w:ascii="Arial" w:cs="Arial" w:eastAsia="Arial" w:hAnsi="Arial"/>
          <w:sz w:val="15"/>
          <w:szCs w:val="15"/>
          <w:color w:val="auto"/>
        </w:rPr>
        <w:t>Pro bono lawyers at a refugee assistance organization collect and share information across continents to save lives.</w:t>
      </w:r>
    </w:p>
    <w:p>
      <w:pPr>
        <w:spacing w:after="0" w:line="132" w:lineRule="exact"/>
        <w:rPr>
          <w:sz w:val="20"/>
          <w:szCs w:val="20"/>
          <w:color w:val="auto"/>
        </w:rPr>
      </w:pPr>
    </w:p>
    <w:p>
      <w:pPr>
        <w:ind w:left="5600"/>
        <w:spacing w:after="0"/>
        <w:rPr>
          <w:sz w:val="20"/>
          <w:szCs w:val="20"/>
          <w:color w:val="auto"/>
        </w:rPr>
      </w:pPr>
      <w:r>
        <w:rPr>
          <w:rFonts w:ascii="Arial" w:cs="Arial" w:eastAsia="Arial" w:hAnsi="Arial"/>
          <w:sz w:val="15"/>
          <w:szCs w:val="15"/>
          <w:color w:val="auto"/>
        </w:rPr>
        <w:t>101</w:t>
      </w:r>
    </w:p>
    <w:p>
      <w:pPr>
        <w:sectPr>
          <w:pgSz w:w="11900" w:h="16838" w:orient="portrait"/>
          <w:cols w:equalWidth="0" w:num="1">
            <w:col w:w="10320"/>
          </w:cols>
          <w:pgMar w:left="240" w:top="407" w:right="1339" w:bottom="1440" w:gutter="0" w:footer="0" w:header="0"/>
        </w:sectPr>
      </w:pPr>
    </w:p>
    <w:bookmarkStart w:id="108" w:name="page109"/>
    <w:bookmarkEnd w:id="108"/>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133350</wp:posOffset>
            </wp:positionH>
            <wp:positionV relativeFrom="page">
              <wp:posOffset>88900</wp:posOffset>
            </wp:positionV>
            <wp:extent cx="7308850" cy="342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308850" cy="34290"/>
                    </a:xfrm>
                    <a:prstGeom prst="rect">
                      <a:avLst/>
                    </a:prstGeom>
                    <a:noFill/>
                  </pic:spPr>
                </pic:pic>
              </a:graphicData>
            </a:graphic>
          </wp:anchor>
        </w:drawing>
      </w:r>
      <w:hyperlink w:anchor="page7">
        <w:r>
          <w:rPr>
            <w:rFonts w:ascii="Arial" w:cs="Arial" w:eastAsia="Arial" w:hAnsi="Arial"/>
            <w:sz w:val="15"/>
            <w:szCs w:val="15"/>
            <w:b w:val="1"/>
            <w:bCs w:val="1"/>
            <w:u w:val="single" w:color="auto"/>
            <w:color w:val="0000EE"/>
          </w:rPr>
          <w:t>Table of Contents</w:t>
        </w:r>
      </w:hyperlink>
    </w:p>
    <w:p>
      <w:pPr>
        <w:spacing w:after="0" w:line="256" w:lineRule="exact"/>
        <w:rPr>
          <w:sz w:val="20"/>
          <w:szCs w:val="20"/>
          <w:color w:val="auto"/>
        </w:rPr>
      </w:pPr>
    </w:p>
    <w:p>
      <w:pPr>
        <w:ind w:left="1120"/>
        <w:spacing w:after="0"/>
        <w:rPr>
          <w:sz w:val="20"/>
          <w:szCs w:val="20"/>
          <w:color w:val="auto"/>
        </w:rPr>
      </w:pPr>
      <w:r>
        <w:rPr>
          <w:rFonts w:ascii="Arial" w:cs="Arial" w:eastAsia="Arial" w:hAnsi="Arial"/>
          <w:sz w:val="15"/>
          <w:szCs w:val="15"/>
          <w:b w:val="1"/>
          <w:bCs w:val="1"/>
          <w:color w:val="auto"/>
        </w:rPr>
        <w:t>What Sets Us Apart</w:t>
      </w:r>
    </w:p>
    <w:p>
      <w:pPr>
        <w:spacing w:after="0" w:line="102" w:lineRule="exact"/>
        <w:rPr>
          <w:sz w:val="20"/>
          <w:szCs w:val="20"/>
          <w:color w:val="auto"/>
        </w:rPr>
      </w:pPr>
    </w:p>
    <w:p>
      <w:pPr>
        <w:ind w:left="1120" w:firstLine="368"/>
        <w:spacing w:after="0" w:line="275" w:lineRule="auto"/>
        <w:rPr>
          <w:sz w:val="20"/>
          <w:szCs w:val="20"/>
          <w:color w:val="auto"/>
        </w:rPr>
      </w:pPr>
      <w:r>
        <w:rPr>
          <w:rFonts w:ascii="Arial" w:cs="Arial" w:eastAsia="Arial" w:hAnsi="Arial"/>
          <w:sz w:val="15"/>
          <w:szCs w:val="15"/>
          <w:color w:val="auto"/>
        </w:rPr>
        <w:t>Since the beginning, we’ve focused on simplifying the lives of our users. In a world where business software can be frustrating to use, challenging to integrate, and expensive to sell, we take a different approach.</w:t>
      </w:r>
    </w:p>
    <w:p>
      <w:pPr>
        <w:spacing w:after="0" w:line="146" w:lineRule="exact"/>
        <w:rPr>
          <w:sz w:val="20"/>
          <w:szCs w:val="20"/>
          <w:color w:val="auto"/>
        </w:rPr>
      </w:pPr>
    </w:p>
    <w:p>
      <w:pPr>
        <w:ind w:left="1480"/>
        <w:spacing w:after="0"/>
        <w:rPr>
          <w:sz w:val="20"/>
          <w:szCs w:val="20"/>
          <w:color w:val="auto"/>
        </w:rPr>
      </w:pPr>
      <w:r>
        <w:rPr>
          <w:rFonts w:ascii="Arial" w:cs="Arial" w:eastAsia="Arial" w:hAnsi="Arial"/>
          <w:sz w:val="15"/>
          <w:szCs w:val="15"/>
          <w:b w:val="1"/>
          <w:bCs w:val="1"/>
          <w:i w:val="1"/>
          <w:iCs w:val="1"/>
          <w:color w:val="auto"/>
        </w:rPr>
        <w:t>Simple and intuitive design</w:t>
      </w:r>
    </w:p>
    <w:p>
      <w:pPr>
        <w:spacing w:after="0" w:line="98" w:lineRule="exact"/>
        <w:rPr>
          <w:sz w:val="20"/>
          <w:szCs w:val="20"/>
          <w:color w:val="auto"/>
        </w:rPr>
      </w:pPr>
    </w:p>
    <w:p>
      <w:pPr>
        <w:jc w:val="both"/>
        <w:ind w:left="1120" w:right="60" w:firstLine="368"/>
        <w:spacing w:after="0" w:line="290" w:lineRule="auto"/>
        <w:rPr>
          <w:sz w:val="20"/>
          <w:szCs w:val="20"/>
          <w:color w:val="auto"/>
        </w:rPr>
      </w:pPr>
      <w:r>
        <w:rPr>
          <w:rFonts w:ascii="Arial" w:cs="Arial" w:eastAsia="Arial" w:hAnsi="Arial"/>
          <w:sz w:val="14"/>
          <w:szCs w:val="14"/>
          <w:color w:val="auto"/>
        </w:rPr>
        <w:t>While traditional tools developed in the desktop age have struggled to keep up with evolving user demands, Dropbox was designed for the cloud era. We build simple, beautiful products that bring joy to our users and make it easier for them to do their best work. Unencumbered by legacy features, we can perfect the aspects of our platform that matter most today, such as the mobile experience and the ability to work in teams.</w:t>
      </w:r>
    </w:p>
    <w:p>
      <w:pPr>
        <w:spacing w:after="0" w:line="228" w:lineRule="exact"/>
        <w:rPr>
          <w:sz w:val="20"/>
          <w:szCs w:val="20"/>
          <w:color w:val="auto"/>
        </w:rPr>
      </w:pPr>
    </w:p>
    <w:p>
      <w:pPr>
        <w:ind w:left="1480"/>
        <w:spacing w:after="0"/>
        <w:rPr>
          <w:sz w:val="20"/>
          <w:szCs w:val="20"/>
          <w:color w:val="auto"/>
        </w:rPr>
      </w:pPr>
      <w:r>
        <w:rPr>
          <w:rFonts w:ascii="Arial" w:cs="Arial" w:eastAsia="Arial" w:hAnsi="Arial"/>
          <w:sz w:val="15"/>
          <w:szCs w:val="15"/>
          <w:b w:val="1"/>
          <w:bCs w:val="1"/>
          <w:i w:val="1"/>
          <w:iCs w:val="1"/>
          <w:color w:val="auto"/>
        </w:rPr>
        <w:t>Open ecosystem</w:t>
      </w:r>
    </w:p>
    <w:p>
      <w:pPr>
        <w:spacing w:after="0" w:line="98" w:lineRule="exact"/>
        <w:rPr>
          <w:sz w:val="20"/>
          <w:szCs w:val="20"/>
          <w:color w:val="auto"/>
        </w:rPr>
      </w:pPr>
    </w:p>
    <w:p>
      <w:pPr>
        <w:ind w:left="1120" w:firstLine="368"/>
        <w:spacing w:after="0" w:line="263" w:lineRule="auto"/>
        <w:rPr>
          <w:sz w:val="20"/>
          <w:szCs w:val="20"/>
          <w:color w:val="auto"/>
        </w:rPr>
      </w:pPr>
      <w:r>
        <w:rPr>
          <w:rFonts w:ascii="Arial" w:cs="Arial" w:eastAsia="Arial" w:hAnsi="Arial"/>
          <w:sz w:val="15"/>
          <w:szCs w:val="15"/>
          <w:color w:val="auto"/>
        </w:rPr>
        <w:t>We know people will continue to use a wide variety of tools and platforms. That’s why we’ve built Dropbox to work seamlessly with other products, integrating with partners from Google and Microsoft to Slack and Autodesk. More than 75% of Dropbox Business teams have linked to one or more third-party applications.</w:t>
      </w:r>
    </w:p>
    <w:p>
      <w:pPr>
        <w:spacing w:after="0" w:line="245" w:lineRule="exact"/>
        <w:rPr>
          <w:sz w:val="20"/>
          <w:szCs w:val="20"/>
          <w:color w:val="auto"/>
        </w:rPr>
      </w:pPr>
    </w:p>
    <w:p>
      <w:pPr>
        <w:ind w:left="1480"/>
        <w:spacing w:after="0"/>
        <w:rPr>
          <w:sz w:val="20"/>
          <w:szCs w:val="20"/>
          <w:color w:val="auto"/>
        </w:rPr>
      </w:pPr>
      <w:r>
        <w:rPr>
          <w:rFonts w:ascii="Arial" w:cs="Arial" w:eastAsia="Arial" w:hAnsi="Arial"/>
          <w:sz w:val="15"/>
          <w:szCs w:val="15"/>
          <w:b w:val="1"/>
          <w:bCs w:val="1"/>
          <w:i w:val="1"/>
          <w:iCs w:val="1"/>
          <w:color w:val="auto"/>
        </w:rPr>
        <w:t>Viral, bottom-up adoption</w:t>
      </w:r>
    </w:p>
    <w:p>
      <w:pPr>
        <w:spacing w:after="0" w:line="98" w:lineRule="exact"/>
        <w:rPr>
          <w:sz w:val="20"/>
          <w:szCs w:val="20"/>
          <w:color w:val="auto"/>
        </w:rPr>
      </w:pPr>
    </w:p>
    <w:p>
      <w:pPr>
        <w:ind w:left="1120" w:right="40" w:firstLine="368"/>
        <w:spacing w:after="0" w:line="259" w:lineRule="auto"/>
        <w:rPr>
          <w:sz w:val="20"/>
          <w:szCs w:val="20"/>
          <w:color w:val="auto"/>
        </w:rPr>
      </w:pPr>
      <w:r>
        <w:rPr>
          <w:rFonts w:ascii="Arial" w:cs="Arial" w:eastAsia="Arial" w:hAnsi="Arial"/>
          <w:sz w:val="15"/>
          <w:szCs w:val="15"/>
          <w:color w:val="auto"/>
        </w:rPr>
        <w:t>Our 500 million registered users are our best salespeople. They’ve spread Dropbox to their friends and brought us into their offices. Every year, millions of individual users sign up for Dropbox at work. Bottom-up adoption within organizations has been critical to our success as users increasingly choose their own tools at work. We generate over 90% of our revenue from self-serve channels—users who purchase a subscription through our app or website.</w:t>
      </w:r>
    </w:p>
    <w:p>
      <w:pPr>
        <w:spacing w:after="0" w:line="248" w:lineRule="exact"/>
        <w:rPr>
          <w:sz w:val="20"/>
          <w:szCs w:val="20"/>
          <w:color w:val="auto"/>
        </w:rPr>
      </w:pPr>
    </w:p>
    <w:p>
      <w:pPr>
        <w:ind w:left="1480"/>
        <w:spacing w:after="0"/>
        <w:rPr>
          <w:sz w:val="20"/>
          <w:szCs w:val="20"/>
          <w:color w:val="auto"/>
        </w:rPr>
      </w:pPr>
      <w:r>
        <w:rPr>
          <w:rFonts w:ascii="Arial" w:cs="Arial" w:eastAsia="Arial" w:hAnsi="Arial"/>
          <w:sz w:val="15"/>
          <w:szCs w:val="15"/>
          <w:b w:val="1"/>
          <w:bCs w:val="1"/>
          <w:i w:val="1"/>
          <w:iCs w:val="1"/>
          <w:color w:val="auto"/>
        </w:rPr>
        <w:t>Performance and security</w:t>
      </w:r>
    </w:p>
    <w:p>
      <w:pPr>
        <w:spacing w:after="0" w:line="98" w:lineRule="exact"/>
        <w:rPr>
          <w:sz w:val="20"/>
          <w:szCs w:val="20"/>
          <w:color w:val="auto"/>
        </w:rPr>
      </w:pPr>
    </w:p>
    <w:p>
      <w:pPr>
        <w:ind w:left="1120" w:right="80" w:firstLine="368"/>
        <w:spacing w:after="0" w:line="257" w:lineRule="auto"/>
        <w:rPr>
          <w:sz w:val="20"/>
          <w:szCs w:val="20"/>
          <w:color w:val="auto"/>
        </w:rPr>
      </w:pPr>
      <w:r>
        <w:rPr>
          <w:rFonts w:ascii="Arial" w:cs="Arial" w:eastAsia="Arial" w:hAnsi="Arial"/>
          <w:sz w:val="15"/>
          <w:szCs w:val="15"/>
          <w:color w:val="auto"/>
        </w:rPr>
        <w:t>Our custom-built infrastructure allows us to maintain high standards of performance, availability, and security. Dropbox is built on proprietary, block-level sync technology to achieve industry-leading performance. In 2016, IDC highlighted our sync performance as best-in-class, outperforming competitors on multiple sync tests, including upload and download speeds for large files. We designed our platform with multiple layers of redundancy to guard against data loss and deliver high availability. We also offer numerous layers of protection, from secure file data transfer and encryption to network configuration and application-level controls.</w:t>
      </w:r>
    </w:p>
    <w:p>
      <w:pPr>
        <w:spacing w:after="0" w:line="245" w:lineRule="exact"/>
        <w:rPr>
          <w:sz w:val="20"/>
          <w:szCs w:val="20"/>
          <w:color w:val="auto"/>
        </w:rPr>
      </w:pPr>
    </w:p>
    <w:p>
      <w:pPr>
        <w:ind w:left="1120"/>
        <w:spacing w:after="0"/>
        <w:rPr>
          <w:sz w:val="20"/>
          <w:szCs w:val="20"/>
          <w:color w:val="auto"/>
        </w:rPr>
      </w:pPr>
      <w:r>
        <w:rPr>
          <w:rFonts w:ascii="Arial" w:cs="Arial" w:eastAsia="Arial" w:hAnsi="Arial"/>
          <w:sz w:val="15"/>
          <w:szCs w:val="15"/>
          <w:b w:val="1"/>
          <w:bCs w:val="1"/>
          <w:color w:val="auto"/>
        </w:rPr>
        <w:t>Industry Trends in Our Favor</w:t>
      </w:r>
    </w:p>
    <w:p>
      <w:pPr>
        <w:spacing w:after="0" w:line="102" w:lineRule="exact"/>
        <w:rPr>
          <w:sz w:val="20"/>
          <w:szCs w:val="20"/>
          <w:color w:val="auto"/>
        </w:rPr>
      </w:pPr>
    </w:p>
    <w:p>
      <w:pPr>
        <w:ind w:left="1480"/>
        <w:spacing w:after="0"/>
        <w:rPr>
          <w:sz w:val="20"/>
          <w:szCs w:val="20"/>
          <w:color w:val="auto"/>
        </w:rPr>
      </w:pPr>
      <w:r>
        <w:rPr>
          <w:rFonts w:ascii="Arial" w:cs="Arial" w:eastAsia="Arial" w:hAnsi="Arial"/>
          <w:sz w:val="15"/>
          <w:szCs w:val="15"/>
          <w:b w:val="1"/>
          <w:bCs w:val="1"/>
          <w:i w:val="1"/>
          <w:iCs w:val="1"/>
          <w:color w:val="auto"/>
        </w:rPr>
        <w:t>Content is increasingly scattered</w:t>
      </w:r>
    </w:p>
    <w:p>
      <w:pPr>
        <w:spacing w:after="0" w:line="98" w:lineRule="exact"/>
        <w:rPr>
          <w:sz w:val="20"/>
          <w:szCs w:val="20"/>
          <w:color w:val="auto"/>
        </w:rPr>
      </w:pPr>
    </w:p>
    <w:p>
      <w:pPr>
        <w:ind w:left="1120" w:right="380" w:firstLine="368"/>
        <w:spacing w:after="0" w:line="290" w:lineRule="auto"/>
        <w:rPr>
          <w:sz w:val="20"/>
          <w:szCs w:val="20"/>
          <w:color w:val="auto"/>
        </w:rPr>
      </w:pPr>
      <w:r>
        <w:rPr>
          <w:rFonts w:ascii="Arial" w:cs="Arial" w:eastAsia="Arial" w:hAnsi="Arial"/>
          <w:sz w:val="14"/>
          <w:szCs w:val="14"/>
          <w:color w:val="auto"/>
        </w:rPr>
        <w:t>The proliferation of devices, operating systems, and applications has dramatically increased the volume and complexity of content in the workplace. Content is now routinely scattered across multiple silos, making it harder to access. According to a 2016 IDC report, more than half of companies ranging from 100 to 5,000+ employees use at least three repositories for accessing documents on a weekly basis.</w:t>
      </w:r>
    </w:p>
    <w:p>
      <w:pPr>
        <w:spacing w:after="0" w:line="228" w:lineRule="exact"/>
        <w:rPr>
          <w:sz w:val="20"/>
          <w:szCs w:val="20"/>
          <w:color w:val="auto"/>
        </w:rPr>
      </w:pPr>
    </w:p>
    <w:p>
      <w:pPr>
        <w:ind w:left="1480"/>
        <w:spacing w:after="0"/>
        <w:rPr>
          <w:sz w:val="20"/>
          <w:szCs w:val="20"/>
          <w:color w:val="auto"/>
        </w:rPr>
      </w:pPr>
      <w:r>
        <w:rPr>
          <w:rFonts w:ascii="Arial" w:cs="Arial" w:eastAsia="Arial" w:hAnsi="Arial"/>
          <w:sz w:val="15"/>
          <w:szCs w:val="15"/>
          <w:b w:val="1"/>
          <w:bCs w:val="1"/>
          <w:i w:val="1"/>
          <w:iCs w:val="1"/>
          <w:color w:val="auto"/>
        </w:rPr>
        <w:t>The tools people use are fragmented</w:t>
      </w:r>
    </w:p>
    <w:p>
      <w:pPr>
        <w:spacing w:after="0" w:line="98" w:lineRule="exact"/>
        <w:rPr>
          <w:sz w:val="20"/>
          <w:szCs w:val="20"/>
          <w:color w:val="auto"/>
        </w:rPr>
      </w:pPr>
    </w:p>
    <w:p>
      <w:pPr>
        <w:ind w:left="1120" w:right="40" w:firstLine="368"/>
        <w:spacing w:after="0" w:line="259" w:lineRule="auto"/>
        <w:rPr>
          <w:sz w:val="20"/>
          <w:szCs w:val="20"/>
          <w:color w:val="auto"/>
        </w:rPr>
      </w:pPr>
      <w:r>
        <w:rPr>
          <w:rFonts w:ascii="Arial" w:cs="Arial" w:eastAsia="Arial" w:hAnsi="Arial"/>
          <w:sz w:val="15"/>
          <w:szCs w:val="15"/>
          <w:color w:val="auto"/>
        </w:rPr>
        <w:t>Content created at work tends to follow a predictable pattern: It’s authored, sent out for feedback, and shared or published once it’s done. At the same time, teams are organizing that content and coordinating tasks around it. But many of the tools people use today don’t work well together and support only one or two steps of the content lifecycle. This requires users to constantly switch between these tools and makes it even harder to get work done.</w:t>
      </w:r>
    </w:p>
    <w:p>
      <w:pPr>
        <w:spacing w:after="0" w:line="101" w:lineRule="exact"/>
        <w:rPr>
          <w:sz w:val="20"/>
          <w:szCs w:val="20"/>
          <w:color w:val="auto"/>
        </w:rPr>
      </w:pPr>
    </w:p>
    <w:p>
      <w:pPr>
        <w:ind w:left="5600"/>
        <w:spacing w:after="0"/>
        <w:rPr>
          <w:sz w:val="20"/>
          <w:szCs w:val="20"/>
          <w:color w:val="auto"/>
        </w:rPr>
      </w:pPr>
      <w:r>
        <w:rPr>
          <w:rFonts w:ascii="Arial" w:cs="Arial" w:eastAsia="Arial" w:hAnsi="Arial"/>
          <w:sz w:val="15"/>
          <w:szCs w:val="15"/>
          <w:color w:val="auto"/>
        </w:rPr>
        <w:t>102</w:t>
      </w:r>
    </w:p>
    <w:p>
      <w:pPr>
        <w:sectPr>
          <w:pgSz w:w="11900" w:h="16838" w:orient="portrait"/>
          <w:cols w:equalWidth="0" w:num="1">
            <w:col w:w="10280"/>
          </w:cols>
          <w:pgMar w:left="240" w:top="407" w:right="1379" w:bottom="1440" w:gutter="0" w:footer="0" w:header="0"/>
        </w:sectPr>
      </w:pPr>
    </w:p>
    <w:bookmarkStart w:id="109" w:name="page110"/>
    <w:bookmarkEnd w:id="109"/>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133350</wp:posOffset>
            </wp:positionH>
            <wp:positionV relativeFrom="page">
              <wp:posOffset>88900</wp:posOffset>
            </wp:positionV>
            <wp:extent cx="7308850" cy="342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308850" cy="34290"/>
                    </a:xfrm>
                    <a:prstGeom prst="rect">
                      <a:avLst/>
                    </a:prstGeom>
                    <a:noFill/>
                  </pic:spPr>
                </pic:pic>
              </a:graphicData>
            </a:graphic>
          </wp:anchor>
        </w:drawing>
      </w:r>
      <w:hyperlink w:anchor="page7">
        <w:r>
          <w:rPr>
            <w:rFonts w:ascii="Arial" w:cs="Arial" w:eastAsia="Arial" w:hAnsi="Arial"/>
            <w:sz w:val="15"/>
            <w:szCs w:val="15"/>
            <w:b w:val="1"/>
            <w:bCs w:val="1"/>
            <w:u w:val="single" w:color="auto"/>
            <w:color w:val="0000EE"/>
          </w:rPr>
          <w:t>Table of Contents</w:t>
        </w:r>
      </w:hyperlink>
    </w:p>
    <w:p>
      <w:pPr>
        <w:spacing w:after="0" w:line="260" w:lineRule="exact"/>
        <w:rPr>
          <w:sz w:val="20"/>
          <w:szCs w:val="20"/>
          <w:color w:val="auto"/>
        </w:rPr>
      </w:pPr>
    </w:p>
    <w:p>
      <w:pPr>
        <w:ind w:left="1480"/>
        <w:spacing w:after="0"/>
        <w:rPr>
          <w:sz w:val="20"/>
          <w:szCs w:val="20"/>
          <w:color w:val="auto"/>
        </w:rPr>
      </w:pPr>
      <w:r>
        <w:rPr>
          <w:rFonts w:ascii="Arial" w:cs="Arial" w:eastAsia="Arial" w:hAnsi="Arial"/>
          <w:sz w:val="15"/>
          <w:szCs w:val="15"/>
          <w:b w:val="1"/>
          <w:bCs w:val="1"/>
          <w:i w:val="1"/>
          <w:iCs w:val="1"/>
          <w:color w:val="auto"/>
        </w:rPr>
        <w:t>Teams have become more fluid and global</w:t>
      </w:r>
    </w:p>
    <w:p>
      <w:pPr>
        <w:spacing w:after="0" w:line="98" w:lineRule="exact"/>
        <w:rPr>
          <w:sz w:val="20"/>
          <w:szCs w:val="20"/>
          <w:color w:val="auto"/>
        </w:rPr>
      </w:pPr>
    </w:p>
    <w:p>
      <w:pPr>
        <w:ind w:left="1120" w:right="60" w:firstLine="368"/>
        <w:spacing w:after="0" w:line="259" w:lineRule="auto"/>
        <w:rPr>
          <w:sz w:val="20"/>
          <w:szCs w:val="20"/>
          <w:color w:val="auto"/>
        </w:rPr>
      </w:pPr>
      <w:r>
        <w:rPr>
          <w:rFonts w:ascii="Arial" w:cs="Arial" w:eastAsia="Arial" w:hAnsi="Arial"/>
          <w:sz w:val="15"/>
          <w:szCs w:val="15"/>
          <w:color w:val="auto"/>
        </w:rPr>
        <w:t>Technology hasn’t kept up with a modern workforce that’s increasingly fluid and mobile. People work together on teams that span different functions, organizations, and geographies. A 2016 study by Deloitte found that 37% of the global workforce is now mobile, 30% of full-time employees primarily work remotely, and 20% of the workforce is made up of temporary workers, contractors, and freelancers. The ability to swiftly disseminate content and its relevant context is critical to keeping teams in sync.</w:t>
      </w:r>
    </w:p>
    <w:p>
      <w:pPr>
        <w:spacing w:after="0" w:line="248" w:lineRule="exact"/>
        <w:rPr>
          <w:sz w:val="20"/>
          <w:szCs w:val="20"/>
          <w:color w:val="auto"/>
        </w:rPr>
      </w:pPr>
    </w:p>
    <w:p>
      <w:pPr>
        <w:ind w:left="1480"/>
        <w:spacing w:after="0"/>
        <w:rPr>
          <w:sz w:val="20"/>
          <w:szCs w:val="20"/>
          <w:color w:val="auto"/>
        </w:rPr>
      </w:pPr>
      <w:r>
        <w:rPr>
          <w:rFonts w:ascii="Arial" w:cs="Arial" w:eastAsia="Arial" w:hAnsi="Arial"/>
          <w:sz w:val="15"/>
          <w:szCs w:val="15"/>
          <w:b w:val="1"/>
          <w:bCs w:val="1"/>
          <w:i w:val="1"/>
          <w:iCs w:val="1"/>
          <w:color w:val="auto"/>
        </w:rPr>
        <w:t>“Work about work” is wasteful and stifles creativity</w:t>
      </w:r>
    </w:p>
    <w:p>
      <w:pPr>
        <w:spacing w:after="0" w:line="98" w:lineRule="exact"/>
        <w:rPr>
          <w:sz w:val="20"/>
          <w:szCs w:val="20"/>
          <w:color w:val="auto"/>
        </w:rPr>
      </w:pPr>
    </w:p>
    <w:p>
      <w:pPr>
        <w:ind w:left="1120" w:right="140" w:firstLine="368"/>
        <w:spacing w:after="0" w:line="259" w:lineRule="auto"/>
        <w:rPr>
          <w:sz w:val="20"/>
          <w:szCs w:val="20"/>
          <w:color w:val="auto"/>
        </w:rPr>
      </w:pPr>
      <w:r>
        <w:rPr>
          <w:rFonts w:ascii="Arial" w:cs="Arial" w:eastAsia="Arial" w:hAnsi="Arial"/>
          <w:sz w:val="15"/>
          <w:szCs w:val="15"/>
          <w:color w:val="auto"/>
        </w:rPr>
        <w:t>The combination of scattered content, fragmented tools, and fluid team structures has led to decreased workplace productivity. According to a report by McKinsey &amp; Company, knowledge workers spend approximately 60% of their time at work on tedious tasks such as searching for content, reviewing email, and re-sharing context to keep team members in the loop—what we call “work about work.” This means they spend just 40% of their time doing the jobs they were hired to do.</w:t>
      </w:r>
    </w:p>
    <w:p>
      <w:pPr>
        <w:spacing w:after="0" w:line="248" w:lineRule="exact"/>
        <w:rPr>
          <w:sz w:val="20"/>
          <w:szCs w:val="20"/>
          <w:color w:val="auto"/>
        </w:rPr>
      </w:pPr>
    </w:p>
    <w:p>
      <w:pPr>
        <w:ind w:left="1480"/>
        <w:spacing w:after="0"/>
        <w:rPr>
          <w:sz w:val="20"/>
          <w:szCs w:val="20"/>
          <w:color w:val="auto"/>
        </w:rPr>
      </w:pPr>
      <w:r>
        <w:rPr>
          <w:rFonts w:ascii="Arial" w:cs="Arial" w:eastAsia="Arial" w:hAnsi="Arial"/>
          <w:sz w:val="15"/>
          <w:szCs w:val="15"/>
          <w:b w:val="1"/>
          <w:bCs w:val="1"/>
          <w:i w:val="1"/>
          <w:iCs w:val="1"/>
          <w:color w:val="auto"/>
        </w:rPr>
        <w:t>Individual users are changing the way software is adopted and purchased</w:t>
      </w:r>
    </w:p>
    <w:p>
      <w:pPr>
        <w:spacing w:after="0" w:line="98" w:lineRule="exact"/>
        <w:rPr>
          <w:sz w:val="20"/>
          <w:szCs w:val="20"/>
          <w:color w:val="auto"/>
        </w:rPr>
      </w:pPr>
    </w:p>
    <w:p>
      <w:pPr>
        <w:ind w:left="1120" w:right="200" w:firstLine="368"/>
        <w:spacing w:after="0" w:line="322" w:lineRule="auto"/>
        <w:rPr>
          <w:sz w:val="20"/>
          <w:szCs w:val="20"/>
          <w:color w:val="auto"/>
        </w:rPr>
      </w:pPr>
      <w:r>
        <w:rPr>
          <w:rFonts w:ascii="Arial" w:cs="Arial" w:eastAsia="Arial" w:hAnsi="Arial"/>
          <w:sz w:val="13"/>
          <w:szCs w:val="13"/>
          <w:color w:val="auto"/>
        </w:rPr>
        <w:t>Software purchasing decisions have traditionally been made by an organization’s IT department, which often deploys products that employees don’t like and many refuse to adopt. As individuals increasingly choose their own tools at work, purchasing power has become more decentralized. A 2017 IDC report noted that new devices and software were being adopted at a faster rate by individual users than by IT departments.</w:t>
      </w:r>
    </w:p>
    <w:p>
      <w:pPr>
        <w:spacing w:after="0" w:line="206" w:lineRule="exact"/>
        <w:rPr>
          <w:sz w:val="20"/>
          <w:szCs w:val="20"/>
          <w:color w:val="auto"/>
        </w:rPr>
      </w:pPr>
    </w:p>
    <w:p>
      <w:pPr>
        <w:ind w:left="1120"/>
        <w:spacing w:after="0"/>
        <w:rPr>
          <w:sz w:val="20"/>
          <w:szCs w:val="20"/>
          <w:color w:val="auto"/>
        </w:rPr>
      </w:pPr>
      <w:r>
        <w:rPr>
          <w:rFonts w:ascii="Arial" w:cs="Arial" w:eastAsia="Arial" w:hAnsi="Arial"/>
          <w:sz w:val="15"/>
          <w:szCs w:val="15"/>
          <w:b w:val="1"/>
          <w:bCs w:val="1"/>
          <w:color w:val="auto"/>
        </w:rPr>
        <w:t>Our Solution</w:t>
      </w:r>
    </w:p>
    <w:p>
      <w:pPr>
        <w:spacing w:after="0" w:line="102" w:lineRule="exact"/>
        <w:rPr>
          <w:sz w:val="20"/>
          <w:szCs w:val="20"/>
          <w:color w:val="auto"/>
        </w:rPr>
      </w:pPr>
    </w:p>
    <w:p>
      <w:pPr>
        <w:ind w:left="1120" w:right="20" w:firstLine="368"/>
        <w:spacing w:after="0" w:line="312" w:lineRule="auto"/>
        <w:rPr>
          <w:sz w:val="20"/>
          <w:szCs w:val="20"/>
          <w:color w:val="auto"/>
        </w:rPr>
      </w:pPr>
      <w:r>
        <w:rPr>
          <w:rFonts w:ascii="Arial" w:cs="Arial" w:eastAsia="Arial" w:hAnsi="Arial"/>
          <w:sz w:val="14"/>
          <w:szCs w:val="14"/>
          <w:color w:val="auto"/>
        </w:rPr>
        <w:t>Dropbox allows individuals, teams, and organizations to collaborate more effectively. Anyone can sign up for free through our website or app, and upgrade to a paid subscription plan for premium features. Our platform offers an elegant solution to the challenges described above.</w:t>
      </w:r>
    </w:p>
    <w:p>
      <w:pPr>
        <w:spacing w:after="0" w:line="213" w:lineRule="exact"/>
        <w:rPr>
          <w:sz w:val="20"/>
          <w:szCs w:val="20"/>
          <w:color w:val="auto"/>
        </w:rPr>
      </w:pPr>
    </w:p>
    <w:p>
      <w:pPr>
        <w:ind w:left="1480"/>
        <w:spacing w:after="0"/>
        <w:rPr>
          <w:sz w:val="20"/>
          <w:szCs w:val="20"/>
          <w:color w:val="auto"/>
        </w:rPr>
      </w:pPr>
      <w:r>
        <w:rPr>
          <w:rFonts w:ascii="Arial" w:cs="Arial" w:eastAsia="Arial" w:hAnsi="Arial"/>
          <w:sz w:val="15"/>
          <w:szCs w:val="15"/>
          <w:b w:val="1"/>
          <w:bCs w:val="1"/>
          <w:i w:val="1"/>
          <w:iCs w:val="1"/>
          <w:color w:val="auto"/>
        </w:rPr>
        <w:t>Key elements of our platform</w:t>
      </w:r>
    </w:p>
    <w:p>
      <w:pPr>
        <w:spacing w:after="0" w:line="109" w:lineRule="exact"/>
        <w:rPr>
          <w:sz w:val="20"/>
          <w:szCs w:val="20"/>
          <w:color w:val="auto"/>
        </w:rPr>
      </w:pPr>
    </w:p>
    <w:p>
      <w:pPr>
        <w:ind w:left="1840" w:right="340" w:hanging="276"/>
        <w:spacing w:after="0" w:line="283" w:lineRule="auto"/>
        <w:tabs>
          <w:tab w:leader="none" w:pos="1840" w:val="left"/>
        </w:tabs>
        <w:numPr>
          <w:ilvl w:val="0"/>
          <w:numId w:val="46"/>
        </w:numPr>
        <w:rPr>
          <w:rFonts w:ascii="Arial" w:cs="Arial" w:eastAsia="Arial" w:hAnsi="Arial"/>
          <w:sz w:val="14"/>
          <w:szCs w:val="14"/>
          <w:color w:val="auto"/>
        </w:rPr>
      </w:pPr>
      <w:r>
        <w:rPr>
          <w:rFonts w:ascii="Arial" w:cs="Arial" w:eastAsia="Arial" w:hAnsi="Arial"/>
          <w:sz w:val="14"/>
          <w:szCs w:val="14"/>
          <w:i w:val="1"/>
          <w:iCs w:val="1"/>
          <w:color w:val="auto"/>
        </w:rPr>
        <w:t xml:space="preserve">Unified home for content. </w:t>
      </w:r>
      <w:r>
        <w:rPr>
          <w:rFonts w:ascii="Arial" w:cs="Arial" w:eastAsia="Arial" w:hAnsi="Arial"/>
          <w:sz w:val="14"/>
          <w:szCs w:val="14"/>
          <w:color w:val="auto"/>
        </w:rPr>
        <w:t>We provide a unified home for the world’s content and the relevant context around it. To date, our users have</w:t>
      </w:r>
      <w:r>
        <w:rPr>
          <w:rFonts w:ascii="Arial" w:cs="Arial" w:eastAsia="Arial" w:hAnsi="Arial"/>
          <w:sz w:val="14"/>
          <w:szCs w:val="14"/>
          <w:i w:val="1"/>
          <w:iCs w:val="1"/>
          <w:color w:val="auto"/>
        </w:rPr>
        <w:t xml:space="preserve"> </w:t>
      </w:r>
      <w:r>
        <w:rPr>
          <w:rFonts w:ascii="Arial" w:cs="Arial" w:eastAsia="Arial" w:hAnsi="Arial"/>
          <w:sz w:val="14"/>
          <w:szCs w:val="14"/>
          <w:color w:val="auto"/>
        </w:rPr>
        <w:t>added more than 400 billion pieces of content to Dropbox, totaling over an exabyte (more than 1,000,000,000 gigabytes) of data. When users join Dropbox, they gain access to a digital workspace that supports the full content lifecycle—they can create and organize their content, access it from anywhere, share it with internal and external collaborators, and review feedback and history.</w:t>
      </w:r>
    </w:p>
    <w:p>
      <w:pPr>
        <w:spacing w:after="0" w:line="63" w:lineRule="exact"/>
        <w:rPr>
          <w:rFonts w:ascii="Arial" w:cs="Arial" w:eastAsia="Arial" w:hAnsi="Arial"/>
          <w:sz w:val="14"/>
          <w:szCs w:val="14"/>
          <w:color w:val="auto"/>
        </w:rPr>
      </w:pPr>
    </w:p>
    <w:p>
      <w:pPr>
        <w:ind w:left="1840" w:hanging="276"/>
        <w:spacing w:after="0" w:line="259" w:lineRule="auto"/>
        <w:tabs>
          <w:tab w:leader="none" w:pos="1840" w:val="left"/>
        </w:tabs>
        <w:numPr>
          <w:ilvl w:val="0"/>
          <w:numId w:val="46"/>
        </w:numPr>
        <w:rPr>
          <w:rFonts w:ascii="Arial" w:cs="Arial" w:eastAsia="Arial" w:hAnsi="Arial"/>
          <w:sz w:val="15"/>
          <w:szCs w:val="15"/>
          <w:color w:val="auto"/>
        </w:rPr>
      </w:pPr>
      <w:r>
        <w:rPr>
          <w:rFonts w:ascii="Arial" w:cs="Arial" w:eastAsia="Arial" w:hAnsi="Arial"/>
          <w:sz w:val="15"/>
          <w:szCs w:val="15"/>
          <w:i w:val="1"/>
          <w:iCs w:val="1"/>
          <w:color w:val="auto"/>
        </w:rPr>
        <w:t xml:space="preserve">Global sharing network. </w:t>
      </w:r>
      <w:r>
        <w:rPr>
          <w:rFonts w:ascii="Arial" w:cs="Arial" w:eastAsia="Arial" w:hAnsi="Arial"/>
          <w:sz w:val="15"/>
          <w:szCs w:val="15"/>
          <w:color w:val="auto"/>
        </w:rPr>
        <w:t>We’ve built one of the largest collaboration platforms in the world, with more than 4.5 billion connections to shared</w:t>
      </w:r>
      <w:r>
        <w:rPr>
          <w:rFonts w:ascii="Arial" w:cs="Arial" w:eastAsia="Arial" w:hAnsi="Arial"/>
          <w:sz w:val="15"/>
          <w:szCs w:val="15"/>
          <w:i w:val="1"/>
          <w:iCs w:val="1"/>
          <w:color w:val="auto"/>
        </w:rPr>
        <w:t xml:space="preserve"> </w:t>
      </w:r>
      <w:r>
        <w:rPr>
          <w:rFonts w:ascii="Arial" w:cs="Arial" w:eastAsia="Arial" w:hAnsi="Arial"/>
          <w:sz w:val="15"/>
          <w:szCs w:val="15"/>
          <w:color w:val="auto"/>
        </w:rPr>
        <w:t>content. We cater to the needs of dynamic, dispersed teams. The overwhelming majority of our customers use Dropbox to share and collaborate. As we continue to grow, more users benefit from frictionless sharing, and powerful network effects increase the utility and stickiness of our platform.</w:t>
      </w:r>
    </w:p>
    <w:p>
      <w:pPr>
        <w:spacing w:after="0" w:line="78" w:lineRule="exact"/>
        <w:rPr>
          <w:rFonts w:ascii="Arial" w:cs="Arial" w:eastAsia="Arial" w:hAnsi="Arial"/>
          <w:sz w:val="15"/>
          <w:szCs w:val="15"/>
          <w:color w:val="auto"/>
        </w:rPr>
      </w:pPr>
    </w:p>
    <w:p>
      <w:pPr>
        <w:jc w:val="both"/>
        <w:ind w:left="1840" w:right="20" w:hanging="276"/>
        <w:spacing w:after="0" w:line="290" w:lineRule="auto"/>
        <w:tabs>
          <w:tab w:leader="none" w:pos="1840" w:val="left"/>
        </w:tabs>
        <w:numPr>
          <w:ilvl w:val="0"/>
          <w:numId w:val="46"/>
        </w:numPr>
        <w:rPr>
          <w:rFonts w:ascii="Arial" w:cs="Arial" w:eastAsia="Arial" w:hAnsi="Arial"/>
          <w:sz w:val="14"/>
          <w:szCs w:val="14"/>
          <w:color w:val="auto"/>
        </w:rPr>
      </w:pPr>
      <w:r>
        <w:rPr>
          <w:rFonts w:ascii="Arial" w:cs="Arial" w:eastAsia="Arial" w:hAnsi="Arial"/>
          <w:sz w:val="14"/>
          <w:szCs w:val="14"/>
          <w:i w:val="1"/>
          <w:iCs w:val="1"/>
          <w:color w:val="auto"/>
        </w:rPr>
        <w:t xml:space="preserve">New product experiences. </w:t>
      </w:r>
      <w:r>
        <w:rPr>
          <w:rFonts w:ascii="Arial" w:cs="Arial" w:eastAsia="Arial" w:hAnsi="Arial"/>
          <w:sz w:val="14"/>
          <w:szCs w:val="14"/>
          <w:color w:val="auto"/>
        </w:rPr>
        <w:t>The insights we glean from our community of users lead us to develop new product experiences, like Paper, Smart</w:t>
      </w:r>
      <w:r>
        <w:rPr>
          <w:rFonts w:ascii="Arial" w:cs="Arial" w:eastAsia="Arial" w:hAnsi="Arial"/>
          <w:sz w:val="14"/>
          <w:szCs w:val="14"/>
          <w:i w:val="1"/>
          <w:iCs w:val="1"/>
          <w:color w:val="auto"/>
        </w:rPr>
        <w:t xml:space="preserve"> </w:t>
      </w:r>
      <w:r>
        <w:rPr>
          <w:rFonts w:ascii="Arial" w:cs="Arial" w:eastAsia="Arial" w:hAnsi="Arial"/>
          <w:sz w:val="14"/>
          <w:szCs w:val="14"/>
          <w:color w:val="auto"/>
        </w:rPr>
        <w:t>Sync, and Showcase. Machine learning further improves the user experience by enabling more intelligent search and better organization and utility of information. This ongoing innovation broadens the value of our platform and deepens user engagement.</w:t>
      </w:r>
    </w:p>
    <w:p>
      <w:pPr>
        <w:spacing w:after="0" w:line="138" w:lineRule="exact"/>
        <w:rPr>
          <w:sz w:val="20"/>
          <w:szCs w:val="20"/>
          <w:color w:val="auto"/>
        </w:rPr>
      </w:pPr>
    </w:p>
    <w:p>
      <w:pPr>
        <w:ind w:left="1120" w:right="200" w:firstLine="368"/>
        <w:spacing w:after="0" w:line="259" w:lineRule="auto"/>
        <w:rPr>
          <w:sz w:val="20"/>
          <w:szCs w:val="20"/>
          <w:color w:val="auto"/>
        </w:rPr>
      </w:pPr>
      <w:r>
        <w:rPr>
          <w:rFonts w:ascii="Arial" w:cs="Arial" w:eastAsia="Arial" w:hAnsi="Arial"/>
          <w:sz w:val="15"/>
          <w:szCs w:val="15"/>
          <w:color w:val="auto"/>
        </w:rPr>
        <w:t>These elements reinforce one another to produce a powerful flywheel effect. As users create and share more content with more people, they expand our global sharing network. This network allows us to gather insights and feedback that help us create new product experiences. And with our scale, we can instantly put these innovations in the hands of millions. This, in turn, helps attract more users and content, which further propels the flywheel.</w:t>
      </w:r>
    </w:p>
    <w:p>
      <w:pPr>
        <w:spacing w:after="0" w:line="101" w:lineRule="exact"/>
        <w:rPr>
          <w:sz w:val="20"/>
          <w:szCs w:val="20"/>
          <w:color w:val="auto"/>
        </w:rPr>
      </w:pPr>
    </w:p>
    <w:p>
      <w:pPr>
        <w:ind w:left="5600"/>
        <w:spacing w:after="0"/>
        <w:rPr>
          <w:sz w:val="20"/>
          <w:szCs w:val="20"/>
          <w:color w:val="auto"/>
        </w:rPr>
      </w:pPr>
      <w:r>
        <w:rPr>
          <w:rFonts w:ascii="Arial" w:cs="Arial" w:eastAsia="Arial" w:hAnsi="Arial"/>
          <w:sz w:val="15"/>
          <w:szCs w:val="15"/>
          <w:color w:val="auto"/>
        </w:rPr>
        <w:t>103</w:t>
      </w:r>
    </w:p>
    <w:p>
      <w:pPr>
        <w:sectPr>
          <w:pgSz w:w="11900" w:h="16838" w:orient="portrait"/>
          <w:cols w:equalWidth="0" w:num="1">
            <w:col w:w="10320"/>
          </w:cols>
          <w:pgMar w:left="240" w:top="407" w:right="1339" w:bottom="1440" w:gutter="0" w:footer="0" w:header="0"/>
        </w:sectPr>
      </w:pPr>
    </w:p>
    <w:bookmarkStart w:id="110" w:name="page111"/>
    <w:bookmarkEnd w:id="110"/>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133350</wp:posOffset>
            </wp:positionH>
            <wp:positionV relativeFrom="page">
              <wp:posOffset>88900</wp:posOffset>
            </wp:positionV>
            <wp:extent cx="7308850" cy="342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308850" cy="34290"/>
                    </a:xfrm>
                    <a:prstGeom prst="rect">
                      <a:avLst/>
                    </a:prstGeom>
                    <a:noFill/>
                  </pic:spPr>
                </pic:pic>
              </a:graphicData>
            </a:graphic>
          </wp:anchor>
        </w:drawing>
      </w:r>
      <w:hyperlink w:anchor="page7">
        <w:r>
          <w:rPr>
            <w:rFonts w:ascii="Arial" w:cs="Arial" w:eastAsia="Arial" w:hAnsi="Arial"/>
            <w:sz w:val="15"/>
            <w:szCs w:val="15"/>
            <w:b w:val="1"/>
            <w:bCs w:val="1"/>
            <w:u w:val="single" w:color="auto"/>
            <w:color w:val="0000EE"/>
          </w:rPr>
          <w:t>Table of Contents</w:t>
        </w:r>
      </w:hyperlink>
    </w:p>
    <w:p>
      <w:pPr>
        <w:spacing w:after="0" w:line="256" w:lineRule="exact"/>
        <w:rPr>
          <w:sz w:val="20"/>
          <w:szCs w:val="20"/>
          <w:color w:val="auto"/>
        </w:rPr>
      </w:pPr>
    </w:p>
    <w:p>
      <w:pPr>
        <w:ind w:left="1120"/>
        <w:spacing w:after="0"/>
        <w:rPr>
          <w:sz w:val="20"/>
          <w:szCs w:val="20"/>
          <w:color w:val="auto"/>
        </w:rPr>
      </w:pPr>
      <w:r>
        <w:rPr>
          <w:rFonts w:ascii="Arial" w:cs="Arial" w:eastAsia="Arial" w:hAnsi="Arial"/>
          <w:sz w:val="15"/>
          <w:szCs w:val="15"/>
          <w:b w:val="1"/>
          <w:bCs w:val="1"/>
          <w:color w:val="auto"/>
        </w:rPr>
        <w:t>Our Growth Strategy</w:t>
      </w:r>
    </w:p>
    <w:p>
      <w:pPr>
        <w:spacing w:after="0" w:line="102" w:lineRule="exact"/>
        <w:rPr>
          <w:sz w:val="20"/>
          <w:szCs w:val="20"/>
          <w:color w:val="auto"/>
        </w:rPr>
      </w:pPr>
    </w:p>
    <w:p>
      <w:pPr>
        <w:ind w:left="1480"/>
        <w:spacing w:after="0"/>
        <w:rPr>
          <w:sz w:val="20"/>
          <w:szCs w:val="20"/>
          <w:color w:val="auto"/>
        </w:rPr>
      </w:pPr>
      <w:r>
        <w:rPr>
          <w:rFonts w:ascii="Arial" w:cs="Arial" w:eastAsia="Arial" w:hAnsi="Arial"/>
          <w:sz w:val="15"/>
          <w:szCs w:val="15"/>
          <w:b w:val="1"/>
          <w:bCs w:val="1"/>
          <w:i w:val="1"/>
          <w:iCs w:val="1"/>
          <w:color w:val="auto"/>
        </w:rPr>
        <w:t>Increase adoption and paid conversion</w:t>
      </w:r>
    </w:p>
    <w:p>
      <w:pPr>
        <w:spacing w:after="0" w:line="98" w:lineRule="exact"/>
        <w:rPr>
          <w:sz w:val="20"/>
          <w:szCs w:val="20"/>
          <w:color w:val="auto"/>
        </w:rPr>
      </w:pPr>
    </w:p>
    <w:p>
      <w:pPr>
        <w:jc w:val="both"/>
        <w:ind w:left="1120" w:firstLine="368"/>
        <w:spacing w:after="0" w:line="294" w:lineRule="auto"/>
        <w:rPr>
          <w:sz w:val="20"/>
          <w:szCs w:val="20"/>
          <w:color w:val="auto"/>
        </w:rPr>
      </w:pPr>
      <w:r>
        <w:rPr>
          <w:rFonts w:ascii="Arial" w:cs="Arial" w:eastAsia="Arial" w:hAnsi="Arial"/>
          <w:sz w:val="13"/>
          <w:szCs w:val="13"/>
          <w:color w:val="auto"/>
        </w:rPr>
        <w:t>We designed Dropbox to be easy to try, use, and buy. Anyone can create an account and be up and running in minutes. We believe that our current registered user base represents a significant opportunity to increase our revenue. We estimate that approximately 300 million of our registered users have characteristics—including specific email domains, devices, and geographies—that make them more likely than other registered users to pay over time.</w:t>
      </w:r>
    </w:p>
    <w:p>
      <w:pPr>
        <w:spacing w:after="0" w:line="1" w:lineRule="exact"/>
        <w:rPr>
          <w:sz w:val="20"/>
          <w:szCs w:val="20"/>
          <w:color w:val="auto"/>
        </w:rPr>
      </w:pPr>
    </w:p>
    <w:p>
      <w:pPr>
        <w:ind w:left="1120" w:right="80"/>
        <w:spacing w:after="0" w:line="254" w:lineRule="auto"/>
        <w:rPr>
          <w:sz w:val="20"/>
          <w:szCs w:val="20"/>
          <w:color w:val="auto"/>
        </w:rPr>
      </w:pPr>
      <w:r>
        <w:rPr>
          <w:rFonts w:ascii="Arial" w:cs="Arial" w:eastAsia="Arial" w:hAnsi="Arial"/>
          <w:sz w:val="15"/>
          <w:szCs w:val="15"/>
          <w:color w:val="auto"/>
        </w:rPr>
        <w:t>Substantially all of our paying users share at least one of these characteristics. We reach our users through in-product notifications on our website and across hundreds of millions of actively connected devices, without any external marketing spend. We define an actively connected device as a desktop, laptop, phone, or tablet on which our app has been installed, and from which our app has been launched, and made a request to our servers at least once in the most recent quarter.</w:t>
      </w:r>
    </w:p>
    <w:p>
      <w:pPr>
        <w:spacing w:after="0" w:line="253" w:lineRule="exact"/>
        <w:rPr>
          <w:sz w:val="20"/>
          <w:szCs w:val="20"/>
          <w:color w:val="auto"/>
        </w:rPr>
      </w:pPr>
    </w:p>
    <w:p>
      <w:pPr>
        <w:ind w:left="1480"/>
        <w:spacing w:after="0"/>
        <w:rPr>
          <w:sz w:val="20"/>
          <w:szCs w:val="20"/>
          <w:color w:val="auto"/>
        </w:rPr>
      </w:pPr>
      <w:r>
        <w:rPr>
          <w:rFonts w:ascii="Arial" w:cs="Arial" w:eastAsia="Arial" w:hAnsi="Arial"/>
          <w:sz w:val="15"/>
          <w:szCs w:val="15"/>
          <w:b w:val="1"/>
          <w:bCs w:val="1"/>
          <w:i w:val="1"/>
          <w:iCs w:val="1"/>
          <w:color w:val="auto"/>
        </w:rPr>
        <w:t>Upgrade our paying users</w:t>
      </w:r>
    </w:p>
    <w:p>
      <w:pPr>
        <w:spacing w:after="0" w:line="98" w:lineRule="exact"/>
        <w:rPr>
          <w:sz w:val="20"/>
          <w:szCs w:val="20"/>
          <w:color w:val="auto"/>
        </w:rPr>
      </w:pPr>
    </w:p>
    <w:p>
      <w:pPr>
        <w:ind w:left="1120" w:right="20" w:firstLine="368"/>
        <w:spacing w:after="0" w:line="255" w:lineRule="auto"/>
        <w:rPr>
          <w:sz w:val="20"/>
          <w:szCs w:val="20"/>
          <w:color w:val="auto"/>
        </w:rPr>
      </w:pPr>
      <w:r>
        <w:rPr>
          <w:rFonts w:ascii="Arial" w:cs="Arial" w:eastAsia="Arial" w:hAnsi="Arial"/>
          <w:sz w:val="15"/>
          <w:szCs w:val="15"/>
          <w:color w:val="auto"/>
        </w:rPr>
        <w:t>We offer a range of paid subscription plans, from Plus and Professional for individuals to Standard, Advanced, and Enterprise for teams. We analyze usage patterns within our network and run hundreds of targeted marketing campaigns to encourage paying users to upgrade their plans. For example, we prompt individual subscribers who collaborate with others on Dropbox to purchase our Standard or Advanced plans for a better team experience. In 2017, over 40% of new Dropbox Business teams included a member who was previously a subscriber to one of our individual paid plans. We believe that a large majority of individual customers use Dropbox for work, which creates an opportunity to significantly increase conversion to Dropbox Business team offerings over time.</w:t>
      </w:r>
    </w:p>
    <w:p>
      <w:pPr>
        <w:spacing w:after="0" w:line="254" w:lineRule="exact"/>
        <w:rPr>
          <w:sz w:val="20"/>
          <w:szCs w:val="20"/>
          <w:color w:val="auto"/>
        </w:rPr>
      </w:pPr>
    </w:p>
    <w:p>
      <w:pPr>
        <w:ind w:left="1480"/>
        <w:spacing w:after="0"/>
        <w:rPr>
          <w:sz w:val="20"/>
          <w:szCs w:val="20"/>
          <w:color w:val="auto"/>
        </w:rPr>
      </w:pPr>
      <w:r>
        <w:rPr>
          <w:rFonts w:ascii="Arial" w:cs="Arial" w:eastAsia="Arial" w:hAnsi="Arial"/>
          <w:sz w:val="15"/>
          <w:szCs w:val="15"/>
          <w:b w:val="1"/>
          <w:bCs w:val="1"/>
          <w:i w:val="1"/>
          <w:iCs w:val="1"/>
          <w:color w:val="auto"/>
        </w:rPr>
        <w:t>Apply insights to build new product experiences</w:t>
      </w:r>
    </w:p>
    <w:p>
      <w:pPr>
        <w:spacing w:after="0" w:line="98" w:lineRule="exact"/>
        <w:rPr>
          <w:sz w:val="20"/>
          <w:szCs w:val="20"/>
          <w:color w:val="auto"/>
        </w:rPr>
      </w:pPr>
    </w:p>
    <w:p>
      <w:pPr>
        <w:ind w:left="1120" w:right="40" w:firstLine="368"/>
        <w:spacing w:after="0" w:line="259" w:lineRule="auto"/>
        <w:rPr>
          <w:sz w:val="20"/>
          <w:szCs w:val="20"/>
          <w:color w:val="auto"/>
        </w:rPr>
      </w:pPr>
      <w:r>
        <w:rPr>
          <w:rFonts w:ascii="Arial" w:cs="Arial" w:eastAsia="Arial" w:hAnsi="Arial"/>
          <w:sz w:val="15"/>
          <w:szCs w:val="15"/>
          <w:color w:val="auto"/>
        </w:rPr>
        <w:t>As our community of users grows, we gain more insight into their needs and pain points. We translate these insights into new product experiences that support the entire content lifecycle. For example, we learned through analytics and research that our users often work with many different types of content. As a result, we added the ability to embed rich media in Paper so they can pull everything together in one place—from InVision graphics and Google slides to Spotify tracks and Vimeo clips.</w:t>
      </w:r>
    </w:p>
    <w:p>
      <w:pPr>
        <w:spacing w:after="0" w:line="248" w:lineRule="exact"/>
        <w:rPr>
          <w:sz w:val="20"/>
          <w:szCs w:val="20"/>
          <w:color w:val="auto"/>
        </w:rPr>
      </w:pPr>
    </w:p>
    <w:p>
      <w:pPr>
        <w:ind w:left="1480"/>
        <w:spacing w:after="0"/>
        <w:rPr>
          <w:sz w:val="20"/>
          <w:szCs w:val="20"/>
          <w:color w:val="auto"/>
        </w:rPr>
      </w:pPr>
      <w:r>
        <w:rPr>
          <w:rFonts w:ascii="Arial" w:cs="Arial" w:eastAsia="Arial" w:hAnsi="Arial"/>
          <w:sz w:val="15"/>
          <w:szCs w:val="15"/>
          <w:b w:val="1"/>
          <w:bCs w:val="1"/>
          <w:i w:val="1"/>
          <w:iCs w:val="1"/>
          <w:color w:val="auto"/>
        </w:rPr>
        <w:t>Expand our ecosystem</w:t>
      </w:r>
    </w:p>
    <w:p>
      <w:pPr>
        <w:spacing w:after="0" w:line="98" w:lineRule="exact"/>
        <w:rPr>
          <w:sz w:val="20"/>
          <w:szCs w:val="20"/>
          <w:color w:val="auto"/>
        </w:rPr>
      </w:pPr>
    </w:p>
    <w:p>
      <w:pPr>
        <w:ind w:left="1120" w:right="20" w:firstLine="368"/>
        <w:spacing w:after="0" w:line="290" w:lineRule="auto"/>
        <w:rPr>
          <w:sz w:val="20"/>
          <w:szCs w:val="20"/>
          <w:color w:val="auto"/>
        </w:rPr>
      </w:pPr>
      <w:r>
        <w:rPr>
          <w:rFonts w:ascii="Arial" w:cs="Arial" w:eastAsia="Arial" w:hAnsi="Arial"/>
          <w:sz w:val="14"/>
          <w:szCs w:val="14"/>
          <w:color w:val="auto"/>
        </w:rPr>
        <w:t>Our open and thriving ecosystem fosters deeper relationships with our users and makes Dropbox more valuable to them over time. The scale and reach of our platform is enhanced by a number of third-party applications, developers, and technology partners. As of December 31, 2017, Dropbox was receiving over 50 billion API calls per month, and more than 500,000 developers had registered and built applications on our platform.</w:t>
      </w:r>
    </w:p>
    <w:p>
      <w:pPr>
        <w:spacing w:after="0" w:line="224" w:lineRule="exact"/>
        <w:rPr>
          <w:sz w:val="20"/>
          <w:szCs w:val="20"/>
          <w:color w:val="auto"/>
        </w:rPr>
      </w:pPr>
    </w:p>
    <w:p>
      <w:pPr>
        <w:ind w:left="1120"/>
        <w:spacing w:after="0"/>
        <w:rPr>
          <w:sz w:val="20"/>
          <w:szCs w:val="20"/>
          <w:color w:val="auto"/>
        </w:rPr>
      </w:pPr>
      <w:r>
        <w:rPr>
          <w:rFonts w:ascii="Arial" w:cs="Arial" w:eastAsia="Arial" w:hAnsi="Arial"/>
          <w:sz w:val="15"/>
          <w:szCs w:val="15"/>
          <w:b w:val="1"/>
          <w:bCs w:val="1"/>
          <w:color w:val="auto"/>
        </w:rPr>
        <w:t>Our Market Opportunity</w:t>
      </w:r>
    </w:p>
    <w:p>
      <w:pPr>
        <w:spacing w:after="0" w:line="102" w:lineRule="exact"/>
        <w:rPr>
          <w:sz w:val="20"/>
          <w:szCs w:val="20"/>
          <w:color w:val="auto"/>
        </w:rPr>
      </w:pPr>
    </w:p>
    <w:p>
      <w:pPr>
        <w:ind w:left="1120" w:right="100" w:firstLine="368"/>
        <w:spacing w:after="0" w:line="263" w:lineRule="auto"/>
        <w:rPr>
          <w:sz w:val="20"/>
          <w:szCs w:val="20"/>
          <w:color w:val="auto"/>
        </w:rPr>
      </w:pPr>
      <w:r>
        <w:rPr>
          <w:rFonts w:ascii="Arial" w:cs="Arial" w:eastAsia="Arial" w:hAnsi="Arial"/>
          <w:sz w:val="15"/>
          <w:szCs w:val="15"/>
          <w:color w:val="auto"/>
        </w:rPr>
        <w:t>Over the past decade, Dropbox has pioneered the worldwide adoption of file sync and share software. We’ve since expanded our capabilities and introduced new product experiences to help our users get work done. For the second consecutive year, Gartner has named Dropbox a leader in their Magic Quadrant for Content Collaboration Platforms.</w:t>
      </w:r>
    </w:p>
    <w:p>
      <w:pPr>
        <w:spacing w:after="0" w:line="155" w:lineRule="exact"/>
        <w:rPr>
          <w:sz w:val="20"/>
          <w:szCs w:val="20"/>
          <w:color w:val="auto"/>
        </w:rPr>
      </w:pPr>
    </w:p>
    <w:p>
      <w:pPr>
        <w:ind w:left="1480"/>
        <w:spacing w:after="0"/>
        <w:rPr>
          <w:sz w:val="20"/>
          <w:szCs w:val="20"/>
          <w:color w:val="auto"/>
        </w:rPr>
      </w:pPr>
      <w:r>
        <w:rPr>
          <w:rFonts w:ascii="Arial" w:cs="Arial" w:eastAsia="Arial" w:hAnsi="Arial"/>
          <w:sz w:val="13"/>
          <w:szCs w:val="13"/>
          <w:color w:val="auto"/>
        </w:rPr>
        <w:t>Our addressable market includes collaborative applications, content management, project and portfolio management, and public cloud storage.</w:t>
      </w:r>
    </w:p>
    <w:p>
      <w:pPr>
        <w:spacing w:after="0" w:line="40" w:lineRule="exact"/>
        <w:rPr>
          <w:sz w:val="20"/>
          <w:szCs w:val="20"/>
          <w:color w:val="auto"/>
        </w:rPr>
      </w:pPr>
    </w:p>
    <w:p>
      <w:pPr>
        <w:ind w:left="1120"/>
        <w:spacing w:after="0"/>
        <w:rPr>
          <w:sz w:val="20"/>
          <w:szCs w:val="20"/>
          <w:color w:val="auto"/>
        </w:rPr>
      </w:pPr>
      <w:r>
        <w:rPr>
          <w:rFonts w:ascii="Arial" w:cs="Arial" w:eastAsia="Arial" w:hAnsi="Arial"/>
          <w:sz w:val="15"/>
          <w:szCs w:val="15"/>
          <w:color w:val="auto"/>
        </w:rPr>
        <w:t>IDC estimates that investment in these categories will total more than $50 billion in 2019.</w:t>
      </w:r>
    </w:p>
    <w:p>
      <w:pPr>
        <w:spacing w:after="0" w:line="179" w:lineRule="exact"/>
        <w:rPr>
          <w:sz w:val="20"/>
          <w:szCs w:val="20"/>
          <w:color w:val="auto"/>
        </w:rPr>
      </w:pPr>
    </w:p>
    <w:p>
      <w:pPr>
        <w:ind w:left="1120" w:firstLine="368"/>
        <w:spacing w:after="0" w:line="312" w:lineRule="auto"/>
        <w:rPr>
          <w:sz w:val="20"/>
          <w:szCs w:val="20"/>
          <w:color w:val="auto"/>
        </w:rPr>
      </w:pPr>
      <w:r>
        <w:rPr>
          <w:rFonts w:ascii="Arial" w:cs="Arial" w:eastAsia="Arial" w:hAnsi="Arial"/>
          <w:sz w:val="14"/>
          <w:szCs w:val="14"/>
          <w:color w:val="auto"/>
        </w:rPr>
        <w:t>As one of the few large-scale collaboration platforms that serves customers of all sizes, we also have an opportunity to reach a broad population of independent knowledge and creative workers. We believe that this market hasn’t traditionally been included in IT spending estimates.</w:t>
      </w:r>
    </w:p>
    <w:p>
      <w:pPr>
        <w:spacing w:after="0" w:line="66" w:lineRule="exact"/>
        <w:rPr>
          <w:sz w:val="20"/>
          <w:szCs w:val="20"/>
          <w:color w:val="auto"/>
        </w:rPr>
      </w:pPr>
    </w:p>
    <w:p>
      <w:pPr>
        <w:ind w:left="5600"/>
        <w:spacing w:after="0"/>
        <w:rPr>
          <w:sz w:val="20"/>
          <w:szCs w:val="20"/>
          <w:color w:val="auto"/>
        </w:rPr>
      </w:pPr>
      <w:r>
        <w:rPr>
          <w:rFonts w:ascii="Arial" w:cs="Arial" w:eastAsia="Arial" w:hAnsi="Arial"/>
          <w:sz w:val="15"/>
          <w:szCs w:val="15"/>
          <w:color w:val="auto"/>
        </w:rPr>
        <w:t>104</w:t>
      </w:r>
    </w:p>
    <w:p>
      <w:pPr>
        <w:sectPr>
          <w:pgSz w:w="11900" w:h="16838" w:orient="portrait"/>
          <w:cols w:equalWidth="0" w:num="1">
            <w:col w:w="10300"/>
          </w:cols>
          <w:pgMar w:left="240" w:top="407" w:right="1359" w:bottom="1440" w:gutter="0" w:footer="0" w:header="0"/>
        </w:sectPr>
      </w:pPr>
    </w:p>
    <w:bookmarkStart w:id="111" w:name="page112"/>
    <w:bookmarkEnd w:id="111"/>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133350</wp:posOffset>
            </wp:positionH>
            <wp:positionV relativeFrom="page">
              <wp:posOffset>88900</wp:posOffset>
            </wp:positionV>
            <wp:extent cx="7308850" cy="342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308850" cy="34290"/>
                    </a:xfrm>
                    <a:prstGeom prst="rect">
                      <a:avLst/>
                    </a:prstGeom>
                    <a:noFill/>
                  </pic:spPr>
                </pic:pic>
              </a:graphicData>
            </a:graphic>
          </wp:anchor>
        </w:drawing>
      </w:r>
      <w:hyperlink w:anchor="page7">
        <w:r>
          <w:rPr>
            <w:rFonts w:ascii="Arial" w:cs="Arial" w:eastAsia="Arial" w:hAnsi="Arial"/>
            <w:sz w:val="15"/>
            <w:szCs w:val="15"/>
            <w:b w:val="1"/>
            <w:bCs w:val="1"/>
            <w:u w:val="single" w:color="auto"/>
            <w:color w:val="0000EE"/>
          </w:rPr>
          <w:t>Table of Contents</w:t>
        </w:r>
      </w:hyperlink>
    </w:p>
    <w:p>
      <w:pPr>
        <w:spacing w:after="0" w:line="256" w:lineRule="exact"/>
        <w:rPr>
          <w:sz w:val="20"/>
          <w:szCs w:val="20"/>
          <w:color w:val="auto"/>
        </w:rPr>
      </w:pPr>
    </w:p>
    <w:p>
      <w:pPr>
        <w:ind w:left="1120"/>
        <w:spacing w:after="0"/>
        <w:rPr>
          <w:sz w:val="20"/>
          <w:szCs w:val="20"/>
          <w:color w:val="auto"/>
        </w:rPr>
      </w:pPr>
      <w:r>
        <w:rPr>
          <w:rFonts w:ascii="Arial" w:cs="Arial" w:eastAsia="Arial" w:hAnsi="Arial"/>
          <w:sz w:val="15"/>
          <w:szCs w:val="15"/>
          <w:b w:val="1"/>
          <w:bCs w:val="1"/>
          <w:color w:val="auto"/>
        </w:rPr>
        <w:t>Our Capabilities</w:t>
      </w:r>
    </w:p>
    <w:p>
      <w:pPr>
        <w:spacing w:after="0" w:line="102" w:lineRule="exact"/>
        <w:rPr>
          <w:sz w:val="20"/>
          <w:szCs w:val="20"/>
          <w:color w:val="auto"/>
        </w:rPr>
      </w:pPr>
    </w:p>
    <w:p>
      <w:pPr>
        <w:ind w:left="1120" w:firstLine="368"/>
        <w:spacing w:after="0" w:line="263" w:lineRule="auto"/>
        <w:rPr>
          <w:sz w:val="20"/>
          <w:szCs w:val="20"/>
          <w:color w:val="auto"/>
        </w:rPr>
      </w:pPr>
      <w:r>
        <w:rPr>
          <w:rFonts w:ascii="Arial" w:cs="Arial" w:eastAsia="Arial" w:hAnsi="Arial"/>
          <w:sz w:val="15"/>
          <w:szCs w:val="15"/>
          <w:color w:val="auto"/>
        </w:rPr>
        <w:t>Dropbox is a digital workspace where individuals and teams can create content, access it from anywhere, and share it with collaborators. The power of our platform lies in the breadth of our capabilities and the diverse ways our users make Dropbox work for them. We monetize through a range of subscription plans. Our platform capabilities are described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1461770</wp:posOffset>
            </wp:positionH>
            <wp:positionV relativeFrom="paragraph">
              <wp:posOffset>183515</wp:posOffset>
            </wp:positionV>
            <wp:extent cx="4332605" cy="466217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4332605" cy="46621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5600"/>
        <w:spacing w:after="0"/>
        <w:rPr>
          <w:sz w:val="20"/>
          <w:szCs w:val="20"/>
          <w:color w:val="auto"/>
        </w:rPr>
      </w:pPr>
      <w:r>
        <w:rPr>
          <w:rFonts w:ascii="Arial" w:cs="Arial" w:eastAsia="Arial" w:hAnsi="Arial"/>
          <w:sz w:val="15"/>
          <w:szCs w:val="15"/>
          <w:color w:val="auto"/>
        </w:rPr>
        <w:t>105</w:t>
      </w:r>
    </w:p>
    <w:p>
      <w:pPr>
        <w:sectPr>
          <w:pgSz w:w="11900" w:h="16838" w:orient="portrait"/>
          <w:cols w:equalWidth="0" w:num="1">
            <w:col w:w="10220"/>
          </w:cols>
          <w:pgMar w:left="240" w:top="407" w:right="1439" w:bottom="1440" w:gutter="0" w:footer="0" w:header="0"/>
        </w:sectPr>
      </w:pPr>
    </w:p>
    <w:bookmarkStart w:id="112" w:name="page113"/>
    <w:bookmarkEnd w:id="112"/>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133350</wp:posOffset>
            </wp:positionH>
            <wp:positionV relativeFrom="page">
              <wp:posOffset>88900</wp:posOffset>
            </wp:positionV>
            <wp:extent cx="7308850" cy="342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308850" cy="34290"/>
                    </a:xfrm>
                    <a:prstGeom prst="rect">
                      <a:avLst/>
                    </a:prstGeom>
                    <a:noFill/>
                  </pic:spPr>
                </pic:pic>
              </a:graphicData>
            </a:graphic>
          </wp:anchor>
        </w:drawing>
      </w:r>
      <w:hyperlink w:anchor="page7">
        <w:r>
          <w:rPr>
            <w:rFonts w:ascii="Arial" w:cs="Arial" w:eastAsia="Arial" w:hAnsi="Arial"/>
            <w:sz w:val="15"/>
            <w:szCs w:val="15"/>
            <w:b w:val="1"/>
            <w:bCs w:val="1"/>
            <w:u w:val="single" w:color="auto"/>
            <w:color w:val="0000EE"/>
          </w:rPr>
          <w:t>Table of Contents</w:t>
        </w:r>
      </w:hyperlink>
    </w:p>
    <w:p>
      <w:pPr>
        <w:spacing w:after="0" w:line="260" w:lineRule="exact"/>
        <w:rPr>
          <w:sz w:val="20"/>
          <w:szCs w:val="20"/>
          <w:color w:val="auto"/>
        </w:rPr>
      </w:pPr>
    </w:p>
    <w:p>
      <w:pPr>
        <w:ind w:left="1480"/>
        <w:spacing w:after="0"/>
        <w:rPr>
          <w:sz w:val="20"/>
          <w:szCs w:val="20"/>
          <w:color w:val="auto"/>
        </w:rPr>
      </w:pPr>
      <w:r>
        <w:rPr>
          <w:rFonts w:ascii="Arial" w:cs="Arial" w:eastAsia="Arial" w:hAnsi="Arial"/>
          <w:sz w:val="15"/>
          <w:szCs w:val="15"/>
          <w:b w:val="1"/>
          <w:bCs w:val="1"/>
          <w:i w:val="1"/>
          <w:iCs w:val="1"/>
          <w:color w:val="auto"/>
        </w:rPr>
        <w:t>Create</w:t>
      </w:r>
    </w:p>
    <w:p>
      <w:pPr>
        <w:spacing w:after="0" w:line="98" w:lineRule="exact"/>
        <w:rPr>
          <w:sz w:val="20"/>
          <w:szCs w:val="20"/>
          <w:color w:val="auto"/>
        </w:rPr>
      </w:pPr>
    </w:p>
    <w:p>
      <w:pPr>
        <w:ind w:left="1120" w:firstLine="368"/>
        <w:spacing w:after="0" w:line="263" w:lineRule="auto"/>
        <w:rPr>
          <w:sz w:val="20"/>
          <w:szCs w:val="20"/>
          <w:color w:val="auto"/>
        </w:rPr>
      </w:pPr>
      <w:r>
        <w:rPr>
          <w:rFonts w:ascii="Arial" w:cs="Arial" w:eastAsia="Arial" w:hAnsi="Arial"/>
          <w:sz w:val="15"/>
          <w:szCs w:val="15"/>
          <w:i w:val="1"/>
          <w:iCs w:val="1"/>
          <w:color w:val="auto"/>
        </w:rPr>
        <w:t>Paper</w:t>
      </w:r>
      <w:r>
        <w:rPr>
          <w:rFonts w:ascii="Arial" w:cs="Arial" w:eastAsia="Arial" w:hAnsi="Arial"/>
          <w:sz w:val="15"/>
          <w:szCs w:val="15"/>
          <w:color w:val="auto"/>
        </w:rPr>
        <w:t>. We introduced Paper in January 2017 as a collaborative surface to bring people and ideas together. With Paper, users can co-author content,</w:t>
      </w:r>
      <w:r>
        <w:rPr>
          <w:rFonts w:ascii="Arial" w:cs="Arial" w:eastAsia="Arial" w:hAnsi="Arial"/>
          <w:sz w:val="15"/>
          <w:szCs w:val="15"/>
          <w:i w:val="1"/>
          <w:iCs w:val="1"/>
          <w:color w:val="auto"/>
        </w:rPr>
        <w:t xml:space="preserve"> </w:t>
      </w:r>
      <w:r>
        <w:rPr>
          <w:rFonts w:ascii="Arial" w:cs="Arial" w:eastAsia="Arial" w:hAnsi="Arial"/>
          <w:sz w:val="15"/>
          <w:szCs w:val="15"/>
          <w:color w:val="auto"/>
        </w:rPr>
        <w:t>tag others, assign tasks with due dates, embed and comment on files, tables, checklists, code snippets, and rich media—all in real-time. We designed Paper to be simple and beautiful so users can focus on the most important ideas and tasks at hand.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1684020</wp:posOffset>
            </wp:positionH>
            <wp:positionV relativeFrom="paragraph">
              <wp:posOffset>-8890</wp:posOffset>
            </wp:positionV>
            <wp:extent cx="3888740" cy="503491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3888740" cy="50349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5600"/>
        <w:spacing w:after="0"/>
        <w:rPr>
          <w:sz w:val="20"/>
          <w:szCs w:val="20"/>
          <w:color w:val="auto"/>
        </w:rPr>
      </w:pPr>
      <w:r>
        <w:rPr>
          <w:rFonts w:ascii="Arial" w:cs="Arial" w:eastAsia="Arial" w:hAnsi="Arial"/>
          <w:sz w:val="15"/>
          <w:szCs w:val="15"/>
          <w:color w:val="auto"/>
        </w:rPr>
        <w:t>106</w:t>
      </w:r>
    </w:p>
    <w:p>
      <w:pPr>
        <w:sectPr>
          <w:pgSz w:w="11900" w:h="16838" w:orient="portrait"/>
          <w:cols w:equalWidth="0" w:num="1">
            <w:col w:w="10320"/>
          </w:cols>
          <w:pgMar w:left="240" w:top="407" w:right="1339" w:bottom="1440" w:gutter="0" w:footer="0" w:header="0"/>
        </w:sectPr>
      </w:pPr>
    </w:p>
    <w:bookmarkStart w:id="113" w:name="page114"/>
    <w:bookmarkEnd w:id="113"/>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133350</wp:posOffset>
            </wp:positionH>
            <wp:positionV relativeFrom="page">
              <wp:posOffset>88900</wp:posOffset>
            </wp:positionV>
            <wp:extent cx="7308850" cy="342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308850" cy="34290"/>
                    </a:xfrm>
                    <a:prstGeom prst="rect">
                      <a:avLst/>
                    </a:prstGeom>
                    <a:noFill/>
                  </pic:spPr>
                </pic:pic>
              </a:graphicData>
            </a:graphic>
          </wp:anchor>
        </w:drawing>
      </w:r>
      <w:hyperlink w:anchor="page7">
        <w:r>
          <w:rPr>
            <w:rFonts w:ascii="Arial" w:cs="Arial" w:eastAsia="Arial" w:hAnsi="Arial"/>
            <w:sz w:val="15"/>
            <w:szCs w:val="15"/>
            <w:b w:val="1"/>
            <w:bCs w:val="1"/>
            <w:u w:val="single" w:color="auto"/>
            <w:color w:val="0000EE"/>
          </w:rPr>
          <w:t>Table of Contents</w:t>
        </w:r>
      </w:hyperlink>
    </w:p>
    <w:p>
      <w:pPr>
        <w:spacing w:after="0" w:line="260" w:lineRule="exact"/>
        <w:rPr>
          <w:sz w:val="20"/>
          <w:szCs w:val="20"/>
          <w:color w:val="auto"/>
        </w:rPr>
      </w:pPr>
    </w:p>
    <w:p>
      <w:pPr>
        <w:ind w:left="1120" w:firstLine="368"/>
        <w:spacing w:after="0" w:line="257" w:lineRule="auto"/>
        <w:rPr>
          <w:sz w:val="20"/>
          <w:szCs w:val="20"/>
          <w:color w:val="auto"/>
        </w:rPr>
      </w:pPr>
      <w:r>
        <w:rPr>
          <w:rFonts w:ascii="Arial" w:cs="Arial" w:eastAsia="Arial" w:hAnsi="Arial"/>
          <w:sz w:val="15"/>
          <w:szCs w:val="15"/>
          <w:i w:val="1"/>
          <w:iCs w:val="1"/>
          <w:color w:val="auto"/>
        </w:rPr>
        <w:t>Doc scanner</w:t>
      </w:r>
      <w:r>
        <w:rPr>
          <w:rFonts w:ascii="Arial" w:cs="Arial" w:eastAsia="Arial" w:hAnsi="Arial"/>
          <w:sz w:val="15"/>
          <w:szCs w:val="15"/>
          <w:color w:val="auto"/>
        </w:rPr>
        <w:t>. The doc scanner in our mobile app lets users create content in Dropbox from hard copies. This includes transforming everything</w:t>
      </w:r>
      <w:r>
        <w:rPr>
          <w:rFonts w:ascii="Arial" w:cs="Arial" w:eastAsia="Arial" w:hAnsi="Arial"/>
          <w:sz w:val="15"/>
          <w:szCs w:val="15"/>
          <w:i w:val="1"/>
          <w:iCs w:val="1"/>
          <w:color w:val="auto"/>
        </w:rPr>
        <w:t xml:space="preserve"> </w:t>
      </w:r>
      <w:r>
        <w:rPr>
          <w:rFonts w:ascii="Arial" w:cs="Arial" w:eastAsia="Arial" w:hAnsi="Arial"/>
          <w:sz w:val="15"/>
          <w:szCs w:val="15"/>
          <w:color w:val="auto"/>
        </w:rPr>
        <w:t>from printed materials to whiteboard brainstorming sessions into digital documents that users can edit and share. We apply proprietary machine learning techniques to automatically detect the document being scanned, extract it from the background, fit it to a rectangular shape, remove shadows, adjust the contrast, and save it as a PDF or image file. For Dropbox Business teams, scanned content is analyzed using Optical Character Recognition so text within these scans is searchable in Dropbox.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1461770</wp:posOffset>
            </wp:positionH>
            <wp:positionV relativeFrom="paragraph">
              <wp:posOffset>121920</wp:posOffset>
            </wp:positionV>
            <wp:extent cx="4332605" cy="328739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4332605" cy="32873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5600"/>
        <w:spacing w:after="0"/>
        <w:rPr>
          <w:sz w:val="20"/>
          <w:szCs w:val="20"/>
          <w:color w:val="auto"/>
        </w:rPr>
      </w:pPr>
      <w:r>
        <w:rPr>
          <w:rFonts w:ascii="Arial" w:cs="Arial" w:eastAsia="Arial" w:hAnsi="Arial"/>
          <w:sz w:val="15"/>
          <w:szCs w:val="15"/>
          <w:color w:val="auto"/>
        </w:rPr>
        <w:t>107</w:t>
      </w:r>
    </w:p>
    <w:p>
      <w:pPr>
        <w:sectPr>
          <w:pgSz w:w="11900" w:h="16838" w:orient="portrait"/>
          <w:cols w:equalWidth="0" w:num="1">
            <w:col w:w="10280"/>
          </w:cols>
          <w:pgMar w:left="240" w:top="407" w:right="1379" w:bottom="1440" w:gutter="0" w:footer="0" w:header="0"/>
        </w:sectPr>
      </w:pPr>
    </w:p>
    <w:bookmarkStart w:id="114" w:name="page115"/>
    <w:bookmarkEnd w:id="114"/>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133350</wp:posOffset>
            </wp:positionH>
            <wp:positionV relativeFrom="page">
              <wp:posOffset>88900</wp:posOffset>
            </wp:positionV>
            <wp:extent cx="7308850" cy="342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308850" cy="34290"/>
                    </a:xfrm>
                    <a:prstGeom prst="rect">
                      <a:avLst/>
                    </a:prstGeom>
                    <a:noFill/>
                  </pic:spPr>
                </pic:pic>
              </a:graphicData>
            </a:graphic>
          </wp:anchor>
        </w:drawing>
      </w:r>
      <w:hyperlink w:anchor="page7">
        <w:r>
          <w:rPr>
            <w:rFonts w:ascii="Arial" w:cs="Arial" w:eastAsia="Arial" w:hAnsi="Arial"/>
            <w:sz w:val="15"/>
            <w:szCs w:val="15"/>
            <w:b w:val="1"/>
            <w:bCs w:val="1"/>
            <w:u w:val="single" w:color="auto"/>
            <w:color w:val="0000EE"/>
          </w:rPr>
          <w:t>Table of Contents</w:t>
        </w:r>
      </w:hyperlink>
    </w:p>
    <w:p>
      <w:pPr>
        <w:spacing w:after="0" w:line="260" w:lineRule="exact"/>
        <w:rPr>
          <w:sz w:val="20"/>
          <w:szCs w:val="20"/>
          <w:color w:val="auto"/>
        </w:rPr>
      </w:pPr>
    </w:p>
    <w:p>
      <w:pPr>
        <w:ind w:left="1480"/>
        <w:spacing w:after="0"/>
        <w:rPr>
          <w:sz w:val="20"/>
          <w:szCs w:val="20"/>
          <w:color w:val="auto"/>
        </w:rPr>
      </w:pPr>
      <w:r>
        <w:rPr>
          <w:rFonts w:ascii="Arial" w:cs="Arial" w:eastAsia="Arial" w:hAnsi="Arial"/>
          <w:sz w:val="15"/>
          <w:szCs w:val="15"/>
          <w:b w:val="1"/>
          <w:bCs w:val="1"/>
          <w:i w:val="1"/>
          <w:iCs w:val="1"/>
          <w:color w:val="auto"/>
        </w:rPr>
        <w:t>Access and organize</w:t>
      </w:r>
    </w:p>
    <w:p>
      <w:pPr>
        <w:spacing w:after="0" w:line="98" w:lineRule="exact"/>
        <w:rPr>
          <w:sz w:val="20"/>
          <w:szCs w:val="20"/>
          <w:color w:val="auto"/>
        </w:rPr>
      </w:pPr>
    </w:p>
    <w:p>
      <w:pPr>
        <w:jc w:val="both"/>
        <w:ind w:left="1120" w:right="119" w:firstLine="368"/>
        <w:spacing w:after="0" w:line="263" w:lineRule="auto"/>
        <w:rPr>
          <w:sz w:val="20"/>
          <w:szCs w:val="20"/>
          <w:color w:val="auto"/>
        </w:rPr>
      </w:pPr>
      <w:r>
        <w:rPr>
          <w:rFonts w:ascii="Arial" w:cs="Arial" w:eastAsia="Arial" w:hAnsi="Arial"/>
          <w:sz w:val="15"/>
          <w:szCs w:val="15"/>
          <w:i w:val="1"/>
          <w:iCs w:val="1"/>
          <w:color w:val="auto"/>
        </w:rPr>
        <w:t>Search</w:t>
      </w:r>
      <w:r>
        <w:rPr>
          <w:rFonts w:ascii="Arial" w:cs="Arial" w:eastAsia="Arial" w:hAnsi="Arial"/>
          <w:sz w:val="15"/>
          <w:szCs w:val="15"/>
          <w:color w:val="auto"/>
        </w:rPr>
        <w:t>. Dropbox has powerful search capabilities that allow users to quickly find the files and folders they need. Our autocomplete technology</w:t>
      </w:r>
      <w:r>
        <w:rPr>
          <w:rFonts w:ascii="Arial" w:cs="Arial" w:eastAsia="Arial" w:hAnsi="Arial"/>
          <w:sz w:val="15"/>
          <w:szCs w:val="15"/>
          <w:i w:val="1"/>
          <w:iCs w:val="1"/>
          <w:color w:val="auto"/>
        </w:rPr>
        <w:t xml:space="preserve"> </w:t>
      </w:r>
      <w:r>
        <w:rPr>
          <w:rFonts w:ascii="Arial" w:cs="Arial" w:eastAsia="Arial" w:hAnsi="Arial"/>
          <w:sz w:val="15"/>
          <w:szCs w:val="15"/>
          <w:color w:val="auto"/>
        </w:rPr>
        <w:t>surfaces and prioritizes content based on users’ previous activity. For Dropbox Professional subscribers and Dropbox Business teams, full text search allows users to scan the entire content of their files.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1461770</wp:posOffset>
            </wp:positionH>
            <wp:positionV relativeFrom="paragraph">
              <wp:posOffset>119380</wp:posOffset>
            </wp:positionV>
            <wp:extent cx="4332605" cy="234188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4332605" cy="23418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both"/>
        <w:ind w:left="1120" w:right="79" w:firstLine="368"/>
        <w:spacing w:after="0" w:line="263" w:lineRule="auto"/>
        <w:rPr>
          <w:sz w:val="20"/>
          <w:szCs w:val="20"/>
          <w:color w:val="auto"/>
        </w:rPr>
      </w:pPr>
      <w:r>
        <w:rPr>
          <w:rFonts w:ascii="Arial" w:cs="Arial" w:eastAsia="Arial" w:hAnsi="Arial"/>
          <w:sz w:val="15"/>
          <w:szCs w:val="15"/>
          <w:i w:val="1"/>
          <w:iCs w:val="1"/>
          <w:color w:val="auto"/>
        </w:rPr>
        <w:t>Rich previews</w:t>
      </w:r>
      <w:r>
        <w:rPr>
          <w:rFonts w:ascii="Arial" w:cs="Arial" w:eastAsia="Arial" w:hAnsi="Arial"/>
          <w:sz w:val="15"/>
          <w:szCs w:val="15"/>
          <w:color w:val="auto"/>
        </w:rPr>
        <w:t>. Rich previews allow users to easily interact with files across any device without having to open different applications. Users can</w:t>
      </w:r>
      <w:r>
        <w:rPr>
          <w:rFonts w:ascii="Arial" w:cs="Arial" w:eastAsia="Arial" w:hAnsi="Arial"/>
          <w:sz w:val="15"/>
          <w:szCs w:val="15"/>
          <w:i w:val="1"/>
          <w:iCs w:val="1"/>
          <w:color w:val="auto"/>
        </w:rPr>
        <w:t xml:space="preserve"> </w:t>
      </w:r>
      <w:r>
        <w:rPr>
          <w:rFonts w:ascii="Arial" w:cs="Arial" w:eastAsia="Arial" w:hAnsi="Arial"/>
          <w:sz w:val="15"/>
          <w:szCs w:val="15"/>
          <w:color w:val="auto"/>
        </w:rPr>
        <w:t>comment on, annotate, review, and present files, and see who viewed and edited them. We support previews of over 280 file types, and Dropbox users currently preview files tens of millions of times every day.</w:t>
      </w:r>
    </w:p>
    <w:p>
      <w:pPr>
        <w:spacing w:after="0" w:line="98" w:lineRule="exact"/>
        <w:rPr>
          <w:sz w:val="20"/>
          <w:szCs w:val="20"/>
          <w:color w:val="auto"/>
        </w:rPr>
      </w:pPr>
    </w:p>
    <w:p>
      <w:pPr>
        <w:ind w:left="5600"/>
        <w:spacing w:after="0"/>
        <w:rPr>
          <w:sz w:val="20"/>
          <w:szCs w:val="20"/>
          <w:color w:val="auto"/>
        </w:rPr>
      </w:pPr>
      <w:r>
        <w:rPr>
          <w:rFonts w:ascii="Arial" w:cs="Arial" w:eastAsia="Arial" w:hAnsi="Arial"/>
          <w:sz w:val="15"/>
          <w:szCs w:val="15"/>
          <w:color w:val="auto"/>
        </w:rPr>
        <w:t>108</w:t>
      </w:r>
    </w:p>
    <w:p>
      <w:pPr>
        <w:sectPr>
          <w:pgSz w:w="11900" w:h="16838" w:orient="portrait"/>
          <w:cols w:equalWidth="0" w:num="1">
            <w:col w:w="10219"/>
          </w:cols>
          <w:pgMar w:left="240" w:top="407" w:right="1440" w:bottom="1440" w:gutter="0" w:footer="0" w:header="0"/>
        </w:sectPr>
      </w:pPr>
    </w:p>
    <w:bookmarkStart w:id="115" w:name="page116"/>
    <w:bookmarkEnd w:id="115"/>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133350</wp:posOffset>
            </wp:positionH>
            <wp:positionV relativeFrom="page">
              <wp:posOffset>88900</wp:posOffset>
            </wp:positionV>
            <wp:extent cx="7308850" cy="342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308850" cy="34290"/>
                    </a:xfrm>
                    <a:prstGeom prst="rect">
                      <a:avLst/>
                    </a:prstGeom>
                    <a:noFill/>
                  </pic:spPr>
                </pic:pic>
              </a:graphicData>
            </a:graphic>
          </wp:anchor>
        </w:drawing>
      </w:r>
      <w:hyperlink w:anchor="page7">
        <w:r>
          <w:rPr>
            <w:rFonts w:ascii="Arial" w:cs="Arial" w:eastAsia="Arial" w:hAnsi="Arial"/>
            <w:sz w:val="15"/>
            <w:szCs w:val="15"/>
            <w:b w:val="1"/>
            <w:bCs w:val="1"/>
            <w:u w:val="single" w:color="auto"/>
            <w:color w:val="0000EE"/>
          </w:rPr>
          <w:t>Table of Contents</w:t>
        </w:r>
      </w:hyperlink>
    </w:p>
    <w:p>
      <w:pPr>
        <w:spacing w:after="0" w:line="260" w:lineRule="exact"/>
        <w:rPr>
          <w:sz w:val="20"/>
          <w:szCs w:val="20"/>
          <w:color w:val="auto"/>
        </w:rPr>
      </w:pPr>
    </w:p>
    <w:p>
      <w:pPr>
        <w:ind w:left="1120" w:firstLine="368"/>
        <w:spacing w:after="0" w:line="311" w:lineRule="auto"/>
        <w:rPr>
          <w:sz w:val="20"/>
          <w:szCs w:val="20"/>
          <w:color w:val="auto"/>
        </w:rPr>
      </w:pPr>
      <w:r>
        <w:rPr>
          <w:rFonts w:ascii="Arial" w:cs="Arial" w:eastAsia="Arial" w:hAnsi="Arial"/>
          <w:sz w:val="13"/>
          <w:szCs w:val="13"/>
          <w:i w:val="1"/>
          <w:iCs w:val="1"/>
          <w:color w:val="auto"/>
        </w:rPr>
        <w:t>Smart Sync</w:t>
      </w:r>
      <w:r>
        <w:rPr>
          <w:rFonts w:ascii="Arial" w:cs="Arial" w:eastAsia="Arial" w:hAnsi="Arial"/>
          <w:sz w:val="13"/>
          <w:szCs w:val="13"/>
          <w:color w:val="auto"/>
        </w:rPr>
        <w:t>. With Smart Sync, users can access all of their content natively on their computers without taking up storage space on their local hard</w:t>
      </w:r>
      <w:r>
        <w:rPr>
          <w:rFonts w:ascii="Arial" w:cs="Arial" w:eastAsia="Arial" w:hAnsi="Arial"/>
          <w:sz w:val="13"/>
          <w:szCs w:val="13"/>
          <w:i w:val="1"/>
          <w:iCs w:val="1"/>
          <w:color w:val="auto"/>
        </w:rPr>
        <w:t xml:space="preserve"> </w:t>
      </w:r>
      <w:r>
        <w:rPr>
          <w:rFonts w:ascii="Arial" w:cs="Arial" w:eastAsia="Arial" w:hAnsi="Arial"/>
          <w:sz w:val="13"/>
          <w:szCs w:val="13"/>
          <w:color w:val="auto"/>
        </w:rPr>
        <w:t>drives. We intelligently sync files to a user’s computer as they need them, and users can control which files or folders are always synced locally. With Smart Sync, files that are only stored in the cloud appear in the local file system and can be opened directly from Windows File Explorer or Mac Finder, instead of having to navigate to our web interface. Smart Sync is available to Dropbox Professional subscribers and Dropbox Business teams.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1461770</wp:posOffset>
            </wp:positionH>
            <wp:positionV relativeFrom="paragraph">
              <wp:posOffset>-26035</wp:posOffset>
            </wp:positionV>
            <wp:extent cx="4332605" cy="293624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4332605" cy="29362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both"/>
        <w:ind w:left="1120" w:right="120" w:firstLine="368"/>
        <w:spacing w:after="0" w:line="263" w:lineRule="auto"/>
        <w:rPr>
          <w:sz w:val="20"/>
          <w:szCs w:val="20"/>
          <w:color w:val="auto"/>
        </w:rPr>
      </w:pPr>
      <w:r>
        <w:rPr>
          <w:rFonts w:ascii="Arial" w:cs="Arial" w:eastAsia="Arial" w:hAnsi="Arial"/>
          <w:sz w:val="15"/>
          <w:szCs w:val="15"/>
          <w:i w:val="1"/>
          <w:iCs w:val="1"/>
          <w:color w:val="auto"/>
        </w:rPr>
        <w:t>Version history</w:t>
      </w:r>
      <w:r>
        <w:rPr>
          <w:rFonts w:ascii="Arial" w:cs="Arial" w:eastAsia="Arial" w:hAnsi="Arial"/>
          <w:sz w:val="15"/>
          <w:szCs w:val="15"/>
          <w:color w:val="auto"/>
        </w:rPr>
        <w:t>. As paying users work on files, our servers keep snapshots of all their changes. Users can see a file’s complete version history so</w:t>
      </w:r>
      <w:r>
        <w:rPr>
          <w:rFonts w:ascii="Arial" w:cs="Arial" w:eastAsia="Arial" w:hAnsi="Arial"/>
          <w:sz w:val="15"/>
          <w:szCs w:val="15"/>
          <w:i w:val="1"/>
          <w:iCs w:val="1"/>
          <w:color w:val="auto"/>
        </w:rPr>
        <w:t xml:space="preserve"> </w:t>
      </w:r>
      <w:r>
        <w:rPr>
          <w:rFonts w:ascii="Arial" w:cs="Arial" w:eastAsia="Arial" w:hAnsi="Arial"/>
          <w:sz w:val="15"/>
          <w:szCs w:val="15"/>
          <w:color w:val="auto"/>
        </w:rPr>
        <w:t>they can reference and retrieve older versions if needed. Version histories are kept between 30 to 120 days for paying users, depending on subscription plan.</w:t>
      </w:r>
    </w:p>
    <w:p>
      <w:pPr>
        <w:spacing w:after="0" w:line="155" w:lineRule="exact"/>
        <w:rPr>
          <w:sz w:val="20"/>
          <w:szCs w:val="20"/>
          <w:color w:val="auto"/>
        </w:rPr>
      </w:pPr>
    </w:p>
    <w:p>
      <w:pPr>
        <w:ind w:left="1120" w:right="280" w:firstLine="368"/>
        <w:spacing w:after="0" w:line="279" w:lineRule="auto"/>
        <w:rPr>
          <w:sz w:val="20"/>
          <w:szCs w:val="20"/>
          <w:color w:val="auto"/>
        </w:rPr>
      </w:pPr>
      <w:r>
        <w:rPr>
          <w:rFonts w:ascii="Arial" w:cs="Arial" w:eastAsia="Arial" w:hAnsi="Arial"/>
          <w:sz w:val="14"/>
          <w:szCs w:val="14"/>
          <w:i w:val="1"/>
          <w:iCs w:val="1"/>
          <w:color w:val="auto"/>
        </w:rPr>
        <w:t>Third-party ecosystem</w:t>
      </w:r>
      <w:r>
        <w:rPr>
          <w:rFonts w:ascii="Arial" w:cs="Arial" w:eastAsia="Arial" w:hAnsi="Arial"/>
          <w:sz w:val="14"/>
          <w:szCs w:val="14"/>
          <w:color w:val="auto"/>
        </w:rPr>
        <w:t>. Our open and thriving ecosystem fosters deeper relationships with our users and developers. Developers can build</w:t>
      </w:r>
      <w:r>
        <w:rPr>
          <w:rFonts w:ascii="Arial" w:cs="Arial" w:eastAsia="Arial" w:hAnsi="Arial"/>
          <w:sz w:val="14"/>
          <w:szCs w:val="14"/>
          <w:i w:val="1"/>
          <w:iCs w:val="1"/>
          <w:color w:val="auto"/>
        </w:rPr>
        <w:t xml:space="preserve"> </w:t>
      </w:r>
      <w:r>
        <w:rPr>
          <w:rFonts w:ascii="Arial" w:cs="Arial" w:eastAsia="Arial" w:hAnsi="Arial"/>
          <w:sz w:val="14"/>
          <w:szCs w:val="14"/>
          <w:color w:val="auto"/>
        </w:rPr>
        <w:t>applications that connect to Dropbox through our DBX Developer Platform. For example, email apps can plug into Dropbox to send attachments or shared links, and note-taking apps can allow users to save to Dropbox so they can open their notes on another device. As of December 31, 2017, Dropbox was receiving over 50 billion API calls per month and over 500,000 developers had registered and built applications on our platform. In addition, more than 75% of Dropbox Business teams have linked to one or more third-party applications.</w:t>
      </w:r>
    </w:p>
    <w:p>
      <w:pPr>
        <w:spacing w:after="0" w:line="237" w:lineRule="exact"/>
        <w:rPr>
          <w:sz w:val="20"/>
          <w:szCs w:val="20"/>
          <w:color w:val="auto"/>
        </w:rPr>
      </w:pPr>
    </w:p>
    <w:p>
      <w:pPr>
        <w:ind w:left="1480"/>
        <w:spacing w:after="0"/>
        <w:rPr>
          <w:sz w:val="20"/>
          <w:szCs w:val="20"/>
          <w:color w:val="auto"/>
        </w:rPr>
      </w:pPr>
      <w:r>
        <w:rPr>
          <w:rFonts w:ascii="Arial" w:cs="Arial" w:eastAsia="Arial" w:hAnsi="Arial"/>
          <w:sz w:val="15"/>
          <w:szCs w:val="15"/>
          <w:b w:val="1"/>
          <w:bCs w:val="1"/>
          <w:i w:val="1"/>
          <w:iCs w:val="1"/>
          <w:color w:val="auto"/>
        </w:rPr>
        <w:t>Share</w:t>
      </w:r>
    </w:p>
    <w:p>
      <w:pPr>
        <w:spacing w:after="0" w:line="98" w:lineRule="exact"/>
        <w:rPr>
          <w:sz w:val="20"/>
          <w:szCs w:val="20"/>
          <w:color w:val="auto"/>
        </w:rPr>
      </w:pPr>
    </w:p>
    <w:p>
      <w:pPr>
        <w:ind w:left="1120" w:right="20" w:firstLine="368"/>
        <w:spacing w:after="0" w:line="290" w:lineRule="auto"/>
        <w:rPr>
          <w:sz w:val="20"/>
          <w:szCs w:val="20"/>
          <w:color w:val="auto"/>
        </w:rPr>
      </w:pPr>
      <w:r>
        <w:rPr>
          <w:rFonts w:ascii="Arial" w:cs="Arial" w:eastAsia="Arial" w:hAnsi="Arial"/>
          <w:sz w:val="14"/>
          <w:szCs w:val="14"/>
          <w:i w:val="1"/>
          <w:iCs w:val="1"/>
          <w:color w:val="auto"/>
        </w:rPr>
        <w:t>Folders</w:t>
      </w:r>
      <w:r>
        <w:rPr>
          <w:rFonts w:ascii="Arial" w:cs="Arial" w:eastAsia="Arial" w:hAnsi="Arial"/>
          <w:sz w:val="14"/>
          <w:szCs w:val="14"/>
          <w:color w:val="auto"/>
        </w:rPr>
        <w:t>. There are three types of folders in Dropbox: private, shared, and team folders. A private folder allows an individual to sync files between</w:t>
      </w:r>
      <w:r>
        <w:rPr>
          <w:rFonts w:ascii="Arial" w:cs="Arial" w:eastAsia="Arial" w:hAnsi="Arial"/>
          <w:sz w:val="14"/>
          <w:szCs w:val="14"/>
          <w:i w:val="1"/>
          <w:iCs w:val="1"/>
          <w:color w:val="auto"/>
        </w:rPr>
        <w:t xml:space="preserve"> </w:t>
      </w:r>
      <w:r>
        <w:rPr>
          <w:rFonts w:ascii="Arial" w:cs="Arial" w:eastAsia="Arial" w:hAnsi="Arial"/>
          <w:sz w:val="14"/>
          <w:szCs w:val="14"/>
          <w:color w:val="auto"/>
        </w:rPr>
        <w:t>devices. A shared folder allows users to quickly and easily start a project space for group collaboration. A team folder, which is only available for Dropbox Business teams, is a central, administrator-managed hub where they can store and collaborate on content.</w:t>
      </w:r>
    </w:p>
    <w:p>
      <w:pPr>
        <w:spacing w:after="0" w:line="82" w:lineRule="exact"/>
        <w:rPr>
          <w:sz w:val="20"/>
          <w:szCs w:val="20"/>
          <w:color w:val="auto"/>
        </w:rPr>
      </w:pPr>
    </w:p>
    <w:p>
      <w:pPr>
        <w:ind w:left="5600"/>
        <w:spacing w:after="0"/>
        <w:rPr>
          <w:sz w:val="20"/>
          <w:szCs w:val="20"/>
          <w:color w:val="auto"/>
        </w:rPr>
      </w:pPr>
      <w:r>
        <w:rPr>
          <w:rFonts w:ascii="Arial" w:cs="Arial" w:eastAsia="Arial" w:hAnsi="Arial"/>
          <w:sz w:val="15"/>
          <w:szCs w:val="15"/>
          <w:color w:val="auto"/>
        </w:rPr>
        <w:t>109</w:t>
      </w:r>
    </w:p>
    <w:p>
      <w:pPr>
        <w:sectPr>
          <w:pgSz w:w="11900" w:h="16838" w:orient="portrait"/>
          <w:cols w:equalWidth="0" w:num="1">
            <w:col w:w="10280"/>
          </w:cols>
          <w:pgMar w:left="240" w:top="407" w:right="1379" w:bottom="1440" w:gutter="0" w:footer="0" w:header="0"/>
        </w:sectPr>
      </w:pPr>
    </w:p>
    <w:bookmarkStart w:id="116" w:name="page117"/>
    <w:bookmarkEnd w:id="116"/>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133350</wp:posOffset>
            </wp:positionH>
            <wp:positionV relativeFrom="page">
              <wp:posOffset>88900</wp:posOffset>
            </wp:positionV>
            <wp:extent cx="7308850" cy="342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308850" cy="34290"/>
                    </a:xfrm>
                    <a:prstGeom prst="rect">
                      <a:avLst/>
                    </a:prstGeom>
                    <a:noFill/>
                  </pic:spPr>
                </pic:pic>
              </a:graphicData>
            </a:graphic>
          </wp:anchor>
        </w:drawing>
      </w:r>
      <w:hyperlink w:anchor="page7">
        <w:r>
          <w:rPr>
            <w:rFonts w:ascii="Arial" w:cs="Arial" w:eastAsia="Arial" w:hAnsi="Arial"/>
            <w:sz w:val="15"/>
            <w:szCs w:val="15"/>
            <w:b w:val="1"/>
            <w:bCs w:val="1"/>
            <w:u w:val="single" w:color="auto"/>
            <w:color w:val="0000EE"/>
          </w:rPr>
          <w:t>Table of Contents</w:t>
        </w:r>
      </w:hyperlink>
    </w:p>
    <w:p>
      <w:pPr>
        <w:spacing w:after="0" w:line="260" w:lineRule="exact"/>
        <w:rPr>
          <w:sz w:val="20"/>
          <w:szCs w:val="20"/>
          <w:color w:val="auto"/>
        </w:rPr>
      </w:pPr>
    </w:p>
    <w:p>
      <w:pPr>
        <w:jc w:val="both"/>
        <w:ind w:left="1120" w:firstLine="368"/>
        <w:spacing w:after="0" w:line="259" w:lineRule="auto"/>
        <w:rPr>
          <w:sz w:val="20"/>
          <w:szCs w:val="20"/>
          <w:color w:val="auto"/>
        </w:rPr>
      </w:pPr>
      <w:r>
        <w:rPr>
          <w:rFonts w:ascii="Arial" w:cs="Arial" w:eastAsia="Arial" w:hAnsi="Arial"/>
          <w:sz w:val="15"/>
          <w:szCs w:val="15"/>
          <w:i w:val="1"/>
          <w:iCs w:val="1"/>
          <w:color w:val="auto"/>
        </w:rPr>
        <w:t>Shared links</w:t>
      </w:r>
      <w:r>
        <w:rPr>
          <w:rFonts w:ascii="Arial" w:cs="Arial" w:eastAsia="Arial" w:hAnsi="Arial"/>
          <w:sz w:val="15"/>
          <w:szCs w:val="15"/>
          <w:color w:val="auto"/>
        </w:rPr>
        <w:t>. Users can share files and folders with anyone, including non-Dropbox users, by creating a Dropbox link. Once created, the link can</w:t>
      </w:r>
      <w:r>
        <w:rPr>
          <w:rFonts w:ascii="Arial" w:cs="Arial" w:eastAsia="Arial" w:hAnsi="Arial"/>
          <w:sz w:val="15"/>
          <w:szCs w:val="15"/>
          <w:i w:val="1"/>
          <w:iCs w:val="1"/>
          <w:color w:val="auto"/>
        </w:rPr>
        <w:t xml:space="preserve"> </w:t>
      </w:r>
      <w:r>
        <w:rPr>
          <w:rFonts w:ascii="Arial" w:cs="Arial" w:eastAsia="Arial" w:hAnsi="Arial"/>
          <w:sz w:val="15"/>
          <w:szCs w:val="15"/>
          <w:color w:val="auto"/>
        </w:rPr>
        <w:t>be sent through email, text, Facebook, Twitter, instant message, or other channels. The recipient can view the file with a rich preview or see all the files in a shared folder. Dropbox Professional subscribers and Dropbox Business teams can set passwords and expiration dates and specify whether recipients can comment on or download the files.</w:t>
      </w:r>
    </w:p>
    <w:p>
      <w:pPr>
        <w:spacing w:after="0" w:line="158" w:lineRule="exact"/>
        <w:rPr>
          <w:sz w:val="20"/>
          <w:szCs w:val="20"/>
          <w:color w:val="auto"/>
        </w:rPr>
      </w:pPr>
    </w:p>
    <w:p>
      <w:pPr>
        <w:ind w:left="1120" w:right="360" w:firstLine="368"/>
        <w:spacing w:after="0" w:line="259" w:lineRule="auto"/>
        <w:rPr>
          <w:sz w:val="20"/>
          <w:szCs w:val="20"/>
          <w:color w:val="auto"/>
        </w:rPr>
      </w:pPr>
      <w:r>
        <w:rPr>
          <w:rFonts w:ascii="Arial" w:cs="Arial" w:eastAsia="Arial" w:hAnsi="Arial"/>
          <w:sz w:val="15"/>
          <w:szCs w:val="15"/>
          <w:i w:val="1"/>
          <w:iCs w:val="1"/>
          <w:color w:val="auto"/>
        </w:rPr>
        <w:t>Showcase</w:t>
      </w:r>
      <w:r>
        <w:rPr>
          <w:rFonts w:ascii="Arial" w:cs="Arial" w:eastAsia="Arial" w:hAnsi="Arial"/>
          <w:sz w:val="15"/>
          <w:szCs w:val="15"/>
          <w:color w:val="auto"/>
        </w:rPr>
        <w:t>. Showcase gives users a way to present their work to clients and business partners through a customizable, professionally branded</w:t>
      </w:r>
      <w:r>
        <w:rPr>
          <w:rFonts w:ascii="Arial" w:cs="Arial" w:eastAsia="Arial" w:hAnsi="Arial"/>
          <w:sz w:val="15"/>
          <w:szCs w:val="15"/>
          <w:i w:val="1"/>
          <w:iCs w:val="1"/>
          <w:color w:val="auto"/>
        </w:rPr>
        <w:t xml:space="preserve"> </w:t>
      </w:r>
      <w:r>
        <w:rPr>
          <w:rFonts w:ascii="Arial" w:cs="Arial" w:eastAsia="Arial" w:hAnsi="Arial"/>
          <w:sz w:val="15"/>
          <w:szCs w:val="15"/>
          <w:color w:val="auto"/>
        </w:rPr>
        <w:t>webpage. Users can display visual previews of multiple files on the same page and add relevant context with introductory text and captions and an introduction. Showcase also lets users track how recipients engage with their content, including analytics on who has viewed, commented, or downloaded content on a per-person and per-file basis.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1461770</wp:posOffset>
            </wp:positionH>
            <wp:positionV relativeFrom="paragraph">
              <wp:posOffset>121285</wp:posOffset>
            </wp:positionV>
            <wp:extent cx="4332605" cy="42754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4332605" cy="42754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5600"/>
        <w:spacing w:after="0"/>
        <w:rPr>
          <w:sz w:val="20"/>
          <w:szCs w:val="20"/>
          <w:color w:val="auto"/>
        </w:rPr>
      </w:pPr>
      <w:r>
        <w:rPr>
          <w:rFonts w:ascii="Arial" w:cs="Arial" w:eastAsia="Arial" w:hAnsi="Arial"/>
          <w:sz w:val="15"/>
          <w:szCs w:val="15"/>
          <w:color w:val="auto"/>
        </w:rPr>
        <w:t>110</w:t>
      </w:r>
    </w:p>
    <w:p>
      <w:pPr>
        <w:sectPr>
          <w:pgSz w:w="11900" w:h="16838" w:orient="portrait"/>
          <w:cols w:equalWidth="0" w:num="1">
            <w:col w:w="10280"/>
          </w:cols>
          <w:pgMar w:left="240" w:top="407" w:right="1379" w:bottom="1440" w:gutter="0" w:footer="0" w:header="0"/>
        </w:sectPr>
      </w:pPr>
    </w:p>
    <w:bookmarkStart w:id="117" w:name="page118"/>
    <w:bookmarkEnd w:id="117"/>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133350</wp:posOffset>
            </wp:positionH>
            <wp:positionV relativeFrom="page">
              <wp:posOffset>88900</wp:posOffset>
            </wp:positionV>
            <wp:extent cx="7308850" cy="342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308850" cy="34290"/>
                    </a:xfrm>
                    <a:prstGeom prst="rect">
                      <a:avLst/>
                    </a:prstGeom>
                    <a:noFill/>
                  </pic:spPr>
                </pic:pic>
              </a:graphicData>
            </a:graphic>
          </wp:anchor>
        </w:drawing>
      </w:r>
      <w:hyperlink w:anchor="page7">
        <w:r>
          <w:rPr>
            <w:rFonts w:ascii="Arial" w:cs="Arial" w:eastAsia="Arial" w:hAnsi="Arial"/>
            <w:sz w:val="15"/>
            <w:szCs w:val="15"/>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1461770</wp:posOffset>
            </wp:positionH>
            <wp:positionV relativeFrom="paragraph">
              <wp:posOffset>171450</wp:posOffset>
            </wp:positionV>
            <wp:extent cx="4332605" cy="38817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4332605" cy="38817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left="1120" w:right="119" w:firstLine="368"/>
        <w:spacing w:after="0" w:line="290" w:lineRule="auto"/>
        <w:rPr>
          <w:sz w:val="20"/>
          <w:szCs w:val="20"/>
          <w:color w:val="auto"/>
        </w:rPr>
      </w:pPr>
      <w:r>
        <w:rPr>
          <w:rFonts w:ascii="Arial" w:cs="Arial" w:eastAsia="Arial" w:hAnsi="Arial"/>
          <w:sz w:val="14"/>
          <w:szCs w:val="14"/>
          <w:i w:val="1"/>
          <w:iCs w:val="1"/>
          <w:color w:val="auto"/>
        </w:rPr>
        <w:t>File requests</w:t>
      </w:r>
      <w:r>
        <w:rPr>
          <w:rFonts w:ascii="Arial" w:cs="Arial" w:eastAsia="Arial" w:hAnsi="Arial"/>
          <w:sz w:val="14"/>
          <w:szCs w:val="14"/>
          <w:color w:val="auto"/>
        </w:rPr>
        <w:t>. With file requests, users can invite anyone to submit files into a specified Dropbox folder through a simple link—regardless of</w:t>
      </w:r>
      <w:r>
        <w:rPr>
          <w:rFonts w:ascii="Arial" w:cs="Arial" w:eastAsia="Arial" w:hAnsi="Arial"/>
          <w:sz w:val="14"/>
          <w:szCs w:val="14"/>
          <w:i w:val="1"/>
          <w:iCs w:val="1"/>
          <w:color w:val="auto"/>
        </w:rPr>
        <w:t xml:space="preserve"> </w:t>
      </w:r>
      <w:r>
        <w:rPr>
          <w:rFonts w:ascii="Arial" w:cs="Arial" w:eastAsia="Arial" w:hAnsi="Arial"/>
          <w:sz w:val="14"/>
          <w:szCs w:val="14"/>
          <w:color w:val="auto"/>
        </w:rPr>
        <w:t>whether the recipient has a Dropbox account. File requests are ideal for tasks such as collecting bids from contractors or requesting submissions from coworkers and clients. All submitted files are organized into a Dropbox folder that’s private to the requesting user.</w:t>
      </w:r>
    </w:p>
    <w:p>
      <w:pPr>
        <w:spacing w:after="0" w:line="82" w:lineRule="exact"/>
        <w:rPr>
          <w:sz w:val="20"/>
          <w:szCs w:val="20"/>
          <w:color w:val="auto"/>
        </w:rPr>
      </w:pPr>
    </w:p>
    <w:p>
      <w:pPr>
        <w:ind w:left="5600"/>
        <w:spacing w:after="0"/>
        <w:rPr>
          <w:sz w:val="20"/>
          <w:szCs w:val="20"/>
          <w:color w:val="auto"/>
        </w:rPr>
      </w:pPr>
      <w:r>
        <w:rPr>
          <w:rFonts w:ascii="Arial" w:cs="Arial" w:eastAsia="Arial" w:hAnsi="Arial"/>
          <w:sz w:val="15"/>
          <w:szCs w:val="15"/>
          <w:color w:val="auto"/>
        </w:rPr>
        <w:t>111</w:t>
      </w:r>
    </w:p>
    <w:p>
      <w:pPr>
        <w:sectPr>
          <w:pgSz w:w="11900" w:h="16838" w:orient="portrait"/>
          <w:cols w:equalWidth="0" w:num="1">
            <w:col w:w="10219"/>
          </w:cols>
          <w:pgMar w:left="240" w:top="407" w:right="1440" w:bottom="1440" w:gutter="0" w:footer="0" w:header="0"/>
        </w:sectPr>
      </w:pPr>
    </w:p>
    <w:bookmarkStart w:id="118" w:name="page119"/>
    <w:bookmarkEnd w:id="118"/>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133350</wp:posOffset>
            </wp:positionH>
            <wp:positionV relativeFrom="page">
              <wp:posOffset>88900</wp:posOffset>
            </wp:positionV>
            <wp:extent cx="7308850" cy="342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308850" cy="34290"/>
                    </a:xfrm>
                    <a:prstGeom prst="rect">
                      <a:avLst/>
                    </a:prstGeom>
                    <a:noFill/>
                  </pic:spPr>
                </pic:pic>
              </a:graphicData>
            </a:graphic>
          </wp:anchor>
        </w:drawing>
      </w:r>
      <w:hyperlink w:anchor="page7">
        <w:r>
          <w:rPr>
            <w:rFonts w:ascii="Arial" w:cs="Arial" w:eastAsia="Arial" w:hAnsi="Arial"/>
            <w:sz w:val="15"/>
            <w:szCs w:val="15"/>
            <w:b w:val="1"/>
            <w:bCs w:val="1"/>
            <w:u w:val="single" w:color="auto"/>
            <w:color w:val="0000EE"/>
          </w:rPr>
          <w:t>Table of Contents</w:t>
        </w:r>
      </w:hyperlink>
    </w:p>
    <w:p>
      <w:pPr>
        <w:spacing w:after="0" w:line="260" w:lineRule="exact"/>
        <w:rPr>
          <w:sz w:val="20"/>
          <w:szCs w:val="20"/>
          <w:color w:val="auto"/>
        </w:rPr>
      </w:pPr>
    </w:p>
    <w:p>
      <w:pPr>
        <w:ind w:left="1480"/>
        <w:spacing w:after="0"/>
        <w:rPr>
          <w:sz w:val="20"/>
          <w:szCs w:val="20"/>
          <w:color w:val="auto"/>
        </w:rPr>
      </w:pPr>
      <w:r>
        <w:rPr>
          <w:rFonts w:ascii="Arial" w:cs="Arial" w:eastAsia="Arial" w:hAnsi="Arial"/>
          <w:sz w:val="15"/>
          <w:szCs w:val="15"/>
          <w:b w:val="1"/>
          <w:bCs w:val="1"/>
          <w:i w:val="1"/>
          <w:iCs w:val="1"/>
          <w:color w:val="auto"/>
        </w:rPr>
        <w:t>Collaborate</w:t>
      </w:r>
    </w:p>
    <w:p>
      <w:pPr>
        <w:spacing w:after="0" w:line="98" w:lineRule="exact"/>
        <w:rPr>
          <w:sz w:val="20"/>
          <w:szCs w:val="20"/>
          <w:color w:val="auto"/>
        </w:rPr>
      </w:pPr>
    </w:p>
    <w:p>
      <w:pPr>
        <w:ind w:left="1120" w:right="79" w:firstLine="368"/>
        <w:spacing w:after="0" w:line="263" w:lineRule="auto"/>
        <w:rPr>
          <w:sz w:val="20"/>
          <w:szCs w:val="20"/>
          <w:color w:val="auto"/>
        </w:rPr>
      </w:pPr>
      <w:r>
        <w:rPr>
          <w:rFonts w:ascii="Arial" w:cs="Arial" w:eastAsia="Arial" w:hAnsi="Arial"/>
          <w:sz w:val="15"/>
          <w:szCs w:val="15"/>
          <w:i w:val="1"/>
          <w:iCs w:val="1"/>
          <w:color w:val="auto"/>
        </w:rPr>
        <w:t>Comments and annotations</w:t>
      </w:r>
      <w:r>
        <w:rPr>
          <w:rFonts w:ascii="Arial" w:cs="Arial" w:eastAsia="Arial" w:hAnsi="Arial"/>
          <w:sz w:val="15"/>
          <w:szCs w:val="15"/>
          <w:color w:val="auto"/>
        </w:rPr>
        <w:t>. Dropbox comments and annotations marry content with the conversations and relevant context around it. Instead of</w:t>
      </w:r>
      <w:r>
        <w:rPr>
          <w:rFonts w:ascii="Arial" w:cs="Arial" w:eastAsia="Arial" w:hAnsi="Arial"/>
          <w:sz w:val="15"/>
          <w:szCs w:val="15"/>
          <w:i w:val="1"/>
          <w:iCs w:val="1"/>
          <w:color w:val="auto"/>
        </w:rPr>
        <w:t xml:space="preserve"> </w:t>
      </w:r>
      <w:r>
        <w:rPr>
          <w:rFonts w:ascii="Arial" w:cs="Arial" w:eastAsia="Arial" w:hAnsi="Arial"/>
          <w:sz w:val="15"/>
          <w:szCs w:val="15"/>
          <w:color w:val="auto"/>
        </w:rPr>
        <w:t>being scattered across separate silos, such as email and chat, the editing and development of content are tied to a file. Users can give feedback on specific parts of files through a rich, innovative overlay on our web and mobile platforms.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1461770</wp:posOffset>
            </wp:positionH>
            <wp:positionV relativeFrom="paragraph">
              <wp:posOffset>119380</wp:posOffset>
            </wp:positionV>
            <wp:extent cx="4332605" cy="289306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4332605" cy="28930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1120" w:right="199" w:firstLine="368"/>
        <w:spacing w:after="0" w:line="275" w:lineRule="auto"/>
        <w:rPr>
          <w:sz w:val="20"/>
          <w:szCs w:val="20"/>
          <w:color w:val="auto"/>
        </w:rPr>
      </w:pPr>
      <w:r>
        <w:rPr>
          <w:rFonts w:ascii="Arial" w:cs="Arial" w:eastAsia="Arial" w:hAnsi="Arial"/>
          <w:sz w:val="15"/>
          <w:szCs w:val="15"/>
          <w:i w:val="1"/>
          <w:iCs w:val="1"/>
          <w:color w:val="auto"/>
        </w:rPr>
        <w:t xml:space="preserve">File activity stream. </w:t>
      </w:r>
      <w:r>
        <w:rPr>
          <w:rFonts w:ascii="Arial" w:cs="Arial" w:eastAsia="Arial" w:hAnsi="Arial"/>
          <w:sz w:val="15"/>
          <w:szCs w:val="15"/>
          <w:color w:val="auto"/>
        </w:rPr>
        <w:t>An activity feed lives next to every file preview on our web interface, telling users what’s happening with a file. The feed</w:t>
      </w:r>
      <w:r>
        <w:rPr>
          <w:rFonts w:ascii="Arial" w:cs="Arial" w:eastAsia="Arial" w:hAnsi="Arial"/>
          <w:sz w:val="15"/>
          <w:szCs w:val="15"/>
          <w:i w:val="1"/>
          <w:iCs w:val="1"/>
          <w:color w:val="auto"/>
        </w:rPr>
        <w:t xml:space="preserve"> </w:t>
      </w:r>
      <w:r>
        <w:rPr>
          <w:rFonts w:ascii="Arial" w:cs="Arial" w:eastAsia="Arial" w:hAnsi="Arial"/>
          <w:sz w:val="15"/>
          <w:szCs w:val="15"/>
          <w:color w:val="auto"/>
        </w:rPr>
        <w:t>shows when someone opens a file, edits a file, or shares a file.</w:t>
      </w:r>
    </w:p>
    <w:p>
      <w:pPr>
        <w:spacing w:after="0" w:line="146" w:lineRule="exact"/>
        <w:rPr>
          <w:sz w:val="20"/>
          <w:szCs w:val="20"/>
          <w:color w:val="auto"/>
        </w:rPr>
      </w:pPr>
    </w:p>
    <w:p>
      <w:pPr>
        <w:ind w:left="1120" w:right="279" w:firstLine="368"/>
        <w:spacing w:after="0" w:line="263" w:lineRule="auto"/>
        <w:rPr>
          <w:sz w:val="20"/>
          <w:szCs w:val="20"/>
          <w:color w:val="auto"/>
        </w:rPr>
      </w:pPr>
      <w:r>
        <w:rPr>
          <w:rFonts w:ascii="Arial" w:cs="Arial" w:eastAsia="Arial" w:hAnsi="Arial"/>
          <w:sz w:val="15"/>
          <w:szCs w:val="15"/>
          <w:i w:val="1"/>
          <w:iCs w:val="1"/>
          <w:color w:val="auto"/>
        </w:rPr>
        <w:t>Notifications</w:t>
      </w:r>
      <w:r>
        <w:rPr>
          <w:rFonts w:ascii="Arial" w:cs="Arial" w:eastAsia="Arial" w:hAnsi="Arial"/>
          <w:sz w:val="15"/>
          <w:szCs w:val="15"/>
          <w:color w:val="auto"/>
        </w:rPr>
        <w:t>. We use real-time notifications across all our channels—web, desktop, email, and mobile—to keep users up-to-date on what’s</w:t>
      </w:r>
      <w:r>
        <w:rPr>
          <w:rFonts w:ascii="Arial" w:cs="Arial" w:eastAsia="Arial" w:hAnsi="Arial"/>
          <w:sz w:val="15"/>
          <w:szCs w:val="15"/>
          <w:i w:val="1"/>
          <w:iCs w:val="1"/>
          <w:color w:val="auto"/>
        </w:rPr>
        <w:t xml:space="preserve"> </w:t>
      </w:r>
      <w:r>
        <w:rPr>
          <w:rFonts w:ascii="Arial" w:cs="Arial" w:eastAsia="Arial" w:hAnsi="Arial"/>
          <w:sz w:val="15"/>
          <w:szCs w:val="15"/>
          <w:color w:val="auto"/>
        </w:rPr>
        <w:t>happening with their work. Users can choose to be notified when someone opens, edits, shares, or comments on a file, or adds a file to their shared folders. These notifications keep collaborators in sync without having to open the file or doc.</w:t>
      </w:r>
    </w:p>
    <w:p>
      <w:pPr>
        <w:spacing w:after="0" w:line="155" w:lineRule="exact"/>
        <w:rPr>
          <w:sz w:val="20"/>
          <w:szCs w:val="20"/>
          <w:color w:val="auto"/>
        </w:rPr>
      </w:pPr>
    </w:p>
    <w:p>
      <w:pPr>
        <w:ind w:left="1120" w:right="59" w:firstLine="368"/>
        <w:spacing w:after="0" w:line="283" w:lineRule="auto"/>
        <w:rPr>
          <w:sz w:val="20"/>
          <w:szCs w:val="20"/>
          <w:color w:val="auto"/>
        </w:rPr>
      </w:pPr>
      <w:r>
        <w:rPr>
          <w:rFonts w:ascii="Arial" w:cs="Arial" w:eastAsia="Arial" w:hAnsi="Arial"/>
          <w:sz w:val="14"/>
          <w:szCs w:val="14"/>
          <w:i w:val="1"/>
          <w:iCs w:val="1"/>
          <w:color w:val="auto"/>
        </w:rPr>
        <w:t>Viewer information and presence</w:t>
      </w:r>
      <w:r>
        <w:rPr>
          <w:rFonts w:ascii="Arial" w:cs="Arial" w:eastAsia="Arial" w:hAnsi="Arial"/>
          <w:sz w:val="14"/>
          <w:szCs w:val="14"/>
          <w:color w:val="auto"/>
        </w:rPr>
        <w:t>. On both file previews and Paper docs, Dropbox shows users in real-time who’s viewing a doc and when a doc</w:t>
      </w:r>
      <w:r>
        <w:rPr>
          <w:rFonts w:ascii="Arial" w:cs="Arial" w:eastAsia="Arial" w:hAnsi="Arial"/>
          <w:sz w:val="14"/>
          <w:szCs w:val="14"/>
          <w:i w:val="1"/>
          <w:iCs w:val="1"/>
          <w:color w:val="auto"/>
        </w:rPr>
        <w:t xml:space="preserve"> </w:t>
      </w:r>
      <w:r>
        <w:rPr>
          <w:rFonts w:ascii="Arial" w:cs="Arial" w:eastAsia="Arial" w:hAnsi="Arial"/>
          <w:sz w:val="14"/>
          <w:szCs w:val="14"/>
          <w:color w:val="auto"/>
        </w:rPr>
        <w:t>was last viewed by other users. On desktop, the Dropbox badge is a subtle overlay to Microsoft Word, Excel, and PowerPoint that lets users know if someone opens or edits the file they’re working in. The Dropbox badge gives users real-time insight into how others are interacting with their content, bringing modern collaboration features often found only in web-based documents to desktop files.</w:t>
      </w:r>
    </w:p>
    <w:p>
      <w:pPr>
        <w:spacing w:after="0" w:line="233" w:lineRule="exact"/>
        <w:rPr>
          <w:sz w:val="20"/>
          <w:szCs w:val="20"/>
          <w:color w:val="auto"/>
        </w:rPr>
      </w:pPr>
    </w:p>
    <w:p>
      <w:pPr>
        <w:ind w:left="1480"/>
        <w:spacing w:after="0"/>
        <w:rPr>
          <w:sz w:val="20"/>
          <w:szCs w:val="20"/>
          <w:color w:val="auto"/>
        </w:rPr>
      </w:pPr>
      <w:r>
        <w:rPr>
          <w:rFonts w:ascii="Arial" w:cs="Arial" w:eastAsia="Arial" w:hAnsi="Arial"/>
          <w:sz w:val="15"/>
          <w:szCs w:val="15"/>
          <w:b w:val="1"/>
          <w:bCs w:val="1"/>
          <w:i w:val="1"/>
          <w:iCs w:val="1"/>
          <w:color w:val="auto"/>
        </w:rPr>
        <w:t>Secure</w:t>
      </w:r>
    </w:p>
    <w:p>
      <w:pPr>
        <w:spacing w:after="0" w:line="98" w:lineRule="exact"/>
        <w:rPr>
          <w:sz w:val="20"/>
          <w:szCs w:val="20"/>
          <w:color w:val="auto"/>
        </w:rPr>
      </w:pPr>
    </w:p>
    <w:p>
      <w:pPr>
        <w:ind w:left="1480"/>
        <w:spacing w:after="0"/>
        <w:rPr>
          <w:sz w:val="20"/>
          <w:szCs w:val="20"/>
          <w:color w:val="auto"/>
        </w:rPr>
      </w:pPr>
      <w:r>
        <w:rPr>
          <w:rFonts w:ascii="Arial" w:cs="Arial" w:eastAsia="Arial" w:hAnsi="Arial"/>
          <w:sz w:val="15"/>
          <w:szCs w:val="15"/>
          <w:i w:val="1"/>
          <w:iCs w:val="1"/>
          <w:color w:val="auto"/>
        </w:rPr>
        <w:t xml:space="preserve">Security protections. </w:t>
      </w:r>
      <w:r>
        <w:rPr>
          <w:rFonts w:ascii="Arial" w:cs="Arial" w:eastAsia="Arial" w:hAnsi="Arial"/>
          <w:sz w:val="15"/>
          <w:szCs w:val="15"/>
          <w:color w:val="auto"/>
        </w:rPr>
        <w:t>We employ strong protections for all of the data on our platform.</w:t>
      </w:r>
    </w:p>
    <w:p>
      <w:pPr>
        <w:spacing w:after="0" w:line="109" w:lineRule="exact"/>
        <w:rPr>
          <w:sz w:val="20"/>
          <w:szCs w:val="20"/>
          <w:color w:val="auto"/>
        </w:rPr>
      </w:pPr>
    </w:p>
    <w:p>
      <w:pPr>
        <w:ind w:left="1840" w:right="59" w:hanging="276"/>
        <w:spacing w:after="0" w:line="275" w:lineRule="auto"/>
        <w:tabs>
          <w:tab w:leader="none" w:pos="1840" w:val="left"/>
        </w:tabs>
        <w:numPr>
          <w:ilvl w:val="0"/>
          <w:numId w:val="47"/>
        </w:numPr>
        <w:rPr>
          <w:rFonts w:ascii="Arial" w:cs="Arial" w:eastAsia="Arial" w:hAnsi="Arial"/>
          <w:sz w:val="15"/>
          <w:szCs w:val="15"/>
          <w:color w:val="auto"/>
        </w:rPr>
      </w:pPr>
      <w:r>
        <w:rPr>
          <w:rFonts w:ascii="Arial" w:cs="Arial" w:eastAsia="Arial" w:hAnsi="Arial"/>
          <w:sz w:val="15"/>
          <w:szCs w:val="15"/>
          <w:i w:val="1"/>
          <w:iCs w:val="1"/>
          <w:color w:val="auto"/>
        </w:rPr>
        <w:t>Encryption</w:t>
      </w:r>
      <w:r>
        <w:rPr>
          <w:rFonts w:ascii="Arial" w:cs="Arial" w:eastAsia="Arial" w:hAnsi="Arial"/>
          <w:sz w:val="15"/>
          <w:szCs w:val="15"/>
          <w:color w:val="auto"/>
        </w:rPr>
        <w:t>. Dropbox file data at rest is encrypted using 256-bit Advanced Encryption Standard, or AES. To protect data in transit between</w:t>
      </w:r>
      <w:r>
        <w:rPr>
          <w:rFonts w:ascii="Arial" w:cs="Arial" w:eastAsia="Arial" w:hAnsi="Arial"/>
          <w:sz w:val="15"/>
          <w:szCs w:val="15"/>
          <w:i w:val="1"/>
          <w:iCs w:val="1"/>
          <w:color w:val="auto"/>
        </w:rPr>
        <w:t xml:space="preserve"> </w:t>
      </w:r>
      <w:r>
        <w:rPr>
          <w:rFonts w:ascii="Arial" w:cs="Arial" w:eastAsia="Arial" w:hAnsi="Arial"/>
          <w:sz w:val="15"/>
          <w:szCs w:val="15"/>
          <w:color w:val="auto"/>
        </w:rPr>
        <w:t>Dropbox apps such as desktop, mobile, API, or web and our</w:t>
      </w:r>
    </w:p>
    <w:p>
      <w:pPr>
        <w:spacing w:after="0" w:line="90" w:lineRule="exact"/>
        <w:rPr>
          <w:sz w:val="20"/>
          <w:szCs w:val="20"/>
          <w:color w:val="auto"/>
        </w:rPr>
      </w:pPr>
    </w:p>
    <w:p>
      <w:pPr>
        <w:ind w:left="5600"/>
        <w:spacing w:after="0"/>
        <w:rPr>
          <w:sz w:val="20"/>
          <w:szCs w:val="20"/>
          <w:color w:val="auto"/>
        </w:rPr>
      </w:pPr>
      <w:r>
        <w:rPr>
          <w:rFonts w:ascii="Arial" w:cs="Arial" w:eastAsia="Arial" w:hAnsi="Arial"/>
          <w:sz w:val="15"/>
          <w:szCs w:val="15"/>
          <w:color w:val="auto"/>
        </w:rPr>
        <w:t>112</w:t>
      </w:r>
    </w:p>
    <w:p>
      <w:pPr>
        <w:sectPr>
          <w:pgSz w:w="11900" w:h="16838" w:orient="portrait"/>
          <w:cols w:equalWidth="0" w:num="1">
            <w:col w:w="10219"/>
          </w:cols>
          <w:pgMar w:left="240" w:top="407" w:right="1440" w:bottom="1440" w:gutter="0" w:footer="0" w:header="0"/>
        </w:sectPr>
      </w:pPr>
    </w:p>
    <w:bookmarkStart w:id="119" w:name="page120"/>
    <w:bookmarkEnd w:id="119"/>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133350</wp:posOffset>
            </wp:positionH>
            <wp:positionV relativeFrom="page">
              <wp:posOffset>88900</wp:posOffset>
            </wp:positionV>
            <wp:extent cx="7308850" cy="342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308850" cy="34290"/>
                    </a:xfrm>
                    <a:prstGeom prst="rect">
                      <a:avLst/>
                    </a:prstGeom>
                    <a:noFill/>
                  </pic:spPr>
                </pic:pic>
              </a:graphicData>
            </a:graphic>
          </wp:anchor>
        </w:drawing>
      </w:r>
      <w:hyperlink w:anchor="page7">
        <w:r>
          <w:rPr>
            <w:rFonts w:ascii="Arial" w:cs="Arial" w:eastAsia="Arial" w:hAnsi="Arial"/>
            <w:sz w:val="15"/>
            <w:szCs w:val="15"/>
            <w:b w:val="1"/>
            <w:bCs w:val="1"/>
            <w:u w:val="single" w:color="auto"/>
            <w:color w:val="0000EE"/>
          </w:rPr>
          <w:t>Table of Contents</w:t>
        </w:r>
      </w:hyperlink>
    </w:p>
    <w:p>
      <w:pPr>
        <w:spacing w:after="0" w:line="260" w:lineRule="exact"/>
        <w:rPr>
          <w:sz w:val="20"/>
          <w:szCs w:val="20"/>
          <w:color w:val="auto"/>
        </w:rPr>
      </w:pPr>
    </w:p>
    <w:p>
      <w:pPr>
        <w:ind w:left="1840" w:right="420"/>
        <w:spacing w:after="0" w:line="275" w:lineRule="auto"/>
        <w:rPr>
          <w:sz w:val="20"/>
          <w:szCs w:val="20"/>
          <w:color w:val="auto"/>
        </w:rPr>
      </w:pPr>
      <w:r>
        <w:rPr>
          <w:rFonts w:ascii="Arial" w:cs="Arial" w:eastAsia="Arial" w:hAnsi="Arial"/>
          <w:sz w:val="15"/>
          <w:szCs w:val="15"/>
          <w:color w:val="auto"/>
        </w:rPr>
        <w:t>servers, Dropbox uses Secure Sockets Layer, or SSL, and Transport Layer Security, or TLS, for data transfer, creating a secure tunnel protected by 128-bit or higher AES encryption.</w:t>
      </w:r>
    </w:p>
    <w:p>
      <w:pPr>
        <w:spacing w:after="0" w:line="67" w:lineRule="exact"/>
        <w:rPr>
          <w:sz w:val="20"/>
          <w:szCs w:val="20"/>
          <w:color w:val="auto"/>
        </w:rPr>
      </w:pPr>
    </w:p>
    <w:p>
      <w:pPr>
        <w:ind w:left="1840" w:right="80" w:hanging="276"/>
        <w:spacing w:after="0" w:line="263" w:lineRule="auto"/>
        <w:tabs>
          <w:tab w:leader="none" w:pos="1840" w:val="left"/>
        </w:tabs>
        <w:numPr>
          <w:ilvl w:val="0"/>
          <w:numId w:val="48"/>
        </w:numPr>
        <w:rPr>
          <w:rFonts w:ascii="Arial" w:cs="Arial" w:eastAsia="Arial" w:hAnsi="Arial"/>
          <w:sz w:val="15"/>
          <w:szCs w:val="15"/>
          <w:color w:val="auto"/>
        </w:rPr>
      </w:pPr>
      <w:r>
        <w:rPr>
          <w:rFonts w:ascii="Arial" w:cs="Arial" w:eastAsia="Arial" w:hAnsi="Arial"/>
          <w:sz w:val="15"/>
          <w:szCs w:val="15"/>
          <w:i w:val="1"/>
          <w:iCs w:val="1"/>
          <w:color w:val="auto"/>
        </w:rPr>
        <w:t>File recovery</w:t>
      </w:r>
      <w:r>
        <w:rPr>
          <w:rFonts w:ascii="Arial" w:cs="Arial" w:eastAsia="Arial" w:hAnsi="Arial"/>
          <w:sz w:val="15"/>
          <w:szCs w:val="15"/>
          <w:color w:val="auto"/>
        </w:rPr>
        <w:t>. Every deletion event in Dropbox is recorded, including when groups of files are deleted. Users can easily recover files</w:t>
      </w:r>
      <w:r>
        <w:rPr>
          <w:rFonts w:ascii="Arial" w:cs="Arial" w:eastAsia="Arial" w:hAnsi="Arial"/>
          <w:sz w:val="15"/>
          <w:szCs w:val="15"/>
          <w:i w:val="1"/>
          <w:iCs w:val="1"/>
          <w:color w:val="auto"/>
        </w:rPr>
        <w:t xml:space="preserve"> </w:t>
      </w:r>
      <w:r>
        <w:rPr>
          <w:rFonts w:ascii="Arial" w:cs="Arial" w:eastAsia="Arial" w:hAnsi="Arial"/>
          <w:sz w:val="15"/>
          <w:szCs w:val="15"/>
          <w:color w:val="auto"/>
        </w:rPr>
        <w:t>through our web interface. Dropbox Plus subscribers may recover prior versions for up to 30 days after deletion, and Dropbox Professional and Dropbox Business subscribers may recover prior versions for up to 120 days after deletion.</w:t>
      </w:r>
    </w:p>
    <w:p>
      <w:pPr>
        <w:spacing w:after="0" w:line="155" w:lineRule="exact"/>
        <w:rPr>
          <w:sz w:val="20"/>
          <w:szCs w:val="20"/>
          <w:color w:val="auto"/>
        </w:rPr>
      </w:pPr>
    </w:p>
    <w:p>
      <w:pPr>
        <w:ind w:left="1480"/>
        <w:spacing w:after="0"/>
        <w:rPr>
          <w:sz w:val="20"/>
          <w:szCs w:val="20"/>
          <w:color w:val="auto"/>
        </w:rPr>
      </w:pPr>
      <w:r>
        <w:rPr>
          <w:rFonts w:ascii="Arial" w:cs="Arial" w:eastAsia="Arial" w:hAnsi="Arial"/>
          <w:sz w:val="13"/>
          <w:szCs w:val="13"/>
          <w:i w:val="1"/>
          <w:iCs w:val="1"/>
          <w:color w:val="auto"/>
        </w:rPr>
        <w:t>Administrator controls</w:t>
      </w:r>
      <w:r>
        <w:rPr>
          <w:rFonts w:ascii="Arial" w:cs="Arial" w:eastAsia="Arial" w:hAnsi="Arial"/>
          <w:sz w:val="13"/>
          <w:szCs w:val="13"/>
          <w:color w:val="auto"/>
        </w:rPr>
        <w:t>. Dropbox Business team administrators have many ways to customize security settings in both global and granular ways.</w:t>
      </w:r>
    </w:p>
    <w:p>
      <w:pPr>
        <w:spacing w:after="0" w:line="132" w:lineRule="exact"/>
        <w:rPr>
          <w:sz w:val="20"/>
          <w:szCs w:val="20"/>
          <w:color w:val="auto"/>
        </w:rPr>
      </w:pPr>
    </w:p>
    <w:p>
      <w:pPr>
        <w:ind w:left="1840" w:hanging="276"/>
        <w:spacing w:after="0" w:line="275" w:lineRule="auto"/>
        <w:tabs>
          <w:tab w:leader="none" w:pos="1840" w:val="left"/>
        </w:tabs>
        <w:numPr>
          <w:ilvl w:val="0"/>
          <w:numId w:val="49"/>
        </w:numPr>
        <w:rPr>
          <w:rFonts w:ascii="Arial" w:cs="Arial" w:eastAsia="Arial" w:hAnsi="Arial"/>
          <w:sz w:val="15"/>
          <w:szCs w:val="15"/>
          <w:color w:val="auto"/>
        </w:rPr>
      </w:pPr>
      <w:r>
        <w:rPr>
          <w:rFonts w:ascii="Arial" w:cs="Arial" w:eastAsia="Arial" w:hAnsi="Arial"/>
          <w:sz w:val="15"/>
          <w:szCs w:val="15"/>
          <w:i w:val="1"/>
          <w:iCs w:val="1"/>
          <w:color w:val="auto"/>
        </w:rPr>
        <w:t>Sharing permissions</w:t>
      </w:r>
      <w:r>
        <w:rPr>
          <w:rFonts w:ascii="Arial" w:cs="Arial" w:eastAsia="Arial" w:hAnsi="Arial"/>
          <w:sz w:val="15"/>
          <w:szCs w:val="15"/>
          <w:color w:val="auto"/>
        </w:rPr>
        <w:t>: Team administrators can set up and monitor how their members share team folders, and can set sharing permissions on</w:t>
      </w:r>
      <w:r>
        <w:rPr>
          <w:rFonts w:ascii="Arial" w:cs="Arial" w:eastAsia="Arial" w:hAnsi="Arial"/>
          <w:sz w:val="15"/>
          <w:szCs w:val="15"/>
          <w:i w:val="1"/>
          <w:iCs w:val="1"/>
          <w:color w:val="auto"/>
        </w:rPr>
        <w:t xml:space="preserve"> </w:t>
      </w:r>
      <w:r>
        <w:rPr>
          <w:rFonts w:ascii="Arial" w:cs="Arial" w:eastAsia="Arial" w:hAnsi="Arial"/>
          <w:sz w:val="15"/>
          <w:szCs w:val="15"/>
          <w:color w:val="auto"/>
        </w:rPr>
        <w:t>all folders, sub-folders, and links through the sharing tab.</w:t>
      </w:r>
    </w:p>
    <w:p>
      <w:pPr>
        <w:spacing w:after="0" w:line="67" w:lineRule="exact"/>
        <w:rPr>
          <w:rFonts w:ascii="Arial" w:cs="Arial" w:eastAsia="Arial" w:hAnsi="Arial"/>
          <w:sz w:val="15"/>
          <w:szCs w:val="15"/>
          <w:color w:val="auto"/>
        </w:rPr>
      </w:pPr>
    </w:p>
    <w:p>
      <w:pPr>
        <w:ind w:left="1840" w:right="500" w:hanging="276"/>
        <w:spacing w:after="0" w:line="275" w:lineRule="auto"/>
        <w:tabs>
          <w:tab w:leader="none" w:pos="1840" w:val="left"/>
        </w:tabs>
        <w:numPr>
          <w:ilvl w:val="0"/>
          <w:numId w:val="49"/>
        </w:numPr>
        <w:rPr>
          <w:rFonts w:ascii="Arial" w:cs="Arial" w:eastAsia="Arial" w:hAnsi="Arial"/>
          <w:sz w:val="15"/>
          <w:szCs w:val="15"/>
          <w:color w:val="auto"/>
        </w:rPr>
      </w:pPr>
      <w:r>
        <w:rPr>
          <w:rFonts w:ascii="Arial" w:cs="Arial" w:eastAsia="Arial" w:hAnsi="Arial"/>
          <w:sz w:val="15"/>
          <w:szCs w:val="15"/>
          <w:i w:val="1"/>
          <w:iCs w:val="1"/>
          <w:color w:val="auto"/>
        </w:rPr>
        <w:t>Remote device wipe</w:t>
      </w:r>
      <w:r>
        <w:rPr>
          <w:rFonts w:ascii="Arial" w:cs="Arial" w:eastAsia="Arial" w:hAnsi="Arial"/>
          <w:sz w:val="15"/>
          <w:szCs w:val="15"/>
          <w:color w:val="auto"/>
        </w:rPr>
        <w:t>: Team administrators can delete their organization’s Dropbox content from a member’s linked devices, which is</w:t>
      </w:r>
      <w:r>
        <w:rPr>
          <w:rFonts w:ascii="Arial" w:cs="Arial" w:eastAsia="Arial" w:hAnsi="Arial"/>
          <w:sz w:val="15"/>
          <w:szCs w:val="15"/>
          <w:i w:val="1"/>
          <w:iCs w:val="1"/>
          <w:color w:val="auto"/>
        </w:rPr>
        <w:t xml:space="preserve"> </w:t>
      </w:r>
      <w:r>
        <w:rPr>
          <w:rFonts w:ascii="Arial" w:cs="Arial" w:eastAsia="Arial" w:hAnsi="Arial"/>
          <w:sz w:val="15"/>
          <w:szCs w:val="15"/>
          <w:color w:val="auto"/>
        </w:rPr>
        <w:t>especially useful should someone lose a device or leave the team.</w:t>
      </w:r>
    </w:p>
    <w:p>
      <w:pPr>
        <w:spacing w:after="0" w:line="67" w:lineRule="exact"/>
        <w:rPr>
          <w:rFonts w:ascii="Arial" w:cs="Arial" w:eastAsia="Arial" w:hAnsi="Arial"/>
          <w:sz w:val="15"/>
          <w:szCs w:val="15"/>
          <w:color w:val="auto"/>
        </w:rPr>
      </w:pPr>
    </w:p>
    <w:p>
      <w:pPr>
        <w:ind w:left="1840" w:right="280" w:hanging="276"/>
        <w:spacing w:after="0" w:line="263" w:lineRule="auto"/>
        <w:tabs>
          <w:tab w:leader="none" w:pos="1840" w:val="left"/>
        </w:tabs>
        <w:numPr>
          <w:ilvl w:val="0"/>
          <w:numId w:val="49"/>
        </w:numPr>
        <w:rPr>
          <w:rFonts w:ascii="Arial" w:cs="Arial" w:eastAsia="Arial" w:hAnsi="Arial"/>
          <w:sz w:val="15"/>
          <w:szCs w:val="15"/>
          <w:color w:val="auto"/>
        </w:rPr>
      </w:pPr>
      <w:r>
        <w:rPr>
          <w:rFonts w:ascii="Arial" w:cs="Arial" w:eastAsia="Arial" w:hAnsi="Arial"/>
          <w:sz w:val="15"/>
          <w:szCs w:val="15"/>
          <w:i w:val="1"/>
          <w:iCs w:val="1"/>
          <w:color w:val="auto"/>
        </w:rPr>
        <w:t>Audit log</w:t>
      </w:r>
      <w:r>
        <w:rPr>
          <w:rFonts w:ascii="Arial" w:cs="Arial" w:eastAsia="Arial" w:hAnsi="Arial"/>
          <w:sz w:val="15"/>
          <w:szCs w:val="15"/>
          <w:color w:val="auto"/>
        </w:rPr>
        <w:t>: Team administrators can monitor which members are sharing files and logging into Dropbox, among other events. They can</w:t>
      </w:r>
      <w:r>
        <w:rPr>
          <w:rFonts w:ascii="Arial" w:cs="Arial" w:eastAsia="Arial" w:hAnsi="Arial"/>
          <w:sz w:val="15"/>
          <w:szCs w:val="15"/>
          <w:i w:val="1"/>
          <w:iCs w:val="1"/>
          <w:color w:val="auto"/>
        </w:rPr>
        <w:t xml:space="preserve"> </w:t>
      </w:r>
      <w:r>
        <w:rPr>
          <w:rFonts w:ascii="Arial" w:cs="Arial" w:eastAsia="Arial" w:hAnsi="Arial"/>
          <w:sz w:val="15"/>
          <w:szCs w:val="15"/>
          <w:color w:val="auto"/>
        </w:rPr>
        <w:t>review activity logs, create full reports for specific time ranges, and pull activity reports on specific members. Advanced and Enterprise team administrators have access to audit logs with file-event tracking.</w:t>
      </w:r>
    </w:p>
    <w:p>
      <w:pPr>
        <w:spacing w:after="0" w:line="75" w:lineRule="exact"/>
        <w:rPr>
          <w:rFonts w:ascii="Arial" w:cs="Arial" w:eastAsia="Arial" w:hAnsi="Arial"/>
          <w:sz w:val="15"/>
          <w:szCs w:val="15"/>
          <w:color w:val="auto"/>
        </w:rPr>
      </w:pPr>
    </w:p>
    <w:p>
      <w:pPr>
        <w:ind w:left="1840" w:hanging="276"/>
        <w:spacing w:after="0"/>
        <w:tabs>
          <w:tab w:leader="none" w:pos="1840" w:val="left"/>
        </w:tabs>
        <w:numPr>
          <w:ilvl w:val="0"/>
          <w:numId w:val="49"/>
        </w:numPr>
        <w:rPr>
          <w:rFonts w:ascii="Arial" w:cs="Arial" w:eastAsia="Arial" w:hAnsi="Arial"/>
          <w:sz w:val="15"/>
          <w:szCs w:val="15"/>
          <w:color w:val="auto"/>
        </w:rPr>
      </w:pPr>
      <w:r>
        <w:rPr>
          <w:rFonts w:ascii="Arial" w:cs="Arial" w:eastAsia="Arial" w:hAnsi="Arial"/>
          <w:sz w:val="15"/>
          <w:szCs w:val="15"/>
          <w:i w:val="1"/>
          <w:iCs w:val="1"/>
          <w:color w:val="auto"/>
        </w:rPr>
        <w:t>Device approvals</w:t>
      </w:r>
      <w:r>
        <w:rPr>
          <w:rFonts w:ascii="Arial" w:cs="Arial" w:eastAsia="Arial" w:hAnsi="Arial"/>
          <w:sz w:val="15"/>
          <w:szCs w:val="15"/>
          <w:color w:val="auto"/>
        </w:rPr>
        <w:t>: Advanced and Enterprise team administrators can manage how members access Dropbox on their devices.</w:t>
      </w:r>
    </w:p>
    <w:p>
      <w:pPr>
        <w:spacing w:after="0" w:line="109" w:lineRule="exact"/>
        <w:rPr>
          <w:rFonts w:ascii="Arial" w:cs="Arial" w:eastAsia="Arial" w:hAnsi="Arial"/>
          <w:sz w:val="15"/>
          <w:szCs w:val="15"/>
          <w:color w:val="auto"/>
        </w:rPr>
      </w:pPr>
    </w:p>
    <w:p>
      <w:pPr>
        <w:ind w:left="1840" w:right="180" w:hanging="276"/>
        <w:spacing w:after="0" w:line="275" w:lineRule="auto"/>
        <w:tabs>
          <w:tab w:leader="none" w:pos="1840" w:val="left"/>
        </w:tabs>
        <w:numPr>
          <w:ilvl w:val="0"/>
          <w:numId w:val="49"/>
        </w:numPr>
        <w:rPr>
          <w:rFonts w:ascii="Arial" w:cs="Arial" w:eastAsia="Arial" w:hAnsi="Arial"/>
          <w:sz w:val="15"/>
          <w:szCs w:val="15"/>
          <w:color w:val="auto"/>
        </w:rPr>
      </w:pPr>
      <w:r>
        <w:rPr>
          <w:rFonts w:ascii="Arial" w:cs="Arial" w:eastAsia="Arial" w:hAnsi="Arial"/>
          <w:sz w:val="15"/>
          <w:szCs w:val="15"/>
          <w:i w:val="1"/>
          <w:iCs w:val="1"/>
          <w:color w:val="auto"/>
        </w:rPr>
        <w:t>Tiered administrator roles</w:t>
      </w:r>
      <w:r>
        <w:rPr>
          <w:rFonts w:ascii="Arial" w:cs="Arial" w:eastAsia="Arial" w:hAnsi="Arial"/>
          <w:sz w:val="15"/>
          <w:szCs w:val="15"/>
          <w:color w:val="auto"/>
        </w:rPr>
        <w:t>: Advanced and Enterprise teams have the ability to set multiple administrator roles, each with a different set of</w:t>
      </w:r>
      <w:r>
        <w:rPr>
          <w:rFonts w:ascii="Arial" w:cs="Arial" w:eastAsia="Arial" w:hAnsi="Arial"/>
          <w:sz w:val="15"/>
          <w:szCs w:val="15"/>
          <w:i w:val="1"/>
          <w:iCs w:val="1"/>
          <w:color w:val="auto"/>
        </w:rPr>
        <w:t xml:space="preserve"> </w:t>
      </w:r>
      <w:r>
        <w:rPr>
          <w:rFonts w:ascii="Arial" w:cs="Arial" w:eastAsia="Arial" w:hAnsi="Arial"/>
          <w:sz w:val="15"/>
          <w:szCs w:val="15"/>
          <w:color w:val="auto"/>
        </w:rPr>
        <w:t>permissions.</w:t>
      </w:r>
    </w:p>
    <w:p>
      <w:pPr>
        <w:spacing w:after="0" w:line="67" w:lineRule="exact"/>
        <w:rPr>
          <w:rFonts w:ascii="Arial" w:cs="Arial" w:eastAsia="Arial" w:hAnsi="Arial"/>
          <w:sz w:val="15"/>
          <w:szCs w:val="15"/>
          <w:color w:val="auto"/>
        </w:rPr>
      </w:pPr>
    </w:p>
    <w:p>
      <w:pPr>
        <w:ind w:left="1840" w:hanging="276"/>
        <w:spacing w:after="0"/>
        <w:tabs>
          <w:tab w:leader="none" w:pos="1840" w:val="left"/>
        </w:tabs>
        <w:numPr>
          <w:ilvl w:val="0"/>
          <w:numId w:val="49"/>
        </w:numPr>
        <w:rPr>
          <w:rFonts w:ascii="Arial" w:cs="Arial" w:eastAsia="Arial" w:hAnsi="Arial"/>
          <w:sz w:val="15"/>
          <w:szCs w:val="15"/>
          <w:color w:val="auto"/>
        </w:rPr>
      </w:pPr>
      <w:r>
        <w:rPr>
          <w:rFonts w:ascii="Arial" w:cs="Arial" w:eastAsia="Arial" w:hAnsi="Arial"/>
          <w:sz w:val="15"/>
          <w:szCs w:val="15"/>
          <w:i w:val="1"/>
          <w:iCs w:val="1"/>
          <w:color w:val="auto"/>
        </w:rPr>
        <w:t>Network control</w:t>
      </w:r>
      <w:r>
        <w:rPr>
          <w:rFonts w:ascii="Arial" w:cs="Arial" w:eastAsia="Arial" w:hAnsi="Arial"/>
          <w:sz w:val="15"/>
          <w:szCs w:val="15"/>
          <w:color w:val="auto"/>
        </w:rPr>
        <w:t>: Enterprise team administrators can restrict personal Dropbox usage on their organization’s network.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1461770</wp:posOffset>
            </wp:positionH>
            <wp:positionV relativeFrom="paragraph">
              <wp:posOffset>12065</wp:posOffset>
            </wp:positionV>
            <wp:extent cx="4332605" cy="231330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4332605" cy="2313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1120" w:right="240" w:firstLine="368"/>
        <w:spacing w:after="0" w:line="275" w:lineRule="auto"/>
        <w:rPr>
          <w:sz w:val="20"/>
          <w:szCs w:val="20"/>
          <w:color w:val="auto"/>
        </w:rPr>
      </w:pPr>
      <w:r>
        <w:rPr>
          <w:rFonts w:ascii="Arial" w:cs="Arial" w:eastAsia="Arial" w:hAnsi="Arial"/>
          <w:sz w:val="15"/>
          <w:szCs w:val="15"/>
          <w:i w:val="1"/>
          <w:iCs w:val="1"/>
          <w:color w:val="auto"/>
        </w:rPr>
        <w:t>Third-party security integrations</w:t>
      </w:r>
      <w:r>
        <w:rPr>
          <w:rFonts w:ascii="Arial" w:cs="Arial" w:eastAsia="Arial" w:hAnsi="Arial"/>
          <w:sz w:val="15"/>
          <w:szCs w:val="15"/>
          <w:color w:val="auto"/>
        </w:rPr>
        <w:t>. We’ve partnered with industry-leading third parties to enable us to provide a wide range of IT processes and</w:t>
      </w:r>
      <w:r>
        <w:rPr>
          <w:rFonts w:ascii="Arial" w:cs="Arial" w:eastAsia="Arial" w:hAnsi="Arial"/>
          <w:sz w:val="15"/>
          <w:szCs w:val="15"/>
          <w:i w:val="1"/>
          <w:iCs w:val="1"/>
          <w:color w:val="auto"/>
        </w:rPr>
        <w:t xml:space="preserve"> </w:t>
      </w:r>
      <w:r>
        <w:rPr>
          <w:rFonts w:ascii="Arial" w:cs="Arial" w:eastAsia="Arial" w:hAnsi="Arial"/>
          <w:sz w:val="15"/>
          <w:szCs w:val="15"/>
          <w:color w:val="auto"/>
        </w:rPr>
        <w:t>satisfy industry compliance standards, including:</w:t>
      </w:r>
    </w:p>
    <w:p>
      <w:pPr>
        <w:spacing w:after="0" w:line="67" w:lineRule="exact"/>
        <w:rPr>
          <w:sz w:val="20"/>
          <w:szCs w:val="20"/>
          <w:color w:val="auto"/>
        </w:rPr>
      </w:pPr>
    </w:p>
    <w:p>
      <w:pPr>
        <w:ind w:left="1840" w:hanging="276"/>
        <w:spacing w:after="0" w:line="275" w:lineRule="auto"/>
        <w:tabs>
          <w:tab w:leader="none" w:pos="1840" w:val="left"/>
        </w:tabs>
        <w:numPr>
          <w:ilvl w:val="0"/>
          <w:numId w:val="50"/>
        </w:numPr>
        <w:rPr>
          <w:rFonts w:ascii="Arial" w:cs="Arial" w:eastAsia="Arial" w:hAnsi="Arial"/>
          <w:sz w:val="15"/>
          <w:szCs w:val="15"/>
          <w:color w:val="auto"/>
        </w:rPr>
      </w:pPr>
      <w:r>
        <w:rPr>
          <w:rFonts w:ascii="Arial" w:cs="Arial" w:eastAsia="Arial" w:hAnsi="Arial"/>
          <w:sz w:val="15"/>
          <w:szCs w:val="15"/>
          <w:i w:val="1"/>
          <w:iCs w:val="1"/>
          <w:color w:val="auto"/>
        </w:rPr>
        <w:t>Security information and event management</w:t>
      </w:r>
      <w:r>
        <w:rPr>
          <w:rFonts w:ascii="Arial" w:cs="Arial" w:eastAsia="Arial" w:hAnsi="Arial"/>
          <w:sz w:val="15"/>
          <w:szCs w:val="15"/>
          <w:color w:val="auto"/>
        </w:rPr>
        <w:t>: Allows Dropbox Business administrators to oversee and manage employee activity, and access</w:t>
      </w:r>
      <w:r>
        <w:rPr>
          <w:rFonts w:ascii="Arial" w:cs="Arial" w:eastAsia="Arial" w:hAnsi="Arial"/>
          <w:sz w:val="15"/>
          <w:szCs w:val="15"/>
          <w:i w:val="1"/>
          <w:iCs w:val="1"/>
          <w:color w:val="auto"/>
        </w:rPr>
        <w:t xml:space="preserve"> </w:t>
      </w:r>
      <w:r>
        <w:rPr>
          <w:rFonts w:ascii="Arial" w:cs="Arial" w:eastAsia="Arial" w:hAnsi="Arial"/>
          <w:sz w:val="15"/>
          <w:szCs w:val="15"/>
          <w:color w:val="auto"/>
        </w:rPr>
        <w:t>sensitive data through the administrator page.</w:t>
      </w:r>
    </w:p>
    <w:p>
      <w:pPr>
        <w:spacing w:after="0" w:line="90" w:lineRule="exact"/>
        <w:rPr>
          <w:sz w:val="20"/>
          <w:szCs w:val="20"/>
          <w:color w:val="auto"/>
        </w:rPr>
      </w:pPr>
    </w:p>
    <w:p>
      <w:pPr>
        <w:ind w:left="5600"/>
        <w:spacing w:after="0"/>
        <w:rPr>
          <w:sz w:val="20"/>
          <w:szCs w:val="20"/>
          <w:color w:val="auto"/>
        </w:rPr>
      </w:pPr>
      <w:r>
        <w:rPr>
          <w:rFonts w:ascii="Arial" w:cs="Arial" w:eastAsia="Arial" w:hAnsi="Arial"/>
          <w:sz w:val="15"/>
          <w:szCs w:val="15"/>
          <w:color w:val="auto"/>
        </w:rPr>
        <w:t>113</w:t>
      </w:r>
    </w:p>
    <w:p>
      <w:pPr>
        <w:sectPr>
          <w:pgSz w:w="11900" w:h="16838" w:orient="portrait"/>
          <w:cols w:equalWidth="0" w:num="1">
            <w:col w:w="10280"/>
          </w:cols>
          <w:pgMar w:left="240" w:top="407" w:right="1379" w:bottom="1440" w:gutter="0" w:footer="0" w:header="0"/>
        </w:sectPr>
      </w:pPr>
    </w:p>
    <w:bookmarkStart w:id="120" w:name="page121"/>
    <w:bookmarkEnd w:id="120"/>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133350</wp:posOffset>
            </wp:positionH>
            <wp:positionV relativeFrom="page">
              <wp:posOffset>88900</wp:posOffset>
            </wp:positionV>
            <wp:extent cx="7308850" cy="342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308850" cy="34290"/>
                    </a:xfrm>
                    <a:prstGeom prst="rect">
                      <a:avLst/>
                    </a:prstGeom>
                    <a:noFill/>
                  </pic:spPr>
                </pic:pic>
              </a:graphicData>
            </a:graphic>
          </wp:anchor>
        </w:drawing>
      </w:r>
      <w:hyperlink w:anchor="page7">
        <w:r>
          <w:rPr>
            <w:rFonts w:ascii="Arial" w:cs="Arial" w:eastAsia="Arial" w:hAnsi="Arial"/>
            <w:sz w:val="15"/>
            <w:szCs w:val="15"/>
            <w:b w:val="1"/>
            <w:bCs w:val="1"/>
            <w:u w:val="single" w:color="auto"/>
            <w:color w:val="0000EE"/>
          </w:rPr>
          <w:t>Table of Contents</w:t>
        </w:r>
      </w:hyperlink>
    </w:p>
    <w:p>
      <w:pPr>
        <w:spacing w:after="0" w:line="260" w:lineRule="exact"/>
        <w:rPr>
          <w:sz w:val="20"/>
          <w:szCs w:val="20"/>
          <w:color w:val="auto"/>
        </w:rPr>
      </w:pPr>
    </w:p>
    <w:p>
      <w:pPr>
        <w:ind w:left="1840" w:right="280" w:hanging="276"/>
        <w:spacing w:after="0" w:line="275" w:lineRule="auto"/>
        <w:tabs>
          <w:tab w:leader="none" w:pos="1840" w:val="left"/>
        </w:tabs>
        <w:numPr>
          <w:ilvl w:val="0"/>
          <w:numId w:val="51"/>
        </w:numPr>
        <w:rPr>
          <w:rFonts w:ascii="Arial" w:cs="Arial" w:eastAsia="Arial" w:hAnsi="Arial"/>
          <w:sz w:val="15"/>
          <w:szCs w:val="15"/>
          <w:color w:val="auto"/>
        </w:rPr>
      </w:pPr>
      <w:r>
        <w:rPr>
          <w:rFonts w:ascii="Arial" w:cs="Arial" w:eastAsia="Arial" w:hAnsi="Arial"/>
          <w:sz w:val="15"/>
          <w:szCs w:val="15"/>
          <w:i w:val="1"/>
          <w:iCs w:val="1"/>
          <w:color w:val="auto"/>
        </w:rPr>
        <w:t>Data loss prevention</w:t>
      </w:r>
      <w:r>
        <w:rPr>
          <w:rFonts w:ascii="Arial" w:cs="Arial" w:eastAsia="Arial" w:hAnsi="Arial"/>
          <w:sz w:val="15"/>
          <w:szCs w:val="15"/>
          <w:color w:val="auto"/>
        </w:rPr>
        <w:t>: Protects sensitive data like personally identifiable information and payment card industry data stored in Dropbox</w:t>
      </w:r>
      <w:r>
        <w:rPr>
          <w:rFonts w:ascii="Arial" w:cs="Arial" w:eastAsia="Arial" w:hAnsi="Arial"/>
          <w:sz w:val="15"/>
          <w:szCs w:val="15"/>
          <w:i w:val="1"/>
          <w:iCs w:val="1"/>
          <w:color w:val="auto"/>
        </w:rPr>
        <w:t xml:space="preserve"> </w:t>
      </w:r>
      <w:r>
        <w:rPr>
          <w:rFonts w:ascii="Arial" w:cs="Arial" w:eastAsia="Arial" w:hAnsi="Arial"/>
          <w:sz w:val="15"/>
          <w:szCs w:val="15"/>
          <w:color w:val="auto"/>
        </w:rPr>
        <w:t>Business accounts.</w:t>
      </w:r>
    </w:p>
    <w:p>
      <w:pPr>
        <w:spacing w:after="0" w:line="67" w:lineRule="exact"/>
        <w:rPr>
          <w:rFonts w:ascii="Arial" w:cs="Arial" w:eastAsia="Arial" w:hAnsi="Arial"/>
          <w:sz w:val="15"/>
          <w:szCs w:val="15"/>
          <w:color w:val="auto"/>
        </w:rPr>
      </w:pPr>
    </w:p>
    <w:p>
      <w:pPr>
        <w:ind w:left="1840" w:right="380" w:hanging="276"/>
        <w:spacing w:after="0" w:line="275" w:lineRule="auto"/>
        <w:tabs>
          <w:tab w:leader="none" w:pos="1840" w:val="left"/>
        </w:tabs>
        <w:numPr>
          <w:ilvl w:val="0"/>
          <w:numId w:val="51"/>
        </w:numPr>
        <w:rPr>
          <w:rFonts w:ascii="Arial" w:cs="Arial" w:eastAsia="Arial" w:hAnsi="Arial"/>
          <w:sz w:val="15"/>
          <w:szCs w:val="15"/>
          <w:color w:val="auto"/>
        </w:rPr>
      </w:pPr>
      <w:r>
        <w:rPr>
          <w:rFonts w:ascii="Arial" w:cs="Arial" w:eastAsia="Arial" w:hAnsi="Arial"/>
          <w:sz w:val="15"/>
          <w:szCs w:val="15"/>
          <w:i w:val="1"/>
          <w:iCs w:val="1"/>
          <w:color w:val="auto"/>
        </w:rPr>
        <w:t>eDiscovery and legal hold</w:t>
      </w:r>
      <w:r>
        <w:rPr>
          <w:rFonts w:ascii="Arial" w:cs="Arial" w:eastAsia="Arial" w:hAnsi="Arial"/>
          <w:sz w:val="15"/>
          <w:szCs w:val="15"/>
          <w:color w:val="auto"/>
        </w:rPr>
        <w:t>: Enables secure search and the ability to collect and preserve electronically stored information in Dropbox</w:t>
      </w:r>
      <w:r>
        <w:rPr>
          <w:rFonts w:ascii="Arial" w:cs="Arial" w:eastAsia="Arial" w:hAnsi="Arial"/>
          <w:sz w:val="15"/>
          <w:szCs w:val="15"/>
          <w:i w:val="1"/>
          <w:iCs w:val="1"/>
          <w:color w:val="auto"/>
        </w:rPr>
        <w:t xml:space="preserve"> </w:t>
      </w:r>
      <w:r>
        <w:rPr>
          <w:rFonts w:ascii="Arial" w:cs="Arial" w:eastAsia="Arial" w:hAnsi="Arial"/>
          <w:sz w:val="15"/>
          <w:szCs w:val="15"/>
          <w:color w:val="auto"/>
        </w:rPr>
        <w:t>Business accounts.</w:t>
      </w:r>
    </w:p>
    <w:p>
      <w:pPr>
        <w:spacing w:after="0" w:line="67" w:lineRule="exact"/>
        <w:rPr>
          <w:rFonts w:ascii="Arial" w:cs="Arial" w:eastAsia="Arial" w:hAnsi="Arial"/>
          <w:sz w:val="15"/>
          <w:szCs w:val="15"/>
          <w:color w:val="auto"/>
        </w:rPr>
      </w:pPr>
    </w:p>
    <w:p>
      <w:pPr>
        <w:ind w:left="1840" w:hanging="276"/>
        <w:spacing w:after="0"/>
        <w:tabs>
          <w:tab w:leader="none" w:pos="1840" w:val="left"/>
        </w:tabs>
        <w:numPr>
          <w:ilvl w:val="0"/>
          <w:numId w:val="51"/>
        </w:numPr>
        <w:rPr>
          <w:rFonts w:ascii="Arial" w:cs="Arial" w:eastAsia="Arial" w:hAnsi="Arial"/>
          <w:sz w:val="15"/>
          <w:szCs w:val="15"/>
          <w:color w:val="auto"/>
        </w:rPr>
      </w:pPr>
      <w:r>
        <w:rPr>
          <w:rFonts w:ascii="Arial" w:cs="Arial" w:eastAsia="Arial" w:hAnsi="Arial"/>
          <w:sz w:val="15"/>
          <w:szCs w:val="15"/>
          <w:i w:val="1"/>
          <w:iCs w:val="1"/>
          <w:color w:val="auto"/>
        </w:rPr>
        <w:t>Digital rights management</w:t>
      </w:r>
      <w:r>
        <w:rPr>
          <w:rFonts w:ascii="Arial" w:cs="Arial" w:eastAsia="Arial" w:hAnsi="Arial"/>
          <w:sz w:val="15"/>
          <w:szCs w:val="15"/>
          <w:color w:val="auto"/>
        </w:rPr>
        <w:t>: Provides third-party encryption for company data stored in Dropbox Business accounts.</w:t>
      </w:r>
    </w:p>
    <w:p>
      <w:pPr>
        <w:spacing w:after="0" w:line="109" w:lineRule="exact"/>
        <w:rPr>
          <w:rFonts w:ascii="Arial" w:cs="Arial" w:eastAsia="Arial" w:hAnsi="Arial"/>
          <w:sz w:val="15"/>
          <w:szCs w:val="15"/>
          <w:color w:val="auto"/>
        </w:rPr>
      </w:pPr>
    </w:p>
    <w:p>
      <w:pPr>
        <w:ind w:left="1840" w:hanging="276"/>
        <w:spacing w:after="0" w:line="275" w:lineRule="auto"/>
        <w:tabs>
          <w:tab w:leader="none" w:pos="1840" w:val="left"/>
        </w:tabs>
        <w:numPr>
          <w:ilvl w:val="0"/>
          <w:numId w:val="51"/>
        </w:numPr>
        <w:rPr>
          <w:rFonts w:ascii="Arial" w:cs="Arial" w:eastAsia="Arial" w:hAnsi="Arial"/>
          <w:sz w:val="15"/>
          <w:szCs w:val="15"/>
          <w:color w:val="auto"/>
        </w:rPr>
      </w:pPr>
      <w:r>
        <w:rPr>
          <w:rFonts w:ascii="Arial" w:cs="Arial" w:eastAsia="Arial" w:hAnsi="Arial"/>
          <w:sz w:val="15"/>
          <w:szCs w:val="15"/>
          <w:i w:val="1"/>
          <w:iCs w:val="1"/>
          <w:color w:val="auto"/>
        </w:rPr>
        <w:t>Data migration and on-premises backup</w:t>
      </w:r>
      <w:r>
        <w:rPr>
          <w:rFonts w:ascii="Arial" w:cs="Arial" w:eastAsia="Arial" w:hAnsi="Arial"/>
          <w:sz w:val="15"/>
          <w:szCs w:val="15"/>
          <w:color w:val="auto"/>
        </w:rPr>
        <w:t>: Assists in transferring large amounts of data between locations and securing sensitive information</w:t>
      </w:r>
      <w:r>
        <w:rPr>
          <w:rFonts w:ascii="Arial" w:cs="Arial" w:eastAsia="Arial" w:hAnsi="Arial"/>
          <w:sz w:val="15"/>
          <w:szCs w:val="15"/>
          <w:i w:val="1"/>
          <w:iCs w:val="1"/>
          <w:color w:val="auto"/>
        </w:rPr>
        <w:t xml:space="preserve"> </w:t>
      </w:r>
      <w:r>
        <w:rPr>
          <w:rFonts w:ascii="Arial" w:cs="Arial" w:eastAsia="Arial" w:hAnsi="Arial"/>
          <w:sz w:val="15"/>
          <w:szCs w:val="15"/>
          <w:color w:val="auto"/>
        </w:rPr>
        <w:t>with on-site data backup.</w:t>
      </w:r>
    </w:p>
    <w:p>
      <w:pPr>
        <w:spacing w:after="0" w:line="67" w:lineRule="exact"/>
        <w:rPr>
          <w:rFonts w:ascii="Arial" w:cs="Arial" w:eastAsia="Arial" w:hAnsi="Arial"/>
          <w:sz w:val="15"/>
          <w:szCs w:val="15"/>
          <w:color w:val="auto"/>
        </w:rPr>
      </w:pPr>
    </w:p>
    <w:p>
      <w:pPr>
        <w:ind w:left="1840" w:right="80" w:hanging="276"/>
        <w:spacing w:after="0" w:line="275" w:lineRule="auto"/>
        <w:tabs>
          <w:tab w:leader="none" w:pos="1840" w:val="left"/>
        </w:tabs>
        <w:numPr>
          <w:ilvl w:val="0"/>
          <w:numId w:val="51"/>
        </w:numPr>
        <w:rPr>
          <w:rFonts w:ascii="Arial" w:cs="Arial" w:eastAsia="Arial" w:hAnsi="Arial"/>
          <w:sz w:val="15"/>
          <w:szCs w:val="15"/>
          <w:color w:val="auto"/>
        </w:rPr>
      </w:pPr>
      <w:r>
        <w:rPr>
          <w:rFonts w:ascii="Arial" w:cs="Arial" w:eastAsia="Arial" w:hAnsi="Arial"/>
          <w:sz w:val="15"/>
          <w:szCs w:val="15"/>
          <w:i w:val="1"/>
          <w:iCs w:val="1"/>
          <w:color w:val="auto"/>
        </w:rPr>
        <w:t>Identity management</w:t>
      </w:r>
      <w:r>
        <w:rPr>
          <w:rFonts w:ascii="Arial" w:cs="Arial" w:eastAsia="Arial" w:hAnsi="Arial"/>
          <w:sz w:val="15"/>
          <w:szCs w:val="15"/>
          <w:color w:val="auto"/>
        </w:rPr>
        <w:t>: Allows companies to keep their Dropbox Business team authenticated with an external identity provider like Active</w:t>
      </w:r>
      <w:r>
        <w:rPr>
          <w:rFonts w:ascii="Arial" w:cs="Arial" w:eastAsia="Arial" w:hAnsi="Arial"/>
          <w:sz w:val="15"/>
          <w:szCs w:val="15"/>
          <w:i w:val="1"/>
          <w:iCs w:val="1"/>
          <w:color w:val="auto"/>
        </w:rPr>
        <w:t xml:space="preserve"> </w:t>
      </w:r>
      <w:r>
        <w:rPr>
          <w:rFonts w:ascii="Arial" w:cs="Arial" w:eastAsia="Arial" w:hAnsi="Arial"/>
          <w:sz w:val="15"/>
          <w:szCs w:val="15"/>
          <w:color w:val="auto"/>
        </w:rPr>
        <w:t>Directory.</w:t>
      </w:r>
    </w:p>
    <w:p>
      <w:pPr>
        <w:spacing w:after="0" w:line="90" w:lineRule="exact"/>
        <w:rPr>
          <w:sz w:val="20"/>
          <w:szCs w:val="20"/>
          <w:color w:val="auto"/>
        </w:rPr>
      </w:pPr>
    </w:p>
    <w:p>
      <w:pPr>
        <w:ind w:left="5600"/>
        <w:spacing w:after="0"/>
        <w:rPr>
          <w:sz w:val="20"/>
          <w:szCs w:val="20"/>
          <w:color w:val="auto"/>
        </w:rPr>
      </w:pPr>
      <w:r>
        <w:rPr>
          <w:rFonts w:ascii="Arial" w:cs="Arial" w:eastAsia="Arial" w:hAnsi="Arial"/>
          <w:sz w:val="15"/>
          <w:szCs w:val="15"/>
          <w:color w:val="auto"/>
        </w:rPr>
        <w:t>114</w:t>
      </w:r>
    </w:p>
    <w:p>
      <w:pPr>
        <w:sectPr>
          <w:pgSz w:w="11900" w:h="16838" w:orient="portrait"/>
          <w:cols w:equalWidth="0" w:num="1">
            <w:col w:w="10220"/>
          </w:cols>
          <w:pgMar w:left="240" w:top="407" w:right="1439" w:bottom="1440" w:gutter="0" w:footer="0" w:header="0"/>
        </w:sectPr>
      </w:pPr>
    </w:p>
    <w:bookmarkStart w:id="121" w:name="page122"/>
    <w:bookmarkEnd w:id="121"/>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133350</wp:posOffset>
            </wp:positionH>
            <wp:positionV relativeFrom="page">
              <wp:posOffset>88900</wp:posOffset>
            </wp:positionV>
            <wp:extent cx="7308850" cy="342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308850" cy="34290"/>
                    </a:xfrm>
                    <a:prstGeom prst="rect">
                      <a:avLst/>
                    </a:prstGeom>
                    <a:noFill/>
                  </pic:spPr>
                </pic:pic>
              </a:graphicData>
            </a:graphic>
          </wp:anchor>
        </w:drawing>
      </w:r>
      <w:hyperlink w:anchor="page7">
        <w:r>
          <w:rPr>
            <w:rFonts w:ascii="Arial" w:cs="Arial" w:eastAsia="Arial" w:hAnsi="Arial"/>
            <w:sz w:val="15"/>
            <w:szCs w:val="15"/>
            <w:b w:val="1"/>
            <w:bCs w:val="1"/>
            <w:u w:val="single" w:color="auto"/>
            <w:color w:val="0000EE"/>
          </w:rPr>
          <w:t>Table of Contents</w:t>
        </w:r>
      </w:hyperlink>
    </w:p>
    <w:p>
      <w:pPr>
        <w:spacing w:after="0" w:line="256" w:lineRule="exact"/>
        <w:rPr>
          <w:sz w:val="20"/>
          <w:szCs w:val="20"/>
          <w:color w:val="auto"/>
        </w:rPr>
      </w:pPr>
    </w:p>
    <w:p>
      <w:pPr>
        <w:ind w:left="1120"/>
        <w:spacing w:after="0"/>
        <w:rPr>
          <w:sz w:val="20"/>
          <w:szCs w:val="20"/>
          <w:color w:val="auto"/>
        </w:rPr>
      </w:pPr>
      <w:r>
        <w:rPr>
          <w:rFonts w:ascii="Arial" w:cs="Arial" w:eastAsia="Arial" w:hAnsi="Arial"/>
          <w:sz w:val="15"/>
          <w:szCs w:val="15"/>
          <w:b w:val="1"/>
          <w:bCs w:val="1"/>
          <w:color w:val="auto"/>
        </w:rPr>
        <w:t>Our Subscription Plans</w:t>
      </w:r>
    </w:p>
    <w:p>
      <w:pPr>
        <w:spacing w:after="0" w:line="102" w:lineRule="exact"/>
        <w:rPr>
          <w:sz w:val="20"/>
          <w:szCs w:val="20"/>
          <w:color w:val="auto"/>
        </w:rPr>
      </w:pPr>
    </w:p>
    <w:p>
      <w:pPr>
        <w:jc w:val="right"/>
        <w:ind w:right="119"/>
        <w:spacing w:after="0"/>
        <w:rPr>
          <w:sz w:val="20"/>
          <w:szCs w:val="20"/>
          <w:color w:val="auto"/>
        </w:rPr>
      </w:pPr>
      <w:r>
        <w:rPr>
          <w:rFonts w:ascii="Arial" w:cs="Arial" w:eastAsia="Arial" w:hAnsi="Arial"/>
          <w:sz w:val="15"/>
          <w:szCs w:val="15"/>
          <w:color w:val="auto"/>
        </w:rPr>
        <w:t>We offer subscription plans to serve the varying needs of our diverse customer base, which includes individuals, teams, and organizations of all</w:t>
      </w:r>
    </w:p>
    <w:p>
      <w:pPr>
        <w:spacing w:after="0" w:line="17" w:lineRule="exact"/>
        <w:rPr>
          <w:sz w:val="20"/>
          <w:szCs w:val="20"/>
          <w:color w:val="auto"/>
        </w:rPr>
      </w:pPr>
    </w:p>
    <w:p>
      <w:pPr>
        <w:ind w:left="1120"/>
        <w:spacing w:after="0"/>
        <w:rPr>
          <w:sz w:val="20"/>
          <w:szCs w:val="20"/>
          <w:color w:val="auto"/>
        </w:rPr>
      </w:pPr>
      <w:r>
        <w:rPr>
          <w:rFonts w:ascii="Arial" w:cs="Arial" w:eastAsia="Arial" w:hAnsi="Arial"/>
          <w:sz w:val="15"/>
          <w:szCs w:val="15"/>
          <w:color w:val="auto"/>
        </w:rPr>
        <w:t>sizes.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1526540</wp:posOffset>
            </wp:positionH>
            <wp:positionV relativeFrom="paragraph">
              <wp:posOffset>134620</wp:posOffset>
            </wp:positionV>
            <wp:extent cx="4203700" cy="484124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4203700" cy="48412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1120"/>
        <w:spacing w:after="0"/>
        <w:rPr>
          <w:sz w:val="20"/>
          <w:szCs w:val="20"/>
          <w:color w:val="auto"/>
        </w:rPr>
      </w:pPr>
      <w:r>
        <w:rPr>
          <w:rFonts w:ascii="Arial" w:cs="Arial" w:eastAsia="Arial" w:hAnsi="Arial"/>
          <w:sz w:val="15"/>
          <w:szCs w:val="15"/>
          <w:b w:val="1"/>
          <w:bCs w:val="1"/>
          <w:color w:val="auto"/>
        </w:rPr>
        <w:t>Our Customers</w:t>
      </w:r>
    </w:p>
    <w:p>
      <w:pPr>
        <w:spacing w:after="0" w:line="102" w:lineRule="exact"/>
        <w:rPr>
          <w:sz w:val="20"/>
          <w:szCs w:val="20"/>
          <w:color w:val="auto"/>
        </w:rPr>
      </w:pPr>
    </w:p>
    <w:p>
      <w:pPr>
        <w:ind w:left="1120" w:right="199" w:firstLine="368"/>
        <w:spacing w:after="0" w:line="275" w:lineRule="auto"/>
        <w:rPr>
          <w:sz w:val="20"/>
          <w:szCs w:val="20"/>
          <w:color w:val="auto"/>
        </w:rPr>
      </w:pPr>
      <w:r>
        <w:rPr>
          <w:rFonts w:ascii="Arial" w:cs="Arial" w:eastAsia="Arial" w:hAnsi="Arial"/>
          <w:sz w:val="15"/>
          <w:szCs w:val="15"/>
          <w:color w:val="auto"/>
        </w:rPr>
        <w:t>We’ve built a thriving global business with over 11 million paying users. Of these subscribers, approximately 30% use Dropbox for work on a Dropbox Business team plan, and we estimate that an additional</w:t>
      </w:r>
    </w:p>
    <w:p>
      <w:pPr>
        <w:spacing w:after="0" w:line="248" w:lineRule="exact"/>
        <w:rPr>
          <w:sz w:val="20"/>
          <w:szCs w:val="20"/>
          <w:color w:val="auto"/>
        </w:rPr>
      </w:pPr>
    </w:p>
    <w:p>
      <w:pPr>
        <w:ind w:left="5600"/>
        <w:spacing w:after="0"/>
        <w:rPr>
          <w:sz w:val="20"/>
          <w:szCs w:val="20"/>
          <w:color w:val="auto"/>
        </w:rPr>
      </w:pPr>
      <w:r>
        <w:rPr>
          <w:rFonts w:ascii="Arial" w:cs="Arial" w:eastAsia="Arial" w:hAnsi="Arial"/>
          <w:sz w:val="15"/>
          <w:szCs w:val="15"/>
          <w:color w:val="auto"/>
        </w:rPr>
        <w:t>115</w:t>
      </w:r>
    </w:p>
    <w:p>
      <w:pPr>
        <w:sectPr>
          <w:pgSz w:w="11900" w:h="16838" w:orient="portrait"/>
          <w:cols w:equalWidth="0" w:num="1">
            <w:col w:w="10219"/>
          </w:cols>
          <w:pgMar w:left="240" w:top="407" w:right="1440" w:bottom="1440" w:gutter="0" w:footer="0" w:header="0"/>
        </w:sectPr>
      </w:pPr>
    </w:p>
    <w:bookmarkStart w:id="122" w:name="page123"/>
    <w:bookmarkEnd w:id="122"/>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133350</wp:posOffset>
            </wp:positionH>
            <wp:positionV relativeFrom="page">
              <wp:posOffset>88900</wp:posOffset>
            </wp:positionV>
            <wp:extent cx="7308850" cy="3429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308850" cy="34290"/>
                    </a:xfrm>
                    <a:prstGeom prst="rect">
                      <a:avLst/>
                    </a:prstGeom>
                    <a:noFill/>
                  </pic:spPr>
                </pic:pic>
              </a:graphicData>
            </a:graphic>
          </wp:anchor>
        </w:drawing>
      </w:r>
      <w:hyperlink w:anchor="page7">
        <w:r>
          <w:rPr>
            <w:rFonts w:ascii="Arial" w:cs="Arial" w:eastAsia="Arial" w:hAnsi="Arial"/>
            <w:sz w:val="15"/>
            <w:szCs w:val="15"/>
            <w:b w:val="1"/>
            <w:bCs w:val="1"/>
            <w:u w:val="single" w:color="auto"/>
            <w:color w:val="0000EE"/>
          </w:rPr>
          <w:t>Table of Contents</w:t>
        </w:r>
      </w:hyperlink>
    </w:p>
    <w:p>
      <w:pPr>
        <w:spacing w:after="0" w:line="260" w:lineRule="exact"/>
        <w:rPr>
          <w:sz w:val="20"/>
          <w:szCs w:val="20"/>
          <w:color w:val="auto"/>
        </w:rPr>
      </w:pPr>
    </w:p>
    <w:p>
      <w:pPr>
        <w:ind w:left="1120"/>
        <w:spacing w:after="0" w:line="255" w:lineRule="auto"/>
        <w:rPr>
          <w:sz w:val="20"/>
          <w:szCs w:val="20"/>
          <w:color w:val="auto"/>
        </w:rPr>
      </w:pPr>
      <w:r>
        <w:rPr>
          <w:rFonts w:ascii="Arial" w:cs="Arial" w:eastAsia="Arial" w:hAnsi="Arial"/>
          <w:sz w:val="15"/>
          <w:szCs w:val="15"/>
          <w:color w:val="auto"/>
        </w:rPr>
        <w:t>50% use Dropbox for work on an individual plan, collectively totaling approximately 80% of paying subscribers. As of December 31, 2017, we had more than 300,000 paying Dropbox Business teams, and approximately 56% of Fortune 500 companies had at least one Dropbox Business team within their organization. Our customer base is highly diversified, and in 2015, 2016, and 2017, no customer accounted for more than 1% of our revenue. Our customers include individuals, teams, and organizations of all sizes, from freelancers and small businesses to Fortune 100 companies. They work across a wide range of industries, including professional services, technology, media, education, industrials, consumer and retail, and financial services. Within companies, our platform is used by all types of teams and functions, including sales, marketing, product, design, engineering, finance, legal, and human resources.</w:t>
      </w:r>
    </w:p>
    <w:p>
      <w:pPr>
        <w:spacing w:after="0" w:line="251" w:lineRule="exact"/>
        <w:rPr>
          <w:sz w:val="20"/>
          <w:szCs w:val="20"/>
          <w:color w:val="auto"/>
        </w:rPr>
      </w:pPr>
    </w:p>
    <w:p>
      <w:pPr>
        <w:ind w:left="1480"/>
        <w:spacing w:after="0"/>
        <w:rPr>
          <w:sz w:val="20"/>
          <w:szCs w:val="20"/>
          <w:color w:val="auto"/>
        </w:rPr>
      </w:pPr>
      <w:r>
        <w:rPr>
          <w:rFonts w:ascii="Arial" w:cs="Arial" w:eastAsia="Arial" w:hAnsi="Arial"/>
          <w:sz w:val="15"/>
          <w:szCs w:val="15"/>
          <w:b w:val="1"/>
          <w:bCs w:val="1"/>
          <w:i w:val="1"/>
          <w:iCs w:val="1"/>
          <w:color w:val="auto"/>
        </w:rPr>
        <w:t>How we support our customers</w:t>
      </w:r>
    </w:p>
    <w:p>
      <w:pPr>
        <w:spacing w:after="0" w:line="98" w:lineRule="exact"/>
        <w:rPr>
          <w:sz w:val="20"/>
          <w:szCs w:val="20"/>
          <w:color w:val="auto"/>
        </w:rPr>
      </w:pPr>
    </w:p>
    <w:p>
      <w:pPr>
        <w:ind w:left="1480"/>
        <w:spacing w:after="0"/>
        <w:rPr>
          <w:sz w:val="20"/>
          <w:szCs w:val="20"/>
          <w:color w:val="auto"/>
        </w:rPr>
      </w:pPr>
      <w:r>
        <w:rPr>
          <w:rFonts w:ascii="Arial" w:cs="Arial" w:eastAsia="Arial" w:hAnsi="Arial"/>
          <w:sz w:val="15"/>
          <w:szCs w:val="15"/>
          <w:color w:val="auto"/>
        </w:rPr>
        <w:t>All of our users can access support through the following resources:</w:t>
      </w:r>
    </w:p>
    <w:p>
      <w:pPr>
        <w:spacing w:after="0" w:line="109" w:lineRule="exact"/>
        <w:rPr>
          <w:sz w:val="20"/>
          <w:szCs w:val="20"/>
          <w:color w:val="auto"/>
        </w:rPr>
      </w:pPr>
    </w:p>
    <w:p>
      <w:pPr>
        <w:ind w:left="1840" w:right="320" w:hanging="276"/>
        <w:spacing w:after="0" w:line="275" w:lineRule="auto"/>
        <w:tabs>
          <w:tab w:leader="none" w:pos="1840" w:val="left"/>
        </w:tabs>
        <w:numPr>
          <w:ilvl w:val="0"/>
          <w:numId w:val="52"/>
        </w:numPr>
        <w:rPr>
          <w:rFonts w:ascii="Arial" w:cs="Arial" w:eastAsia="Arial" w:hAnsi="Arial"/>
          <w:sz w:val="15"/>
          <w:szCs w:val="15"/>
          <w:color w:val="auto"/>
        </w:rPr>
      </w:pPr>
      <w:r>
        <w:rPr>
          <w:rFonts w:ascii="Arial" w:cs="Arial" w:eastAsia="Arial" w:hAnsi="Arial"/>
          <w:sz w:val="15"/>
          <w:szCs w:val="15"/>
          <w:i w:val="1"/>
          <w:iCs w:val="1"/>
          <w:color w:val="auto"/>
        </w:rPr>
        <w:t>Help center</w:t>
      </w:r>
      <w:r>
        <w:rPr>
          <w:rFonts w:ascii="Arial" w:cs="Arial" w:eastAsia="Arial" w:hAnsi="Arial"/>
          <w:sz w:val="15"/>
          <w:szCs w:val="15"/>
          <w:color w:val="auto"/>
        </w:rPr>
        <w:t>: Provides an online repository of helpful information about our platform, responses to frequently asked questions, and best</w:t>
      </w:r>
      <w:r>
        <w:rPr>
          <w:rFonts w:ascii="Arial" w:cs="Arial" w:eastAsia="Arial" w:hAnsi="Arial"/>
          <w:sz w:val="15"/>
          <w:szCs w:val="15"/>
          <w:i w:val="1"/>
          <w:iCs w:val="1"/>
          <w:color w:val="auto"/>
        </w:rPr>
        <w:t xml:space="preserve"> </w:t>
      </w:r>
      <w:r>
        <w:rPr>
          <w:rFonts w:ascii="Arial" w:cs="Arial" w:eastAsia="Arial" w:hAnsi="Arial"/>
          <w:sz w:val="15"/>
          <w:szCs w:val="15"/>
          <w:color w:val="auto"/>
        </w:rPr>
        <w:t>practices for use.</w:t>
      </w:r>
    </w:p>
    <w:p>
      <w:pPr>
        <w:spacing w:after="0" w:line="67" w:lineRule="exact"/>
        <w:rPr>
          <w:rFonts w:ascii="Arial" w:cs="Arial" w:eastAsia="Arial" w:hAnsi="Arial"/>
          <w:sz w:val="15"/>
          <w:szCs w:val="15"/>
          <w:color w:val="auto"/>
        </w:rPr>
      </w:pPr>
    </w:p>
    <w:p>
      <w:pPr>
        <w:ind w:left="1840" w:hanging="276"/>
        <w:spacing w:after="0"/>
        <w:tabs>
          <w:tab w:leader="none" w:pos="1840" w:val="left"/>
        </w:tabs>
        <w:numPr>
          <w:ilvl w:val="0"/>
          <w:numId w:val="52"/>
        </w:numPr>
        <w:rPr>
          <w:rFonts w:ascii="Arial" w:cs="Arial" w:eastAsia="Arial" w:hAnsi="Arial"/>
          <w:sz w:val="13"/>
          <w:szCs w:val="13"/>
          <w:color w:val="auto"/>
        </w:rPr>
      </w:pPr>
      <w:r>
        <w:rPr>
          <w:rFonts w:ascii="Arial" w:cs="Arial" w:eastAsia="Arial" w:hAnsi="Arial"/>
          <w:sz w:val="13"/>
          <w:szCs w:val="13"/>
          <w:i w:val="1"/>
          <w:iCs w:val="1"/>
          <w:color w:val="auto"/>
        </w:rPr>
        <w:t>Community support</w:t>
      </w:r>
      <w:r>
        <w:rPr>
          <w:rFonts w:ascii="Arial" w:cs="Arial" w:eastAsia="Arial" w:hAnsi="Arial"/>
          <w:sz w:val="13"/>
          <w:szCs w:val="13"/>
          <w:color w:val="auto"/>
        </w:rPr>
        <w:t>: Facilitates collaboration between users on answers, solutions, and ideas about our platform in an online community.</w:t>
      </w:r>
    </w:p>
    <w:p>
      <w:pPr>
        <w:spacing w:after="0" w:line="132" w:lineRule="exact"/>
        <w:rPr>
          <w:rFonts w:ascii="Arial" w:cs="Arial" w:eastAsia="Arial" w:hAnsi="Arial"/>
          <w:sz w:val="13"/>
          <w:szCs w:val="13"/>
          <w:color w:val="auto"/>
        </w:rPr>
      </w:pPr>
    </w:p>
    <w:p>
      <w:pPr>
        <w:ind w:left="1840" w:hanging="276"/>
        <w:spacing w:after="0"/>
        <w:tabs>
          <w:tab w:leader="none" w:pos="1840" w:val="left"/>
        </w:tabs>
        <w:numPr>
          <w:ilvl w:val="0"/>
          <w:numId w:val="52"/>
        </w:numPr>
        <w:rPr>
          <w:rFonts w:ascii="Arial" w:cs="Arial" w:eastAsia="Arial" w:hAnsi="Arial"/>
          <w:sz w:val="15"/>
          <w:szCs w:val="15"/>
          <w:color w:val="auto"/>
        </w:rPr>
      </w:pPr>
      <w:r>
        <w:rPr>
          <w:rFonts w:ascii="Arial" w:cs="Arial" w:eastAsia="Arial" w:hAnsi="Arial"/>
          <w:sz w:val="15"/>
          <w:szCs w:val="15"/>
          <w:i w:val="1"/>
          <w:iCs w:val="1"/>
          <w:color w:val="auto"/>
        </w:rPr>
        <w:t>Twitter support</w:t>
      </w:r>
      <w:r>
        <w:rPr>
          <w:rFonts w:ascii="Arial" w:cs="Arial" w:eastAsia="Arial" w:hAnsi="Arial"/>
          <w:sz w:val="15"/>
          <w:szCs w:val="15"/>
          <w:color w:val="auto"/>
        </w:rPr>
        <w:t>: Provides users real-time product and service updates, and offers tips and troubleshooting information.</w:t>
      </w:r>
    </w:p>
    <w:p>
      <w:pPr>
        <w:spacing w:after="0" w:line="109" w:lineRule="exact"/>
        <w:rPr>
          <w:rFonts w:ascii="Arial" w:cs="Arial" w:eastAsia="Arial" w:hAnsi="Arial"/>
          <w:sz w:val="15"/>
          <w:szCs w:val="15"/>
          <w:color w:val="auto"/>
        </w:rPr>
      </w:pPr>
    </w:p>
    <w:p>
      <w:pPr>
        <w:ind w:left="1840" w:right="280" w:hanging="276"/>
        <w:spacing w:after="0" w:line="275" w:lineRule="auto"/>
        <w:tabs>
          <w:tab w:leader="none" w:pos="1840" w:val="left"/>
        </w:tabs>
        <w:numPr>
          <w:ilvl w:val="0"/>
          <w:numId w:val="52"/>
        </w:numPr>
        <w:rPr>
          <w:rFonts w:ascii="Arial" w:cs="Arial" w:eastAsia="Arial" w:hAnsi="Arial"/>
          <w:sz w:val="15"/>
          <w:szCs w:val="15"/>
          <w:color w:val="auto"/>
        </w:rPr>
      </w:pPr>
      <w:r>
        <w:rPr>
          <w:rFonts w:ascii="Arial" w:cs="Arial" w:eastAsia="Arial" w:hAnsi="Arial"/>
          <w:sz w:val="15"/>
          <w:szCs w:val="15"/>
          <w:i w:val="1"/>
          <w:iCs w:val="1"/>
          <w:color w:val="auto"/>
        </w:rPr>
        <w:t>Guided troubleshooting</w:t>
      </w:r>
      <w:r>
        <w:rPr>
          <w:rFonts w:ascii="Arial" w:cs="Arial" w:eastAsia="Arial" w:hAnsi="Arial"/>
          <w:sz w:val="15"/>
          <w:szCs w:val="15"/>
          <w:color w:val="auto"/>
        </w:rPr>
        <w:t>: Offers step-by-step instructions to resolve common questions and provides a portal to submit help requests for</w:t>
      </w:r>
      <w:r>
        <w:rPr>
          <w:rFonts w:ascii="Arial" w:cs="Arial" w:eastAsia="Arial" w:hAnsi="Arial"/>
          <w:sz w:val="15"/>
          <w:szCs w:val="15"/>
          <w:i w:val="1"/>
          <w:iCs w:val="1"/>
          <w:color w:val="auto"/>
        </w:rPr>
        <w:t xml:space="preserve"> </w:t>
      </w:r>
      <w:r>
        <w:rPr>
          <w:rFonts w:ascii="Arial" w:cs="Arial" w:eastAsia="Arial" w:hAnsi="Arial"/>
          <w:sz w:val="15"/>
          <w:szCs w:val="15"/>
          <w:color w:val="auto"/>
        </w:rPr>
        <w:t>questions that aren’t otherwise available.</w:t>
      </w:r>
    </w:p>
    <w:p>
      <w:pPr>
        <w:spacing w:after="0" w:line="146" w:lineRule="exact"/>
        <w:rPr>
          <w:sz w:val="20"/>
          <w:szCs w:val="20"/>
          <w:color w:val="auto"/>
        </w:rPr>
      </w:pPr>
    </w:p>
    <w:p>
      <w:pPr>
        <w:ind w:left="1480"/>
        <w:spacing w:after="0"/>
        <w:rPr>
          <w:sz w:val="20"/>
          <w:szCs w:val="20"/>
          <w:color w:val="auto"/>
        </w:rPr>
      </w:pPr>
      <w:r>
        <w:rPr>
          <w:rFonts w:ascii="Arial" w:cs="Arial" w:eastAsia="Arial" w:hAnsi="Arial"/>
          <w:sz w:val="15"/>
          <w:szCs w:val="15"/>
          <w:color w:val="auto"/>
        </w:rPr>
        <w:t>We also offer additional support for our paying users as described above in “Our Subscription Plans.”</w:t>
      </w:r>
    </w:p>
    <w:p>
      <w:pPr>
        <w:spacing w:after="0" w:line="275" w:lineRule="exact"/>
        <w:rPr>
          <w:sz w:val="20"/>
          <w:szCs w:val="20"/>
          <w:color w:val="auto"/>
        </w:rPr>
      </w:pPr>
    </w:p>
    <w:p>
      <w:pPr>
        <w:ind w:left="1120"/>
        <w:spacing w:after="0"/>
        <w:rPr>
          <w:sz w:val="20"/>
          <w:szCs w:val="20"/>
          <w:color w:val="auto"/>
        </w:rPr>
      </w:pPr>
      <w:r>
        <w:rPr>
          <w:rFonts w:ascii="Arial" w:cs="Arial" w:eastAsia="Arial" w:hAnsi="Arial"/>
          <w:sz w:val="15"/>
          <w:szCs w:val="15"/>
          <w:b w:val="1"/>
          <w:bCs w:val="1"/>
          <w:color w:val="auto"/>
        </w:rPr>
        <w:t>Case Studies</w:t>
      </w:r>
    </w:p>
    <w:p>
      <w:pPr>
        <w:spacing w:after="0" w:line="192" w:lineRule="exact"/>
        <w:rPr>
          <w:sz w:val="20"/>
          <w:szCs w:val="20"/>
          <w:color w:val="auto"/>
        </w:rPr>
      </w:pPr>
    </w:p>
    <w:p>
      <w:pPr>
        <w:ind w:left="1480"/>
        <w:spacing w:after="0"/>
        <w:rPr>
          <w:sz w:val="20"/>
          <w:szCs w:val="20"/>
          <w:color w:val="auto"/>
        </w:rPr>
      </w:pPr>
      <w:r>
        <w:rPr>
          <w:rFonts w:ascii="Arial" w:cs="Arial" w:eastAsia="Arial" w:hAnsi="Arial"/>
          <w:sz w:val="15"/>
          <w:szCs w:val="15"/>
          <w:color w:val="auto"/>
        </w:rPr>
        <w:t>The customer examples below illustrate how businesses from different industries benefit from our platform.</w:t>
      </w:r>
    </w:p>
    <w:p>
      <w:pPr>
        <w:spacing w:after="0" w:line="132" w:lineRule="exact"/>
        <w:rPr>
          <w:sz w:val="20"/>
          <w:szCs w:val="20"/>
          <w:color w:val="auto"/>
        </w:rPr>
      </w:pPr>
    </w:p>
    <w:p>
      <w:pPr>
        <w:ind w:left="5600"/>
        <w:spacing w:after="0"/>
        <w:rPr>
          <w:sz w:val="20"/>
          <w:szCs w:val="20"/>
          <w:color w:val="auto"/>
        </w:rPr>
      </w:pPr>
      <w:r>
        <w:rPr>
          <w:rFonts w:ascii="Arial" w:cs="Arial" w:eastAsia="Arial" w:hAnsi="Arial"/>
          <w:sz w:val="15"/>
          <w:szCs w:val="15"/>
          <w:color w:val="auto"/>
        </w:rPr>
        <w:t>116</w:t>
      </w:r>
    </w:p>
    <w:p>
      <w:pPr>
        <w:sectPr>
          <w:pgSz w:w="11900" w:h="16838" w:orient="portrait"/>
          <w:cols w:equalWidth="0" w:num="1">
            <w:col w:w="10260"/>
          </w:cols>
          <w:pgMar w:left="240" w:top="407" w:right="1399" w:bottom="1440" w:gutter="0" w:footer="0" w:header="0"/>
        </w:sectPr>
      </w:pPr>
    </w:p>
    <w:bookmarkStart w:id="123" w:name="page124"/>
    <w:bookmarkEnd w:id="123"/>
    <w:p>
      <w:pPr>
        <w:spacing w:after="0"/>
        <w:rPr>
          <w:rFonts w:ascii="Arial" w:cs="Arial" w:eastAsia="Arial" w:hAnsi="Arial"/>
          <w:sz w:val="13"/>
          <w:szCs w:val="13"/>
          <w:b w:val="1"/>
          <w:bCs w:val="1"/>
          <w:u w:val="single" w:color="auto"/>
          <w:color w:val="0000EE"/>
        </w:rPr>
      </w:pPr>
      <w:r>
        <w:rPr>
          <w:rFonts w:ascii="Arial" w:cs="Arial" w:eastAsia="Arial" w:hAnsi="Arial"/>
          <w:sz w:val="13"/>
          <w:szCs w:val="13"/>
          <w:b w:val="1"/>
          <w:bCs w:val="1"/>
          <w:u w:val="single" w:color="auto"/>
          <w:color w:val="0000EE"/>
        </w:rPr>
        <w:drawing>
          <wp:anchor simplePos="0" relativeHeight="251657728" behindDoc="1" locked="0" layoutInCell="0" allowOverlap="1">
            <wp:simplePos x="0" y="0"/>
            <wp:positionH relativeFrom="page">
              <wp:posOffset>133350</wp:posOffset>
            </wp:positionH>
            <wp:positionV relativeFrom="page">
              <wp:posOffset>88900</wp:posOffset>
            </wp:positionV>
            <wp:extent cx="7308850" cy="3429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308850" cy="34290"/>
                    </a:xfrm>
                    <a:prstGeom prst="rect">
                      <a:avLst/>
                    </a:prstGeom>
                    <a:noFill/>
                  </pic:spPr>
                </pic:pic>
              </a:graphicData>
            </a:graphic>
          </wp:anchor>
        </w:drawing>
      </w:r>
      <w:hyperlink w:anchor="page7">
        <w:r>
          <w:rPr>
            <w:rFonts w:ascii="Arial" w:cs="Arial" w:eastAsia="Arial" w:hAnsi="Arial"/>
            <w:sz w:val="13"/>
            <w:szCs w:val="13"/>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1196975</wp:posOffset>
            </wp:positionH>
            <wp:positionV relativeFrom="paragraph">
              <wp:posOffset>186055</wp:posOffset>
            </wp:positionV>
            <wp:extent cx="4869815" cy="63455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4869815" cy="6345555"/>
                    </a:xfrm>
                    <a:prstGeom prst="rect">
                      <a:avLst/>
                    </a:prstGeom>
                    <a:noFill/>
                  </pic:spPr>
                </pic:pic>
              </a:graphicData>
            </a:graphic>
          </wp:anchor>
        </w:drawing>
      </w:r>
    </w:p>
    <w:p>
      <w:pPr>
        <w:sectPr>
          <w:pgSz w:w="11900" w:h="16838" w:orient="portrait"/>
          <w:cols w:equalWidth="0" w:num="1">
            <w:col w:w="10219"/>
          </w:cols>
          <w:pgMar w:left="240" w:top="407" w:right="1440" w:bottom="1440" w:gutter="0" w:footer="0" w:header="0"/>
        </w:sectPr>
      </w:pPr>
    </w:p>
    <w:bookmarkStart w:id="124" w:name="page125"/>
    <w:bookmarkEnd w:id="124"/>
    <w:p>
      <w:pPr>
        <w:spacing w:after="0"/>
        <w:rPr>
          <w:rFonts w:ascii="Arial" w:cs="Arial" w:eastAsia="Arial" w:hAnsi="Arial"/>
          <w:sz w:val="13"/>
          <w:szCs w:val="13"/>
          <w:b w:val="1"/>
          <w:bCs w:val="1"/>
          <w:u w:val="single" w:color="auto"/>
          <w:color w:val="0000EE"/>
        </w:rPr>
      </w:pPr>
      <w:r>
        <w:rPr>
          <w:rFonts w:ascii="Arial" w:cs="Arial" w:eastAsia="Arial" w:hAnsi="Arial"/>
          <w:sz w:val="13"/>
          <w:szCs w:val="13"/>
          <w:b w:val="1"/>
          <w:bCs w:val="1"/>
          <w:u w:val="single" w:color="auto"/>
          <w:color w:val="0000EE"/>
        </w:rPr>
        <w:drawing>
          <wp:anchor simplePos="0" relativeHeight="251657728" behindDoc="1" locked="0" layoutInCell="0" allowOverlap="1">
            <wp:simplePos x="0" y="0"/>
            <wp:positionH relativeFrom="page">
              <wp:posOffset>133350</wp:posOffset>
            </wp:positionH>
            <wp:positionV relativeFrom="page">
              <wp:posOffset>88900</wp:posOffset>
            </wp:positionV>
            <wp:extent cx="7308850" cy="3429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308850" cy="34290"/>
                    </a:xfrm>
                    <a:prstGeom prst="rect">
                      <a:avLst/>
                    </a:prstGeom>
                    <a:noFill/>
                  </pic:spPr>
                </pic:pic>
              </a:graphicData>
            </a:graphic>
          </wp:anchor>
        </w:drawing>
      </w:r>
      <w:hyperlink w:anchor="page7">
        <w:r>
          <w:rPr>
            <w:rFonts w:ascii="Arial" w:cs="Arial" w:eastAsia="Arial" w:hAnsi="Arial"/>
            <w:sz w:val="13"/>
            <w:szCs w:val="13"/>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709930</wp:posOffset>
            </wp:positionH>
            <wp:positionV relativeFrom="paragraph">
              <wp:posOffset>186055</wp:posOffset>
            </wp:positionV>
            <wp:extent cx="5385435" cy="70186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5385435" cy="7018655"/>
                    </a:xfrm>
                    <a:prstGeom prst="rect">
                      <a:avLst/>
                    </a:prstGeom>
                    <a:noFill/>
                  </pic:spPr>
                </pic:pic>
              </a:graphicData>
            </a:graphic>
          </wp:anchor>
        </w:drawing>
      </w:r>
    </w:p>
    <w:p>
      <w:pPr>
        <w:sectPr>
          <w:pgSz w:w="11900" w:h="16838" w:orient="portrait"/>
          <w:cols w:equalWidth="0" w:num="1">
            <w:col w:w="10219"/>
          </w:cols>
          <w:pgMar w:left="240" w:top="407" w:right="1440" w:bottom="1440" w:gutter="0" w:footer="0" w:header="0"/>
        </w:sectPr>
      </w:pPr>
    </w:p>
    <w:bookmarkStart w:id="125" w:name="page126"/>
    <w:bookmarkEnd w:id="125"/>
    <w:p>
      <w:pPr>
        <w:spacing w:after="0"/>
        <w:rPr>
          <w:rFonts w:ascii="Arial" w:cs="Arial" w:eastAsia="Arial" w:hAnsi="Arial"/>
          <w:sz w:val="13"/>
          <w:szCs w:val="13"/>
          <w:b w:val="1"/>
          <w:bCs w:val="1"/>
          <w:u w:val="single" w:color="auto"/>
          <w:color w:val="0000EE"/>
        </w:rPr>
      </w:pPr>
      <w:r>
        <w:rPr>
          <w:rFonts w:ascii="Arial" w:cs="Arial" w:eastAsia="Arial" w:hAnsi="Arial"/>
          <w:sz w:val="13"/>
          <w:szCs w:val="13"/>
          <w:b w:val="1"/>
          <w:bCs w:val="1"/>
          <w:u w:val="single" w:color="auto"/>
          <w:color w:val="0000EE"/>
        </w:rPr>
        <w:drawing>
          <wp:anchor simplePos="0" relativeHeight="251657728" behindDoc="1" locked="0" layoutInCell="0" allowOverlap="1">
            <wp:simplePos x="0" y="0"/>
            <wp:positionH relativeFrom="page">
              <wp:posOffset>133350</wp:posOffset>
            </wp:positionH>
            <wp:positionV relativeFrom="page">
              <wp:posOffset>88900</wp:posOffset>
            </wp:positionV>
            <wp:extent cx="7308850" cy="3429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308850" cy="34290"/>
                    </a:xfrm>
                    <a:prstGeom prst="rect">
                      <a:avLst/>
                    </a:prstGeom>
                    <a:noFill/>
                  </pic:spPr>
                </pic:pic>
              </a:graphicData>
            </a:graphic>
          </wp:anchor>
        </w:drawing>
      </w:r>
      <w:hyperlink w:anchor="page7">
        <w:r>
          <w:rPr>
            <w:rFonts w:ascii="Arial" w:cs="Arial" w:eastAsia="Arial" w:hAnsi="Arial"/>
            <w:sz w:val="13"/>
            <w:szCs w:val="13"/>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709930</wp:posOffset>
            </wp:positionH>
            <wp:positionV relativeFrom="paragraph">
              <wp:posOffset>186055</wp:posOffset>
            </wp:positionV>
            <wp:extent cx="5385435" cy="70186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5385435" cy="7018655"/>
                    </a:xfrm>
                    <a:prstGeom prst="rect">
                      <a:avLst/>
                    </a:prstGeom>
                    <a:noFill/>
                  </pic:spPr>
                </pic:pic>
              </a:graphicData>
            </a:graphic>
          </wp:anchor>
        </w:drawing>
      </w:r>
    </w:p>
    <w:p>
      <w:pPr>
        <w:sectPr>
          <w:pgSz w:w="11900" w:h="16838" w:orient="portrait"/>
          <w:cols w:equalWidth="0" w:num="1">
            <w:col w:w="10219"/>
          </w:cols>
          <w:pgMar w:left="240" w:top="407" w:right="1440" w:bottom="1440" w:gutter="0" w:footer="0" w:header="0"/>
        </w:sectPr>
      </w:pPr>
    </w:p>
    <w:bookmarkStart w:id="126" w:name="page127"/>
    <w:bookmarkEnd w:id="126"/>
    <w:p>
      <w:pPr>
        <w:spacing w:after="0"/>
        <w:rPr>
          <w:rFonts w:ascii="Arial" w:cs="Arial" w:eastAsia="Arial" w:hAnsi="Arial"/>
          <w:sz w:val="13"/>
          <w:szCs w:val="13"/>
          <w:b w:val="1"/>
          <w:bCs w:val="1"/>
          <w:u w:val="single" w:color="auto"/>
          <w:color w:val="0000EE"/>
        </w:rPr>
      </w:pPr>
      <w:r>
        <w:rPr>
          <w:rFonts w:ascii="Arial" w:cs="Arial" w:eastAsia="Arial" w:hAnsi="Arial"/>
          <w:sz w:val="13"/>
          <w:szCs w:val="13"/>
          <w:b w:val="1"/>
          <w:bCs w:val="1"/>
          <w:u w:val="single" w:color="auto"/>
          <w:color w:val="0000EE"/>
        </w:rPr>
        <w:drawing>
          <wp:anchor simplePos="0" relativeHeight="251657728" behindDoc="1" locked="0" layoutInCell="0" allowOverlap="1">
            <wp:simplePos x="0" y="0"/>
            <wp:positionH relativeFrom="page">
              <wp:posOffset>133350</wp:posOffset>
            </wp:positionH>
            <wp:positionV relativeFrom="page">
              <wp:posOffset>88900</wp:posOffset>
            </wp:positionV>
            <wp:extent cx="7308850" cy="3429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308850" cy="34290"/>
                    </a:xfrm>
                    <a:prstGeom prst="rect">
                      <a:avLst/>
                    </a:prstGeom>
                    <a:noFill/>
                  </pic:spPr>
                </pic:pic>
              </a:graphicData>
            </a:graphic>
          </wp:anchor>
        </w:drawing>
      </w:r>
      <w:hyperlink w:anchor="page7">
        <w:r>
          <w:rPr>
            <w:rFonts w:ascii="Arial" w:cs="Arial" w:eastAsia="Arial" w:hAnsi="Arial"/>
            <w:sz w:val="13"/>
            <w:szCs w:val="13"/>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709930</wp:posOffset>
            </wp:positionH>
            <wp:positionV relativeFrom="paragraph">
              <wp:posOffset>186055</wp:posOffset>
            </wp:positionV>
            <wp:extent cx="5385435" cy="70186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5385435" cy="7018655"/>
                    </a:xfrm>
                    <a:prstGeom prst="rect">
                      <a:avLst/>
                    </a:prstGeom>
                    <a:noFill/>
                  </pic:spPr>
                </pic:pic>
              </a:graphicData>
            </a:graphic>
          </wp:anchor>
        </w:drawing>
      </w:r>
    </w:p>
    <w:p>
      <w:pPr>
        <w:sectPr>
          <w:pgSz w:w="11900" w:h="16838" w:orient="portrait"/>
          <w:cols w:equalWidth="0" w:num="1">
            <w:col w:w="10219"/>
          </w:cols>
          <w:pgMar w:left="240" w:top="407" w:right="1440" w:bottom="1440" w:gutter="0" w:footer="0" w:header="0"/>
        </w:sectPr>
      </w:pPr>
    </w:p>
    <w:bookmarkStart w:id="127" w:name="page128"/>
    <w:bookmarkEnd w:id="127"/>
    <w:p>
      <w:pPr>
        <w:spacing w:after="0"/>
        <w:rPr>
          <w:rFonts w:ascii="Arial" w:cs="Arial" w:eastAsia="Arial" w:hAnsi="Arial"/>
          <w:sz w:val="13"/>
          <w:szCs w:val="13"/>
          <w:b w:val="1"/>
          <w:bCs w:val="1"/>
          <w:u w:val="single" w:color="auto"/>
          <w:color w:val="0000EE"/>
        </w:rPr>
      </w:pPr>
      <w:r>
        <w:rPr>
          <w:rFonts w:ascii="Arial" w:cs="Arial" w:eastAsia="Arial" w:hAnsi="Arial"/>
          <w:sz w:val="13"/>
          <w:szCs w:val="13"/>
          <w:b w:val="1"/>
          <w:bCs w:val="1"/>
          <w:u w:val="single" w:color="auto"/>
          <w:color w:val="0000EE"/>
        </w:rPr>
        <w:drawing>
          <wp:anchor simplePos="0" relativeHeight="251657728" behindDoc="1" locked="0" layoutInCell="0" allowOverlap="1">
            <wp:simplePos x="0" y="0"/>
            <wp:positionH relativeFrom="page">
              <wp:posOffset>133350</wp:posOffset>
            </wp:positionH>
            <wp:positionV relativeFrom="page">
              <wp:posOffset>88900</wp:posOffset>
            </wp:positionV>
            <wp:extent cx="7308850" cy="3429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308850" cy="34290"/>
                    </a:xfrm>
                    <a:prstGeom prst="rect">
                      <a:avLst/>
                    </a:prstGeom>
                    <a:noFill/>
                  </pic:spPr>
                </pic:pic>
              </a:graphicData>
            </a:graphic>
          </wp:anchor>
        </w:drawing>
      </w:r>
      <w:hyperlink w:anchor="page7">
        <w:r>
          <w:rPr>
            <w:rFonts w:ascii="Arial" w:cs="Arial" w:eastAsia="Arial" w:hAnsi="Arial"/>
            <w:sz w:val="13"/>
            <w:szCs w:val="13"/>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709930</wp:posOffset>
            </wp:positionH>
            <wp:positionV relativeFrom="paragraph">
              <wp:posOffset>186055</wp:posOffset>
            </wp:positionV>
            <wp:extent cx="5385435" cy="70186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5385435" cy="7018655"/>
                    </a:xfrm>
                    <a:prstGeom prst="rect">
                      <a:avLst/>
                    </a:prstGeom>
                    <a:noFill/>
                  </pic:spPr>
                </pic:pic>
              </a:graphicData>
            </a:graphic>
          </wp:anchor>
        </w:drawing>
      </w:r>
    </w:p>
    <w:p>
      <w:pPr>
        <w:sectPr>
          <w:pgSz w:w="11900" w:h="16838" w:orient="portrait"/>
          <w:cols w:equalWidth="0" w:num="1">
            <w:col w:w="10219"/>
          </w:cols>
          <w:pgMar w:left="240" w:top="407" w:right="1440" w:bottom="1440" w:gutter="0" w:footer="0" w:header="0"/>
        </w:sectPr>
      </w:pPr>
    </w:p>
    <w:bookmarkStart w:id="128" w:name="page129"/>
    <w:bookmarkEnd w:id="128"/>
    <w:p>
      <w:pPr>
        <w:spacing w:after="0"/>
        <w:rPr>
          <w:rFonts w:ascii="Arial" w:cs="Arial" w:eastAsia="Arial" w:hAnsi="Arial"/>
          <w:sz w:val="13"/>
          <w:szCs w:val="13"/>
          <w:b w:val="1"/>
          <w:bCs w:val="1"/>
          <w:u w:val="single" w:color="auto"/>
          <w:color w:val="0000EE"/>
        </w:rPr>
      </w:pPr>
      <w:r>
        <w:rPr>
          <w:rFonts w:ascii="Arial" w:cs="Arial" w:eastAsia="Arial" w:hAnsi="Arial"/>
          <w:sz w:val="13"/>
          <w:szCs w:val="13"/>
          <w:b w:val="1"/>
          <w:bCs w:val="1"/>
          <w:u w:val="single" w:color="auto"/>
          <w:color w:val="0000EE"/>
        </w:rPr>
        <w:drawing>
          <wp:anchor simplePos="0" relativeHeight="251657728" behindDoc="1" locked="0" layoutInCell="0" allowOverlap="1">
            <wp:simplePos x="0" y="0"/>
            <wp:positionH relativeFrom="page">
              <wp:posOffset>133350</wp:posOffset>
            </wp:positionH>
            <wp:positionV relativeFrom="page">
              <wp:posOffset>88900</wp:posOffset>
            </wp:positionV>
            <wp:extent cx="7308850" cy="3429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308850" cy="34290"/>
                    </a:xfrm>
                    <a:prstGeom prst="rect">
                      <a:avLst/>
                    </a:prstGeom>
                    <a:noFill/>
                  </pic:spPr>
                </pic:pic>
              </a:graphicData>
            </a:graphic>
          </wp:anchor>
        </w:drawing>
      </w:r>
      <w:hyperlink w:anchor="page7">
        <w:r>
          <w:rPr>
            <w:rFonts w:ascii="Arial" w:cs="Arial" w:eastAsia="Arial" w:hAnsi="Arial"/>
            <w:sz w:val="13"/>
            <w:szCs w:val="13"/>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709930</wp:posOffset>
            </wp:positionH>
            <wp:positionV relativeFrom="paragraph">
              <wp:posOffset>186055</wp:posOffset>
            </wp:positionV>
            <wp:extent cx="5385435" cy="70186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5385435" cy="7018655"/>
                    </a:xfrm>
                    <a:prstGeom prst="rect">
                      <a:avLst/>
                    </a:prstGeom>
                    <a:noFill/>
                  </pic:spPr>
                </pic:pic>
              </a:graphicData>
            </a:graphic>
          </wp:anchor>
        </w:drawing>
      </w:r>
    </w:p>
    <w:p>
      <w:pPr>
        <w:sectPr>
          <w:pgSz w:w="11900" w:h="16838" w:orient="portrait"/>
          <w:cols w:equalWidth="0" w:num="1">
            <w:col w:w="10219"/>
          </w:cols>
          <w:pgMar w:left="240" w:top="407" w:right="1440" w:bottom="1440" w:gutter="0" w:footer="0" w:header="0"/>
        </w:sectPr>
      </w:pPr>
    </w:p>
    <w:bookmarkStart w:id="129" w:name="page130"/>
    <w:bookmarkEnd w:id="129"/>
    <w:p>
      <w:pPr>
        <w:spacing w:after="0"/>
        <w:rPr>
          <w:rFonts w:ascii="Arial" w:cs="Arial" w:eastAsia="Arial" w:hAnsi="Arial"/>
          <w:sz w:val="13"/>
          <w:szCs w:val="13"/>
          <w:b w:val="1"/>
          <w:bCs w:val="1"/>
          <w:u w:val="single" w:color="auto"/>
          <w:color w:val="0000EE"/>
        </w:rPr>
      </w:pPr>
      <w:r>
        <w:rPr>
          <w:rFonts w:ascii="Arial" w:cs="Arial" w:eastAsia="Arial" w:hAnsi="Arial"/>
          <w:sz w:val="13"/>
          <w:szCs w:val="13"/>
          <w:b w:val="1"/>
          <w:bCs w:val="1"/>
          <w:u w:val="single" w:color="auto"/>
          <w:color w:val="0000EE"/>
        </w:rPr>
        <w:drawing>
          <wp:anchor simplePos="0" relativeHeight="251657728" behindDoc="1" locked="0" layoutInCell="0" allowOverlap="1">
            <wp:simplePos x="0" y="0"/>
            <wp:positionH relativeFrom="page">
              <wp:posOffset>133350</wp:posOffset>
            </wp:positionH>
            <wp:positionV relativeFrom="page">
              <wp:posOffset>88900</wp:posOffset>
            </wp:positionV>
            <wp:extent cx="7308850" cy="3429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308850" cy="34290"/>
                    </a:xfrm>
                    <a:prstGeom prst="rect">
                      <a:avLst/>
                    </a:prstGeom>
                    <a:noFill/>
                  </pic:spPr>
                </pic:pic>
              </a:graphicData>
            </a:graphic>
          </wp:anchor>
        </w:drawing>
      </w:r>
      <w:hyperlink w:anchor="page7">
        <w:r>
          <w:rPr>
            <w:rFonts w:ascii="Arial" w:cs="Arial" w:eastAsia="Arial" w:hAnsi="Arial"/>
            <w:sz w:val="13"/>
            <w:szCs w:val="13"/>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709930</wp:posOffset>
            </wp:positionH>
            <wp:positionV relativeFrom="paragraph">
              <wp:posOffset>186055</wp:posOffset>
            </wp:positionV>
            <wp:extent cx="5385435" cy="70186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5385435" cy="7018655"/>
                    </a:xfrm>
                    <a:prstGeom prst="rect">
                      <a:avLst/>
                    </a:prstGeom>
                    <a:noFill/>
                  </pic:spPr>
                </pic:pic>
              </a:graphicData>
            </a:graphic>
          </wp:anchor>
        </w:drawing>
      </w:r>
    </w:p>
    <w:p>
      <w:pPr>
        <w:sectPr>
          <w:pgSz w:w="11900" w:h="16838" w:orient="portrait"/>
          <w:cols w:equalWidth="0" w:num="1">
            <w:col w:w="10219"/>
          </w:cols>
          <w:pgMar w:left="240" w:top="407" w:right="1440" w:bottom="1440" w:gutter="0" w:footer="0" w:header="0"/>
        </w:sectPr>
      </w:pPr>
    </w:p>
    <w:bookmarkStart w:id="130" w:name="page131"/>
    <w:bookmarkEnd w:id="130"/>
    <w:p>
      <w:pPr>
        <w:spacing w:after="0"/>
        <w:rPr>
          <w:rFonts w:ascii="Arial" w:cs="Arial" w:eastAsia="Arial" w:hAnsi="Arial"/>
          <w:sz w:val="13"/>
          <w:szCs w:val="13"/>
          <w:b w:val="1"/>
          <w:bCs w:val="1"/>
          <w:u w:val="single" w:color="auto"/>
          <w:color w:val="0000EE"/>
        </w:rPr>
      </w:pPr>
      <w:r>
        <w:rPr>
          <w:rFonts w:ascii="Arial" w:cs="Arial" w:eastAsia="Arial" w:hAnsi="Arial"/>
          <w:sz w:val="13"/>
          <w:szCs w:val="13"/>
          <w:b w:val="1"/>
          <w:bCs w:val="1"/>
          <w:u w:val="single" w:color="auto"/>
          <w:color w:val="0000EE"/>
        </w:rPr>
        <w:drawing>
          <wp:anchor simplePos="0" relativeHeight="251657728" behindDoc="1" locked="0" layoutInCell="0" allowOverlap="1">
            <wp:simplePos x="0" y="0"/>
            <wp:positionH relativeFrom="page">
              <wp:posOffset>133350</wp:posOffset>
            </wp:positionH>
            <wp:positionV relativeFrom="page">
              <wp:posOffset>88900</wp:posOffset>
            </wp:positionV>
            <wp:extent cx="7308850" cy="3429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308850" cy="34290"/>
                    </a:xfrm>
                    <a:prstGeom prst="rect">
                      <a:avLst/>
                    </a:prstGeom>
                    <a:noFill/>
                  </pic:spPr>
                </pic:pic>
              </a:graphicData>
            </a:graphic>
          </wp:anchor>
        </w:drawing>
      </w:r>
      <w:hyperlink w:anchor="page7">
        <w:r>
          <w:rPr>
            <w:rFonts w:ascii="Arial" w:cs="Arial" w:eastAsia="Arial" w:hAnsi="Arial"/>
            <w:sz w:val="13"/>
            <w:szCs w:val="13"/>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709930</wp:posOffset>
            </wp:positionH>
            <wp:positionV relativeFrom="paragraph">
              <wp:posOffset>186055</wp:posOffset>
            </wp:positionV>
            <wp:extent cx="5385435" cy="70186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5385435" cy="7018655"/>
                    </a:xfrm>
                    <a:prstGeom prst="rect">
                      <a:avLst/>
                    </a:prstGeom>
                    <a:noFill/>
                  </pic:spPr>
                </pic:pic>
              </a:graphicData>
            </a:graphic>
          </wp:anchor>
        </w:drawing>
      </w:r>
    </w:p>
    <w:p>
      <w:pPr>
        <w:sectPr>
          <w:pgSz w:w="11900" w:h="16838" w:orient="portrait"/>
          <w:cols w:equalWidth="0" w:num="1">
            <w:col w:w="10219"/>
          </w:cols>
          <w:pgMar w:left="240" w:top="407" w:right="1440" w:bottom="1440" w:gutter="0" w:footer="0" w:header="0"/>
        </w:sectPr>
      </w:pPr>
    </w:p>
    <w:bookmarkStart w:id="131" w:name="page132"/>
    <w:bookmarkEnd w:id="131"/>
    <w:p>
      <w:pPr>
        <w:spacing w:after="0"/>
        <w:rPr>
          <w:rFonts w:ascii="Arial" w:cs="Arial" w:eastAsia="Arial" w:hAnsi="Arial"/>
          <w:sz w:val="13"/>
          <w:szCs w:val="13"/>
          <w:b w:val="1"/>
          <w:bCs w:val="1"/>
          <w:u w:val="single" w:color="auto"/>
          <w:color w:val="0000EE"/>
        </w:rPr>
      </w:pPr>
      <w:r>
        <w:rPr>
          <w:rFonts w:ascii="Arial" w:cs="Arial" w:eastAsia="Arial" w:hAnsi="Arial"/>
          <w:sz w:val="13"/>
          <w:szCs w:val="13"/>
          <w:b w:val="1"/>
          <w:bCs w:val="1"/>
          <w:u w:val="single" w:color="auto"/>
          <w:color w:val="0000EE"/>
        </w:rPr>
        <w:drawing>
          <wp:anchor simplePos="0" relativeHeight="251657728" behindDoc="1" locked="0" layoutInCell="0" allowOverlap="1">
            <wp:simplePos x="0" y="0"/>
            <wp:positionH relativeFrom="page">
              <wp:posOffset>133350</wp:posOffset>
            </wp:positionH>
            <wp:positionV relativeFrom="page">
              <wp:posOffset>88900</wp:posOffset>
            </wp:positionV>
            <wp:extent cx="7308850" cy="3429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308850" cy="34290"/>
                    </a:xfrm>
                    <a:prstGeom prst="rect">
                      <a:avLst/>
                    </a:prstGeom>
                    <a:noFill/>
                  </pic:spPr>
                </pic:pic>
              </a:graphicData>
            </a:graphic>
          </wp:anchor>
        </w:drawing>
      </w:r>
      <w:hyperlink w:anchor="page7">
        <w:r>
          <w:rPr>
            <w:rFonts w:ascii="Arial" w:cs="Arial" w:eastAsia="Arial" w:hAnsi="Arial"/>
            <w:sz w:val="13"/>
            <w:szCs w:val="13"/>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709930</wp:posOffset>
            </wp:positionH>
            <wp:positionV relativeFrom="paragraph">
              <wp:posOffset>186055</wp:posOffset>
            </wp:positionV>
            <wp:extent cx="5385435" cy="70186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5385435" cy="7018655"/>
                    </a:xfrm>
                    <a:prstGeom prst="rect">
                      <a:avLst/>
                    </a:prstGeom>
                    <a:noFill/>
                  </pic:spPr>
                </pic:pic>
              </a:graphicData>
            </a:graphic>
          </wp:anchor>
        </w:drawing>
      </w:r>
    </w:p>
    <w:p>
      <w:pPr>
        <w:sectPr>
          <w:pgSz w:w="11900" w:h="16838" w:orient="portrait"/>
          <w:cols w:equalWidth="0" w:num="1">
            <w:col w:w="10219"/>
          </w:cols>
          <w:pgMar w:left="240" w:top="407" w:right="1440" w:bottom="1440" w:gutter="0" w:footer="0" w:header="0"/>
        </w:sectPr>
      </w:pPr>
    </w:p>
    <w:bookmarkStart w:id="132" w:name="page133"/>
    <w:bookmarkEnd w:id="132"/>
    <w:p>
      <w:pPr>
        <w:spacing w:after="0"/>
        <w:rPr>
          <w:rFonts w:ascii="Arial" w:cs="Arial" w:eastAsia="Arial" w:hAnsi="Arial"/>
          <w:sz w:val="13"/>
          <w:szCs w:val="13"/>
          <w:b w:val="1"/>
          <w:bCs w:val="1"/>
          <w:u w:val="single" w:color="auto"/>
          <w:color w:val="0000EE"/>
        </w:rPr>
      </w:pPr>
      <w:r>
        <w:rPr>
          <w:rFonts w:ascii="Arial" w:cs="Arial" w:eastAsia="Arial" w:hAnsi="Arial"/>
          <w:sz w:val="13"/>
          <w:szCs w:val="13"/>
          <w:b w:val="1"/>
          <w:bCs w:val="1"/>
          <w:u w:val="single" w:color="auto"/>
          <w:color w:val="0000EE"/>
        </w:rPr>
        <w:drawing>
          <wp:anchor simplePos="0" relativeHeight="251657728" behindDoc="1" locked="0" layoutInCell="0" allowOverlap="1">
            <wp:simplePos x="0" y="0"/>
            <wp:positionH relativeFrom="page">
              <wp:posOffset>133350</wp:posOffset>
            </wp:positionH>
            <wp:positionV relativeFrom="page">
              <wp:posOffset>88900</wp:posOffset>
            </wp:positionV>
            <wp:extent cx="7308850" cy="3429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308850" cy="34290"/>
                    </a:xfrm>
                    <a:prstGeom prst="rect">
                      <a:avLst/>
                    </a:prstGeom>
                    <a:noFill/>
                  </pic:spPr>
                </pic:pic>
              </a:graphicData>
            </a:graphic>
          </wp:anchor>
        </w:drawing>
      </w:r>
      <w:hyperlink w:anchor="page7">
        <w:r>
          <w:rPr>
            <w:rFonts w:ascii="Arial" w:cs="Arial" w:eastAsia="Arial" w:hAnsi="Arial"/>
            <w:sz w:val="13"/>
            <w:szCs w:val="13"/>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939165</wp:posOffset>
            </wp:positionH>
            <wp:positionV relativeFrom="paragraph">
              <wp:posOffset>186055</wp:posOffset>
            </wp:positionV>
            <wp:extent cx="5385435" cy="70186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5385435" cy="7018655"/>
                    </a:xfrm>
                    <a:prstGeom prst="rect">
                      <a:avLst/>
                    </a:prstGeom>
                    <a:noFill/>
                  </pic:spPr>
                </pic:pic>
              </a:graphicData>
            </a:graphic>
          </wp:anchor>
        </w:drawing>
      </w:r>
    </w:p>
    <w:p>
      <w:pPr>
        <w:sectPr>
          <w:pgSz w:w="11900" w:h="16838" w:orient="portrait"/>
          <w:cols w:equalWidth="0" w:num="1">
            <w:col w:w="10219"/>
          </w:cols>
          <w:pgMar w:left="240" w:top="407" w:right="1440" w:bottom="1440" w:gutter="0" w:footer="0" w:header="0"/>
        </w:sectPr>
      </w:pPr>
    </w:p>
    <w:bookmarkStart w:id="133" w:name="page134"/>
    <w:bookmarkEnd w:id="133"/>
    <w:p>
      <w:pPr>
        <w:spacing w:after="0"/>
        <w:rPr>
          <w:rFonts w:ascii="Arial" w:cs="Arial" w:eastAsia="Arial" w:hAnsi="Arial"/>
          <w:sz w:val="13"/>
          <w:szCs w:val="13"/>
          <w:b w:val="1"/>
          <w:bCs w:val="1"/>
          <w:u w:val="single" w:color="auto"/>
          <w:color w:val="0000EE"/>
        </w:rPr>
      </w:pPr>
      <w:r>
        <w:rPr>
          <w:rFonts w:ascii="Arial" w:cs="Arial" w:eastAsia="Arial" w:hAnsi="Arial"/>
          <w:sz w:val="13"/>
          <w:szCs w:val="13"/>
          <w:b w:val="1"/>
          <w:bCs w:val="1"/>
          <w:u w:val="single" w:color="auto"/>
          <w:color w:val="0000EE"/>
        </w:rPr>
        <w:drawing>
          <wp:anchor simplePos="0" relativeHeight="251657728" behindDoc="1" locked="0" layoutInCell="0" allowOverlap="1">
            <wp:simplePos x="0" y="0"/>
            <wp:positionH relativeFrom="page">
              <wp:posOffset>133350</wp:posOffset>
            </wp:positionH>
            <wp:positionV relativeFrom="page">
              <wp:posOffset>88900</wp:posOffset>
            </wp:positionV>
            <wp:extent cx="7308850" cy="3429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308850" cy="34290"/>
                    </a:xfrm>
                    <a:prstGeom prst="rect">
                      <a:avLst/>
                    </a:prstGeom>
                    <a:noFill/>
                  </pic:spPr>
                </pic:pic>
              </a:graphicData>
            </a:graphic>
          </wp:anchor>
        </w:drawing>
      </w:r>
      <w:hyperlink w:anchor="page7">
        <w:r>
          <w:rPr>
            <w:rFonts w:ascii="Arial" w:cs="Arial" w:eastAsia="Arial" w:hAnsi="Arial"/>
            <w:sz w:val="13"/>
            <w:szCs w:val="13"/>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939165</wp:posOffset>
            </wp:positionH>
            <wp:positionV relativeFrom="paragraph">
              <wp:posOffset>186055</wp:posOffset>
            </wp:positionV>
            <wp:extent cx="5385435" cy="70186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5385435" cy="7018655"/>
                    </a:xfrm>
                    <a:prstGeom prst="rect">
                      <a:avLst/>
                    </a:prstGeom>
                    <a:noFill/>
                  </pic:spPr>
                </pic:pic>
              </a:graphicData>
            </a:graphic>
          </wp:anchor>
        </w:drawing>
      </w:r>
    </w:p>
    <w:p>
      <w:pPr>
        <w:sectPr>
          <w:pgSz w:w="11900" w:h="16838" w:orient="portrait"/>
          <w:cols w:equalWidth="0" w:num="1">
            <w:col w:w="10219"/>
          </w:cols>
          <w:pgMar w:left="240" w:top="407" w:right="1440" w:bottom="1440" w:gutter="0" w:footer="0" w:header="0"/>
        </w:sectPr>
      </w:pPr>
    </w:p>
    <w:bookmarkStart w:id="134" w:name="page135"/>
    <w:bookmarkEnd w:id="134"/>
    <w:p>
      <w:pPr>
        <w:spacing w:after="0"/>
        <w:rPr>
          <w:rFonts w:ascii="Arial" w:cs="Arial" w:eastAsia="Arial" w:hAnsi="Arial"/>
          <w:sz w:val="13"/>
          <w:szCs w:val="13"/>
          <w:b w:val="1"/>
          <w:bCs w:val="1"/>
          <w:u w:val="single" w:color="auto"/>
          <w:color w:val="0000EE"/>
        </w:rPr>
      </w:pPr>
      <w:r>
        <w:rPr>
          <w:rFonts w:ascii="Arial" w:cs="Arial" w:eastAsia="Arial" w:hAnsi="Arial"/>
          <w:sz w:val="13"/>
          <w:szCs w:val="13"/>
          <w:b w:val="1"/>
          <w:bCs w:val="1"/>
          <w:u w:val="single" w:color="auto"/>
          <w:color w:val="0000EE"/>
        </w:rPr>
        <w:drawing>
          <wp:anchor simplePos="0" relativeHeight="251657728" behindDoc="1" locked="0" layoutInCell="0" allowOverlap="1">
            <wp:simplePos x="0" y="0"/>
            <wp:positionH relativeFrom="page">
              <wp:posOffset>133350</wp:posOffset>
            </wp:positionH>
            <wp:positionV relativeFrom="page">
              <wp:posOffset>88900</wp:posOffset>
            </wp:positionV>
            <wp:extent cx="7308850" cy="3429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308850" cy="34290"/>
                    </a:xfrm>
                    <a:prstGeom prst="rect">
                      <a:avLst/>
                    </a:prstGeom>
                    <a:noFill/>
                  </pic:spPr>
                </pic:pic>
              </a:graphicData>
            </a:graphic>
          </wp:anchor>
        </w:drawing>
      </w:r>
      <w:hyperlink w:anchor="page7">
        <w:r>
          <w:rPr>
            <w:rFonts w:ascii="Arial" w:cs="Arial" w:eastAsia="Arial" w:hAnsi="Arial"/>
            <w:sz w:val="13"/>
            <w:szCs w:val="13"/>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939165</wp:posOffset>
            </wp:positionH>
            <wp:positionV relativeFrom="paragraph">
              <wp:posOffset>186055</wp:posOffset>
            </wp:positionV>
            <wp:extent cx="5385435" cy="70186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5385435" cy="7018655"/>
                    </a:xfrm>
                    <a:prstGeom prst="rect">
                      <a:avLst/>
                    </a:prstGeom>
                    <a:noFill/>
                  </pic:spPr>
                </pic:pic>
              </a:graphicData>
            </a:graphic>
          </wp:anchor>
        </w:drawing>
      </w:r>
    </w:p>
    <w:p>
      <w:pPr>
        <w:sectPr>
          <w:pgSz w:w="11900" w:h="16838" w:orient="portrait"/>
          <w:cols w:equalWidth="0" w:num="1">
            <w:col w:w="10219"/>
          </w:cols>
          <w:pgMar w:left="240" w:top="407" w:right="1440" w:bottom="1440" w:gutter="0" w:footer="0" w:header="0"/>
        </w:sectPr>
      </w:pPr>
    </w:p>
    <w:bookmarkStart w:id="135" w:name="page136"/>
    <w:bookmarkEnd w:id="135"/>
    <w:p>
      <w:pPr>
        <w:spacing w:after="0"/>
        <w:rPr>
          <w:rFonts w:ascii="Arial" w:cs="Arial" w:eastAsia="Arial" w:hAnsi="Arial"/>
          <w:sz w:val="13"/>
          <w:szCs w:val="13"/>
          <w:b w:val="1"/>
          <w:bCs w:val="1"/>
          <w:u w:val="single" w:color="auto"/>
          <w:color w:val="0000EE"/>
        </w:rPr>
      </w:pPr>
      <w:r>
        <w:rPr>
          <w:rFonts w:ascii="Arial" w:cs="Arial" w:eastAsia="Arial" w:hAnsi="Arial"/>
          <w:sz w:val="13"/>
          <w:szCs w:val="13"/>
          <w:b w:val="1"/>
          <w:bCs w:val="1"/>
          <w:u w:val="single" w:color="auto"/>
          <w:color w:val="0000EE"/>
        </w:rPr>
        <w:drawing>
          <wp:anchor simplePos="0" relativeHeight="251657728" behindDoc="1" locked="0" layoutInCell="0" allowOverlap="1">
            <wp:simplePos x="0" y="0"/>
            <wp:positionH relativeFrom="page">
              <wp:posOffset>133350</wp:posOffset>
            </wp:positionH>
            <wp:positionV relativeFrom="page">
              <wp:posOffset>88900</wp:posOffset>
            </wp:positionV>
            <wp:extent cx="7308850" cy="3429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308850" cy="34290"/>
                    </a:xfrm>
                    <a:prstGeom prst="rect">
                      <a:avLst/>
                    </a:prstGeom>
                    <a:noFill/>
                  </pic:spPr>
                </pic:pic>
              </a:graphicData>
            </a:graphic>
          </wp:anchor>
        </w:drawing>
      </w:r>
      <w:hyperlink w:anchor="page7">
        <w:r>
          <w:rPr>
            <w:rFonts w:ascii="Arial" w:cs="Arial" w:eastAsia="Arial" w:hAnsi="Arial"/>
            <w:sz w:val="13"/>
            <w:szCs w:val="13"/>
            <w:b w:val="1"/>
            <w:bCs w:val="1"/>
            <w:u w:val="single" w:color="auto"/>
            <w:color w:val="0000EE"/>
          </w:rPr>
          <w:t>Table of Contents</w:t>
        </w:r>
      </w:hyperlink>
    </w:p>
    <w:p>
      <w:pPr>
        <w:sectPr>
          <w:pgSz w:w="11900" w:h="16838" w:orient="portrait"/>
          <w:cols w:equalWidth="0" w:num="1">
            <w:col w:w="10219"/>
          </w:cols>
          <w:pgMar w:left="240" w:top="407" w:right="1440" w:bottom="1440" w:gutter="0" w:footer="0" w:header="0"/>
        </w:sectPr>
      </w:pPr>
    </w:p>
    <w:bookmarkStart w:id="136" w:name="page137"/>
    <w:bookmarkEnd w:id="136"/>
    <w:p>
      <w:pPr>
        <w:spacing w:after="0"/>
        <w:rPr>
          <w:rFonts w:ascii="Arial" w:cs="Arial" w:eastAsia="Arial" w:hAnsi="Arial"/>
          <w:sz w:val="13"/>
          <w:szCs w:val="13"/>
          <w:b w:val="1"/>
          <w:bCs w:val="1"/>
          <w:u w:val="single" w:color="auto"/>
          <w:color w:val="0000EE"/>
        </w:rPr>
      </w:pPr>
      <w:r>
        <w:rPr>
          <w:rFonts w:ascii="Arial" w:cs="Arial" w:eastAsia="Arial" w:hAnsi="Arial"/>
          <w:sz w:val="13"/>
          <w:szCs w:val="13"/>
          <w:b w:val="1"/>
          <w:bCs w:val="1"/>
          <w:u w:val="single" w:color="auto"/>
          <w:color w:val="0000EE"/>
        </w:rPr>
        <w:drawing>
          <wp:anchor simplePos="0" relativeHeight="251657728" behindDoc="1" locked="0" layoutInCell="0" allowOverlap="1">
            <wp:simplePos x="0" y="0"/>
            <wp:positionH relativeFrom="page">
              <wp:posOffset>133350</wp:posOffset>
            </wp:positionH>
            <wp:positionV relativeFrom="page">
              <wp:posOffset>88900</wp:posOffset>
            </wp:positionV>
            <wp:extent cx="7308850" cy="3429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308850" cy="34290"/>
                    </a:xfrm>
                    <a:prstGeom prst="rect">
                      <a:avLst/>
                    </a:prstGeom>
                    <a:noFill/>
                  </pic:spPr>
                </pic:pic>
              </a:graphicData>
            </a:graphic>
          </wp:anchor>
        </w:drawing>
      </w:r>
      <w:hyperlink w:anchor="page7">
        <w:r>
          <w:rPr>
            <w:rFonts w:ascii="Arial" w:cs="Arial" w:eastAsia="Arial" w:hAnsi="Arial"/>
            <w:sz w:val="13"/>
            <w:szCs w:val="13"/>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1196975</wp:posOffset>
            </wp:positionH>
            <wp:positionV relativeFrom="paragraph">
              <wp:posOffset>186055</wp:posOffset>
            </wp:positionV>
            <wp:extent cx="4869815" cy="63455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4869815" cy="6345555"/>
                    </a:xfrm>
                    <a:prstGeom prst="rect">
                      <a:avLst/>
                    </a:prstGeom>
                    <a:noFill/>
                  </pic:spPr>
                </pic:pic>
              </a:graphicData>
            </a:graphic>
          </wp:anchor>
        </w:drawing>
      </w:r>
    </w:p>
    <w:p>
      <w:pPr>
        <w:sectPr>
          <w:pgSz w:w="11900" w:h="16838" w:orient="portrait"/>
          <w:cols w:equalWidth="0" w:num="1">
            <w:col w:w="10219"/>
          </w:cols>
          <w:pgMar w:left="240" w:top="407" w:right="1440" w:bottom="1440" w:gutter="0" w:footer="0" w:header="0"/>
        </w:sectPr>
      </w:pPr>
    </w:p>
    <w:bookmarkStart w:id="137" w:name="page138"/>
    <w:bookmarkEnd w:id="137"/>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133350</wp:posOffset>
            </wp:positionH>
            <wp:positionV relativeFrom="page">
              <wp:posOffset>88900</wp:posOffset>
            </wp:positionV>
            <wp:extent cx="7308850" cy="3429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308850" cy="34290"/>
                    </a:xfrm>
                    <a:prstGeom prst="rect">
                      <a:avLst/>
                    </a:prstGeom>
                    <a:noFill/>
                  </pic:spPr>
                </pic:pic>
              </a:graphicData>
            </a:graphic>
          </wp:anchor>
        </w:drawing>
      </w:r>
      <w:hyperlink w:anchor="page7">
        <w:r>
          <w:rPr>
            <w:rFonts w:ascii="Arial" w:cs="Arial" w:eastAsia="Arial" w:hAnsi="Arial"/>
            <w:sz w:val="15"/>
            <w:szCs w:val="15"/>
            <w:b w:val="1"/>
            <w:bCs w:val="1"/>
            <w:u w:val="single" w:color="auto"/>
            <w:color w:val="0000EE"/>
          </w:rPr>
          <w:t>Table of Contents</w:t>
        </w:r>
      </w:hyperlink>
    </w:p>
    <w:p>
      <w:pPr>
        <w:spacing w:after="0" w:line="256" w:lineRule="exact"/>
        <w:rPr>
          <w:sz w:val="20"/>
          <w:szCs w:val="20"/>
          <w:color w:val="auto"/>
        </w:rPr>
      </w:pPr>
    </w:p>
    <w:p>
      <w:pPr>
        <w:ind w:left="1120"/>
        <w:spacing w:after="0"/>
        <w:rPr>
          <w:sz w:val="20"/>
          <w:szCs w:val="20"/>
          <w:color w:val="auto"/>
        </w:rPr>
      </w:pPr>
      <w:r>
        <w:rPr>
          <w:rFonts w:ascii="Arial" w:cs="Arial" w:eastAsia="Arial" w:hAnsi="Arial"/>
          <w:sz w:val="15"/>
          <w:szCs w:val="15"/>
          <w:b w:val="1"/>
          <w:bCs w:val="1"/>
          <w:color w:val="auto"/>
        </w:rPr>
        <w:t>Our Sales and Marketing Approach</w:t>
      </w:r>
    </w:p>
    <w:p>
      <w:pPr>
        <w:spacing w:after="0" w:line="102" w:lineRule="exact"/>
        <w:rPr>
          <w:sz w:val="20"/>
          <w:szCs w:val="20"/>
          <w:color w:val="auto"/>
        </w:rPr>
      </w:pPr>
    </w:p>
    <w:p>
      <w:pPr>
        <w:ind w:left="1120" w:firstLine="368"/>
        <w:spacing w:after="0" w:line="275" w:lineRule="auto"/>
        <w:rPr>
          <w:sz w:val="20"/>
          <w:szCs w:val="20"/>
          <w:color w:val="auto"/>
        </w:rPr>
      </w:pPr>
      <w:r>
        <w:rPr>
          <w:rFonts w:ascii="Arial" w:cs="Arial" w:eastAsia="Arial" w:hAnsi="Arial"/>
          <w:sz w:val="15"/>
          <w:szCs w:val="15"/>
          <w:color w:val="auto"/>
        </w:rPr>
        <w:t>As users share content and collaborate on our platform, they introduce and invite new users, driving viral growth. We generate 90% of our revenue from self-serve channels, which reduces customer acquisition costs.</w:t>
      </w:r>
    </w:p>
    <w:p>
      <w:pPr>
        <w:spacing w:after="0" w:line="146" w:lineRule="exact"/>
        <w:rPr>
          <w:sz w:val="20"/>
          <w:szCs w:val="20"/>
          <w:color w:val="auto"/>
        </w:rPr>
      </w:pPr>
    </w:p>
    <w:p>
      <w:pPr>
        <w:ind w:left="1120" w:firstLine="368"/>
        <w:spacing w:after="0" w:line="257" w:lineRule="auto"/>
        <w:rPr>
          <w:sz w:val="20"/>
          <w:szCs w:val="20"/>
          <w:color w:val="auto"/>
        </w:rPr>
      </w:pPr>
      <w:r>
        <w:rPr>
          <w:rFonts w:ascii="Arial" w:cs="Arial" w:eastAsia="Arial" w:hAnsi="Arial"/>
          <w:sz w:val="15"/>
          <w:szCs w:val="15"/>
          <w:color w:val="auto"/>
        </w:rPr>
        <w:t>We’ve developed an efficient marketing function that’s focused on building brand awareness and reinforcing our self-serve model. Our goal is to rapidly demonstrate the value of our platform to our users in order to convert them to paying users and upgrade them to our premium offerings. We reach them through in-product prompts and notifications, time-limited trials of paid subscription plans, email, and lifecycle marketing. During the fourth quarter of 2017, hundreds of millions of devices—including computers, phones, and tablets—were actively connected to the Dropbox platform, representing a large number of touchpoints to communicate with our users.</w:t>
      </w:r>
    </w:p>
    <w:p>
      <w:pPr>
        <w:spacing w:after="0" w:line="159" w:lineRule="exact"/>
        <w:rPr>
          <w:sz w:val="20"/>
          <w:szCs w:val="20"/>
          <w:color w:val="auto"/>
        </w:rPr>
      </w:pPr>
    </w:p>
    <w:p>
      <w:pPr>
        <w:ind w:left="1120" w:right="100" w:firstLine="368"/>
        <w:spacing w:after="0" w:line="290" w:lineRule="auto"/>
        <w:rPr>
          <w:sz w:val="20"/>
          <w:szCs w:val="20"/>
          <w:color w:val="auto"/>
        </w:rPr>
      </w:pPr>
      <w:r>
        <w:rPr>
          <w:rFonts w:ascii="Arial" w:cs="Arial" w:eastAsia="Arial" w:hAnsi="Arial"/>
          <w:sz w:val="14"/>
          <w:szCs w:val="14"/>
          <w:color w:val="auto"/>
        </w:rPr>
        <w:t>We complement our self-serve strategy with a focused outbound sales effort targeted at organizations with existing organic adoption of Dropbox. Once prospects are identified, our sales team works to broaden adoption of our platform into wider-scale deployments. We also acquire some users through paid marketing and distribution partnerships in which hardware manufacturers pre-install our software on their devices.</w:t>
      </w:r>
    </w:p>
    <w:p>
      <w:pPr>
        <w:spacing w:after="0" w:line="224" w:lineRule="exact"/>
        <w:rPr>
          <w:sz w:val="20"/>
          <w:szCs w:val="20"/>
          <w:color w:val="auto"/>
        </w:rPr>
      </w:pPr>
    </w:p>
    <w:p>
      <w:pPr>
        <w:ind w:left="1120"/>
        <w:spacing w:after="0"/>
        <w:rPr>
          <w:sz w:val="20"/>
          <w:szCs w:val="20"/>
          <w:color w:val="auto"/>
        </w:rPr>
      </w:pPr>
      <w:r>
        <w:rPr>
          <w:rFonts w:ascii="Arial" w:cs="Arial" w:eastAsia="Arial" w:hAnsi="Arial"/>
          <w:sz w:val="15"/>
          <w:szCs w:val="15"/>
          <w:b w:val="1"/>
          <w:bCs w:val="1"/>
          <w:color w:val="auto"/>
        </w:rPr>
        <w:t>Our Technology Infrastructure and Operations</w:t>
      </w:r>
    </w:p>
    <w:p>
      <w:pPr>
        <w:spacing w:after="0" w:line="102" w:lineRule="exact"/>
        <w:rPr>
          <w:sz w:val="20"/>
          <w:szCs w:val="20"/>
          <w:color w:val="auto"/>
        </w:rPr>
      </w:pPr>
    </w:p>
    <w:p>
      <w:pPr>
        <w:jc w:val="both"/>
        <w:ind w:left="1120" w:right="160" w:firstLine="368"/>
        <w:spacing w:after="0" w:line="290" w:lineRule="auto"/>
        <w:rPr>
          <w:sz w:val="20"/>
          <w:szCs w:val="20"/>
          <w:color w:val="auto"/>
        </w:rPr>
      </w:pPr>
      <w:r>
        <w:rPr>
          <w:rFonts w:ascii="Arial" w:cs="Arial" w:eastAsia="Arial" w:hAnsi="Arial"/>
          <w:sz w:val="14"/>
          <w:szCs w:val="14"/>
          <w:color w:val="auto"/>
        </w:rPr>
        <w:t>Our users trust us with their most important content, and we focus on providing them with a secure and easy-to-use platform. More than 90% of our users’ data is stored on our own custom-built infrastructure, which has been designed from the ground up to be reliable and secure, and to provide annual data durability of at least 99.999999999%. We have datacenter co-location facilities in California, Texas, and Virginia.</w:t>
      </w:r>
    </w:p>
    <w:p>
      <w:pPr>
        <w:spacing w:after="0" w:line="138" w:lineRule="exact"/>
        <w:rPr>
          <w:sz w:val="20"/>
          <w:szCs w:val="20"/>
          <w:color w:val="auto"/>
        </w:rPr>
      </w:pPr>
    </w:p>
    <w:p>
      <w:pPr>
        <w:ind w:left="1120" w:right="220" w:firstLine="368"/>
        <w:spacing w:after="0" w:line="290" w:lineRule="auto"/>
        <w:rPr>
          <w:sz w:val="20"/>
          <w:szCs w:val="20"/>
          <w:color w:val="auto"/>
        </w:rPr>
      </w:pPr>
      <w:r>
        <w:rPr>
          <w:rFonts w:ascii="Arial" w:cs="Arial" w:eastAsia="Arial" w:hAnsi="Arial"/>
          <w:sz w:val="14"/>
          <w:szCs w:val="14"/>
          <w:color w:val="auto"/>
        </w:rPr>
        <w:t>We also utilize Amazon Web Services, or AWS, for the remainder of our users’ storage needs and to help deliver our services. These AWS datacenters are located in the United States and Europe, which allows us to localize where content is stored. Our technology infrastructure, combined with select use of AWS resources, provides us with a distributed and scalable architecture on a global scale.</w:t>
      </w:r>
    </w:p>
    <w:p>
      <w:pPr>
        <w:spacing w:after="0" w:line="138" w:lineRule="exact"/>
        <w:rPr>
          <w:sz w:val="20"/>
          <w:szCs w:val="20"/>
          <w:color w:val="auto"/>
        </w:rPr>
      </w:pPr>
    </w:p>
    <w:p>
      <w:pPr>
        <w:jc w:val="both"/>
        <w:ind w:left="1120" w:right="260" w:firstLine="368"/>
        <w:spacing w:after="0" w:line="263" w:lineRule="auto"/>
        <w:rPr>
          <w:sz w:val="20"/>
          <w:szCs w:val="20"/>
          <w:color w:val="auto"/>
        </w:rPr>
      </w:pPr>
      <w:r>
        <w:rPr>
          <w:rFonts w:ascii="Arial" w:cs="Arial" w:eastAsia="Arial" w:hAnsi="Arial"/>
          <w:sz w:val="15"/>
          <w:szCs w:val="15"/>
          <w:color w:val="auto"/>
        </w:rPr>
        <w:t>We designed our platform with multiple layers of redundancy to guard against data loss and deliver high availability. Incremental backups are performed hourly and full backups are performed daily. In addition, as a default, redundant copies of content are stored independently in at least two separate geographic regions and replicated reliably within each region.</w:t>
      </w:r>
    </w:p>
    <w:p>
      <w:pPr>
        <w:spacing w:after="0" w:line="241" w:lineRule="exact"/>
        <w:rPr>
          <w:sz w:val="20"/>
          <w:szCs w:val="20"/>
          <w:color w:val="auto"/>
        </w:rPr>
      </w:pPr>
    </w:p>
    <w:p>
      <w:pPr>
        <w:ind w:left="1120"/>
        <w:spacing w:after="0"/>
        <w:rPr>
          <w:sz w:val="20"/>
          <w:szCs w:val="20"/>
          <w:color w:val="auto"/>
        </w:rPr>
      </w:pPr>
      <w:r>
        <w:rPr>
          <w:rFonts w:ascii="Arial" w:cs="Arial" w:eastAsia="Arial" w:hAnsi="Arial"/>
          <w:sz w:val="15"/>
          <w:szCs w:val="15"/>
          <w:b w:val="1"/>
          <w:bCs w:val="1"/>
          <w:color w:val="auto"/>
        </w:rPr>
        <w:t>Our Research and Development Approach</w:t>
      </w:r>
    </w:p>
    <w:p>
      <w:pPr>
        <w:spacing w:after="0" w:line="102" w:lineRule="exact"/>
        <w:rPr>
          <w:sz w:val="20"/>
          <w:szCs w:val="20"/>
          <w:color w:val="auto"/>
        </w:rPr>
      </w:pPr>
    </w:p>
    <w:p>
      <w:pPr>
        <w:ind w:left="1120" w:right="480" w:firstLine="368"/>
        <w:spacing w:after="0" w:line="275" w:lineRule="auto"/>
        <w:rPr>
          <w:sz w:val="20"/>
          <w:szCs w:val="20"/>
          <w:color w:val="auto"/>
        </w:rPr>
      </w:pPr>
      <w:r>
        <w:rPr>
          <w:rFonts w:ascii="Arial" w:cs="Arial" w:eastAsia="Arial" w:hAnsi="Arial"/>
          <w:sz w:val="15"/>
          <w:szCs w:val="15"/>
          <w:color w:val="auto"/>
        </w:rPr>
        <w:t>We invest substantial resources in research and development to enhance our platform, develop new products and features, and improve our infrastructure.</w:t>
      </w:r>
    </w:p>
    <w:p>
      <w:pPr>
        <w:spacing w:after="0" w:line="146" w:lineRule="exact"/>
        <w:rPr>
          <w:sz w:val="20"/>
          <w:szCs w:val="20"/>
          <w:color w:val="auto"/>
        </w:rPr>
      </w:pPr>
    </w:p>
    <w:p>
      <w:pPr>
        <w:ind w:left="1120" w:right="260" w:firstLine="368"/>
        <w:spacing w:after="0" w:line="290" w:lineRule="auto"/>
        <w:rPr>
          <w:sz w:val="20"/>
          <w:szCs w:val="20"/>
          <w:color w:val="auto"/>
        </w:rPr>
      </w:pPr>
      <w:r>
        <w:rPr>
          <w:rFonts w:ascii="Arial" w:cs="Arial" w:eastAsia="Arial" w:hAnsi="Arial"/>
          <w:sz w:val="14"/>
          <w:szCs w:val="14"/>
          <w:color w:val="auto"/>
        </w:rPr>
        <w:t>Our research and development organization consists of world-class engineering, product, and design teams. As of December 31, 2017, we had more than 870 professionals across these teams, representing approximately 47% of our full-time employees. They have a diverse set of skills and industry experience, including expertise in massively distributed systems and user-centric application engineering.</w:t>
      </w:r>
    </w:p>
    <w:p>
      <w:pPr>
        <w:spacing w:after="0" w:line="138" w:lineRule="exact"/>
        <w:rPr>
          <w:sz w:val="20"/>
          <w:szCs w:val="20"/>
          <w:color w:val="auto"/>
        </w:rPr>
      </w:pPr>
    </w:p>
    <w:p>
      <w:pPr>
        <w:ind w:left="1120" w:right="40" w:firstLine="368"/>
        <w:spacing w:after="0" w:line="263" w:lineRule="auto"/>
        <w:rPr>
          <w:sz w:val="20"/>
          <w:szCs w:val="20"/>
          <w:color w:val="auto"/>
        </w:rPr>
      </w:pPr>
      <w:r>
        <w:rPr>
          <w:rFonts w:ascii="Arial" w:cs="Arial" w:eastAsia="Arial" w:hAnsi="Arial"/>
          <w:sz w:val="15"/>
          <w:szCs w:val="15"/>
          <w:color w:val="auto"/>
        </w:rPr>
        <w:t>Our engineering, product, and design teams work together to bring our products to life, from conception and validation to implementation. We continually improve our existing products, update them to work with the latest platforms and technologies, and launch new and innovative products and features.</w:t>
      </w:r>
    </w:p>
    <w:p>
      <w:pPr>
        <w:spacing w:after="0" w:line="98" w:lineRule="exact"/>
        <w:rPr>
          <w:sz w:val="20"/>
          <w:szCs w:val="20"/>
          <w:color w:val="auto"/>
        </w:rPr>
      </w:pPr>
    </w:p>
    <w:p>
      <w:pPr>
        <w:ind w:left="5600"/>
        <w:spacing w:after="0"/>
        <w:rPr>
          <w:sz w:val="20"/>
          <w:szCs w:val="20"/>
          <w:color w:val="auto"/>
        </w:rPr>
      </w:pPr>
      <w:r>
        <w:rPr>
          <w:rFonts w:ascii="Arial" w:cs="Arial" w:eastAsia="Arial" w:hAnsi="Arial"/>
          <w:sz w:val="15"/>
          <w:szCs w:val="15"/>
          <w:color w:val="auto"/>
        </w:rPr>
        <w:t>131</w:t>
      </w:r>
    </w:p>
    <w:p>
      <w:pPr>
        <w:sectPr>
          <w:pgSz w:w="11900" w:h="16838" w:orient="portrait"/>
          <w:cols w:equalWidth="0" w:num="1">
            <w:col w:w="10300"/>
          </w:cols>
          <w:pgMar w:left="240" w:top="407" w:right="1359" w:bottom="1440" w:gutter="0" w:footer="0" w:header="0"/>
        </w:sectPr>
      </w:pPr>
    </w:p>
    <w:bookmarkStart w:id="138" w:name="page139"/>
    <w:bookmarkEnd w:id="138"/>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133350</wp:posOffset>
            </wp:positionH>
            <wp:positionV relativeFrom="page">
              <wp:posOffset>88900</wp:posOffset>
            </wp:positionV>
            <wp:extent cx="7308850" cy="3429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308850" cy="34290"/>
                    </a:xfrm>
                    <a:prstGeom prst="rect">
                      <a:avLst/>
                    </a:prstGeom>
                    <a:noFill/>
                  </pic:spPr>
                </pic:pic>
              </a:graphicData>
            </a:graphic>
          </wp:anchor>
        </w:drawing>
      </w:r>
      <w:hyperlink w:anchor="page7">
        <w:r>
          <w:rPr>
            <w:rFonts w:ascii="Arial" w:cs="Arial" w:eastAsia="Arial" w:hAnsi="Arial"/>
            <w:sz w:val="15"/>
            <w:szCs w:val="15"/>
            <w:b w:val="1"/>
            <w:bCs w:val="1"/>
            <w:u w:val="single" w:color="auto"/>
            <w:color w:val="0000EE"/>
          </w:rPr>
          <w:t>Table of Contents</w:t>
        </w:r>
      </w:hyperlink>
    </w:p>
    <w:p>
      <w:pPr>
        <w:spacing w:after="0" w:line="256" w:lineRule="exact"/>
        <w:rPr>
          <w:sz w:val="20"/>
          <w:szCs w:val="20"/>
          <w:color w:val="auto"/>
        </w:rPr>
      </w:pPr>
    </w:p>
    <w:p>
      <w:pPr>
        <w:ind w:left="1120"/>
        <w:spacing w:after="0"/>
        <w:rPr>
          <w:sz w:val="20"/>
          <w:szCs w:val="20"/>
          <w:color w:val="auto"/>
        </w:rPr>
      </w:pPr>
      <w:r>
        <w:rPr>
          <w:rFonts w:ascii="Arial" w:cs="Arial" w:eastAsia="Arial" w:hAnsi="Arial"/>
          <w:sz w:val="15"/>
          <w:szCs w:val="15"/>
          <w:b w:val="1"/>
          <w:bCs w:val="1"/>
          <w:color w:val="auto"/>
        </w:rPr>
        <w:t>Our Values</w:t>
      </w:r>
    </w:p>
    <w:p>
      <w:pPr>
        <w:spacing w:after="0" w:line="102" w:lineRule="exact"/>
        <w:rPr>
          <w:sz w:val="20"/>
          <w:szCs w:val="20"/>
          <w:color w:val="auto"/>
        </w:rPr>
      </w:pPr>
    </w:p>
    <w:p>
      <w:pPr>
        <w:jc w:val="both"/>
        <w:ind w:left="1120" w:right="140" w:firstLine="368"/>
        <w:spacing w:after="0" w:line="354" w:lineRule="auto"/>
        <w:rPr>
          <w:sz w:val="20"/>
          <w:szCs w:val="20"/>
          <w:color w:val="auto"/>
        </w:rPr>
      </w:pPr>
      <w:r>
        <w:rPr>
          <w:rFonts w:ascii="Arial" w:cs="Arial" w:eastAsia="Arial" w:hAnsi="Arial"/>
          <w:sz w:val="13"/>
          <w:szCs w:val="13"/>
          <w:color w:val="auto"/>
        </w:rPr>
        <w:t>Since our founding, we’ve focused on building a culture of innovation and teamwork. As our company grew, we developed five core values that are critical to our success. Our values are a compass and part of everyday life for Dropboxers. Each one guides how we treat each other and our users.</w:t>
      </w:r>
    </w:p>
    <w:p>
      <w:pPr>
        <w:spacing w:after="0" w:line="21" w:lineRule="exact"/>
        <w:rPr>
          <w:sz w:val="20"/>
          <w:szCs w:val="20"/>
          <w:color w:val="auto"/>
        </w:rPr>
      </w:pPr>
    </w:p>
    <w:p>
      <w:pPr>
        <w:ind w:left="1840" w:hanging="276"/>
        <w:spacing w:after="0"/>
        <w:tabs>
          <w:tab w:leader="none" w:pos="1840" w:val="left"/>
        </w:tabs>
        <w:numPr>
          <w:ilvl w:val="0"/>
          <w:numId w:val="53"/>
        </w:numPr>
        <w:rPr>
          <w:rFonts w:ascii="Arial" w:cs="Arial" w:eastAsia="Arial" w:hAnsi="Arial"/>
          <w:sz w:val="15"/>
          <w:szCs w:val="15"/>
          <w:color w:val="auto"/>
        </w:rPr>
      </w:pPr>
      <w:r>
        <w:rPr>
          <w:rFonts w:ascii="Arial" w:cs="Arial" w:eastAsia="Arial" w:hAnsi="Arial"/>
          <w:sz w:val="15"/>
          <w:szCs w:val="15"/>
          <w:b w:val="1"/>
          <w:bCs w:val="1"/>
          <w:i w:val="1"/>
          <w:iCs w:val="1"/>
          <w:color w:val="auto"/>
        </w:rPr>
        <w:t>Be worthy of trust</w:t>
      </w:r>
    </w:p>
    <w:p>
      <w:pPr>
        <w:spacing w:after="0" w:line="98" w:lineRule="exact"/>
        <w:rPr>
          <w:rFonts w:ascii="Arial" w:cs="Arial" w:eastAsia="Arial" w:hAnsi="Arial"/>
          <w:sz w:val="15"/>
          <w:szCs w:val="15"/>
          <w:color w:val="auto"/>
        </w:rPr>
      </w:pPr>
    </w:p>
    <w:p>
      <w:pPr>
        <w:ind w:left="1840" w:right="240"/>
        <w:spacing w:after="0" w:line="275" w:lineRule="auto"/>
        <w:rPr>
          <w:rFonts w:ascii="Arial" w:cs="Arial" w:eastAsia="Arial" w:hAnsi="Arial"/>
          <w:sz w:val="15"/>
          <w:szCs w:val="15"/>
          <w:color w:val="auto"/>
        </w:rPr>
      </w:pPr>
      <w:r>
        <w:rPr>
          <w:rFonts w:ascii="Arial" w:cs="Arial" w:eastAsia="Arial" w:hAnsi="Arial"/>
          <w:sz w:val="15"/>
          <w:szCs w:val="15"/>
          <w:i w:val="1"/>
          <w:iCs w:val="1"/>
          <w:color w:val="auto"/>
        </w:rPr>
        <w:t xml:space="preserve">Take care of each other and our users, and keep their best interests at heart. </w:t>
      </w:r>
      <w:r>
        <w:rPr>
          <w:rFonts w:ascii="Arial" w:cs="Arial" w:eastAsia="Arial" w:hAnsi="Arial"/>
          <w:sz w:val="15"/>
          <w:szCs w:val="15"/>
          <w:color w:val="auto"/>
        </w:rPr>
        <w:t>Millions of people and businesses trust us to safeguard their</w:t>
      </w:r>
      <w:r>
        <w:rPr>
          <w:rFonts w:ascii="Arial" w:cs="Arial" w:eastAsia="Arial" w:hAnsi="Arial"/>
          <w:sz w:val="15"/>
          <w:szCs w:val="15"/>
          <w:i w:val="1"/>
          <w:iCs w:val="1"/>
          <w:color w:val="auto"/>
        </w:rPr>
        <w:t xml:space="preserve"> </w:t>
      </w:r>
      <w:r>
        <w:rPr>
          <w:rFonts w:ascii="Arial" w:cs="Arial" w:eastAsia="Arial" w:hAnsi="Arial"/>
          <w:sz w:val="15"/>
          <w:szCs w:val="15"/>
          <w:color w:val="auto"/>
        </w:rPr>
        <w:t>most important information. We strive to be as transparent as possible with them and each other.</w:t>
      </w:r>
    </w:p>
    <w:p>
      <w:pPr>
        <w:spacing w:after="0" w:line="67" w:lineRule="exact"/>
        <w:rPr>
          <w:rFonts w:ascii="Arial" w:cs="Arial" w:eastAsia="Arial" w:hAnsi="Arial"/>
          <w:sz w:val="15"/>
          <w:szCs w:val="15"/>
          <w:color w:val="auto"/>
        </w:rPr>
      </w:pPr>
    </w:p>
    <w:p>
      <w:pPr>
        <w:ind w:left="1840" w:hanging="276"/>
        <w:spacing w:after="0"/>
        <w:tabs>
          <w:tab w:leader="none" w:pos="1840" w:val="left"/>
        </w:tabs>
        <w:numPr>
          <w:ilvl w:val="0"/>
          <w:numId w:val="53"/>
        </w:numPr>
        <w:rPr>
          <w:rFonts w:ascii="Arial" w:cs="Arial" w:eastAsia="Arial" w:hAnsi="Arial"/>
          <w:sz w:val="15"/>
          <w:szCs w:val="15"/>
          <w:color w:val="auto"/>
        </w:rPr>
      </w:pPr>
      <w:r>
        <w:rPr>
          <w:rFonts w:ascii="Arial" w:cs="Arial" w:eastAsia="Arial" w:hAnsi="Arial"/>
          <w:sz w:val="15"/>
          <w:szCs w:val="15"/>
          <w:b w:val="1"/>
          <w:bCs w:val="1"/>
          <w:i w:val="1"/>
          <w:iCs w:val="1"/>
          <w:color w:val="auto"/>
        </w:rPr>
        <w:t>Sweat the details</w:t>
      </w:r>
    </w:p>
    <w:p>
      <w:pPr>
        <w:spacing w:after="0" w:line="98" w:lineRule="exact"/>
        <w:rPr>
          <w:rFonts w:ascii="Arial" w:cs="Arial" w:eastAsia="Arial" w:hAnsi="Arial"/>
          <w:sz w:val="15"/>
          <w:szCs w:val="15"/>
          <w:color w:val="auto"/>
        </w:rPr>
      </w:pPr>
    </w:p>
    <w:p>
      <w:pPr>
        <w:ind w:left="1840"/>
        <w:spacing w:after="0" w:line="263" w:lineRule="auto"/>
        <w:rPr>
          <w:rFonts w:ascii="Arial" w:cs="Arial" w:eastAsia="Arial" w:hAnsi="Arial"/>
          <w:sz w:val="15"/>
          <w:szCs w:val="15"/>
          <w:color w:val="auto"/>
        </w:rPr>
      </w:pPr>
      <w:r>
        <w:rPr>
          <w:rFonts w:ascii="Arial" w:cs="Arial" w:eastAsia="Arial" w:hAnsi="Arial"/>
          <w:sz w:val="15"/>
          <w:szCs w:val="15"/>
          <w:i w:val="1"/>
          <w:iCs w:val="1"/>
          <w:color w:val="auto"/>
        </w:rPr>
        <w:t xml:space="preserve">Obsess over quality and strive to master your craft. </w:t>
      </w:r>
      <w:r>
        <w:rPr>
          <w:rFonts w:ascii="Arial" w:cs="Arial" w:eastAsia="Arial" w:hAnsi="Arial"/>
          <w:sz w:val="15"/>
          <w:szCs w:val="15"/>
          <w:color w:val="auto"/>
        </w:rPr>
        <w:t>We believe that truly insightful solutions emerge from a deep understanding of problems</w:t>
      </w:r>
      <w:r>
        <w:rPr>
          <w:rFonts w:ascii="Arial" w:cs="Arial" w:eastAsia="Arial" w:hAnsi="Arial"/>
          <w:sz w:val="15"/>
          <w:szCs w:val="15"/>
          <w:i w:val="1"/>
          <w:iCs w:val="1"/>
          <w:color w:val="auto"/>
        </w:rPr>
        <w:t xml:space="preserve"> </w:t>
      </w:r>
      <w:r>
        <w:rPr>
          <w:rFonts w:ascii="Arial" w:cs="Arial" w:eastAsia="Arial" w:hAnsi="Arial"/>
          <w:sz w:val="15"/>
          <w:szCs w:val="15"/>
          <w:color w:val="auto"/>
        </w:rPr>
        <w:t>and a dedication to iteration. We push ourselves (and each other) to get to the root of problems, and we don’t accept sloppy solutions or band-aids.</w:t>
      </w:r>
    </w:p>
    <w:p>
      <w:pPr>
        <w:spacing w:after="0" w:line="75" w:lineRule="exact"/>
        <w:rPr>
          <w:rFonts w:ascii="Arial" w:cs="Arial" w:eastAsia="Arial" w:hAnsi="Arial"/>
          <w:sz w:val="15"/>
          <w:szCs w:val="15"/>
          <w:color w:val="auto"/>
        </w:rPr>
      </w:pPr>
    </w:p>
    <w:p>
      <w:pPr>
        <w:ind w:left="1840" w:hanging="276"/>
        <w:spacing w:after="0"/>
        <w:tabs>
          <w:tab w:leader="none" w:pos="1840" w:val="left"/>
        </w:tabs>
        <w:numPr>
          <w:ilvl w:val="0"/>
          <w:numId w:val="53"/>
        </w:numPr>
        <w:rPr>
          <w:rFonts w:ascii="Arial" w:cs="Arial" w:eastAsia="Arial" w:hAnsi="Arial"/>
          <w:sz w:val="15"/>
          <w:szCs w:val="15"/>
          <w:color w:val="auto"/>
        </w:rPr>
      </w:pPr>
      <w:r>
        <w:rPr>
          <w:rFonts w:ascii="Arial" w:cs="Arial" w:eastAsia="Arial" w:hAnsi="Arial"/>
          <w:sz w:val="15"/>
          <w:szCs w:val="15"/>
          <w:b w:val="1"/>
          <w:bCs w:val="1"/>
          <w:i w:val="1"/>
          <w:iCs w:val="1"/>
          <w:color w:val="auto"/>
        </w:rPr>
        <w:t>Aim higher</w:t>
      </w:r>
    </w:p>
    <w:p>
      <w:pPr>
        <w:spacing w:after="0" w:line="98" w:lineRule="exact"/>
        <w:rPr>
          <w:rFonts w:ascii="Arial" w:cs="Arial" w:eastAsia="Arial" w:hAnsi="Arial"/>
          <w:sz w:val="15"/>
          <w:szCs w:val="15"/>
          <w:color w:val="auto"/>
        </w:rPr>
      </w:pPr>
    </w:p>
    <w:p>
      <w:pPr>
        <w:ind w:left="1840" w:right="280"/>
        <w:spacing w:after="0" w:line="263" w:lineRule="auto"/>
        <w:rPr>
          <w:rFonts w:ascii="Arial" w:cs="Arial" w:eastAsia="Arial" w:hAnsi="Arial"/>
          <w:sz w:val="15"/>
          <w:szCs w:val="15"/>
          <w:color w:val="auto"/>
        </w:rPr>
      </w:pPr>
      <w:r>
        <w:rPr>
          <w:rFonts w:ascii="Arial" w:cs="Arial" w:eastAsia="Arial" w:hAnsi="Arial"/>
          <w:sz w:val="15"/>
          <w:szCs w:val="15"/>
          <w:i w:val="1"/>
          <w:iCs w:val="1"/>
          <w:color w:val="auto"/>
        </w:rPr>
        <w:t xml:space="preserve">Set audacious goals. </w:t>
      </w:r>
      <w:r>
        <w:rPr>
          <w:rFonts w:ascii="Arial" w:cs="Arial" w:eastAsia="Arial" w:hAnsi="Arial"/>
          <w:sz w:val="15"/>
          <w:szCs w:val="15"/>
          <w:color w:val="auto"/>
        </w:rPr>
        <w:t>We believe in taking risks and being willing to disrupt ourselves, so we don’t squander an opportunity to build</w:t>
      </w:r>
      <w:r>
        <w:rPr>
          <w:rFonts w:ascii="Arial" w:cs="Arial" w:eastAsia="Arial" w:hAnsi="Arial"/>
          <w:sz w:val="15"/>
          <w:szCs w:val="15"/>
          <w:i w:val="1"/>
          <w:iCs w:val="1"/>
          <w:color w:val="auto"/>
        </w:rPr>
        <w:t xml:space="preserve"> </w:t>
      </w:r>
      <w:r>
        <w:rPr>
          <w:rFonts w:ascii="Arial" w:cs="Arial" w:eastAsia="Arial" w:hAnsi="Arial"/>
          <w:sz w:val="15"/>
          <w:szCs w:val="15"/>
          <w:color w:val="auto"/>
        </w:rPr>
        <w:t>something much bigger. With the density of incredible talent at Dropbox and the size of the opportunity in front of us, we owe it to each other to push limits.</w:t>
      </w:r>
    </w:p>
    <w:p>
      <w:pPr>
        <w:spacing w:after="0" w:line="75" w:lineRule="exact"/>
        <w:rPr>
          <w:rFonts w:ascii="Arial" w:cs="Arial" w:eastAsia="Arial" w:hAnsi="Arial"/>
          <w:sz w:val="15"/>
          <w:szCs w:val="15"/>
          <w:color w:val="auto"/>
        </w:rPr>
      </w:pPr>
    </w:p>
    <w:p>
      <w:pPr>
        <w:ind w:left="1840" w:hanging="276"/>
        <w:spacing w:after="0"/>
        <w:tabs>
          <w:tab w:leader="none" w:pos="1840" w:val="left"/>
        </w:tabs>
        <w:numPr>
          <w:ilvl w:val="0"/>
          <w:numId w:val="53"/>
        </w:numPr>
        <w:rPr>
          <w:rFonts w:ascii="Arial" w:cs="Arial" w:eastAsia="Arial" w:hAnsi="Arial"/>
          <w:sz w:val="15"/>
          <w:szCs w:val="15"/>
          <w:color w:val="auto"/>
        </w:rPr>
      </w:pPr>
      <w:r>
        <w:rPr>
          <w:rFonts w:ascii="Arial" w:cs="Arial" w:eastAsia="Arial" w:hAnsi="Arial"/>
          <w:sz w:val="15"/>
          <w:szCs w:val="15"/>
          <w:b w:val="1"/>
          <w:bCs w:val="1"/>
          <w:i w:val="1"/>
          <w:iCs w:val="1"/>
          <w:color w:val="auto"/>
        </w:rPr>
        <w:t>We, not I</w:t>
      </w:r>
    </w:p>
    <w:p>
      <w:pPr>
        <w:spacing w:after="0" w:line="98" w:lineRule="exact"/>
        <w:rPr>
          <w:rFonts w:ascii="Arial" w:cs="Arial" w:eastAsia="Arial" w:hAnsi="Arial"/>
          <w:sz w:val="15"/>
          <w:szCs w:val="15"/>
          <w:color w:val="auto"/>
        </w:rPr>
      </w:pPr>
    </w:p>
    <w:p>
      <w:pPr>
        <w:jc w:val="both"/>
        <w:ind w:left="1840" w:right="100"/>
        <w:spacing w:after="0" w:line="263" w:lineRule="auto"/>
        <w:rPr>
          <w:rFonts w:ascii="Arial" w:cs="Arial" w:eastAsia="Arial" w:hAnsi="Arial"/>
          <w:sz w:val="15"/>
          <w:szCs w:val="15"/>
          <w:color w:val="auto"/>
        </w:rPr>
      </w:pPr>
      <w:r>
        <w:rPr>
          <w:rFonts w:ascii="Arial" w:cs="Arial" w:eastAsia="Arial" w:hAnsi="Arial"/>
          <w:sz w:val="15"/>
          <w:szCs w:val="15"/>
          <w:i w:val="1"/>
          <w:iCs w:val="1"/>
          <w:color w:val="auto"/>
        </w:rPr>
        <w:t xml:space="preserve">We’re a village, and as members, we each need to do our part for the village to thrive. </w:t>
      </w:r>
      <w:r>
        <w:rPr>
          <w:rFonts w:ascii="Arial" w:cs="Arial" w:eastAsia="Arial" w:hAnsi="Arial"/>
          <w:sz w:val="15"/>
          <w:szCs w:val="15"/>
          <w:color w:val="auto"/>
        </w:rPr>
        <w:t>We tackle a never-ending stream of people, product,</w:t>
      </w:r>
      <w:r>
        <w:rPr>
          <w:rFonts w:ascii="Arial" w:cs="Arial" w:eastAsia="Arial" w:hAnsi="Arial"/>
          <w:sz w:val="15"/>
          <w:szCs w:val="15"/>
          <w:i w:val="1"/>
          <w:iCs w:val="1"/>
          <w:color w:val="auto"/>
        </w:rPr>
        <w:t xml:space="preserve"> </w:t>
      </w:r>
      <w:r>
        <w:rPr>
          <w:rFonts w:ascii="Arial" w:cs="Arial" w:eastAsia="Arial" w:hAnsi="Arial"/>
          <w:sz w:val="15"/>
          <w:szCs w:val="15"/>
          <w:color w:val="auto"/>
        </w:rPr>
        <w:t>and business challenges, many of which are far too hard to be solved by a single person or team. We believe in people really knowing each other and in putting the welfare of the company and our users before ourselves.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1189990</wp:posOffset>
            </wp:positionH>
            <wp:positionV relativeFrom="paragraph">
              <wp:posOffset>54610</wp:posOffset>
            </wp:positionV>
            <wp:extent cx="307975" cy="37211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307975" cy="372110"/>
                    </a:xfrm>
                    <a:prstGeom prst="rect">
                      <a:avLst/>
                    </a:prstGeom>
                    <a:noFill/>
                  </pic:spPr>
                </pic:pic>
              </a:graphicData>
            </a:graphic>
          </wp:anchor>
        </w:drawing>
      </w:r>
    </w:p>
    <w:p>
      <w:pPr>
        <w:spacing w:after="0" w:line="259" w:lineRule="exact"/>
        <w:rPr>
          <w:sz w:val="20"/>
          <w:szCs w:val="20"/>
          <w:color w:val="auto"/>
        </w:rPr>
      </w:pPr>
    </w:p>
    <w:p>
      <w:pPr>
        <w:ind w:left="1580"/>
        <w:spacing w:after="0"/>
        <w:rPr>
          <w:sz w:val="20"/>
          <w:szCs w:val="20"/>
          <w:color w:val="auto"/>
        </w:rPr>
      </w:pPr>
      <w:r>
        <w:rPr>
          <w:rFonts w:ascii="Arial" w:cs="Arial" w:eastAsia="Arial" w:hAnsi="Arial"/>
          <w:sz w:val="15"/>
          <w:szCs w:val="15"/>
          <w:color w:val="auto"/>
        </w:rPr>
        <w:t>•</w:t>
      </w:r>
    </w:p>
    <w:p>
      <w:pPr>
        <w:spacing w:after="0" w:line="301" w:lineRule="exact"/>
        <w:rPr>
          <w:sz w:val="20"/>
          <w:szCs w:val="20"/>
          <w:color w:val="auto"/>
        </w:rPr>
      </w:pPr>
    </w:p>
    <w:p>
      <w:pPr>
        <w:ind w:left="1840" w:right="40"/>
        <w:spacing w:after="0" w:line="259" w:lineRule="auto"/>
        <w:rPr>
          <w:sz w:val="20"/>
          <w:szCs w:val="20"/>
          <w:color w:val="auto"/>
        </w:rPr>
      </w:pPr>
      <w:r>
        <w:rPr>
          <w:rFonts w:ascii="Arial" w:cs="Arial" w:eastAsia="Arial" w:hAnsi="Arial"/>
          <w:sz w:val="15"/>
          <w:szCs w:val="15"/>
          <w:i w:val="1"/>
          <w:iCs w:val="1"/>
          <w:color w:val="auto"/>
        </w:rPr>
        <w:t xml:space="preserve">Surprise and delight each other and our users. </w:t>
      </w:r>
      <w:r>
        <w:rPr>
          <w:rFonts w:ascii="Arial" w:cs="Arial" w:eastAsia="Arial" w:hAnsi="Arial"/>
          <w:sz w:val="15"/>
          <w:szCs w:val="15"/>
          <w:color w:val="auto"/>
        </w:rPr>
        <w:t>Cupcake is about adding an authentic, human touch to everything we do. But more than that,</w:t>
      </w:r>
      <w:r>
        <w:rPr>
          <w:rFonts w:ascii="Arial" w:cs="Arial" w:eastAsia="Arial" w:hAnsi="Arial"/>
          <w:sz w:val="15"/>
          <w:szCs w:val="15"/>
          <w:i w:val="1"/>
          <w:iCs w:val="1"/>
          <w:color w:val="auto"/>
        </w:rPr>
        <w:t xml:space="preserve"> </w:t>
      </w:r>
      <w:r>
        <w:rPr>
          <w:rFonts w:ascii="Arial" w:cs="Arial" w:eastAsia="Arial" w:hAnsi="Arial"/>
          <w:sz w:val="15"/>
          <w:szCs w:val="15"/>
          <w:color w:val="auto"/>
        </w:rPr>
        <w:t>it’s about finding creative ways to make our users (and each other) smile—whether it’s our quirky illustrations, or bringing a roving ice cream cart to the office to celebrate a product launch. We believe that the magic we create together as Dropboxers translates into magic for our users.</w:t>
      </w:r>
    </w:p>
    <w:p>
      <w:pPr>
        <w:spacing w:after="0" w:line="244" w:lineRule="exact"/>
        <w:rPr>
          <w:sz w:val="20"/>
          <w:szCs w:val="20"/>
          <w:color w:val="auto"/>
        </w:rPr>
      </w:pPr>
    </w:p>
    <w:p>
      <w:pPr>
        <w:ind w:left="1120"/>
        <w:spacing w:after="0"/>
        <w:rPr>
          <w:sz w:val="20"/>
          <w:szCs w:val="20"/>
          <w:color w:val="auto"/>
        </w:rPr>
      </w:pPr>
      <w:r>
        <w:rPr>
          <w:rFonts w:ascii="Arial" w:cs="Arial" w:eastAsia="Arial" w:hAnsi="Arial"/>
          <w:sz w:val="15"/>
          <w:szCs w:val="15"/>
          <w:b w:val="1"/>
          <w:bCs w:val="1"/>
          <w:color w:val="auto"/>
        </w:rPr>
        <w:t>Our Employees</w:t>
      </w:r>
    </w:p>
    <w:p>
      <w:pPr>
        <w:spacing w:after="0" w:line="102" w:lineRule="exact"/>
        <w:rPr>
          <w:sz w:val="20"/>
          <w:szCs w:val="20"/>
          <w:color w:val="auto"/>
        </w:rPr>
      </w:pPr>
    </w:p>
    <w:p>
      <w:pPr>
        <w:ind w:left="1120" w:right="20" w:firstLine="368"/>
        <w:spacing w:after="0" w:line="275" w:lineRule="auto"/>
        <w:rPr>
          <w:sz w:val="20"/>
          <w:szCs w:val="20"/>
          <w:color w:val="auto"/>
        </w:rPr>
      </w:pPr>
      <w:r>
        <w:rPr>
          <w:rFonts w:ascii="Arial" w:cs="Arial" w:eastAsia="Arial" w:hAnsi="Arial"/>
          <w:sz w:val="15"/>
          <w:szCs w:val="15"/>
          <w:color w:val="auto"/>
        </w:rPr>
        <w:t>As of December 31, 2017, we had 1,858 full-time employees. We also engage contractors and consultants. None of our employees are represented by a labor union. We have not experienced any work stoppages, and we believe that our employee relations are strong.</w:t>
      </w:r>
    </w:p>
    <w:p>
      <w:pPr>
        <w:spacing w:after="0" w:line="232" w:lineRule="exact"/>
        <w:rPr>
          <w:sz w:val="20"/>
          <w:szCs w:val="20"/>
          <w:color w:val="auto"/>
        </w:rPr>
      </w:pPr>
    </w:p>
    <w:p>
      <w:pPr>
        <w:ind w:left="1120"/>
        <w:spacing w:after="0"/>
        <w:rPr>
          <w:sz w:val="20"/>
          <w:szCs w:val="20"/>
          <w:color w:val="auto"/>
        </w:rPr>
      </w:pPr>
      <w:r>
        <w:rPr>
          <w:rFonts w:ascii="Arial" w:cs="Arial" w:eastAsia="Arial" w:hAnsi="Arial"/>
          <w:sz w:val="15"/>
          <w:szCs w:val="15"/>
          <w:b w:val="1"/>
          <w:bCs w:val="1"/>
          <w:color w:val="auto"/>
        </w:rPr>
        <w:t>Our Commitment to Security and Privacy</w:t>
      </w:r>
    </w:p>
    <w:p>
      <w:pPr>
        <w:spacing w:after="0" w:line="102" w:lineRule="exact"/>
        <w:rPr>
          <w:sz w:val="20"/>
          <w:szCs w:val="20"/>
          <w:color w:val="auto"/>
        </w:rPr>
      </w:pPr>
    </w:p>
    <w:p>
      <w:pPr>
        <w:ind w:left="1480"/>
        <w:spacing w:after="0"/>
        <w:rPr>
          <w:sz w:val="20"/>
          <w:szCs w:val="20"/>
          <w:color w:val="auto"/>
        </w:rPr>
      </w:pPr>
      <w:r>
        <w:rPr>
          <w:rFonts w:ascii="Arial" w:cs="Arial" w:eastAsia="Arial" w:hAnsi="Arial"/>
          <w:sz w:val="14"/>
          <w:szCs w:val="14"/>
          <w:color w:val="auto"/>
        </w:rPr>
        <w:t>Trust is the foundation of our relationship with our users, and we take significant measures every day to protect their privacy and security.</w:t>
      </w:r>
    </w:p>
    <w:p>
      <w:pPr>
        <w:spacing w:after="0" w:line="290" w:lineRule="exact"/>
        <w:rPr>
          <w:sz w:val="20"/>
          <w:szCs w:val="20"/>
          <w:color w:val="auto"/>
        </w:rPr>
      </w:pPr>
    </w:p>
    <w:p>
      <w:pPr>
        <w:ind w:left="1480"/>
        <w:spacing w:after="0"/>
        <w:rPr>
          <w:sz w:val="20"/>
          <w:szCs w:val="20"/>
          <w:color w:val="auto"/>
        </w:rPr>
      </w:pPr>
      <w:r>
        <w:rPr>
          <w:rFonts w:ascii="Arial" w:cs="Arial" w:eastAsia="Arial" w:hAnsi="Arial"/>
          <w:sz w:val="15"/>
          <w:szCs w:val="15"/>
          <w:b w:val="1"/>
          <w:bCs w:val="1"/>
          <w:i w:val="1"/>
          <w:iCs w:val="1"/>
          <w:color w:val="auto"/>
        </w:rPr>
        <w:t>Security</w:t>
      </w:r>
    </w:p>
    <w:p>
      <w:pPr>
        <w:spacing w:after="0" w:line="98" w:lineRule="exact"/>
        <w:rPr>
          <w:sz w:val="20"/>
          <w:szCs w:val="20"/>
          <w:color w:val="auto"/>
        </w:rPr>
      </w:pPr>
    </w:p>
    <w:p>
      <w:pPr>
        <w:jc w:val="both"/>
        <w:ind w:left="1120" w:right="80" w:firstLine="368"/>
        <w:spacing w:after="0" w:line="263" w:lineRule="auto"/>
        <w:rPr>
          <w:sz w:val="20"/>
          <w:szCs w:val="20"/>
          <w:color w:val="auto"/>
        </w:rPr>
      </w:pPr>
      <w:r>
        <w:rPr>
          <w:rFonts w:ascii="Arial" w:cs="Arial" w:eastAsia="Arial" w:hAnsi="Arial"/>
          <w:sz w:val="15"/>
          <w:szCs w:val="15"/>
          <w:color w:val="auto"/>
        </w:rPr>
        <w:t>Our sophisticated infrastructure is designed to protect our users’ content while it is transferred, stored, and processed. We offer multiple layers of protection, including secure file data transfer, encryption, network configuration, and application-level controls. For Dropbox Business teams, our tools also empower</w:t>
      </w:r>
    </w:p>
    <w:p>
      <w:pPr>
        <w:spacing w:after="0" w:line="98" w:lineRule="exact"/>
        <w:rPr>
          <w:sz w:val="20"/>
          <w:szCs w:val="20"/>
          <w:color w:val="auto"/>
        </w:rPr>
      </w:pPr>
    </w:p>
    <w:p>
      <w:pPr>
        <w:ind w:left="5600"/>
        <w:spacing w:after="0"/>
        <w:rPr>
          <w:sz w:val="20"/>
          <w:szCs w:val="20"/>
          <w:color w:val="auto"/>
        </w:rPr>
      </w:pPr>
      <w:r>
        <w:rPr>
          <w:rFonts w:ascii="Arial" w:cs="Arial" w:eastAsia="Arial" w:hAnsi="Arial"/>
          <w:sz w:val="15"/>
          <w:szCs w:val="15"/>
          <w:color w:val="auto"/>
        </w:rPr>
        <w:t>132</w:t>
      </w:r>
    </w:p>
    <w:p>
      <w:pPr>
        <w:sectPr>
          <w:pgSz w:w="11900" w:h="16838" w:orient="portrait"/>
          <w:cols w:equalWidth="0" w:num="1">
            <w:col w:w="10300"/>
          </w:cols>
          <w:pgMar w:left="240" w:top="407" w:right="1359" w:bottom="1440" w:gutter="0" w:footer="0" w:header="0"/>
        </w:sectPr>
      </w:pPr>
    </w:p>
    <w:bookmarkStart w:id="139" w:name="page140"/>
    <w:bookmarkEnd w:id="139"/>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133350</wp:posOffset>
            </wp:positionH>
            <wp:positionV relativeFrom="page">
              <wp:posOffset>88900</wp:posOffset>
            </wp:positionV>
            <wp:extent cx="7308850" cy="3429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308850" cy="34290"/>
                    </a:xfrm>
                    <a:prstGeom prst="rect">
                      <a:avLst/>
                    </a:prstGeom>
                    <a:noFill/>
                  </pic:spPr>
                </pic:pic>
              </a:graphicData>
            </a:graphic>
          </wp:anchor>
        </w:drawing>
      </w:r>
      <w:hyperlink w:anchor="page7">
        <w:r>
          <w:rPr>
            <w:rFonts w:ascii="Arial" w:cs="Arial" w:eastAsia="Arial" w:hAnsi="Arial"/>
            <w:sz w:val="15"/>
            <w:szCs w:val="15"/>
            <w:b w:val="1"/>
            <w:bCs w:val="1"/>
            <w:u w:val="single" w:color="auto"/>
            <w:color w:val="0000EE"/>
          </w:rPr>
          <w:t>Table of Contents</w:t>
        </w:r>
      </w:hyperlink>
    </w:p>
    <w:p>
      <w:pPr>
        <w:spacing w:after="0" w:line="260" w:lineRule="exact"/>
        <w:rPr>
          <w:sz w:val="20"/>
          <w:szCs w:val="20"/>
          <w:color w:val="auto"/>
        </w:rPr>
      </w:pPr>
    </w:p>
    <w:p>
      <w:pPr>
        <w:ind w:left="1120"/>
        <w:spacing w:after="0" w:line="263" w:lineRule="auto"/>
        <w:rPr>
          <w:sz w:val="20"/>
          <w:szCs w:val="20"/>
          <w:color w:val="auto"/>
        </w:rPr>
      </w:pPr>
      <w:r>
        <w:rPr>
          <w:rFonts w:ascii="Arial" w:cs="Arial" w:eastAsia="Arial" w:hAnsi="Arial"/>
          <w:sz w:val="15"/>
          <w:szCs w:val="15"/>
          <w:color w:val="auto"/>
        </w:rPr>
        <w:t>administrators with control and visibility features that allow them to customize our platform to their organizations’ needs. Our information security policies and management framework are designed to build a culture of security, and we continually assess risks and improve the security, confidentiality, integrity, and availability of our systems.</w:t>
      </w:r>
    </w:p>
    <w:p>
      <w:pPr>
        <w:spacing w:after="0" w:line="155" w:lineRule="exact"/>
        <w:rPr>
          <w:sz w:val="20"/>
          <w:szCs w:val="20"/>
          <w:color w:val="auto"/>
        </w:rPr>
      </w:pPr>
    </w:p>
    <w:p>
      <w:pPr>
        <w:ind w:left="1120" w:right="40" w:firstLine="368"/>
        <w:spacing w:after="0" w:line="255" w:lineRule="auto"/>
        <w:rPr>
          <w:sz w:val="20"/>
          <w:szCs w:val="20"/>
          <w:color w:val="auto"/>
        </w:rPr>
      </w:pPr>
      <w:r>
        <w:rPr>
          <w:rFonts w:ascii="Arial" w:cs="Arial" w:eastAsia="Arial" w:hAnsi="Arial"/>
          <w:sz w:val="15"/>
          <w:szCs w:val="15"/>
          <w:color w:val="auto"/>
        </w:rPr>
        <w:t>We voluntarily engage third-party security auditors to test our systems and controls at least annually against the most widely recognized security standards and regulations. Our Dropbox Trust Program consists of key infrastructure processes such as change management, access control, security management, and human resource management. Our program also serves as an Information Security Management System, or ISMS, as prescribed by the International Organization for Standardization, or ISO, and the International Electrotechnical Commission 27001:2013 international information security standard. It also qualifies as a Business Continuity Management System, or BCMS, as prescribed by the ISO 22301:2012 international business continuity standard.</w:t>
      </w:r>
    </w:p>
    <w:p>
      <w:pPr>
        <w:spacing w:after="0" w:line="164" w:lineRule="exact"/>
        <w:rPr>
          <w:sz w:val="20"/>
          <w:szCs w:val="20"/>
          <w:color w:val="auto"/>
        </w:rPr>
      </w:pPr>
    </w:p>
    <w:p>
      <w:pPr>
        <w:ind w:left="1480"/>
        <w:spacing w:after="0"/>
        <w:rPr>
          <w:sz w:val="20"/>
          <w:szCs w:val="20"/>
          <w:color w:val="auto"/>
        </w:rPr>
      </w:pPr>
      <w:r>
        <w:rPr>
          <w:rFonts w:ascii="Arial" w:cs="Arial" w:eastAsia="Arial" w:hAnsi="Arial"/>
          <w:sz w:val="14"/>
          <w:szCs w:val="14"/>
          <w:color w:val="auto"/>
        </w:rPr>
        <w:t>The ISO has developed a series of standards for information security and related areas. We’ve received the following ISO certifications:</w:t>
      </w:r>
    </w:p>
    <w:p>
      <w:pPr>
        <w:spacing w:after="0" w:line="121" w:lineRule="exact"/>
        <w:rPr>
          <w:sz w:val="20"/>
          <w:szCs w:val="20"/>
          <w:color w:val="auto"/>
        </w:rPr>
      </w:pPr>
    </w:p>
    <w:p>
      <w:pPr>
        <w:ind w:left="1840" w:hanging="276"/>
        <w:spacing w:after="0"/>
        <w:tabs>
          <w:tab w:leader="none" w:pos="1840" w:val="left"/>
        </w:tabs>
        <w:numPr>
          <w:ilvl w:val="0"/>
          <w:numId w:val="54"/>
        </w:numPr>
        <w:rPr>
          <w:rFonts w:ascii="Arial" w:cs="Arial" w:eastAsia="Arial" w:hAnsi="Arial"/>
          <w:sz w:val="15"/>
          <w:szCs w:val="15"/>
          <w:color w:val="auto"/>
        </w:rPr>
      </w:pPr>
      <w:r>
        <w:rPr>
          <w:rFonts w:ascii="Arial" w:cs="Arial" w:eastAsia="Arial" w:hAnsi="Arial"/>
          <w:sz w:val="15"/>
          <w:szCs w:val="15"/>
          <w:color w:val="auto"/>
        </w:rPr>
        <w:t>ISO 27001 (Information Security Management)</w:t>
      </w:r>
    </w:p>
    <w:p>
      <w:pPr>
        <w:spacing w:after="0" w:line="109" w:lineRule="exact"/>
        <w:rPr>
          <w:rFonts w:ascii="Arial" w:cs="Arial" w:eastAsia="Arial" w:hAnsi="Arial"/>
          <w:sz w:val="15"/>
          <w:szCs w:val="15"/>
          <w:color w:val="auto"/>
        </w:rPr>
      </w:pPr>
    </w:p>
    <w:p>
      <w:pPr>
        <w:ind w:left="1840" w:hanging="276"/>
        <w:spacing w:after="0"/>
        <w:tabs>
          <w:tab w:leader="none" w:pos="1840" w:val="left"/>
        </w:tabs>
        <w:numPr>
          <w:ilvl w:val="0"/>
          <w:numId w:val="54"/>
        </w:numPr>
        <w:rPr>
          <w:rFonts w:ascii="Arial" w:cs="Arial" w:eastAsia="Arial" w:hAnsi="Arial"/>
          <w:sz w:val="15"/>
          <w:szCs w:val="15"/>
          <w:color w:val="auto"/>
        </w:rPr>
      </w:pPr>
      <w:r>
        <w:rPr>
          <w:rFonts w:ascii="Arial" w:cs="Arial" w:eastAsia="Arial" w:hAnsi="Arial"/>
          <w:sz w:val="15"/>
          <w:szCs w:val="15"/>
          <w:color w:val="auto"/>
        </w:rPr>
        <w:t>ISO 27017 (Cloud Security)</w:t>
      </w:r>
    </w:p>
    <w:p>
      <w:pPr>
        <w:spacing w:after="0" w:line="109" w:lineRule="exact"/>
        <w:rPr>
          <w:rFonts w:ascii="Arial" w:cs="Arial" w:eastAsia="Arial" w:hAnsi="Arial"/>
          <w:sz w:val="15"/>
          <w:szCs w:val="15"/>
          <w:color w:val="auto"/>
        </w:rPr>
      </w:pPr>
    </w:p>
    <w:p>
      <w:pPr>
        <w:ind w:left="1840" w:hanging="276"/>
        <w:spacing w:after="0"/>
        <w:tabs>
          <w:tab w:leader="none" w:pos="1840" w:val="left"/>
        </w:tabs>
        <w:numPr>
          <w:ilvl w:val="0"/>
          <w:numId w:val="54"/>
        </w:numPr>
        <w:rPr>
          <w:rFonts w:ascii="Arial" w:cs="Arial" w:eastAsia="Arial" w:hAnsi="Arial"/>
          <w:sz w:val="15"/>
          <w:szCs w:val="15"/>
          <w:color w:val="auto"/>
        </w:rPr>
      </w:pPr>
      <w:r>
        <w:rPr>
          <w:rFonts w:ascii="Arial" w:cs="Arial" w:eastAsia="Arial" w:hAnsi="Arial"/>
          <w:sz w:val="15"/>
          <w:szCs w:val="15"/>
          <w:color w:val="auto"/>
        </w:rPr>
        <w:t>ISO 27018 (Cloud Privacy and Data Protection)</w:t>
      </w:r>
    </w:p>
    <w:p>
      <w:pPr>
        <w:spacing w:after="0" w:line="109" w:lineRule="exact"/>
        <w:rPr>
          <w:rFonts w:ascii="Arial" w:cs="Arial" w:eastAsia="Arial" w:hAnsi="Arial"/>
          <w:sz w:val="15"/>
          <w:szCs w:val="15"/>
          <w:color w:val="auto"/>
        </w:rPr>
      </w:pPr>
    </w:p>
    <w:p>
      <w:pPr>
        <w:ind w:left="1840" w:hanging="276"/>
        <w:spacing w:after="0"/>
        <w:tabs>
          <w:tab w:leader="none" w:pos="1840" w:val="left"/>
        </w:tabs>
        <w:numPr>
          <w:ilvl w:val="0"/>
          <w:numId w:val="54"/>
        </w:numPr>
        <w:rPr>
          <w:rFonts w:ascii="Arial" w:cs="Arial" w:eastAsia="Arial" w:hAnsi="Arial"/>
          <w:sz w:val="15"/>
          <w:szCs w:val="15"/>
          <w:color w:val="auto"/>
        </w:rPr>
      </w:pPr>
      <w:r>
        <w:rPr>
          <w:rFonts w:ascii="Arial" w:cs="Arial" w:eastAsia="Arial" w:hAnsi="Arial"/>
          <w:sz w:val="15"/>
          <w:szCs w:val="15"/>
          <w:color w:val="auto"/>
        </w:rPr>
        <w:t>ISO 22301 (Business Continuity Management)</w:t>
      </w:r>
    </w:p>
    <w:p>
      <w:pPr>
        <w:spacing w:after="0" w:line="188" w:lineRule="exact"/>
        <w:rPr>
          <w:sz w:val="20"/>
          <w:szCs w:val="20"/>
          <w:color w:val="auto"/>
        </w:rPr>
      </w:pPr>
    </w:p>
    <w:p>
      <w:pPr>
        <w:ind w:left="1120" w:firstLine="368"/>
        <w:spacing w:after="0" w:line="255" w:lineRule="auto"/>
        <w:rPr>
          <w:sz w:val="20"/>
          <w:szCs w:val="20"/>
          <w:color w:val="auto"/>
        </w:rPr>
      </w:pPr>
      <w:r>
        <w:rPr>
          <w:rFonts w:ascii="Arial" w:cs="Arial" w:eastAsia="Arial" w:hAnsi="Arial"/>
          <w:sz w:val="15"/>
          <w:szCs w:val="15"/>
          <w:color w:val="auto"/>
        </w:rPr>
        <w:t>We’ve also completed a SOC 1, SOC 2, and SOC 3 examination. Service Organization Controls, or SOC, are standards established by the American Institute of Certified Public Accountants for reporting on internal control environments implemented within an organization. Our datacenter facilities and services providers also regularly undergo ISO 27001, SOC 1, and/or SOC 2 audits to verify their security practices. The ISO 27001 security standard specifies the requirements for establishing, implementing, operating, monitoring, reviewing, maintaining, and improving a documented Information Security Management System within the context of the organization’s overall business risks. This standard addresses confidentiality, access control, vulnerability, and risk assessment.</w:t>
      </w:r>
    </w:p>
    <w:p>
      <w:pPr>
        <w:spacing w:after="0" w:line="164" w:lineRule="exact"/>
        <w:rPr>
          <w:sz w:val="20"/>
          <w:szCs w:val="20"/>
          <w:color w:val="auto"/>
        </w:rPr>
      </w:pPr>
    </w:p>
    <w:p>
      <w:pPr>
        <w:ind w:left="1120" w:right="160" w:firstLine="368"/>
        <w:spacing w:after="0" w:line="275" w:lineRule="auto"/>
        <w:rPr>
          <w:sz w:val="20"/>
          <w:szCs w:val="20"/>
          <w:color w:val="auto"/>
        </w:rPr>
      </w:pPr>
      <w:r>
        <w:rPr>
          <w:rFonts w:ascii="Arial" w:cs="Arial" w:eastAsia="Arial" w:hAnsi="Arial"/>
          <w:sz w:val="14"/>
          <w:szCs w:val="14"/>
          <w:color w:val="auto"/>
        </w:rPr>
        <w:t>In addition, we have CSA STAR Level 1 and Level 2 certifications from the Cloud Security Alliance, or CSA, a security assurance program for cloud services. CSA Security, Trust &amp; Assurance Registry, or STAR, is a free, publicly-accessible registry that offers a security assurance program for cloud services, helping users assess the security posture of cloud providers they currently use or are considering contracting with. CSA STAR Level 2 Certification requires a third-party independent assessment of our security controls based on the requirements of ISO 27001 and the CSA Cloud Controls Matrix, or CCM, v.3.0.1, a set of criteria that measures the capability levels of cloud services. The CSA STAR Level 1 Self-Assessment is a rigorous survey based on CSA’s Consensus Assessments Initiative Questionnaire, which aligns with the CCM, and provides answers to almost 300 questions a cloud customer or a cloud security auditor may ask. We’re also listed in the UK Digital Marketplace for government cloud services procurement under the current framework, known as G-Cloud 9.</w:t>
      </w:r>
    </w:p>
    <w:p>
      <w:pPr>
        <w:spacing w:after="0" w:line="148" w:lineRule="exact"/>
        <w:rPr>
          <w:sz w:val="20"/>
          <w:szCs w:val="20"/>
          <w:color w:val="auto"/>
        </w:rPr>
      </w:pPr>
    </w:p>
    <w:p>
      <w:pPr>
        <w:jc w:val="both"/>
        <w:ind w:left="1120" w:right="280" w:firstLine="368"/>
        <w:spacing w:after="0" w:line="263" w:lineRule="auto"/>
        <w:rPr>
          <w:sz w:val="20"/>
          <w:szCs w:val="20"/>
          <w:color w:val="auto"/>
        </w:rPr>
      </w:pPr>
      <w:r>
        <w:rPr>
          <w:rFonts w:ascii="Arial" w:cs="Arial" w:eastAsia="Arial" w:hAnsi="Arial"/>
          <w:sz w:val="15"/>
          <w:szCs w:val="15"/>
          <w:color w:val="auto"/>
        </w:rPr>
        <w:t>Dropbox supports HIPAA and HITECH compliance. We sign business associate agreements with our customers who require them in order to comply with the Health Insurance Portability and Accountability Act, or HIPAA, and the Health Information Technology for Economic and Clinical Health Act, or HITECH. We also offer a HIPAA assessment report performed by an independent third party.</w:t>
      </w:r>
    </w:p>
    <w:p>
      <w:pPr>
        <w:spacing w:after="0" w:line="245" w:lineRule="exact"/>
        <w:rPr>
          <w:sz w:val="20"/>
          <w:szCs w:val="20"/>
          <w:color w:val="auto"/>
        </w:rPr>
      </w:pPr>
    </w:p>
    <w:p>
      <w:pPr>
        <w:ind w:left="1480"/>
        <w:spacing w:after="0"/>
        <w:rPr>
          <w:sz w:val="20"/>
          <w:szCs w:val="20"/>
          <w:color w:val="auto"/>
        </w:rPr>
      </w:pPr>
      <w:r>
        <w:rPr>
          <w:rFonts w:ascii="Arial" w:cs="Arial" w:eastAsia="Arial" w:hAnsi="Arial"/>
          <w:sz w:val="15"/>
          <w:szCs w:val="15"/>
          <w:b w:val="1"/>
          <w:bCs w:val="1"/>
          <w:i w:val="1"/>
          <w:iCs w:val="1"/>
          <w:color w:val="auto"/>
        </w:rPr>
        <w:t>Privacy</w:t>
      </w:r>
    </w:p>
    <w:p>
      <w:pPr>
        <w:spacing w:after="0" w:line="98" w:lineRule="exact"/>
        <w:rPr>
          <w:sz w:val="20"/>
          <w:szCs w:val="20"/>
          <w:color w:val="auto"/>
        </w:rPr>
      </w:pPr>
    </w:p>
    <w:p>
      <w:pPr>
        <w:ind w:left="1120" w:right="60" w:firstLine="368"/>
        <w:spacing w:after="0" w:line="259" w:lineRule="auto"/>
        <w:rPr>
          <w:sz w:val="20"/>
          <w:szCs w:val="20"/>
          <w:color w:val="auto"/>
        </w:rPr>
      </w:pPr>
      <w:r>
        <w:rPr>
          <w:rFonts w:ascii="Arial" w:cs="Arial" w:eastAsia="Arial" w:hAnsi="Arial"/>
          <w:sz w:val="15"/>
          <w:szCs w:val="15"/>
          <w:color w:val="auto"/>
        </w:rPr>
        <w:t>We’re committed to keeping user data private. Our privacy policy details how users’ information is protected and the steps we take to protect it. Dropbox also has terms and guidelines for third-party developers to create applications that connect to Dropbox while respecting user privacy. Dropbox is certified under the EU-U.S. and Swiss-U.S. Privacy Shield and is working towards compliance with the EU General Data Protection Regulation, or GDPR, framework.</w:t>
      </w:r>
    </w:p>
    <w:p>
      <w:pPr>
        <w:spacing w:after="0" w:line="101" w:lineRule="exact"/>
        <w:rPr>
          <w:sz w:val="20"/>
          <w:szCs w:val="20"/>
          <w:color w:val="auto"/>
        </w:rPr>
      </w:pPr>
    </w:p>
    <w:p>
      <w:pPr>
        <w:ind w:left="5600"/>
        <w:spacing w:after="0"/>
        <w:rPr>
          <w:sz w:val="20"/>
          <w:szCs w:val="20"/>
          <w:color w:val="auto"/>
        </w:rPr>
      </w:pPr>
      <w:r>
        <w:rPr>
          <w:rFonts w:ascii="Arial" w:cs="Arial" w:eastAsia="Arial" w:hAnsi="Arial"/>
          <w:sz w:val="15"/>
          <w:szCs w:val="15"/>
          <w:color w:val="auto"/>
        </w:rPr>
        <w:t>133</w:t>
      </w:r>
    </w:p>
    <w:p>
      <w:pPr>
        <w:sectPr>
          <w:pgSz w:w="11900" w:h="16838" w:orient="portrait"/>
          <w:cols w:equalWidth="0" w:num="1">
            <w:col w:w="10300"/>
          </w:cols>
          <w:pgMar w:left="240" w:top="407" w:right="1359" w:bottom="1440" w:gutter="0" w:footer="0" w:header="0"/>
        </w:sectPr>
      </w:pPr>
    </w:p>
    <w:bookmarkStart w:id="140" w:name="page141"/>
    <w:bookmarkEnd w:id="140"/>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133350</wp:posOffset>
            </wp:positionH>
            <wp:positionV relativeFrom="page">
              <wp:posOffset>88900</wp:posOffset>
            </wp:positionV>
            <wp:extent cx="7308850" cy="3429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308850" cy="34290"/>
                    </a:xfrm>
                    <a:prstGeom prst="rect">
                      <a:avLst/>
                    </a:prstGeom>
                    <a:noFill/>
                  </pic:spPr>
                </pic:pic>
              </a:graphicData>
            </a:graphic>
          </wp:anchor>
        </w:drawing>
      </w:r>
      <w:hyperlink w:anchor="page7">
        <w:r>
          <w:rPr>
            <w:rFonts w:ascii="Arial" w:cs="Arial" w:eastAsia="Arial" w:hAnsi="Arial"/>
            <w:sz w:val="15"/>
            <w:szCs w:val="15"/>
            <w:b w:val="1"/>
            <w:bCs w:val="1"/>
            <w:u w:val="single" w:color="auto"/>
            <w:color w:val="0000EE"/>
          </w:rPr>
          <w:t>Table of Contents</w:t>
        </w:r>
      </w:hyperlink>
    </w:p>
    <w:p>
      <w:pPr>
        <w:spacing w:after="0" w:line="260" w:lineRule="exact"/>
        <w:rPr>
          <w:sz w:val="20"/>
          <w:szCs w:val="20"/>
          <w:color w:val="auto"/>
        </w:rPr>
      </w:pPr>
    </w:p>
    <w:p>
      <w:pPr>
        <w:ind w:left="1120" w:right="400" w:firstLine="368"/>
        <w:spacing w:after="0" w:line="275" w:lineRule="auto"/>
        <w:rPr>
          <w:sz w:val="20"/>
          <w:szCs w:val="20"/>
          <w:color w:val="auto"/>
        </w:rPr>
      </w:pPr>
      <w:r>
        <w:rPr>
          <w:rFonts w:ascii="Arial" w:cs="Arial" w:eastAsia="Arial" w:hAnsi="Arial"/>
          <w:sz w:val="15"/>
          <w:szCs w:val="15"/>
          <w:color w:val="auto"/>
        </w:rPr>
        <w:t>We believe in transparency with our users and have adopted guiding principles regarding how we handle requests from government and law enforcement agencies seeking information about our users and their content. These guiding principles are:</w:t>
      </w:r>
    </w:p>
    <w:p>
      <w:pPr>
        <w:spacing w:after="0" w:line="67" w:lineRule="exact"/>
        <w:rPr>
          <w:sz w:val="20"/>
          <w:szCs w:val="20"/>
          <w:color w:val="auto"/>
        </w:rPr>
      </w:pPr>
    </w:p>
    <w:p>
      <w:pPr>
        <w:ind w:left="1840" w:hanging="276"/>
        <w:spacing w:after="0"/>
        <w:tabs>
          <w:tab w:leader="none" w:pos="1840" w:val="left"/>
        </w:tabs>
        <w:numPr>
          <w:ilvl w:val="0"/>
          <w:numId w:val="55"/>
        </w:numPr>
        <w:rPr>
          <w:rFonts w:ascii="Arial" w:cs="Arial" w:eastAsia="Arial" w:hAnsi="Arial"/>
          <w:sz w:val="15"/>
          <w:szCs w:val="15"/>
          <w:color w:val="auto"/>
        </w:rPr>
      </w:pPr>
      <w:r>
        <w:rPr>
          <w:rFonts w:ascii="Arial" w:cs="Arial" w:eastAsia="Arial" w:hAnsi="Arial"/>
          <w:sz w:val="15"/>
          <w:szCs w:val="15"/>
          <w:i w:val="1"/>
          <w:iCs w:val="1"/>
          <w:color w:val="auto"/>
        </w:rPr>
        <w:t>Be transparent</w:t>
      </w:r>
    </w:p>
    <w:p>
      <w:pPr>
        <w:spacing w:after="0" w:line="109" w:lineRule="exact"/>
        <w:rPr>
          <w:rFonts w:ascii="Arial" w:cs="Arial" w:eastAsia="Arial" w:hAnsi="Arial"/>
          <w:sz w:val="15"/>
          <w:szCs w:val="15"/>
          <w:color w:val="auto"/>
        </w:rPr>
      </w:pPr>
    </w:p>
    <w:p>
      <w:pPr>
        <w:jc w:val="both"/>
        <w:ind w:left="2300" w:right="380" w:hanging="364"/>
        <w:spacing w:after="0" w:line="263" w:lineRule="auto"/>
        <w:tabs>
          <w:tab w:leader="none" w:pos="2300" w:val="left"/>
        </w:tabs>
        <w:numPr>
          <w:ilvl w:val="1"/>
          <w:numId w:val="55"/>
        </w:numPr>
        <w:rPr>
          <w:rFonts w:ascii="Arial" w:cs="Arial" w:eastAsia="Arial" w:hAnsi="Arial"/>
          <w:sz w:val="15"/>
          <w:szCs w:val="15"/>
          <w:color w:val="auto"/>
        </w:rPr>
      </w:pPr>
      <w:r>
        <w:rPr>
          <w:rFonts w:ascii="Arial" w:cs="Arial" w:eastAsia="Arial" w:hAnsi="Arial"/>
          <w:sz w:val="15"/>
          <w:szCs w:val="15"/>
          <w:color w:val="auto"/>
        </w:rPr>
        <w:t>We believe that online services should be allowed to publish the number and types of government requests they receive, and to notify individuals when information about them has been requested. We’ll continue to publish detailed information about these requests and advocate for the right to provide more information.</w:t>
      </w:r>
    </w:p>
    <w:p>
      <w:pPr>
        <w:spacing w:after="0" w:line="75" w:lineRule="exact"/>
        <w:rPr>
          <w:rFonts w:ascii="Arial" w:cs="Arial" w:eastAsia="Arial" w:hAnsi="Arial"/>
          <w:sz w:val="15"/>
          <w:szCs w:val="15"/>
          <w:color w:val="auto"/>
        </w:rPr>
      </w:pPr>
    </w:p>
    <w:p>
      <w:pPr>
        <w:ind w:left="1840" w:hanging="276"/>
        <w:spacing w:after="0"/>
        <w:tabs>
          <w:tab w:leader="none" w:pos="1840" w:val="left"/>
        </w:tabs>
        <w:numPr>
          <w:ilvl w:val="0"/>
          <w:numId w:val="55"/>
        </w:numPr>
        <w:rPr>
          <w:rFonts w:ascii="Arial" w:cs="Arial" w:eastAsia="Arial" w:hAnsi="Arial"/>
          <w:sz w:val="15"/>
          <w:szCs w:val="15"/>
          <w:color w:val="auto"/>
        </w:rPr>
      </w:pPr>
      <w:r>
        <w:rPr>
          <w:rFonts w:ascii="Arial" w:cs="Arial" w:eastAsia="Arial" w:hAnsi="Arial"/>
          <w:sz w:val="15"/>
          <w:szCs w:val="15"/>
          <w:i w:val="1"/>
          <w:iCs w:val="1"/>
          <w:color w:val="auto"/>
        </w:rPr>
        <w:t>Fight overly broad requests</w:t>
      </w:r>
    </w:p>
    <w:p>
      <w:pPr>
        <w:spacing w:after="0" w:line="109" w:lineRule="exact"/>
        <w:rPr>
          <w:rFonts w:ascii="Arial" w:cs="Arial" w:eastAsia="Arial" w:hAnsi="Arial"/>
          <w:sz w:val="15"/>
          <w:szCs w:val="15"/>
          <w:color w:val="auto"/>
        </w:rPr>
      </w:pPr>
    </w:p>
    <w:p>
      <w:pPr>
        <w:ind w:left="2300" w:hanging="364"/>
        <w:spacing w:after="0" w:line="275" w:lineRule="auto"/>
        <w:tabs>
          <w:tab w:leader="none" w:pos="2300" w:val="left"/>
        </w:tabs>
        <w:numPr>
          <w:ilvl w:val="1"/>
          <w:numId w:val="55"/>
        </w:numPr>
        <w:rPr>
          <w:rFonts w:ascii="Arial" w:cs="Arial" w:eastAsia="Arial" w:hAnsi="Arial"/>
          <w:sz w:val="15"/>
          <w:szCs w:val="15"/>
          <w:color w:val="auto"/>
        </w:rPr>
      </w:pPr>
      <w:r>
        <w:rPr>
          <w:rFonts w:ascii="Arial" w:cs="Arial" w:eastAsia="Arial" w:hAnsi="Arial"/>
          <w:sz w:val="15"/>
          <w:szCs w:val="15"/>
          <w:color w:val="auto"/>
        </w:rPr>
        <w:t>We believe that government data requests should be limited in the information they seek and narrowly tailored to specific people and legitimate investigations. We’ll resist blanket and overly broad requests.</w:t>
      </w:r>
    </w:p>
    <w:p>
      <w:pPr>
        <w:spacing w:after="0" w:line="67" w:lineRule="exact"/>
        <w:rPr>
          <w:rFonts w:ascii="Arial" w:cs="Arial" w:eastAsia="Arial" w:hAnsi="Arial"/>
          <w:sz w:val="15"/>
          <w:szCs w:val="15"/>
          <w:color w:val="auto"/>
        </w:rPr>
      </w:pPr>
    </w:p>
    <w:p>
      <w:pPr>
        <w:ind w:left="1840" w:hanging="276"/>
        <w:spacing w:after="0"/>
        <w:tabs>
          <w:tab w:leader="none" w:pos="1840" w:val="left"/>
        </w:tabs>
        <w:numPr>
          <w:ilvl w:val="0"/>
          <w:numId w:val="55"/>
        </w:numPr>
        <w:rPr>
          <w:rFonts w:ascii="Arial" w:cs="Arial" w:eastAsia="Arial" w:hAnsi="Arial"/>
          <w:sz w:val="15"/>
          <w:szCs w:val="15"/>
          <w:color w:val="auto"/>
        </w:rPr>
      </w:pPr>
      <w:r>
        <w:rPr>
          <w:rFonts w:ascii="Arial" w:cs="Arial" w:eastAsia="Arial" w:hAnsi="Arial"/>
          <w:sz w:val="15"/>
          <w:szCs w:val="15"/>
          <w:i w:val="1"/>
          <w:iCs w:val="1"/>
          <w:color w:val="auto"/>
        </w:rPr>
        <w:t>Provide trusted services</w:t>
      </w:r>
    </w:p>
    <w:p>
      <w:pPr>
        <w:spacing w:after="0" w:line="109" w:lineRule="exact"/>
        <w:rPr>
          <w:rFonts w:ascii="Arial" w:cs="Arial" w:eastAsia="Arial" w:hAnsi="Arial"/>
          <w:sz w:val="15"/>
          <w:szCs w:val="15"/>
          <w:color w:val="auto"/>
        </w:rPr>
      </w:pPr>
    </w:p>
    <w:p>
      <w:pPr>
        <w:ind w:left="2300" w:right="200" w:hanging="364"/>
        <w:spacing w:after="0" w:line="312" w:lineRule="auto"/>
        <w:tabs>
          <w:tab w:leader="none" w:pos="2300" w:val="left"/>
        </w:tabs>
        <w:numPr>
          <w:ilvl w:val="1"/>
          <w:numId w:val="55"/>
        </w:numPr>
        <w:rPr>
          <w:rFonts w:ascii="Arial" w:cs="Arial" w:eastAsia="Arial" w:hAnsi="Arial"/>
          <w:sz w:val="14"/>
          <w:szCs w:val="14"/>
          <w:color w:val="auto"/>
        </w:rPr>
      </w:pPr>
      <w:r>
        <w:rPr>
          <w:rFonts w:ascii="Arial" w:cs="Arial" w:eastAsia="Arial" w:hAnsi="Arial"/>
          <w:sz w:val="14"/>
          <w:szCs w:val="14"/>
          <w:color w:val="auto"/>
        </w:rPr>
        <w:t>We believe that governments should never install backdoors into online services or compromise infrastructure to obtain user data. We’ll continue to work to protect our systems and to change laws to make it clear that this type of activity is illegal.</w:t>
      </w:r>
    </w:p>
    <w:p>
      <w:pPr>
        <w:spacing w:after="0" w:line="43" w:lineRule="exact"/>
        <w:rPr>
          <w:rFonts w:ascii="Arial" w:cs="Arial" w:eastAsia="Arial" w:hAnsi="Arial"/>
          <w:sz w:val="14"/>
          <w:szCs w:val="14"/>
          <w:color w:val="auto"/>
        </w:rPr>
      </w:pPr>
    </w:p>
    <w:p>
      <w:pPr>
        <w:ind w:left="1840" w:hanging="276"/>
        <w:spacing w:after="0"/>
        <w:tabs>
          <w:tab w:leader="none" w:pos="1840" w:val="left"/>
        </w:tabs>
        <w:numPr>
          <w:ilvl w:val="0"/>
          <w:numId w:val="55"/>
        </w:numPr>
        <w:rPr>
          <w:rFonts w:ascii="Arial" w:cs="Arial" w:eastAsia="Arial" w:hAnsi="Arial"/>
          <w:sz w:val="15"/>
          <w:szCs w:val="15"/>
          <w:color w:val="auto"/>
        </w:rPr>
      </w:pPr>
      <w:r>
        <w:rPr>
          <w:rFonts w:ascii="Arial" w:cs="Arial" w:eastAsia="Arial" w:hAnsi="Arial"/>
          <w:sz w:val="15"/>
          <w:szCs w:val="15"/>
          <w:i w:val="1"/>
          <w:iCs w:val="1"/>
          <w:color w:val="auto"/>
        </w:rPr>
        <w:t>Protect all users</w:t>
      </w:r>
    </w:p>
    <w:p>
      <w:pPr>
        <w:spacing w:after="0" w:line="109" w:lineRule="exact"/>
        <w:rPr>
          <w:rFonts w:ascii="Arial" w:cs="Arial" w:eastAsia="Arial" w:hAnsi="Arial"/>
          <w:sz w:val="15"/>
          <w:szCs w:val="15"/>
          <w:color w:val="auto"/>
        </w:rPr>
      </w:pPr>
    </w:p>
    <w:p>
      <w:pPr>
        <w:ind w:left="2300" w:hanging="364"/>
        <w:spacing w:after="0" w:line="290" w:lineRule="auto"/>
        <w:tabs>
          <w:tab w:leader="none" w:pos="2300" w:val="left"/>
        </w:tabs>
        <w:numPr>
          <w:ilvl w:val="1"/>
          <w:numId w:val="55"/>
        </w:numPr>
        <w:rPr>
          <w:rFonts w:ascii="Arial" w:cs="Arial" w:eastAsia="Arial" w:hAnsi="Arial"/>
          <w:sz w:val="14"/>
          <w:szCs w:val="14"/>
          <w:color w:val="auto"/>
        </w:rPr>
      </w:pPr>
      <w:r>
        <w:rPr>
          <w:rFonts w:ascii="Arial" w:cs="Arial" w:eastAsia="Arial" w:hAnsi="Arial"/>
          <w:sz w:val="14"/>
          <w:szCs w:val="14"/>
          <w:color w:val="auto"/>
        </w:rPr>
        <w:t>We believe that laws that give people different protections based on where they live or their citizenship are antiquated and don’t reflect the global nature of online services. We’re committed to providing the same level of protection to all of our users. That means that we use our guiding principles to scrutinize all the requests we receive, regardless of the origin of the request or user.</w:t>
      </w:r>
    </w:p>
    <w:p>
      <w:pPr>
        <w:spacing w:after="0" w:line="224" w:lineRule="exact"/>
        <w:rPr>
          <w:sz w:val="20"/>
          <w:szCs w:val="20"/>
          <w:color w:val="auto"/>
        </w:rPr>
      </w:pPr>
    </w:p>
    <w:p>
      <w:pPr>
        <w:ind w:left="1120"/>
        <w:spacing w:after="0"/>
        <w:rPr>
          <w:sz w:val="20"/>
          <w:szCs w:val="20"/>
          <w:color w:val="auto"/>
        </w:rPr>
      </w:pPr>
      <w:r>
        <w:rPr>
          <w:rFonts w:ascii="Arial" w:cs="Arial" w:eastAsia="Arial" w:hAnsi="Arial"/>
          <w:sz w:val="15"/>
          <w:szCs w:val="15"/>
          <w:b w:val="1"/>
          <w:bCs w:val="1"/>
          <w:color w:val="auto"/>
        </w:rPr>
        <w:t>Our Competition</w:t>
      </w:r>
    </w:p>
    <w:p>
      <w:pPr>
        <w:spacing w:after="0" w:line="102" w:lineRule="exact"/>
        <w:rPr>
          <w:sz w:val="20"/>
          <w:szCs w:val="20"/>
          <w:color w:val="auto"/>
        </w:rPr>
      </w:pPr>
    </w:p>
    <w:p>
      <w:pPr>
        <w:ind w:left="1120" w:right="40" w:firstLine="368"/>
        <w:spacing w:after="0" w:line="283" w:lineRule="auto"/>
        <w:rPr>
          <w:sz w:val="20"/>
          <w:szCs w:val="20"/>
          <w:color w:val="auto"/>
        </w:rPr>
      </w:pPr>
      <w:r>
        <w:rPr>
          <w:rFonts w:ascii="Arial" w:cs="Arial" w:eastAsia="Arial" w:hAnsi="Arial"/>
          <w:sz w:val="14"/>
          <w:szCs w:val="14"/>
          <w:color w:val="auto"/>
        </w:rPr>
        <w:t>The market for content collaboration platforms is competitive and rapidly changing. Certain features of our platform compete in the cloud storage market with products offered by Amazon, Apple, Google, and Microsoft, and in the content collaboration market with products offered by Atlassian, Google, and Microsoft. We compete with Box on a more limited basis in the cloud storage market for deployments by large enterprises. We also compete with smaller private companies that offer point solutions in the cloud storage market or the content collaboration market.</w:t>
      </w:r>
    </w:p>
    <w:p>
      <w:pPr>
        <w:spacing w:after="0" w:line="143" w:lineRule="exact"/>
        <w:rPr>
          <w:sz w:val="20"/>
          <w:szCs w:val="20"/>
          <w:color w:val="auto"/>
        </w:rPr>
      </w:pPr>
    </w:p>
    <w:p>
      <w:pPr>
        <w:ind w:left="1480"/>
        <w:spacing w:after="0"/>
        <w:rPr>
          <w:sz w:val="20"/>
          <w:szCs w:val="20"/>
          <w:color w:val="auto"/>
        </w:rPr>
      </w:pPr>
      <w:r>
        <w:rPr>
          <w:rFonts w:ascii="Arial" w:cs="Arial" w:eastAsia="Arial" w:hAnsi="Arial"/>
          <w:sz w:val="15"/>
          <w:szCs w:val="15"/>
          <w:color w:val="auto"/>
        </w:rPr>
        <w:t>We believe that the principal competitive factors in our markets include the following:</w:t>
      </w:r>
    </w:p>
    <w:p>
      <w:pPr>
        <w:spacing w:after="0" w:line="109" w:lineRule="exact"/>
        <w:rPr>
          <w:sz w:val="20"/>
          <w:szCs w:val="20"/>
          <w:color w:val="auto"/>
        </w:rPr>
      </w:pPr>
    </w:p>
    <w:p>
      <w:pPr>
        <w:ind w:left="1840" w:hanging="276"/>
        <w:spacing w:after="0"/>
        <w:tabs>
          <w:tab w:leader="none" w:pos="1840" w:val="left"/>
        </w:tabs>
        <w:numPr>
          <w:ilvl w:val="0"/>
          <w:numId w:val="56"/>
        </w:numPr>
        <w:rPr>
          <w:rFonts w:ascii="Arial" w:cs="Arial" w:eastAsia="Arial" w:hAnsi="Arial"/>
          <w:sz w:val="15"/>
          <w:szCs w:val="15"/>
          <w:color w:val="auto"/>
        </w:rPr>
      </w:pPr>
      <w:r>
        <w:rPr>
          <w:rFonts w:ascii="Arial" w:cs="Arial" w:eastAsia="Arial" w:hAnsi="Arial"/>
          <w:sz w:val="15"/>
          <w:szCs w:val="15"/>
          <w:color w:val="auto"/>
        </w:rPr>
        <w:t>user-centric design;</w:t>
      </w:r>
    </w:p>
    <w:p>
      <w:pPr>
        <w:spacing w:after="0" w:line="109" w:lineRule="exact"/>
        <w:rPr>
          <w:rFonts w:ascii="Arial" w:cs="Arial" w:eastAsia="Arial" w:hAnsi="Arial"/>
          <w:sz w:val="15"/>
          <w:szCs w:val="15"/>
          <w:color w:val="auto"/>
        </w:rPr>
      </w:pPr>
    </w:p>
    <w:p>
      <w:pPr>
        <w:ind w:left="1840" w:hanging="276"/>
        <w:spacing w:after="0"/>
        <w:tabs>
          <w:tab w:leader="none" w:pos="1840" w:val="left"/>
        </w:tabs>
        <w:numPr>
          <w:ilvl w:val="0"/>
          <w:numId w:val="56"/>
        </w:numPr>
        <w:rPr>
          <w:rFonts w:ascii="Arial" w:cs="Arial" w:eastAsia="Arial" w:hAnsi="Arial"/>
          <w:sz w:val="15"/>
          <w:szCs w:val="15"/>
          <w:color w:val="auto"/>
        </w:rPr>
      </w:pPr>
      <w:r>
        <w:rPr>
          <w:rFonts w:ascii="Arial" w:cs="Arial" w:eastAsia="Arial" w:hAnsi="Arial"/>
          <w:sz w:val="15"/>
          <w:szCs w:val="15"/>
          <w:color w:val="auto"/>
        </w:rPr>
        <w:t>ease of adoption and use;</w:t>
      </w:r>
    </w:p>
    <w:p>
      <w:pPr>
        <w:spacing w:after="0" w:line="109" w:lineRule="exact"/>
        <w:rPr>
          <w:rFonts w:ascii="Arial" w:cs="Arial" w:eastAsia="Arial" w:hAnsi="Arial"/>
          <w:sz w:val="15"/>
          <w:szCs w:val="15"/>
          <w:color w:val="auto"/>
        </w:rPr>
      </w:pPr>
    </w:p>
    <w:p>
      <w:pPr>
        <w:ind w:left="1840" w:hanging="276"/>
        <w:spacing w:after="0"/>
        <w:tabs>
          <w:tab w:leader="none" w:pos="1840" w:val="left"/>
        </w:tabs>
        <w:numPr>
          <w:ilvl w:val="0"/>
          <w:numId w:val="56"/>
        </w:numPr>
        <w:rPr>
          <w:rFonts w:ascii="Arial" w:cs="Arial" w:eastAsia="Arial" w:hAnsi="Arial"/>
          <w:sz w:val="15"/>
          <w:szCs w:val="15"/>
          <w:color w:val="auto"/>
        </w:rPr>
      </w:pPr>
      <w:r>
        <w:rPr>
          <w:rFonts w:ascii="Arial" w:cs="Arial" w:eastAsia="Arial" w:hAnsi="Arial"/>
          <w:sz w:val="15"/>
          <w:szCs w:val="15"/>
          <w:color w:val="auto"/>
        </w:rPr>
        <w:t>scale of user network;</w:t>
      </w:r>
    </w:p>
    <w:p>
      <w:pPr>
        <w:spacing w:after="0" w:line="109" w:lineRule="exact"/>
        <w:rPr>
          <w:rFonts w:ascii="Arial" w:cs="Arial" w:eastAsia="Arial" w:hAnsi="Arial"/>
          <w:sz w:val="15"/>
          <w:szCs w:val="15"/>
          <w:color w:val="auto"/>
        </w:rPr>
      </w:pPr>
    </w:p>
    <w:p>
      <w:pPr>
        <w:ind w:left="1840" w:hanging="276"/>
        <w:spacing w:after="0"/>
        <w:tabs>
          <w:tab w:leader="none" w:pos="1840" w:val="left"/>
        </w:tabs>
        <w:numPr>
          <w:ilvl w:val="0"/>
          <w:numId w:val="56"/>
        </w:numPr>
        <w:rPr>
          <w:rFonts w:ascii="Arial" w:cs="Arial" w:eastAsia="Arial" w:hAnsi="Arial"/>
          <w:sz w:val="15"/>
          <w:szCs w:val="15"/>
          <w:color w:val="auto"/>
        </w:rPr>
      </w:pPr>
      <w:r>
        <w:rPr>
          <w:rFonts w:ascii="Arial" w:cs="Arial" w:eastAsia="Arial" w:hAnsi="Arial"/>
          <w:sz w:val="15"/>
          <w:szCs w:val="15"/>
          <w:color w:val="auto"/>
        </w:rPr>
        <w:t>features and platform experience;</w:t>
      </w:r>
    </w:p>
    <w:p>
      <w:pPr>
        <w:spacing w:after="0" w:line="109" w:lineRule="exact"/>
        <w:rPr>
          <w:rFonts w:ascii="Arial" w:cs="Arial" w:eastAsia="Arial" w:hAnsi="Arial"/>
          <w:sz w:val="15"/>
          <w:szCs w:val="15"/>
          <w:color w:val="auto"/>
        </w:rPr>
      </w:pPr>
    </w:p>
    <w:p>
      <w:pPr>
        <w:ind w:left="1840" w:hanging="276"/>
        <w:spacing w:after="0"/>
        <w:tabs>
          <w:tab w:leader="none" w:pos="1840" w:val="left"/>
        </w:tabs>
        <w:numPr>
          <w:ilvl w:val="0"/>
          <w:numId w:val="56"/>
        </w:numPr>
        <w:rPr>
          <w:rFonts w:ascii="Arial" w:cs="Arial" w:eastAsia="Arial" w:hAnsi="Arial"/>
          <w:sz w:val="15"/>
          <w:szCs w:val="15"/>
          <w:color w:val="auto"/>
        </w:rPr>
      </w:pPr>
      <w:r>
        <w:rPr>
          <w:rFonts w:ascii="Arial" w:cs="Arial" w:eastAsia="Arial" w:hAnsi="Arial"/>
          <w:sz w:val="15"/>
          <w:szCs w:val="15"/>
          <w:color w:val="auto"/>
        </w:rPr>
        <w:t>performance;</w:t>
      </w:r>
    </w:p>
    <w:p>
      <w:pPr>
        <w:spacing w:after="0" w:line="109" w:lineRule="exact"/>
        <w:rPr>
          <w:rFonts w:ascii="Arial" w:cs="Arial" w:eastAsia="Arial" w:hAnsi="Arial"/>
          <w:sz w:val="15"/>
          <w:szCs w:val="15"/>
          <w:color w:val="auto"/>
        </w:rPr>
      </w:pPr>
    </w:p>
    <w:p>
      <w:pPr>
        <w:ind w:left="1840" w:hanging="276"/>
        <w:spacing w:after="0"/>
        <w:tabs>
          <w:tab w:leader="none" w:pos="1840" w:val="left"/>
        </w:tabs>
        <w:numPr>
          <w:ilvl w:val="0"/>
          <w:numId w:val="56"/>
        </w:numPr>
        <w:rPr>
          <w:rFonts w:ascii="Arial" w:cs="Arial" w:eastAsia="Arial" w:hAnsi="Arial"/>
          <w:sz w:val="15"/>
          <w:szCs w:val="15"/>
          <w:color w:val="auto"/>
        </w:rPr>
      </w:pPr>
      <w:r>
        <w:rPr>
          <w:rFonts w:ascii="Arial" w:cs="Arial" w:eastAsia="Arial" w:hAnsi="Arial"/>
          <w:sz w:val="15"/>
          <w:szCs w:val="15"/>
          <w:color w:val="auto"/>
        </w:rPr>
        <w:t>brand;</w:t>
      </w:r>
    </w:p>
    <w:p>
      <w:pPr>
        <w:spacing w:after="0" w:line="109" w:lineRule="exact"/>
        <w:rPr>
          <w:rFonts w:ascii="Arial" w:cs="Arial" w:eastAsia="Arial" w:hAnsi="Arial"/>
          <w:sz w:val="15"/>
          <w:szCs w:val="15"/>
          <w:color w:val="auto"/>
        </w:rPr>
      </w:pPr>
    </w:p>
    <w:p>
      <w:pPr>
        <w:ind w:left="1840" w:hanging="276"/>
        <w:spacing w:after="0"/>
        <w:tabs>
          <w:tab w:leader="none" w:pos="1840" w:val="left"/>
        </w:tabs>
        <w:numPr>
          <w:ilvl w:val="0"/>
          <w:numId w:val="56"/>
        </w:numPr>
        <w:rPr>
          <w:rFonts w:ascii="Arial" w:cs="Arial" w:eastAsia="Arial" w:hAnsi="Arial"/>
          <w:sz w:val="15"/>
          <w:szCs w:val="15"/>
          <w:color w:val="auto"/>
        </w:rPr>
      </w:pPr>
      <w:r>
        <w:rPr>
          <w:rFonts w:ascii="Arial" w:cs="Arial" w:eastAsia="Arial" w:hAnsi="Arial"/>
          <w:sz w:val="15"/>
          <w:szCs w:val="15"/>
          <w:color w:val="auto"/>
        </w:rPr>
        <w:t>security and privacy;</w:t>
      </w:r>
    </w:p>
    <w:p>
      <w:pPr>
        <w:spacing w:after="0" w:line="109" w:lineRule="exact"/>
        <w:rPr>
          <w:rFonts w:ascii="Arial" w:cs="Arial" w:eastAsia="Arial" w:hAnsi="Arial"/>
          <w:sz w:val="15"/>
          <w:szCs w:val="15"/>
          <w:color w:val="auto"/>
        </w:rPr>
      </w:pPr>
    </w:p>
    <w:p>
      <w:pPr>
        <w:ind w:left="1840" w:hanging="276"/>
        <w:spacing w:after="0"/>
        <w:tabs>
          <w:tab w:leader="none" w:pos="1840" w:val="left"/>
        </w:tabs>
        <w:numPr>
          <w:ilvl w:val="0"/>
          <w:numId w:val="56"/>
        </w:numPr>
        <w:rPr>
          <w:rFonts w:ascii="Arial" w:cs="Arial" w:eastAsia="Arial" w:hAnsi="Arial"/>
          <w:sz w:val="15"/>
          <w:szCs w:val="15"/>
          <w:color w:val="auto"/>
        </w:rPr>
      </w:pPr>
      <w:r>
        <w:rPr>
          <w:rFonts w:ascii="Arial" w:cs="Arial" w:eastAsia="Arial" w:hAnsi="Arial"/>
          <w:sz w:val="15"/>
          <w:szCs w:val="15"/>
          <w:color w:val="auto"/>
        </w:rPr>
        <w:t>accessibility across several devices, operating systems, and applications;</w:t>
      </w:r>
    </w:p>
    <w:p>
      <w:pPr>
        <w:spacing w:after="0" w:line="109" w:lineRule="exact"/>
        <w:rPr>
          <w:rFonts w:ascii="Arial" w:cs="Arial" w:eastAsia="Arial" w:hAnsi="Arial"/>
          <w:sz w:val="15"/>
          <w:szCs w:val="15"/>
          <w:color w:val="auto"/>
        </w:rPr>
      </w:pPr>
    </w:p>
    <w:p>
      <w:pPr>
        <w:ind w:left="1840" w:hanging="276"/>
        <w:spacing w:after="0"/>
        <w:tabs>
          <w:tab w:leader="none" w:pos="1840" w:val="left"/>
        </w:tabs>
        <w:numPr>
          <w:ilvl w:val="0"/>
          <w:numId w:val="56"/>
        </w:numPr>
        <w:rPr>
          <w:rFonts w:ascii="Arial" w:cs="Arial" w:eastAsia="Arial" w:hAnsi="Arial"/>
          <w:sz w:val="15"/>
          <w:szCs w:val="15"/>
          <w:color w:val="auto"/>
        </w:rPr>
      </w:pPr>
      <w:r>
        <w:rPr>
          <w:rFonts w:ascii="Arial" w:cs="Arial" w:eastAsia="Arial" w:hAnsi="Arial"/>
          <w:sz w:val="15"/>
          <w:szCs w:val="15"/>
          <w:color w:val="auto"/>
        </w:rPr>
        <w:t>third-party integration;</w:t>
      </w:r>
    </w:p>
    <w:p>
      <w:pPr>
        <w:spacing w:after="0" w:line="109" w:lineRule="exact"/>
        <w:rPr>
          <w:rFonts w:ascii="Arial" w:cs="Arial" w:eastAsia="Arial" w:hAnsi="Arial"/>
          <w:sz w:val="15"/>
          <w:szCs w:val="15"/>
          <w:color w:val="auto"/>
        </w:rPr>
      </w:pPr>
    </w:p>
    <w:p>
      <w:pPr>
        <w:ind w:left="1840" w:hanging="276"/>
        <w:spacing w:after="0"/>
        <w:tabs>
          <w:tab w:leader="none" w:pos="1840" w:val="left"/>
        </w:tabs>
        <w:numPr>
          <w:ilvl w:val="0"/>
          <w:numId w:val="56"/>
        </w:numPr>
        <w:rPr>
          <w:rFonts w:ascii="Arial" w:cs="Arial" w:eastAsia="Arial" w:hAnsi="Arial"/>
          <w:sz w:val="15"/>
          <w:szCs w:val="15"/>
          <w:color w:val="auto"/>
        </w:rPr>
      </w:pPr>
      <w:r>
        <w:rPr>
          <w:rFonts w:ascii="Arial" w:cs="Arial" w:eastAsia="Arial" w:hAnsi="Arial"/>
          <w:sz w:val="15"/>
          <w:szCs w:val="15"/>
          <w:color w:val="auto"/>
        </w:rPr>
        <w:t>customer support;</w:t>
      </w:r>
    </w:p>
    <w:p>
      <w:pPr>
        <w:spacing w:after="0" w:line="132" w:lineRule="exact"/>
        <w:rPr>
          <w:sz w:val="20"/>
          <w:szCs w:val="20"/>
          <w:color w:val="auto"/>
        </w:rPr>
      </w:pPr>
    </w:p>
    <w:p>
      <w:pPr>
        <w:ind w:left="5600"/>
        <w:spacing w:after="0"/>
        <w:rPr>
          <w:sz w:val="20"/>
          <w:szCs w:val="20"/>
          <w:color w:val="auto"/>
        </w:rPr>
      </w:pPr>
      <w:r>
        <w:rPr>
          <w:rFonts w:ascii="Arial" w:cs="Arial" w:eastAsia="Arial" w:hAnsi="Arial"/>
          <w:sz w:val="15"/>
          <w:szCs w:val="15"/>
          <w:color w:val="auto"/>
        </w:rPr>
        <w:t>134</w:t>
      </w:r>
    </w:p>
    <w:p>
      <w:pPr>
        <w:sectPr>
          <w:pgSz w:w="11900" w:h="16838" w:orient="portrait"/>
          <w:cols w:equalWidth="0" w:num="1">
            <w:col w:w="10300"/>
          </w:cols>
          <w:pgMar w:left="240" w:top="407" w:right="1359" w:bottom="1440" w:gutter="0" w:footer="0" w:header="0"/>
        </w:sectPr>
      </w:pPr>
    </w:p>
    <w:bookmarkStart w:id="141" w:name="page142"/>
    <w:bookmarkEnd w:id="141"/>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133350</wp:posOffset>
            </wp:positionH>
            <wp:positionV relativeFrom="page">
              <wp:posOffset>88900</wp:posOffset>
            </wp:positionV>
            <wp:extent cx="7308850" cy="3429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308850" cy="34290"/>
                    </a:xfrm>
                    <a:prstGeom prst="rect">
                      <a:avLst/>
                    </a:prstGeom>
                    <a:noFill/>
                  </pic:spPr>
                </pic:pic>
              </a:graphicData>
            </a:graphic>
          </wp:anchor>
        </w:drawing>
      </w:r>
      <w:hyperlink w:anchor="page7">
        <w:r>
          <w:rPr>
            <w:rFonts w:ascii="Arial" w:cs="Arial" w:eastAsia="Arial" w:hAnsi="Arial"/>
            <w:sz w:val="15"/>
            <w:szCs w:val="15"/>
            <w:b w:val="1"/>
            <w:bCs w:val="1"/>
            <w:u w:val="single" w:color="auto"/>
            <w:color w:val="0000EE"/>
          </w:rPr>
          <w:t>Table of Contents</w:t>
        </w:r>
      </w:hyperlink>
    </w:p>
    <w:p>
      <w:pPr>
        <w:spacing w:after="0" w:line="260" w:lineRule="exact"/>
        <w:rPr>
          <w:sz w:val="20"/>
          <w:szCs w:val="20"/>
          <w:color w:val="auto"/>
        </w:rPr>
      </w:pPr>
    </w:p>
    <w:p>
      <w:pPr>
        <w:ind w:left="1840" w:hanging="276"/>
        <w:spacing w:after="0"/>
        <w:tabs>
          <w:tab w:leader="none" w:pos="1840" w:val="left"/>
        </w:tabs>
        <w:numPr>
          <w:ilvl w:val="0"/>
          <w:numId w:val="57"/>
        </w:numPr>
        <w:rPr>
          <w:rFonts w:ascii="Arial" w:cs="Arial" w:eastAsia="Arial" w:hAnsi="Arial"/>
          <w:sz w:val="15"/>
          <w:szCs w:val="15"/>
          <w:color w:val="auto"/>
        </w:rPr>
      </w:pPr>
      <w:r>
        <w:rPr>
          <w:rFonts w:ascii="Arial" w:cs="Arial" w:eastAsia="Arial" w:hAnsi="Arial"/>
          <w:sz w:val="15"/>
          <w:szCs w:val="15"/>
          <w:color w:val="auto"/>
        </w:rPr>
        <w:t>continued innovation; and</w:t>
      </w:r>
    </w:p>
    <w:p>
      <w:pPr>
        <w:spacing w:after="0" w:line="109" w:lineRule="exact"/>
        <w:rPr>
          <w:rFonts w:ascii="Arial" w:cs="Arial" w:eastAsia="Arial" w:hAnsi="Arial"/>
          <w:sz w:val="15"/>
          <w:szCs w:val="15"/>
          <w:color w:val="auto"/>
        </w:rPr>
      </w:pPr>
    </w:p>
    <w:p>
      <w:pPr>
        <w:ind w:left="1840" w:hanging="276"/>
        <w:spacing w:after="0"/>
        <w:tabs>
          <w:tab w:leader="none" w:pos="1840" w:val="left"/>
        </w:tabs>
        <w:numPr>
          <w:ilvl w:val="0"/>
          <w:numId w:val="57"/>
        </w:numPr>
        <w:rPr>
          <w:rFonts w:ascii="Arial" w:cs="Arial" w:eastAsia="Arial" w:hAnsi="Arial"/>
          <w:sz w:val="15"/>
          <w:szCs w:val="15"/>
          <w:color w:val="auto"/>
        </w:rPr>
      </w:pPr>
      <w:r>
        <w:rPr>
          <w:rFonts w:ascii="Arial" w:cs="Arial" w:eastAsia="Arial" w:hAnsi="Arial"/>
          <w:sz w:val="15"/>
          <w:szCs w:val="15"/>
          <w:color w:val="auto"/>
        </w:rPr>
        <w:t>pricing.</w:t>
      </w:r>
    </w:p>
    <w:p>
      <w:pPr>
        <w:spacing w:after="0" w:line="188" w:lineRule="exact"/>
        <w:rPr>
          <w:sz w:val="20"/>
          <w:szCs w:val="20"/>
          <w:color w:val="auto"/>
        </w:rPr>
      </w:pPr>
    </w:p>
    <w:p>
      <w:pPr>
        <w:ind w:left="1120" w:right="160" w:firstLine="368"/>
        <w:spacing w:after="0" w:line="259" w:lineRule="auto"/>
        <w:rPr>
          <w:sz w:val="20"/>
          <w:szCs w:val="20"/>
          <w:color w:val="auto"/>
        </w:rPr>
      </w:pPr>
      <w:r>
        <w:rPr>
          <w:rFonts w:ascii="Arial" w:cs="Arial" w:eastAsia="Arial" w:hAnsi="Arial"/>
          <w:sz w:val="15"/>
          <w:szCs w:val="15"/>
          <w:color w:val="auto"/>
        </w:rPr>
        <w:t>We believe we compete favorably across these factors and are largely unhindered by legacy constraints. However, some of our competitors may have greater name recognition, longer operating histories, more varied services, the ability to bundle a broader range of products and services, larger marketing budgets, established marketing relationships, access to larger user bases, major distribution agreements with hardware manufacturers and resellers, and greater financial, technical, and other resources.</w:t>
      </w:r>
    </w:p>
    <w:p>
      <w:pPr>
        <w:spacing w:after="0" w:line="244" w:lineRule="exact"/>
        <w:rPr>
          <w:sz w:val="20"/>
          <w:szCs w:val="20"/>
          <w:color w:val="auto"/>
        </w:rPr>
      </w:pPr>
    </w:p>
    <w:p>
      <w:pPr>
        <w:ind w:left="1120"/>
        <w:spacing w:after="0"/>
        <w:rPr>
          <w:sz w:val="20"/>
          <w:szCs w:val="20"/>
          <w:color w:val="auto"/>
        </w:rPr>
      </w:pPr>
      <w:r>
        <w:rPr>
          <w:rFonts w:ascii="Arial" w:cs="Arial" w:eastAsia="Arial" w:hAnsi="Arial"/>
          <w:sz w:val="15"/>
          <w:szCs w:val="15"/>
          <w:b w:val="1"/>
          <w:bCs w:val="1"/>
          <w:color w:val="auto"/>
        </w:rPr>
        <w:t>Intellectual Property</w:t>
      </w:r>
    </w:p>
    <w:p>
      <w:pPr>
        <w:spacing w:after="0" w:line="102" w:lineRule="exact"/>
        <w:rPr>
          <w:sz w:val="20"/>
          <w:szCs w:val="20"/>
          <w:color w:val="auto"/>
        </w:rPr>
      </w:pPr>
    </w:p>
    <w:p>
      <w:pPr>
        <w:ind w:left="1120" w:right="260" w:firstLine="368"/>
        <w:spacing w:after="0" w:line="283" w:lineRule="auto"/>
        <w:rPr>
          <w:sz w:val="20"/>
          <w:szCs w:val="20"/>
          <w:color w:val="auto"/>
        </w:rPr>
      </w:pPr>
      <w:r>
        <w:rPr>
          <w:rFonts w:ascii="Arial" w:cs="Arial" w:eastAsia="Arial" w:hAnsi="Arial"/>
          <w:sz w:val="14"/>
          <w:szCs w:val="14"/>
          <w:color w:val="auto"/>
        </w:rPr>
        <w:t>We believe that our intellectual property rights are valuable and important to our business. We rely on patents, patent applications, trademarks, copyrights, trade secrets, know-how license agreements, confidentiality procedures, non-disclosure agreements, employee disclosure and invention assignment agreements, and other contractual rights to establish and protect our proprietary rights. In addition, from time to time we’ve purchased patents, inbound licenses, trademarks, domain names, and patent applications from third parties.</w:t>
      </w:r>
    </w:p>
    <w:p>
      <w:pPr>
        <w:spacing w:after="0" w:line="143" w:lineRule="exact"/>
        <w:rPr>
          <w:sz w:val="20"/>
          <w:szCs w:val="20"/>
          <w:color w:val="auto"/>
        </w:rPr>
      </w:pPr>
    </w:p>
    <w:p>
      <w:pPr>
        <w:ind w:left="1120" w:firstLine="368"/>
        <w:spacing w:after="0" w:line="263" w:lineRule="auto"/>
        <w:rPr>
          <w:sz w:val="20"/>
          <w:szCs w:val="20"/>
          <w:color w:val="auto"/>
        </w:rPr>
      </w:pPr>
      <w:r>
        <w:rPr>
          <w:rFonts w:ascii="Arial" w:cs="Arial" w:eastAsia="Arial" w:hAnsi="Arial"/>
          <w:sz w:val="15"/>
          <w:szCs w:val="15"/>
          <w:color w:val="auto"/>
        </w:rPr>
        <w:t>We have over 600 issued patents and more than 600 pending patent applications in the United States and abroad. These patents and patent applications seek to protect our proprietary inventions relevant to our business. In addition, we have a large number of inbound licenses to key patents in the file collaboration, storage, syncing, and sharing markets.</w:t>
      </w:r>
    </w:p>
    <w:p>
      <w:pPr>
        <w:spacing w:after="0" w:line="155" w:lineRule="exact"/>
        <w:rPr>
          <w:sz w:val="20"/>
          <w:szCs w:val="20"/>
          <w:color w:val="auto"/>
        </w:rPr>
      </w:pPr>
    </w:p>
    <w:p>
      <w:pPr>
        <w:ind w:left="1120" w:right="220" w:firstLine="368"/>
        <w:spacing w:after="0" w:line="263" w:lineRule="auto"/>
        <w:rPr>
          <w:sz w:val="20"/>
          <w:szCs w:val="20"/>
          <w:color w:val="auto"/>
        </w:rPr>
      </w:pPr>
      <w:r>
        <w:rPr>
          <w:rFonts w:ascii="Arial" w:cs="Arial" w:eastAsia="Arial" w:hAnsi="Arial"/>
          <w:sz w:val="15"/>
          <w:szCs w:val="15"/>
          <w:color w:val="auto"/>
        </w:rPr>
        <w:t>We have trademark rights in our name, our logo, and other brand indicia, and have trademark registrations for select marks in the United States and many other jurisdictions around the world. We also have registered domain names for websites that we use in our business, such as www.dropbox.com, and similar variations.</w:t>
      </w:r>
    </w:p>
    <w:p>
      <w:pPr>
        <w:spacing w:after="0" w:line="155" w:lineRule="exact"/>
        <w:rPr>
          <w:sz w:val="20"/>
          <w:szCs w:val="20"/>
          <w:color w:val="auto"/>
        </w:rPr>
      </w:pPr>
    </w:p>
    <w:p>
      <w:pPr>
        <w:ind w:left="1120" w:firstLine="368"/>
        <w:spacing w:after="0" w:line="259" w:lineRule="auto"/>
        <w:rPr>
          <w:sz w:val="20"/>
          <w:szCs w:val="20"/>
          <w:color w:val="auto"/>
        </w:rPr>
      </w:pPr>
      <w:r>
        <w:rPr>
          <w:rFonts w:ascii="Arial" w:cs="Arial" w:eastAsia="Arial" w:hAnsi="Arial"/>
          <w:sz w:val="15"/>
          <w:szCs w:val="15"/>
          <w:color w:val="auto"/>
        </w:rPr>
        <w:t>We intend to pursue additional intellectual property protection to the extent we believe it would be beneficial and cost effective. Despite our efforts to protect our intellectual property rights, they may not be respected in the future or may be invalidated, circumvented, or challenged. In addition, the laws of various foreign countries where our products are distributed may not protect our intellectual property rights to the same extent as laws in the United States.</w:t>
      </w:r>
    </w:p>
    <w:p>
      <w:pPr>
        <w:spacing w:after="0" w:line="244" w:lineRule="exact"/>
        <w:rPr>
          <w:sz w:val="20"/>
          <w:szCs w:val="20"/>
          <w:color w:val="auto"/>
        </w:rPr>
      </w:pPr>
    </w:p>
    <w:p>
      <w:pPr>
        <w:ind w:left="1120"/>
        <w:spacing w:after="0"/>
        <w:rPr>
          <w:sz w:val="20"/>
          <w:szCs w:val="20"/>
          <w:color w:val="auto"/>
        </w:rPr>
      </w:pPr>
      <w:r>
        <w:rPr>
          <w:rFonts w:ascii="Arial" w:cs="Arial" w:eastAsia="Arial" w:hAnsi="Arial"/>
          <w:sz w:val="15"/>
          <w:szCs w:val="15"/>
          <w:b w:val="1"/>
          <w:bCs w:val="1"/>
          <w:color w:val="auto"/>
        </w:rPr>
        <w:t>Legal Proceedings</w:t>
      </w:r>
    </w:p>
    <w:p>
      <w:pPr>
        <w:spacing w:after="0" w:line="102" w:lineRule="exact"/>
        <w:rPr>
          <w:sz w:val="20"/>
          <w:szCs w:val="20"/>
          <w:color w:val="auto"/>
        </w:rPr>
      </w:pPr>
    </w:p>
    <w:p>
      <w:pPr>
        <w:ind w:left="1120" w:firstLine="368"/>
        <w:spacing w:after="0" w:line="298" w:lineRule="auto"/>
        <w:rPr>
          <w:sz w:val="20"/>
          <w:szCs w:val="20"/>
          <w:color w:val="auto"/>
        </w:rPr>
      </w:pPr>
      <w:r>
        <w:rPr>
          <w:rFonts w:ascii="Arial" w:cs="Arial" w:eastAsia="Arial" w:hAnsi="Arial"/>
          <w:sz w:val="13"/>
          <w:szCs w:val="13"/>
          <w:color w:val="auto"/>
        </w:rPr>
        <w:t>We are currently involved in, and may in the future be involved in, legal proceedings, claims, and government investigations in the ordinary course of business, including legal proceedings with third parties asserting infringement of their intellectual property rights. For example, in April 2015, Synchronoss Technologies, Inc., a public company that provides cloud-based products, filed a patent infringement lawsuit against us in the United States District Court for the District of New Jersey, claiming three counts of patent infringement and seeking injunctive relief. The case was subsequently transferred to the United States District Court for the Northern District of California. We do not currently believe that this matter is likely to have a material adverse impact on our consolidated results of operations, cash flows, or our financial position, and we intend to vigorously defend this lawsuit, and believe we have valid defenses to the claims. However, any litigation is inherently uncertain, and any judgment or injunctive relief entered against us or any adverse settlement could materially and adversely impact our business, results of operations, financial condition, and prospects.</w:t>
      </w:r>
    </w:p>
    <w:p>
      <w:pPr>
        <w:spacing w:after="0" w:line="139" w:lineRule="exact"/>
        <w:rPr>
          <w:sz w:val="20"/>
          <w:szCs w:val="20"/>
          <w:color w:val="auto"/>
        </w:rPr>
      </w:pPr>
    </w:p>
    <w:p>
      <w:pPr>
        <w:ind w:left="1120" w:right="60" w:firstLine="368"/>
        <w:spacing w:after="0" w:line="259" w:lineRule="auto"/>
        <w:rPr>
          <w:sz w:val="20"/>
          <w:szCs w:val="20"/>
          <w:color w:val="auto"/>
        </w:rPr>
      </w:pPr>
      <w:r>
        <w:rPr>
          <w:rFonts w:ascii="Arial" w:cs="Arial" w:eastAsia="Arial" w:hAnsi="Arial"/>
          <w:sz w:val="15"/>
          <w:szCs w:val="15"/>
          <w:color w:val="auto"/>
        </w:rPr>
        <w:t>Future litigation may be necessary, among other things, to defend ourselves or our users by determining the scope, enforceability, and validity of third-party proprietary rights or to establish our proprietary rights. The results of any current or future litigation cannot be predicted with certainty, and regardless of the outcome, litigation can have an adverse impact on us because of defense and settlement costs, diversion of management resources, and other factors.</w:t>
      </w:r>
    </w:p>
    <w:p>
      <w:pPr>
        <w:spacing w:after="0" w:line="101" w:lineRule="exact"/>
        <w:rPr>
          <w:sz w:val="20"/>
          <w:szCs w:val="20"/>
          <w:color w:val="auto"/>
        </w:rPr>
      </w:pPr>
    </w:p>
    <w:p>
      <w:pPr>
        <w:ind w:left="5600"/>
        <w:spacing w:after="0"/>
        <w:rPr>
          <w:sz w:val="20"/>
          <w:szCs w:val="20"/>
          <w:color w:val="auto"/>
        </w:rPr>
      </w:pPr>
      <w:r>
        <w:rPr>
          <w:rFonts w:ascii="Arial" w:cs="Arial" w:eastAsia="Arial" w:hAnsi="Arial"/>
          <w:sz w:val="15"/>
          <w:szCs w:val="15"/>
          <w:color w:val="auto"/>
        </w:rPr>
        <w:t>135</w:t>
      </w:r>
    </w:p>
    <w:p>
      <w:pPr>
        <w:sectPr>
          <w:pgSz w:w="11900" w:h="16838" w:orient="portrait"/>
          <w:cols w:equalWidth="0" w:num="1">
            <w:col w:w="10300"/>
          </w:cols>
          <w:pgMar w:left="240" w:top="407" w:right="1359" w:bottom="1440" w:gutter="0" w:footer="0" w:header="0"/>
        </w:sectPr>
      </w:pPr>
    </w:p>
    <w:bookmarkStart w:id="142" w:name="page143"/>
    <w:bookmarkEnd w:id="142"/>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133350</wp:posOffset>
            </wp:positionH>
            <wp:positionV relativeFrom="page">
              <wp:posOffset>88900</wp:posOffset>
            </wp:positionV>
            <wp:extent cx="7308850" cy="3429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308850" cy="34290"/>
                    </a:xfrm>
                    <a:prstGeom prst="rect">
                      <a:avLst/>
                    </a:prstGeom>
                    <a:noFill/>
                  </pic:spPr>
                </pic:pic>
              </a:graphicData>
            </a:graphic>
          </wp:anchor>
        </w:drawing>
      </w:r>
      <w:hyperlink w:anchor="page7">
        <w:r>
          <w:rPr>
            <w:rFonts w:ascii="Arial" w:cs="Arial" w:eastAsia="Arial" w:hAnsi="Arial"/>
            <w:sz w:val="15"/>
            <w:szCs w:val="15"/>
            <w:b w:val="1"/>
            <w:bCs w:val="1"/>
            <w:u w:val="single" w:color="auto"/>
            <w:color w:val="0000EE"/>
          </w:rPr>
          <w:t>Table of Contents</w:t>
        </w:r>
      </w:hyperlink>
    </w:p>
    <w:p>
      <w:pPr>
        <w:spacing w:after="0" w:line="256" w:lineRule="exact"/>
        <w:rPr>
          <w:sz w:val="20"/>
          <w:szCs w:val="20"/>
          <w:color w:val="auto"/>
        </w:rPr>
      </w:pPr>
    </w:p>
    <w:p>
      <w:pPr>
        <w:ind w:left="1120"/>
        <w:spacing w:after="0"/>
        <w:rPr>
          <w:sz w:val="20"/>
          <w:szCs w:val="20"/>
          <w:color w:val="auto"/>
        </w:rPr>
      </w:pPr>
      <w:r>
        <w:rPr>
          <w:rFonts w:ascii="Arial" w:cs="Arial" w:eastAsia="Arial" w:hAnsi="Arial"/>
          <w:sz w:val="15"/>
          <w:szCs w:val="15"/>
          <w:b w:val="1"/>
          <w:bCs w:val="1"/>
          <w:color w:val="auto"/>
        </w:rPr>
        <w:t>Our Facilities</w:t>
      </w:r>
    </w:p>
    <w:p>
      <w:pPr>
        <w:spacing w:after="0" w:line="102" w:lineRule="exact"/>
        <w:rPr>
          <w:sz w:val="20"/>
          <w:szCs w:val="20"/>
          <w:color w:val="auto"/>
        </w:rPr>
      </w:pPr>
    </w:p>
    <w:p>
      <w:pPr>
        <w:jc w:val="both"/>
        <w:ind w:left="1120" w:firstLine="368"/>
        <w:spacing w:after="0" w:line="259" w:lineRule="auto"/>
        <w:rPr>
          <w:sz w:val="20"/>
          <w:szCs w:val="20"/>
          <w:color w:val="auto"/>
        </w:rPr>
      </w:pPr>
      <w:r>
        <w:rPr>
          <w:rFonts w:ascii="Arial" w:cs="Arial" w:eastAsia="Arial" w:hAnsi="Arial"/>
          <w:sz w:val="15"/>
          <w:szCs w:val="15"/>
          <w:color w:val="auto"/>
        </w:rPr>
        <w:t>Our corporate headquarters is located in San Francisco, California, pursuant to operating leases that expire in 2033. We lease additional offices in San Francisco and around the world, including in Austin, Texas; Seattle, Washington; New York, New York; Dublin, Ireland; London, United Kingdom; Tel Aviv, Israel; Sydney, Australia; and Tokyo, Japan. We have datacenter co-location facilities in California, Texas, and Virginia. We believe that these facilities are generally suitable to meet our needs.</w:t>
      </w:r>
    </w:p>
    <w:p>
      <w:pPr>
        <w:spacing w:after="0" w:line="101" w:lineRule="exact"/>
        <w:rPr>
          <w:sz w:val="20"/>
          <w:szCs w:val="20"/>
          <w:color w:val="auto"/>
        </w:rPr>
      </w:pPr>
    </w:p>
    <w:p>
      <w:pPr>
        <w:ind w:left="5600"/>
        <w:spacing w:after="0"/>
        <w:rPr>
          <w:sz w:val="20"/>
          <w:szCs w:val="20"/>
          <w:color w:val="auto"/>
        </w:rPr>
      </w:pPr>
      <w:r>
        <w:rPr>
          <w:rFonts w:ascii="Arial" w:cs="Arial" w:eastAsia="Arial" w:hAnsi="Arial"/>
          <w:sz w:val="15"/>
          <w:szCs w:val="15"/>
          <w:color w:val="auto"/>
        </w:rPr>
        <w:t>136</w:t>
      </w:r>
    </w:p>
    <w:p>
      <w:pPr>
        <w:sectPr>
          <w:pgSz w:w="11900" w:h="16838" w:orient="portrait"/>
          <w:cols w:equalWidth="0" w:num="1">
            <w:col w:w="10280"/>
          </w:cols>
          <w:pgMar w:left="240" w:top="407" w:right="1379" w:bottom="1440" w:gutter="0" w:footer="0" w:header="0"/>
        </w:sectPr>
      </w:pPr>
    </w:p>
    <w:bookmarkStart w:id="143" w:name="page144"/>
    <w:bookmarkEnd w:id="143"/>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133350</wp:posOffset>
            </wp:positionH>
            <wp:positionV relativeFrom="page">
              <wp:posOffset>88900</wp:posOffset>
            </wp:positionV>
            <wp:extent cx="7308850" cy="3429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308850" cy="34290"/>
                    </a:xfrm>
                    <a:prstGeom prst="rect">
                      <a:avLst/>
                    </a:prstGeom>
                    <a:noFill/>
                  </pic:spPr>
                </pic:pic>
              </a:graphicData>
            </a:graphic>
          </wp:anchor>
        </w:drawing>
      </w:r>
      <w:hyperlink w:anchor="page7">
        <w:r>
          <w:rPr>
            <w:rFonts w:ascii="Arial" w:cs="Arial" w:eastAsia="Arial" w:hAnsi="Arial"/>
            <w:sz w:val="15"/>
            <w:szCs w:val="15"/>
            <w:b w:val="1"/>
            <w:bCs w:val="1"/>
            <w:u w:val="single" w:color="auto"/>
            <w:color w:val="0000EE"/>
          </w:rPr>
          <w:t>Table of Contents</w:t>
        </w:r>
      </w:hyperlink>
    </w:p>
    <w:p>
      <w:pPr>
        <w:spacing w:after="0" w:line="256" w:lineRule="exact"/>
        <w:rPr>
          <w:sz w:val="20"/>
          <w:szCs w:val="20"/>
          <w:color w:val="auto"/>
        </w:rPr>
      </w:pPr>
    </w:p>
    <w:p>
      <w:pPr>
        <w:ind w:left="5140"/>
        <w:spacing w:after="0"/>
        <w:rPr>
          <w:sz w:val="20"/>
          <w:szCs w:val="20"/>
          <w:color w:val="auto"/>
        </w:rPr>
      </w:pPr>
      <w:r>
        <w:rPr>
          <w:rFonts w:ascii="Arial" w:cs="Arial" w:eastAsia="Arial" w:hAnsi="Arial"/>
          <w:sz w:val="15"/>
          <w:szCs w:val="15"/>
          <w:b w:val="1"/>
          <w:bCs w:val="1"/>
          <w:color w:val="auto"/>
        </w:rPr>
        <w:t>MANAGEMENT</w:t>
      </w:r>
    </w:p>
    <w:p>
      <w:pPr>
        <w:spacing w:after="0" w:line="188" w:lineRule="exact"/>
        <w:rPr>
          <w:sz w:val="20"/>
          <w:szCs w:val="20"/>
          <w:color w:val="auto"/>
        </w:rPr>
      </w:pPr>
    </w:p>
    <w:p>
      <w:pPr>
        <w:ind w:left="1120"/>
        <w:spacing w:after="0"/>
        <w:rPr>
          <w:sz w:val="20"/>
          <w:szCs w:val="20"/>
          <w:color w:val="auto"/>
        </w:rPr>
      </w:pPr>
      <w:r>
        <w:rPr>
          <w:rFonts w:ascii="Arial" w:cs="Arial" w:eastAsia="Arial" w:hAnsi="Arial"/>
          <w:sz w:val="15"/>
          <w:szCs w:val="15"/>
          <w:b w:val="1"/>
          <w:bCs w:val="1"/>
          <w:color w:val="auto"/>
        </w:rPr>
        <w:t>Executive Officers and Directors</w:t>
      </w:r>
    </w:p>
    <w:p>
      <w:pPr>
        <w:spacing w:after="0" w:line="102" w:lineRule="exact"/>
        <w:rPr>
          <w:sz w:val="20"/>
          <w:szCs w:val="20"/>
          <w:color w:val="auto"/>
        </w:rPr>
      </w:pPr>
    </w:p>
    <w:p>
      <w:pPr>
        <w:ind w:left="1480"/>
        <w:spacing w:after="0"/>
        <w:rPr>
          <w:sz w:val="20"/>
          <w:szCs w:val="20"/>
          <w:color w:val="auto"/>
        </w:rPr>
      </w:pPr>
      <w:r>
        <w:rPr>
          <w:rFonts w:ascii="Arial" w:cs="Arial" w:eastAsia="Arial" w:hAnsi="Arial"/>
          <w:sz w:val="15"/>
          <w:szCs w:val="15"/>
          <w:color w:val="auto"/>
        </w:rPr>
        <w:t>The following table provides information regarding our executive officers and directors as of March 8, 2018:</w:t>
      </w:r>
    </w:p>
    <w:p>
      <w:pPr>
        <w:spacing w:after="0" w:line="202" w:lineRule="exact"/>
        <w:rPr>
          <w:sz w:val="20"/>
          <w:szCs w:val="20"/>
          <w:color w:val="auto"/>
        </w:rPr>
      </w:pPr>
    </w:p>
    <w:tbl>
      <w:tblPr>
        <w:tblLayout w:type="fixed"/>
        <w:tblInd w:w="1120" w:type="dxa"/>
        <w:tblCellMar>
          <w:top w:w="0" w:type="dxa"/>
          <w:left w:w="0" w:type="dxa"/>
          <w:bottom w:w="0" w:type="dxa"/>
          <w:right w:w="0" w:type="dxa"/>
        </w:tblCellMar>
      </w:tblPr>
      <w:tr>
        <w:trPr>
          <w:trHeight w:val="155"/>
        </w:trPr>
        <w:tc>
          <w:tcPr>
            <w:tcW w:w="2300" w:type="dxa"/>
            <w:vAlign w:val="bottom"/>
            <w:gridSpan w:val="3"/>
          </w:tcPr>
          <w:p>
            <w:pPr>
              <w:spacing w:after="0"/>
              <w:rPr>
                <w:sz w:val="20"/>
                <w:szCs w:val="20"/>
                <w:color w:val="auto"/>
              </w:rPr>
            </w:pPr>
            <w:r>
              <w:rPr>
                <w:rFonts w:ascii="Arial" w:cs="Arial" w:eastAsia="Arial" w:hAnsi="Arial"/>
                <w:sz w:val="12"/>
                <w:szCs w:val="12"/>
                <w:b w:val="1"/>
                <w:bCs w:val="1"/>
                <w:color w:val="auto"/>
              </w:rPr>
              <w:t>Name</w:t>
            </w:r>
          </w:p>
        </w:tc>
        <w:tc>
          <w:tcPr>
            <w:tcW w:w="1020" w:type="dxa"/>
            <w:vAlign w:val="bottom"/>
            <w:gridSpan w:val="2"/>
          </w:tcPr>
          <w:p>
            <w:pPr>
              <w:jc w:val="center"/>
              <w:ind w:left="746"/>
              <w:spacing w:after="0"/>
              <w:rPr>
                <w:sz w:val="20"/>
                <w:szCs w:val="20"/>
                <w:color w:val="auto"/>
              </w:rPr>
            </w:pPr>
            <w:r>
              <w:rPr>
                <w:rFonts w:ascii="Arial" w:cs="Arial" w:eastAsia="Arial" w:hAnsi="Arial"/>
                <w:sz w:val="12"/>
                <w:szCs w:val="12"/>
                <w:b w:val="1"/>
                <w:bCs w:val="1"/>
                <w:color w:val="auto"/>
                <w:w w:val="88"/>
              </w:rPr>
              <w:t>Age</w:t>
            </w:r>
          </w:p>
        </w:tc>
        <w:tc>
          <w:tcPr>
            <w:tcW w:w="180" w:type="dxa"/>
            <w:vAlign w:val="bottom"/>
          </w:tcPr>
          <w:p>
            <w:pPr>
              <w:spacing w:after="0"/>
              <w:rPr>
                <w:sz w:val="13"/>
                <w:szCs w:val="13"/>
                <w:color w:val="auto"/>
              </w:rPr>
            </w:pPr>
          </w:p>
        </w:tc>
        <w:tc>
          <w:tcPr>
            <w:tcW w:w="5700" w:type="dxa"/>
            <w:vAlign w:val="bottom"/>
          </w:tcPr>
          <w:p>
            <w:pPr>
              <w:ind w:left="2640"/>
              <w:spacing w:after="0"/>
              <w:rPr>
                <w:sz w:val="20"/>
                <w:szCs w:val="20"/>
                <w:color w:val="auto"/>
              </w:rPr>
            </w:pPr>
            <w:r>
              <w:rPr>
                <w:rFonts w:ascii="Arial" w:cs="Arial" w:eastAsia="Arial" w:hAnsi="Arial"/>
                <w:sz w:val="12"/>
                <w:szCs w:val="12"/>
                <w:b w:val="1"/>
                <w:bCs w:val="1"/>
                <w:color w:val="auto"/>
              </w:rPr>
              <w:t>Position</w:t>
            </w:r>
          </w:p>
        </w:tc>
        <w:tc>
          <w:tcPr>
            <w:tcW w:w="0" w:type="dxa"/>
            <w:vAlign w:val="bottom"/>
          </w:tcPr>
          <w:p>
            <w:pPr>
              <w:spacing w:after="0"/>
              <w:rPr>
                <w:sz w:val="1"/>
                <w:szCs w:val="1"/>
                <w:color w:val="auto"/>
              </w:rPr>
            </w:pPr>
          </w:p>
        </w:tc>
      </w:tr>
      <w:tr>
        <w:trPr>
          <w:trHeight w:val="23"/>
        </w:trPr>
        <w:tc>
          <w:tcPr>
            <w:tcW w:w="20" w:type="dxa"/>
            <w:vAlign w:val="bottom"/>
            <w:vMerge w:val="restart"/>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7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7"/>
        </w:trPr>
        <w:tc>
          <w:tcPr>
            <w:tcW w:w="20" w:type="dxa"/>
            <w:vAlign w:val="bottom"/>
            <w:vMerge w:val="continue"/>
          </w:tcPr>
          <w:p>
            <w:pPr>
              <w:spacing w:after="0"/>
              <w:rPr>
                <w:sz w:val="12"/>
                <w:szCs w:val="12"/>
                <w:color w:val="auto"/>
              </w:rPr>
            </w:pPr>
          </w:p>
        </w:tc>
        <w:tc>
          <w:tcPr>
            <w:tcW w:w="2280" w:type="dxa"/>
            <w:vAlign w:val="bottom"/>
            <w:gridSpan w:val="2"/>
          </w:tcPr>
          <w:p>
            <w:pPr>
              <w:spacing w:after="0" w:line="147" w:lineRule="exact"/>
              <w:rPr>
                <w:sz w:val="20"/>
                <w:szCs w:val="20"/>
                <w:color w:val="auto"/>
              </w:rPr>
            </w:pPr>
            <w:r>
              <w:rPr>
                <w:rFonts w:ascii="Arial" w:cs="Arial" w:eastAsia="Arial" w:hAnsi="Arial"/>
                <w:sz w:val="15"/>
                <w:szCs w:val="15"/>
                <w:i w:val="1"/>
                <w:iCs w:val="1"/>
                <w:color w:val="auto"/>
              </w:rPr>
              <w:t>Executive officers:</w:t>
            </w:r>
          </w:p>
        </w:tc>
        <w:tc>
          <w:tcPr>
            <w:tcW w:w="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2300" w:type="dxa"/>
            <w:vAlign w:val="bottom"/>
            <w:gridSpan w:val="3"/>
          </w:tcPr>
          <w:p>
            <w:pPr>
              <w:spacing w:after="0"/>
              <w:rPr>
                <w:sz w:val="20"/>
                <w:szCs w:val="20"/>
                <w:color w:val="auto"/>
              </w:rPr>
            </w:pPr>
            <w:r>
              <w:rPr>
                <w:rFonts w:ascii="Arial" w:cs="Arial" w:eastAsia="Arial" w:hAnsi="Arial"/>
                <w:sz w:val="15"/>
                <w:szCs w:val="15"/>
                <w:color w:val="auto"/>
              </w:rPr>
              <w:t>Andrew W. Houston</w:t>
            </w:r>
          </w:p>
        </w:tc>
        <w:tc>
          <w:tcPr>
            <w:tcW w:w="1020" w:type="dxa"/>
            <w:vAlign w:val="bottom"/>
            <w:gridSpan w:val="2"/>
          </w:tcPr>
          <w:p>
            <w:pPr>
              <w:jc w:val="center"/>
              <w:ind w:left="746"/>
              <w:spacing w:after="0"/>
              <w:rPr>
                <w:sz w:val="20"/>
                <w:szCs w:val="20"/>
                <w:color w:val="auto"/>
              </w:rPr>
            </w:pPr>
            <w:r>
              <w:rPr>
                <w:rFonts w:ascii="Arial" w:cs="Arial" w:eastAsia="Arial" w:hAnsi="Arial"/>
                <w:sz w:val="15"/>
                <w:szCs w:val="15"/>
                <w:color w:val="auto"/>
                <w:w w:val="95"/>
              </w:rPr>
              <w:t>35</w:t>
            </w:r>
          </w:p>
        </w:tc>
        <w:tc>
          <w:tcPr>
            <w:tcW w:w="5880" w:type="dxa"/>
            <w:vAlign w:val="bottom"/>
            <w:gridSpan w:val="2"/>
          </w:tcPr>
          <w:p>
            <w:pPr>
              <w:ind w:left="180"/>
              <w:spacing w:after="0"/>
              <w:rPr>
                <w:sz w:val="20"/>
                <w:szCs w:val="20"/>
                <w:color w:val="auto"/>
              </w:rPr>
            </w:pPr>
            <w:r>
              <w:rPr>
                <w:rFonts w:ascii="Arial" w:cs="Arial" w:eastAsia="Arial" w:hAnsi="Arial"/>
                <w:sz w:val="15"/>
                <w:szCs w:val="15"/>
                <w:color w:val="auto"/>
              </w:rPr>
              <w:t>Chief Executive Officer, Co-Founder, and Chairman</w:t>
            </w:r>
          </w:p>
        </w:tc>
        <w:tc>
          <w:tcPr>
            <w:tcW w:w="0" w:type="dxa"/>
            <w:vAlign w:val="bottom"/>
          </w:tcPr>
          <w:p>
            <w:pPr>
              <w:spacing w:after="0"/>
              <w:rPr>
                <w:sz w:val="1"/>
                <w:szCs w:val="1"/>
                <w:color w:val="auto"/>
              </w:rPr>
            </w:pPr>
          </w:p>
        </w:tc>
      </w:tr>
      <w:tr>
        <w:trPr>
          <w:trHeight w:val="180"/>
        </w:trPr>
        <w:tc>
          <w:tcPr>
            <w:tcW w:w="2300" w:type="dxa"/>
            <w:vAlign w:val="bottom"/>
            <w:gridSpan w:val="3"/>
          </w:tcPr>
          <w:p>
            <w:pPr>
              <w:spacing w:after="0"/>
              <w:rPr>
                <w:sz w:val="20"/>
                <w:szCs w:val="20"/>
                <w:color w:val="auto"/>
              </w:rPr>
            </w:pPr>
            <w:r>
              <w:rPr>
                <w:rFonts w:ascii="Arial" w:cs="Arial" w:eastAsia="Arial" w:hAnsi="Arial"/>
                <w:sz w:val="15"/>
                <w:szCs w:val="15"/>
                <w:color w:val="auto"/>
              </w:rPr>
              <w:t>Arash Ferdowsi</w:t>
            </w:r>
          </w:p>
        </w:tc>
        <w:tc>
          <w:tcPr>
            <w:tcW w:w="1020" w:type="dxa"/>
            <w:vAlign w:val="bottom"/>
            <w:gridSpan w:val="2"/>
          </w:tcPr>
          <w:p>
            <w:pPr>
              <w:jc w:val="center"/>
              <w:ind w:left="746"/>
              <w:spacing w:after="0"/>
              <w:rPr>
                <w:sz w:val="20"/>
                <w:szCs w:val="20"/>
                <w:color w:val="auto"/>
              </w:rPr>
            </w:pPr>
            <w:r>
              <w:rPr>
                <w:rFonts w:ascii="Arial" w:cs="Arial" w:eastAsia="Arial" w:hAnsi="Arial"/>
                <w:sz w:val="15"/>
                <w:szCs w:val="15"/>
                <w:color w:val="auto"/>
                <w:w w:val="95"/>
              </w:rPr>
              <w:t>32</w:t>
            </w:r>
          </w:p>
        </w:tc>
        <w:tc>
          <w:tcPr>
            <w:tcW w:w="5880" w:type="dxa"/>
            <w:vAlign w:val="bottom"/>
            <w:gridSpan w:val="2"/>
          </w:tcPr>
          <w:p>
            <w:pPr>
              <w:ind w:left="180"/>
              <w:spacing w:after="0"/>
              <w:rPr>
                <w:sz w:val="20"/>
                <w:szCs w:val="20"/>
                <w:color w:val="auto"/>
              </w:rPr>
            </w:pPr>
            <w:r>
              <w:rPr>
                <w:rFonts w:ascii="Arial" w:cs="Arial" w:eastAsia="Arial" w:hAnsi="Arial"/>
                <w:sz w:val="15"/>
                <w:szCs w:val="15"/>
                <w:color w:val="auto"/>
              </w:rPr>
              <w:t>Co-Founder and Director</w:t>
            </w:r>
          </w:p>
        </w:tc>
        <w:tc>
          <w:tcPr>
            <w:tcW w:w="0" w:type="dxa"/>
            <w:vAlign w:val="bottom"/>
          </w:tcPr>
          <w:p>
            <w:pPr>
              <w:spacing w:after="0"/>
              <w:rPr>
                <w:sz w:val="1"/>
                <w:szCs w:val="1"/>
                <w:color w:val="auto"/>
              </w:rPr>
            </w:pPr>
          </w:p>
        </w:tc>
      </w:tr>
      <w:tr>
        <w:trPr>
          <w:trHeight w:val="180"/>
        </w:trPr>
        <w:tc>
          <w:tcPr>
            <w:tcW w:w="2300" w:type="dxa"/>
            <w:vAlign w:val="bottom"/>
            <w:gridSpan w:val="3"/>
          </w:tcPr>
          <w:p>
            <w:pPr>
              <w:spacing w:after="0"/>
              <w:rPr>
                <w:sz w:val="20"/>
                <w:szCs w:val="20"/>
                <w:color w:val="auto"/>
              </w:rPr>
            </w:pPr>
            <w:r>
              <w:rPr>
                <w:rFonts w:ascii="Arial" w:cs="Arial" w:eastAsia="Arial" w:hAnsi="Arial"/>
                <w:sz w:val="15"/>
                <w:szCs w:val="15"/>
                <w:color w:val="auto"/>
              </w:rPr>
              <w:t>Quentin J. Clark</w:t>
            </w:r>
          </w:p>
        </w:tc>
        <w:tc>
          <w:tcPr>
            <w:tcW w:w="1020" w:type="dxa"/>
            <w:vAlign w:val="bottom"/>
            <w:gridSpan w:val="2"/>
          </w:tcPr>
          <w:p>
            <w:pPr>
              <w:jc w:val="center"/>
              <w:ind w:left="746"/>
              <w:spacing w:after="0"/>
              <w:rPr>
                <w:sz w:val="20"/>
                <w:szCs w:val="20"/>
                <w:color w:val="auto"/>
              </w:rPr>
            </w:pPr>
            <w:r>
              <w:rPr>
                <w:rFonts w:ascii="Arial" w:cs="Arial" w:eastAsia="Arial" w:hAnsi="Arial"/>
                <w:sz w:val="15"/>
                <w:szCs w:val="15"/>
                <w:color w:val="auto"/>
                <w:w w:val="95"/>
              </w:rPr>
              <w:t>46</w:t>
            </w:r>
          </w:p>
        </w:tc>
        <w:tc>
          <w:tcPr>
            <w:tcW w:w="5880" w:type="dxa"/>
            <w:vAlign w:val="bottom"/>
            <w:gridSpan w:val="2"/>
          </w:tcPr>
          <w:p>
            <w:pPr>
              <w:ind w:left="180"/>
              <w:spacing w:after="0"/>
              <w:rPr>
                <w:sz w:val="20"/>
                <w:szCs w:val="20"/>
                <w:color w:val="auto"/>
              </w:rPr>
            </w:pPr>
            <w:r>
              <w:rPr>
                <w:rFonts w:ascii="Arial" w:cs="Arial" w:eastAsia="Arial" w:hAnsi="Arial"/>
                <w:sz w:val="15"/>
                <w:szCs w:val="15"/>
                <w:color w:val="auto"/>
              </w:rPr>
              <w:t>Senior Vice President of Engineering, Product, and Design</w:t>
            </w:r>
          </w:p>
        </w:tc>
        <w:tc>
          <w:tcPr>
            <w:tcW w:w="0" w:type="dxa"/>
            <w:vAlign w:val="bottom"/>
          </w:tcPr>
          <w:p>
            <w:pPr>
              <w:spacing w:after="0"/>
              <w:rPr>
                <w:sz w:val="1"/>
                <w:szCs w:val="1"/>
                <w:color w:val="auto"/>
              </w:rPr>
            </w:pPr>
          </w:p>
        </w:tc>
      </w:tr>
      <w:tr>
        <w:trPr>
          <w:trHeight w:val="180"/>
        </w:trPr>
        <w:tc>
          <w:tcPr>
            <w:tcW w:w="2300" w:type="dxa"/>
            <w:vAlign w:val="bottom"/>
            <w:gridSpan w:val="3"/>
          </w:tcPr>
          <w:p>
            <w:pPr>
              <w:spacing w:after="0"/>
              <w:rPr>
                <w:sz w:val="20"/>
                <w:szCs w:val="20"/>
                <w:color w:val="auto"/>
              </w:rPr>
            </w:pPr>
            <w:r>
              <w:rPr>
                <w:rFonts w:ascii="Arial" w:cs="Arial" w:eastAsia="Arial" w:hAnsi="Arial"/>
                <w:sz w:val="15"/>
                <w:szCs w:val="15"/>
                <w:color w:val="auto"/>
              </w:rPr>
              <w:t>Ajay V. Vashee</w:t>
            </w:r>
          </w:p>
        </w:tc>
        <w:tc>
          <w:tcPr>
            <w:tcW w:w="1020" w:type="dxa"/>
            <w:vAlign w:val="bottom"/>
            <w:gridSpan w:val="2"/>
          </w:tcPr>
          <w:p>
            <w:pPr>
              <w:jc w:val="center"/>
              <w:ind w:left="746"/>
              <w:spacing w:after="0"/>
              <w:rPr>
                <w:sz w:val="20"/>
                <w:szCs w:val="20"/>
                <w:color w:val="auto"/>
              </w:rPr>
            </w:pPr>
            <w:r>
              <w:rPr>
                <w:rFonts w:ascii="Arial" w:cs="Arial" w:eastAsia="Arial" w:hAnsi="Arial"/>
                <w:sz w:val="15"/>
                <w:szCs w:val="15"/>
                <w:color w:val="auto"/>
                <w:w w:val="95"/>
              </w:rPr>
              <w:t>34</w:t>
            </w:r>
          </w:p>
        </w:tc>
        <w:tc>
          <w:tcPr>
            <w:tcW w:w="5880" w:type="dxa"/>
            <w:vAlign w:val="bottom"/>
            <w:gridSpan w:val="2"/>
          </w:tcPr>
          <w:p>
            <w:pPr>
              <w:ind w:left="180"/>
              <w:spacing w:after="0"/>
              <w:rPr>
                <w:sz w:val="20"/>
                <w:szCs w:val="20"/>
                <w:color w:val="auto"/>
              </w:rPr>
            </w:pPr>
            <w:r>
              <w:rPr>
                <w:rFonts w:ascii="Arial" w:cs="Arial" w:eastAsia="Arial" w:hAnsi="Arial"/>
                <w:sz w:val="15"/>
                <w:szCs w:val="15"/>
                <w:color w:val="auto"/>
              </w:rPr>
              <w:t>Chief Financial Officer</w:t>
            </w:r>
          </w:p>
        </w:tc>
        <w:tc>
          <w:tcPr>
            <w:tcW w:w="0" w:type="dxa"/>
            <w:vAlign w:val="bottom"/>
          </w:tcPr>
          <w:p>
            <w:pPr>
              <w:spacing w:after="0"/>
              <w:rPr>
                <w:sz w:val="1"/>
                <w:szCs w:val="1"/>
                <w:color w:val="auto"/>
              </w:rPr>
            </w:pPr>
          </w:p>
        </w:tc>
      </w:tr>
      <w:tr>
        <w:trPr>
          <w:trHeight w:val="180"/>
        </w:trPr>
        <w:tc>
          <w:tcPr>
            <w:tcW w:w="2300" w:type="dxa"/>
            <w:vAlign w:val="bottom"/>
            <w:gridSpan w:val="3"/>
          </w:tcPr>
          <w:p>
            <w:pPr>
              <w:spacing w:after="0"/>
              <w:rPr>
                <w:sz w:val="20"/>
                <w:szCs w:val="20"/>
                <w:color w:val="auto"/>
              </w:rPr>
            </w:pPr>
            <w:r>
              <w:rPr>
                <w:rFonts w:ascii="Arial" w:cs="Arial" w:eastAsia="Arial" w:hAnsi="Arial"/>
                <w:sz w:val="15"/>
                <w:szCs w:val="15"/>
                <w:color w:val="auto"/>
              </w:rPr>
              <w:t>Bart E. Volkmer</w:t>
            </w:r>
          </w:p>
        </w:tc>
        <w:tc>
          <w:tcPr>
            <w:tcW w:w="1020" w:type="dxa"/>
            <w:vAlign w:val="bottom"/>
            <w:gridSpan w:val="2"/>
          </w:tcPr>
          <w:p>
            <w:pPr>
              <w:jc w:val="center"/>
              <w:ind w:left="746"/>
              <w:spacing w:after="0"/>
              <w:rPr>
                <w:sz w:val="20"/>
                <w:szCs w:val="20"/>
                <w:color w:val="auto"/>
              </w:rPr>
            </w:pPr>
            <w:r>
              <w:rPr>
                <w:rFonts w:ascii="Arial" w:cs="Arial" w:eastAsia="Arial" w:hAnsi="Arial"/>
                <w:sz w:val="15"/>
                <w:szCs w:val="15"/>
                <w:color w:val="auto"/>
                <w:w w:val="95"/>
              </w:rPr>
              <w:t>43</w:t>
            </w:r>
          </w:p>
        </w:tc>
        <w:tc>
          <w:tcPr>
            <w:tcW w:w="5880" w:type="dxa"/>
            <w:vAlign w:val="bottom"/>
            <w:gridSpan w:val="2"/>
          </w:tcPr>
          <w:p>
            <w:pPr>
              <w:ind w:left="180"/>
              <w:spacing w:after="0"/>
              <w:rPr>
                <w:sz w:val="20"/>
                <w:szCs w:val="20"/>
                <w:color w:val="auto"/>
              </w:rPr>
            </w:pPr>
            <w:r>
              <w:rPr>
                <w:rFonts w:ascii="Arial" w:cs="Arial" w:eastAsia="Arial" w:hAnsi="Arial"/>
                <w:sz w:val="15"/>
                <w:szCs w:val="15"/>
                <w:color w:val="auto"/>
              </w:rPr>
              <w:t>General Counsel</w:t>
            </w:r>
          </w:p>
        </w:tc>
        <w:tc>
          <w:tcPr>
            <w:tcW w:w="0" w:type="dxa"/>
            <w:vAlign w:val="bottom"/>
          </w:tcPr>
          <w:p>
            <w:pPr>
              <w:spacing w:after="0"/>
              <w:rPr>
                <w:sz w:val="1"/>
                <w:szCs w:val="1"/>
                <w:color w:val="auto"/>
              </w:rPr>
            </w:pPr>
          </w:p>
        </w:tc>
      </w:tr>
      <w:tr>
        <w:trPr>
          <w:trHeight w:val="190"/>
        </w:trPr>
        <w:tc>
          <w:tcPr>
            <w:tcW w:w="2300" w:type="dxa"/>
            <w:vAlign w:val="bottom"/>
            <w:gridSpan w:val="3"/>
          </w:tcPr>
          <w:p>
            <w:pPr>
              <w:spacing w:after="0"/>
              <w:rPr>
                <w:sz w:val="20"/>
                <w:szCs w:val="20"/>
                <w:color w:val="auto"/>
              </w:rPr>
            </w:pPr>
            <w:r>
              <w:rPr>
                <w:rFonts w:ascii="Arial" w:cs="Arial" w:eastAsia="Arial" w:hAnsi="Arial"/>
                <w:sz w:val="15"/>
                <w:szCs w:val="15"/>
                <w:color w:val="auto"/>
              </w:rPr>
              <w:t>Dennis M. Woodside</w:t>
            </w:r>
          </w:p>
        </w:tc>
        <w:tc>
          <w:tcPr>
            <w:tcW w:w="1020" w:type="dxa"/>
            <w:vAlign w:val="bottom"/>
            <w:gridSpan w:val="2"/>
          </w:tcPr>
          <w:p>
            <w:pPr>
              <w:jc w:val="center"/>
              <w:ind w:left="746"/>
              <w:spacing w:after="0"/>
              <w:rPr>
                <w:sz w:val="20"/>
                <w:szCs w:val="20"/>
                <w:color w:val="auto"/>
              </w:rPr>
            </w:pPr>
            <w:r>
              <w:rPr>
                <w:rFonts w:ascii="Arial" w:cs="Arial" w:eastAsia="Arial" w:hAnsi="Arial"/>
                <w:sz w:val="15"/>
                <w:szCs w:val="15"/>
                <w:color w:val="auto"/>
                <w:w w:val="95"/>
              </w:rPr>
              <w:t>49</w:t>
            </w:r>
          </w:p>
        </w:tc>
        <w:tc>
          <w:tcPr>
            <w:tcW w:w="5880" w:type="dxa"/>
            <w:vAlign w:val="bottom"/>
            <w:gridSpan w:val="2"/>
          </w:tcPr>
          <w:p>
            <w:pPr>
              <w:ind w:left="180"/>
              <w:spacing w:after="0"/>
              <w:rPr>
                <w:sz w:val="20"/>
                <w:szCs w:val="20"/>
                <w:color w:val="auto"/>
              </w:rPr>
            </w:pPr>
            <w:r>
              <w:rPr>
                <w:rFonts w:ascii="Arial" w:cs="Arial" w:eastAsia="Arial" w:hAnsi="Arial"/>
                <w:sz w:val="15"/>
                <w:szCs w:val="15"/>
                <w:color w:val="auto"/>
              </w:rPr>
              <w:t>Chief Operating Officer</w:t>
            </w:r>
          </w:p>
        </w:tc>
        <w:tc>
          <w:tcPr>
            <w:tcW w:w="0" w:type="dxa"/>
            <w:vAlign w:val="bottom"/>
          </w:tcPr>
          <w:p>
            <w:pPr>
              <w:spacing w:after="0"/>
              <w:rPr>
                <w:sz w:val="1"/>
                <w:szCs w:val="1"/>
                <w:color w:val="auto"/>
              </w:rPr>
            </w:pPr>
          </w:p>
        </w:tc>
      </w:tr>
      <w:tr>
        <w:trPr>
          <w:trHeight w:val="227"/>
        </w:trPr>
        <w:tc>
          <w:tcPr>
            <w:tcW w:w="2300" w:type="dxa"/>
            <w:vAlign w:val="bottom"/>
            <w:gridSpan w:val="3"/>
          </w:tcPr>
          <w:p>
            <w:pPr>
              <w:spacing w:after="0"/>
              <w:rPr>
                <w:sz w:val="20"/>
                <w:szCs w:val="20"/>
                <w:color w:val="auto"/>
              </w:rPr>
            </w:pPr>
            <w:r>
              <w:rPr>
                <w:rFonts w:ascii="Arial" w:cs="Arial" w:eastAsia="Arial" w:hAnsi="Arial"/>
                <w:sz w:val="15"/>
                <w:szCs w:val="15"/>
                <w:i w:val="1"/>
                <w:iCs w:val="1"/>
                <w:color w:val="auto"/>
              </w:rPr>
              <w:t>Non-executive directors</w:t>
            </w:r>
            <w:r>
              <w:rPr>
                <w:rFonts w:ascii="Arial" w:cs="Arial" w:eastAsia="Arial" w:hAnsi="Arial"/>
                <w:sz w:val="15"/>
                <w:szCs w:val="15"/>
                <w:color w:val="auto"/>
              </w:rPr>
              <w:t>:</w:t>
            </w:r>
          </w:p>
        </w:tc>
        <w:tc>
          <w:tcPr>
            <w:tcW w:w="8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0"/>
        </w:trPr>
        <w:tc>
          <w:tcPr>
            <w:tcW w:w="2300" w:type="dxa"/>
            <w:vAlign w:val="bottom"/>
            <w:gridSpan w:val="3"/>
          </w:tcPr>
          <w:p>
            <w:pPr>
              <w:spacing w:after="0"/>
              <w:rPr>
                <w:sz w:val="20"/>
                <w:szCs w:val="20"/>
                <w:color w:val="auto"/>
              </w:rPr>
            </w:pPr>
            <w:r>
              <w:rPr>
                <w:rFonts w:ascii="Arial" w:cs="Arial" w:eastAsia="Arial" w:hAnsi="Arial"/>
                <w:sz w:val="15"/>
                <w:szCs w:val="15"/>
                <w:color w:val="auto"/>
              </w:rPr>
              <w:t>Donald W. Blair</w:t>
            </w:r>
          </w:p>
        </w:tc>
        <w:tc>
          <w:tcPr>
            <w:tcW w:w="1020" w:type="dxa"/>
            <w:vAlign w:val="bottom"/>
            <w:gridSpan w:val="2"/>
          </w:tcPr>
          <w:p>
            <w:pPr>
              <w:jc w:val="center"/>
              <w:ind w:left="746"/>
              <w:spacing w:after="0"/>
              <w:rPr>
                <w:sz w:val="20"/>
                <w:szCs w:val="20"/>
                <w:color w:val="auto"/>
              </w:rPr>
            </w:pPr>
            <w:r>
              <w:rPr>
                <w:rFonts w:ascii="Arial" w:cs="Arial" w:eastAsia="Arial" w:hAnsi="Arial"/>
                <w:sz w:val="15"/>
                <w:szCs w:val="15"/>
                <w:color w:val="auto"/>
                <w:w w:val="95"/>
              </w:rPr>
              <w:t>59</w:t>
            </w:r>
          </w:p>
        </w:tc>
        <w:tc>
          <w:tcPr>
            <w:tcW w:w="5880" w:type="dxa"/>
            <w:vAlign w:val="bottom"/>
            <w:gridSpan w:val="2"/>
          </w:tcPr>
          <w:p>
            <w:pPr>
              <w:ind w:left="180"/>
              <w:spacing w:after="0"/>
              <w:rPr>
                <w:sz w:val="20"/>
                <w:szCs w:val="20"/>
                <w:color w:val="auto"/>
              </w:rPr>
            </w:pPr>
            <w:r>
              <w:rPr>
                <w:rFonts w:ascii="Arial" w:cs="Arial" w:eastAsia="Arial" w:hAnsi="Arial"/>
                <w:sz w:val="15"/>
                <w:szCs w:val="15"/>
                <w:color w:val="auto"/>
              </w:rPr>
              <w:t>Director</w:t>
            </w:r>
          </w:p>
        </w:tc>
        <w:tc>
          <w:tcPr>
            <w:tcW w:w="0" w:type="dxa"/>
            <w:vAlign w:val="bottom"/>
          </w:tcPr>
          <w:p>
            <w:pPr>
              <w:spacing w:after="0"/>
              <w:rPr>
                <w:sz w:val="1"/>
                <w:szCs w:val="1"/>
                <w:color w:val="auto"/>
              </w:rPr>
            </w:pPr>
          </w:p>
        </w:tc>
      </w:tr>
      <w:tr>
        <w:trPr>
          <w:trHeight w:val="180"/>
        </w:trPr>
        <w:tc>
          <w:tcPr>
            <w:tcW w:w="2300" w:type="dxa"/>
            <w:vAlign w:val="bottom"/>
            <w:gridSpan w:val="3"/>
          </w:tcPr>
          <w:p>
            <w:pPr>
              <w:spacing w:after="0"/>
              <w:rPr>
                <w:sz w:val="20"/>
                <w:szCs w:val="20"/>
                <w:color w:val="auto"/>
              </w:rPr>
            </w:pPr>
            <w:r>
              <w:rPr>
                <w:rFonts w:ascii="Arial" w:cs="Arial" w:eastAsia="Arial" w:hAnsi="Arial"/>
                <w:sz w:val="15"/>
                <w:szCs w:val="15"/>
                <w:color w:val="auto"/>
              </w:rPr>
              <w:t>Paul E. Jacobs</w:t>
            </w:r>
          </w:p>
        </w:tc>
        <w:tc>
          <w:tcPr>
            <w:tcW w:w="1020" w:type="dxa"/>
            <w:vAlign w:val="bottom"/>
            <w:gridSpan w:val="2"/>
          </w:tcPr>
          <w:p>
            <w:pPr>
              <w:jc w:val="center"/>
              <w:ind w:left="746"/>
              <w:spacing w:after="0"/>
              <w:rPr>
                <w:sz w:val="20"/>
                <w:szCs w:val="20"/>
                <w:color w:val="auto"/>
              </w:rPr>
            </w:pPr>
            <w:r>
              <w:rPr>
                <w:rFonts w:ascii="Arial" w:cs="Arial" w:eastAsia="Arial" w:hAnsi="Arial"/>
                <w:sz w:val="15"/>
                <w:szCs w:val="15"/>
                <w:color w:val="auto"/>
                <w:w w:val="95"/>
              </w:rPr>
              <w:t>55</w:t>
            </w:r>
          </w:p>
        </w:tc>
        <w:tc>
          <w:tcPr>
            <w:tcW w:w="5880" w:type="dxa"/>
            <w:vAlign w:val="bottom"/>
            <w:gridSpan w:val="2"/>
          </w:tcPr>
          <w:p>
            <w:pPr>
              <w:ind w:left="180"/>
              <w:spacing w:after="0"/>
              <w:rPr>
                <w:sz w:val="20"/>
                <w:szCs w:val="20"/>
                <w:color w:val="auto"/>
              </w:rPr>
            </w:pPr>
            <w:r>
              <w:rPr>
                <w:rFonts w:ascii="Arial" w:cs="Arial" w:eastAsia="Arial" w:hAnsi="Arial"/>
                <w:sz w:val="15"/>
                <w:szCs w:val="15"/>
                <w:color w:val="auto"/>
              </w:rPr>
              <w:t>Director</w:t>
            </w:r>
          </w:p>
        </w:tc>
        <w:tc>
          <w:tcPr>
            <w:tcW w:w="0" w:type="dxa"/>
            <w:vAlign w:val="bottom"/>
          </w:tcPr>
          <w:p>
            <w:pPr>
              <w:spacing w:after="0"/>
              <w:rPr>
                <w:sz w:val="1"/>
                <w:szCs w:val="1"/>
                <w:color w:val="auto"/>
              </w:rPr>
            </w:pPr>
          </w:p>
        </w:tc>
      </w:tr>
      <w:tr>
        <w:trPr>
          <w:trHeight w:val="180"/>
        </w:trPr>
        <w:tc>
          <w:tcPr>
            <w:tcW w:w="2300" w:type="dxa"/>
            <w:vAlign w:val="bottom"/>
            <w:gridSpan w:val="3"/>
          </w:tcPr>
          <w:p>
            <w:pPr>
              <w:spacing w:after="0"/>
              <w:rPr>
                <w:sz w:val="20"/>
                <w:szCs w:val="20"/>
                <w:color w:val="auto"/>
              </w:rPr>
            </w:pPr>
            <w:r>
              <w:rPr>
                <w:rFonts w:ascii="Arial" w:cs="Arial" w:eastAsia="Arial" w:hAnsi="Arial"/>
                <w:sz w:val="15"/>
                <w:szCs w:val="15"/>
                <w:color w:val="auto"/>
              </w:rPr>
              <w:t>Robert J. Mylod, Jr.</w:t>
            </w:r>
          </w:p>
        </w:tc>
        <w:tc>
          <w:tcPr>
            <w:tcW w:w="1020" w:type="dxa"/>
            <w:vAlign w:val="bottom"/>
            <w:gridSpan w:val="2"/>
          </w:tcPr>
          <w:p>
            <w:pPr>
              <w:jc w:val="center"/>
              <w:ind w:left="746"/>
              <w:spacing w:after="0"/>
              <w:rPr>
                <w:sz w:val="20"/>
                <w:szCs w:val="20"/>
                <w:color w:val="auto"/>
              </w:rPr>
            </w:pPr>
            <w:r>
              <w:rPr>
                <w:rFonts w:ascii="Arial" w:cs="Arial" w:eastAsia="Arial" w:hAnsi="Arial"/>
                <w:sz w:val="15"/>
                <w:szCs w:val="15"/>
                <w:color w:val="auto"/>
                <w:w w:val="95"/>
              </w:rPr>
              <w:t>51</w:t>
            </w:r>
          </w:p>
        </w:tc>
        <w:tc>
          <w:tcPr>
            <w:tcW w:w="5880" w:type="dxa"/>
            <w:vAlign w:val="bottom"/>
            <w:gridSpan w:val="2"/>
          </w:tcPr>
          <w:p>
            <w:pPr>
              <w:ind w:left="180"/>
              <w:spacing w:after="0"/>
              <w:rPr>
                <w:sz w:val="20"/>
                <w:szCs w:val="20"/>
                <w:color w:val="auto"/>
              </w:rPr>
            </w:pPr>
            <w:r>
              <w:rPr>
                <w:rFonts w:ascii="Arial" w:cs="Arial" w:eastAsia="Arial" w:hAnsi="Arial"/>
                <w:sz w:val="15"/>
                <w:szCs w:val="15"/>
                <w:color w:val="auto"/>
              </w:rPr>
              <w:t>Director</w:t>
            </w:r>
          </w:p>
        </w:tc>
        <w:tc>
          <w:tcPr>
            <w:tcW w:w="0" w:type="dxa"/>
            <w:vAlign w:val="bottom"/>
          </w:tcPr>
          <w:p>
            <w:pPr>
              <w:spacing w:after="0"/>
              <w:rPr>
                <w:sz w:val="1"/>
                <w:szCs w:val="1"/>
                <w:color w:val="auto"/>
              </w:rPr>
            </w:pPr>
          </w:p>
        </w:tc>
      </w:tr>
      <w:tr>
        <w:trPr>
          <w:trHeight w:val="180"/>
        </w:trPr>
        <w:tc>
          <w:tcPr>
            <w:tcW w:w="2300" w:type="dxa"/>
            <w:vAlign w:val="bottom"/>
            <w:gridSpan w:val="3"/>
          </w:tcPr>
          <w:p>
            <w:pPr>
              <w:spacing w:after="0"/>
              <w:rPr>
                <w:sz w:val="20"/>
                <w:szCs w:val="20"/>
                <w:color w:val="auto"/>
              </w:rPr>
            </w:pPr>
            <w:r>
              <w:rPr>
                <w:rFonts w:ascii="Arial" w:cs="Arial" w:eastAsia="Arial" w:hAnsi="Arial"/>
                <w:sz w:val="15"/>
                <w:szCs w:val="15"/>
                <w:color w:val="auto"/>
              </w:rPr>
              <w:t>Condoleezza Rice</w:t>
            </w:r>
          </w:p>
        </w:tc>
        <w:tc>
          <w:tcPr>
            <w:tcW w:w="1020" w:type="dxa"/>
            <w:vAlign w:val="bottom"/>
            <w:gridSpan w:val="2"/>
          </w:tcPr>
          <w:p>
            <w:pPr>
              <w:jc w:val="center"/>
              <w:ind w:left="746"/>
              <w:spacing w:after="0"/>
              <w:rPr>
                <w:sz w:val="20"/>
                <w:szCs w:val="20"/>
                <w:color w:val="auto"/>
              </w:rPr>
            </w:pPr>
            <w:r>
              <w:rPr>
                <w:rFonts w:ascii="Arial" w:cs="Arial" w:eastAsia="Arial" w:hAnsi="Arial"/>
                <w:sz w:val="15"/>
                <w:szCs w:val="15"/>
                <w:color w:val="auto"/>
                <w:w w:val="95"/>
              </w:rPr>
              <w:t>63</w:t>
            </w:r>
          </w:p>
        </w:tc>
        <w:tc>
          <w:tcPr>
            <w:tcW w:w="5880" w:type="dxa"/>
            <w:vAlign w:val="bottom"/>
            <w:gridSpan w:val="2"/>
          </w:tcPr>
          <w:p>
            <w:pPr>
              <w:ind w:left="180"/>
              <w:spacing w:after="0"/>
              <w:rPr>
                <w:sz w:val="20"/>
                <w:szCs w:val="20"/>
                <w:color w:val="auto"/>
              </w:rPr>
            </w:pPr>
            <w:r>
              <w:rPr>
                <w:rFonts w:ascii="Arial" w:cs="Arial" w:eastAsia="Arial" w:hAnsi="Arial"/>
                <w:sz w:val="15"/>
                <w:szCs w:val="15"/>
                <w:color w:val="auto"/>
              </w:rPr>
              <w:t>Director</w:t>
            </w:r>
          </w:p>
        </w:tc>
        <w:tc>
          <w:tcPr>
            <w:tcW w:w="0" w:type="dxa"/>
            <w:vAlign w:val="bottom"/>
          </w:tcPr>
          <w:p>
            <w:pPr>
              <w:spacing w:after="0"/>
              <w:rPr>
                <w:sz w:val="1"/>
                <w:szCs w:val="1"/>
                <w:color w:val="auto"/>
              </w:rPr>
            </w:pPr>
          </w:p>
        </w:tc>
      </w:tr>
      <w:tr>
        <w:trPr>
          <w:trHeight w:val="180"/>
        </w:trPr>
        <w:tc>
          <w:tcPr>
            <w:tcW w:w="2300" w:type="dxa"/>
            <w:vAlign w:val="bottom"/>
            <w:gridSpan w:val="3"/>
          </w:tcPr>
          <w:p>
            <w:pPr>
              <w:spacing w:after="0"/>
              <w:rPr>
                <w:sz w:val="20"/>
                <w:szCs w:val="20"/>
                <w:color w:val="auto"/>
              </w:rPr>
            </w:pPr>
            <w:r>
              <w:rPr>
                <w:rFonts w:ascii="Arial" w:cs="Arial" w:eastAsia="Arial" w:hAnsi="Arial"/>
                <w:sz w:val="15"/>
                <w:szCs w:val="15"/>
                <w:color w:val="auto"/>
              </w:rPr>
              <w:t>R. Bryan Schreier</w:t>
            </w:r>
          </w:p>
        </w:tc>
        <w:tc>
          <w:tcPr>
            <w:tcW w:w="1020" w:type="dxa"/>
            <w:vAlign w:val="bottom"/>
            <w:gridSpan w:val="2"/>
          </w:tcPr>
          <w:p>
            <w:pPr>
              <w:jc w:val="center"/>
              <w:ind w:left="746"/>
              <w:spacing w:after="0"/>
              <w:rPr>
                <w:sz w:val="20"/>
                <w:szCs w:val="20"/>
                <w:color w:val="auto"/>
              </w:rPr>
            </w:pPr>
            <w:r>
              <w:rPr>
                <w:rFonts w:ascii="Arial" w:cs="Arial" w:eastAsia="Arial" w:hAnsi="Arial"/>
                <w:sz w:val="15"/>
                <w:szCs w:val="15"/>
                <w:color w:val="auto"/>
                <w:w w:val="95"/>
              </w:rPr>
              <w:t>39</w:t>
            </w:r>
          </w:p>
        </w:tc>
        <w:tc>
          <w:tcPr>
            <w:tcW w:w="5880" w:type="dxa"/>
            <w:vAlign w:val="bottom"/>
            <w:gridSpan w:val="2"/>
          </w:tcPr>
          <w:p>
            <w:pPr>
              <w:ind w:left="180"/>
              <w:spacing w:after="0"/>
              <w:rPr>
                <w:sz w:val="20"/>
                <w:szCs w:val="20"/>
                <w:color w:val="auto"/>
              </w:rPr>
            </w:pPr>
            <w:r>
              <w:rPr>
                <w:rFonts w:ascii="Arial" w:cs="Arial" w:eastAsia="Arial" w:hAnsi="Arial"/>
                <w:sz w:val="15"/>
                <w:szCs w:val="15"/>
                <w:color w:val="auto"/>
              </w:rPr>
              <w:t>Director</w:t>
            </w:r>
          </w:p>
        </w:tc>
        <w:tc>
          <w:tcPr>
            <w:tcW w:w="0" w:type="dxa"/>
            <w:vAlign w:val="bottom"/>
          </w:tcPr>
          <w:p>
            <w:pPr>
              <w:spacing w:after="0"/>
              <w:rPr>
                <w:sz w:val="1"/>
                <w:szCs w:val="1"/>
                <w:color w:val="auto"/>
              </w:rPr>
            </w:pPr>
          </w:p>
        </w:tc>
      </w:tr>
      <w:tr>
        <w:trPr>
          <w:trHeight w:val="190"/>
        </w:trPr>
        <w:tc>
          <w:tcPr>
            <w:tcW w:w="2300" w:type="dxa"/>
            <w:vAlign w:val="bottom"/>
            <w:gridSpan w:val="3"/>
          </w:tcPr>
          <w:p>
            <w:pPr>
              <w:spacing w:after="0"/>
              <w:rPr>
                <w:sz w:val="20"/>
                <w:szCs w:val="20"/>
                <w:color w:val="auto"/>
              </w:rPr>
            </w:pPr>
            <w:r>
              <w:rPr>
                <w:rFonts w:ascii="Arial" w:cs="Arial" w:eastAsia="Arial" w:hAnsi="Arial"/>
                <w:sz w:val="15"/>
                <w:szCs w:val="15"/>
                <w:color w:val="auto"/>
              </w:rPr>
              <w:t>Margaret C. Whitman</w:t>
            </w:r>
          </w:p>
        </w:tc>
        <w:tc>
          <w:tcPr>
            <w:tcW w:w="1020" w:type="dxa"/>
            <w:vAlign w:val="bottom"/>
            <w:gridSpan w:val="2"/>
          </w:tcPr>
          <w:p>
            <w:pPr>
              <w:jc w:val="center"/>
              <w:ind w:left="746"/>
              <w:spacing w:after="0"/>
              <w:rPr>
                <w:sz w:val="20"/>
                <w:szCs w:val="20"/>
                <w:color w:val="auto"/>
              </w:rPr>
            </w:pPr>
            <w:r>
              <w:rPr>
                <w:rFonts w:ascii="Arial" w:cs="Arial" w:eastAsia="Arial" w:hAnsi="Arial"/>
                <w:sz w:val="15"/>
                <w:szCs w:val="15"/>
                <w:color w:val="auto"/>
                <w:w w:val="95"/>
              </w:rPr>
              <w:t>61</w:t>
            </w:r>
          </w:p>
        </w:tc>
        <w:tc>
          <w:tcPr>
            <w:tcW w:w="5880" w:type="dxa"/>
            <w:vAlign w:val="bottom"/>
            <w:gridSpan w:val="2"/>
          </w:tcPr>
          <w:p>
            <w:pPr>
              <w:ind w:left="180"/>
              <w:spacing w:after="0"/>
              <w:rPr>
                <w:sz w:val="20"/>
                <w:szCs w:val="20"/>
                <w:color w:val="auto"/>
              </w:rPr>
            </w:pPr>
            <w:r>
              <w:rPr>
                <w:rFonts w:ascii="Arial" w:cs="Arial" w:eastAsia="Arial" w:hAnsi="Arial"/>
                <w:sz w:val="15"/>
                <w:szCs w:val="15"/>
                <w:color w:val="auto"/>
              </w:rPr>
              <w:t>Director</w:t>
            </w:r>
          </w:p>
        </w:tc>
        <w:tc>
          <w:tcPr>
            <w:tcW w:w="0" w:type="dxa"/>
            <w:vAlign w:val="bottom"/>
          </w:tcPr>
          <w:p>
            <w:pPr>
              <w:spacing w:after="0"/>
              <w:rPr>
                <w:sz w:val="1"/>
                <w:szCs w:val="1"/>
                <w:color w:val="auto"/>
              </w:rPr>
            </w:pPr>
          </w:p>
        </w:tc>
      </w:tr>
    </w:tbl>
    <w:p>
      <w:pPr>
        <w:spacing w:after="0" w:line="261" w:lineRule="exact"/>
        <w:rPr>
          <w:sz w:val="20"/>
          <w:szCs w:val="20"/>
          <w:color w:val="auto"/>
        </w:rPr>
      </w:pPr>
    </w:p>
    <w:p>
      <w:pPr>
        <w:ind w:left="1480"/>
        <w:spacing w:after="0"/>
        <w:rPr>
          <w:sz w:val="20"/>
          <w:szCs w:val="20"/>
          <w:color w:val="auto"/>
        </w:rPr>
      </w:pPr>
      <w:r>
        <w:rPr>
          <w:rFonts w:ascii="Arial" w:cs="Arial" w:eastAsia="Arial" w:hAnsi="Arial"/>
          <w:sz w:val="15"/>
          <w:szCs w:val="15"/>
          <w:b w:val="1"/>
          <w:bCs w:val="1"/>
          <w:i w:val="1"/>
          <w:iCs w:val="1"/>
          <w:color w:val="auto"/>
        </w:rPr>
        <w:t>Executive officers</w:t>
      </w:r>
    </w:p>
    <w:p>
      <w:pPr>
        <w:spacing w:after="0" w:line="98" w:lineRule="exact"/>
        <w:rPr>
          <w:sz w:val="20"/>
          <w:szCs w:val="20"/>
          <w:color w:val="auto"/>
        </w:rPr>
      </w:pPr>
    </w:p>
    <w:p>
      <w:pPr>
        <w:ind w:left="1120" w:right="480" w:firstLine="368"/>
        <w:spacing w:after="0" w:line="312" w:lineRule="auto"/>
        <w:rPr>
          <w:sz w:val="20"/>
          <w:szCs w:val="20"/>
          <w:color w:val="auto"/>
        </w:rPr>
      </w:pPr>
      <w:r>
        <w:rPr>
          <w:rFonts w:ascii="Arial" w:cs="Arial" w:eastAsia="Arial" w:hAnsi="Arial"/>
          <w:sz w:val="14"/>
          <w:szCs w:val="14"/>
          <w:i w:val="1"/>
          <w:iCs w:val="1"/>
          <w:color w:val="auto"/>
        </w:rPr>
        <w:t>Andrew W. Houston</w:t>
      </w:r>
      <w:r>
        <w:rPr>
          <w:rFonts w:ascii="Arial" w:cs="Arial" w:eastAsia="Arial" w:hAnsi="Arial"/>
          <w:sz w:val="14"/>
          <w:szCs w:val="14"/>
          <w:color w:val="auto"/>
        </w:rPr>
        <w:t>. Mr. Houston is one of our co-founders and has served as a member of our Board of Directors and our Chief Executive</w:t>
      </w:r>
      <w:r>
        <w:rPr>
          <w:rFonts w:ascii="Arial" w:cs="Arial" w:eastAsia="Arial" w:hAnsi="Arial"/>
          <w:sz w:val="14"/>
          <w:szCs w:val="14"/>
          <w:i w:val="1"/>
          <w:iCs w:val="1"/>
          <w:color w:val="auto"/>
        </w:rPr>
        <w:t xml:space="preserve"> </w:t>
      </w:r>
      <w:r>
        <w:rPr>
          <w:rFonts w:ascii="Arial" w:cs="Arial" w:eastAsia="Arial" w:hAnsi="Arial"/>
          <w:sz w:val="14"/>
          <w:szCs w:val="14"/>
          <w:color w:val="auto"/>
        </w:rPr>
        <w:t>Officer since June 2007. Mr. Houston holds a B.S. in Computer Science from the Massachusetts Institute of Technology.</w:t>
      </w:r>
    </w:p>
    <w:p>
      <w:pPr>
        <w:spacing w:after="0" w:line="123" w:lineRule="exact"/>
        <w:rPr>
          <w:sz w:val="20"/>
          <w:szCs w:val="20"/>
          <w:color w:val="auto"/>
        </w:rPr>
      </w:pPr>
    </w:p>
    <w:p>
      <w:pPr>
        <w:ind w:left="1120" w:right="160" w:firstLine="368"/>
        <w:spacing w:after="0" w:line="275" w:lineRule="auto"/>
        <w:rPr>
          <w:sz w:val="20"/>
          <w:szCs w:val="20"/>
          <w:color w:val="auto"/>
        </w:rPr>
      </w:pPr>
      <w:r>
        <w:rPr>
          <w:rFonts w:ascii="Arial" w:cs="Arial" w:eastAsia="Arial" w:hAnsi="Arial"/>
          <w:sz w:val="15"/>
          <w:szCs w:val="15"/>
          <w:color w:val="auto"/>
        </w:rPr>
        <w:t>Mr. Houston was selected to serve on our Board of Directors because of the perspective and experience he brings as our Chief Executive Officer and as one of our co-founders.</w:t>
      </w:r>
    </w:p>
    <w:p>
      <w:pPr>
        <w:spacing w:after="0" w:line="146" w:lineRule="exact"/>
        <w:rPr>
          <w:sz w:val="20"/>
          <w:szCs w:val="20"/>
          <w:color w:val="auto"/>
        </w:rPr>
      </w:pPr>
    </w:p>
    <w:p>
      <w:pPr>
        <w:ind w:left="1120" w:right="120" w:firstLine="368"/>
        <w:spacing w:after="0" w:line="312" w:lineRule="auto"/>
        <w:rPr>
          <w:sz w:val="20"/>
          <w:szCs w:val="20"/>
          <w:color w:val="auto"/>
        </w:rPr>
      </w:pPr>
      <w:r>
        <w:rPr>
          <w:rFonts w:ascii="Arial" w:cs="Arial" w:eastAsia="Arial" w:hAnsi="Arial"/>
          <w:sz w:val="14"/>
          <w:szCs w:val="14"/>
          <w:i w:val="1"/>
          <w:iCs w:val="1"/>
          <w:color w:val="auto"/>
        </w:rPr>
        <w:t>Arash Ferdowsi</w:t>
      </w:r>
      <w:r>
        <w:rPr>
          <w:rFonts w:ascii="Arial" w:cs="Arial" w:eastAsia="Arial" w:hAnsi="Arial"/>
          <w:sz w:val="14"/>
          <w:szCs w:val="14"/>
          <w:color w:val="auto"/>
        </w:rPr>
        <w:t>. Mr. Ferdowsi is one of our co-founders and has served as a member of our Board of Directors since June 2007. From June 2007</w:t>
      </w:r>
      <w:r>
        <w:rPr>
          <w:rFonts w:ascii="Arial" w:cs="Arial" w:eastAsia="Arial" w:hAnsi="Arial"/>
          <w:sz w:val="14"/>
          <w:szCs w:val="14"/>
          <w:i w:val="1"/>
          <w:iCs w:val="1"/>
          <w:color w:val="auto"/>
        </w:rPr>
        <w:t xml:space="preserve"> </w:t>
      </w:r>
      <w:r>
        <w:rPr>
          <w:rFonts w:ascii="Arial" w:cs="Arial" w:eastAsia="Arial" w:hAnsi="Arial"/>
          <w:sz w:val="14"/>
          <w:szCs w:val="14"/>
          <w:color w:val="auto"/>
        </w:rPr>
        <w:t>to October 2016, Mr. Ferdowsi served as our Chief Technology Officer. Mr. Ferdowsi attended the Massachusetts Institute of Technology.</w:t>
      </w:r>
    </w:p>
    <w:p>
      <w:pPr>
        <w:spacing w:after="0" w:line="123" w:lineRule="exact"/>
        <w:rPr>
          <w:sz w:val="20"/>
          <w:szCs w:val="20"/>
          <w:color w:val="auto"/>
        </w:rPr>
      </w:pPr>
    </w:p>
    <w:p>
      <w:pPr>
        <w:ind w:left="1480"/>
        <w:spacing w:after="0"/>
        <w:rPr>
          <w:sz w:val="20"/>
          <w:szCs w:val="20"/>
          <w:color w:val="auto"/>
        </w:rPr>
      </w:pPr>
      <w:r>
        <w:rPr>
          <w:rFonts w:ascii="Arial" w:cs="Arial" w:eastAsia="Arial" w:hAnsi="Arial"/>
          <w:sz w:val="14"/>
          <w:szCs w:val="14"/>
          <w:color w:val="auto"/>
        </w:rPr>
        <w:t>Mr. Ferdowsi was selected to serve on our Board of Directors because of the perspective and experience he brings as one of our co-founders.</w:t>
      </w:r>
    </w:p>
    <w:p>
      <w:pPr>
        <w:spacing w:after="0" w:line="200" w:lineRule="exact"/>
        <w:rPr>
          <w:sz w:val="20"/>
          <w:szCs w:val="20"/>
          <w:color w:val="auto"/>
        </w:rPr>
      </w:pPr>
    </w:p>
    <w:p>
      <w:pPr>
        <w:ind w:left="1120" w:right="100" w:firstLine="368"/>
        <w:spacing w:after="0" w:line="255" w:lineRule="auto"/>
        <w:rPr>
          <w:sz w:val="20"/>
          <w:szCs w:val="20"/>
          <w:color w:val="auto"/>
        </w:rPr>
      </w:pPr>
      <w:r>
        <w:rPr>
          <w:rFonts w:ascii="Arial" w:cs="Arial" w:eastAsia="Arial" w:hAnsi="Arial"/>
          <w:sz w:val="15"/>
          <w:szCs w:val="15"/>
          <w:i w:val="1"/>
          <w:iCs w:val="1"/>
          <w:color w:val="auto"/>
        </w:rPr>
        <w:t>Quentin J. Clark</w:t>
      </w:r>
      <w:r>
        <w:rPr>
          <w:rFonts w:ascii="Arial" w:cs="Arial" w:eastAsia="Arial" w:hAnsi="Arial"/>
          <w:sz w:val="15"/>
          <w:szCs w:val="15"/>
          <w:color w:val="auto"/>
        </w:rPr>
        <w:t>. Mr. Clark has served as our Senior Vice President of Engineering, Product, and Design since September 2017. From November</w:t>
      </w:r>
      <w:r>
        <w:rPr>
          <w:rFonts w:ascii="Arial" w:cs="Arial" w:eastAsia="Arial" w:hAnsi="Arial"/>
          <w:sz w:val="15"/>
          <w:szCs w:val="15"/>
          <w:i w:val="1"/>
          <w:iCs w:val="1"/>
          <w:color w:val="auto"/>
        </w:rPr>
        <w:t xml:space="preserve"> </w:t>
      </w:r>
      <w:r>
        <w:rPr>
          <w:rFonts w:ascii="Arial" w:cs="Arial" w:eastAsia="Arial" w:hAnsi="Arial"/>
          <w:sz w:val="15"/>
          <w:szCs w:val="15"/>
          <w:color w:val="auto"/>
        </w:rPr>
        <w:t>2014 to September 2016, Mr. Clark served as Executive Vice President for SAP America, Inc., a developer of business software solutions, as its Chief Business Officer from October 2015 to September 2016, and as its Chief Technology Officer from November 2014 to October 2015. Prior to joining SAP, Mr. Clark served at Microsoft Corporation, a global technology company, and as a Corporate Vice President of enterprise business units since 2011, and held various engineering and product leadership roles at Microsoft since 1994. Mr. Clark holds a B.S. in Physics from the University of Massachusetts Amherst.</w:t>
      </w:r>
    </w:p>
    <w:p>
      <w:pPr>
        <w:spacing w:after="0" w:line="164" w:lineRule="exact"/>
        <w:rPr>
          <w:sz w:val="20"/>
          <w:szCs w:val="20"/>
          <w:color w:val="auto"/>
        </w:rPr>
      </w:pPr>
    </w:p>
    <w:p>
      <w:pPr>
        <w:jc w:val="both"/>
        <w:ind w:left="1120" w:right="100" w:firstLine="368"/>
        <w:spacing w:after="0" w:line="263" w:lineRule="auto"/>
        <w:rPr>
          <w:sz w:val="20"/>
          <w:szCs w:val="20"/>
          <w:color w:val="auto"/>
        </w:rPr>
      </w:pPr>
      <w:r>
        <w:rPr>
          <w:rFonts w:ascii="Arial" w:cs="Arial" w:eastAsia="Arial" w:hAnsi="Arial"/>
          <w:sz w:val="15"/>
          <w:szCs w:val="15"/>
          <w:i w:val="1"/>
          <w:iCs w:val="1"/>
          <w:color w:val="auto"/>
        </w:rPr>
        <w:t>Ajay V. Vashee</w:t>
      </w:r>
      <w:r>
        <w:rPr>
          <w:rFonts w:ascii="Arial" w:cs="Arial" w:eastAsia="Arial" w:hAnsi="Arial"/>
          <w:sz w:val="15"/>
          <w:szCs w:val="15"/>
          <w:color w:val="auto"/>
        </w:rPr>
        <w:t>. Mr. Vashee has served as our Chief Financial Officer since September 2016. From February 2015 to September 2016, Mr. Vashee</w:t>
      </w:r>
      <w:r>
        <w:rPr>
          <w:rFonts w:ascii="Arial" w:cs="Arial" w:eastAsia="Arial" w:hAnsi="Arial"/>
          <w:sz w:val="15"/>
          <w:szCs w:val="15"/>
          <w:i w:val="1"/>
          <w:iCs w:val="1"/>
          <w:color w:val="auto"/>
        </w:rPr>
        <w:t xml:space="preserve"> </w:t>
      </w:r>
      <w:r>
        <w:rPr>
          <w:rFonts w:ascii="Arial" w:cs="Arial" w:eastAsia="Arial" w:hAnsi="Arial"/>
          <w:sz w:val="15"/>
          <w:szCs w:val="15"/>
          <w:color w:val="auto"/>
        </w:rPr>
        <w:t>served as our Head of Corporate Development. From April 2012 to February 2015, Mr. Vashee served as our Head of Finance. Mr. Vashee holds a B.A. in Economics-Political Science from Columbia University.</w:t>
      </w:r>
    </w:p>
    <w:p>
      <w:pPr>
        <w:spacing w:after="0" w:line="98" w:lineRule="exact"/>
        <w:rPr>
          <w:sz w:val="20"/>
          <w:szCs w:val="20"/>
          <w:color w:val="auto"/>
        </w:rPr>
      </w:pPr>
    </w:p>
    <w:p>
      <w:pPr>
        <w:ind w:left="5600"/>
        <w:spacing w:after="0"/>
        <w:rPr>
          <w:sz w:val="20"/>
          <w:szCs w:val="20"/>
          <w:color w:val="auto"/>
        </w:rPr>
      </w:pPr>
      <w:r>
        <w:rPr>
          <w:rFonts w:ascii="Arial" w:cs="Arial" w:eastAsia="Arial" w:hAnsi="Arial"/>
          <w:sz w:val="15"/>
          <w:szCs w:val="15"/>
          <w:color w:val="auto"/>
        </w:rPr>
        <w:t>137</w:t>
      </w:r>
    </w:p>
    <w:p>
      <w:pPr>
        <w:sectPr>
          <w:pgSz w:w="11900" w:h="16838" w:orient="portrait"/>
          <w:cols w:equalWidth="0" w:num="1">
            <w:col w:w="10320"/>
          </w:cols>
          <w:pgMar w:left="240" w:top="407" w:right="1339" w:bottom="1440" w:gutter="0" w:footer="0" w:header="0"/>
        </w:sectPr>
      </w:pPr>
    </w:p>
    <w:bookmarkStart w:id="144" w:name="page145"/>
    <w:bookmarkEnd w:id="144"/>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133350</wp:posOffset>
            </wp:positionH>
            <wp:positionV relativeFrom="page">
              <wp:posOffset>88900</wp:posOffset>
            </wp:positionV>
            <wp:extent cx="7308850" cy="3429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308850" cy="34290"/>
                    </a:xfrm>
                    <a:prstGeom prst="rect">
                      <a:avLst/>
                    </a:prstGeom>
                    <a:noFill/>
                  </pic:spPr>
                </pic:pic>
              </a:graphicData>
            </a:graphic>
          </wp:anchor>
        </w:drawing>
      </w:r>
      <w:hyperlink w:anchor="page7">
        <w:r>
          <w:rPr>
            <w:rFonts w:ascii="Arial" w:cs="Arial" w:eastAsia="Arial" w:hAnsi="Arial"/>
            <w:sz w:val="15"/>
            <w:szCs w:val="15"/>
            <w:b w:val="1"/>
            <w:bCs w:val="1"/>
            <w:u w:val="single" w:color="auto"/>
            <w:color w:val="0000EE"/>
          </w:rPr>
          <w:t>Table of Contents</w:t>
        </w:r>
      </w:hyperlink>
    </w:p>
    <w:p>
      <w:pPr>
        <w:spacing w:after="0" w:line="260" w:lineRule="exact"/>
        <w:rPr>
          <w:sz w:val="20"/>
          <w:szCs w:val="20"/>
          <w:color w:val="auto"/>
        </w:rPr>
      </w:pPr>
    </w:p>
    <w:p>
      <w:pPr>
        <w:ind w:left="1120" w:right="220" w:firstLine="368"/>
        <w:spacing w:after="0" w:line="263" w:lineRule="auto"/>
        <w:rPr>
          <w:sz w:val="20"/>
          <w:szCs w:val="20"/>
          <w:color w:val="auto"/>
        </w:rPr>
      </w:pPr>
      <w:r>
        <w:rPr>
          <w:rFonts w:ascii="Arial" w:cs="Arial" w:eastAsia="Arial" w:hAnsi="Arial"/>
          <w:sz w:val="15"/>
          <w:szCs w:val="15"/>
          <w:i w:val="1"/>
          <w:iCs w:val="1"/>
          <w:color w:val="auto"/>
        </w:rPr>
        <w:t>Bart E. Volkmer</w:t>
      </w:r>
      <w:r>
        <w:rPr>
          <w:rFonts w:ascii="Arial" w:cs="Arial" w:eastAsia="Arial" w:hAnsi="Arial"/>
          <w:sz w:val="15"/>
          <w:szCs w:val="15"/>
          <w:color w:val="auto"/>
        </w:rPr>
        <w:t>. Mr. Volkmer has served as our General Counsel since June 2016. From August 2011 to June 2016, Mr. Volkmer served as our</w:t>
      </w:r>
      <w:r>
        <w:rPr>
          <w:rFonts w:ascii="Arial" w:cs="Arial" w:eastAsia="Arial" w:hAnsi="Arial"/>
          <w:sz w:val="15"/>
          <w:szCs w:val="15"/>
          <w:i w:val="1"/>
          <w:iCs w:val="1"/>
          <w:color w:val="auto"/>
        </w:rPr>
        <w:t xml:space="preserve"> </w:t>
      </w:r>
      <w:r>
        <w:rPr>
          <w:rFonts w:ascii="Arial" w:cs="Arial" w:eastAsia="Arial" w:hAnsi="Arial"/>
          <w:sz w:val="15"/>
          <w:szCs w:val="15"/>
          <w:color w:val="auto"/>
        </w:rPr>
        <w:t>Head of Litigation &amp; Regulatory. Mr. Volkmer holds a J.D. from Santa Clara University School of Law and a B.A. in English from Creighton University.</w:t>
      </w:r>
    </w:p>
    <w:p>
      <w:pPr>
        <w:spacing w:after="0" w:line="155" w:lineRule="exact"/>
        <w:rPr>
          <w:sz w:val="20"/>
          <w:szCs w:val="20"/>
          <w:color w:val="auto"/>
        </w:rPr>
      </w:pPr>
    </w:p>
    <w:p>
      <w:pPr>
        <w:ind w:left="1120" w:right="80" w:firstLine="368"/>
        <w:spacing w:after="0" w:line="283" w:lineRule="auto"/>
        <w:rPr>
          <w:sz w:val="20"/>
          <w:szCs w:val="20"/>
          <w:color w:val="auto"/>
        </w:rPr>
      </w:pPr>
      <w:r>
        <w:rPr>
          <w:rFonts w:ascii="Arial" w:cs="Arial" w:eastAsia="Arial" w:hAnsi="Arial"/>
          <w:sz w:val="14"/>
          <w:szCs w:val="14"/>
          <w:i w:val="1"/>
          <w:iCs w:val="1"/>
          <w:color w:val="auto"/>
        </w:rPr>
        <w:t>Dennis M. Woodside</w:t>
      </w:r>
      <w:r>
        <w:rPr>
          <w:rFonts w:ascii="Arial" w:cs="Arial" w:eastAsia="Arial" w:hAnsi="Arial"/>
          <w:sz w:val="14"/>
          <w:szCs w:val="14"/>
          <w:color w:val="auto"/>
        </w:rPr>
        <w:t>. Mr. Woodside has served as our Chief Operating Officer since April 2014. From May 2012 to April 2014, Mr. Woodside</w:t>
      </w:r>
      <w:r>
        <w:rPr>
          <w:rFonts w:ascii="Arial" w:cs="Arial" w:eastAsia="Arial" w:hAnsi="Arial"/>
          <w:sz w:val="14"/>
          <w:szCs w:val="14"/>
          <w:i w:val="1"/>
          <w:iCs w:val="1"/>
          <w:color w:val="auto"/>
        </w:rPr>
        <w:t xml:space="preserve"> </w:t>
      </w:r>
      <w:r>
        <w:rPr>
          <w:rFonts w:ascii="Arial" w:cs="Arial" w:eastAsia="Arial" w:hAnsi="Arial"/>
          <w:sz w:val="14"/>
          <w:szCs w:val="14"/>
          <w:color w:val="auto"/>
        </w:rPr>
        <w:t>served as Chief Executive Officer for Motorola Mobility LLC, a consumer electronics and telecommunications company now owned by Lenovo Group Ltd. From March 2009 to September 2011, Mr. Woodside served as President, Americas &amp; Senior Vice President for Google Inc., a global technology company. Mr. Woodside holds a J.D. from Stanford Law School and a B.S. in Industrial Relations from Cornell University.</w:t>
      </w:r>
    </w:p>
    <w:p>
      <w:pPr>
        <w:spacing w:after="0" w:line="233" w:lineRule="exact"/>
        <w:rPr>
          <w:sz w:val="20"/>
          <w:szCs w:val="20"/>
          <w:color w:val="auto"/>
        </w:rPr>
      </w:pPr>
    </w:p>
    <w:p>
      <w:pPr>
        <w:ind w:left="1480"/>
        <w:spacing w:after="0"/>
        <w:rPr>
          <w:sz w:val="20"/>
          <w:szCs w:val="20"/>
          <w:color w:val="auto"/>
        </w:rPr>
      </w:pPr>
      <w:r>
        <w:rPr>
          <w:rFonts w:ascii="Arial" w:cs="Arial" w:eastAsia="Arial" w:hAnsi="Arial"/>
          <w:sz w:val="15"/>
          <w:szCs w:val="15"/>
          <w:b w:val="1"/>
          <w:bCs w:val="1"/>
          <w:i w:val="1"/>
          <w:iCs w:val="1"/>
          <w:color w:val="auto"/>
        </w:rPr>
        <w:t>Non-executive directors</w:t>
      </w:r>
    </w:p>
    <w:p>
      <w:pPr>
        <w:spacing w:after="0" w:line="98" w:lineRule="exact"/>
        <w:rPr>
          <w:sz w:val="20"/>
          <w:szCs w:val="20"/>
          <w:color w:val="auto"/>
        </w:rPr>
      </w:pPr>
    </w:p>
    <w:p>
      <w:pPr>
        <w:ind w:left="1120" w:right="100" w:firstLine="368"/>
        <w:spacing w:after="0" w:line="277" w:lineRule="auto"/>
        <w:rPr>
          <w:sz w:val="20"/>
          <w:szCs w:val="20"/>
          <w:color w:val="auto"/>
        </w:rPr>
      </w:pPr>
      <w:r>
        <w:rPr>
          <w:rFonts w:ascii="Arial" w:cs="Arial" w:eastAsia="Arial" w:hAnsi="Arial"/>
          <w:sz w:val="14"/>
          <w:szCs w:val="14"/>
          <w:i w:val="1"/>
          <w:iCs w:val="1"/>
          <w:color w:val="auto"/>
        </w:rPr>
        <w:t xml:space="preserve">Donald W. Blair. </w:t>
      </w:r>
      <w:r>
        <w:rPr>
          <w:rFonts w:ascii="Arial" w:cs="Arial" w:eastAsia="Arial" w:hAnsi="Arial"/>
          <w:sz w:val="14"/>
          <w:szCs w:val="14"/>
          <w:color w:val="auto"/>
        </w:rPr>
        <w:t>Mr. Blair has served as a member of our Board of Directors since December 2017. From November 1999 to October 2015, Mr.</w:t>
      </w:r>
      <w:r>
        <w:rPr>
          <w:rFonts w:ascii="Arial" w:cs="Arial" w:eastAsia="Arial" w:hAnsi="Arial"/>
          <w:sz w:val="14"/>
          <w:szCs w:val="14"/>
          <w:i w:val="1"/>
          <w:iCs w:val="1"/>
          <w:color w:val="auto"/>
        </w:rPr>
        <w:t xml:space="preserve"> </w:t>
      </w:r>
      <w:r>
        <w:rPr>
          <w:rFonts w:ascii="Arial" w:cs="Arial" w:eastAsia="Arial" w:hAnsi="Arial"/>
          <w:sz w:val="14"/>
          <w:szCs w:val="14"/>
          <w:color w:val="auto"/>
        </w:rPr>
        <w:t>Blair served as Executive Vice President and Chief Financial Officer for NIKE, Inc., or NIKE, a global footwear and apparel company. Prior to joining NIKE, for fifteen years, Mr. Blair served in a number of senior executive-level corporate and operating unit financial assignments for PepsiCo, Inc., or PepsiCo, a food and beverage company, including Chief Financial Officer for PepsiCo Japan (based in Tokyo) and Pepsi-Cola International’s Asia Division (based in Hong Kong). Mr. Blair currently serves as a member of the board of directors for Corning Incorporated, a global manufacturing company. Mr. Blair holds an M.B.A. and a B.S. in Economics from the University of Pennsylvania.</w:t>
      </w:r>
    </w:p>
    <w:p>
      <w:pPr>
        <w:spacing w:after="0" w:line="148" w:lineRule="exact"/>
        <w:rPr>
          <w:sz w:val="20"/>
          <w:szCs w:val="20"/>
          <w:color w:val="auto"/>
        </w:rPr>
      </w:pPr>
    </w:p>
    <w:p>
      <w:pPr>
        <w:ind w:left="1120" w:right="100" w:firstLine="368"/>
        <w:spacing w:after="0" w:line="275" w:lineRule="auto"/>
        <w:rPr>
          <w:sz w:val="20"/>
          <w:szCs w:val="20"/>
          <w:color w:val="auto"/>
        </w:rPr>
      </w:pPr>
      <w:r>
        <w:rPr>
          <w:rFonts w:ascii="Arial" w:cs="Arial" w:eastAsia="Arial" w:hAnsi="Arial"/>
          <w:sz w:val="15"/>
          <w:szCs w:val="15"/>
          <w:color w:val="auto"/>
        </w:rPr>
        <w:t>Mr. Blair was selected to serve on our Board of Directors because of his extensive financial expertise, and business management and governance experience.</w:t>
      </w:r>
    </w:p>
    <w:p>
      <w:pPr>
        <w:spacing w:after="0" w:line="146" w:lineRule="exact"/>
        <w:rPr>
          <w:sz w:val="20"/>
          <w:szCs w:val="20"/>
          <w:color w:val="auto"/>
        </w:rPr>
      </w:pPr>
    </w:p>
    <w:p>
      <w:pPr>
        <w:ind w:left="1120" w:firstLine="368"/>
        <w:spacing w:after="0" w:line="255" w:lineRule="auto"/>
        <w:rPr>
          <w:sz w:val="20"/>
          <w:szCs w:val="20"/>
          <w:color w:val="auto"/>
        </w:rPr>
      </w:pPr>
      <w:r>
        <w:rPr>
          <w:rFonts w:ascii="Arial" w:cs="Arial" w:eastAsia="Arial" w:hAnsi="Arial"/>
          <w:sz w:val="15"/>
          <w:szCs w:val="15"/>
          <w:i w:val="1"/>
          <w:iCs w:val="1"/>
          <w:color w:val="auto"/>
        </w:rPr>
        <w:t>Paul E. Jacobs, Ph.D</w:t>
      </w:r>
      <w:r>
        <w:rPr>
          <w:rFonts w:ascii="Arial" w:cs="Arial" w:eastAsia="Arial" w:hAnsi="Arial"/>
          <w:sz w:val="15"/>
          <w:szCs w:val="15"/>
          <w:color w:val="auto"/>
        </w:rPr>
        <w:t>. Dr. Jacobs has served as a member of our Board of Directors since April 2016. From March 2014 to March 2018, Dr.</w:t>
      </w:r>
      <w:r>
        <w:rPr>
          <w:rFonts w:ascii="Arial" w:cs="Arial" w:eastAsia="Arial" w:hAnsi="Arial"/>
          <w:sz w:val="15"/>
          <w:szCs w:val="15"/>
          <w:i w:val="1"/>
          <w:iCs w:val="1"/>
          <w:color w:val="auto"/>
        </w:rPr>
        <w:t xml:space="preserve"> </w:t>
      </w:r>
      <w:r>
        <w:rPr>
          <w:rFonts w:ascii="Arial" w:cs="Arial" w:eastAsia="Arial" w:hAnsi="Arial"/>
          <w:sz w:val="15"/>
          <w:szCs w:val="15"/>
          <w:color w:val="auto"/>
        </w:rPr>
        <w:t>Jacobs served as Executive Chairman for Qualcomm, a semiconductor and telecommunications equipment company. From March 2009 to March 2014, Dr. Jacobs served as Chairman of the board of directors for Qualcomm. From July 2005 to March 2017, Dr. Jacobs served as Chief Executive Officer for Qualcomm Inc. Dr. Jacobs also currently serves as a member of the board of directors for a number of private companies. Dr. Jacobs holds a Ph.D. in Electrical Engineering and Computer Science, a M.S. in Electrical Engineering, and a B.S. in Electrical Engineering and Computer Science from the University of California, Berkeley.</w:t>
      </w:r>
    </w:p>
    <w:p>
      <w:pPr>
        <w:spacing w:after="0" w:line="164" w:lineRule="exact"/>
        <w:rPr>
          <w:sz w:val="20"/>
          <w:szCs w:val="20"/>
          <w:color w:val="auto"/>
        </w:rPr>
      </w:pPr>
    </w:p>
    <w:p>
      <w:pPr>
        <w:ind w:left="1480"/>
        <w:spacing w:after="0"/>
        <w:rPr>
          <w:sz w:val="20"/>
          <w:szCs w:val="20"/>
          <w:color w:val="auto"/>
        </w:rPr>
      </w:pPr>
      <w:r>
        <w:rPr>
          <w:rFonts w:ascii="Arial" w:cs="Arial" w:eastAsia="Arial" w:hAnsi="Arial"/>
          <w:sz w:val="14"/>
          <w:szCs w:val="14"/>
          <w:color w:val="auto"/>
        </w:rPr>
        <w:t>Dr. Jacobs was selected to serve on our Board of Directors because of his extensive business, operations, and management experience.</w:t>
      </w:r>
    </w:p>
    <w:p>
      <w:pPr>
        <w:spacing w:after="0" w:line="200" w:lineRule="exact"/>
        <w:rPr>
          <w:sz w:val="20"/>
          <w:szCs w:val="20"/>
          <w:color w:val="auto"/>
        </w:rPr>
      </w:pPr>
    </w:p>
    <w:p>
      <w:pPr>
        <w:ind w:left="1120" w:firstLine="368"/>
        <w:spacing w:after="0" w:line="255" w:lineRule="auto"/>
        <w:rPr>
          <w:sz w:val="20"/>
          <w:szCs w:val="20"/>
          <w:color w:val="auto"/>
        </w:rPr>
      </w:pPr>
      <w:r>
        <w:rPr>
          <w:rFonts w:ascii="Arial" w:cs="Arial" w:eastAsia="Arial" w:hAnsi="Arial"/>
          <w:sz w:val="15"/>
          <w:szCs w:val="15"/>
          <w:i w:val="1"/>
          <w:iCs w:val="1"/>
          <w:color w:val="auto"/>
        </w:rPr>
        <w:t>Robert J. Mylod Jr</w:t>
      </w:r>
      <w:r>
        <w:rPr>
          <w:rFonts w:ascii="Arial" w:cs="Arial" w:eastAsia="Arial" w:hAnsi="Arial"/>
          <w:sz w:val="15"/>
          <w:szCs w:val="15"/>
          <w:color w:val="auto"/>
        </w:rPr>
        <w:t>. Mr. Mylod has served as a member of our Board of Directors since September 2014. Mr. Mylod has served as Managing</w:t>
      </w:r>
      <w:r>
        <w:rPr>
          <w:rFonts w:ascii="Arial" w:cs="Arial" w:eastAsia="Arial" w:hAnsi="Arial"/>
          <w:sz w:val="15"/>
          <w:szCs w:val="15"/>
          <w:i w:val="1"/>
          <w:iCs w:val="1"/>
          <w:color w:val="auto"/>
        </w:rPr>
        <w:t xml:space="preserve"> </w:t>
      </w:r>
      <w:r>
        <w:rPr>
          <w:rFonts w:ascii="Arial" w:cs="Arial" w:eastAsia="Arial" w:hAnsi="Arial"/>
          <w:sz w:val="15"/>
          <w:szCs w:val="15"/>
          <w:color w:val="auto"/>
        </w:rPr>
        <w:t>Partner for Annox Capital Management, a venture capital firm that he founded, since January 2013. Mr. Mylod served as Head of Worldwide Strategy &amp; Planning and Vice Chairman for The Priceline Group Inc., an online travel services provider, from January 2009 to March 2011 and as its Chief Financial Officer and Vice Chairman from November 2000 to January 2009. Mr. Mylod currently serves as the Chairman of the board of directors for Redfin Corporation, a real estate company that provides web-based real estate database and brokerage services, and as a member of the board of directors for The Priceline Group, Inc. and a number of private companies. Mr. Mylod holds an M.B.A. from the University of Chicago Booth School of Business and an A.B. in English from the University of Michigan.</w:t>
      </w:r>
    </w:p>
    <w:p>
      <w:pPr>
        <w:spacing w:after="0" w:line="161" w:lineRule="exact"/>
        <w:rPr>
          <w:sz w:val="20"/>
          <w:szCs w:val="20"/>
          <w:color w:val="auto"/>
        </w:rPr>
      </w:pPr>
    </w:p>
    <w:p>
      <w:pPr>
        <w:jc w:val="both"/>
        <w:ind w:left="1120" w:right="40" w:firstLine="368"/>
        <w:spacing w:after="0" w:line="275" w:lineRule="auto"/>
        <w:rPr>
          <w:sz w:val="20"/>
          <w:szCs w:val="20"/>
          <w:color w:val="auto"/>
        </w:rPr>
      </w:pPr>
      <w:r>
        <w:rPr>
          <w:rFonts w:ascii="Arial" w:cs="Arial" w:eastAsia="Arial" w:hAnsi="Arial"/>
          <w:sz w:val="15"/>
          <w:szCs w:val="15"/>
          <w:color w:val="auto"/>
        </w:rPr>
        <w:t>Mr. Mylod was selected to serve on our Board of Directors because of his financial expertise and extensive business, operations, and management experience.</w:t>
      </w:r>
    </w:p>
    <w:p>
      <w:pPr>
        <w:spacing w:after="0" w:line="146" w:lineRule="exact"/>
        <w:rPr>
          <w:sz w:val="20"/>
          <w:szCs w:val="20"/>
          <w:color w:val="auto"/>
        </w:rPr>
      </w:pPr>
    </w:p>
    <w:p>
      <w:pPr>
        <w:jc w:val="both"/>
        <w:ind w:left="1120" w:right="40" w:firstLine="368"/>
        <w:spacing w:after="0" w:line="263" w:lineRule="auto"/>
        <w:rPr>
          <w:sz w:val="20"/>
          <w:szCs w:val="20"/>
          <w:color w:val="auto"/>
        </w:rPr>
      </w:pPr>
      <w:r>
        <w:rPr>
          <w:rFonts w:ascii="Arial" w:cs="Arial" w:eastAsia="Arial" w:hAnsi="Arial"/>
          <w:sz w:val="15"/>
          <w:szCs w:val="15"/>
          <w:i w:val="1"/>
          <w:iCs w:val="1"/>
          <w:color w:val="auto"/>
        </w:rPr>
        <w:t xml:space="preserve">Condoleezza Rice, Ph.D. </w:t>
      </w:r>
      <w:r>
        <w:rPr>
          <w:rFonts w:ascii="Arial" w:cs="Arial" w:eastAsia="Arial" w:hAnsi="Arial"/>
          <w:sz w:val="15"/>
          <w:szCs w:val="15"/>
          <w:color w:val="auto"/>
        </w:rPr>
        <w:t>Dr. Rice has served as a member of our Board of Directors since April 2014. Since September 2010, Dr. Rice has served</w:t>
      </w:r>
      <w:r>
        <w:rPr>
          <w:rFonts w:ascii="Arial" w:cs="Arial" w:eastAsia="Arial" w:hAnsi="Arial"/>
          <w:sz w:val="15"/>
          <w:szCs w:val="15"/>
          <w:i w:val="1"/>
          <w:iCs w:val="1"/>
          <w:color w:val="auto"/>
        </w:rPr>
        <w:t xml:space="preserve"> </w:t>
      </w:r>
      <w:r>
        <w:rPr>
          <w:rFonts w:ascii="Arial" w:cs="Arial" w:eastAsia="Arial" w:hAnsi="Arial"/>
          <w:sz w:val="15"/>
          <w:szCs w:val="15"/>
          <w:color w:val="auto"/>
        </w:rPr>
        <w:t>as the Denning Professor of Global Business and the Economy for the Stanford Graduate School of Business. Since March 2009, Dr. Rice has served as a Senior Fellow of Public</w:t>
      </w:r>
    </w:p>
    <w:p>
      <w:pPr>
        <w:spacing w:after="0" w:line="98" w:lineRule="exact"/>
        <w:rPr>
          <w:sz w:val="20"/>
          <w:szCs w:val="20"/>
          <w:color w:val="auto"/>
        </w:rPr>
      </w:pPr>
    </w:p>
    <w:p>
      <w:pPr>
        <w:ind w:left="5600"/>
        <w:spacing w:after="0"/>
        <w:rPr>
          <w:sz w:val="20"/>
          <w:szCs w:val="20"/>
          <w:color w:val="auto"/>
        </w:rPr>
      </w:pPr>
      <w:r>
        <w:rPr>
          <w:rFonts w:ascii="Arial" w:cs="Arial" w:eastAsia="Arial" w:hAnsi="Arial"/>
          <w:sz w:val="15"/>
          <w:szCs w:val="15"/>
          <w:color w:val="auto"/>
        </w:rPr>
        <w:t>138</w:t>
      </w:r>
    </w:p>
    <w:p>
      <w:pPr>
        <w:sectPr>
          <w:pgSz w:w="11900" w:h="16838" w:orient="portrait"/>
          <w:cols w:equalWidth="0" w:num="1">
            <w:col w:w="10300"/>
          </w:cols>
          <w:pgMar w:left="240" w:top="407" w:right="1359" w:bottom="1440" w:gutter="0" w:footer="0" w:header="0"/>
        </w:sectPr>
      </w:pPr>
    </w:p>
    <w:bookmarkStart w:id="145" w:name="page146"/>
    <w:bookmarkEnd w:id="145"/>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133350</wp:posOffset>
            </wp:positionH>
            <wp:positionV relativeFrom="page">
              <wp:posOffset>88900</wp:posOffset>
            </wp:positionV>
            <wp:extent cx="7308850" cy="3429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308850" cy="34290"/>
                    </a:xfrm>
                    <a:prstGeom prst="rect">
                      <a:avLst/>
                    </a:prstGeom>
                    <a:noFill/>
                  </pic:spPr>
                </pic:pic>
              </a:graphicData>
            </a:graphic>
          </wp:anchor>
        </w:drawing>
      </w:r>
      <w:hyperlink w:anchor="page7">
        <w:r>
          <w:rPr>
            <w:rFonts w:ascii="Arial" w:cs="Arial" w:eastAsia="Arial" w:hAnsi="Arial"/>
            <w:sz w:val="15"/>
            <w:szCs w:val="15"/>
            <w:b w:val="1"/>
            <w:bCs w:val="1"/>
            <w:u w:val="single" w:color="auto"/>
            <w:color w:val="0000EE"/>
          </w:rPr>
          <w:t>Table of Contents</w:t>
        </w:r>
      </w:hyperlink>
    </w:p>
    <w:p>
      <w:pPr>
        <w:spacing w:after="0" w:line="260" w:lineRule="exact"/>
        <w:rPr>
          <w:sz w:val="20"/>
          <w:szCs w:val="20"/>
          <w:color w:val="auto"/>
        </w:rPr>
      </w:pPr>
    </w:p>
    <w:p>
      <w:pPr>
        <w:ind w:left="1120"/>
        <w:spacing w:after="0" w:line="273" w:lineRule="auto"/>
        <w:rPr>
          <w:sz w:val="20"/>
          <w:szCs w:val="20"/>
          <w:color w:val="auto"/>
        </w:rPr>
      </w:pPr>
      <w:r>
        <w:rPr>
          <w:rFonts w:ascii="Arial" w:cs="Arial" w:eastAsia="Arial" w:hAnsi="Arial"/>
          <w:sz w:val="14"/>
          <w:szCs w:val="14"/>
          <w:color w:val="auto"/>
        </w:rPr>
        <w:t>Policy for the Hoover Institution, Stanford University, as a Senior Fellow for the Freeman Spogli Institute for International Studies, Stanford University, and as a Professor of Political Science for Stanford University. Dr. Rice has served as a partner at RiceHadleyGates LLC, an international strategic consulting firm that Dr. Rice founded, since November 2009. From January 2005 to January 2009, Dr. Rice served as the Secretary of State of the United States of America. From January 2001 to January 2005, Dr. Rice served as Chief National Security Advisor to President George W. Bush. Beginning in 1981, she served in various roles at Stanford University, including serving as Provost from 1993-1999. Dr. Rice previously served as a member of the board of directors of Charles Schwab Corporation, a bank and brokerage firm, Chevron Corporation, a multinational energy corporation, Transamerica Corporation, a life insurance and investment company, and KiOR, Inc., a renewable fuels company. Dr. Rice currently serves as an advisor for a number of other public companies, and as a member of the board directors for a number of private companies, including C3IoT and Makena Capital Management, LLC. Dr. Rice holds a Ph.D. in Political Science from the University of Denver, an M.A. in Political Science from the University of Notre Dame and a B.A in Political Science from the University of Denver.</w:t>
      </w:r>
    </w:p>
    <w:p>
      <w:pPr>
        <w:spacing w:after="0" w:line="154" w:lineRule="exact"/>
        <w:rPr>
          <w:sz w:val="20"/>
          <w:szCs w:val="20"/>
          <w:color w:val="auto"/>
        </w:rPr>
      </w:pPr>
    </w:p>
    <w:p>
      <w:pPr>
        <w:ind w:left="1120" w:right="220" w:firstLine="368"/>
        <w:spacing w:after="0" w:line="275" w:lineRule="auto"/>
        <w:rPr>
          <w:sz w:val="20"/>
          <w:szCs w:val="20"/>
          <w:color w:val="auto"/>
        </w:rPr>
      </w:pPr>
      <w:r>
        <w:rPr>
          <w:rFonts w:ascii="Arial" w:cs="Arial" w:eastAsia="Arial" w:hAnsi="Arial"/>
          <w:sz w:val="15"/>
          <w:szCs w:val="15"/>
          <w:color w:val="auto"/>
        </w:rPr>
        <w:t>Dr. Rice was selected to serve on our Board of Directors because of her deep global expertise and business experience from her prior roles as a director of multiple public companies and her background in policymaking, education, and innovation.</w:t>
      </w:r>
    </w:p>
    <w:p>
      <w:pPr>
        <w:spacing w:after="0" w:line="146" w:lineRule="exact"/>
        <w:rPr>
          <w:sz w:val="20"/>
          <w:szCs w:val="20"/>
          <w:color w:val="auto"/>
        </w:rPr>
      </w:pPr>
    </w:p>
    <w:p>
      <w:pPr>
        <w:ind w:left="1120" w:right="80" w:firstLine="368"/>
        <w:spacing w:after="0" w:line="263" w:lineRule="auto"/>
        <w:rPr>
          <w:sz w:val="20"/>
          <w:szCs w:val="20"/>
          <w:color w:val="auto"/>
        </w:rPr>
      </w:pPr>
      <w:r>
        <w:rPr>
          <w:rFonts w:ascii="Arial" w:cs="Arial" w:eastAsia="Arial" w:hAnsi="Arial"/>
          <w:sz w:val="15"/>
          <w:szCs w:val="15"/>
          <w:i w:val="1"/>
          <w:iCs w:val="1"/>
          <w:color w:val="auto"/>
        </w:rPr>
        <w:t>R. Bryan Schreier</w:t>
      </w:r>
      <w:r>
        <w:rPr>
          <w:rFonts w:ascii="Arial" w:cs="Arial" w:eastAsia="Arial" w:hAnsi="Arial"/>
          <w:sz w:val="15"/>
          <w:szCs w:val="15"/>
          <w:color w:val="auto"/>
        </w:rPr>
        <w:t>. Mr. Schreier has served as a member of our Board of Directors since July 2009. Since March 2008, Mr. Schreier has served as</w:t>
      </w:r>
      <w:r>
        <w:rPr>
          <w:rFonts w:ascii="Arial" w:cs="Arial" w:eastAsia="Arial" w:hAnsi="Arial"/>
          <w:sz w:val="15"/>
          <w:szCs w:val="15"/>
          <w:i w:val="1"/>
          <w:iCs w:val="1"/>
          <w:color w:val="auto"/>
        </w:rPr>
        <w:t xml:space="preserve"> </w:t>
      </w:r>
      <w:r>
        <w:rPr>
          <w:rFonts w:ascii="Arial" w:cs="Arial" w:eastAsia="Arial" w:hAnsi="Arial"/>
          <w:sz w:val="15"/>
          <w:szCs w:val="15"/>
          <w:color w:val="auto"/>
        </w:rPr>
        <w:t>a partner at Sequoia Capital, a venture capital firm. Mr. Schreier currently serves as a member of the board of directors for a number of private companies. Mr. Schreier holds a B.A. in Computer Science from Princeton University.</w:t>
      </w:r>
    </w:p>
    <w:p>
      <w:pPr>
        <w:spacing w:after="0" w:line="155" w:lineRule="exact"/>
        <w:rPr>
          <w:sz w:val="20"/>
          <w:szCs w:val="20"/>
          <w:color w:val="auto"/>
        </w:rPr>
      </w:pPr>
    </w:p>
    <w:p>
      <w:pPr>
        <w:ind w:left="1120" w:right="240" w:firstLine="368"/>
        <w:spacing w:after="0" w:line="275" w:lineRule="auto"/>
        <w:rPr>
          <w:sz w:val="20"/>
          <w:szCs w:val="20"/>
          <w:color w:val="auto"/>
        </w:rPr>
      </w:pPr>
      <w:r>
        <w:rPr>
          <w:rFonts w:ascii="Arial" w:cs="Arial" w:eastAsia="Arial" w:hAnsi="Arial"/>
          <w:sz w:val="15"/>
          <w:szCs w:val="15"/>
          <w:color w:val="auto"/>
        </w:rPr>
        <w:t>Mr. Schreier was selected to serve on our Board of Directors because of his financial and managerial experience and because he represents our largest stockholder.</w:t>
      </w:r>
    </w:p>
    <w:p>
      <w:pPr>
        <w:spacing w:after="0" w:line="146" w:lineRule="exact"/>
        <w:rPr>
          <w:sz w:val="20"/>
          <w:szCs w:val="20"/>
          <w:color w:val="auto"/>
        </w:rPr>
      </w:pPr>
    </w:p>
    <w:p>
      <w:pPr>
        <w:ind w:left="1120" w:right="20" w:firstLine="368"/>
        <w:spacing w:after="0" w:line="295" w:lineRule="auto"/>
        <w:rPr>
          <w:sz w:val="20"/>
          <w:szCs w:val="20"/>
          <w:color w:val="auto"/>
        </w:rPr>
      </w:pPr>
      <w:r>
        <w:rPr>
          <w:rFonts w:ascii="Arial" w:cs="Arial" w:eastAsia="Arial" w:hAnsi="Arial"/>
          <w:sz w:val="13"/>
          <w:szCs w:val="13"/>
          <w:i w:val="1"/>
          <w:iCs w:val="1"/>
          <w:color w:val="auto"/>
        </w:rPr>
        <w:t xml:space="preserve">Margaret C. Whitman. </w:t>
      </w:r>
      <w:r>
        <w:rPr>
          <w:rFonts w:ascii="Arial" w:cs="Arial" w:eastAsia="Arial" w:hAnsi="Arial"/>
          <w:sz w:val="13"/>
          <w:szCs w:val="13"/>
          <w:color w:val="auto"/>
        </w:rPr>
        <w:t>Ms. Whitman has served as a member of our Board of Directors since September 2017. Since February 2018, Ms.</w:t>
      </w:r>
      <w:r>
        <w:rPr>
          <w:rFonts w:ascii="Arial" w:cs="Arial" w:eastAsia="Arial" w:hAnsi="Arial"/>
          <w:sz w:val="13"/>
          <w:szCs w:val="13"/>
          <w:i w:val="1"/>
          <w:iCs w:val="1"/>
          <w:color w:val="auto"/>
        </w:rPr>
        <w:t xml:space="preserve"> </w:t>
      </w:r>
      <w:r>
        <w:rPr>
          <w:rFonts w:ascii="Arial" w:cs="Arial" w:eastAsia="Arial" w:hAnsi="Arial"/>
          <w:sz w:val="13"/>
          <w:szCs w:val="13"/>
          <w:color w:val="auto"/>
        </w:rPr>
        <w:t>Whitman has served as Chief Executive Officer for NewTV, a mobile media company. From June 2017 to January 2018, Ms. Whitman served as Chief Executive Officer for Hewlett Packard Enterprise Company, or HPE, a multinational enterprise information technology company, and as its President and Chief Executive Officer from November 2015 to June 2017. From July 2014 to November 2015, Ms. Whitman served as President, Chief Executive Officer, and Chairman for Hewlett-Packard Company (now known as HP Inc.), the former parent of Hewlett Packard Enterprise Company, and as its President and Chief Executive Officer from September 2011 to November 2015. Prior to joining HP Inc., Ms. Whitman was the Republican Party’s nominee for the 2010 gubernatorial race in California. From March 2011 to September 2011, Ms. Whitman served as a part-time strategic advisor to Kleiner Perkins Caufield &amp; Byers, a private equity firm. From 1998 to 2008, Ms. Whitman served as President and Chief Executive Officer of eBay Inc., an online marketplace and payments company. Ms. Whitman also currently serves as a member of the board of directors for The Procter &amp; Gamble Company, a consumer goods company, Hewlett Packard Enterprise Company, and DXC Technology Company, an information technology and consulting services company. Ms. Whitman previously served as a member of the board of directors for HP Inc. and for a number of private companies. Ms. Whitman holds an M.B.A from Harvard Business School and an A.B. in Economics from Princeton University.</w:t>
      </w:r>
    </w:p>
    <w:p>
      <w:pPr>
        <w:spacing w:after="0" w:line="141" w:lineRule="exact"/>
        <w:rPr>
          <w:sz w:val="20"/>
          <w:szCs w:val="20"/>
          <w:color w:val="auto"/>
        </w:rPr>
      </w:pPr>
    </w:p>
    <w:p>
      <w:pPr>
        <w:ind w:left="1120" w:right="380" w:firstLine="368"/>
        <w:spacing w:after="0" w:line="275" w:lineRule="auto"/>
        <w:rPr>
          <w:sz w:val="20"/>
          <w:szCs w:val="20"/>
          <w:color w:val="auto"/>
        </w:rPr>
      </w:pPr>
      <w:r>
        <w:rPr>
          <w:rFonts w:ascii="Arial" w:cs="Arial" w:eastAsia="Arial" w:hAnsi="Arial"/>
          <w:sz w:val="15"/>
          <w:szCs w:val="15"/>
          <w:color w:val="auto"/>
        </w:rPr>
        <w:t>Ms. Whitman was selected to serve on our Board of Directors because of her extensive leadership, strategy, risk management, and consumer industry experience.</w:t>
      </w:r>
    </w:p>
    <w:p>
      <w:pPr>
        <w:spacing w:after="0" w:line="232" w:lineRule="exact"/>
        <w:rPr>
          <w:sz w:val="20"/>
          <w:szCs w:val="20"/>
          <w:color w:val="auto"/>
        </w:rPr>
      </w:pPr>
    </w:p>
    <w:p>
      <w:pPr>
        <w:ind w:left="1120"/>
        <w:spacing w:after="0"/>
        <w:rPr>
          <w:sz w:val="20"/>
          <w:szCs w:val="20"/>
          <w:color w:val="auto"/>
        </w:rPr>
      </w:pPr>
      <w:r>
        <w:rPr>
          <w:rFonts w:ascii="Arial" w:cs="Arial" w:eastAsia="Arial" w:hAnsi="Arial"/>
          <w:sz w:val="15"/>
          <w:szCs w:val="15"/>
          <w:b w:val="1"/>
          <w:bCs w:val="1"/>
          <w:color w:val="auto"/>
        </w:rPr>
        <w:t>Code of Business Conduct and Ethics</w:t>
      </w:r>
    </w:p>
    <w:p>
      <w:pPr>
        <w:spacing w:after="0" w:line="102" w:lineRule="exact"/>
        <w:rPr>
          <w:sz w:val="20"/>
          <w:szCs w:val="20"/>
          <w:color w:val="auto"/>
        </w:rPr>
      </w:pPr>
    </w:p>
    <w:p>
      <w:pPr>
        <w:ind w:left="1120" w:right="60" w:firstLine="368"/>
        <w:spacing w:after="0" w:line="263" w:lineRule="auto"/>
        <w:rPr>
          <w:sz w:val="20"/>
          <w:szCs w:val="20"/>
          <w:color w:val="auto"/>
        </w:rPr>
      </w:pPr>
      <w:r>
        <w:rPr>
          <w:rFonts w:ascii="Arial" w:cs="Arial" w:eastAsia="Arial" w:hAnsi="Arial"/>
          <w:sz w:val="15"/>
          <w:szCs w:val="15"/>
          <w:color w:val="auto"/>
        </w:rPr>
        <w:t>Our Board of Directors has adopted a code of business conduct and ethics that applies to all of our employees, officers, and directors, including our Chief Executive Officer, Chief Financial Officer, and other executive and senior financial officers. The full text of our code of business conduct and ethics will be posted on</w:t>
      </w:r>
    </w:p>
    <w:p>
      <w:pPr>
        <w:spacing w:after="0" w:line="98" w:lineRule="exact"/>
        <w:rPr>
          <w:sz w:val="20"/>
          <w:szCs w:val="20"/>
          <w:color w:val="auto"/>
        </w:rPr>
      </w:pPr>
    </w:p>
    <w:p>
      <w:pPr>
        <w:ind w:left="5600"/>
        <w:spacing w:after="0"/>
        <w:rPr>
          <w:sz w:val="20"/>
          <w:szCs w:val="20"/>
          <w:color w:val="auto"/>
        </w:rPr>
      </w:pPr>
      <w:r>
        <w:rPr>
          <w:rFonts w:ascii="Arial" w:cs="Arial" w:eastAsia="Arial" w:hAnsi="Arial"/>
          <w:sz w:val="15"/>
          <w:szCs w:val="15"/>
          <w:color w:val="auto"/>
        </w:rPr>
        <w:t>139</w:t>
      </w:r>
    </w:p>
    <w:p>
      <w:pPr>
        <w:sectPr>
          <w:pgSz w:w="11900" w:h="16838" w:orient="portrait"/>
          <w:cols w:equalWidth="0" w:num="1">
            <w:col w:w="10300"/>
          </w:cols>
          <w:pgMar w:left="240" w:top="407" w:right="1359" w:bottom="1440" w:gutter="0" w:footer="0" w:header="0"/>
        </w:sectPr>
      </w:pPr>
    </w:p>
    <w:bookmarkStart w:id="146" w:name="page147"/>
    <w:bookmarkEnd w:id="146"/>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133350</wp:posOffset>
            </wp:positionH>
            <wp:positionV relativeFrom="page">
              <wp:posOffset>88900</wp:posOffset>
            </wp:positionV>
            <wp:extent cx="7308850" cy="3429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308850" cy="34290"/>
                    </a:xfrm>
                    <a:prstGeom prst="rect">
                      <a:avLst/>
                    </a:prstGeom>
                    <a:noFill/>
                  </pic:spPr>
                </pic:pic>
              </a:graphicData>
            </a:graphic>
          </wp:anchor>
        </w:drawing>
      </w:r>
      <w:hyperlink w:anchor="page7">
        <w:r>
          <w:rPr>
            <w:rFonts w:ascii="Arial" w:cs="Arial" w:eastAsia="Arial" w:hAnsi="Arial"/>
            <w:sz w:val="15"/>
            <w:szCs w:val="15"/>
            <w:b w:val="1"/>
            <w:bCs w:val="1"/>
            <w:u w:val="single" w:color="auto"/>
            <w:color w:val="0000EE"/>
          </w:rPr>
          <w:t>Table of Contents</w:t>
        </w:r>
      </w:hyperlink>
    </w:p>
    <w:p>
      <w:pPr>
        <w:spacing w:after="0" w:line="260" w:lineRule="exact"/>
        <w:rPr>
          <w:sz w:val="20"/>
          <w:szCs w:val="20"/>
          <w:color w:val="auto"/>
        </w:rPr>
      </w:pPr>
    </w:p>
    <w:p>
      <w:pPr>
        <w:ind w:left="1120" w:right="640"/>
        <w:spacing w:after="0" w:line="275" w:lineRule="auto"/>
        <w:rPr>
          <w:sz w:val="20"/>
          <w:szCs w:val="20"/>
          <w:color w:val="auto"/>
        </w:rPr>
      </w:pPr>
      <w:r>
        <w:rPr>
          <w:rFonts w:ascii="Arial" w:cs="Arial" w:eastAsia="Arial" w:hAnsi="Arial"/>
          <w:sz w:val="15"/>
          <w:szCs w:val="15"/>
          <w:color w:val="auto"/>
        </w:rPr>
        <w:t>the investor relations page on our website. We intend to disclose any amendments to our code of business conduct and ethics, or waivers of its requirements, on our website or in filings under the Exchange Act.</w:t>
      </w:r>
    </w:p>
    <w:p>
      <w:pPr>
        <w:spacing w:after="0" w:line="232" w:lineRule="exact"/>
        <w:rPr>
          <w:sz w:val="20"/>
          <w:szCs w:val="20"/>
          <w:color w:val="auto"/>
        </w:rPr>
      </w:pPr>
    </w:p>
    <w:p>
      <w:pPr>
        <w:ind w:left="1120"/>
        <w:spacing w:after="0"/>
        <w:rPr>
          <w:sz w:val="20"/>
          <w:szCs w:val="20"/>
          <w:color w:val="auto"/>
        </w:rPr>
      </w:pPr>
      <w:r>
        <w:rPr>
          <w:rFonts w:ascii="Arial" w:cs="Arial" w:eastAsia="Arial" w:hAnsi="Arial"/>
          <w:sz w:val="15"/>
          <w:szCs w:val="15"/>
          <w:b w:val="1"/>
          <w:bCs w:val="1"/>
          <w:color w:val="auto"/>
        </w:rPr>
        <w:t>Board of Directors</w:t>
      </w:r>
    </w:p>
    <w:p>
      <w:pPr>
        <w:spacing w:after="0" w:line="102" w:lineRule="exact"/>
        <w:rPr>
          <w:sz w:val="20"/>
          <w:szCs w:val="20"/>
          <w:color w:val="auto"/>
        </w:rPr>
      </w:pPr>
    </w:p>
    <w:p>
      <w:pPr>
        <w:jc w:val="both"/>
        <w:ind w:left="1120" w:right="300" w:firstLine="368"/>
        <w:spacing w:after="0" w:line="263" w:lineRule="auto"/>
        <w:rPr>
          <w:sz w:val="20"/>
          <w:szCs w:val="20"/>
          <w:color w:val="auto"/>
        </w:rPr>
      </w:pPr>
      <w:r>
        <w:rPr>
          <w:rFonts w:ascii="Arial" w:cs="Arial" w:eastAsia="Arial" w:hAnsi="Arial"/>
          <w:sz w:val="15"/>
          <w:szCs w:val="15"/>
          <w:color w:val="auto"/>
        </w:rPr>
        <w:t>Our business and affairs are managed under the direction of our Board of Directors. Our Board of Directors consists of eight directors, six of whom qualify as “independent” under the listing standards of Nasdaq. Pursuant to our current certificate of incorporation and amended and restated voting agreement, our current directors were elected as follows:</w:t>
      </w:r>
    </w:p>
    <w:p>
      <w:pPr>
        <w:spacing w:after="0" w:line="76" w:lineRule="exact"/>
        <w:rPr>
          <w:sz w:val="20"/>
          <w:szCs w:val="20"/>
          <w:color w:val="auto"/>
        </w:rPr>
      </w:pPr>
    </w:p>
    <w:p>
      <w:pPr>
        <w:ind w:left="1840" w:right="40" w:hanging="276"/>
        <w:spacing w:after="0" w:line="312" w:lineRule="auto"/>
        <w:tabs>
          <w:tab w:leader="none" w:pos="1840" w:val="left"/>
        </w:tabs>
        <w:numPr>
          <w:ilvl w:val="0"/>
          <w:numId w:val="58"/>
        </w:numPr>
        <w:rPr>
          <w:rFonts w:ascii="Arial" w:cs="Arial" w:eastAsia="Arial" w:hAnsi="Arial"/>
          <w:sz w:val="14"/>
          <w:szCs w:val="14"/>
          <w:color w:val="auto"/>
        </w:rPr>
      </w:pPr>
      <w:r>
        <w:rPr>
          <w:rFonts w:ascii="Arial" w:cs="Arial" w:eastAsia="Arial" w:hAnsi="Arial"/>
          <w:sz w:val="14"/>
          <w:szCs w:val="14"/>
          <w:color w:val="auto"/>
        </w:rPr>
        <w:t>Messrs. Ferdowsi, Houston, Blair, Jacobs, and Mylod, and Mmes. Rice and Whitman were elected as the designees nominated by holders of our common stock, excluding the common stock issued upon conversion of our convertible preferred stock; and</w:t>
      </w:r>
    </w:p>
    <w:p>
      <w:pPr>
        <w:spacing w:after="0" w:line="43" w:lineRule="exact"/>
        <w:rPr>
          <w:rFonts w:ascii="Arial" w:cs="Arial" w:eastAsia="Arial" w:hAnsi="Arial"/>
          <w:sz w:val="14"/>
          <w:szCs w:val="14"/>
          <w:color w:val="auto"/>
        </w:rPr>
      </w:pPr>
    </w:p>
    <w:p>
      <w:pPr>
        <w:ind w:left="1840" w:hanging="276"/>
        <w:spacing w:after="0"/>
        <w:tabs>
          <w:tab w:leader="none" w:pos="1840" w:val="left"/>
        </w:tabs>
        <w:numPr>
          <w:ilvl w:val="0"/>
          <w:numId w:val="58"/>
        </w:numPr>
        <w:rPr>
          <w:rFonts w:ascii="Arial" w:cs="Arial" w:eastAsia="Arial" w:hAnsi="Arial"/>
          <w:sz w:val="15"/>
          <w:szCs w:val="15"/>
          <w:color w:val="auto"/>
        </w:rPr>
      </w:pPr>
      <w:r>
        <w:rPr>
          <w:rFonts w:ascii="Arial" w:cs="Arial" w:eastAsia="Arial" w:hAnsi="Arial"/>
          <w:sz w:val="15"/>
          <w:szCs w:val="15"/>
          <w:color w:val="auto"/>
        </w:rPr>
        <w:t>Mr. Schreier was elected as the preferred stock designee nominated by entities affiliated with Sequoia Capital.</w:t>
      </w:r>
    </w:p>
    <w:p>
      <w:pPr>
        <w:spacing w:after="0" w:line="188" w:lineRule="exact"/>
        <w:rPr>
          <w:sz w:val="20"/>
          <w:szCs w:val="20"/>
          <w:color w:val="auto"/>
        </w:rPr>
      </w:pPr>
    </w:p>
    <w:p>
      <w:pPr>
        <w:ind w:left="1120" w:right="60" w:firstLine="368"/>
        <w:spacing w:after="0" w:line="257" w:lineRule="auto"/>
        <w:rPr>
          <w:sz w:val="20"/>
          <w:szCs w:val="20"/>
          <w:color w:val="auto"/>
        </w:rPr>
      </w:pPr>
      <w:r>
        <w:rPr>
          <w:rFonts w:ascii="Arial" w:cs="Arial" w:eastAsia="Arial" w:hAnsi="Arial"/>
          <w:sz w:val="15"/>
          <w:szCs w:val="15"/>
          <w:color w:val="auto"/>
        </w:rPr>
        <w:t>Our amended and restated voting agreement will terminate and the provisions of our current certificate of incorporation by which our directors were elected will be amended and restated in connection with this offering. After this offering, the number of directors will be fixed by our Board of Directors, subject to the terms of our amended and restated certificate of incorporation and amended and restated bylaws that will become effective immediately prior to the completion of this offering. Each of our current directors will continue to serve as a director until the election and qualification of his or her successor, or until his or her earlier death, resignation, or removal.</w:t>
      </w:r>
    </w:p>
    <w:p>
      <w:pPr>
        <w:spacing w:after="0" w:line="245" w:lineRule="exact"/>
        <w:rPr>
          <w:sz w:val="20"/>
          <w:szCs w:val="20"/>
          <w:color w:val="auto"/>
        </w:rPr>
      </w:pPr>
    </w:p>
    <w:p>
      <w:pPr>
        <w:ind w:left="1120"/>
        <w:spacing w:after="0"/>
        <w:rPr>
          <w:sz w:val="20"/>
          <w:szCs w:val="20"/>
          <w:color w:val="auto"/>
        </w:rPr>
      </w:pPr>
      <w:r>
        <w:rPr>
          <w:rFonts w:ascii="Arial" w:cs="Arial" w:eastAsia="Arial" w:hAnsi="Arial"/>
          <w:sz w:val="15"/>
          <w:szCs w:val="15"/>
          <w:b w:val="1"/>
          <w:bCs w:val="1"/>
          <w:color w:val="auto"/>
        </w:rPr>
        <w:t>Classified Board of Directors</w:t>
      </w:r>
    </w:p>
    <w:p>
      <w:pPr>
        <w:spacing w:after="0" w:line="102" w:lineRule="exact"/>
        <w:rPr>
          <w:sz w:val="20"/>
          <w:szCs w:val="20"/>
          <w:color w:val="auto"/>
        </w:rPr>
      </w:pPr>
    </w:p>
    <w:p>
      <w:pPr>
        <w:ind w:left="1120" w:right="60" w:firstLine="368"/>
        <w:spacing w:after="0" w:line="257" w:lineRule="auto"/>
        <w:rPr>
          <w:sz w:val="20"/>
          <w:szCs w:val="20"/>
          <w:color w:val="auto"/>
        </w:rPr>
      </w:pPr>
      <w:r>
        <w:rPr>
          <w:rFonts w:ascii="Arial" w:cs="Arial" w:eastAsia="Arial" w:hAnsi="Arial"/>
          <w:sz w:val="15"/>
          <w:szCs w:val="15"/>
          <w:color w:val="auto"/>
        </w:rPr>
        <w:t>Until the outstanding shares of our Class B common stock represent less than a majority of the combined voting power of common stock, we will have a single class of directors who are each elected for one-year terms and until their successors are duly elected and qualified. When the outstanding shares of our Class B common stock represent less than a majority of the combined voting power of common stock, we will have a classified Board of Directors consisting of three classes of approximately equal size, each serving staggered three-year terms. Our directors will be assigned by the then-current Board of Directors to a class.</w:t>
      </w:r>
    </w:p>
    <w:p>
      <w:pPr>
        <w:spacing w:after="0" w:line="159" w:lineRule="exact"/>
        <w:rPr>
          <w:sz w:val="20"/>
          <w:szCs w:val="20"/>
          <w:color w:val="auto"/>
        </w:rPr>
      </w:pPr>
    </w:p>
    <w:p>
      <w:pPr>
        <w:ind w:left="1120" w:firstLine="368"/>
        <w:spacing w:after="0" w:line="283" w:lineRule="auto"/>
        <w:rPr>
          <w:sz w:val="20"/>
          <w:szCs w:val="20"/>
          <w:color w:val="auto"/>
        </w:rPr>
      </w:pPr>
      <w:r>
        <w:rPr>
          <w:rFonts w:ascii="Arial" w:cs="Arial" w:eastAsia="Arial" w:hAnsi="Arial"/>
          <w:sz w:val="14"/>
          <w:szCs w:val="14"/>
          <w:color w:val="auto"/>
        </w:rPr>
        <w:t>At such times as we have a classified Board of Directors, upon expiration of the term of a class of directors, directors for that class will be elected for three-year terms at the annual meeting of stockholders in the year in which that term expires. As a result, only one class of directors will be elected at each annual meeting of our stockholders, with the other classes continuing for the remainder of their respective three-year terms. Each director’s term continues until the election and qualification of his or her successor, or his or her earlier death, resignation, or removal.</w:t>
      </w:r>
    </w:p>
    <w:p>
      <w:pPr>
        <w:spacing w:after="0" w:line="143" w:lineRule="exact"/>
        <w:rPr>
          <w:sz w:val="20"/>
          <w:szCs w:val="20"/>
          <w:color w:val="auto"/>
        </w:rPr>
      </w:pPr>
    </w:p>
    <w:p>
      <w:pPr>
        <w:ind w:left="1120" w:right="120" w:firstLine="368"/>
        <w:spacing w:after="0" w:line="263" w:lineRule="auto"/>
        <w:rPr>
          <w:sz w:val="20"/>
          <w:szCs w:val="20"/>
          <w:color w:val="auto"/>
        </w:rPr>
      </w:pPr>
      <w:r>
        <w:rPr>
          <w:rFonts w:ascii="Arial" w:cs="Arial" w:eastAsia="Arial" w:hAnsi="Arial"/>
          <w:sz w:val="15"/>
          <w:szCs w:val="15"/>
          <w:color w:val="auto"/>
        </w:rPr>
        <w:t>Only our Board of Directors may fill vacancies on our board. At such times as our Board of Directors is classified, any additional directorships resulting from an increase in the number of directors will be distributed among the three classes so that, as nearly as possible, each class will consist of one-third of the total number of directors.</w:t>
      </w:r>
    </w:p>
    <w:p>
      <w:pPr>
        <w:spacing w:after="0" w:line="155" w:lineRule="exact"/>
        <w:rPr>
          <w:sz w:val="20"/>
          <w:szCs w:val="20"/>
          <w:color w:val="auto"/>
        </w:rPr>
      </w:pPr>
    </w:p>
    <w:p>
      <w:pPr>
        <w:ind w:left="1120" w:right="780" w:firstLine="368"/>
        <w:spacing w:after="0" w:line="312" w:lineRule="auto"/>
        <w:rPr>
          <w:sz w:val="20"/>
          <w:szCs w:val="20"/>
          <w:color w:val="auto"/>
        </w:rPr>
      </w:pPr>
      <w:r>
        <w:rPr>
          <w:rFonts w:ascii="Arial" w:cs="Arial" w:eastAsia="Arial" w:hAnsi="Arial"/>
          <w:sz w:val="14"/>
          <w:szCs w:val="14"/>
          <w:color w:val="auto"/>
        </w:rPr>
        <w:t>The classification of our Board of Directors may have the effect of delaying or preventing changes in our control or management. See “Description of Capital Stock—Anti-Takeover Provisions—Restated Certificate of Incorporation and Bylaw Provisions.”</w:t>
      </w:r>
    </w:p>
    <w:p>
      <w:pPr>
        <w:spacing w:after="0" w:line="209" w:lineRule="exact"/>
        <w:rPr>
          <w:sz w:val="20"/>
          <w:szCs w:val="20"/>
          <w:color w:val="auto"/>
        </w:rPr>
      </w:pPr>
    </w:p>
    <w:p>
      <w:pPr>
        <w:ind w:left="1120"/>
        <w:spacing w:after="0"/>
        <w:rPr>
          <w:sz w:val="20"/>
          <w:szCs w:val="20"/>
          <w:color w:val="auto"/>
        </w:rPr>
      </w:pPr>
      <w:r>
        <w:rPr>
          <w:rFonts w:ascii="Arial" w:cs="Arial" w:eastAsia="Arial" w:hAnsi="Arial"/>
          <w:sz w:val="15"/>
          <w:szCs w:val="15"/>
          <w:b w:val="1"/>
          <w:bCs w:val="1"/>
          <w:color w:val="auto"/>
        </w:rPr>
        <w:t>Director Independence</w:t>
      </w:r>
    </w:p>
    <w:p>
      <w:pPr>
        <w:spacing w:after="0" w:line="102" w:lineRule="exact"/>
        <w:rPr>
          <w:sz w:val="20"/>
          <w:szCs w:val="20"/>
          <w:color w:val="auto"/>
        </w:rPr>
      </w:pPr>
    </w:p>
    <w:p>
      <w:pPr>
        <w:ind w:left="1120" w:right="40" w:firstLine="368"/>
        <w:spacing w:after="0" w:line="275" w:lineRule="auto"/>
        <w:rPr>
          <w:sz w:val="20"/>
          <w:szCs w:val="20"/>
          <w:color w:val="auto"/>
        </w:rPr>
      </w:pPr>
      <w:r>
        <w:rPr>
          <w:rFonts w:ascii="Arial" w:cs="Arial" w:eastAsia="Arial" w:hAnsi="Arial"/>
          <w:sz w:val="15"/>
          <w:szCs w:val="15"/>
          <w:color w:val="auto"/>
        </w:rPr>
        <w:t>Our Board of Directors has undertaken a review of the independence of each director. Based on information provided by each director concerning his or her background, employment and affiliations, our Board of Directors</w:t>
      </w:r>
    </w:p>
    <w:p>
      <w:pPr>
        <w:spacing w:after="0" w:line="90" w:lineRule="exact"/>
        <w:rPr>
          <w:sz w:val="20"/>
          <w:szCs w:val="20"/>
          <w:color w:val="auto"/>
        </w:rPr>
      </w:pPr>
    </w:p>
    <w:p>
      <w:pPr>
        <w:ind w:left="5600"/>
        <w:spacing w:after="0"/>
        <w:rPr>
          <w:sz w:val="20"/>
          <w:szCs w:val="20"/>
          <w:color w:val="auto"/>
        </w:rPr>
      </w:pPr>
      <w:r>
        <w:rPr>
          <w:rFonts w:ascii="Arial" w:cs="Arial" w:eastAsia="Arial" w:hAnsi="Arial"/>
          <w:sz w:val="15"/>
          <w:szCs w:val="15"/>
          <w:color w:val="auto"/>
        </w:rPr>
        <w:t>140</w:t>
      </w:r>
    </w:p>
    <w:p>
      <w:pPr>
        <w:sectPr>
          <w:pgSz w:w="11900" w:h="16838" w:orient="portrait"/>
          <w:cols w:equalWidth="0" w:num="1">
            <w:col w:w="10300"/>
          </w:cols>
          <w:pgMar w:left="240" w:top="407" w:right="1359" w:bottom="1440" w:gutter="0" w:footer="0" w:header="0"/>
        </w:sectPr>
      </w:pPr>
    </w:p>
    <w:bookmarkStart w:id="147" w:name="page148"/>
    <w:bookmarkEnd w:id="147"/>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133350</wp:posOffset>
            </wp:positionH>
            <wp:positionV relativeFrom="page">
              <wp:posOffset>88900</wp:posOffset>
            </wp:positionV>
            <wp:extent cx="7308850" cy="3429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308850" cy="34290"/>
                    </a:xfrm>
                    <a:prstGeom prst="rect">
                      <a:avLst/>
                    </a:prstGeom>
                    <a:noFill/>
                  </pic:spPr>
                </pic:pic>
              </a:graphicData>
            </a:graphic>
          </wp:anchor>
        </w:drawing>
      </w:r>
      <w:hyperlink w:anchor="page7">
        <w:r>
          <w:rPr>
            <w:rFonts w:ascii="Arial" w:cs="Arial" w:eastAsia="Arial" w:hAnsi="Arial"/>
            <w:sz w:val="15"/>
            <w:szCs w:val="15"/>
            <w:b w:val="1"/>
            <w:bCs w:val="1"/>
            <w:u w:val="single" w:color="auto"/>
            <w:color w:val="0000EE"/>
          </w:rPr>
          <w:t>Table of Contents</w:t>
        </w:r>
      </w:hyperlink>
    </w:p>
    <w:p>
      <w:pPr>
        <w:spacing w:after="0" w:line="260" w:lineRule="exact"/>
        <w:rPr>
          <w:sz w:val="20"/>
          <w:szCs w:val="20"/>
          <w:color w:val="auto"/>
        </w:rPr>
      </w:pPr>
    </w:p>
    <w:p>
      <w:pPr>
        <w:ind w:left="1120" w:right="40"/>
        <w:spacing w:after="0" w:line="277" w:lineRule="auto"/>
        <w:rPr>
          <w:sz w:val="20"/>
          <w:szCs w:val="20"/>
          <w:color w:val="auto"/>
        </w:rPr>
      </w:pPr>
      <w:r>
        <w:rPr>
          <w:rFonts w:ascii="Arial" w:cs="Arial" w:eastAsia="Arial" w:hAnsi="Arial"/>
          <w:sz w:val="14"/>
          <w:szCs w:val="14"/>
          <w:color w:val="auto"/>
        </w:rPr>
        <w:t>has determined that Mmes. Rice and Whitman and Messrs. Blair, Jacobs, Mylod, and Schreier do not have a relationship that would interfere with the exercise of independent judgment in carrying out the responsibilities of a director and that each of these directors is “independent” as that term is defined under the listing standards of Nasdaq. In making these determinations, our Board of Directors considered the current and prior relationships that each non-employee director has with our company and all other facts and circumstances our Board of Directors deemed relevant in determining their independence, including the beneficial ownership of our capital stock by each non-employee director, and the transactions involving them described in the section titled “Certain Relationships and Related Party Transactions.”</w:t>
      </w:r>
    </w:p>
    <w:p>
      <w:pPr>
        <w:spacing w:after="0" w:line="235" w:lineRule="exact"/>
        <w:rPr>
          <w:sz w:val="20"/>
          <w:szCs w:val="20"/>
          <w:color w:val="auto"/>
        </w:rPr>
      </w:pPr>
    </w:p>
    <w:p>
      <w:pPr>
        <w:ind w:left="1120"/>
        <w:spacing w:after="0"/>
        <w:rPr>
          <w:sz w:val="20"/>
          <w:szCs w:val="20"/>
          <w:color w:val="auto"/>
        </w:rPr>
      </w:pPr>
      <w:r>
        <w:rPr>
          <w:rFonts w:ascii="Arial" w:cs="Arial" w:eastAsia="Arial" w:hAnsi="Arial"/>
          <w:sz w:val="15"/>
          <w:szCs w:val="15"/>
          <w:b w:val="1"/>
          <w:bCs w:val="1"/>
          <w:color w:val="auto"/>
        </w:rPr>
        <w:t>Committees of the Board of Directors</w:t>
      </w:r>
    </w:p>
    <w:p>
      <w:pPr>
        <w:spacing w:after="0" w:line="102" w:lineRule="exact"/>
        <w:rPr>
          <w:sz w:val="20"/>
          <w:szCs w:val="20"/>
          <w:color w:val="auto"/>
        </w:rPr>
      </w:pPr>
    </w:p>
    <w:p>
      <w:pPr>
        <w:jc w:val="both"/>
        <w:ind w:left="1120" w:right="140" w:firstLine="368"/>
        <w:spacing w:after="0" w:line="263" w:lineRule="auto"/>
        <w:rPr>
          <w:sz w:val="20"/>
          <w:szCs w:val="20"/>
          <w:color w:val="auto"/>
        </w:rPr>
      </w:pPr>
      <w:r>
        <w:rPr>
          <w:rFonts w:ascii="Arial" w:cs="Arial" w:eastAsia="Arial" w:hAnsi="Arial"/>
          <w:sz w:val="15"/>
          <w:szCs w:val="15"/>
          <w:color w:val="auto"/>
        </w:rPr>
        <w:t>Our Board of Directors has established an audit committee, a compensation committee, and a nominating and corporate governance committee. The composition and responsibilities of each of the committees of our Board of Directors is described below. Members will serve on these committees until their resignation or until as otherwise determined by our Board of Directors.</w:t>
      </w:r>
    </w:p>
    <w:p>
      <w:pPr>
        <w:spacing w:after="0" w:line="245" w:lineRule="exact"/>
        <w:rPr>
          <w:sz w:val="20"/>
          <w:szCs w:val="20"/>
          <w:color w:val="auto"/>
        </w:rPr>
      </w:pPr>
    </w:p>
    <w:p>
      <w:pPr>
        <w:ind w:left="1480"/>
        <w:spacing w:after="0"/>
        <w:rPr>
          <w:sz w:val="20"/>
          <w:szCs w:val="20"/>
          <w:color w:val="auto"/>
        </w:rPr>
      </w:pPr>
      <w:r>
        <w:rPr>
          <w:rFonts w:ascii="Arial" w:cs="Arial" w:eastAsia="Arial" w:hAnsi="Arial"/>
          <w:sz w:val="15"/>
          <w:szCs w:val="15"/>
          <w:b w:val="1"/>
          <w:bCs w:val="1"/>
          <w:i w:val="1"/>
          <w:iCs w:val="1"/>
          <w:color w:val="auto"/>
        </w:rPr>
        <w:t>Audit committee</w:t>
      </w:r>
    </w:p>
    <w:p>
      <w:pPr>
        <w:spacing w:after="0" w:line="98" w:lineRule="exact"/>
        <w:rPr>
          <w:sz w:val="20"/>
          <w:szCs w:val="20"/>
          <w:color w:val="auto"/>
        </w:rPr>
      </w:pPr>
    </w:p>
    <w:p>
      <w:pPr>
        <w:ind w:left="1120" w:firstLine="368"/>
        <w:spacing w:after="0" w:line="255" w:lineRule="auto"/>
        <w:rPr>
          <w:sz w:val="20"/>
          <w:szCs w:val="20"/>
          <w:color w:val="auto"/>
        </w:rPr>
      </w:pPr>
      <w:r>
        <w:rPr>
          <w:rFonts w:ascii="Arial" w:cs="Arial" w:eastAsia="Arial" w:hAnsi="Arial"/>
          <w:sz w:val="15"/>
          <w:szCs w:val="15"/>
          <w:color w:val="auto"/>
        </w:rPr>
        <w:t>Following the completion of this offering, our audit committee will consist of Ms. Whitman and Messrs. Blair and Mylod, with Mr. Mylod serving as Chairperson, each of whom will meet the requirements for independence under the listing standards of Nasdaq and SEC rules and regulations. Each member of our audit committee also meets the financial literacy and sophistication requirements of the listing standards of Nasdaq. In addition, our Board of Directors has determined that Ms. Whitman and Messrs. Blair and Mylod are audit committee financial experts within the meaning of Item 407(d) of Regulation S-K under the Securities Act. Following the completion of this offering, our audit committee will be responsible for, among other things:</w:t>
      </w:r>
    </w:p>
    <w:p>
      <w:pPr>
        <w:spacing w:after="0" w:line="85" w:lineRule="exact"/>
        <w:rPr>
          <w:sz w:val="20"/>
          <w:szCs w:val="20"/>
          <w:color w:val="auto"/>
        </w:rPr>
      </w:pPr>
    </w:p>
    <w:p>
      <w:pPr>
        <w:ind w:left="1840" w:hanging="276"/>
        <w:spacing w:after="0"/>
        <w:tabs>
          <w:tab w:leader="none" w:pos="1840" w:val="left"/>
        </w:tabs>
        <w:numPr>
          <w:ilvl w:val="0"/>
          <w:numId w:val="59"/>
        </w:numPr>
        <w:rPr>
          <w:rFonts w:ascii="Arial" w:cs="Arial" w:eastAsia="Arial" w:hAnsi="Arial"/>
          <w:sz w:val="15"/>
          <w:szCs w:val="15"/>
          <w:color w:val="auto"/>
        </w:rPr>
      </w:pPr>
      <w:r>
        <w:rPr>
          <w:rFonts w:ascii="Arial" w:cs="Arial" w:eastAsia="Arial" w:hAnsi="Arial"/>
          <w:sz w:val="15"/>
          <w:szCs w:val="15"/>
          <w:color w:val="auto"/>
        </w:rPr>
        <w:t>selecting a qualified firm to serve as the independent registered public accounting firm to audit our financial statements;</w:t>
      </w:r>
    </w:p>
    <w:p>
      <w:pPr>
        <w:spacing w:after="0" w:line="109" w:lineRule="exact"/>
        <w:rPr>
          <w:rFonts w:ascii="Arial" w:cs="Arial" w:eastAsia="Arial" w:hAnsi="Arial"/>
          <w:sz w:val="15"/>
          <w:szCs w:val="15"/>
          <w:color w:val="auto"/>
        </w:rPr>
      </w:pPr>
    </w:p>
    <w:p>
      <w:pPr>
        <w:ind w:left="1840" w:hanging="276"/>
        <w:spacing w:after="0"/>
        <w:tabs>
          <w:tab w:leader="none" w:pos="1840" w:val="left"/>
        </w:tabs>
        <w:numPr>
          <w:ilvl w:val="0"/>
          <w:numId w:val="59"/>
        </w:numPr>
        <w:rPr>
          <w:rFonts w:ascii="Arial" w:cs="Arial" w:eastAsia="Arial" w:hAnsi="Arial"/>
          <w:sz w:val="15"/>
          <w:szCs w:val="15"/>
          <w:color w:val="auto"/>
        </w:rPr>
      </w:pPr>
      <w:r>
        <w:rPr>
          <w:rFonts w:ascii="Arial" w:cs="Arial" w:eastAsia="Arial" w:hAnsi="Arial"/>
          <w:sz w:val="15"/>
          <w:szCs w:val="15"/>
          <w:color w:val="auto"/>
        </w:rPr>
        <w:t>helping to ensure the independence and overseeing performance of the independent registered public accounting firm;</w:t>
      </w:r>
    </w:p>
    <w:p>
      <w:pPr>
        <w:spacing w:after="0" w:line="109" w:lineRule="exact"/>
        <w:rPr>
          <w:rFonts w:ascii="Arial" w:cs="Arial" w:eastAsia="Arial" w:hAnsi="Arial"/>
          <w:sz w:val="15"/>
          <w:szCs w:val="15"/>
          <w:color w:val="auto"/>
        </w:rPr>
      </w:pPr>
    </w:p>
    <w:p>
      <w:pPr>
        <w:ind w:left="1840" w:right="320" w:hanging="276"/>
        <w:spacing w:after="0" w:line="312" w:lineRule="auto"/>
        <w:tabs>
          <w:tab w:leader="none" w:pos="1840" w:val="left"/>
        </w:tabs>
        <w:numPr>
          <w:ilvl w:val="0"/>
          <w:numId w:val="59"/>
        </w:numPr>
        <w:rPr>
          <w:rFonts w:ascii="Arial" w:cs="Arial" w:eastAsia="Arial" w:hAnsi="Arial"/>
          <w:sz w:val="14"/>
          <w:szCs w:val="14"/>
          <w:color w:val="auto"/>
        </w:rPr>
      </w:pPr>
      <w:r>
        <w:rPr>
          <w:rFonts w:ascii="Arial" w:cs="Arial" w:eastAsia="Arial" w:hAnsi="Arial"/>
          <w:sz w:val="14"/>
          <w:szCs w:val="14"/>
          <w:color w:val="auto"/>
        </w:rPr>
        <w:t>reviewing and discussing the scope and results of the audit with the independent registered public accounting firm, and reviewing, with management and the independent registered public accounting firm, our interim and year-end operating results;</w:t>
      </w:r>
    </w:p>
    <w:p>
      <w:pPr>
        <w:spacing w:after="0" w:line="43" w:lineRule="exact"/>
        <w:rPr>
          <w:rFonts w:ascii="Arial" w:cs="Arial" w:eastAsia="Arial" w:hAnsi="Arial"/>
          <w:sz w:val="14"/>
          <w:szCs w:val="14"/>
          <w:color w:val="auto"/>
        </w:rPr>
      </w:pPr>
    </w:p>
    <w:p>
      <w:pPr>
        <w:ind w:left="1840" w:hanging="276"/>
        <w:spacing w:after="0"/>
        <w:tabs>
          <w:tab w:leader="none" w:pos="1840" w:val="left"/>
        </w:tabs>
        <w:numPr>
          <w:ilvl w:val="0"/>
          <w:numId w:val="59"/>
        </w:numPr>
        <w:rPr>
          <w:rFonts w:ascii="Arial" w:cs="Arial" w:eastAsia="Arial" w:hAnsi="Arial"/>
          <w:sz w:val="15"/>
          <w:szCs w:val="15"/>
          <w:color w:val="auto"/>
        </w:rPr>
      </w:pPr>
      <w:r>
        <w:rPr>
          <w:rFonts w:ascii="Arial" w:cs="Arial" w:eastAsia="Arial" w:hAnsi="Arial"/>
          <w:sz w:val="15"/>
          <w:szCs w:val="15"/>
          <w:color w:val="auto"/>
        </w:rPr>
        <w:t>reviewing our financial statements and our critical accounting policies and estimates;</w:t>
      </w:r>
    </w:p>
    <w:p>
      <w:pPr>
        <w:spacing w:after="0" w:line="109" w:lineRule="exact"/>
        <w:rPr>
          <w:rFonts w:ascii="Arial" w:cs="Arial" w:eastAsia="Arial" w:hAnsi="Arial"/>
          <w:sz w:val="15"/>
          <w:szCs w:val="15"/>
          <w:color w:val="auto"/>
        </w:rPr>
      </w:pPr>
    </w:p>
    <w:p>
      <w:pPr>
        <w:ind w:left="1840" w:hanging="276"/>
        <w:spacing w:after="0"/>
        <w:tabs>
          <w:tab w:leader="none" w:pos="1840" w:val="left"/>
        </w:tabs>
        <w:numPr>
          <w:ilvl w:val="0"/>
          <w:numId w:val="59"/>
        </w:numPr>
        <w:rPr>
          <w:rFonts w:ascii="Arial" w:cs="Arial" w:eastAsia="Arial" w:hAnsi="Arial"/>
          <w:sz w:val="15"/>
          <w:szCs w:val="15"/>
          <w:color w:val="auto"/>
        </w:rPr>
      </w:pPr>
      <w:r>
        <w:rPr>
          <w:rFonts w:ascii="Arial" w:cs="Arial" w:eastAsia="Arial" w:hAnsi="Arial"/>
          <w:sz w:val="15"/>
          <w:szCs w:val="15"/>
          <w:color w:val="auto"/>
        </w:rPr>
        <w:t>reviewing the adequacy and effectiveness of our internal controls;</w:t>
      </w:r>
    </w:p>
    <w:p>
      <w:pPr>
        <w:spacing w:after="0" w:line="109" w:lineRule="exact"/>
        <w:rPr>
          <w:rFonts w:ascii="Arial" w:cs="Arial" w:eastAsia="Arial" w:hAnsi="Arial"/>
          <w:sz w:val="15"/>
          <w:szCs w:val="15"/>
          <w:color w:val="auto"/>
        </w:rPr>
      </w:pPr>
    </w:p>
    <w:p>
      <w:pPr>
        <w:ind w:left="1840" w:right="20" w:hanging="276"/>
        <w:spacing w:after="0" w:line="275" w:lineRule="auto"/>
        <w:tabs>
          <w:tab w:leader="none" w:pos="1840" w:val="left"/>
        </w:tabs>
        <w:numPr>
          <w:ilvl w:val="0"/>
          <w:numId w:val="59"/>
        </w:numPr>
        <w:rPr>
          <w:rFonts w:ascii="Arial" w:cs="Arial" w:eastAsia="Arial" w:hAnsi="Arial"/>
          <w:sz w:val="15"/>
          <w:szCs w:val="15"/>
          <w:color w:val="auto"/>
        </w:rPr>
      </w:pPr>
      <w:r>
        <w:rPr>
          <w:rFonts w:ascii="Arial" w:cs="Arial" w:eastAsia="Arial" w:hAnsi="Arial"/>
          <w:sz w:val="15"/>
          <w:szCs w:val="15"/>
          <w:color w:val="auto"/>
        </w:rPr>
        <w:t>developing procedures for employees to submit concerns anonymously about questionable accounting, internal accounting controls, or audit matters;</w:t>
      </w:r>
    </w:p>
    <w:p>
      <w:pPr>
        <w:spacing w:after="0" w:line="67" w:lineRule="exact"/>
        <w:rPr>
          <w:rFonts w:ascii="Arial" w:cs="Arial" w:eastAsia="Arial" w:hAnsi="Arial"/>
          <w:sz w:val="15"/>
          <w:szCs w:val="15"/>
          <w:color w:val="auto"/>
        </w:rPr>
      </w:pPr>
    </w:p>
    <w:p>
      <w:pPr>
        <w:ind w:left="1840" w:hanging="276"/>
        <w:spacing w:after="0"/>
        <w:tabs>
          <w:tab w:leader="none" w:pos="1840" w:val="left"/>
        </w:tabs>
        <w:numPr>
          <w:ilvl w:val="0"/>
          <w:numId w:val="59"/>
        </w:numPr>
        <w:rPr>
          <w:rFonts w:ascii="Arial" w:cs="Arial" w:eastAsia="Arial" w:hAnsi="Arial"/>
          <w:sz w:val="15"/>
          <w:szCs w:val="15"/>
          <w:color w:val="auto"/>
        </w:rPr>
      </w:pPr>
      <w:r>
        <w:rPr>
          <w:rFonts w:ascii="Arial" w:cs="Arial" w:eastAsia="Arial" w:hAnsi="Arial"/>
          <w:sz w:val="15"/>
          <w:szCs w:val="15"/>
          <w:color w:val="auto"/>
        </w:rPr>
        <w:t>overseeing our policies on risk assessment and risk management;</w:t>
      </w:r>
    </w:p>
    <w:p>
      <w:pPr>
        <w:spacing w:after="0" w:line="109" w:lineRule="exact"/>
        <w:rPr>
          <w:rFonts w:ascii="Arial" w:cs="Arial" w:eastAsia="Arial" w:hAnsi="Arial"/>
          <w:sz w:val="15"/>
          <w:szCs w:val="15"/>
          <w:color w:val="auto"/>
        </w:rPr>
      </w:pPr>
    </w:p>
    <w:p>
      <w:pPr>
        <w:ind w:left="1840" w:hanging="276"/>
        <w:spacing w:after="0"/>
        <w:tabs>
          <w:tab w:leader="none" w:pos="1840" w:val="left"/>
        </w:tabs>
        <w:numPr>
          <w:ilvl w:val="0"/>
          <w:numId w:val="59"/>
        </w:numPr>
        <w:rPr>
          <w:rFonts w:ascii="Arial" w:cs="Arial" w:eastAsia="Arial" w:hAnsi="Arial"/>
          <w:sz w:val="15"/>
          <w:szCs w:val="15"/>
          <w:color w:val="auto"/>
        </w:rPr>
      </w:pPr>
      <w:r>
        <w:rPr>
          <w:rFonts w:ascii="Arial" w:cs="Arial" w:eastAsia="Arial" w:hAnsi="Arial"/>
          <w:sz w:val="15"/>
          <w:szCs w:val="15"/>
          <w:color w:val="auto"/>
        </w:rPr>
        <w:t>overseeing compliance with our code of business conduct and ethics;</w:t>
      </w:r>
    </w:p>
    <w:p>
      <w:pPr>
        <w:spacing w:after="0" w:line="109" w:lineRule="exact"/>
        <w:rPr>
          <w:rFonts w:ascii="Arial" w:cs="Arial" w:eastAsia="Arial" w:hAnsi="Arial"/>
          <w:sz w:val="15"/>
          <w:szCs w:val="15"/>
          <w:color w:val="auto"/>
        </w:rPr>
      </w:pPr>
    </w:p>
    <w:p>
      <w:pPr>
        <w:ind w:left="1840" w:hanging="276"/>
        <w:spacing w:after="0"/>
        <w:tabs>
          <w:tab w:leader="none" w:pos="1840" w:val="left"/>
        </w:tabs>
        <w:numPr>
          <w:ilvl w:val="0"/>
          <w:numId w:val="59"/>
        </w:numPr>
        <w:rPr>
          <w:rFonts w:ascii="Arial" w:cs="Arial" w:eastAsia="Arial" w:hAnsi="Arial"/>
          <w:sz w:val="15"/>
          <w:szCs w:val="15"/>
          <w:color w:val="auto"/>
        </w:rPr>
      </w:pPr>
      <w:r>
        <w:rPr>
          <w:rFonts w:ascii="Arial" w:cs="Arial" w:eastAsia="Arial" w:hAnsi="Arial"/>
          <w:sz w:val="15"/>
          <w:szCs w:val="15"/>
          <w:color w:val="auto"/>
        </w:rPr>
        <w:t>reviewing related party transactions; and</w:t>
      </w:r>
    </w:p>
    <w:p>
      <w:pPr>
        <w:spacing w:after="0" w:line="109" w:lineRule="exact"/>
        <w:rPr>
          <w:rFonts w:ascii="Arial" w:cs="Arial" w:eastAsia="Arial" w:hAnsi="Arial"/>
          <w:sz w:val="15"/>
          <w:szCs w:val="15"/>
          <w:color w:val="auto"/>
        </w:rPr>
      </w:pPr>
    </w:p>
    <w:p>
      <w:pPr>
        <w:ind w:left="1840" w:right="40" w:hanging="276"/>
        <w:spacing w:after="0" w:line="275" w:lineRule="auto"/>
        <w:tabs>
          <w:tab w:leader="none" w:pos="1840" w:val="left"/>
        </w:tabs>
        <w:numPr>
          <w:ilvl w:val="0"/>
          <w:numId w:val="59"/>
        </w:numPr>
        <w:rPr>
          <w:rFonts w:ascii="Arial" w:cs="Arial" w:eastAsia="Arial" w:hAnsi="Arial"/>
          <w:sz w:val="15"/>
          <w:szCs w:val="15"/>
          <w:color w:val="auto"/>
        </w:rPr>
      </w:pPr>
      <w:r>
        <w:rPr>
          <w:rFonts w:ascii="Arial" w:cs="Arial" w:eastAsia="Arial" w:hAnsi="Arial"/>
          <w:sz w:val="15"/>
          <w:szCs w:val="15"/>
          <w:color w:val="auto"/>
        </w:rPr>
        <w:t>pre-approving all audit and all permissible non-audit services, other than de minimis non-audit services, to be performed by the independent registered public accounting firm.</w:t>
      </w:r>
    </w:p>
    <w:p>
      <w:pPr>
        <w:spacing w:after="0" w:line="146" w:lineRule="exact"/>
        <w:rPr>
          <w:sz w:val="20"/>
          <w:szCs w:val="20"/>
          <w:color w:val="auto"/>
        </w:rPr>
      </w:pPr>
    </w:p>
    <w:p>
      <w:pPr>
        <w:ind w:left="1120" w:right="220"/>
        <w:spacing w:after="0" w:line="275" w:lineRule="auto"/>
        <w:rPr>
          <w:sz w:val="20"/>
          <w:szCs w:val="20"/>
          <w:color w:val="auto"/>
        </w:rPr>
      </w:pPr>
      <w:r>
        <w:rPr>
          <w:rFonts w:ascii="Arial" w:cs="Arial" w:eastAsia="Arial" w:hAnsi="Arial"/>
          <w:sz w:val="15"/>
          <w:szCs w:val="15"/>
          <w:color w:val="auto"/>
        </w:rPr>
        <w:t>Our audit committee will operate under a written charter, to be effective prior to the completion of this offering, that satisfies the applicable rules and regulations of the SEC and the listing standards of Nasdaq.</w:t>
      </w:r>
    </w:p>
    <w:p>
      <w:pPr>
        <w:spacing w:after="0" w:line="236" w:lineRule="exact"/>
        <w:rPr>
          <w:sz w:val="20"/>
          <w:szCs w:val="20"/>
          <w:color w:val="auto"/>
        </w:rPr>
      </w:pPr>
    </w:p>
    <w:p>
      <w:pPr>
        <w:ind w:left="1480"/>
        <w:spacing w:after="0"/>
        <w:rPr>
          <w:sz w:val="20"/>
          <w:szCs w:val="20"/>
          <w:color w:val="auto"/>
        </w:rPr>
      </w:pPr>
      <w:r>
        <w:rPr>
          <w:rFonts w:ascii="Arial" w:cs="Arial" w:eastAsia="Arial" w:hAnsi="Arial"/>
          <w:sz w:val="15"/>
          <w:szCs w:val="15"/>
          <w:b w:val="1"/>
          <w:bCs w:val="1"/>
          <w:i w:val="1"/>
          <w:iCs w:val="1"/>
          <w:color w:val="auto"/>
        </w:rPr>
        <w:t>Compensation committee</w:t>
      </w:r>
    </w:p>
    <w:p>
      <w:pPr>
        <w:spacing w:after="0" w:line="98" w:lineRule="exact"/>
        <w:rPr>
          <w:sz w:val="20"/>
          <w:szCs w:val="20"/>
          <w:color w:val="auto"/>
        </w:rPr>
      </w:pPr>
    </w:p>
    <w:p>
      <w:pPr>
        <w:ind w:left="1120" w:right="140" w:firstLine="368"/>
        <w:spacing w:after="0" w:line="275" w:lineRule="auto"/>
        <w:rPr>
          <w:sz w:val="20"/>
          <w:szCs w:val="20"/>
          <w:color w:val="auto"/>
        </w:rPr>
      </w:pPr>
      <w:r>
        <w:rPr>
          <w:rFonts w:ascii="Arial" w:cs="Arial" w:eastAsia="Arial" w:hAnsi="Arial"/>
          <w:sz w:val="15"/>
          <w:szCs w:val="15"/>
          <w:color w:val="auto"/>
        </w:rPr>
        <w:t>Following the completion of this offering, our compensation committee will consist of Ms. Rice and Messrs. Mylod and Schreier, with Ms. Rice serving as Chairperson, each of whom will meet the requirements for</w:t>
      </w:r>
    </w:p>
    <w:p>
      <w:pPr>
        <w:spacing w:after="0" w:line="90" w:lineRule="exact"/>
        <w:rPr>
          <w:sz w:val="20"/>
          <w:szCs w:val="20"/>
          <w:color w:val="auto"/>
        </w:rPr>
      </w:pPr>
    </w:p>
    <w:p>
      <w:pPr>
        <w:ind w:left="5600"/>
        <w:spacing w:after="0"/>
        <w:rPr>
          <w:sz w:val="20"/>
          <w:szCs w:val="20"/>
          <w:color w:val="auto"/>
        </w:rPr>
      </w:pPr>
      <w:r>
        <w:rPr>
          <w:rFonts w:ascii="Arial" w:cs="Arial" w:eastAsia="Arial" w:hAnsi="Arial"/>
          <w:sz w:val="15"/>
          <w:szCs w:val="15"/>
          <w:color w:val="auto"/>
        </w:rPr>
        <w:t>141</w:t>
      </w:r>
    </w:p>
    <w:p>
      <w:pPr>
        <w:sectPr>
          <w:pgSz w:w="11900" w:h="16838" w:orient="portrait"/>
          <w:cols w:equalWidth="0" w:num="1">
            <w:col w:w="10300"/>
          </w:cols>
          <w:pgMar w:left="240" w:top="407" w:right="1359" w:bottom="1440" w:gutter="0" w:footer="0" w:header="0"/>
        </w:sectPr>
      </w:pPr>
    </w:p>
    <w:bookmarkStart w:id="148" w:name="page149"/>
    <w:bookmarkEnd w:id="148"/>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133350</wp:posOffset>
            </wp:positionH>
            <wp:positionV relativeFrom="page">
              <wp:posOffset>88900</wp:posOffset>
            </wp:positionV>
            <wp:extent cx="7308850" cy="3429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308850" cy="34290"/>
                    </a:xfrm>
                    <a:prstGeom prst="rect">
                      <a:avLst/>
                    </a:prstGeom>
                    <a:noFill/>
                  </pic:spPr>
                </pic:pic>
              </a:graphicData>
            </a:graphic>
          </wp:anchor>
        </w:drawing>
      </w:r>
      <w:hyperlink w:anchor="page7">
        <w:r>
          <w:rPr>
            <w:rFonts w:ascii="Arial" w:cs="Arial" w:eastAsia="Arial" w:hAnsi="Arial"/>
            <w:sz w:val="15"/>
            <w:szCs w:val="15"/>
            <w:b w:val="1"/>
            <w:bCs w:val="1"/>
            <w:u w:val="single" w:color="auto"/>
            <w:color w:val="0000EE"/>
          </w:rPr>
          <w:t>Table of Contents</w:t>
        </w:r>
      </w:hyperlink>
    </w:p>
    <w:p>
      <w:pPr>
        <w:spacing w:after="0" w:line="260" w:lineRule="exact"/>
        <w:rPr>
          <w:sz w:val="20"/>
          <w:szCs w:val="20"/>
          <w:color w:val="auto"/>
        </w:rPr>
      </w:pPr>
    </w:p>
    <w:p>
      <w:pPr>
        <w:jc w:val="both"/>
        <w:ind w:left="1120" w:right="460"/>
        <w:spacing w:after="0" w:line="263" w:lineRule="auto"/>
        <w:rPr>
          <w:sz w:val="20"/>
          <w:szCs w:val="20"/>
          <w:color w:val="auto"/>
        </w:rPr>
      </w:pPr>
      <w:r>
        <w:rPr>
          <w:rFonts w:ascii="Arial" w:cs="Arial" w:eastAsia="Arial" w:hAnsi="Arial"/>
          <w:sz w:val="15"/>
          <w:szCs w:val="15"/>
          <w:color w:val="auto"/>
        </w:rPr>
        <w:t>independence under the listing standards of Nasdaq and SEC rules and regulations. Each member of our compensation committee will also be a non-employee director, as defined pursuant to Rule 16b-3 promulgated under the Exchange Act, or Rule 16b-3. Following the completion of this offering, our compensation committee will be responsible for, among other things:</w:t>
      </w:r>
    </w:p>
    <w:p>
      <w:pPr>
        <w:spacing w:after="0" w:line="76" w:lineRule="exact"/>
        <w:rPr>
          <w:sz w:val="20"/>
          <w:szCs w:val="20"/>
          <w:color w:val="auto"/>
        </w:rPr>
      </w:pPr>
    </w:p>
    <w:p>
      <w:pPr>
        <w:ind w:left="1840" w:hanging="276"/>
        <w:spacing w:after="0" w:line="275" w:lineRule="auto"/>
        <w:tabs>
          <w:tab w:leader="none" w:pos="1840" w:val="left"/>
        </w:tabs>
        <w:numPr>
          <w:ilvl w:val="0"/>
          <w:numId w:val="60"/>
        </w:numPr>
        <w:rPr>
          <w:rFonts w:ascii="Arial" w:cs="Arial" w:eastAsia="Arial" w:hAnsi="Arial"/>
          <w:sz w:val="15"/>
          <w:szCs w:val="15"/>
          <w:color w:val="auto"/>
        </w:rPr>
      </w:pPr>
      <w:r>
        <w:rPr>
          <w:rFonts w:ascii="Arial" w:cs="Arial" w:eastAsia="Arial" w:hAnsi="Arial"/>
          <w:sz w:val="15"/>
          <w:szCs w:val="15"/>
          <w:color w:val="auto"/>
        </w:rPr>
        <w:t>reviewing, approving, and determining, or making recommendations to our Board of Directors regarding, the compensation of our executive officers, including our CEO;</w:t>
      </w:r>
    </w:p>
    <w:p>
      <w:pPr>
        <w:spacing w:after="0" w:line="67" w:lineRule="exact"/>
        <w:rPr>
          <w:rFonts w:ascii="Arial" w:cs="Arial" w:eastAsia="Arial" w:hAnsi="Arial"/>
          <w:sz w:val="15"/>
          <w:szCs w:val="15"/>
          <w:color w:val="auto"/>
        </w:rPr>
      </w:pPr>
    </w:p>
    <w:p>
      <w:pPr>
        <w:ind w:left="1840" w:hanging="276"/>
        <w:spacing w:after="0"/>
        <w:tabs>
          <w:tab w:leader="none" w:pos="1840" w:val="left"/>
        </w:tabs>
        <w:numPr>
          <w:ilvl w:val="0"/>
          <w:numId w:val="60"/>
        </w:numPr>
        <w:rPr>
          <w:rFonts w:ascii="Arial" w:cs="Arial" w:eastAsia="Arial" w:hAnsi="Arial"/>
          <w:sz w:val="15"/>
          <w:szCs w:val="15"/>
          <w:color w:val="auto"/>
        </w:rPr>
      </w:pPr>
      <w:r>
        <w:rPr>
          <w:rFonts w:ascii="Arial" w:cs="Arial" w:eastAsia="Arial" w:hAnsi="Arial"/>
          <w:sz w:val="15"/>
          <w:szCs w:val="15"/>
          <w:color w:val="auto"/>
        </w:rPr>
        <w:t>administering our equity compensation plans;</w:t>
      </w:r>
    </w:p>
    <w:p>
      <w:pPr>
        <w:spacing w:after="0" w:line="109" w:lineRule="exact"/>
        <w:rPr>
          <w:rFonts w:ascii="Arial" w:cs="Arial" w:eastAsia="Arial" w:hAnsi="Arial"/>
          <w:sz w:val="15"/>
          <w:szCs w:val="15"/>
          <w:color w:val="auto"/>
        </w:rPr>
      </w:pPr>
    </w:p>
    <w:p>
      <w:pPr>
        <w:ind w:left="1840" w:hanging="276"/>
        <w:spacing w:after="0"/>
        <w:tabs>
          <w:tab w:leader="none" w:pos="1840" w:val="left"/>
        </w:tabs>
        <w:numPr>
          <w:ilvl w:val="0"/>
          <w:numId w:val="60"/>
        </w:numPr>
        <w:rPr>
          <w:rFonts w:ascii="Arial" w:cs="Arial" w:eastAsia="Arial" w:hAnsi="Arial"/>
          <w:sz w:val="15"/>
          <w:szCs w:val="15"/>
          <w:color w:val="auto"/>
        </w:rPr>
      </w:pPr>
      <w:r>
        <w:rPr>
          <w:rFonts w:ascii="Arial" w:cs="Arial" w:eastAsia="Arial" w:hAnsi="Arial"/>
          <w:sz w:val="15"/>
          <w:szCs w:val="15"/>
          <w:color w:val="auto"/>
        </w:rPr>
        <w:t>reviewing, approving, and administering incentive compensation and equity compensation plans;</w:t>
      </w:r>
    </w:p>
    <w:p>
      <w:pPr>
        <w:spacing w:after="0" w:line="109" w:lineRule="exact"/>
        <w:rPr>
          <w:rFonts w:ascii="Arial" w:cs="Arial" w:eastAsia="Arial" w:hAnsi="Arial"/>
          <w:sz w:val="15"/>
          <w:szCs w:val="15"/>
          <w:color w:val="auto"/>
        </w:rPr>
      </w:pPr>
    </w:p>
    <w:p>
      <w:pPr>
        <w:ind w:left="1840" w:hanging="276"/>
        <w:spacing w:after="0"/>
        <w:tabs>
          <w:tab w:leader="none" w:pos="1840" w:val="left"/>
        </w:tabs>
        <w:numPr>
          <w:ilvl w:val="0"/>
          <w:numId w:val="60"/>
        </w:numPr>
        <w:rPr>
          <w:rFonts w:ascii="Arial" w:cs="Arial" w:eastAsia="Arial" w:hAnsi="Arial"/>
          <w:sz w:val="15"/>
          <w:szCs w:val="15"/>
          <w:color w:val="auto"/>
        </w:rPr>
      </w:pPr>
      <w:r>
        <w:rPr>
          <w:rFonts w:ascii="Arial" w:cs="Arial" w:eastAsia="Arial" w:hAnsi="Arial"/>
          <w:sz w:val="15"/>
          <w:szCs w:val="15"/>
          <w:color w:val="auto"/>
        </w:rPr>
        <w:t>reviewing and approving our overall compensation philosophy; and</w:t>
      </w:r>
    </w:p>
    <w:p>
      <w:pPr>
        <w:spacing w:after="0" w:line="109" w:lineRule="exact"/>
        <w:rPr>
          <w:rFonts w:ascii="Arial" w:cs="Arial" w:eastAsia="Arial" w:hAnsi="Arial"/>
          <w:sz w:val="15"/>
          <w:szCs w:val="15"/>
          <w:color w:val="auto"/>
        </w:rPr>
      </w:pPr>
    </w:p>
    <w:p>
      <w:pPr>
        <w:ind w:left="1840" w:hanging="276"/>
        <w:spacing w:after="0"/>
        <w:tabs>
          <w:tab w:leader="none" w:pos="1840" w:val="left"/>
        </w:tabs>
        <w:numPr>
          <w:ilvl w:val="0"/>
          <w:numId w:val="60"/>
        </w:numPr>
        <w:rPr>
          <w:rFonts w:ascii="Arial" w:cs="Arial" w:eastAsia="Arial" w:hAnsi="Arial"/>
          <w:sz w:val="15"/>
          <w:szCs w:val="15"/>
          <w:color w:val="auto"/>
        </w:rPr>
      </w:pPr>
      <w:r>
        <w:rPr>
          <w:rFonts w:ascii="Arial" w:cs="Arial" w:eastAsia="Arial" w:hAnsi="Arial"/>
          <w:sz w:val="15"/>
          <w:szCs w:val="15"/>
          <w:color w:val="auto"/>
        </w:rPr>
        <w:t>making recommendations regarding non-employee director compensation to our full Board of Directors.</w:t>
      </w:r>
    </w:p>
    <w:p>
      <w:pPr>
        <w:spacing w:after="0" w:line="188" w:lineRule="exact"/>
        <w:rPr>
          <w:sz w:val="20"/>
          <w:szCs w:val="20"/>
          <w:color w:val="auto"/>
        </w:rPr>
      </w:pPr>
    </w:p>
    <w:p>
      <w:pPr>
        <w:ind w:left="1120" w:right="540" w:firstLine="368"/>
        <w:spacing w:after="0" w:line="275" w:lineRule="auto"/>
        <w:rPr>
          <w:sz w:val="20"/>
          <w:szCs w:val="20"/>
          <w:color w:val="auto"/>
        </w:rPr>
      </w:pPr>
      <w:r>
        <w:rPr>
          <w:rFonts w:ascii="Arial" w:cs="Arial" w:eastAsia="Arial" w:hAnsi="Arial"/>
          <w:sz w:val="15"/>
          <w:szCs w:val="15"/>
          <w:color w:val="auto"/>
        </w:rPr>
        <w:t>Our compensation committee will operate under a written charter, to be effective prior to the completion of this offering, that satisfies the applicable rules and regulations of the SEC and the listing standards of Nasdaq.</w:t>
      </w:r>
    </w:p>
    <w:p>
      <w:pPr>
        <w:spacing w:after="0" w:line="236" w:lineRule="exact"/>
        <w:rPr>
          <w:sz w:val="20"/>
          <w:szCs w:val="20"/>
          <w:color w:val="auto"/>
        </w:rPr>
      </w:pPr>
    </w:p>
    <w:p>
      <w:pPr>
        <w:ind w:left="1480"/>
        <w:spacing w:after="0"/>
        <w:rPr>
          <w:sz w:val="20"/>
          <w:szCs w:val="20"/>
          <w:color w:val="auto"/>
        </w:rPr>
      </w:pPr>
      <w:r>
        <w:rPr>
          <w:rFonts w:ascii="Arial" w:cs="Arial" w:eastAsia="Arial" w:hAnsi="Arial"/>
          <w:sz w:val="15"/>
          <w:szCs w:val="15"/>
          <w:b w:val="1"/>
          <w:bCs w:val="1"/>
          <w:i w:val="1"/>
          <w:iCs w:val="1"/>
          <w:color w:val="auto"/>
        </w:rPr>
        <w:t>Nominating and corporate governance committee</w:t>
      </w:r>
    </w:p>
    <w:p>
      <w:pPr>
        <w:spacing w:after="0" w:line="98" w:lineRule="exact"/>
        <w:rPr>
          <w:sz w:val="20"/>
          <w:szCs w:val="20"/>
          <w:color w:val="auto"/>
        </w:rPr>
      </w:pPr>
    </w:p>
    <w:p>
      <w:pPr>
        <w:ind w:left="1120" w:right="20" w:firstLine="368"/>
        <w:spacing w:after="0" w:line="259" w:lineRule="auto"/>
        <w:rPr>
          <w:sz w:val="20"/>
          <w:szCs w:val="20"/>
          <w:color w:val="auto"/>
        </w:rPr>
      </w:pPr>
      <w:r>
        <w:rPr>
          <w:rFonts w:ascii="Arial" w:cs="Arial" w:eastAsia="Arial" w:hAnsi="Arial"/>
          <w:sz w:val="15"/>
          <w:szCs w:val="15"/>
          <w:color w:val="auto"/>
        </w:rPr>
        <w:t>Following the completion of this offering, our nominating and corporate governance committee will consist of Ms. Whitman and Mr. Jacobs, with Ms. Whitman serving as Chairperson, each of whom will meet the requirements for independence under the listing standards of Nasdaq and SEC rules and regulations. Following the completion of this offering, our nominating and corporate governance committee will be responsible for, among other things:</w:t>
      </w:r>
    </w:p>
    <w:p>
      <w:pPr>
        <w:spacing w:after="0" w:line="79" w:lineRule="exact"/>
        <w:rPr>
          <w:sz w:val="20"/>
          <w:szCs w:val="20"/>
          <w:color w:val="auto"/>
        </w:rPr>
      </w:pPr>
    </w:p>
    <w:p>
      <w:pPr>
        <w:ind w:left="1840" w:right="80" w:hanging="276"/>
        <w:spacing w:after="0" w:line="275" w:lineRule="auto"/>
        <w:tabs>
          <w:tab w:leader="none" w:pos="1840" w:val="left"/>
        </w:tabs>
        <w:numPr>
          <w:ilvl w:val="0"/>
          <w:numId w:val="61"/>
        </w:numPr>
        <w:rPr>
          <w:rFonts w:ascii="Arial" w:cs="Arial" w:eastAsia="Arial" w:hAnsi="Arial"/>
          <w:sz w:val="15"/>
          <w:szCs w:val="15"/>
          <w:color w:val="auto"/>
        </w:rPr>
      </w:pPr>
      <w:r>
        <w:rPr>
          <w:rFonts w:ascii="Arial" w:cs="Arial" w:eastAsia="Arial" w:hAnsi="Arial"/>
          <w:sz w:val="15"/>
          <w:szCs w:val="15"/>
          <w:color w:val="auto"/>
        </w:rPr>
        <w:t>identifying, evaluating, and selecting, or making recommendations to our Board of Directors regarding, nominees for election to our Board of Directors and its committees;</w:t>
      </w:r>
    </w:p>
    <w:p>
      <w:pPr>
        <w:spacing w:after="0" w:line="67" w:lineRule="exact"/>
        <w:rPr>
          <w:rFonts w:ascii="Arial" w:cs="Arial" w:eastAsia="Arial" w:hAnsi="Arial"/>
          <w:sz w:val="15"/>
          <w:szCs w:val="15"/>
          <w:color w:val="auto"/>
        </w:rPr>
      </w:pPr>
    </w:p>
    <w:p>
      <w:pPr>
        <w:ind w:left="1840" w:hanging="276"/>
        <w:spacing w:after="0"/>
        <w:tabs>
          <w:tab w:leader="none" w:pos="1840" w:val="left"/>
        </w:tabs>
        <w:numPr>
          <w:ilvl w:val="0"/>
          <w:numId w:val="61"/>
        </w:numPr>
        <w:rPr>
          <w:rFonts w:ascii="Arial" w:cs="Arial" w:eastAsia="Arial" w:hAnsi="Arial"/>
          <w:sz w:val="15"/>
          <w:szCs w:val="15"/>
          <w:color w:val="auto"/>
        </w:rPr>
      </w:pPr>
      <w:r>
        <w:rPr>
          <w:rFonts w:ascii="Arial" w:cs="Arial" w:eastAsia="Arial" w:hAnsi="Arial"/>
          <w:sz w:val="15"/>
          <w:szCs w:val="15"/>
          <w:color w:val="auto"/>
        </w:rPr>
        <w:t>overseeing the evaluation the performance of our Board of Directors and of individual directors;</w:t>
      </w:r>
    </w:p>
    <w:p>
      <w:pPr>
        <w:spacing w:after="0" w:line="109" w:lineRule="exact"/>
        <w:rPr>
          <w:rFonts w:ascii="Arial" w:cs="Arial" w:eastAsia="Arial" w:hAnsi="Arial"/>
          <w:sz w:val="15"/>
          <w:szCs w:val="15"/>
          <w:color w:val="auto"/>
        </w:rPr>
      </w:pPr>
    </w:p>
    <w:p>
      <w:pPr>
        <w:ind w:left="1840" w:right="720" w:hanging="276"/>
        <w:spacing w:after="0" w:line="275" w:lineRule="auto"/>
        <w:tabs>
          <w:tab w:leader="none" w:pos="1840" w:val="left"/>
        </w:tabs>
        <w:numPr>
          <w:ilvl w:val="0"/>
          <w:numId w:val="61"/>
        </w:numPr>
        <w:rPr>
          <w:rFonts w:ascii="Arial" w:cs="Arial" w:eastAsia="Arial" w:hAnsi="Arial"/>
          <w:sz w:val="15"/>
          <w:szCs w:val="15"/>
          <w:color w:val="auto"/>
        </w:rPr>
      </w:pPr>
      <w:r>
        <w:rPr>
          <w:rFonts w:ascii="Arial" w:cs="Arial" w:eastAsia="Arial" w:hAnsi="Arial"/>
          <w:sz w:val="15"/>
          <w:szCs w:val="15"/>
          <w:color w:val="auto"/>
        </w:rPr>
        <w:t>considering and making recommendations to our Board of Directors regarding the composition of our Board of Directors and its committees;</w:t>
      </w:r>
    </w:p>
    <w:p>
      <w:pPr>
        <w:spacing w:after="0" w:line="67" w:lineRule="exact"/>
        <w:rPr>
          <w:rFonts w:ascii="Arial" w:cs="Arial" w:eastAsia="Arial" w:hAnsi="Arial"/>
          <w:sz w:val="15"/>
          <w:szCs w:val="15"/>
          <w:color w:val="auto"/>
        </w:rPr>
      </w:pPr>
    </w:p>
    <w:p>
      <w:pPr>
        <w:ind w:left="1840" w:hanging="276"/>
        <w:spacing w:after="0"/>
        <w:tabs>
          <w:tab w:leader="none" w:pos="1840" w:val="left"/>
        </w:tabs>
        <w:numPr>
          <w:ilvl w:val="0"/>
          <w:numId w:val="61"/>
        </w:numPr>
        <w:rPr>
          <w:rFonts w:ascii="Arial" w:cs="Arial" w:eastAsia="Arial" w:hAnsi="Arial"/>
          <w:sz w:val="15"/>
          <w:szCs w:val="15"/>
          <w:color w:val="auto"/>
        </w:rPr>
      </w:pPr>
      <w:r>
        <w:rPr>
          <w:rFonts w:ascii="Arial" w:cs="Arial" w:eastAsia="Arial" w:hAnsi="Arial"/>
          <w:sz w:val="15"/>
          <w:szCs w:val="15"/>
          <w:color w:val="auto"/>
        </w:rPr>
        <w:t>overseeing our corporate governance practices;</w:t>
      </w:r>
    </w:p>
    <w:p>
      <w:pPr>
        <w:spacing w:after="0" w:line="109" w:lineRule="exact"/>
        <w:rPr>
          <w:rFonts w:ascii="Arial" w:cs="Arial" w:eastAsia="Arial" w:hAnsi="Arial"/>
          <w:sz w:val="15"/>
          <w:szCs w:val="15"/>
          <w:color w:val="auto"/>
        </w:rPr>
      </w:pPr>
    </w:p>
    <w:p>
      <w:pPr>
        <w:ind w:left="1840" w:hanging="276"/>
        <w:spacing w:after="0"/>
        <w:tabs>
          <w:tab w:leader="none" w:pos="1840" w:val="left"/>
        </w:tabs>
        <w:numPr>
          <w:ilvl w:val="0"/>
          <w:numId w:val="61"/>
        </w:numPr>
        <w:rPr>
          <w:rFonts w:ascii="Arial" w:cs="Arial" w:eastAsia="Arial" w:hAnsi="Arial"/>
          <w:sz w:val="15"/>
          <w:szCs w:val="15"/>
          <w:color w:val="auto"/>
        </w:rPr>
      </w:pPr>
      <w:r>
        <w:rPr>
          <w:rFonts w:ascii="Arial" w:cs="Arial" w:eastAsia="Arial" w:hAnsi="Arial"/>
          <w:sz w:val="15"/>
          <w:szCs w:val="15"/>
          <w:color w:val="auto"/>
        </w:rPr>
        <w:t>contributing to succession planning; and</w:t>
      </w:r>
    </w:p>
    <w:p>
      <w:pPr>
        <w:spacing w:after="0" w:line="109" w:lineRule="exact"/>
        <w:rPr>
          <w:rFonts w:ascii="Arial" w:cs="Arial" w:eastAsia="Arial" w:hAnsi="Arial"/>
          <w:sz w:val="15"/>
          <w:szCs w:val="15"/>
          <w:color w:val="auto"/>
        </w:rPr>
      </w:pPr>
    </w:p>
    <w:p>
      <w:pPr>
        <w:ind w:left="1840" w:hanging="276"/>
        <w:spacing w:after="0"/>
        <w:tabs>
          <w:tab w:leader="none" w:pos="1840" w:val="left"/>
        </w:tabs>
        <w:numPr>
          <w:ilvl w:val="0"/>
          <w:numId w:val="61"/>
        </w:numPr>
        <w:rPr>
          <w:rFonts w:ascii="Arial" w:cs="Arial" w:eastAsia="Arial" w:hAnsi="Arial"/>
          <w:sz w:val="15"/>
          <w:szCs w:val="15"/>
          <w:color w:val="auto"/>
        </w:rPr>
      </w:pPr>
      <w:r>
        <w:rPr>
          <w:rFonts w:ascii="Arial" w:cs="Arial" w:eastAsia="Arial" w:hAnsi="Arial"/>
          <w:sz w:val="15"/>
          <w:szCs w:val="15"/>
          <w:color w:val="auto"/>
        </w:rPr>
        <w:t>developing and making recommendations to our Board of Directors regarding corporate governance guidelines and matters.</w:t>
      </w:r>
    </w:p>
    <w:p>
      <w:pPr>
        <w:spacing w:after="0" w:line="188" w:lineRule="exact"/>
        <w:rPr>
          <w:sz w:val="20"/>
          <w:szCs w:val="20"/>
          <w:color w:val="auto"/>
        </w:rPr>
      </w:pPr>
    </w:p>
    <w:p>
      <w:pPr>
        <w:ind w:left="1120" w:right="100" w:firstLine="368"/>
        <w:spacing w:after="0" w:line="275" w:lineRule="auto"/>
        <w:rPr>
          <w:sz w:val="20"/>
          <w:szCs w:val="20"/>
          <w:color w:val="auto"/>
        </w:rPr>
      </w:pPr>
      <w:r>
        <w:rPr>
          <w:rFonts w:ascii="Arial" w:cs="Arial" w:eastAsia="Arial" w:hAnsi="Arial"/>
          <w:sz w:val="15"/>
          <w:szCs w:val="15"/>
          <w:color w:val="auto"/>
        </w:rPr>
        <w:t>Our nominating and corporate governance committee will operate under a written charter, to be effective prior to the completion of this offering, that satisfies the applicable listing standards of Nasdaq.</w:t>
      </w:r>
    </w:p>
    <w:p>
      <w:pPr>
        <w:spacing w:after="0" w:line="232" w:lineRule="exact"/>
        <w:rPr>
          <w:sz w:val="20"/>
          <w:szCs w:val="20"/>
          <w:color w:val="auto"/>
        </w:rPr>
      </w:pPr>
    </w:p>
    <w:p>
      <w:pPr>
        <w:ind w:left="1120"/>
        <w:spacing w:after="0"/>
        <w:rPr>
          <w:sz w:val="20"/>
          <w:szCs w:val="20"/>
          <w:color w:val="auto"/>
        </w:rPr>
      </w:pPr>
      <w:r>
        <w:rPr>
          <w:rFonts w:ascii="Arial" w:cs="Arial" w:eastAsia="Arial" w:hAnsi="Arial"/>
          <w:sz w:val="15"/>
          <w:szCs w:val="15"/>
          <w:b w:val="1"/>
          <w:bCs w:val="1"/>
          <w:color w:val="auto"/>
        </w:rPr>
        <w:t>Compensation Committee Interlocks and Insider Participation</w:t>
      </w:r>
    </w:p>
    <w:p>
      <w:pPr>
        <w:spacing w:after="0" w:line="102" w:lineRule="exact"/>
        <w:rPr>
          <w:sz w:val="20"/>
          <w:szCs w:val="20"/>
          <w:color w:val="auto"/>
        </w:rPr>
      </w:pPr>
    </w:p>
    <w:p>
      <w:pPr>
        <w:ind w:left="1120" w:right="40" w:firstLine="368"/>
        <w:spacing w:after="0" w:line="322" w:lineRule="auto"/>
        <w:rPr>
          <w:sz w:val="20"/>
          <w:szCs w:val="20"/>
          <w:color w:val="auto"/>
        </w:rPr>
      </w:pPr>
      <w:r>
        <w:rPr>
          <w:rFonts w:ascii="Arial" w:cs="Arial" w:eastAsia="Arial" w:hAnsi="Arial"/>
          <w:sz w:val="13"/>
          <w:szCs w:val="13"/>
          <w:color w:val="auto"/>
        </w:rPr>
        <w:t>None of the members of our compensation committee is or has been an officer or employee of our company. None of our executive officers currently serves, or in the past year has served, as a member of the board of directors or compensation committee (or other board committee performing equivalent functions) of any entity that has one or more of its executive officers serving on our Board of Directors or compensation committee.</w:t>
      </w:r>
    </w:p>
    <w:p>
      <w:pPr>
        <w:spacing w:after="0" w:line="206" w:lineRule="exact"/>
        <w:rPr>
          <w:sz w:val="20"/>
          <w:szCs w:val="20"/>
          <w:color w:val="auto"/>
        </w:rPr>
      </w:pPr>
    </w:p>
    <w:p>
      <w:pPr>
        <w:ind w:left="1120"/>
        <w:spacing w:after="0"/>
        <w:rPr>
          <w:sz w:val="20"/>
          <w:szCs w:val="20"/>
          <w:color w:val="auto"/>
        </w:rPr>
      </w:pPr>
      <w:r>
        <w:rPr>
          <w:rFonts w:ascii="Arial" w:cs="Arial" w:eastAsia="Arial" w:hAnsi="Arial"/>
          <w:sz w:val="15"/>
          <w:szCs w:val="15"/>
          <w:b w:val="1"/>
          <w:bCs w:val="1"/>
          <w:color w:val="auto"/>
        </w:rPr>
        <w:t>Non-Employee Director Compensation</w:t>
      </w:r>
    </w:p>
    <w:p>
      <w:pPr>
        <w:spacing w:after="0" w:line="102" w:lineRule="exact"/>
        <w:rPr>
          <w:sz w:val="20"/>
          <w:szCs w:val="20"/>
          <w:color w:val="auto"/>
        </w:rPr>
      </w:pPr>
    </w:p>
    <w:p>
      <w:pPr>
        <w:ind w:left="1480"/>
        <w:spacing w:after="0"/>
        <w:rPr>
          <w:sz w:val="20"/>
          <w:szCs w:val="20"/>
          <w:color w:val="auto"/>
        </w:rPr>
      </w:pPr>
      <w:r>
        <w:rPr>
          <w:rFonts w:ascii="Arial" w:cs="Arial" w:eastAsia="Arial" w:hAnsi="Arial"/>
          <w:sz w:val="15"/>
          <w:szCs w:val="15"/>
          <w:color w:val="auto"/>
        </w:rPr>
        <w:t>Our employee directors, Messrs. Houston and Ferdowsi, have not received any compensation as directors.</w:t>
      </w:r>
    </w:p>
    <w:p>
      <w:pPr>
        <w:spacing w:after="0" w:line="132" w:lineRule="exact"/>
        <w:rPr>
          <w:sz w:val="20"/>
          <w:szCs w:val="20"/>
          <w:color w:val="auto"/>
        </w:rPr>
      </w:pPr>
    </w:p>
    <w:p>
      <w:pPr>
        <w:ind w:left="5600"/>
        <w:spacing w:after="0"/>
        <w:rPr>
          <w:sz w:val="20"/>
          <w:szCs w:val="20"/>
          <w:color w:val="auto"/>
        </w:rPr>
      </w:pPr>
      <w:r>
        <w:rPr>
          <w:rFonts w:ascii="Arial" w:cs="Arial" w:eastAsia="Arial" w:hAnsi="Arial"/>
          <w:sz w:val="15"/>
          <w:szCs w:val="15"/>
          <w:color w:val="auto"/>
        </w:rPr>
        <w:t>142</w:t>
      </w:r>
    </w:p>
    <w:p>
      <w:pPr>
        <w:sectPr>
          <w:pgSz w:w="11900" w:h="16838" w:orient="portrait"/>
          <w:cols w:equalWidth="0" w:num="1">
            <w:col w:w="10280"/>
          </w:cols>
          <w:pgMar w:left="240" w:top="407" w:right="1379" w:bottom="1440" w:gutter="0" w:footer="0" w:header="0"/>
        </w:sectPr>
      </w:pPr>
    </w:p>
    <w:bookmarkStart w:id="149" w:name="page150"/>
    <w:bookmarkEnd w:id="149"/>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133350</wp:posOffset>
            </wp:positionH>
            <wp:positionV relativeFrom="page">
              <wp:posOffset>88900</wp:posOffset>
            </wp:positionV>
            <wp:extent cx="7308850" cy="3429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308850" cy="34290"/>
                    </a:xfrm>
                    <a:prstGeom prst="rect">
                      <a:avLst/>
                    </a:prstGeom>
                    <a:noFill/>
                  </pic:spPr>
                </pic:pic>
              </a:graphicData>
            </a:graphic>
          </wp:anchor>
        </w:drawing>
      </w:r>
      <w:hyperlink w:anchor="page7">
        <w:r>
          <w:rPr>
            <w:rFonts w:ascii="Arial" w:cs="Arial" w:eastAsia="Arial" w:hAnsi="Arial"/>
            <w:sz w:val="15"/>
            <w:szCs w:val="15"/>
            <w:b w:val="1"/>
            <w:bCs w:val="1"/>
            <w:u w:val="single" w:color="auto"/>
            <w:color w:val="0000EE"/>
          </w:rPr>
          <w:t>Table of Contents</w:t>
        </w:r>
      </w:hyperlink>
    </w:p>
    <w:p>
      <w:pPr>
        <w:spacing w:after="0" w:line="260" w:lineRule="exact"/>
        <w:rPr>
          <w:sz w:val="20"/>
          <w:szCs w:val="20"/>
          <w:color w:val="auto"/>
        </w:rPr>
      </w:pPr>
    </w:p>
    <w:p>
      <w:pPr>
        <w:ind w:left="1120" w:right="100" w:firstLine="368"/>
        <w:spacing w:after="0" w:line="263" w:lineRule="auto"/>
        <w:rPr>
          <w:sz w:val="20"/>
          <w:szCs w:val="20"/>
          <w:color w:val="auto"/>
        </w:rPr>
      </w:pPr>
      <w:r>
        <w:rPr>
          <w:rFonts w:ascii="Arial" w:cs="Arial" w:eastAsia="Arial" w:hAnsi="Arial"/>
          <w:sz w:val="15"/>
          <w:szCs w:val="15"/>
          <w:color w:val="auto"/>
        </w:rPr>
        <w:t>The following table provides information regarding compensation of our non-employee directors for service as directors, for the year ended December 31, 2017. In 2017, we did not pay any compensation to any person who served as a non-employee member of our Board of Directors who is affiliated with our greater than 5% stockholders.</w:t>
      </w:r>
    </w:p>
    <w:p>
      <w:pPr>
        <w:spacing w:after="0" w:line="154" w:lineRule="exact"/>
        <w:rPr>
          <w:sz w:val="20"/>
          <w:szCs w:val="20"/>
          <w:color w:val="auto"/>
        </w:rPr>
      </w:pPr>
    </w:p>
    <w:tbl>
      <w:tblPr>
        <w:tblLayout w:type="fixed"/>
        <w:tblInd w:w="2220" w:type="dxa"/>
        <w:tblCellMar>
          <w:top w:w="0" w:type="dxa"/>
          <w:left w:w="0" w:type="dxa"/>
          <w:bottom w:w="0" w:type="dxa"/>
          <w:right w:w="0" w:type="dxa"/>
        </w:tblCellMar>
      </w:tblPr>
      <w:tr>
        <w:trPr>
          <w:trHeight w:val="138"/>
        </w:trPr>
        <w:tc>
          <w:tcPr>
            <w:tcW w:w="300" w:type="dxa"/>
            <w:vAlign w:val="bottom"/>
            <w:vMerge w:val="restart"/>
          </w:tcPr>
          <w:p>
            <w:pPr>
              <w:spacing w:after="0"/>
              <w:rPr>
                <w:sz w:val="20"/>
                <w:szCs w:val="20"/>
                <w:color w:val="auto"/>
              </w:rPr>
            </w:pPr>
            <w:r>
              <w:rPr>
                <w:rFonts w:ascii="Arial" w:cs="Arial" w:eastAsia="Arial" w:hAnsi="Arial"/>
                <w:sz w:val="12"/>
                <w:szCs w:val="12"/>
                <w:b w:val="1"/>
                <w:bCs w:val="1"/>
                <w:color w:val="auto"/>
                <w:w w:val="85"/>
              </w:rPr>
              <w:t>Name</w:t>
            </w:r>
          </w:p>
        </w:tc>
        <w:tc>
          <w:tcPr>
            <w:tcW w:w="3120" w:type="dxa"/>
            <w:vAlign w:val="bottom"/>
            <w:vMerge w:val="restart"/>
          </w:tcPr>
          <w:p>
            <w:pPr>
              <w:spacing w:after="0"/>
              <w:rPr>
                <w:sz w:val="12"/>
                <w:szCs w:val="12"/>
                <w:color w:val="auto"/>
              </w:rPr>
            </w:pPr>
          </w:p>
        </w:tc>
        <w:tc>
          <w:tcPr>
            <w:tcW w:w="1960" w:type="dxa"/>
            <w:vAlign w:val="bottom"/>
          </w:tcPr>
          <w:p>
            <w:pPr>
              <w:spacing w:after="0"/>
              <w:rPr>
                <w:sz w:val="12"/>
                <w:szCs w:val="12"/>
                <w:color w:val="auto"/>
              </w:rPr>
            </w:pPr>
          </w:p>
        </w:tc>
        <w:tc>
          <w:tcPr>
            <w:tcW w:w="1020" w:type="dxa"/>
            <w:vAlign w:val="bottom"/>
            <w:gridSpan w:val="2"/>
          </w:tcPr>
          <w:p>
            <w:pPr>
              <w:ind w:left="160"/>
              <w:spacing w:after="0"/>
              <w:rPr>
                <w:sz w:val="20"/>
                <w:szCs w:val="20"/>
                <w:color w:val="auto"/>
              </w:rPr>
            </w:pPr>
            <w:r>
              <w:rPr>
                <w:rFonts w:ascii="Arial" w:cs="Arial" w:eastAsia="Arial" w:hAnsi="Arial"/>
                <w:sz w:val="12"/>
                <w:szCs w:val="12"/>
                <w:b w:val="1"/>
                <w:bCs w:val="1"/>
                <w:color w:val="auto"/>
              </w:rPr>
              <w:t>Stock</w:t>
            </w:r>
          </w:p>
        </w:tc>
        <w:tc>
          <w:tcPr>
            <w:tcW w:w="600" w:type="dxa"/>
            <w:vAlign w:val="bottom"/>
            <w:gridSpan w:val="2"/>
            <w:vMerge w:val="restart"/>
          </w:tcPr>
          <w:p>
            <w:pPr>
              <w:jc w:val="right"/>
              <w:ind w:right="120"/>
              <w:spacing w:after="0"/>
              <w:rPr>
                <w:sz w:val="20"/>
                <w:szCs w:val="20"/>
                <w:color w:val="auto"/>
              </w:rPr>
            </w:pPr>
            <w:r>
              <w:rPr>
                <w:rFonts w:ascii="Arial" w:cs="Arial" w:eastAsia="Arial" w:hAnsi="Arial"/>
                <w:sz w:val="12"/>
                <w:szCs w:val="12"/>
                <w:b w:val="1"/>
                <w:bCs w:val="1"/>
                <w:color w:val="auto"/>
              </w:rPr>
              <w:t>Total($)</w:t>
            </w:r>
          </w:p>
        </w:tc>
        <w:tc>
          <w:tcPr>
            <w:tcW w:w="0" w:type="dxa"/>
            <w:vAlign w:val="bottom"/>
          </w:tcPr>
          <w:p>
            <w:pPr>
              <w:spacing w:after="0"/>
              <w:rPr>
                <w:sz w:val="1"/>
                <w:szCs w:val="1"/>
                <w:color w:val="auto"/>
              </w:rPr>
            </w:pPr>
          </w:p>
        </w:tc>
      </w:tr>
      <w:tr>
        <w:trPr>
          <w:trHeight w:val="144"/>
        </w:trPr>
        <w:tc>
          <w:tcPr>
            <w:tcW w:w="300" w:type="dxa"/>
            <w:vAlign w:val="bottom"/>
            <w:vMerge w:val="continue"/>
          </w:tcPr>
          <w:p>
            <w:pPr>
              <w:spacing w:after="0"/>
              <w:rPr>
                <w:sz w:val="12"/>
                <w:szCs w:val="12"/>
                <w:color w:val="auto"/>
              </w:rPr>
            </w:pPr>
          </w:p>
        </w:tc>
        <w:tc>
          <w:tcPr>
            <w:tcW w:w="3120" w:type="dxa"/>
            <w:vAlign w:val="bottom"/>
            <w:vMerge w:val="continue"/>
          </w:tcPr>
          <w:p>
            <w:pPr>
              <w:spacing w:after="0"/>
              <w:rPr>
                <w:sz w:val="12"/>
                <w:szCs w:val="12"/>
                <w:color w:val="auto"/>
              </w:rPr>
            </w:pPr>
          </w:p>
        </w:tc>
        <w:tc>
          <w:tcPr>
            <w:tcW w:w="2980" w:type="dxa"/>
            <w:vAlign w:val="bottom"/>
            <w:gridSpan w:val="3"/>
          </w:tcPr>
          <w:p>
            <w:pPr>
              <w:jc w:val="right"/>
              <w:ind w:right="400"/>
              <w:spacing w:after="0"/>
              <w:rPr>
                <w:sz w:val="20"/>
                <w:szCs w:val="20"/>
                <w:color w:val="auto"/>
              </w:rPr>
            </w:pPr>
            <w:r>
              <w:rPr>
                <w:rFonts w:ascii="Arial" w:cs="Arial" w:eastAsia="Arial" w:hAnsi="Arial"/>
                <w:sz w:val="12"/>
                <w:szCs w:val="12"/>
                <w:b w:val="1"/>
                <w:bCs w:val="1"/>
                <w:u w:val="single" w:color="auto"/>
                <w:color w:val="auto"/>
              </w:rPr>
              <w:t>awards($</w:t>
            </w:r>
            <w:r>
              <w:rPr>
                <w:rFonts w:ascii="Arial" w:cs="Arial" w:eastAsia="Arial" w:hAnsi="Arial"/>
                <w:sz w:val="12"/>
                <w:szCs w:val="12"/>
                <w:b w:val="1"/>
                <w:bCs w:val="1"/>
                <w:color w:val="auto"/>
              </w:rPr>
              <w:t>)</w:t>
            </w:r>
            <w:r>
              <w:rPr>
                <w:rFonts w:ascii="Arial" w:cs="Arial" w:eastAsia="Arial" w:hAnsi="Arial"/>
                <w:sz w:val="10"/>
                <w:szCs w:val="10"/>
                <w:b w:val="1"/>
                <w:bCs w:val="1"/>
                <w:color w:val="auto"/>
              </w:rPr>
              <w:t>(1)</w:t>
            </w:r>
          </w:p>
        </w:tc>
        <w:tc>
          <w:tcPr>
            <w:tcW w:w="6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300" w:type="dxa"/>
            <w:vAlign w:val="bottom"/>
            <w:tcBorders>
              <w:top w:val="single" w:sz="8" w:color="CCEEFF"/>
            </w:tcBorders>
            <w:shd w:val="clear" w:color="auto" w:fill="000000"/>
          </w:tcPr>
          <w:p>
            <w:pPr>
              <w:spacing w:after="0" w:line="20" w:lineRule="exact"/>
              <w:rPr>
                <w:sz w:val="1"/>
                <w:szCs w:val="1"/>
                <w:color w:val="auto"/>
              </w:rPr>
            </w:pPr>
          </w:p>
        </w:tc>
        <w:tc>
          <w:tcPr>
            <w:tcW w:w="3120" w:type="dxa"/>
            <w:vAlign w:val="bottom"/>
            <w:tcBorders>
              <w:top w:val="single" w:sz="8" w:color="CCEEFF"/>
            </w:tcBorders>
            <w:shd w:val="clear" w:color="auto" w:fill="CCEEFF"/>
          </w:tcPr>
          <w:p>
            <w:pPr>
              <w:spacing w:after="0" w:line="20" w:lineRule="exact"/>
              <w:rPr>
                <w:sz w:val="1"/>
                <w:szCs w:val="1"/>
                <w:color w:val="auto"/>
              </w:rPr>
            </w:pPr>
          </w:p>
        </w:tc>
        <w:tc>
          <w:tcPr>
            <w:tcW w:w="196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auto"/>
            </w:tcBorders>
            <w:vMerge w:val="restart"/>
            <w:shd w:val="clear" w:color="auto" w:fill="CCEEFF"/>
          </w:tcPr>
          <w:p>
            <w:pPr>
              <w:ind w:left="400"/>
              <w:spacing w:after="0"/>
              <w:rPr>
                <w:sz w:val="20"/>
                <w:szCs w:val="20"/>
                <w:color w:val="auto"/>
              </w:rPr>
            </w:pPr>
            <w:r>
              <w:rPr>
                <w:rFonts w:ascii="Arial" w:cs="Arial" w:eastAsia="Arial" w:hAnsi="Arial"/>
                <w:sz w:val="15"/>
                <w:szCs w:val="15"/>
                <w:color w:val="auto"/>
              </w:rPr>
              <w:t>—</w:t>
            </w: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auto"/>
            </w:tcBorders>
            <w:vMerge w:val="restart"/>
            <w:shd w:val="clear" w:color="auto" w:fill="CCEEFF"/>
          </w:tcPr>
          <w:p>
            <w:pPr>
              <w:jc w:val="right"/>
              <w:ind w:right="7"/>
              <w:spacing w:after="0"/>
              <w:rPr>
                <w:sz w:val="20"/>
                <w:szCs w:val="20"/>
                <w:color w:val="auto"/>
              </w:rPr>
            </w:pPr>
            <w:r>
              <w:rPr>
                <w:rFonts w:ascii="Arial" w:cs="Arial" w:eastAsia="Arial" w:hAnsi="Arial"/>
                <w:sz w:val="15"/>
                <w:szCs w:val="15"/>
                <w:color w:val="auto"/>
              </w:rPr>
              <w:t>—</w:t>
            </w: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2"/>
        </w:trPr>
        <w:tc>
          <w:tcPr>
            <w:tcW w:w="3420" w:type="dxa"/>
            <w:vAlign w:val="bottom"/>
            <w:gridSpan w:val="2"/>
            <w:shd w:val="clear" w:color="auto" w:fill="CCEEFF"/>
          </w:tcPr>
          <w:p>
            <w:pPr>
              <w:spacing w:after="0" w:line="152" w:lineRule="exact"/>
              <w:rPr>
                <w:sz w:val="20"/>
                <w:szCs w:val="20"/>
                <w:color w:val="auto"/>
              </w:rPr>
            </w:pPr>
            <w:r>
              <w:rPr>
                <w:rFonts w:ascii="Arial" w:cs="Arial" w:eastAsia="Arial" w:hAnsi="Arial"/>
                <w:sz w:val="15"/>
                <w:szCs w:val="15"/>
                <w:color w:val="auto"/>
              </w:rPr>
              <w:t>Donald W. Blair</w:t>
            </w:r>
            <w:r>
              <w:rPr>
                <w:rFonts w:ascii="Arial" w:cs="Arial" w:eastAsia="Arial" w:hAnsi="Arial"/>
                <w:sz w:val="12"/>
                <w:szCs w:val="12"/>
                <w:color w:val="auto"/>
              </w:rPr>
              <w:t>(2)</w:t>
            </w:r>
          </w:p>
        </w:tc>
        <w:tc>
          <w:tcPr>
            <w:tcW w:w="1960" w:type="dxa"/>
            <w:vAlign w:val="bottom"/>
            <w:shd w:val="clear" w:color="auto" w:fill="CCEEFF"/>
          </w:tcPr>
          <w:p>
            <w:pPr>
              <w:spacing w:after="0"/>
              <w:rPr>
                <w:sz w:val="13"/>
                <w:szCs w:val="13"/>
                <w:color w:val="auto"/>
              </w:rPr>
            </w:pPr>
          </w:p>
        </w:tc>
        <w:tc>
          <w:tcPr>
            <w:tcW w:w="640" w:type="dxa"/>
            <w:vAlign w:val="bottom"/>
            <w:vMerge w:val="continue"/>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560" w:type="dxa"/>
            <w:vAlign w:val="bottom"/>
            <w:vMerge w:val="continue"/>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3420" w:type="dxa"/>
            <w:vAlign w:val="bottom"/>
            <w:gridSpan w:val="2"/>
          </w:tcPr>
          <w:p>
            <w:pPr>
              <w:spacing w:after="0"/>
              <w:rPr>
                <w:sz w:val="20"/>
                <w:szCs w:val="20"/>
                <w:color w:val="auto"/>
              </w:rPr>
            </w:pPr>
            <w:r>
              <w:rPr>
                <w:rFonts w:ascii="Arial" w:cs="Arial" w:eastAsia="Arial" w:hAnsi="Arial"/>
                <w:sz w:val="15"/>
                <w:szCs w:val="15"/>
                <w:color w:val="auto"/>
              </w:rPr>
              <w:t>Paul E. Jacobs</w:t>
            </w:r>
          </w:p>
        </w:tc>
        <w:tc>
          <w:tcPr>
            <w:tcW w:w="1960" w:type="dxa"/>
            <w:vAlign w:val="bottom"/>
          </w:tcPr>
          <w:p>
            <w:pPr>
              <w:spacing w:after="0"/>
              <w:rPr>
                <w:sz w:val="15"/>
                <w:szCs w:val="15"/>
                <w:color w:val="auto"/>
              </w:rPr>
            </w:pPr>
          </w:p>
        </w:tc>
        <w:tc>
          <w:tcPr>
            <w:tcW w:w="1020" w:type="dxa"/>
            <w:vAlign w:val="bottom"/>
            <w:gridSpan w:val="2"/>
          </w:tcPr>
          <w:p>
            <w:pPr>
              <w:ind w:left="400"/>
              <w:spacing w:after="0"/>
              <w:rPr>
                <w:sz w:val="20"/>
                <w:szCs w:val="20"/>
                <w:color w:val="auto"/>
              </w:rPr>
            </w:pPr>
            <w:r>
              <w:rPr>
                <w:rFonts w:ascii="Arial" w:cs="Arial" w:eastAsia="Arial" w:hAnsi="Arial"/>
                <w:sz w:val="15"/>
                <w:szCs w:val="15"/>
                <w:b w:val="1"/>
                <w:bCs w:val="1"/>
                <w:color w:val="auto"/>
              </w:rPr>
              <w:t>—</w:t>
            </w:r>
          </w:p>
        </w:tc>
        <w:tc>
          <w:tcPr>
            <w:tcW w:w="600" w:type="dxa"/>
            <w:vAlign w:val="bottom"/>
            <w:gridSpan w:val="2"/>
          </w:tcPr>
          <w:p>
            <w:pPr>
              <w:jc w:val="right"/>
              <w:ind w:right="120"/>
              <w:spacing w:after="0"/>
              <w:rPr>
                <w:sz w:val="20"/>
                <w:szCs w:val="20"/>
                <w:color w:val="auto"/>
              </w:rPr>
            </w:pPr>
            <w:r>
              <w:rPr>
                <w:rFonts w:ascii="Arial" w:cs="Arial" w:eastAsia="Arial" w:hAnsi="Arial"/>
                <w:sz w:val="15"/>
                <w:szCs w:val="15"/>
                <w:b w:val="1"/>
                <w:bCs w:val="1"/>
                <w:color w:val="auto"/>
              </w:rPr>
              <w:t>—</w:t>
            </w:r>
          </w:p>
        </w:tc>
        <w:tc>
          <w:tcPr>
            <w:tcW w:w="0" w:type="dxa"/>
            <w:vAlign w:val="bottom"/>
          </w:tcPr>
          <w:p>
            <w:pPr>
              <w:spacing w:after="0"/>
              <w:rPr>
                <w:sz w:val="1"/>
                <w:szCs w:val="1"/>
                <w:color w:val="auto"/>
              </w:rPr>
            </w:pPr>
          </w:p>
        </w:tc>
      </w:tr>
      <w:tr>
        <w:trPr>
          <w:trHeight w:val="180"/>
        </w:trPr>
        <w:tc>
          <w:tcPr>
            <w:tcW w:w="342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Robert J. Mylod, Jr.</w:t>
            </w:r>
          </w:p>
        </w:tc>
        <w:tc>
          <w:tcPr>
            <w:tcW w:w="196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ind w:left="400"/>
              <w:spacing w:after="0"/>
              <w:rPr>
                <w:sz w:val="20"/>
                <w:szCs w:val="20"/>
                <w:color w:val="auto"/>
              </w:rPr>
            </w:pPr>
            <w:r>
              <w:rPr>
                <w:rFonts w:ascii="Arial" w:cs="Arial" w:eastAsia="Arial" w:hAnsi="Arial"/>
                <w:sz w:val="15"/>
                <w:szCs w:val="15"/>
                <w:b w:val="1"/>
                <w:bCs w:val="1"/>
                <w:color w:val="auto"/>
              </w:rPr>
              <w:t>—</w:t>
            </w:r>
          </w:p>
        </w:tc>
        <w:tc>
          <w:tcPr>
            <w:tcW w:w="60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b w:val="1"/>
                <w:bCs w:val="1"/>
                <w:color w:val="auto"/>
              </w:rPr>
              <w:t>—</w:t>
            </w:r>
          </w:p>
        </w:tc>
        <w:tc>
          <w:tcPr>
            <w:tcW w:w="0" w:type="dxa"/>
            <w:vAlign w:val="bottom"/>
          </w:tcPr>
          <w:p>
            <w:pPr>
              <w:spacing w:after="0"/>
              <w:rPr>
                <w:sz w:val="1"/>
                <w:szCs w:val="1"/>
                <w:color w:val="auto"/>
              </w:rPr>
            </w:pPr>
          </w:p>
        </w:tc>
      </w:tr>
      <w:tr>
        <w:trPr>
          <w:trHeight w:val="180"/>
        </w:trPr>
        <w:tc>
          <w:tcPr>
            <w:tcW w:w="3420" w:type="dxa"/>
            <w:vAlign w:val="bottom"/>
            <w:gridSpan w:val="2"/>
          </w:tcPr>
          <w:p>
            <w:pPr>
              <w:spacing w:after="0"/>
              <w:rPr>
                <w:sz w:val="20"/>
                <w:szCs w:val="20"/>
                <w:color w:val="auto"/>
              </w:rPr>
            </w:pPr>
            <w:r>
              <w:rPr>
                <w:rFonts w:ascii="Arial" w:cs="Arial" w:eastAsia="Arial" w:hAnsi="Arial"/>
                <w:sz w:val="15"/>
                <w:szCs w:val="15"/>
                <w:color w:val="auto"/>
              </w:rPr>
              <w:t>Condoleezza Rice</w:t>
            </w:r>
          </w:p>
        </w:tc>
        <w:tc>
          <w:tcPr>
            <w:tcW w:w="1960" w:type="dxa"/>
            <w:vAlign w:val="bottom"/>
          </w:tcPr>
          <w:p>
            <w:pPr>
              <w:spacing w:after="0"/>
              <w:rPr>
                <w:sz w:val="15"/>
                <w:szCs w:val="15"/>
                <w:color w:val="auto"/>
              </w:rPr>
            </w:pPr>
          </w:p>
        </w:tc>
        <w:tc>
          <w:tcPr>
            <w:tcW w:w="1020" w:type="dxa"/>
            <w:vAlign w:val="bottom"/>
            <w:gridSpan w:val="2"/>
          </w:tcPr>
          <w:p>
            <w:pPr>
              <w:ind w:left="400"/>
              <w:spacing w:after="0"/>
              <w:rPr>
                <w:sz w:val="20"/>
                <w:szCs w:val="20"/>
                <w:color w:val="auto"/>
              </w:rPr>
            </w:pPr>
            <w:r>
              <w:rPr>
                <w:rFonts w:ascii="Arial" w:cs="Arial" w:eastAsia="Arial" w:hAnsi="Arial"/>
                <w:sz w:val="15"/>
                <w:szCs w:val="15"/>
                <w:b w:val="1"/>
                <w:bCs w:val="1"/>
                <w:color w:val="auto"/>
              </w:rPr>
              <w:t>—</w:t>
            </w:r>
          </w:p>
        </w:tc>
        <w:tc>
          <w:tcPr>
            <w:tcW w:w="600" w:type="dxa"/>
            <w:vAlign w:val="bottom"/>
            <w:gridSpan w:val="2"/>
          </w:tcPr>
          <w:p>
            <w:pPr>
              <w:jc w:val="right"/>
              <w:ind w:right="120"/>
              <w:spacing w:after="0"/>
              <w:rPr>
                <w:sz w:val="20"/>
                <w:szCs w:val="20"/>
                <w:color w:val="auto"/>
              </w:rPr>
            </w:pPr>
            <w:r>
              <w:rPr>
                <w:rFonts w:ascii="Arial" w:cs="Arial" w:eastAsia="Arial" w:hAnsi="Arial"/>
                <w:sz w:val="15"/>
                <w:szCs w:val="15"/>
                <w:b w:val="1"/>
                <w:bCs w:val="1"/>
                <w:color w:val="auto"/>
              </w:rPr>
              <w:t>—</w:t>
            </w:r>
          </w:p>
        </w:tc>
        <w:tc>
          <w:tcPr>
            <w:tcW w:w="0" w:type="dxa"/>
            <w:vAlign w:val="bottom"/>
          </w:tcPr>
          <w:p>
            <w:pPr>
              <w:spacing w:after="0"/>
              <w:rPr>
                <w:sz w:val="1"/>
                <w:szCs w:val="1"/>
                <w:color w:val="auto"/>
              </w:rPr>
            </w:pPr>
          </w:p>
        </w:tc>
      </w:tr>
      <w:tr>
        <w:trPr>
          <w:trHeight w:val="180"/>
        </w:trPr>
        <w:tc>
          <w:tcPr>
            <w:tcW w:w="342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Margaret C. Whitman</w:t>
            </w:r>
            <w:r>
              <w:rPr>
                <w:rFonts w:ascii="Arial" w:cs="Arial" w:eastAsia="Arial" w:hAnsi="Arial"/>
                <w:sz w:val="12"/>
                <w:szCs w:val="12"/>
                <w:color w:val="auto"/>
              </w:rPr>
              <w:t>(3)</w:t>
            </w:r>
          </w:p>
        </w:tc>
        <w:tc>
          <w:tcPr>
            <w:tcW w:w="26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908,800</w:t>
            </w:r>
          </w:p>
        </w:tc>
        <w:tc>
          <w:tcPr>
            <w:tcW w:w="38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908,800</w:t>
            </w: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4"/>
        </w:trPr>
        <w:tc>
          <w:tcPr>
            <w:tcW w:w="3420" w:type="dxa"/>
            <w:vAlign w:val="bottom"/>
            <w:gridSpan w:val="2"/>
          </w:tcPr>
          <w:p>
            <w:pPr>
              <w:spacing w:after="0"/>
              <w:rPr>
                <w:sz w:val="20"/>
                <w:szCs w:val="20"/>
                <w:color w:val="auto"/>
              </w:rPr>
            </w:pPr>
            <w:r>
              <w:rPr>
                <w:rFonts w:ascii="Arial" w:cs="Arial" w:eastAsia="Arial" w:hAnsi="Arial"/>
                <w:sz w:val="15"/>
                <w:szCs w:val="15"/>
                <w:color w:val="auto"/>
              </w:rPr>
              <w:t>R. Bryan Schreier</w:t>
            </w:r>
          </w:p>
        </w:tc>
        <w:tc>
          <w:tcPr>
            <w:tcW w:w="1960" w:type="dxa"/>
            <w:vAlign w:val="bottom"/>
          </w:tcPr>
          <w:p>
            <w:pPr>
              <w:spacing w:after="0"/>
              <w:rPr>
                <w:sz w:val="16"/>
                <w:szCs w:val="16"/>
                <w:color w:val="auto"/>
              </w:rPr>
            </w:pPr>
          </w:p>
        </w:tc>
        <w:tc>
          <w:tcPr>
            <w:tcW w:w="1020" w:type="dxa"/>
            <w:vAlign w:val="bottom"/>
            <w:gridSpan w:val="2"/>
          </w:tcPr>
          <w:p>
            <w:pPr>
              <w:ind w:left="400"/>
              <w:spacing w:after="0"/>
              <w:rPr>
                <w:sz w:val="20"/>
                <w:szCs w:val="20"/>
                <w:color w:val="auto"/>
              </w:rPr>
            </w:pPr>
            <w:r>
              <w:rPr>
                <w:rFonts w:ascii="Arial" w:cs="Arial" w:eastAsia="Arial" w:hAnsi="Arial"/>
                <w:sz w:val="15"/>
                <w:szCs w:val="15"/>
                <w:b w:val="1"/>
                <w:bCs w:val="1"/>
                <w:color w:val="auto"/>
              </w:rPr>
              <w:t>—</w:t>
            </w:r>
          </w:p>
        </w:tc>
        <w:tc>
          <w:tcPr>
            <w:tcW w:w="600" w:type="dxa"/>
            <w:vAlign w:val="bottom"/>
            <w:gridSpan w:val="2"/>
          </w:tcPr>
          <w:p>
            <w:pPr>
              <w:jc w:val="right"/>
              <w:ind w:right="120"/>
              <w:spacing w:after="0"/>
              <w:rPr>
                <w:sz w:val="20"/>
                <w:szCs w:val="20"/>
                <w:color w:val="auto"/>
              </w:rPr>
            </w:pPr>
            <w:r>
              <w:rPr>
                <w:rFonts w:ascii="Arial" w:cs="Arial" w:eastAsia="Arial" w:hAnsi="Arial"/>
                <w:sz w:val="15"/>
                <w:szCs w:val="15"/>
                <w:b w:val="1"/>
                <w:bCs w:val="1"/>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709930</wp:posOffset>
            </wp:positionH>
            <wp:positionV relativeFrom="paragraph">
              <wp:posOffset>62865</wp:posOffset>
            </wp:positionV>
            <wp:extent cx="580390" cy="698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580390" cy="6985"/>
                    </a:xfrm>
                    <a:prstGeom prst="rect">
                      <a:avLst/>
                    </a:prstGeom>
                    <a:noFill/>
                  </pic:spPr>
                </pic:pic>
              </a:graphicData>
            </a:graphic>
          </wp:anchor>
        </w:drawing>
      </w:r>
    </w:p>
    <w:p>
      <w:pPr>
        <w:spacing w:after="0" w:line="116" w:lineRule="exact"/>
        <w:rPr>
          <w:sz w:val="20"/>
          <w:szCs w:val="20"/>
          <w:color w:val="auto"/>
        </w:rPr>
      </w:pPr>
    </w:p>
    <w:p>
      <w:pPr>
        <w:ind w:left="1380" w:right="60" w:hanging="268"/>
        <w:spacing w:after="0" w:line="222" w:lineRule="auto"/>
        <w:tabs>
          <w:tab w:leader="none" w:pos="1380" w:val="left"/>
        </w:tabs>
        <w:numPr>
          <w:ilvl w:val="0"/>
          <w:numId w:val="62"/>
        </w:numPr>
        <w:rPr>
          <w:rFonts w:ascii="Arial" w:cs="Arial" w:eastAsia="Arial" w:hAnsi="Arial"/>
          <w:sz w:val="22"/>
          <w:szCs w:val="22"/>
          <w:color w:val="auto"/>
          <w:vertAlign w:val="superscript"/>
        </w:rPr>
      </w:pPr>
      <w:r>
        <w:rPr>
          <w:rFonts w:ascii="Arial" w:cs="Arial" w:eastAsia="Arial" w:hAnsi="Arial"/>
          <w:sz w:val="13"/>
          <w:szCs w:val="13"/>
          <w:color w:val="auto"/>
        </w:rPr>
        <w:t>The amounts reported represent the aggregate grant-date fair value of the RSUs awarded to the director in 2017, calculated in accordance with ASC Topic 718. The assumptions used in calculating the grant-date fair value of the RSUs reported in this column are set forth in the section titled “Management’s Discussion and Analysis of Financial Condition and Results of Operations—Critical Accounting Policies and Judgments.”</w:t>
      </w:r>
    </w:p>
    <w:p>
      <w:pPr>
        <w:ind w:left="1380" w:hanging="268"/>
        <w:spacing w:after="0" w:line="185" w:lineRule="auto"/>
        <w:tabs>
          <w:tab w:leader="none" w:pos="1380" w:val="left"/>
        </w:tabs>
        <w:numPr>
          <w:ilvl w:val="0"/>
          <w:numId w:val="62"/>
        </w:numPr>
        <w:rPr>
          <w:rFonts w:ascii="Arial" w:cs="Arial" w:eastAsia="Arial" w:hAnsi="Arial"/>
          <w:sz w:val="19"/>
          <w:szCs w:val="19"/>
          <w:color w:val="auto"/>
          <w:vertAlign w:val="superscript"/>
        </w:rPr>
      </w:pPr>
      <w:r>
        <w:rPr>
          <w:rFonts w:ascii="Arial" w:cs="Arial" w:eastAsia="Arial" w:hAnsi="Arial"/>
          <w:sz w:val="12"/>
          <w:szCs w:val="12"/>
          <w:color w:val="auto"/>
        </w:rPr>
        <w:t>Mr. Blair became a member of our Board of Directors in December 2017.</w:t>
      </w:r>
    </w:p>
    <w:p>
      <w:pPr>
        <w:spacing w:after="0" w:line="9" w:lineRule="exact"/>
        <w:rPr>
          <w:rFonts w:ascii="Arial" w:cs="Arial" w:eastAsia="Arial" w:hAnsi="Arial"/>
          <w:sz w:val="19"/>
          <w:szCs w:val="19"/>
          <w:color w:val="auto"/>
          <w:vertAlign w:val="superscript"/>
        </w:rPr>
      </w:pPr>
    </w:p>
    <w:p>
      <w:pPr>
        <w:ind w:left="1380" w:hanging="268"/>
        <w:spacing w:after="0" w:line="186" w:lineRule="auto"/>
        <w:tabs>
          <w:tab w:leader="none" w:pos="1380" w:val="left"/>
        </w:tabs>
        <w:numPr>
          <w:ilvl w:val="0"/>
          <w:numId w:val="62"/>
        </w:numPr>
        <w:rPr>
          <w:rFonts w:ascii="Arial" w:cs="Arial" w:eastAsia="Arial" w:hAnsi="Arial"/>
          <w:sz w:val="18"/>
          <w:szCs w:val="18"/>
          <w:color w:val="auto"/>
          <w:vertAlign w:val="superscript"/>
        </w:rPr>
      </w:pPr>
      <w:r>
        <w:rPr>
          <w:rFonts w:ascii="Arial" w:cs="Arial" w:eastAsia="Arial" w:hAnsi="Arial"/>
          <w:sz w:val="11"/>
          <w:szCs w:val="11"/>
          <w:color w:val="auto"/>
        </w:rPr>
        <w:t>Ms. Whitman became a member of our Board of Directors in September 2017.</w:t>
      </w:r>
    </w:p>
    <w:p>
      <w:pPr>
        <w:spacing w:after="0" w:line="175" w:lineRule="exact"/>
        <w:rPr>
          <w:sz w:val="20"/>
          <w:szCs w:val="20"/>
          <w:color w:val="auto"/>
        </w:rPr>
      </w:pPr>
    </w:p>
    <w:p>
      <w:pPr>
        <w:ind w:left="1480"/>
        <w:spacing w:after="0"/>
        <w:rPr>
          <w:sz w:val="20"/>
          <w:szCs w:val="20"/>
          <w:color w:val="auto"/>
        </w:rPr>
      </w:pPr>
      <w:r>
        <w:rPr>
          <w:rFonts w:ascii="Arial" w:cs="Arial" w:eastAsia="Arial" w:hAnsi="Arial"/>
          <w:sz w:val="15"/>
          <w:szCs w:val="15"/>
          <w:color w:val="auto"/>
        </w:rPr>
        <w:t>The following table lists all outstanding equity awards held by non-employee directors as of December 31, 2017:</w:t>
      </w:r>
    </w:p>
    <w:p>
      <w:pPr>
        <w:spacing w:after="0" w:line="188" w:lineRule="exact"/>
        <w:rPr>
          <w:sz w:val="20"/>
          <w:szCs w:val="20"/>
          <w:color w:val="auto"/>
        </w:rPr>
      </w:pPr>
    </w:p>
    <w:tbl>
      <w:tblPr>
        <w:tblLayout w:type="fixed"/>
        <w:tblInd w:w="2220" w:type="dxa"/>
        <w:tblCellMar>
          <w:top w:w="0" w:type="dxa"/>
          <w:left w:w="0" w:type="dxa"/>
          <w:bottom w:w="0" w:type="dxa"/>
          <w:right w:w="0" w:type="dxa"/>
        </w:tblCellMar>
      </w:tblPr>
      <w:tr>
        <w:trPr>
          <w:trHeight w:val="138"/>
        </w:trPr>
        <w:tc>
          <w:tcPr>
            <w:tcW w:w="300" w:type="dxa"/>
            <w:vAlign w:val="bottom"/>
            <w:vMerge w:val="restart"/>
          </w:tcPr>
          <w:p>
            <w:pPr>
              <w:spacing w:after="0"/>
              <w:rPr>
                <w:sz w:val="20"/>
                <w:szCs w:val="20"/>
                <w:color w:val="auto"/>
              </w:rPr>
            </w:pPr>
            <w:r>
              <w:rPr>
                <w:rFonts w:ascii="Arial" w:cs="Arial" w:eastAsia="Arial" w:hAnsi="Arial"/>
                <w:sz w:val="12"/>
                <w:szCs w:val="12"/>
                <w:b w:val="1"/>
                <w:bCs w:val="1"/>
                <w:color w:val="auto"/>
                <w:w w:val="85"/>
              </w:rPr>
              <w:t>Name</w:t>
            </w:r>
          </w:p>
        </w:tc>
        <w:tc>
          <w:tcPr>
            <w:tcW w:w="3540" w:type="dxa"/>
            <w:vAlign w:val="bottom"/>
            <w:vMerge w:val="restart"/>
          </w:tcPr>
          <w:p>
            <w:pPr>
              <w:spacing w:after="0"/>
              <w:rPr>
                <w:sz w:val="12"/>
                <w:szCs w:val="12"/>
                <w:color w:val="auto"/>
              </w:rPr>
            </w:pPr>
          </w:p>
        </w:tc>
        <w:tc>
          <w:tcPr>
            <w:tcW w:w="1160" w:type="dxa"/>
            <w:vAlign w:val="bottom"/>
            <w:gridSpan w:val="2"/>
          </w:tcPr>
          <w:p>
            <w:pPr>
              <w:jc w:val="center"/>
              <w:ind w:right="560"/>
              <w:spacing w:after="0"/>
              <w:rPr>
                <w:sz w:val="20"/>
                <w:szCs w:val="20"/>
                <w:color w:val="auto"/>
              </w:rPr>
            </w:pPr>
            <w:r>
              <w:rPr>
                <w:rFonts w:ascii="Arial" w:cs="Arial" w:eastAsia="Arial" w:hAnsi="Arial"/>
                <w:sz w:val="12"/>
                <w:szCs w:val="12"/>
                <w:b w:val="1"/>
                <w:bCs w:val="1"/>
                <w:color w:val="auto"/>
                <w:w w:val="88"/>
              </w:rPr>
              <w:t>Date of</w:t>
            </w:r>
          </w:p>
        </w:tc>
        <w:tc>
          <w:tcPr>
            <w:tcW w:w="2000" w:type="dxa"/>
            <w:vAlign w:val="bottom"/>
            <w:gridSpan w:val="3"/>
          </w:tcPr>
          <w:p>
            <w:pPr>
              <w:jc w:val="right"/>
              <w:ind w:right="60"/>
              <w:spacing w:after="0"/>
              <w:rPr>
                <w:sz w:val="20"/>
                <w:szCs w:val="20"/>
                <w:color w:val="auto"/>
              </w:rPr>
            </w:pPr>
            <w:r>
              <w:rPr>
                <w:rFonts w:ascii="Arial" w:cs="Arial" w:eastAsia="Arial" w:hAnsi="Arial"/>
                <w:sz w:val="12"/>
                <w:szCs w:val="12"/>
                <w:b w:val="1"/>
                <w:bCs w:val="1"/>
                <w:color w:val="auto"/>
              </w:rPr>
              <w:t>Number of shares underlying</w:t>
            </w:r>
          </w:p>
        </w:tc>
        <w:tc>
          <w:tcPr>
            <w:tcW w:w="0" w:type="dxa"/>
            <w:vAlign w:val="bottom"/>
          </w:tcPr>
          <w:p>
            <w:pPr>
              <w:spacing w:after="0"/>
              <w:rPr>
                <w:sz w:val="1"/>
                <w:szCs w:val="1"/>
                <w:color w:val="auto"/>
              </w:rPr>
            </w:pPr>
          </w:p>
        </w:tc>
      </w:tr>
      <w:tr>
        <w:trPr>
          <w:trHeight w:val="144"/>
        </w:trPr>
        <w:tc>
          <w:tcPr>
            <w:tcW w:w="300" w:type="dxa"/>
            <w:vAlign w:val="bottom"/>
            <w:tcBorders>
              <w:bottom w:val="single" w:sz="8" w:color="auto"/>
            </w:tcBorders>
            <w:vMerge w:val="continue"/>
          </w:tcPr>
          <w:p>
            <w:pPr>
              <w:spacing w:after="0"/>
              <w:rPr>
                <w:sz w:val="12"/>
                <w:szCs w:val="12"/>
                <w:color w:val="auto"/>
              </w:rPr>
            </w:pPr>
          </w:p>
        </w:tc>
        <w:tc>
          <w:tcPr>
            <w:tcW w:w="3540" w:type="dxa"/>
            <w:vAlign w:val="bottom"/>
            <w:tcBorders>
              <w:bottom w:val="single" w:sz="8" w:color="CCEEFF"/>
            </w:tcBorders>
            <w:vMerge w:val="continue"/>
          </w:tcPr>
          <w:p>
            <w:pPr>
              <w:spacing w:after="0"/>
              <w:rPr>
                <w:sz w:val="12"/>
                <w:szCs w:val="12"/>
                <w:color w:val="auto"/>
              </w:rPr>
            </w:pPr>
          </w:p>
        </w:tc>
        <w:tc>
          <w:tcPr>
            <w:tcW w:w="60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3"/>
              </w:rPr>
              <w:t>grant</w:t>
            </w:r>
          </w:p>
        </w:tc>
        <w:tc>
          <w:tcPr>
            <w:tcW w:w="560" w:type="dxa"/>
            <w:vAlign w:val="bottom"/>
            <w:tcBorders>
              <w:bottom w:val="single" w:sz="8" w:color="CCEEFF"/>
            </w:tcBorders>
          </w:tcPr>
          <w:p>
            <w:pPr>
              <w:spacing w:after="0"/>
              <w:rPr>
                <w:sz w:val="12"/>
                <w:szCs w:val="12"/>
                <w:color w:val="auto"/>
              </w:rPr>
            </w:pPr>
          </w:p>
        </w:tc>
        <w:tc>
          <w:tcPr>
            <w:tcW w:w="440" w:type="dxa"/>
            <w:vAlign w:val="bottom"/>
            <w:tcBorders>
              <w:bottom w:val="single" w:sz="8" w:color="CCEEFF"/>
            </w:tcBorders>
          </w:tcPr>
          <w:p>
            <w:pPr>
              <w:spacing w:after="0"/>
              <w:rPr>
                <w:sz w:val="12"/>
                <w:szCs w:val="12"/>
                <w:color w:val="auto"/>
              </w:rPr>
            </w:pPr>
          </w:p>
        </w:tc>
        <w:tc>
          <w:tcPr>
            <w:tcW w:w="1520" w:type="dxa"/>
            <w:vAlign w:val="bottom"/>
            <w:tcBorders>
              <w:bottom w:val="single" w:sz="8" w:color="auto"/>
            </w:tcBorders>
          </w:tcPr>
          <w:p>
            <w:pPr>
              <w:jc w:val="right"/>
              <w:ind w:right="70"/>
              <w:spacing w:after="0"/>
              <w:rPr>
                <w:sz w:val="20"/>
                <w:szCs w:val="20"/>
                <w:color w:val="auto"/>
              </w:rPr>
            </w:pPr>
            <w:r>
              <w:rPr>
                <w:rFonts w:ascii="Arial" w:cs="Arial" w:eastAsia="Arial" w:hAnsi="Arial"/>
                <w:sz w:val="12"/>
                <w:szCs w:val="12"/>
                <w:b w:val="1"/>
                <w:bCs w:val="1"/>
                <w:color w:val="auto"/>
                <w:w w:val="94"/>
              </w:rPr>
              <w:t>unvested stock awards</w:t>
            </w:r>
            <w:r>
              <w:rPr>
                <w:rFonts w:ascii="Arial" w:cs="Arial" w:eastAsia="Arial" w:hAnsi="Arial"/>
                <w:sz w:val="10"/>
                <w:szCs w:val="10"/>
                <w:b w:val="1"/>
                <w:bCs w:val="1"/>
                <w:color w:val="auto"/>
                <w:w w:val="94"/>
              </w:rPr>
              <w:t>(1)</w:t>
            </w:r>
          </w:p>
        </w:tc>
        <w:tc>
          <w:tcPr>
            <w:tcW w:w="4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384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Donald W. Blair</w:t>
            </w:r>
            <w:r>
              <w:rPr>
                <w:rFonts w:ascii="Arial" w:cs="Arial" w:eastAsia="Arial" w:hAnsi="Arial"/>
                <w:sz w:val="12"/>
                <w:szCs w:val="12"/>
                <w:color w:val="auto"/>
              </w:rPr>
              <w:t>(2)</w:t>
            </w:r>
          </w:p>
        </w:tc>
        <w:tc>
          <w:tcPr>
            <w:tcW w:w="600" w:type="dxa"/>
            <w:vAlign w:val="bottom"/>
            <w:shd w:val="clear" w:color="auto" w:fill="CCEEFF"/>
          </w:tcPr>
          <w:p>
            <w:pPr>
              <w:ind w:left="360"/>
              <w:spacing w:after="0"/>
              <w:rPr>
                <w:sz w:val="20"/>
                <w:szCs w:val="20"/>
                <w:color w:val="auto"/>
              </w:rPr>
            </w:pPr>
            <w:r>
              <w:rPr>
                <w:rFonts w:ascii="Arial" w:cs="Arial" w:eastAsia="Arial" w:hAnsi="Arial"/>
                <w:sz w:val="15"/>
                <w:szCs w:val="15"/>
                <w:color w:val="auto"/>
              </w:rPr>
              <w:t>—</w:t>
            </w:r>
          </w:p>
        </w:tc>
        <w:tc>
          <w:tcPr>
            <w:tcW w:w="56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520" w:type="dxa"/>
            <w:vAlign w:val="bottom"/>
            <w:shd w:val="clear" w:color="auto" w:fill="CCEEFF"/>
          </w:tcPr>
          <w:p>
            <w:pPr>
              <w:jc w:val="right"/>
              <w:ind w:right="10"/>
              <w:spacing w:after="0"/>
              <w:rPr>
                <w:sz w:val="20"/>
                <w:szCs w:val="20"/>
                <w:color w:val="auto"/>
              </w:rPr>
            </w:pPr>
            <w:r>
              <w:rPr>
                <w:rFonts w:ascii="Arial" w:cs="Arial" w:eastAsia="Arial" w:hAnsi="Arial"/>
                <w:sz w:val="15"/>
                <w:szCs w:val="15"/>
                <w:color w:val="auto"/>
              </w:rPr>
              <w:t>—</w:t>
            </w: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3840" w:type="dxa"/>
            <w:vAlign w:val="bottom"/>
            <w:gridSpan w:val="2"/>
          </w:tcPr>
          <w:p>
            <w:pPr>
              <w:spacing w:after="0"/>
              <w:rPr>
                <w:sz w:val="20"/>
                <w:szCs w:val="20"/>
                <w:color w:val="auto"/>
              </w:rPr>
            </w:pPr>
            <w:r>
              <w:rPr>
                <w:rFonts w:ascii="Arial" w:cs="Arial" w:eastAsia="Arial" w:hAnsi="Arial"/>
                <w:sz w:val="15"/>
                <w:szCs w:val="15"/>
                <w:color w:val="auto"/>
              </w:rPr>
              <w:t>Paul E. Jacobs</w:t>
            </w:r>
          </w:p>
        </w:tc>
        <w:tc>
          <w:tcPr>
            <w:tcW w:w="1160" w:type="dxa"/>
            <w:vAlign w:val="bottom"/>
            <w:gridSpan w:val="2"/>
          </w:tcPr>
          <w:p>
            <w:pPr>
              <w:jc w:val="right"/>
              <w:ind w:right="420"/>
              <w:spacing w:after="0"/>
              <w:rPr>
                <w:sz w:val="20"/>
                <w:szCs w:val="20"/>
                <w:color w:val="auto"/>
              </w:rPr>
            </w:pPr>
            <w:r>
              <w:rPr>
                <w:rFonts w:ascii="Arial" w:cs="Arial" w:eastAsia="Arial" w:hAnsi="Arial"/>
                <w:sz w:val="15"/>
                <w:szCs w:val="15"/>
                <w:color w:val="auto"/>
              </w:rPr>
              <w:t>5/24/16</w:t>
            </w:r>
            <w:r>
              <w:rPr>
                <w:rFonts w:ascii="Arial" w:cs="Arial" w:eastAsia="Arial" w:hAnsi="Arial"/>
                <w:sz w:val="12"/>
                <w:szCs w:val="12"/>
                <w:color w:val="auto"/>
              </w:rPr>
              <w:t>(3)</w:t>
            </w:r>
          </w:p>
        </w:tc>
        <w:tc>
          <w:tcPr>
            <w:tcW w:w="1960" w:type="dxa"/>
            <w:vAlign w:val="bottom"/>
            <w:gridSpan w:val="2"/>
          </w:tcPr>
          <w:p>
            <w:pPr>
              <w:jc w:val="right"/>
              <w:spacing w:after="0"/>
              <w:rPr>
                <w:sz w:val="20"/>
                <w:szCs w:val="20"/>
                <w:color w:val="auto"/>
              </w:rPr>
            </w:pPr>
            <w:r>
              <w:rPr>
                <w:rFonts w:ascii="Arial" w:cs="Arial" w:eastAsia="Arial" w:hAnsi="Arial"/>
                <w:sz w:val="15"/>
                <w:szCs w:val="15"/>
                <w:color w:val="auto"/>
              </w:rPr>
              <w:t>26,667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384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Robert J. Mylod, Jr.</w:t>
            </w:r>
          </w:p>
        </w:tc>
        <w:tc>
          <w:tcPr>
            <w:tcW w:w="1160" w:type="dxa"/>
            <w:vAlign w:val="bottom"/>
            <w:gridSpan w:val="2"/>
            <w:shd w:val="clear" w:color="auto" w:fill="CCEEFF"/>
          </w:tcPr>
          <w:p>
            <w:pPr>
              <w:jc w:val="right"/>
              <w:ind w:right="420"/>
              <w:spacing w:after="0"/>
              <w:rPr>
                <w:sz w:val="20"/>
                <w:szCs w:val="20"/>
                <w:color w:val="auto"/>
              </w:rPr>
            </w:pPr>
            <w:r>
              <w:rPr>
                <w:rFonts w:ascii="Arial" w:cs="Arial" w:eastAsia="Arial" w:hAnsi="Arial"/>
                <w:sz w:val="15"/>
                <w:szCs w:val="15"/>
                <w:color w:val="auto"/>
                <w:w w:val="98"/>
              </w:rPr>
              <w:t>10/27/14</w:t>
            </w:r>
            <w:r>
              <w:rPr>
                <w:rFonts w:ascii="Arial" w:cs="Arial" w:eastAsia="Arial" w:hAnsi="Arial"/>
                <w:sz w:val="12"/>
                <w:szCs w:val="12"/>
                <w:color w:val="auto"/>
                <w:w w:val="98"/>
              </w:rPr>
              <w:t>(4)</w:t>
            </w:r>
          </w:p>
        </w:tc>
        <w:tc>
          <w:tcPr>
            <w:tcW w:w="196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24,433</w:t>
            </w: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300" w:type="dxa"/>
            <w:vAlign w:val="bottom"/>
          </w:tcPr>
          <w:p>
            <w:pPr>
              <w:spacing w:after="0"/>
              <w:rPr>
                <w:sz w:val="15"/>
                <w:szCs w:val="15"/>
                <w:color w:val="auto"/>
              </w:rPr>
            </w:pPr>
          </w:p>
        </w:tc>
        <w:tc>
          <w:tcPr>
            <w:tcW w:w="3540" w:type="dxa"/>
            <w:vAlign w:val="bottom"/>
          </w:tcPr>
          <w:p>
            <w:pPr>
              <w:spacing w:after="0"/>
              <w:rPr>
                <w:sz w:val="15"/>
                <w:szCs w:val="15"/>
                <w:color w:val="auto"/>
              </w:rPr>
            </w:pPr>
          </w:p>
        </w:tc>
        <w:tc>
          <w:tcPr>
            <w:tcW w:w="1160" w:type="dxa"/>
            <w:vAlign w:val="bottom"/>
            <w:gridSpan w:val="2"/>
          </w:tcPr>
          <w:p>
            <w:pPr>
              <w:jc w:val="right"/>
              <w:ind w:right="420"/>
              <w:spacing w:after="0"/>
              <w:rPr>
                <w:sz w:val="20"/>
                <w:szCs w:val="20"/>
                <w:color w:val="auto"/>
              </w:rPr>
            </w:pPr>
            <w:r>
              <w:rPr>
                <w:rFonts w:ascii="Arial" w:cs="Arial" w:eastAsia="Arial" w:hAnsi="Arial"/>
                <w:sz w:val="15"/>
                <w:szCs w:val="15"/>
                <w:color w:val="auto"/>
              </w:rPr>
              <w:t>5/24/16</w:t>
            </w:r>
            <w:r>
              <w:rPr>
                <w:rFonts w:ascii="Arial" w:cs="Arial" w:eastAsia="Arial" w:hAnsi="Arial"/>
                <w:sz w:val="12"/>
                <w:szCs w:val="12"/>
                <w:color w:val="auto"/>
              </w:rPr>
              <w:t>(5)</w:t>
            </w:r>
          </w:p>
        </w:tc>
        <w:tc>
          <w:tcPr>
            <w:tcW w:w="1960" w:type="dxa"/>
            <w:vAlign w:val="bottom"/>
            <w:gridSpan w:val="2"/>
          </w:tcPr>
          <w:p>
            <w:pPr>
              <w:jc w:val="right"/>
              <w:spacing w:after="0"/>
              <w:rPr>
                <w:sz w:val="20"/>
                <w:szCs w:val="20"/>
                <w:color w:val="auto"/>
              </w:rPr>
            </w:pPr>
            <w:r>
              <w:rPr>
                <w:rFonts w:ascii="Arial" w:cs="Arial" w:eastAsia="Arial" w:hAnsi="Arial"/>
                <w:sz w:val="15"/>
                <w:szCs w:val="15"/>
                <w:color w:val="auto"/>
              </w:rPr>
              <w:t>53,333</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384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Condoleezza Rice</w:t>
            </w:r>
          </w:p>
        </w:tc>
        <w:tc>
          <w:tcPr>
            <w:tcW w:w="1160" w:type="dxa"/>
            <w:vAlign w:val="bottom"/>
            <w:gridSpan w:val="2"/>
            <w:shd w:val="clear" w:color="auto" w:fill="CCEEFF"/>
          </w:tcPr>
          <w:p>
            <w:pPr>
              <w:jc w:val="right"/>
              <w:ind w:right="420"/>
              <w:spacing w:after="0"/>
              <w:rPr>
                <w:sz w:val="20"/>
                <w:szCs w:val="20"/>
                <w:color w:val="auto"/>
              </w:rPr>
            </w:pPr>
            <w:r>
              <w:rPr>
                <w:rFonts w:ascii="Arial" w:cs="Arial" w:eastAsia="Arial" w:hAnsi="Arial"/>
                <w:sz w:val="15"/>
                <w:szCs w:val="15"/>
                <w:color w:val="auto"/>
              </w:rPr>
              <w:t>7/29/14</w:t>
            </w:r>
            <w:r>
              <w:rPr>
                <w:rFonts w:ascii="Arial" w:cs="Arial" w:eastAsia="Arial" w:hAnsi="Arial"/>
                <w:sz w:val="12"/>
                <w:szCs w:val="12"/>
                <w:color w:val="auto"/>
              </w:rPr>
              <w:t>(6)</w:t>
            </w:r>
          </w:p>
        </w:tc>
        <w:tc>
          <w:tcPr>
            <w:tcW w:w="196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24,433</w:t>
            </w: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300" w:type="dxa"/>
            <w:vAlign w:val="bottom"/>
          </w:tcPr>
          <w:p>
            <w:pPr>
              <w:spacing w:after="0"/>
              <w:rPr>
                <w:sz w:val="15"/>
                <w:szCs w:val="15"/>
                <w:color w:val="auto"/>
              </w:rPr>
            </w:pPr>
          </w:p>
        </w:tc>
        <w:tc>
          <w:tcPr>
            <w:tcW w:w="3540" w:type="dxa"/>
            <w:vAlign w:val="bottom"/>
          </w:tcPr>
          <w:p>
            <w:pPr>
              <w:spacing w:after="0"/>
              <w:rPr>
                <w:sz w:val="15"/>
                <w:szCs w:val="15"/>
                <w:color w:val="auto"/>
              </w:rPr>
            </w:pPr>
          </w:p>
        </w:tc>
        <w:tc>
          <w:tcPr>
            <w:tcW w:w="1160" w:type="dxa"/>
            <w:vAlign w:val="bottom"/>
            <w:gridSpan w:val="2"/>
          </w:tcPr>
          <w:p>
            <w:pPr>
              <w:jc w:val="right"/>
              <w:ind w:right="420"/>
              <w:spacing w:after="0"/>
              <w:rPr>
                <w:sz w:val="20"/>
                <w:szCs w:val="20"/>
                <w:color w:val="auto"/>
              </w:rPr>
            </w:pPr>
            <w:r>
              <w:rPr>
                <w:rFonts w:ascii="Arial" w:cs="Arial" w:eastAsia="Arial" w:hAnsi="Arial"/>
                <w:sz w:val="15"/>
                <w:szCs w:val="15"/>
                <w:color w:val="auto"/>
              </w:rPr>
              <w:t>5/24/16</w:t>
            </w:r>
            <w:r>
              <w:rPr>
                <w:rFonts w:ascii="Arial" w:cs="Arial" w:eastAsia="Arial" w:hAnsi="Arial"/>
                <w:sz w:val="12"/>
                <w:szCs w:val="12"/>
                <w:color w:val="auto"/>
              </w:rPr>
              <w:t>(7)</w:t>
            </w:r>
          </w:p>
        </w:tc>
        <w:tc>
          <w:tcPr>
            <w:tcW w:w="1960" w:type="dxa"/>
            <w:vAlign w:val="bottom"/>
            <w:gridSpan w:val="2"/>
          </w:tcPr>
          <w:p>
            <w:pPr>
              <w:jc w:val="right"/>
              <w:spacing w:after="0"/>
              <w:rPr>
                <w:sz w:val="20"/>
                <w:szCs w:val="20"/>
                <w:color w:val="auto"/>
              </w:rPr>
            </w:pPr>
            <w:r>
              <w:rPr>
                <w:rFonts w:ascii="Arial" w:cs="Arial" w:eastAsia="Arial" w:hAnsi="Arial"/>
                <w:sz w:val="15"/>
                <w:szCs w:val="15"/>
                <w:color w:val="auto"/>
              </w:rPr>
              <w:t>53,333</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384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Margaret C. Whitman</w:t>
            </w:r>
          </w:p>
        </w:tc>
        <w:tc>
          <w:tcPr>
            <w:tcW w:w="1160" w:type="dxa"/>
            <w:vAlign w:val="bottom"/>
            <w:gridSpan w:val="2"/>
            <w:shd w:val="clear" w:color="auto" w:fill="CCEEFF"/>
          </w:tcPr>
          <w:p>
            <w:pPr>
              <w:jc w:val="right"/>
              <w:ind w:right="420"/>
              <w:spacing w:after="0"/>
              <w:rPr>
                <w:sz w:val="20"/>
                <w:szCs w:val="20"/>
                <w:color w:val="auto"/>
              </w:rPr>
            </w:pPr>
            <w:r>
              <w:rPr>
                <w:rFonts w:ascii="Arial" w:cs="Arial" w:eastAsia="Arial" w:hAnsi="Arial"/>
                <w:sz w:val="15"/>
                <w:szCs w:val="15"/>
                <w:color w:val="auto"/>
              </w:rPr>
              <w:t>9/8/17</w:t>
            </w:r>
            <w:r>
              <w:rPr>
                <w:rFonts w:ascii="Arial" w:cs="Arial" w:eastAsia="Arial" w:hAnsi="Arial"/>
                <w:sz w:val="12"/>
                <w:szCs w:val="12"/>
                <w:color w:val="auto"/>
              </w:rPr>
              <w:t>(8)</w:t>
            </w:r>
          </w:p>
        </w:tc>
        <w:tc>
          <w:tcPr>
            <w:tcW w:w="196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53,333</w:t>
            </w: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3840" w:type="dxa"/>
            <w:vAlign w:val="bottom"/>
            <w:gridSpan w:val="2"/>
          </w:tcPr>
          <w:p>
            <w:pPr>
              <w:spacing w:after="0"/>
              <w:rPr>
                <w:sz w:val="20"/>
                <w:szCs w:val="20"/>
                <w:color w:val="auto"/>
              </w:rPr>
            </w:pPr>
            <w:r>
              <w:rPr>
                <w:rFonts w:ascii="Arial" w:cs="Arial" w:eastAsia="Arial" w:hAnsi="Arial"/>
                <w:sz w:val="15"/>
                <w:szCs w:val="15"/>
                <w:color w:val="auto"/>
              </w:rPr>
              <w:t>R. Bryan Schreier</w:t>
            </w:r>
          </w:p>
        </w:tc>
        <w:tc>
          <w:tcPr>
            <w:tcW w:w="1160" w:type="dxa"/>
            <w:vAlign w:val="bottom"/>
            <w:gridSpan w:val="2"/>
          </w:tcPr>
          <w:p>
            <w:pPr>
              <w:ind w:left="360"/>
              <w:spacing w:after="0"/>
              <w:rPr>
                <w:sz w:val="20"/>
                <w:szCs w:val="20"/>
                <w:color w:val="auto"/>
              </w:rPr>
            </w:pPr>
            <w:r>
              <w:rPr>
                <w:rFonts w:ascii="Arial" w:cs="Arial" w:eastAsia="Arial" w:hAnsi="Arial"/>
                <w:sz w:val="15"/>
                <w:szCs w:val="15"/>
                <w:color w:val="auto"/>
              </w:rPr>
              <w:t>—</w:t>
            </w:r>
          </w:p>
        </w:tc>
        <w:tc>
          <w:tcPr>
            <w:tcW w:w="440" w:type="dxa"/>
            <w:vAlign w:val="bottom"/>
          </w:tcPr>
          <w:p>
            <w:pPr>
              <w:spacing w:after="0"/>
              <w:rPr>
                <w:sz w:val="16"/>
                <w:szCs w:val="16"/>
                <w:color w:val="auto"/>
              </w:rPr>
            </w:pPr>
          </w:p>
        </w:tc>
        <w:tc>
          <w:tcPr>
            <w:tcW w:w="1560" w:type="dxa"/>
            <w:vAlign w:val="bottom"/>
            <w:gridSpan w:val="2"/>
          </w:tcPr>
          <w:p>
            <w:pPr>
              <w:jc w:val="right"/>
              <w:ind w:right="12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709930</wp:posOffset>
            </wp:positionH>
            <wp:positionV relativeFrom="paragraph">
              <wp:posOffset>65405</wp:posOffset>
            </wp:positionV>
            <wp:extent cx="580390" cy="698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580390" cy="6985"/>
                    </a:xfrm>
                    <a:prstGeom prst="rect">
                      <a:avLst/>
                    </a:prstGeom>
                    <a:noFill/>
                  </pic:spPr>
                </pic:pic>
              </a:graphicData>
            </a:graphic>
          </wp:anchor>
        </w:drawing>
      </w:r>
    </w:p>
    <w:p>
      <w:pPr>
        <w:spacing w:after="0" w:line="120" w:lineRule="exact"/>
        <w:rPr>
          <w:sz w:val="20"/>
          <w:szCs w:val="20"/>
          <w:color w:val="auto"/>
        </w:rPr>
      </w:pPr>
    </w:p>
    <w:p>
      <w:pPr>
        <w:ind w:left="1380" w:right="60" w:hanging="268"/>
        <w:spacing w:after="0" w:line="224" w:lineRule="auto"/>
        <w:tabs>
          <w:tab w:leader="none" w:pos="1380" w:val="left"/>
        </w:tabs>
        <w:numPr>
          <w:ilvl w:val="0"/>
          <w:numId w:val="63"/>
        </w:numPr>
        <w:rPr>
          <w:rFonts w:ascii="Arial" w:cs="Arial" w:eastAsia="Arial" w:hAnsi="Arial"/>
          <w:sz w:val="23"/>
          <w:szCs w:val="23"/>
          <w:color w:val="auto"/>
          <w:vertAlign w:val="superscript"/>
        </w:rPr>
      </w:pPr>
      <w:r>
        <w:rPr>
          <w:rFonts w:ascii="Arial" w:cs="Arial" w:eastAsia="Arial" w:hAnsi="Arial"/>
          <w:sz w:val="14"/>
          <w:szCs w:val="14"/>
          <w:color w:val="auto"/>
        </w:rPr>
        <w:t>As further described in the footnotes below, the RSUs granted prior to August 1, 2015, which we refer to as two-tier RSUs, will generally vest upon the satisfaction of a service-based vesting condition and the occurrence of the Performance Vesting Condition. The Performance Vesting Condition occurs on the earlier of (i) an acquisition or change in control of the Company or (ii) the earlier of (a) six months after our initial public offering or (b) March 15 of the year following our initial public offering. Our Board of Directors has approved the acceleration of the Performance Vesting Condition such that it will occur upon the effectiveness of our registration statement of which this prospectus forms a part.</w:t>
      </w:r>
    </w:p>
    <w:p>
      <w:pPr>
        <w:spacing w:after="0" w:line="1" w:lineRule="exact"/>
        <w:rPr>
          <w:rFonts w:ascii="Arial" w:cs="Arial" w:eastAsia="Arial" w:hAnsi="Arial"/>
          <w:sz w:val="23"/>
          <w:szCs w:val="23"/>
          <w:color w:val="auto"/>
          <w:vertAlign w:val="superscript"/>
        </w:rPr>
      </w:pPr>
    </w:p>
    <w:p>
      <w:pPr>
        <w:ind w:left="1380" w:hanging="268"/>
        <w:spacing w:after="0" w:line="185" w:lineRule="auto"/>
        <w:tabs>
          <w:tab w:leader="none" w:pos="1380" w:val="left"/>
        </w:tabs>
        <w:numPr>
          <w:ilvl w:val="0"/>
          <w:numId w:val="63"/>
        </w:numPr>
        <w:rPr>
          <w:rFonts w:ascii="Arial" w:cs="Arial" w:eastAsia="Arial" w:hAnsi="Arial"/>
          <w:sz w:val="19"/>
          <w:szCs w:val="19"/>
          <w:color w:val="auto"/>
          <w:vertAlign w:val="superscript"/>
        </w:rPr>
      </w:pPr>
      <w:r>
        <w:rPr>
          <w:rFonts w:ascii="Arial" w:cs="Arial" w:eastAsia="Arial" w:hAnsi="Arial"/>
          <w:sz w:val="12"/>
          <w:szCs w:val="12"/>
          <w:color w:val="auto"/>
        </w:rPr>
        <w:t>Mr. Blair became a member of our Board of Directors in December 2017.</w:t>
      </w:r>
    </w:p>
    <w:p>
      <w:pPr>
        <w:spacing w:after="0" w:line="9" w:lineRule="exact"/>
        <w:rPr>
          <w:rFonts w:ascii="Arial" w:cs="Arial" w:eastAsia="Arial" w:hAnsi="Arial"/>
          <w:sz w:val="19"/>
          <w:szCs w:val="19"/>
          <w:color w:val="auto"/>
          <w:vertAlign w:val="superscript"/>
        </w:rPr>
      </w:pPr>
    </w:p>
    <w:p>
      <w:pPr>
        <w:ind w:left="1380" w:right="460" w:hanging="268"/>
        <w:spacing w:after="0" w:line="236" w:lineRule="auto"/>
        <w:tabs>
          <w:tab w:leader="none" w:pos="1380" w:val="left"/>
        </w:tabs>
        <w:numPr>
          <w:ilvl w:val="0"/>
          <w:numId w:val="63"/>
        </w:numPr>
        <w:rPr>
          <w:rFonts w:ascii="Arial" w:cs="Arial" w:eastAsia="Arial" w:hAnsi="Arial"/>
          <w:sz w:val="20"/>
          <w:szCs w:val="20"/>
          <w:color w:val="auto"/>
          <w:vertAlign w:val="superscript"/>
        </w:rPr>
      </w:pPr>
      <w:r>
        <w:rPr>
          <w:rFonts w:ascii="Arial" w:cs="Arial" w:eastAsia="Arial" w:hAnsi="Arial"/>
          <w:sz w:val="12"/>
          <w:szCs w:val="12"/>
          <w:color w:val="auto"/>
        </w:rPr>
        <w:t>50% of the shares of our Class B common stock underlying the RSUs vested on each of May 1, 2017 and the remainder will vest on May 1, 2018, subject to continued service through such vesting date; provided, however, that as a result of amendments approved by our Board of Directors on September 8, 2017 applicable to all RSUs, or the September 2017 RSU Amendment, the May 1, 2018 vesting date is being accelerated to February 15, 2018.</w:t>
      </w:r>
    </w:p>
    <w:p>
      <w:pPr>
        <w:spacing w:after="0" w:line="1" w:lineRule="exact"/>
        <w:rPr>
          <w:rFonts w:ascii="Arial" w:cs="Arial" w:eastAsia="Arial" w:hAnsi="Arial"/>
          <w:sz w:val="20"/>
          <w:szCs w:val="20"/>
          <w:color w:val="auto"/>
          <w:vertAlign w:val="superscript"/>
        </w:rPr>
      </w:pPr>
    </w:p>
    <w:p>
      <w:pPr>
        <w:ind w:left="1380" w:right="400" w:hanging="268"/>
        <w:spacing w:after="0" w:line="190" w:lineRule="auto"/>
        <w:tabs>
          <w:tab w:leader="none" w:pos="1380" w:val="left"/>
        </w:tabs>
        <w:numPr>
          <w:ilvl w:val="0"/>
          <w:numId w:val="63"/>
        </w:numPr>
        <w:rPr>
          <w:rFonts w:ascii="Arial" w:cs="Arial" w:eastAsia="Arial" w:hAnsi="Arial"/>
          <w:sz w:val="23"/>
          <w:szCs w:val="23"/>
          <w:color w:val="auto"/>
          <w:vertAlign w:val="superscript"/>
        </w:rPr>
      </w:pPr>
      <w:r>
        <w:rPr>
          <w:rFonts w:ascii="Arial" w:cs="Arial" w:eastAsia="Arial" w:hAnsi="Arial"/>
          <w:sz w:val="14"/>
          <w:szCs w:val="14"/>
          <w:color w:val="auto"/>
        </w:rPr>
        <w:t>The service condition was satisfied as to 100% of the shares of Class B common stock underlying the RSUs on September 1, 2016. The Performance Vesting Condition has not been satisfied.</w:t>
      </w:r>
    </w:p>
    <w:p>
      <w:pPr>
        <w:spacing w:after="0" w:line="1" w:lineRule="exact"/>
        <w:rPr>
          <w:rFonts w:ascii="Arial" w:cs="Arial" w:eastAsia="Arial" w:hAnsi="Arial"/>
          <w:sz w:val="23"/>
          <w:szCs w:val="23"/>
          <w:color w:val="auto"/>
          <w:vertAlign w:val="superscript"/>
        </w:rPr>
      </w:pPr>
    </w:p>
    <w:p>
      <w:pPr>
        <w:ind w:left="1380" w:right="20" w:hanging="268"/>
        <w:spacing w:after="0" w:line="220" w:lineRule="auto"/>
        <w:tabs>
          <w:tab w:leader="none" w:pos="1380" w:val="left"/>
        </w:tabs>
        <w:numPr>
          <w:ilvl w:val="0"/>
          <w:numId w:val="63"/>
        </w:numPr>
        <w:rPr>
          <w:rFonts w:ascii="Arial" w:cs="Arial" w:eastAsia="Arial" w:hAnsi="Arial"/>
          <w:sz w:val="20"/>
          <w:szCs w:val="20"/>
          <w:color w:val="auto"/>
          <w:vertAlign w:val="superscript"/>
        </w:rPr>
      </w:pPr>
      <w:r>
        <w:rPr>
          <w:rFonts w:ascii="Arial" w:cs="Arial" w:eastAsia="Arial" w:hAnsi="Arial"/>
          <w:sz w:val="12"/>
          <w:szCs w:val="12"/>
          <w:color w:val="auto"/>
        </w:rPr>
        <w:t>100% of the shares of our Class B common stock underlying the RSUs vest on September 1, 2018, subject to continued service through such vesting date; provided, however, that as a result of the September 2017 RSU Amendment, the September 1, 2018 vesting date is being accelerated to August 15, 2018.</w:t>
      </w:r>
    </w:p>
    <w:p>
      <w:pPr>
        <w:spacing w:after="0" w:line="1" w:lineRule="exact"/>
        <w:rPr>
          <w:rFonts w:ascii="Arial" w:cs="Arial" w:eastAsia="Arial" w:hAnsi="Arial"/>
          <w:sz w:val="20"/>
          <w:szCs w:val="20"/>
          <w:color w:val="auto"/>
          <w:vertAlign w:val="superscript"/>
        </w:rPr>
      </w:pPr>
    </w:p>
    <w:p>
      <w:pPr>
        <w:ind w:left="1380" w:right="100" w:hanging="268"/>
        <w:spacing w:after="0" w:line="190" w:lineRule="auto"/>
        <w:tabs>
          <w:tab w:leader="none" w:pos="1380" w:val="left"/>
        </w:tabs>
        <w:numPr>
          <w:ilvl w:val="0"/>
          <w:numId w:val="63"/>
        </w:numPr>
        <w:rPr>
          <w:rFonts w:ascii="Arial" w:cs="Arial" w:eastAsia="Arial" w:hAnsi="Arial"/>
          <w:sz w:val="23"/>
          <w:szCs w:val="23"/>
          <w:color w:val="auto"/>
          <w:vertAlign w:val="superscript"/>
        </w:rPr>
      </w:pPr>
      <w:r>
        <w:rPr>
          <w:rFonts w:ascii="Arial" w:cs="Arial" w:eastAsia="Arial" w:hAnsi="Arial"/>
          <w:sz w:val="14"/>
          <w:szCs w:val="14"/>
          <w:color w:val="auto"/>
        </w:rPr>
        <w:t>The service condition was satisfied as to 100% of the shares of Class B common stock underlying the RSUs on May 15, 2016. The Performance Vesting Condition has not been satisfied.</w:t>
      </w:r>
    </w:p>
    <w:p>
      <w:pPr>
        <w:spacing w:after="0" w:line="1" w:lineRule="exact"/>
        <w:rPr>
          <w:rFonts w:ascii="Arial" w:cs="Arial" w:eastAsia="Arial" w:hAnsi="Arial"/>
          <w:sz w:val="23"/>
          <w:szCs w:val="23"/>
          <w:color w:val="auto"/>
          <w:vertAlign w:val="superscript"/>
        </w:rPr>
      </w:pPr>
    </w:p>
    <w:p>
      <w:pPr>
        <w:ind w:left="1380" w:hanging="268"/>
        <w:spacing w:after="0" w:line="185" w:lineRule="auto"/>
        <w:tabs>
          <w:tab w:leader="none" w:pos="1380" w:val="left"/>
        </w:tabs>
        <w:numPr>
          <w:ilvl w:val="0"/>
          <w:numId w:val="63"/>
        </w:numPr>
        <w:rPr>
          <w:rFonts w:ascii="Arial" w:cs="Arial" w:eastAsia="Arial" w:hAnsi="Arial"/>
          <w:sz w:val="19"/>
          <w:szCs w:val="19"/>
          <w:color w:val="auto"/>
          <w:vertAlign w:val="superscript"/>
        </w:rPr>
      </w:pPr>
      <w:r>
        <w:rPr>
          <w:rFonts w:ascii="Arial" w:cs="Arial" w:eastAsia="Arial" w:hAnsi="Arial"/>
          <w:sz w:val="12"/>
          <w:szCs w:val="12"/>
          <w:color w:val="auto"/>
        </w:rPr>
        <w:t>100% of the shares of our Class B common stock underlying the RSUs vest on May 15, 2018, subject to continued service through such vesting date.</w:t>
      </w:r>
    </w:p>
    <w:p>
      <w:pPr>
        <w:spacing w:after="0" w:line="9" w:lineRule="exact"/>
        <w:rPr>
          <w:rFonts w:ascii="Arial" w:cs="Arial" w:eastAsia="Arial" w:hAnsi="Arial"/>
          <w:sz w:val="19"/>
          <w:szCs w:val="19"/>
          <w:color w:val="auto"/>
          <w:vertAlign w:val="superscript"/>
        </w:rPr>
      </w:pPr>
    </w:p>
    <w:p>
      <w:pPr>
        <w:ind w:left="1380" w:hanging="268"/>
        <w:spacing w:after="0" w:line="186" w:lineRule="auto"/>
        <w:tabs>
          <w:tab w:leader="none" w:pos="1380" w:val="left"/>
        </w:tabs>
        <w:numPr>
          <w:ilvl w:val="0"/>
          <w:numId w:val="63"/>
        </w:numPr>
        <w:rPr>
          <w:rFonts w:ascii="Arial" w:cs="Arial" w:eastAsia="Arial" w:hAnsi="Arial"/>
          <w:sz w:val="23"/>
          <w:szCs w:val="23"/>
          <w:color w:val="auto"/>
          <w:vertAlign w:val="superscript"/>
        </w:rPr>
      </w:pPr>
      <w:r>
        <w:rPr>
          <w:rFonts w:ascii="Arial" w:cs="Arial" w:eastAsia="Arial" w:hAnsi="Arial"/>
          <w:sz w:val="14"/>
          <w:szCs w:val="14"/>
          <w:color w:val="auto"/>
        </w:rPr>
        <w:t>Ms. Whitman became a member of our Board of Directors in September 2017. 50% of the shares of our Class A common stock underlying the RSUs vest on each of August 15, 2018 and August 15, 2019, subject to continued service through each such vesting date.</w:t>
      </w:r>
    </w:p>
    <w:p>
      <w:pPr>
        <w:spacing w:after="0" w:line="119" w:lineRule="exact"/>
        <w:rPr>
          <w:sz w:val="20"/>
          <w:szCs w:val="20"/>
          <w:color w:val="auto"/>
        </w:rPr>
      </w:pPr>
    </w:p>
    <w:p>
      <w:pPr>
        <w:ind w:left="5600"/>
        <w:spacing w:after="0"/>
        <w:rPr>
          <w:sz w:val="20"/>
          <w:szCs w:val="20"/>
          <w:color w:val="auto"/>
        </w:rPr>
      </w:pPr>
      <w:r>
        <w:rPr>
          <w:rFonts w:ascii="Arial" w:cs="Arial" w:eastAsia="Arial" w:hAnsi="Arial"/>
          <w:sz w:val="15"/>
          <w:szCs w:val="15"/>
          <w:color w:val="auto"/>
        </w:rPr>
        <w:t>143</w:t>
      </w:r>
    </w:p>
    <w:p>
      <w:pPr>
        <w:sectPr>
          <w:pgSz w:w="11900" w:h="16838" w:orient="portrait"/>
          <w:cols w:equalWidth="0" w:num="1">
            <w:col w:w="10300"/>
          </w:cols>
          <w:pgMar w:left="240" w:top="407" w:right="1359" w:bottom="1440" w:gutter="0" w:footer="0" w:header="0"/>
        </w:sectPr>
      </w:pPr>
    </w:p>
    <w:bookmarkStart w:id="150" w:name="page151"/>
    <w:bookmarkEnd w:id="150"/>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133350</wp:posOffset>
            </wp:positionH>
            <wp:positionV relativeFrom="page">
              <wp:posOffset>88900</wp:posOffset>
            </wp:positionV>
            <wp:extent cx="7308850" cy="3429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308850" cy="34290"/>
                    </a:xfrm>
                    <a:prstGeom prst="rect">
                      <a:avLst/>
                    </a:prstGeom>
                    <a:noFill/>
                  </pic:spPr>
                </pic:pic>
              </a:graphicData>
            </a:graphic>
          </wp:anchor>
        </w:drawing>
      </w:r>
      <w:hyperlink w:anchor="page7">
        <w:r>
          <w:rPr>
            <w:rFonts w:ascii="Arial" w:cs="Arial" w:eastAsia="Arial" w:hAnsi="Arial"/>
            <w:sz w:val="15"/>
            <w:szCs w:val="15"/>
            <w:b w:val="1"/>
            <w:bCs w:val="1"/>
            <w:u w:val="single" w:color="auto"/>
            <w:color w:val="0000EE"/>
          </w:rPr>
          <w:t>Table of Contents</w:t>
        </w:r>
      </w:hyperlink>
    </w:p>
    <w:p>
      <w:pPr>
        <w:spacing w:after="0" w:line="260" w:lineRule="exact"/>
        <w:rPr>
          <w:sz w:val="20"/>
          <w:szCs w:val="20"/>
          <w:color w:val="auto"/>
        </w:rPr>
      </w:pPr>
    </w:p>
    <w:p>
      <w:pPr>
        <w:ind w:left="1120" w:firstLine="368"/>
        <w:spacing w:after="0" w:line="257" w:lineRule="auto"/>
        <w:rPr>
          <w:sz w:val="20"/>
          <w:szCs w:val="20"/>
          <w:color w:val="auto"/>
        </w:rPr>
      </w:pPr>
      <w:r>
        <w:rPr>
          <w:rFonts w:ascii="Arial" w:cs="Arial" w:eastAsia="Arial" w:hAnsi="Arial"/>
          <w:sz w:val="15"/>
          <w:szCs w:val="15"/>
          <w:color w:val="auto"/>
        </w:rPr>
        <w:t>In February 2018, our Board of Directors approved new awards of RSUs with a value of $300,000 to the non-employee directors listed below on the terms set forth below. In determining the size and terms of these awards, our Board of Directors considered such factors as it determined appropriate, including, the vested status of each of these non-employee director’s current company equity awards, the compensation level of directors at comparable companies, the expected timing of the issuance of future equity awards to them under the director compensation policy described below, and the past and expected future contributions of these directors to our company.</w:t>
      </w:r>
    </w:p>
    <w:p>
      <w:pPr>
        <w:spacing w:after="0" w:line="80" w:lineRule="exact"/>
        <w:rPr>
          <w:sz w:val="20"/>
          <w:szCs w:val="20"/>
          <w:color w:val="auto"/>
        </w:rPr>
      </w:pPr>
    </w:p>
    <w:p>
      <w:pPr>
        <w:ind w:left="1840" w:right="60" w:hanging="276"/>
        <w:spacing w:after="0" w:line="277" w:lineRule="auto"/>
        <w:tabs>
          <w:tab w:leader="none" w:pos="1840" w:val="left"/>
        </w:tabs>
        <w:numPr>
          <w:ilvl w:val="0"/>
          <w:numId w:val="64"/>
        </w:numPr>
        <w:rPr>
          <w:rFonts w:ascii="Arial" w:cs="Arial" w:eastAsia="Arial" w:hAnsi="Arial"/>
          <w:sz w:val="14"/>
          <w:szCs w:val="14"/>
          <w:color w:val="auto"/>
        </w:rPr>
      </w:pPr>
      <w:r>
        <w:rPr>
          <w:rFonts w:ascii="Arial" w:cs="Arial" w:eastAsia="Arial" w:hAnsi="Arial"/>
          <w:sz w:val="14"/>
          <w:szCs w:val="14"/>
          <w:color w:val="auto"/>
        </w:rPr>
        <w:t>Ms. Rice and Messrs. Jacobs, Mylod, and Schreier: an award of RSUs with a value of $300,000 that vests on May 15, 2019 or the next annual meeting of our stockholders, if earlier, subject to the director’s continued service with us. The award will be subject to vesting acceleration on a “change in control”, as set forth in our director compensation policy described below. The award will be effective as of immediately prior to the effectiveness of our registration statement related to this offering, subject to their approval by our stockholders and the director’s continued service with us. The number of RSUs subject to the award shall equal $300,000 divided by the per share price of Class A common stock listed on the cover of the registration statement related to this offering.</w:t>
      </w:r>
    </w:p>
    <w:p>
      <w:pPr>
        <w:spacing w:after="0" w:line="69" w:lineRule="exact"/>
        <w:rPr>
          <w:rFonts w:ascii="Arial" w:cs="Arial" w:eastAsia="Arial" w:hAnsi="Arial"/>
          <w:sz w:val="14"/>
          <w:szCs w:val="14"/>
          <w:color w:val="auto"/>
        </w:rPr>
      </w:pPr>
    </w:p>
    <w:p>
      <w:pPr>
        <w:ind w:left="1840" w:right="360" w:hanging="276"/>
        <w:spacing w:after="0" w:line="290" w:lineRule="auto"/>
        <w:tabs>
          <w:tab w:leader="none" w:pos="1840" w:val="left"/>
        </w:tabs>
        <w:numPr>
          <w:ilvl w:val="0"/>
          <w:numId w:val="64"/>
        </w:numPr>
        <w:rPr>
          <w:rFonts w:ascii="Arial" w:cs="Arial" w:eastAsia="Arial" w:hAnsi="Arial"/>
          <w:sz w:val="14"/>
          <w:szCs w:val="14"/>
          <w:color w:val="auto"/>
        </w:rPr>
      </w:pPr>
      <w:r>
        <w:rPr>
          <w:rFonts w:ascii="Arial" w:cs="Arial" w:eastAsia="Arial" w:hAnsi="Arial"/>
          <w:sz w:val="14"/>
          <w:szCs w:val="14"/>
          <w:color w:val="auto"/>
        </w:rPr>
        <w:t>Mr. Blair: an award of 53,333 RSUs that vests in two equal installments on November 15, 2018 and November 15, 2019, subject to his continued service with us. The award will be subject to vesting acceleration on a “change in control”, as set forth in our director compensation policy described below. This award was provided to Mr. Blair as part of his recruitment to join our Board of Directors.</w:t>
      </w:r>
    </w:p>
    <w:p>
      <w:pPr>
        <w:spacing w:after="0" w:line="138" w:lineRule="exact"/>
        <w:rPr>
          <w:sz w:val="20"/>
          <w:szCs w:val="20"/>
          <w:color w:val="auto"/>
        </w:rPr>
      </w:pPr>
    </w:p>
    <w:p>
      <w:pPr>
        <w:ind w:left="1120" w:right="20" w:firstLine="368"/>
        <w:spacing w:after="0" w:line="276" w:lineRule="auto"/>
        <w:rPr>
          <w:sz w:val="20"/>
          <w:szCs w:val="20"/>
          <w:color w:val="auto"/>
        </w:rPr>
      </w:pPr>
      <w:r>
        <w:rPr>
          <w:rFonts w:ascii="Arial" w:cs="Arial" w:eastAsia="Arial" w:hAnsi="Arial"/>
          <w:sz w:val="14"/>
          <w:szCs w:val="14"/>
          <w:color w:val="auto"/>
        </w:rPr>
        <w:t>Prior to this offering, we did not have a formal policy with respect to compensation payable to our non-employee directors for service as directors. From time to time, we have granted equity awards to certain non-employee directors to entice them to join our Board of Directors and for their continued service on our Board of Directors. We also have reimbursed our directors for expenses associated with attending meetings of our Board of Directors and committees of our Board of Directors. In February 2018, our Board of Directors adopted a new compensation policy for our non-employee directors that will be effective as of the date of the effectiveness of the registration statement related to this offering. This policy was developed, with input from our independent compensation consultant firm, Compensia, Inc., regarding practices and compensation level at comparable companies. It is designed to attract, retain, and reward non-employee directors.</w:t>
      </w:r>
    </w:p>
    <w:p>
      <w:pPr>
        <w:spacing w:after="0" w:line="148" w:lineRule="exact"/>
        <w:rPr>
          <w:sz w:val="20"/>
          <w:szCs w:val="20"/>
          <w:color w:val="auto"/>
        </w:rPr>
      </w:pPr>
    </w:p>
    <w:p>
      <w:pPr>
        <w:ind w:left="1120" w:right="120" w:firstLine="368"/>
        <w:spacing w:after="0" w:line="354" w:lineRule="auto"/>
        <w:rPr>
          <w:sz w:val="20"/>
          <w:szCs w:val="20"/>
          <w:color w:val="auto"/>
        </w:rPr>
      </w:pPr>
      <w:r>
        <w:rPr>
          <w:rFonts w:ascii="Arial" w:cs="Arial" w:eastAsia="Arial" w:hAnsi="Arial"/>
          <w:sz w:val="13"/>
          <w:szCs w:val="13"/>
          <w:color w:val="auto"/>
        </w:rPr>
        <w:t>Under this director compensation policy, each non-employee director will receive the cash and equity compensation for board services described below. We also will continue to reimburse our non-employee directors for reasonable, customary, and documented travel expenses to board meetings.</w:t>
      </w:r>
    </w:p>
    <w:p>
      <w:pPr>
        <w:spacing w:after="0" w:line="100" w:lineRule="exact"/>
        <w:rPr>
          <w:sz w:val="20"/>
          <w:szCs w:val="20"/>
          <w:color w:val="auto"/>
        </w:rPr>
      </w:pPr>
    </w:p>
    <w:p>
      <w:pPr>
        <w:ind w:left="1120" w:right="40" w:firstLine="368"/>
        <w:spacing w:after="0" w:line="279" w:lineRule="auto"/>
        <w:rPr>
          <w:sz w:val="20"/>
          <w:szCs w:val="20"/>
          <w:color w:val="auto"/>
        </w:rPr>
      </w:pPr>
      <w:r>
        <w:rPr>
          <w:rFonts w:ascii="Arial" w:cs="Arial" w:eastAsia="Arial" w:hAnsi="Arial"/>
          <w:sz w:val="14"/>
          <w:szCs w:val="14"/>
          <w:color w:val="auto"/>
        </w:rPr>
        <w:t>The director compensation policy includes a maximum annual limit of $1,200,000 of cash compensation and equity awards that may be paid, issued, or granted to a non-employee director in any fiscal year. For purposes of this limitation, the value of equity awards is based on the grant date fair value (determined in accordance with GAAP). Any cash compensation paid or equity awards granted to a person for his or her services as an employee, or for his or her services as a consultant (other than as a non-employee director), will not count for purposes of the limitation. The maximum limit does not reflect the intended size of any potential compensation or equity awards to our non-employee directors.</w:t>
      </w:r>
    </w:p>
    <w:p>
      <w:pPr>
        <w:spacing w:after="0" w:line="237" w:lineRule="exact"/>
        <w:rPr>
          <w:sz w:val="20"/>
          <w:szCs w:val="20"/>
          <w:color w:val="auto"/>
        </w:rPr>
      </w:pPr>
    </w:p>
    <w:p>
      <w:pPr>
        <w:ind w:left="1480"/>
        <w:spacing w:after="0"/>
        <w:rPr>
          <w:sz w:val="20"/>
          <w:szCs w:val="20"/>
          <w:color w:val="auto"/>
        </w:rPr>
      </w:pPr>
      <w:r>
        <w:rPr>
          <w:rFonts w:ascii="Arial" w:cs="Arial" w:eastAsia="Arial" w:hAnsi="Arial"/>
          <w:sz w:val="15"/>
          <w:szCs w:val="15"/>
          <w:b w:val="1"/>
          <w:bCs w:val="1"/>
          <w:i w:val="1"/>
          <w:iCs w:val="1"/>
          <w:color w:val="auto"/>
        </w:rPr>
        <w:t>Cash Compensation</w:t>
      </w:r>
    </w:p>
    <w:p>
      <w:pPr>
        <w:spacing w:after="0" w:line="98" w:lineRule="exact"/>
        <w:rPr>
          <w:sz w:val="20"/>
          <w:szCs w:val="20"/>
          <w:color w:val="auto"/>
        </w:rPr>
      </w:pPr>
    </w:p>
    <w:p>
      <w:pPr>
        <w:ind w:left="1480"/>
        <w:spacing w:after="0"/>
        <w:rPr>
          <w:sz w:val="20"/>
          <w:szCs w:val="20"/>
          <w:color w:val="auto"/>
        </w:rPr>
      </w:pPr>
      <w:r>
        <w:rPr>
          <w:rFonts w:ascii="Arial" w:cs="Arial" w:eastAsia="Arial" w:hAnsi="Arial"/>
          <w:sz w:val="14"/>
          <w:szCs w:val="14"/>
          <w:color w:val="auto"/>
        </w:rPr>
        <w:t>Following the completion of this offering, non-employee directors will be entitled to receive the following cash compensation for their services:</w:t>
      </w:r>
    </w:p>
    <w:p>
      <w:pPr>
        <w:spacing w:after="0" w:line="121" w:lineRule="exact"/>
        <w:rPr>
          <w:sz w:val="20"/>
          <w:szCs w:val="20"/>
          <w:color w:val="auto"/>
        </w:rPr>
      </w:pPr>
    </w:p>
    <w:p>
      <w:pPr>
        <w:ind w:left="1840" w:hanging="276"/>
        <w:spacing w:after="0"/>
        <w:tabs>
          <w:tab w:leader="none" w:pos="1840" w:val="left"/>
        </w:tabs>
        <w:numPr>
          <w:ilvl w:val="0"/>
          <w:numId w:val="65"/>
        </w:numPr>
        <w:rPr>
          <w:rFonts w:ascii="Arial" w:cs="Arial" w:eastAsia="Arial" w:hAnsi="Arial"/>
          <w:sz w:val="15"/>
          <w:szCs w:val="15"/>
          <w:color w:val="auto"/>
        </w:rPr>
      </w:pPr>
      <w:r>
        <w:rPr>
          <w:rFonts w:ascii="Arial" w:cs="Arial" w:eastAsia="Arial" w:hAnsi="Arial"/>
          <w:sz w:val="15"/>
          <w:szCs w:val="15"/>
          <w:color w:val="auto"/>
        </w:rPr>
        <w:t>$50,000 per year for service as a board member;</w:t>
      </w:r>
    </w:p>
    <w:p>
      <w:pPr>
        <w:spacing w:after="0" w:line="109" w:lineRule="exact"/>
        <w:rPr>
          <w:rFonts w:ascii="Arial" w:cs="Arial" w:eastAsia="Arial" w:hAnsi="Arial"/>
          <w:sz w:val="15"/>
          <w:szCs w:val="15"/>
          <w:color w:val="auto"/>
        </w:rPr>
      </w:pPr>
    </w:p>
    <w:p>
      <w:pPr>
        <w:ind w:left="1840" w:hanging="276"/>
        <w:spacing w:after="0"/>
        <w:tabs>
          <w:tab w:leader="none" w:pos="1840" w:val="left"/>
        </w:tabs>
        <w:numPr>
          <w:ilvl w:val="0"/>
          <w:numId w:val="65"/>
        </w:numPr>
        <w:rPr>
          <w:rFonts w:ascii="Arial" w:cs="Arial" w:eastAsia="Arial" w:hAnsi="Arial"/>
          <w:sz w:val="15"/>
          <w:szCs w:val="15"/>
          <w:color w:val="auto"/>
        </w:rPr>
      </w:pPr>
      <w:r>
        <w:rPr>
          <w:rFonts w:ascii="Arial" w:cs="Arial" w:eastAsia="Arial" w:hAnsi="Arial"/>
          <w:sz w:val="15"/>
          <w:szCs w:val="15"/>
          <w:color w:val="auto"/>
        </w:rPr>
        <w:t>$20,000 per year for service as a lead independent director;</w:t>
      </w:r>
    </w:p>
    <w:p>
      <w:pPr>
        <w:spacing w:after="0" w:line="109" w:lineRule="exact"/>
        <w:rPr>
          <w:rFonts w:ascii="Arial" w:cs="Arial" w:eastAsia="Arial" w:hAnsi="Arial"/>
          <w:sz w:val="15"/>
          <w:szCs w:val="15"/>
          <w:color w:val="auto"/>
        </w:rPr>
      </w:pPr>
    </w:p>
    <w:p>
      <w:pPr>
        <w:ind w:left="1840" w:hanging="276"/>
        <w:spacing w:after="0"/>
        <w:tabs>
          <w:tab w:leader="none" w:pos="1840" w:val="left"/>
        </w:tabs>
        <w:numPr>
          <w:ilvl w:val="0"/>
          <w:numId w:val="65"/>
        </w:numPr>
        <w:rPr>
          <w:rFonts w:ascii="Arial" w:cs="Arial" w:eastAsia="Arial" w:hAnsi="Arial"/>
          <w:sz w:val="15"/>
          <w:szCs w:val="15"/>
          <w:color w:val="auto"/>
        </w:rPr>
      </w:pPr>
      <w:r>
        <w:rPr>
          <w:rFonts w:ascii="Arial" w:cs="Arial" w:eastAsia="Arial" w:hAnsi="Arial"/>
          <w:sz w:val="15"/>
          <w:szCs w:val="15"/>
          <w:color w:val="auto"/>
        </w:rPr>
        <w:t>$25,000 per year for service as chair of the audit committee;</w:t>
      </w:r>
    </w:p>
    <w:p>
      <w:pPr>
        <w:spacing w:after="0" w:line="109" w:lineRule="exact"/>
        <w:rPr>
          <w:rFonts w:ascii="Arial" w:cs="Arial" w:eastAsia="Arial" w:hAnsi="Arial"/>
          <w:sz w:val="15"/>
          <w:szCs w:val="15"/>
          <w:color w:val="auto"/>
        </w:rPr>
      </w:pPr>
    </w:p>
    <w:p>
      <w:pPr>
        <w:ind w:left="5600" w:right="4480" w:hanging="4036"/>
        <w:spacing w:after="0" w:line="553" w:lineRule="auto"/>
        <w:tabs>
          <w:tab w:leader="none" w:pos="1833" w:val="left"/>
        </w:tabs>
        <w:numPr>
          <w:ilvl w:val="0"/>
          <w:numId w:val="65"/>
        </w:numPr>
        <w:rPr>
          <w:rFonts w:ascii="Arial" w:cs="Arial" w:eastAsia="Arial" w:hAnsi="Arial"/>
          <w:sz w:val="13"/>
          <w:szCs w:val="13"/>
          <w:color w:val="auto"/>
        </w:rPr>
      </w:pPr>
      <w:r>
        <w:rPr>
          <w:rFonts w:ascii="Arial" w:cs="Arial" w:eastAsia="Arial" w:hAnsi="Arial"/>
          <w:sz w:val="13"/>
          <w:szCs w:val="13"/>
          <w:color w:val="auto"/>
        </w:rPr>
        <w:t>$12,500 per year for service as a member of the audit committee; 144</w:t>
      </w:r>
    </w:p>
    <w:p>
      <w:pPr>
        <w:sectPr>
          <w:pgSz w:w="11900" w:h="16838" w:orient="portrait"/>
          <w:cols w:equalWidth="0" w:num="1">
            <w:col w:w="10300"/>
          </w:cols>
          <w:pgMar w:left="240" w:top="407" w:right="1359" w:bottom="1440" w:gutter="0" w:footer="0" w:header="0"/>
        </w:sectPr>
      </w:pPr>
    </w:p>
    <w:bookmarkStart w:id="151" w:name="page152"/>
    <w:bookmarkEnd w:id="151"/>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133350</wp:posOffset>
            </wp:positionH>
            <wp:positionV relativeFrom="page">
              <wp:posOffset>88900</wp:posOffset>
            </wp:positionV>
            <wp:extent cx="7308850" cy="3429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308850" cy="34290"/>
                    </a:xfrm>
                    <a:prstGeom prst="rect">
                      <a:avLst/>
                    </a:prstGeom>
                    <a:noFill/>
                  </pic:spPr>
                </pic:pic>
              </a:graphicData>
            </a:graphic>
          </wp:anchor>
        </w:drawing>
      </w:r>
      <w:hyperlink w:anchor="page7">
        <w:r>
          <w:rPr>
            <w:rFonts w:ascii="Arial" w:cs="Arial" w:eastAsia="Arial" w:hAnsi="Arial"/>
            <w:sz w:val="15"/>
            <w:szCs w:val="15"/>
            <w:b w:val="1"/>
            <w:bCs w:val="1"/>
            <w:u w:val="single" w:color="auto"/>
            <w:color w:val="0000EE"/>
          </w:rPr>
          <w:t>Table of Contents</w:t>
        </w:r>
      </w:hyperlink>
    </w:p>
    <w:p>
      <w:pPr>
        <w:spacing w:after="0" w:line="260" w:lineRule="exact"/>
        <w:rPr>
          <w:sz w:val="20"/>
          <w:szCs w:val="20"/>
          <w:color w:val="auto"/>
        </w:rPr>
      </w:pPr>
    </w:p>
    <w:p>
      <w:pPr>
        <w:ind w:left="1840" w:hanging="276"/>
        <w:spacing w:after="0"/>
        <w:tabs>
          <w:tab w:leader="none" w:pos="1840" w:val="left"/>
        </w:tabs>
        <w:numPr>
          <w:ilvl w:val="0"/>
          <w:numId w:val="66"/>
        </w:numPr>
        <w:rPr>
          <w:rFonts w:ascii="Arial" w:cs="Arial" w:eastAsia="Arial" w:hAnsi="Arial"/>
          <w:sz w:val="15"/>
          <w:szCs w:val="15"/>
          <w:color w:val="auto"/>
        </w:rPr>
      </w:pPr>
      <w:r>
        <w:rPr>
          <w:rFonts w:ascii="Arial" w:cs="Arial" w:eastAsia="Arial" w:hAnsi="Arial"/>
          <w:sz w:val="15"/>
          <w:szCs w:val="15"/>
          <w:color w:val="auto"/>
        </w:rPr>
        <w:t>$20,000 per year for service as chair of the compensation committee;</w:t>
      </w:r>
    </w:p>
    <w:p>
      <w:pPr>
        <w:spacing w:after="0" w:line="109" w:lineRule="exact"/>
        <w:rPr>
          <w:rFonts w:ascii="Arial" w:cs="Arial" w:eastAsia="Arial" w:hAnsi="Arial"/>
          <w:sz w:val="15"/>
          <w:szCs w:val="15"/>
          <w:color w:val="auto"/>
        </w:rPr>
      </w:pPr>
    </w:p>
    <w:p>
      <w:pPr>
        <w:ind w:left="1840" w:hanging="276"/>
        <w:spacing w:after="0"/>
        <w:tabs>
          <w:tab w:leader="none" w:pos="1840" w:val="left"/>
        </w:tabs>
        <w:numPr>
          <w:ilvl w:val="0"/>
          <w:numId w:val="66"/>
        </w:numPr>
        <w:rPr>
          <w:rFonts w:ascii="Arial" w:cs="Arial" w:eastAsia="Arial" w:hAnsi="Arial"/>
          <w:sz w:val="15"/>
          <w:szCs w:val="15"/>
          <w:color w:val="auto"/>
        </w:rPr>
      </w:pPr>
      <w:r>
        <w:rPr>
          <w:rFonts w:ascii="Arial" w:cs="Arial" w:eastAsia="Arial" w:hAnsi="Arial"/>
          <w:sz w:val="15"/>
          <w:szCs w:val="15"/>
          <w:color w:val="auto"/>
        </w:rPr>
        <w:t>$10,000 per year for service as a member of the compensation committee;</w:t>
      </w:r>
    </w:p>
    <w:p>
      <w:pPr>
        <w:spacing w:after="0" w:line="109" w:lineRule="exact"/>
        <w:rPr>
          <w:rFonts w:ascii="Arial" w:cs="Arial" w:eastAsia="Arial" w:hAnsi="Arial"/>
          <w:sz w:val="15"/>
          <w:szCs w:val="15"/>
          <w:color w:val="auto"/>
        </w:rPr>
      </w:pPr>
    </w:p>
    <w:p>
      <w:pPr>
        <w:ind w:left="1840" w:hanging="276"/>
        <w:spacing w:after="0"/>
        <w:tabs>
          <w:tab w:leader="none" w:pos="1840" w:val="left"/>
        </w:tabs>
        <w:numPr>
          <w:ilvl w:val="0"/>
          <w:numId w:val="66"/>
        </w:numPr>
        <w:rPr>
          <w:rFonts w:ascii="Arial" w:cs="Arial" w:eastAsia="Arial" w:hAnsi="Arial"/>
          <w:sz w:val="15"/>
          <w:szCs w:val="15"/>
          <w:color w:val="auto"/>
        </w:rPr>
      </w:pPr>
      <w:r>
        <w:rPr>
          <w:rFonts w:ascii="Arial" w:cs="Arial" w:eastAsia="Arial" w:hAnsi="Arial"/>
          <w:sz w:val="15"/>
          <w:szCs w:val="15"/>
          <w:color w:val="auto"/>
        </w:rPr>
        <w:t>$10,000 per year for service as chair of the nominating and governance committee; and</w:t>
      </w:r>
    </w:p>
    <w:p>
      <w:pPr>
        <w:spacing w:after="0" w:line="109" w:lineRule="exact"/>
        <w:rPr>
          <w:rFonts w:ascii="Arial" w:cs="Arial" w:eastAsia="Arial" w:hAnsi="Arial"/>
          <w:sz w:val="15"/>
          <w:szCs w:val="15"/>
          <w:color w:val="auto"/>
        </w:rPr>
      </w:pPr>
    </w:p>
    <w:p>
      <w:pPr>
        <w:ind w:left="1840" w:hanging="276"/>
        <w:spacing w:after="0"/>
        <w:tabs>
          <w:tab w:leader="none" w:pos="1840" w:val="left"/>
        </w:tabs>
        <w:numPr>
          <w:ilvl w:val="0"/>
          <w:numId w:val="66"/>
        </w:numPr>
        <w:rPr>
          <w:rFonts w:ascii="Arial" w:cs="Arial" w:eastAsia="Arial" w:hAnsi="Arial"/>
          <w:sz w:val="15"/>
          <w:szCs w:val="15"/>
          <w:color w:val="auto"/>
        </w:rPr>
      </w:pPr>
      <w:r>
        <w:rPr>
          <w:rFonts w:ascii="Arial" w:cs="Arial" w:eastAsia="Arial" w:hAnsi="Arial"/>
          <w:sz w:val="15"/>
          <w:szCs w:val="15"/>
          <w:color w:val="auto"/>
        </w:rPr>
        <w:t>$5,000 per year for service as a member of the nominating and governance committee.</w:t>
      </w:r>
    </w:p>
    <w:p>
      <w:pPr>
        <w:spacing w:after="0" w:line="188" w:lineRule="exact"/>
        <w:rPr>
          <w:sz w:val="20"/>
          <w:szCs w:val="20"/>
          <w:color w:val="auto"/>
        </w:rPr>
      </w:pPr>
    </w:p>
    <w:p>
      <w:pPr>
        <w:jc w:val="both"/>
        <w:ind w:left="1120" w:right="140" w:firstLine="368"/>
        <w:spacing w:after="0" w:line="354" w:lineRule="auto"/>
        <w:rPr>
          <w:sz w:val="20"/>
          <w:szCs w:val="20"/>
          <w:color w:val="auto"/>
        </w:rPr>
      </w:pPr>
      <w:r>
        <w:rPr>
          <w:rFonts w:ascii="Arial" w:cs="Arial" w:eastAsia="Arial" w:hAnsi="Arial"/>
          <w:sz w:val="13"/>
          <w:szCs w:val="13"/>
          <w:color w:val="auto"/>
        </w:rPr>
        <w:t>Each non-employee director who serves as the chair of a committee will receive both the additional annual fee as the chair of the committee and the additional annual fee as a member of the committee. All cash payments to non-employee directors are paid quarterly in arrears on a prorated basis.</w:t>
      </w:r>
    </w:p>
    <w:p>
      <w:pPr>
        <w:spacing w:after="0" w:line="191" w:lineRule="exact"/>
        <w:rPr>
          <w:sz w:val="20"/>
          <w:szCs w:val="20"/>
          <w:color w:val="auto"/>
        </w:rPr>
      </w:pPr>
    </w:p>
    <w:p>
      <w:pPr>
        <w:ind w:left="1480"/>
        <w:spacing w:after="0"/>
        <w:rPr>
          <w:sz w:val="20"/>
          <w:szCs w:val="20"/>
          <w:color w:val="auto"/>
        </w:rPr>
      </w:pPr>
      <w:r>
        <w:rPr>
          <w:rFonts w:ascii="Arial" w:cs="Arial" w:eastAsia="Arial" w:hAnsi="Arial"/>
          <w:sz w:val="15"/>
          <w:szCs w:val="15"/>
          <w:b w:val="1"/>
          <w:bCs w:val="1"/>
          <w:i w:val="1"/>
          <w:iCs w:val="1"/>
          <w:color w:val="auto"/>
        </w:rPr>
        <w:t>Equity Compensation</w:t>
      </w:r>
    </w:p>
    <w:p>
      <w:pPr>
        <w:spacing w:after="0" w:line="98" w:lineRule="exact"/>
        <w:rPr>
          <w:sz w:val="20"/>
          <w:szCs w:val="20"/>
          <w:color w:val="auto"/>
        </w:rPr>
      </w:pPr>
    </w:p>
    <w:p>
      <w:pPr>
        <w:ind w:left="1120" w:firstLine="368"/>
        <w:spacing w:after="0" w:line="274" w:lineRule="auto"/>
        <w:rPr>
          <w:sz w:val="20"/>
          <w:szCs w:val="20"/>
          <w:color w:val="auto"/>
        </w:rPr>
      </w:pPr>
      <w:r>
        <w:rPr>
          <w:rFonts w:ascii="Arial" w:cs="Arial" w:eastAsia="Arial" w:hAnsi="Arial"/>
          <w:sz w:val="14"/>
          <w:szCs w:val="14"/>
          <w:i w:val="1"/>
          <w:iCs w:val="1"/>
          <w:color w:val="auto"/>
        </w:rPr>
        <w:t xml:space="preserve">Initial Award. </w:t>
      </w:r>
      <w:r>
        <w:rPr>
          <w:rFonts w:ascii="Arial" w:cs="Arial" w:eastAsia="Arial" w:hAnsi="Arial"/>
          <w:sz w:val="14"/>
          <w:szCs w:val="14"/>
          <w:color w:val="auto"/>
        </w:rPr>
        <w:t>Each person who first becomes a non-employee director will receive, on the first trading date on or after the date on which the</w:t>
      </w:r>
      <w:r>
        <w:rPr>
          <w:rFonts w:ascii="Arial" w:cs="Arial" w:eastAsia="Arial" w:hAnsi="Arial"/>
          <w:sz w:val="14"/>
          <w:szCs w:val="14"/>
          <w:i w:val="1"/>
          <w:iCs w:val="1"/>
          <w:color w:val="auto"/>
        </w:rPr>
        <w:t xml:space="preserve"> </w:t>
      </w:r>
      <w:r>
        <w:rPr>
          <w:rFonts w:ascii="Arial" w:cs="Arial" w:eastAsia="Arial" w:hAnsi="Arial"/>
          <w:sz w:val="14"/>
          <w:szCs w:val="14"/>
          <w:color w:val="auto"/>
        </w:rPr>
        <w:t>person first becomes an non-employee director, an initial award of RSUs, or the Initial Award, covering a number of shares of our Class A common stock having a grant date fair value (determined in accordance with GAAP) equal to $300,000 multiplied by the fraction obtained by dividing (1) the number of full months during the period beginning on the date the person first becomes a non-employee director and ending on the one-year anniversary of the date of the then-most recent annual meeting of the company’s stockholders, or the Initial Award Vesting Period by (2) 12, rounded to the nearest whole share. The Initial Award will vest on the last day of the Initial Award Vesting Period or, if earlier, on the day before the annual meeting of our stockholders that follows the grant date of the Initial Award, subject to the non-employee director continuing to provide services to us through the applicable vesting date. If the person was a member of the Board of Directors and also an employee, becoming a non-employee director due to termination of employment will not entitle the non-employee director to an Initial Award.</w:t>
      </w:r>
    </w:p>
    <w:p>
      <w:pPr>
        <w:spacing w:after="0" w:line="150" w:lineRule="exact"/>
        <w:rPr>
          <w:sz w:val="20"/>
          <w:szCs w:val="20"/>
          <w:color w:val="auto"/>
        </w:rPr>
      </w:pPr>
    </w:p>
    <w:p>
      <w:pPr>
        <w:ind w:left="1120" w:right="100" w:firstLine="368"/>
        <w:spacing w:after="0" w:line="255" w:lineRule="auto"/>
        <w:rPr>
          <w:sz w:val="20"/>
          <w:szCs w:val="20"/>
          <w:color w:val="auto"/>
        </w:rPr>
      </w:pPr>
      <w:r>
        <w:rPr>
          <w:rFonts w:ascii="Arial" w:cs="Arial" w:eastAsia="Arial" w:hAnsi="Arial"/>
          <w:sz w:val="15"/>
          <w:szCs w:val="15"/>
          <w:i w:val="1"/>
          <w:iCs w:val="1"/>
          <w:color w:val="auto"/>
        </w:rPr>
        <w:t xml:space="preserve">Annual Award. </w:t>
      </w:r>
      <w:r>
        <w:rPr>
          <w:rFonts w:ascii="Arial" w:cs="Arial" w:eastAsia="Arial" w:hAnsi="Arial"/>
          <w:sz w:val="15"/>
          <w:szCs w:val="15"/>
          <w:color w:val="auto"/>
        </w:rPr>
        <w:t>Each non-employee director automatically will receive, on the date of each annual meeting of the Company’s stockholders</w:t>
      </w:r>
      <w:r>
        <w:rPr>
          <w:rFonts w:ascii="Arial" w:cs="Arial" w:eastAsia="Arial" w:hAnsi="Arial"/>
          <w:sz w:val="15"/>
          <w:szCs w:val="15"/>
          <w:i w:val="1"/>
          <w:iCs w:val="1"/>
          <w:color w:val="auto"/>
        </w:rPr>
        <w:t xml:space="preserve"> </w:t>
      </w:r>
      <w:r>
        <w:rPr>
          <w:rFonts w:ascii="Arial" w:cs="Arial" w:eastAsia="Arial" w:hAnsi="Arial"/>
          <w:sz w:val="15"/>
          <w:szCs w:val="15"/>
          <w:color w:val="auto"/>
        </w:rPr>
        <w:t>following the effective date of the policy, an annual award of RSUs, each of which we refer to as an Annual Award, covering a number of shares of our Class A common stock having a grant date fair value (determined in accordance with GAAP) of $300,000, rounded to the nearest whole share. The Annual Award will vest on the one-year anniversary of the grant date of the Annual Award or, if earlier, the day before our annual meeting of stockholders that follows the grant date of the Annual Award, subject to the non-employee director continuing to provide services to us through the applicable vesting date</w:t>
      </w:r>
    </w:p>
    <w:p>
      <w:pPr>
        <w:spacing w:after="0" w:line="164" w:lineRule="exact"/>
        <w:rPr>
          <w:sz w:val="20"/>
          <w:szCs w:val="20"/>
          <w:color w:val="auto"/>
        </w:rPr>
      </w:pPr>
    </w:p>
    <w:p>
      <w:pPr>
        <w:jc w:val="both"/>
        <w:ind w:left="1120" w:right="100" w:firstLine="368"/>
        <w:spacing w:after="0" w:line="263" w:lineRule="auto"/>
        <w:rPr>
          <w:sz w:val="20"/>
          <w:szCs w:val="20"/>
          <w:color w:val="auto"/>
        </w:rPr>
      </w:pPr>
      <w:r>
        <w:rPr>
          <w:rFonts w:ascii="Arial" w:cs="Arial" w:eastAsia="Arial" w:hAnsi="Arial"/>
          <w:sz w:val="15"/>
          <w:szCs w:val="15"/>
          <w:color w:val="auto"/>
        </w:rPr>
        <w:t>In the event of a “change in control” (as defined in our 2018 Plan), each non-employee director will fully vest in his or her outstanding company equity awards, including any Initial Award or Annual Award, provided that the non-employee director continues to be a non-employee director through such date.</w:t>
      </w:r>
    </w:p>
    <w:p>
      <w:pPr>
        <w:spacing w:after="0" w:line="98" w:lineRule="exact"/>
        <w:rPr>
          <w:sz w:val="20"/>
          <w:szCs w:val="20"/>
          <w:color w:val="auto"/>
        </w:rPr>
      </w:pPr>
    </w:p>
    <w:p>
      <w:pPr>
        <w:ind w:left="5600"/>
        <w:spacing w:after="0"/>
        <w:rPr>
          <w:sz w:val="20"/>
          <w:szCs w:val="20"/>
          <w:color w:val="auto"/>
        </w:rPr>
      </w:pPr>
      <w:r>
        <w:rPr>
          <w:rFonts w:ascii="Arial" w:cs="Arial" w:eastAsia="Arial" w:hAnsi="Arial"/>
          <w:sz w:val="15"/>
          <w:szCs w:val="15"/>
          <w:color w:val="auto"/>
        </w:rPr>
        <w:t>145</w:t>
      </w:r>
    </w:p>
    <w:p>
      <w:pPr>
        <w:sectPr>
          <w:pgSz w:w="11900" w:h="16838" w:orient="portrait"/>
          <w:cols w:equalWidth="0" w:num="1">
            <w:col w:w="10300"/>
          </w:cols>
          <w:pgMar w:left="240" w:top="407" w:right="1359" w:bottom="1440" w:gutter="0" w:footer="0" w:header="0"/>
        </w:sectPr>
      </w:pPr>
    </w:p>
    <w:bookmarkStart w:id="152" w:name="page153"/>
    <w:bookmarkEnd w:id="152"/>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133350</wp:posOffset>
            </wp:positionH>
            <wp:positionV relativeFrom="page">
              <wp:posOffset>88900</wp:posOffset>
            </wp:positionV>
            <wp:extent cx="7308850" cy="3429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308850" cy="34290"/>
                    </a:xfrm>
                    <a:prstGeom prst="rect">
                      <a:avLst/>
                    </a:prstGeom>
                    <a:noFill/>
                  </pic:spPr>
                </pic:pic>
              </a:graphicData>
            </a:graphic>
          </wp:anchor>
        </w:drawing>
      </w:r>
      <w:hyperlink w:anchor="page7">
        <w:r>
          <w:rPr>
            <w:rFonts w:ascii="Arial" w:cs="Arial" w:eastAsia="Arial" w:hAnsi="Arial"/>
            <w:sz w:val="15"/>
            <w:szCs w:val="15"/>
            <w:b w:val="1"/>
            <w:bCs w:val="1"/>
            <w:u w:val="single" w:color="auto"/>
            <w:color w:val="0000EE"/>
          </w:rPr>
          <w:t>Table of Contents</w:t>
        </w:r>
      </w:hyperlink>
    </w:p>
    <w:p>
      <w:pPr>
        <w:spacing w:after="0" w:line="256" w:lineRule="exact"/>
        <w:rPr>
          <w:sz w:val="20"/>
          <w:szCs w:val="20"/>
          <w:color w:val="auto"/>
        </w:rPr>
      </w:pPr>
    </w:p>
    <w:p>
      <w:pPr>
        <w:ind w:left="4640"/>
        <w:spacing w:after="0"/>
        <w:rPr>
          <w:sz w:val="20"/>
          <w:szCs w:val="20"/>
          <w:color w:val="auto"/>
        </w:rPr>
      </w:pPr>
      <w:r>
        <w:rPr>
          <w:rFonts w:ascii="Arial" w:cs="Arial" w:eastAsia="Arial" w:hAnsi="Arial"/>
          <w:sz w:val="15"/>
          <w:szCs w:val="15"/>
          <w:b w:val="1"/>
          <w:bCs w:val="1"/>
          <w:color w:val="auto"/>
        </w:rPr>
        <w:t>EXECUTIVE COMPENSATION</w:t>
      </w:r>
    </w:p>
    <w:p>
      <w:pPr>
        <w:spacing w:after="0" w:line="188" w:lineRule="exact"/>
        <w:rPr>
          <w:sz w:val="20"/>
          <w:szCs w:val="20"/>
          <w:color w:val="auto"/>
        </w:rPr>
      </w:pPr>
    </w:p>
    <w:p>
      <w:pPr>
        <w:ind w:left="1120"/>
        <w:spacing w:after="0"/>
        <w:rPr>
          <w:sz w:val="20"/>
          <w:szCs w:val="20"/>
          <w:color w:val="auto"/>
        </w:rPr>
      </w:pPr>
      <w:r>
        <w:rPr>
          <w:rFonts w:ascii="Arial" w:cs="Arial" w:eastAsia="Arial" w:hAnsi="Arial"/>
          <w:sz w:val="15"/>
          <w:szCs w:val="15"/>
          <w:b w:val="1"/>
          <w:bCs w:val="1"/>
          <w:color w:val="auto"/>
        </w:rPr>
        <w:t>Summary Compensation Table</w:t>
      </w:r>
    </w:p>
    <w:p>
      <w:pPr>
        <w:spacing w:after="0" w:line="102" w:lineRule="exact"/>
        <w:rPr>
          <w:sz w:val="20"/>
          <w:szCs w:val="20"/>
          <w:color w:val="auto"/>
        </w:rPr>
      </w:pPr>
    </w:p>
    <w:p>
      <w:pPr>
        <w:ind w:left="1480"/>
        <w:spacing w:after="0"/>
        <w:rPr>
          <w:sz w:val="20"/>
          <w:szCs w:val="20"/>
          <w:color w:val="auto"/>
        </w:rPr>
      </w:pPr>
      <w:r>
        <w:rPr>
          <w:rFonts w:ascii="Arial" w:cs="Arial" w:eastAsia="Arial" w:hAnsi="Arial"/>
          <w:sz w:val="14"/>
          <w:szCs w:val="14"/>
          <w:color w:val="auto"/>
        </w:rPr>
        <w:t>Our named executive officers, consisting of our principal executive officer and the next two most highly compensated executive officers, as of</w:t>
      </w:r>
    </w:p>
    <w:p>
      <w:pPr>
        <w:spacing w:after="0" w:line="29" w:lineRule="exact"/>
        <w:rPr>
          <w:sz w:val="20"/>
          <w:szCs w:val="20"/>
          <w:color w:val="auto"/>
        </w:rPr>
      </w:pPr>
    </w:p>
    <w:p>
      <w:pPr>
        <w:ind w:left="1120"/>
        <w:spacing w:after="0"/>
        <w:rPr>
          <w:sz w:val="20"/>
          <w:szCs w:val="20"/>
          <w:color w:val="auto"/>
        </w:rPr>
      </w:pPr>
      <w:r>
        <w:rPr>
          <w:rFonts w:ascii="Arial" w:cs="Arial" w:eastAsia="Arial" w:hAnsi="Arial"/>
          <w:sz w:val="15"/>
          <w:szCs w:val="15"/>
          <w:color w:val="auto"/>
        </w:rPr>
        <w:t>December 31, 2017, were:</w:t>
      </w:r>
    </w:p>
    <w:p>
      <w:pPr>
        <w:spacing w:after="0" w:line="100" w:lineRule="exact"/>
        <w:rPr>
          <w:sz w:val="20"/>
          <w:szCs w:val="20"/>
          <w:color w:val="auto"/>
        </w:rPr>
      </w:pPr>
    </w:p>
    <w:p>
      <w:pPr>
        <w:ind w:left="1840" w:hanging="276"/>
        <w:spacing w:after="0"/>
        <w:tabs>
          <w:tab w:leader="none" w:pos="1840" w:val="left"/>
        </w:tabs>
        <w:numPr>
          <w:ilvl w:val="0"/>
          <w:numId w:val="67"/>
        </w:numPr>
        <w:rPr>
          <w:rFonts w:ascii="Arial" w:cs="Arial" w:eastAsia="Arial" w:hAnsi="Arial"/>
          <w:sz w:val="15"/>
          <w:szCs w:val="15"/>
          <w:color w:val="auto"/>
        </w:rPr>
      </w:pPr>
      <w:r>
        <w:rPr>
          <w:rFonts w:ascii="Arial" w:cs="Arial" w:eastAsia="Arial" w:hAnsi="Arial"/>
          <w:sz w:val="15"/>
          <w:szCs w:val="15"/>
          <w:color w:val="auto"/>
        </w:rPr>
        <w:t>Andrew W. Houston, our Chief Executive Officer and co-founder;</w:t>
      </w:r>
    </w:p>
    <w:p>
      <w:pPr>
        <w:spacing w:after="0" w:line="109" w:lineRule="exact"/>
        <w:rPr>
          <w:rFonts w:ascii="Arial" w:cs="Arial" w:eastAsia="Arial" w:hAnsi="Arial"/>
          <w:sz w:val="15"/>
          <w:szCs w:val="15"/>
          <w:color w:val="auto"/>
        </w:rPr>
      </w:pPr>
    </w:p>
    <w:p>
      <w:pPr>
        <w:ind w:left="1840" w:hanging="276"/>
        <w:spacing w:after="0"/>
        <w:tabs>
          <w:tab w:leader="none" w:pos="1840" w:val="left"/>
        </w:tabs>
        <w:numPr>
          <w:ilvl w:val="0"/>
          <w:numId w:val="67"/>
        </w:numPr>
        <w:rPr>
          <w:rFonts w:ascii="Arial" w:cs="Arial" w:eastAsia="Arial" w:hAnsi="Arial"/>
          <w:sz w:val="15"/>
          <w:szCs w:val="15"/>
          <w:color w:val="auto"/>
        </w:rPr>
      </w:pPr>
      <w:r>
        <w:rPr>
          <w:rFonts w:ascii="Arial" w:cs="Arial" w:eastAsia="Arial" w:hAnsi="Arial"/>
          <w:sz w:val="15"/>
          <w:szCs w:val="15"/>
          <w:color w:val="auto"/>
        </w:rPr>
        <w:t>Arash Ferdowsi, our co-founder; and</w:t>
      </w:r>
    </w:p>
    <w:p>
      <w:pPr>
        <w:spacing w:after="0" w:line="109" w:lineRule="exact"/>
        <w:rPr>
          <w:rFonts w:ascii="Arial" w:cs="Arial" w:eastAsia="Arial" w:hAnsi="Arial"/>
          <w:sz w:val="15"/>
          <w:szCs w:val="15"/>
          <w:color w:val="auto"/>
        </w:rPr>
      </w:pPr>
    </w:p>
    <w:p>
      <w:pPr>
        <w:ind w:left="1840" w:hanging="276"/>
        <w:spacing w:after="0"/>
        <w:tabs>
          <w:tab w:leader="none" w:pos="1840" w:val="left"/>
        </w:tabs>
        <w:numPr>
          <w:ilvl w:val="0"/>
          <w:numId w:val="67"/>
        </w:numPr>
        <w:rPr>
          <w:rFonts w:ascii="Arial" w:cs="Arial" w:eastAsia="Arial" w:hAnsi="Arial"/>
          <w:sz w:val="15"/>
          <w:szCs w:val="15"/>
          <w:color w:val="auto"/>
        </w:rPr>
      </w:pPr>
      <w:r>
        <w:rPr>
          <w:rFonts w:ascii="Arial" w:cs="Arial" w:eastAsia="Arial" w:hAnsi="Arial"/>
          <w:sz w:val="15"/>
          <w:szCs w:val="15"/>
          <w:color w:val="auto"/>
        </w:rPr>
        <w:t>Quentin J. Clark, our Senior Vice President of Engineering, Product, and Design.</w:t>
      </w:r>
    </w:p>
    <w:p>
      <w:pPr>
        <w:spacing w:after="0" w:line="188" w:lineRule="exact"/>
        <w:rPr>
          <w:sz w:val="20"/>
          <w:szCs w:val="20"/>
          <w:color w:val="auto"/>
        </w:rPr>
      </w:pPr>
    </w:p>
    <w:p>
      <w:pPr>
        <w:ind w:left="1480"/>
        <w:spacing w:after="0"/>
        <w:rPr>
          <w:sz w:val="20"/>
          <w:szCs w:val="20"/>
          <w:color w:val="auto"/>
        </w:rPr>
      </w:pPr>
      <w:r>
        <w:rPr>
          <w:rFonts w:ascii="Arial" w:cs="Arial" w:eastAsia="Arial" w:hAnsi="Arial"/>
          <w:sz w:val="15"/>
          <w:szCs w:val="15"/>
          <w:color w:val="auto"/>
        </w:rPr>
        <w:t>The amounts below represent the compensation paid to our named executive officers for 2017.</w:t>
      </w:r>
    </w:p>
    <w:p>
      <w:pPr>
        <w:spacing w:after="0" w:line="275" w:lineRule="exact"/>
        <w:rPr>
          <w:sz w:val="20"/>
          <w:szCs w:val="20"/>
          <w:color w:val="auto"/>
        </w:rPr>
      </w:pPr>
    </w:p>
    <w:p>
      <w:pPr>
        <w:ind w:left="4540"/>
        <w:spacing w:after="0"/>
        <w:rPr>
          <w:sz w:val="20"/>
          <w:szCs w:val="20"/>
          <w:color w:val="auto"/>
        </w:rPr>
      </w:pPr>
      <w:r>
        <w:rPr>
          <w:rFonts w:ascii="Arial" w:cs="Arial" w:eastAsia="Arial" w:hAnsi="Arial"/>
          <w:sz w:val="15"/>
          <w:szCs w:val="15"/>
          <w:b w:val="1"/>
          <w:bCs w:val="1"/>
          <w:color w:val="auto"/>
        </w:rPr>
        <w:t>2017 Summary Compensation Table</w:t>
      </w:r>
    </w:p>
    <w:p>
      <w:pPr>
        <w:spacing w:after="0" w:line="196" w:lineRule="exact"/>
        <w:rPr>
          <w:sz w:val="20"/>
          <w:szCs w:val="20"/>
          <w:color w:val="auto"/>
        </w:rPr>
      </w:pPr>
    </w:p>
    <w:tbl>
      <w:tblPr>
        <w:tblLayout w:type="fixed"/>
        <w:tblInd w:w="1120" w:type="dxa"/>
        <w:tblCellMar>
          <w:top w:w="0" w:type="dxa"/>
          <w:left w:w="0" w:type="dxa"/>
          <w:bottom w:w="0" w:type="dxa"/>
          <w:right w:w="0" w:type="dxa"/>
        </w:tblCellMar>
      </w:tblPr>
      <w:tr>
        <w:trPr>
          <w:trHeight w:val="126"/>
        </w:trPr>
        <w:tc>
          <w:tcPr>
            <w:tcW w:w="2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3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jc w:val="center"/>
              <w:spacing w:after="0"/>
              <w:rPr>
                <w:sz w:val="20"/>
                <w:szCs w:val="20"/>
                <w:color w:val="auto"/>
              </w:rPr>
            </w:pPr>
            <w:r>
              <w:rPr>
                <w:rFonts w:ascii="Arial" w:cs="Arial" w:eastAsia="Arial" w:hAnsi="Arial"/>
                <w:sz w:val="11"/>
                <w:szCs w:val="11"/>
                <w:b w:val="1"/>
                <w:bCs w:val="1"/>
                <w:color w:val="auto"/>
                <w:w w:val="86"/>
              </w:rPr>
              <w:t>Non-equity</w:t>
            </w: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1260" w:type="dxa"/>
            <w:vAlign w:val="bottom"/>
          </w:tcPr>
          <w:p>
            <w:pPr>
              <w:spacing w:after="0"/>
              <w:rPr>
                <w:sz w:val="9"/>
                <w:szCs w:val="9"/>
                <w:color w:val="auto"/>
              </w:rPr>
            </w:pPr>
          </w:p>
        </w:tc>
        <w:tc>
          <w:tcPr>
            <w:tcW w:w="3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80" w:type="dxa"/>
            <w:vAlign w:val="bottom"/>
          </w:tcPr>
          <w:p>
            <w:pPr>
              <w:spacing w:after="0"/>
              <w:rPr>
                <w:sz w:val="9"/>
                <w:szCs w:val="9"/>
                <w:color w:val="auto"/>
              </w:rPr>
            </w:pPr>
          </w:p>
        </w:tc>
        <w:tc>
          <w:tcPr>
            <w:tcW w:w="120" w:type="dxa"/>
            <w:vAlign w:val="bottom"/>
          </w:tcPr>
          <w:p>
            <w:pPr>
              <w:spacing w:after="0"/>
              <w:rPr>
                <w:sz w:val="9"/>
                <w:szCs w:val="9"/>
                <w:color w:val="auto"/>
              </w:rPr>
            </w:pPr>
          </w:p>
        </w:tc>
        <w:tc>
          <w:tcPr>
            <w:tcW w:w="42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Pr>
          <w:p>
            <w:pPr>
              <w:spacing w:after="0"/>
              <w:rPr>
                <w:sz w:val="9"/>
                <w:szCs w:val="9"/>
                <w:color w:val="auto"/>
              </w:rPr>
            </w:pPr>
          </w:p>
        </w:tc>
        <w:tc>
          <w:tcPr>
            <w:tcW w:w="200" w:type="dxa"/>
            <w:vAlign w:val="bottom"/>
          </w:tcPr>
          <w:p>
            <w:pPr>
              <w:spacing w:after="0"/>
              <w:rPr>
                <w:sz w:val="9"/>
                <w:szCs w:val="9"/>
                <w:color w:val="auto"/>
              </w:rPr>
            </w:pPr>
          </w:p>
        </w:tc>
        <w:tc>
          <w:tcPr>
            <w:tcW w:w="640" w:type="dxa"/>
            <w:vAlign w:val="bottom"/>
          </w:tcPr>
          <w:p>
            <w:pPr>
              <w:spacing w:after="0"/>
              <w:rPr>
                <w:sz w:val="9"/>
                <w:szCs w:val="9"/>
                <w:color w:val="auto"/>
              </w:rPr>
            </w:pPr>
          </w:p>
        </w:tc>
        <w:tc>
          <w:tcPr>
            <w:tcW w:w="180" w:type="dxa"/>
            <w:vAlign w:val="bottom"/>
          </w:tcPr>
          <w:p>
            <w:pPr>
              <w:spacing w:after="0"/>
              <w:rPr>
                <w:sz w:val="9"/>
                <w:szCs w:val="9"/>
                <w:color w:val="auto"/>
              </w:rPr>
            </w:pPr>
          </w:p>
        </w:tc>
        <w:tc>
          <w:tcPr>
            <w:tcW w:w="60" w:type="dxa"/>
            <w:vAlign w:val="bottom"/>
          </w:tcPr>
          <w:p>
            <w:pPr>
              <w:spacing w:after="0"/>
              <w:rPr>
                <w:sz w:val="9"/>
                <w:szCs w:val="9"/>
                <w:color w:val="auto"/>
              </w:rPr>
            </w:pPr>
          </w:p>
        </w:tc>
        <w:tc>
          <w:tcPr>
            <w:tcW w:w="620" w:type="dxa"/>
            <w:vAlign w:val="bottom"/>
          </w:tcPr>
          <w:p>
            <w:pPr>
              <w:jc w:val="center"/>
              <w:spacing w:after="0" w:line="113" w:lineRule="exact"/>
              <w:rPr>
                <w:sz w:val="20"/>
                <w:szCs w:val="20"/>
                <w:color w:val="auto"/>
              </w:rPr>
            </w:pPr>
            <w:r>
              <w:rPr>
                <w:rFonts w:ascii="Arial" w:cs="Arial" w:eastAsia="Arial" w:hAnsi="Arial"/>
                <w:sz w:val="11"/>
                <w:szCs w:val="11"/>
                <w:b w:val="1"/>
                <w:bCs w:val="1"/>
                <w:color w:val="auto"/>
                <w:w w:val="83"/>
              </w:rPr>
              <w:t>incentive</w:t>
            </w:r>
          </w:p>
        </w:tc>
        <w:tc>
          <w:tcPr>
            <w:tcW w:w="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2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1260" w:type="dxa"/>
            <w:vAlign w:val="bottom"/>
          </w:tcPr>
          <w:p>
            <w:pPr>
              <w:spacing w:after="0"/>
              <w:rPr>
                <w:sz w:val="9"/>
                <w:szCs w:val="9"/>
                <w:color w:val="auto"/>
              </w:rPr>
            </w:pPr>
          </w:p>
        </w:tc>
        <w:tc>
          <w:tcPr>
            <w:tcW w:w="3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80" w:type="dxa"/>
            <w:vAlign w:val="bottom"/>
          </w:tcPr>
          <w:p>
            <w:pPr>
              <w:spacing w:after="0"/>
              <w:rPr>
                <w:sz w:val="9"/>
                <w:szCs w:val="9"/>
                <w:color w:val="auto"/>
              </w:rPr>
            </w:pPr>
          </w:p>
        </w:tc>
        <w:tc>
          <w:tcPr>
            <w:tcW w:w="120" w:type="dxa"/>
            <w:vAlign w:val="bottom"/>
          </w:tcPr>
          <w:p>
            <w:pPr>
              <w:spacing w:after="0"/>
              <w:rPr>
                <w:sz w:val="9"/>
                <w:szCs w:val="9"/>
                <w:color w:val="auto"/>
              </w:rPr>
            </w:pPr>
          </w:p>
        </w:tc>
        <w:tc>
          <w:tcPr>
            <w:tcW w:w="42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Pr>
          <w:p>
            <w:pPr>
              <w:spacing w:after="0"/>
              <w:rPr>
                <w:sz w:val="9"/>
                <w:szCs w:val="9"/>
                <w:color w:val="auto"/>
              </w:rPr>
            </w:pPr>
          </w:p>
        </w:tc>
        <w:tc>
          <w:tcPr>
            <w:tcW w:w="200" w:type="dxa"/>
            <w:vAlign w:val="bottom"/>
          </w:tcPr>
          <w:p>
            <w:pPr>
              <w:spacing w:after="0"/>
              <w:rPr>
                <w:sz w:val="9"/>
                <w:szCs w:val="9"/>
                <w:color w:val="auto"/>
              </w:rPr>
            </w:pPr>
          </w:p>
        </w:tc>
        <w:tc>
          <w:tcPr>
            <w:tcW w:w="640" w:type="dxa"/>
            <w:vAlign w:val="bottom"/>
          </w:tcPr>
          <w:p>
            <w:pPr>
              <w:spacing w:after="0"/>
              <w:rPr>
                <w:sz w:val="9"/>
                <w:szCs w:val="9"/>
                <w:color w:val="auto"/>
              </w:rPr>
            </w:pPr>
          </w:p>
        </w:tc>
        <w:tc>
          <w:tcPr>
            <w:tcW w:w="180" w:type="dxa"/>
            <w:vAlign w:val="bottom"/>
          </w:tcPr>
          <w:p>
            <w:pPr>
              <w:spacing w:after="0"/>
              <w:rPr>
                <w:sz w:val="9"/>
                <w:szCs w:val="9"/>
                <w:color w:val="auto"/>
              </w:rPr>
            </w:pPr>
          </w:p>
        </w:tc>
        <w:tc>
          <w:tcPr>
            <w:tcW w:w="60" w:type="dxa"/>
            <w:vAlign w:val="bottom"/>
          </w:tcPr>
          <w:p>
            <w:pPr>
              <w:spacing w:after="0"/>
              <w:rPr>
                <w:sz w:val="9"/>
                <w:szCs w:val="9"/>
                <w:color w:val="auto"/>
              </w:rPr>
            </w:pPr>
          </w:p>
        </w:tc>
        <w:tc>
          <w:tcPr>
            <w:tcW w:w="620" w:type="dxa"/>
            <w:vAlign w:val="bottom"/>
          </w:tcPr>
          <w:p>
            <w:pPr>
              <w:jc w:val="center"/>
              <w:spacing w:after="0" w:line="113" w:lineRule="exact"/>
              <w:rPr>
                <w:sz w:val="20"/>
                <w:szCs w:val="20"/>
                <w:color w:val="auto"/>
              </w:rPr>
            </w:pPr>
            <w:r>
              <w:rPr>
                <w:rFonts w:ascii="Arial" w:cs="Arial" w:eastAsia="Arial" w:hAnsi="Arial"/>
                <w:sz w:val="11"/>
                <w:szCs w:val="11"/>
                <w:b w:val="1"/>
                <w:bCs w:val="1"/>
                <w:color w:val="auto"/>
                <w:w w:val="88"/>
              </w:rPr>
              <w:t>plan</w:t>
            </w:r>
          </w:p>
        </w:tc>
        <w:tc>
          <w:tcPr>
            <w:tcW w:w="140" w:type="dxa"/>
            <w:vAlign w:val="bottom"/>
          </w:tcPr>
          <w:p>
            <w:pPr>
              <w:spacing w:after="0"/>
              <w:rPr>
                <w:sz w:val="9"/>
                <w:szCs w:val="9"/>
                <w:color w:val="auto"/>
              </w:rPr>
            </w:pPr>
          </w:p>
        </w:tc>
        <w:tc>
          <w:tcPr>
            <w:tcW w:w="740" w:type="dxa"/>
            <w:vAlign w:val="bottom"/>
            <w:gridSpan w:val="2"/>
          </w:tcPr>
          <w:p>
            <w:pPr>
              <w:jc w:val="center"/>
              <w:ind w:right="140"/>
              <w:spacing w:after="0" w:line="113" w:lineRule="exact"/>
              <w:rPr>
                <w:sz w:val="20"/>
                <w:szCs w:val="20"/>
                <w:color w:val="auto"/>
              </w:rPr>
            </w:pPr>
            <w:r>
              <w:rPr>
                <w:rFonts w:ascii="Arial" w:cs="Arial" w:eastAsia="Arial" w:hAnsi="Arial"/>
                <w:sz w:val="11"/>
                <w:szCs w:val="11"/>
                <w:b w:val="1"/>
                <w:bCs w:val="1"/>
                <w:color w:val="auto"/>
                <w:w w:val="89"/>
              </w:rPr>
              <w:t>All other</w:t>
            </w:r>
          </w:p>
        </w:tc>
        <w:tc>
          <w:tcPr>
            <w:tcW w:w="62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1260" w:type="dxa"/>
            <w:vAlign w:val="bottom"/>
          </w:tcPr>
          <w:p>
            <w:pPr>
              <w:spacing w:after="0"/>
              <w:rPr>
                <w:sz w:val="9"/>
                <w:szCs w:val="9"/>
                <w:color w:val="auto"/>
              </w:rPr>
            </w:pPr>
          </w:p>
        </w:tc>
        <w:tc>
          <w:tcPr>
            <w:tcW w:w="3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80" w:type="dxa"/>
            <w:vAlign w:val="bottom"/>
          </w:tcPr>
          <w:p>
            <w:pPr>
              <w:spacing w:after="0"/>
              <w:rPr>
                <w:sz w:val="9"/>
                <w:szCs w:val="9"/>
                <w:color w:val="auto"/>
              </w:rPr>
            </w:pPr>
          </w:p>
        </w:tc>
        <w:tc>
          <w:tcPr>
            <w:tcW w:w="120" w:type="dxa"/>
            <w:vAlign w:val="bottom"/>
          </w:tcPr>
          <w:p>
            <w:pPr>
              <w:spacing w:after="0"/>
              <w:rPr>
                <w:sz w:val="9"/>
                <w:szCs w:val="9"/>
                <w:color w:val="auto"/>
              </w:rPr>
            </w:pPr>
          </w:p>
        </w:tc>
        <w:tc>
          <w:tcPr>
            <w:tcW w:w="42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Pr>
          <w:p>
            <w:pPr>
              <w:spacing w:after="0"/>
              <w:rPr>
                <w:sz w:val="9"/>
                <w:szCs w:val="9"/>
                <w:color w:val="auto"/>
              </w:rPr>
            </w:pPr>
          </w:p>
        </w:tc>
        <w:tc>
          <w:tcPr>
            <w:tcW w:w="200" w:type="dxa"/>
            <w:vAlign w:val="bottom"/>
          </w:tcPr>
          <w:p>
            <w:pPr>
              <w:spacing w:after="0"/>
              <w:rPr>
                <w:sz w:val="9"/>
                <w:szCs w:val="9"/>
                <w:color w:val="auto"/>
              </w:rPr>
            </w:pPr>
          </w:p>
        </w:tc>
        <w:tc>
          <w:tcPr>
            <w:tcW w:w="820" w:type="dxa"/>
            <w:vAlign w:val="bottom"/>
            <w:gridSpan w:val="2"/>
          </w:tcPr>
          <w:p>
            <w:pPr>
              <w:jc w:val="right"/>
              <w:ind w:right="334"/>
              <w:spacing w:after="0" w:line="113" w:lineRule="exact"/>
              <w:rPr>
                <w:sz w:val="20"/>
                <w:szCs w:val="20"/>
                <w:color w:val="auto"/>
              </w:rPr>
            </w:pPr>
            <w:r>
              <w:rPr>
                <w:rFonts w:ascii="Arial" w:cs="Arial" w:eastAsia="Arial" w:hAnsi="Arial"/>
                <w:sz w:val="11"/>
                <w:szCs w:val="11"/>
                <w:b w:val="1"/>
                <w:bCs w:val="1"/>
                <w:color w:val="auto"/>
              </w:rPr>
              <w:t>Stock</w:t>
            </w:r>
          </w:p>
        </w:tc>
        <w:tc>
          <w:tcPr>
            <w:tcW w:w="680" w:type="dxa"/>
            <w:vAlign w:val="bottom"/>
            <w:gridSpan w:val="2"/>
          </w:tcPr>
          <w:p>
            <w:pPr>
              <w:jc w:val="center"/>
              <w:ind w:left="4"/>
              <w:spacing w:after="0" w:line="113" w:lineRule="exact"/>
              <w:rPr>
                <w:sz w:val="20"/>
                <w:szCs w:val="20"/>
                <w:color w:val="auto"/>
              </w:rPr>
            </w:pPr>
            <w:r>
              <w:rPr>
                <w:rFonts w:ascii="Arial" w:cs="Arial" w:eastAsia="Arial" w:hAnsi="Arial"/>
                <w:sz w:val="11"/>
                <w:szCs w:val="11"/>
                <w:b w:val="1"/>
                <w:bCs w:val="1"/>
                <w:color w:val="auto"/>
                <w:w w:val="83"/>
              </w:rPr>
              <w:t>compensation</w:t>
            </w:r>
          </w:p>
        </w:tc>
        <w:tc>
          <w:tcPr>
            <w:tcW w:w="880" w:type="dxa"/>
            <w:vAlign w:val="bottom"/>
            <w:gridSpan w:val="3"/>
          </w:tcPr>
          <w:p>
            <w:pPr>
              <w:jc w:val="center"/>
              <w:ind w:right="20"/>
              <w:spacing w:after="0" w:line="113" w:lineRule="exact"/>
              <w:rPr>
                <w:sz w:val="20"/>
                <w:szCs w:val="20"/>
                <w:color w:val="auto"/>
              </w:rPr>
            </w:pPr>
            <w:r>
              <w:rPr>
                <w:rFonts w:ascii="Arial" w:cs="Arial" w:eastAsia="Arial" w:hAnsi="Arial"/>
                <w:sz w:val="11"/>
                <w:szCs w:val="11"/>
                <w:b w:val="1"/>
                <w:bCs w:val="1"/>
                <w:color w:val="auto"/>
                <w:w w:val="83"/>
              </w:rPr>
              <w:t>compensation</w:t>
            </w:r>
          </w:p>
        </w:tc>
        <w:tc>
          <w:tcPr>
            <w:tcW w:w="62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8"/>
        </w:trPr>
        <w:tc>
          <w:tcPr>
            <w:tcW w:w="4540" w:type="dxa"/>
            <w:vAlign w:val="bottom"/>
            <w:gridSpan w:val="3"/>
          </w:tcPr>
          <w:p>
            <w:pPr>
              <w:spacing w:after="0"/>
              <w:rPr>
                <w:sz w:val="20"/>
                <w:szCs w:val="20"/>
                <w:color w:val="auto"/>
              </w:rPr>
            </w:pPr>
            <w:r>
              <w:rPr>
                <w:rFonts w:ascii="Arial" w:cs="Arial" w:eastAsia="Arial" w:hAnsi="Arial"/>
                <w:sz w:val="11"/>
                <w:szCs w:val="11"/>
                <w:b w:val="1"/>
                <w:bCs w:val="1"/>
                <w:color w:val="auto"/>
              </w:rPr>
              <w:t>Name and principal position</w:t>
            </w:r>
          </w:p>
        </w:tc>
        <w:tc>
          <w:tcPr>
            <w:tcW w:w="100" w:type="dxa"/>
            <w:vAlign w:val="bottom"/>
          </w:tcPr>
          <w:p>
            <w:pPr>
              <w:spacing w:after="0"/>
              <w:rPr>
                <w:sz w:val="12"/>
                <w:szCs w:val="12"/>
                <w:color w:val="auto"/>
              </w:rPr>
            </w:pPr>
          </w:p>
        </w:tc>
        <w:tc>
          <w:tcPr>
            <w:tcW w:w="400" w:type="dxa"/>
            <w:vAlign w:val="bottom"/>
            <w:gridSpan w:val="2"/>
          </w:tcPr>
          <w:p>
            <w:pPr>
              <w:ind w:left="20"/>
              <w:spacing w:after="0"/>
              <w:rPr>
                <w:sz w:val="20"/>
                <w:szCs w:val="20"/>
                <w:color w:val="auto"/>
              </w:rPr>
            </w:pPr>
            <w:r>
              <w:rPr>
                <w:rFonts w:ascii="Arial" w:cs="Arial" w:eastAsia="Arial" w:hAnsi="Arial"/>
                <w:sz w:val="11"/>
                <w:szCs w:val="11"/>
                <w:b w:val="1"/>
                <w:bCs w:val="1"/>
                <w:color w:val="auto"/>
              </w:rPr>
              <w:t>Year</w:t>
            </w:r>
          </w:p>
        </w:tc>
        <w:tc>
          <w:tcPr>
            <w:tcW w:w="500" w:type="dxa"/>
            <w:vAlign w:val="bottom"/>
            <w:gridSpan w:val="2"/>
          </w:tcPr>
          <w:p>
            <w:pPr>
              <w:jc w:val="right"/>
              <w:ind w:right="80"/>
              <w:spacing w:after="0"/>
              <w:rPr>
                <w:sz w:val="20"/>
                <w:szCs w:val="20"/>
                <w:color w:val="auto"/>
              </w:rPr>
            </w:pPr>
            <w:r>
              <w:rPr>
                <w:rFonts w:ascii="Arial" w:cs="Arial" w:eastAsia="Arial" w:hAnsi="Arial"/>
                <w:sz w:val="11"/>
                <w:szCs w:val="11"/>
                <w:b w:val="1"/>
                <w:bCs w:val="1"/>
                <w:u w:val="single" w:color="auto"/>
                <w:color w:val="auto"/>
                <w:w w:val="85"/>
              </w:rPr>
              <w:t>Salary($</w:t>
            </w:r>
            <w:r>
              <w:rPr>
                <w:rFonts w:ascii="Arial" w:cs="Arial" w:eastAsia="Arial" w:hAnsi="Arial"/>
                <w:sz w:val="11"/>
                <w:szCs w:val="11"/>
                <w:b w:val="1"/>
                <w:bCs w:val="1"/>
                <w:color w:val="auto"/>
                <w:w w:val="85"/>
              </w:rPr>
              <w:t>)</w:t>
            </w:r>
          </w:p>
        </w:tc>
        <w:tc>
          <w:tcPr>
            <w:tcW w:w="620" w:type="dxa"/>
            <w:vAlign w:val="bottom"/>
            <w:gridSpan w:val="2"/>
          </w:tcPr>
          <w:p>
            <w:pPr>
              <w:spacing w:after="0"/>
              <w:rPr>
                <w:sz w:val="20"/>
                <w:szCs w:val="20"/>
                <w:color w:val="auto"/>
              </w:rPr>
            </w:pPr>
            <w:r>
              <w:rPr>
                <w:rFonts w:ascii="Arial" w:cs="Arial" w:eastAsia="Arial" w:hAnsi="Arial"/>
                <w:sz w:val="11"/>
                <w:szCs w:val="11"/>
                <w:b w:val="1"/>
                <w:bCs w:val="1"/>
                <w:u w:val="single" w:color="auto"/>
                <w:color w:val="auto"/>
              </w:rPr>
              <w:t>Bonus($</w:t>
            </w:r>
            <w:r>
              <w:rPr>
                <w:rFonts w:ascii="Arial" w:cs="Arial" w:eastAsia="Arial" w:hAnsi="Arial"/>
                <w:sz w:val="11"/>
                <w:szCs w:val="11"/>
                <w:b w:val="1"/>
                <w:bCs w:val="1"/>
                <w:color w:val="auto"/>
              </w:rPr>
              <w:t>)</w:t>
            </w:r>
          </w:p>
        </w:tc>
        <w:tc>
          <w:tcPr>
            <w:tcW w:w="820" w:type="dxa"/>
            <w:vAlign w:val="bottom"/>
            <w:gridSpan w:val="2"/>
          </w:tcPr>
          <w:p>
            <w:pPr>
              <w:jc w:val="right"/>
              <w:ind w:right="234"/>
              <w:spacing w:after="0"/>
              <w:rPr>
                <w:sz w:val="20"/>
                <w:szCs w:val="20"/>
                <w:color w:val="auto"/>
              </w:rPr>
            </w:pPr>
            <w:r>
              <w:rPr>
                <w:rFonts w:ascii="Arial" w:cs="Arial" w:eastAsia="Arial" w:hAnsi="Arial"/>
                <w:sz w:val="11"/>
                <w:szCs w:val="11"/>
                <w:b w:val="1"/>
                <w:bCs w:val="1"/>
                <w:color w:val="auto"/>
              </w:rPr>
              <w:t>awards($)</w:t>
            </w:r>
          </w:p>
        </w:tc>
        <w:tc>
          <w:tcPr>
            <w:tcW w:w="680" w:type="dxa"/>
            <w:vAlign w:val="bottom"/>
            <w:gridSpan w:val="2"/>
          </w:tcPr>
          <w:p>
            <w:pPr>
              <w:jc w:val="center"/>
              <w:ind w:left="4"/>
              <w:spacing w:after="0"/>
              <w:rPr>
                <w:sz w:val="20"/>
                <w:szCs w:val="20"/>
                <w:color w:val="auto"/>
              </w:rPr>
            </w:pPr>
            <w:r>
              <w:rPr>
                <w:rFonts w:ascii="Arial" w:cs="Arial" w:eastAsia="Arial" w:hAnsi="Arial"/>
                <w:sz w:val="11"/>
                <w:szCs w:val="11"/>
                <w:b w:val="1"/>
                <w:bCs w:val="1"/>
                <w:color w:val="auto"/>
                <w:w w:val="94"/>
              </w:rPr>
              <w:t>($)</w:t>
            </w:r>
            <w:r>
              <w:rPr>
                <w:rFonts w:ascii="Arial" w:cs="Arial" w:eastAsia="Arial" w:hAnsi="Arial"/>
                <w:sz w:val="8"/>
                <w:szCs w:val="8"/>
                <w:b w:val="1"/>
                <w:bCs w:val="1"/>
                <w:color w:val="auto"/>
                <w:w w:val="94"/>
              </w:rPr>
              <w:t>(1)</w:t>
            </w:r>
          </w:p>
        </w:tc>
        <w:tc>
          <w:tcPr>
            <w:tcW w:w="760" w:type="dxa"/>
            <w:vAlign w:val="bottom"/>
            <w:gridSpan w:val="2"/>
          </w:tcPr>
          <w:p>
            <w:pPr>
              <w:jc w:val="center"/>
              <w:ind w:left="44"/>
              <w:spacing w:after="0"/>
              <w:rPr>
                <w:sz w:val="20"/>
                <w:szCs w:val="20"/>
                <w:color w:val="auto"/>
              </w:rPr>
            </w:pPr>
            <w:r>
              <w:rPr>
                <w:rFonts w:ascii="Arial" w:cs="Arial" w:eastAsia="Arial" w:hAnsi="Arial"/>
                <w:sz w:val="11"/>
                <w:szCs w:val="11"/>
                <w:b w:val="1"/>
                <w:bCs w:val="1"/>
                <w:color w:val="auto"/>
                <w:w w:val="94"/>
              </w:rPr>
              <w:t>($)</w:t>
            </w:r>
            <w:r>
              <w:rPr>
                <w:rFonts w:ascii="Arial" w:cs="Arial" w:eastAsia="Arial" w:hAnsi="Arial"/>
                <w:sz w:val="8"/>
                <w:szCs w:val="8"/>
                <w:b w:val="1"/>
                <w:bCs w:val="1"/>
                <w:color w:val="auto"/>
                <w:w w:val="94"/>
              </w:rPr>
              <w:t>(6)</w:t>
            </w:r>
          </w:p>
        </w:tc>
        <w:tc>
          <w:tcPr>
            <w:tcW w:w="120" w:type="dxa"/>
            <w:vAlign w:val="bottom"/>
          </w:tcPr>
          <w:p>
            <w:pPr>
              <w:spacing w:after="0"/>
              <w:rPr>
                <w:sz w:val="12"/>
                <w:szCs w:val="12"/>
                <w:color w:val="auto"/>
              </w:rPr>
            </w:pPr>
          </w:p>
        </w:tc>
        <w:tc>
          <w:tcPr>
            <w:tcW w:w="660" w:type="dxa"/>
            <w:vAlign w:val="bottom"/>
            <w:gridSpan w:val="2"/>
          </w:tcPr>
          <w:p>
            <w:pPr>
              <w:ind w:left="120"/>
              <w:spacing w:after="0"/>
              <w:rPr>
                <w:sz w:val="20"/>
                <w:szCs w:val="20"/>
                <w:color w:val="auto"/>
              </w:rPr>
            </w:pPr>
            <w:r>
              <w:rPr>
                <w:rFonts w:ascii="Arial" w:cs="Arial" w:eastAsia="Arial" w:hAnsi="Arial"/>
                <w:sz w:val="11"/>
                <w:szCs w:val="11"/>
                <w:b w:val="1"/>
                <w:bCs w:val="1"/>
                <w:color w:val="auto"/>
              </w:rPr>
              <w:t>Total($)</w:t>
            </w: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260" w:type="dxa"/>
            <w:vAlign w:val="bottom"/>
            <w:tcBorders>
              <w:top w:val="single" w:sz="8" w:color="auto"/>
            </w:tcBorders>
            <w:shd w:val="clear" w:color="auto" w:fill="CCEEFF"/>
          </w:tcPr>
          <w:p>
            <w:pPr>
              <w:spacing w:after="0" w:line="80" w:lineRule="exact"/>
              <w:rPr>
                <w:sz w:val="20"/>
                <w:szCs w:val="20"/>
                <w:color w:val="auto"/>
              </w:rPr>
            </w:pPr>
            <w:r>
              <w:rPr>
                <w:rFonts w:ascii="Arial" w:cs="Arial" w:eastAsia="Arial" w:hAnsi="Arial"/>
                <w:sz w:val="9"/>
                <w:szCs w:val="9"/>
                <w:color w:val="auto"/>
              </w:rPr>
              <w:t>Andrew W. Houston</w:t>
            </w:r>
          </w:p>
        </w:tc>
        <w:tc>
          <w:tcPr>
            <w:tcW w:w="326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280" w:type="dxa"/>
            <w:vAlign w:val="bottom"/>
            <w:tcBorders>
              <w:top w:val="single" w:sz="8" w:color="auto"/>
            </w:tcBorders>
            <w:shd w:val="clear" w:color="auto" w:fill="CCEEFF"/>
          </w:tcPr>
          <w:p>
            <w:pPr>
              <w:ind w:left="20"/>
              <w:spacing w:after="0" w:line="80" w:lineRule="exact"/>
              <w:rPr>
                <w:sz w:val="20"/>
                <w:szCs w:val="20"/>
                <w:color w:val="auto"/>
              </w:rPr>
            </w:pPr>
            <w:r>
              <w:rPr>
                <w:rFonts w:ascii="Arial" w:cs="Arial" w:eastAsia="Arial" w:hAnsi="Arial"/>
                <w:sz w:val="9"/>
                <w:szCs w:val="9"/>
                <w:color w:val="auto"/>
              </w:rPr>
              <w:t>2017</w:t>
            </w:r>
          </w:p>
        </w:tc>
        <w:tc>
          <w:tcPr>
            <w:tcW w:w="120" w:type="dxa"/>
            <w:vAlign w:val="bottom"/>
            <w:tcBorders>
              <w:top w:val="single" w:sz="8" w:color="CCEEFF"/>
            </w:tcBorders>
            <w:shd w:val="clear" w:color="auto" w:fill="CCEEFF"/>
          </w:tcPr>
          <w:p>
            <w:pPr>
              <w:spacing w:after="0"/>
              <w:rPr>
                <w:sz w:val="6"/>
                <w:szCs w:val="6"/>
                <w:color w:val="auto"/>
              </w:rPr>
            </w:pPr>
          </w:p>
        </w:tc>
        <w:tc>
          <w:tcPr>
            <w:tcW w:w="420" w:type="dxa"/>
            <w:vAlign w:val="bottom"/>
            <w:tcBorders>
              <w:top w:val="single" w:sz="8" w:color="auto"/>
            </w:tcBorders>
            <w:shd w:val="clear" w:color="auto" w:fill="CCEEFF"/>
          </w:tcPr>
          <w:p>
            <w:pPr>
              <w:jc w:val="right"/>
              <w:spacing w:after="0" w:line="80" w:lineRule="exact"/>
              <w:rPr>
                <w:sz w:val="20"/>
                <w:szCs w:val="20"/>
                <w:color w:val="auto"/>
              </w:rPr>
            </w:pPr>
            <w:r>
              <w:rPr>
                <w:rFonts w:ascii="Arial" w:cs="Arial" w:eastAsia="Arial" w:hAnsi="Arial"/>
                <w:sz w:val="9"/>
                <w:szCs w:val="9"/>
                <w:color w:val="auto"/>
              </w:rPr>
              <w:t>400,000</w:t>
            </w:r>
          </w:p>
        </w:tc>
        <w:tc>
          <w:tcPr>
            <w:tcW w:w="80" w:type="dxa"/>
            <w:vAlign w:val="bottom"/>
            <w:tcBorders>
              <w:top w:val="single" w:sz="8" w:color="CCEEFF"/>
            </w:tcBorders>
            <w:shd w:val="clear" w:color="auto" w:fill="CCEEFF"/>
          </w:tcPr>
          <w:p>
            <w:pPr>
              <w:spacing w:after="0"/>
              <w:rPr>
                <w:sz w:val="6"/>
                <w:szCs w:val="6"/>
                <w:color w:val="auto"/>
              </w:rPr>
            </w:pPr>
          </w:p>
        </w:tc>
        <w:tc>
          <w:tcPr>
            <w:tcW w:w="420" w:type="dxa"/>
            <w:vAlign w:val="bottom"/>
            <w:tcBorders>
              <w:top w:val="single" w:sz="8" w:color="auto"/>
            </w:tcBorders>
            <w:shd w:val="clear" w:color="auto" w:fill="CCEEFF"/>
          </w:tcPr>
          <w:p>
            <w:pPr>
              <w:ind w:left="240"/>
              <w:spacing w:after="0" w:line="80" w:lineRule="exact"/>
              <w:rPr>
                <w:sz w:val="20"/>
                <w:szCs w:val="20"/>
                <w:color w:val="auto"/>
              </w:rPr>
            </w:pPr>
            <w:r>
              <w:rPr>
                <w:rFonts w:ascii="Arial" w:cs="Arial" w:eastAsia="Arial" w:hAnsi="Arial"/>
                <w:sz w:val="9"/>
                <w:szCs w:val="9"/>
                <w:color w:val="auto"/>
              </w:rPr>
              <w:t>—</w:t>
            </w:r>
          </w:p>
        </w:tc>
        <w:tc>
          <w:tcPr>
            <w:tcW w:w="200" w:type="dxa"/>
            <w:vAlign w:val="bottom"/>
            <w:tcBorders>
              <w:top w:val="single" w:sz="8" w:color="CCEEFF"/>
            </w:tcBorders>
            <w:shd w:val="clear" w:color="auto" w:fill="CCEEFF"/>
          </w:tcPr>
          <w:p>
            <w:pPr>
              <w:spacing w:after="0"/>
              <w:rPr>
                <w:sz w:val="6"/>
                <w:szCs w:val="6"/>
                <w:color w:val="auto"/>
              </w:rPr>
            </w:pPr>
          </w:p>
        </w:tc>
        <w:tc>
          <w:tcPr>
            <w:tcW w:w="640" w:type="dxa"/>
            <w:vAlign w:val="bottom"/>
            <w:tcBorders>
              <w:top w:val="single" w:sz="8" w:color="auto"/>
            </w:tcBorders>
            <w:shd w:val="clear" w:color="auto" w:fill="CCEEFF"/>
          </w:tcPr>
          <w:p>
            <w:pPr>
              <w:jc w:val="right"/>
              <w:spacing w:after="0" w:line="80" w:lineRule="exact"/>
              <w:rPr>
                <w:sz w:val="20"/>
                <w:szCs w:val="20"/>
                <w:color w:val="auto"/>
              </w:rPr>
            </w:pPr>
            <w:r>
              <w:rPr>
                <w:rFonts w:ascii="Arial" w:cs="Arial" w:eastAsia="Arial" w:hAnsi="Arial"/>
                <w:sz w:val="9"/>
                <w:szCs w:val="9"/>
                <w:color w:val="auto"/>
              </w:rPr>
              <w:t>109,569,500</w:t>
            </w:r>
          </w:p>
        </w:tc>
        <w:tc>
          <w:tcPr>
            <w:tcW w:w="180" w:type="dxa"/>
            <w:vAlign w:val="bottom"/>
            <w:tcBorders>
              <w:top w:val="single" w:sz="8" w:color="CCEEFF"/>
            </w:tcBorders>
            <w:shd w:val="clear" w:color="auto" w:fill="CCEEFF"/>
          </w:tcPr>
          <w:p>
            <w:pPr>
              <w:jc w:val="right"/>
              <w:ind w:right="14"/>
              <w:spacing w:after="0" w:line="80" w:lineRule="exact"/>
              <w:rPr>
                <w:sz w:val="20"/>
                <w:szCs w:val="20"/>
                <w:color w:val="auto"/>
              </w:rPr>
            </w:pPr>
            <w:r>
              <w:rPr>
                <w:rFonts w:ascii="Arial" w:cs="Arial" w:eastAsia="Arial" w:hAnsi="Arial"/>
                <w:sz w:val="9"/>
                <w:szCs w:val="9"/>
                <w:color w:val="auto"/>
                <w:w w:val="90"/>
              </w:rPr>
              <w:t>(2)</w:t>
            </w:r>
          </w:p>
        </w:tc>
        <w:tc>
          <w:tcPr>
            <w:tcW w:w="60" w:type="dxa"/>
            <w:vAlign w:val="bottom"/>
            <w:tcBorders>
              <w:top w:val="single" w:sz="8" w:color="CCEEFF"/>
            </w:tcBorders>
            <w:shd w:val="clear" w:color="auto" w:fill="CCEEFF"/>
          </w:tcPr>
          <w:p>
            <w:pPr>
              <w:spacing w:after="0"/>
              <w:rPr>
                <w:sz w:val="6"/>
                <w:szCs w:val="6"/>
                <w:color w:val="auto"/>
              </w:rPr>
            </w:pPr>
          </w:p>
        </w:tc>
        <w:tc>
          <w:tcPr>
            <w:tcW w:w="620" w:type="dxa"/>
            <w:vAlign w:val="bottom"/>
            <w:tcBorders>
              <w:top w:val="single" w:sz="8" w:color="auto"/>
            </w:tcBorders>
            <w:shd w:val="clear" w:color="auto" w:fill="CCEEFF"/>
          </w:tcPr>
          <w:p>
            <w:pPr>
              <w:jc w:val="right"/>
              <w:spacing w:after="0" w:line="80" w:lineRule="exact"/>
              <w:rPr>
                <w:sz w:val="20"/>
                <w:szCs w:val="20"/>
                <w:color w:val="auto"/>
              </w:rPr>
            </w:pPr>
            <w:r>
              <w:rPr>
                <w:rFonts w:ascii="Arial" w:cs="Arial" w:eastAsia="Arial" w:hAnsi="Arial"/>
                <w:sz w:val="9"/>
                <w:szCs w:val="9"/>
                <w:color w:val="auto"/>
              </w:rPr>
              <w:t>260,000</w:t>
            </w:r>
          </w:p>
        </w:tc>
        <w:tc>
          <w:tcPr>
            <w:tcW w:w="140" w:type="dxa"/>
            <w:vAlign w:val="bottom"/>
            <w:tcBorders>
              <w:top w:val="single" w:sz="8" w:color="CCEEFF"/>
            </w:tcBorders>
            <w:shd w:val="clear" w:color="auto" w:fill="CCEEFF"/>
          </w:tcPr>
          <w:p>
            <w:pPr>
              <w:spacing w:after="0"/>
              <w:rPr>
                <w:sz w:val="6"/>
                <w:szCs w:val="6"/>
                <w:color w:val="auto"/>
              </w:rPr>
            </w:pPr>
          </w:p>
        </w:tc>
        <w:tc>
          <w:tcPr>
            <w:tcW w:w="620" w:type="dxa"/>
            <w:vAlign w:val="bottom"/>
            <w:tcBorders>
              <w:top w:val="single" w:sz="8" w:color="auto"/>
            </w:tcBorders>
            <w:shd w:val="clear" w:color="auto" w:fill="CCEEFF"/>
          </w:tcPr>
          <w:p>
            <w:pPr>
              <w:jc w:val="right"/>
              <w:spacing w:after="0" w:line="80" w:lineRule="exact"/>
              <w:rPr>
                <w:sz w:val="20"/>
                <w:szCs w:val="20"/>
                <w:color w:val="auto"/>
              </w:rPr>
            </w:pPr>
            <w:r>
              <w:rPr>
                <w:rFonts w:ascii="Arial" w:cs="Arial" w:eastAsia="Arial" w:hAnsi="Arial"/>
                <w:sz w:val="9"/>
                <w:szCs w:val="9"/>
                <w:color w:val="auto"/>
              </w:rPr>
              <w:t>3,000</w:t>
            </w:r>
          </w:p>
        </w:tc>
        <w:tc>
          <w:tcPr>
            <w:tcW w:w="120" w:type="dxa"/>
            <w:vAlign w:val="bottom"/>
            <w:tcBorders>
              <w:top w:val="single" w:sz="8" w:color="CCEEFF"/>
            </w:tcBorders>
            <w:shd w:val="clear" w:color="auto" w:fill="CCEEFF"/>
          </w:tcPr>
          <w:p>
            <w:pPr>
              <w:spacing w:after="0"/>
              <w:rPr>
                <w:sz w:val="6"/>
                <w:szCs w:val="6"/>
                <w:color w:val="auto"/>
              </w:rPr>
            </w:pPr>
          </w:p>
        </w:tc>
        <w:tc>
          <w:tcPr>
            <w:tcW w:w="620" w:type="dxa"/>
            <w:vAlign w:val="bottom"/>
            <w:tcBorders>
              <w:top w:val="single" w:sz="8" w:color="auto"/>
            </w:tcBorders>
            <w:shd w:val="clear" w:color="auto" w:fill="CCEEFF"/>
          </w:tcPr>
          <w:p>
            <w:pPr>
              <w:jc w:val="right"/>
              <w:spacing w:after="0" w:line="80" w:lineRule="exact"/>
              <w:rPr>
                <w:sz w:val="20"/>
                <w:szCs w:val="20"/>
                <w:color w:val="auto"/>
              </w:rPr>
            </w:pPr>
            <w:r>
              <w:rPr>
                <w:rFonts w:ascii="Arial" w:cs="Arial" w:eastAsia="Arial" w:hAnsi="Arial"/>
                <w:sz w:val="9"/>
                <w:szCs w:val="9"/>
                <w:color w:val="auto"/>
              </w:rPr>
              <w:t>110,232,500</w:t>
            </w:r>
          </w:p>
        </w:tc>
        <w:tc>
          <w:tcPr>
            <w:tcW w:w="40" w:type="dxa"/>
            <w:vAlign w:val="bottom"/>
            <w:tcBorders>
              <w:top w:val="single" w:sz="8" w:color="CCEEFF"/>
            </w:tcBorders>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4520" w:type="dxa"/>
            <w:vAlign w:val="bottom"/>
            <w:gridSpan w:val="2"/>
            <w:shd w:val="clear" w:color="auto" w:fill="CCEEFF"/>
          </w:tcPr>
          <w:p>
            <w:pPr>
              <w:ind w:left="100"/>
              <w:spacing w:after="0"/>
              <w:rPr>
                <w:sz w:val="20"/>
                <w:szCs w:val="20"/>
                <w:color w:val="auto"/>
              </w:rPr>
            </w:pPr>
            <w:r>
              <w:rPr>
                <w:rFonts w:ascii="Arial" w:cs="Arial" w:eastAsia="Arial" w:hAnsi="Arial"/>
                <w:sz w:val="12"/>
                <w:szCs w:val="12"/>
                <w:i w:val="1"/>
                <w:iCs w:val="1"/>
                <w:color w:val="auto"/>
              </w:rPr>
              <w:t>Chief Executive Officer and Co-Founder</w:t>
            </w:r>
          </w:p>
        </w:tc>
        <w:tc>
          <w:tcPr>
            <w:tcW w:w="1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9"/>
        </w:trPr>
        <w:tc>
          <w:tcPr>
            <w:tcW w:w="4540" w:type="dxa"/>
            <w:vAlign w:val="bottom"/>
            <w:gridSpan w:val="3"/>
          </w:tcPr>
          <w:p>
            <w:pPr>
              <w:spacing w:after="0"/>
              <w:rPr>
                <w:sz w:val="20"/>
                <w:szCs w:val="20"/>
                <w:color w:val="auto"/>
              </w:rPr>
            </w:pPr>
            <w:r>
              <w:rPr>
                <w:rFonts w:ascii="Arial" w:cs="Arial" w:eastAsia="Arial" w:hAnsi="Arial"/>
                <w:sz w:val="12"/>
                <w:szCs w:val="12"/>
                <w:color w:val="auto"/>
              </w:rPr>
              <w:t>Arash Ferdowsi</w:t>
            </w:r>
          </w:p>
        </w:tc>
        <w:tc>
          <w:tcPr>
            <w:tcW w:w="380" w:type="dxa"/>
            <w:vAlign w:val="bottom"/>
            <w:gridSpan w:val="2"/>
          </w:tcPr>
          <w:p>
            <w:pPr>
              <w:ind w:left="120"/>
              <w:spacing w:after="0"/>
              <w:rPr>
                <w:sz w:val="20"/>
                <w:szCs w:val="20"/>
                <w:color w:val="auto"/>
              </w:rPr>
            </w:pPr>
            <w:r>
              <w:rPr>
                <w:rFonts w:ascii="Arial" w:cs="Arial" w:eastAsia="Arial" w:hAnsi="Arial"/>
                <w:sz w:val="12"/>
                <w:szCs w:val="12"/>
                <w:color w:val="auto"/>
                <w:w w:val="89"/>
              </w:rPr>
              <w:t>2017</w:t>
            </w:r>
          </w:p>
        </w:tc>
        <w:tc>
          <w:tcPr>
            <w:tcW w:w="120" w:type="dxa"/>
            <w:vAlign w:val="bottom"/>
          </w:tcPr>
          <w:p>
            <w:pPr>
              <w:spacing w:after="0"/>
              <w:rPr>
                <w:sz w:val="17"/>
                <w:szCs w:val="17"/>
                <w:color w:val="auto"/>
              </w:rPr>
            </w:pPr>
          </w:p>
        </w:tc>
        <w:tc>
          <w:tcPr>
            <w:tcW w:w="420" w:type="dxa"/>
            <w:vAlign w:val="bottom"/>
          </w:tcPr>
          <w:p>
            <w:pPr>
              <w:jc w:val="right"/>
              <w:spacing w:after="0"/>
              <w:rPr>
                <w:sz w:val="20"/>
                <w:szCs w:val="20"/>
                <w:color w:val="auto"/>
              </w:rPr>
            </w:pPr>
            <w:r>
              <w:rPr>
                <w:rFonts w:ascii="Arial" w:cs="Arial" w:eastAsia="Arial" w:hAnsi="Arial"/>
                <w:sz w:val="12"/>
                <w:szCs w:val="12"/>
                <w:color w:val="auto"/>
                <w:w w:val="92"/>
              </w:rPr>
              <w:t>400,000</w:t>
            </w:r>
          </w:p>
        </w:tc>
        <w:tc>
          <w:tcPr>
            <w:tcW w:w="80" w:type="dxa"/>
            <w:vAlign w:val="bottom"/>
          </w:tcPr>
          <w:p>
            <w:pPr>
              <w:spacing w:after="0"/>
              <w:rPr>
                <w:sz w:val="17"/>
                <w:szCs w:val="17"/>
                <w:color w:val="auto"/>
              </w:rPr>
            </w:pPr>
          </w:p>
        </w:tc>
        <w:tc>
          <w:tcPr>
            <w:tcW w:w="620" w:type="dxa"/>
            <w:vAlign w:val="bottom"/>
            <w:gridSpan w:val="2"/>
          </w:tcPr>
          <w:p>
            <w:pPr>
              <w:ind w:left="240"/>
              <w:spacing w:after="0"/>
              <w:rPr>
                <w:sz w:val="20"/>
                <w:szCs w:val="20"/>
                <w:color w:val="auto"/>
              </w:rPr>
            </w:pPr>
            <w:r>
              <w:rPr>
                <w:rFonts w:ascii="Arial" w:cs="Arial" w:eastAsia="Arial" w:hAnsi="Arial"/>
                <w:sz w:val="12"/>
                <w:szCs w:val="12"/>
                <w:color w:val="auto"/>
              </w:rPr>
              <w:t>—</w:t>
            </w:r>
          </w:p>
        </w:tc>
        <w:tc>
          <w:tcPr>
            <w:tcW w:w="820" w:type="dxa"/>
            <w:vAlign w:val="bottom"/>
            <w:gridSpan w:val="2"/>
          </w:tcPr>
          <w:p>
            <w:pPr>
              <w:jc w:val="right"/>
              <w:ind w:right="14"/>
              <w:spacing w:after="0"/>
              <w:rPr>
                <w:sz w:val="20"/>
                <w:szCs w:val="20"/>
                <w:color w:val="auto"/>
              </w:rPr>
            </w:pPr>
            <w:r>
              <w:rPr>
                <w:rFonts w:ascii="Arial" w:cs="Arial" w:eastAsia="Arial" w:hAnsi="Arial"/>
                <w:sz w:val="12"/>
                <w:szCs w:val="12"/>
                <w:color w:val="auto"/>
              </w:rPr>
              <w:t>46,655,400</w:t>
            </w:r>
            <w:r>
              <w:rPr>
                <w:rFonts w:ascii="Arial" w:cs="Arial" w:eastAsia="Arial" w:hAnsi="Arial"/>
                <w:sz w:val="10"/>
                <w:szCs w:val="10"/>
                <w:color w:val="auto"/>
              </w:rPr>
              <w:t>(2)</w:t>
            </w:r>
          </w:p>
        </w:tc>
        <w:tc>
          <w:tcPr>
            <w:tcW w:w="680" w:type="dxa"/>
            <w:vAlign w:val="bottom"/>
            <w:gridSpan w:val="2"/>
          </w:tcPr>
          <w:p>
            <w:pPr>
              <w:jc w:val="right"/>
              <w:spacing w:after="0"/>
              <w:rPr>
                <w:sz w:val="20"/>
                <w:szCs w:val="20"/>
                <w:color w:val="auto"/>
              </w:rPr>
            </w:pPr>
            <w:r>
              <w:rPr>
                <w:rFonts w:ascii="Arial" w:cs="Arial" w:eastAsia="Arial" w:hAnsi="Arial"/>
                <w:sz w:val="12"/>
                <w:szCs w:val="12"/>
                <w:color w:val="auto"/>
              </w:rPr>
              <w:t>260,000</w:t>
            </w:r>
          </w:p>
        </w:tc>
        <w:tc>
          <w:tcPr>
            <w:tcW w:w="760" w:type="dxa"/>
            <w:vAlign w:val="bottom"/>
            <w:gridSpan w:val="2"/>
          </w:tcPr>
          <w:p>
            <w:pPr>
              <w:jc w:val="right"/>
              <w:spacing w:after="0"/>
              <w:rPr>
                <w:sz w:val="20"/>
                <w:szCs w:val="20"/>
                <w:color w:val="auto"/>
              </w:rPr>
            </w:pPr>
            <w:r>
              <w:rPr>
                <w:rFonts w:ascii="Arial" w:cs="Arial" w:eastAsia="Arial" w:hAnsi="Arial"/>
                <w:sz w:val="12"/>
                <w:szCs w:val="12"/>
                <w:color w:val="auto"/>
              </w:rPr>
              <w:t>3,000</w:t>
            </w:r>
          </w:p>
        </w:tc>
        <w:tc>
          <w:tcPr>
            <w:tcW w:w="12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w w:val="99"/>
              </w:rPr>
              <w:t>47,318,400</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4520" w:type="dxa"/>
            <w:vAlign w:val="bottom"/>
            <w:gridSpan w:val="2"/>
          </w:tcPr>
          <w:p>
            <w:pPr>
              <w:ind w:left="100"/>
              <w:spacing w:after="0"/>
              <w:rPr>
                <w:sz w:val="20"/>
                <w:szCs w:val="20"/>
                <w:color w:val="auto"/>
              </w:rPr>
            </w:pPr>
            <w:r>
              <w:rPr>
                <w:rFonts w:ascii="Arial" w:cs="Arial" w:eastAsia="Arial" w:hAnsi="Arial"/>
                <w:sz w:val="12"/>
                <w:szCs w:val="12"/>
                <w:i w:val="1"/>
                <w:iCs w:val="1"/>
                <w:color w:val="auto"/>
              </w:rPr>
              <w:t>Co-Founder</w:t>
            </w: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77"/>
        </w:trPr>
        <w:tc>
          <w:tcPr>
            <w:tcW w:w="20" w:type="dxa"/>
            <w:vAlign w:val="bottom"/>
            <w:vMerge w:val="restart"/>
          </w:tcPr>
          <w:p>
            <w:pPr>
              <w:spacing w:after="0"/>
              <w:rPr>
                <w:sz w:val="6"/>
                <w:szCs w:val="6"/>
                <w:color w:val="auto"/>
              </w:rPr>
            </w:pPr>
          </w:p>
        </w:tc>
        <w:tc>
          <w:tcPr>
            <w:tcW w:w="1260" w:type="dxa"/>
            <w:vAlign w:val="bottom"/>
          </w:tcPr>
          <w:p>
            <w:pPr>
              <w:spacing w:after="0"/>
              <w:rPr>
                <w:sz w:val="6"/>
                <w:szCs w:val="6"/>
                <w:color w:val="auto"/>
              </w:rPr>
            </w:pPr>
          </w:p>
        </w:tc>
        <w:tc>
          <w:tcPr>
            <w:tcW w:w="3260" w:type="dxa"/>
            <w:vAlign w:val="bottom"/>
          </w:tcPr>
          <w:p>
            <w:pPr>
              <w:spacing w:after="0"/>
              <w:rPr>
                <w:sz w:val="6"/>
                <w:szCs w:val="6"/>
                <w:color w:val="auto"/>
              </w:rPr>
            </w:pPr>
          </w:p>
        </w:tc>
        <w:tc>
          <w:tcPr>
            <w:tcW w:w="100" w:type="dxa"/>
            <w:vAlign w:val="bottom"/>
          </w:tcPr>
          <w:p>
            <w:pPr>
              <w:spacing w:after="0"/>
              <w:rPr>
                <w:sz w:val="6"/>
                <w:szCs w:val="6"/>
                <w:color w:val="auto"/>
              </w:rPr>
            </w:pPr>
          </w:p>
        </w:tc>
        <w:tc>
          <w:tcPr>
            <w:tcW w:w="280" w:type="dxa"/>
            <w:vAlign w:val="bottom"/>
          </w:tcPr>
          <w:p>
            <w:pPr>
              <w:spacing w:after="0"/>
              <w:rPr>
                <w:sz w:val="6"/>
                <w:szCs w:val="6"/>
                <w:color w:val="auto"/>
              </w:rPr>
            </w:pPr>
          </w:p>
        </w:tc>
        <w:tc>
          <w:tcPr>
            <w:tcW w:w="120" w:type="dxa"/>
            <w:vAlign w:val="bottom"/>
          </w:tcPr>
          <w:p>
            <w:pPr>
              <w:spacing w:after="0"/>
              <w:rPr>
                <w:sz w:val="6"/>
                <w:szCs w:val="6"/>
                <w:color w:val="auto"/>
              </w:rPr>
            </w:pPr>
          </w:p>
        </w:tc>
        <w:tc>
          <w:tcPr>
            <w:tcW w:w="420" w:type="dxa"/>
            <w:vAlign w:val="bottom"/>
          </w:tcPr>
          <w:p>
            <w:pPr>
              <w:spacing w:after="0"/>
              <w:rPr>
                <w:sz w:val="6"/>
                <w:szCs w:val="6"/>
                <w:color w:val="auto"/>
              </w:rPr>
            </w:pPr>
          </w:p>
        </w:tc>
        <w:tc>
          <w:tcPr>
            <w:tcW w:w="80" w:type="dxa"/>
            <w:vAlign w:val="bottom"/>
          </w:tcPr>
          <w:p>
            <w:pPr>
              <w:spacing w:after="0"/>
              <w:rPr>
                <w:sz w:val="6"/>
                <w:szCs w:val="6"/>
                <w:color w:val="auto"/>
              </w:rPr>
            </w:pPr>
          </w:p>
        </w:tc>
        <w:tc>
          <w:tcPr>
            <w:tcW w:w="420" w:type="dxa"/>
            <w:vAlign w:val="bottom"/>
          </w:tcPr>
          <w:p>
            <w:pPr>
              <w:spacing w:after="0"/>
              <w:rPr>
                <w:sz w:val="6"/>
                <w:szCs w:val="6"/>
                <w:color w:val="auto"/>
              </w:rPr>
            </w:pPr>
          </w:p>
        </w:tc>
        <w:tc>
          <w:tcPr>
            <w:tcW w:w="2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80" w:type="dxa"/>
            <w:vAlign w:val="bottom"/>
          </w:tcPr>
          <w:p>
            <w:pPr>
              <w:spacing w:after="0"/>
              <w:rPr>
                <w:sz w:val="6"/>
                <w:szCs w:val="6"/>
                <w:color w:val="auto"/>
              </w:rPr>
            </w:pPr>
          </w:p>
        </w:tc>
        <w:tc>
          <w:tcPr>
            <w:tcW w:w="60" w:type="dxa"/>
            <w:vAlign w:val="bottom"/>
          </w:tcPr>
          <w:p>
            <w:pPr>
              <w:spacing w:after="0"/>
              <w:rPr>
                <w:sz w:val="6"/>
                <w:szCs w:val="6"/>
                <w:color w:val="auto"/>
              </w:rPr>
            </w:pPr>
          </w:p>
        </w:tc>
        <w:tc>
          <w:tcPr>
            <w:tcW w:w="62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120" w:type="dxa"/>
            <w:vAlign w:val="bottom"/>
          </w:tcPr>
          <w:p>
            <w:pPr>
              <w:spacing w:after="0"/>
              <w:rPr>
                <w:sz w:val="6"/>
                <w:szCs w:val="6"/>
                <w:color w:val="auto"/>
              </w:rPr>
            </w:pPr>
          </w:p>
        </w:tc>
        <w:tc>
          <w:tcPr>
            <w:tcW w:w="620" w:type="dxa"/>
            <w:vAlign w:val="bottom"/>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8"/>
        </w:trPr>
        <w:tc>
          <w:tcPr>
            <w:tcW w:w="20" w:type="dxa"/>
            <w:vAlign w:val="bottom"/>
            <w:vMerge w:val="continue"/>
          </w:tcPr>
          <w:p>
            <w:pPr>
              <w:spacing w:after="0"/>
              <w:rPr>
                <w:sz w:val="9"/>
                <w:szCs w:val="9"/>
                <w:color w:val="auto"/>
              </w:rPr>
            </w:pPr>
          </w:p>
        </w:tc>
        <w:tc>
          <w:tcPr>
            <w:tcW w:w="4520" w:type="dxa"/>
            <w:vAlign w:val="bottom"/>
            <w:gridSpan w:val="2"/>
            <w:shd w:val="clear" w:color="auto" w:fill="CCEEFF"/>
          </w:tcPr>
          <w:p>
            <w:pPr>
              <w:spacing w:after="0" w:line="109" w:lineRule="exact"/>
              <w:rPr>
                <w:sz w:val="20"/>
                <w:szCs w:val="20"/>
                <w:color w:val="auto"/>
              </w:rPr>
            </w:pPr>
            <w:r>
              <w:rPr>
                <w:rFonts w:ascii="Arial" w:cs="Arial" w:eastAsia="Arial" w:hAnsi="Arial"/>
                <w:sz w:val="12"/>
                <w:szCs w:val="12"/>
                <w:color w:val="auto"/>
              </w:rPr>
              <w:t>Quentin J. Clark</w:t>
            </w:r>
            <w:r>
              <w:rPr>
                <w:rFonts w:ascii="Arial" w:cs="Arial" w:eastAsia="Arial" w:hAnsi="Arial"/>
                <w:sz w:val="10"/>
                <w:szCs w:val="10"/>
                <w:color w:val="auto"/>
              </w:rPr>
              <w:t>(3)</w:t>
            </w:r>
          </w:p>
        </w:tc>
        <w:tc>
          <w:tcPr>
            <w:tcW w:w="380" w:type="dxa"/>
            <w:vAlign w:val="bottom"/>
            <w:gridSpan w:val="2"/>
            <w:shd w:val="clear" w:color="auto" w:fill="CCEEFF"/>
          </w:tcPr>
          <w:p>
            <w:pPr>
              <w:ind w:left="120"/>
              <w:spacing w:after="0" w:line="109" w:lineRule="exact"/>
              <w:rPr>
                <w:sz w:val="20"/>
                <w:szCs w:val="20"/>
                <w:color w:val="auto"/>
              </w:rPr>
            </w:pPr>
            <w:r>
              <w:rPr>
                <w:rFonts w:ascii="Arial" w:cs="Arial" w:eastAsia="Arial" w:hAnsi="Arial"/>
                <w:sz w:val="12"/>
                <w:szCs w:val="12"/>
                <w:color w:val="auto"/>
                <w:w w:val="89"/>
              </w:rPr>
              <w:t>2017</w:t>
            </w:r>
          </w:p>
        </w:tc>
        <w:tc>
          <w:tcPr>
            <w:tcW w:w="120" w:type="dxa"/>
            <w:vAlign w:val="bottom"/>
            <w:shd w:val="clear" w:color="auto" w:fill="CCEEFF"/>
          </w:tcPr>
          <w:p>
            <w:pPr>
              <w:spacing w:after="0"/>
              <w:rPr>
                <w:sz w:val="9"/>
                <w:szCs w:val="9"/>
                <w:color w:val="auto"/>
              </w:rPr>
            </w:pPr>
          </w:p>
        </w:tc>
        <w:tc>
          <w:tcPr>
            <w:tcW w:w="420" w:type="dxa"/>
            <w:vAlign w:val="bottom"/>
            <w:shd w:val="clear" w:color="auto" w:fill="CCEEFF"/>
          </w:tcPr>
          <w:p>
            <w:pPr>
              <w:jc w:val="right"/>
              <w:spacing w:after="0" w:line="109" w:lineRule="exact"/>
              <w:rPr>
                <w:sz w:val="20"/>
                <w:szCs w:val="20"/>
                <w:color w:val="auto"/>
              </w:rPr>
            </w:pPr>
            <w:r>
              <w:rPr>
                <w:rFonts w:ascii="Arial" w:cs="Arial" w:eastAsia="Arial" w:hAnsi="Arial"/>
                <w:sz w:val="12"/>
                <w:szCs w:val="12"/>
                <w:color w:val="auto"/>
                <w:w w:val="92"/>
              </w:rPr>
              <w:t>130,513</w:t>
            </w:r>
          </w:p>
        </w:tc>
        <w:tc>
          <w:tcPr>
            <w:tcW w:w="80" w:type="dxa"/>
            <w:vAlign w:val="bottom"/>
            <w:shd w:val="clear" w:color="auto" w:fill="CCEEFF"/>
          </w:tcPr>
          <w:p>
            <w:pPr>
              <w:spacing w:after="0"/>
              <w:rPr>
                <w:sz w:val="9"/>
                <w:szCs w:val="9"/>
                <w:color w:val="auto"/>
              </w:rPr>
            </w:pPr>
          </w:p>
        </w:tc>
        <w:tc>
          <w:tcPr>
            <w:tcW w:w="620" w:type="dxa"/>
            <w:vAlign w:val="bottom"/>
            <w:gridSpan w:val="2"/>
            <w:shd w:val="clear" w:color="auto" w:fill="CCEEFF"/>
          </w:tcPr>
          <w:p>
            <w:pPr>
              <w:jc w:val="right"/>
              <w:ind w:right="80"/>
              <w:spacing w:after="0" w:line="109" w:lineRule="exact"/>
              <w:rPr>
                <w:sz w:val="20"/>
                <w:szCs w:val="20"/>
                <w:color w:val="auto"/>
              </w:rPr>
            </w:pPr>
            <w:r>
              <w:rPr>
                <w:rFonts w:ascii="Arial" w:cs="Arial" w:eastAsia="Arial" w:hAnsi="Arial"/>
                <w:sz w:val="12"/>
                <w:szCs w:val="12"/>
                <w:color w:val="auto"/>
                <w:w w:val="93"/>
              </w:rPr>
              <w:t>340,000</w:t>
            </w:r>
            <w:r>
              <w:rPr>
                <w:rFonts w:ascii="Arial" w:cs="Arial" w:eastAsia="Arial" w:hAnsi="Arial"/>
                <w:sz w:val="10"/>
                <w:szCs w:val="10"/>
                <w:color w:val="auto"/>
                <w:w w:val="93"/>
              </w:rPr>
              <w:t>(4)</w:t>
            </w:r>
          </w:p>
        </w:tc>
        <w:tc>
          <w:tcPr>
            <w:tcW w:w="820" w:type="dxa"/>
            <w:vAlign w:val="bottom"/>
            <w:gridSpan w:val="2"/>
            <w:shd w:val="clear" w:color="auto" w:fill="CCEEFF"/>
          </w:tcPr>
          <w:p>
            <w:pPr>
              <w:jc w:val="right"/>
              <w:ind w:right="14"/>
              <w:spacing w:after="0" w:line="109" w:lineRule="exact"/>
              <w:rPr>
                <w:sz w:val="20"/>
                <w:szCs w:val="20"/>
                <w:color w:val="auto"/>
              </w:rPr>
            </w:pPr>
            <w:r>
              <w:rPr>
                <w:rFonts w:ascii="Arial" w:cs="Arial" w:eastAsia="Arial" w:hAnsi="Arial"/>
                <w:sz w:val="12"/>
                <w:szCs w:val="12"/>
                <w:color w:val="auto"/>
              </w:rPr>
              <w:t>34,080,000</w:t>
            </w:r>
            <w:r>
              <w:rPr>
                <w:rFonts w:ascii="Arial" w:cs="Arial" w:eastAsia="Arial" w:hAnsi="Arial"/>
                <w:sz w:val="10"/>
                <w:szCs w:val="10"/>
                <w:color w:val="auto"/>
              </w:rPr>
              <w:t>(5)</w:t>
            </w:r>
          </w:p>
        </w:tc>
        <w:tc>
          <w:tcPr>
            <w:tcW w:w="680" w:type="dxa"/>
            <w:vAlign w:val="bottom"/>
            <w:gridSpan w:val="2"/>
            <w:shd w:val="clear" w:color="auto" w:fill="CCEEFF"/>
          </w:tcPr>
          <w:p>
            <w:pPr>
              <w:jc w:val="right"/>
              <w:spacing w:after="0" w:line="109" w:lineRule="exact"/>
              <w:rPr>
                <w:sz w:val="20"/>
                <w:szCs w:val="20"/>
                <w:color w:val="auto"/>
              </w:rPr>
            </w:pPr>
            <w:r>
              <w:rPr>
                <w:rFonts w:ascii="Arial" w:cs="Arial" w:eastAsia="Arial" w:hAnsi="Arial"/>
                <w:sz w:val="12"/>
                <w:szCs w:val="12"/>
                <w:color w:val="auto"/>
              </w:rPr>
              <w:t>84,055</w:t>
            </w:r>
          </w:p>
        </w:tc>
        <w:tc>
          <w:tcPr>
            <w:tcW w:w="760" w:type="dxa"/>
            <w:vAlign w:val="bottom"/>
            <w:gridSpan w:val="2"/>
            <w:shd w:val="clear" w:color="auto" w:fill="CCEEFF"/>
          </w:tcPr>
          <w:p>
            <w:pPr>
              <w:jc w:val="right"/>
              <w:spacing w:after="0" w:line="109" w:lineRule="exact"/>
              <w:rPr>
                <w:sz w:val="20"/>
                <w:szCs w:val="20"/>
                <w:color w:val="auto"/>
              </w:rPr>
            </w:pPr>
            <w:r>
              <w:rPr>
                <w:rFonts w:ascii="Arial" w:cs="Arial" w:eastAsia="Arial" w:hAnsi="Arial"/>
                <w:sz w:val="12"/>
                <w:szCs w:val="12"/>
                <w:color w:val="auto"/>
              </w:rPr>
              <w:t>16,136</w:t>
            </w:r>
          </w:p>
        </w:tc>
        <w:tc>
          <w:tcPr>
            <w:tcW w:w="120" w:type="dxa"/>
            <w:vAlign w:val="bottom"/>
            <w:shd w:val="clear" w:color="auto" w:fill="CCEEFF"/>
          </w:tcPr>
          <w:p>
            <w:pPr>
              <w:spacing w:after="0"/>
              <w:rPr>
                <w:sz w:val="9"/>
                <w:szCs w:val="9"/>
                <w:color w:val="auto"/>
              </w:rPr>
            </w:pPr>
          </w:p>
        </w:tc>
        <w:tc>
          <w:tcPr>
            <w:tcW w:w="620" w:type="dxa"/>
            <w:vAlign w:val="bottom"/>
            <w:shd w:val="clear" w:color="auto" w:fill="CCEEFF"/>
          </w:tcPr>
          <w:p>
            <w:pPr>
              <w:jc w:val="right"/>
              <w:spacing w:after="0" w:line="109" w:lineRule="exact"/>
              <w:rPr>
                <w:sz w:val="20"/>
                <w:szCs w:val="20"/>
                <w:color w:val="auto"/>
              </w:rPr>
            </w:pPr>
            <w:r>
              <w:rPr>
                <w:rFonts w:ascii="Arial" w:cs="Arial" w:eastAsia="Arial" w:hAnsi="Arial"/>
                <w:sz w:val="12"/>
                <w:szCs w:val="12"/>
                <w:color w:val="auto"/>
                <w:w w:val="99"/>
              </w:rPr>
              <w:t>34,650,704</w:t>
            </w:r>
          </w:p>
        </w:tc>
        <w:tc>
          <w:tcPr>
            <w:tcW w:w="4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4520" w:type="dxa"/>
            <w:vAlign w:val="bottom"/>
            <w:gridSpan w:val="2"/>
            <w:shd w:val="clear" w:color="auto" w:fill="CCEEFF"/>
          </w:tcPr>
          <w:p>
            <w:pPr>
              <w:ind w:left="100"/>
              <w:spacing w:after="0"/>
              <w:rPr>
                <w:sz w:val="20"/>
                <w:szCs w:val="20"/>
                <w:color w:val="auto"/>
              </w:rPr>
            </w:pPr>
            <w:r>
              <w:rPr>
                <w:rFonts w:ascii="Arial" w:cs="Arial" w:eastAsia="Arial" w:hAnsi="Arial"/>
                <w:sz w:val="12"/>
                <w:szCs w:val="12"/>
                <w:i w:val="1"/>
                <w:iCs w:val="1"/>
                <w:color w:val="auto"/>
              </w:rPr>
              <w:t>Senior Vice President of Engineering, Product, and Design</w:t>
            </w:r>
          </w:p>
        </w:tc>
        <w:tc>
          <w:tcPr>
            <w:tcW w:w="1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709930</wp:posOffset>
            </wp:positionH>
            <wp:positionV relativeFrom="paragraph">
              <wp:posOffset>71755</wp:posOffset>
            </wp:positionV>
            <wp:extent cx="580390" cy="698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580390" cy="6985"/>
                    </a:xfrm>
                    <a:prstGeom prst="rect">
                      <a:avLst/>
                    </a:prstGeom>
                    <a:noFill/>
                  </pic:spPr>
                </pic:pic>
              </a:graphicData>
            </a:graphic>
          </wp:anchor>
        </w:drawing>
      </w:r>
    </w:p>
    <w:p>
      <w:pPr>
        <w:spacing w:after="0" w:line="129" w:lineRule="exact"/>
        <w:rPr>
          <w:sz w:val="20"/>
          <w:szCs w:val="20"/>
          <w:color w:val="auto"/>
        </w:rPr>
      </w:pPr>
    </w:p>
    <w:p>
      <w:pPr>
        <w:ind w:left="1380" w:right="180" w:hanging="268"/>
        <w:spacing w:after="0" w:line="192" w:lineRule="auto"/>
        <w:tabs>
          <w:tab w:leader="none" w:pos="1380" w:val="left"/>
        </w:tabs>
        <w:numPr>
          <w:ilvl w:val="0"/>
          <w:numId w:val="68"/>
        </w:numPr>
        <w:rPr>
          <w:rFonts w:ascii="Arial" w:cs="Arial" w:eastAsia="Arial" w:hAnsi="Arial"/>
          <w:sz w:val="23"/>
          <w:szCs w:val="23"/>
          <w:color w:val="auto"/>
          <w:vertAlign w:val="superscript"/>
        </w:rPr>
      </w:pPr>
      <w:r>
        <w:rPr>
          <w:rFonts w:ascii="Arial" w:cs="Arial" w:eastAsia="Arial" w:hAnsi="Arial"/>
          <w:sz w:val="14"/>
          <w:szCs w:val="14"/>
          <w:color w:val="auto"/>
        </w:rPr>
        <w:t>The amounts reported represent the amounts payable in 2017 under our 2017 Cash Bonus Plan, as described in greater detail under “—Non-Equity Incentive Plan Compensation.”</w:t>
      </w:r>
    </w:p>
    <w:p>
      <w:pPr>
        <w:spacing w:after="0" w:line="1" w:lineRule="exact"/>
        <w:rPr>
          <w:rFonts w:ascii="Arial" w:cs="Arial" w:eastAsia="Arial" w:hAnsi="Arial"/>
          <w:sz w:val="23"/>
          <w:szCs w:val="23"/>
          <w:color w:val="auto"/>
          <w:vertAlign w:val="superscript"/>
        </w:rPr>
      </w:pPr>
    </w:p>
    <w:p>
      <w:pPr>
        <w:ind w:left="1380" w:hanging="268"/>
        <w:spacing w:after="0" w:line="227" w:lineRule="auto"/>
        <w:tabs>
          <w:tab w:leader="none" w:pos="1380" w:val="left"/>
        </w:tabs>
        <w:numPr>
          <w:ilvl w:val="0"/>
          <w:numId w:val="68"/>
        </w:numPr>
        <w:rPr>
          <w:rFonts w:ascii="Arial" w:cs="Arial" w:eastAsia="Arial" w:hAnsi="Arial"/>
          <w:sz w:val="23"/>
          <w:szCs w:val="23"/>
          <w:color w:val="auto"/>
          <w:vertAlign w:val="superscript"/>
        </w:rPr>
      </w:pPr>
      <w:r>
        <w:rPr>
          <w:rFonts w:ascii="Arial" w:cs="Arial" w:eastAsia="Arial" w:hAnsi="Arial"/>
          <w:sz w:val="14"/>
          <w:szCs w:val="14"/>
          <w:color w:val="auto"/>
        </w:rPr>
        <w:t>The amounts reported represent the aggregate grant-date fair value of restricted stock awards, or RSAs, calculated in accordance with ASC Topic 718. The RSAs are eligible to vest over a period of up to ten years based on the achievement of certain stock price goals measured over a consecutive thirty-day trading period during a performance period. We calculated the grant date fair value based on multiple stock price paths developed through the use of a Monte Carlo simulation. The assumptions used in calculating the grant-date fair value of the RSAs reported in this column are set forth in the section titled “Management’s Discussion and Analysis of Financial Condition and Results of Operations—Critical Accounting Policies and Judgements”. See “—Co-Founder Restricted Stock Awards” for additional information.</w:t>
      </w:r>
    </w:p>
    <w:p>
      <w:pPr>
        <w:spacing w:after="0" w:line="3" w:lineRule="exact"/>
        <w:rPr>
          <w:rFonts w:ascii="Arial" w:cs="Arial" w:eastAsia="Arial" w:hAnsi="Arial"/>
          <w:sz w:val="23"/>
          <w:szCs w:val="23"/>
          <w:color w:val="auto"/>
          <w:vertAlign w:val="superscript"/>
        </w:rPr>
      </w:pPr>
    </w:p>
    <w:p>
      <w:pPr>
        <w:ind w:left="1380" w:right="20" w:hanging="268"/>
        <w:spacing w:after="0" w:line="190" w:lineRule="auto"/>
        <w:tabs>
          <w:tab w:leader="none" w:pos="1380" w:val="left"/>
        </w:tabs>
        <w:numPr>
          <w:ilvl w:val="0"/>
          <w:numId w:val="68"/>
        </w:numPr>
        <w:rPr>
          <w:rFonts w:ascii="Arial" w:cs="Arial" w:eastAsia="Arial" w:hAnsi="Arial"/>
          <w:sz w:val="23"/>
          <w:szCs w:val="23"/>
          <w:color w:val="auto"/>
          <w:vertAlign w:val="superscript"/>
        </w:rPr>
      </w:pPr>
      <w:r>
        <w:rPr>
          <w:rFonts w:ascii="Arial" w:cs="Arial" w:eastAsia="Arial" w:hAnsi="Arial"/>
          <w:sz w:val="14"/>
          <w:szCs w:val="14"/>
          <w:color w:val="auto"/>
        </w:rPr>
        <w:t>Mr. Clark joined us in September 2017 and therefore his salary and non-equity incentive plan compensation set forth in the table above were prorated for the portion of 2017 in which he was employed with us.</w:t>
      </w:r>
    </w:p>
    <w:p>
      <w:pPr>
        <w:spacing w:after="0" w:line="1" w:lineRule="exact"/>
        <w:rPr>
          <w:rFonts w:ascii="Arial" w:cs="Arial" w:eastAsia="Arial" w:hAnsi="Arial"/>
          <w:sz w:val="23"/>
          <w:szCs w:val="23"/>
          <w:color w:val="auto"/>
          <w:vertAlign w:val="superscript"/>
        </w:rPr>
      </w:pPr>
    </w:p>
    <w:p>
      <w:pPr>
        <w:ind w:left="1380" w:right="180" w:hanging="268"/>
        <w:spacing w:after="0" w:line="190" w:lineRule="auto"/>
        <w:tabs>
          <w:tab w:leader="none" w:pos="1380" w:val="left"/>
        </w:tabs>
        <w:numPr>
          <w:ilvl w:val="0"/>
          <w:numId w:val="68"/>
        </w:numPr>
        <w:rPr>
          <w:rFonts w:ascii="Arial" w:cs="Arial" w:eastAsia="Arial" w:hAnsi="Arial"/>
          <w:sz w:val="23"/>
          <w:szCs w:val="23"/>
          <w:color w:val="auto"/>
          <w:vertAlign w:val="superscript"/>
        </w:rPr>
      </w:pPr>
      <w:r>
        <w:rPr>
          <w:rFonts w:ascii="Arial" w:cs="Arial" w:eastAsia="Arial" w:hAnsi="Arial"/>
          <w:sz w:val="14"/>
          <w:szCs w:val="14"/>
          <w:color w:val="auto"/>
        </w:rPr>
        <w:t>Amount represents a one-time signing bonus paid in connection with Mr. Clark’s hiring in 2017. Mr. Clark must repay the bonus if, before the first anniversary of his employment start date, his employment ends voluntarily or involuntarily under certain specified circumstances.</w:t>
      </w:r>
    </w:p>
    <w:p>
      <w:pPr>
        <w:spacing w:after="0" w:line="1" w:lineRule="exact"/>
        <w:rPr>
          <w:rFonts w:ascii="Arial" w:cs="Arial" w:eastAsia="Arial" w:hAnsi="Arial"/>
          <w:sz w:val="23"/>
          <w:szCs w:val="23"/>
          <w:color w:val="auto"/>
          <w:vertAlign w:val="superscript"/>
        </w:rPr>
      </w:pPr>
    </w:p>
    <w:p>
      <w:pPr>
        <w:ind w:left="1380" w:right="100" w:hanging="268"/>
        <w:spacing w:after="0" w:line="207" w:lineRule="auto"/>
        <w:tabs>
          <w:tab w:leader="none" w:pos="1380" w:val="left"/>
        </w:tabs>
        <w:numPr>
          <w:ilvl w:val="0"/>
          <w:numId w:val="68"/>
        </w:numPr>
        <w:rPr>
          <w:rFonts w:ascii="Arial" w:cs="Arial" w:eastAsia="Arial" w:hAnsi="Arial"/>
          <w:sz w:val="23"/>
          <w:szCs w:val="23"/>
          <w:color w:val="auto"/>
          <w:vertAlign w:val="superscript"/>
        </w:rPr>
      </w:pPr>
      <w:r>
        <w:rPr>
          <w:rFonts w:ascii="Arial" w:cs="Arial" w:eastAsia="Arial" w:hAnsi="Arial"/>
          <w:sz w:val="14"/>
          <w:szCs w:val="14"/>
          <w:color w:val="auto"/>
        </w:rPr>
        <w:t>The amounts reported represent the aggregate grant-date fair value of RSUs calculated in accordance with ASC Topic 718. The assumptions used in calculating the grant-date fair value of the RSUs reported in this column are set forth in the section titled “Management’s Discussion and Analysis of Financial Condition and Results of Operations—Critical Accounting Policies and Judgments.”</w:t>
      </w:r>
    </w:p>
    <w:p>
      <w:pPr>
        <w:spacing w:after="0" w:line="1" w:lineRule="exact"/>
        <w:rPr>
          <w:rFonts w:ascii="Arial" w:cs="Arial" w:eastAsia="Arial" w:hAnsi="Arial"/>
          <w:sz w:val="23"/>
          <w:szCs w:val="23"/>
          <w:color w:val="auto"/>
          <w:vertAlign w:val="superscript"/>
        </w:rPr>
      </w:pPr>
    </w:p>
    <w:p>
      <w:pPr>
        <w:ind w:left="1380" w:hanging="268"/>
        <w:spacing w:after="0" w:line="185" w:lineRule="auto"/>
        <w:tabs>
          <w:tab w:leader="none" w:pos="1380" w:val="left"/>
        </w:tabs>
        <w:numPr>
          <w:ilvl w:val="0"/>
          <w:numId w:val="68"/>
        </w:numPr>
        <w:rPr>
          <w:rFonts w:ascii="Arial" w:cs="Arial" w:eastAsia="Arial" w:hAnsi="Arial"/>
          <w:sz w:val="19"/>
          <w:szCs w:val="19"/>
          <w:color w:val="auto"/>
          <w:vertAlign w:val="superscript"/>
        </w:rPr>
      </w:pPr>
      <w:r>
        <w:rPr>
          <w:rFonts w:ascii="Arial" w:cs="Arial" w:eastAsia="Arial" w:hAnsi="Arial"/>
          <w:sz w:val="12"/>
          <w:szCs w:val="12"/>
          <w:color w:val="auto"/>
        </w:rPr>
        <w:t>Amounts represent matching 401(k) contributions of $3,000 and, in the case of Mr. Clark, transportation reimbursements (to and from work) of $13,136.</w:t>
      </w:r>
    </w:p>
    <w:p>
      <w:pPr>
        <w:spacing w:after="0" w:line="262" w:lineRule="exact"/>
        <w:rPr>
          <w:sz w:val="20"/>
          <w:szCs w:val="20"/>
          <w:color w:val="auto"/>
        </w:rPr>
      </w:pPr>
    </w:p>
    <w:p>
      <w:pPr>
        <w:ind w:left="1120"/>
        <w:spacing w:after="0"/>
        <w:rPr>
          <w:sz w:val="20"/>
          <w:szCs w:val="20"/>
          <w:color w:val="auto"/>
        </w:rPr>
      </w:pPr>
      <w:r>
        <w:rPr>
          <w:rFonts w:ascii="Arial" w:cs="Arial" w:eastAsia="Arial" w:hAnsi="Arial"/>
          <w:sz w:val="15"/>
          <w:szCs w:val="15"/>
          <w:b w:val="1"/>
          <w:bCs w:val="1"/>
          <w:color w:val="auto"/>
        </w:rPr>
        <w:t>Non-Equity Incentive Plan Compensation</w:t>
      </w:r>
    </w:p>
    <w:p>
      <w:pPr>
        <w:spacing w:after="0" w:line="102" w:lineRule="exact"/>
        <w:rPr>
          <w:sz w:val="20"/>
          <w:szCs w:val="20"/>
          <w:color w:val="auto"/>
        </w:rPr>
      </w:pPr>
    </w:p>
    <w:p>
      <w:pPr>
        <w:ind w:left="1120" w:right="100" w:firstLine="368"/>
        <w:spacing w:after="0" w:line="275" w:lineRule="auto"/>
        <w:rPr>
          <w:sz w:val="20"/>
          <w:szCs w:val="20"/>
          <w:color w:val="auto"/>
        </w:rPr>
      </w:pPr>
      <w:r>
        <w:rPr>
          <w:rFonts w:ascii="Arial" w:cs="Arial" w:eastAsia="Arial" w:hAnsi="Arial"/>
          <w:sz w:val="15"/>
          <w:szCs w:val="15"/>
          <w:color w:val="auto"/>
        </w:rPr>
        <w:t>Each of our named executive officers participated in our 2017 Cash Bonus Plan, or the 2017 Bonus Plan, which provides for cash bonus amounts based on our achievements of key company performance metrics.</w:t>
      </w:r>
    </w:p>
    <w:p>
      <w:pPr>
        <w:spacing w:after="0" w:line="146" w:lineRule="exact"/>
        <w:rPr>
          <w:sz w:val="20"/>
          <w:szCs w:val="20"/>
          <w:color w:val="auto"/>
        </w:rPr>
      </w:pPr>
    </w:p>
    <w:p>
      <w:pPr>
        <w:ind w:left="1120" w:right="100" w:firstLine="368"/>
        <w:spacing w:after="0" w:line="259" w:lineRule="auto"/>
        <w:rPr>
          <w:sz w:val="20"/>
          <w:szCs w:val="20"/>
          <w:color w:val="auto"/>
        </w:rPr>
      </w:pPr>
      <w:r>
        <w:rPr>
          <w:rFonts w:ascii="Arial" w:cs="Arial" w:eastAsia="Arial" w:hAnsi="Arial"/>
          <w:sz w:val="15"/>
          <w:szCs w:val="15"/>
          <w:color w:val="auto"/>
        </w:rPr>
        <w:t>Under the 2017 Bonus Plan, a cash bonus pool under our 2017 Bonus Plan is established if we achieve certain corporate financial performance measures based on revenue and free cash flow. Our Board of Directors retains the discretion to increase or decrease the cash bonus pool under the 2017 Bonus Plan based on our achievements of those corporate financial performance measures in 2017. In addition, the actual bonus amount payable under the 2017 Bonus Plan may be modified based on individual performance for 2017.</w:t>
      </w:r>
    </w:p>
    <w:p>
      <w:pPr>
        <w:spacing w:after="0" w:line="101" w:lineRule="exact"/>
        <w:rPr>
          <w:sz w:val="20"/>
          <w:szCs w:val="20"/>
          <w:color w:val="auto"/>
        </w:rPr>
      </w:pPr>
    </w:p>
    <w:p>
      <w:pPr>
        <w:ind w:left="5600"/>
        <w:spacing w:after="0"/>
        <w:rPr>
          <w:sz w:val="20"/>
          <w:szCs w:val="20"/>
          <w:color w:val="auto"/>
        </w:rPr>
      </w:pPr>
      <w:r>
        <w:rPr>
          <w:rFonts w:ascii="Arial" w:cs="Arial" w:eastAsia="Arial" w:hAnsi="Arial"/>
          <w:sz w:val="15"/>
          <w:szCs w:val="15"/>
          <w:color w:val="auto"/>
        </w:rPr>
        <w:t>146</w:t>
      </w:r>
    </w:p>
    <w:p>
      <w:pPr>
        <w:sectPr>
          <w:pgSz w:w="11900" w:h="16838" w:orient="portrait"/>
          <w:cols w:equalWidth="0" w:num="1">
            <w:col w:w="10320"/>
          </w:cols>
          <w:pgMar w:left="240" w:top="407" w:right="1339" w:bottom="1440" w:gutter="0" w:footer="0" w:header="0"/>
        </w:sectPr>
      </w:pPr>
    </w:p>
    <w:bookmarkStart w:id="153" w:name="page154"/>
    <w:bookmarkEnd w:id="153"/>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133350</wp:posOffset>
            </wp:positionH>
            <wp:positionV relativeFrom="page">
              <wp:posOffset>88900</wp:posOffset>
            </wp:positionV>
            <wp:extent cx="7308850" cy="3429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308850" cy="34290"/>
                    </a:xfrm>
                    <a:prstGeom prst="rect">
                      <a:avLst/>
                    </a:prstGeom>
                    <a:noFill/>
                  </pic:spPr>
                </pic:pic>
              </a:graphicData>
            </a:graphic>
          </wp:anchor>
        </w:drawing>
      </w:r>
      <w:hyperlink w:anchor="page7">
        <w:r>
          <w:rPr>
            <w:rFonts w:ascii="Arial" w:cs="Arial" w:eastAsia="Arial" w:hAnsi="Arial"/>
            <w:sz w:val="15"/>
            <w:szCs w:val="15"/>
            <w:b w:val="1"/>
            <w:bCs w:val="1"/>
            <w:u w:val="single" w:color="auto"/>
            <w:color w:val="0000EE"/>
          </w:rPr>
          <w:t>Table of Contents</w:t>
        </w:r>
      </w:hyperlink>
    </w:p>
    <w:p>
      <w:pPr>
        <w:spacing w:after="0" w:line="260" w:lineRule="exact"/>
        <w:rPr>
          <w:sz w:val="20"/>
          <w:szCs w:val="20"/>
          <w:color w:val="auto"/>
        </w:rPr>
      </w:pPr>
    </w:p>
    <w:p>
      <w:pPr>
        <w:ind w:left="1120" w:right="80" w:firstLine="368"/>
        <w:spacing w:after="0" w:line="305" w:lineRule="auto"/>
        <w:rPr>
          <w:sz w:val="20"/>
          <w:szCs w:val="20"/>
          <w:color w:val="auto"/>
        </w:rPr>
      </w:pPr>
      <w:r>
        <w:rPr>
          <w:rFonts w:ascii="Arial" w:cs="Arial" w:eastAsia="Arial" w:hAnsi="Arial"/>
          <w:sz w:val="13"/>
          <w:szCs w:val="13"/>
          <w:color w:val="auto"/>
        </w:rPr>
        <w:t>Following the end of 2017, our compensation committee reviewed our achievements against the revenue and free cash flow corporate financial performance measures and determined that we exceeded target levels of achievement for each of these performance measures. Accordingly, the annual bonus payment for each of our named executive officers was calculated based on 100% of his target bonus amount, which is described under “— Executive Employment Arrangements.” Mr. Clark’s amount is pro-rated based on his length of service with us in 2017. The actual bonus amounts payable to our named executive officers under the 2017 Bonus Plan are set forth in the “2017 Summary Compensation Table.”</w:t>
      </w:r>
    </w:p>
    <w:p>
      <w:pPr>
        <w:spacing w:after="0" w:line="219" w:lineRule="exact"/>
        <w:rPr>
          <w:sz w:val="20"/>
          <w:szCs w:val="20"/>
          <w:color w:val="auto"/>
        </w:rPr>
      </w:pPr>
    </w:p>
    <w:p>
      <w:pPr>
        <w:ind w:left="1120"/>
        <w:spacing w:after="0"/>
        <w:rPr>
          <w:sz w:val="20"/>
          <w:szCs w:val="20"/>
          <w:color w:val="auto"/>
        </w:rPr>
      </w:pPr>
      <w:r>
        <w:rPr>
          <w:rFonts w:ascii="Arial" w:cs="Arial" w:eastAsia="Arial" w:hAnsi="Arial"/>
          <w:sz w:val="15"/>
          <w:szCs w:val="15"/>
          <w:b w:val="1"/>
          <w:bCs w:val="1"/>
          <w:color w:val="auto"/>
        </w:rPr>
        <w:t>Outstanding Equity Awards at 2017 Year-End</w:t>
      </w:r>
    </w:p>
    <w:p>
      <w:pPr>
        <w:spacing w:after="0" w:line="102" w:lineRule="exact"/>
        <w:rPr>
          <w:sz w:val="20"/>
          <w:szCs w:val="20"/>
          <w:color w:val="auto"/>
        </w:rPr>
      </w:pPr>
    </w:p>
    <w:p>
      <w:pPr>
        <w:ind w:left="1480"/>
        <w:spacing w:after="0"/>
        <w:rPr>
          <w:sz w:val="20"/>
          <w:szCs w:val="20"/>
          <w:color w:val="auto"/>
        </w:rPr>
      </w:pPr>
      <w:r>
        <w:rPr>
          <w:rFonts w:ascii="Arial" w:cs="Arial" w:eastAsia="Arial" w:hAnsi="Arial"/>
          <w:sz w:val="14"/>
          <w:szCs w:val="14"/>
          <w:color w:val="auto"/>
        </w:rPr>
        <w:t>The following table sets forth information regarding outstanding equity awards held by our named executive officers as of December 31, 2017.</w:t>
      </w:r>
    </w:p>
    <w:p>
      <w:pPr>
        <w:spacing w:after="0" w:line="213" w:lineRule="exact"/>
        <w:rPr>
          <w:sz w:val="20"/>
          <w:szCs w:val="20"/>
          <w:color w:val="auto"/>
        </w:rPr>
      </w:pPr>
    </w:p>
    <w:tbl>
      <w:tblPr>
        <w:tblLayout w:type="fixed"/>
        <w:tblInd w:w="1860" w:type="dxa"/>
        <w:tblCellMar>
          <w:top w:w="0" w:type="dxa"/>
          <w:left w:w="0" w:type="dxa"/>
          <w:bottom w:w="0" w:type="dxa"/>
          <w:right w:w="0" w:type="dxa"/>
        </w:tblCellMar>
      </w:tblPr>
      <w:tr>
        <w:trPr>
          <w:trHeight w:val="144"/>
        </w:trPr>
        <w:tc>
          <w:tcPr>
            <w:tcW w:w="300" w:type="dxa"/>
            <w:vAlign w:val="bottom"/>
          </w:tcPr>
          <w:p>
            <w:pPr>
              <w:spacing w:after="0"/>
              <w:rPr>
                <w:sz w:val="12"/>
                <w:szCs w:val="12"/>
                <w:color w:val="auto"/>
              </w:rPr>
            </w:pPr>
          </w:p>
        </w:tc>
        <w:tc>
          <w:tcPr>
            <w:tcW w:w="44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00" w:type="dxa"/>
            <w:vAlign w:val="bottom"/>
            <w:gridSpan w:val="4"/>
          </w:tcPr>
          <w:p>
            <w:pPr>
              <w:jc w:val="right"/>
              <w:ind w:right="680"/>
              <w:spacing w:after="0"/>
              <w:rPr>
                <w:sz w:val="20"/>
                <w:szCs w:val="20"/>
                <w:color w:val="auto"/>
              </w:rPr>
            </w:pPr>
            <w:r>
              <w:rPr>
                <w:rFonts w:ascii="Arial" w:cs="Arial" w:eastAsia="Arial" w:hAnsi="Arial"/>
                <w:sz w:val="12"/>
                <w:szCs w:val="12"/>
                <w:b w:val="1"/>
                <w:bCs w:val="1"/>
                <w:color w:val="auto"/>
              </w:rPr>
              <w:t>Stock awards</w:t>
            </w:r>
          </w:p>
        </w:tc>
        <w:tc>
          <w:tcPr>
            <w:tcW w:w="0" w:type="dxa"/>
            <w:vAlign w:val="bottom"/>
          </w:tcPr>
          <w:p>
            <w:pPr>
              <w:spacing w:after="0"/>
              <w:rPr>
                <w:sz w:val="1"/>
                <w:szCs w:val="1"/>
                <w:color w:val="auto"/>
              </w:rPr>
            </w:pPr>
          </w:p>
        </w:tc>
      </w:tr>
      <w:tr>
        <w:trPr>
          <w:trHeight w:val="96"/>
        </w:trPr>
        <w:tc>
          <w:tcPr>
            <w:tcW w:w="300" w:type="dxa"/>
            <w:vAlign w:val="bottom"/>
          </w:tcPr>
          <w:p>
            <w:pPr>
              <w:spacing w:after="0"/>
              <w:rPr>
                <w:sz w:val="8"/>
                <w:szCs w:val="8"/>
                <w:color w:val="auto"/>
              </w:rPr>
            </w:pPr>
          </w:p>
        </w:tc>
        <w:tc>
          <w:tcPr>
            <w:tcW w:w="4400" w:type="dxa"/>
            <w:vAlign w:val="bottom"/>
          </w:tcPr>
          <w:p>
            <w:pPr>
              <w:spacing w:after="0"/>
              <w:rPr>
                <w:sz w:val="8"/>
                <w:szCs w:val="8"/>
                <w:color w:val="auto"/>
              </w:rPr>
            </w:pPr>
          </w:p>
        </w:tc>
        <w:tc>
          <w:tcPr>
            <w:tcW w:w="600" w:type="dxa"/>
            <w:vAlign w:val="bottom"/>
          </w:tcPr>
          <w:p>
            <w:pPr>
              <w:spacing w:after="0"/>
              <w:rPr>
                <w:sz w:val="8"/>
                <w:szCs w:val="8"/>
                <w:color w:val="auto"/>
              </w:rPr>
            </w:pPr>
          </w:p>
        </w:tc>
        <w:tc>
          <w:tcPr>
            <w:tcW w:w="420" w:type="dxa"/>
            <w:vAlign w:val="bottom"/>
          </w:tcPr>
          <w:p>
            <w:pPr>
              <w:spacing w:after="0"/>
              <w:rPr>
                <w:sz w:val="8"/>
                <w:szCs w:val="8"/>
                <w:color w:val="auto"/>
              </w:rPr>
            </w:pPr>
          </w:p>
        </w:tc>
        <w:tc>
          <w:tcPr>
            <w:tcW w:w="1100" w:type="dxa"/>
            <w:vAlign w:val="bottom"/>
            <w:tcBorders>
              <w:top w:val="single" w:sz="8" w:color="auto"/>
            </w:tcBorders>
            <w:gridSpan w:val="2"/>
          </w:tcPr>
          <w:p>
            <w:pPr>
              <w:jc w:val="center"/>
              <w:ind w:right="340"/>
              <w:spacing w:after="0" w:line="96" w:lineRule="exact"/>
              <w:rPr>
                <w:sz w:val="20"/>
                <w:szCs w:val="20"/>
                <w:color w:val="auto"/>
              </w:rPr>
            </w:pPr>
            <w:r>
              <w:rPr>
                <w:rFonts w:ascii="Arial" w:cs="Arial" w:eastAsia="Arial" w:hAnsi="Arial"/>
                <w:sz w:val="11"/>
                <w:szCs w:val="11"/>
                <w:b w:val="1"/>
                <w:bCs w:val="1"/>
                <w:color w:val="auto"/>
              </w:rPr>
              <w:t>Number of</w:t>
            </w:r>
          </w:p>
        </w:tc>
        <w:tc>
          <w:tcPr>
            <w:tcW w:w="840" w:type="dxa"/>
            <w:vAlign w:val="bottom"/>
            <w:tcBorders>
              <w:top w:val="single" w:sz="8" w:color="auto"/>
            </w:tcBorders>
          </w:tcPr>
          <w:p>
            <w:pPr>
              <w:jc w:val="center"/>
              <w:spacing w:after="0" w:line="96" w:lineRule="exact"/>
              <w:rPr>
                <w:sz w:val="20"/>
                <w:szCs w:val="20"/>
                <w:color w:val="auto"/>
              </w:rPr>
            </w:pPr>
            <w:r>
              <w:rPr>
                <w:rFonts w:ascii="Arial" w:cs="Arial" w:eastAsia="Arial" w:hAnsi="Arial"/>
                <w:sz w:val="11"/>
                <w:szCs w:val="11"/>
                <w:b w:val="1"/>
                <w:bCs w:val="1"/>
                <w:color w:val="auto"/>
              </w:rPr>
              <w:t>Market value</w:t>
            </w: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4"/>
        </w:trPr>
        <w:tc>
          <w:tcPr>
            <w:tcW w:w="300" w:type="dxa"/>
            <w:vAlign w:val="bottom"/>
          </w:tcPr>
          <w:p>
            <w:pPr>
              <w:spacing w:after="0"/>
              <w:rPr>
                <w:sz w:val="10"/>
                <w:szCs w:val="10"/>
                <w:color w:val="auto"/>
              </w:rPr>
            </w:pPr>
          </w:p>
        </w:tc>
        <w:tc>
          <w:tcPr>
            <w:tcW w:w="44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100" w:type="dxa"/>
            <w:vAlign w:val="bottom"/>
            <w:gridSpan w:val="2"/>
          </w:tcPr>
          <w:p>
            <w:pPr>
              <w:jc w:val="center"/>
              <w:ind w:right="340"/>
              <w:spacing w:after="0" w:line="124" w:lineRule="exact"/>
              <w:rPr>
                <w:sz w:val="20"/>
                <w:szCs w:val="20"/>
                <w:color w:val="auto"/>
              </w:rPr>
            </w:pPr>
            <w:r>
              <w:rPr>
                <w:rFonts w:ascii="Arial" w:cs="Arial" w:eastAsia="Arial" w:hAnsi="Arial"/>
                <w:sz w:val="12"/>
                <w:szCs w:val="12"/>
                <w:b w:val="1"/>
                <w:bCs w:val="1"/>
                <w:color w:val="auto"/>
                <w:w w:val="88"/>
              </w:rPr>
              <w:t>shares or</w:t>
            </w:r>
          </w:p>
        </w:tc>
        <w:tc>
          <w:tcPr>
            <w:tcW w:w="900" w:type="dxa"/>
            <w:vAlign w:val="bottom"/>
            <w:gridSpan w:val="2"/>
          </w:tcPr>
          <w:p>
            <w:pPr>
              <w:jc w:val="center"/>
              <w:ind w:right="60"/>
              <w:spacing w:after="0" w:line="124" w:lineRule="exact"/>
              <w:rPr>
                <w:sz w:val="20"/>
                <w:szCs w:val="20"/>
                <w:color w:val="auto"/>
              </w:rPr>
            </w:pPr>
            <w:r>
              <w:rPr>
                <w:rFonts w:ascii="Arial" w:cs="Arial" w:eastAsia="Arial" w:hAnsi="Arial"/>
                <w:sz w:val="12"/>
                <w:szCs w:val="12"/>
                <w:b w:val="1"/>
                <w:bCs w:val="1"/>
                <w:color w:val="auto"/>
                <w:w w:val="87"/>
              </w:rPr>
              <w:t>of shares or</w:t>
            </w:r>
          </w:p>
        </w:tc>
        <w:tc>
          <w:tcPr>
            <w:tcW w:w="0" w:type="dxa"/>
            <w:vAlign w:val="bottom"/>
          </w:tcPr>
          <w:p>
            <w:pPr>
              <w:spacing w:after="0"/>
              <w:rPr>
                <w:sz w:val="1"/>
                <w:szCs w:val="1"/>
                <w:color w:val="auto"/>
              </w:rPr>
            </w:pPr>
          </w:p>
        </w:tc>
      </w:tr>
      <w:tr>
        <w:trPr>
          <w:trHeight w:val="124"/>
        </w:trPr>
        <w:tc>
          <w:tcPr>
            <w:tcW w:w="300" w:type="dxa"/>
            <w:vAlign w:val="bottom"/>
          </w:tcPr>
          <w:p>
            <w:pPr>
              <w:spacing w:after="0"/>
              <w:rPr>
                <w:sz w:val="10"/>
                <w:szCs w:val="10"/>
                <w:color w:val="auto"/>
              </w:rPr>
            </w:pPr>
          </w:p>
        </w:tc>
        <w:tc>
          <w:tcPr>
            <w:tcW w:w="4400" w:type="dxa"/>
            <w:vAlign w:val="bottom"/>
          </w:tcPr>
          <w:p>
            <w:pPr>
              <w:spacing w:after="0"/>
              <w:rPr>
                <w:sz w:val="10"/>
                <w:szCs w:val="10"/>
                <w:color w:val="auto"/>
              </w:rPr>
            </w:pPr>
          </w:p>
        </w:tc>
        <w:tc>
          <w:tcPr>
            <w:tcW w:w="1020" w:type="dxa"/>
            <w:vAlign w:val="bottom"/>
            <w:gridSpan w:val="2"/>
            <w:vMerge w:val="restart"/>
          </w:tcPr>
          <w:p>
            <w:pPr>
              <w:jc w:val="right"/>
              <w:ind w:right="496"/>
              <w:spacing w:after="0"/>
              <w:rPr>
                <w:sz w:val="20"/>
                <w:szCs w:val="20"/>
                <w:color w:val="auto"/>
              </w:rPr>
            </w:pPr>
            <w:r>
              <w:rPr>
                <w:rFonts w:ascii="Arial" w:cs="Arial" w:eastAsia="Arial" w:hAnsi="Arial"/>
                <w:sz w:val="12"/>
                <w:szCs w:val="12"/>
                <w:b w:val="1"/>
                <w:bCs w:val="1"/>
                <w:color w:val="auto"/>
              </w:rPr>
              <w:t>Grant</w:t>
            </w:r>
          </w:p>
        </w:tc>
        <w:tc>
          <w:tcPr>
            <w:tcW w:w="1100" w:type="dxa"/>
            <w:vAlign w:val="bottom"/>
            <w:gridSpan w:val="2"/>
          </w:tcPr>
          <w:p>
            <w:pPr>
              <w:jc w:val="center"/>
              <w:ind w:right="340"/>
              <w:spacing w:after="0" w:line="124" w:lineRule="exact"/>
              <w:rPr>
                <w:sz w:val="20"/>
                <w:szCs w:val="20"/>
                <w:color w:val="auto"/>
              </w:rPr>
            </w:pPr>
            <w:r>
              <w:rPr>
                <w:rFonts w:ascii="Arial" w:cs="Arial" w:eastAsia="Arial" w:hAnsi="Arial"/>
                <w:sz w:val="12"/>
                <w:szCs w:val="12"/>
                <w:b w:val="1"/>
                <w:bCs w:val="1"/>
                <w:color w:val="auto"/>
                <w:w w:val="87"/>
              </w:rPr>
              <w:t>units of stock</w:t>
            </w:r>
          </w:p>
        </w:tc>
        <w:tc>
          <w:tcPr>
            <w:tcW w:w="900" w:type="dxa"/>
            <w:vAlign w:val="bottom"/>
            <w:gridSpan w:val="2"/>
          </w:tcPr>
          <w:p>
            <w:pPr>
              <w:jc w:val="center"/>
              <w:ind w:right="60"/>
              <w:spacing w:after="0" w:line="124" w:lineRule="exact"/>
              <w:rPr>
                <w:sz w:val="20"/>
                <w:szCs w:val="20"/>
                <w:color w:val="auto"/>
              </w:rPr>
            </w:pPr>
            <w:r>
              <w:rPr>
                <w:rFonts w:ascii="Arial" w:cs="Arial" w:eastAsia="Arial" w:hAnsi="Arial"/>
                <w:sz w:val="12"/>
                <w:szCs w:val="12"/>
                <w:b w:val="1"/>
                <w:bCs w:val="1"/>
                <w:color w:val="auto"/>
                <w:w w:val="87"/>
              </w:rPr>
              <w:t>units of stock</w:t>
            </w:r>
          </w:p>
        </w:tc>
        <w:tc>
          <w:tcPr>
            <w:tcW w:w="0" w:type="dxa"/>
            <w:vAlign w:val="bottom"/>
          </w:tcPr>
          <w:p>
            <w:pPr>
              <w:spacing w:after="0"/>
              <w:rPr>
                <w:sz w:val="1"/>
                <w:szCs w:val="1"/>
                <w:color w:val="auto"/>
              </w:rPr>
            </w:pPr>
          </w:p>
        </w:tc>
      </w:tr>
      <w:tr>
        <w:trPr>
          <w:trHeight w:val="124"/>
        </w:trPr>
        <w:tc>
          <w:tcPr>
            <w:tcW w:w="300" w:type="dxa"/>
            <w:vAlign w:val="bottom"/>
            <w:vMerge w:val="restart"/>
          </w:tcPr>
          <w:p>
            <w:pPr>
              <w:spacing w:after="0"/>
              <w:rPr>
                <w:sz w:val="20"/>
                <w:szCs w:val="20"/>
                <w:color w:val="auto"/>
              </w:rPr>
            </w:pPr>
            <w:r>
              <w:rPr>
                <w:rFonts w:ascii="Arial" w:cs="Arial" w:eastAsia="Arial" w:hAnsi="Arial"/>
                <w:sz w:val="12"/>
                <w:szCs w:val="12"/>
                <w:b w:val="1"/>
                <w:bCs w:val="1"/>
                <w:color w:val="auto"/>
                <w:w w:val="85"/>
              </w:rPr>
              <w:t>Name</w:t>
            </w:r>
          </w:p>
        </w:tc>
        <w:tc>
          <w:tcPr>
            <w:tcW w:w="4400" w:type="dxa"/>
            <w:vAlign w:val="bottom"/>
            <w:vMerge w:val="restart"/>
          </w:tcPr>
          <w:p>
            <w:pPr>
              <w:spacing w:after="0"/>
              <w:rPr>
                <w:sz w:val="10"/>
                <w:szCs w:val="10"/>
                <w:color w:val="auto"/>
              </w:rPr>
            </w:pPr>
          </w:p>
        </w:tc>
        <w:tc>
          <w:tcPr>
            <w:tcW w:w="1020" w:type="dxa"/>
            <w:vAlign w:val="bottom"/>
            <w:gridSpan w:val="2"/>
            <w:vMerge w:val="continue"/>
          </w:tcPr>
          <w:p>
            <w:pPr>
              <w:spacing w:after="0"/>
              <w:rPr>
                <w:sz w:val="10"/>
                <w:szCs w:val="10"/>
                <w:color w:val="auto"/>
              </w:rPr>
            </w:pPr>
          </w:p>
        </w:tc>
        <w:tc>
          <w:tcPr>
            <w:tcW w:w="1100" w:type="dxa"/>
            <w:vAlign w:val="bottom"/>
            <w:gridSpan w:val="2"/>
          </w:tcPr>
          <w:p>
            <w:pPr>
              <w:jc w:val="center"/>
              <w:ind w:right="340"/>
              <w:spacing w:after="0" w:line="124" w:lineRule="exact"/>
              <w:rPr>
                <w:sz w:val="20"/>
                <w:szCs w:val="20"/>
                <w:color w:val="auto"/>
              </w:rPr>
            </w:pPr>
            <w:r>
              <w:rPr>
                <w:rFonts w:ascii="Arial" w:cs="Arial" w:eastAsia="Arial" w:hAnsi="Arial"/>
                <w:sz w:val="12"/>
                <w:szCs w:val="12"/>
                <w:b w:val="1"/>
                <w:bCs w:val="1"/>
                <w:color w:val="auto"/>
                <w:w w:val="90"/>
              </w:rPr>
              <w:t>that have not</w:t>
            </w:r>
          </w:p>
        </w:tc>
        <w:tc>
          <w:tcPr>
            <w:tcW w:w="900" w:type="dxa"/>
            <w:vAlign w:val="bottom"/>
            <w:gridSpan w:val="2"/>
          </w:tcPr>
          <w:p>
            <w:pPr>
              <w:jc w:val="center"/>
              <w:ind w:right="60"/>
              <w:spacing w:after="0" w:line="124" w:lineRule="exact"/>
              <w:rPr>
                <w:sz w:val="20"/>
                <w:szCs w:val="20"/>
                <w:color w:val="auto"/>
              </w:rPr>
            </w:pPr>
            <w:r>
              <w:rPr>
                <w:rFonts w:ascii="Arial" w:cs="Arial" w:eastAsia="Arial" w:hAnsi="Arial"/>
                <w:sz w:val="12"/>
                <w:szCs w:val="12"/>
                <w:b w:val="1"/>
                <w:bCs w:val="1"/>
                <w:color w:val="auto"/>
                <w:w w:val="90"/>
              </w:rPr>
              <w:t>that have not</w:t>
            </w:r>
          </w:p>
        </w:tc>
        <w:tc>
          <w:tcPr>
            <w:tcW w:w="0" w:type="dxa"/>
            <w:vAlign w:val="bottom"/>
          </w:tcPr>
          <w:p>
            <w:pPr>
              <w:spacing w:after="0"/>
              <w:rPr>
                <w:sz w:val="1"/>
                <w:szCs w:val="1"/>
                <w:color w:val="auto"/>
              </w:rPr>
            </w:pPr>
          </w:p>
        </w:tc>
      </w:tr>
      <w:tr>
        <w:trPr>
          <w:trHeight w:val="164"/>
        </w:trPr>
        <w:tc>
          <w:tcPr>
            <w:tcW w:w="300" w:type="dxa"/>
            <w:vAlign w:val="bottom"/>
            <w:tcBorders>
              <w:bottom w:val="single" w:sz="8" w:color="auto"/>
            </w:tcBorders>
            <w:vMerge w:val="continue"/>
          </w:tcPr>
          <w:p>
            <w:pPr>
              <w:spacing w:after="0"/>
              <w:rPr>
                <w:sz w:val="14"/>
                <w:szCs w:val="14"/>
                <w:color w:val="auto"/>
              </w:rPr>
            </w:pPr>
          </w:p>
        </w:tc>
        <w:tc>
          <w:tcPr>
            <w:tcW w:w="4400" w:type="dxa"/>
            <w:vAlign w:val="bottom"/>
            <w:tcBorders>
              <w:bottom w:val="single" w:sz="8" w:color="CCEEFF"/>
            </w:tcBorders>
            <w:vMerge w:val="continue"/>
          </w:tcPr>
          <w:p>
            <w:pPr>
              <w:spacing w:after="0"/>
              <w:rPr>
                <w:sz w:val="14"/>
                <w:szCs w:val="14"/>
                <w:color w:val="auto"/>
              </w:rPr>
            </w:pPr>
          </w:p>
        </w:tc>
        <w:tc>
          <w:tcPr>
            <w:tcW w:w="600" w:type="dxa"/>
            <w:vAlign w:val="bottom"/>
            <w:tcBorders>
              <w:bottom w:val="single" w:sz="8" w:color="auto"/>
            </w:tcBorders>
          </w:tcPr>
          <w:p>
            <w:pPr>
              <w:jc w:val="right"/>
              <w:ind w:right="131"/>
              <w:spacing w:after="0"/>
              <w:rPr>
                <w:sz w:val="20"/>
                <w:szCs w:val="20"/>
                <w:color w:val="auto"/>
              </w:rPr>
            </w:pPr>
            <w:r>
              <w:rPr>
                <w:rFonts w:ascii="Arial" w:cs="Arial" w:eastAsia="Arial" w:hAnsi="Arial"/>
                <w:sz w:val="12"/>
                <w:szCs w:val="12"/>
                <w:b w:val="1"/>
                <w:bCs w:val="1"/>
                <w:color w:val="auto"/>
              </w:rPr>
              <w:t>date</w:t>
            </w:r>
          </w:p>
        </w:tc>
        <w:tc>
          <w:tcPr>
            <w:tcW w:w="420" w:type="dxa"/>
            <w:vAlign w:val="bottom"/>
            <w:tcBorders>
              <w:bottom w:val="single" w:sz="8" w:color="CCEEFF"/>
            </w:tcBorders>
          </w:tcPr>
          <w:p>
            <w:pPr>
              <w:spacing w:after="0"/>
              <w:rPr>
                <w:sz w:val="14"/>
                <w:szCs w:val="14"/>
                <w:color w:val="auto"/>
              </w:rPr>
            </w:pPr>
          </w:p>
        </w:tc>
        <w:tc>
          <w:tcPr>
            <w:tcW w:w="76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84"/>
              </w:rPr>
              <w:t>vested</w:t>
            </w:r>
          </w:p>
        </w:tc>
        <w:tc>
          <w:tcPr>
            <w:tcW w:w="340" w:type="dxa"/>
            <w:vAlign w:val="bottom"/>
            <w:tcBorders>
              <w:bottom w:val="single" w:sz="8" w:color="CCEEFF"/>
            </w:tcBorders>
          </w:tcPr>
          <w:p>
            <w:pPr>
              <w:spacing w:after="0"/>
              <w:rPr>
                <w:sz w:val="14"/>
                <w:szCs w:val="14"/>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87"/>
              </w:rPr>
              <w:t>vested ($)</w:t>
            </w:r>
            <w:r>
              <w:rPr>
                <w:rFonts w:ascii="Arial" w:cs="Arial" w:eastAsia="Arial" w:hAnsi="Arial"/>
                <w:sz w:val="10"/>
                <w:szCs w:val="10"/>
                <w:b w:val="1"/>
                <w:bCs w:val="1"/>
                <w:color w:val="auto"/>
                <w:w w:val="87"/>
              </w:rPr>
              <w:t>(1)</w:t>
            </w:r>
          </w:p>
        </w:tc>
        <w:tc>
          <w:tcPr>
            <w:tcW w:w="6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52"/>
        </w:trPr>
        <w:tc>
          <w:tcPr>
            <w:tcW w:w="4700" w:type="dxa"/>
            <w:vAlign w:val="bottom"/>
            <w:gridSpan w:val="2"/>
            <w:shd w:val="clear" w:color="auto" w:fill="CCEEFF"/>
          </w:tcPr>
          <w:p>
            <w:pPr>
              <w:spacing w:after="0" w:line="152" w:lineRule="exact"/>
              <w:rPr>
                <w:sz w:val="20"/>
                <w:szCs w:val="20"/>
                <w:color w:val="auto"/>
              </w:rPr>
            </w:pPr>
            <w:r>
              <w:rPr>
                <w:rFonts w:ascii="Arial" w:cs="Arial" w:eastAsia="Arial" w:hAnsi="Arial"/>
                <w:sz w:val="15"/>
                <w:szCs w:val="15"/>
                <w:color w:val="auto"/>
              </w:rPr>
              <w:t>Andrew W. Houston</w:t>
            </w:r>
          </w:p>
        </w:tc>
        <w:tc>
          <w:tcPr>
            <w:tcW w:w="600" w:type="dxa"/>
            <w:vAlign w:val="bottom"/>
            <w:shd w:val="clear" w:color="auto" w:fill="CCEEFF"/>
          </w:tcPr>
          <w:p>
            <w:pPr>
              <w:jc w:val="right"/>
              <w:spacing w:after="0" w:line="152" w:lineRule="exact"/>
              <w:rPr>
                <w:sz w:val="20"/>
                <w:szCs w:val="20"/>
                <w:color w:val="auto"/>
              </w:rPr>
            </w:pPr>
            <w:r>
              <w:rPr>
                <w:rFonts w:ascii="Arial" w:cs="Arial" w:eastAsia="Arial" w:hAnsi="Arial"/>
                <w:sz w:val="15"/>
                <w:szCs w:val="15"/>
                <w:color w:val="auto"/>
                <w:w w:val="99"/>
              </w:rPr>
              <w:t>12/12/17</w:t>
            </w:r>
          </w:p>
        </w:tc>
        <w:tc>
          <w:tcPr>
            <w:tcW w:w="420" w:type="dxa"/>
            <w:vAlign w:val="bottom"/>
            <w:shd w:val="clear" w:color="auto" w:fill="CCEEFF"/>
          </w:tcPr>
          <w:p>
            <w:pPr>
              <w:jc w:val="right"/>
              <w:ind w:right="196"/>
              <w:spacing w:after="0" w:line="122" w:lineRule="exact"/>
              <w:rPr>
                <w:sz w:val="20"/>
                <w:szCs w:val="20"/>
                <w:color w:val="auto"/>
              </w:rPr>
            </w:pPr>
            <w:r>
              <w:rPr>
                <w:rFonts w:ascii="Arial" w:cs="Arial" w:eastAsia="Arial" w:hAnsi="Arial"/>
                <w:sz w:val="13"/>
                <w:szCs w:val="13"/>
                <w:color w:val="auto"/>
                <w:w w:val="87"/>
              </w:rPr>
              <w:t>(2)</w:t>
            </w:r>
          </w:p>
        </w:tc>
        <w:tc>
          <w:tcPr>
            <w:tcW w:w="760" w:type="dxa"/>
            <w:vAlign w:val="bottom"/>
            <w:shd w:val="clear" w:color="auto" w:fill="CCEEFF"/>
          </w:tcPr>
          <w:p>
            <w:pPr>
              <w:jc w:val="right"/>
              <w:spacing w:after="0" w:line="152" w:lineRule="exact"/>
              <w:rPr>
                <w:sz w:val="20"/>
                <w:szCs w:val="20"/>
                <w:color w:val="auto"/>
              </w:rPr>
            </w:pPr>
            <w:r>
              <w:rPr>
                <w:rFonts w:ascii="Arial" w:cs="Arial" w:eastAsia="Arial" w:hAnsi="Arial"/>
                <w:sz w:val="15"/>
                <w:szCs w:val="15"/>
                <w:color w:val="auto"/>
                <w:w w:val="98"/>
              </w:rPr>
              <w:t>10,333,333</w:t>
            </w:r>
          </w:p>
        </w:tc>
        <w:tc>
          <w:tcPr>
            <w:tcW w:w="340" w:type="dxa"/>
            <w:vAlign w:val="bottom"/>
            <w:shd w:val="clear" w:color="auto" w:fill="CCEEFF"/>
          </w:tcPr>
          <w:p>
            <w:pPr>
              <w:spacing w:after="0"/>
              <w:rPr>
                <w:sz w:val="13"/>
                <w:szCs w:val="13"/>
                <w:color w:val="auto"/>
              </w:rPr>
            </w:pPr>
          </w:p>
        </w:tc>
        <w:tc>
          <w:tcPr>
            <w:tcW w:w="840" w:type="dxa"/>
            <w:vAlign w:val="bottom"/>
            <w:shd w:val="clear" w:color="auto" w:fill="CCEEFF"/>
          </w:tcPr>
          <w:p>
            <w:pPr>
              <w:jc w:val="right"/>
              <w:spacing w:after="0" w:line="152" w:lineRule="exact"/>
              <w:rPr>
                <w:sz w:val="20"/>
                <w:szCs w:val="20"/>
                <w:color w:val="auto"/>
              </w:rPr>
            </w:pPr>
            <w:r>
              <w:rPr>
                <w:rFonts w:ascii="Arial" w:cs="Arial" w:eastAsia="Arial" w:hAnsi="Arial"/>
                <w:sz w:val="15"/>
                <w:szCs w:val="15"/>
                <w:color w:val="auto"/>
                <w:w w:val="98"/>
              </w:rPr>
              <w:t>196,333,327</w:t>
            </w:r>
          </w:p>
        </w:tc>
        <w:tc>
          <w:tcPr>
            <w:tcW w:w="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4700" w:type="dxa"/>
            <w:vAlign w:val="bottom"/>
            <w:gridSpan w:val="2"/>
          </w:tcPr>
          <w:p>
            <w:pPr>
              <w:spacing w:after="0"/>
              <w:rPr>
                <w:sz w:val="20"/>
                <w:szCs w:val="20"/>
                <w:color w:val="auto"/>
              </w:rPr>
            </w:pPr>
            <w:r>
              <w:rPr>
                <w:rFonts w:ascii="Arial" w:cs="Arial" w:eastAsia="Arial" w:hAnsi="Arial"/>
                <w:sz w:val="15"/>
                <w:szCs w:val="15"/>
                <w:color w:val="auto"/>
              </w:rPr>
              <w:t>Arash Ferdowsi</w:t>
            </w:r>
          </w:p>
        </w:tc>
        <w:tc>
          <w:tcPr>
            <w:tcW w:w="1020" w:type="dxa"/>
            <w:vAlign w:val="bottom"/>
            <w:gridSpan w:val="2"/>
          </w:tcPr>
          <w:p>
            <w:pPr>
              <w:jc w:val="right"/>
              <w:ind w:right="196"/>
              <w:spacing w:after="0"/>
              <w:rPr>
                <w:sz w:val="20"/>
                <w:szCs w:val="20"/>
                <w:color w:val="auto"/>
              </w:rPr>
            </w:pPr>
            <w:r>
              <w:rPr>
                <w:rFonts w:ascii="Arial" w:cs="Arial" w:eastAsia="Arial" w:hAnsi="Arial"/>
                <w:sz w:val="15"/>
                <w:szCs w:val="15"/>
                <w:color w:val="auto"/>
              </w:rPr>
              <w:t>12/12/17</w:t>
            </w:r>
            <w:r>
              <w:rPr>
                <w:rFonts w:ascii="Arial" w:cs="Arial" w:eastAsia="Arial" w:hAnsi="Arial"/>
                <w:sz w:val="12"/>
                <w:szCs w:val="12"/>
                <w:color w:val="auto"/>
              </w:rPr>
              <w:t>(2)</w:t>
            </w:r>
          </w:p>
        </w:tc>
        <w:tc>
          <w:tcPr>
            <w:tcW w:w="760" w:type="dxa"/>
            <w:vAlign w:val="bottom"/>
          </w:tcPr>
          <w:p>
            <w:pPr>
              <w:jc w:val="right"/>
              <w:spacing w:after="0"/>
              <w:rPr>
                <w:sz w:val="20"/>
                <w:szCs w:val="20"/>
                <w:color w:val="auto"/>
              </w:rPr>
            </w:pPr>
            <w:r>
              <w:rPr>
                <w:rFonts w:ascii="Arial" w:cs="Arial" w:eastAsia="Arial" w:hAnsi="Arial"/>
                <w:sz w:val="15"/>
                <w:szCs w:val="15"/>
                <w:color w:val="auto"/>
              </w:rPr>
              <w:t>4,400,000</w:t>
            </w:r>
          </w:p>
        </w:tc>
        <w:tc>
          <w:tcPr>
            <w:tcW w:w="340" w:type="dxa"/>
            <w:vAlign w:val="bottom"/>
          </w:tcPr>
          <w:p>
            <w:pPr>
              <w:spacing w:after="0"/>
              <w:rPr>
                <w:sz w:val="15"/>
                <w:szCs w:val="15"/>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5"/>
                <w:szCs w:val="15"/>
                <w:color w:val="auto"/>
              </w:rPr>
              <w:t>83,600,000</w:t>
            </w:r>
          </w:p>
        </w:tc>
        <w:tc>
          <w:tcPr>
            <w:tcW w:w="0" w:type="dxa"/>
            <w:vAlign w:val="bottom"/>
          </w:tcPr>
          <w:p>
            <w:pPr>
              <w:spacing w:after="0"/>
              <w:rPr>
                <w:sz w:val="1"/>
                <w:szCs w:val="1"/>
                <w:color w:val="auto"/>
              </w:rPr>
            </w:pPr>
          </w:p>
        </w:tc>
      </w:tr>
      <w:tr>
        <w:trPr>
          <w:trHeight w:val="180"/>
        </w:trPr>
        <w:tc>
          <w:tcPr>
            <w:tcW w:w="470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Quentin J. Clark</w:t>
            </w:r>
          </w:p>
        </w:tc>
        <w:tc>
          <w:tcPr>
            <w:tcW w:w="1020" w:type="dxa"/>
            <w:vAlign w:val="bottom"/>
            <w:gridSpan w:val="2"/>
            <w:shd w:val="clear" w:color="auto" w:fill="CCEEFF"/>
          </w:tcPr>
          <w:p>
            <w:pPr>
              <w:jc w:val="right"/>
              <w:ind w:right="196"/>
              <w:spacing w:after="0"/>
              <w:rPr>
                <w:sz w:val="20"/>
                <w:szCs w:val="20"/>
                <w:color w:val="auto"/>
              </w:rPr>
            </w:pPr>
            <w:r>
              <w:rPr>
                <w:rFonts w:ascii="Arial" w:cs="Arial" w:eastAsia="Arial" w:hAnsi="Arial"/>
                <w:sz w:val="15"/>
                <w:szCs w:val="15"/>
                <w:color w:val="auto"/>
              </w:rPr>
              <w:t>9/8/17</w:t>
            </w:r>
            <w:r>
              <w:rPr>
                <w:rFonts w:ascii="Arial" w:cs="Arial" w:eastAsia="Arial" w:hAnsi="Arial"/>
                <w:sz w:val="12"/>
                <w:szCs w:val="12"/>
                <w:color w:val="auto"/>
              </w:rPr>
              <w:t>(3)</w:t>
            </w:r>
          </w:p>
        </w:tc>
        <w:tc>
          <w:tcPr>
            <w:tcW w:w="7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2,000,000</w:t>
            </w:r>
          </w:p>
        </w:tc>
        <w:tc>
          <w:tcPr>
            <w:tcW w:w="34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38,000,000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709930</wp:posOffset>
            </wp:positionH>
            <wp:positionV relativeFrom="paragraph">
              <wp:posOffset>71755</wp:posOffset>
            </wp:positionV>
            <wp:extent cx="580390" cy="698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580390" cy="6985"/>
                    </a:xfrm>
                    <a:prstGeom prst="rect">
                      <a:avLst/>
                    </a:prstGeom>
                    <a:noFill/>
                  </pic:spPr>
                </pic:pic>
              </a:graphicData>
            </a:graphic>
          </wp:anchor>
        </w:drawing>
      </w:r>
    </w:p>
    <w:p>
      <w:pPr>
        <w:spacing w:after="0" w:line="129" w:lineRule="exact"/>
        <w:rPr>
          <w:sz w:val="20"/>
          <w:szCs w:val="20"/>
          <w:color w:val="auto"/>
        </w:rPr>
      </w:pPr>
    </w:p>
    <w:p>
      <w:pPr>
        <w:ind w:left="1380" w:right="80" w:hanging="268"/>
        <w:spacing w:after="0" w:line="192" w:lineRule="auto"/>
        <w:tabs>
          <w:tab w:leader="none" w:pos="1380" w:val="left"/>
        </w:tabs>
        <w:numPr>
          <w:ilvl w:val="0"/>
          <w:numId w:val="69"/>
        </w:numPr>
        <w:rPr>
          <w:rFonts w:ascii="Arial" w:cs="Arial" w:eastAsia="Arial" w:hAnsi="Arial"/>
          <w:sz w:val="23"/>
          <w:szCs w:val="23"/>
          <w:color w:val="auto"/>
          <w:vertAlign w:val="superscript"/>
        </w:rPr>
      </w:pPr>
      <w:r>
        <w:rPr>
          <w:rFonts w:ascii="Arial" w:cs="Arial" w:eastAsia="Arial" w:hAnsi="Arial"/>
          <w:sz w:val="14"/>
          <w:szCs w:val="14"/>
          <w:color w:val="auto"/>
        </w:rPr>
        <w:t>The market price for our Class A common stock is based upon the assumed initial public offering price of $19.00 per share, which is the midpoint of the estimated offering price range set forth on the cover page of this prospectus.</w:t>
      </w:r>
    </w:p>
    <w:p>
      <w:pPr>
        <w:spacing w:after="0" w:line="1" w:lineRule="exact"/>
        <w:rPr>
          <w:rFonts w:ascii="Arial" w:cs="Arial" w:eastAsia="Arial" w:hAnsi="Arial"/>
          <w:sz w:val="23"/>
          <w:szCs w:val="23"/>
          <w:color w:val="auto"/>
          <w:vertAlign w:val="superscript"/>
        </w:rPr>
      </w:pPr>
    </w:p>
    <w:p>
      <w:pPr>
        <w:ind w:left="1380" w:right="40" w:hanging="268"/>
        <w:spacing w:after="0" w:line="220" w:lineRule="auto"/>
        <w:tabs>
          <w:tab w:leader="none" w:pos="1380" w:val="left"/>
        </w:tabs>
        <w:numPr>
          <w:ilvl w:val="0"/>
          <w:numId w:val="69"/>
        </w:numPr>
        <w:rPr>
          <w:rFonts w:ascii="Arial" w:cs="Arial" w:eastAsia="Arial" w:hAnsi="Arial"/>
          <w:sz w:val="22"/>
          <w:szCs w:val="22"/>
          <w:color w:val="auto"/>
          <w:vertAlign w:val="superscript"/>
        </w:rPr>
      </w:pPr>
      <w:r>
        <w:rPr>
          <w:rFonts w:ascii="Arial" w:cs="Arial" w:eastAsia="Arial" w:hAnsi="Arial"/>
          <w:sz w:val="13"/>
          <w:szCs w:val="13"/>
          <w:color w:val="auto"/>
        </w:rPr>
        <w:t>This award represents RSAs granted to each of Messrs. Houston and Ferdowsi pursuant to a stand-alone restricted stock award agreement. The shares underlying the RSAs are Class A common stock. The RSAs vest over a period of up to ten years upon achievement of service-based, market-based, and liquidity event-related performance vesting conditions. See “—Co-Founder Restricted Stock Awards” for additional information.</w:t>
      </w:r>
    </w:p>
    <w:p>
      <w:pPr>
        <w:spacing w:after="0" w:line="1" w:lineRule="exact"/>
        <w:rPr>
          <w:rFonts w:ascii="Arial" w:cs="Arial" w:eastAsia="Arial" w:hAnsi="Arial"/>
          <w:sz w:val="22"/>
          <w:szCs w:val="22"/>
          <w:color w:val="auto"/>
          <w:vertAlign w:val="superscript"/>
        </w:rPr>
      </w:pPr>
    </w:p>
    <w:p>
      <w:pPr>
        <w:ind w:left="1380" w:right="200" w:hanging="268"/>
        <w:spacing w:after="0" w:line="185" w:lineRule="auto"/>
        <w:tabs>
          <w:tab w:leader="none" w:pos="1380" w:val="left"/>
        </w:tabs>
        <w:numPr>
          <w:ilvl w:val="0"/>
          <w:numId w:val="69"/>
        </w:numPr>
        <w:rPr>
          <w:rFonts w:ascii="Arial" w:cs="Arial" w:eastAsia="Arial" w:hAnsi="Arial"/>
          <w:sz w:val="22"/>
          <w:szCs w:val="22"/>
          <w:color w:val="auto"/>
          <w:vertAlign w:val="superscript"/>
        </w:rPr>
      </w:pPr>
      <w:r>
        <w:rPr>
          <w:rFonts w:ascii="Arial" w:cs="Arial" w:eastAsia="Arial" w:hAnsi="Arial"/>
          <w:sz w:val="13"/>
          <w:szCs w:val="13"/>
          <w:color w:val="auto"/>
        </w:rPr>
        <w:t>This award represents RSUs granted to Mr. Clark pursuant to our 2017 Plan. 25% of the shares of our Class A common stock underlying the RSUs vest on August 15, 2018, and an additional 3/48</w:t>
      </w:r>
      <w:r>
        <w:rPr>
          <w:rFonts w:ascii="Arial" w:cs="Arial" w:eastAsia="Arial" w:hAnsi="Arial"/>
          <w:sz w:val="22"/>
          <w:szCs w:val="22"/>
          <w:color w:val="auto"/>
          <w:vertAlign w:val="superscript"/>
        </w:rPr>
        <w:t>th</w:t>
      </w:r>
      <w:r>
        <w:rPr>
          <w:rFonts w:ascii="Arial" w:cs="Arial" w:eastAsia="Arial" w:hAnsi="Arial"/>
          <w:sz w:val="13"/>
          <w:szCs w:val="13"/>
          <w:color w:val="auto"/>
        </w:rPr>
        <w:t xml:space="preserve"> of the total number of shares of our Class A common stock underlying the RSUs vests in equal quarterly installments, each subject to continued service through each such vesting date.</w:t>
      </w:r>
    </w:p>
    <w:p>
      <w:pPr>
        <w:spacing w:after="0" w:line="263" w:lineRule="exact"/>
        <w:rPr>
          <w:sz w:val="20"/>
          <w:szCs w:val="20"/>
          <w:color w:val="auto"/>
        </w:rPr>
      </w:pPr>
    </w:p>
    <w:p>
      <w:pPr>
        <w:ind w:left="1120"/>
        <w:spacing w:after="0"/>
        <w:rPr>
          <w:sz w:val="20"/>
          <w:szCs w:val="20"/>
          <w:color w:val="auto"/>
        </w:rPr>
      </w:pPr>
      <w:r>
        <w:rPr>
          <w:rFonts w:ascii="Arial" w:cs="Arial" w:eastAsia="Arial" w:hAnsi="Arial"/>
          <w:sz w:val="15"/>
          <w:szCs w:val="15"/>
          <w:b w:val="1"/>
          <w:bCs w:val="1"/>
          <w:color w:val="auto"/>
        </w:rPr>
        <w:t>Co-Founder Restricted Stock Awards</w:t>
      </w:r>
    </w:p>
    <w:p>
      <w:pPr>
        <w:spacing w:after="0" w:line="102" w:lineRule="exact"/>
        <w:rPr>
          <w:sz w:val="20"/>
          <w:szCs w:val="20"/>
          <w:color w:val="auto"/>
        </w:rPr>
      </w:pPr>
    </w:p>
    <w:p>
      <w:pPr>
        <w:ind w:left="1120" w:right="80" w:firstLine="368"/>
        <w:spacing w:after="0" w:line="279" w:lineRule="auto"/>
        <w:rPr>
          <w:sz w:val="20"/>
          <w:szCs w:val="20"/>
          <w:color w:val="auto"/>
        </w:rPr>
      </w:pPr>
      <w:r>
        <w:rPr>
          <w:rFonts w:ascii="Arial" w:cs="Arial" w:eastAsia="Arial" w:hAnsi="Arial"/>
          <w:sz w:val="14"/>
          <w:szCs w:val="14"/>
          <w:color w:val="auto"/>
        </w:rPr>
        <w:t>In December 2017, our Board of Directors approved a grant to our co-founders, Messrs. Houston and Ferdowsi, of RSAs with respect to 14.7 million shares of Class A common stock in the aggregate, or, collectively, the Co-Founder Grants, of which 10.3 million RSAs were granted to Mr. Houston, our co-founder and Chief Executive Officer, and 4.4 million RSAs were granted to Mr. Ferdowsi, our co-founder and Director. The Co-Founder Grants vest upon the satisfaction of the service condition and achievement of certain stock price goals, as described below. These Co-Founder Grants have certain stockholder rights, such as the right to vote the shares immediately upon grant and prior to their vesting.</w:t>
      </w:r>
    </w:p>
    <w:p>
      <w:pPr>
        <w:spacing w:after="0" w:line="147" w:lineRule="exact"/>
        <w:rPr>
          <w:sz w:val="20"/>
          <w:szCs w:val="20"/>
          <w:color w:val="auto"/>
        </w:rPr>
      </w:pPr>
    </w:p>
    <w:p>
      <w:pPr>
        <w:ind w:left="1120" w:firstLine="368"/>
        <w:spacing w:after="0" w:line="279" w:lineRule="auto"/>
        <w:rPr>
          <w:sz w:val="20"/>
          <w:szCs w:val="20"/>
          <w:color w:val="auto"/>
        </w:rPr>
      </w:pPr>
      <w:r>
        <w:rPr>
          <w:rFonts w:ascii="Arial" w:cs="Arial" w:eastAsia="Arial" w:hAnsi="Arial"/>
          <w:sz w:val="14"/>
          <w:szCs w:val="14"/>
          <w:color w:val="auto"/>
        </w:rPr>
        <w:t>In determining the terms and conditions of these Co-Founder Grants, the Board of Directors considered that neither co-founder had received an equity award since founding the Company and wanted to provide a meaningful incentive to the co-founders to continue to drive the growth of the business following the completion of this offering. The Board of Directors thought it was important for the Co-Founder Grants to not simply vest based on the passage of time while our co-founders provide service to us. Rather, the Co-Founder Grants will vest only if we achieve certain stock price goals, which if achieved, would allow our other stockholders to benefit tremendously from such increases in our stock price.</w:t>
      </w:r>
    </w:p>
    <w:p>
      <w:pPr>
        <w:spacing w:after="0" w:line="147" w:lineRule="exact"/>
        <w:rPr>
          <w:sz w:val="20"/>
          <w:szCs w:val="20"/>
          <w:color w:val="auto"/>
        </w:rPr>
      </w:pPr>
    </w:p>
    <w:p>
      <w:pPr>
        <w:ind w:left="1120" w:right="80" w:firstLine="368"/>
        <w:spacing w:after="0" w:line="275" w:lineRule="auto"/>
        <w:rPr>
          <w:sz w:val="20"/>
          <w:szCs w:val="20"/>
          <w:color w:val="auto"/>
        </w:rPr>
      </w:pPr>
      <w:r>
        <w:rPr>
          <w:rFonts w:ascii="Arial" w:cs="Arial" w:eastAsia="Arial" w:hAnsi="Arial"/>
          <w:sz w:val="15"/>
          <w:szCs w:val="15"/>
          <w:color w:val="auto"/>
        </w:rPr>
        <w:t>The Co-Founder Grants are eligible to vest over the ten-year period following the closing of this offering. The Co-Founder Grants comprise nine tranches that are eligible to vest based on the achievement of stock price</w:t>
      </w:r>
    </w:p>
    <w:p>
      <w:pPr>
        <w:spacing w:after="0" w:line="90" w:lineRule="exact"/>
        <w:rPr>
          <w:sz w:val="20"/>
          <w:szCs w:val="20"/>
          <w:color w:val="auto"/>
        </w:rPr>
      </w:pPr>
    </w:p>
    <w:p>
      <w:pPr>
        <w:ind w:left="5600"/>
        <w:spacing w:after="0"/>
        <w:rPr>
          <w:sz w:val="20"/>
          <w:szCs w:val="20"/>
          <w:color w:val="auto"/>
        </w:rPr>
      </w:pPr>
      <w:r>
        <w:rPr>
          <w:rFonts w:ascii="Arial" w:cs="Arial" w:eastAsia="Arial" w:hAnsi="Arial"/>
          <w:sz w:val="15"/>
          <w:szCs w:val="15"/>
          <w:color w:val="auto"/>
        </w:rPr>
        <w:t>147</w:t>
      </w:r>
    </w:p>
    <w:p>
      <w:pPr>
        <w:sectPr>
          <w:pgSz w:w="11900" w:h="16838" w:orient="portrait"/>
          <w:cols w:equalWidth="0" w:num="1">
            <w:col w:w="10260"/>
          </w:cols>
          <w:pgMar w:left="240" w:top="407" w:right="1399" w:bottom="1440" w:gutter="0" w:footer="0" w:header="0"/>
        </w:sectPr>
      </w:pPr>
    </w:p>
    <w:bookmarkStart w:id="154" w:name="page155"/>
    <w:bookmarkEnd w:id="154"/>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133350</wp:posOffset>
            </wp:positionH>
            <wp:positionV relativeFrom="page">
              <wp:posOffset>88900</wp:posOffset>
            </wp:positionV>
            <wp:extent cx="7308850" cy="3429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308850" cy="34290"/>
                    </a:xfrm>
                    <a:prstGeom prst="rect">
                      <a:avLst/>
                    </a:prstGeom>
                    <a:noFill/>
                  </pic:spPr>
                </pic:pic>
              </a:graphicData>
            </a:graphic>
          </wp:anchor>
        </w:drawing>
      </w:r>
      <w:hyperlink w:anchor="page7">
        <w:r>
          <w:rPr>
            <w:rFonts w:ascii="Arial" w:cs="Arial" w:eastAsia="Arial" w:hAnsi="Arial"/>
            <w:sz w:val="15"/>
            <w:szCs w:val="15"/>
            <w:b w:val="1"/>
            <w:bCs w:val="1"/>
            <w:u w:val="single" w:color="auto"/>
            <w:color w:val="0000EE"/>
          </w:rPr>
          <w:t>Table of Contents</w:t>
        </w:r>
      </w:hyperlink>
    </w:p>
    <w:p>
      <w:pPr>
        <w:spacing w:after="0" w:line="260" w:lineRule="exact"/>
        <w:rPr>
          <w:sz w:val="20"/>
          <w:szCs w:val="20"/>
          <w:color w:val="auto"/>
        </w:rPr>
      </w:pPr>
    </w:p>
    <w:p>
      <w:pPr>
        <w:jc w:val="center"/>
        <w:ind w:right="40"/>
        <w:spacing w:after="0"/>
        <w:rPr>
          <w:sz w:val="20"/>
          <w:szCs w:val="20"/>
          <w:color w:val="auto"/>
        </w:rPr>
      </w:pPr>
      <w:r>
        <w:rPr>
          <w:rFonts w:ascii="Arial" w:cs="Arial" w:eastAsia="Arial" w:hAnsi="Arial"/>
          <w:sz w:val="15"/>
          <w:szCs w:val="15"/>
          <w:color w:val="auto"/>
        </w:rPr>
        <w:t>goals, or each, a Stock Price Target, measured over a consecutive thirty-day trading period during the performance period as follows:</w:t>
      </w:r>
    </w:p>
    <w:p>
      <w:pPr>
        <w:spacing w:after="0" w:line="188" w:lineRule="exact"/>
        <w:rPr>
          <w:sz w:val="20"/>
          <w:szCs w:val="20"/>
          <w:color w:val="auto"/>
        </w:rPr>
      </w:pPr>
    </w:p>
    <w:tbl>
      <w:tblPr>
        <w:tblLayout w:type="fixed"/>
        <w:tblInd w:w="1860" w:type="dxa"/>
        <w:tblCellMar>
          <w:top w:w="0" w:type="dxa"/>
          <w:left w:w="0" w:type="dxa"/>
          <w:bottom w:w="0" w:type="dxa"/>
          <w:right w:w="0" w:type="dxa"/>
        </w:tblCellMar>
      </w:tblPr>
      <w:tr>
        <w:trPr>
          <w:trHeight w:val="138"/>
        </w:trPr>
        <w:tc>
          <w:tcPr>
            <w:tcW w:w="1420" w:type="dxa"/>
            <w:vAlign w:val="bottom"/>
          </w:tcPr>
          <w:p>
            <w:pPr>
              <w:spacing w:after="0"/>
              <w:rPr>
                <w:sz w:val="12"/>
                <w:szCs w:val="12"/>
                <w:color w:val="auto"/>
              </w:rPr>
            </w:pPr>
          </w:p>
        </w:tc>
        <w:tc>
          <w:tcPr>
            <w:tcW w:w="2440" w:type="dxa"/>
            <w:vAlign w:val="bottom"/>
            <w:gridSpan w:val="3"/>
          </w:tcPr>
          <w:p>
            <w:pPr>
              <w:spacing w:after="0"/>
              <w:rPr>
                <w:sz w:val="20"/>
                <w:szCs w:val="20"/>
                <w:color w:val="auto"/>
              </w:rPr>
            </w:pPr>
            <w:r>
              <w:rPr>
                <w:rFonts w:ascii="Arial" w:cs="Arial" w:eastAsia="Arial" w:hAnsi="Arial"/>
                <w:sz w:val="12"/>
                <w:szCs w:val="12"/>
                <w:b w:val="1"/>
                <w:bCs w:val="1"/>
                <w:color w:val="auto"/>
              </w:rPr>
              <w:t>Company Stock Price</w:t>
            </w:r>
          </w:p>
        </w:tc>
        <w:tc>
          <w:tcPr>
            <w:tcW w:w="2660" w:type="dxa"/>
            <w:vAlign w:val="bottom"/>
            <w:gridSpan w:val="2"/>
          </w:tcPr>
          <w:p>
            <w:pPr>
              <w:jc w:val="right"/>
              <w:ind w:right="1340"/>
              <w:spacing w:after="0"/>
              <w:rPr>
                <w:sz w:val="20"/>
                <w:szCs w:val="20"/>
                <w:color w:val="auto"/>
              </w:rPr>
            </w:pPr>
            <w:r>
              <w:rPr>
                <w:rFonts w:ascii="Arial" w:cs="Arial" w:eastAsia="Arial" w:hAnsi="Arial"/>
                <w:sz w:val="12"/>
                <w:szCs w:val="12"/>
                <w:b w:val="1"/>
                <w:bCs w:val="1"/>
                <w:color w:val="auto"/>
                <w:w w:val="87"/>
              </w:rPr>
              <w:t>Shares Eligible to Vest for</w:t>
            </w:r>
          </w:p>
        </w:tc>
        <w:tc>
          <w:tcPr>
            <w:tcW w:w="1200" w:type="dxa"/>
            <w:vAlign w:val="bottom"/>
            <w:gridSpan w:val="2"/>
          </w:tcPr>
          <w:p>
            <w:pPr>
              <w:jc w:val="right"/>
              <w:ind w:right="60"/>
              <w:spacing w:after="0"/>
              <w:rPr>
                <w:sz w:val="20"/>
                <w:szCs w:val="20"/>
                <w:color w:val="auto"/>
              </w:rPr>
            </w:pPr>
            <w:r>
              <w:rPr>
                <w:rFonts w:ascii="Arial" w:cs="Arial" w:eastAsia="Arial" w:hAnsi="Arial"/>
                <w:sz w:val="12"/>
                <w:szCs w:val="12"/>
                <w:b w:val="1"/>
                <w:bCs w:val="1"/>
                <w:color w:val="auto"/>
                <w:w w:val="86"/>
              </w:rPr>
              <w:t>Shares Eligible to Vest</w:t>
            </w:r>
          </w:p>
        </w:tc>
      </w:tr>
      <w:tr>
        <w:trPr>
          <w:trHeight w:val="144"/>
        </w:trPr>
        <w:tc>
          <w:tcPr>
            <w:tcW w:w="1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20" w:type="dxa"/>
            <w:vAlign w:val="bottom"/>
            <w:gridSpan w:val="2"/>
          </w:tcPr>
          <w:p>
            <w:pPr>
              <w:jc w:val="right"/>
              <w:ind w:right="1680"/>
              <w:spacing w:after="0"/>
              <w:rPr>
                <w:sz w:val="20"/>
                <w:szCs w:val="20"/>
                <w:color w:val="auto"/>
              </w:rPr>
            </w:pPr>
            <w:r>
              <w:rPr>
                <w:rFonts w:ascii="Arial" w:cs="Arial" w:eastAsia="Arial" w:hAnsi="Arial"/>
                <w:sz w:val="12"/>
                <w:szCs w:val="12"/>
                <w:b w:val="1"/>
                <w:bCs w:val="1"/>
                <w:color w:val="auto"/>
              </w:rPr>
              <w:t>Target*</w:t>
            </w:r>
          </w:p>
        </w:tc>
        <w:tc>
          <w:tcPr>
            <w:tcW w:w="2660" w:type="dxa"/>
            <w:vAlign w:val="bottom"/>
            <w:gridSpan w:val="2"/>
          </w:tcPr>
          <w:p>
            <w:pPr>
              <w:ind w:left="340"/>
              <w:spacing w:after="0"/>
              <w:rPr>
                <w:sz w:val="20"/>
                <w:szCs w:val="20"/>
                <w:color w:val="auto"/>
              </w:rPr>
            </w:pPr>
            <w:r>
              <w:rPr>
                <w:rFonts w:ascii="Arial" w:cs="Arial" w:eastAsia="Arial" w:hAnsi="Arial"/>
                <w:sz w:val="12"/>
                <w:szCs w:val="12"/>
                <w:b w:val="1"/>
                <w:bCs w:val="1"/>
                <w:color w:val="auto"/>
              </w:rPr>
              <w:t>Mr. Houston</w:t>
            </w:r>
          </w:p>
        </w:tc>
        <w:tc>
          <w:tcPr>
            <w:tcW w:w="1200" w:type="dxa"/>
            <w:vAlign w:val="bottom"/>
            <w:gridSpan w:val="2"/>
          </w:tcPr>
          <w:p>
            <w:pPr>
              <w:ind w:left="140"/>
              <w:spacing w:after="0"/>
              <w:rPr>
                <w:sz w:val="20"/>
                <w:szCs w:val="20"/>
                <w:color w:val="auto"/>
              </w:rPr>
            </w:pPr>
            <w:r>
              <w:rPr>
                <w:rFonts w:ascii="Arial" w:cs="Arial" w:eastAsia="Arial" w:hAnsi="Arial"/>
                <w:sz w:val="12"/>
                <w:szCs w:val="12"/>
                <w:b w:val="1"/>
                <w:bCs w:val="1"/>
                <w:color w:val="auto"/>
              </w:rPr>
              <w:t>for Mr. Ferdowsi</w:t>
            </w:r>
          </w:p>
        </w:tc>
      </w:tr>
      <w:tr>
        <w:trPr>
          <w:trHeight w:val="172"/>
        </w:trPr>
        <w:tc>
          <w:tcPr>
            <w:tcW w:w="1420" w:type="dxa"/>
            <w:vAlign w:val="bottom"/>
            <w:tcBorders>
              <w:top w:val="single" w:sz="8" w:color="CCEEFF"/>
            </w:tcBorders>
            <w:shd w:val="clear" w:color="auto" w:fill="CCEEFF"/>
          </w:tcPr>
          <w:p>
            <w:pPr>
              <w:jc w:val="right"/>
              <w:ind w:right="1256"/>
              <w:spacing w:after="0"/>
              <w:rPr>
                <w:sz w:val="20"/>
                <w:szCs w:val="20"/>
                <w:color w:val="auto"/>
              </w:rPr>
            </w:pPr>
            <w:r>
              <w:rPr>
                <w:rFonts w:ascii="Arial" w:cs="Arial" w:eastAsia="Arial" w:hAnsi="Arial"/>
                <w:sz w:val="13"/>
                <w:szCs w:val="13"/>
                <w:color w:val="auto"/>
                <w:w w:val="73"/>
              </w:rPr>
              <w:t>1.</w:t>
            </w:r>
          </w:p>
        </w:tc>
        <w:tc>
          <w:tcPr>
            <w:tcW w:w="2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5"/>
                <w:szCs w:val="15"/>
                <w:color w:val="auto"/>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30.00</w:t>
            </w:r>
          </w:p>
        </w:tc>
        <w:tc>
          <w:tcPr>
            <w:tcW w:w="1320" w:type="dxa"/>
            <w:vAlign w:val="bottom"/>
            <w:tcBorders>
              <w:top w:val="single" w:sz="8" w:color="CCEEFF"/>
            </w:tcBorders>
            <w:shd w:val="clear" w:color="auto" w:fill="CCEEFF"/>
          </w:tcPr>
          <w:p>
            <w:pPr>
              <w:spacing w:after="0"/>
              <w:rPr>
                <w:sz w:val="14"/>
                <w:szCs w:val="14"/>
                <w:color w:val="auto"/>
              </w:rPr>
            </w:pP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2,066,667</w:t>
            </w:r>
          </w:p>
        </w:tc>
        <w:tc>
          <w:tcPr>
            <w:tcW w:w="1320" w:type="dxa"/>
            <w:vAlign w:val="bottom"/>
            <w:tcBorders>
              <w:top w:val="single" w:sz="8" w:color="CCEEFF"/>
            </w:tcBorders>
            <w:shd w:val="clear" w:color="auto" w:fill="CCEEFF"/>
          </w:tcPr>
          <w:p>
            <w:pPr>
              <w:spacing w:after="0"/>
              <w:rPr>
                <w:sz w:val="14"/>
                <w:szCs w:val="14"/>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880,000</w:t>
            </w:r>
          </w:p>
        </w:tc>
        <w:tc>
          <w:tcPr>
            <w:tcW w:w="40" w:type="dxa"/>
            <w:vAlign w:val="bottom"/>
            <w:tcBorders>
              <w:top w:val="single" w:sz="8" w:color="CCEEFF"/>
            </w:tcBorders>
            <w:shd w:val="clear" w:color="auto" w:fill="CCEEFF"/>
          </w:tcPr>
          <w:p>
            <w:pPr>
              <w:spacing w:after="0"/>
              <w:rPr>
                <w:sz w:val="14"/>
                <w:szCs w:val="14"/>
                <w:color w:val="auto"/>
              </w:rPr>
            </w:pPr>
          </w:p>
        </w:tc>
      </w:tr>
      <w:tr>
        <w:trPr>
          <w:trHeight w:val="180"/>
        </w:trPr>
        <w:tc>
          <w:tcPr>
            <w:tcW w:w="1420" w:type="dxa"/>
            <w:vAlign w:val="bottom"/>
          </w:tcPr>
          <w:p>
            <w:pPr>
              <w:jc w:val="right"/>
              <w:ind w:right="1256"/>
              <w:spacing w:after="0"/>
              <w:rPr>
                <w:sz w:val="20"/>
                <w:szCs w:val="20"/>
                <w:color w:val="auto"/>
              </w:rPr>
            </w:pPr>
            <w:r>
              <w:rPr>
                <w:rFonts w:ascii="Arial" w:cs="Arial" w:eastAsia="Arial" w:hAnsi="Arial"/>
                <w:sz w:val="13"/>
                <w:szCs w:val="13"/>
                <w:color w:val="auto"/>
                <w:w w:val="73"/>
              </w:rPr>
              <w:t>2.</w:t>
            </w:r>
          </w:p>
        </w:tc>
        <w:tc>
          <w:tcPr>
            <w:tcW w:w="220" w:type="dxa"/>
            <w:vAlign w:val="bottom"/>
          </w:tcPr>
          <w:p>
            <w:pPr>
              <w:spacing w:after="0"/>
              <w:rPr>
                <w:sz w:val="20"/>
                <w:szCs w:val="20"/>
                <w:color w:val="auto"/>
              </w:rPr>
            </w:pPr>
            <w:r>
              <w:rPr>
                <w:rFonts w:ascii="Arial" w:cs="Arial" w:eastAsia="Arial" w:hAnsi="Arial"/>
                <w:sz w:val="15"/>
                <w:szCs w:val="15"/>
                <w:color w:val="auto"/>
              </w:rPr>
              <w:t>$</w:t>
            </w:r>
          </w:p>
        </w:tc>
        <w:tc>
          <w:tcPr>
            <w:tcW w:w="2220" w:type="dxa"/>
            <w:vAlign w:val="bottom"/>
            <w:gridSpan w:val="2"/>
          </w:tcPr>
          <w:p>
            <w:pPr>
              <w:jc w:val="right"/>
              <w:ind w:right="1320"/>
              <w:spacing w:after="0"/>
              <w:rPr>
                <w:sz w:val="20"/>
                <w:szCs w:val="20"/>
                <w:color w:val="auto"/>
              </w:rPr>
            </w:pPr>
            <w:r>
              <w:rPr>
                <w:rFonts w:ascii="Arial" w:cs="Arial" w:eastAsia="Arial" w:hAnsi="Arial"/>
                <w:sz w:val="15"/>
                <w:szCs w:val="15"/>
                <w:color w:val="auto"/>
              </w:rPr>
              <w:t>37.50</w:t>
            </w:r>
          </w:p>
        </w:tc>
        <w:tc>
          <w:tcPr>
            <w:tcW w:w="1340" w:type="dxa"/>
            <w:vAlign w:val="bottom"/>
          </w:tcPr>
          <w:p>
            <w:pPr>
              <w:jc w:val="right"/>
              <w:spacing w:after="0"/>
              <w:rPr>
                <w:sz w:val="20"/>
                <w:szCs w:val="20"/>
                <w:color w:val="auto"/>
              </w:rPr>
            </w:pPr>
            <w:r>
              <w:rPr>
                <w:rFonts w:ascii="Arial" w:cs="Arial" w:eastAsia="Arial" w:hAnsi="Arial"/>
                <w:sz w:val="15"/>
                <w:szCs w:val="15"/>
                <w:color w:val="auto"/>
              </w:rPr>
              <w:t>1,033,334</w:t>
            </w:r>
          </w:p>
        </w:tc>
        <w:tc>
          <w:tcPr>
            <w:tcW w:w="1320" w:type="dxa"/>
            <w:vAlign w:val="bottom"/>
          </w:tcPr>
          <w:p>
            <w:pPr>
              <w:spacing w:after="0"/>
              <w:rPr>
                <w:sz w:val="15"/>
                <w:szCs w:val="15"/>
                <w:color w:val="auto"/>
              </w:rPr>
            </w:pPr>
          </w:p>
        </w:tc>
        <w:tc>
          <w:tcPr>
            <w:tcW w:w="1200" w:type="dxa"/>
            <w:vAlign w:val="bottom"/>
            <w:gridSpan w:val="2"/>
          </w:tcPr>
          <w:p>
            <w:pPr>
              <w:jc w:val="right"/>
              <w:ind w:right="40"/>
              <w:spacing w:after="0"/>
              <w:rPr>
                <w:sz w:val="20"/>
                <w:szCs w:val="20"/>
                <w:color w:val="auto"/>
              </w:rPr>
            </w:pPr>
            <w:r>
              <w:rPr>
                <w:rFonts w:ascii="Arial" w:cs="Arial" w:eastAsia="Arial" w:hAnsi="Arial"/>
                <w:sz w:val="15"/>
                <w:szCs w:val="15"/>
                <w:color w:val="auto"/>
              </w:rPr>
              <w:t>440,000</w:t>
            </w:r>
          </w:p>
        </w:tc>
      </w:tr>
      <w:tr>
        <w:trPr>
          <w:trHeight w:val="180"/>
        </w:trPr>
        <w:tc>
          <w:tcPr>
            <w:tcW w:w="1420" w:type="dxa"/>
            <w:vAlign w:val="bottom"/>
            <w:shd w:val="clear" w:color="auto" w:fill="CCEEFF"/>
          </w:tcPr>
          <w:p>
            <w:pPr>
              <w:jc w:val="right"/>
              <w:ind w:right="1256"/>
              <w:spacing w:after="0"/>
              <w:rPr>
                <w:sz w:val="20"/>
                <w:szCs w:val="20"/>
                <w:color w:val="auto"/>
              </w:rPr>
            </w:pPr>
            <w:r>
              <w:rPr>
                <w:rFonts w:ascii="Arial" w:cs="Arial" w:eastAsia="Arial" w:hAnsi="Arial"/>
                <w:sz w:val="13"/>
                <w:szCs w:val="13"/>
                <w:color w:val="auto"/>
                <w:w w:val="73"/>
              </w:rPr>
              <w:t>3.</w:t>
            </w:r>
          </w:p>
        </w:tc>
        <w:tc>
          <w:tcPr>
            <w:tcW w:w="220" w:type="dxa"/>
            <w:vAlign w:val="bottom"/>
            <w:shd w:val="clear" w:color="auto" w:fill="CCEEFF"/>
          </w:tcPr>
          <w:p>
            <w:pPr>
              <w:spacing w:after="0"/>
              <w:rPr>
                <w:sz w:val="20"/>
                <w:szCs w:val="20"/>
                <w:color w:val="auto"/>
              </w:rPr>
            </w:pPr>
            <w:r>
              <w:rPr>
                <w:rFonts w:ascii="Arial" w:cs="Arial" w:eastAsia="Arial" w:hAnsi="Arial"/>
                <w:sz w:val="15"/>
                <w:szCs w:val="15"/>
                <w:color w:val="auto"/>
              </w:rPr>
              <w:t>$</w:t>
            </w:r>
          </w:p>
        </w:tc>
        <w:tc>
          <w:tcPr>
            <w:tcW w:w="2220" w:type="dxa"/>
            <w:vAlign w:val="bottom"/>
            <w:gridSpan w:val="2"/>
            <w:shd w:val="clear" w:color="auto" w:fill="CCEEFF"/>
          </w:tcPr>
          <w:p>
            <w:pPr>
              <w:jc w:val="right"/>
              <w:ind w:right="1320"/>
              <w:spacing w:after="0"/>
              <w:rPr>
                <w:sz w:val="20"/>
                <w:szCs w:val="20"/>
                <w:color w:val="auto"/>
              </w:rPr>
            </w:pPr>
            <w:r>
              <w:rPr>
                <w:rFonts w:ascii="Arial" w:cs="Arial" w:eastAsia="Arial" w:hAnsi="Arial"/>
                <w:sz w:val="15"/>
                <w:szCs w:val="15"/>
                <w:color w:val="auto"/>
              </w:rPr>
              <w:t>45.00</w:t>
            </w:r>
          </w:p>
        </w:tc>
        <w:tc>
          <w:tcPr>
            <w:tcW w:w="13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1,033,334</w:t>
            </w:r>
          </w:p>
        </w:tc>
        <w:tc>
          <w:tcPr>
            <w:tcW w:w="1320" w:type="dxa"/>
            <w:vAlign w:val="bottom"/>
            <w:shd w:val="clear" w:color="auto" w:fill="CCEEFF"/>
          </w:tcPr>
          <w:p>
            <w:pPr>
              <w:spacing w:after="0"/>
              <w:rPr>
                <w:sz w:val="15"/>
                <w:szCs w:val="15"/>
                <w:color w:val="auto"/>
              </w:rPr>
            </w:pPr>
          </w:p>
        </w:tc>
        <w:tc>
          <w:tcPr>
            <w:tcW w:w="120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440,000</w:t>
            </w:r>
          </w:p>
        </w:tc>
      </w:tr>
      <w:tr>
        <w:trPr>
          <w:trHeight w:val="180"/>
        </w:trPr>
        <w:tc>
          <w:tcPr>
            <w:tcW w:w="1420" w:type="dxa"/>
            <w:vAlign w:val="bottom"/>
          </w:tcPr>
          <w:p>
            <w:pPr>
              <w:jc w:val="right"/>
              <w:ind w:right="1256"/>
              <w:spacing w:after="0"/>
              <w:rPr>
                <w:sz w:val="20"/>
                <w:szCs w:val="20"/>
                <w:color w:val="auto"/>
              </w:rPr>
            </w:pPr>
            <w:r>
              <w:rPr>
                <w:rFonts w:ascii="Arial" w:cs="Arial" w:eastAsia="Arial" w:hAnsi="Arial"/>
                <w:sz w:val="13"/>
                <w:szCs w:val="13"/>
                <w:color w:val="auto"/>
                <w:w w:val="73"/>
              </w:rPr>
              <w:t>4.</w:t>
            </w:r>
          </w:p>
        </w:tc>
        <w:tc>
          <w:tcPr>
            <w:tcW w:w="220" w:type="dxa"/>
            <w:vAlign w:val="bottom"/>
          </w:tcPr>
          <w:p>
            <w:pPr>
              <w:spacing w:after="0"/>
              <w:rPr>
                <w:sz w:val="20"/>
                <w:szCs w:val="20"/>
                <w:color w:val="auto"/>
              </w:rPr>
            </w:pPr>
            <w:r>
              <w:rPr>
                <w:rFonts w:ascii="Arial" w:cs="Arial" w:eastAsia="Arial" w:hAnsi="Arial"/>
                <w:sz w:val="15"/>
                <w:szCs w:val="15"/>
                <w:color w:val="auto"/>
              </w:rPr>
              <w:t>$</w:t>
            </w:r>
          </w:p>
        </w:tc>
        <w:tc>
          <w:tcPr>
            <w:tcW w:w="2220" w:type="dxa"/>
            <w:vAlign w:val="bottom"/>
            <w:gridSpan w:val="2"/>
          </w:tcPr>
          <w:p>
            <w:pPr>
              <w:jc w:val="right"/>
              <w:ind w:right="1320"/>
              <w:spacing w:after="0"/>
              <w:rPr>
                <w:sz w:val="20"/>
                <w:szCs w:val="20"/>
                <w:color w:val="auto"/>
              </w:rPr>
            </w:pPr>
            <w:r>
              <w:rPr>
                <w:rFonts w:ascii="Arial" w:cs="Arial" w:eastAsia="Arial" w:hAnsi="Arial"/>
                <w:sz w:val="15"/>
                <w:szCs w:val="15"/>
                <w:color w:val="auto"/>
              </w:rPr>
              <w:t>52.50</w:t>
            </w:r>
          </w:p>
        </w:tc>
        <w:tc>
          <w:tcPr>
            <w:tcW w:w="1340" w:type="dxa"/>
            <w:vAlign w:val="bottom"/>
          </w:tcPr>
          <w:p>
            <w:pPr>
              <w:jc w:val="right"/>
              <w:spacing w:after="0"/>
              <w:rPr>
                <w:sz w:val="20"/>
                <w:szCs w:val="20"/>
                <w:color w:val="auto"/>
              </w:rPr>
            </w:pPr>
            <w:r>
              <w:rPr>
                <w:rFonts w:ascii="Arial" w:cs="Arial" w:eastAsia="Arial" w:hAnsi="Arial"/>
                <w:sz w:val="15"/>
                <w:szCs w:val="15"/>
                <w:color w:val="auto"/>
              </w:rPr>
              <w:t>1,033,333</w:t>
            </w:r>
          </w:p>
        </w:tc>
        <w:tc>
          <w:tcPr>
            <w:tcW w:w="1320" w:type="dxa"/>
            <w:vAlign w:val="bottom"/>
          </w:tcPr>
          <w:p>
            <w:pPr>
              <w:spacing w:after="0"/>
              <w:rPr>
                <w:sz w:val="15"/>
                <w:szCs w:val="15"/>
                <w:color w:val="auto"/>
              </w:rPr>
            </w:pPr>
          </w:p>
        </w:tc>
        <w:tc>
          <w:tcPr>
            <w:tcW w:w="1200" w:type="dxa"/>
            <w:vAlign w:val="bottom"/>
            <w:gridSpan w:val="2"/>
          </w:tcPr>
          <w:p>
            <w:pPr>
              <w:jc w:val="right"/>
              <w:ind w:right="40"/>
              <w:spacing w:after="0"/>
              <w:rPr>
                <w:sz w:val="20"/>
                <w:szCs w:val="20"/>
                <w:color w:val="auto"/>
              </w:rPr>
            </w:pPr>
            <w:r>
              <w:rPr>
                <w:rFonts w:ascii="Arial" w:cs="Arial" w:eastAsia="Arial" w:hAnsi="Arial"/>
                <w:sz w:val="15"/>
                <w:szCs w:val="15"/>
                <w:color w:val="auto"/>
              </w:rPr>
              <w:t>440,000</w:t>
            </w:r>
          </w:p>
        </w:tc>
      </w:tr>
      <w:tr>
        <w:trPr>
          <w:trHeight w:val="180"/>
        </w:trPr>
        <w:tc>
          <w:tcPr>
            <w:tcW w:w="1420" w:type="dxa"/>
            <w:vAlign w:val="bottom"/>
            <w:shd w:val="clear" w:color="auto" w:fill="CCEEFF"/>
          </w:tcPr>
          <w:p>
            <w:pPr>
              <w:jc w:val="right"/>
              <w:ind w:right="1256"/>
              <w:spacing w:after="0"/>
              <w:rPr>
                <w:sz w:val="20"/>
                <w:szCs w:val="20"/>
                <w:color w:val="auto"/>
              </w:rPr>
            </w:pPr>
            <w:r>
              <w:rPr>
                <w:rFonts w:ascii="Arial" w:cs="Arial" w:eastAsia="Arial" w:hAnsi="Arial"/>
                <w:sz w:val="13"/>
                <w:szCs w:val="13"/>
                <w:color w:val="auto"/>
                <w:w w:val="73"/>
              </w:rPr>
              <w:t>5.</w:t>
            </w:r>
          </w:p>
        </w:tc>
        <w:tc>
          <w:tcPr>
            <w:tcW w:w="220" w:type="dxa"/>
            <w:vAlign w:val="bottom"/>
            <w:shd w:val="clear" w:color="auto" w:fill="CCEEFF"/>
          </w:tcPr>
          <w:p>
            <w:pPr>
              <w:spacing w:after="0"/>
              <w:rPr>
                <w:sz w:val="20"/>
                <w:szCs w:val="20"/>
                <w:color w:val="auto"/>
              </w:rPr>
            </w:pPr>
            <w:r>
              <w:rPr>
                <w:rFonts w:ascii="Arial" w:cs="Arial" w:eastAsia="Arial" w:hAnsi="Arial"/>
                <w:sz w:val="15"/>
                <w:szCs w:val="15"/>
                <w:color w:val="auto"/>
              </w:rPr>
              <w:t>$</w:t>
            </w:r>
          </w:p>
        </w:tc>
        <w:tc>
          <w:tcPr>
            <w:tcW w:w="2220" w:type="dxa"/>
            <w:vAlign w:val="bottom"/>
            <w:gridSpan w:val="2"/>
            <w:shd w:val="clear" w:color="auto" w:fill="CCEEFF"/>
          </w:tcPr>
          <w:p>
            <w:pPr>
              <w:jc w:val="right"/>
              <w:ind w:right="1320"/>
              <w:spacing w:after="0"/>
              <w:rPr>
                <w:sz w:val="20"/>
                <w:szCs w:val="20"/>
                <w:color w:val="auto"/>
              </w:rPr>
            </w:pPr>
            <w:r>
              <w:rPr>
                <w:rFonts w:ascii="Arial" w:cs="Arial" w:eastAsia="Arial" w:hAnsi="Arial"/>
                <w:sz w:val="15"/>
                <w:szCs w:val="15"/>
                <w:color w:val="auto"/>
              </w:rPr>
              <w:t>60.00</w:t>
            </w:r>
          </w:p>
        </w:tc>
        <w:tc>
          <w:tcPr>
            <w:tcW w:w="13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1,033,333</w:t>
            </w:r>
          </w:p>
        </w:tc>
        <w:tc>
          <w:tcPr>
            <w:tcW w:w="1320" w:type="dxa"/>
            <w:vAlign w:val="bottom"/>
            <w:shd w:val="clear" w:color="auto" w:fill="CCEEFF"/>
          </w:tcPr>
          <w:p>
            <w:pPr>
              <w:spacing w:after="0"/>
              <w:rPr>
                <w:sz w:val="15"/>
                <w:szCs w:val="15"/>
                <w:color w:val="auto"/>
              </w:rPr>
            </w:pPr>
          </w:p>
        </w:tc>
        <w:tc>
          <w:tcPr>
            <w:tcW w:w="120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440,000</w:t>
            </w:r>
          </w:p>
        </w:tc>
      </w:tr>
      <w:tr>
        <w:trPr>
          <w:trHeight w:val="180"/>
        </w:trPr>
        <w:tc>
          <w:tcPr>
            <w:tcW w:w="1420" w:type="dxa"/>
            <w:vAlign w:val="bottom"/>
          </w:tcPr>
          <w:p>
            <w:pPr>
              <w:jc w:val="right"/>
              <w:ind w:right="1256"/>
              <w:spacing w:after="0"/>
              <w:rPr>
                <w:sz w:val="20"/>
                <w:szCs w:val="20"/>
                <w:color w:val="auto"/>
              </w:rPr>
            </w:pPr>
            <w:r>
              <w:rPr>
                <w:rFonts w:ascii="Arial" w:cs="Arial" w:eastAsia="Arial" w:hAnsi="Arial"/>
                <w:sz w:val="13"/>
                <w:szCs w:val="13"/>
                <w:color w:val="auto"/>
                <w:w w:val="73"/>
              </w:rPr>
              <w:t>6.</w:t>
            </w:r>
          </w:p>
        </w:tc>
        <w:tc>
          <w:tcPr>
            <w:tcW w:w="220" w:type="dxa"/>
            <w:vAlign w:val="bottom"/>
          </w:tcPr>
          <w:p>
            <w:pPr>
              <w:spacing w:after="0"/>
              <w:rPr>
                <w:sz w:val="20"/>
                <w:szCs w:val="20"/>
                <w:color w:val="auto"/>
              </w:rPr>
            </w:pPr>
            <w:r>
              <w:rPr>
                <w:rFonts w:ascii="Arial" w:cs="Arial" w:eastAsia="Arial" w:hAnsi="Arial"/>
                <w:sz w:val="15"/>
                <w:szCs w:val="15"/>
                <w:color w:val="auto"/>
              </w:rPr>
              <w:t>$</w:t>
            </w:r>
          </w:p>
        </w:tc>
        <w:tc>
          <w:tcPr>
            <w:tcW w:w="2220" w:type="dxa"/>
            <w:vAlign w:val="bottom"/>
            <w:gridSpan w:val="2"/>
          </w:tcPr>
          <w:p>
            <w:pPr>
              <w:jc w:val="right"/>
              <w:ind w:right="1320"/>
              <w:spacing w:after="0"/>
              <w:rPr>
                <w:sz w:val="20"/>
                <w:szCs w:val="20"/>
                <w:color w:val="auto"/>
              </w:rPr>
            </w:pPr>
            <w:r>
              <w:rPr>
                <w:rFonts w:ascii="Arial" w:cs="Arial" w:eastAsia="Arial" w:hAnsi="Arial"/>
                <w:sz w:val="15"/>
                <w:szCs w:val="15"/>
                <w:color w:val="auto"/>
              </w:rPr>
              <w:t>67.50</w:t>
            </w:r>
          </w:p>
        </w:tc>
        <w:tc>
          <w:tcPr>
            <w:tcW w:w="1340" w:type="dxa"/>
            <w:vAlign w:val="bottom"/>
          </w:tcPr>
          <w:p>
            <w:pPr>
              <w:jc w:val="right"/>
              <w:spacing w:after="0"/>
              <w:rPr>
                <w:sz w:val="20"/>
                <w:szCs w:val="20"/>
                <w:color w:val="auto"/>
              </w:rPr>
            </w:pPr>
            <w:r>
              <w:rPr>
                <w:rFonts w:ascii="Arial" w:cs="Arial" w:eastAsia="Arial" w:hAnsi="Arial"/>
                <w:sz w:val="15"/>
                <w:szCs w:val="15"/>
                <w:color w:val="auto"/>
              </w:rPr>
              <w:t>1,033,333</w:t>
            </w:r>
          </w:p>
        </w:tc>
        <w:tc>
          <w:tcPr>
            <w:tcW w:w="1320" w:type="dxa"/>
            <w:vAlign w:val="bottom"/>
          </w:tcPr>
          <w:p>
            <w:pPr>
              <w:spacing w:after="0"/>
              <w:rPr>
                <w:sz w:val="15"/>
                <w:szCs w:val="15"/>
                <w:color w:val="auto"/>
              </w:rPr>
            </w:pPr>
          </w:p>
        </w:tc>
        <w:tc>
          <w:tcPr>
            <w:tcW w:w="1200" w:type="dxa"/>
            <w:vAlign w:val="bottom"/>
            <w:gridSpan w:val="2"/>
          </w:tcPr>
          <w:p>
            <w:pPr>
              <w:jc w:val="right"/>
              <w:ind w:right="40"/>
              <w:spacing w:after="0"/>
              <w:rPr>
                <w:sz w:val="20"/>
                <w:szCs w:val="20"/>
                <w:color w:val="auto"/>
              </w:rPr>
            </w:pPr>
            <w:r>
              <w:rPr>
                <w:rFonts w:ascii="Arial" w:cs="Arial" w:eastAsia="Arial" w:hAnsi="Arial"/>
                <w:sz w:val="15"/>
                <w:szCs w:val="15"/>
                <w:color w:val="auto"/>
              </w:rPr>
              <w:t>440,000</w:t>
            </w:r>
          </w:p>
        </w:tc>
      </w:tr>
      <w:tr>
        <w:trPr>
          <w:trHeight w:val="180"/>
        </w:trPr>
        <w:tc>
          <w:tcPr>
            <w:tcW w:w="1420" w:type="dxa"/>
            <w:vAlign w:val="bottom"/>
            <w:shd w:val="clear" w:color="auto" w:fill="CCEEFF"/>
          </w:tcPr>
          <w:p>
            <w:pPr>
              <w:jc w:val="right"/>
              <w:ind w:right="1256"/>
              <w:spacing w:after="0"/>
              <w:rPr>
                <w:sz w:val="20"/>
                <w:szCs w:val="20"/>
                <w:color w:val="auto"/>
              </w:rPr>
            </w:pPr>
            <w:r>
              <w:rPr>
                <w:rFonts w:ascii="Arial" w:cs="Arial" w:eastAsia="Arial" w:hAnsi="Arial"/>
                <w:sz w:val="13"/>
                <w:szCs w:val="13"/>
                <w:color w:val="auto"/>
                <w:w w:val="73"/>
              </w:rPr>
              <w:t>7.</w:t>
            </w:r>
          </w:p>
        </w:tc>
        <w:tc>
          <w:tcPr>
            <w:tcW w:w="220" w:type="dxa"/>
            <w:vAlign w:val="bottom"/>
            <w:shd w:val="clear" w:color="auto" w:fill="CCEEFF"/>
          </w:tcPr>
          <w:p>
            <w:pPr>
              <w:spacing w:after="0"/>
              <w:rPr>
                <w:sz w:val="20"/>
                <w:szCs w:val="20"/>
                <w:color w:val="auto"/>
              </w:rPr>
            </w:pPr>
            <w:r>
              <w:rPr>
                <w:rFonts w:ascii="Arial" w:cs="Arial" w:eastAsia="Arial" w:hAnsi="Arial"/>
                <w:sz w:val="15"/>
                <w:szCs w:val="15"/>
                <w:color w:val="auto"/>
              </w:rPr>
              <w:t>$</w:t>
            </w:r>
          </w:p>
        </w:tc>
        <w:tc>
          <w:tcPr>
            <w:tcW w:w="2220" w:type="dxa"/>
            <w:vAlign w:val="bottom"/>
            <w:gridSpan w:val="2"/>
            <w:shd w:val="clear" w:color="auto" w:fill="CCEEFF"/>
          </w:tcPr>
          <w:p>
            <w:pPr>
              <w:jc w:val="right"/>
              <w:ind w:right="1320"/>
              <w:spacing w:after="0"/>
              <w:rPr>
                <w:sz w:val="20"/>
                <w:szCs w:val="20"/>
                <w:color w:val="auto"/>
              </w:rPr>
            </w:pPr>
            <w:r>
              <w:rPr>
                <w:rFonts w:ascii="Arial" w:cs="Arial" w:eastAsia="Arial" w:hAnsi="Arial"/>
                <w:sz w:val="15"/>
                <w:szCs w:val="15"/>
                <w:color w:val="auto"/>
              </w:rPr>
              <w:t>75.00</w:t>
            </w:r>
          </w:p>
        </w:tc>
        <w:tc>
          <w:tcPr>
            <w:tcW w:w="13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1,033,333</w:t>
            </w:r>
          </w:p>
        </w:tc>
        <w:tc>
          <w:tcPr>
            <w:tcW w:w="1320" w:type="dxa"/>
            <w:vAlign w:val="bottom"/>
            <w:shd w:val="clear" w:color="auto" w:fill="CCEEFF"/>
          </w:tcPr>
          <w:p>
            <w:pPr>
              <w:spacing w:after="0"/>
              <w:rPr>
                <w:sz w:val="15"/>
                <w:szCs w:val="15"/>
                <w:color w:val="auto"/>
              </w:rPr>
            </w:pPr>
          </w:p>
        </w:tc>
        <w:tc>
          <w:tcPr>
            <w:tcW w:w="120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440,000</w:t>
            </w:r>
          </w:p>
        </w:tc>
      </w:tr>
      <w:tr>
        <w:trPr>
          <w:trHeight w:val="180"/>
        </w:trPr>
        <w:tc>
          <w:tcPr>
            <w:tcW w:w="1420" w:type="dxa"/>
            <w:vAlign w:val="bottom"/>
          </w:tcPr>
          <w:p>
            <w:pPr>
              <w:jc w:val="right"/>
              <w:ind w:right="1256"/>
              <w:spacing w:after="0"/>
              <w:rPr>
                <w:sz w:val="20"/>
                <w:szCs w:val="20"/>
                <w:color w:val="auto"/>
              </w:rPr>
            </w:pPr>
            <w:r>
              <w:rPr>
                <w:rFonts w:ascii="Arial" w:cs="Arial" w:eastAsia="Arial" w:hAnsi="Arial"/>
                <w:sz w:val="13"/>
                <w:szCs w:val="13"/>
                <w:color w:val="auto"/>
                <w:w w:val="73"/>
              </w:rPr>
              <w:t>8.</w:t>
            </w:r>
          </w:p>
        </w:tc>
        <w:tc>
          <w:tcPr>
            <w:tcW w:w="220" w:type="dxa"/>
            <w:vAlign w:val="bottom"/>
          </w:tcPr>
          <w:p>
            <w:pPr>
              <w:spacing w:after="0"/>
              <w:rPr>
                <w:sz w:val="20"/>
                <w:szCs w:val="20"/>
                <w:color w:val="auto"/>
              </w:rPr>
            </w:pPr>
            <w:r>
              <w:rPr>
                <w:rFonts w:ascii="Arial" w:cs="Arial" w:eastAsia="Arial" w:hAnsi="Arial"/>
                <w:sz w:val="15"/>
                <w:szCs w:val="15"/>
                <w:color w:val="auto"/>
              </w:rPr>
              <w:t>$</w:t>
            </w:r>
          </w:p>
        </w:tc>
        <w:tc>
          <w:tcPr>
            <w:tcW w:w="2220" w:type="dxa"/>
            <w:vAlign w:val="bottom"/>
            <w:gridSpan w:val="2"/>
          </w:tcPr>
          <w:p>
            <w:pPr>
              <w:jc w:val="right"/>
              <w:ind w:right="1320"/>
              <w:spacing w:after="0"/>
              <w:rPr>
                <w:sz w:val="20"/>
                <w:szCs w:val="20"/>
                <w:color w:val="auto"/>
              </w:rPr>
            </w:pPr>
            <w:r>
              <w:rPr>
                <w:rFonts w:ascii="Arial" w:cs="Arial" w:eastAsia="Arial" w:hAnsi="Arial"/>
                <w:sz w:val="15"/>
                <w:szCs w:val="15"/>
                <w:color w:val="auto"/>
              </w:rPr>
              <w:t>82.50</w:t>
            </w:r>
          </w:p>
        </w:tc>
        <w:tc>
          <w:tcPr>
            <w:tcW w:w="1340" w:type="dxa"/>
            <w:vAlign w:val="bottom"/>
          </w:tcPr>
          <w:p>
            <w:pPr>
              <w:jc w:val="right"/>
              <w:spacing w:after="0"/>
              <w:rPr>
                <w:sz w:val="20"/>
                <w:szCs w:val="20"/>
                <w:color w:val="auto"/>
              </w:rPr>
            </w:pPr>
            <w:r>
              <w:rPr>
                <w:rFonts w:ascii="Arial" w:cs="Arial" w:eastAsia="Arial" w:hAnsi="Arial"/>
                <w:sz w:val="15"/>
                <w:szCs w:val="15"/>
                <w:color w:val="auto"/>
              </w:rPr>
              <w:t>1,033,333</w:t>
            </w:r>
          </w:p>
        </w:tc>
        <w:tc>
          <w:tcPr>
            <w:tcW w:w="1320" w:type="dxa"/>
            <w:vAlign w:val="bottom"/>
          </w:tcPr>
          <w:p>
            <w:pPr>
              <w:spacing w:after="0"/>
              <w:rPr>
                <w:sz w:val="15"/>
                <w:szCs w:val="15"/>
                <w:color w:val="auto"/>
              </w:rPr>
            </w:pPr>
          </w:p>
        </w:tc>
        <w:tc>
          <w:tcPr>
            <w:tcW w:w="1200" w:type="dxa"/>
            <w:vAlign w:val="bottom"/>
            <w:gridSpan w:val="2"/>
          </w:tcPr>
          <w:p>
            <w:pPr>
              <w:jc w:val="right"/>
              <w:ind w:right="40"/>
              <w:spacing w:after="0"/>
              <w:rPr>
                <w:sz w:val="20"/>
                <w:szCs w:val="20"/>
                <w:color w:val="auto"/>
              </w:rPr>
            </w:pPr>
            <w:r>
              <w:rPr>
                <w:rFonts w:ascii="Arial" w:cs="Arial" w:eastAsia="Arial" w:hAnsi="Arial"/>
                <w:sz w:val="15"/>
                <w:szCs w:val="15"/>
                <w:color w:val="auto"/>
              </w:rPr>
              <w:t>440,000</w:t>
            </w:r>
          </w:p>
        </w:tc>
      </w:tr>
      <w:tr>
        <w:trPr>
          <w:trHeight w:val="180"/>
        </w:trPr>
        <w:tc>
          <w:tcPr>
            <w:tcW w:w="1420" w:type="dxa"/>
            <w:vAlign w:val="bottom"/>
            <w:shd w:val="clear" w:color="auto" w:fill="CCEEFF"/>
          </w:tcPr>
          <w:p>
            <w:pPr>
              <w:jc w:val="right"/>
              <w:ind w:right="1256"/>
              <w:spacing w:after="0"/>
              <w:rPr>
                <w:sz w:val="20"/>
                <w:szCs w:val="20"/>
                <w:color w:val="auto"/>
              </w:rPr>
            </w:pPr>
            <w:r>
              <w:rPr>
                <w:rFonts w:ascii="Arial" w:cs="Arial" w:eastAsia="Arial" w:hAnsi="Arial"/>
                <w:sz w:val="13"/>
                <w:szCs w:val="13"/>
                <w:color w:val="auto"/>
                <w:w w:val="73"/>
              </w:rPr>
              <w:t>9.</w:t>
            </w:r>
          </w:p>
        </w:tc>
        <w:tc>
          <w:tcPr>
            <w:tcW w:w="220" w:type="dxa"/>
            <w:vAlign w:val="bottom"/>
            <w:shd w:val="clear" w:color="auto" w:fill="CCEEFF"/>
          </w:tcPr>
          <w:p>
            <w:pPr>
              <w:spacing w:after="0"/>
              <w:rPr>
                <w:sz w:val="20"/>
                <w:szCs w:val="20"/>
                <w:color w:val="auto"/>
              </w:rPr>
            </w:pPr>
            <w:r>
              <w:rPr>
                <w:rFonts w:ascii="Arial" w:cs="Arial" w:eastAsia="Arial" w:hAnsi="Arial"/>
                <w:sz w:val="15"/>
                <w:szCs w:val="15"/>
                <w:color w:val="auto"/>
              </w:rPr>
              <w:t>$</w:t>
            </w:r>
          </w:p>
        </w:tc>
        <w:tc>
          <w:tcPr>
            <w:tcW w:w="2220" w:type="dxa"/>
            <w:vAlign w:val="bottom"/>
            <w:gridSpan w:val="2"/>
            <w:shd w:val="clear" w:color="auto" w:fill="CCEEFF"/>
          </w:tcPr>
          <w:p>
            <w:pPr>
              <w:jc w:val="right"/>
              <w:ind w:right="1320"/>
              <w:spacing w:after="0"/>
              <w:rPr>
                <w:sz w:val="20"/>
                <w:szCs w:val="20"/>
                <w:color w:val="auto"/>
              </w:rPr>
            </w:pPr>
            <w:r>
              <w:rPr>
                <w:rFonts w:ascii="Arial" w:cs="Arial" w:eastAsia="Arial" w:hAnsi="Arial"/>
                <w:sz w:val="15"/>
                <w:szCs w:val="15"/>
                <w:color w:val="auto"/>
              </w:rPr>
              <w:t>90.00</w:t>
            </w:r>
          </w:p>
        </w:tc>
        <w:tc>
          <w:tcPr>
            <w:tcW w:w="13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1,033,333</w:t>
            </w:r>
          </w:p>
        </w:tc>
        <w:tc>
          <w:tcPr>
            <w:tcW w:w="1320" w:type="dxa"/>
            <w:vAlign w:val="bottom"/>
            <w:shd w:val="clear" w:color="auto" w:fill="CCEEFF"/>
          </w:tcPr>
          <w:p>
            <w:pPr>
              <w:spacing w:after="0"/>
              <w:rPr>
                <w:sz w:val="15"/>
                <w:szCs w:val="15"/>
                <w:color w:val="auto"/>
              </w:rPr>
            </w:pPr>
          </w:p>
        </w:tc>
        <w:tc>
          <w:tcPr>
            <w:tcW w:w="120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440,000</w:t>
            </w:r>
          </w:p>
        </w:tc>
      </w:tr>
    </w:tbl>
    <w:p>
      <w:pPr>
        <w:spacing w:after="0" w:line="170" w:lineRule="exact"/>
        <w:rPr>
          <w:sz w:val="20"/>
          <w:szCs w:val="20"/>
          <w:color w:val="auto"/>
        </w:rPr>
      </w:pPr>
    </w:p>
    <w:p>
      <w:pPr>
        <w:ind w:left="1120" w:right="120" w:firstLine="368"/>
        <w:spacing w:after="0" w:line="263" w:lineRule="auto"/>
        <w:rPr>
          <w:sz w:val="20"/>
          <w:szCs w:val="20"/>
          <w:color w:val="auto"/>
        </w:rPr>
      </w:pPr>
      <w:r>
        <w:rPr>
          <w:rFonts w:ascii="Arial" w:cs="Arial" w:eastAsia="Arial" w:hAnsi="Arial"/>
          <w:sz w:val="15"/>
          <w:szCs w:val="15"/>
          <w:color w:val="auto"/>
        </w:rPr>
        <w:t>Measurement of our stock price for purposes of achievement of the Stock Price Targets will not commence until the later of the expiration of the lock-up period following the completion of this offering or January 1, 2019. In addition, the Stock Price Targets will be adjusted to reflect any stock splits, stock dividends, combinations, reorganizations, reclassifications, or similar event.</w:t>
      </w:r>
    </w:p>
    <w:p>
      <w:pPr>
        <w:spacing w:after="0" w:line="155" w:lineRule="exact"/>
        <w:rPr>
          <w:sz w:val="20"/>
          <w:szCs w:val="20"/>
          <w:color w:val="auto"/>
        </w:rPr>
      </w:pPr>
    </w:p>
    <w:p>
      <w:pPr>
        <w:ind w:left="1120" w:right="60" w:firstLine="368"/>
        <w:spacing w:after="0" w:line="290" w:lineRule="auto"/>
        <w:rPr>
          <w:sz w:val="20"/>
          <w:szCs w:val="20"/>
          <w:color w:val="auto"/>
        </w:rPr>
      </w:pPr>
      <w:r>
        <w:rPr>
          <w:rFonts w:ascii="Arial" w:cs="Arial" w:eastAsia="Arial" w:hAnsi="Arial"/>
          <w:sz w:val="14"/>
          <w:szCs w:val="14"/>
          <w:color w:val="auto"/>
        </w:rPr>
        <w:t>During the first four years of the performance period, no more than 20% of the shares subject to each Co-Founder Grant would be eligible to vest in any calendar year. This ensures that to fully vest in the Co-Founder Grants, any increase in our stock price must be sustained over a long period of time and not allow any short-term, unsustained increases in our stock price to result in a vesting event for either co-founder.</w:t>
      </w:r>
    </w:p>
    <w:p>
      <w:pPr>
        <w:spacing w:after="0" w:line="138" w:lineRule="exact"/>
        <w:rPr>
          <w:sz w:val="20"/>
          <w:szCs w:val="20"/>
          <w:color w:val="auto"/>
        </w:rPr>
      </w:pPr>
    </w:p>
    <w:p>
      <w:pPr>
        <w:ind w:left="1120" w:firstLine="368"/>
        <w:spacing w:after="0" w:line="255" w:lineRule="auto"/>
        <w:rPr>
          <w:sz w:val="20"/>
          <w:szCs w:val="20"/>
          <w:color w:val="auto"/>
        </w:rPr>
      </w:pPr>
      <w:r>
        <w:rPr>
          <w:rFonts w:ascii="Arial" w:cs="Arial" w:eastAsia="Arial" w:hAnsi="Arial"/>
          <w:sz w:val="15"/>
          <w:szCs w:val="15"/>
          <w:color w:val="auto"/>
        </w:rPr>
        <w:t>Further, the co-founders will only vest in the awards if they continue as the Chief Executive Officer or Executive Chairman, with respect to Mr. Houston, and as a member of the senior management team, with respect to Mr. Ferdowsi, or the Executive Service Requirement, at the time a Stock Price Target is achieved. Upon a co-founder’s no longer satisfying the Executive Service Requirement, any portion of the Co-Founder Grant for which a Stock Price Target has not been achieved would terminate and be cancelled. By requiring that each continue in a senior executive role with us as a condition to vesting, the Board of Directors sought to ensure that each must be providing significant contributions to us that drive any future growth that would allow the Co-Founder Grants to vest.</w:t>
      </w:r>
    </w:p>
    <w:p>
      <w:pPr>
        <w:spacing w:after="0" w:line="164" w:lineRule="exact"/>
        <w:rPr>
          <w:sz w:val="20"/>
          <w:szCs w:val="20"/>
          <w:color w:val="auto"/>
        </w:rPr>
      </w:pPr>
    </w:p>
    <w:p>
      <w:pPr>
        <w:ind w:left="1120" w:firstLine="368"/>
        <w:spacing w:after="0" w:line="259" w:lineRule="auto"/>
        <w:rPr>
          <w:sz w:val="20"/>
          <w:szCs w:val="20"/>
          <w:color w:val="auto"/>
        </w:rPr>
      </w:pPr>
      <w:r>
        <w:rPr>
          <w:rFonts w:ascii="Arial" w:cs="Arial" w:eastAsia="Arial" w:hAnsi="Arial"/>
          <w:sz w:val="15"/>
          <w:szCs w:val="15"/>
          <w:color w:val="auto"/>
        </w:rPr>
        <w:t>Lastly, the Board of Directors considered the impact these grants would have on the co-founders’ voting control of the Company. The Board of Directors determined that it was in our and our stockholders’ best interests to issue the Co-Founder Grants because the receipt of the Co-Founder Grants would not materially impact the voting control of the Company, but would still provide the co-founders with meaningful incentives as described above, and thereby align their interests with those of our other stockholders.</w:t>
      </w:r>
    </w:p>
    <w:p>
      <w:pPr>
        <w:spacing w:after="0" w:line="158" w:lineRule="exact"/>
        <w:rPr>
          <w:sz w:val="20"/>
          <w:szCs w:val="20"/>
          <w:color w:val="auto"/>
        </w:rPr>
      </w:pPr>
    </w:p>
    <w:p>
      <w:pPr>
        <w:ind w:left="1120" w:firstLine="368"/>
        <w:spacing w:after="0" w:line="257" w:lineRule="auto"/>
        <w:rPr>
          <w:sz w:val="20"/>
          <w:szCs w:val="20"/>
          <w:color w:val="auto"/>
        </w:rPr>
      </w:pPr>
      <w:r>
        <w:rPr>
          <w:rFonts w:ascii="Arial" w:cs="Arial" w:eastAsia="Arial" w:hAnsi="Arial"/>
          <w:sz w:val="15"/>
          <w:szCs w:val="15"/>
          <w:color w:val="auto"/>
        </w:rPr>
        <w:t>In the event of an acquisition of the Company following the closing of this offering, but before the end of the performance period, the Co-Founder Grants may be eligible to vest in additional tranche(s) of shares if the per share deal price in the acquisition causes a Stock Price Target that has not previously been achieved to be satisfied, in which case the tranche(s) of shares corresponding to that Stock Price Target will vest. Additionally, if the acquisition price falls between a Stock Price Target that has been achieved and one that has not, then a portion of that tranche of shares will vest based on a linear interpolation between each of these Stock Price Targets.</w:t>
      </w:r>
    </w:p>
    <w:p>
      <w:pPr>
        <w:spacing w:after="0" w:line="245" w:lineRule="exact"/>
        <w:rPr>
          <w:sz w:val="20"/>
          <w:szCs w:val="20"/>
          <w:color w:val="auto"/>
        </w:rPr>
      </w:pPr>
    </w:p>
    <w:p>
      <w:pPr>
        <w:ind w:left="1120"/>
        <w:spacing w:after="0"/>
        <w:rPr>
          <w:sz w:val="20"/>
          <w:szCs w:val="20"/>
          <w:color w:val="auto"/>
        </w:rPr>
      </w:pPr>
      <w:r>
        <w:rPr>
          <w:rFonts w:ascii="Arial" w:cs="Arial" w:eastAsia="Arial" w:hAnsi="Arial"/>
          <w:sz w:val="15"/>
          <w:szCs w:val="15"/>
          <w:b w:val="1"/>
          <w:bCs w:val="1"/>
          <w:color w:val="auto"/>
        </w:rPr>
        <w:t>Executive Employment Arrangements</w:t>
      </w:r>
    </w:p>
    <w:p>
      <w:pPr>
        <w:spacing w:after="0" w:line="102" w:lineRule="exact"/>
        <w:rPr>
          <w:sz w:val="20"/>
          <w:szCs w:val="20"/>
          <w:color w:val="auto"/>
        </w:rPr>
      </w:pPr>
    </w:p>
    <w:p>
      <w:pPr>
        <w:ind w:left="1480"/>
        <w:spacing w:after="0"/>
        <w:rPr>
          <w:sz w:val="20"/>
          <w:szCs w:val="20"/>
          <w:color w:val="auto"/>
        </w:rPr>
      </w:pPr>
      <w:r>
        <w:rPr>
          <w:rFonts w:ascii="Arial" w:cs="Arial" w:eastAsia="Arial" w:hAnsi="Arial"/>
          <w:sz w:val="15"/>
          <w:szCs w:val="15"/>
          <w:b w:val="1"/>
          <w:bCs w:val="1"/>
          <w:i w:val="1"/>
          <w:iCs w:val="1"/>
          <w:color w:val="auto"/>
        </w:rPr>
        <w:t>Andrew W. Houston</w:t>
      </w:r>
    </w:p>
    <w:p>
      <w:pPr>
        <w:spacing w:after="0" w:line="98" w:lineRule="exact"/>
        <w:rPr>
          <w:sz w:val="20"/>
          <w:szCs w:val="20"/>
          <w:color w:val="auto"/>
        </w:rPr>
      </w:pPr>
    </w:p>
    <w:p>
      <w:pPr>
        <w:ind w:left="1120" w:right="120" w:firstLine="368"/>
        <w:spacing w:after="0" w:line="275" w:lineRule="auto"/>
        <w:rPr>
          <w:sz w:val="20"/>
          <w:szCs w:val="20"/>
          <w:color w:val="auto"/>
        </w:rPr>
      </w:pPr>
      <w:r>
        <w:rPr>
          <w:rFonts w:ascii="Arial" w:cs="Arial" w:eastAsia="Arial" w:hAnsi="Arial"/>
          <w:sz w:val="15"/>
          <w:szCs w:val="15"/>
          <w:color w:val="auto"/>
        </w:rPr>
        <w:t>We have entered into an employment letter with Andrew W. Houston, our Chief Executive Officer and one of our co-founders. The employment letter does not have a specific term and provides that Mr. Houston is an</w:t>
      </w:r>
    </w:p>
    <w:p>
      <w:pPr>
        <w:spacing w:after="0" w:line="90" w:lineRule="exact"/>
        <w:rPr>
          <w:sz w:val="20"/>
          <w:szCs w:val="20"/>
          <w:color w:val="auto"/>
        </w:rPr>
      </w:pPr>
    </w:p>
    <w:p>
      <w:pPr>
        <w:ind w:left="5600"/>
        <w:spacing w:after="0"/>
        <w:rPr>
          <w:sz w:val="20"/>
          <w:szCs w:val="20"/>
          <w:color w:val="auto"/>
        </w:rPr>
      </w:pPr>
      <w:r>
        <w:rPr>
          <w:rFonts w:ascii="Arial" w:cs="Arial" w:eastAsia="Arial" w:hAnsi="Arial"/>
          <w:sz w:val="15"/>
          <w:szCs w:val="15"/>
          <w:color w:val="auto"/>
        </w:rPr>
        <w:t>148</w:t>
      </w:r>
    </w:p>
    <w:p>
      <w:pPr>
        <w:sectPr>
          <w:pgSz w:w="11900" w:h="16838" w:orient="portrait"/>
          <w:cols w:equalWidth="0" w:num="1">
            <w:col w:w="10280"/>
          </w:cols>
          <w:pgMar w:left="240" w:top="408" w:right="1379" w:bottom="1440" w:gutter="0" w:footer="0" w:header="0"/>
        </w:sectPr>
      </w:pPr>
    </w:p>
    <w:bookmarkStart w:id="155" w:name="page156"/>
    <w:bookmarkEnd w:id="155"/>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133350</wp:posOffset>
            </wp:positionH>
            <wp:positionV relativeFrom="page">
              <wp:posOffset>88900</wp:posOffset>
            </wp:positionV>
            <wp:extent cx="7308850" cy="3429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308850" cy="34290"/>
                    </a:xfrm>
                    <a:prstGeom prst="rect">
                      <a:avLst/>
                    </a:prstGeom>
                    <a:noFill/>
                  </pic:spPr>
                </pic:pic>
              </a:graphicData>
            </a:graphic>
          </wp:anchor>
        </w:drawing>
      </w:r>
      <w:hyperlink w:anchor="page7">
        <w:r>
          <w:rPr>
            <w:rFonts w:ascii="Arial" w:cs="Arial" w:eastAsia="Arial" w:hAnsi="Arial"/>
            <w:sz w:val="15"/>
            <w:szCs w:val="15"/>
            <w:b w:val="1"/>
            <w:bCs w:val="1"/>
            <w:u w:val="single" w:color="auto"/>
            <w:color w:val="0000EE"/>
          </w:rPr>
          <w:t>Table of Contents</w:t>
        </w:r>
      </w:hyperlink>
    </w:p>
    <w:p>
      <w:pPr>
        <w:spacing w:after="0" w:line="260" w:lineRule="exact"/>
        <w:rPr>
          <w:sz w:val="20"/>
          <w:szCs w:val="20"/>
          <w:color w:val="auto"/>
        </w:rPr>
      </w:pPr>
    </w:p>
    <w:p>
      <w:pPr>
        <w:ind w:left="1120" w:right="160"/>
        <w:spacing w:after="0" w:line="275" w:lineRule="auto"/>
        <w:rPr>
          <w:sz w:val="20"/>
          <w:szCs w:val="20"/>
          <w:color w:val="auto"/>
        </w:rPr>
      </w:pPr>
      <w:r>
        <w:rPr>
          <w:rFonts w:ascii="Arial" w:cs="Arial" w:eastAsia="Arial" w:hAnsi="Arial"/>
          <w:sz w:val="15"/>
          <w:szCs w:val="15"/>
          <w:color w:val="auto"/>
        </w:rPr>
        <w:t>at-will employee. Mr. Houston’s current annual base salary is $400,000, and he is eligible for an annual target cash incentive payment equal to 65% of his annual base salary.</w:t>
      </w:r>
    </w:p>
    <w:p>
      <w:pPr>
        <w:spacing w:after="0" w:line="146" w:lineRule="exact"/>
        <w:rPr>
          <w:sz w:val="20"/>
          <w:szCs w:val="20"/>
          <w:color w:val="auto"/>
        </w:rPr>
      </w:pPr>
    </w:p>
    <w:p>
      <w:pPr>
        <w:ind w:left="1480"/>
        <w:spacing w:after="0"/>
        <w:rPr>
          <w:sz w:val="20"/>
          <w:szCs w:val="20"/>
          <w:color w:val="auto"/>
        </w:rPr>
      </w:pPr>
      <w:r>
        <w:rPr>
          <w:rFonts w:ascii="Arial" w:cs="Arial" w:eastAsia="Arial" w:hAnsi="Arial"/>
          <w:sz w:val="15"/>
          <w:szCs w:val="15"/>
          <w:b w:val="1"/>
          <w:bCs w:val="1"/>
          <w:i w:val="1"/>
          <w:iCs w:val="1"/>
          <w:color w:val="auto"/>
        </w:rPr>
        <w:t>Arash Ferdowsi</w:t>
      </w:r>
    </w:p>
    <w:p>
      <w:pPr>
        <w:spacing w:after="0" w:line="98" w:lineRule="exact"/>
        <w:rPr>
          <w:sz w:val="20"/>
          <w:szCs w:val="20"/>
          <w:color w:val="auto"/>
        </w:rPr>
      </w:pPr>
    </w:p>
    <w:p>
      <w:pPr>
        <w:ind w:left="1120" w:right="20" w:firstLine="368"/>
        <w:spacing w:after="0" w:line="263" w:lineRule="auto"/>
        <w:rPr>
          <w:sz w:val="20"/>
          <w:szCs w:val="20"/>
          <w:color w:val="auto"/>
        </w:rPr>
      </w:pPr>
      <w:r>
        <w:rPr>
          <w:rFonts w:ascii="Arial" w:cs="Arial" w:eastAsia="Arial" w:hAnsi="Arial"/>
          <w:sz w:val="15"/>
          <w:szCs w:val="15"/>
          <w:color w:val="auto"/>
        </w:rPr>
        <w:t>We have entered into an employment letter with Arash Ferdowsi, one of our co-founders. The employment letter does not have a specific term and provides that Mr. Ferdowsi is an at-will employee. Mr. Ferdowsi’s current annual base salary is $400,000, and he is eligible for an annual target cash incentive payment equal to 65% of his annual base salary.</w:t>
      </w:r>
    </w:p>
    <w:p>
      <w:pPr>
        <w:spacing w:after="0" w:line="155" w:lineRule="exact"/>
        <w:rPr>
          <w:sz w:val="20"/>
          <w:szCs w:val="20"/>
          <w:color w:val="auto"/>
        </w:rPr>
      </w:pPr>
    </w:p>
    <w:p>
      <w:pPr>
        <w:ind w:left="1480"/>
        <w:spacing w:after="0"/>
        <w:rPr>
          <w:sz w:val="20"/>
          <w:szCs w:val="20"/>
          <w:color w:val="auto"/>
        </w:rPr>
      </w:pPr>
      <w:r>
        <w:rPr>
          <w:rFonts w:ascii="Arial" w:cs="Arial" w:eastAsia="Arial" w:hAnsi="Arial"/>
          <w:sz w:val="15"/>
          <w:szCs w:val="15"/>
          <w:b w:val="1"/>
          <w:bCs w:val="1"/>
          <w:i w:val="1"/>
          <w:iCs w:val="1"/>
          <w:color w:val="auto"/>
        </w:rPr>
        <w:t>Quentin J. Clark</w:t>
      </w:r>
    </w:p>
    <w:p>
      <w:pPr>
        <w:spacing w:after="0" w:line="98" w:lineRule="exact"/>
        <w:rPr>
          <w:sz w:val="20"/>
          <w:szCs w:val="20"/>
          <w:color w:val="auto"/>
        </w:rPr>
      </w:pPr>
    </w:p>
    <w:p>
      <w:pPr>
        <w:ind w:left="1120" w:right="120" w:firstLine="368"/>
        <w:spacing w:after="0" w:line="263" w:lineRule="auto"/>
        <w:rPr>
          <w:sz w:val="20"/>
          <w:szCs w:val="20"/>
          <w:color w:val="auto"/>
        </w:rPr>
      </w:pPr>
      <w:r>
        <w:rPr>
          <w:rFonts w:ascii="Arial" w:cs="Arial" w:eastAsia="Arial" w:hAnsi="Arial"/>
          <w:sz w:val="15"/>
          <w:szCs w:val="15"/>
          <w:color w:val="auto"/>
        </w:rPr>
        <w:t>We have entered into an employment letter with Quentin J. Clark, our Senior Vice President of Engineering, Product, and Design. The employment letter does not have a specific term and provides that Mr. Clark is an at-will employee. Mr. Clark’s current annual base salary is $400,000, and he is eligible for an annual target cash incentive payment equal to 65% of his annual base salary.</w:t>
      </w:r>
    </w:p>
    <w:p>
      <w:pPr>
        <w:spacing w:after="0" w:line="241" w:lineRule="exact"/>
        <w:rPr>
          <w:sz w:val="20"/>
          <w:szCs w:val="20"/>
          <w:color w:val="auto"/>
        </w:rPr>
      </w:pPr>
    </w:p>
    <w:p>
      <w:pPr>
        <w:ind w:left="1120"/>
        <w:spacing w:after="0"/>
        <w:rPr>
          <w:sz w:val="20"/>
          <w:szCs w:val="20"/>
          <w:color w:val="auto"/>
        </w:rPr>
      </w:pPr>
      <w:r>
        <w:rPr>
          <w:rFonts w:ascii="Arial" w:cs="Arial" w:eastAsia="Arial" w:hAnsi="Arial"/>
          <w:sz w:val="15"/>
          <w:szCs w:val="15"/>
          <w:b w:val="1"/>
          <w:bCs w:val="1"/>
          <w:color w:val="auto"/>
        </w:rPr>
        <w:t>Potential Payments upon Termination or Change in Control</w:t>
      </w:r>
    </w:p>
    <w:p>
      <w:pPr>
        <w:spacing w:after="0" w:line="102" w:lineRule="exact"/>
        <w:rPr>
          <w:sz w:val="20"/>
          <w:szCs w:val="20"/>
          <w:color w:val="auto"/>
        </w:rPr>
      </w:pPr>
    </w:p>
    <w:p>
      <w:pPr>
        <w:ind w:left="1120" w:right="20" w:firstLine="368"/>
        <w:spacing w:after="0" w:line="311" w:lineRule="auto"/>
        <w:rPr>
          <w:sz w:val="20"/>
          <w:szCs w:val="20"/>
          <w:color w:val="auto"/>
        </w:rPr>
      </w:pPr>
      <w:r>
        <w:rPr>
          <w:rFonts w:ascii="Arial" w:cs="Arial" w:eastAsia="Arial" w:hAnsi="Arial"/>
          <w:sz w:val="13"/>
          <w:szCs w:val="13"/>
          <w:color w:val="auto"/>
        </w:rPr>
        <w:t>We expect to enter into a change in control and severance agreement with each of our named executive officers that provides for the severance and change in control benefits described below. Each change in control and severance agreement will supersede any existing agreement or arrangement the named executive officers may have with us that provides for severance and/or change in control payments or benefits, except that the change in control and severance agreements with Messrs. Houston and Ferdowsi will not have any effect on the Co-Founder Grants.</w:t>
      </w:r>
    </w:p>
    <w:p>
      <w:pPr>
        <w:spacing w:after="0" w:line="127" w:lineRule="exact"/>
        <w:rPr>
          <w:sz w:val="20"/>
          <w:szCs w:val="20"/>
          <w:color w:val="auto"/>
        </w:rPr>
      </w:pPr>
    </w:p>
    <w:p>
      <w:pPr>
        <w:ind w:left="1120" w:right="140" w:firstLine="368"/>
        <w:spacing w:after="0" w:line="263" w:lineRule="auto"/>
        <w:rPr>
          <w:sz w:val="20"/>
          <w:szCs w:val="20"/>
          <w:color w:val="auto"/>
        </w:rPr>
      </w:pPr>
      <w:r>
        <w:rPr>
          <w:rFonts w:ascii="Arial" w:cs="Arial" w:eastAsia="Arial" w:hAnsi="Arial"/>
          <w:sz w:val="15"/>
          <w:szCs w:val="15"/>
          <w:color w:val="auto"/>
        </w:rPr>
        <w:t>If the named executive officer’s employment is terminated by us other than for “cause,” death, or “disability” or he resigns for “good reason” (as such terms are defined in his change in control and severance agreement), in either case, outside the Change in Control Period (as defined below), he will be eligible to receive the following payments and benefits:</w:t>
      </w:r>
    </w:p>
    <w:p>
      <w:pPr>
        <w:spacing w:after="0" w:line="76" w:lineRule="exact"/>
        <w:rPr>
          <w:sz w:val="20"/>
          <w:szCs w:val="20"/>
          <w:color w:val="auto"/>
        </w:rPr>
      </w:pPr>
    </w:p>
    <w:p>
      <w:pPr>
        <w:ind w:left="1840" w:right="660" w:hanging="276"/>
        <w:spacing w:after="0" w:line="354" w:lineRule="auto"/>
        <w:tabs>
          <w:tab w:leader="none" w:pos="1840" w:val="left"/>
        </w:tabs>
        <w:numPr>
          <w:ilvl w:val="0"/>
          <w:numId w:val="70"/>
        </w:numPr>
        <w:rPr>
          <w:rFonts w:ascii="Arial" w:cs="Arial" w:eastAsia="Arial" w:hAnsi="Arial"/>
          <w:sz w:val="13"/>
          <w:szCs w:val="13"/>
          <w:color w:val="auto"/>
        </w:rPr>
      </w:pPr>
      <w:r>
        <w:rPr>
          <w:rFonts w:ascii="Arial" w:cs="Arial" w:eastAsia="Arial" w:hAnsi="Arial"/>
          <w:sz w:val="13"/>
          <w:szCs w:val="13"/>
          <w:color w:val="auto"/>
        </w:rPr>
        <w:t>a lump-sum payment equal to 50% of annual base salary as of immediately before his termination (or if the termination is due to a resignation for good reason based on a material reduction in base salary, then as of immediately before such reduction); and</w:t>
      </w:r>
    </w:p>
    <w:p>
      <w:pPr>
        <w:spacing w:after="0" w:line="21" w:lineRule="exact"/>
        <w:rPr>
          <w:rFonts w:ascii="Arial" w:cs="Arial" w:eastAsia="Arial" w:hAnsi="Arial"/>
          <w:sz w:val="13"/>
          <w:szCs w:val="13"/>
          <w:color w:val="auto"/>
        </w:rPr>
      </w:pPr>
    </w:p>
    <w:p>
      <w:pPr>
        <w:jc w:val="both"/>
        <w:ind w:left="1840" w:right="80" w:hanging="276"/>
        <w:spacing w:after="0" w:line="354" w:lineRule="auto"/>
        <w:tabs>
          <w:tab w:leader="none" w:pos="1840" w:val="left"/>
        </w:tabs>
        <w:numPr>
          <w:ilvl w:val="0"/>
          <w:numId w:val="70"/>
        </w:numPr>
        <w:rPr>
          <w:rFonts w:ascii="Arial" w:cs="Arial" w:eastAsia="Arial" w:hAnsi="Arial"/>
          <w:sz w:val="13"/>
          <w:szCs w:val="13"/>
          <w:color w:val="auto"/>
        </w:rPr>
      </w:pPr>
      <w:r>
        <w:rPr>
          <w:rFonts w:ascii="Arial" w:cs="Arial" w:eastAsia="Arial" w:hAnsi="Arial"/>
          <w:sz w:val="13"/>
          <w:szCs w:val="13"/>
          <w:color w:val="auto"/>
        </w:rPr>
        <w:t>if he elects to continue health insurance coverage for him and his eligible dependents under COBRA, our payment of the monthly premium for such COBRA continuation coverage for up to 6 months (or monthly taxable payments to him in lieu of our payment of such premiums).</w:t>
      </w:r>
    </w:p>
    <w:p>
      <w:pPr>
        <w:spacing w:after="0" w:line="100" w:lineRule="exact"/>
        <w:rPr>
          <w:sz w:val="20"/>
          <w:szCs w:val="20"/>
          <w:color w:val="auto"/>
        </w:rPr>
      </w:pPr>
    </w:p>
    <w:p>
      <w:pPr>
        <w:ind w:left="1120" w:right="60" w:firstLine="368"/>
        <w:spacing w:after="0" w:line="263" w:lineRule="auto"/>
        <w:rPr>
          <w:sz w:val="20"/>
          <w:szCs w:val="20"/>
          <w:color w:val="auto"/>
        </w:rPr>
      </w:pPr>
      <w:r>
        <w:rPr>
          <w:rFonts w:ascii="Arial" w:cs="Arial" w:eastAsia="Arial" w:hAnsi="Arial"/>
          <w:sz w:val="15"/>
          <w:szCs w:val="15"/>
          <w:color w:val="auto"/>
        </w:rPr>
        <w:t>If, within the three-month period before or after the 12-month period following a change in control (such period, the Change in Control Period), the named executive officer’s employment is terminated by us other than for cause, death, or disability or he resigns for “good reason” (as defined in his change in control and severance agreement), he will be entitled to the following benefits:</w:t>
      </w:r>
    </w:p>
    <w:p>
      <w:pPr>
        <w:spacing w:after="0" w:line="76" w:lineRule="exact"/>
        <w:rPr>
          <w:sz w:val="20"/>
          <w:szCs w:val="20"/>
          <w:color w:val="auto"/>
        </w:rPr>
      </w:pPr>
    </w:p>
    <w:p>
      <w:pPr>
        <w:ind w:left="1840" w:right="80" w:hanging="276"/>
        <w:spacing w:after="0" w:line="263" w:lineRule="auto"/>
        <w:tabs>
          <w:tab w:leader="none" w:pos="1840" w:val="left"/>
        </w:tabs>
        <w:numPr>
          <w:ilvl w:val="0"/>
          <w:numId w:val="71"/>
        </w:numPr>
        <w:rPr>
          <w:rFonts w:ascii="Arial" w:cs="Arial" w:eastAsia="Arial" w:hAnsi="Arial"/>
          <w:sz w:val="15"/>
          <w:szCs w:val="15"/>
          <w:color w:val="auto"/>
        </w:rPr>
      </w:pPr>
      <w:r>
        <w:rPr>
          <w:rFonts w:ascii="Arial" w:cs="Arial" w:eastAsia="Arial" w:hAnsi="Arial"/>
          <w:sz w:val="15"/>
          <w:szCs w:val="15"/>
          <w:color w:val="auto"/>
        </w:rPr>
        <w:t>a lump-sum payment equal to 100% of his annual base salary as of immediately before his termination (or if the termination is due to a resignation for good reason based on a material reduction in base salary, then as of immediately before such reduction) or, if such amount is greater, as of immediately before the change in control;</w:t>
      </w:r>
    </w:p>
    <w:p>
      <w:pPr>
        <w:spacing w:after="0" w:line="75" w:lineRule="exact"/>
        <w:rPr>
          <w:rFonts w:ascii="Arial" w:cs="Arial" w:eastAsia="Arial" w:hAnsi="Arial"/>
          <w:sz w:val="15"/>
          <w:szCs w:val="15"/>
          <w:color w:val="auto"/>
        </w:rPr>
      </w:pPr>
    </w:p>
    <w:p>
      <w:pPr>
        <w:ind w:left="1840" w:hanging="276"/>
        <w:spacing w:after="0"/>
        <w:tabs>
          <w:tab w:leader="none" w:pos="1840" w:val="left"/>
        </w:tabs>
        <w:numPr>
          <w:ilvl w:val="0"/>
          <w:numId w:val="71"/>
        </w:numPr>
        <w:rPr>
          <w:rFonts w:ascii="Arial" w:cs="Arial" w:eastAsia="Arial" w:hAnsi="Arial"/>
          <w:sz w:val="15"/>
          <w:szCs w:val="15"/>
          <w:color w:val="auto"/>
        </w:rPr>
      </w:pPr>
      <w:r>
        <w:rPr>
          <w:rFonts w:ascii="Arial" w:cs="Arial" w:eastAsia="Arial" w:hAnsi="Arial"/>
          <w:sz w:val="15"/>
          <w:szCs w:val="15"/>
          <w:color w:val="auto"/>
        </w:rPr>
        <w:t>a lump-sum payment equal to 100% of his target annual bonus (for the year of his termination);</w:t>
      </w:r>
    </w:p>
    <w:p>
      <w:pPr>
        <w:spacing w:after="0" w:line="109" w:lineRule="exact"/>
        <w:rPr>
          <w:rFonts w:ascii="Arial" w:cs="Arial" w:eastAsia="Arial" w:hAnsi="Arial"/>
          <w:sz w:val="15"/>
          <w:szCs w:val="15"/>
          <w:color w:val="auto"/>
        </w:rPr>
      </w:pPr>
    </w:p>
    <w:p>
      <w:pPr>
        <w:ind w:left="1840" w:hanging="276"/>
        <w:spacing w:after="0" w:line="263" w:lineRule="auto"/>
        <w:tabs>
          <w:tab w:leader="none" w:pos="1840" w:val="left"/>
        </w:tabs>
        <w:numPr>
          <w:ilvl w:val="0"/>
          <w:numId w:val="71"/>
        </w:numPr>
        <w:rPr>
          <w:rFonts w:ascii="Arial" w:cs="Arial" w:eastAsia="Arial" w:hAnsi="Arial"/>
          <w:sz w:val="15"/>
          <w:szCs w:val="15"/>
          <w:color w:val="auto"/>
        </w:rPr>
      </w:pPr>
      <w:r>
        <w:rPr>
          <w:rFonts w:ascii="Arial" w:cs="Arial" w:eastAsia="Arial" w:hAnsi="Arial"/>
          <w:sz w:val="15"/>
          <w:szCs w:val="15"/>
          <w:color w:val="auto"/>
        </w:rPr>
        <w:t>if he elects to continue health insurance coverage for him and his eligible dependents under COBRA, our payment of the monthly premium for such COBRA continuation coverage for up to 12 months (or monthly taxable payments to him in lieu of our payment of such premiums); and</w:t>
      </w:r>
    </w:p>
    <w:p>
      <w:pPr>
        <w:spacing w:after="0" w:line="75" w:lineRule="exact"/>
        <w:rPr>
          <w:rFonts w:ascii="Arial" w:cs="Arial" w:eastAsia="Arial" w:hAnsi="Arial"/>
          <w:sz w:val="15"/>
          <w:szCs w:val="15"/>
          <w:color w:val="auto"/>
        </w:rPr>
      </w:pPr>
    </w:p>
    <w:p>
      <w:pPr>
        <w:ind w:left="1840" w:right="440" w:hanging="276"/>
        <w:spacing w:after="0" w:line="275" w:lineRule="auto"/>
        <w:tabs>
          <w:tab w:leader="none" w:pos="1840" w:val="left"/>
        </w:tabs>
        <w:numPr>
          <w:ilvl w:val="0"/>
          <w:numId w:val="71"/>
        </w:numPr>
        <w:rPr>
          <w:rFonts w:ascii="Arial" w:cs="Arial" w:eastAsia="Arial" w:hAnsi="Arial"/>
          <w:sz w:val="15"/>
          <w:szCs w:val="15"/>
          <w:color w:val="auto"/>
        </w:rPr>
      </w:pPr>
      <w:r>
        <w:rPr>
          <w:rFonts w:ascii="Arial" w:cs="Arial" w:eastAsia="Arial" w:hAnsi="Arial"/>
          <w:sz w:val="15"/>
          <w:szCs w:val="15"/>
          <w:color w:val="auto"/>
        </w:rPr>
        <w:t>100% accelerated vesting of all outstanding equity awards, and, with respect to equity awards with performance-based vesting, unless otherwise specified in the award agreements governing such equity</w:t>
      </w:r>
    </w:p>
    <w:p>
      <w:pPr>
        <w:spacing w:after="0" w:line="90" w:lineRule="exact"/>
        <w:rPr>
          <w:sz w:val="20"/>
          <w:szCs w:val="20"/>
          <w:color w:val="auto"/>
        </w:rPr>
      </w:pPr>
    </w:p>
    <w:p>
      <w:pPr>
        <w:ind w:left="5600"/>
        <w:spacing w:after="0"/>
        <w:rPr>
          <w:sz w:val="20"/>
          <w:szCs w:val="20"/>
          <w:color w:val="auto"/>
        </w:rPr>
      </w:pPr>
      <w:r>
        <w:rPr>
          <w:rFonts w:ascii="Arial" w:cs="Arial" w:eastAsia="Arial" w:hAnsi="Arial"/>
          <w:sz w:val="15"/>
          <w:szCs w:val="15"/>
          <w:color w:val="auto"/>
        </w:rPr>
        <w:t>149</w:t>
      </w:r>
    </w:p>
    <w:p>
      <w:pPr>
        <w:sectPr>
          <w:pgSz w:w="11900" w:h="16838" w:orient="portrait"/>
          <w:cols w:equalWidth="0" w:num="1">
            <w:col w:w="10320"/>
          </w:cols>
          <w:pgMar w:left="240" w:top="408" w:right="1339" w:bottom="1440" w:gutter="0" w:footer="0" w:header="0"/>
        </w:sectPr>
      </w:pPr>
    </w:p>
    <w:bookmarkStart w:id="156" w:name="page157"/>
    <w:bookmarkEnd w:id="156"/>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133350</wp:posOffset>
            </wp:positionH>
            <wp:positionV relativeFrom="page">
              <wp:posOffset>88900</wp:posOffset>
            </wp:positionV>
            <wp:extent cx="7308850" cy="3429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308850" cy="34290"/>
                    </a:xfrm>
                    <a:prstGeom prst="rect">
                      <a:avLst/>
                    </a:prstGeom>
                    <a:noFill/>
                  </pic:spPr>
                </pic:pic>
              </a:graphicData>
            </a:graphic>
          </wp:anchor>
        </w:drawing>
      </w:r>
      <w:hyperlink w:anchor="page7">
        <w:r>
          <w:rPr>
            <w:rFonts w:ascii="Arial" w:cs="Arial" w:eastAsia="Arial" w:hAnsi="Arial"/>
            <w:sz w:val="15"/>
            <w:szCs w:val="15"/>
            <w:b w:val="1"/>
            <w:bCs w:val="1"/>
            <w:u w:val="single" w:color="auto"/>
            <w:color w:val="0000EE"/>
          </w:rPr>
          <w:t>Table of Contents</w:t>
        </w:r>
      </w:hyperlink>
    </w:p>
    <w:p>
      <w:pPr>
        <w:spacing w:after="0" w:line="260" w:lineRule="exact"/>
        <w:rPr>
          <w:sz w:val="20"/>
          <w:szCs w:val="20"/>
          <w:color w:val="auto"/>
        </w:rPr>
      </w:pPr>
    </w:p>
    <w:p>
      <w:pPr>
        <w:ind w:left="1840"/>
        <w:spacing w:after="0"/>
        <w:rPr>
          <w:sz w:val="20"/>
          <w:szCs w:val="20"/>
          <w:color w:val="auto"/>
        </w:rPr>
      </w:pPr>
      <w:r>
        <w:rPr>
          <w:rFonts w:ascii="Arial" w:cs="Arial" w:eastAsia="Arial" w:hAnsi="Arial"/>
          <w:sz w:val="15"/>
          <w:szCs w:val="15"/>
          <w:color w:val="auto"/>
        </w:rPr>
        <w:t>awards, all performance goals or other vesting criteria will be deemed achieved at 100% of target levels.</w:t>
      </w:r>
    </w:p>
    <w:p>
      <w:pPr>
        <w:spacing w:after="0" w:line="188" w:lineRule="exact"/>
        <w:rPr>
          <w:sz w:val="20"/>
          <w:szCs w:val="20"/>
          <w:color w:val="auto"/>
        </w:rPr>
      </w:pPr>
    </w:p>
    <w:p>
      <w:pPr>
        <w:ind w:left="1120" w:right="20" w:firstLine="368"/>
        <w:spacing w:after="0" w:line="275" w:lineRule="auto"/>
        <w:rPr>
          <w:sz w:val="20"/>
          <w:szCs w:val="20"/>
          <w:color w:val="auto"/>
        </w:rPr>
      </w:pPr>
      <w:r>
        <w:rPr>
          <w:rFonts w:ascii="Arial" w:cs="Arial" w:eastAsia="Arial" w:hAnsi="Arial"/>
          <w:sz w:val="15"/>
          <w:szCs w:val="15"/>
          <w:color w:val="auto"/>
        </w:rPr>
        <w:t>The receipt of the payments and benefits above is conditioned on the named executive officer timely signing and not revoking a release of claims, returning all documents and property belonging to us, and resigning from all officer and director positions with us.</w:t>
      </w:r>
    </w:p>
    <w:p>
      <w:pPr>
        <w:spacing w:after="0" w:line="146" w:lineRule="exact"/>
        <w:rPr>
          <w:sz w:val="20"/>
          <w:szCs w:val="20"/>
          <w:color w:val="auto"/>
        </w:rPr>
      </w:pPr>
    </w:p>
    <w:p>
      <w:pPr>
        <w:ind w:left="1120" w:right="20" w:firstLine="368"/>
        <w:spacing w:after="0" w:line="305" w:lineRule="auto"/>
        <w:rPr>
          <w:sz w:val="20"/>
          <w:szCs w:val="20"/>
          <w:color w:val="auto"/>
        </w:rPr>
      </w:pPr>
      <w:r>
        <w:rPr>
          <w:rFonts w:ascii="Arial" w:cs="Arial" w:eastAsia="Arial" w:hAnsi="Arial"/>
          <w:sz w:val="13"/>
          <w:szCs w:val="13"/>
          <w:color w:val="auto"/>
        </w:rPr>
        <w:t>In addition, if any of the payments or benefits provided for under a change in control and severance agreement or otherwise payable to a named executive officer would constitute “parachute payments” within the meaning of Section 280G of the Internal Revenue Code and could be subject to the related excise tax, the named executive officer would be entitled to receive either full payment of such payments and benefits or such lesser amount that would result in no portion of the payments and benefits being subject to the excise tax, whichever results in the greater amount of after-tax benefits to him. The change in control and severance agreements do not require us to provide any tax gross-up payments to the named executive officers.</w:t>
      </w:r>
    </w:p>
    <w:p>
      <w:pPr>
        <w:spacing w:after="0" w:line="219" w:lineRule="exact"/>
        <w:rPr>
          <w:sz w:val="20"/>
          <w:szCs w:val="20"/>
          <w:color w:val="auto"/>
        </w:rPr>
      </w:pPr>
    </w:p>
    <w:p>
      <w:pPr>
        <w:ind w:left="1120"/>
        <w:spacing w:after="0"/>
        <w:rPr>
          <w:sz w:val="20"/>
          <w:szCs w:val="20"/>
          <w:color w:val="auto"/>
        </w:rPr>
      </w:pPr>
      <w:r>
        <w:rPr>
          <w:rFonts w:ascii="Arial" w:cs="Arial" w:eastAsia="Arial" w:hAnsi="Arial"/>
          <w:sz w:val="15"/>
          <w:szCs w:val="15"/>
          <w:b w:val="1"/>
          <w:bCs w:val="1"/>
          <w:color w:val="auto"/>
        </w:rPr>
        <w:t>Employee Benefits and Stock Plans</w:t>
      </w:r>
    </w:p>
    <w:p>
      <w:pPr>
        <w:spacing w:after="0" w:line="102" w:lineRule="exact"/>
        <w:rPr>
          <w:sz w:val="20"/>
          <w:szCs w:val="20"/>
          <w:color w:val="auto"/>
        </w:rPr>
      </w:pPr>
    </w:p>
    <w:p>
      <w:pPr>
        <w:ind w:left="1480"/>
        <w:spacing w:after="0"/>
        <w:rPr>
          <w:sz w:val="20"/>
          <w:szCs w:val="20"/>
          <w:color w:val="auto"/>
        </w:rPr>
      </w:pPr>
      <w:r>
        <w:rPr>
          <w:rFonts w:ascii="Arial" w:cs="Arial" w:eastAsia="Arial" w:hAnsi="Arial"/>
          <w:sz w:val="15"/>
          <w:szCs w:val="15"/>
          <w:b w:val="1"/>
          <w:bCs w:val="1"/>
          <w:i w:val="1"/>
          <w:iCs w:val="1"/>
          <w:color w:val="auto"/>
        </w:rPr>
        <w:t>2018 Equity Incentive Plan</w:t>
      </w:r>
    </w:p>
    <w:p>
      <w:pPr>
        <w:spacing w:after="0" w:line="98" w:lineRule="exact"/>
        <w:rPr>
          <w:sz w:val="20"/>
          <w:szCs w:val="20"/>
          <w:color w:val="auto"/>
        </w:rPr>
      </w:pPr>
    </w:p>
    <w:p>
      <w:pPr>
        <w:ind w:left="1120" w:firstLine="368"/>
        <w:spacing w:after="0" w:line="257" w:lineRule="auto"/>
        <w:rPr>
          <w:sz w:val="20"/>
          <w:szCs w:val="20"/>
          <w:color w:val="auto"/>
        </w:rPr>
      </w:pPr>
      <w:r>
        <w:rPr>
          <w:rFonts w:ascii="Arial" w:cs="Arial" w:eastAsia="Arial" w:hAnsi="Arial"/>
          <w:sz w:val="15"/>
          <w:szCs w:val="15"/>
          <w:color w:val="auto"/>
        </w:rPr>
        <w:t>In February 2018, our Board of Directors adopted, and in March 2018 our stockholders approved, our 2018 Plan. We expect that our 2018 Plan will be effective on the business day immediately prior to the effective date of our registration statement related to this offering. Our 2018 Plan will provide for the grant of incentive stock options, within the meaning of Section 422 of the Internal Revenue Code, or Code, to our employees, and for the grant of nonstatutory stock options, restricted stock, restricted stock units, stock appreciation rights, performance units, and performance shares to our employees, directors, and consultants.</w:t>
      </w:r>
    </w:p>
    <w:p>
      <w:pPr>
        <w:spacing w:after="0" w:line="159" w:lineRule="exact"/>
        <w:rPr>
          <w:sz w:val="20"/>
          <w:szCs w:val="20"/>
          <w:color w:val="auto"/>
        </w:rPr>
      </w:pPr>
    </w:p>
    <w:p>
      <w:pPr>
        <w:ind w:left="1120" w:firstLine="368"/>
        <w:spacing w:after="0" w:line="272" w:lineRule="auto"/>
        <w:rPr>
          <w:sz w:val="20"/>
          <w:szCs w:val="20"/>
          <w:color w:val="auto"/>
        </w:rPr>
      </w:pPr>
      <w:r>
        <w:rPr>
          <w:rFonts w:ascii="Arial" w:cs="Arial" w:eastAsia="Arial" w:hAnsi="Arial"/>
          <w:sz w:val="14"/>
          <w:szCs w:val="14"/>
          <w:i w:val="1"/>
          <w:iCs w:val="1"/>
          <w:color w:val="auto"/>
        </w:rPr>
        <w:t>Authorized shares</w:t>
      </w:r>
      <w:r>
        <w:rPr>
          <w:rFonts w:ascii="Arial" w:cs="Arial" w:eastAsia="Arial" w:hAnsi="Arial"/>
          <w:sz w:val="14"/>
          <w:szCs w:val="14"/>
          <w:color w:val="auto"/>
        </w:rPr>
        <w:t>. A total of 41,368,326 shares of our Class A common stock will be reserved for issuance pursuant to our 2018 Plan. In addition,</w:t>
      </w:r>
      <w:r>
        <w:rPr>
          <w:rFonts w:ascii="Arial" w:cs="Arial" w:eastAsia="Arial" w:hAnsi="Arial"/>
          <w:sz w:val="14"/>
          <w:szCs w:val="14"/>
          <w:i w:val="1"/>
          <w:iCs w:val="1"/>
          <w:color w:val="auto"/>
        </w:rPr>
        <w:t xml:space="preserve"> </w:t>
      </w:r>
      <w:r>
        <w:rPr>
          <w:rFonts w:ascii="Arial" w:cs="Arial" w:eastAsia="Arial" w:hAnsi="Arial"/>
          <w:sz w:val="14"/>
          <w:szCs w:val="14"/>
          <w:color w:val="auto"/>
        </w:rPr>
        <w:t>the shares reserved for issuance under our 2018 Plan will also include (i) shares that, as of the effective date of the registration statement relating to the offering, were reserved but unissued under our 2017 Plan and are not subject to awards granted thereunder, plus (ii) Shares subject to stock options, restricted stock units, or similar awards granted under the 2017 Plan that, on or after the effective date of the registration statement relating to the offering, expire or otherwise terminate without having been exercised in full, are tendered to or withheld by us for payment of an exercise price or for tax withholding obligations, or are forfeited to or repurchased by us due to failure to vest, plus (iii) a number of shares equal to the shares of the Class B common stock subject to stock options, restricted stock units, or similar awards granted under the 2008 Plan that, on or after the effective date of the registration statement relating to the offering, expire or otherwise terminate without having been exercised in full, are tendered to or withheld by us for payment of an exercise price or for tax withholding obligations (including, for the avoidance of doubt, shares withheld on or after the effective date of the registration statement relating to the offering, to satisfy tax withholding obligations with respect to restricted stock units vesting on the effective date of the registration statement relating to the offering), or are forfeited to or repurchased by us due to failure to vest, (provided that the maximum number of shares that may be added to our 2018 Plan from the Prior Plans under clauses (i) through (iii) is 68,824,856 shares). The number of shares of our Class A common stock available for issuance under our 2018 Plan will also include an annual increase on the first day of each fiscal year beginning on January 1, 2019, equal to the least of:</w:t>
      </w:r>
    </w:p>
    <w:p>
      <w:pPr>
        <w:spacing w:after="0" w:line="73" w:lineRule="exact"/>
        <w:rPr>
          <w:sz w:val="20"/>
          <w:szCs w:val="20"/>
          <w:color w:val="auto"/>
        </w:rPr>
      </w:pPr>
    </w:p>
    <w:p>
      <w:pPr>
        <w:ind w:left="1840" w:hanging="276"/>
        <w:spacing w:after="0"/>
        <w:tabs>
          <w:tab w:leader="none" w:pos="1840" w:val="left"/>
        </w:tabs>
        <w:numPr>
          <w:ilvl w:val="0"/>
          <w:numId w:val="72"/>
        </w:numPr>
        <w:rPr>
          <w:rFonts w:ascii="Arial" w:cs="Arial" w:eastAsia="Arial" w:hAnsi="Arial"/>
          <w:sz w:val="15"/>
          <w:szCs w:val="15"/>
          <w:color w:val="auto"/>
        </w:rPr>
      </w:pPr>
      <w:r>
        <w:rPr>
          <w:rFonts w:ascii="Arial" w:cs="Arial" w:eastAsia="Arial" w:hAnsi="Arial"/>
          <w:sz w:val="15"/>
          <w:szCs w:val="15"/>
          <w:color w:val="auto"/>
        </w:rPr>
        <w:t>41,368,326 shares of our Class A common stock;</w:t>
      </w:r>
    </w:p>
    <w:p>
      <w:pPr>
        <w:spacing w:after="0" w:line="109" w:lineRule="exact"/>
        <w:rPr>
          <w:rFonts w:ascii="Arial" w:cs="Arial" w:eastAsia="Arial" w:hAnsi="Arial"/>
          <w:sz w:val="15"/>
          <w:szCs w:val="15"/>
          <w:color w:val="auto"/>
        </w:rPr>
      </w:pPr>
    </w:p>
    <w:p>
      <w:pPr>
        <w:ind w:left="1840" w:hanging="276"/>
        <w:spacing w:after="0"/>
        <w:tabs>
          <w:tab w:leader="none" w:pos="1840" w:val="left"/>
        </w:tabs>
        <w:numPr>
          <w:ilvl w:val="0"/>
          <w:numId w:val="72"/>
        </w:numPr>
        <w:rPr>
          <w:rFonts w:ascii="Arial" w:cs="Arial" w:eastAsia="Arial" w:hAnsi="Arial"/>
          <w:sz w:val="15"/>
          <w:szCs w:val="15"/>
          <w:color w:val="auto"/>
        </w:rPr>
      </w:pPr>
      <w:r>
        <w:rPr>
          <w:rFonts w:ascii="Arial" w:cs="Arial" w:eastAsia="Arial" w:hAnsi="Arial"/>
          <w:sz w:val="15"/>
          <w:szCs w:val="15"/>
          <w:color w:val="auto"/>
        </w:rPr>
        <w:t>five percent (5%) of the outstanding shares of our capital stock as of the last day of the immediately preceding fiscal year; or</w:t>
      </w:r>
    </w:p>
    <w:p>
      <w:pPr>
        <w:spacing w:after="0" w:line="109" w:lineRule="exact"/>
        <w:rPr>
          <w:rFonts w:ascii="Arial" w:cs="Arial" w:eastAsia="Arial" w:hAnsi="Arial"/>
          <w:sz w:val="15"/>
          <w:szCs w:val="15"/>
          <w:color w:val="auto"/>
        </w:rPr>
      </w:pPr>
    </w:p>
    <w:p>
      <w:pPr>
        <w:ind w:left="1840" w:hanging="276"/>
        <w:spacing w:after="0"/>
        <w:tabs>
          <w:tab w:leader="none" w:pos="1840" w:val="left"/>
        </w:tabs>
        <w:numPr>
          <w:ilvl w:val="0"/>
          <w:numId w:val="72"/>
        </w:numPr>
        <w:rPr>
          <w:rFonts w:ascii="Arial" w:cs="Arial" w:eastAsia="Arial" w:hAnsi="Arial"/>
          <w:sz w:val="15"/>
          <w:szCs w:val="15"/>
          <w:color w:val="auto"/>
        </w:rPr>
      </w:pPr>
      <w:r>
        <w:rPr>
          <w:rFonts w:ascii="Arial" w:cs="Arial" w:eastAsia="Arial" w:hAnsi="Arial"/>
          <w:sz w:val="15"/>
          <w:szCs w:val="15"/>
          <w:color w:val="auto"/>
        </w:rPr>
        <w:t>such other amount as our Board of Directors may determine.</w:t>
      </w:r>
    </w:p>
    <w:p>
      <w:pPr>
        <w:spacing w:after="0" w:line="188" w:lineRule="exact"/>
        <w:rPr>
          <w:sz w:val="20"/>
          <w:szCs w:val="20"/>
          <w:color w:val="auto"/>
        </w:rPr>
      </w:pPr>
    </w:p>
    <w:p>
      <w:pPr>
        <w:ind w:left="1120" w:right="280" w:firstLine="368"/>
        <w:spacing w:after="0" w:line="275" w:lineRule="auto"/>
        <w:rPr>
          <w:sz w:val="20"/>
          <w:szCs w:val="20"/>
          <w:color w:val="auto"/>
        </w:rPr>
      </w:pPr>
      <w:r>
        <w:rPr>
          <w:rFonts w:ascii="Arial" w:cs="Arial" w:eastAsia="Arial" w:hAnsi="Arial"/>
          <w:sz w:val="15"/>
          <w:szCs w:val="15"/>
          <w:color w:val="auto"/>
        </w:rPr>
        <w:t>If an award expires or becomes unexercisable without having been exercised in full, is surrendered pursuant to an exchange program, or, with respect to restricted stock, restricted stock units, performance units, or</w:t>
      </w:r>
    </w:p>
    <w:p>
      <w:pPr>
        <w:spacing w:after="0" w:line="90" w:lineRule="exact"/>
        <w:rPr>
          <w:sz w:val="20"/>
          <w:szCs w:val="20"/>
          <w:color w:val="auto"/>
        </w:rPr>
      </w:pPr>
    </w:p>
    <w:p>
      <w:pPr>
        <w:ind w:left="5600"/>
        <w:spacing w:after="0"/>
        <w:rPr>
          <w:sz w:val="20"/>
          <w:szCs w:val="20"/>
          <w:color w:val="auto"/>
        </w:rPr>
      </w:pPr>
      <w:r>
        <w:rPr>
          <w:rFonts w:ascii="Arial" w:cs="Arial" w:eastAsia="Arial" w:hAnsi="Arial"/>
          <w:sz w:val="15"/>
          <w:szCs w:val="15"/>
          <w:color w:val="auto"/>
        </w:rPr>
        <w:t>150</w:t>
      </w:r>
    </w:p>
    <w:p>
      <w:pPr>
        <w:sectPr>
          <w:pgSz w:w="11900" w:h="16838" w:orient="portrait"/>
          <w:cols w:equalWidth="0" w:num="1">
            <w:col w:w="10280"/>
          </w:cols>
          <w:pgMar w:left="240" w:top="407" w:right="1379" w:bottom="1440" w:gutter="0" w:footer="0" w:header="0"/>
        </w:sectPr>
      </w:pPr>
    </w:p>
    <w:bookmarkStart w:id="157" w:name="page158"/>
    <w:bookmarkEnd w:id="157"/>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133350</wp:posOffset>
            </wp:positionH>
            <wp:positionV relativeFrom="page">
              <wp:posOffset>88900</wp:posOffset>
            </wp:positionV>
            <wp:extent cx="7308850" cy="3429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308850" cy="34290"/>
                    </a:xfrm>
                    <a:prstGeom prst="rect">
                      <a:avLst/>
                    </a:prstGeom>
                    <a:noFill/>
                  </pic:spPr>
                </pic:pic>
              </a:graphicData>
            </a:graphic>
          </wp:anchor>
        </w:drawing>
      </w:r>
      <w:hyperlink w:anchor="page7">
        <w:r>
          <w:rPr>
            <w:rFonts w:ascii="Arial" w:cs="Arial" w:eastAsia="Arial" w:hAnsi="Arial"/>
            <w:sz w:val="15"/>
            <w:szCs w:val="15"/>
            <w:b w:val="1"/>
            <w:bCs w:val="1"/>
            <w:u w:val="single" w:color="auto"/>
            <w:color w:val="0000EE"/>
          </w:rPr>
          <w:t>Table of Contents</w:t>
        </w:r>
      </w:hyperlink>
    </w:p>
    <w:p>
      <w:pPr>
        <w:spacing w:after="0" w:line="260" w:lineRule="exact"/>
        <w:rPr>
          <w:sz w:val="20"/>
          <w:szCs w:val="20"/>
          <w:color w:val="auto"/>
        </w:rPr>
      </w:pPr>
    </w:p>
    <w:p>
      <w:pPr>
        <w:ind w:left="1120" w:right="40"/>
        <w:spacing w:after="0" w:line="274" w:lineRule="auto"/>
        <w:rPr>
          <w:sz w:val="20"/>
          <w:szCs w:val="20"/>
          <w:color w:val="auto"/>
        </w:rPr>
      </w:pPr>
      <w:r>
        <w:rPr>
          <w:rFonts w:ascii="Arial" w:cs="Arial" w:eastAsia="Arial" w:hAnsi="Arial"/>
          <w:sz w:val="14"/>
          <w:szCs w:val="14"/>
          <w:color w:val="auto"/>
        </w:rPr>
        <w:t>performance shares, is forfeited to or repurchased due to failure to vest, the unpurchased shares (or for awards other than stock options or stock appreciation rights, the forfeited or repurchased shares) will become available for future grant or sale under the 2018 Plan. With respect to stock appreciation rights, only the net shares actually issued will cease to be available under the 2018 Plan and all remaining shares under stock appreciation rights will remain available for future grant or sale under the 2018 Plan. Shares that have actually been issued under the 2018 Plan under any award will not be returned to the 2018 Plan; provided, however, that if shares issued pursuant to awards of restricted stock, restricted stock units, performance shares, or performance units are repurchased or forfeited, such shares will become available for future grant under the 2018 Plan. Shares used to pay the exercise price of an award or satisfy the tax withholding obligations related to an award will become available for future grant or sale under the 2018 Plan. To the extent an award is paid out in cash rather than shares, such cash payment will not result in a reduction in the number of shares available for issuance under the 2018 Plan.</w:t>
      </w:r>
    </w:p>
    <w:p>
      <w:pPr>
        <w:spacing w:after="0" w:line="150" w:lineRule="exact"/>
        <w:rPr>
          <w:sz w:val="20"/>
          <w:szCs w:val="20"/>
          <w:color w:val="auto"/>
        </w:rPr>
      </w:pPr>
    </w:p>
    <w:p>
      <w:pPr>
        <w:ind w:left="1120" w:firstLine="368"/>
        <w:spacing w:after="0" w:line="271" w:lineRule="auto"/>
        <w:rPr>
          <w:sz w:val="20"/>
          <w:szCs w:val="20"/>
          <w:color w:val="auto"/>
        </w:rPr>
      </w:pPr>
      <w:r>
        <w:rPr>
          <w:rFonts w:ascii="Arial" w:cs="Arial" w:eastAsia="Arial" w:hAnsi="Arial"/>
          <w:sz w:val="14"/>
          <w:szCs w:val="14"/>
          <w:i w:val="1"/>
          <w:iCs w:val="1"/>
          <w:color w:val="auto"/>
        </w:rPr>
        <w:t>Plan administration</w:t>
      </w:r>
      <w:r>
        <w:rPr>
          <w:rFonts w:ascii="Arial" w:cs="Arial" w:eastAsia="Arial" w:hAnsi="Arial"/>
          <w:sz w:val="14"/>
          <w:szCs w:val="14"/>
          <w:color w:val="auto"/>
        </w:rPr>
        <w:t>. Our Board of Directors or one or more committees appointed by our Board of Directors will administer our 2018 Plan. Our</w:t>
      </w:r>
      <w:r>
        <w:rPr>
          <w:rFonts w:ascii="Arial" w:cs="Arial" w:eastAsia="Arial" w:hAnsi="Arial"/>
          <w:sz w:val="14"/>
          <w:szCs w:val="14"/>
          <w:i w:val="1"/>
          <w:iCs w:val="1"/>
          <w:color w:val="auto"/>
        </w:rPr>
        <w:t xml:space="preserve"> </w:t>
      </w:r>
      <w:r>
        <w:rPr>
          <w:rFonts w:ascii="Arial" w:cs="Arial" w:eastAsia="Arial" w:hAnsi="Arial"/>
          <w:sz w:val="14"/>
          <w:szCs w:val="14"/>
          <w:color w:val="auto"/>
        </w:rPr>
        <w:t>compensation committee is expected to administer our 2018 Plan. In addition, if we determine it is desirable to qualify transactions under our 2018 Plan as exempt under Rule 16b-3 of the Exchange Act, such transactions will be structured to satisfy the requirements for exemption under Rule 16b-3. Subject to the provisions of our 2018 Plan, the administrator has the power to administer our 2018 Plan and make all determinations deemed necessary or advisable for administering the 2018 Plan, including but not limited to, the power to determine the fair market value of our Class A common stock, select the service providers to whom awards may be granted, determine the number of shares covered by each award, approve forms of award agreements for use under the 2018 Plan, determine the terms and conditions of awards (including, but not limited to, the exercise price, the times or times at which the awards may be exercised, any vesting acceleration or waiver or forfeiture restrictions, and any restriction or limitation regarding any award or the shares relating thereto), construe and interpret the terms of our 2018 Plan and awards granted under it, to prescribe, amend, and rescind rules relating to our 2018 Plan, including creating sub-plans, and to modify or amend each award, including but not limited to the discretionary authority to extend the post-termination exercisability period of awards (provided that no option or stock appreciation right will be extended past its original maximum term), and to allow a participant to defer the receipt of payment of cash or the delivery of shares that would otherwise be due to such participant under an award. The administrator also has the authority to allow participants the opportunity to transfer outstanding awards to a financial institution or other person or entity selected by the administrator and to institute an exchange program by which outstanding awards may be surrendered or cancelled in exchange for awards of the same type which may have a higher or lower exercise price and/or different terms, awards of a different type and/or cash, or by which the exercise price of an outstanding award is increased or reduced. The administrator’s decisions, interpretations, and other actions are final and binding on all participants.</w:t>
      </w:r>
    </w:p>
    <w:p>
      <w:pPr>
        <w:spacing w:after="0" w:line="158" w:lineRule="exact"/>
        <w:rPr>
          <w:sz w:val="20"/>
          <w:szCs w:val="20"/>
          <w:color w:val="auto"/>
        </w:rPr>
      </w:pPr>
    </w:p>
    <w:p>
      <w:pPr>
        <w:ind w:left="1120" w:firstLine="368"/>
        <w:spacing w:after="0" w:line="296" w:lineRule="auto"/>
        <w:rPr>
          <w:sz w:val="20"/>
          <w:szCs w:val="20"/>
          <w:color w:val="auto"/>
        </w:rPr>
      </w:pPr>
      <w:r>
        <w:rPr>
          <w:rFonts w:ascii="Arial" w:cs="Arial" w:eastAsia="Arial" w:hAnsi="Arial"/>
          <w:sz w:val="13"/>
          <w:szCs w:val="13"/>
          <w:i w:val="1"/>
          <w:iCs w:val="1"/>
          <w:color w:val="auto"/>
        </w:rPr>
        <w:t>Stock options</w:t>
      </w:r>
      <w:r>
        <w:rPr>
          <w:rFonts w:ascii="Arial" w:cs="Arial" w:eastAsia="Arial" w:hAnsi="Arial"/>
          <w:sz w:val="13"/>
          <w:szCs w:val="13"/>
          <w:color w:val="auto"/>
        </w:rPr>
        <w:t>. Stock options may be granted under our 2018 Plan. The exercise price of options granted under our 2018 Plan must at least be equal</w:t>
      </w:r>
      <w:r>
        <w:rPr>
          <w:rFonts w:ascii="Arial" w:cs="Arial" w:eastAsia="Arial" w:hAnsi="Arial"/>
          <w:sz w:val="13"/>
          <w:szCs w:val="13"/>
          <w:i w:val="1"/>
          <w:iCs w:val="1"/>
          <w:color w:val="auto"/>
        </w:rPr>
        <w:t xml:space="preserve"> </w:t>
      </w:r>
      <w:r>
        <w:rPr>
          <w:rFonts w:ascii="Arial" w:cs="Arial" w:eastAsia="Arial" w:hAnsi="Arial"/>
          <w:sz w:val="13"/>
          <w:szCs w:val="13"/>
          <w:color w:val="auto"/>
        </w:rPr>
        <w:t>to the fair market value of our Class A common stock on the date of grant. The term of an option may not exceed ten years. With respect to any participant who owns more than 10% of the voting power of all classes of our outstanding stock, the term of an incentive stock option granted to such participant must not exceed five years and the exercise price must equal at least 110% of the fair market value on the grant date. The administrator will determine the methods of payment of the exercise price of an option, which may include cash, shares, or other property acceptable to the administrator, as well as other types of consideration permitted by applicable law. After the termination of service of an employee, director, or consultant, he or she may exercise his or her option for the period of time stated in his or her option agreement. In the absence of a specified time in an award agreement, if termination is due to death or disability, the option will remain exercisable for 12 months. In all other cases, in the absence of a specified time in an award agreement, the option will remain exercisable for three months following the termination of service. An option may not be exercised later than the expiration of its term. Subject to the provisions of our 2018 Plan, the administrator determines the other terms of options.</w:t>
      </w:r>
    </w:p>
    <w:p>
      <w:pPr>
        <w:spacing w:after="0" w:line="85" w:lineRule="exact"/>
        <w:rPr>
          <w:sz w:val="20"/>
          <w:szCs w:val="20"/>
          <w:color w:val="auto"/>
        </w:rPr>
      </w:pPr>
    </w:p>
    <w:p>
      <w:pPr>
        <w:ind w:left="5600"/>
        <w:spacing w:after="0"/>
        <w:rPr>
          <w:sz w:val="20"/>
          <w:szCs w:val="20"/>
          <w:color w:val="auto"/>
        </w:rPr>
      </w:pPr>
      <w:r>
        <w:rPr>
          <w:rFonts w:ascii="Arial" w:cs="Arial" w:eastAsia="Arial" w:hAnsi="Arial"/>
          <w:sz w:val="15"/>
          <w:szCs w:val="15"/>
          <w:color w:val="auto"/>
        </w:rPr>
        <w:t>151</w:t>
      </w:r>
    </w:p>
    <w:p>
      <w:pPr>
        <w:sectPr>
          <w:pgSz w:w="11900" w:h="16838" w:orient="portrait"/>
          <w:cols w:equalWidth="0" w:num="1">
            <w:col w:w="10300"/>
          </w:cols>
          <w:pgMar w:left="240" w:top="408" w:right="1359" w:bottom="1440" w:gutter="0" w:footer="0" w:header="0"/>
        </w:sectPr>
      </w:pPr>
    </w:p>
    <w:bookmarkStart w:id="158" w:name="page159"/>
    <w:bookmarkEnd w:id="158"/>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133350</wp:posOffset>
            </wp:positionH>
            <wp:positionV relativeFrom="page">
              <wp:posOffset>88900</wp:posOffset>
            </wp:positionV>
            <wp:extent cx="7308850" cy="3429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308850" cy="34290"/>
                    </a:xfrm>
                    <a:prstGeom prst="rect">
                      <a:avLst/>
                    </a:prstGeom>
                    <a:noFill/>
                  </pic:spPr>
                </pic:pic>
              </a:graphicData>
            </a:graphic>
          </wp:anchor>
        </w:drawing>
      </w:r>
      <w:hyperlink w:anchor="page7">
        <w:r>
          <w:rPr>
            <w:rFonts w:ascii="Arial" w:cs="Arial" w:eastAsia="Arial" w:hAnsi="Arial"/>
            <w:sz w:val="15"/>
            <w:szCs w:val="15"/>
            <w:b w:val="1"/>
            <w:bCs w:val="1"/>
            <w:u w:val="single" w:color="auto"/>
            <w:color w:val="0000EE"/>
          </w:rPr>
          <w:t>Table of Contents</w:t>
        </w:r>
      </w:hyperlink>
    </w:p>
    <w:p>
      <w:pPr>
        <w:spacing w:after="0" w:line="260" w:lineRule="exact"/>
        <w:rPr>
          <w:sz w:val="20"/>
          <w:szCs w:val="20"/>
          <w:color w:val="auto"/>
        </w:rPr>
      </w:pPr>
    </w:p>
    <w:p>
      <w:pPr>
        <w:ind w:left="1120" w:firstLine="368"/>
        <w:spacing w:after="0" w:line="296" w:lineRule="auto"/>
        <w:rPr>
          <w:sz w:val="20"/>
          <w:szCs w:val="20"/>
          <w:color w:val="auto"/>
        </w:rPr>
      </w:pPr>
      <w:r>
        <w:rPr>
          <w:rFonts w:ascii="Arial" w:cs="Arial" w:eastAsia="Arial" w:hAnsi="Arial"/>
          <w:sz w:val="13"/>
          <w:szCs w:val="13"/>
          <w:i w:val="1"/>
          <w:iCs w:val="1"/>
          <w:color w:val="auto"/>
        </w:rPr>
        <w:t>Stock appreciation rights</w:t>
      </w:r>
      <w:r>
        <w:rPr>
          <w:rFonts w:ascii="Arial" w:cs="Arial" w:eastAsia="Arial" w:hAnsi="Arial"/>
          <w:sz w:val="13"/>
          <w:szCs w:val="13"/>
          <w:color w:val="auto"/>
        </w:rPr>
        <w:t>. Stock appreciation rights may be granted under our 2018 Plan. Stock appreciation rights allow the recipient to receive</w:t>
      </w:r>
      <w:r>
        <w:rPr>
          <w:rFonts w:ascii="Arial" w:cs="Arial" w:eastAsia="Arial" w:hAnsi="Arial"/>
          <w:sz w:val="13"/>
          <w:szCs w:val="13"/>
          <w:i w:val="1"/>
          <w:iCs w:val="1"/>
          <w:color w:val="auto"/>
        </w:rPr>
        <w:t xml:space="preserve"> </w:t>
      </w:r>
      <w:r>
        <w:rPr>
          <w:rFonts w:ascii="Arial" w:cs="Arial" w:eastAsia="Arial" w:hAnsi="Arial"/>
          <w:sz w:val="13"/>
          <w:szCs w:val="13"/>
          <w:color w:val="auto"/>
        </w:rPr>
        <w:t>the appreciation in the fair market value of our Class A common stock between the exercise date and the date of grant. Stock appreciation rights may not have a term exceeding ten years. After the termination of service of an employee, director, or consultant, he or she may exercise his or her stock appreciation right for the period of time stated in his or her stock appreciation rights agreement. In the absence of a specified time in an award agreement, if termination is due to death or disability, the stock appreciation rights will remain exercisable for 12 months. In all other cases, in the absence of a specified time in an award agreement, the stock appreciation rights will remain exercisable for three months following the termination of service. However, in no event may a stock appreciation right be exercised later than the expiration of its term. Subject to the provisions of our 2018 Plan, the administrator determines the other terms of stock appreciation rights, including when such rights become exercisable and whether to pay any increased appreciation in cash or with shares of our Class A common stock, or a combination thereof, except that the per share exercise price for the shares to be issued pursuant to the exercise of a stock appreciation right will be no less than 100% of the fair market value per share on the date of grant.</w:t>
      </w:r>
    </w:p>
    <w:p>
      <w:pPr>
        <w:spacing w:after="0" w:line="141" w:lineRule="exact"/>
        <w:rPr>
          <w:sz w:val="20"/>
          <w:szCs w:val="20"/>
          <w:color w:val="auto"/>
        </w:rPr>
      </w:pPr>
    </w:p>
    <w:p>
      <w:pPr>
        <w:ind w:left="1120" w:right="100" w:firstLine="368"/>
        <w:spacing w:after="0" w:line="275" w:lineRule="auto"/>
        <w:rPr>
          <w:sz w:val="20"/>
          <w:szCs w:val="20"/>
          <w:color w:val="auto"/>
        </w:rPr>
      </w:pPr>
      <w:r>
        <w:rPr>
          <w:rFonts w:ascii="Arial" w:cs="Arial" w:eastAsia="Arial" w:hAnsi="Arial"/>
          <w:sz w:val="14"/>
          <w:szCs w:val="14"/>
          <w:i w:val="1"/>
          <w:iCs w:val="1"/>
          <w:color w:val="auto"/>
        </w:rPr>
        <w:t>Restricted stock</w:t>
      </w:r>
      <w:r>
        <w:rPr>
          <w:rFonts w:ascii="Arial" w:cs="Arial" w:eastAsia="Arial" w:hAnsi="Arial"/>
          <w:sz w:val="14"/>
          <w:szCs w:val="14"/>
          <w:color w:val="auto"/>
        </w:rPr>
        <w:t>. Restricted stock may be granted under our 2018 Plan. Restricted stock awards are grants of shares of our Class A common stock</w:t>
      </w:r>
      <w:r>
        <w:rPr>
          <w:rFonts w:ascii="Arial" w:cs="Arial" w:eastAsia="Arial" w:hAnsi="Arial"/>
          <w:sz w:val="14"/>
          <w:szCs w:val="14"/>
          <w:i w:val="1"/>
          <w:iCs w:val="1"/>
          <w:color w:val="auto"/>
        </w:rPr>
        <w:t xml:space="preserve"> </w:t>
      </w:r>
      <w:r>
        <w:rPr>
          <w:rFonts w:ascii="Arial" w:cs="Arial" w:eastAsia="Arial" w:hAnsi="Arial"/>
          <w:sz w:val="14"/>
          <w:szCs w:val="14"/>
          <w:color w:val="auto"/>
        </w:rPr>
        <w:t>that vest in accordance with terms and conditions established by the administrator. The administrator will determine the number of shares of restricted stock granted to any employee, director, or consultant and, subject to the provisions of our 2018 Plan, will determine the terms and conditions of such awards. The administrator may impose whatever conditions to vesting it determines to be appropriate (for example, the administrator may set restrictions based on the achievement of specific performance goals or continued service to us); provided, however, that the administrator, in its sole discretion, may accelerate the time at which any restrictions will lapse or be removed. Recipients of restricted stock awards generally will have voting and dividend rights with respect to such shares upon grant without regard to vesting, unless the administrator provides otherwise. Shares of restricted stock that do not vest are subject to our right of repurchase or forfeiture.</w:t>
      </w:r>
    </w:p>
    <w:p>
      <w:pPr>
        <w:spacing w:after="0" w:line="148" w:lineRule="exact"/>
        <w:rPr>
          <w:sz w:val="20"/>
          <w:szCs w:val="20"/>
          <w:color w:val="auto"/>
        </w:rPr>
      </w:pPr>
    </w:p>
    <w:p>
      <w:pPr>
        <w:ind w:left="1120" w:right="60" w:firstLine="368"/>
        <w:spacing w:after="0" w:line="255" w:lineRule="auto"/>
        <w:rPr>
          <w:sz w:val="20"/>
          <w:szCs w:val="20"/>
          <w:color w:val="auto"/>
        </w:rPr>
      </w:pPr>
      <w:r>
        <w:rPr>
          <w:rFonts w:ascii="Arial" w:cs="Arial" w:eastAsia="Arial" w:hAnsi="Arial"/>
          <w:sz w:val="15"/>
          <w:szCs w:val="15"/>
          <w:i w:val="1"/>
          <w:iCs w:val="1"/>
          <w:color w:val="auto"/>
        </w:rPr>
        <w:t>RSUs</w:t>
      </w:r>
      <w:r>
        <w:rPr>
          <w:rFonts w:ascii="Arial" w:cs="Arial" w:eastAsia="Arial" w:hAnsi="Arial"/>
          <w:sz w:val="15"/>
          <w:szCs w:val="15"/>
          <w:color w:val="auto"/>
        </w:rPr>
        <w:t>. RSUs may be granted under our 2018 Plan. Each RSU represents an amount equal to the fair market value of one share of our Class A</w:t>
      </w:r>
      <w:r>
        <w:rPr>
          <w:rFonts w:ascii="Arial" w:cs="Arial" w:eastAsia="Arial" w:hAnsi="Arial"/>
          <w:sz w:val="15"/>
          <w:szCs w:val="15"/>
          <w:i w:val="1"/>
          <w:iCs w:val="1"/>
          <w:color w:val="auto"/>
        </w:rPr>
        <w:t xml:space="preserve"> </w:t>
      </w:r>
      <w:r>
        <w:rPr>
          <w:rFonts w:ascii="Arial" w:cs="Arial" w:eastAsia="Arial" w:hAnsi="Arial"/>
          <w:sz w:val="15"/>
          <w:szCs w:val="15"/>
          <w:color w:val="auto"/>
        </w:rPr>
        <w:t>common stock. Subject to the provisions of our 2018 Plan, the administrator determines the terms and conditions of RSUs, including the vesting criteria and the form and timing of payment. The administrator may set vesting criteria based upon the achievement of company-wide, divisional, business unit, or individual goals (including, but not limited to, continued employment or service), applicable federal or state securities laws, or any other basis determined by the administrator in its discretion. The administrator, in its sole discretion, may pay earned restricted stock units in the form of cash, in shares, or in some combination thereof. Notwithstanding the foregoing, the administrator, in its sole discretion, may accelerate the time at which any restrictions will lapse or be removed.</w:t>
      </w:r>
    </w:p>
    <w:p>
      <w:pPr>
        <w:spacing w:after="0" w:line="161" w:lineRule="exact"/>
        <w:rPr>
          <w:sz w:val="20"/>
          <w:szCs w:val="20"/>
          <w:color w:val="auto"/>
        </w:rPr>
      </w:pPr>
    </w:p>
    <w:p>
      <w:pPr>
        <w:ind w:left="1120" w:right="20" w:firstLine="368"/>
        <w:spacing w:after="0" w:line="273" w:lineRule="auto"/>
        <w:rPr>
          <w:sz w:val="20"/>
          <w:szCs w:val="20"/>
          <w:color w:val="auto"/>
        </w:rPr>
      </w:pPr>
      <w:r>
        <w:rPr>
          <w:rFonts w:ascii="Arial" w:cs="Arial" w:eastAsia="Arial" w:hAnsi="Arial"/>
          <w:sz w:val="14"/>
          <w:szCs w:val="14"/>
          <w:i w:val="1"/>
          <w:iCs w:val="1"/>
          <w:color w:val="auto"/>
        </w:rPr>
        <w:t>Performance units and performance shares</w:t>
      </w:r>
      <w:r>
        <w:rPr>
          <w:rFonts w:ascii="Arial" w:cs="Arial" w:eastAsia="Arial" w:hAnsi="Arial"/>
          <w:sz w:val="14"/>
          <w:szCs w:val="14"/>
          <w:color w:val="auto"/>
        </w:rPr>
        <w:t>. Performance units and performance shares may be granted under our 2018 Plan. Performance units</w:t>
      </w:r>
      <w:r>
        <w:rPr>
          <w:rFonts w:ascii="Arial" w:cs="Arial" w:eastAsia="Arial" w:hAnsi="Arial"/>
          <w:sz w:val="14"/>
          <w:szCs w:val="14"/>
          <w:i w:val="1"/>
          <w:iCs w:val="1"/>
          <w:color w:val="auto"/>
        </w:rPr>
        <w:t xml:space="preserve"> </w:t>
      </w:r>
      <w:r>
        <w:rPr>
          <w:rFonts w:ascii="Arial" w:cs="Arial" w:eastAsia="Arial" w:hAnsi="Arial"/>
          <w:sz w:val="14"/>
          <w:szCs w:val="14"/>
          <w:color w:val="auto"/>
        </w:rPr>
        <w:t>and performance shares are awards that will result in a payment to a participant only if performance goals established by the administrator are achieved or the awards otherwise vest. The administrator will establish performance objectives or other vesting criteria in its discretion, which, depending on the extent to which they are met, will determine the number and/or the value of performance units and performance shares to be paid out to participants. The administrator may set performance objectives based on the achievement of company-wide, divisional, business unit, or individual goals (including, but not limited to, continued employment or service), applicable federal or state securities laws, or any other basis determined by the administrator in its discretion. After the grant of a performance unit or performance share, the administrator, in its sole discretion, may reduce or waive any performance criteria or other vesting provisions for such performance units or performance shares. Performance units shall have an initial dollar value established by the administrator on or prior to the grant date. Performance shares shall have an initial value equal to the fair market value of our Class A common stock on the grant date. The administrator, in its sole discretion, may pay earned performance units or performance shares in the form of cash, in shares, or in some combination thereof.</w:t>
      </w:r>
    </w:p>
    <w:p>
      <w:pPr>
        <w:spacing w:after="0" w:line="95" w:lineRule="exact"/>
        <w:rPr>
          <w:sz w:val="20"/>
          <w:szCs w:val="20"/>
          <w:color w:val="auto"/>
        </w:rPr>
      </w:pPr>
    </w:p>
    <w:p>
      <w:pPr>
        <w:ind w:left="5600"/>
        <w:spacing w:after="0"/>
        <w:rPr>
          <w:sz w:val="20"/>
          <w:szCs w:val="20"/>
          <w:color w:val="auto"/>
        </w:rPr>
      </w:pPr>
      <w:r>
        <w:rPr>
          <w:rFonts w:ascii="Arial" w:cs="Arial" w:eastAsia="Arial" w:hAnsi="Arial"/>
          <w:sz w:val="15"/>
          <w:szCs w:val="15"/>
          <w:color w:val="auto"/>
        </w:rPr>
        <w:t>152</w:t>
      </w:r>
    </w:p>
    <w:p>
      <w:pPr>
        <w:sectPr>
          <w:pgSz w:w="11900" w:h="16838" w:orient="portrait"/>
          <w:cols w:equalWidth="0" w:num="1">
            <w:col w:w="10320"/>
          </w:cols>
          <w:pgMar w:left="240" w:top="407" w:right="1339" w:bottom="1440" w:gutter="0" w:footer="0" w:header="0"/>
        </w:sectPr>
      </w:pPr>
    </w:p>
    <w:bookmarkStart w:id="159" w:name="page160"/>
    <w:bookmarkEnd w:id="159"/>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133350</wp:posOffset>
            </wp:positionH>
            <wp:positionV relativeFrom="page">
              <wp:posOffset>88900</wp:posOffset>
            </wp:positionV>
            <wp:extent cx="7308850" cy="3429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308850" cy="34290"/>
                    </a:xfrm>
                    <a:prstGeom prst="rect">
                      <a:avLst/>
                    </a:prstGeom>
                    <a:noFill/>
                  </pic:spPr>
                </pic:pic>
              </a:graphicData>
            </a:graphic>
          </wp:anchor>
        </w:drawing>
      </w:r>
      <w:hyperlink w:anchor="page7">
        <w:r>
          <w:rPr>
            <w:rFonts w:ascii="Arial" w:cs="Arial" w:eastAsia="Arial" w:hAnsi="Arial"/>
            <w:sz w:val="15"/>
            <w:szCs w:val="15"/>
            <w:b w:val="1"/>
            <w:bCs w:val="1"/>
            <w:u w:val="single" w:color="auto"/>
            <w:color w:val="0000EE"/>
          </w:rPr>
          <w:t>Table of Contents</w:t>
        </w:r>
      </w:hyperlink>
    </w:p>
    <w:p>
      <w:pPr>
        <w:spacing w:after="0" w:line="260" w:lineRule="exact"/>
        <w:rPr>
          <w:sz w:val="20"/>
          <w:szCs w:val="20"/>
          <w:color w:val="auto"/>
        </w:rPr>
      </w:pPr>
    </w:p>
    <w:p>
      <w:pPr>
        <w:ind w:left="1120" w:right="20" w:firstLine="368"/>
        <w:spacing w:after="0" w:line="305" w:lineRule="auto"/>
        <w:rPr>
          <w:sz w:val="20"/>
          <w:szCs w:val="20"/>
          <w:color w:val="auto"/>
        </w:rPr>
      </w:pPr>
      <w:r>
        <w:rPr>
          <w:rFonts w:ascii="Arial" w:cs="Arial" w:eastAsia="Arial" w:hAnsi="Arial"/>
          <w:sz w:val="13"/>
          <w:szCs w:val="13"/>
          <w:i w:val="1"/>
          <w:iCs w:val="1"/>
          <w:color w:val="auto"/>
        </w:rPr>
        <w:t xml:space="preserve">Outside Directors. </w:t>
      </w:r>
      <w:r>
        <w:rPr>
          <w:rFonts w:ascii="Arial" w:cs="Arial" w:eastAsia="Arial" w:hAnsi="Arial"/>
          <w:sz w:val="13"/>
          <w:szCs w:val="13"/>
          <w:color w:val="auto"/>
        </w:rPr>
        <w:t>Our 2018 Plan includes a maximum annual limit of $1,200,000 of cash compensation and equity awards that may be paid,</w:t>
      </w:r>
      <w:r>
        <w:rPr>
          <w:rFonts w:ascii="Arial" w:cs="Arial" w:eastAsia="Arial" w:hAnsi="Arial"/>
          <w:sz w:val="13"/>
          <w:szCs w:val="13"/>
          <w:i w:val="1"/>
          <w:iCs w:val="1"/>
          <w:color w:val="auto"/>
        </w:rPr>
        <w:t xml:space="preserve"> </w:t>
      </w:r>
      <w:r>
        <w:rPr>
          <w:rFonts w:ascii="Arial" w:cs="Arial" w:eastAsia="Arial" w:hAnsi="Arial"/>
          <w:sz w:val="13"/>
          <w:szCs w:val="13"/>
          <w:color w:val="auto"/>
        </w:rPr>
        <w:t>issued, or granted to an outside (non-employee) director in any fiscal year. For purposes of this limitation, the value of equity awards is based on the grant date fair value (determined in accordance with GAAP). Any cash compensation paid or equity awards granted to a person for his or her services as an employee, or for his or her services as a consultant (other than as a non-employee director), will not count for purposes of the limitation. The maximum limit does not reflect the intended size of any potential compensation or equity awards to our outside (non-employee) directors.</w:t>
      </w:r>
    </w:p>
    <w:p>
      <w:pPr>
        <w:spacing w:after="0" w:line="133" w:lineRule="exact"/>
        <w:rPr>
          <w:sz w:val="20"/>
          <w:szCs w:val="20"/>
          <w:color w:val="auto"/>
        </w:rPr>
      </w:pPr>
    </w:p>
    <w:p>
      <w:pPr>
        <w:ind w:left="1120" w:right="60" w:firstLine="368"/>
        <w:spacing w:after="0" w:line="263" w:lineRule="auto"/>
        <w:rPr>
          <w:sz w:val="20"/>
          <w:szCs w:val="20"/>
          <w:color w:val="auto"/>
        </w:rPr>
      </w:pPr>
      <w:r>
        <w:rPr>
          <w:rFonts w:ascii="Arial" w:cs="Arial" w:eastAsia="Arial" w:hAnsi="Arial"/>
          <w:sz w:val="15"/>
          <w:szCs w:val="15"/>
          <w:i w:val="1"/>
          <w:iCs w:val="1"/>
          <w:color w:val="auto"/>
        </w:rPr>
        <w:t>Non-transferability of awards</w:t>
      </w:r>
      <w:r>
        <w:rPr>
          <w:rFonts w:ascii="Arial" w:cs="Arial" w:eastAsia="Arial" w:hAnsi="Arial"/>
          <w:sz w:val="15"/>
          <w:szCs w:val="15"/>
          <w:color w:val="auto"/>
        </w:rPr>
        <w:t>. Unless the administrator provides otherwise, our 2018 Plan generally does not allow for the transfer of awards and</w:t>
      </w:r>
      <w:r>
        <w:rPr>
          <w:rFonts w:ascii="Arial" w:cs="Arial" w:eastAsia="Arial" w:hAnsi="Arial"/>
          <w:sz w:val="15"/>
          <w:szCs w:val="15"/>
          <w:i w:val="1"/>
          <w:iCs w:val="1"/>
          <w:color w:val="auto"/>
        </w:rPr>
        <w:t xml:space="preserve"> </w:t>
      </w:r>
      <w:r>
        <w:rPr>
          <w:rFonts w:ascii="Arial" w:cs="Arial" w:eastAsia="Arial" w:hAnsi="Arial"/>
          <w:sz w:val="15"/>
          <w:szCs w:val="15"/>
          <w:color w:val="auto"/>
        </w:rPr>
        <w:t>only the recipient of an award may exercise an award during his or her lifetime. If the administrator makes an award transferrable, such award will contain such additional terms and conditions as the administrator deems appropriate.</w:t>
      </w:r>
    </w:p>
    <w:p>
      <w:pPr>
        <w:spacing w:after="0" w:line="155" w:lineRule="exact"/>
        <w:rPr>
          <w:sz w:val="20"/>
          <w:szCs w:val="20"/>
          <w:color w:val="auto"/>
        </w:rPr>
      </w:pPr>
    </w:p>
    <w:p>
      <w:pPr>
        <w:ind w:left="1120" w:firstLine="368"/>
        <w:spacing w:after="0" w:line="290" w:lineRule="auto"/>
        <w:rPr>
          <w:sz w:val="20"/>
          <w:szCs w:val="20"/>
          <w:color w:val="auto"/>
        </w:rPr>
      </w:pPr>
      <w:r>
        <w:rPr>
          <w:rFonts w:ascii="Arial" w:cs="Arial" w:eastAsia="Arial" w:hAnsi="Arial"/>
          <w:sz w:val="14"/>
          <w:szCs w:val="14"/>
          <w:i w:val="1"/>
          <w:iCs w:val="1"/>
          <w:color w:val="auto"/>
        </w:rPr>
        <w:t>Certain adjustments</w:t>
      </w:r>
      <w:r>
        <w:rPr>
          <w:rFonts w:ascii="Arial" w:cs="Arial" w:eastAsia="Arial" w:hAnsi="Arial"/>
          <w:sz w:val="14"/>
          <w:szCs w:val="14"/>
          <w:color w:val="auto"/>
        </w:rPr>
        <w:t>. In the event of certain changes in our capitalization, to prevent diminution or enlargement of the benefits or potential benefits</w:t>
      </w:r>
      <w:r>
        <w:rPr>
          <w:rFonts w:ascii="Arial" w:cs="Arial" w:eastAsia="Arial" w:hAnsi="Arial"/>
          <w:sz w:val="14"/>
          <w:szCs w:val="14"/>
          <w:i w:val="1"/>
          <w:iCs w:val="1"/>
          <w:color w:val="auto"/>
        </w:rPr>
        <w:t xml:space="preserve"> </w:t>
      </w:r>
      <w:r>
        <w:rPr>
          <w:rFonts w:ascii="Arial" w:cs="Arial" w:eastAsia="Arial" w:hAnsi="Arial"/>
          <w:sz w:val="14"/>
          <w:szCs w:val="14"/>
          <w:color w:val="auto"/>
        </w:rPr>
        <w:t>available under our 2018 Plan, the administrator will adjust the number and class of shares that may be delivered under our 2018 Plan and/or the number, class, and price of shares covered by each outstanding award, and the numerical share limits set forth in our 2018 Plan.</w:t>
      </w:r>
    </w:p>
    <w:p>
      <w:pPr>
        <w:spacing w:after="0" w:line="138" w:lineRule="exact"/>
        <w:rPr>
          <w:sz w:val="20"/>
          <w:szCs w:val="20"/>
          <w:color w:val="auto"/>
        </w:rPr>
      </w:pPr>
    </w:p>
    <w:p>
      <w:pPr>
        <w:ind w:left="1120" w:right="80" w:firstLine="368"/>
        <w:spacing w:after="0" w:line="275" w:lineRule="auto"/>
        <w:rPr>
          <w:sz w:val="20"/>
          <w:szCs w:val="20"/>
          <w:color w:val="auto"/>
        </w:rPr>
      </w:pPr>
      <w:r>
        <w:rPr>
          <w:rFonts w:ascii="Arial" w:cs="Arial" w:eastAsia="Arial" w:hAnsi="Arial"/>
          <w:sz w:val="15"/>
          <w:szCs w:val="15"/>
          <w:i w:val="1"/>
          <w:iCs w:val="1"/>
          <w:color w:val="auto"/>
        </w:rPr>
        <w:t>Dissolution or liquidation</w:t>
      </w:r>
      <w:r>
        <w:rPr>
          <w:rFonts w:ascii="Arial" w:cs="Arial" w:eastAsia="Arial" w:hAnsi="Arial"/>
          <w:sz w:val="15"/>
          <w:szCs w:val="15"/>
          <w:color w:val="auto"/>
        </w:rPr>
        <w:t>. In the event of our proposed liquidation or dissolution, the administrator will notify participants as soon as practicable</w:t>
      </w:r>
      <w:r>
        <w:rPr>
          <w:rFonts w:ascii="Arial" w:cs="Arial" w:eastAsia="Arial" w:hAnsi="Arial"/>
          <w:sz w:val="15"/>
          <w:szCs w:val="15"/>
          <w:i w:val="1"/>
          <w:iCs w:val="1"/>
          <w:color w:val="auto"/>
        </w:rPr>
        <w:t xml:space="preserve"> </w:t>
      </w:r>
      <w:r>
        <w:rPr>
          <w:rFonts w:ascii="Arial" w:cs="Arial" w:eastAsia="Arial" w:hAnsi="Arial"/>
          <w:sz w:val="15"/>
          <w:szCs w:val="15"/>
          <w:color w:val="auto"/>
        </w:rPr>
        <w:t>and all awards will terminate immediately prior to the consummation of such proposed transaction.</w:t>
      </w:r>
    </w:p>
    <w:p>
      <w:pPr>
        <w:spacing w:after="0" w:line="146" w:lineRule="exact"/>
        <w:rPr>
          <w:sz w:val="20"/>
          <w:szCs w:val="20"/>
          <w:color w:val="auto"/>
        </w:rPr>
      </w:pPr>
    </w:p>
    <w:p>
      <w:pPr>
        <w:jc w:val="both"/>
        <w:ind w:left="1120" w:right="340" w:firstLine="368"/>
        <w:spacing w:after="0" w:line="290" w:lineRule="auto"/>
        <w:rPr>
          <w:sz w:val="20"/>
          <w:szCs w:val="20"/>
          <w:color w:val="auto"/>
        </w:rPr>
      </w:pPr>
      <w:r>
        <w:rPr>
          <w:rFonts w:ascii="Arial" w:cs="Arial" w:eastAsia="Arial" w:hAnsi="Arial"/>
          <w:sz w:val="14"/>
          <w:szCs w:val="14"/>
          <w:i w:val="1"/>
          <w:iCs w:val="1"/>
          <w:color w:val="auto"/>
        </w:rPr>
        <w:t>Merger or change in control</w:t>
      </w:r>
      <w:r>
        <w:rPr>
          <w:rFonts w:ascii="Arial" w:cs="Arial" w:eastAsia="Arial" w:hAnsi="Arial"/>
          <w:sz w:val="14"/>
          <w:szCs w:val="14"/>
          <w:color w:val="auto"/>
        </w:rPr>
        <w:t>. Our 2018 Plan provides that in the event of a merger or change in control, as defined under our 2018 Plan, each</w:t>
      </w:r>
      <w:r>
        <w:rPr>
          <w:rFonts w:ascii="Arial" w:cs="Arial" w:eastAsia="Arial" w:hAnsi="Arial"/>
          <w:sz w:val="14"/>
          <w:szCs w:val="14"/>
          <w:i w:val="1"/>
          <w:iCs w:val="1"/>
          <w:color w:val="auto"/>
        </w:rPr>
        <w:t xml:space="preserve"> </w:t>
      </w:r>
      <w:r>
        <w:rPr>
          <w:rFonts w:ascii="Arial" w:cs="Arial" w:eastAsia="Arial" w:hAnsi="Arial"/>
          <w:sz w:val="14"/>
          <w:szCs w:val="14"/>
          <w:color w:val="auto"/>
        </w:rPr>
        <w:t>outstanding award will be treated as the administrator determines, without a requirement to obtain a participant’s consent. The administrator is not required to treat all awards, all awards held by a participant, or all awards of the same type, similarly.</w:t>
      </w:r>
    </w:p>
    <w:p>
      <w:pPr>
        <w:spacing w:after="0" w:line="138" w:lineRule="exact"/>
        <w:rPr>
          <w:sz w:val="20"/>
          <w:szCs w:val="20"/>
          <w:color w:val="auto"/>
        </w:rPr>
      </w:pPr>
    </w:p>
    <w:p>
      <w:pPr>
        <w:ind w:left="1120" w:right="20" w:firstLine="368"/>
        <w:spacing w:after="0" w:line="300" w:lineRule="auto"/>
        <w:rPr>
          <w:sz w:val="20"/>
          <w:szCs w:val="20"/>
          <w:color w:val="auto"/>
        </w:rPr>
      </w:pPr>
      <w:r>
        <w:rPr>
          <w:rFonts w:ascii="Arial" w:cs="Arial" w:eastAsia="Arial" w:hAnsi="Arial"/>
          <w:sz w:val="13"/>
          <w:szCs w:val="13"/>
          <w:color w:val="auto"/>
        </w:rPr>
        <w:t>In the event that a successor corporation or its parent or subsidiary does not assume or substitute an equivalent award for any outstanding award, then such award will fully vest, all restrictions on such award will lapse, all performance goals or other vesting criteria applicable to such award will be deemed achieved at 100% of target levels and such award will become fully exercisable, if applicable, for a specified period prior to the transaction, unless specifically provided for otherwise under the applicable award agreement or other written agreement with the participant. The award will then terminate upon the expiration of the specified period of time. If an option or stock appreciation right is not assumed or substituted, the administrator will notify the participant in writing or electronically that such option or stock appreciation right will be exercisable for a period of time determined by the administrator in its sole discretion and the option or stock appreciation right will terminate upon the expiration of such period.</w:t>
      </w:r>
    </w:p>
    <w:p>
      <w:pPr>
        <w:spacing w:after="0" w:line="136" w:lineRule="exact"/>
        <w:rPr>
          <w:sz w:val="20"/>
          <w:szCs w:val="20"/>
          <w:color w:val="auto"/>
        </w:rPr>
      </w:pPr>
    </w:p>
    <w:p>
      <w:pPr>
        <w:ind w:left="1120" w:right="20" w:firstLine="368"/>
        <w:spacing w:after="0" w:line="257" w:lineRule="auto"/>
        <w:rPr>
          <w:sz w:val="20"/>
          <w:szCs w:val="20"/>
          <w:color w:val="auto"/>
        </w:rPr>
      </w:pPr>
      <w:r>
        <w:rPr>
          <w:rFonts w:ascii="Arial" w:cs="Arial" w:eastAsia="Arial" w:hAnsi="Arial"/>
          <w:sz w:val="15"/>
          <w:szCs w:val="15"/>
          <w:color w:val="auto"/>
        </w:rPr>
        <w:t>If an outside director’s awards are assumed or substituted for in a merger or change in control and the service of such outside director is terminated on or following a change in control, other than pursuant to a voluntary resignation, his or her options and stock appreciation rights, if any, will vest fully and become immediately exercisable, all restrictions on his or her restricted stock and restricted stock units will lapse and all performance goals or other vesting requirements for his or her performance shares and units will be deemed achieved at 100% of target levels, and all other terms and conditions met.</w:t>
      </w:r>
    </w:p>
    <w:p>
      <w:pPr>
        <w:spacing w:after="0" w:line="159" w:lineRule="exact"/>
        <w:rPr>
          <w:sz w:val="20"/>
          <w:szCs w:val="20"/>
          <w:color w:val="auto"/>
        </w:rPr>
      </w:pPr>
    </w:p>
    <w:p>
      <w:pPr>
        <w:ind w:left="1120" w:right="60" w:firstLine="368"/>
        <w:spacing w:after="0" w:line="279" w:lineRule="auto"/>
        <w:rPr>
          <w:sz w:val="20"/>
          <w:szCs w:val="20"/>
          <w:color w:val="auto"/>
        </w:rPr>
      </w:pPr>
      <w:r>
        <w:rPr>
          <w:rFonts w:ascii="Arial" w:cs="Arial" w:eastAsia="Arial" w:hAnsi="Arial"/>
          <w:sz w:val="14"/>
          <w:szCs w:val="14"/>
          <w:i w:val="1"/>
          <w:iCs w:val="1"/>
          <w:color w:val="auto"/>
        </w:rPr>
        <w:t xml:space="preserve">Clawback. </w:t>
      </w:r>
      <w:r>
        <w:rPr>
          <w:rFonts w:ascii="Arial" w:cs="Arial" w:eastAsia="Arial" w:hAnsi="Arial"/>
          <w:sz w:val="14"/>
          <w:szCs w:val="14"/>
          <w:color w:val="auto"/>
        </w:rPr>
        <w:t>Awards will be subject to any clawback policy of ours, and the administrator also may specify in an award agreement that the</w:t>
      </w:r>
      <w:r>
        <w:rPr>
          <w:rFonts w:ascii="Arial" w:cs="Arial" w:eastAsia="Arial" w:hAnsi="Arial"/>
          <w:sz w:val="14"/>
          <w:szCs w:val="14"/>
          <w:i w:val="1"/>
          <w:iCs w:val="1"/>
          <w:color w:val="auto"/>
        </w:rPr>
        <w:t xml:space="preserve"> </w:t>
      </w:r>
      <w:r>
        <w:rPr>
          <w:rFonts w:ascii="Arial" w:cs="Arial" w:eastAsia="Arial" w:hAnsi="Arial"/>
          <w:sz w:val="14"/>
          <w:szCs w:val="14"/>
          <w:color w:val="auto"/>
        </w:rPr>
        <w:t>participant’s rights, payments, and/or benefits with respect to an award will be subject to reduction, cancellation, forfeiture, and/or recoupment upon the occurrence of certain specified events. Our Board of Directors may require a participant to forfeit, return, or reimburse us all or a portion of the award and/or shares issued under the award, any amounts paid under the award, and any payments or proceeds paid or provided upon disposition of the shares issued under the award in order to comply with such clawback policy or applicable laws</w:t>
      </w:r>
      <w:r>
        <w:rPr>
          <w:rFonts w:ascii="Arial" w:cs="Arial" w:eastAsia="Arial" w:hAnsi="Arial"/>
          <w:sz w:val="14"/>
          <w:szCs w:val="14"/>
          <w:i w:val="1"/>
          <w:iCs w:val="1"/>
          <w:color w:val="auto"/>
        </w:rPr>
        <w:t>.</w:t>
      </w:r>
    </w:p>
    <w:p>
      <w:pPr>
        <w:spacing w:after="0" w:line="91" w:lineRule="exact"/>
        <w:rPr>
          <w:sz w:val="20"/>
          <w:szCs w:val="20"/>
          <w:color w:val="auto"/>
        </w:rPr>
      </w:pPr>
    </w:p>
    <w:p>
      <w:pPr>
        <w:ind w:left="5600"/>
        <w:spacing w:after="0"/>
        <w:rPr>
          <w:sz w:val="20"/>
          <w:szCs w:val="20"/>
          <w:color w:val="auto"/>
        </w:rPr>
      </w:pPr>
      <w:r>
        <w:rPr>
          <w:rFonts w:ascii="Arial" w:cs="Arial" w:eastAsia="Arial" w:hAnsi="Arial"/>
          <w:sz w:val="15"/>
          <w:szCs w:val="15"/>
          <w:color w:val="auto"/>
        </w:rPr>
        <w:t>153</w:t>
      </w:r>
    </w:p>
    <w:p>
      <w:pPr>
        <w:sectPr>
          <w:pgSz w:w="11900" w:h="16838" w:orient="portrait"/>
          <w:cols w:equalWidth="0" w:num="1">
            <w:col w:w="10300"/>
          </w:cols>
          <w:pgMar w:left="240" w:top="408" w:right="1359" w:bottom="1440" w:gutter="0" w:footer="0" w:header="0"/>
        </w:sectPr>
      </w:pPr>
    </w:p>
    <w:bookmarkStart w:id="160" w:name="page161"/>
    <w:bookmarkEnd w:id="160"/>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133350</wp:posOffset>
            </wp:positionH>
            <wp:positionV relativeFrom="page">
              <wp:posOffset>88900</wp:posOffset>
            </wp:positionV>
            <wp:extent cx="7308850" cy="3429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308850" cy="34290"/>
                    </a:xfrm>
                    <a:prstGeom prst="rect">
                      <a:avLst/>
                    </a:prstGeom>
                    <a:noFill/>
                  </pic:spPr>
                </pic:pic>
              </a:graphicData>
            </a:graphic>
          </wp:anchor>
        </w:drawing>
      </w:r>
      <w:hyperlink w:anchor="page7">
        <w:r>
          <w:rPr>
            <w:rFonts w:ascii="Arial" w:cs="Arial" w:eastAsia="Arial" w:hAnsi="Arial"/>
            <w:sz w:val="15"/>
            <w:szCs w:val="15"/>
            <w:b w:val="1"/>
            <w:bCs w:val="1"/>
            <w:u w:val="single" w:color="auto"/>
            <w:color w:val="0000EE"/>
          </w:rPr>
          <w:t>Table of Contents</w:t>
        </w:r>
      </w:hyperlink>
    </w:p>
    <w:p>
      <w:pPr>
        <w:spacing w:after="0" w:line="260" w:lineRule="exact"/>
        <w:rPr>
          <w:sz w:val="20"/>
          <w:szCs w:val="20"/>
          <w:color w:val="auto"/>
        </w:rPr>
      </w:pPr>
    </w:p>
    <w:p>
      <w:pPr>
        <w:ind w:left="1120" w:right="40" w:firstLine="368"/>
        <w:spacing w:after="0" w:line="275" w:lineRule="auto"/>
        <w:rPr>
          <w:sz w:val="20"/>
          <w:szCs w:val="20"/>
          <w:color w:val="auto"/>
        </w:rPr>
      </w:pPr>
      <w:r>
        <w:rPr>
          <w:rFonts w:ascii="Arial" w:cs="Arial" w:eastAsia="Arial" w:hAnsi="Arial"/>
          <w:sz w:val="15"/>
          <w:szCs w:val="15"/>
          <w:i w:val="1"/>
          <w:iCs w:val="1"/>
          <w:color w:val="auto"/>
        </w:rPr>
        <w:t>Amendment; termination</w:t>
      </w:r>
      <w:r>
        <w:rPr>
          <w:rFonts w:ascii="Arial" w:cs="Arial" w:eastAsia="Arial" w:hAnsi="Arial"/>
          <w:sz w:val="15"/>
          <w:szCs w:val="15"/>
          <w:color w:val="auto"/>
        </w:rPr>
        <w:t>. The administrator has the authority to amend, suspend, or terminate our 2018 Plan provided such action does not impair</w:t>
      </w:r>
      <w:r>
        <w:rPr>
          <w:rFonts w:ascii="Arial" w:cs="Arial" w:eastAsia="Arial" w:hAnsi="Arial"/>
          <w:sz w:val="15"/>
          <w:szCs w:val="15"/>
          <w:i w:val="1"/>
          <w:iCs w:val="1"/>
          <w:color w:val="auto"/>
        </w:rPr>
        <w:t xml:space="preserve"> </w:t>
      </w:r>
      <w:r>
        <w:rPr>
          <w:rFonts w:ascii="Arial" w:cs="Arial" w:eastAsia="Arial" w:hAnsi="Arial"/>
          <w:sz w:val="15"/>
          <w:szCs w:val="15"/>
          <w:color w:val="auto"/>
        </w:rPr>
        <w:t>the existing rights of any participant. Our 2018 Plan automatically will terminate in 2028, unless we terminate it sooner.</w:t>
      </w:r>
    </w:p>
    <w:p>
      <w:pPr>
        <w:spacing w:after="0" w:line="236" w:lineRule="exact"/>
        <w:rPr>
          <w:sz w:val="20"/>
          <w:szCs w:val="20"/>
          <w:color w:val="auto"/>
        </w:rPr>
      </w:pPr>
    </w:p>
    <w:p>
      <w:pPr>
        <w:ind w:left="1480"/>
        <w:spacing w:after="0"/>
        <w:rPr>
          <w:sz w:val="20"/>
          <w:szCs w:val="20"/>
          <w:color w:val="auto"/>
        </w:rPr>
      </w:pPr>
      <w:r>
        <w:rPr>
          <w:rFonts w:ascii="Arial" w:cs="Arial" w:eastAsia="Arial" w:hAnsi="Arial"/>
          <w:sz w:val="15"/>
          <w:szCs w:val="15"/>
          <w:b w:val="1"/>
          <w:bCs w:val="1"/>
          <w:i w:val="1"/>
          <w:iCs w:val="1"/>
          <w:color w:val="auto"/>
        </w:rPr>
        <w:t>2018 Class C Stock Incentive Plan</w:t>
      </w:r>
    </w:p>
    <w:p>
      <w:pPr>
        <w:spacing w:after="0" w:line="98" w:lineRule="exact"/>
        <w:rPr>
          <w:sz w:val="20"/>
          <w:szCs w:val="20"/>
          <w:color w:val="auto"/>
        </w:rPr>
      </w:pPr>
    </w:p>
    <w:p>
      <w:pPr>
        <w:ind w:left="1120" w:firstLine="368"/>
        <w:spacing w:after="0" w:line="292" w:lineRule="auto"/>
        <w:rPr>
          <w:sz w:val="20"/>
          <w:szCs w:val="20"/>
          <w:color w:val="auto"/>
        </w:rPr>
      </w:pPr>
      <w:r>
        <w:rPr>
          <w:rFonts w:ascii="Arial" w:cs="Arial" w:eastAsia="Arial" w:hAnsi="Arial"/>
          <w:sz w:val="13"/>
          <w:szCs w:val="13"/>
          <w:color w:val="auto"/>
        </w:rPr>
        <w:t>In February 2018, our Board of Directors adopted, and in March 2018 our stockholders approved, our 2018 Class C Plan. Our 2018 Class C Plan will be effective on the business day immediately prior to the effective date of our registration statement related to this offering and is not expected to be used immediately. A total of 41,368,326 shares of our Class C common stock will be reserved for issuance pursuant to our 2018 Class C Plan. If and when authorized by our Board of Directors, the number of shares available for issuance under our 2018 Class C Plan will be increased on the first day of each fiscal year following the year of such authorization, in an amount equal to the least of (i) 41,368,326 shares of our Class C common stock, (ii) five percent (5%) of the outstanding shares of all classes of the Company’s common stock on the last day of the immediately preceding fiscal year, or</w:t>
      </w:r>
    </w:p>
    <w:p>
      <w:pPr>
        <w:spacing w:after="0" w:line="1" w:lineRule="exact"/>
        <w:rPr>
          <w:sz w:val="20"/>
          <w:szCs w:val="20"/>
          <w:color w:val="auto"/>
        </w:rPr>
      </w:pPr>
    </w:p>
    <w:p>
      <w:pPr>
        <w:ind w:left="1120" w:right="100" w:hanging="8"/>
        <w:spacing w:after="0" w:line="262" w:lineRule="auto"/>
        <w:tabs>
          <w:tab w:leader="none" w:pos="1383" w:val="left"/>
        </w:tabs>
        <w:numPr>
          <w:ilvl w:val="0"/>
          <w:numId w:val="73"/>
        </w:numPr>
        <w:rPr>
          <w:rFonts w:ascii="Arial" w:cs="Arial" w:eastAsia="Arial" w:hAnsi="Arial"/>
          <w:sz w:val="15"/>
          <w:szCs w:val="15"/>
          <w:color w:val="auto"/>
        </w:rPr>
      </w:pPr>
      <w:r>
        <w:rPr>
          <w:rFonts w:ascii="Arial" w:cs="Arial" w:eastAsia="Arial" w:hAnsi="Arial"/>
          <w:sz w:val="15"/>
          <w:szCs w:val="15"/>
          <w:color w:val="auto"/>
        </w:rPr>
        <w:t>such number of shares of our Class C common stock determined by our Board of Directors. Our 2018 Class C Plan will provide for the same types of grants and will include the same terms and conditions as those described above for our 2018 Plan.</w:t>
      </w:r>
    </w:p>
    <w:p>
      <w:pPr>
        <w:spacing w:after="0" w:line="246" w:lineRule="exact"/>
        <w:rPr>
          <w:sz w:val="20"/>
          <w:szCs w:val="20"/>
          <w:color w:val="auto"/>
        </w:rPr>
      </w:pPr>
    </w:p>
    <w:p>
      <w:pPr>
        <w:ind w:left="1480"/>
        <w:spacing w:after="0"/>
        <w:rPr>
          <w:sz w:val="20"/>
          <w:szCs w:val="20"/>
          <w:color w:val="auto"/>
        </w:rPr>
      </w:pPr>
      <w:r>
        <w:rPr>
          <w:rFonts w:ascii="Arial" w:cs="Arial" w:eastAsia="Arial" w:hAnsi="Arial"/>
          <w:sz w:val="15"/>
          <w:szCs w:val="15"/>
          <w:b w:val="1"/>
          <w:bCs w:val="1"/>
          <w:i w:val="1"/>
          <w:iCs w:val="1"/>
          <w:color w:val="auto"/>
        </w:rPr>
        <w:t>2018 Employee Stock Purchase Plan</w:t>
      </w:r>
    </w:p>
    <w:p>
      <w:pPr>
        <w:spacing w:after="0" w:line="98" w:lineRule="exact"/>
        <w:rPr>
          <w:sz w:val="20"/>
          <w:szCs w:val="20"/>
          <w:color w:val="auto"/>
        </w:rPr>
      </w:pPr>
    </w:p>
    <w:p>
      <w:pPr>
        <w:ind w:left="1120" w:firstLine="368"/>
        <w:spacing w:after="0" w:line="290" w:lineRule="auto"/>
        <w:rPr>
          <w:sz w:val="20"/>
          <w:szCs w:val="20"/>
          <w:color w:val="auto"/>
        </w:rPr>
      </w:pPr>
      <w:r>
        <w:rPr>
          <w:rFonts w:ascii="Arial" w:cs="Arial" w:eastAsia="Arial" w:hAnsi="Arial"/>
          <w:sz w:val="14"/>
          <w:szCs w:val="14"/>
          <w:color w:val="auto"/>
        </w:rPr>
        <w:t>In February 2018, our Board of Directors adopted, and in March 2018 our stockholders approved, our Employee Stock Purchase Plan, or the ESPP. Our ESPP will be effective on the business day immediately prior to the effective date of the registration statement of which this prospectus forms a part. However, no offering period or purchase period under the ESPP will begin unless and until determined by our Board of Directors.</w:t>
      </w:r>
    </w:p>
    <w:p>
      <w:pPr>
        <w:spacing w:after="0" w:line="138" w:lineRule="exact"/>
        <w:rPr>
          <w:sz w:val="20"/>
          <w:szCs w:val="20"/>
          <w:color w:val="auto"/>
        </w:rPr>
      </w:pPr>
    </w:p>
    <w:p>
      <w:pPr>
        <w:jc w:val="both"/>
        <w:ind w:left="1120" w:right="100" w:firstLine="368"/>
        <w:spacing w:after="0" w:line="290" w:lineRule="auto"/>
        <w:rPr>
          <w:sz w:val="20"/>
          <w:szCs w:val="20"/>
          <w:color w:val="auto"/>
        </w:rPr>
      </w:pPr>
      <w:r>
        <w:rPr>
          <w:rFonts w:ascii="Arial" w:cs="Arial" w:eastAsia="Arial" w:hAnsi="Arial"/>
          <w:sz w:val="14"/>
          <w:szCs w:val="14"/>
          <w:i w:val="1"/>
          <w:iCs w:val="1"/>
          <w:color w:val="auto"/>
        </w:rPr>
        <w:t>Authorized shares</w:t>
      </w:r>
      <w:r>
        <w:rPr>
          <w:rFonts w:ascii="Arial" w:cs="Arial" w:eastAsia="Arial" w:hAnsi="Arial"/>
          <w:sz w:val="14"/>
          <w:szCs w:val="14"/>
          <w:color w:val="auto"/>
        </w:rPr>
        <w:t>. A total of 4,136,832 shares of our Class A common stock will be available for sale under our ESPP. The number of shares of</w:t>
      </w:r>
      <w:r>
        <w:rPr>
          <w:rFonts w:ascii="Arial" w:cs="Arial" w:eastAsia="Arial" w:hAnsi="Arial"/>
          <w:sz w:val="14"/>
          <w:szCs w:val="14"/>
          <w:i w:val="1"/>
          <w:iCs w:val="1"/>
          <w:color w:val="auto"/>
        </w:rPr>
        <w:t xml:space="preserve"> </w:t>
      </w:r>
      <w:r>
        <w:rPr>
          <w:rFonts w:ascii="Arial" w:cs="Arial" w:eastAsia="Arial" w:hAnsi="Arial"/>
          <w:sz w:val="14"/>
          <w:szCs w:val="14"/>
          <w:color w:val="auto"/>
        </w:rPr>
        <w:t>our Class A common stock that will be available for sale under our ESPP also includes an annual increase on the first day of each fiscal year beginning for the fiscal year following the fiscal year in which the first offering period enrollment date (if any) occurs, equal to the least of:</w:t>
      </w:r>
    </w:p>
    <w:p>
      <w:pPr>
        <w:spacing w:after="0" w:line="59" w:lineRule="exact"/>
        <w:rPr>
          <w:sz w:val="20"/>
          <w:szCs w:val="20"/>
          <w:color w:val="auto"/>
        </w:rPr>
      </w:pPr>
    </w:p>
    <w:p>
      <w:pPr>
        <w:ind w:left="1840" w:hanging="276"/>
        <w:spacing w:after="0"/>
        <w:tabs>
          <w:tab w:leader="none" w:pos="1840" w:val="left"/>
        </w:tabs>
        <w:numPr>
          <w:ilvl w:val="0"/>
          <w:numId w:val="74"/>
        </w:numPr>
        <w:rPr>
          <w:rFonts w:ascii="Arial" w:cs="Arial" w:eastAsia="Arial" w:hAnsi="Arial"/>
          <w:sz w:val="15"/>
          <w:szCs w:val="15"/>
          <w:color w:val="auto"/>
        </w:rPr>
      </w:pPr>
      <w:r>
        <w:rPr>
          <w:rFonts w:ascii="Arial" w:cs="Arial" w:eastAsia="Arial" w:hAnsi="Arial"/>
          <w:sz w:val="15"/>
          <w:szCs w:val="15"/>
          <w:color w:val="auto"/>
        </w:rPr>
        <w:t>4,136,832 shares of our Class A common stock;</w:t>
      </w:r>
    </w:p>
    <w:p>
      <w:pPr>
        <w:spacing w:after="0" w:line="109" w:lineRule="exact"/>
        <w:rPr>
          <w:rFonts w:ascii="Arial" w:cs="Arial" w:eastAsia="Arial" w:hAnsi="Arial"/>
          <w:sz w:val="15"/>
          <w:szCs w:val="15"/>
          <w:color w:val="auto"/>
        </w:rPr>
      </w:pPr>
    </w:p>
    <w:p>
      <w:pPr>
        <w:ind w:left="1840" w:hanging="276"/>
        <w:spacing w:after="0"/>
        <w:tabs>
          <w:tab w:leader="none" w:pos="1840" w:val="left"/>
        </w:tabs>
        <w:numPr>
          <w:ilvl w:val="0"/>
          <w:numId w:val="74"/>
        </w:numPr>
        <w:rPr>
          <w:rFonts w:ascii="Arial" w:cs="Arial" w:eastAsia="Arial" w:hAnsi="Arial"/>
          <w:sz w:val="14"/>
          <w:szCs w:val="14"/>
          <w:color w:val="auto"/>
        </w:rPr>
      </w:pPr>
      <w:r>
        <w:rPr>
          <w:rFonts w:ascii="Arial" w:cs="Arial" w:eastAsia="Arial" w:hAnsi="Arial"/>
          <w:sz w:val="14"/>
          <w:szCs w:val="14"/>
          <w:color w:val="auto"/>
        </w:rPr>
        <w:t>one and a half percent (1.5%) of the outstanding shares of our capital stock as of the last day of the immediately preceding fiscal year; or</w:t>
      </w:r>
    </w:p>
    <w:p>
      <w:pPr>
        <w:spacing w:after="0" w:line="120" w:lineRule="exact"/>
        <w:rPr>
          <w:rFonts w:ascii="Arial" w:cs="Arial" w:eastAsia="Arial" w:hAnsi="Arial"/>
          <w:sz w:val="14"/>
          <w:szCs w:val="14"/>
          <w:color w:val="auto"/>
        </w:rPr>
      </w:pPr>
    </w:p>
    <w:p>
      <w:pPr>
        <w:ind w:left="1840" w:hanging="276"/>
        <w:spacing w:after="0"/>
        <w:tabs>
          <w:tab w:leader="none" w:pos="1840" w:val="left"/>
        </w:tabs>
        <w:numPr>
          <w:ilvl w:val="0"/>
          <w:numId w:val="74"/>
        </w:numPr>
        <w:rPr>
          <w:rFonts w:ascii="Arial" w:cs="Arial" w:eastAsia="Arial" w:hAnsi="Arial"/>
          <w:sz w:val="15"/>
          <w:szCs w:val="15"/>
          <w:color w:val="auto"/>
        </w:rPr>
      </w:pPr>
      <w:r>
        <w:rPr>
          <w:rFonts w:ascii="Arial" w:cs="Arial" w:eastAsia="Arial" w:hAnsi="Arial"/>
          <w:sz w:val="15"/>
          <w:szCs w:val="15"/>
          <w:color w:val="auto"/>
        </w:rPr>
        <w:t>such other amount as the administrator may determine.</w:t>
      </w:r>
    </w:p>
    <w:p>
      <w:pPr>
        <w:spacing w:after="0" w:line="188" w:lineRule="exact"/>
        <w:rPr>
          <w:sz w:val="20"/>
          <w:szCs w:val="20"/>
          <w:color w:val="auto"/>
        </w:rPr>
      </w:pPr>
    </w:p>
    <w:p>
      <w:pPr>
        <w:ind w:left="1120" w:right="200" w:firstLine="368"/>
        <w:spacing w:after="0" w:line="274" w:lineRule="auto"/>
        <w:rPr>
          <w:sz w:val="20"/>
          <w:szCs w:val="20"/>
          <w:color w:val="auto"/>
        </w:rPr>
      </w:pPr>
      <w:r>
        <w:rPr>
          <w:rFonts w:ascii="Arial" w:cs="Arial" w:eastAsia="Arial" w:hAnsi="Arial"/>
          <w:sz w:val="14"/>
          <w:szCs w:val="14"/>
          <w:i w:val="1"/>
          <w:iCs w:val="1"/>
          <w:color w:val="auto"/>
        </w:rPr>
        <w:t>Plan administration</w:t>
      </w:r>
      <w:r>
        <w:rPr>
          <w:rFonts w:ascii="Arial" w:cs="Arial" w:eastAsia="Arial" w:hAnsi="Arial"/>
          <w:sz w:val="14"/>
          <w:szCs w:val="14"/>
          <w:color w:val="auto"/>
        </w:rPr>
        <w:t>. Our Board of Directors, or a committee appointed by our Board of Directors will administer our ESPP, and have full but</w:t>
      </w:r>
      <w:r>
        <w:rPr>
          <w:rFonts w:ascii="Arial" w:cs="Arial" w:eastAsia="Arial" w:hAnsi="Arial"/>
          <w:sz w:val="14"/>
          <w:szCs w:val="14"/>
          <w:i w:val="1"/>
          <w:iCs w:val="1"/>
          <w:color w:val="auto"/>
        </w:rPr>
        <w:t xml:space="preserve"> </w:t>
      </w:r>
      <w:r>
        <w:rPr>
          <w:rFonts w:ascii="Arial" w:cs="Arial" w:eastAsia="Arial" w:hAnsi="Arial"/>
          <w:sz w:val="14"/>
          <w:szCs w:val="14"/>
          <w:color w:val="auto"/>
        </w:rPr>
        <w:t>non-exclusive authority to interpret the terms of our ESPP and determine eligibility to participate, subject to the conditions of our ESPP, as described below. We expect our compensation committee to administer our ESPP. The administrator will have full and exclusive discretionary authority to construe, interpret, and apply the terms of the ESPP, to delegate ministerial duties to any of our employees, to designate separate offerings under the ESPP, to designate our subsidiaries and affiliates as participating in the ESPP, to determine eligibility, to adjudicate all disputed claims filed under the ESPP and to establish procedures that it deems necessary or advisable for the administration of the ESPP, including, but not limited to, adopting such procedures, sub-plans, and appendices to the enrollment agreement as are necessary or appropriate to permit participation in the ESPP by employees who are foreign nationals or employed outside the U.S. The administrator’s findings, decisions, and determinations are final and binding on all participants to the full extent permitted by law.</w:t>
      </w:r>
    </w:p>
    <w:p>
      <w:pPr>
        <w:spacing w:after="0" w:line="150" w:lineRule="exact"/>
        <w:rPr>
          <w:sz w:val="20"/>
          <w:szCs w:val="20"/>
          <w:color w:val="auto"/>
        </w:rPr>
      </w:pPr>
    </w:p>
    <w:p>
      <w:pPr>
        <w:jc w:val="both"/>
        <w:ind w:left="1120" w:right="160" w:firstLine="368"/>
        <w:spacing w:after="0" w:line="263" w:lineRule="auto"/>
        <w:rPr>
          <w:sz w:val="20"/>
          <w:szCs w:val="20"/>
          <w:color w:val="auto"/>
        </w:rPr>
      </w:pPr>
      <w:r>
        <w:rPr>
          <w:rFonts w:ascii="Arial" w:cs="Arial" w:eastAsia="Arial" w:hAnsi="Arial"/>
          <w:sz w:val="15"/>
          <w:szCs w:val="15"/>
          <w:i w:val="1"/>
          <w:iCs w:val="1"/>
          <w:color w:val="auto"/>
        </w:rPr>
        <w:t>Eligibility</w:t>
      </w:r>
      <w:r>
        <w:rPr>
          <w:rFonts w:ascii="Arial" w:cs="Arial" w:eastAsia="Arial" w:hAnsi="Arial"/>
          <w:sz w:val="15"/>
          <w:szCs w:val="15"/>
          <w:color w:val="auto"/>
        </w:rPr>
        <w:t>. Generally, all of our employees will be eligible to participate if they are customarily employed by us, or any participating subsidiary,</w:t>
      </w:r>
      <w:r>
        <w:rPr>
          <w:rFonts w:ascii="Arial" w:cs="Arial" w:eastAsia="Arial" w:hAnsi="Arial"/>
          <w:sz w:val="15"/>
          <w:szCs w:val="15"/>
          <w:i w:val="1"/>
          <w:iCs w:val="1"/>
          <w:color w:val="auto"/>
        </w:rPr>
        <w:t xml:space="preserve"> </w:t>
      </w:r>
      <w:r>
        <w:rPr>
          <w:rFonts w:ascii="Arial" w:cs="Arial" w:eastAsia="Arial" w:hAnsi="Arial"/>
          <w:sz w:val="15"/>
          <w:szCs w:val="15"/>
          <w:color w:val="auto"/>
        </w:rPr>
        <w:t>for at least 20 hours per week and more than five months in any calendar year. The administrator, in its discretion, may, prior to an enrollment date for all options granted on such</w:t>
      </w:r>
    </w:p>
    <w:p>
      <w:pPr>
        <w:spacing w:after="0" w:line="98" w:lineRule="exact"/>
        <w:rPr>
          <w:sz w:val="20"/>
          <w:szCs w:val="20"/>
          <w:color w:val="auto"/>
        </w:rPr>
      </w:pPr>
    </w:p>
    <w:p>
      <w:pPr>
        <w:ind w:left="5600"/>
        <w:spacing w:after="0"/>
        <w:rPr>
          <w:sz w:val="20"/>
          <w:szCs w:val="20"/>
          <w:color w:val="auto"/>
        </w:rPr>
      </w:pPr>
      <w:r>
        <w:rPr>
          <w:rFonts w:ascii="Arial" w:cs="Arial" w:eastAsia="Arial" w:hAnsi="Arial"/>
          <w:sz w:val="15"/>
          <w:szCs w:val="15"/>
          <w:color w:val="auto"/>
        </w:rPr>
        <w:t>154</w:t>
      </w:r>
    </w:p>
    <w:p>
      <w:pPr>
        <w:sectPr>
          <w:pgSz w:w="11900" w:h="16838" w:orient="portrait"/>
          <w:cols w:equalWidth="0" w:num="1">
            <w:col w:w="10300"/>
          </w:cols>
          <w:pgMar w:left="240" w:top="407" w:right="1359" w:bottom="1440" w:gutter="0" w:footer="0" w:header="0"/>
        </w:sectPr>
      </w:pPr>
    </w:p>
    <w:bookmarkStart w:id="161" w:name="page162"/>
    <w:bookmarkEnd w:id="161"/>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133350</wp:posOffset>
            </wp:positionH>
            <wp:positionV relativeFrom="page">
              <wp:posOffset>88900</wp:posOffset>
            </wp:positionV>
            <wp:extent cx="7308850" cy="3429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308850" cy="34290"/>
                    </a:xfrm>
                    <a:prstGeom prst="rect">
                      <a:avLst/>
                    </a:prstGeom>
                    <a:noFill/>
                  </pic:spPr>
                </pic:pic>
              </a:graphicData>
            </a:graphic>
          </wp:anchor>
        </w:drawing>
      </w:r>
      <w:hyperlink w:anchor="page7">
        <w:r>
          <w:rPr>
            <w:rFonts w:ascii="Arial" w:cs="Arial" w:eastAsia="Arial" w:hAnsi="Arial"/>
            <w:sz w:val="15"/>
            <w:szCs w:val="15"/>
            <w:b w:val="1"/>
            <w:bCs w:val="1"/>
            <w:u w:val="single" w:color="auto"/>
            <w:color w:val="0000EE"/>
          </w:rPr>
          <w:t>Table of Contents</w:t>
        </w:r>
      </w:hyperlink>
    </w:p>
    <w:p>
      <w:pPr>
        <w:spacing w:after="0" w:line="260" w:lineRule="exact"/>
        <w:rPr>
          <w:sz w:val="20"/>
          <w:szCs w:val="20"/>
          <w:color w:val="auto"/>
        </w:rPr>
      </w:pPr>
    </w:p>
    <w:p>
      <w:pPr>
        <w:ind w:left="1120" w:right="40"/>
        <w:spacing w:after="0" w:line="255" w:lineRule="auto"/>
        <w:rPr>
          <w:sz w:val="20"/>
          <w:szCs w:val="20"/>
          <w:color w:val="auto"/>
        </w:rPr>
      </w:pPr>
      <w:r>
        <w:rPr>
          <w:rFonts w:ascii="Arial" w:cs="Arial" w:eastAsia="Arial" w:hAnsi="Arial"/>
          <w:sz w:val="15"/>
          <w:szCs w:val="15"/>
          <w:color w:val="auto"/>
        </w:rPr>
        <w:t>enrollment date in an offering, determine that an employee who (i) has not completed at least two years of service (or a lesser period of time determined by the administrator) since his or her last hire date, (ii) customarily works not more than 20 hours per week (or a lesser period of time determined by the administrator), (iii) customarily works not more than five months per calendar year (or a lesser period of time determined by the administrator), (iv) is a highly compensated employee within the meaning of Section 414(q) of the Code, and (v) is a highly compensated employee within the meaning of Section 414(q) of the Code with compensation above a certain level or is an officer or subject to disclosure requirements under Section 16(a) of the Exchange Act, is or is not eligible to participate in such offering period.</w:t>
      </w:r>
    </w:p>
    <w:p>
      <w:pPr>
        <w:spacing w:after="0" w:line="164" w:lineRule="exact"/>
        <w:rPr>
          <w:sz w:val="20"/>
          <w:szCs w:val="20"/>
          <w:color w:val="auto"/>
        </w:rPr>
      </w:pPr>
    </w:p>
    <w:p>
      <w:pPr>
        <w:ind w:left="1480"/>
        <w:spacing w:after="0"/>
        <w:rPr>
          <w:sz w:val="20"/>
          <w:szCs w:val="20"/>
          <w:color w:val="auto"/>
        </w:rPr>
      </w:pPr>
      <w:r>
        <w:rPr>
          <w:rFonts w:ascii="Arial" w:cs="Arial" w:eastAsia="Arial" w:hAnsi="Arial"/>
          <w:sz w:val="14"/>
          <w:szCs w:val="14"/>
          <w:color w:val="auto"/>
        </w:rPr>
        <w:t>However, an employee may not be granted rights to purchase shares of our Class A common stock under our ESPP if such employee:</w:t>
      </w:r>
    </w:p>
    <w:p>
      <w:pPr>
        <w:spacing w:after="0" w:line="121" w:lineRule="exact"/>
        <w:rPr>
          <w:sz w:val="20"/>
          <w:szCs w:val="20"/>
          <w:color w:val="auto"/>
        </w:rPr>
      </w:pPr>
    </w:p>
    <w:p>
      <w:pPr>
        <w:ind w:left="1840" w:right="20" w:hanging="276"/>
        <w:spacing w:after="0" w:line="275" w:lineRule="auto"/>
        <w:tabs>
          <w:tab w:leader="none" w:pos="1840" w:val="left"/>
        </w:tabs>
        <w:numPr>
          <w:ilvl w:val="0"/>
          <w:numId w:val="75"/>
        </w:numPr>
        <w:rPr>
          <w:rFonts w:ascii="Arial" w:cs="Arial" w:eastAsia="Arial" w:hAnsi="Arial"/>
          <w:sz w:val="15"/>
          <w:szCs w:val="15"/>
          <w:color w:val="auto"/>
        </w:rPr>
      </w:pPr>
      <w:r>
        <w:rPr>
          <w:rFonts w:ascii="Arial" w:cs="Arial" w:eastAsia="Arial" w:hAnsi="Arial"/>
          <w:sz w:val="15"/>
          <w:szCs w:val="15"/>
          <w:color w:val="auto"/>
        </w:rPr>
        <w:t>immediately after the grant would own capital stock possessing 5% or more of the total combined voting power or value of all classes of our capital stock; or</w:t>
      </w:r>
    </w:p>
    <w:p>
      <w:pPr>
        <w:spacing w:after="0" w:line="67" w:lineRule="exact"/>
        <w:rPr>
          <w:rFonts w:ascii="Arial" w:cs="Arial" w:eastAsia="Arial" w:hAnsi="Arial"/>
          <w:sz w:val="15"/>
          <w:szCs w:val="15"/>
          <w:color w:val="auto"/>
        </w:rPr>
      </w:pPr>
    </w:p>
    <w:p>
      <w:pPr>
        <w:ind w:left="1840" w:hanging="276"/>
        <w:spacing w:after="0" w:line="275" w:lineRule="auto"/>
        <w:tabs>
          <w:tab w:leader="none" w:pos="1840" w:val="left"/>
        </w:tabs>
        <w:numPr>
          <w:ilvl w:val="0"/>
          <w:numId w:val="75"/>
        </w:numPr>
        <w:rPr>
          <w:rFonts w:ascii="Arial" w:cs="Arial" w:eastAsia="Arial" w:hAnsi="Arial"/>
          <w:sz w:val="15"/>
          <w:szCs w:val="15"/>
          <w:color w:val="auto"/>
        </w:rPr>
      </w:pPr>
      <w:r>
        <w:rPr>
          <w:rFonts w:ascii="Arial" w:cs="Arial" w:eastAsia="Arial" w:hAnsi="Arial"/>
          <w:sz w:val="15"/>
          <w:szCs w:val="15"/>
          <w:color w:val="auto"/>
        </w:rPr>
        <w:t>hold rights to purchase shares of our Class A common stock under all of our employee stock purchase plans that accrue at a rate that exceeds $25,000 worth of shares of our Class A common stock for each calendar year.</w:t>
      </w:r>
    </w:p>
    <w:p>
      <w:pPr>
        <w:spacing w:after="0" w:line="146" w:lineRule="exact"/>
        <w:rPr>
          <w:sz w:val="20"/>
          <w:szCs w:val="20"/>
          <w:color w:val="auto"/>
        </w:rPr>
      </w:pPr>
    </w:p>
    <w:p>
      <w:pPr>
        <w:ind w:left="1120" w:right="20" w:firstLine="368"/>
        <w:spacing w:after="0" w:line="279" w:lineRule="auto"/>
        <w:rPr>
          <w:sz w:val="20"/>
          <w:szCs w:val="20"/>
          <w:color w:val="auto"/>
        </w:rPr>
      </w:pPr>
      <w:r>
        <w:rPr>
          <w:rFonts w:ascii="Arial" w:cs="Arial" w:eastAsia="Arial" w:hAnsi="Arial"/>
          <w:sz w:val="14"/>
          <w:szCs w:val="14"/>
          <w:i w:val="1"/>
          <w:iCs w:val="1"/>
          <w:color w:val="auto"/>
        </w:rPr>
        <w:t>Offering periods; purchase periods</w:t>
      </w:r>
      <w:r>
        <w:rPr>
          <w:rFonts w:ascii="Arial" w:cs="Arial" w:eastAsia="Arial" w:hAnsi="Arial"/>
          <w:sz w:val="14"/>
          <w:szCs w:val="14"/>
          <w:color w:val="auto"/>
        </w:rPr>
        <w:t>. Our ESPP includes a component that allows us to make offerings intended to qualify under Section 423 of the</w:t>
      </w:r>
      <w:r>
        <w:rPr>
          <w:rFonts w:ascii="Arial" w:cs="Arial" w:eastAsia="Arial" w:hAnsi="Arial"/>
          <w:sz w:val="14"/>
          <w:szCs w:val="14"/>
          <w:i w:val="1"/>
          <w:iCs w:val="1"/>
          <w:color w:val="auto"/>
        </w:rPr>
        <w:t xml:space="preserve"> </w:t>
      </w:r>
      <w:r>
        <w:rPr>
          <w:rFonts w:ascii="Arial" w:cs="Arial" w:eastAsia="Arial" w:hAnsi="Arial"/>
          <w:sz w:val="14"/>
          <w:szCs w:val="14"/>
          <w:color w:val="auto"/>
        </w:rPr>
        <w:t>Code and a component that allows us to make offerings not intended to qualify under Section 423 of the Code to designated companies, as described in our ESPP. No offerings have been authorized to date by our Board of Directors under the ESPP. If our Board of Directors authorizes an offering period under the ESPP, our Board of Directors is authorized to establish the duration of offering periods and purchase periods, including the starting and ending dates of offering periods and purchase periods, provided that no offering period may have a duration exceeding 27 months.</w:t>
      </w:r>
    </w:p>
    <w:p>
      <w:pPr>
        <w:spacing w:after="0" w:line="147" w:lineRule="exact"/>
        <w:rPr>
          <w:sz w:val="20"/>
          <w:szCs w:val="20"/>
          <w:color w:val="auto"/>
        </w:rPr>
      </w:pPr>
    </w:p>
    <w:p>
      <w:pPr>
        <w:ind w:left="1120" w:right="400" w:firstLine="368"/>
        <w:spacing w:after="0" w:line="263" w:lineRule="auto"/>
        <w:rPr>
          <w:sz w:val="20"/>
          <w:szCs w:val="20"/>
          <w:color w:val="auto"/>
        </w:rPr>
      </w:pPr>
      <w:r>
        <w:rPr>
          <w:rFonts w:ascii="Arial" w:cs="Arial" w:eastAsia="Arial" w:hAnsi="Arial"/>
          <w:sz w:val="15"/>
          <w:szCs w:val="15"/>
          <w:i w:val="1"/>
          <w:iCs w:val="1"/>
          <w:color w:val="auto"/>
        </w:rPr>
        <w:t>Contributions</w:t>
      </w:r>
      <w:r>
        <w:rPr>
          <w:rFonts w:ascii="Arial" w:cs="Arial" w:eastAsia="Arial" w:hAnsi="Arial"/>
          <w:sz w:val="15"/>
          <w:szCs w:val="15"/>
          <w:color w:val="auto"/>
        </w:rPr>
        <w:t>. Our ESPP permits participants to purchase shares of our Class A common stock through contributions (in the form of payroll</w:t>
      </w:r>
      <w:r>
        <w:rPr>
          <w:rFonts w:ascii="Arial" w:cs="Arial" w:eastAsia="Arial" w:hAnsi="Arial"/>
          <w:sz w:val="15"/>
          <w:szCs w:val="15"/>
          <w:i w:val="1"/>
          <w:iCs w:val="1"/>
          <w:color w:val="auto"/>
        </w:rPr>
        <w:t xml:space="preserve"> </w:t>
      </w:r>
      <w:r>
        <w:rPr>
          <w:rFonts w:ascii="Arial" w:cs="Arial" w:eastAsia="Arial" w:hAnsi="Arial"/>
          <w:sz w:val="15"/>
          <w:szCs w:val="15"/>
          <w:color w:val="auto"/>
        </w:rPr>
        <w:t>deductions or otherwise to the extent permitted by the administrator) of up to 15% of their eligible compensation. A participant may purchase a maximum of 2,500 shares of our Class A common stock during a purchase period.</w:t>
      </w:r>
    </w:p>
    <w:p>
      <w:pPr>
        <w:spacing w:after="0" w:line="155" w:lineRule="exact"/>
        <w:rPr>
          <w:sz w:val="20"/>
          <w:szCs w:val="20"/>
          <w:color w:val="auto"/>
        </w:rPr>
      </w:pPr>
    </w:p>
    <w:p>
      <w:pPr>
        <w:ind w:left="1120" w:right="40" w:firstLine="368"/>
        <w:spacing w:after="0" w:line="255" w:lineRule="auto"/>
        <w:rPr>
          <w:sz w:val="20"/>
          <w:szCs w:val="20"/>
          <w:color w:val="auto"/>
        </w:rPr>
      </w:pPr>
      <w:r>
        <w:rPr>
          <w:rFonts w:ascii="Arial" w:cs="Arial" w:eastAsia="Arial" w:hAnsi="Arial"/>
          <w:sz w:val="15"/>
          <w:szCs w:val="15"/>
          <w:i w:val="1"/>
          <w:iCs w:val="1"/>
          <w:color w:val="auto"/>
        </w:rPr>
        <w:t>Exercise of purchase right</w:t>
      </w:r>
      <w:r>
        <w:rPr>
          <w:rFonts w:ascii="Arial" w:cs="Arial" w:eastAsia="Arial" w:hAnsi="Arial"/>
          <w:sz w:val="15"/>
          <w:szCs w:val="15"/>
          <w:color w:val="auto"/>
        </w:rPr>
        <w:t>. If our Board of Directors authorizes an offering and purchase period under the ESPP, amounts contributed and</w:t>
      </w:r>
      <w:r>
        <w:rPr>
          <w:rFonts w:ascii="Arial" w:cs="Arial" w:eastAsia="Arial" w:hAnsi="Arial"/>
          <w:sz w:val="15"/>
          <w:szCs w:val="15"/>
          <w:i w:val="1"/>
          <w:iCs w:val="1"/>
          <w:color w:val="auto"/>
        </w:rPr>
        <w:t xml:space="preserve"> </w:t>
      </w:r>
      <w:r>
        <w:rPr>
          <w:rFonts w:ascii="Arial" w:cs="Arial" w:eastAsia="Arial" w:hAnsi="Arial"/>
          <w:sz w:val="15"/>
          <w:szCs w:val="15"/>
          <w:color w:val="auto"/>
        </w:rPr>
        <w:t>accumulated by the participant during any offering period will be used to purchase shares of our Class A common stock at the end of each purchase period established by our Board of Directors. The purchase price of the shares will be 85% of the lower of the fair market value of our Class A common stock on the first trading day of each offering period or on the exercise date. Participants may end their participation at any time during an offering period and will be paid their accrued contributions that have not yet been used to purchase shares of our Class A common stock. Participation ends automatically upon termination of employment with us.</w:t>
      </w:r>
    </w:p>
    <w:p>
      <w:pPr>
        <w:spacing w:after="0" w:line="164" w:lineRule="exact"/>
        <w:rPr>
          <w:sz w:val="20"/>
          <w:szCs w:val="20"/>
          <w:color w:val="auto"/>
        </w:rPr>
      </w:pPr>
    </w:p>
    <w:p>
      <w:pPr>
        <w:ind w:left="1120" w:right="60" w:firstLine="368"/>
        <w:spacing w:after="0" w:line="275" w:lineRule="auto"/>
        <w:rPr>
          <w:sz w:val="20"/>
          <w:szCs w:val="20"/>
          <w:color w:val="auto"/>
        </w:rPr>
      </w:pPr>
      <w:r>
        <w:rPr>
          <w:rFonts w:ascii="Arial" w:cs="Arial" w:eastAsia="Arial" w:hAnsi="Arial"/>
          <w:sz w:val="15"/>
          <w:szCs w:val="15"/>
          <w:i w:val="1"/>
          <w:iCs w:val="1"/>
          <w:color w:val="auto"/>
        </w:rPr>
        <w:t>Non-transferability</w:t>
      </w:r>
      <w:r>
        <w:rPr>
          <w:rFonts w:ascii="Arial" w:cs="Arial" w:eastAsia="Arial" w:hAnsi="Arial"/>
          <w:sz w:val="15"/>
          <w:szCs w:val="15"/>
          <w:color w:val="auto"/>
        </w:rPr>
        <w:t>. A participant may not transfer rights granted under our ESPP. If our compensation committee permits the transfer of rights, it</w:t>
      </w:r>
      <w:r>
        <w:rPr>
          <w:rFonts w:ascii="Arial" w:cs="Arial" w:eastAsia="Arial" w:hAnsi="Arial"/>
          <w:sz w:val="15"/>
          <w:szCs w:val="15"/>
          <w:i w:val="1"/>
          <w:iCs w:val="1"/>
          <w:color w:val="auto"/>
        </w:rPr>
        <w:t xml:space="preserve"> </w:t>
      </w:r>
      <w:r>
        <w:rPr>
          <w:rFonts w:ascii="Arial" w:cs="Arial" w:eastAsia="Arial" w:hAnsi="Arial"/>
          <w:sz w:val="15"/>
          <w:szCs w:val="15"/>
          <w:color w:val="auto"/>
        </w:rPr>
        <w:t>may only be done by will, the laws of descent and distribution, or as otherwise provided under our ESPP.</w:t>
      </w:r>
    </w:p>
    <w:p>
      <w:pPr>
        <w:spacing w:after="0" w:line="146" w:lineRule="exact"/>
        <w:rPr>
          <w:sz w:val="20"/>
          <w:szCs w:val="20"/>
          <w:color w:val="auto"/>
        </w:rPr>
      </w:pPr>
    </w:p>
    <w:p>
      <w:pPr>
        <w:ind w:left="1120" w:right="100" w:firstLine="368"/>
        <w:spacing w:after="0" w:line="305" w:lineRule="auto"/>
        <w:rPr>
          <w:sz w:val="20"/>
          <w:szCs w:val="20"/>
          <w:color w:val="auto"/>
        </w:rPr>
      </w:pPr>
      <w:r>
        <w:rPr>
          <w:rFonts w:ascii="Arial" w:cs="Arial" w:eastAsia="Arial" w:hAnsi="Arial"/>
          <w:sz w:val="13"/>
          <w:szCs w:val="13"/>
          <w:i w:val="1"/>
          <w:iCs w:val="1"/>
          <w:color w:val="auto"/>
        </w:rPr>
        <w:t>Merger or change in control</w:t>
      </w:r>
      <w:r>
        <w:rPr>
          <w:rFonts w:ascii="Arial" w:cs="Arial" w:eastAsia="Arial" w:hAnsi="Arial"/>
          <w:sz w:val="13"/>
          <w:szCs w:val="13"/>
          <w:color w:val="auto"/>
        </w:rPr>
        <w:t>. Our ESPP provides that in the event of a merger or change in control, as defined under our ESPP, a successor</w:t>
      </w:r>
      <w:r>
        <w:rPr>
          <w:rFonts w:ascii="Arial" w:cs="Arial" w:eastAsia="Arial" w:hAnsi="Arial"/>
          <w:sz w:val="13"/>
          <w:szCs w:val="13"/>
          <w:i w:val="1"/>
          <w:iCs w:val="1"/>
          <w:color w:val="auto"/>
        </w:rPr>
        <w:t xml:space="preserve"> </w:t>
      </w:r>
      <w:r>
        <w:rPr>
          <w:rFonts w:ascii="Arial" w:cs="Arial" w:eastAsia="Arial" w:hAnsi="Arial"/>
          <w:sz w:val="13"/>
          <w:szCs w:val="13"/>
          <w:color w:val="auto"/>
        </w:rPr>
        <w:t>corporation may assume or substitute each outstanding purchase right. If the successor corporation refuses to assume or substitute for the outstanding purchase right, the offering period then in progress will be shortened, and a new exercise date will be set that will be before the date of the proposed merger or change in control. The administrator will notify each participant that the exercise date has been changed and that the participant’s option will be exercised automatically on the new exercise date unless prior to such date the participant has withdrawn from the offering period.</w:t>
      </w:r>
    </w:p>
    <w:p>
      <w:pPr>
        <w:spacing w:after="0" w:line="76" w:lineRule="exact"/>
        <w:rPr>
          <w:sz w:val="20"/>
          <w:szCs w:val="20"/>
          <w:color w:val="auto"/>
        </w:rPr>
      </w:pPr>
    </w:p>
    <w:p>
      <w:pPr>
        <w:ind w:left="5600"/>
        <w:spacing w:after="0"/>
        <w:rPr>
          <w:sz w:val="20"/>
          <w:szCs w:val="20"/>
          <w:color w:val="auto"/>
        </w:rPr>
      </w:pPr>
      <w:r>
        <w:rPr>
          <w:rFonts w:ascii="Arial" w:cs="Arial" w:eastAsia="Arial" w:hAnsi="Arial"/>
          <w:sz w:val="15"/>
          <w:szCs w:val="15"/>
          <w:color w:val="auto"/>
        </w:rPr>
        <w:t>155</w:t>
      </w:r>
    </w:p>
    <w:p>
      <w:pPr>
        <w:sectPr>
          <w:pgSz w:w="11900" w:h="16838" w:orient="portrait"/>
          <w:cols w:equalWidth="0" w:num="1">
            <w:col w:w="10300"/>
          </w:cols>
          <w:pgMar w:left="240" w:top="408" w:right="1359" w:bottom="1440" w:gutter="0" w:footer="0" w:header="0"/>
        </w:sectPr>
      </w:pPr>
    </w:p>
    <w:bookmarkStart w:id="162" w:name="page163"/>
    <w:bookmarkEnd w:id="162"/>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133350</wp:posOffset>
            </wp:positionH>
            <wp:positionV relativeFrom="page">
              <wp:posOffset>88900</wp:posOffset>
            </wp:positionV>
            <wp:extent cx="7308850" cy="3429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308850" cy="34290"/>
                    </a:xfrm>
                    <a:prstGeom prst="rect">
                      <a:avLst/>
                    </a:prstGeom>
                    <a:noFill/>
                  </pic:spPr>
                </pic:pic>
              </a:graphicData>
            </a:graphic>
          </wp:anchor>
        </w:drawing>
      </w:r>
      <w:hyperlink w:anchor="page7">
        <w:r>
          <w:rPr>
            <w:rFonts w:ascii="Arial" w:cs="Arial" w:eastAsia="Arial" w:hAnsi="Arial"/>
            <w:sz w:val="15"/>
            <w:szCs w:val="15"/>
            <w:b w:val="1"/>
            <w:bCs w:val="1"/>
            <w:u w:val="single" w:color="auto"/>
            <w:color w:val="0000EE"/>
          </w:rPr>
          <w:t>Table of Contents</w:t>
        </w:r>
      </w:hyperlink>
    </w:p>
    <w:p>
      <w:pPr>
        <w:spacing w:after="0" w:line="260" w:lineRule="exact"/>
        <w:rPr>
          <w:sz w:val="20"/>
          <w:szCs w:val="20"/>
          <w:color w:val="auto"/>
        </w:rPr>
      </w:pPr>
    </w:p>
    <w:p>
      <w:pPr>
        <w:jc w:val="both"/>
        <w:ind w:left="1120" w:right="20" w:firstLine="368"/>
        <w:spacing w:after="0" w:line="263" w:lineRule="auto"/>
        <w:rPr>
          <w:sz w:val="20"/>
          <w:szCs w:val="20"/>
          <w:color w:val="auto"/>
        </w:rPr>
      </w:pPr>
      <w:r>
        <w:rPr>
          <w:rFonts w:ascii="Arial" w:cs="Arial" w:eastAsia="Arial" w:hAnsi="Arial"/>
          <w:sz w:val="15"/>
          <w:szCs w:val="15"/>
          <w:i w:val="1"/>
          <w:iCs w:val="1"/>
          <w:color w:val="auto"/>
        </w:rPr>
        <w:t>Amendment; termination</w:t>
      </w:r>
      <w:r>
        <w:rPr>
          <w:rFonts w:ascii="Arial" w:cs="Arial" w:eastAsia="Arial" w:hAnsi="Arial"/>
          <w:sz w:val="15"/>
          <w:szCs w:val="15"/>
          <w:color w:val="auto"/>
        </w:rPr>
        <w:t>. The administrator has the authority to amend, suspend, or terminate our ESPP, except that, subject to certain exceptions</w:t>
      </w:r>
      <w:r>
        <w:rPr>
          <w:rFonts w:ascii="Arial" w:cs="Arial" w:eastAsia="Arial" w:hAnsi="Arial"/>
          <w:sz w:val="15"/>
          <w:szCs w:val="15"/>
          <w:i w:val="1"/>
          <w:iCs w:val="1"/>
          <w:color w:val="auto"/>
        </w:rPr>
        <w:t xml:space="preserve"> </w:t>
      </w:r>
      <w:r>
        <w:rPr>
          <w:rFonts w:ascii="Arial" w:cs="Arial" w:eastAsia="Arial" w:hAnsi="Arial"/>
          <w:sz w:val="15"/>
          <w:szCs w:val="15"/>
          <w:color w:val="auto"/>
        </w:rPr>
        <w:t>described in our ESPP, no such action may adversely affect any outstanding rights to purchase shares of our Class A common stock under our ESPP. Our ESPP automatically will terminate in 2038, unless we terminate it sooner.</w:t>
      </w:r>
    </w:p>
    <w:p>
      <w:pPr>
        <w:spacing w:after="0" w:line="245" w:lineRule="exact"/>
        <w:rPr>
          <w:sz w:val="20"/>
          <w:szCs w:val="20"/>
          <w:color w:val="auto"/>
        </w:rPr>
      </w:pPr>
    </w:p>
    <w:p>
      <w:pPr>
        <w:ind w:left="1480"/>
        <w:spacing w:after="0"/>
        <w:rPr>
          <w:sz w:val="20"/>
          <w:szCs w:val="20"/>
          <w:color w:val="auto"/>
        </w:rPr>
      </w:pPr>
      <w:r>
        <w:rPr>
          <w:rFonts w:ascii="Arial" w:cs="Arial" w:eastAsia="Arial" w:hAnsi="Arial"/>
          <w:sz w:val="15"/>
          <w:szCs w:val="15"/>
          <w:b w:val="1"/>
          <w:bCs w:val="1"/>
          <w:i w:val="1"/>
          <w:iCs w:val="1"/>
          <w:color w:val="auto"/>
        </w:rPr>
        <w:t>2018 Class C Employee Stock Purchase Plan</w:t>
      </w:r>
    </w:p>
    <w:p>
      <w:pPr>
        <w:spacing w:after="0" w:line="98" w:lineRule="exact"/>
        <w:rPr>
          <w:sz w:val="20"/>
          <w:szCs w:val="20"/>
          <w:color w:val="auto"/>
        </w:rPr>
      </w:pPr>
    </w:p>
    <w:p>
      <w:pPr>
        <w:ind w:left="1120" w:firstLine="368"/>
        <w:spacing w:after="0" w:line="274" w:lineRule="auto"/>
        <w:rPr>
          <w:sz w:val="20"/>
          <w:szCs w:val="20"/>
          <w:color w:val="auto"/>
        </w:rPr>
      </w:pPr>
      <w:r>
        <w:rPr>
          <w:rFonts w:ascii="Arial" w:cs="Arial" w:eastAsia="Arial" w:hAnsi="Arial"/>
          <w:sz w:val="14"/>
          <w:szCs w:val="14"/>
          <w:color w:val="auto"/>
        </w:rPr>
        <w:t>In February 2018, our Board of Directors adopted, and in March 2018 our stockholders approved, our 2018 Class C ESPP. Our 2018 Class C ESPP will be effective on the business day immediately prior to the effective date of our registration statement related to this offering. No offering period or purchase period under the ESPP will begin unless and until determined by our Board of Directors. A total of 4,136,832 shares of our Class C common stock will be reserved for sale pursuant to our 2018 Class C ESPP. The number of shares available for sale under our 2018 Class C ESPP will be increased on the first day of each fiscal year beginning for the fiscal year following the commencement of the first offering period under our 2018 Class C ESPP, in an amount equal to the least of (i) 4,136,832 shares of our Class C common stock, (ii) one and a half percent (1.5%) of the outstanding shares of our Class C common stock on the last day of the immediately preceding fiscal year or (iii) such number of shares of our Class C common stock determined by our Board of Directors. Our 2018 Class C ESPP will include the same terms and conditions as those described above for our ESPP. Our 2018 Class C ESPP will automatically terminate in 2038, unless we terminate it sooner.</w:t>
      </w:r>
    </w:p>
    <w:p>
      <w:pPr>
        <w:spacing w:after="0" w:line="241" w:lineRule="exact"/>
        <w:rPr>
          <w:sz w:val="20"/>
          <w:szCs w:val="20"/>
          <w:color w:val="auto"/>
        </w:rPr>
      </w:pPr>
    </w:p>
    <w:p>
      <w:pPr>
        <w:ind w:left="1480"/>
        <w:spacing w:after="0"/>
        <w:rPr>
          <w:sz w:val="20"/>
          <w:szCs w:val="20"/>
          <w:color w:val="auto"/>
        </w:rPr>
      </w:pPr>
      <w:r>
        <w:rPr>
          <w:rFonts w:ascii="Arial" w:cs="Arial" w:eastAsia="Arial" w:hAnsi="Arial"/>
          <w:sz w:val="15"/>
          <w:szCs w:val="15"/>
          <w:b w:val="1"/>
          <w:bCs w:val="1"/>
          <w:i w:val="1"/>
          <w:iCs w:val="1"/>
          <w:color w:val="auto"/>
        </w:rPr>
        <w:t>2017 Equity Incentive Plan</w:t>
      </w:r>
    </w:p>
    <w:p>
      <w:pPr>
        <w:spacing w:after="0" w:line="98" w:lineRule="exact"/>
        <w:rPr>
          <w:sz w:val="20"/>
          <w:szCs w:val="20"/>
          <w:color w:val="auto"/>
        </w:rPr>
      </w:pPr>
    </w:p>
    <w:p>
      <w:pPr>
        <w:ind w:left="1120" w:right="140" w:firstLine="368"/>
        <w:spacing w:after="0" w:line="263" w:lineRule="auto"/>
        <w:rPr>
          <w:sz w:val="20"/>
          <w:szCs w:val="20"/>
          <w:color w:val="auto"/>
        </w:rPr>
      </w:pPr>
      <w:r>
        <w:rPr>
          <w:rFonts w:ascii="Arial" w:cs="Arial" w:eastAsia="Arial" w:hAnsi="Arial"/>
          <w:sz w:val="15"/>
          <w:szCs w:val="15"/>
          <w:color w:val="auto"/>
        </w:rPr>
        <w:t>Our Board of Directors and stockholders adopted our 2017 Plan on March 8, 2017. Our 2017 Plan allows for the grant of incentive stock options to our employees, and for the grant of nonqualified stock options and restricted stock awards, RSUs, and stock appreciation rights to employees, officers, directors, and certain of our consultants.</w:t>
      </w:r>
    </w:p>
    <w:p>
      <w:pPr>
        <w:spacing w:after="0" w:line="155" w:lineRule="exact"/>
        <w:rPr>
          <w:sz w:val="20"/>
          <w:szCs w:val="20"/>
          <w:color w:val="auto"/>
        </w:rPr>
      </w:pPr>
    </w:p>
    <w:p>
      <w:pPr>
        <w:ind w:left="1120" w:right="140" w:firstLine="368"/>
        <w:spacing w:after="0" w:line="283" w:lineRule="auto"/>
        <w:rPr>
          <w:sz w:val="20"/>
          <w:szCs w:val="20"/>
          <w:color w:val="auto"/>
        </w:rPr>
      </w:pPr>
      <w:r>
        <w:rPr>
          <w:rFonts w:ascii="Arial" w:cs="Arial" w:eastAsia="Arial" w:hAnsi="Arial"/>
          <w:sz w:val="14"/>
          <w:szCs w:val="14"/>
          <w:i w:val="1"/>
          <w:iCs w:val="1"/>
          <w:color w:val="auto"/>
        </w:rPr>
        <w:t>Authorized shares</w:t>
      </w:r>
      <w:r>
        <w:rPr>
          <w:rFonts w:ascii="Arial" w:cs="Arial" w:eastAsia="Arial" w:hAnsi="Arial"/>
          <w:sz w:val="14"/>
          <w:szCs w:val="14"/>
          <w:color w:val="auto"/>
        </w:rPr>
        <w:t>. Our 2017 Plan will be terminated immediately prior to the effectiveness of our 2018 Plan, and accordingly, no shares will be</w:t>
      </w:r>
      <w:r>
        <w:rPr>
          <w:rFonts w:ascii="Arial" w:cs="Arial" w:eastAsia="Arial" w:hAnsi="Arial"/>
          <w:sz w:val="14"/>
          <w:szCs w:val="14"/>
          <w:i w:val="1"/>
          <w:iCs w:val="1"/>
          <w:color w:val="auto"/>
        </w:rPr>
        <w:t xml:space="preserve"> </w:t>
      </w:r>
      <w:r>
        <w:rPr>
          <w:rFonts w:ascii="Arial" w:cs="Arial" w:eastAsia="Arial" w:hAnsi="Arial"/>
          <w:sz w:val="14"/>
          <w:szCs w:val="14"/>
          <w:color w:val="auto"/>
        </w:rPr>
        <w:t>available for issuance under the 2017 Plan following its termination. Our 2017 Plan will continue to govern outstanding awards granted thereunder. As of December 31, 2017, 8,979,801 shares of our Class A common stock were reserved for future issuance under our 2017 Plan and RSUs covering 16,707,823 shares of our Class A common stock remained outstanding under our 2017 Plan.</w:t>
      </w:r>
    </w:p>
    <w:p>
      <w:pPr>
        <w:spacing w:after="0" w:line="143" w:lineRule="exact"/>
        <w:rPr>
          <w:sz w:val="20"/>
          <w:szCs w:val="20"/>
          <w:color w:val="auto"/>
        </w:rPr>
      </w:pPr>
    </w:p>
    <w:p>
      <w:pPr>
        <w:ind w:left="1120" w:right="80" w:firstLine="368"/>
        <w:spacing w:after="0" w:line="273" w:lineRule="auto"/>
        <w:rPr>
          <w:sz w:val="20"/>
          <w:szCs w:val="20"/>
          <w:color w:val="auto"/>
        </w:rPr>
      </w:pPr>
      <w:r>
        <w:rPr>
          <w:rFonts w:ascii="Arial" w:cs="Arial" w:eastAsia="Arial" w:hAnsi="Arial"/>
          <w:sz w:val="14"/>
          <w:szCs w:val="14"/>
          <w:i w:val="1"/>
          <w:iCs w:val="1"/>
          <w:color w:val="auto"/>
        </w:rPr>
        <w:t>Plan administration</w:t>
      </w:r>
      <w:r>
        <w:rPr>
          <w:rFonts w:ascii="Arial" w:cs="Arial" w:eastAsia="Arial" w:hAnsi="Arial"/>
          <w:sz w:val="14"/>
          <w:szCs w:val="14"/>
          <w:color w:val="auto"/>
        </w:rPr>
        <w:t>. Our Board of Directors or one or more committees appointed by our Board of Directors may administer our 2017 Plan. Our</w:t>
      </w:r>
      <w:r>
        <w:rPr>
          <w:rFonts w:ascii="Arial" w:cs="Arial" w:eastAsia="Arial" w:hAnsi="Arial"/>
          <w:sz w:val="14"/>
          <w:szCs w:val="14"/>
          <w:i w:val="1"/>
          <w:iCs w:val="1"/>
          <w:color w:val="auto"/>
        </w:rPr>
        <w:t xml:space="preserve"> </w:t>
      </w:r>
      <w:r>
        <w:rPr>
          <w:rFonts w:ascii="Arial" w:cs="Arial" w:eastAsia="Arial" w:hAnsi="Arial"/>
          <w:sz w:val="14"/>
          <w:szCs w:val="14"/>
          <w:color w:val="auto"/>
        </w:rPr>
        <w:t>compensation committee currently administers our 2017 Plan. Subject to the provisions of our 2017 Plan, the administrator has the power to construe and interpret our 2017 Plan and any agreement thereunder and to determine the form and terms of awards (including the participants), the number of shares subject to each award, the exercise price (if any), the fair market value of a share of our Class A common stock, if such stock is not publicly-traded, listed, or admitted to trading on a national securities exchange, nor reported in any newspaper or other source, the vesting, exercisability, and payment of awards granted under our 2017 Plan, whether an award has been earned, and whether awards will be granted singly, in combination with, in tandem with, in replacement of, or as alternatives to, other awards. The administrator may correct, prescribe, amend, expand, modify, rescind, or terminate rules and regulations relating to our 2017 Plan. The administrator may, at any time, authorize the issuance of new awards in exchange for the surrender and cancellation of any or all outstanding awards with the consent of a participant. The administrator may also buy out an award previously granted for cash, shares, or other consideration as the administrator and the participant may agree.</w:t>
      </w:r>
    </w:p>
    <w:p>
      <w:pPr>
        <w:spacing w:after="0" w:line="154" w:lineRule="exact"/>
        <w:rPr>
          <w:sz w:val="20"/>
          <w:szCs w:val="20"/>
          <w:color w:val="auto"/>
        </w:rPr>
      </w:pPr>
    </w:p>
    <w:p>
      <w:pPr>
        <w:ind w:left="1120" w:right="20" w:firstLine="368"/>
        <w:spacing w:after="0" w:line="322" w:lineRule="auto"/>
        <w:rPr>
          <w:sz w:val="20"/>
          <w:szCs w:val="20"/>
          <w:color w:val="auto"/>
        </w:rPr>
      </w:pPr>
      <w:r>
        <w:rPr>
          <w:rFonts w:ascii="Arial" w:cs="Arial" w:eastAsia="Arial" w:hAnsi="Arial"/>
          <w:sz w:val="13"/>
          <w:szCs w:val="13"/>
          <w:i w:val="1"/>
          <w:iCs w:val="1"/>
          <w:color w:val="auto"/>
        </w:rPr>
        <w:t>Options</w:t>
      </w:r>
      <w:r>
        <w:rPr>
          <w:rFonts w:ascii="Arial" w:cs="Arial" w:eastAsia="Arial" w:hAnsi="Arial"/>
          <w:sz w:val="13"/>
          <w:szCs w:val="13"/>
          <w:color w:val="auto"/>
        </w:rPr>
        <w:t>. Stock options may be granted under our 2017 Plan. The exercise price per share of all options must equal at least the fair market value</w:t>
      </w:r>
      <w:r>
        <w:rPr>
          <w:rFonts w:ascii="Arial" w:cs="Arial" w:eastAsia="Arial" w:hAnsi="Arial"/>
          <w:sz w:val="13"/>
          <w:szCs w:val="13"/>
          <w:i w:val="1"/>
          <w:iCs w:val="1"/>
          <w:color w:val="auto"/>
        </w:rPr>
        <w:t xml:space="preserve"> </w:t>
      </w:r>
      <w:r>
        <w:rPr>
          <w:rFonts w:ascii="Arial" w:cs="Arial" w:eastAsia="Arial" w:hAnsi="Arial"/>
          <w:sz w:val="13"/>
          <w:szCs w:val="13"/>
          <w:color w:val="auto"/>
        </w:rPr>
        <w:t>per share of our Class A common stock on the date of grant, unless otherwise expressly determined in writing by the administrator on the grant date. The term of an option may not exceed ten years. An incentive stock option granted to a participant who owns more than 10% of the total combined voting</w:t>
      </w:r>
    </w:p>
    <w:p>
      <w:pPr>
        <w:spacing w:after="0" w:line="64" w:lineRule="exact"/>
        <w:rPr>
          <w:sz w:val="20"/>
          <w:szCs w:val="20"/>
          <w:color w:val="auto"/>
        </w:rPr>
      </w:pPr>
    </w:p>
    <w:p>
      <w:pPr>
        <w:ind w:left="5600"/>
        <w:spacing w:after="0"/>
        <w:rPr>
          <w:sz w:val="20"/>
          <w:szCs w:val="20"/>
          <w:color w:val="auto"/>
        </w:rPr>
      </w:pPr>
      <w:r>
        <w:rPr>
          <w:rFonts w:ascii="Arial" w:cs="Arial" w:eastAsia="Arial" w:hAnsi="Arial"/>
          <w:sz w:val="15"/>
          <w:szCs w:val="15"/>
          <w:color w:val="auto"/>
        </w:rPr>
        <w:t>156</w:t>
      </w:r>
    </w:p>
    <w:p>
      <w:pPr>
        <w:sectPr>
          <w:pgSz w:w="11900" w:h="16838" w:orient="portrait"/>
          <w:cols w:equalWidth="0" w:num="1">
            <w:col w:w="10320"/>
          </w:cols>
          <w:pgMar w:left="240" w:top="408" w:right="1339" w:bottom="1440" w:gutter="0" w:footer="0" w:header="0"/>
        </w:sectPr>
      </w:pPr>
    </w:p>
    <w:bookmarkStart w:id="163" w:name="page164"/>
    <w:bookmarkEnd w:id="163"/>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133350</wp:posOffset>
            </wp:positionH>
            <wp:positionV relativeFrom="page">
              <wp:posOffset>88900</wp:posOffset>
            </wp:positionV>
            <wp:extent cx="7308850" cy="3429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308850" cy="34290"/>
                    </a:xfrm>
                    <a:prstGeom prst="rect">
                      <a:avLst/>
                    </a:prstGeom>
                    <a:noFill/>
                  </pic:spPr>
                </pic:pic>
              </a:graphicData>
            </a:graphic>
          </wp:anchor>
        </w:drawing>
      </w:r>
      <w:hyperlink w:anchor="page7">
        <w:r>
          <w:rPr>
            <w:rFonts w:ascii="Arial" w:cs="Arial" w:eastAsia="Arial" w:hAnsi="Arial"/>
            <w:sz w:val="15"/>
            <w:szCs w:val="15"/>
            <w:b w:val="1"/>
            <w:bCs w:val="1"/>
            <w:u w:val="single" w:color="auto"/>
            <w:color w:val="0000EE"/>
          </w:rPr>
          <w:t>Table of Contents</w:t>
        </w:r>
      </w:hyperlink>
    </w:p>
    <w:p>
      <w:pPr>
        <w:spacing w:after="0" w:line="260" w:lineRule="exact"/>
        <w:rPr>
          <w:sz w:val="20"/>
          <w:szCs w:val="20"/>
          <w:color w:val="auto"/>
        </w:rPr>
      </w:pPr>
    </w:p>
    <w:p>
      <w:pPr>
        <w:ind w:left="1120"/>
        <w:spacing w:after="0" w:line="275" w:lineRule="auto"/>
        <w:rPr>
          <w:sz w:val="20"/>
          <w:szCs w:val="20"/>
          <w:color w:val="auto"/>
        </w:rPr>
      </w:pPr>
      <w:r>
        <w:rPr>
          <w:rFonts w:ascii="Arial" w:cs="Arial" w:eastAsia="Arial" w:hAnsi="Arial"/>
          <w:sz w:val="14"/>
          <w:szCs w:val="14"/>
          <w:color w:val="auto"/>
        </w:rPr>
        <w:t>power of all classes of our stock on the date of grant, or any parent or subsidiary corporations, may not have a term in excess of five years and must have an exercise price of at least 110% of the fair market value per share of our common stock on the grant date. The methods of payment of the exercise price of an option include cash (by check) or shares or certain other property or other consideration acceptable to the administrator and otherwise permitted under our 2017 Plan. After a participant’s termination of service for reasons other than for death, disability, or cause, the participant generally may exercise his or her options, to the extent vested as of such date of termination, for three months after termination. After a participant’s termination of service for death or disability, the option generally will remain exercisable, to the extent vested as of such date of termination, for 12 months after such termination. In no event may an option be exercised later than the expiration of its term. After a participant’s termination of service for cause, the option generally will expire on the date of such termination.</w:t>
      </w:r>
    </w:p>
    <w:p>
      <w:pPr>
        <w:spacing w:after="0" w:line="148" w:lineRule="exact"/>
        <w:rPr>
          <w:sz w:val="20"/>
          <w:szCs w:val="20"/>
          <w:color w:val="auto"/>
        </w:rPr>
      </w:pPr>
    </w:p>
    <w:p>
      <w:pPr>
        <w:ind w:left="1120" w:right="20" w:firstLine="368"/>
        <w:spacing w:after="0" w:line="259" w:lineRule="auto"/>
        <w:rPr>
          <w:sz w:val="20"/>
          <w:szCs w:val="20"/>
          <w:color w:val="auto"/>
        </w:rPr>
      </w:pPr>
      <w:r>
        <w:rPr>
          <w:rFonts w:ascii="Arial" w:cs="Arial" w:eastAsia="Arial" w:hAnsi="Arial"/>
          <w:sz w:val="15"/>
          <w:szCs w:val="15"/>
          <w:i w:val="1"/>
          <w:iCs w:val="1"/>
          <w:color w:val="auto"/>
        </w:rPr>
        <w:t>Restricted stock</w:t>
      </w:r>
      <w:r>
        <w:rPr>
          <w:rFonts w:ascii="Arial" w:cs="Arial" w:eastAsia="Arial" w:hAnsi="Arial"/>
          <w:sz w:val="15"/>
          <w:szCs w:val="15"/>
          <w:color w:val="auto"/>
        </w:rPr>
        <w:t>. Restricted stock awards may be granted under our 2017 Plan. Restricted stock awards are offers by us to sell to an eligible person</w:t>
      </w:r>
      <w:r>
        <w:rPr>
          <w:rFonts w:ascii="Arial" w:cs="Arial" w:eastAsia="Arial" w:hAnsi="Arial"/>
          <w:sz w:val="15"/>
          <w:szCs w:val="15"/>
          <w:i w:val="1"/>
          <w:iCs w:val="1"/>
          <w:color w:val="auto"/>
        </w:rPr>
        <w:t xml:space="preserve"> </w:t>
      </w:r>
      <w:r>
        <w:rPr>
          <w:rFonts w:ascii="Arial" w:cs="Arial" w:eastAsia="Arial" w:hAnsi="Arial"/>
          <w:sz w:val="15"/>
          <w:szCs w:val="15"/>
          <w:color w:val="auto"/>
        </w:rPr>
        <w:t>shares that are subject to certain specified restrictions, including restrictions on transferability and forfeiture provisions. Restricted stock awards will be entitled to receive all dividends or other distributions paid with respect to such shares, unless the administrator provides otherwise at the time of the award.</w:t>
      </w:r>
    </w:p>
    <w:p>
      <w:pPr>
        <w:spacing w:after="0" w:line="158" w:lineRule="exact"/>
        <w:rPr>
          <w:sz w:val="20"/>
          <w:szCs w:val="20"/>
          <w:color w:val="auto"/>
        </w:rPr>
      </w:pPr>
    </w:p>
    <w:p>
      <w:pPr>
        <w:jc w:val="both"/>
        <w:ind w:left="1120" w:right="140" w:firstLine="368"/>
        <w:spacing w:after="0" w:line="257" w:lineRule="auto"/>
        <w:rPr>
          <w:sz w:val="20"/>
          <w:szCs w:val="20"/>
          <w:color w:val="auto"/>
        </w:rPr>
      </w:pPr>
      <w:r>
        <w:rPr>
          <w:rFonts w:ascii="Arial" w:cs="Arial" w:eastAsia="Arial" w:hAnsi="Arial"/>
          <w:sz w:val="15"/>
          <w:szCs w:val="15"/>
          <w:i w:val="1"/>
          <w:iCs w:val="1"/>
          <w:color w:val="auto"/>
        </w:rPr>
        <w:t>RSUs</w:t>
      </w:r>
      <w:r>
        <w:rPr>
          <w:rFonts w:ascii="Arial" w:cs="Arial" w:eastAsia="Arial" w:hAnsi="Arial"/>
          <w:sz w:val="15"/>
          <w:szCs w:val="15"/>
          <w:color w:val="auto"/>
        </w:rPr>
        <w:t>. RSUs may be granted under our 2017 Plan. RSUs are awards covering a number of shares that may be settled in cash, or by issue of those</w:t>
      </w:r>
      <w:r>
        <w:rPr>
          <w:rFonts w:ascii="Arial" w:cs="Arial" w:eastAsia="Arial" w:hAnsi="Arial"/>
          <w:sz w:val="15"/>
          <w:szCs w:val="15"/>
          <w:i w:val="1"/>
          <w:iCs w:val="1"/>
          <w:color w:val="auto"/>
        </w:rPr>
        <w:t xml:space="preserve"> </w:t>
      </w:r>
      <w:r>
        <w:rPr>
          <w:rFonts w:ascii="Arial" w:cs="Arial" w:eastAsia="Arial" w:hAnsi="Arial"/>
          <w:sz w:val="15"/>
          <w:szCs w:val="15"/>
          <w:color w:val="auto"/>
        </w:rPr>
        <w:t>shares at a date in the future. No purchase price shall apply to an RSU settled in shares. The administrator may permit an RSU holder to defer payment under an RSU to a date or dates after the RSU is earned subject to certain restrictions set forth in our 2017 Plan. The administrator may permit holders of RSUs to receive dividend equivalent payments on outstanding RSUs if and when dividends are paid to stockholders in accordance with the terms of our 2017 Plan.</w:t>
      </w:r>
    </w:p>
    <w:p>
      <w:pPr>
        <w:spacing w:after="0" w:line="159" w:lineRule="exact"/>
        <w:rPr>
          <w:sz w:val="20"/>
          <w:szCs w:val="20"/>
          <w:color w:val="auto"/>
        </w:rPr>
      </w:pPr>
    </w:p>
    <w:p>
      <w:pPr>
        <w:ind w:left="1120" w:right="20" w:firstLine="368"/>
        <w:spacing w:after="0" w:line="254" w:lineRule="auto"/>
        <w:rPr>
          <w:sz w:val="20"/>
          <w:szCs w:val="20"/>
          <w:color w:val="auto"/>
        </w:rPr>
      </w:pPr>
      <w:r>
        <w:rPr>
          <w:rFonts w:ascii="Arial" w:cs="Arial" w:eastAsia="Arial" w:hAnsi="Arial"/>
          <w:sz w:val="15"/>
          <w:szCs w:val="15"/>
          <w:i w:val="1"/>
          <w:iCs w:val="1"/>
          <w:color w:val="auto"/>
        </w:rPr>
        <w:t>Stock appreciation rights</w:t>
      </w:r>
      <w:r>
        <w:rPr>
          <w:rFonts w:ascii="Arial" w:cs="Arial" w:eastAsia="Arial" w:hAnsi="Arial"/>
          <w:sz w:val="15"/>
          <w:szCs w:val="15"/>
          <w:b w:val="1"/>
          <w:bCs w:val="1"/>
          <w:i w:val="1"/>
          <w:iCs w:val="1"/>
          <w:color w:val="auto"/>
        </w:rPr>
        <w:t>.</w:t>
      </w:r>
      <w:r>
        <w:rPr>
          <w:rFonts w:ascii="Arial" w:cs="Arial" w:eastAsia="Arial" w:hAnsi="Arial"/>
          <w:sz w:val="15"/>
          <w:szCs w:val="15"/>
          <w:i w:val="1"/>
          <w:iCs w:val="1"/>
          <w:color w:val="auto"/>
        </w:rPr>
        <w:t xml:space="preserve"> </w:t>
      </w:r>
      <w:r>
        <w:rPr>
          <w:rFonts w:ascii="Arial" w:cs="Arial" w:eastAsia="Arial" w:hAnsi="Arial"/>
          <w:sz w:val="15"/>
          <w:szCs w:val="15"/>
          <w:color w:val="auto"/>
        </w:rPr>
        <w:t>Stock appreciation rights may be granted under our 2017 Plan. Stock appreciation rights allow the participant to receive</w:t>
      </w:r>
      <w:r>
        <w:rPr>
          <w:rFonts w:ascii="Arial" w:cs="Arial" w:eastAsia="Arial" w:hAnsi="Arial"/>
          <w:sz w:val="15"/>
          <w:szCs w:val="15"/>
          <w:i w:val="1"/>
          <w:iCs w:val="1"/>
          <w:color w:val="auto"/>
        </w:rPr>
        <w:t xml:space="preserve"> </w:t>
      </w:r>
      <w:r>
        <w:rPr>
          <w:rFonts w:ascii="Arial" w:cs="Arial" w:eastAsia="Arial" w:hAnsi="Arial"/>
          <w:sz w:val="15"/>
          <w:szCs w:val="15"/>
          <w:color w:val="auto"/>
        </w:rPr>
        <w:t>the appreciation in the fair market value of Class A common stock between the exercise date and the date of grant. Subject to the provisions of our 2017 Plan, the administrator determines the terms of stock appreciation rights, including when such rights become exercisable and whether to pay any increased appreciation in cash or shares. The per share exercise price for the shares to be issued pursuant to the exercise of a stock appreciation right must equal at least the fair market value per share of our Class A common stock on the date of grant. The term of a stock appreciation right may not exceed 10 years from the date the stock appreciation right is signed. The administrator will determine the period of time after a participant’s termination of service during which the participant may exercise his or her stock appreciation right, subject to the same terms and conditions as applicable to options as described above.</w:t>
      </w:r>
    </w:p>
    <w:p>
      <w:pPr>
        <w:spacing w:after="0" w:line="164" w:lineRule="exact"/>
        <w:rPr>
          <w:sz w:val="20"/>
          <w:szCs w:val="20"/>
          <w:color w:val="auto"/>
        </w:rPr>
      </w:pPr>
    </w:p>
    <w:p>
      <w:pPr>
        <w:ind w:left="1120" w:right="140" w:firstLine="368"/>
        <w:spacing w:after="0" w:line="257" w:lineRule="auto"/>
        <w:rPr>
          <w:sz w:val="20"/>
          <w:szCs w:val="20"/>
          <w:color w:val="auto"/>
        </w:rPr>
      </w:pPr>
      <w:r>
        <w:rPr>
          <w:rFonts w:ascii="Arial" w:cs="Arial" w:eastAsia="Arial" w:hAnsi="Arial"/>
          <w:sz w:val="15"/>
          <w:szCs w:val="15"/>
          <w:i w:val="1"/>
          <w:iCs w:val="1"/>
          <w:color w:val="auto"/>
        </w:rPr>
        <w:t>Transferability or assignability of awards</w:t>
      </w:r>
      <w:r>
        <w:rPr>
          <w:rFonts w:ascii="Arial" w:cs="Arial" w:eastAsia="Arial" w:hAnsi="Arial"/>
          <w:sz w:val="15"/>
          <w:szCs w:val="15"/>
          <w:color w:val="auto"/>
        </w:rPr>
        <w:t>. Our 2017 Plan generally does not allow for the transfer or assignment of awards, other than by will or</w:t>
      </w:r>
      <w:r>
        <w:rPr>
          <w:rFonts w:ascii="Arial" w:cs="Arial" w:eastAsia="Arial" w:hAnsi="Arial"/>
          <w:sz w:val="15"/>
          <w:szCs w:val="15"/>
          <w:i w:val="1"/>
          <w:iCs w:val="1"/>
          <w:color w:val="auto"/>
        </w:rPr>
        <w:t xml:space="preserve"> </w:t>
      </w:r>
      <w:r>
        <w:rPr>
          <w:rFonts w:ascii="Arial" w:cs="Arial" w:eastAsia="Arial" w:hAnsi="Arial"/>
          <w:sz w:val="15"/>
          <w:szCs w:val="15"/>
          <w:color w:val="auto"/>
        </w:rPr>
        <w:t>by the laws of descent and distribution and, with respect to nonqualified options, by instrument to an inter vivos or testamentary trust in which the options are to be passed to beneficiaries upon the death of the trustor (settlor) or by gift to “family member,” and awards under our 2017 Plan may not be made subject to execution, attachment, or similar process. An award under our 2017 Plan generally is only exercisable by the participant or the participant’s legal representative during the participant’s lifetime.</w:t>
      </w:r>
    </w:p>
    <w:p>
      <w:pPr>
        <w:spacing w:after="0" w:line="159" w:lineRule="exact"/>
        <w:rPr>
          <w:sz w:val="20"/>
          <w:szCs w:val="20"/>
          <w:color w:val="auto"/>
        </w:rPr>
      </w:pPr>
    </w:p>
    <w:p>
      <w:pPr>
        <w:jc w:val="both"/>
        <w:ind w:left="1120" w:right="200" w:firstLine="368"/>
        <w:spacing w:after="0" w:line="263" w:lineRule="auto"/>
        <w:rPr>
          <w:sz w:val="20"/>
          <w:szCs w:val="20"/>
          <w:color w:val="auto"/>
        </w:rPr>
      </w:pPr>
      <w:r>
        <w:rPr>
          <w:rFonts w:ascii="Arial" w:cs="Arial" w:eastAsia="Arial" w:hAnsi="Arial"/>
          <w:sz w:val="15"/>
          <w:szCs w:val="15"/>
          <w:i w:val="1"/>
          <w:iCs w:val="1"/>
          <w:color w:val="auto"/>
        </w:rPr>
        <w:t xml:space="preserve">Certain adjustments. </w:t>
      </w:r>
      <w:r>
        <w:rPr>
          <w:rFonts w:ascii="Arial" w:cs="Arial" w:eastAsia="Arial" w:hAnsi="Arial"/>
          <w:sz w:val="15"/>
          <w:szCs w:val="15"/>
          <w:color w:val="auto"/>
        </w:rPr>
        <w:t>In the event of certain changes in our capitalization, the administrator will proportionally adjust the number of shares that</w:t>
      </w:r>
      <w:r>
        <w:rPr>
          <w:rFonts w:ascii="Arial" w:cs="Arial" w:eastAsia="Arial" w:hAnsi="Arial"/>
          <w:sz w:val="15"/>
          <w:szCs w:val="15"/>
          <w:i w:val="1"/>
          <w:iCs w:val="1"/>
          <w:color w:val="auto"/>
        </w:rPr>
        <w:t xml:space="preserve"> </w:t>
      </w:r>
      <w:r>
        <w:rPr>
          <w:rFonts w:ascii="Arial" w:cs="Arial" w:eastAsia="Arial" w:hAnsi="Arial"/>
          <w:sz w:val="15"/>
          <w:szCs w:val="15"/>
          <w:color w:val="auto"/>
        </w:rPr>
        <w:t>may be delivered under our 2017 Plan and/or the number and price of shares covered by each outstanding award subject to any required action by our Board of Directors or stockholders.</w:t>
      </w:r>
    </w:p>
    <w:p>
      <w:pPr>
        <w:spacing w:after="0" w:line="155" w:lineRule="exact"/>
        <w:rPr>
          <w:sz w:val="20"/>
          <w:szCs w:val="20"/>
          <w:color w:val="auto"/>
        </w:rPr>
      </w:pPr>
    </w:p>
    <w:p>
      <w:pPr>
        <w:ind w:left="1120" w:right="180" w:firstLine="368"/>
        <w:spacing w:after="0" w:line="275" w:lineRule="auto"/>
        <w:rPr>
          <w:sz w:val="20"/>
          <w:szCs w:val="20"/>
          <w:color w:val="auto"/>
        </w:rPr>
      </w:pPr>
      <w:r>
        <w:rPr>
          <w:rFonts w:ascii="Arial" w:cs="Arial" w:eastAsia="Arial" w:hAnsi="Arial"/>
          <w:sz w:val="15"/>
          <w:szCs w:val="15"/>
          <w:i w:val="1"/>
          <w:iCs w:val="1"/>
          <w:color w:val="auto"/>
        </w:rPr>
        <w:t xml:space="preserve">Dissolution or liquidation. </w:t>
      </w:r>
      <w:r>
        <w:rPr>
          <w:rFonts w:ascii="Arial" w:cs="Arial" w:eastAsia="Arial" w:hAnsi="Arial"/>
          <w:sz w:val="15"/>
          <w:szCs w:val="15"/>
          <w:color w:val="auto"/>
        </w:rPr>
        <w:t>In the event of our proposed liquidation or dissolution, our Board of Directors may terminate any and all outstanding</w:t>
      </w:r>
      <w:r>
        <w:rPr>
          <w:rFonts w:ascii="Arial" w:cs="Arial" w:eastAsia="Arial" w:hAnsi="Arial"/>
          <w:sz w:val="15"/>
          <w:szCs w:val="15"/>
          <w:i w:val="1"/>
          <w:iCs w:val="1"/>
          <w:color w:val="auto"/>
        </w:rPr>
        <w:t xml:space="preserve"> </w:t>
      </w:r>
      <w:r>
        <w:rPr>
          <w:rFonts w:ascii="Arial" w:cs="Arial" w:eastAsia="Arial" w:hAnsi="Arial"/>
          <w:sz w:val="15"/>
          <w:szCs w:val="15"/>
          <w:color w:val="auto"/>
        </w:rPr>
        <w:t>awards followed by the payment of creditors and the distribution of any remaining funds to the our stockholders.</w:t>
      </w:r>
    </w:p>
    <w:p>
      <w:pPr>
        <w:spacing w:after="0" w:line="90" w:lineRule="exact"/>
        <w:rPr>
          <w:sz w:val="20"/>
          <w:szCs w:val="20"/>
          <w:color w:val="auto"/>
        </w:rPr>
      </w:pPr>
    </w:p>
    <w:p>
      <w:pPr>
        <w:ind w:left="5600"/>
        <w:spacing w:after="0"/>
        <w:rPr>
          <w:sz w:val="20"/>
          <w:szCs w:val="20"/>
          <w:color w:val="auto"/>
        </w:rPr>
      </w:pPr>
      <w:r>
        <w:rPr>
          <w:rFonts w:ascii="Arial" w:cs="Arial" w:eastAsia="Arial" w:hAnsi="Arial"/>
          <w:sz w:val="15"/>
          <w:szCs w:val="15"/>
          <w:color w:val="auto"/>
        </w:rPr>
        <w:t>157</w:t>
      </w:r>
    </w:p>
    <w:p>
      <w:pPr>
        <w:sectPr>
          <w:pgSz w:w="11900" w:h="16838" w:orient="portrait"/>
          <w:cols w:equalWidth="0" w:num="1">
            <w:col w:w="10320"/>
          </w:cols>
          <w:pgMar w:left="240" w:top="407" w:right="1339" w:bottom="1440" w:gutter="0" w:footer="0" w:header="0"/>
        </w:sectPr>
      </w:pPr>
    </w:p>
    <w:bookmarkStart w:id="164" w:name="page165"/>
    <w:bookmarkEnd w:id="164"/>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133350</wp:posOffset>
            </wp:positionH>
            <wp:positionV relativeFrom="page">
              <wp:posOffset>88900</wp:posOffset>
            </wp:positionV>
            <wp:extent cx="7308850" cy="3429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308850" cy="34290"/>
                    </a:xfrm>
                    <a:prstGeom prst="rect">
                      <a:avLst/>
                    </a:prstGeom>
                    <a:noFill/>
                  </pic:spPr>
                </pic:pic>
              </a:graphicData>
            </a:graphic>
          </wp:anchor>
        </w:drawing>
      </w:r>
      <w:hyperlink w:anchor="page7">
        <w:r>
          <w:rPr>
            <w:rFonts w:ascii="Arial" w:cs="Arial" w:eastAsia="Arial" w:hAnsi="Arial"/>
            <w:sz w:val="15"/>
            <w:szCs w:val="15"/>
            <w:b w:val="1"/>
            <w:bCs w:val="1"/>
            <w:u w:val="single" w:color="auto"/>
            <w:color w:val="0000EE"/>
          </w:rPr>
          <w:t>Table of Contents</w:t>
        </w:r>
      </w:hyperlink>
    </w:p>
    <w:p>
      <w:pPr>
        <w:spacing w:after="0" w:line="260" w:lineRule="exact"/>
        <w:rPr>
          <w:sz w:val="20"/>
          <w:szCs w:val="20"/>
          <w:color w:val="auto"/>
        </w:rPr>
      </w:pPr>
    </w:p>
    <w:p>
      <w:pPr>
        <w:ind w:left="1120" w:right="180" w:firstLine="368"/>
        <w:spacing w:after="0" w:line="277" w:lineRule="auto"/>
        <w:rPr>
          <w:sz w:val="20"/>
          <w:szCs w:val="20"/>
          <w:color w:val="auto"/>
        </w:rPr>
      </w:pPr>
      <w:r>
        <w:rPr>
          <w:rFonts w:ascii="Arial" w:cs="Arial" w:eastAsia="Arial" w:hAnsi="Arial"/>
          <w:sz w:val="14"/>
          <w:szCs w:val="14"/>
          <w:i w:val="1"/>
          <w:iCs w:val="1"/>
          <w:color w:val="auto"/>
        </w:rPr>
        <w:t>Acquisition or other combination</w:t>
      </w:r>
      <w:r>
        <w:rPr>
          <w:rFonts w:ascii="Arial" w:cs="Arial" w:eastAsia="Arial" w:hAnsi="Arial"/>
          <w:sz w:val="14"/>
          <w:szCs w:val="14"/>
          <w:color w:val="auto"/>
        </w:rPr>
        <w:t>. If we are subject to an acquisition, consolidation, or merger, or similar conversion event, outstanding awards</w:t>
      </w:r>
      <w:r>
        <w:rPr>
          <w:rFonts w:ascii="Arial" w:cs="Arial" w:eastAsia="Arial" w:hAnsi="Arial"/>
          <w:sz w:val="14"/>
          <w:szCs w:val="14"/>
          <w:i w:val="1"/>
          <w:iCs w:val="1"/>
          <w:color w:val="auto"/>
        </w:rPr>
        <w:t xml:space="preserve"> </w:t>
      </w:r>
      <w:r>
        <w:rPr>
          <w:rFonts w:ascii="Arial" w:cs="Arial" w:eastAsia="Arial" w:hAnsi="Arial"/>
          <w:sz w:val="14"/>
          <w:szCs w:val="14"/>
          <w:color w:val="auto"/>
        </w:rPr>
        <w:t>under our 2017 Plan shall be subject to the agreement evidencing such transaction. The agreement may provide for the continuation, assumption, or substitution of outstanding awards by us (if we are the surviving corporation) or the successor or acquiring entity (if any), or the full or partial exercisability or vesting and accelerated expiration of awards, or the settlement of the full value of outstanding awards in cash, cash equivalents, or securities of the successor or its parent followed by the cancellation of such awards. If an outstanding award is not continued, assumed, or substituted, the award will terminate and cease to be outstanding immediately following the occurrence of the applicable transaction.</w:t>
      </w:r>
    </w:p>
    <w:p>
      <w:pPr>
        <w:spacing w:after="0" w:line="148" w:lineRule="exact"/>
        <w:rPr>
          <w:sz w:val="20"/>
          <w:szCs w:val="20"/>
          <w:color w:val="auto"/>
        </w:rPr>
      </w:pPr>
    </w:p>
    <w:p>
      <w:pPr>
        <w:ind w:left="1120" w:firstLine="368"/>
        <w:spacing w:after="0" w:line="259" w:lineRule="auto"/>
        <w:rPr>
          <w:sz w:val="20"/>
          <w:szCs w:val="20"/>
          <w:color w:val="auto"/>
        </w:rPr>
      </w:pPr>
      <w:r>
        <w:rPr>
          <w:rFonts w:ascii="Arial" w:cs="Arial" w:eastAsia="Arial" w:hAnsi="Arial"/>
          <w:sz w:val="15"/>
          <w:szCs w:val="15"/>
          <w:i w:val="1"/>
          <w:iCs w:val="1"/>
          <w:color w:val="auto"/>
        </w:rPr>
        <w:t>Amendment; termination</w:t>
      </w:r>
      <w:r>
        <w:rPr>
          <w:rFonts w:ascii="Arial" w:cs="Arial" w:eastAsia="Arial" w:hAnsi="Arial"/>
          <w:sz w:val="15"/>
          <w:szCs w:val="15"/>
          <w:color w:val="auto"/>
        </w:rPr>
        <w:t>. Our Board of Directors may terminate or amend our 2017 Plan at any time, provided that such amendment does not</w:t>
      </w:r>
      <w:r>
        <w:rPr>
          <w:rFonts w:ascii="Arial" w:cs="Arial" w:eastAsia="Arial" w:hAnsi="Arial"/>
          <w:sz w:val="15"/>
          <w:szCs w:val="15"/>
          <w:i w:val="1"/>
          <w:iCs w:val="1"/>
          <w:color w:val="auto"/>
        </w:rPr>
        <w:t xml:space="preserve"> </w:t>
      </w:r>
      <w:r>
        <w:rPr>
          <w:rFonts w:ascii="Arial" w:cs="Arial" w:eastAsia="Arial" w:hAnsi="Arial"/>
          <w:sz w:val="15"/>
          <w:szCs w:val="15"/>
          <w:color w:val="auto"/>
        </w:rPr>
        <w:t>impair the rights under outstanding options without the participant’s written consent. As noted above, prior to the adoption of our 2018 Plan in connection with this offering, our 2017 Plan will be terminated and no further awards will be granted thereunder. All outstanding awards will continue to be governed by their existing terms.</w:t>
      </w:r>
    </w:p>
    <w:p>
      <w:pPr>
        <w:spacing w:after="0" w:line="248" w:lineRule="exact"/>
        <w:rPr>
          <w:sz w:val="20"/>
          <w:szCs w:val="20"/>
          <w:color w:val="auto"/>
        </w:rPr>
      </w:pPr>
    </w:p>
    <w:p>
      <w:pPr>
        <w:ind w:left="1120"/>
        <w:spacing w:after="0"/>
        <w:rPr>
          <w:sz w:val="20"/>
          <w:szCs w:val="20"/>
          <w:color w:val="auto"/>
        </w:rPr>
      </w:pPr>
      <w:r>
        <w:rPr>
          <w:rFonts w:ascii="Arial" w:cs="Arial" w:eastAsia="Arial" w:hAnsi="Arial"/>
          <w:sz w:val="15"/>
          <w:szCs w:val="15"/>
          <w:b w:val="1"/>
          <w:bCs w:val="1"/>
          <w:i w:val="1"/>
          <w:iCs w:val="1"/>
          <w:color w:val="auto"/>
        </w:rPr>
        <w:t>2008 Equity Incentive Plan, As Amended</w:t>
      </w:r>
    </w:p>
    <w:p>
      <w:pPr>
        <w:spacing w:after="0" w:line="98" w:lineRule="exact"/>
        <w:rPr>
          <w:sz w:val="20"/>
          <w:szCs w:val="20"/>
          <w:color w:val="auto"/>
        </w:rPr>
      </w:pPr>
    </w:p>
    <w:p>
      <w:pPr>
        <w:ind w:left="1120" w:right="60" w:firstLine="368"/>
        <w:spacing w:after="0" w:line="292" w:lineRule="auto"/>
        <w:rPr>
          <w:sz w:val="20"/>
          <w:szCs w:val="20"/>
          <w:color w:val="auto"/>
        </w:rPr>
      </w:pPr>
      <w:r>
        <w:rPr>
          <w:rFonts w:ascii="Arial" w:cs="Arial" w:eastAsia="Arial" w:hAnsi="Arial"/>
          <w:sz w:val="13"/>
          <w:szCs w:val="13"/>
          <w:color w:val="auto"/>
        </w:rPr>
        <w:t>Our Board of Directors and stockholders adopted our 2008 Plan in January 2008. Our 2008 Plan was most recently amended in November 2016. Our 2008 Plan was terminated in connection with our adoption of our 2017 Plan. As of December 31, 2017, options to purchase 4,959,492 shares of our Class B common stock remained outstanding under our 2008 Plan at a weighted-average exercise price of approximately $10.52 per share and RSUs covering 38,219,737 shares of our Class B common stock remained outstanding under our 2008 Plan. Awards granted under the 2008 Plan generally are subject to terms similar to those described above with respect to options and RSUs granted under the 2017 Plan. Our 2008 Plan provides that if there is</w:t>
      </w:r>
    </w:p>
    <w:p>
      <w:pPr>
        <w:spacing w:after="0" w:line="2" w:lineRule="exact"/>
        <w:rPr>
          <w:sz w:val="20"/>
          <w:szCs w:val="20"/>
          <w:color w:val="auto"/>
        </w:rPr>
      </w:pPr>
    </w:p>
    <w:p>
      <w:pPr>
        <w:ind w:left="1120" w:hanging="8"/>
        <w:spacing w:after="0" w:line="271" w:lineRule="auto"/>
        <w:tabs>
          <w:tab w:leader="none" w:pos="1299" w:val="left"/>
        </w:tabs>
        <w:numPr>
          <w:ilvl w:val="0"/>
          <w:numId w:val="76"/>
        </w:numPr>
        <w:rPr>
          <w:rFonts w:ascii="Arial" w:cs="Arial" w:eastAsia="Arial" w:hAnsi="Arial"/>
          <w:sz w:val="14"/>
          <w:szCs w:val="14"/>
          <w:color w:val="auto"/>
        </w:rPr>
      </w:pPr>
      <w:r>
        <w:rPr>
          <w:rFonts w:ascii="Arial" w:cs="Arial" w:eastAsia="Arial" w:hAnsi="Arial"/>
          <w:sz w:val="14"/>
          <w:szCs w:val="14"/>
          <w:color w:val="auto"/>
        </w:rPr>
        <w:t>a dissolution or liquidation of the Company, (ii) any reorganization, consolidation, merger, or similar transaction or series of related transactions resulting in a significant change in our voting securities as described in our 2008 Plan, or (iii) a sale of all or substantially all of our assets followed by the distribution of the proceeds to our stockholders, any or all outstanding awards may be assumed, converted, replaced, or substituted by the successor or acquiring corporation (if any). If a successor or acquiring corporation refuses to assume, convert, replace, or substitute awards, vesting of awards will accelerate and options will become exercisable in full prior to the consummation of event on such terms as determined by the administrator, and all options that are not exercised prior to the consummation of the transaction and all other awards will terminate. Our 2008 Plan generally does not allow for the transfer or assignment of awards, other than by will or by the laws of descent and distribution and, with respect to nonqualified options, by instrument to an inter vivos or testamentary trust in which the options are to be passed to beneficiaries upon the death of the trustor (settlor) or by gift to “immediate family,” and awards may not be made subject to execution, attachment, or similar process. An award is only exercisable by the participant or the participant’s legal representative during the participant’s lifetime. Our Board of Directors may amend our 2008 Plan at any time, provided that such amendment does not impair the rights under outstanding awards without the participant’s written consent.</w:t>
      </w:r>
    </w:p>
    <w:p>
      <w:pPr>
        <w:spacing w:after="0" w:line="246" w:lineRule="exact"/>
        <w:rPr>
          <w:sz w:val="20"/>
          <w:szCs w:val="20"/>
          <w:color w:val="auto"/>
        </w:rPr>
      </w:pPr>
    </w:p>
    <w:p>
      <w:pPr>
        <w:ind w:left="1120"/>
        <w:spacing w:after="0"/>
        <w:rPr>
          <w:sz w:val="20"/>
          <w:szCs w:val="20"/>
          <w:color w:val="auto"/>
        </w:rPr>
      </w:pPr>
      <w:r>
        <w:rPr>
          <w:rFonts w:ascii="Arial" w:cs="Arial" w:eastAsia="Arial" w:hAnsi="Arial"/>
          <w:sz w:val="15"/>
          <w:szCs w:val="15"/>
          <w:b w:val="1"/>
          <w:bCs w:val="1"/>
          <w:i w:val="1"/>
          <w:iCs w:val="1"/>
          <w:color w:val="auto"/>
        </w:rPr>
        <w:t>Cash Bonus Plan</w:t>
      </w:r>
    </w:p>
    <w:p>
      <w:pPr>
        <w:spacing w:after="0" w:line="98" w:lineRule="exact"/>
        <w:rPr>
          <w:sz w:val="20"/>
          <w:szCs w:val="20"/>
          <w:color w:val="auto"/>
        </w:rPr>
      </w:pPr>
    </w:p>
    <w:p>
      <w:pPr>
        <w:ind w:left="1120" w:right="700" w:firstLine="368"/>
        <w:spacing w:after="0" w:line="312" w:lineRule="auto"/>
        <w:rPr>
          <w:sz w:val="20"/>
          <w:szCs w:val="20"/>
          <w:color w:val="auto"/>
        </w:rPr>
      </w:pPr>
      <w:r>
        <w:rPr>
          <w:rFonts w:ascii="Arial" w:cs="Arial" w:eastAsia="Arial" w:hAnsi="Arial"/>
          <w:sz w:val="14"/>
          <w:szCs w:val="14"/>
          <w:color w:val="auto"/>
        </w:rPr>
        <w:t>Our Board of Directors has adopted a cash bonus plan, or our Cash Bonus Plan, that allows us to financially incentivize and reward our employees, including our executive officers, based upon our performance and their individual contributions to our success.</w:t>
      </w:r>
    </w:p>
    <w:p>
      <w:pPr>
        <w:spacing w:after="0" w:line="123" w:lineRule="exact"/>
        <w:rPr>
          <w:sz w:val="20"/>
          <w:szCs w:val="20"/>
          <w:color w:val="auto"/>
        </w:rPr>
      </w:pPr>
    </w:p>
    <w:p>
      <w:pPr>
        <w:ind w:left="1120" w:right="60" w:firstLine="368"/>
        <w:spacing w:after="0" w:line="257" w:lineRule="auto"/>
        <w:rPr>
          <w:sz w:val="20"/>
          <w:szCs w:val="20"/>
          <w:color w:val="auto"/>
        </w:rPr>
      </w:pPr>
      <w:r>
        <w:rPr>
          <w:rFonts w:ascii="Arial" w:cs="Arial" w:eastAsia="Arial" w:hAnsi="Arial"/>
          <w:sz w:val="15"/>
          <w:szCs w:val="15"/>
          <w:color w:val="auto"/>
        </w:rPr>
        <w:t>Our Cash Bonus Plan is administered by our Compensation Committee. Our Compensation Committee has the discretionary authority to interpret and administer our Cash Bonus Plan, including all terms defined therein, and to adopt rules and regulations to implement our Cash Bonus Plan, as it deems necessary. Our Compensation Committee has delegated to our Chief Financial Officer and our Vice President of People the day-to-day implementation and interpretation of our Cash Bonus Plan, including the approval of individual payouts under our Cash Bonus Plan to employees other than our executive management team. However, approval of our</w:t>
      </w:r>
    </w:p>
    <w:p>
      <w:pPr>
        <w:spacing w:after="0" w:line="103" w:lineRule="exact"/>
        <w:rPr>
          <w:sz w:val="20"/>
          <w:szCs w:val="20"/>
          <w:color w:val="auto"/>
        </w:rPr>
      </w:pPr>
    </w:p>
    <w:p>
      <w:pPr>
        <w:ind w:left="5600"/>
        <w:spacing w:after="0"/>
        <w:rPr>
          <w:sz w:val="20"/>
          <w:szCs w:val="20"/>
          <w:color w:val="auto"/>
        </w:rPr>
      </w:pPr>
      <w:r>
        <w:rPr>
          <w:rFonts w:ascii="Arial" w:cs="Arial" w:eastAsia="Arial" w:hAnsi="Arial"/>
          <w:sz w:val="15"/>
          <w:szCs w:val="15"/>
          <w:color w:val="auto"/>
        </w:rPr>
        <w:t>158</w:t>
      </w:r>
    </w:p>
    <w:p>
      <w:pPr>
        <w:sectPr>
          <w:pgSz w:w="11900" w:h="16838" w:orient="portrait"/>
          <w:cols w:equalWidth="0" w:num="1">
            <w:col w:w="10320"/>
          </w:cols>
          <w:pgMar w:left="240" w:top="407" w:right="1339" w:bottom="1440" w:gutter="0" w:footer="0" w:header="0"/>
        </w:sectPr>
      </w:pPr>
    </w:p>
    <w:bookmarkStart w:id="165" w:name="page166"/>
    <w:bookmarkEnd w:id="165"/>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133350</wp:posOffset>
            </wp:positionH>
            <wp:positionV relativeFrom="page">
              <wp:posOffset>88900</wp:posOffset>
            </wp:positionV>
            <wp:extent cx="7308850" cy="3429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308850" cy="34290"/>
                    </a:xfrm>
                    <a:prstGeom prst="rect">
                      <a:avLst/>
                    </a:prstGeom>
                    <a:noFill/>
                  </pic:spPr>
                </pic:pic>
              </a:graphicData>
            </a:graphic>
          </wp:anchor>
        </w:drawing>
      </w:r>
      <w:hyperlink w:anchor="page7">
        <w:r>
          <w:rPr>
            <w:rFonts w:ascii="Arial" w:cs="Arial" w:eastAsia="Arial" w:hAnsi="Arial"/>
            <w:sz w:val="15"/>
            <w:szCs w:val="15"/>
            <w:b w:val="1"/>
            <w:bCs w:val="1"/>
            <w:u w:val="single" w:color="auto"/>
            <w:color w:val="0000EE"/>
          </w:rPr>
          <w:t>Table of Contents</w:t>
        </w:r>
      </w:hyperlink>
    </w:p>
    <w:p>
      <w:pPr>
        <w:spacing w:after="0" w:line="260" w:lineRule="exact"/>
        <w:rPr>
          <w:sz w:val="20"/>
          <w:szCs w:val="20"/>
          <w:color w:val="auto"/>
        </w:rPr>
      </w:pPr>
    </w:p>
    <w:p>
      <w:pPr>
        <w:ind w:left="1120" w:right="280"/>
        <w:spacing w:after="0" w:line="275" w:lineRule="auto"/>
        <w:rPr>
          <w:sz w:val="20"/>
          <w:szCs w:val="20"/>
          <w:color w:val="auto"/>
        </w:rPr>
      </w:pPr>
      <w:r>
        <w:rPr>
          <w:rFonts w:ascii="Arial" w:cs="Arial" w:eastAsia="Arial" w:hAnsi="Arial"/>
          <w:sz w:val="15"/>
          <w:szCs w:val="15"/>
          <w:color w:val="auto"/>
        </w:rPr>
        <w:t>Compensation Committee is required for any material amendments to our Cash Bonus Plan, approval of the aggregate payout under our Cash Bonus Plan, and approval of individual payouts under the Plan to the executive management team.</w:t>
      </w:r>
    </w:p>
    <w:p>
      <w:pPr>
        <w:spacing w:after="0" w:line="146" w:lineRule="exact"/>
        <w:rPr>
          <w:sz w:val="20"/>
          <w:szCs w:val="20"/>
          <w:color w:val="auto"/>
        </w:rPr>
      </w:pPr>
    </w:p>
    <w:p>
      <w:pPr>
        <w:ind w:left="1120" w:right="20" w:firstLine="368"/>
        <w:spacing w:after="0" w:line="283" w:lineRule="auto"/>
        <w:rPr>
          <w:sz w:val="20"/>
          <w:szCs w:val="20"/>
          <w:color w:val="auto"/>
        </w:rPr>
      </w:pPr>
      <w:r>
        <w:rPr>
          <w:rFonts w:ascii="Arial" w:cs="Arial" w:eastAsia="Arial" w:hAnsi="Arial"/>
          <w:sz w:val="14"/>
          <w:szCs w:val="14"/>
          <w:color w:val="auto"/>
        </w:rPr>
        <w:t>Unless otherwise determined by our Compensation Committee, all of our employees, including our named executive officers, who (i) are employed by us before November 1 of the applicable calendar year and (ii) not covered by any other performance bonus, commission, or incentive plan, are eligible to participate in our Cash Bonus Plan. Participation in our Cash Bonus Plan is effective on the later of January 1 or the applicable subsequent calendar year or the day (prior to November 1) that the eligible employee commences as a full-time/part-time regular employee of ours.</w:t>
      </w:r>
    </w:p>
    <w:p>
      <w:pPr>
        <w:spacing w:after="0" w:line="143" w:lineRule="exact"/>
        <w:rPr>
          <w:sz w:val="20"/>
          <w:szCs w:val="20"/>
          <w:color w:val="auto"/>
        </w:rPr>
      </w:pPr>
    </w:p>
    <w:p>
      <w:pPr>
        <w:ind w:left="1120" w:right="20" w:firstLine="368"/>
        <w:spacing w:after="0" w:line="259" w:lineRule="auto"/>
        <w:rPr>
          <w:sz w:val="20"/>
          <w:szCs w:val="20"/>
          <w:color w:val="auto"/>
        </w:rPr>
      </w:pPr>
      <w:r>
        <w:rPr>
          <w:rFonts w:ascii="Arial" w:cs="Arial" w:eastAsia="Arial" w:hAnsi="Arial"/>
          <w:sz w:val="15"/>
          <w:szCs w:val="15"/>
          <w:color w:val="auto"/>
        </w:rPr>
        <w:t>Our Cash Bonus Plan features annual performance periods. For each performance period, our Compensation Committee, in its sole discretion, will establish a bonus pool, which may be established before, during or after the applicable performance period. Our Compensation Committee may, in its sole discretion and at any time, increase, reduce, or eliminate the amount allocated to the bonus pool. Actual awards will be paid from the bonus pool subject to the terms and conditions set forth in our Cash Bonus Plan.</w:t>
      </w:r>
    </w:p>
    <w:p>
      <w:pPr>
        <w:spacing w:after="0" w:line="158" w:lineRule="exact"/>
        <w:rPr>
          <w:sz w:val="20"/>
          <w:szCs w:val="20"/>
          <w:color w:val="auto"/>
        </w:rPr>
      </w:pPr>
    </w:p>
    <w:p>
      <w:pPr>
        <w:ind w:left="1120" w:right="120" w:firstLine="368"/>
        <w:spacing w:after="0" w:line="273" w:lineRule="auto"/>
        <w:rPr>
          <w:sz w:val="20"/>
          <w:szCs w:val="20"/>
          <w:color w:val="auto"/>
        </w:rPr>
      </w:pPr>
      <w:r>
        <w:rPr>
          <w:rFonts w:ascii="Arial" w:cs="Arial" w:eastAsia="Arial" w:hAnsi="Arial"/>
          <w:sz w:val="14"/>
          <w:szCs w:val="14"/>
          <w:color w:val="auto"/>
        </w:rPr>
        <w:t>Our Compensation Committee will, in its sole discretion, determine the performance goals applicable to any award. The goals may be based on any such factors our Compensation Committee determines relevant, and may be on an individual, divisional, business unit, or company-wide basis. Performance goals may be measured over the period of time determined by our Compensation Committee in its sole discretion. A performance period may be divided into one or more shorter periods if, for example, but not by way of limitation, our Compensation Committee desires to measure some performance criteria over 12 months and other criteria over fewer months. The performance goals may differ from eligible employee to eligible employee and from award to award. Failure to meet the goals will result in a failure to earn the award, except as provided in our Cash Bonus Plan. As determined by our Compensation Committee, the performance goals may be based on GAAP or non-GAAP results and any actual results may be adjusted by our Compensation Committee for one-time items, unbudgeted or unexpected items, acquisition-related activities, or changes in applicable accounting rules when determining whether the performance goals have been met. Our Compensation Committee retains the sole discretion to make or not make any such equitable adjustments.</w:t>
      </w:r>
    </w:p>
    <w:p>
      <w:pPr>
        <w:spacing w:after="0" w:line="154" w:lineRule="exact"/>
        <w:rPr>
          <w:sz w:val="20"/>
          <w:szCs w:val="20"/>
          <w:color w:val="auto"/>
        </w:rPr>
      </w:pPr>
    </w:p>
    <w:p>
      <w:pPr>
        <w:ind w:left="1120" w:right="60" w:firstLine="368"/>
        <w:spacing w:after="0" w:line="276" w:lineRule="auto"/>
        <w:rPr>
          <w:sz w:val="20"/>
          <w:szCs w:val="20"/>
          <w:color w:val="auto"/>
        </w:rPr>
      </w:pPr>
      <w:r>
        <w:rPr>
          <w:rFonts w:ascii="Arial" w:cs="Arial" w:eastAsia="Arial" w:hAnsi="Arial"/>
          <w:sz w:val="14"/>
          <w:szCs w:val="14"/>
          <w:color w:val="auto"/>
        </w:rPr>
        <w:t>An eligible employee’s bonus target is the percentage of his or her “eligible earnings” to be paid out at 100% performance achievement, determined by his or her position and communicated at the time of hire or as amended in writing. The bonus may be weighted based on individual performance to measurable objectives and company performance. The bonus can provide for payout above target for performance in excess of the individual performance factors and/or company performance factors. “Eligible earnings” means base salary as of December 31 of the applicable performance period, prorated for hire date and leaves of absence (proration based on the number of days in the performance period, as permitted by applicable law) that occur in the performance period. Eligible earnings exclude Company payments that are in addition to base salary, including, but not limited to, overtime, payments for moving or relocation allowances, or other wages (including but not limited to bonuses or commissions).</w:t>
      </w:r>
    </w:p>
    <w:p>
      <w:pPr>
        <w:spacing w:after="0" w:line="148" w:lineRule="exact"/>
        <w:rPr>
          <w:sz w:val="20"/>
          <w:szCs w:val="20"/>
          <w:color w:val="auto"/>
        </w:rPr>
      </w:pPr>
    </w:p>
    <w:p>
      <w:pPr>
        <w:ind w:left="1120" w:right="80" w:firstLine="368"/>
        <w:spacing w:after="0" w:line="259" w:lineRule="auto"/>
        <w:rPr>
          <w:sz w:val="20"/>
          <w:szCs w:val="20"/>
          <w:color w:val="auto"/>
        </w:rPr>
      </w:pPr>
      <w:r>
        <w:rPr>
          <w:rFonts w:ascii="Arial" w:cs="Arial" w:eastAsia="Arial" w:hAnsi="Arial"/>
          <w:sz w:val="15"/>
          <w:szCs w:val="15"/>
          <w:color w:val="auto"/>
        </w:rPr>
        <w:t>Bonuses are earned on the date of payment and not sooner, either in whole or in part. Bonuses will be paid in cash as soon as practicable after we determine our financial results for the performance period, which generally occurs in the fiscal quarter immediately following the end of the performance period. Achieved bonuses, if any, will be paid before March 15 of such succeeding calendar year. Unless otherwise determined by the plan administrator, an eligible employee must be employed by us through the date the bonus is paid.</w:t>
      </w:r>
    </w:p>
    <w:p>
      <w:pPr>
        <w:spacing w:after="0" w:line="158" w:lineRule="exact"/>
        <w:rPr>
          <w:sz w:val="20"/>
          <w:szCs w:val="20"/>
          <w:color w:val="auto"/>
        </w:rPr>
      </w:pPr>
    </w:p>
    <w:p>
      <w:pPr>
        <w:ind w:left="1120" w:firstLine="368"/>
        <w:spacing w:after="0" w:line="263" w:lineRule="auto"/>
        <w:rPr>
          <w:sz w:val="20"/>
          <w:szCs w:val="20"/>
          <w:color w:val="auto"/>
        </w:rPr>
      </w:pPr>
      <w:r>
        <w:rPr>
          <w:rFonts w:ascii="Arial" w:cs="Arial" w:eastAsia="Arial" w:hAnsi="Arial"/>
          <w:sz w:val="15"/>
          <w:szCs w:val="15"/>
          <w:color w:val="auto"/>
        </w:rPr>
        <w:t>We reserve the right, in our sole discretion, to modify or terminate the Cash Bonus Plan in total or in part, at any time. Any such change must be in writing and approved by the compensation committee. However, no modification or termination shall apply retroactively as to cause a forfeiture of an earned bonus.</w:t>
      </w:r>
    </w:p>
    <w:p>
      <w:pPr>
        <w:spacing w:after="0" w:line="98" w:lineRule="exact"/>
        <w:rPr>
          <w:sz w:val="20"/>
          <w:szCs w:val="20"/>
          <w:color w:val="auto"/>
        </w:rPr>
      </w:pPr>
    </w:p>
    <w:p>
      <w:pPr>
        <w:ind w:left="5600"/>
        <w:spacing w:after="0"/>
        <w:rPr>
          <w:sz w:val="20"/>
          <w:szCs w:val="20"/>
          <w:color w:val="auto"/>
        </w:rPr>
      </w:pPr>
      <w:r>
        <w:rPr>
          <w:rFonts w:ascii="Arial" w:cs="Arial" w:eastAsia="Arial" w:hAnsi="Arial"/>
          <w:sz w:val="15"/>
          <w:szCs w:val="15"/>
          <w:color w:val="auto"/>
        </w:rPr>
        <w:t>159</w:t>
      </w:r>
    </w:p>
    <w:p>
      <w:pPr>
        <w:sectPr>
          <w:pgSz w:w="11900" w:h="16838" w:orient="portrait"/>
          <w:cols w:equalWidth="0" w:num="1">
            <w:col w:w="10320"/>
          </w:cols>
          <w:pgMar w:left="240" w:top="407" w:right="1339" w:bottom="1440" w:gutter="0" w:footer="0" w:header="0"/>
        </w:sectPr>
      </w:pPr>
    </w:p>
    <w:bookmarkStart w:id="166" w:name="page167"/>
    <w:bookmarkEnd w:id="166"/>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133350</wp:posOffset>
            </wp:positionH>
            <wp:positionV relativeFrom="page">
              <wp:posOffset>88900</wp:posOffset>
            </wp:positionV>
            <wp:extent cx="7308850" cy="3429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308850" cy="34290"/>
                    </a:xfrm>
                    <a:prstGeom prst="rect">
                      <a:avLst/>
                    </a:prstGeom>
                    <a:noFill/>
                  </pic:spPr>
                </pic:pic>
              </a:graphicData>
            </a:graphic>
          </wp:anchor>
        </w:drawing>
      </w:r>
      <w:hyperlink w:anchor="page7">
        <w:r>
          <w:rPr>
            <w:rFonts w:ascii="Arial" w:cs="Arial" w:eastAsia="Arial" w:hAnsi="Arial"/>
            <w:sz w:val="15"/>
            <w:szCs w:val="15"/>
            <w:b w:val="1"/>
            <w:bCs w:val="1"/>
            <w:u w:val="single" w:color="auto"/>
            <w:color w:val="0000EE"/>
          </w:rPr>
          <w:t>Table of Contents</w:t>
        </w:r>
      </w:hyperlink>
    </w:p>
    <w:p>
      <w:pPr>
        <w:spacing w:after="0" w:line="260" w:lineRule="exact"/>
        <w:rPr>
          <w:sz w:val="20"/>
          <w:szCs w:val="20"/>
          <w:color w:val="auto"/>
        </w:rPr>
      </w:pPr>
    </w:p>
    <w:p>
      <w:pPr>
        <w:ind w:left="1120"/>
        <w:spacing w:after="0"/>
        <w:rPr>
          <w:sz w:val="20"/>
          <w:szCs w:val="20"/>
          <w:color w:val="auto"/>
        </w:rPr>
      </w:pPr>
      <w:r>
        <w:rPr>
          <w:rFonts w:ascii="Arial" w:cs="Arial" w:eastAsia="Arial" w:hAnsi="Arial"/>
          <w:sz w:val="15"/>
          <w:szCs w:val="15"/>
          <w:b w:val="1"/>
          <w:bCs w:val="1"/>
          <w:i w:val="1"/>
          <w:iCs w:val="1"/>
          <w:color w:val="auto"/>
        </w:rPr>
        <w:t>401(k) plan</w:t>
      </w:r>
    </w:p>
    <w:p>
      <w:pPr>
        <w:spacing w:after="0" w:line="98" w:lineRule="exact"/>
        <w:rPr>
          <w:sz w:val="20"/>
          <w:szCs w:val="20"/>
          <w:color w:val="auto"/>
        </w:rPr>
      </w:pPr>
    </w:p>
    <w:p>
      <w:pPr>
        <w:ind w:left="1120" w:right="59" w:firstLine="368"/>
        <w:spacing w:after="0" w:line="257" w:lineRule="auto"/>
        <w:rPr>
          <w:sz w:val="20"/>
          <w:szCs w:val="20"/>
          <w:color w:val="auto"/>
        </w:rPr>
      </w:pPr>
      <w:r>
        <w:rPr>
          <w:rFonts w:ascii="Arial" w:cs="Arial" w:eastAsia="Arial" w:hAnsi="Arial"/>
          <w:sz w:val="15"/>
          <w:szCs w:val="15"/>
          <w:color w:val="auto"/>
        </w:rPr>
        <w:t>We maintain a tax-qualified 401(k) retirement plan for all U.S. employees who satisfy certain eligibility requirements, including requirements relating to age and length of service. Under our 401(k) plan, employees may elect to defer up to all eligible compensation, subject to applicable annual Internal Revenue Code limits. We match a portion of contributions made by our employees, including executives. We intend for our 401(k) plan to qualify under Section 401(a) and 501(a) of the Code so that contributions by employees to our 401(k) plan, and income earned on those contributions, are not taxable to employees until withdrawn from our 401(k) plan.</w:t>
      </w:r>
    </w:p>
    <w:p>
      <w:pPr>
        <w:spacing w:after="0" w:line="103" w:lineRule="exact"/>
        <w:rPr>
          <w:sz w:val="20"/>
          <w:szCs w:val="20"/>
          <w:color w:val="auto"/>
        </w:rPr>
      </w:pPr>
    </w:p>
    <w:p>
      <w:pPr>
        <w:ind w:left="5600"/>
        <w:spacing w:after="0"/>
        <w:rPr>
          <w:sz w:val="20"/>
          <w:szCs w:val="20"/>
          <w:color w:val="auto"/>
        </w:rPr>
      </w:pPr>
      <w:r>
        <w:rPr>
          <w:rFonts w:ascii="Arial" w:cs="Arial" w:eastAsia="Arial" w:hAnsi="Arial"/>
          <w:sz w:val="15"/>
          <w:szCs w:val="15"/>
          <w:color w:val="auto"/>
        </w:rPr>
        <w:t>160</w:t>
      </w:r>
    </w:p>
    <w:p>
      <w:pPr>
        <w:sectPr>
          <w:pgSz w:w="11900" w:h="16838" w:orient="portrait"/>
          <w:cols w:equalWidth="0" w:num="1">
            <w:col w:w="10219"/>
          </w:cols>
          <w:pgMar w:left="240" w:top="408" w:right="1440" w:bottom="1440" w:gutter="0" w:footer="0" w:header="0"/>
        </w:sectPr>
      </w:pPr>
    </w:p>
    <w:bookmarkStart w:id="167" w:name="page168"/>
    <w:bookmarkEnd w:id="167"/>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133350</wp:posOffset>
            </wp:positionH>
            <wp:positionV relativeFrom="page">
              <wp:posOffset>88900</wp:posOffset>
            </wp:positionV>
            <wp:extent cx="7308850" cy="3429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308850" cy="34290"/>
                    </a:xfrm>
                    <a:prstGeom prst="rect">
                      <a:avLst/>
                    </a:prstGeom>
                    <a:noFill/>
                  </pic:spPr>
                </pic:pic>
              </a:graphicData>
            </a:graphic>
          </wp:anchor>
        </w:drawing>
      </w:r>
      <w:hyperlink w:anchor="page7">
        <w:r>
          <w:rPr>
            <w:rFonts w:ascii="Arial" w:cs="Arial" w:eastAsia="Arial" w:hAnsi="Arial"/>
            <w:sz w:val="15"/>
            <w:szCs w:val="15"/>
            <w:b w:val="1"/>
            <w:bCs w:val="1"/>
            <w:u w:val="single" w:color="auto"/>
            <w:color w:val="0000EE"/>
          </w:rPr>
          <w:t>Table of Contents</w:t>
        </w:r>
      </w:hyperlink>
    </w:p>
    <w:p>
      <w:pPr>
        <w:spacing w:after="0" w:line="256" w:lineRule="exact"/>
        <w:rPr>
          <w:sz w:val="20"/>
          <w:szCs w:val="20"/>
          <w:color w:val="auto"/>
        </w:rPr>
      </w:pPr>
    </w:p>
    <w:p>
      <w:pPr>
        <w:ind w:left="2360"/>
        <w:spacing w:after="0"/>
        <w:rPr>
          <w:sz w:val="20"/>
          <w:szCs w:val="20"/>
          <w:color w:val="auto"/>
        </w:rPr>
      </w:pPr>
      <w:r>
        <w:rPr>
          <w:rFonts w:ascii="Arial" w:cs="Arial" w:eastAsia="Arial" w:hAnsi="Arial"/>
          <w:sz w:val="15"/>
          <w:szCs w:val="15"/>
          <w:b w:val="1"/>
          <w:bCs w:val="1"/>
          <w:color w:val="auto"/>
        </w:rPr>
        <w:t>CERTAIN RELATIONSHIPS, RELATED PARTY TRANSACTIONS, AND OTHER TRANSACTIONS</w:t>
      </w:r>
    </w:p>
    <w:p>
      <w:pPr>
        <w:spacing w:after="0" w:line="192" w:lineRule="exact"/>
        <w:rPr>
          <w:sz w:val="20"/>
          <w:szCs w:val="20"/>
          <w:color w:val="auto"/>
        </w:rPr>
      </w:pPr>
    </w:p>
    <w:p>
      <w:pPr>
        <w:ind w:left="1120" w:right="40" w:firstLine="368"/>
        <w:spacing w:after="0" w:line="263" w:lineRule="auto"/>
        <w:rPr>
          <w:sz w:val="20"/>
          <w:szCs w:val="20"/>
          <w:color w:val="auto"/>
        </w:rPr>
      </w:pPr>
      <w:r>
        <w:rPr>
          <w:rFonts w:ascii="Arial" w:cs="Arial" w:eastAsia="Arial" w:hAnsi="Arial"/>
          <w:sz w:val="15"/>
          <w:szCs w:val="15"/>
          <w:color w:val="auto"/>
        </w:rPr>
        <w:t>In addition to the compensation arrangements, including employment, termination of employment, and change in control arrangements, discussed in the sections titled “Management” and “Executive Compensation”, the following is a description of each transaction since January 1, 2015, and each currently proposed transaction in which:</w:t>
      </w:r>
    </w:p>
    <w:p>
      <w:pPr>
        <w:spacing w:after="0" w:line="76" w:lineRule="exact"/>
        <w:rPr>
          <w:sz w:val="20"/>
          <w:szCs w:val="20"/>
          <w:color w:val="auto"/>
        </w:rPr>
      </w:pPr>
    </w:p>
    <w:p>
      <w:pPr>
        <w:ind w:left="1840" w:hanging="276"/>
        <w:spacing w:after="0"/>
        <w:tabs>
          <w:tab w:leader="none" w:pos="1840" w:val="left"/>
        </w:tabs>
        <w:numPr>
          <w:ilvl w:val="0"/>
          <w:numId w:val="77"/>
        </w:numPr>
        <w:rPr>
          <w:rFonts w:ascii="Arial" w:cs="Arial" w:eastAsia="Arial" w:hAnsi="Arial"/>
          <w:sz w:val="15"/>
          <w:szCs w:val="15"/>
          <w:color w:val="auto"/>
        </w:rPr>
      </w:pPr>
      <w:r>
        <w:rPr>
          <w:rFonts w:ascii="Arial" w:cs="Arial" w:eastAsia="Arial" w:hAnsi="Arial"/>
          <w:sz w:val="15"/>
          <w:szCs w:val="15"/>
          <w:color w:val="auto"/>
        </w:rPr>
        <w:t>we have been or are to be a participant;</w:t>
      </w:r>
    </w:p>
    <w:p>
      <w:pPr>
        <w:spacing w:after="0" w:line="109" w:lineRule="exact"/>
        <w:rPr>
          <w:rFonts w:ascii="Arial" w:cs="Arial" w:eastAsia="Arial" w:hAnsi="Arial"/>
          <w:sz w:val="15"/>
          <w:szCs w:val="15"/>
          <w:color w:val="auto"/>
        </w:rPr>
      </w:pPr>
    </w:p>
    <w:p>
      <w:pPr>
        <w:ind w:left="1840" w:hanging="276"/>
        <w:spacing w:after="0"/>
        <w:tabs>
          <w:tab w:leader="none" w:pos="1840" w:val="left"/>
        </w:tabs>
        <w:numPr>
          <w:ilvl w:val="0"/>
          <w:numId w:val="77"/>
        </w:numPr>
        <w:rPr>
          <w:rFonts w:ascii="Arial" w:cs="Arial" w:eastAsia="Arial" w:hAnsi="Arial"/>
          <w:sz w:val="15"/>
          <w:szCs w:val="15"/>
          <w:color w:val="auto"/>
        </w:rPr>
      </w:pPr>
      <w:r>
        <w:rPr>
          <w:rFonts w:ascii="Arial" w:cs="Arial" w:eastAsia="Arial" w:hAnsi="Arial"/>
          <w:sz w:val="15"/>
          <w:szCs w:val="15"/>
          <w:color w:val="auto"/>
        </w:rPr>
        <w:t>the amount involved exceeded or exceeds $120,000; and</w:t>
      </w:r>
    </w:p>
    <w:p>
      <w:pPr>
        <w:spacing w:after="0" w:line="109" w:lineRule="exact"/>
        <w:rPr>
          <w:rFonts w:ascii="Arial" w:cs="Arial" w:eastAsia="Arial" w:hAnsi="Arial"/>
          <w:sz w:val="15"/>
          <w:szCs w:val="15"/>
          <w:color w:val="auto"/>
        </w:rPr>
      </w:pPr>
    </w:p>
    <w:p>
      <w:pPr>
        <w:ind w:left="1840" w:right="40" w:hanging="276"/>
        <w:spacing w:after="0" w:line="312" w:lineRule="auto"/>
        <w:tabs>
          <w:tab w:leader="none" w:pos="1840" w:val="left"/>
        </w:tabs>
        <w:numPr>
          <w:ilvl w:val="0"/>
          <w:numId w:val="77"/>
        </w:numPr>
        <w:rPr>
          <w:rFonts w:ascii="Arial" w:cs="Arial" w:eastAsia="Arial" w:hAnsi="Arial"/>
          <w:sz w:val="14"/>
          <w:szCs w:val="14"/>
          <w:color w:val="auto"/>
        </w:rPr>
      </w:pPr>
      <w:r>
        <w:rPr>
          <w:rFonts w:ascii="Arial" w:cs="Arial" w:eastAsia="Arial" w:hAnsi="Arial"/>
          <w:sz w:val="14"/>
          <w:szCs w:val="14"/>
          <w:color w:val="auto"/>
        </w:rPr>
        <w:t>any of our directors, executive officers, or holders of more than 5% of our outstanding capital stock, or any immediate family member of, or person sharing the household with, any of these individuals or entities, had or will have a direct or indirect material interest.</w:t>
      </w:r>
    </w:p>
    <w:p>
      <w:pPr>
        <w:spacing w:after="0" w:line="209" w:lineRule="exact"/>
        <w:rPr>
          <w:sz w:val="20"/>
          <w:szCs w:val="20"/>
          <w:color w:val="auto"/>
        </w:rPr>
      </w:pPr>
    </w:p>
    <w:p>
      <w:pPr>
        <w:ind w:left="1120"/>
        <w:spacing w:after="0"/>
        <w:rPr>
          <w:sz w:val="20"/>
          <w:szCs w:val="20"/>
          <w:color w:val="auto"/>
        </w:rPr>
      </w:pPr>
      <w:r>
        <w:rPr>
          <w:rFonts w:ascii="Arial" w:cs="Arial" w:eastAsia="Arial" w:hAnsi="Arial"/>
          <w:sz w:val="15"/>
          <w:szCs w:val="15"/>
          <w:b w:val="1"/>
          <w:bCs w:val="1"/>
          <w:color w:val="auto"/>
        </w:rPr>
        <w:t>Amended and Restated Investors’ Rights Agreement</w:t>
      </w:r>
    </w:p>
    <w:p>
      <w:pPr>
        <w:spacing w:after="0" w:line="102" w:lineRule="exact"/>
        <w:rPr>
          <w:sz w:val="20"/>
          <w:szCs w:val="20"/>
          <w:color w:val="auto"/>
        </w:rPr>
      </w:pPr>
    </w:p>
    <w:p>
      <w:pPr>
        <w:jc w:val="both"/>
        <w:ind w:left="1120" w:right="260" w:firstLine="368"/>
        <w:spacing w:after="0" w:line="283" w:lineRule="auto"/>
        <w:rPr>
          <w:sz w:val="20"/>
          <w:szCs w:val="20"/>
          <w:color w:val="auto"/>
        </w:rPr>
      </w:pPr>
      <w:r>
        <w:rPr>
          <w:rFonts w:ascii="Arial" w:cs="Arial" w:eastAsia="Arial" w:hAnsi="Arial"/>
          <w:sz w:val="14"/>
          <w:szCs w:val="14"/>
          <w:color w:val="auto"/>
        </w:rPr>
        <w:t>We are party to our Amended and Restated Investors’ Rights Agreement, or IRA, dated as of January 30, 2014, which provides, among other things, that certain holders of our capital stock, including entities affiliated with each of Sequoia Capital, Accel, and T. Rowe Price, be covered by a registration statement that we are otherwise filing. R. Bryan Schreier, a member of our Board of Directors, is affiliated with Sequoia Capital. See the section titled “Description of Capital Stock—Registration Rights” for additional information regarding these registration rights.</w:t>
      </w:r>
    </w:p>
    <w:p>
      <w:pPr>
        <w:spacing w:after="0" w:line="229" w:lineRule="exact"/>
        <w:rPr>
          <w:sz w:val="20"/>
          <w:szCs w:val="20"/>
          <w:color w:val="auto"/>
        </w:rPr>
      </w:pPr>
    </w:p>
    <w:p>
      <w:pPr>
        <w:ind w:left="1120"/>
        <w:spacing w:after="0"/>
        <w:rPr>
          <w:sz w:val="20"/>
          <w:szCs w:val="20"/>
          <w:color w:val="auto"/>
        </w:rPr>
      </w:pPr>
      <w:r>
        <w:rPr>
          <w:rFonts w:ascii="Arial" w:cs="Arial" w:eastAsia="Arial" w:hAnsi="Arial"/>
          <w:sz w:val="15"/>
          <w:szCs w:val="15"/>
          <w:b w:val="1"/>
          <w:bCs w:val="1"/>
          <w:color w:val="auto"/>
        </w:rPr>
        <w:t>Right of First Refusal</w:t>
      </w:r>
    </w:p>
    <w:p>
      <w:pPr>
        <w:spacing w:after="0" w:line="102" w:lineRule="exact"/>
        <w:rPr>
          <w:sz w:val="20"/>
          <w:szCs w:val="20"/>
          <w:color w:val="auto"/>
        </w:rPr>
      </w:pPr>
    </w:p>
    <w:p>
      <w:pPr>
        <w:ind w:left="1120" w:right="40" w:firstLine="368"/>
        <w:spacing w:after="0" w:line="290" w:lineRule="auto"/>
        <w:rPr>
          <w:sz w:val="20"/>
          <w:szCs w:val="20"/>
          <w:color w:val="auto"/>
        </w:rPr>
      </w:pPr>
      <w:r>
        <w:rPr>
          <w:rFonts w:ascii="Arial" w:cs="Arial" w:eastAsia="Arial" w:hAnsi="Arial"/>
          <w:sz w:val="14"/>
          <w:szCs w:val="14"/>
          <w:color w:val="auto"/>
        </w:rPr>
        <w:t>Pursuant to certain of our bylaws, equity compensation plans, and certain agreements with our stockholders, including our Amended and Restated Right of First Refusal and Co-Sale Agreement, dated January 30, 2014, we or our assignees have a right to purchase shares of our capital stock which stockholders propose to sell to other parties. This right will terminate immediately prior to the completion of this offering.</w:t>
      </w:r>
    </w:p>
    <w:p>
      <w:pPr>
        <w:spacing w:after="0" w:line="224" w:lineRule="exact"/>
        <w:rPr>
          <w:sz w:val="20"/>
          <w:szCs w:val="20"/>
          <w:color w:val="auto"/>
        </w:rPr>
      </w:pPr>
    </w:p>
    <w:p>
      <w:pPr>
        <w:ind w:left="1120"/>
        <w:spacing w:after="0"/>
        <w:rPr>
          <w:sz w:val="20"/>
          <w:szCs w:val="20"/>
          <w:color w:val="auto"/>
        </w:rPr>
      </w:pPr>
      <w:r>
        <w:rPr>
          <w:rFonts w:ascii="Arial" w:cs="Arial" w:eastAsia="Arial" w:hAnsi="Arial"/>
          <w:sz w:val="15"/>
          <w:szCs w:val="15"/>
          <w:b w:val="1"/>
          <w:bCs w:val="1"/>
          <w:color w:val="auto"/>
        </w:rPr>
        <w:t>Amended and Restated Voting and Drag-Along Agreement</w:t>
      </w:r>
    </w:p>
    <w:p>
      <w:pPr>
        <w:spacing w:after="0" w:line="102" w:lineRule="exact"/>
        <w:rPr>
          <w:sz w:val="20"/>
          <w:szCs w:val="20"/>
          <w:color w:val="auto"/>
        </w:rPr>
      </w:pPr>
    </w:p>
    <w:p>
      <w:pPr>
        <w:ind w:left="1120" w:right="60" w:firstLine="368"/>
        <w:spacing w:after="0" w:line="279" w:lineRule="auto"/>
        <w:rPr>
          <w:sz w:val="20"/>
          <w:szCs w:val="20"/>
          <w:color w:val="auto"/>
        </w:rPr>
      </w:pPr>
      <w:r>
        <w:rPr>
          <w:rFonts w:ascii="Arial" w:cs="Arial" w:eastAsia="Arial" w:hAnsi="Arial"/>
          <w:sz w:val="14"/>
          <w:szCs w:val="14"/>
          <w:color w:val="auto"/>
        </w:rPr>
        <w:t>We are party to our Amended and Restated Voting and Drag-Along Agreement, or Voting Agreement, dated as of April 21, 2016, under which certain holders of our capital stock, including entities affiliated with each of Sequoia Capital, Accel, and T. Rowe Price, have agreed to vote their shares of our capital stock on certain matters, including with respect to the election of directors. R. Bryan Schreier, a member of our Board of Directors, is affiliated with Sequoia Capital. Immediately prior to the completion of this offering, the Voting Agreement will terminate and none of our stockholders will have any special rights regarding the election or designation of members of our Board of Directors.</w:t>
      </w:r>
    </w:p>
    <w:p>
      <w:pPr>
        <w:spacing w:after="0" w:line="233" w:lineRule="exact"/>
        <w:rPr>
          <w:sz w:val="20"/>
          <w:szCs w:val="20"/>
          <w:color w:val="auto"/>
        </w:rPr>
      </w:pPr>
    </w:p>
    <w:p>
      <w:pPr>
        <w:ind w:left="1120"/>
        <w:spacing w:after="0"/>
        <w:rPr>
          <w:sz w:val="20"/>
          <w:szCs w:val="20"/>
          <w:color w:val="auto"/>
        </w:rPr>
      </w:pPr>
      <w:r>
        <w:rPr>
          <w:rFonts w:ascii="Arial" w:cs="Arial" w:eastAsia="Arial" w:hAnsi="Arial"/>
          <w:sz w:val="15"/>
          <w:szCs w:val="15"/>
          <w:b w:val="1"/>
          <w:bCs w:val="1"/>
          <w:color w:val="auto"/>
        </w:rPr>
        <w:t>Commercial Arrangement</w:t>
      </w:r>
    </w:p>
    <w:p>
      <w:pPr>
        <w:spacing w:after="0" w:line="102" w:lineRule="exact"/>
        <w:rPr>
          <w:sz w:val="20"/>
          <w:szCs w:val="20"/>
          <w:color w:val="auto"/>
        </w:rPr>
      </w:pPr>
    </w:p>
    <w:p>
      <w:pPr>
        <w:ind w:left="1120" w:right="40" w:firstLine="368"/>
        <w:spacing w:after="0" w:line="263" w:lineRule="auto"/>
        <w:rPr>
          <w:sz w:val="20"/>
          <w:szCs w:val="20"/>
          <w:color w:val="auto"/>
        </w:rPr>
      </w:pPr>
      <w:r>
        <w:rPr>
          <w:rFonts w:ascii="Arial" w:cs="Arial" w:eastAsia="Arial" w:hAnsi="Arial"/>
          <w:sz w:val="15"/>
          <w:szCs w:val="15"/>
          <w:color w:val="auto"/>
        </w:rPr>
        <w:t>We previously had a commercial relationship with Hewlett-Packard Company, of which Ms. Whitman, a member of our Board of Directors, served as the Chief Executive Officer from September 2011 to November 2015. During 2015, we made payments of $37.3 million for capital leases and commercial products and services provided by the Hewlett-Packard Company.</w:t>
      </w:r>
    </w:p>
    <w:p>
      <w:pPr>
        <w:spacing w:after="0" w:line="155" w:lineRule="exact"/>
        <w:rPr>
          <w:sz w:val="20"/>
          <w:szCs w:val="20"/>
          <w:color w:val="auto"/>
        </w:rPr>
      </w:pPr>
    </w:p>
    <w:p>
      <w:pPr>
        <w:ind w:left="1120" w:firstLine="368"/>
        <w:spacing w:after="0" w:line="257" w:lineRule="auto"/>
        <w:rPr>
          <w:sz w:val="20"/>
          <w:szCs w:val="20"/>
          <w:color w:val="auto"/>
        </w:rPr>
      </w:pPr>
      <w:r>
        <w:rPr>
          <w:rFonts w:ascii="Arial" w:cs="Arial" w:eastAsia="Arial" w:hAnsi="Arial"/>
          <w:sz w:val="15"/>
          <w:szCs w:val="15"/>
          <w:color w:val="auto"/>
        </w:rPr>
        <w:t>We also have a commercial relationship with HPE, of which Ms. Whitman served as Chief Executive Officer from November 2015 to January 2018. These commercial relationships include infrastructure equipment under capital leases, the purchase of commercial products and other services, and a multi-year subscription agreement for access to the Dropbox platform. During 2016, we received payments of $1.0 million for services rendered to HPE. During 2015, 2016, and 2017, we made payments of $10.9 million, $79.7 million, and $81.7 million, respectively, for capital leases and commercial products and services provided by HPE.</w:t>
      </w:r>
    </w:p>
    <w:p>
      <w:pPr>
        <w:spacing w:after="0" w:line="103" w:lineRule="exact"/>
        <w:rPr>
          <w:sz w:val="20"/>
          <w:szCs w:val="20"/>
          <w:color w:val="auto"/>
        </w:rPr>
      </w:pPr>
    </w:p>
    <w:p>
      <w:pPr>
        <w:ind w:left="5600"/>
        <w:spacing w:after="0"/>
        <w:rPr>
          <w:sz w:val="20"/>
          <w:szCs w:val="20"/>
          <w:color w:val="auto"/>
        </w:rPr>
      </w:pPr>
      <w:r>
        <w:rPr>
          <w:rFonts w:ascii="Arial" w:cs="Arial" w:eastAsia="Arial" w:hAnsi="Arial"/>
          <w:sz w:val="15"/>
          <w:szCs w:val="15"/>
          <w:color w:val="auto"/>
        </w:rPr>
        <w:t>161</w:t>
      </w:r>
    </w:p>
    <w:p>
      <w:pPr>
        <w:sectPr>
          <w:pgSz w:w="11900" w:h="16838" w:orient="portrait"/>
          <w:cols w:equalWidth="0" w:num="1">
            <w:col w:w="10300"/>
          </w:cols>
          <w:pgMar w:left="240" w:top="408" w:right="1359" w:bottom="1440" w:gutter="0" w:footer="0" w:header="0"/>
        </w:sectPr>
      </w:pPr>
    </w:p>
    <w:bookmarkStart w:id="168" w:name="page169"/>
    <w:bookmarkEnd w:id="168"/>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133350</wp:posOffset>
            </wp:positionH>
            <wp:positionV relativeFrom="page">
              <wp:posOffset>88900</wp:posOffset>
            </wp:positionV>
            <wp:extent cx="7308850" cy="3429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308850" cy="34290"/>
                    </a:xfrm>
                    <a:prstGeom prst="rect">
                      <a:avLst/>
                    </a:prstGeom>
                    <a:noFill/>
                  </pic:spPr>
                </pic:pic>
              </a:graphicData>
            </a:graphic>
          </wp:anchor>
        </w:drawing>
      </w:r>
      <w:hyperlink w:anchor="page7">
        <w:r>
          <w:rPr>
            <w:rFonts w:ascii="Arial" w:cs="Arial" w:eastAsia="Arial" w:hAnsi="Arial"/>
            <w:sz w:val="15"/>
            <w:szCs w:val="15"/>
            <w:b w:val="1"/>
            <w:bCs w:val="1"/>
            <w:u w:val="single" w:color="auto"/>
            <w:color w:val="0000EE"/>
          </w:rPr>
          <w:t>Table of Contents</w:t>
        </w:r>
      </w:hyperlink>
    </w:p>
    <w:p>
      <w:pPr>
        <w:spacing w:after="0" w:line="256" w:lineRule="exact"/>
        <w:rPr>
          <w:sz w:val="20"/>
          <w:szCs w:val="20"/>
          <w:color w:val="auto"/>
        </w:rPr>
      </w:pPr>
    </w:p>
    <w:p>
      <w:pPr>
        <w:ind w:left="1120"/>
        <w:spacing w:after="0"/>
        <w:rPr>
          <w:sz w:val="20"/>
          <w:szCs w:val="20"/>
          <w:color w:val="auto"/>
        </w:rPr>
      </w:pPr>
      <w:r>
        <w:rPr>
          <w:rFonts w:ascii="Arial" w:cs="Arial" w:eastAsia="Arial" w:hAnsi="Arial"/>
          <w:sz w:val="15"/>
          <w:szCs w:val="15"/>
          <w:b w:val="1"/>
          <w:bCs w:val="1"/>
          <w:color w:val="auto"/>
        </w:rPr>
        <w:t>Employment Arrangement</w:t>
      </w:r>
    </w:p>
    <w:p>
      <w:pPr>
        <w:spacing w:after="0" w:line="102" w:lineRule="exact"/>
        <w:rPr>
          <w:sz w:val="20"/>
          <w:szCs w:val="20"/>
          <w:color w:val="auto"/>
        </w:rPr>
      </w:pPr>
    </w:p>
    <w:p>
      <w:pPr>
        <w:ind w:left="1120" w:right="100" w:firstLine="368"/>
        <w:spacing w:after="0" w:line="259" w:lineRule="auto"/>
        <w:rPr>
          <w:sz w:val="20"/>
          <w:szCs w:val="20"/>
          <w:color w:val="auto"/>
        </w:rPr>
      </w:pPr>
      <w:r>
        <w:rPr>
          <w:rFonts w:ascii="Arial" w:cs="Arial" w:eastAsia="Arial" w:hAnsi="Arial"/>
          <w:sz w:val="15"/>
          <w:szCs w:val="15"/>
          <w:color w:val="auto"/>
        </w:rPr>
        <w:t>Sheila Vashee, who is the wife of Ajay Vashee, our Chief Financial Officer, was employed by us in a non-executive capacity. Her total compensation received in 2015, 2016, and 2017, which is comprised of a base salary and bonus, as applicable, was $234,228, $249,064, and $349,888, respectively, and was in line with similar roles at the Company. Additionally, we granted Ms. Vashee equity awards covering 46,652 shares of our Class B common stock during this time.</w:t>
      </w:r>
    </w:p>
    <w:p>
      <w:pPr>
        <w:spacing w:after="0" w:line="244" w:lineRule="exact"/>
        <w:rPr>
          <w:sz w:val="20"/>
          <w:szCs w:val="20"/>
          <w:color w:val="auto"/>
        </w:rPr>
      </w:pPr>
    </w:p>
    <w:p>
      <w:pPr>
        <w:ind w:left="1120"/>
        <w:spacing w:after="0"/>
        <w:rPr>
          <w:sz w:val="20"/>
          <w:szCs w:val="20"/>
          <w:color w:val="auto"/>
        </w:rPr>
      </w:pPr>
      <w:r>
        <w:rPr>
          <w:rFonts w:ascii="Arial" w:cs="Arial" w:eastAsia="Arial" w:hAnsi="Arial"/>
          <w:sz w:val="15"/>
          <w:szCs w:val="15"/>
          <w:b w:val="1"/>
          <w:bCs w:val="1"/>
          <w:color w:val="auto"/>
        </w:rPr>
        <w:t>Dropbox Charitable Foundation</w:t>
      </w:r>
    </w:p>
    <w:p>
      <w:pPr>
        <w:spacing w:after="0" w:line="102" w:lineRule="exact"/>
        <w:rPr>
          <w:sz w:val="20"/>
          <w:szCs w:val="20"/>
          <w:color w:val="auto"/>
        </w:rPr>
      </w:pPr>
    </w:p>
    <w:p>
      <w:pPr>
        <w:ind w:left="1120" w:firstLine="368"/>
        <w:spacing w:after="0" w:line="305" w:lineRule="auto"/>
        <w:rPr>
          <w:sz w:val="20"/>
          <w:szCs w:val="20"/>
          <w:color w:val="auto"/>
        </w:rPr>
      </w:pPr>
      <w:r>
        <w:rPr>
          <w:rFonts w:ascii="Arial" w:cs="Arial" w:eastAsia="Arial" w:hAnsi="Arial"/>
          <w:sz w:val="13"/>
          <w:szCs w:val="13"/>
          <w:color w:val="auto"/>
        </w:rPr>
        <w:t>During 2016, two of our controlling stockholders formed the Dropbox Charitable Foundation, a Delaware non-stock corporation, or the Foundation. The primary purpose of the Foundation is to engage in charitable and educational activities within the meaning of Section 501(c)(3) of the Code. The Foundation is governed by a board of directors, a majority of which are independent. Both stockholders made contributions to the Foundation during 2016, comprised entirely of shares of Dropbox common stock. As of December 31, 2016, we had not made any contributions to the Foundation. We have not consolidated the Foundation in the accompanying consolidated financial statements, as we do not have control of the entity.</w:t>
      </w:r>
    </w:p>
    <w:p>
      <w:pPr>
        <w:spacing w:after="0" w:line="133" w:lineRule="exact"/>
        <w:rPr>
          <w:sz w:val="20"/>
          <w:szCs w:val="20"/>
          <w:color w:val="auto"/>
        </w:rPr>
      </w:pPr>
    </w:p>
    <w:p>
      <w:pPr>
        <w:ind w:left="1120" w:right="280" w:firstLine="368"/>
        <w:spacing w:after="0" w:line="263" w:lineRule="auto"/>
        <w:rPr>
          <w:sz w:val="20"/>
          <w:szCs w:val="20"/>
          <w:color w:val="auto"/>
        </w:rPr>
      </w:pPr>
      <w:r>
        <w:rPr>
          <w:rFonts w:ascii="Arial" w:cs="Arial" w:eastAsia="Arial" w:hAnsi="Arial"/>
          <w:sz w:val="15"/>
          <w:szCs w:val="15"/>
          <w:color w:val="auto"/>
        </w:rPr>
        <w:t>During the year ended December 31, 2017, we incurred total expense of $11.3 million, which included $9.4 million of expense for a non-cash charitable contribution, whereby we donated Class B common shares to initially fund the Foundation, and cash contributions of $1.9 million to the Foundation.</w:t>
      </w:r>
    </w:p>
    <w:p>
      <w:pPr>
        <w:spacing w:after="0" w:line="241" w:lineRule="exact"/>
        <w:rPr>
          <w:sz w:val="20"/>
          <w:szCs w:val="20"/>
          <w:color w:val="auto"/>
        </w:rPr>
      </w:pPr>
    </w:p>
    <w:p>
      <w:pPr>
        <w:ind w:left="1120"/>
        <w:spacing w:after="0"/>
        <w:rPr>
          <w:sz w:val="20"/>
          <w:szCs w:val="20"/>
          <w:color w:val="auto"/>
        </w:rPr>
      </w:pPr>
      <w:r>
        <w:rPr>
          <w:rFonts w:ascii="Arial" w:cs="Arial" w:eastAsia="Arial" w:hAnsi="Arial"/>
          <w:sz w:val="15"/>
          <w:szCs w:val="15"/>
          <w:b w:val="1"/>
          <w:bCs w:val="1"/>
          <w:color w:val="auto"/>
        </w:rPr>
        <w:t>Executive and Director Compensation</w:t>
      </w:r>
    </w:p>
    <w:p>
      <w:pPr>
        <w:spacing w:after="0" w:line="102" w:lineRule="exact"/>
        <w:rPr>
          <w:sz w:val="20"/>
          <w:szCs w:val="20"/>
          <w:color w:val="auto"/>
        </w:rPr>
      </w:pPr>
    </w:p>
    <w:p>
      <w:pPr>
        <w:jc w:val="both"/>
        <w:ind w:left="1120" w:right="20" w:firstLine="368"/>
        <w:spacing w:after="0" w:line="263" w:lineRule="auto"/>
        <w:rPr>
          <w:sz w:val="20"/>
          <w:szCs w:val="20"/>
          <w:color w:val="auto"/>
        </w:rPr>
      </w:pPr>
      <w:r>
        <w:rPr>
          <w:rFonts w:ascii="Arial" w:cs="Arial" w:eastAsia="Arial" w:hAnsi="Arial"/>
          <w:sz w:val="15"/>
          <w:szCs w:val="15"/>
          <w:color w:val="auto"/>
        </w:rPr>
        <w:t>We have granted stock options and RSUs to our executive officers and certain of our directors. See the sections titled “Executive Compensation— Outstanding Equity Awards at 2017 Year-End” and “Management—Non-Employee Director Compensation” for a description of these stock options and RSUs.</w:t>
      </w:r>
    </w:p>
    <w:p>
      <w:pPr>
        <w:spacing w:after="0" w:line="155" w:lineRule="exact"/>
        <w:rPr>
          <w:sz w:val="20"/>
          <w:szCs w:val="20"/>
          <w:color w:val="auto"/>
        </w:rPr>
      </w:pPr>
    </w:p>
    <w:p>
      <w:pPr>
        <w:ind w:left="1120" w:firstLine="368"/>
        <w:spacing w:after="0" w:line="283" w:lineRule="auto"/>
        <w:rPr>
          <w:sz w:val="20"/>
          <w:szCs w:val="20"/>
          <w:color w:val="auto"/>
        </w:rPr>
      </w:pPr>
      <w:r>
        <w:rPr>
          <w:rFonts w:ascii="Arial" w:cs="Arial" w:eastAsia="Arial" w:hAnsi="Arial"/>
          <w:sz w:val="14"/>
          <w:szCs w:val="14"/>
          <w:color w:val="auto"/>
        </w:rPr>
        <w:t>Other than as described above under this section titled “Certain Relationships and Related Party Transactions,” since January 1, 2015, we have not entered into any transactions, nor are there any currently proposed transactions, between us and a related party where the amount involved exceeds, or would exceed, $120,000, and in which any related person had or will have a direct or indirect material interest. We believe the terms of the transactions described above were comparable to terms we could have obtained in arm’s-length dealings with unrelated third parties.</w:t>
      </w:r>
    </w:p>
    <w:p>
      <w:pPr>
        <w:spacing w:after="0" w:line="143" w:lineRule="exact"/>
        <w:rPr>
          <w:sz w:val="20"/>
          <w:szCs w:val="20"/>
          <w:color w:val="auto"/>
        </w:rPr>
      </w:pPr>
    </w:p>
    <w:p>
      <w:pPr>
        <w:jc w:val="both"/>
        <w:ind w:left="1120" w:right="60" w:firstLine="368"/>
        <w:spacing w:after="0" w:line="275" w:lineRule="auto"/>
        <w:rPr>
          <w:sz w:val="20"/>
          <w:szCs w:val="20"/>
          <w:color w:val="auto"/>
        </w:rPr>
      </w:pPr>
      <w:r>
        <w:rPr>
          <w:rFonts w:ascii="Arial" w:cs="Arial" w:eastAsia="Arial" w:hAnsi="Arial"/>
          <w:sz w:val="15"/>
          <w:szCs w:val="15"/>
          <w:color w:val="auto"/>
        </w:rPr>
        <w:t>From time to time, we do business with other companies affiliated with certain holders of our capital stock. We believe that all such arrangements have been entered into in the ordinary course of business and have been conducted on an arm’s-length basis.</w:t>
      </w:r>
    </w:p>
    <w:p>
      <w:pPr>
        <w:spacing w:after="0" w:line="232" w:lineRule="exact"/>
        <w:rPr>
          <w:sz w:val="20"/>
          <w:szCs w:val="20"/>
          <w:color w:val="auto"/>
        </w:rPr>
      </w:pPr>
    </w:p>
    <w:p>
      <w:pPr>
        <w:ind w:left="1120"/>
        <w:spacing w:after="0"/>
        <w:rPr>
          <w:sz w:val="20"/>
          <w:szCs w:val="20"/>
          <w:color w:val="auto"/>
        </w:rPr>
      </w:pPr>
      <w:r>
        <w:rPr>
          <w:rFonts w:ascii="Arial" w:cs="Arial" w:eastAsia="Arial" w:hAnsi="Arial"/>
          <w:sz w:val="15"/>
          <w:szCs w:val="15"/>
          <w:b w:val="1"/>
          <w:bCs w:val="1"/>
          <w:color w:val="auto"/>
        </w:rPr>
        <w:t>Limitation of Liability and Indemnification of Officers and Directors</w:t>
      </w:r>
    </w:p>
    <w:p>
      <w:pPr>
        <w:spacing w:after="0" w:line="102" w:lineRule="exact"/>
        <w:rPr>
          <w:sz w:val="20"/>
          <w:szCs w:val="20"/>
          <w:color w:val="auto"/>
        </w:rPr>
      </w:pPr>
    </w:p>
    <w:p>
      <w:pPr>
        <w:jc w:val="both"/>
        <w:ind w:left="1120" w:right="40" w:firstLine="368"/>
        <w:spacing w:after="0" w:line="259" w:lineRule="auto"/>
        <w:rPr>
          <w:sz w:val="20"/>
          <w:szCs w:val="20"/>
          <w:color w:val="auto"/>
        </w:rPr>
      </w:pPr>
      <w:r>
        <w:rPr>
          <w:rFonts w:ascii="Arial" w:cs="Arial" w:eastAsia="Arial" w:hAnsi="Arial"/>
          <w:sz w:val="15"/>
          <w:szCs w:val="15"/>
          <w:color w:val="auto"/>
        </w:rPr>
        <w:t>We expect to adopt an amended and restated certificate of incorporation, which will become effective immediately prior to the completion of this offering, and which will contain provisions that limit the liability of our directors for monetary damages to the fullest extent permitted by Delaware law. Consequently, our directors will not be personally liable to us or our stockholders for monetary damages for any breach of fiduciary duties as directors, except liability for the following:</w:t>
      </w:r>
    </w:p>
    <w:p>
      <w:pPr>
        <w:spacing w:after="0" w:line="79" w:lineRule="exact"/>
        <w:rPr>
          <w:sz w:val="20"/>
          <w:szCs w:val="20"/>
          <w:color w:val="auto"/>
        </w:rPr>
      </w:pPr>
    </w:p>
    <w:p>
      <w:pPr>
        <w:ind w:left="1840" w:hanging="276"/>
        <w:spacing w:after="0"/>
        <w:tabs>
          <w:tab w:leader="none" w:pos="1840" w:val="left"/>
        </w:tabs>
        <w:numPr>
          <w:ilvl w:val="0"/>
          <w:numId w:val="78"/>
        </w:numPr>
        <w:rPr>
          <w:rFonts w:ascii="Arial" w:cs="Arial" w:eastAsia="Arial" w:hAnsi="Arial"/>
          <w:sz w:val="15"/>
          <w:szCs w:val="15"/>
          <w:color w:val="auto"/>
        </w:rPr>
      </w:pPr>
      <w:r>
        <w:rPr>
          <w:rFonts w:ascii="Arial" w:cs="Arial" w:eastAsia="Arial" w:hAnsi="Arial"/>
          <w:sz w:val="15"/>
          <w:szCs w:val="15"/>
          <w:color w:val="auto"/>
        </w:rPr>
        <w:t>any breach of their duty of loyalty to our company or our stockholders;</w:t>
      </w:r>
    </w:p>
    <w:p>
      <w:pPr>
        <w:spacing w:after="0" w:line="109" w:lineRule="exact"/>
        <w:rPr>
          <w:rFonts w:ascii="Arial" w:cs="Arial" w:eastAsia="Arial" w:hAnsi="Arial"/>
          <w:sz w:val="15"/>
          <w:szCs w:val="15"/>
          <w:color w:val="auto"/>
        </w:rPr>
      </w:pPr>
    </w:p>
    <w:p>
      <w:pPr>
        <w:ind w:left="1840" w:hanging="276"/>
        <w:spacing w:after="0"/>
        <w:tabs>
          <w:tab w:leader="none" w:pos="1840" w:val="left"/>
        </w:tabs>
        <w:numPr>
          <w:ilvl w:val="0"/>
          <w:numId w:val="78"/>
        </w:numPr>
        <w:rPr>
          <w:rFonts w:ascii="Arial" w:cs="Arial" w:eastAsia="Arial" w:hAnsi="Arial"/>
          <w:sz w:val="15"/>
          <w:szCs w:val="15"/>
          <w:color w:val="auto"/>
        </w:rPr>
      </w:pPr>
      <w:r>
        <w:rPr>
          <w:rFonts w:ascii="Arial" w:cs="Arial" w:eastAsia="Arial" w:hAnsi="Arial"/>
          <w:sz w:val="15"/>
          <w:szCs w:val="15"/>
          <w:color w:val="auto"/>
        </w:rPr>
        <w:t>any act or omission not in good faith or that involves intentional misconduct or a knowing violation of law;</w:t>
      </w:r>
    </w:p>
    <w:p>
      <w:pPr>
        <w:spacing w:after="0" w:line="109" w:lineRule="exact"/>
        <w:rPr>
          <w:rFonts w:ascii="Arial" w:cs="Arial" w:eastAsia="Arial" w:hAnsi="Arial"/>
          <w:sz w:val="15"/>
          <w:szCs w:val="15"/>
          <w:color w:val="auto"/>
        </w:rPr>
      </w:pPr>
    </w:p>
    <w:p>
      <w:pPr>
        <w:ind w:left="1840" w:right="600" w:hanging="276"/>
        <w:spacing w:after="0" w:line="275" w:lineRule="auto"/>
        <w:tabs>
          <w:tab w:leader="none" w:pos="1840" w:val="left"/>
        </w:tabs>
        <w:numPr>
          <w:ilvl w:val="0"/>
          <w:numId w:val="78"/>
        </w:numPr>
        <w:rPr>
          <w:rFonts w:ascii="Arial" w:cs="Arial" w:eastAsia="Arial" w:hAnsi="Arial"/>
          <w:sz w:val="15"/>
          <w:szCs w:val="15"/>
          <w:color w:val="auto"/>
        </w:rPr>
      </w:pPr>
      <w:r>
        <w:rPr>
          <w:rFonts w:ascii="Arial" w:cs="Arial" w:eastAsia="Arial" w:hAnsi="Arial"/>
          <w:sz w:val="15"/>
          <w:szCs w:val="15"/>
          <w:color w:val="auto"/>
        </w:rPr>
        <w:t>unlawful payments of dividends or unlawful stock repurchases or redemptions as provided in Section 174 of the Delaware General Corporation Law; or</w:t>
      </w:r>
    </w:p>
    <w:p>
      <w:pPr>
        <w:spacing w:after="0" w:line="67" w:lineRule="exact"/>
        <w:rPr>
          <w:rFonts w:ascii="Arial" w:cs="Arial" w:eastAsia="Arial" w:hAnsi="Arial"/>
          <w:sz w:val="15"/>
          <w:szCs w:val="15"/>
          <w:color w:val="auto"/>
        </w:rPr>
      </w:pPr>
    </w:p>
    <w:p>
      <w:pPr>
        <w:ind w:left="1840" w:hanging="276"/>
        <w:spacing w:after="0"/>
        <w:tabs>
          <w:tab w:leader="none" w:pos="1840" w:val="left"/>
        </w:tabs>
        <w:numPr>
          <w:ilvl w:val="0"/>
          <w:numId w:val="78"/>
        </w:numPr>
        <w:rPr>
          <w:rFonts w:ascii="Arial" w:cs="Arial" w:eastAsia="Arial" w:hAnsi="Arial"/>
          <w:sz w:val="15"/>
          <w:szCs w:val="15"/>
          <w:color w:val="auto"/>
        </w:rPr>
      </w:pPr>
      <w:r>
        <w:rPr>
          <w:rFonts w:ascii="Arial" w:cs="Arial" w:eastAsia="Arial" w:hAnsi="Arial"/>
          <w:sz w:val="15"/>
          <w:szCs w:val="15"/>
          <w:color w:val="auto"/>
        </w:rPr>
        <w:t>any transaction from which they derived an improper personal benefit.</w:t>
      </w:r>
    </w:p>
    <w:p>
      <w:pPr>
        <w:spacing w:after="0" w:line="132" w:lineRule="exact"/>
        <w:rPr>
          <w:sz w:val="20"/>
          <w:szCs w:val="20"/>
          <w:color w:val="auto"/>
        </w:rPr>
      </w:pPr>
    </w:p>
    <w:p>
      <w:pPr>
        <w:ind w:left="5600"/>
        <w:spacing w:after="0"/>
        <w:rPr>
          <w:sz w:val="20"/>
          <w:szCs w:val="20"/>
          <w:color w:val="auto"/>
        </w:rPr>
      </w:pPr>
      <w:r>
        <w:rPr>
          <w:rFonts w:ascii="Arial" w:cs="Arial" w:eastAsia="Arial" w:hAnsi="Arial"/>
          <w:sz w:val="15"/>
          <w:szCs w:val="15"/>
          <w:color w:val="auto"/>
        </w:rPr>
        <w:t>162</w:t>
      </w:r>
    </w:p>
    <w:p>
      <w:pPr>
        <w:sectPr>
          <w:pgSz w:w="11900" w:h="16838" w:orient="portrait"/>
          <w:cols w:equalWidth="0" w:num="1">
            <w:col w:w="10300"/>
          </w:cols>
          <w:pgMar w:left="240" w:top="408" w:right="1359" w:bottom="1440" w:gutter="0" w:footer="0" w:header="0"/>
        </w:sectPr>
      </w:pPr>
    </w:p>
    <w:bookmarkStart w:id="169" w:name="page170"/>
    <w:bookmarkEnd w:id="169"/>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133350</wp:posOffset>
            </wp:positionH>
            <wp:positionV relativeFrom="page">
              <wp:posOffset>88900</wp:posOffset>
            </wp:positionV>
            <wp:extent cx="7308850" cy="3429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308850" cy="34290"/>
                    </a:xfrm>
                    <a:prstGeom prst="rect">
                      <a:avLst/>
                    </a:prstGeom>
                    <a:noFill/>
                  </pic:spPr>
                </pic:pic>
              </a:graphicData>
            </a:graphic>
          </wp:anchor>
        </w:drawing>
      </w:r>
      <w:hyperlink w:anchor="page7">
        <w:r>
          <w:rPr>
            <w:rFonts w:ascii="Arial" w:cs="Arial" w:eastAsia="Arial" w:hAnsi="Arial"/>
            <w:sz w:val="15"/>
            <w:szCs w:val="15"/>
            <w:b w:val="1"/>
            <w:bCs w:val="1"/>
            <w:u w:val="single" w:color="auto"/>
            <w:color w:val="0000EE"/>
          </w:rPr>
          <w:t>Table of Contents</w:t>
        </w:r>
      </w:hyperlink>
    </w:p>
    <w:p>
      <w:pPr>
        <w:spacing w:after="0" w:line="260" w:lineRule="exact"/>
        <w:rPr>
          <w:sz w:val="20"/>
          <w:szCs w:val="20"/>
          <w:color w:val="auto"/>
        </w:rPr>
      </w:pPr>
    </w:p>
    <w:p>
      <w:pPr>
        <w:ind w:left="1120" w:right="60" w:firstLine="368"/>
        <w:spacing w:after="0" w:line="259" w:lineRule="auto"/>
        <w:rPr>
          <w:sz w:val="20"/>
          <w:szCs w:val="20"/>
          <w:color w:val="auto"/>
        </w:rPr>
      </w:pPr>
      <w:r>
        <w:rPr>
          <w:rFonts w:ascii="Arial" w:cs="Arial" w:eastAsia="Arial" w:hAnsi="Arial"/>
          <w:sz w:val="15"/>
          <w:szCs w:val="15"/>
          <w:color w:val="auto"/>
        </w:rPr>
        <w:t>Any amendment to, or repeal of, these provisions will not eliminate or reduce the effect of these provisions in respect of any act, omission, or claim that occurred or arose prior to that amendment or repeal. If the Delaware General Corporation Law is amended to provide for further limitations on the personal liability of directors of corporations, then the personal liability of our directors will be further limited to the greatest extent permitted by the Delaware General Corporation Law.</w:t>
      </w:r>
    </w:p>
    <w:p>
      <w:pPr>
        <w:spacing w:after="0" w:line="158" w:lineRule="exact"/>
        <w:rPr>
          <w:sz w:val="20"/>
          <w:szCs w:val="20"/>
          <w:color w:val="auto"/>
        </w:rPr>
      </w:pPr>
    </w:p>
    <w:p>
      <w:pPr>
        <w:ind w:left="1120" w:right="80" w:firstLine="368"/>
        <w:spacing w:after="0" w:line="254" w:lineRule="auto"/>
        <w:rPr>
          <w:sz w:val="20"/>
          <w:szCs w:val="20"/>
          <w:color w:val="auto"/>
        </w:rPr>
      </w:pPr>
      <w:r>
        <w:rPr>
          <w:rFonts w:ascii="Arial" w:cs="Arial" w:eastAsia="Arial" w:hAnsi="Arial"/>
          <w:sz w:val="15"/>
          <w:szCs w:val="15"/>
          <w:color w:val="auto"/>
        </w:rPr>
        <w:t>In addition, we expect to adopt amended and restated bylaws, which will become effective immediately prior to the completion of this offering, and which will provide that we will indemnify, to the fullest extent permitted by law, any person who is or was a party or is threatened to be made a party to any action, suit, or proceeding by reason of the fact that he or she is or was one of our directors or officers or is or was serving at our request as a director or officer of another corporation, partnership, joint venture, trust, or other enterprise. Our amended and restated bylaws are expected to provide that we may indemnify to the fullest extent permitted by law any person who is or was a party or is threatened to be made a party to any action, suit, or proceeding by reason of the fact that he or she is or was one of our employees or agents or is or was serving at our request as an employee or agent of another corporation, partnership, joint venture, trust, or other enterprise. Our amended and restated bylaws will also provide that we must advance expenses incurred by or on behalf of a director or officer in advance of the final disposition of any action or proceeding, subject to limited exceptions.</w:t>
      </w:r>
    </w:p>
    <w:p>
      <w:pPr>
        <w:spacing w:after="0" w:line="162" w:lineRule="exact"/>
        <w:rPr>
          <w:sz w:val="20"/>
          <w:szCs w:val="20"/>
          <w:color w:val="auto"/>
        </w:rPr>
      </w:pPr>
    </w:p>
    <w:p>
      <w:pPr>
        <w:ind w:left="1120" w:firstLine="368"/>
        <w:spacing w:after="0" w:line="305" w:lineRule="auto"/>
        <w:rPr>
          <w:sz w:val="20"/>
          <w:szCs w:val="20"/>
          <w:color w:val="auto"/>
        </w:rPr>
      </w:pPr>
      <w:r>
        <w:rPr>
          <w:rFonts w:ascii="Arial" w:cs="Arial" w:eastAsia="Arial" w:hAnsi="Arial"/>
          <w:sz w:val="13"/>
          <w:szCs w:val="13"/>
          <w:color w:val="auto"/>
        </w:rPr>
        <w:t>Further, we have entered into or will enter into indemnification agreements with each of our directors and executive officers that may be broader than the specific indemnification provisions contained in the Delaware General Corporation Law. These indemnification agreements require us, among other things, to indemnify our directors and executive officers against liabilities that may arise by reason of their status or service. These indemnification agreements also require us to advance all expenses incurred by the directors and executive officers in investigating or defending any such action, suit, or proceeding. We believe that these agreements are necessary to attract and retain qualified individuals to serve as directors and executive officers.</w:t>
      </w:r>
    </w:p>
    <w:p>
      <w:pPr>
        <w:spacing w:after="0" w:line="133" w:lineRule="exact"/>
        <w:rPr>
          <w:sz w:val="20"/>
          <w:szCs w:val="20"/>
          <w:color w:val="auto"/>
        </w:rPr>
      </w:pPr>
    </w:p>
    <w:p>
      <w:pPr>
        <w:ind w:left="1120" w:right="20" w:firstLine="368"/>
        <w:spacing w:after="0" w:line="274" w:lineRule="auto"/>
        <w:rPr>
          <w:sz w:val="20"/>
          <w:szCs w:val="20"/>
          <w:color w:val="auto"/>
        </w:rPr>
      </w:pPr>
      <w:r>
        <w:rPr>
          <w:rFonts w:ascii="Arial" w:cs="Arial" w:eastAsia="Arial" w:hAnsi="Arial"/>
          <w:sz w:val="14"/>
          <w:szCs w:val="14"/>
          <w:color w:val="auto"/>
        </w:rPr>
        <w:t>The limitation of liability and indemnification provisions that are expected to be included in our amended and restated certificate of incorporation, amended and restated bylaws, and in indemnification agreements that we have entered into or will enter into with our directors and executive officers may discourage stockholders from bringing a lawsuit against our directors and executive officers for breach of their fiduciary duties. They may also reduce the likelihood of derivative litigation against our directors and executive officers, even though an action, if successful, might benefit us and other stockholders. Further, a stockholder’s investment may be adversely affected to the extent that we pay the costs of settlement and damage awards against directors and executive officers as required by these indemnification provisions. At present, we are not aware of any pending litigation or proceeding involving any person who is or was one of our directors, officers, employees, or other agents or is or was serving at our request as a director, officer, employee, or agent of another corporation, partnership, joint venture, trust, or other enterprise, for which indemnification is sought, and we are not aware of any threatened litigation that may result in claims for indemnification.</w:t>
      </w:r>
    </w:p>
    <w:p>
      <w:pPr>
        <w:spacing w:after="0" w:line="150" w:lineRule="exact"/>
        <w:rPr>
          <w:sz w:val="20"/>
          <w:szCs w:val="20"/>
          <w:color w:val="auto"/>
        </w:rPr>
      </w:pPr>
    </w:p>
    <w:p>
      <w:pPr>
        <w:ind w:left="1120" w:right="40" w:firstLine="368"/>
        <w:spacing w:after="0" w:line="259" w:lineRule="auto"/>
        <w:rPr>
          <w:sz w:val="20"/>
          <w:szCs w:val="20"/>
          <w:color w:val="auto"/>
        </w:rPr>
      </w:pPr>
      <w:r>
        <w:rPr>
          <w:rFonts w:ascii="Arial" w:cs="Arial" w:eastAsia="Arial" w:hAnsi="Arial"/>
          <w:sz w:val="15"/>
          <w:szCs w:val="15"/>
          <w:color w:val="auto"/>
        </w:rPr>
        <w:t>We have obtained insurance policies under which, subject to the limitations of the policies, coverage is provided to our directors and executive officers against loss arising from claims made by reason of breach of fiduciary duty or other wrongful acts as a director or executive officer, including claims relating to public securities matters, and to us with respect to payments that may be made by us to these directors and executive officers pursuant to our indemnification obligations or otherwise as a matter of law.</w:t>
      </w:r>
    </w:p>
    <w:p>
      <w:pPr>
        <w:spacing w:after="0" w:line="158" w:lineRule="exact"/>
        <w:rPr>
          <w:sz w:val="20"/>
          <w:szCs w:val="20"/>
          <w:color w:val="auto"/>
        </w:rPr>
      </w:pPr>
    </w:p>
    <w:p>
      <w:pPr>
        <w:ind w:left="1120" w:right="500" w:firstLine="368"/>
        <w:spacing w:after="0" w:line="275" w:lineRule="auto"/>
        <w:rPr>
          <w:sz w:val="20"/>
          <w:szCs w:val="20"/>
          <w:color w:val="auto"/>
        </w:rPr>
      </w:pPr>
      <w:r>
        <w:rPr>
          <w:rFonts w:ascii="Arial" w:cs="Arial" w:eastAsia="Arial" w:hAnsi="Arial"/>
          <w:sz w:val="15"/>
          <w:szCs w:val="15"/>
          <w:color w:val="auto"/>
        </w:rPr>
        <w:t>Certain of our non-employee directors may, through their relationships with their employers, be insured and/or indemnified against certain liabilities incurred in their capacity as members of our Board of Directors.</w:t>
      </w:r>
    </w:p>
    <w:p>
      <w:pPr>
        <w:spacing w:after="0" w:line="146" w:lineRule="exact"/>
        <w:rPr>
          <w:sz w:val="20"/>
          <w:szCs w:val="20"/>
          <w:color w:val="auto"/>
        </w:rPr>
      </w:pPr>
    </w:p>
    <w:p>
      <w:pPr>
        <w:ind w:left="1120" w:right="80" w:firstLine="368"/>
        <w:spacing w:after="0" w:line="275" w:lineRule="auto"/>
        <w:rPr>
          <w:sz w:val="20"/>
          <w:szCs w:val="20"/>
          <w:color w:val="auto"/>
        </w:rPr>
      </w:pPr>
      <w:r>
        <w:rPr>
          <w:rFonts w:ascii="Arial" w:cs="Arial" w:eastAsia="Arial" w:hAnsi="Arial"/>
          <w:sz w:val="15"/>
          <w:szCs w:val="15"/>
          <w:color w:val="auto"/>
        </w:rPr>
        <w:t>The underwriting agreement will provide for indemnification by the underwriters of us and our officers and directors for certain liabilities arising under the Securities Act or otherwise.</w:t>
      </w:r>
    </w:p>
    <w:p>
      <w:pPr>
        <w:spacing w:after="0" w:line="146" w:lineRule="exact"/>
        <w:rPr>
          <w:sz w:val="20"/>
          <w:szCs w:val="20"/>
          <w:color w:val="auto"/>
        </w:rPr>
      </w:pPr>
    </w:p>
    <w:p>
      <w:pPr>
        <w:ind w:left="1120" w:right="560" w:firstLine="368"/>
        <w:spacing w:after="0" w:line="275" w:lineRule="auto"/>
        <w:rPr>
          <w:sz w:val="20"/>
          <w:szCs w:val="20"/>
          <w:color w:val="auto"/>
        </w:rPr>
      </w:pPr>
      <w:r>
        <w:rPr>
          <w:rFonts w:ascii="Arial" w:cs="Arial" w:eastAsia="Arial" w:hAnsi="Arial"/>
          <w:sz w:val="15"/>
          <w:szCs w:val="15"/>
          <w:color w:val="auto"/>
        </w:rPr>
        <w:t>Insofar as indemnification for liabilities arising under the Securities Act may be permitted to directors, officers or persons controlling our company pursuant to the foregoing provisions, we have been informed that, in</w:t>
      </w:r>
    </w:p>
    <w:p>
      <w:pPr>
        <w:spacing w:after="0" w:line="90" w:lineRule="exact"/>
        <w:rPr>
          <w:sz w:val="20"/>
          <w:szCs w:val="20"/>
          <w:color w:val="auto"/>
        </w:rPr>
      </w:pPr>
    </w:p>
    <w:p>
      <w:pPr>
        <w:ind w:left="5600"/>
        <w:spacing w:after="0"/>
        <w:rPr>
          <w:sz w:val="20"/>
          <w:szCs w:val="20"/>
          <w:color w:val="auto"/>
        </w:rPr>
      </w:pPr>
      <w:r>
        <w:rPr>
          <w:rFonts w:ascii="Arial" w:cs="Arial" w:eastAsia="Arial" w:hAnsi="Arial"/>
          <w:sz w:val="15"/>
          <w:szCs w:val="15"/>
          <w:color w:val="auto"/>
        </w:rPr>
        <w:t>163</w:t>
      </w:r>
    </w:p>
    <w:p>
      <w:pPr>
        <w:sectPr>
          <w:pgSz w:w="11900" w:h="16838" w:orient="portrait"/>
          <w:cols w:equalWidth="0" w:num="1">
            <w:col w:w="10300"/>
          </w:cols>
          <w:pgMar w:left="240" w:top="407" w:right="1359" w:bottom="1440" w:gutter="0" w:footer="0" w:header="0"/>
        </w:sectPr>
      </w:pPr>
    </w:p>
    <w:bookmarkStart w:id="170" w:name="page171"/>
    <w:bookmarkEnd w:id="170"/>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133350</wp:posOffset>
            </wp:positionH>
            <wp:positionV relativeFrom="page">
              <wp:posOffset>88900</wp:posOffset>
            </wp:positionV>
            <wp:extent cx="7308850" cy="3429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308850" cy="34290"/>
                    </a:xfrm>
                    <a:prstGeom prst="rect">
                      <a:avLst/>
                    </a:prstGeom>
                    <a:noFill/>
                  </pic:spPr>
                </pic:pic>
              </a:graphicData>
            </a:graphic>
          </wp:anchor>
        </w:drawing>
      </w:r>
      <w:hyperlink w:anchor="page7">
        <w:r>
          <w:rPr>
            <w:rFonts w:ascii="Arial" w:cs="Arial" w:eastAsia="Arial" w:hAnsi="Arial"/>
            <w:sz w:val="15"/>
            <w:szCs w:val="15"/>
            <w:b w:val="1"/>
            <w:bCs w:val="1"/>
            <w:u w:val="single" w:color="auto"/>
            <w:color w:val="0000EE"/>
          </w:rPr>
          <w:t>Table of Contents</w:t>
        </w:r>
      </w:hyperlink>
    </w:p>
    <w:p>
      <w:pPr>
        <w:spacing w:after="0" w:line="260"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the opinion of the SEC, such indemnification is against public policy as expressed in the Securities Act and is therefore unenforceable.</w:t>
      </w:r>
    </w:p>
    <w:p>
      <w:pPr>
        <w:spacing w:after="0" w:line="275" w:lineRule="exact"/>
        <w:rPr>
          <w:sz w:val="20"/>
          <w:szCs w:val="20"/>
          <w:color w:val="auto"/>
        </w:rPr>
      </w:pPr>
    </w:p>
    <w:p>
      <w:pPr>
        <w:ind w:left="1120"/>
        <w:spacing w:after="0"/>
        <w:rPr>
          <w:sz w:val="20"/>
          <w:szCs w:val="20"/>
          <w:color w:val="auto"/>
        </w:rPr>
      </w:pPr>
      <w:r>
        <w:rPr>
          <w:rFonts w:ascii="Arial" w:cs="Arial" w:eastAsia="Arial" w:hAnsi="Arial"/>
          <w:sz w:val="15"/>
          <w:szCs w:val="15"/>
          <w:b w:val="1"/>
          <w:bCs w:val="1"/>
          <w:color w:val="auto"/>
        </w:rPr>
        <w:t>Policies and Procedures for Related Party Transactions</w:t>
      </w:r>
    </w:p>
    <w:p>
      <w:pPr>
        <w:spacing w:after="0" w:line="102" w:lineRule="exact"/>
        <w:rPr>
          <w:sz w:val="20"/>
          <w:szCs w:val="20"/>
          <w:color w:val="auto"/>
        </w:rPr>
      </w:pPr>
    </w:p>
    <w:p>
      <w:pPr>
        <w:ind w:left="1120" w:firstLine="368"/>
        <w:spacing w:after="0" w:line="276" w:lineRule="auto"/>
        <w:rPr>
          <w:sz w:val="20"/>
          <w:szCs w:val="20"/>
          <w:color w:val="auto"/>
        </w:rPr>
      </w:pPr>
      <w:r>
        <w:rPr>
          <w:rFonts w:ascii="Arial" w:cs="Arial" w:eastAsia="Arial" w:hAnsi="Arial"/>
          <w:sz w:val="14"/>
          <w:szCs w:val="14"/>
          <w:color w:val="auto"/>
        </w:rPr>
        <w:t>Following the completion of this offering, our audit committee will have the primary responsibility for reviewing and approving or disapproving “related party transactions,” which are transactions between us and related persons in which the aggregate amount involved exceeds or may be expected to exceed $120,000 and in which a related person has or will have a direct or indirect material interest. Upon completion of this offering, our policy regarding transactions between us and related persons will provide that a related person is defined as a director, executive officer, nominee for director, or greater than 5% beneficial owner of our common stock, in each case since the beginning of the most recently completed year, and any of their immediate family members. Our audit committee charter that will be in effect upon completion of this offering will provide that our audit committee shall review and approve or disapprove any related party transactions.</w:t>
      </w:r>
    </w:p>
    <w:p>
      <w:pPr>
        <w:spacing w:after="0" w:line="91" w:lineRule="exact"/>
        <w:rPr>
          <w:sz w:val="20"/>
          <w:szCs w:val="20"/>
          <w:color w:val="auto"/>
        </w:rPr>
      </w:pPr>
    </w:p>
    <w:p>
      <w:pPr>
        <w:ind w:left="5600"/>
        <w:spacing w:after="0"/>
        <w:rPr>
          <w:sz w:val="20"/>
          <w:szCs w:val="20"/>
          <w:color w:val="auto"/>
        </w:rPr>
      </w:pPr>
      <w:r>
        <w:rPr>
          <w:rFonts w:ascii="Arial" w:cs="Arial" w:eastAsia="Arial" w:hAnsi="Arial"/>
          <w:sz w:val="15"/>
          <w:szCs w:val="15"/>
          <w:color w:val="auto"/>
        </w:rPr>
        <w:t>164</w:t>
      </w:r>
    </w:p>
    <w:p>
      <w:pPr>
        <w:sectPr>
          <w:pgSz w:w="11900" w:h="16838" w:orient="portrait"/>
          <w:cols w:equalWidth="0" w:num="1">
            <w:col w:w="10260"/>
          </w:cols>
          <w:pgMar w:left="240" w:top="407" w:right="1399" w:bottom="1440" w:gutter="0" w:footer="0" w:header="0"/>
        </w:sectPr>
      </w:pPr>
    </w:p>
    <w:bookmarkStart w:id="171" w:name="page172"/>
    <w:bookmarkEnd w:id="171"/>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133350</wp:posOffset>
            </wp:positionH>
            <wp:positionV relativeFrom="page">
              <wp:posOffset>88900</wp:posOffset>
            </wp:positionV>
            <wp:extent cx="7308850" cy="3429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308850" cy="34290"/>
                    </a:xfrm>
                    <a:prstGeom prst="rect">
                      <a:avLst/>
                    </a:prstGeom>
                    <a:noFill/>
                  </pic:spPr>
                </pic:pic>
              </a:graphicData>
            </a:graphic>
          </wp:anchor>
        </w:drawing>
      </w:r>
      <w:hyperlink w:anchor="page7">
        <w:r>
          <w:rPr>
            <w:rFonts w:ascii="Arial" w:cs="Arial" w:eastAsia="Arial" w:hAnsi="Arial"/>
            <w:sz w:val="15"/>
            <w:szCs w:val="15"/>
            <w:b w:val="1"/>
            <w:bCs w:val="1"/>
            <w:u w:val="single" w:color="auto"/>
            <w:color w:val="0000EE"/>
          </w:rPr>
          <w:t>Table of Contents</w:t>
        </w:r>
      </w:hyperlink>
    </w:p>
    <w:p>
      <w:pPr>
        <w:spacing w:after="0" w:line="256" w:lineRule="exact"/>
        <w:rPr>
          <w:sz w:val="20"/>
          <w:szCs w:val="20"/>
          <w:color w:val="auto"/>
        </w:rPr>
      </w:pPr>
    </w:p>
    <w:p>
      <w:pPr>
        <w:jc w:val="center"/>
        <w:ind w:right="-1159"/>
        <w:spacing w:after="0"/>
        <w:rPr>
          <w:sz w:val="20"/>
          <w:szCs w:val="20"/>
          <w:color w:val="auto"/>
        </w:rPr>
      </w:pPr>
      <w:r>
        <w:rPr>
          <w:rFonts w:ascii="Arial" w:cs="Arial" w:eastAsia="Arial" w:hAnsi="Arial"/>
          <w:sz w:val="15"/>
          <w:szCs w:val="15"/>
          <w:b w:val="1"/>
          <w:bCs w:val="1"/>
          <w:color w:val="auto"/>
        </w:rPr>
        <w:t>PRINCIPAL AND SELLING STOCKHOLDERS</w:t>
      </w:r>
    </w:p>
    <w:p>
      <w:pPr>
        <w:spacing w:after="0" w:line="192" w:lineRule="exact"/>
        <w:rPr>
          <w:sz w:val="20"/>
          <w:szCs w:val="20"/>
          <w:color w:val="auto"/>
        </w:rPr>
      </w:pPr>
    </w:p>
    <w:p>
      <w:pPr>
        <w:ind w:left="1120" w:right="320" w:firstLine="368"/>
        <w:spacing w:after="0" w:line="322" w:lineRule="auto"/>
        <w:rPr>
          <w:sz w:val="20"/>
          <w:szCs w:val="20"/>
          <w:color w:val="auto"/>
        </w:rPr>
      </w:pPr>
      <w:r>
        <w:rPr>
          <w:rFonts w:ascii="Arial" w:cs="Arial" w:eastAsia="Arial" w:hAnsi="Arial"/>
          <w:sz w:val="13"/>
          <w:szCs w:val="13"/>
          <w:color w:val="auto"/>
        </w:rPr>
        <w:t>The following table sets forth certain information with respect to the beneficial ownership of our capital stock as of January 31, 2018, and as adjusted to reflect the sale of our common stock offered by us and the selling stockholders in this offering and the concurrent private placement assuming no exercise of the underwriters’ option to purchase additional shares of our common stock from us and the selling stockholders, for:</w:t>
      </w:r>
    </w:p>
    <w:p>
      <w:pPr>
        <w:spacing w:after="0" w:line="41" w:lineRule="exact"/>
        <w:rPr>
          <w:sz w:val="20"/>
          <w:szCs w:val="20"/>
          <w:color w:val="auto"/>
        </w:rPr>
      </w:pPr>
    </w:p>
    <w:p>
      <w:pPr>
        <w:ind w:left="1840" w:hanging="276"/>
        <w:spacing w:after="0"/>
        <w:tabs>
          <w:tab w:leader="none" w:pos="1840" w:val="left"/>
        </w:tabs>
        <w:numPr>
          <w:ilvl w:val="0"/>
          <w:numId w:val="79"/>
        </w:numPr>
        <w:rPr>
          <w:rFonts w:ascii="Arial" w:cs="Arial" w:eastAsia="Arial" w:hAnsi="Arial"/>
          <w:sz w:val="15"/>
          <w:szCs w:val="15"/>
          <w:color w:val="auto"/>
        </w:rPr>
      </w:pPr>
      <w:r>
        <w:rPr>
          <w:rFonts w:ascii="Arial" w:cs="Arial" w:eastAsia="Arial" w:hAnsi="Arial"/>
          <w:sz w:val="15"/>
          <w:szCs w:val="15"/>
          <w:color w:val="auto"/>
        </w:rPr>
        <w:t>each of our named executive officers;</w:t>
      </w:r>
    </w:p>
    <w:p>
      <w:pPr>
        <w:spacing w:after="0" w:line="109" w:lineRule="exact"/>
        <w:rPr>
          <w:rFonts w:ascii="Arial" w:cs="Arial" w:eastAsia="Arial" w:hAnsi="Arial"/>
          <w:sz w:val="15"/>
          <w:szCs w:val="15"/>
          <w:color w:val="auto"/>
        </w:rPr>
      </w:pPr>
    </w:p>
    <w:p>
      <w:pPr>
        <w:ind w:left="1840" w:hanging="276"/>
        <w:spacing w:after="0"/>
        <w:tabs>
          <w:tab w:leader="none" w:pos="1840" w:val="left"/>
        </w:tabs>
        <w:numPr>
          <w:ilvl w:val="0"/>
          <w:numId w:val="79"/>
        </w:numPr>
        <w:rPr>
          <w:rFonts w:ascii="Arial" w:cs="Arial" w:eastAsia="Arial" w:hAnsi="Arial"/>
          <w:sz w:val="15"/>
          <w:szCs w:val="15"/>
          <w:color w:val="auto"/>
        </w:rPr>
      </w:pPr>
      <w:r>
        <w:rPr>
          <w:rFonts w:ascii="Arial" w:cs="Arial" w:eastAsia="Arial" w:hAnsi="Arial"/>
          <w:sz w:val="15"/>
          <w:szCs w:val="15"/>
          <w:color w:val="auto"/>
        </w:rPr>
        <w:t>each of our directors;</w:t>
      </w:r>
    </w:p>
    <w:p>
      <w:pPr>
        <w:spacing w:after="0" w:line="109" w:lineRule="exact"/>
        <w:rPr>
          <w:rFonts w:ascii="Arial" w:cs="Arial" w:eastAsia="Arial" w:hAnsi="Arial"/>
          <w:sz w:val="15"/>
          <w:szCs w:val="15"/>
          <w:color w:val="auto"/>
        </w:rPr>
      </w:pPr>
    </w:p>
    <w:p>
      <w:pPr>
        <w:ind w:left="1840" w:hanging="276"/>
        <w:spacing w:after="0"/>
        <w:tabs>
          <w:tab w:leader="none" w:pos="1840" w:val="left"/>
        </w:tabs>
        <w:numPr>
          <w:ilvl w:val="0"/>
          <w:numId w:val="79"/>
        </w:numPr>
        <w:rPr>
          <w:rFonts w:ascii="Arial" w:cs="Arial" w:eastAsia="Arial" w:hAnsi="Arial"/>
          <w:sz w:val="15"/>
          <w:szCs w:val="15"/>
          <w:color w:val="auto"/>
        </w:rPr>
      </w:pPr>
      <w:r>
        <w:rPr>
          <w:rFonts w:ascii="Arial" w:cs="Arial" w:eastAsia="Arial" w:hAnsi="Arial"/>
          <w:sz w:val="15"/>
          <w:szCs w:val="15"/>
          <w:color w:val="auto"/>
        </w:rPr>
        <w:t>all of our current directors and executive officers as a group;</w:t>
      </w:r>
    </w:p>
    <w:p>
      <w:pPr>
        <w:spacing w:after="0" w:line="109" w:lineRule="exact"/>
        <w:rPr>
          <w:rFonts w:ascii="Arial" w:cs="Arial" w:eastAsia="Arial" w:hAnsi="Arial"/>
          <w:sz w:val="15"/>
          <w:szCs w:val="15"/>
          <w:color w:val="auto"/>
        </w:rPr>
      </w:pPr>
    </w:p>
    <w:p>
      <w:pPr>
        <w:ind w:left="1840" w:right="180" w:hanging="276"/>
        <w:spacing w:after="0" w:line="275" w:lineRule="auto"/>
        <w:tabs>
          <w:tab w:leader="none" w:pos="1840" w:val="left"/>
        </w:tabs>
        <w:numPr>
          <w:ilvl w:val="0"/>
          <w:numId w:val="79"/>
        </w:numPr>
        <w:rPr>
          <w:rFonts w:ascii="Arial" w:cs="Arial" w:eastAsia="Arial" w:hAnsi="Arial"/>
          <w:sz w:val="15"/>
          <w:szCs w:val="15"/>
          <w:color w:val="auto"/>
        </w:rPr>
      </w:pPr>
      <w:r>
        <w:rPr>
          <w:rFonts w:ascii="Arial" w:cs="Arial" w:eastAsia="Arial" w:hAnsi="Arial"/>
          <w:sz w:val="15"/>
          <w:szCs w:val="15"/>
          <w:color w:val="auto"/>
        </w:rPr>
        <w:t>each person known by us to be the beneficial owner of more than 5% of the outstanding shares of each of our Class A common stock and Class B common stock; and</w:t>
      </w:r>
    </w:p>
    <w:p>
      <w:pPr>
        <w:spacing w:after="0" w:line="67" w:lineRule="exact"/>
        <w:rPr>
          <w:rFonts w:ascii="Arial" w:cs="Arial" w:eastAsia="Arial" w:hAnsi="Arial"/>
          <w:sz w:val="15"/>
          <w:szCs w:val="15"/>
          <w:color w:val="auto"/>
        </w:rPr>
      </w:pPr>
    </w:p>
    <w:p>
      <w:pPr>
        <w:ind w:left="1840" w:hanging="276"/>
        <w:spacing w:after="0"/>
        <w:tabs>
          <w:tab w:leader="none" w:pos="1840" w:val="left"/>
        </w:tabs>
        <w:numPr>
          <w:ilvl w:val="0"/>
          <w:numId w:val="79"/>
        </w:numPr>
        <w:rPr>
          <w:rFonts w:ascii="Arial" w:cs="Arial" w:eastAsia="Arial" w:hAnsi="Arial"/>
          <w:sz w:val="15"/>
          <w:szCs w:val="15"/>
          <w:color w:val="auto"/>
        </w:rPr>
      </w:pPr>
      <w:r>
        <w:rPr>
          <w:rFonts w:ascii="Arial" w:cs="Arial" w:eastAsia="Arial" w:hAnsi="Arial"/>
          <w:sz w:val="15"/>
          <w:szCs w:val="15"/>
          <w:color w:val="auto"/>
        </w:rPr>
        <w:t>all selling stockholders.</w:t>
      </w:r>
    </w:p>
    <w:p>
      <w:pPr>
        <w:spacing w:after="0" w:line="188" w:lineRule="exact"/>
        <w:rPr>
          <w:sz w:val="20"/>
          <w:szCs w:val="20"/>
          <w:color w:val="auto"/>
        </w:rPr>
      </w:pPr>
    </w:p>
    <w:p>
      <w:pPr>
        <w:ind w:left="1120" w:right="140" w:firstLine="368"/>
        <w:spacing w:after="0" w:line="257" w:lineRule="auto"/>
        <w:rPr>
          <w:sz w:val="20"/>
          <w:szCs w:val="20"/>
          <w:color w:val="auto"/>
        </w:rPr>
      </w:pPr>
      <w:r>
        <w:rPr>
          <w:rFonts w:ascii="Arial" w:cs="Arial" w:eastAsia="Arial" w:hAnsi="Arial"/>
          <w:sz w:val="15"/>
          <w:szCs w:val="15"/>
          <w:color w:val="auto"/>
        </w:rPr>
        <w:t>We have determined beneficial ownership in accordance with the rules of the SEC, and thus it represents sole or shared voting or investment power with respect to our securities. Unless otherwise indicated below, to our knowledge, the persons and entities named in the table have sole voting and sole investment power with respect to all shares that they beneficially owned, subject to community property laws where applicable. The information does not necessarily indicate beneficial ownership for any other purpose, including for purposes of Sections 13(d) and 13(g) of the Securities Act.</w:t>
      </w:r>
    </w:p>
    <w:p>
      <w:pPr>
        <w:spacing w:after="0" w:line="159" w:lineRule="exact"/>
        <w:rPr>
          <w:sz w:val="20"/>
          <w:szCs w:val="20"/>
          <w:color w:val="auto"/>
        </w:rPr>
      </w:pPr>
    </w:p>
    <w:p>
      <w:pPr>
        <w:ind w:left="1120" w:firstLine="368"/>
        <w:spacing w:after="0" w:line="263" w:lineRule="auto"/>
        <w:rPr>
          <w:sz w:val="20"/>
          <w:szCs w:val="20"/>
          <w:color w:val="auto"/>
        </w:rPr>
      </w:pPr>
      <w:r>
        <w:rPr>
          <w:rFonts w:ascii="Arial" w:cs="Arial" w:eastAsia="Arial" w:hAnsi="Arial"/>
          <w:sz w:val="15"/>
          <w:szCs w:val="15"/>
          <w:color w:val="auto"/>
        </w:rPr>
        <w:t>We have based our calculation of the percentage of beneficial ownership prior to this offering and the concurrent private placement on 26,989,114 shares of our Class A common stock, 348,933,885 shares of our Class B common stock, and no shares of our Class C common Stock outstanding as of January 31, 2018, and reflected:</w:t>
      </w:r>
    </w:p>
    <w:p>
      <w:pPr>
        <w:spacing w:after="0" w:line="76" w:lineRule="exact"/>
        <w:rPr>
          <w:sz w:val="20"/>
          <w:szCs w:val="20"/>
          <w:color w:val="auto"/>
        </w:rPr>
      </w:pPr>
    </w:p>
    <w:p>
      <w:pPr>
        <w:ind w:left="1840" w:right="220" w:hanging="276"/>
        <w:spacing w:after="0" w:line="259" w:lineRule="auto"/>
        <w:tabs>
          <w:tab w:leader="none" w:pos="1840" w:val="left"/>
        </w:tabs>
        <w:numPr>
          <w:ilvl w:val="0"/>
          <w:numId w:val="80"/>
        </w:numPr>
        <w:rPr>
          <w:rFonts w:ascii="Arial" w:cs="Arial" w:eastAsia="Arial" w:hAnsi="Arial"/>
          <w:sz w:val="15"/>
          <w:szCs w:val="15"/>
          <w:color w:val="auto"/>
        </w:rPr>
      </w:pPr>
      <w:r>
        <w:rPr>
          <w:rFonts w:ascii="Arial" w:cs="Arial" w:eastAsia="Arial" w:hAnsi="Arial"/>
          <w:sz w:val="15"/>
          <w:szCs w:val="15"/>
          <w:color w:val="auto"/>
        </w:rPr>
        <w:t>(i) 258,620 shares of preferred stock and 2,609,951 shares of Class B common stock that will convert into Class A common stock immediately prior to the completion of this offering pursuant to the terms of certain transfer agreements, and (ii) 147,310,563 shares of preferred stock that will automatically convert into shares of Class B common stock immediately prior to the completion of this offering pursuant to the terms of our amended and restated certificate of incorporation;</w:t>
      </w:r>
    </w:p>
    <w:p>
      <w:pPr>
        <w:spacing w:after="0" w:line="78" w:lineRule="exact"/>
        <w:rPr>
          <w:rFonts w:ascii="Arial" w:cs="Arial" w:eastAsia="Arial" w:hAnsi="Arial"/>
          <w:sz w:val="15"/>
          <w:szCs w:val="15"/>
          <w:color w:val="auto"/>
        </w:rPr>
      </w:pPr>
    </w:p>
    <w:p>
      <w:pPr>
        <w:ind w:left="1840" w:right="60" w:hanging="276"/>
        <w:spacing w:after="0" w:line="259" w:lineRule="auto"/>
        <w:tabs>
          <w:tab w:leader="none" w:pos="1840" w:val="left"/>
        </w:tabs>
        <w:numPr>
          <w:ilvl w:val="0"/>
          <w:numId w:val="80"/>
        </w:numPr>
        <w:rPr>
          <w:rFonts w:ascii="Arial" w:cs="Arial" w:eastAsia="Arial" w:hAnsi="Arial"/>
          <w:sz w:val="15"/>
          <w:szCs w:val="15"/>
          <w:color w:val="auto"/>
        </w:rPr>
      </w:pPr>
      <w:r>
        <w:rPr>
          <w:rFonts w:ascii="Arial" w:cs="Arial" w:eastAsia="Arial" w:hAnsi="Arial"/>
          <w:sz w:val="15"/>
          <w:szCs w:val="15"/>
          <w:color w:val="auto"/>
        </w:rPr>
        <w:t>16,010,519 shares of our Class B common stock subject to RSUs, for which the service condition was satisfied as of January 31, 2018, and for which we expect the Performance Vesting Condition to be satisfied upon the effectiveness of our registration statement related to this offering (after repurchasing 10,236,235 shares of our Class B common stock subject to RSUs to satisfy tax withholding obligations at an assumed tax rate of 39%); and</w:t>
      </w:r>
    </w:p>
    <w:p>
      <w:pPr>
        <w:spacing w:after="0" w:line="78" w:lineRule="exact"/>
        <w:rPr>
          <w:rFonts w:ascii="Arial" w:cs="Arial" w:eastAsia="Arial" w:hAnsi="Arial"/>
          <w:sz w:val="15"/>
          <w:szCs w:val="15"/>
          <w:color w:val="auto"/>
        </w:rPr>
      </w:pPr>
    </w:p>
    <w:p>
      <w:pPr>
        <w:ind w:left="1840" w:right="140" w:hanging="276"/>
        <w:spacing w:after="0" w:line="275" w:lineRule="auto"/>
        <w:tabs>
          <w:tab w:leader="none" w:pos="1840" w:val="left"/>
        </w:tabs>
        <w:numPr>
          <w:ilvl w:val="0"/>
          <w:numId w:val="80"/>
        </w:numPr>
        <w:rPr>
          <w:rFonts w:ascii="Arial" w:cs="Arial" w:eastAsia="Arial" w:hAnsi="Arial"/>
          <w:sz w:val="15"/>
          <w:szCs w:val="15"/>
          <w:color w:val="auto"/>
        </w:rPr>
      </w:pPr>
      <w:r>
        <w:rPr>
          <w:rFonts w:ascii="Arial" w:cs="Arial" w:eastAsia="Arial" w:hAnsi="Arial"/>
          <w:sz w:val="15"/>
          <w:szCs w:val="15"/>
          <w:color w:val="auto"/>
        </w:rPr>
        <w:t>14,733,333 shares of our Class A common stock subject to RSAs that were granted pursuant to our Co-Founder Grants, and vest upon the satisfaction of the service condition and achievement of certain stock price goals.</w:t>
      </w:r>
    </w:p>
    <w:p>
      <w:pPr>
        <w:spacing w:after="0" w:line="146" w:lineRule="exact"/>
        <w:rPr>
          <w:sz w:val="20"/>
          <w:szCs w:val="20"/>
          <w:color w:val="auto"/>
        </w:rPr>
      </w:pPr>
    </w:p>
    <w:p>
      <w:pPr>
        <w:ind w:left="1480"/>
        <w:spacing w:after="0"/>
        <w:rPr>
          <w:sz w:val="20"/>
          <w:szCs w:val="20"/>
          <w:color w:val="auto"/>
        </w:rPr>
      </w:pPr>
      <w:r>
        <w:rPr>
          <w:rFonts w:ascii="Arial" w:cs="Arial" w:eastAsia="Arial" w:hAnsi="Arial"/>
          <w:sz w:val="15"/>
          <w:szCs w:val="15"/>
          <w:color w:val="auto"/>
        </w:rPr>
        <w:t>We have based our calculation of the percentage of beneficial ownership after this offering and the concurrent private placement on</w:t>
      </w:r>
    </w:p>
    <w:p>
      <w:pPr>
        <w:spacing w:after="0" w:line="17" w:lineRule="exact"/>
        <w:rPr>
          <w:sz w:val="20"/>
          <w:szCs w:val="20"/>
          <w:color w:val="auto"/>
        </w:rPr>
      </w:pPr>
    </w:p>
    <w:p>
      <w:pPr>
        <w:ind w:left="1120"/>
        <w:spacing w:after="0"/>
        <w:rPr>
          <w:sz w:val="20"/>
          <w:szCs w:val="20"/>
          <w:color w:val="auto"/>
        </w:rPr>
      </w:pPr>
      <w:r>
        <w:rPr>
          <w:rFonts w:ascii="Arial" w:cs="Arial" w:eastAsia="Arial" w:hAnsi="Arial"/>
          <w:sz w:val="13"/>
          <w:szCs w:val="13"/>
          <w:color w:val="auto"/>
        </w:rPr>
        <w:t>32,085,567 shares of our Class A common stock issued by us in our initial public offering and the concurrent private placement and 68,252,272 shares</w:t>
      </w:r>
    </w:p>
    <w:p>
      <w:pPr>
        <w:spacing w:after="0" w:line="31" w:lineRule="exact"/>
        <w:rPr>
          <w:sz w:val="20"/>
          <w:szCs w:val="20"/>
          <w:color w:val="auto"/>
        </w:rPr>
      </w:pPr>
    </w:p>
    <w:p>
      <w:pPr>
        <w:ind w:left="1120"/>
        <w:spacing w:after="0"/>
        <w:rPr>
          <w:sz w:val="20"/>
          <w:szCs w:val="20"/>
          <w:color w:val="auto"/>
        </w:rPr>
      </w:pPr>
      <w:r>
        <w:rPr>
          <w:rFonts w:ascii="Arial" w:cs="Arial" w:eastAsia="Arial" w:hAnsi="Arial"/>
          <w:sz w:val="14"/>
          <w:szCs w:val="14"/>
          <w:color w:val="auto"/>
        </w:rPr>
        <w:t>of Class A common stock and 339,756,294 shares of Class B common stock outstanding immediately after the completion of this offering and the</w:t>
      </w:r>
    </w:p>
    <w:p>
      <w:pPr>
        <w:spacing w:after="0" w:line="19" w:lineRule="exact"/>
        <w:rPr>
          <w:sz w:val="20"/>
          <w:szCs w:val="20"/>
          <w:color w:val="auto"/>
        </w:rPr>
      </w:pPr>
    </w:p>
    <w:p>
      <w:pPr>
        <w:ind w:left="1120"/>
        <w:spacing w:after="0"/>
        <w:rPr>
          <w:sz w:val="20"/>
          <w:szCs w:val="20"/>
          <w:color w:val="auto"/>
        </w:rPr>
      </w:pPr>
      <w:r>
        <w:rPr>
          <w:rFonts w:ascii="Arial" w:cs="Arial" w:eastAsia="Arial" w:hAnsi="Arial"/>
          <w:sz w:val="14"/>
          <w:szCs w:val="14"/>
          <w:color w:val="auto"/>
        </w:rPr>
        <w:t>concurrent private placement, assuming that the underwriters will not exercise their option to purchase up to an additional 5,400,000 shares of our</w:t>
      </w:r>
    </w:p>
    <w:p>
      <w:pPr>
        <w:spacing w:after="0" w:line="19" w:lineRule="exact"/>
        <w:rPr>
          <w:sz w:val="20"/>
          <w:szCs w:val="20"/>
          <w:color w:val="auto"/>
        </w:rPr>
      </w:pPr>
    </w:p>
    <w:p>
      <w:pPr>
        <w:ind w:left="1120"/>
        <w:spacing w:after="0"/>
        <w:rPr>
          <w:sz w:val="20"/>
          <w:szCs w:val="20"/>
          <w:color w:val="auto"/>
        </w:rPr>
      </w:pPr>
      <w:r>
        <w:rPr>
          <w:rFonts w:ascii="Arial" w:cs="Arial" w:eastAsia="Arial" w:hAnsi="Arial"/>
          <w:sz w:val="14"/>
          <w:szCs w:val="14"/>
          <w:color w:val="auto"/>
        </w:rPr>
        <w:t>Class A common stock from us in full. We have deemed shares of our common stock subject to stock options that are currently exercisable or</w:t>
      </w:r>
    </w:p>
    <w:p>
      <w:pPr>
        <w:spacing w:after="0" w:line="19" w:lineRule="exact"/>
        <w:rPr>
          <w:sz w:val="20"/>
          <w:szCs w:val="20"/>
          <w:color w:val="auto"/>
        </w:rPr>
      </w:pPr>
    </w:p>
    <w:p>
      <w:pPr>
        <w:ind w:left="1120"/>
        <w:spacing w:after="0"/>
        <w:rPr>
          <w:sz w:val="20"/>
          <w:szCs w:val="20"/>
          <w:color w:val="auto"/>
        </w:rPr>
      </w:pPr>
      <w:r>
        <w:rPr>
          <w:rFonts w:ascii="Arial" w:cs="Arial" w:eastAsia="Arial" w:hAnsi="Arial"/>
          <w:sz w:val="13"/>
          <w:szCs w:val="13"/>
          <w:color w:val="auto"/>
        </w:rPr>
        <w:t>exercisable within 60 days of January 31, 2018, or issuable pursuant to RSUs which are subject to vesting and settlement conditions expected to occur</w:t>
      </w:r>
    </w:p>
    <w:p>
      <w:pPr>
        <w:spacing w:after="0" w:line="31" w:lineRule="exact"/>
        <w:rPr>
          <w:sz w:val="20"/>
          <w:szCs w:val="20"/>
          <w:color w:val="auto"/>
        </w:rPr>
      </w:pPr>
    </w:p>
    <w:p>
      <w:pPr>
        <w:ind w:left="1120"/>
        <w:spacing w:after="0"/>
        <w:rPr>
          <w:sz w:val="20"/>
          <w:szCs w:val="20"/>
          <w:color w:val="auto"/>
        </w:rPr>
      </w:pPr>
      <w:r>
        <w:rPr>
          <w:rFonts w:ascii="Arial" w:cs="Arial" w:eastAsia="Arial" w:hAnsi="Arial"/>
          <w:sz w:val="13"/>
          <w:szCs w:val="13"/>
          <w:color w:val="auto"/>
        </w:rPr>
        <w:t>within 60 days of January 31, 2018, to be outstanding and to be beneficially owned by the person holding the stock option or RSU for the purpose of</w:t>
      </w:r>
    </w:p>
    <w:p>
      <w:pPr>
        <w:spacing w:after="0" w:line="31" w:lineRule="exact"/>
        <w:rPr>
          <w:sz w:val="20"/>
          <w:szCs w:val="20"/>
          <w:color w:val="auto"/>
        </w:rPr>
      </w:pPr>
    </w:p>
    <w:p>
      <w:pPr>
        <w:ind w:left="1120"/>
        <w:spacing w:after="0"/>
        <w:rPr>
          <w:sz w:val="20"/>
          <w:szCs w:val="20"/>
          <w:color w:val="auto"/>
        </w:rPr>
      </w:pPr>
      <w:r>
        <w:rPr>
          <w:rFonts w:ascii="Arial" w:cs="Arial" w:eastAsia="Arial" w:hAnsi="Arial"/>
          <w:sz w:val="13"/>
          <w:szCs w:val="13"/>
          <w:color w:val="auto"/>
        </w:rPr>
        <w:t>computing the percentage ownership of that person. We did not deem these shares outstanding, however, for the purpose of computing the percentage</w:t>
      </w:r>
    </w:p>
    <w:p>
      <w:pPr>
        <w:spacing w:after="0" w:line="31" w:lineRule="exact"/>
        <w:rPr>
          <w:sz w:val="20"/>
          <w:szCs w:val="20"/>
          <w:color w:val="auto"/>
        </w:rPr>
      </w:pPr>
    </w:p>
    <w:p>
      <w:pPr>
        <w:ind w:left="1120"/>
        <w:spacing w:after="0"/>
        <w:rPr>
          <w:sz w:val="20"/>
          <w:szCs w:val="20"/>
          <w:color w:val="auto"/>
        </w:rPr>
      </w:pPr>
      <w:r>
        <w:rPr>
          <w:rFonts w:ascii="Arial" w:cs="Arial" w:eastAsia="Arial" w:hAnsi="Arial"/>
          <w:sz w:val="15"/>
          <w:szCs w:val="15"/>
          <w:color w:val="auto"/>
        </w:rPr>
        <w:t>ownership of any other person.</w:t>
      </w:r>
    </w:p>
    <w:p>
      <w:pPr>
        <w:spacing w:after="0" w:line="123" w:lineRule="exact"/>
        <w:rPr>
          <w:sz w:val="20"/>
          <w:szCs w:val="20"/>
          <w:color w:val="auto"/>
        </w:rPr>
      </w:pPr>
    </w:p>
    <w:p>
      <w:pPr>
        <w:ind w:left="5600"/>
        <w:spacing w:after="0"/>
        <w:rPr>
          <w:sz w:val="20"/>
          <w:szCs w:val="20"/>
          <w:color w:val="auto"/>
        </w:rPr>
      </w:pPr>
      <w:r>
        <w:rPr>
          <w:rFonts w:ascii="Arial" w:cs="Arial" w:eastAsia="Arial" w:hAnsi="Arial"/>
          <w:sz w:val="15"/>
          <w:szCs w:val="15"/>
          <w:color w:val="auto"/>
        </w:rPr>
        <w:t>165</w:t>
      </w:r>
    </w:p>
    <w:p>
      <w:pPr>
        <w:sectPr>
          <w:pgSz w:w="11900" w:h="16838" w:orient="portrait"/>
          <w:cols w:equalWidth="0" w:num="1">
            <w:col w:w="10260"/>
          </w:cols>
          <w:pgMar w:left="240" w:top="408" w:right="1399" w:bottom="1440" w:gutter="0" w:footer="0" w:header="0"/>
        </w:sectPr>
      </w:pPr>
    </w:p>
    <w:bookmarkStart w:id="172" w:name="page173"/>
    <w:bookmarkEnd w:id="172"/>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133350</wp:posOffset>
            </wp:positionH>
            <wp:positionV relativeFrom="page">
              <wp:posOffset>88900</wp:posOffset>
            </wp:positionV>
            <wp:extent cx="7308850" cy="3429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308850" cy="34290"/>
                    </a:xfrm>
                    <a:prstGeom prst="rect">
                      <a:avLst/>
                    </a:prstGeom>
                    <a:noFill/>
                  </pic:spPr>
                </pic:pic>
              </a:graphicData>
            </a:graphic>
          </wp:anchor>
        </w:drawing>
      </w:r>
      <w:hyperlink w:anchor="page7">
        <w:r>
          <w:rPr>
            <w:rFonts w:ascii="Arial" w:cs="Arial" w:eastAsia="Arial" w:hAnsi="Arial"/>
            <w:sz w:val="15"/>
            <w:szCs w:val="15"/>
            <w:b w:val="1"/>
            <w:bCs w:val="1"/>
            <w:u w:val="single" w:color="auto"/>
            <w:color w:val="0000EE"/>
          </w:rPr>
          <w:t>Table of Contents</w:t>
        </w:r>
      </w:hyperlink>
    </w:p>
    <w:p>
      <w:pPr>
        <w:spacing w:after="0" w:line="260" w:lineRule="exact"/>
        <w:rPr>
          <w:sz w:val="20"/>
          <w:szCs w:val="20"/>
          <w:color w:val="auto"/>
        </w:rPr>
      </w:pPr>
    </w:p>
    <w:p>
      <w:pPr>
        <w:ind w:left="1120" w:right="1240" w:firstLine="368"/>
        <w:spacing w:after="0" w:line="275" w:lineRule="auto"/>
        <w:rPr>
          <w:sz w:val="20"/>
          <w:szCs w:val="20"/>
          <w:color w:val="auto"/>
        </w:rPr>
      </w:pPr>
      <w:r>
        <w:rPr>
          <w:rFonts w:ascii="Arial" w:cs="Arial" w:eastAsia="Arial" w:hAnsi="Arial"/>
          <w:sz w:val="15"/>
          <w:szCs w:val="15"/>
          <w:color w:val="auto"/>
        </w:rPr>
        <w:t>Unless otherwise indicated, the address of each beneficial owner listed in the table below is c/o Dropbox, Inc., 333 Brannan Street, San Francisco, California 94107.</w:t>
      </w:r>
    </w:p>
    <w:p>
      <w:pPr>
        <w:spacing w:after="0" w:line="170" w:lineRule="exact"/>
        <w:rPr>
          <w:sz w:val="20"/>
          <w:szCs w:val="20"/>
          <w:color w:val="auto"/>
        </w:rPr>
      </w:pPr>
    </w:p>
    <w:tbl>
      <w:tblPr>
        <w:tblLayout w:type="fixed"/>
        <w:tblInd w:w="1120" w:type="dxa"/>
        <w:tblCellMar>
          <w:top w:w="0" w:type="dxa"/>
          <w:left w:w="0" w:type="dxa"/>
          <w:bottom w:w="0" w:type="dxa"/>
          <w:right w:w="0" w:type="dxa"/>
        </w:tblCellMar>
      </w:tblPr>
      <w:tr>
        <w:trPr>
          <w:trHeight w:val="115"/>
        </w:trPr>
        <w:tc>
          <w:tcPr>
            <w:tcW w:w="10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20" w:type="dxa"/>
            <w:vAlign w:val="bottom"/>
            <w:gridSpan w:val="2"/>
          </w:tcPr>
          <w:p>
            <w:pPr>
              <w:jc w:val="center"/>
              <w:ind w:right="160"/>
              <w:spacing w:after="0"/>
              <w:rPr>
                <w:sz w:val="20"/>
                <w:szCs w:val="20"/>
                <w:color w:val="auto"/>
              </w:rPr>
            </w:pPr>
            <w:r>
              <w:rPr>
                <w:rFonts w:ascii="Arial" w:cs="Arial" w:eastAsia="Arial" w:hAnsi="Arial"/>
                <w:sz w:val="10"/>
                <w:szCs w:val="10"/>
                <w:b w:val="1"/>
                <w:bCs w:val="1"/>
                <w:color w:val="auto"/>
                <w:w w:val="93"/>
              </w:rPr>
              <w:t>% of total</w:t>
            </w:r>
          </w:p>
        </w:tc>
        <w:tc>
          <w:tcPr>
            <w:tcW w:w="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3"/>
        </w:trPr>
        <w:tc>
          <w:tcPr>
            <w:tcW w:w="1040" w:type="dxa"/>
            <w:vAlign w:val="bottom"/>
          </w:tcPr>
          <w:p>
            <w:pPr>
              <w:spacing w:after="0"/>
              <w:rPr>
                <w:sz w:val="9"/>
                <w:szCs w:val="9"/>
                <w:color w:val="auto"/>
              </w:rPr>
            </w:pPr>
          </w:p>
        </w:tc>
        <w:tc>
          <w:tcPr>
            <w:tcW w:w="60" w:type="dxa"/>
            <w:vAlign w:val="bottom"/>
          </w:tcPr>
          <w:p>
            <w:pPr>
              <w:spacing w:after="0"/>
              <w:rPr>
                <w:sz w:val="9"/>
                <w:szCs w:val="9"/>
                <w:color w:val="auto"/>
              </w:rPr>
            </w:pPr>
          </w:p>
        </w:tc>
        <w:tc>
          <w:tcPr>
            <w:tcW w:w="500" w:type="dxa"/>
            <w:vAlign w:val="bottom"/>
          </w:tcPr>
          <w:p>
            <w:pPr>
              <w:spacing w:after="0"/>
              <w:rPr>
                <w:sz w:val="9"/>
                <w:szCs w:val="9"/>
                <w:color w:val="auto"/>
              </w:rPr>
            </w:pPr>
          </w:p>
        </w:tc>
        <w:tc>
          <w:tcPr>
            <w:tcW w:w="60" w:type="dxa"/>
            <w:vAlign w:val="bottom"/>
          </w:tcPr>
          <w:p>
            <w:pPr>
              <w:spacing w:after="0"/>
              <w:rPr>
                <w:sz w:val="9"/>
                <w:szCs w:val="9"/>
                <w:color w:val="auto"/>
              </w:rPr>
            </w:pPr>
          </w:p>
        </w:tc>
        <w:tc>
          <w:tcPr>
            <w:tcW w:w="2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 w:type="dxa"/>
            <w:vAlign w:val="bottom"/>
          </w:tcPr>
          <w:p>
            <w:pPr>
              <w:spacing w:after="0"/>
              <w:rPr>
                <w:sz w:val="9"/>
                <w:szCs w:val="9"/>
                <w:color w:val="auto"/>
              </w:rPr>
            </w:pPr>
          </w:p>
        </w:tc>
        <w:tc>
          <w:tcPr>
            <w:tcW w:w="50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 w:type="dxa"/>
            <w:vAlign w:val="bottom"/>
          </w:tcPr>
          <w:p>
            <w:pPr>
              <w:spacing w:after="0"/>
              <w:rPr>
                <w:sz w:val="9"/>
                <w:szCs w:val="9"/>
                <w:color w:val="auto"/>
              </w:rPr>
            </w:pPr>
          </w:p>
        </w:tc>
        <w:tc>
          <w:tcPr>
            <w:tcW w:w="480" w:type="dxa"/>
            <w:vAlign w:val="bottom"/>
          </w:tcPr>
          <w:p>
            <w:pPr>
              <w:spacing w:after="0"/>
              <w:rPr>
                <w:sz w:val="9"/>
                <w:szCs w:val="9"/>
                <w:color w:val="auto"/>
              </w:rPr>
            </w:pPr>
          </w:p>
        </w:tc>
        <w:tc>
          <w:tcPr>
            <w:tcW w:w="160" w:type="dxa"/>
            <w:vAlign w:val="bottom"/>
          </w:tcPr>
          <w:p>
            <w:pPr>
              <w:spacing w:after="0"/>
              <w:rPr>
                <w:sz w:val="9"/>
                <w:szCs w:val="9"/>
                <w:color w:val="auto"/>
              </w:rPr>
            </w:pPr>
          </w:p>
        </w:tc>
        <w:tc>
          <w:tcPr>
            <w:tcW w:w="46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60" w:type="dxa"/>
            <w:vAlign w:val="bottom"/>
          </w:tcPr>
          <w:p>
            <w:pPr>
              <w:spacing w:after="0"/>
              <w:rPr>
                <w:sz w:val="9"/>
                <w:szCs w:val="9"/>
                <w:color w:val="auto"/>
              </w:rPr>
            </w:pPr>
          </w:p>
        </w:tc>
        <w:tc>
          <w:tcPr>
            <w:tcW w:w="2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 w:type="dxa"/>
            <w:vAlign w:val="bottom"/>
          </w:tcPr>
          <w:p>
            <w:pPr>
              <w:spacing w:after="0"/>
              <w:rPr>
                <w:sz w:val="9"/>
                <w:szCs w:val="9"/>
                <w:color w:val="auto"/>
              </w:rPr>
            </w:pPr>
          </w:p>
        </w:tc>
        <w:tc>
          <w:tcPr>
            <w:tcW w:w="50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 w:type="dxa"/>
            <w:vAlign w:val="bottom"/>
          </w:tcPr>
          <w:p>
            <w:pPr>
              <w:spacing w:after="0"/>
              <w:rPr>
                <w:sz w:val="9"/>
                <w:szCs w:val="9"/>
                <w:color w:val="auto"/>
              </w:rPr>
            </w:pPr>
          </w:p>
        </w:tc>
        <w:tc>
          <w:tcPr>
            <w:tcW w:w="620" w:type="dxa"/>
            <w:vAlign w:val="bottom"/>
            <w:gridSpan w:val="2"/>
          </w:tcPr>
          <w:p>
            <w:pPr>
              <w:jc w:val="center"/>
              <w:ind w:right="160"/>
              <w:spacing w:after="0" w:line="113" w:lineRule="exact"/>
              <w:rPr>
                <w:sz w:val="20"/>
                <w:szCs w:val="20"/>
                <w:color w:val="auto"/>
              </w:rPr>
            </w:pPr>
            <w:r>
              <w:rPr>
                <w:rFonts w:ascii="Arial" w:cs="Arial" w:eastAsia="Arial" w:hAnsi="Arial"/>
                <w:sz w:val="10"/>
                <w:szCs w:val="10"/>
                <w:b w:val="1"/>
                <w:bCs w:val="1"/>
                <w:color w:val="auto"/>
                <w:w w:val="86"/>
              </w:rPr>
              <w:t>voting</w:t>
            </w:r>
          </w:p>
        </w:tc>
        <w:tc>
          <w:tcPr>
            <w:tcW w:w="50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 w:type="dxa"/>
            <w:vAlign w:val="bottom"/>
          </w:tcPr>
          <w:p>
            <w:pPr>
              <w:spacing w:after="0"/>
              <w:rPr>
                <w:sz w:val="9"/>
                <w:szCs w:val="9"/>
                <w:color w:val="auto"/>
              </w:rPr>
            </w:pPr>
          </w:p>
        </w:tc>
        <w:tc>
          <w:tcPr>
            <w:tcW w:w="2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1040" w:type="dxa"/>
            <w:vAlign w:val="bottom"/>
          </w:tcPr>
          <w:p>
            <w:pPr>
              <w:spacing w:after="0"/>
              <w:rPr>
                <w:sz w:val="9"/>
                <w:szCs w:val="9"/>
                <w:color w:val="auto"/>
              </w:rPr>
            </w:pPr>
          </w:p>
        </w:tc>
        <w:tc>
          <w:tcPr>
            <w:tcW w:w="60" w:type="dxa"/>
            <w:vAlign w:val="bottom"/>
          </w:tcPr>
          <w:p>
            <w:pPr>
              <w:spacing w:after="0"/>
              <w:rPr>
                <w:sz w:val="9"/>
                <w:szCs w:val="9"/>
                <w:color w:val="auto"/>
              </w:rPr>
            </w:pPr>
          </w:p>
        </w:tc>
        <w:tc>
          <w:tcPr>
            <w:tcW w:w="500" w:type="dxa"/>
            <w:vAlign w:val="bottom"/>
          </w:tcPr>
          <w:p>
            <w:pPr>
              <w:spacing w:after="0"/>
              <w:rPr>
                <w:sz w:val="9"/>
                <w:szCs w:val="9"/>
                <w:color w:val="auto"/>
              </w:rPr>
            </w:pPr>
          </w:p>
        </w:tc>
        <w:tc>
          <w:tcPr>
            <w:tcW w:w="60" w:type="dxa"/>
            <w:vAlign w:val="bottom"/>
          </w:tcPr>
          <w:p>
            <w:pPr>
              <w:spacing w:after="0"/>
              <w:rPr>
                <w:sz w:val="9"/>
                <w:szCs w:val="9"/>
                <w:color w:val="auto"/>
              </w:rPr>
            </w:pPr>
          </w:p>
        </w:tc>
        <w:tc>
          <w:tcPr>
            <w:tcW w:w="2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 w:type="dxa"/>
            <w:vAlign w:val="bottom"/>
          </w:tcPr>
          <w:p>
            <w:pPr>
              <w:spacing w:after="0"/>
              <w:rPr>
                <w:sz w:val="9"/>
                <w:szCs w:val="9"/>
                <w:color w:val="auto"/>
              </w:rPr>
            </w:pPr>
          </w:p>
        </w:tc>
        <w:tc>
          <w:tcPr>
            <w:tcW w:w="50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 w:type="dxa"/>
            <w:vAlign w:val="bottom"/>
          </w:tcPr>
          <w:p>
            <w:pPr>
              <w:spacing w:after="0"/>
              <w:rPr>
                <w:sz w:val="9"/>
                <w:szCs w:val="9"/>
                <w:color w:val="auto"/>
              </w:rPr>
            </w:pPr>
          </w:p>
        </w:tc>
        <w:tc>
          <w:tcPr>
            <w:tcW w:w="480" w:type="dxa"/>
            <w:vAlign w:val="bottom"/>
          </w:tcPr>
          <w:p>
            <w:pPr>
              <w:spacing w:after="0"/>
              <w:rPr>
                <w:sz w:val="9"/>
                <w:szCs w:val="9"/>
                <w:color w:val="auto"/>
              </w:rPr>
            </w:pPr>
          </w:p>
        </w:tc>
        <w:tc>
          <w:tcPr>
            <w:tcW w:w="160" w:type="dxa"/>
            <w:vAlign w:val="bottom"/>
          </w:tcPr>
          <w:p>
            <w:pPr>
              <w:spacing w:after="0"/>
              <w:rPr>
                <w:sz w:val="9"/>
                <w:szCs w:val="9"/>
                <w:color w:val="auto"/>
              </w:rPr>
            </w:pPr>
          </w:p>
        </w:tc>
        <w:tc>
          <w:tcPr>
            <w:tcW w:w="46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60" w:type="dxa"/>
            <w:vAlign w:val="bottom"/>
          </w:tcPr>
          <w:p>
            <w:pPr>
              <w:spacing w:after="0"/>
              <w:rPr>
                <w:sz w:val="9"/>
                <w:szCs w:val="9"/>
                <w:color w:val="auto"/>
              </w:rPr>
            </w:pPr>
          </w:p>
        </w:tc>
        <w:tc>
          <w:tcPr>
            <w:tcW w:w="2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 w:type="dxa"/>
            <w:vAlign w:val="bottom"/>
          </w:tcPr>
          <w:p>
            <w:pPr>
              <w:spacing w:after="0"/>
              <w:rPr>
                <w:sz w:val="9"/>
                <w:szCs w:val="9"/>
                <w:color w:val="auto"/>
              </w:rPr>
            </w:pPr>
          </w:p>
        </w:tc>
        <w:tc>
          <w:tcPr>
            <w:tcW w:w="50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 w:type="dxa"/>
            <w:vAlign w:val="bottom"/>
          </w:tcPr>
          <w:p>
            <w:pPr>
              <w:spacing w:after="0"/>
              <w:rPr>
                <w:sz w:val="9"/>
                <w:szCs w:val="9"/>
                <w:color w:val="auto"/>
              </w:rPr>
            </w:pPr>
          </w:p>
        </w:tc>
        <w:tc>
          <w:tcPr>
            <w:tcW w:w="620" w:type="dxa"/>
            <w:vAlign w:val="bottom"/>
            <w:gridSpan w:val="2"/>
          </w:tcPr>
          <w:p>
            <w:pPr>
              <w:jc w:val="center"/>
              <w:ind w:right="160"/>
              <w:spacing w:after="0" w:line="113" w:lineRule="exact"/>
              <w:rPr>
                <w:sz w:val="20"/>
                <w:szCs w:val="20"/>
                <w:color w:val="auto"/>
              </w:rPr>
            </w:pPr>
            <w:r>
              <w:rPr>
                <w:rFonts w:ascii="Arial" w:cs="Arial" w:eastAsia="Arial" w:hAnsi="Arial"/>
                <w:sz w:val="10"/>
                <w:szCs w:val="10"/>
                <w:b w:val="1"/>
                <w:bCs w:val="1"/>
                <w:color w:val="auto"/>
                <w:w w:val="88"/>
              </w:rPr>
              <w:t>power</w:t>
            </w:r>
          </w:p>
        </w:tc>
        <w:tc>
          <w:tcPr>
            <w:tcW w:w="50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 w:type="dxa"/>
            <w:vAlign w:val="bottom"/>
          </w:tcPr>
          <w:p>
            <w:pPr>
              <w:spacing w:after="0"/>
              <w:rPr>
                <w:sz w:val="9"/>
                <w:szCs w:val="9"/>
                <w:color w:val="auto"/>
              </w:rPr>
            </w:pPr>
          </w:p>
        </w:tc>
        <w:tc>
          <w:tcPr>
            <w:tcW w:w="2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1040" w:type="dxa"/>
            <w:vAlign w:val="bottom"/>
          </w:tcPr>
          <w:p>
            <w:pPr>
              <w:spacing w:after="0"/>
              <w:rPr>
                <w:sz w:val="9"/>
                <w:szCs w:val="9"/>
                <w:color w:val="auto"/>
              </w:rPr>
            </w:pPr>
          </w:p>
        </w:tc>
        <w:tc>
          <w:tcPr>
            <w:tcW w:w="60" w:type="dxa"/>
            <w:vAlign w:val="bottom"/>
          </w:tcPr>
          <w:p>
            <w:pPr>
              <w:spacing w:after="0"/>
              <w:rPr>
                <w:sz w:val="9"/>
                <w:szCs w:val="9"/>
                <w:color w:val="auto"/>
              </w:rPr>
            </w:pPr>
          </w:p>
        </w:tc>
        <w:tc>
          <w:tcPr>
            <w:tcW w:w="500" w:type="dxa"/>
            <w:vAlign w:val="bottom"/>
          </w:tcPr>
          <w:p>
            <w:pPr>
              <w:spacing w:after="0"/>
              <w:rPr>
                <w:sz w:val="9"/>
                <w:szCs w:val="9"/>
                <w:color w:val="auto"/>
              </w:rPr>
            </w:pPr>
          </w:p>
        </w:tc>
        <w:tc>
          <w:tcPr>
            <w:tcW w:w="60" w:type="dxa"/>
            <w:vAlign w:val="bottom"/>
          </w:tcPr>
          <w:p>
            <w:pPr>
              <w:spacing w:after="0"/>
              <w:rPr>
                <w:sz w:val="9"/>
                <w:szCs w:val="9"/>
                <w:color w:val="auto"/>
              </w:rPr>
            </w:pPr>
          </w:p>
        </w:tc>
        <w:tc>
          <w:tcPr>
            <w:tcW w:w="2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 w:type="dxa"/>
            <w:vAlign w:val="bottom"/>
          </w:tcPr>
          <w:p>
            <w:pPr>
              <w:spacing w:after="0"/>
              <w:rPr>
                <w:sz w:val="9"/>
                <w:szCs w:val="9"/>
                <w:color w:val="auto"/>
              </w:rPr>
            </w:pPr>
          </w:p>
        </w:tc>
        <w:tc>
          <w:tcPr>
            <w:tcW w:w="50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 w:type="dxa"/>
            <w:vAlign w:val="bottom"/>
          </w:tcPr>
          <w:p>
            <w:pPr>
              <w:spacing w:after="0"/>
              <w:rPr>
                <w:sz w:val="9"/>
                <w:szCs w:val="9"/>
                <w:color w:val="auto"/>
              </w:rPr>
            </w:pPr>
          </w:p>
        </w:tc>
        <w:tc>
          <w:tcPr>
            <w:tcW w:w="480" w:type="dxa"/>
            <w:vAlign w:val="bottom"/>
          </w:tcPr>
          <w:p>
            <w:pPr>
              <w:spacing w:after="0"/>
              <w:rPr>
                <w:sz w:val="9"/>
                <w:szCs w:val="9"/>
                <w:color w:val="auto"/>
              </w:rPr>
            </w:pPr>
          </w:p>
        </w:tc>
        <w:tc>
          <w:tcPr>
            <w:tcW w:w="160" w:type="dxa"/>
            <w:vAlign w:val="bottom"/>
          </w:tcPr>
          <w:p>
            <w:pPr>
              <w:spacing w:after="0"/>
              <w:rPr>
                <w:sz w:val="9"/>
                <w:szCs w:val="9"/>
                <w:color w:val="auto"/>
              </w:rPr>
            </w:pPr>
          </w:p>
        </w:tc>
        <w:tc>
          <w:tcPr>
            <w:tcW w:w="46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60" w:type="dxa"/>
            <w:vAlign w:val="bottom"/>
          </w:tcPr>
          <w:p>
            <w:pPr>
              <w:spacing w:after="0"/>
              <w:rPr>
                <w:sz w:val="9"/>
                <w:szCs w:val="9"/>
                <w:color w:val="auto"/>
              </w:rPr>
            </w:pPr>
          </w:p>
        </w:tc>
        <w:tc>
          <w:tcPr>
            <w:tcW w:w="2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 w:type="dxa"/>
            <w:vAlign w:val="bottom"/>
          </w:tcPr>
          <w:p>
            <w:pPr>
              <w:spacing w:after="0"/>
              <w:rPr>
                <w:sz w:val="9"/>
                <w:szCs w:val="9"/>
                <w:color w:val="auto"/>
              </w:rPr>
            </w:pPr>
          </w:p>
        </w:tc>
        <w:tc>
          <w:tcPr>
            <w:tcW w:w="50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 w:type="dxa"/>
            <w:vAlign w:val="bottom"/>
          </w:tcPr>
          <w:p>
            <w:pPr>
              <w:spacing w:after="0"/>
              <w:rPr>
                <w:sz w:val="9"/>
                <w:szCs w:val="9"/>
                <w:color w:val="auto"/>
              </w:rPr>
            </w:pPr>
          </w:p>
        </w:tc>
        <w:tc>
          <w:tcPr>
            <w:tcW w:w="620" w:type="dxa"/>
            <w:vAlign w:val="bottom"/>
            <w:gridSpan w:val="2"/>
          </w:tcPr>
          <w:p>
            <w:pPr>
              <w:jc w:val="center"/>
              <w:ind w:right="180"/>
              <w:spacing w:after="0" w:line="113" w:lineRule="exact"/>
              <w:rPr>
                <w:sz w:val="20"/>
                <w:szCs w:val="20"/>
                <w:color w:val="auto"/>
              </w:rPr>
            </w:pPr>
            <w:r>
              <w:rPr>
                <w:rFonts w:ascii="Arial" w:cs="Arial" w:eastAsia="Arial" w:hAnsi="Arial"/>
                <w:sz w:val="10"/>
                <w:szCs w:val="10"/>
                <w:b w:val="1"/>
                <w:bCs w:val="1"/>
                <w:color w:val="auto"/>
                <w:w w:val="92"/>
              </w:rPr>
              <w:t>after</w:t>
            </w:r>
          </w:p>
        </w:tc>
        <w:tc>
          <w:tcPr>
            <w:tcW w:w="50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 w:type="dxa"/>
            <w:vAlign w:val="bottom"/>
          </w:tcPr>
          <w:p>
            <w:pPr>
              <w:spacing w:after="0"/>
              <w:rPr>
                <w:sz w:val="9"/>
                <w:szCs w:val="9"/>
                <w:color w:val="auto"/>
              </w:rPr>
            </w:pPr>
          </w:p>
        </w:tc>
        <w:tc>
          <w:tcPr>
            <w:tcW w:w="2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1040" w:type="dxa"/>
            <w:vAlign w:val="bottom"/>
          </w:tcPr>
          <w:p>
            <w:pPr>
              <w:spacing w:after="0"/>
              <w:rPr>
                <w:sz w:val="9"/>
                <w:szCs w:val="9"/>
                <w:color w:val="auto"/>
              </w:rPr>
            </w:pPr>
          </w:p>
        </w:tc>
        <w:tc>
          <w:tcPr>
            <w:tcW w:w="60" w:type="dxa"/>
            <w:vAlign w:val="bottom"/>
          </w:tcPr>
          <w:p>
            <w:pPr>
              <w:spacing w:after="0"/>
              <w:rPr>
                <w:sz w:val="9"/>
                <w:szCs w:val="9"/>
                <w:color w:val="auto"/>
              </w:rPr>
            </w:pPr>
          </w:p>
        </w:tc>
        <w:tc>
          <w:tcPr>
            <w:tcW w:w="500" w:type="dxa"/>
            <w:vAlign w:val="bottom"/>
          </w:tcPr>
          <w:p>
            <w:pPr>
              <w:spacing w:after="0"/>
              <w:rPr>
                <w:sz w:val="9"/>
                <w:szCs w:val="9"/>
                <w:color w:val="auto"/>
              </w:rPr>
            </w:pPr>
          </w:p>
        </w:tc>
        <w:tc>
          <w:tcPr>
            <w:tcW w:w="60" w:type="dxa"/>
            <w:vAlign w:val="bottom"/>
          </w:tcPr>
          <w:p>
            <w:pPr>
              <w:spacing w:after="0"/>
              <w:rPr>
                <w:sz w:val="9"/>
                <w:szCs w:val="9"/>
                <w:color w:val="auto"/>
              </w:rPr>
            </w:pPr>
          </w:p>
        </w:tc>
        <w:tc>
          <w:tcPr>
            <w:tcW w:w="2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 w:type="dxa"/>
            <w:vAlign w:val="bottom"/>
          </w:tcPr>
          <w:p>
            <w:pPr>
              <w:spacing w:after="0"/>
              <w:rPr>
                <w:sz w:val="9"/>
                <w:szCs w:val="9"/>
                <w:color w:val="auto"/>
              </w:rPr>
            </w:pPr>
          </w:p>
        </w:tc>
        <w:tc>
          <w:tcPr>
            <w:tcW w:w="50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 w:type="dxa"/>
            <w:vAlign w:val="bottom"/>
          </w:tcPr>
          <w:p>
            <w:pPr>
              <w:spacing w:after="0"/>
              <w:rPr>
                <w:sz w:val="9"/>
                <w:szCs w:val="9"/>
                <w:color w:val="auto"/>
              </w:rPr>
            </w:pPr>
          </w:p>
        </w:tc>
        <w:tc>
          <w:tcPr>
            <w:tcW w:w="480" w:type="dxa"/>
            <w:vAlign w:val="bottom"/>
          </w:tcPr>
          <w:p>
            <w:pPr>
              <w:spacing w:after="0"/>
              <w:rPr>
                <w:sz w:val="9"/>
                <w:szCs w:val="9"/>
                <w:color w:val="auto"/>
              </w:rPr>
            </w:pPr>
          </w:p>
        </w:tc>
        <w:tc>
          <w:tcPr>
            <w:tcW w:w="160" w:type="dxa"/>
            <w:vAlign w:val="bottom"/>
          </w:tcPr>
          <w:p>
            <w:pPr>
              <w:spacing w:after="0"/>
              <w:rPr>
                <w:sz w:val="9"/>
                <w:szCs w:val="9"/>
                <w:color w:val="auto"/>
              </w:rPr>
            </w:pPr>
          </w:p>
        </w:tc>
        <w:tc>
          <w:tcPr>
            <w:tcW w:w="46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60" w:type="dxa"/>
            <w:vAlign w:val="bottom"/>
          </w:tcPr>
          <w:p>
            <w:pPr>
              <w:spacing w:after="0"/>
              <w:rPr>
                <w:sz w:val="9"/>
                <w:szCs w:val="9"/>
                <w:color w:val="auto"/>
              </w:rPr>
            </w:pPr>
          </w:p>
        </w:tc>
        <w:tc>
          <w:tcPr>
            <w:tcW w:w="2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 w:type="dxa"/>
            <w:vAlign w:val="bottom"/>
          </w:tcPr>
          <w:p>
            <w:pPr>
              <w:spacing w:after="0"/>
              <w:rPr>
                <w:sz w:val="9"/>
                <w:szCs w:val="9"/>
                <w:color w:val="auto"/>
              </w:rPr>
            </w:pPr>
          </w:p>
        </w:tc>
        <w:tc>
          <w:tcPr>
            <w:tcW w:w="50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 w:type="dxa"/>
            <w:vAlign w:val="bottom"/>
          </w:tcPr>
          <w:p>
            <w:pPr>
              <w:spacing w:after="0"/>
              <w:rPr>
                <w:sz w:val="9"/>
                <w:szCs w:val="9"/>
                <w:color w:val="auto"/>
              </w:rPr>
            </w:pPr>
          </w:p>
        </w:tc>
        <w:tc>
          <w:tcPr>
            <w:tcW w:w="620" w:type="dxa"/>
            <w:vAlign w:val="bottom"/>
            <w:gridSpan w:val="2"/>
          </w:tcPr>
          <w:p>
            <w:pPr>
              <w:jc w:val="center"/>
              <w:ind w:right="160"/>
              <w:spacing w:after="0" w:line="113" w:lineRule="exact"/>
              <w:rPr>
                <w:sz w:val="20"/>
                <w:szCs w:val="20"/>
                <w:color w:val="auto"/>
              </w:rPr>
            </w:pPr>
            <w:r>
              <w:rPr>
                <w:rFonts w:ascii="Arial" w:cs="Arial" w:eastAsia="Arial" w:hAnsi="Arial"/>
                <w:sz w:val="10"/>
                <w:szCs w:val="10"/>
                <w:b w:val="1"/>
                <w:bCs w:val="1"/>
                <w:color w:val="auto"/>
                <w:w w:val="91"/>
              </w:rPr>
              <w:t>offering</w:t>
            </w:r>
          </w:p>
        </w:tc>
        <w:tc>
          <w:tcPr>
            <w:tcW w:w="50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 w:type="dxa"/>
            <w:vAlign w:val="bottom"/>
          </w:tcPr>
          <w:p>
            <w:pPr>
              <w:spacing w:after="0"/>
              <w:rPr>
                <w:sz w:val="9"/>
                <w:szCs w:val="9"/>
                <w:color w:val="auto"/>
              </w:rPr>
            </w:pPr>
          </w:p>
        </w:tc>
        <w:tc>
          <w:tcPr>
            <w:tcW w:w="2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1040" w:type="dxa"/>
            <w:vAlign w:val="bottom"/>
          </w:tcPr>
          <w:p>
            <w:pPr>
              <w:spacing w:after="0"/>
              <w:rPr>
                <w:sz w:val="9"/>
                <w:szCs w:val="9"/>
                <w:color w:val="auto"/>
              </w:rPr>
            </w:pPr>
          </w:p>
        </w:tc>
        <w:tc>
          <w:tcPr>
            <w:tcW w:w="60" w:type="dxa"/>
            <w:vAlign w:val="bottom"/>
          </w:tcPr>
          <w:p>
            <w:pPr>
              <w:spacing w:after="0"/>
              <w:rPr>
                <w:sz w:val="9"/>
                <w:szCs w:val="9"/>
                <w:color w:val="auto"/>
              </w:rPr>
            </w:pPr>
          </w:p>
        </w:tc>
        <w:tc>
          <w:tcPr>
            <w:tcW w:w="500" w:type="dxa"/>
            <w:vAlign w:val="bottom"/>
          </w:tcPr>
          <w:p>
            <w:pPr>
              <w:spacing w:after="0"/>
              <w:rPr>
                <w:sz w:val="9"/>
                <w:szCs w:val="9"/>
                <w:color w:val="auto"/>
              </w:rPr>
            </w:pPr>
          </w:p>
        </w:tc>
        <w:tc>
          <w:tcPr>
            <w:tcW w:w="60" w:type="dxa"/>
            <w:vAlign w:val="bottom"/>
          </w:tcPr>
          <w:p>
            <w:pPr>
              <w:spacing w:after="0"/>
              <w:rPr>
                <w:sz w:val="9"/>
                <w:szCs w:val="9"/>
                <w:color w:val="auto"/>
              </w:rPr>
            </w:pPr>
          </w:p>
        </w:tc>
        <w:tc>
          <w:tcPr>
            <w:tcW w:w="2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 w:type="dxa"/>
            <w:vAlign w:val="bottom"/>
          </w:tcPr>
          <w:p>
            <w:pPr>
              <w:spacing w:after="0"/>
              <w:rPr>
                <w:sz w:val="9"/>
                <w:szCs w:val="9"/>
                <w:color w:val="auto"/>
              </w:rPr>
            </w:pPr>
          </w:p>
        </w:tc>
        <w:tc>
          <w:tcPr>
            <w:tcW w:w="50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 w:type="dxa"/>
            <w:vAlign w:val="bottom"/>
          </w:tcPr>
          <w:p>
            <w:pPr>
              <w:spacing w:after="0"/>
              <w:rPr>
                <w:sz w:val="9"/>
                <w:szCs w:val="9"/>
                <w:color w:val="auto"/>
              </w:rPr>
            </w:pPr>
          </w:p>
        </w:tc>
        <w:tc>
          <w:tcPr>
            <w:tcW w:w="480" w:type="dxa"/>
            <w:vAlign w:val="bottom"/>
          </w:tcPr>
          <w:p>
            <w:pPr>
              <w:spacing w:after="0"/>
              <w:rPr>
                <w:sz w:val="9"/>
                <w:szCs w:val="9"/>
                <w:color w:val="auto"/>
              </w:rPr>
            </w:pPr>
          </w:p>
        </w:tc>
        <w:tc>
          <w:tcPr>
            <w:tcW w:w="160" w:type="dxa"/>
            <w:vAlign w:val="bottom"/>
          </w:tcPr>
          <w:p>
            <w:pPr>
              <w:spacing w:after="0"/>
              <w:rPr>
                <w:sz w:val="9"/>
                <w:szCs w:val="9"/>
                <w:color w:val="auto"/>
              </w:rPr>
            </w:pPr>
          </w:p>
        </w:tc>
        <w:tc>
          <w:tcPr>
            <w:tcW w:w="46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60" w:type="dxa"/>
            <w:vAlign w:val="bottom"/>
          </w:tcPr>
          <w:p>
            <w:pPr>
              <w:spacing w:after="0"/>
              <w:rPr>
                <w:sz w:val="9"/>
                <w:szCs w:val="9"/>
                <w:color w:val="auto"/>
              </w:rPr>
            </w:pPr>
          </w:p>
        </w:tc>
        <w:tc>
          <w:tcPr>
            <w:tcW w:w="2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 w:type="dxa"/>
            <w:vAlign w:val="bottom"/>
          </w:tcPr>
          <w:p>
            <w:pPr>
              <w:spacing w:after="0"/>
              <w:rPr>
                <w:sz w:val="9"/>
                <w:szCs w:val="9"/>
                <w:color w:val="auto"/>
              </w:rPr>
            </w:pPr>
          </w:p>
        </w:tc>
        <w:tc>
          <w:tcPr>
            <w:tcW w:w="50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 w:type="dxa"/>
            <w:vAlign w:val="bottom"/>
          </w:tcPr>
          <w:p>
            <w:pPr>
              <w:spacing w:after="0"/>
              <w:rPr>
                <w:sz w:val="9"/>
                <w:szCs w:val="9"/>
                <w:color w:val="auto"/>
              </w:rPr>
            </w:pPr>
          </w:p>
        </w:tc>
        <w:tc>
          <w:tcPr>
            <w:tcW w:w="620" w:type="dxa"/>
            <w:vAlign w:val="bottom"/>
            <w:gridSpan w:val="2"/>
          </w:tcPr>
          <w:p>
            <w:pPr>
              <w:jc w:val="center"/>
              <w:ind w:right="160"/>
              <w:spacing w:after="0" w:line="113" w:lineRule="exact"/>
              <w:rPr>
                <w:sz w:val="20"/>
                <w:szCs w:val="20"/>
                <w:color w:val="auto"/>
              </w:rPr>
            </w:pPr>
            <w:r>
              <w:rPr>
                <w:rFonts w:ascii="Arial" w:cs="Arial" w:eastAsia="Arial" w:hAnsi="Arial"/>
                <w:sz w:val="10"/>
                <w:szCs w:val="10"/>
                <w:b w:val="1"/>
                <w:bCs w:val="1"/>
                <w:color w:val="auto"/>
                <w:w w:val="84"/>
              </w:rPr>
              <w:t>and the</w:t>
            </w:r>
          </w:p>
        </w:tc>
        <w:tc>
          <w:tcPr>
            <w:tcW w:w="50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 w:type="dxa"/>
            <w:vAlign w:val="bottom"/>
          </w:tcPr>
          <w:p>
            <w:pPr>
              <w:spacing w:after="0"/>
              <w:rPr>
                <w:sz w:val="9"/>
                <w:szCs w:val="9"/>
                <w:color w:val="auto"/>
              </w:rPr>
            </w:pPr>
          </w:p>
        </w:tc>
        <w:tc>
          <w:tcPr>
            <w:tcW w:w="2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1040" w:type="dxa"/>
            <w:vAlign w:val="bottom"/>
          </w:tcPr>
          <w:p>
            <w:pPr>
              <w:spacing w:after="0"/>
              <w:rPr>
                <w:sz w:val="9"/>
                <w:szCs w:val="9"/>
                <w:color w:val="auto"/>
              </w:rPr>
            </w:pPr>
          </w:p>
        </w:tc>
        <w:tc>
          <w:tcPr>
            <w:tcW w:w="60" w:type="dxa"/>
            <w:vAlign w:val="bottom"/>
          </w:tcPr>
          <w:p>
            <w:pPr>
              <w:spacing w:after="0"/>
              <w:rPr>
                <w:sz w:val="9"/>
                <w:szCs w:val="9"/>
                <w:color w:val="auto"/>
              </w:rPr>
            </w:pPr>
          </w:p>
        </w:tc>
        <w:tc>
          <w:tcPr>
            <w:tcW w:w="500" w:type="dxa"/>
            <w:vAlign w:val="bottom"/>
          </w:tcPr>
          <w:p>
            <w:pPr>
              <w:spacing w:after="0"/>
              <w:rPr>
                <w:sz w:val="9"/>
                <w:szCs w:val="9"/>
                <w:color w:val="auto"/>
              </w:rPr>
            </w:pPr>
          </w:p>
        </w:tc>
        <w:tc>
          <w:tcPr>
            <w:tcW w:w="60" w:type="dxa"/>
            <w:vAlign w:val="bottom"/>
          </w:tcPr>
          <w:p>
            <w:pPr>
              <w:spacing w:after="0"/>
              <w:rPr>
                <w:sz w:val="9"/>
                <w:szCs w:val="9"/>
                <w:color w:val="auto"/>
              </w:rPr>
            </w:pPr>
          </w:p>
        </w:tc>
        <w:tc>
          <w:tcPr>
            <w:tcW w:w="2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 w:type="dxa"/>
            <w:vAlign w:val="bottom"/>
          </w:tcPr>
          <w:p>
            <w:pPr>
              <w:spacing w:after="0"/>
              <w:rPr>
                <w:sz w:val="9"/>
                <w:szCs w:val="9"/>
                <w:color w:val="auto"/>
              </w:rPr>
            </w:pPr>
          </w:p>
        </w:tc>
        <w:tc>
          <w:tcPr>
            <w:tcW w:w="50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 w:type="dxa"/>
            <w:vAlign w:val="bottom"/>
          </w:tcPr>
          <w:p>
            <w:pPr>
              <w:spacing w:after="0"/>
              <w:rPr>
                <w:sz w:val="9"/>
                <w:szCs w:val="9"/>
                <w:color w:val="auto"/>
              </w:rPr>
            </w:pPr>
          </w:p>
        </w:tc>
        <w:tc>
          <w:tcPr>
            <w:tcW w:w="480" w:type="dxa"/>
            <w:vAlign w:val="bottom"/>
          </w:tcPr>
          <w:p>
            <w:pPr>
              <w:spacing w:after="0"/>
              <w:rPr>
                <w:sz w:val="9"/>
                <w:szCs w:val="9"/>
                <w:color w:val="auto"/>
              </w:rPr>
            </w:pPr>
          </w:p>
        </w:tc>
        <w:tc>
          <w:tcPr>
            <w:tcW w:w="160" w:type="dxa"/>
            <w:vAlign w:val="bottom"/>
          </w:tcPr>
          <w:p>
            <w:pPr>
              <w:spacing w:after="0"/>
              <w:rPr>
                <w:sz w:val="9"/>
                <w:szCs w:val="9"/>
                <w:color w:val="auto"/>
              </w:rPr>
            </w:pPr>
          </w:p>
        </w:tc>
        <w:tc>
          <w:tcPr>
            <w:tcW w:w="460" w:type="dxa"/>
            <w:vAlign w:val="bottom"/>
          </w:tcPr>
          <w:p>
            <w:pPr>
              <w:spacing w:after="0"/>
              <w:rPr>
                <w:sz w:val="9"/>
                <w:szCs w:val="9"/>
                <w:color w:val="auto"/>
              </w:rPr>
            </w:pPr>
          </w:p>
        </w:tc>
        <w:tc>
          <w:tcPr>
            <w:tcW w:w="80" w:type="dxa"/>
            <w:vAlign w:val="bottom"/>
          </w:tcPr>
          <w:p>
            <w:pPr>
              <w:spacing w:after="0"/>
              <w:rPr>
                <w:sz w:val="9"/>
                <w:szCs w:val="9"/>
                <w:color w:val="auto"/>
              </w:rPr>
            </w:pPr>
          </w:p>
        </w:tc>
        <w:tc>
          <w:tcPr>
            <w:tcW w:w="1920" w:type="dxa"/>
            <w:vAlign w:val="bottom"/>
            <w:gridSpan w:val="8"/>
            <w:vMerge w:val="restart"/>
          </w:tcPr>
          <w:p>
            <w:pPr>
              <w:jc w:val="center"/>
              <w:ind w:right="120"/>
              <w:spacing w:after="0"/>
              <w:rPr>
                <w:sz w:val="20"/>
                <w:szCs w:val="20"/>
                <w:color w:val="auto"/>
              </w:rPr>
            </w:pPr>
            <w:r>
              <w:rPr>
                <w:rFonts w:ascii="Arial" w:cs="Arial" w:eastAsia="Arial" w:hAnsi="Arial"/>
                <w:sz w:val="10"/>
                <w:szCs w:val="10"/>
                <w:b w:val="1"/>
                <w:bCs w:val="1"/>
                <w:color w:val="auto"/>
                <w:w w:val="86"/>
              </w:rPr>
              <w:t>Shares beneficially owned after this</w:t>
            </w:r>
          </w:p>
        </w:tc>
        <w:tc>
          <w:tcPr>
            <w:tcW w:w="40" w:type="dxa"/>
            <w:vAlign w:val="bottom"/>
          </w:tcPr>
          <w:p>
            <w:pPr>
              <w:spacing w:after="0"/>
              <w:rPr>
                <w:sz w:val="9"/>
                <w:szCs w:val="9"/>
                <w:color w:val="auto"/>
              </w:rPr>
            </w:pPr>
          </w:p>
        </w:tc>
        <w:tc>
          <w:tcPr>
            <w:tcW w:w="5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60" w:type="dxa"/>
            <w:vAlign w:val="bottom"/>
            <w:gridSpan w:val="3"/>
          </w:tcPr>
          <w:p>
            <w:pPr>
              <w:jc w:val="center"/>
              <w:ind w:right="120"/>
              <w:spacing w:after="0" w:line="113" w:lineRule="exact"/>
              <w:rPr>
                <w:sz w:val="20"/>
                <w:szCs w:val="20"/>
                <w:color w:val="auto"/>
              </w:rPr>
            </w:pPr>
            <w:r>
              <w:rPr>
                <w:rFonts w:ascii="Arial" w:cs="Arial" w:eastAsia="Arial" w:hAnsi="Arial"/>
                <w:sz w:val="10"/>
                <w:szCs w:val="10"/>
                <w:b w:val="1"/>
                <w:bCs w:val="1"/>
                <w:color w:val="auto"/>
                <w:w w:val="87"/>
              </w:rPr>
              <w:t>concurrent</w:t>
            </w:r>
          </w:p>
        </w:tc>
        <w:tc>
          <w:tcPr>
            <w:tcW w:w="1940" w:type="dxa"/>
            <w:vAlign w:val="bottom"/>
            <w:gridSpan w:val="8"/>
            <w:vMerge w:val="restart"/>
          </w:tcPr>
          <w:p>
            <w:pPr>
              <w:jc w:val="center"/>
              <w:ind w:right="140"/>
              <w:spacing w:after="0"/>
              <w:rPr>
                <w:sz w:val="20"/>
                <w:szCs w:val="20"/>
                <w:color w:val="auto"/>
              </w:rPr>
            </w:pPr>
            <w:r>
              <w:rPr>
                <w:rFonts w:ascii="Arial" w:cs="Arial" w:eastAsia="Arial" w:hAnsi="Arial"/>
                <w:sz w:val="10"/>
                <w:szCs w:val="10"/>
                <w:b w:val="1"/>
                <w:bCs w:val="1"/>
                <w:color w:val="auto"/>
                <w:w w:val="86"/>
              </w:rPr>
              <w:t>Shares beneficially owned after this</w:t>
            </w:r>
          </w:p>
        </w:tc>
        <w:tc>
          <w:tcPr>
            <w:tcW w:w="40" w:type="dxa"/>
            <w:vAlign w:val="bottom"/>
          </w:tcPr>
          <w:p>
            <w:pPr>
              <w:spacing w:after="0"/>
              <w:rPr>
                <w:sz w:val="9"/>
                <w:szCs w:val="9"/>
                <w:color w:val="auto"/>
              </w:rPr>
            </w:pPr>
          </w:p>
        </w:tc>
        <w:tc>
          <w:tcPr>
            <w:tcW w:w="2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5"/>
        </w:trPr>
        <w:tc>
          <w:tcPr>
            <w:tcW w:w="1040" w:type="dxa"/>
            <w:vAlign w:val="bottom"/>
          </w:tcPr>
          <w:p>
            <w:pPr>
              <w:spacing w:after="0"/>
              <w:rPr>
                <w:sz w:val="3"/>
                <w:szCs w:val="3"/>
                <w:color w:val="auto"/>
              </w:rPr>
            </w:pPr>
          </w:p>
        </w:tc>
        <w:tc>
          <w:tcPr>
            <w:tcW w:w="60" w:type="dxa"/>
            <w:vAlign w:val="bottom"/>
          </w:tcPr>
          <w:p>
            <w:pPr>
              <w:spacing w:after="0"/>
              <w:rPr>
                <w:sz w:val="3"/>
                <w:szCs w:val="3"/>
                <w:color w:val="auto"/>
              </w:rPr>
            </w:pPr>
          </w:p>
        </w:tc>
        <w:tc>
          <w:tcPr>
            <w:tcW w:w="500" w:type="dxa"/>
            <w:vAlign w:val="bottom"/>
          </w:tcPr>
          <w:p>
            <w:pPr>
              <w:spacing w:after="0"/>
              <w:rPr>
                <w:sz w:val="3"/>
                <w:szCs w:val="3"/>
                <w:color w:val="auto"/>
              </w:rPr>
            </w:pPr>
          </w:p>
        </w:tc>
        <w:tc>
          <w:tcPr>
            <w:tcW w:w="60" w:type="dxa"/>
            <w:vAlign w:val="bottom"/>
          </w:tcPr>
          <w:p>
            <w:pPr>
              <w:spacing w:after="0"/>
              <w:rPr>
                <w:sz w:val="3"/>
                <w:szCs w:val="3"/>
                <w:color w:val="auto"/>
              </w:rPr>
            </w:pPr>
          </w:p>
        </w:tc>
        <w:tc>
          <w:tcPr>
            <w:tcW w:w="2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0" w:type="dxa"/>
            <w:vAlign w:val="bottom"/>
          </w:tcPr>
          <w:p>
            <w:pPr>
              <w:spacing w:after="0"/>
              <w:rPr>
                <w:sz w:val="3"/>
                <w:szCs w:val="3"/>
                <w:color w:val="auto"/>
              </w:rPr>
            </w:pPr>
          </w:p>
        </w:tc>
        <w:tc>
          <w:tcPr>
            <w:tcW w:w="40" w:type="dxa"/>
            <w:vAlign w:val="bottom"/>
          </w:tcPr>
          <w:p>
            <w:pPr>
              <w:spacing w:after="0"/>
              <w:rPr>
                <w:sz w:val="3"/>
                <w:szCs w:val="3"/>
                <w:color w:val="auto"/>
              </w:rPr>
            </w:pPr>
          </w:p>
        </w:tc>
        <w:tc>
          <w:tcPr>
            <w:tcW w:w="500" w:type="dxa"/>
            <w:vAlign w:val="bottom"/>
          </w:tcPr>
          <w:p>
            <w:pPr>
              <w:spacing w:after="0"/>
              <w:rPr>
                <w:sz w:val="3"/>
                <w:szCs w:val="3"/>
                <w:color w:val="auto"/>
              </w:rPr>
            </w:pPr>
          </w:p>
        </w:tc>
        <w:tc>
          <w:tcPr>
            <w:tcW w:w="120" w:type="dxa"/>
            <w:vAlign w:val="bottom"/>
          </w:tcPr>
          <w:p>
            <w:pPr>
              <w:spacing w:after="0"/>
              <w:rPr>
                <w:sz w:val="3"/>
                <w:szCs w:val="3"/>
                <w:color w:val="auto"/>
              </w:rPr>
            </w:pPr>
          </w:p>
        </w:tc>
        <w:tc>
          <w:tcPr>
            <w:tcW w:w="40" w:type="dxa"/>
            <w:vAlign w:val="bottom"/>
          </w:tcPr>
          <w:p>
            <w:pPr>
              <w:spacing w:after="0"/>
              <w:rPr>
                <w:sz w:val="3"/>
                <w:szCs w:val="3"/>
                <w:color w:val="auto"/>
              </w:rPr>
            </w:pPr>
          </w:p>
        </w:tc>
        <w:tc>
          <w:tcPr>
            <w:tcW w:w="640" w:type="dxa"/>
            <w:vAlign w:val="bottom"/>
            <w:gridSpan w:val="2"/>
            <w:vMerge w:val="restart"/>
          </w:tcPr>
          <w:p>
            <w:pPr>
              <w:jc w:val="center"/>
              <w:ind w:right="180"/>
              <w:spacing w:after="0" w:line="113" w:lineRule="exact"/>
              <w:rPr>
                <w:sz w:val="20"/>
                <w:szCs w:val="20"/>
                <w:color w:val="auto"/>
              </w:rPr>
            </w:pPr>
            <w:r>
              <w:rPr>
                <w:rFonts w:ascii="Arial" w:cs="Arial" w:eastAsia="Arial" w:hAnsi="Arial"/>
                <w:sz w:val="10"/>
                <w:szCs w:val="10"/>
                <w:b w:val="1"/>
                <w:bCs w:val="1"/>
                <w:color w:val="auto"/>
                <w:w w:val="93"/>
              </w:rPr>
              <w:t>% of total</w:t>
            </w:r>
          </w:p>
        </w:tc>
        <w:tc>
          <w:tcPr>
            <w:tcW w:w="460" w:type="dxa"/>
            <w:vAlign w:val="bottom"/>
          </w:tcPr>
          <w:p>
            <w:pPr>
              <w:spacing w:after="0"/>
              <w:rPr>
                <w:sz w:val="3"/>
                <w:szCs w:val="3"/>
                <w:color w:val="auto"/>
              </w:rPr>
            </w:pPr>
          </w:p>
        </w:tc>
        <w:tc>
          <w:tcPr>
            <w:tcW w:w="80" w:type="dxa"/>
            <w:vAlign w:val="bottom"/>
          </w:tcPr>
          <w:p>
            <w:pPr>
              <w:spacing w:after="0"/>
              <w:rPr>
                <w:sz w:val="3"/>
                <w:szCs w:val="3"/>
                <w:color w:val="auto"/>
              </w:rPr>
            </w:pPr>
          </w:p>
        </w:tc>
        <w:tc>
          <w:tcPr>
            <w:tcW w:w="1920" w:type="dxa"/>
            <w:vAlign w:val="bottom"/>
            <w:gridSpan w:val="8"/>
            <w:vMerge w:val="continue"/>
          </w:tcPr>
          <w:p>
            <w:pPr>
              <w:spacing w:after="0"/>
              <w:rPr>
                <w:sz w:val="3"/>
                <w:szCs w:val="3"/>
                <w:color w:val="auto"/>
              </w:rPr>
            </w:pPr>
          </w:p>
        </w:tc>
        <w:tc>
          <w:tcPr>
            <w:tcW w:w="40" w:type="dxa"/>
            <w:vAlign w:val="bottom"/>
          </w:tcPr>
          <w:p>
            <w:pPr>
              <w:spacing w:after="0"/>
              <w:rPr>
                <w:sz w:val="3"/>
                <w:szCs w:val="3"/>
                <w:color w:val="auto"/>
              </w:rPr>
            </w:pPr>
          </w:p>
        </w:tc>
        <w:tc>
          <w:tcPr>
            <w:tcW w:w="500" w:type="dxa"/>
            <w:vAlign w:val="bottom"/>
          </w:tcPr>
          <w:p>
            <w:pPr>
              <w:spacing w:after="0"/>
              <w:rPr>
                <w:sz w:val="3"/>
                <w:szCs w:val="3"/>
                <w:color w:val="auto"/>
              </w:rPr>
            </w:pPr>
          </w:p>
        </w:tc>
        <w:tc>
          <w:tcPr>
            <w:tcW w:w="120" w:type="dxa"/>
            <w:vAlign w:val="bottom"/>
          </w:tcPr>
          <w:p>
            <w:pPr>
              <w:spacing w:after="0"/>
              <w:rPr>
                <w:sz w:val="3"/>
                <w:szCs w:val="3"/>
                <w:color w:val="auto"/>
              </w:rPr>
            </w:pPr>
          </w:p>
        </w:tc>
        <w:tc>
          <w:tcPr>
            <w:tcW w:w="40" w:type="dxa"/>
            <w:vAlign w:val="bottom"/>
          </w:tcPr>
          <w:p>
            <w:pPr>
              <w:spacing w:after="0"/>
              <w:rPr>
                <w:sz w:val="3"/>
                <w:szCs w:val="3"/>
                <w:color w:val="auto"/>
              </w:rPr>
            </w:pPr>
          </w:p>
        </w:tc>
        <w:tc>
          <w:tcPr>
            <w:tcW w:w="620" w:type="dxa"/>
            <w:vAlign w:val="bottom"/>
            <w:gridSpan w:val="2"/>
            <w:vMerge w:val="restart"/>
          </w:tcPr>
          <w:p>
            <w:pPr>
              <w:jc w:val="center"/>
              <w:ind w:right="160"/>
              <w:spacing w:after="0" w:line="113" w:lineRule="exact"/>
              <w:rPr>
                <w:sz w:val="20"/>
                <w:szCs w:val="20"/>
                <w:color w:val="auto"/>
              </w:rPr>
            </w:pPr>
            <w:r>
              <w:rPr>
                <w:rFonts w:ascii="Arial" w:cs="Arial" w:eastAsia="Arial" w:hAnsi="Arial"/>
                <w:sz w:val="10"/>
                <w:szCs w:val="10"/>
                <w:b w:val="1"/>
                <w:bCs w:val="1"/>
                <w:color w:val="auto"/>
                <w:w w:val="91"/>
              </w:rPr>
              <w:t>private</w:t>
            </w:r>
          </w:p>
        </w:tc>
        <w:tc>
          <w:tcPr>
            <w:tcW w:w="1940" w:type="dxa"/>
            <w:vAlign w:val="bottom"/>
            <w:gridSpan w:val="8"/>
            <w:vMerge w:val="continue"/>
          </w:tcPr>
          <w:p>
            <w:pPr>
              <w:spacing w:after="0"/>
              <w:rPr>
                <w:sz w:val="3"/>
                <w:szCs w:val="3"/>
                <w:color w:val="auto"/>
              </w:rPr>
            </w:pPr>
          </w:p>
        </w:tc>
        <w:tc>
          <w:tcPr>
            <w:tcW w:w="40" w:type="dxa"/>
            <w:vAlign w:val="bottom"/>
          </w:tcPr>
          <w:p>
            <w:pPr>
              <w:spacing w:after="0"/>
              <w:rPr>
                <w:sz w:val="3"/>
                <w:szCs w:val="3"/>
                <w:color w:val="auto"/>
              </w:rPr>
            </w:pPr>
          </w:p>
        </w:tc>
        <w:tc>
          <w:tcPr>
            <w:tcW w:w="2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68"/>
        </w:trPr>
        <w:tc>
          <w:tcPr>
            <w:tcW w:w="1040" w:type="dxa"/>
            <w:vAlign w:val="bottom"/>
          </w:tcPr>
          <w:p>
            <w:pPr>
              <w:spacing w:after="0"/>
              <w:rPr>
                <w:sz w:val="5"/>
                <w:szCs w:val="5"/>
                <w:color w:val="auto"/>
              </w:rPr>
            </w:pPr>
          </w:p>
        </w:tc>
        <w:tc>
          <w:tcPr>
            <w:tcW w:w="60" w:type="dxa"/>
            <w:vAlign w:val="bottom"/>
          </w:tcPr>
          <w:p>
            <w:pPr>
              <w:spacing w:after="0"/>
              <w:rPr>
                <w:sz w:val="5"/>
                <w:szCs w:val="5"/>
                <w:color w:val="auto"/>
              </w:rPr>
            </w:pPr>
          </w:p>
        </w:tc>
        <w:tc>
          <w:tcPr>
            <w:tcW w:w="1920" w:type="dxa"/>
            <w:vAlign w:val="bottom"/>
            <w:gridSpan w:val="8"/>
            <w:vMerge w:val="restart"/>
          </w:tcPr>
          <w:p>
            <w:pPr>
              <w:jc w:val="center"/>
              <w:ind w:right="120"/>
              <w:spacing w:after="0" w:line="113" w:lineRule="exact"/>
              <w:rPr>
                <w:sz w:val="20"/>
                <w:szCs w:val="20"/>
                <w:color w:val="auto"/>
              </w:rPr>
            </w:pPr>
            <w:r>
              <w:rPr>
                <w:rFonts w:ascii="Arial" w:cs="Arial" w:eastAsia="Arial" w:hAnsi="Arial"/>
                <w:sz w:val="10"/>
                <w:szCs w:val="10"/>
                <w:b w:val="1"/>
                <w:bCs w:val="1"/>
                <w:color w:val="auto"/>
                <w:w w:val="87"/>
              </w:rPr>
              <w:t>Shares beneficially owned prior to this</w:t>
            </w:r>
          </w:p>
        </w:tc>
        <w:tc>
          <w:tcPr>
            <w:tcW w:w="40" w:type="dxa"/>
            <w:vAlign w:val="bottom"/>
          </w:tcPr>
          <w:p>
            <w:pPr>
              <w:spacing w:after="0"/>
              <w:rPr>
                <w:sz w:val="5"/>
                <w:szCs w:val="5"/>
                <w:color w:val="auto"/>
              </w:rPr>
            </w:pPr>
          </w:p>
        </w:tc>
        <w:tc>
          <w:tcPr>
            <w:tcW w:w="500" w:type="dxa"/>
            <w:vAlign w:val="bottom"/>
          </w:tcPr>
          <w:p>
            <w:pPr>
              <w:spacing w:after="0"/>
              <w:rPr>
                <w:sz w:val="5"/>
                <w:szCs w:val="5"/>
                <w:color w:val="auto"/>
              </w:rPr>
            </w:pPr>
          </w:p>
        </w:tc>
        <w:tc>
          <w:tcPr>
            <w:tcW w:w="120" w:type="dxa"/>
            <w:vAlign w:val="bottom"/>
          </w:tcPr>
          <w:p>
            <w:pPr>
              <w:spacing w:after="0"/>
              <w:rPr>
                <w:sz w:val="5"/>
                <w:szCs w:val="5"/>
                <w:color w:val="auto"/>
              </w:rPr>
            </w:pPr>
          </w:p>
        </w:tc>
        <w:tc>
          <w:tcPr>
            <w:tcW w:w="40" w:type="dxa"/>
            <w:vAlign w:val="bottom"/>
          </w:tcPr>
          <w:p>
            <w:pPr>
              <w:spacing w:after="0"/>
              <w:rPr>
                <w:sz w:val="5"/>
                <w:szCs w:val="5"/>
                <w:color w:val="auto"/>
              </w:rPr>
            </w:pPr>
          </w:p>
        </w:tc>
        <w:tc>
          <w:tcPr>
            <w:tcW w:w="640" w:type="dxa"/>
            <w:vAlign w:val="bottom"/>
            <w:gridSpan w:val="2"/>
            <w:vMerge w:val="continue"/>
          </w:tcPr>
          <w:p>
            <w:pPr>
              <w:spacing w:after="0"/>
              <w:rPr>
                <w:sz w:val="5"/>
                <w:szCs w:val="5"/>
                <w:color w:val="auto"/>
              </w:rPr>
            </w:pPr>
          </w:p>
        </w:tc>
        <w:tc>
          <w:tcPr>
            <w:tcW w:w="460" w:type="dxa"/>
            <w:vAlign w:val="bottom"/>
          </w:tcPr>
          <w:p>
            <w:pPr>
              <w:spacing w:after="0"/>
              <w:rPr>
                <w:sz w:val="5"/>
                <w:szCs w:val="5"/>
                <w:color w:val="auto"/>
              </w:rPr>
            </w:pPr>
          </w:p>
        </w:tc>
        <w:tc>
          <w:tcPr>
            <w:tcW w:w="80" w:type="dxa"/>
            <w:vAlign w:val="bottom"/>
          </w:tcPr>
          <w:p>
            <w:pPr>
              <w:spacing w:after="0"/>
              <w:rPr>
                <w:sz w:val="5"/>
                <w:szCs w:val="5"/>
                <w:color w:val="auto"/>
              </w:rPr>
            </w:pPr>
          </w:p>
        </w:tc>
        <w:tc>
          <w:tcPr>
            <w:tcW w:w="1920" w:type="dxa"/>
            <w:vAlign w:val="bottom"/>
            <w:gridSpan w:val="8"/>
            <w:vMerge w:val="restart"/>
          </w:tcPr>
          <w:p>
            <w:pPr>
              <w:jc w:val="center"/>
              <w:ind w:right="120"/>
              <w:spacing w:after="0" w:line="113" w:lineRule="exact"/>
              <w:rPr>
                <w:sz w:val="20"/>
                <w:szCs w:val="20"/>
                <w:color w:val="auto"/>
              </w:rPr>
            </w:pPr>
            <w:r>
              <w:rPr>
                <w:rFonts w:ascii="Arial" w:cs="Arial" w:eastAsia="Arial" w:hAnsi="Arial"/>
                <w:sz w:val="10"/>
                <w:szCs w:val="10"/>
                <w:b w:val="1"/>
                <w:bCs w:val="1"/>
                <w:color w:val="auto"/>
                <w:w w:val="89"/>
              </w:rPr>
              <w:t>offering and the concurrent private</w:t>
            </w:r>
          </w:p>
        </w:tc>
        <w:tc>
          <w:tcPr>
            <w:tcW w:w="40" w:type="dxa"/>
            <w:vAlign w:val="bottom"/>
          </w:tcPr>
          <w:p>
            <w:pPr>
              <w:spacing w:after="0"/>
              <w:rPr>
                <w:sz w:val="5"/>
                <w:szCs w:val="5"/>
                <w:color w:val="auto"/>
              </w:rPr>
            </w:pPr>
          </w:p>
        </w:tc>
        <w:tc>
          <w:tcPr>
            <w:tcW w:w="500" w:type="dxa"/>
            <w:vAlign w:val="bottom"/>
          </w:tcPr>
          <w:p>
            <w:pPr>
              <w:spacing w:after="0"/>
              <w:rPr>
                <w:sz w:val="5"/>
                <w:szCs w:val="5"/>
                <w:color w:val="auto"/>
              </w:rPr>
            </w:pPr>
          </w:p>
        </w:tc>
        <w:tc>
          <w:tcPr>
            <w:tcW w:w="120" w:type="dxa"/>
            <w:vAlign w:val="bottom"/>
          </w:tcPr>
          <w:p>
            <w:pPr>
              <w:spacing w:after="0"/>
              <w:rPr>
                <w:sz w:val="5"/>
                <w:szCs w:val="5"/>
                <w:color w:val="auto"/>
              </w:rPr>
            </w:pPr>
          </w:p>
        </w:tc>
        <w:tc>
          <w:tcPr>
            <w:tcW w:w="40" w:type="dxa"/>
            <w:vAlign w:val="bottom"/>
          </w:tcPr>
          <w:p>
            <w:pPr>
              <w:spacing w:after="0"/>
              <w:rPr>
                <w:sz w:val="5"/>
                <w:szCs w:val="5"/>
                <w:color w:val="auto"/>
              </w:rPr>
            </w:pPr>
          </w:p>
        </w:tc>
        <w:tc>
          <w:tcPr>
            <w:tcW w:w="620" w:type="dxa"/>
            <w:vAlign w:val="bottom"/>
            <w:gridSpan w:val="2"/>
            <w:vMerge w:val="continue"/>
          </w:tcPr>
          <w:p>
            <w:pPr>
              <w:spacing w:after="0"/>
              <w:rPr>
                <w:sz w:val="5"/>
                <w:szCs w:val="5"/>
                <w:color w:val="auto"/>
              </w:rPr>
            </w:pPr>
          </w:p>
        </w:tc>
        <w:tc>
          <w:tcPr>
            <w:tcW w:w="1940" w:type="dxa"/>
            <w:vAlign w:val="bottom"/>
            <w:gridSpan w:val="8"/>
            <w:vMerge w:val="restart"/>
          </w:tcPr>
          <w:p>
            <w:pPr>
              <w:jc w:val="center"/>
              <w:ind w:right="140"/>
              <w:spacing w:after="0" w:line="113" w:lineRule="exact"/>
              <w:rPr>
                <w:sz w:val="20"/>
                <w:szCs w:val="20"/>
                <w:color w:val="auto"/>
              </w:rPr>
            </w:pPr>
            <w:r>
              <w:rPr>
                <w:rFonts w:ascii="Arial" w:cs="Arial" w:eastAsia="Arial" w:hAnsi="Arial"/>
                <w:sz w:val="10"/>
                <w:szCs w:val="10"/>
                <w:b w:val="1"/>
                <w:bCs w:val="1"/>
                <w:color w:val="auto"/>
                <w:w w:val="89"/>
              </w:rPr>
              <w:t>offering and the concurrent private</w:t>
            </w:r>
          </w:p>
        </w:tc>
        <w:tc>
          <w:tcPr>
            <w:tcW w:w="40" w:type="dxa"/>
            <w:vAlign w:val="bottom"/>
          </w:tcPr>
          <w:p>
            <w:pPr>
              <w:spacing w:after="0"/>
              <w:rPr>
                <w:sz w:val="5"/>
                <w:szCs w:val="5"/>
                <w:color w:val="auto"/>
              </w:rPr>
            </w:pPr>
          </w:p>
        </w:tc>
        <w:tc>
          <w:tcPr>
            <w:tcW w:w="2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5"/>
        </w:trPr>
        <w:tc>
          <w:tcPr>
            <w:tcW w:w="1040" w:type="dxa"/>
            <w:vAlign w:val="bottom"/>
          </w:tcPr>
          <w:p>
            <w:pPr>
              <w:spacing w:after="0"/>
              <w:rPr>
                <w:sz w:val="3"/>
                <w:szCs w:val="3"/>
                <w:color w:val="auto"/>
              </w:rPr>
            </w:pPr>
          </w:p>
        </w:tc>
        <w:tc>
          <w:tcPr>
            <w:tcW w:w="60" w:type="dxa"/>
            <w:vAlign w:val="bottom"/>
          </w:tcPr>
          <w:p>
            <w:pPr>
              <w:spacing w:after="0"/>
              <w:rPr>
                <w:sz w:val="3"/>
                <w:szCs w:val="3"/>
                <w:color w:val="auto"/>
              </w:rPr>
            </w:pPr>
          </w:p>
        </w:tc>
        <w:tc>
          <w:tcPr>
            <w:tcW w:w="1920" w:type="dxa"/>
            <w:vAlign w:val="bottom"/>
            <w:gridSpan w:val="8"/>
            <w:vMerge w:val="continue"/>
          </w:tcPr>
          <w:p>
            <w:pPr>
              <w:spacing w:after="0"/>
              <w:rPr>
                <w:sz w:val="3"/>
                <w:szCs w:val="3"/>
                <w:color w:val="auto"/>
              </w:rPr>
            </w:pPr>
          </w:p>
        </w:tc>
        <w:tc>
          <w:tcPr>
            <w:tcW w:w="40" w:type="dxa"/>
            <w:vAlign w:val="bottom"/>
          </w:tcPr>
          <w:p>
            <w:pPr>
              <w:spacing w:after="0"/>
              <w:rPr>
                <w:sz w:val="3"/>
                <w:szCs w:val="3"/>
                <w:color w:val="auto"/>
              </w:rPr>
            </w:pPr>
          </w:p>
        </w:tc>
        <w:tc>
          <w:tcPr>
            <w:tcW w:w="500" w:type="dxa"/>
            <w:vAlign w:val="bottom"/>
          </w:tcPr>
          <w:p>
            <w:pPr>
              <w:spacing w:after="0"/>
              <w:rPr>
                <w:sz w:val="3"/>
                <w:szCs w:val="3"/>
                <w:color w:val="auto"/>
              </w:rPr>
            </w:pPr>
          </w:p>
        </w:tc>
        <w:tc>
          <w:tcPr>
            <w:tcW w:w="120" w:type="dxa"/>
            <w:vAlign w:val="bottom"/>
          </w:tcPr>
          <w:p>
            <w:pPr>
              <w:spacing w:after="0"/>
              <w:rPr>
                <w:sz w:val="3"/>
                <w:szCs w:val="3"/>
                <w:color w:val="auto"/>
              </w:rPr>
            </w:pPr>
          </w:p>
        </w:tc>
        <w:tc>
          <w:tcPr>
            <w:tcW w:w="40" w:type="dxa"/>
            <w:vAlign w:val="bottom"/>
          </w:tcPr>
          <w:p>
            <w:pPr>
              <w:spacing w:after="0"/>
              <w:rPr>
                <w:sz w:val="3"/>
                <w:szCs w:val="3"/>
                <w:color w:val="auto"/>
              </w:rPr>
            </w:pPr>
          </w:p>
        </w:tc>
        <w:tc>
          <w:tcPr>
            <w:tcW w:w="640" w:type="dxa"/>
            <w:vAlign w:val="bottom"/>
            <w:gridSpan w:val="2"/>
            <w:vMerge w:val="restart"/>
          </w:tcPr>
          <w:p>
            <w:pPr>
              <w:jc w:val="center"/>
              <w:ind w:right="180"/>
              <w:spacing w:after="0" w:line="113" w:lineRule="exact"/>
              <w:rPr>
                <w:sz w:val="20"/>
                <w:szCs w:val="20"/>
                <w:color w:val="auto"/>
              </w:rPr>
            </w:pPr>
            <w:r>
              <w:rPr>
                <w:rFonts w:ascii="Arial" w:cs="Arial" w:eastAsia="Arial" w:hAnsi="Arial"/>
                <w:sz w:val="10"/>
                <w:szCs w:val="10"/>
                <w:b w:val="1"/>
                <w:bCs w:val="1"/>
                <w:color w:val="auto"/>
                <w:w w:val="86"/>
              </w:rPr>
              <w:t>voting</w:t>
            </w:r>
          </w:p>
        </w:tc>
        <w:tc>
          <w:tcPr>
            <w:tcW w:w="460" w:type="dxa"/>
            <w:vAlign w:val="bottom"/>
          </w:tcPr>
          <w:p>
            <w:pPr>
              <w:spacing w:after="0"/>
              <w:rPr>
                <w:sz w:val="3"/>
                <w:szCs w:val="3"/>
                <w:color w:val="auto"/>
              </w:rPr>
            </w:pPr>
          </w:p>
        </w:tc>
        <w:tc>
          <w:tcPr>
            <w:tcW w:w="80" w:type="dxa"/>
            <w:vAlign w:val="bottom"/>
          </w:tcPr>
          <w:p>
            <w:pPr>
              <w:spacing w:after="0"/>
              <w:rPr>
                <w:sz w:val="3"/>
                <w:szCs w:val="3"/>
                <w:color w:val="auto"/>
              </w:rPr>
            </w:pPr>
          </w:p>
        </w:tc>
        <w:tc>
          <w:tcPr>
            <w:tcW w:w="1920" w:type="dxa"/>
            <w:vAlign w:val="bottom"/>
            <w:gridSpan w:val="8"/>
            <w:vMerge w:val="continue"/>
          </w:tcPr>
          <w:p>
            <w:pPr>
              <w:spacing w:after="0"/>
              <w:rPr>
                <w:sz w:val="3"/>
                <w:szCs w:val="3"/>
                <w:color w:val="auto"/>
              </w:rPr>
            </w:pPr>
          </w:p>
        </w:tc>
        <w:tc>
          <w:tcPr>
            <w:tcW w:w="40" w:type="dxa"/>
            <w:vAlign w:val="bottom"/>
          </w:tcPr>
          <w:p>
            <w:pPr>
              <w:spacing w:after="0"/>
              <w:rPr>
                <w:sz w:val="3"/>
                <w:szCs w:val="3"/>
                <w:color w:val="auto"/>
              </w:rPr>
            </w:pPr>
          </w:p>
        </w:tc>
        <w:tc>
          <w:tcPr>
            <w:tcW w:w="620" w:type="dxa"/>
            <w:vAlign w:val="bottom"/>
            <w:gridSpan w:val="2"/>
            <w:vMerge w:val="restart"/>
          </w:tcPr>
          <w:p>
            <w:pPr>
              <w:jc w:val="center"/>
              <w:ind w:right="120"/>
              <w:spacing w:after="0" w:line="113" w:lineRule="exact"/>
              <w:rPr>
                <w:sz w:val="20"/>
                <w:szCs w:val="20"/>
                <w:color w:val="auto"/>
              </w:rPr>
            </w:pPr>
            <w:r>
              <w:rPr>
                <w:rFonts w:ascii="Arial" w:cs="Arial" w:eastAsia="Arial" w:hAnsi="Arial"/>
                <w:sz w:val="10"/>
                <w:szCs w:val="10"/>
                <w:b w:val="1"/>
                <w:bCs w:val="1"/>
                <w:color w:val="auto"/>
                <w:w w:val="93"/>
              </w:rPr>
              <w:t>% of total</w:t>
            </w:r>
          </w:p>
        </w:tc>
        <w:tc>
          <w:tcPr>
            <w:tcW w:w="40" w:type="dxa"/>
            <w:vAlign w:val="bottom"/>
          </w:tcPr>
          <w:p>
            <w:pPr>
              <w:spacing w:after="0"/>
              <w:rPr>
                <w:sz w:val="3"/>
                <w:szCs w:val="3"/>
                <w:color w:val="auto"/>
              </w:rPr>
            </w:pPr>
          </w:p>
        </w:tc>
        <w:tc>
          <w:tcPr>
            <w:tcW w:w="620" w:type="dxa"/>
            <w:vAlign w:val="bottom"/>
            <w:gridSpan w:val="2"/>
            <w:vMerge w:val="restart"/>
          </w:tcPr>
          <w:p>
            <w:pPr>
              <w:jc w:val="center"/>
              <w:ind w:right="160"/>
              <w:spacing w:after="0" w:line="113" w:lineRule="exact"/>
              <w:rPr>
                <w:sz w:val="20"/>
                <w:szCs w:val="20"/>
                <w:color w:val="auto"/>
              </w:rPr>
            </w:pPr>
            <w:r>
              <w:rPr>
                <w:rFonts w:ascii="Arial" w:cs="Arial" w:eastAsia="Arial" w:hAnsi="Arial"/>
                <w:sz w:val="10"/>
                <w:szCs w:val="10"/>
                <w:b w:val="1"/>
                <w:bCs w:val="1"/>
                <w:color w:val="auto"/>
                <w:w w:val="84"/>
              </w:rPr>
              <w:t>placement</w:t>
            </w:r>
          </w:p>
        </w:tc>
        <w:tc>
          <w:tcPr>
            <w:tcW w:w="1940" w:type="dxa"/>
            <w:vAlign w:val="bottom"/>
            <w:gridSpan w:val="8"/>
            <w:vMerge w:val="continue"/>
          </w:tcPr>
          <w:p>
            <w:pPr>
              <w:spacing w:after="0"/>
              <w:rPr>
                <w:sz w:val="3"/>
                <w:szCs w:val="3"/>
                <w:color w:val="auto"/>
              </w:rPr>
            </w:pPr>
          </w:p>
        </w:tc>
        <w:tc>
          <w:tcPr>
            <w:tcW w:w="40" w:type="dxa"/>
            <w:vAlign w:val="bottom"/>
          </w:tcPr>
          <w:p>
            <w:pPr>
              <w:spacing w:after="0"/>
              <w:rPr>
                <w:sz w:val="3"/>
                <w:szCs w:val="3"/>
                <w:color w:val="auto"/>
              </w:rPr>
            </w:pPr>
          </w:p>
        </w:tc>
        <w:tc>
          <w:tcPr>
            <w:tcW w:w="280" w:type="dxa"/>
            <w:vAlign w:val="bottom"/>
            <w:vMerge w:val="restart"/>
          </w:tcPr>
          <w:p>
            <w:pPr>
              <w:jc w:val="center"/>
              <w:spacing w:after="0" w:line="113" w:lineRule="exact"/>
              <w:rPr>
                <w:sz w:val="20"/>
                <w:szCs w:val="20"/>
                <w:color w:val="auto"/>
              </w:rPr>
            </w:pPr>
            <w:r>
              <w:rPr>
                <w:rFonts w:ascii="Arial" w:cs="Arial" w:eastAsia="Arial" w:hAnsi="Arial"/>
                <w:sz w:val="10"/>
                <w:szCs w:val="10"/>
                <w:b w:val="1"/>
                <w:bCs w:val="1"/>
                <w:color w:val="auto"/>
                <w:w w:val="95"/>
              </w:rPr>
              <w:t>% of t</w:t>
            </w:r>
          </w:p>
        </w:tc>
        <w:tc>
          <w:tcPr>
            <w:tcW w:w="0" w:type="dxa"/>
            <w:vAlign w:val="bottom"/>
          </w:tcPr>
          <w:p>
            <w:pPr>
              <w:spacing w:after="0"/>
              <w:rPr>
                <w:sz w:val="1"/>
                <w:szCs w:val="1"/>
                <w:color w:val="auto"/>
              </w:rPr>
            </w:pPr>
          </w:p>
        </w:tc>
      </w:tr>
      <w:tr>
        <w:trPr>
          <w:trHeight w:val="68"/>
        </w:trPr>
        <w:tc>
          <w:tcPr>
            <w:tcW w:w="1040" w:type="dxa"/>
            <w:vAlign w:val="bottom"/>
          </w:tcPr>
          <w:p>
            <w:pPr>
              <w:spacing w:after="0"/>
              <w:rPr>
                <w:sz w:val="5"/>
                <w:szCs w:val="5"/>
                <w:color w:val="auto"/>
              </w:rPr>
            </w:pPr>
          </w:p>
        </w:tc>
        <w:tc>
          <w:tcPr>
            <w:tcW w:w="60" w:type="dxa"/>
            <w:vAlign w:val="bottom"/>
          </w:tcPr>
          <w:p>
            <w:pPr>
              <w:spacing w:after="0"/>
              <w:rPr>
                <w:sz w:val="5"/>
                <w:szCs w:val="5"/>
                <w:color w:val="auto"/>
              </w:rPr>
            </w:pPr>
          </w:p>
        </w:tc>
        <w:tc>
          <w:tcPr>
            <w:tcW w:w="1920" w:type="dxa"/>
            <w:vAlign w:val="bottom"/>
            <w:gridSpan w:val="8"/>
            <w:vMerge w:val="restart"/>
          </w:tcPr>
          <w:p>
            <w:pPr>
              <w:jc w:val="center"/>
              <w:ind w:right="120"/>
              <w:spacing w:after="0" w:line="113" w:lineRule="exact"/>
              <w:rPr>
                <w:sz w:val="20"/>
                <w:szCs w:val="20"/>
                <w:color w:val="auto"/>
              </w:rPr>
            </w:pPr>
            <w:r>
              <w:rPr>
                <w:rFonts w:ascii="Arial" w:cs="Arial" w:eastAsia="Arial" w:hAnsi="Arial"/>
                <w:sz w:val="10"/>
                <w:szCs w:val="10"/>
                <w:b w:val="1"/>
                <w:bCs w:val="1"/>
                <w:color w:val="auto"/>
                <w:w w:val="89"/>
              </w:rPr>
              <w:t>offering and the concurrent private</w:t>
            </w:r>
          </w:p>
        </w:tc>
        <w:tc>
          <w:tcPr>
            <w:tcW w:w="40" w:type="dxa"/>
            <w:vAlign w:val="bottom"/>
          </w:tcPr>
          <w:p>
            <w:pPr>
              <w:spacing w:after="0"/>
              <w:rPr>
                <w:sz w:val="5"/>
                <w:szCs w:val="5"/>
                <w:color w:val="auto"/>
              </w:rPr>
            </w:pPr>
          </w:p>
        </w:tc>
        <w:tc>
          <w:tcPr>
            <w:tcW w:w="500" w:type="dxa"/>
            <w:vAlign w:val="bottom"/>
          </w:tcPr>
          <w:p>
            <w:pPr>
              <w:spacing w:after="0"/>
              <w:rPr>
                <w:sz w:val="5"/>
                <w:szCs w:val="5"/>
                <w:color w:val="auto"/>
              </w:rPr>
            </w:pPr>
          </w:p>
        </w:tc>
        <w:tc>
          <w:tcPr>
            <w:tcW w:w="120" w:type="dxa"/>
            <w:vAlign w:val="bottom"/>
          </w:tcPr>
          <w:p>
            <w:pPr>
              <w:spacing w:after="0"/>
              <w:rPr>
                <w:sz w:val="5"/>
                <w:szCs w:val="5"/>
                <w:color w:val="auto"/>
              </w:rPr>
            </w:pPr>
          </w:p>
        </w:tc>
        <w:tc>
          <w:tcPr>
            <w:tcW w:w="40" w:type="dxa"/>
            <w:vAlign w:val="bottom"/>
          </w:tcPr>
          <w:p>
            <w:pPr>
              <w:spacing w:after="0"/>
              <w:rPr>
                <w:sz w:val="5"/>
                <w:szCs w:val="5"/>
                <w:color w:val="auto"/>
              </w:rPr>
            </w:pPr>
          </w:p>
        </w:tc>
        <w:tc>
          <w:tcPr>
            <w:tcW w:w="640" w:type="dxa"/>
            <w:vAlign w:val="bottom"/>
            <w:gridSpan w:val="2"/>
            <w:vMerge w:val="continue"/>
          </w:tcPr>
          <w:p>
            <w:pPr>
              <w:spacing w:after="0"/>
              <w:rPr>
                <w:sz w:val="5"/>
                <w:szCs w:val="5"/>
                <w:color w:val="auto"/>
              </w:rPr>
            </w:pPr>
          </w:p>
        </w:tc>
        <w:tc>
          <w:tcPr>
            <w:tcW w:w="460" w:type="dxa"/>
            <w:vAlign w:val="bottom"/>
          </w:tcPr>
          <w:p>
            <w:pPr>
              <w:spacing w:after="0"/>
              <w:rPr>
                <w:sz w:val="5"/>
                <w:szCs w:val="5"/>
                <w:color w:val="auto"/>
              </w:rPr>
            </w:pPr>
          </w:p>
        </w:tc>
        <w:tc>
          <w:tcPr>
            <w:tcW w:w="80" w:type="dxa"/>
            <w:vAlign w:val="bottom"/>
          </w:tcPr>
          <w:p>
            <w:pPr>
              <w:spacing w:after="0"/>
              <w:rPr>
                <w:sz w:val="5"/>
                <w:szCs w:val="5"/>
                <w:color w:val="auto"/>
              </w:rPr>
            </w:pPr>
          </w:p>
        </w:tc>
        <w:tc>
          <w:tcPr>
            <w:tcW w:w="1920" w:type="dxa"/>
            <w:vAlign w:val="bottom"/>
            <w:gridSpan w:val="8"/>
            <w:vMerge w:val="restart"/>
          </w:tcPr>
          <w:p>
            <w:pPr>
              <w:jc w:val="center"/>
              <w:ind w:right="140"/>
              <w:spacing w:after="0" w:line="113" w:lineRule="exact"/>
              <w:rPr>
                <w:sz w:val="20"/>
                <w:szCs w:val="20"/>
                <w:color w:val="auto"/>
              </w:rPr>
            </w:pPr>
            <w:r>
              <w:rPr>
                <w:rFonts w:ascii="Arial" w:cs="Arial" w:eastAsia="Arial" w:hAnsi="Arial"/>
                <w:sz w:val="10"/>
                <w:szCs w:val="10"/>
                <w:b w:val="1"/>
                <w:bCs w:val="1"/>
                <w:color w:val="auto"/>
                <w:w w:val="84"/>
              </w:rPr>
              <w:t>placement (assuming no exercise of</w:t>
            </w:r>
          </w:p>
        </w:tc>
        <w:tc>
          <w:tcPr>
            <w:tcW w:w="40" w:type="dxa"/>
            <w:vAlign w:val="bottom"/>
          </w:tcPr>
          <w:p>
            <w:pPr>
              <w:spacing w:after="0"/>
              <w:rPr>
                <w:sz w:val="5"/>
                <w:szCs w:val="5"/>
                <w:color w:val="auto"/>
              </w:rPr>
            </w:pPr>
          </w:p>
        </w:tc>
        <w:tc>
          <w:tcPr>
            <w:tcW w:w="620" w:type="dxa"/>
            <w:vAlign w:val="bottom"/>
            <w:gridSpan w:val="2"/>
            <w:vMerge w:val="continue"/>
          </w:tcPr>
          <w:p>
            <w:pPr>
              <w:spacing w:after="0"/>
              <w:rPr>
                <w:sz w:val="5"/>
                <w:szCs w:val="5"/>
                <w:color w:val="auto"/>
              </w:rPr>
            </w:pPr>
          </w:p>
        </w:tc>
        <w:tc>
          <w:tcPr>
            <w:tcW w:w="40" w:type="dxa"/>
            <w:vAlign w:val="bottom"/>
          </w:tcPr>
          <w:p>
            <w:pPr>
              <w:spacing w:after="0"/>
              <w:rPr>
                <w:sz w:val="5"/>
                <w:szCs w:val="5"/>
                <w:color w:val="auto"/>
              </w:rPr>
            </w:pPr>
          </w:p>
        </w:tc>
        <w:tc>
          <w:tcPr>
            <w:tcW w:w="620" w:type="dxa"/>
            <w:vAlign w:val="bottom"/>
            <w:gridSpan w:val="2"/>
            <w:vMerge w:val="continue"/>
          </w:tcPr>
          <w:p>
            <w:pPr>
              <w:spacing w:after="0"/>
              <w:rPr>
                <w:sz w:val="5"/>
                <w:szCs w:val="5"/>
                <w:color w:val="auto"/>
              </w:rPr>
            </w:pPr>
          </w:p>
        </w:tc>
        <w:tc>
          <w:tcPr>
            <w:tcW w:w="1600" w:type="dxa"/>
            <w:vAlign w:val="bottom"/>
            <w:gridSpan w:val="6"/>
            <w:vMerge w:val="restart"/>
          </w:tcPr>
          <w:p>
            <w:pPr>
              <w:jc w:val="center"/>
              <w:ind w:left="168"/>
              <w:spacing w:after="0" w:line="113" w:lineRule="exact"/>
              <w:rPr>
                <w:sz w:val="20"/>
                <w:szCs w:val="20"/>
                <w:color w:val="auto"/>
              </w:rPr>
            </w:pPr>
            <w:r>
              <w:rPr>
                <w:rFonts w:ascii="Arial" w:cs="Arial" w:eastAsia="Arial" w:hAnsi="Arial"/>
                <w:sz w:val="10"/>
                <w:szCs w:val="10"/>
                <w:b w:val="1"/>
                <w:bCs w:val="1"/>
                <w:color w:val="auto"/>
                <w:w w:val="85"/>
              </w:rPr>
              <w:t>placement (assuming exercise of</w:t>
            </w:r>
          </w:p>
        </w:tc>
        <w:tc>
          <w:tcPr>
            <w:tcW w:w="220" w:type="dxa"/>
            <w:vAlign w:val="bottom"/>
          </w:tcPr>
          <w:p>
            <w:pPr>
              <w:spacing w:after="0"/>
              <w:rPr>
                <w:sz w:val="5"/>
                <w:szCs w:val="5"/>
                <w:color w:val="auto"/>
              </w:rPr>
            </w:pPr>
          </w:p>
        </w:tc>
        <w:tc>
          <w:tcPr>
            <w:tcW w:w="120" w:type="dxa"/>
            <w:vAlign w:val="bottom"/>
          </w:tcPr>
          <w:p>
            <w:pPr>
              <w:spacing w:after="0"/>
              <w:rPr>
                <w:sz w:val="5"/>
                <w:szCs w:val="5"/>
                <w:color w:val="auto"/>
              </w:rPr>
            </w:pPr>
          </w:p>
        </w:tc>
        <w:tc>
          <w:tcPr>
            <w:tcW w:w="40" w:type="dxa"/>
            <w:vAlign w:val="bottom"/>
          </w:tcPr>
          <w:p>
            <w:pPr>
              <w:spacing w:after="0"/>
              <w:rPr>
                <w:sz w:val="5"/>
                <w:szCs w:val="5"/>
                <w:color w:val="auto"/>
              </w:rPr>
            </w:pPr>
          </w:p>
        </w:tc>
        <w:tc>
          <w:tcPr>
            <w:tcW w:w="2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45"/>
        </w:trPr>
        <w:tc>
          <w:tcPr>
            <w:tcW w:w="1040" w:type="dxa"/>
            <w:vAlign w:val="bottom"/>
          </w:tcPr>
          <w:p>
            <w:pPr>
              <w:spacing w:after="0"/>
              <w:rPr>
                <w:sz w:val="3"/>
                <w:szCs w:val="3"/>
                <w:color w:val="auto"/>
              </w:rPr>
            </w:pPr>
          </w:p>
        </w:tc>
        <w:tc>
          <w:tcPr>
            <w:tcW w:w="60" w:type="dxa"/>
            <w:vAlign w:val="bottom"/>
          </w:tcPr>
          <w:p>
            <w:pPr>
              <w:spacing w:after="0"/>
              <w:rPr>
                <w:sz w:val="3"/>
                <w:szCs w:val="3"/>
                <w:color w:val="auto"/>
              </w:rPr>
            </w:pPr>
          </w:p>
        </w:tc>
        <w:tc>
          <w:tcPr>
            <w:tcW w:w="1920" w:type="dxa"/>
            <w:vAlign w:val="bottom"/>
            <w:gridSpan w:val="8"/>
            <w:vMerge w:val="continue"/>
          </w:tcPr>
          <w:p>
            <w:pPr>
              <w:spacing w:after="0"/>
              <w:rPr>
                <w:sz w:val="3"/>
                <w:szCs w:val="3"/>
                <w:color w:val="auto"/>
              </w:rPr>
            </w:pPr>
          </w:p>
        </w:tc>
        <w:tc>
          <w:tcPr>
            <w:tcW w:w="40" w:type="dxa"/>
            <w:vAlign w:val="bottom"/>
          </w:tcPr>
          <w:p>
            <w:pPr>
              <w:spacing w:after="0"/>
              <w:rPr>
                <w:sz w:val="3"/>
                <w:szCs w:val="3"/>
                <w:color w:val="auto"/>
              </w:rPr>
            </w:pPr>
          </w:p>
        </w:tc>
        <w:tc>
          <w:tcPr>
            <w:tcW w:w="500" w:type="dxa"/>
            <w:vAlign w:val="bottom"/>
          </w:tcPr>
          <w:p>
            <w:pPr>
              <w:spacing w:after="0"/>
              <w:rPr>
                <w:sz w:val="3"/>
                <w:szCs w:val="3"/>
                <w:color w:val="auto"/>
              </w:rPr>
            </w:pPr>
          </w:p>
        </w:tc>
        <w:tc>
          <w:tcPr>
            <w:tcW w:w="120" w:type="dxa"/>
            <w:vAlign w:val="bottom"/>
          </w:tcPr>
          <w:p>
            <w:pPr>
              <w:spacing w:after="0"/>
              <w:rPr>
                <w:sz w:val="3"/>
                <w:szCs w:val="3"/>
                <w:color w:val="auto"/>
              </w:rPr>
            </w:pPr>
          </w:p>
        </w:tc>
        <w:tc>
          <w:tcPr>
            <w:tcW w:w="40" w:type="dxa"/>
            <w:vAlign w:val="bottom"/>
          </w:tcPr>
          <w:p>
            <w:pPr>
              <w:spacing w:after="0"/>
              <w:rPr>
                <w:sz w:val="3"/>
                <w:szCs w:val="3"/>
                <w:color w:val="auto"/>
              </w:rPr>
            </w:pPr>
          </w:p>
        </w:tc>
        <w:tc>
          <w:tcPr>
            <w:tcW w:w="640" w:type="dxa"/>
            <w:vAlign w:val="bottom"/>
            <w:gridSpan w:val="2"/>
            <w:vMerge w:val="restart"/>
          </w:tcPr>
          <w:p>
            <w:pPr>
              <w:jc w:val="center"/>
              <w:ind w:right="180"/>
              <w:spacing w:after="0" w:line="113" w:lineRule="exact"/>
              <w:rPr>
                <w:sz w:val="20"/>
                <w:szCs w:val="20"/>
                <w:color w:val="auto"/>
              </w:rPr>
            </w:pPr>
            <w:r>
              <w:rPr>
                <w:rFonts w:ascii="Arial" w:cs="Arial" w:eastAsia="Arial" w:hAnsi="Arial"/>
                <w:sz w:val="10"/>
                <w:szCs w:val="10"/>
                <w:b w:val="1"/>
                <w:bCs w:val="1"/>
                <w:color w:val="auto"/>
                <w:w w:val="88"/>
              </w:rPr>
              <w:t>power</w:t>
            </w:r>
          </w:p>
        </w:tc>
        <w:tc>
          <w:tcPr>
            <w:tcW w:w="460" w:type="dxa"/>
            <w:vAlign w:val="bottom"/>
          </w:tcPr>
          <w:p>
            <w:pPr>
              <w:spacing w:after="0"/>
              <w:rPr>
                <w:sz w:val="3"/>
                <w:szCs w:val="3"/>
                <w:color w:val="auto"/>
              </w:rPr>
            </w:pPr>
          </w:p>
        </w:tc>
        <w:tc>
          <w:tcPr>
            <w:tcW w:w="80" w:type="dxa"/>
            <w:vAlign w:val="bottom"/>
          </w:tcPr>
          <w:p>
            <w:pPr>
              <w:spacing w:after="0"/>
              <w:rPr>
                <w:sz w:val="3"/>
                <w:szCs w:val="3"/>
                <w:color w:val="auto"/>
              </w:rPr>
            </w:pPr>
          </w:p>
        </w:tc>
        <w:tc>
          <w:tcPr>
            <w:tcW w:w="1920" w:type="dxa"/>
            <w:vAlign w:val="bottom"/>
            <w:gridSpan w:val="8"/>
            <w:vMerge w:val="continue"/>
          </w:tcPr>
          <w:p>
            <w:pPr>
              <w:spacing w:after="0"/>
              <w:rPr>
                <w:sz w:val="3"/>
                <w:szCs w:val="3"/>
                <w:color w:val="auto"/>
              </w:rPr>
            </w:pPr>
          </w:p>
        </w:tc>
        <w:tc>
          <w:tcPr>
            <w:tcW w:w="660" w:type="dxa"/>
            <w:vAlign w:val="bottom"/>
            <w:gridSpan w:val="3"/>
            <w:vMerge w:val="restart"/>
          </w:tcPr>
          <w:p>
            <w:pPr>
              <w:jc w:val="center"/>
              <w:ind w:right="80"/>
              <w:spacing w:after="0" w:line="113" w:lineRule="exact"/>
              <w:rPr>
                <w:sz w:val="20"/>
                <w:szCs w:val="20"/>
                <w:color w:val="auto"/>
              </w:rPr>
            </w:pPr>
            <w:r>
              <w:rPr>
                <w:rFonts w:ascii="Arial" w:cs="Arial" w:eastAsia="Arial" w:hAnsi="Arial"/>
                <w:sz w:val="10"/>
                <w:szCs w:val="10"/>
                <w:b w:val="1"/>
                <w:bCs w:val="1"/>
                <w:color w:val="auto"/>
                <w:w w:val="87"/>
              </w:rPr>
              <w:t>outstanding</w:t>
            </w:r>
          </w:p>
        </w:tc>
        <w:tc>
          <w:tcPr>
            <w:tcW w:w="40" w:type="dxa"/>
            <w:vAlign w:val="bottom"/>
          </w:tcPr>
          <w:p>
            <w:pPr>
              <w:spacing w:after="0"/>
              <w:rPr>
                <w:sz w:val="3"/>
                <w:szCs w:val="3"/>
                <w:color w:val="auto"/>
              </w:rPr>
            </w:pPr>
          </w:p>
        </w:tc>
        <w:tc>
          <w:tcPr>
            <w:tcW w:w="620" w:type="dxa"/>
            <w:vAlign w:val="bottom"/>
            <w:gridSpan w:val="2"/>
            <w:vMerge w:val="restart"/>
          </w:tcPr>
          <w:p>
            <w:pPr>
              <w:jc w:val="center"/>
              <w:ind w:right="160"/>
              <w:spacing w:after="0" w:line="113" w:lineRule="exact"/>
              <w:rPr>
                <w:sz w:val="20"/>
                <w:szCs w:val="20"/>
                <w:color w:val="auto"/>
              </w:rPr>
            </w:pPr>
            <w:r>
              <w:rPr>
                <w:rFonts w:ascii="Arial" w:cs="Arial" w:eastAsia="Arial" w:hAnsi="Arial"/>
                <w:sz w:val="10"/>
                <w:szCs w:val="10"/>
                <w:b w:val="1"/>
                <w:bCs w:val="1"/>
                <w:color w:val="auto"/>
                <w:w w:val="83"/>
              </w:rPr>
              <w:t>(assuming</w:t>
            </w:r>
          </w:p>
        </w:tc>
        <w:tc>
          <w:tcPr>
            <w:tcW w:w="1600" w:type="dxa"/>
            <w:vAlign w:val="bottom"/>
            <w:gridSpan w:val="6"/>
            <w:vMerge w:val="continue"/>
          </w:tcPr>
          <w:p>
            <w:pPr>
              <w:spacing w:after="0"/>
              <w:rPr>
                <w:sz w:val="3"/>
                <w:szCs w:val="3"/>
                <w:color w:val="auto"/>
              </w:rPr>
            </w:pPr>
          </w:p>
        </w:tc>
        <w:tc>
          <w:tcPr>
            <w:tcW w:w="220" w:type="dxa"/>
            <w:vAlign w:val="bottom"/>
          </w:tcPr>
          <w:p>
            <w:pPr>
              <w:spacing w:after="0"/>
              <w:rPr>
                <w:sz w:val="3"/>
                <w:szCs w:val="3"/>
                <w:color w:val="auto"/>
              </w:rPr>
            </w:pPr>
          </w:p>
        </w:tc>
        <w:tc>
          <w:tcPr>
            <w:tcW w:w="120" w:type="dxa"/>
            <w:vAlign w:val="bottom"/>
          </w:tcPr>
          <w:p>
            <w:pPr>
              <w:spacing w:after="0"/>
              <w:rPr>
                <w:sz w:val="3"/>
                <w:szCs w:val="3"/>
                <w:color w:val="auto"/>
              </w:rPr>
            </w:pPr>
          </w:p>
        </w:tc>
        <w:tc>
          <w:tcPr>
            <w:tcW w:w="320" w:type="dxa"/>
            <w:vAlign w:val="bottom"/>
            <w:gridSpan w:val="2"/>
            <w:vMerge w:val="restart"/>
          </w:tcPr>
          <w:p>
            <w:pPr>
              <w:ind w:left="40"/>
              <w:spacing w:after="0" w:line="113" w:lineRule="exact"/>
              <w:rPr>
                <w:sz w:val="20"/>
                <w:szCs w:val="20"/>
                <w:color w:val="auto"/>
              </w:rPr>
            </w:pPr>
            <w:r>
              <w:rPr>
                <w:rFonts w:ascii="Arial" w:cs="Arial" w:eastAsia="Arial" w:hAnsi="Arial"/>
                <w:sz w:val="10"/>
                <w:szCs w:val="10"/>
                <w:b w:val="1"/>
                <w:bCs w:val="1"/>
                <w:color w:val="auto"/>
                <w:w w:val="71"/>
              </w:rPr>
              <w:t>outstan</w:t>
            </w:r>
          </w:p>
        </w:tc>
        <w:tc>
          <w:tcPr>
            <w:tcW w:w="0" w:type="dxa"/>
            <w:vAlign w:val="bottom"/>
          </w:tcPr>
          <w:p>
            <w:pPr>
              <w:spacing w:after="0"/>
              <w:rPr>
                <w:sz w:val="1"/>
                <w:szCs w:val="1"/>
                <w:color w:val="auto"/>
              </w:rPr>
            </w:pPr>
          </w:p>
        </w:tc>
      </w:tr>
      <w:tr>
        <w:trPr>
          <w:trHeight w:val="68"/>
        </w:trPr>
        <w:tc>
          <w:tcPr>
            <w:tcW w:w="1040" w:type="dxa"/>
            <w:vAlign w:val="bottom"/>
          </w:tcPr>
          <w:p>
            <w:pPr>
              <w:spacing w:after="0"/>
              <w:rPr>
                <w:sz w:val="5"/>
                <w:szCs w:val="5"/>
                <w:color w:val="auto"/>
              </w:rPr>
            </w:pPr>
          </w:p>
        </w:tc>
        <w:tc>
          <w:tcPr>
            <w:tcW w:w="60" w:type="dxa"/>
            <w:vAlign w:val="bottom"/>
          </w:tcPr>
          <w:p>
            <w:pPr>
              <w:spacing w:after="0"/>
              <w:rPr>
                <w:sz w:val="5"/>
                <w:szCs w:val="5"/>
                <w:color w:val="auto"/>
              </w:rPr>
            </w:pPr>
          </w:p>
        </w:tc>
        <w:tc>
          <w:tcPr>
            <w:tcW w:w="500" w:type="dxa"/>
            <w:vAlign w:val="bottom"/>
          </w:tcPr>
          <w:p>
            <w:pPr>
              <w:spacing w:after="0"/>
              <w:rPr>
                <w:sz w:val="5"/>
                <w:szCs w:val="5"/>
                <w:color w:val="auto"/>
              </w:rPr>
            </w:pPr>
          </w:p>
        </w:tc>
        <w:tc>
          <w:tcPr>
            <w:tcW w:w="60" w:type="dxa"/>
            <w:vAlign w:val="bottom"/>
          </w:tcPr>
          <w:p>
            <w:pPr>
              <w:spacing w:after="0"/>
              <w:rPr>
                <w:sz w:val="5"/>
                <w:szCs w:val="5"/>
                <w:color w:val="auto"/>
              </w:rPr>
            </w:pPr>
          </w:p>
        </w:tc>
        <w:tc>
          <w:tcPr>
            <w:tcW w:w="1020" w:type="dxa"/>
            <w:vAlign w:val="bottom"/>
            <w:gridSpan w:val="4"/>
            <w:vMerge w:val="restart"/>
          </w:tcPr>
          <w:p>
            <w:pPr>
              <w:jc w:val="center"/>
              <w:ind w:right="360"/>
              <w:spacing w:after="0"/>
              <w:rPr>
                <w:sz w:val="20"/>
                <w:szCs w:val="20"/>
                <w:color w:val="auto"/>
              </w:rPr>
            </w:pPr>
            <w:r>
              <w:rPr>
                <w:rFonts w:ascii="Arial" w:cs="Arial" w:eastAsia="Arial" w:hAnsi="Arial"/>
                <w:sz w:val="10"/>
                <w:szCs w:val="10"/>
                <w:b w:val="1"/>
                <w:bCs w:val="1"/>
                <w:color w:val="auto"/>
                <w:w w:val="84"/>
              </w:rPr>
              <w:t>placement</w:t>
            </w:r>
          </w:p>
        </w:tc>
        <w:tc>
          <w:tcPr>
            <w:tcW w:w="220" w:type="dxa"/>
            <w:vAlign w:val="bottom"/>
          </w:tcPr>
          <w:p>
            <w:pPr>
              <w:spacing w:after="0"/>
              <w:rPr>
                <w:sz w:val="5"/>
                <w:szCs w:val="5"/>
                <w:color w:val="auto"/>
              </w:rPr>
            </w:pPr>
          </w:p>
        </w:tc>
        <w:tc>
          <w:tcPr>
            <w:tcW w:w="120" w:type="dxa"/>
            <w:vAlign w:val="bottom"/>
          </w:tcPr>
          <w:p>
            <w:pPr>
              <w:spacing w:after="0"/>
              <w:rPr>
                <w:sz w:val="5"/>
                <w:szCs w:val="5"/>
                <w:color w:val="auto"/>
              </w:rPr>
            </w:pPr>
          </w:p>
        </w:tc>
        <w:tc>
          <w:tcPr>
            <w:tcW w:w="40" w:type="dxa"/>
            <w:vAlign w:val="bottom"/>
          </w:tcPr>
          <w:p>
            <w:pPr>
              <w:spacing w:after="0"/>
              <w:rPr>
                <w:sz w:val="5"/>
                <w:szCs w:val="5"/>
                <w:color w:val="auto"/>
              </w:rPr>
            </w:pPr>
          </w:p>
        </w:tc>
        <w:tc>
          <w:tcPr>
            <w:tcW w:w="500" w:type="dxa"/>
            <w:vAlign w:val="bottom"/>
          </w:tcPr>
          <w:p>
            <w:pPr>
              <w:spacing w:after="0"/>
              <w:rPr>
                <w:sz w:val="5"/>
                <w:szCs w:val="5"/>
                <w:color w:val="auto"/>
              </w:rPr>
            </w:pPr>
          </w:p>
        </w:tc>
        <w:tc>
          <w:tcPr>
            <w:tcW w:w="120" w:type="dxa"/>
            <w:vAlign w:val="bottom"/>
          </w:tcPr>
          <w:p>
            <w:pPr>
              <w:spacing w:after="0"/>
              <w:rPr>
                <w:sz w:val="5"/>
                <w:szCs w:val="5"/>
                <w:color w:val="auto"/>
              </w:rPr>
            </w:pPr>
          </w:p>
        </w:tc>
        <w:tc>
          <w:tcPr>
            <w:tcW w:w="40" w:type="dxa"/>
            <w:vAlign w:val="bottom"/>
          </w:tcPr>
          <w:p>
            <w:pPr>
              <w:spacing w:after="0"/>
              <w:rPr>
                <w:sz w:val="5"/>
                <w:szCs w:val="5"/>
                <w:color w:val="auto"/>
              </w:rPr>
            </w:pPr>
          </w:p>
        </w:tc>
        <w:tc>
          <w:tcPr>
            <w:tcW w:w="640" w:type="dxa"/>
            <w:vAlign w:val="bottom"/>
            <w:gridSpan w:val="2"/>
            <w:vMerge w:val="continue"/>
          </w:tcPr>
          <w:p>
            <w:pPr>
              <w:spacing w:after="0"/>
              <w:rPr>
                <w:sz w:val="5"/>
                <w:szCs w:val="5"/>
                <w:color w:val="auto"/>
              </w:rPr>
            </w:pPr>
          </w:p>
        </w:tc>
        <w:tc>
          <w:tcPr>
            <w:tcW w:w="460" w:type="dxa"/>
            <w:vAlign w:val="bottom"/>
          </w:tcPr>
          <w:p>
            <w:pPr>
              <w:spacing w:after="0"/>
              <w:rPr>
                <w:sz w:val="5"/>
                <w:szCs w:val="5"/>
                <w:color w:val="auto"/>
              </w:rPr>
            </w:pPr>
          </w:p>
        </w:tc>
        <w:tc>
          <w:tcPr>
            <w:tcW w:w="80" w:type="dxa"/>
            <w:vAlign w:val="bottom"/>
          </w:tcPr>
          <w:p>
            <w:pPr>
              <w:spacing w:after="0"/>
              <w:rPr>
                <w:sz w:val="5"/>
                <w:szCs w:val="5"/>
                <w:color w:val="auto"/>
              </w:rPr>
            </w:pPr>
          </w:p>
        </w:tc>
        <w:tc>
          <w:tcPr>
            <w:tcW w:w="1920" w:type="dxa"/>
            <w:vAlign w:val="bottom"/>
            <w:gridSpan w:val="8"/>
            <w:vMerge w:val="restart"/>
          </w:tcPr>
          <w:p>
            <w:pPr>
              <w:jc w:val="center"/>
              <w:ind w:right="140"/>
              <w:spacing w:after="0"/>
              <w:rPr>
                <w:sz w:val="20"/>
                <w:szCs w:val="20"/>
                <w:color w:val="auto"/>
              </w:rPr>
            </w:pPr>
            <w:r>
              <w:rPr>
                <w:rFonts w:ascii="Arial" w:cs="Arial" w:eastAsia="Arial" w:hAnsi="Arial"/>
                <w:sz w:val="10"/>
                <w:szCs w:val="10"/>
                <w:b w:val="1"/>
                <w:bCs w:val="1"/>
                <w:color w:val="auto"/>
                <w:w w:val="86"/>
              </w:rPr>
              <w:t>option to purchase additional shares)</w:t>
            </w:r>
          </w:p>
        </w:tc>
        <w:tc>
          <w:tcPr>
            <w:tcW w:w="660" w:type="dxa"/>
            <w:vAlign w:val="bottom"/>
            <w:gridSpan w:val="3"/>
            <w:vMerge w:val="continue"/>
          </w:tcPr>
          <w:p>
            <w:pPr>
              <w:spacing w:after="0"/>
              <w:rPr>
                <w:sz w:val="5"/>
                <w:szCs w:val="5"/>
                <w:color w:val="auto"/>
              </w:rPr>
            </w:pPr>
          </w:p>
        </w:tc>
        <w:tc>
          <w:tcPr>
            <w:tcW w:w="40" w:type="dxa"/>
            <w:vAlign w:val="bottom"/>
          </w:tcPr>
          <w:p>
            <w:pPr>
              <w:spacing w:after="0"/>
              <w:rPr>
                <w:sz w:val="5"/>
                <w:szCs w:val="5"/>
                <w:color w:val="auto"/>
              </w:rPr>
            </w:pPr>
          </w:p>
        </w:tc>
        <w:tc>
          <w:tcPr>
            <w:tcW w:w="620" w:type="dxa"/>
            <w:vAlign w:val="bottom"/>
            <w:gridSpan w:val="2"/>
            <w:vMerge w:val="continue"/>
          </w:tcPr>
          <w:p>
            <w:pPr>
              <w:spacing w:after="0"/>
              <w:rPr>
                <w:sz w:val="5"/>
                <w:szCs w:val="5"/>
                <w:color w:val="auto"/>
              </w:rPr>
            </w:pPr>
          </w:p>
        </w:tc>
        <w:tc>
          <w:tcPr>
            <w:tcW w:w="1940" w:type="dxa"/>
            <w:vAlign w:val="bottom"/>
            <w:gridSpan w:val="8"/>
            <w:vMerge w:val="restart"/>
          </w:tcPr>
          <w:p>
            <w:pPr>
              <w:jc w:val="center"/>
              <w:ind w:right="120"/>
              <w:spacing w:after="0"/>
              <w:rPr>
                <w:sz w:val="20"/>
                <w:szCs w:val="20"/>
                <w:color w:val="auto"/>
              </w:rPr>
            </w:pPr>
            <w:r>
              <w:rPr>
                <w:rFonts w:ascii="Arial" w:cs="Arial" w:eastAsia="Arial" w:hAnsi="Arial"/>
                <w:sz w:val="10"/>
                <w:szCs w:val="10"/>
                <w:b w:val="1"/>
                <w:bCs w:val="1"/>
                <w:color w:val="auto"/>
                <w:w w:val="86"/>
              </w:rPr>
              <w:t>option to purchase additional shares)</w:t>
            </w:r>
          </w:p>
        </w:tc>
        <w:tc>
          <w:tcPr>
            <w:tcW w:w="32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1040" w:type="dxa"/>
            <w:vAlign w:val="bottom"/>
          </w:tcPr>
          <w:p>
            <w:pPr>
              <w:spacing w:after="0"/>
              <w:rPr>
                <w:sz w:val="4"/>
                <w:szCs w:val="4"/>
                <w:color w:val="auto"/>
              </w:rPr>
            </w:pPr>
          </w:p>
        </w:tc>
        <w:tc>
          <w:tcPr>
            <w:tcW w:w="60" w:type="dxa"/>
            <w:vAlign w:val="bottom"/>
          </w:tcPr>
          <w:p>
            <w:pPr>
              <w:spacing w:after="0"/>
              <w:rPr>
                <w:sz w:val="4"/>
                <w:szCs w:val="4"/>
                <w:color w:val="auto"/>
              </w:rPr>
            </w:pPr>
          </w:p>
        </w:tc>
        <w:tc>
          <w:tcPr>
            <w:tcW w:w="500" w:type="dxa"/>
            <w:vAlign w:val="bottom"/>
          </w:tcPr>
          <w:p>
            <w:pPr>
              <w:spacing w:after="0"/>
              <w:rPr>
                <w:sz w:val="4"/>
                <w:szCs w:val="4"/>
                <w:color w:val="auto"/>
              </w:rPr>
            </w:pPr>
          </w:p>
        </w:tc>
        <w:tc>
          <w:tcPr>
            <w:tcW w:w="60" w:type="dxa"/>
            <w:vAlign w:val="bottom"/>
          </w:tcPr>
          <w:p>
            <w:pPr>
              <w:spacing w:after="0"/>
              <w:rPr>
                <w:sz w:val="4"/>
                <w:szCs w:val="4"/>
                <w:color w:val="auto"/>
              </w:rPr>
            </w:pPr>
          </w:p>
        </w:tc>
        <w:tc>
          <w:tcPr>
            <w:tcW w:w="1020" w:type="dxa"/>
            <w:vAlign w:val="bottom"/>
            <w:gridSpan w:val="4"/>
            <w:vMerge w:val="continue"/>
          </w:tcPr>
          <w:p>
            <w:pPr>
              <w:spacing w:after="0"/>
              <w:rPr>
                <w:sz w:val="4"/>
                <w:szCs w:val="4"/>
                <w:color w:val="auto"/>
              </w:rPr>
            </w:pPr>
          </w:p>
        </w:tc>
        <w:tc>
          <w:tcPr>
            <w:tcW w:w="220" w:type="dxa"/>
            <w:vAlign w:val="bottom"/>
          </w:tcPr>
          <w:p>
            <w:pPr>
              <w:spacing w:after="0"/>
              <w:rPr>
                <w:sz w:val="4"/>
                <w:szCs w:val="4"/>
                <w:color w:val="auto"/>
              </w:rPr>
            </w:pPr>
          </w:p>
        </w:tc>
        <w:tc>
          <w:tcPr>
            <w:tcW w:w="120" w:type="dxa"/>
            <w:vAlign w:val="bottom"/>
          </w:tcPr>
          <w:p>
            <w:pPr>
              <w:spacing w:after="0"/>
              <w:rPr>
                <w:sz w:val="4"/>
                <w:szCs w:val="4"/>
                <w:color w:val="auto"/>
              </w:rPr>
            </w:pPr>
          </w:p>
        </w:tc>
        <w:tc>
          <w:tcPr>
            <w:tcW w:w="40" w:type="dxa"/>
            <w:vAlign w:val="bottom"/>
          </w:tcPr>
          <w:p>
            <w:pPr>
              <w:spacing w:after="0"/>
              <w:rPr>
                <w:sz w:val="4"/>
                <w:szCs w:val="4"/>
                <w:color w:val="auto"/>
              </w:rPr>
            </w:pPr>
          </w:p>
        </w:tc>
        <w:tc>
          <w:tcPr>
            <w:tcW w:w="500" w:type="dxa"/>
            <w:vAlign w:val="bottom"/>
          </w:tcPr>
          <w:p>
            <w:pPr>
              <w:spacing w:after="0"/>
              <w:rPr>
                <w:sz w:val="4"/>
                <w:szCs w:val="4"/>
                <w:color w:val="auto"/>
              </w:rPr>
            </w:pPr>
          </w:p>
        </w:tc>
        <w:tc>
          <w:tcPr>
            <w:tcW w:w="120" w:type="dxa"/>
            <w:vAlign w:val="bottom"/>
          </w:tcPr>
          <w:p>
            <w:pPr>
              <w:spacing w:after="0"/>
              <w:rPr>
                <w:sz w:val="4"/>
                <w:szCs w:val="4"/>
                <w:color w:val="auto"/>
              </w:rPr>
            </w:pPr>
          </w:p>
        </w:tc>
        <w:tc>
          <w:tcPr>
            <w:tcW w:w="40" w:type="dxa"/>
            <w:vAlign w:val="bottom"/>
          </w:tcPr>
          <w:p>
            <w:pPr>
              <w:spacing w:after="0"/>
              <w:rPr>
                <w:sz w:val="4"/>
                <w:szCs w:val="4"/>
                <w:color w:val="auto"/>
              </w:rPr>
            </w:pPr>
          </w:p>
        </w:tc>
        <w:tc>
          <w:tcPr>
            <w:tcW w:w="640" w:type="dxa"/>
            <w:vAlign w:val="bottom"/>
            <w:gridSpan w:val="2"/>
            <w:vMerge w:val="restart"/>
          </w:tcPr>
          <w:p>
            <w:pPr>
              <w:jc w:val="center"/>
              <w:ind w:right="180"/>
              <w:spacing w:after="0" w:line="113" w:lineRule="exact"/>
              <w:rPr>
                <w:sz w:val="20"/>
                <w:szCs w:val="20"/>
                <w:color w:val="auto"/>
              </w:rPr>
            </w:pPr>
            <w:r>
              <w:rPr>
                <w:rFonts w:ascii="Arial" w:cs="Arial" w:eastAsia="Arial" w:hAnsi="Arial"/>
                <w:sz w:val="10"/>
                <w:szCs w:val="10"/>
                <w:b w:val="1"/>
                <w:bCs w:val="1"/>
                <w:color w:val="auto"/>
                <w:w w:val="84"/>
              </w:rPr>
              <w:t>before</w:t>
            </w:r>
          </w:p>
        </w:tc>
        <w:tc>
          <w:tcPr>
            <w:tcW w:w="460" w:type="dxa"/>
            <w:vAlign w:val="bottom"/>
          </w:tcPr>
          <w:p>
            <w:pPr>
              <w:spacing w:after="0"/>
              <w:rPr>
                <w:sz w:val="4"/>
                <w:szCs w:val="4"/>
                <w:color w:val="auto"/>
              </w:rPr>
            </w:pPr>
          </w:p>
        </w:tc>
        <w:tc>
          <w:tcPr>
            <w:tcW w:w="80" w:type="dxa"/>
            <w:vAlign w:val="bottom"/>
          </w:tcPr>
          <w:p>
            <w:pPr>
              <w:spacing w:after="0"/>
              <w:rPr>
                <w:sz w:val="4"/>
                <w:szCs w:val="4"/>
                <w:color w:val="auto"/>
              </w:rPr>
            </w:pPr>
          </w:p>
        </w:tc>
        <w:tc>
          <w:tcPr>
            <w:tcW w:w="1920" w:type="dxa"/>
            <w:vAlign w:val="bottom"/>
            <w:gridSpan w:val="8"/>
            <w:vMerge w:val="continue"/>
          </w:tcPr>
          <w:p>
            <w:pPr>
              <w:spacing w:after="0"/>
              <w:rPr>
                <w:sz w:val="4"/>
                <w:szCs w:val="4"/>
                <w:color w:val="auto"/>
              </w:rPr>
            </w:pPr>
          </w:p>
        </w:tc>
        <w:tc>
          <w:tcPr>
            <w:tcW w:w="40" w:type="dxa"/>
            <w:vAlign w:val="bottom"/>
          </w:tcPr>
          <w:p>
            <w:pPr>
              <w:spacing w:after="0"/>
              <w:rPr>
                <w:sz w:val="4"/>
                <w:szCs w:val="4"/>
                <w:color w:val="auto"/>
              </w:rPr>
            </w:pPr>
          </w:p>
        </w:tc>
        <w:tc>
          <w:tcPr>
            <w:tcW w:w="620" w:type="dxa"/>
            <w:vAlign w:val="bottom"/>
            <w:gridSpan w:val="2"/>
            <w:vMerge w:val="restart"/>
          </w:tcPr>
          <w:p>
            <w:pPr>
              <w:jc w:val="center"/>
              <w:ind w:right="120"/>
              <w:spacing w:after="0" w:line="113" w:lineRule="exact"/>
              <w:rPr>
                <w:sz w:val="20"/>
                <w:szCs w:val="20"/>
                <w:color w:val="auto"/>
              </w:rPr>
            </w:pPr>
            <w:r>
              <w:rPr>
                <w:rFonts w:ascii="Arial" w:cs="Arial" w:eastAsia="Arial" w:hAnsi="Arial"/>
                <w:sz w:val="10"/>
                <w:szCs w:val="10"/>
                <w:b w:val="1"/>
                <w:bCs w:val="1"/>
                <w:color w:val="auto"/>
                <w:w w:val="83"/>
              </w:rPr>
              <w:t>(assuming</w:t>
            </w:r>
          </w:p>
        </w:tc>
        <w:tc>
          <w:tcPr>
            <w:tcW w:w="660" w:type="dxa"/>
            <w:vAlign w:val="bottom"/>
            <w:gridSpan w:val="3"/>
            <w:vMerge w:val="restart"/>
          </w:tcPr>
          <w:p>
            <w:pPr>
              <w:jc w:val="center"/>
              <w:ind w:right="120"/>
              <w:spacing w:after="0" w:line="113" w:lineRule="exact"/>
              <w:rPr>
                <w:sz w:val="20"/>
                <w:szCs w:val="20"/>
                <w:color w:val="auto"/>
              </w:rPr>
            </w:pPr>
            <w:r>
              <w:rPr>
                <w:rFonts w:ascii="Arial" w:cs="Arial" w:eastAsia="Arial" w:hAnsi="Arial"/>
                <w:sz w:val="10"/>
                <w:szCs w:val="10"/>
                <w:b w:val="1"/>
                <w:bCs w:val="1"/>
                <w:color w:val="auto"/>
                <w:w w:val="83"/>
              </w:rPr>
              <w:t>no exercise</w:t>
            </w:r>
          </w:p>
        </w:tc>
        <w:tc>
          <w:tcPr>
            <w:tcW w:w="1940" w:type="dxa"/>
            <w:vAlign w:val="bottom"/>
            <w:gridSpan w:val="8"/>
            <w:vMerge w:val="continue"/>
          </w:tcPr>
          <w:p>
            <w:pPr>
              <w:spacing w:after="0"/>
              <w:rPr>
                <w:sz w:val="4"/>
                <w:szCs w:val="4"/>
                <w:color w:val="auto"/>
              </w:rPr>
            </w:pPr>
          </w:p>
        </w:tc>
        <w:tc>
          <w:tcPr>
            <w:tcW w:w="40" w:type="dxa"/>
            <w:vAlign w:val="bottom"/>
          </w:tcPr>
          <w:p>
            <w:pPr>
              <w:spacing w:after="0"/>
              <w:rPr>
                <w:sz w:val="4"/>
                <w:szCs w:val="4"/>
                <w:color w:val="auto"/>
              </w:rPr>
            </w:pPr>
          </w:p>
        </w:tc>
        <w:tc>
          <w:tcPr>
            <w:tcW w:w="280" w:type="dxa"/>
            <w:vAlign w:val="bottom"/>
            <w:vMerge w:val="restart"/>
          </w:tcPr>
          <w:p>
            <w:pPr>
              <w:jc w:val="center"/>
              <w:spacing w:after="0" w:line="113" w:lineRule="exact"/>
              <w:rPr>
                <w:sz w:val="20"/>
                <w:szCs w:val="20"/>
                <w:color w:val="auto"/>
              </w:rPr>
            </w:pPr>
            <w:r>
              <w:rPr>
                <w:rFonts w:ascii="Arial" w:cs="Arial" w:eastAsia="Arial" w:hAnsi="Arial"/>
                <w:sz w:val="10"/>
                <w:szCs w:val="10"/>
                <w:b w:val="1"/>
                <w:bCs w:val="1"/>
                <w:color w:val="auto"/>
                <w:w w:val="74"/>
              </w:rPr>
              <w:t>(assum</w:t>
            </w:r>
          </w:p>
        </w:tc>
        <w:tc>
          <w:tcPr>
            <w:tcW w:w="0" w:type="dxa"/>
            <w:vAlign w:val="bottom"/>
          </w:tcPr>
          <w:p>
            <w:pPr>
              <w:spacing w:after="0"/>
              <w:rPr>
                <w:sz w:val="1"/>
                <w:szCs w:val="1"/>
                <w:color w:val="auto"/>
              </w:rPr>
            </w:pPr>
          </w:p>
        </w:tc>
      </w:tr>
      <w:tr>
        <w:trPr>
          <w:trHeight w:val="41"/>
        </w:trPr>
        <w:tc>
          <w:tcPr>
            <w:tcW w:w="1040" w:type="dxa"/>
            <w:vAlign w:val="bottom"/>
          </w:tcPr>
          <w:p>
            <w:pPr>
              <w:spacing w:after="0"/>
              <w:rPr>
                <w:sz w:val="3"/>
                <w:szCs w:val="3"/>
                <w:color w:val="auto"/>
              </w:rPr>
            </w:pPr>
          </w:p>
        </w:tc>
        <w:tc>
          <w:tcPr>
            <w:tcW w:w="60" w:type="dxa"/>
            <w:vAlign w:val="bottom"/>
          </w:tcPr>
          <w:p>
            <w:pPr>
              <w:spacing w:after="0"/>
              <w:rPr>
                <w:sz w:val="3"/>
                <w:szCs w:val="3"/>
                <w:color w:val="auto"/>
              </w:rPr>
            </w:pPr>
          </w:p>
        </w:tc>
        <w:tc>
          <w:tcPr>
            <w:tcW w:w="500" w:type="dxa"/>
            <w:vAlign w:val="bottom"/>
            <w:tcBorders>
              <w:top w:val="single" w:sz="8" w:color="auto"/>
            </w:tcBorders>
          </w:tcPr>
          <w:p>
            <w:pPr>
              <w:spacing w:after="0"/>
              <w:rPr>
                <w:sz w:val="3"/>
                <w:szCs w:val="3"/>
                <w:color w:val="auto"/>
              </w:rPr>
            </w:pPr>
          </w:p>
        </w:tc>
        <w:tc>
          <w:tcPr>
            <w:tcW w:w="60" w:type="dxa"/>
            <w:vAlign w:val="bottom"/>
            <w:tcBorders>
              <w:top w:val="single" w:sz="8" w:color="auto"/>
            </w:tcBorders>
          </w:tcPr>
          <w:p>
            <w:pPr>
              <w:spacing w:after="0"/>
              <w:rPr>
                <w:sz w:val="3"/>
                <w:szCs w:val="3"/>
                <w:color w:val="auto"/>
              </w:rPr>
            </w:pPr>
          </w:p>
        </w:tc>
        <w:tc>
          <w:tcPr>
            <w:tcW w:w="240" w:type="dxa"/>
            <w:vAlign w:val="bottom"/>
            <w:tcBorders>
              <w:top w:val="single" w:sz="8" w:color="auto"/>
            </w:tcBorders>
          </w:tcPr>
          <w:p>
            <w:pPr>
              <w:spacing w:after="0"/>
              <w:rPr>
                <w:sz w:val="3"/>
                <w:szCs w:val="3"/>
                <w:color w:val="auto"/>
              </w:rPr>
            </w:pPr>
          </w:p>
        </w:tc>
        <w:tc>
          <w:tcPr>
            <w:tcW w:w="160" w:type="dxa"/>
            <w:vAlign w:val="bottom"/>
            <w:tcBorders>
              <w:top w:val="single" w:sz="8" w:color="auto"/>
            </w:tcBorders>
          </w:tcPr>
          <w:p>
            <w:pPr>
              <w:spacing w:after="0"/>
              <w:rPr>
                <w:sz w:val="3"/>
                <w:szCs w:val="3"/>
                <w:color w:val="auto"/>
              </w:rPr>
            </w:pPr>
          </w:p>
        </w:tc>
        <w:tc>
          <w:tcPr>
            <w:tcW w:w="560" w:type="dxa"/>
            <w:vAlign w:val="bottom"/>
            <w:tcBorders>
              <w:top w:val="single" w:sz="8" w:color="auto"/>
            </w:tcBorders>
          </w:tcPr>
          <w:p>
            <w:pPr>
              <w:spacing w:after="0"/>
              <w:rPr>
                <w:sz w:val="3"/>
                <w:szCs w:val="3"/>
                <w:color w:val="auto"/>
              </w:rPr>
            </w:pPr>
          </w:p>
        </w:tc>
        <w:tc>
          <w:tcPr>
            <w:tcW w:w="60" w:type="dxa"/>
            <w:vAlign w:val="bottom"/>
            <w:tcBorders>
              <w:top w:val="single" w:sz="8" w:color="auto"/>
            </w:tcBorders>
          </w:tcPr>
          <w:p>
            <w:pPr>
              <w:spacing w:after="0"/>
              <w:rPr>
                <w:sz w:val="3"/>
                <w:szCs w:val="3"/>
                <w:color w:val="auto"/>
              </w:rPr>
            </w:pPr>
          </w:p>
        </w:tc>
        <w:tc>
          <w:tcPr>
            <w:tcW w:w="220" w:type="dxa"/>
            <w:vAlign w:val="bottom"/>
            <w:tcBorders>
              <w:top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40" w:type="dxa"/>
            <w:vAlign w:val="bottom"/>
          </w:tcPr>
          <w:p>
            <w:pPr>
              <w:spacing w:after="0"/>
              <w:rPr>
                <w:sz w:val="3"/>
                <w:szCs w:val="3"/>
                <w:color w:val="auto"/>
              </w:rPr>
            </w:pPr>
          </w:p>
        </w:tc>
        <w:tc>
          <w:tcPr>
            <w:tcW w:w="500" w:type="dxa"/>
            <w:vAlign w:val="bottom"/>
          </w:tcPr>
          <w:p>
            <w:pPr>
              <w:spacing w:after="0"/>
              <w:rPr>
                <w:sz w:val="3"/>
                <w:szCs w:val="3"/>
                <w:color w:val="auto"/>
              </w:rPr>
            </w:pPr>
          </w:p>
        </w:tc>
        <w:tc>
          <w:tcPr>
            <w:tcW w:w="120" w:type="dxa"/>
            <w:vAlign w:val="bottom"/>
          </w:tcPr>
          <w:p>
            <w:pPr>
              <w:spacing w:after="0"/>
              <w:rPr>
                <w:sz w:val="3"/>
                <w:szCs w:val="3"/>
                <w:color w:val="auto"/>
              </w:rPr>
            </w:pPr>
          </w:p>
        </w:tc>
        <w:tc>
          <w:tcPr>
            <w:tcW w:w="40" w:type="dxa"/>
            <w:vAlign w:val="bottom"/>
          </w:tcPr>
          <w:p>
            <w:pPr>
              <w:spacing w:after="0"/>
              <w:rPr>
                <w:sz w:val="3"/>
                <w:szCs w:val="3"/>
                <w:color w:val="auto"/>
              </w:rPr>
            </w:pPr>
          </w:p>
        </w:tc>
        <w:tc>
          <w:tcPr>
            <w:tcW w:w="640" w:type="dxa"/>
            <w:vAlign w:val="bottom"/>
            <w:gridSpan w:val="2"/>
            <w:vMerge w:val="continue"/>
          </w:tcPr>
          <w:p>
            <w:pPr>
              <w:spacing w:after="0"/>
              <w:rPr>
                <w:sz w:val="3"/>
                <w:szCs w:val="3"/>
                <w:color w:val="auto"/>
              </w:rPr>
            </w:pPr>
          </w:p>
        </w:tc>
        <w:tc>
          <w:tcPr>
            <w:tcW w:w="460" w:type="dxa"/>
            <w:vAlign w:val="bottom"/>
          </w:tcPr>
          <w:p>
            <w:pPr>
              <w:spacing w:after="0"/>
              <w:rPr>
                <w:sz w:val="3"/>
                <w:szCs w:val="3"/>
                <w:color w:val="auto"/>
              </w:rPr>
            </w:pPr>
          </w:p>
        </w:tc>
        <w:tc>
          <w:tcPr>
            <w:tcW w:w="80" w:type="dxa"/>
            <w:vAlign w:val="bottom"/>
          </w:tcPr>
          <w:p>
            <w:pPr>
              <w:spacing w:after="0"/>
              <w:rPr>
                <w:sz w:val="3"/>
                <w:szCs w:val="3"/>
                <w:color w:val="auto"/>
              </w:rPr>
            </w:pPr>
          </w:p>
        </w:tc>
        <w:tc>
          <w:tcPr>
            <w:tcW w:w="500" w:type="dxa"/>
            <w:vAlign w:val="bottom"/>
            <w:tcBorders>
              <w:top w:val="single" w:sz="8" w:color="auto"/>
            </w:tcBorders>
          </w:tcPr>
          <w:p>
            <w:pPr>
              <w:spacing w:after="0"/>
              <w:rPr>
                <w:sz w:val="3"/>
                <w:szCs w:val="3"/>
                <w:color w:val="auto"/>
              </w:rPr>
            </w:pPr>
          </w:p>
        </w:tc>
        <w:tc>
          <w:tcPr>
            <w:tcW w:w="60" w:type="dxa"/>
            <w:vAlign w:val="bottom"/>
            <w:tcBorders>
              <w:top w:val="single" w:sz="8" w:color="auto"/>
            </w:tcBorders>
          </w:tcPr>
          <w:p>
            <w:pPr>
              <w:spacing w:after="0"/>
              <w:rPr>
                <w:sz w:val="3"/>
                <w:szCs w:val="3"/>
                <w:color w:val="auto"/>
              </w:rPr>
            </w:pPr>
          </w:p>
        </w:tc>
        <w:tc>
          <w:tcPr>
            <w:tcW w:w="240" w:type="dxa"/>
            <w:vAlign w:val="bottom"/>
            <w:tcBorders>
              <w:top w:val="single" w:sz="8" w:color="auto"/>
            </w:tcBorders>
          </w:tcPr>
          <w:p>
            <w:pPr>
              <w:spacing w:after="0"/>
              <w:rPr>
                <w:sz w:val="3"/>
                <w:szCs w:val="3"/>
                <w:color w:val="auto"/>
              </w:rPr>
            </w:pPr>
          </w:p>
        </w:tc>
        <w:tc>
          <w:tcPr>
            <w:tcW w:w="160" w:type="dxa"/>
            <w:vAlign w:val="bottom"/>
            <w:tcBorders>
              <w:top w:val="single" w:sz="8" w:color="auto"/>
            </w:tcBorders>
          </w:tcPr>
          <w:p>
            <w:pPr>
              <w:spacing w:after="0"/>
              <w:rPr>
                <w:sz w:val="3"/>
                <w:szCs w:val="3"/>
                <w:color w:val="auto"/>
              </w:rPr>
            </w:pPr>
          </w:p>
        </w:tc>
        <w:tc>
          <w:tcPr>
            <w:tcW w:w="560" w:type="dxa"/>
            <w:vAlign w:val="bottom"/>
            <w:tcBorders>
              <w:top w:val="single" w:sz="8" w:color="auto"/>
            </w:tcBorders>
          </w:tcPr>
          <w:p>
            <w:pPr>
              <w:spacing w:after="0"/>
              <w:rPr>
                <w:sz w:val="3"/>
                <w:szCs w:val="3"/>
                <w:color w:val="auto"/>
              </w:rPr>
            </w:pPr>
          </w:p>
        </w:tc>
        <w:tc>
          <w:tcPr>
            <w:tcW w:w="60" w:type="dxa"/>
            <w:vAlign w:val="bottom"/>
            <w:tcBorders>
              <w:top w:val="single" w:sz="8" w:color="auto"/>
            </w:tcBorders>
          </w:tcPr>
          <w:p>
            <w:pPr>
              <w:spacing w:after="0"/>
              <w:rPr>
                <w:sz w:val="3"/>
                <w:szCs w:val="3"/>
                <w:color w:val="auto"/>
              </w:rPr>
            </w:pPr>
          </w:p>
        </w:tc>
        <w:tc>
          <w:tcPr>
            <w:tcW w:w="220" w:type="dxa"/>
            <w:vAlign w:val="bottom"/>
            <w:tcBorders>
              <w:top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40" w:type="dxa"/>
            <w:vAlign w:val="bottom"/>
          </w:tcPr>
          <w:p>
            <w:pPr>
              <w:spacing w:after="0"/>
              <w:rPr>
                <w:sz w:val="3"/>
                <w:szCs w:val="3"/>
                <w:color w:val="auto"/>
              </w:rPr>
            </w:pPr>
          </w:p>
        </w:tc>
        <w:tc>
          <w:tcPr>
            <w:tcW w:w="620" w:type="dxa"/>
            <w:vAlign w:val="bottom"/>
            <w:gridSpan w:val="2"/>
            <w:vMerge w:val="continue"/>
          </w:tcPr>
          <w:p>
            <w:pPr>
              <w:spacing w:after="0"/>
              <w:rPr>
                <w:sz w:val="3"/>
                <w:szCs w:val="3"/>
                <w:color w:val="auto"/>
              </w:rPr>
            </w:pPr>
          </w:p>
        </w:tc>
        <w:tc>
          <w:tcPr>
            <w:tcW w:w="660" w:type="dxa"/>
            <w:vAlign w:val="bottom"/>
            <w:gridSpan w:val="3"/>
            <w:vMerge w:val="continue"/>
          </w:tcPr>
          <w:p>
            <w:pPr>
              <w:spacing w:after="0"/>
              <w:rPr>
                <w:sz w:val="3"/>
                <w:szCs w:val="3"/>
                <w:color w:val="auto"/>
              </w:rPr>
            </w:pPr>
          </w:p>
        </w:tc>
        <w:tc>
          <w:tcPr>
            <w:tcW w:w="500" w:type="dxa"/>
            <w:vAlign w:val="bottom"/>
            <w:tcBorders>
              <w:top w:val="single" w:sz="8" w:color="auto"/>
            </w:tcBorders>
          </w:tcPr>
          <w:p>
            <w:pPr>
              <w:spacing w:after="0"/>
              <w:rPr>
                <w:sz w:val="3"/>
                <w:szCs w:val="3"/>
                <w:color w:val="auto"/>
              </w:rPr>
            </w:pPr>
          </w:p>
        </w:tc>
        <w:tc>
          <w:tcPr>
            <w:tcW w:w="80" w:type="dxa"/>
            <w:vAlign w:val="bottom"/>
            <w:tcBorders>
              <w:top w:val="single" w:sz="8" w:color="auto"/>
            </w:tcBorders>
          </w:tcPr>
          <w:p>
            <w:pPr>
              <w:spacing w:after="0"/>
              <w:rPr>
                <w:sz w:val="3"/>
                <w:szCs w:val="3"/>
                <w:color w:val="auto"/>
              </w:rPr>
            </w:pPr>
          </w:p>
        </w:tc>
        <w:tc>
          <w:tcPr>
            <w:tcW w:w="220" w:type="dxa"/>
            <w:vAlign w:val="bottom"/>
            <w:tcBorders>
              <w:top w:val="single" w:sz="8" w:color="auto"/>
            </w:tcBorders>
          </w:tcPr>
          <w:p>
            <w:pPr>
              <w:spacing w:after="0"/>
              <w:rPr>
                <w:sz w:val="3"/>
                <w:szCs w:val="3"/>
                <w:color w:val="auto"/>
              </w:rPr>
            </w:pPr>
          </w:p>
        </w:tc>
        <w:tc>
          <w:tcPr>
            <w:tcW w:w="160" w:type="dxa"/>
            <w:vAlign w:val="bottom"/>
            <w:tcBorders>
              <w:top w:val="single" w:sz="8" w:color="auto"/>
            </w:tcBorders>
          </w:tcPr>
          <w:p>
            <w:pPr>
              <w:spacing w:after="0"/>
              <w:rPr>
                <w:sz w:val="3"/>
                <w:szCs w:val="3"/>
                <w:color w:val="auto"/>
              </w:rPr>
            </w:pPr>
          </w:p>
        </w:tc>
        <w:tc>
          <w:tcPr>
            <w:tcW w:w="560" w:type="dxa"/>
            <w:vAlign w:val="bottom"/>
            <w:tcBorders>
              <w:top w:val="single" w:sz="8" w:color="auto"/>
            </w:tcBorders>
          </w:tcPr>
          <w:p>
            <w:pPr>
              <w:spacing w:after="0"/>
              <w:rPr>
                <w:sz w:val="3"/>
                <w:szCs w:val="3"/>
                <w:color w:val="auto"/>
              </w:rPr>
            </w:pPr>
          </w:p>
        </w:tc>
        <w:tc>
          <w:tcPr>
            <w:tcW w:w="80" w:type="dxa"/>
            <w:vAlign w:val="bottom"/>
            <w:tcBorders>
              <w:top w:val="single" w:sz="8" w:color="auto"/>
            </w:tcBorders>
          </w:tcPr>
          <w:p>
            <w:pPr>
              <w:spacing w:after="0"/>
              <w:rPr>
                <w:sz w:val="3"/>
                <w:szCs w:val="3"/>
                <w:color w:val="auto"/>
              </w:rPr>
            </w:pPr>
          </w:p>
        </w:tc>
        <w:tc>
          <w:tcPr>
            <w:tcW w:w="220" w:type="dxa"/>
            <w:vAlign w:val="bottom"/>
            <w:tcBorders>
              <w:top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40" w:type="dxa"/>
            <w:vAlign w:val="bottom"/>
          </w:tcPr>
          <w:p>
            <w:pPr>
              <w:spacing w:after="0"/>
              <w:rPr>
                <w:sz w:val="3"/>
                <w:szCs w:val="3"/>
                <w:color w:val="auto"/>
              </w:rPr>
            </w:pPr>
          </w:p>
        </w:tc>
        <w:tc>
          <w:tcPr>
            <w:tcW w:w="28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13"/>
        </w:trPr>
        <w:tc>
          <w:tcPr>
            <w:tcW w:w="1040" w:type="dxa"/>
            <w:vAlign w:val="bottom"/>
          </w:tcPr>
          <w:p>
            <w:pPr>
              <w:spacing w:after="0"/>
              <w:rPr>
                <w:sz w:val="9"/>
                <w:szCs w:val="9"/>
                <w:color w:val="auto"/>
              </w:rPr>
            </w:pPr>
          </w:p>
        </w:tc>
        <w:tc>
          <w:tcPr>
            <w:tcW w:w="60" w:type="dxa"/>
            <w:vAlign w:val="bottom"/>
          </w:tcPr>
          <w:p>
            <w:pPr>
              <w:spacing w:after="0"/>
              <w:rPr>
                <w:sz w:val="9"/>
                <w:szCs w:val="9"/>
                <w:color w:val="auto"/>
              </w:rPr>
            </w:pPr>
          </w:p>
        </w:tc>
        <w:tc>
          <w:tcPr>
            <w:tcW w:w="500" w:type="dxa"/>
            <w:vAlign w:val="bottom"/>
          </w:tcPr>
          <w:p>
            <w:pPr>
              <w:spacing w:after="0"/>
              <w:rPr>
                <w:sz w:val="9"/>
                <w:szCs w:val="9"/>
                <w:color w:val="auto"/>
              </w:rPr>
            </w:pPr>
          </w:p>
        </w:tc>
        <w:tc>
          <w:tcPr>
            <w:tcW w:w="60" w:type="dxa"/>
            <w:vAlign w:val="bottom"/>
          </w:tcPr>
          <w:p>
            <w:pPr>
              <w:spacing w:after="0"/>
              <w:rPr>
                <w:sz w:val="9"/>
                <w:szCs w:val="9"/>
                <w:color w:val="auto"/>
              </w:rPr>
            </w:pPr>
          </w:p>
        </w:tc>
        <w:tc>
          <w:tcPr>
            <w:tcW w:w="2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 w:type="dxa"/>
            <w:vAlign w:val="bottom"/>
          </w:tcPr>
          <w:p>
            <w:pPr>
              <w:spacing w:after="0"/>
              <w:rPr>
                <w:sz w:val="9"/>
                <w:szCs w:val="9"/>
                <w:color w:val="auto"/>
              </w:rPr>
            </w:pPr>
          </w:p>
        </w:tc>
        <w:tc>
          <w:tcPr>
            <w:tcW w:w="50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 w:type="dxa"/>
            <w:vAlign w:val="bottom"/>
          </w:tcPr>
          <w:p>
            <w:pPr>
              <w:spacing w:after="0"/>
              <w:rPr>
                <w:sz w:val="9"/>
                <w:szCs w:val="9"/>
                <w:color w:val="auto"/>
              </w:rPr>
            </w:pPr>
          </w:p>
        </w:tc>
        <w:tc>
          <w:tcPr>
            <w:tcW w:w="640" w:type="dxa"/>
            <w:vAlign w:val="bottom"/>
            <w:gridSpan w:val="2"/>
          </w:tcPr>
          <w:p>
            <w:pPr>
              <w:jc w:val="center"/>
              <w:ind w:right="160"/>
              <w:spacing w:after="0" w:line="113" w:lineRule="exact"/>
              <w:rPr>
                <w:sz w:val="20"/>
                <w:szCs w:val="20"/>
                <w:color w:val="auto"/>
              </w:rPr>
            </w:pPr>
            <w:r>
              <w:rPr>
                <w:rFonts w:ascii="Arial" w:cs="Arial" w:eastAsia="Arial" w:hAnsi="Arial"/>
                <w:sz w:val="10"/>
                <w:szCs w:val="10"/>
                <w:b w:val="1"/>
                <w:bCs w:val="1"/>
                <w:color w:val="auto"/>
                <w:w w:val="85"/>
              </w:rPr>
              <w:t>offering</w:t>
            </w:r>
          </w:p>
        </w:tc>
        <w:tc>
          <w:tcPr>
            <w:tcW w:w="46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60" w:type="dxa"/>
            <w:vAlign w:val="bottom"/>
          </w:tcPr>
          <w:p>
            <w:pPr>
              <w:spacing w:after="0"/>
              <w:rPr>
                <w:sz w:val="9"/>
                <w:szCs w:val="9"/>
                <w:color w:val="auto"/>
              </w:rPr>
            </w:pPr>
          </w:p>
        </w:tc>
        <w:tc>
          <w:tcPr>
            <w:tcW w:w="2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 w:type="dxa"/>
            <w:vAlign w:val="bottom"/>
          </w:tcPr>
          <w:p>
            <w:pPr>
              <w:spacing w:after="0"/>
              <w:rPr>
                <w:sz w:val="9"/>
                <w:szCs w:val="9"/>
                <w:color w:val="auto"/>
              </w:rPr>
            </w:pPr>
          </w:p>
        </w:tc>
        <w:tc>
          <w:tcPr>
            <w:tcW w:w="620" w:type="dxa"/>
            <w:vAlign w:val="bottom"/>
            <w:gridSpan w:val="2"/>
          </w:tcPr>
          <w:p>
            <w:pPr>
              <w:jc w:val="center"/>
              <w:ind w:right="120"/>
              <w:spacing w:after="0" w:line="113" w:lineRule="exact"/>
              <w:rPr>
                <w:sz w:val="20"/>
                <w:szCs w:val="20"/>
                <w:color w:val="auto"/>
              </w:rPr>
            </w:pPr>
            <w:r>
              <w:rPr>
                <w:rFonts w:ascii="Arial" w:cs="Arial" w:eastAsia="Arial" w:hAnsi="Arial"/>
                <w:sz w:val="10"/>
                <w:szCs w:val="10"/>
                <w:b w:val="1"/>
                <w:bCs w:val="1"/>
                <w:color w:val="auto"/>
                <w:w w:val="83"/>
              </w:rPr>
              <w:t>no exercise</w:t>
            </w:r>
          </w:p>
        </w:tc>
        <w:tc>
          <w:tcPr>
            <w:tcW w:w="40" w:type="dxa"/>
            <w:vAlign w:val="bottom"/>
          </w:tcPr>
          <w:p>
            <w:pPr>
              <w:spacing w:after="0"/>
              <w:rPr>
                <w:sz w:val="9"/>
                <w:szCs w:val="9"/>
                <w:color w:val="auto"/>
              </w:rPr>
            </w:pPr>
          </w:p>
        </w:tc>
        <w:tc>
          <w:tcPr>
            <w:tcW w:w="620" w:type="dxa"/>
            <w:vAlign w:val="bottom"/>
            <w:gridSpan w:val="2"/>
          </w:tcPr>
          <w:p>
            <w:pPr>
              <w:jc w:val="center"/>
              <w:ind w:right="160"/>
              <w:spacing w:after="0" w:line="113" w:lineRule="exact"/>
              <w:rPr>
                <w:sz w:val="20"/>
                <w:szCs w:val="20"/>
                <w:color w:val="auto"/>
              </w:rPr>
            </w:pPr>
            <w:r>
              <w:rPr>
                <w:rFonts w:ascii="Arial" w:cs="Arial" w:eastAsia="Arial" w:hAnsi="Arial"/>
                <w:sz w:val="10"/>
                <w:szCs w:val="10"/>
                <w:b w:val="1"/>
                <w:bCs w:val="1"/>
                <w:color w:val="auto"/>
                <w:w w:val="88"/>
              </w:rPr>
              <w:t>of option</w:t>
            </w:r>
          </w:p>
        </w:tc>
        <w:tc>
          <w:tcPr>
            <w:tcW w:w="50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 w:type="dxa"/>
            <w:vAlign w:val="bottom"/>
          </w:tcPr>
          <w:p>
            <w:pPr>
              <w:spacing w:after="0"/>
              <w:rPr>
                <w:sz w:val="9"/>
                <w:szCs w:val="9"/>
                <w:color w:val="auto"/>
              </w:rPr>
            </w:pPr>
          </w:p>
        </w:tc>
        <w:tc>
          <w:tcPr>
            <w:tcW w:w="280" w:type="dxa"/>
            <w:vAlign w:val="bottom"/>
          </w:tcPr>
          <w:p>
            <w:pPr>
              <w:jc w:val="center"/>
              <w:spacing w:after="0" w:line="113" w:lineRule="exact"/>
              <w:rPr>
                <w:sz w:val="20"/>
                <w:szCs w:val="20"/>
                <w:color w:val="auto"/>
              </w:rPr>
            </w:pPr>
            <w:r>
              <w:rPr>
                <w:rFonts w:ascii="Arial" w:cs="Arial" w:eastAsia="Arial" w:hAnsi="Arial"/>
                <w:sz w:val="10"/>
                <w:szCs w:val="10"/>
                <w:b w:val="1"/>
                <w:bCs w:val="1"/>
                <w:color w:val="auto"/>
                <w:w w:val="82"/>
              </w:rPr>
              <w:t>exerci</w:t>
            </w:r>
          </w:p>
        </w:tc>
        <w:tc>
          <w:tcPr>
            <w:tcW w:w="0" w:type="dxa"/>
            <w:vAlign w:val="bottom"/>
          </w:tcPr>
          <w:p>
            <w:pPr>
              <w:spacing w:after="0"/>
              <w:rPr>
                <w:sz w:val="1"/>
                <w:szCs w:val="1"/>
                <w:color w:val="auto"/>
              </w:rPr>
            </w:pPr>
          </w:p>
        </w:tc>
      </w:tr>
      <w:tr>
        <w:trPr>
          <w:trHeight w:val="113"/>
        </w:trPr>
        <w:tc>
          <w:tcPr>
            <w:tcW w:w="1040" w:type="dxa"/>
            <w:vAlign w:val="bottom"/>
          </w:tcPr>
          <w:p>
            <w:pPr>
              <w:spacing w:after="0"/>
              <w:rPr>
                <w:sz w:val="9"/>
                <w:szCs w:val="9"/>
                <w:color w:val="auto"/>
              </w:rPr>
            </w:pPr>
          </w:p>
        </w:tc>
        <w:tc>
          <w:tcPr>
            <w:tcW w:w="60" w:type="dxa"/>
            <w:vAlign w:val="bottom"/>
          </w:tcPr>
          <w:p>
            <w:pPr>
              <w:spacing w:after="0"/>
              <w:rPr>
                <w:sz w:val="9"/>
                <w:szCs w:val="9"/>
                <w:color w:val="auto"/>
              </w:rPr>
            </w:pPr>
          </w:p>
        </w:tc>
        <w:tc>
          <w:tcPr>
            <w:tcW w:w="500" w:type="dxa"/>
            <w:vAlign w:val="bottom"/>
          </w:tcPr>
          <w:p>
            <w:pPr>
              <w:spacing w:after="0"/>
              <w:rPr>
                <w:sz w:val="9"/>
                <w:szCs w:val="9"/>
                <w:color w:val="auto"/>
              </w:rPr>
            </w:pPr>
          </w:p>
        </w:tc>
        <w:tc>
          <w:tcPr>
            <w:tcW w:w="60" w:type="dxa"/>
            <w:vAlign w:val="bottom"/>
          </w:tcPr>
          <w:p>
            <w:pPr>
              <w:spacing w:after="0"/>
              <w:rPr>
                <w:sz w:val="9"/>
                <w:szCs w:val="9"/>
                <w:color w:val="auto"/>
              </w:rPr>
            </w:pPr>
          </w:p>
        </w:tc>
        <w:tc>
          <w:tcPr>
            <w:tcW w:w="2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 w:type="dxa"/>
            <w:vAlign w:val="bottom"/>
          </w:tcPr>
          <w:p>
            <w:pPr>
              <w:spacing w:after="0"/>
              <w:rPr>
                <w:sz w:val="9"/>
                <w:szCs w:val="9"/>
                <w:color w:val="auto"/>
              </w:rPr>
            </w:pPr>
          </w:p>
        </w:tc>
        <w:tc>
          <w:tcPr>
            <w:tcW w:w="50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 w:type="dxa"/>
            <w:vAlign w:val="bottom"/>
          </w:tcPr>
          <w:p>
            <w:pPr>
              <w:spacing w:after="0"/>
              <w:rPr>
                <w:sz w:val="9"/>
                <w:szCs w:val="9"/>
                <w:color w:val="auto"/>
              </w:rPr>
            </w:pPr>
          </w:p>
        </w:tc>
        <w:tc>
          <w:tcPr>
            <w:tcW w:w="640" w:type="dxa"/>
            <w:vAlign w:val="bottom"/>
            <w:gridSpan w:val="2"/>
          </w:tcPr>
          <w:p>
            <w:pPr>
              <w:jc w:val="center"/>
              <w:ind w:right="160"/>
              <w:spacing w:after="0" w:line="113" w:lineRule="exact"/>
              <w:rPr>
                <w:sz w:val="20"/>
                <w:szCs w:val="20"/>
                <w:color w:val="auto"/>
              </w:rPr>
            </w:pPr>
            <w:r>
              <w:rPr>
                <w:rFonts w:ascii="Arial" w:cs="Arial" w:eastAsia="Arial" w:hAnsi="Arial"/>
                <w:sz w:val="10"/>
                <w:szCs w:val="10"/>
                <w:b w:val="1"/>
                <w:bCs w:val="1"/>
                <w:color w:val="auto"/>
                <w:w w:val="89"/>
              </w:rPr>
              <w:t>and the</w:t>
            </w:r>
          </w:p>
        </w:tc>
        <w:tc>
          <w:tcPr>
            <w:tcW w:w="46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60" w:type="dxa"/>
            <w:vAlign w:val="bottom"/>
          </w:tcPr>
          <w:p>
            <w:pPr>
              <w:spacing w:after="0"/>
              <w:rPr>
                <w:sz w:val="9"/>
                <w:szCs w:val="9"/>
                <w:color w:val="auto"/>
              </w:rPr>
            </w:pPr>
          </w:p>
        </w:tc>
        <w:tc>
          <w:tcPr>
            <w:tcW w:w="2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 w:type="dxa"/>
            <w:vAlign w:val="bottom"/>
          </w:tcPr>
          <w:p>
            <w:pPr>
              <w:spacing w:after="0"/>
              <w:rPr>
                <w:sz w:val="9"/>
                <w:szCs w:val="9"/>
                <w:color w:val="auto"/>
              </w:rPr>
            </w:pPr>
          </w:p>
        </w:tc>
        <w:tc>
          <w:tcPr>
            <w:tcW w:w="620" w:type="dxa"/>
            <w:vAlign w:val="bottom"/>
            <w:gridSpan w:val="2"/>
          </w:tcPr>
          <w:p>
            <w:pPr>
              <w:jc w:val="center"/>
              <w:ind w:right="120"/>
              <w:spacing w:after="0" w:line="113" w:lineRule="exact"/>
              <w:rPr>
                <w:sz w:val="20"/>
                <w:szCs w:val="20"/>
                <w:color w:val="auto"/>
              </w:rPr>
            </w:pPr>
            <w:r>
              <w:rPr>
                <w:rFonts w:ascii="Arial" w:cs="Arial" w:eastAsia="Arial" w:hAnsi="Arial"/>
                <w:sz w:val="10"/>
                <w:szCs w:val="10"/>
                <w:b w:val="1"/>
                <w:bCs w:val="1"/>
                <w:color w:val="auto"/>
                <w:w w:val="83"/>
              </w:rPr>
              <w:t>of option to</w:t>
            </w:r>
          </w:p>
        </w:tc>
        <w:tc>
          <w:tcPr>
            <w:tcW w:w="40" w:type="dxa"/>
            <w:vAlign w:val="bottom"/>
          </w:tcPr>
          <w:p>
            <w:pPr>
              <w:spacing w:after="0"/>
              <w:rPr>
                <w:sz w:val="9"/>
                <w:szCs w:val="9"/>
                <w:color w:val="auto"/>
              </w:rPr>
            </w:pPr>
          </w:p>
        </w:tc>
        <w:tc>
          <w:tcPr>
            <w:tcW w:w="620" w:type="dxa"/>
            <w:vAlign w:val="bottom"/>
            <w:gridSpan w:val="2"/>
          </w:tcPr>
          <w:p>
            <w:pPr>
              <w:jc w:val="center"/>
              <w:ind w:right="180"/>
              <w:spacing w:after="0" w:line="113" w:lineRule="exact"/>
              <w:rPr>
                <w:sz w:val="20"/>
                <w:szCs w:val="20"/>
                <w:color w:val="auto"/>
              </w:rPr>
            </w:pPr>
            <w:r>
              <w:rPr>
                <w:rFonts w:ascii="Arial" w:cs="Arial" w:eastAsia="Arial" w:hAnsi="Arial"/>
                <w:sz w:val="10"/>
                <w:szCs w:val="10"/>
                <w:b w:val="1"/>
                <w:bCs w:val="1"/>
                <w:color w:val="auto"/>
                <w:w w:val="84"/>
              </w:rPr>
              <w:t>to</w:t>
            </w:r>
          </w:p>
        </w:tc>
        <w:tc>
          <w:tcPr>
            <w:tcW w:w="50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 w:type="dxa"/>
            <w:vAlign w:val="bottom"/>
          </w:tcPr>
          <w:p>
            <w:pPr>
              <w:spacing w:after="0"/>
              <w:rPr>
                <w:sz w:val="9"/>
                <w:szCs w:val="9"/>
                <w:color w:val="auto"/>
              </w:rPr>
            </w:pPr>
          </w:p>
        </w:tc>
        <w:tc>
          <w:tcPr>
            <w:tcW w:w="280" w:type="dxa"/>
            <w:vAlign w:val="bottom"/>
          </w:tcPr>
          <w:p>
            <w:pPr>
              <w:jc w:val="center"/>
              <w:spacing w:after="0" w:line="113" w:lineRule="exact"/>
              <w:rPr>
                <w:sz w:val="20"/>
                <w:szCs w:val="20"/>
                <w:color w:val="auto"/>
              </w:rPr>
            </w:pPr>
            <w:r>
              <w:rPr>
                <w:rFonts w:ascii="Arial" w:cs="Arial" w:eastAsia="Arial" w:hAnsi="Arial"/>
                <w:sz w:val="10"/>
                <w:szCs w:val="10"/>
                <w:b w:val="1"/>
                <w:bCs w:val="1"/>
                <w:color w:val="auto"/>
                <w:w w:val="81"/>
              </w:rPr>
              <w:t>optio</w:t>
            </w:r>
          </w:p>
        </w:tc>
        <w:tc>
          <w:tcPr>
            <w:tcW w:w="0" w:type="dxa"/>
            <w:vAlign w:val="bottom"/>
          </w:tcPr>
          <w:p>
            <w:pPr>
              <w:spacing w:after="0"/>
              <w:rPr>
                <w:sz w:val="1"/>
                <w:szCs w:val="1"/>
                <w:color w:val="auto"/>
              </w:rPr>
            </w:pPr>
          </w:p>
        </w:tc>
      </w:tr>
      <w:tr>
        <w:trPr>
          <w:trHeight w:val="113"/>
        </w:trPr>
        <w:tc>
          <w:tcPr>
            <w:tcW w:w="1040" w:type="dxa"/>
            <w:vAlign w:val="bottom"/>
          </w:tcPr>
          <w:p>
            <w:pPr>
              <w:spacing w:after="0"/>
              <w:rPr>
                <w:sz w:val="9"/>
                <w:szCs w:val="9"/>
                <w:color w:val="auto"/>
              </w:rPr>
            </w:pPr>
          </w:p>
        </w:tc>
        <w:tc>
          <w:tcPr>
            <w:tcW w:w="60" w:type="dxa"/>
            <w:vAlign w:val="bottom"/>
          </w:tcPr>
          <w:p>
            <w:pPr>
              <w:spacing w:after="0"/>
              <w:rPr>
                <w:sz w:val="9"/>
                <w:szCs w:val="9"/>
                <w:color w:val="auto"/>
              </w:rPr>
            </w:pPr>
          </w:p>
        </w:tc>
        <w:tc>
          <w:tcPr>
            <w:tcW w:w="500" w:type="dxa"/>
            <w:vAlign w:val="bottom"/>
          </w:tcPr>
          <w:p>
            <w:pPr>
              <w:spacing w:after="0"/>
              <w:rPr>
                <w:sz w:val="9"/>
                <w:szCs w:val="9"/>
                <w:color w:val="auto"/>
              </w:rPr>
            </w:pPr>
          </w:p>
        </w:tc>
        <w:tc>
          <w:tcPr>
            <w:tcW w:w="60" w:type="dxa"/>
            <w:vAlign w:val="bottom"/>
          </w:tcPr>
          <w:p>
            <w:pPr>
              <w:spacing w:after="0"/>
              <w:rPr>
                <w:sz w:val="9"/>
                <w:szCs w:val="9"/>
                <w:color w:val="auto"/>
              </w:rPr>
            </w:pPr>
          </w:p>
        </w:tc>
        <w:tc>
          <w:tcPr>
            <w:tcW w:w="2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 w:type="dxa"/>
            <w:vAlign w:val="bottom"/>
          </w:tcPr>
          <w:p>
            <w:pPr>
              <w:spacing w:after="0"/>
              <w:rPr>
                <w:sz w:val="9"/>
                <w:szCs w:val="9"/>
                <w:color w:val="auto"/>
              </w:rPr>
            </w:pPr>
          </w:p>
        </w:tc>
        <w:tc>
          <w:tcPr>
            <w:tcW w:w="50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 w:type="dxa"/>
            <w:vAlign w:val="bottom"/>
          </w:tcPr>
          <w:p>
            <w:pPr>
              <w:spacing w:after="0"/>
              <w:rPr>
                <w:sz w:val="9"/>
                <w:szCs w:val="9"/>
                <w:color w:val="auto"/>
              </w:rPr>
            </w:pPr>
          </w:p>
        </w:tc>
        <w:tc>
          <w:tcPr>
            <w:tcW w:w="640" w:type="dxa"/>
            <w:vAlign w:val="bottom"/>
            <w:gridSpan w:val="2"/>
          </w:tcPr>
          <w:p>
            <w:pPr>
              <w:jc w:val="center"/>
              <w:ind w:right="180"/>
              <w:spacing w:after="0" w:line="113" w:lineRule="exact"/>
              <w:rPr>
                <w:sz w:val="20"/>
                <w:szCs w:val="20"/>
                <w:color w:val="auto"/>
              </w:rPr>
            </w:pPr>
            <w:r>
              <w:rPr>
                <w:rFonts w:ascii="Arial" w:cs="Arial" w:eastAsia="Arial" w:hAnsi="Arial"/>
                <w:sz w:val="10"/>
                <w:szCs w:val="10"/>
                <w:b w:val="1"/>
                <w:bCs w:val="1"/>
                <w:color w:val="auto"/>
                <w:w w:val="87"/>
              </w:rPr>
              <w:t>concurrent</w:t>
            </w:r>
          </w:p>
        </w:tc>
        <w:tc>
          <w:tcPr>
            <w:tcW w:w="46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60" w:type="dxa"/>
            <w:vAlign w:val="bottom"/>
          </w:tcPr>
          <w:p>
            <w:pPr>
              <w:spacing w:after="0"/>
              <w:rPr>
                <w:sz w:val="9"/>
                <w:szCs w:val="9"/>
                <w:color w:val="auto"/>
              </w:rPr>
            </w:pPr>
          </w:p>
        </w:tc>
        <w:tc>
          <w:tcPr>
            <w:tcW w:w="2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 w:type="dxa"/>
            <w:vAlign w:val="bottom"/>
          </w:tcPr>
          <w:p>
            <w:pPr>
              <w:spacing w:after="0"/>
              <w:rPr>
                <w:sz w:val="9"/>
                <w:szCs w:val="9"/>
                <w:color w:val="auto"/>
              </w:rPr>
            </w:pPr>
          </w:p>
        </w:tc>
        <w:tc>
          <w:tcPr>
            <w:tcW w:w="620" w:type="dxa"/>
            <w:vAlign w:val="bottom"/>
            <w:gridSpan w:val="2"/>
          </w:tcPr>
          <w:p>
            <w:pPr>
              <w:jc w:val="center"/>
              <w:ind w:right="120"/>
              <w:spacing w:after="0" w:line="113" w:lineRule="exact"/>
              <w:rPr>
                <w:sz w:val="20"/>
                <w:szCs w:val="20"/>
                <w:color w:val="auto"/>
              </w:rPr>
            </w:pPr>
            <w:r>
              <w:rPr>
                <w:rFonts w:ascii="Arial" w:cs="Arial" w:eastAsia="Arial" w:hAnsi="Arial"/>
                <w:sz w:val="10"/>
                <w:szCs w:val="10"/>
                <w:b w:val="1"/>
                <w:bCs w:val="1"/>
                <w:color w:val="auto"/>
                <w:w w:val="85"/>
              </w:rPr>
              <w:t>purchase</w:t>
            </w:r>
          </w:p>
        </w:tc>
        <w:tc>
          <w:tcPr>
            <w:tcW w:w="40" w:type="dxa"/>
            <w:vAlign w:val="bottom"/>
          </w:tcPr>
          <w:p>
            <w:pPr>
              <w:spacing w:after="0"/>
              <w:rPr>
                <w:sz w:val="9"/>
                <w:szCs w:val="9"/>
                <w:color w:val="auto"/>
              </w:rPr>
            </w:pPr>
          </w:p>
        </w:tc>
        <w:tc>
          <w:tcPr>
            <w:tcW w:w="620" w:type="dxa"/>
            <w:vAlign w:val="bottom"/>
            <w:gridSpan w:val="2"/>
          </w:tcPr>
          <w:p>
            <w:pPr>
              <w:jc w:val="center"/>
              <w:ind w:right="160"/>
              <w:spacing w:after="0" w:line="113" w:lineRule="exact"/>
              <w:rPr>
                <w:sz w:val="20"/>
                <w:szCs w:val="20"/>
                <w:color w:val="auto"/>
              </w:rPr>
            </w:pPr>
            <w:r>
              <w:rPr>
                <w:rFonts w:ascii="Arial" w:cs="Arial" w:eastAsia="Arial" w:hAnsi="Arial"/>
                <w:sz w:val="10"/>
                <w:szCs w:val="10"/>
                <w:b w:val="1"/>
                <w:bCs w:val="1"/>
                <w:color w:val="auto"/>
                <w:w w:val="85"/>
              </w:rPr>
              <w:t>purchase</w:t>
            </w:r>
          </w:p>
        </w:tc>
        <w:tc>
          <w:tcPr>
            <w:tcW w:w="50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 w:type="dxa"/>
            <w:vAlign w:val="bottom"/>
          </w:tcPr>
          <w:p>
            <w:pPr>
              <w:spacing w:after="0"/>
              <w:rPr>
                <w:sz w:val="9"/>
                <w:szCs w:val="9"/>
                <w:color w:val="auto"/>
              </w:rPr>
            </w:pPr>
          </w:p>
        </w:tc>
        <w:tc>
          <w:tcPr>
            <w:tcW w:w="280" w:type="dxa"/>
            <w:vAlign w:val="bottom"/>
          </w:tcPr>
          <w:p>
            <w:pPr>
              <w:jc w:val="center"/>
              <w:spacing w:after="0" w:line="113" w:lineRule="exact"/>
              <w:rPr>
                <w:sz w:val="20"/>
                <w:szCs w:val="20"/>
                <w:color w:val="auto"/>
              </w:rPr>
            </w:pPr>
            <w:r>
              <w:rPr>
                <w:rFonts w:ascii="Arial" w:cs="Arial" w:eastAsia="Arial" w:hAnsi="Arial"/>
                <w:sz w:val="10"/>
                <w:szCs w:val="10"/>
                <w:b w:val="1"/>
                <w:bCs w:val="1"/>
                <w:color w:val="auto"/>
                <w:w w:val="86"/>
              </w:rPr>
              <w:t>purch</w:t>
            </w:r>
          </w:p>
        </w:tc>
        <w:tc>
          <w:tcPr>
            <w:tcW w:w="0" w:type="dxa"/>
            <w:vAlign w:val="bottom"/>
          </w:tcPr>
          <w:p>
            <w:pPr>
              <w:spacing w:after="0"/>
              <w:rPr>
                <w:sz w:val="1"/>
                <w:szCs w:val="1"/>
                <w:color w:val="auto"/>
              </w:rPr>
            </w:pPr>
          </w:p>
        </w:tc>
      </w:tr>
      <w:tr>
        <w:trPr>
          <w:trHeight w:val="113"/>
        </w:trPr>
        <w:tc>
          <w:tcPr>
            <w:tcW w:w="1040" w:type="dxa"/>
            <w:vAlign w:val="bottom"/>
          </w:tcPr>
          <w:p>
            <w:pPr>
              <w:spacing w:after="0"/>
              <w:rPr>
                <w:sz w:val="9"/>
                <w:szCs w:val="9"/>
                <w:color w:val="auto"/>
              </w:rPr>
            </w:pPr>
          </w:p>
        </w:tc>
        <w:tc>
          <w:tcPr>
            <w:tcW w:w="60" w:type="dxa"/>
            <w:vAlign w:val="bottom"/>
          </w:tcPr>
          <w:p>
            <w:pPr>
              <w:spacing w:after="0"/>
              <w:rPr>
                <w:sz w:val="9"/>
                <w:szCs w:val="9"/>
                <w:color w:val="auto"/>
              </w:rPr>
            </w:pPr>
          </w:p>
        </w:tc>
        <w:tc>
          <w:tcPr>
            <w:tcW w:w="560" w:type="dxa"/>
            <w:vAlign w:val="bottom"/>
            <w:gridSpan w:val="2"/>
          </w:tcPr>
          <w:p>
            <w:pPr>
              <w:ind w:left="80"/>
              <w:spacing w:after="0" w:line="113" w:lineRule="exact"/>
              <w:rPr>
                <w:sz w:val="20"/>
                <w:szCs w:val="20"/>
                <w:color w:val="auto"/>
              </w:rPr>
            </w:pPr>
            <w:r>
              <w:rPr>
                <w:rFonts w:ascii="Arial" w:cs="Arial" w:eastAsia="Arial" w:hAnsi="Arial"/>
                <w:sz w:val="10"/>
                <w:szCs w:val="10"/>
                <w:b w:val="1"/>
                <w:bCs w:val="1"/>
                <w:color w:val="auto"/>
              </w:rPr>
              <w:t>Class A</w:t>
            </w:r>
          </w:p>
        </w:tc>
        <w:tc>
          <w:tcPr>
            <w:tcW w:w="240" w:type="dxa"/>
            <w:vAlign w:val="bottom"/>
          </w:tcPr>
          <w:p>
            <w:pPr>
              <w:spacing w:after="0"/>
              <w:rPr>
                <w:sz w:val="9"/>
                <w:szCs w:val="9"/>
                <w:color w:val="auto"/>
              </w:rPr>
            </w:pPr>
          </w:p>
        </w:tc>
        <w:tc>
          <w:tcPr>
            <w:tcW w:w="160" w:type="dxa"/>
            <w:vAlign w:val="bottom"/>
          </w:tcPr>
          <w:p>
            <w:pPr>
              <w:spacing w:after="0"/>
              <w:rPr>
                <w:sz w:val="9"/>
                <w:szCs w:val="9"/>
                <w:color w:val="auto"/>
              </w:rPr>
            </w:pPr>
          </w:p>
        </w:tc>
        <w:tc>
          <w:tcPr>
            <w:tcW w:w="620" w:type="dxa"/>
            <w:vAlign w:val="bottom"/>
            <w:gridSpan w:val="2"/>
          </w:tcPr>
          <w:p>
            <w:pPr>
              <w:ind w:left="120"/>
              <w:spacing w:after="0" w:line="113" w:lineRule="exact"/>
              <w:rPr>
                <w:sz w:val="20"/>
                <w:szCs w:val="20"/>
                <w:color w:val="auto"/>
              </w:rPr>
            </w:pPr>
            <w:r>
              <w:rPr>
                <w:rFonts w:ascii="Arial" w:cs="Arial" w:eastAsia="Arial" w:hAnsi="Arial"/>
                <w:sz w:val="10"/>
                <w:szCs w:val="10"/>
                <w:b w:val="1"/>
                <w:bCs w:val="1"/>
                <w:color w:val="auto"/>
              </w:rPr>
              <w:t>Class B</w:t>
            </w: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 w:type="dxa"/>
            <w:vAlign w:val="bottom"/>
          </w:tcPr>
          <w:p>
            <w:pPr>
              <w:spacing w:after="0"/>
              <w:rPr>
                <w:sz w:val="9"/>
                <w:szCs w:val="9"/>
                <w:color w:val="auto"/>
              </w:rPr>
            </w:pPr>
          </w:p>
        </w:tc>
        <w:tc>
          <w:tcPr>
            <w:tcW w:w="620" w:type="dxa"/>
            <w:vAlign w:val="bottom"/>
            <w:gridSpan w:val="2"/>
          </w:tcPr>
          <w:p>
            <w:pPr>
              <w:jc w:val="right"/>
              <w:ind w:right="160"/>
              <w:spacing w:after="0" w:line="113" w:lineRule="exact"/>
              <w:rPr>
                <w:sz w:val="20"/>
                <w:szCs w:val="20"/>
                <w:color w:val="auto"/>
              </w:rPr>
            </w:pPr>
            <w:r>
              <w:rPr>
                <w:rFonts w:ascii="Arial" w:cs="Arial" w:eastAsia="Arial" w:hAnsi="Arial"/>
                <w:sz w:val="10"/>
                <w:szCs w:val="10"/>
                <w:b w:val="1"/>
                <w:bCs w:val="1"/>
                <w:color w:val="auto"/>
                <w:w w:val="97"/>
              </w:rPr>
              <w:t>% of total</w:t>
            </w:r>
          </w:p>
        </w:tc>
        <w:tc>
          <w:tcPr>
            <w:tcW w:w="40" w:type="dxa"/>
            <w:vAlign w:val="bottom"/>
          </w:tcPr>
          <w:p>
            <w:pPr>
              <w:spacing w:after="0"/>
              <w:rPr>
                <w:sz w:val="9"/>
                <w:szCs w:val="9"/>
                <w:color w:val="auto"/>
              </w:rPr>
            </w:pPr>
          </w:p>
        </w:tc>
        <w:tc>
          <w:tcPr>
            <w:tcW w:w="640" w:type="dxa"/>
            <w:vAlign w:val="bottom"/>
            <w:gridSpan w:val="2"/>
          </w:tcPr>
          <w:p>
            <w:pPr>
              <w:jc w:val="center"/>
              <w:ind w:right="180"/>
              <w:spacing w:after="0" w:line="113" w:lineRule="exact"/>
              <w:rPr>
                <w:sz w:val="20"/>
                <w:szCs w:val="20"/>
                <w:color w:val="auto"/>
              </w:rPr>
            </w:pPr>
            <w:r>
              <w:rPr>
                <w:rFonts w:ascii="Arial" w:cs="Arial" w:eastAsia="Arial" w:hAnsi="Arial"/>
                <w:sz w:val="10"/>
                <w:szCs w:val="10"/>
                <w:b w:val="1"/>
                <w:bCs w:val="1"/>
                <w:color w:val="auto"/>
                <w:w w:val="91"/>
              </w:rPr>
              <w:t>private</w:t>
            </w:r>
          </w:p>
        </w:tc>
        <w:tc>
          <w:tcPr>
            <w:tcW w:w="540" w:type="dxa"/>
            <w:vAlign w:val="bottom"/>
            <w:gridSpan w:val="2"/>
          </w:tcPr>
          <w:p>
            <w:pPr>
              <w:spacing w:after="0" w:line="113" w:lineRule="exact"/>
              <w:rPr>
                <w:sz w:val="20"/>
                <w:szCs w:val="20"/>
                <w:color w:val="auto"/>
              </w:rPr>
            </w:pPr>
            <w:r>
              <w:rPr>
                <w:rFonts w:ascii="Arial" w:cs="Arial" w:eastAsia="Arial" w:hAnsi="Arial"/>
                <w:sz w:val="10"/>
                <w:szCs w:val="10"/>
                <w:b w:val="1"/>
                <w:bCs w:val="1"/>
                <w:color w:val="auto"/>
                <w:w w:val="98"/>
              </w:rPr>
              <w:t># of shares</w:t>
            </w:r>
          </w:p>
        </w:tc>
        <w:tc>
          <w:tcPr>
            <w:tcW w:w="560" w:type="dxa"/>
            <w:vAlign w:val="bottom"/>
            <w:gridSpan w:val="2"/>
          </w:tcPr>
          <w:p>
            <w:pPr>
              <w:ind w:left="80"/>
              <w:spacing w:after="0" w:line="113" w:lineRule="exact"/>
              <w:rPr>
                <w:sz w:val="20"/>
                <w:szCs w:val="20"/>
                <w:color w:val="auto"/>
              </w:rPr>
            </w:pPr>
            <w:r>
              <w:rPr>
                <w:rFonts w:ascii="Arial" w:cs="Arial" w:eastAsia="Arial" w:hAnsi="Arial"/>
                <w:sz w:val="10"/>
                <w:szCs w:val="10"/>
                <w:b w:val="1"/>
                <w:bCs w:val="1"/>
                <w:color w:val="auto"/>
              </w:rPr>
              <w:t>Class A</w:t>
            </w:r>
          </w:p>
        </w:tc>
        <w:tc>
          <w:tcPr>
            <w:tcW w:w="240" w:type="dxa"/>
            <w:vAlign w:val="bottom"/>
          </w:tcPr>
          <w:p>
            <w:pPr>
              <w:spacing w:after="0"/>
              <w:rPr>
                <w:sz w:val="9"/>
                <w:szCs w:val="9"/>
                <w:color w:val="auto"/>
              </w:rPr>
            </w:pPr>
          </w:p>
        </w:tc>
        <w:tc>
          <w:tcPr>
            <w:tcW w:w="160" w:type="dxa"/>
            <w:vAlign w:val="bottom"/>
          </w:tcPr>
          <w:p>
            <w:pPr>
              <w:spacing w:after="0"/>
              <w:rPr>
                <w:sz w:val="9"/>
                <w:szCs w:val="9"/>
                <w:color w:val="auto"/>
              </w:rPr>
            </w:pPr>
          </w:p>
        </w:tc>
        <w:tc>
          <w:tcPr>
            <w:tcW w:w="620" w:type="dxa"/>
            <w:vAlign w:val="bottom"/>
            <w:gridSpan w:val="2"/>
          </w:tcPr>
          <w:p>
            <w:pPr>
              <w:ind w:left="120"/>
              <w:spacing w:after="0" w:line="113" w:lineRule="exact"/>
              <w:rPr>
                <w:sz w:val="20"/>
                <w:szCs w:val="20"/>
                <w:color w:val="auto"/>
              </w:rPr>
            </w:pPr>
            <w:r>
              <w:rPr>
                <w:rFonts w:ascii="Arial" w:cs="Arial" w:eastAsia="Arial" w:hAnsi="Arial"/>
                <w:sz w:val="10"/>
                <w:szCs w:val="10"/>
                <w:b w:val="1"/>
                <w:bCs w:val="1"/>
                <w:color w:val="auto"/>
              </w:rPr>
              <w:t>Class B</w:t>
            </w: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 w:type="dxa"/>
            <w:vAlign w:val="bottom"/>
          </w:tcPr>
          <w:p>
            <w:pPr>
              <w:spacing w:after="0"/>
              <w:rPr>
                <w:sz w:val="9"/>
                <w:szCs w:val="9"/>
                <w:color w:val="auto"/>
              </w:rPr>
            </w:pPr>
          </w:p>
        </w:tc>
        <w:tc>
          <w:tcPr>
            <w:tcW w:w="620" w:type="dxa"/>
            <w:vAlign w:val="bottom"/>
            <w:gridSpan w:val="2"/>
          </w:tcPr>
          <w:p>
            <w:pPr>
              <w:jc w:val="center"/>
              <w:ind w:right="120"/>
              <w:spacing w:after="0" w:line="113" w:lineRule="exact"/>
              <w:rPr>
                <w:sz w:val="20"/>
                <w:szCs w:val="20"/>
                <w:color w:val="auto"/>
              </w:rPr>
            </w:pPr>
            <w:r>
              <w:rPr>
                <w:rFonts w:ascii="Arial" w:cs="Arial" w:eastAsia="Arial" w:hAnsi="Arial"/>
                <w:sz w:val="10"/>
                <w:szCs w:val="10"/>
                <w:b w:val="1"/>
                <w:bCs w:val="1"/>
                <w:color w:val="auto"/>
                <w:w w:val="88"/>
              </w:rPr>
              <w:t>additional</w:t>
            </w:r>
          </w:p>
        </w:tc>
        <w:tc>
          <w:tcPr>
            <w:tcW w:w="40" w:type="dxa"/>
            <w:vAlign w:val="bottom"/>
          </w:tcPr>
          <w:p>
            <w:pPr>
              <w:spacing w:after="0"/>
              <w:rPr>
                <w:sz w:val="9"/>
                <w:szCs w:val="9"/>
                <w:color w:val="auto"/>
              </w:rPr>
            </w:pPr>
          </w:p>
        </w:tc>
        <w:tc>
          <w:tcPr>
            <w:tcW w:w="620" w:type="dxa"/>
            <w:vAlign w:val="bottom"/>
            <w:gridSpan w:val="2"/>
          </w:tcPr>
          <w:p>
            <w:pPr>
              <w:jc w:val="center"/>
              <w:ind w:right="160"/>
              <w:spacing w:after="0" w:line="113" w:lineRule="exact"/>
              <w:rPr>
                <w:sz w:val="20"/>
                <w:szCs w:val="20"/>
                <w:color w:val="auto"/>
              </w:rPr>
            </w:pPr>
            <w:r>
              <w:rPr>
                <w:rFonts w:ascii="Arial" w:cs="Arial" w:eastAsia="Arial" w:hAnsi="Arial"/>
                <w:sz w:val="10"/>
                <w:szCs w:val="10"/>
                <w:b w:val="1"/>
                <w:bCs w:val="1"/>
                <w:color w:val="auto"/>
                <w:w w:val="88"/>
              </w:rPr>
              <w:t>additional</w:t>
            </w:r>
          </w:p>
        </w:tc>
        <w:tc>
          <w:tcPr>
            <w:tcW w:w="580" w:type="dxa"/>
            <w:vAlign w:val="bottom"/>
            <w:gridSpan w:val="2"/>
          </w:tcPr>
          <w:p>
            <w:pPr>
              <w:ind w:left="100"/>
              <w:spacing w:after="0" w:line="113" w:lineRule="exact"/>
              <w:rPr>
                <w:sz w:val="20"/>
                <w:szCs w:val="20"/>
                <w:color w:val="auto"/>
              </w:rPr>
            </w:pPr>
            <w:r>
              <w:rPr>
                <w:rFonts w:ascii="Arial" w:cs="Arial" w:eastAsia="Arial" w:hAnsi="Arial"/>
                <w:sz w:val="10"/>
                <w:szCs w:val="10"/>
                <w:b w:val="1"/>
                <w:bCs w:val="1"/>
                <w:color w:val="auto"/>
              </w:rPr>
              <w:t>Class A</w:t>
            </w: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640" w:type="dxa"/>
            <w:vAlign w:val="bottom"/>
            <w:gridSpan w:val="2"/>
          </w:tcPr>
          <w:p>
            <w:pPr>
              <w:ind w:left="120"/>
              <w:spacing w:after="0" w:line="113" w:lineRule="exact"/>
              <w:rPr>
                <w:sz w:val="20"/>
                <w:szCs w:val="20"/>
                <w:color w:val="auto"/>
              </w:rPr>
            </w:pPr>
            <w:r>
              <w:rPr>
                <w:rFonts w:ascii="Arial" w:cs="Arial" w:eastAsia="Arial" w:hAnsi="Arial"/>
                <w:sz w:val="10"/>
                <w:szCs w:val="10"/>
                <w:b w:val="1"/>
                <w:bCs w:val="1"/>
                <w:color w:val="auto"/>
              </w:rPr>
              <w:t>Class B</w:t>
            </w: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 w:type="dxa"/>
            <w:vAlign w:val="bottom"/>
          </w:tcPr>
          <w:p>
            <w:pPr>
              <w:spacing w:after="0"/>
              <w:rPr>
                <w:sz w:val="9"/>
                <w:szCs w:val="9"/>
                <w:color w:val="auto"/>
              </w:rPr>
            </w:pPr>
          </w:p>
        </w:tc>
        <w:tc>
          <w:tcPr>
            <w:tcW w:w="280" w:type="dxa"/>
            <w:vAlign w:val="bottom"/>
          </w:tcPr>
          <w:p>
            <w:pPr>
              <w:jc w:val="center"/>
              <w:spacing w:after="0" w:line="113" w:lineRule="exact"/>
              <w:rPr>
                <w:sz w:val="20"/>
                <w:szCs w:val="20"/>
                <w:color w:val="auto"/>
              </w:rPr>
            </w:pPr>
            <w:r>
              <w:rPr>
                <w:rFonts w:ascii="Arial" w:cs="Arial" w:eastAsia="Arial" w:hAnsi="Arial"/>
                <w:sz w:val="10"/>
                <w:szCs w:val="10"/>
                <w:b w:val="1"/>
                <w:bCs w:val="1"/>
                <w:color w:val="auto"/>
                <w:w w:val="89"/>
              </w:rPr>
              <w:t>additi</w:t>
            </w:r>
          </w:p>
        </w:tc>
        <w:tc>
          <w:tcPr>
            <w:tcW w:w="0" w:type="dxa"/>
            <w:vAlign w:val="bottom"/>
          </w:tcPr>
          <w:p>
            <w:pPr>
              <w:spacing w:after="0"/>
              <w:rPr>
                <w:sz w:val="1"/>
                <w:szCs w:val="1"/>
                <w:color w:val="auto"/>
              </w:rPr>
            </w:pPr>
          </w:p>
        </w:tc>
      </w:tr>
      <w:tr>
        <w:trPr>
          <w:trHeight w:val="122"/>
        </w:trPr>
        <w:tc>
          <w:tcPr>
            <w:tcW w:w="1100" w:type="dxa"/>
            <w:vAlign w:val="bottom"/>
            <w:gridSpan w:val="2"/>
          </w:tcPr>
          <w:p>
            <w:pPr>
              <w:spacing w:after="0"/>
              <w:rPr>
                <w:sz w:val="20"/>
                <w:szCs w:val="20"/>
                <w:color w:val="auto"/>
              </w:rPr>
            </w:pPr>
            <w:r>
              <w:rPr>
                <w:rFonts w:ascii="Arial" w:cs="Arial" w:eastAsia="Arial" w:hAnsi="Arial"/>
                <w:sz w:val="10"/>
                <w:szCs w:val="10"/>
                <w:b w:val="1"/>
                <w:bCs w:val="1"/>
                <w:color w:val="auto"/>
                <w:w w:val="89"/>
              </w:rPr>
              <w:t>Name of beneficial owner</w:t>
            </w:r>
          </w:p>
        </w:tc>
        <w:tc>
          <w:tcPr>
            <w:tcW w:w="560" w:type="dxa"/>
            <w:vAlign w:val="bottom"/>
            <w:gridSpan w:val="2"/>
          </w:tcPr>
          <w:p>
            <w:pPr>
              <w:ind w:left="100"/>
              <w:spacing w:after="0"/>
              <w:rPr>
                <w:sz w:val="20"/>
                <w:szCs w:val="20"/>
                <w:color w:val="auto"/>
              </w:rPr>
            </w:pPr>
            <w:r>
              <w:rPr>
                <w:rFonts w:ascii="Arial" w:cs="Arial" w:eastAsia="Arial" w:hAnsi="Arial"/>
                <w:sz w:val="10"/>
                <w:szCs w:val="10"/>
                <w:b w:val="1"/>
                <w:bCs w:val="1"/>
                <w:color w:val="auto"/>
              </w:rPr>
              <w:t>shares</w:t>
            </w:r>
          </w:p>
        </w:tc>
        <w:tc>
          <w:tcPr>
            <w:tcW w:w="240" w:type="dxa"/>
            <w:vAlign w:val="bottom"/>
          </w:tcPr>
          <w:p>
            <w:pPr>
              <w:jc w:val="right"/>
              <w:ind w:right="28"/>
              <w:spacing w:after="0"/>
              <w:rPr>
                <w:sz w:val="20"/>
                <w:szCs w:val="20"/>
                <w:color w:val="auto"/>
              </w:rPr>
            </w:pPr>
            <w:r>
              <w:rPr>
                <w:rFonts w:ascii="Arial" w:cs="Arial" w:eastAsia="Arial" w:hAnsi="Arial"/>
                <w:sz w:val="10"/>
                <w:szCs w:val="10"/>
                <w:b w:val="1"/>
                <w:bCs w:val="1"/>
                <w:color w:val="auto"/>
              </w:rPr>
              <w:t>%</w:t>
            </w:r>
          </w:p>
        </w:tc>
        <w:tc>
          <w:tcPr>
            <w:tcW w:w="160" w:type="dxa"/>
            <w:vAlign w:val="bottom"/>
          </w:tcPr>
          <w:p>
            <w:pPr>
              <w:spacing w:after="0"/>
              <w:rPr>
                <w:sz w:val="10"/>
                <w:szCs w:val="10"/>
                <w:color w:val="auto"/>
              </w:rPr>
            </w:pPr>
          </w:p>
        </w:tc>
        <w:tc>
          <w:tcPr>
            <w:tcW w:w="620" w:type="dxa"/>
            <w:vAlign w:val="bottom"/>
            <w:gridSpan w:val="2"/>
          </w:tcPr>
          <w:p>
            <w:pPr>
              <w:ind w:left="120"/>
              <w:spacing w:after="0"/>
              <w:rPr>
                <w:sz w:val="20"/>
                <w:szCs w:val="20"/>
                <w:color w:val="auto"/>
              </w:rPr>
            </w:pPr>
            <w:r>
              <w:rPr>
                <w:rFonts w:ascii="Arial" w:cs="Arial" w:eastAsia="Arial" w:hAnsi="Arial"/>
                <w:sz w:val="10"/>
                <w:szCs w:val="10"/>
                <w:b w:val="1"/>
                <w:bCs w:val="1"/>
                <w:color w:val="auto"/>
              </w:rPr>
              <w:t>shares†</w:t>
            </w:r>
          </w:p>
        </w:tc>
        <w:tc>
          <w:tcPr>
            <w:tcW w:w="220" w:type="dxa"/>
            <w:vAlign w:val="bottom"/>
          </w:tcPr>
          <w:p>
            <w:pPr>
              <w:jc w:val="right"/>
              <w:ind w:right="8"/>
              <w:spacing w:after="0"/>
              <w:rPr>
                <w:sz w:val="20"/>
                <w:szCs w:val="20"/>
                <w:color w:val="auto"/>
              </w:rPr>
            </w:pPr>
            <w:r>
              <w:rPr>
                <w:rFonts w:ascii="Arial" w:cs="Arial" w:eastAsia="Arial" w:hAnsi="Arial"/>
                <w:sz w:val="10"/>
                <w:szCs w:val="10"/>
                <w:b w:val="1"/>
                <w:bCs w:val="1"/>
                <w:color w:val="auto"/>
              </w:rPr>
              <w:t>%</w:t>
            </w:r>
          </w:p>
        </w:tc>
        <w:tc>
          <w:tcPr>
            <w:tcW w:w="120" w:type="dxa"/>
            <w:vAlign w:val="bottom"/>
          </w:tcPr>
          <w:p>
            <w:pPr>
              <w:spacing w:after="0"/>
              <w:rPr>
                <w:sz w:val="10"/>
                <w:szCs w:val="10"/>
                <w:color w:val="auto"/>
              </w:rPr>
            </w:pPr>
          </w:p>
        </w:tc>
        <w:tc>
          <w:tcPr>
            <w:tcW w:w="660" w:type="dxa"/>
            <w:vAlign w:val="bottom"/>
            <w:gridSpan w:val="3"/>
          </w:tcPr>
          <w:p>
            <w:pPr>
              <w:jc w:val="right"/>
              <w:ind w:right="120"/>
              <w:spacing w:after="0"/>
              <w:rPr>
                <w:sz w:val="20"/>
                <w:szCs w:val="20"/>
                <w:color w:val="auto"/>
              </w:rPr>
            </w:pPr>
            <w:r>
              <w:rPr>
                <w:rFonts w:ascii="Arial" w:cs="Arial" w:eastAsia="Arial" w:hAnsi="Arial"/>
                <w:sz w:val="10"/>
                <w:szCs w:val="10"/>
                <w:b w:val="1"/>
                <w:bCs w:val="1"/>
                <w:color w:val="auto"/>
                <w:w w:val="90"/>
              </w:rPr>
              <w:t>outstanding</w:t>
            </w:r>
          </w:p>
        </w:tc>
        <w:tc>
          <w:tcPr>
            <w:tcW w:w="680" w:type="dxa"/>
            <w:vAlign w:val="bottom"/>
            <w:gridSpan w:val="3"/>
          </w:tcPr>
          <w:p>
            <w:pPr>
              <w:jc w:val="center"/>
              <w:ind w:right="120"/>
              <w:spacing w:after="0"/>
              <w:rPr>
                <w:sz w:val="20"/>
                <w:szCs w:val="20"/>
                <w:color w:val="auto"/>
              </w:rPr>
            </w:pPr>
            <w:r>
              <w:rPr>
                <w:rFonts w:ascii="Arial" w:cs="Arial" w:eastAsia="Arial" w:hAnsi="Arial"/>
                <w:sz w:val="10"/>
                <w:szCs w:val="10"/>
                <w:b w:val="1"/>
                <w:bCs w:val="1"/>
                <w:color w:val="auto"/>
                <w:w w:val="87"/>
              </w:rPr>
              <w:t>placement#</w:t>
            </w:r>
          </w:p>
        </w:tc>
        <w:tc>
          <w:tcPr>
            <w:tcW w:w="540" w:type="dxa"/>
            <w:vAlign w:val="bottom"/>
            <w:gridSpan w:val="2"/>
          </w:tcPr>
          <w:p>
            <w:pPr>
              <w:ind w:left="20"/>
              <w:spacing w:after="0"/>
              <w:rPr>
                <w:sz w:val="20"/>
                <w:szCs w:val="20"/>
                <w:color w:val="auto"/>
              </w:rPr>
            </w:pPr>
            <w:r>
              <w:rPr>
                <w:rFonts w:ascii="Arial" w:cs="Arial" w:eastAsia="Arial" w:hAnsi="Arial"/>
                <w:sz w:val="10"/>
                <w:szCs w:val="10"/>
                <w:b w:val="1"/>
                <w:bCs w:val="1"/>
                <w:color w:val="auto"/>
                <w:w w:val="99"/>
              </w:rPr>
              <w:t>being sold</w:t>
            </w:r>
          </w:p>
        </w:tc>
        <w:tc>
          <w:tcPr>
            <w:tcW w:w="560" w:type="dxa"/>
            <w:vAlign w:val="bottom"/>
            <w:gridSpan w:val="2"/>
          </w:tcPr>
          <w:p>
            <w:pPr>
              <w:ind w:left="100"/>
              <w:spacing w:after="0"/>
              <w:rPr>
                <w:sz w:val="20"/>
                <w:szCs w:val="20"/>
                <w:color w:val="auto"/>
              </w:rPr>
            </w:pPr>
            <w:r>
              <w:rPr>
                <w:rFonts w:ascii="Arial" w:cs="Arial" w:eastAsia="Arial" w:hAnsi="Arial"/>
                <w:sz w:val="10"/>
                <w:szCs w:val="10"/>
                <w:b w:val="1"/>
                <w:bCs w:val="1"/>
                <w:color w:val="auto"/>
              </w:rPr>
              <w:t>shares</w:t>
            </w:r>
          </w:p>
        </w:tc>
        <w:tc>
          <w:tcPr>
            <w:tcW w:w="240" w:type="dxa"/>
            <w:vAlign w:val="bottom"/>
          </w:tcPr>
          <w:p>
            <w:pPr>
              <w:jc w:val="right"/>
              <w:ind w:right="28"/>
              <w:spacing w:after="0"/>
              <w:rPr>
                <w:sz w:val="20"/>
                <w:szCs w:val="20"/>
                <w:color w:val="auto"/>
              </w:rPr>
            </w:pPr>
            <w:r>
              <w:rPr>
                <w:rFonts w:ascii="Arial" w:cs="Arial" w:eastAsia="Arial" w:hAnsi="Arial"/>
                <w:sz w:val="10"/>
                <w:szCs w:val="10"/>
                <w:b w:val="1"/>
                <w:bCs w:val="1"/>
                <w:color w:val="auto"/>
              </w:rPr>
              <w:t>%</w:t>
            </w:r>
          </w:p>
        </w:tc>
        <w:tc>
          <w:tcPr>
            <w:tcW w:w="160" w:type="dxa"/>
            <w:vAlign w:val="bottom"/>
          </w:tcPr>
          <w:p>
            <w:pPr>
              <w:spacing w:after="0"/>
              <w:rPr>
                <w:sz w:val="10"/>
                <w:szCs w:val="10"/>
                <w:color w:val="auto"/>
              </w:rPr>
            </w:pPr>
          </w:p>
        </w:tc>
        <w:tc>
          <w:tcPr>
            <w:tcW w:w="620" w:type="dxa"/>
            <w:vAlign w:val="bottom"/>
            <w:gridSpan w:val="2"/>
          </w:tcPr>
          <w:p>
            <w:pPr>
              <w:ind w:left="120"/>
              <w:spacing w:after="0"/>
              <w:rPr>
                <w:sz w:val="20"/>
                <w:szCs w:val="20"/>
                <w:color w:val="auto"/>
              </w:rPr>
            </w:pPr>
            <w:r>
              <w:rPr>
                <w:rFonts w:ascii="Arial" w:cs="Arial" w:eastAsia="Arial" w:hAnsi="Arial"/>
                <w:sz w:val="10"/>
                <w:szCs w:val="10"/>
                <w:b w:val="1"/>
                <w:bCs w:val="1"/>
                <w:color w:val="auto"/>
              </w:rPr>
              <w:t>shares†</w:t>
            </w:r>
          </w:p>
        </w:tc>
        <w:tc>
          <w:tcPr>
            <w:tcW w:w="220" w:type="dxa"/>
            <w:vAlign w:val="bottom"/>
          </w:tcPr>
          <w:p>
            <w:pPr>
              <w:jc w:val="right"/>
              <w:ind w:right="8"/>
              <w:spacing w:after="0"/>
              <w:rPr>
                <w:sz w:val="20"/>
                <w:szCs w:val="20"/>
                <w:color w:val="auto"/>
              </w:rPr>
            </w:pPr>
            <w:r>
              <w:rPr>
                <w:rFonts w:ascii="Arial" w:cs="Arial" w:eastAsia="Arial" w:hAnsi="Arial"/>
                <w:sz w:val="10"/>
                <w:szCs w:val="10"/>
                <w:b w:val="1"/>
                <w:bCs w:val="1"/>
                <w:color w:val="auto"/>
              </w:rPr>
              <w:t>%</w:t>
            </w: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20" w:type="dxa"/>
            <w:vAlign w:val="bottom"/>
            <w:gridSpan w:val="2"/>
          </w:tcPr>
          <w:p>
            <w:pPr>
              <w:jc w:val="center"/>
              <w:ind w:right="120"/>
              <w:spacing w:after="0"/>
              <w:rPr>
                <w:sz w:val="20"/>
                <w:szCs w:val="20"/>
                <w:color w:val="auto"/>
              </w:rPr>
            </w:pPr>
            <w:r>
              <w:rPr>
                <w:rFonts w:ascii="Arial" w:cs="Arial" w:eastAsia="Arial" w:hAnsi="Arial"/>
                <w:sz w:val="10"/>
                <w:szCs w:val="10"/>
                <w:b w:val="1"/>
                <w:bCs w:val="1"/>
                <w:color w:val="auto"/>
                <w:w w:val="84"/>
              </w:rPr>
              <w:t>shares)</w:t>
            </w:r>
          </w:p>
        </w:tc>
        <w:tc>
          <w:tcPr>
            <w:tcW w:w="40" w:type="dxa"/>
            <w:vAlign w:val="bottom"/>
          </w:tcPr>
          <w:p>
            <w:pPr>
              <w:spacing w:after="0"/>
              <w:rPr>
                <w:sz w:val="10"/>
                <w:szCs w:val="10"/>
                <w:color w:val="auto"/>
              </w:rPr>
            </w:pPr>
          </w:p>
        </w:tc>
        <w:tc>
          <w:tcPr>
            <w:tcW w:w="620" w:type="dxa"/>
            <w:vAlign w:val="bottom"/>
            <w:gridSpan w:val="2"/>
          </w:tcPr>
          <w:p>
            <w:pPr>
              <w:jc w:val="center"/>
              <w:ind w:right="160"/>
              <w:spacing w:after="0"/>
              <w:rPr>
                <w:sz w:val="20"/>
                <w:szCs w:val="20"/>
                <w:color w:val="auto"/>
              </w:rPr>
            </w:pPr>
            <w:r>
              <w:rPr>
                <w:rFonts w:ascii="Arial" w:cs="Arial" w:eastAsia="Arial" w:hAnsi="Arial"/>
                <w:sz w:val="10"/>
                <w:szCs w:val="10"/>
                <w:b w:val="1"/>
                <w:bCs w:val="1"/>
                <w:color w:val="auto"/>
                <w:w w:val="82"/>
              </w:rPr>
              <w:t>shares)#</w:t>
            </w:r>
          </w:p>
        </w:tc>
        <w:tc>
          <w:tcPr>
            <w:tcW w:w="580" w:type="dxa"/>
            <w:vAlign w:val="bottom"/>
            <w:gridSpan w:val="2"/>
          </w:tcPr>
          <w:p>
            <w:pPr>
              <w:ind w:left="120"/>
              <w:spacing w:after="0"/>
              <w:rPr>
                <w:sz w:val="20"/>
                <w:szCs w:val="20"/>
                <w:color w:val="auto"/>
              </w:rPr>
            </w:pPr>
            <w:r>
              <w:rPr>
                <w:rFonts w:ascii="Arial" w:cs="Arial" w:eastAsia="Arial" w:hAnsi="Arial"/>
                <w:sz w:val="10"/>
                <w:szCs w:val="10"/>
                <w:b w:val="1"/>
                <w:bCs w:val="1"/>
                <w:color w:val="auto"/>
              </w:rPr>
              <w:t>shares</w:t>
            </w:r>
          </w:p>
        </w:tc>
        <w:tc>
          <w:tcPr>
            <w:tcW w:w="220" w:type="dxa"/>
            <w:vAlign w:val="bottom"/>
          </w:tcPr>
          <w:p>
            <w:pPr>
              <w:jc w:val="right"/>
              <w:ind w:right="8"/>
              <w:spacing w:after="0"/>
              <w:rPr>
                <w:sz w:val="20"/>
                <w:szCs w:val="20"/>
                <w:color w:val="auto"/>
              </w:rPr>
            </w:pPr>
            <w:r>
              <w:rPr>
                <w:rFonts w:ascii="Arial" w:cs="Arial" w:eastAsia="Arial" w:hAnsi="Arial"/>
                <w:sz w:val="10"/>
                <w:szCs w:val="10"/>
                <w:b w:val="1"/>
                <w:bCs w:val="1"/>
                <w:color w:val="auto"/>
              </w:rPr>
              <w:t>%</w:t>
            </w:r>
          </w:p>
        </w:tc>
        <w:tc>
          <w:tcPr>
            <w:tcW w:w="160" w:type="dxa"/>
            <w:vAlign w:val="bottom"/>
          </w:tcPr>
          <w:p>
            <w:pPr>
              <w:spacing w:after="0"/>
              <w:rPr>
                <w:sz w:val="10"/>
                <w:szCs w:val="10"/>
                <w:color w:val="auto"/>
              </w:rPr>
            </w:pPr>
          </w:p>
        </w:tc>
        <w:tc>
          <w:tcPr>
            <w:tcW w:w="640" w:type="dxa"/>
            <w:vAlign w:val="bottom"/>
            <w:gridSpan w:val="2"/>
          </w:tcPr>
          <w:p>
            <w:pPr>
              <w:ind w:left="140"/>
              <w:spacing w:after="0"/>
              <w:rPr>
                <w:sz w:val="20"/>
                <w:szCs w:val="20"/>
                <w:color w:val="auto"/>
              </w:rPr>
            </w:pPr>
            <w:r>
              <w:rPr>
                <w:rFonts w:ascii="Arial" w:cs="Arial" w:eastAsia="Arial" w:hAnsi="Arial"/>
                <w:sz w:val="10"/>
                <w:szCs w:val="10"/>
                <w:b w:val="1"/>
                <w:bCs w:val="1"/>
                <w:color w:val="auto"/>
              </w:rPr>
              <w:t>shares</w:t>
            </w:r>
          </w:p>
        </w:tc>
        <w:tc>
          <w:tcPr>
            <w:tcW w:w="220" w:type="dxa"/>
            <w:vAlign w:val="bottom"/>
          </w:tcPr>
          <w:p>
            <w:pPr>
              <w:jc w:val="right"/>
              <w:ind w:right="28"/>
              <w:spacing w:after="0"/>
              <w:rPr>
                <w:sz w:val="20"/>
                <w:szCs w:val="20"/>
                <w:color w:val="auto"/>
              </w:rPr>
            </w:pPr>
            <w:r>
              <w:rPr>
                <w:rFonts w:ascii="Arial" w:cs="Arial" w:eastAsia="Arial" w:hAnsi="Arial"/>
                <w:sz w:val="10"/>
                <w:szCs w:val="10"/>
                <w:b w:val="1"/>
                <w:bCs w:val="1"/>
                <w:color w:val="auto"/>
              </w:rPr>
              <w:t>%</w:t>
            </w: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80" w:type="dxa"/>
            <w:vAlign w:val="bottom"/>
          </w:tcPr>
          <w:p>
            <w:pPr>
              <w:ind w:left="80"/>
              <w:spacing w:after="0"/>
              <w:rPr>
                <w:sz w:val="20"/>
                <w:szCs w:val="20"/>
                <w:color w:val="auto"/>
              </w:rPr>
            </w:pPr>
            <w:r>
              <w:rPr>
                <w:rFonts w:ascii="Arial" w:cs="Arial" w:eastAsia="Arial" w:hAnsi="Arial"/>
                <w:sz w:val="10"/>
                <w:szCs w:val="10"/>
                <w:b w:val="1"/>
                <w:bCs w:val="1"/>
                <w:color w:val="auto"/>
                <w:w w:val="84"/>
              </w:rPr>
              <w:t>shar</w:t>
            </w:r>
          </w:p>
        </w:tc>
        <w:tc>
          <w:tcPr>
            <w:tcW w:w="0" w:type="dxa"/>
            <w:vAlign w:val="bottom"/>
          </w:tcPr>
          <w:p>
            <w:pPr>
              <w:spacing w:after="0"/>
              <w:rPr>
                <w:sz w:val="1"/>
                <w:szCs w:val="1"/>
                <w:color w:val="auto"/>
              </w:rPr>
            </w:pPr>
          </w:p>
        </w:tc>
      </w:tr>
      <w:tr>
        <w:trPr>
          <w:trHeight w:val="75"/>
        </w:trPr>
        <w:tc>
          <w:tcPr>
            <w:tcW w:w="1040" w:type="dxa"/>
            <w:vAlign w:val="bottom"/>
            <w:tcBorders>
              <w:top w:val="single" w:sz="8" w:color="auto"/>
            </w:tcBorders>
            <w:shd w:val="clear" w:color="auto" w:fill="CCEEFF"/>
          </w:tcPr>
          <w:p>
            <w:pPr>
              <w:spacing w:after="0" w:line="75" w:lineRule="exact"/>
              <w:rPr>
                <w:sz w:val="20"/>
                <w:szCs w:val="20"/>
                <w:color w:val="auto"/>
              </w:rPr>
            </w:pPr>
            <w:r>
              <w:rPr>
                <w:rFonts w:ascii="Arial" w:cs="Arial" w:eastAsia="Arial" w:hAnsi="Arial"/>
                <w:sz w:val="8"/>
                <w:szCs w:val="8"/>
                <w:b w:val="1"/>
                <w:bCs w:val="1"/>
                <w:color w:val="auto"/>
              </w:rPr>
              <w:t>Named executive</w:t>
            </w:r>
          </w:p>
        </w:tc>
        <w:tc>
          <w:tcPr>
            <w:tcW w:w="60" w:type="dxa"/>
            <w:vAlign w:val="bottom"/>
            <w:tcBorders>
              <w:top w:val="single" w:sz="8" w:color="CCEEFF"/>
            </w:tcBorders>
            <w:shd w:val="clear" w:color="auto" w:fill="CCEEFF"/>
          </w:tcPr>
          <w:p>
            <w:pPr>
              <w:spacing w:after="0"/>
              <w:rPr>
                <w:sz w:val="6"/>
                <w:szCs w:val="6"/>
                <w:color w:val="auto"/>
              </w:rPr>
            </w:pPr>
          </w:p>
        </w:tc>
        <w:tc>
          <w:tcPr>
            <w:tcW w:w="500" w:type="dxa"/>
            <w:vAlign w:val="bottom"/>
            <w:tcBorders>
              <w:top w:val="single" w:sz="8" w:color="auto"/>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240" w:type="dxa"/>
            <w:vAlign w:val="bottom"/>
            <w:tcBorders>
              <w:top w:val="single" w:sz="8" w:color="auto"/>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560" w:type="dxa"/>
            <w:vAlign w:val="bottom"/>
            <w:tcBorders>
              <w:top w:val="single" w:sz="8" w:color="auto"/>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220" w:type="dxa"/>
            <w:vAlign w:val="bottom"/>
            <w:tcBorders>
              <w:top w:val="single" w:sz="8" w:color="auto"/>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500" w:type="dxa"/>
            <w:vAlign w:val="bottom"/>
            <w:tcBorders>
              <w:top w:val="single" w:sz="8" w:color="auto"/>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480" w:type="dxa"/>
            <w:vAlign w:val="bottom"/>
            <w:tcBorders>
              <w:top w:val="single" w:sz="8" w:color="auto"/>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460" w:type="dxa"/>
            <w:vAlign w:val="bottom"/>
            <w:tcBorders>
              <w:top w:val="single" w:sz="8" w:color="auto"/>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500" w:type="dxa"/>
            <w:vAlign w:val="bottom"/>
            <w:tcBorders>
              <w:top w:val="single" w:sz="8" w:color="auto"/>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240" w:type="dxa"/>
            <w:vAlign w:val="bottom"/>
            <w:tcBorders>
              <w:top w:val="single" w:sz="8" w:color="auto"/>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560" w:type="dxa"/>
            <w:vAlign w:val="bottom"/>
            <w:tcBorders>
              <w:top w:val="single" w:sz="8" w:color="auto"/>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220" w:type="dxa"/>
            <w:vAlign w:val="bottom"/>
            <w:tcBorders>
              <w:top w:val="single" w:sz="8" w:color="auto"/>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500" w:type="dxa"/>
            <w:vAlign w:val="bottom"/>
            <w:tcBorders>
              <w:top w:val="single" w:sz="8" w:color="auto"/>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460" w:type="dxa"/>
            <w:vAlign w:val="bottom"/>
            <w:tcBorders>
              <w:top w:val="single" w:sz="8" w:color="auto"/>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500" w:type="dxa"/>
            <w:vAlign w:val="bottom"/>
            <w:tcBorders>
              <w:top w:val="single" w:sz="8" w:color="auto"/>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220" w:type="dxa"/>
            <w:vAlign w:val="bottom"/>
            <w:tcBorders>
              <w:top w:val="single" w:sz="8" w:color="auto"/>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560" w:type="dxa"/>
            <w:vAlign w:val="bottom"/>
            <w:tcBorders>
              <w:top w:val="single" w:sz="8" w:color="auto"/>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220" w:type="dxa"/>
            <w:vAlign w:val="bottom"/>
            <w:tcBorders>
              <w:top w:val="single" w:sz="8" w:color="auto"/>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280" w:type="dxa"/>
            <w:vAlign w:val="bottom"/>
            <w:tcBorders>
              <w:top w:val="single" w:sz="8" w:color="auto"/>
            </w:tcBorders>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13"/>
        </w:trPr>
        <w:tc>
          <w:tcPr>
            <w:tcW w:w="1100" w:type="dxa"/>
            <w:vAlign w:val="bottom"/>
            <w:gridSpan w:val="2"/>
            <w:shd w:val="clear" w:color="auto" w:fill="CCEEFF"/>
          </w:tcPr>
          <w:p>
            <w:pPr>
              <w:ind w:left="100"/>
              <w:spacing w:after="0" w:line="113" w:lineRule="exact"/>
              <w:rPr>
                <w:sz w:val="20"/>
                <w:szCs w:val="20"/>
                <w:color w:val="auto"/>
              </w:rPr>
            </w:pPr>
            <w:r>
              <w:rPr>
                <w:rFonts w:ascii="Arial" w:cs="Arial" w:eastAsia="Arial" w:hAnsi="Arial"/>
                <w:sz w:val="11"/>
                <w:szCs w:val="11"/>
                <w:b w:val="1"/>
                <w:bCs w:val="1"/>
                <w:color w:val="auto"/>
              </w:rPr>
              <w:t>officers and</w:t>
            </w:r>
          </w:p>
        </w:tc>
        <w:tc>
          <w:tcPr>
            <w:tcW w:w="5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28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28"/>
        </w:trPr>
        <w:tc>
          <w:tcPr>
            <w:tcW w:w="1100" w:type="dxa"/>
            <w:vAlign w:val="bottom"/>
            <w:gridSpan w:val="2"/>
            <w:shd w:val="clear" w:color="auto" w:fill="CCEEFF"/>
          </w:tcPr>
          <w:p>
            <w:pPr>
              <w:ind w:left="100"/>
              <w:spacing w:after="0"/>
              <w:rPr>
                <w:sz w:val="20"/>
                <w:szCs w:val="20"/>
                <w:color w:val="auto"/>
              </w:rPr>
            </w:pPr>
            <w:r>
              <w:rPr>
                <w:rFonts w:ascii="Arial" w:cs="Arial" w:eastAsia="Arial" w:hAnsi="Arial"/>
                <w:sz w:val="11"/>
                <w:szCs w:val="11"/>
                <w:b w:val="1"/>
                <w:bCs w:val="1"/>
                <w:color w:val="auto"/>
              </w:rPr>
              <w:t>directors:</w:t>
            </w:r>
          </w:p>
        </w:tc>
        <w:tc>
          <w:tcPr>
            <w:tcW w:w="5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4"/>
        </w:trPr>
        <w:tc>
          <w:tcPr>
            <w:tcW w:w="1100" w:type="dxa"/>
            <w:vAlign w:val="bottom"/>
            <w:gridSpan w:val="2"/>
          </w:tcPr>
          <w:p>
            <w:pPr>
              <w:spacing w:after="0" w:line="124" w:lineRule="exact"/>
              <w:rPr>
                <w:sz w:val="20"/>
                <w:szCs w:val="20"/>
                <w:color w:val="auto"/>
              </w:rPr>
            </w:pPr>
            <w:r>
              <w:rPr>
                <w:rFonts w:ascii="Arial" w:cs="Arial" w:eastAsia="Arial" w:hAnsi="Arial"/>
                <w:sz w:val="11"/>
                <w:szCs w:val="11"/>
                <w:color w:val="auto"/>
              </w:rPr>
              <w:t>Andrew W. Houston</w:t>
            </w:r>
            <w:r>
              <w:rPr>
                <w:rFonts w:ascii="Arial" w:cs="Arial" w:eastAsia="Arial" w:hAnsi="Arial"/>
                <w:sz w:val="8"/>
                <w:szCs w:val="8"/>
                <w:color w:val="auto"/>
              </w:rPr>
              <w:t>(1)</w:t>
            </w:r>
          </w:p>
        </w:tc>
        <w:tc>
          <w:tcPr>
            <w:tcW w:w="500" w:type="dxa"/>
            <w:vAlign w:val="bottom"/>
          </w:tcPr>
          <w:p>
            <w:pPr>
              <w:jc w:val="right"/>
              <w:spacing w:after="0" w:line="124" w:lineRule="exact"/>
              <w:rPr>
                <w:sz w:val="20"/>
                <w:szCs w:val="20"/>
                <w:color w:val="auto"/>
              </w:rPr>
            </w:pPr>
            <w:r>
              <w:rPr>
                <w:rFonts w:ascii="Arial" w:cs="Arial" w:eastAsia="Arial" w:hAnsi="Arial"/>
                <w:sz w:val="11"/>
                <w:szCs w:val="11"/>
                <w:color w:val="auto"/>
                <w:w w:val="87"/>
              </w:rPr>
              <w:t>10,333,333</w:t>
            </w:r>
          </w:p>
        </w:tc>
        <w:tc>
          <w:tcPr>
            <w:tcW w:w="60" w:type="dxa"/>
            <w:vAlign w:val="bottom"/>
          </w:tcPr>
          <w:p>
            <w:pPr>
              <w:spacing w:after="0"/>
              <w:rPr>
                <w:sz w:val="10"/>
                <w:szCs w:val="10"/>
                <w:color w:val="auto"/>
              </w:rPr>
            </w:pPr>
          </w:p>
        </w:tc>
        <w:tc>
          <w:tcPr>
            <w:tcW w:w="400" w:type="dxa"/>
            <w:vAlign w:val="bottom"/>
            <w:gridSpan w:val="2"/>
          </w:tcPr>
          <w:p>
            <w:pPr>
              <w:jc w:val="right"/>
              <w:ind w:right="80"/>
              <w:spacing w:after="0" w:line="124" w:lineRule="exact"/>
              <w:rPr>
                <w:sz w:val="20"/>
                <w:szCs w:val="20"/>
                <w:color w:val="auto"/>
              </w:rPr>
            </w:pPr>
            <w:r>
              <w:rPr>
                <w:rFonts w:ascii="Arial" w:cs="Arial" w:eastAsia="Arial" w:hAnsi="Arial"/>
                <w:sz w:val="11"/>
                <w:szCs w:val="11"/>
                <w:color w:val="auto"/>
                <w:w w:val="96"/>
              </w:rPr>
              <w:t>38.3%</w:t>
            </w:r>
          </w:p>
        </w:tc>
        <w:tc>
          <w:tcPr>
            <w:tcW w:w="560" w:type="dxa"/>
            <w:vAlign w:val="bottom"/>
          </w:tcPr>
          <w:p>
            <w:pPr>
              <w:jc w:val="right"/>
              <w:spacing w:after="0" w:line="124" w:lineRule="exact"/>
              <w:rPr>
                <w:sz w:val="20"/>
                <w:szCs w:val="20"/>
                <w:color w:val="auto"/>
              </w:rPr>
            </w:pPr>
            <w:r>
              <w:rPr>
                <w:rFonts w:ascii="Arial" w:cs="Arial" w:eastAsia="Arial" w:hAnsi="Arial"/>
                <w:sz w:val="11"/>
                <w:szCs w:val="11"/>
                <w:color w:val="auto"/>
                <w:w w:val="94"/>
              </w:rPr>
              <w:t>84,763,454</w:t>
            </w:r>
          </w:p>
        </w:tc>
        <w:tc>
          <w:tcPr>
            <w:tcW w:w="60" w:type="dxa"/>
            <w:vAlign w:val="bottom"/>
          </w:tcPr>
          <w:p>
            <w:pPr>
              <w:spacing w:after="0"/>
              <w:rPr>
                <w:sz w:val="10"/>
                <w:szCs w:val="10"/>
                <w:color w:val="auto"/>
              </w:rPr>
            </w:pPr>
          </w:p>
        </w:tc>
        <w:tc>
          <w:tcPr>
            <w:tcW w:w="340" w:type="dxa"/>
            <w:vAlign w:val="bottom"/>
            <w:gridSpan w:val="2"/>
          </w:tcPr>
          <w:p>
            <w:pPr>
              <w:jc w:val="right"/>
              <w:ind w:right="40"/>
              <w:spacing w:after="0" w:line="124" w:lineRule="exact"/>
              <w:rPr>
                <w:sz w:val="20"/>
                <w:szCs w:val="20"/>
                <w:color w:val="auto"/>
              </w:rPr>
            </w:pPr>
            <w:r>
              <w:rPr>
                <w:rFonts w:ascii="Arial" w:cs="Arial" w:eastAsia="Arial" w:hAnsi="Arial"/>
                <w:sz w:val="11"/>
                <w:szCs w:val="11"/>
                <w:color w:val="auto"/>
                <w:w w:val="89"/>
              </w:rPr>
              <w:t>24.3%</w:t>
            </w:r>
          </w:p>
        </w:tc>
        <w:tc>
          <w:tcPr>
            <w:tcW w:w="660" w:type="dxa"/>
            <w:vAlign w:val="bottom"/>
            <w:gridSpan w:val="3"/>
          </w:tcPr>
          <w:p>
            <w:pPr>
              <w:jc w:val="right"/>
              <w:ind w:right="40"/>
              <w:spacing w:after="0" w:line="124" w:lineRule="exact"/>
              <w:rPr>
                <w:sz w:val="20"/>
                <w:szCs w:val="20"/>
                <w:color w:val="auto"/>
              </w:rPr>
            </w:pPr>
            <w:r>
              <w:rPr>
                <w:rFonts w:ascii="Arial" w:cs="Arial" w:eastAsia="Arial" w:hAnsi="Arial"/>
                <w:sz w:val="11"/>
                <w:szCs w:val="11"/>
                <w:color w:val="auto"/>
              </w:rPr>
              <w:t>25.3%</w:t>
            </w:r>
          </w:p>
        </w:tc>
        <w:tc>
          <w:tcPr>
            <w:tcW w:w="680" w:type="dxa"/>
            <w:vAlign w:val="bottom"/>
            <w:gridSpan w:val="3"/>
          </w:tcPr>
          <w:p>
            <w:pPr>
              <w:jc w:val="right"/>
              <w:ind w:right="80"/>
              <w:spacing w:after="0" w:line="124" w:lineRule="exact"/>
              <w:rPr>
                <w:sz w:val="20"/>
                <w:szCs w:val="20"/>
                <w:color w:val="auto"/>
              </w:rPr>
            </w:pPr>
            <w:r>
              <w:rPr>
                <w:rFonts w:ascii="Arial" w:cs="Arial" w:eastAsia="Arial" w:hAnsi="Arial"/>
                <w:sz w:val="11"/>
                <w:szCs w:val="11"/>
                <w:color w:val="auto"/>
              </w:rPr>
              <w:t>24.4%</w:t>
            </w:r>
          </w:p>
        </w:tc>
        <w:tc>
          <w:tcPr>
            <w:tcW w:w="460" w:type="dxa"/>
            <w:vAlign w:val="bottom"/>
          </w:tcPr>
          <w:p>
            <w:pPr>
              <w:jc w:val="right"/>
              <w:spacing w:after="0" w:line="124" w:lineRule="exact"/>
              <w:rPr>
                <w:sz w:val="20"/>
                <w:szCs w:val="20"/>
                <w:color w:val="auto"/>
              </w:rPr>
            </w:pPr>
            <w:r>
              <w:rPr>
                <w:rFonts w:ascii="Arial" w:cs="Arial" w:eastAsia="Arial" w:hAnsi="Arial"/>
                <w:sz w:val="11"/>
                <w:szCs w:val="11"/>
                <w:color w:val="auto"/>
                <w:w w:val="89"/>
              </w:rPr>
              <w:t>2,333,333</w:t>
            </w:r>
          </w:p>
        </w:tc>
        <w:tc>
          <w:tcPr>
            <w:tcW w:w="80" w:type="dxa"/>
            <w:vAlign w:val="bottom"/>
          </w:tcPr>
          <w:p>
            <w:pPr>
              <w:spacing w:after="0"/>
              <w:rPr>
                <w:sz w:val="10"/>
                <w:szCs w:val="10"/>
                <w:color w:val="auto"/>
              </w:rPr>
            </w:pPr>
          </w:p>
        </w:tc>
        <w:tc>
          <w:tcPr>
            <w:tcW w:w="500" w:type="dxa"/>
            <w:vAlign w:val="bottom"/>
          </w:tcPr>
          <w:p>
            <w:pPr>
              <w:jc w:val="right"/>
              <w:spacing w:after="0" w:line="124" w:lineRule="exact"/>
              <w:rPr>
                <w:sz w:val="20"/>
                <w:szCs w:val="20"/>
                <w:color w:val="auto"/>
              </w:rPr>
            </w:pPr>
            <w:r>
              <w:rPr>
                <w:rFonts w:ascii="Arial" w:cs="Arial" w:eastAsia="Arial" w:hAnsi="Arial"/>
                <w:sz w:val="11"/>
                <w:szCs w:val="11"/>
                <w:color w:val="auto"/>
                <w:w w:val="87"/>
              </w:rPr>
              <w:t>10,333,333</w:t>
            </w:r>
          </w:p>
        </w:tc>
        <w:tc>
          <w:tcPr>
            <w:tcW w:w="60" w:type="dxa"/>
            <w:vAlign w:val="bottom"/>
          </w:tcPr>
          <w:p>
            <w:pPr>
              <w:spacing w:after="0"/>
              <w:rPr>
                <w:sz w:val="10"/>
                <w:szCs w:val="10"/>
                <w:color w:val="auto"/>
              </w:rPr>
            </w:pPr>
          </w:p>
        </w:tc>
        <w:tc>
          <w:tcPr>
            <w:tcW w:w="400" w:type="dxa"/>
            <w:vAlign w:val="bottom"/>
            <w:gridSpan w:val="2"/>
          </w:tcPr>
          <w:p>
            <w:pPr>
              <w:jc w:val="right"/>
              <w:ind w:right="80"/>
              <w:spacing w:after="0" w:line="124" w:lineRule="exact"/>
              <w:rPr>
                <w:sz w:val="20"/>
                <w:szCs w:val="20"/>
                <w:color w:val="auto"/>
              </w:rPr>
            </w:pPr>
            <w:r>
              <w:rPr>
                <w:rFonts w:ascii="Arial" w:cs="Arial" w:eastAsia="Arial" w:hAnsi="Arial"/>
                <w:sz w:val="11"/>
                <w:szCs w:val="11"/>
                <w:color w:val="auto"/>
                <w:w w:val="96"/>
              </w:rPr>
              <w:t>15.1%</w:t>
            </w:r>
          </w:p>
        </w:tc>
        <w:tc>
          <w:tcPr>
            <w:tcW w:w="560" w:type="dxa"/>
            <w:vAlign w:val="bottom"/>
          </w:tcPr>
          <w:p>
            <w:pPr>
              <w:jc w:val="right"/>
              <w:spacing w:after="0" w:line="124" w:lineRule="exact"/>
              <w:rPr>
                <w:sz w:val="20"/>
                <w:szCs w:val="20"/>
                <w:color w:val="auto"/>
              </w:rPr>
            </w:pPr>
            <w:r>
              <w:rPr>
                <w:rFonts w:ascii="Arial" w:cs="Arial" w:eastAsia="Arial" w:hAnsi="Arial"/>
                <w:sz w:val="11"/>
                <w:szCs w:val="11"/>
                <w:color w:val="auto"/>
                <w:w w:val="98"/>
              </w:rPr>
              <w:t>82,430,121</w:t>
            </w:r>
          </w:p>
        </w:tc>
        <w:tc>
          <w:tcPr>
            <w:tcW w:w="60" w:type="dxa"/>
            <w:vAlign w:val="bottom"/>
          </w:tcPr>
          <w:p>
            <w:pPr>
              <w:spacing w:after="0"/>
              <w:rPr>
                <w:sz w:val="10"/>
                <w:szCs w:val="10"/>
                <w:color w:val="auto"/>
              </w:rPr>
            </w:pPr>
          </w:p>
        </w:tc>
        <w:tc>
          <w:tcPr>
            <w:tcW w:w="340" w:type="dxa"/>
            <w:vAlign w:val="bottom"/>
            <w:gridSpan w:val="2"/>
          </w:tcPr>
          <w:p>
            <w:pPr>
              <w:jc w:val="right"/>
              <w:ind w:right="20"/>
              <w:spacing w:after="0" w:line="124" w:lineRule="exact"/>
              <w:rPr>
                <w:sz w:val="20"/>
                <w:szCs w:val="20"/>
                <w:color w:val="auto"/>
              </w:rPr>
            </w:pPr>
            <w:r>
              <w:rPr>
                <w:rFonts w:ascii="Arial" w:cs="Arial" w:eastAsia="Arial" w:hAnsi="Arial"/>
                <w:sz w:val="11"/>
                <w:szCs w:val="11"/>
                <w:color w:val="auto"/>
                <w:w w:val="96"/>
              </w:rPr>
              <w:t>24.3%</w:t>
            </w:r>
          </w:p>
        </w:tc>
        <w:tc>
          <w:tcPr>
            <w:tcW w:w="660" w:type="dxa"/>
            <w:vAlign w:val="bottom"/>
            <w:gridSpan w:val="3"/>
          </w:tcPr>
          <w:p>
            <w:pPr>
              <w:jc w:val="right"/>
              <w:ind w:right="40"/>
              <w:spacing w:after="0" w:line="124" w:lineRule="exact"/>
              <w:rPr>
                <w:sz w:val="20"/>
                <w:szCs w:val="20"/>
                <w:color w:val="auto"/>
              </w:rPr>
            </w:pPr>
            <w:r>
              <w:rPr>
                <w:rFonts w:ascii="Arial" w:cs="Arial" w:eastAsia="Arial" w:hAnsi="Arial"/>
                <w:sz w:val="11"/>
                <w:szCs w:val="11"/>
                <w:color w:val="auto"/>
              </w:rPr>
              <w:t>22.7%</w:t>
            </w:r>
          </w:p>
        </w:tc>
        <w:tc>
          <w:tcPr>
            <w:tcW w:w="660" w:type="dxa"/>
            <w:vAlign w:val="bottom"/>
            <w:gridSpan w:val="3"/>
          </w:tcPr>
          <w:p>
            <w:pPr>
              <w:jc w:val="right"/>
              <w:ind w:right="80"/>
              <w:spacing w:after="0" w:line="124" w:lineRule="exact"/>
              <w:rPr>
                <w:sz w:val="20"/>
                <w:szCs w:val="20"/>
                <w:color w:val="auto"/>
              </w:rPr>
            </w:pPr>
            <w:r>
              <w:rPr>
                <w:rFonts w:ascii="Arial" w:cs="Arial" w:eastAsia="Arial" w:hAnsi="Arial"/>
                <w:sz w:val="11"/>
                <w:szCs w:val="11"/>
                <w:color w:val="auto"/>
              </w:rPr>
              <w:t>24.1%</w:t>
            </w:r>
          </w:p>
        </w:tc>
        <w:tc>
          <w:tcPr>
            <w:tcW w:w="500" w:type="dxa"/>
            <w:vAlign w:val="bottom"/>
          </w:tcPr>
          <w:p>
            <w:pPr>
              <w:jc w:val="right"/>
              <w:spacing w:after="0" w:line="124" w:lineRule="exact"/>
              <w:rPr>
                <w:sz w:val="20"/>
                <w:szCs w:val="20"/>
                <w:color w:val="auto"/>
              </w:rPr>
            </w:pPr>
            <w:r>
              <w:rPr>
                <w:rFonts w:ascii="Arial" w:cs="Arial" w:eastAsia="Arial" w:hAnsi="Arial"/>
                <w:sz w:val="11"/>
                <w:szCs w:val="11"/>
                <w:color w:val="auto"/>
                <w:w w:val="87"/>
              </w:rPr>
              <w:t>10,333,333</w:t>
            </w:r>
          </w:p>
        </w:tc>
        <w:tc>
          <w:tcPr>
            <w:tcW w:w="80" w:type="dxa"/>
            <w:vAlign w:val="bottom"/>
          </w:tcPr>
          <w:p>
            <w:pPr>
              <w:spacing w:after="0"/>
              <w:rPr>
                <w:sz w:val="10"/>
                <w:szCs w:val="10"/>
                <w:color w:val="auto"/>
              </w:rPr>
            </w:pPr>
          </w:p>
        </w:tc>
        <w:tc>
          <w:tcPr>
            <w:tcW w:w="380" w:type="dxa"/>
            <w:vAlign w:val="bottom"/>
            <w:gridSpan w:val="2"/>
          </w:tcPr>
          <w:p>
            <w:pPr>
              <w:jc w:val="right"/>
              <w:ind w:right="80"/>
              <w:spacing w:after="0" w:line="124" w:lineRule="exact"/>
              <w:rPr>
                <w:sz w:val="20"/>
                <w:szCs w:val="20"/>
                <w:color w:val="auto"/>
              </w:rPr>
            </w:pPr>
            <w:r>
              <w:rPr>
                <w:rFonts w:ascii="Arial" w:cs="Arial" w:eastAsia="Arial" w:hAnsi="Arial"/>
                <w:sz w:val="11"/>
                <w:szCs w:val="11"/>
                <w:color w:val="auto"/>
                <w:w w:val="89"/>
              </w:rPr>
              <w:t>14.0%</w:t>
            </w:r>
          </w:p>
        </w:tc>
        <w:tc>
          <w:tcPr>
            <w:tcW w:w="560" w:type="dxa"/>
            <w:vAlign w:val="bottom"/>
          </w:tcPr>
          <w:p>
            <w:pPr>
              <w:jc w:val="right"/>
              <w:spacing w:after="0" w:line="124" w:lineRule="exact"/>
              <w:rPr>
                <w:sz w:val="20"/>
                <w:szCs w:val="20"/>
                <w:color w:val="auto"/>
              </w:rPr>
            </w:pPr>
            <w:r>
              <w:rPr>
                <w:rFonts w:ascii="Arial" w:cs="Arial" w:eastAsia="Arial" w:hAnsi="Arial"/>
                <w:sz w:val="11"/>
                <w:szCs w:val="11"/>
                <w:color w:val="auto"/>
                <w:w w:val="98"/>
              </w:rPr>
              <w:t>82,430,121</w:t>
            </w:r>
          </w:p>
        </w:tc>
        <w:tc>
          <w:tcPr>
            <w:tcW w:w="80" w:type="dxa"/>
            <w:vAlign w:val="bottom"/>
          </w:tcPr>
          <w:p>
            <w:pPr>
              <w:spacing w:after="0"/>
              <w:rPr>
                <w:sz w:val="10"/>
                <w:szCs w:val="10"/>
                <w:color w:val="auto"/>
              </w:rPr>
            </w:pPr>
          </w:p>
        </w:tc>
        <w:tc>
          <w:tcPr>
            <w:tcW w:w="340" w:type="dxa"/>
            <w:vAlign w:val="bottom"/>
            <w:gridSpan w:val="2"/>
          </w:tcPr>
          <w:p>
            <w:pPr>
              <w:jc w:val="right"/>
              <w:ind w:right="40"/>
              <w:spacing w:after="0" w:line="124" w:lineRule="exact"/>
              <w:rPr>
                <w:sz w:val="20"/>
                <w:szCs w:val="20"/>
                <w:color w:val="auto"/>
              </w:rPr>
            </w:pPr>
            <w:r>
              <w:rPr>
                <w:rFonts w:ascii="Arial" w:cs="Arial" w:eastAsia="Arial" w:hAnsi="Arial"/>
                <w:sz w:val="11"/>
                <w:szCs w:val="11"/>
                <w:color w:val="auto"/>
                <w:w w:val="89"/>
              </w:rPr>
              <w:t>24.3%</w:t>
            </w:r>
          </w:p>
        </w:tc>
        <w:tc>
          <w:tcPr>
            <w:tcW w:w="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1100" w:type="dxa"/>
            <w:vAlign w:val="bottom"/>
            <w:gridSpan w:val="2"/>
            <w:shd w:val="clear" w:color="auto" w:fill="CCEEFF"/>
          </w:tcPr>
          <w:p>
            <w:pPr>
              <w:spacing w:after="0" w:line="124" w:lineRule="exact"/>
              <w:rPr>
                <w:sz w:val="20"/>
                <w:szCs w:val="20"/>
                <w:color w:val="auto"/>
              </w:rPr>
            </w:pPr>
            <w:r>
              <w:rPr>
                <w:rFonts w:ascii="Arial" w:cs="Arial" w:eastAsia="Arial" w:hAnsi="Arial"/>
                <w:sz w:val="11"/>
                <w:szCs w:val="11"/>
                <w:color w:val="auto"/>
              </w:rPr>
              <w:t>Arash Ferdowsi</w:t>
            </w:r>
            <w:r>
              <w:rPr>
                <w:rFonts w:ascii="Arial" w:cs="Arial" w:eastAsia="Arial" w:hAnsi="Arial"/>
                <w:sz w:val="8"/>
                <w:szCs w:val="8"/>
                <w:color w:val="auto"/>
              </w:rPr>
              <w:t>(2)</w:t>
            </w:r>
          </w:p>
        </w:tc>
        <w:tc>
          <w:tcPr>
            <w:tcW w:w="500" w:type="dxa"/>
            <w:vAlign w:val="bottom"/>
            <w:shd w:val="clear" w:color="auto" w:fill="CCEEFF"/>
          </w:tcPr>
          <w:p>
            <w:pPr>
              <w:jc w:val="right"/>
              <w:spacing w:after="0" w:line="124" w:lineRule="exact"/>
              <w:rPr>
                <w:sz w:val="20"/>
                <w:szCs w:val="20"/>
                <w:color w:val="auto"/>
              </w:rPr>
            </w:pPr>
            <w:r>
              <w:rPr>
                <w:rFonts w:ascii="Arial" w:cs="Arial" w:eastAsia="Arial" w:hAnsi="Arial"/>
                <w:sz w:val="11"/>
                <w:szCs w:val="11"/>
                <w:color w:val="auto"/>
                <w:w w:val="97"/>
              </w:rPr>
              <w:t>4,400,000</w:t>
            </w:r>
          </w:p>
        </w:tc>
        <w:tc>
          <w:tcPr>
            <w:tcW w:w="60" w:type="dxa"/>
            <w:vAlign w:val="bottom"/>
            <w:shd w:val="clear" w:color="auto" w:fill="CCEEFF"/>
          </w:tcPr>
          <w:p>
            <w:pPr>
              <w:spacing w:after="0"/>
              <w:rPr>
                <w:sz w:val="10"/>
                <w:szCs w:val="10"/>
                <w:color w:val="auto"/>
              </w:rPr>
            </w:pPr>
          </w:p>
        </w:tc>
        <w:tc>
          <w:tcPr>
            <w:tcW w:w="400" w:type="dxa"/>
            <w:vAlign w:val="bottom"/>
            <w:gridSpan w:val="2"/>
            <w:shd w:val="clear" w:color="auto" w:fill="CCEEFF"/>
          </w:tcPr>
          <w:p>
            <w:pPr>
              <w:jc w:val="right"/>
              <w:ind w:right="80"/>
              <w:spacing w:after="0" w:line="124" w:lineRule="exact"/>
              <w:rPr>
                <w:sz w:val="20"/>
                <w:szCs w:val="20"/>
                <w:color w:val="auto"/>
              </w:rPr>
            </w:pPr>
            <w:r>
              <w:rPr>
                <w:rFonts w:ascii="Arial" w:cs="Arial" w:eastAsia="Arial" w:hAnsi="Arial"/>
                <w:sz w:val="11"/>
                <w:szCs w:val="11"/>
                <w:color w:val="auto"/>
                <w:w w:val="96"/>
              </w:rPr>
              <w:t>16.3%</w:t>
            </w:r>
          </w:p>
        </w:tc>
        <w:tc>
          <w:tcPr>
            <w:tcW w:w="560" w:type="dxa"/>
            <w:vAlign w:val="bottom"/>
            <w:shd w:val="clear" w:color="auto" w:fill="CCEEFF"/>
          </w:tcPr>
          <w:p>
            <w:pPr>
              <w:jc w:val="right"/>
              <w:spacing w:after="0" w:line="124" w:lineRule="exact"/>
              <w:rPr>
                <w:sz w:val="20"/>
                <w:szCs w:val="20"/>
                <w:color w:val="auto"/>
              </w:rPr>
            </w:pPr>
            <w:r>
              <w:rPr>
                <w:rFonts w:ascii="Arial" w:cs="Arial" w:eastAsia="Arial" w:hAnsi="Arial"/>
                <w:sz w:val="11"/>
                <w:szCs w:val="11"/>
                <w:color w:val="auto"/>
                <w:w w:val="94"/>
              </w:rPr>
              <w:t>34,270,718</w:t>
            </w:r>
          </w:p>
        </w:tc>
        <w:tc>
          <w:tcPr>
            <w:tcW w:w="60" w:type="dxa"/>
            <w:vAlign w:val="bottom"/>
            <w:shd w:val="clear" w:color="auto" w:fill="CCEEFF"/>
          </w:tcPr>
          <w:p>
            <w:pPr>
              <w:spacing w:after="0"/>
              <w:rPr>
                <w:sz w:val="10"/>
                <w:szCs w:val="10"/>
                <w:color w:val="auto"/>
              </w:rPr>
            </w:pPr>
          </w:p>
        </w:tc>
        <w:tc>
          <w:tcPr>
            <w:tcW w:w="340" w:type="dxa"/>
            <w:vAlign w:val="bottom"/>
            <w:gridSpan w:val="2"/>
            <w:shd w:val="clear" w:color="auto" w:fill="CCEEFF"/>
          </w:tcPr>
          <w:p>
            <w:pPr>
              <w:jc w:val="right"/>
              <w:ind w:right="40"/>
              <w:spacing w:after="0" w:line="124" w:lineRule="exact"/>
              <w:rPr>
                <w:sz w:val="20"/>
                <w:szCs w:val="20"/>
                <w:color w:val="auto"/>
              </w:rPr>
            </w:pPr>
            <w:r>
              <w:rPr>
                <w:rFonts w:ascii="Arial" w:cs="Arial" w:eastAsia="Arial" w:hAnsi="Arial"/>
                <w:sz w:val="11"/>
                <w:szCs w:val="11"/>
                <w:color w:val="auto"/>
              </w:rPr>
              <w:t>9.8%</w:t>
            </w:r>
          </w:p>
        </w:tc>
        <w:tc>
          <w:tcPr>
            <w:tcW w:w="660" w:type="dxa"/>
            <w:vAlign w:val="bottom"/>
            <w:gridSpan w:val="3"/>
            <w:shd w:val="clear" w:color="auto" w:fill="CCEEFF"/>
          </w:tcPr>
          <w:p>
            <w:pPr>
              <w:jc w:val="right"/>
              <w:ind w:right="40"/>
              <w:spacing w:after="0" w:line="124" w:lineRule="exact"/>
              <w:rPr>
                <w:sz w:val="20"/>
                <w:szCs w:val="20"/>
                <w:color w:val="auto"/>
              </w:rPr>
            </w:pPr>
            <w:r>
              <w:rPr>
                <w:rFonts w:ascii="Arial" w:cs="Arial" w:eastAsia="Arial" w:hAnsi="Arial"/>
                <w:sz w:val="11"/>
                <w:szCs w:val="11"/>
                <w:color w:val="auto"/>
              </w:rPr>
              <w:t>10.3%</w:t>
            </w:r>
          </w:p>
        </w:tc>
        <w:tc>
          <w:tcPr>
            <w:tcW w:w="680" w:type="dxa"/>
            <w:vAlign w:val="bottom"/>
            <w:gridSpan w:val="3"/>
            <w:shd w:val="clear" w:color="auto" w:fill="CCEEFF"/>
          </w:tcPr>
          <w:p>
            <w:pPr>
              <w:jc w:val="right"/>
              <w:ind w:right="80"/>
              <w:spacing w:after="0" w:line="124" w:lineRule="exact"/>
              <w:rPr>
                <w:sz w:val="20"/>
                <w:szCs w:val="20"/>
                <w:color w:val="auto"/>
              </w:rPr>
            </w:pPr>
            <w:r>
              <w:rPr>
                <w:rFonts w:ascii="Arial" w:cs="Arial" w:eastAsia="Arial" w:hAnsi="Arial"/>
                <w:sz w:val="11"/>
                <w:szCs w:val="11"/>
                <w:color w:val="auto"/>
              </w:rPr>
              <w:t>9.9%</w:t>
            </w:r>
          </w:p>
        </w:tc>
        <w:tc>
          <w:tcPr>
            <w:tcW w:w="460" w:type="dxa"/>
            <w:vAlign w:val="bottom"/>
            <w:shd w:val="clear" w:color="auto" w:fill="CCEEFF"/>
          </w:tcPr>
          <w:p>
            <w:pPr>
              <w:jc w:val="right"/>
              <w:spacing w:after="0" w:line="124" w:lineRule="exact"/>
              <w:rPr>
                <w:sz w:val="20"/>
                <w:szCs w:val="20"/>
                <w:color w:val="auto"/>
              </w:rPr>
            </w:pPr>
            <w:r>
              <w:rPr>
                <w:rFonts w:ascii="Arial" w:cs="Arial" w:eastAsia="Arial" w:hAnsi="Arial"/>
                <w:sz w:val="11"/>
                <w:szCs w:val="11"/>
                <w:color w:val="auto"/>
                <w:w w:val="89"/>
              </w:rPr>
              <w:t>2,333,333</w:t>
            </w:r>
          </w:p>
        </w:tc>
        <w:tc>
          <w:tcPr>
            <w:tcW w:w="80" w:type="dxa"/>
            <w:vAlign w:val="bottom"/>
            <w:shd w:val="clear" w:color="auto" w:fill="CCEEFF"/>
          </w:tcPr>
          <w:p>
            <w:pPr>
              <w:spacing w:after="0"/>
              <w:rPr>
                <w:sz w:val="10"/>
                <w:szCs w:val="10"/>
                <w:color w:val="auto"/>
              </w:rPr>
            </w:pPr>
          </w:p>
        </w:tc>
        <w:tc>
          <w:tcPr>
            <w:tcW w:w="500" w:type="dxa"/>
            <w:vAlign w:val="bottom"/>
            <w:shd w:val="clear" w:color="auto" w:fill="CCEEFF"/>
          </w:tcPr>
          <w:p>
            <w:pPr>
              <w:jc w:val="right"/>
              <w:spacing w:after="0" w:line="124" w:lineRule="exact"/>
              <w:rPr>
                <w:sz w:val="20"/>
                <w:szCs w:val="20"/>
                <w:color w:val="auto"/>
              </w:rPr>
            </w:pPr>
            <w:r>
              <w:rPr>
                <w:rFonts w:ascii="Arial" w:cs="Arial" w:eastAsia="Arial" w:hAnsi="Arial"/>
                <w:sz w:val="11"/>
                <w:szCs w:val="11"/>
                <w:color w:val="auto"/>
                <w:w w:val="97"/>
              </w:rPr>
              <w:t>4,400,000</w:t>
            </w:r>
          </w:p>
        </w:tc>
        <w:tc>
          <w:tcPr>
            <w:tcW w:w="60" w:type="dxa"/>
            <w:vAlign w:val="bottom"/>
            <w:shd w:val="clear" w:color="auto" w:fill="CCEEFF"/>
          </w:tcPr>
          <w:p>
            <w:pPr>
              <w:spacing w:after="0"/>
              <w:rPr>
                <w:sz w:val="10"/>
                <w:szCs w:val="10"/>
                <w:color w:val="auto"/>
              </w:rPr>
            </w:pPr>
          </w:p>
        </w:tc>
        <w:tc>
          <w:tcPr>
            <w:tcW w:w="400" w:type="dxa"/>
            <w:vAlign w:val="bottom"/>
            <w:gridSpan w:val="2"/>
            <w:shd w:val="clear" w:color="auto" w:fill="CCEEFF"/>
          </w:tcPr>
          <w:p>
            <w:pPr>
              <w:jc w:val="right"/>
              <w:ind w:right="80"/>
              <w:spacing w:after="0" w:line="124" w:lineRule="exact"/>
              <w:rPr>
                <w:sz w:val="20"/>
                <w:szCs w:val="20"/>
                <w:color w:val="auto"/>
              </w:rPr>
            </w:pPr>
            <w:r>
              <w:rPr>
                <w:rFonts w:ascii="Arial" w:cs="Arial" w:eastAsia="Arial" w:hAnsi="Arial"/>
                <w:sz w:val="11"/>
                <w:szCs w:val="11"/>
                <w:color w:val="auto"/>
              </w:rPr>
              <w:t>6.4%</w:t>
            </w:r>
          </w:p>
        </w:tc>
        <w:tc>
          <w:tcPr>
            <w:tcW w:w="560" w:type="dxa"/>
            <w:vAlign w:val="bottom"/>
            <w:shd w:val="clear" w:color="auto" w:fill="CCEEFF"/>
          </w:tcPr>
          <w:p>
            <w:pPr>
              <w:jc w:val="right"/>
              <w:spacing w:after="0" w:line="124" w:lineRule="exact"/>
              <w:rPr>
                <w:sz w:val="20"/>
                <w:szCs w:val="20"/>
                <w:color w:val="auto"/>
              </w:rPr>
            </w:pPr>
            <w:r>
              <w:rPr>
                <w:rFonts w:ascii="Arial" w:cs="Arial" w:eastAsia="Arial" w:hAnsi="Arial"/>
                <w:sz w:val="11"/>
                <w:szCs w:val="11"/>
                <w:color w:val="auto"/>
                <w:w w:val="98"/>
              </w:rPr>
              <w:t>31,937,385</w:t>
            </w:r>
          </w:p>
        </w:tc>
        <w:tc>
          <w:tcPr>
            <w:tcW w:w="60" w:type="dxa"/>
            <w:vAlign w:val="bottom"/>
            <w:shd w:val="clear" w:color="auto" w:fill="CCEEFF"/>
          </w:tcPr>
          <w:p>
            <w:pPr>
              <w:spacing w:after="0"/>
              <w:rPr>
                <w:sz w:val="10"/>
                <w:szCs w:val="10"/>
                <w:color w:val="auto"/>
              </w:rPr>
            </w:pPr>
          </w:p>
        </w:tc>
        <w:tc>
          <w:tcPr>
            <w:tcW w:w="340" w:type="dxa"/>
            <w:vAlign w:val="bottom"/>
            <w:gridSpan w:val="2"/>
            <w:shd w:val="clear" w:color="auto" w:fill="CCEEFF"/>
          </w:tcPr>
          <w:p>
            <w:pPr>
              <w:jc w:val="right"/>
              <w:ind w:right="20"/>
              <w:spacing w:after="0" w:line="124" w:lineRule="exact"/>
              <w:rPr>
                <w:sz w:val="20"/>
                <w:szCs w:val="20"/>
                <w:color w:val="auto"/>
              </w:rPr>
            </w:pPr>
            <w:r>
              <w:rPr>
                <w:rFonts w:ascii="Arial" w:cs="Arial" w:eastAsia="Arial" w:hAnsi="Arial"/>
                <w:sz w:val="11"/>
                <w:szCs w:val="11"/>
                <w:color w:val="auto"/>
              </w:rPr>
              <w:t>9.4%</w:t>
            </w:r>
          </w:p>
        </w:tc>
        <w:tc>
          <w:tcPr>
            <w:tcW w:w="660" w:type="dxa"/>
            <w:vAlign w:val="bottom"/>
            <w:gridSpan w:val="3"/>
            <w:shd w:val="clear" w:color="auto" w:fill="CCEEFF"/>
          </w:tcPr>
          <w:p>
            <w:pPr>
              <w:jc w:val="right"/>
              <w:ind w:right="40"/>
              <w:spacing w:after="0" w:line="124" w:lineRule="exact"/>
              <w:rPr>
                <w:sz w:val="20"/>
                <w:szCs w:val="20"/>
                <w:color w:val="auto"/>
              </w:rPr>
            </w:pPr>
            <w:r>
              <w:rPr>
                <w:rFonts w:ascii="Arial" w:cs="Arial" w:eastAsia="Arial" w:hAnsi="Arial"/>
                <w:sz w:val="11"/>
                <w:szCs w:val="11"/>
                <w:color w:val="auto"/>
              </w:rPr>
              <w:t>8.9%</w:t>
            </w:r>
          </w:p>
        </w:tc>
        <w:tc>
          <w:tcPr>
            <w:tcW w:w="660" w:type="dxa"/>
            <w:vAlign w:val="bottom"/>
            <w:gridSpan w:val="3"/>
            <w:shd w:val="clear" w:color="auto" w:fill="CCEEFF"/>
          </w:tcPr>
          <w:p>
            <w:pPr>
              <w:jc w:val="right"/>
              <w:ind w:right="80"/>
              <w:spacing w:after="0" w:line="124" w:lineRule="exact"/>
              <w:rPr>
                <w:sz w:val="20"/>
                <w:szCs w:val="20"/>
                <w:color w:val="auto"/>
              </w:rPr>
            </w:pPr>
            <w:r>
              <w:rPr>
                <w:rFonts w:ascii="Arial" w:cs="Arial" w:eastAsia="Arial" w:hAnsi="Arial"/>
                <w:sz w:val="11"/>
                <w:szCs w:val="11"/>
                <w:color w:val="auto"/>
              </w:rPr>
              <w:t>9.3%</w:t>
            </w:r>
          </w:p>
        </w:tc>
        <w:tc>
          <w:tcPr>
            <w:tcW w:w="500" w:type="dxa"/>
            <w:vAlign w:val="bottom"/>
            <w:shd w:val="clear" w:color="auto" w:fill="CCEEFF"/>
          </w:tcPr>
          <w:p>
            <w:pPr>
              <w:jc w:val="right"/>
              <w:spacing w:after="0" w:line="124" w:lineRule="exact"/>
              <w:rPr>
                <w:sz w:val="20"/>
                <w:szCs w:val="20"/>
                <w:color w:val="auto"/>
              </w:rPr>
            </w:pPr>
            <w:r>
              <w:rPr>
                <w:rFonts w:ascii="Arial" w:cs="Arial" w:eastAsia="Arial" w:hAnsi="Arial"/>
                <w:sz w:val="11"/>
                <w:szCs w:val="11"/>
                <w:color w:val="auto"/>
                <w:w w:val="97"/>
              </w:rPr>
              <w:t>4,400,000</w:t>
            </w:r>
          </w:p>
        </w:tc>
        <w:tc>
          <w:tcPr>
            <w:tcW w:w="80" w:type="dxa"/>
            <w:vAlign w:val="bottom"/>
            <w:shd w:val="clear" w:color="auto" w:fill="CCEEFF"/>
          </w:tcPr>
          <w:p>
            <w:pPr>
              <w:spacing w:after="0"/>
              <w:rPr>
                <w:sz w:val="10"/>
                <w:szCs w:val="10"/>
                <w:color w:val="auto"/>
              </w:rPr>
            </w:pPr>
          </w:p>
        </w:tc>
        <w:tc>
          <w:tcPr>
            <w:tcW w:w="380" w:type="dxa"/>
            <w:vAlign w:val="bottom"/>
            <w:gridSpan w:val="2"/>
            <w:shd w:val="clear" w:color="auto" w:fill="CCEEFF"/>
          </w:tcPr>
          <w:p>
            <w:pPr>
              <w:jc w:val="right"/>
              <w:ind w:right="80"/>
              <w:spacing w:after="0" w:line="124" w:lineRule="exact"/>
              <w:rPr>
                <w:sz w:val="20"/>
                <w:szCs w:val="20"/>
                <w:color w:val="auto"/>
              </w:rPr>
            </w:pPr>
            <w:r>
              <w:rPr>
                <w:rFonts w:ascii="Arial" w:cs="Arial" w:eastAsia="Arial" w:hAnsi="Arial"/>
                <w:sz w:val="11"/>
                <w:szCs w:val="11"/>
                <w:color w:val="auto"/>
              </w:rPr>
              <w:t>6.0%</w:t>
            </w:r>
          </w:p>
        </w:tc>
        <w:tc>
          <w:tcPr>
            <w:tcW w:w="560" w:type="dxa"/>
            <w:vAlign w:val="bottom"/>
            <w:shd w:val="clear" w:color="auto" w:fill="CCEEFF"/>
          </w:tcPr>
          <w:p>
            <w:pPr>
              <w:jc w:val="right"/>
              <w:spacing w:after="0" w:line="124" w:lineRule="exact"/>
              <w:rPr>
                <w:sz w:val="20"/>
                <w:szCs w:val="20"/>
                <w:color w:val="auto"/>
              </w:rPr>
            </w:pPr>
            <w:r>
              <w:rPr>
                <w:rFonts w:ascii="Arial" w:cs="Arial" w:eastAsia="Arial" w:hAnsi="Arial"/>
                <w:sz w:val="11"/>
                <w:szCs w:val="11"/>
                <w:color w:val="auto"/>
                <w:w w:val="98"/>
              </w:rPr>
              <w:t>31,937,385</w:t>
            </w:r>
          </w:p>
        </w:tc>
        <w:tc>
          <w:tcPr>
            <w:tcW w:w="80" w:type="dxa"/>
            <w:vAlign w:val="bottom"/>
            <w:shd w:val="clear" w:color="auto" w:fill="CCEEFF"/>
          </w:tcPr>
          <w:p>
            <w:pPr>
              <w:spacing w:after="0"/>
              <w:rPr>
                <w:sz w:val="10"/>
                <w:szCs w:val="10"/>
                <w:color w:val="auto"/>
              </w:rPr>
            </w:pPr>
          </w:p>
        </w:tc>
        <w:tc>
          <w:tcPr>
            <w:tcW w:w="340" w:type="dxa"/>
            <w:vAlign w:val="bottom"/>
            <w:gridSpan w:val="2"/>
            <w:shd w:val="clear" w:color="auto" w:fill="CCEEFF"/>
          </w:tcPr>
          <w:p>
            <w:pPr>
              <w:jc w:val="right"/>
              <w:ind w:right="40"/>
              <w:spacing w:after="0" w:line="124" w:lineRule="exact"/>
              <w:rPr>
                <w:sz w:val="20"/>
                <w:szCs w:val="20"/>
                <w:color w:val="auto"/>
              </w:rPr>
            </w:pPr>
            <w:r>
              <w:rPr>
                <w:rFonts w:ascii="Arial" w:cs="Arial" w:eastAsia="Arial" w:hAnsi="Arial"/>
                <w:sz w:val="11"/>
                <w:szCs w:val="11"/>
                <w:color w:val="auto"/>
              </w:rPr>
              <w:t>9.4%</w:t>
            </w:r>
          </w:p>
        </w:tc>
        <w:tc>
          <w:tcPr>
            <w:tcW w:w="4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1100" w:type="dxa"/>
            <w:vAlign w:val="bottom"/>
            <w:gridSpan w:val="2"/>
          </w:tcPr>
          <w:p>
            <w:pPr>
              <w:spacing w:after="0" w:line="124" w:lineRule="exact"/>
              <w:rPr>
                <w:sz w:val="20"/>
                <w:szCs w:val="20"/>
                <w:color w:val="auto"/>
              </w:rPr>
            </w:pPr>
            <w:r>
              <w:rPr>
                <w:rFonts w:ascii="Arial" w:cs="Arial" w:eastAsia="Arial" w:hAnsi="Arial"/>
                <w:sz w:val="11"/>
                <w:szCs w:val="11"/>
                <w:color w:val="auto"/>
              </w:rPr>
              <w:t>Quentin J. Clark</w:t>
            </w:r>
          </w:p>
        </w:tc>
        <w:tc>
          <w:tcPr>
            <w:tcW w:w="560" w:type="dxa"/>
            <w:vAlign w:val="bottom"/>
            <w:gridSpan w:val="2"/>
          </w:tcPr>
          <w:p>
            <w:pPr>
              <w:ind w:left="340"/>
              <w:spacing w:after="0" w:line="124" w:lineRule="exact"/>
              <w:rPr>
                <w:sz w:val="20"/>
                <w:szCs w:val="20"/>
                <w:color w:val="auto"/>
              </w:rPr>
            </w:pPr>
            <w:r>
              <w:rPr>
                <w:rFonts w:ascii="Arial" w:cs="Arial" w:eastAsia="Arial" w:hAnsi="Arial"/>
                <w:sz w:val="11"/>
                <w:szCs w:val="11"/>
                <w:color w:val="auto"/>
              </w:rPr>
              <w:t>—</w:t>
            </w:r>
          </w:p>
        </w:tc>
        <w:tc>
          <w:tcPr>
            <w:tcW w:w="240" w:type="dxa"/>
            <w:vAlign w:val="bottom"/>
          </w:tcPr>
          <w:p>
            <w:pPr>
              <w:jc w:val="right"/>
              <w:spacing w:after="0" w:line="124" w:lineRule="exact"/>
              <w:rPr>
                <w:sz w:val="20"/>
                <w:szCs w:val="20"/>
                <w:color w:val="auto"/>
              </w:rPr>
            </w:pPr>
            <w:r>
              <w:rPr>
                <w:rFonts w:ascii="Arial" w:cs="Arial" w:eastAsia="Arial" w:hAnsi="Arial"/>
                <w:sz w:val="11"/>
                <w:szCs w:val="11"/>
                <w:color w:val="auto"/>
              </w:rPr>
              <w:t>*</w:t>
            </w:r>
          </w:p>
        </w:tc>
        <w:tc>
          <w:tcPr>
            <w:tcW w:w="160" w:type="dxa"/>
            <w:vAlign w:val="bottom"/>
          </w:tcPr>
          <w:p>
            <w:pPr>
              <w:spacing w:after="0"/>
              <w:rPr>
                <w:sz w:val="10"/>
                <w:szCs w:val="10"/>
                <w:color w:val="auto"/>
              </w:rPr>
            </w:pPr>
          </w:p>
        </w:tc>
        <w:tc>
          <w:tcPr>
            <w:tcW w:w="620" w:type="dxa"/>
            <w:vAlign w:val="bottom"/>
            <w:gridSpan w:val="2"/>
          </w:tcPr>
          <w:p>
            <w:pPr>
              <w:ind w:left="400"/>
              <w:spacing w:after="0" w:line="124" w:lineRule="exact"/>
              <w:rPr>
                <w:sz w:val="20"/>
                <w:szCs w:val="20"/>
                <w:color w:val="auto"/>
              </w:rPr>
            </w:pPr>
            <w:r>
              <w:rPr>
                <w:rFonts w:ascii="Arial" w:cs="Arial" w:eastAsia="Arial" w:hAnsi="Arial"/>
                <w:sz w:val="11"/>
                <w:szCs w:val="11"/>
                <w:color w:val="auto"/>
              </w:rPr>
              <w:t>—</w:t>
            </w:r>
          </w:p>
        </w:tc>
        <w:tc>
          <w:tcPr>
            <w:tcW w:w="220" w:type="dxa"/>
            <w:vAlign w:val="bottom"/>
          </w:tcPr>
          <w:p>
            <w:pPr>
              <w:jc w:val="right"/>
              <w:spacing w:after="0" w:line="124" w:lineRule="exact"/>
              <w:rPr>
                <w:sz w:val="20"/>
                <w:szCs w:val="20"/>
                <w:color w:val="auto"/>
              </w:rPr>
            </w:pPr>
            <w:r>
              <w:rPr>
                <w:rFonts w:ascii="Arial" w:cs="Arial" w:eastAsia="Arial" w:hAnsi="Arial"/>
                <w:sz w:val="11"/>
                <w:szCs w:val="11"/>
                <w:color w:val="auto"/>
              </w:rPr>
              <w:t>*</w:t>
            </w:r>
          </w:p>
        </w:tc>
        <w:tc>
          <w:tcPr>
            <w:tcW w:w="120" w:type="dxa"/>
            <w:vAlign w:val="bottom"/>
          </w:tcPr>
          <w:p>
            <w:pPr>
              <w:spacing w:after="0"/>
              <w:rPr>
                <w:sz w:val="10"/>
                <w:szCs w:val="10"/>
                <w:color w:val="auto"/>
              </w:rPr>
            </w:pPr>
          </w:p>
        </w:tc>
        <w:tc>
          <w:tcPr>
            <w:tcW w:w="540" w:type="dxa"/>
            <w:vAlign w:val="bottom"/>
            <w:gridSpan w:val="2"/>
          </w:tcPr>
          <w:p>
            <w:pPr>
              <w:jc w:val="right"/>
              <w:spacing w:after="0" w:line="124" w:lineRule="exact"/>
              <w:rPr>
                <w:sz w:val="20"/>
                <w:szCs w:val="20"/>
                <w:color w:val="auto"/>
              </w:rPr>
            </w:pPr>
            <w:r>
              <w:rPr>
                <w:rFonts w:ascii="Arial" w:cs="Arial" w:eastAsia="Arial" w:hAnsi="Arial"/>
                <w:sz w:val="11"/>
                <w:szCs w:val="11"/>
                <w:color w:val="auto"/>
              </w:rPr>
              <w:t>*</w:t>
            </w:r>
          </w:p>
        </w:tc>
        <w:tc>
          <w:tcPr>
            <w:tcW w:w="120" w:type="dxa"/>
            <w:vAlign w:val="bottom"/>
          </w:tcPr>
          <w:p>
            <w:pPr>
              <w:spacing w:after="0"/>
              <w:rPr>
                <w:sz w:val="10"/>
                <w:szCs w:val="10"/>
                <w:color w:val="auto"/>
              </w:rPr>
            </w:pPr>
          </w:p>
        </w:tc>
        <w:tc>
          <w:tcPr>
            <w:tcW w:w="520" w:type="dxa"/>
            <w:vAlign w:val="bottom"/>
            <w:gridSpan w:val="2"/>
          </w:tcPr>
          <w:p>
            <w:pPr>
              <w:jc w:val="right"/>
              <w:spacing w:after="0" w:line="124" w:lineRule="exact"/>
              <w:rPr>
                <w:sz w:val="20"/>
                <w:szCs w:val="20"/>
                <w:color w:val="auto"/>
              </w:rPr>
            </w:pPr>
            <w:r>
              <w:rPr>
                <w:rFonts w:ascii="Arial" w:cs="Arial" w:eastAsia="Arial" w:hAnsi="Arial"/>
                <w:sz w:val="11"/>
                <w:szCs w:val="11"/>
                <w:color w:val="auto"/>
              </w:rPr>
              <w:t>*</w:t>
            </w:r>
          </w:p>
        </w:tc>
        <w:tc>
          <w:tcPr>
            <w:tcW w:w="160" w:type="dxa"/>
            <w:vAlign w:val="bottom"/>
          </w:tcPr>
          <w:p>
            <w:pPr>
              <w:spacing w:after="0"/>
              <w:rPr>
                <w:sz w:val="10"/>
                <w:szCs w:val="10"/>
                <w:color w:val="auto"/>
              </w:rPr>
            </w:pPr>
          </w:p>
        </w:tc>
        <w:tc>
          <w:tcPr>
            <w:tcW w:w="540" w:type="dxa"/>
            <w:vAlign w:val="bottom"/>
            <w:gridSpan w:val="2"/>
          </w:tcPr>
          <w:p>
            <w:pPr>
              <w:ind w:left="300"/>
              <w:spacing w:after="0" w:line="124" w:lineRule="exact"/>
              <w:rPr>
                <w:sz w:val="20"/>
                <w:szCs w:val="20"/>
                <w:color w:val="auto"/>
              </w:rPr>
            </w:pPr>
            <w:r>
              <w:rPr>
                <w:rFonts w:ascii="Arial" w:cs="Arial" w:eastAsia="Arial" w:hAnsi="Arial"/>
                <w:sz w:val="11"/>
                <w:szCs w:val="11"/>
                <w:color w:val="auto"/>
              </w:rPr>
              <w:t>—</w:t>
            </w:r>
          </w:p>
        </w:tc>
        <w:tc>
          <w:tcPr>
            <w:tcW w:w="560" w:type="dxa"/>
            <w:vAlign w:val="bottom"/>
            <w:gridSpan w:val="2"/>
          </w:tcPr>
          <w:p>
            <w:pPr>
              <w:ind w:left="340"/>
              <w:spacing w:after="0" w:line="124" w:lineRule="exact"/>
              <w:rPr>
                <w:sz w:val="20"/>
                <w:szCs w:val="20"/>
                <w:color w:val="auto"/>
              </w:rPr>
            </w:pPr>
            <w:r>
              <w:rPr>
                <w:rFonts w:ascii="Arial" w:cs="Arial" w:eastAsia="Arial" w:hAnsi="Arial"/>
                <w:sz w:val="11"/>
                <w:szCs w:val="11"/>
                <w:color w:val="auto"/>
              </w:rPr>
              <w:t>—</w:t>
            </w:r>
          </w:p>
        </w:tc>
        <w:tc>
          <w:tcPr>
            <w:tcW w:w="240" w:type="dxa"/>
            <w:vAlign w:val="bottom"/>
          </w:tcPr>
          <w:p>
            <w:pPr>
              <w:jc w:val="right"/>
              <w:spacing w:after="0" w:line="124" w:lineRule="exact"/>
              <w:rPr>
                <w:sz w:val="20"/>
                <w:szCs w:val="20"/>
                <w:color w:val="auto"/>
              </w:rPr>
            </w:pPr>
            <w:r>
              <w:rPr>
                <w:rFonts w:ascii="Arial" w:cs="Arial" w:eastAsia="Arial" w:hAnsi="Arial"/>
                <w:sz w:val="11"/>
                <w:szCs w:val="11"/>
                <w:color w:val="auto"/>
              </w:rPr>
              <w:t>*</w:t>
            </w:r>
          </w:p>
        </w:tc>
        <w:tc>
          <w:tcPr>
            <w:tcW w:w="160" w:type="dxa"/>
            <w:vAlign w:val="bottom"/>
          </w:tcPr>
          <w:p>
            <w:pPr>
              <w:spacing w:after="0"/>
              <w:rPr>
                <w:sz w:val="10"/>
                <w:szCs w:val="10"/>
                <w:color w:val="auto"/>
              </w:rPr>
            </w:pPr>
          </w:p>
        </w:tc>
        <w:tc>
          <w:tcPr>
            <w:tcW w:w="620" w:type="dxa"/>
            <w:vAlign w:val="bottom"/>
            <w:gridSpan w:val="2"/>
          </w:tcPr>
          <w:p>
            <w:pPr>
              <w:ind w:left="400"/>
              <w:spacing w:after="0" w:line="124" w:lineRule="exact"/>
              <w:rPr>
                <w:sz w:val="20"/>
                <w:szCs w:val="20"/>
                <w:color w:val="auto"/>
              </w:rPr>
            </w:pPr>
            <w:r>
              <w:rPr>
                <w:rFonts w:ascii="Arial" w:cs="Arial" w:eastAsia="Arial" w:hAnsi="Arial"/>
                <w:sz w:val="11"/>
                <w:szCs w:val="11"/>
                <w:color w:val="auto"/>
              </w:rPr>
              <w:t>—</w:t>
            </w:r>
          </w:p>
        </w:tc>
        <w:tc>
          <w:tcPr>
            <w:tcW w:w="220" w:type="dxa"/>
            <w:vAlign w:val="bottom"/>
          </w:tcPr>
          <w:p>
            <w:pPr>
              <w:jc w:val="right"/>
              <w:spacing w:after="0" w:line="124" w:lineRule="exact"/>
              <w:rPr>
                <w:sz w:val="20"/>
                <w:szCs w:val="20"/>
                <w:color w:val="auto"/>
              </w:rPr>
            </w:pPr>
            <w:r>
              <w:rPr>
                <w:rFonts w:ascii="Arial" w:cs="Arial" w:eastAsia="Arial" w:hAnsi="Arial"/>
                <w:sz w:val="11"/>
                <w:szCs w:val="11"/>
                <w:color w:val="auto"/>
              </w:rPr>
              <w:t>*</w:t>
            </w:r>
          </w:p>
        </w:tc>
        <w:tc>
          <w:tcPr>
            <w:tcW w:w="120" w:type="dxa"/>
            <w:vAlign w:val="bottom"/>
          </w:tcPr>
          <w:p>
            <w:pPr>
              <w:spacing w:after="0"/>
              <w:rPr>
                <w:sz w:val="10"/>
                <w:szCs w:val="10"/>
                <w:color w:val="auto"/>
              </w:rPr>
            </w:pPr>
          </w:p>
        </w:tc>
        <w:tc>
          <w:tcPr>
            <w:tcW w:w="540" w:type="dxa"/>
            <w:vAlign w:val="bottom"/>
            <w:gridSpan w:val="2"/>
          </w:tcPr>
          <w:p>
            <w:pPr>
              <w:jc w:val="right"/>
              <w:spacing w:after="0" w:line="124" w:lineRule="exact"/>
              <w:rPr>
                <w:sz w:val="20"/>
                <w:szCs w:val="20"/>
                <w:color w:val="auto"/>
              </w:rPr>
            </w:pPr>
            <w:r>
              <w:rPr>
                <w:rFonts w:ascii="Arial" w:cs="Arial" w:eastAsia="Arial" w:hAnsi="Arial"/>
                <w:sz w:val="11"/>
                <w:szCs w:val="11"/>
                <w:color w:val="auto"/>
              </w:rPr>
              <w:t>*</w:t>
            </w:r>
          </w:p>
        </w:tc>
        <w:tc>
          <w:tcPr>
            <w:tcW w:w="120" w:type="dxa"/>
            <w:vAlign w:val="bottom"/>
          </w:tcPr>
          <w:p>
            <w:pPr>
              <w:spacing w:after="0"/>
              <w:rPr>
                <w:sz w:val="10"/>
                <w:szCs w:val="10"/>
                <w:color w:val="auto"/>
              </w:rPr>
            </w:pPr>
          </w:p>
        </w:tc>
        <w:tc>
          <w:tcPr>
            <w:tcW w:w="500" w:type="dxa"/>
            <w:vAlign w:val="bottom"/>
            <w:gridSpan w:val="2"/>
          </w:tcPr>
          <w:p>
            <w:pPr>
              <w:jc w:val="right"/>
              <w:spacing w:after="0" w:line="124" w:lineRule="exact"/>
              <w:rPr>
                <w:sz w:val="20"/>
                <w:szCs w:val="20"/>
                <w:color w:val="auto"/>
              </w:rPr>
            </w:pPr>
            <w:r>
              <w:rPr>
                <w:rFonts w:ascii="Arial" w:cs="Arial" w:eastAsia="Arial" w:hAnsi="Arial"/>
                <w:sz w:val="11"/>
                <w:szCs w:val="11"/>
                <w:color w:val="auto"/>
              </w:rPr>
              <w:t>*</w:t>
            </w:r>
          </w:p>
        </w:tc>
        <w:tc>
          <w:tcPr>
            <w:tcW w:w="160" w:type="dxa"/>
            <w:vAlign w:val="bottom"/>
          </w:tcPr>
          <w:p>
            <w:pPr>
              <w:spacing w:after="0"/>
              <w:rPr>
                <w:sz w:val="10"/>
                <w:szCs w:val="10"/>
                <w:color w:val="auto"/>
              </w:rPr>
            </w:pPr>
          </w:p>
        </w:tc>
        <w:tc>
          <w:tcPr>
            <w:tcW w:w="580" w:type="dxa"/>
            <w:vAlign w:val="bottom"/>
            <w:gridSpan w:val="2"/>
          </w:tcPr>
          <w:p>
            <w:pPr>
              <w:ind w:left="340"/>
              <w:spacing w:after="0" w:line="124" w:lineRule="exact"/>
              <w:rPr>
                <w:sz w:val="20"/>
                <w:szCs w:val="20"/>
                <w:color w:val="auto"/>
              </w:rPr>
            </w:pPr>
            <w:r>
              <w:rPr>
                <w:rFonts w:ascii="Arial" w:cs="Arial" w:eastAsia="Arial" w:hAnsi="Arial"/>
                <w:sz w:val="11"/>
                <w:szCs w:val="11"/>
                <w:color w:val="auto"/>
              </w:rPr>
              <w:t>—</w:t>
            </w:r>
          </w:p>
        </w:tc>
        <w:tc>
          <w:tcPr>
            <w:tcW w:w="220" w:type="dxa"/>
            <w:vAlign w:val="bottom"/>
          </w:tcPr>
          <w:p>
            <w:pPr>
              <w:jc w:val="right"/>
              <w:spacing w:after="0" w:line="124" w:lineRule="exact"/>
              <w:rPr>
                <w:sz w:val="20"/>
                <w:szCs w:val="20"/>
                <w:color w:val="auto"/>
              </w:rPr>
            </w:pPr>
            <w:r>
              <w:rPr>
                <w:rFonts w:ascii="Arial" w:cs="Arial" w:eastAsia="Arial" w:hAnsi="Arial"/>
                <w:sz w:val="11"/>
                <w:szCs w:val="11"/>
                <w:color w:val="auto"/>
              </w:rPr>
              <w:t>*</w:t>
            </w:r>
          </w:p>
        </w:tc>
        <w:tc>
          <w:tcPr>
            <w:tcW w:w="160" w:type="dxa"/>
            <w:vAlign w:val="bottom"/>
          </w:tcPr>
          <w:p>
            <w:pPr>
              <w:spacing w:after="0"/>
              <w:rPr>
                <w:sz w:val="10"/>
                <w:szCs w:val="10"/>
                <w:color w:val="auto"/>
              </w:rPr>
            </w:pPr>
          </w:p>
        </w:tc>
        <w:tc>
          <w:tcPr>
            <w:tcW w:w="640" w:type="dxa"/>
            <w:vAlign w:val="bottom"/>
            <w:gridSpan w:val="2"/>
          </w:tcPr>
          <w:p>
            <w:pPr>
              <w:ind w:left="400"/>
              <w:spacing w:after="0" w:line="124" w:lineRule="exact"/>
              <w:rPr>
                <w:sz w:val="20"/>
                <w:szCs w:val="20"/>
                <w:color w:val="auto"/>
              </w:rPr>
            </w:pPr>
            <w:r>
              <w:rPr>
                <w:rFonts w:ascii="Arial" w:cs="Arial" w:eastAsia="Arial" w:hAnsi="Arial"/>
                <w:sz w:val="11"/>
                <w:szCs w:val="11"/>
                <w:color w:val="auto"/>
              </w:rPr>
              <w:t>—</w:t>
            </w:r>
          </w:p>
        </w:tc>
        <w:tc>
          <w:tcPr>
            <w:tcW w:w="220" w:type="dxa"/>
            <w:vAlign w:val="bottom"/>
          </w:tcPr>
          <w:p>
            <w:pPr>
              <w:jc w:val="right"/>
              <w:spacing w:after="0" w:line="124" w:lineRule="exact"/>
              <w:rPr>
                <w:sz w:val="20"/>
                <w:szCs w:val="20"/>
                <w:color w:val="auto"/>
              </w:rPr>
            </w:pPr>
            <w:r>
              <w:rPr>
                <w:rFonts w:ascii="Arial" w:cs="Arial" w:eastAsia="Arial" w:hAnsi="Arial"/>
                <w:sz w:val="11"/>
                <w:szCs w:val="11"/>
                <w:color w:val="auto"/>
              </w:rPr>
              <w:t>*</w:t>
            </w: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1100" w:type="dxa"/>
            <w:vAlign w:val="bottom"/>
            <w:gridSpan w:val="2"/>
            <w:shd w:val="clear" w:color="auto" w:fill="CCEEFF"/>
          </w:tcPr>
          <w:p>
            <w:pPr>
              <w:spacing w:after="0" w:line="124" w:lineRule="exact"/>
              <w:rPr>
                <w:sz w:val="20"/>
                <w:szCs w:val="20"/>
                <w:color w:val="auto"/>
              </w:rPr>
            </w:pPr>
            <w:r>
              <w:rPr>
                <w:rFonts w:ascii="Arial" w:cs="Arial" w:eastAsia="Arial" w:hAnsi="Arial"/>
                <w:sz w:val="11"/>
                <w:szCs w:val="11"/>
                <w:color w:val="auto"/>
              </w:rPr>
              <w:t>Donald W. Blair</w:t>
            </w:r>
          </w:p>
        </w:tc>
        <w:tc>
          <w:tcPr>
            <w:tcW w:w="560" w:type="dxa"/>
            <w:vAlign w:val="bottom"/>
            <w:gridSpan w:val="2"/>
            <w:shd w:val="clear" w:color="auto" w:fill="CCEEFF"/>
          </w:tcPr>
          <w:p>
            <w:pPr>
              <w:ind w:left="340"/>
              <w:spacing w:after="0" w:line="124" w:lineRule="exact"/>
              <w:rPr>
                <w:sz w:val="20"/>
                <w:szCs w:val="20"/>
                <w:color w:val="auto"/>
              </w:rPr>
            </w:pPr>
            <w:r>
              <w:rPr>
                <w:rFonts w:ascii="Arial" w:cs="Arial" w:eastAsia="Arial" w:hAnsi="Arial"/>
                <w:sz w:val="11"/>
                <w:szCs w:val="11"/>
                <w:color w:val="auto"/>
              </w:rPr>
              <w:t>—</w:t>
            </w:r>
          </w:p>
        </w:tc>
        <w:tc>
          <w:tcPr>
            <w:tcW w:w="240" w:type="dxa"/>
            <w:vAlign w:val="bottom"/>
            <w:shd w:val="clear" w:color="auto" w:fill="CCEEFF"/>
          </w:tcPr>
          <w:p>
            <w:pPr>
              <w:jc w:val="right"/>
              <w:spacing w:after="0" w:line="124" w:lineRule="exact"/>
              <w:rPr>
                <w:sz w:val="20"/>
                <w:szCs w:val="20"/>
                <w:color w:val="auto"/>
              </w:rPr>
            </w:pPr>
            <w:r>
              <w:rPr>
                <w:rFonts w:ascii="Arial" w:cs="Arial" w:eastAsia="Arial" w:hAnsi="Arial"/>
                <w:sz w:val="11"/>
                <w:szCs w:val="11"/>
                <w:color w:val="auto"/>
              </w:rPr>
              <w:t>*</w:t>
            </w:r>
          </w:p>
        </w:tc>
        <w:tc>
          <w:tcPr>
            <w:tcW w:w="160" w:type="dxa"/>
            <w:vAlign w:val="bottom"/>
            <w:shd w:val="clear" w:color="auto" w:fill="CCEEFF"/>
          </w:tcPr>
          <w:p>
            <w:pPr>
              <w:spacing w:after="0"/>
              <w:rPr>
                <w:sz w:val="10"/>
                <w:szCs w:val="10"/>
                <w:color w:val="auto"/>
              </w:rPr>
            </w:pPr>
          </w:p>
        </w:tc>
        <w:tc>
          <w:tcPr>
            <w:tcW w:w="620" w:type="dxa"/>
            <w:vAlign w:val="bottom"/>
            <w:gridSpan w:val="2"/>
            <w:shd w:val="clear" w:color="auto" w:fill="CCEEFF"/>
          </w:tcPr>
          <w:p>
            <w:pPr>
              <w:ind w:left="400"/>
              <w:spacing w:after="0" w:line="124" w:lineRule="exact"/>
              <w:rPr>
                <w:sz w:val="20"/>
                <w:szCs w:val="20"/>
                <w:color w:val="auto"/>
              </w:rPr>
            </w:pPr>
            <w:r>
              <w:rPr>
                <w:rFonts w:ascii="Arial" w:cs="Arial" w:eastAsia="Arial" w:hAnsi="Arial"/>
                <w:sz w:val="11"/>
                <w:szCs w:val="11"/>
                <w:color w:val="auto"/>
              </w:rPr>
              <w:t>—</w:t>
            </w:r>
          </w:p>
        </w:tc>
        <w:tc>
          <w:tcPr>
            <w:tcW w:w="220" w:type="dxa"/>
            <w:vAlign w:val="bottom"/>
            <w:shd w:val="clear" w:color="auto" w:fill="CCEEFF"/>
          </w:tcPr>
          <w:p>
            <w:pPr>
              <w:jc w:val="right"/>
              <w:spacing w:after="0" w:line="124" w:lineRule="exact"/>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0"/>
                <w:szCs w:val="10"/>
                <w:color w:val="auto"/>
              </w:rPr>
            </w:pPr>
          </w:p>
        </w:tc>
        <w:tc>
          <w:tcPr>
            <w:tcW w:w="540" w:type="dxa"/>
            <w:vAlign w:val="bottom"/>
            <w:gridSpan w:val="2"/>
            <w:shd w:val="clear" w:color="auto" w:fill="CCEEFF"/>
          </w:tcPr>
          <w:p>
            <w:pPr>
              <w:jc w:val="right"/>
              <w:spacing w:after="0" w:line="124" w:lineRule="exact"/>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0"/>
                <w:szCs w:val="10"/>
                <w:color w:val="auto"/>
              </w:rPr>
            </w:pPr>
          </w:p>
        </w:tc>
        <w:tc>
          <w:tcPr>
            <w:tcW w:w="520" w:type="dxa"/>
            <w:vAlign w:val="bottom"/>
            <w:gridSpan w:val="2"/>
            <w:shd w:val="clear" w:color="auto" w:fill="CCEEFF"/>
          </w:tcPr>
          <w:p>
            <w:pPr>
              <w:jc w:val="right"/>
              <w:spacing w:after="0" w:line="124" w:lineRule="exact"/>
              <w:rPr>
                <w:sz w:val="20"/>
                <w:szCs w:val="20"/>
                <w:color w:val="auto"/>
              </w:rPr>
            </w:pPr>
            <w:r>
              <w:rPr>
                <w:rFonts w:ascii="Arial" w:cs="Arial" w:eastAsia="Arial" w:hAnsi="Arial"/>
                <w:sz w:val="11"/>
                <w:szCs w:val="11"/>
                <w:color w:val="auto"/>
              </w:rPr>
              <w:t>*</w:t>
            </w:r>
          </w:p>
        </w:tc>
        <w:tc>
          <w:tcPr>
            <w:tcW w:w="160" w:type="dxa"/>
            <w:vAlign w:val="bottom"/>
            <w:shd w:val="clear" w:color="auto" w:fill="CCEEFF"/>
          </w:tcPr>
          <w:p>
            <w:pPr>
              <w:spacing w:after="0"/>
              <w:rPr>
                <w:sz w:val="10"/>
                <w:szCs w:val="10"/>
                <w:color w:val="auto"/>
              </w:rPr>
            </w:pPr>
          </w:p>
        </w:tc>
        <w:tc>
          <w:tcPr>
            <w:tcW w:w="540" w:type="dxa"/>
            <w:vAlign w:val="bottom"/>
            <w:gridSpan w:val="2"/>
            <w:shd w:val="clear" w:color="auto" w:fill="CCEEFF"/>
          </w:tcPr>
          <w:p>
            <w:pPr>
              <w:ind w:left="300"/>
              <w:spacing w:after="0" w:line="124" w:lineRule="exact"/>
              <w:rPr>
                <w:sz w:val="20"/>
                <w:szCs w:val="20"/>
                <w:color w:val="auto"/>
              </w:rPr>
            </w:pPr>
            <w:r>
              <w:rPr>
                <w:rFonts w:ascii="Arial" w:cs="Arial" w:eastAsia="Arial" w:hAnsi="Arial"/>
                <w:sz w:val="11"/>
                <w:szCs w:val="11"/>
                <w:color w:val="auto"/>
              </w:rPr>
              <w:t>—</w:t>
            </w:r>
          </w:p>
        </w:tc>
        <w:tc>
          <w:tcPr>
            <w:tcW w:w="560" w:type="dxa"/>
            <w:vAlign w:val="bottom"/>
            <w:gridSpan w:val="2"/>
            <w:shd w:val="clear" w:color="auto" w:fill="CCEEFF"/>
          </w:tcPr>
          <w:p>
            <w:pPr>
              <w:ind w:left="340"/>
              <w:spacing w:after="0" w:line="124" w:lineRule="exact"/>
              <w:rPr>
                <w:sz w:val="20"/>
                <w:szCs w:val="20"/>
                <w:color w:val="auto"/>
              </w:rPr>
            </w:pPr>
            <w:r>
              <w:rPr>
                <w:rFonts w:ascii="Arial" w:cs="Arial" w:eastAsia="Arial" w:hAnsi="Arial"/>
                <w:sz w:val="11"/>
                <w:szCs w:val="11"/>
                <w:color w:val="auto"/>
              </w:rPr>
              <w:t>—</w:t>
            </w:r>
          </w:p>
        </w:tc>
        <w:tc>
          <w:tcPr>
            <w:tcW w:w="240" w:type="dxa"/>
            <w:vAlign w:val="bottom"/>
            <w:shd w:val="clear" w:color="auto" w:fill="CCEEFF"/>
          </w:tcPr>
          <w:p>
            <w:pPr>
              <w:jc w:val="right"/>
              <w:spacing w:after="0" w:line="124" w:lineRule="exact"/>
              <w:rPr>
                <w:sz w:val="20"/>
                <w:szCs w:val="20"/>
                <w:color w:val="auto"/>
              </w:rPr>
            </w:pPr>
            <w:r>
              <w:rPr>
                <w:rFonts w:ascii="Arial" w:cs="Arial" w:eastAsia="Arial" w:hAnsi="Arial"/>
                <w:sz w:val="11"/>
                <w:szCs w:val="11"/>
                <w:color w:val="auto"/>
              </w:rPr>
              <w:t>*</w:t>
            </w:r>
          </w:p>
        </w:tc>
        <w:tc>
          <w:tcPr>
            <w:tcW w:w="160" w:type="dxa"/>
            <w:vAlign w:val="bottom"/>
            <w:shd w:val="clear" w:color="auto" w:fill="CCEEFF"/>
          </w:tcPr>
          <w:p>
            <w:pPr>
              <w:spacing w:after="0"/>
              <w:rPr>
                <w:sz w:val="10"/>
                <w:szCs w:val="10"/>
                <w:color w:val="auto"/>
              </w:rPr>
            </w:pPr>
          </w:p>
        </w:tc>
        <w:tc>
          <w:tcPr>
            <w:tcW w:w="620" w:type="dxa"/>
            <w:vAlign w:val="bottom"/>
            <w:gridSpan w:val="2"/>
            <w:shd w:val="clear" w:color="auto" w:fill="CCEEFF"/>
          </w:tcPr>
          <w:p>
            <w:pPr>
              <w:ind w:left="400"/>
              <w:spacing w:after="0" w:line="124" w:lineRule="exact"/>
              <w:rPr>
                <w:sz w:val="20"/>
                <w:szCs w:val="20"/>
                <w:color w:val="auto"/>
              </w:rPr>
            </w:pPr>
            <w:r>
              <w:rPr>
                <w:rFonts w:ascii="Arial" w:cs="Arial" w:eastAsia="Arial" w:hAnsi="Arial"/>
                <w:sz w:val="11"/>
                <w:szCs w:val="11"/>
                <w:color w:val="auto"/>
              </w:rPr>
              <w:t>—</w:t>
            </w:r>
          </w:p>
        </w:tc>
        <w:tc>
          <w:tcPr>
            <w:tcW w:w="220" w:type="dxa"/>
            <w:vAlign w:val="bottom"/>
            <w:shd w:val="clear" w:color="auto" w:fill="CCEEFF"/>
          </w:tcPr>
          <w:p>
            <w:pPr>
              <w:jc w:val="right"/>
              <w:spacing w:after="0" w:line="124" w:lineRule="exact"/>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0"/>
                <w:szCs w:val="10"/>
                <w:color w:val="auto"/>
              </w:rPr>
            </w:pPr>
          </w:p>
        </w:tc>
        <w:tc>
          <w:tcPr>
            <w:tcW w:w="540" w:type="dxa"/>
            <w:vAlign w:val="bottom"/>
            <w:gridSpan w:val="2"/>
            <w:shd w:val="clear" w:color="auto" w:fill="CCEEFF"/>
          </w:tcPr>
          <w:p>
            <w:pPr>
              <w:jc w:val="right"/>
              <w:spacing w:after="0" w:line="124" w:lineRule="exact"/>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0"/>
                <w:szCs w:val="10"/>
                <w:color w:val="auto"/>
              </w:rPr>
            </w:pPr>
          </w:p>
        </w:tc>
        <w:tc>
          <w:tcPr>
            <w:tcW w:w="500" w:type="dxa"/>
            <w:vAlign w:val="bottom"/>
            <w:gridSpan w:val="2"/>
            <w:shd w:val="clear" w:color="auto" w:fill="CCEEFF"/>
          </w:tcPr>
          <w:p>
            <w:pPr>
              <w:jc w:val="right"/>
              <w:spacing w:after="0" w:line="124" w:lineRule="exact"/>
              <w:rPr>
                <w:sz w:val="20"/>
                <w:szCs w:val="20"/>
                <w:color w:val="auto"/>
              </w:rPr>
            </w:pPr>
            <w:r>
              <w:rPr>
                <w:rFonts w:ascii="Arial" w:cs="Arial" w:eastAsia="Arial" w:hAnsi="Arial"/>
                <w:sz w:val="11"/>
                <w:szCs w:val="11"/>
                <w:color w:val="auto"/>
              </w:rPr>
              <w:t>*</w:t>
            </w:r>
          </w:p>
        </w:tc>
        <w:tc>
          <w:tcPr>
            <w:tcW w:w="160" w:type="dxa"/>
            <w:vAlign w:val="bottom"/>
            <w:shd w:val="clear" w:color="auto" w:fill="CCEEFF"/>
          </w:tcPr>
          <w:p>
            <w:pPr>
              <w:spacing w:after="0"/>
              <w:rPr>
                <w:sz w:val="10"/>
                <w:szCs w:val="10"/>
                <w:color w:val="auto"/>
              </w:rPr>
            </w:pPr>
          </w:p>
        </w:tc>
        <w:tc>
          <w:tcPr>
            <w:tcW w:w="580" w:type="dxa"/>
            <w:vAlign w:val="bottom"/>
            <w:gridSpan w:val="2"/>
            <w:shd w:val="clear" w:color="auto" w:fill="CCEEFF"/>
          </w:tcPr>
          <w:p>
            <w:pPr>
              <w:ind w:left="340"/>
              <w:spacing w:after="0" w:line="124" w:lineRule="exact"/>
              <w:rPr>
                <w:sz w:val="20"/>
                <w:szCs w:val="20"/>
                <w:color w:val="auto"/>
              </w:rPr>
            </w:pPr>
            <w:r>
              <w:rPr>
                <w:rFonts w:ascii="Arial" w:cs="Arial" w:eastAsia="Arial" w:hAnsi="Arial"/>
                <w:sz w:val="11"/>
                <w:szCs w:val="11"/>
                <w:color w:val="auto"/>
              </w:rPr>
              <w:t>—</w:t>
            </w:r>
          </w:p>
        </w:tc>
        <w:tc>
          <w:tcPr>
            <w:tcW w:w="220" w:type="dxa"/>
            <w:vAlign w:val="bottom"/>
            <w:shd w:val="clear" w:color="auto" w:fill="CCEEFF"/>
          </w:tcPr>
          <w:p>
            <w:pPr>
              <w:jc w:val="right"/>
              <w:spacing w:after="0" w:line="124" w:lineRule="exact"/>
              <w:rPr>
                <w:sz w:val="20"/>
                <w:szCs w:val="20"/>
                <w:color w:val="auto"/>
              </w:rPr>
            </w:pPr>
            <w:r>
              <w:rPr>
                <w:rFonts w:ascii="Arial" w:cs="Arial" w:eastAsia="Arial" w:hAnsi="Arial"/>
                <w:sz w:val="11"/>
                <w:szCs w:val="11"/>
                <w:color w:val="auto"/>
              </w:rPr>
              <w:t>*</w:t>
            </w:r>
          </w:p>
        </w:tc>
        <w:tc>
          <w:tcPr>
            <w:tcW w:w="160" w:type="dxa"/>
            <w:vAlign w:val="bottom"/>
            <w:shd w:val="clear" w:color="auto" w:fill="CCEEFF"/>
          </w:tcPr>
          <w:p>
            <w:pPr>
              <w:spacing w:after="0"/>
              <w:rPr>
                <w:sz w:val="10"/>
                <w:szCs w:val="10"/>
                <w:color w:val="auto"/>
              </w:rPr>
            </w:pPr>
          </w:p>
        </w:tc>
        <w:tc>
          <w:tcPr>
            <w:tcW w:w="640" w:type="dxa"/>
            <w:vAlign w:val="bottom"/>
            <w:gridSpan w:val="2"/>
            <w:shd w:val="clear" w:color="auto" w:fill="CCEEFF"/>
          </w:tcPr>
          <w:p>
            <w:pPr>
              <w:ind w:left="400"/>
              <w:spacing w:after="0" w:line="124" w:lineRule="exact"/>
              <w:rPr>
                <w:sz w:val="20"/>
                <w:szCs w:val="20"/>
                <w:color w:val="auto"/>
              </w:rPr>
            </w:pPr>
            <w:r>
              <w:rPr>
                <w:rFonts w:ascii="Arial" w:cs="Arial" w:eastAsia="Arial" w:hAnsi="Arial"/>
                <w:sz w:val="11"/>
                <w:szCs w:val="11"/>
                <w:color w:val="auto"/>
              </w:rPr>
              <w:t>—</w:t>
            </w:r>
          </w:p>
        </w:tc>
        <w:tc>
          <w:tcPr>
            <w:tcW w:w="220" w:type="dxa"/>
            <w:vAlign w:val="bottom"/>
            <w:shd w:val="clear" w:color="auto" w:fill="CCEEFF"/>
          </w:tcPr>
          <w:p>
            <w:pPr>
              <w:jc w:val="right"/>
              <w:spacing w:after="0" w:line="124" w:lineRule="exact"/>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1100" w:type="dxa"/>
            <w:vAlign w:val="bottom"/>
            <w:gridSpan w:val="2"/>
          </w:tcPr>
          <w:p>
            <w:pPr>
              <w:spacing w:after="0" w:line="124" w:lineRule="exact"/>
              <w:rPr>
                <w:sz w:val="20"/>
                <w:szCs w:val="20"/>
                <w:color w:val="auto"/>
              </w:rPr>
            </w:pPr>
            <w:r>
              <w:rPr>
                <w:rFonts w:ascii="Arial" w:cs="Arial" w:eastAsia="Arial" w:hAnsi="Arial"/>
                <w:sz w:val="11"/>
                <w:szCs w:val="11"/>
                <w:color w:val="auto"/>
              </w:rPr>
              <w:t>Paul E. Jacobs</w:t>
            </w:r>
            <w:r>
              <w:rPr>
                <w:rFonts w:ascii="Arial" w:cs="Arial" w:eastAsia="Arial" w:hAnsi="Arial"/>
                <w:sz w:val="8"/>
                <w:szCs w:val="8"/>
                <w:color w:val="auto"/>
              </w:rPr>
              <w:t>(3)</w:t>
            </w:r>
          </w:p>
        </w:tc>
        <w:tc>
          <w:tcPr>
            <w:tcW w:w="560" w:type="dxa"/>
            <w:vAlign w:val="bottom"/>
            <w:gridSpan w:val="2"/>
          </w:tcPr>
          <w:p>
            <w:pPr>
              <w:ind w:left="340"/>
              <w:spacing w:after="0" w:line="124" w:lineRule="exact"/>
              <w:rPr>
                <w:sz w:val="20"/>
                <w:szCs w:val="20"/>
                <w:color w:val="auto"/>
              </w:rPr>
            </w:pPr>
            <w:r>
              <w:rPr>
                <w:rFonts w:ascii="Arial" w:cs="Arial" w:eastAsia="Arial" w:hAnsi="Arial"/>
                <w:sz w:val="11"/>
                <w:szCs w:val="11"/>
                <w:color w:val="auto"/>
              </w:rPr>
              <w:t>—</w:t>
            </w:r>
          </w:p>
        </w:tc>
        <w:tc>
          <w:tcPr>
            <w:tcW w:w="240" w:type="dxa"/>
            <w:vAlign w:val="bottom"/>
          </w:tcPr>
          <w:p>
            <w:pPr>
              <w:jc w:val="right"/>
              <w:spacing w:after="0" w:line="124" w:lineRule="exact"/>
              <w:rPr>
                <w:sz w:val="20"/>
                <w:szCs w:val="20"/>
                <w:color w:val="auto"/>
              </w:rPr>
            </w:pPr>
            <w:r>
              <w:rPr>
                <w:rFonts w:ascii="Arial" w:cs="Arial" w:eastAsia="Arial" w:hAnsi="Arial"/>
                <w:sz w:val="11"/>
                <w:szCs w:val="11"/>
                <w:color w:val="auto"/>
              </w:rPr>
              <w:t>*</w:t>
            </w:r>
          </w:p>
        </w:tc>
        <w:tc>
          <w:tcPr>
            <w:tcW w:w="160" w:type="dxa"/>
            <w:vAlign w:val="bottom"/>
          </w:tcPr>
          <w:p>
            <w:pPr>
              <w:spacing w:after="0"/>
              <w:rPr>
                <w:sz w:val="10"/>
                <w:szCs w:val="10"/>
                <w:color w:val="auto"/>
              </w:rPr>
            </w:pPr>
          </w:p>
        </w:tc>
        <w:tc>
          <w:tcPr>
            <w:tcW w:w="560" w:type="dxa"/>
            <w:vAlign w:val="bottom"/>
          </w:tcPr>
          <w:p>
            <w:pPr>
              <w:jc w:val="right"/>
              <w:spacing w:after="0" w:line="124" w:lineRule="exact"/>
              <w:rPr>
                <w:sz w:val="20"/>
                <w:szCs w:val="20"/>
                <w:color w:val="auto"/>
              </w:rPr>
            </w:pPr>
            <w:r>
              <w:rPr>
                <w:rFonts w:ascii="Arial" w:cs="Arial" w:eastAsia="Arial" w:hAnsi="Arial"/>
                <w:sz w:val="11"/>
                <w:szCs w:val="11"/>
                <w:color w:val="auto"/>
              </w:rPr>
              <w:t>226,044</w:t>
            </w:r>
          </w:p>
        </w:tc>
        <w:tc>
          <w:tcPr>
            <w:tcW w:w="60" w:type="dxa"/>
            <w:vAlign w:val="bottom"/>
          </w:tcPr>
          <w:p>
            <w:pPr>
              <w:spacing w:after="0"/>
              <w:rPr>
                <w:sz w:val="10"/>
                <w:szCs w:val="10"/>
                <w:color w:val="auto"/>
              </w:rPr>
            </w:pPr>
          </w:p>
        </w:tc>
        <w:tc>
          <w:tcPr>
            <w:tcW w:w="220" w:type="dxa"/>
            <w:vAlign w:val="bottom"/>
          </w:tcPr>
          <w:p>
            <w:pPr>
              <w:jc w:val="right"/>
              <w:spacing w:after="0" w:line="124" w:lineRule="exact"/>
              <w:rPr>
                <w:sz w:val="20"/>
                <w:szCs w:val="20"/>
                <w:color w:val="auto"/>
              </w:rPr>
            </w:pPr>
            <w:r>
              <w:rPr>
                <w:rFonts w:ascii="Arial" w:cs="Arial" w:eastAsia="Arial" w:hAnsi="Arial"/>
                <w:sz w:val="11"/>
                <w:szCs w:val="11"/>
                <w:color w:val="auto"/>
              </w:rPr>
              <w:t>*</w:t>
            </w:r>
          </w:p>
        </w:tc>
        <w:tc>
          <w:tcPr>
            <w:tcW w:w="120" w:type="dxa"/>
            <w:vAlign w:val="bottom"/>
          </w:tcPr>
          <w:p>
            <w:pPr>
              <w:spacing w:after="0"/>
              <w:rPr>
                <w:sz w:val="10"/>
                <w:szCs w:val="10"/>
                <w:color w:val="auto"/>
              </w:rPr>
            </w:pPr>
          </w:p>
        </w:tc>
        <w:tc>
          <w:tcPr>
            <w:tcW w:w="540" w:type="dxa"/>
            <w:vAlign w:val="bottom"/>
            <w:gridSpan w:val="2"/>
          </w:tcPr>
          <w:p>
            <w:pPr>
              <w:jc w:val="right"/>
              <w:spacing w:after="0" w:line="124" w:lineRule="exact"/>
              <w:rPr>
                <w:sz w:val="20"/>
                <w:szCs w:val="20"/>
                <w:color w:val="auto"/>
              </w:rPr>
            </w:pPr>
            <w:r>
              <w:rPr>
                <w:rFonts w:ascii="Arial" w:cs="Arial" w:eastAsia="Arial" w:hAnsi="Arial"/>
                <w:sz w:val="11"/>
                <w:szCs w:val="11"/>
                <w:color w:val="auto"/>
              </w:rPr>
              <w:t>*</w:t>
            </w:r>
          </w:p>
        </w:tc>
        <w:tc>
          <w:tcPr>
            <w:tcW w:w="120" w:type="dxa"/>
            <w:vAlign w:val="bottom"/>
          </w:tcPr>
          <w:p>
            <w:pPr>
              <w:spacing w:after="0"/>
              <w:rPr>
                <w:sz w:val="10"/>
                <w:szCs w:val="10"/>
                <w:color w:val="auto"/>
              </w:rPr>
            </w:pPr>
          </w:p>
        </w:tc>
        <w:tc>
          <w:tcPr>
            <w:tcW w:w="520" w:type="dxa"/>
            <w:vAlign w:val="bottom"/>
            <w:gridSpan w:val="2"/>
          </w:tcPr>
          <w:p>
            <w:pPr>
              <w:jc w:val="right"/>
              <w:spacing w:after="0" w:line="124" w:lineRule="exact"/>
              <w:rPr>
                <w:sz w:val="20"/>
                <w:szCs w:val="20"/>
                <w:color w:val="auto"/>
              </w:rPr>
            </w:pPr>
            <w:r>
              <w:rPr>
                <w:rFonts w:ascii="Arial" w:cs="Arial" w:eastAsia="Arial" w:hAnsi="Arial"/>
                <w:sz w:val="11"/>
                <w:szCs w:val="11"/>
                <w:color w:val="auto"/>
              </w:rPr>
              <w:t>*</w:t>
            </w:r>
          </w:p>
        </w:tc>
        <w:tc>
          <w:tcPr>
            <w:tcW w:w="160" w:type="dxa"/>
            <w:vAlign w:val="bottom"/>
          </w:tcPr>
          <w:p>
            <w:pPr>
              <w:spacing w:after="0"/>
              <w:rPr>
                <w:sz w:val="10"/>
                <w:szCs w:val="10"/>
                <w:color w:val="auto"/>
              </w:rPr>
            </w:pPr>
          </w:p>
        </w:tc>
        <w:tc>
          <w:tcPr>
            <w:tcW w:w="540" w:type="dxa"/>
            <w:vAlign w:val="bottom"/>
            <w:gridSpan w:val="2"/>
          </w:tcPr>
          <w:p>
            <w:pPr>
              <w:ind w:left="300"/>
              <w:spacing w:after="0" w:line="124" w:lineRule="exact"/>
              <w:rPr>
                <w:sz w:val="20"/>
                <w:szCs w:val="20"/>
                <w:color w:val="auto"/>
              </w:rPr>
            </w:pPr>
            <w:r>
              <w:rPr>
                <w:rFonts w:ascii="Arial" w:cs="Arial" w:eastAsia="Arial" w:hAnsi="Arial"/>
                <w:sz w:val="11"/>
                <w:szCs w:val="11"/>
                <w:color w:val="auto"/>
              </w:rPr>
              <w:t>—</w:t>
            </w:r>
          </w:p>
        </w:tc>
        <w:tc>
          <w:tcPr>
            <w:tcW w:w="560" w:type="dxa"/>
            <w:vAlign w:val="bottom"/>
            <w:gridSpan w:val="2"/>
          </w:tcPr>
          <w:p>
            <w:pPr>
              <w:ind w:left="340"/>
              <w:spacing w:after="0" w:line="124" w:lineRule="exact"/>
              <w:rPr>
                <w:sz w:val="20"/>
                <w:szCs w:val="20"/>
                <w:color w:val="auto"/>
              </w:rPr>
            </w:pPr>
            <w:r>
              <w:rPr>
                <w:rFonts w:ascii="Arial" w:cs="Arial" w:eastAsia="Arial" w:hAnsi="Arial"/>
                <w:sz w:val="11"/>
                <w:szCs w:val="11"/>
                <w:color w:val="auto"/>
              </w:rPr>
              <w:t>—</w:t>
            </w:r>
          </w:p>
        </w:tc>
        <w:tc>
          <w:tcPr>
            <w:tcW w:w="240" w:type="dxa"/>
            <w:vAlign w:val="bottom"/>
          </w:tcPr>
          <w:p>
            <w:pPr>
              <w:jc w:val="right"/>
              <w:spacing w:after="0" w:line="124" w:lineRule="exact"/>
              <w:rPr>
                <w:sz w:val="20"/>
                <w:szCs w:val="20"/>
                <w:color w:val="auto"/>
              </w:rPr>
            </w:pPr>
            <w:r>
              <w:rPr>
                <w:rFonts w:ascii="Arial" w:cs="Arial" w:eastAsia="Arial" w:hAnsi="Arial"/>
                <w:sz w:val="11"/>
                <w:szCs w:val="11"/>
                <w:color w:val="auto"/>
              </w:rPr>
              <w:t>*</w:t>
            </w:r>
          </w:p>
        </w:tc>
        <w:tc>
          <w:tcPr>
            <w:tcW w:w="160" w:type="dxa"/>
            <w:vAlign w:val="bottom"/>
          </w:tcPr>
          <w:p>
            <w:pPr>
              <w:spacing w:after="0"/>
              <w:rPr>
                <w:sz w:val="10"/>
                <w:szCs w:val="10"/>
                <w:color w:val="auto"/>
              </w:rPr>
            </w:pPr>
          </w:p>
        </w:tc>
        <w:tc>
          <w:tcPr>
            <w:tcW w:w="560" w:type="dxa"/>
            <w:vAlign w:val="bottom"/>
          </w:tcPr>
          <w:p>
            <w:pPr>
              <w:jc w:val="right"/>
              <w:spacing w:after="0" w:line="124" w:lineRule="exact"/>
              <w:rPr>
                <w:sz w:val="20"/>
                <w:szCs w:val="20"/>
                <w:color w:val="auto"/>
              </w:rPr>
            </w:pPr>
            <w:r>
              <w:rPr>
                <w:rFonts w:ascii="Arial" w:cs="Arial" w:eastAsia="Arial" w:hAnsi="Arial"/>
                <w:sz w:val="11"/>
                <w:szCs w:val="11"/>
                <w:color w:val="auto"/>
              </w:rPr>
              <w:t>226,044</w:t>
            </w:r>
          </w:p>
        </w:tc>
        <w:tc>
          <w:tcPr>
            <w:tcW w:w="60" w:type="dxa"/>
            <w:vAlign w:val="bottom"/>
          </w:tcPr>
          <w:p>
            <w:pPr>
              <w:spacing w:after="0"/>
              <w:rPr>
                <w:sz w:val="10"/>
                <w:szCs w:val="10"/>
                <w:color w:val="auto"/>
              </w:rPr>
            </w:pPr>
          </w:p>
        </w:tc>
        <w:tc>
          <w:tcPr>
            <w:tcW w:w="220" w:type="dxa"/>
            <w:vAlign w:val="bottom"/>
          </w:tcPr>
          <w:p>
            <w:pPr>
              <w:jc w:val="right"/>
              <w:spacing w:after="0" w:line="124" w:lineRule="exact"/>
              <w:rPr>
                <w:sz w:val="20"/>
                <w:szCs w:val="20"/>
                <w:color w:val="auto"/>
              </w:rPr>
            </w:pPr>
            <w:r>
              <w:rPr>
                <w:rFonts w:ascii="Arial" w:cs="Arial" w:eastAsia="Arial" w:hAnsi="Arial"/>
                <w:sz w:val="11"/>
                <w:szCs w:val="11"/>
                <w:color w:val="auto"/>
              </w:rPr>
              <w:t>*</w:t>
            </w:r>
          </w:p>
        </w:tc>
        <w:tc>
          <w:tcPr>
            <w:tcW w:w="120" w:type="dxa"/>
            <w:vAlign w:val="bottom"/>
          </w:tcPr>
          <w:p>
            <w:pPr>
              <w:spacing w:after="0"/>
              <w:rPr>
                <w:sz w:val="10"/>
                <w:szCs w:val="10"/>
                <w:color w:val="auto"/>
              </w:rPr>
            </w:pPr>
          </w:p>
        </w:tc>
        <w:tc>
          <w:tcPr>
            <w:tcW w:w="540" w:type="dxa"/>
            <w:vAlign w:val="bottom"/>
            <w:gridSpan w:val="2"/>
          </w:tcPr>
          <w:p>
            <w:pPr>
              <w:jc w:val="right"/>
              <w:spacing w:after="0" w:line="124" w:lineRule="exact"/>
              <w:rPr>
                <w:sz w:val="20"/>
                <w:szCs w:val="20"/>
                <w:color w:val="auto"/>
              </w:rPr>
            </w:pPr>
            <w:r>
              <w:rPr>
                <w:rFonts w:ascii="Arial" w:cs="Arial" w:eastAsia="Arial" w:hAnsi="Arial"/>
                <w:sz w:val="11"/>
                <w:szCs w:val="11"/>
                <w:color w:val="auto"/>
              </w:rPr>
              <w:t>*</w:t>
            </w:r>
          </w:p>
        </w:tc>
        <w:tc>
          <w:tcPr>
            <w:tcW w:w="120" w:type="dxa"/>
            <w:vAlign w:val="bottom"/>
          </w:tcPr>
          <w:p>
            <w:pPr>
              <w:spacing w:after="0"/>
              <w:rPr>
                <w:sz w:val="10"/>
                <w:szCs w:val="10"/>
                <w:color w:val="auto"/>
              </w:rPr>
            </w:pPr>
          </w:p>
        </w:tc>
        <w:tc>
          <w:tcPr>
            <w:tcW w:w="500" w:type="dxa"/>
            <w:vAlign w:val="bottom"/>
            <w:gridSpan w:val="2"/>
          </w:tcPr>
          <w:p>
            <w:pPr>
              <w:jc w:val="right"/>
              <w:spacing w:after="0" w:line="124" w:lineRule="exact"/>
              <w:rPr>
                <w:sz w:val="20"/>
                <w:szCs w:val="20"/>
                <w:color w:val="auto"/>
              </w:rPr>
            </w:pPr>
            <w:r>
              <w:rPr>
                <w:rFonts w:ascii="Arial" w:cs="Arial" w:eastAsia="Arial" w:hAnsi="Arial"/>
                <w:sz w:val="11"/>
                <w:szCs w:val="11"/>
                <w:color w:val="auto"/>
              </w:rPr>
              <w:t>*</w:t>
            </w:r>
          </w:p>
        </w:tc>
        <w:tc>
          <w:tcPr>
            <w:tcW w:w="160" w:type="dxa"/>
            <w:vAlign w:val="bottom"/>
          </w:tcPr>
          <w:p>
            <w:pPr>
              <w:spacing w:after="0"/>
              <w:rPr>
                <w:sz w:val="10"/>
                <w:szCs w:val="10"/>
                <w:color w:val="auto"/>
              </w:rPr>
            </w:pPr>
          </w:p>
        </w:tc>
        <w:tc>
          <w:tcPr>
            <w:tcW w:w="580" w:type="dxa"/>
            <w:vAlign w:val="bottom"/>
            <w:gridSpan w:val="2"/>
          </w:tcPr>
          <w:p>
            <w:pPr>
              <w:ind w:left="340"/>
              <w:spacing w:after="0" w:line="124" w:lineRule="exact"/>
              <w:rPr>
                <w:sz w:val="20"/>
                <w:szCs w:val="20"/>
                <w:color w:val="auto"/>
              </w:rPr>
            </w:pPr>
            <w:r>
              <w:rPr>
                <w:rFonts w:ascii="Arial" w:cs="Arial" w:eastAsia="Arial" w:hAnsi="Arial"/>
                <w:sz w:val="11"/>
                <w:szCs w:val="11"/>
                <w:color w:val="auto"/>
              </w:rPr>
              <w:t>—</w:t>
            </w:r>
          </w:p>
        </w:tc>
        <w:tc>
          <w:tcPr>
            <w:tcW w:w="220" w:type="dxa"/>
            <w:vAlign w:val="bottom"/>
          </w:tcPr>
          <w:p>
            <w:pPr>
              <w:jc w:val="right"/>
              <w:spacing w:after="0" w:line="124" w:lineRule="exact"/>
              <w:rPr>
                <w:sz w:val="20"/>
                <w:szCs w:val="20"/>
                <w:color w:val="auto"/>
              </w:rPr>
            </w:pPr>
            <w:r>
              <w:rPr>
                <w:rFonts w:ascii="Arial" w:cs="Arial" w:eastAsia="Arial" w:hAnsi="Arial"/>
                <w:sz w:val="11"/>
                <w:szCs w:val="11"/>
                <w:color w:val="auto"/>
              </w:rPr>
              <w:t>*</w:t>
            </w:r>
          </w:p>
        </w:tc>
        <w:tc>
          <w:tcPr>
            <w:tcW w:w="160" w:type="dxa"/>
            <w:vAlign w:val="bottom"/>
          </w:tcPr>
          <w:p>
            <w:pPr>
              <w:spacing w:after="0"/>
              <w:rPr>
                <w:sz w:val="10"/>
                <w:szCs w:val="10"/>
                <w:color w:val="auto"/>
              </w:rPr>
            </w:pPr>
          </w:p>
        </w:tc>
        <w:tc>
          <w:tcPr>
            <w:tcW w:w="560" w:type="dxa"/>
            <w:vAlign w:val="bottom"/>
          </w:tcPr>
          <w:p>
            <w:pPr>
              <w:jc w:val="right"/>
              <w:spacing w:after="0" w:line="124" w:lineRule="exact"/>
              <w:rPr>
                <w:sz w:val="20"/>
                <w:szCs w:val="20"/>
                <w:color w:val="auto"/>
              </w:rPr>
            </w:pPr>
            <w:r>
              <w:rPr>
                <w:rFonts w:ascii="Arial" w:cs="Arial" w:eastAsia="Arial" w:hAnsi="Arial"/>
                <w:sz w:val="11"/>
                <w:szCs w:val="11"/>
                <w:color w:val="auto"/>
              </w:rPr>
              <w:t>226,044</w:t>
            </w:r>
          </w:p>
        </w:tc>
        <w:tc>
          <w:tcPr>
            <w:tcW w:w="80" w:type="dxa"/>
            <w:vAlign w:val="bottom"/>
          </w:tcPr>
          <w:p>
            <w:pPr>
              <w:spacing w:after="0"/>
              <w:rPr>
                <w:sz w:val="10"/>
                <w:szCs w:val="10"/>
                <w:color w:val="auto"/>
              </w:rPr>
            </w:pPr>
          </w:p>
        </w:tc>
        <w:tc>
          <w:tcPr>
            <w:tcW w:w="220" w:type="dxa"/>
            <w:vAlign w:val="bottom"/>
          </w:tcPr>
          <w:p>
            <w:pPr>
              <w:jc w:val="right"/>
              <w:spacing w:after="0" w:line="124" w:lineRule="exact"/>
              <w:rPr>
                <w:sz w:val="20"/>
                <w:szCs w:val="20"/>
                <w:color w:val="auto"/>
              </w:rPr>
            </w:pPr>
            <w:r>
              <w:rPr>
                <w:rFonts w:ascii="Arial" w:cs="Arial" w:eastAsia="Arial" w:hAnsi="Arial"/>
                <w:sz w:val="11"/>
                <w:szCs w:val="11"/>
                <w:color w:val="auto"/>
              </w:rPr>
              <w:t>*</w:t>
            </w: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1100" w:type="dxa"/>
            <w:vAlign w:val="bottom"/>
            <w:gridSpan w:val="2"/>
            <w:shd w:val="clear" w:color="auto" w:fill="CCEEFF"/>
          </w:tcPr>
          <w:p>
            <w:pPr>
              <w:spacing w:after="0" w:line="124" w:lineRule="exact"/>
              <w:rPr>
                <w:sz w:val="20"/>
                <w:szCs w:val="20"/>
                <w:color w:val="auto"/>
              </w:rPr>
            </w:pPr>
            <w:r>
              <w:rPr>
                <w:rFonts w:ascii="Arial" w:cs="Arial" w:eastAsia="Arial" w:hAnsi="Arial"/>
                <w:sz w:val="11"/>
                <w:szCs w:val="11"/>
                <w:color w:val="auto"/>
              </w:rPr>
              <w:t>Robert J. Mylod, Jr.</w:t>
            </w:r>
            <w:r>
              <w:rPr>
                <w:rFonts w:ascii="Arial" w:cs="Arial" w:eastAsia="Arial" w:hAnsi="Arial"/>
                <w:sz w:val="8"/>
                <w:szCs w:val="8"/>
                <w:color w:val="auto"/>
              </w:rPr>
              <w:t>(4)</w:t>
            </w:r>
          </w:p>
        </w:tc>
        <w:tc>
          <w:tcPr>
            <w:tcW w:w="500" w:type="dxa"/>
            <w:vAlign w:val="bottom"/>
            <w:shd w:val="clear" w:color="auto" w:fill="CCEEFF"/>
          </w:tcPr>
          <w:p>
            <w:pPr>
              <w:jc w:val="right"/>
              <w:spacing w:after="0" w:line="124" w:lineRule="exact"/>
              <w:rPr>
                <w:sz w:val="20"/>
                <w:szCs w:val="20"/>
                <w:color w:val="auto"/>
              </w:rPr>
            </w:pPr>
            <w:r>
              <w:rPr>
                <w:rFonts w:ascii="Arial" w:cs="Arial" w:eastAsia="Arial" w:hAnsi="Arial"/>
                <w:sz w:val="11"/>
                <w:szCs w:val="11"/>
                <w:color w:val="auto"/>
              </w:rPr>
              <w:t>122,698</w:t>
            </w:r>
          </w:p>
        </w:tc>
        <w:tc>
          <w:tcPr>
            <w:tcW w:w="60" w:type="dxa"/>
            <w:vAlign w:val="bottom"/>
            <w:shd w:val="clear" w:color="auto" w:fill="CCEEFF"/>
          </w:tcPr>
          <w:p>
            <w:pPr>
              <w:spacing w:after="0"/>
              <w:rPr>
                <w:sz w:val="10"/>
                <w:szCs w:val="10"/>
                <w:color w:val="auto"/>
              </w:rPr>
            </w:pPr>
          </w:p>
        </w:tc>
        <w:tc>
          <w:tcPr>
            <w:tcW w:w="240" w:type="dxa"/>
            <w:vAlign w:val="bottom"/>
            <w:shd w:val="clear" w:color="auto" w:fill="CCEEFF"/>
          </w:tcPr>
          <w:p>
            <w:pPr>
              <w:jc w:val="right"/>
              <w:spacing w:after="0" w:line="124" w:lineRule="exact"/>
              <w:rPr>
                <w:sz w:val="20"/>
                <w:szCs w:val="20"/>
                <w:color w:val="auto"/>
              </w:rPr>
            </w:pPr>
            <w:r>
              <w:rPr>
                <w:rFonts w:ascii="Arial" w:cs="Arial" w:eastAsia="Arial" w:hAnsi="Arial"/>
                <w:sz w:val="11"/>
                <w:szCs w:val="11"/>
                <w:color w:val="auto"/>
              </w:rPr>
              <w:t>*</w:t>
            </w:r>
          </w:p>
        </w:tc>
        <w:tc>
          <w:tcPr>
            <w:tcW w:w="160" w:type="dxa"/>
            <w:vAlign w:val="bottom"/>
            <w:shd w:val="clear" w:color="auto" w:fill="CCEEFF"/>
          </w:tcPr>
          <w:p>
            <w:pPr>
              <w:spacing w:after="0"/>
              <w:rPr>
                <w:sz w:val="10"/>
                <w:szCs w:val="10"/>
                <w:color w:val="auto"/>
              </w:rPr>
            </w:pPr>
          </w:p>
        </w:tc>
        <w:tc>
          <w:tcPr>
            <w:tcW w:w="560" w:type="dxa"/>
            <w:vAlign w:val="bottom"/>
            <w:shd w:val="clear" w:color="auto" w:fill="CCEEFF"/>
          </w:tcPr>
          <w:p>
            <w:pPr>
              <w:jc w:val="right"/>
              <w:spacing w:after="0" w:line="124" w:lineRule="exact"/>
              <w:rPr>
                <w:sz w:val="20"/>
                <w:szCs w:val="20"/>
                <w:color w:val="auto"/>
              </w:rPr>
            </w:pPr>
            <w:r>
              <w:rPr>
                <w:rFonts w:ascii="Arial" w:cs="Arial" w:eastAsia="Arial" w:hAnsi="Arial"/>
                <w:sz w:val="11"/>
                <w:szCs w:val="11"/>
                <w:color w:val="auto"/>
              </w:rPr>
              <w:t>24,433</w:t>
            </w:r>
          </w:p>
        </w:tc>
        <w:tc>
          <w:tcPr>
            <w:tcW w:w="60" w:type="dxa"/>
            <w:vAlign w:val="bottom"/>
            <w:shd w:val="clear" w:color="auto" w:fill="CCEEFF"/>
          </w:tcPr>
          <w:p>
            <w:pPr>
              <w:spacing w:after="0"/>
              <w:rPr>
                <w:sz w:val="10"/>
                <w:szCs w:val="10"/>
                <w:color w:val="auto"/>
              </w:rPr>
            </w:pPr>
          </w:p>
        </w:tc>
        <w:tc>
          <w:tcPr>
            <w:tcW w:w="220" w:type="dxa"/>
            <w:vAlign w:val="bottom"/>
            <w:shd w:val="clear" w:color="auto" w:fill="CCEEFF"/>
          </w:tcPr>
          <w:p>
            <w:pPr>
              <w:jc w:val="right"/>
              <w:spacing w:after="0" w:line="124" w:lineRule="exact"/>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0"/>
                <w:szCs w:val="10"/>
                <w:color w:val="auto"/>
              </w:rPr>
            </w:pPr>
          </w:p>
        </w:tc>
        <w:tc>
          <w:tcPr>
            <w:tcW w:w="540" w:type="dxa"/>
            <w:vAlign w:val="bottom"/>
            <w:gridSpan w:val="2"/>
            <w:shd w:val="clear" w:color="auto" w:fill="CCEEFF"/>
          </w:tcPr>
          <w:p>
            <w:pPr>
              <w:jc w:val="right"/>
              <w:spacing w:after="0" w:line="124" w:lineRule="exact"/>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0"/>
                <w:szCs w:val="10"/>
                <w:color w:val="auto"/>
              </w:rPr>
            </w:pPr>
          </w:p>
        </w:tc>
        <w:tc>
          <w:tcPr>
            <w:tcW w:w="520" w:type="dxa"/>
            <w:vAlign w:val="bottom"/>
            <w:gridSpan w:val="2"/>
            <w:shd w:val="clear" w:color="auto" w:fill="CCEEFF"/>
          </w:tcPr>
          <w:p>
            <w:pPr>
              <w:jc w:val="right"/>
              <w:spacing w:after="0" w:line="124" w:lineRule="exact"/>
              <w:rPr>
                <w:sz w:val="20"/>
                <w:szCs w:val="20"/>
                <w:color w:val="auto"/>
              </w:rPr>
            </w:pPr>
            <w:r>
              <w:rPr>
                <w:rFonts w:ascii="Arial" w:cs="Arial" w:eastAsia="Arial" w:hAnsi="Arial"/>
                <w:sz w:val="11"/>
                <w:szCs w:val="11"/>
                <w:color w:val="auto"/>
              </w:rPr>
              <w:t>*</w:t>
            </w:r>
          </w:p>
        </w:tc>
        <w:tc>
          <w:tcPr>
            <w:tcW w:w="160" w:type="dxa"/>
            <w:vAlign w:val="bottom"/>
            <w:shd w:val="clear" w:color="auto" w:fill="CCEEFF"/>
          </w:tcPr>
          <w:p>
            <w:pPr>
              <w:spacing w:after="0"/>
              <w:rPr>
                <w:sz w:val="10"/>
                <w:szCs w:val="10"/>
                <w:color w:val="auto"/>
              </w:rPr>
            </w:pPr>
          </w:p>
        </w:tc>
        <w:tc>
          <w:tcPr>
            <w:tcW w:w="540" w:type="dxa"/>
            <w:vAlign w:val="bottom"/>
            <w:gridSpan w:val="2"/>
            <w:shd w:val="clear" w:color="auto" w:fill="CCEEFF"/>
          </w:tcPr>
          <w:p>
            <w:pPr>
              <w:ind w:left="300"/>
              <w:spacing w:after="0" w:line="124" w:lineRule="exact"/>
              <w:rPr>
                <w:sz w:val="20"/>
                <w:szCs w:val="20"/>
                <w:color w:val="auto"/>
              </w:rPr>
            </w:pPr>
            <w:r>
              <w:rPr>
                <w:rFonts w:ascii="Arial" w:cs="Arial" w:eastAsia="Arial" w:hAnsi="Arial"/>
                <w:sz w:val="11"/>
                <w:szCs w:val="11"/>
                <w:color w:val="auto"/>
              </w:rPr>
              <w:t>—</w:t>
            </w:r>
          </w:p>
        </w:tc>
        <w:tc>
          <w:tcPr>
            <w:tcW w:w="500" w:type="dxa"/>
            <w:vAlign w:val="bottom"/>
            <w:shd w:val="clear" w:color="auto" w:fill="CCEEFF"/>
          </w:tcPr>
          <w:p>
            <w:pPr>
              <w:jc w:val="right"/>
              <w:spacing w:after="0" w:line="124" w:lineRule="exact"/>
              <w:rPr>
                <w:sz w:val="20"/>
                <w:szCs w:val="20"/>
                <w:color w:val="auto"/>
              </w:rPr>
            </w:pPr>
            <w:r>
              <w:rPr>
                <w:rFonts w:ascii="Arial" w:cs="Arial" w:eastAsia="Arial" w:hAnsi="Arial"/>
                <w:sz w:val="11"/>
                <w:szCs w:val="11"/>
                <w:color w:val="auto"/>
              </w:rPr>
              <w:t>122,698</w:t>
            </w:r>
          </w:p>
        </w:tc>
        <w:tc>
          <w:tcPr>
            <w:tcW w:w="60" w:type="dxa"/>
            <w:vAlign w:val="bottom"/>
            <w:shd w:val="clear" w:color="auto" w:fill="CCEEFF"/>
          </w:tcPr>
          <w:p>
            <w:pPr>
              <w:spacing w:after="0"/>
              <w:rPr>
                <w:sz w:val="10"/>
                <w:szCs w:val="10"/>
                <w:color w:val="auto"/>
              </w:rPr>
            </w:pPr>
          </w:p>
        </w:tc>
        <w:tc>
          <w:tcPr>
            <w:tcW w:w="240" w:type="dxa"/>
            <w:vAlign w:val="bottom"/>
            <w:shd w:val="clear" w:color="auto" w:fill="CCEEFF"/>
          </w:tcPr>
          <w:p>
            <w:pPr>
              <w:jc w:val="right"/>
              <w:spacing w:after="0" w:line="124" w:lineRule="exact"/>
              <w:rPr>
                <w:sz w:val="20"/>
                <w:szCs w:val="20"/>
                <w:color w:val="auto"/>
              </w:rPr>
            </w:pPr>
            <w:r>
              <w:rPr>
                <w:rFonts w:ascii="Arial" w:cs="Arial" w:eastAsia="Arial" w:hAnsi="Arial"/>
                <w:sz w:val="11"/>
                <w:szCs w:val="11"/>
                <w:color w:val="auto"/>
              </w:rPr>
              <w:t>*</w:t>
            </w:r>
          </w:p>
        </w:tc>
        <w:tc>
          <w:tcPr>
            <w:tcW w:w="160" w:type="dxa"/>
            <w:vAlign w:val="bottom"/>
            <w:shd w:val="clear" w:color="auto" w:fill="CCEEFF"/>
          </w:tcPr>
          <w:p>
            <w:pPr>
              <w:spacing w:after="0"/>
              <w:rPr>
                <w:sz w:val="10"/>
                <w:szCs w:val="10"/>
                <w:color w:val="auto"/>
              </w:rPr>
            </w:pPr>
          </w:p>
        </w:tc>
        <w:tc>
          <w:tcPr>
            <w:tcW w:w="560" w:type="dxa"/>
            <w:vAlign w:val="bottom"/>
            <w:shd w:val="clear" w:color="auto" w:fill="CCEEFF"/>
          </w:tcPr>
          <w:p>
            <w:pPr>
              <w:jc w:val="right"/>
              <w:spacing w:after="0" w:line="124" w:lineRule="exact"/>
              <w:rPr>
                <w:sz w:val="20"/>
                <w:szCs w:val="20"/>
                <w:color w:val="auto"/>
              </w:rPr>
            </w:pPr>
            <w:r>
              <w:rPr>
                <w:rFonts w:ascii="Arial" w:cs="Arial" w:eastAsia="Arial" w:hAnsi="Arial"/>
                <w:sz w:val="11"/>
                <w:szCs w:val="11"/>
                <w:color w:val="auto"/>
              </w:rPr>
              <w:t>24,433</w:t>
            </w:r>
          </w:p>
        </w:tc>
        <w:tc>
          <w:tcPr>
            <w:tcW w:w="60" w:type="dxa"/>
            <w:vAlign w:val="bottom"/>
            <w:shd w:val="clear" w:color="auto" w:fill="CCEEFF"/>
          </w:tcPr>
          <w:p>
            <w:pPr>
              <w:spacing w:after="0"/>
              <w:rPr>
                <w:sz w:val="10"/>
                <w:szCs w:val="10"/>
                <w:color w:val="auto"/>
              </w:rPr>
            </w:pPr>
          </w:p>
        </w:tc>
        <w:tc>
          <w:tcPr>
            <w:tcW w:w="220" w:type="dxa"/>
            <w:vAlign w:val="bottom"/>
            <w:shd w:val="clear" w:color="auto" w:fill="CCEEFF"/>
          </w:tcPr>
          <w:p>
            <w:pPr>
              <w:jc w:val="right"/>
              <w:spacing w:after="0" w:line="124" w:lineRule="exact"/>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0"/>
                <w:szCs w:val="10"/>
                <w:color w:val="auto"/>
              </w:rPr>
            </w:pPr>
          </w:p>
        </w:tc>
        <w:tc>
          <w:tcPr>
            <w:tcW w:w="540" w:type="dxa"/>
            <w:vAlign w:val="bottom"/>
            <w:gridSpan w:val="2"/>
            <w:shd w:val="clear" w:color="auto" w:fill="CCEEFF"/>
          </w:tcPr>
          <w:p>
            <w:pPr>
              <w:jc w:val="right"/>
              <w:spacing w:after="0" w:line="124" w:lineRule="exact"/>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0"/>
                <w:szCs w:val="10"/>
                <w:color w:val="auto"/>
              </w:rPr>
            </w:pPr>
          </w:p>
        </w:tc>
        <w:tc>
          <w:tcPr>
            <w:tcW w:w="500" w:type="dxa"/>
            <w:vAlign w:val="bottom"/>
            <w:gridSpan w:val="2"/>
            <w:shd w:val="clear" w:color="auto" w:fill="CCEEFF"/>
          </w:tcPr>
          <w:p>
            <w:pPr>
              <w:jc w:val="right"/>
              <w:spacing w:after="0" w:line="124" w:lineRule="exact"/>
              <w:rPr>
                <w:sz w:val="20"/>
                <w:szCs w:val="20"/>
                <w:color w:val="auto"/>
              </w:rPr>
            </w:pPr>
            <w:r>
              <w:rPr>
                <w:rFonts w:ascii="Arial" w:cs="Arial" w:eastAsia="Arial" w:hAnsi="Arial"/>
                <w:sz w:val="11"/>
                <w:szCs w:val="11"/>
                <w:color w:val="auto"/>
              </w:rPr>
              <w:t>*</w:t>
            </w:r>
          </w:p>
        </w:tc>
        <w:tc>
          <w:tcPr>
            <w:tcW w:w="160" w:type="dxa"/>
            <w:vAlign w:val="bottom"/>
            <w:shd w:val="clear" w:color="auto" w:fill="CCEEFF"/>
          </w:tcPr>
          <w:p>
            <w:pPr>
              <w:spacing w:after="0"/>
              <w:rPr>
                <w:sz w:val="10"/>
                <w:szCs w:val="10"/>
                <w:color w:val="auto"/>
              </w:rPr>
            </w:pPr>
          </w:p>
        </w:tc>
        <w:tc>
          <w:tcPr>
            <w:tcW w:w="500" w:type="dxa"/>
            <w:vAlign w:val="bottom"/>
            <w:shd w:val="clear" w:color="auto" w:fill="CCEEFF"/>
          </w:tcPr>
          <w:p>
            <w:pPr>
              <w:jc w:val="right"/>
              <w:spacing w:after="0" w:line="124" w:lineRule="exact"/>
              <w:rPr>
                <w:sz w:val="20"/>
                <w:szCs w:val="20"/>
                <w:color w:val="auto"/>
              </w:rPr>
            </w:pPr>
            <w:r>
              <w:rPr>
                <w:rFonts w:ascii="Arial" w:cs="Arial" w:eastAsia="Arial" w:hAnsi="Arial"/>
                <w:sz w:val="11"/>
                <w:szCs w:val="11"/>
                <w:color w:val="auto"/>
              </w:rPr>
              <w:t>122,698</w:t>
            </w:r>
          </w:p>
        </w:tc>
        <w:tc>
          <w:tcPr>
            <w:tcW w:w="80" w:type="dxa"/>
            <w:vAlign w:val="bottom"/>
            <w:shd w:val="clear" w:color="auto" w:fill="CCEEFF"/>
          </w:tcPr>
          <w:p>
            <w:pPr>
              <w:spacing w:after="0"/>
              <w:rPr>
                <w:sz w:val="10"/>
                <w:szCs w:val="10"/>
                <w:color w:val="auto"/>
              </w:rPr>
            </w:pPr>
          </w:p>
        </w:tc>
        <w:tc>
          <w:tcPr>
            <w:tcW w:w="220" w:type="dxa"/>
            <w:vAlign w:val="bottom"/>
            <w:shd w:val="clear" w:color="auto" w:fill="CCEEFF"/>
          </w:tcPr>
          <w:p>
            <w:pPr>
              <w:jc w:val="right"/>
              <w:spacing w:after="0" w:line="124" w:lineRule="exact"/>
              <w:rPr>
                <w:sz w:val="20"/>
                <w:szCs w:val="20"/>
                <w:color w:val="auto"/>
              </w:rPr>
            </w:pPr>
            <w:r>
              <w:rPr>
                <w:rFonts w:ascii="Arial" w:cs="Arial" w:eastAsia="Arial" w:hAnsi="Arial"/>
                <w:sz w:val="11"/>
                <w:szCs w:val="11"/>
                <w:color w:val="auto"/>
              </w:rPr>
              <w:t>*</w:t>
            </w:r>
          </w:p>
        </w:tc>
        <w:tc>
          <w:tcPr>
            <w:tcW w:w="160" w:type="dxa"/>
            <w:vAlign w:val="bottom"/>
            <w:shd w:val="clear" w:color="auto" w:fill="CCEEFF"/>
          </w:tcPr>
          <w:p>
            <w:pPr>
              <w:spacing w:after="0"/>
              <w:rPr>
                <w:sz w:val="10"/>
                <w:szCs w:val="10"/>
                <w:color w:val="auto"/>
              </w:rPr>
            </w:pPr>
          </w:p>
        </w:tc>
        <w:tc>
          <w:tcPr>
            <w:tcW w:w="560" w:type="dxa"/>
            <w:vAlign w:val="bottom"/>
            <w:shd w:val="clear" w:color="auto" w:fill="CCEEFF"/>
          </w:tcPr>
          <w:p>
            <w:pPr>
              <w:jc w:val="right"/>
              <w:spacing w:after="0" w:line="124" w:lineRule="exact"/>
              <w:rPr>
                <w:sz w:val="20"/>
                <w:szCs w:val="20"/>
                <w:color w:val="auto"/>
              </w:rPr>
            </w:pPr>
            <w:r>
              <w:rPr>
                <w:rFonts w:ascii="Arial" w:cs="Arial" w:eastAsia="Arial" w:hAnsi="Arial"/>
                <w:sz w:val="11"/>
                <w:szCs w:val="11"/>
                <w:color w:val="auto"/>
              </w:rPr>
              <w:t>24,433</w:t>
            </w:r>
          </w:p>
        </w:tc>
        <w:tc>
          <w:tcPr>
            <w:tcW w:w="80" w:type="dxa"/>
            <w:vAlign w:val="bottom"/>
            <w:shd w:val="clear" w:color="auto" w:fill="CCEEFF"/>
          </w:tcPr>
          <w:p>
            <w:pPr>
              <w:spacing w:after="0"/>
              <w:rPr>
                <w:sz w:val="10"/>
                <w:szCs w:val="10"/>
                <w:color w:val="auto"/>
              </w:rPr>
            </w:pPr>
          </w:p>
        </w:tc>
        <w:tc>
          <w:tcPr>
            <w:tcW w:w="220" w:type="dxa"/>
            <w:vAlign w:val="bottom"/>
            <w:shd w:val="clear" w:color="auto" w:fill="CCEEFF"/>
          </w:tcPr>
          <w:p>
            <w:pPr>
              <w:jc w:val="right"/>
              <w:spacing w:after="0" w:line="124" w:lineRule="exact"/>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1100" w:type="dxa"/>
            <w:vAlign w:val="bottom"/>
            <w:gridSpan w:val="2"/>
          </w:tcPr>
          <w:p>
            <w:pPr>
              <w:spacing w:after="0" w:line="124" w:lineRule="exact"/>
              <w:rPr>
                <w:sz w:val="20"/>
                <w:szCs w:val="20"/>
                <w:color w:val="auto"/>
              </w:rPr>
            </w:pPr>
            <w:r>
              <w:rPr>
                <w:rFonts w:ascii="Arial" w:cs="Arial" w:eastAsia="Arial" w:hAnsi="Arial"/>
                <w:sz w:val="11"/>
                <w:szCs w:val="11"/>
                <w:color w:val="auto"/>
              </w:rPr>
              <w:t>Condoleezza Rice</w:t>
            </w:r>
            <w:r>
              <w:rPr>
                <w:rFonts w:ascii="Arial" w:cs="Arial" w:eastAsia="Arial" w:hAnsi="Arial"/>
                <w:sz w:val="8"/>
                <w:szCs w:val="8"/>
                <w:color w:val="auto"/>
              </w:rPr>
              <w:t>(5)</w:t>
            </w:r>
          </w:p>
        </w:tc>
        <w:tc>
          <w:tcPr>
            <w:tcW w:w="560" w:type="dxa"/>
            <w:vAlign w:val="bottom"/>
            <w:gridSpan w:val="2"/>
          </w:tcPr>
          <w:p>
            <w:pPr>
              <w:ind w:left="340"/>
              <w:spacing w:after="0" w:line="124" w:lineRule="exact"/>
              <w:rPr>
                <w:sz w:val="20"/>
                <w:szCs w:val="20"/>
                <w:color w:val="auto"/>
              </w:rPr>
            </w:pPr>
            <w:r>
              <w:rPr>
                <w:rFonts w:ascii="Arial" w:cs="Arial" w:eastAsia="Arial" w:hAnsi="Arial"/>
                <w:sz w:val="11"/>
                <w:szCs w:val="11"/>
                <w:color w:val="auto"/>
              </w:rPr>
              <w:t>—</w:t>
            </w:r>
          </w:p>
        </w:tc>
        <w:tc>
          <w:tcPr>
            <w:tcW w:w="240" w:type="dxa"/>
            <w:vAlign w:val="bottom"/>
          </w:tcPr>
          <w:p>
            <w:pPr>
              <w:jc w:val="right"/>
              <w:spacing w:after="0" w:line="124" w:lineRule="exact"/>
              <w:rPr>
                <w:sz w:val="20"/>
                <w:szCs w:val="20"/>
                <w:color w:val="auto"/>
              </w:rPr>
            </w:pPr>
            <w:r>
              <w:rPr>
                <w:rFonts w:ascii="Arial" w:cs="Arial" w:eastAsia="Arial" w:hAnsi="Arial"/>
                <w:sz w:val="11"/>
                <w:szCs w:val="11"/>
                <w:color w:val="auto"/>
              </w:rPr>
              <w:t>*</w:t>
            </w:r>
          </w:p>
        </w:tc>
        <w:tc>
          <w:tcPr>
            <w:tcW w:w="160" w:type="dxa"/>
            <w:vAlign w:val="bottom"/>
          </w:tcPr>
          <w:p>
            <w:pPr>
              <w:spacing w:after="0"/>
              <w:rPr>
                <w:sz w:val="10"/>
                <w:szCs w:val="10"/>
                <w:color w:val="auto"/>
              </w:rPr>
            </w:pPr>
          </w:p>
        </w:tc>
        <w:tc>
          <w:tcPr>
            <w:tcW w:w="560" w:type="dxa"/>
            <w:vAlign w:val="bottom"/>
          </w:tcPr>
          <w:p>
            <w:pPr>
              <w:jc w:val="right"/>
              <w:spacing w:after="0" w:line="124" w:lineRule="exact"/>
              <w:rPr>
                <w:sz w:val="20"/>
                <w:szCs w:val="20"/>
                <w:color w:val="auto"/>
              </w:rPr>
            </w:pPr>
            <w:r>
              <w:rPr>
                <w:rFonts w:ascii="Arial" w:cs="Arial" w:eastAsia="Arial" w:hAnsi="Arial"/>
                <w:sz w:val="11"/>
                <w:szCs w:val="11"/>
                <w:color w:val="auto"/>
              </w:rPr>
              <w:t>24,433</w:t>
            </w:r>
          </w:p>
        </w:tc>
        <w:tc>
          <w:tcPr>
            <w:tcW w:w="60" w:type="dxa"/>
            <w:vAlign w:val="bottom"/>
          </w:tcPr>
          <w:p>
            <w:pPr>
              <w:spacing w:after="0"/>
              <w:rPr>
                <w:sz w:val="10"/>
                <w:szCs w:val="10"/>
                <w:color w:val="auto"/>
              </w:rPr>
            </w:pPr>
          </w:p>
        </w:tc>
        <w:tc>
          <w:tcPr>
            <w:tcW w:w="220" w:type="dxa"/>
            <w:vAlign w:val="bottom"/>
          </w:tcPr>
          <w:p>
            <w:pPr>
              <w:jc w:val="right"/>
              <w:spacing w:after="0" w:line="124" w:lineRule="exact"/>
              <w:rPr>
                <w:sz w:val="20"/>
                <w:szCs w:val="20"/>
                <w:color w:val="auto"/>
              </w:rPr>
            </w:pPr>
            <w:r>
              <w:rPr>
                <w:rFonts w:ascii="Arial" w:cs="Arial" w:eastAsia="Arial" w:hAnsi="Arial"/>
                <w:sz w:val="11"/>
                <w:szCs w:val="11"/>
                <w:color w:val="auto"/>
              </w:rPr>
              <w:t>*</w:t>
            </w:r>
          </w:p>
        </w:tc>
        <w:tc>
          <w:tcPr>
            <w:tcW w:w="120" w:type="dxa"/>
            <w:vAlign w:val="bottom"/>
          </w:tcPr>
          <w:p>
            <w:pPr>
              <w:spacing w:after="0"/>
              <w:rPr>
                <w:sz w:val="10"/>
                <w:szCs w:val="10"/>
                <w:color w:val="auto"/>
              </w:rPr>
            </w:pPr>
          </w:p>
        </w:tc>
        <w:tc>
          <w:tcPr>
            <w:tcW w:w="540" w:type="dxa"/>
            <w:vAlign w:val="bottom"/>
            <w:gridSpan w:val="2"/>
          </w:tcPr>
          <w:p>
            <w:pPr>
              <w:jc w:val="right"/>
              <w:spacing w:after="0" w:line="124" w:lineRule="exact"/>
              <w:rPr>
                <w:sz w:val="20"/>
                <w:szCs w:val="20"/>
                <w:color w:val="auto"/>
              </w:rPr>
            </w:pPr>
            <w:r>
              <w:rPr>
                <w:rFonts w:ascii="Arial" w:cs="Arial" w:eastAsia="Arial" w:hAnsi="Arial"/>
                <w:sz w:val="11"/>
                <w:szCs w:val="11"/>
                <w:color w:val="auto"/>
              </w:rPr>
              <w:t>*</w:t>
            </w:r>
          </w:p>
        </w:tc>
        <w:tc>
          <w:tcPr>
            <w:tcW w:w="120" w:type="dxa"/>
            <w:vAlign w:val="bottom"/>
          </w:tcPr>
          <w:p>
            <w:pPr>
              <w:spacing w:after="0"/>
              <w:rPr>
                <w:sz w:val="10"/>
                <w:szCs w:val="10"/>
                <w:color w:val="auto"/>
              </w:rPr>
            </w:pPr>
          </w:p>
        </w:tc>
        <w:tc>
          <w:tcPr>
            <w:tcW w:w="520" w:type="dxa"/>
            <w:vAlign w:val="bottom"/>
            <w:gridSpan w:val="2"/>
          </w:tcPr>
          <w:p>
            <w:pPr>
              <w:jc w:val="right"/>
              <w:spacing w:after="0" w:line="124" w:lineRule="exact"/>
              <w:rPr>
                <w:sz w:val="20"/>
                <w:szCs w:val="20"/>
                <w:color w:val="auto"/>
              </w:rPr>
            </w:pPr>
            <w:r>
              <w:rPr>
                <w:rFonts w:ascii="Arial" w:cs="Arial" w:eastAsia="Arial" w:hAnsi="Arial"/>
                <w:sz w:val="11"/>
                <w:szCs w:val="11"/>
                <w:color w:val="auto"/>
              </w:rPr>
              <w:t>*</w:t>
            </w:r>
          </w:p>
        </w:tc>
        <w:tc>
          <w:tcPr>
            <w:tcW w:w="160" w:type="dxa"/>
            <w:vAlign w:val="bottom"/>
          </w:tcPr>
          <w:p>
            <w:pPr>
              <w:spacing w:after="0"/>
              <w:rPr>
                <w:sz w:val="10"/>
                <w:szCs w:val="10"/>
                <w:color w:val="auto"/>
              </w:rPr>
            </w:pPr>
          </w:p>
        </w:tc>
        <w:tc>
          <w:tcPr>
            <w:tcW w:w="540" w:type="dxa"/>
            <w:vAlign w:val="bottom"/>
            <w:gridSpan w:val="2"/>
          </w:tcPr>
          <w:p>
            <w:pPr>
              <w:ind w:left="300"/>
              <w:spacing w:after="0" w:line="124" w:lineRule="exact"/>
              <w:rPr>
                <w:sz w:val="20"/>
                <w:szCs w:val="20"/>
                <w:color w:val="auto"/>
              </w:rPr>
            </w:pPr>
            <w:r>
              <w:rPr>
                <w:rFonts w:ascii="Arial" w:cs="Arial" w:eastAsia="Arial" w:hAnsi="Arial"/>
                <w:sz w:val="11"/>
                <w:szCs w:val="11"/>
                <w:color w:val="auto"/>
              </w:rPr>
              <w:t>—</w:t>
            </w:r>
          </w:p>
        </w:tc>
        <w:tc>
          <w:tcPr>
            <w:tcW w:w="560" w:type="dxa"/>
            <w:vAlign w:val="bottom"/>
            <w:gridSpan w:val="2"/>
          </w:tcPr>
          <w:p>
            <w:pPr>
              <w:ind w:left="340"/>
              <w:spacing w:after="0" w:line="124" w:lineRule="exact"/>
              <w:rPr>
                <w:sz w:val="20"/>
                <w:szCs w:val="20"/>
                <w:color w:val="auto"/>
              </w:rPr>
            </w:pPr>
            <w:r>
              <w:rPr>
                <w:rFonts w:ascii="Arial" w:cs="Arial" w:eastAsia="Arial" w:hAnsi="Arial"/>
                <w:sz w:val="11"/>
                <w:szCs w:val="11"/>
                <w:color w:val="auto"/>
              </w:rPr>
              <w:t>—</w:t>
            </w:r>
          </w:p>
        </w:tc>
        <w:tc>
          <w:tcPr>
            <w:tcW w:w="240" w:type="dxa"/>
            <w:vAlign w:val="bottom"/>
          </w:tcPr>
          <w:p>
            <w:pPr>
              <w:jc w:val="right"/>
              <w:spacing w:after="0" w:line="124" w:lineRule="exact"/>
              <w:rPr>
                <w:sz w:val="20"/>
                <w:szCs w:val="20"/>
                <w:color w:val="auto"/>
              </w:rPr>
            </w:pPr>
            <w:r>
              <w:rPr>
                <w:rFonts w:ascii="Arial" w:cs="Arial" w:eastAsia="Arial" w:hAnsi="Arial"/>
                <w:sz w:val="11"/>
                <w:szCs w:val="11"/>
                <w:color w:val="auto"/>
              </w:rPr>
              <w:t>*</w:t>
            </w:r>
          </w:p>
        </w:tc>
        <w:tc>
          <w:tcPr>
            <w:tcW w:w="160" w:type="dxa"/>
            <w:vAlign w:val="bottom"/>
          </w:tcPr>
          <w:p>
            <w:pPr>
              <w:spacing w:after="0"/>
              <w:rPr>
                <w:sz w:val="10"/>
                <w:szCs w:val="10"/>
                <w:color w:val="auto"/>
              </w:rPr>
            </w:pPr>
          </w:p>
        </w:tc>
        <w:tc>
          <w:tcPr>
            <w:tcW w:w="560" w:type="dxa"/>
            <w:vAlign w:val="bottom"/>
          </w:tcPr>
          <w:p>
            <w:pPr>
              <w:jc w:val="right"/>
              <w:spacing w:after="0" w:line="124" w:lineRule="exact"/>
              <w:rPr>
                <w:sz w:val="20"/>
                <w:szCs w:val="20"/>
                <w:color w:val="auto"/>
              </w:rPr>
            </w:pPr>
            <w:r>
              <w:rPr>
                <w:rFonts w:ascii="Arial" w:cs="Arial" w:eastAsia="Arial" w:hAnsi="Arial"/>
                <w:sz w:val="11"/>
                <w:szCs w:val="11"/>
                <w:color w:val="auto"/>
              </w:rPr>
              <w:t>24,433</w:t>
            </w:r>
          </w:p>
        </w:tc>
        <w:tc>
          <w:tcPr>
            <w:tcW w:w="60" w:type="dxa"/>
            <w:vAlign w:val="bottom"/>
          </w:tcPr>
          <w:p>
            <w:pPr>
              <w:spacing w:after="0"/>
              <w:rPr>
                <w:sz w:val="10"/>
                <w:szCs w:val="10"/>
                <w:color w:val="auto"/>
              </w:rPr>
            </w:pPr>
          </w:p>
        </w:tc>
        <w:tc>
          <w:tcPr>
            <w:tcW w:w="220" w:type="dxa"/>
            <w:vAlign w:val="bottom"/>
          </w:tcPr>
          <w:p>
            <w:pPr>
              <w:jc w:val="right"/>
              <w:spacing w:after="0" w:line="124" w:lineRule="exact"/>
              <w:rPr>
                <w:sz w:val="20"/>
                <w:szCs w:val="20"/>
                <w:color w:val="auto"/>
              </w:rPr>
            </w:pPr>
            <w:r>
              <w:rPr>
                <w:rFonts w:ascii="Arial" w:cs="Arial" w:eastAsia="Arial" w:hAnsi="Arial"/>
                <w:sz w:val="11"/>
                <w:szCs w:val="11"/>
                <w:color w:val="auto"/>
              </w:rPr>
              <w:t>*</w:t>
            </w:r>
          </w:p>
        </w:tc>
        <w:tc>
          <w:tcPr>
            <w:tcW w:w="120" w:type="dxa"/>
            <w:vAlign w:val="bottom"/>
          </w:tcPr>
          <w:p>
            <w:pPr>
              <w:spacing w:after="0"/>
              <w:rPr>
                <w:sz w:val="10"/>
                <w:szCs w:val="10"/>
                <w:color w:val="auto"/>
              </w:rPr>
            </w:pPr>
          </w:p>
        </w:tc>
        <w:tc>
          <w:tcPr>
            <w:tcW w:w="540" w:type="dxa"/>
            <w:vAlign w:val="bottom"/>
            <w:gridSpan w:val="2"/>
          </w:tcPr>
          <w:p>
            <w:pPr>
              <w:jc w:val="right"/>
              <w:spacing w:after="0" w:line="124" w:lineRule="exact"/>
              <w:rPr>
                <w:sz w:val="20"/>
                <w:szCs w:val="20"/>
                <w:color w:val="auto"/>
              </w:rPr>
            </w:pPr>
            <w:r>
              <w:rPr>
                <w:rFonts w:ascii="Arial" w:cs="Arial" w:eastAsia="Arial" w:hAnsi="Arial"/>
                <w:sz w:val="11"/>
                <w:szCs w:val="11"/>
                <w:color w:val="auto"/>
              </w:rPr>
              <w:t>*</w:t>
            </w:r>
          </w:p>
        </w:tc>
        <w:tc>
          <w:tcPr>
            <w:tcW w:w="120" w:type="dxa"/>
            <w:vAlign w:val="bottom"/>
          </w:tcPr>
          <w:p>
            <w:pPr>
              <w:spacing w:after="0"/>
              <w:rPr>
                <w:sz w:val="10"/>
                <w:szCs w:val="10"/>
                <w:color w:val="auto"/>
              </w:rPr>
            </w:pPr>
          </w:p>
        </w:tc>
        <w:tc>
          <w:tcPr>
            <w:tcW w:w="500" w:type="dxa"/>
            <w:vAlign w:val="bottom"/>
            <w:gridSpan w:val="2"/>
          </w:tcPr>
          <w:p>
            <w:pPr>
              <w:jc w:val="right"/>
              <w:spacing w:after="0" w:line="124" w:lineRule="exact"/>
              <w:rPr>
                <w:sz w:val="20"/>
                <w:szCs w:val="20"/>
                <w:color w:val="auto"/>
              </w:rPr>
            </w:pPr>
            <w:r>
              <w:rPr>
                <w:rFonts w:ascii="Arial" w:cs="Arial" w:eastAsia="Arial" w:hAnsi="Arial"/>
                <w:sz w:val="11"/>
                <w:szCs w:val="11"/>
                <w:color w:val="auto"/>
              </w:rPr>
              <w:t>*</w:t>
            </w:r>
          </w:p>
        </w:tc>
        <w:tc>
          <w:tcPr>
            <w:tcW w:w="160" w:type="dxa"/>
            <w:vAlign w:val="bottom"/>
          </w:tcPr>
          <w:p>
            <w:pPr>
              <w:spacing w:after="0"/>
              <w:rPr>
                <w:sz w:val="10"/>
                <w:szCs w:val="10"/>
                <w:color w:val="auto"/>
              </w:rPr>
            </w:pPr>
          </w:p>
        </w:tc>
        <w:tc>
          <w:tcPr>
            <w:tcW w:w="580" w:type="dxa"/>
            <w:vAlign w:val="bottom"/>
            <w:gridSpan w:val="2"/>
          </w:tcPr>
          <w:p>
            <w:pPr>
              <w:ind w:left="340"/>
              <w:spacing w:after="0" w:line="124" w:lineRule="exact"/>
              <w:rPr>
                <w:sz w:val="20"/>
                <w:szCs w:val="20"/>
                <w:color w:val="auto"/>
              </w:rPr>
            </w:pPr>
            <w:r>
              <w:rPr>
                <w:rFonts w:ascii="Arial" w:cs="Arial" w:eastAsia="Arial" w:hAnsi="Arial"/>
                <w:sz w:val="11"/>
                <w:szCs w:val="11"/>
                <w:color w:val="auto"/>
              </w:rPr>
              <w:t>—</w:t>
            </w:r>
          </w:p>
        </w:tc>
        <w:tc>
          <w:tcPr>
            <w:tcW w:w="220" w:type="dxa"/>
            <w:vAlign w:val="bottom"/>
          </w:tcPr>
          <w:p>
            <w:pPr>
              <w:jc w:val="right"/>
              <w:spacing w:after="0" w:line="124" w:lineRule="exact"/>
              <w:rPr>
                <w:sz w:val="20"/>
                <w:szCs w:val="20"/>
                <w:color w:val="auto"/>
              </w:rPr>
            </w:pPr>
            <w:r>
              <w:rPr>
                <w:rFonts w:ascii="Arial" w:cs="Arial" w:eastAsia="Arial" w:hAnsi="Arial"/>
                <w:sz w:val="11"/>
                <w:szCs w:val="11"/>
                <w:color w:val="auto"/>
              </w:rPr>
              <w:t>*</w:t>
            </w:r>
          </w:p>
        </w:tc>
        <w:tc>
          <w:tcPr>
            <w:tcW w:w="160" w:type="dxa"/>
            <w:vAlign w:val="bottom"/>
          </w:tcPr>
          <w:p>
            <w:pPr>
              <w:spacing w:after="0"/>
              <w:rPr>
                <w:sz w:val="10"/>
                <w:szCs w:val="10"/>
                <w:color w:val="auto"/>
              </w:rPr>
            </w:pPr>
          </w:p>
        </w:tc>
        <w:tc>
          <w:tcPr>
            <w:tcW w:w="560" w:type="dxa"/>
            <w:vAlign w:val="bottom"/>
          </w:tcPr>
          <w:p>
            <w:pPr>
              <w:jc w:val="right"/>
              <w:spacing w:after="0" w:line="124" w:lineRule="exact"/>
              <w:rPr>
                <w:sz w:val="20"/>
                <w:szCs w:val="20"/>
                <w:color w:val="auto"/>
              </w:rPr>
            </w:pPr>
            <w:r>
              <w:rPr>
                <w:rFonts w:ascii="Arial" w:cs="Arial" w:eastAsia="Arial" w:hAnsi="Arial"/>
                <w:sz w:val="11"/>
                <w:szCs w:val="11"/>
                <w:color w:val="auto"/>
              </w:rPr>
              <w:t>24,433</w:t>
            </w:r>
          </w:p>
        </w:tc>
        <w:tc>
          <w:tcPr>
            <w:tcW w:w="80" w:type="dxa"/>
            <w:vAlign w:val="bottom"/>
          </w:tcPr>
          <w:p>
            <w:pPr>
              <w:spacing w:after="0"/>
              <w:rPr>
                <w:sz w:val="10"/>
                <w:szCs w:val="10"/>
                <w:color w:val="auto"/>
              </w:rPr>
            </w:pPr>
          </w:p>
        </w:tc>
        <w:tc>
          <w:tcPr>
            <w:tcW w:w="220" w:type="dxa"/>
            <w:vAlign w:val="bottom"/>
          </w:tcPr>
          <w:p>
            <w:pPr>
              <w:jc w:val="right"/>
              <w:spacing w:after="0" w:line="124" w:lineRule="exact"/>
              <w:rPr>
                <w:sz w:val="20"/>
                <w:szCs w:val="20"/>
                <w:color w:val="auto"/>
              </w:rPr>
            </w:pPr>
            <w:r>
              <w:rPr>
                <w:rFonts w:ascii="Arial" w:cs="Arial" w:eastAsia="Arial" w:hAnsi="Arial"/>
                <w:sz w:val="11"/>
                <w:szCs w:val="11"/>
                <w:color w:val="auto"/>
              </w:rPr>
              <w:t>*</w:t>
            </w: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1100" w:type="dxa"/>
            <w:vAlign w:val="bottom"/>
            <w:gridSpan w:val="2"/>
            <w:shd w:val="clear" w:color="auto" w:fill="CCEEFF"/>
          </w:tcPr>
          <w:p>
            <w:pPr>
              <w:spacing w:after="0" w:line="124" w:lineRule="exact"/>
              <w:rPr>
                <w:sz w:val="20"/>
                <w:szCs w:val="20"/>
                <w:color w:val="auto"/>
              </w:rPr>
            </w:pPr>
            <w:r>
              <w:rPr>
                <w:rFonts w:ascii="Arial" w:cs="Arial" w:eastAsia="Arial" w:hAnsi="Arial"/>
                <w:sz w:val="11"/>
                <w:szCs w:val="11"/>
                <w:color w:val="auto"/>
              </w:rPr>
              <w:t>R. Bryan Schreier</w:t>
            </w:r>
            <w:r>
              <w:rPr>
                <w:rFonts w:ascii="Arial" w:cs="Arial" w:eastAsia="Arial" w:hAnsi="Arial"/>
                <w:sz w:val="8"/>
                <w:szCs w:val="8"/>
                <w:color w:val="auto"/>
              </w:rPr>
              <w:t>(6)</w:t>
            </w:r>
          </w:p>
        </w:tc>
        <w:tc>
          <w:tcPr>
            <w:tcW w:w="560" w:type="dxa"/>
            <w:vAlign w:val="bottom"/>
            <w:gridSpan w:val="2"/>
            <w:shd w:val="clear" w:color="auto" w:fill="CCEEFF"/>
          </w:tcPr>
          <w:p>
            <w:pPr>
              <w:ind w:left="340"/>
              <w:spacing w:after="0" w:line="124" w:lineRule="exact"/>
              <w:rPr>
                <w:sz w:val="20"/>
                <w:szCs w:val="20"/>
                <w:color w:val="auto"/>
              </w:rPr>
            </w:pPr>
            <w:r>
              <w:rPr>
                <w:rFonts w:ascii="Arial" w:cs="Arial" w:eastAsia="Arial" w:hAnsi="Arial"/>
                <w:sz w:val="11"/>
                <w:szCs w:val="11"/>
                <w:color w:val="auto"/>
              </w:rPr>
              <w:t>—</w:t>
            </w:r>
          </w:p>
        </w:tc>
        <w:tc>
          <w:tcPr>
            <w:tcW w:w="240" w:type="dxa"/>
            <w:vAlign w:val="bottom"/>
            <w:shd w:val="clear" w:color="auto" w:fill="CCEEFF"/>
          </w:tcPr>
          <w:p>
            <w:pPr>
              <w:jc w:val="right"/>
              <w:spacing w:after="0" w:line="124" w:lineRule="exact"/>
              <w:rPr>
                <w:sz w:val="20"/>
                <w:szCs w:val="20"/>
                <w:color w:val="auto"/>
              </w:rPr>
            </w:pPr>
            <w:r>
              <w:rPr>
                <w:rFonts w:ascii="Arial" w:cs="Arial" w:eastAsia="Arial" w:hAnsi="Arial"/>
                <w:sz w:val="11"/>
                <w:szCs w:val="11"/>
                <w:color w:val="auto"/>
              </w:rPr>
              <w:t>*</w:t>
            </w:r>
          </w:p>
        </w:tc>
        <w:tc>
          <w:tcPr>
            <w:tcW w:w="160" w:type="dxa"/>
            <w:vAlign w:val="bottom"/>
            <w:shd w:val="clear" w:color="auto" w:fill="CCEEFF"/>
          </w:tcPr>
          <w:p>
            <w:pPr>
              <w:spacing w:after="0"/>
              <w:rPr>
                <w:sz w:val="10"/>
                <w:szCs w:val="10"/>
                <w:color w:val="auto"/>
              </w:rPr>
            </w:pPr>
          </w:p>
        </w:tc>
        <w:tc>
          <w:tcPr>
            <w:tcW w:w="620" w:type="dxa"/>
            <w:vAlign w:val="bottom"/>
            <w:gridSpan w:val="2"/>
            <w:shd w:val="clear" w:color="auto" w:fill="CCEEFF"/>
          </w:tcPr>
          <w:p>
            <w:pPr>
              <w:ind w:left="400"/>
              <w:spacing w:after="0" w:line="124" w:lineRule="exact"/>
              <w:rPr>
                <w:sz w:val="20"/>
                <w:szCs w:val="20"/>
                <w:color w:val="auto"/>
              </w:rPr>
            </w:pPr>
            <w:r>
              <w:rPr>
                <w:rFonts w:ascii="Arial" w:cs="Arial" w:eastAsia="Arial" w:hAnsi="Arial"/>
                <w:sz w:val="11"/>
                <w:szCs w:val="11"/>
                <w:color w:val="auto"/>
              </w:rPr>
              <w:t>—</w:t>
            </w:r>
          </w:p>
        </w:tc>
        <w:tc>
          <w:tcPr>
            <w:tcW w:w="220" w:type="dxa"/>
            <w:vAlign w:val="bottom"/>
            <w:shd w:val="clear" w:color="auto" w:fill="CCEEFF"/>
          </w:tcPr>
          <w:p>
            <w:pPr>
              <w:jc w:val="right"/>
              <w:spacing w:after="0" w:line="124" w:lineRule="exact"/>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0"/>
                <w:szCs w:val="10"/>
                <w:color w:val="auto"/>
              </w:rPr>
            </w:pPr>
          </w:p>
        </w:tc>
        <w:tc>
          <w:tcPr>
            <w:tcW w:w="540" w:type="dxa"/>
            <w:vAlign w:val="bottom"/>
            <w:gridSpan w:val="2"/>
            <w:shd w:val="clear" w:color="auto" w:fill="CCEEFF"/>
          </w:tcPr>
          <w:p>
            <w:pPr>
              <w:jc w:val="right"/>
              <w:spacing w:after="0" w:line="124" w:lineRule="exact"/>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0"/>
                <w:szCs w:val="10"/>
                <w:color w:val="auto"/>
              </w:rPr>
            </w:pPr>
          </w:p>
        </w:tc>
        <w:tc>
          <w:tcPr>
            <w:tcW w:w="520" w:type="dxa"/>
            <w:vAlign w:val="bottom"/>
            <w:gridSpan w:val="2"/>
            <w:shd w:val="clear" w:color="auto" w:fill="CCEEFF"/>
          </w:tcPr>
          <w:p>
            <w:pPr>
              <w:jc w:val="right"/>
              <w:spacing w:after="0" w:line="124" w:lineRule="exact"/>
              <w:rPr>
                <w:sz w:val="20"/>
                <w:szCs w:val="20"/>
                <w:color w:val="auto"/>
              </w:rPr>
            </w:pPr>
            <w:r>
              <w:rPr>
                <w:rFonts w:ascii="Arial" w:cs="Arial" w:eastAsia="Arial" w:hAnsi="Arial"/>
                <w:sz w:val="11"/>
                <w:szCs w:val="11"/>
                <w:color w:val="auto"/>
              </w:rPr>
              <w:t>*</w:t>
            </w:r>
          </w:p>
        </w:tc>
        <w:tc>
          <w:tcPr>
            <w:tcW w:w="160" w:type="dxa"/>
            <w:vAlign w:val="bottom"/>
            <w:shd w:val="clear" w:color="auto" w:fill="CCEEFF"/>
          </w:tcPr>
          <w:p>
            <w:pPr>
              <w:spacing w:after="0"/>
              <w:rPr>
                <w:sz w:val="10"/>
                <w:szCs w:val="10"/>
                <w:color w:val="auto"/>
              </w:rPr>
            </w:pPr>
          </w:p>
        </w:tc>
        <w:tc>
          <w:tcPr>
            <w:tcW w:w="540" w:type="dxa"/>
            <w:vAlign w:val="bottom"/>
            <w:gridSpan w:val="2"/>
            <w:shd w:val="clear" w:color="auto" w:fill="CCEEFF"/>
          </w:tcPr>
          <w:p>
            <w:pPr>
              <w:ind w:left="300"/>
              <w:spacing w:after="0" w:line="124" w:lineRule="exact"/>
              <w:rPr>
                <w:sz w:val="20"/>
                <w:szCs w:val="20"/>
                <w:color w:val="auto"/>
              </w:rPr>
            </w:pPr>
            <w:r>
              <w:rPr>
                <w:rFonts w:ascii="Arial" w:cs="Arial" w:eastAsia="Arial" w:hAnsi="Arial"/>
                <w:sz w:val="11"/>
                <w:szCs w:val="11"/>
                <w:color w:val="auto"/>
              </w:rPr>
              <w:t>—</w:t>
            </w:r>
          </w:p>
        </w:tc>
        <w:tc>
          <w:tcPr>
            <w:tcW w:w="560" w:type="dxa"/>
            <w:vAlign w:val="bottom"/>
            <w:gridSpan w:val="2"/>
            <w:shd w:val="clear" w:color="auto" w:fill="CCEEFF"/>
          </w:tcPr>
          <w:p>
            <w:pPr>
              <w:ind w:left="340"/>
              <w:spacing w:after="0" w:line="124" w:lineRule="exact"/>
              <w:rPr>
                <w:sz w:val="20"/>
                <w:szCs w:val="20"/>
                <w:color w:val="auto"/>
              </w:rPr>
            </w:pPr>
            <w:r>
              <w:rPr>
                <w:rFonts w:ascii="Arial" w:cs="Arial" w:eastAsia="Arial" w:hAnsi="Arial"/>
                <w:sz w:val="11"/>
                <w:szCs w:val="11"/>
                <w:color w:val="auto"/>
              </w:rPr>
              <w:t>—</w:t>
            </w:r>
          </w:p>
        </w:tc>
        <w:tc>
          <w:tcPr>
            <w:tcW w:w="240" w:type="dxa"/>
            <w:vAlign w:val="bottom"/>
            <w:shd w:val="clear" w:color="auto" w:fill="CCEEFF"/>
          </w:tcPr>
          <w:p>
            <w:pPr>
              <w:jc w:val="right"/>
              <w:spacing w:after="0" w:line="124" w:lineRule="exact"/>
              <w:rPr>
                <w:sz w:val="20"/>
                <w:szCs w:val="20"/>
                <w:color w:val="auto"/>
              </w:rPr>
            </w:pPr>
            <w:r>
              <w:rPr>
                <w:rFonts w:ascii="Arial" w:cs="Arial" w:eastAsia="Arial" w:hAnsi="Arial"/>
                <w:sz w:val="11"/>
                <w:szCs w:val="11"/>
                <w:color w:val="auto"/>
              </w:rPr>
              <w:t>*</w:t>
            </w:r>
          </w:p>
        </w:tc>
        <w:tc>
          <w:tcPr>
            <w:tcW w:w="160" w:type="dxa"/>
            <w:vAlign w:val="bottom"/>
            <w:shd w:val="clear" w:color="auto" w:fill="CCEEFF"/>
          </w:tcPr>
          <w:p>
            <w:pPr>
              <w:spacing w:after="0"/>
              <w:rPr>
                <w:sz w:val="10"/>
                <w:szCs w:val="10"/>
                <w:color w:val="auto"/>
              </w:rPr>
            </w:pPr>
          </w:p>
        </w:tc>
        <w:tc>
          <w:tcPr>
            <w:tcW w:w="620" w:type="dxa"/>
            <w:vAlign w:val="bottom"/>
            <w:gridSpan w:val="2"/>
            <w:shd w:val="clear" w:color="auto" w:fill="CCEEFF"/>
          </w:tcPr>
          <w:p>
            <w:pPr>
              <w:ind w:left="400"/>
              <w:spacing w:after="0" w:line="124" w:lineRule="exact"/>
              <w:rPr>
                <w:sz w:val="20"/>
                <w:szCs w:val="20"/>
                <w:color w:val="auto"/>
              </w:rPr>
            </w:pPr>
            <w:r>
              <w:rPr>
                <w:rFonts w:ascii="Arial" w:cs="Arial" w:eastAsia="Arial" w:hAnsi="Arial"/>
                <w:sz w:val="11"/>
                <w:szCs w:val="11"/>
                <w:color w:val="auto"/>
              </w:rPr>
              <w:t>—</w:t>
            </w:r>
          </w:p>
        </w:tc>
        <w:tc>
          <w:tcPr>
            <w:tcW w:w="220" w:type="dxa"/>
            <w:vAlign w:val="bottom"/>
            <w:shd w:val="clear" w:color="auto" w:fill="CCEEFF"/>
          </w:tcPr>
          <w:p>
            <w:pPr>
              <w:jc w:val="right"/>
              <w:spacing w:after="0" w:line="124" w:lineRule="exact"/>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0"/>
                <w:szCs w:val="10"/>
                <w:color w:val="auto"/>
              </w:rPr>
            </w:pPr>
          </w:p>
        </w:tc>
        <w:tc>
          <w:tcPr>
            <w:tcW w:w="540" w:type="dxa"/>
            <w:vAlign w:val="bottom"/>
            <w:gridSpan w:val="2"/>
            <w:shd w:val="clear" w:color="auto" w:fill="CCEEFF"/>
          </w:tcPr>
          <w:p>
            <w:pPr>
              <w:jc w:val="right"/>
              <w:spacing w:after="0" w:line="124" w:lineRule="exact"/>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0"/>
                <w:szCs w:val="10"/>
                <w:color w:val="auto"/>
              </w:rPr>
            </w:pPr>
          </w:p>
        </w:tc>
        <w:tc>
          <w:tcPr>
            <w:tcW w:w="500" w:type="dxa"/>
            <w:vAlign w:val="bottom"/>
            <w:gridSpan w:val="2"/>
            <w:shd w:val="clear" w:color="auto" w:fill="CCEEFF"/>
          </w:tcPr>
          <w:p>
            <w:pPr>
              <w:jc w:val="right"/>
              <w:spacing w:after="0" w:line="124" w:lineRule="exact"/>
              <w:rPr>
                <w:sz w:val="20"/>
                <w:szCs w:val="20"/>
                <w:color w:val="auto"/>
              </w:rPr>
            </w:pPr>
            <w:r>
              <w:rPr>
                <w:rFonts w:ascii="Arial" w:cs="Arial" w:eastAsia="Arial" w:hAnsi="Arial"/>
                <w:sz w:val="11"/>
                <w:szCs w:val="11"/>
                <w:color w:val="auto"/>
              </w:rPr>
              <w:t>*</w:t>
            </w:r>
          </w:p>
        </w:tc>
        <w:tc>
          <w:tcPr>
            <w:tcW w:w="160" w:type="dxa"/>
            <w:vAlign w:val="bottom"/>
            <w:shd w:val="clear" w:color="auto" w:fill="CCEEFF"/>
          </w:tcPr>
          <w:p>
            <w:pPr>
              <w:spacing w:after="0"/>
              <w:rPr>
                <w:sz w:val="10"/>
                <w:szCs w:val="10"/>
                <w:color w:val="auto"/>
              </w:rPr>
            </w:pPr>
          </w:p>
        </w:tc>
        <w:tc>
          <w:tcPr>
            <w:tcW w:w="580" w:type="dxa"/>
            <w:vAlign w:val="bottom"/>
            <w:gridSpan w:val="2"/>
            <w:shd w:val="clear" w:color="auto" w:fill="CCEEFF"/>
          </w:tcPr>
          <w:p>
            <w:pPr>
              <w:ind w:left="340"/>
              <w:spacing w:after="0" w:line="124" w:lineRule="exact"/>
              <w:rPr>
                <w:sz w:val="20"/>
                <w:szCs w:val="20"/>
                <w:color w:val="auto"/>
              </w:rPr>
            </w:pPr>
            <w:r>
              <w:rPr>
                <w:rFonts w:ascii="Arial" w:cs="Arial" w:eastAsia="Arial" w:hAnsi="Arial"/>
                <w:sz w:val="11"/>
                <w:szCs w:val="11"/>
                <w:color w:val="auto"/>
              </w:rPr>
              <w:t>—</w:t>
            </w:r>
          </w:p>
        </w:tc>
        <w:tc>
          <w:tcPr>
            <w:tcW w:w="220" w:type="dxa"/>
            <w:vAlign w:val="bottom"/>
            <w:shd w:val="clear" w:color="auto" w:fill="CCEEFF"/>
          </w:tcPr>
          <w:p>
            <w:pPr>
              <w:jc w:val="right"/>
              <w:spacing w:after="0" w:line="124" w:lineRule="exact"/>
              <w:rPr>
                <w:sz w:val="20"/>
                <w:szCs w:val="20"/>
                <w:color w:val="auto"/>
              </w:rPr>
            </w:pPr>
            <w:r>
              <w:rPr>
                <w:rFonts w:ascii="Arial" w:cs="Arial" w:eastAsia="Arial" w:hAnsi="Arial"/>
                <w:sz w:val="11"/>
                <w:szCs w:val="11"/>
                <w:color w:val="auto"/>
              </w:rPr>
              <w:t>*</w:t>
            </w:r>
          </w:p>
        </w:tc>
        <w:tc>
          <w:tcPr>
            <w:tcW w:w="160" w:type="dxa"/>
            <w:vAlign w:val="bottom"/>
            <w:shd w:val="clear" w:color="auto" w:fill="CCEEFF"/>
          </w:tcPr>
          <w:p>
            <w:pPr>
              <w:spacing w:after="0"/>
              <w:rPr>
                <w:sz w:val="10"/>
                <w:szCs w:val="10"/>
                <w:color w:val="auto"/>
              </w:rPr>
            </w:pPr>
          </w:p>
        </w:tc>
        <w:tc>
          <w:tcPr>
            <w:tcW w:w="640" w:type="dxa"/>
            <w:vAlign w:val="bottom"/>
            <w:gridSpan w:val="2"/>
            <w:shd w:val="clear" w:color="auto" w:fill="CCEEFF"/>
          </w:tcPr>
          <w:p>
            <w:pPr>
              <w:ind w:left="400"/>
              <w:spacing w:after="0" w:line="124" w:lineRule="exact"/>
              <w:rPr>
                <w:sz w:val="20"/>
                <w:szCs w:val="20"/>
                <w:color w:val="auto"/>
              </w:rPr>
            </w:pPr>
            <w:r>
              <w:rPr>
                <w:rFonts w:ascii="Arial" w:cs="Arial" w:eastAsia="Arial" w:hAnsi="Arial"/>
                <w:sz w:val="11"/>
                <w:szCs w:val="11"/>
                <w:color w:val="auto"/>
              </w:rPr>
              <w:t>—</w:t>
            </w:r>
          </w:p>
        </w:tc>
        <w:tc>
          <w:tcPr>
            <w:tcW w:w="220" w:type="dxa"/>
            <w:vAlign w:val="bottom"/>
            <w:shd w:val="clear" w:color="auto" w:fill="CCEEFF"/>
          </w:tcPr>
          <w:p>
            <w:pPr>
              <w:jc w:val="right"/>
              <w:spacing w:after="0" w:line="124" w:lineRule="exact"/>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1100" w:type="dxa"/>
            <w:vAlign w:val="bottom"/>
            <w:gridSpan w:val="2"/>
          </w:tcPr>
          <w:p>
            <w:pPr>
              <w:spacing w:after="0" w:line="124" w:lineRule="exact"/>
              <w:rPr>
                <w:sz w:val="20"/>
                <w:szCs w:val="20"/>
                <w:color w:val="auto"/>
              </w:rPr>
            </w:pPr>
            <w:r>
              <w:rPr>
                <w:rFonts w:ascii="Arial" w:cs="Arial" w:eastAsia="Arial" w:hAnsi="Arial"/>
                <w:sz w:val="11"/>
                <w:szCs w:val="11"/>
                <w:color w:val="auto"/>
                <w:w w:val="94"/>
              </w:rPr>
              <w:t>Margaret C. Whitman</w:t>
            </w:r>
            <w:r>
              <w:rPr>
                <w:rFonts w:ascii="Arial" w:cs="Arial" w:eastAsia="Arial" w:hAnsi="Arial"/>
                <w:sz w:val="8"/>
                <w:szCs w:val="8"/>
                <w:color w:val="auto"/>
                <w:w w:val="94"/>
              </w:rPr>
              <w:t>(7)</w:t>
            </w:r>
          </w:p>
        </w:tc>
        <w:tc>
          <w:tcPr>
            <w:tcW w:w="560" w:type="dxa"/>
            <w:vAlign w:val="bottom"/>
            <w:gridSpan w:val="2"/>
          </w:tcPr>
          <w:p>
            <w:pPr>
              <w:ind w:left="340"/>
              <w:spacing w:after="0" w:line="124" w:lineRule="exact"/>
              <w:rPr>
                <w:sz w:val="20"/>
                <w:szCs w:val="20"/>
                <w:color w:val="auto"/>
              </w:rPr>
            </w:pPr>
            <w:r>
              <w:rPr>
                <w:rFonts w:ascii="Arial" w:cs="Arial" w:eastAsia="Arial" w:hAnsi="Arial"/>
                <w:sz w:val="11"/>
                <w:szCs w:val="11"/>
                <w:color w:val="auto"/>
              </w:rPr>
              <w:t>—</w:t>
            </w:r>
          </w:p>
        </w:tc>
        <w:tc>
          <w:tcPr>
            <w:tcW w:w="240" w:type="dxa"/>
            <w:vAlign w:val="bottom"/>
          </w:tcPr>
          <w:p>
            <w:pPr>
              <w:jc w:val="right"/>
              <w:spacing w:after="0" w:line="124" w:lineRule="exact"/>
              <w:rPr>
                <w:sz w:val="20"/>
                <w:szCs w:val="20"/>
                <w:color w:val="auto"/>
              </w:rPr>
            </w:pPr>
            <w:r>
              <w:rPr>
                <w:rFonts w:ascii="Arial" w:cs="Arial" w:eastAsia="Arial" w:hAnsi="Arial"/>
                <w:sz w:val="11"/>
                <w:szCs w:val="11"/>
                <w:color w:val="auto"/>
              </w:rPr>
              <w:t>*</w:t>
            </w:r>
          </w:p>
        </w:tc>
        <w:tc>
          <w:tcPr>
            <w:tcW w:w="160" w:type="dxa"/>
            <w:vAlign w:val="bottom"/>
          </w:tcPr>
          <w:p>
            <w:pPr>
              <w:spacing w:after="0"/>
              <w:rPr>
                <w:sz w:val="10"/>
                <w:szCs w:val="10"/>
                <w:color w:val="auto"/>
              </w:rPr>
            </w:pPr>
          </w:p>
        </w:tc>
        <w:tc>
          <w:tcPr>
            <w:tcW w:w="620" w:type="dxa"/>
            <w:vAlign w:val="bottom"/>
            <w:gridSpan w:val="2"/>
          </w:tcPr>
          <w:p>
            <w:pPr>
              <w:ind w:left="400"/>
              <w:spacing w:after="0" w:line="124" w:lineRule="exact"/>
              <w:rPr>
                <w:sz w:val="20"/>
                <w:szCs w:val="20"/>
                <w:color w:val="auto"/>
              </w:rPr>
            </w:pPr>
            <w:r>
              <w:rPr>
                <w:rFonts w:ascii="Arial" w:cs="Arial" w:eastAsia="Arial" w:hAnsi="Arial"/>
                <w:sz w:val="11"/>
                <w:szCs w:val="11"/>
                <w:color w:val="auto"/>
              </w:rPr>
              <w:t>—</w:t>
            </w:r>
          </w:p>
        </w:tc>
        <w:tc>
          <w:tcPr>
            <w:tcW w:w="220" w:type="dxa"/>
            <w:vAlign w:val="bottom"/>
          </w:tcPr>
          <w:p>
            <w:pPr>
              <w:jc w:val="right"/>
              <w:spacing w:after="0" w:line="124" w:lineRule="exact"/>
              <w:rPr>
                <w:sz w:val="20"/>
                <w:szCs w:val="20"/>
                <w:color w:val="auto"/>
              </w:rPr>
            </w:pPr>
            <w:r>
              <w:rPr>
                <w:rFonts w:ascii="Arial" w:cs="Arial" w:eastAsia="Arial" w:hAnsi="Arial"/>
                <w:sz w:val="11"/>
                <w:szCs w:val="11"/>
                <w:color w:val="auto"/>
              </w:rPr>
              <w:t>*</w:t>
            </w:r>
          </w:p>
        </w:tc>
        <w:tc>
          <w:tcPr>
            <w:tcW w:w="120" w:type="dxa"/>
            <w:vAlign w:val="bottom"/>
          </w:tcPr>
          <w:p>
            <w:pPr>
              <w:spacing w:after="0"/>
              <w:rPr>
                <w:sz w:val="10"/>
                <w:szCs w:val="10"/>
                <w:color w:val="auto"/>
              </w:rPr>
            </w:pPr>
          </w:p>
        </w:tc>
        <w:tc>
          <w:tcPr>
            <w:tcW w:w="540" w:type="dxa"/>
            <w:vAlign w:val="bottom"/>
            <w:gridSpan w:val="2"/>
          </w:tcPr>
          <w:p>
            <w:pPr>
              <w:jc w:val="right"/>
              <w:spacing w:after="0" w:line="124" w:lineRule="exact"/>
              <w:rPr>
                <w:sz w:val="20"/>
                <w:szCs w:val="20"/>
                <w:color w:val="auto"/>
              </w:rPr>
            </w:pPr>
            <w:r>
              <w:rPr>
                <w:rFonts w:ascii="Arial" w:cs="Arial" w:eastAsia="Arial" w:hAnsi="Arial"/>
                <w:sz w:val="11"/>
                <w:szCs w:val="11"/>
                <w:color w:val="auto"/>
              </w:rPr>
              <w:t>*</w:t>
            </w:r>
          </w:p>
        </w:tc>
        <w:tc>
          <w:tcPr>
            <w:tcW w:w="120" w:type="dxa"/>
            <w:vAlign w:val="bottom"/>
          </w:tcPr>
          <w:p>
            <w:pPr>
              <w:spacing w:after="0"/>
              <w:rPr>
                <w:sz w:val="10"/>
                <w:szCs w:val="10"/>
                <w:color w:val="auto"/>
              </w:rPr>
            </w:pPr>
          </w:p>
        </w:tc>
        <w:tc>
          <w:tcPr>
            <w:tcW w:w="520" w:type="dxa"/>
            <w:vAlign w:val="bottom"/>
            <w:gridSpan w:val="2"/>
          </w:tcPr>
          <w:p>
            <w:pPr>
              <w:jc w:val="right"/>
              <w:spacing w:after="0" w:line="124" w:lineRule="exact"/>
              <w:rPr>
                <w:sz w:val="20"/>
                <w:szCs w:val="20"/>
                <w:color w:val="auto"/>
              </w:rPr>
            </w:pPr>
            <w:r>
              <w:rPr>
                <w:rFonts w:ascii="Arial" w:cs="Arial" w:eastAsia="Arial" w:hAnsi="Arial"/>
                <w:sz w:val="11"/>
                <w:szCs w:val="11"/>
                <w:color w:val="auto"/>
              </w:rPr>
              <w:t>*</w:t>
            </w:r>
          </w:p>
        </w:tc>
        <w:tc>
          <w:tcPr>
            <w:tcW w:w="160" w:type="dxa"/>
            <w:vAlign w:val="bottom"/>
          </w:tcPr>
          <w:p>
            <w:pPr>
              <w:spacing w:after="0"/>
              <w:rPr>
                <w:sz w:val="10"/>
                <w:szCs w:val="10"/>
                <w:color w:val="auto"/>
              </w:rPr>
            </w:pPr>
          </w:p>
        </w:tc>
        <w:tc>
          <w:tcPr>
            <w:tcW w:w="540" w:type="dxa"/>
            <w:vAlign w:val="bottom"/>
            <w:gridSpan w:val="2"/>
          </w:tcPr>
          <w:p>
            <w:pPr>
              <w:ind w:left="300"/>
              <w:spacing w:after="0" w:line="124" w:lineRule="exact"/>
              <w:rPr>
                <w:sz w:val="20"/>
                <w:szCs w:val="20"/>
                <w:color w:val="auto"/>
              </w:rPr>
            </w:pPr>
            <w:r>
              <w:rPr>
                <w:rFonts w:ascii="Arial" w:cs="Arial" w:eastAsia="Arial" w:hAnsi="Arial"/>
                <w:sz w:val="11"/>
                <w:szCs w:val="11"/>
                <w:color w:val="auto"/>
              </w:rPr>
              <w:t>—</w:t>
            </w:r>
          </w:p>
        </w:tc>
        <w:tc>
          <w:tcPr>
            <w:tcW w:w="560" w:type="dxa"/>
            <w:vAlign w:val="bottom"/>
            <w:gridSpan w:val="2"/>
          </w:tcPr>
          <w:p>
            <w:pPr>
              <w:ind w:left="340"/>
              <w:spacing w:after="0" w:line="124" w:lineRule="exact"/>
              <w:rPr>
                <w:sz w:val="20"/>
                <w:szCs w:val="20"/>
                <w:color w:val="auto"/>
              </w:rPr>
            </w:pPr>
            <w:r>
              <w:rPr>
                <w:rFonts w:ascii="Arial" w:cs="Arial" w:eastAsia="Arial" w:hAnsi="Arial"/>
                <w:sz w:val="11"/>
                <w:szCs w:val="11"/>
                <w:color w:val="auto"/>
              </w:rPr>
              <w:t>—</w:t>
            </w:r>
          </w:p>
        </w:tc>
        <w:tc>
          <w:tcPr>
            <w:tcW w:w="240" w:type="dxa"/>
            <w:vAlign w:val="bottom"/>
          </w:tcPr>
          <w:p>
            <w:pPr>
              <w:jc w:val="right"/>
              <w:spacing w:after="0" w:line="124" w:lineRule="exact"/>
              <w:rPr>
                <w:sz w:val="20"/>
                <w:szCs w:val="20"/>
                <w:color w:val="auto"/>
              </w:rPr>
            </w:pPr>
            <w:r>
              <w:rPr>
                <w:rFonts w:ascii="Arial" w:cs="Arial" w:eastAsia="Arial" w:hAnsi="Arial"/>
                <w:sz w:val="11"/>
                <w:szCs w:val="11"/>
                <w:color w:val="auto"/>
              </w:rPr>
              <w:t>*</w:t>
            </w:r>
          </w:p>
        </w:tc>
        <w:tc>
          <w:tcPr>
            <w:tcW w:w="160" w:type="dxa"/>
            <w:vAlign w:val="bottom"/>
          </w:tcPr>
          <w:p>
            <w:pPr>
              <w:spacing w:after="0"/>
              <w:rPr>
                <w:sz w:val="10"/>
                <w:szCs w:val="10"/>
                <w:color w:val="auto"/>
              </w:rPr>
            </w:pPr>
          </w:p>
        </w:tc>
        <w:tc>
          <w:tcPr>
            <w:tcW w:w="620" w:type="dxa"/>
            <w:vAlign w:val="bottom"/>
            <w:gridSpan w:val="2"/>
          </w:tcPr>
          <w:p>
            <w:pPr>
              <w:ind w:left="400"/>
              <w:spacing w:after="0" w:line="124" w:lineRule="exact"/>
              <w:rPr>
                <w:sz w:val="20"/>
                <w:szCs w:val="20"/>
                <w:color w:val="auto"/>
              </w:rPr>
            </w:pPr>
            <w:r>
              <w:rPr>
                <w:rFonts w:ascii="Arial" w:cs="Arial" w:eastAsia="Arial" w:hAnsi="Arial"/>
                <w:sz w:val="11"/>
                <w:szCs w:val="11"/>
                <w:color w:val="auto"/>
              </w:rPr>
              <w:t>—</w:t>
            </w:r>
          </w:p>
        </w:tc>
        <w:tc>
          <w:tcPr>
            <w:tcW w:w="220" w:type="dxa"/>
            <w:vAlign w:val="bottom"/>
          </w:tcPr>
          <w:p>
            <w:pPr>
              <w:jc w:val="right"/>
              <w:spacing w:after="0" w:line="124" w:lineRule="exact"/>
              <w:rPr>
                <w:sz w:val="20"/>
                <w:szCs w:val="20"/>
                <w:color w:val="auto"/>
              </w:rPr>
            </w:pPr>
            <w:r>
              <w:rPr>
                <w:rFonts w:ascii="Arial" w:cs="Arial" w:eastAsia="Arial" w:hAnsi="Arial"/>
                <w:sz w:val="11"/>
                <w:szCs w:val="11"/>
                <w:color w:val="auto"/>
              </w:rPr>
              <w:t>*</w:t>
            </w:r>
          </w:p>
        </w:tc>
        <w:tc>
          <w:tcPr>
            <w:tcW w:w="120" w:type="dxa"/>
            <w:vAlign w:val="bottom"/>
          </w:tcPr>
          <w:p>
            <w:pPr>
              <w:spacing w:after="0"/>
              <w:rPr>
                <w:sz w:val="10"/>
                <w:szCs w:val="10"/>
                <w:color w:val="auto"/>
              </w:rPr>
            </w:pPr>
          </w:p>
        </w:tc>
        <w:tc>
          <w:tcPr>
            <w:tcW w:w="540" w:type="dxa"/>
            <w:vAlign w:val="bottom"/>
            <w:gridSpan w:val="2"/>
          </w:tcPr>
          <w:p>
            <w:pPr>
              <w:jc w:val="right"/>
              <w:spacing w:after="0" w:line="124" w:lineRule="exact"/>
              <w:rPr>
                <w:sz w:val="20"/>
                <w:szCs w:val="20"/>
                <w:color w:val="auto"/>
              </w:rPr>
            </w:pPr>
            <w:r>
              <w:rPr>
                <w:rFonts w:ascii="Arial" w:cs="Arial" w:eastAsia="Arial" w:hAnsi="Arial"/>
                <w:sz w:val="11"/>
                <w:szCs w:val="11"/>
                <w:color w:val="auto"/>
              </w:rPr>
              <w:t>*</w:t>
            </w:r>
          </w:p>
        </w:tc>
        <w:tc>
          <w:tcPr>
            <w:tcW w:w="120" w:type="dxa"/>
            <w:vAlign w:val="bottom"/>
          </w:tcPr>
          <w:p>
            <w:pPr>
              <w:spacing w:after="0"/>
              <w:rPr>
                <w:sz w:val="10"/>
                <w:szCs w:val="10"/>
                <w:color w:val="auto"/>
              </w:rPr>
            </w:pPr>
          </w:p>
        </w:tc>
        <w:tc>
          <w:tcPr>
            <w:tcW w:w="500" w:type="dxa"/>
            <w:vAlign w:val="bottom"/>
            <w:gridSpan w:val="2"/>
          </w:tcPr>
          <w:p>
            <w:pPr>
              <w:jc w:val="right"/>
              <w:spacing w:after="0" w:line="124" w:lineRule="exact"/>
              <w:rPr>
                <w:sz w:val="20"/>
                <w:szCs w:val="20"/>
                <w:color w:val="auto"/>
              </w:rPr>
            </w:pPr>
            <w:r>
              <w:rPr>
                <w:rFonts w:ascii="Arial" w:cs="Arial" w:eastAsia="Arial" w:hAnsi="Arial"/>
                <w:sz w:val="11"/>
                <w:szCs w:val="11"/>
                <w:color w:val="auto"/>
              </w:rPr>
              <w:t>*</w:t>
            </w:r>
          </w:p>
        </w:tc>
        <w:tc>
          <w:tcPr>
            <w:tcW w:w="160" w:type="dxa"/>
            <w:vAlign w:val="bottom"/>
          </w:tcPr>
          <w:p>
            <w:pPr>
              <w:spacing w:after="0"/>
              <w:rPr>
                <w:sz w:val="10"/>
                <w:szCs w:val="10"/>
                <w:color w:val="auto"/>
              </w:rPr>
            </w:pPr>
          </w:p>
        </w:tc>
        <w:tc>
          <w:tcPr>
            <w:tcW w:w="580" w:type="dxa"/>
            <w:vAlign w:val="bottom"/>
            <w:gridSpan w:val="2"/>
          </w:tcPr>
          <w:p>
            <w:pPr>
              <w:ind w:left="340"/>
              <w:spacing w:after="0" w:line="124" w:lineRule="exact"/>
              <w:rPr>
                <w:sz w:val="20"/>
                <w:szCs w:val="20"/>
                <w:color w:val="auto"/>
              </w:rPr>
            </w:pPr>
            <w:r>
              <w:rPr>
                <w:rFonts w:ascii="Arial" w:cs="Arial" w:eastAsia="Arial" w:hAnsi="Arial"/>
                <w:sz w:val="11"/>
                <w:szCs w:val="11"/>
                <w:color w:val="auto"/>
              </w:rPr>
              <w:t>—</w:t>
            </w:r>
          </w:p>
        </w:tc>
        <w:tc>
          <w:tcPr>
            <w:tcW w:w="220" w:type="dxa"/>
            <w:vAlign w:val="bottom"/>
          </w:tcPr>
          <w:p>
            <w:pPr>
              <w:jc w:val="right"/>
              <w:spacing w:after="0" w:line="124" w:lineRule="exact"/>
              <w:rPr>
                <w:sz w:val="20"/>
                <w:szCs w:val="20"/>
                <w:color w:val="auto"/>
              </w:rPr>
            </w:pPr>
            <w:r>
              <w:rPr>
                <w:rFonts w:ascii="Arial" w:cs="Arial" w:eastAsia="Arial" w:hAnsi="Arial"/>
                <w:sz w:val="11"/>
                <w:szCs w:val="11"/>
                <w:color w:val="auto"/>
              </w:rPr>
              <w:t>*</w:t>
            </w:r>
          </w:p>
        </w:tc>
        <w:tc>
          <w:tcPr>
            <w:tcW w:w="160" w:type="dxa"/>
            <w:vAlign w:val="bottom"/>
          </w:tcPr>
          <w:p>
            <w:pPr>
              <w:spacing w:after="0"/>
              <w:rPr>
                <w:sz w:val="10"/>
                <w:szCs w:val="10"/>
                <w:color w:val="auto"/>
              </w:rPr>
            </w:pPr>
          </w:p>
        </w:tc>
        <w:tc>
          <w:tcPr>
            <w:tcW w:w="640" w:type="dxa"/>
            <w:vAlign w:val="bottom"/>
            <w:gridSpan w:val="2"/>
          </w:tcPr>
          <w:p>
            <w:pPr>
              <w:ind w:left="400"/>
              <w:spacing w:after="0" w:line="124" w:lineRule="exact"/>
              <w:rPr>
                <w:sz w:val="20"/>
                <w:szCs w:val="20"/>
                <w:color w:val="auto"/>
              </w:rPr>
            </w:pPr>
            <w:r>
              <w:rPr>
                <w:rFonts w:ascii="Arial" w:cs="Arial" w:eastAsia="Arial" w:hAnsi="Arial"/>
                <w:sz w:val="11"/>
                <w:szCs w:val="11"/>
                <w:color w:val="auto"/>
              </w:rPr>
              <w:t>—</w:t>
            </w:r>
          </w:p>
        </w:tc>
        <w:tc>
          <w:tcPr>
            <w:tcW w:w="220" w:type="dxa"/>
            <w:vAlign w:val="bottom"/>
          </w:tcPr>
          <w:p>
            <w:pPr>
              <w:jc w:val="right"/>
              <w:spacing w:after="0" w:line="124" w:lineRule="exact"/>
              <w:rPr>
                <w:sz w:val="20"/>
                <w:szCs w:val="20"/>
                <w:color w:val="auto"/>
              </w:rPr>
            </w:pPr>
            <w:r>
              <w:rPr>
                <w:rFonts w:ascii="Arial" w:cs="Arial" w:eastAsia="Arial" w:hAnsi="Arial"/>
                <w:sz w:val="11"/>
                <w:szCs w:val="11"/>
                <w:color w:val="auto"/>
              </w:rPr>
              <w:t>*</w:t>
            </w: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1100" w:type="dxa"/>
            <w:vAlign w:val="bottom"/>
            <w:gridSpan w:val="2"/>
            <w:shd w:val="clear" w:color="auto" w:fill="CCEEFF"/>
          </w:tcPr>
          <w:p>
            <w:pPr>
              <w:spacing w:after="0" w:line="102" w:lineRule="exact"/>
              <w:rPr>
                <w:sz w:val="20"/>
                <w:szCs w:val="20"/>
                <w:color w:val="auto"/>
              </w:rPr>
            </w:pPr>
            <w:r>
              <w:rPr>
                <w:rFonts w:ascii="Arial" w:cs="Arial" w:eastAsia="Arial" w:hAnsi="Arial"/>
                <w:sz w:val="11"/>
                <w:szCs w:val="11"/>
                <w:color w:val="auto"/>
              </w:rPr>
              <w:t>All executive officers</w:t>
            </w:r>
          </w:p>
        </w:tc>
        <w:tc>
          <w:tcPr>
            <w:tcW w:w="5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56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56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56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28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13"/>
        </w:trPr>
        <w:tc>
          <w:tcPr>
            <w:tcW w:w="1100" w:type="dxa"/>
            <w:vAlign w:val="bottom"/>
            <w:gridSpan w:val="2"/>
            <w:shd w:val="clear" w:color="auto" w:fill="CCEEFF"/>
          </w:tcPr>
          <w:p>
            <w:pPr>
              <w:ind w:left="100"/>
              <w:spacing w:after="0" w:line="113" w:lineRule="exact"/>
              <w:rPr>
                <w:sz w:val="20"/>
                <w:szCs w:val="20"/>
                <w:color w:val="auto"/>
              </w:rPr>
            </w:pPr>
            <w:r>
              <w:rPr>
                <w:rFonts w:ascii="Arial" w:cs="Arial" w:eastAsia="Arial" w:hAnsi="Arial"/>
                <w:sz w:val="11"/>
                <w:szCs w:val="11"/>
                <w:color w:val="auto"/>
              </w:rPr>
              <w:t>and directors as a</w:t>
            </w:r>
          </w:p>
        </w:tc>
        <w:tc>
          <w:tcPr>
            <w:tcW w:w="5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28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24"/>
        </w:trPr>
        <w:tc>
          <w:tcPr>
            <w:tcW w:w="1100" w:type="dxa"/>
            <w:vAlign w:val="bottom"/>
            <w:gridSpan w:val="2"/>
            <w:shd w:val="clear" w:color="auto" w:fill="CCEEFF"/>
          </w:tcPr>
          <w:p>
            <w:pPr>
              <w:ind w:left="100"/>
              <w:spacing w:after="0" w:line="124" w:lineRule="exact"/>
              <w:rPr>
                <w:sz w:val="20"/>
                <w:szCs w:val="20"/>
                <w:color w:val="auto"/>
              </w:rPr>
            </w:pPr>
            <w:r>
              <w:rPr>
                <w:rFonts w:ascii="Arial" w:cs="Arial" w:eastAsia="Arial" w:hAnsi="Arial"/>
                <w:sz w:val="11"/>
                <w:szCs w:val="11"/>
                <w:color w:val="auto"/>
                <w:w w:val="95"/>
              </w:rPr>
              <w:t>group (12 persons)</w:t>
            </w:r>
            <w:r>
              <w:rPr>
                <w:rFonts w:ascii="Arial" w:cs="Arial" w:eastAsia="Arial" w:hAnsi="Arial"/>
                <w:sz w:val="8"/>
                <w:szCs w:val="8"/>
                <w:color w:val="auto"/>
                <w:w w:val="95"/>
              </w:rPr>
              <w:t>(8)</w:t>
            </w:r>
          </w:p>
        </w:tc>
        <w:tc>
          <w:tcPr>
            <w:tcW w:w="500" w:type="dxa"/>
            <w:vAlign w:val="bottom"/>
            <w:shd w:val="clear" w:color="auto" w:fill="CCEEFF"/>
          </w:tcPr>
          <w:p>
            <w:pPr>
              <w:jc w:val="right"/>
              <w:spacing w:after="0" w:line="124" w:lineRule="exact"/>
              <w:rPr>
                <w:sz w:val="20"/>
                <w:szCs w:val="20"/>
                <w:color w:val="auto"/>
              </w:rPr>
            </w:pPr>
            <w:r>
              <w:rPr>
                <w:rFonts w:ascii="Arial" w:cs="Arial" w:eastAsia="Arial" w:hAnsi="Arial"/>
                <w:sz w:val="11"/>
                <w:szCs w:val="11"/>
                <w:color w:val="auto"/>
                <w:w w:val="87"/>
              </w:rPr>
              <w:t>14,862,638</w:t>
            </w:r>
          </w:p>
        </w:tc>
        <w:tc>
          <w:tcPr>
            <w:tcW w:w="60" w:type="dxa"/>
            <w:vAlign w:val="bottom"/>
            <w:shd w:val="clear" w:color="auto" w:fill="CCEEFF"/>
          </w:tcPr>
          <w:p>
            <w:pPr>
              <w:spacing w:after="0"/>
              <w:rPr>
                <w:sz w:val="10"/>
                <w:szCs w:val="10"/>
                <w:color w:val="auto"/>
              </w:rPr>
            </w:pPr>
          </w:p>
        </w:tc>
        <w:tc>
          <w:tcPr>
            <w:tcW w:w="400" w:type="dxa"/>
            <w:vAlign w:val="bottom"/>
            <w:gridSpan w:val="2"/>
            <w:shd w:val="clear" w:color="auto" w:fill="CCEEFF"/>
          </w:tcPr>
          <w:p>
            <w:pPr>
              <w:jc w:val="right"/>
              <w:ind w:right="80"/>
              <w:spacing w:after="0" w:line="124" w:lineRule="exact"/>
              <w:rPr>
                <w:sz w:val="20"/>
                <w:szCs w:val="20"/>
                <w:color w:val="auto"/>
              </w:rPr>
            </w:pPr>
            <w:r>
              <w:rPr>
                <w:rFonts w:ascii="Arial" w:cs="Arial" w:eastAsia="Arial" w:hAnsi="Arial"/>
                <w:sz w:val="11"/>
                <w:szCs w:val="11"/>
                <w:color w:val="auto"/>
                <w:w w:val="96"/>
              </w:rPr>
              <w:t>55.1%</w:t>
            </w:r>
          </w:p>
        </w:tc>
        <w:tc>
          <w:tcPr>
            <w:tcW w:w="560" w:type="dxa"/>
            <w:vAlign w:val="bottom"/>
            <w:shd w:val="clear" w:color="auto" w:fill="CCEEFF"/>
          </w:tcPr>
          <w:p>
            <w:pPr>
              <w:jc w:val="right"/>
              <w:spacing w:after="0" w:line="124" w:lineRule="exact"/>
              <w:rPr>
                <w:sz w:val="20"/>
                <w:szCs w:val="20"/>
                <w:color w:val="auto"/>
              </w:rPr>
            </w:pPr>
            <w:r>
              <w:rPr>
                <w:rFonts w:ascii="Arial" w:cs="Arial" w:eastAsia="Arial" w:hAnsi="Arial"/>
                <w:sz w:val="11"/>
                <w:szCs w:val="11"/>
                <w:color w:val="auto"/>
                <w:w w:val="84"/>
              </w:rPr>
              <w:t>122,610,899</w:t>
            </w:r>
          </w:p>
        </w:tc>
        <w:tc>
          <w:tcPr>
            <w:tcW w:w="60" w:type="dxa"/>
            <w:vAlign w:val="bottom"/>
            <w:shd w:val="clear" w:color="auto" w:fill="CCEEFF"/>
          </w:tcPr>
          <w:p>
            <w:pPr>
              <w:spacing w:after="0"/>
              <w:rPr>
                <w:sz w:val="10"/>
                <w:szCs w:val="10"/>
                <w:color w:val="auto"/>
              </w:rPr>
            </w:pPr>
          </w:p>
        </w:tc>
        <w:tc>
          <w:tcPr>
            <w:tcW w:w="340" w:type="dxa"/>
            <w:vAlign w:val="bottom"/>
            <w:gridSpan w:val="2"/>
            <w:shd w:val="clear" w:color="auto" w:fill="CCEEFF"/>
          </w:tcPr>
          <w:p>
            <w:pPr>
              <w:jc w:val="right"/>
              <w:ind w:right="40"/>
              <w:spacing w:after="0" w:line="124" w:lineRule="exact"/>
              <w:rPr>
                <w:sz w:val="20"/>
                <w:szCs w:val="20"/>
                <w:color w:val="auto"/>
              </w:rPr>
            </w:pPr>
            <w:r>
              <w:rPr>
                <w:rFonts w:ascii="Arial" w:cs="Arial" w:eastAsia="Arial" w:hAnsi="Arial"/>
                <w:sz w:val="11"/>
                <w:szCs w:val="11"/>
                <w:color w:val="auto"/>
                <w:w w:val="89"/>
              </w:rPr>
              <w:t>35.1%</w:t>
            </w:r>
          </w:p>
        </w:tc>
        <w:tc>
          <w:tcPr>
            <w:tcW w:w="660" w:type="dxa"/>
            <w:vAlign w:val="bottom"/>
            <w:gridSpan w:val="3"/>
            <w:shd w:val="clear" w:color="auto" w:fill="CCEEFF"/>
          </w:tcPr>
          <w:p>
            <w:pPr>
              <w:jc w:val="right"/>
              <w:ind w:right="40"/>
              <w:spacing w:after="0" w:line="124" w:lineRule="exact"/>
              <w:rPr>
                <w:sz w:val="20"/>
                <w:szCs w:val="20"/>
                <w:color w:val="auto"/>
              </w:rPr>
            </w:pPr>
            <w:r>
              <w:rPr>
                <w:rFonts w:ascii="Arial" w:cs="Arial" w:eastAsia="Arial" w:hAnsi="Arial"/>
                <w:sz w:val="11"/>
                <w:szCs w:val="11"/>
                <w:color w:val="auto"/>
              </w:rPr>
              <w:t>36.6%</w:t>
            </w:r>
          </w:p>
        </w:tc>
        <w:tc>
          <w:tcPr>
            <w:tcW w:w="680" w:type="dxa"/>
            <w:vAlign w:val="bottom"/>
            <w:gridSpan w:val="3"/>
            <w:shd w:val="clear" w:color="auto" w:fill="CCEEFF"/>
          </w:tcPr>
          <w:p>
            <w:pPr>
              <w:jc w:val="right"/>
              <w:ind w:right="80"/>
              <w:spacing w:after="0" w:line="124" w:lineRule="exact"/>
              <w:rPr>
                <w:sz w:val="20"/>
                <w:szCs w:val="20"/>
                <w:color w:val="auto"/>
              </w:rPr>
            </w:pPr>
            <w:r>
              <w:rPr>
                <w:rFonts w:ascii="Arial" w:cs="Arial" w:eastAsia="Arial" w:hAnsi="Arial"/>
                <w:sz w:val="11"/>
                <w:szCs w:val="11"/>
                <w:color w:val="auto"/>
              </w:rPr>
              <w:t>35.3%</w:t>
            </w:r>
          </w:p>
        </w:tc>
        <w:tc>
          <w:tcPr>
            <w:tcW w:w="460" w:type="dxa"/>
            <w:vAlign w:val="bottom"/>
            <w:shd w:val="clear" w:color="auto" w:fill="CCEEFF"/>
          </w:tcPr>
          <w:p>
            <w:pPr>
              <w:jc w:val="right"/>
              <w:spacing w:after="0" w:line="124" w:lineRule="exact"/>
              <w:rPr>
                <w:sz w:val="20"/>
                <w:szCs w:val="20"/>
                <w:color w:val="auto"/>
              </w:rPr>
            </w:pPr>
            <w:r>
              <w:rPr>
                <w:rFonts w:ascii="Arial" w:cs="Arial" w:eastAsia="Arial" w:hAnsi="Arial"/>
                <w:sz w:val="11"/>
                <w:szCs w:val="11"/>
                <w:color w:val="auto"/>
                <w:w w:val="89"/>
              </w:rPr>
              <w:t>4,666,666</w:t>
            </w:r>
          </w:p>
        </w:tc>
        <w:tc>
          <w:tcPr>
            <w:tcW w:w="80" w:type="dxa"/>
            <w:vAlign w:val="bottom"/>
            <w:shd w:val="clear" w:color="auto" w:fill="CCEEFF"/>
          </w:tcPr>
          <w:p>
            <w:pPr>
              <w:spacing w:after="0"/>
              <w:rPr>
                <w:sz w:val="10"/>
                <w:szCs w:val="10"/>
                <w:color w:val="auto"/>
              </w:rPr>
            </w:pPr>
          </w:p>
        </w:tc>
        <w:tc>
          <w:tcPr>
            <w:tcW w:w="500" w:type="dxa"/>
            <w:vAlign w:val="bottom"/>
            <w:shd w:val="clear" w:color="auto" w:fill="CCEEFF"/>
          </w:tcPr>
          <w:p>
            <w:pPr>
              <w:jc w:val="right"/>
              <w:spacing w:after="0" w:line="124" w:lineRule="exact"/>
              <w:rPr>
                <w:sz w:val="20"/>
                <w:szCs w:val="20"/>
                <w:color w:val="auto"/>
              </w:rPr>
            </w:pPr>
            <w:r>
              <w:rPr>
                <w:rFonts w:ascii="Arial" w:cs="Arial" w:eastAsia="Arial" w:hAnsi="Arial"/>
                <w:sz w:val="11"/>
                <w:szCs w:val="11"/>
                <w:color w:val="auto"/>
                <w:w w:val="87"/>
              </w:rPr>
              <w:t>14,862,638</w:t>
            </w:r>
          </w:p>
        </w:tc>
        <w:tc>
          <w:tcPr>
            <w:tcW w:w="60" w:type="dxa"/>
            <w:vAlign w:val="bottom"/>
            <w:shd w:val="clear" w:color="auto" w:fill="CCEEFF"/>
          </w:tcPr>
          <w:p>
            <w:pPr>
              <w:spacing w:after="0"/>
              <w:rPr>
                <w:sz w:val="10"/>
                <w:szCs w:val="10"/>
                <w:color w:val="auto"/>
              </w:rPr>
            </w:pPr>
          </w:p>
        </w:tc>
        <w:tc>
          <w:tcPr>
            <w:tcW w:w="400" w:type="dxa"/>
            <w:vAlign w:val="bottom"/>
            <w:gridSpan w:val="2"/>
            <w:shd w:val="clear" w:color="auto" w:fill="CCEEFF"/>
          </w:tcPr>
          <w:p>
            <w:pPr>
              <w:jc w:val="right"/>
              <w:ind w:right="80"/>
              <w:spacing w:after="0" w:line="124" w:lineRule="exact"/>
              <w:rPr>
                <w:sz w:val="20"/>
                <w:szCs w:val="20"/>
                <w:color w:val="auto"/>
              </w:rPr>
            </w:pPr>
            <w:r>
              <w:rPr>
                <w:rFonts w:ascii="Arial" w:cs="Arial" w:eastAsia="Arial" w:hAnsi="Arial"/>
                <w:sz w:val="11"/>
                <w:szCs w:val="11"/>
                <w:color w:val="auto"/>
                <w:w w:val="96"/>
              </w:rPr>
              <w:t>21.8%</w:t>
            </w:r>
          </w:p>
        </w:tc>
        <w:tc>
          <w:tcPr>
            <w:tcW w:w="560" w:type="dxa"/>
            <w:vAlign w:val="bottom"/>
            <w:shd w:val="clear" w:color="auto" w:fill="CCEEFF"/>
          </w:tcPr>
          <w:p>
            <w:pPr>
              <w:jc w:val="right"/>
              <w:spacing w:after="0" w:line="124" w:lineRule="exact"/>
              <w:rPr>
                <w:sz w:val="20"/>
                <w:szCs w:val="20"/>
                <w:color w:val="auto"/>
              </w:rPr>
            </w:pPr>
            <w:r>
              <w:rPr>
                <w:rFonts w:ascii="Arial" w:cs="Arial" w:eastAsia="Arial" w:hAnsi="Arial"/>
                <w:sz w:val="11"/>
                <w:szCs w:val="11"/>
                <w:color w:val="auto"/>
                <w:w w:val="88"/>
              </w:rPr>
              <w:t>117,944,233</w:t>
            </w:r>
          </w:p>
        </w:tc>
        <w:tc>
          <w:tcPr>
            <w:tcW w:w="60" w:type="dxa"/>
            <w:vAlign w:val="bottom"/>
            <w:shd w:val="clear" w:color="auto" w:fill="CCEEFF"/>
          </w:tcPr>
          <w:p>
            <w:pPr>
              <w:spacing w:after="0"/>
              <w:rPr>
                <w:sz w:val="10"/>
                <w:szCs w:val="10"/>
                <w:color w:val="auto"/>
              </w:rPr>
            </w:pPr>
          </w:p>
        </w:tc>
        <w:tc>
          <w:tcPr>
            <w:tcW w:w="340" w:type="dxa"/>
            <w:vAlign w:val="bottom"/>
            <w:gridSpan w:val="2"/>
            <w:shd w:val="clear" w:color="auto" w:fill="CCEEFF"/>
          </w:tcPr>
          <w:p>
            <w:pPr>
              <w:jc w:val="right"/>
              <w:ind w:right="20"/>
              <w:spacing w:after="0" w:line="124" w:lineRule="exact"/>
              <w:rPr>
                <w:sz w:val="20"/>
                <w:szCs w:val="20"/>
                <w:color w:val="auto"/>
              </w:rPr>
            </w:pPr>
            <w:r>
              <w:rPr>
                <w:rFonts w:ascii="Arial" w:cs="Arial" w:eastAsia="Arial" w:hAnsi="Arial"/>
                <w:sz w:val="11"/>
                <w:szCs w:val="11"/>
                <w:color w:val="auto"/>
                <w:w w:val="96"/>
              </w:rPr>
              <w:t>34.7%</w:t>
            </w:r>
          </w:p>
        </w:tc>
        <w:tc>
          <w:tcPr>
            <w:tcW w:w="660" w:type="dxa"/>
            <w:vAlign w:val="bottom"/>
            <w:gridSpan w:val="3"/>
            <w:shd w:val="clear" w:color="auto" w:fill="CCEEFF"/>
          </w:tcPr>
          <w:p>
            <w:pPr>
              <w:jc w:val="right"/>
              <w:ind w:right="40"/>
              <w:spacing w:after="0" w:line="124" w:lineRule="exact"/>
              <w:rPr>
                <w:sz w:val="20"/>
                <w:szCs w:val="20"/>
                <w:color w:val="auto"/>
              </w:rPr>
            </w:pPr>
            <w:r>
              <w:rPr>
                <w:rFonts w:ascii="Arial" w:cs="Arial" w:eastAsia="Arial" w:hAnsi="Arial"/>
                <w:sz w:val="11"/>
                <w:szCs w:val="11"/>
                <w:color w:val="auto"/>
              </w:rPr>
              <w:t>32.5%</w:t>
            </w:r>
          </w:p>
        </w:tc>
        <w:tc>
          <w:tcPr>
            <w:tcW w:w="660" w:type="dxa"/>
            <w:vAlign w:val="bottom"/>
            <w:gridSpan w:val="3"/>
            <w:shd w:val="clear" w:color="auto" w:fill="CCEEFF"/>
          </w:tcPr>
          <w:p>
            <w:pPr>
              <w:jc w:val="right"/>
              <w:ind w:right="80"/>
              <w:spacing w:after="0" w:line="124" w:lineRule="exact"/>
              <w:rPr>
                <w:sz w:val="20"/>
                <w:szCs w:val="20"/>
                <w:color w:val="auto"/>
              </w:rPr>
            </w:pPr>
            <w:r>
              <w:rPr>
                <w:rFonts w:ascii="Arial" w:cs="Arial" w:eastAsia="Arial" w:hAnsi="Arial"/>
                <w:sz w:val="11"/>
                <w:szCs w:val="11"/>
                <w:color w:val="auto"/>
              </w:rPr>
              <w:t>34.5%</w:t>
            </w:r>
          </w:p>
        </w:tc>
        <w:tc>
          <w:tcPr>
            <w:tcW w:w="500" w:type="dxa"/>
            <w:vAlign w:val="bottom"/>
            <w:shd w:val="clear" w:color="auto" w:fill="CCEEFF"/>
          </w:tcPr>
          <w:p>
            <w:pPr>
              <w:jc w:val="right"/>
              <w:spacing w:after="0" w:line="124" w:lineRule="exact"/>
              <w:rPr>
                <w:sz w:val="20"/>
                <w:szCs w:val="20"/>
                <w:color w:val="auto"/>
              </w:rPr>
            </w:pPr>
            <w:r>
              <w:rPr>
                <w:rFonts w:ascii="Arial" w:cs="Arial" w:eastAsia="Arial" w:hAnsi="Arial"/>
                <w:sz w:val="11"/>
                <w:szCs w:val="11"/>
                <w:color w:val="auto"/>
                <w:w w:val="87"/>
              </w:rPr>
              <w:t>14,862,638</w:t>
            </w:r>
          </w:p>
        </w:tc>
        <w:tc>
          <w:tcPr>
            <w:tcW w:w="80" w:type="dxa"/>
            <w:vAlign w:val="bottom"/>
            <w:shd w:val="clear" w:color="auto" w:fill="CCEEFF"/>
          </w:tcPr>
          <w:p>
            <w:pPr>
              <w:spacing w:after="0"/>
              <w:rPr>
                <w:sz w:val="10"/>
                <w:szCs w:val="10"/>
                <w:color w:val="auto"/>
              </w:rPr>
            </w:pPr>
          </w:p>
        </w:tc>
        <w:tc>
          <w:tcPr>
            <w:tcW w:w="380" w:type="dxa"/>
            <w:vAlign w:val="bottom"/>
            <w:gridSpan w:val="2"/>
            <w:shd w:val="clear" w:color="auto" w:fill="CCEEFF"/>
          </w:tcPr>
          <w:p>
            <w:pPr>
              <w:jc w:val="right"/>
              <w:ind w:right="80"/>
              <w:spacing w:after="0" w:line="124" w:lineRule="exact"/>
              <w:rPr>
                <w:sz w:val="20"/>
                <w:szCs w:val="20"/>
                <w:color w:val="auto"/>
              </w:rPr>
            </w:pPr>
            <w:r>
              <w:rPr>
                <w:rFonts w:ascii="Arial" w:cs="Arial" w:eastAsia="Arial" w:hAnsi="Arial"/>
                <w:sz w:val="11"/>
                <w:szCs w:val="11"/>
                <w:color w:val="auto"/>
                <w:w w:val="89"/>
              </w:rPr>
              <w:t>20.2%</w:t>
            </w:r>
          </w:p>
        </w:tc>
        <w:tc>
          <w:tcPr>
            <w:tcW w:w="560" w:type="dxa"/>
            <w:vAlign w:val="bottom"/>
            <w:shd w:val="clear" w:color="auto" w:fill="CCEEFF"/>
          </w:tcPr>
          <w:p>
            <w:pPr>
              <w:jc w:val="right"/>
              <w:spacing w:after="0" w:line="124" w:lineRule="exact"/>
              <w:rPr>
                <w:sz w:val="20"/>
                <w:szCs w:val="20"/>
                <w:color w:val="auto"/>
              </w:rPr>
            </w:pPr>
            <w:r>
              <w:rPr>
                <w:rFonts w:ascii="Arial" w:cs="Arial" w:eastAsia="Arial" w:hAnsi="Arial"/>
                <w:sz w:val="11"/>
                <w:szCs w:val="11"/>
                <w:color w:val="auto"/>
                <w:w w:val="88"/>
              </w:rPr>
              <w:t>117,944,233</w:t>
            </w:r>
          </w:p>
        </w:tc>
        <w:tc>
          <w:tcPr>
            <w:tcW w:w="80" w:type="dxa"/>
            <w:vAlign w:val="bottom"/>
            <w:shd w:val="clear" w:color="auto" w:fill="CCEEFF"/>
          </w:tcPr>
          <w:p>
            <w:pPr>
              <w:spacing w:after="0"/>
              <w:rPr>
                <w:sz w:val="10"/>
                <w:szCs w:val="10"/>
                <w:color w:val="auto"/>
              </w:rPr>
            </w:pPr>
          </w:p>
        </w:tc>
        <w:tc>
          <w:tcPr>
            <w:tcW w:w="340" w:type="dxa"/>
            <w:vAlign w:val="bottom"/>
            <w:gridSpan w:val="2"/>
            <w:shd w:val="clear" w:color="auto" w:fill="CCEEFF"/>
          </w:tcPr>
          <w:p>
            <w:pPr>
              <w:jc w:val="right"/>
              <w:ind w:right="40"/>
              <w:spacing w:after="0" w:line="124" w:lineRule="exact"/>
              <w:rPr>
                <w:sz w:val="20"/>
                <w:szCs w:val="20"/>
                <w:color w:val="auto"/>
              </w:rPr>
            </w:pPr>
            <w:r>
              <w:rPr>
                <w:rFonts w:ascii="Arial" w:cs="Arial" w:eastAsia="Arial" w:hAnsi="Arial"/>
                <w:sz w:val="11"/>
                <w:szCs w:val="11"/>
                <w:color w:val="auto"/>
                <w:w w:val="89"/>
              </w:rPr>
              <w:t>34.7%</w:t>
            </w:r>
          </w:p>
        </w:tc>
        <w:tc>
          <w:tcPr>
            <w:tcW w:w="4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97"/>
        </w:trPr>
        <w:tc>
          <w:tcPr>
            <w:tcW w:w="1100" w:type="dxa"/>
            <w:vAlign w:val="bottom"/>
            <w:gridSpan w:val="2"/>
          </w:tcPr>
          <w:p>
            <w:pPr>
              <w:spacing w:after="0" w:line="97" w:lineRule="exact"/>
              <w:rPr>
                <w:sz w:val="20"/>
                <w:szCs w:val="20"/>
                <w:color w:val="auto"/>
              </w:rPr>
            </w:pPr>
            <w:r>
              <w:rPr>
                <w:rFonts w:ascii="Arial" w:cs="Arial" w:eastAsia="Arial" w:hAnsi="Arial"/>
                <w:sz w:val="11"/>
                <w:szCs w:val="11"/>
                <w:b w:val="1"/>
                <w:bCs w:val="1"/>
                <w:color w:val="auto"/>
              </w:rPr>
              <w:t>Greater than 5%</w:t>
            </w:r>
          </w:p>
        </w:tc>
        <w:tc>
          <w:tcPr>
            <w:tcW w:w="500" w:type="dxa"/>
            <w:vAlign w:val="bottom"/>
          </w:tcPr>
          <w:p>
            <w:pPr>
              <w:spacing w:after="0"/>
              <w:rPr>
                <w:sz w:val="8"/>
                <w:szCs w:val="8"/>
                <w:color w:val="auto"/>
              </w:rPr>
            </w:pPr>
          </w:p>
        </w:tc>
        <w:tc>
          <w:tcPr>
            <w:tcW w:w="60" w:type="dxa"/>
            <w:vAlign w:val="bottom"/>
          </w:tcPr>
          <w:p>
            <w:pPr>
              <w:spacing w:after="0"/>
              <w:rPr>
                <w:sz w:val="8"/>
                <w:szCs w:val="8"/>
                <w:color w:val="auto"/>
              </w:rPr>
            </w:pPr>
          </w:p>
        </w:tc>
        <w:tc>
          <w:tcPr>
            <w:tcW w:w="240" w:type="dxa"/>
            <w:vAlign w:val="bottom"/>
          </w:tcPr>
          <w:p>
            <w:pPr>
              <w:spacing w:after="0"/>
              <w:rPr>
                <w:sz w:val="8"/>
                <w:szCs w:val="8"/>
                <w:color w:val="auto"/>
              </w:rPr>
            </w:pPr>
          </w:p>
        </w:tc>
        <w:tc>
          <w:tcPr>
            <w:tcW w:w="16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 w:type="dxa"/>
            <w:vAlign w:val="bottom"/>
          </w:tcPr>
          <w:p>
            <w:pPr>
              <w:spacing w:after="0"/>
              <w:rPr>
                <w:sz w:val="8"/>
                <w:szCs w:val="8"/>
                <w:color w:val="auto"/>
              </w:rPr>
            </w:pPr>
          </w:p>
        </w:tc>
        <w:tc>
          <w:tcPr>
            <w:tcW w:w="480" w:type="dxa"/>
            <w:vAlign w:val="bottom"/>
          </w:tcPr>
          <w:p>
            <w:pPr>
              <w:spacing w:after="0"/>
              <w:rPr>
                <w:sz w:val="8"/>
                <w:szCs w:val="8"/>
                <w:color w:val="auto"/>
              </w:rPr>
            </w:pPr>
          </w:p>
        </w:tc>
        <w:tc>
          <w:tcPr>
            <w:tcW w:w="160" w:type="dxa"/>
            <w:vAlign w:val="bottom"/>
          </w:tcPr>
          <w:p>
            <w:pPr>
              <w:spacing w:after="0"/>
              <w:rPr>
                <w:sz w:val="8"/>
                <w:szCs w:val="8"/>
                <w:color w:val="auto"/>
              </w:rPr>
            </w:pPr>
          </w:p>
        </w:tc>
        <w:tc>
          <w:tcPr>
            <w:tcW w:w="46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60" w:type="dxa"/>
            <w:vAlign w:val="bottom"/>
          </w:tcPr>
          <w:p>
            <w:pPr>
              <w:spacing w:after="0"/>
              <w:rPr>
                <w:sz w:val="8"/>
                <w:szCs w:val="8"/>
                <w:color w:val="auto"/>
              </w:rPr>
            </w:pPr>
          </w:p>
        </w:tc>
        <w:tc>
          <w:tcPr>
            <w:tcW w:w="240" w:type="dxa"/>
            <w:vAlign w:val="bottom"/>
          </w:tcPr>
          <w:p>
            <w:pPr>
              <w:spacing w:after="0"/>
              <w:rPr>
                <w:sz w:val="8"/>
                <w:szCs w:val="8"/>
                <w:color w:val="auto"/>
              </w:rPr>
            </w:pPr>
          </w:p>
        </w:tc>
        <w:tc>
          <w:tcPr>
            <w:tcW w:w="16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 w:type="dxa"/>
            <w:vAlign w:val="bottom"/>
          </w:tcPr>
          <w:p>
            <w:pPr>
              <w:spacing w:after="0"/>
              <w:rPr>
                <w:sz w:val="8"/>
                <w:szCs w:val="8"/>
                <w:color w:val="auto"/>
              </w:rPr>
            </w:pPr>
          </w:p>
        </w:tc>
        <w:tc>
          <w:tcPr>
            <w:tcW w:w="460" w:type="dxa"/>
            <w:vAlign w:val="bottom"/>
          </w:tcPr>
          <w:p>
            <w:pPr>
              <w:spacing w:after="0"/>
              <w:rPr>
                <w:sz w:val="8"/>
                <w:szCs w:val="8"/>
                <w:color w:val="auto"/>
              </w:rPr>
            </w:pPr>
          </w:p>
        </w:tc>
        <w:tc>
          <w:tcPr>
            <w:tcW w:w="16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60" w:type="dxa"/>
            <w:vAlign w:val="bottom"/>
          </w:tcPr>
          <w:p>
            <w:pPr>
              <w:spacing w:after="0"/>
              <w:rPr>
                <w:sz w:val="8"/>
                <w:szCs w:val="8"/>
                <w:color w:val="auto"/>
              </w:rPr>
            </w:pPr>
          </w:p>
        </w:tc>
        <w:tc>
          <w:tcPr>
            <w:tcW w:w="560" w:type="dxa"/>
            <w:vAlign w:val="bottom"/>
          </w:tcPr>
          <w:p>
            <w:pPr>
              <w:spacing w:after="0"/>
              <w:rPr>
                <w:sz w:val="8"/>
                <w:szCs w:val="8"/>
                <w:color w:val="auto"/>
              </w:rPr>
            </w:pPr>
          </w:p>
        </w:tc>
        <w:tc>
          <w:tcPr>
            <w:tcW w:w="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 w:type="dxa"/>
            <w:vAlign w:val="bottom"/>
          </w:tcPr>
          <w:p>
            <w:pPr>
              <w:spacing w:after="0"/>
              <w:rPr>
                <w:sz w:val="8"/>
                <w:szCs w:val="8"/>
                <w:color w:val="auto"/>
              </w:rPr>
            </w:pPr>
          </w:p>
        </w:tc>
        <w:tc>
          <w:tcPr>
            <w:tcW w:w="2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8"/>
        </w:trPr>
        <w:tc>
          <w:tcPr>
            <w:tcW w:w="1100" w:type="dxa"/>
            <w:vAlign w:val="bottom"/>
            <w:gridSpan w:val="2"/>
          </w:tcPr>
          <w:p>
            <w:pPr>
              <w:ind w:left="100"/>
              <w:spacing w:after="0"/>
              <w:rPr>
                <w:sz w:val="20"/>
                <w:szCs w:val="20"/>
                <w:color w:val="auto"/>
              </w:rPr>
            </w:pPr>
            <w:r>
              <w:rPr>
                <w:rFonts w:ascii="Arial" w:cs="Arial" w:eastAsia="Arial" w:hAnsi="Arial"/>
                <w:sz w:val="11"/>
                <w:szCs w:val="11"/>
                <w:b w:val="1"/>
                <w:bCs w:val="1"/>
                <w:color w:val="auto"/>
              </w:rPr>
              <w:t>stockholders</w:t>
            </w: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1"/>
        </w:trPr>
        <w:tc>
          <w:tcPr>
            <w:tcW w:w="1100" w:type="dxa"/>
            <w:vAlign w:val="bottom"/>
            <w:gridSpan w:val="2"/>
            <w:shd w:val="clear" w:color="auto" w:fill="CCEEFF"/>
          </w:tcPr>
          <w:p>
            <w:pPr>
              <w:spacing w:after="0" w:line="102" w:lineRule="exact"/>
              <w:rPr>
                <w:sz w:val="20"/>
                <w:szCs w:val="20"/>
                <w:color w:val="auto"/>
              </w:rPr>
            </w:pPr>
            <w:r>
              <w:rPr>
                <w:rFonts w:ascii="Arial" w:cs="Arial" w:eastAsia="Arial" w:hAnsi="Arial"/>
                <w:sz w:val="11"/>
                <w:szCs w:val="11"/>
                <w:color w:val="auto"/>
              </w:rPr>
              <w:t>Entities affiliated with</w:t>
            </w:r>
          </w:p>
        </w:tc>
        <w:tc>
          <w:tcPr>
            <w:tcW w:w="5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56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56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56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28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24"/>
        </w:trPr>
        <w:tc>
          <w:tcPr>
            <w:tcW w:w="1100" w:type="dxa"/>
            <w:vAlign w:val="bottom"/>
            <w:gridSpan w:val="2"/>
            <w:shd w:val="clear" w:color="auto" w:fill="CCEEFF"/>
          </w:tcPr>
          <w:p>
            <w:pPr>
              <w:ind w:left="100"/>
              <w:spacing w:after="0" w:line="124" w:lineRule="exact"/>
              <w:rPr>
                <w:sz w:val="20"/>
                <w:szCs w:val="20"/>
                <w:color w:val="auto"/>
              </w:rPr>
            </w:pPr>
            <w:r>
              <w:rPr>
                <w:rFonts w:ascii="Arial" w:cs="Arial" w:eastAsia="Arial" w:hAnsi="Arial"/>
                <w:sz w:val="11"/>
                <w:szCs w:val="11"/>
                <w:color w:val="auto"/>
              </w:rPr>
              <w:t>Sequoia Capital</w:t>
            </w:r>
            <w:r>
              <w:rPr>
                <w:rFonts w:ascii="Arial" w:cs="Arial" w:eastAsia="Arial" w:hAnsi="Arial"/>
                <w:sz w:val="8"/>
                <w:szCs w:val="8"/>
                <w:color w:val="auto"/>
              </w:rPr>
              <w:t>(9)</w:t>
            </w:r>
          </w:p>
        </w:tc>
        <w:tc>
          <w:tcPr>
            <w:tcW w:w="560" w:type="dxa"/>
            <w:vAlign w:val="bottom"/>
            <w:gridSpan w:val="2"/>
            <w:shd w:val="clear" w:color="auto" w:fill="CCEEFF"/>
          </w:tcPr>
          <w:p>
            <w:pPr>
              <w:ind w:left="340"/>
              <w:spacing w:after="0" w:line="124" w:lineRule="exact"/>
              <w:rPr>
                <w:sz w:val="20"/>
                <w:szCs w:val="20"/>
                <w:color w:val="auto"/>
              </w:rPr>
            </w:pPr>
            <w:r>
              <w:rPr>
                <w:rFonts w:ascii="Arial" w:cs="Arial" w:eastAsia="Arial" w:hAnsi="Arial"/>
                <w:sz w:val="11"/>
                <w:szCs w:val="11"/>
                <w:color w:val="auto"/>
              </w:rPr>
              <w:t>—</w:t>
            </w:r>
          </w:p>
        </w:tc>
        <w:tc>
          <w:tcPr>
            <w:tcW w:w="240" w:type="dxa"/>
            <w:vAlign w:val="bottom"/>
            <w:shd w:val="clear" w:color="auto" w:fill="CCEEFF"/>
          </w:tcPr>
          <w:p>
            <w:pPr>
              <w:jc w:val="right"/>
              <w:spacing w:after="0" w:line="124" w:lineRule="exact"/>
              <w:rPr>
                <w:sz w:val="20"/>
                <w:szCs w:val="20"/>
                <w:color w:val="auto"/>
              </w:rPr>
            </w:pPr>
            <w:r>
              <w:rPr>
                <w:rFonts w:ascii="Arial" w:cs="Arial" w:eastAsia="Arial" w:hAnsi="Arial"/>
                <w:sz w:val="11"/>
                <w:szCs w:val="11"/>
                <w:color w:val="auto"/>
              </w:rPr>
              <w:t>*</w:t>
            </w:r>
          </w:p>
        </w:tc>
        <w:tc>
          <w:tcPr>
            <w:tcW w:w="160" w:type="dxa"/>
            <w:vAlign w:val="bottom"/>
            <w:shd w:val="clear" w:color="auto" w:fill="CCEEFF"/>
          </w:tcPr>
          <w:p>
            <w:pPr>
              <w:spacing w:after="0"/>
              <w:rPr>
                <w:sz w:val="10"/>
                <w:szCs w:val="10"/>
                <w:color w:val="auto"/>
              </w:rPr>
            </w:pPr>
          </w:p>
        </w:tc>
        <w:tc>
          <w:tcPr>
            <w:tcW w:w="560" w:type="dxa"/>
            <w:vAlign w:val="bottom"/>
            <w:shd w:val="clear" w:color="auto" w:fill="CCEEFF"/>
          </w:tcPr>
          <w:p>
            <w:pPr>
              <w:jc w:val="right"/>
              <w:spacing w:after="0" w:line="124" w:lineRule="exact"/>
              <w:rPr>
                <w:sz w:val="20"/>
                <w:szCs w:val="20"/>
                <w:color w:val="auto"/>
              </w:rPr>
            </w:pPr>
            <w:r>
              <w:rPr>
                <w:rFonts w:ascii="Arial" w:cs="Arial" w:eastAsia="Arial" w:hAnsi="Arial"/>
                <w:sz w:val="11"/>
                <w:szCs w:val="11"/>
                <w:color w:val="auto"/>
                <w:w w:val="94"/>
              </w:rPr>
              <w:t>87,171,450</w:t>
            </w:r>
          </w:p>
        </w:tc>
        <w:tc>
          <w:tcPr>
            <w:tcW w:w="60" w:type="dxa"/>
            <w:vAlign w:val="bottom"/>
            <w:shd w:val="clear" w:color="auto" w:fill="CCEEFF"/>
          </w:tcPr>
          <w:p>
            <w:pPr>
              <w:spacing w:after="0"/>
              <w:rPr>
                <w:sz w:val="10"/>
                <w:szCs w:val="10"/>
                <w:color w:val="auto"/>
              </w:rPr>
            </w:pPr>
          </w:p>
        </w:tc>
        <w:tc>
          <w:tcPr>
            <w:tcW w:w="340" w:type="dxa"/>
            <w:vAlign w:val="bottom"/>
            <w:gridSpan w:val="2"/>
            <w:shd w:val="clear" w:color="auto" w:fill="CCEEFF"/>
          </w:tcPr>
          <w:p>
            <w:pPr>
              <w:jc w:val="right"/>
              <w:ind w:right="40"/>
              <w:spacing w:after="0" w:line="124" w:lineRule="exact"/>
              <w:rPr>
                <w:sz w:val="20"/>
                <w:szCs w:val="20"/>
                <w:color w:val="auto"/>
              </w:rPr>
            </w:pPr>
            <w:r>
              <w:rPr>
                <w:rFonts w:ascii="Arial" w:cs="Arial" w:eastAsia="Arial" w:hAnsi="Arial"/>
                <w:sz w:val="11"/>
                <w:szCs w:val="11"/>
                <w:color w:val="auto"/>
                <w:w w:val="89"/>
              </w:rPr>
              <w:t>25.0%</w:t>
            </w:r>
          </w:p>
        </w:tc>
        <w:tc>
          <w:tcPr>
            <w:tcW w:w="660" w:type="dxa"/>
            <w:vAlign w:val="bottom"/>
            <w:gridSpan w:val="3"/>
            <w:shd w:val="clear" w:color="auto" w:fill="CCEEFF"/>
          </w:tcPr>
          <w:p>
            <w:pPr>
              <w:jc w:val="right"/>
              <w:ind w:right="40"/>
              <w:spacing w:after="0" w:line="124" w:lineRule="exact"/>
              <w:rPr>
                <w:sz w:val="20"/>
                <w:szCs w:val="20"/>
                <w:color w:val="auto"/>
              </w:rPr>
            </w:pPr>
            <w:r>
              <w:rPr>
                <w:rFonts w:ascii="Arial" w:cs="Arial" w:eastAsia="Arial" w:hAnsi="Arial"/>
                <w:sz w:val="11"/>
                <w:szCs w:val="11"/>
                <w:color w:val="auto"/>
              </w:rPr>
              <w:t>23.2%</w:t>
            </w:r>
          </w:p>
        </w:tc>
        <w:tc>
          <w:tcPr>
            <w:tcW w:w="680" w:type="dxa"/>
            <w:vAlign w:val="bottom"/>
            <w:gridSpan w:val="3"/>
            <w:shd w:val="clear" w:color="auto" w:fill="CCEEFF"/>
          </w:tcPr>
          <w:p>
            <w:pPr>
              <w:jc w:val="right"/>
              <w:ind w:right="80"/>
              <w:spacing w:after="0" w:line="124" w:lineRule="exact"/>
              <w:rPr>
                <w:sz w:val="20"/>
                <w:szCs w:val="20"/>
                <w:color w:val="auto"/>
              </w:rPr>
            </w:pPr>
            <w:r>
              <w:rPr>
                <w:rFonts w:ascii="Arial" w:cs="Arial" w:eastAsia="Arial" w:hAnsi="Arial"/>
                <w:sz w:val="11"/>
                <w:szCs w:val="11"/>
                <w:color w:val="auto"/>
              </w:rPr>
              <w:t>24.8%</w:t>
            </w:r>
          </w:p>
        </w:tc>
        <w:tc>
          <w:tcPr>
            <w:tcW w:w="540" w:type="dxa"/>
            <w:vAlign w:val="bottom"/>
            <w:gridSpan w:val="2"/>
            <w:shd w:val="clear" w:color="auto" w:fill="CCEEFF"/>
          </w:tcPr>
          <w:p>
            <w:pPr>
              <w:ind w:left="300"/>
              <w:spacing w:after="0" w:line="124" w:lineRule="exact"/>
              <w:rPr>
                <w:sz w:val="20"/>
                <w:szCs w:val="20"/>
                <w:color w:val="auto"/>
              </w:rPr>
            </w:pPr>
            <w:r>
              <w:rPr>
                <w:rFonts w:ascii="Arial" w:cs="Arial" w:eastAsia="Arial" w:hAnsi="Arial"/>
                <w:sz w:val="11"/>
                <w:szCs w:val="11"/>
                <w:color w:val="auto"/>
              </w:rPr>
              <w:t>—</w:t>
            </w:r>
          </w:p>
        </w:tc>
        <w:tc>
          <w:tcPr>
            <w:tcW w:w="560" w:type="dxa"/>
            <w:vAlign w:val="bottom"/>
            <w:gridSpan w:val="2"/>
            <w:shd w:val="clear" w:color="auto" w:fill="CCEEFF"/>
          </w:tcPr>
          <w:p>
            <w:pPr>
              <w:ind w:left="340"/>
              <w:spacing w:after="0" w:line="124" w:lineRule="exact"/>
              <w:rPr>
                <w:sz w:val="20"/>
                <w:szCs w:val="20"/>
                <w:color w:val="auto"/>
              </w:rPr>
            </w:pPr>
            <w:r>
              <w:rPr>
                <w:rFonts w:ascii="Arial" w:cs="Arial" w:eastAsia="Arial" w:hAnsi="Arial"/>
                <w:sz w:val="11"/>
                <w:szCs w:val="11"/>
                <w:color w:val="auto"/>
              </w:rPr>
              <w:t>—</w:t>
            </w:r>
          </w:p>
        </w:tc>
        <w:tc>
          <w:tcPr>
            <w:tcW w:w="240" w:type="dxa"/>
            <w:vAlign w:val="bottom"/>
            <w:shd w:val="clear" w:color="auto" w:fill="CCEEFF"/>
          </w:tcPr>
          <w:p>
            <w:pPr>
              <w:jc w:val="right"/>
              <w:spacing w:after="0" w:line="124" w:lineRule="exact"/>
              <w:rPr>
                <w:sz w:val="20"/>
                <w:szCs w:val="20"/>
                <w:color w:val="auto"/>
              </w:rPr>
            </w:pPr>
            <w:r>
              <w:rPr>
                <w:rFonts w:ascii="Arial" w:cs="Arial" w:eastAsia="Arial" w:hAnsi="Arial"/>
                <w:sz w:val="11"/>
                <w:szCs w:val="11"/>
                <w:color w:val="auto"/>
              </w:rPr>
              <w:t>*</w:t>
            </w:r>
          </w:p>
        </w:tc>
        <w:tc>
          <w:tcPr>
            <w:tcW w:w="160" w:type="dxa"/>
            <w:vAlign w:val="bottom"/>
            <w:shd w:val="clear" w:color="auto" w:fill="CCEEFF"/>
          </w:tcPr>
          <w:p>
            <w:pPr>
              <w:spacing w:after="0"/>
              <w:rPr>
                <w:sz w:val="10"/>
                <w:szCs w:val="10"/>
                <w:color w:val="auto"/>
              </w:rPr>
            </w:pPr>
          </w:p>
        </w:tc>
        <w:tc>
          <w:tcPr>
            <w:tcW w:w="560" w:type="dxa"/>
            <w:vAlign w:val="bottom"/>
            <w:shd w:val="clear" w:color="auto" w:fill="CCEEFF"/>
          </w:tcPr>
          <w:p>
            <w:pPr>
              <w:jc w:val="right"/>
              <w:spacing w:after="0" w:line="124" w:lineRule="exact"/>
              <w:rPr>
                <w:sz w:val="20"/>
                <w:szCs w:val="20"/>
                <w:color w:val="auto"/>
              </w:rPr>
            </w:pPr>
            <w:r>
              <w:rPr>
                <w:rFonts w:ascii="Arial" w:cs="Arial" w:eastAsia="Arial" w:hAnsi="Arial"/>
                <w:sz w:val="11"/>
                <w:szCs w:val="11"/>
                <w:color w:val="auto"/>
                <w:w w:val="98"/>
              </w:rPr>
              <w:t>87,171,450</w:t>
            </w:r>
          </w:p>
        </w:tc>
        <w:tc>
          <w:tcPr>
            <w:tcW w:w="60" w:type="dxa"/>
            <w:vAlign w:val="bottom"/>
            <w:shd w:val="clear" w:color="auto" w:fill="CCEEFF"/>
          </w:tcPr>
          <w:p>
            <w:pPr>
              <w:spacing w:after="0"/>
              <w:rPr>
                <w:sz w:val="10"/>
                <w:szCs w:val="10"/>
                <w:color w:val="auto"/>
              </w:rPr>
            </w:pPr>
          </w:p>
        </w:tc>
        <w:tc>
          <w:tcPr>
            <w:tcW w:w="340" w:type="dxa"/>
            <w:vAlign w:val="bottom"/>
            <w:gridSpan w:val="2"/>
            <w:shd w:val="clear" w:color="auto" w:fill="CCEEFF"/>
          </w:tcPr>
          <w:p>
            <w:pPr>
              <w:jc w:val="right"/>
              <w:ind w:right="20"/>
              <w:spacing w:after="0" w:line="124" w:lineRule="exact"/>
              <w:rPr>
                <w:sz w:val="20"/>
                <w:szCs w:val="20"/>
                <w:color w:val="auto"/>
              </w:rPr>
            </w:pPr>
            <w:r>
              <w:rPr>
                <w:rFonts w:ascii="Arial" w:cs="Arial" w:eastAsia="Arial" w:hAnsi="Arial"/>
                <w:sz w:val="11"/>
                <w:szCs w:val="11"/>
                <w:color w:val="auto"/>
                <w:w w:val="96"/>
              </w:rPr>
              <w:t>25.7%</w:t>
            </w:r>
          </w:p>
        </w:tc>
        <w:tc>
          <w:tcPr>
            <w:tcW w:w="660" w:type="dxa"/>
            <w:vAlign w:val="bottom"/>
            <w:gridSpan w:val="3"/>
            <w:shd w:val="clear" w:color="auto" w:fill="CCEEFF"/>
          </w:tcPr>
          <w:p>
            <w:pPr>
              <w:jc w:val="right"/>
              <w:ind w:right="40"/>
              <w:spacing w:after="0" w:line="124" w:lineRule="exact"/>
              <w:rPr>
                <w:sz w:val="20"/>
                <w:szCs w:val="20"/>
                <w:color w:val="auto"/>
              </w:rPr>
            </w:pPr>
            <w:r>
              <w:rPr>
                <w:rFonts w:ascii="Arial" w:cs="Arial" w:eastAsia="Arial" w:hAnsi="Arial"/>
                <w:sz w:val="11"/>
                <w:szCs w:val="11"/>
                <w:color w:val="auto"/>
              </w:rPr>
              <w:t>21.4%</w:t>
            </w:r>
          </w:p>
        </w:tc>
        <w:tc>
          <w:tcPr>
            <w:tcW w:w="660" w:type="dxa"/>
            <w:vAlign w:val="bottom"/>
            <w:gridSpan w:val="3"/>
            <w:shd w:val="clear" w:color="auto" w:fill="CCEEFF"/>
          </w:tcPr>
          <w:p>
            <w:pPr>
              <w:jc w:val="right"/>
              <w:ind w:right="80"/>
              <w:spacing w:after="0" w:line="124" w:lineRule="exact"/>
              <w:rPr>
                <w:sz w:val="20"/>
                <w:szCs w:val="20"/>
                <w:color w:val="auto"/>
              </w:rPr>
            </w:pPr>
            <w:r>
              <w:rPr>
                <w:rFonts w:ascii="Arial" w:cs="Arial" w:eastAsia="Arial" w:hAnsi="Arial"/>
                <w:sz w:val="11"/>
                <w:szCs w:val="11"/>
                <w:color w:val="auto"/>
              </w:rPr>
              <w:t>25.2%</w:t>
            </w:r>
          </w:p>
        </w:tc>
        <w:tc>
          <w:tcPr>
            <w:tcW w:w="580" w:type="dxa"/>
            <w:vAlign w:val="bottom"/>
            <w:gridSpan w:val="2"/>
            <w:shd w:val="clear" w:color="auto" w:fill="CCEEFF"/>
          </w:tcPr>
          <w:p>
            <w:pPr>
              <w:ind w:left="340"/>
              <w:spacing w:after="0" w:line="124" w:lineRule="exact"/>
              <w:rPr>
                <w:sz w:val="20"/>
                <w:szCs w:val="20"/>
                <w:color w:val="auto"/>
              </w:rPr>
            </w:pPr>
            <w:r>
              <w:rPr>
                <w:rFonts w:ascii="Arial" w:cs="Arial" w:eastAsia="Arial" w:hAnsi="Arial"/>
                <w:sz w:val="11"/>
                <w:szCs w:val="11"/>
                <w:color w:val="auto"/>
              </w:rPr>
              <w:t>—</w:t>
            </w:r>
          </w:p>
        </w:tc>
        <w:tc>
          <w:tcPr>
            <w:tcW w:w="220" w:type="dxa"/>
            <w:vAlign w:val="bottom"/>
            <w:shd w:val="clear" w:color="auto" w:fill="CCEEFF"/>
          </w:tcPr>
          <w:p>
            <w:pPr>
              <w:jc w:val="right"/>
              <w:spacing w:after="0" w:line="124" w:lineRule="exact"/>
              <w:rPr>
                <w:sz w:val="20"/>
                <w:szCs w:val="20"/>
                <w:color w:val="auto"/>
              </w:rPr>
            </w:pPr>
            <w:r>
              <w:rPr>
                <w:rFonts w:ascii="Arial" w:cs="Arial" w:eastAsia="Arial" w:hAnsi="Arial"/>
                <w:sz w:val="11"/>
                <w:szCs w:val="11"/>
                <w:color w:val="auto"/>
              </w:rPr>
              <w:t>*</w:t>
            </w:r>
          </w:p>
        </w:tc>
        <w:tc>
          <w:tcPr>
            <w:tcW w:w="160" w:type="dxa"/>
            <w:vAlign w:val="bottom"/>
            <w:shd w:val="clear" w:color="auto" w:fill="CCEEFF"/>
          </w:tcPr>
          <w:p>
            <w:pPr>
              <w:spacing w:after="0"/>
              <w:rPr>
                <w:sz w:val="10"/>
                <w:szCs w:val="10"/>
                <w:color w:val="auto"/>
              </w:rPr>
            </w:pPr>
          </w:p>
        </w:tc>
        <w:tc>
          <w:tcPr>
            <w:tcW w:w="560" w:type="dxa"/>
            <w:vAlign w:val="bottom"/>
            <w:shd w:val="clear" w:color="auto" w:fill="CCEEFF"/>
          </w:tcPr>
          <w:p>
            <w:pPr>
              <w:jc w:val="right"/>
              <w:spacing w:after="0" w:line="124" w:lineRule="exact"/>
              <w:rPr>
                <w:sz w:val="20"/>
                <w:szCs w:val="20"/>
                <w:color w:val="auto"/>
              </w:rPr>
            </w:pPr>
            <w:r>
              <w:rPr>
                <w:rFonts w:ascii="Arial" w:cs="Arial" w:eastAsia="Arial" w:hAnsi="Arial"/>
                <w:sz w:val="11"/>
                <w:szCs w:val="11"/>
                <w:color w:val="auto"/>
                <w:w w:val="98"/>
              </w:rPr>
              <w:t>87,171,450</w:t>
            </w:r>
          </w:p>
        </w:tc>
        <w:tc>
          <w:tcPr>
            <w:tcW w:w="80" w:type="dxa"/>
            <w:vAlign w:val="bottom"/>
            <w:shd w:val="clear" w:color="auto" w:fill="CCEEFF"/>
          </w:tcPr>
          <w:p>
            <w:pPr>
              <w:spacing w:after="0"/>
              <w:rPr>
                <w:sz w:val="10"/>
                <w:szCs w:val="10"/>
                <w:color w:val="auto"/>
              </w:rPr>
            </w:pPr>
          </w:p>
        </w:tc>
        <w:tc>
          <w:tcPr>
            <w:tcW w:w="340" w:type="dxa"/>
            <w:vAlign w:val="bottom"/>
            <w:gridSpan w:val="2"/>
            <w:shd w:val="clear" w:color="auto" w:fill="CCEEFF"/>
          </w:tcPr>
          <w:p>
            <w:pPr>
              <w:jc w:val="right"/>
              <w:ind w:right="40"/>
              <w:spacing w:after="0" w:line="124" w:lineRule="exact"/>
              <w:rPr>
                <w:sz w:val="20"/>
                <w:szCs w:val="20"/>
                <w:color w:val="auto"/>
              </w:rPr>
            </w:pPr>
            <w:r>
              <w:rPr>
                <w:rFonts w:ascii="Arial" w:cs="Arial" w:eastAsia="Arial" w:hAnsi="Arial"/>
                <w:sz w:val="11"/>
                <w:szCs w:val="11"/>
                <w:color w:val="auto"/>
                <w:w w:val="89"/>
              </w:rPr>
              <w:t>25.7%</w:t>
            </w:r>
          </w:p>
        </w:tc>
        <w:tc>
          <w:tcPr>
            <w:tcW w:w="4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1100" w:type="dxa"/>
            <w:vAlign w:val="bottom"/>
            <w:gridSpan w:val="2"/>
          </w:tcPr>
          <w:p>
            <w:pPr>
              <w:spacing w:after="0" w:line="102" w:lineRule="exact"/>
              <w:rPr>
                <w:sz w:val="20"/>
                <w:szCs w:val="20"/>
                <w:color w:val="auto"/>
              </w:rPr>
            </w:pPr>
            <w:r>
              <w:rPr>
                <w:rFonts w:ascii="Arial" w:cs="Arial" w:eastAsia="Arial" w:hAnsi="Arial"/>
                <w:sz w:val="11"/>
                <w:szCs w:val="11"/>
                <w:color w:val="auto"/>
              </w:rPr>
              <w:t>Entities affiliated with</w:t>
            </w:r>
          </w:p>
        </w:tc>
        <w:tc>
          <w:tcPr>
            <w:tcW w:w="500" w:type="dxa"/>
            <w:vAlign w:val="bottom"/>
          </w:tcPr>
          <w:p>
            <w:pPr>
              <w:spacing w:after="0"/>
              <w:rPr>
                <w:sz w:val="8"/>
                <w:szCs w:val="8"/>
                <w:color w:val="auto"/>
              </w:rPr>
            </w:pPr>
          </w:p>
        </w:tc>
        <w:tc>
          <w:tcPr>
            <w:tcW w:w="60" w:type="dxa"/>
            <w:vAlign w:val="bottom"/>
          </w:tcPr>
          <w:p>
            <w:pPr>
              <w:spacing w:after="0"/>
              <w:rPr>
                <w:sz w:val="8"/>
                <w:szCs w:val="8"/>
                <w:color w:val="auto"/>
              </w:rPr>
            </w:pPr>
          </w:p>
        </w:tc>
        <w:tc>
          <w:tcPr>
            <w:tcW w:w="240" w:type="dxa"/>
            <w:vAlign w:val="bottom"/>
          </w:tcPr>
          <w:p>
            <w:pPr>
              <w:spacing w:after="0"/>
              <w:rPr>
                <w:sz w:val="8"/>
                <w:szCs w:val="8"/>
                <w:color w:val="auto"/>
              </w:rPr>
            </w:pPr>
          </w:p>
        </w:tc>
        <w:tc>
          <w:tcPr>
            <w:tcW w:w="16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 w:type="dxa"/>
            <w:vAlign w:val="bottom"/>
          </w:tcPr>
          <w:p>
            <w:pPr>
              <w:spacing w:after="0"/>
              <w:rPr>
                <w:sz w:val="8"/>
                <w:szCs w:val="8"/>
                <w:color w:val="auto"/>
              </w:rPr>
            </w:pPr>
          </w:p>
        </w:tc>
        <w:tc>
          <w:tcPr>
            <w:tcW w:w="480" w:type="dxa"/>
            <w:vAlign w:val="bottom"/>
          </w:tcPr>
          <w:p>
            <w:pPr>
              <w:spacing w:after="0"/>
              <w:rPr>
                <w:sz w:val="8"/>
                <w:szCs w:val="8"/>
                <w:color w:val="auto"/>
              </w:rPr>
            </w:pPr>
          </w:p>
        </w:tc>
        <w:tc>
          <w:tcPr>
            <w:tcW w:w="160" w:type="dxa"/>
            <w:vAlign w:val="bottom"/>
          </w:tcPr>
          <w:p>
            <w:pPr>
              <w:spacing w:after="0"/>
              <w:rPr>
                <w:sz w:val="8"/>
                <w:szCs w:val="8"/>
                <w:color w:val="auto"/>
              </w:rPr>
            </w:pPr>
          </w:p>
        </w:tc>
        <w:tc>
          <w:tcPr>
            <w:tcW w:w="46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60" w:type="dxa"/>
            <w:vAlign w:val="bottom"/>
          </w:tcPr>
          <w:p>
            <w:pPr>
              <w:spacing w:after="0"/>
              <w:rPr>
                <w:sz w:val="8"/>
                <w:szCs w:val="8"/>
                <w:color w:val="auto"/>
              </w:rPr>
            </w:pPr>
          </w:p>
        </w:tc>
        <w:tc>
          <w:tcPr>
            <w:tcW w:w="240" w:type="dxa"/>
            <w:vAlign w:val="bottom"/>
          </w:tcPr>
          <w:p>
            <w:pPr>
              <w:spacing w:after="0"/>
              <w:rPr>
                <w:sz w:val="8"/>
                <w:szCs w:val="8"/>
                <w:color w:val="auto"/>
              </w:rPr>
            </w:pPr>
          </w:p>
        </w:tc>
        <w:tc>
          <w:tcPr>
            <w:tcW w:w="16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 w:type="dxa"/>
            <w:vAlign w:val="bottom"/>
          </w:tcPr>
          <w:p>
            <w:pPr>
              <w:spacing w:after="0"/>
              <w:rPr>
                <w:sz w:val="8"/>
                <w:szCs w:val="8"/>
                <w:color w:val="auto"/>
              </w:rPr>
            </w:pPr>
          </w:p>
        </w:tc>
        <w:tc>
          <w:tcPr>
            <w:tcW w:w="460" w:type="dxa"/>
            <w:vAlign w:val="bottom"/>
          </w:tcPr>
          <w:p>
            <w:pPr>
              <w:spacing w:after="0"/>
              <w:rPr>
                <w:sz w:val="8"/>
                <w:szCs w:val="8"/>
                <w:color w:val="auto"/>
              </w:rPr>
            </w:pPr>
          </w:p>
        </w:tc>
        <w:tc>
          <w:tcPr>
            <w:tcW w:w="16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60" w:type="dxa"/>
            <w:vAlign w:val="bottom"/>
          </w:tcPr>
          <w:p>
            <w:pPr>
              <w:spacing w:after="0"/>
              <w:rPr>
                <w:sz w:val="8"/>
                <w:szCs w:val="8"/>
                <w:color w:val="auto"/>
              </w:rPr>
            </w:pPr>
          </w:p>
        </w:tc>
        <w:tc>
          <w:tcPr>
            <w:tcW w:w="560" w:type="dxa"/>
            <w:vAlign w:val="bottom"/>
          </w:tcPr>
          <w:p>
            <w:pPr>
              <w:spacing w:after="0"/>
              <w:rPr>
                <w:sz w:val="8"/>
                <w:szCs w:val="8"/>
                <w:color w:val="auto"/>
              </w:rPr>
            </w:pPr>
          </w:p>
        </w:tc>
        <w:tc>
          <w:tcPr>
            <w:tcW w:w="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 w:type="dxa"/>
            <w:vAlign w:val="bottom"/>
          </w:tcPr>
          <w:p>
            <w:pPr>
              <w:spacing w:after="0"/>
              <w:rPr>
                <w:sz w:val="8"/>
                <w:szCs w:val="8"/>
                <w:color w:val="auto"/>
              </w:rPr>
            </w:pPr>
          </w:p>
        </w:tc>
        <w:tc>
          <w:tcPr>
            <w:tcW w:w="2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4"/>
        </w:trPr>
        <w:tc>
          <w:tcPr>
            <w:tcW w:w="1100" w:type="dxa"/>
            <w:vAlign w:val="bottom"/>
            <w:gridSpan w:val="2"/>
          </w:tcPr>
          <w:p>
            <w:pPr>
              <w:ind w:left="100"/>
              <w:spacing w:after="0" w:line="124" w:lineRule="exact"/>
              <w:rPr>
                <w:sz w:val="20"/>
                <w:szCs w:val="20"/>
                <w:color w:val="auto"/>
              </w:rPr>
            </w:pPr>
            <w:r>
              <w:rPr>
                <w:rFonts w:ascii="Arial" w:cs="Arial" w:eastAsia="Arial" w:hAnsi="Arial"/>
                <w:sz w:val="11"/>
                <w:szCs w:val="11"/>
                <w:color w:val="auto"/>
              </w:rPr>
              <w:t>Accel</w:t>
            </w:r>
            <w:r>
              <w:rPr>
                <w:rFonts w:ascii="Arial" w:cs="Arial" w:eastAsia="Arial" w:hAnsi="Arial"/>
                <w:sz w:val="8"/>
                <w:szCs w:val="8"/>
                <w:color w:val="auto"/>
              </w:rPr>
              <w:t>(10)</w:t>
            </w:r>
          </w:p>
        </w:tc>
        <w:tc>
          <w:tcPr>
            <w:tcW w:w="560" w:type="dxa"/>
            <w:vAlign w:val="bottom"/>
            <w:gridSpan w:val="2"/>
          </w:tcPr>
          <w:p>
            <w:pPr>
              <w:ind w:left="340"/>
              <w:spacing w:after="0" w:line="124" w:lineRule="exact"/>
              <w:rPr>
                <w:sz w:val="20"/>
                <w:szCs w:val="20"/>
                <w:color w:val="auto"/>
              </w:rPr>
            </w:pPr>
            <w:r>
              <w:rPr>
                <w:rFonts w:ascii="Arial" w:cs="Arial" w:eastAsia="Arial" w:hAnsi="Arial"/>
                <w:sz w:val="11"/>
                <w:szCs w:val="11"/>
                <w:color w:val="auto"/>
              </w:rPr>
              <w:t>—</w:t>
            </w:r>
          </w:p>
        </w:tc>
        <w:tc>
          <w:tcPr>
            <w:tcW w:w="240" w:type="dxa"/>
            <w:vAlign w:val="bottom"/>
          </w:tcPr>
          <w:p>
            <w:pPr>
              <w:jc w:val="right"/>
              <w:spacing w:after="0" w:line="124" w:lineRule="exact"/>
              <w:rPr>
                <w:sz w:val="20"/>
                <w:szCs w:val="20"/>
                <w:color w:val="auto"/>
              </w:rPr>
            </w:pPr>
            <w:r>
              <w:rPr>
                <w:rFonts w:ascii="Arial" w:cs="Arial" w:eastAsia="Arial" w:hAnsi="Arial"/>
                <w:sz w:val="11"/>
                <w:szCs w:val="11"/>
                <w:color w:val="auto"/>
              </w:rPr>
              <w:t>*</w:t>
            </w:r>
          </w:p>
        </w:tc>
        <w:tc>
          <w:tcPr>
            <w:tcW w:w="160" w:type="dxa"/>
            <w:vAlign w:val="bottom"/>
          </w:tcPr>
          <w:p>
            <w:pPr>
              <w:spacing w:after="0"/>
              <w:rPr>
                <w:sz w:val="10"/>
                <w:szCs w:val="10"/>
                <w:color w:val="auto"/>
              </w:rPr>
            </w:pPr>
          </w:p>
        </w:tc>
        <w:tc>
          <w:tcPr>
            <w:tcW w:w="560" w:type="dxa"/>
            <w:vAlign w:val="bottom"/>
          </w:tcPr>
          <w:p>
            <w:pPr>
              <w:jc w:val="right"/>
              <w:spacing w:after="0" w:line="124" w:lineRule="exact"/>
              <w:rPr>
                <w:sz w:val="20"/>
                <w:szCs w:val="20"/>
                <w:color w:val="auto"/>
              </w:rPr>
            </w:pPr>
            <w:r>
              <w:rPr>
                <w:rFonts w:ascii="Arial" w:cs="Arial" w:eastAsia="Arial" w:hAnsi="Arial"/>
                <w:sz w:val="11"/>
                <w:szCs w:val="11"/>
                <w:color w:val="auto"/>
                <w:w w:val="94"/>
              </w:rPr>
              <w:t>18,752,565</w:t>
            </w:r>
          </w:p>
        </w:tc>
        <w:tc>
          <w:tcPr>
            <w:tcW w:w="60" w:type="dxa"/>
            <w:vAlign w:val="bottom"/>
          </w:tcPr>
          <w:p>
            <w:pPr>
              <w:spacing w:after="0"/>
              <w:rPr>
                <w:sz w:val="10"/>
                <w:szCs w:val="10"/>
                <w:color w:val="auto"/>
              </w:rPr>
            </w:pPr>
          </w:p>
        </w:tc>
        <w:tc>
          <w:tcPr>
            <w:tcW w:w="340" w:type="dxa"/>
            <w:vAlign w:val="bottom"/>
            <w:gridSpan w:val="2"/>
          </w:tcPr>
          <w:p>
            <w:pPr>
              <w:jc w:val="right"/>
              <w:ind w:right="40"/>
              <w:spacing w:after="0" w:line="124" w:lineRule="exact"/>
              <w:rPr>
                <w:sz w:val="20"/>
                <w:szCs w:val="20"/>
                <w:color w:val="auto"/>
              </w:rPr>
            </w:pPr>
            <w:r>
              <w:rPr>
                <w:rFonts w:ascii="Arial" w:cs="Arial" w:eastAsia="Arial" w:hAnsi="Arial"/>
                <w:sz w:val="11"/>
                <w:szCs w:val="11"/>
                <w:color w:val="auto"/>
              </w:rPr>
              <w:t>5.4%</w:t>
            </w:r>
          </w:p>
        </w:tc>
        <w:tc>
          <w:tcPr>
            <w:tcW w:w="660" w:type="dxa"/>
            <w:vAlign w:val="bottom"/>
            <w:gridSpan w:val="3"/>
          </w:tcPr>
          <w:p>
            <w:pPr>
              <w:jc w:val="right"/>
              <w:ind w:right="40"/>
              <w:spacing w:after="0" w:line="124" w:lineRule="exact"/>
              <w:rPr>
                <w:sz w:val="20"/>
                <w:szCs w:val="20"/>
                <w:color w:val="auto"/>
              </w:rPr>
            </w:pPr>
            <w:r>
              <w:rPr>
                <w:rFonts w:ascii="Arial" w:cs="Arial" w:eastAsia="Arial" w:hAnsi="Arial"/>
                <w:sz w:val="11"/>
                <w:szCs w:val="11"/>
                <w:color w:val="auto"/>
              </w:rPr>
              <w:t>5.0%</w:t>
            </w:r>
          </w:p>
        </w:tc>
        <w:tc>
          <w:tcPr>
            <w:tcW w:w="680" w:type="dxa"/>
            <w:vAlign w:val="bottom"/>
            <w:gridSpan w:val="3"/>
          </w:tcPr>
          <w:p>
            <w:pPr>
              <w:jc w:val="right"/>
              <w:ind w:right="80"/>
              <w:spacing w:after="0" w:line="124" w:lineRule="exact"/>
              <w:rPr>
                <w:sz w:val="20"/>
                <w:szCs w:val="20"/>
                <w:color w:val="auto"/>
              </w:rPr>
            </w:pPr>
            <w:r>
              <w:rPr>
                <w:rFonts w:ascii="Arial" w:cs="Arial" w:eastAsia="Arial" w:hAnsi="Arial"/>
                <w:sz w:val="11"/>
                <w:szCs w:val="11"/>
                <w:color w:val="auto"/>
              </w:rPr>
              <w:t>5.3%</w:t>
            </w:r>
          </w:p>
        </w:tc>
        <w:tc>
          <w:tcPr>
            <w:tcW w:w="540" w:type="dxa"/>
            <w:vAlign w:val="bottom"/>
            <w:gridSpan w:val="2"/>
          </w:tcPr>
          <w:p>
            <w:pPr>
              <w:ind w:left="300"/>
              <w:spacing w:after="0" w:line="124" w:lineRule="exact"/>
              <w:rPr>
                <w:sz w:val="20"/>
                <w:szCs w:val="20"/>
                <w:color w:val="auto"/>
              </w:rPr>
            </w:pPr>
            <w:r>
              <w:rPr>
                <w:rFonts w:ascii="Arial" w:cs="Arial" w:eastAsia="Arial" w:hAnsi="Arial"/>
                <w:sz w:val="11"/>
                <w:szCs w:val="11"/>
                <w:color w:val="auto"/>
              </w:rPr>
              <w:t>—</w:t>
            </w:r>
          </w:p>
        </w:tc>
        <w:tc>
          <w:tcPr>
            <w:tcW w:w="560" w:type="dxa"/>
            <w:vAlign w:val="bottom"/>
            <w:gridSpan w:val="2"/>
          </w:tcPr>
          <w:p>
            <w:pPr>
              <w:ind w:left="340"/>
              <w:spacing w:after="0" w:line="124" w:lineRule="exact"/>
              <w:rPr>
                <w:sz w:val="20"/>
                <w:szCs w:val="20"/>
                <w:color w:val="auto"/>
              </w:rPr>
            </w:pPr>
            <w:r>
              <w:rPr>
                <w:rFonts w:ascii="Arial" w:cs="Arial" w:eastAsia="Arial" w:hAnsi="Arial"/>
                <w:sz w:val="11"/>
                <w:szCs w:val="11"/>
                <w:color w:val="auto"/>
              </w:rPr>
              <w:t>—</w:t>
            </w:r>
          </w:p>
        </w:tc>
        <w:tc>
          <w:tcPr>
            <w:tcW w:w="240" w:type="dxa"/>
            <w:vAlign w:val="bottom"/>
          </w:tcPr>
          <w:p>
            <w:pPr>
              <w:jc w:val="right"/>
              <w:spacing w:after="0" w:line="124" w:lineRule="exact"/>
              <w:rPr>
                <w:sz w:val="20"/>
                <w:szCs w:val="20"/>
                <w:color w:val="auto"/>
              </w:rPr>
            </w:pPr>
            <w:r>
              <w:rPr>
                <w:rFonts w:ascii="Arial" w:cs="Arial" w:eastAsia="Arial" w:hAnsi="Arial"/>
                <w:sz w:val="11"/>
                <w:szCs w:val="11"/>
                <w:color w:val="auto"/>
              </w:rPr>
              <w:t>*</w:t>
            </w:r>
          </w:p>
        </w:tc>
        <w:tc>
          <w:tcPr>
            <w:tcW w:w="160" w:type="dxa"/>
            <w:vAlign w:val="bottom"/>
          </w:tcPr>
          <w:p>
            <w:pPr>
              <w:spacing w:after="0"/>
              <w:rPr>
                <w:sz w:val="10"/>
                <w:szCs w:val="10"/>
                <w:color w:val="auto"/>
              </w:rPr>
            </w:pPr>
          </w:p>
        </w:tc>
        <w:tc>
          <w:tcPr>
            <w:tcW w:w="560" w:type="dxa"/>
            <w:vAlign w:val="bottom"/>
          </w:tcPr>
          <w:p>
            <w:pPr>
              <w:jc w:val="right"/>
              <w:spacing w:after="0" w:line="124" w:lineRule="exact"/>
              <w:rPr>
                <w:sz w:val="20"/>
                <w:szCs w:val="20"/>
                <w:color w:val="auto"/>
              </w:rPr>
            </w:pPr>
            <w:r>
              <w:rPr>
                <w:rFonts w:ascii="Arial" w:cs="Arial" w:eastAsia="Arial" w:hAnsi="Arial"/>
                <w:sz w:val="11"/>
                <w:szCs w:val="11"/>
                <w:color w:val="auto"/>
                <w:w w:val="98"/>
              </w:rPr>
              <w:t>18,752,565</w:t>
            </w:r>
          </w:p>
        </w:tc>
        <w:tc>
          <w:tcPr>
            <w:tcW w:w="60" w:type="dxa"/>
            <w:vAlign w:val="bottom"/>
          </w:tcPr>
          <w:p>
            <w:pPr>
              <w:spacing w:after="0"/>
              <w:rPr>
                <w:sz w:val="10"/>
                <w:szCs w:val="10"/>
                <w:color w:val="auto"/>
              </w:rPr>
            </w:pPr>
          </w:p>
        </w:tc>
        <w:tc>
          <w:tcPr>
            <w:tcW w:w="340" w:type="dxa"/>
            <w:vAlign w:val="bottom"/>
            <w:gridSpan w:val="2"/>
          </w:tcPr>
          <w:p>
            <w:pPr>
              <w:jc w:val="right"/>
              <w:ind w:right="20"/>
              <w:spacing w:after="0" w:line="124" w:lineRule="exact"/>
              <w:rPr>
                <w:sz w:val="20"/>
                <w:szCs w:val="20"/>
                <w:color w:val="auto"/>
              </w:rPr>
            </w:pPr>
            <w:r>
              <w:rPr>
                <w:rFonts w:ascii="Arial" w:cs="Arial" w:eastAsia="Arial" w:hAnsi="Arial"/>
                <w:sz w:val="11"/>
                <w:szCs w:val="11"/>
                <w:color w:val="auto"/>
              </w:rPr>
              <w:t>5.5%</w:t>
            </w:r>
          </w:p>
        </w:tc>
        <w:tc>
          <w:tcPr>
            <w:tcW w:w="660" w:type="dxa"/>
            <w:vAlign w:val="bottom"/>
            <w:gridSpan w:val="3"/>
          </w:tcPr>
          <w:p>
            <w:pPr>
              <w:jc w:val="right"/>
              <w:ind w:right="40"/>
              <w:spacing w:after="0" w:line="124" w:lineRule="exact"/>
              <w:rPr>
                <w:sz w:val="20"/>
                <w:szCs w:val="20"/>
                <w:color w:val="auto"/>
              </w:rPr>
            </w:pPr>
            <w:r>
              <w:rPr>
                <w:rFonts w:ascii="Arial" w:cs="Arial" w:eastAsia="Arial" w:hAnsi="Arial"/>
                <w:sz w:val="11"/>
                <w:szCs w:val="11"/>
                <w:color w:val="auto"/>
              </w:rPr>
              <w:t>4.6%</w:t>
            </w:r>
          </w:p>
        </w:tc>
        <w:tc>
          <w:tcPr>
            <w:tcW w:w="660" w:type="dxa"/>
            <w:vAlign w:val="bottom"/>
            <w:gridSpan w:val="3"/>
          </w:tcPr>
          <w:p>
            <w:pPr>
              <w:jc w:val="right"/>
              <w:ind w:right="80"/>
              <w:spacing w:after="0" w:line="124" w:lineRule="exact"/>
              <w:rPr>
                <w:sz w:val="20"/>
                <w:szCs w:val="20"/>
                <w:color w:val="auto"/>
              </w:rPr>
            </w:pPr>
            <w:r>
              <w:rPr>
                <w:rFonts w:ascii="Arial" w:cs="Arial" w:eastAsia="Arial" w:hAnsi="Arial"/>
                <w:sz w:val="11"/>
                <w:szCs w:val="11"/>
                <w:color w:val="auto"/>
              </w:rPr>
              <w:t>5.4%</w:t>
            </w:r>
          </w:p>
        </w:tc>
        <w:tc>
          <w:tcPr>
            <w:tcW w:w="580" w:type="dxa"/>
            <w:vAlign w:val="bottom"/>
            <w:gridSpan w:val="2"/>
          </w:tcPr>
          <w:p>
            <w:pPr>
              <w:ind w:left="340"/>
              <w:spacing w:after="0" w:line="124" w:lineRule="exact"/>
              <w:rPr>
                <w:sz w:val="20"/>
                <w:szCs w:val="20"/>
                <w:color w:val="auto"/>
              </w:rPr>
            </w:pPr>
            <w:r>
              <w:rPr>
                <w:rFonts w:ascii="Arial" w:cs="Arial" w:eastAsia="Arial" w:hAnsi="Arial"/>
                <w:sz w:val="11"/>
                <w:szCs w:val="11"/>
                <w:color w:val="auto"/>
              </w:rPr>
              <w:t>—</w:t>
            </w:r>
          </w:p>
        </w:tc>
        <w:tc>
          <w:tcPr>
            <w:tcW w:w="220" w:type="dxa"/>
            <w:vAlign w:val="bottom"/>
          </w:tcPr>
          <w:p>
            <w:pPr>
              <w:jc w:val="right"/>
              <w:spacing w:after="0" w:line="124" w:lineRule="exact"/>
              <w:rPr>
                <w:sz w:val="20"/>
                <w:szCs w:val="20"/>
                <w:color w:val="auto"/>
              </w:rPr>
            </w:pPr>
            <w:r>
              <w:rPr>
                <w:rFonts w:ascii="Arial" w:cs="Arial" w:eastAsia="Arial" w:hAnsi="Arial"/>
                <w:sz w:val="11"/>
                <w:szCs w:val="11"/>
                <w:color w:val="auto"/>
              </w:rPr>
              <w:t>*</w:t>
            </w:r>
          </w:p>
        </w:tc>
        <w:tc>
          <w:tcPr>
            <w:tcW w:w="160" w:type="dxa"/>
            <w:vAlign w:val="bottom"/>
          </w:tcPr>
          <w:p>
            <w:pPr>
              <w:spacing w:after="0"/>
              <w:rPr>
                <w:sz w:val="10"/>
                <w:szCs w:val="10"/>
                <w:color w:val="auto"/>
              </w:rPr>
            </w:pPr>
          </w:p>
        </w:tc>
        <w:tc>
          <w:tcPr>
            <w:tcW w:w="560" w:type="dxa"/>
            <w:vAlign w:val="bottom"/>
          </w:tcPr>
          <w:p>
            <w:pPr>
              <w:jc w:val="right"/>
              <w:spacing w:after="0" w:line="124" w:lineRule="exact"/>
              <w:rPr>
                <w:sz w:val="20"/>
                <w:szCs w:val="20"/>
                <w:color w:val="auto"/>
              </w:rPr>
            </w:pPr>
            <w:r>
              <w:rPr>
                <w:rFonts w:ascii="Arial" w:cs="Arial" w:eastAsia="Arial" w:hAnsi="Arial"/>
                <w:sz w:val="11"/>
                <w:szCs w:val="11"/>
                <w:color w:val="auto"/>
                <w:w w:val="98"/>
              </w:rPr>
              <w:t>18,752,565</w:t>
            </w:r>
          </w:p>
        </w:tc>
        <w:tc>
          <w:tcPr>
            <w:tcW w:w="80" w:type="dxa"/>
            <w:vAlign w:val="bottom"/>
          </w:tcPr>
          <w:p>
            <w:pPr>
              <w:spacing w:after="0"/>
              <w:rPr>
                <w:sz w:val="10"/>
                <w:szCs w:val="10"/>
                <w:color w:val="auto"/>
              </w:rPr>
            </w:pPr>
          </w:p>
        </w:tc>
        <w:tc>
          <w:tcPr>
            <w:tcW w:w="340" w:type="dxa"/>
            <w:vAlign w:val="bottom"/>
            <w:gridSpan w:val="2"/>
          </w:tcPr>
          <w:p>
            <w:pPr>
              <w:jc w:val="right"/>
              <w:ind w:right="40"/>
              <w:spacing w:after="0" w:line="124" w:lineRule="exact"/>
              <w:rPr>
                <w:sz w:val="20"/>
                <w:szCs w:val="20"/>
                <w:color w:val="auto"/>
              </w:rPr>
            </w:pPr>
            <w:r>
              <w:rPr>
                <w:rFonts w:ascii="Arial" w:cs="Arial" w:eastAsia="Arial" w:hAnsi="Arial"/>
                <w:sz w:val="11"/>
                <w:szCs w:val="11"/>
                <w:color w:val="auto"/>
              </w:rPr>
              <w:t>5.5%</w:t>
            </w:r>
          </w:p>
        </w:tc>
        <w:tc>
          <w:tcPr>
            <w:tcW w:w="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1100" w:type="dxa"/>
            <w:vAlign w:val="bottom"/>
            <w:gridSpan w:val="2"/>
            <w:shd w:val="clear" w:color="auto" w:fill="CCEEFF"/>
          </w:tcPr>
          <w:p>
            <w:pPr>
              <w:spacing w:after="0" w:line="102" w:lineRule="exact"/>
              <w:rPr>
                <w:sz w:val="20"/>
                <w:szCs w:val="20"/>
                <w:color w:val="auto"/>
              </w:rPr>
            </w:pPr>
            <w:r>
              <w:rPr>
                <w:rFonts w:ascii="Arial" w:cs="Arial" w:eastAsia="Arial" w:hAnsi="Arial"/>
                <w:sz w:val="11"/>
                <w:szCs w:val="11"/>
                <w:color w:val="auto"/>
              </w:rPr>
              <w:t>Entities advised by</w:t>
            </w:r>
          </w:p>
        </w:tc>
        <w:tc>
          <w:tcPr>
            <w:tcW w:w="5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56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56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56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28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24"/>
        </w:trPr>
        <w:tc>
          <w:tcPr>
            <w:tcW w:w="1100" w:type="dxa"/>
            <w:vAlign w:val="bottom"/>
            <w:gridSpan w:val="2"/>
            <w:shd w:val="clear" w:color="auto" w:fill="CCEEFF"/>
          </w:tcPr>
          <w:p>
            <w:pPr>
              <w:ind w:left="100"/>
              <w:spacing w:after="0" w:line="124" w:lineRule="exact"/>
              <w:rPr>
                <w:sz w:val="20"/>
                <w:szCs w:val="20"/>
                <w:color w:val="auto"/>
              </w:rPr>
            </w:pPr>
            <w:r>
              <w:rPr>
                <w:rFonts w:ascii="Arial" w:cs="Arial" w:eastAsia="Arial" w:hAnsi="Arial"/>
                <w:sz w:val="11"/>
                <w:szCs w:val="11"/>
                <w:color w:val="auto"/>
              </w:rPr>
              <w:t>T. Rowe Price</w:t>
            </w:r>
            <w:r>
              <w:rPr>
                <w:rFonts w:ascii="Arial" w:cs="Arial" w:eastAsia="Arial" w:hAnsi="Arial"/>
                <w:sz w:val="8"/>
                <w:szCs w:val="8"/>
                <w:color w:val="auto"/>
              </w:rPr>
              <w:t>(11)</w:t>
            </w:r>
          </w:p>
        </w:tc>
        <w:tc>
          <w:tcPr>
            <w:tcW w:w="500" w:type="dxa"/>
            <w:vAlign w:val="bottom"/>
            <w:shd w:val="clear" w:color="auto" w:fill="CCEEFF"/>
          </w:tcPr>
          <w:p>
            <w:pPr>
              <w:jc w:val="right"/>
              <w:spacing w:after="0" w:line="124" w:lineRule="exact"/>
              <w:rPr>
                <w:sz w:val="20"/>
                <w:szCs w:val="20"/>
                <w:color w:val="auto"/>
              </w:rPr>
            </w:pPr>
            <w:r>
              <w:rPr>
                <w:rFonts w:ascii="Arial" w:cs="Arial" w:eastAsia="Arial" w:hAnsi="Arial"/>
                <w:sz w:val="11"/>
                <w:szCs w:val="11"/>
                <w:color w:val="auto"/>
                <w:w w:val="97"/>
              </w:rPr>
              <w:t>6,002,953</w:t>
            </w:r>
          </w:p>
        </w:tc>
        <w:tc>
          <w:tcPr>
            <w:tcW w:w="60" w:type="dxa"/>
            <w:vAlign w:val="bottom"/>
            <w:shd w:val="clear" w:color="auto" w:fill="CCEEFF"/>
          </w:tcPr>
          <w:p>
            <w:pPr>
              <w:spacing w:after="0"/>
              <w:rPr>
                <w:sz w:val="10"/>
                <w:szCs w:val="10"/>
                <w:color w:val="auto"/>
              </w:rPr>
            </w:pPr>
          </w:p>
        </w:tc>
        <w:tc>
          <w:tcPr>
            <w:tcW w:w="400" w:type="dxa"/>
            <w:vAlign w:val="bottom"/>
            <w:gridSpan w:val="2"/>
            <w:shd w:val="clear" w:color="auto" w:fill="CCEEFF"/>
          </w:tcPr>
          <w:p>
            <w:pPr>
              <w:jc w:val="right"/>
              <w:ind w:right="80"/>
              <w:spacing w:after="0" w:line="124" w:lineRule="exact"/>
              <w:rPr>
                <w:sz w:val="20"/>
                <w:szCs w:val="20"/>
                <w:color w:val="auto"/>
              </w:rPr>
            </w:pPr>
            <w:r>
              <w:rPr>
                <w:rFonts w:ascii="Arial" w:cs="Arial" w:eastAsia="Arial" w:hAnsi="Arial"/>
                <w:sz w:val="11"/>
                <w:szCs w:val="11"/>
                <w:color w:val="auto"/>
                <w:w w:val="96"/>
              </w:rPr>
              <w:t>22.2%</w:t>
            </w:r>
          </w:p>
        </w:tc>
        <w:tc>
          <w:tcPr>
            <w:tcW w:w="560" w:type="dxa"/>
            <w:vAlign w:val="bottom"/>
            <w:shd w:val="clear" w:color="auto" w:fill="CCEEFF"/>
          </w:tcPr>
          <w:p>
            <w:pPr>
              <w:jc w:val="right"/>
              <w:spacing w:after="0" w:line="124" w:lineRule="exact"/>
              <w:rPr>
                <w:sz w:val="20"/>
                <w:szCs w:val="20"/>
                <w:color w:val="auto"/>
              </w:rPr>
            </w:pPr>
            <w:r>
              <w:rPr>
                <w:rFonts w:ascii="Arial" w:cs="Arial" w:eastAsia="Arial" w:hAnsi="Arial"/>
                <w:sz w:val="11"/>
                <w:szCs w:val="11"/>
                <w:color w:val="auto"/>
              </w:rPr>
              <w:t>7,064,283</w:t>
            </w:r>
          </w:p>
        </w:tc>
        <w:tc>
          <w:tcPr>
            <w:tcW w:w="60" w:type="dxa"/>
            <w:vAlign w:val="bottom"/>
            <w:shd w:val="clear" w:color="auto" w:fill="CCEEFF"/>
          </w:tcPr>
          <w:p>
            <w:pPr>
              <w:spacing w:after="0"/>
              <w:rPr>
                <w:sz w:val="10"/>
                <w:szCs w:val="10"/>
                <w:color w:val="auto"/>
              </w:rPr>
            </w:pPr>
          </w:p>
        </w:tc>
        <w:tc>
          <w:tcPr>
            <w:tcW w:w="340" w:type="dxa"/>
            <w:vAlign w:val="bottom"/>
            <w:gridSpan w:val="2"/>
            <w:shd w:val="clear" w:color="auto" w:fill="CCEEFF"/>
          </w:tcPr>
          <w:p>
            <w:pPr>
              <w:jc w:val="right"/>
              <w:ind w:right="40"/>
              <w:spacing w:after="0" w:line="124" w:lineRule="exact"/>
              <w:rPr>
                <w:sz w:val="20"/>
                <w:szCs w:val="20"/>
                <w:color w:val="auto"/>
              </w:rPr>
            </w:pPr>
            <w:r>
              <w:rPr>
                <w:rFonts w:ascii="Arial" w:cs="Arial" w:eastAsia="Arial" w:hAnsi="Arial"/>
                <w:sz w:val="11"/>
                <w:szCs w:val="11"/>
                <w:color w:val="auto"/>
              </w:rPr>
              <w:t>2.0%</w:t>
            </w:r>
          </w:p>
        </w:tc>
        <w:tc>
          <w:tcPr>
            <w:tcW w:w="660" w:type="dxa"/>
            <w:vAlign w:val="bottom"/>
            <w:gridSpan w:val="3"/>
            <w:shd w:val="clear" w:color="auto" w:fill="CCEEFF"/>
          </w:tcPr>
          <w:p>
            <w:pPr>
              <w:jc w:val="right"/>
              <w:ind w:right="40"/>
              <w:spacing w:after="0" w:line="124" w:lineRule="exact"/>
              <w:rPr>
                <w:sz w:val="20"/>
                <w:szCs w:val="20"/>
                <w:color w:val="auto"/>
              </w:rPr>
            </w:pPr>
            <w:r>
              <w:rPr>
                <w:rFonts w:ascii="Arial" w:cs="Arial" w:eastAsia="Arial" w:hAnsi="Arial"/>
                <w:sz w:val="11"/>
                <w:szCs w:val="11"/>
                <w:color w:val="auto"/>
              </w:rPr>
              <w:t>3.5%</w:t>
            </w:r>
          </w:p>
        </w:tc>
        <w:tc>
          <w:tcPr>
            <w:tcW w:w="680" w:type="dxa"/>
            <w:vAlign w:val="bottom"/>
            <w:gridSpan w:val="3"/>
            <w:shd w:val="clear" w:color="auto" w:fill="CCEEFF"/>
          </w:tcPr>
          <w:p>
            <w:pPr>
              <w:jc w:val="right"/>
              <w:ind w:right="80"/>
              <w:spacing w:after="0" w:line="124" w:lineRule="exact"/>
              <w:rPr>
                <w:sz w:val="20"/>
                <w:szCs w:val="20"/>
                <w:color w:val="auto"/>
              </w:rPr>
            </w:pPr>
            <w:r>
              <w:rPr>
                <w:rFonts w:ascii="Arial" w:cs="Arial" w:eastAsia="Arial" w:hAnsi="Arial"/>
                <w:sz w:val="11"/>
                <w:szCs w:val="11"/>
                <w:color w:val="auto"/>
              </w:rPr>
              <w:t>2.2%</w:t>
            </w:r>
          </w:p>
        </w:tc>
        <w:tc>
          <w:tcPr>
            <w:tcW w:w="540" w:type="dxa"/>
            <w:vAlign w:val="bottom"/>
            <w:gridSpan w:val="2"/>
            <w:shd w:val="clear" w:color="auto" w:fill="CCEEFF"/>
          </w:tcPr>
          <w:p>
            <w:pPr>
              <w:ind w:left="300"/>
              <w:spacing w:after="0" w:line="124" w:lineRule="exact"/>
              <w:rPr>
                <w:sz w:val="20"/>
                <w:szCs w:val="20"/>
                <w:color w:val="auto"/>
              </w:rPr>
            </w:pPr>
            <w:r>
              <w:rPr>
                <w:rFonts w:ascii="Arial" w:cs="Arial" w:eastAsia="Arial" w:hAnsi="Arial"/>
                <w:sz w:val="11"/>
                <w:szCs w:val="11"/>
                <w:color w:val="auto"/>
              </w:rPr>
              <w:t>—</w:t>
            </w:r>
          </w:p>
        </w:tc>
        <w:tc>
          <w:tcPr>
            <w:tcW w:w="500" w:type="dxa"/>
            <w:vAlign w:val="bottom"/>
            <w:shd w:val="clear" w:color="auto" w:fill="CCEEFF"/>
          </w:tcPr>
          <w:p>
            <w:pPr>
              <w:jc w:val="right"/>
              <w:spacing w:after="0" w:line="124" w:lineRule="exact"/>
              <w:rPr>
                <w:sz w:val="20"/>
                <w:szCs w:val="20"/>
                <w:color w:val="auto"/>
              </w:rPr>
            </w:pPr>
            <w:r>
              <w:rPr>
                <w:rFonts w:ascii="Arial" w:cs="Arial" w:eastAsia="Arial" w:hAnsi="Arial"/>
                <w:sz w:val="11"/>
                <w:szCs w:val="11"/>
                <w:color w:val="auto"/>
                <w:w w:val="97"/>
              </w:rPr>
              <w:t>6,002,953</w:t>
            </w:r>
          </w:p>
        </w:tc>
        <w:tc>
          <w:tcPr>
            <w:tcW w:w="60" w:type="dxa"/>
            <w:vAlign w:val="bottom"/>
            <w:shd w:val="clear" w:color="auto" w:fill="CCEEFF"/>
          </w:tcPr>
          <w:p>
            <w:pPr>
              <w:spacing w:after="0"/>
              <w:rPr>
                <w:sz w:val="10"/>
                <w:szCs w:val="10"/>
                <w:color w:val="auto"/>
              </w:rPr>
            </w:pPr>
          </w:p>
        </w:tc>
        <w:tc>
          <w:tcPr>
            <w:tcW w:w="400" w:type="dxa"/>
            <w:vAlign w:val="bottom"/>
            <w:gridSpan w:val="2"/>
            <w:shd w:val="clear" w:color="auto" w:fill="CCEEFF"/>
          </w:tcPr>
          <w:p>
            <w:pPr>
              <w:jc w:val="right"/>
              <w:ind w:right="80"/>
              <w:spacing w:after="0" w:line="124" w:lineRule="exact"/>
              <w:rPr>
                <w:sz w:val="20"/>
                <w:szCs w:val="20"/>
                <w:color w:val="auto"/>
              </w:rPr>
            </w:pPr>
            <w:r>
              <w:rPr>
                <w:rFonts w:ascii="Arial" w:cs="Arial" w:eastAsia="Arial" w:hAnsi="Arial"/>
                <w:sz w:val="11"/>
                <w:szCs w:val="11"/>
                <w:color w:val="auto"/>
              </w:rPr>
              <w:t>8.8%</w:t>
            </w:r>
          </w:p>
        </w:tc>
        <w:tc>
          <w:tcPr>
            <w:tcW w:w="560" w:type="dxa"/>
            <w:vAlign w:val="bottom"/>
            <w:shd w:val="clear" w:color="auto" w:fill="CCEEFF"/>
          </w:tcPr>
          <w:p>
            <w:pPr>
              <w:jc w:val="right"/>
              <w:spacing w:after="0" w:line="124" w:lineRule="exact"/>
              <w:rPr>
                <w:sz w:val="20"/>
                <w:szCs w:val="20"/>
                <w:color w:val="auto"/>
              </w:rPr>
            </w:pPr>
            <w:r>
              <w:rPr>
                <w:rFonts w:ascii="Arial" w:cs="Arial" w:eastAsia="Arial" w:hAnsi="Arial"/>
                <w:sz w:val="11"/>
                <w:szCs w:val="11"/>
                <w:color w:val="auto"/>
              </w:rPr>
              <w:t>7,064,283</w:t>
            </w:r>
          </w:p>
        </w:tc>
        <w:tc>
          <w:tcPr>
            <w:tcW w:w="60" w:type="dxa"/>
            <w:vAlign w:val="bottom"/>
            <w:shd w:val="clear" w:color="auto" w:fill="CCEEFF"/>
          </w:tcPr>
          <w:p>
            <w:pPr>
              <w:spacing w:after="0"/>
              <w:rPr>
                <w:sz w:val="10"/>
                <w:szCs w:val="10"/>
                <w:color w:val="auto"/>
              </w:rPr>
            </w:pPr>
          </w:p>
        </w:tc>
        <w:tc>
          <w:tcPr>
            <w:tcW w:w="340" w:type="dxa"/>
            <w:vAlign w:val="bottom"/>
            <w:gridSpan w:val="2"/>
            <w:shd w:val="clear" w:color="auto" w:fill="CCEEFF"/>
          </w:tcPr>
          <w:p>
            <w:pPr>
              <w:jc w:val="right"/>
              <w:ind w:right="20"/>
              <w:spacing w:after="0" w:line="124" w:lineRule="exact"/>
              <w:rPr>
                <w:sz w:val="20"/>
                <w:szCs w:val="20"/>
                <w:color w:val="auto"/>
              </w:rPr>
            </w:pPr>
            <w:r>
              <w:rPr>
                <w:rFonts w:ascii="Arial" w:cs="Arial" w:eastAsia="Arial" w:hAnsi="Arial"/>
                <w:sz w:val="11"/>
                <w:szCs w:val="11"/>
                <w:color w:val="auto"/>
              </w:rPr>
              <w:t>2.1%</w:t>
            </w:r>
          </w:p>
        </w:tc>
        <w:tc>
          <w:tcPr>
            <w:tcW w:w="660" w:type="dxa"/>
            <w:vAlign w:val="bottom"/>
            <w:gridSpan w:val="3"/>
            <w:shd w:val="clear" w:color="auto" w:fill="CCEEFF"/>
          </w:tcPr>
          <w:p>
            <w:pPr>
              <w:jc w:val="right"/>
              <w:ind w:right="40"/>
              <w:spacing w:after="0" w:line="124" w:lineRule="exact"/>
              <w:rPr>
                <w:sz w:val="20"/>
                <w:szCs w:val="20"/>
                <w:color w:val="auto"/>
              </w:rPr>
            </w:pPr>
            <w:r>
              <w:rPr>
                <w:rFonts w:ascii="Arial" w:cs="Arial" w:eastAsia="Arial" w:hAnsi="Arial"/>
                <w:sz w:val="11"/>
                <w:szCs w:val="11"/>
                <w:color w:val="auto"/>
              </w:rPr>
              <w:t>3.2%</w:t>
            </w:r>
          </w:p>
        </w:tc>
        <w:tc>
          <w:tcPr>
            <w:tcW w:w="660" w:type="dxa"/>
            <w:vAlign w:val="bottom"/>
            <w:gridSpan w:val="3"/>
            <w:shd w:val="clear" w:color="auto" w:fill="CCEEFF"/>
          </w:tcPr>
          <w:p>
            <w:pPr>
              <w:jc w:val="right"/>
              <w:ind w:right="80"/>
              <w:spacing w:after="0" w:line="124" w:lineRule="exact"/>
              <w:rPr>
                <w:sz w:val="20"/>
                <w:szCs w:val="20"/>
                <w:color w:val="auto"/>
              </w:rPr>
            </w:pPr>
            <w:r>
              <w:rPr>
                <w:rFonts w:ascii="Arial" w:cs="Arial" w:eastAsia="Arial" w:hAnsi="Arial"/>
                <w:sz w:val="11"/>
                <w:szCs w:val="11"/>
                <w:color w:val="auto"/>
              </w:rPr>
              <w:t>2.2%</w:t>
            </w:r>
          </w:p>
        </w:tc>
        <w:tc>
          <w:tcPr>
            <w:tcW w:w="500" w:type="dxa"/>
            <w:vAlign w:val="bottom"/>
            <w:shd w:val="clear" w:color="auto" w:fill="CCEEFF"/>
          </w:tcPr>
          <w:p>
            <w:pPr>
              <w:jc w:val="right"/>
              <w:spacing w:after="0" w:line="124" w:lineRule="exact"/>
              <w:rPr>
                <w:sz w:val="20"/>
                <w:szCs w:val="20"/>
                <w:color w:val="auto"/>
              </w:rPr>
            </w:pPr>
            <w:r>
              <w:rPr>
                <w:rFonts w:ascii="Arial" w:cs="Arial" w:eastAsia="Arial" w:hAnsi="Arial"/>
                <w:sz w:val="11"/>
                <w:szCs w:val="11"/>
                <w:color w:val="auto"/>
                <w:w w:val="97"/>
              </w:rPr>
              <w:t>6,002,953</w:t>
            </w:r>
          </w:p>
        </w:tc>
        <w:tc>
          <w:tcPr>
            <w:tcW w:w="80" w:type="dxa"/>
            <w:vAlign w:val="bottom"/>
            <w:shd w:val="clear" w:color="auto" w:fill="CCEEFF"/>
          </w:tcPr>
          <w:p>
            <w:pPr>
              <w:spacing w:after="0"/>
              <w:rPr>
                <w:sz w:val="10"/>
                <w:szCs w:val="10"/>
                <w:color w:val="auto"/>
              </w:rPr>
            </w:pPr>
          </w:p>
        </w:tc>
        <w:tc>
          <w:tcPr>
            <w:tcW w:w="380" w:type="dxa"/>
            <w:vAlign w:val="bottom"/>
            <w:gridSpan w:val="2"/>
            <w:shd w:val="clear" w:color="auto" w:fill="CCEEFF"/>
          </w:tcPr>
          <w:p>
            <w:pPr>
              <w:jc w:val="right"/>
              <w:ind w:right="80"/>
              <w:spacing w:after="0" w:line="124" w:lineRule="exact"/>
              <w:rPr>
                <w:sz w:val="20"/>
                <w:szCs w:val="20"/>
                <w:color w:val="auto"/>
              </w:rPr>
            </w:pPr>
            <w:r>
              <w:rPr>
                <w:rFonts w:ascii="Arial" w:cs="Arial" w:eastAsia="Arial" w:hAnsi="Arial"/>
                <w:sz w:val="11"/>
                <w:szCs w:val="11"/>
                <w:color w:val="auto"/>
              </w:rPr>
              <w:t>8.2%</w:t>
            </w:r>
          </w:p>
        </w:tc>
        <w:tc>
          <w:tcPr>
            <w:tcW w:w="560" w:type="dxa"/>
            <w:vAlign w:val="bottom"/>
            <w:shd w:val="clear" w:color="auto" w:fill="CCEEFF"/>
          </w:tcPr>
          <w:p>
            <w:pPr>
              <w:jc w:val="right"/>
              <w:spacing w:after="0" w:line="124" w:lineRule="exact"/>
              <w:rPr>
                <w:sz w:val="20"/>
                <w:szCs w:val="20"/>
                <w:color w:val="auto"/>
              </w:rPr>
            </w:pPr>
            <w:r>
              <w:rPr>
                <w:rFonts w:ascii="Arial" w:cs="Arial" w:eastAsia="Arial" w:hAnsi="Arial"/>
                <w:sz w:val="11"/>
                <w:szCs w:val="11"/>
                <w:color w:val="auto"/>
              </w:rPr>
              <w:t>7,064,283</w:t>
            </w:r>
          </w:p>
        </w:tc>
        <w:tc>
          <w:tcPr>
            <w:tcW w:w="80" w:type="dxa"/>
            <w:vAlign w:val="bottom"/>
            <w:shd w:val="clear" w:color="auto" w:fill="CCEEFF"/>
          </w:tcPr>
          <w:p>
            <w:pPr>
              <w:spacing w:after="0"/>
              <w:rPr>
                <w:sz w:val="10"/>
                <w:szCs w:val="10"/>
                <w:color w:val="auto"/>
              </w:rPr>
            </w:pPr>
          </w:p>
        </w:tc>
        <w:tc>
          <w:tcPr>
            <w:tcW w:w="340" w:type="dxa"/>
            <w:vAlign w:val="bottom"/>
            <w:gridSpan w:val="2"/>
            <w:shd w:val="clear" w:color="auto" w:fill="CCEEFF"/>
          </w:tcPr>
          <w:p>
            <w:pPr>
              <w:jc w:val="right"/>
              <w:ind w:right="40"/>
              <w:spacing w:after="0" w:line="124" w:lineRule="exact"/>
              <w:rPr>
                <w:sz w:val="20"/>
                <w:szCs w:val="20"/>
                <w:color w:val="auto"/>
              </w:rPr>
            </w:pPr>
            <w:r>
              <w:rPr>
                <w:rFonts w:ascii="Arial" w:cs="Arial" w:eastAsia="Arial" w:hAnsi="Arial"/>
                <w:sz w:val="11"/>
                <w:szCs w:val="11"/>
                <w:color w:val="auto"/>
              </w:rPr>
              <w:t>2.1%</w:t>
            </w:r>
          </w:p>
        </w:tc>
        <w:tc>
          <w:tcPr>
            <w:tcW w:w="4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1100" w:type="dxa"/>
            <w:vAlign w:val="bottom"/>
            <w:gridSpan w:val="2"/>
          </w:tcPr>
          <w:p>
            <w:pPr>
              <w:spacing w:after="0" w:line="102" w:lineRule="exact"/>
              <w:rPr>
                <w:sz w:val="20"/>
                <w:szCs w:val="20"/>
                <w:color w:val="auto"/>
              </w:rPr>
            </w:pPr>
            <w:r>
              <w:rPr>
                <w:rFonts w:ascii="Arial" w:cs="Arial" w:eastAsia="Arial" w:hAnsi="Arial"/>
                <w:sz w:val="11"/>
                <w:szCs w:val="11"/>
                <w:color w:val="auto"/>
              </w:rPr>
              <w:t>Entities affiliated with</w:t>
            </w:r>
          </w:p>
        </w:tc>
        <w:tc>
          <w:tcPr>
            <w:tcW w:w="500" w:type="dxa"/>
            <w:vAlign w:val="bottom"/>
          </w:tcPr>
          <w:p>
            <w:pPr>
              <w:spacing w:after="0"/>
              <w:rPr>
                <w:sz w:val="8"/>
                <w:szCs w:val="8"/>
                <w:color w:val="auto"/>
              </w:rPr>
            </w:pPr>
          </w:p>
        </w:tc>
        <w:tc>
          <w:tcPr>
            <w:tcW w:w="60" w:type="dxa"/>
            <w:vAlign w:val="bottom"/>
          </w:tcPr>
          <w:p>
            <w:pPr>
              <w:spacing w:after="0"/>
              <w:rPr>
                <w:sz w:val="8"/>
                <w:szCs w:val="8"/>
                <w:color w:val="auto"/>
              </w:rPr>
            </w:pPr>
          </w:p>
        </w:tc>
        <w:tc>
          <w:tcPr>
            <w:tcW w:w="240" w:type="dxa"/>
            <w:vAlign w:val="bottom"/>
          </w:tcPr>
          <w:p>
            <w:pPr>
              <w:spacing w:after="0"/>
              <w:rPr>
                <w:sz w:val="8"/>
                <w:szCs w:val="8"/>
                <w:color w:val="auto"/>
              </w:rPr>
            </w:pPr>
          </w:p>
        </w:tc>
        <w:tc>
          <w:tcPr>
            <w:tcW w:w="16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 w:type="dxa"/>
            <w:vAlign w:val="bottom"/>
          </w:tcPr>
          <w:p>
            <w:pPr>
              <w:spacing w:after="0"/>
              <w:rPr>
                <w:sz w:val="8"/>
                <w:szCs w:val="8"/>
                <w:color w:val="auto"/>
              </w:rPr>
            </w:pPr>
          </w:p>
        </w:tc>
        <w:tc>
          <w:tcPr>
            <w:tcW w:w="480" w:type="dxa"/>
            <w:vAlign w:val="bottom"/>
          </w:tcPr>
          <w:p>
            <w:pPr>
              <w:spacing w:after="0"/>
              <w:rPr>
                <w:sz w:val="8"/>
                <w:szCs w:val="8"/>
                <w:color w:val="auto"/>
              </w:rPr>
            </w:pPr>
          </w:p>
        </w:tc>
        <w:tc>
          <w:tcPr>
            <w:tcW w:w="160" w:type="dxa"/>
            <w:vAlign w:val="bottom"/>
          </w:tcPr>
          <w:p>
            <w:pPr>
              <w:spacing w:after="0"/>
              <w:rPr>
                <w:sz w:val="8"/>
                <w:szCs w:val="8"/>
                <w:color w:val="auto"/>
              </w:rPr>
            </w:pPr>
          </w:p>
        </w:tc>
        <w:tc>
          <w:tcPr>
            <w:tcW w:w="46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60" w:type="dxa"/>
            <w:vAlign w:val="bottom"/>
          </w:tcPr>
          <w:p>
            <w:pPr>
              <w:spacing w:after="0"/>
              <w:rPr>
                <w:sz w:val="8"/>
                <w:szCs w:val="8"/>
                <w:color w:val="auto"/>
              </w:rPr>
            </w:pPr>
          </w:p>
        </w:tc>
        <w:tc>
          <w:tcPr>
            <w:tcW w:w="240" w:type="dxa"/>
            <w:vAlign w:val="bottom"/>
          </w:tcPr>
          <w:p>
            <w:pPr>
              <w:spacing w:after="0"/>
              <w:rPr>
                <w:sz w:val="8"/>
                <w:szCs w:val="8"/>
                <w:color w:val="auto"/>
              </w:rPr>
            </w:pPr>
          </w:p>
        </w:tc>
        <w:tc>
          <w:tcPr>
            <w:tcW w:w="16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 w:type="dxa"/>
            <w:vAlign w:val="bottom"/>
          </w:tcPr>
          <w:p>
            <w:pPr>
              <w:spacing w:after="0"/>
              <w:rPr>
                <w:sz w:val="8"/>
                <w:szCs w:val="8"/>
                <w:color w:val="auto"/>
              </w:rPr>
            </w:pPr>
          </w:p>
        </w:tc>
        <w:tc>
          <w:tcPr>
            <w:tcW w:w="460" w:type="dxa"/>
            <w:vAlign w:val="bottom"/>
          </w:tcPr>
          <w:p>
            <w:pPr>
              <w:spacing w:after="0"/>
              <w:rPr>
                <w:sz w:val="8"/>
                <w:szCs w:val="8"/>
                <w:color w:val="auto"/>
              </w:rPr>
            </w:pPr>
          </w:p>
        </w:tc>
        <w:tc>
          <w:tcPr>
            <w:tcW w:w="16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60" w:type="dxa"/>
            <w:vAlign w:val="bottom"/>
          </w:tcPr>
          <w:p>
            <w:pPr>
              <w:spacing w:after="0"/>
              <w:rPr>
                <w:sz w:val="8"/>
                <w:szCs w:val="8"/>
                <w:color w:val="auto"/>
              </w:rPr>
            </w:pPr>
          </w:p>
        </w:tc>
        <w:tc>
          <w:tcPr>
            <w:tcW w:w="560" w:type="dxa"/>
            <w:vAlign w:val="bottom"/>
          </w:tcPr>
          <w:p>
            <w:pPr>
              <w:spacing w:after="0"/>
              <w:rPr>
                <w:sz w:val="8"/>
                <w:szCs w:val="8"/>
                <w:color w:val="auto"/>
              </w:rPr>
            </w:pPr>
          </w:p>
        </w:tc>
        <w:tc>
          <w:tcPr>
            <w:tcW w:w="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 w:type="dxa"/>
            <w:vAlign w:val="bottom"/>
          </w:tcPr>
          <w:p>
            <w:pPr>
              <w:spacing w:after="0"/>
              <w:rPr>
                <w:sz w:val="8"/>
                <w:szCs w:val="8"/>
                <w:color w:val="auto"/>
              </w:rPr>
            </w:pPr>
          </w:p>
        </w:tc>
        <w:tc>
          <w:tcPr>
            <w:tcW w:w="2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3"/>
        </w:trPr>
        <w:tc>
          <w:tcPr>
            <w:tcW w:w="1100" w:type="dxa"/>
            <w:vAlign w:val="bottom"/>
            <w:gridSpan w:val="2"/>
          </w:tcPr>
          <w:p>
            <w:pPr>
              <w:ind w:left="100"/>
              <w:spacing w:after="0" w:line="113" w:lineRule="exact"/>
              <w:rPr>
                <w:sz w:val="20"/>
                <w:szCs w:val="20"/>
                <w:color w:val="auto"/>
              </w:rPr>
            </w:pPr>
            <w:r>
              <w:rPr>
                <w:rFonts w:ascii="Arial" w:cs="Arial" w:eastAsia="Arial" w:hAnsi="Arial"/>
                <w:sz w:val="11"/>
                <w:szCs w:val="11"/>
                <w:color w:val="auto"/>
              </w:rPr>
              <w:t>Green Bay Advisors</w:t>
            </w:r>
          </w:p>
        </w:tc>
        <w:tc>
          <w:tcPr>
            <w:tcW w:w="500" w:type="dxa"/>
            <w:vAlign w:val="bottom"/>
          </w:tcPr>
          <w:p>
            <w:pPr>
              <w:spacing w:after="0"/>
              <w:rPr>
                <w:sz w:val="9"/>
                <w:szCs w:val="9"/>
                <w:color w:val="auto"/>
              </w:rPr>
            </w:pPr>
          </w:p>
        </w:tc>
        <w:tc>
          <w:tcPr>
            <w:tcW w:w="60" w:type="dxa"/>
            <w:vAlign w:val="bottom"/>
          </w:tcPr>
          <w:p>
            <w:pPr>
              <w:spacing w:after="0"/>
              <w:rPr>
                <w:sz w:val="9"/>
                <w:szCs w:val="9"/>
                <w:color w:val="auto"/>
              </w:rPr>
            </w:pPr>
          </w:p>
        </w:tc>
        <w:tc>
          <w:tcPr>
            <w:tcW w:w="2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 w:type="dxa"/>
            <w:vAlign w:val="bottom"/>
          </w:tcPr>
          <w:p>
            <w:pPr>
              <w:spacing w:after="0"/>
              <w:rPr>
                <w:sz w:val="9"/>
                <w:szCs w:val="9"/>
                <w:color w:val="auto"/>
              </w:rPr>
            </w:pPr>
          </w:p>
        </w:tc>
        <w:tc>
          <w:tcPr>
            <w:tcW w:w="50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 w:type="dxa"/>
            <w:vAlign w:val="bottom"/>
          </w:tcPr>
          <w:p>
            <w:pPr>
              <w:spacing w:after="0"/>
              <w:rPr>
                <w:sz w:val="9"/>
                <w:szCs w:val="9"/>
                <w:color w:val="auto"/>
              </w:rPr>
            </w:pPr>
          </w:p>
        </w:tc>
        <w:tc>
          <w:tcPr>
            <w:tcW w:w="480" w:type="dxa"/>
            <w:vAlign w:val="bottom"/>
          </w:tcPr>
          <w:p>
            <w:pPr>
              <w:spacing w:after="0"/>
              <w:rPr>
                <w:sz w:val="9"/>
                <w:szCs w:val="9"/>
                <w:color w:val="auto"/>
              </w:rPr>
            </w:pPr>
          </w:p>
        </w:tc>
        <w:tc>
          <w:tcPr>
            <w:tcW w:w="160" w:type="dxa"/>
            <w:vAlign w:val="bottom"/>
          </w:tcPr>
          <w:p>
            <w:pPr>
              <w:spacing w:after="0"/>
              <w:rPr>
                <w:sz w:val="9"/>
                <w:szCs w:val="9"/>
                <w:color w:val="auto"/>
              </w:rPr>
            </w:pPr>
          </w:p>
        </w:tc>
        <w:tc>
          <w:tcPr>
            <w:tcW w:w="46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60" w:type="dxa"/>
            <w:vAlign w:val="bottom"/>
          </w:tcPr>
          <w:p>
            <w:pPr>
              <w:spacing w:after="0"/>
              <w:rPr>
                <w:sz w:val="9"/>
                <w:szCs w:val="9"/>
                <w:color w:val="auto"/>
              </w:rPr>
            </w:pPr>
          </w:p>
        </w:tc>
        <w:tc>
          <w:tcPr>
            <w:tcW w:w="2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 w:type="dxa"/>
            <w:vAlign w:val="bottom"/>
          </w:tcPr>
          <w:p>
            <w:pPr>
              <w:spacing w:after="0"/>
              <w:rPr>
                <w:sz w:val="9"/>
                <w:szCs w:val="9"/>
                <w:color w:val="auto"/>
              </w:rPr>
            </w:pPr>
          </w:p>
        </w:tc>
        <w:tc>
          <w:tcPr>
            <w:tcW w:w="50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 w:type="dxa"/>
            <w:vAlign w:val="bottom"/>
          </w:tcPr>
          <w:p>
            <w:pPr>
              <w:spacing w:after="0"/>
              <w:rPr>
                <w:sz w:val="9"/>
                <w:szCs w:val="9"/>
                <w:color w:val="auto"/>
              </w:rPr>
            </w:pPr>
          </w:p>
        </w:tc>
        <w:tc>
          <w:tcPr>
            <w:tcW w:w="460" w:type="dxa"/>
            <w:vAlign w:val="bottom"/>
          </w:tcPr>
          <w:p>
            <w:pPr>
              <w:spacing w:after="0"/>
              <w:rPr>
                <w:sz w:val="9"/>
                <w:szCs w:val="9"/>
                <w:color w:val="auto"/>
              </w:rPr>
            </w:pPr>
          </w:p>
        </w:tc>
        <w:tc>
          <w:tcPr>
            <w:tcW w:w="160" w:type="dxa"/>
            <w:vAlign w:val="bottom"/>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 w:type="dxa"/>
            <w:vAlign w:val="bottom"/>
          </w:tcPr>
          <w:p>
            <w:pPr>
              <w:spacing w:after="0"/>
              <w:rPr>
                <w:sz w:val="9"/>
                <w:szCs w:val="9"/>
                <w:color w:val="auto"/>
              </w:rPr>
            </w:pPr>
          </w:p>
        </w:tc>
        <w:tc>
          <w:tcPr>
            <w:tcW w:w="2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1100" w:type="dxa"/>
            <w:vAlign w:val="bottom"/>
            <w:gridSpan w:val="2"/>
          </w:tcPr>
          <w:p>
            <w:pPr>
              <w:ind w:left="100"/>
              <w:spacing w:after="0" w:line="113" w:lineRule="exact"/>
              <w:rPr>
                <w:sz w:val="20"/>
                <w:szCs w:val="20"/>
                <w:color w:val="auto"/>
              </w:rPr>
            </w:pPr>
            <w:r>
              <w:rPr>
                <w:rFonts w:ascii="Arial" w:cs="Arial" w:eastAsia="Arial" w:hAnsi="Arial"/>
                <w:sz w:val="11"/>
                <w:szCs w:val="11"/>
                <w:color w:val="auto"/>
              </w:rPr>
              <w:t>or Green Bay</w:t>
            </w:r>
          </w:p>
        </w:tc>
        <w:tc>
          <w:tcPr>
            <w:tcW w:w="500" w:type="dxa"/>
            <w:vAlign w:val="bottom"/>
          </w:tcPr>
          <w:p>
            <w:pPr>
              <w:spacing w:after="0"/>
              <w:rPr>
                <w:sz w:val="9"/>
                <w:szCs w:val="9"/>
                <w:color w:val="auto"/>
              </w:rPr>
            </w:pPr>
          </w:p>
        </w:tc>
        <w:tc>
          <w:tcPr>
            <w:tcW w:w="60" w:type="dxa"/>
            <w:vAlign w:val="bottom"/>
          </w:tcPr>
          <w:p>
            <w:pPr>
              <w:spacing w:after="0"/>
              <w:rPr>
                <w:sz w:val="9"/>
                <w:szCs w:val="9"/>
                <w:color w:val="auto"/>
              </w:rPr>
            </w:pPr>
          </w:p>
        </w:tc>
        <w:tc>
          <w:tcPr>
            <w:tcW w:w="2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 w:type="dxa"/>
            <w:vAlign w:val="bottom"/>
          </w:tcPr>
          <w:p>
            <w:pPr>
              <w:spacing w:after="0"/>
              <w:rPr>
                <w:sz w:val="9"/>
                <w:szCs w:val="9"/>
                <w:color w:val="auto"/>
              </w:rPr>
            </w:pPr>
          </w:p>
        </w:tc>
        <w:tc>
          <w:tcPr>
            <w:tcW w:w="50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 w:type="dxa"/>
            <w:vAlign w:val="bottom"/>
          </w:tcPr>
          <w:p>
            <w:pPr>
              <w:spacing w:after="0"/>
              <w:rPr>
                <w:sz w:val="9"/>
                <w:szCs w:val="9"/>
                <w:color w:val="auto"/>
              </w:rPr>
            </w:pPr>
          </w:p>
        </w:tc>
        <w:tc>
          <w:tcPr>
            <w:tcW w:w="480" w:type="dxa"/>
            <w:vAlign w:val="bottom"/>
          </w:tcPr>
          <w:p>
            <w:pPr>
              <w:spacing w:after="0"/>
              <w:rPr>
                <w:sz w:val="9"/>
                <w:szCs w:val="9"/>
                <w:color w:val="auto"/>
              </w:rPr>
            </w:pPr>
          </w:p>
        </w:tc>
        <w:tc>
          <w:tcPr>
            <w:tcW w:w="160" w:type="dxa"/>
            <w:vAlign w:val="bottom"/>
          </w:tcPr>
          <w:p>
            <w:pPr>
              <w:spacing w:after="0"/>
              <w:rPr>
                <w:sz w:val="9"/>
                <w:szCs w:val="9"/>
                <w:color w:val="auto"/>
              </w:rPr>
            </w:pPr>
          </w:p>
        </w:tc>
        <w:tc>
          <w:tcPr>
            <w:tcW w:w="46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60" w:type="dxa"/>
            <w:vAlign w:val="bottom"/>
          </w:tcPr>
          <w:p>
            <w:pPr>
              <w:spacing w:after="0"/>
              <w:rPr>
                <w:sz w:val="9"/>
                <w:szCs w:val="9"/>
                <w:color w:val="auto"/>
              </w:rPr>
            </w:pPr>
          </w:p>
        </w:tc>
        <w:tc>
          <w:tcPr>
            <w:tcW w:w="2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 w:type="dxa"/>
            <w:vAlign w:val="bottom"/>
          </w:tcPr>
          <w:p>
            <w:pPr>
              <w:spacing w:after="0"/>
              <w:rPr>
                <w:sz w:val="9"/>
                <w:szCs w:val="9"/>
                <w:color w:val="auto"/>
              </w:rPr>
            </w:pPr>
          </w:p>
        </w:tc>
        <w:tc>
          <w:tcPr>
            <w:tcW w:w="50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 w:type="dxa"/>
            <w:vAlign w:val="bottom"/>
          </w:tcPr>
          <w:p>
            <w:pPr>
              <w:spacing w:after="0"/>
              <w:rPr>
                <w:sz w:val="9"/>
                <w:szCs w:val="9"/>
                <w:color w:val="auto"/>
              </w:rPr>
            </w:pPr>
          </w:p>
        </w:tc>
        <w:tc>
          <w:tcPr>
            <w:tcW w:w="460" w:type="dxa"/>
            <w:vAlign w:val="bottom"/>
          </w:tcPr>
          <w:p>
            <w:pPr>
              <w:spacing w:after="0"/>
              <w:rPr>
                <w:sz w:val="9"/>
                <w:szCs w:val="9"/>
                <w:color w:val="auto"/>
              </w:rPr>
            </w:pPr>
          </w:p>
        </w:tc>
        <w:tc>
          <w:tcPr>
            <w:tcW w:w="160" w:type="dxa"/>
            <w:vAlign w:val="bottom"/>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 w:type="dxa"/>
            <w:vAlign w:val="bottom"/>
          </w:tcPr>
          <w:p>
            <w:pPr>
              <w:spacing w:after="0"/>
              <w:rPr>
                <w:sz w:val="9"/>
                <w:szCs w:val="9"/>
                <w:color w:val="auto"/>
              </w:rPr>
            </w:pPr>
          </w:p>
        </w:tc>
        <w:tc>
          <w:tcPr>
            <w:tcW w:w="2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4"/>
        </w:trPr>
        <w:tc>
          <w:tcPr>
            <w:tcW w:w="1100" w:type="dxa"/>
            <w:vAlign w:val="bottom"/>
            <w:gridSpan w:val="2"/>
          </w:tcPr>
          <w:p>
            <w:pPr>
              <w:ind w:left="100"/>
              <w:spacing w:after="0" w:line="124" w:lineRule="exact"/>
              <w:rPr>
                <w:sz w:val="20"/>
                <w:szCs w:val="20"/>
                <w:color w:val="auto"/>
              </w:rPr>
            </w:pPr>
            <w:r>
              <w:rPr>
                <w:rFonts w:ascii="Arial" w:cs="Arial" w:eastAsia="Arial" w:hAnsi="Arial"/>
                <w:sz w:val="11"/>
                <w:szCs w:val="11"/>
                <w:color w:val="auto"/>
                <w:w w:val="95"/>
              </w:rPr>
              <w:t>Generations Fund</w:t>
            </w:r>
            <w:r>
              <w:rPr>
                <w:rFonts w:ascii="Arial" w:cs="Arial" w:eastAsia="Arial" w:hAnsi="Arial"/>
                <w:sz w:val="8"/>
                <w:szCs w:val="8"/>
                <w:color w:val="auto"/>
                <w:w w:val="95"/>
              </w:rPr>
              <w:t>(12)</w:t>
            </w:r>
          </w:p>
        </w:tc>
        <w:tc>
          <w:tcPr>
            <w:tcW w:w="500" w:type="dxa"/>
            <w:vAlign w:val="bottom"/>
          </w:tcPr>
          <w:p>
            <w:pPr>
              <w:jc w:val="right"/>
              <w:spacing w:after="0" w:line="124" w:lineRule="exact"/>
              <w:rPr>
                <w:sz w:val="20"/>
                <w:szCs w:val="20"/>
                <w:color w:val="auto"/>
              </w:rPr>
            </w:pPr>
            <w:r>
              <w:rPr>
                <w:rFonts w:ascii="Arial" w:cs="Arial" w:eastAsia="Arial" w:hAnsi="Arial"/>
                <w:sz w:val="11"/>
                <w:szCs w:val="11"/>
                <w:color w:val="auto"/>
                <w:w w:val="97"/>
              </w:rPr>
              <w:t>2,215,542</w:t>
            </w:r>
          </w:p>
        </w:tc>
        <w:tc>
          <w:tcPr>
            <w:tcW w:w="60" w:type="dxa"/>
            <w:vAlign w:val="bottom"/>
          </w:tcPr>
          <w:p>
            <w:pPr>
              <w:spacing w:after="0"/>
              <w:rPr>
                <w:sz w:val="10"/>
                <w:szCs w:val="10"/>
                <w:color w:val="auto"/>
              </w:rPr>
            </w:pPr>
          </w:p>
        </w:tc>
        <w:tc>
          <w:tcPr>
            <w:tcW w:w="400" w:type="dxa"/>
            <w:vAlign w:val="bottom"/>
            <w:gridSpan w:val="2"/>
          </w:tcPr>
          <w:p>
            <w:pPr>
              <w:jc w:val="right"/>
              <w:ind w:right="80"/>
              <w:spacing w:after="0" w:line="124" w:lineRule="exact"/>
              <w:rPr>
                <w:sz w:val="20"/>
                <w:szCs w:val="20"/>
                <w:color w:val="auto"/>
              </w:rPr>
            </w:pPr>
            <w:r>
              <w:rPr>
                <w:rFonts w:ascii="Arial" w:cs="Arial" w:eastAsia="Arial" w:hAnsi="Arial"/>
                <w:sz w:val="11"/>
                <w:szCs w:val="11"/>
                <w:color w:val="auto"/>
              </w:rPr>
              <w:t>8.2%</w:t>
            </w:r>
          </w:p>
        </w:tc>
        <w:tc>
          <w:tcPr>
            <w:tcW w:w="560" w:type="dxa"/>
            <w:vAlign w:val="bottom"/>
          </w:tcPr>
          <w:p>
            <w:pPr>
              <w:jc w:val="right"/>
              <w:spacing w:after="0" w:line="124" w:lineRule="exact"/>
              <w:rPr>
                <w:sz w:val="20"/>
                <w:szCs w:val="20"/>
                <w:color w:val="auto"/>
              </w:rPr>
            </w:pPr>
            <w:r>
              <w:rPr>
                <w:rFonts w:ascii="Arial" w:cs="Arial" w:eastAsia="Arial" w:hAnsi="Arial"/>
                <w:sz w:val="11"/>
                <w:szCs w:val="11"/>
                <w:color w:val="auto"/>
              </w:rPr>
              <w:t>558,428</w:t>
            </w:r>
          </w:p>
        </w:tc>
        <w:tc>
          <w:tcPr>
            <w:tcW w:w="60" w:type="dxa"/>
            <w:vAlign w:val="bottom"/>
          </w:tcPr>
          <w:p>
            <w:pPr>
              <w:spacing w:after="0"/>
              <w:rPr>
                <w:sz w:val="10"/>
                <w:szCs w:val="10"/>
                <w:color w:val="auto"/>
              </w:rPr>
            </w:pPr>
          </w:p>
        </w:tc>
        <w:tc>
          <w:tcPr>
            <w:tcW w:w="220" w:type="dxa"/>
            <w:vAlign w:val="bottom"/>
          </w:tcPr>
          <w:p>
            <w:pPr>
              <w:jc w:val="right"/>
              <w:spacing w:after="0" w:line="124" w:lineRule="exact"/>
              <w:rPr>
                <w:sz w:val="20"/>
                <w:szCs w:val="20"/>
                <w:color w:val="auto"/>
              </w:rPr>
            </w:pPr>
            <w:r>
              <w:rPr>
                <w:rFonts w:ascii="Arial" w:cs="Arial" w:eastAsia="Arial" w:hAnsi="Arial"/>
                <w:sz w:val="11"/>
                <w:szCs w:val="11"/>
                <w:color w:val="auto"/>
              </w:rPr>
              <w:t>*</w:t>
            </w:r>
          </w:p>
        </w:tc>
        <w:tc>
          <w:tcPr>
            <w:tcW w:w="120" w:type="dxa"/>
            <w:vAlign w:val="bottom"/>
          </w:tcPr>
          <w:p>
            <w:pPr>
              <w:spacing w:after="0"/>
              <w:rPr>
                <w:sz w:val="10"/>
                <w:szCs w:val="10"/>
                <w:color w:val="auto"/>
              </w:rPr>
            </w:pPr>
          </w:p>
        </w:tc>
        <w:tc>
          <w:tcPr>
            <w:tcW w:w="540" w:type="dxa"/>
            <w:vAlign w:val="bottom"/>
            <w:gridSpan w:val="2"/>
          </w:tcPr>
          <w:p>
            <w:pPr>
              <w:jc w:val="right"/>
              <w:spacing w:after="0" w:line="124" w:lineRule="exact"/>
              <w:rPr>
                <w:sz w:val="20"/>
                <w:szCs w:val="20"/>
                <w:color w:val="auto"/>
              </w:rPr>
            </w:pPr>
            <w:r>
              <w:rPr>
                <w:rFonts w:ascii="Arial" w:cs="Arial" w:eastAsia="Arial" w:hAnsi="Arial"/>
                <w:sz w:val="11"/>
                <w:szCs w:val="11"/>
                <w:color w:val="auto"/>
              </w:rPr>
              <w:t>*</w:t>
            </w:r>
          </w:p>
        </w:tc>
        <w:tc>
          <w:tcPr>
            <w:tcW w:w="120" w:type="dxa"/>
            <w:vAlign w:val="bottom"/>
          </w:tcPr>
          <w:p>
            <w:pPr>
              <w:spacing w:after="0"/>
              <w:rPr>
                <w:sz w:val="10"/>
                <w:szCs w:val="10"/>
                <w:color w:val="auto"/>
              </w:rPr>
            </w:pPr>
          </w:p>
        </w:tc>
        <w:tc>
          <w:tcPr>
            <w:tcW w:w="520" w:type="dxa"/>
            <w:vAlign w:val="bottom"/>
            <w:gridSpan w:val="2"/>
          </w:tcPr>
          <w:p>
            <w:pPr>
              <w:jc w:val="right"/>
              <w:spacing w:after="0" w:line="124" w:lineRule="exact"/>
              <w:rPr>
                <w:sz w:val="20"/>
                <w:szCs w:val="20"/>
                <w:color w:val="auto"/>
              </w:rPr>
            </w:pPr>
            <w:r>
              <w:rPr>
                <w:rFonts w:ascii="Arial" w:cs="Arial" w:eastAsia="Arial" w:hAnsi="Arial"/>
                <w:sz w:val="11"/>
                <w:szCs w:val="11"/>
                <w:color w:val="auto"/>
              </w:rPr>
              <w:t>*</w:t>
            </w:r>
          </w:p>
        </w:tc>
        <w:tc>
          <w:tcPr>
            <w:tcW w:w="160" w:type="dxa"/>
            <w:vAlign w:val="bottom"/>
          </w:tcPr>
          <w:p>
            <w:pPr>
              <w:spacing w:after="0"/>
              <w:rPr>
                <w:sz w:val="10"/>
                <w:szCs w:val="10"/>
                <w:color w:val="auto"/>
              </w:rPr>
            </w:pPr>
          </w:p>
        </w:tc>
        <w:tc>
          <w:tcPr>
            <w:tcW w:w="540" w:type="dxa"/>
            <w:vAlign w:val="bottom"/>
            <w:gridSpan w:val="2"/>
          </w:tcPr>
          <w:p>
            <w:pPr>
              <w:ind w:left="300"/>
              <w:spacing w:after="0" w:line="124" w:lineRule="exact"/>
              <w:rPr>
                <w:sz w:val="20"/>
                <w:szCs w:val="20"/>
                <w:color w:val="auto"/>
              </w:rPr>
            </w:pPr>
            <w:r>
              <w:rPr>
                <w:rFonts w:ascii="Arial" w:cs="Arial" w:eastAsia="Arial" w:hAnsi="Arial"/>
                <w:sz w:val="11"/>
                <w:szCs w:val="11"/>
                <w:color w:val="auto"/>
              </w:rPr>
              <w:t>—</w:t>
            </w:r>
          </w:p>
        </w:tc>
        <w:tc>
          <w:tcPr>
            <w:tcW w:w="500" w:type="dxa"/>
            <w:vAlign w:val="bottom"/>
          </w:tcPr>
          <w:p>
            <w:pPr>
              <w:jc w:val="right"/>
              <w:spacing w:after="0" w:line="124" w:lineRule="exact"/>
              <w:rPr>
                <w:sz w:val="20"/>
                <w:szCs w:val="20"/>
                <w:color w:val="auto"/>
              </w:rPr>
            </w:pPr>
            <w:r>
              <w:rPr>
                <w:rFonts w:ascii="Arial" w:cs="Arial" w:eastAsia="Arial" w:hAnsi="Arial"/>
                <w:sz w:val="11"/>
                <w:szCs w:val="11"/>
                <w:color w:val="auto"/>
                <w:w w:val="97"/>
              </w:rPr>
              <w:t>2,215,542</w:t>
            </w:r>
          </w:p>
        </w:tc>
        <w:tc>
          <w:tcPr>
            <w:tcW w:w="60" w:type="dxa"/>
            <w:vAlign w:val="bottom"/>
          </w:tcPr>
          <w:p>
            <w:pPr>
              <w:spacing w:after="0"/>
              <w:rPr>
                <w:sz w:val="10"/>
                <w:szCs w:val="10"/>
                <w:color w:val="auto"/>
              </w:rPr>
            </w:pPr>
          </w:p>
        </w:tc>
        <w:tc>
          <w:tcPr>
            <w:tcW w:w="400" w:type="dxa"/>
            <w:vAlign w:val="bottom"/>
            <w:gridSpan w:val="2"/>
          </w:tcPr>
          <w:p>
            <w:pPr>
              <w:jc w:val="right"/>
              <w:ind w:right="80"/>
              <w:spacing w:after="0" w:line="124" w:lineRule="exact"/>
              <w:rPr>
                <w:sz w:val="20"/>
                <w:szCs w:val="20"/>
                <w:color w:val="auto"/>
              </w:rPr>
            </w:pPr>
            <w:r>
              <w:rPr>
                <w:rFonts w:ascii="Arial" w:cs="Arial" w:eastAsia="Arial" w:hAnsi="Arial"/>
                <w:sz w:val="11"/>
                <w:szCs w:val="11"/>
                <w:color w:val="auto"/>
              </w:rPr>
              <w:t>3.2%</w:t>
            </w:r>
          </w:p>
        </w:tc>
        <w:tc>
          <w:tcPr>
            <w:tcW w:w="560" w:type="dxa"/>
            <w:vAlign w:val="bottom"/>
          </w:tcPr>
          <w:p>
            <w:pPr>
              <w:jc w:val="right"/>
              <w:spacing w:after="0" w:line="124" w:lineRule="exact"/>
              <w:rPr>
                <w:sz w:val="20"/>
                <w:szCs w:val="20"/>
                <w:color w:val="auto"/>
              </w:rPr>
            </w:pPr>
            <w:r>
              <w:rPr>
                <w:rFonts w:ascii="Arial" w:cs="Arial" w:eastAsia="Arial" w:hAnsi="Arial"/>
                <w:sz w:val="11"/>
                <w:szCs w:val="11"/>
                <w:color w:val="auto"/>
              </w:rPr>
              <w:t>558,428</w:t>
            </w:r>
          </w:p>
        </w:tc>
        <w:tc>
          <w:tcPr>
            <w:tcW w:w="60" w:type="dxa"/>
            <w:vAlign w:val="bottom"/>
          </w:tcPr>
          <w:p>
            <w:pPr>
              <w:spacing w:after="0"/>
              <w:rPr>
                <w:sz w:val="10"/>
                <w:szCs w:val="10"/>
                <w:color w:val="auto"/>
              </w:rPr>
            </w:pPr>
          </w:p>
        </w:tc>
        <w:tc>
          <w:tcPr>
            <w:tcW w:w="220" w:type="dxa"/>
            <w:vAlign w:val="bottom"/>
          </w:tcPr>
          <w:p>
            <w:pPr>
              <w:jc w:val="right"/>
              <w:spacing w:after="0" w:line="124" w:lineRule="exact"/>
              <w:rPr>
                <w:sz w:val="20"/>
                <w:szCs w:val="20"/>
                <w:color w:val="auto"/>
              </w:rPr>
            </w:pPr>
            <w:r>
              <w:rPr>
                <w:rFonts w:ascii="Arial" w:cs="Arial" w:eastAsia="Arial" w:hAnsi="Arial"/>
                <w:sz w:val="11"/>
                <w:szCs w:val="11"/>
                <w:color w:val="auto"/>
              </w:rPr>
              <w:t>*</w:t>
            </w:r>
          </w:p>
        </w:tc>
        <w:tc>
          <w:tcPr>
            <w:tcW w:w="120" w:type="dxa"/>
            <w:vAlign w:val="bottom"/>
          </w:tcPr>
          <w:p>
            <w:pPr>
              <w:spacing w:after="0"/>
              <w:rPr>
                <w:sz w:val="10"/>
                <w:szCs w:val="10"/>
                <w:color w:val="auto"/>
              </w:rPr>
            </w:pPr>
          </w:p>
        </w:tc>
        <w:tc>
          <w:tcPr>
            <w:tcW w:w="540" w:type="dxa"/>
            <w:vAlign w:val="bottom"/>
            <w:gridSpan w:val="2"/>
          </w:tcPr>
          <w:p>
            <w:pPr>
              <w:jc w:val="right"/>
              <w:spacing w:after="0" w:line="124" w:lineRule="exact"/>
              <w:rPr>
                <w:sz w:val="20"/>
                <w:szCs w:val="20"/>
                <w:color w:val="auto"/>
              </w:rPr>
            </w:pPr>
            <w:r>
              <w:rPr>
                <w:rFonts w:ascii="Arial" w:cs="Arial" w:eastAsia="Arial" w:hAnsi="Arial"/>
                <w:sz w:val="11"/>
                <w:szCs w:val="11"/>
                <w:color w:val="auto"/>
              </w:rPr>
              <w:t>*</w:t>
            </w:r>
          </w:p>
        </w:tc>
        <w:tc>
          <w:tcPr>
            <w:tcW w:w="120" w:type="dxa"/>
            <w:vAlign w:val="bottom"/>
          </w:tcPr>
          <w:p>
            <w:pPr>
              <w:spacing w:after="0"/>
              <w:rPr>
                <w:sz w:val="10"/>
                <w:szCs w:val="10"/>
                <w:color w:val="auto"/>
              </w:rPr>
            </w:pPr>
          </w:p>
        </w:tc>
        <w:tc>
          <w:tcPr>
            <w:tcW w:w="500" w:type="dxa"/>
            <w:vAlign w:val="bottom"/>
            <w:gridSpan w:val="2"/>
          </w:tcPr>
          <w:p>
            <w:pPr>
              <w:jc w:val="right"/>
              <w:spacing w:after="0" w:line="124" w:lineRule="exact"/>
              <w:rPr>
                <w:sz w:val="20"/>
                <w:szCs w:val="20"/>
                <w:color w:val="auto"/>
              </w:rPr>
            </w:pPr>
            <w:r>
              <w:rPr>
                <w:rFonts w:ascii="Arial" w:cs="Arial" w:eastAsia="Arial" w:hAnsi="Arial"/>
                <w:sz w:val="11"/>
                <w:szCs w:val="11"/>
                <w:color w:val="auto"/>
              </w:rPr>
              <w:t>*</w:t>
            </w:r>
          </w:p>
        </w:tc>
        <w:tc>
          <w:tcPr>
            <w:tcW w:w="160" w:type="dxa"/>
            <w:vAlign w:val="bottom"/>
          </w:tcPr>
          <w:p>
            <w:pPr>
              <w:spacing w:after="0"/>
              <w:rPr>
                <w:sz w:val="10"/>
                <w:szCs w:val="10"/>
                <w:color w:val="auto"/>
              </w:rPr>
            </w:pPr>
          </w:p>
        </w:tc>
        <w:tc>
          <w:tcPr>
            <w:tcW w:w="500" w:type="dxa"/>
            <w:vAlign w:val="bottom"/>
          </w:tcPr>
          <w:p>
            <w:pPr>
              <w:jc w:val="right"/>
              <w:spacing w:after="0" w:line="124" w:lineRule="exact"/>
              <w:rPr>
                <w:sz w:val="20"/>
                <w:szCs w:val="20"/>
                <w:color w:val="auto"/>
              </w:rPr>
            </w:pPr>
            <w:r>
              <w:rPr>
                <w:rFonts w:ascii="Arial" w:cs="Arial" w:eastAsia="Arial" w:hAnsi="Arial"/>
                <w:sz w:val="11"/>
                <w:szCs w:val="11"/>
                <w:color w:val="auto"/>
                <w:w w:val="97"/>
              </w:rPr>
              <w:t>2,215,542</w:t>
            </w:r>
          </w:p>
        </w:tc>
        <w:tc>
          <w:tcPr>
            <w:tcW w:w="80" w:type="dxa"/>
            <w:vAlign w:val="bottom"/>
          </w:tcPr>
          <w:p>
            <w:pPr>
              <w:spacing w:after="0"/>
              <w:rPr>
                <w:sz w:val="10"/>
                <w:szCs w:val="10"/>
                <w:color w:val="auto"/>
              </w:rPr>
            </w:pPr>
          </w:p>
        </w:tc>
        <w:tc>
          <w:tcPr>
            <w:tcW w:w="380" w:type="dxa"/>
            <w:vAlign w:val="bottom"/>
            <w:gridSpan w:val="2"/>
          </w:tcPr>
          <w:p>
            <w:pPr>
              <w:jc w:val="right"/>
              <w:ind w:right="80"/>
              <w:spacing w:after="0" w:line="124" w:lineRule="exact"/>
              <w:rPr>
                <w:sz w:val="20"/>
                <w:szCs w:val="20"/>
                <w:color w:val="auto"/>
              </w:rPr>
            </w:pPr>
            <w:r>
              <w:rPr>
                <w:rFonts w:ascii="Arial" w:cs="Arial" w:eastAsia="Arial" w:hAnsi="Arial"/>
                <w:sz w:val="11"/>
                <w:szCs w:val="11"/>
                <w:color w:val="auto"/>
              </w:rPr>
              <w:t>3.0%</w:t>
            </w:r>
          </w:p>
        </w:tc>
        <w:tc>
          <w:tcPr>
            <w:tcW w:w="560" w:type="dxa"/>
            <w:vAlign w:val="bottom"/>
          </w:tcPr>
          <w:p>
            <w:pPr>
              <w:jc w:val="right"/>
              <w:spacing w:after="0" w:line="124" w:lineRule="exact"/>
              <w:rPr>
                <w:sz w:val="20"/>
                <w:szCs w:val="20"/>
                <w:color w:val="auto"/>
              </w:rPr>
            </w:pPr>
            <w:r>
              <w:rPr>
                <w:rFonts w:ascii="Arial" w:cs="Arial" w:eastAsia="Arial" w:hAnsi="Arial"/>
                <w:sz w:val="11"/>
                <w:szCs w:val="11"/>
                <w:color w:val="auto"/>
              </w:rPr>
              <w:t>558,428</w:t>
            </w:r>
          </w:p>
        </w:tc>
        <w:tc>
          <w:tcPr>
            <w:tcW w:w="80" w:type="dxa"/>
            <w:vAlign w:val="bottom"/>
          </w:tcPr>
          <w:p>
            <w:pPr>
              <w:spacing w:after="0"/>
              <w:rPr>
                <w:sz w:val="10"/>
                <w:szCs w:val="10"/>
                <w:color w:val="auto"/>
              </w:rPr>
            </w:pPr>
          </w:p>
        </w:tc>
        <w:tc>
          <w:tcPr>
            <w:tcW w:w="220" w:type="dxa"/>
            <w:vAlign w:val="bottom"/>
          </w:tcPr>
          <w:p>
            <w:pPr>
              <w:jc w:val="right"/>
              <w:spacing w:after="0" w:line="124" w:lineRule="exact"/>
              <w:rPr>
                <w:sz w:val="20"/>
                <w:szCs w:val="20"/>
                <w:color w:val="auto"/>
              </w:rPr>
            </w:pPr>
            <w:r>
              <w:rPr>
                <w:rFonts w:ascii="Arial" w:cs="Arial" w:eastAsia="Arial" w:hAnsi="Arial"/>
                <w:sz w:val="11"/>
                <w:szCs w:val="11"/>
                <w:color w:val="auto"/>
              </w:rPr>
              <w:t>*</w:t>
            </w: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3"/>
        </w:trPr>
        <w:tc>
          <w:tcPr>
            <w:tcW w:w="1100" w:type="dxa"/>
            <w:vAlign w:val="bottom"/>
            <w:gridSpan w:val="2"/>
            <w:shd w:val="clear" w:color="auto" w:fill="CCEEFF"/>
          </w:tcPr>
          <w:p>
            <w:pPr>
              <w:spacing w:after="0" w:line="113" w:lineRule="exact"/>
              <w:rPr>
                <w:sz w:val="20"/>
                <w:szCs w:val="20"/>
                <w:color w:val="auto"/>
              </w:rPr>
            </w:pPr>
            <w:r>
              <w:rPr>
                <w:rFonts w:ascii="Arial" w:cs="Arial" w:eastAsia="Arial" w:hAnsi="Arial"/>
                <w:sz w:val="11"/>
                <w:szCs w:val="11"/>
                <w:b w:val="1"/>
                <w:bCs w:val="1"/>
                <w:color w:val="auto"/>
                <w:w w:val="97"/>
              </w:rPr>
              <w:t>Selling stockholders:</w:t>
            </w:r>
          </w:p>
        </w:tc>
        <w:tc>
          <w:tcPr>
            <w:tcW w:w="5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28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1100" w:type="dxa"/>
            <w:vAlign w:val="bottom"/>
            <w:gridSpan w:val="2"/>
          </w:tcPr>
          <w:p>
            <w:pPr>
              <w:spacing w:after="0" w:line="113" w:lineRule="exact"/>
              <w:rPr>
                <w:sz w:val="20"/>
                <w:szCs w:val="20"/>
                <w:color w:val="auto"/>
              </w:rPr>
            </w:pPr>
            <w:r>
              <w:rPr>
                <w:rFonts w:ascii="Arial" w:cs="Arial" w:eastAsia="Arial" w:hAnsi="Arial"/>
                <w:sz w:val="11"/>
                <w:szCs w:val="11"/>
                <w:color w:val="auto"/>
              </w:rPr>
              <w:t>Hadi Partovi</w:t>
            </w:r>
            <w:r>
              <w:rPr>
                <w:rFonts w:ascii="Arial" w:cs="Arial" w:eastAsia="Arial" w:hAnsi="Arial"/>
                <w:sz w:val="8"/>
                <w:szCs w:val="8"/>
                <w:color w:val="auto"/>
              </w:rPr>
              <w:t>(13)</w:t>
            </w:r>
          </w:p>
        </w:tc>
        <w:tc>
          <w:tcPr>
            <w:tcW w:w="560" w:type="dxa"/>
            <w:vAlign w:val="bottom"/>
            <w:gridSpan w:val="2"/>
          </w:tcPr>
          <w:p>
            <w:pPr>
              <w:ind w:left="340"/>
              <w:spacing w:after="0" w:line="113" w:lineRule="exact"/>
              <w:rPr>
                <w:sz w:val="20"/>
                <w:szCs w:val="20"/>
                <w:color w:val="auto"/>
              </w:rPr>
            </w:pPr>
            <w:r>
              <w:rPr>
                <w:rFonts w:ascii="Arial" w:cs="Arial" w:eastAsia="Arial" w:hAnsi="Arial"/>
                <w:sz w:val="11"/>
                <w:szCs w:val="11"/>
                <w:color w:val="auto"/>
              </w:rPr>
              <w:t>—</w:t>
            </w:r>
          </w:p>
        </w:tc>
        <w:tc>
          <w:tcPr>
            <w:tcW w:w="240" w:type="dxa"/>
            <w:vAlign w:val="bottom"/>
          </w:tcPr>
          <w:p>
            <w:pPr>
              <w:jc w:val="right"/>
              <w:spacing w:after="0" w:line="113" w:lineRule="exact"/>
              <w:rPr>
                <w:sz w:val="20"/>
                <w:szCs w:val="20"/>
                <w:color w:val="auto"/>
              </w:rPr>
            </w:pPr>
            <w:r>
              <w:rPr>
                <w:rFonts w:ascii="Arial" w:cs="Arial" w:eastAsia="Arial" w:hAnsi="Arial"/>
                <w:sz w:val="11"/>
                <w:szCs w:val="11"/>
                <w:color w:val="auto"/>
              </w:rPr>
              <w:t>*</w:t>
            </w:r>
          </w:p>
        </w:tc>
        <w:tc>
          <w:tcPr>
            <w:tcW w:w="160" w:type="dxa"/>
            <w:vAlign w:val="bottom"/>
          </w:tcPr>
          <w:p>
            <w:pPr>
              <w:spacing w:after="0"/>
              <w:rPr>
                <w:sz w:val="9"/>
                <w:szCs w:val="9"/>
                <w:color w:val="auto"/>
              </w:rPr>
            </w:pPr>
          </w:p>
        </w:tc>
        <w:tc>
          <w:tcPr>
            <w:tcW w:w="560" w:type="dxa"/>
            <w:vAlign w:val="bottom"/>
          </w:tcPr>
          <w:p>
            <w:pPr>
              <w:jc w:val="right"/>
              <w:spacing w:after="0" w:line="113" w:lineRule="exact"/>
              <w:rPr>
                <w:sz w:val="20"/>
                <w:szCs w:val="20"/>
                <w:color w:val="auto"/>
              </w:rPr>
            </w:pPr>
            <w:r>
              <w:rPr>
                <w:rFonts w:ascii="Arial" w:cs="Arial" w:eastAsia="Arial" w:hAnsi="Arial"/>
                <w:sz w:val="11"/>
                <w:szCs w:val="11"/>
                <w:color w:val="auto"/>
              </w:rPr>
              <w:t>3,520,333</w:t>
            </w:r>
          </w:p>
        </w:tc>
        <w:tc>
          <w:tcPr>
            <w:tcW w:w="60" w:type="dxa"/>
            <w:vAlign w:val="bottom"/>
          </w:tcPr>
          <w:p>
            <w:pPr>
              <w:spacing w:after="0"/>
              <w:rPr>
                <w:sz w:val="9"/>
                <w:szCs w:val="9"/>
                <w:color w:val="auto"/>
              </w:rPr>
            </w:pPr>
          </w:p>
        </w:tc>
        <w:tc>
          <w:tcPr>
            <w:tcW w:w="340" w:type="dxa"/>
            <w:vAlign w:val="bottom"/>
            <w:gridSpan w:val="2"/>
          </w:tcPr>
          <w:p>
            <w:pPr>
              <w:jc w:val="right"/>
              <w:ind w:right="40"/>
              <w:spacing w:after="0" w:line="113" w:lineRule="exact"/>
              <w:rPr>
                <w:sz w:val="20"/>
                <w:szCs w:val="20"/>
                <w:color w:val="auto"/>
              </w:rPr>
            </w:pPr>
            <w:r>
              <w:rPr>
                <w:rFonts w:ascii="Arial" w:cs="Arial" w:eastAsia="Arial" w:hAnsi="Arial"/>
                <w:sz w:val="11"/>
                <w:szCs w:val="11"/>
                <w:color w:val="auto"/>
              </w:rPr>
              <w:t>1.0%</w:t>
            </w:r>
          </w:p>
        </w:tc>
        <w:tc>
          <w:tcPr>
            <w:tcW w:w="540" w:type="dxa"/>
            <w:vAlign w:val="bottom"/>
            <w:gridSpan w:val="2"/>
          </w:tcPr>
          <w:p>
            <w:pPr>
              <w:jc w:val="right"/>
              <w:spacing w:after="0" w:line="113" w:lineRule="exact"/>
              <w:rPr>
                <w:sz w:val="20"/>
                <w:szCs w:val="20"/>
                <w:color w:val="auto"/>
              </w:rPr>
            </w:pPr>
            <w:r>
              <w:rPr>
                <w:rFonts w:ascii="Arial" w:cs="Arial" w:eastAsia="Arial" w:hAnsi="Arial"/>
                <w:sz w:val="11"/>
                <w:szCs w:val="11"/>
                <w:color w:val="auto"/>
              </w:rPr>
              <w:t>*</w:t>
            </w:r>
          </w:p>
        </w:tc>
        <w:tc>
          <w:tcPr>
            <w:tcW w:w="120" w:type="dxa"/>
            <w:vAlign w:val="bottom"/>
          </w:tcPr>
          <w:p>
            <w:pPr>
              <w:spacing w:after="0"/>
              <w:rPr>
                <w:sz w:val="9"/>
                <w:szCs w:val="9"/>
                <w:color w:val="auto"/>
              </w:rPr>
            </w:pPr>
          </w:p>
        </w:tc>
        <w:tc>
          <w:tcPr>
            <w:tcW w:w="680" w:type="dxa"/>
            <w:vAlign w:val="bottom"/>
            <w:gridSpan w:val="3"/>
          </w:tcPr>
          <w:p>
            <w:pPr>
              <w:jc w:val="right"/>
              <w:ind w:right="80"/>
              <w:spacing w:after="0" w:line="113" w:lineRule="exact"/>
              <w:rPr>
                <w:sz w:val="20"/>
                <w:szCs w:val="20"/>
                <w:color w:val="auto"/>
              </w:rPr>
            </w:pPr>
            <w:r>
              <w:rPr>
                <w:rFonts w:ascii="Arial" w:cs="Arial" w:eastAsia="Arial" w:hAnsi="Arial"/>
                <w:sz w:val="11"/>
                <w:szCs w:val="11"/>
                <w:color w:val="auto"/>
              </w:rPr>
              <w:t>1.0%</w:t>
            </w:r>
          </w:p>
        </w:tc>
        <w:tc>
          <w:tcPr>
            <w:tcW w:w="460" w:type="dxa"/>
            <w:vAlign w:val="bottom"/>
          </w:tcPr>
          <w:p>
            <w:pPr>
              <w:jc w:val="right"/>
              <w:spacing w:after="0" w:line="113" w:lineRule="exact"/>
              <w:rPr>
                <w:sz w:val="20"/>
                <w:szCs w:val="20"/>
                <w:color w:val="auto"/>
              </w:rPr>
            </w:pPr>
            <w:r>
              <w:rPr>
                <w:rFonts w:ascii="Arial" w:cs="Arial" w:eastAsia="Arial" w:hAnsi="Arial"/>
                <w:sz w:val="11"/>
                <w:szCs w:val="11"/>
                <w:color w:val="auto"/>
                <w:w w:val="89"/>
              </w:rPr>
              <w:t>3,520,333</w:t>
            </w:r>
          </w:p>
        </w:tc>
        <w:tc>
          <w:tcPr>
            <w:tcW w:w="80" w:type="dxa"/>
            <w:vAlign w:val="bottom"/>
          </w:tcPr>
          <w:p>
            <w:pPr>
              <w:spacing w:after="0"/>
              <w:rPr>
                <w:sz w:val="9"/>
                <w:szCs w:val="9"/>
                <w:color w:val="auto"/>
              </w:rPr>
            </w:pPr>
          </w:p>
        </w:tc>
        <w:tc>
          <w:tcPr>
            <w:tcW w:w="560" w:type="dxa"/>
            <w:vAlign w:val="bottom"/>
            <w:gridSpan w:val="2"/>
          </w:tcPr>
          <w:p>
            <w:pPr>
              <w:ind w:left="340"/>
              <w:spacing w:after="0" w:line="113" w:lineRule="exact"/>
              <w:rPr>
                <w:sz w:val="20"/>
                <w:szCs w:val="20"/>
                <w:color w:val="auto"/>
              </w:rPr>
            </w:pPr>
            <w:r>
              <w:rPr>
                <w:rFonts w:ascii="Arial" w:cs="Arial" w:eastAsia="Arial" w:hAnsi="Arial"/>
                <w:sz w:val="11"/>
                <w:szCs w:val="11"/>
                <w:color w:val="auto"/>
              </w:rPr>
              <w:t>—</w:t>
            </w:r>
          </w:p>
        </w:tc>
        <w:tc>
          <w:tcPr>
            <w:tcW w:w="240" w:type="dxa"/>
            <w:vAlign w:val="bottom"/>
          </w:tcPr>
          <w:p>
            <w:pPr>
              <w:jc w:val="right"/>
              <w:spacing w:after="0" w:line="113" w:lineRule="exact"/>
              <w:rPr>
                <w:sz w:val="20"/>
                <w:szCs w:val="20"/>
                <w:color w:val="auto"/>
              </w:rPr>
            </w:pPr>
            <w:r>
              <w:rPr>
                <w:rFonts w:ascii="Arial" w:cs="Arial" w:eastAsia="Arial" w:hAnsi="Arial"/>
                <w:sz w:val="11"/>
                <w:szCs w:val="11"/>
                <w:color w:val="auto"/>
              </w:rPr>
              <w:t>*</w:t>
            </w:r>
          </w:p>
        </w:tc>
        <w:tc>
          <w:tcPr>
            <w:tcW w:w="160" w:type="dxa"/>
            <w:vAlign w:val="bottom"/>
          </w:tcPr>
          <w:p>
            <w:pPr>
              <w:spacing w:after="0"/>
              <w:rPr>
                <w:sz w:val="9"/>
                <w:szCs w:val="9"/>
                <w:color w:val="auto"/>
              </w:rPr>
            </w:pPr>
          </w:p>
        </w:tc>
        <w:tc>
          <w:tcPr>
            <w:tcW w:w="620" w:type="dxa"/>
            <w:vAlign w:val="bottom"/>
            <w:gridSpan w:val="2"/>
          </w:tcPr>
          <w:p>
            <w:pPr>
              <w:ind w:left="400"/>
              <w:spacing w:after="0" w:line="113" w:lineRule="exact"/>
              <w:rPr>
                <w:sz w:val="20"/>
                <w:szCs w:val="20"/>
                <w:color w:val="auto"/>
              </w:rPr>
            </w:pPr>
            <w:r>
              <w:rPr>
                <w:rFonts w:ascii="Arial" w:cs="Arial" w:eastAsia="Arial" w:hAnsi="Arial"/>
                <w:sz w:val="11"/>
                <w:szCs w:val="11"/>
                <w:color w:val="auto"/>
              </w:rPr>
              <w:t>—</w:t>
            </w:r>
          </w:p>
        </w:tc>
        <w:tc>
          <w:tcPr>
            <w:tcW w:w="220" w:type="dxa"/>
            <w:vAlign w:val="bottom"/>
          </w:tcPr>
          <w:p>
            <w:pPr>
              <w:jc w:val="right"/>
              <w:spacing w:after="0" w:line="113" w:lineRule="exact"/>
              <w:rPr>
                <w:sz w:val="20"/>
                <w:szCs w:val="20"/>
                <w:color w:val="auto"/>
              </w:rPr>
            </w:pPr>
            <w:r>
              <w:rPr>
                <w:rFonts w:ascii="Arial" w:cs="Arial" w:eastAsia="Arial" w:hAnsi="Arial"/>
                <w:sz w:val="11"/>
                <w:szCs w:val="11"/>
                <w:color w:val="auto"/>
              </w:rPr>
              <w:t>*</w:t>
            </w:r>
          </w:p>
        </w:tc>
        <w:tc>
          <w:tcPr>
            <w:tcW w:w="120" w:type="dxa"/>
            <w:vAlign w:val="bottom"/>
          </w:tcPr>
          <w:p>
            <w:pPr>
              <w:spacing w:after="0"/>
              <w:rPr>
                <w:sz w:val="9"/>
                <w:szCs w:val="9"/>
                <w:color w:val="auto"/>
              </w:rPr>
            </w:pPr>
          </w:p>
        </w:tc>
        <w:tc>
          <w:tcPr>
            <w:tcW w:w="540" w:type="dxa"/>
            <w:vAlign w:val="bottom"/>
            <w:gridSpan w:val="2"/>
          </w:tcPr>
          <w:p>
            <w:pPr>
              <w:jc w:val="right"/>
              <w:spacing w:after="0" w:line="113" w:lineRule="exact"/>
              <w:rPr>
                <w:sz w:val="20"/>
                <w:szCs w:val="20"/>
                <w:color w:val="auto"/>
              </w:rPr>
            </w:pPr>
            <w:r>
              <w:rPr>
                <w:rFonts w:ascii="Arial" w:cs="Arial" w:eastAsia="Arial" w:hAnsi="Arial"/>
                <w:sz w:val="11"/>
                <w:szCs w:val="11"/>
                <w:color w:val="auto"/>
              </w:rPr>
              <w:t>*</w:t>
            </w:r>
          </w:p>
        </w:tc>
        <w:tc>
          <w:tcPr>
            <w:tcW w:w="120" w:type="dxa"/>
            <w:vAlign w:val="bottom"/>
          </w:tcPr>
          <w:p>
            <w:pPr>
              <w:spacing w:after="0"/>
              <w:rPr>
                <w:sz w:val="9"/>
                <w:szCs w:val="9"/>
                <w:color w:val="auto"/>
              </w:rPr>
            </w:pPr>
          </w:p>
        </w:tc>
        <w:tc>
          <w:tcPr>
            <w:tcW w:w="500" w:type="dxa"/>
            <w:vAlign w:val="bottom"/>
            <w:gridSpan w:val="2"/>
          </w:tcPr>
          <w:p>
            <w:pPr>
              <w:jc w:val="right"/>
              <w:spacing w:after="0" w:line="113" w:lineRule="exact"/>
              <w:rPr>
                <w:sz w:val="20"/>
                <w:szCs w:val="20"/>
                <w:color w:val="auto"/>
              </w:rPr>
            </w:pPr>
            <w:r>
              <w:rPr>
                <w:rFonts w:ascii="Arial" w:cs="Arial" w:eastAsia="Arial" w:hAnsi="Arial"/>
                <w:sz w:val="11"/>
                <w:szCs w:val="11"/>
                <w:color w:val="auto"/>
              </w:rPr>
              <w:t>*</w:t>
            </w:r>
          </w:p>
        </w:tc>
        <w:tc>
          <w:tcPr>
            <w:tcW w:w="160" w:type="dxa"/>
            <w:vAlign w:val="bottom"/>
          </w:tcPr>
          <w:p>
            <w:pPr>
              <w:spacing w:after="0"/>
              <w:rPr>
                <w:sz w:val="9"/>
                <w:szCs w:val="9"/>
                <w:color w:val="auto"/>
              </w:rPr>
            </w:pPr>
          </w:p>
        </w:tc>
        <w:tc>
          <w:tcPr>
            <w:tcW w:w="580" w:type="dxa"/>
            <w:vAlign w:val="bottom"/>
            <w:gridSpan w:val="2"/>
          </w:tcPr>
          <w:p>
            <w:pPr>
              <w:ind w:left="340"/>
              <w:spacing w:after="0" w:line="113" w:lineRule="exact"/>
              <w:rPr>
                <w:sz w:val="20"/>
                <w:szCs w:val="20"/>
                <w:color w:val="auto"/>
              </w:rPr>
            </w:pPr>
            <w:r>
              <w:rPr>
                <w:rFonts w:ascii="Arial" w:cs="Arial" w:eastAsia="Arial" w:hAnsi="Arial"/>
                <w:sz w:val="11"/>
                <w:szCs w:val="11"/>
                <w:color w:val="auto"/>
              </w:rPr>
              <w:t>—</w:t>
            </w:r>
          </w:p>
        </w:tc>
        <w:tc>
          <w:tcPr>
            <w:tcW w:w="220" w:type="dxa"/>
            <w:vAlign w:val="bottom"/>
          </w:tcPr>
          <w:p>
            <w:pPr>
              <w:jc w:val="right"/>
              <w:spacing w:after="0" w:line="113" w:lineRule="exact"/>
              <w:rPr>
                <w:sz w:val="20"/>
                <w:szCs w:val="20"/>
                <w:color w:val="auto"/>
              </w:rPr>
            </w:pPr>
            <w:r>
              <w:rPr>
                <w:rFonts w:ascii="Arial" w:cs="Arial" w:eastAsia="Arial" w:hAnsi="Arial"/>
                <w:sz w:val="11"/>
                <w:szCs w:val="11"/>
                <w:color w:val="auto"/>
              </w:rPr>
              <w:t>*</w:t>
            </w:r>
          </w:p>
        </w:tc>
        <w:tc>
          <w:tcPr>
            <w:tcW w:w="160" w:type="dxa"/>
            <w:vAlign w:val="bottom"/>
          </w:tcPr>
          <w:p>
            <w:pPr>
              <w:spacing w:after="0"/>
              <w:rPr>
                <w:sz w:val="9"/>
                <w:szCs w:val="9"/>
                <w:color w:val="auto"/>
              </w:rPr>
            </w:pPr>
          </w:p>
        </w:tc>
        <w:tc>
          <w:tcPr>
            <w:tcW w:w="640" w:type="dxa"/>
            <w:vAlign w:val="bottom"/>
            <w:gridSpan w:val="2"/>
          </w:tcPr>
          <w:p>
            <w:pPr>
              <w:ind w:left="400"/>
              <w:spacing w:after="0" w:line="113" w:lineRule="exact"/>
              <w:rPr>
                <w:sz w:val="20"/>
                <w:szCs w:val="20"/>
                <w:color w:val="auto"/>
              </w:rPr>
            </w:pPr>
            <w:r>
              <w:rPr>
                <w:rFonts w:ascii="Arial" w:cs="Arial" w:eastAsia="Arial" w:hAnsi="Arial"/>
                <w:sz w:val="11"/>
                <w:szCs w:val="11"/>
                <w:color w:val="auto"/>
              </w:rPr>
              <w:t>—</w:t>
            </w:r>
          </w:p>
        </w:tc>
        <w:tc>
          <w:tcPr>
            <w:tcW w:w="220" w:type="dxa"/>
            <w:vAlign w:val="bottom"/>
          </w:tcPr>
          <w:p>
            <w:pPr>
              <w:jc w:val="right"/>
              <w:spacing w:after="0" w:line="113" w:lineRule="exact"/>
              <w:rPr>
                <w:sz w:val="20"/>
                <w:szCs w:val="20"/>
                <w:color w:val="auto"/>
              </w:rPr>
            </w:pPr>
            <w:r>
              <w:rPr>
                <w:rFonts w:ascii="Arial" w:cs="Arial" w:eastAsia="Arial" w:hAnsi="Arial"/>
                <w:sz w:val="11"/>
                <w:szCs w:val="11"/>
                <w:color w:val="auto"/>
              </w:rPr>
              <w:t>*</w:t>
            </w:r>
          </w:p>
        </w:tc>
        <w:tc>
          <w:tcPr>
            <w:tcW w:w="120" w:type="dxa"/>
            <w:vAlign w:val="bottom"/>
          </w:tcPr>
          <w:p>
            <w:pPr>
              <w:spacing w:after="0"/>
              <w:rPr>
                <w:sz w:val="9"/>
                <w:szCs w:val="9"/>
                <w:color w:val="auto"/>
              </w:rPr>
            </w:pPr>
          </w:p>
        </w:tc>
        <w:tc>
          <w:tcPr>
            <w:tcW w:w="40" w:type="dxa"/>
            <w:vAlign w:val="bottom"/>
          </w:tcPr>
          <w:p>
            <w:pPr>
              <w:spacing w:after="0"/>
              <w:rPr>
                <w:sz w:val="9"/>
                <w:szCs w:val="9"/>
                <w:color w:val="auto"/>
              </w:rPr>
            </w:pPr>
          </w:p>
        </w:tc>
        <w:tc>
          <w:tcPr>
            <w:tcW w:w="2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1100" w:type="dxa"/>
            <w:vAlign w:val="bottom"/>
            <w:gridSpan w:val="2"/>
            <w:shd w:val="clear" w:color="auto" w:fill="CCEEFF"/>
          </w:tcPr>
          <w:p>
            <w:pPr>
              <w:spacing w:after="0" w:line="113" w:lineRule="exact"/>
              <w:rPr>
                <w:sz w:val="20"/>
                <w:szCs w:val="20"/>
                <w:color w:val="auto"/>
              </w:rPr>
            </w:pPr>
            <w:r>
              <w:rPr>
                <w:rFonts w:ascii="Arial" w:cs="Arial" w:eastAsia="Arial" w:hAnsi="Arial"/>
                <w:sz w:val="11"/>
                <w:szCs w:val="11"/>
                <w:color w:val="auto"/>
              </w:rPr>
              <w:t>Sujay Jaswa</w:t>
            </w:r>
          </w:p>
        </w:tc>
        <w:tc>
          <w:tcPr>
            <w:tcW w:w="560" w:type="dxa"/>
            <w:vAlign w:val="bottom"/>
            <w:gridSpan w:val="2"/>
            <w:shd w:val="clear" w:color="auto" w:fill="CCEEFF"/>
          </w:tcPr>
          <w:p>
            <w:pPr>
              <w:ind w:left="340"/>
              <w:spacing w:after="0" w:line="113" w:lineRule="exact"/>
              <w:rPr>
                <w:sz w:val="20"/>
                <w:szCs w:val="20"/>
                <w:color w:val="auto"/>
              </w:rPr>
            </w:pPr>
            <w:r>
              <w:rPr>
                <w:rFonts w:ascii="Arial" w:cs="Arial" w:eastAsia="Arial" w:hAnsi="Arial"/>
                <w:sz w:val="11"/>
                <w:szCs w:val="11"/>
                <w:color w:val="auto"/>
              </w:rPr>
              <w:t>—</w:t>
            </w:r>
          </w:p>
        </w:tc>
        <w:tc>
          <w:tcPr>
            <w:tcW w:w="240" w:type="dxa"/>
            <w:vAlign w:val="bottom"/>
            <w:shd w:val="clear" w:color="auto" w:fill="CCEEFF"/>
          </w:tcPr>
          <w:p>
            <w:pPr>
              <w:jc w:val="right"/>
              <w:spacing w:after="0" w:line="113" w:lineRule="exact"/>
              <w:rPr>
                <w:sz w:val="20"/>
                <w:szCs w:val="20"/>
                <w:color w:val="auto"/>
              </w:rPr>
            </w:pPr>
            <w:r>
              <w:rPr>
                <w:rFonts w:ascii="Arial" w:cs="Arial" w:eastAsia="Arial" w:hAnsi="Arial"/>
                <w:sz w:val="11"/>
                <w:szCs w:val="11"/>
                <w:color w:val="auto"/>
              </w:rPr>
              <w:t>*</w:t>
            </w:r>
          </w:p>
        </w:tc>
        <w:tc>
          <w:tcPr>
            <w:tcW w:w="160" w:type="dxa"/>
            <w:vAlign w:val="bottom"/>
            <w:shd w:val="clear" w:color="auto" w:fill="CCEEFF"/>
          </w:tcPr>
          <w:p>
            <w:pPr>
              <w:spacing w:after="0"/>
              <w:rPr>
                <w:sz w:val="9"/>
                <w:szCs w:val="9"/>
                <w:color w:val="auto"/>
              </w:rPr>
            </w:pPr>
          </w:p>
        </w:tc>
        <w:tc>
          <w:tcPr>
            <w:tcW w:w="560" w:type="dxa"/>
            <w:vAlign w:val="bottom"/>
            <w:shd w:val="clear" w:color="auto" w:fill="CCEEFF"/>
          </w:tcPr>
          <w:p>
            <w:pPr>
              <w:jc w:val="right"/>
              <w:spacing w:after="0" w:line="113" w:lineRule="exact"/>
              <w:rPr>
                <w:sz w:val="20"/>
                <w:szCs w:val="20"/>
                <w:color w:val="auto"/>
              </w:rPr>
            </w:pPr>
            <w:r>
              <w:rPr>
                <w:rFonts w:ascii="Arial" w:cs="Arial" w:eastAsia="Arial" w:hAnsi="Arial"/>
                <w:sz w:val="11"/>
                <w:szCs w:val="11"/>
                <w:color w:val="auto"/>
              </w:rPr>
              <w:t>2,148,289</w:t>
            </w:r>
          </w:p>
        </w:tc>
        <w:tc>
          <w:tcPr>
            <w:tcW w:w="60" w:type="dxa"/>
            <w:vAlign w:val="bottom"/>
            <w:shd w:val="clear" w:color="auto" w:fill="CCEEFF"/>
          </w:tcPr>
          <w:p>
            <w:pPr>
              <w:spacing w:after="0"/>
              <w:rPr>
                <w:sz w:val="9"/>
                <w:szCs w:val="9"/>
                <w:color w:val="auto"/>
              </w:rPr>
            </w:pPr>
          </w:p>
        </w:tc>
        <w:tc>
          <w:tcPr>
            <w:tcW w:w="220" w:type="dxa"/>
            <w:vAlign w:val="bottom"/>
            <w:shd w:val="clear" w:color="auto" w:fill="CCEEFF"/>
          </w:tcPr>
          <w:p>
            <w:pPr>
              <w:jc w:val="right"/>
              <w:spacing w:after="0" w:line="113" w:lineRule="exact"/>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9"/>
                <w:szCs w:val="9"/>
                <w:color w:val="auto"/>
              </w:rPr>
            </w:pPr>
          </w:p>
        </w:tc>
        <w:tc>
          <w:tcPr>
            <w:tcW w:w="540" w:type="dxa"/>
            <w:vAlign w:val="bottom"/>
            <w:gridSpan w:val="2"/>
            <w:shd w:val="clear" w:color="auto" w:fill="CCEEFF"/>
          </w:tcPr>
          <w:p>
            <w:pPr>
              <w:jc w:val="right"/>
              <w:spacing w:after="0" w:line="113" w:lineRule="exact"/>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9"/>
                <w:szCs w:val="9"/>
                <w:color w:val="auto"/>
              </w:rPr>
            </w:pPr>
          </w:p>
        </w:tc>
        <w:tc>
          <w:tcPr>
            <w:tcW w:w="520" w:type="dxa"/>
            <w:vAlign w:val="bottom"/>
            <w:gridSpan w:val="2"/>
            <w:shd w:val="clear" w:color="auto" w:fill="CCEEFF"/>
          </w:tcPr>
          <w:p>
            <w:pPr>
              <w:jc w:val="right"/>
              <w:spacing w:after="0" w:line="113" w:lineRule="exact"/>
              <w:rPr>
                <w:sz w:val="20"/>
                <w:szCs w:val="20"/>
                <w:color w:val="auto"/>
              </w:rPr>
            </w:pPr>
            <w:r>
              <w:rPr>
                <w:rFonts w:ascii="Arial" w:cs="Arial" w:eastAsia="Arial" w:hAnsi="Arial"/>
                <w:sz w:val="11"/>
                <w:szCs w:val="11"/>
                <w:color w:val="auto"/>
              </w:rPr>
              <w:t>*</w:t>
            </w:r>
          </w:p>
        </w:tc>
        <w:tc>
          <w:tcPr>
            <w:tcW w:w="160" w:type="dxa"/>
            <w:vAlign w:val="bottom"/>
            <w:shd w:val="clear" w:color="auto" w:fill="CCEEFF"/>
          </w:tcPr>
          <w:p>
            <w:pPr>
              <w:spacing w:after="0"/>
              <w:rPr>
                <w:sz w:val="9"/>
                <w:szCs w:val="9"/>
                <w:color w:val="auto"/>
              </w:rPr>
            </w:pPr>
          </w:p>
        </w:tc>
        <w:tc>
          <w:tcPr>
            <w:tcW w:w="460" w:type="dxa"/>
            <w:vAlign w:val="bottom"/>
            <w:shd w:val="clear" w:color="auto" w:fill="CCEEFF"/>
          </w:tcPr>
          <w:p>
            <w:pPr>
              <w:jc w:val="right"/>
              <w:spacing w:after="0" w:line="113" w:lineRule="exact"/>
              <w:rPr>
                <w:sz w:val="20"/>
                <w:szCs w:val="20"/>
                <w:color w:val="auto"/>
              </w:rPr>
            </w:pPr>
            <w:r>
              <w:rPr>
                <w:rFonts w:ascii="Arial" w:cs="Arial" w:eastAsia="Arial" w:hAnsi="Arial"/>
                <w:sz w:val="11"/>
                <w:szCs w:val="11"/>
                <w:color w:val="auto"/>
              </w:rPr>
              <w:t>433,333</w:t>
            </w:r>
          </w:p>
        </w:tc>
        <w:tc>
          <w:tcPr>
            <w:tcW w:w="80" w:type="dxa"/>
            <w:vAlign w:val="bottom"/>
            <w:shd w:val="clear" w:color="auto" w:fill="CCEEFF"/>
          </w:tcPr>
          <w:p>
            <w:pPr>
              <w:spacing w:after="0"/>
              <w:rPr>
                <w:sz w:val="9"/>
                <w:szCs w:val="9"/>
                <w:color w:val="auto"/>
              </w:rPr>
            </w:pPr>
          </w:p>
        </w:tc>
        <w:tc>
          <w:tcPr>
            <w:tcW w:w="560" w:type="dxa"/>
            <w:vAlign w:val="bottom"/>
            <w:gridSpan w:val="2"/>
            <w:shd w:val="clear" w:color="auto" w:fill="CCEEFF"/>
          </w:tcPr>
          <w:p>
            <w:pPr>
              <w:ind w:left="340"/>
              <w:spacing w:after="0" w:line="113" w:lineRule="exact"/>
              <w:rPr>
                <w:sz w:val="20"/>
                <w:szCs w:val="20"/>
                <w:color w:val="auto"/>
              </w:rPr>
            </w:pPr>
            <w:r>
              <w:rPr>
                <w:rFonts w:ascii="Arial" w:cs="Arial" w:eastAsia="Arial" w:hAnsi="Arial"/>
                <w:sz w:val="11"/>
                <w:szCs w:val="11"/>
                <w:color w:val="auto"/>
              </w:rPr>
              <w:t>—</w:t>
            </w:r>
          </w:p>
        </w:tc>
        <w:tc>
          <w:tcPr>
            <w:tcW w:w="240" w:type="dxa"/>
            <w:vAlign w:val="bottom"/>
            <w:shd w:val="clear" w:color="auto" w:fill="CCEEFF"/>
          </w:tcPr>
          <w:p>
            <w:pPr>
              <w:jc w:val="right"/>
              <w:spacing w:after="0" w:line="113" w:lineRule="exact"/>
              <w:rPr>
                <w:sz w:val="20"/>
                <w:szCs w:val="20"/>
                <w:color w:val="auto"/>
              </w:rPr>
            </w:pPr>
            <w:r>
              <w:rPr>
                <w:rFonts w:ascii="Arial" w:cs="Arial" w:eastAsia="Arial" w:hAnsi="Arial"/>
                <w:sz w:val="11"/>
                <w:szCs w:val="11"/>
                <w:color w:val="auto"/>
              </w:rPr>
              <w:t>*</w:t>
            </w:r>
          </w:p>
        </w:tc>
        <w:tc>
          <w:tcPr>
            <w:tcW w:w="160" w:type="dxa"/>
            <w:vAlign w:val="bottom"/>
            <w:shd w:val="clear" w:color="auto" w:fill="CCEEFF"/>
          </w:tcPr>
          <w:p>
            <w:pPr>
              <w:spacing w:after="0"/>
              <w:rPr>
                <w:sz w:val="9"/>
                <w:szCs w:val="9"/>
                <w:color w:val="auto"/>
              </w:rPr>
            </w:pPr>
          </w:p>
        </w:tc>
        <w:tc>
          <w:tcPr>
            <w:tcW w:w="560" w:type="dxa"/>
            <w:vAlign w:val="bottom"/>
            <w:shd w:val="clear" w:color="auto" w:fill="CCEEFF"/>
          </w:tcPr>
          <w:p>
            <w:pPr>
              <w:jc w:val="right"/>
              <w:spacing w:after="0" w:line="113" w:lineRule="exact"/>
              <w:rPr>
                <w:sz w:val="20"/>
                <w:szCs w:val="20"/>
                <w:color w:val="auto"/>
              </w:rPr>
            </w:pPr>
            <w:r>
              <w:rPr>
                <w:rFonts w:ascii="Arial" w:cs="Arial" w:eastAsia="Arial" w:hAnsi="Arial"/>
                <w:sz w:val="11"/>
                <w:szCs w:val="11"/>
                <w:color w:val="auto"/>
              </w:rPr>
              <w:t>1,714,956</w:t>
            </w:r>
          </w:p>
        </w:tc>
        <w:tc>
          <w:tcPr>
            <w:tcW w:w="60" w:type="dxa"/>
            <w:vAlign w:val="bottom"/>
            <w:shd w:val="clear" w:color="auto" w:fill="CCEEFF"/>
          </w:tcPr>
          <w:p>
            <w:pPr>
              <w:spacing w:after="0"/>
              <w:rPr>
                <w:sz w:val="9"/>
                <w:szCs w:val="9"/>
                <w:color w:val="auto"/>
              </w:rPr>
            </w:pPr>
          </w:p>
        </w:tc>
        <w:tc>
          <w:tcPr>
            <w:tcW w:w="220" w:type="dxa"/>
            <w:vAlign w:val="bottom"/>
            <w:shd w:val="clear" w:color="auto" w:fill="CCEEFF"/>
          </w:tcPr>
          <w:p>
            <w:pPr>
              <w:jc w:val="right"/>
              <w:spacing w:after="0" w:line="113" w:lineRule="exact"/>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9"/>
                <w:szCs w:val="9"/>
                <w:color w:val="auto"/>
              </w:rPr>
            </w:pPr>
          </w:p>
        </w:tc>
        <w:tc>
          <w:tcPr>
            <w:tcW w:w="540" w:type="dxa"/>
            <w:vAlign w:val="bottom"/>
            <w:gridSpan w:val="2"/>
            <w:shd w:val="clear" w:color="auto" w:fill="CCEEFF"/>
          </w:tcPr>
          <w:p>
            <w:pPr>
              <w:jc w:val="right"/>
              <w:spacing w:after="0" w:line="113" w:lineRule="exact"/>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9"/>
                <w:szCs w:val="9"/>
                <w:color w:val="auto"/>
              </w:rPr>
            </w:pPr>
          </w:p>
        </w:tc>
        <w:tc>
          <w:tcPr>
            <w:tcW w:w="500" w:type="dxa"/>
            <w:vAlign w:val="bottom"/>
            <w:gridSpan w:val="2"/>
            <w:shd w:val="clear" w:color="auto" w:fill="CCEEFF"/>
          </w:tcPr>
          <w:p>
            <w:pPr>
              <w:jc w:val="right"/>
              <w:spacing w:after="0" w:line="113" w:lineRule="exact"/>
              <w:rPr>
                <w:sz w:val="20"/>
                <w:szCs w:val="20"/>
                <w:color w:val="auto"/>
              </w:rPr>
            </w:pPr>
            <w:r>
              <w:rPr>
                <w:rFonts w:ascii="Arial" w:cs="Arial" w:eastAsia="Arial" w:hAnsi="Arial"/>
                <w:sz w:val="11"/>
                <w:szCs w:val="11"/>
                <w:color w:val="auto"/>
              </w:rPr>
              <w:t>*</w:t>
            </w:r>
          </w:p>
        </w:tc>
        <w:tc>
          <w:tcPr>
            <w:tcW w:w="160" w:type="dxa"/>
            <w:vAlign w:val="bottom"/>
            <w:shd w:val="clear" w:color="auto" w:fill="CCEEFF"/>
          </w:tcPr>
          <w:p>
            <w:pPr>
              <w:spacing w:after="0"/>
              <w:rPr>
                <w:sz w:val="9"/>
                <w:szCs w:val="9"/>
                <w:color w:val="auto"/>
              </w:rPr>
            </w:pPr>
          </w:p>
        </w:tc>
        <w:tc>
          <w:tcPr>
            <w:tcW w:w="580" w:type="dxa"/>
            <w:vAlign w:val="bottom"/>
            <w:gridSpan w:val="2"/>
            <w:shd w:val="clear" w:color="auto" w:fill="CCEEFF"/>
          </w:tcPr>
          <w:p>
            <w:pPr>
              <w:ind w:left="340"/>
              <w:spacing w:after="0" w:line="113" w:lineRule="exact"/>
              <w:rPr>
                <w:sz w:val="20"/>
                <w:szCs w:val="20"/>
                <w:color w:val="auto"/>
              </w:rPr>
            </w:pPr>
            <w:r>
              <w:rPr>
                <w:rFonts w:ascii="Arial" w:cs="Arial" w:eastAsia="Arial" w:hAnsi="Arial"/>
                <w:sz w:val="11"/>
                <w:szCs w:val="11"/>
                <w:color w:val="auto"/>
              </w:rPr>
              <w:t>—</w:t>
            </w:r>
          </w:p>
        </w:tc>
        <w:tc>
          <w:tcPr>
            <w:tcW w:w="220" w:type="dxa"/>
            <w:vAlign w:val="bottom"/>
            <w:shd w:val="clear" w:color="auto" w:fill="CCEEFF"/>
          </w:tcPr>
          <w:p>
            <w:pPr>
              <w:jc w:val="right"/>
              <w:spacing w:after="0" w:line="113" w:lineRule="exact"/>
              <w:rPr>
                <w:sz w:val="20"/>
                <w:szCs w:val="20"/>
                <w:color w:val="auto"/>
              </w:rPr>
            </w:pPr>
            <w:r>
              <w:rPr>
                <w:rFonts w:ascii="Arial" w:cs="Arial" w:eastAsia="Arial" w:hAnsi="Arial"/>
                <w:sz w:val="11"/>
                <w:szCs w:val="11"/>
                <w:color w:val="auto"/>
              </w:rPr>
              <w:t>*</w:t>
            </w:r>
          </w:p>
        </w:tc>
        <w:tc>
          <w:tcPr>
            <w:tcW w:w="160" w:type="dxa"/>
            <w:vAlign w:val="bottom"/>
            <w:shd w:val="clear" w:color="auto" w:fill="CCEEFF"/>
          </w:tcPr>
          <w:p>
            <w:pPr>
              <w:spacing w:after="0"/>
              <w:rPr>
                <w:sz w:val="9"/>
                <w:szCs w:val="9"/>
                <w:color w:val="auto"/>
              </w:rPr>
            </w:pPr>
          </w:p>
        </w:tc>
        <w:tc>
          <w:tcPr>
            <w:tcW w:w="560" w:type="dxa"/>
            <w:vAlign w:val="bottom"/>
            <w:shd w:val="clear" w:color="auto" w:fill="CCEEFF"/>
          </w:tcPr>
          <w:p>
            <w:pPr>
              <w:jc w:val="right"/>
              <w:spacing w:after="0" w:line="113" w:lineRule="exact"/>
              <w:rPr>
                <w:sz w:val="20"/>
                <w:szCs w:val="20"/>
                <w:color w:val="auto"/>
              </w:rPr>
            </w:pPr>
            <w:r>
              <w:rPr>
                <w:rFonts w:ascii="Arial" w:cs="Arial" w:eastAsia="Arial" w:hAnsi="Arial"/>
                <w:sz w:val="11"/>
                <w:szCs w:val="11"/>
                <w:color w:val="auto"/>
              </w:rPr>
              <w:t>1,714,956</w:t>
            </w:r>
          </w:p>
        </w:tc>
        <w:tc>
          <w:tcPr>
            <w:tcW w:w="80" w:type="dxa"/>
            <w:vAlign w:val="bottom"/>
            <w:shd w:val="clear" w:color="auto" w:fill="CCEEFF"/>
          </w:tcPr>
          <w:p>
            <w:pPr>
              <w:spacing w:after="0"/>
              <w:rPr>
                <w:sz w:val="9"/>
                <w:szCs w:val="9"/>
                <w:color w:val="auto"/>
              </w:rPr>
            </w:pPr>
          </w:p>
        </w:tc>
        <w:tc>
          <w:tcPr>
            <w:tcW w:w="220" w:type="dxa"/>
            <w:vAlign w:val="bottom"/>
            <w:shd w:val="clear" w:color="auto" w:fill="CCEEFF"/>
          </w:tcPr>
          <w:p>
            <w:pPr>
              <w:jc w:val="right"/>
              <w:spacing w:after="0" w:line="113" w:lineRule="exact"/>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28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1100" w:type="dxa"/>
            <w:vAlign w:val="bottom"/>
            <w:gridSpan w:val="2"/>
          </w:tcPr>
          <w:p>
            <w:pPr>
              <w:spacing w:after="0" w:line="113" w:lineRule="exact"/>
              <w:rPr>
                <w:sz w:val="20"/>
                <w:szCs w:val="20"/>
                <w:color w:val="auto"/>
              </w:rPr>
            </w:pPr>
            <w:r>
              <w:rPr>
                <w:rFonts w:ascii="Arial" w:cs="Arial" w:eastAsia="Arial" w:hAnsi="Arial"/>
                <w:sz w:val="11"/>
                <w:szCs w:val="11"/>
                <w:color w:val="auto"/>
              </w:rPr>
              <w:t>Aditya Agarwal</w:t>
            </w:r>
            <w:r>
              <w:rPr>
                <w:rFonts w:ascii="Arial" w:cs="Arial" w:eastAsia="Arial" w:hAnsi="Arial"/>
                <w:sz w:val="8"/>
                <w:szCs w:val="8"/>
                <w:color w:val="auto"/>
              </w:rPr>
              <w:t>(14)</w:t>
            </w:r>
          </w:p>
        </w:tc>
        <w:tc>
          <w:tcPr>
            <w:tcW w:w="560" w:type="dxa"/>
            <w:vAlign w:val="bottom"/>
            <w:gridSpan w:val="2"/>
          </w:tcPr>
          <w:p>
            <w:pPr>
              <w:ind w:left="340"/>
              <w:spacing w:after="0" w:line="113" w:lineRule="exact"/>
              <w:rPr>
                <w:sz w:val="20"/>
                <w:szCs w:val="20"/>
                <w:color w:val="auto"/>
              </w:rPr>
            </w:pPr>
            <w:r>
              <w:rPr>
                <w:rFonts w:ascii="Arial" w:cs="Arial" w:eastAsia="Arial" w:hAnsi="Arial"/>
                <w:sz w:val="11"/>
                <w:szCs w:val="11"/>
                <w:color w:val="auto"/>
              </w:rPr>
              <w:t>—</w:t>
            </w:r>
          </w:p>
        </w:tc>
        <w:tc>
          <w:tcPr>
            <w:tcW w:w="240" w:type="dxa"/>
            <w:vAlign w:val="bottom"/>
          </w:tcPr>
          <w:p>
            <w:pPr>
              <w:jc w:val="right"/>
              <w:spacing w:after="0" w:line="113" w:lineRule="exact"/>
              <w:rPr>
                <w:sz w:val="20"/>
                <w:szCs w:val="20"/>
                <w:color w:val="auto"/>
              </w:rPr>
            </w:pPr>
            <w:r>
              <w:rPr>
                <w:rFonts w:ascii="Arial" w:cs="Arial" w:eastAsia="Arial" w:hAnsi="Arial"/>
                <w:sz w:val="11"/>
                <w:szCs w:val="11"/>
                <w:color w:val="auto"/>
              </w:rPr>
              <w:t>*</w:t>
            </w:r>
          </w:p>
        </w:tc>
        <w:tc>
          <w:tcPr>
            <w:tcW w:w="160" w:type="dxa"/>
            <w:vAlign w:val="bottom"/>
          </w:tcPr>
          <w:p>
            <w:pPr>
              <w:spacing w:after="0"/>
              <w:rPr>
                <w:sz w:val="9"/>
                <w:szCs w:val="9"/>
                <w:color w:val="auto"/>
              </w:rPr>
            </w:pPr>
          </w:p>
        </w:tc>
        <w:tc>
          <w:tcPr>
            <w:tcW w:w="560" w:type="dxa"/>
            <w:vAlign w:val="bottom"/>
          </w:tcPr>
          <w:p>
            <w:pPr>
              <w:jc w:val="right"/>
              <w:spacing w:after="0" w:line="113" w:lineRule="exact"/>
              <w:rPr>
                <w:sz w:val="20"/>
                <w:szCs w:val="20"/>
                <w:color w:val="auto"/>
              </w:rPr>
            </w:pPr>
            <w:r>
              <w:rPr>
                <w:rFonts w:ascii="Arial" w:cs="Arial" w:eastAsia="Arial" w:hAnsi="Arial"/>
                <w:sz w:val="11"/>
                <w:szCs w:val="11"/>
                <w:color w:val="auto"/>
              </w:rPr>
              <w:t>5,900,842</w:t>
            </w:r>
          </w:p>
        </w:tc>
        <w:tc>
          <w:tcPr>
            <w:tcW w:w="60" w:type="dxa"/>
            <w:vAlign w:val="bottom"/>
          </w:tcPr>
          <w:p>
            <w:pPr>
              <w:spacing w:after="0"/>
              <w:rPr>
                <w:sz w:val="9"/>
                <w:szCs w:val="9"/>
                <w:color w:val="auto"/>
              </w:rPr>
            </w:pPr>
          </w:p>
        </w:tc>
        <w:tc>
          <w:tcPr>
            <w:tcW w:w="340" w:type="dxa"/>
            <w:vAlign w:val="bottom"/>
            <w:gridSpan w:val="2"/>
          </w:tcPr>
          <w:p>
            <w:pPr>
              <w:jc w:val="right"/>
              <w:ind w:right="40"/>
              <w:spacing w:after="0" w:line="113" w:lineRule="exact"/>
              <w:rPr>
                <w:sz w:val="20"/>
                <w:szCs w:val="20"/>
                <w:color w:val="auto"/>
              </w:rPr>
            </w:pPr>
            <w:r>
              <w:rPr>
                <w:rFonts w:ascii="Arial" w:cs="Arial" w:eastAsia="Arial" w:hAnsi="Arial"/>
                <w:sz w:val="11"/>
                <w:szCs w:val="11"/>
                <w:color w:val="auto"/>
              </w:rPr>
              <w:t>1.7%</w:t>
            </w:r>
          </w:p>
        </w:tc>
        <w:tc>
          <w:tcPr>
            <w:tcW w:w="660" w:type="dxa"/>
            <w:vAlign w:val="bottom"/>
            <w:gridSpan w:val="3"/>
          </w:tcPr>
          <w:p>
            <w:pPr>
              <w:jc w:val="right"/>
              <w:ind w:right="40"/>
              <w:spacing w:after="0" w:line="113" w:lineRule="exact"/>
              <w:rPr>
                <w:sz w:val="20"/>
                <w:szCs w:val="20"/>
                <w:color w:val="auto"/>
              </w:rPr>
            </w:pPr>
            <w:r>
              <w:rPr>
                <w:rFonts w:ascii="Arial" w:cs="Arial" w:eastAsia="Arial" w:hAnsi="Arial"/>
                <w:sz w:val="11"/>
                <w:szCs w:val="11"/>
                <w:color w:val="auto"/>
              </w:rPr>
              <w:t>1.6%</w:t>
            </w:r>
          </w:p>
        </w:tc>
        <w:tc>
          <w:tcPr>
            <w:tcW w:w="680" w:type="dxa"/>
            <w:vAlign w:val="bottom"/>
            <w:gridSpan w:val="3"/>
          </w:tcPr>
          <w:p>
            <w:pPr>
              <w:jc w:val="right"/>
              <w:ind w:right="80"/>
              <w:spacing w:after="0" w:line="113" w:lineRule="exact"/>
              <w:rPr>
                <w:sz w:val="20"/>
                <w:szCs w:val="20"/>
                <w:color w:val="auto"/>
              </w:rPr>
            </w:pPr>
            <w:r>
              <w:rPr>
                <w:rFonts w:ascii="Arial" w:cs="Arial" w:eastAsia="Arial" w:hAnsi="Arial"/>
                <w:sz w:val="11"/>
                <w:szCs w:val="11"/>
                <w:color w:val="auto"/>
              </w:rPr>
              <w:t>1.7%</w:t>
            </w:r>
          </w:p>
        </w:tc>
        <w:tc>
          <w:tcPr>
            <w:tcW w:w="460" w:type="dxa"/>
            <w:vAlign w:val="bottom"/>
          </w:tcPr>
          <w:p>
            <w:pPr>
              <w:jc w:val="right"/>
              <w:spacing w:after="0" w:line="113" w:lineRule="exact"/>
              <w:rPr>
                <w:sz w:val="20"/>
                <w:szCs w:val="20"/>
                <w:color w:val="auto"/>
              </w:rPr>
            </w:pPr>
            <w:r>
              <w:rPr>
                <w:rFonts w:ascii="Arial" w:cs="Arial" w:eastAsia="Arial" w:hAnsi="Arial"/>
                <w:sz w:val="11"/>
                <w:szCs w:val="11"/>
                <w:color w:val="auto"/>
              </w:rPr>
              <w:t>275,740</w:t>
            </w:r>
          </w:p>
        </w:tc>
        <w:tc>
          <w:tcPr>
            <w:tcW w:w="80" w:type="dxa"/>
            <w:vAlign w:val="bottom"/>
          </w:tcPr>
          <w:p>
            <w:pPr>
              <w:spacing w:after="0"/>
              <w:rPr>
                <w:sz w:val="9"/>
                <w:szCs w:val="9"/>
                <w:color w:val="auto"/>
              </w:rPr>
            </w:pPr>
          </w:p>
        </w:tc>
        <w:tc>
          <w:tcPr>
            <w:tcW w:w="560" w:type="dxa"/>
            <w:vAlign w:val="bottom"/>
            <w:gridSpan w:val="2"/>
          </w:tcPr>
          <w:p>
            <w:pPr>
              <w:ind w:left="340"/>
              <w:spacing w:after="0" w:line="113" w:lineRule="exact"/>
              <w:rPr>
                <w:sz w:val="20"/>
                <w:szCs w:val="20"/>
                <w:color w:val="auto"/>
              </w:rPr>
            </w:pPr>
            <w:r>
              <w:rPr>
                <w:rFonts w:ascii="Arial" w:cs="Arial" w:eastAsia="Arial" w:hAnsi="Arial"/>
                <w:sz w:val="11"/>
                <w:szCs w:val="11"/>
                <w:color w:val="auto"/>
              </w:rPr>
              <w:t>—</w:t>
            </w:r>
          </w:p>
        </w:tc>
        <w:tc>
          <w:tcPr>
            <w:tcW w:w="240" w:type="dxa"/>
            <w:vAlign w:val="bottom"/>
          </w:tcPr>
          <w:p>
            <w:pPr>
              <w:jc w:val="right"/>
              <w:spacing w:after="0" w:line="113" w:lineRule="exact"/>
              <w:rPr>
                <w:sz w:val="20"/>
                <w:szCs w:val="20"/>
                <w:color w:val="auto"/>
              </w:rPr>
            </w:pPr>
            <w:r>
              <w:rPr>
                <w:rFonts w:ascii="Arial" w:cs="Arial" w:eastAsia="Arial" w:hAnsi="Arial"/>
                <w:sz w:val="11"/>
                <w:szCs w:val="11"/>
                <w:color w:val="auto"/>
              </w:rPr>
              <w:t>*</w:t>
            </w:r>
          </w:p>
        </w:tc>
        <w:tc>
          <w:tcPr>
            <w:tcW w:w="160" w:type="dxa"/>
            <w:vAlign w:val="bottom"/>
          </w:tcPr>
          <w:p>
            <w:pPr>
              <w:spacing w:after="0"/>
              <w:rPr>
                <w:sz w:val="9"/>
                <w:szCs w:val="9"/>
                <w:color w:val="auto"/>
              </w:rPr>
            </w:pPr>
          </w:p>
        </w:tc>
        <w:tc>
          <w:tcPr>
            <w:tcW w:w="560" w:type="dxa"/>
            <w:vAlign w:val="bottom"/>
          </w:tcPr>
          <w:p>
            <w:pPr>
              <w:jc w:val="right"/>
              <w:spacing w:after="0" w:line="113" w:lineRule="exact"/>
              <w:rPr>
                <w:sz w:val="20"/>
                <w:szCs w:val="20"/>
                <w:color w:val="auto"/>
              </w:rPr>
            </w:pPr>
            <w:r>
              <w:rPr>
                <w:rFonts w:ascii="Arial" w:cs="Arial" w:eastAsia="Arial" w:hAnsi="Arial"/>
                <w:sz w:val="11"/>
                <w:szCs w:val="11"/>
                <w:color w:val="auto"/>
              </w:rPr>
              <w:t>5,625,102</w:t>
            </w:r>
          </w:p>
        </w:tc>
        <w:tc>
          <w:tcPr>
            <w:tcW w:w="60" w:type="dxa"/>
            <w:vAlign w:val="bottom"/>
          </w:tcPr>
          <w:p>
            <w:pPr>
              <w:spacing w:after="0"/>
              <w:rPr>
                <w:sz w:val="9"/>
                <w:szCs w:val="9"/>
                <w:color w:val="auto"/>
              </w:rPr>
            </w:pPr>
          </w:p>
        </w:tc>
        <w:tc>
          <w:tcPr>
            <w:tcW w:w="340" w:type="dxa"/>
            <w:vAlign w:val="bottom"/>
            <w:gridSpan w:val="2"/>
          </w:tcPr>
          <w:p>
            <w:pPr>
              <w:jc w:val="right"/>
              <w:ind w:right="20"/>
              <w:spacing w:after="0" w:line="113" w:lineRule="exact"/>
              <w:rPr>
                <w:sz w:val="20"/>
                <w:szCs w:val="20"/>
                <w:color w:val="auto"/>
              </w:rPr>
            </w:pPr>
            <w:r>
              <w:rPr>
                <w:rFonts w:ascii="Arial" w:cs="Arial" w:eastAsia="Arial" w:hAnsi="Arial"/>
                <w:sz w:val="11"/>
                <w:szCs w:val="11"/>
                <w:color w:val="auto"/>
              </w:rPr>
              <w:t>1.7%</w:t>
            </w:r>
          </w:p>
        </w:tc>
        <w:tc>
          <w:tcPr>
            <w:tcW w:w="660" w:type="dxa"/>
            <w:vAlign w:val="bottom"/>
            <w:gridSpan w:val="3"/>
          </w:tcPr>
          <w:p>
            <w:pPr>
              <w:jc w:val="right"/>
              <w:ind w:right="40"/>
              <w:spacing w:after="0" w:line="113" w:lineRule="exact"/>
              <w:rPr>
                <w:sz w:val="20"/>
                <w:szCs w:val="20"/>
                <w:color w:val="auto"/>
              </w:rPr>
            </w:pPr>
            <w:r>
              <w:rPr>
                <w:rFonts w:ascii="Arial" w:cs="Arial" w:eastAsia="Arial" w:hAnsi="Arial"/>
                <w:sz w:val="11"/>
                <w:szCs w:val="11"/>
                <w:color w:val="auto"/>
              </w:rPr>
              <w:t>1.4%</w:t>
            </w:r>
          </w:p>
        </w:tc>
        <w:tc>
          <w:tcPr>
            <w:tcW w:w="660" w:type="dxa"/>
            <w:vAlign w:val="bottom"/>
            <w:gridSpan w:val="3"/>
          </w:tcPr>
          <w:p>
            <w:pPr>
              <w:jc w:val="right"/>
              <w:ind w:right="80"/>
              <w:spacing w:after="0" w:line="113" w:lineRule="exact"/>
              <w:rPr>
                <w:sz w:val="20"/>
                <w:szCs w:val="20"/>
                <w:color w:val="auto"/>
              </w:rPr>
            </w:pPr>
            <w:r>
              <w:rPr>
                <w:rFonts w:ascii="Arial" w:cs="Arial" w:eastAsia="Arial" w:hAnsi="Arial"/>
                <w:sz w:val="11"/>
                <w:szCs w:val="11"/>
                <w:color w:val="auto"/>
              </w:rPr>
              <w:t>1.6%</w:t>
            </w:r>
          </w:p>
        </w:tc>
        <w:tc>
          <w:tcPr>
            <w:tcW w:w="580" w:type="dxa"/>
            <w:vAlign w:val="bottom"/>
            <w:gridSpan w:val="2"/>
          </w:tcPr>
          <w:p>
            <w:pPr>
              <w:ind w:left="340"/>
              <w:spacing w:after="0" w:line="113" w:lineRule="exact"/>
              <w:rPr>
                <w:sz w:val="20"/>
                <w:szCs w:val="20"/>
                <w:color w:val="auto"/>
              </w:rPr>
            </w:pPr>
            <w:r>
              <w:rPr>
                <w:rFonts w:ascii="Arial" w:cs="Arial" w:eastAsia="Arial" w:hAnsi="Arial"/>
                <w:sz w:val="11"/>
                <w:szCs w:val="11"/>
                <w:color w:val="auto"/>
              </w:rPr>
              <w:t>—</w:t>
            </w:r>
          </w:p>
        </w:tc>
        <w:tc>
          <w:tcPr>
            <w:tcW w:w="220" w:type="dxa"/>
            <w:vAlign w:val="bottom"/>
          </w:tcPr>
          <w:p>
            <w:pPr>
              <w:jc w:val="right"/>
              <w:spacing w:after="0" w:line="113" w:lineRule="exact"/>
              <w:rPr>
                <w:sz w:val="20"/>
                <w:szCs w:val="20"/>
                <w:color w:val="auto"/>
              </w:rPr>
            </w:pPr>
            <w:r>
              <w:rPr>
                <w:rFonts w:ascii="Arial" w:cs="Arial" w:eastAsia="Arial" w:hAnsi="Arial"/>
                <w:sz w:val="11"/>
                <w:szCs w:val="11"/>
                <w:color w:val="auto"/>
              </w:rPr>
              <w:t>*</w:t>
            </w:r>
          </w:p>
        </w:tc>
        <w:tc>
          <w:tcPr>
            <w:tcW w:w="160" w:type="dxa"/>
            <w:vAlign w:val="bottom"/>
          </w:tcPr>
          <w:p>
            <w:pPr>
              <w:spacing w:after="0"/>
              <w:rPr>
                <w:sz w:val="9"/>
                <w:szCs w:val="9"/>
                <w:color w:val="auto"/>
              </w:rPr>
            </w:pPr>
          </w:p>
        </w:tc>
        <w:tc>
          <w:tcPr>
            <w:tcW w:w="560" w:type="dxa"/>
            <w:vAlign w:val="bottom"/>
          </w:tcPr>
          <w:p>
            <w:pPr>
              <w:jc w:val="right"/>
              <w:spacing w:after="0" w:line="113" w:lineRule="exact"/>
              <w:rPr>
                <w:sz w:val="20"/>
                <w:szCs w:val="20"/>
                <w:color w:val="auto"/>
              </w:rPr>
            </w:pPr>
            <w:r>
              <w:rPr>
                <w:rFonts w:ascii="Arial" w:cs="Arial" w:eastAsia="Arial" w:hAnsi="Arial"/>
                <w:sz w:val="11"/>
                <w:szCs w:val="11"/>
                <w:color w:val="auto"/>
              </w:rPr>
              <w:t>5,625,102</w:t>
            </w:r>
          </w:p>
        </w:tc>
        <w:tc>
          <w:tcPr>
            <w:tcW w:w="80" w:type="dxa"/>
            <w:vAlign w:val="bottom"/>
          </w:tcPr>
          <w:p>
            <w:pPr>
              <w:spacing w:after="0"/>
              <w:rPr>
                <w:sz w:val="9"/>
                <w:szCs w:val="9"/>
                <w:color w:val="auto"/>
              </w:rPr>
            </w:pPr>
          </w:p>
        </w:tc>
        <w:tc>
          <w:tcPr>
            <w:tcW w:w="340" w:type="dxa"/>
            <w:vAlign w:val="bottom"/>
            <w:gridSpan w:val="2"/>
          </w:tcPr>
          <w:p>
            <w:pPr>
              <w:jc w:val="right"/>
              <w:ind w:right="40"/>
              <w:spacing w:after="0" w:line="113" w:lineRule="exact"/>
              <w:rPr>
                <w:sz w:val="20"/>
                <w:szCs w:val="20"/>
                <w:color w:val="auto"/>
              </w:rPr>
            </w:pPr>
            <w:r>
              <w:rPr>
                <w:rFonts w:ascii="Arial" w:cs="Arial" w:eastAsia="Arial" w:hAnsi="Arial"/>
                <w:sz w:val="11"/>
                <w:szCs w:val="11"/>
                <w:color w:val="auto"/>
              </w:rPr>
              <w:t>1.7%</w:t>
            </w:r>
          </w:p>
        </w:tc>
        <w:tc>
          <w:tcPr>
            <w:tcW w:w="40" w:type="dxa"/>
            <w:vAlign w:val="bottom"/>
          </w:tcPr>
          <w:p>
            <w:pPr>
              <w:spacing w:after="0"/>
              <w:rPr>
                <w:sz w:val="9"/>
                <w:szCs w:val="9"/>
                <w:color w:val="auto"/>
              </w:rPr>
            </w:pPr>
          </w:p>
        </w:tc>
        <w:tc>
          <w:tcPr>
            <w:tcW w:w="2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1"/>
        </w:trPr>
        <w:tc>
          <w:tcPr>
            <w:tcW w:w="1100" w:type="dxa"/>
            <w:vAlign w:val="bottom"/>
            <w:gridSpan w:val="2"/>
            <w:shd w:val="clear" w:color="auto" w:fill="CCEEFF"/>
          </w:tcPr>
          <w:p>
            <w:pPr>
              <w:spacing w:after="0" w:line="102" w:lineRule="exact"/>
              <w:rPr>
                <w:sz w:val="20"/>
                <w:szCs w:val="20"/>
                <w:color w:val="auto"/>
              </w:rPr>
            </w:pPr>
            <w:r>
              <w:rPr>
                <w:rFonts w:ascii="Arial" w:cs="Arial" w:eastAsia="Arial" w:hAnsi="Arial"/>
                <w:sz w:val="11"/>
                <w:szCs w:val="11"/>
                <w:color w:val="auto"/>
              </w:rPr>
              <w:t>J. Rothschild</w:t>
            </w:r>
          </w:p>
        </w:tc>
        <w:tc>
          <w:tcPr>
            <w:tcW w:w="5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56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56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56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28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13"/>
        </w:trPr>
        <w:tc>
          <w:tcPr>
            <w:tcW w:w="1100" w:type="dxa"/>
            <w:vAlign w:val="bottom"/>
            <w:gridSpan w:val="2"/>
            <w:shd w:val="clear" w:color="auto" w:fill="CCEEFF"/>
          </w:tcPr>
          <w:p>
            <w:pPr>
              <w:ind w:left="100"/>
              <w:spacing w:after="0" w:line="113" w:lineRule="exact"/>
              <w:rPr>
                <w:sz w:val="20"/>
                <w:szCs w:val="20"/>
                <w:color w:val="auto"/>
              </w:rPr>
            </w:pPr>
            <w:r>
              <w:rPr>
                <w:rFonts w:ascii="Arial" w:cs="Arial" w:eastAsia="Arial" w:hAnsi="Arial"/>
                <w:sz w:val="11"/>
                <w:szCs w:val="11"/>
                <w:color w:val="auto"/>
              </w:rPr>
              <w:t>Investments 1</w:t>
            </w:r>
          </w:p>
        </w:tc>
        <w:tc>
          <w:tcPr>
            <w:tcW w:w="5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28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24"/>
        </w:trPr>
        <w:tc>
          <w:tcPr>
            <w:tcW w:w="1100" w:type="dxa"/>
            <w:vAlign w:val="bottom"/>
            <w:gridSpan w:val="2"/>
            <w:shd w:val="clear" w:color="auto" w:fill="CCEEFF"/>
          </w:tcPr>
          <w:p>
            <w:pPr>
              <w:ind w:left="100"/>
              <w:spacing w:after="0" w:line="124" w:lineRule="exact"/>
              <w:rPr>
                <w:sz w:val="20"/>
                <w:szCs w:val="20"/>
                <w:color w:val="auto"/>
              </w:rPr>
            </w:pPr>
            <w:r>
              <w:rPr>
                <w:rFonts w:ascii="Arial" w:cs="Arial" w:eastAsia="Arial" w:hAnsi="Arial"/>
                <w:sz w:val="11"/>
                <w:szCs w:val="11"/>
                <w:color w:val="auto"/>
              </w:rPr>
              <w:t>Limited</w:t>
            </w:r>
            <w:r>
              <w:rPr>
                <w:rFonts w:ascii="Arial" w:cs="Arial" w:eastAsia="Arial" w:hAnsi="Arial"/>
                <w:sz w:val="8"/>
                <w:szCs w:val="8"/>
                <w:color w:val="auto"/>
              </w:rPr>
              <w:t>(15)</w:t>
            </w:r>
          </w:p>
        </w:tc>
        <w:tc>
          <w:tcPr>
            <w:tcW w:w="560" w:type="dxa"/>
            <w:vAlign w:val="bottom"/>
            <w:gridSpan w:val="2"/>
            <w:shd w:val="clear" w:color="auto" w:fill="CCEEFF"/>
          </w:tcPr>
          <w:p>
            <w:pPr>
              <w:ind w:left="340"/>
              <w:spacing w:after="0" w:line="124" w:lineRule="exact"/>
              <w:rPr>
                <w:sz w:val="20"/>
                <w:szCs w:val="20"/>
                <w:color w:val="auto"/>
              </w:rPr>
            </w:pPr>
            <w:r>
              <w:rPr>
                <w:rFonts w:ascii="Arial" w:cs="Arial" w:eastAsia="Arial" w:hAnsi="Arial"/>
                <w:sz w:val="11"/>
                <w:szCs w:val="11"/>
                <w:color w:val="auto"/>
              </w:rPr>
              <w:t>—</w:t>
            </w:r>
          </w:p>
        </w:tc>
        <w:tc>
          <w:tcPr>
            <w:tcW w:w="240" w:type="dxa"/>
            <w:vAlign w:val="bottom"/>
            <w:shd w:val="clear" w:color="auto" w:fill="CCEEFF"/>
          </w:tcPr>
          <w:p>
            <w:pPr>
              <w:jc w:val="right"/>
              <w:spacing w:after="0" w:line="124" w:lineRule="exact"/>
              <w:rPr>
                <w:sz w:val="20"/>
                <w:szCs w:val="20"/>
                <w:color w:val="auto"/>
              </w:rPr>
            </w:pPr>
            <w:r>
              <w:rPr>
                <w:rFonts w:ascii="Arial" w:cs="Arial" w:eastAsia="Arial" w:hAnsi="Arial"/>
                <w:sz w:val="11"/>
                <w:szCs w:val="11"/>
                <w:color w:val="auto"/>
              </w:rPr>
              <w:t>*</w:t>
            </w:r>
          </w:p>
        </w:tc>
        <w:tc>
          <w:tcPr>
            <w:tcW w:w="160" w:type="dxa"/>
            <w:vAlign w:val="bottom"/>
            <w:shd w:val="clear" w:color="auto" w:fill="CCEEFF"/>
          </w:tcPr>
          <w:p>
            <w:pPr>
              <w:spacing w:after="0"/>
              <w:rPr>
                <w:sz w:val="10"/>
                <w:szCs w:val="10"/>
                <w:color w:val="auto"/>
              </w:rPr>
            </w:pPr>
          </w:p>
        </w:tc>
        <w:tc>
          <w:tcPr>
            <w:tcW w:w="560" w:type="dxa"/>
            <w:vAlign w:val="bottom"/>
            <w:shd w:val="clear" w:color="auto" w:fill="CCEEFF"/>
          </w:tcPr>
          <w:p>
            <w:pPr>
              <w:jc w:val="right"/>
              <w:spacing w:after="0" w:line="124" w:lineRule="exact"/>
              <w:rPr>
                <w:sz w:val="20"/>
                <w:szCs w:val="20"/>
                <w:color w:val="auto"/>
              </w:rPr>
            </w:pPr>
            <w:r>
              <w:rPr>
                <w:rFonts w:ascii="Arial" w:cs="Arial" w:eastAsia="Arial" w:hAnsi="Arial"/>
                <w:sz w:val="11"/>
                <w:szCs w:val="11"/>
                <w:color w:val="auto"/>
              </w:rPr>
              <w:t>2,573,920</w:t>
            </w:r>
          </w:p>
        </w:tc>
        <w:tc>
          <w:tcPr>
            <w:tcW w:w="60" w:type="dxa"/>
            <w:vAlign w:val="bottom"/>
            <w:shd w:val="clear" w:color="auto" w:fill="CCEEFF"/>
          </w:tcPr>
          <w:p>
            <w:pPr>
              <w:spacing w:after="0"/>
              <w:rPr>
                <w:sz w:val="10"/>
                <w:szCs w:val="10"/>
                <w:color w:val="auto"/>
              </w:rPr>
            </w:pPr>
          </w:p>
        </w:tc>
        <w:tc>
          <w:tcPr>
            <w:tcW w:w="220" w:type="dxa"/>
            <w:vAlign w:val="bottom"/>
            <w:shd w:val="clear" w:color="auto" w:fill="CCEEFF"/>
          </w:tcPr>
          <w:p>
            <w:pPr>
              <w:jc w:val="right"/>
              <w:spacing w:after="0" w:line="124" w:lineRule="exact"/>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0"/>
                <w:szCs w:val="10"/>
                <w:color w:val="auto"/>
              </w:rPr>
            </w:pPr>
          </w:p>
        </w:tc>
        <w:tc>
          <w:tcPr>
            <w:tcW w:w="540" w:type="dxa"/>
            <w:vAlign w:val="bottom"/>
            <w:gridSpan w:val="2"/>
            <w:shd w:val="clear" w:color="auto" w:fill="CCEEFF"/>
          </w:tcPr>
          <w:p>
            <w:pPr>
              <w:jc w:val="right"/>
              <w:spacing w:after="0" w:line="124" w:lineRule="exact"/>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0"/>
                <w:szCs w:val="10"/>
                <w:color w:val="auto"/>
              </w:rPr>
            </w:pPr>
          </w:p>
        </w:tc>
        <w:tc>
          <w:tcPr>
            <w:tcW w:w="520" w:type="dxa"/>
            <w:vAlign w:val="bottom"/>
            <w:gridSpan w:val="2"/>
            <w:shd w:val="clear" w:color="auto" w:fill="CCEEFF"/>
          </w:tcPr>
          <w:p>
            <w:pPr>
              <w:jc w:val="right"/>
              <w:spacing w:after="0" w:line="124" w:lineRule="exact"/>
              <w:rPr>
                <w:sz w:val="20"/>
                <w:szCs w:val="20"/>
                <w:color w:val="auto"/>
              </w:rPr>
            </w:pPr>
            <w:r>
              <w:rPr>
                <w:rFonts w:ascii="Arial" w:cs="Arial" w:eastAsia="Arial" w:hAnsi="Arial"/>
                <w:sz w:val="11"/>
                <w:szCs w:val="11"/>
                <w:color w:val="auto"/>
              </w:rPr>
              <w:t>*</w:t>
            </w:r>
          </w:p>
        </w:tc>
        <w:tc>
          <w:tcPr>
            <w:tcW w:w="160" w:type="dxa"/>
            <w:vAlign w:val="bottom"/>
            <w:shd w:val="clear" w:color="auto" w:fill="CCEEFF"/>
          </w:tcPr>
          <w:p>
            <w:pPr>
              <w:spacing w:after="0"/>
              <w:rPr>
                <w:sz w:val="10"/>
                <w:szCs w:val="10"/>
                <w:color w:val="auto"/>
              </w:rPr>
            </w:pPr>
          </w:p>
        </w:tc>
        <w:tc>
          <w:tcPr>
            <w:tcW w:w="460" w:type="dxa"/>
            <w:vAlign w:val="bottom"/>
            <w:shd w:val="clear" w:color="auto" w:fill="CCEEFF"/>
          </w:tcPr>
          <w:p>
            <w:pPr>
              <w:jc w:val="right"/>
              <w:spacing w:after="0" w:line="124" w:lineRule="exact"/>
              <w:rPr>
                <w:sz w:val="20"/>
                <w:szCs w:val="20"/>
                <w:color w:val="auto"/>
              </w:rPr>
            </w:pPr>
            <w:r>
              <w:rPr>
                <w:rFonts w:ascii="Arial" w:cs="Arial" w:eastAsia="Arial" w:hAnsi="Arial"/>
                <w:sz w:val="11"/>
                <w:szCs w:val="11"/>
                <w:color w:val="auto"/>
              </w:rPr>
              <w:t>40,519</w:t>
            </w:r>
          </w:p>
        </w:tc>
        <w:tc>
          <w:tcPr>
            <w:tcW w:w="80" w:type="dxa"/>
            <w:vAlign w:val="bottom"/>
            <w:shd w:val="clear" w:color="auto" w:fill="CCEEFF"/>
          </w:tcPr>
          <w:p>
            <w:pPr>
              <w:spacing w:after="0"/>
              <w:rPr>
                <w:sz w:val="10"/>
                <w:szCs w:val="10"/>
                <w:color w:val="auto"/>
              </w:rPr>
            </w:pPr>
          </w:p>
        </w:tc>
        <w:tc>
          <w:tcPr>
            <w:tcW w:w="560" w:type="dxa"/>
            <w:vAlign w:val="bottom"/>
            <w:gridSpan w:val="2"/>
            <w:shd w:val="clear" w:color="auto" w:fill="CCEEFF"/>
          </w:tcPr>
          <w:p>
            <w:pPr>
              <w:ind w:left="340"/>
              <w:spacing w:after="0" w:line="124" w:lineRule="exact"/>
              <w:rPr>
                <w:sz w:val="20"/>
                <w:szCs w:val="20"/>
                <w:color w:val="auto"/>
              </w:rPr>
            </w:pPr>
            <w:r>
              <w:rPr>
                <w:rFonts w:ascii="Arial" w:cs="Arial" w:eastAsia="Arial" w:hAnsi="Arial"/>
                <w:sz w:val="11"/>
                <w:szCs w:val="11"/>
                <w:color w:val="auto"/>
              </w:rPr>
              <w:t>—</w:t>
            </w:r>
          </w:p>
        </w:tc>
        <w:tc>
          <w:tcPr>
            <w:tcW w:w="240" w:type="dxa"/>
            <w:vAlign w:val="bottom"/>
            <w:shd w:val="clear" w:color="auto" w:fill="CCEEFF"/>
          </w:tcPr>
          <w:p>
            <w:pPr>
              <w:jc w:val="right"/>
              <w:spacing w:after="0" w:line="124" w:lineRule="exact"/>
              <w:rPr>
                <w:sz w:val="20"/>
                <w:szCs w:val="20"/>
                <w:color w:val="auto"/>
              </w:rPr>
            </w:pPr>
            <w:r>
              <w:rPr>
                <w:rFonts w:ascii="Arial" w:cs="Arial" w:eastAsia="Arial" w:hAnsi="Arial"/>
                <w:sz w:val="11"/>
                <w:szCs w:val="11"/>
                <w:color w:val="auto"/>
              </w:rPr>
              <w:t>*</w:t>
            </w:r>
          </w:p>
        </w:tc>
        <w:tc>
          <w:tcPr>
            <w:tcW w:w="160" w:type="dxa"/>
            <w:vAlign w:val="bottom"/>
            <w:shd w:val="clear" w:color="auto" w:fill="CCEEFF"/>
          </w:tcPr>
          <w:p>
            <w:pPr>
              <w:spacing w:after="0"/>
              <w:rPr>
                <w:sz w:val="10"/>
                <w:szCs w:val="10"/>
                <w:color w:val="auto"/>
              </w:rPr>
            </w:pPr>
          </w:p>
        </w:tc>
        <w:tc>
          <w:tcPr>
            <w:tcW w:w="560" w:type="dxa"/>
            <w:vAlign w:val="bottom"/>
            <w:shd w:val="clear" w:color="auto" w:fill="CCEEFF"/>
          </w:tcPr>
          <w:p>
            <w:pPr>
              <w:jc w:val="right"/>
              <w:spacing w:after="0" w:line="124" w:lineRule="exact"/>
              <w:rPr>
                <w:sz w:val="20"/>
                <w:szCs w:val="20"/>
                <w:color w:val="auto"/>
              </w:rPr>
            </w:pPr>
            <w:r>
              <w:rPr>
                <w:rFonts w:ascii="Arial" w:cs="Arial" w:eastAsia="Arial" w:hAnsi="Arial"/>
                <w:sz w:val="11"/>
                <w:szCs w:val="11"/>
                <w:color w:val="auto"/>
              </w:rPr>
              <w:t>2,533,401</w:t>
            </w:r>
          </w:p>
        </w:tc>
        <w:tc>
          <w:tcPr>
            <w:tcW w:w="60" w:type="dxa"/>
            <w:vAlign w:val="bottom"/>
            <w:shd w:val="clear" w:color="auto" w:fill="CCEEFF"/>
          </w:tcPr>
          <w:p>
            <w:pPr>
              <w:spacing w:after="0"/>
              <w:rPr>
                <w:sz w:val="10"/>
                <w:szCs w:val="10"/>
                <w:color w:val="auto"/>
              </w:rPr>
            </w:pPr>
          </w:p>
        </w:tc>
        <w:tc>
          <w:tcPr>
            <w:tcW w:w="220" w:type="dxa"/>
            <w:vAlign w:val="bottom"/>
            <w:shd w:val="clear" w:color="auto" w:fill="CCEEFF"/>
          </w:tcPr>
          <w:p>
            <w:pPr>
              <w:jc w:val="right"/>
              <w:spacing w:after="0" w:line="124" w:lineRule="exact"/>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0"/>
                <w:szCs w:val="10"/>
                <w:color w:val="auto"/>
              </w:rPr>
            </w:pPr>
          </w:p>
        </w:tc>
        <w:tc>
          <w:tcPr>
            <w:tcW w:w="540" w:type="dxa"/>
            <w:vAlign w:val="bottom"/>
            <w:gridSpan w:val="2"/>
            <w:shd w:val="clear" w:color="auto" w:fill="CCEEFF"/>
          </w:tcPr>
          <w:p>
            <w:pPr>
              <w:jc w:val="right"/>
              <w:spacing w:after="0" w:line="124" w:lineRule="exact"/>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0"/>
                <w:szCs w:val="10"/>
                <w:color w:val="auto"/>
              </w:rPr>
            </w:pPr>
          </w:p>
        </w:tc>
        <w:tc>
          <w:tcPr>
            <w:tcW w:w="500" w:type="dxa"/>
            <w:vAlign w:val="bottom"/>
            <w:gridSpan w:val="2"/>
            <w:shd w:val="clear" w:color="auto" w:fill="CCEEFF"/>
          </w:tcPr>
          <w:p>
            <w:pPr>
              <w:jc w:val="right"/>
              <w:spacing w:after="0" w:line="124" w:lineRule="exact"/>
              <w:rPr>
                <w:sz w:val="20"/>
                <w:szCs w:val="20"/>
                <w:color w:val="auto"/>
              </w:rPr>
            </w:pPr>
            <w:r>
              <w:rPr>
                <w:rFonts w:ascii="Arial" w:cs="Arial" w:eastAsia="Arial" w:hAnsi="Arial"/>
                <w:sz w:val="11"/>
                <w:szCs w:val="11"/>
                <w:color w:val="auto"/>
              </w:rPr>
              <w:t>*</w:t>
            </w:r>
          </w:p>
        </w:tc>
        <w:tc>
          <w:tcPr>
            <w:tcW w:w="160" w:type="dxa"/>
            <w:vAlign w:val="bottom"/>
            <w:shd w:val="clear" w:color="auto" w:fill="CCEEFF"/>
          </w:tcPr>
          <w:p>
            <w:pPr>
              <w:spacing w:after="0"/>
              <w:rPr>
                <w:sz w:val="10"/>
                <w:szCs w:val="10"/>
                <w:color w:val="auto"/>
              </w:rPr>
            </w:pPr>
          </w:p>
        </w:tc>
        <w:tc>
          <w:tcPr>
            <w:tcW w:w="580" w:type="dxa"/>
            <w:vAlign w:val="bottom"/>
            <w:gridSpan w:val="2"/>
            <w:shd w:val="clear" w:color="auto" w:fill="CCEEFF"/>
          </w:tcPr>
          <w:p>
            <w:pPr>
              <w:ind w:left="340"/>
              <w:spacing w:after="0" w:line="124" w:lineRule="exact"/>
              <w:rPr>
                <w:sz w:val="20"/>
                <w:szCs w:val="20"/>
                <w:color w:val="auto"/>
              </w:rPr>
            </w:pPr>
            <w:r>
              <w:rPr>
                <w:rFonts w:ascii="Arial" w:cs="Arial" w:eastAsia="Arial" w:hAnsi="Arial"/>
                <w:sz w:val="11"/>
                <w:szCs w:val="11"/>
                <w:color w:val="auto"/>
              </w:rPr>
              <w:t>—</w:t>
            </w:r>
          </w:p>
        </w:tc>
        <w:tc>
          <w:tcPr>
            <w:tcW w:w="220" w:type="dxa"/>
            <w:vAlign w:val="bottom"/>
            <w:shd w:val="clear" w:color="auto" w:fill="CCEEFF"/>
          </w:tcPr>
          <w:p>
            <w:pPr>
              <w:jc w:val="right"/>
              <w:spacing w:after="0" w:line="124" w:lineRule="exact"/>
              <w:rPr>
                <w:sz w:val="20"/>
                <w:szCs w:val="20"/>
                <w:color w:val="auto"/>
              </w:rPr>
            </w:pPr>
            <w:r>
              <w:rPr>
                <w:rFonts w:ascii="Arial" w:cs="Arial" w:eastAsia="Arial" w:hAnsi="Arial"/>
                <w:sz w:val="11"/>
                <w:szCs w:val="11"/>
                <w:color w:val="auto"/>
              </w:rPr>
              <w:t>*</w:t>
            </w:r>
          </w:p>
        </w:tc>
        <w:tc>
          <w:tcPr>
            <w:tcW w:w="160" w:type="dxa"/>
            <w:vAlign w:val="bottom"/>
            <w:shd w:val="clear" w:color="auto" w:fill="CCEEFF"/>
          </w:tcPr>
          <w:p>
            <w:pPr>
              <w:spacing w:after="0"/>
              <w:rPr>
                <w:sz w:val="10"/>
                <w:szCs w:val="10"/>
                <w:color w:val="auto"/>
              </w:rPr>
            </w:pPr>
          </w:p>
        </w:tc>
        <w:tc>
          <w:tcPr>
            <w:tcW w:w="560" w:type="dxa"/>
            <w:vAlign w:val="bottom"/>
            <w:shd w:val="clear" w:color="auto" w:fill="CCEEFF"/>
          </w:tcPr>
          <w:p>
            <w:pPr>
              <w:jc w:val="right"/>
              <w:spacing w:after="0" w:line="124" w:lineRule="exact"/>
              <w:rPr>
                <w:sz w:val="20"/>
                <w:szCs w:val="20"/>
                <w:color w:val="auto"/>
              </w:rPr>
            </w:pPr>
            <w:r>
              <w:rPr>
                <w:rFonts w:ascii="Arial" w:cs="Arial" w:eastAsia="Arial" w:hAnsi="Arial"/>
                <w:sz w:val="11"/>
                <w:szCs w:val="11"/>
                <w:color w:val="auto"/>
              </w:rPr>
              <w:t>2,533,401</w:t>
            </w:r>
          </w:p>
        </w:tc>
        <w:tc>
          <w:tcPr>
            <w:tcW w:w="80" w:type="dxa"/>
            <w:vAlign w:val="bottom"/>
            <w:shd w:val="clear" w:color="auto" w:fill="CCEEFF"/>
          </w:tcPr>
          <w:p>
            <w:pPr>
              <w:spacing w:after="0"/>
              <w:rPr>
                <w:sz w:val="10"/>
                <w:szCs w:val="10"/>
                <w:color w:val="auto"/>
              </w:rPr>
            </w:pPr>
          </w:p>
        </w:tc>
        <w:tc>
          <w:tcPr>
            <w:tcW w:w="220" w:type="dxa"/>
            <w:vAlign w:val="bottom"/>
            <w:shd w:val="clear" w:color="auto" w:fill="CCEEFF"/>
          </w:tcPr>
          <w:p>
            <w:pPr>
              <w:jc w:val="right"/>
              <w:spacing w:after="0" w:line="124" w:lineRule="exact"/>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2"/>
        </w:trPr>
        <w:tc>
          <w:tcPr>
            <w:tcW w:w="1100" w:type="dxa"/>
            <w:vAlign w:val="bottom"/>
            <w:gridSpan w:val="2"/>
          </w:tcPr>
          <w:p>
            <w:pPr>
              <w:spacing w:after="0"/>
              <w:rPr>
                <w:sz w:val="20"/>
                <w:szCs w:val="20"/>
                <w:color w:val="auto"/>
              </w:rPr>
            </w:pPr>
            <w:r>
              <w:rPr>
                <w:rFonts w:ascii="Arial" w:cs="Arial" w:eastAsia="Arial" w:hAnsi="Arial"/>
                <w:sz w:val="11"/>
                <w:szCs w:val="11"/>
                <w:color w:val="auto"/>
              </w:rPr>
              <w:t>Rian Hunter</w:t>
            </w:r>
          </w:p>
        </w:tc>
        <w:tc>
          <w:tcPr>
            <w:tcW w:w="560" w:type="dxa"/>
            <w:vAlign w:val="bottom"/>
            <w:gridSpan w:val="2"/>
          </w:tcPr>
          <w:p>
            <w:pPr>
              <w:ind w:left="340"/>
              <w:spacing w:after="0"/>
              <w:rPr>
                <w:sz w:val="20"/>
                <w:szCs w:val="20"/>
                <w:color w:val="auto"/>
              </w:rPr>
            </w:pPr>
            <w:r>
              <w:rPr>
                <w:rFonts w:ascii="Arial" w:cs="Arial" w:eastAsia="Arial" w:hAnsi="Arial"/>
                <w:sz w:val="11"/>
                <w:szCs w:val="11"/>
                <w:color w:val="auto"/>
              </w:rPr>
              <w:t>—</w:t>
            </w:r>
          </w:p>
        </w:tc>
        <w:tc>
          <w:tcPr>
            <w:tcW w:w="240" w:type="dxa"/>
            <w:vAlign w:val="bottom"/>
          </w:tcPr>
          <w:p>
            <w:pPr>
              <w:jc w:val="right"/>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2,320,608</w:t>
            </w:r>
          </w:p>
        </w:tc>
        <w:tc>
          <w:tcPr>
            <w:tcW w:w="60" w:type="dxa"/>
            <w:vAlign w:val="bottom"/>
          </w:tcPr>
          <w:p>
            <w:pPr>
              <w:spacing w:after="0"/>
              <w:rPr>
                <w:sz w:val="11"/>
                <w:szCs w:val="11"/>
                <w:color w:val="auto"/>
              </w:rPr>
            </w:pPr>
          </w:p>
        </w:tc>
        <w:tc>
          <w:tcPr>
            <w:tcW w:w="220" w:type="dxa"/>
            <w:vAlign w:val="bottom"/>
          </w:tcPr>
          <w:p>
            <w:pPr>
              <w:jc w:val="right"/>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540" w:type="dxa"/>
            <w:vAlign w:val="bottom"/>
            <w:gridSpan w:val="2"/>
          </w:tcPr>
          <w:p>
            <w:pPr>
              <w:jc w:val="right"/>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520" w:type="dxa"/>
            <w:vAlign w:val="bottom"/>
            <w:gridSpan w:val="2"/>
          </w:tcPr>
          <w:p>
            <w:pPr>
              <w:jc w:val="right"/>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1"/>
                <w:szCs w:val="11"/>
                <w:color w:val="auto"/>
              </w:rPr>
            </w:pPr>
          </w:p>
        </w:tc>
        <w:tc>
          <w:tcPr>
            <w:tcW w:w="460" w:type="dxa"/>
            <w:vAlign w:val="bottom"/>
          </w:tcPr>
          <w:p>
            <w:pPr>
              <w:jc w:val="right"/>
              <w:spacing w:after="0"/>
              <w:rPr>
                <w:sz w:val="20"/>
                <w:szCs w:val="20"/>
                <w:color w:val="auto"/>
              </w:rPr>
            </w:pPr>
            <w:r>
              <w:rPr>
                <w:rFonts w:ascii="Arial" w:cs="Arial" w:eastAsia="Arial" w:hAnsi="Arial"/>
                <w:sz w:val="11"/>
                <w:szCs w:val="11"/>
                <w:color w:val="auto"/>
              </w:rPr>
              <w:t>241,000</w:t>
            </w:r>
          </w:p>
        </w:tc>
        <w:tc>
          <w:tcPr>
            <w:tcW w:w="80" w:type="dxa"/>
            <w:vAlign w:val="bottom"/>
          </w:tcPr>
          <w:p>
            <w:pPr>
              <w:spacing w:after="0"/>
              <w:rPr>
                <w:sz w:val="11"/>
                <w:szCs w:val="11"/>
                <w:color w:val="auto"/>
              </w:rPr>
            </w:pPr>
          </w:p>
        </w:tc>
        <w:tc>
          <w:tcPr>
            <w:tcW w:w="560" w:type="dxa"/>
            <w:vAlign w:val="bottom"/>
            <w:gridSpan w:val="2"/>
          </w:tcPr>
          <w:p>
            <w:pPr>
              <w:ind w:left="340"/>
              <w:spacing w:after="0"/>
              <w:rPr>
                <w:sz w:val="20"/>
                <w:szCs w:val="20"/>
                <w:color w:val="auto"/>
              </w:rPr>
            </w:pPr>
            <w:r>
              <w:rPr>
                <w:rFonts w:ascii="Arial" w:cs="Arial" w:eastAsia="Arial" w:hAnsi="Arial"/>
                <w:sz w:val="11"/>
                <w:szCs w:val="11"/>
                <w:color w:val="auto"/>
              </w:rPr>
              <w:t>—</w:t>
            </w:r>
          </w:p>
        </w:tc>
        <w:tc>
          <w:tcPr>
            <w:tcW w:w="240" w:type="dxa"/>
            <w:vAlign w:val="bottom"/>
          </w:tcPr>
          <w:p>
            <w:pPr>
              <w:jc w:val="right"/>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2,079,608</w:t>
            </w:r>
          </w:p>
        </w:tc>
        <w:tc>
          <w:tcPr>
            <w:tcW w:w="60" w:type="dxa"/>
            <w:vAlign w:val="bottom"/>
          </w:tcPr>
          <w:p>
            <w:pPr>
              <w:spacing w:after="0"/>
              <w:rPr>
                <w:sz w:val="11"/>
                <w:szCs w:val="11"/>
                <w:color w:val="auto"/>
              </w:rPr>
            </w:pPr>
          </w:p>
        </w:tc>
        <w:tc>
          <w:tcPr>
            <w:tcW w:w="220" w:type="dxa"/>
            <w:vAlign w:val="bottom"/>
          </w:tcPr>
          <w:p>
            <w:pPr>
              <w:jc w:val="right"/>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540" w:type="dxa"/>
            <w:vAlign w:val="bottom"/>
            <w:gridSpan w:val="2"/>
          </w:tcPr>
          <w:p>
            <w:pPr>
              <w:jc w:val="right"/>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500" w:type="dxa"/>
            <w:vAlign w:val="bottom"/>
            <w:gridSpan w:val="2"/>
          </w:tcPr>
          <w:p>
            <w:pPr>
              <w:jc w:val="right"/>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1"/>
                <w:szCs w:val="11"/>
                <w:color w:val="auto"/>
              </w:rPr>
            </w:pPr>
          </w:p>
        </w:tc>
        <w:tc>
          <w:tcPr>
            <w:tcW w:w="580" w:type="dxa"/>
            <w:vAlign w:val="bottom"/>
            <w:gridSpan w:val="2"/>
          </w:tcPr>
          <w:p>
            <w:pPr>
              <w:ind w:left="340"/>
              <w:spacing w:after="0"/>
              <w:rPr>
                <w:sz w:val="20"/>
                <w:szCs w:val="20"/>
                <w:color w:val="auto"/>
              </w:rPr>
            </w:pPr>
            <w:r>
              <w:rPr>
                <w:rFonts w:ascii="Arial" w:cs="Arial" w:eastAsia="Arial" w:hAnsi="Arial"/>
                <w:sz w:val="11"/>
                <w:szCs w:val="11"/>
                <w:color w:val="auto"/>
              </w:rPr>
              <w:t>—</w:t>
            </w:r>
          </w:p>
        </w:tc>
        <w:tc>
          <w:tcPr>
            <w:tcW w:w="220" w:type="dxa"/>
            <w:vAlign w:val="bottom"/>
          </w:tcPr>
          <w:p>
            <w:pPr>
              <w:jc w:val="right"/>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2,079,608</w:t>
            </w:r>
          </w:p>
        </w:tc>
        <w:tc>
          <w:tcPr>
            <w:tcW w:w="80" w:type="dxa"/>
            <w:vAlign w:val="bottom"/>
          </w:tcPr>
          <w:p>
            <w:pPr>
              <w:spacing w:after="0"/>
              <w:rPr>
                <w:sz w:val="11"/>
                <w:szCs w:val="11"/>
                <w:color w:val="auto"/>
              </w:rPr>
            </w:pPr>
          </w:p>
        </w:tc>
        <w:tc>
          <w:tcPr>
            <w:tcW w:w="220" w:type="dxa"/>
            <w:vAlign w:val="bottom"/>
          </w:tcPr>
          <w:p>
            <w:pPr>
              <w:jc w:val="right"/>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709930</wp:posOffset>
            </wp:positionH>
            <wp:positionV relativeFrom="paragraph">
              <wp:posOffset>59690</wp:posOffset>
            </wp:positionV>
            <wp:extent cx="580390" cy="698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580390" cy="6985"/>
                    </a:xfrm>
                    <a:prstGeom prst="rect">
                      <a:avLst/>
                    </a:prstGeom>
                    <a:noFill/>
                  </pic:spPr>
                </pic:pic>
              </a:graphicData>
            </a:graphic>
          </wp:anchor>
        </w:drawing>
      </w:r>
    </w:p>
    <w:p>
      <w:pPr>
        <w:spacing w:after="0" w:line="108" w:lineRule="exact"/>
        <w:rPr>
          <w:sz w:val="20"/>
          <w:szCs w:val="20"/>
          <w:color w:val="auto"/>
        </w:rPr>
      </w:pPr>
    </w:p>
    <w:p>
      <w:pPr>
        <w:ind w:left="1380" w:right="1240" w:hanging="268"/>
        <w:spacing w:after="0" w:line="225" w:lineRule="auto"/>
        <w:tabs>
          <w:tab w:leader="none" w:pos="1380" w:val="left"/>
        </w:tabs>
        <w:numPr>
          <w:ilvl w:val="0"/>
          <w:numId w:val="81"/>
        </w:numPr>
        <w:rPr>
          <w:rFonts w:ascii="Arial" w:cs="Arial" w:eastAsia="Arial" w:hAnsi="Arial"/>
          <w:sz w:val="8"/>
          <w:szCs w:val="8"/>
          <w:color w:val="auto"/>
        </w:rPr>
      </w:pPr>
      <w:r>
        <w:rPr>
          <w:rFonts w:ascii="Arial" w:cs="Arial" w:eastAsia="Arial" w:hAnsi="Arial"/>
          <w:sz w:val="13"/>
          <w:szCs w:val="13"/>
          <w:color w:val="auto"/>
        </w:rPr>
        <w:t>The Class B common stock is convertible at any time by the holder into shares of Class A common stock on a share-for-share basis, such that each holder of Class B common stock beneficially owns an equivalent number of Class A common stock.</w:t>
      </w:r>
    </w:p>
    <w:p>
      <w:pPr>
        <w:jc w:val="both"/>
        <w:ind w:left="1380" w:right="1400" w:hanging="268"/>
        <w:spacing w:after="0" w:line="304" w:lineRule="auto"/>
        <w:tabs>
          <w:tab w:leader="none" w:pos="1380" w:val="left"/>
        </w:tabs>
        <w:numPr>
          <w:ilvl w:val="0"/>
          <w:numId w:val="82"/>
        </w:numPr>
        <w:rPr>
          <w:rFonts w:ascii="Arial" w:cs="Arial" w:eastAsia="Arial" w:hAnsi="Arial"/>
          <w:sz w:val="9"/>
          <w:szCs w:val="9"/>
          <w:color w:val="auto"/>
        </w:rPr>
      </w:pPr>
      <w:r>
        <w:rPr>
          <w:rFonts w:ascii="Arial" w:cs="Arial" w:eastAsia="Arial" w:hAnsi="Arial"/>
          <w:sz w:val="11"/>
          <w:szCs w:val="11"/>
          <w:color w:val="auto"/>
        </w:rPr>
        <w:t>Percentage total voting power represents voting power with respect to all shares of our Class A common stock and Class B common stock, as a single class. Each holder of Class B common stock shall be entitled to ten votes per share of Class B common stock and each holder of Class A common stock shall be entitled to one vote per share of</w:t>
      </w:r>
    </w:p>
    <w:p>
      <w:pPr>
        <w:spacing w:after="0" w:line="65" w:lineRule="exact"/>
        <w:rPr>
          <w:sz w:val="20"/>
          <w:szCs w:val="20"/>
          <w:color w:val="auto"/>
        </w:rPr>
      </w:pPr>
    </w:p>
    <w:p>
      <w:pPr>
        <w:jc w:val="center"/>
        <w:ind w:right="80"/>
        <w:spacing w:after="0"/>
        <w:rPr>
          <w:sz w:val="20"/>
          <w:szCs w:val="20"/>
          <w:color w:val="auto"/>
        </w:rPr>
      </w:pPr>
      <w:r>
        <w:rPr>
          <w:rFonts w:ascii="Arial" w:cs="Arial" w:eastAsia="Arial" w:hAnsi="Arial"/>
          <w:sz w:val="15"/>
          <w:szCs w:val="15"/>
          <w:color w:val="auto"/>
        </w:rPr>
        <w:t>166</w:t>
      </w:r>
    </w:p>
    <w:p>
      <w:pPr>
        <w:sectPr>
          <w:pgSz w:w="11900" w:h="16838" w:orient="portrait"/>
          <w:cols w:equalWidth="0" w:num="1">
            <w:col w:w="11520"/>
          </w:cols>
          <w:pgMar w:left="240" w:top="408" w:right="139" w:bottom="1440" w:gutter="0" w:footer="0" w:header="0"/>
        </w:sectPr>
      </w:pPr>
    </w:p>
    <w:bookmarkStart w:id="173" w:name="page174"/>
    <w:bookmarkEnd w:id="173"/>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133350</wp:posOffset>
            </wp:positionH>
            <wp:positionV relativeFrom="page">
              <wp:posOffset>88900</wp:posOffset>
            </wp:positionV>
            <wp:extent cx="7308850" cy="3429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308850" cy="34290"/>
                    </a:xfrm>
                    <a:prstGeom prst="rect">
                      <a:avLst/>
                    </a:prstGeom>
                    <a:noFill/>
                  </pic:spPr>
                </pic:pic>
              </a:graphicData>
            </a:graphic>
          </wp:anchor>
        </w:drawing>
      </w:r>
      <w:hyperlink w:anchor="page7">
        <w:r>
          <w:rPr>
            <w:rFonts w:ascii="Arial" w:cs="Arial" w:eastAsia="Arial" w:hAnsi="Arial"/>
            <w:sz w:val="15"/>
            <w:szCs w:val="15"/>
            <w:b w:val="1"/>
            <w:bCs w:val="1"/>
            <w:u w:val="single" w:color="auto"/>
            <w:color w:val="0000EE"/>
          </w:rPr>
          <w:t>Table of Contents</w:t>
        </w:r>
      </w:hyperlink>
    </w:p>
    <w:p>
      <w:pPr>
        <w:spacing w:after="0" w:line="259" w:lineRule="exact"/>
        <w:rPr>
          <w:sz w:val="20"/>
          <w:szCs w:val="20"/>
          <w:color w:val="auto"/>
        </w:rPr>
      </w:pPr>
    </w:p>
    <w:p>
      <w:pPr>
        <w:ind w:left="1380" w:right="200"/>
        <w:spacing w:after="0" w:line="225" w:lineRule="auto"/>
        <w:rPr>
          <w:sz w:val="20"/>
          <w:szCs w:val="20"/>
          <w:color w:val="auto"/>
        </w:rPr>
      </w:pPr>
      <w:r>
        <w:rPr>
          <w:rFonts w:ascii="Arial" w:cs="Arial" w:eastAsia="Arial" w:hAnsi="Arial"/>
          <w:sz w:val="13"/>
          <w:szCs w:val="13"/>
          <w:color w:val="auto"/>
        </w:rPr>
        <w:t>Class A common stock on all matters submitted to our stockholders for a vote. The Class A common stock and Class B common stock vote together as a single class on all matters submitted to a vote of our stockholders, except as may otherwise be required by law.</w:t>
      </w:r>
    </w:p>
    <w:p>
      <w:pPr>
        <w:ind w:left="1380" w:hanging="268"/>
        <w:spacing w:after="0" w:line="217" w:lineRule="auto"/>
        <w:tabs>
          <w:tab w:leader="none" w:pos="1380" w:val="left"/>
        </w:tabs>
        <w:numPr>
          <w:ilvl w:val="0"/>
          <w:numId w:val="83"/>
        </w:numPr>
        <w:rPr>
          <w:rFonts w:ascii="Arial" w:cs="Arial" w:eastAsia="Arial" w:hAnsi="Arial"/>
          <w:sz w:val="11"/>
          <w:szCs w:val="11"/>
          <w:color w:val="auto"/>
        </w:rPr>
      </w:pPr>
      <w:r>
        <w:rPr>
          <w:rFonts w:ascii="Arial" w:cs="Arial" w:eastAsia="Arial" w:hAnsi="Arial"/>
          <w:sz w:val="13"/>
          <w:szCs w:val="13"/>
          <w:color w:val="auto"/>
        </w:rPr>
        <w:t>Represents beneficial ownership of less than one percent (1%) of the outstanding shares of our common stock.</w:t>
      </w:r>
    </w:p>
    <w:p>
      <w:pPr>
        <w:spacing w:after="0" w:line="1" w:lineRule="exact"/>
        <w:rPr>
          <w:sz w:val="20"/>
          <w:szCs w:val="20"/>
          <w:color w:val="auto"/>
        </w:rPr>
      </w:pPr>
    </w:p>
    <w:p>
      <w:pPr>
        <w:ind w:left="1380" w:right="180" w:hanging="268"/>
        <w:spacing w:after="0" w:line="217" w:lineRule="auto"/>
        <w:tabs>
          <w:tab w:leader="none" w:pos="1380" w:val="left"/>
        </w:tabs>
        <w:numPr>
          <w:ilvl w:val="0"/>
          <w:numId w:val="84"/>
        </w:numPr>
        <w:rPr>
          <w:rFonts w:ascii="Arial" w:cs="Arial" w:eastAsia="Arial" w:hAnsi="Arial"/>
          <w:sz w:val="11"/>
          <w:szCs w:val="11"/>
          <w:color w:val="auto"/>
        </w:rPr>
      </w:pPr>
      <w:r>
        <w:rPr>
          <w:rFonts w:ascii="Arial" w:cs="Arial" w:eastAsia="Arial" w:hAnsi="Arial"/>
          <w:sz w:val="13"/>
          <w:szCs w:val="13"/>
          <w:color w:val="auto"/>
        </w:rPr>
        <w:t>Consists of (i) 8,781,548 shares of Class B common stock held by the Houston Remainder Trust dated 12/30/2010, for which Mr. Houston serves as trustee, (ii) 75,481,406 shares of Class B common stock held by the Andrew W. Houston Revocable Trust dated 9/7/2011, for which Mr. Houston serves as trustee, (iii) 500,500 shares of Class B common stock held by the Houston 2012 Irrevocable Children’s Trust dated 4/12/2012, for which Mr. Houston serves as trustee, and (iv) 10,333,333 shares of Class A common stock underlying RSAs. Prior to the effectiveness of our registration statement related to this offering, Mr. Houston and Mr. Ferdowsi are expected to enter into voting agreements with certain of our stockholders for up to 7% of the voting power of our outstanding capital stock following the completion of this offering and the concurrent private placement.</w:t>
      </w:r>
    </w:p>
    <w:p>
      <w:pPr>
        <w:spacing w:after="0" w:line="1" w:lineRule="exact"/>
        <w:rPr>
          <w:rFonts w:ascii="Arial" w:cs="Arial" w:eastAsia="Arial" w:hAnsi="Arial"/>
          <w:sz w:val="11"/>
          <w:szCs w:val="11"/>
          <w:color w:val="auto"/>
        </w:rPr>
      </w:pPr>
    </w:p>
    <w:p>
      <w:pPr>
        <w:ind w:left="1380" w:right="40" w:hanging="268"/>
        <w:spacing w:after="0" w:line="217" w:lineRule="auto"/>
        <w:tabs>
          <w:tab w:leader="none" w:pos="1380" w:val="left"/>
        </w:tabs>
        <w:numPr>
          <w:ilvl w:val="0"/>
          <w:numId w:val="84"/>
        </w:numPr>
        <w:rPr>
          <w:rFonts w:ascii="Arial" w:cs="Arial" w:eastAsia="Arial" w:hAnsi="Arial"/>
          <w:sz w:val="11"/>
          <w:szCs w:val="11"/>
          <w:color w:val="auto"/>
        </w:rPr>
      </w:pPr>
      <w:r>
        <w:rPr>
          <w:rFonts w:ascii="Arial" w:cs="Arial" w:eastAsia="Arial" w:hAnsi="Arial"/>
          <w:sz w:val="13"/>
          <w:szCs w:val="13"/>
          <w:color w:val="auto"/>
        </w:rPr>
        <w:t>Consists of (i) 2,900,802 shares of Class B common stock held by the Arash Ferdowsi Remainder Trust dated 3/21/2011, for which Mr. Ferdowsi serves as trustee, (ii) 31,369,916 shares of Class B common stock held by the Arash Ferdowsi Revocable Trust dated 4/20/2012, for which Mr. Ferdowsi serves as trustee, and (iii) 4,400,000 shares of Class A common stock underlying RSAs. Prior to the effectiveness of our registration statement related to this offering, Mr. Houston and Mr. Ferdowsi are expected to enter into voting agreements with certain of our stockholders for up to 7% of the voting power of our outstanding capital stock following the completion of this offering and the concurrent private placement.</w:t>
      </w:r>
    </w:p>
    <w:p>
      <w:pPr>
        <w:jc w:val="both"/>
        <w:ind w:left="1380" w:right="20" w:hanging="268"/>
        <w:spacing w:after="0" w:line="256" w:lineRule="auto"/>
        <w:tabs>
          <w:tab w:leader="none" w:pos="1380" w:val="left"/>
        </w:tabs>
        <w:numPr>
          <w:ilvl w:val="0"/>
          <w:numId w:val="84"/>
        </w:numPr>
        <w:rPr>
          <w:rFonts w:ascii="Arial" w:cs="Arial" w:eastAsia="Arial" w:hAnsi="Arial"/>
          <w:sz w:val="9"/>
          <w:szCs w:val="9"/>
          <w:color w:val="auto"/>
        </w:rPr>
      </w:pPr>
      <w:r>
        <w:rPr>
          <w:rFonts w:ascii="Arial" w:cs="Arial" w:eastAsia="Arial" w:hAnsi="Arial"/>
          <w:sz w:val="11"/>
          <w:szCs w:val="11"/>
          <w:color w:val="auto"/>
        </w:rPr>
        <w:t>Consists of (i) 172,711 shares of Class B common stock held by the Paul E. Jacobs Trust dated November 7, 2014, for which Mr. Jacobs serves as trustee, (ii) 26,666 shares of Class B common stock held by Mr. Jacobs, and (iii) 26,667 shares of Class B common stock that will be issued upon the vesting of RSUs within 60 days of January 31, 2018.</w:t>
      </w:r>
    </w:p>
    <w:p>
      <w:pPr>
        <w:ind w:left="1380" w:hanging="268"/>
        <w:spacing w:after="0" w:line="217" w:lineRule="auto"/>
        <w:tabs>
          <w:tab w:leader="none" w:pos="1380" w:val="left"/>
        </w:tabs>
        <w:numPr>
          <w:ilvl w:val="0"/>
          <w:numId w:val="84"/>
        </w:numPr>
        <w:rPr>
          <w:rFonts w:ascii="Arial" w:cs="Arial" w:eastAsia="Arial" w:hAnsi="Arial"/>
          <w:sz w:val="11"/>
          <w:szCs w:val="11"/>
          <w:color w:val="auto"/>
        </w:rPr>
      </w:pPr>
      <w:r>
        <w:rPr>
          <w:rFonts w:ascii="Arial" w:cs="Arial" w:eastAsia="Arial" w:hAnsi="Arial"/>
          <w:sz w:val="13"/>
          <w:szCs w:val="13"/>
          <w:color w:val="auto"/>
        </w:rPr>
        <w:t>Consists of (i) 122,698 shares of Class B common stock held by Annox Capital, LLC, or Annox, which will convert into an equivalent number of shares of Class A common stock in connection with the Capital Stock Conversion and (ii) consists of 24,433 shares of Class B common stock that will be issued upon the vesting of RSUs within 60 days of January 31, 2018. Mr. Mylod, a member of our Board of Directors, is the managing member of Annox and has sole voting and investment control over the shares held by Annox.</w:t>
      </w:r>
    </w:p>
    <w:p>
      <w:pPr>
        <w:ind w:left="1380" w:hanging="268"/>
        <w:spacing w:after="0" w:line="217" w:lineRule="auto"/>
        <w:tabs>
          <w:tab w:leader="none" w:pos="1380" w:val="left"/>
        </w:tabs>
        <w:numPr>
          <w:ilvl w:val="0"/>
          <w:numId w:val="84"/>
        </w:numPr>
        <w:rPr>
          <w:rFonts w:ascii="Arial" w:cs="Arial" w:eastAsia="Arial" w:hAnsi="Arial"/>
          <w:sz w:val="11"/>
          <w:szCs w:val="11"/>
          <w:color w:val="auto"/>
        </w:rPr>
      </w:pPr>
      <w:r>
        <w:rPr>
          <w:rFonts w:ascii="Arial" w:cs="Arial" w:eastAsia="Arial" w:hAnsi="Arial"/>
          <w:sz w:val="13"/>
          <w:szCs w:val="13"/>
          <w:color w:val="auto"/>
        </w:rPr>
        <w:t>Consists of 24,433 shares of Class B common stock that will be issued upon the vesting of RSUs within 60 days of January 31, 2018.</w:t>
      </w:r>
    </w:p>
    <w:p>
      <w:pPr>
        <w:ind w:left="1380" w:right="60" w:hanging="268"/>
        <w:spacing w:after="0" w:line="217" w:lineRule="auto"/>
        <w:tabs>
          <w:tab w:leader="none" w:pos="1380" w:val="left"/>
        </w:tabs>
        <w:numPr>
          <w:ilvl w:val="0"/>
          <w:numId w:val="84"/>
        </w:numPr>
        <w:rPr>
          <w:rFonts w:ascii="Arial" w:cs="Arial" w:eastAsia="Arial" w:hAnsi="Arial"/>
          <w:sz w:val="11"/>
          <w:szCs w:val="11"/>
          <w:color w:val="auto"/>
        </w:rPr>
      </w:pPr>
      <w:r>
        <w:rPr>
          <w:rFonts w:ascii="Arial" w:cs="Arial" w:eastAsia="Arial" w:hAnsi="Arial"/>
          <w:sz w:val="13"/>
          <w:szCs w:val="13"/>
          <w:color w:val="auto"/>
        </w:rPr>
        <w:t>Excludes shares listed in footnote 9 below, which are held by entities affiliated with Sequoia Capital. Mr. Schreier, one of our directors, is a non-managing member of SC XII LLC.</w:t>
      </w:r>
    </w:p>
    <w:p>
      <w:pPr>
        <w:ind w:left="1380" w:hanging="268"/>
        <w:spacing w:after="0" w:line="217" w:lineRule="auto"/>
        <w:tabs>
          <w:tab w:leader="none" w:pos="1380" w:val="left"/>
        </w:tabs>
        <w:numPr>
          <w:ilvl w:val="0"/>
          <w:numId w:val="84"/>
        </w:numPr>
        <w:rPr>
          <w:rFonts w:ascii="Arial" w:cs="Arial" w:eastAsia="Arial" w:hAnsi="Arial"/>
          <w:sz w:val="11"/>
          <w:szCs w:val="11"/>
          <w:color w:val="auto"/>
        </w:rPr>
      </w:pPr>
      <w:r>
        <w:rPr>
          <w:rFonts w:ascii="Arial" w:cs="Arial" w:eastAsia="Arial" w:hAnsi="Arial"/>
          <w:sz w:val="13"/>
          <w:szCs w:val="13"/>
          <w:color w:val="auto"/>
        </w:rPr>
        <w:t>Margaret Whitman was elected to the Board of Directors in September 2017.</w:t>
      </w:r>
    </w:p>
    <w:p>
      <w:pPr>
        <w:ind w:left="1380" w:right="20" w:hanging="268"/>
        <w:spacing w:after="0" w:line="217" w:lineRule="auto"/>
        <w:tabs>
          <w:tab w:leader="none" w:pos="1380" w:val="left"/>
        </w:tabs>
        <w:numPr>
          <w:ilvl w:val="0"/>
          <w:numId w:val="84"/>
        </w:numPr>
        <w:rPr>
          <w:rFonts w:ascii="Arial" w:cs="Arial" w:eastAsia="Arial" w:hAnsi="Arial"/>
          <w:sz w:val="11"/>
          <w:szCs w:val="11"/>
          <w:color w:val="auto"/>
        </w:rPr>
      </w:pPr>
      <w:r>
        <w:rPr>
          <w:rFonts w:ascii="Arial" w:cs="Arial" w:eastAsia="Arial" w:hAnsi="Arial"/>
          <w:sz w:val="13"/>
          <w:szCs w:val="13"/>
          <w:color w:val="auto"/>
        </w:rPr>
        <w:t>Consists of (i) 121,366,947 shares of Class B common stock beneficially owned by our executive officers and directors, (ii) 90,884 shares of Class B common stock subject to options that are immediately exercisable within 60 days of January 31, 2018, and (iii) 1,123,609 shares of Class B common stock that will be net issued upon the vesting of RSUs within 60 days of January 31, 2018.</w:t>
      </w:r>
    </w:p>
    <w:p>
      <w:pPr>
        <w:ind w:left="1380" w:right="240" w:hanging="268"/>
        <w:spacing w:after="0" w:line="235" w:lineRule="auto"/>
        <w:tabs>
          <w:tab w:leader="none" w:pos="1380" w:val="left"/>
        </w:tabs>
        <w:numPr>
          <w:ilvl w:val="0"/>
          <w:numId w:val="84"/>
        </w:numPr>
        <w:rPr>
          <w:rFonts w:ascii="Arial" w:cs="Arial" w:eastAsia="Arial" w:hAnsi="Arial"/>
          <w:sz w:val="10"/>
          <w:szCs w:val="10"/>
          <w:color w:val="auto"/>
        </w:rPr>
      </w:pPr>
      <w:r>
        <w:rPr>
          <w:rFonts w:ascii="Arial" w:cs="Arial" w:eastAsia="Arial" w:hAnsi="Arial"/>
          <w:sz w:val="12"/>
          <w:szCs w:val="12"/>
          <w:color w:val="auto"/>
        </w:rPr>
        <w:t>Consists of (i) 76,179,144 shares of Class B common stock held by Sequoia Capital XII, L.P., or SC XII, (ii) 8,141,812 shares of Class B common stock held by Sequoia Capital XII Principals Fund, LLC, or SC XII PF, and (iii) 2,850,494 shares of Class B common stock held by Sequoia Technology Partners XII, L.P., or STP XII. SC XII Management, LLC, or SC XII LLC, is the general partner of each of SC XII and STP XII, and the managing member of SC XII PF. As a result, and by virtue of the relationships described in this footnote, SC XII LLC may be deemed to share beneficial ownership of the shares held by SC XII, SC XII PF, and STP XII. The address for these entities is 2800 Sand Hill Road #101, Menlo Park, California 94025.</w:t>
      </w:r>
    </w:p>
    <w:p>
      <w:pPr>
        <w:spacing w:after="0" w:line="1" w:lineRule="exact"/>
        <w:rPr>
          <w:rFonts w:ascii="Arial" w:cs="Arial" w:eastAsia="Arial" w:hAnsi="Arial"/>
          <w:sz w:val="10"/>
          <w:szCs w:val="10"/>
          <w:color w:val="auto"/>
        </w:rPr>
      </w:pPr>
    </w:p>
    <w:p>
      <w:pPr>
        <w:ind w:left="1380" w:right="20" w:hanging="268"/>
        <w:spacing w:after="0" w:line="235" w:lineRule="auto"/>
        <w:tabs>
          <w:tab w:leader="none" w:pos="1380" w:val="left"/>
        </w:tabs>
        <w:numPr>
          <w:ilvl w:val="0"/>
          <w:numId w:val="84"/>
        </w:numPr>
        <w:rPr>
          <w:rFonts w:ascii="Arial" w:cs="Arial" w:eastAsia="Arial" w:hAnsi="Arial"/>
          <w:sz w:val="10"/>
          <w:szCs w:val="10"/>
          <w:color w:val="auto"/>
        </w:rPr>
      </w:pPr>
      <w:r>
        <w:rPr>
          <w:rFonts w:ascii="Arial" w:cs="Arial" w:eastAsia="Arial" w:hAnsi="Arial"/>
          <w:sz w:val="12"/>
          <w:szCs w:val="12"/>
          <w:color w:val="auto"/>
        </w:rPr>
        <w:t>Consists of (i) 1,635,668 shares of Class B common stock held by Accel Investors 2008 L.L.C., or AI 2008, (ii) 14,772 shares of Class B common stock held by Accel Investors 2010 L.L.C., or AI 2010, (iii) 10,497 shares of Class B common stock held by Accel Investors 2013 L.L.C., or AI 2013, (iv) 98,854 shares of Class B common stock held by Accel XI L.P., or Accel XI, (v) 7,425 shares of Class B common stock held by Accel XI Strategic Partners L.P., or Accel XI Strategic, (vi) 15,788,974 shares of Class B common stock held by Accel X L.P., or Accel X, and (vii) 1,196,375 shares of Class B common stock held by Accel X Strategic Partners L.P., or Accel X Strategic, and together with AI 2008, AI 2010, AI 2013, Accel XI, Accel XI Strategic, and Accel X, the Accel Entities. Accel X Associates L.L.C., or Accel X Associates, is the general partner of Accel X and Accel X Strategic and has the sole voting and investment power. Andrew G. Braccia, Kevin Efrusy, Sameer K. Gandhi, Ping Li, Tracy L. Sedlock, and Richard P. Wong are the managing members of Accel X Associates, AI 2008, and AI 2010 and share voting and investment powers over such shares. Accel XI Associates L.L.C., or Accel XI Associates, is the general partner of Accel XI and Accel Strategic and has the sole voting and investment power. Andrew G. Braccia, Sameer K. Gandhi, Ping Li, Tracy L. Sedlock, and Richard P. Wong are the managing members of Accel XI Associates and AI 2013 and share voting and investment powers over such shares. The address for these entities and individuals is 428 University Ave., Palo Alto, California 94301.</w:t>
      </w:r>
    </w:p>
    <w:p>
      <w:pPr>
        <w:spacing w:after="0" w:line="2" w:lineRule="exact"/>
        <w:rPr>
          <w:rFonts w:ascii="Arial" w:cs="Arial" w:eastAsia="Arial" w:hAnsi="Arial"/>
          <w:sz w:val="10"/>
          <w:szCs w:val="10"/>
          <w:color w:val="auto"/>
        </w:rPr>
      </w:pPr>
    </w:p>
    <w:p>
      <w:pPr>
        <w:ind w:left="1380" w:right="20" w:hanging="268"/>
        <w:spacing w:after="0" w:line="239" w:lineRule="auto"/>
        <w:tabs>
          <w:tab w:leader="none" w:pos="1380" w:val="left"/>
        </w:tabs>
        <w:numPr>
          <w:ilvl w:val="0"/>
          <w:numId w:val="84"/>
        </w:numPr>
        <w:rPr>
          <w:rFonts w:ascii="Arial" w:cs="Arial" w:eastAsia="Arial" w:hAnsi="Arial"/>
          <w:sz w:val="10"/>
          <w:szCs w:val="10"/>
          <w:color w:val="auto"/>
        </w:rPr>
      </w:pPr>
      <w:r>
        <w:rPr>
          <w:rFonts w:ascii="Arial" w:cs="Arial" w:eastAsia="Arial" w:hAnsi="Arial"/>
          <w:sz w:val="12"/>
          <w:szCs w:val="12"/>
          <w:color w:val="auto"/>
        </w:rPr>
        <w:t>Consists of (i) 6,002,953 shares of Class A common stock held of record by 63 funds and accounts advised or sub-advised by T. Rowe Price Associates, Inc., or TRPA; and (ii) 7,064,283 shares of Class B common stock held of record by 62 funds and accounts advised or sub-advised by TRPA. TRPA serves as investment adviser with power to direct investments and/or sole power to vote the securities owned by these funds and accounts. The T. Rowe Price Proxy Committee develops the firm’s positions on all major proxy voting issues, creates guidelines, and oversees the voting process. Once the Proxy Committee establishes its recommendations, they are distributed to the firm’s portfolio managers as voting guidelines. Ultimately, the portfolio managers for each account decide how to vote on the proxy proposals of companies in their portfolios. More information on the T. Rowe Price proxy voting guidelines is available on its website at troweprice.com. The T. Rowe Price portfolio managers of the funds and accounts that hold our securities are collectively listed as follows: Joseph B. Fath,</w:t>
      </w:r>
    </w:p>
    <w:p>
      <w:pPr>
        <w:spacing w:after="0" w:line="100" w:lineRule="exact"/>
        <w:rPr>
          <w:sz w:val="20"/>
          <w:szCs w:val="20"/>
          <w:color w:val="auto"/>
        </w:rPr>
      </w:pPr>
    </w:p>
    <w:p>
      <w:pPr>
        <w:ind w:left="5600"/>
        <w:spacing w:after="0"/>
        <w:rPr>
          <w:sz w:val="20"/>
          <w:szCs w:val="20"/>
          <w:color w:val="auto"/>
        </w:rPr>
      </w:pPr>
      <w:r>
        <w:rPr>
          <w:rFonts w:ascii="Arial" w:cs="Arial" w:eastAsia="Arial" w:hAnsi="Arial"/>
          <w:sz w:val="15"/>
          <w:szCs w:val="15"/>
          <w:color w:val="auto"/>
        </w:rPr>
        <w:t>167</w:t>
      </w:r>
    </w:p>
    <w:p>
      <w:pPr>
        <w:sectPr>
          <w:pgSz w:w="11900" w:h="16838" w:orient="portrait"/>
          <w:cols w:equalWidth="0" w:num="1">
            <w:col w:w="10320"/>
          </w:cols>
          <w:pgMar w:left="240" w:top="408" w:right="1339" w:bottom="1440" w:gutter="0" w:footer="0" w:header="0"/>
        </w:sectPr>
      </w:pPr>
    </w:p>
    <w:bookmarkStart w:id="174" w:name="page175"/>
    <w:bookmarkEnd w:id="174"/>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133350</wp:posOffset>
            </wp:positionH>
            <wp:positionV relativeFrom="page">
              <wp:posOffset>88900</wp:posOffset>
            </wp:positionV>
            <wp:extent cx="7308850" cy="3429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308850" cy="34290"/>
                    </a:xfrm>
                    <a:prstGeom prst="rect">
                      <a:avLst/>
                    </a:prstGeom>
                    <a:noFill/>
                  </pic:spPr>
                </pic:pic>
              </a:graphicData>
            </a:graphic>
          </wp:anchor>
        </w:drawing>
      </w:r>
      <w:hyperlink w:anchor="page7">
        <w:r>
          <w:rPr>
            <w:rFonts w:ascii="Arial" w:cs="Arial" w:eastAsia="Arial" w:hAnsi="Arial"/>
            <w:sz w:val="15"/>
            <w:szCs w:val="15"/>
            <w:b w:val="1"/>
            <w:bCs w:val="1"/>
            <w:u w:val="single" w:color="auto"/>
            <w:color w:val="0000EE"/>
          </w:rPr>
          <w:t>Table of Contents</w:t>
        </w:r>
      </w:hyperlink>
    </w:p>
    <w:p>
      <w:pPr>
        <w:spacing w:after="0" w:line="259" w:lineRule="exact"/>
        <w:rPr>
          <w:sz w:val="20"/>
          <w:szCs w:val="20"/>
          <w:color w:val="auto"/>
        </w:rPr>
      </w:pPr>
    </w:p>
    <w:p>
      <w:pPr>
        <w:ind w:left="1380" w:right="20"/>
        <w:spacing w:after="0" w:line="238" w:lineRule="auto"/>
        <w:rPr>
          <w:sz w:val="20"/>
          <w:szCs w:val="20"/>
          <w:color w:val="auto"/>
        </w:rPr>
      </w:pPr>
      <w:r>
        <w:rPr>
          <w:rFonts w:ascii="Arial" w:cs="Arial" w:eastAsia="Arial" w:hAnsi="Arial"/>
          <w:sz w:val="12"/>
          <w:szCs w:val="12"/>
          <w:color w:val="auto"/>
        </w:rPr>
        <w:t>Taymour R. Tamaddon, Paul D. Greene, Donald J. Peters, Henry M. Ellenbogen, Brian W. H. Berghuis, Kennard W. Allen, Joshua K. Spencer, and Justin White. For purposes of reporting requirements of the Securities Exchange Act of 1934, TRPA may be deemed to be the beneficial owner of all the shares listed above. T. Rowe Price Associates, Inc. is the wholly owned subsidiary of T. Rowe Price Group, Inc., which is a publicly traded financial services holding company. The address for T. Rowe Price Associates, Inc. is 100 East Pratt Street, Baltimore, Maryland 21202. T. Rowe Price Investment Services, Inc., or TRPIS, a registered broker-dealer, is a subsidiary of T. Rowe Price Associates, Inc. TRPIS was formed primarily for the limited purpose of acting as the principal underwriter of shares of the funds in the T. Rowe Price fund family. TRPIS does not engage in underwriting or market-making activities involving individual securities.</w:t>
      </w:r>
    </w:p>
    <w:p>
      <w:pPr>
        <w:spacing w:after="0" w:line="1" w:lineRule="exact"/>
        <w:rPr>
          <w:sz w:val="20"/>
          <w:szCs w:val="20"/>
          <w:color w:val="auto"/>
        </w:rPr>
      </w:pPr>
    </w:p>
    <w:p>
      <w:pPr>
        <w:ind w:left="1380" w:hanging="268"/>
        <w:spacing w:after="0" w:line="256" w:lineRule="auto"/>
        <w:tabs>
          <w:tab w:leader="none" w:pos="1380" w:val="left"/>
        </w:tabs>
        <w:numPr>
          <w:ilvl w:val="0"/>
          <w:numId w:val="85"/>
        </w:numPr>
        <w:rPr>
          <w:rFonts w:ascii="Arial" w:cs="Arial" w:eastAsia="Arial" w:hAnsi="Arial"/>
          <w:sz w:val="9"/>
          <w:szCs w:val="9"/>
          <w:color w:val="auto"/>
        </w:rPr>
      </w:pPr>
      <w:r>
        <w:rPr>
          <w:rFonts w:ascii="Arial" w:cs="Arial" w:eastAsia="Arial" w:hAnsi="Arial"/>
          <w:sz w:val="11"/>
          <w:szCs w:val="11"/>
          <w:color w:val="auto"/>
        </w:rPr>
        <w:t>Consists of (i) 1,073,999 shares of Class A common stock held by Green Bay - DX, LLC, (ii) 443,507 shares of Class A common stock held by Green Bay - DX II, LLC, (iii) 698,036 shares of Class A common stock held by Cloudy Sky, LLC, and (iv) 558,428 shares of Class B common stock held by D5X, LLC. Green Bay Generations Fund, LLC , or GBGF, is the investment adviser to Green Bay - DX, LLC, Green Bay - DX II, LLC and Cloudy Sky, LLC. Its address is 915 Broadway, Suite 1206, New York, New York 10010. Green Bay Advisors, LLC is the investment adviser to D5X, LLC, and its address is 480 Pacific Avenue, Suite 200, San Francisco, California 94133.</w:t>
      </w:r>
    </w:p>
    <w:p>
      <w:pPr>
        <w:spacing w:after="0" w:line="1" w:lineRule="exact"/>
        <w:rPr>
          <w:rFonts w:ascii="Arial" w:cs="Arial" w:eastAsia="Arial" w:hAnsi="Arial"/>
          <w:sz w:val="9"/>
          <w:szCs w:val="9"/>
          <w:color w:val="auto"/>
        </w:rPr>
      </w:pPr>
    </w:p>
    <w:p>
      <w:pPr>
        <w:ind w:left="1380" w:right="80" w:hanging="268"/>
        <w:spacing w:after="0" w:line="217" w:lineRule="auto"/>
        <w:tabs>
          <w:tab w:leader="none" w:pos="1380" w:val="left"/>
        </w:tabs>
        <w:numPr>
          <w:ilvl w:val="0"/>
          <w:numId w:val="85"/>
        </w:numPr>
        <w:rPr>
          <w:rFonts w:ascii="Arial" w:cs="Arial" w:eastAsia="Arial" w:hAnsi="Arial"/>
          <w:sz w:val="11"/>
          <w:szCs w:val="11"/>
          <w:color w:val="auto"/>
        </w:rPr>
      </w:pPr>
      <w:r>
        <w:rPr>
          <w:rFonts w:ascii="Arial" w:cs="Arial" w:eastAsia="Arial" w:hAnsi="Arial"/>
          <w:sz w:val="13"/>
          <w:szCs w:val="13"/>
          <w:color w:val="auto"/>
        </w:rPr>
        <w:t>Consists of (i) 293,672 shares of Class B common stock held by Mr. Partovi in his individual capacity and (ii) 3,226,661 shares of Class B common stock beneficially owned by Mr. Partovi through various trusts and related entities.</w:t>
      </w:r>
    </w:p>
    <w:p>
      <w:pPr>
        <w:ind w:left="1380" w:right="380" w:hanging="268"/>
        <w:spacing w:after="0" w:line="217" w:lineRule="auto"/>
        <w:tabs>
          <w:tab w:leader="none" w:pos="1380" w:val="left"/>
        </w:tabs>
        <w:numPr>
          <w:ilvl w:val="0"/>
          <w:numId w:val="85"/>
        </w:numPr>
        <w:rPr>
          <w:rFonts w:ascii="Arial" w:cs="Arial" w:eastAsia="Arial" w:hAnsi="Arial"/>
          <w:sz w:val="11"/>
          <w:szCs w:val="11"/>
          <w:color w:val="auto"/>
        </w:rPr>
      </w:pPr>
      <w:r>
        <w:rPr>
          <w:rFonts w:ascii="Arial" w:cs="Arial" w:eastAsia="Arial" w:hAnsi="Arial"/>
          <w:sz w:val="13"/>
          <w:szCs w:val="13"/>
          <w:color w:val="auto"/>
        </w:rPr>
        <w:t>Consists of (i) 634,353 shares of Class B common stock held by Mr. Agarwal in his individual capacity and (ii) 5,266,489 shares of Class B common stock beneficially owned by Mr. Agarwal through various trusts and related entities.</w:t>
      </w:r>
    </w:p>
    <w:p>
      <w:pPr>
        <w:ind w:left="1380" w:right="60" w:hanging="268"/>
        <w:spacing w:after="0" w:line="226" w:lineRule="auto"/>
        <w:tabs>
          <w:tab w:leader="none" w:pos="1380" w:val="left"/>
        </w:tabs>
        <w:numPr>
          <w:ilvl w:val="0"/>
          <w:numId w:val="85"/>
        </w:numPr>
        <w:rPr>
          <w:rFonts w:ascii="Arial" w:cs="Arial" w:eastAsia="Arial" w:hAnsi="Arial"/>
          <w:sz w:val="11"/>
          <w:szCs w:val="11"/>
          <w:color w:val="auto"/>
        </w:rPr>
      </w:pPr>
      <w:r>
        <w:rPr>
          <w:rFonts w:ascii="Arial" w:cs="Arial" w:eastAsia="Arial" w:hAnsi="Arial"/>
          <w:sz w:val="13"/>
          <w:szCs w:val="13"/>
          <w:color w:val="auto"/>
        </w:rPr>
        <w:t>Consists of 2,573,920 shares of Class B common stock held by J. Rothschild Investments 1 Limited. Anthony D. Holt, Emmalene Holden, and Kelvin J. Whelan are directors of J. Rothschild Investments 1 Limited and share voting and investment powers over the shares. The address for this entity is Newport House, 15 The Grange, St. Peter Port, Guernsey.</w:t>
      </w:r>
    </w:p>
    <w:p>
      <w:pPr>
        <w:spacing w:after="0" w:line="98" w:lineRule="exact"/>
        <w:rPr>
          <w:sz w:val="20"/>
          <w:szCs w:val="20"/>
          <w:color w:val="auto"/>
        </w:rPr>
      </w:pPr>
    </w:p>
    <w:p>
      <w:pPr>
        <w:ind w:left="5600"/>
        <w:spacing w:after="0"/>
        <w:rPr>
          <w:sz w:val="20"/>
          <w:szCs w:val="20"/>
          <w:color w:val="auto"/>
        </w:rPr>
      </w:pPr>
      <w:r>
        <w:rPr>
          <w:rFonts w:ascii="Arial" w:cs="Arial" w:eastAsia="Arial" w:hAnsi="Arial"/>
          <w:sz w:val="15"/>
          <w:szCs w:val="15"/>
          <w:color w:val="auto"/>
        </w:rPr>
        <w:t>168</w:t>
      </w:r>
    </w:p>
    <w:p>
      <w:pPr>
        <w:sectPr>
          <w:pgSz w:w="11900" w:h="16838" w:orient="portrait"/>
          <w:cols w:equalWidth="0" w:num="1">
            <w:col w:w="10320"/>
          </w:cols>
          <w:pgMar w:left="240" w:top="408" w:right="1339" w:bottom="1440" w:gutter="0" w:footer="0" w:header="0"/>
        </w:sectPr>
      </w:pPr>
    </w:p>
    <w:bookmarkStart w:id="175" w:name="page176"/>
    <w:bookmarkEnd w:id="175"/>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133350</wp:posOffset>
            </wp:positionH>
            <wp:positionV relativeFrom="page">
              <wp:posOffset>88900</wp:posOffset>
            </wp:positionV>
            <wp:extent cx="7308850" cy="3429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308850" cy="34290"/>
                    </a:xfrm>
                    <a:prstGeom prst="rect">
                      <a:avLst/>
                    </a:prstGeom>
                    <a:noFill/>
                  </pic:spPr>
                </pic:pic>
              </a:graphicData>
            </a:graphic>
          </wp:anchor>
        </w:drawing>
      </w:r>
      <w:hyperlink w:anchor="page7">
        <w:r>
          <w:rPr>
            <w:rFonts w:ascii="Arial" w:cs="Arial" w:eastAsia="Arial" w:hAnsi="Arial"/>
            <w:sz w:val="15"/>
            <w:szCs w:val="15"/>
            <w:b w:val="1"/>
            <w:bCs w:val="1"/>
            <w:u w:val="single" w:color="auto"/>
            <w:color w:val="0000EE"/>
          </w:rPr>
          <w:t>Table of Contents</w:t>
        </w:r>
      </w:hyperlink>
    </w:p>
    <w:p>
      <w:pPr>
        <w:spacing w:after="0" w:line="256" w:lineRule="exact"/>
        <w:rPr>
          <w:sz w:val="20"/>
          <w:szCs w:val="20"/>
          <w:color w:val="auto"/>
        </w:rPr>
      </w:pPr>
    </w:p>
    <w:p>
      <w:pPr>
        <w:ind w:left="4440"/>
        <w:spacing w:after="0"/>
        <w:rPr>
          <w:sz w:val="20"/>
          <w:szCs w:val="20"/>
          <w:color w:val="auto"/>
        </w:rPr>
      </w:pPr>
      <w:r>
        <w:rPr>
          <w:rFonts w:ascii="Arial" w:cs="Arial" w:eastAsia="Arial" w:hAnsi="Arial"/>
          <w:sz w:val="15"/>
          <w:szCs w:val="15"/>
          <w:b w:val="1"/>
          <w:bCs w:val="1"/>
          <w:color w:val="auto"/>
        </w:rPr>
        <w:t>DESCRIPTION OF CAPITAL STOCK</w:t>
      </w:r>
    </w:p>
    <w:p>
      <w:pPr>
        <w:spacing w:after="0" w:line="188" w:lineRule="exact"/>
        <w:rPr>
          <w:sz w:val="20"/>
          <w:szCs w:val="20"/>
          <w:color w:val="auto"/>
        </w:rPr>
      </w:pPr>
    </w:p>
    <w:p>
      <w:pPr>
        <w:ind w:left="1120"/>
        <w:spacing w:after="0"/>
        <w:rPr>
          <w:sz w:val="20"/>
          <w:szCs w:val="20"/>
          <w:color w:val="auto"/>
        </w:rPr>
      </w:pPr>
      <w:r>
        <w:rPr>
          <w:rFonts w:ascii="Arial" w:cs="Arial" w:eastAsia="Arial" w:hAnsi="Arial"/>
          <w:sz w:val="15"/>
          <w:szCs w:val="15"/>
          <w:b w:val="1"/>
          <w:bCs w:val="1"/>
          <w:color w:val="auto"/>
        </w:rPr>
        <w:t>General</w:t>
      </w:r>
    </w:p>
    <w:p>
      <w:pPr>
        <w:spacing w:after="0" w:line="102" w:lineRule="exact"/>
        <w:rPr>
          <w:sz w:val="20"/>
          <w:szCs w:val="20"/>
          <w:color w:val="auto"/>
        </w:rPr>
      </w:pPr>
    </w:p>
    <w:p>
      <w:pPr>
        <w:ind w:left="1120" w:firstLine="368"/>
        <w:spacing w:after="0" w:line="276" w:lineRule="auto"/>
        <w:rPr>
          <w:sz w:val="20"/>
          <w:szCs w:val="20"/>
          <w:color w:val="auto"/>
        </w:rPr>
      </w:pPr>
      <w:r>
        <w:rPr>
          <w:rFonts w:ascii="Arial" w:cs="Arial" w:eastAsia="Arial" w:hAnsi="Arial"/>
          <w:sz w:val="14"/>
          <w:szCs w:val="14"/>
          <w:color w:val="auto"/>
        </w:rPr>
        <w:t>The following description summarizes certain important terms of our capital stock, as they are expected to be in effect immediately prior to the completion of this offering and the concurrent private placement. We expect to adopt an amended and restated certificate of incorporation and amended and restated bylaws that will become effective immediately prior to the completion of this offering, and this description summarizes the provisions that are expected to be included in such documents. Because it is only a summary, it does not contain all the information that may be important to you. For a complete description of the matters set forth in this section titled “Description of Capital Stock,” you should refer to our amended and restated certificate of incorporation, amended and restated bylaws and amended and restated investors’ rights agreement, which are included as exhibits to the registration statement of which this prospectus forms a part, and to the applicable provisions of Delaware law.</w:t>
      </w:r>
    </w:p>
    <w:p>
      <w:pPr>
        <w:spacing w:after="0" w:line="148" w:lineRule="exact"/>
        <w:rPr>
          <w:sz w:val="20"/>
          <w:szCs w:val="20"/>
          <w:color w:val="auto"/>
        </w:rPr>
      </w:pPr>
    </w:p>
    <w:p>
      <w:pPr>
        <w:ind w:left="1120" w:right="20" w:firstLine="368"/>
        <w:spacing w:after="0" w:line="275" w:lineRule="auto"/>
        <w:rPr>
          <w:sz w:val="20"/>
          <w:szCs w:val="20"/>
          <w:color w:val="auto"/>
        </w:rPr>
      </w:pPr>
      <w:r>
        <w:rPr>
          <w:rFonts w:ascii="Arial" w:cs="Arial" w:eastAsia="Arial" w:hAnsi="Arial"/>
          <w:sz w:val="15"/>
          <w:szCs w:val="15"/>
          <w:color w:val="auto"/>
        </w:rPr>
        <w:t>Immediately following the completion of this offering, our authorized capital stock will consist of 3,915,000,000 shares of capital stock, $0.00001 par value per share, of which:</w:t>
      </w:r>
    </w:p>
    <w:p>
      <w:pPr>
        <w:spacing w:after="0" w:line="67" w:lineRule="exact"/>
        <w:rPr>
          <w:sz w:val="20"/>
          <w:szCs w:val="20"/>
          <w:color w:val="auto"/>
        </w:rPr>
      </w:pPr>
    </w:p>
    <w:p>
      <w:pPr>
        <w:ind w:left="1840" w:hanging="276"/>
        <w:spacing w:after="0"/>
        <w:tabs>
          <w:tab w:leader="none" w:pos="1840" w:val="left"/>
        </w:tabs>
        <w:numPr>
          <w:ilvl w:val="0"/>
          <w:numId w:val="86"/>
        </w:numPr>
        <w:rPr>
          <w:rFonts w:ascii="Arial" w:cs="Arial" w:eastAsia="Arial" w:hAnsi="Arial"/>
          <w:sz w:val="15"/>
          <w:szCs w:val="15"/>
          <w:color w:val="auto"/>
        </w:rPr>
      </w:pPr>
      <w:r>
        <w:rPr>
          <w:rFonts w:ascii="Arial" w:cs="Arial" w:eastAsia="Arial" w:hAnsi="Arial"/>
          <w:sz w:val="15"/>
          <w:szCs w:val="15"/>
          <w:color w:val="auto"/>
        </w:rPr>
        <w:t>2,400,000,000 shares are designated as Class A common stock;</w:t>
      </w:r>
    </w:p>
    <w:p>
      <w:pPr>
        <w:spacing w:after="0" w:line="109" w:lineRule="exact"/>
        <w:rPr>
          <w:rFonts w:ascii="Arial" w:cs="Arial" w:eastAsia="Arial" w:hAnsi="Arial"/>
          <w:sz w:val="15"/>
          <w:szCs w:val="15"/>
          <w:color w:val="auto"/>
        </w:rPr>
      </w:pPr>
    </w:p>
    <w:p>
      <w:pPr>
        <w:ind w:left="1840" w:hanging="276"/>
        <w:spacing w:after="0"/>
        <w:tabs>
          <w:tab w:leader="none" w:pos="1840" w:val="left"/>
        </w:tabs>
        <w:numPr>
          <w:ilvl w:val="0"/>
          <w:numId w:val="86"/>
        </w:numPr>
        <w:rPr>
          <w:rFonts w:ascii="Arial" w:cs="Arial" w:eastAsia="Arial" w:hAnsi="Arial"/>
          <w:sz w:val="15"/>
          <w:szCs w:val="15"/>
          <w:color w:val="auto"/>
        </w:rPr>
      </w:pPr>
      <w:r>
        <w:rPr>
          <w:rFonts w:ascii="Arial" w:cs="Arial" w:eastAsia="Arial" w:hAnsi="Arial"/>
          <w:sz w:val="15"/>
          <w:szCs w:val="15"/>
          <w:color w:val="auto"/>
        </w:rPr>
        <w:t>475,000,000 shares are designated as Class B common stock;</w:t>
      </w:r>
    </w:p>
    <w:p>
      <w:pPr>
        <w:spacing w:after="0" w:line="109" w:lineRule="exact"/>
        <w:rPr>
          <w:rFonts w:ascii="Arial" w:cs="Arial" w:eastAsia="Arial" w:hAnsi="Arial"/>
          <w:sz w:val="15"/>
          <w:szCs w:val="15"/>
          <w:color w:val="auto"/>
        </w:rPr>
      </w:pPr>
    </w:p>
    <w:p>
      <w:pPr>
        <w:ind w:left="1840" w:hanging="276"/>
        <w:spacing w:after="0"/>
        <w:tabs>
          <w:tab w:leader="none" w:pos="1840" w:val="left"/>
        </w:tabs>
        <w:numPr>
          <w:ilvl w:val="0"/>
          <w:numId w:val="86"/>
        </w:numPr>
        <w:rPr>
          <w:rFonts w:ascii="Arial" w:cs="Arial" w:eastAsia="Arial" w:hAnsi="Arial"/>
          <w:sz w:val="15"/>
          <w:szCs w:val="15"/>
          <w:color w:val="auto"/>
        </w:rPr>
      </w:pPr>
      <w:r>
        <w:rPr>
          <w:rFonts w:ascii="Arial" w:cs="Arial" w:eastAsia="Arial" w:hAnsi="Arial"/>
          <w:sz w:val="15"/>
          <w:szCs w:val="15"/>
          <w:color w:val="auto"/>
        </w:rPr>
        <w:t>800,000,000 shares are designated as Class C common stock; and</w:t>
      </w:r>
    </w:p>
    <w:p>
      <w:pPr>
        <w:spacing w:after="0" w:line="109" w:lineRule="exact"/>
        <w:rPr>
          <w:rFonts w:ascii="Arial" w:cs="Arial" w:eastAsia="Arial" w:hAnsi="Arial"/>
          <w:sz w:val="15"/>
          <w:szCs w:val="15"/>
          <w:color w:val="auto"/>
        </w:rPr>
      </w:pPr>
    </w:p>
    <w:p>
      <w:pPr>
        <w:ind w:left="1840" w:hanging="276"/>
        <w:spacing w:after="0"/>
        <w:tabs>
          <w:tab w:leader="none" w:pos="1840" w:val="left"/>
        </w:tabs>
        <w:numPr>
          <w:ilvl w:val="0"/>
          <w:numId w:val="86"/>
        </w:numPr>
        <w:rPr>
          <w:rFonts w:ascii="Arial" w:cs="Arial" w:eastAsia="Arial" w:hAnsi="Arial"/>
          <w:sz w:val="15"/>
          <w:szCs w:val="15"/>
          <w:color w:val="auto"/>
        </w:rPr>
      </w:pPr>
      <w:r>
        <w:rPr>
          <w:rFonts w:ascii="Arial" w:cs="Arial" w:eastAsia="Arial" w:hAnsi="Arial"/>
          <w:sz w:val="15"/>
          <w:szCs w:val="15"/>
          <w:color w:val="auto"/>
        </w:rPr>
        <w:t>240,000,000 shares are designated as preferred stock.</w:t>
      </w:r>
    </w:p>
    <w:p>
      <w:pPr>
        <w:spacing w:after="0" w:line="188" w:lineRule="exact"/>
        <w:rPr>
          <w:sz w:val="20"/>
          <w:szCs w:val="20"/>
          <w:color w:val="auto"/>
        </w:rPr>
      </w:pPr>
    </w:p>
    <w:p>
      <w:pPr>
        <w:ind w:left="1120" w:firstLine="368"/>
        <w:spacing w:after="0" w:line="296" w:lineRule="auto"/>
        <w:rPr>
          <w:sz w:val="20"/>
          <w:szCs w:val="20"/>
          <w:color w:val="auto"/>
        </w:rPr>
      </w:pPr>
      <w:r>
        <w:rPr>
          <w:rFonts w:ascii="Arial" w:cs="Arial" w:eastAsia="Arial" w:hAnsi="Arial"/>
          <w:sz w:val="13"/>
          <w:szCs w:val="13"/>
          <w:color w:val="auto"/>
        </w:rPr>
        <w:t>Assuming the conversion of all outstanding shares of our convertible preferred stock into shares of our Class B common stock, which will occur immediately prior to the completion of this offering, as of December 31, 2017, there were 11,817,248 shares of our Class A common stock outstanding (including the Capital Stock Conversions), held by 1,310 stockholders of record, 348,501,449 shares of our Class B common stock outstanding (including the Capital Stock Conversions and the RSU Settlement), held by 2,658 stockholders of record, and no shares of our Class C common stock outstanding. Pursuant to our amended and restated certificate of incorporation, our Board of Directors will have the authority, without stockholder approval except as required by the listing standards of Nasdaq, to issue additional shares of our Class A common stock and Class C common stock. Until the final conversion of all outstanding shares of Class B common stock pursuant to the terms of the amended and restated certificate of incorporation, or the Final Conversion Date, any issuance of additional shares of Class B common stock, other than shares issued pursuant to the exercise or conversion of options or warrants or the settlement of RSUs, in each case, outstanding as of the date the shares of Class A common stock are listed for issuance on Nasdaq, requires the approval of the holders of a majority of the outstanding shares of Class B common stock.</w:t>
      </w:r>
    </w:p>
    <w:p>
      <w:pPr>
        <w:spacing w:after="0" w:line="227" w:lineRule="exact"/>
        <w:rPr>
          <w:sz w:val="20"/>
          <w:szCs w:val="20"/>
          <w:color w:val="auto"/>
        </w:rPr>
      </w:pPr>
    </w:p>
    <w:p>
      <w:pPr>
        <w:ind w:left="1120"/>
        <w:spacing w:after="0"/>
        <w:rPr>
          <w:sz w:val="20"/>
          <w:szCs w:val="20"/>
          <w:color w:val="auto"/>
        </w:rPr>
      </w:pPr>
      <w:r>
        <w:rPr>
          <w:rFonts w:ascii="Arial" w:cs="Arial" w:eastAsia="Arial" w:hAnsi="Arial"/>
          <w:sz w:val="15"/>
          <w:szCs w:val="15"/>
          <w:b w:val="1"/>
          <w:bCs w:val="1"/>
          <w:color w:val="auto"/>
        </w:rPr>
        <w:t>Common Stock</w:t>
      </w:r>
    </w:p>
    <w:p>
      <w:pPr>
        <w:spacing w:after="0" w:line="102" w:lineRule="exact"/>
        <w:rPr>
          <w:sz w:val="20"/>
          <w:szCs w:val="20"/>
          <w:color w:val="auto"/>
        </w:rPr>
      </w:pPr>
    </w:p>
    <w:p>
      <w:pPr>
        <w:ind w:left="1120" w:right="60" w:firstLine="368"/>
        <w:spacing w:after="0" w:line="354" w:lineRule="auto"/>
        <w:rPr>
          <w:sz w:val="20"/>
          <w:szCs w:val="20"/>
          <w:color w:val="auto"/>
        </w:rPr>
      </w:pPr>
      <w:r>
        <w:rPr>
          <w:rFonts w:ascii="Arial" w:cs="Arial" w:eastAsia="Arial" w:hAnsi="Arial"/>
          <w:sz w:val="13"/>
          <w:szCs w:val="13"/>
          <w:color w:val="auto"/>
        </w:rPr>
        <w:t>We have three classes of authorized common stock, Class A common stock, Class B common stock, and Class C common stock. The rights of the holders of Class A common stock, Class B common stock, and Class C common stock are identical, except with respect to voting and conversion.</w:t>
      </w:r>
    </w:p>
    <w:p>
      <w:pPr>
        <w:spacing w:after="0" w:line="187" w:lineRule="exact"/>
        <w:rPr>
          <w:sz w:val="20"/>
          <w:szCs w:val="20"/>
          <w:color w:val="auto"/>
        </w:rPr>
      </w:pPr>
    </w:p>
    <w:p>
      <w:pPr>
        <w:ind w:left="1120"/>
        <w:spacing w:after="0"/>
        <w:rPr>
          <w:sz w:val="20"/>
          <w:szCs w:val="20"/>
          <w:color w:val="auto"/>
        </w:rPr>
      </w:pPr>
      <w:r>
        <w:rPr>
          <w:rFonts w:ascii="Arial" w:cs="Arial" w:eastAsia="Arial" w:hAnsi="Arial"/>
          <w:sz w:val="15"/>
          <w:szCs w:val="15"/>
          <w:b w:val="1"/>
          <w:bCs w:val="1"/>
          <w:color w:val="auto"/>
        </w:rPr>
        <w:t>Dividend Rights</w:t>
      </w:r>
    </w:p>
    <w:p>
      <w:pPr>
        <w:spacing w:after="0" w:line="102" w:lineRule="exact"/>
        <w:rPr>
          <w:sz w:val="20"/>
          <w:szCs w:val="20"/>
          <w:color w:val="auto"/>
        </w:rPr>
      </w:pPr>
    </w:p>
    <w:p>
      <w:pPr>
        <w:ind w:left="1120" w:right="120" w:firstLine="368"/>
        <w:spacing w:after="0" w:line="290" w:lineRule="auto"/>
        <w:rPr>
          <w:sz w:val="20"/>
          <w:szCs w:val="20"/>
          <w:color w:val="auto"/>
        </w:rPr>
      </w:pPr>
      <w:r>
        <w:rPr>
          <w:rFonts w:ascii="Arial" w:cs="Arial" w:eastAsia="Arial" w:hAnsi="Arial"/>
          <w:sz w:val="14"/>
          <w:szCs w:val="14"/>
          <w:color w:val="auto"/>
        </w:rPr>
        <w:t>Subject to preferences that may apply to any shares of preferred stock outstanding at the time, the holders of our common stock are entitled to receive dividends out of funds legally available if our Board of Directors, in its discretion, determines to issue dividends and then only at the times and in the amounts that our Board of Directors may determine. See the section titled “Dividend Policy” for additional information.</w:t>
      </w:r>
    </w:p>
    <w:p>
      <w:pPr>
        <w:spacing w:after="0" w:line="82" w:lineRule="exact"/>
        <w:rPr>
          <w:sz w:val="20"/>
          <w:szCs w:val="20"/>
          <w:color w:val="auto"/>
        </w:rPr>
      </w:pPr>
    </w:p>
    <w:p>
      <w:pPr>
        <w:ind w:left="5600"/>
        <w:spacing w:after="0"/>
        <w:rPr>
          <w:sz w:val="20"/>
          <w:szCs w:val="20"/>
          <w:color w:val="auto"/>
        </w:rPr>
      </w:pPr>
      <w:r>
        <w:rPr>
          <w:rFonts w:ascii="Arial" w:cs="Arial" w:eastAsia="Arial" w:hAnsi="Arial"/>
          <w:sz w:val="15"/>
          <w:szCs w:val="15"/>
          <w:color w:val="auto"/>
        </w:rPr>
        <w:t>169</w:t>
      </w:r>
    </w:p>
    <w:p>
      <w:pPr>
        <w:sectPr>
          <w:pgSz w:w="11900" w:h="16838" w:orient="portrait"/>
          <w:cols w:equalWidth="0" w:num="1">
            <w:col w:w="10300"/>
          </w:cols>
          <w:pgMar w:left="240" w:top="407" w:right="1359" w:bottom="1440" w:gutter="0" w:footer="0" w:header="0"/>
        </w:sectPr>
      </w:pPr>
    </w:p>
    <w:bookmarkStart w:id="176" w:name="page177"/>
    <w:bookmarkEnd w:id="176"/>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133350</wp:posOffset>
            </wp:positionH>
            <wp:positionV relativeFrom="page">
              <wp:posOffset>88900</wp:posOffset>
            </wp:positionV>
            <wp:extent cx="7308850" cy="3429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308850" cy="34290"/>
                    </a:xfrm>
                    <a:prstGeom prst="rect">
                      <a:avLst/>
                    </a:prstGeom>
                    <a:noFill/>
                  </pic:spPr>
                </pic:pic>
              </a:graphicData>
            </a:graphic>
          </wp:anchor>
        </w:drawing>
      </w:r>
      <w:hyperlink w:anchor="page7">
        <w:r>
          <w:rPr>
            <w:rFonts w:ascii="Arial" w:cs="Arial" w:eastAsia="Arial" w:hAnsi="Arial"/>
            <w:sz w:val="15"/>
            <w:szCs w:val="15"/>
            <w:b w:val="1"/>
            <w:bCs w:val="1"/>
            <w:u w:val="single" w:color="auto"/>
            <w:color w:val="0000EE"/>
          </w:rPr>
          <w:t>Table of Contents</w:t>
        </w:r>
      </w:hyperlink>
    </w:p>
    <w:p>
      <w:pPr>
        <w:spacing w:after="0" w:line="256" w:lineRule="exact"/>
        <w:rPr>
          <w:sz w:val="20"/>
          <w:szCs w:val="20"/>
          <w:color w:val="auto"/>
        </w:rPr>
      </w:pPr>
    </w:p>
    <w:p>
      <w:pPr>
        <w:ind w:left="1120"/>
        <w:spacing w:after="0"/>
        <w:rPr>
          <w:sz w:val="20"/>
          <w:szCs w:val="20"/>
          <w:color w:val="auto"/>
        </w:rPr>
      </w:pPr>
      <w:r>
        <w:rPr>
          <w:rFonts w:ascii="Arial" w:cs="Arial" w:eastAsia="Arial" w:hAnsi="Arial"/>
          <w:sz w:val="15"/>
          <w:szCs w:val="15"/>
          <w:b w:val="1"/>
          <w:bCs w:val="1"/>
          <w:color w:val="auto"/>
        </w:rPr>
        <w:t>Voting Rights</w:t>
      </w:r>
    </w:p>
    <w:p>
      <w:pPr>
        <w:spacing w:after="0" w:line="102" w:lineRule="exact"/>
        <w:rPr>
          <w:sz w:val="20"/>
          <w:szCs w:val="20"/>
          <w:color w:val="auto"/>
        </w:rPr>
      </w:pPr>
    </w:p>
    <w:p>
      <w:pPr>
        <w:ind w:left="1120" w:right="20" w:firstLine="368"/>
        <w:spacing w:after="0" w:line="255" w:lineRule="auto"/>
        <w:rPr>
          <w:sz w:val="20"/>
          <w:szCs w:val="20"/>
          <w:color w:val="auto"/>
        </w:rPr>
      </w:pPr>
      <w:r>
        <w:rPr>
          <w:rFonts w:ascii="Arial" w:cs="Arial" w:eastAsia="Arial" w:hAnsi="Arial"/>
          <w:sz w:val="15"/>
          <w:szCs w:val="15"/>
          <w:color w:val="auto"/>
        </w:rPr>
        <w:t>Holders of our Class A common stock are entitled to one vote for each share held on all matters submitted to a vote of stockholders, holders of our Class B common stock are entitled to ten votes for each share held, and holders of our Class C common stock are not entitled to vote on any matter that is submitted to a vote of stockholders, except as otherwise required by law. The holders of our Class A common stock and Class B common stock vote together as a single class, unless otherwise required by law. Under our amended and restated certificate of incorporation, approval of the holders of a majority of the Class B common stock is required to increase the number of authorized shares of our Class B common stock. In addition, Delaware law could require either holders of our Class A common stock, our Class B common stock, or our Class C common stock to vote separately as a single class in the following circumstances:</w:t>
      </w:r>
    </w:p>
    <w:p>
      <w:pPr>
        <w:spacing w:after="0" w:line="82" w:lineRule="exact"/>
        <w:rPr>
          <w:sz w:val="20"/>
          <w:szCs w:val="20"/>
          <w:color w:val="auto"/>
        </w:rPr>
      </w:pPr>
    </w:p>
    <w:p>
      <w:pPr>
        <w:ind w:left="1840" w:right="180" w:hanging="276"/>
        <w:spacing w:after="0" w:line="275" w:lineRule="auto"/>
        <w:tabs>
          <w:tab w:leader="none" w:pos="1840" w:val="left"/>
        </w:tabs>
        <w:numPr>
          <w:ilvl w:val="0"/>
          <w:numId w:val="87"/>
        </w:numPr>
        <w:rPr>
          <w:rFonts w:ascii="Arial" w:cs="Arial" w:eastAsia="Arial" w:hAnsi="Arial"/>
          <w:sz w:val="15"/>
          <w:szCs w:val="15"/>
          <w:color w:val="auto"/>
        </w:rPr>
      </w:pPr>
      <w:r>
        <w:rPr>
          <w:rFonts w:ascii="Arial" w:cs="Arial" w:eastAsia="Arial" w:hAnsi="Arial"/>
          <w:sz w:val="15"/>
          <w:szCs w:val="15"/>
          <w:color w:val="auto"/>
        </w:rPr>
        <w:t>if we were to seek to amend our amended and restated certificate of incorporation to increase or decrease the par value of a class of stock, then that class would be required to vote separately to approve the proposed amendment; and</w:t>
      </w:r>
    </w:p>
    <w:p>
      <w:pPr>
        <w:spacing w:after="0" w:line="67" w:lineRule="exact"/>
        <w:rPr>
          <w:rFonts w:ascii="Arial" w:cs="Arial" w:eastAsia="Arial" w:hAnsi="Arial"/>
          <w:sz w:val="15"/>
          <w:szCs w:val="15"/>
          <w:color w:val="auto"/>
        </w:rPr>
      </w:pPr>
    </w:p>
    <w:p>
      <w:pPr>
        <w:ind w:left="1840" w:hanging="276"/>
        <w:spacing w:after="0" w:line="263" w:lineRule="auto"/>
        <w:tabs>
          <w:tab w:leader="none" w:pos="1840" w:val="left"/>
        </w:tabs>
        <w:numPr>
          <w:ilvl w:val="0"/>
          <w:numId w:val="87"/>
        </w:numPr>
        <w:rPr>
          <w:rFonts w:ascii="Arial" w:cs="Arial" w:eastAsia="Arial" w:hAnsi="Arial"/>
          <w:sz w:val="15"/>
          <w:szCs w:val="15"/>
          <w:color w:val="auto"/>
        </w:rPr>
      </w:pPr>
      <w:r>
        <w:rPr>
          <w:rFonts w:ascii="Arial" w:cs="Arial" w:eastAsia="Arial" w:hAnsi="Arial"/>
          <w:sz w:val="15"/>
          <w:szCs w:val="15"/>
          <w:color w:val="auto"/>
        </w:rPr>
        <w:t>if we were to seek to amend our amended and restated certificate of incorporation in a manner that alters or changes the powers, preferences, or special rights of a class of stock in a manner that affected its holders adversely, then that class would be required to vote separately to approve the proposed amendment.</w:t>
      </w:r>
    </w:p>
    <w:p>
      <w:pPr>
        <w:spacing w:after="0" w:line="155" w:lineRule="exact"/>
        <w:rPr>
          <w:sz w:val="20"/>
          <w:szCs w:val="20"/>
          <w:color w:val="auto"/>
        </w:rPr>
      </w:pPr>
    </w:p>
    <w:p>
      <w:pPr>
        <w:ind w:left="1480"/>
        <w:spacing w:after="0"/>
        <w:rPr>
          <w:sz w:val="20"/>
          <w:szCs w:val="20"/>
          <w:color w:val="auto"/>
        </w:rPr>
      </w:pPr>
      <w:r>
        <w:rPr>
          <w:rFonts w:ascii="Arial" w:cs="Arial" w:eastAsia="Arial" w:hAnsi="Arial"/>
          <w:sz w:val="15"/>
          <w:szCs w:val="15"/>
          <w:color w:val="auto"/>
        </w:rPr>
        <w:t>Until the Final Conversion Date, our Class B common stock will have the right to vote as a separate class to:</w:t>
      </w:r>
    </w:p>
    <w:p>
      <w:pPr>
        <w:spacing w:after="0" w:line="109" w:lineRule="exact"/>
        <w:rPr>
          <w:sz w:val="20"/>
          <w:szCs w:val="20"/>
          <w:color w:val="auto"/>
        </w:rPr>
      </w:pPr>
    </w:p>
    <w:p>
      <w:pPr>
        <w:ind w:left="1840" w:right="120" w:hanging="276"/>
        <w:spacing w:after="0" w:line="263" w:lineRule="auto"/>
        <w:tabs>
          <w:tab w:leader="none" w:pos="1840" w:val="left"/>
        </w:tabs>
        <w:numPr>
          <w:ilvl w:val="0"/>
          <w:numId w:val="88"/>
        </w:numPr>
        <w:rPr>
          <w:rFonts w:ascii="Arial" w:cs="Arial" w:eastAsia="Arial" w:hAnsi="Arial"/>
          <w:sz w:val="15"/>
          <w:szCs w:val="15"/>
          <w:color w:val="auto"/>
        </w:rPr>
      </w:pPr>
      <w:r>
        <w:rPr>
          <w:rFonts w:ascii="Arial" w:cs="Arial" w:eastAsia="Arial" w:hAnsi="Arial"/>
          <w:sz w:val="15"/>
          <w:szCs w:val="15"/>
          <w:color w:val="auto"/>
        </w:rPr>
        <w:t>amend or modify any provision of the amended and restated certificate of incorporation inconsistent with, or otherwise alter, any provision of amended and restated certificate of incorporation to modify the voting, conversion or other rights, powers, preferences, privileges or restrictions of the Class B common stock;</w:t>
      </w:r>
    </w:p>
    <w:p>
      <w:pPr>
        <w:spacing w:after="0" w:line="75" w:lineRule="exact"/>
        <w:rPr>
          <w:rFonts w:ascii="Arial" w:cs="Arial" w:eastAsia="Arial" w:hAnsi="Arial"/>
          <w:sz w:val="15"/>
          <w:szCs w:val="15"/>
          <w:color w:val="auto"/>
        </w:rPr>
      </w:pPr>
    </w:p>
    <w:p>
      <w:pPr>
        <w:jc w:val="both"/>
        <w:ind w:left="1840" w:hanging="276"/>
        <w:spacing w:after="0" w:line="322" w:lineRule="auto"/>
        <w:tabs>
          <w:tab w:leader="none" w:pos="1840" w:val="left"/>
        </w:tabs>
        <w:numPr>
          <w:ilvl w:val="0"/>
          <w:numId w:val="88"/>
        </w:numPr>
        <w:rPr>
          <w:rFonts w:ascii="Arial" w:cs="Arial" w:eastAsia="Arial" w:hAnsi="Arial"/>
          <w:sz w:val="13"/>
          <w:szCs w:val="13"/>
          <w:color w:val="auto"/>
        </w:rPr>
      </w:pPr>
      <w:r>
        <w:rPr>
          <w:rFonts w:ascii="Arial" w:cs="Arial" w:eastAsia="Arial" w:hAnsi="Arial"/>
          <w:sz w:val="13"/>
          <w:szCs w:val="13"/>
          <w:color w:val="auto"/>
        </w:rPr>
        <w:t>reclassify any outstanding shares of Class A common stock or Class C common stock into shares having rights as to dividends or liquidation that are senior to the Class B common stock or, in the case of Class A common stock, the right to have more than one (1) vote for each share thereof and, in the case of Class C common stock, the right to have any vote for any share thereof, except as required by law;</w:t>
      </w:r>
    </w:p>
    <w:p>
      <w:pPr>
        <w:spacing w:after="0" w:line="41" w:lineRule="exact"/>
        <w:rPr>
          <w:rFonts w:ascii="Arial" w:cs="Arial" w:eastAsia="Arial" w:hAnsi="Arial"/>
          <w:sz w:val="13"/>
          <w:szCs w:val="13"/>
          <w:color w:val="auto"/>
        </w:rPr>
      </w:pPr>
    </w:p>
    <w:p>
      <w:pPr>
        <w:ind w:left="1840" w:right="140" w:hanging="276"/>
        <w:spacing w:after="0" w:line="263" w:lineRule="auto"/>
        <w:tabs>
          <w:tab w:leader="none" w:pos="1840" w:val="left"/>
        </w:tabs>
        <w:numPr>
          <w:ilvl w:val="0"/>
          <w:numId w:val="88"/>
        </w:numPr>
        <w:rPr>
          <w:rFonts w:ascii="Arial" w:cs="Arial" w:eastAsia="Arial" w:hAnsi="Arial"/>
          <w:sz w:val="15"/>
          <w:szCs w:val="15"/>
          <w:color w:val="auto"/>
        </w:rPr>
      </w:pPr>
      <w:r>
        <w:rPr>
          <w:rFonts w:ascii="Arial" w:cs="Arial" w:eastAsia="Arial" w:hAnsi="Arial"/>
          <w:sz w:val="15"/>
          <w:szCs w:val="15"/>
          <w:color w:val="auto"/>
        </w:rPr>
        <w:t>issue any shares of Class B common stock (other than shares of Class B Common Stock originally issued after the date of this offering pursuant to the exercise or conversion of options or warrants or settlement of RSUs that, in each case, are outstanding as of the date of this offering);</w:t>
      </w:r>
    </w:p>
    <w:p>
      <w:pPr>
        <w:spacing w:after="0" w:line="75" w:lineRule="exact"/>
        <w:rPr>
          <w:rFonts w:ascii="Arial" w:cs="Arial" w:eastAsia="Arial" w:hAnsi="Arial"/>
          <w:sz w:val="15"/>
          <w:szCs w:val="15"/>
          <w:color w:val="auto"/>
        </w:rPr>
      </w:pPr>
    </w:p>
    <w:p>
      <w:pPr>
        <w:ind w:left="1840" w:right="100" w:hanging="276"/>
        <w:spacing w:after="0" w:line="275" w:lineRule="auto"/>
        <w:tabs>
          <w:tab w:leader="none" w:pos="1840" w:val="left"/>
        </w:tabs>
        <w:numPr>
          <w:ilvl w:val="0"/>
          <w:numId w:val="88"/>
        </w:numPr>
        <w:rPr>
          <w:rFonts w:ascii="Arial" w:cs="Arial" w:eastAsia="Arial" w:hAnsi="Arial"/>
          <w:sz w:val="15"/>
          <w:szCs w:val="15"/>
          <w:color w:val="auto"/>
        </w:rPr>
      </w:pPr>
      <w:r>
        <w:rPr>
          <w:rFonts w:ascii="Arial" w:cs="Arial" w:eastAsia="Arial" w:hAnsi="Arial"/>
          <w:sz w:val="15"/>
          <w:szCs w:val="15"/>
          <w:color w:val="auto"/>
        </w:rPr>
        <w:t>authorize, or issue any shares of, any class or series of capital stock of the Corporation having the right to more than (1) vote for each share thereof; or</w:t>
      </w:r>
    </w:p>
    <w:p>
      <w:pPr>
        <w:spacing w:after="0" w:line="67" w:lineRule="exact"/>
        <w:rPr>
          <w:rFonts w:ascii="Arial" w:cs="Arial" w:eastAsia="Arial" w:hAnsi="Arial"/>
          <w:sz w:val="15"/>
          <w:szCs w:val="15"/>
          <w:color w:val="auto"/>
        </w:rPr>
      </w:pPr>
    </w:p>
    <w:p>
      <w:pPr>
        <w:ind w:left="1840" w:hanging="276"/>
        <w:spacing w:after="0"/>
        <w:tabs>
          <w:tab w:leader="none" w:pos="1840" w:val="left"/>
        </w:tabs>
        <w:numPr>
          <w:ilvl w:val="0"/>
          <w:numId w:val="88"/>
        </w:numPr>
        <w:rPr>
          <w:rFonts w:ascii="Arial" w:cs="Arial" w:eastAsia="Arial" w:hAnsi="Arial"/>
          <w:sz w:val="15"/>
          <w:szCs w:val="15"/>
          <w:color w:val="auto"/>
        </w:rPr>
      </w:pPr>
      <w:r>
        <w:rPr>
          <w:rFonts w:ascii="Arial" w:cs="Arial" w:eastAsia="Arial" w:hAnsi="Arial"/>
          <w:sz w:val="15"/>
          <w:szCs w:val="15"/>
          <w:color w:val="auto"/>
        </w:rPr>
        <w:t>consummate a Liquidation Event (as defined in the amended and restated certificate of incorporation).</w:t>
      </w:r>
    </w:p>
    <w:p>
      <w:pPr>
        <w:spacing w:after="0" w:line="188" w:lineRule="exact"/>
        <w:rPr>
          <w:sz w:val="20"/>
          <w:szCs w:val="20"/>
          <w:color w:val="auto"/>
        </w:rPr>
      </w:pPr>
    </w:p>
    <w:p>
      <w:pPr>
        <w:ind w:left="1120" w:right="20" w:firstLine="368"/>
        <w:spacing w:after="0" w:line="255" w:lineRule="auto"/>
        <w:rPr>
          <w:sz w:val="20"/>
          <w:szCs w:val="20"/>
          <w:color w:val="auto"/>
        </w:rPr>
      </w:pPr>
      <w:r>
        <w:rPr>
          <w:rFonts w:ascii="Arial" w:cs="Arial" w:eastAsia="Arial" w:hAnsi="Arial"/>
          <w:sz w:val="15"/>
          <w:szCs w:val="15"/>
          <w:color w:val="auto"/>
        </w:rPr>
        <w:t>Our amended and restated certificate of incorporation and amended and restated bylaws that will be in effect at the closing of our initial public offering will provide that from and after the Voting Threshold Date, we will have a classified Board of Directors consisting of three classes of approximately equal size, each serving staggered three-year terms. Only the directors in one class will be subject to election by a plurality of the votes cast at each annual meeting of stockholders, with the directors in the other classes continuing for the remainder of their respective three-year terms. Until the Voting Threshold Date, our directors will be elected annually for one-year terms. Stockholders do not have the ability to cumulate votes for the election of directors.</w:t>
      </w:r>
    </w:p>
    <w:p>
      <w:pPr>
        <w:spacing w:after="0" w:line="250" w:lineRule="exact"/>
        <w:rPr>
          <w:sz w:val="20"/>
          <w:szCs w:val="20"/>
          <w:color w:val="auto"/>
        </w:rPr>
      </w:pPr>
    </w:p>
    <w:p>
      <w:pPr>
        <w:ind w:left="1120"/>
        <w:spacing w:after="0"/>
        <w:rPr>
          <w:sz w:val="20"/>
          <w:szCs w:val="20"/>
          <w:color w:val="auto"/>
        </w:rPr>
      </w:pPr>
      <w:r>
        <w:rPr>
          <w:rFonts w:ascii="Arial" w:cs="Arial" w:eastAsia="Arial" w:hAnsi="Arial"/>
          <w:sz w:val="15"/>
          <w:szCs w:val="15"/>
          <w:b w:val="1"/>
          <w:bCs w:val="1"/>
          <w:color w:val="auto"/>
        </w:rPr>
        <w:t>No Preemptive or Similar Rights</w:t>
      </w:r>
    </w:p>
    <w:p>
      <w:pPr>
        <w:spacing w:after="0" w:line="102" w:lineRule="exact"/>
        <w:rPr>
          <w:sz w:val="20"/>
          <w:szCs w:val="20"/>
          <w:color w:val="auto"/>
        </w:rPr>
      </w:pPr>
    </w:p>
    <w:p>
      <w:pPr>
        <w:ind w:left="1480"/>
        <w:spacing w:after="0"/>
        <w:rPr>
          <w:sz w:val="20"/>
          <w:szCs w:val="20"/>
          <w:color w:val="auto"/>
        </w:rPr>
      </w:pPr>
      <w:r>
        <w:rPr>
          <w:rFonts w:ascii="Arial" w:cs="Arial" w:eastAsia="Arial" w:hAnsi="Arial"/>
          <w:sz w:val="15"/>
          <w:szCs w:val="15"/>
          <w:color w:val="auto"/>
        </w:rPr>
        <w:t>Our common stock is not entitled to preemptive rights, and is not subject to conversion, redemption, or sinking fund provisions.</w:t>
      </w:r>
    </w:p>
    <w:p>
      <w:pPr>
        <w:spacing w:after="0" w:line="132" w:lineRule="exact"/>
        <w:rPr>
          <w:sz w:val="20"/>
          <w:szCs w:val="20"/>
          <w:color w:val="auto"/>
        </w:rPr>
      </w:pPr>
    </w:p>
    <w:p>
      <w:pPr>
        <w:ind w:left="5600"/>
        <w:spacing w:after="0"/>
        <w:rPr>
          <w:sz w:val="20"/>
          <w:szCs w:val="20"/>
          <w:color w:val="auto"/>
        </w:rPr>
      </w:pPr>
      <w:r>
        <w:rPr>
          <w:rFonts w:ascii="Arial" w:cs="Arial" w:eastAsia="Arial" w:hAnsi="Arial"/>
          <w:sz w:val="15"/>
          <w:szCs w:val="15"/>
          <w:color w:val="auto"/>
        </w:rPr>
        <w:t>170</w:t>
      </w:r>
    </w:p>
    <w:p>
      <w:pPr>
        <w:sectPr>
          <w:pgSz w:w="11900" w:h="16838" w:orient="portrait"/>
          <w:cols w:equalWidth="0" w:num="1">
            <w:col w:w="10300"/>
          </w:cols>
          <w:pgMar w:left="240" w:top="408" w:right="1359" w:bottom="1440" w:gutter="0" w:footer="0" w:header="0"/>
        </w:sectPr>
      </w:pPr>
    </w:p>
    <w:bookmarkStart w:id="177" w:name="page178"/>
    <w:bookmarkEnd w:id="177"/>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133350</wp:posOffset>
            </wp:positionH>
            <wp:positionV relativeFrom="page">
              <wp:posOffset>88900</wp:posOffset>
            </wp:positionV>
            <wp:extent cx="7308850" cy="3429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308850" cy="34290"/>
                    </a:xfrm>
                    <a:prstGeom prst="rect">
                      <a:avLst/>
                    </a:prstGeom>
                    <a:noFill/>
                  </pic:spPr>
                </pic:pic>
              </a:graphicData>
            </a:graphic>
          </wp:anchor>
        </w:drawing>
      </w:r>
      <w:hyperlink w:anchor="page7">
        <w:r>
          <w:rPr>
            <w:rFonts w:ascii="Arial" w:cs="Arial" w:eastAsia="Arial" w:hAnsi="Arial"/>
            <w:sz w:val="15"/>
            <w:szCs w:val="15"/>
            <w:b w:val="1"/>
            <w:bCs w:val="1"/>
            <w:u w:val="single" w:color="auto"/>
            <w:color w:val="0000EE"/>
          </w:rPr>
          <w:t>Table of Contents</w:t>
        </w:r>
      </w:hyperlink>
    </w:p>
    <w:p>
      <w:pPr>
        <w:spacing w:after="0" w:line="256" w:lineRule="exact"/>
        <w:rPr>
          <w:sz w:val="20"/>
          <w:szCs w:val="20"/>
          <w:color w:val="auto"/>
        </w:rPr>
      </w:pPr>
    </w:p>
    <w:p>
      <w:pPr>
        <w:ind w:left="1120"/>
        <w:spacing w:after="0"/>
        <w:rPr>
          <w:sz w:val="20"/>
          <w:szCs w:val="20"/>
          <w:color w:val="auto"/>
        </w:rPr>
      </w:pPr>
      <w:r>
        <w:rPr>
          <w:rFonts w:ascii="Arial" w:cs="Arial" w:eastAsia="Arial" w:hAnsi="Arial"/>
          <w:sz w:val="15"/>
          <w:szCs w:val="15"/>
          <w:b w:val="1"/>
          <w:bCs w:val="1"/>
          <w:color w:val="auto"/>
        </w:rPr>
        <w:t>Right to Receive Liquidation Distributions</w:t>
      </w:r>
    </w:p>
    <w:p>
      <w:pPr>
        <w:spacing w:after="0" w:line="102" w:lineRule="exact"/>
        <w:rPr>
          <w:sz w:val="20"/>
          <w:szCs w:val="20"/>
          <w:color w:val="auto"/>
        </w:rPr>
      </w:pPr>
    </w:p>
    <w:p>
      <w:pPr>
        <w:ind w:left="1120" w:right="120" w:firstLine="368"/>
        <w:spacing w:after="0" w:line="259" w:lineRule="auto"/>
        <w:rPr>
          <w:sz w:val="20"/>
          <w:szCs w:val="20"/>
          <w:color w:val="auto"/>
        </w:rPr>
      </w:pPr>
      <w:r>
        <w:rPr>
          <w:rFonts w:ascii="Arial" w:cs="Arial" w:eastAsia="Arial" w:hAnsi="Arial"/>
          <w:sz w:val="15"/>
          <w:szCs w:val="15"/>
          <w:color w:val="auto"/>
        </w:rPr>
        <w:t>If we become subject to a liquidation, dissolution, or winding-up, the assets legally available for distribution to our stockholders would be distributable ratably among the holders of our common stock and any participating preferred stock outstanding at that time, subject to prior satisfaction of all outstanding debt and liabilities and the preferential rights of and the payment of liquidation preferences, if any, on any outstanding shares of preferred stock.</w:t>
      </w:r>
    </w:p>
    <w:p>
      <w:pPr>
        <w:spacing w:after="0" w:line="244" w:lineRule="exact"/>
        <w:rPr>
          <w:sz w:val="20"/>
          <w:szCs w:val="20"/>
          <w:color w:val="auto"/>
        </w:rPr>
      </w:pPr>
    </w:p>
    <w:p>
      <w:pPr>
        <w:ind w:left="1120"/>
        <w:spacing w:after="0"/>
        <w:rPr>
          <w:sz w:val="20"/>
          <w:szCs w:val="20"/>
          <w:color w:val="auto"/>
        </w:rPr>
      </w:pPr>
      <w:r>
        <w:rPr>
          <w:rFonts w:ascii="Arial" w:cs="Arial" w:eastAsia="Arial" w:hAnsi="Arial"/>
          <w:sz w:val="15"/>
          <w:szCs w:val="15"/>
          <w:b w:val="1"/>
          <w:bCs w:val="1"/>
          <w:color w:val="auto"/>
        </w:rPr>
        <w:t>Conversion of Class B Common Stock</w:t>
      </w:r>
    </w:p>
    <w:p>
      <w:pPr>
        <w:spacing w:after="0" w:line="102" w:lineRule="exact"/>
        <w:rPr>
          <w:sz w:val="20"/>
          <w:szCs w:val="20"/>
          <w:color w:val="auto"/>
        </w:rPr>
      </w:pPr>
    </w:p>
    <w:p>
      <w:pPr>
        <w:ind w:left="1120" w:firstLine="368"/>
        <w:spacing w:after="0" w:line="272" w:lineRule="auto"/>
        <w:rPr>
          <w:sz w:val="20"/>
          <w:szCs w:val="20"/>
          <w:color w:val="auto"/>
        </w:rPr>
      </w:pPr>
      <w:r>
        <w:rPr>
          <w:rFonts w:ascii="Arial" w:cs="Arial" w:eastAsia="Arial" w:hAnsi="Arial"/>
          <w:sz w:val="14"/>
          <w:szCs w:val="14"/>
          <w:color w:val="auto"/>
        </w:rPr>
        <w:t>Each share of Class B common stock is convertible at any time at the option of the holder into one share of Class A common stock. Following the completion of this offering, shares of Class B common stock will automatically convert into shares of Class A common stock upon sale or transfer certain transfers described in our amended and restated certificate of incorporation, including estate planning transfers where sole dispositive power and exclusive voting control with respect to the shares of Class B common stock are retained by the transferring holder and transfers between our co-founders. In addition, each outstanding share of Class B common stock held by a stockholder who is a natural person, or held by the permitted entities and permitted transferees of such natural person (as described in our amended and restated certificate of incorporation), will convert automatically into one share of Class A common stock upon the death of such natural person. In the event of the death or permanent and total disability of a co-founder, shares of Class B common stock held by such co-founder, his permitted entities or permitted transferees will convert to Class A common stock, provided that the conversion will be deferred for nine months, or up to 18 months if approved by a majority of our independent directors, following his death or permanent and total and permanent disability. Transfers between our co-founders are permitted transfers and will not result in conversion of the shares of Class B common stock that are transferred; however, upon the death or total and permanent disability of the transferring co-founder, the transferred shares would convert to Class A common stock following the deferral period of nine months, or up to 18 months if approved by a majority of our independent directors.</w:t>
      </w:r>
    </w:p>
    <w:p>
      <w:pPr>
        <w:spacing w:after="0" w:line="154" w:lineRule="exact"/>
        <w:rPr>
          <w:sz w:val="20"/>
          <w:szCs w:val="20"/>
          <w:color w:val="auto"/>
        </w:rPr>
      </w:pPr>
    </w:p>
    <w:p>
      <w:pPr>
        <w:ind w:left="1120" w:right="20" w:firstLine="368"/>
        <w:spacing w:after="0" w:line="279" w:lineRule="auto"/>
        <w:rPr>
          <w:sz w:val="20"/>
          <w:szCs w:val="20"/>
          <w:color w:val="auto"/>
        </w:rPr>
      </w:pPr>
      <w:r>
        <w:rPr>
          <w:rFonts w:ascii="Arial" w:cs="Arial" w:eastAsia="Arial" w:hAnsi="Arial"/>
          <w:sz w:val="14"/>
          <w:szCs w:val="14"/>
          <w:color w:val="auto"/>
        </w:rPr>
        <w:t>Each share of Class B common stock will convert automatically into one share of Class A common stock upon (i) the date specified by affirmative vote of the holders of two-thirds of the then outstanding shares of Class B common stock, (ii) the date on which the outstanding shares of Class B common stock represent less than five percent of the aggregate number of shares of the then outstanding Class A common stock and Class B common stock, or (iii) nine months after the death or total disability of the last to die or become disabled of our co-founders, or such later date not to exceed a total period of 18 months after such death or disability as may be approved by a majority of our independent directors.</w:t>
      </w:r>
    </w:p>
    <w:p>
      <w:pPr>
        <w:spacing w:after="0" w:line="147" w:lineRule="exact"/>
        <w:rPr>
          <w:sz w:val="20"/>
          <w:szCs w:val="20"/>
          <w:color w:val="auto"/>
        </w:rPr>
      </w:pPr>
    </w:p>
    <w:p>
      <w:pPr>
        <w:ind w:left="1120" w:right="140" w:firstLine="368"/>
        <w:spacing w:after="0" w:line="275" w:lineRule="auto"/>
        <w:rPr>
          <w:sz w:val="20"/>
          <w:szCs w:val="20"/>
          <w:color w:val="auto"/>
        </w:rPr>
      </w:pPr>
      <w:r>
        <w:rPr>
          <w:rFonts w:ascii="Arial" w:cs="Arial" w:eastAsia="Arial" w:hAnsi="Arial"/>
          <w:sz w:val="15"/>
          <w:szCs w:val="15"/>
          <w:color w:val="auto"/>
        </w:rPr>
        <w:t>Additionally, pursuant to transfer agreements with certain of our stockholders, 2,609,951 shares of our Class B common stock will automatically convert into an equivalent number of shares of Class A common stock immediately prior to the completion of this offering.</w:t>
      </w:r>
    </w:p>
    <w:p>
      <w:pPr>
        <w:spacing w:after="0" w:line="232" w:lineRule="exact"/>
        <w:rPr>
          <w:sz w:val="20"/>
          <w:szCs w:val="20"/>
          <w:color w:val="auto"/>
        </w:rPr>
      </w:pPr>
    </w:p>
    <w:p>
      <w:pPr>
        <w:ind w:left="1120"/>
        <w:spacing w:after="0"/>
        <w:rPr>
          <w:sz w:val="20"/>
          <w:szCs w:val="20"/>
          <w:color w:val="auto"/>
        </w:rPr>
      </w:pPr>
      <w:r>
        <w:rPr>
          <w:rFonts w:ascii="Arial" w:cs="Arial" w:eastAsia="Arial" w:hAnsi="Arial"/>
          <w:sz w:val="15"/>
          <w:szCs w:val="15"/>
          <w:b w:val="1"/>
          <w:bCs w:val="1"/>
          <w:color w:val="auto"/>
        </w:rPr>
        <w:t>Conversion of Class C Common Stock</w:t>
      </w:r>
    </w:p>
    <w:p>
      <w:pPr>
        <w:spacing w:after="0" w:line="102" w:lineRule="exact"/>
        <w:rPr>
          <w:sz w:val="20"/>
          <w:szCs w:val="20"/>
          <w:color w:val="auto"/>
        </w:rPr>
      </w:pPr>
    </w:p>
    <w:p>
      <w:pPr>
        <w:jc w:val="both"/>
        <w:ind w:left="1120" w:right="180" w:firstLine="368"/>
        <w:spacing w:after="0" w:line="263" w:lineRule="auto"/>
        <w:rPr>
          <w:sz w:val="20"/>
          <w:szCs w:val="20"/>
          <w:color w:val="auto"/>
        </w:rPr>
      </w:pPr>
      <w:r>
        <w:rPr>
          <w:rFonts w:ascii="Arial" w:cs="Arial" w:eastAsia="Arial" w:hAnsi="Arial"/>
          <w:sz w:val="15"/>
          <w:szCs w:val="15"/>
          <w:color w:val="auto"/>
        </w:rPr>
        <w:t>Shares of Class C common stock will convert automatically into Class A common stock, on a share-for-share basis, following the conversion of all outstanding shares of Class B common stock into shares of Class A common stock, on the date or time specified by the holders of a majority of the outstanding shares of Class A common stock, voting as a separate class.</w:t>
      </w:r>
    </w:p>
    <w:p>
      <w:pPr>
        <w:spacing w:after="0" w:line="241" w:lineRule="exact"/>
        <w:rPr>
          <w:sz w:val="20"/>
          <w:szCs w:val="20"/>
          <w:color w:val="auto"/>
        </w:rPr>
      </w:pPr>
    </w:p>
    <w:p>
      <w:pPr>
        <w:ind w:left="1120"/>
        <w:spacing w:after="0"/>
        <w:rPr>
          <w:sz w:val="20"/>
          <w:szCs w:val="20"/>
          <w:color w:val="auto"/>
        </w:rPr>
      </w:pPr>
      <w:r>
        <w:rPr>
          <w:rFonts w:ascii="Arial" w:cs="Arial" w:eastAsia="Arial" w:hAnsi="Arial"/>
          <w:sz w:val="15"/>
          <w:szCs w:val="15"/>
          <w:b w:val="1"/>
          <w:bCs w:val="1"/>
          <w:color w:val="auto"/>
        </w:rPr>
        <w:t>Fully Paid and Non-Assessable</w:t>
      </w:r>
    </w:p>
    <w:p>
      <w:pPr>
        <w:spacing w:after="0" w:line="102" w:lineRule="exact"/>
        <w:rPr>
          <w:sz w:val="20"/>
          <w:szCs w:val="20"/>
          <w:color w:val="auto"/>
        </w:rPr>
      </w:pPr>
    </w:p>
    <w:p>
      <w:pPr>
        <w:ind w:left="1120" w:right="20" w:firstLine="368"/>
        <w:spacing w:after="0" w:line="275" w:lineRule="auto"/>
        <w:rPr>
          <w:sz w:val="20"/>
          <w:szCs w:val="20"/>
          <w:color w:val="auto"/>
        </w:rPr>
      </w:pPr>
      <w:r>
        <w:rPr>
          <w:rFonts w:ascii="Arial" w:cs="Arial" w:eastAsia="Arial" w:hAnsi="Arial"/>
          <w:sz w:val="15"/>
          <w:szCs w:val="15"/>
          <w:color w:val="auto"/>
        </w:rPr>
        <w:t>In connection with this offering, our legal counsel will opine that the shares of our Class A common stock to be issued in this offering will be fully paid and non-assessable.</w:t>
      </w:r>
    </w:p>
    <w:p>
      <w:pPr>
        <w:spacing w:after="0" w:line="90" w:lineRule="exact"/>
        <w:rPr>
          <w:sz w:val="20"/>
          <w:szCs w:val="20"/>
          <w:color w:val="auto"/>
        </w:rPr>
      </w:pPr>
    </w:p>
    <w:p>
      <w:pPr>
        <w:ind w:left="5600"/>
        <w:spacing w:after="0"/>
        <w:rPr>
          <w:sz w:val="20"/>
          <w:szCs w:val="20"/>
          <w:color w:val="auto"/>
        </w:rPr>
      </w:pPr>
      <w:r>
        <w:rPr>
          <w:rFonts w:ascii="Arial" w:cs="Arial" w:eastAsia="Arial" w:hAnsi="Arial"/>
          <w:sz w:val="15"/>
          <w:szCs w:val="15"/>
          <w:color w:val="auto"/>
        </w:rPr>
        <w:t>171</w:t>
      </w:r>
    </w:p>
    <w:p>
      <w:pPr>
        <w:sectPr>
          <w:pgSz w:w="11900" w:h="16838" w:orient="portrait"/>
          <w:cols w:equalWidth="0" w:num="1">
            <w:col w:w="10320"/>
          </w:cols>
          <w:pgMar w:left="240" w:top="407" w:right="1339" w:bottom="1440" w:gutter="0" w:footer="0" w:header="0"/>
        </w:sectPr>
      </w:pPr>
    </w:p>
    <w:bookmarkStart w:id="178" w:name="page179"/>
    <w:bookmarkEnd w:id="178"/>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133350</wp:posOffset>
            </wp:positionH>
            <wp:positionV relativeFrom="page">
              <wp:posOffset>88900</wp:posOffset>
            </wp:positionV>
            <wp:extent cx="7308850" cy="3429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308850" cy="34290"/>
                    </a:xfrm>
                    <a:prstGeom prst="rect">
                      <a:avLst/>
                    </a:prstGeom>
                    <a:noFill/>
                  </pic:spPr>
                </pic:pic>
              </a:graphicData>
            </a:graphic>
          </wp:anchor>
        </w:drawing>
      </w:r>
      <w:hyperlink w:anchor="page7">
        <w:r>
          <w:rPr>
            <w:rFonts w:ascii="Arial" w:cs="Arial" w:eastAsia="Arial" w:hAnsi="Arial"/>
            <w:sz w:val="15"/>
            <w:szCs w:val="15"/>
            <w:b w:val="1"/>
            <w:bCs w:val="1"/>
            <w:u w:val="single" w:color="auto"/>
            <w:color w:val="0000EE"/>
          </w:rPr>
          <w:t>Table of Contents</w:t>
        </w:r>
      </w:hyperlink>
    </w:p>
    <w:p>
      <w:pPr>
        <w:spacing w:after="0" w:line="256" w:lineRule="exact"/>
        <w:rPr>
          <w:sz w:val="20"/>
          <w:szCs w:val="20"/>
          <w:color w:val="auto"/>
        </w:rPr>
      </w:pPr>
    </w:p>
    <w:p>
      <w:pPr>
        <w:ind w:left="1120"/>
        <w:spacing w:after="0"/>
        <w:rPr>
          <w:sz w:val="20"/>
          <w:szCs w:val="20"/>
          <w:color w:val="auto"/>
        </w:rPr>
      </w:pPr>
      <w:r>
        <w:rPr>
          <w:rFonts w:ascii="Arial" w:cs="Arial" w:eastAsia="Arial" w:hAnsi="Arial"/>
          <w:sz w:val="15"/>
          <w:szCs w:val="15"/>
          <w:b w:val="1"/>
          <w:bCs w:val="1"/>
          <w:color w:val="auto"/>
        </w:rPr>
        <w:t>Preferred Stock</w:t>
      </w:r>
    </w:p>
    <w:p>
      <w:pPr>
        <w:spacing w:after="0" w:line="102" w:lineRule="exact"/>
        <w:rPr>
          <w:sz w:val="20"/>
          <w:szCs w:val="20"/>
          <w:color w:val="auto"/>
        </w:rPr>
      </w:pPr>
    </w:p>
    <w:p>
      <w:pPr>
        <w:ind w:left="1120" w:right="20" w:firstLine="368"/>
        <w:spacing w:after="0" w:line="274" w:lineRule="auto"/>
        <w:rPr>
          <w:sz w:val="20"/>
          <w:szCs w:val="20"/>
          <w:color w:val="auto"/>
        </w:rPr>
      </w:pPr>
      <w:r>
        <w:rPr>
          <w:rFonts w:ascii="Arial" w:cs="Arial" w:eastAsia="Arial" w:hAnsi="Arial"/>
          <w:sz w:val="14"/>
          <w:szCs w:val="14"/>
          <w:color w:val="auto"/>
        </w:rPr>
        <w:t>Our Board of Directors is authorized, subject to limitations prescribed by Delaware law, to issue preferred stock in one or more series, to establish from time to time the number of shares to be included in each series, and to fix the designation, powers, preferences, and rights of the shares of each series and any of its qualifications, limitations, or restrictions, in each case without further vote or action by our stockholders. Our Board of Directors can also increase or decrease the number of shares of any series of preferred stock, but not below the number of shares of that series then outstanding, without any further vote or action by our stockholders. Our Board of Directors may authorize the issuance of preferred stock with voting or conversion rights that could adversely affect the voting power or other rights of the holders of our common stock. The issuance of preferred stock, while providing flexibility in connection with possible acquisitions and other corporate purposes, could, among other things, have the effect of delaying, deferring, or preventing a change in control of our company and might adversely affect the market price of our common stock and the voting and other rights of the holders of our common stock. We have no current plan to issue any shares of preferred stock.</w:t>
      </w:r>
    </w:p>
    <w:p>
      <w:pPr>
        <w:spacing w:after="0" w:line="237" w:lineRule="exact"/>
        <w:rPr>
          <w:sz w:val="20"/>
          <w:szCs w:val="20"/>
          <w:color w:val="auto"/>
        </w:rPr>
      </w:pPr>
    </w:p>
    <w:p>
      <w:pPr>
        <w:ind w:left="1120"/>
        <w:spacing w:after="0"/>
        <w:rPr>
          <w:sz w:val="20"/>
          <w:szCs w:val="20"/>
          <w:color w:val="auto"/>
        </w:rPr>
      </w:pPr>
      <w:r>
        <w:rPr>
          <w:rFonts w:ascii="Arial" w:cs="Arial" w:eastAsia="Arial" w:hAnsi="Arial"/>
          <w:sz w:val="15"/>
          <w:szCs w:val="15"/>
          <w:b w:val="1"/>
          <w:bCs w:val="1"/>
          <w:color w:val="auto"/>
        </w:rPr>
        <w:t>RSAs</w:t>
      </w:r>
    </w:p>
    <w:p>
      <w:pPr>
        <w:spacing w:after="0" w:line="102" w:lineRule="exact"/>
        <w:rPr>
          <w:sz w:val="20"/>
          <w:szCs w:val="20"/>
          <w:color w:val="auto"/>
        </w:rPr>
      </w:pPr>
    </w:p>
    <w:p>
      <w:pPr>
        <w:ind w:left="1120" w:right="80" w:firstLine="368"/>
        <w:spacing w:after="0" w:line="283" w:lineRule="auto"/>
        <w:rPr>
          <w:sz w:val="20"/>
          <w:szCs w:val="20"/>
          <w:color w:val="auto"/>
        </w:rPr>
      </w:pPr>
      <w:r>
        <w:rPr>
          <w:rFonts w:ascii="Arial" w:cs="Arial" w:eastAsia="Arial" w:hAnsi="Arial"/>
          <w:sz w:val="14"/>
          <w:szCs w:val="14"/>
          <w:color w:val="auto"/>
        </w:rPr>
        <w:t>As of December 31, 2017, we had outstanding 14,733,333 shares of our Class A common stock subject to RSAs, which were granted pursuant to the Co-Founder Grants. The Co-Founder Grants vest upon the satisfaction of the service condition and achievement of certain stock price goals. These Co-Founder Grants provide the holders with certain stockholder rights, such as the right to vote the shares immediately upon grant and prior to their vesting. See “Executive Compensation—Co-Founder Restricted Stock Awards” for additional information.</w:t>
      </w:r>
    </w:p>
    <w:p>
      <w:pPr>
        <w:spacing w:after="0" w:line="229" w:lineRule="exact"/>
        <w:rPr>
          <w:sz w:val="20"/>
          <w:szCs w:val="20"/>
          <w:color w:val="auto"/>
        </w:rPr>
      </w:pPr>
    </w:p>
    <w:p>
      <w:pPr>
        <w:ind w:left="1120"/>
        <w:spacing w:after="0"/>
        <w:rPr>
          <w:sz w:val="20"/>
          <w:szCs w:val="20"/>
          <w:color w:val="auto"/>
        </w:rPr>
      </w:pPr>
      <w:r>
        <w:rPr>
          <w:rFonts w:ascii="Arial" w:cs="Arial" w:eastAsia="Arial" w:hAnsi="Arial"/>
          <w:sz w:val="15"/>
          <w:szCs w:val="15"/>
          <w:b w:val="1"/>
          <w:bCs w:val="1"/>
          <w:color w:val="auto"/>
        </w:rPr>
        <w:t>Options</w:t>
      </w:r>
    </w:p>
    <w:p>
      <w:pPr>
        <w:spacing w:after="0" w:line="102" w:lineRule="exact"/>
        <w:rPr>
          <w:sz w:val="20"/>
          <w:szCs w:val="20"/>
          <w:color w:val="auto"/>
        </w:rPr>
      </w:pPr>
    </w:p>
    <w:p>
      <w:pPr>
        <w:ind w:left="1120" w:right="520" w:firstLine="368"/>
        <w:spacing w:after="0" w:line="275" w:lineRule="auto"/>
        <w:rPr>
          <w:sz w:val="20"/>
          <w:szCs w:val="20"/>
          <w:color w:val="auto"/>
        </w:rPr>
      </w:pPr>
      <w:r>
        <w:rPr>
          <w:rFonts w:ascii="Arial" w:cs="Arial" w:eastAsia="Arial" w:hAnsi="Arial"/>
          <w:sz w:val="15"/>
          <w:szCs w:val="15"/>
          <w:color w:val="auto"/>
        </w:rPr>
        <w:t>As of December 31, 2017, we had outstanding options to purchase an aggregate of 4,959,492 shares of our Class B common stock, with a weighted-average exercise price of $10.52 per share, under our equity compensation plans.</w:t>
      </w:r>
    </w:p>
    <w:p>
      <w:pPr>
        <w:spacing w:after="0" w:line="232" w:lineRule="exact"/>
        <w:rPr>
          <w:sz w:val="20"/>
          <w:szCs w:val="20"/>
          <w:color w:val="auto"/>
        </w:rPr>
      </w:pPr>
    </w:p>
    <w:p>
      <w:pPr>
        <w:ind w:left="1120"/>
        <w:spacing w:after="0"/>
        <w:rPr>
          <w:sz w:val="20"/>
          <w:szCs w:val="20"/>
          <w:color w:val="auto"/>
        </w:rPr>
      </w:pPr>
      <w:r>
        <w:rPr>
          <w:rFonts w:ascii="Arial" w:cs="Arial" w:eastAsia="Arial" w:hAnsi="Arial"/>
          <w:sz w:val="15"/>
          <w:szCs w:val="15"/>
          <w:b w:val="1"/>
          <w:bCs w:val="1"/>
          <w:color w:val="auto"/>
        </w:rPr>
        <w:t>RSUs</w:t>
      </w:r>
    </w:p>
    <w:p>
      <w:pPr>
        <w:spacing w:after="0" w:line="102" w:lineRule="exact"/>
        <w:rPr>
          <w:sz w:val="20"/>
          <w:szCs w:val="20"/>
          <w:color w:val="auto"/>
        </w:rPr>
      </w:pPr>
    </w:p>
    <w:p>
      <w:pPr>
        <w:ind w:left="1120" w:firstLine="368"/>
        <w:spacing w:after="0" w:line="291" w:lineRule="auto"/>
        <w:rPr>
          <w:sz w:val="20"/>
          <w:szCs w:val="20"/>
          <w:color w:val="auto"/>
        </w:rPr>
      </w:pPr>
      <w:r>
        <w:rPr>
          <w:rFonts w:ascii="Arial" w:cs="Arial" w:eastAsia="Arial" w:hAnsi="Arial"/>
          <w:sz w:val="13"/>
          <w:szCs w:val="13"/>
          <w:color w:val="auto"/>
        </w:rPr>
        <w:t>As of December 31, 2017, we had outstanding 38,219,737 shares of our Class B common stock subject to RSUs under our 2008 Plan and 16,707,823 shares of our Class A common stock subject to RSUs under our 2017 Plan. RSUs granted on and after August 1, 2015, which we refer to as one-tier RSUs, generally vest upon the satisfaction of a service-based vesting condition. The service-based vesting condition generally is satisfied over a four-year period. 25% of the one-tier RSUs vest upon completion of one year of service measured from the vesting commencement date, and as to the balance in successive equal quarterly installments, subject to continued service through each such vesting date. Our RSUs granted prior to August 1, 2015, which we refer to as two-tier RSUs, generally vest upon the satisfaction of both a service-based vesting condition and the Performance Vesting Condition occurring before these two-tier RSUs expire. The service-based vesting condition generally is satisfied over a four-year period. 25% of the two-tier RSUs service-based vesting condition is satisfied upon completion of one year of service measured from the vesting commencement date, and the balance generally vests in successive equal monthly installments prior to the occurrence of the Performance Vesting Condition and in successive equal quarterly installments after the occurrence of the Performance Vesting Condition, but, in all cases, subject to continued service through each applicable vesting date. The Performance Vesting Condition occurs on the earlier of (i) an acquisition or change in control of us or (ii) the earlier of</w:t>
      </w:r>
    </w:p>
    <w:p>
      <w:pPr>
        <w:spacing w:after="0" w:line="1" w:lineRule="exact"/>
        <w:rPr>
          <w:sz w:val="20"/>
          <w:szCs w:val="20"/>
          <w:color w:val="auto"/>
        </w:rPr>
      </w:pPr>
    </w:p>
    <w:p>
      <w:pPr>
        <w:ind w:left="1120" w:hanging="8"/>
        <w:spacing w:after="0" w:line="253" w:lineRule="auto"/>
        <w:tabs>
          <w:tab w:leader="none" w:pos="1324" w:val="left"/>
        </w:tabs>
        <w:numPr>
          <w:ilvl w:val="0"/>
          <w:numId w:val="89"/>
        </w:numPr>
        <w:rPr>
          <w:rFonts w:ascii="Arial" w:cs="Arial" w:eastAsia="Arial" w:hAnsi="Arial"/>
          <w:sz w:val="15"/>
          <w:szCs w:val="15"/>
          <w:color w:val="auto"/>
        </w:rPr>
      </w:pPr>
      <w:r>
        <w:rPr>
          <w:rFonts w:ascii="Arial" w:cs="Arial" w:eastAsia="Arial" w:hAnsi="Arial"/>
          <w:sz w:val="15"/>
          <w:szCs w:val="15"/>
          <w:color w:val="auto"/>
        </w:rPr>
        <w:t>six months after our initial public offering or (b) March 15 of the year following our initial public offering. As a result of the September 2017 RSU Amendment, all RSUs were amended to provide that the quarterly dates for satisfying the service-based vesting condition shall be February 15, May 15, August 15, or November 15, each of which we refer to as a New Quarterly Date. This amendment will result in a partial acceleration of any RSUs that were scheduled to satisfy the service-based vesting condition on a date following a New Quarterly Date but before the next New Quarterly Date, such that these RSUs now will satisfy the service-based vesting condition</w:t>
      </w:r>
    </w:p>
    <w:p>
      <w:pPr>
        <w:spacing w:after="0" w:line="108" w:lineRule="exact"/>
        <w:rPr>
          <w:sz w:val="20"/>
          <w:szCs w:val="20"/>
          <w:color w:val="auto"/>
        </w:rPr>
      </w:pPr>
    </w:p>
    <w:p>
      <w:pPr>
        <w:ind w:left="5600"/>
        <w:spacing w:after="0"/>
        <w:rPr>
          <w:sz w:val="20"/>
          <w:szCs w:val="20"/>
          <w:color w:val="auto"/>
        </w:rPr>
      </w:pPr>
      <w:r>
        <w:rPr>
          <w:rFonts w:ascii="Arial" w:cs="Arial" w:eastAsia="Arial" w:hAnsi="Arial"/>
          <w:sz w:val="15"/>
          <w:szCs w:val="15"/>
          <w:color w:val="auto"/>
        </w:rPr>
        <w:t>172</w:t>
      </w:r>
    </w:p>
    <w:p>
      <w:pPr>
        <w:sectPr>
          <w:pgSz w:w="11900" w:h="16838" w:orient="portrait"/>
          <w:cols w:equalWidth="0" w:num="1">
            <w:col w:w="10280"/>
          </w:cols>
          <w:pgMar w:left="240" w:top="408" w:right="1379" w:bottom="1440" w:gutter="0" w:footer="0" w:header="0"/>
        </w:sectPr>
      </w:pPr>
    </w:p>
    <w:bookmarkStart w:id="179" w:name="page180"/>
    <w:bookmarkEnd w:id="179"/>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133350</wp:posOffset>
            </wp:positionH>
            <wp:positionV relativeFrom="page">
              <wp:posOffset>88900</wp:posOffset>
            </wp:positionV>
            <wp:extent cx="7308850" cy="3429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308850" cy="34290"/>
                    </a:xfrm>
                    <a:prstGeom prst="rect">
                      <a:avLst/>
                    </a:prstGeom>
                    <a:noFill/>
                  </pic:spPr>
                </pic:pic>
              </a:graphicData>
            </a:graphic>
          </wp:anchor>
        </w:drawing>
      </w:r>
      <w:hyperlink w:anchor="page7">
        <w:r>
          <w:rPr>
            <w:rFonts w:ascii="Arial" w:cs="Arial" w:eastAsia="Arial" w:hAnsi="Arial"/>
            <w:sz w:val="15"/>
            <w:szCs w:val="15"/>
            <w:b w:val="1"/>
            <w:bCs w:val="1"/>
            <w:u w:val="single" w:color="auto"/>
            <w:color w:val="0000EE"/>
          </w:rPr>
          <w:t>Table of Contents</w:t>
        </w:r>
      </w:hyperlink>
    </w:p>
    <w:p>
      <w:pPr>
        <w:spacing w:after="0" w:line="260" w:lineRule="exact"/>
        <w:rPr>
          <w:sz w:val="20"/>
          <w:szCs w:val="20"/>
          <w:color w:val="auto"/>
        </w:rPr>
      </w:pPr>
    </w:p>
    <w:p>
      <w:pPr>
        <w:ind w:left="1120" w:right="60"/>
        <w:spacing w:after="0" w:line="277" w:lineRule="auto"/>
        <w:rPr>
          <w:sz w:val="20"/>
          <w:szCs w:val="20"/>
          <w:color w:val="auto"/>
        </w:rPr>
      </w:pPr>
      <w:r>
        <w:rPr>
          <w:rFonts w:ascii="Arial" w:cs="Arial" w:eastAsia="Arial" w:hAnsi="Arial"/>
          <w:sz w:val="14"/>
          <w:szCs w:val="14"/>
          <w:color w:val="auto"/>
        </w:rPr>
        <w:t>on the first of those New Quarterly Dates. For one-tier RSUs, this amendment will be effective as of February 15, 2018, and for two-tier RSUs, this amendment will be effective as of the satisfaction of the Performance Vesting Condition. In addition, as a result of the September 2017 RSU Amendment, any two-tier RSUs that are scheduled to satisfy the service-based vesting condition on the first day of any month now will satisfy this condition on the 15th day of the prior month until the date that the Performance Vesting Condition is satisfied. Our Board of Directors has approved the acceleration of the Performance Vesting Condition associated with the two-tier RSUs to occur upon the effectiveness of the registration statement of which this prospectus forms a part. All other significant terms of the two-tier RSUs will remain unchanged.</w:t>
      </w:r>
    </w:p>
    <w:p>
      <w:pPr>
        <w:spacing w:after="0" w:line="235" w:lineRule="exact"/>
        <w:rPr>
          <w:sz w:val="20"/>
          <w:szCs w:val="20"/>
          <w:color w:val="auto"/>
        </w:rPr>
      </w:pPr>
    </w:p>
    <w:p>
      <w:pPr>
        <w:ind w:left="1120"/>
        <w:spacing w:after="0"/>
        <w:rPr>
          <w:sz w:val="20"/>
          <w:szCs w:val="20"/>
          <w:color w:val="auto"/>
        </w:rPr>
      </w:pPr>
      <w:r>
        <w:rPr>
          <w:rFonts w:ascii="Arial" w:cs="Arial" w:eastAsia="Arial" w:hAnsi="Arial"/>
          <w:sz w:val="15"/>
          <w:szCs w:val="15"/>
          <w:b w:val="1"/>
          <w:bCs w:val="1"/>
          <w:color w:val="auto"/>
        </w:rPr>
        <w:t>Voting Agreements</w:t>
      </w:r>
    </w:p>
    <w:p>
      <w:pPr>
        <w:spacing w:after="0" w:line="102" w:lineRule="exact"/>
        <w:rPr>
          <w:sz w:val="20"/>
          <w:szCs w:val="20"/>
          <w:color w:val="auto"/>
        </w:rPr>
      </w:pPr>
    </w:p>
    <w:p>
      <w:pPr>
        <w:ind w:left="1120" w:right="40" w:firstLine="368"/>
        <w:spacing w:after="0" w:line="305" w:lineRule="auto"/>
        <w:rPr>
          <w:sz w:val="20"/>
          <w:szCs w:val="20"/>
          <w:color w:val="auto"/>
        </w:rPr>
      </w:pPr>
      <w:r>
        <w:rPr>
          <w:rFonts w:ascii="Arial" w:cs="Arial" w:eastAsia="Arial" w:hAnsi="Arial"/>
          <w:sz w:val="13"/>
          <w:szCs w:val="13"/>
          <w:color w:val="auto"/>
        </w:rPr>
        <w:t>Prior to the effectiveness of our registration statement related to this offering, Mr. Houston and Mr. Ferdowsi are expected to enter into voting agreements with certain of our stockholders, which voting agreements will remain in effect after the completion of this offering. These voting agreements may cover an aggregate of up to 7% of the voting power of our outstanding capital stock after our initial public offering and the concurrent private placement. We are not a party to these voting agreements. Under these voting agreements, the proxyholder, either Mr. Houston or Mr. Ferdowsi, has the authority (and irrevocable proxy) to direct the vote and vote these shares at his discretion on all matters to be voted upon by stockholders.</w:t>
      </w:r>
    </w:p>
    <w:p>
      <w:pPr>
        <w:spacing w:after="0" w:line="133" w:lineRule="exact"/>
        <w:rPr>
          <w:sz w:val="20"/>
          <w:szCs w:val="20"/>
          <w:color w:val="auto"/>
        </w:rPr>
      </w:pPr>
    </w:p>
    <w:p>
      <w:pPr>
        <w:ind w:left="1120" w:right="60" w:firstLine="368"/>
        <w:spacing w:after="0" w:line="255" w:lineRule="auto"/>
        <w:rPr>
          <w:sz w:val="20"/>
          <w:szCs w:val="20"/>
          <w:color w:val="auto"/>
        </w:rPr>
      </w:pPr>
      <w:r>
        <w:rPr>
          <w:rFonts w:ascii="Arial" w:cs="Arial" w:eastAsia="Arial" w:hAnsi="Arial"/>
          <w:sz w:val="15"/>
          <w:szCs w:val="15"/>
          <w:color w:val="auto"/>
        </w:rPr>
        <w:t>Shares subject to the voting agreements will no longer be subject to the provisions of the voting agreement if an investor sells, transfers, assigns, pledges, or otherwise disposes of or encumbers the shares subject to the voting agreements after the completion of our initial public offering, except for permitted transfers under the amended and restated certificate of incorporation. The voting agreements will terminate on our dissolution, the express written consent of the proxyholder, the date on which the Final Conversion Date occurs as a result of the death or disability of both Mr. Houston and Mr. Ferdowsi or the date on which the stockholder and any of such stockholder’s permitted transferees ceases to own any of the shares subject to the applicable voting agreement.</w:t>
      </w:r>
    </w:p>
    <w:p>
      <w:pPr>
        <w:spacing w:after="0" w:line="250" w:lineRule="exact"/>
        <w:rPr>
          <w:sz w:val="20"/>
          <w:szCs w:val="20"/>
          <w:color w:val="auto"/>
        </w:rPr>
      </w:pPr>
    </w:p>
    <w:p>
      <w:pPr>
        <w:ind w:left="1120"/>
        <w:spacing w:after="0"/>
        <w:rPr>
          <w:sz w:val="20"/>
          <w:szCs w:val="20"/>
          <w:color w:val="auto"/>
        </w:rPr>
      </w:pPr>
      <w:r>
        <w:rPr>
          <w:rFonts w:ascii="Arial" w:cs="Arial" w:eastAsia="Arial" w:hAnsi="Arial"/>
          <w:sz w:val="15"/>
          <w:szCs w:val="15"/>
          <w:b w:val="1"/>
          <w:bCs w:val="1"/>
          <w:color w:val="auto"/>
        </w:rPr>
        <w:t>Registration Rights</w:t>
      </w:r>
    </w:p>
    <w:p>
      <w:pPr>
        <w:spacing w:after="0" w:line="102" w:lineRule="exact"/>
        <w:rPr>
          <w:sz w:val="20"/>
          <w:szCs w:val="20"/>
          <w:color w:val="auto"/>
        </w:rPr>
      </w:pPr>
    </w:p>
    <w:p>
      <w:pPr>
        <w:ind w:left="1120" w:firstLine="368"/>
        <w:spacing w:after="0" w:line="272" w:lineRule="auto"/>
        <w:rPr>
          <w:sz w:val="20"/>
          <w:szCs w:val="20"/>
          <w:color w:val="auto"/>
        </w:rPr>
      </w:pPr>
      <w:r>
        <w:rPr>
          <w:rFonts w:ascii="Arial" w:cs="Arial" w:eastAsia="Arial" w:hAnsi="Arial"/>
          <w:sz w:val="14"/>
          <w:szCs w:val="14"/>
          <w:color w:val="auto"/>
        </w:rPr>
        <w:t>After the completion of this offering and the concurrent private placement, certain holders of our Class B common stock will be entitled to rights with respect to the registration of their shares under the Securities Act. These registration rights are contained in our IRA. We and certain holders of our preferred stock are parties to the IRA. Immediately prior to the completion of this offering and the concurrent private placement, each share of outstanding preferred stock will convert automatically into one share of Class B common stock. The registration rights set forth in the IRA will expire five years following the completion of this offering, or, with respect to any particular stockholder, when such stockholder is able to sell all of its shares on any one day pursuant to Rule 144 of the Securities Act or a similar exemption. We will pay the registration expenses (other than underwriting discounts, selling commissions, and transfer taxes) of the holders of the shares registered pursuant to the registrations described below. In an underwritten offering, the managing underwriter, if any, has the right, subject to specified conditions, to limit the number of shares such holders may include. We expect that our stockholders will waive their rights under the IRA (i) to notice of this offering and (ii) to include their registrable shares in this offering. In addition, in connection with this offering, we expect that each stockholder that has registration rights will agree not to sell or otherwise dispose of any securities without the prior written consent of the company and the underwriters for a period of 180 days after the date of this prospectus, subject to certain terms and conditions and early release of certain holders in specified circumstances. See the section titled “Shares Eligible for Future Sale—Lock-Up and Market Standoff Agreements” for additional information regarding such restrictions.</w:t>
      </w:r>
    </w:p>
    <w:p>
      <w:pPr>
        <w:spacing w:after="0" w:line="241" w:lineRule="exact"/>
        <w:rPr>
          <w:sz w:val="20"/>
          <w:szCs w:val="20"/>
          <w:color w:val="auto"/>
        </w:rPr>
      </w:pPr>
    </w:p>
    <w:p>
      <w:pPr>
        <w:ind w:left="1120"/>
        <w:spacing w:after="0"/>
        <w:rPr>
          <w:sz w:val="20"/>
          <w:szCs w:val="20"/>
          <w:color w:val="auto"/>
        </w:rPr>
      </w:pPr>
      <w:r>
        <w:rPr>
          <w:rFonts w:ascii="Arial" w:cs="Arial" w:eastAsia="Arial" w:hAnsi="Arial"/>
          <w:sz w:val="15"/>
          <w:szCs w:val="15"/>
          <w:b w:val="1"/>
          <w:bCs w:val="1"/>
          <w:color w:val="auto"/>
        </w:rPr>
        <w:t>Demand Registration Rights</w:t>
      </w:r>
    </w:p>
    <w:p>
      <w:pPr>
        <w:spacing w:after="0" w:line="102" w:lineRule="exact"/>
        <w:rPr>
          <w:sz w:val="20"/>
          <w:szCs w:val="20"/>
          <w:color w:val="auto"/>
        </w:rPr>
      </w:pPr>
    </w:p>
    <w:p>
      <w:pPr>
        <w:ind w:left="1120" w:right="80" w:firstLine="368"/>
        <w:spacing w:after="0" w:line="263" w:lineRule="auto"/>
        <w:rPr>
          <w:sz w:val="20"/>
          <w:szCs w:val="20"/>
          <w:color w:val="auto"/>
        </w:rPr>
      </w:pPr>
      <w:r>
        <w:rPr>
          <w:rFonts w:ascii="Arial" w:cs="Arial" w:eastAsia="Arial" w:hAnsi="Arial"/>
          <w:sz w:val="15"/>
          <w:szCs w:val="15"/>
          <w:color w:val="auto"/>
        </w:rPr>
        <w:t>After the completion of this offering and the concurrent private placement, the holders of up to 144,907,822 shares of our Class B common stock and 5,521,778 shares of our Class A common stock will be entitled to certain demand registration rights. At any time beginning six months after the effective date of this</w:t>
      </w:r>
    </w:p>
    <w:p>
      <w:pPr>
        <w:spacing w:after="0" w:line="98" w:lineRule="exact"/>
        <w:rPr>
          <w:sz w:val="20"/>
          <w:szCs w:val="20"/>
          <w:color w:val="auto"/>
        </w:rPr>
      </w:pPr>
    </w:p>
    <w:p>
      <w:pPr>
        <w:ind w:left="5600"/>
        <w:spacing w:after="0"/>
        <w:rPr>
          <w:sz w:val="20"/>
          <w:szCs w:val="20"/>
          <w:color w:val="auto"/>
        </w:rPr>
      </w:pPr>
      <w:r>
        <w:rPr>
          <w:rFonts w:ascii="Arial" w:cs="Arial" w:eastAsia="Arial" w:hAnsi="Arial"/>
          <w:sz w:val="15"/>
          <w:szCs w:val="15"/>
          <w:color w:val="auto"/>
        </w:rPr>
        <w:t>173</w:t>
      </w:r>
    </w:p>
    <w:p>
      <w:pPr>
        <w:sectPr>
          <w:pgSz w:w="11900" w:h="16838" w:orient="portrait"/>
          <w:cols w:equalWidth="0" w:num="1">
            <w:col w:w="10280"/>
          </w:cols>
          <w:pgMar w:left="240" w:top="408" w:right="1379" w:bottom="1440" w:gutter="0" w:footer="0" w:header="0"/>
        </w:sectPr>
      </w:pPr>
    </w:p>
    <w:bookmarkStart w:id="180" w:name="page181"/>
    <w:bookmarkEnd w:id="180"/>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133350</wp:posOffset>
            </wp:positionH>
            <wp:positionV relativeFrom="page">
              <wp:posOffset>88900</wp:posOffset>
            </wp:positionV>
            <wp:extent cx="7308850" cy="3429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308850" cy="34290"/>
                    </a:xfrm>
                    <a:prstGeom prst="rect">
                      <a:avLst/>
                    </a:prstGeom>
                    <a:noFill/>
                  </pic:spPr>
                </pic:pic>
              </a:graphicData>
            </a:graphic>
          </wp:anchor>
        </w:drawing>
      </w:r>
      <w:hyperlink w:anchor="page7">
        <w:r>
          <w:rPr>
            <w:rFonts w:ascii="Arial" w:cs="Arial" w:eastAsia="Arial" w:hAnsi="Arial"/>
            <w:sz w:val="15"/>
            <w:szCs w:val="15"/>
            <w:b w:val="1"/>
            <w:bCs w:val="1"/>
            <w:u w:val="single" w:color="auto"/>
            <w:color w:val="0000EE"/>
          </w:rPr>
          <w:t>Table of Contents</w:t>
        </w:r>
      </w:hyperlink>
    </w:p>
    <w:p>
      <w:pPr>
        <w:spacing w:after="0" w:line="260" w:lineRule="exact"/>
        <w:rPr>
          <w:sz w:val="20"/>
          <w:szCs w:val="20"/>
          <w:color w:val="auto"/>
        </w:rPr>
      </w:pPr>
    </w:p>
    <w:p>
      <w:pPr>
        <w:ind w:left="1120"/>
        <w:spacing w:after="0"/>
        <w:rPr>
          <w:sz w:val="20"/>
          <w:szCs w:val="20"/>
          <w:color w:val="auto"/>
        </w:rPr>
      </w:pPr>
      <w:r>
        <w:rPr>
          <w:rFonts w:ascii="Arial" w:cs="Arial" w:eastAsia="Arial" w:hAnsi="Arial"/>
          <w:sz w:val="13"/>
          <w:szCs w:val="13"/>
          <w:color w:val="auto"/>
        </w:rPr>
        <w:t>offering, the holders of at least 40% of these shares then outstanding can request that we register the offer and sale of their shares, or such request must</w:t>
      </w:r>
    </w:p>
    <w:p>
      <w:pPr>
        <w:spacing w:after="0" w:line="40" w:lineRule="exact"/>
        <w:rPr>
          <w:sz w:val="20"/>
          <w:szCs w:val="20"/>
          <w:color w:val="auto"/>
        </w:rPr>
      </w:pPr>
    </w:p>
    <w:p>
      <w:pPr>
        <w:ind w:left="1120"/>
        <w:spacing w:after="0"/>
        <w:rPr>
          <w:sz w:val="20"/>
          <w:szCs w:val="20"/>
          <w:color w:val="auto"/>
        </w:rPr>
      </w:pPr>
      <w:r>
        <w:rPr>
          <w:rFonts w:ascii="Arial" w:cs="Arial" w:eastAsia="Arial" w:hAnsi="Arial"/>
          <w:sz w:val="14"/>
          <w:szCs w:val="14"/>
          <w:color w:val="auto"/>
        </w:rPr>
        <w:t>cover securities in which the anticipated aggregate public offering price, before payment of underwriting discounts and commissions, is at least</w:t>
      </w:r>
    </w:p>
    <w:p>
      <w:pPr>
        <w:spacing w:after="0" w:line="19" w:lineRule="exact"/>
        <w:rPr>
          <w:sz w:val="20"/>
          <w:szCs w:val="20"/>
          <w:color w:val="auto"/>
        </w:rPr>
      </w:pPr>
    </w:p>
    <w:p>
      <w:pPr>
        <w:ind w:left="1120"/>
        <w:spacing w:after="0"/>
        <w:rPr>
          <w:sz w:val="20"/>
          <w:szCs w:val="20"/>
          <w:color w:val="auto"/>
        </w:rPr>
      </w:pPr>
      <w:r>
        <w:rPr>
          <w:rFonts w:ascii="Arial" w:cs="Arial" w:eastAsia="Arial" w:hAnsi="Arial"/>
          <w:sz w:val="13"/>
          <w:szCs w:val="13"/>
          <w:color w:val="auto"/>
        </w:rPr>
        <w:t>$10,000,000. We are obligated to effect only two such registrations. If we determine that it would be seriously detrimental to us and our stockholders to</w:t>
      </w:r>
    </w:p>
    <w:p>
      <w:pPr>
        <w:spacing w:after="0" w:line="31" w:lineRule="exact"/>
        <w:rPr>
          <w:sz w:val="20"/>
          <w:szCs w:val="20"/>
          <w:color w:val="auto"/>
        </w:rPr>
      </w:pPr>
    </w:p>
    <w:p>
      <w:pPr>
        <w:ind w:left="1120"/>
        <w:spacing w:after="0"/>
        <w:rPr>
          <w:sz w:val="20"/>
          <w:szCs w:val="20"/>
          <w:color w:val="auto"/>
        </w:rPr>
      </w:pPr>
      <w:r>
        <w:rPr>
          <w:rFonts w:ascii="Arial" w:cs="Arial" w:eastAsia="Arial" w:hAnsi="Arial"/>
          <w:sz w:val="13"/>
          <w:szCs w:val="13"/>
          <w:color w:val="auto"/>
        </w:rPr>
        <w:t>effect such a demand registration, we have the right to defer such registration, not more than once in any 12-month period, for a period of up to 120</w:t>
      </w:r>
    </w:p>
    <w:p>
      <w:pPr>
        <w:spacing w:after="0" w:line="31" w:lineRule="exact"/>
        <w:rPr>
          <w:sz w:val="20"/>
          <w:szCs w:val="20"/>
          <w:color w:val="auto"/>
        </w:rPr>
      </w:pPr>
    </w:p>
    <w:p>
      <w:pPr>
        <w:ind w:left="1120"/>
        <w:spacing w:after="0"/>
        <w:rPr>
          <w:sz w:val="20"/>
          <w:szCs w:val="20"/>
          <w:color w:val="auto"/>
        </w:rPr>
      </w:pPr>
      <w:r>
        <w:rPr>
          <w:rFonts w:ascii="Arial" w:cs="Arial" w:eastAsia="Arial" w:hAnsi="Arial"/>
          <w:sz w:val="15"/>
          <w:szCs w:val="15"/>
          <w:color w:val="auto"/>
        </w:rPr>
        <w:t>days.</w:t>
      </w:r>
    </w:p>
    <w:p>
      <w:pPr>
        <w:spacing w:after="0" w:line="265" w:lineRule="exact"/>
        <w:rPr>
          <w:sz w:val="20"/>
          <w:szCs w:val="20"/>
          <w:color w:val="auto"/>
        </w:rPr>
      </w:pPr>
    </w:p>
    <w:p>
      <w:pPr>
        <w:ind w:left="1120"/>
        <w:spacing w:after="0"/>
        <w:rPr>
          <w:sz w:val="20"/>
          <w:szCs w:val="20"/>
          <w:color w:val="auto"/>
        </w:rPr>
      </w:pPr>
      <w:r>
        <w:rPr>
          <w:rFonts w:ascii="Arial" w:cs="Arial" w:eastAsia="Arial" w:hAnsi="Arial"/>
          <w:sz w:val="15"/>
          <w:szCs w:val="15"/>
          <w:b w:val="1"/>
          <w:bCs w:val="1"/>
          <w:color w:val="auto"/>
        </w:rPr>
        <w:t>Piggyback Registration Rights</w:t>
      </w:r>
    </w:p>
    <w:p>
      <w:pPr>
        <w:spacing w:after="0" w:line="102" w:lineRule="exact"/>
        <w:rPr>
          <w:sz w:val="20"/>
          <w:szCs w:val="20"/>
          <w:color w:val="auto"/>
        </w:rPr>
      </w:pPr>
    </w:p>
    <w:p>
      <w:pPr>
        <w:ind w:left="1120" w:firstLine="368"/>
        <w:spacing w:after="0" w:line="273" w:lineRule="auto"/>
        <w:rPr>
          <w:sz w:val="20"/>
          <w:szCs w:val="20"/>
          <w:color w:val="auto"/>
        </w:rPr>
      </w:pPr>
      <w:r>
        <w:rPr>
          <w:rFonts w:ascii="Arial" w:cs="Arial" w:eastAsia="Arial" w:hAnsi="Arial"/>
          <w:sz w:val="14"/>
          <w:szCs w:val="14"/>
          <w:color w:val="auto"/>
        </w:rPr>
        <w:t>After the completion of this offering and the concurrent private placement, if we propose to register the offer and sale of our Class A common stock under the Securities Act, in connection with the public offering of such Class A common stock, the holders of up to 144,907,822 shares of our Class B common stock and 5,521,778 shares of our Class A common stock will be entitled to certain “piggyback” registration rights allowing the holders to include their shares in such registration, subject to certain marketing and other limitations. As a result, whenever we propose to file a registration statement under the Securities Act, other than with respect to (1) a registration in which the only Class A common stock being registered is Class A common stock issuable upon conversion of debt securities that are also being registered, (2) a registration related to any employee benefit plan or a corporate reorganization or other transaction covered by Rule 145 promulgated under the Securities Act, or (3) a registration on any registration form which does not permit secondary sales or does not include substantially the same information as would be required to be included in a registration statement covering the public offering of our Class A common stock, the holders of these shares are entitled to notice of the registration and have the right, subject to certain limitations, to include their shares in the registration.</w:t>
      </w:r>
    </w:p>
    <w:p>
      <w:pPr>
        <w:spacing w:after="0" w:line="240" w:lineRule="exact"/>
        <w:rPr>
          <w:sz w:val="20"/>
          <w:szCs w:val="20"/>
          <w:color w:val="auto"/>
        </w:rPr>
      </w:pPr>
    </w:p>
    <w:p>
      <w:pPr>
        <w:ind w:left="1120"/>
        <w:spacing w:after="0"/>
        <w:rPr>
          <w:sz w:val="20"/>
          <w:szCs w:val="20"/>
          <w:color w:val="auto"/>
        </w:rPr>
      </w:pPr>
      <w:r>
        <w:rPr>
          <w:rFonts w:ascii="Arial" w:cs="Arial" w:eastAsia="Arial" w:hAnsi="Arial"/>
          <w:sz w:val="15"/>
          <w:szCs w:val="15"/>
          <w:b w:val="1"/>
          <w:bCs w:val="1"/>
          <w:color w:val="auto"/>
        </w:rPr>
        <w:t>S-3 Registration Rights</w:t>
      </w:r>
    </w:p>
    <w:p>
      <w:pPr>
        <w:spacing w:after="0" w:line="102" w:lineRule="exact"/>
        <w:rPr>
          <w:sz w:val="20"/>
          <w:szCs w:val="20"/>
          <w:color w:val="auto"/>
        </w:rPr>
      </w:pPr>
    </w:p>
    <w:p>
      <w:pPr>
        <w:ind w:left="1120" w:firstLine="368"/>
        <w:spacing w:after="0" w:line="254" w:lineRule="auto"/>
        <w:rPr>
          <w:sz w:val="20"/>
          <w:szCs w:val="20"/>
          <w:color w:val="auto"/>
        </w:rPr>
      </w:pPr>
      <w:r>
        <w:rPr>
          <w:rFonts w:ascii="Arial" w:cs="Arial" w:eastAsia="Arial" w:hAnsi="Arial"/>
          <w:sz w:val="15"/>
          <w:szCs w:val="15"/>
          <w:color w:val="auto"/>
        </w:rPr>
        <w:t>After the completion of this offering and the concurrent private placement, the holders of up to 144,907,822 shares of our Class B common stock and 5,521,778 shares of our Class A common stock will be entitled to certain Form S-3 registration rights. The holders of at least 40% of these shares then outstanding may make a written request that we register the offer and sale of their shares on a registration statement on Form S-3 if we are eligible to file a registration statement on Form S-3 so long as the request covers securities the anticipated aggregate public offering price of which, before payment of underwriting discounts and commissions, is at least $3,000,000. These stockholders may make an unlimited number of requests for registration on Form S-3; however, we will not be required to effect a registration on Form S-3 if we have effected two such registrations within the 12-month period preceding the date of the request. Additionally, if we determine that it would be seriously detrimental to the Company and our stockholders to effect such a registration, we have the right to defer such registration, not more than once in any 12-month period, for a period of up to 120 days.</w:t>
      </w:r>
    </w:p>
    <w:p>
      <w:pPr>
        <w:spacing w:after="0" w:line="248" w:lineRule="exact"/>
        <w:rPr>
          <w:sz w:val="20"/>
          <w:szCs w:val="20"/>
          <w:color w:val="auto"/>
        </w:rPr>
      </w:pPr>
    </w:p>
    <w:p>
      <w:pPr>
        <w:ind w:left="1120"/>
        <w:spacing w:after="0"/>
        <w:rPr>
          <w:sz w:val="20"/>
          <w:szCs w:val="20"/>
          <w:color w:val="auto"/>
        </w:rPr>
      </w:pPr>
      <w:r>
        <w:rPr>
          <w:rFonts w:ascii="Arial" w:cs="Arial" w:eastAsia="Arial" w:hAnsi="Arial"/>
          <w:sz w:val="15"/>
          <w:szCs w:val="15"/>
          <w:b w:val="1"/>
          <w:bCs w:val="1"/>
          <w:color w:val="auto"/>
        </w:rPr>
        <w:t>Anti-Takeover Provisions</w:t>
      </w:r>
    </w:p>
    <w:p>
      <w:pPr>
        <w:spacing w:after="0" w:line="102" w:lineRule="exact"/>
        <w:rPr>
          <w:sz w:val="20"/>
          <w:szCs w:val="20"/>
          <w:color w:val="auto"/>
        </w:rPr>
      </w:pPr>
    </w:p>
    <w:p>
      <w:pPr>
        <w:ind w:left="1120" w:right="60" w:firstLine="368"/>
        <w:spacing w:after="0" w:line="279" w:lineRule="auto"/>
        <w:rPr>
          <w:sz w:val="20"/>
          <w:szCs w:val="20"/>
          <w:color w:val="auto"/>
        </w:rPr>
      </w:pPr>
      <w:r>
        <w:rPr>
          <w:rFonts w:ascii="Arial" w:cs="Arial" w:eastAsia="Arial" w:hAnsi="Arial"/>
          <w:sz w:val="14"/>
          <w:szCs w:val="14"/>
          <w:color w:val="auto"/>
        </w:rPr>
        <w:t>Certain provisions of Delaware law, our amended and restated certificate of incorporation, and our amended and restated bylaws, which are summarized below, may have the effect of delaying, deferring, or discouraging another person from acquiring control of us. They are also designed, in part, to encourage persons seeking to acquire control of us to negotiate first with our Board of Directors. We believe that the benefits of increased protection of our potential ability to negotiate with an unfriendly or unsolicited acquirer outweigh the disadvantages of discouraging a proposal to acquire us because negotiation of these proposals could result in an improvement of their terms.</w:t>
      </w:r>
    </w:p>
    <w:p>
      <w:pPr>
        <w:spacing w:after="0" w:line="233" w:lineRule="exact"/>
        <w:rPr>
          <w:sz w:val="20"/>
          <w:szCs w:val="20"/>
          <w:color w:val="auto"/>
        </w:rPr>
      </w:pPr>
    </w:p>
    <w:p>
      <w:pPr>
        <w:ind w:left="1120"/>
        <w:spacing w:after="0"/>
        <w:rPr>
          <w:sz w:val="20"/>
          <w:szCs w:val="20"/>
          <w:color w:val="auto"/>
        </w:rPr>
      </w:pPr>
      <w:r>
        <w:rPr>
          <w:rFonts w:ascii="Arial" w:cs="Arial" w:eastAsia="Arial" w:hAnsi="Arial"/>
          <w:sz w:val="15"/>
          <w:szCs w:val="15"/>
          <w:b w:val="1"/>
          <w:bCs w:val="1"/>
          <w:color w:val="auto"/>
        </w:rPr>
        <w:t>Delaware Law</w:t>
      </w:r>
    </w:p>
    <w:p>
      <w:pPr>
        <w:spacing w:after="0" w:line="102" w:lineRule="exact"/>
        <w:rPr>
          <w:sz w:val="20"/>
          <w:szCs w:val="20"/>
          <w:color w:val="auto"/>
        </w:rPr>
      </w:pPr>
    </w:p>
    <w:p>
      <w:pPr>
        <w:ind w:left="1120" w:right="380" w:firstLine="368"/>
        <w:spacing w:after="0" w:line="275" w:lineRule="auto"/>
        <w:rPr>
          <w:sz w:val="20"/>
          <w:szCs w:val="20"/>
          <w:color w:val="auto"/>
        </w:rPr>
      </w:pPr>
      <w:r>
        <w:rPr>
          <w:rFonts w:ascii="Arial" w:cs="Arial" w:eastAsia="Arial" w:hAnsi="Arial"/>
          <w:sz w:val="15"/>
          <w:szCs w:val="15"/>
          <w:color w:val="auto"/>
        </w:rPr>
        <w:t>We will be governed by the provisions of Section 203 of the Delaware General Corporation Law. In general, Section 203 prohibits a public Delaware corporation from engaging in a “business combination” with an</w:t>
      </w:r>
    </w:p>
    <w:p>
      <w:pPr>
        <w:spacing w:after="0" w:line="90" w:lineRule="exact"/>
        <w:rPr>
          <w:sz w:val="20"/>
          <w:szCs w:val="20"/>
          <w:color w:val="auto"/>
        </w:rPr>
      </w:pPr>
    </w:p>
    <w:p>
      <w:pPr>
        <w:ind w:left="5600"/>
        <w:spacing w:after="0"/>
        <w:rPr>
          <w:sz w:val="20"/>
          <w:szCs w:val="20"/>
          <w:color w:val="auto"/>
        </w:rPr>
      </w:pPr>
      <w:r>
        <w:rPr>
          <w:rFonts w:ascii="Arial" w:cs="Arial" w:eastAsia="Arial" w:hAnsi="Arial"/>
          <w:sz w:val="15"/>
          <w:szCs w:val="15"/>
          <w:color w:val="auto"/>
        </w:rPr>
        <w:t>174</w:t>
      </w:r>
    </w:p>
    <w:p>
      <w:pPr>
        <w:sectPr>
          <w:pgSz w:w="11900" w:h="16838" w:orient="portrait"/>
          <w:cols w:equalWidth="0" w:num="1">
            <w:col w:w="10220"/>
          </w:cols>
          <w:pgMar w:left="240" w:top="408" w:right="1439" w:bottom="1440" w:gutter="0" w:footer="0" w:header="0"/>
        </w:sectPr>
      </w:pPr>
    </w:p>
    <w:bookmarkStart w:id="181" w:name="page182"/>
    <w:bookmarkEnd w:id="181"/>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133350</wp:posOffset>
            </wp:positionH>
            <wp:positionV relativeFrom="page">
              <wp:posOffset>88900</wp:posOffset>
            </wp:positionV>
            <wp:extent cx="7308850" cy="3429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308850" cy="34290"/>
                    </a:xfrm>
                    <a:prstGeom prst="rect">
                      <a:avLst/>
                    </a:prstGeom>
                    <a:noFill/>
                  </pic:spPr>
                </pic:pic>
              </a:graphicData>
            </a:graphic>
          </wp:anchor>
        </w:drawing>
      </w:r>
      <w:hyperlink w:anchor="page7">
        <w:r>
          <w:rPr>
            <w:rFonts w:ascii="Arial" w:cs="Arial" w:eastAsia="Arial" w:hAnsi="Arial"/>
            <w:sz w:val="15"/>
            <w:szCs w:val="15"/>
            <w:b w:val="1"/>
            <w:bCs w:val="1"/>
            <w:u w:val="single" w:color="auto"/>
            <w:color w:val="0000EE"/>
          </w:rPr>
          <w:t>Table of Contents</w:t>
        </w:r>
      </w:hyperlink>
    </w:p>
    <w:p>
      <w:pPr>
        <w:spacing w:after="0" w:line="260" w:lineRule="exact"/>
        <w:rPr>
          <w:sz w:val="20"/>
          <w:szCs w:val="20"/>
          <w:color w:val="auto"/>
        </w:rPr>
      </w:pPr>
    </w:p>
    <w:p>
      <w:pPr>
        <w:ind w:left="1120"/>
        <w:spacing w:after="0"/>
        <w:rPr>
          <w:sz w:val="20"/>
          <w:szCs w:val="20"/>
          <w:color w:val="auto"/>
        </w:rPr>
      </w:pPr>
      <w:r>
        <w:rPr>
          <w:rFonts w:ascii="Arial" w:cs="Arial" w:eastAsia="Arial" w:hAnsi="Arial"/>
          <w:sz w:val="14"/>
          <w:szCs w:val="14"/>
          <w:color w:val="auto"/>
        </w:rPr>
        <w:t>“interested stockholder” for a period of three years after the date of the transaction in which the person became an interested stockholder, unless:</w:t>
      </w:r>
    </w:p>
    <w:p>
      <w:pPr>
        <w:spacing w:after="0" w:line="121" w:lineRule="exact"/>
        <w:rPr>
          <w:sz w:val="20"/>
          <w:szCs w:val="20"/>
          <w:color w:val="auto"/>
        </w:rPr>
      </w:pPr>
    </w:p>
    <w:p>
      <w:pPr>
        <w:ind w:left="1840" w:hanging="276"/>
        <w:spacing w:after="0"/>
        <w:tabs>
          <w:tab w:leader="none" w:pos="1840" w:val="left"/>
        </w:tabs>
        <w:numPr>
          <w:ilvl w:val="0"/>
          <w:numId w:val="90"/>
        </w:numPr>
        <w:rPr>
          <w:rFonts w:ascii="Arial" w:cs="Arial" w:eastAsia="Arial" w:hAnsi="Arial"/>
          <w:sz w:val="15"/>
          <w:szCs w:val="15"/>
          <w:color w:val="auto"/>
        </w:rPr>
      </w:pPr>
      <w:r>
        <w:rPr>
          <w:rFonts w:ascii="Arial" w:cs="Arial" w:eastAsia="Arial" w:hAnsi="Arial"/>
          <w:sz w:val="15"/>
          <w:szCs w:val="15"/>
          <w:color w:val="auto"/>
        </w:rPr>
        <w:t>the transaction was approved by the board of directors prior to the time that the stockholder became an interested stockholder;</w:t>
      </w:r>
    </w:p>
    <w:p>
      <w:pPr>
        <w:spacing w:after="0" w:line="109" w:lineRule="exact"/>
        <w:rPr>
          <w:rFonts w:ascii="Arial" w:cs="Arial" w:eastAsia="Arial" w:hAnsi="Arial"/>
          <w:sz w:val="15"/>
          <w:szCs w:val="15"/>
          <w:color w:val="auto"/>
        </w:rPr>
      </w:pPr>
    </w:p>
    <w:p>
      <w:pPr>
        <w:ind w:left="1840" w:right="40" w:hanging="276"/>
        <w:spacing w:after="0" w:line="283" w:lineRule="auto"/>
        <w:tabs>
          <w:tab w:leader="none" w:pos="1840" w:val="left"/>
        </w:tabs>
        <w:numPr>
          <w:ilvl w:val="0"/>
          <w:numId w:val="90"/>
        </w:numPr>
        <w:rPr>
          <w:rFonts w:ascii="Arial" w:cs="Arial" w:eastAsia="Arial" w:hAnsi="Arial"/>
          <w:sz w:val="14"/>
          <w:szCs w:val="14"/>
          <w:color w:val="auto"/>
        </w:rPr>
      </w:pPr>
      <w:r>
        <w:rPr>
          <w:rFonts w:ascii="Arial" w:cs="Arial" w:eastAsia="Arial" w:hAnsi="Arial"/>
          <w:sz w:val="14"/>
          <w:szCs w:val="14"/>
          <w:color w:val="auto"/>
        </w:rPr>
        <w:t>upon consummation of the transaction which resulted in the stockholder becoming an interested stockholder, the interested stockholder owned at least 85% of the voting stock of the corporation outstanding at the time the transaction commenced, excluding shares owned by directors who are also officers of the corporation and shares owned by employee stock plans in which employee participants do not have the right to determine confidentially whether shares held subject to the plan will be tendered in a tender or exchange offer; or</w:t>
      </w:r>
    </w:p>
    <w:p>
      <w:pPr>
        <w:spacing w:after="0" w:line="63" w:lineRule="exact"/>
        <w:rPr>
          <w:rFonts w:ascii="Arial" w:cs="Arial" w:eastAsia="Arial" w:hAnsi="Arial"/>
          <w:sz w:val="14"/>
          <w:szCs w:val="14"/>
          <w:color w:val="auto"/>
        </w:rPr>
      </w:pPr>
    </w:p>
    <w:p>
      <w:pPr>
        <w:ind w:left="1840" w:right="220" w:hanging="276"/>
        <w:spacing w:after="0" w:line="263" w:lineRule="auto"/>
        <w:tabs>
          <w:tab w:leader="none" w:pos="1840" w:val="left"/>
        </w:tabs>
        <w:numPr>
          <w:ilvl w:val="0"/>
          <w:numId w:val="90"/>
        </w:numPr>
        <w:rPr>
          <w:rFonts w:ascii="Arial" w:cs="Arial" w:eastAsia="Arial" w:hAnsi="Arial"/>
          <w:sz w:val="15"/>
          <w:szCs w:val="15"/>
          <w:color w:val="auto"/>
        </w:rPr>
      </w:pPr>
      <w:r>
        <w:rPr>
          <w:rFonts w:ascii="Arial" w:cs="Arial" w:eastAsia="Arial" w:hAnsi="Arial"/>
          <w:sz w:val="15"/>
          <w:szCs w:val="15"/>
          <w:color w:val="auto"/>
        </w:rPr>
        <w:t>at or subsequent to the time the stockholder became an interested stockholder, the business combination was approved by the board of directors and authorized at an annual or special meeting of the stockholders, and not by written consent, by the affirmative vote of at least two-thirds of the outstanding voting stock which is not owned by the interested stockholder.</w:t>
      </w:r>
    </w:p>
    <w:p>
      <w:pPr>
        <w:spacing w:after="0" w:line="155" w:lineRule="exact"/>
        <w:rPr>
          <w:sz w:val="20"/>
          <w:szCs w:val="20"/>
          <w:color w:val="auto"/>
        </w:rPr>
      </w:pPr>
    </w:p>
    <w:p>
      <w:pPr>
        <w:ind w:left="1120" w:right="80" w:firstLine="368"/>
        <w:spacing w:after="0" w:line="259" w:lineRule="auto"/>
        <w:rPr>
          <w:sz w:val="20"/>
          <w:szCs w:val="20"/>
          <w:color w:val="auto"/>
        </w:rPr>
      </w:pPr>
      <w:r>
        <w:rPr>
          <w:rFonts w:ascii="Arial" w:cs="Arial" w:eastAsia="Arial" w:hAnsi="Arial"/>
          <w:sz w:val="15"/>
          <w:szCs w:val="15"/>
          <w:color w:val="auto"/>
        </w:rPr>
        <w:t>In general, Section 203 defines a “business combination” to include mergers, asset sales, and other transactions resulting in financial benefit to a stockholder and an “interested stockholder” as a person who, together with affiliates and associates, owns, or, within three years, did own, 15% or more of the corporation’s outstanding voting stock. These provisions may have the effect of delaying, deferring, or preventing changes in control of our company.</w:t>
      </w:r>
    </w:p>
    <w:p>
      <w:pPr>
        <w:spacing w:after="0" w:line="244" w:lineRule="exact"/>
        <w:rPr>
          <w:sz w:val="20"/>
          <w:szCs w:val="20"/>
          <w:color w:val="auto"/>
        </w:rPr>
      </w:pPr>
    </w:p>
    <w:p>
      <w:pPr>
        <w:ind w:left="1120"/>
        <w:spacing w:after="0"/>
        <w:rPr>
          <w:sz w:val="20"/>
          <w:szCs w:val="20"/>
          <w:color w:val="auto"/>
        </w:rPr>
      </w:pPr>
      <w:r>
        <w:rPr>
          <w:rFonts w:ascii="Arial" w:cs="Arial" w:eastAsia="Arial" w:hAnsi="Arial"/>
          <w:sz w:val="15"/>
          <w:szCs w:val="15"/>
          <w:b w:val="1"/>
          <w:bCs w:val="1"/>
          <w:color w:val="auto"/>
        </w:rPr>
        <w:t>Amended and Restated Certificate of Incorporation and Amended and Restated Bylaw Provisions</w:t>
      </w:r>
    </w:p>
    <w:p>
      <w:pPr>
        <w:spacing w:after="0" w:line="102" w:lineRule="exact"/>
        <w:rPr>
          <w:sz w:val="20"/>
          <w:szCs w:val="20"/>
          <w:color w:val="auto"/>
        </w:rPr>
      </w:pPr>
    </w:p>
    <w:p>
      <w:pPr>
        <w:ind w:left="1120" w:right="160" w:firstLine="368"/>
        <w:spacing w:after="0" w:line="312" w:lineRule="auto"/>
        <w:rPr>
          <w:sz w:val="20"/>
          <w:szCs w:val="20"/>
          <w:color w:val="auto"/>
        </w:rPr>
      </w:pPr>
      <w:r>
        <w:rPr>
          <w:rFonts w:ascii="Arial" w:cs="Arial" w:eastAsia="Arial" w:hAnsi="Arial"/>
          <w:sz w:val="14"/>
          <w:szCs w:val="14"/>
          <w:color w:val="auto"/>
        </w:rPr>
        <w:t>Our amended and restated certificate of incorporation and our amended and restated bylaws will include a number of provisions that could deter hostile takeovers or delay or prevent changes in control of our Board of Directors or management team, including the following:</w:t>
      </w:r>
    </w:p>
    <w:p>
      <w:pPr>
        <w:spacing w:after="0" w:line="33" w:lineRule="exact"/>
        <w:rPr>
          <w:sz w:val="20"/>
          <w:szCs w:val="20"/>
          <w:color w:val="auto"/>
        </w:rPr>
      </w:pPr>
    </w:p>
    <w:p>
      <w:pPr>
        <w:ind w:left="1120" w:firstLine="368"/>
        <w:spacing w:after="0" w:line="259" w:lineRule="auto"/>
        <w:rPr>
          <w:sz w:val="20"/>
          <w:szCs w:val="20"/>
          <w:color w:val="auto"/>
        </w:rPr>
      </w:pPr>
      <w:r>
        <w:rPr>
          <w:rFonts w:ascii="Arial" w:cs="Arial" w:eastAsia="Arial" w:hAnsi="Arial"/>
          <w:sz w:val="15"/>
          <w:szCs w:val="15"/>
          <w:b w:val="1"/>
          <w:bCs w:val="1"/>
          <w:i w:val="1"/>
          <w:iCs w:val="1"/>
          <w:color w:val="auto"/>
        </w:rPr>
        <w:t>Multi-class stock</w:t>
      </w:r>
      <w:r>
        <w:rPr>
          <w:rFonts w:ascii="Arial" w:cs="Arial" w:eastAsia="Arial" w:hAnsi="Arial"/>
          <w:sz w:val="15"/>
          <w:szCs w:val="15"/>
          <w:color w:val="auto"/>
        </w:rPr>
        <w:t>. As described above in “—Common Stock—Voting Rights,” our amended and restated certificate of incorporation provides for a</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multi-class common stock structure, which will provide our pre-offering investors, which includes our executive officers, employees, directors, and their affiliates, with significant influence over matters requiring stockholder approval, including the election of directors and significant corporate transactions, such as a merger or other sale of our company or its assets.</w:t>
      </w:r>
    </w:p>
    <w:p>
      <w:pPr>
        <w:spacing w:after="0" w:line="158" w:lineRule="exact"/>
        <w:rPr>
          <w:sz w:val="20"/>
          <w:szCs w:val="20"/>
          <w:color w:val="auto"/>
        </w:rPr>
      </w:pPr>
    </w:p>
    <w:p>
      <w:pPr>
        <w:ind w:left="1120" w:right="140" w:firstLine="368"/>
        <w:spacing w:after="0" w:line="257" w:lineRule="auto"/>
        <w:rPr>
          <w:sz w:val="20"/>
          <w:szCs w:val="20"/>
          <w:color w:val="auto"/>
        </w:rPr>
      </w:pPr>
      <w:r>
        <w:rPr>
          <w:rFonts w:ascii="Arial" w:cs="Arial" w:eastAsia="Arial" w:hAnsi="Arial"/>
          <w:sz w:val="15"/>
          <w:szCs w:val="15"/>
          <w:b w:val="1"/>
          <w:bCs w:val="1"/>
          <w:i w:val="1"/>
          <w:iCs w:val="1"/>
          <w:color w:val="auto"/>
        </w:rPr>
        <w:t xml:space="preserve">Separate Class B Vote for Certain Transactions. </w:t>
      </w:r>
      <w:r>
        <w:rPr>
          <w:rFonts w:ascii="Arial" w:cs="Arial" w:eastAsia="Arial" w:hAnsi="Arial"/>
          <w:sz w:val="15"/>
          <w:szCs w:val="15"/>
          <w:color w:val="auto"/>
        </w:rPr>
        <w:t>Until the Final Conversion Date, our Class B common stock will have the right to vote as a</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separate class on amendments to our amended and restated certificate of incorporation that affect the rights of our Class B common stock, certain reclassifications and changes in voting rights of our Class A common stock or Class C common stock, issuances of Class B common stock other than pursuant to existing rights and equity awards, authorization of stock with more than one (1) vote per share and liquidation events. See the section titled “Description of Capital Stock—Voting Rights.”</w:t>
      </w:r>
    </w:p>
    <w:p>
      <w:pPr>
        <w:spacing w:after="0" w:line="159" w:lineRule="exact"/>
        <w:rPr>
          <w:sz w:val="20"/>
          <w:szCs w:val="20"/>
          <w:color w:val="auto"/>
        </w:rPr>
      </w:pPr>
    </w:p>
    <w:p>
      <w:pPr>
        <w:ind w:left="1120" w:right="100" w:firstLine="368"/>
        <w:spacing w:after="0" w:line="305" w:lineRule="auto"/>
        <w:rPr>
          <w:sz w:val="20"/>
          <w:szCs w:val="20"/>
          <w:color w:val="auto"/>
        </w:rPr>
      </w:pPr>
      <w:r>
        <w:rPr>
          <w:rFonts w:ascii="Arial" w:cs="Arial" w:eastAsia="Arial" w:hAnsi="Arial"/>
          <w:sz w:val="13"/>
          <w:szCs w:val="13"/>
          <w:b w:val="1"/>
          <w:bCs w:val="1"/>
          <w:i w:val="1"/>
          <w:iCs w:val="1"/>
          <w:color w:val="auto"/>
        </w:rPr>
        <w:t>Board of Directors vacancies</w:t>
      </w:r>
      <w:r>
        <w:rPr>
          <w:rFonts w:ascii="Arial" w:cs="Arial" w:eastAsia="Arial" w:hAnsi="Arial"/>
          <w:sz w:val="13"/>
          <w:szCs w:val="13"/>
          <w:color w:val="auto"/>
        </w:rPr>
        <w:t>. Our amended and restated certificate of incorporation and amended and restated bylaws will authorize only our</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Board of Directors to fill vacant directorships, including newly created seats. In addition, the number of directors constituting our Board of Directors will be permitted to be set only by a resolution adopted by a majority vote of our entire Board of Directors. These provisions would prevent a stockholder from increasing the size of our Board of Directors and then gaining control of our Board of Directors by filling the resulting vacancies with its own nominees. This will make it more difficult to change the composition of our Board of Directors and will promote continuity of management.</w:t>
      </w:r>
    </w:p>
    <w:p>
      <w:pPr>
        <w:spacing w:after="0" w:line="133" w:lineRule="exact"/>
        <w:rPr>
          <w:sz w:val="20"/>
          <w:szCs w:val="20"/>
          <w:color w:val="auto"/>
        </w:rPr>
      </w:pPr>
    </w:p>
    <w:p>
      <w:pPr>
        <w:ind w:left="1120" w:right="20" w:firstLine="368"/>
        <w:spacing w:after="0" w:line="322" w:lineRule="auto"/>
        <w:rPr>
          <w:sz w:val="20"/>
          <w:szCs w:val="20"/>
          <w:color w:val="auto"/>
        </w:rPr>
      </w:pPr>
      <w:r>
        <w:rPr>
          <w:rFonts w:ascii="Arial" w:cs="Arial" w:eastAsia="Arial" w:hAnsi="Arial"/>
          <w:sz w:val="13"/>
          <w:szCs w:val="13"/>
          <w:b w:val="1"/>
          <w:bCs w:val="1"/>
          <w:i w:val="1"/>
          <w:iCs w:val="1"/>
          <w:color w:val="auto"/>
        </w:rPr>
        <w:t>Classified Board of Directors</w:t>
      </w:r>
      <w:r>
        <w:rPr>
          <w:rFonts w:ascii="Arial" w:cs="Arial" w:eastAsia="Arial" w:hAnsi="Arial"/>
          <w:sz w:val="13"/>
          <w:szCs w:val="13"/>
          <w:color w:val="auto"/>
        </w:rPr>
        <w:t>. Our amended and restated certificate of incorporation and amended and restated bylaws will provide that, from and</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after the time that the Class B common stock no longer represents a majority of the combined voting power of our Class A common stock and Class B common stock, or the Voting Threshold Date, our Board of Directors will be classified into three classes of directors. A third party may be</w:t>
      </w:r>
    </w:p>
    <w:p>
      <w:pPr>
        <w:spacing w:after="0" w:line="64" w:lineRule="exact"/>
        <w:rPr>
          <w:sz w:val="20"/>
          <w:szCs w:val="20"/>
          <w:color w:val="auto"/>
        </w:rPr>
      </w:pPr>
    </w:p>
    <w:p>
      <w:pPr>
        <w:ind w:left="5600"/>
        <w:spacing w:after="0"/>
        <w:rPr>
          <w:sz w:val="20"/>
          <w:szCs w:val="20"/>
          <w:color w:val="auto"/>
        </w:rPr>
      </w:pPr>
      <w:r>
        <w:rPr>
          <w:rFonts w:ascii="Arial" w:cs="Arial" w:eastAsia="Arial" w:hAnsi="Arial"/>
          <w:sz w:val="15"/>
          <w:szCs w:val="15"/>
          <w:color w:val="auto"/>
        </w:rPr>
        <w:t>175</w:t>
      </w:r>
    </w:p>
    <w:p>
      <w:pPr>
        <w:sectPr>
          <w:pgSz w:w="11900" w:h="16838" w:orient="portrait"/>
          <w:cols w:equalWidth="0" w:num="1">
            <w:col w:w="10320"/>
          </w:cols>
          <w:pgMar w:left="240" w:top="407" w:right="1339" w:bottom="1440" w:gutter="0" w:footer="0" w:header="0"/>
        </w:sectPr>
      </w:pPr>
    </w:p>
    <w:bookmarkStart w:id="182" w:name="page183"/>
    <w:bookmarkEnd w:id="182"/>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133350</wp:posOffset>
            </wp:positionH>
            <wp:positionV relativeFrom="page">
              <wp:posOffset>88900</wp:posOffset>
            </wp:positionV>
            <wp:extent cx="7308850" cy="3429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308850" cy="34290"/>
                    </a:xfrm>
                    <a:prstGeom prst="rect">
                      <a:avLst/>
                    </a:prstGeom>
                    <a:noFill/>
                  </pic:spPr>
                </pic:pic>
              </a:graphicData>
            </a:graphic>
          </wp:anchor>
        </w:drawing>
      </w:r>
      <w:hyperlink w:anchor="page7">
        <w:r>
          <w:rPr>
            <w:rFonts w:ascii="Arial" w:cs="Arial" w:eastAsia="Arial" w:hAnsi="Arial"/>
            <w:sz w:val="15"/>
            <w:szCs w:val="15"/>
            <w:b w:val="1"/>
            <w:bCs w:val="1"/>
            <w:u w:val="single" w:color="auto"/>
            <w:color w:val="0000EE"/>
          </w:rPr>
          <w:t>Table of Contents</w:t>
        </w:r>
      </w:hyperlink>
    </w:p>
    <w:p>
      <w:pPr>
        <w:spacing w:after="0" w:line="260" w:lineRule="exact"/>
        <w:rPr>
          <w:sz w:val="20"/>
          <w:szCs w:val="20"/>
          <w:color w:val="auto"/>
        </w:rPr>
      </w:pPr>
    </w:p>
    <w:p>
      <w:pPr>
        <w:ind w:left="1120" w:right="280"/>
        <w:spacing w:after="0" w:line="312" w:lineRule="auto"/>
        <w:rPr>
          <w:sz w:val="20"/>
          <w:szCs w:val="20"/>
          <w:color w:val="auto"/>
        </w:rPr>
      </w:pPr>
      <w:r>
        <w:rPr>
          <w:rFonts w:ascii="Arial" w:cs="Arial" w:eastAsia="Arial" w:hAnsi="Arial"/>
          <w:sz w:val="14"/>
          <w:szCs w:val="14"/>
          <w:color w:val="auto"/>
        </w:rPr>
        <w:t>discouraged from making a tender offer or otherwise attempting to obtain control of us as it is more difficult and time consuming for stockholders to replace a majority of the directors on a classified Board of Directors. See the section titled “Management—Classified Board of Directors.”</w:t>
      </w:r>
    </w:p>
    <w:p>
      <w:pPr>
        <w:spacing w:after="0" w:line="123" w:lineRule="exact"/>
        <w:rPr>
          <w:sz w:val="20"/>
          <w:szCs w:val="20"/>
          <w:color w:val="auto"/>
        </w:rPr>
      </w:pPr>
    </w:p>
    <w:p>
      <w:pPr>
        <w:ind w:left="1120" w:right="40" w:firstLine="368"/>
        <w:spacing w:after="0" w:line="273" w:lineRule="auto"/>
        <w:rPr>
          <w:sz w:val="20"/>
          <w:szCs w:val="20"/>
          <w:color w:val="auto"/>
        </w:rPr>
      </w:pPr>
      <w:r>
        <w:rPr>
          <w:rFonts w:ascii="Arial" w:cs="Arial" w:eastAsia="Arial" w:hAnsi="Arial"/>
          <w:sz w:val="14"/>
          <w:szCs w:val="14"/>
          <w:b w:val="1"/>
          <w:bCs w:val="1"/>
          <w:i w:val="1"/>
          <w:iCs w:val="1"/>
          <w:color w:val="auto"/>
        </w:rPr>
        <w:t>Stockholder action; special meeting of stockholders</w:t>
      </w:r>
      <w:r>
        <w:rPr>
          <w:rFonts w:ascii="Arial" w:cs="Arial" w:eastAsia="Arial" w:hAnsi="Arial"/>
          <w:sz w:val="14"/>
          <w:szCs w:val="14"/>
          <w:color w:val="auto"/>
        </w:rPr>
        <w:t>. Our amended and restated certificate of incorporation will provide that until the Voting</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Threshold Date, our stockholders may only take action by written consent if such action is first recommended or approved by the Board of Directors. Following the Voting Threshold Date, our stockholders will not be able to take action by written consent for any matter and may only take action at annual or special meetings. As a result, a holder controlling a majority of our capital stock would not be able to amend our amended and restated bylaws or remove directors without holding a meeting of our stockholders called in accordance with our amended and restated bylaws, unless previously approved by our Board of Directors. Our amended and restated bylaws will further provide that special meetings of our stockholders may be called only by a majority of our Board of Directors, the Chairman of our Board of Directors, our Chief Executive Officer or, until the Final Conversion Date, holders of 30% of the combined voting power of our Class A common stock and Class B common stock, thus limiting the ability of a stockholder to call a special meeting. These provisions might delay the ability of our stockholders to force consideration of a proposal or for stockholders controlling a majority of our capital stock to take any action, including the removal of directors.</w:t>
      </w:r>
    </w:p>
    <w:p>
      <w:pPr>
        <w:spacing w:after="0" w:line="154" w:lineRule="exact"/>
        <w:rPr>
          <w:sz w:val="20"/>
          <w:szCs w:val="20"/>
          <w:color w:val="auto"/>
        </w:rPr>
      </w:pPr>
    </w:p>
    <w:p>
      <w:pPr>
        <w:ind w:left="1120" w:firstLine="368"/>
        <w:spacing w:after="0" w:line="255" w:lineRule="auto"/>
        <w:rPr>
          <w:sz w:val="20"/>
          <w:szCs w:val="20"/>
          <w:color w:val="auto"/>
        </w:rPr>
      </w:pPr>
      <w:r>
        <w:rPr>
          <w:rFonts w:ascii="Arial" w:cs="Arial" w:eastAsia="Arial" w:hAnsi="Arial"/>
          <w:sz w:val="15"/>
          <w:szCs w:val="15"/>
          <w:b w:val="1"/>
          <w:bCs w:val="1"/>
          <w:i w:val="1"/>
          <w:iCs w:val="1"/>
          <w:color w:val="auto"/>
        </w:rPr>
        <w:t>Advance notice requirements for stockholder proposals and director nominations</w:t>
      </w:r>
      <w:r>
        <w:rPr>
          <w:rFonts w:ascii="Arial" w:cs="Arial" w:eastAsia="Arial" w:hAnsi="Arial"/>
          <w:sz w:val="15"/>
          <w:szCs w:val="15"/>
          <w:color w:val="auto"/>
        </w:rPr>
        <w:t>. Our amended and restated bylaws will provide advance notice</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procedures for stockholders seeking to bring business before our annual meeting of stockholders or to nominate candidates for election as directors at our annual meeting of stockholders. Our amended and restated bylaws will also specify certain requirements regarding the form and content of a stockholder’s notice. These provisions might preclude our stockholders from bringing matters before our annual meeting of stockholders or from making nominations for directors at our annual meeting of stockholders if the proper procedures are not followed. We expect that these provisions may also discourage or deter a potential acquirer from conducting a solicitation of proxies to elect the acquirer’s own slate of directors or otherwise attempting to obtain control of our company.</w:t>
      </w:r>
    </w:p>
    <w:p>
      <w:pPr>
        <w:spacing w:after="0" w:line="161" w:lineRule="exact"/>
        <w:rPr>
          <w:sz w:val="20"/>
          <w:szCs w:val="20"/>
          <w:color w:val="auto"/>
        </w:rPr>
      </w:pPr>
    </w:p>
    <w:p>
      <w:pPr>
        <w:ind w:left="1120" w:right="180" w:firstLine="368"/>
        <w:spacing w:after="0" w:line="263" w:lineRule="auto"/>
        <w:rPr>
          <w:sz w:val="20"/>
          <w:szCs w:val="20"/>
          <w:color w:val="auto"/>
        </w:rPr>
      </w:pPr>
      <w:r>
        <w:rPr>
          <w:rFonts w:ascii="Arial" w:cs="Arial" w:eastAsia="Arial" w:hAnsi="Arial"/>
          <w:sz w:val="15"/>
          <w:szCs w:val="15"/>
          <w:b w:val="1"/>
          <w:bCs w:val="1"/>
          <w:i w:val="1"/>
          <w:iCs w:val="1"/>
          <w:color w:val="auto"/>
        </w:rPr>
        <w:t>No cumulative voting</w:t>
      </w:r>
      <w:r>
        <w:rPr>
          <w:rFonts w:ascii="Arial" w:cs="Arial" w:eastAsia="Arial" w:hAnsi="Arial"/>
          <w:sz w:val="15"/>
          <w:szCs w:val="15"/>
          <w:color w:val="auto"/>
        </w:rPr>
        <w:t>. The Delaware General Corporation Law provides that stockholders are not entitled to cumulate votes in the election of</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directors unless a corporation’s certificate of incorporation provides otherwise. Our amended and restated certificate of incorporation does not provide for cumulative voting.</w:t>
      </w:r>
    </w:p>
    <w:p>
      <w:pPr>
        <w:spacing w:after="0" w:line="155" w:lineRule="exact"/>
        <w:rPr>
          <w:sz w:val="20"/>
          <w:szCs w:val="20"/>
          <w:color w:val="auto"/>
        </w:rPr>
      </w:pPr>
    </w:p>
    <w:p>
      <w:pPr>
        <w:ind w:left="1120" w:right="80" w:firstLine="368"/>
        <w:spacing w:after="0" w:line="279" w:lineRule="auto"/>
        <w:rPr>
          <w:sz w:val="20"/>
          <w:szCs w:val="20"/>
          <w:color w:val="auto"/>
        </w:rPr>
      </w:pPr>
      <w:r>
        <w:rPr>
          <w:rFonts w:ascii="Arial" w:cs="Arial" w:eastAsia="Arial" w:hAnsi="Arial"/>
          <w:sz w:val="14"/>
          <w:szCs w:val="14"/>
          <w:b w:val="1"/>
          <w:bCs w:val="1"/>
          <w:i w:val="1"/>
          <w:iCs w:val="1"/>
          <w:color w:val="auto"/>
        </w:rPr>
        <w:t>Amendment of charter and bylaws provisions</w:t>
      </w:r>
      <w:r>
        <w:rPr>
          <w:rFonts w:ascii="Arial" w:cs="Arial" w:eastAsia="Arial" w:hAnsi="Arial"/>
          <w:sz w:val="14"/>
          <w:szCs w:val="14"/>
          <w:color w:val="auto"/>
        </w:rPr>
        <w:t>. Prior to the Final Conversion Date, any amendment of our amended and restated certificate of</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incorporation will require approval by holders of at least two-thirds of the voting power of our then outstanding capital stock. From and after the Final Conversion Date, certain amendments to our amended and restated certificate of incorporation will require the approval of two-thirds of the outstanding voting power of our common stock. Our amended and restated bylaws will provide that approval of stockholders holding two-thirds of our outstanding voting power voting as a single class is required for stockholders to amend or adopt any provision of our bylaws.</w:t>
      </w:r>
    </w:p>
    <w:p>
      <w:pPr>
        <w:spacing w:after="0" w:line="147" w:lineRule="exact"/>
        <w:rPr>
          <w:sz w:val="20"/>
          <w:szCs w:val="20"/>
          <w:color w:val="auto"/>
        </w:rPr>
      </w:pPr>
    </w:p>
    <w:p>
      <w:pPr>
        <w:ind w:left="1120" w:right="40" w:firstLine="368"/>
        <w:spacing w:after="0" w:line="283" w:lineRule="auto"/>
        <w:rPr>
          <w:sz w:val="20"/>
          <w:szCs w:val="20"/>
          <w:color w:val="auto"/>
        </w:rPr>
      </w:pPr>
      <w:r>
        <w:rPr>
          <w:rFonts w:ascii="Arial" w:cs="Arial" w:eastAsia="Arial" w:hAnsi="Arial"/>
          <w:sz w:val="14"/>
          <w:szCs w:val="14"/>
          <w:b w:val="1"/>
          <w:bCs w:val="1"/>
          <w:i w:val="1"/>
          <w:iCs w:val="1"/>
          <w:color w:val="auto"/>
        </w:rPr>
        <w:t>Issuance of undesignated preferred stock</w:t>
      </w:r>
      <w:r>
        <w:rPr>
          <w:rFonts w:ascii="Arial" w:cs="Arial" w:eastAsia="Arial" w:hAnsi="Arial"/>
          <w:sz w:val="14"/>
          <w:szCs w:val="14"/>
          <w:color w:val="auto"/>
        </w:rPr>
        <w:t>. Our Board of Directors will have the authority, without further action by our stockholders, to issue up</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to 240,000,000 shares of undesignated preferred stock with rights and preferences, including voting rights, designated from time to time by our Board of Directors. The existence of authorized but unissued shares of preferred stock would enable our Board of Directors to render more difficult or to discourage an attempt to obtain control of us by means of a merger, tender offer, proxy contest, or other means.</w:t>
      </w:r>
    </w:p>
    <w:p>
      <w:pPr>
        <w:spacing w:after="0" w:line="229" w:lineRule="exact"/>
        <w:rPr>
          <w:sz w:val="20"/>
          <w:szCs w:val="20"/>
          <w:color w:val="auto"/>
        </w:rPr>
      </w:pPr>
    </w:p>
    <w:p>
      <w:pPr>
        <w:ind w:left="1120"/>
        <w:spacing w:after="0"/>
        <w:rPr>
          <w:sz w:val="20"/>
          <w:szCs w:val="20"/>
          <w:color w:val="auto"/>
        </w:rPr>
      </w:pPr>
      <w:r>
        <w:rPr>
          <w:rFonts w:ascii="Arial" w:cs="Arial" w:eastAsia="Arial" w:hAnsi="Arial"/>
          <w:sz w:val="15"/>
          <w:szCs w:val="15"/>
          <w:b w:val="1"/>
          <w:bCs w:val="1"/>
          <w:color w:val="auto"/>
        </w:rPr>
        <w:t>Exclusive Forum</w:t>
      </w:r>
    </w:p>
    <w:p>
      <w:pPr>
        <w:spacing w:after="0" w:line="102" w:lineRule="exact"/>
        <w:rPr>
          <w:sz w:val="20"/>
          <w:szCs w:val="20"/>
          <w:color w:val="auto"/>
        </w:rPr>
      </w:pPr>
    </w:p>
    <w:p>
      <w:pPr>
        <w:jc w:val="both"/>
        <w:ind w:left="1120" w:right="220" w:firstLine="368"/>
        <w:spacing w:after="0" w:line="322" w:lineRule="auto"/>
        <w:rPr>
          <w:sz w:val="20"/>
          <w:szCs w:val="20"/>
          <w:color w:val="auto"/>
        </w:rPr>
      </w:pPr>
      <w:r>
        <w:rPr>
          <w:rFonts w:ascii="Arial" w:cs="Arial" w:eastAsia="Arial" w:hAnsi="Arial"/>
          <w:sz w:val="13"/>
          <w:szCs w:val="13"/>
          <w:color w:val="auto"/>
        </w:rPr>
        <w:t>Our amended and restated bylaws will provide that, unless we consent in writing to the selection of an alternative forum, the sole and exclusive forum for (1) any derivative action or proceeding brought on our behalf, (2) any action asserting a claim of breach of a fiduciary duty owed by any of our directors, officers, or other employees to us or our stockholders, (3) any action arising pursuant to any provision of the Delaware General</w:t>
      </w:r>
    </w:p>
    <w:p>
      <w:pPr>
        <w:spacing w:after="0" w:line="64" w:lineRule="exact"/>
        <w:rPr>
          <w:sz w:val="20"/>
          <w:szCs w:val="20"/>
          <w:color w:val="auto"/>
        </w:rPr>
      </w:pPr>
    </w:p>
    <w:p>
      <w:pPr>
        <w:ind w:left="5600"/>
        <w:spacing w:after="0"/>
        <w:rPr>
          <w:sz w:val="20"/>
          <w:szCs w:val="20"/>
          <w:color w:val="auto"/>
        </w:rPr>
      </w:pPr>
      <w:r>
        <w:rPr>
          <w:rFonts w:ascii="Arial" w:cs="Arial" w:eastAsia="Arial" w:hAnsi="Arial"/>
          <w:sz w:val="15"/>
          <w:szCs w:val="15"/>
          <w:color w:val="auto"/>
        </w:rPr>
        <w:t>176</w:t>
      </w:r>
    </w:p>
    <w:p>
      <w:pPr>
        <w:sectPr>
          <w:pgSz w:w="11900" w:h="16838" w:orient="portrait"/>
          <w:cols w:equalWidth="0" w:num="1">
            <w:col w:w="10320"/>
          </w:cols>
          <w:pgMar w:left="240" w:top="407" w:right="1339" w:bottom="1440" w:gutter="0" w:footer="0" w:header="0"/>
        </w:sectPr>
      </w:pPr>
    </w:p>
    <w:bookmarkStart w:id="183" w:name="page184"/>
    <w:bookmarkEnd w:id="183"/>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133350</wp:posOffset>
            </wp:positionH>
            <wp:positionV relativeFrom="page">
              <wp:posOffset>88900</wp:posOffset>
            </wp:positionV>
            <wp:extent cx="7308850" cy="3429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308850" cy="34290"/>
                    </a:xfrm>
                    <a:prstGeom prst="rect">
                      <a:avLst/>
                    </a:prstGeom>
                    <a:noFill/>
                  </pic:spPr>
                </pic:pic>
              </a:graphicData>
            </a:graphic>
          </wp:anchor>
        </w:drawing>
      </w:r>
      <w:hyperlink w:anchor="page7">
        <w:r>
          <w:rPr>
            <w:rFonts w:ascii="Arial" w:cs="Arial" w:eastAsia="Arial" w:hAnsi="Arial"/>
            <w:sz w:val="15"/>
            <w:szCs w:val="15"/>
            <w:b w:val="1"/>
            <w:bCs w:val="1"/>
            <w:u w:val="single" w:color="auto"/>
            <w:color w:val="0000EE"/>
          </w:rPr>
          <w:t>Table of Contents</w:t>
        </w:r>
      </w:hyperlink>
    </w:p>
    <w:p>
      <w:pPr>
        <w:spacing w:after="0" w:line="260" w:lineRule="exact"/>
        <w:rPr>
          <w:sz w:val="20"/>
          <w:szCs w:val="20"/>
          <w:color w:val="auto"/>
        </w:rPr>
      </w:pPr>
    </w:p>
    <w:p>
      <w:pPr>
        <w:ind w:left="1120"/>
        <w:spacing w:after="0" w:line="254" w:lineRule="auto"/>
        <w:rPr>
          <w:sz w:val="20"/>
          <w:szCs w:val="20"/>
          <w:color w:val="auto"/>
        </w:rPr>
      </w:pPr>
      <w:r>
        <w:rPr>
          <w:rFonts w:ascii="Arial" w:cs="Arial" w:eastAsia="Arial" w:hAnsi="Arial"/>
          <w:sz w:val="15"/>
          <w:szCs w:val="15"/>
          <w:color w:val="auto"/>
        </w:rPr>
        <w:t>Corporation Law or our certificate of incorporation or bylaws, or (4) any other action asserting a claim that is governed by the internal affairs doctrine shall be the Court of Chancery of the State of Delaware (or, if the Court of Chancery does not have jurisdiction, the federal district court for the District of Delaware), in all cases subject to the court having jurisdiction over indispensable parties named as defendants. Any person or entity purchasing or otherwise acquiring any interest in our securities shall be deemed to have notice of and consented to this provision. Although we believe these provisions benefit us by providing increased consistency in the application of Delaware law for the specified types of actions and proceedings, the provisions may have the effect of discouraging lawsuits against us or our directors and officers. Our amended and restated bylaws will also provide that the federal district courts of the United States will be the exclusive forum for resolving any complaint asserting a cause of action arising under the Securities Act.</w:t>
      </w:r>
    </w:p>
    <w:p>
      <w:pPr>
        <w:spacing w:after="0" w:line="250" w:lineRule="exact"/>
        <w:rPr>
          <w:sz w:val="20"/>
          <w:szCs w:val="20"/>
          <w:color w:val="auto"/>
        </w:rPr>
      </w:pPr>
    </w:p>
    <w:p>
      <w:pPr>
        <w:ind w:left="1120"/>
        <w:spacing w:after="0"/>
        <w:rPr>
          <w:sz w:val="20"/>
          <w:szCs w:val="20"/>
          <w:color w:val="auto"/>
        </w:rPr>
      </w:pPr>
      <w:r>
        <w:rPr>
          <w:rFonts w:ascii="Arial" w:cs="Arial" w:eastAsia="Arial" w:hAnsi="Arial"/>
          <w:sz w:val="15"/>
          <w:szCs w:val="15"/>
          <w:b w:val="1"/>
          <w:bCs w:val="1"/>
          <w:color w:val="auto"/>
        </w:rPr>
        <w:t>Transfer Agent and Registrar</w:t>
      </w:r>
    </w:p>
    <w:p>
      <w:pPr>
        <w:spacing w:after="0" w:line="102" w:lineRule="exact"/>
        <w:rPr>
          <w:sz w:val="20"/>
          <w:szCs w:val="20"/>
          <w:color w:val="auto"/>
        </w:rPr>
      </w:pPr>
    </w:p>
    <w:p>
      <w:pPr>
        <w:ind w:left="1120" w:firstLine="368"/>
        <w:spacing w:after="0" w:line="275" w:lineRule="auto"/>
        <w:rPr>
          <w:sz w:val="20"/>
          <w:szCs w:val="20"/>
          <w:color w:val="auto"/>
        </w:rPr>
      </w:pPr>
      <w:r>
        <w:rPr>
          <w:rFonts w:ascii="Arial" w:cs="Arial" w:eastAsia="Arial" w:hAnsi="Arial"/>
          <w:sz w:val="15"/>
          <w:szCs w:val="15"/>
          <w:color w:val="auto"/>
        </w:rPr>
        <w:t>Upon completion of this offering, the transfer agent and registrar for our common stock will be Computershare Trust Company, N.A. The transfer agent and registrar’s address is 144 Fernwood Avenue, Edison, NJ 08837.</w:t>
      </w:r>
    </w:p>
    <w:p>
      <w:pPr>
        <w:spacing w:after="0" w:line="232" w:lineRule="exact"/>
        <w:rPr>
          <w:sz w:val="20"/>
          <w:szCs w:val="20"/>
          <w:color w:val="auto"/>
        </w:rPr>
      </w:pPr>
    </w:p>
    <w:p>
      <w:pPr>
        <w:ind w:left="1120"/>
        <w:spacing w:after="0"/>
        <w:rPr>
          <w:sz w:val="20"/>
          <w:szCs w:val="20"/>
          <w:color w:val="auto"/>
        </w:rPr>
      </w:pPr>
      <w:r>
        <w:rPr>
          <w:rFonts w:ascii="Arial" w:cs="Arial" w:eastAsia="Arial" w:hAnsi="Arial"/>
          <w:sz w:val="15"/>
          <w:szCs w:val="15"/>
          <w:b w:val="1"/>
          <w:bCs w:val="1"/>
          <w:color w:val="auto"/>
        </w:rPr>
        <w:t>Limitations of Liability and Indemnification</w:t>
      </w:r>
    </w:p>
    <w:p>
      <w:pPr>
        <w:spacing w:after="0" w:line="102" w:lineRule="exact"/>
        <w:rPr>
          <w:sz w:val="20"/>
          <w:szCs w:val="20"/>
          <w:color w:val="auto"/>
        </w:rPr>
      </w:pPr>
    </w:p>
    <w:p>
      <w:pPr>
        <w:ind w:left="1120" w:right="500" w:firstLine="368"/>
        <w:spacing w:after="0" w:line="275" w:lineRule="auto"/>
        <w:rPr>
          <w:sz w:val="20"/>
          <w:szCs w:val="20"/>
          <w:color w:val="auto"/>
        </w:rPr>
      </w:pPr>
      <w:r>
        <w:rPr>
          <w:rFonts w:ascii="Arial" w:cs="Arial" w:eastAsia="Arial" w:hAnsi="Arial"/>
          <w:sz w:val="15"/>
          <w:szCs w:val="15"/>
          <w:color w:val="auto"/>
        </w:rPr>
        <w:t>See the section titled “Certain Relationships and Related Party Transactions—Limitation of Liability and Indemnification of Officers and Directors.”</w:t>
      </w:r>
    </w:p>
    <w:p>
      <w:pPr>
        <w:spacing w:after="0" w:line="232" w:lineRule="exact"/>
        <w:rPr>
          <w:sz w:val="20"/>
          <w:szCs w:val="20"/>
          <w:color w:val="auto"/>
        </w:rPr>
      </w:pPr>
    </w:p>
    <w:p>
      <w:pPr>
        <w:ind w:left="1120"/>
        <w:spacing w:after="0"/>
        <w:rPr>
          <w:sz w:val="20"/>
          <w:szCs w:val="20"/>
          <w:color w:val="auto"/>
        </w:rPr>
      </w:pPr>
      <w:r>
        <w:rPr>
          <w:rFonts w:ascii="Arial" w:cs="Arial" w:eastAsia="Arial" w:hAnsi="Arial"/>
          <w:sz w:val="15"/>
          <w:szCs w:val="15"/>
          <w:b w:val="1"/>
          <w:bCs w:val="1"/>
          <w:color w:val="auto"/>
        </w:rPr>
        <w:t>Listing</w:t>
      </w:r>
    </w:p>
    <w:p>
      <w:pPr>
        <w:spacing w:after="0" w:line="102" w:lineRule="exact"/>
        <w:rPr>
          <w:sz w:val="20"/>
          <w:szCs w:val="20"/>
          <w:color w:val="auto"/>
        </w:rPr>
      </w:pPr>
    </w:p>
    <w:p>
      <w:pPr>
        <w:ind w:left="1480"/>
        <w:spacing w:after="0"/>
        <w:rPr>
          <w:sz w:val="20"/>
          <w:szCs w:val="20"/>
          <w:color w:val="auto"/>
        </w:rPr>
      </w:pPr>
      <w:r>
        <w:rPr>
          <w:rFonts w:ascii="Arial" w:cs="Arial" w:eastAsia="Arial" w:hAnsi="Arial"/>
          <w:sz w:val="15"/>
          <w:szCs w:val="15"/>
          <w:color w:val="auto"/>
        </w:rPr>
        <w:t>We have been approved to list our Class A common stock on Nasdaq under the symbol “DBX”.</w:t>
      </w:r>
    </w:p>
    <w:p>
      <w:pPr>
        <w:spacing w:after="0" w:line="132" w:lineRule="exact"/>
        <w:rPr>
          <w:sz w:val="20"/>
          <w:szCs w:val="20"/>
          <w:color w:val="auto"/>
        </w:rPr>
      </w:pPr>
    </w:p>
    <w:p>
      <w:pPr>
        <w:ind w:left="5600"/>
        <w:spacing w:after="0"/>
        <w:rPr>
          <w:sz w:val="20"/>
          <w:szCs w:val="20"/>
          <w:color w:val="auto"/>
        </w:rPr>
      </w:pPr>
      <w:r>
        <w:rPr>
          <w:rFonts w:ascii="Arial" w:cs="Arial" w:eastAsia="Arial" w:hAnsi="Arial"/>
          <w:sz w:val="15"/>
          <w:szCs w:val="15"/>
          <w:color w:val="auto"/>
        </w:rPr>
        <w:t>177</w:t>
      </w:r>
    </w:p>
    <w:p>
      <w:pPr>
        <w:sectPr>
          <w:pgSz w:w="11900" w:h="16838" w:orient="portrait"/>
          <w:cols w:equalWidth="0" w:num="1">
            <w:col w:w="10240"/>
          </w:cols>
          <w:pgMar w:left="240" w:top="408" w:right="1419" w:bottom="1440" w:gutter="0" w:footer="0" w:header="0"/>
        </w:sectPr>
      </w:pPr>
    </w:p>
    <w:bookmarkStart w:id="184" w:name="page185"/>
    <w:bookmarkEnd w:id="184"/>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133350</wp:posOffset>
            </wp:positionH>
            <wp:positionV relativeFrom="page">
              <wp:posOffset>88900</wp:posOffset>
            </wp:positionV>
            <wp:extent cx="7308850" cy="3429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308850" cy="34290"/>
                    </a:xfrm>
                    <a:prstGeom prst="rect">
                      <a:avLst/>
                    </a:prstGeom>
                    <a:noFill/>
                  </pic:spPr>
                </pic:pic>
              </a:graphicData>
            </a:graphic>
          </wp:anchor>
        </w:drawing>
      </w:r>
      <w:hyperlink w:anchor="page7">
        <w:r>
          <w:rPr>
            <w:rFonts w:ascii="Arial" w:cs="Arial" w:eastAsia="Arial" w:hAnsi="Arial"/>
            <w:sz w:val="15"/>
            <w:szCs w:val="15"/>
            <w:b w:val="1"/>
            <w:bCs w:val="1"/>
            <w:u w:val="single" w:color="auto"/>
            <w:color w:val="0000EE"/>
          </w:rPr>
          <w:t>Table of Contents</w:t>
        </w:r>
      </w:hyperlink>
    </w:p>
    <w:p>
      <w:pPr>
        <w:spacing w:after="0" w:line="256" w:lineRule="exact"/>
        <w:rPr>
          <w:sz w:val="20"/>
          <w:szCs w:val="20"/>
          <w:color w:val="auto"/>
        </w:rPr>
      </w:pPr>
    </w:p>
    <w:p>
      <w:pPr>
        <w:jc w:val="center"/>
        <w:ind w:right="-1139"/>
        <w:spacing w:after="0"/>
        <w:rPr>
          <w:sz w:val="20"/>
          <w:szCs w:val="20"/>
          <w:color w:val="auto"/>
        </w:rPr>
      </w:pPr>
      <w:r>
        <w:rPr>
          <w:rFonts w:ascii="Arial" w:cs="Arial" w:eastAsia="Arial" w:hAnsi="Arial"/>
          <w:sz w:val="15"/>
          <w:szCs w:val="15"/>
          <w:b w:val="1"/>
          <w:bCs w:val="1"/>
          <w:color w:val="auto"/>
        </w:rPr>
        <w:t>SHARES ELIGIBLE FOR FUTURE SALE</w:t>
      </w:r>
    </w:p>
    <w:p>
      <w:pPr>
        <w:spacing w:after="0" w:line="192" w:lineRule="exact"/>
        <w:rPr>
          <w:sz w:val="20"/>
          <w:szCs w:val="20"/>
          <w:color w:val="auto"/>
        </w:rPr>
      </w:pPr>
    </w:p>
    <w:p>
      <w:pPr>
        <w:ind w:left="1120" w:right="60" w:firstLine="368"/>
        <w:spacing w:after="0" w:line="276" w:lineRule="auto"/>
        <w:rPr>
          <w:sz w:val="20"/>
          <w:szCs w:val="20"/>
          <w:color w:val="auto"/>
        </w:rPr>
      </w:pPr>
      <w:r>
        <w:rPr>
          <w:rFonts w:ascii="Arial" w:cs="Arial" w:eastAsia="Arial" w:hAnsi="Arial"/>
          <w:sz w:val="14"/>
          <w:szCs w:val="14"/>
          <w:color w:val="auto"/>
        </w:rPr>
        <w:t>Prior to this offering, there has been no public market for our Class A common stock, and we cannot predict the effect, if any, that market sales of shares of our Class A common stock or the availability of shares of our Class A common stock for sale will have on the market price of our Class A common stock prevailing from time to time. Future sales of our common stock in the public market, or the availability of such shares for sale in the public market, could adversely affect market prices prevailing from time to time. As described below, only a limited number of shares of our Class A common stock will be available for sale shortly after this offering due to contractual and legal restrictions on resale. Nevertheless, sales of our Class A common stock in the public market after such restrictions lapse, or the perception that those sales may occur, could adversely affect the prevailing market price at such time and our ability to raise equity capital in the future.</w:t>
      </w:r>
    </w:p>
    <w:p>
      <w:pPr>
        <w:spacing w:after="0" w:line="148" w:lineRule="exact"/>
        <w:rPr>
          <w:sz w:val="20"/>
          <w:szCs w:val="20"/>
          <w:color w:val="auto"/>
        </w:rPr>
      </w:pPr>
    </w:p>
    <w:p>
      <w:pPr>
        <w:ind w:left="1120" w:firstLine="368"/>
        <w:spacing w:after="0" w:line="279" w:lineRule="auto"/>
        <w:rPr>
          <w:sz w:val="20"/>
          <w:szCs w:val="20"/>
          <w:color w:val="auto"/>
        </w:rPr>
      </w:pPr>
      <w:r>
        <w:rPr>
          <w:rFonts w:ascii="Arial" w:cs="Arial" w:eastAsia="Arial" w:hAnsi="Arial"/>
          <w:sz w:val="14"/>
          <w:szCs w:val="14"/>
          <w:color w:val="auto"/>
        </w:rPr>
        <w:t>Following the completion of this offering and the concurrent private placement, based on the number of shares of our capital stock outstanding as of December 31, 2017, we will have a total of 53,080,406 shares of our Class A common stock outstanding, 339,323,858 shares of our Class B common stock outstanding, and no shares of Class C common stock outstanding. Of these outstanding shares, all 36,000,000 shares of our Class A common stock sold in this offering will be freely tradable, except that any shares purchased in this offering by our affiliates, as that term is defined in Rule 144 under the Securities Act, would only be able to be sold in compliance with the Rule 144 limitations described below.</w:t>
      </w:r>
    </w:p>
    <w:p>
      <w:pPr>
        <w:spacing w:after="0" w:line="147" w:lineRule="exact"/>
        <w:rPr>
          <w:sz w:val="20"/>
          <w:szCs w:val="20"/>
          <w:color w:val="auto"/>
        </w:rPr>
      </w:pPr>
    </w:p>
    <w:p>
      <w:pPr>
        <w:ind w:left="1120" w:right="100" w:firstLine="368"/>
        <w:spacing w:after="0" w:line="305" w:lineRule="auto"/>
        <w:rPr>
          <w:sz w:val="20"/>
          <w:szCs w:val="20"/>
          <w:color w:val="auto"/>
        </w:rPr>
      </w:pPr>
      <w:r>
        <w:rPr>
          <w:rFonts w:ascii="Arial" w:cs="Arial" w:eastAsia="Arial" w:hAnsi="Arial"/>
          <w:sz w:val="13"/>
          <w:szCs w:val="13"/>
          <w:color w:val="auto"/>
        </w:rPr>
        <w:t>The remaining outstanding shares of our common stock will be deemed “restricted securities” as defined in Rule 144 under the Securities Act. Restricted securities may be sold in the public market only if they are registered under the Securities Act or if they qualify for an exemption from registration under Rule 144 or Rule 701 under the Securities Act, which rules are summarized below. As a result of the lock-up and market standoff agreements described below and the provisions of our IRA described under the section titled “Description of Capital Stock—Registration Rights,” and subject to the provisions of Rule 144 or Rule 701, shares of our Class A common stock will be available for sale in the public market as follows:</w:t>
      </w:r>
    </w:p>
    <w:p>
      <w:pPr>
        <w:spacing w:after="0" w:line="54" w:lineRule="exact"/>
        <w:rPr>
          <w:sz w:val="20"/>
          <w:szCs w:val="20"/>
          <w:color w:val="auto"/>
        </w:rPr>
      </w:pPr>
    </w:p>
    <w:p>
      <w:pPr>
        <w:ind w:left="1840" w:right="420" w:hanging="276"/>
        <w:spacing w:after="0" w:line="275" w:lineRule="auto"/>
        <w:tabs>
          <w:tab w:leader="none" w:pos="1840" w:val="left"/>
        </w:tabs>
        <w:numPr>
          <w:ilvl w:val="0"/>
          <w:numId w:val="91"/>
        </w:numPr>
        <w:rPr>
          <w:rFonts w:ascii="Arial" w:cs="Arial" w:eastAsia="Arial" w:hAnsi="Arial"/>
          <w:sz w:val="15"/>
          <w:szCs w:val="15"/>
          <w:color w:val="auto"/>
        </w:rPr>
      </w:pPr>
      <w:r>
        <w:rPr>
          <w:rFonts w:ascii="Arial" w:cs="Arial" w:eastAsia="Arial" w:hAnsi="Arial"/>
          <w:sz w:val="15"/>
          <w:szCs w:val="15"/>
          <w:color w:val="auto"/>
        </w:rPr>
        <w:t>beginning on the date of this prospectus, all 36,000,000 shares of our Class A common stock sold in this offering will be immediately available for sale in the public market; and</w:t>
      </w:r>
    </w:p>
    <w:p>
      <w:pPr>
        <w:spacing w:after="0" w:line="67" w:lineRule="exact"/>
        <w:rPr>
          <w:rFonts w:ascii="Arial" w:cs="Arial" w:eastAsia="Arial" w:hAnsi="Arial"/>
          <w:sz w:val="15"/>
          <w:szCs w:val="15"/>
          <w:color w:val="auto"/>
        </w:rPr>
      </w:pPr>
    </w:p>
    <w:p>
      <w:pPr>
        <w:ind w:left="1840" w:right="100" w:hanging="276"/>
        <w:spacing w:after="0" w:line="263" w:lineRule="auto"/>
        <w:tabs>
          <w:tab w:leader="none" w:pos="1840" w:val="left"/>
        </w:tabs>
        <w:numPr>
          <w:ilvl w:val="0"/>
          <w:numId w:val="91"/>
        </w:numPr>
        <w:rPr>
          <w:rFonts w:ascii="Arial" w:cs="Arial" w:eastAsia="Arial" w:hAnsi="Arial"/>
          <w:sz w:val="15"/>
          <w:szCs w:val="15"/>
          <w:color w:val="auto"/>
        </w:rPr>
      </w:pPr>
      <w:r>
        <w:rPr>
          <w:rFonts w:ascii="Arial" w:cs="Arial" w:eastAsia="Arial" w:hAnsi="Arial"/>
          <w:sz w:val="15"/>
          <w:szCs w:val="15"/>
          <w:color w:val="auto"/>
        </w:rPr>
        <w:t>beginning 181 days after the date of this prospectus (subject to the terms of the lock-up and market standoff agreements described below) 356,404,264 additional shares will become eligible for sale in the public market, of which 258,718,600 shares will be held by affiliates and subject to the volume and other restrictions of Rule 144, as described below.</w:t>
      </w:r>
    </w:p>
    <w:p>
      <w:pPr>
        <w:spacing w:after="0" w:line="241" w:lineRule="exact"/>
        <w:rPr>
          <w:sz w:val="20"/>
          <w:szCs w:val="20"/>
          <w:color w:val="auto"/>
        </w:rPr>
      </w:pPr>
    </w:p>
    <w:p>
      <w:pPr>
        <w:ind w:left="1120"/>
        <w:spacing w:after="0"/>
        <w:rPr>
          <w:sz w:val="20"/>
          <w:szCs w:val="20"/>
          <w:color w:val="auto"/>
        </w:rPr>
      </w:pPr>
      <w:r>
        <w:rPr>
          <w:rFonts w:ascii="Arial" w:cs="Arial" w:eastAsia="Arial" w:hAnsi="Arial"/>
          <w:sz w:val="15"/>
          <w:szCs w:val="15"/>
          <w:b w:val="1"/>
          <w:bCs w:val="1"/>
          <w:color w:val="auto"/>
        </w:rPr>
        <w:t>Lock-Up and Market Standoff Agreements</w:t>
      </w:r>
    </w:p>
    <w:p>
      <w:pPr>
        <w:spacing w:after="0" w:line="102" w:lineRule="exact"/>
        <w:rPr>
          <w:sz w:val="20"/>
          <w:szCs w:val="20"/>
          <w:color w:val="auto"/>
        </w:rPr>
      </w:pPr>
    </w:p>
    <w:p>
      <w:pPr>
        <w:ind w:left="1120" w:firstLine="368"/>
        <w:spacing w:after="0" w:line="291" w:lineRule="auto"/>
        <w:rPr>
          <w:sz w:val="20"/>
          <w:szCs w:val="20"/>
          <w:color w:val="auto"/>
        </w:rPr>
      </w:pPr>
      <w:r>
        <w:rPr>
          <w:rFonts w:ascii="Arial" w:cs="Arial" w:eastAsia="Arial" w:hAnsi="Arial"/>
          <w:sz w:val="13"/>
          <w:szCs w:val="13"/>
          <w:color w:val="auto"/>
        </w:rPr>
        <w:t>Our executive officers, directors, and certain other holders of our capital stock and securities convertible into or exchangeable for our capital stock have agreed that, subject to certain exceptions, for a period of 180 days after the date of this prospectus, or lock-up period, we and they will not, without the prior written consent of Goldman Sachs &amp; Co. LLC and J.P. Morgan Securities LLC, dispose of or hedge any shares or any securities convertible into or exchangeable for shares of our capital stock; provided that if (i) at least 120 days have elapsed since the date of this prospectus, (ii) we have publicly released our earnings results for the quarterly period during which this offering occurred, and (iii) such lock-up period is scheduled to end during or within five trading days prior to a broadly applicable period during which trading in our securities would not be permitted under our insider trading policy, or a blackout period, such lock-up period will end ten trading days prior to the commencement of such blackout period. Goldman Sachs</w:t>
      </w:r>
    </w:p>
    <w:p>
      <w:pPr>
        <w:spacing w:after="0" w:line="4" w:lineRule="exact"/>
        <w:rPr>
          <w:sz w:val="20"/>
          <w:szCs w:val="20"/>
          <w:color w:val="auto"/>
        </w:rPr>
      </w:pPr>
    </w:p>
    <w:p>
      <w:pPr>
        <w:jc w:val="both"/>
        <w:ind w:left="1120" w:right="40" w:hanging="8"/>
        <w:spacing w:after="0" w:line="253" w:lineRule="auto"/>
        <w:tabs>
          <w:tab w:leader="none" w:pos="1275" w:val="left"/>
        </w:tabs>
        <w:numPr>
          <w:ilvl w:val="0"/>
          <w:numId w:val="92"/>
        </w:numPr>
        <w:rPr>
          <w:rFonts w:ascii="Arial" w:cs="Arial" w:eastAsia="Arial" w:hAnsi="Arial"/>
          <w:sz w:val="15"/>
          <w:szCs w:val="15"/>
          <w:color w:val="auto"/>
        </w:rPr>
      </w:pPr>
      <w:r>
        <w:rPr>
          <w:rFonts w:ascii="Arial" w:cs="Arial" w:eastAsia="Arial" w:hAnsi="Arial"/>
          <w:sz w:val="15"/>
          <w:szCs w:val="15"/>
          <w:color w:val="auto"/>
        </w:rPr>
        <w:t>Co. LLC and J.P. Morgan Securities LLC may, in their discretion, release any of the securities subject to these lock-up agreements at any time. In addition, our executive officers, directors, and holders of our capital stock and securities convertible into or exchangeable for our capital stock have entered into market standoff agreements with us under which they have agreed that, subject to certain exceptions, for a period of 180 days after the date of this prospectus, they will not, without our prior written consent, dispose of or hedge any shares or any securities convertible into or exchangeable for shares of our common stock.</w:t>
      </w:r>
    </w:p>
    <w:p>
      <w:pPr>
        <w:spacing w:after="0" w:line="108" w:lineRule="exact"/>
        <w:rPr>
          <w:sz w:val="20"/>
          <w:szCs w:val="20"/>
          <w:color w:val="auto"/>
        </w:rPr>
      </w:pPr>
    </w:p>
    <w:p>
      <w:pPr>
        <w:ind w:left="5600"/>
        <w:spacing w:after="0"/>
        <w:rPr>
          <w:sz w:val="20"/>
          <w:szCs w:val="20"/>
          <w:color w:val="auto"/>
        </w:rPr>
      </w:pPr>
      <w:r>
        <w:rPr>
          <w:rFonts w:ascii="Arial" w:cs="Arial" w:eastAsia="Arial" w:hAnsi="Arial"/>
          <w:sz w:val="15"/>
          <w:szCs w:val="15"/>
          <w:color w:val="auto"/>
        </w:rPr>
        <w:t>178</w:t>
      </w:r>
    </w:p>
    <w:p>
      <w:pPr>
        <w:sectPr>
          <w:pgSz w:w="11900" w:h="16838" w:orient="portrait"/>
          <w:cols w:equalWidth="0" w:num="1">
            <w:col w:w="10280"/>
          </w:cols>
          <w:pgMar w:left="240" w:top="408" w:right="1379" w:bottom="1440" w:gutter="0" w:footer="0" w:header="0"/>
        </w:sectPr>
      </w:pPr>
    </w:p>
    <w:bookmarkStart w:id="185" w:name="page186"/>
    <w:bookmarkEnd w:id="185"/>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133350</wp:posOffset>
            </wp:positionH>
            <wp:positionV relativeFrom="page">
              <wp:posOffset>88900</wp:posOffset>
            </wp:positionV>
            <wp:extent cx="7308850" cy="3429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308850" cy="34290"/>
                    </a:xfrm>
                    <a:prstGeom prst="rect">
                      <a:avLst/>
                    </a:prstGeom>
                    <a:noFill/>
                  </pic:spPr>
                </pic:pic>
              </a:graphicData>
            </a:graphic>
          </wp:anchor>
        </w:drawing>
      </w:r>
      <w:hyperlink w:anchor="page7">
        <w:r>
          <w:rPr>
            <w:rFonts w:ascii="Arial" w:cs="Arial" w:eastAsia="Arial" w:hAnsi="Arial"/>
            <w:sz w:val="15"/>
            <w:szCs w:val="15"/>
            <w:b w:val="1"/>
            <w:bCs w:val="1"/>
            <w:u w:val="single" w:color="auto"/>
            <w:color w:val="0000EE"/>
          </w:rPr>
          <w:t>Table of Contents</w:t>
        </w:r>
      </w:hyperlink>
    </w:p>
    <w:p>
      <w:pPr>
        <w:spacing w:after="0" w:line="260" w:lineRule="exact"/>
        <w:rPr>
          <w:sz w:val="20"/>
          <w:szCs w:val="20"/>
          <w:color w:val="auto"/>
        </w:rPr>
      </w:pPr>
    </w:p>
    <w:p>
      <w:pPr>
        <w:ind w:left="1120" w:right="20" w:firstLine="368"/>
        <w:spacing w:after="0" w:line="274" w:lineRule="auto"/>
        <w:rPr>
          <w:sz w:val="20"/>
          <w:szCs w:val="20"/>
          <w:color w:val="auto"/>
        </w:rPr>
      </w:pPr>
      <w:r>
        <w:rPr>
          <w:rFonts w:ascii="Arial" w:cs="Arial" w:eastAsia="Arial" w:hAnsi="Arial"/>
          <w:sz w:val="14"/>
          <w:szCs w:val="14"/>
          <w:color w:val="auto"/>
        </w:rPr>
        <w:t>In addition, we will enter into a lock-up agreement with the underwriters under which we will agree not to sell any of our stock for 180 days following the date of this prospectus, subject to certain exceptions including, but not limited to, our issuance of shares of common stock or certain other securities in connection with our acquisition of the securities, business, technology, property, or other assets of another person or entity or pursuant to an employee benefit plan that we assumed in connection with such acquisition, or our joint ventures, commercial relationships and other strategic transactions, provided that the aggregate number of shares of Class A common stock (including with respect to securities to be granted pursuant to any assumed employee benefit plans covered by a registration statement on Form S-8) issued pursuant to this exception will not exceed 10% of the total number of shares of Class A common stock outstanding immediately following this offering, and provided that each recipient executes and delivers a lock-up agreement with substantially the same restrictions to which our executive officers, directors, and certain other holders of our capital stock and securities convertible into or exchangeable for our capital stock are subject.</w:t>
      </w:r>
    </w:p>
    <w:p>
      <w:pPr>
        <w:spacing w:after="0" w:line="237" w:lineRule="exact"/>
        <w:rPr>
          <w:sz w:val="20"/>
          <w:szCs w:val="20"/>
          <w:color w:val="auto"/>
        </w:rPr>
      </w:pPr>
    </w:p>
    <w:p>
      <w:pPr>
        <w:ind w:left="1120"/>
        <w:spacing w:after="0"/>
        <w:rPr>
          <w:sz w:val="20"/>
          <w:szCs w:val="20"/>
          <w:color w:val="auto"/>
        </w:rPr>
      </w:pPr>
      <w:r>
        <w:rPr>
          <w:rFonts w:ascii="Arial" w:cs="Arial" w:eastAsia="Arial" w:hAnsi="Arial"/>
          <w:sz w:val="15"/>
          <w:szCs w:val="15"/>
          <w:b w:val="1"/>
          <w:bCs w:val="1"/>
          <w:color w:val="auto"/>
        </w:rPr>
        <w:t>Rule 144</w:t>
      </w:r>
    </w:p>
    <w:p>
      <w:pPr>
        <w:spacing w:after="0" w:line="102" w:lineRule="exact"/>
        <w:rPr>
          <w:sz w:val="20"/>
          <w:szCs w:val="20"/>
          <w:color w:val="auto"/>
        </w:rPr>
      </w:pPr>
    </w:p>
    <w:p>
      <w:pPr>
        <w:ind w:left="1120" w:firstLine="368"/>
        <w:spacing w:after="0" w:line="255" w:lineRule="auto"/>
        <w:rPr>
          <w:sz w:val="20"/>
          <w:szCs w:val="20"/>
          <w:color w:val="auto"/>
        </w:rPr>
      </w:pPr>
      <w:r>
        <w:rPr>
          <w:rFonts w:ascii="Arial" w:cs="Arial" w:eastAsia="Arial" w:hAnsi="Arial"/>
          <w:sz w:val="15"/>
          <w:szCs w:val="15"/>
          <w:color w:val="auto"/>
        </w:rPr>
        <w:t>In general, Rule 144 provides that once we have been subject to the public company reporting requirements of Section 13 or Section 15(d) of the Exchange Act for at least 90 days, a person who is not deemed to have been one of our affiliates for purposes of the Securities Act at any time during the 90 days preceding a sale and who has beneficially owned the shares of our Class A common stock proposed to be sold for at least six months is entitled to sell those shares without complying with the manner of sale, volume limitation, or notice provisions of Rule 144, subject to compliance with the public information requirements of Rule 144. If such a person has beneficially owned the shares proposed to be sold for at least one year, including the holding period of any prior owner other than our affiliates, then that person would be entitled to sell those shares without complying with any of the requirements of Rule 144.</w:t>
      </w:r>
    </w:p>
    <w:p>
      <w:pPr>
        <w:spacing w:after="0" w:line="161" w:lineRule="exact"/>
        <w:rPr>
          <w:sz w:val="20"/>
          <w:szCs w:val="20"/>
          <w:color w:val="auto"/>
        </w:rPr>
      </w:pPr>
    </w:p>
    <w:p>
      <w:pPr>
        <w:ind w:left="1120" w:right="140" w:firstLine="368"/>
        <w:spacing w:after="0" w:line="263" w:lineRule="auto"/>
        <w:rPr>
          <w:sz w:val="20"/>
          <w:szCs w:val="20"/>
          <w:color w:val="auto"/>
        </w:rPr>
      </w:pPr>
      <w:r>
        <w:rPr>
          <w:rFonts w:ascii="Arial" w:cs="Arial" w:eastAsia="Arial" w:hAnsi="Arial"/>
          <w:sz w:val="15"/>
          <w:szCs w:val="15"/>
          <w:color w:val="auto"/>
        </w:rPr>
        <w:t>In general, Rule 144 provides that our affiliates or persons selling shares of our Class A common stock on behalf of our affiliates are entitled to sell upon expiration of the market standoff agreements and lock-up agreements described above, within any three-month period, a number of shares of our Class A common stock that does not exceed the greater of:</w:t>
      </w:r>
    </w:p>
    <w:p>
      <w:pPr>
        <w:spacing w:after="0" w:line="76" w:lineRule="exact"/>
        <w:rPr>
          <w:sz w:val="20"/>
          <w:szCs w:val="20"/>
          <w:color w:val="auto"/>
        </w:rPr>
      </w:pPr>
    </w:p>
    <w:p>
      <w:pPr>
        <w:ind w:left="1840" w:right="620" w:hanging="276"/>
        <w:spacing w:after="0" w:line="275" w:lineRule="auto"/>
        <w:tabs>
          <w:tab w:leader="none" w:pos="1840" w:val="left"/>
        </w:tabs>
        <w:numPr>
          <w:ilvl w:val="0"/>
          <w:numId w:val="93"/>
        </w:numPr>
        <w:rPr>
          <w:rFonts w:ascii="Arial" w:cs="Arial" w:eastAsia="Arial" w:hAnsi="Arial"/>
          <w:sz w:val="15"/>
          <w:szCs w:val="15"/>
          <w:color w:val="auto"/>
        </w:rPr>
      </w:pPr>
      <w:r>
        <w:rPr>
          <w:rFonts w:ascii="Arial" w:cs="Arial" w:eastAsia="Arial" w:hAnsi="Arial"/>
          <w:sz w:val="15"/>
          <w:szCs w:val="15"/>
          <w:color w:val="auto"/>
        </w:rPr>
        <w:t>1% of the number of shares of our Class A common stock then outstanding, which will equal 530,804 shares immediately after the completion of this offering and the concurrent private placement; or</w:t>
      </w:r>
    </w:p>
    <w:p>
      <w:pPr>
        <w:spacing w:after="0" w:line="67" w:lineRule="exact"/>
        <w:rPr>
          <w:rFonts w:ascii="Arial" w:cs="Arial" w:eastAsia="Arial" w:hAnsi="Arial"/>
          <w:sz w:val="15"/>
          <w:szCs w:val="15"/>
          <w:color w:val="auto"/>
        </w:rPr>
      </w:pPr>
    </w:p>
    <w:p>
      <w:pPr>
        <w:ind w:left="1840" w:right="200" w:hanging="276"/>
        <w:spacing w:after="0" w:line="275" w:lineRule="auto"/>
        <w:tabs>
          <w:tab w:leader="none" w:pos="1840" w:val="left"/>
        </w:tabs>
        <w:numPr>
          <w:ilvl w:val="0"/>
          <w:numId w:val="93"/>
        </w:numPr>
        <w:rPr>
          <w:rFonts w:ascii="Arial" w:cs="Arial" w:eastAsia="Arial" w:hAnsi="Arial"/>
          <w:sz w:val="15"/>
          <w:szCs w:val="15"/>
          <w:color w:val="auto"/>
        </w:rPr>
      </w:pPr>
      <w:r>
        <w:rPr>
          <w:rFonts w:ascii="Arial" w:cs="Arial" w:eastAsia="Arial" w:hAnsi="Arial"/>
          <w:sz w:val="15"/>
          <w:szCs w:val="15"/>
          <w:color w:val="auto"/>
        </w:rPr>
        <w:t>the average weekly trading volume of our Class A common stock during the four calendar weeks preceding the filing of a notice on Form 144 with respect to that sale.</w:t>
      </w:r>
    </w:p>
    <w:p>
      <w:pPr>
        <w:spacing w:after="0" w:line="146" w:lineRule="exact"/>
        <w:rPr>
          <w:sz w:val="20"/>
          <w:szCs w:val="20"/>
          <w:color w:val="auto"/>
        </w:rPr>
      </w:pPr>
    </w:p>
    <w:p>
      <w:pPr>
        <w:ind w:left="1120" w:right="40" w:firstLine="368"/>
        <w:spacing w:after="0" w:line="263" w:lineRule="auto"/>
        <w:rPr>
          <w:sz w:val="20"/>
          <w:szCs w:val="20"/>
          <w:color w:val="auto"/>
        </w:rPr>
      </w:pPr>
      <w:r>
        <w:rPr>
          <w:rFonts w:ascii="Arial" w:cs="Arial" w:eastAsia="Arial" w:hAnsi="Arial"/>
          <w:sz w:val="15"/>
          <w:szCs w:val="15"/>
          <w:color w:val="auto"/>
        </w:rPr>
        <w:t>Sales of Class A common stock made in reliance upon Rule 144 by our affiliates or persons selling shares of our Class A common stock on behalf of our affiliates are also subject to certain manner of sale provisions and notice requirements and to the availability of current public information about us.</w:t>
      </w:r>
    </w:p>
    <w:p>
      <w:pPr>
        <w:spacing w:after="0" w:line="241" w:lineRule="exact"/>
        <w:rPr>
          <w:sz w:val="20"/>
          <w:szCs w:val="20"/>
          <w:color w:val="auto"/>
        </w:rPr>
      </w:pPr>
    </w:p>
    <w:p>
      <w:pPr>
        <w:ind w:left="1120"/>
        <w:spacing w:after="0"/>
        <w:rPr>
          <w:sz w:val="20"/>
          <w:szCs w:val="20"/>
          <w:color w:val="auto"/>
        </w:rPr>
      </w:pPr>
      <w:r>
        <w:rPr>
          <w:rFonts w:ascii="Arial" w:cs="Arial" w:eastAsia="Arial" w:hAnsi="Arial"/>
          <w:sz w:val="15"/>
          <w:szCs w:val="15"/>
          <w:b w:val="1"/>
          <w:bCs w:val="1"/>
          <w:color w:val="auto"/>
        </w:rPr>
        <w:t>Rule 701</w:t>
      </w:r>
    </w:p>
    <w:p>
      <w:pPr>
        <w:spacing w:after="0" w:line="102" w:lineRule="exact"/>
        <w:rPr>
          <w:sz w:val="20"/>
          <w:szCs w:val="20"/>
          <w:color w:val="auto"/>
        </w:rPr>
      </w:pPr>
    </w:p>
    <w:p>
      <w:pPr>
        <w:ind w:left="1120" w:right="20" w:firstLine="368"/>
        <w:spacing w:after="0" w:line="305" w:lineRule="auto"/>
        <w:rPr>
          <w:sz w:val="20"/>
          <w:szCs w:val="20"/>
          <w:color w:val="auto"/>
        </w:rPr>
      </w:pPr>
      <w:r>
        <w:rPr>
          <w:rFonts w:ascii="Arial" w:cs="Arial" w:eastAsia="Arial" w:hAnsi="Arial"/>
          <w:sz w:val="13"/>
          <w:szCs w:val="13"/>
          <w:color w:val="auto"/>
        </w:rPr>
        <w:t>Rule 701 generally allows a stockholder who purchased shares of our capital stock pursuant to a written compensatory plan or contract and who is not deemed to have been an affiliate of our company during the immediately preceding 90 days to sell these shares in reliance upon Rule 144, but without being required to comply with the public information, holding period, volume limitation, or notice provisions of Rule 144. Rule 701 also permits affiliates of our company to sell their Rule 701 shares under Rule 144 without complying with the holding period requirements of Rule 144. All holders of Rule 701 shares, however, are required to wait until 90 days after the date of this prospectus before selling those shares pursuant to Rule 701.</w:t>
      </w:r>
    </w:p>
    <w:p>
      <w:pPr>
        <w:spacing w:after="0" w:line="219" w:lineRule="exact"/>
        <w:rPr>
          <w:sz w:val="20"/>
          <w:szCs w:val="20"/>
          <w:color w:val="auto"/>
        </w:rPr>
      </w:pPr>
    </w:p>
    <w:p>
      <w:pPr>
        <w:ind w:left="1120"/>
        <w:spacing w:after="0"/>
        <w:rPr>
          <w:sz w:val="20"/>
          <w:szCs w:val="20"/>
          <w:color w:val="auto"/>
        </w:rPr>
      </w:pPr>
      <w:r>
        <w:rPr>
          <w:rFonts w:ascii="Arial" w:cs="Arial" w:eastAsia="Arial" w:hAnsi="Arial"/>
          <w:sz w:val="15"/>
          <w:szCs w:val="15"/>
          <w:b w:val="1"/>
          <w:bCs w:val="1"/>
          <w:color w:val="auto"/>
        </w:rPr>
        <w:t>Registration Rights</w:t>
      </w:r>
    </w:p>
    <w:p>
      <w:pPr>
        <w:spacing w:after="0" w:line="102" w:lineRule="exact"/>
        <w:rPr>
          <w:sz w:val="20"/>
          <w:szCs w:val="20"/>
          <w:color w:val="auto"/>
        </w:rPr>
      </w:pPr>
    </w:p>
    <w:p>
      <w:pPr>
        <w:ind w:left="1120" w:right="260" w:firstLine="368"/>
        <w:spacing w:after="0" w:line="275" w:lineRule="auto"/>
        <w:rPr>
          <w:sz w:val="20"/>
          <w:szCs w:val="20"/>
          <w:color w:val="auto"/>
        </w:rPr>
      </w:pPr>
      <w:r>
        <w:rPr>
          <w:rFonts w:ascii="Arial" w:cs="Arial" w:eastAsia="Arial" w:hAnsi="Arial"/>
          <w:sz w:val="15"/>
          <w:szCs w:val="15"/>
          <w:color w:val="auto"/>
        </w:rPr>
        <w:t>Pursuant to our IRA, after the completion of this offering and the concurrent private placement, the holders of up to 144,907,822 shares of our Class B common stock and 5,521,778 shares of our Class A common stock,</w:t>
      </w:r>
    </w:p>
    <w:p>
      <w:pPr>
        <w:spacing w:after="0" w:line="90" w:lineRule="exact"/>
        <w:rPr>
          <w:sz w:val="20"/>
          <w:szCs w:val="20"/>
          <w:color w:val="auto"/>
        </w:rPr>
      </w:pPr>
    </w:p>
    <w:p>
      <w:pPr>
        <w:ind w:left="5600"/>
        <w:spacing w:after="0"/>
        <w:rPr>
          <w:sz w:val="20"/>
          <w:szCs w:val="20"/>
          <w:color w:val="auto"/>
        </w:rPr>
      </w:pPr>
      <w:r>
        <w:rPr>
          <w:rFonts w:ascii="Arial" w:cs="Arial" w:eastAsia="Arial" w:hAnsi="Arial"/>
          <w:sz w:val="15"/>
          <w:szCs w:val="15"/>
          <w:color w:val="auto"/>
        </w:rPr>
        <w:t>179</w:t>
      </w:r>
    </w:p>
    <w:p>
      <w:pPr>
        <w:sectPr>
          <w:pgSz w:w="11900" w:h="16838" w:orient="portrait"/>
          <w:cols w:equalWidth="0" w:num="1">
            <w:col w:w="10300"/>
          </w:cols>
          <w:pgMar w:left="240" w:top="408" w:right="1359" w:bottom="1440" w:gutter="0" w:footer="0" w:header="0"/>
        </w:sectPr>
      </w:pPr>
    </w:p>
    <w:bookmarkStart w:id="186" w:name="page187"/>
    <w:bookmarkEnd w:id="186"/>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133350</wp:posOffset>
            </wp:positionH>
            <wp:positionV relativeFrom="page">
              <wp:posOffset>88900</wp:posOffset>
            </wp:positionV>
            <wp:extent cx="7308850" cy="3429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308850" cy="34290"/>
                    </a:xfrm>
                    <a:prstGeom prst="rect">
                      <a:avLst/>
                    </a:prstGeom>
                    <a:noFill/>
                  </pic:spPr>
                </pic:pic>
              </a:graphicData>
            </a:graphic>
          </wp:anchor>
        </w:drawing>
      </w:r>
      <w:hyperlink w:anchor="page7">
        <w:r>
          <w:rPr>
            <w:rFonts w:ascii="Arial" w:cs="Arial" w:eastAsia="Arial" w:hAnsi="Arial"/>
            <w:sz w:val="15"/>
            <w:szCs w:val="15"/>
            <w:b w:val="1"/>
            <w:bCs w:val="1"/>
            <w:u w:val="single" w:color="auto"/>
            <w:color w:val="0000EE"/>
          </w:rPr>
          <w:t>Table of Contents</w:t>
        </w:r>
      </w:hyperlink>
    </w:p>
    <w:p>
      <w:pPr>
        <w:spacing w:after="0" w:line="260" w:lineRule="exact"/>
        <w:rPr>
          <w:sz w:val="20"/>
          <w:szCs w:val="20"/>
          <w:color w:val="auto"/>
        </w:rPr>
      </w:pPr>
    </w:p>
    <w:p>
      <w:pPr>
        <w:ind w:left="1120"/>
        <w:spacing w:after="0" w:line="257" w:lineRule="auto"/>
        <w:rPr>
          <w:sz w:val="20"/>
          <w:szCs w:val="20"/>
          <w:color w:val="auto"/>
        </w:rPr>
      </w:pPr>
      <w:r>
        <w:rPr>
          <w:rFonts w:ascii="Arial" w:cs="Arial" w:eastAsia="Arial" w:hAnsi="Arial"/>
          <w:sz w:val="15"/>
          <w:szCs w:val="15"/>
          <w:color w:val="auto"/>
        </w:rPr>
        <w:t>or certain transferees, will be entitled to certain rights with respect to the registration of the offer and sale of those shares, as converted into an equivalent number of shares of our Class A common stock upon such offer and sale, under the Securities Act. See the section titled “Description of Capital Stock— Registration Rights” for a description of these registration rights. If the offer and sale of these shares of our Class A common stock are registered, the shares will be freely tradable without restriction under the Securities Act, subject to the Rule 144 limitations applicable to affiliates, and a large number of shares may be sold into the public market.</w:t>
      </w:r>
    </w:p>
    <w:p>
      <w:pPr>
        <w:spacing w:after="0" w:line="245" w:lineRule="exact"/>
        <w:rPr>
          <w:sz w:val="20"/>
          <w:szCs w:val="20"/>
          <w:color w:val="auto"/>
        </w:rPr>
      </w:pPr>
    </w:p>
    <w:p>
      <w:pPr>
        <w:ind w:left="1120"/>
        <w:spacing w:after="0"/>
        <w:rPr>
          <w:sz w:val="20"/>
          <w:szCs w:val="20"/>
          <w:color w:val="auto"/>
        </w:rPr>
      </w:pPr>
      <w:r>
        <w:rPr>
          <w:rFonts w:ascii="Arial" w:cs="Arial" w:eastAsia="Arial" w:hAnsi="Arial"/>
          <w:sz w:val="15"/>
          <w:szCs w:val="15"/>
          <w:b w:val="1"/>
          <w:bCs w:val="1"/>
          <w:color w:val="auto"/>
        </w:rPr>
        <w:t>Registration Statement</w:t>
      </w:r>
    </w:p>
    <w:p>
      <w:pPr>
        <w:spacing w:after="0" w:line="102" w:lineRule="exact"/>
        <w:rPr>
          <w:sz w:val="20"/>
          <w:szCs w:val="20"/>
          <w:color w:val="auto"/>
        </w:rPr>
      </w:pPr>
    </w:p>
    <w:p>
      <w:pPr>
        <w:ind w:left="1120" w:firstLine="368"/>
        <w:spacing w:after="0" w:line="255" w:lineRule="auto"/>
        <w:rPr>
          <w:sz w:val="20"/>
          <w:szCs w:val="20"/>
          <w:color w:val="auto"/>
        </w:rPr>
      </w:pPr>
      <w:r>
        <w:rPr>
          <w:rFonts w:ascii="Arial" w:cs="Arial" w:eastAsia="Arial" w:hAnsi="Arial"/>
          <w:sz w:val="15"/>
          <w:szCs w:val="15"/>
          <w:color w:val="auto"/>
        </w:rPr>
        <w:t>We intend to file a registration statement on Form S-8 under the Securities Act promptly after the completion of this offering to register shares of our common stock subject to RSUs and options outstanding, as well as reserved for future issuance, under our equity compensation plans. The registration statement on Form S-8 is expected to become effective immediately upon filing, and shares of our common stock covered by the registration statement will then become eligible for sale in the public market, subject to the Rule 144 limitations applicable to affiliates, vesting restrictions, and any applicable market standoff agreements and lock-up agreements. See the section titled “Executive Compensation—Employee Benefit and Stock Plans” for a description of our equity compensation plans.</w:t>
      </w:r>
    </w:p>
    <w:p>
      <w:pPr>
        <w:spacing w:after="0" w:line="107" w:lineRule="exact"/>
        <w:rPr>
          <w:sz w:val="20"/>
          <w:szCs w:val="20"/>
          <w:color w:val="auto"/>
        </w:rPr>
      </w:pPr>
    </w:p>
    <w:p>
      <w:pPr>
        <w:ind w:left="5600"/>
        <w:spacing w:after="0"/>
        <w:rPr>
          <w:sz w:val="20"/>
          <w:szCs w:val="20"/>
          <w:color w:val="auto"/>
        </w:rPr>
      </w:pPr>
      <w:r>
        <w:rPr>
          <w:rFonts w:ascii="Arial" w:cs="Arial" w:eastAsia="Arial" w:hAnsi="Arial"/>
          <w:sz w:val="15"/>
          <w:szCs w:val="15"/>
          <w:color w:val="auto"/>
        </w:rPr>
        <w:t>180</w:t>
      </w:r>
    </w:p>
    <w:p>
      <w:pPr>
        <w:sectPr>
          <w:pgSz w:w="11900" w:h="16838" w:orient="portrait"/>
          <w:cols w:equalWidth="0" w:num="1">
            <w:col w:w="10300"/>
          </w:cols>
          <w:pgMar w:left="240" w:top="407" w:right="1359" w:bottom="1440" w:gutter="0" w:footer="0" w:header="0"/>
        </w:sectPr>
      </w:pPr>
    </w:p>
    <w:bookmarkStart w:id="187" w:name="page188"/>
    <w:bookmarkEnd w:id="187"/>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133350</wp:posOffset>
            </wp:positionH>
            <wp:positionV relativeFrom="page">
              <wp:posOffset>88900</wp:posOffset>
            </wp:positionV>
            <wp:extent cx="7308850" cy="3429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308850" cy="34290"/>
                    </a:xfrm>
                    <a:prstGeom prst="rect">
                      <a:avLst/>
                    </a:prstGeom>
                    <a:noFill/>
                  </pic:spPr>
                </pic:pic>
              </a:graphicData>
            </a:graphic>
          </wp:anchor>
        </w:drawing>
      </w:r>
      <w:hyperlink w:anchor="page7">
        <w:r>
          <w:rPr>
            <w:rFonts w:ascii="Arial" w:cs="Arial" w:eastAsia="Arial" w:hAnsi="Arial"/>
            <w:sz w:val="15"/>
            <w:szCs w:val="15"/>
            <w:b w:val="1"/>
            <w:bCs w:val="1"/>
            <w:u w:val="single" w:color="auto"/>
            <w:color w:val="0000EE"/>
          </w:rPr>
          <w:t>Table of Contents</w:t>
        </w:r>
      </w:hyperlink>
    </w:p>
    <w:p>
      <w:pPr>
        <w:spacing w:after="0" w:line="256" w:lineRule="exact"/>
        <w:rPr>
          <w:sz w:val="20"/>
          <w:szCs w:val="20"/>
          <w:color w:val="auto"/>
        </w:rPr>
      </w:pPr>
    </w:p>
    <w:p>
      <w:pPr>
        <w:ind w:left="1460"/>
        <w:spacing w:after="0"/>
        <w:rPr>
          <w:sz w:val="20"/>
          <w:szCs w:val="20"/>
          <w:color w:val="auto"/>
        </w:rPr>
      </w:pPr>
      <w:r>
        <w:rPr>
          <w:rFonts w:ascii="Arial" w:cs="Arial" w:eastAsia="Arial" w:hAnsi="Arial"/>
          <w:sz w:val="15"/>
          <w:szCs w:val="15"/>
          <w:b w:val="1"/>
          <w:bCs w:val="1"/>
          <w:color w:val="auto"/>
        </w:rPr>
        <w:t>MATERIAL U.S. FEDERAL INCOME TAX CONSEQUENCES TO NON-U.S. HOLDERS OF OUR CLASS A COMMON STOCK</w:t>
      </w:r>
    </w:p>
    <w:p>
      <w:pPr>
        <w:spacing w:after="0" w:line="192" w:lineRule="exact"/>
        <w:rPr>
          <w:sz w:val="20"/>
          <w:szCs w:val="20"/>
          <w:color w:val="auto"/>
        </w:rPr>
      </w:pPr>
    </w:p>
    <w:p>
      <w:pPr>
        <w:ind w:left="1120" w:right="20" w:firstLine="368"/>
        <w:spacing w:after="0" w:line="276" w:lineRule="auto"/>
        <w:rPr>
          <w:sz w:val="20"/>
          <w:szCs w:val="20"/>
          <w:color w:val="auto"/>
        </w:rPr>
      </w:pPr>
      <w:r>
        <w:rPr>
          <w:rFonts w:ascii="Arial" w:cs="Arial" w:eastAsia="Arial" w:hAnsi="Arial"/>
          <w:sz w:val="14"/>
          <w:szCs w:val="14"/>
          <w:color w:val="auto"/>
        </w:rPr>
        <w:t>The following is a summary of the material U.S. federal income tax consequences to certain non-U.S. holders (as defined below) of the ownership and disposition of our Class A common stock but does not purport to be a complete analysis of all the potential tax considerations relating thereto. This summary is based upon the provisions of the Internal Revenue Code of 1986, as amended, or the Code, Treasury Regulations promulgated thereunder, administrative rulings, and judicial decisions, all as of the date hereof. These authorities may be changed, possibly retroactively, so as to result in U.S. federal income tax consequences different from those set forth below. No ruling from the Internal Revenue Service, or the IRS, has been, or will be, sought with respect to the tax consequences discussed herein, and there can be no assurance that the IRS will not take a position contrary to the tax consequences discussed below or that any position taken by the IRS would not be sustained.</w:t>
      </w:r>
    </w:p>
    <w:p>
      <w:pPr>
        <w:spacing w:after="0" w:line="148" w:lineRule="exact"/>
        <w:rPr>
          <w:sz w:val="20"/>
          <w:szCs w:val="20"/>
          <w:color w:val="auto"/>
        </w:rPr>
      </w:pPr>
    </w:p>
    <w:p>
      <w:pPr>
        <w:ind w:left="1120" w:firstLine="368"/>
        <w:spacing w:after="0" w:line="259" w:lineRule="auto"/>
        <w:rPr>
          <w:sz w:val="20"/>
          <w:szCs w:val="20"/>
          <w:color w:val="auto"/>
        </w:rPr>
      </w:pPr>
      <w:r>
        <w:rPr>
          <w:rFonts w:ascii="Arial" w:cs="Arial" w:eastAsia="Arial" w:hAnsi="Arial"/>
          <w:sz w:val="15"/>
          <w:szCs w:val="15"/>
          <w:color w:val="auto"/>
        </w:rPr>
        <w:t>This summary does not address the tax considerations arising under the laws of any non-U.S., state, or local jurisdiction, or under U.S. federal gift and estate tax laws, except to the limited extent set forth below. In addition, this discussion does not address the application of the Medicare contribution tax on net investment income or any tax considerations applicable to a non-U.S. holder’s particular circumstances or non-U.S. holders that may be subject to special tax rules, including, without limitation:</w:t>
      </w:r>
    </w:p>
    <w:p>
      <w:pPr>
        <w:spacing w:after="0" w:line="79" w:lineRule="exact"/>
        <w:rPr>
          <w:sz w:val="20"/>
          <w:szCs w:val="20"/>
          <w:color w:val="auto"/>
        </w:rPr>
      </w:pPr>
    </w:p>
    <w:p>
      <w:pPr>
        <w:ind w:left="1840" w:right="700" w:hanging="276"/>
        <w:spacing w:after="0" w:line="275" w:lineRule="auto"/>
        <w:tabs>
          <w:tab w:leader="none" w:pos="1840" w:val="left"/>
        </w:tabs>
        <w:numPr>
          <w:ilvl w:val="0"/>
          <w:numId w:val="94"/>
        </w:numPr>
        <w:rPr>
          <w:rFonts w:ascii="Arial" w:cs="Arial" w:eastAsia="Arial" w:hAnsi="Arial"/>
          <w:sz w:val="15"/>
          <w:szCs w:val="15"/>
          <w:color w:val="auto"/>
        </w:rPr>
      </w:pPr>
      <w:r>
        <w:rPr>
          <w:rFonts w:ascii="Arial" w:cs="Arial" w:eastAsia="Arial" w:hAnsi="Arial"/>
          <w:sz w:val="15"/>
          <w:szCs w:val="15"/>
          <w:color w:val="auto"/>
        </w:rPr>
        <w:t>banks, insurance companies or other financial institutions (except to the extent specifically set forth below), regulated investment companies, or real estate investment trusts;</w:t>
      </w:r>
    </w:p>
    <w:p>
      <w:pPr>
        <w:spacing w:after="0" w:line="67" w:lineRule="exact"/>
        <w:rPr>
          <w:rFonts w:ascii="Arial" w:cs="Arial" w:eastAsia="Arial" w:hAnsi="Arial"/>
          <w:sz w:val="15"/>
          <w:szCs w:val="15"/>
          <w:color w:val="auto"/>
        </w:rPr>
      </w:pPr>
    </w:p>
    <w:p>
      <w:pPr>
        <w:ind w:left="1840" w:hanging="276"/>
        <w:spacing w:after="0"/>
        <w:tabs>
          <w:tab w:leader="none" w:pos="1840" w:val="left"/>
        </w:tabs>
        <w:numPr>
          <w:ilvl w:val="0"/>
          <w:numId w:val="94"/>
        </w:numPr>
        <w:rPr>
          <w:rFonts w:ascii="Arial" w:cs="Arial" w:eastAsia="Arial" w:hAnsi="Arial"/>
          <w:sz w:val="15"/>
          <w:szCs w:val="15"/>
          <w:color w:val="auto"/>
        </w:rPr>
      </w:pPr>
      <w:r>
        <w:rPr>
          <w:rFonts w:ascii="Arial" w:cs="Arial" w:eastAsia="Arial" w:hAnsi="Arial"/>
          <w:sz w:val="15"/>
          <w:szCs w:val="15"/>
          <w:color w:val="auto"/>
        </w:rPr>
        <w:t>persons subject to the alternative minimum tax;</w:t>
      </w:r>
    </w:p>
    <w:p>
      <w:pPr>
        <w:spacing w:after="0" w:line="109" w:lineRule="exact"/>
        <w:rPr>
          <w:rFonts w:ascii="Arial" w:cs="Arial" w:eastAsia="Arial" w:hAnsi="Arial"/>
          <w:sz w:val="15"/>
          <w:szCs w:val="15"/>
          <w:color w:val="auto"/>
        </w:rPr>
      </w:pPr>
    </w:p>
    <w:p>
      <w:pPr>
        <w:ind w:left="1840" w:hanging="276"/>
        <w:spacing w:after="0"/>
        <w:tabs>
          <w:tab w:leader="none" w:pos="1840" w:val="left"/>
        </w:tabs>
        <w:numPr>
          <w:ilvl w:val="0"/>
          <w:numId w:val="94"/>
        </w:numPr>
        <w:rPr>
          <w:rFonts w:ascii="Arial" w:cs="Arial" w:eastAsia="Arial" w:hAnsi="Arial"/>
          <w:sz w:val="15"/>
          <w:szCs w:val="15"/>
          <w:color w:val="auto"/>
        </w:rPr>
      </w:pPr>
      <w:r>
        <w:rPr>
          <w:rFonts w:ascii="Arial" w:cs="Arial" w:eastAsia="Arial" w:hAnsi="Arial"/>
          <w:sz w:val="15"/>
          <w:szCs w:val="15"/>
          <w:color w:val="auto"/>
        </w:rPr>
        <w:t>tax-exempt organizations or governmental organizations;</w:t>
      </w:r>
    </w:p>
    <w:p>
      <w:pPr>
        <w:spacing w:after="0" w:line="109" w:lineRule="exact"/>
        <w:rPr>
          <w:rFonts w:ascii="Arial" w:cs="Arial" w:eastAsia="Arial" w:hAnsi="Arial"/>
          <w:sz w:val="15"/>
          <w:szCs w:val="15"/>
          <w:color w:val="auto"/>
        </w:rPr>
      </w:pPr>
    </w:p>
    <w:p>
      <w:pPr>
        <w:ind w:left="1840" w:right="420" w:hanging="276"/>
        <w:spacing w:after="0" w:line="275" w:lineRule="auto"/>
        <w:tabs>
          <w:tab w:leader="none" w:pos="1840" w:val="left"/>
        </w:tabs>
        <w:numPr>
          <w:ilvl w:val="0"/>
          <w:numId w:val="94"/>
        </w:numPr>
        <w:rPr>
          <w:rFonts w:ascii="Arial" w:cs="Arial" w:eastAsia="Arial" w:hAnsi="Arial"/>
          <w:sz w:val="15"/>
          <w:szCs w:val="15"/>
          <w:color w:val="auto"/>
        </w:rPr>
      </w:pPr>
      <w:r>
        <w:rPr>
          <w:rFonts w:ascii="Arial" w:cs="Arial" w:eastAsia="Arial" w:hAnsi="Arial"/>
          <w:sz w:val="15"/>
          <w:szCs w:val="15"/>
          <w:color w:val="auto"/>
        </w:rPr>
        <w:t>controlled foreign corporations, passive foreign investment companies, or corporations that accumulate earnings to avoid U.S. federal income tax;</w:t>
      </w:r>
    </w:p>
    <w:p>
      <w:pPr>
        <w:spacing w:after="0" w:line="67" w:lineRule="exact"/>
        <w:rPr>
          <w:rFonts w:ascii="Arial" w:cs="Arial" w:eastAsia="Arial" w:hAnsi="Arial"/>
          <w:sz w:val="15"/>
          <w:szCs w:val="15"/>
          <w:color w:val="auto"/>
        </w:rPr>
      </w:pPr>
    </w:p>
    <w:p>
      <w:pPr>
        <w:ind w:left="1840" w:hanging="276"/>
        <w:spacing w:after="0"/>
        <w:tabs>
          <w:tab w:leader="none" w:pos="1840" w:val="left"/>
        </w:tabs>
        <w:numPr>
          <w:ilvl w:val="0"/>
          <w:numId w:val="94"/>
        </w:numPr>
        <w:rPr>
          <w:rFonts w:ascii="Arial" w:cs="Arial" w:eastAsia="Arial" w:hAnsi="Arial"/>
          <w:sz w:val="15"/>
          <w:szCs w:val="15"/>
          <w:color w:val="auto"/>
        </w:rPr>
      </w:pPr>
      <w:r>
        <w:rPr>
          <w:rFonts w:ascii="Arial" w:cs="Arial" w:eastAsia="Arial" w:hAnsi="Arial"/>
          <w:sz w:val="15"/>
          <w:szCs w:val="15"/>
          <w:color w:val="auto"/>
        </w:rPr>
        <w:t>brokers or dealers in securities or currencies;</w:t>
      </w:r>
    </w:p>
    <w:p>
      <w:pPr>
        <w:spacing w:after="0" w:line="109" w:lineRule="exact"/>
        <w:rPr>
          <w:rFonts w:ascii="Arial" w:cs="Arial" w:eastAsia="Arial" w:hAnsi="Arial"/>
          <w:sz w:val="15"/>
          <w:szCs w:val="15"/>
          <w:color w:val="auto"/>
        </w:rPr>
      </w:pPr>
    </w:p>
    <w:p>
      <w:pPr>
        <w:ind w:left="1840" w:hanging="276"/>
        <w:spacing w:after="0"/>
        <w:tabs>
          <w:tab w:leader="none" w:pos="1840" w:val="left"/>
        </w:tabs>
        <w:numPr>
          <w:ilvl w:val="0"/>
          <w:numId w:val="94"/>
        </w:numPr>
        <w:rPr>
          <w:rFonts w:ascii="Arial" w:cs="Arial" w:eastAsia="Arial" w:hAnsi="Arial"/>
          <w:sz w:val="15"/>
          <w:szCs w:val="15"/>
          <w:color w:val="auto"/>
        </w:rPr>
      </w:pPr>
      <w:r>
        <w:rPr>
          <w:rFonts w:ascii="Arial" w:cs="Arial" w:eastAsia="Arial" w:hAnsi="Arial"/>
          <w:sz w:val="15"/>
          <w:szCs w:val="15"/>
          <w:color w:val="auto"/>
        </w:rPr>
        <w:t>traders in securities or other persons that elect to use a mark-to-market method of accounting for their holdings in our stock;</w:t>
      </w:r>
    </w:p>
    <w:p>
      <w:pPr>
        <w:spacing w:after="0" w:line="109" w:lineRule="exact"/>
        <w:rPr>
          <w:rFonts w:ascii="Arial" w:cs="Arial" w:eastAsia="Arial" w:hAnsi="Arial"/>
          <w:sz w:val="15"/>
          <w:szCs w:val="15"/>
          <w:color w:val="auto"/>
        </w:rPr>
      </w:pPr>
    </w:p>
    <w:p>
      <w:pPr>
        <w:ind w:left="1840" w:hanging="276"/>
        <w:spacing w:after="0"/>
        <w:tabs>
          <w:tab w:leader="none" w:pos="1840" w:val="left"/>
        </w:tabs>
        <w:numPr>
          <w:ilvl w:val="0"/>
          <w:numId w:val="94"/>
        </w:numPr>
        <w:rPr>
          <w:rFonts w:ascii="Arial" w:cs="Arial" w:eastAsia="Arial" w:hAnsi="Arial"/>
          <w:sz w:val="15"/>
          <w:szCs w:val="15"/>
          <w:color w:val="auto"/>
        </w:rPr>
      </w:pPr>
      <w:r>
        <w:rPr>
          <w:rFonts w:ascii="Arial" w:cs="Arial" w:eastAsia="Arial" w:hAnsi="Arial"/>
          <w:sz w:val="15"/>
          <w:szCs w:val="15"/>
          <w:color w:val="auto"/>
        </w:rPr>
        <w:t>U.S. expatriates or certain former citizens or long-term residents of the United States;</w:t>
      </w:r>
    </w:p>
    <w:p>
      <w:pPr>
        <w:spacing w:after="0" w:line="109" w:lineRule="exact"/>
        <w:rPr>
          <w:rFonts w:ascii="Arial" w:cs="Arial" w:eastAsia="Arial" w:hAnsi="Arial"/>
          <w:sz w:val="15"/>
          <w:szCs w:val="15"/>
          <w:color w:val="auto"/>
        </w:rPr>
      </w:pPr>
    </w:p>
    <w:p>
      <w:pPr>
        <w:ind w:left="1840" w:hanging="276"/>
        <w:spacing w:after="0"/>
        <w:tabs>
          <w:tab w:leader="none" w:pos="1840" w:val="left"/>
        </w:tabs>
        <w:numPr>
          <w:ilvl w:val="0"/>
          <w:numId w:val="94"/>
        </w:numPr>
        <w:rPr>
          <w:rFonts w:ascii="Arial" w:cs="Arial" w:eastAsia="Arial" w:hAnsi="Arial"/>
          <w:sz w:val="13"/>
          <w:szCs w:val="13"/>
          <w:color w:val="auto"/>
        </w:rPr>
      </w:pPr>
      <w:r>
        <w:rPr>
          <w:rFonts w:ascii="Arial" w:cs="Arial" w:eastAsia="Arial" w:hAnsi="Arial"/>
          <w:sz w:val="13"/>
          <w:szCs w:val="13"/>
          <w:color w:val="auto"/>
        </w:rPr>
        <w:t>partnerships or entities classified as partnerships for U.S. federal income tax purposes or other pass-through entities (and investors therein);</w:t>
      </w:r>
    </w:p>
    <w:p>
      <w:pPr>
        <w:spacing w:after="0" w:line="132" w:lineRule="exact"/>
        <w:rPr>
          <w:rFonts w:ascii="Arial" w:cs="Arial" w:eastAsia="Arial" w:hAnsi="Arial"/>
          <w:sz w:val="13"/>
          <w:szCs w:val="13"/>
          <w:color w:val="auto"/>
        </w:rPr>
      </w:pPr>
    </w:p>
    <w:p>
      <w:pPr>
        <w:ind w:left="1840" w:right="420" w:hanging="276"/>
        <w:spacing w:after="0" w:line="275" w:lineRule="auto"/>
        <w:tabs>
          <w:tab w:leader="none" w:pos="1840" w:val="left"/>
        </w:tabs>
        <w:numPr>
          <w:ilvl w:val="0"/>
          <w:numId w:val="94"/>
        </w:numPr>
        <w:rPr>
          <w:rFonts w:ascii="Arial" w:cs="Arial" w:eastAsia="Arial" w:hAnsi="Arial"/>
          <w:sz w:val="15"/>
          <w:szCs w:val="15"/>
          <w:color w:val="auto"/>
        </w:rPr>
      </w:pPr>
      <w:r>
        <w:rPr>
          <w:rFonts w:ascii="Arial" w:cs="Arial" w:eastAsia="Arial" w:hAnsi="Arial"/>
          <w:sz w:val="15"/>
          <w:szCs w:val="15"/>
          <w:color w:val="auto"/>
        </w:rPr>
        <w:t>persons who hold our Class A common stock as a position in a hedging transaction, “straddle,” “conversion transaction,” or other risk reduction transaction or integrated investment;</w:t>
      </w:r>
    </w:p>
    <w:p>
      <w:pPr>
        <w:spacing w:after="0" w:line="67" w:lineRule="exact"/>
        <w:rPr>
          <w:rFonts w:ascii="Arial" w:cs="Arial" w:eastAsia="Arial" w:hAnsi="Arial"/>
          <w:sz w:val="15"/>
          <w:szCs w:val="15"/>
          <w:color w:val="auto"/>
        </w:rPr>
      </w:pPr>
    </w:p>
    <w:p>
      <w:pPr>
        <w:ind w:left="1840" w:right="880" w:hanging="276"/>
        <w:spacing w:after="0" w:line="275" w:lineRule="auto"/>
        <w:tabs>
          <w:tab w:leader="none" w:pos="1840" w:val="left"/>
        </w:tabs>
        <w:numPr>
          <w:ilvl w:val="0"/>
          <w:numId w:val="94"/>
        </w:numPr>
        <w:rPr>
          <w:rFonts w:ascii="Arial" w:cs="Arial" w:eastAsia="Arial" w:hAnsi="Arial"/>
          <w:sz w:val="15"/>
          <w:szCs w:val="15"/>
          <w:color w:val="auto"/>
        </w:rPr>
      </w:pPr>
      <w:r>
        <w:rPr>
          <w:rFonts w:ascii="Arial" w:cs="Arial" w:eastAsia="Arial" w:hAnsi="Arial"/>
          <w:sz w:val="15"/>
          <w:szCs w:val="15"/>
          <w:color w:val="auto"/>
        </w:rPr>
        <w:t>persons who hold or receive our Class A common stock pursuant to the exercise of any employee stock option or otherwise as compensation;</w:t>
      </w:r>
    </w:p>
    <w:p>
      <w:pPr>
        <w:spacing w:after="0" w:line="67" w:lineRule="exact"/>
        <w:rPr>
          <w:rFonts w:ascii="Arial" w:cs="Arial" w:eastAsia="Arial" w:hAnsi="Arial"/>
          <w:sz w:val="15"/>
          <w:szCs w:val="15"/>
          <w:color w:val="auto"/>
        </w:rPr>
      </w:pPr>
    </w:p>
    <w:p>
      <w:pPr>
        <w:ind w:left="1840" w:hanging="276"/>
        <w:spacing w:after="0"/>
        <w:tabs>
          <w:tab w:leader="none" w:pos="1840" w:val="left"/>
        </w:tabs>
        <w:numPr>
          <w:ilvl w:val="0"/>
          <w:numId w:val="94"/>
        </w:numPr>
        <w:rPr>
          <w:rFonts w:ascii="Arial" w:cs="Arial" w:eastAsia="Arial" w:hAnsi="Arial"/>
          <w:sz w:val="15"/>
          <w:szCs w:val="15"/>
          <w:color w:val="auto"/>
        </w:rPr>
      </w:pPr>
      <w:r>
        <w:rPr>
          <w:rFonts w:ascii="Arial" w:cs="Arial" w:eastAsia="Arial" w:hAnsi="Arial"/>
          <w:sz w:val="15"/>
          <w:szCs w:val="15"/>
          <w:color w:val="auto"/>
        </w:rPr>
        <w:t>persons who do not hold our Class A common stock as a capital asset within the meaning of Section 1221 of the Code;</w:t>
      </w:r>
    </w:p>
    <w:p>
      <w:pPr>
        <w:spacing w:after="0" w:line="109" w:lineRule="exact"/>
        <w:rPr>
          <w:rFonts w:ascii="Arial" w:cs="Arial" w:eastAsia="Arial" w:hAnsi="Arial"/>
          <w:sz w:val="15"/>
          <w:szCs w:val="15"/>
          <w:color w:val="auto"/>
        </w:rPr>
      </w:pPr>
    </w:p>
    <w:p>
      <w:pPr>
        <w:ind w:left="1840" w:hanging="276"/>
        <w:spacing w:after="0"/>
        <w:tabs>
          <w:tab w:leader="none" w:pos="1840" w:val="left"/>
        </w:tabs>
        <w:numPr>
          <w:ilvl w:val="0"/>
          <w:numId w:val="94"/>
        </w:numPr>
        <w:rPr>
          <w:rFonts w:ascii="Arial" w:cs="Arial" w:eastAsia="Arial" w:hAnsi="Arial"/>
          <w:sz w:val="15"/>
          <w:szCs w:val="15"/>
          <w:color w:val="auto"/>
        </w:rPr>
      </w:pPr>
      <w:r>
        <w:rPr>
          <w:rFonts w:ascii="Arial" w:cs="Arial" w:eastAsia="Arial" w:hAnsi="Arial"/>
          <w:sz w:val="15"/>
          <w:szCs w:val="15"/>
          <w:color w:val="auto"/>
        </w:rPr>
        <w:t>persons deemed to sell our Class A common stock under the constructive sale provisions of the Code;</w:t>
      </w:r>
    </w:p>
    <w:p>
      <w:pPr>
        <w:spacing w:after="0" w:line="109" w:lineRule="exact"/>
        <w:rPr>
          <w:rFonts w:ascii="Arial" w:cs="Arial" w:eastAsia="Arial" w:hAnsi="Arial"/>
          <w:sz w:val="15"/>
          <w:szCs w:val="15"/>
          <w:color w:val="auto"/>
        </w:rPr>
      </w:pPr>
    </w:p>
    <w:p>
      <w:pPr>
        <w:ind w:left="1840" w:right="300" w:hanging="276"/>
        <w:spacing w:after="0" w:line="275" w:lineRule="auto"/>
        <w:tabs>
          <w:tab w:leader="none" w:pos="1840" w:val="left"/>
        </w:tabs>
        <w:numPr>
          <w:ilvl w:val="0"/>
          <w:numId w:val="94"/>
        </w:numPr>
        <w:rPr>
          <w:rFonts w:ascii="Arial" w:cs="Arial" w:eastAsia="Arial" w:hAnsi="Arial"/>
          <w:sz w:val="15"/>
          <w:szCs w:val="15"/>
          <w:color w:val="auto"/>
        </w:rPr>
      </w:pPr>
      <w:r>
        <w:rPr>
          <w:rFonts w:ascii="Arial" w:cs="Arial" w:eastAsia="Arial" w:hAnsi="Arial"/>
          <w:sz w:val="15"/>
          <w:szCs w:val="15"/>
          <w:color w:val="auto"/>
        </w:rPr>
        <w:t>persons that own, or are deemed to own, more than five percent of our Class A common stock (except to the extent specifically set forth below); or</w:t>
      </w:r>
    </w:p>
    <w:p>
      <w:pPr>
        <w:spacing w:after="0" w:line="67" w:lineRule="exact"/>
        <w:rPr>
          <w:rFonts w:ascii="Arial" w:cs="Arial" w:eastAsia="Arial" w:hAnsi="Arial"/>
          <w:sz w:val="15"/>
          <w:szCs w:val="15"/>
          <w:color w:val="auto"/>
        </w:rPr>
      </w:pPr>
    </w:p>
    <w:p>
      <w:pPr>
        <w:ind w:left="1840" w:hanging="276"/>
        <w:spacing w:after="0"/>
        <w:tabs>
          <w:tab w:leader="none" w:pos="1840" w:val="left"/>
        </w:tabs>
        <w:numPr>
          <w:ilvl w:val="0"/>
          <w:numId w:val="94"/>
        </w:numPr>
        <w:rPr>
          <w:rFonts w:ascii="Arial" w:cs="Arial" w:eastAsia="Arial" w:hAnsi="Arial"/>
          <w:sz w:val="15"/>
          <w:szCs w:val="15"/>
          <w:color w:val="auto"/>
        </w:rPr>
      </w:pPr>
      <w:r>
        <w:rPr>
          <w:rFonts w:ascii="Arial" w:cs="Arial" w:eastAsia="Arial" w:hAnsi="Arial"/>
          <w:sz w:val="15"/>
          <w:szCs w:val="15"/>
          <w:color w:val="auto"/>
        </w:rPr>
        <w:t>persons that own, or are deemed to own, our Class B common stock.</w:t>
      </w:r>
    </w:p>
    <w:p>
      <w:pPr>
        <w:spacing w:after="0" w:line="188" w:lineRule="exact"/>
        <w:rPr>
          <w:sz w:val="20"/>
          <w:szCs w:val="20"/>
          <w:color w:val="auto"/>
        </w:rPr>
      </w:pPr>
    </w:p>
    <w:p>
      <w:pPr>
        <w:ind w:left="1120" w:firstLine="368"/>
        <w:spacing w:after="0" w:line="263" w:lineRule="auto"/>
        <w:rPr>
          <w:sz w:val="20"/>
          <w:szCs w:val="20"/>
          <w:color w:val="auto"/>
        </w:rPr>
      </w:pPr>
      <w:r>
        <w:rPr>
          <w:rFonts w:ascii="Arial" w:cs="Arial" w:eastAsia="Arial" w:hAnsi="Arial"/>
          <w:sz w:val="15"/>
          <w:szCs w:val="15"/>
          <w:color w:val="auto"/>
        </w:rPr>
        <w:t>In addition, if a partnership or entity classified as a partnership for U.S. federal income tax purposes holds our Class A common stock, the tax treatment of a partner generally will depend on the status of the partner and upon the activities of the partnership. Accordingly, partnerships that hold our Class A common stock, and partners in such partnerships, should consult their tax advisors.</w:t>
      </w:r>
    </w:p>
    <w:p>
      <w:pPr>
        <w:spacing w:after="0" w:line="98" w:lineRule="exact"/>
        <w:rPr>
          <w:sz w:val="20"/>
          <w:szCs w:val="20"/>
          <w:color w:val="auto"/>
        </w:rPr>
      </w:pPr>
    </w:p>
    <w:p>
      <w:pPr>
        <w:ind w:left="5600"/>
        <w:spacing w:after="0"/>
        <w:rPr>
          <w:sz w:val="20"/>
          <w:szCs w:val="20"/>
          <w:color w:val="auto"/>
        </w:rPr>
      </w:pPr>
      <w:r>
        <w:rPr>
          <w:rFonts w:ascii="Arial" w:cs="Arial" w:eastAsia="Arial" w:hAnsi="Arial"/>
          <w:sz w:val="15"/>
          <w:szCs w:val="15"/>
          <w:color w:val="auto"/>
        </w:rPr>
        <w:t>181</w:t>
      </w:r>
    </w:p>
    <w:p>
      <w:pPr>
        <w:sectPr>
          <w:pgSz w:w="11900" w:h="16838" w:orient="portrait"/>
          <w:cols w:equalWidth="0" w:num="1">
            <w:col w:w="10300"/>
          </w:cols>
          <w:pgMar w:left="240" w:top="408" w:right="1359" w:bottom="1440" w:gutter="0" w:footer="0" w:header="0"/>
        </w:sectPr>
      </w:pPr>
    </w:p>
    <w:bookmarkStart w:id="188" w:name="page189"/>
    <w:bookmarkEnd w:id="188"/>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133350</wp:posOffset>
            </wp:positionH>
            <wp:positionV relativeFrom="page">
              <wp:posOffset>88900</wp:posOffset>
            </wp:positionV>
            <wp:extent cx="7308850" cy="3429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308850" cy="34290"/>
                    </a:xfrm>
                    <a:prstGeom prst="rect">
                      <a:avLst/>
                    </a:prstGeom>
                    <a:noFill/>
                  </pic:spPr>
                </pic:pic>
              </a:graphicData>
            </a:graphic>
          </wp:anchor>
        </w:drawing>
      </w:r>
      <w:hyperlink w:anchor="page7">
        <w:r>
          <w:rPr>
            <w:rFonts w:ascii="Arial" w:cs="Arial" w:eastAsia="Arial" w:hAnsi="Arial"/>
            <w:sz w:val="15"/>
            <w:szCs w:val="15"/>
            <w:b w:val="1"/>
            <w:bCs w:val="1"/>
            <w:u w:val="single" w:color="auto"/>
            <w:color w:val="0000EE"/>
          </w:rPr>
          <w:t>Table of Contents</w:t>
        </w:r>
      </w:hyperlink>
    </w:p>
    <w:p>
      <w:pPr>
        <w:spacing w:after="0" w:line="256" w:lineRule="exact"/>
        <w:rPr>
          <w:sz w:val="20"/>
          <w:szCs w:val="20"/>
          <w:color w:val="auto"/>
        </w:rPr>
      </w:pPr>
    </w:p>
    <w:p>
      <w:pPr>
        <w:jc w:val="both"/>
        <w:ind w:left="1120" w:right="80" w:firstLine="368"/>
        <w:spacing w:after="0" w:line="293" w:lineRule="auto"/>
        <w:rPr>
          <w:sz w:val="20"/>
          <w:szCs w:val="20"/>
          <w:color w:val="auto"/>
        </w:rPr>
      </w:pPr>
      <w:r>
        <w:rPr>
          <w:rFonts w:ascii="Arial" w:cs="Arial" w:eastAsia="Arial" w:hAnsi="Arial"/>
          <w:sz w:val="14"/>
          <w:szCs w:val="14"/>
          <w:b w:val="1"/>
          <w:bCs w:val="1"/>
          <w:color w:val="auto"/>
        </w:rPr>
        <w:t>You are urged to consult your tax advisor with respect to the application of the U.S. federal income tax laws to your particular situation, as well as any tax consequences of the acquisition, ownership, and disposition of our common stock arising under the U.S. federal estate or gift tax rules, under the laws of any state, local, non-U.S., or other taxing jurisdiction, or under any applicable tax treaty.</w:t>
      </w:r>
    </w:p>
    <w:p>
      <w:pPr>
        <w:spacing w:after="0" w:line="222" w:lineRule="exact"/>
        <w:rPr>
          <w:sz w:val="20"/>
          <w:szCs w:val="20"/>
          <w:color w:val="auto"/>
        </w:rPr>
      </w:pPr>
    </w:p>
    <w:p>
      <w:pPr>
        <w:ind w:left="1120"/>
        <w:spacing w:after="0"/>
        <w:rPr>
          <w:sz w:val="20"/>
          <w:szCs w:val="20"/>
          <w:color w:val="auto"/>
        </w:rPr>
      </w:pPr>
      <w:r>
        <w:rPr>
          <w:rFonts w:ascii="Arial" w:cs="Arial" w:eastAsia="Arial" w:hAnsi="Arial"/>
          <w:sz w:val="15"/>
          <w:szCs w:val="15"/>
          <w:b w:val="1"/>
          <w:bCs w:val="1"/>
          <w:color w:val="auto"/>
        </w:rPr>
        <w:t>Non-U.S. Holder Defined</w:t>
      </w:r>
    </w:p>
    <w:p>
      <w:pPr>
        <w:spacing w:after="0" w:line="102" w:lineRule="exact"/>
        <w:rPr>
          <w:sz w:val="20"/>
          <w:szCs w:val="20"/>
          <w:color w:val="auto"/>
        </w:rPr>
      </w:pPr>
    </w:p>
    <w:p>
      <w:pPr>
        <w:ind w:left="1120" w:right="660" w:firstLine="368"/>
        <w:spacing w:after="0" w:line="312" w:lineRule="auto"/>
        <w:rPr>
          <w:sz w:val="20"/>
          <w:szCs w:val="20"/>
          <w:color w:val="auto"/>
        </w:rPr>
      </w:pPr>
      <w:r>
        <w:rPr>
          <w:rFonts w:ascii="Arial" w:cs="Arial" w:eastAsia="Arial" w:hAnsi="Arial"/>
          <w:sz w:val="14"/>
          <w:szCs w:val="14"/>
          <w:color w:val="auto"/>
        </w:rPr>
        <w:t>For purposes of this discussion, you are a non-U.S. holder if you are a holder of our common stock that is not a partnership (or entity or arrangement treated as a partnership for U.S. federal income tax purposes) and is not any of the following:</w:t>
      </w:r>
    </w:p>
    <w:p>
      <w:pPr>
        <w:spacing w:after="0" w:line="44" w:lineRule="exact"/>
        <w:rPr>
          <w:sz w:val="20"/>
          <w:szCs w:val="20"/>
          <w:color w:val="auto"/>
        </w:rPr>
      </w:pPr>
    </w:p>
    <w:p>
      <w:pPr>
        <w:ind w:left="1840" w:hanging="276"/>
        <w:spacing w:after="0"/>
        <w:tabs>
          <w:tab w:leader="none" w:pos="1840" w:val="left"/>
        </w:tabs>
        <w:numPr>
          <w:ilvl w:val="0"/>
          <w:numId w:val="95"/>
        </w:numPr>
        <w:rPr>
          <w:rFonts w:ascii="Arial" w:cs="Arial" w:eastAsia="Arial" w:hAnsi="Arial"/>
          <w:sz w:val="15"/>
          <w:szCs w:val="15"/>
          <w:color w:val="auto"/>
        </w:rPr>
      </w:pPr>
      <w:r>
        <w:rPr>
          <w:rFonts w:ascii="Arial" w:cs="Arial" w:eastAsia="Arial" w:hAnsi="Arial"/>
          <w:sz w:val="15"/>
          <w:szCs w:val="15"/>
          <w:color w:val="auto"/>
        </w:rPr>
        <w:t>an individual who is a citizen or resident of the United States (for U.S. federal income tax purposes);</w:t>
      </w:r>
    </w:p>
    <w:p>
      <w:pPr>
        <w:spacing w:after="0" w:line="109" w:lineRule="exact"/>
        <w:rPr>
          <w:rFonts w:ascii="Arial" w:cs="Arial" w:eastAsia="Arial" w:hAnsi="Arial"/>
          <w:sz w:val="15"/>
          <w:szCs w:val="15"/>
          <w:color w:val="auto"/>
        </w:rPr>
      </w:pPr>
    </w:p>
    <w:p>
      <w:pPr>
        <w:ind w:left="1840" w:right="100" w:hanging="276"/>
        <w:spacing w:after="0" w:line="275" w:lineRule="auto"/>
        <w:tabs>
          <w:tab w:leader="none" w:pos="1840" w:val="left"/>
        </w:tabs>
        <w:numPr>
          <w:ilvl w:val="0"/>
          <w:numId w:val="95"/>
        </w:numPr>
        <w:rPr>
          <w:rFonts w:ascii="Arial" w:cs="Arial" w:eastAsia="Arial" w:hAnsi="Arial"/>
          <w:sz w:val="15"/>
          <w:szCs w:val="15"/>
          <w:color w:val="auto"/>
        </w:rPr>
      </w:pPr>
      <w:r>
        <w:rPr>
          <w:rFonts w:ascii="Arial" w:cs="Arial" w:eastAsia="Arial" w:hAnsi="Arial"/>
          <w:sz w:val="15"/>
          <w:szCs w:val="15"/>
          <w:color w:val="auto"/>
        </w:rPr>
        <w:t>a corporation or other entity taxable as a corporation created or organized in the United States or under the laws of the United States or any political subdivision thereof or other entity treated as such for U.S. federal income tax purposes;</w:t>
      </w:r>
    </w:p>
    <w:p>
      <w:pPr>
        <w:spacing w:after="0" w:line="67" w:lineRule="exact"/>
        <w:rPr>
          <w:rFonts w:ascii="Arial" w:cs="Arial" w:eastAsia="Arial" w:hAnsi="Arial"/>
          <w:sz w:val="15"/>
          <w:szCs w:val="15"/>
          <w:color w:val="auto"/>
        </w:rPr>
      </w:pPr>
    </w:p>
    <w:p>
      <w:pPr>
        <w:ind w:left="1840" w:hanging="276"/>
        <w:spacing w:after="0"/>
        <w:tabs>
          <w:tab w:leader="none" w:pos="1840" w:val="left"/>
        </w:tabs>
        <w:numPr>
          <w:ilvl w:val="0"/>
          <w:numId w:val="95"/>
        </w:numPr>
        <w:rPr>
          <w:rFonts w:ascii="Arial" w:cs="Arial" w:eastAsia="Arial" w:hAnsi="Arial"/>
          <w:sz w:val="15"/>
          <w:szCs w:val="15"/>
          <w:color w:val="auto"/>
        </w:rPr>
      </w:pPr>
      <w:r>
        <w:rPr>
          <w:rFonts w:ascii="Arial" w:cs="Arial" w:eastAsia="Arial" w:hAnsi="Arial"/>
          <w:sz w:val="15"/>
          <w:szCs w:val="15"/>
          <w:color w:val="auto"/>
        </w:rPr>
        <w:t>an estate whose income is subject to U.S. federal income tax regardless of its source; or</w:t>
      </w:r>
    </w:p>
    <w:p>
      <w:pPr>
        <w:spacing w:after="0" w:line="109" w:lineRule="exact"/>
        <w:rPr>
          <w:rFonts w:ascii="Arial" w:cs="Arial" w:eastAsia="Arial" w:hAnsi="Arial"/>
          <w:sz w:val="15"/>
          <w:szCs w:val="15"/>
          <w:color w:val="auto"/>
        </w:rPr>
      </w:pPr>
    </w:p>
    <w:p>
      <w:pPr>
        <w:jc w:val="both"/>
        <w:ind w:left="1840" w:right="120" w:hanging="276"/>
        <w:spacing w:after="0" w:line="263" w:lineRule="auto"/>
        <w:tabs>
          <w:tab w:leader="none" w:pos="1840" w:val="left"/>
        </w:tabs>
        <w:numPr>
          <w:ilvl w:val="0"/>
          <w:numId w:val="95"/>
        </w:numPr>
        <w:rPr>
          <w:rFonts w:ascii="Arial" w:cs="Arial" w:eastAsia="Arial" w:hAnsi="Arial"/>
          <w:sz w:val="15"/>
          <w:szCs w:val="15"/>
          <w:color w:val="auto"/>
        </w:rPr>
      </w:pPr>
      <w:r>
        <w:rPr>
          <w:rFonts w:ascii="Arial" w:cs="Arial" w:eastAsia="Arial" w:hAnsi="Arial"/>
          <w:sz w:val="15"/>
          <w:szCs w:val="15"/>
          <w:color w:val="auto"/>
        </w:rPr>
        <w:t>a trust (x) whose administration is subject to the primary supervision of a U.S. court and which has one or more “U.S. persons” (within the meaning of Section 7701(a)(3) of the Code) who have the authority to control all substantial decisions of the trust or (y) which has made a valid election to be treated as a U.S. person.</w:t>
      </w:r>
    </w:p>
    <w:p>
      <w:pPr>
        <w:spacing w:after="0" w:line="241" w:lineRule="exact"/>
        <w:rPr>
          <w:sz w:val="20"/>
          <w:szCs w:val="20"/>
          <w:color w:val="auto"/>
        </w:rPr>
      </w:pPr>
    </w:p>
    <w:p>
      <w:pPr>
        <w:ind w:left="1120"/>
        <w:spacing w:after="0"/>
        <w:rPr>
          <w:sz w:val="20"/>
          <w:szCs w:val="20"/>
          <w:color w:val="auto"/>
        </w:rPr>
      </w:pPr>
      <w:r>
        <w:rPr>
          <w:rFonts w:ascii="Arial" w:cs="Arial" w:eastAsia="Arial" w:hAnsi="Arial"/>
          <w:sz w:val="15"/>
          <w:szCs w:val="15"/>
          <w:b w:val="1"/>
          <w:bCs w:val="1"/>
          <w:color w:val="auto"/>
        </w:rPr>
        <w:t>Distributions</w:t>
      </w:r>
    </w:p>
    <w:p>
      <w:pPr>
        <w:spacing w:after="0" w:line="102" w:lineRule="exact"/>
        <w:rPr>
          <w:sz w:val="20"/>
          <w:szCs w:val="20"/>
          <w:color w:val="auto"/>
        </w:rPr>
      </w:pPr>
    </w:p>
    <w:p>
      <w:pPr>
        <w:ind w:left="1120" w:firstLine="368"/>
        <w:spacing w:after="0" w:line="277" w:lineRule="auto"/>
        <w:rPr>
          <w:sz w:val="20"/>
          <w:szCs w:val="20"/>
          <w:color w:val="auto"/>
        </w:rPr>
      </w:pPr>
      <w:r>
        <w:rPr>
          <w:rFonts w:ascii="Arial" w:cs="Arial" w:eastAsia="Arial" w:hAnsi="Arial"/>
          <w:sz w:val="14"/>
          <w:szCs w:val="14"/>
          <w:color w:val="auto"/>
        </w:rPr>
        <w:t>As described in the section titled “Dividend Policy,” we have never declared or paid cash dividends on our capital stock and do not anticipate paying any dividends on our capital stock in the foreseeable future. However, if we do make distributions on our Class A common stock, those payments will constitute dividends for U.S. tax purposes to the extent paid from our current or accumulated earnings and profits, as determined under U.S. federal income tax principles. To the extent those distributions exceed both our current and our accumulated earnings and profits, they will constitute a return of capital and will first reduce your basis in our Class A common stock, but not below zero, and then will be treated as gain from the sale of stock as described below under “—Gain on Disposition of Our Class A Common Stock.”</w:t>
      </w:r>
    </w:p>
    <w:p>
      <w:pPr>
        <w:spacing w:after="0" w:line="148" w:lineRule="exact"/>
        <w:rPr>
          <w:sz w:val="20"/>
          <w:szCs w:val="20"/>
          <w:color w:val="auto"/>
        </w:rPr>
      </w:pPr>
    </w:p>
    <w:p>
      <w:pPr>
        <w:ind w:left="1120" w:right="20" w:firstLine="368"/>
        <w:spacing w:after="0" w:line="273" w:lineRule="auto"/>
        <w:rPr>
          <w:sz w:val="20"/>
          <w:szCs w:val="20"/>
          <w:color w:val="auto"/>
        </w:rPr>
      </w:pPr>
      <w:r>
        <w:rPr>
          <w:rFonts w:ascii="Arial" w:cs="Arial" w:eastAsia="Arial" w:hAnsi="Arial"/>
          <w:sz w:val="14"/>
          <w:szCs w:val="14"/>
          <w:color w:val="auto"/>
        </w:rPr>
        <w:t>Except as otherwise described below in the discussions of effectively connected income (in the next paragraph), backup withholding and FATCA, any dividend paid to you generally will be subject to U.S. withholding tax either at a rate of 30% of the gross amount of the dividend or such lower rate as may be specified by an applicable income tax treaty. In order to receive a reduced treaty rate, you must provide us with an IRS Form W-8BEN, IRS Form W-8BEN-E, or other appropriate version of IRS Form W-8, including any required attachments and your taxpayer identification number, certifying qualification for the reduced rate; additionally you will be required to update such Forms and certifications from time to time as required by law. A non-U.S. holder of shares of our Class A common stock eligible for a reduced rate of U.S. withholding tax pursuant to an income tax treaty may obtain a refund of any excess amounts withheld by timely filing an appropriate claim for refund with the IRS. If the non-U.S. holder holds the stock through a financial institution or other agent acting on the non-U.S. holder’s behalf, the non-U.S. holder will be required to provide appropriate documentation to the agent, which then will be required to provide certification to us or our paying agent, either directly or through other intermediaries. Non-U.S. holders should consult their tax advisors regarding their entitlement to benefits under an applicable income tax treaty.</w:t>
      </w:r>
    </w:p>
    <w:p>
      <w:pPr>
        <w:spacing w:after="0" w:line="154" w:lineRule="exact"/>
        <w:rPr>
          <w:sz w:val="20"/>
          <w:szCs w:val="20"/>
          <w:color w:val="auto"/>
        </w:rPr>
      </w:pPr>
    </w:p>
    <w:p>
      <w:pPr>
        <w:ind w:left="1120" w:right="20" w:firstLine="368"/>
        <w:spacing w:after="0" w:line="322" w:lineRule="auto"/>
        <w:rPr>
          <w:sz w:val="20"/>
          <w:szCs w:val="20"/>
          <w:color w:val="auto"/>
        </w:rPr>
      </w:pPr>
      <w:r>
        <w:rPr>
          <w:rFonts w:ascii="Arial" w:cs="Arial" w:eastAsia="Arial" w:hAnsi="Arial"/>
          <w:sz w:val="13"/>
          <w:szCs w:val="13"/>
          <w:color w:val="auto"/>
        </w:rPr>
        <w:t>Dividends received by you that are effectively connected with your conduct of a U.S. trade or business (and, if required by an applicable income tax treaty, attributable to a permanent establishment maintained by you in the United States) are generally exempt from such withholding tax. In order to obtain this exemption, you must provide us with an IRS Form W-8ECI or other applicable IRS Form W-8, including any required attachments</w:t>
      </w:r>
    </w:p>
    <w:p>
      <w:pPr>
        <w:spacing w:after="0" w:line="64" w:lineRule="exact"/>
        <w:rPr>
          <w:sz w:val="20"/>
          <w:szCs w:val="20"/>
          <w:color w:val="auto"/>
        </w:rPr>
      </w:pPr>
    </w:p>
    <w:p>
      <w:pPr>
        <w:ind w:left="5600"/>
        <w:spacing w:after="0"/>
        <w:rPr>
          <w:sz w:val="20"/>
          <w:szCs w:val="20"/>
          <w:color w:val="auto"/>
        </w:rPr>
      </w:pPr>
      <w:r>
        <w:rPr>
          <w:rFonts w:ascii="Arial" w:cs="Arial" w:eastAsia="Arial" w:hAnsi="Arial"/>
          <w:sz w:val="15"/>
          <w:szCs w:val="15"/>
          <w:color w:val="auto"/>
        </w:rPr>
        <w:t>182</w:t>
      </w:r>
    </w:p>
    <w:p>
      <w:pPr>
        <w:sectPr>
          <w:pgSz w:w="11900" w:h="16838" w:orient="portrait"/>
          <w:cols w:equalWidth="0" w:num="1">
            <w:col w:w="10300"/>
          </w:cols>
          <w:pgMar w:left="240" w:top="408" w:right="1359" w:bottom="1440" w:gutter="0" w:footer="0" w:header="0"/>
        </w:sectPr>
      </w:pPr>
    </w:p>
    <w:bookmarkStart w:id="189" w:name="page190"/>
    <w:bookmarkEnd w:id="189"/>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133350</wp:posOffset>
            </wp:positionH>
            <wp:positionV relativeFrom="page">
              <wp:posOffset>88900</wp:posOffset>
            </wp:positionV>
            <wp:extent cx="7308850" cy="3429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308850" cy="34290"/>
                    </a:xfrm>
                    <a:prstGeom prst="rect">
                      <a:avLst/>
                    </a:prstGeom>
                    <a:noFill/>
                  </pic:spPr>
                </pic:pic>
              </a:graphicData>
            </a:graphic>
          </wp:anchor>
        </w:drawing>
      </w:r>
      <w:hyperlink w:anchor="page7">
        <w:r>
          <w:rPr>
            <w:rFonts w:ascii="Arial" w:cs="Arial" w:eastAsia="Arial" w:hAnsi="Arial"/>
            <w:sz w:val="15"/>
            <w:szCs w:val="15"/>
            <w:b w:val="1"/>
            <w:bCs w:val="1"/>
            <w:u w:val="single" w:color="auto"/>
            <w:color w:val="0000EE"/>
          </w:rPr>
          <w:t>Table of Contents</w:t>
        </w:r>
      </w:hyperlink>
    </w:p>
    <w:p>
      <w:pPr>
        <w:spacing w:after="0" w:line="260" w:lineRule="exact"/>
        <w:rPr>
          <w:sz w:val="20"/>
          <w:szCs w:val="20"/>
          <w:color w:val="auto"/>
        </w:rPr>
      </w:pPr>
    </w:p>
    <w:p>
      <w:pPr>
        <w:ind w:left="1120" w:right="40"/>
        <w:spacing w:after="0" w:line="255" w:lineRule="auto"/>
        <w:rPr>
          <w:sz w:val="20"/>
          <w:szCs w:val="20"/>
          <w:color w:val="auto"/>
        </w:rPr>
      </w:pPr>
      <w:r>
        <w:rPr>
          <w:rFonts w:ascii="Arial" w:cs="Arial" w:eastAsia="Arial" w:hAnsi="Arial"/>
          <w:sz w:val="15"/>
          <w:szCs w:val="15"/>
          <w:color w:val="auto"/>
        </w:rPr>
        <w:t>and your taxpayer identification number; additionally you will be required to update such forms and certifications from time to time as required by law. Such effectively connected dividends, although not subject to withholding tax, are includable on your U.S. income tax return and generally taxed to you at the same graduated rates applicable to U.S. persons, net of certain deductions and credits. If you are a corporate non-U.S. holder, dividends you receive that are effectively connected with your conduct of a U.S. trade or business may also be subject to a branch profits tax at a rate of 30% or such lower rate as may be specified by an applicable income tax treaty. You should consult your tax advisor regarding any applicable tax treaties that may provide for different rules.</w:t>
      </w:r>
    </w:p>
    <w:p>
      <w:pPr>
        <w:spacing w:after="0" w:line="250" w:lineRule="exact"/>
        <w:rPr>
          <w:sz w:val="20"/>
          <w:szCs w:val="20"/>
          <w:color w:val="auto"/>
        </w:rPr>
      </w:pPr>
    </w:p>
    <w:p>
      <w:pPr>
        <w:ind w:left="1120"/>
        <w:spacing w:after="0"/>
        <w:rPr>
          <w:sz w:val="20"/>
          <w:szCs w:val="20"/>
          <w:color w:val="auto"/>
        </w:rPr>
      </w:pPr>
      <w:r>
        <w:rPr>
          <w:rFonts w:ascii="Arial" w:cs="Arial" w:eastAsia="Arial" w:hAnsi="Arial"/>
          <w:sz w:val="15"/>
          <w:szCs w:val="15"/>
          <w:b w:val="1"/>
          <w:bCs w:val="1"/>
          <w:color w:val="auto"/>
        </w:rPr>
        <w:t>Gain on Disposition of Our Class A Common Stock</w:t>
      </w:r>
    </w:p>
    <w:p>
      <w:pPr>
        <w:spacing w:after="0" w:line="102" w:lineRule="exact"/>
        <w:rPr>
          <w:sz w:val="20"/>
          <w:szCs w:val="20"/>
          <w:color w:val="auto"/>
        </w:rPr>
      </w:pPr>
    </w:p>
    <w:p>
      <w:pPr>
        <w:ind w:left="1120" w:right="380" w:firstLine="368"/>
        <w:spacing w:after="0" w:line="275" w:lineRule="auto"/>
        <w:rPr>
          <w:sz w:val="20"/>
          <w:szCs w:val="20"/>
          <w:color w:val="auto"/>
        </w:rPr>
      </w:pPr>
      <w:r>
        <w:rPr>
          <w:rFonts w:ascii="Arial" w:cs="Arial" w:eastAsia="Arial" w:hAnsi="Arial"/>
          <w:sz w:val="15"/>
          <w:szCs w:val="15"/>
          <w:color w:val="auto"/>
        </w:rPr>
        <w:t>Except as otherwise described below in the discussions of backup withholding and FATCA, you generally will not be subject to U.S. federal income tax on any gain realized upon the sale or other disposition of our Class A common stock unless:</w:t>
      </w:r>
    </w:p>
    <w:p>
      <w:pPr>
        <w:spacing w:after="0" w:line="67" w:lineRule="exact"/>
        <w:rPr>
          <w:sz w:val="20"/>
          <w:szCs w:val="20"/>
          <w:color w:val="auto"/>
        </w:rPr>
      </w:pPr>
    </w:p>
    <w:p>
      <w:pPr>
        <w:ind w:left="1840" w:right="120" w:hanging="276"/>
        <w:spacing w:after="0" w:line="275" w:lineRule="auto"/>
        <w:tabs>
          <w:tab w:leader="none" w:pos="1840" w:val="left"/>
        </w:tabs>
        <w:numPr>
          <w:ilvl w:val="0"/>
          <w:numId w:val="96"/>
        </w:numPr>
        <w:rPr>
          <w:rFonts w:ascii="Arial" w:cs="Arial" w:eastAsia="Arial" w:hAnsi="Arial"/>
          <w:sz w:val="15"/>
          <w:szCs w:val="15"/>
          <w:color w:val="auto"/>
        </w:rPr>
      </w:pPr>
      <w:r>
        <w:rPr>
          <w:rFonts w:ascii="Arial" w:cs="Arial" w:eastAsia="Arial" w:hAnsi="Arial"/>
          <w:sz w:val="15"/>
          <w:szCs w:val="15"/>
          <w:color w:val="auto"/>
        </w:rPr>
        <w:t>the gain is effectively connected with your conduct of a U.S. trade or business (and, if required by an applicable income tax treaty, the gain is attributable to a permanent establishment maintained by you in the United States);</w:t>
      </w:r>
    </w:p>
    <w:p>
      <w:pPr>
        <w:spacing w:after="0" w:line="67" w:lineRule="exact"/>
        <w:rPr>
          <w:rFonts w:ascii="Arial" w:cs="Arial" w:eastAsia="Arial" w:hAnsi="Arial"/>
          <w:sz w:val="15"/>
          <w:szCs w:val="15"/>
          <w:color w:val="auto"/>
        </w:rPr>
      </w:pPr>
    </w:p>
    <w:p>
      <w:pPr>
        <w:ind w:left="1840" w:right="160" w:hanging="276"/>
        <w:spacing w:after="0" w:line="275" w:lineRule="auto"/>
        <w:tabs>
          <w:tab w:leader="none" w:pos="1840" w:val="left"/>
        </w:tabs>
        <w:numPr>
          <w:ilvl w:val="0"/>
          <w:numId w:val="96"/>
        </w:numPr>
        <w:rPr>
          <w:rFonts w:ascii="Arial" w:cs="Arial" w:eastAsia="Arial" w:hAnsi="Arial"/>
          <w:sz w:val="15"/>
          <w:szCs w:val="15"/>
          <w:color w:val="auto"/>
        </w:rPr>
      </w:pPr>
      <w:r>
        <w:rPr>
          <w:rFonts w:ascii="Arial" w:cs="Arial" w:eastAsia="Arial" w:hAnsi="Arial"/>
          <w:sz w:val="15"/>
          <w:szCs w:val="15"/>
          <w:color w:val="auto"/>
        </w:rPr>
        <w:t>you are a non-resident alien individual who is present in the United States for a period or periods aggregating 183 days or more during the calendar year in which the sale or disposition occurs, and other conditions are met; or</w:t>
      </w:r>
    </w:p>
    <w:p>
      <w:pPr>
        <w:spacing w:after="0" w:line="67" w:lineRule="exact"/>
        <w:rPr>
          <w:rFonts w:ascii="Arial" w:cs="Arial" w:eastAsia="Arial" w:hAnsi="Arial"/>
          <w:sz w:val="15"/>
          <w:szCs w:val="15"/>
          <w:color w:val="auto"/>
        </w:rPr>
      </w:pPr>
    </w:p>
    <w:p>
      <w:pPr>
        <w:ind w:left="1840" w:right="40" w:hanging="276"/>
        <w:spacing w:after="0" w:line="257" w:lineRule="auto"/>
        <w:tabs>
          <w:tab w:leader="none" w:pos="1840" w:val="left"/>
        </w:tabs>
        <w:numPr>
          <w:ilvl w:val="0"/>
          <w:numId w:val="96"/>
        </w:numPr>
        <w:rPr>
          <w:rFonts w:ascii="Arial" w:cs="Arial" w:eastAsia="Arial" w:hAnsi="Arial"/>
          <w:sz w:val="15"/>
          <w:szCs w:val="15"/>
          <w:color w:val="auto"/>
        </w:rPr>
      </w:pPr>
      <w:r>
        <w:rPr>
          <w:rFonts w:ascii="Arial" w:cs="Arial" w:eastAsia="Arial" w:hAnsi="Arial"/>
          <w:sz w:val="15"/>
          <w:szCs w:val="15"/>
          <w:color w:val="auto"/>
        </w:rPr>
        <w:t>our Class A common stock constitutes a United States real property interest by reason of our status as a “United States real property holding corporation,” or USRPHC, for U.S. federal income tax purposes at any time within the shorter of the five-year period preceding your disposition of, or your holding period for, our Class A common stock, and, in the case where shares of our Class A common stock are regularly traded on an established securities market, you own, or are treated as owning, more than 5% of our Class A common stock at any time during the foregoing period.</w:t>
      </w:r>
    </w:p>
    <w:p>
      <w:pPr>
        <w:spacing w:after="0" w:line="159" w:lineRule="exact"/>
        <w:rPr>
          <w:sz w:val="20"/>
          <w:szCs w:val="20"/>
          <w:color w:val="auto"/>
        </w:rPr>
      </w:pPr>
    </w:p>
    <w:p>
      <w:pPr>
        <w:ind w:left="1120" w:right="20" w:firstLine="368"/>
        <w:spacing w:after="0" w:line="273" w:lineRule="auto"/>
        <w:rPr>
          <w:sz w:val="20"/>
          <w:szCs w:val="20"/>
          <w:color w:val="auto"/>
        </w:rPr>
      </w:pPr>
      <w:r>
        <w:rPr>
          <w:rFonts w:ascii="Arial" w:cs="Arial" w:eastAsia="Arial" w:hAnsi="Arial"/>
          <w:sz w:val="14"/>
          <w:szCs w:val="14"/>
          <w:color w:val="auto"/>
        </w:rPr>
        <w:t>Generally, a corporation is a “United States real property holding corporation” if the fair market value of its United States real property interests equals or exceeds 50% of the sum of the fair market value of its worldwide real property interests and its other assets used or held for use in a trade or business (all as determined for United States federal income tax purposes). We believe that we are not currently and will not become a USRPHC for U.S. federal income tax purposes, and the remainder of this discussion assumes this is the case. However, because the determination of whether we are a USRPHC depends on the fair market value of our U.S. real property relative to the fair market value of our other business assets, there can be no assurance that we will not become a USRPHC in the future. Even if we become a USRPHC, however, as long as our Class A common stock is regularly traded on an established securities market, such Class A common stock will be treated as U.S. real property interests only if you actually or constructively hold more than 5% of such regularly traded Class A common stock at any time during the shorter of the five-year period preceding your disposition of, or your holding period for, our Class A common stock. No assurance can be provided that our Class A common stock will be regularly traded on an established securities market at all times for purposes of the rules described above.</w:t>
      </w:r>
    </w:p>
    <w:p>
      <w:pPr>
        <w:spacing w:after="0" w:line="154" w:lineRule="exact"/>
        <w:rPr>
          <w:sz w:val="20"/>
          <w:szCs w:val="20"/>
          <w:color w:val="auto"/>
        </w:rPr>
      </w:pPr>
    </w:p>
    <w:p>
      <w:pPr>
        <w:ind w:left="1120" w:firstLine="368"/>
        <w:spacing w:after="0" w:line="255" w:lineRule="auto"/>
        <w:rPr>
          <w:sz w:val="20"/>
          <w:szCs w:val="20"/>
          <w:color w:val="auto"/>
        </w:rPr>
      </w:pPr>
      <w:r>
        <w:rPr>
          <w:rFonts w:ascii="Arial" w:cs="Arial" w:eastAsia="Arial" w:hAnsi="Arial"/>
          <w:sz w:val="15"/>
          <w:szCs w:val="15"/>
          <w:color w:val="auto"/>
        </w:rPr>
        <w:t>If you are a non-U.S. holder described in the first bullet above, you will generally be required to pay tax on the net gain derived from the sale under regular graduated U.S. federal income tax rates (and a corporate non-U.S. holder described in the first bullet above also may be subject to the branch profits tax at a 30% rate), unless otherwise provided by an applicable income tax treaty. If you are a non-U.S. holder described in the second bullet above, you will generally be required to pay a flat 30% tax (or such lower rate specified by an applicable income tax treaty) on the gain derived from the sale, which gain may be offset by U.S. source capital losses for the year (provided you have timely filed U.S. federal income tax returns with respect to such losses). You should consult your tax advisor with respect to whether any applicable income tax or other treaties may provide for different rules.</w:t>
      </w:r>
    </w:p>
    <w:p>
      <w:pPr>
        <w:spacing w:after="0" w:line="104" w:lineRule="exact"/>
        <w:rPr>
          <w:sz w:val="20"/>
          <w:szCs w:val="20"/>
          <w:color w:val="auto"/>
        </w:rPr>
      </w:pPr>
    </w:p>
    <w:p>
      <w:pPr>
        <w:ind w:left="5600"/>
        <w:spacing w:after="0"/>
        <w:rPr>
          <w:sz w:val="20"/>
          <w:szCs w:val="20"/>
          <w:color w:val="auto"/>
        </w:rPr>
      </w:pPr>
      <w:r>
        <w:rPr>
          <w:rFonts w:ascii="Arial" w:cs="Arial" w:eastAsia="Arial" w:hAnsi="Arial"/>
          <w:sz w:val="15"/>
          <w:szCs w:val="15"/>
          <w:color w:val="auto"/>
        </w:rPr>
        <w:t>183</w:t>
      </w:r>
    </w:p>
    <w:p>
      <w:pPr>
        <w:sectPr>
          <w:pgSz w:w="11900" w:h="16838" w:orient="portrait"/>
          <w:cols w:equalWidth="0" w:num="1">
            <w:col w:w="10300"/>
          </w:cols>
          <w:pgMar w:left="240" w:top="408" w:right="1359" w:bottom="1440" w:gutter="0" w:footer="0" w:header="0"/>
        </w:sectPr>
      </w:pPr>
    </w:p>
    <w:bookmarkStart w:id="190" w:name="page191"/>
    <w:bookmarkEnd w:id="190"/>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133350</wp:posOffset>
            </wp:positionH>
            <wp:positionV relativeFrom="page">
              <wp:posOffset>88900</wp:posOffset>
            </wp:positionV>
            <wp:extent cx="7308850" cy="3429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308850" cy="34290"/>
                    </a:xfrm>
                    <a:prstGeom prst="rect">
                      <a:avLst/>
                    </a:prstGeom>
                    <a:noFill/>
                  </pic:spPr>
                </pic:pic>
              </a:graphicData>
            </a:graphic>
          </wp:anchor>
        </w:drawing>
      </w:r>
      <w:hyperlink w:anchor="page7">
        <w:r>
          <w:rPr>
            <w:rFonts w:ascii="Arial" w:cs="Arial" w:eastAsia="Arial" w:hAnsi="Arial"/>
            <w:sz w:val="15"/>
            <w:szCs w:val="15"/>
            <w:b w:val="1"/>
            <w:bCs w:val="1"/>
            <w:u w:val="single" w:color="auto"/>
            <w:color w:val="0000EE"/>
          </w:rPr>
          <w:t>Table of Contents</w:t>
        </w:r>
      </w:hyperlink>
    </w:p>
    <w:p>
      <w:pPr>
        <w:spacing w:after="0" w:line="256" w:lineRule="exact"/>
        <w:rPr>
          <w:sz w:val="20"/>
          <w:szCs w:val="20"/>
          <w:color w:val="auto"/>
        </w:rPr>
      </w:pPr>
    </w:p>
    <w:p>
      <w:pPr>
        <w:ind w:left="1120"/>
        <w:spacing w:after="0"/>
        <w:rPr>
          <w:sz w:val="20"/>
          <w:szCs w:val="20"/>
          <w:color w:val="auto"/>
        </w:rPr>
      </w:pPr>
      <w:r>
        <w:rPr>
          <w:rFonts w:ascii="Arial" w:cs="Arial" w:eastAsia="Arial" w:hAnsi="Arial"/>
          <w:sz w:val="15"/>
          <w:szCs w:val="15"/>
          <w:b w:val="1"/>
          <w:bCs w:val="1"/>
          <w:color w:val="auto"/>
        </w:rPr>
        <w:t>Federal Estate Tax</w:t>
      </w:r>
    </w:p>
    <w:p>
      <w:pPr>
        <w:spacing w:after="0" w:line="102" w:lineRule="exact"/>
        <w:rPr>
          <w:sz w:val="20"/>
          <w:szCs w:val="20"/>
          <w:color w:val="auto"/>
        </w:rPr>
      </w:pPr>
    </w:p>
    <w:p>
      <w:pPr>
        <w:jc w:val="both"/>
        <w:ind w:left="1120" w:right="180" w:firstLine="368"/>
        <w:spacing w:after="0" w:line="263" w:lineRule="auto"/>
        <w:rPr>
          <w:sz w:val="20"/>
          <w:szCs w:val="20"/>
          <w:color w:val="auto"/>
        </w:rPr>
      </w:pPr>
      <w:r>
        <w:rPr>
          <w:rFonts w:ascii="Arial" w:cs="Arial" w:eastAsia="Arial" w:hAnsi="Arial"/>
          <w:sz w:val="15"/>
          <w:szCs w:val="15"/>
          <w:color w:val="auto"/>
        </w:rPr>
        <w:t>Our Class A common stock beneficially owned by an individual who is not a citizen or resident of the United States (as defined for U.S. federal estate tax purposes) at the time of their death will generally be includable in the decedent’s gross estate for U.S. federal estate tax purposes, unless an applicable estate tax treaty provides otherwise.</w:t>
      </w:r>
    </w:p>
    <w:p>
      <w:pPr>
        <w:spacing w:after="0" w:line="241" w:lineRule="exact"/>
        <w:rPr>
          <w:sz w:val="20"/>
          <w:szCs w:val="20"/>
          <w:color w:val="auto"/>
        </w:rPr>
      </w:pPr>
    </w:p>
    <w:p>
      <w:pPr>
        <w:ind w:left="1120"/>
        <w:spacing w:after="0"/>
        <w:rPr>
          <w:sz w:val="20"/>
          <w:szCs w:val="20"/>
          <w:color w:val="auto"/>
        </w:rPr>
      </w:pPr>
      <w:r>
        <w:rPr>
          <w:rFonts w:ascii="Arial" w:cs="Arial" w:eastAsia="Arial" w:hAnsi="Arial"/>
          <w:sz w:val="15"/>
          <w:szCs w:val="15"/>
          <w:b w:val="1"/>
          <w:bCs w:val="1"/>
          <w:color w:val="auto"/>
        </w:rPr>
        <w:t>Backup Withholding and Information Reporting</w:t>
      </w:r>
    </w:p>
    <w:p>
      <w:pPr>
        <w:spacing w:after="0" w:line="102" w:lineRule="exact"/>
        <w:rPr>
          <w:sz w:val="20"/>
          <w:szCs w:val="20"/>
          <w:color w:val="auto"/>
        </w:rPr>
      </w:pPr>
    </w:p>
    <w:p>
      <w:pPr>
        <w:ind w:left="1120" w:firstLine="368"/>
        <w:spacing w:after="0" w:line="263" w:lineRule="auto"/>
        <w:rPr>
          <w:sz w:val="20"/>
          <w:szCs w:val="20"/>
          <w:color w:val="auto"/>
        </w:rPr>
      </w:pPr>
      <w:r>
        <w:rPr>
          <w:rFonts w:ascii="Arial" w:cs="Arial" w:eastAsia="Arial" w:hAnsi="Arial"/>
          <w:sz w:val="15"/>
          <w:szCs w:val="15"/>
          <w:color w:val="auto"/>
        </w:rPr>
        <w:t>Generally, we must report annually to the IRS the amount of dividends paid to you, your name and address, and the amount of tax withheld, if any. A similar report will be sent to you. Pursuant to applicable income tax treaties or other agreements, the IRS may make these reports available to tax authorities in your country of residence.</w:t>
      </w:r>
    </w:p>
    <w:p>
      <w:pPr>
        <w:spacing w:after="0" w:line="155" w:lineRule="exact"/>
        <w:rPr>
          <w:sz w:val="20"/>
          <w:szCs w:val="20"/>
          <w:color w:val="auto"/>
        </w:rPr>
      </w:pPr>
    </w:p>
    <w:p>
      <w:pPr>
        <w:jc w:val="both"/>
        <w:ind w:left="1120" w:right="40" w:firstLine="368"/>
        <w:spacing w:after="0" w:line="283" w:lineRule="auto"/>
        <w:rPr>
          <w:sz w:val="20"/>
          <w:szCs w:val="20"/>
          <w:color w:val="auto"/>
        </w:rPr>
      </w:pPr>
      <w:r>
        <w:rPr>
          <w:rFonts w:ascii="Arial" w:cs="Arial" w:eastAsia="Arial" w:hAnsi="Arial"/>
          <w:sz w:val="14"/>
          <w:szCs w:val="14"/>
          <w:color w:val="auto"/>
        </w:rPr>
        <w:t>Payments of dividends or of proceeds on the disposition of stock made to you may be subject to information reporting and backup withholding at a current rate of 28% unless you establish an exemption, for example, by properly certifying your non-U.S. status on an IRS Form W-8BEN, IRS Form W-8BEN-E, or another appropriate version of IRS Form W-8. Notwithstanding the foregoing, backup withholding and information reporting may apply if either we our paying agent has actual knowledge, or reason to know, that you are a United States person as defined under the Code.</w:t>
      </w:r>
    </w:p>
    <w:p>
      <w:pPr>
        <w:spacing w:after="0" w:line="143" w:lineRule="exact"/>
        <w:rPr>
          <w:sz w:val="20"/>
          <w:szCs w:val="20"/>
          <w:color w:val="auto"/>
        </w:rPr>
      </w:pPr>
    </w:p>
    <w:p>
      <w:pPr>
        <w:ind w:left="1120" w:right="60" w:firstLine="368"/>
        <w:spacing w:after="0" w:line="263" w:lineRule="auto"/>
        <w:rPr>
          <w:sz w:val="20"/>
          <w:szCs w:val="20"/>
          <w:color w:val="auto"/>
        </w:rPr>
      </w:pPr>
      <w:r>
        <w:rPr>
          <w:rFonts w:ascii="Arial" w:cs="Arial" w:eastAsia="Arial" w:hAnsi="Arial"/>
          <w:sz w:val="15"/>
          <w:szCs w:val="15"/>
          <w:color w:val="auto"/>
        </w:rPr>
        <w:t>Backup withholding is not an additional tax; rather, the U.S. federal income tax liability of persons subject to backup withholding will be reduced by the amount of tax withheld. If withholding results in an overpayment of taxes, a refund or credit may generally be obtained from the IRS, provided that the required information is furnished to the IRS in a timely manner.</w:t>
      </w:r>
    </w:p>
    <w:p>
      <w:pPr>
        <w:spacing w:after="0" w:line="241" w:lineRule="exact"/>
        <w:rPr>
          <w:sz w:val="20"/>
          <w:szCs w:val="20"/>
          <w:color w:val="auto"/>
        </w:rPr>
      </w:pPr>
    </w:p>
    <w:p>
      <w:pPr>
        <w:ind w:left="1120"/>
        <w:spacing w:after="0"/>
        <w:rPr>
          <w:sz w:val="20"/>
          <w:szCs w:val="20"/>
          <w:color w:val="auto"/>
        </w:rPr>
      </w:pPr>
      <w:r>
        <w:rPr>
          <w:rFonts w:ascii="Arial" w:cs="Arial" w:eastAsia="Arial" w:hAnsi="Arial"/>
          <w:sz w:val="15"/>
          <w:szCs w:val="15"/>
          <w:b w:val="1"/>
          <w:bCs w:val="1"/>
          <w:color w:val="auto"/>
        </w:rPr>
        <w:t>FATCA</w:t>
      </w:r>
    </w:p>
    <w:p>
      <w:pPr>
        <w:spacing w:after="0" w:line="102" w:lineRule="exact"/>
        <w:rPr>
          <w:sz w:val="20"/>
          <w:szCs w:val="20"/>
          <w:color w:val="auto"/>
        </w:rPr>
      </w:pPr>
    </w:p>
    <w:p>
      <w:pPr>
        <w:ind w:left="1120" w:firstLine="368"/>
        <w:spacing w:after="0" w:line="294" w:lineRule="auto"/>
        <w:rPr>
          <w:sz w:val="20"/>
          <w:szCs w:val="20"/>
          <w:color w:val="auto"/>
        </w:rPr>
      </w:pPr>
      <w:r>
        <w:rPr>
          <w:rFonts w:ascii="Arial" w:cs="Arial" w:eastAsia="Arial" w:hAnsi="Arial"/>
          <w:sz w:val="13"/>
          <w:szCs w:val="13"/>
          <w:color w:val="auto"/>
        </w:rPr>
        <w:t>The Foreign Account Tax Compliance Act and the rules and regulations promulgated thereunder, or collectively, FATCA, generally impose withholding tax at a rate of 30% on dividends on and gross proceeds from the sale or other disposition of our Class A common stock paid to “foreign financial institutions” (as specially defined under these rules), unless such institution enters into an agreement with the U.S. government to withhold on certain payments and to collect and provide to the U.S. tax authorities substantial information regarding the U.S. account holders of such institution (which includes certain equity and debt holders of such institution, as well as certain account holders that are foreign entities with U.S. owners) or otherwise establishes an exemption. FATCA also generally imposes a U.S. federal withholding tax of 30% on dividends on and gross proceeds from the sale or other disposition of our Class A common stock paid to a “non-financial foreign entities” (as specially defined under these rules) unless such entity provides the withholding agent with a certification identifying certain substantial direct and indirect U.S. owners of the entity, certifies that there are none, or otherwise establishes and certifies to an exemption. The withholding provisions under FATCA generally apply to dividends on our Class A common stock, and under current transition rules, are expected to apply with respect to the gross proceeds from the sale or other disposition of our Class A common stock on or after January 1, 2019. An intergovernmental agreement between the United States and your country of tax residence may modify the requirements described in this paragraph. If a dividend payment is both subject to withholding under FATCA and subject to the withholding tax discussed above under “—Distributions,” the withholding under FATCA may be credited against, and therefore reduce, such other withholding tax. Non-U.S. holders should consult their own tax advisors regarding the possible implications of FATCA on their investment in our Class A common stock.</w:t>
      </w:r>
    </w:p>
    <w:p>
      <w:pPr>
        <w:spacing w:after="0" w:line="139" w:lineRule="exact"/>
        <w:rPr>
          <w:sz w:val="20"/>
          <w:szCs w:val="20"/>
          <w:color w:val="auto"/>
        </w:rPr>
      </w:pPr>
    </w:p>
    <w:p>
      <w:pPr>
        <w:ind w:left="1120" w:right="280" w:firstLine="368"/>
        <w:spacing w:after="0" w:line="266" w:lineRule="auto"/>
        <w:rPr>
          <w:sz w:val="20"/>
          <w:szCs w:val="20"/>
          <w:color w:val="auto"/>
        </w:rPr>
      </w:pPr>
      <w:r>
        <w:rPr>
          <w:rFonts w:ascii="Arial" w:cs="Arial" w:eastAsia="Arial" w:hAnsi="Arial"/>
          <w:sz w:val="15"/>
          <w:szCs w:val="15"/>
          <w:b w:val="1"/>
          <w:bCs w:val="1"/>
          <w:color w:val="auto"/>
        </w:rPr>
        <w:t>Each prospective investor should consult its own tax advisor regarding the particular U.S. federal, state, and local, and non-U.S. tax consequences of purchasing, holding, and disposing of our common stock, including the consequences of any proposed change in applicable laws.</w:t>
      </w:r>
    </w:p>
    <w:p>
      <w:pPr>
        <w:spacing w:after="0" w:line="96" w:lineRule="exact"/>
        <w:rPr>
          <w:sz w:val="20"/>
          <w:szCs w:val="20"/>
          <w:color w:val="auto"/>
        </w:rPr>
      </w:pPr>
    </w:p>
    <w:p>
      <w:pPr>
        <w:ind w:left="5600"/>
        <w:spacing w:after="0"/>
        <w:rPr>
          <w:sz w:val="20"/>
          <w:szCs w:val="20"/>
          <w:color w:val="auto"/>
        </w:rPr>
      </w:pPr>
      <w:r>
        <w:rPr>
          <w:rFonts w:ascii="Arial" w:cs="Arial" w:eastAsia="Arial" w:hAnsi="Arial"/>
          <w:sz w:val="15"/>
          <w:szCs w:val="15"/>
          <w:color w:val="auto"/>
        </w:rPr>
        <w:t>184</w:t>
      </w:r>
    </w:p>
    <w:p>
      <w:pPr>
        <w:sectPr>
          <w:pgSz w:w="11900" w:h="16838" w:orient="portrait"/>
          <w:cols w:equalWidth="0" w:num="1">
            <w:col w:w="10300"/>
          </w:cols>
          <w:pgMar w:left="240" w:top="408" w:right="1359" w:bottom="1440" w:gutter="0" w:footer="0" w:header="0"/>
        </w:sectPr>
      </w:pPr>
    </w:p>
    <w:bookmarkStart w:id="191" w:name="page192"/>
    <w:bookmarkEnd w:id="191"/>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133350</wp:posOffset>
            </wp:positionH>
            <wp:positionV relativeFrom="page">
              <wp:posOffset>88900</wp:posOffset>
            </wp:positionV>
            <wp:extent cx="7308850" cy="3429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308850" cy="34290"/>
                    </a:xfrm>
                    <a:prstGeom prst="rect">
                      <a:avLst/>
                    </a:prstGeom>
                    <a:noFill/>
                  </pic:spPr>
                </pic:pic>
              </a:graphicData>
            </a:graphic>
          </wp:anchor>
        </w:drawing>
      </w:r>
      <w:hyperlink w:anchor="page7">
        <w:r>
          <w:rPr>
            <w:rFonts w:ascii="Arial" w:cs="Arial" w:eastAsia="Arial" w:hAnsi="Arial"/>
            <w:sz w:val="15"/>
            <w:szCs w:val="15"/>
            <w:b w:val="1"/>
            <w:bCs w:val="1"/>
            <w:u w:val="single" w:color="auto"/>
            <w:color w:val="0000EE"/>
          </w:rPr>
          <w:t>Table of Contents</w:t>
        </w:r>
      </w:hyperlink>
    </w:p>
    <w:p>
      <w:pPr>
        <w:spacing w:after="0" w:line="256" w:lineRule="exact"/>
        <w:rPr>
          <w:sz w:val="20"/>
          <w:szCs w:val="20"/>
          <w:color w:val="auto"/>
        </w:rPr>
      </w:pPr>
    </w:p>
    <w:p>
      <w:pPr>
        <w:ind w:left="4060"/>
        <w:spacing w:after="0"/>
        <w:rPr>
          <w:sz w:val="20"/>
          <w:szCs w:val="20"/>
          <w:color w:val="auto"/>
        </w:rPr>
      </w:pPr>
      <w:r>
        <w:rPr>
          <w:rFonts w:ascii="Arial" w:cs="Arial" w:eastAsia="Arial" w:hAnsi="Arial"/>
          <w:sz w:val="15"/>
          <w:szCs w:val="15"/>
          <w:b w:val="1"/>
          <w:bCs w:val="1"/>
          <w:color w:val="auto"/>
        </w:rPr>
        <w:t>UNDERWRITING (CONFLICTS OF INTEREST)</w:t>
      </w:r>
    </w:p>
    <w:p>
      <w:pPr>
        <w:spacing w:after="0" w:line="192" w:lineRule="exact"/>
        <w:rPr>
          <w:sz w:val="20"/>
          <w:szCs w:val="20"/>
          <w:color w:val="auto"/>
        </w:rPr>
      </w:pPr>
    </w:p>
    <w:p>
      <w:pPr>
        <w:ind w:left="1480"/>
        <w:spacing w:after="0"/>
        <w:rPr>
          <w:sz w:val="20"/>
          <w:szCs w:val="20"/>
          <w:color w:val="auto"/>
        </w:rPr>
      </w:pPr>
      <w:r>
        <w:rPr>
          <w:rFonts w:ascii="Arial" w:cs="Arial" w:eastAsia="Arial" w:hAnsi="Arial"/>
          <w:sz w:val="13"/>
          <w:szCs w:val="13"/>
          <w:color w:val="auto"/>
        </w:rPr>
        <w:t>We, the selling stockholders and the underwriters named below will enter into an underwriting agreement with respect to the shares being offered.</w:t>
      </w:r>
    </w:p>
    <w:p>
      <w:pPr>
        <w:spacing w:after="0" w:line="40" w:lineRule="exact"/>
        <w:rPr>
          <w:sz w:val="20"/>
          <w:szCs w:val="20"/>
          <w:color w:val="auto"/>
        </w:rPr>
      </w:pPr>
    </w:p>
    <w:p>
      <w:pPr>
        <w:ind w:left="1120"/>
        <w:spacing w:after="0"/>
        <w:rPr>
          <w:sz w:val="20"/>
          <w:szCs w:val="20"/>
          <w:color w:val="auto"/>
        </w:rPr>
      </w:pPr>
      <w:r>
        <w:rPr>
          <w:rFonts w:ascii="Arial" w:cs="Arial" w:eastAsia="Arial" w:hAnsi="Arial"/>
          <w:sz w:val="13"/>
          <w:szCs w:val="13"/>
          <w:color w:val="auto"/>
        </w:rPr>
        <w:t>Subject to certain conditions, each underwriter will severally agree to purchase the number of shares indicated in the following table. Goldman Sachs &amp;</w:t>
      </w:r>
    </w:p>
    <w:p>
      <w:pPr>
        <w:spacing w:after="0" w:line="31" w:lineRule="exact"/>
        <w:rPr>
          <w:sz w:val="20"/>
          <w:szCs w:val="20"/>
          <w:color w:val="auto"/>
        </w:rPr>
      </w:pPr>
    </w:p>
    <w:p>
      <w:pPr>
        <w:ind w:left="1120"/>
        <w:spacing w:after="0"/>
        <w:rPr>
          <w:sz w:val="20"/>
          <w:szCs w:val="20"/>
          <w:color w:val="auto"/>
        </w:rPr>
      </w:pPr>
      <w:r>
        <w:rPr>
          <w:rFonts w:ascii="Arial" w:cs="Arial" w:eastAsia="Arial" w:hAnsi="Arial"/>
          <w:sz w:val="15"/>
          <w:szCs w:val="15"/>
          <w:color w:val="auto"/>
        </w:rPr>
        <w:t>Co. LLC and J.P. Morgan Securities LLC are the representatives of the underwriters.</w:t>
      </w:r>
    </w:p>
    <w:p>
      <w:pPr>
        <w:spacing w:after="0" w:line="196" w:lineRule="exact"/>
        <w:rPr>
          <w:sz w:val="20"/>
          <w:szCs w:val="20"/>
          <w:color w:val="auto"/>
        </w:rPr>
      </w:pPr>
    </w:p>
    <w:tbl>
      <w:tblPr>
        <w:tblLayout w:type="fixed"/>
        <w:tblInd w:w="2220" w:type="dxa"/>
        <w:tblCellMar>
          <w:top w:w="0" w:type="dxa"/>
          <w:left w:w="0" w:type="dxa"/>
          <w:bottom w:w="0" w:type="dxa"/>
          <w:right w:w="0" w:type="dxa"/>
        </w:tblCellMar>
      </w:tblPr>
      <w:tr>
        <w:trPr>
          <w:trHeight w:val="142"/>
        </w:trPr>
        <w:tc>
          <w:tcPr>
            <w:tcW w:w="6080" w:type="dxa"/>
            <w:vAlign w:val="bottom"/>
            <w:gridSpan w:val="2"/>
          </w:tcPr>
          <w:p>
            <w:pPr>
              <w:spacing w:after="0"/>
              <w:rPr>
                <w:sz w:val="20"/>
                <w:szCs w:val="20"/>
                <w:color w:val="auto"/>
              </w:rPr>
            </w:pPr>
            <w:r>
              <w:rPr>
                <w:rFonts w:ascii="Arial" w:cs="Arial" w:eastAsia="Arial" w:hAnsi="Arial"/>
                <w:sz w:val="12"/>
                <w:szCs w:val="12"/>
                <w:color w:val="auto"/>
              </w:rPr>
              <w:t>Underwriters</w:t>
            </w:r>
          </w:p>
        </w:tc>
        <w:tc>
          <w:tcPr>
            <w:tcW w:w="920" w:type="dxa"/>
            <w:vAlign w:val="bottom"/>
            <w:gridSpan w:val="2"/>
          </w:tcPr>
          <w:p>
            <w:pPr>
              <w:spacing w:after="0"/>
              <w:rPr>
                <w:sz w:val="20"/>
                <w:szCs w:val="20"/>
                <w:color w:val="auto"/>
              </w:rPr>
            </w:pPr>
            <w:r>
              <w:rPr>
                <w:rFonts w:ascii="Arial" w:cs="Arial" w:eastAsia="Arial" w:hAnsi="Arial"/>
                <w:sz w:val="12"/>
                <w:szCs w:val="12"/>
                <w:color w:val="auto"/>
                <w:w w:val="94"/>
              </w:rPr>
              <w:t>Number of shares</w:t>
            </w:r>
          </w:p>
        </w:tc>
      </w:tr>
      <w:tr>
        <w:trPr>
          <w:trHeight w:val="158"/>
        </w:trPr>
        <w:tc>
          <w:tcPr>
            <w:tcW w:w="640" w:type="dxa"/>
            <w:vAlign w:val="bottom"/>
            <w:tcBorders>
              <w:top w:val="single" w:sz="8" w:color="auto"/>
            </w:tcBorders>
            <w:shd w:val="clear" w:color="auto" w:fill="CCEEFF"/>
          </w:tcPr>
          <w:p>
            <w:pPr>
              <w:spacing w:after="0" w:line="158" w:lineRule="exact"/>
              <w:rPr>
                <w:sz w:val="20"/>
                <w:szCs w:val="20"/>
                <w:color w:val="auto"/>
              </w:rPr>
            </w:pPr>
            <w:r>
              <w:rPr>
                <w:rFonts w:ascii="Arial" w:cs="Arial" w:eastAsia="Arial" w:hAnsi="Arial"/>
                <w:sz w:val="15"/>
                <w:szCs w:val="15"/>
                <w:color w:val="auto"/>
              </w:rPr>
              <w:t>Goldman</w:t>
            </w:r>
          </w:p>
        </w:tc>
        <w:tc>
          <w:tcPr>
            <w:tcW w:w="5440" w:type="dxa"/>
            <w:vAlign w:val="bottom"/>
            <w:tcBorders>
              <w:top w:val="single" w:sz="8" w:color="CCEEFF"/>
            </w:tcBorders>
            <w:shd w:val="clear" w:color="auto" w:fill="CCEEFF"/>
          </w:tcPr>
          <w:p>
            <w:pPr>
              <w:spacing w:after="0" w:line="158" w:lineRule="exact"/>
              <w:rPr>
                <w:sz w:val="20"/>
                <w:szCs w:val="20"/>
                <w:color w:val="auto"/>
              </w:rPr>
            </w:pPr>
            <w:r>
              <w:rPr>
                <w:rFonts w:ascii="Arial" w:cs="Arial" w:eastAsia="Arial" w:hAnsi="Arial"/>
                <w:sz w:val="15"/>
                <w:szCs w:val="15"/>
                <w:color w:val="auto"/>
              </w:rPr>
              <w:t>Sachs &amp; Co. LLC</w:t>
            </w:r>
          </w:p>
        </w:tc>
        <w:tc>
          <w:tcPr>
            <w:tcW w:w="860" w:type="dxa"/>
            <w:vAlign w:val="bottom"/>
            <w:tcBorders>
              <w:top w:val="single" w:sz="8" w:color="auto"/>
            </w:tcBorders>
            <w:shd w:val="clear" w:color="auto" w:fill="CCEEFF"/>
          </w:tcPr>
          <w:p>
            <w:pPr>
              <w:spacing w:after="0"/>
              <w:rPr>
                <w:sz w:val="13"/>
                <w:szCs w:val="13"/>
                <w:color w:val="auto"/>
              </w:rPr>
            </w:pPr>
          </w:p>
        </w:tc>
        <w:tc>
          <w:tcPr>
            <w:tcW w:w="60" w:type="dxa"/>
            <w:vAlign w:val="bottom"/>
            <w:tcBorders>
              <w:top w:val="single" w:sz="8" w:color="CCEEFF"/>
            </w:tcBorders>
            <w:shd w:val="clear" w:color="auto" w:fill="CCEEFF"/>
          </w:tcPr>
          <w:p>
            <w:pPr>
              <w:spacing w:after="0"/>
              <w:rPr>
                <w:sz w:val="13"/>
                <w:szCs w:val="13"/>
                <w:color w:val="auto"/>
              </w:rPr>
            </w:pPr>
          </w:p>
        </w:tc>
      </w:tr>
      <w:tr>
        <w:trPr>
          <w:trHeight w:val="180"/>
        </w:trPr>
        <w:tc>
          <w:tcPr>
            <w:tcW w:w="6080" w:type="dxa"/>
            <w:vAlign w:val="bottom"/>
            <w:gridSpan w:val="2"/>
          </w:tcPr>
          <w:p>
            <w:pPr>
              <w:spacing w:after="0"/>
              <w:rPr>
                <w:sz w:val="20"/>
                <w:szCs w:val="20"/>
                <w:color w:val="auto"/>
              </w:rPr>
            </w:pPr>
            <w:r>
              <w:rPr>
                <w:rFonts w:ascii="Arial" w:cs="Arial" w:eastAsia="Arial" w:hAnsi="Arial"/>
                <w:sz w:val="15"/>
                <w:szCs w:val="15"/>
                <w:color w:val="auto"/>
              </w:rPr>
              <w:t>J.P. Morgan Securities LLC</w:t>
            </w:r>
          </w:p>
        </w:tc>
        <w:tc>
          <w:tcPr>
            <w:tcW w:w="86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180"/>
        </w:trPr>
        <w:tc>
          <w:tcPr>
            <w:tcW w:w="608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Deutsche Bank Securities Inc.</w:t>
            </w:r>
          </w:p>
        </w:tc>
        <w:tc>
          <w:tcPr>
            <w:tcW w:w="8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r>
      <w:tr>
        <w:trPr>
          <w:trHeight w:val="180"/>
        </w:trPr>
        <w:tc>
          <w:tcPr>
            <w:tcW w:w="6080" w:type="dxa"/>
            <w:vAlign w:val="bottom"/>
            <w:gridSpan w:val="2"/>
          </w:tcPr>
          <w:p>
            <w:pPr>
              <w:spacing w:after="0"/>
              <w:rPr>
                <w:sz w:val="20"/>
                <w:szCs w:val="20"/>
                <w:color w:val="auto"/>
              </w:rPr>
            </w:pPr>
            <w:r>
              <w:rPr>
                <w:rFonts w:ascii="Arial" w:cs="Arial" w:eastAsia="Arial" w:hAnsi="Arial"/>
                <w:sz w:val="15"/>
                <w:szCs w:val="15"/>
                <w:color w:val="auto"/>
              </w:rPr>
              <w:t>Allen &amp; Company LLC</w:t>
            </w:r>
          </w:p>
        </w:tc>
        <w:tc>
          <w:tcPr>
            <w:tcW w:w="86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170"/>
        </w:trPr>
        <w:tc>
          <w:tcPr>
            <w:tcW w:w="6080" w:type="dxa"/>
            <w:vAlign w:val="bottom"/>
            <w:gridSpan w:val="2"/>
            <w:shd w:val="clear" w:color="auto" w:fill="CCEEFF"/>
          </w:tcPr>
          <w:p>
            <w:pPr>
              <w:spacing w:after="0" w:line="170" w:lineRule="exact"/>
              <w:rPr>
                <w:sz w:val="20"/>
                <w:szCs w:val="20"/>
                <w:color w:val="auto"/>
              </w:rPr>
            </w:pPr>
            <w:r>
              <w:rPr>
                <w:rFonts w:ascii="Arial" w:cs="Arial" w:eastAsia="Arial" w:hAnsi="Arial"/>
                <w:sz w:val="15"/>
                <w:szCs w:val="15"/>
                <w:color w:val="auto"/>
              </w:rPr>
              <w:t>Merrill Lynch, Pierce, Fenner &amp; Smith</w:t>
            </w:r>
          </w:p>
        </w:tc>
        <w:tc>
          <w:tcPr>
            <w:tcW w:w="8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r>
      <w:tr>
        <w:trPr>
          <w:trHeight w:val="202"/>
        </w:trPr>
        <w:tc>
          <w:tcPr>
            <w:tcW w:w="640" w:type="dxa"/>
            <w:vAlign w:val="bottom"/>
            <w:shd w:val="clear" w:color="auto" w:fill="CCEEFF"/>
          </w:tcPr>
          <w:p>
            <w:pPr>
              <w:spacing w:after="0"/>
              <w:rPr>
                <w:sz w:val="17"/>
                <w:szCs w:val="17"/>
                <w:color w:val="auto"/>
              </w:rPr>
            </w:pPr>
          </w:p>
        </w:tc>
        <w:tc>
          <w:tcPr>
            <w:tcW w:w="5440" w:type="dxa"/>
            <w:vAlign w:val="bottom"/>
            <w:shd w:val="clear" w:color="auto" w:fill="CCEEFF"/>
          </w:tcPr>
          <w:p>
            <w:pPr>
              <w:ind w:left="180"/>
              <w:spacing w:after="0"/>
              <w:rPr>
                <w:sz w:val="20"/>
                <w:szCs w:val="20"/>
                <w:color w:val="auto"/>
              </w:rPr>
            </w:pPr>
            <w:r>
              <w:rPr>
                <w:rFonts w:ascii="Arial" w:cs="Arial" w:eastAsia="Arial" w:hAnsi="Arial"/>
                <w:sz w:val="15"/>
                <w:szCs w:val="15"/>
                <w:color w:val="auto"/>
              </w:rPr>
              <w:t>Incorporated</w:t>
            </w:r>
          </w:p>
        </w:tc>
        <w:tc>
          <w:tcPr>
            <w:tcW w:w="8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180"/>
        </w:trPr>
        <w:tc>
          <w:tcPr>
            <w:tcW w:w="6080" w:type="dxa"/>
            <w:vAlign w:val="bottom"/>
            <w:gridSpan w:val="2"/>
          </w:tcPr>
          <w:p>
            <w:pPr>
              <w:spacing w:after="0"/>
              <w:rPr>
                <w:sz w:val="20"/>
                <w:szCs w:val="20"/>
                <w:color w:val="auto"/>
              </w:rPr>
            </w:pPr>
            <w:r>
              <w:rPr>
                <w:rFonts w:ascii="Arial" w:cs="Arial" w:eastAsia="Arial" w:hAnsi="Arial"/>
                <w:sz w:val="15"/>
                <w:szCs w:val="15"/>
                <w:color w:val="auto"/>
              </w:rPr>
              <w:t>RBC Capital Markets, LLC</w:t>
            </w:r>
          </w:p>
        </w:tc>
        <w:tc>
          <w:tcPr>
            <w:tcW w:w="86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180"/>
        </w:trPr>
        <w:tc>
          <w:tcPr>
            <w:tcW w:w="608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Jefferies LLC</w:t>
            </w:r>
          </w:p>
        </w:tc>
        <w:tc>
          <w:tcPr>
            <w:tcW w:w="8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r>
      <w:tr>
        <w:trPr>
          <w:trHeight w:val="180"/>
        </w:trPr>
        <w:tc>
          <w:tcPr>
            <w:tcW w:w="6080" w:type="dxa"/>
            <w:vAlign w:val="bottom"/>
            <w:gridSpan w:val="2"/>
          </w:tcPr>
          <w:p>
            <w:pPr>
              <w:spacing w:after="0"/>
              <w:rPr>
                <w:sz w:val="20"/>
                <w:szCs w:val="20"/>
                <w:color w:val="auto"/>
              </w:rPr>
            </w:pPr>
            <w:r>
              <w:rPr>
                <w:rFonts w:ascii="Arial" w:cs="Arial" w:eastAsia="Arial" w:hAnsi="Arial"/>
                <w:sz w:val="15"/>
                <w:szCs w:val="15"/>
                <w:color w:val="auto"/>
              </w:rPr>
              <w:t>Macquarie Capital (USA) Inc.</w:t>
            </w:r>
          </w:p>
        </w:tc>
        <w:tc>
          <w:tcPr>
            <w:tcW w:w="86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180"/>
        </w:trPr>
        <w:tc>
          <w:tcPr>
            <w:tcW w:w="608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Canaccord Genuity LLC</w:t>
            </w:r>
          </w:p>
        </w:tc>
        <w:tc>
          <w:tcPr>
            <w:tcW w:w="8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r>
      <w:tr>
        <w:trPr>
          <w:trHeight w:val="180"/>
        </w:trPr>
        <w:tc>
          <w:tcPr>
            <w:tcW w:w="6080" w:type="dxa"/>
            <w:vAlign w:val="bottom"/>
            <w:gridSpan w:val="2"/>
          </w:tcPr>
          <w:p>
            <w:pPr>
              <w:spacing w:after="0"/>
              <w:rPr>
                <w:sz w:val="20"/>
                <w:szCs w:val="20"/>
                <w:color w:val="auto"/>
              </w:rPr>
            </w:pPr>
            <w:r>
              <w:rPr>
                <w:rFonts w:ascii="Arial" w:cs="Arial" w:eastAsia="Arial" w:hAnsi="Arial"/>
                <w:sz w:val="15"/>
                <w:szCs w:val="15"/>
                <w:color w:val="auto"/>
              </w:rPr>
              <w:t>JMP Securities LLC</w:t>
            </w:r>
          </w:p>
        </w:tc>
        <w:tc>
          <w:tcPr>
            <w:tcW w:w="86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180"/>
        </w:trPr>
        <w:tc>
          <w:tcPr>
            <w:tcW w:w="608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KeyBanc Capital Markets Inc.</w:t>
            </w:r>
          </w:p>
        </w:tc>
        <w:tc>
          <w:tcPr>
            <w:tcW w:w="8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r>
      <w:tr>
        <w:trPr>
          <w:trHeight w:val="183"/>
        </w:trPr>
        <w:tc>
          <w:tcPr>
            <w:tcW w:w="6080" w:type="dxa"/>
            <w:vAlign w:val="bottom"/>
            <w:gridSpan w:val="2"/>
          </w:tcPr>
          <w:p>
            <w:pPr>
              <w:spacing w:after="0"/>
              <w:rPr>
                <w:sz w:val="20"/>
                <w:szCs w:val="20"/>
                <w:color w:val="auto"/>
              </w:rPr>
            </w:pPr>
            <w:r>
              <w:rPr>
                <w:rFonts w:ascii="Arial" w:cs="Arial" w:eastAsia="Arial" w:hAnsi="Arial"/>
                <w:sz w:val="15"/>
                <w:szCs w:val="15"/>
                <w:color w:val="auto"/>
              </w:rPr>
              <w:t>Piper Jaffray &amp; Co.</w:t>
            </w:r>
          </w:p>
        </w:tc>
        <w:tc>
          <w:tcPr>
            <w:tcW w:w="86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r>
      <w:tr>
        <w:trPr>
          <w:trHeight w:val="180"/>
        </w:trPr>
        <w:tc>
          <w:tcPr>
            <w:tcW w:w="6080" w:type="dxa"/>
            <w:vAlign w:val="bottom"/>
            <w:gridSpan w:val="2"/>
            <w:shd w:val="clear" w:color="auto" w:fill="CCEEFF"/>
          </w:tcPr>
          <w:p>
            <w:pPr>
              <w:ind w:left="300"/>
              <w:spacing w:after="0"/>
              <w:rPr>
                <w:sz w:val="20"/>
                <w:szCs w:val="20"/>
                <w:color w:val="auto"/>
              </w:rPr>
            </w:pPr>
            <w:r>
              <w:rPr>
                <w:rFonts w:ascii="Arial" w:cs="Arial" w:eastAsia="Arial" w:hAnsi="Arial"/>
                <w:sz w:val="15"/>
                <w:szCs w:val="15"/>
                <w:color w:val="auto"/>
              </w:rPr>
              <w:t>Total</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36,000,000</w:t>
            </w:r>
          </w:p>
        </w:tc>
        <w:tc>
          <w:tcPr>
            <w:tcW w:w="60" w:type="dxa"/>
            <w:vAlign w:val="bottom"/>
            <w:shd w:val="clear" w:color="auto" w:fill="CCEEFF"/>
          </w:tcPr>
          <w:p>
            <w:pPr>
              <w:spacing w:after="0"/>
              <w:rPr>
                <w:sz w:val="15"/>
                <w:szCs w:val="15"/>
                <w:color w:val="auto"/>
              </w:rPr>
            </w:pPr>
          </w:p>
        </w:tc>
      </w:tr>
      <w:tr>
        <w:trPr>
          <w:trHeight w:val="20"/>
        </w:trPr>
        <w:tc>
          <w:tcPr>
            <w:tcW w:w="640" w:type="dxa"/>
            <w:vAlign w:val="bottom"/>
          </w:tcPr>
          <w:p>
            <w:pPr>
              <w:spacing w:after="0" w:line="20" w:lineRule="exact"/>
              <w:rPr>
                <w:sz w:val="1"/>
                <w:szCs w:val="1"/>
                <w:color w:val="auto"/>
              </w:rPr>
            </w:pPr>
          </w:p>
        </w:tc>
        <w:tc>
          <w:tcPr>
            <w:tcW w:w="544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81" w:lineRule="exact"/>
        <w:rPr>
          <w:sz w:val="20"/>
          <w:szCs w:val="20"/>
          <w:color w:val="auto"/>
        </w:rPr>
      </w:pPr>
    </w:p>
    <w:p>
      <w:pPr>
        <w:ind w:left="1120" w:firstLine="368"/>
        <w:spacing w:after="0" w:line="275" w:lineRule="auto"/>
        <w:rPr>
          <w:sz w:val="20"/>
          <w:szCs w:val="20"/>
          <w:color w:val="auto"/>
        </w:rPr>
      </w:pPr>
      <w:r>
        <w:rPr>
          <w:rFonts w:ascii="Arial" w:cs="Arial" w:eastAsia="Arial" w:hAnsi="Arial"/>
          <w:sz w:val="15"/>
          <w:szCs w:val="15"/>
          <w:color w:val="auto"/>
        </w:rPr>
        <w:t>The underwriters will be committed to take and pay for all of the shares being offered, if any are taken, other than the shares covered by the option described below, unless and until this option is exercised.</w:t>
      </w:r>
    </w:p>
    <w:p>
      <w:pPr>
        <w:spacing w:after="0" w:line="146" w:lineRule="exact"/>
        <w:rPr>
          <w:sz w:val="20"/>
          <w:szCs w:val="20"/>
          <w:color w:val="auto"/>
        </w:rPr>
      </w:pPr>
    </w:p>
    <w:p>
      <w:pPr>
        <w:ind w:left="1120" w:right="20" w:firstLine="368"/>
        <w:spacing w:after="0" w:line="290" w:lineRule="auto"/>
        <w:rPr>
          <w:sz w:val="20"/>
          <w:szCs w:val="20"/>
          <w:color w:val="auto"/>
        </w:rPr>
      </w:pPr>
      <w:r>
        <w:rPr>
          <w:rFonts w:ascii="Arial" w:cs="Arial" w:eastAsia="Arial" w:hAnsi="Arial"/>
          <w:sz w:val="14"/>
          <w:szCs w:val="14"/>
          <w:color w:val="auto"/>
        </w:rPr>
        <w:t>The underwriters will have an option to buy up to an additional 5,400,000 shares from us to cover sales by the underwriters of a greater number of shares than the total number set forth in the table above. They may exercise that option for 30 days. If any shares are purchased pursuant to this option, the underwriters will severally purchase shares in approximately the same proportion as set forth in the table above.</w:t>
      </w:r>
    </w:p>
    <w:p>
      <w:pPr>
        <w:spacing w:after="0" w:line="138" w:lineRule="exact"/>
        <w:rPr>
          <w:sz w:val="20"/>
          <w:szCs w:val="20"/>
          <w:color w:val="auto"/>
        </w:rPr>
      </w:pPr>
    </w:p>
    <w:p>
      <w:pPr>
        <w:ind w:left="1120" w:right="80" w:firstLine="368"/>
        <w:spacing w:after="0" w:line="354" w:lineRule="auto"/>
        <w:rPr>
          <w:sz w:val="20"/>
          <w:szCs w:val="20"/>
          <w:color w:val="auto"/>
        </w:rPr>
      </w:pPr>
      <w:r>
        <w:rPr>
          <w:rFonts w:ascii="Arial" w:cs="Arial" w:eastAsia="Arial" w:hAnsi="Arial"/>
          <w:sz w:val="13"/>
          <w:szCs w:val="13"/>
          <w:color w:val="auto"/>
        </w:rPr>
        <w:t>The following tables show the per share and total underwriting discounts and commissions to be paid to the underwriters by us and the selling stockholders. Such amounts are shown assuming both no exercise and full exercise of the underwriters’ option to purchase 5,400,000 additional shares.</w:t>
      </w:r>
    </w:p>
    <w:p>
      <w:pPr>
        <w:spacing w:after="0" w:line="191" w:lineRule="exact"/>
        <w:rPr>
          <w:sz w:val="20"/>
          <w:szCs w:val="20"/>
          <w:color w:val="auto"/>
        </w:rPr>
      </w:pPr>
    </w:p>
    <w:p>
      <w:pPr>
        <w:ind w:left="5400"/>
        <w:spacing w:after="0"/>
        <w:rPr>
          <w:sz w:val="20"/>
          <w:szCs w:val="20"/>
          <w:color w:val="auto"/>
        </w:rPr>
      </w:pPr>
      <w:r>
        <w:rPr>
          <w:rFonts w:ascii="Arial" w:cs="Arial" w:eastAsia="Arial" w:hAnsi="Arial"/>
          <w:sz w:val="15"/>
          <w:szCs w:val="15"/>
          <w:u w:val="single" w:color="auto"/>
          <w:color w:val="auto"/>
        </w:rPr>
        <w:t>Paid by us</w:t>
      </w:r>
    </w:p>
    <w:p>
      <w:pPr>
        <w:spacing w:after="0" w:line="206" w:lineRule="exact"/>
        <w:rPr>
          <w:sz w:val="20"/>
          <w:szCs w:val="20"/>
          <w:color w:val="auto"/>
        </w:rPr>
      </w:pPr>
    </w:p>
    <w:tbl>
      <w:tblPr>
        <w:tblLayout w:type="fixed"/>
        <w:tblInd w:w="2220" w:type="dxa"/>
        <w:tblCellMar>
          <w:top w:w="0" w:type="dxa"/>
          <w:left w:w="0" w:type="dxa"/>
          <w:bottom w:w="0" w:type="dxa"/>
          <w:right w:w="0" w:type="dxa"/>
        </w:tblCellMar>
      </w:tblPr>
      <w:tr>
        <w:trPr>
          <w:trHeight w:val="140"/>
        </w:trPr>
        <w:tc>
          <w:tcPr>
            <w:tcW w:w="254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1360" w:type="dxa"/>
            <w:vAlign w:val="bottom"/>
            <w:gridSpan w:val="2"/>
          </w:tcPr>
          <w:p>
            <w:pPr>
              <w:jc w:val="right"/>
              <w:spacing w:after="0"/>
              <w:rPr>
                <w:sz w:val="20"/>
                <w:szCs w:val="20"/>
                <w:color w:val="auto"/>
              </w:rPr>
            </w:pPr>
            <w:r>
              <w:rPr>
                <w:rFonts w:ascii="Arial" w:cs="Arial" w:eastAsia="Arial" w:hAnsi="Arial"/>
                <w:sz w:val="12"/>
                <w:szCs w:val="12"/>
                <w:color w:val="auto"/>
              </w:rPr>
              <w:t>No exercise</w:t>
            </w:r>
          </w:p>
        </w:tc>
        <w:tc>
          <w:tcPr>
            <w:tcW w:w="1180" w:type="dxa"/>
            <w:vAlign w:val="bottom"/>
            <w:gridSpan w:val="3"/>
          </w:tcPr>
          <w:p>
            <w:pPr>
              <w:ind w:left="500"/>
              <w:spacing w:after="0"/>
              <w:rPr>
                <w:sz w:val="20"/>
                <w:szCs w:val="20"/>
                <w:color w:val="auto"/>
              </w:rPr>
            </w:pPr>
            <w:r>
              <w:rPr>
                <w:rFonts w:ascii="Arial" w:cs="Arial" w:eastAsia="Arial" w:hAnsi="Arial"/>
                <w:sz w:val="12"/>
                <w:szCs w:val="12"/>
                <w:color w:val="auto"/>
                <w:w w:val="97"/>
              </w:rPr>
              <w:t>Full exercise</w:t>
            </w:r>
          </w:p>
        </w:tc>
      </w:tr>
      <w:tr>
        <w:trPr>
          <w:trHeight w:val="172"/>
        </w:trPr>
        <w:tc>
          <w:tcPr>
            <w:tcW w:w="2540" w:type="dxa"/>
            <w:vAlign w:val="bottom"/>
            <w:tcBorders>
              <w:top w:val="single" w:sz="8" w:color="CCEEFF"/>
            </w:tcBorders>
            <w:shd w:val="clear" w:color="auto" w:fill="CCEEFF"/>
          </w:tcPr>
          <w:p>
            <w:pPr>
              <w:spacing w:after="0" w:line="170" w:lineRule="exact"/>
              <w:rPr>
                <w:sz w:val="20"/>
                <w:szCs w:val="20"/>
                <w:color w:val="auto"/>
              </w:rPr>
            </w:pPr>
            <w:r>
              <w:rPr>
                <w:rFonts w:ascii="Arial" w:cs="Arial" w:eastAsia="Arial" w:hAnsi="Arial"/>
                <w:sz w:val="15"/>
                <w:szCs w:val="15"/>
                <w:color w:val="auto"/>
              </w:rPr>
              <w:t>Per share</w:t>
            </w:r>
          </w:p>
        </w:tc>
        <w:tc>
          <w:tcPr>
            <w:tcW w:w="1920" w:type="dxa"/>
            <w:vAlign w:val="bottom"/>
            <w:tcBorders>
              <w:top w:val="single" w:sz="8" w:color="CCEEFF"/>
            </w:tcBorders>
            <w:shd w:val="clear" w:color="auto" w:fill="CCEEFF"/>
          </w:tcPr>
          <w:p>
            <w:pPr>
              <w:spacing w:after="0"/>
              <w:rPr>
                <w:sz w:val="14"/>
                <w:szCs w:val="14"/>
                <w:color w:val="auto"/>
              </w:rPr>
            </w:pPr>
          </w:p>
        </w:tc>
        <w:tc>
          <w:tcPr>
            <w:tcW w:w="780" w:type="dxa"/>
            <w:vAlign w:val="bottom"/>
            <w:tcBorders>
              <w:top w:val="single" w:sz="8" w:color="CCEEFF"/>
            </w:tcBorders>
            <w:shd w:val="clear" w:color="auto" w:fill="CCEEFF"/>
          </w:tcPr>
          <w:p>
            <w:pPr>
              <w:spacing w:after="0"/>
              <w:rPr>
                <w:sz w:val="14"/>
                <w:szCs w:val="14"/>
                <w:color w:val="auto"/>
              </w:rPr>
            </w:pPr>
          </w:p>
        </w:tc>
        <w:tc>
          <w:tcPr>
            <w:tcW w:w="580" w:type="dxa"/>
            <w:vAlign w:val="bottom"/>
            <w:tcBorders>
              <w:top w:val="single" w:sz="8" w:color="auto"/>
            </w:tcBorders>
            <w:shd w:val="clear" w:color="auto" w:fill="CCEEFF"/>
          </w:tcPr>
          <w:p>
            <w:pPr>
              <w:jc w:val="right"/>
              <w:ind w:right="472"/>
              <w:spacing w:after="0"/>
              <w:rPr>
                <w:sz w:val="20"/>
                <w:szCs w:val="20"/>
                <w:color w:val="auto"/>
              </w:rPr>
            </w:pPr>
            <w:r>
              <w:rPr>
                <w:rFonts w:ascii="Arial" w:cs="Arial" w:eastAsia="Arial" w:hAnsi="Arial"/>
                <w:sz w:val="10"/>
                <w:szCs w:val="10"/>
                <w:color w:val="auto"/>
                <w:w w:val="71"/>
              </w:rPr>
              <w:t>$</w:t>
            </w:r>
          </w:p>
        </w:tc>
        <w:tc>
          <w:tcPr>
            <w:tcW w:w="520" w:type="dxa"/>
            <w:vAlign w:val="bottom"/>
            <w:tcBorders>
              <w:top w:val="single" w:sz="8" w:color="CCEEFF"/>
            </w:tcBorders>
            <w:shd w:val="clear" w:color="auto" w:fill="CCEEFF"/>
          </w:tcPr>
          <w:p>
            <w:pPr>
              <w:spacing w:after="0"/>
              <w:rPr>
                <w:sz w:val="14"/>
                <w:szCs w:val="14"/>
                <w:color w:val="auto"/>
              </w:rPr>
            </w:pPr>
          </w:p>
        </w:tc>
        <w:tc>
          <w:tcPr>
            <w:tcW w:w="620" w:type="dxa"/>
            <w:vAlign w:val="bottom"/>
            <w:tcBorders>
              <w:top w:val="single" w:sz="8" w:color="auto"/>
            </w:tcBorders>
            <w:shd w:val="clear" w:color="auto" w:fill="CCEEFF"/>
          </w:tcPr>
          <w:p>
            <w:pPr>
              <w:jc w:val="right"/>
              <w:ind w:right="512"/>
              <w:spacing w:after="0"/>
              <w:rPr>
                <w:sz w:val="20"/>
                <w:szCs w:val="20"/>
                <w:color w:val="auto"/>
              </w:rPr>
            </w:pPr>
            <w:r>
              <w:rPr>
                <w:rFonts w:ascii="Arial" w:cs="Arial" w:eastAsia="Arial" w:hAnsi="Arial"/>
                <w:sz w:val="10"/>
                <w:szCs w:val="10"/>
                <w:color w:val="auto"/>
                <w:w w:val="71"/>
              </w:rPr>
              <w:t>$</w:t>
            </w:r>
          </w:p>
        </w:tc>
        <w:tc>
          <w:tcPr>
            <w:tcW w:w="40" w:type="dxa"/>
            <w:vAlign w:val="bottom"/>
            <w:tcBorders>
              <w:top w:val="single" w:sz="8" w:color="CCEEFF"/>
            </w:tcBorders>
            <w:shd w:val="clear" w:color="auto" w:fill="CCEEFF"/>
          </w:tcPr>
          <w:p>
            <w:pPr>
              <w:spacing w:after="0"/>
              <w:rPr>
                <w:sz w:val="14"/>
                <w:szCs w:val="14"/>
                <w:color w:val="auto"/>
              </w:rPr>
            </w:pPr>
          </w:p>
        </w:tc>
      </w:tr>
      <w:tr>
        <w:trPr>
          <w:trHeight w:val="190"/>
        </w:trPr>
        <w:tc>
          <w:tcPr>
            <w:tcW w:w="2540" w:type="dxa"/>
            <w:vAlign w:val="bottom"/>
          </w:tcPr>
          <w:p>
            <w:pPr>
              <w:spacing w:after="0"/>
              <w:rPr>
                <w:sz w:val="20"/>
                <w:szCs w:val="20"/>
                <w:color w:val="auto"/>
              </w:rPr>
            </w:pPr>
            <w:r>
              <w:rPr>
                <w:rFonts w:ascii="Arial" w:cs="Arial" w:eastAsia="Arial" w:hAnsi="Arial"/>
                <w:sz w:val="15"/>
                <w:szCs w:val="15"/>
                <w:color w:val="auto"/>
              </w:rPr>
              <w:t>Total</w:t>
            </w:r>
          </w:p>
        </w:tc>
        <w:tc>
          <w:tcPr>
            <w:tcW w:w="3280" w:type="dxa"/>
            <w:vAlign w:val="bottom"/>
            <w:gridSpan w:val="3"/>
          </w:tcPr>
          <w:p>
            <w:pPr>
              <w:jc w:val="right"/>
              <w:ind w:right="472"/>
              <w:spacing w:after="0"/>
              <w:rPr>
                <w:sz w:val="20"/>
                <w:szCs w:val="20"/>
                <w:color w:val="auto"/>
              </w:rPr>
            </w:pPr>
            <w:r>
              <w:rPr>
                <w:rFonts w:ascii="Arial" w:cs="Arial" w:eastAsia="Arial" w:hAnsi="Arial"/>
                <w:sz w:val="15"/>
                <w:szCs w:val="15"/>
                <w:color w:val="auto"/>
              </w:rPr>
              <w:t>$</w:t>
            </w:r>
          </w:p>
        </w:tc>
        <w:tc>
          <w:tcPr>
            <w:tcW w:w="1140" w:type="dxa"/>
            <w:vAlign w:val="bottom"/>
            <w:gridSpan w:val="2"/>
          </w:tcPr>
          <w:p>
            <w:pPr>
              <w:jc w:val="right"/>
              <w:ind w:right="512"/>
              <w:spacing w:after="0"/>
              <w:rPr>
                <w:sz w:val="20"/>
                <w:szCs w:val="20"/>
                <w:color w:val="auto"/>
              </w:rPr>
            </w:pPr>
            <w:r>
              <w:rPr>
                <w:rFonts w:ascii="Arial" w:cs="Arial" w:eastAsia="Arial" w:hAnsi="Arial"/>
                <w:sz w:val="15"/>
                <w:szCs w:val="15"/>
                <w:color w:val="auto"/>
              </w:rPr>
              <w:t>$</w:t>
            </w:r>
          </w:p>
        </w:tc>
        <w:tc>
          <w:tcPr>
            <w:tcW w:w="40" w:type="dxa"/>
            <w:vAlign w:val="bottom"/>
          </w:tcPr>
          <w:p>
            <w:pPr>
              <w:spacing w:after="0"/>
              <w:rPr>
                <w:sz w:val="16"/>
                <w:szCs w:val="16"/>
                <w:color w:val="auto"/>
              </w:rPr>
            </w:pPr>
          </w:p>
        </w:tc>
      </w:tr>
      <w:tr>
        <w:trPr>
          <w:trHeight w:val="408"/>
        </w:trPr>
        <w:tc>
          <w:tcPr>
            <w:tcW w:w="2540" w:type="dxa"/>
            <w:vAlign w:val="bottom"/>
          </w:tcPr>
          <w:p>
            <w:pPr>
              <w:spacing w:after="0"/>
              <w:rPr>
                <w:sz w:val="24"/>
                <w:szCs w:val="24"/>
                <w:color w:val="auto"/>
              </w:rPr>
            </w:pPr>
          </w:p>
        </w:tc>
        <w:tc>
          <w:tcPr>
            <w:tcW w:w="3280" w:type="dxa"/>
            <w:vAlign w:val="bottom"/>
            <w:gridSpan w:val="3"/>
          </w:tcPr>
          <w:p>
            <w:pPr>
              <w:jc w:val="right"/>
              <w:ind w:right="1312"/>
              <w:spacing w:after="0"/>
              <w:rPr>
                <w:sz w:val="20"/>
                <w:szCs w:val="20"/>
                <w:color w:val="auto"/>
              </w:rPr>
            </w:pPr>
            <w:r>
              <w:rPr>
                <w:rFonts w:ascii="Arial" w:cs="Arial" w:eastAsia="Arial" w:hAnsi="Arial"/>
                <w:sz w:val="15"/>
                <w:szCs w:val="15"/>
                <w:color w:val="auto"/>
                <w:w w:val="90"/>
              </w:rPr>
              <w:t>Paid by the selling stockholders</w:t>
            </w:r>
          </w:p>
        </w:tc>
        <w:tc>
          <w:tcPr>
            <w:tcW w:w="5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341"/>
        </w:trPr>
        <w:tc>
          <w:tcPr>
            <w:tcW w:w="2540" w:type="dxa"/>
            <w:vAlign w:val="bottom"/>
          </w:tcPr>
          <w:p>
            <w:pPr>
              <w:spacing w:after="0"/>
              <w:rPr>
                <w:sz w:val="24"/>
                <w:szCs w:val="24"/>
                <w:color w:val="auto"/>
              </w:rPr>
            </w:pPr>
          </w:p>
        </w:tc>
        <w:tc>
          <w:tcPr>
            <w:tcW w:w="1920" w:type="dxa"/>
            <w:vAlign w:val="bottom"/>
            <w:tcBorders>
              <w:top w:val="single" w:sz="8" w:color="auto"/>
            </w:tcBorders>
          </w:tcPr>
          <w:p>
            <w:pPr>
              <w:spacing w:after="0"/>
              <w:rPr>
                <w:sz w:val="24"/>
                <w:szCs w:val="24"/>
                <w:color w:val="auto"/>
              </w:rPr>
            </w:pPr>
          </w:p>
        </w:tc>
        <w:tc>
          <w:tcPr>
            <w:tcW w:w="1360" w:type="dxa"/>
            <w:vAlign w:val="bottom"/>
            <w:gridSpan w:val="2"/>
          </w:tcPr>
          <w:p>
            <w:pPr>
              <w:jc w:val="right"/>
              <w:spacing w:after="0"/>
              <w:rPr>
                <w:sz w:val="20"/>
                <w:szCs w:val="20"/>
                <w:color w:val="auto"/>
              </w:rPr>
            </w:pPr>
            <w:r>
              <w:rPr>
                <w:rFonts w:ascii="Arial" w:cs="Arial" w:eastAsia="Arial" w:hAnsi="Arial"/>
                <w:sz w:val="12"/>
                <w:szCs w:val="12"/>
                <w:color w:val="auto"/>
              </w:rPr>
              <w:t>No exercise</w:t>
            </w:r>
          </w:p>
        </w:tc>
        <w:tc>
          <w:tcPr>
            <w:tcW w:w="1180" w:type="dxa"/>
            <w:vAlign w:val="bottom"/>
            <w:gridSpan w:val="3"/>
          </w:tcPr>
          <w:p>
            <w:pPr>
              <w:ind w:left="500"/>
              <w:spacing w:after="0"/>
              <w:rPr>
                <w:sz w:val="20"/>
                <w:szCs w:val="20"/>
                <w:color w:val="auto"/>
              </w:rPr>
            </w:pPr>
            <w:r>
              <w:rPr>
                <w:rFonts w:ascii="Arial" w:cs="Arial" w:eastAsia="Arial" w:hAnsi="Arial"/>
                <w:sz w:val="12"/>
                <w:szCs w:val="12"/>
                <w:color w:val="auto"/>
                <w:w w:val="97"/>
              </w:rPr>
              <w:t>Full exercise</w:t>
            </w:r>
          </w:p>
        </w:tc>
      </w:tr>
      <w:tr>
        <w:trPr>
          <w:trHeight w:val="172"/>
        </w:trPr>
        <w:tc>
          <w:tcPr>
            <w:tcW w:w="2540" w:type="dxa"/>
            <w:vAlign w:val="bottom"/>
            <w:tcBorders>
              <w:top w:val="single" w:sz="8" w:color="CCEEFF"/>
            </w:tcBorders>
            <w:shd w:val="clear" w:color="auto" w:fill="CCEEFF"/>
          </w:tcPr>
          <w:p>
            <w:pPr>
              <w:spacing w:after="0" w:line="170" w:lineRule="exact"/>
              <w:rPr>
                <w:sz w:val="20"/>
                <w:szCs w:val="20"/>
                <w:color w:val="auto"/>
              </w:rPr>
            </w:pPr>
            <w:r>
              <w:rPr>
                <w:rFonts w:ascii="Arial" w:cs="Arial" w:eastAsia="Arial" w:hAnsi="Arial"/>
                <w:sz w:val="15"/>
                <w:szCs w:val="15"/>
                <w:color w:val="auto"/>
              </w:rPr>
              <w:t>Per share</w:t>
            </w:r>
          </w:p>
        </w:tc>
        <w:tc>
          <w:tcPr>
            <w:tcW w:w="1920" w:type="dxa"/>
            <w:vAlign w:val="bottom"/>
            <w:tcBorders>
              <w:top w:val="single" w:sz="8" w:color="CCEEFF"/>
            </w:tcBorders>
            <w:shd w:val="clear" w:color="auto" w:fill="CCEEFF"/>
          </w:tcPr>
          <w:p>
            <w:pPr>
              <w:spacing w:after="0"/>
              <w:rPr>
                <w:sz w:val="14"/>
                <w:szCs w:val="14"/>
                <w:color w:val="auto"/>
              </w:rPr>
            </w:pPr>
          </w:p>
        </w:tc>
        <w:tc>
          <w:tcPr>
            <w:tcW w:w="780" w:type="dxa"/>
            <w:vAlign w:val="bottom"/>
            <w:tcBorders>
              <w:top w:val="single" w:sz="8" w:color="CCEEFF"/>
            </w:tcBorders>
            <w:shd w:val="clear" w:color="auto" w:fill="CCEEFF"/>
          </w:tcPr>
          <w:p>
            <w:pPr>
              <w:spacing w:after="0"/>
              <w:rPr>
                <w:sz w:val="14"/>
                <w:szCs w:val="14"/>
                <w:color w:val="auto"/>
              </w:rPr>
            </w:pPr>
          </w:p>
        </w:tc>
        <w:tc>
          <w:tcPr>
            <w:tcW w:w="580" w:type="dxa"/>
            <w:vAlign w:val="bottom"/>
            <w:tcBorders>
              <w:top w:val="single" w:sz="8" w:color="auto"/>
            </w:tcBorders>
            <w:shd w:val="clear" w:color="auto" w:fill="CCEEFF"/>
          </w:tcPr>
          <w:p>
            <w:pPr>
              <w:jc w:val="right"/>
              <w:ind w:right="472"/>
              <w:spacing w:after="0"/>
              <w:rPr>
                <w:sz w:val="20"/>
                <w:szCs w:val="20"/>
                <w:color w:val="auto"/>
              </w:rPr>
            </w:pPr>
            <w:r>
              <w:rPr>
                <w:rFonts w:ascii="Arial" w:cs="Arial" w:eastAsia="Arial" w:hAnsi="Arial"/>
                <w:sz w:val="10"/>
                <w:szCs w:val="10"/>
                <w:color w:val="auto"/>
                <w:w w:val="71"/>
              </w:rPr>
              <w:t>$</w:t>
            </w:r>
          </w:p>
        </w:tc>
        <w:tc>
          <w:tcPr>
            <w:tcW w:w="520" w:type="dxa"/>
            <w:vAlign w:val="bottom"/>
            <w:tcBorders>
              <w:top w:val="single" w:sz="8" w:color="CCEEFF"/>
            </w:tcBorders>
            <w:shd w:val="clear" w:color="auto" w:fill="CCEEFF"/>
          </w:tcPr>
          <w:p>
            <w:pPr>
              <w:spacing w:after="0"/>
              <w:rPr>
                <w:sz w:val="14"/>
                <w:szCs w:val="14"/>
                <w:color w:val="auto"/>
              </w:rPr>
            </w:pPr>
          </w:p>
        </w:tc>
        <w:tc>
          <w:tcPr>
            <w:tcW w:w="620" w:type="dxa"/>
            <w:vAlign w:val="bottom"/>
            <w:tcBorders>
              <w:top w:val="single" w:sz="8" w:color="auto"/>
            </w:tcBorders>
            <w:shd w:val="clear" w:color="auto" w:fill="CCEEFF"/>
          </w:tcPr>
          <w:p>
            <w:pPr>
              <w:jc w:val="right"/>
              <w:ind w:right="512"/>
              <w:spacing w:after="0"/>
              <w:rPr>
                <w:sz w:val="20"/>
                <w:szCs w:val="20"/>
                <w:color w:val="auto"/>
              </w:rPr>
            </w:pPr>
            <w:r>
              <w:rPr>
                <w:rFonts w:ascii="Arial" w:cs="Arial" w:eastAsia="Arial" w:hAnsi="Arial"/>
                <w:sz w:val="10"/>
                <w:szCs w:val="10"/>
                <w:color w:val="auto"/>
                <w:w w:val="71"/>
              </w:rPr>
              <w:t>$</w:t>
            </w:r>
          </w:p>
        </w:tc>
        <w:tc>
          <w:tcPr>
            <w:tcW w:w="40" w:type="dxa"/>
            <w:vAlign w:val="bottom"/>
            <w:tcBorders>
              <w:top w:val="single" w:sz="8" w:color="CCEEFF"/>
            </w:tcBorders>
            <w:shd w:val="clear" w:color="auto" w:fill="CCEEFF"/>
          </w:tcPr>
          <w:p>
            <w:pPr>
              <w:spacing w:after="0"/>
              <w:rPr>
                <w:sz w:val="14"/>
                <w:szCs w:val="14"/>
                <w:color w:val="auto"/>
              </w:rPr>
            </w:pPr>
          </w:p>
        </w:tc>
      </w:tr>
      <w:tr>
        <w:trPr>
          <w:trHeight w:val="190"/>
        </w:trPr>
        <w:tc>
          <w:tcPr>
            <w:tcW w:w="2540" w:type="dxa"/>
            <w:vAlign w:val="bottom"/>
          </w:tcPr>
          <w:p>
            <w:pPr>
              <w:spacing w:after="0"/>
              <w:rPr>
                <w:sz w:val="20"/>
                <w:szCs w:val="20"/>
                <w:color w:val="auto"/>
              </w:rPr>
            </w:pPr>
            <w:r>
              <w:rPr>
                <w:rFonts w:ascii="Arial" w:cs="Arial" w:eastAsia="Arial" w:hAnsi="Arial"/>
                <w:sz w:val="15"/>
                <w:szCs w:val="15"/>
                <w:color w:val="auto"/>
              </w:rPr>
              <w:t>Total</w:t>
            </w:r>
          </w:p>
        </w:tc>
        <w:tc>
          <w:tcPr>
            <w:tcW w:w="3280" w:type="dxa"/>
            <w:vAlign w:val="bottom"/>
            <w:gridSpan w:val="3"/>
          </w:tcPr>
          <w:p>
            <w:pPr>
              <w:jc w:val="right"/>
              <w:ind w:right="472"/>
              <w:spacing w:after="0"/>
              <w:rPr>
                <w:sz w:val="20"/>
                <w:szCs w:val="20"/>
                <w:color w:val="auto"/>
              </w:rPr>
            </w:pPr>
            <w:r>
              <w:rPr>
                <w:rFonts w:ascii="Arial" w:cs="Arial" w:eastAsia="Arial" w:hAnsi="Arial"/>
                <w:sz w:val="15"/>
                <w:szCs w:val="15"/>
                <w:color w:val="auto"/>
              </w:rPr>
              <w:t>$</w:t>
            </w:r>
          </w:p>
        </w:tc>
        <w:tc>
          <w:tcPr>
            <w:tcW w:w="1140" w:type="dxa"/>
            <w:vAlign w:val="bottom"/>
            <w:gridSpan w:val="2"/>
          </w:tcPr>
          <w:p>
            <w:pPr>
              <w:jc w:val="right"/>
              <w:ind w:right="512"/>
              <w:spacing w:after="0"/>
              <w:rPr>
                <w:sz w:val="20"/>
                <w:szCs w:val="20"/>
                <w:color w:val="auto"/>
              </w:rPr>
            </w:pPr>
            <w:r>
              <w:rPr>
                <w:rFonts w:ascii="Arial" w:cs="Arial" w:eastAsia="Arial" w:hAnsi="Arial"/>
                <w:sz w:val="15"/>
                <w:szCs w:val="15"/>
                <w:color w:val="auto"/>
              </w:rPr>
              <w:t>$</w:t>
            </w:r>
          </w:p>
        </w:tc>
        <w:tc>
          <w:tcPr>
            <w:tcW w:w="40" w:type="dxa"/>
            <w:vAlign w:val="bottom"/>
          </w:tcPr>
          <w:p>
            <w:pPr>
              <w:spacing w:after="0"/>
              <w:rPr>
                <w:sz w:val="16"/>
                <w:szCs w:val="16"/>
                <w:color w:val="auto"/>
              </w:rPr>
            </w:pPr>
          </w:p>
        </w:tc>
      </w:tr>
    </w:tbl>
    <w:p>
      <w:pPr>
        <w:spacing w:after="0" w:line="160" w:lineRule="exact"/>
        <w:rPr>
          <w:sz w:val="20"/>
          <w:szCs w:val="20"/>
          <w:color w:val="auto"/>
        </w:rPr>
      </w:pPr>
    </w:p>
    <w:p>
      <w:pPr>
        <w:ind w:left="1480"/>
        <w:spacing w:after="0"/>
        <w:rPr>
          <w:sz w:val="20"/>
          <w:szCs w:val="20"/>
          <w:color w:val="auto"/>
        </w:rPr>
      </w:pPr>
      <w:r>
        <w:rPr>
          <w:rFonts w:ascii="Arial" w:cs="Arial" w:eastAsia="Arial" w:hAnsi="Arial"/>
          <w:sz w:val="14"/>
          <w:szCs w:val="14"/>
          <w:color w:val="auto"/>
        </w:rPr>
        <w:t>Shares sold by the underwriters to the public will initially be offered at the initial public offering price set forth on the cover of this prospectus.</w:t>
      </w:r>
    </w:p>
    <w:p>
      <w:pPr>
        <w:spacing w:after="0" w:line="29" w:lineRule="exact"/>
        <w:rPr>
          <w:sz w:val="20"/>
          <w:szCs w:val="20"/>
          <w:color w:val="auto"/>
        </w:rPr>
      </w:pPr>
    </w:p>
    <w:p>
      <w:pPr>
        <w:ind w:left="1120" w:right="340"/>
        <w:spacing w:after="0" w:line="262" w:lineRule="auto"/>
        <w:rPr>
          <w:sz w:val="20"/>
          <w:szCs w:val="20"/>
          <w:color w:val="auto"/>
        </w:rPr>
      </w:pPr>
      <w:r>
        <w:rPr>
          <w:rFonts w:ascii="Arial" w:cs="Arial" w:eastAsia="Arial" w:hAnsi="Arial"/>
          <w:sz w:val="15"/>
          <w:szCs w:val="15"/>
          <w:color w:val="auto"/>
        </w:rPr>
        <w:t>Any shares sold by the underwriters to securities dealers may be sold at a discount of up to $ per share from the initial public offering price. After the initial offering of the shares,</w:t>
      </w:r>
    </w:p>
    <w:p>
      <w:pPr>
        <w:spacing w:after="0" w:line="99" w:lineRule="exact"/>
        <w:rPr>
          <w:sz w:val="20"/>
          <w:szCs w:val="20"/>
          <w:color w:val="auto"/>
        </w:rPr>
      </w:pPr>
    </w:p>
    <w:p>
      <w:pPr>
        <w:ind w:left="5600"/>
        <w:spacing w:after="0"/>
        <w:rPr>
          <w:sz w:val="20"/>
          <w:szCs w:val="20"/>
          <w:color w:val="auto"/>
        </w:rPr>
      </w:pPr>
      <w:r>
        <w:rPr>
          <w:rFonts w:ascii="Arial" w:cs="Arial" w:eastAsia="Arial" w:hAnsi="Arial"/>
          <w:sz w:val="15"/>
          <w:szCs w:val="15"/>
          <w:color w:val="auto"/>
        </w:rPr>
        <w:t>185</w:t>
      </w:r>
    </w:p>
    <w:p>
      <w:pPr>
        <w:sectPr>
          <w:pgSz w:w="11900" w:h="16838" w:orient="portrait"/>
          <w:cols w:equalWidth="0" w:num="1">
            <w:col w:w="10300"/>
          </w:cols>
          <w:pgMar w:left="240" w:top="407" w:right="1359" w:bottom="1440" w:gutter="0" w:footer="0" w:header="0"/>
        </w:sectPr>
      </w:pPr>
    </w:p>
    <w:bookmarkStart w:id="192" w:name="page193"/>
    <w:bookmarkEnd w:id="192"/>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133350</wp:posOffset>
            </wp:positionH>
            <wp:positionV relativeFrom="page">
              <wp:posOffset>88900</wp:posOffset>
            </wp:positionV>
            <wp:extent cx="7308850" cy="3429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308850" cy="34290"/>
                    </a:xfrm>
                    <a:prstGeom prst="rect">
                      <a:avLst/>
                    </a:prstGeom>
                    <a:noFill/>
                  </pic:spPr>
                </pic:pic>
              </a:graphicData>
            </a:graphic>
          </wp:anchor>
        </w:drawing>
      </w:r>
      <w:hyperlink w:anchor="page7">
        <w:r>
          <w:rPr>
            <w:rFonts w:ascii="Arial" w:cs="Arial" w:eastAsia="Arial" w:hAnsi="Arial"/>
            <w:sz w:val="15"/>
            <w:szCs w:val="15"/>
            <w:b w:val="1"/>
            <w:bCs w:val="1"/>
            <w:u w:val="single" w:color="auto"/>
            <w:color w:val="0000EE"/>
          </w:rPr>
          <w:t>Table of Contents</w:t>
        </w:r>
      </w:hyperlink>
    </w:p>
    <w:p>
      <w:pPr>
        <w:spacing w:after="0" w:line="260" w:lineRule="exact"/>
        <w:rPr>
          <w:sz w:val="20"/>
          <w:szCs w:val="20"/>
          <w:color w:val="auto"/>
        </w:rPr>
      </w:pPr>
    </w:p>
    <w:p>
      <w:pPr>
        <w:ind w:left="1120" w:right="280"/>
        <w:spacing w:after="0" w:line="275" w:lineRule="auto"/>
        <w:rPr>
          <w:sz w:val="20"/>
          <w:szCs w:val="20"/>
          <w:color w:val="auto"/>
        </w:rPr>
      </w:pPr>
      <w:r>
        <w:rPr>
          <w:rFonts w:ascii="Arial" w:cs="Arial" w:eastAsia="Arial" w:hAnsi="Arial"/>
          <w:sz w:val="15"/>
          <w:szCs w:val="15"/>
          <w:color w:val="auto"/>
        </w:rPr>
        <w:t>the representatives may change the offering price and the other selling terms. The offering of the shares by the underwriters is subject to receipt and acceptance and subject to the underwriters’ right to reject any order in whole or in part.</w:t>
      </w:r>
    </w:p>
    <w:p>
      <w:pPr>
        <w:spacing w:after="0" w:line="146" w:lineRule="exact"/>
        <w:rPr>
          <w:sz w:val="20"/>
          <w:szCs w:val="20"/>
          <w:color w:val="auto"/>
        </w:rPr>
      </w:pPr>
    </w:p>
    <w:p>
      <w:pPr>
        <w:ind w:left="1120" w:firstLine="368"/>
        <w:spacing w:after="0" w:line="293" w:lineRule="auto"/>
        <w:rPr>
          <w:sz w:val="20"/>
          <w:szCs w:val="20"/>
          <w:color w:val="auto"/>
        </w:rPr>
      </w:pPr>
      <w:r>
        <w:rPr>
          <w:rFonts w:ascii="Arial" w:cs="Arial" w:eastAsia="Arial" w:hAnsi="Arial"/>
          <w:sz w:val="13"/>
          <w:szCs w:val="13"/>
          <w:color w:val="auto"/>
        </w:rPr>
        <w:t>Our executive officers, directors, and certain other holders of our capital stock and securities convertible into or exchangeable for our capital stock have agreed that, subject to certain exceptions, for a period of 180 days after the date of this prospectus, or lock-up period, they will not, without the prior written consent of Goldman Sachs &amp; Co. LLC and J.P. Morgan Securities LLC, dispose of or hedge any shares or any securities convertible into or exchangeable for shares of our capital stock; provided that if (i) at least 120 days have elapsed since the date of this prospectus, (ii) we have publicly released our earnings results for the quarterly period during which this offering occurred, and (iii) such lock-up period is scheduled to end during or within five trading days prior to a blackout period, such lock-up period will end ten trading days prior to the commencement of such blackout period. In addition, we will enter into a lock-up agreement with the underwriters under which we will agree not to sell any of our stock for 180 days following the date of this prospectus, subject to certain exceptions including, but not limited to, our issuance of shares of common stock or certain other securities in connection with our acquisition of the securities, business, technology, property, or other assets of another person or entity or pursuant to an employee benefit plan that we assumed in connection with such acquisition, or our joint ventures, commercial relationships, and other strategic transactions, provided that the aggregate number of shares of Class A common stock (including with respect to securities to be granted pursuant to any assumed employee benefit plans covered by a registration statement on Form S-8) issued pursuant to this exception will not exceed 10% of the total number of shares of Class A common stock outstanding immediately following this offering, and provided that each recipient executes and delivers a lock-up agreement with substantially the same restrictions to which our executive officers, directors, and certain holders of our capital stock and securities convertible into or exchangeable for our capital stock are subject. Goldman Sachs &amp; Co. LLC and J.P. Morgan Securities LLC may, in their discretion, release any of the securities subject to these lock-up agreements at any time. See “Shares Available for Future Sale” for a discussion of certain transfer restrictions, including market standoff agreements between us and each of our executive officers, directors, and holders of our capital stock and securities convertible into or exchangeable for our capital stock.</w:t>
      </w:r>
    </w:p>
    <w:p>
      <w:pPr>
        <w:spacing w:after="0" w:line="326" w:lineRule="exact"/>
        <w:rPr>
          <w:sz w:val="20"/>
          <w:szCs w:val="20"/>
          <w:color w:val="auto"/>
        </w:rPr>
      </w:pPr>
    </w:p>
    <w:p>
      <w:pPr>
        <w:ind w:left="1120" w:right="260" w:firstLine="368"/>
        <w:spacing w:after="0" w:line="283" w:lineRule="auto"/>
        <w:rPr>
          <w:sz w:val="20"/>
          <w:szCs w:val="20"/>
          <w:color w:val="auto"/>
        </w:rPr>
      </w:pPr>
      <w:r>
        <w:rPr>
          <w:rFonts w:ascii="Arial" w:cs="Arial" w:eastAsia="Arial" w:hAnsi="Arial"/>
          <w:sz w:val="14"/>
          <w:szCs w:val="14"/>
          <w:color w:val="auto"/>
        </w:rPr>
        <w:t>Prior to the offering, there has been no public market for the shares. The initial public offering price has been negotiated among us, the selling stockholders, and the representatives. Among the factors to be considered in determining the initial public offering price of the shares, in addition to prevailing market conditions, will be our historical performance, estimates of our business potential and earnings prospects, an assessment of our management, and the consideration of the above factors in relation to market valuation of companies in related businesses.</w:t>
      </w:r>
    </w:p>
    <w:p>
      <w:pPr>
        <w:spacing w:after="0" w:line="143" w:lineRule="exact"/>
        <w:rPr>
          <w:sz w:val="20"/>
          <w:szCs w:val="20"/>
          <w:color w:val="auto"/>
        </w:rPr>
      </w:pPr>
    </w:p>
    <w:p>
      <w:pPr>
        <w:ind w:left="1480"/>
        <w:spacing w:after="0"/>
        <w:rPr>
          <w:sz w:val="20"/>
          <w:szCs w:val="20"/>
          <w:color w:val="auto"/>
        </w:rPr>
      </w:pPr>
      <w:r>
        <w:rPr>
          <w:rFonts w:ascii="Arial" w:cs="Arial" w:eastAsia="Arial" w:hAnsi="Arial"/>
          <w:sz w:val="15"/>
          <w:szCs w:val="15"/>
          <w:color w:val="auto"/>
        </w:rPr>
        <w:t>We have been approved to list our Class A common stock on the Nasdaq Global Select Market under the symbol “DBX”.</w:t>
      </w:r>
    </w:p>
    <w:p>
      <w:pPr>
        <w:spacing w:after="0" w:line="188" w:lineRule="exact"/>
        <w:rPr>
          <w:sz w:val="20"/>
          <w:szCs w:val="20"/>
          <w:color w:val="auto"/>
        </w:rPr>
      </w:pPr>
    </w:p>
    <w:p>
      <w:pPr>
        <w:ind w:left="1120" w:right="20" w:firstLine="368"/>
        <w:spacing w:after="0" w:line="296" w:lineRule="auto"/>
        <w:rPr>
          <w:sz w:val="20"/>
          <w:szCs w:val="20"/>
          <w:color w:val="auto"/>
        </w:rPr>
      </w:pPr>
      <w:r>
        <w:rPr>
          <w:rFonts w:ascii="Arial" w:cs="Arial" w:eastAsia="Arial" w:hAnsi="Arial"/>
          <w:sz w:val="13"/>
          <w:szCs w:val="13"/>
          <w:color w:val="auto"/>
        </w:rPr>
        <w:t>In connection with the offering, the underwriters may purchase and sell shares of Class A common stock in the open market. These transactions may include short sales, stabilizing transactions, and purchases to cover positions created by short sales. Short sales involve the sale by the underwriters of a greater number of shares than they are required to purchase in the offering, and a short position represents the amount of such sales that have not been covered by subsequent purchases. A “covered short position” is a short position that is not greater than the amount of additional shares for which the underwriters’ option described above may be exercised. The underwriters may cover any covered short position by either exercising their option to purchase additional shares or purchasing shares in the open market. In determining the source of shares to cover the covered short position, the underwriters will consider, among other things, the price of shares available for purchase in the open market as compared to the price at which they may purchase additional shares pursuant to the option described above. “Naked” short sales are any short sales that create a short position greater than the amount of additional shares for which the option described above may be exercised. The underwriters must cover any such naked short position by purchasing shares in the open market. A naked short position is more likely to be created if the</w:t>
      </w:r>
    </w:p>
    <w:p>
      <w:pPr>
        <w:spacing w:after="0" w:line="85" w:lineRule="exact"/>
        <w:rPr>
          <w:sz w:val="20"/>
          <w:szCs w:val="20"/>
          <w:color w:val="auto"/>
        </w:rPr>
      </w:pPr>
    </w:p>
    <w:p>
      <w:pPr>
        <w:ind w:left="5600"/>
        <w:spacing w:after="0"/>
        <w:rPr>
          <w:sz w:val="20"/>
          <w:szCs w:val="20"/>
          <w:color w:val="auto"/>
        </w:rPr>
      </w:pPr>
      <w:r>
        <w:rPr>
          <w:rFonts w:ascii="Arial" w:cs="Arial" w:eastAsia="Arial" w:hAnsi="Arial"/>
          <w:sz w:val="15"/>
          <w:szCs w:val="15"/>
          <w:color w:val="auto"/>
        </w:rPr>
        <w:t>186</w:t>
      </w:r>
    </w:p>
    <w:p>
      <w:pPr>
        <w:sectPr>
          <w:pgSz w:w="11900" w:h="16838" w:orient="portrait"/>
          <w:cols w:equalWidth="0" w:num="1">
            <w:col w:w="10280"/>
          </w:cols>
          <w:pgMar w:left="240" w:top="408" w:right="1379" w:bottom="1440" w:gutter="0" w:footer="0" w:header="0"/>
        </w:sectPr>
      </w:pPr>
    </w:p>
    <w:bookmarkStart w:id="193" w:name="page194"/>
    <w:bookmarkEnd w:id="193"/>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133350</wp:posOffset>
            </wp:positionH>
            <wp:positionV relativeFrom="page">
              <wp:posOffset>88900</wp:posOffset>
            </wp:positionV>
            <wp:extent cx="7308850" cy="3429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308850" cy="34290"/>
                    </a:xfrm>
                    <a:prstGeom prst="rect">
                      <a:avLst/>
                    </a:prstGeom>
                    <a:noFill/>
                  </pic:spPr>
                </pic:pic>
              </a:graphicData>
            </a:graphic>
          </wp:anchor>
        </w:drawing>
      </w:r>
      <w:hyperlink w:anchor="page7">
        <w:r>
          <w:rPr>
            <w:rFonts w:ascii="Arial" w:cs="Arial" w:eastAsia="Arial" w:hAnsi="Arial"/>
            <w:sz w:val="15"/>
            <w:szCs w:val="15"/>
            <w:b w:val="1"/>
            <w:bCs w:val="1"/>
            <w:u w:val="single" w:color="auto"/>
            <w:color w:val="0000EE"/>
          </w:rPr>
          <w:t>Table of Contents</w:t>
        </w:r>
      </w:hyperlink>
    </w:p>
    <w:p>
      <w:pPr>
        <w:spacing w:after="0" w:line="260" w:lineRule="exact"/>
        <w:rPr>
          <w:sz w:val="20"/>
          <w:szCs w:val="20"/>
          <w:color w:val="auto"/>
        </w:rPr>
      </w:pPr>
    </w:p>
    <w:p>
      <w:pPr>
        <w:jc w:val="both"/>
        <w:ind w:left="1120" w:right="140"/>
        <w:spacing w:after="0" w:line="263" w:lineRule="auto"/>
        <w:rPr>
          <w:sz w:val="20"/>
          <w:szCs w:val="20"/>
          <w:color w:val="auto"/>
        </w:rPr>
      </w:pPr>
      <w:r>
        <w:rPr>
          <w:rFonts w:ascii="Arial" w:cs="Arial" w:eastAsia="Arial" w:hAnsi="Arial"/>
          <w:sz w:val="15"/>
          <w:szCs w:val="15"/>
          <w:color w:val="auto"/>
        </w:rPr>
        <w:t>underwriters are concerned that there may be downward pressure on the price of the Class A common stock in the open market after pricing that could adversely affect investors who purchase in the offering. Stabilizing transactions consist of various bids for or purchases of common stock made by the underwriters in the open market prior to the completion of the offering.</w:t>
      </w:r>
    </w:p>
    <w:p>
      <w:pPr>
        <w:spacing w:after="0" w:line="155" w:lineRule="exact"/>
        <w:rPr>
          <w:sz w:val="20"/>
          <w:szCs w:val="20"/>
          <w:color w:val="auto"/>
        </w:rPr>
      </w:pPr>
    </w:p>
    <w:p>
      <w:pPr>
        <w:ind w:left="1120" w:right="60" w:firstLine="368"/>
        <w:spacing w:after="0" w:line="263" w:lineRule="auto"/>
        <w:rPr>
          <w:sz w:val="20"/>
          <w:szCs w:val="20"/>
          <w:color w:val="auto"/>
        </w:rPr>
      </w:pPr>
      <w:r>
        <w:rPr>
          <w:rFonts w:ascii="Arial" w:cs="Arial" w:eastAsia="Arial" w:hAnsi="Arial"/>
          <w:sz w:val="15"/>
          <w:szCs w:val="15"/>
          <w:color w:val="auto"/>
        </w:rPr>
        <w:t>The underwriters may also impose a penalty bid. This occurs when a particular underwriter repays to the underwriters a portion of the underwriting discount received by it because the representatives have repurchased shares sold by or for the account of such underwriter in stabilizing or short covering transactions.</w:t>
      </w:r>
    </w:p>
    <w:p>
      <w:pPr>
        <w:spacing w:after="0" w:line="155" w:lineRule="exact"/>
        <w:rPr>
          <w:sz w:val="20"/>
          <w:szCs w:val="20"/>
          <w:color w:val="auto"/>
        </w:rPr>
      </w:pPr>
    </w:p>
    <w:p>
      <w:pPr>
        <w:ind w:left="1120" w:firstLine="368"/>
        <w:spacing w:after="0" w:line="279" w:lineRule="auto"/>
        <w:rPr>
          <w:sz w:val="20"/>
          <w:szCs w:val="20"/>
          <w:color w:val="auto"/>
        </w:rPr>
      </w:pPr>
      <w:r>
        <w:rPr>
          <w:rFonts w:ascii="Arial" w:cs="Arial" w:eastAsia="Arial" w:hAnsi="Arial"/>
          <w:sz w:val="14"/>
          <w:szCs w:val="14"/>
          <w:color w:val="auto"/>
        </w:rPr>
        <w:t>Purchases to cover a short position and stabilizing transactions, as well as other purchases by the underwriters for their own accounts, may have the effect of preventing or retarding a decline in the market price of our stock, and together with the imposition of the penalty bid, may stabilize, maintain, or otherwise affect the market price of the common stock. As a result, the price of our Class A common stock may be higher than the price that otherwise might exist in the open market. The underwriters are not required to engage in these activities and may end any of these activities at any time. These transactions may be effected on Nasdaq, in the over-the-counter market or otherwise</w:t>
      </w:r>
    </w:p>
    <w:p>
      <w:pPr>
        <w:spacing w:after="0" w:line="147" w:lineRule="exact"/>
        <w:rPr>
          <w:sz w:val="20"/>
          <w:szCs w:val="20"/>
          <w:color w:val="auto"/>
        </w:rPr>
      </w:pPr>
    </w:p>
    <w:p>
      <w:pPr>
        <w:ind w:left="1120" w:right="360" w:firstLine="368"/>
        <w:spacing w:after="0" w:line="275" w:lineRule="auto"/>
        <w:rPr>
          <w:sz w:val="20"/>
          <w:szCs w:val="20"/>
          <w:color w:val="auto"/>
        </w:rPr>
      </w:pPr>
      <w:r>
        <w:rPr>
          <w:rFonts w:ascii="Arial" w:cs="Arial" w:eastAsia="Arial" w:hAnsi="Arial"/>
          <w:sz w:val="15"/>
          <w:szCs w:val="15"/>
          <w:color w:val="auto"/>
        </w:rPr>
        <w:t>The underwriters do not expect sales to discretionary accounts to exceed five percent of the total number of shares of Class A common stock offered.</w:t>
      </w:r>
    </w:p>
    <w:p>
      <w:pPr>
        <w:spacing w:after="0" w:line="146" w:lineRule="exact"/>
        <w:rPr>
          <w:sz w:val="20"/>
          <w:szCs w:val="20"/>
          <w:color w:val="auto"/>
        </w:rPr>
      </w:pPr>
    </w:p>
    <w:p>
      <w:pPr>
        <w:ind w:left="1120" w:right="40" w:firstLine="368"/>
        <w:spacing w:after="0" w:line="263" w:lineRule="auto"/>
        <w:rPr>
          <w:sz w:val="20"/>
          <w:szCs w:val="20"/>
          <w:color w:val="auto"/>
        </w:rPr>
      </w:pPr>
      <w:r>
        <w:rPr>
          <w:rFonts w:ascii="Arial" w:cs="Arial" w:eastAsia="Arial" w:hAnsi="Arial"/>
          <w:sz w:val="15"/>
          <w:szCs w:val="15"/>
          <w:color w:val="auto"/>
        </w:rPr>
        <w:t>We and the selling stockholders estimate that our share of the total expenses of the offering, excluding underwriting discounts and commissions, will be approximately $7.0 million. The underwriters have agreed to reimburse us, or will pay and not seek reimbursement from us, for certain expenses incurred by us in connection with this offering.</w:t>
      </w:r>
    </w:p>
    <w:p>
      <w:pPr>
        <w:spacing w:after="0" w:line="155" w:lineRule="exact"/>
        <w:rPr>
          <w:sz w:val="20"/>
          <w:szCs w:val="20"/>
          <w:color w:val="auto"/>
        </w:rPr>
      </w:pPr>
    </w:p>
    <w:p>
      <w:pPr>
        <w:ind w:left="1120" w:right="180" w:firstLine="368"/>
        <w:spacing w:after="0" w:line="263" w:lineRule="auto"/>
        <w:rPr>
          <w:sz w:val="20"/>
          <w:szCs w:val="20"/>
          <w:color w:val="auto"/>
        </w:rPr>
      </w:pPr>
      <w:r>
        <w:rPr>
          <w:rFonts w:ascii="Arial" w:cs="Arial" w:eastAsia="Arial" w:hAnsi="Arial"/>
          <w:sz w:val="15"/>
          <w:szCs w:val="15"/>
          <w:color w:val="auto"/>
        </w:rPr>
        <w:t>We and the selling stockholders have agreed to indemnify the several underwriters against certain liabilities, including liabilities under the Securities Act of 1933. In addition, we and the selling stockholders have agreed to reimburse the underwriters for certain expenses in connection with this offering.</w:t>
      </w:r>
    </w:p>
    <w:p>
      <w:pPr>
        <w:spacing w:after="0" w:line="155" w:lineRule="exact"/>
        <w:rPr>
          <w:sz w:val="20"/>
          <w:szCs w:val="20"/>
          <w:color w:val="auto"/>
        </w:rPr>
      </w:pPr>
    </w:p>
    <w:p>
      <w:pPr>
        <w:ind w:left="1120" w:right="120" w:firstLine="368"/>
        <w:spacing w:after="0" w:line="274" w:lineRule="auto"/>
        <w:rPr>
          <w:sz w:val="20"/>
          <w:szCs w:val="20"/>
          <w:color w:val="auto"/>
        </w:rPr>
      </w:pPr>
      <w:r>
        <w:rPr>
          <w:rFonts w:ascii="Arial" w:cs="Arial" w:eastAsia="Arial" w:hAnsi="Arial"/>
          <w:sz w:val="14"/>
          <w:szCs w:val="14"/>
          <w:color w:val="auto"/>
        </w:rPr>
        <w:t>The underwriters and their respective affiliates are full service financial institutions engaged in various activities, which may include sales and trading, commercial and investment banking, advisory, investment management, investment research, principal investment, hedging, market making, brokerage, and other financial and non-financial activities and services. Certain of the underwriters and their respective affiliates have provided, and may in the future provide, a variety of these services to the issuer and to persons and entities with relationships with the issuer, for which they received or will receive customary fees and expenses. In 2014, we entered into a revolving credit agreement with affiliates of Goldman Sachs &amp; Co. LLC, J.P. Morgan Securities LLC, Deutsche Bank Securities Inc., Merrill Lynch, Pierce, Fenner &amp; Smith Incorporated, RBC Capital Markets, LLC, and Macquarie Capital (USA) Inc., under which these underwriters and their respective affiliates have been, and may be in the future, paid customary fees. For additional information on our revolving credit facility, see the section titled “Management’s Discussion and Analysis of Financial Condition and Results of Operations—Liquidity and Capital Resources.”</w:t>
      </w:r>
    </w:p>
    <w:p>
      <w:pPr>
        <w:spacing w:after="0" w:line="150" w:lineRule="exact"/>
        <w:rPr>
          <w:sz w:val="20"/>
          <w:szCs w:val="20"/>
          <w:color w:val="auto"/>
        </w:rPr>
      </w:pPr>
    </w:p>
    <w:p>
      <w:pPr>
        <w:ind w:left="1120" w:right="20" w:firstLine="368"/>
        <w:spacing w:after="0" w:line="257" w:lineRule="auto"/>
        <w:rPr>
          <w:sz w:val="20"/>
          <w:szCs w:val="20"/>
          <w:color w:val="auto"/>
        </w:rPr>
      </w:pPr>
      <w:r>
        <w:rPr>
          <w:rFonts w:ascii="Arial" w:cs="Arial" w:eastAsia="Arial" w:hAnsi="Arial"/>
          <w:sz w:val="15"/>
          <w:szCs w:val="15"/>
          <w:color w:val="auto"/>
        </w:rPr>
        <w:t>In September 2011, affiliates of Goldman Sachs &amp; Co. LLC, one of the underwriters, purchased an aggregate of 1,837,199 shares of our Series B Preferred Stock, all of which shares will automatically convert into an aggregate of 1,837,199 shares of Class B common stock in connection with this offering. In November 2011, Allen &amp; Company LLC, one of the underwriters, and certain of its affiliates and employees purchased an aggregate of 184,180 shares of our Series B preferred stock, which shares will automatically convert into an aggregate of 184,180 shares of Class B common stock in connection with this offering.</w:t>
      </w:r>
    </w:p>
    <w:p>
      <w:pPr>
        <w:spacing w:after="0" w:line="159" w:lineRule="exact"/>
        <w:rPr>
          <w:sz w:val="20"/>
          <w:szCs w:val="20"/>
          <w:color w:val="auto"/>
        </w:rPr>
      </w:pPr>
    </w:p>
    <w:p>
      <w:pPr>
        <w:ind w:left="1120" w:firstLine="368"/>
        <w:spacing w:after="0" w:line="290" w:lineRule="auto"/>
        <w:rPr>
          <w:sz w:val="20"/>
          <w:szCs w:val="20"/>
          <w:color w:val="auto"/>
        </w:rPr>
      </w:pPr>
      <w:r>
        <w:rPr>
          <w:rFonts w:ascii="Arial" w:cs="Arial" w:eastAsia="Arial" w:hAnsi="Arial"/>
          <w:sz w:val="14"/>
          <w:szCs w:val="14"/>
          <w:color w:val="auto"/>
        </w:rPr>
        <w:t>Pursuant to the concurrent private placement, Salesforce Ventures LLC will purchase from us in a private placement $100.0 million of our Class A common stock at a price per share equal to the initial public offering price. Based on an assumed initial public offering price of $19.00 per share, which is the midpoint of the estimated offering price range set forth on the cover page of this prospectus, this would be 5,263,158 shares.</w:t>
      </w:r>
    </w:p>
    <w:p>
      <w:pPr>
        <w:spacing w:after="0" w:line="82" w:lineRule="exact"/>
        <w:rPr>
          <w:sz w:val="20"/>
          <w:szCs w:val="20"/>
          <w:color w:val="auto"/>
        </w:rPr>
      </w:pPr>
    </w:p>
    <w:p>
      <w:pPr>
        <w:ind w:left="5600"/>
        <w:spacing w:after="0"/>
        <w:rPr>
          <w:sz w:val="20"/>
          <w:szCs w:val="20"/>
          <w:color w:val="auto"/>
        </w:rPr>
      </w:pPr>
      <w:r>
        <w:rPr>
          <w:rFonts w:ascii="Arial" w:cs="Arial" w:eastAsia="Arial" w:hAnsi="Arial"/>
          <w:sz w:val="15"/>
          <w:szCs w:val="15"/>
          <w:color w:val="auto"/>
        </w:rPr>
        <w:t>187</w:t>
      </w:r>
    </w:p>
    <w:p>
      <w:pPr>
        <w:sectPr>
          <w:pgSz w:w="11900" w:h="16838" w:orient="portrait"/>
          <w:cols w:equalWidth="0" w:num="1">
            <w:col w:w="10300"/>
          </w:cols>
          <w:pgMar w:left="240" w:top="408" w:right="1359" w:bottom="1440" w:gutter="0" w:footer="0" w:header="0"/>
        </w:sectPr>
      </w:pPr>
    </w:p>
    <w:bookmarkStart w:id="194" w:name="page195"/>
    <w:bookmarkEnd w:id="194"/>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133350</wp:posOffset>
            </wp:positionH>
            <wp:positionV relativeFrom="page">
              <wp:posOffset>88900</wp:posOffset>
            </wp:positionV>
            <wp:extent cx="7308850" cy="3429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308850" cy="34290"/>
                    </a:xfrm>
                    <a:prstGeom prst="rect">
                      <a:avLst/>
                    </a:prstGeom>
                    <a:noFill/>
                  </pic:spPr>
                </pic:pic>
              </a:graphicData>
            </a:graphic>
          </wp:anchor>
        </w:drawing>
      </w:r>
      <w:hyperlink w:anchor="page7">
        <w:r>
          <w:rPr>
            <w:rFonts w:ascii="Arial" w:cs="Arial" w:eastAsia="Arial" w:hAnsi="Arial"/>
            <w:sz w:val="15"/>
            <w:szCs w:val="15"/>
            <w:b w:val="1"/>
            <w:bCs w:val="1"/>
            <w:u w:val="single" w:color="auto"/>
            <w:color w:val="0000EE"/>
          </w:rPr>
          <w:t>Table of Contents</w:t>
        </w:r>
      </w:hyperlink>
    </w:p>
    <w:p>
      <w:pPr>
        <w:spacing w:after="0" w:line="260" w:lineRule="exact"/>
        <w:rPr>
          <w:sz w:val="20"/>
          <w:szCs w:val="20"/>
          <w:color w:val="auto"/>
        </w:rPr>
      </w:pPr>
    </w:p>
    <w:p>
      <w:pPr>
        <w:ind w:left="1120" w:right="20"/>
        <w:spacing w:after="0" w:line="257" w:lineRule="auto"/>
        <w:rPr>
          <w:sz w:val="20"/>
          <w:szCs w:val="20"/>
          <w:color w:val="auto"/>
        </w:rPr>
      </w:pPr>
      <w:r>
        <w:rPr>
          <w:rFonts w:ascii="Arial" w:cs="Arial" w:eastAsia="Arial" w:hAnsi="Arial"/>
          <w:sz w:val="15"/>
          <w:szCs w:val="15"/>
          <w:color w:val="auto"/>
        </w:rPr>
        <w:t>Goldman Sachs &amp; Co. LLC, J.P. Morgan Securities LLC, Deutsche Bank Securities Inc., Merrill Lynch, Pierce, Fenner &amp; Smith Incorporated, Allen &amp; Company LLC, RBC Capital Markets, LLC, Jefferies LLC, and Canaccord Genuity LLC, or certain of their respective affiliates beneficially own shares of salesforce.com, inc. As a result of this ownership, these underwriters would be deemed to beneficially own 192,106 shares of our Class A common stock. These shares of Class A common stock would be deemed underwriting compensation pursuant to FINRA Rule 5110, but meet an exception to the lock-up restriction pursuant to FINRA Rule 5110(g)(2)(A)(iii).</w:t>
      </w:r>
    </w:p>
    <w:p>
      <w:pPr>
        <w:spacing w:after="0" w:line="159" w:lineRule="exact"/>
        <w:rPr>
          <w:sz w:val="20"/>
          <w:szCs w:val="20"/>
          <w:color w:val="auto"/>
        </w:rPr>
      </w:pPr>
    </w:p>
    <w:p>
      <w:pPr>
        <w:ind w:left="1120" w:right="180" w:firstLine="368"/>
        <w:spacing w:after="0" w:line="354" w:lineRule="auto"/>
        <w:rPr>
          <w:sz w:val="20"/>
          <w:szCs w:val="20"/>
          <w:color w:val="auto"/>
        </w:rPr>
      </w:pPr>
      <w:r>
        <w:rPr>
          <w:rFonts w:ascii="Arial" w:cs="Arial" w:eastAsia="Arial" w:hAnsi="Arial"/>
          <w:sz w:val="13"/>
          <w:szCs w:val="13"/>
          <w:color w:val="auto"/>
        </w:rPr>
        <w:t>In addition, certain of our employees who are considered associated persons of some of the underwriters have been granted RSUs as part of our ordinary course employee compensation practices. These grants are deemed to be underwriting compensation pursuant to FINRA Rule 5110.</w:t>
      </w:r>
    </w:p>
    <w:p>
      <w:pPr>
        <w:spacing w:after="0" w:line="100" w:lineRule="exact"/>
        <w:rPr>
          <w:sz w:val="20"/>
          <w:szCs w:val="20"/>
          <w:color w:val="auto"/>
        </w:rPr>
      </w:pPr>
    </w:p>
    <w:p>
      <w:pPr>
        <w:ind w:left="1120" w:right="160" w:firstLine="368"/>
        <w:spacing w:after="0" w:line="300" w:lineRule="auto"/>
        <w:rPr>
          <w:sz w:val="20"/>
          <w:szCs w:val="20"/>
          <w:color w:val="auto"/>
        </w:rPr>
      </w:pPr>
      <w:r>
        <w:rPr>
          <w:rFonts w:ascii="Arial" w:cs="Arial" w:eastAsia="Arial" w:hAnsi="Arial"/>
          <w:sz w:val="13"/>
          <w:szCs w:val="13"/>
          <w:color w:val="auto"/>
        </w:rPr>
        <w:t>In the ordinary course of their various business activities, the underwriters and their respective affiliates, officers, directors, and employees may purchase, sell, or hold a broad array of investments and actively trade securities, derivatives, loans, commodities, currencies, credit default swaps, and other financial instruments for their own account and for the accounts of their customers, and such investment and trading activities may involve or relate to assets, securities, and/or instruments of the issuer (directly, as collateral securing other obligations or otherwise), and/or persons and entities with relationships with the issuer. The underwriters and their respective affiliates may also communicate independent investment recommendations, market color or trading ideas and/or publish or express independent research views in respect of such assets, securities, or instruments and may at any time hold, or recommend to clients that they should acquire, long, and/or short positions in such assets, securities and instruments.</w:t>
      </w:r>
    </w:p>
    <w:p>
      <w:pPr>
        <w:spacing w:after="0" w:line="136" w:lineRule="exact"/>
        <w:rPr>
          <w:sz w:val="20"/>
          <w:szCs w:val="20"/>
          <w:color w:val="auto"/>
        </w:rPr>
      </w:pPr>
    </w:p>
    <w:p>
      <w:pPr>
        <w:ind w:left="1120" w:right="100" w:firstLine="368"/>
        <w:spacing w:after="0" w:line="276" w:lineRule="auto"/>
        <w:rPr>
          <w:sz w:val="20"/>
          <w:szCs w:val="20"/>
          <w:color w:val="auto"/>
        </w:rPr>
      </w:pPr>
      <w:r>
        <w:rPr>
          <w:rFonts w:ascii="Arial" w:cs="Arial" w:eastAsia="Arial" w:hAnsi="Arial"/>
          <w:sz w:val="14"/>
          <w:szCs w:val="14"/>
          <w:color w:val="auto"/>
        </w:rPr>
        <w:t>Affiliates of Goldman Sachs &amp; Co. LLC, J.P. Morgan Securities LLC, Deutsche Bank Securities Inc., and Merrill Lynch, Pierce, Fenner &amp; Smith Incorporated, underwriters in this offering, will receive at least 5% of the net proceeds of this offering in connection with the repayment of</w:t>
      </w:r>
    </w:p>
    <w:p>
      <w:pPr>
        <w:ind w:left="1120"/>
        <w:spacing w:after="0" w:line="295" w:lineRule="auto"/>
        <w:rPr>
          <w:sz w:val="20"/>
          <w:szCs w:val="20"/>
          <w:color w:val="auto"/>
        </w:rPr>
      </w:pPr>
      <w:r>
        <w:rPr>
          <w:rFonts w:ascii="Arial" w:cs="Arial" w:eastAsia="Arial" w:hAnsi="Arial"/>
          <w:sz w:val="13"/>
          <w:szCs w:val="13"/>
          <w:color w:val="auto"/>
        </w:rPr>
        <w:t>$193.1 million that is expected to be outstanding immediately prior to the completion of this offering under our revolving credit facility. See “Use of Proceeds.” Accordingly, this offering is being made in compliance with the requirements of FINRA Rule 5121. This rule requires, among other things, that a “qualified independent underwriter” has participated in the preparation of, and has exercised the usual standards of “due diligence” with respect to, the registration statement. Allen &amp; Company LLC has agreed to act as qualified independent underwriter for this offering and to undertake the legal responsibilities and liabilities of an underwriter under the Securities Act. Allen &amp; Company LLC will not receive any additional fees for serving as qualified independent underwriter in connection with this offering. We have agreed to indemnify Allen &amp; Company LLC against liabilities incurred in connection with acting as qualified independent underwriter, including liabilities under the Securities Act. Pursuant to FINRA Rule 5121, Goldman Sachs &amp; Co. LLC, J.P. Morgan Securities LLC, Deutsche Bank Securities Inc., and Merrill Lynch, Pierce, Fenner &amp; Smith Incorporated will not confirm sales of securities to any account over which it exercises discretionary authority without the prior written approval of the customer.</w:t>
      </w:r>
    </w:p>
    <w:p>
      <w:pPr>
        <w:spacing w:after="0" w:line="231" w:lineRule="exact"/>
        <w:rPr>
          <w:sz w:val="20"/>
          <w:szCs w:val="20"/>
          <w:color w:val="auto"/>
        </w:rPr>
      </w:pPr>
    </w:p>
    <w:p>
      <w:pPr>
        <w:ind w:left="1480"/>
        <w:spacing w:after="0"/>
        <w:rPr>
          <w:sz w:val="20"/>
          <w:szCs w:val="20"/>
          <w:color w:val="auto"/>
        </w:rPr>
      </w:pPr>
      <w:r>
        <w:rPr>
          <w:rFonts w:ascii="Arial" w:cs="Arial" w:eastAsia="Arial" w:hAnsi="Arial"/>
          <w:sz w:val="15"/>
          <w:szCs w:val="15"/>
          <w:b w:val="1"/>
          <w:bCs w:val="1"/>
          <w:i w:val="1"/>
          <w:iCs w:val="1"/>
          <w:color w:val="auto"/>
        </w:rPr>
        <w:t>European Economic Area</w:t>
      </w:r>
    </w:p>
    <w:p>
      <w:pPr>
        <w:spacing w:after="0" w:line="98" w:lineRule="exact"/>
        <w:rPr>
          <w:sz w:val="20"/>
          <w:szCs w:val="20"/>
          <w:color w:val="auto"/>
        </w:rPr>
      </w:pPr>
    </w:p>
    <w:p>
      <w:pPr>
        <w:ind w:left="1120" w:right="120" w:firstLine="368"/>
        <w:spacing w:after="0" w:line="259" w:lineRule="auto"/>
        <w:rPr>
          <w:sz w:val="20"/>
          <w:szCs w:val="20"/>
          <w:color w:val="auto"/>
        </w:rPr>
      </w:pPr>
      <w:r>
        <w:rPr>
          <w:rFonts w:ascii="Arial" w:cs="Arial" w:eastAsia="Arial" w:hAnsi="Arial"/>
          <w:sz w:val="15"/>
          <w:szCs w:val="15"/>
          <w:color w:val="auto"/>
        </w:rPr>
        <w:t>In relation to each Member State of the European Economic Area which has implemented the Prospectus Directive (each, a Relevant Member State), with effect from and including the date on which the Prospectus Directive is implemented in that Relevant Member State, no offer of shares of Class A common stock which are the subject of the offering contemplated by this prospectus may be made to the public in that Relevant Member State other than:</w:t>
      </w:r>
    </w:p>
    <w:p>
      <w:pPr>
        <w:spacing w:after="0" w:line="79" w:lineRule="exact"/>
        <w:rPr>
          <w:sz w:val="20"/>
          <w:szCs w:val="20"/>
          <w:color w:val="auto"/>
        </w:rPr>
      </w:pPr>
    </w:p>
    <w:p>
      <w:pPr>
        <w:ind w:left="1840" w:hanging="367"/>
        <w:spacing w:after="0"/>
        <w:tabs>
          <w:tab w:leader="none" w:pos="1840" w:val="left"/>
        </w:tabs>
        <w:numPr>
          <w:ilvl w:val="0"/>
          <w:numId w:val="97"/>
        </w:numPr>
        <w:rPr>
          <w:rFonts w:ascii="Arial" w:cs="Arial" w:eastAsia="Arial" w:hAnsi="Arial"/>
          <w:sz w:val="15"/>
          <w:szCs w:val="15"/>
          <w:color w:val="auto"/>
        </w:rPr>
      </w:pPr>
      <w:r>
        <w:rPr>
          <w:rFonts w:ascii="Arial" w:cs="Arial" w:eastAsia="Arial" w:hAnsi="Arial"/>
          <w:sz w:val="15"/>
          <w:szCs w:val="15"/>
          <w:color w:val="auto"/>
        </w:rPr>
        <w:t>to any legal entity which is a “qualified investor” as defined in the Prospectus Directive;</w:t>
      </w:r>
    </w:p>
    <w:p>
      <w:pPr>
        <w:spacing w:after="0" w:line="109" w:lineRule="exact"/>
        <w:rPr>
          <w:rFonts w:ascii="Arial" w:cs="Arial" w:eastAsia="Arial" w:hAnsi="Arial"/>
          <w:sz w:val="15"/>
          <w:szCs w:val="15"/>
          <w:color w:val="auto"/>
        </w:rPr>
      </w:pPr>
    </w:p>
    <w:p>
      <w:pPr>
        <w:ind w:left="1840" w:right="240" w:hanging="367"/>
        <w:spacing w:after="0" w:line="275" w:lineRule="auto"/>
        <w:tabs>
          <w:tab w:leader="none" w:pos="1840" w:val="left"/>
        </w:tabs>
        <w:numPr>
          <w:ilvl w:val="0"/>
          <w:numId w:val="97"/>
        </w:numPr>
        <w:rPr>
          <w:rFonts w:ascii="Arial" w:cs="Arial" w:eastAsia="Arial" w:hAnsi="Arial"/>
          <w:sz w:val="15"/>
          <w:szCs w:val="15"/>
          <w:color w:val="auto"/>
        </w:rPr>
      </w:pPr>
      <w:r>
        <w:rPr>
          <w:rFonts w:ascii="Arial" w:cs="Arial" w:eastAsia="Arial" w:hAnsi="Arial"/>
          <w:sz w:val="15"/>
          <w:szCs w:val="15"/>
          <w:color w:val="auto"/>
        </w:rPr>
        <w:t>to fewer than 150 natural or legal persons (other than “qualified investors” as defined in the Prospectus Directive), per Relevant Member State, subject to obtaining the prior consent of the underwriters; or</w:t>
      </w:r>
    </w:p>
    <w:p>
      <w:pPr>
        <w:spacing w:after="0" w:line="67" w:lineRule="exact"/>
        <w:rPr>
          <w:rFonts w:ascii="Arial" w:cs="Arial" w:eastAsia="Arial" w:hAnsi="Arial"/>
          <w:sz w:val="15"/>
          <w:szCs w:val="15"/>
          <w:color w:val="auto"/>
        </w:rPr>
      </w:pPr>
    </w:p>
    <w:p>
      <w:pPr>
        <w:ind w:left="1840" w:hanging="367"/>
        <w:spacing w:after="0"/>
        <w:tabs>
          <w:tab w:leader="none" w:pos="1840" w:val="left"/>
        </w:tabs>
        <w:numPr>
          <w:ilvl w:val="0"/>
          <w:numId w:val="97"/>
        </w:numPr>
        <w:rPr>
          <w:rFonts w:ascii="Arial" w:cs="Arial" w:eastAsia="Arial" w:hAnsi="Arial"/>
          <w:sz w:val="15"/>
          <w:szCs w:val="15"/>
          <w:color w:val="auto"/>
        </w:rPr>
      </w:pPr>
      <w:r>
        <w:rPr>
          <w:rFonts w:ascii="Arial" w:cs="Arial" w:eastAsia="Arial" w:hAnsi="Arial"/>
          <w:sz w:val="15"/>
          <w:szCs w:val="15"/>
          <w:color w:val="auto"/>
        </w:rPr>
        <w:t>in any other circumstances falling within Article 3(2) of the Prospectus Directive,</w:t>
      </w:r>
    </w:p>
    <w:p>
      <w:pPr>
        <w:spacing w:after="0" w:line="188" w:lineRule="exact"/>
        <w:rPr>
          <w:sz w:val="20"/>
          <w:szCs w:val="20"/>
          <w:color w:val="auto"/>
        </w:rPr>
      </w:pPr>
    </w:p>
    <w:p>
      <w:pPr>
        <w:ind w:left="1120" w:right="160"/>
        <w:spacing w:after="0" w:line="290" w:lineRule="auto"/>
        <w:rPr>
          <w:sz w:val="20"/>
          <w:szCs w:val="20"/>
          <w:color w:val="auto"/>
        </w:rPr>
      </w:pPr>
      <w:r>
        <w:rPr>
          <w:rFonts w:ascii="Arial" w:cs="Arial" w:eastAsia="Arial" w:hAnsi="Arial"/>
          <w:sz w:val="14"/>
          <w:szCs w:val="14"/>
          <w:color w:val="auto"/>
        </w:rPr>
        <w:t>provided that no such offer of shares of our Class A common stock shall result in a requirement for us or any underwriter to publish a prospectus pursuant to Article 3 of the Prospectus Directive or a supplemental prospectus pursuant to Article 16 of the Prospectus Directive and each person who initially acquires any shares of our Class A common stock or to whom any offer is made will be deemed to have represented, warranted, and</w:t>
      </w:r>
    </w:p>
    <w:p>
      <w:pPr>
        <w:spacing w:after="0" w:line="82" w:lineRule="exact"/>
        <w:rPr>
          <w:sz w:val="20"/>
          <w:szCs w:val="20"/>
          <w:color w:val="auto"/>
        </w:rPr>
      </w:pPr>
    </w:p>
    <w:p>
      <w:pPr>
        <w:ind w:left="5600"/>
        <w:spacing w:after="0"/>
        <w:rPr>
          <w:sz w:val="20"/>
          <w:szCs w:val="20"/>
          <w:color w:val="auto"/>
        </w:rPr>
      </w:pPr>
      <w:r>
        <w:rPr>
          <w:rFonts w:ascii="Arial" w:cs="Arial" w:eastAsia="Arial" w:hAnsi="Arial"/>
          <w:sz w:val="15"/>
          <w:szCs w:val="15"/>
          <w:color w:val="auto"/>
        </w:rPr>
        <w:t>188</w:t>
      </w:r>
    </w:p>
    <w:p>
      <w:pPr>
        <w:sectPr>
          <w:pgSz w:w="11900" w:h="16838" w:orient="portrait"/>
          <w:cols w:equalWidth="0" w:num="1">
            <w:col w:w="10300"/>
          </w:cols>
          <w:pgMar w:left="240" w:top="407" w:right="1359" w:bottom="1440" w:gutter="0" w:footer="0" w:header="0"/>
        </w:sectPr>
      </w:pPr>
    </w:p>
    <w:bookmarkStart w:id="195" w:name="page196"/>
    <w:bookmarkEnd w:id="195"/>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133350</wp:posOffset>
            </wp:positionH>
            <wp:positionV relativeFrom="page">
              <wp:posOffset>88900</wp:posOffset>
            </wp:positionV>
            <wp:extent cx="7308850" cy="3429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308850" cy="34290"/>
                    </a:xfrm>
                    <a:prstGeom prst="rect">
                      <a:avLst/>
                    </a:prstGeom>
                    <a:noFill/>
                  </pic:spPr>
                </pic:pic>
              </a:graphicData>
            </a:graphic>
          </wp:anchor>
        </w:drawing>
      </w:r>
      <w:hyperlink w:anchor="page7">
        <w:r>
          <w:rPr>
            <w:rFonts w:ascii="Arial" w:cs="Arial" w:eastAsia="Arial" w:hAnsi="Arial"/>
            <w:sz w:val="15"/>
            <w:szCs w:val="15"/>
            <w:b w:val="1"/>
            <w:bCs w:val="1"/>
            <w:u w:val="single" w:color="auto"/>
            <w:color w:val="0000EE"/>
          </w:rPr>
          <w:t>Table of Contents</w:t>
        </w:r>
      </w:hyperlink>
    </w:p>
    <w:p>
      <w:pPr>
        <w:spacing w:after="0" w:line="260" w:lineRule="exact"/>
        <w:rPr>
          <w:sz w:val="20"/>
          <w:szCs w:val="20"/>
          <w:color w:val="auto"/>
        </w:rPr>
      </w:pPr>
    </w:p>
    <w:p>
      <w:pPr>
        <w:ind w:left="1120" w:right="580"/>
        <w:spacing w:after="0" w:line="275" w:lineRule="auto"/>
        <w:rPr>
          <w:sz w:val="20"/>
          <w:szCs w:val="20"/>
          <w:color w:val="auto"/>
        </w:rPr>
      </w:pPr>
      <w:r>
        <w:rPr>
          <w:rFonts w:ascii="Arial" w:cs="Arial" w:eastAsia="Arial" w:hAnsi="Arial"/>
          <w:sz w:val="15"/>
          <w:szCs w:val="15"/>
          <w:color w:val="auto"/>
        </w:rPr>
        <w:t>agreed to and with each of the underwriters and us that it is a “qualified investor” within the meaning of the law in that Relevant Member State implementing Article 2(1)(e) of the Prospectus Directive.</w:t>
      </w:r>
    </w:p>
    <w:p>
      <w:pPr>
        <w:spacing w:after="0" w:line="146" w:lineRule="exact"/>
        <w:rPr>
          <w:sz w:val="20"/>
          <w:szCs w:val="20"/>
          <w:color w:val="auto"/>
        </w:rPr>
      </w:pPr>
    </w:p>
    <w:p>
      <w:pPr>
        <w:ind w:left="1120" w:firstLine="368"/>
        <w:spacing w:after="0" w:line="255" w:lineRule="auto"/>
        <w:rPr>
          <w:sz w:val="20"/>
          <w:szCs w:val="20"/>
          <w:color w:val="auto"/>
        </w:rPr>
      </w:pPr>
      <w:r>
        <w:rPr>
          <w:rFonts w:ascii="Arial" w:cs="Arial" w:eastAsia="Arial" w:hAnsi="Arial"/>
          <w:sz w:val="15"/>
          <w:szCs w:val="15"/>
          <w:color w:val="auto"/>
        </w:rPr>
        <w:t>For the purposes of this provision, the expression an “offer of shares to the public” in relation to any shares of our Class A common stock in any Relevant Member State means the communication in any form and by any means of sufficient information on the terms of the offer and the shares of our Class A common stock to be offered so as to enable an investor to decide to purchase or subscribe for the shares of our Class A common stock, as the same may be varied in that Relevant Member State by any measure implementing the Prospectus Directive in that Relevant Member State. The expression “Prospectus Directive” means Directive 2003/71/EC (as amended, including by Directive 2010/73/EU), and includes any relevant implementing measure in the Relevant Member State.</w:t>
      </w:r>
    </w:p>
    <w:p>
      <w:pPr>
        <w:spacing w:after="0" w:line="254" w:lineRule="exact"/>
        <w:rPr>
          <w:sz w:val="20"/>
          <w:szCs w:val="20"/>
          <w:color w:val="auto"/>
        </w:rPr>
      </w:pPr>
    </w:p>
    <w:p>
      <w:pPr>
        <w:ind w:left="1480"/>
        <w:spacing w:after="0"/>
        <w:rPr>
          <w:sz w:val="20"/>
          <w:szCs w:val="20"/>
          <w:color w:val="auto"/>
        </w:rPr>
      </w:pPr>
      <w:r>
        <w:rPr>
          <w:rFonts w:ascii="Arial" w:cs="Arial" w:eastAsia="Arial" w:hAnsi="Arial"/>
          <w:sz w:val="15"/>
          <w:szCs w:val="15"/>
          <w:b w:val="1"/>
          <w:bCs w:val="1"/>
          <w:i w:val="1"/>
          <w:iCs w:val="1"/>
          <w:color w:val="auto"/>
        </w:rPr>
        <w:t>United Kingdom</w:t>
      </w:r>
    </w:p>
    <w:p>
      <w:pPr>
        <w:spacing w:after="0" w:line="98" w:lineRule="exact"/>
        <w:rPr>
          <w:sz w:val="20"/>
          <w:szCs w:val="20"/>
          <w:color w:val="auto"/>
        </w:rPr>
      </w:pPr>
    </w:p>
    <w:p>
      <w:pPr>
        <w:jc w:val="both"/>
        <w:ind w:left="1120" w:right="120" w:firstLine="368"/>
        <w:spacing w:after="0" w:line="294" w:lineRule="auto"/>
        <w:rPr>
          <w:sz w:val="20"/>
          <w:szCs w:val="20"/>
          <w:color w:val="auto"/>
        </w:rPr>
      </w:pPr>
      <w:r>
        <w:rPr>
          <w:rFonts w:ascii="Arial" w:cs="Arial" w:eastAsia="Arial" w:hAnsi="Arial"/>
          <w:sz w:val="13"/>
          <w:szCs w:val="13"/>
          <w:color w:val="auto"/>
        </w:rPr>
        <w:t>In the United Kingdom, this prospectus in relation to the shares of Class A common stock described herein is being directed only at persons who are “qualified investors” (as defined in the Prospectus Directive) who are (i) persons having professional experience in matters relating to investments falling within Article 19(5) of the Financial Services and Markets Act 2000 Order 2005, or (ii) high net worth entities falling within Article 49(2)(a) to</w:t>
      </w:r>
    </w:p>
    <w:p>
      <w:pPr>
        <w:spacing w:after="0" w:line="1" w:lineRule="exact"/>
        <w:rPr>
          <w:sz w:val="20"/>
          <w:szCs w:val="20"/>
          <w:color w:val="auto"/>
        </w:rPr>
      </w:pPr>
    </w:p>
    <w:p>
      <w:pPr>
        <w:ind w:left="1120" w:right="60" w:hanging="8"/>
        <w:spacing w:after="0" w:line="302" w:lineRule="auto"/>
        <w:tabs>
          <w:tab w:leader="none" w:pos="1333" w:val="left"/>
        </w:tabs>
        <w:numPr>
          <w:ilvl w:val="0"/>
          <w:numId w:val="98"/>
        </w:numPr>
        <w:rPr>
          <w:rFonts w:ascii="Arial" w:cs="Arial" w:eastAsia="Arial" w:hAnsi="Arial"/>
          <w:sz w:val="13"/>
          <w:szCs w:val="13"/>
          <w:color w:val="auto"/>
        </w:rPr>
      </w:pPr>
      <w:r>
        <w:rPr>
          <w:rFonts w:ascii="Arial" w:cs="Arial" w:eastAsia="Arial" w:hAnsi="Arial"/>
          <w:sz w:val="13"/>
          <w:szCs w:val="13"/>
          <w:color w:val="auto"/>
        </w:rPr>
        <w:t>of the Order, or (iii) persons to whom it would otherwise be lawful to distribute it, all such persons together being referred to as “Relevant Persons.” The shares of Class A common stock described herein are only available to, and any invitation, offer, or agreement to subscribe, purchase, or otherwise acquire such shares of Class A common stock will be engaged in only with, Relevant Persons. This prospectus and its contents are confidential and should not be distributed, published, or reproduced (in whole or in part), or disclosed by any recipients to any other person in the United Kingdom. Any person in the United Kingdom that is not a Relevant Person should not act or rely on this prospectus or its contents.</w:t>
      </w:r>
    </w:p>
    <w:p>
      <w:pPr>
        <w:spacing w:after="0" w:line="223" w:lineRule="exact"/>
        <w:rPr>
          <w:sz w:val="20"/>
          <w:szCs w:val="20"/>
          <w:color w:val="auto"/>
        </w:rPr>
      </w:pPr>
    </w:p>
    <w:p>
      <w:pPr>
        <w:ind w:left="1480"/>
        <w:spacing w:after="0"/>
        <w:rPr>
          <w:sz w:val="20"/>
          <w:szCs w:val="20"/>
          <w:color w:val="auto"/>
        </w:rPr>
      </w:pPr>
      <w:r>
        <w:rPr>
          <w:rFonts w:ascii="Arial" w:cs="Arial" w:eastAsia="Arial" w:hAnsi="Arial"/>
          <w:sz w:val="15"/>
          <w:szCs w:val="15"/>
          <w:b w:val="1"/>
          <w:bCs w:val="1"/>
          <w:i w:val="1"/>
          <w:iCs w:val="1"/>
          <w:color w:val="auto"/>
        </w:rPr>
        <w:t>Canada</w:t>
      </w:r>
    </w:p>
    <w:p>
      <w:pPr>
        <w:spacing w:after="0" w:line="98" w:lineRule="exact"/>
        <w:rPr>
          <w:sz w:val="20"/>
          <w:szCs w:val="20"/>
          <w:color w:val="auto"/>
        </w:rPr>
      </w:pPr>
    </w:p>
    <w:p>
      <w:pPr>
        <w:ind w:left="1120" w:right="20" w:firstLine="368"/>
        <w:spacing w:after="0" w:line="257" w:lineRule="auto"/>
        <w:rPr>
          <w:sz w:val="20"/>
          <w:szCs w:val="20"/>
          <w:color w:val="auto"/>
        </w:rPr>
      </w:pPr>
      <w:r>
        <w:rPr>
          <w:rFonts w:ascii="Arial" w:cs="Arial" w:eastAsia="Arial" w:hAnsi="Arial"/>
          <w:sz w:val="15"/>
          <w:szCs w:val="15"/>
          <w:color w:val="auto"/>
        </w:rPr>
        <w:t>The shares of Class A common stock may be sold in Canada only to purchasers purchasing, or deemed to be purchasing, as principal that are accredited investors, as defined in National Instrument 45-106 Prospectus Exemptions or subsection 73.3(1) of the Securities Act (Ontario), and are permitted clients, as defined in National Instrument 31-103 Registration Requirements, Exemptions, and Ongoing Registrant Obligations. Any resale of the shares of Class A common stock must be made in accordance with an exemption form, or in a transaction not subject to, the prospectus requirements of applicable securities laws.</w:t>
      </w:r>
    </w:p>
    <w:p>
      <w:pPr>
        <w:spacing w:after="0" w:line="159" w:lineRule="exact"/>
        <w:rPr>
          <w:sz w:val="20"/>
          <w:szCs w:val="20"/>
          <w:color w:val="auto"/>
        </w:rPr>
      </w:pPr>
    </w:p>
    <w:p>
      <w:pPr>
        <w:ind w:left="1120" w:right="20" w:firstLine="368"/>
        <w:spacing w:after="0" w:line="283" w:lineRule="auto"/>
        <w:rPr>
          <w:sz w:val="20"/>
          <w:szCs w:val="20"/>
          <w:color w:val="auto"/>
        </w:rPr>
      </w:pPr>
      <w:r>
        <w:rPr>
          <w:rFonts w:ascii="Arial" w:cs="Arial" w:eastAsia="Arial" w:hAnsi="Arial"/>
          <w:sz w:val="14"/>
          <w:szCs w:val="14"/>
          <w:color w:val="auto"/>
        </w:rPr>
        <w:t>Securities legislation in certain provinces or territories of Canada may provide a purchaser with remedies for rescission or damages if this offering memorandum (including any amendment thereto) contains a misrepresentation, provided that the remedies for rescission or damages are exercised by the purchaser within the time limit prescribed by the securities legislation of the purchaser’s province or territory. The purchaser should refer to any applicable provisions of the securities legislation of the purchaser’s province or territory of these rights or consult with a legal advisor.</w:t>
      </w:r>
    </w:p>
    <w:p>
      <w:pPr>
        <w:spacing w:after="0" w:line="143" w:lineRule="exact"/>
        <w:rPr>
          <w:sz w:val="20"/>
          <w:szCs w:val="20"/>
          <w:color w:val="auto"/>
        </w:rPr>
      </w:pPr>
    </w:p>
    <w:p>
      <w:pPr>
        <w:ind w:left="1120" w:right="60" w:firstLine="368"/>
        <w:spacing w:after="0" w:line="275" w:lineRule="auto"/>
        <w:rPr>
          <w:sz w:val="20"/>
          <w:szCs w:val="20"/>
          <w:color w:val="auto"/>
        </w:rPr>
      </w:pPr>
      <w:r>
        <w:rPr>
          <w:rFonts w:ascii="Arial" w:cs="Arial" w:eastAsia="Arial" w:hAnsi="Arial"/>
          <w:sz w:val="15"/>
          <w:szCs w:val="15"/>
          <w:color w:val="auto"/>
        </w:rPr>
        <w:t>Pursuant to section 3A.3 of National Instrument 33-105 Underwriting Conflicts (NI 33-105), the underwriters are not required to comply with the disclosure requirements of NI 33-105 regarding underwriter conflicts of interest in connection with this offering.</w:t>
      </w:r>
    </w:p>
    <w:p>
      <w:pPr>
        <w:spacing w:after="0" w:line="236" w:lineRule="exact"/>
        <w:rPr>
          <w:sz w:val="20"/>
          <w:szCs w:val="20"/>
          <w:color w:val="auto"/>
        </w:rPr>
      </w:pPr>
    </w:p>
    <w:p>
      <w:pPr>
        <w:ind w:left="1480"/>
        <w:spacing w:after="0"/>
        <w:rPr>
          <w:sz w:val="20"/>
          <w:szCs w:val="20"/>
          <w:color w:val="auto"/>
        </w:rPr>
      </w:pPr>
      <w:r>
        <w:rPr>
          <w:rFonts w:ascii="Arial" w:cs="Arial" w:eastAsia="Arial" w:hAnsi="Arial"/>
          <w:sz w:val="15"/>
          <w:szCs w:val="15"/>
          <w:b w:val="1"/>
          <w:bCs w:val="1"/>
          <w:i w:val="1"/>
          <w:iCs w:val="1"/>
          <w:color w:val="auto"/>
        </w:rPr>
        <w:t>Hong Kong</w:t>
      </w:r>
    </w:p>
    <w:p>
      <w:pPr>
        <w:spacing w:after="0" w:line="98" w:lineRule="exact"/>
        <w:rPr>
          <w:sz w:val="20"/>
          <w:szCs w:val="20"/>
          <w:color w:val="auto"/>
        </w:rPr>
      </w:pPr>
    </w:p>
    <w:p>
      <w:pPr>
        <w:ind w:left="1120" w:right="140" w:firstLine="368"/>
        <w:spacing w:after="0" w:line="283" w:lineRule="auto"/>
        <w:rPr>
          <w:sz w:val="20"/>
          <w:szCs w:val="20"/>
          <w:color w:val="auto"/>
        </w:rPr>
      </w:pPr>
      <w:r>
        <w:rPr>
          <w:rFonts w:ascii="Arial" w:cs="Arial" w:eastAsia="Arial" w:hAnsi="Arial"/>
          <w:sz w:val="14"/>
          <w:szCs w:val="14"/>
          <w:color w:val="auto"/>
        </w:rPr>
        <w:t>The shares of Class A common stock may not be offered or sold in Hong Kong by means of any document other than (i) in circumstances which do not constitute an offer to the public within the meaning of the Companies (Winding Up and Miscellaneous Provisions) Ordinance (Cap. 32 of the Laws of Hong Kong), or Companies (Winding Up and Miscellaneous Provisions) Ordinance, or which do not constitute an invitation to the public within the meaning of the Securities and Futures Ordinance (Cap. 571 of the Laws of Hong Kong), or</w:t>
      </w:r>
    </w:p>
    <w:p>
      <w:pPr>
        <w:spacing w:after="0" w:line="87" w:lineRule="exact"/>
        <w:rPr>
          <w:sz w:val="20"/>
          <w:szCs w:val="20"/>
          <w:color w:val="auto"/>
        </w:rPr>
      </w:pPr>
    </w:p>
    <w:p>
      <w:pPr>
        <w:ind w:left="5600"/>
        <w:spacing w:after="0"/>
        <w:rPr>
          <w:sz w:val="20"/>
          <w:szCs w:val="20"/>
          <w:color w:val="auto"/>
        </w:rPr>
      </w:pPr>
      <w:r>
        <w:rPr>
          <w:rFonts w:ascii="Arial" w:cs="Arial" w:eastAsia="Arial" w:hAnsi="Arial"/>
          <w:sz w:val="15"/>
          <w:szCs w:val="15"/>
          <w:color w:val="auto"/>
        </w:rPr>
        <w:t>189</w:t>
      </w:r>
    </w:p>
    <w:p>
      <w:pPr>
        <w:sectPr>
          <w:pgSz w:w="11900" w:h="16838" w:orient="portrait"/>
          <w:cols w:equalWidth="0" w:num="1">
            <w:col w:w="10300"/>
          </w:cols>
          <w:pgMar w:left="240" w:top="408" w:right="1359" w:bottom="1440" w:gutter="0" w:footer="0" w:header="0"/>
        </w:sectPr>
      </w:pPr>
    </w:p>
    <w:bookmarkStart w:id="196" w:name="page197"/>
    <w:bookmarkEnd w:id="196"/>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133350</wp:posOffset>
            </wp:positionH>
            <wp:positionV relativeFrom="page">
              <wp:posOffset>88900</wp:posOffset>
            </wp:positionV>
            <wp:extent cx="7308850" cy="3429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308850" cy="34290"/>
                    </a:xfrm>
                    <a:prstGeom prst="rect">
                      <a:avLst/>
                    </a:prstGeom>
                    <a:noFill/>
                  </pic:spPr>
                </pic:pic>
              </a:graphicData>
            </a:graphic>
          </wp:anchor>
        </w:drawing>
      </w:r>
      <w:hyperlink w:anchor="page7">
        <w:r>
          <w:rPr>
            <w:rFonts w:ascii="Arial" w:cs="Arial" w:eastAsia="Arial" w:hAnsi="Arial"/>
            <w:sz w:val="15"/>
            <w:szCs w:val="15"/>
            <w:b w:val="1"/>
            <w:bCs w:val="1"/>
            <w:u w:val="single" w:color="auto"/>
            <w:color w:val="0000EE"/>
          </w:rPr>
          <w:t>Table of Contents</w:t>
        </w:r>
      </w:hyperlink>
    </w:p>
    <w:p>
      <w:pPr>
        <w:spacing w:after="0" w:line="260" w:lineRule="exact"/>
        <w:rPr>
          <w:sz w:val="20"/>
          <w:szCs w:val="20"/>
          <w:color w:val="auto"/>
        </w:rPr>
      </w:pPr>
    </w:p>
    <w:p>
      <w:pPr>
        <w:jc w:val="right"/>
        <w:spacing w:after="0"/>
        <w:rPr>
          <w:sz w:val="20"/>
          <w:szCs w:val="20"/>
          <w:color w:val="auto"/>
        </w:rPr>
      </w:pPr>
      <w:r>
        <w:rPr>
          <w:rFonts w:ascii="Arial" w:cs="Arial" w:eastAsia="Arial" w:hAnsi="Arial"/>
          <w:sz w:val="15"/>
          <w:szCs w:val="15"/>
          <w:color w:val="auto"/>
        </w:rPr>
        <w:t>Securities and Futures Ordinance, or (ii) to “professional investors” as defined in the Securities and Futures Ordinance and any rules made thereunder, or</w:t>
      </w:r>
    </w:p>
    <w:p>
      <w:pPr>
        <w:spacing w:after="0" w:line="17" w:lineRule="exact"/>
        <w:rPr>
          <w:sz w:val="20"/>
          <w:szCs w:val="20"/>
          <w:color w:val="auto"/>
        </w:rPr>
      </w:pPr>
    </w:p>
    <w:p>
      <w:pPr>
        <w:ind w:left="1120" w:right="20" w:hanging="8"/>
        <w:spacing w:after="0" w:line="274" w:lineRule="auto"/>
        <w:tabs>
          <w:tab w:leader="none" w:pos="1383" w:val="left"/>
        </w:tabs>
        <w:numPr>
          <w:ilvl w:val="0"/>
          <w:numId w:val="99"/>
        </w:numPr>
        <w:rPr>
          <w:rFonts w:ascii="Arial" w:cs="Arial" w:eastAsia="Arial" w:hAnsi="Arial"/>
          <w:sz w:val="14"/>
          <w:szCs w:val="14"/>
          <w:color w:val="auto"/>
        </w:rPr>
      </w:pPr>
      <w:r>
        <w:rPr>
          <w:rFonts w:ascii="Arial" w:cs="Arial" w:eastAsia="Arial" w:hAnsi="Arial"/>
          <w:sz w:val="14"/>
          <w:szCs w:val="14"/>
          <w:color w:val="auto"/>
        </w:rPr>
        <w:t>in other circumstances which do not result in the document being a “prospectus” as defined in the Companies (Winding Up and Miscellaneous Provisions) Ordinance, and no advertisement, invitation, or document relating to the shares of Class A common stock may be issued or may be in the possession of any person for the purpose of issue (in each case whether in Hong Kong or elsewhere), which is directed at, or the contents of which are likely to be accessed or read by, the public in Hong Kong (except if permitted to do so under the laws of Hong Kong) other than with respect to shares of Class A common stock which are or are intended to be disposed of only to persons outside Hong Kong or only to “professional investors” in Hong Kong within the meaning of the Securities and Futures Ordinance and any rules made thereunder.</w:t>
      </w:r>
    </w:p>
    <w:p>
      <w:pPr>
        <w:spacing w:after="0" w:line="241" w:lineRule="exact"/>
        <w:rPr>
          <w:sz w:val="20"/>
          <w:szCs w:val="20"/>
          <w:color w:val="auto"/>
        </w:rPr>
      </w:pPr>
    </w:p>
    <w:p>
      <w:pPr>
        <w:ind w:left="1480"/>
        <w:spacing w:after="0"/>
        <w:rPr>
          <w:sz w:val="20"/>
          <w:szCs w:val="20"/>
          <w:color w:val="auto"/>
        </w:rPr>
      </w:pPr>
      <w:r>
        <w:rPr>
          <w:rFonts w:ascii="Arial" w:cs="Arial" w:eastAsia="Arial" w:hAnsi="Arial"/>
          <w:sz w:val="15"/>
          <w:szCs w:val="15"/>
          <w:b w:val="1"/>
          <w:bCs w:val="1"/>
          <w:i w:val="1"/>
          <w:iCs w:val="1"/>
          <w:color w:val="auto"/>
        </w:rPr>
        <w:t>Singapore</w:t>
      </w:r>
    </w:p>
    <w:p>
      <w:pPr>
        <w:spacing w:after="0" w:line="98" w:lineRule="exact"/>
        <w:rPr>
          <w:sz w:val="20"/>
          <w:szCs w:val="20"/>
          <w:color w:val="auto"/>
        </w:rPr>
      </w:pPr>
    </w:p>
    <w:p>
      <w:pPr>
        <w:ind w:left="1120" w:right="40" w:firstLine="368"/>
        <w:spacing w:after="0" w:line="302" w:lineRule="auto"/>
        <w:rPr>
          <w:sz w:val="20"/>
          <w:szCs w:val="20"/>
          <w:color w:val="auto"/>
        </w:rPr>
      </w:pPr>
      <w:r>
        <w:rPr>
          <w:rFonts w:ascii="Arial" w:cs="Arial" w:eastAsia="Arial" w:hAnsi="Arial"/>
          <w:sz w:val="13"/>
          <w:szCs w:val="13"/>
          <w:color w:val="auto"/>
        </w:rPr>
        <w:t>This prospectus has not been registered as a prospectus with the Monetary Authority of Singapore. Accordingly, this prospectus and any other document or material in connection with the offer or sale, or invitation for subscription or purchase, of the shares of Class A common stock may not be circulated or distributed, nor may the shares of Class A common stock be offered or sold or be made the subject of an invitation for subscription or purchase, whether directly or indirectly, to persons in Singapore other than (i) to an institutional investor under Section 274 of the Securities and Futures Act, Chapter 289 of Singapore, or the SFA, (ii) to a relevant person, or any person pursuant to Section 275(1A), and in accordance with the conditions, specified in Section 275 of the SFA, or (iii) otherwise pursuant to, and in accordance with the conditions of, any other applicable provision of the SFA.</w:t>
      </w:r>
    </w:p>
    <w:p>
      <w:pPr>
        <w:spacing w:after="0" w:line="134" w:lineRule="exact"/>
        <w:rPr>
          <w:sz w:val="20"/>
          <w:szCs w:val="20"/>
          <w:color w:val="auto"/>
        </w:rPr>
      </w:pPr>
    </w:p>
    <w:p>
      <w:pPr>
        <w:ind w:left="1120" w:right="20" w:firstLine="368"/>
        <w:spacing w:after="0" w:line="300" w:lineRule="auto"/>
        <w:rPr>
          <w:sz w:val="20"/>
          <w:szCs w:val="20"/>
          <w:color w:val="auto"/>
        </w:rPr>
      </w:pPr>
      <w:r>
        <w:rPr>
          <w:rFonts w:ascii="Arial" w:cs="Arial" w:eastAsia="Arial" w:hAnsi="Arial"/>
          <w:sz w:val="13"/>
          <w:szCs w:val="13"/>
          <w:color w:val="auto"/>
        </w:rPr>
        <w:t>Where the shares of Class A common stock are subscribed or purchased under Section 275 by a relevant person which is: (a) a corporation (which is not an accredited investor) the sole business of which is to hold investments and the entire share capital of which is owned by one or more individuals, each of whom is an accredited investor; or (b) a trust (where the trustee is not an accredited investor) whose sole purpose is to hold investments and each beneficiary is an accredited investor, shares, debentures, and units of shares and debentures of that corporation or the beneficiaries’ rights and interest in that trust shall not be transferable for six months after that corporation or that trust has acquired the shares of Class A common stock under Section 275 except: (1) to an institutional investor under Section 274 of the SFA or to a relevant person, or any person pursuant to Section 275(1A), and in accordance with the conditions, specified in Section 275 of the SFA; (2) where no consideration is given for the transfer; or (3) by operation of law.</w:t>
      </w:r>
    </w:p>
    <w:p>
      <w:pPr>
        <w:spacing w:after="0" w:line="226" w:lineRule="exact"/>
        <w:rPr>
          <w:sz w:val="20"/>
          <w:szCs w:val="20"/>
          <w:color w:val="auto"/>
        </w:rPr>
      </w:pPr>
    </w:p>
    <w:p>
      <w:pPr>
        <w:ind w:left="1480"/>
        <w:spacing w:after="0"/>
        <w:rPr>
          <w:sz w:val="20"/>
          <w:szCs w:val="20"/>
          <w:color w:val="auto"/>
        </w:rPr>
      </w:pPr>
      <w:r>
        <w:rPr>
          <w:rFonts w:ascii="Arial" w:cs="Arial" w:eastAsia="Arial" w:hAnsi="Arial"/>
          <w:sz w:val="15"/>
          <w:szCs w:val="15"/>
          <w:b w:val="1"/>
          <w:bCs w:val="1"/>
          <w:i w:val="1"/>
          <w:iCs w:val="1"/>
          <w:color w:val="auto"/>
        </w:rPr>
        <w:t>Japan</w:t>
      </w:r>
    </w:p>
    <w:p>
      <w:pPr>
        <w:spacing w:after="0" w:line="98" w:lineRule="exact"/>
        <w:rPr>
          <w:sz w:val="20"/>
          <w:szCs w:val="20"/>
          <w:color w:val="auto"/>
        </w:rPr>
      </w:pPr>
    </w:p>
    <w:p>
      <w:pPr>
        <w:ind w:left="1120" w:right="80" w:firstLine="368"/>
        <w:spacing w:after="0" w:line="255" w:lineRule="auto"/>
        <w:rPr>
          <w:sz w:val="20"/>
          <w:szCs w:val="20"/>
          <w:color w:val="auto"/>
        </w:rPr>
      </w:pPr>
      <w:r>
        <w:rPr>
          <w:rFonts w:ascii="Arial" w:cs="Arial" w:eastAsia="Arial" w:hAnsi="Arial"/>
          <w:sz w:val="15"/>
          <w:szCs w:val="15"/>
          <w:color w:val="auto"/>
        </w:rPr>
        <w:t>The securities have not been and will not be registered under the Financial Instruments and Exchange Law of Japan, or the Financial Instruments and Exchange Law, and the securities may not be offered or sold, directly or indirectly, in Japan or to, or for the benefit of, any resident of Japan (which term as used herein means any person resident in Japan, including any corporation or other entity organized under the laws of Japan), or to others for re-offering or resale, directly or indirectly, in Japan or to a resident of Japan, except pursuant to an exemption from the registration requirements of, and otherwise in compliance with, the Financial Instruments and Exchange Law and any other applicable laws, regulations, and ministerial guidelines of Japan.</w:t>
      </w:r>
    </w:p>
    <w:p>
      <w:pPr>
        <w:spacing w:after="0" w:line="254" w:lineRule="exact"/>
        <w:rPr>
          <w:sz w:val="20"/>
          <w:szCs w:val="20"/>
          <w:color w:val="auto"/>
        </w:rPr>
      </w:pPr>
    </w:p>
    <w:p>
      <w:pPr>
        <w:ind w:left="1480"/>
        <w:spacing w:after="0"/>
        <w:rPr>
          <w:sz w:val="20"/>
          <w:szCs w:val="20"/>
          <w:color w:val="auto"/>
        </w:rPr>
      </w:pPr>
      <w:r>
        <w:rPr>
          <w:rFonts w:ascii="Arial" w:cs="Arial" w:eastAsia="Arial" w:hAnsi="Arial"/>
          <w:sz w:val="15"/>
          <w:szCs w:val="15"/>
          <w:b w:val="1"/>
          <w:bCs w:val="1"/>
          <w:i w:val="1"/>
          <w:iCs w:val="1"/>
          <w:color w:val="auto"/>
        </w:rPr>
        <w:t>Switzerland</w:t>
      </w:r>
    </w:p>
    <w:p>
      <w:pPr>
        <w:spacing w:after="0" w:line="98" w:lineRule="exact"/>
        <w:rPr>
          <w:sz w:val="20"/>
          <w:szCs w:val="20"/>
          <w:color w:val="auto"/>
        </w:rPr>
      </w:pPr>
    </w:p>
    <w:p>
      <w:pPr>
        <w:ind w:left="1120" w:firstLine="368"/>
        <w:spacing w:after="0" w:line="257" w:lineRule="auto"/>
        <w:rPr>
          <w:sz w:val="20"/>
          <w:szCs w:val="20"/>
          <w:color w:val="auto"/>
        </w:rPr>
      </w:pPr>
      <w:r>
        <w:rPr>
          <w:rFonts w:ascii="Arial" w:cs="Arial" w:eastAsia="Arial" w:hAnsi="Arial"/>
          <w:sz w:val="15"/>
          <w:szCs w:val="15"/>
          <w:color w:val="auto"/>
        </w:rPr>
        <w:t>The shares of Class A common stock may not be publicly offered in Switzerland and will not be listed on the SIX Swiss Exchange, or SIX, or on any other stock exchange or regulated trading facility in Switzerland. This document does not constitute a prospectus within the meaning of, and has been prepared without regard to the disclosure standards for issuance prospectuses under art. 652a or art. 1156 of the Swiss Code of Obligations or the disclosure standards for listing prospectuses under art. 27 ff. of the SIX Listing Rules or the listing rules of any other stock exchange or regulated trading facility in Switzerland. Neither this document nor any other</w:t>
      </w:r>
    </w:p>
    <w:p>
      <w:pPr>
        <w:spacing w:after="0" w:line="103" w:lineRule="exact"/>
        <w:rPr>
          <w:sz w:val="20"/>
          <w:szCs w:val="20"/>
          <w:color w:val="auto"/>
        </w:rPr>
      </w:pPr>
    </w:p>
    <w:p>
      <w:pPr>
        <w:ind w:left="5600"/>
        <w:spacing w:after="0"/>
        <w:rPr>
          <w:sz w:val="20"/>
          <w:szCs w:val="20"/>
          <w:color w:val="auto"/>
        </w:rPr>
      </w:pPr>
      <w:r>
        <w:rPr>
          <w:rFonts w:ascii="Arial" w:cs="Arial" w:eastAsia="Arial" w:hAnsi="Arial"/>
          <w:sz w:val="15"/>
          <w:szCs w:val="15"/>
          <w:color w:val="auto"/>
        </w:rPr>
        <w:t>190</w:t>
      </w:r>
    </w:p>
    <w:p>
      <w:pPr>
        <w:sectPr>
          <w:pgSz w:w="11900" w:h="16838" w:orient="portrait"/>
          <w:cols w:equalWidth="0" w:num="1">
            <w:col w:w="10320"/>
          </w:cols>
          <w:pgMar w:left="240" w:top="408" w:right="1339" w:bottom="1440" w:gutter="0" w:footer="0" w:header="0"/>
        </w:sectPr>
      </w:pPr>
    </w:p>
    <w:bookmarkStart w:id="197" w:name="page198"/>
    <w:bookmarkEnd w:id="197"/>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133350</wp:posOffset>
            </wp:positionH>
            <wp:positionV relativeFrom="page">
              <wp:posOffset>88900</wp:posOffset>
            </wp:positionV>
            <wp:extent cx="7308850" cy="3429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308850" cy="34290"/>
                    </a:xfrm>
                    <a:prstGeom prst="rect">
                      <a:avLst/>
                    </a:prstGeom>
                    <a:noFill/>
                  </pic:spPr>
                </pic:pic>
              </a:graphicData>
            </a:graphic>
          </wp:anchor>
        </w:drawing>
      </w:r>
      <w:hyperlink w:anchor="page7">
        <w:r>
          <w:rPr>
            <w:rFonts w:ascii="Arial" w:cs="Arial" w:eastAsia="Arial" w:hAnsi="Arial"/>
            <w:sz w:val="15"/>
            <w:szCs w:val="15"/>
            <w:b w:val="1"/>
            <w:bCs w:val="1"/>
            <w:u w:val="single" w:color="auto"/>
            <w:color w:val="0000EE"/>
          </w:rPr>
          <w:t>Table of Contents</w:t>
        </w:r>
      </w:hyperlink>
    </w:p>
    <w:p>
      <w:pPr>
        <w:spacing w:after="0" w:line="260" w:lineRule="exact"/>
        <w:rPr>
          <w:sz w:val="20"/>
          <w:szCs w:val="20"/>
          <w:color w:val="auto"/>
        </w:rPr>
      </w:pPr>
    </w:p>
    <w:p>
      <w:pPr>
        <w:ind w:left="1120" w:right="240"/>
        <w:spacing w:after="0" w:line="275" w:lineRule="auto"/>
        <w:rPr>
          <w:sz w:val="20"/>
          <w:szCs w:val="20"/>
          <w:color w:val="auto"/>
        </w:rPr>
      </w:pPr>
      <w:r>
        <w:rPr>
          <w:rFonts w:ascii="Arial" w:cs="Arial" w:eastAsia="Arial" w:hAnsi="Arial"/>
          <w:sz w:val="15"/>
          <w:szCs w:val="15"/>
          <w:color w:val="auto"/>
        </w:rPr>
        <w:t>offering or marketing material relating to the shares of Class A common stock or the offering may be publicly distributed or otherwise made publicly available in Switzerland.</w:t>
      </w:r>
    </w:p>
    <w:p>
      <w:pPr>
        <w:spacing w:after="0" w:line="146" w:lineRule="exact"/>
        <w:rPr>
          <w:sz w:val="20"/>
          <w:szCs w:val="20"/>
          <w:color w:val="auto"/>
        </w:rPr>
      </w:pPr>
    </w:p>
    <w:p>
      <w:pPr>
        <w:ind w:left="1120" w:right="80" w:firstLine="368"/>
        <w:spacing w:after="0" w:line="255" w:lineRule="auto"/>
        <w:rPr>
          <w:sz w:val="20"/>
          <w:szCs w:val="20"/>
          <w:color w:val="auto"/>
        </w:rPr>
      </w:pPr>
      <w:r>
        <w:rPr>
          <w:rFonts w:ascii="Arial" w:cs="Arial" w:eastAsia="Arial" w:hAnsi="Arial"/>
          <w:sz w:val="15"/>
          <w:szCs w:val="15"/>
          <w:color w:val="auto"/>
        </w:rPr>
        <w:t>Neither this document nor any other offering or marketing material relating to the offering, the Company, or the shares of Class A common stock have been or will be filed with or approved by any Swiss regulatory authority. In particular, this document will not be filed with, and the offer of shares of Class A common stock will not be supervised by, the Swiss Financial Market Supervisory Authority FINMA, or FINMA, and the offer of shares of Class A common stock has not been and will not be authorized under the Swiss Federal Act on Collective Investment Schemes, or CISA. The investor protection afforded to acquirers of interests in collective investment schemes under the CISA does not extend to acquirers of the shares of Class A common stock.</w:t>
      </w:r>
    </w:p>
    <w:p>
      <w:pPr>
        <w:spacing w:after="0" w:line="254" w:lineRule="exact"/>
        <w:rPr>
          <w:sz w:val="20"/>
          <w:szCs w:val="20"/>
          <w:color w:val="auto"/>
        </w:rPr>
      </w:pPr>
    </w:p>
    <w:p>
      <w:pPr>
        <w:ind w:left="1480"/>
        <w:spacing w:after="0"/>
        <w:rPr>
          <w:sz w:val="20"/>
          <w:szCs w:val="20"/>
          <w:color w:val="auto"/>
        </w:rPr>
      </w:pPr>
      <w:r>
        <w:rPr>
          <w:rFonts w:ascii="Arial" w:cs="Arial" w:eastAsia="Arial" w:hAnsi="Arial"/>
          <w:sz w:val="15"/>
          <w:szCs w:val="15"/>
          <w:b w:val="1"/>
          <w:bCs w:val="1"/>
          <w:i w:val="1"/>
          <w:iCs w:val="1"/>
          <w:color w:val="auto"/>
        </w:rPr>
        <w:t>Dubai International Financial Centre</w:t>
      </w:r>
    </w:p>
    <w:p>
      <w:pPr>
        <w:spacing w:after="0" w:line="98" w:lineRule="exact"/>
        <w:rPr>
          <w:sz w:val="20"/>
          <w:szCs w:val="20"/>
          <w:color w:val="auto"/>
        </w:rPr>
      </w:pPr>
    </w:p>
    <w:p>
      <w:pPr>
        <w:ind w:left="1120" w:firstLine="368"/>
        <w:spacing w:after="0" w:line="255" w:lineRule="auto"/>
        <w:rPr>
          <w:sz w:val="20"/>
          <w:szCs w:val="20"/>
          <w:color w:val="auto"/>
        </w:rPr>
      </w:pPr>
      <w:r>
        <w:rPr>
          <w:rFonts w:ascii="Arial" w:cs="Arial" w:eastAsia="Arial" w:hAnsi="Arial"/>
          <w:sz w:val="15"/>
          <w:szCs w:val="15"/>
          <w:color w:val="auto"/>
        </w:rPr>
        <w:t>This document relates to an Exempt Offer in accordance with the Markets Rules 2012 of the Dubai Financial Services Authority, or DFSA. This document is intended for distribution only to persons of a type specified in the Markets Rules 2012 of the DFSA. It must not be delivered to, or relied on by, any other person. The DFSA has no responsibility for reviewing or verifying any documents in connection with Exempt Offers. The DFSA has not approved this prospectus supplement nor taken steps to verify the information set forth herein and has no responsibility for this document. The securities to which this document relates may be illiquid and/or subject to restrictions on their resale. Prospective purchasers of the securities offered should conduct their own due diligence on the securities. If you do not understand the contents of this document you should consult an authorized financial advisor.</w:t>
      </w:r>
    </w:p>
    <w:p>
      <w:pPr>
        <w:spacing w:after="0" w:line="161" w:lineRule="exact"/>
        <w:rPr>
          <w:sz w:val="20"/>
          <w:szCs w:val="20"/>
          <w:color w:val="auto"/>
        </w:rPr>
      </w:pPr>
    </w:p>
    <w:p>
      <w:pPr>
        <w:ind w:left="1120" w:firstLine="368"/>
        <w:spacing w:after="0" w:line="290" w:lineRule="auto"/>
        <w:rPr>
          <w:sz w:val="20"/>
          <w:szCs w:val="20"/>
          <w:color w:val="auto"/>
        </w:rPr>
      </w:pPr>
      <w:r>
        <w:rPr>
          <w:rFonts w:ascii="Arial" w:cs="Arial" w:eastAsia="Arial" w:hAnsi="Arial"/>
          <w:sz w:val="14"/>
          <w:szCs w:val="14"/>
          <w:color w:val="auto"/>
        </w:rPr>
        <w:t>In relation to its use in the Dubai International Financial Centre, or DIFC, this document is strictly private and confidential and is being distributed to a limited number of investors and must not be provided to any person other than the original recipient, and may not be reproduced or used for any other purpose. The interests in the securities may not be offered or sold, directly or indirectly, to the public in the DIFC.</w:t>
      </w:r>
    </w:p>
    <w:p>
      <w:pPr>
        <w:spacing w:after="0" w:line="228" w:lineRule="exact"/>
        <w:rPr>
          <w:sz w:val="20"/>
          <w:szCs w:val="20"/>
          <w:color w:val="auto"/>
        </w:rPr>
      </w:pPr>
    </w:p>
    <w:p>
      <w:pPr>
        <w:ind w:left="1480"/>
        <w:spacing w:after="0"/>
        <w:rPr>
          <w:sz w:val="20"/>
          <w:szCs w:val="20"/>
          <w:color w:val="auto"/>
        </w:rPr>
      </w:pPr>
      <w:r>
        <w:rPr>
          <w:rFonts w:ascii="Arial" w:cs="Arial" w:eastAsia="Arial" w:hAnsi="Arial"/>
          <w:sz w:val="15"/>
          <w:szCs w:val="15"/>
          <w:b w:val="1"/>
          <w:bCs w:val="1"/>
          <w:i w:val="1"/>
          <w:iCs w:val="1"/>
          <w:color w:val="auto"/>
        </w:rPr>
        <w:t>United Arab Emirates</w:t>
      </w:r>
    </w:p>
    <w:p>
      <w:pPr>
        <w:spacing w:after="0" w:line="98" w:lineRule="exact"/>
        <w:rPr>
          <w:sz w:val="20"/>
          <w:szCs w:val="20"/>
          <w:color w:val="auto"/>
        </w:rPr>
      </w:pPr>
    </w:p>
    <w:p>
      <w:pPr>
        <w:ind w:left="1120" w:firstLine="368"/>
        <w:spacing w:after="0" w:line="305" w:lineRule="auto"/>
        <w:rPr>
          <w:sz w:val="20"/>
          <w:szCs w:val="20"/>
          <w:color w:val="auto"/>
        </w:rPr>
      </w:pPr>
      <w:r>
        <w:rPr>
          <w:rFonts w:ascii="Arial" w:cs="Arial" w:eastAsia="Arial" w:hAnsi="Arial"/>
          <w:sz w:val="13"/>
          <w:szCs w:val="13"/>
          <w:color w:val="auto"/>
        </w:rPr>
        <w:t>The shares of Class A common stock have not been, and are not being, publicly offered, sold, promoted, or advertised in the United Arab Emirates (including the Dubai International Financial Centre) other than in compliance with the laws of the United Arab Emirates (and the Dubai International Financial Centre) governing the issue, offering and sale of securities. Further, this prospectus does not constitute a public offer of securities in the United Arab Emirates (including the Dubai International Financial Centre) and is not intended to be a public offer. This prospectus has not been approved by or filed with the Central Bank of the United Arab Emirates, the Securities and Commodities Authority, or the Dubai Financial Services Authority.</w:t>
      </w:r>
    </w:p>
    <w:p>
      <w:pPr>
        <w:spacing w:after="0" w:line="223" w:lineRule="exact"/>
        <w:rPr>
          <w:sz w:val="20"/>
          <w:szCs w:val="20"/>
          <w:color w:val="auto"/>
        </w:rPr>
      </w:pPr>
    </w:p>
    <w:p>
      <w:pPr>
        <w:ind w:left="1480"/>
        <w:spacing w:after="0"/>
        <w:rPr>
          <w:sz w:val="20"/>
          <w:szCs w:val="20"/>
          <w:color w:val="auto"/>
        </w:rPr>
      </w:pPr>
      <w:r>
        <w:rPr>
          <w:rFonts w:ascii="Arial" w:cs="Arial" w:eastAsia="Arial" w:hAnsi="Arial"/>
          <w:sz w:val="15"/>
          <w:szCs w:val="15"/>
          <w:b w:val="1"/>
          <w:bCs w:val="1"/>
          <w:i w:val="1"/>
          <w:iCs w:val="1"/>
          <w:color w:val="auto"/>
        </w:rPr>
        <w:t>Australia</w:t>
      </w:r>
    </w:p>
    <w:p>
      <w:pPr>
        <w:spacing w:after="0" w:line="98" w:lineRule="exact"/>
        <w:rPr>
          <w:sz w:val="20"/>
          <w:szCs w:val="20"/>
          <w:color w:val="auto"/>
        </w:rPr>
      </w:pPr>
    </w:p>
    <w:p>
      <w:pPr>
        <w:ind w:left="1480"/>
        <w:spacing w:after="0"/>
        <w:rPr>
          <w:sz w:val="20"/>
          <w:szCs w:val="20"/>
          <w:color w:val="auto"/>
        </w:rPr>
      </w:pPr>
      <w:r>
        <w:rPr>
          <w:rFonts w:ascii="Arial" w:cs="Arial" w:eastAsia="Arial" w:hAnsi="Arial"/>
          <w:sz w:val="15"/>
          <w:szCs w:val="15"/>
          <w:color w:val="auto"/>
        </w:rPr>
        <w:t>This prospectus:</w:t>
      </w:r>
    </w:p>
    <w:p>
      <w:pPr>
        <w:spacing w:after="0" w:line="109" w:lineRule="exact"/>
        <w:rPr>
          <w:sz w:val="20"/>
          <w:szCs w:val="20"/>
          <w:color w:val="auto"/>
        </w:rPr>
      </w:pPr>
    </w:p>
    <w:p>
      <w:pPr>
        <w:ind w:left="1840" w:right="700" w:hanging="276"/>
        <w:spacing w:after="0" w:line="275" w:lineRule="auto"/>
        <w:tabs>
          <w:tab w:leader="none" w:pos="1840" w:val="left"/>
        </w:tabs>
        <w:numPr>
          <w:ilvl w:val="0"/>
          <w:numId w:val="100"/>
        </w:numPr>
        <w:rPr>
          <w:rFonts w:ascii="Arial" w:cs="Arial" w:eastAsia="Arial" w:hAnsi="Arial"/>
          <w:sz w:val="15"/>
          <w:szCs w:val="15"/>
          <w:color w:val="auto"/>
        </w:rPr>
      </w:pPr>
      <w:r>
        <w:rPr>
          <w:rFonts w:ascii="Arial" w:cs="Arial" w:eastAsia="Arial" w:hAnsi="Arial"/>
          <w:sz w:val="15"/>
          <w:szCs w:val="15"/>
          <w:color w:val="auto"/>
        </w:rPr>
        <w:t>does not constitute a product disclosure document or a prospectus under Chapter 6D.2 of the Corporations Act 2001 (Cth), or the Corporations Act;</w:t>
      </w:r>
    </w:p>
    <w:p>
      <w:pPr>
        <w:spacing w:after="0" w:line="67" w:lineRule="exact"/>
        <w:rPr>
          <w:rFonts w:ascii="Arial" w:cs="Arial" w:eastAsia="Arial" w:hAnsi="Arial"/>
          <w:sz w:val="15"/>
          <w:szCs w:val="15"/>
          <w:color w:val="auto"/>
        </w:rPr>
      </w:pPr>
    </w:p>
    <w:p>
      <w:pPr>
        <w:ind w:left="1840" w:right="20" w:hanging="276"/>
        <w:spacing w:after="0" w:line="263" w:lineRule="auto"/>
        <w:tabs>
          <w:tab w:leader="none" w:pos="1840" w:val="left"/>
        </w:tabs>
        <w:numPr>
          <w:ilvl w:val="0"/>
          <w:numId w:val="100"/>
        </w:numPr>
        <w:rPr>
          <w:rFonts w:ascii="Arial" w:cs="Arial" w:eastAsia="Arial" w:hAnsi="Arial"/>
          <w:sz w:val="15"/>
          <w:szCs w:val="15"/>
          <w:color w:val="auto"/>
        </w:rPr>
      </w:pPr>
      <w:r>
        <w:rPr>
          <w:rFonts w:ascii="Arial" w:cs="Arial" w:eastAsia="Arial" w:hAnsi="Arial"/>
          <w:sz w:val="15"/>
          <w:szCs w:val="15"/>
          <w:color w:val="auto"/>
        </w:rPr>
        <w:t>has not been, and will not be, lodged with the Australian Securities and Investments Commission, or ASIC, as a disclosure document for the purposes of the Corporations Act and does not purport to include the information required of a disclosure document under Chapter 6D.2 of the Corporations Act;</w:t>
      </w:r>
    </w:p>
    <w:p>
      <w:pPr>
        <w:spacing w:after="0" w:line="75" w:lineRule="exact"/>
        <w:rPr>
          <w:rFonts w:ascii="Arial" w:cs="Arial" w:eastAsia="Arial" w:hAnsi="Arial"/>
          <w:sz w:val="15"/>
          <w:szCs w:val="15"/>
          <w:color w:val="auto"/>
        </w:rPr>
      </w:pPr>
    </w:p>
    <w:p>
      <w:pPr>
        <w:jc w:val="both"/>
        <w:ind w:left="1840" w:right="80" w:hanging="276"/>
        <w:spacing w:after="0" w:line="263" w:lineRule="auto"/>
        <w:tabs>
          <w:tab w:leader="none" w:pos="1840" w:val="left"/>
        </w:tabs>
        <w:numPr>
          <w:ilvl w:val="0"/>
          <w:numId w:val="100"/>
        </w:numPr>
        <w:rPr>
          <w:rFonts w:ascii="Arial" w:cs="Arial" w:eastAsia="Arial" w:hAnsi="Arial"/>
          <w:sz w:val="15"/>
          <w:szCs w:val="15"/>
          <w:color w:val="auto"/>
        </w:rPr>
      </w:pPr>
      <w:r>
        <w:rPr>
          <w:rFonts w:ascii="Arial" w:cs="Arial" w:eastAsia="Arial" w:hAnsi="Arial"/>
          <w:sz w:val="15"/>
          <w:szCs w:val="15"/>
          <w:color w:val="auto"/>
        </w:rPr>
        <w:t>does not constitute or involve a recommendation to acquire, an offer or invitation for issue or sale, an offer or invitation to arrange the issue or sale, or an issue or sale, of interests to a “retail client” (as defined in section 761G of the Corporations Act and applicable regulations) in Australia; and</w:t>
      </w:r>
    </w:p>
    <w:p>
      <w:pPr>
        <w:spacing w:after="0" w:line="75" w:lineRule="exact"/>
        <w:rPr>
          <w:rFonts w:ascii="Arial" w:cs="Arial" w:eastAsia="Arial" w:hAnsi="Arial"/>
          <w:sz w:val="15"/>
          <w:szCs w:val="15"/>
          <w:color w:val="auto"/>
        </w:rPr>
      </w:pPr>
    </w:p>
    <w:p>
      <w:pPr>
        <w:ind w:left="1840" w:right="380" w:hanging="276"/>
        <w:spacing w:after="0" w:line="275" w:lineRule="auto"/>
        <w:tabs>
          <w:tab w:leader="none" w:pos="1840" w:val="left"/>
        </w:tabs>
        <w:numPr>
          <w:ilvl w:val="0"/>
          <w:numId w:val="100"/>
        </w:numPr>
        <w:rPr>
          <w:rFonts w:ascii="Arial" w:cs="Arial" w:eastAsia="Arial" w:hAnsi="Arial"/>
          <w:sz w:val="15"/>
          <w:szCs w:val="15"/>
          <w:color w:val="auto"/>
        </w:rPr>
      </w:pPr>
      <w:r>
        <w:rPr>
          <w:rFonts w:ascii="Arial" w:cs="Arial" w:eastAsia="Arial" w:hAnsi="Arial"/>
          <w:sz w:val="15"/>
          <w:szCs w:val="15"/>
          <w:color w:val="auto"/>
        </w:rPr>
        <w:t>may only be provided in Australia to select investors who are able to demonstrate that they fall within one or more of the categories of investors, or Exempt Investors, available under section 708 of the Corporations Act.</w:t>
      </w:r>
    </w:p>
    <w:p>
      <w:pPr>
        <w:spacing w:after="0" w:line="90" w:lineRule="exact"/>
        <w:rPr>
          <w:sz w:val="20"/>
          <w:szCs w:val="20"/>
          <w:color w:val="auto"/>
        </w:rPr>
      </w:pPr>
    </w:p>
    <w:p>
      <w:pPr>
        <w:ind w:left="5600"/>
        <w:spacing w:after="0"/>
        <w:rPr>
          <w:sz w:val="20"/>
          <w:szCs w:val="20"/>
          <w:color w:val="auto"/>
        </w:rPr>
      </w:pPr>
      <w:r>
        <w:rPr>
          <w:rFonts w:ascii="Arial" w:cs="Arial" w:eastAsia="Arial" w:hAnsi="Arial"/>
          <w:sz w:val="15"/>
          <w:szCs w:val="15"/>
          <w:color w:val="auto"/>
        </w:rPr>
        <w:t>191</w:t>
      </w:r>
    </w:p>
    <w:p>
      <w:pPr>
        <w:sectPr>
          <w:pgSz w:w="11900" w:h="16838" w:orient="portrait"/>
          <w:cols w:equalWidth="0" w:num="1">
            <w:col w:w="10300"/>
          </w:cols>
          <w:pgMar w:left="240" w:top="408" w:right="1359" w:bottom="1440" w:gutter="0" w:footer="0" w:header="0"/>
        </w:sectPr>
      </w:pPr>
    </w:p>
    <w:bookmarkStart w:id="198" w:name="page199"/>
    <w:bookmarkEnd w:id="198"/>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133350</wp:posOffset>
            </wp:positionH>
            <wp:positionV relativeFrom="page">
              <wp:posOffset>88900</wp:posOffset>
            </wp:positionV>
            <wp:extent cx="7308850" cy="3429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308850" cy="34290"/>
                    </a:xfrm>
                    <a:prstGeom prst="rect">
                      <a:avLst/>
                    </a:prstGeom>
                    <a:noFill/>
                  </pic:spPr>
                </pic:pic>
              </a:graphicData>
            </a:graphic>
          </wp:anchor>
        </w:drawing>
      </w:r>
      <w:hyperlink w:anchor="page7">
        <w:r>
          <w:rPr>
            <w:rFonts w:ascii="Arial" w:cs="Arial" w:eastAsia="Arial" w:hAnsi="Arial"/>
            <w:sz w:val="15"/>
            <w:szCs w:val="15"/>
            <w:b w:val="1"/>
            <w:bCs w:val="1"/>
            <w:u w:val="single" w:color="auto"/>
            <w:color w:val="0000EE"/>
          </w:rPr>
          <w:t>Table of Contents</w:t>
        </w:r>
      </w:hyperlink>
    </w:p>
    <w:p>
      <w:pPr>
        <w:spacing w:after="0" w:line="260" w:lineRule="exact"/>
        <w:rPr>
          <w:sz w:val="20"/>
          <w:szCs w:val="20"/>
          <w:color w:val="auto"/>
        </w:rPr>
      </w:pPr>
    </w:p>
    <w:p>
      <w:pPr>
        <w:ind w:left="1120" w:firstLine="368"/>
        <w:spacing w:after="0" w:line="279" w:lineRule="auto"/>
        <w:rPr>
          <w:sz w:val="20"/>
          <w:szCs w:val="20"/>
          <w:color w:val="auto"/>
        </w:rPr>
      </w:pPr>
      <w:r>
        <w:rPr>
          <w:rFonts w:ascii="Arial" w:cs="Arial" w:eastAsia="Arial" w:hAnsi="Arial"/>
          <w:sz w:val="14"/>
          <w:szCs w:val="14"/>
          <w:color w:val="auto"/>
        </w:rPr>
        <w:t>The shares of Class A common stock may not be directly or indirectly offered for subscription or purchased or sold, and no invitations to subscribe for or buy the shares of Class A common stock may be issued, and no draft or definitive offering memorandum, advertisement, or other offering material relating to any shares of Class A common stock may be distributed in Australia, except where disclosure to investors is not required under Chapter 6D of the Corporations Act or is otherwise in compliance with all applicable Australian laws and regulations. By submitting an application for the shares of Class A common stock, you represent and warrant to us that you are an Exempt Investor.</w:t>
      </w:r>
    </w:p>
    <w:p>
      <w:pPr>
        <w:spacing w:after="0" w:line="147" w:lineRule="exact"/>
        <w:rPr>
          <w:sz w:val="20"/>
          <w:szCs w:val="20"/>
          <w:color w:val="auto"/>
        </w:rPr>
      </w:pPr>
    </w:p>
    <w:p>
      <w:pPr>
        <w:ind w:left="1120" w:firstLine="368"/>
        <w:spacing w:after="0" w:line="277" w:lineRule="auto"/>
        <w:rPr>
          <w:sz w:val="20"/>
          <w:szCs w:val="20"/>
          <w:color w:val="auto"/>
        </w:rPr>
      </w:pPr>
      <w:r>
        <w:rPr>
          <w:rFonts w:ascii="Arial" w:cs="Arial" w:eastAsia="Arial" w:hAnsi="Arial"/>
          <w:sz w:val="14"/>
          <w:szCs w:val="14"/>
          <w:color w:val="auto"/>
        </w:rPr>
        <w:t>As any offer of shares of Class A common stock under this document will be made without disclosure in Australia under Chapter 6D.2 of the Corporations Act, the offer of those securities for resale in Australia within 12 months may, under section 707 of the Corporations Act, require disclosure to investors under Chapter 6D.2 if none of the exemptions in section 708 applies to that resale. By applying for the shares of Class A common stock you undertake to us that you will not, for a period of 12 months from the date of issue of the shares of Class A common stock, offer, transfer, assign, or otherwise alienate those securities to investors in Australia except in circumstances where disclosure to investors is not required under Chapter 6D.2 of the Corporations Act or where a compliant disclosure document is prepared and lodged with ASIC.</w:t>
      </w:r>
    </w:p>
    <w:p>
      <w:pPr>
        <w:spacing w:after="0" w:line="239" w:lineRule="exact"/>
        <w:rPr>
          <w:sz w:val="20"/>
          <w:szCs w:val="20"/>
          <w:color w:val="auto"/>
        </w:rPr>
      </w:pPr>
    </w:p>
    <w:p>
      <w:pPr>
        <w:ind w:left="1480"/>
        <w:spacing w:after="0"/>
        <w:rPr>
          <w:sz w:val="20"/>
          <w:szCs w:val="20"/>
          <w:color w:val="auto"/>
        </w:rPr>
      </w:pPr>
      <w:r>
        <w:rPr>
          <w:rFonts w:ascii="Arial" w:cs="Arial" w:eastAsia="Arial" w:hAnsi="Arial"/>
          <w:sz w:val="15"/>
          <w:szCs w:val="15"/>
          <w:b w:val="1"/>
          <w:bCs w:val="1"/>
          <w:i w:val="1"/>
          <w:iCs w:val="1"/>
          <w:color w:val="auto"/>
        </w:rPr>
        <w:t>Bermuda</w:t>
      </w:r>
    </w:p>
    <w:p>
      <w:pPr>
        <w:spacing w:after="0" w:line="98" w:lineRule="exact"/>
        <w:rPr>
          <w:sz w:val="20"/>
          <w:szCs w:val="20"/>
          <w:color w:val="auto"/>
        </w:rPr>
      </w:pPr>
    </w:p>
    <w:p>
      <w:pPr>
        <w:ind w:left="1480"/>
        <w:spacing w:after="0"/>
        <w:rPr>
          <w:sz w:val="20"/>
          <w:szCs w:val="20"/>
          <w:color w:val="auto"/>
        </w:rPr>
      </w:pPr>
      <w:r>
        <w:rPr>
          <w:rFonts w:ascii="Arial" w:cs="Arial" w:eastAsia="Arial" w:hAnsi="Arial"/>
          <w:sz w:val="13"/>
          <w:szCs w:val="13"/>
          <w:color w:val="auto"/>
        </w:rPr>
        <w:t>The shares of Class A common stock may be offered or sold in Bermuda only in compliance with the provisions of the Investment Business Act of</w:t>
      </w:r>
    </w:p>
    <w:p>
      <w:pPr>
        <w:spacing w:after="0" w:line="40" w:lineRule="exact"/>
        <w:rPr>
          <w:sz w:val="20"/>
          <w:szCs w:val="20"/>
          <w:color w:val="auto"/>
        </w:rPr>
      </w:pPr>
    </w:p>
    <w:p>
      <w:pPr>
        <w:ind w:left="1120" w:right="220"/>
        <w:spacing w:after="0" w:line="298" w:lineRule="auto"/>
        <w:rPr>
          <w:sz w:val="20"/>
          <w:szCs w:val="20"/>
          <w:color w:val="auto"/>
        </w:rPr>
      </w:pPr>
      <w:r>
        <w:rPr>
          <w:rFonts w:ascii="Arial" w:cs="Arial" w:eastAsia="Arial" w:hAnsi="Arial"/>
          <w:sz w:val="14"/>
          <w:szCs w:val="14"/>
          <w:color w:val="auto"/>
        </w:rPr>
        <w:t>2003 of Bermuda which regulates the sale of securities in Bermuda. Additionally, non-Bermudian persons (including companies) may not carry on or engage in any trade or business in Bermuda unless such persons are permitted to do so under applicable Bermuda legislation.</w:t>
      </w:r>
    </w:p>
    <w:p>
      <w:pPr>
        <w:spacing w:after="0" w:line="222" w:lineRule="exact"/>
        <w:rPr>
          <w:sz w:val="20"/>
          <w:szCs w:val="20"/>
          <w:color w:val="auto"/>
        </w:rPr>
      </w:pPr>
    </w:p>
    <w:p>
      <w:pPr>
        <w:ind w:left="1480"/>
        <w:spacing w:after="0"/>
        <w:rPr>
          <w:sz w:val="20"/>
          <w:szCs w:val="20"/>
          <w:color w:val="auto"/>
        </w:rPr>
      </w:pPr>
      <w:r>
        <w:rPr>
          <w:rFonts w:ascii="Arial" w:cs="Arial" w:eastAsia="Arial" w:hAnsi="Arial"/>
          <w:sz w:val="15"/>
          <w:szCs w:val="15"/>
          <w:b w:val="1"/>
          <w:bCs w:val="1"/>
          <w:i w:val="1"/>
          <w:iCs w:val="1"/>
          <w:color w:val="auto"/>
        </w:rPr>
        <w:t>Saudi Arabia</w:t>
      </w:r>
    </w:p>
    <w:p>
      <w:pPr>
        <w:spacing w:after="0" w:line="98" w:lineRule="exact"/>
        <w:rPr>
          <w:sz w:val="20"/>
          <w:szCs w:val="20"/>
          <w:color w:val="auto"/>
        </w:rPr>
      </w:pPr>
    </w:p>
    <w:p>
      <w:pPr>
        <w:ind w:left="1120" w:right="40" w:firstLine="368"/>
        <w:spacing w:after="0" w:line="277" w:lineRule="auto"/>
        <w:rPr>
          <w:sz w:val="20"/>
          <w:szCs w:val="20"/>
          <w:color w:val="auto"/>
        </w:rPr>
      </w:pPr>
      <w:r>
        <w:rPr>
          <w:rFonts w:ascii="Arial" w:cs="Arial" w:eastAsia="Arial" w:hAnsi="Arial"/>
          <w:sz w:val="14"/>
          <w:szCs w:val="14"/>
          <w:color w:val="auto"/>
        </w:rPr>
        <w:t>This document may not be distributed in the Kingdom of Saudi Arabia except to such persons as are permitted under the Offers of Securities Regulations as issued by the board of the Saudi Arabian Capital Market Authority, or CMA, pursuant to resolution number 2-11-2004 dated 4 October 2004 as amended by resolution number 1-28-2008, as amended, or the CMA Regulations. The CMA does not make any representation as to the accuracy or completeness of this document and expressly disclaims any liability whatsoever for any loss arising from, or incurred in reliance upon, any part of this document. Prospective purchasers of the securities offered hereby should conduct their own due diligence on the accuracy of the information relating to the securities. If you do not understand the contents of this document, you should consult an authorized financial adviser.</w:t>
      </w:r>
    </w:p>
    <w:p>
      <w:pPr>
        <w:spacing w:after="0" w:line="239" w:lineRule="exact"/>
        <w:rPr>
          <w:sz w:val="20"/>
          <w:szCs w:val="20"/>
          <w:color w:val="auto"/>
        </w:rPr>
      </w:pPr>
    </w:p>
    <w:p>
      <w:pPr>
        <w:ind w:left="1480"/>
        <w:spacing w:after="0"/>
        <w:rPr>
          <w:sz w:val="20"/>
          <w:szCs w:val="20"/>
          <w:color w:val="auto"/>
        </w:rPr>
      </w:pPr>
      <w:r>
        <w:rPr>
          <w:rFonts w:ascii="Arial" w:cs="Arial" w:eastAsia="Arial" w:hAnsi="Arial"/>
          <w:sz w:val="15"/>
          <w:szCs w:val="15"/>
          <w:b w:val="1"/>
          <w:bCs w:val="1"/>
          <w:i w:val="1"/>
          <w:iCs w:val="1"/>
          <w:color w:val="auto"/>
        </w:rPr>
        <w:t>British Virgin Islands</w:t>
      </w:r>
    </w:p>
    <w:p>
      <w:pPr>
        <w:spacing w:after="0" w:line="98" w:lineRule="exact"/>
        <w:rPr>
          <w:sz w:val="20"/>
          <w:szCs w:val="20"/>
          <w:color w:val="auto"/>
        </w:rPr>
      </w:pPr>
    </w:p>
    <w:p>
      <w:pPr>
        <w:ind w:left="1120" w:right="280" w:firstLine="368"/>
        <w:spacing w:after="0" w:line="263" w:lineRule="auto"/>
        <w:rPr>
          <w:sz w:val="20"/>
          <w:szCs w:val="20"/>
          <w:color w:val="auto"/>
        </w:rPr>
      </w:pPr>
      <w:r>
        <w:rPr>
          <w:rFonts w:ascii="Arial" w:cs="Arial" w:eastAsia="Arial" w:hAnsi="Arial"/>
          <w:sz w:val="15"/>
          <w:szCs w:val="15"/>
          <w:color w:val="auto"/>
        </w:rPr>
        <w:t>This prospectus has not been, and will not be, registered with the Financial Services Commission of the British Virgin Islands. No registered prospectus has been or will be prepared in respect of the shares of Class A common stock for the purposes of the Securities and Investment Business Act, 2010, or SIBA, or the Public Issuers Code of the British Virgin Islands.</w:t>
      </w:r>
    </w:p>
    <w:p>
      <w:pPr>
        <w:spacing w:after="0" w:line="155" w:lineRule="exact"/>
        <w:rPr>
          <w:sz w:val="20"/>
          <w:szCs w:val="20"/>
          <w:color w:val="auto"/>
        </w:rPr>
      </w:pPr>
    </w:p>
    <w:p>
      <w:pPr>
        <w:ind w:left="1120" w:right="20" w:firstLine="368"/>
        <w:spacing w:after="0" w:line="276" w:lineRule="auto"/>
        <w:rPr>
          <w:sz w:val="20"/>
          <w:szCs w:val="20"/>
          <w:color w:val="auto"/>
        </w:rPr>
      </w:pPr>
      <w:r>
        <w:rPr>
          <w:rFonts w:ascii="Arial" w:cs="Arial" w:eastAsia="Arial" w:hAnsi="Arial"/>
          <w:sz w:val="14"/>
          <w:szCs w:val="14"/>
          <w:color w:val="auto"/>
        </w:rPr>
        <w:t>The shares of Class A common stock may be offered to persons located in the British Virgin Islands who are “qualified investors” for the purposes of SIBA. Qualified investors include (i) certain entities which are regulated by the Financial Services Commission in the British Virgin Islands, including banks, insurance companies, licensees under SIBA, and public, professional, and private mutual funds; (ii) a company, any securities of which are listed on a recognised exchange; and (iii) persons defined as “professional investors” under SIBA, which is any person (a) whose ordinary business involves, whether for that person’s own account or the account of others, the acquisition or disposal of property of the same kind as the property, or a substantial part of the property of the Company; or (b) who has signed a declaration that he, whether individually or jointly with his spouse, has net worth in excess of US$1,000,000 and that he consents to being treated as a professional investor.</w:t>
      </w:r>
    </w:p>
    <w:p>
      <w:pPr>
        <w:spacing w:after="0" w:line="91" w:lineRule="exact"/>
        <w:rPr>
          <w:sz w:val="20"/>
          <w:szCs w:val="20"/>
          <w:color w:val="auto"/>
        </w:rPr>
      </w:pPr>
    </w:p>
    <w:p>
      <w:pPr>
        <w:ind w:left="5600"/>
        <w:spacing w:after="0"/>
        <w:rPr>
          <w:sz w:val="20"/>
          <w:szCs w:val="20"/>
          <w:color w:val="auto"/>
        </w:rPr>
      </w:pPr>
      <w:r>
        <w:rPr>
          <w:rFonts w:ascii="Arial" w:cs="Arial" w:eastAsia="Arial" w:hAnsi="Arial"/>
          <w:sz w:val="15"/>
          <w:szCs w:val="15"/>
          <w:color w:val="auto"/>
        </w:rPr>
        <w:t>192</w:t>
      </w:r>
    </w:p>
    <w:p>
      <w:pPr>
        <w:sectPr>
          <w:pgSz w:w="11900" w:h="16838" w:orient="portrait"/>
          <w:cols w:equalWidth="0" w:num="1">
            <w:col w:w="10320"/>
          </w:cols>
          <w:pgMar w:left="240" w:top="407" w:right="1339" w:bottom="1440" w:gutter="0" w:footer="0" w:header="0"/>
        </w:sectPr>
      </w:pPr>
    </w:p>
    <w:bookmarkStart w:id="199" w:name="page200"/>
    <w:bookmarkEnd w:id="199"/>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133350</wp:posOffset>
            </wp:positionH>
            <wp:positionV relativeFrom="page">
              <wp:posOffset>88900</wp:posOffset>
            </wp:positionV>
            <wp:extent cx="7308850" cy="3429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308850" cy="34290"/>
                    </a:xfrm>
                    <a:prstGeom prst="rect">
                      <a:avLst/>
                    </a:prstGeom>
                    <a:noFill/>
                  </pic:spPr>
                </pic:pic>
              </a:graphicData>
            </a:graphic>
          </wp:anchor>
        </w:drawing>
      </w:r>
      <w:hyperlink w:anchor="page7">
        <w:r>
          <w:rPr>
            <w:rFonts w:ascii="Arial" w:cs="Arial" w:eastAsia="Arial" w:hAnsi="Arial"/>
            <w:sz w:val="15"/>
            <w:szCs w:val="15"/>
            <w:b w:val="1"/>
            <w:bCs w:val="1"/>
            <w:u w:val="single" w:color="auto"/>
            <w:color w:val="0000EE"/>
          </w:rPr>
          <w:t>Table of Contents</w:t>
        </w:r>
      </w:hyperlink>
    </w:p>
    <w:p>
      <w:pPr>
        <w:spacing w:after="0" w:line="260" w:lineRule="exact"/>
        <w:rPr>
          <w:sz w:val="20"/>
          <w:szCs w:val="20"/>
          <w:color w:val="auto"/>
        </w:rPr>
      </w:pPr>
    </w:p>
    <w:p>
      <w:pPr>
        <w:ind w:left="1480"/>
        <w:spacing w:after="0"/>
        <w:rPr>
          <w:sz w:val="20"/>
          <w:szCs w:val="20"/>
          <w:color w:val="auto"/>
        </w:rPr>
      </w:pPr>
      <w:r>
        <w:rPr>
          <w:rFonts w:ascii="Arial" w:cs="Arial" w:eastAsia="Arial" w:hAnsi="Arial"/>
          <w:sz w:val="15"/>
          <w:szCs w:val="15"/>
          <w:b w:val="1"/>
          <w:bCs w:val="1"/>
          <w:i w:val="1"/>
          <w:iCs w:val="1"/>
          <w:color w:val="auto"/>
        </w:rPr>
        <w:t>China</w:t>
      </w:r>
    </w:p>
    <w:p>
      <w:pPr>
        <w:spacing w:after="0" w:line="98" w:lineRule="exact"/>
        <w:rPr>
          <w:sz w:val="20"/>
          <w:szCs w:val="20"/>
          <w:color w:val="auto"/>
        </w:rPr>
      </w:pPr>
    </w:p>
    <w:p>
      <w:pPr>
        <w:jc w:val="both"/>
        <w:ind w:left="1120" w:right="60" w:firstLine="368"/>
        <w:spacing w:after="0" w:line="263" w:lineRule="auto"/>
        <w:rPr>
          <w:sz w:val="20"/>
          <w:szCs w:val="20"/>
          <w:color w:val="auto"/>
        </w:rPr>
      </w:pPr>
      <w:r>
        <w:rPr>
          <w:rFonts w:ascii="Arial" w:cs="Arial" w:eastAsia="Arial" w:hAnsi="Arial"/>
          <w:sz w:val="15"/>
          <w:szCs w:val="15"/>
          <w:color w:val="auto"/>
        </w:rPr>
        <w:t>This prospectus does not constitute a public offer of shares of Class A common stock, whether by sale or subscription, in the People’s Republic of China, or the PRC. The shares of Class A common stock are not being offered or sold, directly or indirectly, in the PRC to or for the benefit of, legal or natural persons of the PRC.</w:t>
      </w:r>
    </w:p>
    <w:p>
      <w:pPr>
        <w:spacing w:after="0" w:line="155" w:lineRule="exact"/>
        <w:rPr>
          <w:sz w:val="20"/>
          <w:szCs w:val="20"/>
          <w:color w:val="auto"/>
        </w:rPr>
      </w:pPr>
    </w:p>
    <w:p>
      <w:pPr>
        <w:ind w:left="1120" w:right="200" w:firstLine="368"/>
        <w:spacing w:after="0" w:line="290" w:lineRule="auto"/>
        <w:rPr>
          <w:sz w:val="20"/>
          <w:szCs w:val="20"/>
          <w:color w:val="auto"/>
        </w:rPr>
      </w:pPr>
      <w:r>
        <w:rPr>
          <w:rFonts w:ascii="Arial" w:cs="Arial" w:eastAsia="Arial" w:hAnsi="Arial"/>
          <w:sz w:val="14"/>
          <w:szCs w:val="14"/>
          <w:color w:val="auto"/>
        </w:rPr>
        <w:t>Further, no legal or natural persons of the PRC may directly or indirectly purchase any of the shares of Class A common stock or any beneficial interest therein without obtaining all prior PRC’s governmental approvals that are required, whether statutorily or otherwise. Persons who come into possession of this document are required by the issuer and its representatives to observe these restrictions.</w:t>
      </w:r>
    </w:p>
    <w:p>
      <w:pPr>
        <w:spacing w:after="0" w:line="228" w:lineRule="exact"/>
        <w:rPr>
          <w:sz w:val="20"/>
          <w:szCs w:val="20"/>
          <w:color w:val="auto"/>
        </w:rPr>
      </w:pPr>
    </w:p>
    <w:p>
      <w:pPr>
        <w:ind w:left="1480"/>
        <w:spacing w:after="0"/>
        <w:rPr>
          <w:sz w:val="20"/>
          <w:szCs w:val="20"/>
          <w:color w:val="auto"/>
        </w:rPr>
      </w:pPr>
      <w:r>
        <w:rPr>
          <w:rFonts w:ascii="Arial" w:cs="Arial" w:eastAsia="Arial" w:hAnsi="Arial"/>
          <w:sz w:val="15"/>
          <w:szCs w:val="15"/>
          <w:b w:val="1"/>
          <w:bCs w:val="1"/>
          <w:i w:val="1"/>
          <w:iCs w:val="1"/>
          <w:color w:val="auto"/>
        </w:rPr>
        <w:t>Korea</w:t>
      </w:r>
    </w:p>
    <w:p>
      <w:pPr>
        <w:spacing w:after="0" w:line="98" w:lineRule="exact"/>
        <w:rPr>
          <w:sz w:val="20"/>
          <w:szCs w:val="20"/>
          <w:color w:val="auto"/>
        </w:rPr>
      </w:pPr>
    </w:p>
    <w:p>
      <w:pPr>
        <w:ind w:left="1120" w:right="60" w:firstLine="368"/>
        <w:spacing w:after="0" w:line="274" w:lineRule="auto"/>
        <w:rPr>
          <w:sz w:val="20"/>
          <w:szCs w:val="20"/>
          <w:color w:val="auto"/>
        </w:rPr>
      </w:pPr>
      <w:r>
        <w:rPr>
          <w:rFonts w:ascii="Arial" w:cs="Arial" w:eastAsia="Arial" w:hAnsi="Arial"/>
          <w:sz w:val="14"/>
          <w:szCs w:val="14"/>
          <w:color w:val="auto"/>
        </w:rPr>
        <w:t>The shares of Class A common stock have not been and will not be registered under the Financial Investments Services and Capital Markets Act of Korea and the decrees and regulations thereunder, or the FSCMA, and the shares of Class A common stock have been and will be offered in Korea as a private placement under the FSCMA. None of the shares of Class A common stock may be offered, sold, or delivered, directly or indirectly, or offered or sold to any person for re-offering or resale, directly or indirectly, in Korea or to any resident of Korea except pursuant to the applicable laws and regulations of Korea, including the FSCMA and the Foreign Exchange Transaction Law of Korea and the decrees and regulations thereunder, or the FETL. Furthermore, the purchaser of the shares of Class A common stock shall comply with all applicable regulatory requirements (including but not limited to requirements under the FETL) in connection with the purchase of the shares of Class A common stock. By the purchase of the shares of Class A common stock, the relevant holder thereof will be deemed to represent and warrant that if it is in Korea or is a resident of Korea, it purchased the shares of Class A common stock pursuant to the applicable laws and regulations of Korea.</w:t>
      </w:r>
    </w:p>
    <w:p>
      <w:pPr>
        <w:spacing w:after="0" w:line="241" w:lineRule="exact"/>
        <w:rPr>
          <w:sz w:val="20"/>
          <w:szCs w:val="20"/>
          <w:color w:val="auto"/>
        </w:rPr>
      </w:pPr>
    </w:p>
    <w:p>
      <w:pPr>
        <w:ind w:left="1480"/>
        <w:spacing w:after="0"/>
        <w:rPr>
          <w:sz w:val="20"/>
          <w:szCs w:val="20"/>
          <w:color w:val="auto"/>
        </w:rPr>
      </w:pPr>
      <w:r>
        <w:rPr>
          <w:rFonts w:ascii="Arial" w:cs="Arial" w:eastAsia="Arial" w:hAnsi="Arial"/>
          <w:sz w:val="15"/>
          <w:szCs w:val="15"/>
          <w:b w:val="1"/>
          <w:bCs w:val="1"/>
          <w:i w:val="1"/>
          <w:iCs w:val="1"/>
          <w:color w:val="auto"/>
        </w:rPr>
        <w:t>Malaysia</w:t>
      </w:r>
    </w:p>
    <w:p>
      <w:pPr>
        <w:spacing w:after="0" w:line="98" w:lineRule="exact"/>
        <w:rPr>
          <w:sz w:val="20"/>
          <w:szCs w:val="20"/>
          <w:color w:val="auto"/>
        </w:rPr>
      </w:pPr>
    </w:p>
    <w:p>
      <w:pPr>
        <w:ind w:left="1120" w:firstLine="368"/>
        <w:spacing w:after="0" w:line="290" w:lineRule="auto"/>
        <w:rPr>
          <w:sz w:val="20"/>
          <w:szCs w:val="20"/>
          <w:color w:val="auto"/>
        </w:rPr>
      </w:pPr>
      <w:r>
        <w:rPr>
          <w:rFonts w:ascii="Arial" w:cs="Arial" w:eastAsia="Arial" w:hAnsi="Arial"/>
          <w:sz w:val="13"/>
          <w:szCs w:val="13"/>
          <w:color w:val="auto"/>
        </w:rPr>
        <w:t>No prospectus or other offering material or document in connection with the offer and sale of the shares of Class A common stock has been or will be registered with the Securities Commission of Malaysia, or Commission, for the Commission’s approval pursuant to the Capital Markets and Services Act 2007. Accordingly, this prospectus and any other document or material in connection with the offer or sale, or invitation for subscription or purchase, of the shares of Class A common stock may not be circulated or distributed, nor may the shares of Class A common stock be offered or sold, or be made the subject of an invitation for subscription or purchase, whether directly or indirectly, to persons in Malaysia other than (i) a closed end fund approved by the Commission; (ii) a holder of a Capital Markets Services Licence; (iii) a person who acquires the shares of Class A common stock, as principal, if the offer is on terms that the shares of Class A common stock may only be acquired at a consideration of not less than RM250,000 (or its equivalent in foreign currencies) for each transaction; (iv) an individual whose total net personal assets or total net joint assets with his or her spouse exceeds RM3 million (or its equivalent in foreign currencies), excluding the value of the primary residence of the individual; (v) an individual who has a gross annual income exceeding RM300,000 (or its equivalent in foreign currencies) per annum in the preceding twelve months; (vi) an individual who, jointly with his or her spouse, has a gross annual income of RM400,000 (or its equivalent in foreign currencies), per annum in the preceding twelve months; (vii) a corporation with total net assets exceeding RM10 million (or its equivalent in a foreign currencies) based on the last audited accounts;</w:t>
      </w:r>
    </w:p>
    <w:p>
      <w:pPr>
        <w:spacing w:after="0" w:line="7" w:lineRule="exact"/>
        <w:rPr>
          <w:sz w:val="20"/>
          <w:szCs w:val="20"/>
          <w:color w:val="auto"/>
        </w:rPr>
      </w:pPr>
    </w:p>
    <w:p>
      <w:pPr>
        <w:ind w:left="1120" w:right="20" w:hanging="8"/>
        <w:spacing w:after="0" w:line="253" w:lineRule="auto"/>
        <w:tabs>
          <w:tab w:leader="none" w:pos="1458" w:val="left"/>
        </w:tabs>
        <w:numPr>
          <w:ilvl w:val="0"/>
          <w:numId w:val="101"/>
        </w:numPr>
        <w:rPr>
          <w:rFonts w:ascii="Arial" w:cs="Arial" w:eastAsia="Arial" w:hAnsi="Arial"/>
          <w:sz w:val="15"/>
          <w:szCs w:val="15"/>
          <w:color w:val="auto"/>
        </w:rPr>
      </w:pPr>
      <w:r>
        <w:rPr>
          <w:rFonts w:ascii="Arial" w:cs="Arial" w:eastAsia="Arial" w:hAnsi="Arial"/>
          <w:sz w:val="15"/>
          <w:szCs w:val="15"/>
          <w:color w:val="auto"/>
        </w:rPr>
        <w:t>a partnership with total net assets exceeding RM10 million (or its equivalent in foreign currencies); (ix) a bank licensee or insurance licensee as defined in the Labuan Financial Services and Securities Act 2010; (x) an Islamic bank licensee or takaful licensee as defined in the Labuan Financial Services and Securities Act 2010; and (xi) any other person as may be specified by the Commission; provided that, in the each of the preceding categories (i) to (xi), the distribution of the shares of Class A common stock is made by a holder of a Capital Markets Services Licence who carries on the business of dealing in securities. The distribution in Malaysia of this prospectus is subject to Malaysian laws. This prospectus does not constitute and may not be used for the purpose of public offering or an issue, offer for</w:t>
      </w:r>
    </w:p>
    <w:p>
      <w:pPr>
        <w:spacing w:after="0" w:line="106" w:lineRule="exact"/>
        <w:rPr>
          <w:sz w:val="20"/>
          <w:szCs w:val="20"/>
          <w:color w:val="auto"/>
        </w:rPr>
      </w:pPr>
    </w:p>
    <w:p>
      <w:pPr>
        <w:ind w:left="5600"/>
        <w:spacing w:after="0"/>
        <w:rPr>
          <w:sz w:val="20"/>
          <w:szCs w:val="20"/>
          <w:color w:val="auto"/>
        </w:rPr>
      </w:pPr>
      <w:r>
        <w:rPr>
          <w:rFonts w:ascii="Arial" w:cs="Arial" w:eastAsia="Arial" w:hAnsi="Arial"/>
          <w:sz w:val="15"/>
          <w:szCs w:val="15"/>
          <w:color w:val="auto"/>
        </w:rPr>
        <w:t>193</w:t>
      </w:r>
    </w:p>
    <w:p>
      <w:pPr>
        <w:sectPr>
          <w:pgSz w:w="11900" w:h="16838" w:orient="portrait"/>
          <w:cols w:equalWidth="0" w:num="1">
            <w:col w:w="10320"/>
          </w:cols>
          <w:pgMar w:left="240" w:top="407" w:right="1339" w:bottom="1440" w:gutter="0" w:footer="0" w:header="0"/>
        </w:sectPr>
      </w:pPr>
    </w:p>
    <w:bookmarkStart w:id="200" w:name="page201"/>
    <w:bookmarkEnd w:id="200"/>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133350</wp:posOffset>
            </wp:positionH>
            <wp:positionV relativeFrom="page">
              <wp:posOffset>88900</wp:posOffset>
            </wp:positionV>
            <wp:extent cx="7308850" cy="3429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308850" cy="34290"/>
                    </a:xfrm>
                    <a:prstGeom prst="rect">
                      <a:avLst/>
                    </a:prstGeom>
                    <a:noFill/>
                  </pic:spPr>
                </pic:pic>
              </a:graphicData>
            </a:graphic>
          </wp:anchor>
        </w:drawing>
      </w:r>
      <w:hyperlink w:anchor="page7">
        <w:r>
          <w:rPr>
            <w:rFonts w:ascii="Arial" w:cs="Arial" w:eastAsia="Arial" w:hAnsi="Arial"/>
            <w:sz w:val="15"/>
            <w:szCs w:val="15"/>
            <w:b w:val="1"/>
            <w:bCs w:val="1"/>
            <w:u w:val="single" w:color="auto"/>
            <w:color w:val="0000EE"/>
          </w:rPr>
          <w:t>Table of Contents</w:t>
        </w:r>
      </w:hyperlink>
    </w:p>
    <w:p>
      <w:pPr>
        <w:spacing w:after="0" w:line="260" w:lineRule="exact"/>
        <w:rPr>
          <w:sz w:val="20"/>
          <w:szCs w:val="20"/>
          <w:color w:val="auto"/>
        </w:rPr>
      </w:pPr>
    </w:p>
    <w:p>
      <w:pPr>
        <w:ind w:left="1120" w:right="140"/>
        <w:spacing w:after="0" w:line="275" w:lineRule="auto"/>
        <w:rPr>
          <w:sz w:val="20"/>
          <w:szCs w:val="20"/>
          <w:color w:val="auto"/>
        </w:rPr>
      </w:pPr>
      <w:r>
        <w:rPr>
          <w:rFonts w:ascii="Arial" w:cs="Arial" w:eastAsia="Arial" w:hAnsi="Arial"/>
          <w:sz w:val="15"/>
          <w:szCs w:val="15"/>
          <w:color w:val="auto"/>
        </w:rPr>
        <w:t>subscription or purchase, or invitation to subscribe for or purchase any securities requiring the registration of a prospectus with the Commission under the Capital Markets and Services Act 2007.</w:t>
      </w:r>
    </w:p>
    <w:p>
      <w:pPr>
        <w:spacing w:after="0" w:line="236" w:lineRule="exact"/>
        <w:rPr>
          <w:sz w:val="20"/>
          <w:szCs w:val="20"/>
          <w:color w:val="auto"/>
        </w:rPr>
      </w:pPr>
    </w:p>
    <w:p>
      <w:pPr>
        <w:ind w:left="1480"/>
        <w:spacing w:after="0"/>
        <w:rPr>
          <w:sz w:val="20"/>
          <w:szCs w:val="20"/>
          <w:color w:val="auto"/>
        </w:rPr>
      </w:pPr>
      <w:r>
        <w:rPr>
          <w:rFonts w:ascii="Arial" w:cs="Arial" w:eastAsia="Arial" w:hAnsi="Arial"/>
          <w:sz w:val="15"/>
          <w:szCs w:val="15"/>
          <w:b w:val="1"/>
          <w:bCs w:val="1"/>
          <w:i w:val="1"/>
          <w:iCs w:val="1"/>
          <w:color w:val="auto"/>
        </w:rPr>
        <w:t>Taiwan</w:t>
      </w:r>
    </w:p>
    <w:p>
      <w:pPr>
        <w:spacing w:after="0" w:line="98" w:lineRule="exact"/>
        <w:rPr>
          <w:sz w:val="20"/>
          <w:szCs w:val="20"/>
          <w:color w:val="auto"/>
        </w:rPr>
      </w:pPr>
    </w:p>
    <w:p>
      <w:pPr>
        <w:ind w:left="1120" w:right="100" w:firstLine="368"/>
        <w:spacing w:after="0" w:line="257" w:lineRule="auto"/>
        <w:rPr>
          <w:sz w:val="20"/>
          <w:szCs w:val="20"/>
          <w:color w:val="auto"/>
        </w:rPr>
      </w:pPr>
      <w:r>
        <w:rPr>
          <w:rFonts w:ascii="Arial" w:cs="Arial" w:eastAsia="Arial" w:hAnsi="Arial"/>
          <w:sz w:val="15"/>
          <w:szCs w:val="15"/>
          <w:color w:val="auto"/>
        </w:rPr>
        <w:t>The shares of Class A common stock have not been and will not be registered with the Financial Supervisory Commission of Taiwan pursuant to relevant securities laws and regulations and may not be sold, issued, or offered within Taiwan through a public offering or in circumstances which constitutes an offer within the meaning of the Securities and Exchange Act of Taiwan that requires a registration or approval of the Financial Supervisory Commission of Taiwan. No person or entity in Taiwan has been authorised to offer, sell, give advice regarding, or otherwise intermediate the offering and sale of the shares of Class A common stock in Taiwan.</w:t>
      </w:r>
    </w:p>
    <w:p>
      <w:pPr>
        <w:spacing w:after="0" w:line="249" w:lineRule="exact"/>
        <w:rPr>
          <w:sz w:val="20"/>
          <w:szCs w:val="20"/>
          <w:color w:val="auto"/>
        </w:rPr>
      </w:pPr>
    </w:p>
    <w:p>
      <w:pPr>
        <w:ind w:left="1480"/>
        <w:spacing w:after="0"/>
        <w:rPr>
          <w:sz w:val="20"/>
          <w:szCs w:val="20"/>
          <w:color w:val="auto"/>
        </w:rPr>
      </w:pPr>
      <w:r>
        <w:rPr>
          <w:rFonts w:ascii="Arial" w:cs="Arial" w:eastAsia="Arial" w:hAnsi="Arial"/>
          <w:sz w:val="15"/>
          <w:szCs w:val="15"/>
          <w:b w:val="1"/>
          <w:bCs w:val="1"/>
          <w:i w:val="1"/>
          <w:iCs w:val="1"/>
          <w:color w:val="auto"/>
        </w:rPr>
        <w:t>South Africa</w:t>
      </w:r>
    </w:p>
    <w:p>
      <w:pPr>
        <w:spacing w:after="0" w:line="98" w:lineRule="exact"/>
        <w:rPr>
          <w:sz w:val="20"/>
          <w:szCs w:val="20"/>
          <w:color w:val="auto"/>
        </w:rPr>
      </w:pPr>
    </w:p>
    <w:p>
      <w:pPr>
        <w:ind w:left="1120" w:right="460" w:firstLine="368"/>
        <w:spacing w:after="0" w:line="263" w:lineRule="auto"/>
        <w:rPr>
          <w:sz w:val="20"/>
          <w:szCs w:val="20"/>
          <w:color w:val="auto"/>
        </w:rPr>
      </w:pPr>
      <w:r>
        <w:rPr>
          <w:rFonts w:ascii="Arial" w:cs="Arial" w:eastAsia="Arial" w:hAnsi="Arial"/>
          <w:sz w:val="15"/>
          <w:szCs w:val="15"/>
          <w:color w:val="auto"/>
        </w:rPr>
        <w:t>Due to restrictions under the securities laws of South Africa, the shares of Class A common stock are not offered, and the offer shall not be transferred, sold, renounced, or delivered, in South Africa or to a person with an address in South Africa, unless one or other of the following exemptions applies:</w:t>
      </w:r>
    </w:p>
    <w:p>
      <w:pPr>
        <w:spacing w:after="0" w:line="177" w:lineRule="exact"/>
        <w:rPr>
          <w:sz w:val="20"/>
          <w:szCs w:val="20"/>
          <w:color w:val="auto"/>
        </w:rPr>
      </w:pPr>
    </w:p>
    <w:p>
      <w:pPr>
        <w:ind w:left="1480" w:hanging="368"/>
        <w:spacing w:after="0"/>
        <w:tabs>
          <w:tab w:leader="none" w:pos="1480" w:val="left"/>
        </w:tabs>
        <w:numPr>
          <w:ilvl w:val="0"/>
          <w:numId w:val="102"/>
        </w:numPr>
        <w:rPr>
          <w:rFonts w:ascii="Arial" w:cs="Arial" w:eastAsia="Arial" w:hAnsi="Arial"/>
          <w:sz w:val="15"/>
          <w:szCs w:val="15"/>
          <w:color w:val="auto"/>
        </w:rPr>
      </w:pPr>
      <w:r>
        <w:rPr>
          <w:rFonts w:ascii="Arial" w:cs="Arial" w:eastAsia="Arial" w:hAnsi="Arial"/>
          <w:sz w:val="15"/>
          <w:szCs w:val="15"/>
          <w:color w:val="auto"/>
        </w:rPr>
        <w:t>the offer, transfer, sale, renunciation, or delivery is to:</w:t>
      </w:r>
    </w:p>
    <w:p>
      <w:pPr>
        <w:spacing w:after="0" w:line="98" w:lineRule="exact"/>
        <w:rPr>
          <w:rFonts w:ascii="Arial" w:cs="Arial" w:eastAsia="Arial" w:hAnsi="Arial"/>
          <w:sz w:val="15"/>
          <w:szCs w:val="15"/>
          <w:color w:val="auto"/>
        </w:rPr>
      </w:pPr>
    </w:p>
    <w:p>
      <w:pPr>
        <w:ind w:left="1680" w:hanging="200"/>
        <w:spacing w:after="0"/>
        <w:tabs>
          <w:tab w:leader="none" w:pos="1680" w:val="left"/>
        </w:tabs>
        <w:numPr>
          <w:ilvl w:val="1"/>
          <w:numId w:val="102"/>
        </w:numPr>
        <w:rPr>
          <w:rFonts w:ascii="Arial" w:cs="Arial" w:eastAsia="Arial" w:hAnsi="Arial"/>
          <w:sz w:val="15"/>
          <w:szCs w:val="15"/>
          <w:color w:val="auto"/>
        </w:rPr>
      </w:pPr>
      <w:r>
        <w:rPr>
          <w:rFonts w:ascii="Arial" w:cs="Arial" w:eastAsia="Arial" w:hAnsi="Arial"/>
          <w:sz w:val="15"/>
          <w:szCs w:val="15"/>
          <w:color w:val="auto"/>
        </w:rPr>
        <w:t>persons whose ordinary business is to deal in securities, as principal or agent;</w:t>
      </w:r>
    </w:p>
    <w:p>
      <w:pPr>
        <w:spacing w:after="0" w:line="98" w:lineRule="exact"/>
        <w:rPr>
          <w:rFonts w:ascii="Arial" w:cs="Arial" w:eastAsia="Arial" w:hAnsi="Arial"/>
          <w:sz w:val="15"/>
          <w:szCs w:val="15"/>
          <w:color w:val="auto"/>
        </w:rPr>
      </w:pPr>
    </w:p>
    <w:p>
      <w:pPr>
        <w:ind w:left="1700" w:hanging="220"/>
        <w:spacing w:after="0"/>
        <w:tabs>
          <w:tab w:leader="none" w:pos="1700" w:val="left"/>
        </w:tabs>
        <w:numPr>
          <w:ilvl w:val="1"/>
          <w:numId w:val="102"/>
        </w:numPr>
        <w:rPr>
          <w:rFonts w:ascii="Arial" w:cs="Arial" w:eastAsia="Arial" w:hAnsi="Arial"/>
          <w:sz w:val="15"/>
          <w:szCs w:val="15"/>
          <w:color w:val="auto"/>
        </w:rPr>
      </w:pPr>
      <w:r>
        <w:rPr>
          <w:rFonts w:ascii="Arial" w:cs="Arial" w:eastAsia="Arial" w:hAnsi="Arial"/>
          <w:sz w:val="15"/>
          <w:szCs w:val="15"/>
          <w:color w:val="auto"/>
        </w:rPr>
        <w:t>the South African Public Investment Corporation;</w:t>
      </w:r>
    </w:p>
    <w:p>
      <w:pPr>
        <w:spacing w:after="0" w:line="98" w:lineRule="exact"/>
        <w:rPr>
          <w:rFonts w:ascii="Arial" w:cs="Arial" w:eastAsia="Arial" w:hAnsi="Arial"/>
          <w:sz w:val="15"/>
          <w:szCs w:val="15"/>
          <w:color w:val="auto"/>
        </w:rPr>
      </w:pPr>
    </w:p>
    <w:p>
      <w:pPr>
        <w:ind w:left="1680" w:hanging="200"/>
        <w:spacing w:after="0"/>
        <w:tabs>
          <w:tab w:leader="none" w:pos="1680" w:val="left"/>
        </w:tabs>
        <w:numPr>
          <w:ilvl w:val="1"/>
          <w:numId w:val="102"/>
        </w:numPr>
        <w:rPr>
          <w:rFonts w:ascii="Arial" w:cs="Arial" w:eastAsia="Arial" w:hAnsi="Arial"/>
          <w:sz w:val="15"/>
          <w:szCs w:val="15"/>
          <w:color w:val="auto"/>
        </w:rPr>
      </w:pPr>
      <w:r>
        <w:rPr>
          <w:rFonts w:ascii="Arial" w:cs="Arial" w:eastAsia="Arial" w:hAnsi="Arial"/>
          <w:sz w:val="15"/>
          <w:szCs w:val="15"/>
          <w:color w:val="auto"/>
        </w:rPr>
        <w:t>persons or entities regulated by the Reserve Bank of South Africa;</w:t>
      </w:r>
    </w:p>
    <w:p>
      <w:pPr>
        <w:spacing w:after="0" w:line="98" w:lineRule="exact"/>
        <w:rPr>
          <w:rFonts w:ascii="Arial" w:cs="Arial" w:eastAsia="Arial" w:hAnsi="Arial"/>
          <w:sz w:val="15"/>
          <w:szCs w:val="15"/>
          <w:color w:val="auto"/>
        </w:rPr>
      </w:pPr>
    </w:p>
    <w:p>
      <w:pPr>
        <w:ind w:left="1700" w:hanging="220"/>
        <w:spacing w:after="0"/>
        <w:tabs>
          <w:tab w:leader="none" w:pos="1700" w:val="left"/>
        </w:tabs>
        <w:numPr>
          <w:ilvl w:val="1"/>
          <w:numId w:val="102"/>
        </w:numPr>
        <w:rPr>
          <w:rFonts w:ascii="Arial" w:cs="Arial" w:eastAsia="Arial" w:hAnsi="Arial"/>
          <w:sz w:val="15"/>
          <w:szCs w:val="15"/>
          <w:color w:val="auto"/>
        </w:rPr>
      </w:pPr>
      <w:r>
        <w:rPr>
          <w:rFonts w:ascii="Arial" w:cs="Arial" w:eastAsia="Arial" w:hAnsi="Arial"/>
          <w:sz w:val="15"/>
          <w:szCs w:val="15"/>
          <w:color w:val="auto"/>
        </w:rPr>
        <w:t>authorised financial service providers under South African law;</w:t>
      </w:r>
    </w:p>
    <w:p>
      <w:pPr>
        <w:spacing w:after="0" w:line="98" w:lineRule="exact"/>
        <w:rPr>
          <w:rFonts w:ascii="Arial" w:cs="Arial" w:eastAsia="Arial" w:hAnsi="Arial"/>
          <w:sz w:val="15"/>
          <w:szCs w:val="15"/>
          <w:color w:val="auto"/>
        </w:rPr>
      </w:pPr>
    </w:p>
    <w:p>
      <w:pPr>
        <w:ind w:left="1680" w:hanging="200"/>
        <w:spacing w:after="0"/>
        <w:tabs>
          <w:tab w:leader="none" w:pos="1680" w:val="left"/>
        </w:tabs>
        <w:numPr>
          <w:ilvl w:val="1"/>
          <w:numId w:val="102"/>
        </w:numPr>
        <w:rPr>
          <w:rFonts w:ascii="Arial" w:cs="Arial" w:eastAsia="Arial" w:hAnsi="Arial"/>
          <w:sz w:val="15"/>
          <w:szCs w:val="15"/>
          <w:color w:val="auto"/>
        </w:rPr>
      </w:pPr>
      <w:r>
        <w:rPr>
          <w:rFonts w:ascii="Arial" w:cs="Arial" w:eastAsia="Arial" w:hAnsi="Arial"/>
          <w:sz w:val="15"/>
          <w:szCs w:val="15"/>
          <w:color w:val="auto"/>
        </w:rPr>
        <w:t>financial institutions recognised as such under South African law;</w:t>
      </w:r>
    </w:p>
    <w:p>
      <w:pPr>
        <w:spacing w:after="0" w:line="98" w:lineRule="exact"/>
        <w:rPr>
          <w:rFonts w:ascii="Arial" w:cs="Arial" w:eastAsia="Arial" w:hAnsi="Arial"/>
          <w:sz w:val="15"/>
          <w:szCs w:val="15"/>
          <w:color w:val="auto"/>
        </w:rPr>
      </w:pPr>
    </w:p>
    <w:p>
      <w:pPr>
        <w:ind w:left="1480" w:right="280"/>
        <w:spacing w:after="0" w:line="312" w:lineRule="auto"/>
        <w:tabs>
          <w:tab w:leader="none" w:pos="1668" w:val="left"/>
        </w:tabs>
        <w:numPr>
          <w:ilvl w:val="1"/>
          <w:numId w:val="102"/>
        </w:numPr>
        <w:rPr>
          <w:rFonts w:ascii="Arial" w:cs="Arial" w:eastAsia="Arial" w:hAnsi="Arial"/>
          <w:sz w:val="14"/>
          <w:szCs w:val="14"/>
          <w:color w:val="auto"/>
        </w:rPr>
      </w:pPr>
      <w:r>
        <w:rPr>
          <w:rFonts w:ascii="Arial" w:cs="Arial" w:eastAsia="Arial" w:hAnsi="Arial"/>
          <w:sz w:val="14"/>
          <w:szCs w:val="14"/>
          <w:color w:val="auto"/>
        </w:rPr>
        <w:t>a wholly-owned subsidiary of any person or entity contemplated in (c), (d), or (e), acting as agent in the capacity of an authorised portfolio manager for a pension fund or collective investment scheme (in each case duly registered as such under South African law); or</w:t>
      </w:r>
    </w:p>
    <w:p>
      <w:pPr>
        <w:spacing w:after="0" w:line="32" w:lineRule="exact"/>
        <w:rPr>
          <w:rFonts w:ascii="Arial" w:cs="Arial" w:eastAsia="Arial" w:hAnsi="Arial"/>
          <w:sz w:val="14"/>
          <w:szCs w:val="14"/>
          <w:color w:val="auto"/>
        </w:rPr>
      </w:pPr>
    </w:p>
    <w:p>
      <w:pPr>
        <w:ind w:left="1700" w:hanging="220"/>
        <w:spacing w:after="0"/>
        <w:tabs>
          <w:tab w:leader="none" w:pos="1700" w:val="left"/>
        </w:tabs>
        <w:numPr>
          <w:ilvl w:val="1"/>
          <w:numId w:val="102"/>
        </w:numPr>
        <w:rPr>
          <w:rFonts w:ascii="Arial" w:cs="Arial" w:eastAsia="Arial" w:hAnsi="Arial"/>
          <w:sz w:val="15"/>
          <w:szCs w:val="15"/>
          <w:color w:val="auto"/>
        </w:rPr>
      </w:pPr>
      <w:r>
        <w:rPr>
          <w:rFonts w:ascii="Arial" w:cs="Arial" w:eastAsia="Arial" w:hAnsi="Arial"/>
          <w:sz w:val="15"/>
          <w:szCs w:val="15"/>
          <w:color w:val="auto"/>
        </w:rPr>
        <w:t>any combination of the person in (a) to (f); or</w:t>
      </w:r>
    </w:p>
    <w:p>
      <w:pPr>
        <w:spacing w:after="0" w:line="109" w:lineRule="exact"/>
        <w:rPr>
          <w:sz w:val="20"/>
          <w:szCs w:val="20"/>
          <w:color w:val="auto"/>
        </w:rPr>
      </w:pPr>
    </w:p>
    <w:p>
      <w:pPr>
        <w:ind w:left="1480" w:hanging="368"/>
        <w:spacing w:after="0"/>
        <w:tabs>
          <w:tab w:leader="none" w:pos="1480" w:val="left"/>
        </w:tabs>
        <w:numPr>
          <w:ilvl w:val="0"/>
          <w:numId w:val="103"/>
        </w:numPr>
        <w:rPr>
          <w:rFonts w:ascii="Arial" w:cs="Arial" w:eastAsia="Arial" w:hAnsi="Arial"/>
          <w:sz w:val="14"/>
          <w:szCs w:val="14"/>
          <w:color w:val="auto"/>
        </w:rPr>
      </w:pPr>
      <w:r>
        <w:rPr>
          <w:rFonts w:ascii="Arial" w:cs="Arial" w:eastAsia="Arial" w:hAnsi="Arial"/>
          <w:sz w:val="14"/>
          <w:szCs w:val="14"/>
          <w:color w:val="auto"/>
        </w:rPr>
        <w:t>the total contemplated acquisition cost of the securities, for any single addressee acting as principal is equal to or greater than ZAR1,000,000.</w:t>
      </w:r>
    </w:p>
    <w:p>
      <w:pPr>
        <w:spacing w:after="0" w:line="200" w:lineRule="exact"/>
        <w:rPr>
          <w:sz w:val="20"/>
          <w:szCs w:val="20"/>
          <w:color w:val="auto"/>
        </w:rPr>
      </w:pPr>
    </w:p>
    <w:p>
      <w:pPr>
        <w:ind w:left="1120" w:firstLine="368"/>
        <w:spacing w:after="0" w:line="273" w:lineRule="auto"/>
        <w:rPr>
          <w:sz w:val="20"/>
          <w:szCs w:val="20"/>
          <w:color w:val="auto"/>
        </w:rPr>
      </w:pPr>
      <w:r>
        <w:rPr>
          <w:rFonts w:ascii="Arial" w:cs="Arial" w:eastAsia="Arial" w:hAnsi="Arial"/>
          <w:sz w:val="14"/>
          <w:szCs w:val="14"/>
          <w:color w:val="auto"/>
        </w:rPr>
        <w:t>No “offer to the public” (as such term is defined in the South African Companies Act, No. 71 of 2008 (as amended or re-enacted), or the South African Companies Act) in South Africa is being made in connection with the issue of the shares of Class A common stock. Accordingly, this document does not, nor is it intended to, constitute a “registered prospectus” (as that term is defined in the South African Companies Act) prepared and registered under the South African Companies Act and has not been approved by, and/or filed with, the South African Companies and Intellectual Property Commission or any other regulatory authority in South Africa. Any issue or offering of the shares of Class A common stock in South Africa constitutes an offer of the shares of Class A common stock in South Africa for subscription or sale in South Africa only to persons who fall within the exemption from “offers to the public” set out in section 96(1)(a) of the South African Companies Act. Accordingly, this document must not be acted on or relied on by persons in South Africa who do not fall within section 96(1)(a) of the South African Companies Act, or such persons being referred to as SA Relevant Persons. Any investment or investment activity to which this document relates is available in South Africa only to SA Relevant Persons and will be engaged in South Africa only with SA relevant persons.</w:t>
      </w:r>
    </w:p>
    <w:p>
      <w:pPr>
        <w:spacing w:after="0" w:line="97" w:lineRule="exact"/>
        <w:rPr>
          <w:sz w:val="20"/>
          <w:szCs w:val="20"/>
          <w:color w:val="auto"/>
        </w:rPr>
      </w:pPr>
    </w:p>
    <w:p>
      <w:pPr>
        <w:ind w:left="5600"/>
        <w:spacing w:after="0"/>
        <w:rPr>
          <w:sz w:val="20"/>
          <w:szCs w:val="20"/>
          <w:color w:val="auto"/>
        </w:rPr>
      </w:pPr>
      <w:r>
        <w:rPr>
          <w:rFonts w:ascii="Arial" w:cs="Arial" w:eastAsia="Arial" w:hAnsi="Arial"/>
          <w:sz w:val="15"/>
          <w:szCs w:val="15"/>
          <w:color w:val="auto"/>
        </w:rPr>
        <w:t>194</w:t>
      </w:r>
    </w:p>
    <w:p>
      <w:pPr>
        <w:sectPr>
          <w:pgSz w:w="11900" w:h="16838" w:orient="portrait"/>
          <w:cols w:equalWidth="0" w:num="1">
            <w:col w:w="10280"/>
          </w:cols>
          <w:pgMar w:left="240" w:top="408" w:right="1379" w:bottom="1440" w:gutter="0" w:footer="0" w:header="0"/>
        </w:sectPr>
      </w:pPr>
    </w:p>
    <w:bookmarkStart w:id="201" w:name="page202"/>
    <w:bookmarkEnd w:id="201"/>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133350</wp:posOffset>
            </wp:positionH>
            <wp:positionV relativeFrom="page">
              <wp:posOffset>88900</wp:posOffset>
            </wp:positionV>
            <wp:extent cx="7308850" cy="3429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308850" cy="34290"/>
                    </a:xfrm>
                    <a:prstGeom prst="rect">
                      <a:avLst/>
                    </a:prstGeom>
                    <a:noFill/>
                  </pic:spPr>
                </pic:pic>
              </a:graphicData>
            </a:graphic>
          </wp:anchor>
        </w:drawing>
      </w:r>
      <w:hyperlink w:anchor="page7">
        <w:r>
          <w:rPr>
            <w:rFonts w:ascii="Arial" w:cs="Arial" w:eastAsia="Arial" w:hAnsi="Arial"/>
            <w:sz w:val="15"/>
            <w:szCs w:val="15"/>
            <w:b w:val="1"/>
            <w:bCs w:val="1"/>
            <w:u w:val="single" w:color="auto"/>
            <w:color w:val="0000EE"/>
          </w:rPr>
          <w:t>Table of Contents</w:t>
        </w:r>
      </w:hyperlink>
    </w:p>
    <w:p>
      <w:pPr>
        <w:spacing w:after="0" w:line="256" w:lineRule="exact"/>
        <w:rPr>
          <w:sz w:val="20"/>
          <w:szCs w:val="20"/>
          <w:color w:val="auto"/>
        </w:rPr>
      </w:pPr>
    </w:p>
    <w:p>
      <w:pPr>
        <w:jc w:val="center"/>
        <w:ind w:right="-1179"/>
        <w:spacing w:after="0"/>
        <w:rPr>
          <w:sz w:val="20"/>
          <w:szCs w:val="20"/>
          <w:color w:val="auto"/>
        </w:rPr>
      </w:pPr>
      <w:r>
        <w:rPr>
          <w:rFonts w:ascii="Arial" w:cs="Arial" w:eastAsia="Arial" w:hAnsi="Arial"/>
          <w:sz w:val="15"/>
          <w:szCs w:val="15"/>
          <w:b w:val="1"/>
          <w:bCs w:val="1"/>
          <w:color w:val="auto"/>
        </w:rPr>
        <w:t>CONCURRENT PRIVATE PLACEMENT</w:t>
      </w:r>
    </w:p>
    <w:p>
      <w:pPr>
        <w:spacing w:after="0" w:line="192" w:lineRule="exact"/>
        <w:rPr>
          <w:sz w:val="20"/>
          <w:szCs w:val="20"/>
          <w:color w:val="auto"/>
        </w:rPr>
      </w:pPr>
    </w:p>
    <w:p>
      <w:pPr>
        <w:jc w:val="both"/>
        <w:ind w:left="1120" w:firstLine="368"/>
        <w:spacing w:after="0" w:line="293" w:lineRule="auto"/>
        <w:rPr>
          <w:sz w:val="20"/>
          <w:szCs w:val="20"/>
          <w:color w:val="auto"/>
        </w:rPr>
      </w:pPr>
      <w:r>
        <w:rPr>
          <w:rFonts w:ascii="Arial" w:cs="Arial" w:eastAsia="Arial" w:hAnsi="Arial"/>
          <w:sz w:val="13"/>
          <w:szCs w:val="13"/>
          <w:color w:val="auto"/>
        </w:rPr>
        <w:t>Immediately subsequent to the closing of this offering, Salesforce Ventures LLC will purchase from us in a private placement $100.0 million of our Class A common stock at a price per share equal to the initial public offering price. Based on an assumed initial public offering price of $19.00 per share, which is the midpoint of the estimated offering price range set forth on the cover page of this prospectus, this would be 5,263,158 shares. We will receive the full proceeds and will not pay any underwriting discounts or commissions with respect to the shares that are sold in the private placement.</w:t>
      </w:r>
    </w:p>
    <w:p>
      <w:pPr>
        <w:spacing w:after="0" w:line="1" w:lineRule="exact"/>
        <w:rPr>
          <w:sz w:val="20"/>
          <w:szCs w:val="20"/>
          <w:color w:val="auto"/>
        </w:rPr>
      </w:pPr>
    </w:p>
    <w:p>
      <w:pPr>
        <w:ind w:left="1120" w:right="140"/>
        <w:spacing w:after="0" w:line="256" w:lineRule="auto"/>
        <w:rPr>
          <w:sz w:val="20"/>
          <w:szCs w:val="20"/>
          <w:color w:val="auto"/>
        </w:rPr>
      </w:pPr>
      <w:r>
        <w:rPr>
          <w:rFonts w:ascii="Arial" w:cs="Arial" w:eastAsia="Arial" w:hAnsi="Arial"/>
          <w:sz w:val="15"/>
          <w:szCs w:val="15"/>
          <w:color w:val="auto"/>
        </w:rPr>
        <w:t>The sale of the shares in the private placement is contingent upon the completion of this offering. The sale of these shares to Salesforce Ventures LLC will not be registered in this offering and will be subject to a market standoff agreement with us and a lock-up agreement with the underwriters for a period of up to 180 days after the date of this prospectus.</w:t>
      </w:r>
    </w:p>
    <w:p>
      <w:pPr>
        <w:spacing w:after="0" w:line="247" w:lineRule="exact"/>
        <w:rPr>
          <w:sz w:val="20"/>
          <w:szCs w:val="20"/>
          <w:color w:val="auto"/>
        </w:rPr>
      </w:pPr>
    </w:p>
    <w:p>
      <w:pPr>
        <w:jc w:val="center"/>
        <w:ind w:right="-1179"/>
        <w:spacing w:after="0"/>
        <w:rPr>
          <w:sz w:val="20"/>
          <w:szCs w:val="20"/>
          <w:color w:val="auto"/>
        </w:rPr>
      </w:pPr>
      <w:r>
        <w:rPr>
          <w:rFonts w:ascii="Arial" w:cs="Arial" w:eastAsia="Arial" w:hAnsi="Arial"/>
          <w:sz w:val="15"/>
          <w:szCs w:val="15"/>
          <w:b w:val="1"/>
          <w:bCs w:val="1"/>
          <w:color w:val="auto"/>
        </w:rPr>
        <w:t>LEGAL MATTERS</w:t>
      </w:r>
    </w:p>
    <w:p>
      <w:pPr>
        <w:spacing w:after="0" w:line="192" w:lineRule="exact"/>
        <w:rPr>
          <w:sz w:val="20"/>
          <w:szCs w:val="20"/>
          <w:color w:val="auto"/>
        </w:rPr>
      </w:pPr>
    </w:p>
    <w:p>
      <w:pPr>
        <w:ind w:left="1120" w:firstLine="368"/>
        <w:spacing w:after="0" w:line="263" w:lineRule="auto"/>
        <w:rPr>
          <w:sz w:val="20"/>
          <w:szCs w:val="20"/>
          <w:color w:val="auto"/>
        </w:rPr>
      </w:pPr>
      <w:r>
        <w:rPr>
          <w:rFonts w:ascii="Arial" w:cs="Arial" w:eastAsia="Arial" w:hAnsi="Arial"/>
          <w:sz w:val="15"/>
          <w:szCs w:val="15"/>
          <w:color w:val="auto"/>
        </w:rPr>
        <w:t>Wilson Sonsini Goodrich &amp; Rosati, P.C., Palo Alto, California, which has acted as our counsel in connection with this offering, will pass upon the validity of the shares of our Class A common stock being offered by this prospectus. The underwriters have been represented by Simpson Thacher &amp; Bartlett LLP, Palo Alto, California.</w:t>
      </w:r>
    </w:p>
    <w:p>
      <w:pPr>
        <w:spacing w:after="0" w:line="331" w:lineRule="exact"/>
        <w:rPr>
          <w:sz w:val="20"/>
          <w:szCs w:val="20"/>
          <w:color w:val="auto"/>
        </w:rPr>
      </w:pPr>
    </w:p>
    <w:p>
      <w:pPr>
        <w:jc w:val="center"/>
        <w:ind w:right="-1179"/>
        <w:spacing w:after="0"/>
        <w:rPr>
          <w:sz w:val="20"/>
          <w:szCs w:val="20"/>
          <w:color w:val="auto"/>
        </w:rPr>
      </w:pPr>
      <w:r>
        <w:rPr>
          <w:rFonts w:ascii="Arial" w:cs="Arial" w:eastAsia="Arial" w:hAnsi="Arial"/>
          <w:sz w:val="15"/>
          <w:szCs w:val="15"/>
          <w:b w:val="1"/>
          <w:bCs w:val="1"/>
          <w:color w:val="auto"/>
        </w:rPr>
        <w:t>EXPERTS</w:t>
      </w:r>
    </w:p>
    <w:p>
      <w:pPr>
        <w:spacing w:after="0" w:line="192" w:lineRule="exact"/>
        <w:rPr>
          <w:sz w:val="20"/>
          <w:szCs w:val="20"/>
          <w:color w:val="auto"/>
        </w:rPr>
      </w:pPr>
    </w:p>
    <w:p>
      <w:pPr>
        <w:ind w:left="1120" w:right="120" w:firstLine="368"/>
        <w:spacing w:after="0" w:line="259" w:lineRule="auto"/>
        <w:rPr>
          <w:sz w:val="20"/>
          <w:szCs w:val="20"/>
          <w:color w:val="auto"/>
        </w:rPr>
      </w:pPr>
      <w:r>
        <w:rPr>
          <w:rFonts w:ascii="Arial" w:cs="Arial" w:eastAsia="Arial" w:hAnsi="Arial"/>
          <w:sz w:val="15"/>
          <w:szCs w:val="15"/>
          <w:color w:val="auto"/>
        </w:rPr>
        <w:t>The consolidated financial statements of Dropbox, Inc. at December 31, 2016 and 2017, and for each of the three years in the period ended December 31, 2017, appearing in this prospectus and Registration Statement have been audited by Ernst &amp; Young LLP, independent registered public accounting firm, as set forth in their report thereon appearing elsewhere herein, and are included in reliance upon such report given on the authority of such firm as experts in accounting and auditing.</w:t>
      </w:r>
    </w:p>
    <w:p>
      <w:pPr>
        <w:spacing w:after="0" w:line="334" w:lineRule="exact"/>
        <w:rPr>
          <w:sz w:val="20"/>
          <w:szCs w:val="20"/>
          <w:color w:val="auto"/>
        </w:rPr>
      </w:pPr>
    </w:p>
    <w:p>
      <w:pPr>
        <w:ind w:left="3780"/>
        <w:spacing w:after="0"/>
        <w:rPr>
          <w:sz w:val="20"/>
          <w:szCs w:val="20"/>
          <w:color w:val="auto"/>
        </w:rPr>
      </w:pPr>
      <w:r>
        <w:rPr>
          <w:rFonts w:ascii="Arial" w:cs="Arial" w:eastAsia="Arial" w:hAnsi="Arial"/>
          <w:sz w:val="15"/>
          <w:szCs w:val="15"/>
          <w:b w:val="1"/>
          <w:bCs w:val="1"/>
          <w:color w:val="auto"/>
        </w:rPr>
        <w:t>WHERE YOU CAN FIND ADDITIONAL INFORMATION</w:t>
      </w:r>
    </w:p>
    <w:p>
      <w:pPr>
        <w:spacing w:after="0" w:line="192" w:lineRule="exact"/>
        <w:rPr>
          <w:sz w:val="20"/>
          <w:szCs w:val="20"/>
          <w:color w:val="auto"/>
        </w:rPr>
      </w:pPr>
    </w:p>
    <w:p>
      <w:pPr>
        <w:ind w:left="1120" w:firstLine="368"/>
        <w:spacing w:after="0" w:line="273" w:lineRule="auto"/>
        <w:rPr>
          <w:sz w:val="20"/>
          <w:szCs w:val="20"/>
          <w:color w:val="auto"/>
        </w:rPr>
      </w:pPr>
      <w:r>
        <w:rPr>
          <w:rFonts w:ascii="Arial" w:cs="Arial" w:eastAsia="Arial" w:hAnsi="Arial"/>
          <w:sz w:val="14"/>
          <w:szCs w:val="14"/>
          <w:color w:val="auto"/>
        </w:rPr>
        <w:t>We have filed with the SEC a registration statement on Form S-1 under the Securities Act with respect to the shares of our Class A common stock offered by this prospectus. This prospectus, which constitutes a part of the registration statement, does not contain all of the information set forth in the registration statement, some of which is contained in exhibits to the registration statement as permitted by the rules and regulations of the SEC. For further information with respect to us and our Class A common stock, we refer you to the registration statement, including the exhibits filed as a part of the registration statement. Statements contained in this prospectus concerning the contents of any contract or any other document is not necessarily complete. If a contract or document has been filed as an exhibit to the registration statement, please see the copy of the contract or document that has been filed. Each statement in this prospectus relating to a contract or document filed as an exhibit is qualified in all respects by the filed exhibit. You may obtain copies of this information by mail from the Public Reference Section of the SEC, 100 F Street, N.E., Room 1580, Washington, D.C. 20549, at prescribed rates. You may obtain information on the operation of the public reference rooms by calling the SEC at 1-800-SEC-0330. The SEC also maintains an Internet website that contains reports, proxy statements, and other information about issuers, like us, that file electronically with the SEC. The address of that website is www.sec.gov.</w:t>
      </w:r>
    </w:p>
    <w:p>
      <w:pPr>
        <w:spacing w:after="0" w:line="151" w:lineRule="exact"/>
        <w:rPr>
          <w:sz w:val="20"/>
          <w:szCs w:val="20"/>
          <w:color w:val="auto"/>
        </w:rPr>
      </w:pPr>
    </w:p>
    <w:p>
      <w:pPr>
        <w:ind w:left="1120" w:right="140" w:firstLine="368"/>
        <w:spacing w:after="0" w:line="322" w:lineRule="auto"/>
        <w:rPr>
          <w:sz w:val="20"/>
          <w:szCs w:val="20"/>
          <w:color w:val="auto"/>
        </w:rPr>
      </w:pPr>
      <w:r>
        <w:rPr>
          <w:rFonts w:ascii="Arial" w:cs="Arial" w:eastAsia="Arial" w:hAnsi="Arial"/>
          <w:sz w:val="13"/>
          <w:szCs w:val="13"/>
          <w:color w:val="auto"/>
        </w:rPr>
        <w:t>As a result of this offering, we will become subject to the information and reporting requirements of the Exchange Act and, in accordance with this law, will file periodic reports, proxy statements, and other information with the SEC. These periodic reports, proxy statements, and other information will be available for inspection and copying at the SEC’s public reference facilities and the website of the SEC referred to above. We also</w:t>
      </w:r>
    </w:p>
    <w:p>
      <w:pPr>
        <w:spacing w:after="0" w:line="64" w:lineRule="exact"/>
        <w:rPr>
          <w:sz w:val="20"/>
          <w:szCs w:val="20"/>
          <w:color w:val="auto"/>
        </w:rPr>
      </w:pPr>
    </w:p>
    <w:p>
      <w:pPr>
        <w:ind w:left="5600"/>
        <w:spacing w:after="0"/>
        <w:rPr>
          <w:sz w:val="20"/>
          <w:szCs w:val="20"/>
          <w:color w:val="auto"/>
        </w:rPr>
      </w:pPr>
      <w:r>
        <w:rPr>
          <w:rFonts w:ascii="Arial" w:cs="Arial" w:eastAsia="Arial" w:hAnsi="Arial"/>
          <w:sz w:val="15"/>
          <w:szCs w:val="15"/>
          <w:color w:val="auto"/>
        </w:rPr>
        <w:t>195</w:t>
      </w:r>
    </w:p>
    <w:p>
      <w:pPr>
        <w:sectPr>
          <w:pgSz w:w="11900" w:h="16838" w:orient="portrait"/>
          <w:cols w:equalWidth="0" w:num="1">
            <w:col w:w="10260"/>
          </w:cols>
          <w:pgMar w:left="240" w:top="408" w:right="1399" w:bottom="1440" w:gutter="0" w:footer="0" w:header="0"/>
        </w:sectPr>
      </w:pPr>
    </w:p>
    <w:bookmarkStart w:id="202" w:name="page203"/>
    <w:bookmarkEnd w:id="202"/>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133350</wp:posOffset>
            </wp:positionH>
            <wp:positionV relativeFrom="page">
              <wp:posOffset>88900</wp:posOffset>
            </wp:positionV>
            <wp:extent cx="7308850" cy="3429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308850" cy="34290"/>
                    </a:xfrm>
                    <a:prstGeom prst="rect">
                      <a:avLst/>
                    </a:prstGeom>
                    <a:noFill/>
                  </pic:spPr>
                </pic:pic>
              </a:graphicData>
            </a:graphic>
          </wp:anchor>
        </w:drawing>
      </w:r>
      <w:hyperlink w:anchor="page7">
        <w:r>
          <w:rPr>
            <w:rFonts w:ascii="Arial" w:cs="Arial" w:eastAsia="Arial" w:hAnsi="Arial"/>
            <w:sz w:val="15"/>
            <w:szCs w:val="15"/>
            <w:b w:val="1"/>
            <w:bCs w:val="1"/>
            <w:u w:val="single" w:color="auto"/>
            <w:color w:val="0000EE"/>
          </w:rPr>
          <w:t>Table of Contents</w:t>
        </w:r>
      </w:hyperlink>
    </w:p>
    <w:p>
      <w:pPr>
        <w:spacing w:after="0" w:line="260" w:lineRule="exact"/>
        <w:rPr>
          <w:sz w:val="20"/>
          <w:szCs w:val="20"/>
          <w:color w:val="auto"/>
        </w:rPr>
      </w:pPr>
    </w:p>
    <w:p>
      <w:pPr>
        <w:ind w:left="1120"/>
        <w:spacing w:after="0" w:line="263" w:lineRule="auto"/>
        <w:rPr>
          <w:sz w:val="20"/>
          <w:szCs w:val="20"/>
          <w:color w:val="auto"/>
        </w:rPr>
      </w:pPr>
      <w:r>
        <w:rPr>
          <w:rFonts w:ascii="Arial" w:cs="Arial" w:eastAsia="Arial" w:hAnsi="Arial"/>
          <w:sz w:val="15"/>
          <w:szCs w:val="15"/>
          <w:color w:val="auto"/>
        </w:rPr>
        <w:t>maintain a website at www.dropbox.com. Upon completion of this offering, you may access these materials free of charge as soon as reasonably practicable after they are electronically filed with, or furnished to, the SEC. Information contained on our website is not a part of this prospectus and the inclusion of our website address in this prospectus is an inactive textual reference only.</w:t>
      </w:r>
    </w:p>
    <w:p>
      <w:pPr>
        <w:spacing w:after="0" w:line="98" w:lineRule="exact"/>
        <w:rPr>
          <w:sz w:val="20"/>
          <w:szCs w:val="20"/>
          <w:color w:val="auto"/>
        </w:rPr>
      </w:pPr>
    </w:p>
    <w:p>
      <w:pPr>
        <w:ind w:left="5600"/>
        <w:spacing w:after="0"/>
        <w:rPr>
          <w:sz w:val="20"/>
          <w:szCs w:val="20"/>
          <w:color w:val="auto"/>
        </w:rPr>
      </w:pPr>
      <w:r>
        <w:rPr>
          <w:rFonts w:ascii="Arial" w:cs="Arial" w:eastAsia="Arial" w:hAnsi="Arial"/>
          <w:sz w:val="15"/>
          <w:szCs w:val="15"/>
          <w:color w:val="auto"/>
        </w:rPr>
        <w:t>196</w:t>
      </w:r>
    </w:p>
    <w:p>
      <w:pPr>
        <w:sectPr>
          <w:pgSz w:w="11900" w:h="16838" w:orient="portrait"/>
          <w:cols w:equalWidth="0" w:num="1">
            <w:col w:w="10260"/>
          </w:cols>
          <w:pgMar w:left="240" w:top="408" w:right="1399" w:bottom="1440" w:gutter="0" w:footer="0" w:header="0"/>
        </w:sectPr>
      </w:pPr>
    </w:p>
    <w:bookmarkStart w:id="203" w:name="page204"/>
    <w:bookmarkEnd w:id="203"/>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133350</wp:posOffset>
            </wp:positionH>
            <wp:positionV relativeFrom="page">
              <wp:posOffset>88900</wp:posOffset>
            </wp:positionV>
            <wp:extent cx="7308850" cy="3429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308850" cy="34290"/>
                    </a:xfrm>
                    <a:prstGeom prst="rect">
                      <a:avLst/>
                    </a:prstGeom>
                    <a:noFill/>
                  </pic:spPr>
                </pic:pic>
              </a:graphicData>
            </a:graphic>
          </wp:anchor>
        </w:drawing>
      </w:r>
      <w:hyperlink w:anchor="page7">
        <w:r>
          <w:rPr>
            <w:rFonts w:ascii="Arial" w:cs="Arial" w:eastAsia="Arial" w:hAnsi="Arial"/>
            <w:sz w:val="15"/>
            <w:szCs w:val="15"/>
            <w:b w:val="1"/>
            <w:bCs w:val="1"/>
            <w:u w:val="single" w:color="auto"/>
            <w:color w:val="0000EE"/>
          </w:rPr>
          <w:t>Table of Contents</w:t>
        </w:r>
      </w:hyperlink>
    </w:p>
    <w:p>
      <w:pPr>
        <w:spacing w:after="0" w:line="256" w:lineRule="exact"/>
        <w:rPr>
          <w:sz w:val="20"/>
          <w:szCs w:val="20"/>
          <w:color w:val="auto"/>
        </w:rPr>
      </w:pPr>
    </w:p>
    <w:p>
      <w:pPr>
        <w:jc w:val="center"/>
        <w:ind w:right="-1099"/>
        <w:spacing w:after="0"/>
        <w:rPr>
          <w:sz w:val="20"/>
          <w:szCs w:val="20"/>
          <w:color w:val="auto"/>
        </w:rPr>
      </w:pPr>
      <w:r>
        <w:rPr>
          <w:rFonts w:ascii="Arial" w:cs="Arial" w:eastAsia="Arial" w:hAnsi="Arial"/>
          <w:sz w:val="15"/>
          <w:szCs w:val="15"/>
          <w:b w:val="1"/>
          <w:bCs w:val="1"/>
          <w:color w:val="auto"/>
        </w:rPr>
        <w:t>DROPBOX, INC.</w:t>
      </w:r>
    </w:p>
    <w:p>
      <w:pPr>
        <w:spacing w:after="0" w:line="21" w:lineRule="exact"/>
        <w:rPr>
          <w:sz w:val="20"/>
          <w:szCs w:val="20"/>
          <w:color w:val="auto"/>
        </w:rPr>
      </w:pPr>
    </w:p>
    <w:p>
      <w:pPr>
        <w:jc w:val="center"/>
        <w:ind w:right="-1099"/>
        <w:spacing w:after="0"/>
        <w:rPr>
          <w:sz w:val="20"/>
          <w:szCs w:val="20"/>
          <w:color w:val="auto"/>
        </w:rPr>
      </w:pPr>
      <w:r>
        <w:rPr>
          <w:rFonts w:ascii="Arial" w:cs="Arial" w:eastAsia="Arial" w:hAnsi="Arial"/>
          <w:sz w:val="15"/>
          <w:szCs w:val="15"/>
          <w:b w:val="1"/>
          <w:bCs w:val="1"/>
          <w:color w:val="auto"/>
        </w:rPr>
        <w:t>INDEX TO CONSOLIDATED FINANCIAL STATEMENTS</w:t>
      </w:r>
    </w:p>
    <w:p>
      <w:pPr>
        <w:spacing w:after="0" w:line="192" w:lineRule="exact"/>
        <w:rPr>
          <w:sz w:val="20"/>
          <w:szCs w:val="20"/>
          <w:color w:val="auto"/>
        </w:rPr>
      </w:pPr>
    </w:p>
    <w:tbl>
      <w:tblPr>
        <w:tblLayout w:type="fixed"/>
        <w:tblInd w:w="1120" w:type="dxa"/>
        <w:tblCellMar>
          <w:top w:w="0" w:type="dxa"/>
          <w:left w:w="0" w:type="dxa"/>
          <w:bottom w:w="0" w:type="dxa"/>
          <w:right w:w="0" w:type="dxa"/>
        </w:tblCellMar>
      </w:tblPr>
      <w:tr>
        <w:trPr>
          <w:trHeight w:val="144"/>
        </w:trPr>
        <w:tc>
          <w:tcPr>
            <w:tcW w:w="8920" w:type="dxa"/>
            <w:vAlign w:val="bottom"/>
            <w:gridSpan w:val="8"/>
            <w:vMerge w:val="restart"/>
          </w:tcPr>
          <w:p>
            <w:pPr>
              <w:spacing w:after="0"/>
              <w:rPr>
                <w:rFonts w:ascii="Arial" w:cs="Arial" w:eastAsia="Arial" w:hAnsi="Arial"/>
                <w:sz w:val="15"/>
                <w:szCs w:val="15"/>
                <w:color w:val="0000EE"/>
              </w:rPr>
            </w:pPr>
            <w:hyperlink w:anchor="page205">
              <w:r>
                <w:rPr>
                  <w:rFonts w:ascii="Arial" w:cs="Arial" w:eastAsia="Arial" w:hAnsi="Arial"/>
                  <w:sz w:val="15"/>
                  <w:szCs w:val="15"/>
                  <w:color w:val="0000EE"/>
                </w:rPr>
                <w:t>Report of Ernst &amp; Young LLP, Independent Registered Public Accounting Firm</w:t>
              </w:r>
            </w:hyperlink>
          </w:p>
        </w:tc>
        <w:tc>
          <w:tcPr>
            <w:tcW w:w="28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83"/>
              </w:rPr>
              <w:t>Page</w:t>
            </w:r>
          </w:p>
        </w:tc>
        <w:tc>
          <w:tcPr>
            <w:tcW w:w="0" w:type="dxa"/>
            <w:vAlign w:val="bottom"/>
          </w:tcPr>
          <w:p>
            <w:pPr>
              <w:spacing w:after="0"/>
              <w:rPr>
                <w:sz w:val="1"/>
                <w:szCs w:val="1"/>
                <w:color w:val="auto"/>
              </w:rPr>
            </w:pPr>
          </w:p>
        </w:tc>
      </w:tr>
      <w:tr>
        <w:trPr>
          <w:trHeight w:val="138"/>
        </w:trPr>
        <w:tc>
          <w:tcPr>
            <w:tcW w:w="8920" w:type="dxa"/>
            <w:vAlign w:val="bottom"/>
            <w:gridSpan w:val="8"/>
            <w:vMerge w:val="continue"/>
          </w:tcPr>
          <w:p>
            <w:pPr>
              <w:spacing w:after="0"/>
              <w:rPr>
                <w:sz w:val="11"/>
                <w:szCs w:val="11"/>
                <w:color w:val="auto"/>
              </w:rPr>
            </w:pPr>
          </w:p>
        </w:tc>
        <w:tc>
          <w:tcPr>
            <w:tcW w:w="280" w:type="dxa"/>
            <w:vAlign w:val="bottom"/>
          </w:tcPr>
          <w:p>
            <w:pPr>
              <w:jc w:val="center"/>
              <w:spacing w:after="0" w:line="138" w:lineRule="exact"/>
              <w:rPr>
                <w:sz w:val="20"/>
                <w:szCs w:val="20"/>
                <w:color w:val="auto"/>
              </w:rPr>
            </w:pPr>
            <w:r>
              <w:rPr>
                <w:rFonts w:ascii="Arial" w:cs="Arial" w:eastAsia="Arial" w:hAnsi="Arial"/>
                <w:sz w:val="15"/>
                <w:szCs w:val="15"/>
                <w:color w:val="auto"/>
                <w:w w:val="88"/>
              </w:rPr>
              <w:t>F-2</w:t>
            </w:r>
          </w:p>
        </w:tc>
        <w:tc>
          <w:tcPr>
            <w:tcW w:w="0" w:type="dxa"/>
            <w:vAlign w:val="bottom"/>
          </w:tcPr>
          <w:p>
            <w:pPr>
              <w:spacing w:after="0"/>
              <w:rPr>
                <w:sz w:val="1"/>
                <w:szCs w:val="1"/>
                <w:color w:val="auto"/>
              </w:rPr>
            </w:pPr>
          </w:p>
        </w:tc>
      </w:tr>
      <w:tr>
        <w:trPr>
          <w:trHeight w:val="160"/>
        </w:trPr>
        <w:tc>
          <w:tcPr>
            <w:tcW w:w="1740" w:type="dxa"/>
            <w:vAlign w:val="bottom"/>
            <w:tcBorders>
              <w:top w:val="single" w:sz="8" w:color="0000EE"/>
              <w:bottom w:val="single" w:sz="8" w:color="0000EE"/>
            </w:tcBorders>
          </w:tcPr>
          <w:p>
            <w:pPr>
              <w:spacing w:after="0" w:line="161" w:lineRule="exact"/>
              <w:rPr>
                <w:rFonts w:ascii="Arial" w:cs="Arial" w:eastAsia="Arial" w:hAnsi="Arial"/>
                <w:sz w:val="15"/>
                <w:szCs w:val="15"/>
                <w:color w:val="0000EE"/>
                <w:w w:val="87"/>
              </w:rPr>
            </w:pPr>
            <w:hyperlink w:anchor="page206">
              <w:r>
                <w:rPr>
                  <w:rFonts w:ascii="Arial" w:cs="Arial" w:eastAsia="Arial" w:hAnsi="Arial"/>
                  <w:sz w:val="15"/>
                  <w:szCs w:val="15"/>
                  <w:color w:val="0000EE"/>
                  <w:w w:val="87"/>
                </w:rPr>
                <w:t>Consolidated Balance Sheets</w:t>
              </w:r>
            </w:hyperlink>
          </w:p>
        </w:tc>
        <w:tc>
          <w:tcPr>
            <w:tcW w:w="3040" w:type="dxa"/>
            <w:vAlign w:val="bottom"/>
            <w:tcBorders>
              <w:top w:val="single" w:sz="8" w:color="0000EE"/>
            </w:tcBorders>
            <w:gridSpan w:val="6"/>
          </w:tcPr>
          <w:p>
            <w:pPr>
              <w:spacing w:after="0"/>
              <w:rPr>
                <w:sz w:val="13"/>
                <w:szCs w:val="13"/>
                <w:color w:val="auto"/>
              </w:rPr>
            </w:pPr>
          </w:p>
        </w:tc>
        <w:tc>
          <w:tcPr>
            <w:tcW w:w="4140" w:type="dxa"/>
            <w:vAlign w:val="bottom"/>
          </w:tcPr>
          <w:p>
            <w:pPr>
              <w:spacing w:after="0"/>
              <w:rPr>
                <w:sz w:val="13"/>
                <w:szCs w:val="13"/>
                <w:color w:val="auto"/>
              </w:rPr>
            </w:pPr>
          </w:p>
        </w:tc>
        <w:tc>
          <w:tcPr>
            <w:tcW w:w="280" w:type="dxa"/>
            <w:vAlign w:val="bottom"/>
          </w:tcPr>
          <w:p>
            <w:pPr>
              <w:jc w:val="center"/>
              <w:spacing w:after="0" w:line="161" w:lineRule="exact"/>
              <w:rPr>
                <w:sz w:val="20"/>
                <w:szCs w:val="20"/>
                <w:color w:val="auto"/>
              </w:rPr>
            </w:pPr>
            <w:r>
              <w:rPr>
                <w:rFonts w:ascii="Arial" w:cs="Arial" w:eastAsia="Arial" w:hAnsi="Arial"/>
                <w:sz w:val="15"/>
                <w:szCs w:val="15"/>
                <w:color w:val="auto"/>
                <w:w w:val="88"/>
              </w:rPr>
              <w:t>F-3</w:t>
            </w:r>
          </w:p>
        </w:tc>
        <w:tc>
          <w:tcPr>
            <w:tcW w:w="0" w:type="dxa"/>
            <w:vAlign w:val="bottom"/>
          </w:tcPr>
          <w:p>
            <w:pPr>
              <w:spacing w:after="0"/>
              <w:rPr>
                <w:sz w:val="1"/>
                <w:szCs w:val="1"/>
                <w:color w:val="auto"/>
              </w:rPr>
            </w:pPr>
          </w:p>
        </w:tc>
      </w:tr>
      <w:tr>
        <w:trPr>
          <w:trHeight w:val="160"/>
        </w:trPr>
        <w:tc>
          <w:tcPr>
            <w:tcW w:w="8920" w:type="dxa"/>
            <w:vAlign w:val="bottom"/>
            <w:gridSpan w:val="8"/>
          </w:tcPr>
          <w:p>
            <w:pPr>
              <w:spacing w:after="0" w:line="161" w:lineRule="exact"/>
              <w:rPr>
                <w:rFonts w:ascii="Arial" w:cs="Arial" w:eastAsia="Arial" w:hAnsi="Arial"/>
                <w:sz w:val="15"/>
                <w:szCs w:val="15"/>
                <w:color w:val="0000EE"/>
              </w:rPr>
            </w:pPr>
            <w:hyperlink w:anchor="page207">
              <w:r>
                <w:rPr>
                  <w:rFonts w:ascii="Arial" w:cs="Arial" w:eastAsia="Arial" w:hAnsi="Arial"/>
                  <w:sz w:val="15"/>
                  <w:szCs w:val="15"/>
                  <w:color w:val="0000EE"/>
                </w:rPr>
                <w:t>Consolidated Statements of Operations</w:t>
              </w:r>
            </w:hyperlink>
          </w:p>
        </w:tc>
        <w:tc>
          <w:tcPr>
            <w:tcW w:w="280" w:type="dxa"/>
            <w:vAlign w:val="bottom"/>
          </w:tcPr>
          <w:p>
            <w:pPr>
              <w:jc w:val="center"/>
              <w:spacing w:after="0" w:line="161" w:lineRule="exact"/>
              <w:rPr>
                <w:sz w:val="20"/>
                <w:szCs w:val="20"/>
                <w:color w:val="auto"/>
              </w:rPr>
            </w:pPr>
            <w:r>
              <w:rPr>
                <w:rFonts w:ascii="Arial" w:cs="Arial" w:eastAsia="Arial" w:hAnsi="Arial"/>
                <w:sz w:val="15"/>
                <w:szCs w:val="15"/>
                <w:color w:val="auto"/>
                <w:w w:val="88"/>
              </w:rPr>
              <w:t>F-4</w:t>
            </w:r>
          </w:p>
        </w:tc>
        <w:tc>
          <w:tcPr>
            <w:tcW w:w="0" w:type="dxa"/>
            <w:vAlign w:val="bottom"/>
          </w:tcPr>
          <w:p>
            <w:pPr>
              <w:spacing w:after="0"/>
              <w:rPr>
                <w:sz w:val="1"/>
                <w:szCs w:val="1"/>
                <w:color w:val="auto"/>
              </w:rPr>
            </w:pPr>
          </w:p>
        </w:tc>
      </w:tr>
      <w:tr>
        <w:trPr>
          <w:trHeight w:val="20"/>
        </w:trPr>
        <w:tc>
          <w:tcPr>
            <w:tcW w:w="234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96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8920" w:type="dxa"/>
            <w:vAlign w:val="bottom"/>
            <w:gridSpan w:val="8"/>
          </w:tcPr>
          <w:p>
            <w:pPr>
              <w:spacing w:after="0" w:line="161" w:lineRule="exact"/>
              <w:rPr>
                <w:rFonts w:ascii="Arial" w:cs="Arial" w:eastAsia="Arial" w:hAnsi="Arial"/>
                <w:sz w:val="15"/>
                <w:szCs w:val="15"/>
                <w:color w:val="0000EE"/>
              </w:rPr>
            </w:pPr>
            <w:hyperlink w:anchor="page208">
              <w:r>
                <w:rPr>
                  <w:rFonts w:ascii="Arial" w:cs="Arial" w:eastAsia="Arial" w:hAnsi="Arial"/>
                  <w:sz w:val="15"/>
                  <w:szCs w:val="15"/>
                  <w:color w:val="0000EE"/>
                </w:rPr>
                <w:t>Consolidated Statements of Comprehensive Loss</w:t>
              </w:r>
            </w:hyperlink>
          </w:p>
        </w:tc>
        <w:tc>
          <w:tcPr>
            <w:tcW w:w="280" w:type="dxa"/>
            <w:vAlign w:val="bottom"/>
          </w:tcPr>
          <w:p>
            <w:pPr>
              <w:jc w:val="center"/>
              <w:spacing w:after="0" w:line="161" w:lineRule="exact"/>
              <w:rPr>
                <w:sz w:val="20"/>
                <w:szCs w:val="20"/>
                <w:color w:val="auto"/>
              </w:rPr>
            </w:pPr>
            <w:r>
              <w:rPr>
                <w:rFonts w:ascii="Arial" w:cs="Arial" w:eastAsia="Arial" w:hAnsi="Arial"/>
                <w:sz w:val="15"/>
                <w:szCs w:val="15"/>
                <w:color w:val="auto"/>
                <w:w w:val="88"/>
              </w:rPr>
              <w:t>F-5</w:t>
            </w:r>
          </w:p>
        </w:tc>
        <w:tc>
          <w:tcPr>
            <w:tcW w:w="0" w:type="dxa"/>
            <w:vAlign w:val="bottom"/>
          </w:tcPr>
          <w:p>
            <w:pPr>
              <w:spacing w:after="0"/>
              <w:rPr>
                <w:sz w:val="1"/>
                <w:szCs w:val="1"/>
                <w:color w:val="auto"/>
              </w:rPr>
            </w:pPr>
          </w:p>
        </w:tc>
      </w:tr>
      <w:tr>
        <w:trPr>
          <w:trHeight w:val="20"/>
        </w:trPr>
        <w:tc>
          <w:tcPr>
            <w:tcW w:w="2380" w:type="dxa"/>
            <w:vAlign w:val="bottom"/>
            <w:gridSpan w:val="3"/>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96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2960" w:type="dxa"/>
            <w:vAlign w:val="bottom"/>
            <w:tcBorders>
              <w:bottom w:val="single" w:sz="8" w:color="0000EE"/>
            </w:tcBorders>
            <w:gridSpan w:val="6"/>
          </w:tcPr>
          <w:p>
            <w:pPr>
              <w:spacing w:after="0" w:line="161" w:lineRule="exact"/>
              <w:rPr>
                <w:rFonts w:ascii="Arial" w:cs="Arial" w:eastAsia="Arial" w:hAnsi="Arial"/>
                <w:sz w:val="15"/>
                <w:szCs w:val="15"/>
                <w:color w:val="0000EE"/>
                <w:w w:val="90"/>
              </w:rPr>
            </w:pPr>
            <w:hyperlink w:anchor="page209">
              <w:r>
                <w:rPr>
                  <w:rFonts w:ascii="Arial" w:cs="Arial" w:eastAsia="Arial" w:hAnsi="Arial"/>
                  <w:sz w:val="15"/>
                  <w:szCs w:val="15"/>
                  <w:color w:val="0000EE"/>
                  <w:w w:val="90"/>
                </w:rPr>
                <w:t>Consolidated Statements of Stockholders’ Equity</w:t>
              </w:r>
            </w:hyperlink>
          </w:p>
        </w:tc>
        <w:tc>
          <w:tcPr>
            <w:tcW w:w="5960" w:type="dxa"/>
            <w:vAlign w:val="bottom"/>
            <w:gridSpan w:val="2"/>
          </w:tcPr>
          <w:p>
            <w:pPr>
              <w:spacing w:after="0"/>
              <w:rPr>
                <w:sz w:val="13"/>
                <w:szCs w:val="13"/>
                <w:color w:val="auto"/>
              </w:rPr>
            </w:pPr>
          </w:p>
        </w:tc>
        <w:tc>
          <w:tcPr>
            <w:tcW w:w="280" w:type="dxa"/>
            <w:vAlign w:val="bottom"/>
          </w:tcPr>
          <w:p>
            <w:pPr>
              <w:jc w:val="center"/>
              <w:spacing w:after="0" w:line="161" w:lineRule="exact"/>
              <w:rPr>
                <w:sz w:val="20"/>
                <w:szCs w:val="20"/>
                <w:color w:val="auto"/>
              </w:rPr>
            </w:pPr>
            <w:r>
              <w:rPr>
                <w:rFonts w:ascii="Arial" w:cs="Arial" w:eastAsia="Arial" w:hAnsi="Arial"/>
                <w:sz w:val="15"/>
                <w:szCs w:val="15"/>
                <w:color w:val="auto"/>
                <w:w w:val="88"/>
              </w:rPr>
              <w:t>F-6</w:t>
            </w:r>
          </w:p>
        </w:tc>
        <w:tc>
          <w:tcPr>
            <w:tcW w:w="0" w:type="dxa"/>
            <w:vAlign w:val="bottom"/>
          </w:tcPr>
          <w:p>
            <w:pPr>
              <w:spacing w:after="0"/>
              <w:rPr>
                <w:sz w:val="1"/>
                <w:szCs w:val="1"/>
                <w:color w:val="auto"/>
              </w:rPr>
            </w:pPr>
          </w:p>
        </w:tc>
      </w:tr>
      <w:tr>
        <w:trPr>
          <w:trHeight w:val="160"/>
        </w:trPr>
        <w:tc>
          <w:tcPr>
            <w:tcW w:w="8920" w:type="dxa"/>
            <w:vAlign w:val="bottom"/>
            <w:gridSpan w:val="8"/>
          </w:tcPr>
          <w:p>
            <w:pPr>
              <w:spacing w:after="0" w:line="161" w:lineRule="exact"/>
              <w:rPr>
                <w:rFonts w:ascii="Arial" w:cs="Arial" w:eastAsia="Arial" w:hAnsi="Arial"/>
                <w:sz w:val="15"/>
                <w:szCs w:val="15"/>
                <w:color w:val="0000EE"/>
              </w:rPr>
            </w:pPr>
            <w:hyperlink w:anchor="page210">
              <w:r>
                <w:rPr>
                  <w:rFonts w:ascii="Arial" w:cs="Arial" w:eastAsia="Arial" w:hAnsi="Arial"/>
                  <w:sz w:val="15"/>
                  <w:szCs w:val="15"/>
                  <w:color w:val="0000EE"/>
                </w:rPr>
                <w:t>Consolidated Statements of Cash Flows</w:t>
              </w:r>
            </w:hyperlink>
          </w:p>
        </w:tc>
        <w:tc>
          <w:tcPr>
            <w:tcW w:w="280" w:type="dxa"/>
            <w:vAlign w:val="bottom"/>
          </w:tcPr>
          <w:p>
            <w:pPr>
              <w:jc w:val="center"/>
              <w:spacing w:after="0" w:line="161" w:lineRule="exact"/>
              <w:rPr>
                <w:sz w:val="20"/>
                <w:szCs w:val="20"/>
                <w:color w:val="auto"/>
              </w:rPr>
            </w:pPr>
            <w:r>
              <w:rPr>
                <w:rFonts w:ascii="Arial" w:cs="Arial" w:eastAsia="Arial" w:hAnsi="Arial"/>
                <w:sz w:val="15"/>
                <w:szCs w:val="15"/>
                <w:color w:val="auto"/>
                <w:w w:val="88"/>
              </w:rPr>
              <w:t>F-7</w:t>
            </w:r>
          </w:p>
        </w:tc>
        <w:tc>
          <w:tcPr>
            <w:tcW w:w="0" w:type="dxa"/>
            <w:vAlign w:val="bottom"/>
          </w:tcPr>
          <w:p>
            <w:pPr>
              <w:spacing w:after="0"/>
              <w:rPr>
                <w:sz w:val="1"/>
                <w:szCs w:val="1"/>
                <w:color w:val="auto"/>
              </w:rPr>
            </w:pPr>
          </w:p>
        </w:tc>
      </w:tr>
      <w:tr>
        <w:trPr>
          <w:trHeight w:val="20"/>
        </w:trPr>
        <w:tc>
          <w:tcPr>
            <w:tcW w:w="2380" w:type="dxa"/>
            <w:vAlign w:val="bottom"/>
            <w:gridSpan w:val="3"/>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300" w:type="dxa"/>
            <w:vAlign w:val="bottom"/>
            <w:gridSpan w:val="4"/>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8920" w:type="dxa"/>
            <w:vAlign w:val="bottom"/>
            <w:gridSpan w:val="8"/>
          </w:tcPr>
          <w:p>
            <w:pPr>
              <w:spacing w:after="0" w:line="161" w:lineRule="exact"/>
              <w:rPr>
                <w:rFonts w:ascii="Arial" w:cs="Arial" w:eastAsia="Arial" w:hAnsi="Arial"/>
                <w:sz w:val="15"/>
                <w:szCs w:val="15"/>
                <w:color w:val="0000EE"/>
              </w:rPr>
            </w:pPr>
            <w:hyperlink w:anchor="page211">
              <w:r>
                <w:rPr>
                  <w:rFonts w:ascii="Arial" w:cs="Arial" w:eastAsia="Arial" w:hAnsi="Arial"/>
                  <w:sz w:val="15"/>
                  <w:szCs w:val="15"/>
                  <w:color w:val="0000EE"/>
                </w:rPr>
                <w:t>Notes to Consolidated Financial Statements</w:t>
              </w:r>
            </w:hyperlink>
          </w:p>
        </w:tc>
        <w:tc>
          <w:tcPr>
            <w:tcW w:w="280" w:type="dxa"/>
            <w:vAlign w:val="bottom"/>
          </w:tcPr>
          <w:p>
            <w:pPr>
              <w:jc w:val="center"/>
              <w:spacing w:after="0" w:line="161" w:lineRule="exact"/>
              <w:rPr>
                <w:sz w:val="20"/>
                <w:szCs w:val="20"/>
                <w:color w:val="auto"/>
              </w:rPr>
            </w:pPr>
            <w:r>
              <w:rPr>
                <w:rFonts w:ascii="Arial" w:cs="Arial" w:eastAsia="Arial" w:hAnsi="Arial"/>
                <w:sz w:val="15"/>
                <w:szCs w:val="15"/>
                <w:color w:val="auto"/>
                <w:w w:val="88"/>
              </w:rPr>
              <w:t>F-8</w:t>
            </w:r>
          </w:p>
        </w:tc>
        <w:tc>
          <w:tcPr>
            <w:tcW w:w="0" w:type="dxa"/>
            <w:vAlign w:val="bottom"/>
          </w:tcPr>
          <w:p>
            <w:pPr>
              <w:spacing w:after="0"/>
              <w:rPr>
                <w:sz w:val="1"/>
                <w:szCs w:val="1"/>
                <w:color w:val="auto"/>
              </w:rPr>
            </w:pPr>
          </w:p>
        </w:tc>
      </w:tr>
      <w:tr>
        <w:trPr>
          <w:trHeight w:val="317"/>
        </w:trPr>
        <w:tc>
          <w:tcPr>
            <w:tcW w:w="1740" w:type="dxa"/>
            <w:vAlign w:val="bottom"/>
            <w:tcBorders>
              <w:top w:val="single" w:sz="8" w:color="0000EE"/>
            </w:tcBorders>
          </w:tcPr>
          <w:p>
            <w:pPr>
              <w:spacing w:after="0"/>
              <w:rPr>
                <w:sz w:val="24"/>
                <w:szCs w:val="24"/>
                <w:color w:val="auto"/>
              </w:rPr>
            </w:pPr>
          </w:p>
        </w:tc>
        <w:tc>
          <w:tcPr>
            <w:tcW w:w="60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960" w:type="dxa"/>
            <w:vAlign w:val="bottom"/>
            <w:gridSpan w:val="2"/>
          </w:tcPr>
          <w:p>
            <w:pPr>
              <w:ind w:left="1520"/>
              <w:spacing w:after="0"/>
              <w:rPr>
                <w:sz w:val="20"/>
                <w:szCs w:val="20"/>
                <w:color w:val="auto"/>
              </w:rPr>
            </w:pPr>
            <w:r>
              <w:rPr>
                <w:rFonts w:ascii="Arial" w:cs="Arial" w:eastAsia="Arial" w:hAnsi="Arial"/>
                <w:sz w:val="15"/>
                <w:szCs w:val="15"/>
                <w:color w:val="auto"/>
              </w:rPr>
              <w:t>F-1</w:t>
            </w: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320"/>
          </w:cols>
          <w:pgMar w:left="240" w:top="407" w:right="1339" w:bottom="1440" w:gutter="0" w:footer="0" w:header="0"/>
        </w:sectPr>
      </w:pPr>
    </w:p>
    <w:bookmarkStart w:id="204" w:name="page205"/>
    <w:bookmarkEnd w:id="204"/>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133350</wp:posOffset>
            </wp:positionH>
            <wp:positionV relativeFrom="page">
              <wp:posOffset>88900</wp:posOffset>
            </wp:positionV>
            <wp:extent cx="7308850" cy="3429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308850" cy="34290"/>
                    </a:xfrm>
                    <a:prstGeom prst="rect">
                      <a:avLst/>
                    </a:prstGeom>
                    <a:noFill/>
                  </pic:spPr>
                </pic:pic>
              </a:graphicData>
            </a:graphic>
          </wp:anchor>
        </w:drawing>
      </w:r>
      <w:hyperlink w:anchor="page7">
        <w:r>
          <w:rPr>
            <w:rFonts w:ascii="Arial" w:cs="Arial" w:eastAsia="Arial" w:hAnsi="Arial"/>
            <w:sz w:val="15"/>
            <w:szCs w:val="15"/>
            <w:b w:val="1"/>
            <w:bCs w:val="1"/>
            <w:u w:val="single" w:color="auto"/>
            <w:color w:val="0000EE"/>
          </w:rPr>
          <w:t>Table of Contents</w:t>
        </w:r>
      </w:hyperlink>
    </w:p>
    <w:p>
      <w:pPr>
        <w:spacing w:after="0" w:line="256" w:lineRule="exact"/>
        <w:rPr>
          <w:sz w:val="20"/>
          <w:szCs w:val="20"/>
          <w:color w:val="auto"/>
        </w:rPr>
      </w:pPr>
    </w:p>
    <w:p>
      <w:pPr>
        <w:ind w:left="2320"/>
        <w:spacing w:after="0"/>
        <w:rPr>
          <w:sz w:val="20"/>
          <w:szCs w:val="20"/>
          <w:color w:val="auto"/>
        </w:rPr>
      </w:pPr>
      <w:r>
        <w:rPr>
          <w:rFonts w:ascii="Arial" w:cs="Arial" w:eastAsia="Arial" w:hAnsi="Arial"/>
          <w:sz w:val="15"/>
          <w:szCs w:val="15"/>
          <w:b w:val="1"/>
          <w:bCs w:val="1"/>
          <w:color w:val="auto"/>
        </w:rPr>
        <w:t>REPORT OF ERNST &amp; YOUNG LLP, INDEPENDENT REGISTERED PUBLIC ACCOUNTING FIRM</w:t>
      </w:r>
    </w:p>
    <w:p>
      <w:pPr>
        <w:spacing w:after="0" w:line="192" w:lineRule="exact"/>
        <w:rPr>
          <w:sz w:val="20"/>
          <w:szCs w:val="20"/>
          <w:color w:val="auto"/>
        </w:rPr>
      </w:pPr>
    </w:p>
    <w:p>
      <w:pPr>
        <w:ind w:left="1120"/>
        <w:spacing w:after="0"/>
        <w:rPr>
          <w:sz w:val="20"/>
          <w:szCs w:val="20"/>
          <w:color w:val="auto"/>
        </w:rPr>
      </w:pPr>
      <w:r>
        <w:rPr>
          <w:rFonts w:ascii="Arial" w:cs="Arial" w:eastAsia="Arial" w:hAnsi="Arial"/>
          <w:sz w:val="15"/>
          <w:szCs w:val="15"/>
          <w:color w:val="auto"/>
        </w:rPr>
        <w:t>To the Stockholders and the Board of Directors of Dropbox, Inc.</w:t>
      </w:r>
    </w:p>
    <w:p>
      <w:pPr>
        <w:spacing w:after="0" w:line="184" w:lineRule="exact"/>
        <w:rPr>
          <w:sz w:val="20"/>
          <w:szCs w:val="20"/>
          <w:color w:val="auto"/>
        </w:rPr>
      </w:pPr>
    </w:p>
    <w:p>
      <w:pPr>
        <w:ind w:left="1120"/>
        <w:spacing w:after="0"/>
        <w:rPr>
          <w:sz w:val="20"/>
          <w:szCs w:val="20"/>
          <w:color w:val="auto"/>
        </w:rPr>
      </w:pPr>
      <w:r>
        <w:rPr>
          <w:rFonts w:ascii="Arial" w:cs="Arial" w:eastAsia="Arial" w:hAnsi="Arial"/>
          <w:sz w:val="15"/>
          <w:szCs w:val="15"/>
          <w:b w:val="1"/>
          <w:bCs w:val="1"/>
          <w:color w:val="auto"/>
        </w:rPr>
        <w:t>Opinion on the Financial Statements</w:t>
      </w:r>
    </w:p>
    <w:p>
      <w:pPr>
        <w:spacing w:after="0" w:line="102" w:lineRule="exact"/>
        <w:rPr>
          <w:sz w:val="20"/>
          <w:szCs w:val="20"/>
          <w:color w:val="auto"/>
        </w:rPr>
      </w:pPr>
    </w:p>
    <w:p>
      <w:pPr>
        <w:ind w:left="1120" w:firstLine="368"/>
        <w:spacing w:after="0" w:line="305" w:lineRule="auto"/>
        <w:rPr>
          <w:sz w:val="20"/>
          <w:szCs w:val="20"/>
          <w:color w:val="auto"/>
        </w:rPr>
      </w:pPr>
      <w:r>
        <w:rPr>
          <w:rFonts w:ascii="Arial" w:cs="Arial" w:eastAsia="Arial" w:hAnsi="Arial"/>
          <w:sz w:val="13"/>
          <w:szCs w:val="13"/>
          <w:color w:val="auto"/>
        </w:rPr>
        <w:t>We have audited the accompanying consolidated balance sheets of Dropbox, Inc. (the Company) as of December 31, 2016 and 2017, the related consolidated statements of operations, comprehensive loss, stockholders’ equity and cash flows for each of the three years in the period ended December 31, 2017, and the related notes (collectively referred to as the “financial statements”). In our opinion, the financial statements present fairly, in all material respects, the consolidated financial position of the Company at December 31, 2016 and 2017, and the consolidated results of its operations and its cash flows for each of the three years in the period ended December 31, 2017, in conformity with U.S. generally accepted accounting principles.</w:t>
      </w:r>
    </w:p>
    <w:p>
      <w:pPr>
        <w:spacing w:after="0" w:line="219" w:lineRule="exact"/>
        <w:rPr>
          <w:sz w:val="20"/>
          <w:szCs w:val="20"/>
          <w:color w:val="auto"/>
        </w:rPr>
      </w:pPr>
    </w:p>
    <w:p>
      <w:pPr>
        <w:ind w:left="1120"/>
        <w:spacing w:after="0"/>
        <w:rPr>
          <w:sz w:val="20"/>
          <w:szCs w:val="20"/>
          <w:color w:val="auto"/>
        </w:rPr>
      </w:pPr>
      <w:r>
        <w:rPr>
          <w:rFonts w:ascii="Arial" w:cs="Arial" w:eastAsia="Arial" w:hAnsi="Arial"/>
          <w:sz w:val="15"/>
          <w:szCs w:val="15"/>
          <w:b w:val="1"/>
          <w:bCs w:val="1"/>
          <w:color w:val="auto"/>
        </w:rPr>
        <w:t>Basis for Opinion</w:t>
      </w:r>
    </w:p>
    <w:p>
      <w:pPr>
        <w:spacing w:after="0" w:line="102" w:lineRule="exact"/>
        <w:rPr>
          <w:sz w:val="20"/>
          <w:szCs w:val="20"/>
          <w:color w:val="auto"/>
        </w:rPr>
      </w:pPr>
    </w:p>
    <w:p>
      <w:pPr>
        <w:ind w:left="1120" w:right="20" w:firstLine="368"/>
        <w:spacing w:after="0" w:line="259" w:lineRule="auto"/>
        <w:rPr>
          <w:sz w:val="20"/>
          <w:szCs w:val="20"/>
          <w:color w:val="auto"/>
        </w:rPr>
      </w:pPr>
      <w:r>
        <w:rPr>
          <w:rFonts w:ascii="Arial" w:cs="Arial" w:eastAsia="Arial" w:hAnsi="Arial"/>
          <w:sz w:val="15"/>
          <w:szCs w:val="15"/>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58" w:lineRule="exact"/>
        <w:rPr>
          <w:sz w:val="20"/>
          <w:szCs w:val="20"/>
          <w:color w:val="auto"/>
        </w:rPr>
      </w:pPr>
    </w:p>
    <w:p>
      <w:pPr>
        <w:ind w:left="1120" w:right="20" w:firstLine="368"/>
        <w:spacing w:after="0" w:line="279" w:lineRule="auto"/>
        <w:rPr>
          <w:sz w:val="20"/>
          <w:szCs w:val="20"/>
          <w:color w:val="auto"/>
        </w:rPr>
      </w:pPr>
      <w:r>
        <w:rPr>
          <w:rFonts w:ascii="Arial" w:cs="Arial" w:eastAsia="Arial" w:hAnsi="Arial"/>
          <w:sz w:val="14"/>
          <w:szCs w:val="14"/>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47" w:lineRule="exact"/>
        <w:rPr>
          <w:sz w:val="20"/>
          <w:szCs w:val="20"/>
          <w:color w:val="auto"/>
        </w:rPr>
      </w:pPr>
    </w:p>
    <w:p>
      <w:pPr>
        <w:ind w:left="1120" w:right="120" w:firstLine="368"/>
        <w:spacing w:after="0" w:line="257" w:lineRule="auto"/>
        <w:rPr>
          <w:sz w:val="20"/>
          <w:szCs w:val="20"/>
          <w:color w:val="auto"/>
        </w:rPr>
      </w:pPr>
      <w:r>
        <w:rPr>
          <w:rFonts w:ascii="Arial" w:cs="Arial" w:eastAsia="Arial" w:hAnsi="Arial"/>
          <w:sz w:val="15"/>
          <w:szCs w:val="15"/>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82" w:lineRule="exact"/>
        <w:rPr>
          <w:sz w:val="20"/>
          <w:szCs w:val="20"/>
          <w:color w:val="auto"/>
        </w:rPr>
      </w:pPr>
    </w:p>
    <w:p>
      <w:pPr>
        <w:ind w:left="8460"/>
        <w:spacing w:after="0"/>
        <w:rPr>
          <w:sz w:val="20"/>
          <w:szCs w:val="20"/>
          <w:color w:val="auto"/>
        </w:rPr>
      </w:pPr>
      <w:r>
        <w:rPr>
          <w:rFonts w:ascii="Arial" w:cs="Arial" w:eastAsia="Arial" w:hAnsi="Arial"/>
          <w:sz w:val="15"/>
          <w:szCs w:val="15"/>
          <w:color w:val="auto"/>
        </w:rPr>
        <w:t>/s/ Ernst &amp; Young LLP</w:t>
      </w:r>
    </w:p>
    <w:p>
      <w:pPr>
        <w:spacing w:after="0" w:line="188" w:lineRule="exact"/>
        <w:rPr>
          <w:sz w:val="20"/>
          <w:szCs w:val="20"/>
          <w:color w:val="auto"/>
        </w:rPr>
      </w:pPr>
    </w:p>
    <w:p>
      <w:pPr>
        <w:ind w:left="1120"/>
        <w:spacing w:after="0"/>
        <w:rPr>
          <w:sz w:val="20"/>
          <w:szCs w:val="20"/>
          <w:color w:val="auto"/>
        </w:rPr>
      </w:pPr>
      <w:r>
        <w:rPr>
          <w:rFonts w:ascii="Arial" w:cs="Arial" w:eastAsia="Arial" w:hAnsi="Arial"/>
          <w:sz w:val="15"/>
          <w:szCs w:val="15"/>
          <w:color w:val="auto"/>
        </w:rPr>
        <w:t>We have served as the Company’s auditor since 2013.</w:t>
      </w:r>
    </w:p>
    <w:p>
      <w:pPr>
        <w:spacing w:after="0" w:line="188" w:lineRule="exact"/>
        <w:rPr>
          <w:sz w:val="20"/>
          <w:szCs w:val="20"/>
          <w:color w:val="auto"/>
        </w:rPr>
      </w:pPr>
    </w:p>
    <w:p>
      <w:pPr>
        <w:ind w:left="1120"/>
        <w:spacing w:after="0"/>
        <w:rPr>
          <w:sz w:val="20"/>
          <w:szCs w:val="20"/>
          <w:color w:val="auto"/>
        </w:rPr>
      </w:pPr>
      <w:r>
        <w:rPr>
          <w:rFonts w:ascii="Arial" w:cs="Arial" w:eastAsia="Arial" w:hAnsi="Arial"/>
          <w:sz w:val="15"/>
          <w:szCs w:val="15"/>
          <w:color w:val="auto"/>
        </w:rPr>
        <w:t>San Francisco, California</w:t>
      </w:r>
    </w:p>
    <w:p>
      <w:pPr>
        <w:spacing w:after="0" w:line="17" w:lineRule="exact"/>
        <w:rPr>
          <w:sz w:val="20"/>
          <w:szCs w:val="20"/>
          <w:color w:val="auto"/>
        </w:rPr>
      </w:pPr>
    </w:p>
    <w:p>
      <w:pPr>
        <w:ind w:left="1120"/>
        <w:spacing w:after="0"/>
        <w:rPr>
          <w:sz w:val="20"/>
          <w:szCs w:val="20"/>
          <w:color w:val="auto"/>
        </w:rPr>
      </w:pPr>
      <w:r>
        <w:rPr>
          <w:rFonts w:ascii="Arial" w:cs="Arial" w:eastAsia="Arial" w:hAnsi="Arial"/>
          <w:sz w:val="15"/>
          <w:szCs w:val="15"/>
          <w:color w:val="auto"/>
        </w:rPr>
        <w:t>February 23, 2018, (except as to the eleventh paragraph of Note 1, as to which the date is March 7, 2018)</w:t>
      </w:r>
    </w:p>
    <w:p>
      <w:pPr>
        <w:spacing w:after="0" w:line="123" w:lineRule="exact"/>
        <w:rPr>
          <w:sz w:val="20"/>
          <w:szCs w:val="20"/>
          <w:color w:val="auto"/>
        </w:rPr>
      </w:pPr>
    </w:p>
    <w:p>
      <w:pPr>
        <w:ind w:left="5600"/>
        <w:spacing w:after="0"/>
        <w:rPr>
          <w:sz w:val="20"/>
          <w:szCs w:val="20"/>
          <w:color w:val="auto"/>
        </w:rPr>
      </w:pPr>
      <w:r>
        <w:rPr>
          <w:rFonts w:ascii="Arial" w:cs="Arial" w:eastAsia="Arial" w:hAnsi="Arial"/>
          <w:sz w:val="15"/>
          <w:szCs w:val="15"/>
          <w:color w:val="auto"/>
        </w:rPr>
        <w:t>F-2</w:t>
      </w:r>
    </w:p>
    <w:p>
      <w:pPr>
        <w:sectPr>
          <w:pgSz w:w="11900" w:h="16838" w:orient="portrait"/>
          <w:cols w:equalWidth="0" w:num="1">
            <w:col w:w="10300"/>
          </w:cols>
          <w:pgMar w:left="240" w:top="408" w:right="1359" w:bottom="1440" w:gutter="0" w:footer="0" w:header="0"/>
        </w:sectPr>
      </w:pPr>
    </w:p>
    <w:bookmarkStart w:id="205" w:name="page206"/>
    <w:bookmarkEnd w:id="205"/>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133350</wp:posOffset>
            </wp:positionH>
            <wp:positionV relativeFrom="page">
              <wp:posOffset>88900</wp:posOffset>
            </wp:positionV>
            <wp:extent cx="7308850" cy="3429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308850" cy="34290"/>
                    </a:xfrm>
                    <a:prstGeom prst="rect">
                      <a:avLst/>
                    </a:prstGeom>
                    <a:noFill/>
                  </pic:spPr>
                </pic:pic>
              </a:graphicData>
            </a:graphic>
          </wp:anchor>
        </w:drawing>
      </w:r>
      <w:hyperlink w:anchor="page7">
        <w:r>
          <w:rPr>
            <w:rFonts w:ascii="Arial" w:cs="Arial" w:eastAsia="Arial" w:hAnsi="Arial"/>
            <w:sz w:val="15"/>
            <w:szCs w:val="15"/>
            <w:b w:val="1"/>
            <w:bCs w:val="1"/>
            <w:u w:val="single" w:color="auto"/>
            <w:color w:val="0000EE"/>
          </w:rPr>
          <w:t>Table of Contents</w:t>
        </w:r>
      </w:hyperlink>
    </w:p>
    <w:p>
      <w:pPr>
        <w:spacing w:after="0" w:line="256" w:lineRule="exact"/>
        <w:rPr>
          <w:sz w:val="20"/>
          <w:szCs w:val="20"/>
          <w:color w:val="auto"/>
        </w:rPr>
      </w:pPr>
    </w:p>
    <w:p>
      <w:pPr>
        <w:jc w:val="center"/>
        <w:ind w:right="-1099"/>
        <w:spacing w:after="0"/>
        <w:rPr>
          <w:sz w:val="20"/>
          <w:szCs w:val="20"/>
          <w:color w:val="auto"/>
        </w:rPr>
      </w:pPr>
      <w:r>
        <w:rPr>
          <w:rFonts w:ascii="Arial" w:cs="Arial" w:eastAsia="Arial" w:hAnsi="Arial"/>
          <w:sz w:val="15"/>
          <w:szCs w:val="15"/>
          <w:b w:val="1"/>
          <w:bCs w:val="1"/>
          <w:color w:val="auto"/>
        </w:rPr>
        <w:t>DROPBOX, INC.</w:t>
      </w:r>
    </w:p>
    <w:p>
      <w:pPr>
        <w:spacing w:after="0" w:line="21" w:lineRule="exact"/>
        <w:rPr>
          <w:sz w:val="20"/>
          <w:szCs w:val="20"/>
          <w:color w:val="auto"/>
        </w:rPr>
      </w:pPr>
    </w:p>
    <w:p>
      <w:pPr>
        <w:jc w:val="center"/>
        <w:ind w:right="-1099"/>
        <w:spacing w:after="0"/>
        <w:rPr>
          <w:sz w:val="20"/>
          <w:szCs w:val="20"/>
          <w:color w:val="auto"/>
        </w:rPr>
      </w:pPr>
      <w:r>
        <w:rPr>
          <w:rFonts w:ascii="Arial" w:cs="Arial" w:eastAsia="Arial" w:hAnsi="Arial"/>
          <w:sz w:val="15"/>
          <w:szCs w:val="15"/>
          <w:b w:val="1"/>
          <w:bCs w:val="1"/>
          <w:color w:val="auto"/>
        </w:rPr>
        <w:t>CONSOLIDATED BALANCE SHEETS</w:t>
      </w:r>
    </w:p>
    <w:p>
      <w:pPr>
        <w:spacing w:after="0" w:line="8" w:lineRule="exact"/>
        <w:rPr>
          <w:sz w:val="20"/>
          <w:szCs w:val="20"/>
          <w:color w:val="auto"/>
        </w:rPr>
      </w:pPr>
    </w:p>
    <w:p>
      <w:pPr>
        <w:jc w:val="center"/>
        <w:ind w:right="-1099"/>
        <w:spacing w:after="0"/>
        <w:rPr>
          <w:sz w:val="20"/>
          <w:szCs w:val="20"/>
          <w:color w:val="auto"/>
        </w:rPr>
      </w:pPr>
      <w:r>
        <w:rPr>
          <w:rFonts w:ascii="Arial" w:cs="Arial" w:eastAsia="Arial" w:hAnsi="Arial"/>
          <w:sz w:val="15"/>
          <w:szCs w:val="15"/>
          <w:i w:val="1"/>
          <w:iCs w:val="1"/>
          <w:color w:val="auto"/>
        </w:rPr>
        <w:t>(In millions, except for par value)</w:t>
      </w:r>
    </w:p>
    <w:p>
      <w:pPr>
        <w:spacing w:after="0" w:line="179" w:lineRule="exact"/>
        <w:rPr>
          <w:sz w:val="20"/>
          <w:szCs w:val="20"/>
          <w:color w:val="auto"/>
        </w:rPr>
      </w:pPr>
    </w:p>
    <w:tbl>
      <w:tblPr>
        <w:tblLayout w:type="fixed"/>
        <w:tblInd w:w="1120" w:type="dxa"/>
        <w:tblCellMar>
          <w:top w:w="0" w:type="dxa"/>
          <w:left w:w="0" w:type="dxa"/>
          <w:bottom w:w="0" w:type="dxa"/>
          <w:right w:w="0" w:type="dxa"/>
        </w:tblCellMar>
      </w:tblPr>
      <w:tr>
        <w:trPr>
          <w:trHeight w:val="138"/>
        </w:trPr>
        <w:tc>
          <w:tcPr>
            <w:tcW w:w="20" w:type="dxa"/>
            <w:vAlign w:val="bottom"/>
          </w:tcPr>
          <w:p>
            <w:pPr>
              <w:spacing w:after="0"/>
              <w:rPr>
                <w:sz w:val="12"/>
                <w:szCs w:val="12"/>
                <w:color w:val="auto"/>
              </w:rPr>
            </w:pPr>
          </w:p>
        </w:tc>
        <w:tc>
          <w:tcPr>
            <w:tcW w:w="6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tcPr>
          <w:p>
            <w:pPr>
              <w:jc w:val="center"/>
              <w:ind w:right="160"/>
              <w:spacing w:after="0"/>
              <w:rPr>
                <w:sz w:val="20"/>
                <w:szCs w:val="20"/>
                <w:color w:val="auto"/>
              </w:rPr>
            </w:pPr>
            <w:r>
              <w:rPr>
                <w:rFonts w:ascii="Arial" w:cs="Arial" w:eastAsia="Arial" w:hAnsi="Arial"/>
                <w:sz w:val="12"/>
                <w:szCs w:val="12"/>
                <w:b w:val="1"/>
                <w:bCs w:val="1"/>
                <w:color w:val="auto"/>
                <w:w w:val="91"/>
              </w:rPr>
              <w:t>Pro forma</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6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40" w:type="dxa"/>
            <w:vAlign w:val="bottom"/>
            <w:gridSpan w:val="3"/>
          </w:tcPr>
          <w:p>
            <w:pPr>
              <w:jc w:val="center"/>
              <w:ind w:right="80"/>
              <w:spacing w:after="0" w:line="124" w:lineRule="exact"/>
              <w:rPr>
                <w:sz w:val="20"/>
                <w:szCs w:val="20"/>
                <w:color w:val="auto"/>
              </w:rPr>
            </w:pPr>
            <w:r>
              <w:rPr>
                <w:rFonts w:ascii="Arial" w:cs="Arial" w:eastAsia="Arial" w:hAnsi="Arial"/>
                <w:sz w:val="12"/>
                <w:szCs w:val="12"/>
                <w:b w:val="1"/>
                <w:bCs w:val="1"/>
                <w:color w:val="auto"/>
                <w:w w:val="87"/>
              </w:rPr>
              <w:t>stockholders’</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6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20" w:type="dxa"/>
            <w:vAlign w:val="bottom"/>
            <w:gridSpan w:val="4"/>
          </w:tcPr>
          <w:p>
            <w:pPr>
              <w:jc w:val="center"/>
              <w:ind w:left="36"/>
              <w:spacing w:after="0" w:line="124" w:lineRule="exact"/>
              <w:rPr>
                <w:sz w:val="20"/>
                <w:szCs w:val="20"/>
                <w:color w:val="auto"/>
              </w:rPr>
            </w:pPr>
            <w:r>
              <w:rPr>
                <w:rFonts w:ascii="Arial" w:cs="Arial" w:eastAsia="Arial" w:hAnsi="Arial"/>
                <w:sz w:val="12"/>
                <w:szCs w:val="12"/>
                <w:b w:val="1"/>
                <w:bCs w:val="1"/>
                <w:color w:val="auto"/>
                <w:w w:val="92"/>
              </w:rPr>
              <w:t>equity (deficit)</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6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580" w:type="dxa"/>
            <w:vAlign w:val="bottom"/>
            <w:gridSpan w:val="5"/>
            <w:vMerge w:val="restart"/>
          </w:tcPr>
          <w:p>
            <w:pPr>
              <w:jc w:val="right"/>
              <w:ind w:right="460"/>
              <w:spacing w:after="0"/>
              <w:rPr>
                <w:sz w:val="20"/>
                <w:szCs w:val="20"/>
                <w:color w:val="auto"/>
              </w:rPr>
            </w:pPr>
            <w:r>
              <w:rPr>
                <w:rFonts w:ascii="Arial" w:cs="Arial" w:eastAsia="Arial" w:hAnsi="Arial"/>
                <w:sz w:val="12"/>
                <w:szCs w:val="12"/>
                <w:b w:val="1"/>
                <w:bCs w:val="1"/>
                <w:color w:val="auto"/>
                <w:w w:val="98"/>
              </w:rPr>
              <w:t>As of December 31,</w:t>
            </w: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gridSpan w:val="2"/>
          </w:tcPr>
          <w:p>
            <w:pPr>
              <w:jc w:val="center"/>
              <w:ind w:right="160"/>
              <w:spacing w:after="0" w:line="124" w:lineRule="exact"/>
              <w:rPr>
                <w:sz w:val="20"/>
                <w:szCs w:val="20"/>
                <w:color w:val="auto"/>
              </w:rPr>
            </w:pPr>
            <w:r>
              <w:rPr>
                <w:rFonts w:ascii="Arial" w:cs="Arial" w:eastAsia="Arial" w:hAnsi="Arial"/>
                <w:sz w:val="12"/>
                <w:szCs w:val="12"/>
                <w:b w:val="1"/>
                <w:bCs w:val="1"/>
                <w:color w:val="auto"/>
                <w:w w:val="85"/>
              </w:rPr>
              <w:t>as of</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6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80" w:type="dxa"/>
            <w:vAlign w:val="bottom"/>
            <w:gridSpan w:val="5"/>
            <w:vMerge w:val="continue"/>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gridSpan w:val="3"/>
          </w:tcPr>
          <w:p>
            <w:pPr>
              <w:jc w:val="center"/>
              <w:ind w:right="100"/>
              <w:spacing w:after="0"/>
              <w:rPr>
                <w:sz w:val="20"/>
                <w:szCs w:val="20"/>
                <w:color w:val="auto"/>
              </w:rPr>
            </w:pPr>
            <w:r>
              <w:rPr>
                <w:rFonts w:ascii="Arial" w:cs="Arial" w:eastAsia="Arial" w:hAnsi="Arial"/>
                <w:sz w:val="12"/>
                <w:szCs w:val="12"/>
                <w:b w:val="1"/>
                <w:bCs w:val="1"/>
                <w:color w:val="auto"/>
                <w:w w:val="89"/>
              </w:rPr>
              <w:t>December 31,</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6500" w:type="dxa"/>
            <w:vAlign w:val="bottom"/>
          </w:tcPr>
          <w:p>
            <w:pPr>
              <w:spacing w:after="0"/>
              <w:rPr>
                <w:sz w:val="10"/>
                <w:szCs w:val="10"/>
                <w:color w:val="auto"/>
              </w:rPr>
            </w:pPr>
          </w:p>
        </w:tc>
        <w:tc>
          <w:tcPr>
            <w:tcW w:w="80" w:type="dxa"/>
            <w:vAlign w:val="bottom"/>
            <w:tcBorders>
              <w:top w:val="single" w:sz="8" w:color="auto"/>
              <w:bottom w:val="single" w:sz="8" w:color="auto"/>
            </w:tcBorders>
          </w:tcPr>
          <w:p>
            <w:pPr>
              <w:spacing w:after="0"/>
              <w:rPr>
                <w:sz w:val="10"/>
                <w:szCs w:val="10"/>
                <w:color w:val="auto"/>
              </w:rPr>
            </w:pPr>
          </w:p>
        </w:tc>
        <w:tc>
          <w:tcPr>
            <w:tcW w:w="420" w:type="dxa"/>
            <w:vAlign w:val="bottom"/>
            <w:tcBorders>
              <w:top w:val="single" w:sz="8" w:color="auto"/>
              <w:bottom w:val="single" w:sz="8" w:color="auto"/>
            </w:tcBorders>
          </w:tcPr>
          <w:p>
            <w:pPr>
              <w:jc w:val="right"/>
              <w:ind w:right="73"/>
              <w:spacing w:after="0" w:line="115" w:lineRule="exact"/>
              <w:rPr>
                <w:sz w:val="20"/>
                <w:szCs w:val="20"/>
                <w:color w:val="auto"/>
              </w:rPr>
            </w:pPr>
            <w:r>
              <w:rPr>
                <w:rFonts w:ascii="Arial" w:cs="Arial" w:eastAsia="Arial" w:hAnsi="Arial"/>
                <w:sz w:val="12"/>
                <w:szCs w:val="12"/>
                <w:b w:val="1"/>
                <w:bCs w:val="1"/>
                <w:color w:val="auto"/>
                <w:w w:val="97"/>
              </w:rPr>
              <w:t>2016</w:t>
            </w:r>
          </w:p>
        </w:tc>
        <w:tc>
          <w:tcPr>
            <w:tcW w:w="220" w:type="dxa"/>
            <w:vAlign w:val="bottom"/>
            <w:tcBorders>
              <w:top w:val="single" w:sz="8" w:color="auto"/>
            </w:tcBorders>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440" w:type="dxa"/>
            <w:vAlign w:val="bottom"/>
            <w:tcBorders>
              <w:top w:val="single" w:sz="8" w:color="auto"/>
              <w:bottom w:val="single" w:sz="8" w:color="auto"/>
            </w:tcBorders>
          </w:tcPr>
          <w:p>
            <w:pPr>
              <w:jc w:val="right"/>
              <w:ind w:right="73"/>
              <w:spacing w:after="0" w:line="115" w:lineRule="exact"/>
              <w:rPr>
                <w:sz w:val="20"/>
                <w:szCs w:val="20"/>
                <w:color w:val="auto"/>
              </w:rPr>
            </w:pPr>
            <w:r>
              <w:rPr>
                <w:rFonts w:ascii="Arial" w:cs="Arial" w:eastAsia="Arial" w:hAnsi="Arial"/>
                <w:sz w:val="12"/>
                <w:szCs w:val="12"/>
                <w:b w:val="1"/>
                <w:bCs w:val="1"/>
                <w:color w:val="auto"/>
              </w:rPr>
              <w:t>2017</w:t>
            </w:r>
          </w:p>
        </w:tc>
        <w:tc>
          <w:tcPr>
            <w:tcW w:w="2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 w:type="dxa"/>
            <w:vAlign w:val="bottom"/>
            <w:tcBorders>
              <w:top w:val="single" w:sz="8" w:color="auto"/>
              <w:bottom w:val="single" w:sz="8" w:color="auto"/>
            </w:tcBorders>
          </w:tcPr>
          <w:p>
            <w:pPr>
              <w:spacing w:after="0"/>
              <w:rPr>
                <w:sz w:val="10"/>
                <w:szCs w:val="10"/>
                <w:color w:val="auto"/>
              </w:rPr>
            </w:pPr>
          </w:p>
        </w:tc>
        <w:tc>
          <w:tcPr>
            <w:tcW w:w="680" w:type="dxa"/>
            <w:vAlign w:val="bottom"/>
            <w:tcBorders>
              <w:top w:val="single" w:sz="8" w:color="auto"/>
              <w:bottom w:val="single" w:sz="8" w:color="auto"/>
            </w:tcBorders>
          </w:tcPr>
          <w:p>
            <w:pPr>
              <w:jc w:val="center"/>
              <w:ind w:right="15"/>
              <w:spacing w:after="0" w:line="115" w:lineRule="exact"/>
              <w:rPr>
                <w:sz w:val="20"/>
                <w:szCs w:val="20"/>
                <w:color w:val="auto"/>
              </w:rPr>
            </w:pPr>
            <w:r>
              <w:rPr>
                <w:rFonts w:ascii="Arial" w:cs="Arial" w:eastAsia="Arial" w:hAnsi="Arial"/>
                <w:sz w:val="12"/>
                <w:szCs w:val="12"/>
                <w:b w:val="1"/>
                <w:bCs w:val="1"/>
                <w:color w:val="auto"/>
                <w:w w:val="89"/>
              </w:rPr>
              <w:t>2017</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6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jc w:val="center"/>
              <w:ind w:right="15"/>
              <w:spacing w:after="0" w:line="115" w:lineRule="exact"/>
              <w:rPr>
                <w:sz w:val="20"/>
                <w:szCs w:val="20"/>
                <w:color w:val="auto"/>
              </w:rPr>
            </w:pPr>
            <w:r>
              <w:rPr>
                <w:rFonts w:ascii="Arial" w:cs="Arial" w:eastAsia="Arial" w:hAnsi="Arial"/>
                <w:sz w:val="12"/>
                <w:szCs w:val="12"/>
                <w:i w:val="1"/>
                <w:iCs w:val="1"/>
                <w:color w:val="auto"/>
                <w:w w:val="92"/>
              </w:rPr>
              <w:t>(unaudited)</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650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Assets</w:t>
            </w:r>
          </w:p>
        </w:tc>
        <w:tc>
          <w:tcPr>
            <w:tcW w:w="8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60" w:type="dxa"/>
            <w:vAlign w:val="bottom"/>
            <w:tcBorders>
              <w:right w:val="single" w:sz="8" w:color="CCEEFF"/>
            </w:tcBorders>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6500" w:type="dxa"/>
            <w:vAlign w:val="bottom"/>
          </w:tcPr>
          <w:p>
            <w:pPr>
              <w:spacing w:after="0"/>
              <w:rPr>
                <w:sz w:val="20"/>
                <w:szCs w:val="20"/>
                <w:color w:val="auto"/>
              </w:rPr>
            </w:pPr>
            <w:r>
              <w:rPr>
                <w:rFonts w:ascii="Arial" w:cs="Arial" w:eastAsia="Arial" w:hAnsi="Arial"/>
                <w:sz w:val="14"/>
                <w:szCs w:val="14"/>
                <w:color w:val="auto"/>
              </w:rPr>
              <w:t>Current assets:</w:t>
            </w: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6500" w:type="dxa"/>
            <w:vAlign w:val="bottom"/>
            <w:shd w:val="clear" w:color="auto" w:fill="CCEEFF"/>
          </w:tcPr>
          <w:p>
            <w:pPr>
              <w:ind w:left="240"/>
              <w:spacing w:after="0"/>
              <w:rPr>
                <w:sz w:val="20"/>
                <w:szCs w:val="20"/>
                <w:color w:val="auto"/>
              </w:rPr>
            </w:pPr>
            <w:r>
              <w:rPr>
                <w:rFonts w:ascii="Arial" w:cs="Arial" w:eastAsia="Arial" w:hAnsi="Arial"/>
                <w:sz w:val="14"/>
                <w:szCs w:val="14"/>
                <w:color w:val="auto"/>
              </w:rPr>
              <w:t>Cash and cash equivalents</w:t>
            </w: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352.7</w:t>
            </w:r>
          </w:p>
        </w:tc>
        <w:tc>
          <w:tcPr>
            <w:tcW w:w="220" w:type="dxa"/>
            <w:vAlign w:val="bottom"/>
            <w:shd w:val="clear" w:color="auto" w:fill="CCEEFF"/>
          </w:tcPr>
          <w:p>
            <w:pPr>
              <w:spacing w:after="0"/>
              <w:rPr>
                <w:sz w:val="14"/>
                <w:szCs w:val="14"/>
                <w:color w:val="auto"/>
              </w:rPr>
            </w:pPr>
          </w:p>
        </w:tc>
        <w:tc>
          <w:tcPr>
            <w:tcW w:w="2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430.0</w:t>
            </w:r>
          </w:p>
        </w:tc>
        <w:tc>
          <w:tcPr>
            <w:tcW w:w="2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6500" w:type="dxa"/>
            <w:vAlign w:val="bottom"/>
          </w:tcPr>
          <w:p>
            <w:pPr>
              <w:ind w:left="240"/>
              <w:spacing w:after="0"/>
              <w:rPr>
                <w:sz w:val="20"/>
                <w:szCs w:val="20"/>
                <w:color w:val="auto"/>
              </w:rPr>
            </w:pPr>
            <w:r>
              <w:rPr>
                <w:rFonts w:ascii="Arial" w:cs="Arial" w:eastAsia="Arial" w:hAnsi="Arial"/>
                <w:sz w:val="14"/>
                <w:szCs w:val="14"/>
                <w:color w:val="auto"/>
              </w:rPr>
              <w:t>Trade and other receivables, net</w:t>
            </w:r>
          </w:p>
        </w:tc>
        <w:tc>
          <w:tcPr>
            <w:tcW w:w="8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rPr>
              <w:t>13.2</w:t>
            </w: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rPr>
              <w:t>29.3</w:t>
            </w: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6500" w:type="dxa"/>
            <w:vAlign w:val="bottom"/>
            <w:shd w:val="clear" w:color="auto" w:fill="CCEEFF"/>
          </w:tcPr>
          <w:p>
            <w:pPr>
              <w:ind w:left="240"/>
              <w:spacing w:after="0"/>
              <w:rPr>
                <w:sz w:val="20"/>
                <w:szCs w:val="20"/>
                <w:color w:val="auto"/>
              </w:rPr>
            </w:pPr>
            <w:r>
              <w:rPr>
                <w:rFonts w:ascii="Arial" w:cs="Arial" w:eastAsia="Arial" w:hAnsi="Arial"/>
                <w:sz w:val="14"/>
                <w:szCs w:val="14"/>
                <w:color w:val="auto"/>
              </w:rPr>
              <w:t>Prepaid expenses and other current assets</w:t>
            </w:r>
          </w:p>
        </w:tc>
        <w:tc>
          <w:tcPr>
            <w:tcW w:w="80" w:type="dxa"/>
            <w:vAlign w:val="bottom"/>
            <w:tcBorders>
              <w:bottom w:val="single" w:sz="8" w:color="auto"/>
            </w:tcBorders>
            <w:shd w:val="clear" w:color="auto" w:fill="CCEEFF"/>
          </w:tcPr>
          <w:p>
            <w:pPr>
              <w:spacing w:after="0"/>
              <w:rPr>
                <w:sz w:val="14"/>
                <w:szCs w:val="14"/>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47.5</w:t>
            </w:r>
          </w:p>
        </w:tc>
        <w:tc>
          <w:tcPr>
            <w:tcW w:w="220" w:type="dxa"/>
            <w:vAlign w:val="bottom"/>
            <w:shd w:val="clear" w:color="auto" w:fill="CCEEFF"/>
          </w:tcPr>
          <w:p>
            <w:pPr>
              <w:spacing w:after="0"/>
              <w:rPr>
                <w:sz w:val="14"/>
                <w:szCs w:val="14"/>
                <w:color w:val="auto"/>
              </w:rPr>
            </w:pPr>
          </w:p>
        </w:tc>
        <w:tc>
          <w:tcPr>
            <w:tcW w:w="260" w:type="dxa"/>
            <w:vAlign w:val="bottom"/>
            <w:tcBorders>
              <w:right w:val="single" w:sz="8" w:color="CCEEFF"/>
            </w:tcBorders>
            <w:shd w:val="clear" w:color="auto" w:fill="CCEEFF"/>
          </w:tcPr>
          <w:p>
            <w:pPr>
              <w:spacing w:after="0"/>
              <w:rPr>
                <w:sz w:val="14"/>
                <w:szCs w:val="14"/>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58.8</w:t>
            </w:r>
          </w:p>
        </w:tc>
        <w:tc>
          <w:tcPr>
            <w:tcW w:w="2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6520" w:type="dxa"/>
            <w:vAlign w:val="bottom"/>
            <w:gridSpan w:val="2"/>
          </w:tcPr>
          <w:p>
            <w:pPr>
              <w:spacing w:after="0"/>
              <w:rPr>
                <w:sz w:val="20"/>
                <w:szCs w:val="20"/>
                <w:color w:val="auto"/>
              </w:rPr>
            </w:pPr>
            <w:r>
              <w:rPr>
                <w:rFonts w:ascii="Arial" w:cs="Arial" w:eastAsia="Arial" w:hAnsi="Arial"/>
                <w:sz w:val="14"/>
                <w:szCs w:val="14"/>
                <w:color w:val="auto"/>
              </w:rPr>
              <w:t>Total current assets</w:t>
            </w:r>
          </w:p>
        </w:tc>
        <w:tc>
          <w:tcPr>
            <w:tcW w:w="8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rPr>
              <w:t>413.4</w:t>
            </w: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rPr>
              <w:t>518.1</w:t>
            </w: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6500" w:type="dxa"/>
            <w:vAlign w:val="bottom"/>
            <w:shd w:val="clear" w:color="auto" w:fill="CCEEFF"/>
          </w:tcPr>
          <w:p>
            <w:pPr>
              <w:spacing w:after="0"/>
              <w:rPr>
                <w:sz w:val="20"/>
                <w:szCs w:val="20"/>
                <w:color w:val="auto"/>
              </w:rPr>
            </w:pPr>
            <w:r>
              <w:rPr>
                <w:rFonts w:ascii="Arial" w:cs="Arial" w:eastAsia="Arial" w:hAnsi="Arial"/>
                <w:sz w:val="14"/>
                <w:szCs w:val="14"/>
                <w:color w:val="auto"/>
              </w:rPr>
              <w:t>Property and equipment, net</w:t>
            </w:r>
          </w:p>
        </w:tc>
        <w:tc>
          <w:tcPr>
            <w:tcW w:w="80" w:type="dxa"/>
            <w:vAlign w:val="bottom"/>
            <w:shd w:val="clear" w:color="auto" w:fill="CCEEFF"/>
          </w:tcPr>
          <w:p>
            <w:pPr>
              <w:spacing w:after="0"/>
              <w:rPr>
                <w:sz w:val="15"/>
                <w:szCs w:val="15"/>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444.0</w:t>
            </w:r>
          </w:p>
        </w:tc>
        <w:tc>
          <w:tcPr>
            <w:tcW w:w="220" w:type="dxa"/>
            <w:vAlign w:val="bottom"/>
            <w:shd w:val="clear" w:color="auto" w:fill="CCEEFF"/>
          </w:tcPr>
          <w:p>
            <w:pPr>
              <w:spacing w:after="0"/>
              <w:rPr>
                <w:sz w:val="15"/>
                <w:szCs w:val="15"/>
                <w:color w:val="auto"/>
              </w:rPr>
            </w:pPr>
          </w:p>
        </w:tc>
        <w:tc>
          <w:tcPr>
            <w:tcW w:w="260" w:type="dxa"/>
            <w:vAlign w:val="bottom"/>
            <w:tcBorders>
              <w:right w:val="single" w:sz="8" w:color="CCEEFF"/>
            </w:tcBorders>
            <w:shd w:val="clear" w:color="auto" w:fill="CCEEFF"/>
          </w:tcPr>
          <w:p>
            <w:pPr>
              <w:spacing w:after="0"/>
              <w:rPr>
                <w:sz w:val="15"/>
                <w:szCs w:val="15"/>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341.9</w:t>
            </w:r>
          </w:p>
        </w:tc>
        <w:tc>
          <w:tcPr>
            <w:tcW w:w="2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6500" w:type="dxa"/>
            <w:vAlign w:val="bottom"/>
          </w:tcPr>
          <w:p>
            <w:pPr>
              <w:spacing w:after="0"/>
              <w:rPr>
                <w:sz w:val="20"/>
                <w:szCs w:val="20"/>
                <w:color w:val="auto"/>
              </w:rPr>
            </w:pPr>
            <w:r>
              <w:rPr>
                <w:rFonts w:ascii="Arial" w:cs="Arial" w:eastAsia="Arial" w:hAnsi="Arial"/>
                <w:sz w:val="14"/>
                <w:szCs w:val="14"/>
                <w:color w:val="auto"/>
              </w:rPr>
              <w:t>Intangible assets, net</w:t>
            </w:r>
          </w:p>
        </w:tc>
        <w:tc>
          <w:tcPr>
            <w:tcW w:w="8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rPr>
              <w:t>24.2</w:t>
            </w: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rPr>
              <w:t>17.0</w:t>
            </w: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6500" w:type="dxa"/>
            <w:vAlign w:val="bottom"/>
            <w:shd w:val="clear" w:color="auto" w:fill="CCEEFF"/>
          </w:tcPr>
          <w:p>
            <w:pPr>
              <w:spacing w:after="0"/>
              <w:rPr>
                <w:sz w:val="20"/>
                <w:szCs w:val="20"/>
                <w:color w:val="auto"/>
              </w:rPr>
            </w:pPr>
            <w:r>
              <w:rPr>
                <w:rFonts w:ascii="Arial" w:cs="Arial" w:eastAsia="Arial" w:hAnsi="Arial"/>
                <w:sz w:val="14"/>
                <w:szCs w:val="14"/>
                <w:color w:val="auto"/>
              </w:rPr>
              <w:t>Goodwill</w:t>
            </w:r>
          </w:p>
        </w:tc>
        <w:tc>
          <w:tcPr>
            <w:tcW w:w="80" w:type="dxa"/>
            <w:vAlign w:val="bottom"/>
            <w:shd w:val="clear" w:color="auto" w:fill="CCEEFF"/>
          </w:tcPr>
          <w:p>
            <w:pPr>
              <w:spacing w:after="0"/>
              <w:rPr>
                <w:sz w:val="14"/>
                <w:szCs w:val="14"/>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96.0</w:t>
            </w:r>
          </w:p>
        </w:tc>
        <w:tc>
          <w:tcPr>
            <w:tcW w:w="220" w:type="dxa"/>
            <w:vAlign w:val="bottom"/>
            <w:shd w:val="clear" w:color="auto" w:fill="CCEEFF"/>
          </w:tcPr>
          <w:p>
            <w:pPr>
              <w:spacing w:after="0"/>
              <w:rPr>
                <w:sz w:val="14"/>
                <w:szCs w:val="14"/>
                <w:color w:val="auto"/>
              </w:rPr>
            </w:pPr>
          </w:p>
        </w:tc>
        <w:tc>
          <w:tcPr>
            <w:tcW w:w="260" w:type="dxa"/>
            <w:vAlign w:val="bottom"/>
            <w:tcBorders>
              <w:right w:val="single" w:sz="8" w:color="CCEEFF"/>
            </w:tcBorders>
            <w:shd w:val="clear" w:color="auto" w:fill="CCEEFF"/>
          </w:tcPr>
          <w:p>
            <w:pPr>
              <w:spacing w:after="0"/>
              <w:rPr>
                <w:sz w:val="14"/>
                <w:szCs w:val="14"/>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98.9</w:t>
            </w:r>
          </w:p>
        </w:tc>
        <w:tc>
          <w:tcPr>
            <w:tcW w:w="2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6500" w:type="dxa"/>
            <w:vAlign w:val="bottom"/>
          </w:tcPr>
          <w:p>
            <w:pPr>
              <w:spacing w:after="0"/>
              <w:rPr>
                <w:sz w:val="20"/>
                <w:szCs w:val="20"/>
                <w:color w:val="auto"/>
              </w:rPr>
            </w:pPr>
            <w:r>
              <w:rPr>
                <w:rFonts w:ascii="Arial" w:cs="Arial" w:eastAsia="Arial" w:hAnsi="Arial"/>
                <w:sz w:val="14"/>
                <w:szCs w:val="14"/>
                <w:color w:val="auto"/>
              </w:rPr>
              <w:t>Other assets</w:t>
            </w:r>
          </w:p>
        </w:tc>
        <w:tc>
          <w:tcPr>
            <w:tcW w:w="8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26.6</w:t>
            </w: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44.0</w:t>
            </w: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6500" w:type="dxa"/>
            <w:vAlign w:val="bottom"/>
            <w:shd w:val="clear" w:color="auto" w:fill="CCEEFF"/>
          </w:tcPr>
          <w:p>
            <w:pPr>
              <w:spacing w:after="0"/>
              <w:rPr>
                <w:sz w:val="20"/>
                <w:szCs w:val="20"/>
                <w:color w:val="auto"/>
              </w:rPr>
            </w:pPr>
            <w:r>
              <w:rPr>
                <w:rFonts w:ascii="Arial" w:cs="Arial" w:eastAsia="Arial" w:hAnsi="Arial"/>
                <w:sz w:val="14"/>
                <w:szCs w:val="14"/>
                <w:color w:val="auto"/>
              </w:rPr>
              <w:t>Total assets</w:t>
            </w: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u w:val="single" w:color="auto"/>
                <w:color w:val="auto"/>
                <w:w w:val="76"/>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81"/>
              </w:rPr>
              <w:t>1,004.2</w:t>
            </w:r>
          </w:p>
        </w:tc>
        <w:tc>
          <w:tcPr>
            <w:tcW w:w="220" w:type="dxa"/>
            <w:vAlign w:val="bottom"/>
            <w:shd w:val="clear" w:color="auto" w:fill="CCEEFF"/>
          </w:tcPr>
          <w:p>
            <w:pPr>
              <w:spacing w:after="0"/>
              <w:rPr>
                <w:sz w:val="14"/>
                <w:szCs w:val="14"/>
                <w:color w:val="auto"/>
              </w:rPr>
            </w:pPr>
          </w:p>
        </w:tc>
        <w:tc>
          <w:tcPr>
            <w:tcW w:w="2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89"/>
              </w:rPr>
              <w:t>1,019.9</w:t>
            </w:r>
          </w:p>
        </w:tc>
        <w:tc>
          <w:tcPr>
            <w:tcW w:w="2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65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Liabilities and stockholders’ equity (deficit)</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652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6500" w:type="dxa"/>
            <w:vAlign w:val="bottom"/>
            <w:shd w:val="clear" w:color="auto" w:fill="CCEEFF"/>
          </w:tcPr>
          <w:p>
            <w:pPr>
              <w:spacing w:after="0"/>
              <w:rPr>
                <w:sz w:val="20"/>
                <w:szCs w:val="20"/>
                <w:color w:val="auto"/>
              </w:rPr>
            </w:pPr>
            <w:r>
              <w:rPr>
                <w:rFonts w:ascii="Arial" w:cs="Arial" w:eastAsia="Arial" w:hAnsi="Arial"/>
                <w:sz w:val="14"/>
                <w:szCs w:val="14"/>
                <w:color w:val="auto"/>
              </w:rPr>
              <w:t>Current liabilities:</w:t>
            </w:r>
          </w:p>
        </w:tc>
        <w:tc>
          <w:tcPr>
            <w:tcW w:w="8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60" w:type="dxa"/>
            <w:vAlign w:val="bottom"/>
            <w:tcBorders>
              <w:right w:val="single" w:sz="8" w:color="CCEEFF"/>
            </w:tcBorders>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6500" w:type="dxa"/>
            <w:vAlign w:val="bottom"/>
          </w:tcPr>
          <w:p>
            <w:pPr>
              <w:ind w:left="240"/>
              <w:spacing w:after="0"/>
              <w:rPr>
                <w:sz w:val="20"/>
                <w:szCs w:val="20"/>
                <w:color w:val="auto"/>
              </w:rPr>
            </w:pPr>
            <w:r>
              <w:rPr>
                <w:rFonts w:ascii="Arial" w:cs="Arial" w:eastAsia="Arial" w:hAnsi="Arial"/>
                <w:sz w:val="14"/>
                <w:szCs w:val="14"/>
                <w:color w:val="auto"/>
              </w:rPr>
              <w:t>Accounts payable</w:t>
            </w: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420" w:type="dxa"/>
            <w:vAlign w:val="bottom"/>
          </w:tcPr>
          <w:p>
            <w:pPr>
              <w:jc w:val="right"/>
              <w:spacing w:after="0"/>
              <w:rPr>
                <w:sz w:val="20"/>
                <w:szCs w:val="20"/>
                <w:color w:val="auto"/>
              </w:rPr>
            </w:pPr>
            <w:r>
              <w:rPr>
                <w:rFonts w:ascii="Arial" w:cs="Arial" w:eastAsia="Arial" w:hAnsi="Arial"/>
                <w:sz w:val="14"/>
                <w:szCs w:val="14"/>
                <w:color w:val="auto"/>
              </w:rPr>
              <w:t>15.5</w:t>
            </w:r>
          </w:p>
        </w:tc>
        <w:tc>
          <w:tcPr>
            <w:tcW w:w="220" w:type="dxa"/>
            <w:vAlign w:val="bottom"/>
          </w:tcPr>
          <w:p>
            <w:pPr>
              <w:spacing w:after="0"/>
              <w:rPr>
                <w:sz w:val="14"/>
                <w:szCs w:val="14"/>
                <w:color w:val="auto"/>
              </w:rPr>
            </w:pPr>
          </w:p>
        </w:tc>
        <w:tc>
          <w:tcPr>
            <w:tcW w:w="260" w:type="dxa"/>
            <w:vAlign w:val="bottom"/>
          </w:tcPr>
          <w:p>
            <w:pPr>
              <w:jc w:val="right"/>
              <w:spacing w:after="0"/>
              <w:rPr>
                <w:sz w:val="20"/>
                <w:szCs w:val="20"/>
                <w:color w:val="auto"/>
              </w:rPr>
            </w:pPr>
            <w:r>
              <w:rPr>
                <w:rFonts w:ascii="Arial" w:cs="Arial" w:eastAsia="Arial" w:hAnsi="Arial"/>
                <w:sz w:val="14"/>
                <w:szCs w:val="14"/>
                <w:color w:val="auto"/>
              </w:rPr>
              <w:t>$</w:t>
            </w:r>
          </w:p>
        </w:tc>
        <w:tc>
          <w:tcPr>
            <w:tcW w:w="440" w:type="dxa"/>
            <w:vAlign w:val="bottom"/>
          </w:tcPr>
          <w:p>
            <w:pPr>
              <w:jc w:val="right"/>
              <w:spacing w:after="0"/>
              <w:rPr>
                <w:sz w:val="20"/>
                <w:szCs w:val="20"/>
                <w:color w:val="auto"/>
              </w:rPr>
            </w:pPr>
            <w:r>
              <w:rPr>
                <w:rFonts w:ascii="Arial" w:cs="Arial" w:eastAsia="Arial" w:hAnsi="Arial"/>
                <w:sz w:val="14"/>
                <w:szCs w:val="14"/>
                <w:color w:val="auto"/>
              </w:rPr>
              <w:t>31.9</w:t>
            </w: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6500" w:type="dxa"/>
            <w:vAlign w:val="bottom"/>
            <w:shd w:val="clear" w:color="auto" w:fill="CCEEFF"/>
          </w:tcPr>
          <w:p>
            <w:pPr>
              <w:ind w:left="240"/>
              <w:spacing w:after="0"/>
              <w:rPr>
                <w:sz w:val="20"/>
                <w:szCs w:val="20"/>
                <w:color w:val="auto"/>
              </w:rPr>
            </w:pPr>
            <w:r>
              <w:rPr>
                <w:rFonts w:ascii="Arial" w:cs="Arial" w:eastAsia="Arial" w:hAnsi="Arial"/>
                <w:sz w:val="14"/>
                <w:szCs w:val="14"/>
                <w:color w:val="auto"/>
              </w:rPr>
              <w:t>Accrued and other current liabilities</w:t>
            </w:r>
          </w:p>
        </w:tc>
        <w:tc>
          <w:tcPr>
            <w:tcW w:w="80" w:type="dxa"/>
            <w:vAlign w:val="bottom"/>
            <w:shd w:val="clear" w:color="auto" w:fill="CCEEFF"/>
          </w:tcPr>
          <w:p>
            <w:pPr>
              <w:spacing w:after="0"/>
              <w:rPr>
                <w:sz w:val="14"/>
                <w:szCs w:val="14"/>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97.9</w:t>
            </w:r>
          </w:p>
        </w:tc>
        <w:tc>
          <w:tcPr>
            <w:tcW w:w="220" w:type="dxa"/>
            <w:vAlign w:val="bottom"/>
            <w:shd w:val="clear" w:color="auto" w:fill="CCEEFF"/>
          </w:tcPr>
          <w:p>
            <w:pPr>
              <w:spacing w:after="0"/>
              <w:rPr>
                <w:sz w:val="14"/>
                <w:szCs w:val="14"/>
                <w:color w:val="auto"/>
              </w:rPr>
            </w:pPr>
          </w:p>
        </w:tc>
        <w:tc>
          <w:tcPr>
            <w:tcW w:w="260" w:type="dxa"/>
            <w:vAlign w:val="bottom"/>
            <w:tcBorders>
              <w:right w:val="single" w:sz="8" w:color="CCEEFF"/>
            </w:tcBorders>
            <w:shd w:val="clear" w:color="auto" w:fill="CCEEFF"/>
          </w:tcPr>
          <w:p>
            <w:pPr>
              <w:spacing w:after="0"/>
              <w:rPr>
                <w:sz w:val="14"/>
                <w:szCs w:val="14"/>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129.8</w:t>
            </w:r>
          </w:p>
        </w:tc>
        <w:tc>
          <w:tcPr>
            <w:tcW w:w="2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6500" w:type="dxa"/>
            <w:vAlign w:val="bottom"/>
          </w:tcPr>
          <w:p>
            <w:pPr>
              <w:ind w:left="240"/>
              <w:spacing w:after="0"/>
              <w:rPr>
                <w:sz w:val="20"/>
                <w:szCs w:val="20"/>
                <w:color w:val="auto"/>
              </w:rPr>
            </w:pPr>
            <w:r>
              <w:rPr>
                <w:rFonts w:ascii="Arial" w:cs="Arial" w:eastAsia="Arial" w:hAnsi="Arial"/>
                <w:sz w:val="14"/>
                <w:szCs w:val="14"/>
                <w:color w:val="auto"/>
              </w:rPr>
              <w:t>Accrued compensation and benefits</w:t>
            </w:r>
          </w:p>
        </w:tc>
        <w:tc>
          <w:tcPr>
            <w:tcW w:w="8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rPr>
              <w:t>41.3</w:t>
            </w: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rPr>
              <w:t>56.1</w:t>
            </w: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6500" w:type="dxa"/>
            <w:vAlign w:val="bottom"/>
            <w:shd w:val="clear" w:color="auto" w:fill="CCEEFF"/>
          </w:tcPr>
          <w:p>
            <w:pPr>
              <w:ind w:left="240"/>
              <w:spacing w:after="0" w:line="169" w:lineRule="exact"/>
              <w:rPr>
                <w:sz w:val="20"/>
                <w:szCs w:val="20"/>
                <w:color w:val="auto"/>
              </w:rPr>
            </w:pPr>
            <w:r>
              <w:rPr>
                <w:rFonts w:ascii="Arial" w:cs="Arial" w:eastAsia="Arial" w:hAnsi="Arial"/>
                <w:sz w:val="12"/>
                <w:szCs w:val="12"/>
                <w:color w:val="auto"/>
              </w:rPr>
              <w:t>Capital lease obligation</w:t>
            </w:r>
            <w:r>
              <w:rPr>
                <w:rFonts w:ascii="Arial" w:cs="Arial" w:eastAsia="Arial" w:hAnsi="Arial"/>
                <w:sz w:val="19"/>
                <w:szCs w:val="19"/>
                <w:color w:val="auto"/>
                <w:vertAlign w:val="superscript"/>
              </w:rPr>
              <w:t>(1)</w:t>
            </w:r>
          </w:p>
        </w:tc>
        <w:tc>
          <w:tcPr>
            <w:tcW w:w="80" w:type="dxa"/>
            <w:vAlign w:val="bottom"/>
            <w:shd w:val="clear" w:color="auto" w:fill="CCEEFF"/>
          </w:tcPr>
          <w:p>
            <w:pPr>
              <w:spacing w:after="0"/>
              <w:rPr>
                <w:sz w:val="14"/>
                <w:szCs w:val="14"/>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127.6</w:t>
            </w:r>
          </w:p>
        </w:tc>
        <w:tc>
          <w:tcPr>
            <w:tcW w:w="220" w:type="dxa"/>
            <w:vAlign w:val="bottom"/>
            <w:shd w:val="clear" w:color="auto" w:fill="CCEEFF"/>
          </w:tcPr>
          <w:p>
            <w:pPr>
              <w:spacing w:after="0"/>
              <w:rPr>
                <w:sz w:val="14"/>
                <w:szCs w:val="14"/>
                <w:color w:val="auto"/>
              </w:rPr>
            </w:pPr>
          </w:p>
        </w:tc>
        <w:tc>
          <w:tcPr>
            <w:tcW w:w="260" w:type="dxa"/>
            <w:vAlign w:val="bottom"/>
            <w:tcBorders>
              <w:right w:val="single" w:sz="8" w:color="CCEEFF"/>
            </w:tcBorders>
            <w:shd w:val="clear" w:color="auto" w:fill="CCEEFF"/>
          </w:tcPr>
          <w:p>
            <w:pPr>
              <w:spacing w:after="0"/>
              <w:rPr>
                <w:sz w:val="14"/>
                <w:szCs w:val="14"/>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102.7</w:t>
            </w:r>
          </w:p>
        </w:tc>
        <w:tc>
          <w:tcPr>
            <w:tcW w:w="2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6500" w:type="dxa"/>
            <w:vAlign w:val="bottom"/>
          </w:tcPr>
          <w:p>
            <w:pPr>
              <w:ind w:left="240"/>
              <w:spacing w:after="0"/>
              <w:rPr>
                <w:sz w:val="20"/>
                <w:szCs w:val="20"/>
                <w:color w:val="auto"/>
              </w:rPr>
            </w:pPr>
            <w:r>
              <w:rPr>
                <w:rFonts w:ascii="Arial" w:cs="Arial" w:eastAsia="Arial" w:hAnsi="Arial"/>
                <w:sz w:val="14"/>
                <w:szCs w:val="14"/>
                <w:color w:val="auto"/>
              </w:rPr>
              <w:t>Deferred revenue</w:t>
            </w:r>
          </w:p>
        </w:tc>
        <w:tc>
          <w:tcPr>
            <w:tcW w:w="8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353.0</w:t>
            </w: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417.9</w:t>
            </w: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6500" w:type="dxa"/>
            <w:vAlign w:val="bottom"/>
            <w:shd w:val="clear" w:color="auto" w:fill="CCEEFF"/>
          </w:tcPr>
          <w:p>
            <w:pPr>
              <w:spacing w:after="0"/>
              <w:rPr>
                <w:sz w:val="20"/>
                <w:szCs w:val="20"/>
                <w:color w:val="auto"/>
              </w:rPr>
            </w:pPr>
            <w:r>
              <w:rPr>
                <w:rFonts w:ascii="Arial" w:cs="Arial" w:eastAsia="Arial" w:hAnsi="Arial"/>
                <w:sz w:val="14"/>
                <w:szCs w:val="14"/>
                <w:color w:val="auto"/>
              </w:rPr>
              <w:t>Total current liabilities</w:t>
            </w:r>
          </w:p>
        </w:tc>
        <w:tc>
          <w:tcPr>
            <w:tcW w:w="80" w:type="dxa"/>
            <w:vAlign w:val="bottom"/>
            <w:shd w:val="clear" w:color="auto" w:fill="CCEEFF"/>
          </w:tcPr>
          <w:p>
            <w:pPr>
              <w:spacing w:after="0"/>
              <w:rPr>
                <w:sz w:val="14"/>
                <w:szCs w:val="14"/>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635.3</w:t>
            </w:r>
          </w:p>
        </w:tc>
        <w:tc>
          <w:tcPr>
            <w:tcW w:w="220" w:type="dxa"/>
            <w:vAlign w:val="bottom"/>
            <w:shd w:val="clear" w:color="auto" w:fill="CCEEFF"/>
          </w:tcPr>
          <w:p>
            <w:pPr>
              <w:spacing w:after="0"/>
              <w:rPr>
                <w:sz w:val="14"/>
                <w:szCs w:val="14"/>
                <w:color w:val="auto"/>
              </w:rPr>
            </w:pPr>
          </w:p>
        </w:tc>
        <w:tc>
          <w:tcPr>
            <w:tcW w:w="260" w:type="dxa"/>
            <w:vAlign w:val="bottom"/>
            <w:tcBorders>
              <w:right w:val="single" w:sz="8" w:color="CCEEFF"/>
            </w:tcBorders>
            <w:shd w:val="clear" w:color="auto" w:fill="CCEEFF"/>
          </w:tcPr>
          <w:p>
            <w:pPr>
              <w:spacing w:after="0"/>
              <w:rPr>
                <w:sz w:val="14"/>
                <w:szCs w:val="14"/>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738.4</w:t>
            </w:r>
          </w:p>
        </w:tc>
        <w:tc>
          <w:tcPr>
            <w:tcW w:w="2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6500" w:type="dxa"/>
            <w:vAlign w:val="bottom"/>
          </w:tcPr>
          <w:p>
            <w:pPr>
              <w:spacing w:after="0" w:line="169" w:lineRule="exact"/>
              <w:rPr>
                <w:sz w:val="20"/>
                <w:szCs w:val="20"/>
                <w:color w:val="auto"/>
              </w:rPr>
            </w:pPr>
            <w:r>
              <w:rPr>
                <w:rFonts w:ascii="Arial" w:cs="Arial" w:eastAsia="Arial" w:hAnsi="Arial"/>
                <w:sz w:val="12"/>
                <w:szCs w:val="12"/>
                <w:color w:val="auto"/>
              </w:rPr>
              <w:t>Capital lease obligation, non-current</w:t>
            </w:r>
            <w:r>
              <w:rPr>
                <w:rFonts w:ascii="Arial" w:cs="Arial" w:eastAsia="Arial" w:hAnsi="Arial"/>
                <w:sz w:val="19"/>
                <w:szCs w:val="19"/>
                <w:color w:val="auto"/>
                <w:vertAlign w:val="superscript"/>
              </w:rPr>
              <w:t>(1)</w:t>
            </w:r>
          </w:p>
        </w:tc>
        <w:tc>
          <w:tcPr>
            <w:tcW w:w="8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rPr>
              <w:t>129.6</w:t>
            </w: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rPr>
              <w:t>71.6</w:t>
            </w: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6500" w:type="dxa"/>
            <w:vAlign w:val="bottom"/>
            <w:shd w:val="clear" w:color="auto" w:fill="CCEEFF"/>
          </w:tcPr>
          <w:p>
            <w:pPr>
              <w:spacing w:after="0"/>
              <w:rPr>
                <w:sz w:val="20"/>
                <w:szCs w:val="20"/>
                <w:color w:val="auto"/>
              </w:rPr>
            </w:pPr>
            <w:r>
              <w:rPr>
                <w:rFonts w:ascii="Arial" w:cs="Arial" w:eastAsia="Arial" w:hAnsi="Arial"/>
                <w:sz w:val="14"/>
                <w:szCs w:val="14"/>
                <w:color w:val="auto"/>
              </w:rPr>
              <w:t>Deferred rent, non-current</w:t>
            </w:r>
          </w:p>
        </w:tc>
        <w:tc>
          <w:tcPr>
            <w:tcW w:w="80" w:type="dxa"/>
            <w:vAlign w:val="bottom"/>
            <w:shd w:val="clear" w:color="auto" w:fill="CCEEFF"/>
          </w:tcPr>
          <w:p>
            <w:pPr>
              <w:spacing w:after="0"/>
              <w:rPr>
                <w:sz w:val="14"/>
                <w:szCs w:val="14"/>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72.5</w:t>
            </w:r>
          </w:p>
        </w:tc>
        <w:tc>
          <w:tcPr>
            <w:tcW w:w="220" w:type="dxa"/>
            <w:vAlign w:val="bottom"/>
            <w:shd w:val="clear" w:color="auto" w:fill="CCEEFF"/>
          </w:tcPr>
          <w:p>
            <w:pPr>
              <w:spacing w:after="0"/>
              <w:rPr>
                <w:sz w:val="14"/>
                <w:szCs w:val="14"/>
                <w:color w:val="auto"/>
              </w:rPr>
            </w:pPr>
          </w:p>
        </w:tc>
        <w:tc>
          <w:tcPr>
            <w:tcW w:w="260" w:type="dxa"/>
            <w:vAlign w:val="bottom"/>
            <w:tcBorders>
              <w:right w:val="single" w:sz="8" w:color="CCEEFF"/>
            </w:tcBorders>
            <w:shd w:val="clear" w:color="auto" w:fill="CCEEFF"/>
          </w:tcPr>
          <w:p>
            <w:pPr>
              <w:spacing w:after="0"/>
              <w:rPr>
                <w:sz w:val="14"/>
                <w:szCs w:val="14"/>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69.8</w:t>
            </w:r>
          </w:p>
        </w:tc>
        <w:tc>
          <w:tcPr>
            <w:tcW w:w="2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6500" w:type="dxa"/>
            <w:vAlign w:val="bottom"/>
          </w:tcPr>
          <w:p>
            <w:pPr>
              <w:spacing w:after="0"/>
              <w:rPr>
                <w:sz w:val="20"/>
                <w:szCs w:val="20"/>
                <w:color w:val="auto"/>
              </w:rPr>
            </w:pPr>
            <w:r>
              <w:rPr>
                <w:rFonts w:ascii="Arial" w:cs="Arial" w:eastAsia="Arial" w:hAnsi="Arial"/>
                <w:sz w:val="14"/>
                <w:szCs w:val="14"/>
                <w:color w:val="auto"/>
              </w:rPr>
              <w:t>Other non-current liabilities</w:t>
            </w:r>
          </w:p>
        </w:tc>
        <w:tc>
          <w:tcPr>
            <w:tcW w:w="8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44.0</w:t>
            </w: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37.2</w:t>
            </w: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6500" w:type="dxa"/>
            <w:vAlign w:val="bottom"/>
            <w:shd w:val="clear" w:color="auto" w:fill="CCEEFF"/>
          </w:tcPr>
          <w:p>
            <w:pPr>
              <w:spacing w:after="0"/>
              <w:rPr>
                <w:sz w:val="20"/>
                <w:szCs w:val="20"/>
                <w:color w:val="auto"/>
              </w:rPr>
            </w:pPr>
            <w:r>
              <w:rPr>
                <w:rFonts w:ascii="Arial" w:cs="Arial" w:eastAsia="Arial" w:hAnsi="Arial"/>
                <w:sz w:val="14"/>
                <w:szCs w:val="14"/>
                <w:color w:val="auto"/>
              </w:rPr>
              <w:t>Total liabilities</w:t>
            </w:r>
          </w:p>
        </w:tc>
        <w:tc>
          <w:tcPr>
            <w:tcW w:w="80" w:type="dxa"/>
            <w:vAlign w:val="bottom"/>
            <w:tcBorders>
              <w:bottom w:val="single" w:sz="8" w:color="auto"/>
            </w:tcBorders>
            <w:shd w:val="clear" w:color="auto" w:fill="CCEEFF"/>
          </w:tcPr>
          <w:p>
            <w:pPr>
              <w:spacing w:after="0"/>
              <w:rPr>
                <w:sz w:val="14"/>
                <w:szCs w:val="14"/>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881.4</w:t>
            </w:r>
          </w:p>
        </w:tc>
        <w:tc>
          <w:tcPr>
            <w:tcW w:w="220" w:type="dxa"/>
            <w:vAlign w:val="bottom"/>
            <w:shd w:val="clear" w:color="auto" w:fill="CCEEFF"/>
          </w:tcPr>
          <w:p>
            <w:pPr>
              <w:spacing w:after="0"/>
              <w:rPr>
                <w:sz w:val="14"/>
                <w:szCs w:val="14"/>
                <w:color w:val="auto"/>
              </w:rPr>
            </w:pPr>
          </w:p>
        </w:tc>
        <w:tc>
          <w:tcPr>
            <w:tcW w:w="260" w:type="dxa"/>
            <w:vAlign w:val="bottom"/>
            <w:tcBorders>
              <w:right w:val="single" w:sz="8" w:color="CCEEFF"/>
            </w:tcBorders>
            <w:shd w:val="clear" w:color="auto" w:fill="CCEEFF"/>
          </w:tcPr>
          <w:p>
            <w:pPr>
              <w:spacing w:after="0"/>
              <w:rPr>
                <w:sz w:val="14"/>
                <w:szCs w:val="14"/>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917.0</w:t>
            </w:r>
          </w:p>
        </w:tc>
        <w:tc>
          <w:tcPr>
            <w:tcW w:w="2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6520" w:type="dxa"/>
            <w:vAlign w:val="bottom"/>
            <w:gridSpan w:val="2"/>
          </w:tcPr>
          <w:p>
            <w:pPr>
              <w:spacing w:after="0"/>
              <w:rPr>
                <w:sz w:val="20"/>
                <w:szCs w:val="20"/>
                <w:color w:val="auto"/>
              </w:rPr>
            </w:pPr>
            <w:r>
              <w:rPr>
                <w:rFonts w:ascii="Arial" w:cs="Arial" w:eastAsia="Arial" w:hAnsi="Arial"/>
                <w:sz w:val="14"/>
                <w:szCs w:val="14"/>
                <w:color w:val="auto"/>
              </w:rPr>
              <w:t>Commitments and contingencies (Note 10)</w:t>
            </w: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6500" w:type="dxa"/>
            <w:vAlign w:val="bottom"/>
            <w:shd w:val="clear" w:color="auto" w:fill="CCEEFF"/>
          </w:tcPr>
          <w:p>
            <w:pPr>
              <w:spacing w:after="0"/>
              <w:rPr>
                <w:sz w:val="20"/>
                <w:szCs w:val="20"/>
                <w:color w:val="auto"/>
              </w:rPr>
            </w:pPr>
            <w:r>
              <w:rPr>
                <w:rFonts w:ascii="Arial" w:cs="Arial" w:eastAsia="Arial" w:hAnsi="Arial"/>
                <w:sz w:val="14"/>
                <w:szCs w:val="14"/>
                <w:color w:val="auto"/>
              </w:rPr>
              <w:t>Stockholders’ equity (deficit):</w:t>
            </w:r>
          </w:p>
        </w:tc>
        <w:tc>
          <w:tcPr>
            <w:tcW w:w="8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60" w:type="dxa"/>
            <w:vAlign w:val="bottom"/>
            <w:tcBorders>
              <w:right w:val="single" w:sz="8" w:color="CCEEFF"/>
            </w:tcBorders>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6500" w:type="dxa"/>
            <w:vAlign w:val="bottom"/>
          </w:tcPr>
          <w:p>
            <w:pPr>
              <w:ind w:left="240"/>
              <w:spacing w:after="0"/>
              <w:rPr>
                <w:sz w:val="20"/>
                <w:szCs w:val="20"/>
                <w:color w:val="auto"/>
              </w:rPr>
            </w:pPr>
            <w:r>
              <w:rPr>
                <w:rFonts w:ascii="Arial" w:cs="Arial" w:eastAsia="Arial" w:hAnsi="Arial"/>
                <w:sz w:val="14"/>
                <w:szCs w:val="14"/>
                <w:color w:val="auto"/>
                <w:w w:val="91"/>
              </w:rPr>
              <w:t>Convertible preferred stock, $0.00001 par value; 151.2 shares authorized as of December 31, 2016 and 2017;</w:t>
            </w: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6500" w:type="dxa"/>
            <w:vAlign w:val="bottom"/>
          </w:tcPr>
          <w:p>
            <w:pPr>
              <w:ind w:left="380"/>
              <w:spacing w:after="0"/>
              <w:rPr>
                <w:sz w:val="20"/>
                <w:szCs w:val="20"/>
                <w:color w:val="auto"/>
              </w:rPr>
            </w:pPr>
            <w:r>
              <w:rPr>
                <w:rFonts w:ascii="Arial" w:cs="Arial" w:eastAsia="Arial" w:hAnsi="Arial"/>
                <w:sz w:val="14"/>
                <w:szCs w:val="14"/>
                <w:color w:val="auto"/>
                <w:w w:val="91"/>
              </w:rPr>
              <w:t>147.6 shares issued and outstanding as of December 31, 2016 and 2017; no shares authorized, issued and</w:t>
            </w: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6500" w:type="dxa"/>
            <w:vAlign w:val="bottom"/>
          </w:tcPr>
          <w:p>
            <w:pPr>
              <w:ind w:left="380"/>
              <w:spacing w:after="0"/>
              <w:rPr>
                <w:sz w:val="20"/>
                <w:szCs w:val="20"/>
                <w:color w:val="auto"/>
              </w:rPr>
            </w:pPr>
            <w:r>
              <w:rPr>
                <w:rFonts w:ascii="Arial" w:cs="Arial" w:eastAsia="Arial" w:hAnsi="Arial"/>
                <w:sz w:val="14"/>
                <w:szCs w:val="14"/>
                <w:color w:val="auto"/>
                <w:w w:val="95"/>
              </w:rPr>
              <w:t>outstanding pro forma (unaudited); liquidation preference of $624.7 as of December 31, 2016 and 2017</w:t>
            </w:r>
          </w:p>
        </w:tc>
        <w:tc>
          <w:tcPr>
            <w:tcW w:w="80" w:type="dxa"/>
            <w:vAlign w:val="bottom"/>
          </w:tcPr>
          <w:p>
            <w:pPr>
              <w:spacing w:after="0"/>
              <w:rPr>
                <w:sz w:val="15"/>
                <w:szCs w:val="15"/>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rPr>
              <w:t>615.3</w:t>
            </w:r>
          </w:p>
        </w:tc>
        <w:tc>
          <w:tcPr>
            <w:tcW w:w="2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rPr>
              <w:t>615.3</w:t>
            </w:r>
          </w:p>
        </w:tc>
        <w:tc>
          <w:tcPr>
            <w:tcW w:w="240" w:type="dxa"/>
            <w:vAlign w:val="bottom"/>
          </w:tcPr>
          <w:p>
            <w:pPr>
              <w:spacing w:after="0"/>
              <w:rPr>
                <w:sz w:val="15"/>
                <w:szCs w:val="15"/>
                <w:color w:val="auto"/>
              </w:rPr>
            </w:pPr>
          </w:p>
        </w:tc>
        <w:tc>
          <w:tcPr>
            <w:tcW w:w="2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6500" w:type="dxa"/>
            <w:vAlign w:val="bottom"/>
            <w:shd w:val="clear" w:color="auto" w:fill="CCEEFF"/>
          </w:tcPr>
          <w:p>
            <w:pPr>
              <w:ind w:left="240"/>
              <w:spacing w:after="0"/>
              <w:rPr>
                <w:sz w:val="20"/>
                <w:szCs w:val="20"/>
                <w:color w:val="auto"/>
              </w:rPr>
            </w:pPr>
            <w:r>
              <w:rPr>
                <w:rFonts w:ascii="Arial" w:cs="Arial" w:eastAsia="Arial" w:hAnsi="Arial"/>
                <w:sz w:val="14"/>
                <w:szCs w:val="14"/>
                <w:color w:val="auto"/>
                <w:w w:val="98"/>
              </w:rPr>
              <w:t>Common stock $0.00001 par value; 1,000.0 shares authorized; Class A common stock - 533.3 shares</w:t>
            </w:r>
          </w:p>
        </w:tc>
        <w:tc>
          <w:tcPr>
            <w:tcW w:w="8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260" w:type="dxa"/>
            <w:vAlign w:val="bottom"/>
            <w:tcBorders>
              <w:right w:val="single" w:sz="8" w:color="CCEEFF"/>
            </w:tcBorders>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6500" w:type="dxa"/>
            <w:vAlign w:val="bottom"/>
            <w:shd w:val="clear" w:color="auto" w:fill="CCEEFF"/>
          </w:tcPr>
          <w:p>
            <w:pPr>
              <w:ind w:left="380"/>
              <w:spacing w:after="0" w:line="172" w:lineRule="exact"/>
              <w:rPr>
                <w:sz w:val="20"/>
                <w:szCs w:val="20"/>
                <w:color w:val="auto"/>
              </w:rPr>
            </w:pPr>
            <w:r>
              <w:rPr>
                <w:rFonts w:ascii="Arial" w:cs="Arial" w:eastAsia="Arial" w:hAnsi="Arial"/>
                <w:sz w:val="12"/>
                <w:szCs w:val="12"/>
                <w:color w:val="auto"/>
              </w:rPr>
              <w:t>authorized; 5.5 and 8.9 shares</w:t>
            </w:r>
            <w:r>
              <w:rPr>
                <w:rFonts w:ascii="Arial" w:cs="Arial" w:eastAsia="Arial" w:hAnsi="Arial"/>
                <w:sz w:val="19"/>
                <w:szCs w:val="19"/>
                <w:color w:val="auto"/>
                <w:vertAlign w:val="superscript"/>
              </w:rPr>
              <w:t>(2)</w:t>
            </w:r>
            <w:r>
              <w:rPr>
                <w:rFonts w:ascii="Arial" w:cs="Arial" w:eastAsia="Arial" w:hAnsi="Arial"/>
                <w:sz w:val="12"/>
                <w:szCs w:val="12"/>
                <w:color w:val="auto"/>
              </w:rPr>
              <w:t xml:space="preserve"> issued and outstanding as of December 31, 2016 and 2017, respectively;</w:t>
            </w:r>
          </w:p>
        </w:tc>
        <w:tc>
          <w:tcPr>
            <w:tcW w:w="8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60" w:type="dxa"/>
            <w:vAlign w:val="bottom"/>
            <w:tcBorders>
              <w:right w:val="single" w:sz="8" w:color="CCEEFF"/>
            </w:tcBorders>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6500" w:type="dxa"/>
            <w:vAlign w:val="bottom"/>
            <w:shd w:val="clear" w:color="auto" w:fill="CCEEFF"/>
          </w:tcPr>
          <w:p>
            <w:pPr>
              <w:ind w:left="380"/>
              <w:spacing w:after="0"/>
              <w:rPr>
                <w:sz w:val="20"/>
                <w:szCs w:val="20"/>
                <w:color w:val="auto"/>
              </w:rPr>
            </w:pPr>
            <w:r>
              <w:rPr>
                <w:rFonts w:ascii="Arial" w:cs="Arial" w:eastAsia="Arial" w:hAnsi="Arial"/>
                <w:sz w:val="14"/>
                <w:szCs w:val="14"/>
                <w:color w:val="auto"/>
              </w:rPr>
              <w:t>11.8 shares issued and outstanding pro forma (unaudited); Class B common stock - 466.7 shares</w:t>
            </w:r>
          </w:p>
        </w:tc>
        <w:tc>
          <w:tcPr>
            <w:tcW w:w="8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60" w:type="dxa"/>
            <w:vAlign w:val="bottom"/>
            <w:tcBorders>
              <w:right w:val="single" w:sz="8" w:color="CCEEFF"/>
            </w:tcBorders>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6500" w:type="dxa"/>
            <w:vAlign w:val="bottom"/>
            <w:shd w:val="clear" w:color="auto" w:fill="CCEEFF"/>
          </w:tcPr>
          <w:p>
            <w:pPr>
              <w:ind w:left="380"/>
              <w:spacing w:after="0"/>
              <w:rPr>
                <w:sz w:val="20"/>
                <w:szCs w:val="20"/>
                <w:color w:val="auto"/>
              </w:rPr>
            </w:pPr>
            <w:r>
              <w:rPr>
                <w:rFonts w:ascii="Arial" w:cs="Arial" w:eastAsia="Arial" w:hAnsi="Arial"/>
                <w:sz w:val="14"/>
                <w:szCs w:val="14"/>
                <w:color w:val="auto"/>
              </w:rPr>
              <w:t>authorized, 181.6 and 187.9 shares issued and outstanding as of December 31, 2016 and 2017,</w:t>
            </w:r>
          </w:p>
        </w:tc>
        <w:tc>
          <w:tcPr>
            <w:tcW w:w="8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60" w:type="dxa"/>
            <w:vAlign w:val="bottom"/>
            <w:tcBorders>
              <w:right w:val="single" w:sz="8" w:color="CCEEFF"/>
            </w:tcBorders>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500" w:type="dxa"/>
            <w:vAlign w:val="bottom"/>
            <w:shd w:val="clear" w:color="auto" w:fill="CCEEFF"/>
          </w:tcPr>
          <w:p>
            <w:pPr>
              <w:ind w:left="380"/>
              <w:spacing w:after="0"/>
              <w:rPr>
                <w:sz w:val="20"/>
                <w:szCs w:val="20"/>
                <w:color w:val="auto"/>
              </w:rPr>
            </w:pPr>
            <w:r>
              <w:rPr>
                <w:rFonts w:ascii="Arial" w:cs="Arial" w:eastAsia="Arial" w:hAnsi="Arial"/>
                <w:sz w:val="14"/>
                <w:szCs w:val="14"/>
                <w:color w:val="auto"/>
              </w:rPr>
              <w:t>respectively; 348.5 shares issued and outstanding pro forma (unaudited)</w:t>
            </w:r>
          </w:p>
        </w:tc>
        <w:tc>
          <w:tcPr>
            <w:tcW w:w="80" w:type="dxa"/>
            <w:vAlign w:val="bottom"/>
            <w:shd w:val="clear" w:color="auto" w:fill="CCEEFF"/>
          </w:tcPr>
          <w:p>
            <w:pPr>
              <w:spacing w:after="0"/>
              <w:rPr>
                <w:sz w:val="15"/>
                <w:szCs w:val="15"/>
                <w:color w:val="auto"/>
              </w:rPr>
            </w:pPr>
          </w:p>
        </w:tc>
        <w:tc>
          <w:tcPr>
            <w:tcW w:w="64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w:t>
            </w:r>
          </w:p>
        </w:tc>
        <w:tc>
          <w:tcPr>
            <w:tcW w:w="260" w:type="dxa"/>
            <w:vAlign w:val="bottom"/>
            <w:tcBorders>
              <w:right w:val="single" w:sz="8" w:color="CCEEFF"/>
            </w:tcBorders>
            <w:shd w:val="clear" w:color="auto" w:fill="CCEEFF"/>
          </w:tcPr>
          <w:p>
            <w:pPr>
              <w:spacing w:after="0"/>
              <w:rPr>
                <w:sz w:val="15"/>
                <w:szCs w:val="15"/>
                <w:color w:val="auto"/>
              </w:rPr>
            </w:pPr>
          </w:p>
        </w:tc>
        <w:tc>
          <w:tcPr>
            <w:tcW w:w="68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6500" w:type="dxa"/>
            <w:vAlign w:val="bottom"/>
          </w:tcPr>
          <w:p>
            <w:pPr>
              <w:ind w:left="240"/>
              <w:spacing w:after="0"/>
              <w:rPr>
                <w:sz w:val="20"/>
                <w:szCs w:val="20"/>
                <w:color w:val="auto"/>
              </w:rPr>
            </w:pPr>
            <w:r>
              <w:rPr>
                <w:rFonts w:ascii="Arial" w:cs="Arial" w:eastAsia="Arial" w:hAnsi="Arial"/>
                <w:sz w:val="14"/>
                <w:szCs w:val="14"/>
                <w:color w:val="auto"/>
              </w:rPr>
              <w:t>Additional paid-in capital</w:t>
            </w:r>
          </w:p>
        </w:tc>
        <w:tc>
          <w:tcPr>
            <w:tcW w:w="8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rPr>
              <w:t>446.0</w:t>
            </w: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rPr>
              <w:t>533.1</w:t>
            </w: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1,370.9</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6500" w:type="dxa"/>
            <w:vAlign w:val="bottom"/>
            <w:shd w:val="clear" w:color="auto" w:fill="CCEEFF"/>
          </w:tcPr>
          <w:p>
            <w:pPr>
              <w:ind w:left="240"/>
              <w:spacing w:after="0"/>
              <w:rPr>
                <w:sz w:val="20"/>
                <w:szCs w:val="20"/>
                <w:color w:val="auto"/>
              </w:rPr>
            </w:pPr>
            <w:r>
              <w:rPr>
                <w:rFonts w:ascii="Arial" w:cs="Arial" w:eastAsia="Arial" w:hAnsi="Arial"/>
                <w:sz w:val="14"/>
                <w:szCs w:val="14"/>
                <w:color w:val="auto"/>
              </w:rPr>
              <w:t>Accumulated deficit</w:t>
            </w:r>
          </w:p>
        </w:tc>
        <w:tc>
          <w:tcPr>
            <w:tcW w:w="8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w w:val="99"/>
              </w:rPr>
              <w:t>(937.5)</w:t>
            </w:r>
          </w:p>
        </w:tc>
        <w:tc>
          <w:tcPr>
            <w:tcW w:w="260" w:type="dxa"/>
            <w:vAlign w:val="bottom"/>
            <w:tcBorders>
              <w:right w:val="single" w:sz="8" w:color="CCEEFF"/>
            </w:tcBorders>
            <w:shd w:val="clear" w:color="auto" w:fill="CCEEFF"/>
          </w:tcPr>
          <w:p>
            <w:pPr>
              <w:spacing w:after="0"/>
              <w:rPr>
                <w:sz w:val="14"/>
                <w:szCs w:val="14"/>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w w:val="82"/>
              </w:rPr>
              <w:t>(1,049.7)</w:t>
            </w:r>
          </w:p>
        </w:tc>
        <w:tc>
          <w:tcPr>
            <w:tcW w:w="1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(1,465.3)</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6500" w:type="dxa"/>
            <w:vAlign w:val="bottom"/>
          </w:tcPr>
          <w:p>
            <w:pPr>
              <w:ind w:left="240"/>
              <w:spacing w:after="0"/>
              <w:rPr>
                <w:sz w:val="20"/>
                <w:szCs w:val="20"/>
                <w:color w:val="auto"/>
              </w:rPr>
            </w:pPr>
            <w:r>
              <w:rPr>
                <w:rFonts w:ascii="Arial" w:cs="Arial" w:eastAsia="Arial" w:hAnsi="Arial"/>
                <w:sz w:val="14"/>
                <w:szCs w:val="14"/>
                <w:color w:val="auto"/>
              </w:rPr>
              <w:t>Accumulated other comprehensive income (loss)</w:t>
            </w:r>
          </w:p>
        </w:tc>
        <w:tc>
          <w:tcPr>
            <w:tcW w:w="80" w:type="dxa"/>
            <w:vAlign w:val="bottom"/>
          </w:tcPr>
          <w:p>
            <w:pPr>
              <w:spacing w:after="0"/>
              <w:rPr>
                <w:sz w:val="14"/>
                <w:szCs w:val="14"/>
                <w:color w:val="auto"/>
              </w:rPr>
            </w:pPr>
          </w:p>
        </w:tc>
        <w:tc>
          <w:tcPr>
            <w:tcW w:w="640" w:type="dxa"/>
            <w:vAlign w:val="bottom"/>
            <w:gridSpan w:val="2"/>
          </w:tcPr>
          <w:p>
            <w:pPr>
              <w:jc w:val="right"/>
              <w:ind w:right="180"/>
              <w:spacing w:after="0"/>
              <w:rPr>
                <w:sz w:val="20"/>
                <w:szCs w:val="20"/>
                <w:color w:val="auto"/>
              </w:rPr>
            </w:pPr>
            <w:r>
              <w:rPr>
                <w:rFonts w:ascii="Arial" w:cs="Arial" w:eastAsia="Arial" w:hAnsi="Arial"/>
                <w:sz w:val="14"/>
                <w:szCs w:val="14"/>
                <w:color w:val="auto"/>
              </w:rPr>
              <w:t>(1.0)</w:t>
            </w:r>
          </w:p>
        </w:tc>
        <w:tc>
          <w:tcPr>
            <w:tcW w:w="26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rPr>
              <w:t>4.2</w:t>
            </w: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4.2</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
        </w:trPr>
        <w:tc>
          <w:tcPr>
            <w:tcW w:w="20" w:type="dxa"/>
            <w:vAlign w:val="bottom"/>
            <w:vMerge w:val="restart"/>
          </w:tcPr>
          <w:p>
            <w:pPr>
              <w:spacing w:after="0" w:line="20" w:lineRule="exact"/>
              <w:rPr>
                <w:sz w:val="1"/>
                <w:szCs w:val="1"/>
                <w:color w:val="auto"/>
              </w:rPr>
            </w:pPr>
          </w:p>
        </w:tc>
        <w:tc>
          <w:tcPr>
            <w:tcW w:w="65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right w:val="single" w:sz="8" w:color="auto"/>
            </w:tcBorders>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20" w:type="dxa"/>
            <w:vAlign w:val="bottom"/>
            <w:vMerge w:val="continue"/>
          </w:tcPr>
          <w:p>
            <w:pPr>
              <w:spacing w:after="0"/>
              <w:rPr>
                <w:sz w:val="14"/>
                <w:szCs w:val="14"/>
                <w:color w:val="auto"/>
              </w:rPr>
            </w:pPr>
          </w:p>
        </w:tc>
        <w:tc>
          <w:tcPr>
            <w:tcW w:w="6500" w:type="dxa"/>
            <w:vAlign w:val="bottom"/>
            <w:shd w:val="clear" w:color="auto" w:fill="CCEEFF"/>
          </w:tcPr>
          <w:p>
            <w:pPr>
              <w:spacing w:after="0"/>
              <w:rPr>
                <w:sz w:val="20"/>
                <w:szCs w:val="20"/>
                <w:color w:val="auto"/>
              </w:rPr>
            </w:pPr>
            <w:r>
              <w:rPr>
                <w:rFonts w:ascii="Arial" w:cs="Arial" w:eastAsia="Arial" w:hAnsi="Arial"/>
                <w:sz w:val="14"/>
                <w:szCs w:val="14"/>
                <w:color w:val="auto"/>
              </w:rPr>
              <w:t>Total stockholders’ equity (deficit)</w:t>
            </w:r>
          </w:p>
        </w:tc>
        <w:tc>
          <w:tcPr>
            <w:tcW w:w="80" w:type="dxa"/>
            <w:vAlign w:val="bottom"/>
            <w:shd w:val="clear" w:color="auto" w:fill="CCEEFF"/>
          </w:tcPr>
          <w:p>
            <w:pPr>
              <w:spacing w:after="0"/>
              <w:rPr>
                <w:sz w:val="14"/>
                <w:szCs w:val="14"/>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122.8</w:t>
            </w:r>
          </w:p>
        </w:tc>
        <w:tc>
          <w:tcPr>
            <w:tcW w:w="220" w:type="dxa"/>
            <w:vAlign w:val="bottom"/>
            <w:shd w:val="clear" w:color="auto" w:fill="CCEEFF"/>
          </w:tcPr>
          <w:p>
            <w:pPr>
              <w:spacing w:after="0"/>
              <w:rPr>
                <w:sz w:val="14"/>
                <w:szCs w:val="14"/>
                <w:color w:val="auto"/>
              </w:rPr>
            </w:pPr>
          </w:p>
        </w:tc>
        <w:tc>
          <w:tcPr>
            <w:tcW w:w="260" w:type="dxa"/>
            <w:vAlign w:val="bottom"/>
            <w:tcBorders>
              <w:right w:val="single" w:sz="8" w:color="CCEEFF"/>
            </w:tcBorders>
            <w:shd w:val="clear" w:color="auto" w:fill="CCEEFF"/>
          </w:tcPr>
          <w:p>
            <w:pPr>
              <w:spacing w:after="0"/>
              <w:rPr>
                <w:sz w:val="14"/>
                <w:szCs w:val="14"/>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102.9</w:t>
            </w:r>
          </w:p>
        </w:tc>
        <w:tc>
          <w:tcPr>
            <w:tcW w:w="2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(90.2)</w:t>
            </w:r>
          </w:p>
        </w:tc>
        <w:tc>
          <w:tcPr>
            <w:tcW w:w="0" w:type="dxa"/>
            <w:vAlign w:val="bottom"/>
          </w:tcPr>
          <w:p>
            <w:pPr>
              <w:spacing w:after="0"/>
              <w:rPr>
                <w:sz w:val="1"/>
                <w:szCs w:val="1"/>
                <w:color w:val="auto"/>
              </w:rPr>
            </w:pPr>
          </w:p>
        </w:tc>
      </w:tr>
      <w:tr>
        <w:trPr>
          <w:trHeight w:val="20"/>
        </w:trPr>
        <w:tc>
          <w:tcPr>
            <w:tcW w:w="65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Total liabilities and stockholders’ equity</w:t>
            </w:r>
          </w:p>
        </w:tc>
        <w:tc>
          <w:tcPr>
            <w:tcW w:w="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2"/>
        </w:trPr>
        <w:tc>
          <w:tcPr>
            <w:tcW w:w="6520" w:type="dxa"/>
            <w:vAlign w:val="bottom"/>
            <w:gridSpan w:val="2"/>
            <w:vMerge w:val="continue"/>
          </w:tcPr>
          <w:p>
            <w:pPr>
              <w:spacing w:after="0"/>
              <w:rPr>
                <w:sz w:val="13"/>
                <w:szCs w:val="13"/>
                <w:color w:val="auto"/>
              </w:rPr>
            </w:pPr>
          </w:p>
        </w:tc>
        <w:tc>
          <w:tcPr>
            <w:tcW w:w="80" w:type="dxa"/>
            <w:vAlign w:val="bottom"/>
          </w:tcPr>
          <w:p>
            <w:pPr>
              <w:jc w:val="right"/>
              <w:spacing w:after="0" w:line="152" w:lineRule="exact"/>
              <w:rPr>
                <w:sz w:val="20"/>
                <w:szCs w:val="20"/>
                <w:color w:val="auto"/>
              </w:rPr>
            </w:pPr>
            <w:r>
              <w:rPr>
                <w:rFonts w:ascii="Arial" w:cs="Arial" w:eastAsia="Arial" w:hAnsi="Arial"/>
                <w:sz w:val="14"/>
                <w:szCs w:val="14"/>
                <w:u w:val="single" w:color="auto"/>
                <w:color w:val="auto"/>
                <w:w w:val="76"/>
              </w:rPr>
              <w:t>$</w:t>
            </w:r>
          </w:p>
        </w:tc>
        <w:tc>
          <w:tcPr>
            <w:tcW w:w="420" w:type="dxa"/>
            <w:vAlign w:val="bottom"/>
          </w:tcPr>
          <w:p>
            <w:pPr>
              <w:jc w:val="right"/>
              <w:spacing w:after="0" w:line="152" w:lineRule="exact"/>
              <w:rPr>
                <w:sz w:val="20"/>
                <w:szCs w:val="20"/>
                <w:color w:val="auto"/>
              </w:rPr>
            </w:pPr>
            <w:r>
              <w:rPr>
                <w:rFonts w:ascii="Arial" w:cs="Arial" w:eastAsia="Arial" w:hAnsi="Arial"/>
                <w:sz w:val="14"/>
                <w:szCs w:val="14"/>
                <w:color w:val="auto"/>
                <w:w w:val="81"/>
              </w:rPr>
              <w:t>1,004.2</w:t>
            </w:r>
          </w:p>
        </w:tc>
        <w:tc>
          <w:tcPr>
            <w:tcW w:w="220" w:type="dxa"/>
            <w:vAlign w:val="bottom"/>
          </w:tcPr>
          <w:p>
            <w:pPr>
              <w:spacing w:after="0"/>
              <w:rPr>
                <w:sz w:val="13"/>
                <w:szCs w:val="13"/>
                <w:color w:val="auto"/>
              </w:rPr>
            </w:pPr>
          </w:p>
        </w:tc>
        <w:tc>
          <w:tcPr>
            <w:tcW w:w="260" w:type="dxa"/>
            <w:vAlign w:val="bottom"/>
          </w:tcPr>
          <w:p>
            <w:pPr>
              <w:jc w:val="right"/>
              <w:spacing w:after="0" w:line="152" w:lineRule="exact"/>
              <w:rPr>
                <w:sz w:val="20"/>
                <w:szCs w:val="20"/>
                <w:color w:val="auto"/>
              </w:rPr>
            </w:pPr>
            <w:r>
              <w:rPr>
                <w:rFonts w:ascii="Arial" w:cs="Arial" w:eastAsia="Arial" w:hAnsi="Arial"/>
                <w:sz w:val="14"/>
                <w:szCs w:val="14"/>
                <w:color w:val="auto"/>
              </w:rPr>
              <w:t>$</w:t>
            </w:r>
          </w:p>
        </w:tc>
        <w:tc>
          <w:tcPr>
            <w:tcW w:w="440" w:type="dxa"/>
            <w:vAlign w:val="bottom"/>
          </w:tcPr>
          <w:p>
            <w:pPr>
              <w:jc w:val="right"/>
              <w:spacing w:after="0" w:line="152" w:lineRule="exact"/>
              <w:rPr>
                <w:sz w:val="20"/>
                <w:szCs w:val="20"/>
                <w:color w:val="auto"/>
              </w:rPr>
            </w:pPr>
            <w:r>
              <w:rPr>
                <w:rFonts w:ascii="Arial" w:cs="Arial" w:eastAsia="Arial" w:hAnsi="Arial"/>
                <w:sz w:val="14"/>
                <w:szCs w:val="14"/>
                <w:color w:val="auto"/>
                <w:w w:val="89"/>
              </w:rPr>
              <w:t>1,019.9</w:t>
            </w: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5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4" w:lineRule="exact"/>
        <w:rPr>
          <w:sz w:val="20"/>
          <w:szCs w:val="20"/>
          <w:color w:val="auto"/>
        </w:rPr>
      </w:pPr>
    </w:p>
    <w:p>
      <w:pPr>
        <w:ind w:left="1380" w:hanging="268"/>
        <w:spacing w:after="0"/>
        <w:tabs>
          <w:tab w:leader="none" w:pos="1380" w:val="left"/>
        </w:tabs>
        <w:numPr>
          <w:ilvl w:val="0"/>
          <w:numId w:val="104"/>
        </w:numPr>
        <w:rPr>
          <w:rFonts w:ascii="Arial" w:cs="Arial" w:eastAsia="Arial" w:hAnsi="Arial"/>
          <w:sz w:val="23"/>
          <w:szCs w:val="23"/>
          <w:color w:val="auto"/>
          <w:vertAlign w:val="superscript"/>
        </w:rPr>
      </w:pPr>
      <w:r>
        <w:rPr>
          <w:rFonts w:ascii="Arial" w:cs="Arial" w:eastAsia="Arial" w:hAnsi="Arial"/>
          <w:sz w:val="14"/>
          <w:szCs w:val="14"/>
          <w:color w:val="auto"/>
        </w:rPr>
        <w:t>Includes amounts attributable to related party transactions. See Note 15 for further details.</w:t>
      </w:r>
    </w:p>
    <w:p>
      <w:pPr>
        <w:spacing w:after="0" w:line="8" w:lineRule="exact"/>
        <w:rPr>
          <w:rFonts w:ascii="Arial" w:cs="Arial" w:eastAsia="Arial" w:hAnsi="Arial"/>
          <w:sz w:val="23"/>
          <w:szCs w:val="23"/>
          <w:color w:val="auto"/>
          <w:vertAlign w:val="superscript"/>
        </w:rPr>
      </w:pPr>
    </w:p>
    <w:p>
      <w:pPr>
        <w:ind w:left="1380" w:right="180" w:hanging="268"/>
        <w:spacing w:after="0" w:line="186" w:lineRule="auto"/>
        <w:tabs>
          <w:tab w:leader="none" w:pos="1380" w:val="left"/>
        </w:tabs>
        <w:numPr>
          <w:ilvl w:val="0"/>
          <w:numId w:val="104"/>
        </w:numPr>
        <w:rPr>
          <w:rFonts w:ascii="Arial" w:cs="Arial" w:eastAsia="Arial" w:hAnsi="Arial"/>
          <w:sz w:val="23"/>
          <w:szCs w:val="23"/>
          <w:color w:val="auto"/>
          <w:vertAlign w:val="superscript"/>
        </w:rPr>
      </w:pPr>
      <w:r>
        <w:rPr>
          <w:rFonts w:ascii="Arial" w:cs="Arial" w:eastAsia="Arial" w:hAnsi="Arial"/>
          <w:sz w:val="14"/>
          <w:szCs w:val="14"/>
          <w:color w:val="auto"/>
        </w:rPr>
        <w:t>Class A shares issued and outstanding as of December 31, 2017 exclude 14.7 million unvested restricted stock awards granted to the Company’s co-founders. See Note 11 for further details.</w:t>
      </w:r>
    </w:p>
    <w:p>
      <w:pPr>
        <w:spacing w:after="0" w:line="175" w:lineRule="exact"/>
        <w:rPr>
          <w:sz w:val="20"/>
          <w:szCs w:val="20"/>
          <w:color w:val="auto"/>
        </w:rPr>
      </w:pPr>
    </w:p>
    <w:p>
      <w:pPr>
        <w:jc w:val="center"/>
        <w:ind w:right="-1099"/>
        <w:spacing w:after="0"/>
        <w:rPr>
          <w:sz w:val="20"/>
          <w:szCs w:val="20"/>
          <w:color w:val="auto"/>
        </w:rPr>
      </w:pPr>
      <w:r>
        <w:rPr>
          <w:rFonts w:ascii="Arial" w:cs="Arial" w:eastAsia="Arial" w:hAnsi="Arial"/>
          <w:sz w:val="15"/>
          <w:szCs w:val="15"/>
          <w:i w:val="1"/>
          <w:iCs w:val="1"/>
          <w:color w:val="auto"/>
        </w:rPr>
        <w:t>See accompanying Notes to Consolidated Financial Statements.</w:t>
      </w:r>
    </w:p>
    <w:p>
      <w:pPr>
        <w:spacing w:after="0" w:line="132" w:lineRule="exact"/>
        <w:rPr>
          <w:sz w:val="20"/>
          <w:szCs w:val="20"/>
          <w:color w:val="auto"/>
        </w:rPr>
      </w:pPr>
    </w:p>
    <w:p>
      <w:pPr>
        <w:jc w:val="center"/>
        <w:ind w:right="-1099"/>
        <w:spacing w:after="0"/>
        <w:rPr>
          <w:sz w:val="20"/>
          <w:szCs w:val="20"/>
          <w:color w:val="auto"/>
        </w:rPr>
      </w:pPr>
      <w:r>
        <w:rPr>
          <w:rFonts w:ascii="Arial" w:cs="Arial" w:eastAsia="Arial" w:hAnsi="Arial"/>
          <w:sz w:val="15"/>
          <w:szCs w:val="15"/>
          <w:color w:val="auto"/>
        </w:rPr>
        <w:t>F-3</w:t>
      </w:r>
    </w:p>
    <w:p>
      <w:pPr>
        <w:sectPr>
          <w:pgSz w:w="11900" w:h="16838" w:orient="portrait"/>
          <w:cols w:equalWidth="0" w:num="1">
            <w:col w:w="10320"/>
          </w:cols>
          <w:pgMar w:left="240" w:top="408" w:right="1339" w:bottom="1440" w:gutter="0" w:footer="0" w:header="0"/>
        </w:sectPr>
      </w:pPr>
    </w:p>
    <w:bookmarkStart w:id="206" w:name="page207"/>
    <w:bookmarkEnd w:id="206"/>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133350</wp:posOffset>
            </wp:positionH>
            <wp:positionV relativeFrom="page">
              <wp:posOffset>88900</wp:posOffset>
            </wp:positionV>
            <wp:extent cx="7308850" cy="3429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308850" cy="34290"/>
                    </a:xfrm>
                    <a:prstGeom prst="rect">
                      <a:avLst/>
                    </a:prstGeom>
                    <a:noFill/>
                  </pic:spPr>
                </pic:pic>
              </a:graphicData>
            </a:graphic>
          </wp:anchor>
        </w:drawing>
      </w:r>
      <w:hyperlink w:anchor="page7">
        <w:r>
          <w:rPr>
            <w:rFonts w:ascii="Arial" w:cs="Arial" w:eastAsia="Arial" w:hAnsi="Arial"/>
            <w:sz w:val="15"/>
            <w:szCs w:val="15"/>
            <w:b w:val="1"/>
            <w:bCs w:val="1"/>
            <w:u w:val="single" w:color="auto"/>
            <w:color w:val="0000EE"/>
          </w:rPr>
          <w:t>Table of Contents</w:t>
        </w:r>
      </w:hyperlink>
    </w:p>
    <w:p>
      <w:pPr>
        <w:spacing w:after="0" w:line="256" w:lineRule="exact"/>
        <w:rPr>
          <w:sz w:val="20"/>
          <w:szCs w:val="20"/>
          <w:color w:val="auto"/>
        </w:rPr>
      </w:pPr>
    </w:p>
    <w:p>
      <w:pPr>
        <w:jc w:val="center"/>
        <w:ind w:right="-1099"/>
        <w:spacing w:after="0"/>
        <w:rPr>
          <w:sz w:val="20"/>
          <w:szCs w:val="20"/>
          <w:color w:val="auto"/>
        </w:rPr>
      </w:pPr>
      <w:r>
        <w:rPr>
          <w:rFonts w:ascii="Arial" w:cs="Arial" w:eastAsia="Arial" w:hAnsi="Arial"/>
          <w:sz w:val="15"/>
          <w:szCs w:val="15"/>
          <w:b w:val="1"/>
          <w:bCs w:val="1"/>
          <w:color w:val="auto"/>
        </w:rPr>
        <w:t>DROPBOX, INC.</w:t>
      </w:r>
    </w:p>
    <w:p>
      <w:pPr>
        <w:spacing w:after="0" w:line="21" w:lineRule="exact"/>
        <w:rPr>
          <w:sz w:val="20"/>
          <w:szCs w:val="20"/>
          <w:color w:val="auto"/>
        </w:rPr>
      </w:pPr>
    </w:p>
    <w:p>
      <w:pPr>
        <w:jc w:val="center"/>
        <w:ind w:right="-1099"/>
        <w:spacing w:after="0"/>
        <w:rPr>
          <w:sz w:val="20"/>
          <w:szCs w:val="20"/>
          <w:color w:val="auto"/>
        </w:rPr>
      </w:pPr>
      <w:r>
        <w:rPr>
          <w:rFonts w:ascii="Arial" w:cs="Arial" w:eastAsia="Arial" w:hAnsi="Arial"/>
          <w:sz w:val="15"/>
          <w:szCs w:val="15"/>
          <w:b w:val="1"/>
          <w:bCs w:val="1"/>
          <w:color w:val="auto"/>
        </w:rPr>
        <w:t>CONSOLIDATED STATEMENTS OF OPERATIONS</w:t>
      </w:r>
    </w:p>
    <w:p>
      <w:pPr>
        <w:spacing w:after="0" w:line="8" w:lineRule="exact"/>
        <w:rPr>
          <w:sz w:val="20"/>
          <w:szCs w:val="20"/>
          <w:color w:val="auto"/>
        </w:rPr>
      </w:pPr>
    </w:p>
    <w:p>
      <w:pPr>
        <w:jc w:val="center"/>
        <w:ind w:right="-1099"/>
        <w:spacing w:after="0"/>
        <w:rPr>
          <w:sz w:val="20"/>
          <w:szCs w:val="20"/>
          <w:color w:val="auto"/>
        </w:rPr>
      </w:pPr>
      <w:r>
        <w:rPr>
          <w:rFonts w:ascii="Arial" w:cs="Arial" w:eastAsia="Arial" w:hAnsi="Arial"/>
          <w:sz w:val="15"/>
          <w:szCs w:val="15"/>
          <w:i w:val="1"/>
          <w:iCs w:val="1"/>
          <w:color w:val="auto"/>
        </w:rPr>
        <w:t>(In millions, except per share data)</w:t>
      </w:r>
    </w:p>
    <w:p>
      <w:pPr>
        <w:spacing w:after="0" w:line="192" w:lineRule="exact"/>
        <w:rPr>
          <w:sz w:val="20"/>
          <w:szCs w:val="20"/>
          <w:color w:val="auto"/>
        </w:rPr>
      </w:pPr>
    </w:p>
    <w:tbl>
      <w:tblPr>
        <w:tblLayout w:type="fixed"/>
        <w:tblInd w:w="1120" w:type="dxa"/>
        <w:tblCellMar>
          <w:top w:w="0" w:type="dxa"/>
          <w:left w:w="0" w:type="dxa"/>
          <w:bottom w:w="0" w:type="dxa"/>
          <w:right w:w="0" w:type="dxa"/>
        </w:tblCellMar>
      </w:tblPr>
      <w:tr>
        <w:trPr>
          <w:trHeight w:val="144"/>
        </w:trPr>
        <w:tc>
          <w:tcPr>
            <w:tcW w:w="20" w:type="dxa"/>
            <w:vAlign w:val="bottom"/>
          </w:tcPr>
          <w:p>
            <w:pPr>
              <w:spacing w:after="0"/>
              <w:rPr>
                <w:sz w:val="12"/>
                <w:szCs w:val="12"/>
                <w:color w:val="auto"/>
              </w:rPr>
            </w:pPr>
          </w:p>
        </w:tc>
        <w:tc>
          <w:tcPr>
            <w:tcW w:w="6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700" w:type="dxa"/>
            <w:vAlign w:val="bottom"/>
            <w:tcBorders>
              <w:bottom w:val="single" w:sz="8" w:color="auto"/>
            </w:tcBorders>
            <w:gridSpan w:val="8"/>
          </w:tcPr>
          <w:p>
            <w:pPr>
              <w:jc w:val="right"/>
              <w:spacing w:after="0"/>
              <w:rPr>
                <w:sz w:val="20"/>
                <w:szCs w:val="20"/>
                <w:color w:val="auto"/>
              </w:rPr>
            </w:pPr>
            <w:r>
              <w:rPr>
                <w:rFonts w:ascii="Arial" w:cs="Arial" w:eastAsia="Arial" w:hAnsi="Arial"/>
                <w:sz w:val="12"/>
                <w:szCs w:val="12"/>
                <w:b w:val="1"/>
                <w:bCs w:val="1"/>
                <w:color w:val="auto"/>
              </w:rPr>
              <w:t>Year ended December 31,</w:t>
            </w:r>
          </w:p>
        </w:tc>
        <w:tc>
          <w:tcPr>
            <w:tcW w:w="46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6720" w:type="dxa"/>
            <w:vAlign w:val="bottom"/>
            <w:tcBorders>
              <w:bottom w:val="single" w:sz="8" w:color="CCEEFF"/>
            </w:tcBorders>
          </w:tcPr>
          <w:p>
            <w:pPr>
              <w:spacing w:after="0"/>
              <w:rPr>
                <w:sz w:val="10"/>
                <w:szCs w:val="10"/>
                <w:color w:val="auto"/>
              </w:rPr>
            </w:pPr>
          </w:p>
        </w:tc>
        <w:tc>
          <w:tcPr>
            <w:tcW w:w="140" w:type="dxa"/>
            <w:vAlign w:val="bottom"/>
            <w:tcBorders>
              <w:bottom w:val="single" w:sz="8" w:color="CCEEFF"/>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420" w:type="dxa"/>
            <w:vAlign w:val="bottom"/>
            <w:tcBorders>
              <w:bottom w:val="single" w:sz="8" w:color="auto"/>
            </w:tcBorders>
          </w:tcPr>
          <w:p>
            <w:pPr>
              <w:jc w:val="right"/>
              <w:ind w:right="67"/>
              <w:spacing w:after="0" w:line="115" w:lineRule="exact"/>
              <w:rPr>
                <w:sz w:val="20"/>
                <w:szCs w:val="20"/>
                <w:color w:val="auto"/>
              </w:rPr>
            </w:pPr>
            <w:r>
              <w:rPr>
                <w:rFonts w:ascii="Arial" w:cs="Arial" w:eastAsia="Arial" w:hAnsi="Arial"/>
                <w:sz w:val="12"/>
                <w:szCs w:val="12"/>
                <w:b w:val="1"/>
                <w:bCs w:val="1"/>
                <w:color w:val="auto"/>
                <w:w w:val="97"/>
              </w:rPr>
              <w:t>2015</w:t>
            </w:r>
          </w:p>
        </w:tc>
        <w:tc>
          <w:tcPr>
            <w:tcW w:w="200" w:type="dxa"/>
            <w:vAlign w:val="bottom"/>
            <w:tcBorders>
              <w:bottom w:val="single" w:sz="8" w:color="CCEEFF"/>
            </w:tcBorders>
          </w:tcPr>
          <w:p>
            <w:pPr>
              <w:spacing w:after="0"/>
              <w:rPr>
                <w:sz w:val="10"/>
                <w:szCs w:val="10"/>
                <w:color w:val="auto"/>
              </w:rPr>
            </w:pPr>
          </w:p>
        </w:tc>
        <w:tc>
          <w:tcPr>
            <w:tcW w:w="160" w:type="dxa"/>
            <w:vAlign w:val="bottom"/>
            <w:tcBorders>
              <w:bottom w:val="single" w:sz="8" w:color="CCEEFF"/>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jc w:val="right"/>
              <w:ind w:right="46"/>
              <w:spacing w:after="0" w:line="115" w:lineRule="exact"/>
              <w:rPr>
                <w:sz w:val="20"/>
                <w:szCs w:val="20"/>
                <w:color w:val="auto"/>
              </w:rPr>
            </w:pPr>
            <w:r>
              <w:rPr>
                <w:rFonts w:ascii="Arial" w:cs="Arial" w:eastAsia="Arial" w:hAnsi="Arial"/>
                <w:sz w:val="12"/>
                <w:szCs w:val="12"/>
                <w:b w:val="1"/>
                <w:bCs w:val="1"/>
                <w:color w:val="auto"/>
                <w:w w:val="97"/>
              </w:rPr>
              <w:t>2016</w:t>
            </w:r>
          </w:p>
        </w:tc>
        <w:tc>
          <w:tcPr>
            <w:tcW w:w="200" w:type="dxa"/>
            <w:vAlign w:val="bottom"/>
            <w:tcBorders>
              <w:bottom w:val="single" w:sz="8" w:color="CCEEFF"/>
            </w:tcBorders>
          </w:tcPr>
          <w:p>
            <w:pPr>
              <w:spacing w:after="0"/>
              <w:rPr>
                <w:sz w:val="10"/>
                <w:szCs w:val="10"/>
                <w:color w:val="auto"/>
              </w:rPr>
            </w:pPr>
          </w:p>
        </w:tc>
        <w:tc>
          <w:tcPr>
            <w:tcW w:w="160" w:type="dxa"/>
            <w:vAlign w:val="bottom"/>
            <w:tcBorders>
              <w:bottom w:val="single" w:sz="8" w:color="CCEEFF"/>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tcPr>
          <w:p>
            <w:pPr>
              <w:jc w:val="right"/>
              <w:ind w:right="86"/>
              <w:spacing w:after="0" w:line="115" w:lineRule="exact"/>
              <w:rPr>
                <w:sz w:val="20"/>
                <w:szCs w:val="20"/>
                <w:color w:val="auto"/>
              </w:rPr>
            </w:pPr>
            <w:r>
              <w:rPr>
                <w:rFonts w:ascii="Arial" w:cs="Arial" w:eastAsia="Arial" w:hAnsi="Arial"/>
                <w:sz w:val="12"/>
                <w:szCs w:val="12"/>
                <w:b w:val="1"/>
                <w:bCs w:val="1"/>
                <w:color w:val="auto"/>
              </w:rPr>
              <w:t>2017</w:t>
            </w:r>
          </w:p>
        </w:tc>
        <w:tc>
          <w:tcPr>
            <w:tcW w:w="80" w:type="dxa"/>
            <w:vAlign w:val="bottom"/>
            <w:tcBorders>
              <w:bottom w:val="single" w:sz="8" w:color="CCEEFF"/>
            </w:tcBorders>
          </w:tcPr>
          <w:p>
            <w:pPr>
              <w:spacing w:after="0"/>
              <w:rPr>
                <w:sz w:val="10"/>
                <w:szCs w:val="10"/>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6720" w:type="dxa"/>
            <w:vAlign w:val="bottom"/>
            <w:shd w:val="clear" w:color="auto" w:fill="CCEEFF"/>
          </w:tcPr>
          <w:p>
            <w:pPr>
              <w:spacing w:after="0" w:line="170" w:lineRule="exact"/>
              <w:rPr>
                <w:sz w:val="20"/>
                <w:szCs w:val="20"/>
                <w:color w:val="auto"/>
              </w:rPr>
            </w:pPr>
            <w:r>
              <w:rPr>
                <w:rFonts w:ascii="Arial" w:cs="Arial" w:eastAsia="Arial" w:hAnsi="Arial"/>
                <w:sz w:val="15"/>
                <w:szCs w:val="15"/>
                <w:color w:val="auto"/>
              </w:rPr>
              <w:t>Revenue</w:t>
            </w: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603.8</w:t>
            </w:r>
          </w:p>
        </w:tc>
        <w:tc>
          <w:tcPr>
            <w:tcW w:w="2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844.8</w:t>
            </w:r>
          </w:p>
        </w:tc>
        <w:tc>
          <w:tcPr>
            <w:tcW w:w="2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5"/>
                <w:szCs w:val="15"/>
                <w:color w:val="auto"/>
                <w:w w:val="83"/>
              </w:rPr>
              <w:t>1,106.8</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6720" w:type="dxa"/>
            <w:vAlign w:val="bottom"/>
          </w:tcPr>
          <w:p>
            <w:pPr>
              <w:ind w:left="280"/>
              <w:spacing w:after="0"/>
              <w:rPr>
                <w:sz w:val="20"/>
                <w:szCs w:val="20"/>
                <w:color w:val="auto"/>
              </w:rPr>
            </w:pPr>
            <w:r>
              <w:rPr>
                <w:rFonts w:ascii="Arial" w:cs="Arial" w:eastAsia="Arial" w:hAnsi="Arial"/>
                <w:sz w:val="15"/>
                <w:szCs w:val="15"/>
                <w:color w:val="auto"/>
              </w:rPr>
              <w:t>Cost of revenue</w:t>
            </w:r>
            <w:r>
              <w:rPr>
                <w:rFonts w:ascii="Arial" w:cs="Arial" w:eastAsia="Arial" w:hAnsi="Arial"/>
                <w:sz w:val="12"/>
                <w:szCs w:val="12"/>
                <w:color w:val="auto"/>
              </w:rPr>
              <w:t>(1)</w:t>
            </w:r>
          </w:p>
        </w:tc>
        <w:tc>
          <w:tcPr>
            <w:tcW w:w="14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407.4</w:t>
            </w: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390.6</w:t>
            </w: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368.9</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720" w:type="dxa"/>
            <w:vAlign w:val="bottom"/>
            <w:shd w:val="clear" w:color="auto" w:fill="CCEEFF"/>
          </w:tcPr>
          <w:p>
            <w:pPr>
              <w:spacing w:after="0"/>
              <w:rPr>
                <w:sz w:val="20"/>
                <w:szCs w:val="20"/>
                <w:color w:val="auto"/>
              </w:rPr>
            </w:pPr>
            <w:r>
              <w:rPr>
                <w:rFonts w:ascii="Arial" w:cs="Arial" w:eastAsia="Arial" w:hAnsi="Arial"/>
                <w:sz w:val="15"/>
                <w:szCs w:val="15"/>
                <w:color w:val="auto"/>
              </w:rPr>
              <w:t>Gross profit</w:t>
            </w: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196.4</w:t>
            </w:r>
          </w:p>
        </w:tc>
        <w:tc>
          <w:tcPr>
            <w:tcW w:w="2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454.2</w:t>
            </w:r>
          </w:p>
        </w:tc>
        <w:tc>
          <w:tcPr>
            <w:tcW w:w="2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737.9</w:t>
            </w: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720" w:type="dxa"/>
            <w:vAlign w:val="bottom"/>
          </w:tcPr>
          <w:p>
            <w:pPr>
              <w:spacing w:after="0"/>
              <w:rPr>
                <w:sz w:val="20"/>
                <w:szCs w:val="20"/>
                <w:color w:val="auto"/>
              </w:rPr>
            </w:pPr>
            <w:r>
              <w:rPr>
                <w:rFonts w:ascii="Arial" w:cs="Arial" w:eastAsia="Arial" w:hAnsi="Arial"/>
                <w:sz w:val="15"/>
                <w:szCs w:val="15"/>
                <w:color w:val="auto"/>
              </w:rPr>
              <w:t>Operating expenses</w:t>
            </w:r>
            <w:r>
              <w:rPr>
                <w:rFonts w:ascii="Arial" w:cs="Arial" w:eastAsia="Arial" w:hAnsi="Arial"/>
                <w:sz w:val="12"/>
                <w:szCs w:val="12"/>
                <w:color w:val="auto"/>
              </w:rPr>
              <w:t>(1)</w:t>
            </w:r>
            <w:r>
              <w:rPr>
                <w:rFonts w:ascii="Arial" w:cs="Arial" w:eastAsia="Arial" w:hAnsi="Arial"/>
                <w:sz w:val="15"/>
                <w:szCs w:val="15"/>
                <w:color w:val="auto"/>
              </w:rPr>
              <w:t>:</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720" w:type="dxa"/>
            <w:vAlign w:val="bottom"/>
            <w:shd w:val="clear" w:color="auto" w:fill="CCEEFF"/>
          </w:tcPr>
          <w:p>
            <w:pPr>
              <w:ind w:left="280"/>
              <w:spacing w:after="0"/>
              <w:rPr>
                <w:sz w:val="20"/>
                <w:szCs w:val="20"/>
                <w:color w:val="auto"/>
              </w:rPr>
            </w:pPr>
            <w:r>
              <w:rPr>
                <w:rFonts w:ascii="Arial" w:cs="Arial" w:eastAsia="Arial" w:hAnsi="Arial"/>
                <w:sz w:val="15"/>
                <w:szCs w:val="15"/>
                <w:color w:val="auto"/>
              </w:rPr>
              <w:t>Research and development</w:t>
            </w: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201.6</w:t>
            </w:r>
          </w:p>
        </w:tc>
        <w:tc>
          <w:tcPr>
            <w:tcW w:w="2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289.7</w:t>
            </w:r>
          </w:p>
        </w:tc>
        <w:tc>
          <w:tcPr>
            <w:tcW w:w="2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380.3</w:t>
            </w: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720" w:type="dxa"/>
            <w:vAlign w:val="bottom"/>
          </w:tcPr>
          <w:p>
            <w:pPr>
              <w:ind w:left="280"/>
              <w:spacing w:after="0"/>
              <w:rPr>
                <w:sz w:val="20"/>
                <w:szCs w:val="20"/>
                <w:color w:val="auto"/>
              </w:rPr>
            </w:pPr>
            <w:r>
              <w:rPr>
                <w:rFonts w:ascii="Arial" w:cs="Arial" w:eastAsia="Arial" w:hAnsi="Arial"/>
                <w:sz w:val="15"/>
                <w:szCs w:val="15"/>
                <w:color w:val="auto"/>
              </w:rPr>
              <w:t>Sales and marketing</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20" w:type="dxa"/>
            <w:vAlign w:val="bottom"/>
          </w:tcPr>
          <w:p>
            <w:pPr>
              <w:jc w:val="right"/>
              <w:spacing w:after="0"/>
              <w:rPr>
                <w:sz w:val="20"/>
                <w:szCs w:val="20"/>
                <w:color w:val="auto"/>
              </w:rPr>
            </w:pPr>
            <w:r>
              <w:rPr>
                <w:rFonts w:ascii="Arial" w:cs="Arial" w:eastAsia="Arial" w:hAnsi="Arial"/>
                <w:sz w:val="15"/>
                <w:szCs w:val="15"/>
                <w:color w:val="auto"/>
              </w:rPr>
              <w:t>193.1</w:t>
            </w: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0" w:type="dxa"/>
            <w:vAlign w:val="bottom"/>
          </w:tcPr>
          <w:p>
            <w:pPr>
              <w:jc w:val="right"/>
              <w:spacing w:after="0"/>
              <w:rPr>
                <w:sz w:val="20"/>
                <w:szCs w:val="20"/>
                <w:color w:val="auto"/>
              </w:rPr>
            </w:pPr>
            <w:r>
              <w:rPr>
                <w:rFonts w:ascii="Arial" w:cs="Arial" w:eastAsia="Arial" w:hAnsi="Arial"/>
                <w:sz w:val="15"/>
                <w:szCs w:val="15"/>
                <w:color w:val="auto"/>
              </w:rPr>
              <w:t>250.6</w:t>
            </w: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Arial" w:cs="Arial" w:eastAsia="Arial" w:hAnsi="Arial"/>
                <w:sz w:val="15"/>
                <w:szCs w:val="15"/>
                <w:color w:val="auto"/>
              </w:rPr>
              <w:t>314.0</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720" w:type="dxa"/>
            <w:vAlign w:val="bottom"/>
            <w:shd w:val="clear" w:color="auto" w:fill="CCEEFF"/>
          </w:tcPr>
          <w:p>
            <w:pPr>
              <w:ind w:left="280"/>
              <w:spacing w:after="0"/>
              <w:rPr>
                <w:sz w:val="20"/>
                <w:szCs w:val="20"/>
                <w:color w:val="auto"/>
              </w:rPr>
            </w:pPr>
            <w:r>
              <w:rPr>
                <w:rFonts w:ascii="Arial" w:cs="Arial" w:eastAsia="Arial" w:hAnsi="Arial"/>
                <w:sz w:val="15"/>
                <w:szCs w:val="15"/>
                <w:color w:val="auto"/>
              </w:rPr>
              <w:t>General and administrative</w:t>
            </w:r>
            <w:r>
              <w:rPr>
                <w:rFonts w:ascii="Arial" w:cs="Arial" w:eastAsia="Arial" w:hAnsi="Arial"/>
                <w:sz w:val="12"/>
                <w:szCs w:val="12"/>
                <w:color w:val="auto"/>
              </w:rPr>
              <w:t>(2)</w:t>
            </w:r>
          </w:p>
        </w:tc>
        <w:tc>
          <w:tcPr>
            <w:tcW w:w="140" w:type="dxa"/>
            <w:vAlign w:val="bottom"/>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107.9</w:t>
            </w:r>
          </w:p>
        </w:tc>
        <w:tc>
          <w:tcPr>
            <w:tcW w:w="2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107.4</w:t>
            </w:r>
          </w:p>
        </w:tc>
        <w:tc>
          <w:tcPr>
            <w:tcW w:w="2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157.3</w:t>
            </w: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6740" w:type="dxa"/>
            <w:vAlign w:val="bottom"/>
            <w:gridSpan w:val="2"/>
          </w:tcPr>
          <w:p>
            <w:pPr>
              <w:spacing w:after="0"/>
              <w:rPr>
                <w:sz w:val="20"/>
                <w:szCs w:val="20"/>
                <w:color w:val="auto"/>
              </w:rPr>
            </w:pPr>
            <w:r>
              <w:rPr>
                <w:rFonts w:ascii="Arial" w:cs="Arial" w:eastAsia="Arial" w:hAnsi="Arial"/>
                <w:sz w:val="15"/>
                <w:szCs w:val="15"/>
                <w:color w:val="auto"/>
              </w:rPr>
              <w:t>Total operating expenses</w:t>
            </w:r>
          </w:p>
        </w:tc>
        <w:tc>
          <w:tcPr>
            <w:tcW w:w="14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502.6</w:t>
            </w: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647.7</w:t>
            </w: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851.6</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720" w:type="dxa"/>
            <w:vAlign w:val="bottom"/>
            <w:shd w:val="clear" w:color="auto" w:fill="CCEEFF"/>
          </w:tcPr>
          <w:p>
            <w:pPr>
              <w:spacing w:after="0"/>
              <w:rPr>
                <w:sz w:val="20"/>
                <w:szCs w:val="20"/>
                <w:color w:val="auto"/>
              </w:rPr>
            </w:pPr>
            <w:r>
              <w:rPr>
                <w:rFonts w:ascii="Arial" w:cs="Arial" w:eastAsia="Arial" w:hAnsi="Arial"/>
                <w:sz w:val="15"/>
                <w:szCs w:val="15"/>
                <w:color w:val="auto"/>
              </w:rPr>
              <w:t>Loss from operations</w:t>
            </w: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w w:val="92"/>
              </w:rPr>
              <w:t>(306.2)</w:t>
            </w:r>
          </w:p>
        </w:tc>
        <w:tc>
          <w:tcPr>
            <w:tcW w:w="1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w w:val="88"/>
              </w:rPr>
              <w:t>(193.5)</w:t>
            </w:r>
          </w:p>
        </w:tc>
        <w:tc>
          <w:tcPr>
            <w:tcW w:w="1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(113.7)</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720" w:type="dxa"/>
            <w:vAlign w:val="bottom"/>
          </w:tcPr>
          <w:p>
            <w:pPr>
              <w:spacing w:after="0"/>
              <w:rPr>
                <w:sz w:val="20"/>
                <w:szCs w:val="20"/>
                <w:color w:val="auto"/>
              </w:rPr>
            </w:pPr>
            <w:r>
              <w:rPr>
                <w:rFonts w:ascii="Arial" w:cs="Arial" w:eastAsia="Arial" w:hAnsi="Arial"/>
                <w:sz w:val="15"/>
                <w:szCs w:val="15"/>
                <w:color w:val="auto"/>
              </w:rPr>
              <w:t>Interest expense, net</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5"/>
                <w:szCs w:val="15"/>
                <w:color w:val="auto"/>
              </w:rPr>
              <w:t>(15.2)</w:t>
            </w: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5"/>
                <w:szCs w:val="15"/>
                <w:color w:val="auto"/>
              </w:rPr>
              <w:t>(16.4)</w:t>
            </w: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gridSpan w:val="2"/>
          </w:tcPr>
          <w:p>
            <w:pPr>
              <w:jc w:val="right"/>
              <w:ind w:right="40"/>
              <w:spacing w:after="0"/>
              <w:rPr>
                <w:sz w:val="20"/>
                <w:szCs w:val="20"/>
                <w:color w:val="auto"/>
              </w:rPr>
            </w:pPr>
            <w:r>
              <w:rPr>
                <w:rFonts w:ascii="Arial" w:cs="Arial" w:eastAsia="Arial" w:hAnsi="Arial"/>
                <w:sz w:val="15"/>
                <w:szCs w:val="15"/>
                <w:color w:val="auto"/>
              </w:rPr>
              <w:t>(11.0)</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720" w:type="dxa"/>
            <w:vAlign w:val="bottom"/>
            <w:shd w:val="clear" w:color="auto" w:fill="CCEEFF"/>
          </w:tcPr>
          <w:p>
            <w:pPr>
              <w:spacing w:after="0"/>
              <w:rPr>
                <w:sz w:val="20"/>
                <w:szCs w:val="20"/>
                <w:color w:val="auto"/>
              </w:rPr>
            </w:pPr>
            <w:r>
              <w:rPr>
                <w:rFonts w:ascii="Arial" w:cs="Arial" w:eastAsia="Arial" w:hAnsi="Arial"/>
                <w:sz w:val="15"/>
                <w:szCs w:val="15"/>
                <w:color w:val="auto"/>
              </w:rPr>
              <w:t>Other income (expense), net</w:t>
            </w: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(4.2)</w:t>
            </w:r>
          </w:p>
        </w:tc>
        <w:tc>
          <w:tcPr>
            <w:tcW w:w="1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4.9</w:t>
            </w:r>
          </w:p>
        </w:tc>
        <w:tc>
          <w:tcPr>
            <w:tcW w:w="2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13.2</w:t>
            </w: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6740" w:type="dxa"/>
            <w:vAlign w:val="bottom"/>
            <w:gridSpan w:val="2"/>
            <w:vMerge w:val="restart"/>
          </w:tcPr>
          <w:p>
            <w:pPr>
              <w:spacing w:after="0"/>
              <w:rPr>
                <w:sz w:val="20"/>
                <w:szCs w:val="20"/>
                <w:color w:val="auto"/>
              </w:rPr>
            </w:pPr>
            <w:r>
              <w:rPr>
                <w:rFonts w:ascii="Arial" w:cs="Arial" w:eastAsia="Arial" w:hAnsi="Arial"/>
                <w:sz w:val="15"/>
                <w:szCs w:val="15"/>
                <w:color w:val="auto"/>
              </w:rPr>
              <w:t>Loss before income taxes</w:t>
            </w: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74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5"/>
                <w:szCs w:val="15"/>
                <w:color w:val="auto"/>
                <w:w w:val="92"/>
              </w:rPr>
              <w:t>(325.6)</w:t>
            </w: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5"/>
                <w:szCs w:val="15"/>
                <w:color w:val="auto"/>
                <w:w w:val="88"/>
              </w:rPr>
              <w:t>(205.0)</w:t>
            </w: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gridSpan w:val="2"/>
          </w:tcPr>
          <w:p>
            <w:pPr>
              <w:jc w:val="right"/>
              <w:ind w:right="40"/>
              <w:spacing w:after="0"/>
              <w:rPr>
                <w:sz w:val="20"/>
                <w:szCs w:val="20"/>
                <w:color w:val="auto"/>
              </w:rPr>
            </w:pPr>
            <w:r>
              <w:rPr>
                <w:rFonts w:ascii="Arial" w:cs="Arial" w:eastAsia="Arial" w:hAnsi="Arial"/>
                <w:sz w:val="15"/>
                <w:szCs w:val="15"/>
                <w:color w:val="auto"/>
              </w:rPr>
              <w:t>(111.5)</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6720" w:type="dxa"/>
            <w:vAlign w:val="bottom"/>
            <w:shd w:val="clear" w:color="auto" w:fill="CCEEFF"/>
          </w:tcPr>
          <w:p>
            <w:pPr>
              <w:spacing w:after="0"/>
              <w:rPr>
                <w:sz w:val="20"/>
                <w:szCs w:val="20"/>
                <w:color w:val="auto"/>
              </w:rPr>
            </w:pPr>
            <w:r>
              <w:rPr>
                <w:rFonts w:ascii="Arial" w:cs="Arial" w:eastAsia="Arial" w:hAnsi="Arial"/>
                <w:sz w:val="15"/>
                <w:szCs w:val="15"/>
                <w:color w:val="auto"/>
              </w:rPr>
              <w:t>Provision for income taxes</w:t>
            </w: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(0.3)</w:t>
            </w:r>
          </w:p>
        </w:tc>
        <w:tc>
          <w:tcPr>
            <w:tcW w:w="1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(5.2)</w:t>
            </w:r>
          </w:p>
        </w:tc>
        <w:tc>
          <w:tcPr>
            <w:tcW w:w="1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(0.2)</w:t>
            </w:r>
          </w:p>
        </w:tc>
        <w:tc>
          <w:tcPr>
            <w:tcW w:w="0" w:type="dxa"/>
            <w:vAlign w:val="bottom"/>
          </w:tcPr>
          <w:p>
            <w:pPr>
              <w:spacing w:after="0"/>
              <w:rPr>
                <w:sz w:val="1"/>
                <w:szCs w:val="1"/>
                <w:color w:val="auto"/>
              </w:rPr>
            </w:pPr>
          </w:p>
        </w:tc>
      </w:tr>
      <w:tr>
        <w:trPr>
          <w:trHeight w:val="20"/>
        </w:trPr>
        <w:tc>
          <w:tcPr>
            <w:tcW w:w="6740" w:type="dxa"/>
            <w:vAlign w:val="bottom"/>
            <w:gridSpan w:val="2"/>
            <w:vMerge w:val="restart"/>
          </w:tcPr>
          <w:p>
            <w:pPr>
              <w:spacing w:after="0"/>
              <w:rPr>
                <w:sz w:val="20"/>
                <w:szCs w:val="20"/>
                <w:color w:val="auto"/>
              </w:rPr>
            </w:pPr>
            <w:r>
              <w:rPr>
                <w:rFonts w:ascii="Arial" w:cs="Arial" w:eastAsia="Arial" w:hAnsi="Arial"/>
                <w:sz w:val="15"/>
                <w:szCs w:val="15"/>
                <w:color w:val="auto"/>
              </w:rPr>
              <w:t>Net loss</w:t>
            </w: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74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gridSpan w:val="2"/>
          </w:tcPr>
          <w:p>
            <w:pPr>
              <w:jc w:val="right"/>
              <w:ind w:right="160"/>
              <w:spacing w:after="0"/>
              <w:rPr>
                <w:sz w:val="20"/>
                <w:szCs w:val="20"/>
                <w:color w:val="auto"/>
              </w:rPr>
            </w:pPr>
            <w:r>
              <w:rPr>
                <w:rFonts w:ascii="Arial" w:cs="Arial" w:eastAsia="Arial" w:hAnsi="Arial"/>
                <w:sz w:val="15"/>
                <w:szCs w:val="15"/>
                <w:color w:val="auto"/>
                <w:w w:val="92"/>
              </w:rPr>
              <w:t>(325.9)</w:t>
            </w:r>
          </w:p>
        </w:tc>
        <w:tc>
          <w:tcPr>
            <w:tcW w:w="24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600" w:type="dxa"/>
            <w:vAlign w:val="bottom"/>
            <w:gridSpan w:val="2"/>
          </w:tcPr>
          <w:p>
            <w:pPr>
              <w:jc w:val="right"/>
              <w:ind w:right="160"/>
              <w:spacing w:after="0"/>
              <w:rPr>
                <w:sz w:val="20"/>
                <w:szCs w:val="20"/>
                <w:color w:val="auto"/>
              </w:rPr>
            </w:pPr>
            <w:r>
              <w:rPr>
                <w:rFonts w:ascii="Arial" w:cs="Arial" w:eastAsia="Arial" w:hAnsi="Arial"/>
                <w:sz w:val="15"/>
                <w:szCs w:val="15"/>
                <w:color w:val="auto"/>
                <w:w w:val="88"/>
              </w:rPr>
              <w:t>(210.2)</w:t>
            </w:r>
          </w:p>
        </w:tc>
        <w:tc>
          <w:tcPr>
            <w:tcW w:w="24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540" w:type="dxa"/>
            <w:vAlign w:val="bottom"/>
            <w:gridSpan w:val="2"/>
          </w:tcPr>
          <w:p>
            <w:pPr>
              <w:jc w:val="right"/>
              <w:ind w:right="40"/>
              <w:spacing w:after="0"/>
              <w:rPr>
                <w:sz w:val="20"/>
                <w:szCs w:val="20"/>
                <w:color w:val="auto"/>
              </w:rPr>
            </w:pPr>
            <w:r>
              <w:rPr>
                <w:rFonts w:ascii="Arial" w:cs="Arial" w:eastAsia="Arial" w:hAnsi="Arial"/>
                <w:sz w:val="15"/>
                <w:szCs w:val="15"/>
                <w:color w:val="auto"/>
              </w:rPr>
              <w:t>(111.7)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7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20" w:type="dxa"/>
            <w:vAlign w:val="bottom"/>
          </w:tcPr>
          <w:p>
            <w:pPr>
              <w:spacing w:after="0"/>
              <w:rPr>
                <w:sz w:val="14"/>
                <w:szCs w:val="14"/>
                <w:color w:val="auto"/>
              </w:rPr>
            </w:pPr>
          </w:p>
        </w:tc>
        <w:tc>
          <w:tcPr>
            <w:tcW w:w="6720" w:type="dxa"/>
            <w:vAlign w:val="bottom"/>
            <w:shd w:val="clear" w:color="auto" w:fill="CCEEFF"/>
          </w:tcPr>
          <w:p>
            <w:pPr>
              <w:spacing w:after="0" w:line="167" w:lineRule="exact"/>
              <w:rPr>
                <w:sz w:val="20"/>
                <w:szCs w:val="20"/>
                <w:color w:val="auto"/>
              </w:rPr>
            </w:pPr>
            <w:r>
              <w:rPr>
                <w:rFonts w:ascii="Arial" w:cs="Arial" w:eastAsia="Arial" w:hAnsi="Arial"/>
                <w:sz w:val="15"/>
                <w:szCs w:val="15"/>
                <w:color w:val="auto"/>
              </w:rPr>
              <w:t>Net loss per share attributable to common stockholders, basic and diluted</w:t>
            </w:r>
          </w:p>
        </w:tc>
        <w:tc>
          <w:tcPr>
            <w:tcW w:w="220" w:type="dxa"/>
            <w:vAlign w:val="bottom"/>
            <w:gridSpan w:val="2"/>
            <w:shd w:val="clear" w:color="auto" w:fill="CCEEFF"/>
          </w:tcPr>
          <w:p>
            <w:pPr>
              <w:jc w:val="right"/>
              <w:spacing w:after="0" w:line="167" w:lineRule="exact"/>
              <w:rPr>
                <w:sz w:val="20"/>
                <w:szCs w:val="20"/>
                <w:color w:val="auto"/>
              </w:rPr>
            </w:pPr>
            <w:r>
              <w:rPr>
                <w:rFonts w:ascii="Arial" w:cs="Arial" w:eastAsia="Arial" w:hAnsi="Arial"/>
                <w:sz w:val="15"/>
                <w:szCs w:val="15"/>
                <w:color w:val="auto"/>
              </w:rPr>
              <w:t>$</w:t>
            </w:r>
          </w:p>
        </w:tc>
        <w:tc>
          <w:tcPr>
            <w:tcW w:w="620" w:type="dxa"/>
            <w:vAlign w:val="bottom"/>
            <w:gridSpan w:val="2"/>
            <w:shd w:val="clear" w:color="auto" w:fill="CCEEFF"/>
          </w:tcPr>
          <w:p>
            <w:pPr>
              <w:jc w:val="right"/>
              <w:ind w:right="160"/>
              <w:spacing w:after="0" w:line="167" w:lineRule="exact"/>
              <w:rPr>
                <w:sz w:val="20"/>
                <w:szCs w:val="20"/>
                <w:color w:val="auto"/>
              </w:rPr>
            </w:pPr>
            <w:r>
              <w:rPr>
                <w:rFonts w:ascii="Arial" w:cs="Arial" w:eastAsia="Arial" w:hAnsi="Arial"/>
                <w:sz w:val="15"/>
                <w:szCs w:val="15"/>
                <w:color w:val="auto"/>
              </w:rPr>
              <w:t>(1.77)</w:t>
            </w:r>
          </w:p>
        </w:tc>
        <w:tc>
          <w:tcPr>
            <w:tcW w:w="240" w:type="dxa"/>
            <w:vAlign w:val="bottom"/>
            <w:gridSpan w:val="2"/>
            <w:shd w:val="clear" w:color="auto" w:fill="CCEEFF"/>
          </w:tcPr>
          <w:p>
            <w:pPr>
              <w:jc w:val="right"/>
              <w:spacing w:after="0" w:line="167" w:lineRule="exact"/>
              <w:rPr>
                <w:sz w:val="20"/>
                <w:szCs w:val="20"/>
                <w:color w:val="auto"/>
              </w:rPr>
            </w:pPr>
            <w:r>
              <w:rPr>
                <w:rFonts w:ascii="Arial" w:cs="Arial" w:eastAsia="Arial" w:hAnsi="Arial"/>
                <w:sz w:val="15"/>
                <w:szCs w:val="15"/>
                <w:color w:val="auto"/>
              </w:rPr>
              <w:t>$</w:t>
            </w:r>
          </w:p>
        </w:tc>
        <w:tc>
          <w:tcPr>
            <w:tcW w:w="600" w:type="dxa"/>
            <w:vAlign w:val="bottom"/>
            <w:gridSpan w:val="2"/>
            <w:shd w:val="clear" w:color="auto" w:fill="CCEEFF"/>
          </w:tcPr>
          <w:p>
            <w:pPr>
              <w:jc w:val="right"/>
              <w:ind w:right="160"/>
              <w:spacing w:after="0" w:line="167" w:lineRule="exact"/>
              <w:rPr>
                <w:sz w:val="20"/>
                <w:szCs w:val="20"/>
                <w:color w:val="auto"/>
              </w:rPr>
            </w:pPr>
            <w:r>
              <w:rPr>
                <w:rFonts w:ascii="Arial" w:cs="Arial" w:eastAsia="Arial" w:hAnsi="Arial"/>
                <w:sz w:val="15"/>
                <w:szCs w:val="15"/>
                <w:color w:val="auto"/>
              </w:rPr>
              <w:t>(1.11)</w:t>
            </w:r>
          </w:p>
        </w:tc>
        <w:tc>
          <w:tcPr>
            <w:tcW w:w="240" w:type="dxa"/>
            <w:vAlign w:val="bottom"/>
            <w:gridSpan w:val="2"/>
            <w:shd w:val="clear" w:color="auto" w:fill="CCEEFF"/>
          </w:tcPr>
          <w:p>
            <w:pPr>
              <w:jc w:val="right"/>
              <w:spacing w:after="0" w:line="167" w:lineRule="exact"/>
              <w:rPr>
                <w:sz w:val="20"/>
                <w:szCs w:val="20"/>
                <w:color w:val="auto"/>
              </w:rPr>
            </w:pPr>
            <w:r>
              <w:rPr>
                <w:rFonts w:ascii="Arial" w:cs="Arial" w:eastAsia="Arial" w:hAnsi="Arial"/>
                <w:sz w:val="15"/>
                <w:szCs w:val="15"/>
                <w:color w:val="auto"/>
              </w:rPr>
              <w:t>$</w:t>
            </w:r>
          </w:p>
        </w:tc>
        <w:tc>
          <w:tcPr>
            <w:tcW w:w="540" w:type="dxa"/>
            <w:vAlign w:val="bottom"/>
            <w:gridSpan w:val="2"/>
            <w:shd w:val="clear" w:color="auto" w:fill="CCEEFF"/>
          </w:tcPr>
          <w:p>
            <w:pPr>
              <w:jc w:val="right"/>
              <w:ind w:right="40"/>
              <w:spacing w:after="0" w:line="167" w:lineRule="exact"/>
              <w:rPr>
                <w:sz w:val="20"/>
                <w:szCs w:val="20"/>
                <w:color w:val="auto"/>
              </w:rPr>
            </w:pPr>
            <w:r>
              <w:rPr>
                <w:rFonts w:ascii="Arial" w:cs="Arial" w:eastAsia="Arial" w:hAnsi="Arial"/>
                <w:sz w:val="15"/>
                <w:szCs w:val="15"/>
                <w:color w:val="auto"/>
              </w:rPr>
              <w:t>(0.57)</w:t>
            </w:r>
          </w:p>
        </w:tc>
        <w:tc>
          <w:tcPr>
            <w:tcW w:w="0" w:type="dxa"/>
            <w:vAlign w:val="bottom"/>
          </w:tcPr>
          <w:p>
            <w:pPr>
              <w:spacing w:after="0"/>
              <w:rPr>
                <w:sz w:val="1"/>
                <w:szCs w:val="1"/>
                <w:color w:val="auto"/>
              </w:rPr>
            </w:pPr>
          </w:p>
        </w:tc>
      </w:tr>
      <w:tr>
        <w:trPr>
          <w:trHeight w:val="20"/>
        </w:trPr>
        <w:tc>
          <w:tcPr>
            <w:tcW w:w="6740" w:type="dxa"/>
            <w:vAlign w:val="bottom"/>
            <w:gridSpan w:val="2"/>
            <w:vMerge w:val="restart"/>
          </w:tcPr>
          <w:p>
            <w:pPr>
              <w:spacing w:after="0"/>
              <w:rPr>
                <w:sz w:val="20"/>
                <w:szCs w:val="20"/>
                <w:color w:val="auto"/>
              </w:rPr>
            </w:pPr>
            <w:r>
              <w:rPr>
                <w:rFonts w:ascii="Arial" w:cs="Arial" w:eastAsia="Arial" w:hAnsi="Arial"/>
                <w:sz w:val="15"/>
                <w:szCs w:val="15"/>
                <w:color w:val="auto"/>
                <w:w w:val="90"/>
              </w:rPr>
              <w:t>Weighted-average shares used in computing net loss per share attributable to common stockholders, basic and</w:t>
            </w: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6740" w:type="dxa"/>
            <w:vAlign w:val="bottom"/>
            <w:gridSpan w:val="2"/>
            <w:vMerge w:val="continue"/>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6720" w:type="dxa"/>
            <w:vAlign w:val="bottom"/>
          </w:tcPr>
          <w:p>
            <w:pPr>
              <w:ind w:left="120"/>
              <w:spacing w:after="0"/>
              <w:rPr>
                <w:sz w:val="20"/>
                <w:szCs w:val="20"/>
                <w:color w:val="auto"/>
              </w:rPr>
            </w:pPr>
            <w:r>
              <w:rPr>
                <w:rFonts w:ascii="Arial" w:cs="Arial" w:eastAsia="Arial" w:hAnsi="Arial"/>
                <w:sz w:val="15"/>
                <w:szCs w:val="15"/>
                <w:color w:val="auto"/>
              </w:rPr>
              <w:t>diluted</w:t>
            </w:r>
          </w:p>
        </w:tc>
        <w:tc>
          <w:tcPr>
            <w:tcW w:w="14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184.5</w:t>
            </w: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189.1</w:t>
            </w: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195.9</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7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20" w:type="dxa"/>
            <w:vAlign w:val="bottom"/>
          </w:tcPr>
          <w:p>
            <w:pPr>
              <w:spacing w:after="0"/>
              <w:rPr>
                <w:sz w:val="14"/>
                <w:szCs w:val="14"/>
                <w:color w:val="auto"/>
              </w:rPr>
            </w:pPr>
          </w:p>
        </w:tc>
        <w:tc>
          <w:tcPr>
            <w:tcW w:w="6720" w:type="dxa"/>
            <w:vAlign w:val="bottom"/>
            <w:shd w:val="clear" w:color="auto" w:fill="CCEEFF"/>
          </w:tcPr>
          <w:p>
            <w:pPr>
              <w:spacing w:after="0" w:line="167" w:lineRule="exact"/>
              <w:rPr>
                <w:sz w:val="20"/>
                <w:szCs w:val="20"/>
                <w:color w:val="auto"/>
              </w:rPr>
            </w:pPr>
            <w:r>
              <w:rPr>
                <w:rFonts w:ascii="Arial" w:cs="Arial" w:eastAsia="Arial" w:hAnsi="Arial"/>
                <w:sz w:val="15"/>
                <w:szCs w:val="15"/>
                <w:color w:val="auto"/>
              </w:rPr>
              <w:t>Pro forma net loss per share attributable to common stockholders, basic and diluted (unaudited)</w:t>
            </w: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40" w:type="dxa"/>
            <w:vAlign w:val="bottom"/>
            <w:gridSpan w:val="2"/>
            <w:shd w:val="clear" w:color="auto" w:fill="CCEEFF"/>
          </w:tcPr>
          <w:p>
            <w:pPr>
              <w:jc w:val="right"/>
              <w:spacing w:after="0" w:line="167" w:lineRule="exact"/>
              <w:rPr>
                <w:sz w:val="20"/>
                <w:szCs w:val="20"/>
                <w:color w:val="auto"/>
              </w:rPr>
            </w:pPr>
            <w:r>
              <w:rPr>
                <w:rFonts w:ascii="Arial" w:cs="Arial" w:eastAsia="Arial" w:hAnsi="Arial"/>
                <w:sz w:val="15"/>
                <w:szCs w:val="15"/>
                <w:color w:val="auto"/>
              </w:rPr>
              <w:t>$</w:t>
            </w:r>
          </w:p>
        </w:tc>
        <w:tc>
          <w:tcPr>
            <w:tcW w:w="540" w:type="dxa"/>
            <w:vAlign w:val="bottom"/>
            <w:gridSpan w:val="2"/>
            <w:shd w:val="clear" w:color="auto" w:fill="CCEEFF"/>
          </w:tcPr>
          <w:p>
            <w:pPr>
              <w:jc w:val="right"/>
              <w:ind w:right="40"/>
              <w:spacing w:after="0" w:line="167" w:lineRule="exact"/>
              <w:rPr>
                <w:sz w:val="20"/>
                <w:szCs w:val="20"/>
                <w:color w:val="auto"/>
              </w:rPr>
            </w:pPr>
            <w:r>
              <w:rPr>
                <w:rFonts w:ascii="Arial" w:cs="Arial" w:eastAsia="Arial" w:hAnsi="Arial"/>
                <w:sz w:val="15"/>
                <w:szCs w:val="15"/>
                <w:color w:val="auto"/>
              </w:rPr>
              <w:t>(0.31)</w:t>
            </w:r>
          </w:p>
        </w:tc>
        <w:tc>
          <w:tcPr>
            <w:tcW w:w="0" w:type="dxa"/>
            <w:vAlign w:val="bottom"/>
          </w:tcPr>
          <w:p>
            <w:pPr>
              <w:spacing w:after="0"/>
              <w:rPr>
                <w:sz w:val="1"/>
                <w:szCs w:val="1"/>
                <w:color w:val="auto"/>
              </w:rPr>
            </w:pPr>
          </w:p>
        </w:tc>
      </w:tr>
      <w:tr>
        <w:trPr>
          <w:trHeight w:val="20"/>
        </w:trPr>
        <w:tc>
          <w:tcPr>
            <w:tcW w:w="6740" w:type="dxa"/>
            <w:vAlign w:val="bottom"/>
            <w:gridSpan w:val="2"/>
            <w:vMerge w:val="restart"/>
          </w:tcPr>
          <w:p>
            <w:pPr>
              <w:spacing w:after="0"/>
              <w:rPr>
                <w:sz w:val="20"/>
                <w:szCs w:val="20"/>
                <w:color w:val="auto"/>
              </w:rPr>
            </w:pPr>
            <w:r>
              <w:rPr>
                <w:rFonts w:ascii="Arial" w:cs="Arial" w:eastAsia="Arial" w:hAnsi="Arial"/>
                <w:sz w:val="15"/>
                <w:szCs w:val="15"/>
                <w:color w:val="auto"/>
              </w:rPr>
              <w:t>Weighted-average shares used in computing pro forma net loss per share attributable to common</w:t>
            </w: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6740" w:type="dxa"/>
            <w:vAlign w:val="bottom"/>
            <w:gridSpan w:val="2"/>
            <w:vMerge w:val="continue"/>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6720" w:type="dxa"/>
            <w:vAlign w:val="bottom"/>
          </w:tcPr>
          <w:p>
            <w:pPr>
              <w:ind w:left="120"/>
              <w:spacing w:after="0"/>
              <w:rPr>
                <w:sz w:val="20"/>
                <w:szCs w:val="20"/>
                <w:color w:val="auto"/>
              </w:rPr>
            </w:pPr>
            <w:r>
              <w:rPr>
                <w:rFonts w:ascii="Arial" w:cs="Arial" w:eastAsia="Arial" w:hAnsi="Arial"/>
                <w:sz w:val="15"/>
                <w:szCs w:val="15"/>
                <w:color w:val="auto"/>
              </w:rPr>
              <w:t>stockholders, basic and diluted (unaudited)</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358.6</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7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4" w:lineRule="exact"/>
        <w:rPr>
          <w:sz w:val="20"/>
          <w:szCs w:val="20"/>
          <w:color w:val="auto"/>
        </w:rPr>
      </w:pPr>
    </w:p>
    <w:p>
      <w:pPr>
        <w:ind w:left="1380" w:hanging="268"/>
        <w:spacing w:after="0"/>
        <w:tabs>
          <w:tab w:leader="none" w:pos="1380" w:val="left"/>
        </w:tabs>
        <w:numPr>
          <w:ilvl w:val="0"/>
          <w:numId w:val="105"/>
        </w:numPr>
        <w:rPr>
          <w:rFonts w:ascii="Arial" w:cs="Arial" w:eastAsia="Arial" w:hAnsi="Arial"/>
          <w:sz w:val="23"/>
          <w:szCs w:val="23"/>
          <w:color w:val="auto"/>
          <w:vertAlign w:val="superscript"/>
        </w:rPr>
      </w:pPr>
      <w:r>
        <w:rPr>
          <w:rFonts w:ascii="Arial" w:cs="Arial" w:eastAsia="Arial" w:hAnsi="Arial"/>
          <w:sz w:val="14"/>
          <w:szCs w:val="14"/>
          <w:color w:val="auto"/>
        </w:rPr>
        <w:t>Includes stock-based compensation as follows (in millions):</w:t>
      </w:r>
    </w:p>
    <w:p>
      <w:pPr>
        <w:spacing w:after="0" w:line="204" w:lineRule="exact"/>
        <w:rPr>
          <w:sz w:val="20"/>
          <w:szCs w:val="20"/>
          <w:color w:val="auto"/>
        </w:rPr>
      </w:pPr>
    </w:p>
    <w:tbl>
      <w:tblPr>
        <w:tblLayout w:type="fixed"/>
        <w:tblInd w:w="1500" w:type="dxa"/>
        <w:tblCellMar>
          <w:top w:w="0" w:type="dxa"/>
          <w:left w:w="0" w:type="dxa"/>
          <w:bottom w:w="0" w:type="dxa"/>
          <w:right w:w="0" w:type="dxa"/>
        </w:tblCellMar>
      </w:tblPr>
      <w:tr>
        <w:trPr>
          <w:trHeight w:val="128"/>
        </w:trPr>
        <w:tc>
          <w:tcPr>
            <w:tcW w:w="4120" w:type="dxa"/>
            <w:vAlign w:val="bottom"/>
          </w:tcPr>
          <w:p>
            <w:pPr>
              <w:spacing w:after="0"/>
              <w:rPr>
                <w:sz w:val="11"/>
                <w:szCs w:val="11"/>
                <w:color w:val="auto"/>
              </w:rPr>
            </w:pPr>
          </w:p>
        </w:tc>
        <w:tc>
          <w:tcPr>
            <w:tcW w:w="2380" w:type="dxa"/>
            <w:vAlign w:val="bottom"/>
          </w:tcPr>
          <w:p>
            <w:pPr>
              <w:spacing w:after="0"/>
              <w:rPr>
                <w:sz w:val="11"/>
                <w:szCs w:val="11"/>
                <w:color w:val="auto"/>
              </w:rPr>
            </w:pPr>
          </w:p>
        </w:tc>
        <w:tc>
          <w:tcPr>
            <w:tcW w:w="1540" w:type="dxa"/>
            <w:vAlign w:val="bottom"/>
            <w:tcBorders>
              <w:bottom w:val="single" w:sz="8" w:color="auto"/>
            </w:tcBorders>
            <w:gridSpan w:val="5"/>
          </w:tcPr>
          <w:p>
            <w:pPr>
              <w:jc w:val="right"/>
              <w:ind w:right="20"/>
              <w:spacing w:after="0"/>
              <w:rPr>
                <w:sz w:val="20"/>
                <w:szCs w:val="20"/>
                <w:color w:val="auto"/>
              </w:rPr>
            </w:pPr>
            <w:r>
              <w:rPr>
                <w:rFonts w:ascii="Arial" w:cs="Arial" w:eastAsia="Arial" w:hAnsi="Arial"/>
                <w:sz w:val="11"/>
                <w:szCs w:val="11"/>
                <w:b w:val="1"/>
                <w:bCs w:val="1"/>
                <w:color w:val="auto"/>
              </w:rPr>
              <w:t>Year ended December 31,</w:t>
            </w:r>
          </w:p>
        </w:tc>
        <w:tc>
          <w:tcPr>
            <w:tcW w:w="380" w:type="dxa"/>
            <w:vAlign w:val="bottom"/>
            <w:tcBorders>
              <w:bottom w:val="single" w:sz="8" w:color="auto"/>
            </w:tcBorders>
          </w:tcPr>
          <w:p>
            <w:pPr>
              <w:spacing w:after="0"/>
              <w:rPr>
                <w:sz w:val="11"/>
                <w:szCs w:val="11"/>
                <w:color w:val="auto"/>
              </w:rPr>
            </w:pPr>
          </w:p>
        </w:tc>
        <w:tc>
          <w:tcPr>
            <w:tcW w:w="20" w:type="dxa"/>
            <w:vAlign w:val="bottom"/>
          </w:tcPr>
          <w:p>
            <w:pPr>
              <w:spacing w:after="0"/>
              <w:rPr>
                <w:sz w:val="11"/>
                <w:szCs w:val="11"/>
                <w:color w:val="auto"/>
              </w:rPr>
            </w:pPr>
          </w:p>
        </w:tc>
      </w:tr>
      <w:tr>
        <w:trPr>
          <w:trHeight w:val="115"/>
        </w:trPr>
        <w:tc>
          <w:tcPr>
            <w:tcW w:w="4120" w:type="dxa"/>
            <w:vAlign w:val="bottom"/>
          </w:tcPr>
          <w:p>
            <w:pPr>
              <w:spacing w:after="0"/>
              <w:rPr>
                <w:sz w:val="10"/>
                <w:szCs w:val="10"/>
                <w:color w:val="auto"/>
              </w:rPr>
            </w:pPr>
          </w:p>
        </w:tc>
        <w:tc>
          <w:tcPr>
            <w:tcW w:w="2380" w:type="dxa"/>
            <w:vAlign w:val="bottom"/>
          </w:tcPr>
          <w:p>
            <w:pPr>
              <w:spacing w:after="0"/>
              <w:rPr>
                <w:sz w:val="10"/>
                <w:szCs w:val="10"/>
                <w:color w:val="auto"/>
              </w:rPr>
            </w:pPr>
          </w:p>
        </w:tc>
        <w:tc>
          <w:tcPr>
            <w:tcW w:w="440" w:type="dxa"/>
            <w:vAlign w:val="bottom"/>
          </w:tcPr>
          <w:p>
            <w:pPr>
              <w:jc w:val="right"/>
              <w:ind w:right="67"/>
              <w:spacing w:after="0" w:line="115" w:lineRule="exact"/>
              <w:rPr>
                <w:sz w:val="20"/>
                <w:szCs w:val="20"/>
                <w:color w:val="auto"/>
              </w:rPr>
            </w:pPr>
            <w:r>
              <w:rPr>
                <w:rFonts w:ascii="Arial" w:cs="Arial" w:eastAsia="Arial" w:hAnsi="Arial"/>
                <w:sz w:val="11"/>
                <w:szCs w:val="11"/>
                <w:b w:val="1"/>
                <w:bCs w:val="1"/>
                <w:color w:val="auto"/>
              </w:rPr>
              <w:t>2015</w:t>
            </w:r>
          </w:p>
        </w:tc>
        <w:tc>
          <w:tcPr>
            <w:tcW w:w="700" w:type="dxa"/>
            <w:vAlign w:val="bottom"/>
            <w:gridSpan w:val="2"/>
          </w:tcPr>
          <w:p>
            <w:pPr>
              <w:jc w:val="right"/>
              <w:ind w:right="100"/>
              <w:spacing w:after="0" w:line="115" w:lineRule="exact"/>
              <w:rPr>
                <w:sz w:val="20"/>
                <w:szCs w:val="20"/>
                <w:color w:val="auto"/>
              </w:rPr>
            </w:pPr>
            <w:r>
              <w:rPr>
                <w:rFonts w:ascii="Arial" w:cs="Arial" w:eastAsia="Arial" w:hAnsi="Arial"/>
                <w:sz w:val="11"/>
                <w:szCs w:val="11"/>
                <w:b w:val="1"/>
                <w:bCs w:val="1"/>
                <w:color w:val="auto"/>
              </w:rPr>
              <w:t>2016</w:t>
            </w:r>
          </w:p>
        </w:tc>
        <w:tc>
          <w:tcPr>
            <w:tcW w:w="3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80" w:type="dxa"/>
            <w:vAlign w:val="bottom"/>
          </w:tcPr>
          <w:p>
            <w:pPr>
              <w:jc w:val="right"/>
              <w:ind w:right="74"/>
              <w:spacing w:after="0" w:line="115" w:lineRule="exact"/>
              <w:rPr>
                <w:sz w:val="20"/>
                <w:szCs w:val="20"/>
                <w:color w:val="auto"/>
              </w:rPr>
            </w:pPr>
            <w:r>
              <w:rPr>
                <w:rFonts w:ascii="Arial" w:cs="Arial" w:eastAsia="Arial" w:hAnsi="Arial"/>
                <w:sz w:val="12"/>
                <w:szCs w:val="12"/>
                <w:b w:val="1"/>
                <w:bCs w:val="1"/>
                <w:color w:val="auto"/>
                <w:w w:val="82"/>
              </w:rPr>
              <w:t>2017</w:t>
            </w:r>
          </w:p>
        </w:tc>
        <w:tc>
          <w:tcPr>
            <w:tcW w:w="20" w:type="dxa"/>
            <w:vAlign w:val="bottom"/>
          </w:tcPr>
          <w:p>
            <w:pPr>
              <w:spacing w:after="0"/>
              <w:rPr>
                <w:sz w:val="10"/>
                <w:szCs w:val="10"/>
                <w:color w:val="auto"/>
              </w:rPr>
            </w:pPr>
          </w:p>
        </w:tc>
      </w:tr>
      <w:tr>
        <w:trPr>
          <w:trHeight w:val="115"/>
        </w:trPr>
        <w:tc>
          <w:tcPr>
            <w:tcW w:w="4120" w:type="dxa"/>
            <w:vAlign w:val="bottom"/>
          </w:tcPr>
          <w:p>
            <w:pPr>
              <w:spacing w:after="0"/>
              <w:rPr>
                <w:sz w:val="10"/>
                <w:szCs w:val="10"/>
                <w:color w:val="auto"/>
              </w:rPr>
            </w:pPr>
          </w:p>
        </w:tc>
        <w:tc>
          <w:tcPr>
            <w:tcW w:w="2380" w:type="dxa"/>
            <w:vAlign w:val="bottom"/>
          </w:tcPr>
          <w:p>
            <w:pPr>
              <w:spacing w:after="0"/>
              <w:rPr>
                <w:sz w:val="10"/>
                <w:szCs w:val="10"/>
                <w:color w:val="auto"/>
              </w:rPr>
            </w:pPr>
          </w:p>
        </w:tc>
        <w:tc>
          <w:tcPr>
            <w:tcW w:w="440" w:type="dxa"/>
            <w:vAlign w:val="bottom"/>
            <w:tcBorders>
              <w:top w:val="single" w:sz="8" w:color="auto"/>
            </w:tcBorders>
          </w:tcPr>
          <w:p>
            <w:pPr>
              <w:spacing w:after="0"/>
              <w:rPr>
                <w:sz w:val="10"/>
                <w:szCs w:val="10"/>
                <w:color w:val="auto"/>
              </w:rPr>
            </w:pPr>
          </w:p>
        </w:tc>
        <w:tc>
          <w:tcPr>
            <w:tcW w:w="280" w:type="dxa"/>
            <w:vAlign w:val="bottom"/>
          </w:tcPr>
          <w:p>
            <w:pPr>
              <w:spacing w:after="0"/>
              <w:rPr>
                <w:sz w:val="10"/>
                <w:szCs w:val="10"/>
                <w:color w:val="auto"/>
              </w:rPr>
            </w:pPr>
          </w:p>
        </w:tc>
        <w:tc>
          <w:tcPr>
            <w:tcW w:w="420" w:type="dxa"/>
            <w:vAlign w:val="bottom"/>
            <w:tcBorders>
              <w:top w:val="single" w:sz="8" w:color="auto"/>
            </w:tcBorders>
          </w:tcPr>
          <w:p>
            <w:pPr>
              <w:spacing w:after="0"/>
              <w:rPr>
                <w:sz w:val="10"/>
                <w:szCs w:val="10"/>
                <w:color w:val="auto"/>
              </w:rPr>
            </w:pPr>
          </w:p>
        </w:tc>
        <w:tc>
          <w:tcPr>
            <w:tcW w:w="30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380" w:type="dxa"/>
            <w:vAlign w:val="bottom"/>
            <w:tcBorders>
              <w:top w:val="single" w:sz="8" w:color="auto"/>
            </w:tcBorders>
          </w:tcPr>
          <w:p>
            <w:pPr>
              <w:spacing w:after="0"/>
              <w:rPr>
                <w:sz w:val="10"/>
                <w:szCs w:val="10"/>
                <w:color w:val="auto"/>
              </w:rPr>
            </w:pPr>
          </w:p>
        </w:tc>
        <w:tc>
          <w:tcPr>
            <w:tcW w:w="20" w:type="dxa"/>
            <w:vAlign w:val="bottom"/>
          </w:tcPr>
          <w:p>
            <w:pPr>
              <w:spacing w:after="0"/>
              <w:rPr>
                <w:sz w:val="10"/>
                <w:szCs w:val="10"/>
                <w:color w:val="auto"/>
              </w:rPr>
            </w:pPr>
          </w:p>
        </w:tc>
      </w:tr>
      <w:tr>
        <w:trPr>
          <w:trHeight w:val="169"/>
        </w:trPr>
        <w:tc>
          <w:tcPr>
            <w:tcW w:w="4120" w:type="dxa"/>
            <w:vAlign w:val="bottom"/>
            <w:shd w:val="clear" w:color="auto" w:fill="CCEEFF"/>
          </w:tcPr>
          <w:p>
            <w:pPr>
              <w:ind w:left="260"/>
              <w:spacing w:after="0"/>
              <w:rPr>
                <w:sz w:val="20"/>
                <w:szCs w:val="20"/>
                <w:color w:val="auto"/>
              </w:rPr>
            </w:pPr>
            <w:r>
              <w:rPr>
                <w:rFonts w:ascii="Arial" w:cs="Arial" w:eastAsia="Arial" w:hAnsi="Arial"/>
                <w:sz w:val="14"/>
                <w:szCs w:val="14"/>
                <w:color w:val="auto"/>
              </w:rPr>
              <w:t>Cost of revenue</w:t>
            </w:r>
          </w:p>
        </w:tc>
        <w:tc>
          <w:tcPr>
            <w:tcW w:w="28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   2.6</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   8.2</w:t>
            </w:r>
          </w:p>
        </w:tc>
        <w:tc>
          <w:tcPr>
            <w:tcW w:w="40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12.2</w:t>
            </w:r>
          </w:p>
        </w:tc>
        <w:tc>
          <w:tcPr>
            <w:tcW w:w="20" w:type="dxa"/>
            <w:vAlign w:val="bottom"/>
            <w:shd w:val="clear" w:color="auto" w:fill="CCEEFF"/>
          </w:tcPr>
          <w:p>
            <w:pPr>
              <w:spacing w:after="0"/>
              <w:rPr>
                <w:sz w:val="14"/>
                <w:szCs w:val="14"/>
                <w:color w:val="auto"/>
              </w:rPr>
            </w:pPr>
          </w:p>
        </w:tc>
      </w:tr>
      <w:tr>
        <w:trPr>
          <w:trHeight w:val="169"/>
        </w:trPr>
        <w:tc>
          <w:tcPr>
            <w:tcW w:w="4120" w:type="dxa"/>
            <w:vAlign w:val="bottom"/>
          </w:tcPr>
          <w:p>
            <w:pPr>
              <w:ind w:left="260"/>
              <w:spacing w:after="0"/>
              <w:rPr>
                <w:sz w:val="20"/>
                <w:szCs w:val="20"/>
                <w:color w:val="auto"/>
              </w:rPr>
            </w:pPr>
            <w:r>
              <w:rPr>
                <w:rFonts w:ascii="Arial" w:cs="Arial" w:eastAsia="Arial" w:hAnsi="Arial"/>
                <w:sz w:val="14"/>
                <w:szCs w:val="14"/>
                <w:color w:val="auto"/>
              </w:rPr>
              <w:t>Research and development</w:t>
            </w:r>
          </w:p>
        </w:tc>
        <w:tc>
          <w:tcPr>
            <w:tcW w:w="2820" w:type="dxa"/>
            <w:vAlign w:val="bottom"/>
            <w:gridSpan w:val="2"/>
          </w:tcPr>
          <w:p>
            <w:pPr>
              <w:jc w:val="right"/>
              <w:spacing w:after="0"/>
              <w:rPr>
                <w:sz w:val="20"/>
                <w:szCs w:val="20"/>
                <w:color w:val="auto"/>
              </w:rPr>
            </w:pPr>
            <w:r>
              <w:rPr>
                <w:rFonts w:ascii="Arial" w:cs="Arial" w:eastAsia="Arial" w:hAnsi="Arial"/>
                <w:sz w:val="14"/>
                <w:szCs w:val="14"/>
                <w:color w:val="auto"/>
              </w:rPr>
              <w:t>36.1</w:t>
            </w:r>
          </w:p>
        </w:tc>
        <w:tc>
          <w:tcPr>
            <w:tcW w:w="700" w:type="dxa"/>
            <w:vAlign w:val="bottom"/>
            <w:gridSpan w:val="2"/>
          </w:tcPr>
          <w:p>
            <w:pPr>
              <w:jc w:val="right"/>
              <w:spacing w:after="0"/>
              <w:rPr>
                <w:sz w:val="20"/>
                <w:szCs w:val="20"/>
                <w:color w:val="auto"/>
              </w:rPr>
            </w:pPr>
            <w:r>
              <w:rPr>
                <w:rFonts w:ascii="Arial" w:cs="Arial" w:eastAsia="Arial" w:hAnsi="Arial"/>
                <w:sz w:val="14"/>
                <w:szCs w:val="14"/>
                <w:color w:val="auto"/>
              </w:rPr>
              <w:t>72.7</w:t>
            </w: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jc w:val="right"/>
              <w:spacing w:after="0"/>
              <w:rPr>
                <w:sz w:val="20"/>
                <w:szCs w:val="20"/>
                <w:color w:val="auto"/>
              </w:rPr>
            </w:pPr>
            <w:r>
              <w:rPr>
                <w:rFonts w:ascii="Arial" w:cs="Arial" w:eastAsia="Arial" w:hAnsi="Arial"/>
                <w:sz w:val="14"/>
                <w:szCs w:val="14"/>
                <w:color w:val="auto"/>
              </w:rPr>
              <w:t>93.1</w:t>
            </w:r>
          </w:p>
        </w:tc>
        <w:tc>
          <w:tcPr>
            <w:tcW w:w="20" w:type="dxa"/>
            <w:vAlign w:val="bottom"/>
          </w:tcPr>
          <w:p>
            <w:pPr>
              <w:spacing w:after="0"/>
              <w:rPr>
                <w:sz w:val="14"/>
                <w:szCs w:val="14"/>
                <w:color w:val="auto"/>
              </w:rPr>
            </w:pPr>
          </w:p>
        </w:tc>
      </w:tr>
      <w:tr>
        <w:trPr>
          <w:trHeight w:val="169"/>
        </w:trPr>
        <w:tc>
          <w:tcPr>
            <w:tcW w:w="4120" w:type="dxa"/>
            <w:vAlign w:val="bottom"/>
            <w:shd w:val="clear" w:color="auto" w:fill="CCEEFF"/>
          </w:tcPr>
          <w:p>
            <w:pPr>
              <w:ind w:left="260"/>
              <w:spacing w:after="0"/>
              <w:rPr>
                <w:sz w:val="20"/>
                <w:szCs w:val="20"/>
                <w:color w:val="auto"/>
              </w:rPr>
            </w:pPr>
            <w:r>
              <w:rPr>
                <w:rFonts w:ascii="Arial" w:cs="Arial" w:eastAsia="Arial" w:hAnsi="Arial"/>
                <w:sz w:val="14"/>
                <w:szCs w:val="14"/>
                <w:color w:val="auto"/>
              </w:rPr>
              <w:t>Sales and marketing</w:t>
            </w:r>
          </w:p>
        </w:tc>
        <w:tc>
          <w:tcPr>
            <w:tcW w:w="28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19.8</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44.6</w:t>
            </w:r>
          </w:p>
        </w:tc>
        <w:tc>
          <w:tcPr>
            <w:tcW w:w="3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33.7</w:t>
            </w:r>
          </w:p>
        </w:tc>
        <w:tc>
          <w:tcPr>
            <w:tcW w:w="20" w:type="dxa"/>
            <w:vAlign w:val="bottom"/>
            <w:shd w:val="clear" w:color="auto" w:fill="CCEEFF"/>
          </w:tcPr>
          <w:p>
            <w:pPr>
              <w:spacing w:after="0"/>
              <w:rPr>
                <w:sz w:val="14"/>
                <w:szCs w:val="14"/>
                <w:color w:val="auto"/>
              </w:rPr>
            </w:pPr>
          </w:p>
        </w:tc>
      </w:tr>
      <w:tr>
        <w:trPr>
          <w:trHeight w:val="173"/>
        </w:trPr>
        <w:tc>
          <w:tcPr>
            <w:tcW w:w="4120" w:type="dxa"/>
            <w:vAlign w:val="bottom"/>
          </w:tcPr>
          <w:p>
            <w:pPr>
              <w:ind w:left="260"/>
              <w:spacing w:after="0"/>
              <w:rPr>
                <w:sz w:val="20"/>
                <w:szCs w:val="20"/>
                <w:color w:val="auto"/>
              </w:rPr>
            </w:pPr>
            <w:r>
              <w:rPr>
                <w:rFonts w:ascii="Arial" w:cs="Arial" w:eastAsia="Arial" w:hAnsi="Arial"/>
                <w:sz w:val="14"/>
                <w:szCs w:val="14"/>
                <w:color w:val="auto"/>
              </w:rPr>
              <w:t>General and administrative</w:t>
            </w:r>
          </w:p>
        </w:tc>
        <w:tc>
          <w:tcPr>
            <w:tcW w:w="2820" w:type="dxa"/>
            <w:vAlign w:val="bottom"/>
            <w:gridSpan w:val="2"/>
          </w:tcPr>
          <w:p>
            <w:pPr>
              <w:jc w:val="right"/>
              <w:spacing w:after="0"/>
              <w:rPr>
                <w:sz w:val="20"/>
                <w:szCs w:val="20"/>
                <w:color w:val="auto"/>
              </w:rPr>
            </w:pPr>
            <w:r>
              <w:rPr>
                <w:rFonts w:ascii="Arial" w:cs="Arial" w:eastAsia="Arial" w:hAnsi="Arial"/>
                <w:sz w:val="14"/>
                <w:szCs w:val="14"/>
                <w:color w:val="auto"/>
              </w:rPr>
              <w:t>7.6</w:t>
            </w:r>
          </w:p>
        </w:tc>
        <w:tc>
          <w:tcPr>
            <w:tcW w:w="700" w:type="dxa"/>
            <w:vAlign w:val="bottom"/>
            <w:gridSpan w:val="2"/>
          </w:tcPr>
          <w:p>
            <w:pPr>
              <w:jc w:val="right"/>
              <w:spacing w:after="0"/>
              <w:rPr>
                <w:sz w:val="20"/>
                <w:szCs w:val="20"/>
                <w:color w:val="auto"/>
              </w:rPr>
            </w:pPr>
            <w:r>
              <w:rPr>
                <w:rFonts w:ascii="Arial" w:cs="Arial" w:eastAsia="Arial" w:hAnsi="Arial"/>
                <w:sz w:val="14"/>
                <w:szCs w:val="14"/>
                <w:color w:val="auto"/>
              </w:rPr>
              <w:t>22.1</w:t>
            </w: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jc w:val="right"/>
              <w:spacing w:after="0"/>
              <w:rPr>
                <w:sz w:val="20"/>
                <w:szCs w:val="20"/>
                <w:color w:val="auto"/>
              </w:rPr>
            </w:pPr>
            <w:r>
              <w:rPr>
                <w:rFonts w:ascii="Arial" w:cs="Arial" w:eastAsia="Arial" w:hAnsi="Arial"/>
                <w:sz w:val="14"/>
                <w:szCs w:val="14"/>
                <w:color w:val="auto"/>
              </w:rPr>
              <w:t>25.6</w:t>
            </w:r>
          </w:p>
        </w:tc>
        <w:tc>
          <w:tcPr>
            <w:tcW w:w="20" w:type="dxa"/>
            <w:vAlign w:val="bottom"/>
          </w:tcPr>
          <w:p>
            <w:pPr>
              <w:spacing w:after="0"/>
              <w:rPr>
                <w:sz w:val="15"/>
                <w:szCs w:val="15"/>
                <w:color w:val="auto"/>
              </w:rPr>
            </w:pPr>
          </w:p>
        </w:tc>
      </w:tr>
    </w:tbl>
    <w:p>
      <w:pPr>
        <w:spacing w:after="0" w:line="191" w:lineRule="exact"/>
        <w:rPr>
          <w:sz w:val="20"/>
          <w:szCs w:val="20"/>
          <w:color w:val="auto"/>
        </w:rPr>
      </w:pPr>
    </w:p>
    <w:p>
      <w:pPr>
        <w:ind w:left="1380" w:right="520" w:hanging="268"/>
        <w:spacing w:after="0" w:line="192" w:lineRule="auto"/>
        <w:tabs>
          <w:tab w:leader="none" w:pos="1380" w:val="left"/>
        </w:tabs>
        <w:numPr>
          <w:ilvl w:val="0"/>
          <w:numId w:val="106"/>
        </w:numPr>
        <w:rPr>
          <w:rFonts w:ascii="Arial" w:cs="Arial" w:eastAsia="Arial" w:hAnsi="Arial"/>
          <w:sz w:val="23"/>
          <w:szCs w:val="23"/>
          <w:color w:val="auto"/>
          <w:vertAlign w:val="superscript"/>
        </w:rPr>
      </w:pPr>
      <w:r>
        <w:rPr>
          <w:rFonts w:ascii="Arial" w:cs="Arial" w:eastAsia="Arial" w:hAnsi="Arial"/>
          <w:sz w:val="14"/>
          <w:szCs w:val="14"/>
          <w:color w:val="auto"/>
        </w:rPr>
        <w:t>2017 general and administrative expense includes $9.4 million for a non-cash charitable contribution and $1.9 million of cash contributions to the Dropbox Charitable Foundation, a related party. See Note 15 for further details.</w:t>
      </w:r>
    </w:p>
    <w:p>
      <w:pPr>
        <w:spacing w:after="0" w:line="176" w:lineRule="exact"/>
        <w:rPr>
          <w:sz w:val="20"/>
          <w:szCs w:val="20"/>
          <w:color w:val="auto"/>
        </w:rPr>
      </w:pPr>
    </w:p>
    <w:p>
      <w:pPr>
        <w:jc w:val="center"/>
        <w:ind w:right="-1099"/>
        <w:spacing w:after="0"/>
        <w:rPr>
          <w:sz w:val="20"/>
          <w:szCs w:val="20"/>
          <w:color w:val="auto"/>
        </w:rPr>
      </w:pPr>
      <w:r>
        <w:rPr>
          <w:rFonts w:ascii="Arial" w:cs="Arial" w:eastAsia="Arial" w:hAnsi="Arial"/>
          <w:sz w:val="15"/>
          <w:szCs w:val="15"/>
          <w:i w:val="1"/>
          <w:iCs w:val="1"/>
          <w:color w:val="auto"/>
        </w:rPr>
        <w:t>See accompanying Notes to Consolidated Financial Statements.</w:t>
      </w:r>
    </w:p>
    <w:p>
      <w:pPr>
        <w:spacing w:after="0" w:line="132" w:lineRule="exact"/>
        <w:rPr>
          <w:sz w:val="20"/>
          <w:szCs w:val="20"/>
          <w:color w:val="auto"/>
        </w:rPr>
      </w:pPr>
    </w:p>
    <w:p>
      <w:pPr>
        <w:jc w:val="center"/>
        <w:ind w:right="-1099"/>
        <w:spacing w:after="0"/>
        <w:rPr>
          <w:sz w:val="20"/>
          <w:szCs w:val="20"/>
          <w:color w:val="auto"/>
        </w:rPr>
      </w:pPr>
      <w:r>
        <w:rPr>
          <w:rFonts w:ascii="Arial" w:cs="Arial" w:eastAsia="Arial" w:hAnsi="Arial"/>
          <w:sz w:val="15"/>
          <w:szCs w:val="15"/>
          <w:color w:val="auto"/>
        </w:rPr>
        <w:t>F-4</w:t>
      </w:r>
    </w:p>
    <w:p>
      <w:pPr>
        <w:sectPr>
          <w:pgSz w:w="11900" w:h="16838" w:orient="portrait"/>
          <w:cols w:equalWidth="0" w:num="1">
            <w:col w:w="10320"/>
          </w:cols>
          <w:pgMar w:left="240" w:top="408" w:right="1339" w:bottom="1440" w:gutter="0" w:footer="0" w:header="0"/>
        </w:sectPr>
      </w:pPr>
    </w:p>
    <w:bookmarkStart w:id="207" w:name="page208"/>
    <w:bookmarkEnd w:id="207"/>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133350</wp:posOffset>
            </wp:positionH>
            <wp:positionV relativeFrom="page">
              <wp:posOffset>88900</wp:posOffset>
            </wp:positionV>
            <wp:extent cx="7308850" cy="3429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308850" cy="34290"/>
                    </a:xfrm>
                    <a:prstGeom prst="rect">
                      <a:avLst/>
                    </a:prstGeom>
                    <a:noFill/>
                  </pic:spPr>
                </pic:pic>
              </a:graphicData>
            </a:graphic>
          </wp:anchor>
        </w:drawing>
      </w:r>
      <w:hyperlink w:anchor="page7">
        <w:r>
          <w:rPr>
            <w:rFonts w:ascii="Arial" w:cs="Arial" w:eastAsia="Arial" w:hAnsi="Arial"/>
            <w:sz w:val="15"/>
            <w:szCs w:val="15"/>
            <w:b w:val="1"/>
            <w:bCs w:val="1"/>
            <w:u w:val="single" w:color="auto"/>
            <w:color w:val="0000EE"/>
          </w:rPr>
          <w:t>Table of Contents</w:t>
        </w:r>
      </w:hyperlink>
    </w:p>
    <w:p>
      <w:pPr>
        <w:spacing w:after="0" w:line="256" w:lineRule="exact"/>
        <w:rPr>
          <w:sz w:val="20"/>
          <w:szCs w:val="20"/>
          <w:color w:val="auto"/>
        </w:rPr>
      </w:pPr>
    </w:p>
    <w:p>
      <w:pPr>
        <w:jc w:val="center"/>
        <w:ind w:right="-1099"/>
        <w:spacing w:after="0"/>
        <w:rPr>
          <w:sz w:val="20"/>
          <w:szCs w:val="20"/>
          <w:color w:val="auto"/>
        </w:rPr>
      </w:pPr>
      <w:r>
        <w:rPr>
          <w:rFonts w:ascii="Arial" w:cs="Arial" w:eastAsia="Arial" w:hAnsi="Arial"/>
          <w:sz w:val="15"/>
          <w:szCs w:val="15"/>
          <w:b w:val="1"/>
          <w:bCs w:val="1"/>
          <w:color w:val="auto"/>
        </w:rPr>
        <w:t>DROPBOX, INC.</w:t>
      </w:r>
    </w:p>
    <w:p>
      <w:pPr>
        <w:spacing w:after="0" w:line="21" w:lineRule="exact"/>
        <w:rPr>
          <w:sz w:val="20"/>
          <w:szCs w:val="20"/>
          <w:color w:val="auto"/>
        </w:rPr>
      </w:pPr>
    </w:p>
    <w:p>
      <w:pPr>
        <w:jc w:val="center"/>
        <w:ind w:right="-1099"/>
        <w:spacing w:after="0"/>
        <w:rPr>
          <w:sz w:val="20"/>
          <w:szCs w:val="20"/>
          <w:color w:val="auto"/>
        </w:rPr>
      </w:pPr>
      <w:r>
        <w:rPr>
          <w:rFonts w:ascii="Arial" w:cs="Arial" w:eastAsia="Arial" w:hAnsi="Arial"/>
          <w:sz w:val="15"/>
          <w:szCs w:val="15"/>
          <w:b w:val="1"/>
          <w:bCs w:val="1"/>
          <w:color w:val="auto"/>
        </w:rPr>
        <w:t>CONSOLIDATED STATEMENTS OF COMPREHENSIVE LOSS</w:t>
      </w:r>
    </w:p>
    <w:p>
      <w:pPr>
        <w:spacing w:after="0" w:line="8" w:lineRule="exact"/>
        <w:rPr>
          <w:sz w:val="20"/>
          <w:szCs w:val="20"/>
          <w:color w:val="auto"/>
        </w:rPr>
      </w:pPr>
    </w:p>
    <w:p>
      <w:pPr>
        <w:jc w:val="center"/>
        <w:ind w:right="-1099"/>
        <w:spacing w:after="0"/>
        <w:rPr>
          <w:sz w:val="20"/>
          <w:szCs w:val="20"/>
          <w:color w:val="auto"/>
        </w:rPr>
      </w:pPr>
      <w:r>
        <w:rPr>
          <w:rFonts w:ascii="Arial" w:cs="Arial" w:eastAsia="Arial" w:hAnsi="Arial"/>
          <w:sz w:val="15"/>
          <w:szCs w:val="15"/>
          <w:i w:val="1"/>
          <w:iCs w:val="1"/>
          <w:color w:val="auto"/>
        </w:rPr>
        <w:t>(In millions)</w:t>
      </w:r>
    </w:p>
    <w:p>
      <w:pPr>
        <w:spacing w:after="0" w:line="192" w:lineRule="exact"/>
        <w:rPr>
          <w:sz w:val="20"/>
          <w:szCs w:val="20"/>
          <w:color w:val="auto"/>
        </w:rPr>
      </w:pPr>
    </w:p>
    <w:tbl>
      <w:tblPr>
        <w:tblLayout w:type="fixed"/>
        <w:tblInd w:w="1120" w:type="dxa"/>
        <w:tblCellMar>
          <w:top w:w="0" w:type="dxa"/>
          <w:left w:w="0" w:type="dxa"/>
          <w:bottom w:w="0" w:type="dxa"/>
          <w:right w:w="0" w:type="dxa"/>
        </w:tblCellMar>
      </w:tblPr>
      <w:tr>
        <w:trPr>
          <w:trHeight w:val="144"/>
        </w:trPr>
        <w:tc>
          <w:tcPr>
            <w:tcW w:w="69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20" w:type="dxa"/>
            <w:vAlign w:val="bottom"/>
            <w:gridSpan w:val="8"/>
          </w:tcPr>
          <w:p>
            <w:pPr>
              <w:jc w:val="right"/>
              <w:ind w:right="520"/>
              <w:spacing w:after="0"/>
              <w:rPr>
                <w:sz w:val="20"/>
                <w:szCs w:val="20"/>
                <w:color w:val="auto"/>
              </w:rPr>
            </w:pPr>
            <w:r>
              <w:rPr>
                <w:rFonts w:ascii="Arial" w:cs="Arial" w:eastAsia="Arial" w:hAnsi="Arial"/>
                <w:sz w:val="12"/>
                <w:szCs w:val="12"/>
                <w:b w:val="1"/>
                <w:bCs w:val="1"/>
                <w:color w:val="auto"/>
              </w:rPr>
              <w:t>Year ended December 31,</w:t>
            </w:r>
          </w:p>
        </w:tc>
        <w:tc>
          <w:tcPr>
            <w:tcW w:w="0" w:type="dxa"/>
            <w:vAlign w:val="bottom"/>
          </w:tcPr>
          <w:p>
            <w:pPr>
              <w:spacing w:after="0"/>
              <w:rPr>
                <w:sz w:val="1"/>
                <w:szCs w:val="1"/>
                <w:color w:val="auto"/>
              </w:rPr>
            </w:pPr>
          </w:p>
        </w:tc>
      </w:tr>
      <w:tr>
        <w:trPr>
          <w:trHeight w:val="115"/>
        </w:trPr>
        <w:tc>
          <w:tcPr>
            <w:tcW w:w="69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60" w:type="dxa"/>
            <w:vAlign w:val="bottom"/>
            <w:tcBorders>
              <w:top w:val="single" w:sz="8" w:color="auto"/>
            </w:tcBorders>
          </w:tcPr>
          <w:p>
            <w:pPr>
              <w:jc w:val="right"/>
              <w:ind w:right="52"/>
              <w:spacing w:after="0" w:line="115" w:lineRule="exact"/>
              <w:rPr>
                <w:sz w:val="20"/>
                <w:szCs w:val="20"/>
                <w:color w:val="auto"/>
              </w:rPr>
            </w:pPr>
            <w:r>
              <w:rPr>
                <w:rFonts w:ascii="Arial" w:cs="Arial" w:eastAsia="Arial" w:hAnsi="Arial"/>
                <w:sz w:val="12"/>
                <w:szCs w:val="12"/>
                <w:b w:val="1"/>
                <w:bCs w:val="1"/>
                <w:color w:val="auto"/>
              </w:rPr>
              <w:t>2015</w:t>
            </w:r>
          </w:p>
        </w:tc>
        <w:tc>
          <w:tcPr>
            <w:tcW w:w="20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gridSpan w:val="2"/>
          </w:tcPr>
          <w:p>
            <w:pPr>
              <w:jc w:val="right"/>
              <w:ind w:right="45"/>
              <w:spacing w:after="0" w:line="115" w:lineRule="exact"/>
              <w:rPr>
                <w:sz w:val="20"/>
                <w:szCs w:val="20"/>
                <w:color w:val="auto"/>
              </w:rPr>
            </w:pPr>
            <w:r>
              <w:rPr>
                <w:rFonts w:ascii="Arial" w:cs="Arial" w:eastAsia="Arial" w:hAnsi="Arial"/>
                <w:sz w:val="12"/>
                <w:szCs w:val="12"/>
                <w:b w:val="1"/>
                <w:bCs w:val="1"/>
                <w:color w:val="auto"/>
              </w:rPr>
              <w:t>2016</w:t>
            </w:r>
          </w:p>
        </w:tc>
        <w:tc>
          <w:tcPr>
            <w:tcW w:w="20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gridSpan w:val="2"/>
          </w:tcPr>
          <w:p>
            <w:pPr>
              <w:jc w:val="right"/>
              <w:ind w:right="65"/>
              <w:spacing w:after="0" w:line="115" w:lineRule="exact"/>
              <w:rPr>
                <w:sz w:val="20"/>
                <w:szCs w:val="20"/>
                <w:color w:val="auto"/>
              </w:rPr>
            </w:pPr>
            <w:r>
              <w:rPr>
                <w:rFonts w:ascii="Arial" w:cs="Arial" w:eastAsia="Arial" w:hAnsi="Arial"/>
                <w:sz w:val="12"/>
                <w:szCs w:val="12"/>
                <w:b w:val="1"/>
                <w:bCs w:val="1"/>
                <w:color w:val="auto"/>
              </w:rPr>
              <w:t>2017</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2"/>
        </w:trPr>
        <w:tc>
          <w:tcPr>
            <w:tcW w:w="6960" w:type="dxa"/>
            <w:vAlign w:val="bottom"/>
            <w:tcBorders>
              <w:top w:val="single" w:sz="8" w:color="CCEEFF"/>
            </w:tcBorders>
            <w:shd w:val="clear" w:color="auto" w:fill="CCEEFF"/>
          </w:tcPr>
          <w:p>
            <w:pPr>
              <w:spacing w:after="0" w:line="170" w:lineRule="exact"/>
              <w:rPr>
                <w:sz w:val="20"/>
                <w:szCs w:val="20"/>
                <w:color w:val="auto"/>
              </w:rPr>
            </w:pPr>
            <w:r>
              <w:rPr>
                <w:rFonts w:ascii="Arial" w:cs="Arial" w:eastAsia="Arial" w:hAnsi="Arial"/>
                <w:sz w:val="15"/>
                <w:szCs w:val="15"/>
                <w:color w:val="auto"/>
              </w:rPr>
              <w:t>Net loss</w:t>
            </w:r>
          </w:p>
        </w:tc>
        <w:tc>
          <w:tcPr>
            <w:tcW w:w="20" w:type="dxa"/>
            <w:vAlign w:val="bottom"/>
            <w:tcBorders>
              <w:top w:val="single" w:sz="8" w:color="CCEEFF"/>
            </w:tcBorders>
            <w:shd w:val="clear" w:color="auto" w:fill="CCEEFF"/>
          </w:tcPr>
          <w:p>
            <w:pPr>
              <w:spacing w:after="0"/>
              <w:rPr>
                <w:sz w:val="14"/>
                <w:szCs w:val="14"/>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8"/>
              </w:rPr>
              <w:t>$(325.9)</w:t>
            </w:r>
          </w:p>
        </w:tc>
        <w:tc>
          <w:tcPr>
            <w:tcW w:w="20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CCEEFF"/>
            </w:tcBorders>
            <w:shd w:val="clear" w:color="auto" w:fill="CCEEFF"/>
          </w:tcPr>
          <w:p>
            <w:pPr>
              <w:spacing w:after="0"/>
              <w:rPr>
                <w:sz w:val="14"/>
                <w:szCs w:val="14"/>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82"/>
              </w:rPr>
              <w:t>$(210.2)</w:t>
            </w:r>
          </w:p>
        </w:tc>
        <w:tc>
          <w:tcPr>
            <w:tcW w:w="20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CCEEFF"/>
            </w:tcBorders>
            <w:shd w:val="clear" w:color="auto" w:fill="CCEEFF"/>
          </w:tcPr>
          <w:p>
            <w:pPr>
              <w:spacing w:after="0"/>
              <w:rPr>
                <w:sz w:val="14"/>
                <w:szCs w:val="14"/>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6"/>
              </w:rPr>
              <w:t>$ (111.7)</w:t>
            </w:r>
          </w:p>
        </w:tc>
        <w:tc>
          <w:tcPr>
            <w:tcW w:w="8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6960" w:type="dxa"/>
            <w:vAlign w:val="bottom"/>
          </w:tcPr>
          <w:p>
            <w:pPr>
              <w:spacing w:after="0"/>
              <w:rPr>
                <w:sz w:val="20"/>
                <w:szCs w:val="20"/>
                <w:color w:val="auto"/>
              </w:rPr>
            </w:pPr>
            <w:r>
              <w:rPr>
                <w:rFonts w:ascii="Arial" w:cs="Arial" w:eastAsia="Arial" w:hAnsi="Arial"/>
                <w:sz w:val="15"/>
                <w:szCs w:val="15"/>
                <w:color w:val="auto"/>
              </w:rPr>
              <w:t>Other comprehensive income (loss):</w:t>
            </w:r>
          </w:p>
        </w:tc>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6960" w:type="dxa"/>
            <w:vAlign w:val="bottom"/>
            <w:shd w:val="clear" w:color="auto" w:fill="CCEEFF"/>
          </w:tcPr>
          <w:p>
            <w:pPr>
              <w:ind w:left="300"/>
              <w:spacing w:after="0"/>
              <w:rPr>
                <w:sz w:val="20"/>
                <w:szCs w:val="20"/>
                <w:color w:val="auto"/>
              </w:rPr>
            </w:pPr>
            <w:r>
              <w:rPr>
                <w:rFonts w:ascii="Arial" w:cs="Arial" w:eastAsia="Arial" w:hAnsi="Arial"/>
                <w:sz w:val="15"/>
                <w:szCs w:val="15"/>
                <w:color w:val="auto"/>
              </w:rPr>
              <w:t>Change in cumulative foreign currency translation adjustments</w:t>
            </w:r>
          </w:p>
        </w:tc>
        <w:tc>
          <w:tcPr>
            <w:tcW w:w="20" w:type="dxa"/>
            <w:vAlign w:val="bottom"/>
            <w:shd w:val="clear" w:color="auto" w:fill="CCEEFF"/>
          </w:tcPr>
          <w:p>
            <w:pPr>
              <w:spacing w:after="0"/>
              <w:rPr>
                <w:sz w:val="15"/>
                <w:szCs w:val="15"/>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0.1</w:t>
            </w:r>
          </w:p>
        </w:tc>
        <w:tc>
          <w:tcPr>
            <w:tcW w:w="2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(1.3)</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5.2</w:t>
            </w: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6960" w:type="dxa"/>
            <w:vAlign w:val="bottom"/>
            <w:vMerge w:val="restart"/>
          </w:tcPr>
          <w:p>
            <w:pPr>
              <w:spacing w:after="0"/>
              <w:rPr>
                <w:sz w:val="20"/>
                <w:szCs w:val="20"/>
                <w:color w:val="auto"/>
              </w:rPr>
            </w:pPr>
            <w:r>
              <w:rPr>
                <w:rFonts w:ascii="Arial" w:cs="Arial" w:eastAsia="Arial" w:hAnsi="Arial"/>
                <w:sz w:val="15"/>
                <w:szCs w:val="15"/>
                <w:color w:val="auto"/>
              </w:rPr>
              <w:t>Comprehensive loss</w:t>
            </w:r>
          </w:p>
        </w:tc>
        <w:tc>
          <w:tcPr>
            <w:tcW w:w="2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960" w:type="dxa"/>
            <w:vAlign w:val="bottom"/>
            <w:vMerge w:val="continue"/>
          </w:tcPr>
          <w:p>
            <w:pPr>
              <w:spacing w:after="0"/>
              <w:rPr>
                <w:sz w:val="15"/>
                <w:szCs w:val="15"/>
                <w:color w:val="auto"/>
              </w:rPr>
            </w:pPr>
          </w:p>
        </w:tc>
        <w:tc>
          <w:tcPr>
            <w:tcW w:w="680" w:type="dxa"/>
            <w:vAlign w:val="bottom"/>
            <w:gridSpan w:val="3"/>
          </w:tcPr>
          <w:p>
            <w:pPr>
              <w:jc w:val="right"/>
              <w:ind w:right="160"/>
              <w:spacing w:after="0"/>
              <w:rPr>
                <w:sz w:val="20"/>
                <w:szCs w:val="20"/>
                <w:color w:val="auto"/>
              </w:rPr>
            </w:pPr>
            <w:r>
              <w:rPr>
                <w:rFonts w:ascii="Arial" w:cs="Arial" w:eastAsia="Arial" w:hAnsi="Arial"/>
                <w:sz w:val="15"/>
                <w:szCs w:val="15"/>
                <w:u w:val="single" w:color="auto"/>
                <w:color w:val="auto"/>
                <w:w w:val="89"/>
              </w:rPr>
              <w:t>$</w:t>
            </w:r>
            <w:r>
              <w:rPr>
                <w:rFonts w:ascii="Arial" w:cs="Arial" w:eastAsia="Arial" w:hAnsi="Arial"/>
                <w:sz w:val="15"/>
                <w:szCs w:val="15"/>
                <w:color w:val="auto"/>
                <w:w w:val="89"/>
              </w:rPr>
              <w:t>(325.8)</w:t>
            </w:r>
          </w:p>
        </w:tc>
        <w:tc>
          <w:tcPr>
            <w:tcW w:w="840" w:type="dxa"/>
            <w:vAlign w:val="bottom"/>
            <w:gridSpan w:val="3"/>
          </w:tcPr>
          <w:p>
            <w:pPr>
              <w:jc w:val="right"/>
              <w:ind w:right="160"/>
              <w:spacing w:after="0"/>
              <w:rPr>
                <w:sz w:val="20"/>
                <w:szCs w:val="20"/>
                <w:color w:val="auto"/>
              </w:rPr>
            </w:pPr>
            <w:r>
              <w:rPr>
                <w:rFonts w:ascii="Arial" w:cs="Arial" w:eastAsia="Arial" w:hAnsi="Arial"/>
                <w:sz w:val="15"/>
                <w:szCs w:val="15"/>
                <w:u w:val="single" w:color="auto"/>
                <w:color w:val="auto"/>
              </w:rPr>
              <w:t>$</w:t>
            </w:r>
            <w:r>
              <w:rPr>
                <w:rFonts w:ascii="Arial" w:cs="Arial" w:eastAsia="Arial" w:hAnsi="Arial"/>
                <w:sz w:val="15"/>
                <w:szCs w:val="15"/>
                <w:color w:val="auto"/>
              </w:rPr>
              <w:t xml:space="preserve"> (211.5)</w:t>
            </w:r>
          </w:p>
        </w:tc>
        <w:tc>
          <w:tcPr>
            <w:tcW w:w="720" w:type="dxa"/>
            <w:vAlign w:val="bottom"/>
            <w:gridSpan w:val="3"/>
          </w:tcPr>
          <w:p>
            <w:pPr>
              <w:jc w:val="right"/>
              <w:ind w:right="40"/>
              <w:spacing w:after="0"/>
              <w:rPr>
                <w:sz w:val="20"/>
                <w:szCs w:val="20"/>
                <w:color w:val="auto"/>
              </w:rPr>
            </w:pPr>
            <w:r>
              <w:rPr>
                <w:rFonts w:ascii="Arial" w:cs="Arial" w:eastAsia="Arial" w:hAnsi="Arial"/>
                <w:sz w:val="15"/>
                <w:szCs w:val="15"/>
                <w:u w:val="single" w:color="auto"/>
                <w:color w:val="auto"/>
              </w:rPr>
              <w:t>$</w:t>
            </w:r>
            <w:r>
              <w:rPr>
                <w:rFonts w:ascii="Arial" w:cs="Arial" w:eastAsia="Arial" w:hAnsi="Arial"/>
                <w:sz w:val="15"/>
                <w:szCs w:val="15"/>
                <w:color w:val="auto"/>
              </w:rPr>
              <w:t>(106.5)</w:t>
            </w:r>
          </w:p>
        </w:tc>
        <w:tc>
          <w:tcPr>
            <w:tcW w:w="0" w:type="dxa"/>
            <w:vAlign w:val="bottom"/>
          </w:tcPr>
          <w:p>
            <w:pPr>
              <w:spacing w:after="0"/>
              <w:rPr>
                <w:sz w:val="1"/>
                <w:szCs w:val="1"/>
                <w:color w:val="auto"/>
              </w:rPr>
            </w:pPr>
          </w:p>
        </w:tc>
      </w:tr>
      <w:tr>
        <w:trPr>
          <w:trHeight w:val="20"/>
        </w:trPr>
        <w:tc>
          <w:tcPr>
            <w:tcW w:w="696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1" w:lineRule="exact"/>
        <w:rPr>
          <w:sz w:val="20"/>
          <w:szCs w:val="20"/>
          <w:color w:val="auto"/>
        </w:rPr>
      </w:pPr>
    </w:p>
    <w:p>
      <w:pPr>
        <w:jc w:val="center"/>
        <w:ind w:right="-1099"/>
        <w:spacing w:after="0"/>
        <w:rPr>
          <w:sz w:val="20"/>
          <w:szCs w:val="20"/>
          <w:color w:val="auto"/>
        </w:rPr>
      </w:pPr>
      <w:r>
        <w:rPr>
          <w:rFonts w:ascii="Arial" w:cs="Arial" w:eastAsia="Arial" w:hAnsi="Arial"/>
          <w:sz w:val="15"/>
          <w:szCs w:val="15"/>
          <w:i w:val="1"/>
          <w:iCs w:val="1"/>
          <w:color w:val="auto"/>
        </w:rPr>
        <w:t>See accompanying Notes to Consolidated Financial Statements.</w:t>
      </w:r>
    </w:p>
    <w:p>
      <w:pPr>
        <w:spacing w:after="0" w:line="132" w:lineRule="exact"/>
        <w:rPr>
          <w:sz w:val="20"/>
          <w:szCs w:val="20"/>
          <w:color w:val="auto"/>
        </w:rPr>
      </w:pPr>
    </w:p>
    <w:p>
      <w:pPr>
        <w:jc w:val="center"/>
        <w:ind w:right="-1099"/>
        <w:spacing w:after="0"/>
        <w:rPr>
          <w:sz w:val="20"/>
          <w:szCs w:val="20"/>
          <w:color w:val="auto"/>
        </w:rPr>
      </w:pPr>
      <w:r>
        <w:rPr>
          <w:rFonts w:ascii="Arial" w:cs="Arial" w:eastAsia="Arial" w:hAnsi="Arial"/>
          <w:sz w:val="15"/>
          <w:szCs w:val="15"/>
          <w:color w:val="auto"/>
        </w:rPr>
        <w:t>F-5</w:t>
      </w:r>
    </w:p>
    <w:p>
      <w:pPr>
        <w:sectPr>
          <w:pgSz w:w="11900" w:h="16838" w:orient="portrait"/>
          <w:cols w:equalWidth="0" w:num="1">
            <w:col w:w="10320"/>
          </w:cols>
          <w:pgMar w:left="240" w:top="408" w:right="1339" w:bottom="1440" w:gutter="0" w:footer="0" w:header="0"/>
        </w:sectPr>
      </w:pPr>
    </w:p>
    <w:bookmarkStart w:id="208" w:name="page209"/>
    <w:bookmarkEnd w:id="208"/>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133350</wp:posOffset>
            </wp:positionH>
            <wp:positionV relativeFrom="page">
              <wp:posOffset>88900</wp:posOffset>
            </wp:positionV>
            <wp:extent cx="7308850" cy="3429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308850" cy="34290"/>
                    </a:xfrm>
                    <a:prstGeom prst="rect">
                      <a:avLst/>
                    </a:prstGeom>
                    <a:noFill/>
                  </pic:spPr>
                </pic:pic>
              </a:graphicData>
            </a:graphic>
          </wp:anchor>
        </w:drawing>
      </w:r>
      <w:hyperlink w:anchor="page7">
        <w:r>
          <w:rPr>
            <w:rFonts w:ascii="Arial" w:cs="Arial" w:eastAsia="Arial" w:hAnsi="Arial"/>
            <w:sz w:val="15"/>
            <w:szCs w:val="15"/>
            <w:b w:val="1"/>
            <w:bCs w:val="1"/>
            <w:u w:val="single" w:color="auto"/>
            <w:color w:val="0000EE"/>
          </w:rPr>
          <w:t>Table of Contents</w:t>
        </w:r>
      </w:hyperlink>
    </w:p>
    <w:p>
      <w:pPr>
        <w:spacing w:after="0" w:line="256" w:lineRule="exact"/>
        <w:rPr>
          <w:sz w:val="20"/>
          <w:szCs w:val="20"/>
          <w:color w:val="auto"/>
        </w:rPr>
      </w:pPr>
    </w:p>
    <w:p>
      <w:pPr>
        <w:jc w:val="center"/>
        <w:ind w:right="-1099"/>
        <w:spacing w:after="0"/>
        <w:rPr>
          <w:sz w:val="20"/>
          <w:szCs w:val="20"/>
          <w:color w:val="auto"/>
        </w:rPr>
      </w:pPr>
      <w:r>
        <w:rPr>
          <w:rFonts w:ascii="Arial" w:cs="Arial" w:eastAsia="Arial" w:hAnsi="Arial"/>
          <w:sz w:val="15"/>
          <w:szCs w:val="15"/>
          <w:b w:val="1"/>
          <w:bCs w:val="1"/>
          <w:color w:val="auto"/>
        </w:rPr>
        <w:t>DROPBOX, INC.</w:t>
      </w:r>
    </w:p>
    <w:p>
      <w:pPr>
        <w:spacing w:after="0" w:line="21" w:lineRule="exact"/>
        <w:rPr>
          <w:sz w:val="20"/>
          <w:szCs w:val="20"/>
          <w:color w:val="auto"/>
        </w:rPr>
      </w:pPr>
    </w:p>
    <w:p>
      <w:pPr>
        <w:jc w:val="center"/>
        <w:ind w:right="-1099"/>
        <w:spacing w:after="0"/>
        <w:rPr>
          <w:sz w:val="20"/>
          <w:szCs w:val="20"/>
          <w:color w:val="auto"/>
        </w:rPr>
      </w:pPr>
      <w:r>
        <w:rPr>
          <w:rFonts w:ascii="Arial" w:cs="Arial" w:eastAsia="Arial" w:hAnsi="Arial"/>
          <w:sz w:val="15"/>
          <w:szCs w:val="15"/>
          <w:b w:val="1"/>
          <w:bCs w:val="1"/>
          <w:color w:val="auto"/>
        </w:rPr>
        <w:t>CONSOLIDATED STATEMENTS OF STOCKHOLDERS’ EQUITY</w:t>
      </w:r>
    </w:p>
    <w:p>
      <w:pPr>
        <w:spacing w:after="0" w:line="8" w:lineRule="exact"/>
        <w:rPr>
          <w:sz w:val="20"/>
          <w:szCs w:val="20"/>
          <w:color w:val="auto"/>
        </w:rPr>
      </w:pPr>
    </w:p>
    <w:p>
      <w:pPr>
        <w:jc w:val="center"/>
        <w:ind w:right="-1099"/>
        <w:spacing w:after="0"/>
        <w:rPr>
          <w:sz w:val="20"/>
          <w:szCs w:val="20"/>
          <w:color w:val="auto"/>
        </w:rPr>
      </w:pPr>
      <w:r>
        <w:rPr>
          <w:rFonts w:ascii="Arial" w:cs="Arial" w:eastAsia="Arial" w:hAnsi="Arial"/>
          <w:sz w:val="15"/>
          <w:szCs w:val="15"/>
          <w:i w:val="1"/>
          <w:iCs w:val="1"/>
          <w:color w:val="auto"/>
        </w:rPr>
        <w:t>(In millions)</w:t>
      </w:r>
    </w:p>
    <w:p>
      <w:pPr>
        <w:spacing w:after="0" w:line="179" w:lineRule="exact"/>
        <w:rPr>
          <w:sz w:val="20"/>
          <w:szCs w:val="20"/>
          <w:color w:val="auto"/>
        </w:rPr>
      </w:pPr>
    </w:p>
    <w:tbl>
      <w:tblPr>
        <w:tblLayout w:type="fixed"/>
        <w:tblInd w:w="1120" w:type="dxa"/>
        <w:tblCellMar>
          <w:top w:w="0" w:type="dxa"/>
          <w:left w:w="0" w:type="dxa"/>
          <w:bottom w:w="0" w:type="dxa"/>
          <w:right w:w="0" w:type="dxa"/>
        </w:tblCellMar>
      </w:tblPr>
      <w:tr>
        <w:trPr>
          <w:trHeight w:val="138"/>
        </w:trPr>
        <w:tc>
          <w:tcPr>
            <w:tcW w:w="20" w:type="dxa"/>
            <w:vAlign w:val="bottom"/>
          </w:tcPr>
          <w:p>
            <w:pPr>
              <w:spacing w:after="0"/>
              <w:rPr>
                <w:sz w:val="12"/>
                <w:szCs w:val="12"/>
                <w:color w:val="auto"/>
              </w:rPr>
            </w:pPr>
          </w:p>
        </w:tc>
        <w:tc>
          <w:tcPr>
            <w:tcW w:w="3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gridSpan w:val="3"/>
            <w:vMerge w:val="restart"/>
          </w:tcPr>
          <w:p>
            <w:pPr>
              <w:jc w:val="right"/>
              <w:ind w:right="112"/>
              <w:spacing w:after="0"/>
              <w:rPr>
                <w:sz w:val="20"/>
                <w:szCs w:val="20"/>
                <w:color w:val="auto"/>
              </w:rPr>
            </w:pPr>
            <w:r>
              <w:rPr>
                <w:rFonts w:ascii="Arial" w:cs="Arial" w:eastAsia="Arial" w:hAnsi="Arial"/>
                <w:sz w:val="12"/>
                <w:szCs w:val="12"/>
                <w:b w:val="1"/>
                <w:bCs w:val="1"/>
                <w:color w:val="auto"/>
              </w:rPr>
              <w:t>Convertible</w:t>
            </w:r>
          </w:p>
        </w:tc>
        <w:tc>
          <w:tcPr>
            <w:tcW w:w="1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3"/>
          </w:tcPr>
          <w:p>
            <w:pPr>
              <w:jc w:val="center"/>
              <w:ind w:right="140"/>
              <w:spacing w:after="0"/>
              <w:rPr>
                <w:sz w:val="20"/>
                <w:szCs w:val="20"/>
                <w:color w:val="auto"/>
              </w:rPr>
            </w:pPr>
            <w:r>
              <w:rPr>
                <w:rFonts w:ascii="Arial" w:cs="Arial" w:eastAsia="Arial" w:hAnsi="Arial"/>
                <w:sz w:val="12"/>
                <w:szCs w:val="12"/>
                <w:b w:val="1"/>
                <w:bCs w:val="1"/>
                <w:color w:val="auto"/>
                <w:w w:val="90"/>
              </w:rPr>
              <w:t>Accumulated</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3260" w:type="dxa"/>
            <w:vAlign w:val="bottom"/>
          </w:tcPr>
          <w:p>
            <w:pPr>
              <w:spacing w:after="0"/>
              <w:rPr>
                <w:sz w:val="5"/>
                <w:szCs w:val="5"/>
                <w:color w:val="auto"/>
              </w:rPr>
            </w:pPr>
          </w:p>
        </w:tc>
        <w:tc>
          <w:tcPr>
            <w:tcW w:w="140" w:type="dxa"/>
            <w:vAlign w:val="bottom"/>
          </w:tcPr>
          <w:p>
            <w:pPr>
              <w:spacing w:after="0"/>
              <w:rPr>
                <w:sz w:val="5"/>
                <w:szCs w:val="5"/>
                <w:color w:val="auto"/>
              </w:rPr>
            </w:pPr>
          </w:p>
        </w:tc>
        <w:tc>
          <w:tcPr>
            <w:tcW w:w="960" w:type="dxa"/>
            <w:vAlign w:val="bottom"/>
            <w:gridSpan w:val="3"/>
            <w:vMerge w:val="continue"/>
          </w:tcPr>
          <w:p>
            <w:pPr>
              <w:spacing w:after="0"/>
              <w:rPr>
                <w:sz w:val="5"/>
                <w:szCs w:val="5"/>
                <w:color w:val="auto"/>
              </w:rPr>
            </w:pPr>
          </w:p>
        </w:tc>
        <w:tc>
          <w:tcPr>
            <w:tcW w:w="180" w:type="dxa"/>
            <w:vAlign w:val="bottom"/>
          </w:tcPr>
          <w:p>
            <w:pPr>
              <w:spacing w:after="0"/>
              <w:rPr>
                <w:sz w:val="5"/>
                <w:szCs w:val="5"/>
                <w:color w:val="auto"/>
              </w:rPr>
            </w:pPr>
          </w:p>
        </w:tc>
        <w:tc>
          <w:tcPr>
            <w:tcW w:w="3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80" w:type="dxa"/>
            <w:vAlign w:val="bottom"/>
            <w:gridSpan w:val="4"/>
            <w:vMerge w:val="restart"/>
          </w:tcPr>
          <w:p>
            <w:pPr>
              <w:jc w:val="center"/>
              <w:spacing w:after="0" w:line="124" w:lineRule="exact"/>
              <w:rPr>
                <w:sz w:val="20"/>
                <w:szCs w:val="20"/>
                <w:color w:val="auto"/>
              </w:rPr>
            </w:pPr>
            <w:r>
              <w:rPr>
                <w:rFonts w:ascii="Arial" w:cs="Arial" w:eastAsia="Arial" w:hAnsi="Arial"/>
                <w:sz w:val="12"/>
                <w:szCs w:val="12"/>
                <w:b w:val="1"/>
                <w:bCs w:val="1"/>
                <w:color w:val="auto"/>
                <w:w w:val="95"/>
              </w:rPr>
              <w:t>Additional</w:t>
            </w: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5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740" w:type="dxa"/>
            <w:vAlign w:val="bottom"/>
            <w:gridSpan w:val="2"/>
            <w:vMerge w:val="restart"/>
          </w:tcPr>
          <w:p>
            <w:pPr>
              <w:jc w:val="center"/>
              <w:ind w:right="300"/>
              <w:spacing w:after="0" w:line="124" w:lineRule="exact"/>
              <w:rPr>
                <w:sz w:val="20"/>
                <w:szCs w:val="20"/>
                <w:color w:val="auto"/>
              </w:rPr>
            </w:pPr>
            <w:r>
              <w:rPr>
                <w:rFonts w:ascii="Arial" w:cs="Arial" w:eastAsia="Arial" w:hAnsi="Arial"/>
                <w:sz w:val="12"/>
                <w:szCs w:val="12"/>
                <w:b w:val="1"/>
                <w:bCs w:val="1"/>
                <w:color w:val="auto"/>
                <w:w w:val="93"/>
              </w:rPr>
              <w:t>other</w:t>
            </w: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gridSpan w:val="2"/>
            <w:vMerge w:val="restart"/>
          </w:tcPr>
          <w:p>
            <w:pPr>
              <w:jc w:val="center"/>
              <w:ind w:right="220"/>
              <w:spacing w:after="0" w:line="124" w:lineRule="exact"/>
              <w:rPr>
                <w:sz w:val="20"/>
                <w:szCs w:val="20"/>
                <w:color w:val="auto"/>
              </w:rPr>
            </w:pPr>
            <w:r>
              <w:rPr>
                <w:rFonts w:ascii="Arial" w:cs="Arial" w:eastAsia="Arial" w:hAnsi="Arial"/>
                <w:sz w:val="12"/>
                <w:szCs w:val="12"/>
                <w:b w:val="1"/>
                <w:bCs w:val="1"/>
                <w:color w:val="auto"/>
                <w:w w:val="90"/>
              </w:rPr>
              <w:t>Total</w:t>
            </w: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3260" w:type="dxa"/>
            <w:vAlign w:val="bottom"/>
          </w:tcPr>
          <w:p>
            <w:pPr>
              <w:spacing w:after="0"/>
              <w:rPr>
                <w:sz w:val="4"/>
                <w:szCs w:val="4"/>
                <w:color w:val="auto"/>
              </w:rPr>
            </w:pPr>
          </w:p>
        </w:tc>
        <w:tc>
          <w:tcPr>
            <w:tcW w:w="140" w:type="dxa"/>
            <w:vAlign w:val="bottom"/>
          </w:tcPr>
          <w:p>
            <w:pPr>
              <w:spacing w:after="0"/>
              <w:rPr>
                <w:sz w:val="4"/>
                <w:szCs w:val="4"/>
                <w:color w:val="auto"/>
              </w:rPr>
            </w:pPr>
          </w:p>
        </w:tc>
        <w:tc>
          <w:tcPr>
            <w:tcW w:w="960" w:type="dxa"/>
            <w:vAlign w:val="bottom"/>
            <w:gridSpan w:val="3"/>
            <w:vMerge w:val="restart"/>
          </w:tcPr>
          <w:p>
            <w:pPr>
              <w:jc w:val="right"/>
              <w:ind w:right="12"/>
              <w:spacing w:after="0"/>
              <w:rPr>
                <w:sz w:val="20"/>
                <w:szCs w:val="20"/>
                <w:color w:val="auto"/>
              </w:rPr>
            </w:pPr>
            <w:r>
              <w:rPr>
                <w:rFonts w:ascii="Arial" w:cs="Arial" w:eastAsia="Arial" w:hAnsi="Arial"/>
                <w:sz w:val="12"/>
                <w:szCs w:val="12"/>
                <w:b w:val="1"/>
                <w:bCs w:val="1"/>
                <w:color w:val="auto"/>
                <w:w w:val="98"/>
              </w:rPr>
              <w:t>preferred stock</w:t>
            </w:r>
          </w:p>
        </w:tc>
        <w:tc>
          <w:tcPr>
            <w:tcW w:w="180" w:type="dxa"/>
            <w:vAlign w:val="bottom"/>
          </w:tcPr>
          <w:p>
            <w:pPr>
              <w:spacing w:after="0"/>
              <w:rPr>
                <w:sz w:val="4"/>
                <w:szCs w:val="4"/>
                <w:color w:val="auto"/>
              </w:rPr>
            </w:pPr>
          </w:p>
        </w:tc>
        <w:tc>
          <w:tcPr>
            <w:tcW w:w="1000" w:type="dxa"/>
            <w:vAlign w:val="bottom"/>
            <w:gridSpan w:val="5"/>
            <w:vMerge w:val="restart"/>
          </w:tcPr>
          <w:p>
            <w:pPr>
              <w:ind w:left="120"/>
              <w:spacing w:after="0"/>
              <w:rPr>
                <w:sz w:val="20"/>
                <w:szCs w:val="20"/>
                <w:color w:val="auto"/>
              </w:rPr>
            </w:pPr>
            <w:r>
              <w:rPr>
                <w:rFonts w:ascii="Arial" w:cs="Arial" w:eastAsia="Arial" w:hAnsi="Arial"/>
                <w:sz w:val="12"/>
                <w:szCs w:val="12"/>
                <w:b w:val="1"/>
                <w:bCs w:val="1"/>
                <w:color w:val="auto"/>
                <w:w w:val="99"/>
              </w:rPr>
              <w:t>Common stock</w:t>
            </w:r>
          </w:p>
        </w:tc>
        <w:tc>
          <w:tcPr>
            <w:tcW w:w="880" w:type="dxa"/>
            <w:vAlign w:val="bottom"/>
            <w:gridSpan w:val="4"/>
            <w:vMerge w:val="continue"/>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5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740" w:type="dxa"/>
            <w:vAlign w:val="bottom"/>
            <w:gridSpan w:val="2"/>
            <w:vMerge w:val="continue"/>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64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3260" w:type="dxa"/>
            <w:vAlign w:val="bottom"/>
          </w:tcPr>
          <w:p>
            <w:pPr>
              <w:spacing w:after="0"/>
              <w:rPr>
                <w:sz w:val="7"/>
                <w:szCs w:val="7"/>
                <w:color w:val="auto"/>
              </w:rPr>
            </w:pPr>
          </w:p>
        </w:tc>
        <w:tc>
          <w:tcPr>
            <w:tcW w:w="140" w:type="dxa"/>
            <w:vAlign w:val="bottom"/>
          </w:tcPr>
          <w:p>
            <w:pPr>
              <w:spacing w:after="0"/>
              <w:rPr>
                <w:sz w:val="7"/>
                <w:szCs w:val="7"/>
                <w:color w:val="auto"/>
              </w:rPr>
            </w:pPr>
          </w:p>
        </w:tc>
        <w:tc>
          <w:tcPr>
            <w:tcW w:w="960" w:type="dxa"/>
            <w:vAlign w:val="bottom"/>
            <w:tcBorders>
              <w:bottom w:val="single" w:sz="8" w:color="auto"/>
            </w:tcBorders>
            <w:gridSpan w:val="3"/>
            <w:vMerge w:val="continue"/>
          </w:tcPr>
          <w:p>
            <w:pPr>
              <w:spacing w:after="0"/>
              <w:rPr>
                <w:sz w:val="7"/>
                <w:szCs w:val="7"/>
                <w:color w:val="auto"/>
              </w:rPr>
            </w:pPr>
          </w:p>
        </w:tc>
        <w:tc>
          <w:tcPr>
            <w:tcW w:w="180" w:type="dxa"/>
            <w:vAlign w:val="bottom"/>
          </w:tcPr>
          <w:p>
            <w:pPr>
              <w:spacing w:after="0"/>
              <w:rPr>
                <w:sz w:val="7"/>
                <w:szCs w:val="7"/>
                <w:color w:val="auto"/>
              </w:rPr>
            </w:pPr>
          </w:p>
        </w:tc>
        <w:tc>
          <w:tcPr>
            <w:tcW w:w="1000" w:type="dxa"/>
            <w:vAlign w:val="bottom"/>
            <w:tcBorders>
              <w:bottom w:val="single" w:sz="8" w:color="auto"/>
            </w:tcBorders>
            <w:gridSpan w:val="5"/>
            <w:vMerge w:val="continue"/>
          </w:tcPr>
          <w:p>
            <w:pPr>
              <w:spacing w:after="0"/>
              <w:rPr>
                <w:sz w:val="7"/>
                <w:szCs w:val="7"/>
                <w:color w:val="auto"/>
              </w:rPr>
            </w:pPr>
          </w:p>
        </w:tc>
        <w:tc>
          <w:tcPr>
            <w:tcW w:w="200" w:type="dxa"/>
            <w:vAlign w:val="bottom"/>
          </w:tcPr>
          <w:p>
            <w:pPr>
              <w:spacing w:after="0"/>
              <w:rPr>
                <w:sz w:val="7"/>
                <w:szCs w:val="7"/>
                <w:color w:val="auto"/>
              </w:rPr>
            </w:pPr>
          </w:p>
        </w:tc>
        <w:tc>
          <w:tcPr>
            <w:tcW w:w="60" w:type="dxa"/>
            <w:vAlign w:val="bottom"/>
          </w:tcPr>
          <w:p>
            <w:pPr>
              <w:spacing w:after="0"/>
              <w:rPr>
                <w:sz w:val="7"/>
                <w:szCs w:val="7"/>
                <w:color w:val="auto"/>
              </w:rPr>
            </w:pPr>
          </w:p>
        </w:tc>
        <w:tc>
          <w:tcPr>
            <w:tcW w:w="620" w:type="dxa"/>
            <w:vAlign w:val="bottom"/>
            <w:gridSpan w:val="2"/>
          </w:tcPr>
          <w:p>
            <w:pPr>
              <w:jc w:val="center"/>
              <w:ind w:right="220"/>
              <w:spacing w:after="0" w:line="88" w:lineRule="exact"/>
              <w:rPr>
                <w:sz w:val="20"/>
                <w:szCs w:val="20"/>
                <w:color w:val="auto"/>
              </w:rPr>
            </w:pPr>
            <w:r>
              <w:rPr>
                <w:rFonts w:ascii="Arial" w:cs="Arial" w:eastAsia="Arial" w:hAnsi="Arial"/>
                <w:sz w:val="10"/>
                <w:szCs w:val="10"/>
                <w:b w:val="1"/>
                <w:bCs w:val="1"/>
                <w:color w:val="auto"/>
              </w:rPr>
              <w:t>paid-in</w:t>
            </w:r>
          </w:p>
        </w:tc>
        <w:tc>
          <w:tcPr>
            <w:tcW w:w="900" w:type="dxa"/>
            <w:vAlign w:val="bottom"/>
            <w:gridSpan w:val="4"/>
          </w:tcPr>
          <w:p>
            <w:pPr>
              <w:ind w:left="80"/>
              <w:spacing w:after="0" w:line="88" w:lineRule="exact"/>
              <w:rPr>
                <w:sz w:val="20"/>
                <w:szCs w:val="20"/>
                <w:color w:val="auto"/>
              </w:rPr>
            </w:pPr>
            <w:r>
              <w:rPr>
                <w:rFonts w:ascii="Arial" w:cs="Arial" w:eastAsia="Arial" w:hAnsi="Arial"/>
                <w:sz w:val="10"/>
                <w:szCs w:val="10"/>
                <w:b w:val="1"/>
                <w:bCs w:val="1"/>
                <w:color w:val="auto"/>
              </w:rPr>
              <w:t>Accumulated</w:t>
            </w:r>
          </w:p>
        </w:tc>
        <w:tc>
          <w:tcPr>
            <w:tcW w:w="1000" w:type="dxa"/>
            <w:vAlign w:val="bottom"/>
            <w:gridSpan w:val="4"/>
          </w:tcPr>
          <w:p>
            <w:pPr>
              <w:jc w:val="center"/>
              <w:ind w:right="40"/>
              <w:spacing w:after="0" w:line="88" w:lineRule="exact"/>
              <w:rPr>
                <w:sz w:val="20"/>
                <w:szCs w:val="20"/>
                <w:color w:val="auto"/>
              </w:rPr>
            </w:pPr>
            <w:r>
              <w:rPr>
                <w:rFonts w:ascii="Arial" w:cs="Arial" w:eastAsia="Arial" w:hAnsi="Arial"/>
                <w:sz w:val="10"/>
                <w:szCs w:val="10"/>
                <w:b w:val="1"/>
                <w:bCs w:val="1"/>
                <w:color w:val="auto"/>
              </w:rPr>
              <w:t>comprehensive</w:t>
            </w:r>
          </w:p>
        </w:tc>
        <w:tc>
          <w:tcPr>
            <w:tcW w:w="860" w:type="dxa"/>
            <w:vAlign w:val="bottom"/>
            <w:gridSpan w:val="4"/>
          </w:tcPr>
          <w:p>
            <w:pPr>
              <w:jc w:val="center"/>
              <w:spacing w:after="0" w:line="88" w:lineRule="exact"/>
              <w:rPr>
                <w:sz w:val="20"/>
                <w:szCs w:val="20"/>
                <w:color w:val="auto"/>
              </w:rPr>
            </w:pPr>
            <w:r>
              <w:rPr>
                <w:rFonts w:ascii="Arial" w:cs="Arial" w:eastAsia="Arial" w:hAnsi="Arial"/>
                <w:sz w:val="10"/>
                <w:szCs w:val="10"/>
                <w:b w:val="1"/>
                <w:bCs w:val="1"/>
                <w:color w:val="auto"/>
              </w:rPr>
              <w:t>stockholders’</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32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60" w:type="dxa"/>
            <w:vAlign w:val="bottom"/>
          </w:tcPr>
          <w:p>
            <w:pPr>
              <w:spacing w:after="0"/>
              <w:rPr>
                <w:sz w:val="20"/>
                <w:szCs w:val="20"/>
                <w:color w:val="auto"/>
              </w:rPr>
            </w:pPr>
            <w:r>
              <w:rPr>
                <w:rFonts w:ascii="Arial" w:cs="Arial" w:eastAsia="Arial" w:hAnsi="Arial"/>
                <w:sz w:val="12"/>
                <w:szCs w:val="12"/>
                <w:b w:val="1"/>
                <w:bCs w:val="1"/>
                <w:color w:val="auto"/>
                <w:w w:val="84"/>
              </w:rPr>
              <w:t>Shares</w:t>
            </w:r>
          </w:p>
        </w:tc>
        <w:tc>
          <w:tcPr>
            <w:tcW w:w="600" w:type="dxa"/>
            <w:vAlign w:val="bottom"/>
            <w:gridSpan w:val="2"/>
          </w:tcPr>
          <w:p>
            <w:pPr>
              <w:jc w:val="right"/>
              <w:spacing w:after="0"/>
              <w:rPr>
                <w:sz w:val="20"/>
                <w:szCs w:val="20"/>
                <w:color w:val="auto"/>
              </w:rPr>
            </w:pPr>
            <w:r>
              <w:rPr>
                <w:rFonts w:ascii="Arial" w:cs="Arial" w:eastAsia="Arial" w:hAnsi="Arial"/>
                <w:sz w:val="12"/>
                <w:szCs w:val="12"/>
                <w:b w:val="1"/>
                <w:bCs w:val="1"/>
                <w:color w:val="auto"/>
              </w:rPr>
              <w:t>Amount</w:t>
            </w:r>
          </w:p>
        </w:tc>
        <w:tc>
          <w:tcPr>
            <w:tcW w:w="660" w:type="dxa"/>
            <w:vAlign w:val="bottom"/>
            <w:gridSpan w:val="3"/>
          </w:tcPr>
          <w:p>
            <w:pPr>
              <w:jc w:val="right"/>
              <w:ind w:right="140"/>
              <w:spacing w:after="0"/>
              <w:rPr>
                <w:sz w:val="20"/>
                <w:szCs w:val="20"/>
                <w:color w:val="auto"/>
              </w:rPr>
            </w:pPr>
            <w:r>
              <w:rPr>
                <w:rFonts w:ascii="Arial" w:cs="Arial" w:eastAsia="Arial" w:hAnsi="Arial"/>
                <w:sz w:val="12"/>
                <w:szCs w:val="12"/>
                <w:b w:val="1"/>
                <w:bCs w:val="1"/>
                <w:color w:val="auto"/>
              </w:rPr>
              <w:t>Shares</w:t>
            </w:r>
          </w:p>
        </w:tc>
        <w:tc>
          <w:tcPr>
            <w:tcW w:w="520" w:type="dxa"/>
            <w:vAlign w:val="bottom"/>
            <w:gridSpan w:val="3"/>
          </w:tcPr>
          <w:p>
            <w:pPr>
              <w:ind w:left="100"/>
              <w:spacing w:after="0"/>
              <w:rPr>
                <w:sz w:val="20"/>
                <w:szCs w:val="20"/>
                <w:color w:val="auto"/>
              </w:rPr>
            </w:pPr>
            <w:r>
              <w:rPr>
                <w:rFonts w:ascii="Arial" w:cs="Arial" w:eastAsia="Arial" w:hAnsi="Arial"/>
                <w:sz w:val="12"/>
                <w:szCs w:val="12"/>
                <w:b w:val="1"/>
                <w:bCs w:val="1"/>
                <w:color w:val="auto"/>
                <w:w w:val="88"/>
              </w:rPr>
              <w:t>Amount</w:t>
            </w:r>
          </w:p>
        </w:tc>
        <w:tc>
          <w:tcPr>
            <w:tcW w:w="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20" w:type="dxa"/>
            <w:vAlign w:val="bottom"/>
            <w:gridSpan w:val="2"/>
          </w:tcPr>
          <w:p>
            <w:pPr>
              <w:jc w:val="center"/>
              <w:ind w:right="220"/>
              <w:spacing w:after="0"/>
              <w:rPr>
                <w:sz w:val="20"/>
                <w:szCs w:val="20"/>
                <w:color w:val="auto"/>
              </w:rPr>
            </w:pPr>
            <w:r>
              <w:rPr>
                <w:rFonts w:ascii="Arial" w:cs="Arial" w:eastAsia="Arial" w:hAnsi="Arial"/>
                <w:sz w:val="12"/>
                <w:szCs w:val="12"/>
                <w:b w:val="1"/>
                <w:bCs w:val="1"/>
                <w:color w:val="auto"/>
                <w:w w:val="94"/>
              </w:rPr>
              <w:t>capital</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gridSpan w:val="2"/>
          </w:tcPr>
          <w:p>
            <w:pPr>
              <w:jc w:val="right"/>
              <w:ind w:right="320"/>
              <w:spacing w:after="0"/>
              <w:rPr>
                <w:sz w:val="20"/>
                <w:szCs w:val="20"/>
                <w:color w:val="auto"/>
              </w:rPr>
            </w:pPr>
            <w:r>
              <w:rPr>
                <w:rFonts w:ascii="Arial" w:cs="Arial" w:eastAsia="Arial" w:hAnsi="Arial"/>
                <w:sz w:val="12"/>
                <w:szCs w:val="12"/>
                <w:b w:val="1"/>
                <w:bCs w:val="1"/>
                <w:color w:val="auto"/>
              </w:rPr>
              <w:t>deficit</w:t>
            </w:r>
          </w:p>
        </w:tc>
        <w:tc>
          <w:tcPr>
            <w:tcW w:w="100" w:type="dxa"/>
            <w:vAlign w:val="bottom"/>
          </w:tcPr>
          <w:p>
            <w:pPr>
              <w:spacing w:after="0"/>
              <w:rPr>
                <w:sz w:val="13"/>
                <w:szCs w:val="13"/>
                <w:color w:val="auto"/>
              </w:rPr>
            </w:pPr>
          </w:p>
        </w:tc>
        <w:tc>
          <w:tcPr>
            <w:tcW w:w="900" w:type="dxa"/>
            <w:vAlign w:val="bottom"/>
            <w:gridSpan w:val="3"/>
          </w:tcPr>
          <w:p>
            <w:pPr>
              <w:jc w:val="center"/>
              <w:ind w:right="140"/>
              <w:spacing w:after="0"/>
              <w:rPr>
                <w:sz w:val="20"/>
                <w:szCs w:val="20"/>
                <w:color w:val="auto"/>
              </w:rPr>
            </w:pPr>
            <w:r>
              <w:rPr>
                <w:rFonts w:ascii="Arial" w:cs="Arial" w:eastAsia="Arial" w:hAnsi="Arial"/>
                <w:sz w:val="12"/>
                <w:szCs w:val="12"/>
                <w:b w:val="1"/>
                <w:bCs w:val="1"/>
                <w:color w:val="auto"/>
                <w:w w:val="87"/>
              </w:rPr>
              <w:t>income (loss)</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gridSpan w:val="2"/>
          </w:tcPr>
          <w:p>
            <w:pPr>
              <w:jc w:val="center"/>
              <w:ind w:right="200"/>
              <w:spacing w:after="0"/>
              <w:rPr>
                <w:sz w:val="20"/>
                <w:szCs w:val="20"/>
                <w:color w:val="auto"/>
              </w:rPr>
            </w:pPr>
            <w:r>
              <w:rPr>
                <w:rFonts w:ascii="Arial" w:cs="Arial" w:eastAsia="Arial" w:hAnsi="Arial"/>
                <w:sz w:val="12"/>
                <w:szCs w:val="12"/>
                <w:b w:val="1"/>
                <w:bCs w:val="1"/>
                <w:color w:val="auto"/>
                <w:w w:val="90"/>
              </w:rPr>
              <w:t>equity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60" w:type="dxa"/>
            <w:vAlign w:val="bottom"/>
            <w:vMerge w:val="restart"/>
            <w:shd w:val="clear" w:color="auto" w:fill="CCEEFF"/>
          </w:tcPr>
          <w:p>
            <w:pPr>
              <w:spacing w:after="0"/>
              <w:rPr>
                <w:sz w:val="20"/>
                <w:szCs w:val="20"/>
                <w:color w:val="auto"/>
              </w:rPr>
            </w:pPr>
            <w:r>
              <w:rPr>
                <w:rFonts w:ascii="Arial" w:cs="Arial" w:eastAsia="Arial" w:hAnsi="Arial"/>
                <w:sz w:val="14"/>
                <w:szCs w:val="14"/>
                <w:b w:val="1"/>
                <w:bCs w:val="1"/>
                <w:color w:val="auto"/>
              </w:rPr>
              <w:t>Balance at December 31, 2014</w:t>
            </w:r>
          </w:p>
        </w:tc>
        <w:tc>
          <w:tcPr>
            <w:tcW w:w="140" w:type="dxa"/>
            <w:vAlign w:val="bottom"/>
            <w:vMerge w:val="restart"/>
            <w:shd w:val="clear" w:color="auto" w:fill="CCEE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80" w:type="dxa"/>
            <w:vAlign w:val="bottom"/>
            <w:vMerge w:val="restart"/>
            <w:shd w:val="clear" w:color="auto" w:fill="CCEEFF"/>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80" w:type="dxa"/>
            <w:vAlign w:val="bottom"/>
            <w:vMerge w:val="restart"/>
            <w:shd w:val="clear" w:color="auto" w:fill="CCEE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vMerge w:val="restart"/>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00" w:type="dxa"/>
            <w:vAlign w:val="bottom"/>
            <w:vMerge w:val="restart"/>
            <w:shd w:val="clear" w:color="auto" w:fill="CCEEFF"/>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vMerge w:val="restart"/>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vMerge w:val="restart"/>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vMerge w:val="restart"/>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20" w:type="dxa"/>
            <w:vAlign w:val="bottom"/>
          </w:tcPr>
          <w:p>
            <w:pPr>
              <w:spacing w:after="0"/>
              <w:rPr>
                <w:sz w:val="13"/>
                <w:szCs w:val="13"/>
                <w:color w:val="auto"/>
              </w:rPr>
            </w:pPr>
          </w:p>
        </w:tc>
        <w:tc>
          <w:tcPr>
            <w:tcW w:w="3260" w:type="dxa"/>
            <w:vAlign w:val="bottom"/>
            <w:vMerge w:val="continue"/>
            <w:shd w:val="clear" w:color="auto" w:fill="CCEEFF"/>
          </w:tcPr>
          <w:p>
            <w:pPr>
              <w:spacing w:after="0"/>
              <w:rPr>
                <w:sz w:val="13"/>
                <w:szCs w:val="13"/>
                <w:color w:val="auto"/>
              </w:rPr>
            </w:pPr>
          </w:p>
        </w:tc>
        <w:tc>
          <w:tcPr>
            <w:tcW w:w="140" w:type="dxa"/>
            <w:vAlign w:val="bottom"/>
            <w:vMerge w:val="continue"/>
            <w:shd w:val="clear" w:color="auto" w:fill="CCEEFF"/>
          </w:tcPr>
          <w:p>
            <w:pPr>
              <w:spacing w:after="0"/>
              <w:rPr>
                <w:sz w:val="13"/>
                <w:szCs w:val="13"/>
                <w:color w:val="auto"/>
              </w:rPr>
            </w:pPr>
          </w:p>
        </w:tc>
        <w:tc>
          <w:tcPr>
            <w:tcW w:w="3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1"/>
              </w:rPr>
              <w:t>147.6</w:t>
            </w:r>
          </w:p>
        </w:tc>
        <w:tc>
          <w:tcPr>
            <w:tcW w:w="180" w:type="dxa"/>
            <w:vAlign w:val="bottom"/>
            <w:vMerge w:val="continue"/>
            <w:shd w:val="clear" w:color="auto" w:fill="CCEEFF"/>
          </w:tcPr>
          <w:p>
            <w:pPr>
              <w:spacing w:after="0"/>
              <w:rPr>
                <w:sz w:val="13"/>
                <w:szCs w:val="13"/>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85"/>
              </w:rPr>
              <w:t>$ 615.3</w:t>
            </w:r>
          </w:p>
        </w:tc>
        <w:tc>
          <w:tcPr>
            <w:tcW w:w="180" w:type="dxa"/>
            <w:vAlign w:val="bottom"/>
            <w:vMerge w:val="continue"/>
            <w:shd w:val="clear" w:color="auto" w:fill="CCEEFF"/>
          </w:tcPr>
          <w:p>
            <w:pPr>
              <w:spacing w:after="0"/>
              <w:rPr>
                <w:sz w:val="13"/>
                <w:szCs w:val="13"/>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1"/>
              </w:rPr>
              <w:t>187.5</w:t>
            </w:r>
          </w:p>
        </w:tc>
        <w:tc>
          <w:tcPr>
            <w:tcW w:w="120" w:type="dxa"/>
            <w:vAlign w:val="bottom"/>
            <w:shd w:val="clear" w:color="auto" w:fill="CCEEFF"/>
          </w:tcPr>
          <w:p>
            <w:pPr>
              <w:spacing w:after="0"/>
              <w:rPr>
                <w:sz w:val="13"/>
                <w:szCs w:val="13"/>
                <w:color w:val="auto"/>
              </w:rPr>
            </w:pPr>
          </w:p>
        </w:tc>
        <w:tc>
          <w:tcPr>
            <w:tcW w:w="100" w:type="dxa"/>
            <w:vAlign w:val="bottom"/>
            <w:vMerge w:val="continue"/>
            <w:shd w:val="clear" w:color="auto" w:fill="CCEEFF"/>
          </w:tcPr>
          <w:p>
            <w:pPr>
              <w:spacing w:after="0"/>
              <w:rPr>
                <w:sz w:val="13"/>
                <w:szCs w:val="13"/>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ind w:left="80"/>
              <w:spacing w:after="0"/>
              <w:rPr>
                <w:sz w:val="20"/>
                <w:szCs w:val="20"/>
                <w:color w:val="auto"/>
              </w:rPr>
            </w:pPr>
            <w:r>
              <w:rPr>
                <w:rFonts w:ascii="Arial" w:cs="Arial" w:eastAsia="Arial" w:hAnsi="Arial"/>
                <w:sz w:val="14"/>
                <w:szCs w:val="14"/>
                <w:color w:val="auto"/>
              </w:rPr>
              <w:t>—</w:t>
            </w:r>
          </w:p>
        </w:tc>
        <w:tc>
          <w:tcPr>
            <w:tcW w:w="200" w:type="dxa"/>
            <w:vAlign w:val="bottom"/>
            <w:vMerge w:val="continue"/>
            <w:shd w:val="clear" w:color="auto" w:fill="CCEEFF"/>
          </w:tcPr>
          <w:p>
            <w:pPr>
              <w:spacing w:after="0"/>
              <w:rPr>
                <w:sz w:val="13"/>
                <w:szCs w:val="13"/>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192.3</w:t>
            </w:r>
          </w:p>
        </w:tc>
        <w:tc>
          <w:tcPr>
            <w:tcW w:w="140" w:type="dxa"/>
            <w:vAlign w:val="bottom"/>
            <w:shd w:val="clear" w:color="auto" w:fill="CCEEFF"/>
          </w:tcPr>
          <w:p>
            <w:pPr>
              <w:spacing w:after="0"/>
              <w:rPr>
                <w:sz w:val="13"/>
                <w:szCs w:val="13"/>
                <w:color w:val="auto"/>
              </w:rPr>
            </w:pPr>
          </w:p>
        </w:tc>
        <w:tc>
          <w:tcPr>
            <w:tcW w:w="80" w:type="dxa"/>
            <w:vAlign w:val="bottom"/>
            <w:vMerge w:val="continue"/>
            <w:shd w:val="clear" w:color="auto" w:fill="CCEEFF"/>
          </w:tcPr>
          <w:p>
            <w:pPr>
              <w:spacing w:after="0"/>
              <w:rPr>
                <w:sz w:val="13"/>
                <w:szCs w:val="13"/>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(399.7)</w:t>
            </w:r>
          </w:p>
        </w:tc>
        <w:tc>
          <w:tcPr>
            <w:tcW w:w="100" w:type="dxa"/>
            <w:vAlign w:val="bottom"/>
            <w:vMerge w:val="continue"/>
            <w:shd w:val="clear" w:color="auto" w:fill="CCEEFF"/>
          </w:tcPr>
          <w:p>
            <w:pPr>
              <w:spacing w:after="0"/>
              <w:rPr>
                <w:sz w:val="13"/>
                <w:szCs w:val="13"/>
                <w:color w:val="auto"/>
              </w:rPr>
            </w:pPr>
          </w:p>
        </w:tc>
        <w:tc>
          <w:tcPr>
            <w:tcW w:w="160" w:type="dxa"/>
            <w:vAlign w:val="bottom"/>
            <w:shd w:val="clear" w:color="auto" w:fill="CCEEFF"/>
          </w:tcPr>
          <w:p>
            <w:pPr>
              <w:jc w:val="right"/>
              <w:ind w:right="43"/>
              <w:spacing w:after="0"/>
              <w:rPr>
                <w:sz w:val="20"/>
                <w:szCs w:val="20"/>
                <w:color w:val="auto"/>
              </w:rPr>
            </w:pPr>
            <w:r>
              <w:rPr>
                <w:rFonts w:ascii="Arial" w:cs="Arial" w:eastAsia="Arial" w:hAnsi="Arial"/>
                <w:sz w:val="10"/>
                <w:szCs w:val="10"/>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0.2</w:t>
            </w:r>
          </w:p>
        </w:tc>
        <w:tc>
          <w:tcPr>
            <w:tcW w:w="140" w:type="dxa"/>
            <w:vAlign w:val="bottom"/>
            <w:shd w:val="clear" w:color="auto" w:fill="CCEEFF"/>
          </w:tcPr>
          <w:p>
            <w:pPr>
              <w:spacing w:after="0"/>
              <w:rPr>
                <w:sz w:val="13"/>
                <w:szCs w:val="13"/>
                <w:color w:val="auto"/>
              </w:rPr>
            </w:pPr>
          </w:p>
        </w:tc>
        <w:tc>
          <w:tcPr>
            <w:tcW w:w="100" w:type="dxa"/>
            <w:vAlign w:val="bottom"/>
            <w:vMerge w:val="continue"/>
            <w:shd w:val="clear" w:color="auto" w:fill="CCEEFF"/>
          </w:tcPr>
          <w:p>
            <w:pPr>
              <w:spacing w:after="0"/>
              <w:rPr>
                <w:sz w:val="13"/>
                <w:szCs w:val="13"/>
                <w:color w:val="auto"/>
              </w:rPr>
            </w:pPr>
          </w:p>
        </w:tc>
        <w:tc>
          <w:tcPr>
            <w:tcW w:w="120" w:type="dxa"/>
            <w:vAlign w:val="bottom"/>
            <w:shd w:val="clear" w:color="auto" w:fill="CCEEFF"/>
          </w:tcPr>
          <w:p>
            <w:pPr>
              <w:jc w:val="right"/>
              <w:ind w:right="9"/>
              <w:spacing w:after="0"/>
              <w:rPr>
                <w:sz w:val="20"/>
                <w:szCs w:val="20"/>
                <w:color w:val="auto"/>
              </w:rPr>
            </w:pPr>
            <w:r>
              <w:rPr>
                <w:rFonts w:ascii="Arial" w:cs="Arial" w:eastAsia="Arial" w:hAnsi="Arial"/>
                <w:sz w:val="10"/>
                <w:szCs w:val="10"/>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408.1</w:t>
            </w: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3260" w:type="dxa"/>
            <w:vAlign w:val="bottom"/>
          </w:tcPr>
          <w:p>
            <w:pPr>
              <w:spacing w:after="0"/>
              <w:rPr>
                <w:sz w:val="20"/>
                <w:szCs w:val="20"/>
                <w:color w:val="auto"/>
              </w:rPr>
            </w:pPr>
            <w:r>
              <w:rPr>
                <w:rFonts w:ascii="Arial" w:cs="Arial" w:eastAsia="Arial" w:hAnsi="Arial"/>
                <w:sz w:val="14"/>
                <w:szCs w:val="14"/>
                <w:color w:val="auto"/>
                <w:w w:val="92"/>
              </w:rPr>
              <w:t>Cumulative-effect adjustment from adoption of Topic 606</w:t>
            </w:r>
          </w:p>
        </w:tc>
        <w:tc>
          <w:tcPr>
            <w:tcW w:w="140" w:type="dxa"/>
            <w:vAlign w:val="bottom"/>
          </w:tcPr>
          <w:p>
            <w:pPr>
              <w:spacing w:after="0"/>
              <w:rPr>
                <w:sz w:val="14"/>
                <w:szCs w:val="14"/>
                <w:color w:val="auto"/>
              </w:rPr>
            </w:pPr>
          </w:p>
        </w:tc>
        <w:tc>
          <w:tcPr>
            <w:tcW w:w="36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8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4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80" w:type="dxa"/>
            <w:vAlign w:val="bottom"/>
          </w:tcPr>
          <w:p>
            <w:pPr>
              <w:ind w:left="8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4"/>
                <w:szCs w:val="14"/>
                <w:color w:val="auto"/>
              </w:rPr>
              <w:t>(1.7)</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4"/>
                <w:szCs w:val="14"/>
                <w:color w:val="auto"/>
              </w:rPr>
              <w:t>(1.7)</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3260" w:type="dxa"/>
            <w:vAlign w:val="bottom"/>
            <w:shd w:val="clear" w:color="auto" w:fill="CCEEFF"/>
          </w:tcPr>
          <w:p>
            <w:pPr>
              <w:spacing w:after="0"/>
              <w:rPr>
                <w:sz w:val="20"/>
                <w:szCs w:val="20"/>
                <w:color w:val="auto"/>
              </w:rPr>
            </w:pPr>
            <w:r>
              <w:rPr>
                <w:rFonts w:ascii="Arial" w:cs="Arial" w:eastAsia="Arial" w:hAnsi="Arial"/>
                <w:sz w:val="14"/>
                <w:szCs w:val="14"/>
                <w:color w:val="auto"/>
              </w:rPr>
              <w:t>Vesting of early exercised stock options</w:t>
            </w:r>
          </w:p>
        </w:tc>
        <w:tc>
          <w:tcPr>
            <w:tcW w:w="140" w:type="dxa"/>
            <w:vAlign w:val="bottom"/>
            <w:shd w:val="clear" w:color="auto" w:fill="CCEEFF"/>
          </w:tcPr>
          <w:p>
            <w:pPr>
              <w:spacing w:after="0"/>
              <w:rPr>
                <w:sz w:val="14"/>
                <w:szCs w:val="14"/>
                <w:color w:val="auto"/>
              </w:rPr>
            </w:pPr>
          </w:p>
        </w:tc>
        <w:tc>
          <w:tcPr>
            <w:tcW w:w="3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9"/>
              </w:rPr>
              <w:t>—</w:t>
            </w:r>
          </w:p>
        </w:tc>
        <w:tc>
          <w:tcPr>
            <w:tcW w:w="180" w:type="dxa"/>
            <w:vAlign w:val="bottom"/>
            <w:shd w:val="clear" w:color="auto" w:fill="CCEEFF"/>
          </w:tcPr>
          <w:p>
            <w:pPr>
              <w:spacing w:after="0"/>
              <w:rPr>
                <w:sz w:val="14"/>
                <w:szCs w:val="14"/>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4"/>
                <w:szCs w:val="14"/>
                <w:color w:val="auto"/>
              </w:rPr>
            </w:pPr>
          </w:p>
        </w:tc>
        <w:tc>
          <w:tcPr>
            <w:tcW w:w="4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80" w:type="dxa"/>
            <w:vAlign w:val="bottom"/>
            <w:shd w:val="clear" w:color="auto" w:fill="CCEEFF"/>
          </w:tcPr>
          <w:p>
            <w:pPr>
              <w:ind w:left="8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w:t>
            </w: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3260" w:type="dxa"/>
            <w:vAlign w:val="bottom"/>
          </w:tcPr>
          <w:p>
            <w:pPr>
              <w:spacing w:after="0"/>
              <w:rPr>
                <w:sz w:val="20"/>
                <w:szCs w:val="20"/>
                <w:color w:val="auto"/>
              </w:rPr>
            </w:pPr>
            <w:r>
              <w:rPr>
                <w:rFonts w:ascii="Arial" w:cs="Arial" w:eastAsia="Arial" w:hAnsi="Arial"/>
                <w:sz w:val="14"/>
                <w:szCs w:val="14"/>
                <w:color w:val="auto"/>
                <w:w w:val="90"/>
              </w:rPr>
              <w:t>Issuance of common stock, options and awards related to</w:t>
            </w:r>
          </w:p>
        </w:tc>
        <w:tc>
          <w:tcPr>
            <w:tcW w:w="1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3260" w:type="dxa"/>
            <w:vAlign w:val="bottom"/>
          </w:tcPr>
          <w:p>
            <w:pPr>
              <w:ind w:left="100"/>
              <w:spacing w:after="0"/>
              <w:rPr>
                <w:sz w:val="20"/>
                <w:szCs w:val="20"/>
                <w:color w:val="auto"/>
              </w:rPr>
            </w:pPr>
            <w:r>
              <w:rPr>
                <w:rFonts w:ascii="Arial" w:cs="Arial" w:eastAsia="Arial" w:hAnsi="Arial"/>
                <w:sz w:val="14"/>
                <w:szCs w:val="14"/>
                <w:color w:val="auto"/>
              </w:rPr>
              <w:t>acquisitions</w:t>
            </w:r>
          </w:p>
        </w:tc>
        <w:tc>
          <w:tcPr>
            <w:tcW w:w="140" w:type="dxa"/>
            <w:vAlign w:val="bottom"/>
          </w:tcPr>
          <w:p>
            <w:pPr>
              <w:spacing w:after="0"/>
              <w:rPr>
                <w:sz w:val="15"/>
                <w:szCs w:val="15"/>
                <w:color w:val="auto"/>
              </w:rPr>
            </w:pPr>
          </w:p>
        </w:tc>
        <w:tc>
          <w:tcPr>
            <w:tcW w:w="36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80" w:type="dxa"/>
            <w:vAlign w:val="bottom"/>
          </w:tcPr>
          <w:p>
            <w:pPr>
              <w:spacing w:after="0"/>
              <w:rPr>
                <w:sz w:val="15"/>
                <w:szCs w:val="15"/>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rPr>
              <w:t>—</w:t>
            </w:r>
          </w:p>
        </w:tc>
        <w:tc>
          <w:tcPr>
            <w:tcW w:w="540" w:type="dxa"/>
            <w:vAlign w:val="bottom"/>
            <w:gridSpan w:val="2"/>
          </w:tcPr>
          <w:p>
            <w:pPr>
              <w:jc w:val="right"/>
              <w:spacing w:after="0"/>
              <w:rPr>
                <w:sz w:val="20"/>
                <w:szCs w:val="20"/>
                <w:color w:val="auto"/>
              </w:rPr>
            </w:pPr>
            <w:r>
              <w:rPr>
                <w:rFonts w:ascii="Arial" w:cs="Arial" w:eastAsia="Arial" w:hAnsi="Arial"/>
                <w:sz w:val="14"/>
                <w:szCs w:val="14"/>
                <w:color w:val="auto"/>
              </w:rPr>
              <w:t>0.7</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80" w:type="dxa"/>
            <w:vAlign w:val="bottom"/>
          </w:tcPr>
          <w:p>
            <w:pPr>
              <w:ind w:left="8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35.2</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35.2</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260" w:type="dxa"/>
            <w:vAlign w:val="bottom"/>
            <w:shd w:val="clear" w:color="auto" w:fill="CCEEFF"/>
          </w:tcPr>
          <w:p>
            <w:pPr>
              <w:spacing w:after="0"/>
              <w:rPr>
                <w:sz w:val="20"/>
                <w:szCs w:val="20"/>
                <w:color w:val="auto"/>
              </w:rPr>
            </w:pPr>
            <w:r>
              <w:rPr>
                <w:rFonts w:ascii="Arial" w:cs="Arial" w:eastAsia="Arial" w:hAnsi="Arial"/>
                <w:sz w:val="14"/>
                <w:szCs w:val="14"/>
                <w:color w:val="auto"/>
              </w:rPr>
              <w:t>Exercise of stock options and awards</w:t>
            </w:r>
          </w:p>
        </w:tc>
        <w:tc>
          <w:tcPr>
            <w:tcW w:w="140" w:type="dxa"/>
            <w:vAlign w:val="bottom"/>
            <w:shd w:val="clear" w:color="auto" w:fill="CCEEFF"/>
          </w:tcPr>
          <w:p>
            <w:pPr>
              <w:spacing w:after="0"/>
              <w:rPr>
                <w:sz w:val="15"/>
                <w:szCs w:val="15"/>
                <w:color w:val="auto"/>
              </w:rPr>
            </w:pPr>
          </w:p>
        </w:tc>
        <w:tc>
          <w:tcPr>
            <w:tcW w:w="3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9"/>
              </w:rPr>
              <w:t>—</w:t>
            </w:r>
          </w:p>
        </w:tc>
        <w:tc>
          <w:tcPr>
            <w:tcW w:w="180" w:type="dxa"/>
            <w:vAlign w:val="bottom"/>
            <w:shd w:val="clear" w:color="auto" w:fill="CCEEFF"/>
          </w:tcPr>
          <w:p>
            <w:pPr>
              <w:spacing w:after="0"/>
              <w:rPr>
                <w:sz w:val="15"/>
                <w:szCs w:val="15"/>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0.4</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80" w:type="dxa"/>
            <w:vAlign w:val="bottom"/>
            <w:shd w:val="clear" w:color="auto" w:fill="CCEEFF"/>
          </w:tcPr>
          <w:p>
            <w:pPr>
              <w:ind w:left="8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w:t>
            </w: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w:t>
            </w: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3260" w:type="dxa"/>
            <w:vAlign w:val="bottom"/>
          </w:tcPr>
          <w:p>
            <w:pPr>
              <w:spacing w:after="0"/>
              <w:rPr>
                <w:sz w:val="20"/>
                <w:szCs w:val="20"/>
                <w:color w:val="auto"/>
              </w:rPr>
            </w:pPr>
            <w:r>
              <w:rPr>
                <w:rFonts w:ascii="Arial" w:cs="Arial" w:eastAsia="Arial" w:hAnsi="Arial"/>
                <w:sz w:val="14"/>
                <w:szCs w:val="14"/>
                <w:color w:val="auto"/>
                <w:w w:val="93"/>
              </w:rPr>
              <w:t>Repurchase of unvested common stock (related to early</w:t>
            </w:r>
          </w:p>
        </w:tc>
        <w:tc>
          <w:tcPr>
            <w:tcW w:w="1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3260" w:type="dxa"/>
            <w:vAlign w:val="bottom"/>
          </w:tcPr>
          <w:p>
            <w:pPr>
              <w:ind w:left="100"/>
              <w:spacing w:after="0"/>
              <w:rPr>
                <w:sz w:val="20"/>
                <w:szCs w:val="20"/>
                <w:color w:val="auto"/>
              </w:rPr>
            </w:pPr>
            <w:r>
              <w:rPr>
                <w:rFonts w:ascii="Arial" w:cs="Arial" w:eastAsia="Arial" w:hAnsi="Arial"/>
                <w:sz w:val="14"/>
                <w:szCs w:val="14"/>
                <w:color w:val="auto"/>
              </w:rPr>
              <w:t>exercised stock options)</w:t>
            </w:r>
          </w:p>
        </w:tc>
        <w:tc>
          <w:tcPr>
            <w:tcW w:w="140" w:type="dxa"/>
            <w:vAlign w:val="bottom"/>
          </w:tcPr>
          <w:p>
            <w:pPr>
              <w:spacing w:after="0"/>
              <w:rPr>
                <w:sz w:val="15"/>
                <w:szCs w:val="15"/>
                <w:color w:val="auto"/>
              </w:rPr>
            </w:pPr>
          </w:p>
        </w:tc>
        <w:tc>
          <w:tcPr>
            <w:tcW w:w="36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80" w:type="dxa"/>
            <w:vAlign w:val="bottom"/>
          </w:tcPr>
          <w:p>
            <w:pPr>
              <w:spacing w:after="0"/>
              <w:rPr>
                <w:sz w:val="15"/>
                <w:szCs w:val="15"/>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rPr>
              <w:t>—</w:t>
            </w:r>
          </w:p>
        </w:tc>
        <w:tc>
          <w:tcPr>
            <w:tcW w:w="660" w:type="dxa"/>
            <w:vAlign w:val="bottom"/>
            <w:gridSpan w:val="3"/>
          </w:tcPr>
          <w:p>
            <w:pPr>
              <w:jc w:val="right"/>
              <w:ind w:right="80"/>
              <w:spacing w:after="0"/>
              <w:rPr>
                <w:sz w:val="20"/>
                <w:szCs w:val="20"/>
                <w:color w:val="auto"/>
              </w:rPr>
            </w:pPr>
            <w:r>
              <w:rPr>
                <w:rFonts w:ascii="Arial" w:cs="Arial" w:eastAsia="Arial" w:hAnsi="Arial"/>
                <w:sz w:val="14"/>
                <w:szCs w:val="14"/>
                <w:color w:val="auto"/>
              </w:rPr>
              <w:t>(1.3)</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80" w:type="dxa"/>
            <w:vAlign w:val="bottom"/>
          </w:tcPr>
          <w:p>
            <w:pPr>
              <w:ind w:left="8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4"/>
                <w:szCs w:val="14"/>
                <w:color w:val="auto"/>
              </w:rPr>
              <w:t>(1.3)</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4"/>
                <w:szCs w:val="14"/>
                <w:color w:val="auto"/>
              </w:rPr>
              <w:t>(1.3)</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260" w:type="dxa"/>
            <w:vAlign w:val="bottom"/>
            <w:shd w:val="clear" w:color="auto" w:fill="CCEEFF"/>
          </w:tcPr>
          <w:p>
            <w:pPr>
              <w:spacing w:after="0"/>
              <w:rPr>
                <w:sz w:val="20"/>
                <w:szCs w:val="20"/>
                <w:color w:val="auto"/>
              </w:rPr>
            </w:pPr>
            <w:r>
              <w:rPr>
                <w:rFonts w:ascii="Arial" w:cs="Arial" w:eastAsia="Arial" w:hAnsi="Arial"/>
                <w:sz w:val="14"/>
                <w:szCs w:val="14"/>
                <w:color w:val="auto"/>
              </w:rPr>
              <w:t>Stock-based compensation</w:t>
            </w:r>
          </w:p>
        </w:tc>
        <w:tc>
          <w:tcPr>
            <w:tcW w:w="140" w:type="dxa"/>
            <w:vAlign w:val="bottom"/>
            <w:shd w:val="clear" w:color="auto" w:fill="CCEEFF"/>
          </w:tcPr>
          <w:p>
            <w:pPr>
              <w:spacing w:after="0"/>
              <w:rPr>
                <w:sz w:val="15"/>
                <w:szCs w:val="15"/>
                <w:color w:val="auto"/>
              </w:rPr>
            </w:pPr>
          </w:p>
        </w:tc>
        <w:tc>
          <w:tcPr>
            <w:tcW w:w="3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9"/>
              </w:rPr>
              <w:t>—</w:t>
            </w:r>
          </w:p>
        </w:tc>
        <w:tc>
          <w:tcPr>
            <w:tcW w:w="180" w:type="dxa"/>
            <w:vAlign w:val="bottom"/>
            <w:shd w:val="clear" w:color="auto" w:fill="CCEEFF"/>
          </w:tcPr>
          <w:p>
            <w:pPr>
              <w:spacing w:after="0"/>
              <w:rPr>
                <w:sz w:val="15"/>
                <w:szCs w:val="15"/>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5"/>
                <w:szCs w:val="15"/>
                <w:color w:val="auto"/>
              </w:rPr>
            </w:pPr>
          </w:p>
        </w:tc>
        <w:tc>
          <w:tcPr>
            <w:tcW w:w="4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80" w:type="dxa"/>
            <w:vAlign w:val="bottom"/>
            <w:shd w:val="clear" w:color="auto" w:fill="CCEEFF"/>
          </w:tcPr>
          <w:p>
            <w:pPr>
              <w:ind w:left="8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66.1</w:t>
            </w: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66.1</w:t>
            </w: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3260" w:type="dxa"/>
            <w:vAlign w:val="bottom"/>
          </w:tcPr>
          <w:p>
            <w:pPr>
              <w:spacing w:after="0"/>
              <w:rPr>
                <w:sz w:val="20"/>
                <w:szCs w:val="20"/>
                <w:color w:val="auto"/>
              </w:rPr>
            </w:pPr>
            <w:r>
              <w:rPr>
                <w:rFonts w:ascii="Arial" w:cs="Arial" w:eastAsia="Arial" w:hAnsi="Arial"/>
                <w:sz w:val="14"/>
                <w:szCs w:val="14"/>
                <w:color w:val="auto"/>
              </w:rPr>
              <w:t>Other comprehensive income</w:t>
            </w:r>
          </w:p>
        </w:tc>
        <w:tc>
          <w:tcPr>
            <w:tcW w:w="140" w:type="dxa"/>
            <w:vAlign w:val="bottom"/>
          </w:tcPr>
          <w:p>
            <w:pPr>
              <w:spacing w:after="0"/>
              <w:rPr>
                <w:sz w:val="14"/>
                <w:szCs w:val="14"/>
                <w:color w:val="auto"/>
              </w:rPr>
            </w:pPr>
          </w:p>
        </w:tc>
        <w:tc>
          <w:tcPr>
            <w:tcW w:w="36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8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4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80" w:type="dxa"/>
            <w:vAlign w:val="bottom"/>
          </w:tcPr>
          <w:p>
            <w:pPr>
              <w:ind w:left="8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0.1</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0.1</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3260" w:type="dxa"/>
            <w:vAlign w:val="bottom"/>
            <w:shd w:val="clear" w:color="auto" w:fill="CCEEFF"/>
          </w:tcPr>
          <w:p>
            <w:pPr>
              <w:spacing w:after="0"/>
              <w:rPr>
                <w:sz w:val="20"/>
                <w:szCs w:val="20"/>
                <w:color w:val="auto"/>
              </w:rPr>
            </w:pPr>
            <w:r>
              <w:rPr>
                <w:rFonts w:ascii="Arial" w:cs="Arial" w:eastAsia="Arial" w:hAnsi="Arial"/>
                <w:sz w:val="14"/>
                <w:szCs w:val="14"/>
                <w:color w:val="auto"/>
              </w:rPr>
              <w:t>Net loss</w:t>
            </w:r>
          </w:p>
        </w:tc>
        <w:tc>
          <w:tcPr>
            <w:tcW w:w="140" w:type="dxa"/>
            <w:vAlign w:val="bottom"/>
            <w:shd w:val="clear" w:color="auto" w:fill="CCEEFF"/>
          </w:tcPr>
          <w:p>
            <w:pPr>
              <w:spacing w:after="0"/>
              <w:rPr>
                <w:sz w:val="14"/>
                <w:szCs w:val="14"/>
                <w:color w:val="auto"/>
              </w:rPr>
            </w:pPr>
          </w:p>
        </w:tc>
        <w:tc>
          <w:tcPr>
            <w:tcW w:w="3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9"/>
              </w:rPr>
              <w:t>—</w:t>
            </w:r>
          </w:p>
        </w:tc>
        <w:tc>
          <w:tcPr>
            <w:tcW w:w="180" w:type="dxa"/>
            <w:vAlign w:val="bottom"/>
            <w:shd w:val="clear" w:color="auto" w:fill="CCEEFF"/>
          </w:tcPr>
          <w:p>
            <w:pPr>
              <w:spacing w:after="0"/>
              <w:rPr>
                <w:sz w:val="14"/>
                <w:szCs w:val="14"/>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4"/>
                <w:szCs w:val="14"/>
                <w:color w:val="auto"/>
              </w:rPr>
            </w:pPr>
          </w:p>
        </w:tc>
        <w:tc>
          <w:tcPr>
            <w:tcW w:w="360" w:type="dxa"/>
            <w:vAlign w:val="bottom"/>
            <w:shd w:val="clear" w:color="auto" w:fill="CCEEFF"/>
          </w:tcPr>
          <w:p>
            <w:pPr>
              <w:jc w:val="right"/>
              <w:ind w:right="13"/>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80" w:type="dxa"/>
            <w:vAlign w:val="bottom"/>
            <w:shd w:val="clear" w:color="auto" w:fill="CCEEFF"/>
          </w:tcPr>
          <w:p>
            <w:pPr>
              <w:ind w:left="8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80" w:type="dxa"/>
            <w:vAlign w:val="bottom"/>
            <w:shd w:val="clear" w:color="auto" w:fill="CCEEFF"/>
          </w:tcPr>
          <w:p>
            <w:pPr>
              <w:jc w:val="right"/>
              <w:ind w:right="13"/>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(325.9)</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(325.9)</w:t>
            </w:r>
          </w:p>
        </w:tc>
        <w:tc>
          <w:tcPr>
            <w:tcW w:w="0" w:type="dxa"/>
            <w:vAlign w:val="bottom"/>
          </w:tcPr>
          <w:p>
            <w:pPr>
              <w:spacing w:after="0"/>
              <w:rPr>
                <w:sz w:val="1"/>
                <w:szCs w:val="1"/>
                <w:color w:val="auto"/>
              </w:rPr>
            </w:pPr>
          </w:p>
        </w:tc>
      </w:tr>
      <w:tr>
        <w:trPr>
          <w:trHeight w:val="20"/>
        </w:trPr>
        <w:tc>
          <w:tcPr>
            <w:tcW w:w="32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Balance at December 31, 2015</w:t>
            </w:r>
          </w:p>
        </w:tc>
        <w:tc>
          <w:tcPr>
            <w:tcW w:w="14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7"/>
        </w:trPr>
        <w:tc>
          <w:tcPr>
            <w:tcW w:w="328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360" w:type="dxa"/>
            <w:vAlign w:val="bottom"/>
          </w:tcPr>
          <w:p>
            <w:pPr>
              <w:jc w:val="center"/>
              <w:spacing w:after="0"/>
              <w:rPr>
                <w:sz w:val="20"/>
                <w:szCs w:val="20"/>
                <w:color w:val="auto"/>
              </w:rPr>
            </w:pPr>
            <w:r>
              <w:rPr>
                <w:rFonts w:ascii="Arial" w:cs="Arial" w:eastAsia="Arial" w:hAnsi="Arial"/>
                <w:sz w:val="14"/>
                <w:szCs w:val="14"/>
                <w:color w:val="auto"/>
                <w:w w:val="91"/>
              </w:rPr>
              <w:t>147.6</w:t>
            </w:r>
          </w:p>
        </w:tc>
        <w:tc>
          <w:tcPr>
            <w:tcW w:w="18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rPr>
              <w:t>615.3</w:t>
            </w:r>
          </w:p>
        </w:tc>
        <w:tc>
          <w:tcPr>
            <w:tcW w:w="180" w:type="dxa"/>
            <w:vAlign w:val="bottom"/>
          </w:tcPr>
          <w:p>
            <w:pPr>
              <w:spacing w:after="0"/>
              <w:rPr>
                <w:sz w:val="14"/>
                <w:szCs w:val="14"/>
                <w:color w:val="auto"/>
              </w:rPr>
            </w:pPr>
          </w:p>
        </w:tc>
        <w:tc>
          <w:tcPr>
            <w:tcW w:w="360" w:type="dxa"/>
            <w:vAlign w:val="bottom"/>
          </w:tcPr>
          <w:p>
            <w:pPr>
              <w:jc w:val="right"/>
              <w:spacing w:after="0"/>
              <w:rPr>
                <w:sz w:val="20"/>
                <w:szCs w:val="20"/>
                <w:color w:val="auto"/>
              </w:rPr>
            </w:pPr>
            <w:r>
              <w:rPr>
                <w:rFonts w:ascii="Arial" w:cs="Arial" w:eastAsia="Arial" w:hAnsi="Arial"/>
                <w:sz w:val="14"/>
                <w:szCs w:val="14"/>
                <w:color w:val="auto"/>
                <w:w w:val="91"/>
              </w:rPr>
              <w:t>187.3</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80" w:type="dxa"/>
            <w:vAlign w:val="bottom"/>
          </w:tcPr>
          <w:p>
            <w:pPr>
              <w:ind w:left="8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297.3</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4"/>
                <w:szCs w:val="14"/>
                <w:color w:val="auto"/>
              </w:rPr>
              <w:t>(727.3)</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0.3</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185.6</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260" w:type="dxa"/>
            <w:vAlign w:val="bottom"/>
            <w:shd w:val="clear" w:color="auto" w:fill="CCEEFF"/>
          </w:tcPr>
          <w:p>
            <w:pPr>
              <w:spacing w:after="0"/>
              <w:rPr>
                <w:sz w:val="20"/>
                <w:szCs w:val="20"/>
                <w:color w:val="auto"/>
              </w:rPr>
            </w:pPr>
            <w:r>
              <w:rPr>
                <w:rFonts w:ascii="Arial" w:cs="Arial" w:eastAsia="Arial" w:hAnsi="Arial"/>
                <w:sz w:val="14"/>
                <w:szCs w:val="14"/>
                <w:color w:val="auto"/>
              </w:rPr>
              <w:t>Vesting of early exercised stock options</w:t>
            </w:r>
          </w:p>
        </w:tc>
        <w:tc>
          <w:tcPr>
            <w:tcW w:w="140" w:type="dxa"/>
            <w:vAlign w:val="bottom"/>
            <w:shd w:val="clear" w:color="auto" w:fill="CCEEFF"/>
          </w:tcPr>
          <w:p>
            <w:pPr>
              <w:spacing w:after="0"/>
              <w:rPr>
                <w:sz w:val="15"/>
                <w:szCs w:val="15"/>
                <w:color w:val="auto"/>
              </w:rPr>
            </w:pPr>
          </w:p>
        </w:tc>
        <w:tc>
          <w:tcPr>
            <w:tcW w:w="3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9"/>
              </w:rPr>
              <w:t>—</w:t>
            </w:r>
          </w:p>
        </w:tc>
        <w:tc>
          <w:tcPr>
            <w:tcW w:w="180" w:type="dxa"/>
            <w:vAlign w:val="bottom"/>
            <w:shd w:val="clear" w:color="auto" w:fill="CCEEFF"/>
          </w:tcPr>
          <w:p>
            <w:pPr>
              <w:spacing w:after="0"/>
              <w:rPr>
                <w:sz w:val="15"/>
                <w:szCs w:val="15"/>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5"/>
                <w:szCs w:val="15"/>
                <w:color w:val="auto"/>
              </w:rPr>
            </w:pPr>
          </w:p>
        </w:tc>
        <w:tc>
          <w:tcPr>
            <w:tcW w:w="4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80" w:type="dxa"/>
            <w:vAlign w:val="bottom"/>
            <w:shd w:val="clear" w:color="auto" w:fill="CCEEFF"/>
          </w:tcPr>
          <w:p>
            <w:pPr>
              <w:ind w:left="8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0.5</w:t>
            </w: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0.5</w:t>
            </w: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3260" w:type="dxa"/>
            <w:vAlign w:val="bottom"/>
          </w:tcPr>
          <w:p>
            <w:pPr>
              <w:spacing w:after="0"/>
              <w:rPr>
                <w:sz w:val="20"/>
                <w:szCs w:val="20"/>
                <w:color w:val="auto"/>
              </w:rPr>
            </w:pPr>
            <w:r>
              <w:rPr>
                <w:rFonts w:ascii="Arial" w:cs="Arial" w:eastAsia="Arial" w:hAnsi="Arial"/>
                <w:sz w:val="14"/>
                <w:szCs w:val="14"/>
                <w:color w:val="auto"/>
                <w:w w:val="90"/>
              </w:rPr>
              <w:t>Issuance of common stock, options and awards related to</w:t>
            </w:r>
          </w:p>
        </w:tc>
        <w:tc>
          <w:tcPr>
            <w:tcW w:w="1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3260" w:type="dxa"/>
            <w:vAlign w:val="bottom"/>
          </w:tcPr>
          <w:p>
            <w:pPr>
              <w:ind w:left="100"/>
              <w:spacing w:after="0"/>
              <w:rPr>
                <w:sz w:val="20"/>
                <w:szCs w:val="20"/>
                <w:color w:val="auto"/>
              </w:rPr>
            </w:pPr>
            <w:r>
              <w:rPr>
                <w:rFonts w:ascii="Arial" w:cs="Arial" w:eastAsia="Arial" w:hAnsi="Arial"/>
                <w:sz w:val="14"/>
                <w:szCs w:val="14"/>
                <w:color w:val="auto"/>
              </w:rPr>
              <w:t>acquisitions</w:t>
            </w:r>
          </w:p>
        </w:tc>
        <w:tc>
          <w:tcPr>
            <w:tcW w:w="140" w:type="dxa"/>
            <w:vAlign w:val="bottom"/>
          </w:tcPr>
          <w:p>
            <w:pPr>
              <w:spacing w:after="0"/>
              <w:rPr>
                <w:sz w:val="15"/>
                <w:szCs w:val="15"/>
                <w:color w:val="auto"/>
              </w:rPr>
            </w:pPr>
          </w:p>
        </w:tc>
        <w:tc>
          <w:tcPr>
            <w:tcW w:w="36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80" w:type="dxa"/>
            <w:vAlign w:val="bottom"/>
          </w:tcPr>
          <w:p>
            <w:pPr>
              <w:spacing w:after="0"/>
              <w:rPr>
                <w:sz w:val="15"/>
                <w:szCs w:val="15"/>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rPr>
              <w:t>—</w:t>
            </w:r>
          </w:p>
        </w:tc>
        <w:tc>
          <w:tcPr>
            <w:tcW w:w="540" w:type="dxa"/>
            <w:vAlign w:val="bottom"/>
            <w:gridSpan w:val="2"/>
          </w:tcPr>
          <w:p>
            <w:pPr>
              <w:jc w:val="right"/>
              <w:spacing w:after="0"/>
              <w:rPr>
                <w:sz w:val="20"/>
                <w:szCs w:val="20"/>
                <w:color w:val="auto"/>
              </w:rPr>
            </w:pPr>
            <w:r>
              <w:rPr>
                <w:rFonts w:ascii="Arial" w:cs="Arial" w:eastAsia="Arial" w:hAnsi="Arial"/>
                <w:sz w:val="14"/>
                <w:szCs w:val="14"/>
                <w:color w:val="auto"/>
              </w:rPr>
              <w:t>0.1</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80" w:type="dxa"/>
            <w:vAlign w:val="bottom"/>
          </w:tcPr>
          <w:p>
            <w:pPr>
              <w:ind w:left="8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0.7</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0.7</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3260" w:type="dxa"/>
            <w:vAlign w:val="bottom"/>
            <w:shd w:val="clear" w:color="auto" w:fill="CCEEFF"/>
          </w:tcPr>
          <w:p>
            <w:pPr>
              <w:spacing w:after="0"/>
              <w:rPr>
                <w:sz w:val="20"/>
                <w:szCs w:val="20"/>
                <w:color w:val="auto"/>
              </w:rPr>
            </w:pPr>
            <w:r>
              <w:rPr>
                <w:rFonts w:ascii="Arial" w:cs="Arial" w:eastAsia="Arial" w:hAnsi="Arial"/>
                <w:sz w:val="14"/>
                <w:szCs w:val="14"/>
                <w:color w:val="auto"/>
                <w:w w:val="93"/>
              </w:rPr>
              <w:t>Repurchase of unvested common stock (related to early</w:t>
            </w:r>
          </w:p>
        </w:tc>
        <w:tc>
          <w:tcPr>
            <w:tcW w:w="14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3260" w:type="dxa"/>
            <w:vAlign w:val="bottom"/>
            <w:shd w:val="clear" w:color="auto" w:fill="CCEEFF"/>
          </w:tcPr>
          <w:p>
            <w:pPr>
              <w:ind w:left="100"/>
              <w:spacing w:after="0"/>
              <w:rPr>
                <w:sz w:val="20"/>
                <w:szCs w:val="20"/>
                <w:color w:val="auto"/>
              </w:rPr>
            </w:pPr>
            <w:r>
              <w:rPr>
                <w:rFonts w:ascii="Arial" w:cs="Arial" w:eastAsia="Arial" w:hAnsi="Arial"/>
                <w:sz w:val="14"/>
                <w:szCs w:val="14"/>
                <w:color w:val="auto"/>
              </w:rPr>
              <w:t>exercised stock options)</w:t>
            </w:r>
          </w:p>
        </w:tc>
        <w:tc>
          <w:tcPr>
            <w:tcW w:w="140" w:type="dxa"/>
            <w:vAlign w:val="bottom"/>
            <w:shd w:val="clear" w:color="auto" w:fill="CCEEFF"/>
          </w:tcPr>
          <w:p>
            <w:pPr>
              <w:spacing w:after="0"/>
              <w:rPr>
                <w:sz w:val="15"/>
                <w:szCs w:val="15"/>
                <w:color w:val="auto"/>
              </w:rPr>
            </w:pPr>
          </w:p>
        </w:tc>
        <w:tc>
          <w:tcPr>
            <w:tcW w:w="3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9"/>
              </w:rPr>
              <w:t>—</w:t>
            </w:r>
          </w:p>
        </w:tc>
        <w:tc>
          <w:tcPr>
            <w:tcW w:w="180" w:type="dxa"/>
            <w:vAlign w:val="bottom"/>
            <w:shd w:val="clear" w:color="auto" w:fill="CCEEFF"/>
          </w:tcPr>
          <w:p>
            <w:pPr>
              <w:spacing w:after="0"/>
              <w:rPr>
                <w:sz w:val="15"/>
                <w:szCs w:val="15"/>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60" w:type="dxa"/>
            <w:vAlign w:val="bottom"/>
            <w:gridSpan w:val="3"/>
            <w:shd w:val="clear" w:color="auto" w:fill="CCEEFF"/>
          </w:tcPr>
          <w:p>
            <w:pPr>
              <w:jc w:val="right"/>
              <w:ind w:right="80"/>
              <w:spacing w:after="0"/>
              <w:rPr>
                <w:sz w:val="20"/>
                <w:szCs w:val="20"/>
                <w:color w:val="auto"/>
              </w:rPr>
            </w:pPr>
            <w:r>
              <w:rPr>
                <w:rFonts w:ascii="Arial" w:cs="Arial" w:eastAsia="Arial" w:hAnsi="Arial"/>
                <w:sz w:val="14"/>
                <w:szCs w:val="14"/>
                <w:color w:val="auto"/>
              </w:rPr>
              <w:t>(0.3)</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80" w:type="dxa"/>
            <w:vAlign w:val="bottom"/>
            <w:shd w:val="clear" w:color="auto" w:fill="CCEEFF"/>
          </w:tcPr>
          <w:p>
            <w:pPr>
              <w:ind w:left="8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(0.1)</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(0.1)</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3260" w:type="dxa"/>
            <w:vAlign w:val="bottom"/>
          </w:tcPr>
          <w:p>
            <w:pPr>
              <w:spacing w:after="0"/>
              <w:rPr>
                <w:sz w:val="20"/>
                <w:szCs w:val="20"/>
                <w:color w:val="auto"/>
              </w:rPr>
            </w:pPr>
            <w:r>
              <w:rPr>
                <w:rFonts w:ascii="Arial" w:cs="Arial" w:eastAsia="Arial" w:hAnsi="Arial"/>
                <w:sz w:val="14"/>
                <w:szCs w:val="14"/>
                <w:color w:val="auto"/>
              </w:rPr>
              <w:t>Stock-based compensation</w:t>
            </w:r>
          </w:p>
        </w:tc>
        <w:tc>
          <w:tcPr>
            <w:tcW w:w="140" w:type="dxa"/>
            <w:vAlign w:val="bottom"/>
          </w:tcPr>
          <w:p>
            <w:pPr>
              <w:spacing w:after="0"/>
              <w:rPr>
                <w:sz w:val="14"/>
                <w:szCs w:val="14"/>
                <w:color w:val="auto"/>
              </w:rPr>
            </w:pPr>
          </w:p>
        </w:tc>
        <w:tc>
          <w:tcPr>
            <w:tcW w:w="36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8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4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80" w:type="dxa"/>
            <w:vAlign w:val="bottom"/>
          </w:tcPr>
          <w:p>
            <w:pPr>
              <w:ind w:left="8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147.6</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147.6</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3260" w:type="dxa"/>
            <w:vAlign w:val="bottom"/>
            <w:shd w:val="clear" w:color="auto" w:fill="CCEEFF"/>
          </w:tcPr>
          <w:p>
            <w:pPr>
              <w:spacing w:after="0"/>
              <w:rPr>
                <w:sz w:val="20"/>
                <w:szCs w:val="20"/>
                <w:color w:val="auto"/>
              </w:rPr>
            </w:pPr>
            <w:r>
              <w:rPr>
                <w:rFonts w:ascii="Arial" w:cs="Arial" w:eastAsia="Arial" w:hAnsi="Arial"/>
                <w:sz w:val="14"/>
                <w:szCs w:val="14"/>
                <w:color w:val="auto"/>
              </w:rPr>
              <w:t>Other comprehensive loss</w:t>
            </w:r>
          </w:p>
        </w:tc>
        <w:tc>
          <w:tcPr>
            <w:tcW w:w="140" w:type="dxa"/>
            <w:vAlign w:val="bottom"/>
            <w:shd w:val="clear" w:color="auto" w:fill="CCEEFF"/>
          </w:tcPr>
          <w:p>
            <w:pPr>
              <w:spacing w:after="0"/>
              <w:rPr>
                <w:sz w:val="14"/>
                <w:szCs w:val="14"/>
                <w:color w:val="auto"/>
              </w:rPr>
            </w:pPr>
          </w:p>
        </w:tc>
        <w:tc>
          <w:tcPr>
            <w:tcW w:w="3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9"/>
              </w:rPr>
              <w:t>—</w:t>
            </w:r>
          </w:p>
        </w:tc>
        <w:tc>
          <w:tcPr>
            <w:tcW w:w="180" w:type="dxa"/>
            <w:vAlign w:val="bottom"/>
            <w:shd w:val="clear" w:color="auto" w:fill="CCEEFF"/>
          </w:tcPr>
          <w:p>
            <w:pPr>
              <w:spacing w:after="0"/>
              <w:rPr>
                <w:sz w:val="14"/>
                <w:szCs w:val="14"/>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4"/>
                <w:szCs w:val="14"/>
                <w:color w:val="auto"/>
              </w:rPr>
            </w:pPr>
          </w:p>
        </w:tc>
        <w:tc>
          <w:tcPr>
            <w:tcW w:w="4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80" w:type="dxa"/>
            <w:vAlign w:val="bottom"/>
            <w:shd w:val="clear" w:color="auto" w:fill="CCEEFF"/>
          </w:tcPr>
          <w:p>
            <w:pPr>
              <w:ind w:left="8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(1.3)</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(1.3)</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3260" w:type="dxa"/>
            <w:vAlign w:val="bottom"/>
          </w:tcPr>
          <w:p>
            <w:pPr>
              <w:spacing w:after="0"/>
              <w:rPr>
                <w:sz w:val="20"/>
                <w:szCs w:val="20"/>
                <w:color w:val="auto"/>
              </w:rPr>
            </w:pPr>
            <w:r>
              <w:rPr>
                <w:rFonts w:ascii="Arial" w:cs="Arial" w:eastAsia="Arial" w:hAnsi="Arial"/>
                <w:sz w:val="14"/>
                <w:szCs w:val="14"/>
                <w:color w:val="auto"/>
              </w:rPr>
              <w:t>Net loss</w:t>
            </w:r>
          </w:p>
        </w:tc>
        <w:tc>
          <w:tcPr>
            <w:tcW w:w="140" w:type="dxa"/>
            <w:vAlign w:val="bottom"/>
          </w:tcPr>
          <w:p>
            <w:pPr>
              <w:spacing w:after="0"/>
              <w:rPr>
                <w:sz w:val="14"/>
                <w:szCs w:val="14"/>
                <w:color w:val="auto"/>
              </w:rPr>
            </w:pPr>
          </w:p>
        </w:tc>
        <w:tc>
          <w:tcPr>
            <w:tcW w:w="36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8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360" w:type="dxa"/>
            <w:vAlign w:val="bottom"/>
          </w:tcPr>
          <w:p>
            <w:pPr>
              <w:jc w:val="right"/>
              <w:ind w:right="13"/>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80" w:type="dxa"/>
            <w:vAlign w:val="bottom"/>
          </w:tcPr>
          <w:p>
            <w:pPr>
              <w:ind w:left="8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80" w:type="dxa"/>
            <w:vAlign w:val="bottom"/>
          </w:tcPr>
          <w:p>
            <w:pPr>
              <w:jc w:val="right"/>
              <w:ind w:right="13"/>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4"/>
                <w:szCs w:val="14"/>
                <w:color w:val="auto"/>
              </w:rPr>
              <w:t>(210.2)</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4"/>
                <w:szCs w:val="14"/>
                <w:color w:val="auto"/>
              </w:rPr>
              <w:t>(210.2)</w:t>
            </w:r>
          </w:p>
        </w:tc>
        <w:tc>
          <w:tcPr>
            <w:tcW w:w="0" w:type="dxa"/>
            <w:vAlign w:val="bottom"/>
          </w:tcPr>
          <w:p>
            <w:pPr>
              <w:spacing w:after="0"/>
              <w:rPr>
                <w:sz w:val="1"/>
                <w:szCs w:val="1"/>
                <w:color w:val="auto"/>
              </w:rPr>
            </w:pPr>
          </w:p>
        </w:tc>
      </w:tr>
      <w:tr>
        <w:trPr>
          <w:trHeight w:val="23"/>
        </w:trPr>
        <w:tc>
          <w:tcPr>
            <w:tcW w:w="20" w:type="dxa"/>
            <w:vAlign w:val="bottom"/>
            <w:vMerge w:val="restart"/>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20" w:type="dxa"/>
            <w:vAlign w:val="bottom"/>
            <w:vMerge w:val="continue"/>
          </w:tcPr>
          <w:p>
            <w:pPr>
              <w:spacing w:after="0"/>
              <w:rPr>
                <w:sz w:val="14"/>
                <w:szCs w:val="14"/>
                <w:color w:val="auto"/>
              </w:rPr>
            </w:pPr>
          </w:p>
        </w:tc>
        <w:tc>
          <w:tcPr>
            <w:tcW w:w="326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Balance at December 31, 2016</w:t>
            </w:r>
          </w:p>
        </w:tc>
        <w:tc>
          <w:tcPr>
            <w:tcW w:w="140" w:type="dxa"/>
            <w:vAlign w:val="bottom"/>
            <w:shd w:val="clear" w:color="auto" w:fill="CCEEFF"/>
          </w:tcPr>
          <w:p>
            <w:pPr>
              <w:spacing w:after="0"/>
              <w:rPr>
                <w:sz w:val="14"/>
                <w:szCs w:val="14"/>
                <w:color w:val="auto"/>
              </w:rPr>
            </w:pPr>
          </w:p>
        </w:tc>
        <w:tc>
          <w:tcPr>
            <w:tcW w:w="3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1"/>
              </w:rPr>
              <w:t>147.6</w:t>
            </w:r>
          </w:p>
        </w:tc>
        <w:tc>
          <w:tcPr>
            <w:tcW w:w="180" w:type="dxa"/>
            <w:vAlign w:val="bottom"/>
            <w:shd w:val="clear" w:color="auto" w:fill="CCEEFF"/>
          </w:tcPr>
          <w:p>
            <w:pPr>
              <w:spacing w:after="0"/>
              <w:rPr>
                <w:sz w:val="14"/>
                <w:szCs w:val="14"/>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615.3</w:t>
            </w:r>
          </w:p>
        </w:tc>
        <w:tc>
          <w:tcPr>
            <w:tcW w:w="180" w:type="dxa"/>
            <w:vAlign w:val="bottom"/>
            <w:shd w:val="clear" w:color="auto" w:fill="CCEEFF"/>
          </w:tcPr>
          <w:p>
            <w:pPr>
              <w:spacing w:after="0"/>
              <w:rPr>
                <w:sz w:val="14"/>
                <w:szCs w:val="14"/>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1"/>
              </w:rPr>
              <w:t>187.1</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80" w:type="dxa"/>
            <w:vAlign w:val="bottom"/>
            <w:shd w:val="clear" w:color="auto" w:fill="CCEEFF"/>
          </w:tcPr>
          <w:p>
            <w:pPr>
              <w:ind w:left="8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446.0</w:t>
            </w: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(937.5)</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(1.0)</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122.8</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3260" w:type="dxa"/>
            <w:vAlign w:val="bottom"/>
          </w:tcPr>
          <w:p>
            <w:pPr>
              <w:spacing w:after="0"/>
              <w:rPr>
                <w:sz w:val="20"/>
                <w:szCs w:val="20"/>
                <w:color w:val="auto"/>
              </w:rPr>
            </w:pPr>
            <w:r>
              <w:rPr>
                <w:rFonts w:ascii="Arial" w:cs="Arial" w:eastAsia="Arial" w:hAnsi="Arial"/>
                <w:sz w:val="14"/>
                <w:szCs w:val="14"/>
                <w:color w:val="auto"/>
              </w:rPr>
              <w:t>Cumulative-effect adjustment from adoption of ASU</w:t>
            </w:r>
          </w:p>
        </w:tc>
        <w:tc>
          <w:tcPr>
            <w:tcW w:w="1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3280" w:type="dxa"/>
            <w:vAlign w:val="bottom"/>
            <w:gridSpan w:val="2"/>
          </w:tcPr>
          <w:p>
            <w:pPr>
              <w:ind w:left="120"/>
              <w:spacing w:after="0"/>
              <w:rPr>
                <w:sz w:val="20"/>
                <w:szCs w:val="20"/>
                <w:color w:val="auto"/>
              </w:rPr>
            </w:pPr>
            <w:r>
              <w:rPr>
                <w:rFonts w:ascii="Arial" w:cs="Arial" w:eastAsia="Arial" w:hAnsi="Arial"/>
                <w:sz w:val="14"/>
                <w:szCs w:val="14"/>
                <w:color w:val="auto"/>
              </w:rPr>
              <w:t>2016-09</w:t>
            </w:r>
          </w:p>
        </w:tc>
        <w:tc>
          <w:tcPr>
            <w:tcW w:w="140" w:type="dxa"/>
            <w:vAlign w:val="bottom"/>
          </w:tcPr>
          <w:p>
            <w:pPr>
              <w:spacing w:after="0"/>
              <w:rPr>
                <w:sz w:val="15"/>
                <w:szCs w:val="15"/>
                <w:color w:val="auto"/>
              </w:rPr>
            </w:pPr>
          </w:p>
        </w:tc>
        <w:tc>
          <w:tcPr>
            <w:tcW w:w="36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80" w:type="dxa"/>
            <w:vAlign w:val="bottom"/>
          </w:tcPr>
          <w:p>
            <w:pPr>
              <w:spacing w:after="0"/>
              <w:rPr>
                <w:sz w:val="15"/>
                <w:szCs w:val="15"/>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4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80" w:type="dxa"/>
            <w:vAlign w:val="bottom"/>
          </w:tcPr>
          <w:p>
            <w:pPr>
              <w:ind w:left="8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0.5</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4"/>
                <w:szCs w:val="14"/>
                <w:color w:val="auto"/>
              </w:rPr>
              <w:t>(0.5)</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260" w:type="dxa"/>
            <w:vAlign w:val="bottom"/>
            <w:shd w:val="clear" w:color="auto" w:fill="CCEEFF"/>
          </w:tcPr>
          <w:p>
            <w:pPr>
              <w:spacing w:after="0"/>
              <w:rPr>
                <w:sz w:val="20"/>
                <w:szCs w:val="20"/>
                <w:color w:val="auto"/>
              </w:rPr>
            </w:pPr>
            <w:r>
              <w:rPr>
                <w:rFonts w:ascii="Arial" w:cs="Arial" w:eastAsia="Arial" w:hAnsi="Arial"/>
                <w:sz w:val="14"/>
                <w:szCs w:val="14"/>
                <w:color w:val="auto"/>
              </w:rPr>
              <w:t>Release of restricted stock units</w:t>
            </w:r>
          </w:p>
        </w:tc>
        <w:tc>
          <w:tcPr>
            <w:tcW w:w="140" w:type="dxa"/>
            <w:vAlign w:val="bottom"/>
            <w:shd w:val="clear" w:color="auto" w:fill="CCEEFF"/>
          </w:tcPr>
          <w:p>
            <w:pPr>
              <w:spacing w:after="0"/>
              <w:rPr>
                <w:sz w:val="15"/>
                <w:szCs w:val="15"/>
                <w:color w:val="auto"/>
              </w:rPr>
            </w:pPr>
          </w:p>
        </w:tc>
        <w:tc>
          <w:tcPr>
            <w:tcW w:w="3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9"/>
              </w:rPr>
              <w:t>—</w:t>
            </w:r>
          </w:p>
        </w:tc>
        <w:tc>
          <w:tcPr>
            <w:tcW w:w="180" w:type="dxa"/>
            <w:vAlign w:val="bottom"/>
            <w:shd w:val="clear" w:color="auto" w:fill="CCEEFF"/>
          </w:tcPr>
          <w:p>
            <w:pPr>
              <w:spacing w:after="0"/>
              <w:rPr>
                <w:sz w:val="15"/>
                <w:szCs w:val="15"/>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14.6</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80" w:type="dxa"/>
            <w:vAlign w:val="bottom"/>
            <w:shd w:val="clear" w:color="auto" w:fill="CCEEFF"/>
          </w:tcPr>
          <w:p>
            <w:pPr>
              <w:ind w:left="8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3260" w:type="dxa"/>
            <w:vAlign w:val="bottom"/>
          </w:tcPr>
          <w:p>
            <w:pPr>
              <w:spacing w:after="0"/>
              <w:rPr>
                <w:sz w:val="20"/>
                <w:szCs w:val="20"/>
                <w:color w:val="auto"/>
              </w:rPr>
            </w:pPr>
            <w:r>
              <w:rPr>
                <w:rFonts w:ascii="Arial" w:cs="Arial" w:eastAsia="Arial" w:hAnsi="Arial"/>
                <w:sz w:val="14"/>
                <w:szCs w:val="14"/>
                <w:color w:val="auto"/>
                <w:w w:val="96"/>
              </w:rPr>
              <w:t>Shares repurchased for tax withholdings on release of</w:t>
            </w:r>
          </w:p>
        </w:tc>
        <w:tc>
          <w:tcPr>
            <w:tcW w:w="1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3260" w:type="dxa"/>
            <w:vAlign w:val="bottom"/>
          </w:tcPr>
          <w:p>
            <w:pPr>
              <w:ind w:left="100"/>
              <w:spacing w:after="0"/>
              <w:rPr>
                <w:sz w:val="20"/>
                <w:szCs w:val="20"/>
                <w:color w:val="auto"/>
              </w:rPr>
            </w:pPr>
            <w:r>
              <w:rPr>
                <w:rFonts w:ascii="Arial" w:cs="Arial" w:eastAsia="Arial" w:hAnsi="Arial"/>
                <w:sz w:val="14"/>
                <w:szCs w:val="14"/>
                <w:color w:val="auto"/>
              </w:rPr>
              <w:t>restricted stock</w:t>
            </w:r>
          </w:p>
        </w:tc>
        <w:tc>
          <w:tcPr>
            <w:tcW w:w="140" w:type="dxa"/>
            <w:vAlign w:val="bottom"/>
          </w:tcPr>
          <w:p>
            <w:pPr>
              <w:spacing w:after="0"/>
              <w:rPr>
                <w:sz w:val="15"/>
                <w:szCs w:val="15"/>
                <w:color w:val="auto"/>
              </w:rPr>
            </w:pPr>
          </w:p>
        </w:tc>
        <w:tc>
          <w:tcPr>
            <w:tcW w:w="36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80" w:type="dxa"/>
            <w:vAlign w:val="bottom"/>
          </w:tcPr>
          <w:p>
            <w:pPr>
              <w:spacing w:after="0"/>
              <w:rPr>
                <w:sz w:val="15"/>
                <w:szCs w:val="15"/>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rPr>
              <w:t>—</w:t>
            </w:r>
          </w:p>
        </w:tc>
        <w:tc>
          <w:tcPr>
            <w:tcW w:w="660" w:type="dxa"/>
            <w:vAlign w:val="bottom"/>
            <w:gridSpan w:val="3"/>
          </w:tcPr>
          <w:p>
            <w:pPr>
              <w:jc w:val="right"/>
              <w:ind w:right="80"/>
              <w:spacing w:after="0"/>
              <w:rPr>
                <w:sz w:val="20"/>
                <w:szCs w:val="20"/>
                <w:color w:val="auto"/>
              </w:rPr>
            </w:pPr>
            <w:r>
              <w:rPr>
                <w:rFonts w:ascii="Arial" w:cs="Arial" w:eastAsia="Arial" w:hAnsi="Arial"/>
                <w:sz w:val="14"/>
                <w:szCs w:val="14"/>
                <w:color w:val="auto"/>
              </w:rPr>
              <w:t>(5.5)</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80" w:type="dxa"/>
            <w:vAlign w:val="bottom"/>
          </w:tcPr>
          <w:p>
            <w:pPr>
              <w:ind w:left="8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4"/>
                <w:szCs w:val="14"/>
                <w:color w:val="auto"/>
              </w:rPr>
              <w:t>(87.9)</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4"/>
                <w:szCs w:val="14"/>
                <w:color w:val="auto"/>
              </w:rPr>
              <w:t>(87.9)</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260" w:type="dxa"/>
            <w:vAlign w:val="bottom"/>
            <w:shd w:val="clear" w:color="auto" w:fill="CCEEFF"/>
          </w:tcPr>
          <w:p>
            <w:pPr>
              <w:spacing w:after="0"/>
              <w:rPr>
                <w:sz w:val="20"/>
                <w:szCs w:val="20"/>
                <w:color w:val="auto"/>
              </w:rPr>
            </w:pPr>
            <w:r>
              <w:rPr>
                <w:rFonts w:ascii="Arial" w:cs="Arial" w:eastAsia="Arial" w:hAnsi="Arial"/>
                <w:sz w:val="14"/>
                <w:szCs w:val="14"/>
                <w:color w:val="auto"/>
              </w:rPr>
              <w:t>Donation of common stock to charitable foundation</w:t>
            </w:r>
          </w:p>
        </w:tc>
        <w:tc>
          <w:tcPr>
            <w:tcW w:w="140" w:type="dxa"/>
            <w:vAlign w:val="bottom"/>
            <w:shd w:val="clear" w:color="auto" w:fill="CCEEFF"/>
          </w:tcPr>
          <w:p>
            <w:pPr>
              <w:spacing w:after="0"/>
              <w:rPr>
                <w:sz w:val="15"/>
                <w:szCs w:val="15"/>
                <w:color w:val="auto"/>
              </w:rPr>
            </w:pPr>
          </w:p>
        </w:tc>
        <w:tc>
          <w:tcPr>
            <w:tcW w:w="3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9"/>
              </w:rPr>
              <w:t>—</w:t>
            </w:r>
          </w:p>
        </w:tc>
        <w:tc>
          <w:tcPr>
            <w:tcW w:w="180" w:type="dxa"/>
            <w:vAlign w:val="bottom"/>
            <w:shd w:val="clear" w:color="auto" w:fill="CCEEFF"/>
          </w:tcPr>
          <w:p>
            <w:pPr>
              <w:spacing w:after="0"/>
              <w:rPr>
                <w:sz w:val="15"/>
                <w:szCs w:val="15"/>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0.6</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80" w:type="dxa"/>
            <w:vAlign w:val="bottom"/>
            <w:shd w:val="clear" w:color="auto" w:fill="CCEEFF"/>
          </w:tcPr>
          <w:p>
            <w:pPr>
              <w:ind w:left="8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9.4</w:t>
            </w: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9.4</w:t>
            </w: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3260" w:type="dxa"/>
            <w:vAlign w:val="bottom"/>
          </w:tcPr>
          <w:p>
            <w:pPr>
              <w:spacing w:after="0"/>
              <w:rPr>
                <w:sz w:val="20"/>
                <w:szCs w:val="20"/>
                <w:color w:val="auto"/>
              </w:rPr>
            </w:pPr>
            <w:r>
              <w:rPr>
                <w:rFonts w:ascii="Arial" w:cs="Arial" w:eastAsia="Arial" w:hAnsi="Arial"/>
                <w:sz w:val="14"/>
                <w:szCs w:val="14"/>
                <w:color w:val="auto"/>
              </w:rPr>
              <w:t>Exercise of stock options and awards</w:t>
            </w:r>
          </w:p>
        </w:tc>
        <w:tc>
          <w:tcPr>
            <w:tcW w:w="140" w:type="dxa"/>
            <w:vAlign w:val="bottom"/>
          </w:tcPr>
          <w:p>
            <w:pPr>
              <w:spacing w:after="0"/>
              <w:rPr>
                <w:sz w:val="14"/>
                <w:szCs w:val="14"/>
                <w:color w:val="auto"/>
              </w:rPr>
            </w:pPr>
          </w:p>
        </w:tc>
        <w:tc>
          <w:tcPr>
            <w:tcW w:w="36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8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rPr>
              <w:t>—</w:t>
            </w:r>
          </w:p>
        </w:tc>
        <w:tc>
          <w:tcPr>
            <w:tcW w:w="540" w:type="dxa"/>
            <w:vAlign w:val="bottom"/>
            <w:gridSpan w:val="2"/>
          </w:tcPr>
          <w:p>
            <w:pPr>
              <w:jc w:val="right"/>
              <w:spacing w:after="0"/>
              <w:rPr>
                <w:sz w:val="20"/>
                <w:szCs w:val="20"/>
                <w:color w:val="auto"/>
              </w:rPr>
            </w:pPr>
            <w:r>
              <w:rPr>
                <w:rFonts w:ascii="Arial" w:cs="Arial" w:eastAsia="Arial" w:hAnsi="Arial"/>
                <w:sz w:val="14"/>
                <w:szCs w:val="14"/>
                <w:color w:val="auto"/>
              </w:rPr>
              <w:t>0.2</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80" w:type="dxa"/>
            <w:vAlign w:val="bottom"/>
          </w:tcPr>
          <w:p>
            <w:pPr>
              <w:ind w:left="8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0.5</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0.5</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3260" w:type="dxa"/>
            <w:vAlign w:val="bottom"/>
            <w:shd w:val="clear" w:color="auto" w:fill="CCEEFF"/>
          </w:tcPr>
          <w:p>
            <w:pPr>
              <w:spacing w:after="0"/>
              <w:rPr>
                <w:sz w:val="20"/>
                <w:szCs w:val="20"/>
                <w:color w:val="auto"/>
              </w:rPr>
            </w:pPr>
            <w:r>
              <w:rPr>
                <w:rFonts w:ascii="Arial" w:cs="Arial" w:eastAsia="Arial" w:hAnsi="Arial"/>
                <w:sz w:val="14"/>
                <w:szCs w:val="14"/>
                <w:color w:val="auto"/>
                <w:w w:val="93"/>
              </w:rPr>
              <w:t>Repurchase of unvested common stock (related to early</w:t>
            </w:r>
          </w:p>
        </w:tc>
        <w:tc>
          <w:tcPr>
            <w:tcW w:w="14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3260" w:type="dxa"/>
            <w:vAlign w:val="bottom"/>
            <w:shd w:val="clear" w:color="auto" w:fill="CCEEFF"/>
          </w:tcPr>
          <w:p>
            <w:pPr>
              <w:ind w:left="100"/>
              <w:spacing w:after="0"/>
              <w:rPr>
                <w:sz w:val="20"/>
                <w:szCs w:val="20"/>
                <w:color w:val="auto"/>
              </w:rPr>
            </w:pPr>
            <w:r>
              <w:rPr>
                <w:rFonts w:ascii="Arial" w:cs="Arial" w:eastAsia="Arial" w:hAnsi="Arial"/>
                <w:sz w:val="14"/>
                <w:szCs w:val="14"/>
                <w:color w:val="auto"/>
              </w:rPr>
              <w:t>exercised stock options)</w:t>
            </w:r>
          </w:p>
        </w:tc>
        <w:tc>
          <w:tcPr>
            <w:tcW w:w="140" w:type="dxa"/>
            <w:vAlign w:val="bottom"/>
            <w:shd w:val="clear" w:color="auto" w:fill="CCEEFF"/>
          </w:tcPr>
          <w:p>
            <w:pPr>
              <w:spacing w:after="0"/>
              <w:rPr>
                <w:sz w:val="15"/>
                <w:szCs w:val="15"/>
                <w:color w:val="auto"/>
              </w:rPr>
            </w:pPr>
          </w:p>
        </w:tc>
        <w:tc>
          <w:tcPr>
            <w:tcW w:w="3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9"/>
              </w:rPr>
              <w:t>—</w:t>
            </w:r>
          </w:p>
        </w:tc>
        <w:tc>
          <w:tcPr>
            <w:tcW w:w="180" w:type="dxa"/>
            <w:vAlign w:val="bottom"/>
            <w:shd w:val="clear" w:color="auto" w:fill="CCEEFF"/>
          </w:tcPr>
          <w:p>
            <w:pPr>
              <w:spacing w:after="0"/>
              <w:rPr>
                <w:sz w:val="15"/>
                <w:szCs w:val="15"/>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60" w:type="dxa"/>
            <w:vAlign w:val="bottom"/>
            <w:gridSpan w:val="3"/>
            <w:shd w:val="clear" w:color="auto" w:fill="CCEEFF"/>
          </w:tcPr>
          <w:p>
            <w:pPr>
              <w:jc w:val="right"/>
              <w:ind w:right="80"/>
              <w:spacing w:after="0"/>
              <w:rPr>
                <w:sz w:val="20"/>
                <w:szCs w:val="20"/>
                <w:color w:val="auto"/>
              </w:rPr>
            </w:pPr>
            <w:r>
              <w:rPr>
                <w:rFonts w:ascii="Arial" w:cs="Arial" w:eastAsia="Arial" w:hAnsi="Arial"/>
                <w:sz w:val="14"/>
                <w:szCs w:val="14"/>
                <w:color w:val="auto"/>
              </w:rPr>
              <w:t>(0.2)</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80" w:type="dxa"/>
            <w:vAlign w:val="bottom"/>
            <w:shd w:val="clear" w:color="auto" w:fill="CCEEFF"/>
          </w:tcPr>
          <w:p>
            <w:pPr>
              <w:ind w:left="8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3260" w:type="dxa"/>
            <w:vAlign w:val="bottom"/>
          </w:tcPr>
          <w:p>
            <w:pPr>
              <w:spacing w:after="0"/>
              <w:rPr>
                <w:sz w:val="20"/>
                <w:szCs w:val="20"/>
                <w:color w:val="auto"/>
              </w:rPr>
            </w:pPr>
            <w:r>
              <w:rPr>
                <w:rFonts w:ascii="Arial" w:cs="Arial" w:eastAsia="Arial" w:hAnsi="Arial"/>
                <w:sz w:val="14"/>
                <w:szCs w:val="14"/>
                <w:color w:val="auto"/>
              </w:rPr>
              <w:t>Stock-based compensation</w:t>
            </w:r>
          </w:p>
        </w:tc>
        <w:tc>
          <w:tcPr>
            <w:tcW w:w="140" w:type="dxa"/>
            <w:vAlign w:val="bottom"/>
          </w:tcPr>
          <w:p>
            <w:pPr>
              <w:spacing w:after="0"/>
              <w:rPr>
                <w:sz w:val="14"/>
                <w:szCs w:val="14"/>
                <w:color w:val="auto"/>
              </w:rPr>
            </w:pPr>
          </w:p>
        </w:tc>
        <w:tc>
          <w:tcPr>
            <w:tcW w:w="36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8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4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80" w:type="dxa"/>
            <w:vAlign w:val="bottom"/>
          </w:tcPr>
          <w:p>
            <w:pPr>
              <w:ind w:left="8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164.6</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164.6</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3260" w:type="dxa"/>
            <w:vAlign w:val="bottom"/>
            <w:shd w:val="clear" w:color="auto" w:fill="CCEEFF"/>
          </w:tcPr>
          <w:p>
            <w:pPr>
              <w:spacing w:after="0"/>
              <w:rPr>
                <w:sz w:val="20"/>
                <w:szCs w:val="20"/>
                <w:color w:val="auto"/>
              </w:rPr>
            </w:pPr>
            <w:r>
              <w:rPr>
                <w:rFonts w:ascii="Arial" w:cs="Arial" w:eastAsia="Arial" w:hAnsi="Arial"/>
                <w:sz w:val="14"/>
                <w:szCs w:val="14"/>
                <w:color w:val="auto"/>
              </w:rPr>
              <w:t>Other comprehensive income</w:t>
            </w:r>
          </w:p>
        </w:tc>
        <w:tc>
          <w:tcPr>
            <w:tcW w:w="140" w:type="dxa"/>
            <w:vAlign w:val="bottom"/>
            <w:shd w:val="clear" w:color="auto" w:fill="CCEEFF"/>
          </w:tcPr>
          <w:p>
            <w:pPr>
              <w:spacing w:after="0"/>
              <w:rPr>
                <w:sz w:val="14"/>
                <w:szCs w:val="14"/>
                <w:color w:val="auto"/>
              </w:rPr>
            </w:pPr>
          </w:p>
        </w:tc>
        <w:tc>
          <w:tcPr>
            <w:tcW w:w="3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9"/>
              </w:rPr>
              <w:t>—</w:t>
            </w:r>
          </w:p>
        </w:tc>
        <w:tc>
          <w:tcPr>
            <w:tcW w:w="180" w:type="dxa"/>
            <w:vAlign w:val="bottom"/>
            <w:shd w:val="clear" w:color="auto" w:fill="CCEEFF"/>
          </w:tcPr>
          <w:p>
            <w:pPr>
              <w:spacing w:after="0"/>
              <w:rPr>
                <w:sz w:val="14"/>
                <w:szCs w:val="14"/>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4"/>
                <w:szCs w:val="14"/>
                <w:color w:val="auto"/>
              </w:rPr>
            </w:pPr>
          </w:p>
        </w:tc>
        <w:tc>
          <w:tcPr>
            <w:tcW w:w="4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80" w:type="dxa"/>
            <w:vAlign w:val="bottom"/>
            <w:shd w:val="clear" w:color="auto" w:fill="CCEEFF"/>
          </w:tcPr>
          <w:p>
            <w:pPr>
              <w:ind w:left="8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5.2</w:t>
            </w: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5.2</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3260" w:type="dxa"/>
            <w:vAlign w:val="bottom"/>
          </w:tcPr>
          <w:p>
            <w:pPr>
              <w:spacing w:after="0"/>
              <w:rPr>
                <w:sz w:val="20"/>
                <w:szCs w:val="20"/>
                <w:color w:val="auto"/>
              </w:rPr>
            </w:pPr>
            <w:r>
              <w:rPr>
                <w:rFonts w:ascii="Arial" w:cs="Arial" w:eastAsia="Arial" w:hAnsi="Arial"/>
                <w:sz w:val="14"/>
                <w:szCs w:val="14"/>
                <w:color w:val="auto"/>
              </w:rPr>
              <w:t>Net loss</w:t>
            </w:r>
          </w:p>
        </w:tc>
        <w:tc>
          <w:tcPr>
            <w:tcW w:w="140" w:type="dxa"/>
            <w:vAlign w:val="bottom"/>
          </w:tcPr>
          <w:p>
            <w:pPr>
              <w:spacing w:after="0"/>
              <w:rPr>
                <w:sz w:val="14"/>
                <w:szCs w:val="14"/>
                <w:color w:val="auto"/>
              </w:rPr>
            </w:pPr>
          </w:p>
        </w:tc>
        <w:tc>
          <w:tcPr>
            <w:tcW w:w="36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8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360" w:type="dxa"/>
            <w:vAlign w:val="bottom"/>
          </w:tcPr>
          <w:p>
            <w:pPr>
              <w:jc w:val="right"/>
              <w:ind w:right="13"/>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80" w:type="dxa"/>
            <w:vAlign w:val="bottom"/>
          </w:tcPr>
          <w:p>
            <w:pPr>
              <w:ind w:left="8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80" w:type="dxa"/>
            <w:vAlign w:val="bottom"/>
          </w:tcPr>
          <w:p>
            <w:pPr>
              <w:jc w:val="right"/>
              <w:ind w:right="13"/>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4"/>
                <w:szCs w:val="14"/>
                <w:color w:val="auto"/>
              </w:rPr>
              <w:t>(111.7)</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4"/>
                <w:szCs w:val="14"/>
                <w:color w:val="auto"/>
              </w:rPr>
              <w:t>(111.7)</w:t>
            </w:r>
          </w:p>
        </w:tc>
        <w:tc>
          <w:tcPr>
            <w:tcW w:w="0" w:type="dxa"/>
            <w:vAlign w:val="bottom"/>
          </w:tcPr>
          <w:p>
            <w:pPr>
              <w:spacing w:after="0"/>
              <w:rPr>
                <w:sz w:val="1"/>
                <w:szCs w:val="1"/>
                <w:color w:val="auto"/>
              </w:rPr>
            </w:pPr>
          </w:p>
        </w:tc>
      </w:tr>
      <w:tr>
        <w:trPr>
          <w:trHeight w:val="23"/>
        </w:trPr>
        <w:tc>
          <w:tcPr>
            <w:tcW w:w="20" w:type="dxa"/>
            <w:vAlign w:val="bottom"/>
            <w:vMerge w:val="restart"/>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20" w:type="dxa"/>
            <w:vAlign w:val="bottom"/>
            <w:vMerge w:val="continue"/>
          </w:tcPr>
          <w:p>
            <w:pPr>
              <w:spacing w:after="0"/>
              <w:rPr>
                <w:sz w:val="14"/>
                <w:szCs w:val="14"/>
                <w:color w:val="auto"/>
              </w:rPr>
            </w:pPr>
          </w:p>
        </w:tc>
        <w:tc>
          <w:tcPr>
            <w:tcW w:w="326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Balance at December 31, 2017</w:t>
            </w:r>
          </w:p>
        </w:tc>
        <w:tc>
          <w:tcPr>
            <w:tcW w:w="140" w:type="dxa"/>
            <w:vAlign w:val="bottom"/>
            <w:shd w:val="clear" w:color="auto" w:fill="CCEEFF"/>
          </w:tcPr>
          <w:p>
            <w:pPr>
              <w:spacing w:after="0"/>
              <w:rPr>
                <w:sz w:val="14"/>
                <w:szCs w:val="14"/>
                <w:color w:val="auto"/>
              </w:rPr>
            </w:pPr>
          </w:p>
        </w:tc>
        <w:tc>
          <w:tcPr>
            <w:tcW w:w="3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1"/>
              </w:rPr>
              <w:t>147.6</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$ 615.3</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196.8</w:t>
            </w:r>
          </w:p>
        </w:tc>
        <w:tc>
          <w:tcPr>
            <w:tcW w:w="120" w:type="dxa"/>
            <w:vAlign w:val="bottom"/>
            <w:shd w:val="clear" w:color="auto" w:fill="CCEEFF"/>
          </w:tcPr>
          <w:p>
            <w:pPr>
              <w:spacing w:after="0"/>
              <w:rPr>
                <w:sz w:val="14"/>
                <w:szCs w:val="14"/>
                <w:color w:val="auto"/>
              </w:rPr>
            </w:pPr>
          </w:p>
        </w:tc>
        <w:tc>
          <w:tcPr>
            <w:tcW w:w="24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ind w:left="80"/>
              <w:spacing w:after="0"/>
              <w:rPr>
                <w:sz w:val="20"/>
                <w:szCs w:val="20"/>
                <w:color w:val="auto"/>
              </w:rPr>
            </w:pPr>
            <w:r>
              <w:rPr>
                <w:rFonts w:ascii="Arial" w:cs="Arial" w:eastAsia="Arial" w:hAnsi="Arial"/>
                <w:sz w:val="14"/>
                <w:szCs w:val="14"/>
                <w:color w:val="auto"/>
              </w:rPr>
              <w:t>—</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533.1</w:t>
            </w:r>
          </w:p>
        </w:tc>
        <w:tc>
          <w:tcPr>
            <w:tcW w:w="140" w:type="dxa"/>
            <w:vAlign w:val="bottom"/>
            <w:shd w:val="clear" w:color="auto" w:fill="CCEEFF"/>
          </w:tcPr>
          <w:p>
            <w:pPr>
              <w:spacing w:after="0"/>
              <w:rPr>
                <w:sz w:val="14"/>
                <w:szCs w:val="14"/>
                <w:color w:val="auto"/>
              </w:rPr>
            </w:pPr>
          </w:p>
        </w:tc>
        <w:tc>
          <w:tcPr>
            <w:tcW w:w="200" w:type="dxa"/>
            <w:vAlign w:val="bottom"/>
            <w:gridSpan w:val="2"/>
            <w:shd w:val="clear" w:color="auto" w:fill="CCEEFF"/>
          </w:tcPr>
          <w:p>
            <w:pPr>
              <w:ind w:left="80"/>
              <w:spacing w:after="0"/>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(1,049.7)</w:t>
            </w:r>
          </w:p>
        </w:tc>
        <w:tc>
          <w:tcPr>
            <w:tcW w:w="260" w:type="dxa"/>
            <w:vAlign w:val="bottom"/>
            <w:gridSpan w:val="2"/>
            <w:shd w:val="clear" w:color="auto" w:fill="CCEEFF"/>
          </w:tcPr>
          <w:p>
            <w:pPr>
              <w:jc w:val="right"/>
              <w:ind w:right="43"/>
              <w:spacing w:after="0"/>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w:t>
            </w:r>
          </w:p>
        </w:tc>
        <w:tc>
          <w:tcPr>
            <w:tcW w:w="140" w:type="dxa"/>
            <w:vAlign w:val="bottom"/>
            <w:shd w:val="clear" w:color="auto" w:fill="CCEEFF"/>
          </w:tcPr>
          <w:p>
            <w:pPr>
              <w:spacing w:after="0"/>
              <w:rPr>
                <w:sz w:val="14"/>
                <w:szCs w:val="14"/>
                <w:color w:val="auto"/>
              </w:rPr>
            </w:pPr>
          </w:p>
        </w:tc>
        <w:tc>
          <w:tcPr>
            <w:tcW w:w="220" w:type="dxa"/>
            <w:vAlign w:val="bottom"/>
            <w:gridSpan w:val="2"/>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102.9</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1" w:lineRule="exact"/>
        <w:rPr>
          <w:sz w:val="20"/>
          <w:szCs w:val="20"/>
          <w:color w:val="auto"/>
        </w:rPr>
      </w:pPr>
    </w:p>
    <w:p>
      <w:pPr>
        <w:jc w:val="center"/>
        <w:ind w:right="-1099"/>
        <w:spacing w:after="0"/>
        <w:rPr>
          <w:sz w:val="20"/>
          <w:szCs w:val="20"/>
          <w:color w:val="auto"/>
        </w:rPr>
      </w:pPr>
      <w:r>
        <w:rPr>
          <w:rFonts w:ascii="Arial" w:cs="Arial" w:eastAsia="Arial" w:hAnsi="Arial"/>
          <w:sz w:val="15"/>
          <w:szCs w:val="15"/>
          <w:i w:val="1"/>
          <w:iCs w:val="1"/>
          <w:color w:val="auto"/>
        </w:rPr>
        <w:t>See accompanying Notes to Consolidated Financial Statements.</w:t>
      </w:r>
    </w:p>
    <w:p>
      <w:pPr>
        <w:spacing w:after="0" w:line="132" w:lineRule="exact"/>
        <w:rPr>
          <w:sz w:val="20"/>
          <w:szCs w:val="20"/>
          <w:color w:val="auto"/>
        </w:rPr>
      </w:pPr>
    </w:p>
    <w:p>
      <w:pPr>
        <w:jc w:val="center"/>
        <w:ind w:right="-1099"/>
        <w:spacing w:after="0"/>
        <w:rPr>
          <w:sz w:val="20"/>
          <w:szCs w:val="20"/>
          <w:color w:val="auto"/>
        </w:rPr>
      </w:pPr>
      <w:r>
        <w:rPr>
          <w:rFonts w:ascii="Arial" w:cs="Arial" w:eastAsia="Arial" w:hAnsi="Arial"/>
          <w:sz w:val="15"/>
          <w:szCs w:val="15"/>
          <w:color w:val="auto"/>
        </w:rPr>
        <w:t>F-6</w:t>
      </w:r>
    </w:p>
    <w:p>
      <w:pPr>
        <w:sectPr>
          <w:pgSz w:w="11900" w:h="16838" w:orient="portrait"/>
          <w:cols w:equalWidth="0" w:num="1">
            <w:col w:w="10320"/>
          </w:cols>
          <w:pgMar w:left="240" w:top="407" w:right="1339" w:bottom="1440" w:gutter="0" w:footer="0" w:header="0"/>
        </w:sectPr>
      </w:pPr>
    </w:p>
    <w:bookmarkStart w:id="209" w:name="page210"/>
    <w:bookmarkEnd w:id="209"/>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133350</wp:posOffset>
            </wp:positionH>
            <wp:positionV relativeFrom="page">
              <wp:posOffset>88900</wp:posOffset>
            </wp:positionV>
            <wp:extent cx="7308850" cy="3429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308850" cy="34290"/>
                    </a:xfrm>
                    <a:prstGeom prst="rect">
                      <a:avLst/>
                    </a:prstGeom>
                    <a:noFill/>
                  </pic:spPr>
                </pic:pic>
              </a:graphicData>
            </a:graphic>
          </wp:anchor>
        </w:drawing>
      </w:r>
      <w:hyperlink w:anchor="page7">
        <w:r>
          <w:rPr>
            <w:rFonts w:ascii="Arial" w:cs="Arial" w:eastAsia="Arial" w:hAnsi="Arial"/>
            <w:sz w:val="15"/>
            <w:szCs w:val="15"/>
            <w:b w:val="1"/>
            <w:bCs w:val="1"/>
            <w:u w:val="single" w:color="auto"/>
            <w:color w:val="0000EE"/>
          </w:rPr>
          <w:t>Table of Contents</w:t>
        </w:r>
      </w:hyperlink>
    </w:p>
    <w:p>
      <w:pPr>
        <w:spacing w:after="0" w:line="256" w:lineRule="exact"/>
        <w:rPr>
          <w:sz w:val="20"/>
          <w:szCs w:val="20"/>
          <w:color w:val="auto"/>
        </w:rPr>
      </w:pPr>
    </w:p>
    <w:p>
      <w:pPr>
        <w:jc w:val="center"/>
        <w:ind w:right="-1099"/>
        <w:spacing w:after="0"/>
        <w:rPr>
          <w:sz w:val="20"/>
          <w:szCs w:val="20"/>
          <w:color w:val="auto"/>
        </w:rPr>
      </w:pPr>
      <w:r>
        <w:rPr>
          <w:rFonts w:ascii="Arial" w:cs="Arial" w:eastAsia="Arial" w:hAnsi="Arial"/>
          <w:sz w:val="15"/>
          <w:szCs w:val="15"/>
          <w:b w:val="1"/>
          <w:bCs w:val="1"/>
          <w:color w:val="auto"/>
        </w:rPr>
        <w:t>DROPBOX, INC.</w:t>
      </w:r>
    </w:p>
    <w:p>
      <w:pPr>
        <w:spacing w:after="0" w:line="21" w:lineRule="exact"/>
        <w:rPr>
          <w:sz w:val="20"/>
          <w:szCs w:val="20"/>
          <w:color w:val="auto"/>
        </w:rPr>
      </w:pPr>
    </w:p>
    <w:p>
      <w:pPr>
        <w:jc w:val="center"/>
        <w:ind w:right="-1099"/>
        <w:spacing w:after="0"/>
        <w:rPr>
          <w:sz w:val="20"/>
          <w:szCs w:val="20"/>
          <w:color w:val="auto"/>
        </w:rPr>
      </w:pPr>
      <w:r>
        <w:rPr>
          <w:rFonts w:ascii="Arial" w:cs="Arial" w:eastAsia="Arial" w:hAnsi="Arial"/>
          <w:sz w:val="15"/>
          <w:szCs w:val="15"/>
          <w:b w:val="1"/>
          <w:bCs w:val="1"/>
          <w:color w:val="auto"/>
        </w:rPr>
        <w:t>CONSOLIDATED STATEMENTS OF CASH FLOWS</w:t>
      </w:r>
    </w:p>
    <w:p>
      <w:pPr>
        <w:spacing w:after="0" w:line="8" w:lineRule="exact"/>
        <w:rPr>
          <w:sz w:val="20"/>
          <w:szCs w:val="20"/>
          <w:color w:val="auto"/>
        </w:rPr>
      </w:pPr>
    </w:p>
    <w:p>
      <w:pPr>
        <w:jc w:val="center"/>
        <w:ind w:right="-1099"/>
        <w:spacing w:after="0"/>
        <w:rPr>
          <w:sz w:val="20"/>
          <w:szCs w:val="20"/>
          <w:color w:val="auto"/>
        </w:rPr>
      </w:pPr>
      <w:r>
        <w:rPr>
          <w:rFonts w:ascii="Arial" w:cs="Arial" w:eastAsia="Arial" w:hAnsi="Arial"/>
          <w:sz w:val="15"/>
          <w:szCs w:val="15"/>
          <w:i w:val="1"/>
          <w:iCs w:val="1"/>
          <w:color w:val="auto"/>
        </w:rPr>
        <w:t>(In millions)</w:t>
      </w:r>
    </w:p>
    <w:p>
      <w:pPr>
        <w:spacing w:after="0" w:line="192" w:lineRule="exact"/>
        <w:rPr>
          <w:sz w:val="20"/>
          <w:szCs w:val="20"/>
          <w:color w:val="auto"/>
        </w:rPr>
      </w:pPr>
    </w:p>
    <w:tbl>
      <w:tblPr>
        <w:tblLayout w:type="fixed"/>
        <w:tblInd w:w="1120" w:type="dxa"/>
        <w:tblCellMar>
          <w:top w:w="0" w:type="dxa"/>
          <w:left w:w="0" w:type="dxa"/>
          <w:bottom w:w="0" w:type="dxa"/>
          <w:right w:w="0" w:type="dxa"/>
        </w:tblCellMar>
      </w:tblPr>
      <w:tr>
        <w:trPr>
          <w:trHeight w:val="144"/>
        </w:trPr>
        <w:tc>
          <w:tcPr>
            <w:tcW w:w="20" w:type="dxa"/>
            <w:vAlign w:val="bottom"/>
          </w:tcPr>
          <w:p>
            <w:pPr>
              <w:spacing w:after="0"/>
              <w:rPr>
                <w:sz w:val="12"/>
                <w:szCs w:val="12"/>
                <w:color w:val="auto"/>
              </w:rPr>
            </w:pPr>
          </w:p>
        </w:tc>
        <w:tc>
          <w:tcPr>
            <w:tcW w:w="618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760" w:type="dxa"/>
            <w:vAlign w:val="bottom"/>
            <w:gridSpan w:val="8"/>
          </w:tcPr>
          <w:p>
            <w:pPr>
              <w:ind w:left="160"/>
              <w:spacing w:after="0"/>
              <w:rPr>
                <w:sz w:val="20"/>
                <w:szCs w:val="20"/>
                <w:color w:val="auto"/>
              </w:rPr>
            </w:pPr>
            <w:r>
              <w:rPr>
                <w:rFonts w:ascii="Arial" w:cs="Arial" w:eastAsia="Arial" w:hAnsi="Arial"/>
                <w:sz w:val="12"/>
                <w:szCs w:val="12"/>
                <w:b w:val="1"/>
                <w:bCs w:val="1"/>
                <w:color w:val="auto"/>
              </w:rPr>
              <w:t>Year ended December 31,</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6180" w:type="dxa"/>
            <w:vAlign w:val="bottom"/>
            <w:tcBorders>
              <w:bottom w:val="single" w:sz="8" w:color="CCEEFF"/>
            </w:tcBorders>
          </w:tcPr>
          <w:p>
            <w:pPr>
              <w:spacing w:after="0"/>
              <w:rPr>
                <w:sz w:val="10"/>
                <w:szCs w:val="10"/>
                <w:color w:val="auto"/>
              </w:rPr>
            </w:pPr>
          </w:p>
        </w:tc>
        <w:tc>
          <w:tcPr>
            <w:tcW w:w="1240" w:type="dxa"/>
            <w:vAlign w:val="bottom"/>
            <w:tcBorders>
              <w:bottom w:val="single" w:sz="8" w:color="CCEEFF"/>
            </w:tcBorders>
          </w:tcPr>
          <w:p>
            <w:pPr>
              <w:spacing w:after="0"/>
              <w:rPr>
                <w:sz w:val="10"/>
                <w:szCs w:val="10"/>
                <w:color w:val="auto"/>
              </w:rPr>
            </w:pPr>
          </w:p>
        </w:tc>
        <w:tc>
          <w:tcPr>
            <w:tcW w:w="360" w:type="dxa"/>
            <w:vAlign w:val="bottom"/>
            <w:tcBorders>
              <w:top w:val="single" w:sz="8" w:color="auto"/>
              <w:bottom w:val="single" w:sz="8" w:color="auto"/>
            </w:tcBorders>
          </w:tcPr>
          <w:p>
            <w:pPr>
              <w:jc w:val="right"/>
              <w:ind w:right="36"/>
              <w:spacing w:after="0" w:line="115" w:lineRule="exact"/>
              <w:rPr>
                <w:sz w:val="20"/>
                <w:szCs w:val="20"/>
                <w:color w:val="auto"/>
              </w:rPr>
            </w:pPr>
            <w:r>
              <w:rPr>
                <w:rFonts w:ascii="Arial" w:cs="Arial" w:eastAsia="Arial" w:hAnsi="Arial"/>
                <w:sz w:val="12"/>
                <w:szCs w:val="12"/>
                <w:b w:val="1"/>
                <w:bCs w:val="1"/>
                <w:color w:val="auto"/>
                <w:w w:val="89"/>
              </w:rPr>
              <w:t>2015</w:t>
            </w:r>
          </w:p>
        </w:tc>
        <w:tc>
          <w:tcPr>
            <w:tcW w:w="140" w:type="dxa"/>
            <w:vAlign w:val="bottom"/>
            <w:tcBorders>
              <w:top w:val="single" w:sz="8" w:color="auto"/>
              <w:bottom w:val="single" w:sz="8" w:color="CCEEFF"/>
            </w:tcBorders>
          </w:tcPr>
          <w:p>
            <w:pPr>
              <w:spacing w:after="0"/>
              <w:rPr>
                <w:sz w:val="10"/>
                <w:szCs w:val="10"/>
                <w:color w:val="auto"/>
              </w:rPr>
            </w:pPr>
          </w:p>
        </w:tc>
        <w:tc>
          <w:tcPr>
            <w:tcW w:w="180" w:type="dxa"/>
            <w:vAlign w:val="bottom"/>
            <w:tcBorders>
              <w:top w:val="single" w:sz="8" w:color="auto"/>
              <w:bottom w:val="single" w:sz="8" w:color="CCEEFF"/>
            </w:tcBorders>
          </w:tcPr>
          <w:p>
            <w:pPr>
              <w:spacing w:after="0"/>
              <w:rPr>
                <w:sz w:val="10"/>
                <w:szCs w:val="10"/>
                <w:color w:val="auto"/>
              </w:rPr>
            </w:pPr>
          </w:p>
        </w:tc>
        <w:tc>
          <w:tcPr>
            <w:tcW w:w="340" w:type="dxa"/>
            <w:vAlign w:val="bottom"/>
            <w:tcBorders>
              <w:top w:val="single" w:sz="8" w:color="auto"/>
              <w:bottom w:val="single" w:sz="8" w:color="auto"/>
            </w:tcBorders>
          </w:tcPr>
          <w:p>
            <w:pPr>
              <w:jc w:val="right"/>
              <w:ind w:right="36"/>
              <w:spacing w:after="0" w:line="115" w:lineRule="exact"/>
              <w:rPr>
                <w:sz w:val="20"/>
                <w:szCs w:val="20"/>
                <w:color w:val="auto"/>
              </w:rPr>
            </w:pPr>
            <w:r>
              <w:rPr>
                <w:rFonts w:ascii="Arial" w:cs="Arial" w:eastAsia="Arial" w:hAnsi="Arial"/>
                <w:sz w:val="12"/>
                <w:szCs w:val="12"/>
                <w:b w:val="1"/>
                <w:bCs w:val="1"/>
                <w:color w:val="auto"/>
                <w:w w:val="82"/>
              </w:rPr>
              <w:t>2016</w:t>
            </w:r>
          </w:p>
        </w:tc>
        <w:tc>
          <w:tcPr>
            <w:tcW w:w="140" w:type="dxa"/>
            <w:vAlign w:val="bottom"/>
            <w:tcBorders>
              <w:top w:val="single" w:sz="8" w:color="auto"/>
              <w:bottom w:val="single" w:sz="8" w:color="CCEEFF"/>
            </w:tcBorders>
          </w:tcPr>
          <w:p>
            <w:pPr>
              <w:spacing w:after="0"/>
              <w:rPr>
                <w:sz w:val="10"/>
                <w:szCs w:val="10"/>
                <w:color w:val="auto"/>
              </w:rPr>
            </w:pPr>
          </w:p>
        </w:tc>
        <w:tc>
          <w:tcPr>
            <w:tcW w:w="180" w:type="dxa"/>
            <w:vAlign w:val="bottom"/>
            <w:tcBorders>
              <w:top w:val="single" w:sz="8" w:color="auto"/>
              <w:bottom w:val="single" w:sz="8" w:color="CCEEFF"/>
            </w:tcBorders>
          </w:tcPr>
          <w:p>
            <w:pPr>
              <w:spacing w:after="0"/>
              <w:rPr>
                <w:sz w:val="10"/>
                <w:szCs w:val="10"/>
                <w:color w:val="auto"/>
              </w:rPr>
            </w:pPr>
          </w:p>
        </w:tc>
        <w:tc>
          <w:tcPr>
            <w:tcW w:w="340" w:type="dxa"/>
            <w:vAlign w:val="bottom"/>
            <w:tcBorders>
              <w:top w:val="single" w:sz="8" w:color="auto"/>
              <w:bottom w:val="single" w:sz="8" w:color="auto"/>
            </w:tcBorders>
          </w:tcPr>
          <w:p>
            <w:pPr>
              <w:jc w:val="right"/>
              <w:ind w:right="16"/>
              <w:spacing w:after="0" w:line="115" w:lineRule="exact"/>
              <w:rPr>
                <w:sz w:val="20"/>
                <w:szCs w:val="20"/>
                <w:color w:val="auto"/>
              </w:rPr>
            </w:pPr>
            <w:r>
              <w:rPr>
                <w:rFonts w:ascii="Arial" w:cs="Arial" w:eastAsia="Arial" w:hAnsi="Arial"/>
                <w:sz w:val="12"/>
                <w:szCs w:val="12"/>
                <w:b w:val="1"/>
                <w:bCs w:val="1"/>
                <w:color w:val="auto"/>
                <w:w w:val="89"/>
              </w:rPr>
              <w:t>2017</w:t>
            </w:r>
          </w:p>
        </w:tc>
        <w:tc>
          <w:tcPr>
            <w:tcW w:w="80" w:type="dxa"/>
            <w:vAlign w:val="bottom"/>
            <w:tcBorders>
              <w:bottom w:val="single" w:sz="8" w:color="CCEEFF"/>
            </w:tcBorders>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6180" w:type="dxa"/>
            <w:vAlign w:val="bottom"/>
            <w:shd w:val="clear" w:color="auto" w:fill="CCEEFF"/>
          </w:tcPr>
          <w:p>
            <w:pPr>
              <w:spacing w:after="0" w:line="116" w:lineRule="exact"/>
              <w:rPr>
                <w:sz w:val="20"/>
                <w:szCs w:val="20"/>
                <w:color w:val="auto"/>
              </w:rPr>
            </w:pPr>
            <w:r>
              <w:rPr>
                <w:rFonts w:ascii="Arial" w:cs="Arial" w:eastAsia="Arial" w:hAnsi="Arial"/>
                <w:sz w:val="13"/>
                <w:szCs w:val="13"/>
                <w:b w:val="1"/>
                <w:bCs w:val="1"/>
                <w:color w:val="auto"/>
              </w:rPr>
              <w:t>Cash flow from operating activities</w:t>
            </w:r>
          </w:p>
        </w:tc>
        <w:tc>
          <w:tcPr>
            <w:tcW w:w="1240" w:type="dxa"/>
            <w:vAlign w:val="bottom"/>
            <w:tcBorders>
              <w:right w:val="single" w:sz="8" w:color="CCEEFF"/>
            </w:tcBorders>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80" w:type="dxa"/>
            <w:vAlign w:val="bottom"/>
            <w:tcBorders>
              <w:right w:val="single" w:sz="8" w:color="CCEEFF"/>
            </w:tcBorders>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80" w:type="dxa"/>
            <w:vAlign w:val="bottom"/>
            <w:tcBorders>
              <w:right w:val="single" w:sz="8" w:color="CCEEFF"/>
            </w:tcBorders>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180" w:type="dxa"/>
            <w:vAlign w:val="bottom"/>
          </w:tcPr>
          <w:p>
            <w:pPr>
              <w:spacing w:after="0" w:line="136" w:lineRule="exact"/>
              <w:rPr>
                <w:sz w:val="20"/>
                <w:szCs w:val="20"/>
                <w:color w:val="auto"/>
              </w:rPr>
            </w:pPr>
            <w:r>
              <w:rPr>
                <w:rFonts w:ascii="Arial" w:cs="Arial" w:eastAsia="Arial" w:hAnsi="Arial"/>
                <w:sz w:val="13"/>
                <w:szCs w:val="13"/>
                <w:color w:val="auto"/>
              </w:rPr>
              <w:t>Net loss</w:t>
            </w:r>
          </w:p>
        </w:tc>
        <w:tc>
          <w:tcPr>
            <w:tcW w:w="1240" w:type="dxa"/>
            <w:vAlign w:val="bottom"/>
          </w:tcPr>
          <w:p>
            <w:pPr>
              <w:jc w:val="right"/>
              <w:spacing w:after="0" w:line="136" w:lineRule="exact"/>
              <w:rPr>
                <w:sz w:val="20"/>
                <w:szCs w:val="20"/>
                <w:color w:val="auto"/>
              </w:rPr>
            </w:pPr>
            <w:r>
              <w:rPr>
                <w:rFonts w:ascii="Arial" w:cs="Arial" w:eastAsia="Arial" w:hAnsi="Arial"/>
                <w:sz w:val="13"/>
                <w:szCs w:val="13"/>
                <w:color w:val="auto"/>
              </w:rPr>
              <w:t>$</w:t>
            </w:r>
          </w:p>
        </w:tc>
        <w:tc>
          <w:tcPr>
            <w:tcW w:w="500" w:type="dxa"/>
            <w:vAlign w:val="bottom"/>
            <w:gridSpan w:val="2"/>
          </w:tcPr>
          <w:p>
            <w:pPr>
              <w:jc w:val="right"/>
              <w:ind w:right="120"/>
              <w:spacing w:after="0" w:line="136" w:lineRule="exact"/>
              <w:rPr>
                <w:sz w:val="20"/>
                <w:szCs w:val="20"/>
                <w:color w:val="auto"/>
              </w:rPr>
            </w:pPr>
            <w:r>
              <w:rPr>
                <w:rFonts w:ascii="Arial" w:cs="Arial" w:eastAsia="Arial" w:hAnsi="Arial"/>
                <w:sz w:val="13"/>
                <w:szCs w:val="13"/>
                <w:color w:val="auto"/>
                <w:w w:val="87"/>
              </w:rPr>
              <w:t>(325.9)</w:t>
            </w:r>
          </w:p>
        </w:tc>
        <w:tc>
          <w:tcPr>
            <w:tcW w:w="180" w:type="dxa"/>
            <w:vAlign w:val="bottom"/>
          </w:tcPr>
          <w:p>
            <w:pPr>
              <w:jc w:val="right"/>
              <w:spacing w:after="0" w:line="136" w:lineRule="exact"/>
              <w:rPr>
                <w:sz w:val="20"/>
                <w:szCs w:val="20"/>
                <w:color w:val="auto"/>
              </w:rPr>
            </w:pPr>
            <w:r>
              <w:rPr>
                <w:rFonts w:ascii="Arial" w:cs="Arial" w:eastAsia="Arial" w:hAnsi="Arial"/>
                <w:sz w:val="13"/>
                <w:szCs w:val="13"/>
                <w:color w:val="auto"/>
              </w:rPr>
              <w:t>$</w:t>
            </w:r>
          </w:p>
        </w:tc>
        <w:tc>
          <w:tcPr>
            <w:tcW w:w="480" w:type="dxa"/>
            <w:vAlign w:val="bottom"/>
            <w:gridSpan w:val="2"/>
          </w:tcPr>
          <w:p>
            <w:pPr>
              <w:jc w:val="right"/>
              <w:ind w:right="100"/>
              <w:spacing w:after="0" w:line="136" w:lineRule="exact"/>
              <w:rPr>
                <w:sz w:val="20"/>
                <w:szCs w:val="20"/>
                <w:color w:val="auto"/>
              </w:rPr>
            </w:pPr>
            <w:r>
              <w:rPr>
                <w:rFonts w:ascii="Arial" w:cs="Arial" w:eastAsia="Arial" w:hAnsi="Arial"/>
                <w:sz w:val="13"/>
                <w:szCs w:val="13"/>
                <w:color w:val="auto"/>
                <w:w w:val="87"/>
              </w:rPr>
              <w:t>(210.2)</w:t>
            </w:r>
          </w:p>
        </w:tc>
        <w:tc>
          <w:tcPr>
            <w:tcW w:w="180" w:type="dxa"/>
            <w:vAlign w:val="bottom"/>
          </w:tcPr>
          <w:p>
            <w:pPr>
              <w:jc w:val="right"/>
              <w:spacing w:after="0" w:line="136" w:lineRule="exact"/>
              <w:rPr>
                <w:sz w:val="20"/>
                <w:szCs w:val="20"/>
                <w:color w:val="auto"/>
              </w:rPr>
            </w:pPr>
            <w:r>
              <w:rPr>
                <w:rFonts w:ascii="Arial" w:cs="Arial" w:eastAsia="Arial" w:hAnsi="Arial"/>
                <w:sz w:val="13"/>
                <w:szCs w:val="13"/>
                <w:color w:val="auto"/>
              </w:rPr>
              <w:t>$</w:t>
            </w:r>
          </w:p>
        </w:tc>
        <w:tc>
          <w:tcPr>
            <w:tcW w:w="420" w:type="dxa"/>
            <w:vAlign w:val="bottom"/>
            <w:gridSpan w:val="2"/>
          </w:tcPr>
          <w:p>
            <w:pPr>
              <w:jc w:val="right"/>
              <w:ind w:right="40"/>
              <w:spacing w:after="0" w:line="136" w:lineRule="exact"/>
              <w:rPr>
                <w:sz w:val="20"/>
                <w:szCs w:val="20"/>
                <w:color w:val="auto"/>
              </w:rPr>
            </w:pPr>
            <w:r>
              <w:rPr>
                <w:rFonts w:ascii="Arial" w:cs="Arial" w:eastAsia="Arial" w:hAnsi="Arial"/>
                <w:sz w:val="13"/>
                <w:szCs w:val="13"/>
                <w:color w:val="auto"/>
                <w:w w:val="87"/>
              </w:rPr>
              <w:t>(111.7)</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180" w:type="dxa"/>
            <w:vAlign w:val="bottom"/>
            <w:shd w:val="clear" w:color="auto" w:fill="CCEEFF"/>
          </w:tcPr>
          <w:p>
            <w:pPr>
              <w:spacing w:after="0" w:line="136" w:lineRule="exact"/>
              <w:rPr>
                <w:sz w:val="20"/>
                <w:szCs w:val="20"/>
                <w:color w:val="auto"/>
              </w:rPr>
            </w:pPr>
            <w:r>
              <w:rPr>
                <w:rFonts w:ascii="Arial" w:cs="Arial" w:eastAsia="Arial" w:hAnsi="Arial"/>
                <w:sz w:val="13"/>
                <w:szCs w:val="13"/>
                <w:color w:val="auto"/>
              </w:rPr>
              <w:t>Adjustments to reconcile net loss to net cash provided by operating activities:</w:t>
            </w:r>
          </w:p>
        </w:tc>
        <w:tc>
          <w:tcPr>
            <w:tcW w:w="1240" w:type="dxa"/>
            <w:vAlign w:val="bottom"/>
            <w:tcBorders>
              <w:right w:val="single" w:sz="8" w:color="CCEEFF"/>
            </w:tcBorders>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80" w:type="dxa"/>
            <w:vAlign w:val="bottom"/>
            <w:tcBorders>
              <w:right w:val="single" w:sz="8" w:color="CCEEFF"/>
            </w:tcBorders>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80" w:type="dxa"/>
            <w:vAlign w:val="bottom"/>
            <w:tcBorders>
              <w:right w:val="single" w:sz="8" w:color="CCEEFF"/>
            </w:tcBorders>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180" w:type="dxa"/>
            <w:vAlign w:val="bottom"/>
          </w:tcPr>
          <w:p>
            <w:pPr>
              <w:ind w:left="220"/>
              <w:spacing w:after="0" w:line="136" w:lineRule="exact"/>
              <w:rPr>
                <w:sz w:val="20"/>
                <w:szCs w:val="20"/>
                <w:color w:val="auto"/>
              </w:rPr>
            </w:pPr>
            <w:r>
              <w:rPr>
                <w:rFonts w:ascii="Arial" w:cs="Arial" w:eastAsia="Arial" w:hAnsi="Arial"/>
                <w:sz w:val="13"/>
                <w:szCs w:val="13"/>
                <w:color w:val="auto"/>
              </w:rPr>
              <w:t>Depreciation and amortization</w:t>
            </w:r>
          </w:p>
        </w:tc>
        <w:tc>
          <w:tcPr>
            <w:tcW w:w="1240" w:type="dxa"/>
            <w:vAlign w:val="bottom"/>
          </w:tcPr>
          <w:p>
            <w:pPr>
              <w:spacing w:after="0"/>
              <w:rPr>
                <w:sz w:val="11"/>
                <w:szCs w:val="11"/>
                <w:color w:val="auto"/>
              </w:rPr>
            </w:pPr>
          </w:p>
        </w:tc>
        <w:tc>
          <w:tcPr>
            <w:tcW w:w="360" w:type="dxa"/>
            <w:vAlign w:val="bottom"/>
          </w:tcPr>
          <w:p>
            <w:pPr>
              <w:jc w:val="right"/>
              <w:spacing w:after="0" w:line="136" w:lineRule="exact"/>
              <w:rPr>
                <w:sz w:val="20"/>
                <w:szCs w:val="20"/>
                <w:color w:val="auto"/>
              </w:rPr>
            </w:pPr>
            <w:r>
              <w:rPr>
                <w:rFonts w:ascii="Arial" w:cs="Arial" w:eastAsia="Arial" w:hAnsi="Arial"/>
                <w:sz w:val="13"/>
                <w:szCs w:val="13"/>
                <w:color w:val="auto"/>
                <w:w w:val="98"/>
              </w:rPr>
              <w:t>149.6</w:t>
            </w: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40" w:type="dxa"/>
            <w:vAlign w:val="bottom"/>
          </w:tcPr>
          <w:p>
            <w:pPr>
              <w:jc w:val="right"/>
              <w:spacing w:after="0" w:line="136" w:lineRule="exact"/>
              <w:rPr>
                <w:sz w:val="20"/>
                <w:szCs w:val="20"/>
                <w:color w:val="auto"/>
              </w:rPr>
            </w:pPr>
            <w:r>
              <w:rPr>
                <w:rFonts w:ascii="Arial" w:cs="Arial" w:eastAsia="Arial" w:hAnsi="Arial"/>
                <w:sz w:val="13"/>
                <w:szCs w:val="13"/>
                <w:color w:val="auto"/>
                <w:w w:val="98"/>
              </w:rPr>
              <w:t>191.6</w:t>
            </w: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40" w:type="dxa"/>
            <w:vAlign w:val="bottom"/>
          </w:tcPr>
          <w:p>
            <w:pPr>
              <w:jc w:val="right"/>
              <w:spacing w:after="0" w:line="136" w:lineRule="exact"/>
              <w:rPr>
                <w:sz w:val="20"/>
                <w:szCs w:val="20"/>
                <w:color w:val="auto"/>
              </w:rPr>
            </w:pPr>
            <w:r>
              <w:rPr>
                <w:rFonts w:ascii="Arial" w:cs="Arial" w:eastAsia="Arial" w:hAnsi="Arial"/>
                <w:sz w:val="13"/>
                <w:szCs w:val="13"/>
                <w:color w:val="auto"/>
                <w:w w:val="98"/>
              </w:rPr>
              <w:t>181.8</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180" w:type="dxa"/>
            <w:vAlign w:val="bottom"/>
            <w:shd w:val="clear" w:color="auto" w:fill="CCEEFF"/>
          </w:tcPr>
          <w:p>
            <w:pPr>
              <w:ind w:left="220"/>
              <w:spacing w:after="0" w:line="136" w:lineRule="exact"/>
              <w:rPr>
                <w:sz w:val="20"/>
                <w:szCs w:val="20"/>
                <w:color w:val="auto"/>
              </w:rPr>
            </w:pPr>
            <w:r>
              <w:rPr>
                <w:rFonts w:ascii="Arial" w:cs="Arial" w:eastAsia="Arial" w:hAnsi="Arial"/>
                <w:sz w:val="13"/>
                <w:szCs w:val="13"/>
                <w:color w:val="auto"/>
              </w:rPr>
              <w:t>Stock-based compensation</w:t>
            </w:r>
          </w:p>
        </w:tc>
        <w:tc>
          <w:tcPr>
            <w:tcW w:w="1240" w:type="dxa"/>
            <w:vAlign w:val="bottom"/>
            <w:tcBorders>
              <w:right w:val="single" w:sz="8" w:color="CCEEFF"/>
            </w:tcBorders>
            <w:shd w:val="clear" w:color="auto" w:fill="CCEEFF"/>
          </w:tcPr>
          <w:p>
            <w:pPr>
              <w:spacing w:after="0"/>
              <w:rPr>
                <w:sz w:val="11"/>
                <w:szCs w:val="11"/>
                <w:color w:val="auto"/>
              </w:rPr>
            </w:pPr>
          </w:p>
        </w:tc>
        <w:tc>
          <w:tcPr>
            <w:tcW w:w="360" w:type="dxa"/>
            <w:vAlign w:val="bottom"/>
            <w:shd w:val="clear" w:color="auto" w:fill="CCEEFF"/>
          </w:tcPr>
          <w:p>
            <w:pPr>
              <w:jc w:val="right"/>
              <w:spacing w:after="0" w:line="136" w:lineRule="exact"/>
              <w:rPr>
                <w:sz w:val="20"/>
                <w:szCs w:val="20"/>
                <w:color w:val="auto"/>
              </w:rPr>
            </w:pPr>
            <w:r>
              <w:rPr>
                <w:rFonts w:ascii="Arial" w:cs="Arial" w:eastAsia="Arial" w:hAnsi="Arial"/>
                <w:sz w:val="13"/>
                <w:szCs w:val="13"/>
                <w:color w:val="auto"/>
              </w:rPr>
              <w:t>66.1</w:t>
            </w:r>
          </w:p>
        </w:tc>
        <w:tc>
          <w:tcPr>
            <w:tcW w:w="140" w:type="dxa"/>
            <w:vAlign w:val="bottom"/>
            <w:shd w:val="clear" w:color="auto" w:fill="CCEEFF"/>
          </w:tcPr>
          <w:p>
            <w:pPr>
              <w:spacing w:after="0"/>
              <w:rPr>
                <w:sz w:val="11"/>
                <w:szCs w:val="11"/>
                <w:color w:val="auto"/>
              </w:rPr>
            </w:pPr>
          </w:p>
        </w:tc>
        <w:tc>
          <w:tcPr>
            <w:tcW w:w="180" w:type="dxa"/>
            <w:vAlign w:val="bottom"/>
            <w:tcBorders>
              <w:right w:val="single" w:sz="8" w:color="CCEEFF"/>
            </w:tcBorders>
            <w:shd w:val="clear" w:color="auto" w:fill="CCEEFF"/>
          </w:tcPr>
          <w:p>
            <w:pPr>
              <w:spacing w:after="0"/>
              <w:rPr>
                <w:sz w:val="11"/>
                <w:szCs w:val="11"/>
                <w:color w:val="auto"/>
              </w:rPr>
            </w:pPr>
          </w:p>
        </w:tc>
        <w:tc>
          <w:tcPr>
            <w:tcW w:w="340" w:type="dxa"/>
            <w:vAlign w:val="bottom"/>
            <w:shd w:val="clear" w:color="auto" w:fill="CCEEFF"/>
          </w:tcPr>
          <w:p>
            <w:pPr>
              <w:jc w:val="right"/>
              <w:spacing w:after="0" w:line="136" w:lineRule="exact"/>
              <w:rPr>
                <w:sz w:val="20"/>
                <w:szCs w:val="20"/>
                <w:color w:val="auto"/>
              </w:rPr>
            </w:pPr>
            <w:r>
              <w:rPr>
                <w:rFonts w:ascii="Arial" w:cs="Arial" w:eastAsia="Arial" w:hAnsi="Arial"/>
                <w:sz w:val="13"/>
                <w:szCs w:val="13"/>
                <w:color w:val="auto"/>
                <w:w w:val="98"/>
              </w:rPr>
              <w:t>147.6</w:t>
            </w:r>
          </w:p>
        </w:tc>
        <w:tc>
          <w:tcPr>
            <w:tcW w:w="140" w:type="dxa"/>
            <w:vAlign w:val="bottom"/>
            <w:shd w:val="clear" w:color="auto" w:fill="CCEEFF"/>
          </w:tcPr>
          <w:p>
            <w:pPr>
              <w:spacing w:after="0"/>
              <w:rPr>
                <w:sz w:val="11"/>
                <w:szCs w:val="11"/>
                <w:color w:val="auto"/>
              </w:rPr>
            </w:pPr>
          </w:p>
        </w:tc>
        <w:tc>
          <w:tcPr>
            <w:tcW w:w="180" w:type="dxa"/>
            <w:vAlign w:val="bottom"/>
            <w:tcBorders>
              <w:right w:val="single" w:sz="8" w:color="CCEEFF"/>
            </w:tcBorders>
            <w:shd w:val="clear" w:color="auto" w:fill="CCEEFF"/>
          </w:tcPr>
          <w:p>
            <w:pPr>
              <w:spacing w:after="0"/>
              <w:rPr>
                <w:sz w:val="11"/>
                <w:szCs w:val="11"/>
                <w:color w:val="auto"/>
              </w:rPr>
            </w:pPr>
          </w:p>
        </w:tc>
        <w:tc>
          <w:tcPr>
            <w:tcW w:w="340" w:type="dxa"/>
            <w:vAlign w:val="bottom"/>
            <w:shd w:val="clear" w:color="auto" w:fill="CCEEFF"/>
          </w:tcPr>
          <w:p>
            <w:pPr>
              <w:jc w:val="right"/>
              <w:spacing w:after="0" w:line="136" w:lineRule="exact"/>
              <w:rPr>
                <w:sz w:val="20"/>
                <w:szCs w:val="20"/>
                <w:color w:val="auto"/>
              </w:rPr>
            </w:pPr>
            <w:r>
              <w:rPr>
                <w:rFonts w:ascii="Arial" w:cs="Arial" w:eastAsia="Arial" w:hAnsi="Arial"/>
                <w:sz w:val="13"/>
                <w:szCs w:val="13"/>
                <w:color w:val="auto"/>
                <w:w w:val="98"/>
              </w:rPr>
              <w:t>164.6</w:t>
            </w: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180" w:type="dxa"/>
            <w:vAlign w:val="bottom"/>
          </w:tcPr>
          <w:p>
            <w:pPr>
              <w:ind w:left="220"/>
              <w:spacing w:after="0" w:line="136" w:lineRule="exact"/>
              <w:rPr>
                <w:sz w:val="20"/>
                <w:szCs w:val="20"/>
                <w:color w:val="auto"/>
              </w:rPr>
            </w:pPr>
            <w:r>
              <w:rPr>
                <w:rFonts w:ascii="Arial" w:cs="Arial" w:eastAsia="Arial" w:hAnsi="Arial"/>
                <w:sz w:val="13"/>
                <w:szCs w:val="13"/>
                <w:color w:val="auto"/>
              </w:rPr>
              <w:t>Amortization of deferred commissions</w:t>
            </w:r>
          </w:p>
        </w:tc>
        <w:tc>
          <w:tcPr>
            <w:tcW w:w="1240" w:type="dxa"/>
            <w:vAlign w:val="bottom"/>
          </w:tcPr>
          <w:p>
            <w:pPr>
              <w:spacing w:after="0"/>
              <w:rPr>
                <w:sz w:val="11"/>
                <w:szCs w:val="11"/>
                <w:color w:val="auto"/>
              </w:rPr>
            </w:pPr>
          </w:p>
        </w:tc>
        <w:tc>
          <w:tcPr>
            <w:tcW w:w="360" w:type="dxa"/>
            <w:vAlign w:val="bottom"/>
          </w:tcPr>
          <w:p>
            <w:pPr>
              <w:jc w:val="right"/>
              <w:spacing w:after="0" w:line="136" w:lineRule="exact"/>
              <w:rPr>
                <w:sz w:val="20"/>
                <w:szCs w:val="20"/>
                <w:color w:val="auto"/>
              </w:rPr>
            </w:pPr>
            <w:r>
              <w:rPr>
                <w:rFonts w:ascii="Arial" w:cs="Arial" w:eastAsia="Arial" w:hAnsi="Arial"/>
                <w:sz w:val="13"/>
                <w:szCs w:val="13"/>
                <w:color w:val="auto"/>
              </w:rPr>
              <w:t>0.6</w:t>
            </w: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40" w:type="dxa"/>
            <w:vAlign w:val="bottom"/>
          </w:tcPr>
          <w:p>
            <w:pPr>
              <w:jc w:val="right"/>
              <w:spacing w:after="0" w:line="136" w:lineRule="exact"/>
              <w:rPr>
                <w:sz w:val="20"/>
                <w:szCs w:val="20"/>
                <w:color w:val="auto"/>
              </w:rPr>
            </w:pPr>
            <w:r>
              <w:rPr>
                <w:rFonts w:ascii="Arial" w:cs="Arial" w:eastAsia="Arial" w:hAnsi="Arial"/>
                <w:sz w:val="13"/>
                <w:szCs w:val="13"/>
                <w:color w:val="auto"/>
              </w:rPr>
              <w:t>3.7</w:t>
            </w: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40" w:type="dxa"/>
            <w:vAlign w:val="bottom"/>
          </w:tcPr>
          <w:p>
            <w:pPr>
              <w:jc w:val="right"/>
              <w:spacing w:after="0" w:line="136" w:lineRule="exact"/>
              <w:rPr>
                <w:sz w:val="20"/>
                <w:szCs w:val="20"/>
                <w:color w:val="auto"/>
              </w:rPr>
            </w:pPr>
            <w:r>
              <w:rPr>
                <w:rFonts w:ascii="Arial" w:cs="Arial" w:eastAsia="Arial" w:hAnsi="Arial"/>
                <w:sz w:val="13"/>
                <w:szCs w:val="13"/>
                <w:color w:val="auto"/>
              </w:rPr>
              <w:t>6.6</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180" w:type="dxa"/>
            <w:vAlign w:val="bottom"/>
            <w:shd w:val="clear" w:color="auto" w:fill="CCEEFF"/>
          </w:tcPr>
          <w:p>
            <w:pPr>
              <w:ind w:left="220"/>
              <w:spacing w:after="0" w:line="136" w:lineRule="exact"/>
              <w:rPr>
                <w:sz w:val="20"/>
                <w:szCs w:val="20"/>
                <w:color w:val="auto"/>
              </w:rPr>
            </w:pPr>
            <w:r>
              <w:rPr>
                <w:rFonts w:ascii="Arial" w:cs="Arial" w:eastAsia="Arial" w:hAnsi="Arial"/>
                <w:sz w:val="13"/>
                <w:szCs w:val="13"/>
                <w:color w:val="auto"/>
              </w:rPr>
              <w:t>Donation of common stock to charitable foundation</w:t>
            </w:r>
          </w:p>
        </w:tc>
        <w:tc>
          <w:tcPr>
            <w:tcW w:w="1240" w:type="dxa"/>
            <w:vAlign w:val="bottom"/>
            <w:tcBorders>
              <w:right w:val="single" w:sz="8" w:color="CCEEFF"/>
            </w:tcBorders>
            <w:shd w:val="clear" w:color="auto" w:fill="CCEEFF"/>
          </w:tcPr>
          <w:p>
            <w:pPr>
              <w:spacing w:after="0"/>
              <w:rPr>
                <w:sz w:val="11"/>
                <w:szCs w:val="11"/>
                <w:color w:val="auto"/>
              </w:rPr>
            </w:pPr>
          </w:p>
        </w:tc>
        <w:tc>
          <w:tcPr>
            <w:tcW w:w="500" w:type="dxa"/>
            <w:vAlign w:val="bottom"/>
            <w:gridSpan w:val="2"/>
            <w:shd w:val="clear" w:color="auto" w:fill="CCEEFF"/>
          </w:tcPr>
          <w:p>
            <w:pPr>
              <w:ind w:left="160"/>
              <w:spacing w:after="0" w:line="136" w:lineRule="exact"/>
              <w:rPr>
                <w:sz w:val="20"/>
                <w:szCs w:val="20"/>
                <w:color w:val="auto"/>
              </w:rPr>
            </w:pPr>
            <w:r>
              <w:rPr>
                <w:rFonts w:ascii="Arial" w:cs="Arial" w:eastAsia="Arial" w:hAnsi="Arial"/>
                <w:sz w:val="13"/>
                <w:szCs w:val="13"/>
                <w:color w:val="auto"/>
              </w:rPr>
              <w:t>—</w:t>
            </w:r>
          </w:p>
        </w:tc>
        <w:tc>
          <w:tcPr>
            <w:tcW w:w="180" w:type="dxa"/>
            <w:vAlign w:val="bottom"/>
            <w:tcBorders>
              <w:right w:val="single" w:sz="8" w:color="CCEEFF"/>
            </w:tcBorders>
            <w:shd w:val="clear" w:color="auto" w:fill="CCEEFF"/>
          </w:tcPr>
          <w:p>
            <w:pPr>
              <w:spacing w:after="0"/>
              <w:rPr>
                <w:sz w:val="11"/>
                <w:szCs w:val="11"/>
                <w:color w:val="auto"/>
              </w:rPr>
            </w:pPr>
          </w:p>
        </w:tc>
        <w:tc>
          <w:tcPr>
            <w:tcW w:w="480" w:type="dxa"/>
            <w:vAlign w:val="bottom"/>
            <w:gridSpan w:val="2"/>
            <w:shd w:val="clear" w:color="auto" w:fill="CCEEFF"/>
          </w:tcPr>
          <w:p>
            <w:pPr>
              <w:jc w:val="right"/>
              <w:ind w:right="220"/>
              <w:spacing w:after="0" w:line="136" w:lineRule="exact"/>
              <w:rPr>
                <w:sz w:val="20"/>
                <w:szCs w:val="20"/>
                <w:color w:val="auto"/>
              </w:rPr>
            </w:pPr>
            <w:r>
              <w:rPr>
                <w:rFonts w:ascii="Arial" w:cs="Arial" w:eastAsia="Arial" w:hAnsi="Arial"/>
                <w:sz w:val="13"/>
                <w:szCs w:val="13"/>
                <w:color w:val="auto"/>
              </w:rPr>
              <w:t>—</w:t>
            </w:r>
          </w:p>
        </w:tc>
        <w:tc>
          <w:tcPr>
            <w:tcW w:w="180" w:type="dxa"/>
            <w:vAlign w:val="bottom"/>
            <w:tcBorders>
              <w:right w:val="single" w:sz="8" w:color="CCEEFF"/>
            </w:tcBorders>
            <w:shd w:val="clear" w:color="auto" w:fill="CCEEFF"/>
          </w:tcPr>
          <w:p>
            <w:pPr>
              <w:spacing w:after="0"/>
              <w:rPr>
                <w:sz w:val="11"/>
                <w:szCs w:val="11"/>
                <w:color w:val="auto"/>
              </w:rPr>
            </w:pPr>
          </w:p>
        </w:tc>
        <w:tc>
          <w:tcPr>
            <w:tcW w:w="340" w:type="dxa"/>
            <w:vAlign w:val="bottom"/>
            <w:shd w:val="clear" w:color="auto" w:fill="CCEEFF"/>
          </w:tcPr>
          <w:p>
            <w:pPr>
              <w:jc w:val="right"/>
              <w:spacing w:after="0" w:line="136" w:lineRule="exact"/>
              <w:rPr>
                <w:sz w:val="20"/>
                <w:szCs w:val="20"/>
                <w:color w:val="auto"/>
              </w:rPr>
            </w:pPr>
            <w:r>
              <w:rPr>
                <w:rFonts w:ascii="Arial" w:cs="Arial" w:eastAsia="Arial" w:hAnsi="Arial"/>
                <w:sz w:val="13"/>
                <w:szCs w:val="13"/>
                <w:color w:val="auto"/>
              </w:rPr>
              <w:t>9.4</w:t>
            </w: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180" w:type="dxa"/>
            <w:vAlign w:val="bottom"/>
          </w:tcPr>
          <w:p>
            <w:pPr>
              <w:ind w:left="220"/>
              <w:spacing w:after="0" w:line="136" w:lineRule="exact"/>
              <w:rPr>
                <w:sz w:val="20"/>
                <w:szCs w:val="20"/>
                <w:color w:val="auto"/>
              </w:rPr>
            </w:pPr>
            <w:r>
              <w:rPr>
                <w:rFonts w:ascii="Arial" w:cs="Arial" w:eastAsia="Arial" w:hAnsi="Arial"/>
                <w:sz w:val="13"/>
                <w:szCs w:val="13"/>
                <w:color w:val="auto"/>
              </w:rPr>
              <w:t>Other</w:t>
            </w:r>
          </w:p>
        </w:tc>
        <w:tc>
          <w:tcPr>
            <w:tcW w:w="1240" w:type="dxa"/>
            <w:vAlign w:val="bottom"/>
          </w:tcPr>
          <w:p>
            <w:pPr>
              <w:spacing w:after="0"/>
              <w:rPr>
                <w:sz w:val="11"/>
                <w:szCs w:val="11"/>
                <w:color w:val="auto"/>
              </w:rPr>
            </w:pPr>
          </w:p>
        </w:tc>
        <w:tc>
          <w:tcPr>
            <w:tcW w:w="360" w:type="dxa"/>
            <w:vAlign w:val="bottom"/>
          </w:tcPr>
          <w:p>
            <w:pPr>
              <w:jc w:val="right"/>
              <w:spacing w:after="0" w:line="136" w:lineRule="exact"/>
              <w:rPr>
                <w:sz w:val="20"/>
                <w:szCs w:val="20"/>
                <w:color w:val="auto"/>
              </w:rPr>
            </w:pPr>
            <w:r>
              <w:rPr>
                <w:rFonts w:ascii="Arial" w:cs="Arial" w:eastAsia="Arial" w:hAnsi="Arial"/>
                <w:sz w:val="13"/>
                <w:szCs w:val="13"/>
                <w:color w:val="auto"/>
              </w:rPr>
              <w:t>0.8</w:t>
            </w: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40" w:type="dxa"/>
            <w:vAlign w:val="bottom"/>
          </w:tcPr>
          <w:p>
            <w:pPr>
              <w:jc w:val="right"/>
              <w:spacing w:after="0" w:line="136" w:lineRule="exact"/>
              <w:rPr>
                <w:sz w:val="20"/>
                <w:szCs w:val="20"/>
                <w:color w:val="auto"/>
              </w:rPr>
            </w:pPr>
            <w:r>
              <w:rPr>
                <w:rFonts w:ascii="Arial" w:cs="Arial" w:eastAsia="Arial" w:hAnsi="Arial"/>
                <w:sz w:val="13"/>
                <w:szCs w:val="13"/>
                <w:color w:val="auto"/>
              </w:rPr>
              <w:t>1.1</w:t>
            </w: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20" w:type="dxa"/>
            <w:vAlign w:val="bottom"/>
            <w:gridSpan w:val="2"/>
          </w:tcPr>
          <w:p>
            <w:pPr>
              <w:jc w:val="right"/>
              <w:ind w:right="40"/>
              <w:spacing w:after="0" w:line="136" w:lineRule="exact"/>
              <w:rPr>
                <w:sz w:val="20"/>
                <w:szCs w:val="20"/>
                <w:color w:val="auto"/>
              </w:rPr>
            </w:pPr>
            <w:r>
              <w:rPr>
                <w:rFonts w:ascii="Arial" w:cs="Arial" w:eastAsia="Arial" w:hAnsi="Arial"/>
                <w:sz w:val="13"/>
                <w:szCs w:val="13"/>
                <w:color w:val="auto"/>
              </w:rPr>
              <w:t>(1.7)</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180" w:type="dxa"/>
            <w:vAlign w:val="bottom"/>
            <w:shd w:val="clear" w:color="auto" w:fill="CCEEFF"/>
          </w:tcPr>
          <w:p>
            <w:pPr>
              <w:spacing w:after="0" w:line="136" w:lineRule="exact"/>
              <w:rPr>
                <w:sz w:val="20"/>
                <w:szCs w:val="20"/>
                <w:color w:val="auto"/>
              </w:rPr>
            </w:pPr>
            <w:r>
              <w:rPr>
                <w:rFonts w:ascii="Arial" w:cs="Arial" w:eastAsia="Arial" w:hAnsi="Arial"/>
                <w:sz w:val="13"/>
                <w:szCs w:val="13"/>
                <w:color w:val="auto"/>
              </w:rPr>
              <w:t>Changes in operating assets and liabilities:</w:t>
            </w:r>
          </w:p>
        </w:tc>
        <w:tc>
          <w:tcPr>
            <w:tcW w:w="1240" w:type="dxa"/>
            <w:vAlign w:val="bottom"/>
            <w:tcBorders>
              <w:right w:val="single" w:sz="8" w:color="CCEEFF"/>
            </w:tcBorders>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80" w:type="dxa"/>
            <w:vAlign w:val="bottom"/>
            <w:tcBorders>
              <w:right w:val="single" w:sz="8" w:color="CCEEFF"/>
            </w:tcBorders>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80" w:type="dxa"/>
            <w:vAlign w:val="bottom"/>
            <w:tcBorders>
              <w:right w:val="single" w:sz="8" w:color="CCEEFF"/>
            </w:tcBorders>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180" w:type="dxa"/>
            <w:vAlign w:val="bottom"/>
          </w:tcPr>
          <w:p>
            <w:pPr>
              <w:ind w:left="220"/>
              <w:spacing w:after="0" w:line="136" w:lineRule="exact"/>
              <w:rPr>
                <w:sz w:val="20"/>
                <w:szCs w:val="20"/>
                <w:color w:val="auto"/>
              </w:rPr>
            </w:pPr>
            <w:r>
              <w:rPr>
                <w:rFonts w:ascii="Arial" w:cs="Arial" w:eastAsia="Arial" w:hAnsi="Arial"/>
                <w:sz w:val="13"/>
                <w:szCs w:val="13"/>
                <w:color w:val="auto"/>
              </w:rPr>
              <w:t>Trade and other receivables, net</w:t>
            </w:r>
          </w:p>
        </w:tc>
        <w:tc>
          <w:tcPr>
            <w:tcW w:w="1240" w:type="dxa"/>
            <w:vAlign w:val="bottom"/>
          </w:tcPr>
          <w:p>
            <w:pPr>
              <w:spacing w:after="0"/>
              <w:rPr>
                <w:sz w:val="11"/>
                <w:szCs w:val="11"/>
                <w:color w:val="auto"/>
              </w:rPr>
            </w:pPr>
          </w:p>
        </w:tc>
        <w:tc>
          <w:tcPr>
            <w:tcW w:w="500" w:type="dxa"/>
            <w:vAlign w:val="bottom"/>
            <w:gridSpan w:val="2"/>
          </w:tcPr>
          <w:p>
            <w:pPr>
              <w:jc w:val="right"/>
              <w:ind w:right="120"/>
              <w:spacing w:after="0" w:line="136" w:lineRule="exact"/>
              <w:rPr>
                <w:sz w:val="20"/>
                <w:szCs w:val="20"/>
                <w:color w:val="auto"/>
              </w:rPr>
            </w:pPr>
            <w:r>
              <w:rPr>
                <w:rFonts w:ascii="Arial" w:cs="Arial" w:eastAsia="Arial" w:hAnsi="Arial"/>
                <w:sz w:val="13"/>
                <w:szCs w:val="13"/>
                <w:color w:val="auto"/>
              </w:rPr>
              <w:t>(9.9)</w:t>
            </w:r>
          </w:p>
        </w:tc>
        <w:tc>
          <w:tcPr>
            <w:tcW w:w="180" w:type="dxa"/>
            <w:vAlign w:val="bottom"/>
          </w:tcPr>
          <w:p>
            <w:pPr>
              <w:spacing w:after="0"/>
              <w:rPr>
                <w:sz w:val="11"/>
                <w:szCs w:val="11"/>
                <w:color w:val="auto"/>
              </w:rPr>
            </w:pPr>
          </w:p>
        </w:tc>
        <w:tc>
          <w:tcPr>
            <w:tcW w:w="340" w:type="dxa"/>
            <w:vAlign w:val="bottom"/>
          </w:tcPr>
          <w:p>
            <w:pPr>
              <w:jc w:val="right"/>
              <w:spacing w:after="0" w:line="136" w:lineRule="exact"/>
              <w:rPr>
                <w:sz w:val="20"/>
                <w:szCs w:val="20"/>
                <w:color w:val="auto"/>
              </w:rPr>
            </w:pPr>
            <w:r>
              <w:rPr>
                <w:rFonts w:ascii="Arial" w:cs="Arial" w:eastAsia="Arial" w:hAnsi="Arial"/>
                <w:sz w:val="13"/>
                <w:szCs w:val="13"/>
                <w:color w:val="auto"/>
              </w:rPr>
              <w:t>1.0</w:t>
            </w: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20" w:type="dxa"/>
            <w:vAlign w:val="bottom"/>
            <w:gridSpan w:val="2"/>
          </w:tcPr>
          <w:p>
            <w:pPr>
              <w:jc w:val="right"/>
              <w:ind w:right="40"/>
              <w:spacing w:after="0" w:line="136" w:lineRule="exact"/>
              <w:rPr>
                <w:sz w:val="20"/>
                <w:szCs w:val="20"/>
                <w:color w:val="auto"/>
              </w:rPr>
            </w:pPr>
            <w:r>
              <w:rPr>
                <w:rFonts w:ascii="Arial" w:cs="Arial" w:eastAsia="Arial" w:hAnsi="Arial"/>
                <w:sz w:val="13"/>
                <w:szCs w:val="13"/>
                <w:color w:val="auto"/>
              </w:rPr>
              <w:t>(14.4)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180" w:type="dxa"/>
            <w:vAlign w:val="bottom"/>
            <w:shd w:val="clear" w:color="auto" w:fill="CCEEFF"/>
          </w:tcPr>
          <w:p>
            <w:pPr>
              <w:ind w:left="220"/>
              <w:spacing w:after="0" w:line="136" w:lineRule="exact"/>
              <w:rPr>
                <w:sz w:val="20"/>
                <w:szCs w:val="20"/>
                <w:color w:val="auto"/>
              </w:rPr>
            </w:pPr>
            <w:r>
              <w:rPr>
                <w:rFonts w:ascii="Arial" w:cs="Arial" w:eastAsia="Arial" w:hAnsi="Arial"/>
                <w:sz w:val="13"/>
                <w:szCs w:val="13"/>
                <w:color w:val="auto"/>
              </w:rPr>
              <w:t>Prepaid expenses and other current assets</w:t>
            </w:r>
          </w:p>
        </w:tc>
        <w:tc>
          <w:tcPr>
            <w:tcW w:w="1240" w:type="dxa"/>
            <w:vAlign w:val="bottom"/>
            <w:tcBorders>
              <w:right w:val="single" w:sz="8" w:color="CCEEFF"/>
            </w:tcBorders>
            <w:shd w:val="clear" w:color="auto" w:fill="CCEEFF"/>
          </w:tcPr>
          <w:p>
            <w:pPr>
              <w:spacing w:after="0"/>
              <w:rPr>
                <w:sz w:val="11"/>
                <w:szCs w:val="11"/>
                <w:color w:val="auto"/>
              </w:rPr>
            </w:pPr>
          </w:p>
        </w:tc>
        <w:tc>
          <w:tcPr>
            <w:tcW w:w="500" w:type="dxa"/>
            <w:vAlign w:val="bottom"/>
            <w:gridSpan w:val="2"/>
            <w:shd w:val="clear" w:color="auto" w:fill="CCEEFF"/>
          </w:tcPr>
          <w:p>
            <w:pPr>
              <w:jc w:val="right"/>
              <w:ind w:right="120"/>
              <w:spacing w:after="0" w:line="136" w:lineRule="exact"/>
              <w:rPr>
                <w:sz w:val="20"/>
                <w:szCs w:val="20"/>
                <w:color w:val="auto"/>
              </w:rPr>
            </w:pPr>
            <w:r>
              <w:rPr>
                <w:rFonts w:ascii="Arial" w:cs="Arial" w:eastAsia="Arial" w:hAnsi="Arial"/>
                <w:sz w:val="13"/>
                <w:szCs w:val="13"/>
                <w:color w:val="auto"/>
              </w:rPr>
              <w:t>(1.8)</w:t>
            </w:r>
          </w:p>
        </w:tc>
        <w:tc>
          <w:tcPr>
            <w:tcW w:w="180" w:type="dxa"/>
            <w:vAlign w:val="bottom"/>
            <w:tcBorders>
              <w:right w:val="single" w:sz="8" w:color="CCEEFF"/>
            </w:tcBorders>
            <w:shd w:val="clear" w:color="auto" w:fill="CCEEFF"/>
          </w:tcPr>
          <w:p>
            <w:pPr>
              <w:spacing w:after="0"/>
              <w:rPr>
                <w:sz w:val="11"/>
                <w:szCs w:val="11"/>
                <w:color w:val="auto"/>
              </w:rPr>
            </w:pPr>
          </w:p>
        </w:tc>
        <w:tc>
          <w:tcPr>
            <w:tcW w:w="480" w:type="dxa"/>
            <w:vAlign w:val="bottom"/>
            <w:gridSpan w:val="2"/>
            <w:shd w:val="clear" w:color="auto" w:fill="CCEEFF"/>
          </w:tcPr>
          <w:p>
            <w:pPr>
              <w:jc w:val="right"/>
              <w:ind w:right="220"/>
              <w:spacing w:after="0" w:line="136" w:lineRule="exact"/>
              <w:rPr>
                <w:sz w:val="20"/>
                <w:szCs w:val="20"/>
                <w:color w:val="auto"/>
              </w:rPr>
            </w:pPr>
            <w:r>
              <w:rPr>
                <w:rFonts w:ascii="Arial" w:cs="Arial" w:eastAsia="Arial" w:hAnsi="Arial"/>
                <w:sz w:val="13"/>
                <w:szCs w:val="13"/>
                <w:color w:val="auto"/>
              </w:rPr>
              <w:t>—</w:t>
            </w:r>
          </w:p>
        </w:tc>
        <w:tc>
          <w:tcPr>
            <w:tcW w:w="180" w:type="dxa"/>
            <w:vAlign w:val="bottom"/>
            <w:tcBorders>
              <w:right w:val="single" w:sz="8" w:color="CCEEFF"/>
            </w:tcBorders>
            <w:shd w:val="clear" w:color="auto" w:fill="CCEEFF"/>
          </w:tcPr>
          <w:p>
            <w:pPr>
              <w:spacing w:after="0"/>
              <w:rPr>
                <w:sz w:val="11"/>
                <w:szCs w:val="11"/>
                <w:color w:val="auto"/>
              </w:rPr>
            </w:pPr>
          </w:p>
        </w:tc>
        <w:tc>
          <w:tcPr>
            <w:tcW w:w="420" w:type="dxa"/>
            <w:vAlign w:val="bottom"/>
            <w:gridSpan w:val="2"/>
            <w:shd w:val="clear" w:color="auto" w:fill="CCEEFF"/>
          </w:tcPr>
          <w:p>
            <w:pPr>
              <w:jc w:val="right"/>
              <w:ind w:right="40"/>
              <w:spacing w:after="0" w:line="136" w:lineRule="exact"/>
              <w:rPr>
                <w:sz w:val="20"/>
                <w:szCs w:val="20"/>
                <w:color w:val="auto"/>
              </w:rPr>
            </w:pPr>
            <w:r>
              <w:rPr>
                <w:rFonts w:ascii="Arial" w:cs="Arial" w:eastAsia="Arial" w:hAnsi="Arial"/>
                <w:sz w:val="13"/>
                <w:szCs w:val="13"/>
                <w:color w:val="auto"/>
              </w:rPr>
              <w:t>(18.2)</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180" w:type="dxa"/>
            <w:vAlign w:val="bottom"/>
          </w:tcPr>
          <w:p>
            <w:pPr>
              <w:ind w:left="220"/>
              <w:spacing w:after="0" w:line="136" w:lineRule="exact"/>
              <w:rPr>
                <w:sz w:val="20"/>
                <w:szCs w:val="20"/>
                <w:color w:val="auto"/>
              </w:rPr>
            </w:pPr>
            <w:r>
              <w:rPr>
                <w:rFonts w:ascii="Arial" w:cs="Arial" w:eastAsia="Arial" w:hAnsi="Arial"/>
                <w:sz w:val="13"/>
                <w:szCs w:val="13"/>
                <w:color w:val="auto"/>
              </w:rPr>
              <w:t>Other assets</w:t>
            </w:r>
          </w:p>
        </w:tc>
        <w:tc>
          <w:tcPr>
            <w:tcW w:w="1240" w:type="dxa"/>
            <w:vAlign w:val="bottom"/>
          </w:tcPr>
          <w:p>
            <w:pPr>
              <w:spacing w:after="0"/>
              <w:rPr>
                <w:sz w:val="11"/>
                <w:szCs w:val="11"/>
                <w:color w:val="auto"/>
              </w:rPr>
            </w:pPr>
          </w:p>
        </w:tc>
        <w:tc>
          <w:tcPr>
            <w:tcW w:w="360" w:type="dxa"/>
            <w:vAlign w:val="bottom"/>
          </w:tcPr>
          <w:p>
            <w:pPr>
              <w:jc w:val="right"/>
              <w:spacing w:after="0" w:line="136" w:lineRule="exact"/>
              <w:rPr>
                <w:sz w:val="20"/>
                <w:szCs w:val="20"/>
                <w:color w:val="auto"/>
              </w:rPr>
            </w:pPr>
            <w:r>
              <w:rPr>
                <w:rFonts w:ascii="Arial" w:cs="Arial" w:eastAsia="Arial" w:hAnsi="Arial"/>
                <w:sz w:val="13"/>
                <w:szCs w:val="13"/>
                <w:color w:val="auto"/>
              </w:rPr>
              <w:t>2.5</w:t>
            </w: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80" w:type="dxa"/>
            <w:vAlign w:val="bottom"/>
            <w:gridSpan w:val="2"/>
          </w:tcPr>
          <w:p>
            <w:pPr>
              <w:jc w:val="right"/>
              <w:ind w:right="100"/>
              <w:spacing w:after="0" w:line="136" w:lineRule="exact"/>
              <w:rPr>
                <w:sz w:val="20"/>
                <w:szCs w:val="20"/>
                <w:color w:val="auto"/>
              </w:rPr>
            </w:pPr>
            <w:r>
              <w:rPr>
                <w:rFonts w:ascii="Arial" w:cs="Arial" w:eastAsia="Arial" w:hAnsi="Arial"/>
                <w:sz w:val="13"/>
                <w:szCs w:val="13"/>
                <w:color w:val="auto"/>
              </w:rPr>
              <w:t>(7.8)</w:t>
            </w:r>
          </w:p>
        </w:tc>
        <w:tc>
          <w:tcPr>
            <w:tcW w:w="180" w:type="dxa"/>
            <w:vAlign w:val="bottom"/>
          </w:tcPr>
          <w:p>
            <w:pPr>
              <w:spacing w:after="0"/>
              <w:rPr>
                <w:sz w:val="11"/>
                <w:szCs w:val="11"/>
                <w:color w:val="auto"/>
              </w:rPr>
            </w:pPr>
          </w:p>
        </w:tc>
        <w:tc>
          <w:tcPr>
            <w:tcW w:w="420" w:type="dxa"/>
            <w:vAlign w:val="bottom"/>
            <w:gridSpan w:val="2"/>
          </w:tcPr>
          <w:p>
            <w:pPr>
              <w:jc w:val="right"/>
              <w:ind w:right="40"/>
              <w:spacing w:after="0" w:line="136" w:lineRule="exact"/>
              <w:rPr>
                <w:sz w:val="20"/>
                <w:szCs w:val="20"/>
                <w:color w:val="auto"/>
              </w:rPr>
            </w:pPr>
            <w:r>
              <w:rPr>
                <w:rFonts w:ascii="Arial" w:cs="Arial" w:eastAsia="Arial" w:hAnsi="Arial"/>
                <w:sz w:val="13"/>
                <w:szCs w:val="13"/>
                <w:color w:val="auto"/>
              </w:rPr>
              <w:t>(10.6)</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180" w:type="dxa"/>
            <w:vAlign w:val="bottom"/>
            <w:shd w:val="clear" w:color="auto" w:fill="CCEEFF"/>
          </w:tcPr>
          <w:p>
            <w:pPr>
              <w:ind w:left="220"/>
              <w:spacing w:after="0" w:line="136" w:lineRule="exact"/>
              <w:rPr>
                <w:sz w:val="20"/>
                <w:szCs w:val="20"/>
                <w:color w:val="auto"/>
              </w:rPr>
            </w:pPr>
            <w:r>
              <w:rPr>
                <w:rFonts w:ascii="Arial" w:cs="Arial" w:eastAsia="Arial" w:hAnsi="Arial"/>
                <w:sz w:val="13"/>
                <w:szCs w:val="13"/>
                <w:color w:val="auto"/>
              </w:rPr>
              <w:t>Accounts payable</w:t>
            </w:r>
          </w:p>
        </w:tc>
        <w:tc>
          <w:tcPr>
            <w:tcW w:w="1240" w:type="dxa"/>
            <w:vAlign w:val="bottom"/>
            <w:tcBorders>
              <w:right w:val="single" w:sz="8" w:color="CCEEFF"/>
            </w:tcBorders>
            <w:shd w:val="clear" w:color="auto" w:fill="CCEEFF"/>
          </w:tcPr>
          <w:p>
            <w:pPr>
              <w:spacing w:after="0"/>
              <w:rPr>
                <w:sz w:val="11"/>
                <w:szCs w:val="11"/>
                <w:color w:val="auto"/>
              </w:rPr>
            </w:pPr>
          </w:p>
        </w:tc>
        <w:tc>
          <w:tcPr>
            <w:tcW w:w="360" w:type="dxa"/>
            <w:vAlign w:val="bottom"/>
            <w:shd w:val="clear" w:color="auto" w:fill="CCEEFF"/>
          </w:tcPr>
          <w:p>
            <w:pPr>
              <w:jc w:val="right"/>
              <w:spacing w:after="0" w:line="136" w:lineRule="exact"/>
              <w:rPr>
                <w:sz w:val="20"/>
                <w:szCs w:val="20"/>
                <w:color w:val="auto"/>
              </w:rPr>
            </w:pPr>
            <w:r>
              <w:rPr>
                <w:rFonts w:ascii="Arial" w:cs="Arial" w:eastAsia="Arial" w:hAnsi="Arial"/>
                <w:sz w:val="13"/>
                <w:szCs w:val="13"/>
                <w:color w:val="auto"/>
              </w:rPr>
              <w:t>9.2</w:t>
            </w:r>
          </w:p>
        </w:tc>
        <w:tc>
          <w:tcPr>
            <w:tcW w:w="140" w:type="dxa"/>
            <w:vAlign w:val="bottom"/>
            <w:shd w:val="clear" w:color="auto" w:fill="CCEEFF"/>
          </w:tcPr>
          <w:p>
            <w:pPr>
              <w:spacing w:after="0"/>
              <w:rPr>
                <w:sz w:val="11"/>
                <w:szCs w:val="11"/>
                <w:color w:val="auto"/>
              </w:rPr>
            </w:pPr>
          </w:p>
        </w:tc>
        <w:tc>
          <w:tcPr>
            <w:tcW w:w="180" w:type="dxa"/>
            <w:vAlign w:val="bottom"/>
            <w:tcBorders>
              <w:right w:val="single" w:sz="8" w:color="CCEEFF"/>
            </w:tcBorders>
            <w:shd w:val="clear" w:color="auto" w:fill="CCEEFF"/>
          </w:tcPr>
          <w:p>
            <w:pPr>
              <w:spacing w:after="0"/>
              <w:rPr>
                <w:sz w:val="11"/>
                <w:szCs w:val="11"/>
                <w:color w:val="auto"/>
              </w:rPr>
            </w:pPr>
          </w:p>
        </w:tc>
        <w:tc>
          <w:tcPr>
            <w:tcW w:w="340" w:type="dxa"/>
            <w:vAlign w:val="bottom"/>
            <w:shd w:val="clear" w:color="auto" w:fill="CCEEFF"/>
          </w:tcPr>
          <w:p>
            <w:pPr>
              <w:jc w:val="right"/>
              <w:spacing w:after="0" w:line="136" w:lineRule="exact"/>
              <w:rPr>
                <w:sz w:val="20"/>
                <w:szCs w:val="20"/>
                <w:color w:val="auto"/>
              </w:rPr>
            </w:pPr>
            <w:r>
              <w:rPr>
                <w:rFonts w:ascii="Arial" w:cs="Arial" w:eastAsia="Arial" w:hAnsi="Arial"/>
                <w:sz w:val="13"/>
                <w:szCs w:val="13"/>
                <w:color w:val="auto"/>
              </w:rPr>
              <w:t>5.5</w:t>
            </w:r>
          </w:p>
        </w:tc>
        <w:tc>
          <w:tcPr>
            <w:tcW w:w="140" w:type="dxa"/>
            <w:vAlign w:val="bottom"/>
            <w:shd w:val="clear" w:color="auto" w:fill="CCEEFF"/>
          </w:tcPr>
          <w:p>
            <w:pPr>
              <w:spacing w:after="0"/>
              <w:rPr>
                <w:sz w:val="11"/>
                <w:szCs w:val="11"/>
                <w:color w:val="auto"/>
              </w:rPr>
            </w:pPr>
          </w:p>
        </w:tc>
        <w:tc>
          <w:tcPr>
            <w:tcW w:w="180" w:type="dxa"/>
            <w:vAlign w:val="bottom"/>
            <w:tcBorders>
              <w:right w:val="single" w:sz="8" w:color="CCEEFF"/>
            </w:tcBorders>
            <w:shd w:val="clear" w:color="auto" w:fill="CCEEFF"/>
          </w:tcPr>
          <w:p>
            <w:pPr>
              <w:spacing w:after="0"/>
              <w:rPr>
                <w:sz w:val="11"/>
                <w:szCs w:val="11"/>
                <w:color w:val="auto"/>
              </w:rPr>
            </w:pPr>
          </w:p>
        </w:tc>
        <w:tc>
          <w:tcPr>
            <w:tcW w:w="340" w:type="dxa"/>
            <w:vAlign w:val="bottom"/>
            <w:shd w:val="clear" w:color="auto" w:fill="CCEEFF"/>
          </w:tcPr>
          <w:p>
            <w:pPr>
              <w:jc w:val="right"/>
              <w:spacing w:after="0" w:line="136" w:lineRule="exact"/>
              <w:rPr>
                <w:sz w:val="20"/>
                <w:szCs w:val="20"/>
                <w:color w:val="auto"/>
              </w:rPr>
            </w:pPr>
            <w:r>
              <w:rPr>
                <w:rFonts w:ascii="Arial" w:cs="Arial" w:eastAsia="Arial" w:hAnsi="Arial"/>
                <w:sz w:val="13"/>
                <w:szCs w:val="13"/>
                <w:color w:val="auto"/>
              </w:rPr>
              <w:t>16.2</w:t>
            </w: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180" w:type="dxa"/>
            <w:vAlign w:val="bottom"/>
          </w:tcPr>
          <w:p>
            <w:pPr>
              <w:ind w:left="220"/>
              <w:spacing w:after="0" w:line="136" w:lineRule="exact"/>
              <w:rPr>
                <w:sz w:val="20"/>
                <w:szCs w:val="20"/>
                <w:color w:val="auto"/>
              </w:rPr>
            </w:pPr>
            <w:r>
              <w:rPr>
                <w:rFonts w:ascii="Arial" w:cs="Arial" w:eastAsia="Arial" w:hAnsi="Arial"/>
                <w:sz w:val="13"/>
                <w:szCs w:val="13"/>
                <w:color w:val="auto"/>
              </w:rPr>
              <w:t>Accrued and other current liabilities</w:t>
            </w:r>
          </w:p>
        </w:tc>
        <w:tc>
          <w:tcPr>
            <w:tcW w:w="1240" w:type="dxa"/>
            <w:vAlign w:val="bottom"/>
          </w:tcPr>
          <w:p>
            <w:pPr>
              <w:spacing w:after="0"/>
              <w:rPr>
                <w:sz w:val="11"/>
                <w:szCs w:val="11"/>
                <w:color w:val="auto"/>
              </w:rPr>
            </w:pPr>
          </w:p>
        </w:tc>
        <w:tc>
          <w:tcPr>
            <w:tcW w:w="360" w:type="dxa"/>
            <w:vAlign w:val="bottom"/>
          </w:tcPr>
          <w:p>
            <w:pPr>
              <w:jc w:val="right"/>
              <w:spacing w:after="0" w:line="136" w:lineRule="exact"/>
              <w:rPr>
                <w:sz w:val="20"/>
                <w:szCs w:val="20"/>
                <w:color w:val="auto"/>
              </w:rPr>
            </w:pPr>
            <w:r>
              <w:rPr>
                <w:rFonts w:ascii="Arial" w:cs="Arial" w:eastAsia="Arial" w:hAnsi="Arial"/>
                <w:sz w:val="13"/>
                <w:szCs w:val="13"/>
                <w:color w:val="auto"/>
              </w:rPr>
              <w:t>21.7</w:t>
            </w: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80" w:type="dxa"/>
            <w:vAlign w:val="bottom"/>
            <w:gridSpan w:val="2"/>
          </w:tcPr>
          <w:p>
            <w:pPr>
              <w:jc w:val="right"/>
              <w:ind w:right="100"/>
              <w:spacing w:after="0" w:line="136" w:lineRule="exact"/>
              <w:rPr>
                <w:sz w:val="20"/>
                <w:szCs w:val="20"/>
                <w:color w:val="auto"/>
              </w:rPr>
            </w:pPr>
            <w:r>
              <w:rPr>
                <w:rFonts w:ascii="Arial" w:cs="Arial" w:eastAsia="Arial" w:hAnsi="Arial"/>
                <w:sz w:val="13"/>
                <w:szCs w:val="13"/>
                <w:color w:val="auto"/>
              </w:rPr>
              <w:t>(12.4)</w:t>
            </w:r>
          </w:p>
        </w:tc>
        <w:tc>
          <w:tcPr>
            <w:tcW w:w="180" w:type="dxa"/>
            <w:vAlign w:val="bottom"/>
          </w:tcPr>
          <w:p>
            <w:pPr>
              <w:spacing w:after="0"/>
              <w:rPr>
                <w:sz w:val="11"/>
                <w:szCs w:val="11"/>
                <w:color w:val="auto"/>
              </w:rPr>
            </w:pPr>
          </w:p>
        </w:tc>
        <w:tc>
          <w:tcPr>
            <w:tcW w:w="340" w:type="dxa"/>
            <w:vAlign w:val="bottom"/>
          </w:tcPr>
          <w:p>
            <w:pPr>
              <w:jc w:val="right"/>
              <w:spacing w:after="0" w:line="136" w:lineRule="exact"/>
              <w:rPr>
                <w:sz w:val="20"/>
                <w:szCs w:val="20"/>
                <w:color w:val="auto"/>
              </w:rPr>
            </w:pPr>
            <w:r>
              <w:rPr>
                <w:rFonts w:ascii="Arial" w:cs="Arial" w:eastAsia="Arial" w:hAnsi="Arial"/>
                <w:sz w:val="13"/>
                <w:szCs w:val="13"/>
                <w:color w:val="auto"/>
              </w:rPr>
              <w:t>34.0</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180" w:type="dxa"/>
            <w:vAlign w:val="bottom"/>
            <w:shd w:val="clear" w:color="auto" w:fill="CCEEFF"/>
          </w:tcPr>
          <w:p>
            <w:pPr>
              <w:ind w:left="220"/>
              <w:spacing w:after="0" w:line="136" w:lineRule="exact"/>
              <w:rPr>
                <w:sz w:val="20"/>
                <w:szCs w:val="20"/>
                <w:color w:val="auto"/>
              </w:rPr>
            </w:pPr>
            <w:r>
              <w:rPr>
                <w:rFonts w:ascii="Arial" w:cs="Arial" w:eastAsia="Arial" w:hAnsi="Arial"/>
                <w:sz w:val="13"/>
                <w:szCs w:val="13"/>
                <w:color w:val="auto"/>
              </w:rPr>
              <w:t>Accrued compensation and benefits</w:t>
            </w:r>
          </w:p>
        </w:tc>
        <w:tc>
          <w:tcPr>
            <w:tcW w:w="1240" w:type="dxa"/>
            <w:vAlign w:val="bottom"/>
            <w:tcBorders>
              <w:right w:val="single" w:sz="8" w:color="CCEEFF"/>
            </w:tcBorders>
            <w:shd w:val="clear" w:color="auto" w:fill="CCEEFF"/>
          </w:tcPr>
          <w:p>
            <w:pPr>
              <w:spacing w:after="0"/>
              <w:rPr>
                <w:sz w:val="11"/>
                <w:szCs w:val="11"/>
                <w:color w:val="auto"/>
              </w:rPr>
            </w:pPr>
          </w:p>
        </w:tc>
        <w:tc>
          <w:tcPr>
            <w:tcW w:w="500" w:type="dxa"/>
            <w:vAlign w:val="bottom"/>
            <w:gridSpan w:val="2"/>
            <w:shd w:val="clear" w:color="auto" w:fill="CCEEFF"/>
          </w:tcPr>
          <w:p>
            <w:pPr>
              <w:jc w:val="right"/>
              <w:ind w:right="120"/>
              <w:spacing w:after="0" w:line="136" w:lineRule="exact"/>
              <w:rPr>
                <w:sz w:val="20"/>
                <w:szCs w:val="20"/>
                <w:color w:val="auto"/>
              </w:rPr>
            </w:pPr>
            <w:r>
              <w:rPr>
                <w:rFonts w:ascii="Arial" w:cs="Arial" w:eastAsia="Arial" w:hAnsi="Arial"/>
                <w:sz w:val="13"/>
                <w:szCs w:val="13"/>
                <w:color w:val="auto"/>
              </w:rPr>
              <w:t>(9.0)</w:t>
            </w:r>
          </w:p>
        </w:tc>
        <w:tc>
          <w:tcPr>
            <w:tcW w:w="180" w:type="dxa"/>
            <w:vAlign w:val="bottom"/>
            <w:tcBorders>
              <w:right w:val="single" w:sz="8" w:color="CCEEFF"/>
            </w:tcBorders>
            <w:shd w:val="clear" w:color="auto" w:fill="CCEEFF"/>
          </w:tcPr>
          <w:p>
            <w:pPr>
              <w:spacing w:after="0"/>
              <w:rPr>
                <w:sz w:val="11"/>
                <w:szCs w:val="11"/>
                <w:color w:val="auto"/>
              </w:rPr>
            </w:pPr>
          </w:p>
        </w:tc>
        <w:tc>
          <w:tcPr>
            <w:tcW w:w="340" w:type="dxa"/>
            <w:vAlign w:val="bottom"/>
            <w:shd w:val="clear" w:color="auto" w:fill="CCEEFF"/>
          </w:tcPr>
          <w:p>
            <w:pPr>
              <w:jc w:val="right"/>
              <w:spacing w:after="0" w:line="136" w:lineRule="exact"/>
              <w:rPr>
                <w:sz w:val="20"/>
                <w:szCs w:val="20"/>
                <w:color w:val="auto"/>
              </w:rPr>
            </w:pPr>
            <w:r>
              <w:rPr>
                <w:rFonts w:ascii="Arial" w:cs="Arial" w:eastAsia="Arial" w:hAnsi="Arial"/>
                <w:sz w:val="13"/>
                <w:szCs w:val="13"/>
                <w:color w:val="auto"/>
              </w:rPr>
              <w:t>35.6</w:t>
            </w:r>
          </w:p>
        </w:tc>
        <w:tc>
          <w:tcPr>
            <w:tcW w:w="140" w:type="dxa"/>
            <w:vAlign w:val="bottom"/>
            <w:shd w:val="clear" w:color="auto" w:fill="CCEEFF"/>
          </w:tcPr>
          <w:p>
            <w:pPr>
              <w:spacing w:after="0"/>
              <w:rPr>
                <w:sz w:val="11"/>
                <w:szCs w:val="11"/>
                <w:color w:val="auto"/>
              </w:rPr>
            </w:pPr>
          </w:p>
        </w:tc>
        <w:tc>
          <w:tcPr>
            <w:tcW w:w="180" w:type="dxa"/>
            <w:vAlign w:val="bottom"/>
            <w:tcBorders>
              <w:right w:val="single" w:sz="8" w:color="CCEEFF"/>
            </w:tcBorders>
            <w:shd w:val="clear" w:color="auto" w:fill="CCEEFF"/>
          </w:tcPr>
          <w:p>
            <w:pPr>
              <w:spacing w:after="0"/>
              <w:rPr>
                <w:sz w:val="11"/>
                <w:szCs w:val="11"/>
                <w:color w:val="auto"/>
              </w:rPr>
            </w:pPr>
          </w:p>
        </w:tc>
        <w:tc>
          <w:tcPr>
            <w:tcW w:w="340" w:type="dxa"/>
            <w:vAlign w:val="bottom"/>
            <w:shd w:val="clear" w:color="auto" w:fill="CCEEFF"/>
          </w:tcPr>
          <w:p>
            <w:pPr>
              <w:jc w:val="right"/>
              <w:spacing w:after="0" w:line="136" w:lineRule="exact"/>
              <w:rPr>
                <w:sz w:val="20"/>
                <w:szCs w:val="20"/>
                <w:color w:val="auto"/>
              </w:rPr>
            </w:pPr>
            <w:r>
              <w:rPr>
                <w:rFonts w:ascii="Arial" w:cs="Arial" w:eastAsia="Arial" w:hAnsi="Arial"/>
                <w:sz w:val="13"/>
                <w:szCs w:val="13"/>
                <w:color w:val="auto"/>
              </w:rPr>
              <w:t>14.4</w:t>
            </w: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180" w:type="dxa"/>
            <w:vAlign w:val="bottom"/>
          </w:tcPr>
          <w:p>
            <w:pPr>
              <w:ind w:left="220"/>
              <w:spacing w:after="0" w:line="136" w:lineRule="exact"/>
              <w:rPr>
                <w:sz w:val="20"/>
                <w:szCs w:val="20"/>
                <w:color w:val="auto"/>
              </w:rPr>
            </w:pPr>
            <w:r>
              <w:rPr>
                <w:rFonts w:ascii="Arial" w:cs="Arial" w:eastAsia="Arial" w:hAnsi="Arial"/>
                <w:sz w:val="13"/>
                <w:szCs w:val="13"/>
                <w:color w:val="auto"/>
              </w:rPr>
              <w:t>Deferred revenue</w:t>
            </w:r>
          </w:p>
        </w:tc>
        <w:tc>
          <w:tcPr>
            <w:tcW w:w="1240" w:type="dxa"/>
            <w:vAlign w:val="bottom"/>
          </w:tcPr>
          <w:p>
            <w:pPr>
              <w:spacing w:after="0"/>
              <w:rPr>
                <w:sz w:val="11"/>
                <w:szCs w:val="11"/>
                <w:color w:val="auto"/>
              </w:rPr>
            </w:pPr>
          </w:p>
        </w:tc>
        <w:tc>
          <w:tcPr>
            <w:tcW w:w="360" w:type="dxa"/>
            <w:vAlign w:val="bottom"/>
          </w:tcPr>
          <w:p>
            <w:pPr>
              <w:jc w:val="right"/>
              <w:spacing w:after="0" w:line="136" w:lineRule="exact"/>
              <w:rPr>
                <w:sz w:val="20"/>
                <w:szCs w:val="20"/>
                <w:color w:val="auto"/>
              </w:rPr>
            </w:pPr>
            <w:r>
              <w:rPr>
                <w:rFonts w:ascii="Arial" w:cs="Arial" w:eastAsia="Arial" w:hAnsi="Arial"/>
                <w:sz w:val="13"/>
                <w:szCs w:val="13"/>
                <w:color w:val="auto"/>
              </w:rPr>
              <w:t>82.0</w:t>
            </w: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40" w:type="dxa"/>
            <w:vAlign w:val="bottom"/>
          </w:tcPr>
          <w:p>
            <w:pPr>
              <w:jc w:val="right"/>
              <w:spacing w:after="0" w:line="136" w:lineRule="exact"/>
              <w:rPr>
                <w:sz w:val="20"/>
                <w:szCs w:val="20"/>
                <w:color w:val="auto"/>
              </w:rPr>
            </w:pPr>
            <w:r>
              <w:rPr>
                <w:rFonts w:ascii="Arial" w:cs="Arial" w:eastAsia="Arial" w:hAnsi="Arial"/>
                <w:sz w:val="13"/>
                <w:szCs w:val="13"/>
                <w:color w:val="auto"/>
              </w:rPr>
              <w:t>87.6</w:t>
            </w: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40" w:type="dxa"/>
            <w:vAlign w:val="bottom"/>
          </w:tcPr>
          <w:p>
            <w:pPr>
              <w:jc w:val="right"/>
              <w:spacing w:after="0" w:line="136" w:lineRule="exact"/>
              <w:rPr>
                <w:sz w:val="20"/>
                <w:szCs w:val="20"/>
                <w:color w:val="auto"/>
              </w:rPr>
            </w:pPr>
            <w:r>
              <w:rPr>
                <w:rFonts w:ascii="Arial" w:cs="Arial" w:eastAsia="Arial" w:hAnsi="Arial"/>
                <w:sz w:val="13"/>
                <w:szCs w:val="13"/>
                <w:color w:val="auto"/>
              </w:rPr>
              <w:t>64.3</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180" w:type="dxa"/>
            <w:vAlign w:val="bottom"/>
            <w:shd w:val="clear" w:color="auto" w:fill="CCEEFF"/>
          </w:tcPr>
          <w:p>
            <w:pPr>
              <w:ind w:left="220"/>
              <w:spacing w:after="0" w:line="136" w:lineRule="exact"/>
              <w:rPr>
                <w:sz w:val="20"/>
                <w:szCs w:val="20"/>
                <w:color w:val="auto"/>
              </w:rPr>
            </w:pPr>
            <w:r>
              <w:rPr>
                <w:rFonts w:ascii="Arial" w:cs="Arial" w:eastAsia="Arial" w:hAnsi="Arial"/>
                <w:sz w:val="13"/>
                <w:szCs w:val="13"/>
                <w:color w:val="auto"/>
              </w:rPr>
              <w:t>Non-current liabilities</w:t>
            </w:r>
          </w:p>
        </w:tc>
        <w:tc>
          <w:tcPr>
            <w:tcW w:w="1240" w:type="dxa"/>
            <w:vAlign w:val="bottom"/>
            <w:tcBorders>
              <w:right w:val="single" w:sz="8" w:color="CCEEFF"/>
            </w:tcBorders>
            <w:shd w:val="clear" w:color="auto" w:fill="CCEEFF"/>
          </w:tcPr>
          <w:p>
            <w:pPr>
              <w:spacing w:after="0"/>
              <w:rPr>
                <w:sz w:val="11"/>
                <w:szCs w:val="11"/>
                <w:color w:val="auto"/>
              </w:rPr>
            </w:pPr>
          </w:p>
        </w:tc>
        <w:tc>
          <w:tcPr>
            <w:tcW w:w="360" w:type="dxa"/>
            <w:vAlign w:val="bottom"/>
            <w:shd w:val="clear" w:color="auto" w:fill="CCEEFF"/>
          </w:tcPr>
          <w:p>
            <w:pPr>
              <w:jc w:val="right"/>
              <w:spacing w:after="0" w:line="136" w:lineRule="exact"/>
              <w:rPr>
                <w:sz w:val="20"/>
                <w:szCs w:val="20"/>
                <w:color w:val="auto"/>
              </w:rPr>
            </w:pPr>
            <w:r>
              <w:rPr>
                <w:rFonts w:ascii="Arial" w:cs="Arial" w:eastAsia="Arial" w:hAnsi="Arial"/>
                <w:sz w:val="13"/>
                <w:szCs w:val="13"/>
                <w:color w:val="auto"/>
              </w:rPr>
              <w:t>28.9</w:t>
            </w:r>
          </w:p>
        </w:tc>
        <w:tc>
          <w:tcPr>
            <w:tcW w:w="140" w:type="dxa"/>
            <w:vAlign w:val="bottom"/>
            <w:shd w:val="clear" w:color="auto" w:fill="CCEEFF"/>
          </w:tcPr>
          <w:p>
            <w:pPr>
              <w:spacing w:after="0"/>
              <w:rPr>
                <w:sz w:val="11"/>
                <w:szCs w:val="11"/>
                <w:color w:val="auto"/>
              </w:rPr>
            </w:pPr>
          </w:p>
        </w:tc>
        <w:tc>
          <w:tcPr>
            <w:tcW w:w="180" w:type="dxa"/>
            <w:vAlign w:val="bottom"/>
            <w:tcBorders>
              <w:right w:val="single" w:sz="8" w:color="CCEEFF"/>
            </w:tcBorders>
            <w:shd w:val="clear" w:color="auto" w:fill="CCEEFF"/>
          </w:tcPr>
          <w:p>
            <w:pPr>
              <w:spacing w:after="0"/>
              <w:rPr>
                <w:sz w:val="11"/>
                <w:szCs w:val="11"/>
                <w:color w:val="auto"/>
              </w:rPr>
            </w:pPr>
          </w:p>
        </w:tc>
        <w:tc>
          <w:tcPr>
            <w:tcW w:w="340" w:type="dxa"/>
            <w:vAlign w:val="bottom"/>
            <w:shd w:val="clear" w:color="auto" w:fill="CCEEFF"/>
          </w:tcPr>
          <w:p>
            <w:pPr>
              <w:jc w:val="right"/>
              <w:spacing w:after="0" w:line="136" w:lineRule="exact"/>
              <w:rPr>
                <w:sz w:val="20"/>
                <w:szCs w:val="20"/>
                <w:color w:val="auto"/>
              </w:rPr>
            </w:pPr>
            <w:r>
              <w:rPr>
                <w:rFonts w:ascii="Arial" w:cs="Arial" w:eastAsia="Arial" w:hAnsi="Arial"/>
                <w:sz w:val="13"/>
                <w:szCs w:val="13"/>
                <w:color w:val="auto"/>
              </w:rPr>
              <w:t>9.3</w:t>
            </w:r>
          </w:p>
        </w:tc>
        <w:tc>
          <w:tcPr>
            <w:tcW w:w="140" w:type="dxa"/>
            <w:vAlign w:val="bottom"/>
            <w:shd w:val="clear" w:color="auto" w:fill="CCEEFF"/>
          </w:tcPr>
          <w:p>
            <w:pPr>
              <w:spacing w:after="0"/>
              <w:rPr>
                <w:sz w:val="11"/>
                <w:szCs w:val="11"/>
                <w:color w:val="auto"/>
              </w:rPr>
            </w:pPr>
          </w:p>
        </w:tc>
        <w:tc>
          <w:tcPr>
            <w:tcW w:w="180" w:type="dxa"/>
            <w:vAlign w:val="bottom"/>
            <w:tcBorders>
              <w:right w:val="single" w:sz="8" w:color="CCEEFF"/>
            </w:tcBorders>
            <w:shd w:val="clear" w:color="auto" w:fill="CCEEFF"/>
          </w:tcPr>
          <w:p>
            <w:pPr>
              <w:spacing w:after="0"/>
              <w:rPr>
                <w:sz w:val="11"/>
                <w:szCs w:val="11"/>
                <w:color w:val="auto"/>
              </w:rPr>
            </w:pPr>
          </w:p>
        </w:tc>
        <w:tc>
          <w:tcPr>
            <w:tcW w:w="420" w:type="dxa"/>
            <w:vAlign w:val="bottom"/>
            <w:gridSpan w:val="2"/>
            <w:shd w:val="clear" w:color="auto" w:fill="CCEEFF"/>
          </w:tcPr>
          <w:p>
            <w:pPr>
              <w:jc w:val="right"/>
              <w:ind w:right="40"/>
              <w:spacing w:after="0" w:line="136" w:lineRule="exact"/>
              <w:rPr>
                <w:sz w:val="20"/>
                <w:szCs w:val="20"/>
                <w:color w:val="auto"/>
              </w:rPr>
            </w:pPr>
            <w:r>
              <w:rPr>
                <w:rFonts w:ascii="Arial" w:cs="Arial" w:eastAsia="Arial" w:hAnsi="Arial"/>
                <w:sz w:val="13"/>
                <w:szCs w:val="13"/>
                <w:color w:val="auto"/>
              </w:rPr>
              <w:t>(4.4)</w:t>
            </w:r>
          </w:p>
        </w:tc>
        <w:tc>
          <w:tcPr>
            <w:tcW w:w="0" w:type="dxa"/>
            <w:vAlign w:val="bottom"/>
          </w:tcPr>
          <w:p>
            <w:pPr>
              <w:spacing w:after="0"/>
              <w:rPr>
                <w:sz w:val="1"/>
                <w:szCs w:val="1"/>
                <w:color w:val="auto"/>
              </w:rPr>
            </w:pPr>
          </w:p>
        </w:tc>
      </w:tr>
      <w:tr>
        <w:trPr>
          <w:trHeight w:val="140"/>
        </w:trPr>
        <w:tc>
          <w:tcPr>
            <w:tcW w:w="6200" w:type="dxa"/>
            <w:vAlign w:val="bottom"/>
            <w:gridSpan w:val="2"/>
          </w:tcPr>
          <w:p>
            <w:pPr>
              <w:spacing w:after="0" w:line="138" w:lineRule="exact"/>
              <w:rPr>
                <w:sz w:val="20"/>
                <w:szCs w:val="20"/>
                <w:color w:val="auto"/>
              </w:rPr>
            </w:pPr>
            <w:r>
              <w:rPr>
                <w:rFonts w:ascii="Arial" w:cs="Arial" w:eastAsia="Arial" w:hAnsi="Arial"/>
                <w:sz w:val="13"/>
                <w:szCs w:val="13"/>
                <w:b w:val="1"/>
                <w:bCs w:val="1"/>
                <w:color w:val="auto"/>
              </w:rPr>
              <w:t>Net cash provided by operating activities</w:t>
            </w:r>
          </w:p>
        </w:tc>
        <w:tc>
          <w:tcPr>
            <w:tcW w:w="1240" w:type="dxa"/>
            <w:vAlign w:val="bottom"/>
          </w:tcPr>
          <w:p>
            <w:pPr>
              <w:spacing w:after="0"/>
              <w:rPr>
                <w:sz w:val="12"/>
                <w:szCs w:val="12"/>
                <w:color w:val="auto"/>
              </w:rPr>
            </w:pPr>
          </w:p>
        </w:tc>
        <w:tc>
          <w:tcPr>
            <w:tcW w:w="360" w:type="dxa"/>
            <w:vAlign w:val="bottom"/>
            <w:tcBorders>
              <w:top w:val="single" w:sz="8" w:color="auto"/>
              <w:bottom w:val="single" w:sz="8" w:color="auto"/>
            </w:tcBorders>
          </w:tcPr>
          <w:p>
            <w:pPr>
              <w:jc w:val="right"/>
              <w:spacing w:after="0" w:line="138" w:lineRule="exact"/>
              <w:rPr>
                <w:sz w:val="20"/>
                <w:szCs w:val="20"/>
                <w:color w:val="auto"/>
              </w:rPr>
            </w:pPr>
            <w:r>
              <w:rPr>
                <w:rFonts w:ascii="Arial" w:cs="Arial" w:eastAsia="Arial" w:hAnsi="Arial"/>
                <w:sz w:val="13"/>
                <w:szCs w:val="13"/>
                <w:color w:val="auto"/>
              </w:rPr>
              <w:t>14.8</w:t>
            </w: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40" w:type="dxa"/>
            <w:vAlign w:val="bottom"/>
            <w:tcBorders>
              <w:top w:val="single" w:sz="8" w:color="auto"/>
              <w:bottom w:val="single" w:sz="8" w:color="auto"/>
            </w:tcBorders>
          </w:tcPr>
          <w:p>
            <w:pPr>
              <w:jc w:val="right"/>
              <w:spacing w:after="0" w:line="138" w:lineRule="exact"/>
              <w:rPr>
                <w:sz w:val="20"/>
                <w:szCs w:val="20"/>
                <w:color w:val="auto"/>
              </w:rPr>
            </w:pPr>
            <w:r>
              <w:rPr>
                <w:rFonts w:ascii="Arial" w:cs="Arial" w:eastAsia="Arial" w:hAnsi="Arial"/>
                <w:sz w:val="13"/>
                <w:szCs w:val="13"/>
                <w:color w:val="auto"/>
                <w:w w:val="98"/>
              </w:rPr>
              <w:t>252.6</w:t>
            </w: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40" w:type="dxa"/>
            <w:vAlign w:val="bottom"/>
            <w:tcBorders>
              <w:top w:val="single" w:sz="8" w:color="auto"/>
              <w:bottom w:val="single" w:sz="8" w:color="auto"/>
            </w:tcBorders>
          </w:tcPr>
          <w:p>
            <w:pPr>
              <w:jc w:val="right"/>
              <w:spacing w:after="0" w:line="138" w:lineRule="exact"/>
              <w:rPr>
                <w:sz w:val="20"/>
                <w:szCs w:val="20"/>
                <w:color w:val="auto"/>
              </w:rPr>
            </w:pPr>
            <w:r>
              <w:rPr>
                <w:rFonts w:ascii="Arial" w:cs="Arial" w:eastAsia="Arial" w:hAnsi="Arial"/>
                <w:sz w:val="13"/>
                <w:szCs w:val="13"/>
                <w:color w:val="auto"/>
                <w:w w:val="98"/>
              </w:rPr>
              <w:t>330.3</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180" w:type="dxa"/>
            <w:vAlign w:val="bottom"/>
            <w:shd w:val="clear" w:color="auto" w:fill="CCEEFF"/>
          </w:tcPr>
          <w:p>
            <w:pPr>
              <w:spacing w:after="0" w:line="136" w:lineRule="exact"/>
              <w:rPr>
                <w:sz w:val="20"/>
                <w:szCs w:val="20"/>
                <w:color w:val="auto"/>
              </w:rPr>
            </w:pPr>
            <w:r>
              <w:rPr>
                <w:rFonts w:ascii="Arial" w:cs="Arial" w:eastAsia="Arial" w:hAnsi="Arial"/>
                <w:sz w:val="13"/>
                <w:szCs w:val="13"/>
                <w:b w:val="1"/>
                <w:bCs w:val="1"/>
                <w:color w:val="auto"/>
              </w:rPr>
              <w:t>Cash flow from investing activities</w:t>
            </w:r>
          </w:p>
        </w:tc>
        <w:tc>
          <w:tcPr>
            <w:tcW w:w="1240" w:type="dxa"/>
            <w:vAlign w:val="bottom"/>
            <w:tcBorders>
              <w:right w:val="single" w:sz="8" w:color="CCEEFF"/>
            </w:tcBorders>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80" w:type="dxa"/>
            <w:vAlign w:val="bottom"/>
            <w:tcBorders>
              <w:right w:val="single" w:sz="8" w:color="CCEEFF"/>
            </w:tcBorders>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80" w:type="dxa"/>
            <w:vAlign w:val="bottom"/>
            <w:tcBorders>
              <w:right w:val="single" w:sz="8" w:color="CCEEFF"/>
            </w:tcBorders>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180" w:type="dxa"/>
            <w:vAlign w:val="bottom"/>
          </w:tcPr>
          <w:p>
            <w:pPr>
              <w:ind w:left="220"/>
              <w:spacing w:after="0" w:line="136" w:lineRule="exact"/>
              <w:rPr>
                <w:sz w:val="20"/>
                <w:szCs w:val="20"/>
                <w:color w:val="auto"/>
              </w:rPr>
            </w:pPr>
            <w:r>
              <w:rPr>
                <w:rFonts w:ascii="Arial" w:cs="Arial" w:eastAsia="Arial" w:hAnsi="Arial"/>
                <w:sz w:val="13"/>
                <w:szCs w:val="13"/>
                <w:color w:val="auto"/>
              </w:rPr>
              <w:t>Capital expenditures</w:t>
            </w:r>
          </w:p>
        </w:tc>
        <w:tc>
          <w:tcPr>
            <w:tcW w:w="1240" w:type="dxa"/>
            <w:vAlign w:val="bottom"/>
          </w:tcPr>
          <w:p>
            <w:pPr>
              <w:spacing w:after="0"/>
              <w:rPr>
                <w:sz w:val="11"/>
                <w:szCs w:val="11"/>
                <w:color w:val="auto"/>
              </w:rPr>
            </w:pPr>
          </w:p>
        </w:tc>
        <w:tc>
          <w:tcPr>
            <w:tcW w:w="500" w:type="dxa"/>
            <w:vAlign w:val="bottom"/>
            <w:gridSpan w:val="2"/>
          </w:tcPr>
          <w:p>
            <w:pPr>
              <w:jc w:val="right"/>
              <w:ind w:right="120"/>
              <w:spacing w:after="0" w:line="136" w:lineRule="exact"/>
              <w:rPr>
                <w:sz w:val="20"/>
                <w:szCs w:val="20"/>
                <w:color w:val="auto"/>
              </w:rPr>
            </w:pPr>
            <w:r>
              <w:rPr>
                <w:rFonts w:ascii="Arial" w:cs="Arial" w:eastAsia="Arial" w:hAnsi="Arial"/>
                <w:sz w:val="13"/>
                <w:szCs w:val="13"/>
                <w:color w:val="auto"/>
              </w:rPr>
              <w:t>(78.7)</w:t>
            </w:r>
          </w:p>
        </w:tc>
        <w:tc>
          <w:tcPr>
            <w:tcW w:w="180" w:type="dxa"/>
            <w:vAlign w:val="bottom"/>
          </w:tcPr>
          <w:p>
            <w:pPr>
              <w:spacing w:after="0"/>
              <w:rPr>
                <w:sz w:val="11"/>
                <w:szCs w:val="11"/>
                <w:color w:val="auto"/>
              </w:rPr>
            </w:pPr>
          </w:p>
        </w:tc>
        <w:tc>
          <w:tcPr>
            <w:tcW w:w="480" w:type="dxa"/>
            <w:vAlign w:val="bottom"/>
            <w:gridSpan w:val="2"/>
          </w:tcPr>
          <w:p>
            <w:pPr>
              <w:jc w:val="right"/>
              <w:ind w:right="100"/>
              <w:spacing w:after="0" w:line="136" w:lineRule="exact"/>
              <w:rPr>
                <w:sz w:val="20"/>
                <w:szCs w:val="20"/>
                <w:color w:val="auto"/>
              </w:rPr>
            </w:pPr>
            <w:r>
              <w:rPr>
                <w:rFonts w:ascii="Arial" w:cs="Arial" w:eastAsia="Arial" w:hAnsi="Arial"/>
                <w:sz w:val="13"/>
                <w:szCs w:val="13"/>
                <w:color w:val="auto"/>
                <w:w w:val="87"/>
              </w:rPr>
              <w:t>(115.2)</w:t>
            </w:r>
          </w:p>
        </w:tc>
        <w:tc>
          <w:tcPr>
            <w:tcW w:w="180" w:type="dxa"/>
            <w:vAlign w:val="bottom"/>
          </w:tcPr>
          <w:p>
            <w:pPr>
              <w:spacing w:after="0"/>
              <w:rPr>
                <w:sz w:val="11"/>
                <w:szCs w:val="11"/>
                <w:color w:val="auto"/>
              </w:rPr>
            </w:pPr>
          </w:p>
        </w:tc>
        <w:tc>
          <w:tcPr>
            <w:tcW w:w="420" w:type="dxa"/>
            <w:vAlign w:val="bottom"/>
            <w:gridSpan w:val="2"/>
          </w:tcPr>
          <w:p>
            <w:pPr>
              <w:jc w:val="right"/>
              <w:ind w:right="40"/>
              <w:spacing w:after="0" w:line="136" w:lineRule="exact"/>
              <w:rPr>
                <w:sz w:val="20"/>
                <w:szCs w:val="20"/>
                <w:color w:val="auto"/>
              </w:rPr>
            </w:pPr>
            <w:r>
              <w:rPr>
                <w:rFonts w:ascii="Arial" w:cs="Arial" w:eastAsia="Arial" w:hAnsi="Arial"/>
                <w:sz w:val="13"/>
                <w:szCs w:val="13"/>
                <w:color w:val="auto"/>
              </w:rPr>
              <w:t>(25.3)</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180" w:type="dxa"/>
            <w:vAlign w:val="bottom"/>
            <w:shd w:val="clear" w:color="auto" w:fill="CCEEFF"/>
          </w:tcPr>
          <w:p>
            <w:pPr>
              <w:ind w:left="220"/>
              <w:spacing w:after="0" w:line="136" w:lineRule="exact"/>
              <w:rPr>
                <w:sz w:val="20"/>
                <w:szCs w:val="20"/>
                <w:color w:val="auto"/>
              </w:rPr>
            </w:pPr>
            <w:r>
              <w:rPr>
                <w:rFonts w:ascii="Arial" w:cs="Arial" w:eastAsia="Arial" w:hAnsi="Arial"/>
                <w:sz w:val="13"/>
                <w:szCs w:val="13"/>
                <w:color w:val="auto"/>
              </w:rPr>
              <w:t>Purchase of intangible assets</w:t>
            </w:r>
          </w:p>
        </w:tc>
        <w:tc>
          <w:tcPr>
            <w:tcW w:w="1240" w:type="dxa"/>
            <w:vAlign w:val="bottom"/>
            <w:tcBorders>
              <w:right w:val="single" w:sz="8" w:color="CCEEFF"/>
            </w:tcBorders>
            <w:shd w:val="clear" w:color="auto" w:fill="CCEEFF"/>
          </w:tcPr>
          <w:p>
            <w:pPr>
              <w:spacing w:after="0"/>
              <w:rPr>
                <w:sz w:val="11"/>
                <w:szCs w:val="11"/>
                <w:color w:val="auto"/>
              </w:rPr>
            </w:pPr>
          </w:p>
        </w:tc>
        <w:tc>
          <w:tcPr>
            <w:tcW w:w="500" w:type="dxa"/>
            <w:vAlign w:val="bottom"/>
            <w:gridSpan w:val="2"/>
            <w:shd w:val="clear" w:color="auto" w:fill="CCEEFF"/>
          </w:tcPr>
          <w:p>
            <w:pPr>
              <w:jc w:val="right"/>
              <w:ind w:right="120"/>
              <w:spacing w:after="0" w:line="136" w:lineRule="exact"/>
              <w:rPr>
                <w:sz w:val="20"/>
                <w:szCs w:val="20"/>
                <w:color w:val="auto"/>
              </w:rPr>
            </w:pPr>
            <w:r>
              <w:rPr>
                <w:rFonts w:ascii="Arial" w:cs="Arial" w:eastAsia="Arial" w:hAnsi="Arial"/>
                <w:sz w:val="13"/>
                <w:szCs w:val="13"/>
                <w:color w:val="auto"/>
              </w:rPr>
              <w:t>(4.6)</w:t>
            </w:r>
          </w:p>
        </w:tc>
        <w:tc>
          <w:tcPr>
            <w:tcW w:w="180" w:type="dxa"/>
            <w:vAlign w:val="bottom"/>
            <w:tcBorders>
              <w:right w:val="single" w:sz="8" w:color="CCEEFF"/>
            </w:tcBorders>
            <w:shd w:val="clear" w:color="auto" w:fill="CCEEFF"/>
          </w:tcPr>
          <w:p>
            <w:pPr>
              <w:spacing w:after="0"/>
              <w:rPr>
                <w:sz w:val="11"/>
                <w:szCs w:val="11"/>
                <w:color w:val="auto"/>
              </w:rPr>
            </w:pPr>
          </w:p>
        </w:tc>
        <w:tc>
          <w:tcPr>
            <w:tcW w:w="480" w:type="dxa"/>
            <w:vAlign w:val="bottom"/>
            <w:gridSpan w:val="2"/>
            <w:shd w:val="clear" w:color="auto" w:fill="CCEEFF"/>
          </w:tcPr>
          <w:p>
            <w:pPr>
              <w:jc w:val="right"/>
              <w:ind w:right="100"/>
              <w:spacing w:after="0" w:line="136" w:lineRule="exact"/>
              <w:rPr>
                <w:sz w:val="20"/>
                <w:szCs w:val="20"/>
                <w:color w:val="auto"/>
              </w:rPr>
            </w:pPr>
            <w:r>
              <w:rPr>
                <w:rFonts w:ascii="Arial" w:cs="Arial" w:eastAsia="Arial" w:hAnsi="Arial"/>
                <w:sz w:val="13"/>
                <w:szCs w:val="13"/>
                <w:color w:val="auto"/>
              </w:rPr>
              <w:t>(8.5)</w:t>
            </w:r>
          </w:p>
        </w:tc>
        <w:tc>
          <w:tcPr>
            <w:tcW w:w="180" w:type="dxa"/>
            <w:vAlign w:val="bottom"/>
            <w:tcBorders>
              <w:right w:val="single" w:sz="8" w:color="CCEEFF"/>
            </w:tcBorders>
            <w:shd w:val="clear" w:color="auto" w:fill="CCEEFF"/>
          </w:tcPr>
          <w:p>
            <w:pPr>
              <w:spacing w:after="0"/>
              <w:rPr>
                <w:sz w:val="11"/>
                <w:szCs w:val="11"/>
                <w:color w:val="auto"/>
              </w:rPr>
            </w:pPr>
          </w:p>
        </w:tc>
        <w:tc>
          <w:tcPr>
            <w:tcW w:w="420" w:type="dxa"/>
            <w:vAlign w:val="bottom"/>
            <w:gridSpan w:val="2"/>
            <w:shd w:val="clear" w:color="auto" w:fill="CCEEFF"/>
          </w:tcPr>
          <w:p>
            <w:pPr>
              <w:jc w:val="right"/>
              <w:ind w:right="40"/>
              <w:spacing w:after="0" w:line="136" w:lineRule="exact"/>
              <w:rPr>
                <w:sz w:val="20"/>
                <w:szCs w:val="20"/>
                <w:color w:val="auto"/>
              </w:rPr>
            </w:pPr>
            <w:r>
              <w:rPr>
                <w:rFonts w:ascii="Arial" w:cs="Arial" w:eastAsia="Arial" w:hAnsi="Arial"/>
                <w:sz w:val="13"/>
                <w:szCs w:val="13"/>
                <w:color w:val="auto"/>
              </w:rPr>
              <w:t>(0.8)</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180" w:type="dxa"/>
            <w:vAlign w:val="bottom"/>
          </w:tcPr>
          <w:p>
            <w:pPr>
              <w:ind w:left="220"/>
              <w:spacing w:after="0" w:line="136" w:lineRule="exact"/>
              <w:rPr>
                <w:sz w:val="20"/>
                <w:szCs w:val="20"/>
                <w:color w:val="auto"/>
              </w:rPr>
            </w:pPr>
            <w:r>
              <w:rPr>
                <w:rFonts w:ascii="Arial" w:cs="Arial" w:eastAsia="Arial" w:hAnsi="Arial"/>
                <w:sz w:val="13"/>
                <w:szCs w:val="13"/>
                <w:color w:val="auto"/>
              </w:rPr>
              <w:t>Cash received from equipment rebates</w:t>
            </w:r>
          </w:p>
        </w:tc>
        <w:tc>
          <w:tcPr>
            <w:tcW w:w="1240" w:type="dxa"/>
            <w:vAlign w:val="bottom"/>
          </w:tcPr>
          <w:p>
            <w:pPr>
              <w:spacing w:after="0"/>
              <w:rPr>
                <w:sz w:val="11"/>
                <w:szCs w:val="11"/>
                <w:color w:val="auto"/>
              </w:rPr>
            </w:pPr>
          </w:p>
        </w:tc>
        <w:tc>
          <w:tcPr>
            <w:tcW w:w="500" w:type="dxa"/>
            <w:vAlign w:val="bottom"/>
            <w:gridSpan w:val="2"/>
          </w:tcPr>
          <w:p>
            <w:pPr>
              <w:ind w:left="160"/>
              <w:spacing w:after="0" w:line="136" w:lineRule="exact"/>
              <w:rPr>
                <w:sz w:val="20"/>
                <w:szCs w:val="20"/>
                <w:color w:val="auto"/>
              </w:rPr>
            </w:pPr>
            <w:r>
              <w:rPr>
                <w:rFonts w:ascii="Arial" w:cs="Arial" w:eastAsia="Arial" w:hAnsi="Arial"/>
                <w:sz w:val="13"/>
                <w:szCs w:val="13"/>
                <w:color w:val="auto"/>
              </w:rPr>
              <w:t>—</w:t>
            </w:r>
          </w:p>
        </w:tc>
        <w:tc>
          <w:tcPr>
            <w:tcW w:w="180" w:type="dxa"/>
            <w:vAlign w:val="bottom"/>
          </w:tcPr>
          <w:p>
            <w:pPr>
              <w:spacing w:after="0"/>
              <w:rPr>
                <w:sz w:val="11"/>
                <w:szCs w:val="11"/>
                <w:color w:val="auto"/>
              </w:rPr>
            </w:pPr>
          </w:p>
        </w:tc>
        <w:tc>
          <w:tcPr>
            <w:tcW w:w="340" w:type="dxa"/>
            <w:vAlign w:val="bottom"/>
          </w:tcPr>
          <w:p>
            <w:pPr>
              <w:jc w:val="right"/>
              <w:spacing w:after="0" w:line="136" w:lineRule="exact"/>
              <w:rPr>
                <w:sz w:val="20"/>
                <w:szCs w:val="20"/>
                <w:color w:val="auto"/>
              </w:rPr>
            </w:pPr>
            <w:r>
              <w:rPr>
                <w:rFonts w:ascii="Arial" w:cs="Arial" w:eastAsia="Arial" w:hAnsi="Arial"/>
                <w:sz w:val="13"/>
                <w:szCs w:val="13"/>
                <w:color w:val="auto"/>
              </w:rPr>
              <w:t>3.6</w:t>
            </w: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40" w:type="dxa"/>
            <w:vAlign w:val="bottom"/>
          </w:tcPr>
          <w:p>
            <w:pPr>
              <w:jc w:val="right"/>
              <w:spacing w:after="0" w:line="136" w:lineRule="exact"/>
              <w:rPr>
                <w:sz w:val="20"/>
                <w:szCs w:val="20"/>
                <w:color w:val="auto"/>
              </w:rPr>
            </w:pPr>
            <w:r>
              <w:rPr>
                <w:rFonts w:ascii="Arial" w:cs="Arial" w:eastAsia="Arial" w:hAnsi="Arial"/>
                <w:sz w:val="13"/>
                <w:szCs w:val="13"/>
                <w:color w:val="auto"/>
              </w:rPr>
              <w:t>2.2</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180" w:type="dxa"/>
            <w:vAlign w:val="bottom"/>
            <w:shd w:val="clear" w:color="auto" w:fill="CCEEFF"/>
          </w:tcPr>
          <w:p>
            <w:pPr>
              <w:ind w:left="220"/>
              <w:spacing w:after="0" w:line="136" w:lineRule="exact"/>
              <w:rPr>
                <w:sz w:val="20"/>
                <w:szCs w:val="20"/>
                <w:color w:val="auto"/>
              </w:rPr>
            </w:pPr>
            <w:r>
              <w:rPr>
                <w:rFonts w:ascii="Arial" w:cs="Arial" w:eastAsia="Arial" w:hAnsi="Arial"/>
                <w:sz w:val="13"/>
                <w:szCs w:val="13"/>
                <w:color w:val="auto"/>
              </w:rPr>
              <w:t>Business acquisitions, net of cash acquired</w:t>
            </w:r>
          </w:p>
        </w:tc>
        <w:tc>
          <w:tcPr>
            <w:tcW w:w="1240" w:type="dxa"/>
            <w:vAlign w:val="bottom"/>
            <w:tcBorders>
              <w:right w:val="single" w:sz="8" w:color="CCEEFF"/>
            </w:tcBorders>
            <w:shd w:val="clear" w:color="auto" w:fill="CCEEFF"/>
          </w:tcPr>
          <w:p>
            <w:pPr>
              <w:spacing w:after="0"/>
              <w:rPr>
                <w:sz w:val="11"/>
                <w:szCs w:val="11"/>
                <w:color w:val="auto"/>
              </w:rPr>
            </w:pPr>
          </w:p>
        </w:tc>
        <w:tc>
          <w:tcPr>
            <w:tcW w:w="500" w:type="dxa"/>
            <w:vAlign w:val="bottom"/>
            <w:gridSpan w:val="2"/>
            <w:shd w:val="clear" w:color="auto" w:fill="CCEEFF"/>
          </w:tcPr>
          <w:p>
            <w:pPr>
              <w:jc w:val="right"/>
              <w:ind w:right="120"/>
              <w:spacing w:after="0" w:line="136" w:lineRule="exact"/>
              <w:rPr>
                <w:sz w:val="20"/>
                <w:szCs w:val="20"/>
                <w:color w:val="auto"/>
              </w:rPr>
            </w:pPr>
            <w:r>
              <w:rPr>
                <w:rFonts w:ascii="Arial" w:cs="Arial" w:eastAsia="Arial" w:hAnsi="Arial"/>
                <w:sz w:val="13"/>
                <w:szCs w:val="13"/>
                <w:color w:val="auto"/>
              </w:rPr>
              <w:t>(2.3)</w:t>
            </w:r>
          </w:p>
        </w:tc>
        <w:tc>
          <w:tcPr>
            <w:tcW w:w="180" w:type="dxa"/>
            <w:vAlign w:val="bottom"/>
            <w:tcBorders>
              <w:right w:val="single" w:sz="8" w:color="CCEEFF"/>
            </w:tcBorders>
            <w:shd w:val="clear" w:color="auto" w:fill="CCEEFF"/>
          </w:tcPr>
          <w:p>
            <w:pPr>
              <w:spacing w:after="0"/>
              <w:rPr>
                <w:sz w:val="11"/>
                <w:szCs w:val="11"/>
                <w:color w:val="auto"/>
              </w:rPr>
            </w:pPr>
          </w:p>
        </w:tc>
        <w:tc>
          <w:tcPr>
            <w:tcW w:w="480" w:type="dxa"/>
            <w:vAlign w:val="bottom"/>
            <w:gridSpan w:val="2"/>
            <w:shd w:val="clear" w:color="auto" w:fill="CCEEFF"/>
          </w:tcPr>
          <w:p>
            <w:pPr>
              <w:jc w:val="right"/>
              <w:ind w:right="220"/>
              <w:spacing w:after="0" w:line="136" w:lineRule="exact"/>
              <w:rPr>
                <w:sz w:val="20"/>
                <w:szCs w:val="20"/>
                <w:color w:val="auto"/>
              </w:rPr>
            </w:pPr>
            <w:r>
              <w:rPr>
                <w:rFonts w:ascii="Arial" w:cs="Arial" w:eastAsia="Arial" w:hAnsi="Arial"/>
                <w:sz w:val="13"/>
                <w:szCs w:val="13"/>
                <w:color w:val="auto"/>
              </w:rPr>
              <w:t>—</w:t>
            </w:r>
          </w:p>
        </w:tc>
        <w:tc>
          <w:tcPr>
            <w:tcW w:w="180" w:type="dxa"/>
            <w:vAlign w:val="bottom"/>
            <w:tcBorders>
              <w:right w:val="single" w:sz="8" w:color="CCEEFF"/>
            </w:tcBorders>
            <w:shd w:val="clear" w:color="auto" w:fill="CCEEFF"/>
          </w:tcPr>
          <w:p>
            <w:pPr>
              <w:spacing w:after="0"/>
              <w:rPr>
                <w:sz w:val="11"/>
                <w:szCs w:val="11"/>
                <w:color w:val="auto"/>
              </w:rPr>
            </w:pPr>
          </w:p>
        </w:tc>
        <w:tc>
          <w:tcPr>
            <w:tcW w:w="420" w:type="dxa"/>
            <w:vAlign w:val="bottom"/>
            <w:gridSpan w:val="2"/>
            <w:shd w:val="clear" w:color="auto" w:fill="CCEEFF"/>
          </w:tcPr>
          <w:p>
            <w:pPr>
              <w:jc w:val="right"/>
              <w:ind w:right="140"/>
              <w:spacing w:after="0" w:line="136"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6180" w:type="dxa"/>
            <w:vAlign w:val="bottom"/>
          </w:tcPr>
          <w:p>
            <w:pPr>
              <w:ind w:left="220"/>
              <w:spacing w:after="0" w:line="136" w:lineRule="exact"/>
              <w:rPr>
                <w:sz w:val="20"/>
                <w:szCs w:val="20"/>
                <w:color w:val="auto"/>
              </w:rPr>
            </w:pPr>
            <w:r>
              <w:rPr>
                <w:rFonts w:ascii="Arial" w:cs="Arial" w:eastAsia="Arial" w:hAnsi="Arial"/>
                <w:sz w:val="13"/>
                <w:szCs w:val="13"/>
                <w:color w:val="auto"/>
              </w:rPr>
              <w:t>Cash received from sales of equipment</w:t>
            </w:r>
          </w:p>
        </w:tc>
        <w:tc>
          <w:tcPr>
            <w:tcW w:w="1240" w:type="dxa"/>
            <w:vAlign w:val="bottom"/>
          </w:tcPr>
          <w:p>
            <w:pPr>
              <w:spacing w:after="0"/>
              <w:rPr>
                <w:sz w:val="11"/>
                <w:szCs w:val="11"/>
                <w:color w:val="auto"/>
              </w:rPr>
            </w:pPr>
          </w:p>
        </w:tc>
        <w:tc>
          <w:tcPr>
            <w:tcW w:w="360" w:type="dxa"/>
            <w:vAlign w:val="bottom"/>
            <w:tcBorders>
              <w:bottom w:val="single" w:sz="8" w:color="auto"/>
            </w:tcBorders>
          </w:tcPr>
          <w:p>
            <w:pPr>
              <w:ind w:left="160"/>
              <w:spacing w:after="0" w:line="136"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40" w:type="dxa"/>
            <w:vAlign w:val="bottom"/>
            <w:tcBorders>
              <w:bottom w:val="single" w:sz="8" w:color="auto"/>
            </w:tcBorders>
          </w:tcPr>
          <w:p>
            <w:pPr>
              <w:jc w:val="right"/>
              <w:spacing w:after="0" w:line="136" w:lineRule="exact"/>
              <w:rPr>
                <w:sz w:val="20"/>
                <w:szCs w:val="20"/>
                <w:color w:val="auto"/>
              </w:rPr>
            </w:pPr>
            <w:r>
              <w:rPr>
                <w:rFonts w:ascii="Arial" w:cs="Arial" w:eastAsia="Arial" w:hAnsi="Arial"/>
                <w:sz w:val="13"/>
                <w:szCs w:val="13"/>
                <w:color w:val="auto"/>
              </w:rPr>
              <w:t>2.1</w:t>
            </w: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40" w:type="dxa"/>
            <w:vAlign w:val="bottom"/>
            <w:tcBorders>
              <w:bottom w:val="single" w:sz="8" w:color="auto"/>
            </w:tcBorders>
          </w:tcPr>
          <w:p>
            <w:pPr>
              <w:jc w:val="right"/>
              <w:spacing w:after="0" w:line="136"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180" w:type="dxa"/>
            <w:vAlign w:val="bottom"/>
            <w:shd w:val="clear" w:color="auto" w:fill="CCEEFF"/>
          </w:tcPr>
          <w:p>
            <w:pPr>
              <w:spacing w:after="0" w:line="136" w:lineRule="exact"/>
              <w:rPr>
                <w:sz w:val="20"/>
                <w:szCs w:val="20"/>
                <w:color w:val="auto"/>
              </w:rPr>
            </w:pPr>
            <w:r>
              <w:rPr>
                <w:rFonts w:ascii="Arial" w:cs="Arial" w:eastAsia="Arial" w:hAnsi="Arial"/>
                <w:sz w:val="13"/>
                <w:szCs w:val="13"/>
                <w:b w:val="1"/>
                <w:bCs w:val="1"/>
                <w:color w:val="auto"/>
              </w:rPr>
              <w:t>Net cash used in investing activities</w:t>
            </w:r>
          </w:p>
        </w:tc>
        <w:tc>
          <w:tcPr>
            <w:tcW w:w="1240" w:type="dxa"/>
            <w:vAlign w:val="bottom"/>
            <w:tcBorders>
              <w:right w:val="single" w:sz="8" w:color="CCEEFF"/>
            </w:tcBorders>
            <w:shd w:val="clear" w:color="auto" w:fill="CCEEFF"/>
          </w:tcPr>
          <w:p>
            <w:pPr>
              <w:spacing w:after="0"/>
              <w:rPr>
                <w:sz w:val="11"/>
                <w:szCs w:val="11"/>
                <w:color w:val="auto"/>
              </w:rPr>
            </w:pPr>
          </w:p>
        </w:tc>
        <w:tc>
          <w:tcPr>
            <w:tcW w:w="500" w:type="dxa"/>
            <w:vAlign w:val="bottom"/>
            <w:gridSpan w:val="2"/>
            <w:shd w:val="clear" w:color="auto" w:fill="CCEEFF"/>
          </w:tcPr>
          <w:p>
            <w:pPr>
              <w:jc w:val="right"/>
              <w:ind w:right="120"/>
              <w:spacing w:after="0" w:line="136" w:lineRule="exact"/>
              <w:rPr>
                <w:sz w:val="20"/>
                <w:szCs w:val="20"/>
                <w:color w:val="auto"/>
              </w:rPr>
            </w:pPr>
            <w:r>
              <w:rPr>
                <w:rFonts w:ascii="Arial" w:cs="Arial" w:eastAsia="Arial" w:hAnsi="Arial"/>
                <w:sz w:val="13"/>
                <w:szCs w:val="13"/>
                <w:color w:val="auto"/>
              </w:rPr>
              <w:t>(85.6)</w:t>
            </w:r>
          </w:p>
        </w:tc>
        <w:tc>
          <w:tcPr>
            <w:tcW w:w="180" w:type="dxa"/>
            <w:vAlign w:val="bottom"/>
            <w:tcBorders>
              <w:right w:val="single" w:sz="8" w:color="CCEEFF"/>
            </w:tcBorders>
            <w:shd w:val="clear" w:color="auto" w:fill="CCEEFF"/>
          </w:tcPr>
          <w:p>
            <w:pPr>
              <w:spacing w:after="0"/>
              <w:rPr>
                <w:sz w:val="11"/>
                <w:szCs w:val="11"/>
                <w:color w:val="auto"/>
              </w:rPr>
            </w:pPr>
          </w:p>
        </w:tc>
        <w:tc>
          <w:tcPr>
            <w:tcW w:w="480" w:type="dxa"/>
            <w:vAlign w:val="bottom"/>
            <w:gridSpan w:val="2"/>
            <w:shd w:val="clear" w:color="auto" w:fill="CCEEFF"/>
          </w:tcPr>
          <w:p>
            <w:pPr>
              <w:jc w:val="right"/>
              <w:ind w:right="100"/>
              <w:spacing w:after="0" w:line="136" w:lineRule="exact"/>
              <w:rPr>
                <w:sz w:val="20"/>
                <w:szCs w:val="20"/>
                <w:color w:val="auto"/>
              </w:rPr>
            </w:pPr>
            <w:r>
              <w:rPr>
                <w:rFonts w:ascii="Arial" w:cs="Arial" w:eastAsia="Arial" w:hAnsi="Arial"/>
                <w:sz w:val="13"/>
                <w:szCs w:val="13"/>
                <w:color w:val="auto"/>
                <w:w w:val="87"/>
              </w:rPr>
              <w:t>(118.0)</w:t>
            </w:r>
          </w:p>
        </w:tc>
        <w:tc>
          <w:tcPr>
            <w:tcW w:w="180" w:type="dxa"/>
            <w:vAlign w:val="bottom"/>
            <w:tcBorders>
              <w:right w:val="single" w:sz="8" w:color="CCEEFF"/>
            </w:tcBorders>
            <w:shd w:val="clear" w:color="auto" w:fill="CCEEFF"/>
          </w:tcPr>
          <w:p>
            <w:pPr>
              <w:spacing w:after="0"/>
              <w:rPr>
                <w:sz w:val="11"/>
                <w:szCs w:val="11"/>
                <w:color w:val="auto"/>
              </w:rPr>
            </w:pPr>
          </w:p>
        </w:tc>
        <w:tc>
          <w:tcPr>
            <w:tcW w:w="420" w:type="dxa"/>
            <w:vAlign w:val="bottom"/>
            <w:gridSpan w:val="2"/>
            <w:shd w:val="clear" w:color="auto" w:fill="CCEEFF"/>
          </w:tcPr>
          <w:p>
            <w:pPr>
              <w:jc w:val="right"/>
              <w:ind w:right="40"/>
              <w:spacing w:after="0" w:line="136" w:lineRule="exact"/>
              <w:rPr>
                <w:sz w:val="20"/>
                <w:szCs w:val="20"/>
                <w:color w:val="auto"/>
              </w:rPr>
            </w:pPr>
            <w:r>
              <w:rPr>
                <w:rFonts w:ascii="Arial" w:cs="Arial" w:eastAsia="Arial" w:hAnsi="Arial"/>
                <w:sz w:val="13"/>
                <w:szCs w:val="13"/>
                <w:color w:val="auto"/>
              </w:rPr>
              <w:t>(23.9)</w:t>
            </w:r>
          </w:p>
        </w:tc>
        <w:tc>
          <w:tcPr>
            <w:tcW w:w="0" w:type="dxa"/>
            <w:vAlign w:val="bottom"/>
          </w:tcPr>
          <w:p>
            <w:pPr>
              <w:spacing w:after="0"/>
              <w:rPr>
                <w:sz w:val="1"/>
                <w:szCs w:val="1"/>
                <w:color w:val="auto"/>
              </w:rPr>
            </w:pPr>
          </w:p>
        </w:tc>
      </w:tr>
      <w:tr>
        <w:trPr>
          <w:trHeight w:val="138"/>
        </w:trPr>
        <w:tc>
          <w:tcPr>
            <w:tcW w:w="6200" w:type="dxa"/>
            <w:vAlign w:val="bottom"/>
            <w:gridSpan w:val="2"/>
          </w:tcPr>
          <w:p>
            <w:pPr>
              <w:spacing w:after="0" w:line="138" w:lineRule="exact"/>
              <w:rPr>
                <w:sz w:val="20"/>
                <w:szCs w:val="20"/>
                <w:color w:val="auto"/>
              </w:rPr>
            </w:pPr>
            <w:r>
              <w:rPr>
                <w:rFonts w:ascii="Arial" w:cs="Arial" w:eastAsia="Arial" w:hAnsi="Arial"/>
                <w:sz w:val="13"/>
                <w:szCs w:val="13"/>
                <w:b w:val="1"/>
                <w:bCs w:val="1"/>
                <w:color w:val="auto"/>
              </w:rPr>
              <w:t>Cash flow from financing activities</w:t>
            </w:r>
          </w:p>
        </w:tc>
        <w:tc>
          <w:tcPr>
            <w:tcW w:w="1240" w:type="dxa"/>
            <w:vAlign w:val="bottom"/>
          </w:tcPr>
          <w:p>
            <w:pPr>
              <w:spacing w:after="0"/>
              <w:rPr>
                <w:sz w:val="11"/>
                <w:szCs w:val="11"/>
                <w:color w:val="auto"/>
              </w:rPr>
            </w:pPr>
          </w:p>
        </w:tc>
        <w:tc>
          <w:tcPr>
            <w:tcW w:w="36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4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4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180" w:type="dxa"/>
            <w:vAlign w:val="bottom"/>
            <w:shd w:val="clear" w:color="auto" w:fill="CCEEFF"/>
          </w:tcPr>
          <w:p>
            <w:pPr>
              <w:ind w:left="220"/>
              <w:spacing w:after="0" w:line="136" w:lineRule="exact"/>
              <w:rPr>
                <w:sz w:val="20"/>
                <w:szCs w:val="20"/>
                <w:color w:val="auto"/>
              </w:rPr>
            </w:pPr>
            <w:r>
              <w:rPr>
                <w:rFonts w:ascii="Arial" w:cs="Arial" w:eastAsia="Arial" w:hAnsi="Arial"/>
                <w:sz w:val="13"/>
                <w:szCs w:val="13"/>
                <w:color w:val="auto"/>
              </w:rPr>
              <w:t>Principal payments on capital lease obligations</w:t>
            </w:r>
            <w:r>
              <w:rPr>
                <w:rFonts w:ascii="Arial" w:cs="Arial" w:eastAsia="Arial" w:hAnsi="Arial"/>
                <w:sz w:val="10"/>
                <w:szCs w:val="10"/>
                <w:color w:val="auto"/>
              </w:rPr>
              <w:t>(1)</w:t>
            </w:r>
          </w:p>
        </w:tc>
        <w:tc>
          <w:tcPr>
            <w:tcW w:w="1240" w:type="dxa"/>
            <w:vAlign w:val="bottom"/>
            <w:tcBorders>
              <w:right w:val="single" w:sz="8" w:color="CCEEFF"/>
            </w:tcBorders>
            <w:shd w:val="clear" w:color="auto" w:fill="CCEEFF"/>
          </w:tcPr>
          <w:p>
            <w:pPr>
              <w:spacing w:after="0"/>
              <w:rPr>
                <w:sz w:val="11"/>
                <w:szCs w:val="11"/>
                <w:color w:val="auto"/>
              </w:rPr>
            </w:pPr>
          </w:p>
        </w:tc>
        <w:tc>
          <w:tcPr>
            <w:tcW w:w="500" w:type="dxa"/>
            <w:vAlign w:val="bottom"/>
            <w:gridSpan w:val="2"/>
            <w:shd w:val="clear" w:color="auto" w:fill="CCEEFF"/>
          </w:tcPr>
          <w:p>
            <w:pPr>
              <w:jc w:val="right"/>
              <w:ind w:right="120"/>
              <w:spacing w:after="0" w:line="136" w:lineRule="exact"/>
              <w:rPr>
                <w:sz w:val="20"/>
                <w:szCs w:val="20"/>
                <w:color w:val="auto"/>
              </w:rPr>
            </w:pPr>
            <w:r>
              <w:rPr>
                <w:rFonts w:ascii="Arial" w:cs="Arial" w:eastAsia="Arial" w:hAnsi="Arial"/>
                <w:sz w:val="13"/>
                <w:szCs w:val="13"/>
                <w:color w:val="auto"/>
                <w:w w:val="87"/>
              </w:rPr>
              <w:t>(101.2)</w:t>
            </w:r>
          </w:p>
        </w:tc>
        <w:tc>
          <w:tcPr>
            <w:tcW w:w="180" w:type="dxa"/>
            <w:vAlign w:val="bottom"/>
            <w:tcBorders>
              <w:right w:val="single" w:sz="8" w:color="CCEEFF"/>
            </w:tcBorders>
            <w:shd w:val="clear" w:color="auto" w:fill="CCEEFF"/>
          </w:tcPr>
          <w:p>
            <w:pPr>
              <w:spacing w:after="0"/>
              <w:rPr>
                <w:sz w:val="11"/>
                <w:szCs w:val="11"/>
                <w:color w:val="auto"/>
              </w:rPr>
            </w:pPr>
          </w:p>
        </w:tc>
        <w:tc>
          <w:tcPr>
            <w:tcW w:w="480" w:type="dxa"/>
            <w:vAlign w:val="bottom"/>
            <w:gridSpan w:val="2"/>
            <w:shd w:val="clear" w:color="auto" w:fill="CCEEFF"/>
          </w:tcPr>
          <w:p>
            <w:pPr>
              <w:jc w:val="right"/>
              <w:ind w:right="100"/>
              <w:spacing w:after="0" w:line="136" w:lineRule="exact"/>
              <w:rPr>
                <w:sz w:val="20"/>
                <w:szCs w:val="20"/>
                <w:color w:val="auto"/>
              </w:rPr>
            </w:pPr>
            <w:r>
              <w:rPr>
                <w:rFonts w:ascii="Arial" w:cs="Arial" w:eastAsia="Arial" w:hAnsi="Arial"/>
                <w:sz w:val="13"/>
                <w:szCs w:val="13"/>
                <w:color w:val="auto"/>
                <w:w w:val="87"/>
              </w:rPr>
              <w:t>(137.9)</w:t>
            </w:r>
          </w:p>
        </w:tc>
        <w:tc>
          <w:tcPr>
            <w:tcW w:w="180" w:type="dxa"/>
            <w:vAlign w:val="bottom"/>
            <w:tcBorders>
              <w:right w:val="single" w:sz="8" w:color="CCEEFF"/>
            </w:tcBorders>
            <w:shd w:val="clear" w:color="auto" w:fill="CCEEFF"/>
          </w:tcPr>
          <w:p>
            <w:pPr>
              <w:spacing w:after="0"/>
              <w:rPr>
                <w:sz w:val="11"/>
                <w:szCs w:val="11"/>
                <w:color w:val="auto"/>
              </w:rPr>
            </w:pPr>
          </w:p>
        </w:tc>
        <w:tc>
          <w:tcPr>
            <w:tcW w:w="420" w:type="dxa"/>
            <w:vAlign w:val="bottom"/>
            <w:gridSpan w:val="2"/>
            <w:shd w:val="clear" w:color="auto" w:fill="CCEEFF"/>
          </w:tcPr>
          <w:p>
            <w:pPr>
              <w:jc w:val="right"/>
              <w:ind w:right="40"/>
              <w:spacing w:after="0" w:line="136" w:lineRule="exact"/>
              <w:rPr>
                <w:sz w:val="20"/>
                <w:szCs w:val="20"/>
                <w:color w:val="auto"/>
              </w:rPr>
            </w:pPr>
            <w:r>
              <w:rPr>
                <w:rFonts w:ascii="Arial" w:cs="Arial" w:eastAsia="Arial" w:hAnsi="Arial"/>
                <w:sz w:val="13"/>
                <w:szCs w:val="13"/>
                <w:color w:val="auto"/>
                <w:w w:val="87"/>
              </w:rPr>
              <w:t>(133.0)</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180" w:type="dxa"/>
            <w:vAlign w:val="bottom"/>
          </w:tcPr>
          <w:p>
            <w:pPr>
              <w:ind w:left="220"/>
              <w:spacing w:after="0" w:line="136" w:lineRule="exact"/>
              <w:rPr>
                <w:sz w:val="20"/>
                <w:szCs w:val="20"/>
                <w:color w:val="auto"/>
              </w:rPr>
            </w:pPr>
            <w:r>
              <w:rPr>
                <w:rFonts w:ascii="Arial" w:cs="Arial" w:eastAsia="Arial" w:hAnsi="Arial"/>
                <w:sz w:val="13"/>
                <w:szCs w:val="13"/>
                <w:color w:val="auto"/>
              </w:rPr>
              <w:t>Principal payments against note payable</w:t>
            </w:r>
          </w:p>
        </w:tc>
        <w:tc>
          <w:tcPr>
            <w:tcW w:w="1240" w:type="dxa"/>
            <w:vAlign w:val="bottom"/>
          </w:tcPr>
          <w:p>
            <w:pPr>
              <w:spacing w:after="0"/>
              <w:rPr>
                <w:sz w:val="11"/>
                <w:szCs w:val="11"/>
                <w:color w:val="auto"/>
              </w:rPr>
            </w:pPr>
          </w:p>
        </w:tc>
        <w:tc>
          <w:tcPr>
            <w:tcW w:w="500" w:type="dxa"/>
            <w:vAlign w:val="bottom"/>
            <w:gridSpan w:val="2"/>
          </w:tcPr>
          <w:p>
            <w:pPr>
              <w:ind w:left="160"/>
              <w:spacing w:after="0" w:line="136" w:lineRule="exact"/>
              <w:rPr>
                <w:sz w:val="20"/>
                <w:szCs w:val="20"/>
                <w:color w:val="auto"/>
              </w:rPr>
            </w:pPr>
            <w:r>
              <w:rPr>
                <w:rFonts w:ascii="Arial" w:cs="Arial" w:eastAsia="Arial" w:hAnsi="Arial"/>
                <w:sz w:val="13"/>
                <w:szCs w:val="13"/>
                <w:color w:val="auto"/>
              </w:rPr>
              <w:t>—</w:t>
            </w:r>
          </w:p>
        </w:tc>
        <w:tc>
          <w:tcPr>
            <w:tcW w:w="180" w:type="dxa"/>
            <w:vAlign w:val="bottom"/>
          </w:tcPr>
          <w:p>
            <w:pPr>
              <w:spacing w:after="0"/>
              <w:rPr>
                <w:sz w:val="11"/>
                <w:szCs w:val="11"/>
                <w:color w:val="auto"/>
              </w:rPr>
            </w:pPr>
          </w:p>
        </w:tc>
        <w:tc>
          <w:tcPr>
            <w:tcW w:w="480" w:type="dxa"/>
            <w:vAlign w:val="bottom"/>
            <w:gridSpan w:val="2"/>
          </w:tcPr>
          <w:p>
            <w:pPr>
              <w:jc w:val="right"/>
              <w:ind w:right="100"/>
              <w:spacing w:after="0" w:line="136" w:lineRule="exact"/>
              <w:rPr>
                <w:sz w:val="20"/>
                <w:szCs w:val="20"/>
                <w:color w:val="auto"/>
              </w:rPr>
            </w:pPr>
            <w:r>
              <w:rPr>
                <w:rFonts w:ascii="Arial" w:cs="Arial" w:eastAsia="Arial" w:hAnsi="Arial"/>
                <w:sz w:val="13"/>
                <w:szCs w:val="13"/>
                <w:color w:val="auto"/>
              </w:rPr>
              <w:t>(3.8)</w:t>
            </w:r>
          </w:p>
        </w:tc>
        <w:tc>
          <w:tcPr>
            <w:tcW w:w="180" w:type="dxa"/>
            <w:vAlign w:val="bottom"/>
          </w:tcPr>
          <w:p>
            <w:pPr>
              <w:spacing w:after="0"/>
              <w:rPr>
                <w:sz w:val="11"/>
                <w:szCs w:val="11"/>
                <w:color w:val="auto"/>
              </w:rPr>
            </w:pPr>
          </w:p>
        </w:tc>
        <w:tc>
          <w:tcPr>
            <w:tcW w:w="420" w:type="dxa"/>
            <w:vAlign w:val="bottom"/>
            <w:gridSpan w:val="2"/>
          </w:tcPr>
          <w:p>
            <w:pPr>
              <w:jc w:val="right"/>
              <w:ind w:right="40"/>
              <w:spacing w:after="0" w:line="136" w:lineRule="exact"/>
              <w:rPr>
                <w:sz w:val="20"/>
                <w:szCs w:val="20"/>
                <w:color w:val="auto"/>
              </w:rPr>
            </w:pPr>
            <w:r>
              <w:rPr>
                <w:rFonts w:ascii="Arial" w:cs="Arial" w:eastAsia="Arial" w:hAnsi="Arial"/>
                <w:sz w:val="13"/>
                <w:szCs w:val="13"/>
                <w:color w:val="auto"/>
              </w:rPr>
              <w:t>(3.9)</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180" w:type="dxa"/>
            <w:vAlign w:val="bottom"/>
            <w:shd w:val="clear" w:color="auto" w:fill="CCEEFF"/>
          </w:tcPr>
          <w:p>
            <w:pPr>
              <w:ind w:left="220"/>
              <w:spacing w:after="0" w:line="136" w:lineRule="exact"/>
              <w:rPr>
                <w:sz w:val="20"/>
                <w:szCs w:val="20"/>
                <w:color w:val="auto"/>
              </w:rPr>
            </w:pPr>
            <w:r>
              <w:rPr>
                <w:rFonts w:ascii="Arial" w:cs="Arial" w:eastAsia="Arial" w:hAnsi="Arial"/>
                <w:sz w:val="13"/>
                <w:szCs w:val="13"/>
                <w:color w:val="auto"/>
              </w:rPr>
              <w:t>Principal payments against financing lease obligation</w:t>
            </w:r>
          </w:p>
        </w:tc>
        <w:tc>
          <w:tcPr>
            <w:tcW w:w="1240" w:type="dxa"/>
            <w:vAlign w:val="bottom"/>
            <w:tcBorders>
              <w:right w:val="single" w:sz="8" w:color="CCEEFF"/>
            </w:tcBorders>
            <w:shd w:val="clear" w:color="auto" w:fill="CCEEFF"/>
          </w:tcPr>
          <w:p>
            <w:pPr>
              <w:spacing w:after="0"/>
              <w:rPr>
                <w:sz w:val="11"/>
                <w:szCs w:val="11"/>
                <w:color w:val="auto"/>
              </w:rPr>
            </w:pPr>
          </w:p>
        </w:tc>
        <w:tc>
          <w:tcPr>
            <w:tcW w:w="500" w:type="dxa"/>
            <w:vAlign w:val="bottom"/>
            <w:gridSpan w:val="2"/>
            <w:shd w:val="clear" w:color="auto" w:fill="CCEEFF"/>
          </w:tcPr>
          <w:p>
            <w:pPr>
              <w:jc w:val="right"/>
              <w:ind w:right="120"/>
              <w:spacing w:after="0" w:line="136" w:lineRule="exact"/>
              <w:rPr>
                <w:sz w:val="20"/>
                <w:szCs w:val="20"/>
                <w:color w:val="auto"/>
              </w:rPr>
            </w:pPr>
            <w:r>
              <w:rPr>
                <w:rFonts w:ascii="Arial" w:cs="Arial" w:eastAsia="Arial" w:hAnsi="Arial"/>
                <w:sz w:val="13"/>
                <w:szCs w:val="13"/>
                <w:color w:val="auto"/>
              </w:rPr>
              <w:t>(1.8)</w:t>
            </w:r>
          </w:p>
        </w:tc>
        <w:tc>
          <w:tcPr>
            <w:tcW w:w="180" w:type="dxa"/>
            <w:vAlign w:val="bottom"/>
            <w:tcBorders>
              <w:right w:val="single" w:sz="8" w:color="CCEEFF"/>
            </w:tcBorders>
            <w:shd w:val="clear" w:color="auto" w:fill="CCEEFF"/>
          </w:tcPr>
          <w:p>
            <w:pPr>
              <w:spacing w:after="0"/>
              <w:rPr>
                <w:sz w:val="11"/>
                <w:szCs w:val="11"/>
                <w:color w:val="auto"/>
              </w:rPr>
            </w:pPr>
          </w:p>
        </w:tc>
        <w:tc>
          <w:tcPr>
            <w:tcW w:w="480" w:type="dxa"/>
            <w:vAlign w:val="bottom"/>
            <w:gridSpan w:val="2"/>
            <w:shd w:val="clear" w:color="auto" w:fill="CCEEFF"/>
          </w:tcPr>
          <w:p>
            <w:pPr>
              <w:jc w:val="right"/>
              <w:ind w:right="100"/>
              <w:spacing w:after="0" w:line="136" w:lineRule="exact"/>
              <w:rPr>
                <w:sz w:val="20"/>
                <w:szCs w:val="20"/>
                <w:color w:val="auto"/>
              </w:rPr>
            </w:pPr>
            <w:r>
              <w:rPr>
                <w:rFonts w:ascii="Arial" w:cs="Arial" w:eastAsia="Arial" w:hAnsi="Arial"/>
                <w:sz w:val="13"/>
                <w:szCs w:val="13"/>
                <w:color w:val="auto"/>
              </w:rPr>
              <w:t>(1.6)</w:t>
            </w:r>
          </w:p>
        </w:tc>
        <w:tc>
          <w:tcPr>
            <w:tcW w:w="180" w:type="dxa"/>
            <w:vAlign w:val="bottom"/>
            <w:tcBorders>
              <w:right w:val="single" w:sz="8" w:color="CCEEFF"/>
            </w:tcBorders>
            <w:shd w:val="clear" w:color="auto" w:fill="CCEEFF"/>
          </w:tcPr>
          <w:p>
            <w:pPr>
              <w:spacing w:after="0"/>
              <w:rPr>
                <w:sz w:val="11"/>
                <w:szCs w:val="11"/>
                <w:color w:val="auto"/>
              </w:rPr>
            </w:pPr>
          </w:p>
        </w:tc>
        <w:tc>
          <w:tcPr>
            <w:tcW w:w="420" w:type="dxa"/>
            <w:vAlign w:val="bottom"/>
            <w:gridSpan w:val="2"/>
            <w:shd w:val="clear" w:color="auto" w:fill="CCEEFF"/>
          </w:tcPr>
          <w:p>
            <w:pPr>
              <w:jc w:val="right"/>
              <w:ind w:right="40"/>
              <w:spacing w:after="0" w:line="136" w:lineRule="exact"/>
              <w:rPr>
                <w:sz w:val="20"/>
                <w:szCs w:val="20"/>
                <w:color w:val="auto"/>
              </w:rPr>
            </w:pPr>
            <w:r>
              <w:rPr>
                <w:rFonts w:ascii="Arial" w:cs="Arial" w:eastAsia="Arial" w:hAnsi="Arial"/>
                <w:sz w:val="13"/>
                <w:szCs w:val="13"/>
                <w:color w:val="auto"/>
              </w:rPr>
              <w:t>(2.3)</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180" w:type="dxa"/>
            <w:vAlign w:val="bottom"/>
          </w:tcPr>
          <w:p>
            <w:pPr>
              <w:ind w:left="220"/>
              <w:spacing w:after="0" w:line="136" w:lineRule="exact"/>
              <w:rPr>
                <w:sz w:val="20"/>
                <w:szCs w:val="20"/>
                <w:color w:val="auto"/>
              </w:rPr>
            </w:pPr>
            <w:r>
              <w:rPr>
                <w:rFonts w:ascii="Arial" w:cs="Arial" w:eastAsia="Arial" w:hAnsi="Arial"/>
                <w:sz w:val="13"/>
                <w:szCs w:val="13"/>
                <w:color w:val="auto"/>
              </w:rPr>
              <w:t>Proceeds from sale-leaseback agreement</w:t>
            </w:r>
          </w:p>
        </w:tc>
        <w:tc>
          <w:tcPr>
            <w:tcW w:w="1240" w:type="dxa"/>
            <w:vAlign w:val="bottom"/>
          </w:tcPr>
          <w:p>
            <w:pPr>
              <w:spacing w:after="0"/>
              <w:rPr>
                <w:sz w:val="11"/>
                <w:szCs w:val="11"/>
                <w:color w:val="auto"/>
              </w:rPr>
            </w:pPr>
          </w:p>
        </w:tc>
        <w:tc>
          <w:tcPr>
            <w:tcW w:w="500" w:type="dxa"/>
            <w:vAlign w:val="bottom"/>
            <w:gridSpan w:val="2"/>
          </w:tcPr>
          <w:p>
            <w:pPr>
              <w:ind w:left="160"/>
              <w:spacing w:after="0" w:line="136" w:lineRule="exact"/>
              <w:rPr>
                <w:sz w:val="20"/>
                <w:szCs w:val="20"/>
                <w:color w:val="auto"/>
              </w:rPr>
            </w:pPr>
            <w:r>
              <w:rPr>
                <w:rFonts w:ascii="Arial" w:cs="Arial" w:eastAsia="Arial" w:hAnsi="Arial"/>
                <w:sz w:val="13"/>
                <w:szCs w:val="13"/>
                <w:color w:val="auto"/>
              </w:rPr>
              <w:t>—</w:t>
            </w:r>
          </w:p>
        </w:tc>
        <w:tc>
          <w:tcPr>
            <w:tcW w:w="180" w:type="dxa"/>
            <w:vAlign w:val="bottom"/>
          </w:tcPr>
          <w:p>
            <w:pPr>
              <w:spacing w:after="0"/>
              <w:rPr>
                <w:sz w:val="11"/>
                <w:szCs w:val="11"/>
                <w:color w:val="auto"/>
              </w:rPr>
            </w:pPr>
          </w:p>
        </w:tc>
        <w:tc>
          <w:tcPr>
            <w:tcW w:w="340" w:type="dxa"/>
            <w:vAlign w:val="bottom"/>
          </w:tcPr>
          <w:p>
            <w:pPr>
              <w:jc w:val="right"/>
              <w:spacing w:after="0" w:line="136" w:lineRule="exact"/>
              <w:rPr>
                <w:sz w:val="20"/>
                <w:szCs w:val="20"/>
                <w:color w:val="auto"/>
              </w:rPr>
            </w:pPr>
            <w:r>
              <w:rPr>
                <w:rFonts w:ascii="Arial" w:cs="Arial" w:eastAsia="Arial" w:hAnsi="Arial"/>
                <w:sz w:val="13"/>
                <w:szCs w:val="13"/>
                <w:color w:val="auto"/>
              </w:rPr>
              <w:t>8.8</w:t>
            </w: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20" w:type="dxa"/>
            <w:vAlign w:val="bottom"/>
            <w:gridSpan w:val="2"/>
          </w:tcPr>
          <w:p>
            <w:pPr>
              <w:jc w:val="right"/>
              <w:ind w:right="140"/>
              <w:spacing w:after="0" w:line="136"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180" w:type="dxa"/>
            <w:vAlign w:val="bottom"/>
            <w:shd w:val="clear" w:color="auto" w:fill="CCEEFF"/>
          </w:tcPr>
          <w:p>
            <w:pPr>
              <w:ind w:left="220"/>
              <w:spacing w:after="0" w:line="136" w:lineRule="exact"/>
              <w:rPr>
                <w:sz w:val="20"/>
                <w:szCs w:val="20"/>
                <w:color w:val="auto"/>
              </w:rPr>
            </w:pPr>
            <w:r>
              <w:rPr>
                <w:rFonts w:ascii="Arial" w:cs="Arial" w:eastAsia="Arial" w:hAnsi="Arial"/>
                <w:sz w:val="13"/>
                <w:szCs w:val="13"/>
                <w:color w:val="auto"/>
              </w:rPr>
              <w:t>Proceeds from issuance of note payable</w:t>
            </w:r>
          </w:p>
        </w:tc>
        <w:tc>
          <w:tcPr>
            <w:tcW w:w="1240" w:type="dxa"/>
            <w:vAlign w:val="bottom"/>
            <w:tcBorders>
              <w:right w:val="single" w:sz="8" w:color="CCEEFF"/>
            </w:tcBorders>
            <w:shd w:val="clear" w:color="auto" w:fill="CCEEFF"/>
          </w:tcPr>
          <w:p>
            <w:pPr>
              <w:spacing w:after="0"/>
              <w:rPr>
                <w:sz w:val="11"/>
                <w:szCs w:val="11"/>
                <w:color w:val="auto"/>
              </w:rPr>
            </w:pPr>
          </w:p>
        </w:tc>
        <w:tc>
          <w:tcPr>
            <w:tcW w:w="360" w:type="dxa"/>
            <w:vAlign w:val="bottom"/>
            <w:shd w:val="clear" w:color="auto" w:fill="CCEEFF"/>
          </w:tcPr>
          <w:p>
            <w:pPr>
              <w:jc w:val="right"/>
              <w:spacing w:after="0" w:line="136" w:lineRule="exact"/>
              <w:rPr>
                <w:sz w:val="20"/>
                <w:szCs w:val="20"/>
                <w:color w:val="auto"/>
              </w:rPr>
            </w:pPr>
            <w:r>
              <w:rPr>
                <w:rFonts w:ascii="Arial" w:cs="Arial" w:eastAsia="Arial" w:hAnsi="Arial"/>
                <w:sz w:val="13"/>
                <w:szCs w:val="13"/>
                <w:color w:val="auto"/>
              </w:rPr>
              <w:t>11.9</w:t>
            </w:r>
          </w:p>
        </w:tc>
        <w:tc>
          <w:tcPr>
            <w:tcW w:w="140" w:type="dxa"/>
            <w:vAlign w:val="bottom"/>
            <w:shd w:val="clear" w:color="auto" w:fill="CCEEFF"/>
          </w:tcPr>
          <w:p>
            <w:pPr>
              <w:spacing w:after="0"/>
              <w:rPr>
                <w:sz w:val="11"/>
                <w:szCs w:val="11"/>
                <w:color w:val="auto"/>
              </w:rPr>
            </w:pPr>
          </w:p>
        </w:tc>
        <w:tc>
          <w:tcPr>
            <w:tcW w:w="180" w:type="dxa"/>
            <w:vAlign w:val="bottom"/>
            <w:tcBorders>
              <w:right w:val="single" w:sz="8" w:color="CCEEFF"/>
            </w:tcBorders>
            <w:shd w:val="clear" w:color="auto" w:fill="CCEEFF"/>
          </w:tcPr>
          <w:p>
            <w:pPr>
              <w:spacing w:after="0"/>
              <w:rPr>
                <w:sz w:val="11"/>
                <w:szCs w:val="11"/>
                <w:color w:val="auto"/>
              </w:rPr>
            </w:pPr>
          </w:p>
        </w:tc>
        <w:tc>
          <w:tcPr>
            <w:tcW w:w="480" w:type="dxa"/>
            <w:vAlign w:val="bottom"/>
            <w:gridSpan w:val="2"/>
            <w:shd w:val="clear" w:color="auto" w:fill="CCEEFF"/>
          </w:tcPr>
          <w:p>
            <w:pPr>
              <w:jc w:val="right"/>
              <w:ind w:right="220"/>
              <w:spacing w:after="0" w:line="136" w:lineRule="exact"/>
              <w:rPr>
                <w:sz w:val="20"/>
                <w:szCs w:val="20"/>
                <w:color w:val="auto"/>
              </w:rPr>
            </w:pPr>
            <w:r>
              <w:rPr>
                <w:rFonts w:ascii="Arial" w:cs="Arial" w:eastAsia="Arial" w:hAnsi="Arial"/>
                <w:sz w:val="13"/>
                <w:szCs w:val="13"/>
                <w:color w:val="auto"/>
              </w:rPr>
              <w:t>—</w:t>
            </w:r>
          </w:p>
        </w:tc>
        <w:tc>
          <w:tcPr>
            <w:tcW w:w="180" w:type="dxa"/>
            <w:vAlign w:val="bottom"/>
            <w:tcBorders>
              <w:right w:val="single" w:sz="8" w:color="CCEEFF"/>
            </w:tcBorders>
            <w:shd w:val="clear" w:color="auto" w:fill="CCEEFF"/>
          </w:tcPr>
          <w:p>
            <w:pPr>
              <w:spacing w:after="0"/>
              <w:rPr>
                <w:sz w:val="11"/>
                <w:szCs w:val="11"/>
                <w:color w:val="auto"/>
              </w:rPr>
            </w:pPr>
          </w:p>
        </w:tc>
        <w:tc>
          <w:tcPr>
            <w:tcW w:w="420" w:type="dxa"/>
            <w:vAlign w:val="bottom"/>
            <w:gridSpan w:val="2"/>
            <w:shd w:val="clear" w:color="auto" w:fill="CCEEFF"/>
          </w:tcPr>
          <w:p>
            <w:pPr>
              <w:jc w:val="right"/>
              <w:ind w:right="140"/>
              <w:spacing w:after="0" w:line="136"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180" w:type="dxa"/>
            <w:vAlign w:val="bottom"/>
          </w:tcPr>
          <w:p>
            <w:pPr>
              <w:ind w:left="220"/>
              <w:spacing w:after="0" w:line="136" w:lineRule="exact"/>
              <w:rPr>
                <w:sz w:val="20"/>
                <w:szCs w:val="20"/>
                <w:color w:val="auto"/>
              </w:rPr>
            </w:pPr>
            <w:r>
              <w:rPr>
                <w:rFonts w:ascii="Arial" w:cs="Arial" w:eastAsia="Arial" w:hAnsi="Arial"/>
                <w:sz w:val="13"/>
                <w:szCs w:val="13"/>
                <w:color w:val="auto"/>
              </w:rPr>
              <w:t>Fees paid for revolving credit facility</w:t>
            </w:r>
          </w:p>
        </w:tc>
        <w:tc>
          <w:tcPr>
            <w:tcW w:w="1240" w:type="dxa"/>
            <w:vAlign w:val="bottom"/>
          </w:tcPr>
          <w:p>
            <w:pPr>
              <w:spacing w:after="0"/>
              <w:rPr>
                <w:sz w:val="11"/>
                <w:szCs w:val="11"/>
                <w:color w:val="auto"/>
              </w:rPr>
            </w:pPr>
          </w:p>
        </w:tc>
        <w:tc>
          <w:tcPr>
            <w:tcW w:w="500" w:type="dxa"/>
            <w:vAlign w:val="bottom"/>
            <w:gridSpan w:val="2"/>
          </w:tcPr>
          <w:p>
            <w:pPr>
              <w:ind w:left="160"/>
              <w:spacing w:after="0" w:line="136" w:lineRule="exact"/>
              <w:rPr>
                <w:sz w:val="20"/>
                <w:szCs w:val="20"/>
                <w:color w:val="auto"/>
              </w:rPr>
            </w:pPr>
            <w:r>
              <w:rPr>
                <w:rFonts w:ascii="Arial" w:cs="Arial" w:eastAsia="Arial" w:hAnsi="Arial"/>
                <w:sz w:val="13"/>
                <w:szCs w:val="13"/>
                <w:color w:val="auto"/>
              </w:rPr>
              <w:t>—</w:t>
            </w:r>
          </w:p>
        </w:tc>
        <w:tc>
          <w:tcPr>
            <w:tcW w:w="180" w:type="dxa"/>
            <w:vAlign w:val="bottom"/>
          </w:tcPr>
          <w:p>
            <w:pPr>
              <w:spacing w:after="0"/>
              <w:rPr>
                <w:sz w:val="11"/>
                <w:szCs w:val="11"/>
                <w:color w:val="auto"/>
              </w:rPr>
            </w:pPr>
          </w:p>
        </w:tc>
        <w:tc>
          <w:tcPr>
            <w:tcW w:w="480" w:type="dxa"/>
            <w:vAlign w:val="bottom"/>
            <w:gridSpan w:val="2"/>
          </w:tcPr>
          <w:p>
            <w:pPr>
              <w:jc w:val="right"/>
              <w:ind w:right="220"/>
              <w:spacing w:after="0" w:line="136" w:lineRule="exact"/>
              <w:rPr>
                <w:sz w:val="20"/>
                <w:szCs w:val="20"/>
                <w:color w:val="auto"/>
              </w:rPr>
            </w:pPr>
            <w:r>
              <w:rPr>
                <w:rFonts w:ascii="Arial" w:cs="Arial" w:eastAsia="Arial" w:hAnsi="Arial"/>
                <w:sz w:val="13"/>
                <w:szCs w:val="13"/>
                <w:color w:val="auto"/>
              </w:rPr>
              <w:t>—</w:t>
            </w:r>
          </w:p>
        </w:tc>
        <w:tc>
          <w:tcPr>
            <w:tcW w:w="180" w:type="dxa"/>
            <w:vAlign w:val="bottom"/>
          </w:tcPr>
          <w:p>
            <w:pPr>
              <w:spacing w:after="0"/>
              <w:rPr>
                <w:sz w:val="11"/>
                <w:szCs w:val="11"/>
                <w:color w:val="auto"/>
              </w:rPr>
            </w:pPr>
          </w:p>
        </w:tc>
        <w:tc>
          <w:tcPr>
            <w:tcW w:w="420" w:type="dxa"/>
            <w:vAlign w:val="bottom"/>
            <w:gridSpan w:val="2"/>
          </w:tcPr>
          <w:p>
            <w:pPr>
              <w:jc w:val="right"/>
              <w:ind w:right="40"/>
              <w:spacing w:after="0" w:line="136" w:lineRule="exact"/>
              <w:rPr>
                <w:sz w:val="20"/>
                <w:szCs w:val="20"/>
                <w:color w:val="auto"/>
              </w:rPr>
            </w:pPr>
            <w:r>
              <w:rPr>
                <w:rFonts w:ascii="Arial" w:cs="Arial" w:eastAsia="Arial" w:hAnsi="Arial"/>
                <w:sz w:val="13"/>
                <w:szCs w:val="13"/>
                <w:color w:val="auto"/>
              </w:rPr>
              <w:t>(2.6)</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180" w:type="dxa"/>
            <w:vAlign w:val="bottom"/>
            <w:shd w:val="clear" w:color="auto" w:fill="CCEEFF"/>
          </w:tcPr>
          <w:p>
            <w:pPr>
              <w:ind w:left="220"/>
              <w:spacing w:after="0" w:line="136" w:lineRule="exact"/>
              <w:rPr>
                <w:sz w:val="20"/>
                <w:szCs w:val="20"/>
                <w:color w:val="auto"/>
              </w:rPr>
            </w:pPr>
            <w:r>
              <w:rPr>
                <w:rFonts w:ascii="Arial" w:cs="Arial" w:eastAsia="Arial" w:hAnsi="Arial"/>
                <w:sz w:val="13"/>
                <w:szCs w:val="13"/>
                <w:color w:val="auto"/>
              </w:rPr>
              <w:t>Shares repurchased for tax withholdings on release of restricted stock</w:t>
            </w:r>
          </w:p>
        </w:tc>
        <w:tc>
          <w:tcPr>
            <w:tcW w:w="1240" w:type="dxa"/>
            <w:vAlign w:val="bottom"/>
            <w:tcBorders>
              <w:right w:val="single" w:sz="8" w:color="CCEEFF"/>
            </w:tcBorders>
            <w:shd w:val="clear" w:color="auto" w:fill="CCEEFF"/>
          </w:tcPr>
          <w:p>
            <w:pPr>
              <w:spacing w:after="0"/>
              <w:rPr>
                <w:sz w:val="11"/>
                <w:szCs w:val="11"/>
                <w:color w:val="auto"/>
              </w:rPr>
            </w:pPr>
          </w:p>
        </w:tc>
        <w:tc>
          <w:tcPr>
            <w:tcW w:w="500" w:type="dxa"/>
            <w:vAlign w:val="bottom"/>
            <w:gridSpan w:val="2"/>
            <w:shd w:val="clear" w:color="auto" w:fill="CCEEFF"/>
          </w:tcPr>
          <w:p>
            <w:pPr>
              <w:ind w:left="160"/>
              <w:spacing w:after="0" w:line="136" w:lineRule="exact"/>
              <w:rPr>
                <w:sz w:val="20"/>
                <w:szCs w:val="20"/>
                <w:color w:val="auto"/>
              </w:rPr>
            </w:pPr>
            <w:r>
              <w:rPr>
                <w:rFonts w:ascii="Arial" w:cs="Arial" w:eastAsia="Arial" w:hAnsi="Arial"/>
                <w:sz w:val="13"/>
                <w:szCs w:val="13"/>
                <w:color w:val="auto"/>
              </w:rPr>
              <w:t>—</w:t>
            </w:r>
          </w:p>
        </w:tc>
        <w:tc>
          <w:tcPr>
            <w:tcW w:w="180" w:type="dxa"/>
            <w:vAlign w:val="bottom"/>
            <w:tcBorders>
              <w:right w:val="single" w:sz="8" w:color="CCEEFF"/>
            </w:tcBorders>
            <w:shd w:val="clear" w:color="auto" w:fill="CCEEFF"/>
          </w:tcPr>
          <w:p>
            <w:pPr>
              <w:spacing w:after="0"/>
              <w:rPr>
                <w:sz w:val="11"/>
                <w:szCs w:val="11"/>
                <w:color w:val="auto"/>
              </w:rPr>
            </w:pPr>
          </w:p>
        </w:tc>
        <w:tc>
          <w:tcPr>
            <w:tcW w:w="480" w:type="dxa"/>
            <w:vAlign w:val="bottom"/>
            <w:gridSpan w:val="2"/>
            <w:shd w:val="clear" w:color="auto" w:fill="CCEEFF"/>
          </w:tcPr>
          <w:p>
            <w:pPr>
              <w:jc w:val="right"/>
              <w:ind w:right="220"/>
              <w:spacing w:after="0" w:line="136" w:lineRule="exact"/>
              <w:rPr>
                <w:sz w:val="20"/>
                <w:szCs w:val="20"/>
                <w:color w:val="auto"/>
              </w:rPr>
            </w:pPr>
            <w:r>
              <w:rPr>
                <w:rFonts w:ascii="Arial" w:cs="Arial" w:eastAsia="Arial" w:hAnsi="Arial"/>
                <w:sz w:val="13"/>
                <w:szCs w:val="13"/>
                <w:color w:val="auto"/>
              </w:rPr>
              <w:t>—</w:t>
            </w:r>
          </w:p>
        </w:tc>
        <w:tc>
          <w:tcPr>
            <w:tcW w:w="180" w:type="dxa"/>
            <w:vAlign w:val="bottom"/>
            <w:tcBorders>
              <w:right w:val="single" w:sz="8" w:color="CCEEFF"/>
            </w:tcBorders>
            <w:shd w:val="clear" w:color="auto" w:fill="CCEEFF"/>
          </w:tcPr>
          <w:p>
            <w:pPr>
              <w:spacing w:after="0"/>
              <w:rPr>
                <w:sz w:val="11"/>
                <w:szCs w:val="11"/>
                <w:color w:val="auto"/>
              </w:rPr>
            </w:pPr>
          </w:p>
        </w:tc>
        <w:tc>
          <w:tcPr>
            <w:tcW w:w="420" w:type="dxa"/>
            <w:vAlign w:val="bottom"/>
            <w:gridSpan w:val="2"/>
            <w:shd w:val="clear" w:color="auto" w:fill="CCEEFF"/>
          </w:tcPr>
          <w:p>
            <w:pPr>
              <w:jc w:val="right"/>
              <w:ind w:right="40"/>
              <w:spacing w:after="0" w:line="136" w:lineRule="exact"/>
              <w:rPr>
                <w:sz w:val="20"/>
                <w:szCs w:val="20"/>
                <w:color w:val="auto"/>
              </w:rPr>
            </w:pPr>
            <w:r>
              <w:rPr>
                <w:rFonts w:ascii="Arial" w:cs="Arial" w:eastAsia="Arial" w:hAnsi="Arial"/>
                <w:sz w:val="13"/>
                <w:szCs w:val="13"/>
                <w:color w:val="auto"/>
              </w:rPr>
              <w:t>(87.9)</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180" w:type="dxa"/>
            <w:vAlign w:val="bottom"/>
          </w:tcPr>
          <w:p>
            <w:pPr>
              <w:ind w:left="220"/>
              <w:spacing w:after="0" w:line="136" w:lineRule="exact"/>
              <w:rPr>
                <w:sz w:val="20"/>
                <w:szCs w:val="20"/>
                <w:color w:val="auto"/>
              </w:rPr>
            </w:pPr>
            <w:r>
              <w:rPr>
                <w:rFonts w:ascii="Arial" w:cs="Arial" w:eastAsia="Arial" w:hAnsi="Arial"/>
                <w:sz w:val="13"/>
                <w:szCs w:val="13"/>
                <w:color w:val="auto"/>
              </w:rPr>
              <w:t>Proceeds from issuance of common stock, net of repurchases</w:t>
            </w:r>
          </w:p>
        </w:tc>
        <w:tc>
          <w:tcPr>
            <w:tcW w:w="1240" w:type="dxa"/>
            <w:vAlign w:val="bottom"/>
          </w:tcPr>
          <w:p>
            <w:pPr>
              <w:spacing w:after="0"/>
              <w:rPr>
                <w:sz w:val="11"/>
                <w:szCs w:val="11"/>
                <w:color w:val="auto"/>
              </w:rPr>
            </w:pPr>
          </w:p>
        </w:tc>
        <w:tc>
          <w:tcPr>
            <w:tcW w:w="360" w:type="dxa"/>
            <w:vAlign w:val="bottom"/>
          </w:tcPr>
          <w:p>
            <w:pPr>
              <w:jc w:val="right"/>
              <w:spacing w:after="0" w:line="136" w:lineRule="exact"/>
              <w:rPr>
                <w:sz w:val="20"/>
                <w:szCs w:val="20"/>
                <w:color w:val="auto"/>
              </w:rPr>
            </w:pPr>
            <w:r>
              <w:rPr>
                <w:rFonts w:ascii="Arial" w:cs="Arial" w:eastAsia="Arial" w:hAnsi="Arial"/>
                <w:sz w:val="13"/>
                <w:szCs w:val="13"/>
                <w:color w:val="auto"/>
              </w:rPr>
              <w:t>1.5</w:t>
            </w: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80" w:type="dxa"/>
            <w:vAlign w:val="bottom"/>
            <w:gridSpan w:val="2"/>
          </w:tcPr>
          <w:p>
            <w:pPr>
              <w:jc w:val="right"/>
              <w:ind w:right="220"/>
              <w:spacing w:after="0" w:line="136" w:lineRule="exact"/>
              <w:rPr>
                <w:sz w:val="20"/>
                <w:szCs w:val="20"/>
                <w:color w:val="auto"/>
              </w:rPr>
            </w:pPr>
            <w:r>
              <w:rPr>
                <w:rFonts w:ascii="Arial" w:cs="Arial" w:eastAsia="Arial" w:hAnsi="Arial"/>
                <w:sz w:val="13"/>
                <w:szCs w:val="13"/>
                <w:color w:val="auto"/>
              </w:rPr>
              <w:t>—</w:t>
            </w:r>
          </w:p>
        </w:tc>
        <w:tc>
          <w:tcPr>
            <w:tcW w:w="180" w:type="dxa"/>
            <w:vAlign w:val="bottom"/>
          </w:tcPr>
          <w:p>
            <w:pPr>
              <w:spacing w:after="0"/>
              <w:rPr>
                <w:sz w:val="11"/>
                <w:szCs w:val="11"/>
                <w:color w:val="auto"/>
              </w:rPr>
            </w:pPr>
          </w:p>
        </w:tc>
        <w:tc>
          <w:tcPr>
            <w:tcW w:w="340" w:type="dxa"/>
            <w:vAlign w:val="bottom"/>
          </w:tcPr>
          <w:p>
            <w:pPr>
              <w:jc w:val="right"/>
              <w:spacing w:after="0" w:line="136" w:lineRule="exact"/>
              <w:rPr>
                <w:sz w:val="20"/>
                <w:szCs w:val="20"/>
                <w:color w:val="auto"/>
              </w:rPr>
            </w:pPr>
            <w:r>
              <w:rPr>
                <w:rFonts w:ascii="Arial" w:cs="Arial" w:eastAsia="Arial" w:hAnsi="Arial"/>
                <w:sz w:val="13"/>
                <w:szCs w:val="13"/>
                <w:color w:val="auto"/>
              </w:rPr>
              <w:t>0.5</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180" w:type="dxa"/>
            <w:vAlign w:val="bottom"/>
            <w:shd w:val="clear" w:color="auto" w:fill="CCEEFF"/>
          </w:tcPr>
          <w:p>
            <w:pPr>
              <w:ind w:left="220"/>
              <w:spacing w:after="0" w:line="136" w:lineRule="exact"/>
              <w:rPr>
                <w:sz w:val="20"/>
                <w:szCs w:val="20"/>
                <w:color w:val="auto"/>
              </w:rPr>
            </w:pPr>
            <w:r>
              <w:rPr>
                <w:rFonts w:ascii="Arial" w:cs="Arial" w:eastAsia="Arial" w:hAnsi="Arial"/>
                <w:sz w:val="13"/>
                <w:szCs w:val="13"/>
                <w:color w:val="auto"/>
              </w:rPr>
              <w:t>Payments of deferred offering costs</w:t>
            </w:r>
          </w:p>
        </w:tc>
        <w:tc>
          <w:tcPr>
            <w:tcW w:w="1240" w:type="dxa"/>
            <w:vAlign w:val="bottom"/>
            <w:tcBorders>
              <w:right w:val="single" w:sz="8" w:color="CCEEFF"/>
            </w:tcBorders>
            <w:shd w:val="clear" w:color="auto" w:fill="CCEEFF"/>
          </w:tcPr>
          <w:p>
            <w:pPr>
              <w:spacing w:after="0"/>
              <w:rPr>
                <w:sz w:val="11"/>
                <w:szCs w:val="11"/>
                <w:color w:val="auto"/>
              </w:rPr>
            </w:pPr>
          </w:p>
        </w:tc>
        <w:tc>
          <w:tcPr>
            <w:tcW w:w="360" w:type="dxa"/>
            <w:vAlign w:val="bottom"/>
            <w:shd w:val="clear" w:color="auto" w:fill="CCEEFF"/>
          </w:tcPr>
          <w:p>
            <w:pPr>
              <w:ind w:left="160"/>
              <w:spacing w:after="0" w:line="136"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1"/>
                <w:szCs w:val="11"/>
                <w:color w:val="auto"/>
              </w:rPr>
            </w:pPr>
          </w:p>
        </w:tc>
        <w:tc>
          <w:tcPr>
            <w:tcW w:w="180" w:type="dxa"/>
            <w:vAlign w:val="bottom"/>
            <w:tcBorders>
              <w:right w:val="single" w:sz="8" w:color="CCEEFF"/>
            </w:tcBorders>
            <w:shd w:val="clear" w:color="auto" w:fill="CCEEFF"/>
          </w:tcPr>
          <w:p>
            <w:pPr>
              <w:spacing w:after="0"/>
              <w:rPr>
                <w:sz w:val="11"/>
                <w:szCs w:val="11"/>
                <w:color w:val="auto"/>
              </w:rPr>
            </w:pPr>
          </w:p>
        </w:tc>
        <w:tc>
          <w:tcPr>
            <w:tcW w:w="340" w:type="dxa"/>
            <w:vAlign w:val="bottom"/>
            <w:shd w:val="clear" w:color="auto" w:fill="CCEEFF"/>
          </w:tcPr>
          <w:p>
            <w:pPr>
              <w:jc w:val="right"/>
              <w:ind w:right="16"/>
              <w:spacing w:after="0" w:line="136"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1"/>
                <w:szCs w:val="11"/>
                <w:color w:val="auto"/>
              </w:rPr>
            </w:pPr>
          </w:p>
        </w:tc>
        <w:tc>
          <w:tcPr>
            <w:tcW w:w="180" w:type="dxa"/>
            <w:vAlign w:val="bottom"/>
            <w:tcBorders>
              <w:right w:val="single" w:sz="8" w:color="CCEEFF"/>
            </w:tcBorders>
            <w:shd w:val="clear" w:color="auto" w:fill="CCEEFF"/>
          </w:tcPr>
          <w:p>
            <w:pPr>
              <w:spacing w:after="0"/>
              <w:rPr>
                <w:sz w:val="11"/>
                <w:szCs w:val="11"/>
                <w:color w:val="auto"/>
              </w:rPr>
            </w:pPr>
          </w:p>
        </w:tc>
        <w:tc>
          <w:tcPr>
            <w:tcW w:w="420" w:type="dxa"/>
            <w:vAlign w:val="bottom"/>
            <w:gridSpan w:val="2"/>
            <w:shd w:val="clear" w:color="auto" w:fill="CCEEFF"/>
          </w:tcPr>
          <w:p>
            <w:pPr>
              <w:jc w:val="right"/>
              <w:ind w:right="40"/>
              <w:spacing w:after="0" w:line="136" w:lineRule="exact"/>
              <w:rPr>
                <w:sz w:val="20"/>
                <w:szCs w:val="20"/>
                <w:color w:val="auto"/>
              </w:rPr>
            </w:pPr>
            <w:r>
              <w:rPr>
                <w:rFonts w:ascii="Arial" w:cs="Arial" w:eastAsia="Arial" w:hAnsi="Arial"/>
                <w:sz w:val="13"/>
                <w:szCs w:val="13"/>
                <w:color w:val="auto"/>
              </w:rPr>
              <w:t>(2.5)</w:t>
            </w:r>
          </w:p>
        </w:tc>
        <w:tc>
          <w:tcPr>
            <w:tcW w:w="0" w:type="dxa"/>
            <w:vAlign w:val="bottom"/>
          </w:tcPr>
          <w:p>
            <w:pPr>
              <w:spacing w:after="0"/>
              <w:rPr>
                <w:sz w:val="1"/>
                <w:szCs w:val="1"/>
                <w:color w:val="auto"/>
              </w:rPr>
            </w:pPr>
          </w:p>
        </w:tc>
      </w:tr>
      <w:tr>
        <w:trPr>
          <w:trHeight w:val="20"/>
        </w:trPr>
        <w:tc>
          <w:tcPr>
            <w:tcW w:w="6200" w:type="dxa"/>
            <w:vAlign w:val="bottom"/>
            <w:gridSpan w:val="2"/>
            <w:vMerge w:val="restart"/>
          </w:tcPr>
          <w:p>
            <w:pPr>
              <w:spacing w:after="0"/>
              <w:rPr>
                <w:sz w:val="20"/>
                <w:szCs w:val="20"/>
                <w:color w:val="auto"/>
              </w:rPr>
            </w:pPr>
            <w:r>
              <w:rPr>
                <w:rFonts w:ascii="Arial" w:cs="Arial" w:eastAsia="Arial" w:hAnsi="Arial"/>
                <w:sz w:val="13"/>
                <w:szCs w:val="13"/>
                <w:b w:val="1"/>
                <w:bCs w:val="1"/>
                <w:color w:val="auto"/>
              </w:rPr>
              <w:t>Net cash used in financing activities</w:t>
            </w:r>
          </w:p>
        </w:tc>
        <w:tc>
          <w:tcPr>
            <w:tcW w:w="1240" w:type="dxa"/>
            <w:vAlign w:val="bottom"/>
            <w:tcBorders>
              <w:right w:val="single" w:sz="8" w:color="auto"/>
            </w:tcBorders>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8"/>
        </w:trPr>
        <w:tc>
          <w:tcPr>
            <w:tcW w:w="6200" w:type="dxa"/>
            <w:vAlign w:val="bottom"/>
            <w:gridSpan w:val="2"/>
            <w:vMerge w:val="continue"/>
          </w:tcPr>
          <w:p>
            <w:pPr>
              <w:spacing w:after="0"/>
              <w:rPr>
                <w:sz w:val="11"/>
                <w:szCs w:val="11"/>
                <w:color w:val="auto"/>
              </w:rPr>
            </w:pPr>
          </w:p>
        </w:tc>
        <w:tc>
          <w:tcPr>
            <w:tcW w:w="1240" w:type="dxa"/>
            <w:vAlign w:val="bottom"/>
          </w:tcPr>
          <w:p>
            <w:pPr>
              <w:spacing w:after="0"/>
              <w:rPr>
                <w:sz w:val="11"/>
                <w:szCs w:val="11"/>
                <w:color w:val="auto"/>
              </w:rPr>
            </w:pPr>
          </w:p>
        </w:tc>
        <w:tc>
          <w:tcPr>
            <w:tcW w:w="500" w:type="dxa"/>
            <w:vAlign w:val="bottom"/>
            <w:gridSpan w:val="2"/>
          </w:tcPr>
          <w:p>
            <w:pPr>
              <w:jc w:val="right"/>
              <w:ind w:right="120"/>
              <w:spacing w:after="0" w:line="138" w:lineRule="exact"/>
              <w:rPr>
                <w:sz w:val="20"/>
                <w:szCs w:val="20"/>
                <w:color w:val="auto"/>
              </w:rPr>
            </w:pPr>
            <w:r>
              <w:rPr>
                <w:rFonts w:ascii="Arial" w:cs="Arial" w:eastAsia="Arial" w:hAnsi="Arial"/>
                <w:sz w:val="13"/>
                <w:szCs w:val="13"/>
                <w:color w:val="auto"/>
              </w:rPr>
              <w:t>(89.6)</w:t>
            </w:r>
          </w:p>
        </w:tc>
        <w:tc>
          <w:tcPr>
            <w:tcW w:w="180" w:type="dxa"/>
            <w:vAlign w:val="bottom"/>
          </w:tcPr>
          <w:p>
            <w:pPr>
              <w:spacing w:after="0"/>
              <w:rPr>
                <w:sz w:val="11"/>
                <w:szCs w:val="11"/>
                <w:color w:val="auto"/>
              </w:rPr>
            </w:pPr>
          </w:p>
        </w:tc>
        <w:tc>
          <w:tcPr>
            <w:tcW w:w="480" w:type="dxa"/>
            <w:vAlign w:val="bottom"/>
            <w:gridSpan w:val="2"/>
          </w:tcPr>
          <w:p>
            <w:pPr>
              <w:jc w:val="right"/>
              <w:ind w:right="100"/>
              <w:spacing w:after="0" w:line="138" w:lineRule="exact"/>
              <w:rPr>
                <w:sz w:val="20"/>
                <w:szCs w:val="20"/>
                <w:color w:val="auto"/>
              </w:rPr>
            </w:pPr>
            <w:r>
              <w:rPr>
                <w:rFonts w:ascii="Arial" w:cs="Arial" w:eastAsia="Arial" w:hAnsi="Arial"/>
                <w:sz w:val="13"/>
                <w:szCs w:val="13"/>
                <w:color w:val="auto"/>
                <w:w w:val="87"/>
              </w:rPr>
              <w:t>(134.5)</w:t>
            </w:r>
          </w:p>
        </w:tc>
        <w:tc>
          <w:tcPr>
            <w:tcW w:w="180" w:type="dxa"/>
            <w:vAlign w:val="bottom"/>
          </w:tcPr>
          <w:p>
            <w:pPr>
              <w:spacing w:after="0"/>
              <w:rPr>
                <w:sz w:val="11"/>
                <w:szCs w:val="11"/>
                <w:color w:val="auto"/>
              </w:rPr>
            </w:pPr>
          </w:p>
        </w:tc>
        <w:tc>
          <w:tcPr>
            <w:tcW w:w="420" w:type="dxa"/>
            <w:vAlign w:val="bottom"/>
            <w:gridSpan w:val="2"/>
          </w:tcPr>
          <w:p>
            <w:pPr>
              <w:jc w:val="right"/>
              <w:ind w:right="40"/>
              <w:spacing w:after="0" w:line="138" w:lineRule="exact"/>
              <w:rPr>
                <w:sz w:val="20"/>
                <w:szCs w:val="20"/>
                <w:color w:val="auto"/>
              </w:rPr>
            </w:pPr>
            <w:r>
              <w:rPr>
                <w:rFonts w:ascii="Arial" w:cs="Arial" w:eastAsia="Arial" w:hAnsi="Arial"/>
                <w:sz w:val="13"/>
                <w:szCs w:val="13"/>
                <w:color w:val="auto"/>
                <w:w w:val="87"/>
              </w:rPr>
              <w:t>(231.7)</w:t>
            </w:r>
          </w:p>
        </w:tc>
        <w:tc>
          <w:tcPr>
            <w:tcW w:w="0" w:type="dxa"/>
            <w:vAlign w:val="bottom"/>
          </w:tcPr>
          <w:p>
            <w:pPr>
              <w:spacing w:after="0"/>
              <w:rPr>
                <w:sz w:val="1"/>
                <w:szCs w:val="1"/>
                <w:color w:val="auto"/>
              </w:rPr>
            </w:pPr>
          </w:p>
        </w:tc>
      </w:tr>
      <w:tr>
        <w:trPr>
          <w:trHeight w:val="23"/>
        </w:trPr>
        <w:tc>
          <w:tcPr>
            <w:tcW w:w="20" w:type="dxa"/>
            <w:vAlign w:val="bottom"/>
            <w:vMerge w:val="restart"/>
          </w:tcPr>
          <w:p>
            <w:pPr>
              <w:spacing w:after="0" w:line="20" w:lineRule="exact"/>
              <w:rPr>
                <w:sz w:val="1"/>
                <w:szCs w:val="1"/>
                <w:color w:val="auto"/>
              </w:rPr>
            </w:pPr>
          </w:p>
        </w:tc>
        <w:tc>
          <w:tcPr>
            <w:tcW w:w="6180" w:type="dxa"/>
            <w:vAlign w:val="bottom"/>
          </w:tcPr>
          <w:p>
            <w:pPr>
              <w:spacing w:after="0" w:line="20" w:lineRule="exact"/>
              <w:rPr>
                <w:sz w:val="1"/>
                <w:szCs w:val="1"/>
                <w:color w:val="auto"/>
              </w:rPr>
            </w:pPr>
          </w:p>
        </w:tc>
        <w:tc>
          <w:tcPr>
            <w:tcW w:w="1240" w:type="dxa"/>
            <w:vAlign w:val="bottom"/>
            <w:tcBorders>
              <w:right w:val="single" w:sz="8" w:color="auto"/>
            </w:tcBorders>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vMerge w:val="continue"/>
          </w:tcPr>
          <w:p>
            <w:pPr>
              <w:spacing w:after="0"/>
              <w:rPr>
                <w:sz w:val="11"/>
                <w:szCs w:val="11"/>
                <w:color w:val="auto"/>
              </w:rPr>
            </w:pPr>
          </w:p>
        </w:tc>
        <w:tc>
          <w:tcPr>
            <w:tcW w:w="6180" w:type="dxa"/>
            <w:vAlign w:val="bottom"/>
            <w:shd w:val="clear" w:color="auto" w:fill="CCEEFF"/>
          </w:tcPr>
          <w:p>
            <w:pPr>
              <w:spacing w:after="0" w:line="136" w:lineRule="exact"/>
              <w:rPr>
                <w:sz w:val="20"/>
                <w:szCs w:val="20"/>
                <w:color w:val="auto"/>
              </w:rPr>
            </w:pPr>
            <w:r>
              <w:rPr>
                <w:rFonts w:ascii="Arial" w:cs="Arial" w:eastAsia="Arial" w:hAnsi="Arial"/>
                <w:sz w:val="13"/>
                <w:szCs w:val="13"/>
                <w:color w:val="auto"/>
              </w:rPr>
              <w:t>Effect of exchange rate changes on cash and cash equivalents</w:t>
            </w:r>
          </w:p>
        </w:tc>
        <w:tc>
          <w:tcPr>
            <w:tcW w:w="1240" w:type="dxa"/>
            <w:vAlign w:val="bottom"/>
            <w:tcBorders>
              <w:right w:val="single" w:sz="8" w:color="CCEEFF"/>
            </w:tcBorders>
            <w:shd w:val="clear" w:color="auto" w:fill="CCEEFF"/>
          </w:tcPr>
          <w:p>
            <w:pPr>
              <w:spacing w:after="0"/>
              <w:rPr>
                <w:sz w:val="11"/>
                <w:szCs w:val="11"/>
                <w:color w:val="auto"/>
              </w:rPr>
            </w:pPr>
          </w:p>
        </w:tc>
        <w:tc>
          <w:tcPr>
            <w:tcW w:w="500" w:type="dxa"/>
            <w:vAlign w:val="bottom"/>
            <w:gridSpan w:val="2"/>
            <w:shd w:val="clear" w:color="auto" w:fill="CCEEFF"/>
          </w:tcPr>
          <w:p>
            <w:pPr>
              <w:jc w:val="right"/>
              <w:ind w:right="120"/>
              <w:spacing w:after="0" w:line="136" w:lineRule="exact"/>
              <w:rPr>
                <w:sz w:val="20"/>
                <w:szCs w:val="20"/>
                <w:color w:val="auto"/>
              </w:rPr>
            </w:pPr>
            <w:r>
              <w:rPr>
                <w:rFonts w:ascii="Arial" w:cs="Arial" w:eastAsia="Arial" w:hAnsi="Arial"/>
                <w:sz w:val="13"/>
                <w:szCs w:val="13"/>
                <w:color w:val="auto"/>
              </w:rPr>
              <w:t>(0.9)</w:t>
            </w:r>
          </w:p>
        </w:tc>
        <w:tc>
          <w:tcPr>
            <w:tcW w:w="180" w:type="dxa"/>
            <w:vAlign w:val="bottom"/>
            <w:tcBorders>
              <w:right w:val="single" w:sz="8" w:color="CCEEFF"/>
            </w:tcBorders>
            <w:shd w:val="clear" w:color="auto" w:fill="CCEEFF"/>
          </w:tcPr>
          <w:p>
            <w:pPr>
              <w:spacing w:after="0"/>
              <w:rPr>
                <w:sz w:val="11"/>
                <w:szCs w:val="11"/>
                <w:color w:val="auto"/>
              </w:rPr>
            </w:pPr>
          </w:p>
        </w:tc>
        <w:tc>
          <w:tcPr>
            <w:tcW w:w="480" w:type="dxa"/>
            <w:vAlign w:val="bottom"/>
            <w:gridSpan w:val="2"/>
            <w:shd w:val="clear" w:color="auto" w:fill="CCEEFF"/>
          </w:tcPr>
          <w:p>
            <w:pPr>
              <w:jc w:val="right"/>
              <w:ind w:right="100"/>
              <w:spacing w:after="0" w:line="136" w:lineRule="exact"/>
              <w:rPr>
                <w:sz w:val="20"/>
                <w:szCs w:val="20"/>
                <w:color w:val="auto"/>
              </w:rPr>
            </w:pPr>
            <w:r>
              <w:rPr>
                <w:rFonts w:ascii="Arial" w:cs="Arial" w:eastAsia="Arial" w:hAnsi="Arial"/>
                <w:sz w:val="13"/>
                <w:szCs w:val="13"/>
                <w:color w:val="auto"/>
              </w:rPr>
              <w:t>(4.3)</w:t>
            </w:r>
          </w:p>
        </w:tc>
        <w:tc>
          <w:tcPr>
            <w:tcW w:w="180" w:type="dxa"/>
            <w:vAlign w:val="bottom"/>
            <w:tcBorders>
              <w:right w:val="single" w:sz="8" w:color="CCEEFF"/>
            </w:tcBorders>
            <w:shd w:val="clear" w:color="auto" w:fill="CCEEFF"/>
          </w:tcPr>
          <w:p>
            <w:pPr>
              <w:spacing w:after="0"/>
              <w:rPr>
                <w:sz w:val="11"/>
                <w:szCs w:val="11"/>
                <w:color w:val="auto"/>
              </w:rPr>
            </w:pPr>
          </w:p>
        </w:tc>
        <w:tc>
          <w:tcPr>
            <w:tcW w:w="340" w:type="dxa"/>
            <w:vAlign w:val="bottom"/>
            <w:shd w:val="clear" w:color="auto" w:fill="CCEEFF"/>
          </w:tcPr>
          <w:p>
            <w:pPr>
              <w:jc w:val="right"/>
              <w:spacing w:after="0" w:line="136" w:lineRule="exact"/>
              <w:rPr>
                <w:sz w:val="20"/>
                <w:szCs w:val="20"/>
                <w:color w:val="auto"/>
              </w:rPr>
            </w:pPr>
            <w:r>
              <w:rPr>
                <w:rFonts w:ascii="Arial" w:cs="Arial" w:eastAsia="Arial" w:hAnsi="Arial"/>
                <w:sz w:val="13"/>
                <w:szCs w:val="13"/>
                <w:color w:val="auto"/>
              </w:rPr>
              <w:t>2.6</w:t>
            </w: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6200" w:type="dxa"/>
            <w:vAlign w:val="bottom"/>
            <w:gridSpan w:val="2"/>
            <w:vMerge w:val="restart"/>
          </w:tcPr>
          <w:p>
            <w:pPr>
              <w:spacing w:after="0"/>
              <w:rPr>
                <w:sz w:val="20"/>
                <w:szCs w:val="20"/>
                <w:color w:val="auto"/>
              </w:rPr>
            </w:pPr>
            <w:r>
              <w:rPr>
                <w:rFonts w:ascii="Arial" w:cs="Arial" w:eastAsia="Arial" w:hAnsi="Arial"/>
                <w:sz w:val="13"/>
                <w:szCs w:val="13"/>
                <w:color w:val="auto"/>
              </w:rPr>
              <w:t>Change in cash, cash equivalents, and restricted cash</w:t>
            </w:r>
          </w:p>
        </w:tc>
        <w:tc>
          <w:tcPr>
            <w:tcW w:w="1240" w:type="dxa"/>
            <w:vAlign w:val="bottom"/>
            <w:tcBorders>
              <w:right w:val="single" w:sz="8" w:color="auto"/>
            </w:tcBorders>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8"/>
        </w:trPr>
        <w:tc>
          <w:tcPr>
            <w:tcW w:w="6200" w:type="dxa"/>
            <w:vAlign w:val="bottom"/>
            <w:gridSpan w:val="2"/>
            <w:vMerge w:val="continue"/>
          </w:tcPr>
          <w:p>
            <w:pPr>
              <w:spacing w:after="0"/>
              <w:rPr>
                <w:sz w:val="11"/>
                <w:szCs w:val="11"/>
                <w:color w:val="auto"/>
              </w:rPr>
            </w:pPr>
          </w:p>
        </w:tc>
        <w:tc>
          <w:tcPr>
            <w:tcW w:w="1240" w:type="dxa"/>
            <w:vAlign w:val="bottom"/>
          </w:tcPr>
          <w:p>
            <w:pPr>
              <w:spacing w:after="0"/>
              <w:rPr>
                <w:sz w:val="11"/>
                <w:szCs w:val="11"/>
                <w:color w:val="auto"/>
              </w:rPr>
            </w:pPr>
          </w:p>
        </w:tc>
        <w:tc>
          <w:tcPr>
            <w:tcW w:w="500" w:type="dxa"/>
            <w:vAlign w:val="bottom"/>
            <w:gridSpan w:val="2"/>
          </w:tcPr>
          <w:p>
            <w:pPr>
              <w:jc w:val="right"/>
              <w:ind w:right="120"/>
              <w:spacing w:after="0" w:line="138" w:lineRule="exact"/>
              <w:rPr>
                <w:sz w:val="20"/>
                <w:szCs w:val="20"/>
                <w:color w:val="auto"/>
              </w:rPr>
            </w:pPr>
            <w:r>
              <w:rPr>
                <w:rFonts w:ascii="Arial" w:cs="Arial" w:eastAsia="Arial" w:hAnsi="Arial"/>
                <w:sz w:val="13"/>
                <w:szCs w:val="13"/>
                <w:color w:val="auto"/>
                <w:w w:val="87"/>
              </w:rPr>
              <w:t>(161.3)</w:t>
            </w:r>
          </w:p>
        </w:tc>
        <w:tc>
          <w:tcPr>
            <w:tcW w:w="180" w:type="dxa"/>
            <w:vAlign w:val="bottom"/>
          </w:tcPr>
          <w:p>
            <w:pPr>
              <w:spacing w:after="0"/>
              <w:rPr>
                <w:sz w:val="11"/>
                <w:szCs w:val="11"/>
                <w:color w:val="auto"/>
              </w:rPr>
            </w:pPr>
          </w:p>
        </w:tc>
        <w:tc>
          <w:tcPr>
            <w:tcW w:w="480" w:type="dxa"/>
            <w:vAlign w:val="bottom"/>
            <w:gridSpan w:val="2"/>
          </w:tcPr>
          <w:p>
            <w:pPr>
              <w:jc w:val="right"/>
              <w:ind w:right="100"/>
              <w:spacing w:after="0" w:line="138" w:lineRule="exact"/>
              <w:rPr>
                <w:sz w:val="20"/>
                <w:szCs w:val="20"/>
                <w:color w:val="auto"/>
              </w:rPr>
            </w:pPr>
            <w:r>
              <w:rPr>
                <w:rFonts w:ascii="Arial" w:cs="Arial" w:eastAsia="Arial" w:hAnsi="Arial"/>
                <w:sz w:val="13"/>
                <w:szCs w:val="13"/>
                <w:color w:val="auto"/>
              </w:rPr>
              <w:t>(4.2)</w:t>
            </w:r>
          </w:p>
        </w:tc>
        <w:tc>
          <w:tcPr>
            <w:tcW w:w="180" w:type="dxa"/>
            <w:vAlign w:val="bottom"/>
          </w:tcPr>
          <w:p>
            <w:pPr>
              <w:spacing w:after="0"/>
              <w:rPr>
                <w:sz w:val="11"/>
                <w:szCs w:val="11"/>
                <w:color w:val="auto"/>
              </w:rPr>
            </w:pPr>
          </w:p>
        </w:tc>
        <w:tc>
          <w:tcPr>
            <w:tcW w:w="340" w:type="dxa"/>
            <w:vAlign w:val="bottom"/>
          </w:tcPr>
          <w:p>
            <w:pPr>
              <w:jc w:val="right"/>
              <w:spacing w:after="0" w:line="138" w:lineRule="exact"/>
              <w:rPr>
                <w:sz w:val="20"/>
                <w:szCs w:val="20"/>
                <w:color w:val="auto"/>
              </w:rPr>
            </w:pPr>
            <w:r>
              <w:rPr>
                <w:rFonts w:ascii="Arial" w:cs="Arial" w:eastAsia="Arial" w:hAnsi="Arial"/>
                <w:sz w:val="13"/>
                <w:szCs w:val="13"/>
                <w:color w:val="auto"/>
              </w:rPr>
              <w:t>77.3</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180" w:type="dxa"/>
            <w:vAlign w:val="bottom"/>
            <w:shd w:val="clear" w:color="auto" w:fill="CCEEFF"/>
          </w:tcPr>
          <w:p>
            <w:pPr>
              <w:spacing w:after="0" w:line="136" w:lineRule="exact"/>
              <w:rPr>
                <w:sz w:val="20"/>
                <w:szCs w:val="20"/>
                <w:color w:val="auto"/>
              </w:rPr>
            </w:pPr>
            <w:r>
              <w:rPr>
                <w:rFonts w:ascii="Arial" w:cs="Arial" w:eastAsia="Arial" w:hAnsi="Arial"/>
                <w:sz w:val="13"/>
                <w:szCs w:val="13"/>
                <w:color w:val="auto"/>
              </w:rPr>
              <w:t>Cash, cash equivalents, and restricted cash—beginning of period</w:t>
            </w:r>
          </w:p>
        </w:tc>
        <w:tc>
          <w:tcPr>
            <w:tcW w:w="1240" w:type="dxa"/>
            <w:vAlign w:val="bottom"/>
            <w:tcBorders>
              <w:right w:val="single" w:sz="8" w:color="CCEEFF"/>
            </w:tcBorders>
            <w:shd w:val="clear" w:color="auto" w:fill="CCEEFF"/>
          </w:tcPr>
          <w:p>
            <w:pPr>
              <w:spacing w:after="0"/>
              <w:rPr>
                <w:sz w:val="11"/>
                <w:szCs w:val="11"/>
                <w:color w:val="auto"/>
              </w:rPr>
            </w:pPr>
          </w:p>
        </w:tc>
        <w:tc>
          <w:tcPr>
            <w:tcW w:w="360" w:type="dxa"/>
            <w:vAlign w:val="bottom"/>
            <w:tcBorders>
              <w:bottom w:val="single" w:sz="8" w:color="auto"/>
            </w:tcBorders>
            <w:shd w:val="clear" w:color="auto" w:fill="CCEEFF"/>
          </w:tcPr>
          <w:p>
            <w:pPr>
              <w:jc w:val="right"/>
              <w:spacing w:after="0" w:line="136" w:lineRule="exact"/>
              <w:rPr>
                <w:sz w:val="20"/>
                <w:szCs w:val="20"/>
                <w:color w:val="auto"/>
              </w:rPr>
            </w:pPr>
            <w:r>
              <w:rPr>
                <w:rFonts w:ascii="Arial" w:cs="Arial" w:eastAsia="Arial" w:hAnsi="Arial"/>
                <w:sz w:val="13"/>
                <w:szCs w:val="13"/>
                <w:color w:val="auto"/>
                <w:w w:val="98"/>
              </w:rPr>
              <w:t>518.2</w:t>
            </w:r>
          </w:p>
        </w:tc>
        <w:tc>
          <w:tcPr>
            <w:tcW w:w="140" w:type="dxa"/>
            <w:vAlign w:val="bottom"/>
            <w:shd w:val="clear" w:color="auto" w:fill="CCEEFF"/>
          </w:tcPr>
          <w:p>
            <w:pPr>
              <w:spacing w:after="0"/>
              <w:rPr>
                <w:sz w:val="11"/>
                <w:szCs w:val="11"/>
                <w:color w:val="auto"/>
              </w:rPr>
            </w:pPr>
          </w:p>
        </w:tc>
        <w:tc>
          <w:tcPr>
            <w:tcW w:w="180" w:type="dxa"/>
            <w:vAlign w:val="bottom"/>
            <w:tcBorders>
              <w:right w:val="single" w:sz="8" w:color="CCEEFF"/>
            </w:tcBorders>
            <w:shd w:val="clear" w:color="auto" w:fill="CCEEFF"/>
          </w:tcPr>
          <w:p>
            <w:pPr>
              <w:spacing w:after="0"/>
              <w:rPr>
                <w:sz w:val="11"/>
                <w:szCs w:val="11"/>
                <w:color w:val="auto"/>
              </w:rPr>
            </w:pPr>
          </w:p>
        </w:tc>
        <w:tc>
          <w:tcPr>
            <w:tcW w:w="340" w:type="dxa"/>
            <w:vAlign w:val="bottom"/>
            <w:tcBorders>
              <w:bottom w:val="single" w:sz="8" w:color="auto"/>
            </w:tcBorders>
            <w:shd w:val="clear" w:color="auto" w:fill="CCEEFF"/>
          </w:tcPr>
          <w:p>
            <w:pPr>
              <w:jc w:val="right"/>
              <w:spacing w:after="0" w:line="136" w:lineRule="exact"/>
              <w:rPr>
                <w:sz w:val="20"/>
                <w:szCs w:val="20"/>
                <w:color w:val="auto"/>
              </w:rPr>
            </w:pPr>
            <w:r>
              <w:rPr>
                <w:rFonts w:ascii="Arial" w:cs="Arial" w:eastAsia="Arial" w:hAnsi="Arial"/>
                <w:sz w:val="13"/>
                <w:szCs w:val="13"/>
                <w:color w:val="auto"/>
                <w:w w:val="98"/>
              </w:rPr>
              <w:t>356.9</w:t>
            </w:r>
          </w:p>
        </w:tc>
        <w:tc>
          <w:tcPr>
            <w:tcW w:w="140" w:type="dxa"/>
            <w:vAlign w:val="bottom"/>
            <w:shd w:val="clear" w:color="auto" w:fill="CCEEFF"/>
          </w:tcPr>
          <w:p>
            <w:pPr>
              <w:spacing w:after="0"/>
              <w:rPr>
                <w:sz w:val="11"/>
                <w:szCs w:val="11"/>
                <w:color w:val="auto"/>
              </w:rPr>
            </w:pPr>
          </w:p>
        </w:tc>
        <w:tc>
          <w:tcPr>
            <w:tcW w:w="180" w:type="dxa"/>
            <w:vAlign w:val="bottom"/>
            <w:tcBorders>
              <w:right w:val="single" w:sz="8" w:color="CCEEFF"/>
            </w:tcBorders>
            <w:shd w:val="clear" w:color="auto" w:fill="CCEEFF"/>
          </w:tcPr>
          <w:p>
            <w:pPr>
              <w:spacing w:after="0"/>
              <w:rPr>
                <w:sz w:val="11"/>
                <w:szCs w:val="11"/>
                <w:color w:val="auto"/>
              </w:rPr>
            </w:pPr>
          </w:p>
        </w:tc>
        <w:tc>
          <w:tcPr>
            <w:tcW w:w="340" w:type="dxa"/>
            <w:vAlign w:val="bottom"/>
            <w:tcBorders>
              <w:bottom w:val="single" w:sz="8" w:color="auto"/>
            </w:tcBorders>
            <w:shd w:val="clear" w:color="auto" w:fill="CCEEFF"/>
          </w:tcPr>
          <w:p>
            <w:pPr>
              <w:jc w:val="right"/>
              <w:spacing w:after="0" w:line="136" w:lineRule="exact"/>
              <w:rPr>
                <w:sz w:val="20"/>
                <w:szCs w:val="20"/>
                <w:color w:val="auto"/>
              </w:rPr>
            </w:pPr>
            <w:r>
              <w:rPr>
                <w:rFonts w:ascii="Arial" w:cs="Arial" w:eastAsia="Arial" w:hAnsi="Arial"/>
                <w:sz w:val="13"/>
                <w:szCs w:val="13"/>
                <w:color w:val="auto"/>
                <w:w w:val="98"/>
              </w:rPr>
              <w:t>352.7</w:t>
            </w: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8"/>
        </w:trPr>
        <w:tc>
          <w:tcPr>
            <w:tcW w:w="6200" w:type="dxa"/>
            <w:vAlign w:val="bottom"/>
            <w:gridSpan w:val="2"/>
          </w:tcPr>
          <w:p>
            <w:pPr>
              <w:spacing w:after="0" w:line="138" w:lineRule="exact"/>
              <w:rPr>
                <w:sz w:val="20"/>
                <w:szCs w:val="20"/>
                <w:color w:val="auto"/>
              </w:rPr>
            </w:pPr>
            <w:r>
              <w:rPr>
                <w:rFonts w:ascii="Arial" w:cs="Arial" w:eastAsia="Arial" w:hAnsi="Arial"/>
                <w:sz w:val="13"/>
                <w:szCs w:val="13"/>
                <w:b w:val="1"/>
                <w:bCs w:val="1"/>
                <w:color w:val="auto"/>
              </w:rPr>
              <w:t>Cash, cash equivalents, and restricted cash—end of period</w:t>
            </w:r>
          </w:p>
        </w:tc>
        <w:tc>
          <w:tcPr>
            <w:tcW w:w="1240" w:type="dxa"/>
            <w:vAlign w:val="bottom"/>
          </w:tcPr>
          <w:p>
            <w:pPr>
              <w:jc w:val="right"/>
              <w:spacing w:after="0" w:line="138" w:lineRule="exact"/>
              <w:rPr>
                <w:sz w:val="20"/>
                <w:szCs w:val="20"/>
                <w:color w:val="auto"/>
              </w:rPr>
            </w:pPr>
            <w:r>
              <w:rPr>
                <w:rFonts w:ascii="Arial" w:cs="Arial" w:eastAsia="Arial" w:hAnsi="Arial"/>
                <w:sz w:val="13"/>
                <w:szCs w:val="13"/>
                <w:color w:val="auto"/>
              </w:rPr>
              <w:t>$</w:t>
            </w:r>
          </w:p>
        </w:tc>
        <w:tc>
          <w:tcPr>
            <w:tcW w:w="360" w:type="dxa"/>
            <w:vAlign w:val="bottom"/>
          </w:tcPr>
          <w:p>
            <w:pPr>
              <w:jc w:val="right"/>
              <w:spacing w:after="0" w:line="138" w:lineRule="exact"/>
              <w:rPr>
                <w:sz w:val="20"/>
                <w:szCs w:val="20"/>
                <w:color w:val="auto"/>
              </w:rPr>
            </w:pPr>
            <w:r>
              <w:rPr>
                <w:rFonts w:ascii="Arial" w:cs="Arial" w:eastAsia="Arial" w:hAnsi="Arial"/>
                <w:sz w:val="13"/>
                <w:szCs w:val="13"/>
                <w:color w:val="auto"/>
                <w:w w:val="98"/>
              </w:rPr>
              <w:t>356.9</w:t>
            </w:r>
          </w:p>
        </w:tc>
        <w:tc>
          <w:tcPr>
            <w:tcW w:w="140" w:type="dxa"/>
            <w:vAlign w:val="bottom"/>
          </w:tcPr>
          <w:p>
            <w:pPr>
              <w:spacing w:after="0"/>
              <w:rPr>
                <w:sz w:val="11"/>
                <w:szCs w:val="11"/>
                <w:color w:val="auto"/>
              </w:rPr>
            </w:pPr>
          </w:p>
        </w:tc>
        <w:tc>
          <w:tcPr>
            <w:tcW w:w="180" w:type="dxa"/>
            <w:vAlign w:val="bottom"/>
          </w:tcPr>
          <w:p>
            <w:pPr>
              <w:jc w:val="right"/>
              <w:spacing w:after="0" w:line="138" w:lineRule="exact"/>
              <w:rPr>
                <w:sz w:val="20"/>
                <w:szCs w:val="20"/>
                <w:color w:val="auto"/>
              </w:rPr>
            </w:pPr>
            <w:r>
              <w:rPr>
                <w:rFonts w:ascii="Arial" w:cs="Arial" w:eastAsia="Arial" w:hAnsi="Arial"/>
                <w:sz w:val="13"/>
                <w:szCs w:val="13"/>
                <w:color w:val="auto"/>
              </w:rPr>
              <w:t>$</w:t>
            </w:r>
          </w:p>
        </w:tc>
        <w:tc>
          <w:tcPr>
            <w:tcW w:w="340" w:type="dxa"/>
            <w:vAlign w:val="bottom"/>
          </w:tcPr>
          <w:p>
            <w:pPr>
              <w:jc w:val="right"/>
              <w:spacing w:after="0" w:line="138" w:lineRule="exact"/>
              <w:rPr>
                <w:sz w:val="20"/>
                <w:szCs w:val="20"/>
                <w:color w:val="auto"/>
              </w:rPr>
            </w:pPr>
            <w:r>
              <w:rPr>
                <w:rFonts w:ascii="Arial" w:cs="Arial" w:eastAsia="Arial" w:hAnsi="Arial"/>
                <w:sz w:val="13"/>
                <w:szCs w:val="13"/>
                <w:color w:val="auto"/>
                <w:w w:val="98"/>
              </w:rPr>
              <w:t>352.7</w:t>
            </w:r>
          </w:p>
        </w:tc>
        <w:tc>
          <w:tcPr>
            <w:tcW w:w="140" w:type="dxa"/>
            <w:vAlign w:val="bottom"/>
          </w:tcPr>
          <w:p>
            <w:pPr>
              <w:spacing w:after="0"/>
              <w:rPr>
                <w:sz w:val="11"/>
                <w:szCs w:val="11"/>
                <w:color w:val="auto"/>
              </w:rPr>
            </w:pPr>
          </w:p>
        </w:tc>
        <w:tc>
          <w:tcPr>
            <w:tcW w:w="180" w:type="dxa"/>
            <w:vAlign w:val="bottom"/>
          </w:tcPr>
          <w:p>
            <w:pPr>
              <w:jc w:val="right"/>
              <w:spacing w:after="0" w:line="138" w:lineRule="exact"/>
              <w:rPr>
                <w:sz w:val="20"/>
                <w:szCs w:val="20"/>
                <w:color w:val="auto"/>
              </w:rPr>
            </w:pPr>
            <w:r>
              <w:rPr>
                <w:rFonts w:ascii="Arial" w:cs="Arial" w:eastAsia="Arial" w:hAnsi="Arial"/>
                <w:sz w:val="13"/>
                <w:szCs w:val="13"/>
                <w:color w:val="auto"/>
              </w:rPr>
              <w:t>$</w:t>
            </w:r>
          </w:p>
        </w:tc>
        <w:tc>
          <w:tcPr>
            <w:tcW w:w="340" w:type="dxa"/>
            <w:vAlign w:val="bottom"/>
          </w:tcPr>
          <w:p>
            <w:pPr>
              <w:jc w:val="right"/>
              <w:spacing w:after="0" w:line="138" w:lineRule="exact"/>
              <w:rPr>
                <w:sz w:val="20"/>
                <w:szCs w:val="20"/>
                <w:color w:val="auto"/>
              </w:rPr>
            </w:pPr>
            <w:r>
              <w:rPr>
                <w:rFonts w:ascii="Arial" w:cs="Arial" w:eastAsia="Arial" w:hAnsi="Arial"/>
                <w:sz w:val="13"/>
                <w:szCs w:val="13"/>
                <w:color w:val="auto"/>
                <w:w w:val="98"/>
              </w:rPr>
              <w:t>430.0</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0"/>
        </w:trPr>
        <w:tc>
          <w:tcPr>
            <w:tcW w:w="20" w:type="dxa"/>
            <w:vAlign w:val="bottom"/>
          </w:tcPr>
          <w:p>
            <w:pPr>
              <w:spacing w:after="0"/>
              <w:rPr>
                <w:sz w:val="10"/>
                <w:szCs w:val="10"/>
                <w:color w:val="auto"/>
              </w:rPr>
            </w:pPr>
          </w:p>
        </w:tc>
        <w:tc>
          <w:tcPr>
            <w:tcW w:w="6180" w:type="dxa"/>
            <w:vAlign w:val="bottom"/>
            <w:shd w:val="clear" w:color="auto" w:fill="CCEEFF"/>
          </w:tcPr>
          <w:p>
            <w:pPr>
              <w:spacing w:after="0" w:line="121" w:lineRule="exact"/>
              <w:rPr>
                <w:sz w:val="20"/>
                <w:szCs w:val="20"/>
                <w:color w:val="auto"/>
              </w:rPr>
            </w:pPr>
            <w:r>
              <w:rPr>
                <w:rFonts w:ascii="Arial" w:cs="Arial" w:eastAsia="Arial" w:hAnsi="Arial"/>
                <w:sz w:val="13"/>
                <w:szCs w:val="13"/>
                <w:b w:val="1"/>
                <w:bCs w:val="1"/>
                <w:color w:val="auto"/>
              </w:rPr>
              <w:t>Supplemental cash flow data:</w:t>
            </w:r>
          </w:p>
        </w:tc>
        <w:tc>
          <w:tcPr>
            <w:tcW w:w="1240" w:type="dxa"/>
            <w:vAlign w:val="bottom"/>
            <w:tcBorders>
              <w:right w:val="single" w:sz="8" w:color="CCEEFF"/>
            </w:tcBorders>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80" w:type="dxa"/>
            <w:vAlign w:val="bottom"/>
            <w:tcBorders>
              <w:right w:val="single" w:sz="8" w:color="CCEEFF"/>
            </w:tcBorders>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80" w:type="dxa"/>
            <w:vAlign w:val="bottom"/>
            <w:tcBorders>
              <w:right w:val="single" w:sz="8" w:color="CCEEFF"/>
            </w:tcBorders>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180" w:type="dxa"/>
            <w:vAlign w:val="bottom"/>
          </w:tcPr>
          <w:p>
            <w:pPr>
              <w:ind w:left="220"/>
              <w:spacing w:after="0" w:line="136" w:lineRule="exact"/>
              <w:rPr>
                <w:sz w:val="20"/>
                <w:szCs w:val="20"/>
                <w:color w:val="auto"/>
              </w:rPr>
            </w:pPr>
            <w:r>
              <w:rPr>
                <w:rFonts w:ascii="Arial" w:cs="Arial" w:eastAsia="Arial" w:hAnsi="Arial"/>
                <w:sz w:val="13"/>
                <w:szCs w:val="13"/>
                <w:color w:val="auto"/>
              </w:rPr>
              <w:t>Cash paid during the period for:</w:t>
            </w:r>
          </w:p>
        </w:tc>
        <w:tc>
          <w:tcPr>
            <w:tcW w:w="1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180" w:type="dxa"/>
            <w:vAlign w:val="bottom"/>
            <w:shd w:val="clear" w:color="auto" w:fill="CCEEFF"/>
          </w:tcPr>
          <w:p>
            <w:pPr>
              <w:ind w:left="480"/>
              <w:spacing w:after="0" w:line="136" w:lineRule="exact"/>
              <w:rPr>
                <w:sz w:val="20"/>
                <w:szCs w:val="20"/>
                <w:color w:val="auto"/>
              </w:rPr>
            </w:pPr>
            <w:r>
              <w:rPr>
                <w:rFonts w:ascii="Arial" w:cs="Arial" w:eastAsia="Arial" w:hAnsi="Arial"/>
                <w:sz w:val="13"/>
                <w:szCs w:val="13"/>
                <w:color w:val="auto"/>
              </w:rPr>
              <w:t>Interest</w:t>
            </w:r>
          </w:p>
        </w:tc>
        <w:tc>
          <w:tcPr>
            <w:tcW w:w="1240" w:type="dxa"/>
            <w:vAlign w:val="bottom"/>
            <w:tcBorders>
              <w:right w:val="single" w:sz="8" w:color="CCEEFF"/>
            </w:tcBorders>
            <w:shd w:val="clear" w:color="auto" w:fill="CCEEFF"/>
          </w:tcPr>
          <w:p>
            <w:pPr>
              <w:jc w:val="right"/>
              <w:spacing w:after="0" w:line="136" w:lineRule="exact"/>
              <w:rPr>
                <w:sz w:val="20"/>
                <w:szCs w:val="20"/>
                <w:color w:val="auto"/>
              </w:rPr>
            </w:pPr>
            <w:r>
              <w:rPr>
                <w:rFonts w:ascii="Arial" w:cs="Arial" w:eastAsia="Arial" w:hAnsi="Arial"/>
                <w:sz w:val="13"/>
                <w:szCs w:val="13"/>
                <w:color w:val="auto"/>
              </w:rPr>
              <w:t>$</w:t>
            </w:r>
          </w:p>
        </w:tc>
        <w:tc>
          <w:tcPr>
            <w:tcW w:w="360" w:type="dxa"/>
            <w:vAlign w:val="bottom"/>
            <w:shd w:val="clear" w:color="auto" w:fill="CCEEFF"/>
          </w:tcPr>
          <w:p>
            <w:pPr>
              <w:jc w:val="right"/>
              <w:spacing w:after="0" w:line="136" w:lineRule="exact"/>
              <w:rPr>
                <w:sz w:val="20"/>
                <w:szCs w:val="20"/>
                <w:color w:val="auto"/>
              </w:rPr>
            </w:pPr>
            <w:r>
              <w:rPr>
                <w:rFonts w:ascii="Arial" w:cs="Arial" w:eastAsia="Arial" w:hAnsi="Arial"/>
                <w:sz w:val="13"/>
                <w:szCs w:val="13"/>
                <w:color w:val="auto"/>
              </w:rPr>
              <w:t>13.2</w:t>
            </w:r>
          </w:p>
        </w:tc>
        <w:tc>
          <w:tcPr>
            <w:tcW w:w="140" w:type="dxa"/>
            <w:vAlign w:val="bottom"/>
            <w:shd w:val="clear" w:color="auto" w:fill="CCEEFF"/>
          </w:tcPr>
          <w:p>
            <w:pPr>
              <w:spacing w:after="0"/>
              <w:rPr>
                <w:sz w:val="11"/>
                <w:szCs w:val="11"/>
                <w:color w:val="auto"/>
              </w:rPr>
            </w:pPr>
          </w:p>
        </w:tc>
        <w:tc>
          <w:tcPr>
            <w:tcW w:w="180" w:type="dxa"/>
            <w:vAlign w:val="bottom"/>
            <w:tcBorders>
              <w:right w:val="single" w:sz="8" w:color="CCEEFF"/>
            </w:tcBorders>
            <w:shd w:val="clear" w:color="auto" w:fill="CCEEFF"/>
          </w:tcPr>
          <w:p>
            <w:pPr>
              <w:jc w:val="right"/>
              <w:spacing w:after="0" w:line="136" w:lineRule="exact"/>
              <w:rPr>
                <w:sz w:val="20"/>
                <w:szCs w:val="20"/>
                <w:color w:val="auto"/>
              </w:rPr>
            </w:pPr>
            <w:r>
              <w:rPr>
                <w:rFonts w:ascii="Arial" w:cs="Arial" w:eastAsia="Arial" w:hAnsi="Arial"/>
                <w:sz w:val="13"/>
                <w:szCs w:val="13"/>
                <w:color w:val="auto"/>
              </w:rPr>
              <w:t>$</w:t>
            </w:r>
          </w:p>
        </w:tc>
        <w:tc>
          <w:tcPr>
            <w:tcW w:w="340" w:type="dxa"/>
            <w:vAlign w:val="bottom"/>
            <w:shd w:val="clear" w:color="auto" w:fill="CCEEFF"/>
          </w:tcPr>
          <w:p>
            <w:pPr>
              <w:jc w:val="right"/>
              <w:spacing w:after="0" w:line="136" w:lineRule="exact"/>
              <w:rPr>
                <w:sz w:val="20"/>
                <w:szCs w:val="20"/>
                <w:color w:val="auto"/>
              </w:rPr>
            </w:pPr>
            <w:r>
              <w:rPr>
                <w:rFonts w:ascii="Arial" w:cs="Arial" w:eastAsia="Arial" w:hAnsi="Arial"/>
                <w:sz w:val="13"/>
                <w:szCs w:val="13"/>
                <w:color w:val="auto"/>
              </w:rPr>
              <w:t>14.9</w:t>
            </w:r>
          </w:p>
        </w:tc>
        <w:tc>
          <w:tcPr>
            <w:tcW w:w="140" w:type="dxa"/>
            <w:vAlign w:val="bottom"/>
            <w:shd w:val="clear" w:color="auto" w:fill="CCEEFF"/>
          </w:tcPr>
          <w:p>
            <w:pPr>
              <w:spacing w:after="0"/>
              <w:rPr>
                <w:sz w:val="11"/>
                <w:szCs w:val="11"/>
                <w:color w:val="auto"/>
              </w:rPr>
            </w:pPr>
          </w:p>
        </w:tc>
        <w:tc>
          <w:tcPr>
            <w:tcW w:w="180" w:type="dxa"/>
            <w:vAlign w:val="bottom"/>
            <w:tcBorders>
              <w:right w:val="single" w:sz="8" w:color="CCEEFF"/>
            </w:tcBorders>
            <w:shd w:val="clear" w:color="auto" w:fill="CCEEFF"/>
          </w:tcPr>
          <w:p>
            <w:pPr>
              <w:jc w:val="right"/>
              <w:spacing w:after="0" w:line="136" w:lineRule="exact"/>
              <w:rPr>
                <w:sz w:val="20"/>
                <w:szCs w:val="20"/>
                <w:color w:val="auto"/>
              </w:rPr>
            </w:pPr>
            <w:r>
              <w:rPr>
                <w:rFonts w:ascii="Arial" w:cs="Arial" w:eastAsia="Arial" w:hAnsi="Arial"/>
                <w:sz w:val="13"/>
                <w:szCs w:val="13"/>
                <w:color w:val="auto"/>
              </w:rPr>
              <w:t>$</w:t>
            </w:r>
          </w:p>
        </w:tc>
        <w:tc>
          <w:tcPr>
            <w:tcW w:w="340" w:type="dxa"/>
            <w:vAlign w:val="bottom"/>
            <w:shd w:val="clear" w:color="auto" w:fill="CCEEFF"/>
          </w:tcPr>
          <w:p>
            <w:pPr>
              <w:jc w:val="right"/>
              <w:spacing w:after="0" w:line="136" w:lineRule="exact"/>
              <w:rPr>
                <w:sz w:val="20"/>
                <w:szCs w:val="20"/>
                <w:color w:val="auto"/>
              </w:rPr>
            </w:pPr>
            <w:r>
              <w:rPr>
                <w:rFonts w:ascii="Arial" w:cs="Arial" w:eastAsia="Arial" w:hAnsi="Arial"/>
                <w:sz w:val="13"/>
                <w:szCs w:val="13"/>
                <w:color w:val="auto"/>
              </w:rPr>
              <w:t>10.8</w:t>
            </w: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80" w:type="dxa"/>
            <w:vAlign w:val="bottom"/>
            <w:vMerge w:val="restart"/>
          </w:tcPr>
          <w:p>
            <w:pPr>
              <w:ind w:left="480"/>
              <w:spacing w:after="0"/>
              <w:rPr>
                <w:sz w:val="20"/>
                <w:szCs w:val="20"/>
                <w:color w:val="auto"/>
              </w:rPr>
            </w:pPr>
            <w:r>
              <w:rPr>
                <w:rFonts w:ascii="Arial" w:cs="Arial" w:eastAsia="Arial" w:hAnsi="Arial"/>
                <w:sz w:val="13"/>
                <w:szCs w:val="13"/>
                <w:color w:val="auto"/>
              </w:rPr>
              <w:t>Income taxes</w:t>
            </w:r>
          </w:p>
        </w:tc>
        <w:tc>
          <w:tcPr>
            <w:tcW w:w="12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0"/>
        </w:trPr>
        <w:tc>
          <w:tcPr>
            <w:tcW w:w="20" w:type="dxa"/>
            <w:vAlign w:val="bottom"/>
          </w:tcPr>
          <w:p>
            <w:pPr>
              <w:spacing w:after="0"/>
              <w:rPr>
                <w:sz w:val="10"/>
                <w:szCs w:val="10"/>
                <w:color w:val="auto"/>
              </w:rPr>
            </w:pPr>
          </w:p>
        </w:tc>
        <w:tc>
          <w:tcPr>
            <w:tcW w:w="6180" w:type="dxa"/>
            <w:vAlign w:val="bottom"/>
            <w:vMerge w:val="continue"/>
          </w:tcPr>
          <w:p>
            <w:pPr>
              <w:spacing w:after="0"/>
              <w:rPr>
                <w:sz w:val="10"/>
                <w:szCs w:val="10"/>
                <w:color w:val="auto"/>
              </w:rPr>
            </w:pPr>
          </w:p>
        </w:tc>
        <w:tc>
          <w:tcPr>
            <w:tcW w:w="1240" w:type="dxa"/>
            <w:vAlign w:val="bottom"/>
          </w:tcPr>
          <w:p>
            <w:pPr>
              <w:jc w:val="right"/>
              <w:spacing w:after="0" w:line="121" w:lineRule="exact"/>
              <w:rPr>
                <w:sz w:val="20"/>
                <w:szCs w:val="20"/>
                <w:color w:val="auto"/>
              </w:rPr>
            </w:pPr>
            <w:r>
              <w:rPr>
                <w:rFonts w:ascii="Arial" w:cs="Arial" w:eastAsia="Arial" w:hAnsi="Arial"/>
                <w:sz w:val="13"/>
                <w:szCs w:val="13"/>
                <w:color w:val="auto"/>
              </w:rPr>
              <w:t>$</w:t>
            </w:r>
          </w:p>
        </w:tc>
        <w:tc>
          <w:tcPr>
            <w:tcW w:w="360" w:type="dxa"/>
            <w:vAlign w:val="bottom"/>
          </w:tcPr>
          <w:p>
            <w:pPr>
              <w:jc w:val="right"/>
              <w:spacing w:after="0" w:line="121" w:lineRule="exact"/>
              <w:rPr>
                <w:sz w:val="20"/>
                <w:szCs w:val="20"/>
                <w:color w:val="auto"/>
              </w:rPr>
            </w:pPr>
            <w:r>
              <w:rPr>
                <w:rFonts w:ascii="Arial" w:cs="Arial" w:eastAsia="Arial" w:hAnsi="Arial"/>
                <w:sz w:val="13"/>
                <w:szCs w:val="13"/>
                <w:color w:val="auto"/>
              </w:rPr>
              <w:t>0.2</w:t>
            </w:r>
          </w:p>
        </w:tc>
        <w:tc>
          <w:tcPr>
            <w:tcW w:w="140" w:type="dxa"/>
            <w:vAlign w:val="bottom"/>
          </w:tcPr>
          <w:p>
            <w:pPr>
              <w:spacing w:after="0"/>
              <w:rPr>
                <w:sz w:val="10"/>
                <w:szCs w:val="10"/>
                <w:color w:val="auto"/>
              </w:rPr>
            </w:pPr>
          </w:p>
        </w:tc>
        <w:tc>
          <w:tcPr>
            <w:tcW w:w="180" w:type="dxa"/>
            <w:vAlign w:val="bottom"/>
          </w:tcPr>
          <w:p>
            <w:pPr>
              <w:jc w:val="right"/>
              <w:spacing w:after="0" w:line="121" w:lineRule="exact"/>
              <w:rPr>
                <w:sz w:val="20"/>
                <w:szCs w:val="20"/>
                <w:color w:val="auto"/>
              </w:rPr>
            </w:pPr>
            <w:r>
              <w:rPr>
                <w:rFonts w:ascii="Arial" w:cs="Arial" w:eastAsia="Arial" w:hAnsi="Arial"/>
                <w:sz w:val="13"/>
                <w:szCs w:val="13"/>
                <w:color w:val="auto"/>
              </w:rPr>
              <w:t>$</w:t>
            </w:r>
          </w:p>
        </w:tc>
        <w:tc>
          <w:tcPr>
            <w:tcW w:w="340" w:type="dxa"/>
            <w:vAlign w:val="bottom"/>
          </w:tcPr>
          <w:p>
            <w:pPr>
              <w:jc w:val="right"/>
              <w:spacing w:after="0" w:line="121" w:lineRule="exact"/>
              <w:rPr>
                <w:sz w:val="20"/>
                <w:szCs w:val="20"/>
                <w:color w:val="auto"/>
              </w:rPr>
            </w:pPr>
            <w:r>
              <w:rPr>
                <w:rFonts w:ascii="Arial" w:cs="Arial" w:eastAsia="Arial" w:hAnsi="Arial"/>
                <w:sz w:val="13"/>
                <w:szCs w:val="13"/>
                <w:color w:val="auto"/>
              </w:rPr>
              <w:t>1.5</w:t>
            </w:r>
          </w:p>
        </w:tc>
        <w:tc>
          <w:tcPr>
            <w:tcW w:w="140" w:type="dxa"/>
            <w:vAlign w:val="bottom"/>
          </w:tcPr>
          <w:p>
            <w:pPr>
              <w:spacing w:after="0"/>
              <w:rPr>
                <w:sz w:val="10"/>
                <w:szCs w:val="10"/>
                <w:color w:val="auto"/>
              </w:rPr>
            </w:pPr>
          </w:p>
        </w:tc>
        <w:tc>
          <w:tcPr>
            <w:tcW w:w="180" w:type="dxa"/>
            <w:vAlign w:val="bottom"/>
          </w:tcPr>
          <w:p>
            <w:pPr>
              <w:jc w:val="right"/>
              <w:spacing w:after="0" w:line="121" w:lineRule="exact"/>
              <w:rPr>
                <w:sz w:val="20"/>
                <w:szCs w:val="20"/>
                <w:color w:val="auto"/>
              </w:rPr>
            </w:pPr>
            <w:r>
              <w:rPr>
                <w:rFonts w:ascii="Arial" w:cs="Arial" w:eastAsia="Arial" w:hAnsi="Arial"/>
                <w:sz w:val="13"/>
                <w:szCs w:val="13"/>
                <w:color w:val="auto"/>
              </w:rPr>
              <w:t>$</w:t>
            </w:r>
          </w:p>
        </w:tc>
        <w:tc>
          <w:tcPr>
            <w:tcW w:w="340" w:type="dxa"/>
            <w:vAlign w:val="bottom"/>
          </w:tcPr>
          <w:p>
            <w:pPr>
              <w:jc w:val="right"/>
              <w:spacing w:after="0" w:line="121" w:lineRule="exact"/>
              <w:rPr>
                <w:sz w:val="20"/>
                <w:szCs w:val="20"/>
                <w:color w:val="auto"/>
              </w:rPr>
            </w:pPr>
            <w:r>
              <w:rPr>
                <w:rFonts w:ascii="Arial" w:cs="Arial" w:eastAsia="Arial" w:hAnsi="Arial"/>
                <w:sz w:val="13"/>
                <w:szCs w:val="13"/>
                <w:color w:val="auto"/>
              </w:rPr>
              <w:t>3.4</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0"/>
        </w:trPr>
        <w:tc>
          <w:tcPr>
            <w:tcW w:w="20" w:type="dxa"/>
            <w:vAlign w:val="bottom"/>
          </w:tcPr>
          <w:p>
            <w:pPr>
              <w:spacing w:after="0"/>
              <w:rPr>
                <w:sz w:val="10"/>
                <w:szCs w:val="10"/>
                <w:color w:val="auto"/>
              </w:rPr>
            </w:pPr>
          </w:p>
        </w:tc>
        <w:tc>
          <w:tcPr>
            <w:tcW w:w="6180" w:type="dxa"/>
            <w:vAlign w:val="bottom"/>
            <w:shd w:val="clear" w:color="auto" w:fill="CCEEFF"/>
          </w:tcPr>
          <w:p>
            <w:pPr>
              <w:ind w:left="220"/>
              <w:spacing w:after="0" w:line="121" w:lineRule="exact"/>
              <w:rPr>
                <w:sz w:val="20"/>
                <w:szCs w:val="20"/>
                <w:color w:val="auto"/>
              </w:rPr>
            </w:pPr>
            <w:r>
              <w:rPr>
                <w:rFonts w:ascii="Arial" w:cs="Arial" w:eastAsia="Arial" w:hAnsi="Arial"/>
                <w:sz w:val="13"/>
                <w:szCs w:val="13"/>
                <w:color w:val="auto"/>
              </w:rPr>
              <w:t>Non-cash investing and financing activities:</w:t>
            </w:r>
          </w:p>
        </w:tc>
        <w:tc>
          <w:tcPr>
            <w:tcW w:w="1240" w:type="dxa"/>
            <w:vAlign w:val="bottom"/>
            <w:tcBorders>
              <w:right w:val="single" w:sz="8" w:color="CCEEFF"/>
            </w:tcBorders>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80" w:type="dxa"/>
            <w:vAlign w:val="bottom"/>
            <w:tcBorders>
              <w:right w:val="single" w:sz="8" w:color="CCEEFF"/>
            </w:tcBorders>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80" w:type="dxa"/>
            <w:vAlign w:val="bottom"/>
            <w:tcBorders>
              <w:right w:val="single" w:sz="8" w:color="CCEEFF"/>
            </w:tcBorders>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180" w:type="dxa"/>
            <w:vAlign w:val="bottom"/>
          </w:tcPr>
          <w:p>
            <w:pPr>
              <w:ind w:left="480"/>
              <w:spacing w:after="0" w:line="136" w:lineRule="exact"/>
              <w:rPr>
                <w:sz w:val="20"/>
                <w:szCs w:val="20"/>
                <w:color w:val="auto"/>
              </w:rPr>
            </w:pPr>
            <w:r>
              <w:rPr>
                <w:rFonts w:ascii="Arial" w:cs="Arial" w:eastAsia="Arial" w:hAnsi="Arial"/>
                <w:sz w:val="13"/>
                <w:szCs w:val="13"/>
                <w:color w:val="auto"/>
              </w:rPr>
              <w:t>Property and equipment received and accrued in accounts payable and accrued liabilities</w:t>
            </w:r>
          </w:p>
        </w:tc>
        <w:tc>
          <w:tcPr>
            <w:tcW w:w="1240" w:type="dxa"/>
            <w:vAlign w:val="bottom"/>
          </w:tcPr>
          <w:p>
            <w:pPr>
              <w:jc w:val="right"/>
              <w:spacing w:after="0" w:line="136" w:lineRule="exact"/>
              <w:rPr>
                <w:sz w:val="20"/>
                <w:szCs w:val="20"/>
                <w:color w:val="auto"/>
              </w:rPr>
            </w:pPr>
            <w:r>
              <w:rPr>
                <w:rFonts w:ascii="Arial" w:cs="Arial" w:eastAsia="Arial" w:hAnsi="Arial"/>
                <w:sz w:val="13"/>
                <w:szCs w:val="13"/>
                <w:color w:val="auto"/>
              </w:rPr>
              <w:t>$</w:t>
            </w:r>
          </w:p>
        </w:tc>
        <w:tc>
          <w:tcPr>
            <w:tcW w:w="360" w:type="dxa"/>
            <w:vAlign w:val="bottom"/>
          </w:tcPr>
          <w:p>
            <w:pPr>
              <w:jc w:val="right"/>
              <w:spacing w:after="0" w:line="136" w:lineRule="exact"/>
              <w:rPr>
                <w:sz w:val="20"/>
                <w:szCs w:val="20"/>
                <w:color w:val="auto"/>
              </w:rPr>
            </w:pPr>
            <w:r>
              <w:rPr>
                <w:rFonts w:ascii="Arial" w:cs="Arial" w:eastAsia="Arial" w:hAnsi="Arial"/>
                <w:sz w:val="13"/>
                <w:szCs w:val="13"/>
                <w:color w:val="auto"/>
              </w:rPr>
              <w:t>23.8</w:t>
            </w:r>
          </w:p>
        </w:tc>
        <w:tc>
          <w:tcPr>
            <w:tcW w:w="140" w:type="dxa"/>
            <w:vAlign w:val="bottom"/>
          </w:tcPr>
          <w:p>
            <w:pPr>
              <w:spacing w:after="0"/>
              <w:rPr>
                <w:sz w:val="11"/>
                <w:szCs w:val="11"/>
                <w:color w:val="auto"/>
              </w:rPr>
            </w:pPr>
          </w:p>
        </w:tc>
        <w:tc>
          <w:tcPr>
            <w:tcW w:w="180" w:type="dxa"/>
            <w:vAlign w:val="bottom"/>
          </w:tcPr>
          <w:p>
            <w:pPr>
              <w:jc w:val="right"/>
              <w:spacing w:after="0" w:line="136" w:lineRule="exact"/>
              <w:rPr>
                <w:sz w:val="20"/>
                <w:szCs w:val="20"/>
                <w:color w:val="auto"/>
              </w:rPr>
            </w:pPr>
            <w:r>
              <w:rPr>
                <w:rFonts w:ascii="Arial" w:cs="Arial" w:eastAsia="Arial" w:hAnsi="Arial"/>
                <w:sz w:val="13"/>
                <w:szCs w:val="13"/>
                <w:color w:val="auto"/>
              </w:rPr>
              <w:t>$</w:t>
            </w:r>
          </w:p>
        </w:tc>
        <w:tc>
          <w:tcPr>
            <w:tcW w:w="340" w:type="dxa"/>
            <w:vAlign w:val="bottom"/>
          </w:tcPr>
          <w:p>
            <w:pPr>
              <w:jc w:val="right"/>
              <w:spacing w:after="0" w:line="136" w:lineRule="exact"/>
              <w:rPr>
                <w:sz w:val="20"/>
                <w:szCs w:val="20"/>
                <w:color w:val="auto"/>
              </w:rPr>
            </w:pPr>
            <w:r>
              <w:rPr>
                <w:rFonts w:ascii="Arial" w:cs="Arial" w:eastAsia="Arial" w:hAnsi="Arial"/>
                <w:sz w:val="13"/>
                <w:szCs w:val="13"/>
                <w:color w:val="auto"/>
              </w:rPr>
              <w:t>7.6</w:t>
            </w:r>
          </w:p>
        </w:tc>
        <w:tc>
          <w:tcPr>
            <w:tcW w:w="140" w:type="dxa"/>
            <w:vAlign w:val="bottom"/>
          </w:tcPr>
          <w:p>
            <w:pPr>
              <w:spacing w:after="0"/>
              <w:rPr>
                <w:sz w:val="11"/>
                <w:szCs w:val="11"/>
                <w:color w:val="auto"/>
              </w:rPr>
            </w:pPr>
          </w:p>
        </w:tc>
        <w:tc>
          <w:tcPr>
            <w:tcW w:w="180" w:type="dxa"/>
            <w:vAlign w:val="bottom"/>
          </w:tcPr>
          <w:p>
            <w:pPr>
              <w:jc w:val="right"/>
              <w:spacing w:after="0" w:line="136" w:lineRule="exact"/>
              <w:rPr>
                <w:sz w:val="20"/>
                <w:szCs w:val="20"/>
                <w:color w:val="auto"/>
              </w:rPr>
            </w:pPr>
            <w:r>
              <w:rPr>
                <w:rFonts w:ascii="Arial" w:cs="Arial" w:eastAsia="Arial" w:hAnsi="Arial"/>
                <w:sz w:val="13"/>
                <w:szCs w:val="13"/>
                <w:color w:val="auto"/>
              </w:rPr>
              <w:t>$</w:t>
            </w:r>
          </w:p>
        </w:tc>
        <w:tc>
          <w:tcPr>
            <w:tcW w:w="340" w:type="dxa"/>
            <w:vAlign w:val="bottom"/>
          </w:tcPr>
          <w:p>
            <w:pPr>
              <w:jc w:val="right"/>
              <w:spacing w:after="0" w:line="136" w:lineRule="exact"/>
              <w:rPr>
                <w:sz w:val="20"/>
                <w:szCs w:val="20"/>
                <w:color w:val="auto"/>
              </w:rPr>
            </w:pPr>
            <w:r>
              <w:rPr>
                <w:rFonts w:ascii="Arial" w:cs="Arial" w:eastAsia="Arial" w:hAnsi="Arial"/>
                <w:sz w:val="13"/>
                <w:szCs w:val="13"/>
                <w:color w:val="auto"/>
              </w:rPr>
              <w:t>2.4</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0"/>
        </w:trPr>
        <w:tc>
          <w:tcPr>
            <w:tcW w:w="20" w:type="dxa"/>
            <w:vAlign w:val="bottom"/>
          </w:tcPr>
          <w:p>
            <w:pPr>
              <w:spacing w:after="0"/>
              <w:rPr>
                <w:sz w:val="10"/>
                <w:szCs w:val="10"/>
                <w:color w:val="auto"/>
              </w:rPr>
            </w:pPr>
          </w:p>
        </w:tc>
        <w:tc>
          <w:tcPr>
            <w:tcW w:w="6180" w:type="dxa"/>
            <w:vAlign w:val="bottom"/>
            <w:shd w:val="clear" w:color="auto" w:fill="CCEEFF"/>
          </w:tcPr>
          <w:p>
            <w:pPr>
              <w:ind w:left="480"/>
              <w:spacing w:after="0" w:line="121" w:lineRule="exact"/>
              <w:rPr>
                <w:sz w:val="20"/>
                <w:szCs w:val="20"/>
                <w:color w:val="auto"/>
              </w:rPr>
            </w:pPr>
            <w:r>
              <w:rPr>
                <w:rFonts w:ascii="Arial" w:cs="Arial" w:eastAsia="Arial" w:hAnsi="Arial"/>
                <w:sz w:val="13"/>
                <w:szCs w:val="13"/>
                <w:color w:val="auto"/>
              </w:rPr>
              <w:t>Property and equipment acquired under capital leases</w:t>
            </w:r>
          </w:p>
        </w:tc>
        <w:tc>
          <w:tcPr>
            <w:tcW w:w="1240" w:type="dxa"/>
            <w:vAlign w:val="bottom"/>
            <w:tcBorders>
              <w:right w:val="single" w:sz="8" w:color="CCEEFF"/>
            </w:tcBorders>
            <w:shd w:val="clear" w:color="auto" w:fill="CCEEFF"/>
          </w:tcPr>
          <w:p>
            <w:pPr>
              <w:jc w:val="right"/>
              <w:spacing w:after="0" w:line="121" w:lineRule="exact"/>
              <w:rPr>
                <w:sz w:val="20"/>
                <w:szCs w:val="20"/>
                <w:color w:val="auto"/>
              </w:rPr>
            </w:pPr>
            <w:r>
              <w:rPr>
                <w:rFonts w:ascii="Arial" w:cs="Arial" w:eastAsia="Arial" w:hAnsi="Arial"/>
                <w:sz w:val="13"/>
                <w:szCs w:val="13"/>
                <w:color w:val="auto"/>
              </w:rPr>
              <w:t>$</w:t>
            </w:r>
          </w:p>
        </w:tc>
        <w:tc>
          <w:tcPr>
            <w:tcW w:w="360" w:type="dxa"/>
            <w:vAlign w:val="bottom"/>
            <w:shd w:val="clear" w:color="auto" w:fill="CCEEFF"/>
          </w:tcPr>
          <w:p>
            <w:pPr>
              <w:jc w:val="right"/>
              <w:spacing w:after="0" w:line="121" w:lineRule="exact"/>
              <w:rPr>
                <w:sz w:val="20"/>
                <w:szCs w:val="20"/>
                <w:color w:val="auto"/>
              </w:rPr>
            </w:pPr>
            <w:r>
              <w:rPr>
                <w:rFonts w:ascii="Arial" w:cs="Arial" w:eastAsia="Arial" w:hAnsi="Arial"/>
                <w:sz w:val="13"/>
                <w:szCs w:val="13"/>
                <w:color w:val="auto"/>
                <w:w w:val="98"/>
              </w:rPr>
              <w:t>226.3</w:t>
            </w:r>
          </w:p>
        </w:tc>
        <w:tc>
          <w:tcPr>
            <w:tcW w:w="140" w:type="dxa"/>
            <w:vAlign w:val="bottom"/>
            <w:shd w:val="clear" w:color="auto" w:fill="CCEEFF"/>
          </w:tcPr>
          <w:p>
            <w:pPr>
              <w:spacing w:after="0"/>
              <w:rPr>
                <w:sz w:val="10"/>
                <w:szCs w:val="10"/>
                <w:color w:val="auto"/>
              </w:rPr>
            </w:pPr>
          </w:p>
        </w:tc>
        <w:tc>
          <w:tcPr>
            <w:tcW w:w="180" w:type="dxa"/>
            <w:vAlign w:val="bottom"/>
            <w:tcBorders>
              <w:right w:val="single" w:sz="8" w:color="CCEEFF"/>
            </w:tcBorders>
            <w:shd w:val="clear" w:color="auto" w:fill="CCEEFF"/>
          </w:tcPr>
          <w:p>
            <w:pPr>
              <w:jc w:val="right"/>
              <w:spacing w:after="0" w:line="121" w:lineRule="exact"/>
              <w:rPr>
                <w:sz w:val="20"/>
                <w:szCs w:val="20"/>
                <w:color w:val="auto"/>
              </w:rPr>
            </w:pPr>
            <w:r>
              <w:rPr>
                <w:rFonts w:ascii="Arial" w:cs="Arial" w:eastAsia="Arial" w:hAnsi="Arial"/>
                <w:sz w:val="13"/>
                <w:szCs w:val="13"/>
                <w:color w:val="auto"/>
              </w:rPr>
              <w:t>$</w:t>
            </w:r>
          </w:p>
        </w:tc>
        <w:tc>
          <w:tcPr>
            <w:tcW w:w="340" w:type="dxa"/>
            <w:vAlign w:val="bottom"/>
            <w:shd w:val="clear" w:color="auto" w:fill="CCEEFF"/>
          </w:tcPr>
          <w:p>
            <w:pPr>
              <w:jc w:val="right"/>
              <w:spacing w:after="0" w:line="121" w:lineRule="exact"/>
              <w:rPr>
                <w:sz w:val="20"/>
                <w:szCs w:val="20"/>
                <w:color w:val="auto"/>
              </w:rPr>
            </w:pPr>
            <w:r>
              <w:rPr>
                <w:rFonts w:ascii="Arial" w:cs="Arial" w:eastAsia="Arial" w:hAnsi="Arial"/>
                <w:sz w:val="13"/>
                <w:szCs w:val="13"/>
                <w:color w:val="auto"/>
              </w:rPr>
              <w:t>92.2</w:t>
            </w:r>
          </w:p>
        </w:tc>
        <w:tc>
          <w:tcPr>
            <w:tcW w:w="140" w:type="dxa"/>
            <w:vAlign w:val="bottom"/>
            <w:shd w:val="clear" w:color="auto" w:fill="CCEEFF"/>
          </w:tcPr>
          <w:p>
            <w:pPr>
              <w:spacing w:after="0"/>
              <w:rPr>
                <w:sz w:val="10"/>
                <w:szCs w:val="10"/>
                <w:color w:val="auto"/>
              </w:rPr>
            </w:pPr>
          </w:p>
        </w:tc>
        <w:tc>
          <w:tcPr>
            <w:tcW w:w="180" w:type="dxa"/>
            <w:vAlign w:val="bottom"/>
            <w:tcBorders>
              <w:right w:val="single" w:sz="8" w:color="CCEEFF"/>
            </w:tcBorders>
            <w:shd w:val="clear" w:color="auto" w:fill="CCEEFF"/>
          </w:tcPr>
          <w:p>
            <w:pPr>
              <w:jc w:val="right"/>
              <w:spacing w:after="0" w:line="121" w:lineRule="exact"/>
              <w:rPr>
                <w:sz w:val="20"/>
                <w:szCs w:val="20"/>
                <w:color w:val="auto"/>
              </w:rPr>
            </w:pPr>
            <w:r>
              <w:rPr>
                <w:rFonts w:ascii="Arial" w:cs="Arial" w:eastAsia="Arial" w:hAnsi="Arial"/>
                <w:sz w:val="13"/>
                <w:szCs w:val="13"/>
                <w:color w:val="auto"/>
              </w:rPr>
              <w:t>$</w:t>
            </w:r>
          </w:p>
        </w:tc>
        <w:tc>
          <w:tcPr>
            <w:tcW w:w="340" w:type="dxa"/>
            <w:vAlign w:val="bottom"/>
            <w:shd w:val="clear" w:color="auto" w:fill="CCEEFF"/>
          </w:tcPr>
          <w:p>
            <w:pPr>
              <w:jc w:val="right"/>
              <w:spacing w:after="0" w:line="121" w:lineRule="exact"/>
              <w:rPr>
                <w:sz w:val="20"/>
                <w:szCs w:val="20"/>
                <w:color w:val="auto"/>
              </w:rPr>
            </w:pPr>
            <w:r>
              <w:rPr>
                <w:rFonts w:ascii="Arial" w:cs="Arial" w:eastAsia="Arial" w:hAnsi="Arial"/>
                <w:sz w:val="13"/>
                <w:szCs w:val="13"/>
                <w:color w:val="auto"/>
              </w:rPr>
              <w:t>44.9</w:t>
            </w:r>
          </w:p>
        </w:tc>
        <w:tc>
          <w:tcPr>
            <w:tcW w:w="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80" w:type="dxa"/>
            <w:vAlign w:val="bottom"/>
            <w:vMerge w:val="restart"/>
          </w:tcPr>
          <w:p>
            <w:pPr>
              <w:ind w:left="480"/>
              <w:spacing w:after="0"/>
              <w:rPr>
                <w:sz w:val="20"/>
                <w:szCs w:val="20"/>
                <w:color w:val="auto"/>
              </w:rPr>
            </w:pPr>
            <w:r>
              <w:rPr>
                <w:rFonts w:ascii="Arial" w:cs="Arial" w:eastAsia="Arial" w:hAnsi="Arial"/>
                <w:sz w:val="13"/>
                <w:szCs w:val="13"/>
                <w:color w:val="auto"/>
              </w:rPr>
              <w:t>Fair value of shares issued related to acquisitions of businesses and other assets</w:t>
            </w:r>
          </w:p>
        </w:tc>
        <w:tc>
          <w:tcPr>
            <w:tcW w:w="12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0"/>
        </w:trPr>
        <w:tc>
          <w:tcPr>
            <w:tcW w:w="20" w:type="dxa"/>
            <w:vAlign w:val="bottom"/>
          </w:tcPr>
          <w:p>
            <w:pPr>
              <w:spacing w:after="0"/>
              <w:rPr>
                <w:sz w:val="10"/>
                <w:szCs w:val="10"/>
                <w:color w:val="auto"/>
              </w:rPr>
            </w:pPr>
          </w:p>
        </w:tc>
        <w:tc>
          <w:tcPr>
            <w:tcW w:w="6180" w:type="dxa"/>
            <w:vAlign w:val="bottom"/>
            <w:vMerge w:val="continue"/>
          </w:tcPr>
          <w:p>
            <w:pPr>
              <w:spacing w:after="0"/>
              <w:rPr>
                <w:sz w:val="10"/>
                <w:szCs w:val="10"/>
                <w:color w:val="auto"/>
              </w:rPr>
            </w:pPr>
          </w:p>
        </w:tc>
        <w:tc>
          <w:tcPr>
            <w:tcW w:w="1240" w:type="dxa"/>
            <w:vAlign w:val="bottom"/>
          </w:tcPr>
          <w:p>
            <w:pPr>
              <w:jc w:val="right"/>
              <w:spacing w:after="0" w:line="121" w:lineRule="exact"/>
              <w:rPr>
                <w:sz w:val="20"/>
                <w:szCs w:val="20"/>
                <w:color w:val="auto"/>
              </w:rPr>
            </w:pPr>
            <w:r>
              <w:rPr>
                <w:rFonts w:ascii="Arial" w:cs="Arial" w:eastAsia="Arial" w:hAnsi="Arial"/>
                <w:sz w:val="13"/>
                <w:szCs w:val="13"/>
                <w:color w:val="auto"/>
              </w:rPr>
              <w:t>$</w:t>
            </w:r>
          </w:p>
        </w:tc>
        <w:tc>
          <w:tcPr>
            <w:tcW w:w="360" w:type="dxa"/>
            <w:vAlign w:val="bottom"/>
          </w:tcPr>
          <w:p>
            <w:pPr>
              <w:jc w:val="right"/>
              <w:spacing w:after="0" w:line="121" w:lineRule="exact"/>
              <w:rPr>
                <w:sz w:val="20"/>
                <w:szCs w:val="20"/>
                <w:color w:val="auto"/>
              </w:rPr>
            </w:pPr>
            <w:r>
              <w:rPr>
                <w:rFonts w:ascii="Arial" w:cs="Arial" w:eastAsia="Arial" w:hAnsi="Arial"/>
                <w:sz w:val="13"/>
                <w:szCs w:val="13"/>
                <w:color w:val="auto"/>
              </w:rPr>
              <w:t>35.2</w:t>
            </w:r>
          </w:p>
        </w:tc>
        <w:tc>
          <w:tcPr>
            <w:tcW w:w="140" w:type="dxa"/>
            <w:vAlign w:val="bottom"/>
          </w:tcPr>
          <w:p>
            <w:pPr>
              <w:spacing w:after="0"/>
              <w:rPr>
                <w:sz w:val="10"/>
                <w:szCs w:val="10"/>
                <w:color w:val="auto"/>
              </w:rPr>
            </w:pPr>
          </w:p>
        </w:tc>
        <w:tc>
          <w:tcPr>
            <w:tcW w:w="180" w:type="dxa"/>
            <w:vAlign w:val="bottom"/>
          </w:tcPr>
          <w:p>
            <w:pPr>
              <w:jc w:val="right"/>
              <w:spacing w:after="0" w:line="121" w:lineRule="exact"/>
              <w:rPr>
                <w:sz w:val="20"/>
                <w:szCs w:val="20"/>
                <w:color w:val="auto"/>
              </w:rPr>
            </w:pPr>
            <w:r>
              <w:rPr>
                <w:rFonts w:ascii="Arial" w:cs="Arial" w:eastAsia="Arial" w:hAnsi="Arial"/>
                <w:sz w:val="13"/>
                <w:szCs w:val="13"/>
                <w:color w:val="auto"/>
              </w:rPr>
              <w:t>$</w:t>
            </w:r>
          </w:p>
        </w:tc>
        <w:tc>
          <w:tcPr>
            <w:tcW w:w="340" w:type="dxa"/>
            <w:vAlign w:val="bottom"/>
          </w:tcPr>
          <w:p>
            <w:pPr>
              <w:jc w:val="right"/>
              <w:spacing w:after="0" w:line="121" w:lineRule="exact"/>
              <w:rPr>
                <w:sz w:val="20"/>
                <w:szCs w:val="20"/>
                <w:color w:val="auto"/>
              </w:rPr>
            </w:pPr>
            <w:r>
              <w:rPr>
                <w:rFonts w:ascii="Arial" w:cs="Arial" w:eastAsia="Arial" w:hAnsi="Arial"/>
                <w:sz w:val="13"/>
                <w:szCs w:val="13"/>
                <w:color w:val="auto"/>
              </w:rPr>
              <w:t>0.7</w:t>
            </w:r>
          </w:p>
        </w:tc>
        <w:tc>
          <w:tcPr>
            <w:tcW w:w="140" w:type="dxa"/>
            <w:vAlign w:val="bottom"/>
          </w:tcPr>
          <w:p>
            <w:pPr>
              <w:spacing w:after="0"/>
              <w:rPr>
                <w:sz w:val="10"/>
                <w:szCs w:val="10"/>
                <w:color w:val="auto"/>
              </w:rPr>
            </w:pPr>
          </w:p>
        </w:tc>
        <w:tc>
          <w:tcPr>
            <w:tcW w:w="180" w:type="dxa"/>
            <w:vAlign w:val="bottom"/>
          </w:tcPr>
          <w:p>
            <w:pPr>
              <w:jc w:val="right"/>
              <w:spacing w:after="0" w:line="121" w:lineRule="exact"/>
              <w:rPr>
                <w:sz w:val="20"/>
                <w:szCs w:val="20"/>
                <w:color w:val="auto"/>
              </w:rPr>
            </w:pPr>
            <w:r>
              <w:rPr>
                <w:rFonts w:ascii="Arial" w:cs="Arial" w:eastAsia="Arial" w:hAnsi="Arial"/>
                <w:sz w:val="13"/>
                <w:szCs w:val="13"/>
                <w:color w:val="auto"/>
              </w:rPr>
              <w:t>$</w:t>
            </w:r>
          </w:p>
        </w:tc>
        <w:tc>
          <w:tcPr>
            <w:tcW w:w="420" w:type="dxa"/>
            <w:vAlign w:val="bottom"/>
            <w:gridSpan w:val="2"/>
          </w:tcPr>
          <w:p>
            <w:pPr>
              <w:jc w:val="right"/>
              <w:ind w:right="140"/>
              <w:spacing w:after="0" w:line="121"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0"/>
        </w:trPr>
        <w:tc>
          <w:tcPr>
            <w:tcW w:w="20" w:type="dxa"/>
            <w:vAlign w:val="bottom"/>
          </w:tcPr>
          <w:p>
            <w:pPr>
              <w:spacing w:after="0"/>
              <w:rPr>
                <w:sz w:val="10"/>
                <w:szCs w:val="10"/>
                <w:color w:val="auto"/>
              </w:rPr>
            </w:pPr>
          </w:p>
        </w:tc>
        <w:tc>
          <w:tcPr>
            <w:tcW w:w="6180" w:type="dxa"/>
            <w:vAlign w:val="bottom"/>
            <w:shd w:val="clear" w:color="auto" w:fill="CCEEFF"/>
          </w:tcPr>
          <w:p>
            <w:pPr>
              <w:ind w:left="480"/>
              <w:spacing w:after="0" w:line="121" w:lineRule="exact"/>
              <w:rPr>
                <w:sz w:val="20"/>
                <w:szCs w:val="20"/>
                <w:color w:val="auto"/>
              </w:rPr>
            </w:pPr>
            <w:r>
              <w:rPr>
                <w:rFonts w:ascii="Arial" w:cs="Arial" w:eastAsia="Arial" w:hAnsi="Arial"/>
                <w:sz w:val="13"/>
                <w:szCs w:val="13"/>
                <w:color w:val="auto"/>
              </w:rPr>
              <w:t>Deferred offering costs accrued in accounts payable and accrued liabilities</w:t>
            </w:r>
          </w:p>
        </w:tc>
        <w:tc>
          <w:tcPr>
            <w:tcW w:w="1240" w:type="dxa"/>
            <w:vAlign w:val="bottom"/>
            <w:tcBorders>
              <w:right w:val="single" w:sz="8" w:color="CCEEFF"/>
            </w:tcBorders>
            <w:shd w:val="clear" w:color="auto" w:fill="CCEEFF"/>
          </w:tcPr>
          <w:p>
            <w:pPr>
              <w:jc w:val="right"/>
              <w:spacing w:after="0" w:line="121" w:lineRule="exact"/>
              <w:rPr>
                <w:sz w:val="20"/>
                <w:szCs w:val="20"/>
                <w:color w:val="auto"/>
              </w:rPr>
            </w:pPr>
            <w:r>
              <w:rPr>
                <w:rFonts w:ascii="Arial" w:cs="Arial" w:eastAsia="Arial" w:hAnsi="Arial"/>
                <w:sz w:val="13"/>
                <w:szCs w:val="13"/>
                <w:color w:val="auto"/>
              </w:rPr>
              <w:t>$</w:t>
            </w:r>
          </w:p>
        </w:tc>
        <w:tc>
          <w:tcPr>
            <w:tcW w:w="500" w:type="dxa"/>
            <w:vAlign w:val="bottom"/>
            <w:gridSpan w:val="2"/>
            <w:shd w:val="clear" w:color="auto" w:fill="CCEEFF"/>
          </w:tcPr>
          <w:p>
            <w:pPr>
              <w:ind w:left="160"/>
              <w:spacing w:after="0" w:line="121" w:lineRule="exact"/>
              <w:rPr>
                <w:sz w:val="20"/>
                <w:szCs w:val="20"/>
                <w:color w:val="auto"/>
              </w:rPr>
            </w:pPr>
            <w:r>
              <w:rPr>
                <w:rFonts w:ascii="Arial" w:cs="Arial" w:eastAsia="Arial" w:hAnsi="Arial"/>
                <w:sz w:val="13"/>
                <w:szCs w:val="13"/>
                <w:color w:val="auto"/>
              </w:rPr>
              <w:t>—</w:t>
            </w:r>
          </w:p>
        </w:tc>
        <w:tc>
          <w:tcPr>
            <w:tcW w:w="180" w:type="dxa"/>
            <w:vAlign w:val="bottom"/>
            <w:tcBorders>
              <w:right w:val="single" w:sz="8" w:color="CCEEFF"/>
            </w:tcBorders>
            <w:shd w:val="clear" w:color="auto" w:fill="CCEEFF"/>
          </w:tcPr>
          <w:p>
            <w:pPr>
              <w:jc w:val="right"/>
              <w:spacing w:after="0" w:line="121" w:lineRule="exact"/>
              <w:rPr>
                <w:sz w:val="20"/>
                <w:szCs w:val="20"/>
                <w:color w:val="auto"/>
              </w:rPr>
            </w:pPr>
            <w:r>
              <w:rPr>
                <w:rFonts w:ascii="Arial" w:cs="Arial" w:eastAsia="Arial" w:hAnsi="Arial"/>
                <w:sz w:val="13"/>
                <w:szCs w:val="13"/>
                <w:color w:val="auto"/>
              </w:rPr>
              <w:t>$</w:t>
            </w:r>
          </w:p>
        </w:tc>
        <w:tc>
          <w:tcPr>
            <w:tcW w:w="480" w:type="dxa"/>
            <w:vAlign w:val="bottom"/>
            <w:gridSpan w:val="2"/>
            <w:shd w:val="clear" w:color="auto" w:fill="CCEEFF"/>
          </w:tcPr>
          <w:p>
            <w:pPr>
              <w:jc w:val="right"/>
              <w:ind w:right="220"/>
              <w:spacing w:after="0" w:line="121" w:lineRule="exact"/>
              <w:rPr>
                <w:sz w:val="20"/>
                <w:szCs w:val="20"/>
                <w:color w:val="auto"/>
              </w:rPr>
            </w:pPr>
            <w:r>
              <w:rPr>
                <w:rFonts w:ascii="Arial" w:cs="Arial" w:eastAsia="Arial" w:hAnsi="Arial"/>
                <w:sz w:val="13"/>
                <w:szCs w:val="13"/>
                <w:color w:val="auto"/>
              </w:rPr>
              <w:t>—</w:t>
            </w:r>
          </w:p>
        </w:tc>
        <w:tc>
          <w:tcPr>
            <w:tcW w:w="180" w:type="dxa"/>
            <w:vAlign w:val="bottom"/>
            <w:tcBorders>
              <w:right w:val="single" w:sz="8" w:color="CCEEFF"/>
            </w:tcBorders>
            <w:shd w:val="clear" w:color="auto" w:fill="CCEEFF"/>
          </w:tcPr>
          <w:p>
            <w:pPr>
              <w:jc w:val="right"/>
              <w:spacing w:after="0" w:line="121" w:lineRule="exact"/>
              <w:rPr>
                <w:sz w:val="20"/>
                <w:szCs w:val="20"/>
                <w:color w:val="auto"/>
              </w:rPr>
            </w:pPr>
            <w:r>
              <w:rPr>
                <w:rFonts w:ascii="Arial" w:cs="Arial" w:eastAsia="Arial" w:hAnsi="Arial"/>
                <w:sz w:val="13"/>
                <w:szCs w:val="13"/>
                <w:color w:val="auto"/>
              </w:rPr>
              <w:t>$</w:t>
            </w:r>
          </w:p>
        </w:tc>
        <w:tc>
          <w:tcPr>
            <w:tcW w:w="340" w:type="dxa"/>
            <w:vAlign w:val="bottom"/>
            <w:shd w:val="clear" w:color="auto" w:fill="CCEEFF"/>
          </w:tcPr>
          <w:p>
            <w:pPr>
              <w:jc w:val="right"/>
              <w:spacing w:after="0" w:line="121" w:lineRule="exact"/>
              <w:rPr>
                <w:sz w:val="20"/>
                <w:szCs w:val="20"/>
                <w:color w:val="auto"/>
              </w:rPr>
            </w:pPr>
            <w:r>
              <w:rPr>
                <w:rFonts w:ascii="Arial" w:cs="Arial" w:eastAsia="Arial" w:hAnsi="Arial"/>
                <w:sz w:val="13"/>
                <w:szCs w:val="13"/>
                <w:color w:val="auto"/>
              </w:rPr>
              <w:t>1.6</w:t>
            </w:r>
          </w:p>
        </w:tc>
        <w:tc>
          <w:tcPr>
            <w:tcW w:w="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9" w:lineRule="exact"/>
        <w:rPr>
          <w:sz w:val="20"/>
          <w:szCs w:val="20"/>
          <w:color w:val="auto"/>
        </w:rPr>
      </w:pPr>
    </w:p>
    <w:p>
      <w:pPr>
        <w:ind w:left="1380" w:hanging="268"/>
        <w:spacing w:after="0"/>
        <w:tabs>
          <w:tab w:leader="none" w:pos="1380" w:val="left"/>
        </w:tabs>
        <w:numPr>
          <w:ilvl w:val="0"/>
          <w:numId w:val="107"/>
        </w:numPr>
        <w:rPr>
          <w:rFonts w:ascii="Arial" w:cs="Arial" w:eastAsia="Arial" w:hAnsi="Arial"/>
          <w:sz w:val="10"/>
          <w:szCs w:val="10"/>
          <w:color w:val="auto"/>
        </w:rPr>
      </w:pPr>
      <w:r>
        <w:rPr>
          <w:rFonts w:ascii="Arial" w:cs="Arial" w:eastAsia="Arial" w:hAnsi="Arial"/>
          <w:sz w:val="12"/>
          <w:szCs w:val="12"/>
          <w:color w:val="auto"/>
        </w:rPr>
        <w:t>Includes amounts attributable to related party transactions. See Note 15 for further details.</w:t>
      </w:r>
    </w:p>
    <w:p>
      <w:pPr>
        <w:spacing w:after="0" w:line="172" w:lineRule="exact"/>
        <w:rPr>
          <w:sz w:val="20"/>
          <w:szCs w:val="20"/>
          <w:color w:val="auto"/>
        </w:rPr>
      </w:pPr>
    </w:p>
    <w:p>
      <w:pPr>
        <w:jc w:val="center"/>
        <w:ind w:right="-1099"/>
        <w:spacing w:after="0"/>
        <w:rPr>
          <w:sz w:val="20"/>
          <w:szCs w:val="20"/>
          <w:color w:val="auto"/>
        </w:rPr>
      </w:pPr>
      <w:r>
        <w:rPr>
          <w:rFonts w:ascii="Arial" w:cs="Arial" w:eastAsia="Arial" w:hAnsi="Arial"/>
          <w:sz w:val="15"/>
          <w:szCs w:val="15"/>
          <w:i w:val="1"/>
          <w:iCs w:val="1"/>
          <w:color w:val="auto"/>
        </w:rPr>
        <w:t>See accompanying Notes to Consolidated Financial Statements.</w:t>
      </w:r>
    </w:p>
    <w:p>
      <w:pPr>
        <w:spacing w:after="0" w:line="132" w:lineRule="exact"/>
        <w:rPr>
          <w:sz w:val="20"/>
          <w:szCs w:val="20"/>
          <w:color w:val="auto"/>
        </w:rPr>
      </w:pPr>
    </w:p>
    <w:p>
      <w:pPr>
        <w:jc w:val="center"/>
        <w:ind w:right="-1099"/>
        <w:spacing w:after="0"/>
        <w:rPr>
          <w:sz w:val="20"/>
          <w:szCs w:val="20"/>
          <w:color w:val="auto"/>
        </w:rPr>
      </w:pPr>
      <w:r>
        <w:rPr>
          <w:rFonts w:ascii="Arial" w:cs="Arial" w:eastAsia="Arial" w:hAnsi="Arial"/>
          <w:sz w:val="15"/>
          <w:szCs w:val="15"/>
          <w:color w:val="auto"/>
        </w:rPr>
        <w:t>F-7</w:t>
      </w:r>
    </w:p>
    <w:p>
      <w:pPr>
        <w:sectPr>
          <w:pgSz w:w="11900" w:h="16838" w:orient="portrait"/>
          <w:cols w:equalWidth="0" w:num="1">
            <w:col w:w="10320"/>
          </w:cols>
          <w:pgMar w:left="240" w:top="408" w:right="1339" w:bottom="1440" w:gutter="0" w:footer="0" w:header="0"/>
        </w:sectPr>
      </w:pPr>
    </w:p>
    <w:bookmarkStart w:id="210" w:name="page211"/>
    <w:bookmarkEnd w:id="210"/>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133350</wp:posOffset>
            </wp:positionH>
            <wp:positionV relativeFrom="page">
              <wp:posOffset>88900</wp:posOffset>
            </wp:positionV>
            <wp:extent cx="7308850" cy="3429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308850" cy="34290"/>
                    </a:xfrm>
                    <a:prstGeom prst="rect">
                      <a:avLst/>
                    </a:prstGeom>
                    <a:noFill/>
                  </pic:spPr>
                </pic:pic>
              </a:graphicData>
            </a:graphic>
          </wp:anchor>
        </w:drawing>
      </w:r>
      <w:hyperlink w:anchor="page7">
        <w:r>
          <w:rPr>
            <w:rFonts w:ascii="Arial" w:cs="Arial" w:eastAsia="Arial" w:hAnsi="Arial"/>
            <w:sz w:val="15"/>
            <w:szCs w:val="15"/>
            <w:b w:val="1"/>
            <w:bCs w:val="1"/>
            <w:u w:val="single" w:color="auto"/>
            <w:color w:val="0000EE"/>
          </w:rPr>
          <w:t>Table of Contents</w:t>
        </w:r>
      </w:hyperlink>
    </w:p>
    <w:p>
      <w:pPr>
        <w:spacing w:after="0" w:line="256" w:lineRule="exact"/>
        <w:rPr>
          <w:sz w:val="20"/>
          <w:szCs w:val="20"/>
          <w:color w:val="auto"/>
        </w:rPr>
      </w:pPr>
    </w:p>
    <w:p>
      <w:pPr>
        <w:jc w:val="center"/>
        <w:ind w:right="-1119"/>
        <w:spacing w:after="0"/>
        <w:rPr>
          <w:sz w:val="20"/>
          <w:szCs w:val="20"/>
          <w:color w:val="auto"/>
        </w:rPr>
      </w:pPr>
      <w:r>
        <w:rPr>
          <w:rFonts w:ascii="Arial" w:cs="Arial" w:eastAsia="Arial" w:hAnsi="Arial"/>
          <w:sz w:val="15"/>
          <w:szCs w:val="15"/>
          <w:b w:val="1"/>
          <w:bCs w:val="1"/>
          <w:color w:val="auto"/>
        </w:rPr>
        <w:t>DROPBOX, INC.</w:t>
      </w:r>
    </w:p>
    <w:p>
      <w:pPr>
        <w:spacing w:after="0" w:line="21" w:lineRule="exact"/>
        <w:rPr>
          <w:sz w:val="20"/>
          <w:szCs w:val="20"/>
          <w:color w:val="auto"/>
        </w:rPr>
      </w:pPr>
    </w:p>
    <w:p>
      <w:pPr>
        <w:jc w:val="center"/>
        <w:ind w:right="-1119"/>
        <w:spacing w:after="0"/>
        <w:rPr>
          <w:sz w:val="20"/>
          <w:szCs w:val="20"/>
          <w:color w:val="auto"/>
        </w:rPr>
      </w:pPr>
      <w:r>
        <w:rPr>
          <w:rFonts w:ascii="Arial" w:cs="Arial" w:eastAsia="Arial" w:hAnsi="Arial"/>
          <w:sz w:val="15"/>
          <w:szCs w:val="15"/>
          <w:b w:val="1"/>
          <w:bCs w:val="1"/>
          <w:color w:val="auto"/>
        </w:rPr>
        <w:t>NOTES TO CONSOLIDATED FINANCIAL STATEMENTS</w:t>
      </w:r>
    </w:p>
    <w:p>
      <w:pPr>
        <w:spacing w:after="0" w:line="89" w:lineRule="exact"/>
        <w:rPr>
          <w:sz w:val="20"/>
          <w:szCs w:val="20"/>
          <w:color w:val="auto"/>
        </w:rPr>
      </w:pPr>
    </w:p>
    <w:p>
      <w:pPr>
        <w:ind w:left="3320"/>
        <w:spacing w:after="0"/>
        <w:rPr>
          <w:sz w:val="20"/>
          <w:szCs w:val="20"/>
          <w:color w:val="auto"/>
        </w:rPr>
      </w:pPr>
      <w:r>
        <w:rPr>
          <w:rFonts w:ascii="Arial" w:cs="Arial" w:eastAsia="Arial" w:hAnsi="Arial"/>
          <w:sz w:val="15"/>
          <w:szCs w:val="15"/>
          <w:i w:val="1"/>
          <w:iCs w:val="1"/>
          <w:color w:val="auto"/>
        </w:rPr>
        <w:t>(Amounts in tables are in millions except per share data, or as otherwise noted)</w:t>
      </w:r>
    </w:p>
    <w:p>
      <w:pPr>
        <w:spacing w:after="0" w:line="184" w:lineRule="exact"/>
        <w:rPr>
          <w:sz w:val="20"/>
          <w:szCs w:val="20"/>
          <w:color w:val="auto"/>
        </w:rPr>
      </w:pPr>
    </w:p>
    <w:p>
      <w:pPr>
        <w:ind w:left="1120"/>
        <w:spacing w:after="0"/>
        <w:rPr>
          <w:sz w:val="20"/>
          <w:szCs w:val="20"/>
          <w:color w:val="auto"/>
        </w:rPr>
      </w:pPr>
      <w:r>
        <w:rPr>
          <w:rFonts w:ascii="Arial" w:cs="Arial" w:eastAsia="Arial" w:hAnsi="Arial"/>
          <w:sz w:val="15"/>
          <w:szCs w:val="15"/>
          <w:b w:val="1"/>
          <w:bCs w:val="1"/>
          <w:color w:val="auto"/>
        </w:rPr>
        <w:t>Note 1. Description of the Business and Summary of Significant Accounting Policies</w:t>
      </w:r>
    </w:p>
    <w:p>
      <w:pPr>
        <w:spacing w:after="0" w:line="102" w:lineRule="exact"/>
        <w:rPr>
          <w:sz w:val="20"/>
          <w:szCs w:val="20"/>
          <w:color w:val="auto"/>
        </w:rPr>
      </w:pPr>
    </w:p>
    <w:p>
      <w:pPr>
        <w:ind w:left="1480"/>
        <w:spacing w:after="0"/>
        <w:rPr>
          <w:sz w:val="20"/>
          <w:szCs w:val="20"/>
          <w:color w:val="auto"/>
        </w:rPr>
      </w:pPr>
      <w:r>
        <w:rPr>
          <w:rFonts w:ascii="Arial" w:cs="Arial" w:eastAsia="Arial" w:hAnsi="Arial"/>
          <w:sz w:val="15"/>
          <w:szCs w:val="15"/>
          <w:b w:val="1"/>
          <w:bCs w:val="1"/>
          <w:i w:val="1"/>
          <w:iCs w:val="1"/>
          <w:color w:val="auto"/>
        </w:rPr>
        <w:t>Business</w:t>
      </w:r>
    </w:p>
    <w:p>
      <w:pPr>
        <w:spacing w:after="0" w:line="98" w:lineRule="exact"/>
        <w:rPr>
          <w:sz w:val="20"/>
          <w:szCs w:val="20"/>
          <w:color w:val="auto"/>
        </w:rPr>
      </w:pPr>
    </w:p>
    <w:p>
      <w:pPr>
        <w:ind w:left="1120" w:right="280" w:firstLine="368"/>
        <w:spacing w:after="0" w:line="312" w:lineRule="auto"/>
        <w:rPr>
          <w:sz w:val="20"/>
          <w:szCs w:val="20"/>
          <w:color w:val="auto"/>
        </w:rPr>
      </w:pPr>
      <w:r>
        <w:rPr>
          <w:rFonts w:ascii="Arial" w:cs="Arial" w:eastAsia="Arial" w:hAnsi="Arial"/>
          <w:sz w:val="14"/>
          <w:szCs w:val="14"/>
          <w:color w:val="auto"/>
        </w:rPr>
        <w:t>Dropbox, Inc. (the “Company” or “Dropbox”) is a global collaboration platform. Dropbox was incorporated in May 2007 as Evenflow, Inc., a Delaware corporation, and changed its name to Dropbox, Inc. in October 2009. The Company is headquartered in San Francisco, California.</w:t>
      </w:r>
    </w:p>
    <w:p>
      <w:pPr>
        <w:spacing w:after="0" w:line="213" w:lineRule="exact"/>
        <w:rPr>
          <w:sz w:val="20"/>
          <w:szCs w:val="20"/>
          <w:color w:val="auto"/>
        </w:rPr>
      </w:pPr>
    </w:p>
    <w:p>
      <w:pPr>
        <w:ind w:left="1480"/>
        <w:spacing w:after="0"/>
        <w:rPr>
          <w:sz w:val="20"/>
          <w:szCs w:val="20"/>
          <w:color w:val="auto"/>
        </w:rPr>
      </w:pPr>
      <w:r>
        <w:rPr>
          <w:rFonts w:ascii="Arial" w:cs="Arial" w:eastAsia="Arial" w:hAnsi="Arial"/>
          <w:sz w:val="15"/>
          <w:szCs w:val="15"/>
          <w:b w:val="1"/>
          <w:bCs w:val="1"/>
          <w:i w:val="1"/>
          <w:iCs w:val="1"/>
          <w:color w:val="auto"/>
        </w:rPr>
        <w:t>Basis of presentation and consolidation</w:t>
      </w:r>
    </w:p>
    <w:p>
      <w:pPr>
        <w:spacing w:after="0" w:line="98" w:lineRule="exact"/>
        <w:rPr>
          <w:sz w:val="20"/>
          <w:szCs w:val="20"/>
          <w:color w:val="auto"/>
        </w:rPr>
      </w:pPr>
    </w:p>
    <w:p>
      <w:pPr>
        <w:ind w:left="1120" w:right="200" w:firstLine="368"/>
        <w:spacing w:after="0" w:line="259" w:lineRule="auto"/>
        <w:rPr>
          <w:sz w:val="20"/>
          <w:szCs w:val="20"/>
          <w:color w:val="auto"/>
        </w:rPr>
      </w:pPr>
      <w:r>
        <w:rPr>
          <w:rFonts w:ascii="Arial" w:cs="Arial" w:eastAsia="Arial" w:hAnsi="Arial"/>
          <w:sz w:val="15"/>
          <w:szCs w:val="15"/>
          <w:color w:val="auto"/>
        </w:rPr>
        <w:t>The accompanying consolidated financial statements have been prepared in accordance with the United States of America generally accepted accounting principles (“GAAP”). The accompanying consolidated financial statements include the accounts of Dropbox and its wholly owned subsidiaries. All intercompany balances and transactions have been eliminated in consolidation. Certain prior year non-current liability balances have been reclassified to conform to the current year presentation.</w:t>
      </w:r>
    </w:p>
    <w:p>
      <w:pPr>
        <w:spacing w:after="0" w:line="158" w:lineRule="exact"/>
        <w:rPr>
          <w:sz w:val="20"/>
          <w:szCs w:val="20"/>
          <w:color w:val="auto"/>
        </w:rPr>
      </w:pPr>
    </w:p>
    <w:p>
      <w:pPr>
        <w:ind w:left="1120" w:firstLine="368"/>
        <w:spacing w:after="0" w:line="302" w:lineRule="auto"/>
        <w:rPr>
          <w:sz w:val="20"/>
          <w:szCs w:val="20"/>
          <w:color w:val="auto"/>
        </w:rPr>
      </w:pPr>
      <w:r>
        <w:rPr>
          <w:rFonts w:ascii="Arial" w:cs="Arial" w:eastAsia="Arial" w:hAnsi="Arial"/>
          <w:sz w:val="13"/>
          <w:szCs w:val="13"/>
          <w:color w:val="auto"/>
        </w:rPr>
        <w:t xml:space="preserve">On January 1, 2017, the Company adopted the requirements of Accounting Standards Update (“ASU”) No. 2014-09, </w:t>
      </w:r>
      <w:r>
        <w:rPr>
          <w:rFonts w:ascii="Arial" w:cs="Arial" w:eastAsia="Arial" w:hAnsi="Arial"/>
          <w:sz w:val="13"/>
          <w:szCs w:val="13"/>
          <w:i w:val="1"/>
          <w:iCs w:val="1"/>
          <w:color w:val="auto"/>
        </w:rPr>
        <w:t>Revenue from Contracts with</w:t>
      </w:r>
      <w:r>
        <w:rPr>
          <w:rFonts w:ascii="Arial" w:cs="Arial" w:eastAsia="Arial" w:hAnsi="Arial"/>
          <w:sz w:val="13"/>
          <w:szCs w:val="13"/>
          <w:color w:val="auto"/>
        </w:rPr>
        <w:t xml:space="preserve"> </w:t>
      </w:r>
      <w:r>
        <w:rPr>
          <w:rFonts w:ascii="Arial" w:cs="Arial" w:eastAsia="Arial" w:hAnsi="Arial"/>
          <w:sz w:val="13"/>
          <w:szCs w:val="13"/>
          <w:i w:val="1"/>
          <w:iCs w:val="1"/>
          <w:color w:val="auto"/>
        </w:rPr>
        <w:t xml:space="preserve">Customers </w:t>
      </w:r>
      <w:r>
        <w:rPr>
          <w:rFonts w:ascii="Arial" w:cs="Arial" w:eastAsia="Arial" w:hAnsi="Arial"/>
          <w:sz w:val="13"/>
          <w:szCs w:val="13"/>
          <w:color w:val="auto"/>
        </w:rPr>
        <w:t>(</w:t>
      </w:r>
      <w:r>
        <w:rPr>
          <w:rFonts w:ascii="Arial" w:cs="Arial" w:eastAsia="Arial" w:hAnsi="Arial"/>
          <w:sz w:val="13"/>
          <w:szCs w:val="13"/>
          <w:i w:val="1"/>
          <w:iCs w:val="1"/>
          <w:color w:val="auto"/>
        </w:rPr>
        <w:t>Topic 606</w:t>
      </w:r>
      <w:r>
        <w:rPr>
          <w:rFonts w:ascii="Arial" w:cs="Arial" w:eastAsia="Arial" w:hAnsi="Arial"/>
          <w:sz w:val="13"/>
          <w:szCs w:val="13"/>
          <w:color w:val="auto"/>
        </w:rPr>
        <w:t>) as discussed further in</w:t>
      </w:r>
      <w:r>
        <w:rPr>
          <w:rFonts w:ascii="Arial" w:cs="Arial" w:eastAsia="Arial" w:hAnsi="Arial"/>
          <w:sz w:val="13"/>
          <w:szCs w:val="13"/>
          <w:i w:val="1"/>
          <w:iCs w:val="1"/>
          <w:color w:val="auto"/>
        </w:rPr>
        <w:t xml:space="preserve"> Recently adopted accounting pronouncements </w:t>
      </w:r>
      <w:r>
        <w:rPr>
          <w:rFonts w:ascii="Arial" w:cs="Arial" w:eastAsia="Arial" w:hAnsi="Arial"/>
          <w:sz w:val="13"/>
          <w:szCs w:val="13"/>
          <w:color w:val="auto"/>
        </w:rPr>
        <w:t>below (“Topic 606”). Topic 606 establishes a principle for</w:t>
      </w:r>
      <w:r>
        <w:rPr>
          <w:rFonts w:ascii="Arial" w:cs="Arial" w:eastAsia="Arial" w:hAnsi="Arial"/>
          <w:sz w:val="13"/>
          <w:szCs w:val="13"/>
          <w:i w:val="1"/>
          <w:iCs w:val="1"/>
          <w:color w:val="auto"/>
        </w:rPr>
        <w:t xml:space="preserve"> </w:t>
      </w:r>
      <w:r>
        <w:rPr>
          <w:rFonts w:ascii="Arial" w:cs="Arial" w:eastAsia="Arial" w:hAnsi="Arial"/>
          <w:sz w:val="13"/>
          <w:szCs w:val="13"/>
          <w:color w:val="auto"/>
        </w:rPr>
        <w:t xml:space="preserve">recognizing revenue upon the transfer of promised goods or services to customers, in an amount that reflects the expected consideration received in exchange for those goods or services. Topic 606 also includes Subtopic 340-40, </w:t>
      </w:r>
      <w:r>
        <w:rPr>
          <w:rFonts w:ascii="Arial" w:cs="Arial" w:eastAsia="Arial" w:hAnsi="Arial"/>
          <w:sz w:val="13"/>
          <w:szCs w:val="13"/>
          <w:i w:val="1"/>
          <w:iCs w:val="1"/>
          <w:color w:val="auto"/>
        </w:rPr>
        <w:t>Other Assets and Deferred Costs—Contracts with Customers</w:t>
      </w:r>
      <w:r>
        <w:rPr>
          <w:rFonts w:ascii="Arial" w:cs="Arial" w:eastAsia="Arial" w:hAnsi="Arial"/>
          <w:sz w:val="13"/>
          <w:szCs w:val="13"/>
          <w:color w:val="auto"/>
        </w:rPr>
        <w:t>, which requires the deferral of incremental costs of obtaining a contract with a customer. Collectively, references to Topic 606 used herein refer to both Topic 606 and Subtopic 340-40. The Company adopted Topic 606 with retrospective application to the beginning of the earliest period presented.</w:t>
      </w:r>
    </w:p>
    <w:p>
      <w:pPr>
        <w:spacing w:after="0" w:line="225" w:lineRule="exact"/>
        <w:rPr>
          <w:sz w:val="20"/>
          <w:szCs w:val="20"/>
          <w:color w:val="auto"/>
        </w:rPr>
      </w:pPr>
    </w:p>
    <w:p>
      <w:pPr>
        <w:ind w:left="1480"/>
        <w:spacing w:after="0"/>
        <w:rPr>
          <w:sz w:val="20"/>
          <w:szCs w:val="20"/>
          <w:color w:val="auto"/>
        </w:rPr>
      </w:pPr>
      <w:r>
        <w:rPr>
          <w:rFonts w:ascii="Arial" w:cs="Arial" w:eastAsia="Arial" w:hAnsi="Arial"/>
          <w:sz w:val="15"/>
          <w:szCs w:val="15"/>
          <w:b w:val="1"/>
          <w:bCs w:val="1"/>
          <w:i w:val="1"/>
          <w:iCs w:val="1"/>
          <w:color w:val="auto"/>
        </w:rPr>
        <w:t>Unaudited pro forma stockholders’ equity (deficit)</w:t>
      </w:r>
    </w:p>
    <w:p>
      <w:pPr>
        <w:spacing w:after="0" w:line="98" w:lineRule="exact"/>
        <w:rPr>
          <w:sz w:val="20"/>
          <w:szCs w:val="20"/>
          <w:color w:val="auto"/>
        </w:rPr>
      </w:pPr>
    </w:p>
    <w:p>
      <w:pPr>
        <w:ind w:left="1120" w:right="140" w:firstLine="368"/>
        <w:spacing w:after="0" w:line="279" w:lineRule="auto"/>
        <w:rPr>
          <w:sz w:val="20"/>
          <w:szCs w:val="20"/>
          <w:color w:val="auto"/>
        </w:rPr>
      </w:pPr>
      <w:r>
        <w:rPr>
          <w:rFonts w:ascii="Arial" w:cs="Arial" w:eastAsia="Arial" w:hAnsi="Arial"/>
          <w:sz w:val="14"/>
          <w:szCs w:val="14"/>
          <w:color w:val="auto"/>
        </w:rPr>
        <w:t>Subject to the satisfaction of certain conditions, immediately prior to the completion of the Company’s initial public offering, all of the 147,310,563 shares of convertible preferred stock will convert into an equivalent number of shares of Class B common stock. Further, pursuant to transfer agreements with certain of the Company’s stockholders, 258,620 shares of the Company’s convertible preferred stock and 2,609,951 shares of the Company’s Class B common stock will automatically convert into an equivalent numbers of shares of Class A common stock. The unaudited pro forma stockholders’ equity (deficit) information gives effect to these conversions as of December 31, 2017.</w:t>
      </w:r>
    </w:p>
    <w:p>
      <w:pPr>
        <w:spacing w:after="0" w:line="147" w:lineRule="exact"/>
        <w:rPr>
          <w:sz w:val="20"/>
          <w:szCs w:val="20"/>
          <w:color w:val="auto"/>
        </w:rPr>
      </w:pPr>
    </w:p>
    <w:p>
      <w:pPr>
        <w:ind w:left="1120" w:firstLine="368"/>
        <w:spacing w:after="0" w:line="273" w:lineRule="auto"/>
        <w:rPr>
          <w:sz w:val="20"/>
          <w:szCs w:val="20"/>
          <w:color w:val="auto"/>
        </w:rPr>
      </w:pPr>
      <w:r>
        <w:rPr>
          <w:rFonts w:ascii="Arial" w:cs="Arial" w:eastAsia="Arial" w:hAnsi="Arial"/>
          <w:sz w:val="14"/>
          <w:szCs w:val="14"/>
          <w:color w:val="auto"/>
        </w:rPr>
        <w:t>As described in detail in “Stock-Based Compensation” below, the Company has granted restricted stock units (“RSUs”) that generally vest upon the satisfaction of a service-based vesting condition, and with respect to RSUs granted prior to August 2015, (“two-tier RSUs”), upon the satisfaction of both a service-based vesting condition and a liquidity event-related performance vesting condition (the “Performance Vesting Condition”). The Performance Vesting Condition is satisfied on the earlier of (i) an acquisition or change in control of the Company or (ii) the earlier of (a) six months after our initial public offering or (b) March 15 of the year following our initial public offering. At the time the Performance Vesting Condition becomes probable, the Company will recognize the cumulative stock-based compensation expense for the two-tier RSUs that have met their service-based vesting condition using the accelerated attribution method. Accordingly, the unaudited pro forma stockholders’ equity (deficit) information as of December 31, 2017, gives effect to stock-based compensation expense of approximately $415.6 million associated with two-tier RSUs using the accelerated attribution method. This pro forma adjustment related to stock-based compensation expense of approximately $415.6 million has been reflected as an increase to additional paid-in capital and accumulated deficit.</w:t>
      </w:r>
    </w:p>
    <w:p>
      <w:pPr>
        <w:spacing w:after="0" w:line="97" w:lineRule="exact"/>
        <w:rPr>
          <w:sz w:val="20"/>
          <w:szCs w:val="20"/>
          <w:color w:val="auto"/>
        </w:rPr>
      </w:pPr>
    </w:p>
    <w:p>
      <w:pPr>
        <w:ind w:left="5600"/>
        <w:spacing w:after="0"/>
        <w:rPr>
          <w:sz w:val="20"/>
          <w:szCs w:val="20"/>
          <w:color w:val="auto"/>
        </w:rPr>
      </w:pPr>
      <w:r>
        <w:rPr>
          <w:rFonts w:ascii="Arial" w:cs="Arial" w:eastAsia="Arial" w:hAnsi="Arial"/>
          <w:sz w:val="15"/>
          <w:szCs w:val="15"/>
          <w:color w:val="auto"/>
        </w:rPr>
        <w:t>F-8</w:t>
      </w:r>
    </w:p>
    <w:p>
      <w:pPr>
        <w:sectPr>
          <w:pgSz w:w="11900" w:h="16838" w:orient="portrait"/>
          <w:cols w:equalWidth="0" w:num="1">
            <w:col w:w="10300"/>
          </w:cols>
          <w:pgMar w:left="240" w:top="408" w:right="1359" w:bottom="1440" w:gutter="0" w:footer="0" w:header="0"/>
        </w:sectPr>
      </w:pPr>
    </w:p>
    <w:bookmarkStart w:id="211" w:name="page212"/>
    <w:bookmarkEnd w:id="211"/>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133350</wp:posOffset>
            </wp:positionH>
            <wp:positionV relativeFrom="page">
              <wp:posOffset>88900</wp:posOffset>
            </wp:positionV>
            <wp:extent cx="7308850" cy="3429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308850" cy="34290"/>
                    </a:xfrm>
                    <a:prstGeom prst="rect">
                      <a:avLst/>
                    </a:prstGeom>
                    <a:noFill/>
                  </pic:spPr>
                </pic:pic>
              </a:graphicData>
            </a:graphic>
          </wp:anchor>
        </w:drawing>
      </w:r>
      <w:hyperlink w:anchor="page7">
        <w:r>
          <w:rPr>
            <w:rFonts w:ascii="Arial" w:cs="Arial" w:eastAsia="Arial" w:hAnsi="Arial"/>
            <w:sz w:val="15"/>
            <w:szCs w:val="15"/>
            <w:b w:val="1"/>
            <w:bCs w:val="1"/>
            <w:u w:val="single" w:color="auto"/>
            <w:color w:val="0000EE"/>
          </w:rPr>
          <w:t>Table of Contents</w:t>
        </w:r>
      </w:hyperlink>
    </w:p>
    <w:p>
      <w:pPr>
        <w:spacing w:after="0" w:line="260" w:lineRule="exact"/>
        <w:rPr>
          <w:sz w:val="20"/>
          <w:szCs w:val="20"/>
          <w:color w:val="auto"/>
        </w:rPr>
      </w:pPr>
    </w:p>
    <w:p>
      <w:pPr>
        <w:ind w:left="1120" w:firstLine="368"/>
        <w:spacing w:after="0" w:line="253" w:lineRule="auto"/>
        <w:rPr>
          <w:sz w:val="20"/>
          <w:szCs w:val="20"/>
          <w:color w:val="auto"/>
        </w:rPr>
      </w:pPr>
      <w:r>
        <w:rPr>
          <w:rFonts w:ascii="Arial" w:cs="Arial" w:eastAsia="Arial" w:hAnsi="Arial"/>
          <w:sz w:val="15"/>
          <w:szCs w:val="15"/>
          <w:color w:val="auto"/>
        </w:rPr>
        <w:t>The Company’s Board of Directors has approved the acceleration of the Performance Vesting Condition for two-tier RSUs for which the service condition was satisfied as of December 31, 2017, to occur upon the effectiveness of its registration statement related to this offering. Accordingly, to satisfy the tax withholding and remittance obligations related to the two-tier RSUs, the Company will repurchase the number of shares necessary to satisfy the tax withholding obligations, based on the fair value of its common stock on the date of the initial public offering. The Company currently expects that the average of these withholding tax rates will be approximately 39%. Based upon the assumed initial public offering price of $19.00 per share, which is the midpoint of the estimated offering price range set forth on the cover page of this prospectus, the Company estimates that its tax withholding and remittance obligation would be approximately $193.1 million in the aggregate. Such amount is included as a decrease in additional paid-in capital in the pro forma stockholders’ equity (deficit) as of December 31, 2017. The unaudited pro forma stockholders’ equity (deficit) gives effect to the assumed conversion of the two-tier RSUs that had satisfied the service-based vesting condition and the Performance Vesting Condition as of December 31, 2017, and will convert into 15,897,254 shares of Class B common stock, net of 10,163,817 shares repurchased for tax withholding obligations.</w:t>
      </w:r>
    </w:p>
    <w:p>
      <w:pPr>
        <w:spacing w:after="0" w:line="165" w:lineRule="exact"/>
        <w:rPr>
          <w:sz w:val="20"/>
          <w:szCs w:val="20"/>
          <w:color w:val="auto"/>
        </w:rPr>
      </w:pPr>
    </w:p>
    <w:p>
      <w:pPr>
        <w:ind w:left="1120" w:right="20" w:firstLine="368"/>
        <w:spacing w:after="0" w:line="275" w:lineRule="auto"/>
        <w:rPr>
          <w:sz w:val="20"/>
          <w:szCs w:val="20"/>
          <w:color w:val="auto"/>
        </w:rPr>
      </w:pPr>
      <w:r>
        <w:rPr>
          <w:rFonts w:ascii="Arial" w:cs="Arial" w:eastAsia="Arial" w:hAnsi="Arial"/>
          <w:sz w:val="15"/>
          <w:szCs w:val="15"/>
          <w:color w:val="auto"/>
        </w:rPr>
        <w:t>The shares of common stock issuable and the proceeds expected to be received upon the completion of an initial public offering are excluded from the pro forma stockholders’ equity (deficit).</w:t>
      </w:r>
    </w:p>
    <w:p>
      <w:pPr>
        <w:spacing w:after="0" w:line="236" w:lineRule="exact"/>
        <w:rPr>
          <w:sz w:val="20"/>
          <w:szCs w:val="20"/>
          <w:color w:val="auto"/>
        </w:rPr>
      </w:pPr>
    </w:p>
    <w:p>
      <w:pPr>
        <w:ind w:left="1480"/>
        <w:spacing w:after="0"/>
        <w:rPr>
          <w:sz w:val="20"/>
          <w:szCs w:val="20"/>
          <w:color w:val="auto"/>
        </w:rPr>
      </w:pPr>
      <w:r>
        <w:rPr>
          <w:rFonts w:ascii="Arial" w:cs="Arial" w:eastAsia="Arial" w:hAnsi="Arial"/>
          <w:sz w:val="15"/>
          <w:szCs w:val="15"/>
          <w:b w:val="1"/>
          <w:bCs w:val="1"/>
          <w:i w:val="1"/>
          <w:iCs w:val="1"/>
          <w:color w:val="auto"/>
        </w:rPr>
        <w:t>Use of estimates</w:t>
      </w:r>
    </w:p>
    <w:p>
      <w:pPr>
        <w:spacing w:after="0" w:line="98" w:lineRule="exact"/>
        <w:rPr>
          <w:sz w:val="20"/>
          <w:szCs w:val="20"/>
          <w:color w:val="auto"/>
        </w:rPr>
      </w:pPr>
    </w:p>
    <w:p>
      <w:pPr>
        <w:ind w:left="1120" w:right="80" w:firstLine="368"/>
        <w:spacing w:after="0" w:line="259" w:lineRule="auto"/>
        <w:rPr>
          <w:sz w:val="20"/>
          <w:szCs w:val="20"/>
          <w:color w:val="auto"/>
        </w:rPr>
      </w:pPr>
      <w:r>
        <w:rPr>
          <w:rFonts w:ascii="Arial" w:cs="Arial" w:eastAsia="Arial" w:hAnsi="Arial"/>
          <w:sz w:val="15"/>
          <w:szCs w:val="15"/>
          <w:color w:val="auto"/>
        </w:rPr>
        <w:t>The preparation of financial statements in conformity with GAAP requires management to make estimates and assumptions that affect the amounts reported and disclosed in the Company’s consolidated financial statements and accompanying notes. These estimates are based on information available as of the date of the consolidated financial statements. On a regular basis, management evaluates these estimates and assumptions. Actual results may differ materially from these estimates.</w:t>
      </w:r>
    </w:p>
    <w:p>
      <w:pPr>
        <w:spacing w:after="0" w:line="158" w:lineRule="exact"/>
        <w:rPr>
          <w:sz w:val="20"/>
          <w:szCs w:val="20"/>
          <w:color w:val="auto"/>
        </w:rPr>
      </w:pPr>
    </w:p>
    <w:p>
      <w:pPr>
        <w:ind w:left="1120" w:right="140" w:firstLine="368"/>
        <w:spacing w:after="0" w:line="263" w:lineRule="auto"/>
        <w:rPr>
          <w:sz w:val="20"/>
          <w:szCs w:val="20"/>
          <w:color w:val="auto"/>
        </w:rPr>
      </w:pPr>
      <w:r>
        <w:rPr>
          <w:rFonts w:ascii="Arial" w:cs="Arial" w:eastAsia="Arial" w:hAnsi="Arial"/>
          <w:sz w:val="15"/>
          <w:szCs w:val="15"/>
          <w:color w:val="auto"/>
        </w:rPr>
        <w:t>The Company’s most significant estimates and judgments involve recognition of revenue, the measurement of the Company’s stock-based compensation, including the estimation of the underlying deemed fair value of common stock, the estimation of the fair value of market-based awards, and the valuation of acquired intangible assets and goodwill from business combinations.</w:t>
      </w:r>
    </w:p>
    <w:p>
      <w:pPr>
        <w:spacing w:after="0" w:line="245" w:lineRule="exact"/>
        <w:rPr>
          <w:sz w:val="20"/>
          <w:szCs w:val="20"/>
          <w:color w:val="auto"/>
        </w:rPr>
      </w:pPr>
    </w:p>
    <w:p>
      <w:pPr>
        <w:ind w:left="1480"/>
        <w:spacing w:after="0"/>
        <w:rPr>
          <w:sz w:val="20"/>
          <w:szCs w:val="20"/>
          <w:color w:val="auto"/>
        </w:rPr>
      </w:pPr>
      <w:r>
        <w:rPr>
          <w:rFonts w:ascii="Arial" w:cs="Arial" w:eastAsia="Arial" w:hAnsi="Arial"/>
          <w:sz w:val="15"/>
          <w:szCs w:val="15"/>
          <w:b w:val="1"/>
          <w:bCs w:val="1"/>
          <w:i w:val="1"/>
          <w:iCs w:val="1"/>
          <w:color w:val="auto"/>
        </w:rPr>
        <w:t>Financial information about segments and geographic areas</w:t>
      </w:r>
    </w:p>
    <w:p>
      <w:pPr>
        <w:spacing w:after="0" w:line="98" w:lineRule="exact"/>
        <w:rPr>
          <w:sz w:val="20"/>
          <w:szCs w:val="20"/>
          <w:color w:val="auto"/>
        </w:rPr>
      </w:pPr>
    </w:p>
    <w:p>
      <w:pPr>
        <w:ind w:left="1120" w:right="20" w:firstLine="368"/>
        <w:spacing w:after="0" w:line="283" w:lineRule="auto"/>
        <w:rPr>
          <w:sz w:val="20"/>
          <w:szCs w:val="20"/>
          <w:color w:val="auto"/>
        </w:rPr>
      </w:pPr>
      <w:r>
        <w:rPr>
          <w:rFonts w:ascii="Arial" w:cs="Arial" w:eastAsia="Arial" w:hAnsi="Arial"/>
          <w:sz w:val="14"/>
          <w:szCs w:val="14"/>
          <w:color w:val="auto"/>
        </w:rPr>
        <w:t>The Company manages its operations and allocates resources as a single operating segment. Further, the Company manages, monitors, and reports its financials as a single reporting segment. The Company’s chief operating decision-maker is its Chief Executive Officer, who reviews financial information presented on a consolidated basis for purposes of making operating decisions, assessing financial performance, and allocating resources. For information regarding the Company’s long-lived assets and revenue by geographic area, see Note 16.</w:t>
      </w:r>
    </w:p>
    <w:p>
      <w:pPr>
        <w:spacing w:after="0" w:line="233" w:lineRule="exact"/>
        <w:rPr>
          <w:sz w:val="20"/>
          <w:szCs w:val="20"/>
          <w:color w:val="auto"/>
        </w:rPr>
      </w:pPr>
    </w:p>
    <w:p>
      <w:pPr>
        <w:ind w:left="1300"/>
        <w:spacing w:after="0"/>
        <w:rPr>
          <w:sz w:val="20"/>
          <w:szCs w:val="20"/>
          <w:color w:val="auto"/>
        </w:rPr>
      </w:pPr>
      <w:r>
        <w:rPr>
          <w:rFonts w:ascii="Arial" w:cs="Arial" w:eastAsia="Arial" w:hAnsi="Arial"/>
          <w:sz w:val="15"/>
          <w:szCs w:val="15"/>
          <w:b w:val="1"/>
          <w:bCs w:val="1"/>
          <w:i w:val="1"/>
          <w:iCs w:val="1"/>
          <w:color w:val="auto"/>
        </w:rPr>
        <w:t>Stock Split</w:t>
      </w:r>
    </w:p>
    <w:p>
      <w:pPr>
        <w:spacing w:after="0" w:line="98" w:lineRule="exact"/>
        <w:rPr>
          <w:sz w:val="20"/>
          <w:szCs w:val="20"/>
          <w:color w:val="auto"/>
        </w:rPr>
      </w:pPr>
    </w:p>
    <w:p>
      <w:pPr>
        <w:ind w:left="1120" w:right="140" w:firstLine="368"/>
        <w:spacing w:after="0" w:line="263" w:lineRule="auto"/>
        <w:rPr>
          <w:sz w:val="20"/>
          <w:szCs w:val="20"/>
          <w:color w:val="auto"/>
        </w:rPr>
      </w:pPr>
      <w:r>
        <w:rPr>
          <w:rFonts w:ascii="Arial" w:cs="Arial" w:eastAsia="Arial" w:hAnsi="Arial"/>
          <w:sz w:val="15"/>
          <w:szCs w:val="15"/>
          <w:color w:val="auto"/>
        </w:rPr>
        <w:t>On March 7, 2018, the Company effected a 1-for-1.5 reverse stock split of its capital stock. All of the share and per share information referenced throughout the consolidated financial statements and notes to the consolidated financial statements have been retroactively adjusted to reflect this reverse stock split.</w:t>
      </w:r>
    </w:p>
    <w:p>
      <w:pPr>
        <w:spacing w:after="0" w:line="245" w:lineRule="exact"/>
        <w:rPr>
          <w:sz w:val="20"/>
          <w:szCs w:val="20"/>
          <w:color w:val="auto"/>
        </w:rPr>
      </w:pPr>
    </w:p>
    <w:p>
      <w:pPr>
        <w:ind w:left="1480"/>
        <w:spacing w:after="0"/>
        <w:rPr>
          <w:sz w:val="20"/>
          <w:szCs w:val="20"/>
          <w:color w:val="auto"/>
        </w:rPr>
      </w:pPr>
      <w:r>
        <w:rPr>
          <w:rFonts w:ascii="Arial" w:cs="Arial" w:eastAsia="Arial" w:hAnsi="Arial"/>
          <w:sz w:val="15"/>
          <w:szCs w:val="15"/>
          <w:b w:val="1"/>
          <w:bCs w:val="1"/>
          <w:i w:val="1"/>
          <w:iCs w:val="1"/>
          <w:color w:val="auto"/>
        </w:rPr>
        <w:t>Foreign currency transactions</w:t>
      </w:r>
    </w:p>
    <w:p>
      <w:pPr>
        <w:spacing w:after="0" w:line="98" w:lineRule="exact"/>
        <w:rPr>
          <w:sz w:val="20"/>
          <w:szCs w:val="20"/>
          <w:color w:val="auto"/>
        </w:rPr>
      </w:pPr>
    </w:p>
    <w:p>
      <w:pPr>
        <w:jc w:val="both"/>
        <w:ind w:left="1120" w:right="220" w:firstLine="368"/>
        <w:spacing w:after="0" w:line="263" w:lineRule="auto"/>
        <w:rPr>
          <w:sz w:val="20"/>
          <w:szCs w:val="20"/>
          <w:color w:val="auto"/>
        </w:rPr>
      </w:pPr>
      <w:r>
        <w:rPr>
          <w:rFonts w:ascii="Arial" w:cs="Arial" w:eastAsia="Arial" w:hAnsi="Arial"/>
          <w:sz w:val="15"/>
          <w:szCs w:val="15"/>
          <w:color w:val="auto"/>
        </w:rPr>
        <w:t>The assets and liabilities of the Company’s foreign subsidiaries are translated from their respective functional currencies into U.S. dollars at the rates in effect at the balance sheet date and revenue and expense amounts are translated at the average exchange rate for the period. Foreign currency translation gains and losses are recorded in other comprehensive income (loss).</w:t>
      </w:r>
    </w:p>
    <w:p>
      <w:pPr>
        <w:spacing w:after="0" w:line="98" w:lineRule="exact"/>
        <w:rPr>
          <w:sz w:val="20"/>
          <w:szCs w:val="20"/>
          <w:color w:val="auto"/>
        </w:rPr>
      </w:pPr>
    </w:p>
    <w:p>
      <w:pPr>
        <w:ind w:left="5600"/>
        <w:spacing w:after="0"/>
        <w:rPr>
          <w:sz w:val="20"/>
          <w:szCs w:val="20"/>
          <w:color w:val="auto"/>
        </w:rPr>
      </w:pPr>
      <w:r>
        <w:rPr>
          <w:rFonts w:ascii="Arial" w:cs="Arial" w:eastAsia="Arial" w:hAnsi="Arial"/>
          <w:sz w:val="15"/>
          <w:szCs w:val="15"/>
          <w:color w:val="auto"/>
        </w:rPr>
        <w:t>F-9</w:t>
      </w:r>
    </w:p>
    <w:p>
      <w:pPr>
        <w:sectPr>
          <w:pgSz w:w="11900" w:h="16838" w:orient="portrait"/>
          <w:cols w:equalWidth="0" w:num="1">
            <w:col w:w="10320"/>
          </w:cols>
          <w:pgMar w:left="240" w:top="407" w:right="1339" w:bottom="1440" w:gutter="0" w:footer="0" w:header="0"/>
        </w:sectPr>
      </w:pPr>
    </w:p>
    <w:bookmarkStart w:id="212" w:name="page213"/>
    <w:bookmarkEnd w:id="212"/>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133350</wp:posOffset>
            </wp:positionH>
            <wp:positionV relativeFrom="page">
              <wp:posOffset>88900</wp:posOffset>
            </wp:positionV>
            <wp:extent cx="7308850" cy="3429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308850" cy="34290"/>
                    </a:xfrm>
                    <a:prstGeom prst="rect">
                      <a:avLst/>
                    </a:prstGeom>
                    <a:noFill/>
                  </pic:spPr>
                </pic:pic>
              </a:graphicData>
            </a:graphic>
          </wp:anchor>
        </w:drawing>
      </w:r>
      <w:hyperlink w:anchor="page7">
        <w:r>
          <w:rPr>
            <w:rFonts w:ascii="Arial" w:cs="Arial" w:eastAsia="Arial" w:hAnsi="Arial"/>
            <w:sz w:val="15"/>
            <w:szCs w:val="15"/>
            <w:b w:val="1"/>
            <w:bCs w:val="1"/>
            <w:u w:val="single" w:color="auto"/>
            <w:color w:val="0000EE"/>
          </w:rPr>
          <w:t>Table of Contents</w:t>
        </w:r>
      </w:hyperlink>
    </w:p>
    <w:p>
      <w:pPr>
        <w:spacing w:after="0" w:line="260" w:lineRule="exact"/>
        <w:rPr>
          <w:sz w:val="20"/>
          <w:szCs w:val="20"/>
          <w:color w:val="auto"/>
        </w:rPr>
      </w:pPr>
    </w:p>
    <w:p>
      <w:pPr>
        <w:ind w:left="1120" w:firstLine="368"/>
        <w:spacing w:after="0" w:line="257" w:lineRule="auto"/>
        <w:rPr>
          <w:sz w:val="20"/>
          <w:szCs w:val="20"/>
          <w:color w:val="auto"/>
        </w:rPr>
      </w:pPr>
      <w:r>
        <w:rPr>
          <w:rFonts w:ascii="Arial" w:cs="Arial" w:eastAsia="Arial" w:hAnsi="Arial"/>
          <w:sz w:val="15"/>
          <w:szCs w:val="15"/>
          <w:color w:val="auto"/>
        </w:rPr>
        <w:t>Gains and losses realized from foreign currency transactions (those transactions denominated in currencies other than the foreign subsidiaries’ functional currency) are included in other income (expense), net. Monetary assets and liabilities are remeasured using foreign currency exchange rates at the end of the period, and non-monetary assets are remeasured based on historical exchange rates. The Company recorded $4.6 million and $3.6 million in net foreign currency transaction losses in the years ended December 31, 2015 and 2016, respectively, and $5.0 million in net foreign currency gains in the year ended December 31, 2017.</w:t>
      </w:r>
    </w:p>
    <w:p>
      <w:pPr>
        <w:spacing w:after="0" w:line="249" w:lineRule="exact"/>
        <w:rPr>
          <w:sz w:val="20"/>
          <w:szCs w:val="20"/>
          <w:color w:val="auto"/>
        </w:rPr>
      </w:pPr>
    </w:p>
    <w:p>
      <w:pPr>
        <w:ind w:left="1480"/>
        <w:spacing w:after="0"/>
        <w:rPr>
          <w:sz w:val="20"/>
          <w:szCs w:val="20"/>
          <w:color w:val="auto"/>
        </w:rPr>
      </w:pPr>
      <w:r>
        <w:rPr>
          <w:rFonts w:ascii="Arial" w:cs="Arial" w:eastAsia="Arial" w:hAnsi="Arial"/>
          <w:sz w:val="15"/>
          <w:szCs w:val="15"/>
          <w:b w:val="1"/>
          <w:bCs w:val="1"/>
          <w:i w:val="1"/>
          <w:iCs w:val="1"/>
          <w:color w:val="auto"/>
        </w:rPr>
        <w:t>Revenue recognition</w:t>
      </w:r>
    </w:p>
    <w:p>
      <w:pPr>
        <w:spacing w:after="0" w:line="98" w:lineRule="exact"/>
        <w:rPr>
          <w:sz w:val="20"/>
          <w:szCs w:val="20"/>
          <w:color w:val="auto"/>
        </w:rPr>
      </w:pPr>
    </w:p>
    <w:p>
      <w:pPr>
        <w:ind w:left="1120" w:right="140" w:firstLine="368"/>
        <w:spacing w:after="0" w:line="290" w:lineRule="auto"/>
        <w:rPr>
          <w:sz w:val="20"/>
          <w:szCs w:val="20"/>
          <w:color w:val="auto"/>
        </w:rPr>
      </w:pPr>
      <w:r>
        <w:rPr>
          <w:rFonts w:ascii="Arial" w:cs="Arial" w:eastAsia="Arial" w:hAnsi="Arial"/>
          <w:sz w:val="14"/>
          <w:szCs w:val="14"/>
          <w:color w:val="auto"/>
        </w:rPr>
        <w:t>The Company adopted the requirements of Topic 606 as of January 1, 2017, utilizing the full retrospective method of transition. The impact of adopting Topic 606 on the Company’s revenue is not material to any of the periods presented. The primary impact of adopting Topic 606 relates to the deferral of incremental costs of obtaining customer contracts and the amortization of those costs over a longer period of benefit.</w:t>
      </w:r>
    </w:p>
    <w:p>
      <w:pPr>
        <w:spacing w:after="0" w:line="138" w:lineRule="exact"/>
        <w:rPr>
          <w:sz w:val="20"/>
          <w:szCs w:val="20"/>
          <w:color w:val="auto"/>
        </w:rPr>
      </w:pPr>
    </w:p>
    <w:p>
      <w:pPr>
        <w:jc w:val="both"/>
        <w:ind w:left="1120" w:right="100" w:firstLine="368"/>
        <w:spacing w:after="0" w:line="263" w:lineRule="auto"/>
        <w:rPr>
          <w:sz w:val="20"/>
          <w:szCs w:val="20"/>
          <w:color w:val="auto"/>
        </w:rPr>
      </w:pPr>
      <w:r>
        <w:rPr>
          <w:rFonts w:ascii="Arial" w:cs="Arial" w:eastAsia="Arial" w:hAnsi="Arial"/>
          <w:sz w:val="15"/>
          <w:szCs w:val="15"/>
          <w:color w:val="auto"/>
        </w:rPr>
        <w:t>The Company derives its revenue from subscription fees from customers for access to its platform. The Company’s policy is to exclude sales and other indirect taxes when measuring the transaction price of its subscription agreements. The Company accounts for revenue contracts with customers by applying the requirements of Topic 606, which includes the following steps:</w:t>
      </w:r>
    </w:p>
    <w:p>
      <w:pPr>
        <w:spacing w:after="0" w:line="76" w:lineRule="exact"/>
        <w:rPr>
          <w:sz w:val="20"/>
          <w:szCs w:val="20"/>
          <w:color w:val="auto"/>
        </w:rPr>
      </w:pPr>
    </w:p>
    <w:p>
      <w:pPr>
        <w:ind w:left="1840" w:hanging="276"/>
        <w:spacing w:after="0"/>
        <w:tabs>
          <w:tab w:leader="none" w:pos="1840" w:val="left"/>
        </w:tabs>
        <w:numPr>
          <w:ilvl w:val="0"/>
          <w:numId w:val="108"/>
        </w:numPr>
        <w:rPr>
          <w:rFonts w:ascii="Arial" w:cs="Arial" w:eastAsia="Arial" w:hAnsi="Arial"/>
          <w:sz w:val="15"/>
          <w:szCs w:val="15"/>
          <w:color w:val="auto"/>
        </w:rPr>
      </w:pPr>
      <w:r>
        <w:rPr>
          <w:rFonts w:ascii="Arial" w:cs="Arial" w:eastAsia="Arial" w:hAnsi="Arial"/>
          <w:sz w:val="15"/>
          <w:szCs w:val="15"/>
          <w:color w:val="auto"/>
        </w:rPr>
        <w:t>Identification of the contract, or contracts, with a customer</w:t>
      </w:r>
    </w:p>
    <w:p>
      <w:pPr>
        <w:spacing w:after="0" w:line="109" w:lineRule="exact"/>
        <w:rPr>
          <w:rFonts w:ascii="Arial" w:cs="Arial" w:eastAsia="Arial" w:hAnsi="Arial"/>
          <w:sz w:val="15"/>
          <w:szCs w:val="15"/>
          <w:color w:val="auto"/>
        </w:rPr>
      </w:pPr>
    </w:p>
    <w:p>
      <w:pPr>
        <w:ind w:left="1840" w:hanging="276"/>
        <w:spacing w:after="0"/>
        <w:tabs>
          <w:tab w:leader="none" w:pos="1840" w:val="left"/>
        </w:tabs>
        <w:numPr>
          <w:ilvl w:val="0"/>
          <w:numId w:val="108"/>
        </w:numPr>
        <w:rPr>
          <w:rFonts w:ascii="Arial" w:cs="Arial" w:eastAsia="Arial" w:hAnsi="Arial"/>
          <w:sz w:val="15"/>
          <w:szCs w:val="15"/>
          <w:color w:val="auto"/>
        </w:rPr>
      </w:pPr>
      <w:r>
        <w:rPr>
          <w:rFonts w:ascii="Arial" w:cs="Arial" w:eastAsia="Arial" w:hAnsi="Arial"/>
          <w:sz w:val="15"/>
          <w:szCs w:val="15"/>
          <w:color w:val="auto"/>
        </w:rPr>
        <w:t>Identification of the performance obligations in the contract</w:t>
      </w:r>
    </w:p>
    <w:p>
      <w:pPr>
        <w:spacing w:after="0" w:line="109" w:lineRule="exact"/>
        <w:rPr>
          <w:rFonts w:ascii="Arial" w:cs="Arial" w:eastAsia="Arial" w:hAnsi="Arial"/>
          <w:sz w:val="15"/>
          <w:szCs w:val="15"/>
          <w:color w:val="auto"/>
        </w:rPr>
      </w:pPr>
    </w:p>
    <w:p>
      <w:pPr>
        <w:ind w:left="1840" w:hanging="276"/>
        <w:spacing w:after="0"/>
        <w:tabs>
          <w:tab w:leader="none" w:pos="1840" w:val="left"/>
        </w:tabs>
        <w:numPr>
          <w:ilvl w:val="0"/>
          <w:numId w:val="108"/>
        </w:numPr>
        <w:rPr>
          <w:rFonts w:ascii="Arial" w:cs="Arial" w:eastAsia="Arial" w:hAnsi="Arial"/>
          <w:sz w:val="15"/>
          <w:szCs w:val="15"/>
          <w:color w:val="auto"/>
        </w:rPr>
      </w:pPr>
      <w:r>
        <w:rPr>
          <w:rFonts w:ascii="Arial" w:cs="Arial" w:eastAsia="Arial" w:hAnsi="Arial"/>
          <w:sz w:val="15"/>
          <w:szCs w:val="15"/>
          <w:color w:val="auto"/>
        </w:rPr>
        <w:t>Determination of the transaction price</w:t>
      </w:r>
    </w:p>
    <w:p>
      <w:pPr>
        <w:spacing w:after="0" w:line="109" w:lineRule="exact"/>
        <w:rPr>
          <w:rFonts w:ascii="Arial" w:cs="Arial" w:eastAsia="Arial" w:hAnsi="Arial"/>
          <w:sz w:val="15"/>
          <w:szCs w:val="15"/>
          <w:color w:val="auto"/>
        </w:rPr>
      </w:pPr>
    </w:p>
    <w:p>
      <w:pPr>
        <w:ind w:left="1840" w:hanging="276"/>
        <w:spacing w:after="0"/>
        <w:tabs>
          <w:tab w:leader="none" w:pos="1840" w:val="left"/>
        </w:tabs>
        <w:numPr>
          <w:ilvl w:val="0"/>
          <w:numId w:val="108"/>
        </w:numPr>
        <w:rPr>
          <w:rFonts w:ascii="Arial" w:cs="Arial" w:eastAsia="Arial" w:hAnsi="Arial"/>
          <w:sz w:val="15"/>
          <w:szCs w:val="15"/>
          <w:color w:val="auto"/>
        </w:rPr>
      </w:pPr>
      <w:r>
        <w:rPr>
          <w:rFonts w:ascii="Arial" w:cs="Arial" w:eastAsia="Arial" w:hAnsi="Arial"/>
          <w:sz w:val="15"/>
          <w:szCs w:val="15"/>
          <w:color w:val="auto"/>
        </w:rPr>
        <w:t>Allocation of the transaction price to the performance obligations in the contract</w:t>
      </w:r>
    </w:p>
    <w:p>
      <w:pPr>
        <w:spacing w:after="0" w:line="109" w:lineRule="exact"/>
        <w:rPr>
          <w:rFonts w:ascii="Arial" w:cs="Arial" w:eastAsia="Arial" w:hAnsi="Arial"/>
          <w:sz w:val="15"/>
          <w:szCs w:val="15"/>
          <w:color w:val="auto"/>
        </w:rPr>
      </w:pPr>
    </w:p>
    <w:p>
      <w:pPr>
        <w:ind w:left="1840" w:hanging="276"/>
        <w:spacing w:after="0"/>
        <w:tabs>
          <w:tab w:leader="none" w:pos="1840" w:val="left"/>
        </w:tabs>
        <w:numPr>
          <w:ilvl w:val="0"/>
          <w:numId w:val="108"/>
        </w:numPr>
        <w:rPr>
          <w:rFonts w:ascii="Arial" w:cs="Arial" w:eastAsia="Arial" w:hAnsi="Arial"/>
          <w:sz w:val="15"/>
          <w:szCs w:val="15"/>
          <w:color w:val="auto"/>
        </w:rPr>
      </w:pPr>
      <w:r>
        <w:rPr>
          <w:rFonts w:ascii="Arial" w:cs="Arial" w:eastAsia="Arial" w:hAnsi="Arial"/>
          <w:sz w:val="15"/>
          <w:szCs w:val="15"/>
          <w:color w:val="auto"/>
        </w:rPr>
        <w:t>Recognition of revenue when, or as, the Company satisfies a performance obligation</w:t>
      </w:r>
    </w:p>
    <w:p>
      <w:pPr>
        <w:spacing w:after="0" w:line="188" w:lineRule="exact"/>
        <w:rPr>
          <w:sz w:val="20"/>
          <w:szCs w:val="20"/>
          <w:color w:val="auto"/>
        </w:rPr>
      </w:pPr>
    </w:p>
    <w:p>
      <w:pPr>
        <w:ind w:left="1120" w:firstLine="368"/>
        <w:spacing w:after="0" w:line="255" w:lineRule="auto"/>
        <w:rPr>
          <w:sz w:val="20"/>
          <w:szCs w:val="20"/>
          <w:color w:val="auto"/>
        </w:rPr>
      </w:pPr>
      <w:r>
        <w:rPr>
          <w:rFonts w:ascii="Arial" w:cs="Arial" w:eastAsia="Arial" w:hAnsi="Arial"/>
          <w:sz w:val="15"/>
          <w:szCs w:val="15"/>
          <w:color w:val="auto"/>
        </w:rPr>
        <w:t>The Company’s subscription agreements generally have monthly or annual contractual terms and a small percentage have multi-year contractual terms. Revenue is recognized ratably over the related contractual term beginning on the date that the platform is made available to a customer. Access to the platform represents a series of distinct services as the Company continually provides access to, and fulfills its obligation to the end customer over the subscription term. The series of distinct services represents a single performance obligation that is satisfied over time. The Company recognizes revenue ratably because the customer receives and consumes the benefits of the platform throughout the contract period. The Company’s contracts are generally non-cancelable.</w:t>
      </w:r>
    </w:p>
    <w:p>
      <w:pPr>
        <w:spacing w:after="0" w:line="164" w:lineRule="exact"/>
        <w:rPr>
          <w:sz w:val="20"/>
          <w:szCs w:val="20"/>
          <w:color w:val="auto"/>
        </w:rPr>
      </w:pPr>
    </w:p>
    <w:p>
      <w:pPr>
        <w:ind w:left="1120" w:firstLine="368"/>
        <w:spacing w:after="0" w:line="322" w:lineRule="auto"/>
        <w:rPr>
          <w:sz w:val="20"/>
          <w:szCs w:val="20"/>
          <w:color w:val="auto"/>
        </w:rPr>
      </w:pPr>
      <w:r>
        <w:rPr>
          <w:rFonts w:ascii="Arial" w:cs="Arial" w:eastAsia="Arial" w:hAnsi="Arial"/>
          <w:sz w:val="13"/>
          <w:szCs w:val="13"/>
          <w:color w:val="auto"/>
        </w:rPr>
        <w:t>The Company bills in advance for monthly contracts and typically bills annually in advance for contracts with terms of one year or longer. The Company also recognizes an immaterial amount of contract assets, or unbilled receivables, primarily relating to rights to consideration for services completed but not billed at the reporting date. Unbilled receivables are classified as receivables when the Company has the right to invoice the customer.</w:t>
      </w:r>
    </w:p>
    <w:p>
      <w:pPr>
        <w:spacing w:after="0" w:line="120" w:lineRule="exact"/>
        <w:rPr>
          <w:sz w:val="20"/>
          <w:szCs w:val="20"/>
          <w:color w:val="auto"/>
        </w:rPr>
      </w:pPr>
    </w:p>
    <w:p>
      <w:pPr>
        <w:ind w:left="1120" w:right="440" w:firstLine="368"/>
        <w:spacing w:after="0" w:line="275" w:lineRule="auto"/>
        <w:rPr>
          <w:sz w:val="20"/>
          <w:szCs w:val="20"/>
          <w:color w:val="auto"/>
        </w:rPr>
      </w:pPr>
      <w:r>
        <w:rPr>
          <w:rFonts w:ascii="Arial" w:cs="Arial" w:eastAsia="Arial" w:hAnsi="Arial"/>
          <w:sz w:val="15"/>
          <w:szCs w:val="15"/>
          <w:color w:val="auto"/>
        </w:rPr>
        <w:t>The Company records contract liabilities when cash payments are received or due in advance of performance to deferred revenue. Deferred revenue primarily relates to the advance consideration received from the customer.</w:t>
      </w:r>
    </w:p>
    <w:p>
      <w:pPr>
        <w:spacing w:after="0" w:line="146" w:lineRule="exact"/>
        <w:rPr>
          <w:sz w:val="20"/>
          <w:szCs w:val="20"/>
          <w:color w:val="auto"/>
        </w:rPr>
      </w:pPr>
    </w:p>
    <w:p>
      <w:pPr>
        <w:ind w:left="1120" w:right="180" w:firstLine="368"/>
        <w:spacing w:after="0" w:line="263" w:lineRule="auto"/>
        <w:rPr>
          <w:sz w:val="20"/>
          <w:szCs w:val="20"/>
          <w:color w:val="auto"/>
        </w:rPr>
      </w:pPr>
      <w:r>
        <w:rPr>
          <w:rFonts w:ascii="Arial" w:cs="Arial" w:eastAsia="Arial" w:hAnsi="Arial"/>
          <w:sz w:val="15"/>
          <w:szCs w:val="15"/>
          <w:color w:val="auto"/>
        </w:rPr>
        <w:t>The price of subscriptions is generally fixed at contract inception and therefore, the Company’s contracts do not contain a significant amount of variable consideration. As a result, the amount of revenue recognized in the periods presented from performance obligations satisfied (or partially satisfied) in previous periods was not material.</w:t>
      </w:r>
    </w:p>
    <w:p>
      <w:pPr>
        <w:spacing w:after="0" w:line="155" w:lineRule="exact"/>
        <w:rPr>
          <w:sz w:val="20"/>
          <w:szCs w:val="20"/>
          <w:color w:val="auto"/>
        </w:rPr>
      </w:pPr>
    </w:p>
    <w:p>
      <w:pPr>
        <w:ind w:left="1120" w:right="400" w:firstLine="368"/>
        <w:spacing w:after="0" w:line="275" w:lineRule="auto"/>
        <w:rPr>
          <w:sz w:val="20"/>
          <w:szCs w:val="20"/>
          <w:color w:val="auto"/>
        </w:rPr>
      </w:pPr>
      <w:r>
        <w:rPr>
          <w:rFonts w:ascii="Arial" w:cs="Arial" w:eastAsia="Arial" w:hAnsi="Arial"/>
          <w:sz w:val="15"/>
          <w:szCs w:val="15"/>
          <w:color w:val="auto"/>
        </w:rPr>
        <w:t>The Company recognized $184.7 million, $266.9 million, and $353.0 million of revenue during 2015, 2016 and 2017, respectively, that was included in the deferred revenue balances at the beginning of the respective periods.</w:t>
      </w:r>
    </w:p>
    <w:p>
      <w:pPr>
        <w:spacing w:after="0" w:line="90" w:lineRule="exact"/>
        <w:rPr>
          <w:sz w:val="20"/>
          <w:szCs w:val="20"/>
          <w:color w:val="auto"/>
        </w:rPr>
      </w:pPr>
    </w:p>
    <w:p>
      <w:pPr>
        <w:ind w:left="5580"/>
        <w:spacing w:after="0"/>
        <w:rPr>
          <w:sz w:val="20"/>
          <w:szCs w:val="20"/>
          <w:color w:val="auto"/>
        </w:rPr>
      </w:pPr>
      <w:r>
        <w:rPr>
          <w:rFonts w:ascii="Arial" w:cs="Arial" w:eastAsia="Arial" w:hAnsi="Arial"/>
          <w:sz w:val="15"/>
          <w:szCs w:val="15"/>
          <w:color w:val="auto"/>
        </w:rPr>
        <w:t>F-10</w:t>
      </w:r>
    </w:p>
    <w:p>
      <w:pPr>
        <w:sectPr>
          <w:pgSz w:w="11900" w:h="16838" w:orient="portrait"/>
          <w:cols w:equalWidth="0" w:num="1">
            <w:col w:w="10300"/>
          </w:cols>
          <w:pgMar w:left="240" w:top="408" w:right="1359" w:bottom="1440" w:gutter="0" w:footer="0" w:header="0"/>
        </w:sectPr>
      </w:pPr>
    </w:p>
    <w:bookmarkStart w:id="213" w:name="page214"/>
    <w:bookmarkEnd w:id="213"/>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133350</wp:posOffset>
            </wp:positionH>
            <wp:positionV relativeFrom="page">
              <wp:posOffset>88900</wp:posOffset>
            </wp:positionV>
            <wp:extent cx="7308850" cy="3429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308850" cy="34290"/>
                    </a:xfrm>
                    <a:prstGeom prst="rect">
                      <a:avLst/>
                    </a:prstGeom>
                    <a:noFill/>
                  </pic:spPr>
                </pic:pic>
              </a:graphicData>
            </a:graphic>
          </wp:anchor>
        </w:drawing>
      </w:r>
      <w:hyperlink w:anchor="page7">
        <w:r>
          <w:rPr>
            <w:rFonts w:ascii="Arial" w:cs="Arial" w:eastAsia="Arial" w:hAnsi="Arial"/>
            <w:sz w:val="15"/>
            <w:szCs w:val="15"/>
            <w:b w:val="1"/>
            <w:bCs w:val="1"/>
            <w:u w:val="single" w:color="auto"/>
            <w:color w:val="0000EE"/>
          </w:rPr>
          <w:t>Table of Contents</w:t>
        </w:r>
      </w:hyperlink>
    </w:p>
    <w:p>
      <w:pPr>
        <w:spacing w:after="0" w:line="260" w:lineRule="exact"/>
        <w:rPr>
          <w:sz w:val="20"/>
          <w:szCs w:val="20"/>
          <w:color w:val="auto"/>
        </w:rPr>
      </w:pPr>
    </w:p>
    <w:p>
      <w:pPr>
        <w:ind w:left="1120" w:right="60" w:firstLine="368"/>
        <w:spacing w:after="0" w:line="354" w:lineRule="auto"/>
        <w:rPr>
          <w:sz w:val="20"/>
          <w:szCs w:val="20"/>
          <w:color w:val="auto"/>
        </w:rPr>
      </w:pPr>
      <w:r>
        <w:rPr>
          <w:rFonts w:ascii="Arial" w:cs="Arial" w:eastAsia="Arial" w:hAnsi="Arial"/>
          <w:sz w:val="13"/>
          <w:szCs w:val="13"/>
          <w:color w:val="auto"/>
        </w:rPr>
        <w:t>As of December 31, 2017, future estimated revenue related to performance obligations that are unsatisfied or partially unsatisfied at the end of the reporting period was $467.8 million. The substantial majority of the unsatisfied performance obligations will be satisfied over the next twelve months.</w:t>
      </w:r>
    </w:p>
    <w:p>
      <w:pPr>
        <w:spacing w:after="0" w:line="100" w:lineRule="exact"/>
        <w:rPr>
          <w:sz w:val="20"/>
          <w:szCs w:val="20"/>
          <w:color w:val="auto"/>
        </w:rPr>
      </w:pPr>
    </w:p>
    <w:p>
      <w:pPr>
        <w:ind w:left="1120" w:right="360" w:firstLine="368"/>
        <w:spacing w:after="0" w:line="275" w:lineRule="auto"/>
        <w:rPr>
          <w:sz w:val="20"/>
          <w:szCs w:val="20"/>
          <w:color w:val="auto"/>
        </w:rPr>
      </w:pPr>
      <w:r>
        <w:rPr>
          <w:rFonts w:ascii="Arial" w:cs="Arial" w:eastAsia="Arial" w:hAnsi="Arial"/>
          <w:sz w:val="15"/>
          <w:szCs w:val="15"/>
          <w:color w:val="auto"/>
        </w:rPr>
        <w:t>The Company applied the practical expedient in Topic 606 and did not evaluate contracts of one year or less for the existence of a significant financing component. Multi-year contracts were not significant.</w:t>
      </w:r>
    </w:p>
    <w:p>
      <w:pPr>
        <w:spacing w:after="0" w:line="236" w:lineRule="exact"/>
        <w:rPr>
          <w:sz w:val="20"/>
          <w:szCs w:val="20"/>
          <w:color w:val="auto"/>
        </w:rPr>
      </w:pPr>
    </w:p>
    <w:p>
      <w:pPr>
        <w:ind w:left="1480"/>
        <w:spacing w:after="0"/>
        <w:rPr>
          <w:sz w:val="20"/>
          <w:szCs w:val="20"/>
          <w:color w:val="auto"/>
        </w:rPr>
      </w:pPr>
      <w:r>
        <w:rPr>
          <w:rFonts w:ascii="Arial" w:cs="Arial" w:eastAsia="Arial" w:hAnsi="Arial"/>
          <w:sz w:val="15"/>
          <w:szCs w:val="15"/>
          <w:b w:val="1"/>
          <w:bCs w:val="1"/>
          <w:i w:val="1"/>
          <w:iCs w:val="1"/>
          <w:color w:val="auto"/>
        </w:rPr>
        <w:t>Stock-based compensation</w:t>
      </w:r>
    </w:p>
    <w:p>
      <w:pPr>
        <w:spacing w:after="0" w:line="98" w:lineRule="exact"/>
        <w:rPr>
          <w:sz w:val="20"/>
          <w:szCs w:val="20"/>
          <w:color w:val="auto"/>
        </w:rPr>
      </w:pPr>
    </w:p>
    <w:p>
      <w:pPr>
        <w:ind w:left="1120" w:right="60" w:firstLine="368"/>
        <w:spacing w:after="0" w:line="312" w:lineRule="auto"/>
        <w:rPr>
          <w:sz w:val="20"/>
          <w:szCs w:val="20"/>
          <w:color w:val="auto"/>
        </w:rPr>
      </w:pPr>
      <w:r>
        <w:rPr>
          <w:rFonts w:ascii="Arial" w:cs="Arial" w:eastAsia="Arial" w:hAnsi="Arial"/>
          <w:sz w:val="14"/>
          <w:szCs w:val="14"/>
          <w:color w:val="auto"/>
        </w:rPr>
        <w:t>The Company has granted RSUs to its employees and members of the Board of Directors under the 2008 Equity Incentive Plan (“2008 Plan”) and the 2017 Equity Incentive Plan (“2017 Plan”). The Company had two types of RSUs outstanding as of December 31, 2017:</w:t>
      </w:r>
    </w:p>
    <w:p>
      <w:pPr>
        <w:spacing w:after="0" w:line="44" w:lineRule="exact"/>
        <w:rPr>
          <w:sz w:val="20"/>
          <w:szCs w:val="20"/>
          <w:color w:val="auto"/>
        </w:rPr>
      </w:pPr>
    </w:p>
    <w:p>
      <w:pPr>
        <w:ind w:left="1840" w:right="160" w:hanging="276"/>
        <w:spacing w:after="0" w:line="259" w:lineRule="auto"/>
        <w:tabs>
          <w:tab w:leader="none" w:pos="1840" w:val="left"/>
        </w:tabs>
        <w:numPr>
          <w:ilvl w:val="0"/>
          <w:numId w:val="109"/>
        </w:numPr>
        <w:rPr>
          <w:rFonts w:ascii="Arial" w:cs="Arial" w:eastAsia="Arial" w:hAnsi="Arial"/>
          <w:sz w:val="15"/>
          <w:szCs w:val="15"/>
          <w:color w:val="auto"/>
        </w:rPr>
      </w:pPr>
      <w:r>
        <w:rPr>
          <w:rFonts w:ascii="Arial" w:cs="Arial" w:eastAsia="Arial" w:hAnsi="Arial"/>
          <w:sz w:val="15"/>
          <w:szCs w:val="15"/>
          <w:color w:val="auto"/>
        </w:rPr>
        <w:t>One-tier RSUs, which have a service-based vesting condition over a four year period. These awards typically have a cliff vesting period of one year and continue to vest quarterly thereafter. The Company began granting one-tier RSUs under its 2008 Plan in August 2015 and it continues to grant one-tier RSUs under its 2017 Plan. The Company recognizes compensation expense associated with one-tier RSUs ratably on a straight-line basis over the requisite service period.</w:t>
      </w:r>
    </w:p>
    <w:p>
      <w:pPr>
        <w:spacing w:after="0" w:line="78" w:lineRule="exact"/>
        <w:rPr>
          <w:rFonts w:ascii="Arial" w:cs="Arial" w:eastAsia="Arial" w:hAnsi="Arial"/>
          <w:sz w:val="15"/>
          <w:szCs w:val="15"/>
          <w:color w:val="auto"/>
        </w:rPr>
      </w:pPr>
    </w:p>
    <w:p>
      <w:pPr>
        <w:ind w:left="1840" w:hanging="276"/>
        <w:spacing w:after="0" w:line="275" w:lineRule="auto"/>
        <w:tabs>
          <w:tab w:leader="none" w:pos="1840" w:val="left"/>
        </w:tabs>
        <w:numPr>
          <w:ilvl w:val="0"/>
          <w:numId w:val="109"/>
        </w:numPr>
        <w:rPr>
          <w:rFonts w:ascii="Arial" w:cs="Arial" w:eastAsia="Arial" w:hAnsi="Arial"/>
          <w:sz w:val="14"/>
          <w:szCs w:val="14"/>
          <w:color w:val="auto"/>
        </w:rPr>
      </w:pPr>
      <w:r>
        <w:rPr>
          <w:rFonts w:ascii="Arial" w:cs="Arial" w:eastAsia="Arial" w:hAnsi="Arial"/>
          <w:sz w:val="14"/>
          <w:szCs w:val="14"/>
          <w:color w:val="auto"/>
        </w:rPr>
        <w:t>Two-tier RSUs, which have both a service-based vesting condition and the Performance Vesting Condition. The service-based vesting period for these awards is typically four years with a cliff vesting period of one year and continue to vest monthly thereafter. Upon satisfaction of the Performance Vesting Condition, these awards will vest quarterly. The Performance Vesting Condition is satisfied on the earlier of (i) an acquisition or change in control of the Company or (ii) the earlier of (a) six months after the Company’s initial public offering or (b) March 15 of the year following the Company’s initial public offering. Prior to August 2015, the Company granted two-tier RSUs under the 2008 Plan. The Company’s Board of Directors has approved the acceleration of the Performance Vesting Condition for two-tier RSUs, for which the service condition was satisfied as of December 31, 2017, to occur upon the effectiveness of its registration statement related to this offering. The last grant date for two-tier RSUs was in May 2015.</w:t>
      </w:r>
    </w:p>
    <w:p>
      <w:pPr>
        <w:spacing w:after="0" w:line="148" w:lineRule="exact"/>
        <w:rPr>
          <w:sz w:val="20"/>
          <w:szCs w:val="20"/>
          <w:color w:val="auto"/>
        </w:rPr>
      </w:pPr>
    </w:p>
    <w:p>
      <w:pPr>
        <w:ind w:left="1120" w:right="60" w:firstLine="368"/>
        <w:spacing w:after="0" w:line="275" w:lineRule="auto"/>
        <w:rPr>
          <w:sz w:val="20"/>
          <w:szCs w:val="20"/>
          <w:color w:val="auto"/>
        </w:rPr>
      </w:pPr>
      <w:r>
        <w:rPr>
          <w:rFonts w:ascii="Arial" w:cs="Arial" w:eastAsia="Arial" w:hAnsi="Arial"/>
          <w:sz w:val="14"/>
          <w:szCs w:val="14"/>
          <w:color w:val="auto"/>
        </w:rPr>
        <w:t>As of December 31, 2017, all compensation expense related to two-tier RSUs remained unrecognized because the Performance Vesting Condition was not satisfied. At the time the Performance Vesting Condition becomes probable, the Company will recognize the cumulative stock-based compensation expense for the two-tier RSUs that have met their service-based vesting condition using the accelerated attribution method. If the Performance Vesting Condition had occurred on December 31, 2017, the Company would have recorded $415.6 million of stock-based compensation expense using the accelerated attribution method. As of December 31, 2017, 28.2 million two-tier RSUs were outstanding, of which 26.1 million had met their service condition. If the Performance Vesting Condition had been satisfied on these two-tier RSUs as of December 31, 2017, unamortized stock-based compensation expense of $5.6 million would be recognized over a weighted-average period of approximately one year if the requisite service is provided. See Note 11, “Stockholders’ Equity” for further discussion.</w:t>
      </w:r>
    </w:p>
    <w:p>
      <w:pPr>
        <w:spacing w:after="0" w:line="148" w:lineRule="exact"/>
        <w:rPr>
          <w:sz w:val="20"/>
          <w:szCs w:val="20"/>
          <w:color w:val="auto"/>
        </w:rPr>
      </w:pPr>
    </w:p>
    <w:p>
      <w:pPr>
        <w:ind w:left="1120" w:right="20" w:firstLine="368"/>
        <w:spacing w:after="0" w:line="290" w:lineRule="auto"/>
        <w:rPr>
          <w:sz w:val="20"/>
          <w:szCs w:val="20"/>
          <w:color w:val="auto"/>
        </w:rPr>
      </w:pPr>
      <w:r>
        <w:rPr>
          <w:rFonts w:ascii="Arial" w:cs="Arial" w:eastAsia="Arial" w:hAnsi="Arial"/>
          <w:sz w:val="14"/>
          <w:szCs w:val="14"/>
          <w:color w:val="auto"/>
        </w:rPr>
        <w:t>Since August 2015, the Company has granted RSUs as the only stock-based payment awards to its employees, excluding to its co-founders, and has not granted any stock options since then. The fair values of the common stock underlying the RSUs were determined by the Board of Directors, with input from management and contemporaneous third-party valuations, which were performed at least quarterly.</w:t>
      </w:r>
    </w:p>
    <w:p>
      <w:pPr>
        <w:spacing w:after="0" w:line="138" w:lineRule="exact"/>
        <w:rPr>
          <w:sz w:val="20"/>
          <w:szCs w:val="20"/>
          <w:color w:val="auto"/>
        </w:rPr>
      </w:pPr>
    </w:p>
    <w:p>
      <w:pPr>
        <w:ind w:left="1120" w:right="160" w:firstLine="368"/>
        <w:spacing w:after="0" w:line="283" w:lineRule="auto"/>
        <w:rPr>
          <w:sz w:val="20"/>
          <w:szCs w:val="20"/>
          <w:color w:val="auto"/>
        </w:rPr>
      </w:pPr>
      <w:r>
        <w:rPr>
          <w:rFonts w:ascii="Arial" w:cs="Arial" w:eastAsia="Arial" w:hAnsi="Arial"/>
          <w:sz w:val="14"/>
          <w:szCs w:val="14"/>
          <w:color w:val="auto"/>
        </w:rPr>
        <w:t>In December 2017, the Board of Directors approved a grant to the Company’s co-founders of restricted stock awards (“RSAs”) with respect to 14.7 million shares of Class A Common Stock in the aggregate (collectively, the “Co-Founder Grants”), of which 10.3 million RSAs were granted to Mr. Houston, the Company’s co-founder and Chief Executive Officer, and 4.4 million RSAs were granted to Mr. Ferdowsi, the Company’s co-founder and Director. These Co-Founder Grants have service-based, market-based, and performance-based vesting conditions.</w:t>
      </w:r>
    </w:p>
    <w:p>
      <w:pPr>
        <w:spacing w:after="0" w:line="87" w:lineRule="exact"/>
        <w:rPr>
          <w:sz w:val="20"/>
          <w:szCs w:val="20"/>
          <w:color w:val="auto"/>
        </w:rPr>
      </w:pPr>
    </w:p>
    <w:p>
      <w:pPr>
        <w:ind w:left="5580"/>
        <w:spacing w:after="0"/>
        <w:rPr>
          <w:sz w:val="20"/>
          <w:szCs w:val="20"/>
          <w:color w:val="auto"/>
        </w:rPr>
      </w:pPr>
      <w:r>
        <w:rPr>
          <w:rFonts w:ascii="Arial" w:cs="Arial" w:eastAsia="Arial" w:hAnsi="Arial"/>
          <w:sz w:val="15"/>
          <w:szCs w:val="15"/>
          <w:color w:val="auto"/>
        </w:rPr>
        <w:t>F-11</w:t>
      </w:r>
    </w:p>
    <w:p>
      <w:pPr>
        <w:sectPr>
          <w:pgSz w:w="11900" w:h="16838" w:orient="portrait"/>
          <w:cols w:equalWidth="0" w:num="1">
            <w:col w:w="10320"/>
          </w:cols>
          <w:pgMar w:left="240" w:top="407" w:right="1339" w:bottom="1440" w:gutter="0" w:footer="0" w:header="0"/>
        </w:sectPr>
      </w:pPr>
    </w:p>
    <w:bookmarkStart w:id="214" w:name="page215"/>
    <w:bookmarkEnd w:id="214"/>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133350</wp:posOffset>
            </wp:positionH>
            <wp:positionV relativeFrom="page">
              <wp:posOffset>88900</wp:posOffset>
            </wp:positionV>
            <wp:extent cx="7308850" cy="3429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308850" cy="34290"/>
                    </a:xfrm>
                    <a:prstGeom prst="rect">
                      <a:avLst/>
                    </a:prstGeom>
                    <a:noFill/>
                  </pic:spPr>
                </pic:pic>
              </a:graphicData>
            </a:graphic>
          </wp:anchor>
        </w:drawing>
      </w:r>
      <w:hyperlink w:anchor="page7">
        <w:r>
          <w:rPr>
            <w:rFonts w:ascii="Arial" w:cs="Arial" w:eastAsia="Arial" w:hAnsi="Arial"/>
            <w:sz w:val="15"/>
            <w:szCs w:val="15"/>
            <w:b w:val="1"/>
            <w:bCs w:val="1"/>
            <w:u w:val="single" w:color="auto"/>
            <w:color w:val="0000EE"/>
          </w:rPr>
          <w:t>Table of Contents</w:t>
        </w:r>
      </w:hyperlink>
    </w:p>
    <w:p>
      <w:pPr>
        <w:spacing w:after="0" w:line="260" w:lineRule="exact"/>
        <w:rPr>
          <w:sz w:val="20"/>
          <w:szCs w:val="20"/>
          <w:color w:val="auto"/>
        </w:rPr>
      </w:pPr>
    </w:p>
    <w:p>
      <w:pPr>
        <w:ind w:left="1120" w:right="20" w:firstLine="368"/>
        <w:spacing w:after="0" w:line="275" w:lineRule="auto"/>
        <w:rPr>
          <w:sz w:val="20"/>
          <w:szCs w:val="20"/>
          <w:color w:val="auto"/>
        </w:rPr>
      </w:pPr>
      <w:r>
        <w:rPr>
          <w:rFonts w:ascii="Arial" w:cs="Arial" w:eastAsia="Arial" w:hAnsi="Arial"/>
          <w:sz w:val="14"/>
          <w:szCs w:val="14"/>
          <w:color w:val="auto"/>
        </w:rPr>
        <w:t>The Co-Founder Grants comprise nine tranches that are eligible to vest based on the achievement of stock price goals, or, each, a Stock Price Target. The Company estimated the grant date fair value of the Co-Founder Grants using a model based on multiple stock price paths developed through the use of a Monte Carlo simulation that incorporates into the valuation the possibility that the Stock Price Targets may not be satisfied. The average grant date fair value of each Co-Founder Grant was estimated to be $10.60 per share, and the Company will recognize aggregate stock-based compensation expense of $156.2 million over the requisite service period of each tranche, which ranged from 2.9 to 6.9 years, using the accelerated attribution method. If the Stock Price Targets are met sooner than the derived service period, the Company will adjust its stock-based compensation to reflect the cumulative expense associated with the vested awards. The Company will recognize expense if the requisite service is provided, regardless of whether the market conditions are achieved.</w:t>
      </w:r>
    </w:p>
    <w:p>
      <w:pPr>
        <w:spacing w:after="0" w:line="148" w:lineRule="exact"/>
        <w:rPr>
          <w:sz w:val="20"/>
          <w:szCs w:val="20"/>
          <w:color w:val="auto"/>
        </w:rPr>
      </w:pPr>
    </w:p>
    <w:p>
      <w:pPr>
        <w:ind w:left="1120" w:right="200" w:firstLine="368"/>
        <w:spacing w:after="0" w:line="283" w:lineRule="auto"/>
        <w:rPr>
          <w:sz w:val="20"/>
          <w:szCs w:val="20"/>
          <w:color w:val="auto"/>
        </w:rPr>
      </w:pPr>
      <w:r>
        <w:rPr>
          <w:rFonts w:ascii="Arial" w:cs="Arial" w:eastAsia="Arial" w:hAnsi="Arial"/>
          <w:sz w:val="14"/>
          <w:szCs w:val="14"/>
          <w:color w:val="auto"/>
        </w:rPr>
        <w:t>The Co-Founder Grants contain an implied performance-based vesting condition satisfied upon the Company’s shares being traded on an established national securities exchange or automated quotation system, because no shares subject to the Co-Founder Grants will vest until then. Accordingly, as of December 31, 2017, all compensation expense related to the Co-Founder Grants remained unrecognized because the performance-based vesting condition was not deemed probable of being achieved. See Note 11, “Stockholders’ Equity” for further discussion.</w:t>
      </w:r>
    </w:p>
    <w:p>
      <w:pPr>
        <w:spacing w:after="0" w:line="143" w:lineRule="exact"/>
        <w:rPr>
          <w:sz w:val="20"/>
          <w:szCs w:val="20"/>
          <w:color w:val="auto"/>
        </w:rPr>
      </w:pPr>
    </w:p>
    <w:p>
      <w:pPr>
        <w:ind w:left="1120" w:firstLine="368"/>
        <w:spacing w:after="0" w:line="311" w:lineRule="auto"/>
        <w:rPr>
          <w:sz w:val="20"/>
          <w:szCs w:val="20"/>
          <w:color w:val="auto"/>
        </w:rPr>
      </w:pPr>
      <w:r>
        <w:rPr>
          <w:rFonts w:ascii="Arial" w:cs="Arial" w:eastAsia="Arial" w:hAnsi="Arial"/>
          <w:sz w:val="13"/>
          <w:szCs w:val="13"/>
          <w:color w:val="auto"/>
        </w:rPr>
        <w:t>The Company has outstanding stock options that will continue to vest through 2019 if the requisite service is provided. The Company used the Black-Scholes Merton Option (“BSM”) pricing model to determine the fair value of stock options granted on the date of grant. This valuation model for stock-based compensation expense requires the Company to make assumptions and judgments about the variables used in the BSM model, including the fair value of its common stock, expected term, expected volatility, risk-free interest rate, and dividend yield. These judgments are made as follows:</w:t>
      </w:r>
    </w:p>
    <w:p>
      <w:pPr>
        <w:spacing w:after="0" w:line="48" w:lineRule="exact"/>
        <w:rPr>
          <w:sz w:val="20"/>
          <w:szCs w:val="20"/>
          <w:color w:val="auto"/>
        </w:rPr>
      </w:pPr>
    </w:p>
    <w:p>
      <w:pPr>
        <w:ind w:left="1840" w:right="140" w:hanging="276"/>
        <w:spacing w:after="0" w:line="305" w:lineRule="auto"/>
        <w:tabs>
          <w:tab w:leader="none" w:pos="1840" w:val="left"/>
        </w:tabs>
        <w:numPr>
          <w:ilvl w:val="0"/>
          <w:numId w:val="110"/>
        </w:numPr>
        <w:rPr>
          <w:rFonts w:ascii="Arial" w:cs="Arial" w:eastAsia="Arial" w:hAnsi="Arial"/>
          <w:sz w:val="13"/>
          <w:szCs w:val="13"/>
          <w:color w:val="auto"/>
        </w:rPr>
      </w:pPr>
      <w:r>
        <w:rPr>
          <w:rFonts w:ascii="Arial" w:cs="Arial" w:eastAsia="Arial" w:hAnsi="Arial"/>
          <w:sz w:val="13"/>
          <w:szCs w:val="13"/>
          <w:i w:val="1"/>
          <w:iCs w:val="1"/>
          <w:color w:val="auto"/>
        </w:rPr>
        <w:t>Fair value of common stock</w:t>
      </w:r>
      <w:r>
        <w:rPr>
          <w:rFonts w:ascii="Arial" w:cs="Arial" w:eastAsia="Arial" w:hAnsi="Arial"/>
          <w:sz w:val="13"/>
          <w:szCs w:val="13"/>
          <w:color w:val="auto"/>
        </w:rPr>
        <w:t>. The absence of an active market for the Company’s common stock requires it to estimate the fair value of its</w:t>
      </w:r>
      <w:r>
        <w:rPr>
          <w:rFonts w:ascii="Arial" w:cs="Arial" w:eastAsia="Arial" w:hAnsi="Arial"/>
          <w:sz w:val="13"/>
          <w:szCs w:val="13"/>
          <w:i w:val="1"/>
          <w:iCs w:val="1"/>
          <w:color w:val="auto"/>
        </w:rPr>
        <w:t xml:space="preserve"> </w:t>
      </w:r>
      <w:r>
        <w:rPr>
          <w:rFonts w:ascii="Arial" w:cs="Arial" w:eastAsia="Arial" w:hAnsi="Arial"/>
          <w:sz w:val="13"/>
          <w:szCs w:val="13"/>
          <w:color w:val="auto"/>
        </w:rPr>
        <w:t xml:space="preserve">common stock for purposes of granting stock options, granting RSUs, and for determining stock-based compensation expense for the periods presented. The Company obtained contemporaneous third-party valuations to assist in determining the fair value of its common stock. These contemporaneous third-party valuations used the methodologies, approaches, and assumptions consistent with the American Institute of Certified Public Accountants Practice Guide, </w:t>
      </w:r>
      <w:r>
        <w:rPr>
          <w:rFonts w:ascii="Arial" w:cs="Arial" w:eastAsia="Arial" w:hAnsi="Arial"/>
          <w:sz w:val="13"/>
          <w:szCs w:val="13"/>
          <w:i w:val="1"/>
          <w:iCs w:val="1"/>
          <w:color w:val="auto"/>
        </w:rPr>
        <w:t>Valuation of Privately-Held-Company Equity Securities Issued as Compensation.</w:t>
      </w:r>
    </w:p>
    <w:p>
      <w:pPr>
        <w:spacing w:after="0" w:line="133" w:lineRule="exact"/>
        <w:rPr>
          <w:sz w:val="20"/>
          <w:szCs w:val="20"/>
          <w:color w:val="auto"/>
        </w:rPr>
      </w:pPr>
    </w:p>
    <w:p>
      <w:pPr>
        <w:ind w:left="1480"/>
        <w:spacing w:after="0"/>
        <w:rPr>
          <w:sz w:val="20"/>
          <w:szCs w:val="20"/>
          <w:color w:val="auto"/>
        </w:rPr>
      </w:pPr>
      <w:r>
        <w:rPr>
          <w:rFonts w:ascii="Arial" w:cs="Arial" w:eastAsia="Arial" w:hAnsi="Arial"/>
          <w:sz w:val="15"/>
          <w:szCs w:val="15"/>
          <w:color w:val="auto"/>
        </w:rPr>
        <w:t>The Company considered numerous factors in assessing the fair value of its common stock including:</w:t>
      </w:r>
    </w:p>
    <w:p>
      <w:pPr>
        <w:spacing w:after="0" w:line="109" w:lineRule="exact"/>
        <w:rPr>
          <w:sz w:val="20"/>
          <w:szCs w:val="20"/>
          <w:color w:val="auto"/>
        </w:rPr>
      </w:pPr>
    </w:p>
    <w:p>
      <w:pPr>
        <w:ind w:left="2300" w:hanging="364"/>
        <w:spacing w:after="0"/>
        <w:tabs>
          <w:tab w:leader="none" w:pos="2300" w:val="left"/>
        </w:tabs>
        <w:numPr>
          <w:ilvl w:val="0"/>
          <w:numId w:val="111"/>
        </w:numPr>
        <w:rPr>
          <w:rFonts w:ascii="Arial" w:cs="Arial" w:eastAsia="Arial" w:hAnsi="Arial"/>
          <w:sz w:val="15"/>
          <w:szCs w:val="15"/>
          <w:color w:val="auto"/>
        </w:rPr>
      </w:pPr>
      <w:r>
        <w:rPr>
          <w:rFonts w:ascii="Arial" w:cs="Arial" w:eastAsia="Arial" w:hAnsi="Arial"/>
          <w:sz w:val="15"/>
          <w:szCs w:val="15"/>
          <w:color w:val="auto"/>
        </w:rPr>
        <w:t>The results of contemporaneous valuations of its common stock by unrelated third parties;</w:t>
      </w:r>
    </w:p>
    <w:p>
      <w:pPr>
        <w:spacing w:after="0" w:line="109" w:lineRule="exact"/>
        <w:rPr>
          <w:rFonts w:ascii="Arial" w:cs="Arial" w:eastAsia="Arial" w:hAnsi="Arial"/>
          <w:sz w:val="15"/>
          <w:szCs w:val="15"/>
          <w:color w:val="auto"/>
        </w:rPr>
      </w:pPr>
    </w:p>
    <w:p>
      <w:pPr>
        <w:ind w:left="2300" w:hanging="364"/>
        <w:spacing w:after="0"/>
        <w:tabs>
          <w:tab w:leader="none" w:pos="2300" w:val="left"/>
        </w:tabs>
        <w:numPr>
          <w:ilvl w:val="0"/>
          <w:numId w:val="111"/>
        </w:numPr>
        <w:rPr>
          <w:rFonts w:ascii="Arial" w:cs="Arial" w:eastAsia="Arial" w:hAnsi="Arial"/>
          <w:sz w:val="15"/>
          <w:szCs w:val="15"/>
          <w:color w:val="auto"/>
        </w:rPr>
      </w:pPr>
      <w:r>
        <w:rPr>
          <w:rFonts w:ascii="Arial" w:cs="Arial" w:eastAsia="Arial" w:hAnsi="Arial"/>
          <w:sz w:val="15"/>
          <w:szCs w:val="15"/>
          <w:color w:val="auto"/>
        </w:rPr>
        <w:t>The rights, preferences, and privileges of its convertible preferred stock relative to those of its common stock;</w:t>
      </w:r>
    </w:p>
    <w:p>
      <w:pPr>
        <w:spacing w:after="0" w:line="109" w:lineRule="exact"/>
        <w:rPr>
          <w:rFonts w:ascii="Arial" w:cs="Arial" w:eastAsia="Arial" w:hAnsi="Arial"/>
          <w:sz w:val="15"/>
          <w:szCs w:val="15"/>
          <w:color w:val="auto"/>
        </w:rPr>
      </w:pPr>
    </w:p>
    <w:p>
      <w:pPr>
        <w:ind w:left="2300" w:hanging="364"/>
        <w:spacing w:after="0" w:line="275" w:lineRule="auto"/>
        <w:tabs>
          <w:tab w:leader="none" w:pos="2300" w:val="left"/>
        </w:tabs>
        <w:numPr>
          <w:ilvl w:val="0"/>
          <w:numId w:val="111"/>
        </w:numPr>
        <w:rPr>
          <w:rFonts w:ascii="Arial" w:cs="Arial" w:eastAsia="Arial" w:hAnsi="Arial"/>
          <w:sz w:val="15"/>
          <w:szCs w:val="15"/>
          <w:color w:val="auto"/>
        </w:rPr>
      </w:pPr>
      <w:r>
        <w:rPr>
          <w:rFonts w:ascii="Arial" w:cs="Arial" w:eastAsia="Arial" w:hAnsi="Arial"/>
          <w:sz w:val="15"/>
          <w:szCs w:val="15"/>
          <w:color w:val="auto"/>
        </w:rPr>
        <w:t>Market multiples of comparable public companies in its industry as indicated by their market capitalization and guideline merger and acquisition transactions;</w:t>
      </w:r>
    </w:p>
    <w:p>
      <w:pPr>
        <w:spacing w:after="0" w:line="67" w:lineRule="exact"/>
        <w:rPr>
          <w:rFonts w:ascii="Arial" w:cs="Arial" w:eastAsia="Arial" w:hAnsi="Arial"/>
          <w:sz w:val="15"/>
          <w:szCs w:val="15"/>
          <w:color w:val="auto"/>
        </w:rPr>
      </w:pPr>
    </w:p>
    <w:p>
      <w:pPr>
        <w:ind w:left="2300" w:hanging="364"/>
        <w:spacing w:after="0"/>
        <w:tabs>
          <w:tab w:leader="none" w:pos="2300" w:val="left"/>
        </w:tabs>
        <w:numPr>
          <w:ilvl w:val="0"/>
          <w:numId w:val="111"/>
        </w:numPr>
        <w:rPr>
          <w:rFonts w:ascii="Arial" w:cs="Arial" w:eastAsia="Arial" w:hAnsi="Arial"/>
          <w:sz w:val="15"/>
          <w:szCs w:val="15"/>
          <w:color w:val="auto"/>
        </w:rPr>
      </w:pPr>
      <w:r>
        <w:rPr>
          <w:rFonts w:ascii="Arial" w:cs="Arial" w:eastAsia="Arial" w:hAnsi="Arial"/>
          <w:sz w:val="15"/>
          <w:szCs w:val="15"/>
          <w:color w:val="auto"/>
        </w:rPr>
        <w:t>The Company’s performance and market position relative to its competitors, who may change from time to time;</w:t>
      </w:r>
    </w:p>
    <w:p>
      <w:pPr>
        <w:spacing w:after="0" w:line="109" w:lineRule="exact"/>
        <w:rPr>
          <w:rFonts w:ascii="Arial" w:cs="Arial" w:eastAsia="Arial" w:hAnsi="Arial"/>
          <w:sz w:val="15"/>
          <w:szCs w:val="15"/>
          <w:color w:val="auto"/>
        </w:rPr>
      </w:pPr>
    </w:p>
    <w:p>
      <w:pPr>
        <w:ind w:left="2300" w:hanging="364"/>
        <w:spacing w:after="0"/>
        <w:tabs>
          <w:tab w:leader="none" w:pos="2300" w:val="left"/>
        </w:tabs>
        <w:numPr>
          <w:ilvl w:val="0"/>
          <w:numId w:val="111"/>
        </w:numPr>
        <w:rPr>
          <w:rFonts w:ascii="Arial" w:cs="Arial" w:eastAsia="Arial" w:hAnsi="Arial"/>
          <w:sz w:val="15"/>
          <w:szCs w:val="15"/>
          <w:color w:val="auto"/>
        </w:rPr>
      </w:pPr>
      <w:r>
        <w:rPr>
          <w:rFonts w:ascii="Arial" w:cs="Arial" w:eastAsia="Arial" w:hAnsi="Arial"/>
          <w:sz w:val="15"/>
          <w:szCs w:val="15"/>
          <w:color w:val="auto"/>
        </w:rPr>
        <w:t>The Company’s historical financial results and estimated trends and prospects for its future performance;</w:t>
      </w:r>
    </w:p>
    <w:p>
      <w:pPr>
        <w:spacing w:after="0" w:line="109" w:lineRule="exact"/>
        <w:rPr>
          <w:rFonts w:ascii="Arial" w:cs="Arial" w:eastAsia="Arial" w:hAnsi="Arial"/>
          <w:sz w:val="15"/>
          <w:szCs w:val="15"/>
          <w:color w:val="auto"/>
        </w:rPr>
      </w:pPr>
    </w:p>
    <w:p>
      <w:pPr>
        <w:ind w:left="2300" w:hanging="364"/>
        <w:spacing w:after="0"/>
        <w:tabs>
          <w:tab w:leader="none" w:pos="2300" w:val="left"/>
        </w:tabs>
        <w:numPr>
          <w:ilvl w:val="0"/>
          <w:numId w:val="111"/>
        </w:numPr>
        <w:rPr>
          <w:rFonts w:ascii="Arial" w:cs="Arial" w:eastAsia="Arial" w:hAnsi="Arial"/>
          <w:sz w:val="15"/>
          <w:szCs w:val="15"/>
          <w:color w:val="auto"/>
        </w:rPr>
      </w:pPr>
      <w:r>
        <w:rPr>
          <w:rFonts w:ascii="Arial" w:cs="Arial" w:eastAsia="Arial" w:hAnsi="Arial"/>
          <w:sz w:val="15"/>
          <w:szCs w:val="15"/>
          <w:color w:val="auto"/>
        </w:rPr>
        <w:t>Valuations published by institutional investors that hold investments in the Company’s capital stock;</w:t>
      </w:r>
    </w:p>
    <w:p>
      <w:pPr>
        <w:spacing w:after="0" w:line="109" w:lineRule="exact"/>
        <w:rPr>
          <w:rFonts w:ascii="Arial" w:cs="Arial" w:eastAsia="Arial" w:hAnsi="Arial"/>
          <w:sz w:val="15"/>
          <w:szCs w:val="15"/>
          <w:color w:val="auto"/>
        </w:rPr>
      </w:pPr>
    </w:p>
    <w:p>
      <w:pPr>
        <w:ind w:left="2300" w:hanging="364"/>
        <w:spacing w:after="0"/>
        <w:tabs>
          <w:tab w:leader="none" w:pos="2300" w:val="left"/>
        </w:tabs>
        <w:numPr>
          <w:ilvl w:val="0"/>
          <w:numId w:val="111"/>
        </w:numPr>
        <w:rPr>
          <w:rFonts w:ascii="Arial" w:cs="Arial" w:eastAsia="Arial" w:hAnsi="Arial"/>
          <w:sz w:val="15"/>
          <w:szCs w:val="15"/>
          <w:color w:val="auto"/>
        </w:rPr>
      </w:pPr>
      <w:r>
        <w:rPr>
          <w:rFonts w:ascii="Arial" w:cs="Arial" w:eastAsia="Arial" w:hAnsi="Arial"/>
          <w:sz w:val="15"/>
          <w:szCs w:val="15"/>
          <w:color w:val="auto"/>
        </w:rPr>
        <w:t>The economic and competitive environment;</w:t>
      </w:r>
    </w:p>
    <w:p>
      <w:pPr>
        <w:spacing w:after="0" w:line="109" w:lineRule="exact"/>
        <w:rPr>
          <w:rFonts w:ascii="Arial" w:cs="Arial" w:eastAsia="Arial" w:hAnsi="Arial"/>
          <w:sz w:val="15"/>
          <w:szCs w:val="15"/>
          <w:color w:val="auto"/>
        </w:rPr>
      </w:pPr>
    </w:p>
    <w:p>
      <w:pPr>
        <w:ind w:left="2300" w:right="300" w:hanging="364"/>
        <w:spacing w:after="0" w:line="275" w:lineRule="auto"/>
        <w:tabs>
          <w:tab w:leader="none" w:pos="2300" w:val="left"/>
        </w:tabs>
        <w:numPr>
          <w:ilvl w:val="0"/>
          <w:numId w:val="111"/>
        </w:numPr>
        <w:rPr>
          <w:rFonts w:ascii="Arial" w:cs="Arial" w:eastAsia="Arial" w:hAnsi="Arial"/>
          <w:sz w:val="15"/>
          <w:szCs w:val="15"/>
          <w:color w:val="auto"/>
        </w:rPr>
      </w:pPr>
      <w:r>
        <w:rPr>
          <w:rFonts w:ascii="Arial" w:cs="Arial" w:eastAsia="Arial" w:hAnsi="Arial"/>
          <w:sz w:val="15"/>
          <w:szCs w:val="15"/>
          <w:color w:val="auto"/>
        </w:rPr>
        <w:t>The likelihood and timeline of achieving a liquidity event, such as an initial public offering or sale of Dropbox, given prevailing market conditions;</w:t>
      </w:r>
    </w:p>
    <w:p>
      <w:pPr>
        <w:spacing w:after="0" w:line="90" w:lineRule="exact"/>
        <w:rPr>
          <w:sz w:val="20"/>
          <w:szCs w:val="20"/>
          <w:color w:val="auto"/>
        </w:rPr>
      </w:pPr>
    </w:p>
    <w:p>
      <w:pPr>
        <w:ind w:left="5580"/>
        <w:spacing w:after="0"/>
        <w:rPr>
          <w:sz w:val="20"/>
          <w:szCs w:val="20"/>
          <w:color w:val="auto"/>
        </w:rPr>
      </w:pPr>
      <w:r>
        <w:rPr>
          <w:rFonts w:ascii="Arial" w:cs="Arial" w:eastAsia="Arial" w:hAnsi="Arial"/>
          <w:sz w:val="15"/>
          <w:szCs w:val="15"/>
          <w:color w:val="auto"/>
        </w:rPr>
        <w:t>F-12</w:t>
      </w:r>
    </w:p>
    <w:p>
      <w:pPr>
        <w:sectPr>
          <w:pgSz w:w="11900" w:h="16838" w:orient="portrait"/>
          <w:cols w:equalWidth="0" w:num="1">
            <w:col w:w="10300"/>
          </w:cols>
          <w:pgMar w:left="240" w:top="408" w:right="1359" w:bottom="1440" w:gutter="0" w:footer="0" w:header="0"/>
        </w:sectPr>
      </w:pPr>
    </w:p>
    <w:bookmarkStart w:id="215" w:name="page216"/>
    <w:bookmarkEnd w:id="215"/>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133350</wp:posOffset>
            </wp:positionH>
            <wp:positionV relativeFrom="page">
              <wp:posOffset>88900</wp:posOffset>
            </wp:positionV>
            <wp:extent cx="7308850" cy="3429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308850" cy="34290"/>
                    </a:xfrm>
                    <a:prstGeom prst="rect">
                      <a:avLst/>
                    </a:prstGeom>
                    <a:noFill/>
                  </pic:spPr>
                </pic:pic>
              </a:graphicData>
            </a:graphic>
          </wp:anchor>
        </w:drawing>
      </w:r>
      <w:hyperlink w:anchor="page7">
        <w:r>
          <w:rPr>
            <w:rFonts w:ascii="Arial" w:cs="Arial" w:eastAsia="Arial" w:hAnsi="Arial"/>
            <w:sz w:val="15"/>
            <w:szCs w:val="15"/>
            <w:b w:val="1"/>
            <w:bCs w:val="1"/>
            <w:u w:val="single" w:color="auto"/>
            <w:color w:val="0000EE"/>
          </w:rPr>
          <w:t>Table of Contents</w:t>
        </w:r>
      </w:hyperlink>
    </w:p>
    <w:p>
      <w:pPr>
        <w:spacing w:after="0" w:line="260" w:lineRule="exact"/>
        <w:rPr>
          <w:sz w:val="20"/>
          <w:szCs w:val="20"/>
          <w:color w:val="auto"/>
        </w:rPr>
      </w:pPr>
    </w:p>
    <w:p>
      <w:pPr>
        <w:ind w:left="2300" w:hanging="364"/>
        <w:spacing w:after="0"/>
        <w:tabs>
          <w:tab w:leader="none" w:pos="2300" w:val="left"/>
        </w:tabs>
        <w:numPr>
          <w:ilvl w:val="1"/>
          <w:numId w:val="112"/>
        </w:numPr>
        <w:rPr>
          <w:rFonts w:ascii="Arial" w:cs="Arial" w:eastAsia="Arial" w:hAnsi="Arial"/>
          <w:sz w:val="15"/>
          <w:szCs w:val="15"/>
          <w:color w:val="auto"/>
        </w:rPr>
      </w:pPr>
      <w:r>
        <w:rPr>
          <w:rFonts w:ascii="Arial" w:cs="Arial" w:eastAsia="Arial" w:hAnsi="Arial"/>
          <w:sz w:val="15"/>
          <w:szCs w:val="15"/>
          <w:color w:val="auto"/>
        </w:rPr>
        <w:t>Any adjustments necessary to recognize a lack of marketability for its common stock; and</w:t>
      </w:r>
    </w:p>
    <w:p>
      <w:pPr>
        <w:spacing w:after="0" w:line="109" w:lineRule="exact"/>
        <w:rPr>
          <w:rFonts w:ascii="Arial" w:cs="Arial" w:eastAsia="Arial" w:hAnsi="Arial"/>
          <w:sz w:val="15"/>
          <w:szCs w:val="15"/>
          <w:color w:val="auto"/>
        </w:rPr>
      </w:pPr>
    </w:p>
    <w:p>
      <w:pPr>
        <w:ind w:left="2300" w:hanging="364"/>
        <w:spacing w:after="0"/>
        <w:tabs>
          <w:tab w:leader="none" w:pos="2300" w:val="left"/>
        </w:tabs>
        <w:numPr>
          <w:ilvl w:val="1"/>
          <w:numId w:val="112"/>
        </w:numPr>
        <w:rPr>
          <w:rFonts w:ascii="Arial" w:cs="Arial" w:eastAsia="Arial" w:hAnsi="Arial"/>
          <w:sz w:val="15"/>
          <w:szCs w:val="15"/>
          <w:color w:val="auto"/>
        </w:rPr>
      </w:pPr>
      <w:r>
        <w:rPr>
          <w:rFonts w:ascii="Arial" w:cs="Arial" w:eastAsia="Arial" w:hAnsi="Arial"/>
          <w:sz w:val="15"/>
          <w:szCs w:val="15"/>
          <w:color w:val="auto"/>
        </w:rPr>
        <w:t>Precedent sales of or offers to purchase its capital stock.</w:t>
      </w:r>
    </w:p>
    <w:p>
      <w:pPr>
        <w:spacing w:after="0" w:line="109" w:lineRule="exact"/>
        <w:rPr>
          <w:rFonts w:ascii="Arial" w:cs="Arial" w:eastAsia="Arial" w:hAnsi="Arial"/>
          <w:sz w:val="15"/>
          <w:szCs w:val="15"/>
          <w:color w:val="auto"/>
        </w:rPr>
      </w:pPr>
    </w:p>
    <w:p>
      <w:pPr>
        <w:ind w:left="1840" w:right="100" w:hanging="276"/>
        <w:spacing w:after="0" w:line="259" w:lineRule="auto"/>
        <w:tabs>
          <w:tab w:leader="none" w:pos="1840" w:val="left"/>
        </w:tabs>
        <w:numPr>
          <w:ilvl w:val="0"/>
          <w:numId w:val="112"/>
        </w:numPr>
        <w:rPr>
          <w:rFonts w:ascii="Arial" w:cs="Arial" w:eastAsia="Arial" w:hAnsi="Arial"/>
          <w:sz w:val="15"/>
          <w:szCs w:val="15"/>
          <w:color w:val="auto"/>
        </w:rPr>
      </w:pPr>
      <w:r>
        <w:rPr>
          <w:rFonts w:ascii="Arial" w:cs="Arial" w:eastAsia="Arial" w:hAnsi="Arial"/>
          <w:sz w:val="15"/>
          <w:szCs w:val="15"/>
          <w:i w:val="1"/>
          <w:iCs w:val="1"/>
          <w:color w:val="auto"/>
        </w:rPr>
        <w:t>Expected term</w:t>
      </w:r>
      <w:r>
        <w:rPr>
          <w:rFonts w:ascii="Arial" w:cs="Arial" w:eastAsia="Arial" w:hAnsi="Arial"/>
          <w:sz w:val="15"/>
          <w:szCs w:val="15"/>
          <w:color w:val="auto"/>
        </w:rPr>
        <w:t>. The Company determines the expected term based on the average period the stock options are expected to remain</w:t>
      </w:r>
      <w:r>
        <w:rPr>
          <w:rFonts w:ascii="Arial" w:cs="Arial" w:eastAsia="Arial" w:hAnsi="Arial"/>
          <w:sz w:val="15"/>
          <w:szCs w:val="15"/>
          <w:i w:val="1"/>
          <w:iCs w:val="1"/>
          <w:color w:val="auto"/>
        </w:rPr>
        <w:t xml:space="preserve"> </w:t>
      </w:r>
      <w:r>
        <w:rPr>
          <w:rFonts w:ascii="Arial" w:cs="Arial" w:eastAsia="Arial" w:hAnsi="Arial"/>
          <w:sz w:val="15"/>
          <w:szCs w:val="15"/>
          <w:color w:val="auto"/>
        </w:rPr>
        <w:t>outstanding, generally calculated as the midpoint of the stock options’ vesting term and contractual expiration period, as the Company does not have sufficient historical information to develop reasonable expectations about future exercise patterns and post-vesting employment termination behavior.</w:t>
      </w:r>
    </w:p>
    <w:p>
      <w:pPr>
        <w:spacing w:after="0" w:line="78" w:lineRule="exact"/>
        <w:rPr>
          <w:rFonts w:ascii="Arial" w:cs="Arial" w:eastAsia="Arial" w:hAnsi="Arial"/>
          <w:sz w:val="15"/>
          <w:szCs w:val="15"/>
          <w:color w:val="auto"/>
        </w:rPr>
      </w:pPr>
    </w:p>
    <w:p>
      <w:pPr>
        <w:ind w:left="1840" w:right="200" w:hanging="276"/>
        <w:spacing w:after="0" w:line="275" w:lineRule="auto"/>
        <w:tabs>
          <w:tab w:leader="none" w:pos="1840" w:val="left"/>
        </w:tabs>
        <w:numPr>
          <w:ilvl w:val="0"/>
          <w:numId w:val="112"/>
        </w:numPr>
        <w:rPr>
          <w:rFonts w:ascii="Arial" w:cs="Arial" w:eastAsia="Arial" w:hAnsi="Arial"/>
          <w:sz w:val="15"/>
          <w:szCs w:val="15"/>
          <w:color w:val="auto"/>
        </w:rPr>
      </w:pPr>
      <w:r>
        <w:rPr>
          <w:rFonts w:ascii="Arial" w:cs="Arial" w:eastAsia="Arial" w:hAnsi="Arial"/>
          <w:sz w:val="15"/>
          <w:szCs w:val="15"/>
          <w:i w:val="1"/>
          <w:iCs w:val="1"/>
          <w:color w:val="auto"/>
        </w:rPr>
        <w:t>Expected volatility</w:t>
      </w:r>
      <w:r>
        <w:rPr>
          <w:rFonts w:ascii="Arial" w:cs="Arial" w:eastAsia="Arial" w:hAnsi="Arial"/>
          <w:sz w:val="15"/>
          <w:szCs w:val="15"/>
          <w:color w:val="auto"/>
        </w:rPr>
        <w:t>. The expected volatility rate is based on an average of the historical volatilities of the common stock of several entities</w:t>
      </w:r>
      <w:r>
        <w:rPr>
          <w:rFonts w:ascii="Arial" w:cs="Arial" w:eastAsia="Arial" w:hAnsi="Arial"/>
          <w:sz w:val="15"/>
          <w:szCs w:val="15"/>
          <w:i w:val="1"/>
          <w:iCs w:val="1"/>
          <w:color w:val="auto"/>
        </w:rPr>
        <w:t xml:space="preserve"> </w:t>
      </w:r>
      <w:r>
        <w:rPr>
          <w:rFonts w:ascii="Arial" w:cs="Arial" w:eastAsia="Arial" w:hAnsi="Arial"/>
          <w:sz w:val="15"/>
          <w:szCs w:val="15"/>
          <w:color w:val="auto"/>
        </w:rPr>
        <w:t>with publicly traded equity securities with characteristics similar to those of Dropbox.</w:t>
      </w:r>
    </w:p>
    <w:p>
      <w:pPr>
        <w:spacing w:after="0" w:line="67" w:lineRule="exact"/>
        <w:rPr>
          <w:rFonts w:ascii="Arial" w:cs="Arial" w:eastAsia="Arial" w:hAnsi="Arial"/>
          <w:sz w:val="15"/>
          <w:szCs w:val="15"/>
          <w:color w:val="auto"/>
        </w:rPr>
      </w:pPr>
    </w:p>
    <w:p>
      <w:pPr>
        <w:ind w:left="1840" w:right="720" w:hanging="276"/>
        <w:spacing w:after="0" w:line="275" w:lineRule="auto"/>
        <w:tabs>
          <w:tab w:leader="none" w:pos="1840" w:val="left"/>
        </w:tabs>
        <w:numPr>
          <w:ilvl w:val="0"/>
          <w:numId w:val="112"/>
        </w:numPr>
        <w:rPr>
          <w:rFonts w:ascii="Arial" w:cs="Arial" w:eastAsia="Arial" w:hAnsi="Arial"/>
          <w:sz w:val="15"/>
          <w:szCs w:val="15"/>
          <w:color w:val="auto"/>
        </w:rPr>
      </w:pPr>
      <w:r>
        <w:rPr>
          <w:rFonts w:ascii="Arial" w:cs="Arial" w:eastAsia="Arial" w:hAnsi="Arial"/>
          <w:sz w:val="15"/>
          <w:szCs w:val="15"/>
          <w:i w:val="1"/>
          <w:iCs w:val="1"/>
          <w:color w:val="auto"/>
        </w:rPr>
        <w:t>Risk-free interest rate</w:t>
      </w:r>
      <w:r>
        <w:rPr>
          <w:rFonts w:ascii="Arial" w:cs="Arial" w:eastAsia="Arial" w:hAnsi="Arial"/>
          <w:sz w:val="15"/>
          <w:szCs w:val="15"/>
          <w:color w:val="auto"/>
        </w:rPr>
        <w:t>. The risk-free interest rate is based on the U.S. Treasury security in effect at the time of grant for maturities</w:t>
      </w:r>
      <w:r>
        <w:rPr>
          <w:rFonts w:ascii="Arial" w:cs="Arial" w:eastAsia="Arial" w:hAnsi="Arial"/>
          <w:sz w:val="15"/>
          <w:szCs w:val="15"/>
          <w:i w:val="1"/>
          <w:iCs w:val="1"/>
          <w:color w:val="auto"/>
        </w:rPr>
        <w:t xml:space="preserve"> </w:t>
      </w:r>
      <w:r>
        <w:rPr>
          <w:rFonts w:ascii="Arial" w:cs="Arial" w:eastAsia="Arial" w:hAnsi="Arial"/>
          <w:sz w:val="15"/>
          <w:szCs w:val="15"/>
          <w:color w:val="auto"/>
        </w:rPr>
        <w:t>corresponding with the expected term of the option.</w:t>
      </w:r>
    </w:p>
    <w:p>
      <w:pPr>
        <w:spacing w:after="0" w:line="67" w:lineRule="exact"/>
        <w:rPr>
          <w:rFonts w:ascii="Arial" w:cs="Arial" w:eastAsia="Arial" w:hAnsi="Arial"/>
          <w:sz w:val="15"/>
          <w:szCs w:val="15"/>
          <w:color w:val="auto"/>
        </w:rPr>
      </w:pPr>
    </w:p>
    <w:p>
      <w:pPr>
        <w:ind w:left="1840" w:right="280" w:hanging="276"/>
        <w:spacing w:after="0" w:line="275" w:lineRule="auto"/>
        <w:tabs>
          <w:tab w:leader="none" w:pos="1840" w:val="left"/>
        </w:tabs>
        <w:numPr>
          <w:ilvl w:val="0"/>
          <w:numId w:val="112"/>
        </w:numPr>
        <w:rPr>
          <w:rFonts w:ascii="Arial" w:cs="Arial" w:eastAsia="Arial" w:hAnsi="Arial"/>
          <w:sz w:val="15"/>
          <w:szCs w:val="15"/>
          <w:color w:val="auto"/>
        </w:rPr>
      </w:pPr>
      <w:r>
        <w:rPr>
          <w:rFonts w:ascii="Arial" w:cs="Arial" w:eastAsia="Arial" w:hAnsi="Arial"/>
          <w:sz w:val="15"/>
          <w:szCs w:val="15"/>
          <w:i w:val="1"/>
          <w:iCs w:val="1"/>
          <w:color w:val="auto"/>
        </w:rPr>
        <w:t>Expected dividend yield</w:t>
      </w:r>
      <w:r>
        <w:rPr>
          <w:rFonts w:ascii="Arial" w:cs="Arial" w:eastAsia="Arial" w:hAnsi="Arial"/>
          <w:sz w:val="15"/>
          <w:szCs w:val="15"/>
          <w:color w:val="auto"/>
        </w:rPr>
        <w:t>. The Company has not paid and does not expect to pay dividends. Consequently, the Company uses an expected</w:t>
      </w:r>
      <w:r>
        <w:rPr>
          <w:rFonts w:ascii="Arial" w:cs="Arial" w:eastAsia="Arial" w:hAnsi="Arial"/>
          <w:sz w:val="15"/>
          <w:szCs w:val="15"/>
          <w:i w:val="1"/>
          <w:iCs w:val="1"/>
          <w:color w:val="auto"/>
        </w:rPr>
        <w:t xml:space="preserve"> </w:t>
      </w:r>
      <w:r>
        <w:rPr>
          <w:rFonts w:ascii="Arial" w:cs="Arial" w:eastAsia="Arial" w:hAnsi="Arial"/>
          <w:sz w:val="15"/>
          <w:szCs w:val="15"/>
          <w:color w:val="auto"/>
        </w:rPr>
        <w:t>dividend yield of zero.</w:t>
      </w:r>
    </w:p>
    <w:p>
      <w:pPr>
        <w:spacing w:after="0" w:line="146" w:lineRule="exact"/>
        <w:rPr>
          <w:sz w:val="20"/>
          <w:szCs w:val="20"/>
          <w:color w:val="auto"/>
        </w:rPr>
      </w:pPr>
    </w:p>
    <w:p>
      <w:pPr>
        <w:ind w:left="1120" w:right="300" w:firstLine="368"/>
        <w:spacing w:after="0" w:line="275" w:lineRule="auto"/>
        <w:rPr>
          <w:sz w:val="20"/>
          <w:szCs w:val="20"/>
          <w:color w:val="auto"/>
        </w:rPr>
      </w:pPr>
      <w:r>
        <w:rPr>
          <w:rFonts w:ascii="Arial" w:cs="Arial" w:eastAsia="Arial" w:hAnsi="Arial"/>
          <w:sz w:val="15"/>
          <w:szCs w:val="15"/>
          <w:color w:val="auto"/>
        </w:rPr>
        <w:t>The Company did not grant stock options during 2016 or 2017. The fair values of stock options granted to employees in 2015 were calculated using the following assumptions:</w:t>
      </w:r>
    </w:p>
    <w:p>
      <w:pPr>
        <w:spacing w:after="0" w:line="146" w:lineRule="exact"/>
        <w:rPr>
          <w:sz w:val="20"/>
          <w:szCs w:val="20"/>
          <w:color w:val="auto"/>
        </w:rPr>
      </w:pPr>
    </w:p>
    <w:tbl>
      <w:tblPr>
        <w:tblLayout w:type="fixed"/>
        <w:tblInd w:w="2580" w:type="dxa"/>
        <w:tblCellMar>
          <w:top w:w="0" w:type="dxa"/>
          <w:left w:w="0" w:type="dxa"/>
          <w:bottom w:w="0" w:type="dxa"/>
          <w:right w:w="0" w:type="dxa"/>
        </w:tblCellMar>
      </w:tblPr>
      <w:tr>
        <w:trPr>
          <w:trHeight w:val="138"/>
        </w:trPr>
        <w:tc>
          <w:tcPr>
            <w:tcW w:w="20" w:type="dxa"/>
            <w:vAlign w:val="bottom"/>
          </w:tcPr>
          <w:p>
            <w:pPr>
              <w:spacing w:after="0"/>
              <w:rPr>
                <w:sz w:val="12"/>
                <w:szCs w:val="12"/>
                <w:color w:val="auto"/>
              </w:rPr>
            </w:pPr>
          </w:p>
        </w:tc>
        <w:tc>
          <w:tcPr>
            <w:tcW w:w="3300" w:type="dxa"/>
            <w:vAlign w:val="bottom"/>
          </w:tcPr>
          <w:p>
            <w:pPr>
              <w:spacing w:after="0"/>
              <w:rPr>
                <w:sz w:val="12"/>
                <w:szCs w:val="12"/>
                <w:color w:val="auto"/>
              </w:rPr>
            </w:pPr>
          </w:p>
        </w:tc>
        <w:tc>
          <w:tcPr>
            <w:tcW w:w="2940" w:type="dxa"/>
            <w:vAlign w:val="bottom"/>
            <w:gridSpan w:val="4"/>
          </w:tcPr>
          <w:p>
            <w:pPr>
              <w:ind w:left="1640"/>
              <w:spacing w:after="0"/>
              <w:rPr>
                <w:sz w:val="20"/>
                <w:szCs w:val="20"/>
                <w:color w:val="auto"/>
              </w:rPr>
            </w:pPr>
            <w:r>
              <w:rPr>
                <w:rFonts w:ascii="Arial" w:cs="Arial" w:eastAsia="Arial" w:hAnsi="Arial"/>
                <w:sz w:val="12"/>
                <w:szCs w:val="12"/>
                <w:b w:val="1"/>
                <w:bCs w:val="1"/>
                <w:color w:val="auto"/>
                <w:w w:val="87"/>
              </w:rPr>
              <w:t>Year ended December 31,</w:t>
            </w:r>
          </w:p>
        </w:tc>
      </w:tr>
      <w:tr>
        <w:trPr>
          <w:trHeight w:val="144"/>
        </w:trPr>
        <w:tc>
          <w:tcPr>
            <w:tcW w:w="20" w:type="dxa"/>
            <w:vAlign w:val="bottom"/>
          </w:tcPr>
          <w:p>
            <w:pPr>
              <w:spacing w:after="0"/>
              <w:rPr>
                <w:sz w:val="12"/>
                <w:szCs w:val="12"/>
                <w:color w:val="auto"/>
              </w:rPr>
            </w:pPr>
          </w:p>
        </w:tc>
        <w:tc>
          <w:tcPr>
            <w:tcW w:w="3300" w:type="dxa"/>
            <w:vAlign w:val="bottom"/>
          </w:tcPr>
          <w:p>
            <w:pPr>
              <w:spacing w:after="0"/>
              <w:rPr>
                <w:sz w:val="12"/>
                <w:szCs w:val="12"/>
                <w:color w:val="auto"/>
              </w:rPr>
            </w:pPr>
          </w:p>
        </w:tc>
        <w:tc>
          <w:tcPr>
            <w:tcW w:w="2940" w:type="dxa"/>
            <w:vAlign w:val="bottom"/>
            <w:gridSpan w:val="4"/>
          </w:tcPr>
          <w:p>
            <w:pPr>
              <w:jc w:val="center"/>
              <w:ind w:left="1551"/>
              <w:spacing w:after="0"/>
              <w:rPr>
                <w:sz w:val="20"/>
                <w:szCs w:val="20"/>
                <w:color w:val="auto"/>
              </w:rPr>
            </w:pPr>
            <w:r>
              <w:rPr>
                <w:rFonts w:ascii="Arial" w:cs="Arial" w:eastAsia="Arial" w:hAnsi="Arial"/>
                <w:sz w:val="12"/>
                <w:szCs w:val="12"/>
                <w:b w:val="1"/>
                <w:bCs w:val="1"/>
                <w:color w:val="auto"/>
                <w:w w:val="89"/>
              </w:rPr>
              <w:t>2015</w:t>
            </w:r>
          </w:p>
        </w:tc>
      </w:tr>
      <w:tr>
        <w:trPr>
          <w:trHeight w:val="172"/>
        </w:trPr>
        <w:tc>
          <w:tcPr>
            <w:tcW w:w="20" w:type="dxa"/>
            <w:vAlign w:val="bottom"/>
          </w:tcPr>
          <w:p>
            <w:pPr>
              <w:spacing w:after="0"/>
              <w:rPr>
                <w:sz w:val="14"/>
                <w:szCs w:val="14"/>
                <w:color w:val="auto"/>
              </w:rPr>
            </w:pPr>
          </w:p>
        </w:tc>
        <w:tc>
          <w:tcPr>
            <w:tcW w:w="3300" w:type="dxa"/>
            <w:vAlign w:val="bottom"/>
            <w:tcBorders>
              <w:top w:val="single" w:sz="8" w:color="CCEEFF"/>
            </w:tcBorders>
            <w:shd w:val="clear" w:color="auto" w:fill="CCEEFF"/>
          </w:tcPr>
          <w:p>
            <w:pPr>
              <w:spacing w:after="0" w:line="170" w:lineRule="exact"/>
              <w:rPr>
                <w:sz w:val="20"/>
                <w:szCs w:val="20"/>
                <w:color w:val="auto"/>
              </w:rPr>
            </w:pPr>
            <w:r>
              <w:rPr>
                <w:rFonts w:ascii="Arial" w:cs="Arial" w:eastAsia="Arial" w:hAnsi="Arial"/>
                <w:sz w:val="15"/>
                <w:szCs w:val="15"/>
                <w:color w:val="auto"/>
              </w:rPr>
              <w:t>Expected volatility</w:t>
            </w:r>
          </w:p>
        </w:tc>
        <w:tc>
          <w:tcPr>
            <w:tcW w:w="1640" w:type="dxa"/>
            <w:vAlign w:val="bottom"/>
            <w:tcBorders>
              <w:top w:val="single" w:sz="8" w:color="CCEEFF"/>
            </w:tcBorders>
            <w:shd w:val="clear" w:color="auto" w:fill="CCEEFF"/>
          </w:tcPr>
          <w:p>
            <w:pPr>
              <w:spacing w:after="0"/>
              <w:rPr>
                <w:sz w:val="14"/>
                <w:szCs w:val="14"/>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51%</w:t>
            </w:r>
          </w:p>
        </w:tc>
        <w:tc>
          <w:tcPr>
            <w:tcW w:w="1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5"/>
                <w:szCs w:val="15"/>
                <w:color w:val="auto"/>
                <w:w w:val="79"/>
              </w:rPr>
              <w:t>-</w:t>
            </w:r>
          </w:p>
        </w:tc>
        <w:tc>
          <w:tcPr>
            <w:tcW w:w="6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5"/>
                <w:szCs w:val="15"/>
                <w:color w:val="auto"/>
              </w:rPr>
              <w:t>57%</w:t>
            </w:r>
          </w:p>
        </w:tc>
      </w:tr>
      <w:tr>
        <w:trPr>
          <w:trHeight w:val="180"/>
        </w:trPr>
        <w:tc>
          <w:tcPr>
            <w:tcW w:w="20" w:type="dxa"/>
            <w:vAlign w:val="bottom"/>
          </w:tcPr>
          <w:p>
            <w:pPr>
              <w:spacing w:after="0"/>
              <w:rPr>
                <w:sz w:val="15"/>
                <w:szCs w:val="15"/>
                <w:color w:val="auto"/>
              </w:rPr>
            </w:pPr>
          </w:p>
        </w:tc>
        <w:tc>
          <w:tcPr>
            <w:tcW w:w="3300" w:type="dxa"/>
            <w:vAlign w:val="bottom"/>
          </w:tcPr>
          <w:p>
            <w:pPr>
              <w:spacing w:after="0"/>
              <w:rPr>
                <w:sz w:val="20"/>
                <w:szCs w:val="20"/>
                <w:color w:val="auto"/>
              </w:rPr>
            </w:pPr>
            <w:r>
              <w:rPr>
                <w:rFonts w:ascii="Arial" w:cs="Arial" w:eastAsia="Arial" w:hAnsi="Arial"/>
                <w:sz w:val="15"/>
                <w:szCs w:val="15"/>
                <w:color w:val="auto"/>
              </w:rPr>
              <w:t>Risk-free interest rate</w:t>
            </w:r>
          </w:p>
        </w:tc>
        <w:tc>
          <w:tcPr>
            <w:tcW w:w="2240" w:type="dxa"/>
            <w:vAlign w:val="bottom"/>
            <w:gridSpan w:val="2"/>
          </w:tcPr>
          <w:p>
            <w:pPr>
              <w:jc w:val="right"/>
              <w:spacing w:after="0"/>
              <w:rPr>
                <w:sz w:val="20"/>
                <w:szCs w:val="20"/>
                <w:color w:val="auto"/>
              </w:rPr>
            </w:pPr>
            <w:r>
              <w:rPr>
                <w:rFonts w:ascii="Arial" w:cs="Arial" w:eastAsia="Arial" w:hAnsi="Arial"/>
                <w:sz w:val="15"/>
                <w:szCs w:val="15"/>
                <w:color w:val="auto"/>
              </w:rPr>
              <w:t>1.4%</w:t>
            </w:r>
          </w:p>
        </w:tc>
        <w:tc>
          <w:tcPr>
            <w:tcW w:w="100" w:type="dxa"/>
            <w:vAlign w:val="bottom"/>
          </w:tcPr>
          <w:p>
            <w:pPr>
              <w:jc w:val="center"/>
              <w:spacing w:after="0"/>
              <w:rPr>
                <w:sz w:val="20"/>
                <w:szCs w:val="20"/>
                <w:color w:val="auto"/>
              </w:rPr>
            </w:pPr>
            <w:r>
              <w:rPr>
                <w:rFonts w:ascii="Arial" w:cs="Arial" w:eastAsia="Arial" w:hAnsi="Arial"/>
                <w:sz w:val="15"/>
                <w:szCs w:val="15"/>
                <w:color w:val="auto"/>
                <w:w w:val="79"/>
              </w:rPr>
              <w:t>-</w:t>
            </w:r>
          </w:p>
        </w:tc>
        <w:tc>
          <w:tcPr>
            <w:tcW w:w="600" w:type="dxa"/>
            <w:vAlign w:val="bottom"/>
          </w:tcPr>
          <w:p>
            <w:pPr>
              <w:spacing w:after="0"/>
              <w:rPr>
                <w:sz w:val="20"/>
                <w:szCs w:val="20"/>
                <w:color w:val="auto"/>
              </w:rPr>
            </w:pPr>
            <w:r>
              <w:rPr>
                <w:rFonts w:ascii="Arial" w:cs="Arial" w:eastAsia="Arial" w:hAnsi="Arial"/>
                <w:sz w:val="15"/>
                <w:szCs w:val="15"/>
                <w:color w:val="auto"/>
              </w:rPr>
              <w:t>1.9%</w:t>
            </w:r>
          </w:p>
        </w:tc>
      </w:tr>
      <w:tr>
        <w:trPr>
          <w:trHeight w:val="180"/>
        </w:trPr>
        <w:tc>
          <w:tcPr>
            <w:tcW w:w="20" w:type="dxa"/>
            <w:vAlign w:val="bottom"/>
          </w:tcPr>
          <w:p>
            <w:pPr>
              <w:spacing w:after="0"/>
              <w:rPr>
                <w:sz w:val="15"/>
                <w:szCs w:val="15"/>
                <w:color w:val="auto"/>
              </w:rPr>
            </w:pPr>
          </w:p>
        </w:tc>
        <w:tc>
          <w:tcPr>
            <w:tcW w:w="3300" w:type="dxa"/>
            <w:vAlign w:val="bottom"/>
            <w:shd w:val="clear" w:color="auto" w:fill="CCEEFF"/>
          </w:tcPr>
          <w:p>
            <w:pPr>
              <w:spacing w:after="0"/>
              <w:rPr>
                <w:sz w:val="20"/>
                <w:szCs w:val="20"/>
                <w:color w:val="auto"/>
              </w:rPr>
            </w:pPr>
            <w:r>
              <w:rPr>
                <w:rFonts w:ascii="Arial" w:cs="Arial" w:eastAsia="Arial" w:hAnsi="Arial"/>
                <w:sz w:val="15"/>
                <w:szCs w:val="15"/>
                <w:color w:val="auto"/>
              </w:rPr>
              <w:t>Expected term (in years)</w:t>
            </w:r>
          </w:p>
        </w:tc>
        <w:tc>
          <w:tcPr>
            <w:tcW w:w="224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6.0</w:t>
            </w:r>
          </w:p>
        </w:tc>
        <w:tc>
          <w:tcPr>
            <w:tcW w:w="10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79"/>
              </w:rPr>
              <w:t>-</w:t>
            </w:r>
          </w:p>
        </w:tc>
        <w:tc>
          <w:tcPr>
            <w:tcW w:w="600" w:type="dxa"/>
            <w:vAlign w:val="bottom"/>
            <w:shd w:val="clear" w:color="auto" w:fill="CCEEFF"/>
          </w:tcPr>
          <w:p>
            <w:pPr>
              <w:spacing w:after="0"/>
              <w:rPr>
                <w:sz w:val="20"/>
                <w:szCs w:val="20"/>
                <w:color w:val="auto"/>
              </w:rPr>
            </w:pPr>
            <w:r>
              <w:rPr>
                <w:rFonts w:ascii="Arial" w:cs="Arial" w:eastAsia="Arial" w:hAnsi="Arial"/>
                <w:sz w:val="15"/>
                <w:szCs w:val="15"/>
                <w:color w:val="auto"/>
              </w:rPr>
              <w:t>6.1</w:t>
            </w:r>
          </w:p>
        </w:tc>
      </w:tr>
      <w:tr>
        <w:trPr>
          <w:trHeight w:val="180"/>
        </w:trPr>
        <w:tc>
          <w:tcPr>
            <w:tcW w:w="20" w:type="dxa"/>
            <w:vAlign w:val="bottom"/>
          </w:tcPr>
          <w:p>
            <w:pPr>
              <w:spacing w:after="0"/>
              <w:rPr>
                <w:sz w:val="15"/>
                <w:szCs w:val="15"/>
                <w:color w:val="auto"/>
              </w:rPr>
            </w:pPr>
          </w:p>
        </w:tc>
        <w:tc>
          <w:tcPr>
            <w:tcW w:w="3300" w:type="dxa"/>
            <w:vAlign w:val="bottom"/>
          </w:tcPr>
          <w:p>
            <w:pPr>
              <w:spacing w:after="0"/>
              <w:rPr>
                <w:sz w:val="20"/>
                <w:szCs w:val="20"/>
                <w:color w:val="auto"/>
              </w:rPr>
            </w:pPr>
            <w:r>
              <w:rPr>
                <w:rFonts w:ascii="Arial" w:cs="Arial" w:eastAsia="Arial" w:hAnsi="Arial"/>
                <w:sz w:val="15"/>
                <w:szCs w:val="15"/>
                <w:color w:val="auto"/>
              </w:rPr>
              <w:t>Expected dividend yield</w:t>
            </w:r>
          </w:p>
        </w:tc>
        <w:tc>
          <w:tcPr>
            <w:tcW w:w="1640" w:type="dxa"/>
            <w:vAlign w:val="bottom"/>
          </w:tcPr>
          <w:p>
            <w:pPr>
              <w:spacing w:after="0"/>
              <w:rPr>
                <w:sz w:val="15"/>
                <w:szCs w:val="15"/>
                <w:color w:val="auto"/>
              </w:rPr>
            </w:pPr>
          </w:p>
        </w:tc>
        <w:tc>
          <w:tcPr>
            <w:tcW w:w="700" w:type="dxa"/>
            <w:vAlign w:val="bottom"/>
            <w:gridSpan w:val="2"/>
          </w:tcPr>
          <w:p>
            <w:pPr>
              <w:jc w:val="center"/>
              <w:ind w:left="445"/>
              <w:spacing w:after="0"/>
              <w:rPr>
                <w:sz w:val="20"/>
                <w:szCs w:val="20"/>
                <w:color w:val="auto"/>
              </w:rPr>
            </w:pPr>
            <w:r>
              <w:rPr>
                <w:rFonts w:ascii="Arial" w:cs="Arial" w:eastAsia="Arial" w:hAnsi="Arial"/>
                <w:sz w:val="15"/>
                <w:szCs w:val="15"/>
                <w:color w:val="auto"/>
                <w:w w:val="93"/>
              </w:rPr>
              <w:t>—</w:t>
            </w:r>
          </w:p>
        </w:tc>
        <w:tc>
          <w:tcPr>
            <w:tcW w:w="600" w:type="dxa"/>
            <w:vAlign w:val="bottom"/>
          </w:tcPr>
          <w:p>
            <w:pPr>
              <w:spacing w:after="0"/>
              <w:rPr>
                <w:sz w:val="15"/>
                <w:szCs w:val="15"/>
                <w:color w:val="auto"/>
              </w:rPr>
            </w:pPr>
          </w:p>
        </w:tc>
      </w:tr>
      <w:tr>
        <w:trPr>
          <w:trHeight w:val="180"/>
        </w:trPr>
        <w:tc>
          <w:tcPr>
            <w:tcW w:w="20" w:type="dxa"/>
            <w:vAlign w:val="bottom"/>
          </w:tcPr>
          <w:p>
            <w:pPr>
              <w:spacing w:after="0"/>
              <w:rPr>
                <w:sz w:val="15"/>
                <w:szCs w:val="15"/>
                <w:color w:val="auto"/>
              </w:rPr>
            </w:pPr>
          </w:p>
        </w:tc>
        <w:tc>
          <w:tcPr>
            <w:tcW w:w="3300" w:type="dxa"/>
            <w:vAlign w:val="bottom"/>
            <w:shd w:val="clear" w:color="auto" w:fill="CCEEFF"/>
          </w:tcPr>
          <w:p>
            <w:pPr>
              <w:spacing w:after="0"/>
              <w:rPr>
                <w:sz w:val="20"/>
                <w:szCs w:val="20"/>
                <w:color w:val="auto"/>
              </w:rPr>
            </w:pPr>
            <w:r>
              <w:rPr>
                <w:rFonts w:ascii="Arial" w:cs="Arial" w:eastAsia="Arial" w:hAnsi="Arial"/>
                <w:sz w:val="15"/>
                <w:szCs w:val="15"/>
                <w:color w:val="auto"/>
              </w:rPr>
              <w:t>Fair value of common stock</w:t>
            </w:r>
          </w:p>
        </w:tc>
        <w:tc>
          <w:tcPr>
            <w:tcW w:w="2940" w:type="dxa"/>
            <w:vAlign w:val="bottom"/>
            <w:gridSpan w:val="4"/>
            <w:shd w:val="clear" w:color="auto" w:fill="CCEEFF"/>
          </w:tcPr>
          <w:p>
            <w:pPr>
              <w:jc w:val="right"/>
              <w:ind w:right="145"/>
              <w:spacing w:after="0"/>
              <w:rPr>
                <w:sz w:val="20"/>
                <w:szCs w:val="20"/>
                <w:color w:val="auto"/>
              </w:rPr>
            </w:pPr>
            <w:r>
              <w:rPr>
                <w:rFonts w:ascii="Arial" w:cs="Arial" w:eastAsia="Arial" w:hAnsi="Arial"/>
                <w:sz w:val="15"/>
                <w:szCs w:val="15"/>
                <w:color w:val="auto"/>
              </w:rPr>
              <w:t>$24.24 - $25.23</w:t>
            </w:r>
          </w:p>
        </w:tc>
      </w:tr>
    </w:tbl>
    <w:p>
      <w:pPr>
        <w:spacing w:after="0" w:line="170" w:lineRule="exact"/>
        <w:rPr>
          <w:sz w:val="20"/>
          <w:szCs w:val="20"/>
          <w:color w:val="auto"/>
        </w:rPr>
      </w:pPr>
    </w:p>
    <w:p>
      <w:pPr>
        <w:ind w:left="1120" w:firstLine="368"/>
        <w:spacing w:after="0" w:line="300" w:lineRule="auto"/>
        <w:rPr>
          <w:sz w:val="20"/>
          <w:szCs w:val="20"/>
          <w:color w:val="auto"/>
        </w:rPr>
      </w:pPr>
      <w:r>
        <w:rPr>
          <w:rFonts w:ascii="Arial" w:cs="Arial" w:eastAsia="Arial" w:hAnsi="Arial"/>
          <w:sz w:val="13"/>
          <w:szCs w:val="13"/>
          <w:color w:val="auto"/>
        </w:rPr>
        <w:t xml:space="preserve">On January 1, 2017, the Company adopted ASU No. 2016-09: </w:t>
      </w:r>
      <w:r>
        <w:rPr>
          <w:rFonts w:ascii="Arial" w:cs="Arial" w:eastAsia="Arial" w:hAnsi="Arial"/>
          <w:sz w:val="13"/>
          <w:szCs w:val="13"/>
          <w:i w:val="1"/>
          <w:iCs w:val="1"/>
          <w:color w:val="auto"/>
        </w:rPr>
        <w:t>Improvement to Employee Share-based Payment Accounting (Topic 718)</w:t>
      </w:r>
      <w:r>
        <w:rPr>
          <w:rFonts w:ascii="Arial" w:cs="Arial" w:eastAsia="Arial" w:hAnsi="Arial"/>
          <w:sz w:val="13"/>
          <w:szCs w:val="13"/>
          <w:color w:val="auto"/>
        </w:rPr>
        <w:t xml:space="preserve"> issued by the Financial Accounting Standards Board, which among other items, provides an accounting policy election to account for forfeitures as they occur, rather than to account for them based on an estimate of expected forfeitures. The Company elected to account for forfeitures as they occur and therefore, stock-based compensation expense for the year ended December 31, 2017, has been calculated based on actual forfeitures in the Company’s consolidated statements of operations, rather than the Company’s previous approach which was net of estimated forfeitures. The net cumulative effect of this change as of January 1, 2017, was not material. Stock-based compensation expense for the years ended December 31, 2015 and 2016, were recorded net of estimated forfeitures, which were based on historical forfeitures and adjusted to reflect changes in facts and circumstances, if any.</w:t>
      </w:r>
    </w:p>
    <w:p>
      <w:pPr>
        <w:spacing w:after="0" w:line="226" w:lineRule="exact"/>
        <w:rPr>
          <w:sz w:val="20"/>
          <w:szCs w:val="20"/>
          <w:color w:val="auto"/>
        </w:rPr>
      </w:pPr>
    </w:p>
    <w:p>
      <w:pPr>
        <w:ind w:left="1480"/>
        <w:spacing w:after="0"/>
        <w:rPr>
          <w:sz w:val="20"/>
          <w:szCs w:val="20"/>
          <w:color w:val="auto"/>
        </w:rPr>
      </w:pPr>
      <w:r>
        <w:rPr>
          <w:rFonts w:ascii="Arial" w:cs="Arial" w:eastAsia="Arial" w:hAnsi="Arial"/>
          <w:sz w:val="15"/>
          <w:szCs w:val="15"/>
          <w:b w:val="1"/>
          <w:bCs w:val="1"/>
          <w:i w:val="1"/>
          <w:iCs w:val="1"/>
          <w:color w:val="auto"/>
        </w:rPr>
        <w:t>Cost of revenue</w:t>
      </w:r>
    </w:p>
    <w:p>
      <w:pPr>
        <w:spacing w:after="0" w:line="98" w:lineRule="exact"/>
        <w:rPr>
          <w:sz w:val="20"/>
          <w:szCs w:val="20"/>
          <w:color w:val="auto"/>
        </w:rPr>
      </w:pPr>
    </w:p>
    <w:p>
      <w:pPr>
        <w:ind w:left="1120" w:right="120" w:firstLine="368"/>
        <w:spacing w:after="0" w:line="297" w:lineRule="auto"/>
        <w:rPr>
          <w:sz w:val="20"/>
          <w:szCs w:val="20"/>
          <w:color w:val="auto"/>
        </w:rPr>
      </w:pPr>
      <w:r>
        <w:rPr>
          <w:rFonts w:ascii="Arial" w:cs="Arial" w:eastAsia="Arial" w:hAnsi="Arial"/>
          <w:sz w:val="13"/>
          <w:szCs w:val="13"/>
          <w:color w:val="auto"/>
        </w:rPr>
        <w:t>Cost of revenue consists primarily of expenses associated with the storage, delivery, and distribution of the Company’s platform for both paying users and Basic users. These costs, which are referred to as infrastructure costs, include depreciation of servers located in co-location facilities that the Company leases and operates, rent and facilities expense for those datacenters, network and bandwidth costs, support and maintenance costs for infrastructure equipment, and payments to third-party datacenter service providers. Cost of revenue also includes costs, such as salaries, bonuses, benefits, travel-related expenses, and stock-based compensation, which are referred to as employee-related costs, for employees whose primary responsibilities relate to supporting the Company’s infrastructure and delivering user support. Other non-employee costs included in cost of revenue include credit card fees related to processing customer transactions and allocated overhead, such as facilities, including rent, utilities, depreciation on leasehold improvements and other equipment shared by all departments, and shared information technology costs. In addition, cost of revenue includes amortization of developed technologies, professional fees related to user support initiatives, and property taxes related to the datacenters.</w:t>
      </w:r>
    </w:p>
    <w:p>
      <w:pPr>
        <w:spacing w:after="0" w:line="83" w:lineRule="exact"/>
        <w:rPr>
          <w:sz w:val="20"/>
          <w:szCs w:val="20"/>
          <w:color w:val="auto"/>
        </w:rPr>
      </w:pPr>
    </w:p>
    <w:p>
      <w:pPr>
        <w:ind w:left="5580"/>
        <w:spacing w:after="0"/>
        <w:rPr>
          <w:sz w:val="20"/>
          <w:szCs w:val="20"/>
          <w:color w:val="auto"/>
        </w:rPr>
      </w:pPr>
      <w:r>
        <w:rPr>
          <w:rFonts w:ascii="Arial" w:cs="Arial" w:eastAsia="Arial" w:hAnsi="Arial"/>
          <w:sz w:val="15"/>
          <w:szCs w:val="15"/>
          <w:color w:val="auto"/>
        </w:rPr>
        <w:t>F-13</w:t>
      </w:r>
    </w:p>
    <w:p>
      <w:pPr>
        <w:sectPr>
          <w:pgSz w:w="11900" w:h="16838" w:orient="portrait"/>
          <w:cols w:equalWidth="0" w:num="1">
            <w:col w:w="10320"/>
          </w:cols>
          <w:pgMar w:left="240" w:top="407" w:right="1339" w:bottom="1440" w:gutter="0" w:footer="0" w:header="0"/>
        </w:sectPr>
      </w:pPr>
    </w:p>
    <w:bookmarkStart w:id="216" w:name="page217"/>
    <w:bookmarkEnd w:id="216"/>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133350</wp:posOffset>
            </wp:positionH>
            <wp:positionV relativeFrom="page">
              <wp:posOffset>88900</wp:posOffset>
            </wp:positionV>
            <wp:extent cx="7308850" cy="3429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308850" cy="34290"/>
                    </a:xfrm>
                    <a:prstGeom prst="rect">
                      <a:avLst/>
                    </a:prstGeom>
                    <a:noFill/>
                  </pic:spPr>
                </pic:pic>
              </a:graphicData>
            </a:graphic>
          </wp:anchor>
        </w:drawing>
      </w:r>
      <w:hyperlink w:anchor="page7">
        <w:r>
          <w:rPr>
            <w:rFonts w:ascii="Arial" w:cs="Arial" w:eastAsia="Arial" w:hAnsi="Arial"/>
            <w:sz w:val="15"/>
            <w:szCs w:val="15"/>
            <w:b w:val="1"/>
            <w:bCs w:val="1"/>
            <w:u w:val="single" w:color="auto"/>
            <w:color w:val="0000EE"/>
          </w:rPr>
          <w:t>Table of Contents</w:t>
        </w:r>
      </w:hyperlink>
    </w:p>
    <w:p>
      <w:pPr>
        <w:spacing w:after="0" w:line="260" w:lineRule="exact"/>
        <w:rPr>
          <w:sz w:val="20"/>
          <w:szCs w:val="20"/>
          <w:color w:val="auto"/>
        </w:rPr>
      </w:pPr>
    </w:p>
    <w:p>
      <w:pPr>
        <w:ind w:left="1480"/>
        <w:spacing w:after="0"/>
        <w:rPr>
          <w:sz w:val="20"/>
          <w:szCs w:val="20"/>
          <w:color w:val="auto"/>
        </w:rPr>
      </w:pPr>
      <w:r>
        <w:rPr>
          <w:rFonts w:ascii="Arial" w:cs="Arial" w:eastAsia="Arial" w:hAnsi="Arial"/>
          <w:sz w:val="15"/>
          <w:szCs w:val="15"/>
          <w:b w:val="1"/>
          <w:bCs w:val="1"/>
          <w:i w:val="1"/>
          <w:iCs w:val="1"/>
          <w:color w:val="auto"/>
        </w:rPr>
        <w:t>Advertising and promotional expense</w:t>
      </w:r>
    </w:p>
    <w:p>
      <w:pPr>
        <w:spacing w:after="0" w:line="98" w:lineRule="exact"/>
        <w:rPr>
          <w:sz w:val="20"/>
          <w:szCs w:val="20"/>
          <w:color w:val="auto"/>
        </w:rPr>
      </w:pPr>
    </w:p>
    <w:p>
      <w:pPr>
        <w:ind w:left="1120" w:right="100" w:firstLine="368"/>
        <w:spacing w:after="0" w:line="263" w:lineRule="auto"/>
        <w:rPr>
          <w:sz w:val="20"/>
          <w:szCs w:val="20"/>
          <w:color w:val="auto"/>
        </w:rPr>
      </w:pPr>
      <w:r>
        <w:rPr>
          <w:rFonts w:ascii="Arial" w:cs="Arial" w:eastAsia="Arial" w:hAnsi="Arial"/>
          <w:sz w:val="15"/>
          <w:szCs w:val="15"/>
          <w:color w:val="auto"/>
        </w:rPr>
        <w:t>Advertising and promotional expenses are included in sales and marketing expenses within the consolidated statements of operations and are expensed when incurred. Advertising and promotional expenses were $59.5 million, $46.6 million, and $80.1 million in the years ended December 31, 2015, 2016, and 2017, respectively.</w:t>
      </w:r>
    </w:p>
    <w:p>
      <w:pPr>
        <w:spacing w:after="0" w:line="245" w:lineRule="exact"/>
        <w:rPr>
          <w:sz w:val="20"/>
          <w:szCs w:val="20"/>
          <w:color w:val="auto"/>
        </w:rPr>
      </w:pPr>
    </w:p>
    <w:p>
      <w:pPr>
        <w:ind w:left="1480"/>
        <w:spacing w:after="0"/>
        <w:rPr>
          <w:sz w:val="20"/>
          <w:szCs w:val="20"/>
          <w:color w:val="auto"/>
        </w:rPr>
      </w:pPr>
      <w:r>
        <w:rPr>
          <w:rFonts w:ascii="Arial" w:cs="Arial" w:eastAsia="Arial" w:hAnsi="Arial"/>
          <w:sz w:val="15"/>
          <w:szCs w:val="15"/>
          <w:b w:val="1"/>
          <w:bCs w:val="1"/>
          <w:i w:val="1"/>
          <w:iCs w:val="1"/>
          <w:color w:val="auto"/>
        </w:rPr>
        <w:t>Cash and cash equivalents</w:t>
      </w:r>
    </w:p>
    <w:p>
      <w:pPr>
        <w:spacing w:after="0" w:line="98" w:lineRule="exact"/>
        <w:rPr>
          <w:sz w:val="20"/>
          <w:szCs w:val="20"/>
          <w:color w:val="auto"/>
        </w:rPr>
      </w:pPr>
    </w:p>
    <w:p>
      <w:pPr>
        <w:ind w:left="1120" w:right="60" w:firstLine="368"/>
        <w:spacing w:after="0" w:line="259" w:lineRule="auto"/>
        <w:rPr>
          <w:sz w:val="20"/>
          <w:szCs w:val="20"/>
          <w:color w:val="auto"/>
        </w:rPr>
      </w:pPr>
      <w:r>
        <w:rPr>
          <w:rFonts w:ascii="Arial" w:cs="Arial" w:eastAsia="Arial" w:hAnsi="Arial"/>
          <w:sz w:val="15"/>
          <w:szCs w:val="15"/>
          <w:color w:val="auto"/>
        </w:rPr>
        <w:t>Cash consists primarily of cash on deposit with banks. Cash equivalents include highly liquid investments purchased with an original maturity date of 90 days or less from the date of purchase and primarily consist of money market funds. Cash equivalents also include amounts in transit from payment processors for credit and debit card transactions, which typically settle within five days. Cash and cash equivalents are recorded at cost, which approximates fair value.</w:t>
      </w:r>
    </w:p>
    <w:p>
      <w:pPr>
        <w:spacing w:after="0" w:line="248" w:lineRule="exact"/>
        <w:rPr>
          <w:sz w:val="20"/>
          <w:szCs w:val="20"/>
          <w:color w:val="auto"/>
        </w:rPr>
      </w:pPr>
    </w:p>
    <w:p>
      <w:pPr>
        <w:ind w:left="1480"/>
        <w:spacing w:after="0"/>
        <w:rPr>
          <w:sz w:val="20"/>
          <w:szCs w:val="20"/>
          <w:color w:val="auto"/>
        </w:rPr>
      </w:pPr>
      <w:r>
        <w:rPr>
          <w:rFonts w:ascii="Arial" w:cs="Arial" w:eastAsia="Arial" w:hAnsi="Arial"/>
          <w:sz w:val="15"/>
          <w:szCs w:val="15"/>
          <w:b w:val="1"/>
          <w:bCs w:val="1"/>
          <w:i w:val="1"/>
          <w:iCs w:val="1"/>
          <w:color w:val="auto"/>
        </w:rPr>
        <w:t>Trade and other receivables, net</w:t>
      </w:r>
    </w:p>
    <w:p>
      <w:pPr>
        <w:spacing w:after="0" w:line="98" w:lineRule="exact"/>
        <w:rPr>
          <w:sz w:val="20"/>
          <w:szCs w:val="20"/>
          <w:color w:val="auto"/>
        </w:rPr>
      </w:pPr>
    </w:p>
    <w:p>
      <w:pPr>
        <w:ind w:left="1120" w:right="160" w:firstLine="368"/>
        <w:spacing w:after="0" w:line="275" w:lineRule="auto"/>
        <w:rPr>
          <w:sz w:val="20"/>
          <w:szCs w:val="20"/>
          <w:color w:val="auto"/>
        </w:rPr>
      </w:pPr>
      <w:r>
        <w:rPr>
          <w:rFonts w:ascii="Arial" w:cs="Arial" w:eastAsia="Arial" w:hAnsi="Arial"/>
          <w:sz w:val="15"/>
          <w:szCs w:val="15"/>
          <w:color w:val="auto"/>
        </w:rPr>
        <w:t>Trade and other receivables, net consists primarily of trade receivables that are recorded at the invoice amount, net of an allowance for doubtful accounts.</w:t>
      </w:r>
    </w:p>
    <w:p>
      <w:pPr>
        <w:spacing w:after="0" w:line="146" w:lineRule="exact"/>
        <w:rPr>
          <w:sz w:val="20"/>
          <w:szCs w:val="20"/>
          <w:color w:val="auto"/>
        </w:rPr>
      </w:pPr>
    </w:p>
    <w:p>
      <w:pPr>
        <w:ind w:left="1480"/>
        <w:spacing w:after="0"/>
        <w:rPr>
          <w:sz w:val="20"/>
          <w:szCs w:val="20"/>
          <w:color w:val="auto"/>
        </w:rPr>
      </w:pPr>
      <w:r>
        <w:rPr>
          <w:rFonts w:ascii="Arial" w:cs="Arial" w:eastAsia="Arial" w:hAnsi="Arial"/>
          <w:sz w:val="15"/>
          <w:szCs w:val="15"/>
          <w:color w:val="auto"/>
        </w:rPr>
        <w:t>Trade and other receivables, net consisted of the following as of December 31, 2016 and 2017:</w:t>
      </w:r>
    </w:p>
    <w:p>
      <w:pPr>
        <w:spacing w:after="0" w:line="202" w:lineRule="exact"/>
        <w:rPr>
          <w:sz w:val="20"/>
          <w:szCs w:val="20"/>
          <w:color w:val="auto"/>
        </w:rPr>
      </w:pPr>
    </w:p>
    <w:tbl>
      <w:tblPr>
        <w:tblLayout w:type="fixed"/>
        <w:tblInd w:w="2220" w:type="dxa"/>
        <w:tblCellMar>
          <w:top w:w="0" w:type="dxa"/>
          <w:left w:w="0" w:type="dxa"/>
          <w:bottom w:w="0" w:type="dxa"/>
          <w:right w:w="0" w:type="dxa"/>
        </w:tblCellMar>
      </w:tblPr>
      <w:tr>
        <w:trPr>
          <w:trHeight w:val="144"/>
        </w:trPr>
        <w:tc>
          <w:tcPr>
            <w:tcW w:w="5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40" w:type="dxa"/>
            <w:vAlign w:val="bottom"/>
            <w:gridSpan w:val="4"/>
          </w:tcPr>
          <w:p>
            <w:pPr>
              <w:jc w:val="right"/>
              <w:ind w:right="320"/>
              <w:spacing w:after="0"/>
              <w:rPr>
                <w:sz w:val="20"/>
                <w:szCs w:val="20"/>
                <w:color w:val="auto"/>
              </w:rPr>
            </w:pPr>
            <w:r>
              <w:rPr>
                <w:rFonts w:ascii="Arial" w:cs="Arial" w:eastAsia="Arial" w:hAnsi="Arial"/>
                <w:sz w:val="12"/>
                <w:szCs w:val="12"/>
                <w:b w:val="1"/>
                <w:bCs w:val="1"/>
                <w:color w:val="auto"/>
              </w:rPr>
              <w:t>December 31,</w:t>
            </w:r>
          </w:p>
        </w:tc>
        <w:tc>
          <w:tcPr>
            <w:tcW w:w="0" w:type="dxa"/>
            <w:vAlign w:val="bottom"/>
          </w:tcPr>
          <w:p>
            <w:pPr>
              <w:spacing w:after="0"/>
              <w:rPr>
                <w:sz w:val="1"/>
                <w:szCs w:val="1"/>
                <w:color w:val="auto"/>
              </w:rPr>
            </w:pPr>
          </w:p>
        </w:tc>
      </w:tr>
      <w:tr>
        <w:trPr>
          <w:trHeight w:val="115"/>
        </w:trPr>
        <w:tc>
          <w:tcPr>
            <w:tcW w:w="57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40" w:type="dxa"/>
            <w:vAlign w:val="bottom"/>
            <w:tcBorders>
              <w:top w:val="single" w:sz="8" w:color="auto"/>
            </w:tcBorders>
          </w:tcPr>
          <w:p>
            <w:pPr>
              <w:jc w:val="right"/>
              <w:spacing w:after="0" w:line="115" w:lineRule="exact"/>
              <w:rPr>
                <w:sz w:val="20"/>
                <w:szCs w:val="20"/>
                <w:color w:val="auto"/>
              </w:rPr>
            </w:pPr>
            <w:r>
              <w:rPr>
                <w:rFonts w:ascii="Arial" w:cs="Arial" w:eastAsia="Arial" w:hAnsi="Arial"/>
                <w:sz w:val="12"/>
                <w:szCs w:val="12"/>
                <w:b w:val="1"/>
                <w:bCs w:val="1"/>
                <w:color w:val="auto"/>
                <w:w w:val="97"/>
              </w:rPr>
              <w:t>2016</w:t>
            </w:r>
          </w:p>
        </w:tc>
        <w:tc>
          <w:tcPr>
            <w:tcW w:w="800" w:type="dxa"/>
            <w:vAlign w:val="bottom"/>
            <w:tcBorders>
              <w:top w:val="single" w:sz="8" w:color="auto"/>
            </w:tcBorders>
            <w:gridSpan w:val="2"/>
          </w:tcPr>
          <w:p>
            <w:pPr>
              <w:jc w:val="right"/>
              <w:spacing w:after="0" w:line="115" w:lineRule="exact"/>
              <w:rPr>
                <w:sz w:val="20"/>
                <w:szCs w:val="20"/>
                <w:color w:val="auto"/>
              </w:rPr>
            </w:pPr>
            <w:r>
              <w:rPr>
                <w:rFonts w:ascii="Arial" w:cs="Arial" w:eastAsia="Arial" w:hAnsi="Arial"/>
                <w:sz w:val="12"/>
                <w:szCs w:val="12"/>
                <w:b w:val="1"/>
                <w:bCs w:val="1"/>
                <w:color w:val="auto"/>
              </w:rPr>
              <w:t>2017</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2"/>
        </w:trPr>
        <w:tc>
          <w:tcPr>
            <w:tcW w:w="5740" w:type="dxa"/>
            <w:vAlign w:val="bottom"/>
            <w:tcBorders>
              <w:top w:val="single" w:sz="8" w:color="CCEEFF"/>
            </w:tcBorders>
            <w:shd w:val="clear" w:color="auto" w:fill="CCEEFF"/>
          </w:tcPr>
          <w:p>
            <w:pPr>
              <w:spacing w:after="0" w:line="170" w:lineRule="exact"/>
              <w:rPr>
                <w:sz w:val="20"/>
                <w:szCs w:val="20"/>
                <w:color w:val="auto"/>
              </w:rPr>
            </w:pPr>
            <w:r>
              <w:rPr>
                <w:rFonts w:ascii="Arial" w:cs="Arial" w:eastAsia="Arial" w:hAnsi="Arial"/>
                <w:sz w:val="15"/>
                <w:szCs w:val="15"/>
                <w:color w:val="auto"/>
              </w:rPr>
              <w:t>Trade accounts receivables</w:t>
            </w:r>
          </w:p>
        </w:tc>
        <w:tc>
          <w:tcPr>
            <w:tcW w:w="20" w:type="dxa"/>
            <w:vAlign w:val="bottom"/>
            <w:tcBorders>
              <w:top w:val="single" w:sz="8" w:color="CCEEFF"/>
            </w:tcBorders>
            <w:shd w:val="clear" w:color="auto" w:fill="CCEEFF"/>
          </w:tcPr>
          <w:p>
            <w:pPr>
              <w:spacing w:after="0"/>
              <w:rPr>
                <w:sz w:val="14"/>
                <w:szCs w:val="14"/>
                <w:color w:val="auto"/>
              </w:rPr>
            </w:pPr>
          </w:p>
        </w:tc>
        <w:tc>
          <w:tcPr>
            <w:tcW w:w="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85"/>
              </w:rPr>
              <w:t>$13.1</w:t>
            </w:r>
          </w:p>
        </w:tc>
        <w:tc>
          <w:tcPr>
            <w:tcW w:w="460" w:type="dxa"/>
            <w:vAlign w:val="bottom"/>
            <w:tcBorders>
              <w:top w:val="single" w:sz="8" w:color="CCEEFF"/>
            </w:tcBorders>
            <w:shd w:val="clear" w:color="auto" w:fill="CCEEFF"/>
          </w:tcPr>
          <w:p>
            <w:pPr>
              <w:spacing w:after="0"/>
              <w:rPr>
                <w:sz w:val="14"/>
                <w:szCs w:val="14"/>
                <w:color w:val="auto"/>
              </w:rPr>
            </w:pPr>
          </w:p>
        </w:tc>
        <w:tc>
          <w:tcPr>
            <w:tcW w:w="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85"/>
              </w:rPr>
              <w:t>$29.7</w:t>
            </w:r>
          </w:p>
        </w:tc>
        <w:tc>
          <w:tcPr>
            <w:tcW w:w="10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5740" w:type="dxa"/>
            <w:vAlign w:val="bottom"/>
          </w:tcPr>
          <w:p>
            <w:pPr>
              <w:spacing w:after="0"/>
              <w:rPr>
                <w:sz w:val="20"/>
                <w:szCs w:val="20"/>
                <w:color w:val="auto"/>
              </w:rPr>
            </w:pPr>
            <w:r>
              <w:rPr>
                <w:rFonts w:ascii="Arial" w:cs="Arial" w:eastAsia="Arial" w:hAnsi="Arial"/>
                <w:sz w:val="15"/>
                <w:szCs w:val="15"/>
                <w:color w:val="auto"/>
              </w:rPr>
              <w:t>Other receivables</w:t>
            </w:r>
          </w:p>
        </w:tc>
        <w:tc>
          <w:tcPr>
            <w:tcW w:w="360" w:type="dxa"/>
            <w:vAlign w:val="bottom"/>
            <w:gridSpan w:val="2"/>
          </w:tcPr>
          <w:p>
            <w:pPr>
              <w:jc w:val="right"/>
              <w:spacing w:after="0"/>
              <w:rPr>
                <w:sz w:val="20"/>
                <w:szCs w:val="20"/>
                <w:color w:val="auto"/>
              </w:rPr>
            </w:pPr>
            <w:r>
              <w:rPr>
                <w:rFonts w:ascii="Arial" w:cs="Arial" w:eastAsia="Arial" w:hAnsi="Arial"/>
                <w:sz w:val="15"/>
                <w:szCs w:val="15"/>
                <w:color w:val="auto"/>
              </w:rPr>
              <w:t>0.1</w:t>
            </w:r>
          </w:p>
        </w:tc>
        <w:tc>
          <w:tcPr>
            <w:tcW w:w="800" w:type="dxa"/>
            <w:vAlign w:val="bottom"/>
            <w:gridSpan w:val="2"/>
          </w:tcPr>
          <w:p>
            <w:pPr>
              <w:jc w:val="right"/>
              <w:spacing w:after="0"/>
              <w:rPr>
                <w:sz w:val="20"/>
                <w:szCs w:val="20"/>
                <w:color w:val="auto"/>
              </w:rPr>
            </w:pPr>
            <w:r>
              <w:rPr>
                <w:rFonts w:ascii="Arial" w:cs="Arial" w:eastAsia="Arial" w:hAnsi="Arial"/>
                <w:sz w:val="15"/>
                <w:szCs w:val="15"/>
                <w:color w:val="auto"/>
              </w:rPr>
              <w:t>0.6</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5740" w:type="dxa"/>
            <w:vAlign w:val="bottom"/>
            <w:shd w:val="clear" w:color="auto" w:fill="CCEEFF"/>
          </w:tcPr>
          <w:p>
            <w:pPr>
              <w:spacing w:after="0"/>
              <w:rPr>
                <w:sz w:val="20"/>
                <w:szCs w:val="20"/>
                <w:color w:val="auto"/>
              </w:rPr>
            </w:pPr>
            <w:r>
              <w:rPr>
                <w:rFonts w:ascii="Arial" w:cs="Arial" w:eastAsia="Arial" w:hAnsi="Arial"/>
                <w:sz w:val="15"/>
                <w:szCs w:val="15"/>
                <w:color w:val="auto"/>
              </w:rPr>
              <w:t>Less: Allowance for doubtful accounts</w:t>
            </w:r>
          </w:p>
        </w:tc>
        <w:tc>
          <w:tcPr>
            <w:tcW w:w="20" w:type="dxa"/>
            <w:vAlign w:val="bottom"/>
            <w:shd w:val="clear" w:color="auto" w:fill="CCEEFF"/>
          </w:tcPr>
          <w:p>
            <w:pPr>
              <w:spacing w:after="0"/>
              <w:rPr>
                <w:sz w:val="15"/>
                <w:szCs w:val="15"/>
                <w:color w:val="auto"/>
              </w:rPr>
            </w:pPr>
          </w:p>
        </w:tc>
        <w:tc>
          <w:tcPr>
            <w:tcW w:w="340" w:type="dxa"/>
            <w:vAlign w:val="bottom"/>
            <w:shd w:val="clear" w:color="auto" w:fill="CCEEFF"/>
          </w:tcPr>
          <w:p>
            <w:pPr>
              <w:jc w:val="right"/>
              <w:ind w:right="12"/>
              <w:spacing w:after="0"/>
              <w:rPr>
                <w:sz w:val="20"/>
                <w:szCs w:val="20"/>
                <w:color w:val="auto"/>
              </w:rPr>
            </w:pPr>
            <w:r>
              <w:rPr>
                <w:rFonts w:ascii="Arial" w:cs="Arial" w:eastAsia="Arial" w:hAnsi="Arial"/>
                <w:sz w:val="15"/>
                <w:szCs w:val="15"/>
                <w:color w:val="auto"/>
              </w:rPr>
              <w:t>—</w:t>
            </w:r>
          </w:p>
        </w:tc>
        <w:tc>
          <w:tcPr>
            <w:tcW w:w="460" w:type="dxa"/>
            <w:vAlign w:val="bottom"/>
            <w:shd w:val="clear" w:color="auto" w:fill="CCEEFF"/>
          </w:tcPr>
          <w:p>
            <w:pPr>
              <w:spacing w:after="0"/>
              <w:rPr>
                <w:sz w:val="15"/>
                <w:szCs w:val="15"/>
                <w:color w:val="auto"/>
              </w:rPr>
            </w:pPr>
          </w:p>
        </w:tc>
        <w:tc>
          <w:tcPr>
            <w:tcW w:w="44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(1.0)</w:t>
            </w:r>
          </w:p>
        </w:tc>
        <w:tc>
          <w:tcPr>
            <w:tcW w:w="0" w:type="dxa"/>
            <w:vAlign w:val="bottom"/>
          </w:tcPr>
          <w:p>
            <w:pPr>
              <w:spacing w:after="0"/>
              <w:rPr>
                <w:sz w:val="1"/>
                <w:szCs w:val="1"/>
                <w:color w:val="auto"/>
              </w:rPr>
            </w:pPr>
          </w:p>
        </w:tc>
      </w:tr>
      <w:tr>
        <w:trPr>
          <w:trHeight w:val="20"/>
        </w:trPr>
        <w:tc>
          <w:tcPr>
            <w:tcW w:w="5740" w:type="dxa"/>
            <w:vAlign w:val="bottom"/>
            <w:vMerge w:val="restart"/>
          </w:tcPr>
          <w:p>
            <w:pPr>
              <w:spacing w:after="0"/>
              <w:rPr>
                <w:sz w:val="20"/>
                <w:szCs w:val="20"/>
                <w:color w:val="auto"/>
              </w:rPr>
            </w:pPr>
            <w:r>
              <w:rPr>
                <w:rFonts w:ascii="Arial" w:cs="Arial" w:eastAsia="Arial" w:hAnsi="Arial"/>
                <w:sz w:val="15"/>
                <w:szCs w:val="15"/>
                <w:color w:val="auto"/>
              </w:rPr>
              <w:t>Trade and other receivables, net</w:t>
            </w:r>
          </w:p>
        </w:tc>
        <w:tc>
          <w:tcPr>
            <w:tcW w:w="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5740" w:type="dxa"/>
            <w:vAlign w:val="bottom"/>
            <w:vMerge w:val="continue"/>
          </w:tcPr>
          <w:p>
            <w:pPr>
              <w:spacing w:after="0"/>
              <w:rPr>
                <w:sz w:val="15"/>
                <w:szCs w:val="15"/>
                <w:color w:val="auto"/>
              </w:rPr>
            </w:pPr>
          </w:p>
        </w:tc>
        <w:tc>
          <w:tcPr>
            <w:tcW w:w="360" w:type="dxa"/>
            <w:vAlign w:val="bottom"/>
            <w:gridSpan w:val="2"/>
          </w:tcPr>
          <w:p>
            <w:pPr>
              <w:jc w:val="right"/>
              <w:spacing w:after="0"/>
              <w:rPr>
                <w:sz w:val="20"/>
                <w:szCs w:val="20"/>
                <w:color w:val="auto"/>
              </w:rPr>
            </w:pPr>
            <w:r>
              <w:rPr>
                <w:rFonts w:ascii="Arial" w:cs="Arial" w:eastAsia="Arial" w:hAnsi="Arial"/>
                <w:sz w:val="15"/>
                <w:szCs w:val="15"/>
                <w:u w:val="single" w:color="auto"/>
                <w:color w:val="auto"/>
                <w:w w:val="90"/>
              </w:rPr>
              <w:t>$</w:t>
            </w:r>
            <w:r>
              <w:rPr>
                <w:rFonts w:ascii="Arial" w:cs="Arial" w:eastAsia="Arial" w:hAnsi="Arial"/>
                <w:sz w:val="15"/>
                <w:szCs w:val="15"/>
                <w:color w:val="auto"/>
                <w:w w:val="90"/>
              </w:rPr>
              <w:t>13.2</w:t>
            </w:r>
          </w:p>
        </w:tc>
        <w:tc>
          <w:tcPr>
            <w:tcW w:w="800" w:type="dxa"/>
            <w:vAlign w:val="bottom"/>
            <w:gridSpan w:val="2"/>
          </w:tcPr>
          <w:p>
            <w:pPr>
              <w:jc w:val="right"/>
              <w:spacing w:after="0"/>
              <w:rPr>
                <w:sz w:val="20"/>
                <w:szCs w:val="20"/>
                <w:color w:val="auto"/>
              </w:rPr>
            </w:pPr>
            <w:r>
              <w:rPr>
                <w:rFonts w:ascii="Arial" w:cs="Arial" w:eastAsia="Arial" w:hAnsi="Arial"/>
                <w:sz w:val="15"/>
                <w:szCs w:val="15"/>
                <w:u w:val="single" w:color="auto"/>
                <w:color w:val="auto"/>
              </w:rPr>
              <w:t>$</w:t>
            </w:r>
            <w:r>
              <w:rPr>
                <w:rFonts w:ascii="Arial" w:cs="Arial" w:eastAsia="Arial" w:hAnsi="Arial"/>
                <w:sz w:val="15"/>
                <w:szCs w:val="15"/>
                <w:color w:val="auto"/>
              </w:rPr>
              <w:t>29.3</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7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1" w:lineRule="exact"/>
        <w:rPr>
          <w:sz w:val="20"/>
          <w:szCs w:val="20"/>
          <w:color w:val="auto"/>
        </w:rPr>
      </w:pPr>
    </w:p>
    <w:p>
      <w:pPr>
        <w:jc w:val="both"/>
        <w:ind w:left="1120" w:right="60" w:firstLine="368"/>
        <w:spacing w:after="0" w:line="259" w:lineRule="auto"/>
        <w:rPr>
          <w:sz w:val="20"/>
          <w:szCs w:val="20"/>
          <w:color w:val="auto"/>
        </w:rPr>
      </w:pPr>
      <w:r>
        <w:rPr>
          <w:rFonts w:ascii="Arial" w:cs="Arial" w:eastAsia="Arial" w:hAnsi="Arial"/>
          <w:sz w:val="15"/>
          <w:szCs w:val="15"/>
          <w:color w:val="auto"/>
        </w:rPr>
        <w:t>The allowance for doubtful accounts is based on the Company’s assessment of the collectability of accounts. The Company regularly reviews the adequacy of the allowance for doubtful accounts by considering the age of each outstanding invoice, the collection history of each customer, and other relevant factors to determine the appropriate amount of the allowance. Accounts receivable deemed uncollectable are charged against the allowance for doubtful accounts when identified.</w:t>
      </w:r>
    </w:p>
    <w:p>
      <w:pPr>
        <w:spacing w:after="0" w:line="248" w:lineRule="exact"/>
        <w:rPr>
          <w:sz w:val="20"/>
          <w:szCs w:val="20"/>
          <w:color w:val="auto"/>
        </w:rPr>
      </w:pPr>
    </w:p>
    <w:p>
      <w:pPr>
        <w:ind w:left="1480"/>
        <w:spacing w:after="0"/>
        <w:rPr>
          <w:sz w:val="20"/>
          <w:szCs w:val="20"/>
          <w:color w:val="auto"/>
        </w:rPr>
      </w:pPr>
      <w:r>
        <w:rPr>
          <w:rFonts w:ascii="Arial" w:cs="Arial" w:eastAsia="Arial" w:hAnsi="Arial"/>
          <w:sz w:val="15"/>
          <w:szCs w:val="15"/>
          <w:b w:val="1"/>
          <w:bCs w:val="1"/>
          <w:i w:val="1"/>
          <w:iCs w:val="1"/>
          <w:color w:val="auto"/>
        </w:rPr>
        <w:t>Concentrations of credit risk</w:t>
      </w:r>
    </w:p>
    <w:p>
      <w:pPr>
        <w:spacing w:after="0" w:line="98" w:lineRule="exact"/>
        <w:rPr>
          <w:sz w:val="20"/>
          <w:szCs w:val="20"/>
          <w:color w:val="auto"/>
        </w:rPr>
      </w:pPr>
    </w:p>
    <w:p>
      <w:pPr>
        <w:ind w:left="1120" w:right="80" w:firstLine="368"/>
        <w:spacing w:after="0" w:line="263" w:lineRule="auto"/>
        <w:rPr>
          <w:sz w:val="20"/>
          <w:szCs w:val="20"/>
          <w:color w:val="auto"/>
        </w:rPr>
      </w:pPr>
      <w:r>
        <w:rPr>
          <w:rFonts w:ascii="Arial" w:cs="Arial" w:eastAsia="Arial" w:hAnsi="Arial"/>
          <w:sz w:val="15"/>
          <w:szCs w:val="15"/>
          <w:color w:val="auto"/>
        </w:rPr>
        <w:t>Financial instruments that potentially subject the Company to significant concentrations of credit risk consist primarily of cash, cash equivalents, and accounts receivable. The Company places its cash and cash equivalents with well-established financial institutions. Cash equivalents consist primarily of highly rated money market funds.</w:t>
      </w:r>
    </w:p>
    <w:p>
      <w:pPr>
        <w:spacing w:after="0" w:line="155" w:lineRule="exact"/>
        <w:rPr>
          <w:sz w:val="20"/>
          <w:szCs w:val="20"/>
          <w:color w:val="auto"/>
        </w:rPr>
      </w:pPr>
    </w:p>
    <w:p>
      <w:pPr>
        <w:jc w:val="both"/>
        <w:ind w:left="1120" w:firstLine="368"/>
        <w:spacing w:after="0" w:line="322" w:lineRule="auto"/>
        <w:rPr>
          <w:sz w:val="20"/>
          <w:szCs w:val="20"/>
          <w:color w:val="auto"/>
        </w:rPr>
      </w:pPr>
      <w:r>
        <w:rPr>
          <w:rFonts w:ascii="Arial" w:cs="Arial" w:eastAsia="Arial" w:hAnsi="Arial"/>
          <w:sz w:val="13"/>
          <w:szCs w:val="13"/>
          <w:color w:val="auto"/>
        </w:rPr>
        <w:t>Trade accounts receivables are typically unsecured and are derived from revenue earned from customers located around the world. Two customers accounted for 11% and 12% of total trade and other receivables, net as of December 31, 2016. Two customers accounted for 18% and 27% of total trade and other receivables, net as of December 31, 2017. No customer accounted for more than 10% of the Company’s revenue in the periods presented.</w:t>
      </w:r>
    </w:p>
    <w:p>
      <w:pPr>
        <w:spacing w:after="0" w:line="210" w:lineRule="exact"/>
        <w:rPr>
          <w:sz w:val="20"/>
          <w:szCs w:val="20"/>
          <w:color w:val="auto"/>
        </w:rPr>
      </w:pPr>
    </w:p>
    <w:p>
      <w:pPr>
        <w:ind w:left="1480"/>
        <w:spacing w:after="0"/>
        <w:rPr>
          <w:sz w:val="20"/>
          <w:szCs w:val="20"/>
          <w:color w:val="auto"/>
        </w:rPr>
      </w:pPr>
      <w:r>
        <w:rPr>
          <w:rFonts w:ascii="Arial" w:cs="Arial" w:eastAsia="Arial" w:hAnsi="Arial"/>
          <w:sz w:val="15"/>
          <w:szCs w:val="15"/>
          <w:b w:val="1"/>
          <w:bCs w:val="1"/>
          <w:i w:val="1"/>
          <w:iCs w:val="1"/>
          <w:color w:val="auto"/>
        </w:rPr>
        <w:t>Non-trade receivables</w:t>
      </w:r>
    </w:p>
    <w:p>
      <w:pPr>
        <w:spacing w:after="0" w:line="98" w:lineRule="exact"/>
        <w:rPr>
          <w:sz w:val="20"/>
          <w:szCs w:val="20"/>
          <w:color w:val="auto"/>
        </w:rPr>
      </w:pPr>
    </w:p>
    <w:p>
      <w:pPr>
        <w:ind w:left="1120" w:right="620" w:firstLine="368"/>
        <w:spacing w:after="0" w:line="275" w:lineRule="auto"/>
        <w:rPr>
          <w:sz w:val="20"/>
          <w:szCs w:val="20"/>
          <w:color w:val="auto"/>
        </w:rPr>
      </w:pPr>
      <w:r>
        <w:rPr>
          <w:rFonts w:ascii="Arial" w:cs="Arial" w:eastAsia="Arial" w:hAnsi="Arial"/>
          <w:sz w:val="15"/>
          <w:szCs w:val="15"/>
          <w:color w:val="auto"/>
        </w:rPr>
        <w:t>The Company records non-trade receivables to reflect amounts due for activities outside of its subscription agreements. Historically, the Company’s non-trade receivables have related primarily to receivables resulting</w:t>
      </w:r>
    </w:p>
    <w:p>
      <w:pPr>
        <w:spacing w:after="0" w:line="90" w:lineRule="exact"/>
        <w:rPr>
          <w:sz w:val="20"/>
          <w:szCs w:val="20"/>
          <w:color w:val="auto"/>
        </w:rPr>
      </w:pPr>
    </w:p>
    <w:p>
      <w:pPr>
        <w:ind w:left="5580"/>
        <w:spacing w:after="0"/>
        <w:rPr>
          <w:sz w:val="20"/>
          <w:szCs w:val="20"/>
          <w:color w:val="auto"/>
        </w:rPr>
      </w:pPr>
      <w:r>
        <w:rPr>
          <w:rFonts w:ascii="Arial" w:cs="Arial" w:eastAsia="Arial" w:hAnsi="Arial"/>
          <w:sz w:val="15"/>
          <w:szCs w:val="15"/>
          <w:color w:val="auto"/>
        </w:rPr>
        <w:t>F-14</w:t>
      </w:r>
    </w:p>
    <w:p>
      <w:pPr>
        <w:sectPr>
          <w:pgSz w:w="11900" w:h="16838" w:orient="portrait"/>
          <w:cols w:equalWidth="0" w:num="1">
            <w:col w:w="10280"/>
          </w:cols>
          <w:pgMar w:left="240" w:top="408" w:right="1379" w:bottom="1440" w:gutter="0" w:footer="0" w:header="0"/>
        </w:sectPr>
      </w:pPr>
    </w:p>
    <w:bookmarkStart w:id="217" w:name="page218"/>
    <w:bookmarkEnd w:id="217"/>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133350</wp:posOffset>
            </wp:positionH>
            <wp:positionV relativeFrom="page">
              <wp:posOffset>88900</wp:posOffset>
            </wp:positionV>
            <wp:extent cx="7308850" cy="3429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308850" cy="34290"/>
                    </a:xfrm>
                    <a:prstGeom prst="rect">
                      <a:avLst/>
                    </a:prstGeom>
                    <a:noFill/>
                  </pic:spPr>
                </pic:pic>
              </a:graphicData>
            </a:graphic>
          </wp:anchor>
        </w:drawing>
      </w:r>
      <w:hyperlink w:anchor="page7">
        <w:r>
          <w:rPr>
            <w:rFonts w:ascii="Arial" w:cs="Arial" w:eastAsia="Arial" w:hAnsi="Arial"/>
            <w:sz w:val="15"/>
            <w:szCs w:val="15"/>
            <w:b w:val="1"/>
            <w:bCs w:val="1"/>
            <w:u w:val="single" w:color="auto"/>
            <w:color w:val="0000EE"/>
          </w:rPr>
          <w:t>Table of Contents</w:t>
        </w:r>
      </w:hyperlink>
    </w:p>
    <w:p>
      <w:pPr>
        <w:spacing w:after="0" w:line="260" w:lineRule="exact"/>
        <w:rPr>
          <w:sz w:val="20"/>
          <w:szCs w:val="20"/>
          <w:color w:val="auto"/>
        </w:rPr>
      </w:pPr>
    </w:p>
    <w:p>
      <w:pPr>
        <w:ind w:left="1120" w:right="40"/>
        <w:spacing w:after="0" w:line="275" w:lineRule="auto"/>
        <w:rPr>
          <w:sz w:val="20"/>
          <w:szCs w:val="20"/>
          <w:color w:val="auto"/>
        </w:rPr>
      </w:pPr>
      <w:r>
        <w:rPr>
          <w:rFonts w:ascii="Arial" w:cs="Arial" w:eastAsia="Arial" w:hAnsi="Arial"/>
          <w:sz w:val="15"/>
          <w:szCs w:val="15"/>
          <w:color w:val="auto"/>
        </w:rPr>
        <w:t>from tenant improvement allowances. Non-trade receivables totaled $3.0 million and $5.2 million, as of December 31, 2016 and 2017, respectively, and are classified within prepaid expenses and other current assets in the accompanying consolidated balance sheets.</w:t>
      </w:r>
    </w:p>
    <w:p>
      <w:pPr>
        <w:spacing w:after="0" w:line="236" w:lineRule="exact"/>
        <w:rPr>
          <w:sz w:val="20"/>
          <w:szCs w:val="20"/>
          <w:color w:val="auto"/>
        </w:rPr>
      </w:pPr>
    </w:p>
    <w:p>
      <w:pPr>
        <w:ind w:left="1480"/>
        <w:spacing w:after="0"/>
        <w:rPr>
          <w:sz w:val="20"/>
          <w:szCs w:val="20"/>
          <w:color w:val="auto"/>
        </w:rPr>
      </w:pPr>
      <w:r>
        <w:rPr>
          <w:rFonts w:ascii="Arial" w:cs="Arial" w:eastAsia="Arial" w:hAnsi="Arial"/>
          <w:sz w:val="15"/>
          <w:szCs w:val="15"/>
          <w:b w:val="1"/>
          <w:bCs w:val="1"/>
          <w:i w:val="1"/>
          <w:iCs w:val="1"/>
          <w:color w:val="auto"/>
        </w:rPr>
        <w:t>Deferred commissions, net</w:t>
      </w:r>
    </w:p>
    <w:p>
      <w:pPr>
        <w:spacing w:after="0" w:line="98" w:lineRule="exact"/>
        <w:rPr>
          <w:sz w:val="20"/>
          <w:szCs w:val="20"/>
          <w:color w:val="auto"/>
        </w:rPr>
      </w:pPr>
    </w:p>
    <w:p>
      <w:pPr>
        <w:ind w:left="1120" w:firstLine="368"/>
        <w:spacing w:after="0" w:line="257" w:lineRule="auto"/>
        <w:rPr>
          <w:sz w:val="20"/>
          <w:szCs w:val="20"/>
          <w:color w:val="auto"/>
        </w:rPr>
      </w:pPr>
      <w:r>
        <w:rPr>
          <w:rFonts w:ascii="Arial" w:cs="Arial" w:eastAsia="Arial" w:hAnsi="Arial"/>
          <w:sz w:val="15"/>
          <w:szCs w:val="15"/>
          <w:color w:val="auto"/>
        </w:rPr>
        <w:t>Deferred commissions, net is stated at gross deferred commissions less accumulated amortization. Sales commissions earned by the Company’s sales force and third-party resellers, as well as related payroll taxes, are considered to be incremental and recoverable costs of obtaining a contract with a customer. As a result, these amounts have been capitalized as deferred commissions within prepaid and other current assets and other assets on the consolidated balance sheet. The Company deferred incremental costs of obtaining a contract of $17.2 million and $19.4 million during the years ended December 31, 2016 and 2017, respectively.</w:t>
      </w:r>
    </w:p>
    <w:p>
      <w:pPr>
        <w:spacing w:after="0" w:line="159" w:lineRule="exact"/>
        <w:rPr>
          <w:sz w:val="20"/>
          <w:szCs w:val="20"/>
          <w:color w:val="auto"/>
        </w:rPr>
      </w:pPr>
    </w:p>
    <w:p>
      <w:pPr>
        <w:ind w:left="1120" w:right="80" w:firstLine="368"/>
        <w:spacing w:after="0" w:line="354" w:lineRule="auto"/>
        <w:rPr>
          <w:sz w:val="20"/>
          <w:szCs w:val="20"/>
          <w:color w:val="auto"/>
        </w:rPr>
      </w:pPr>
      <w:r>
        <w:rPr>
          <w:rFonts w:ascii="Arial" w:cs="Arial" w:eastAsia="Arial" w:hAnsi="Arial"/>
          <w:sz w:val="13"/>
          <w:szCs w:val="13"/>
          <w:color w:val="auto"/>
        </w:rPr>
        <w:t>Deferred commissions, net included in prepaid and other current assets were $3.7 million and $8.1 million as of December 31, 2016 and 2017, respectively. Deferred commissions, net included in other assets were $16.4 million and $24.8 million as of December 31, 2016 and 2017, respectively.</w:t>
      </w:r>
    </w:p>
    <w:p>
      <w:pPr>
        <w:spacing w:after="0" w:line="100" w:lineRule="exact"/>
        <w:rPr>
          <w:sz w:val="20"/>
          <w:szCs w:val="20"/>
          <w:color w:val="auto"/>
        </w:rPr>
      </w:pPr>
    </w:p>
    <w:p>
      <w:pPr>
        <w:ind w:left="1480"/>
        <w:spacing w:after="0"/>
        <w:rPr>
          <w:sz w:val="20"/>
          <w:szCs w:val="20"/>
          <w:color w:val="auto"/>
        </w:rPr>
      </w:pPr>
      <w:r>
        <w:rPr>
          <w:rFonts w:ascii="Arial" w:cs="Arial" w:eastAsia="Arial" w:hAnsi="Arial"/>
          <w:sz w:val="14"/>
          <w:szCs w:val="14"/>
          <w:color w:val="auto"/>
        </w:rPr>
        <w:t>Deferred commissions are amortized over a period of benefit of five years. The period of benefit was estimated by considering factors such as</w:t>
      </w:r>
    </w:p>
    <w:p>
      <w:pPr>
        <w:spacing w:after="0" w:line="29" w:lineRule="exact"/>
        <w:rPr>
          <w:sz w:val="20"/>
          <w:szCs w:val="20"/>
          <w:color w:val="auto"/>
        </w:rPr>
      </w:pPr>
    </w:p>
    <w:p>
      <w:pPr>
        <w:ind w:left="1120"/>
        <w:spacing w:after="0"/>
        <w:rPr>
          <w:sz w:val="20"/>
          <w:szCs w:val="20"/>
          <w:color w:val="auto"/>
        </w:rPr>
      </w:pPr>
      <w:r>
        <w:rPr>
          <w:rFonts w:ascii="Arial" w:cs="Arial" w:eastAsia="Arial" w:hAnsi="Arial"/>
          <w:sz w:val="14"/>
          <w:szCs w:val="14"/>
          <w:color w:val="auto"/>
        </w:rPr>
        <w:t>historical customer attrition rates, the useful life of the Company’s technology, and the impact of competition in its industry. Amortized costs were</w:t>
      </w:r>
    </w:p>
    <w:p>
      <w:pPr>
        <w:spacing w:after="0" w:line="19" w:lineRule="exact"/>
        <w:rPr>
          <w:sz w:val="20"/>
          <w:szCs w:val="20"/>
          <w:color w:val="auto"/>
        </w:rPr>
      </w:pPr>
    </w:p>
    <w:p>
      <w:pPr>
        <w:ind w:left="1120"/>
        <w:spacing w:after="0"/>
        <w:rPr>
          <w:sz w:val="20"/>
          <w:szCs w:val="20"/>
          <w:color w:val="auto"/>
        </w:rPr>
      </w:pPr>
      <w:r>
        <w:rPr>
          <w:rFonts w:ascii="Arial" w:cs="Arial" w:eastAsia="Arial" w:hAnsi="Arial"/>
          <w:sz w:val="13"/>
          <w:szCs w:val="13"/>
          <w:color w:val="auto"/>
        </w:rPr>
        <w:t>$0.6 million, $3.7 million, and $6.6 million for the years ended December 31, 2015, 2016, and 2017, respectively. Amortized costs are included in sales</w:t>
      </w:r>
    </w:p>
    <w:p>
      <w:pPr>
        <w:spacing w:after="0" w:line="31" w:lineRule="exact"/>
        <w:rPr>
          <w:sz w:val="20"/>
          <w:szCs w:val="20"/>
          <w:color w:val="auto"/>
        </w:rPr>
      </w:pPr>
    </w:p>
    <w:p>
      <w:pPr>
        <w:ind w:left="1120"/>
        <w:spacing w:after="0"/>
        <w:rPr>
          <w:sz w:val="20"/>
          <w:szCs w:val="20"/>
          <w:color w:val="auto"/>
        </w:rPr>
      </w:pPr>
      <w:r>
        <w:rPr>
          <w:rFonts w:ascii="Arial" w:cs="Arial" w:eastAsia="Arial" w:hAnsi="Arial"/>
          <w:sz w:val="13"/>
          <w:szCs w:val="13"/>
          <w:color w:val="auto"/>
        </w:rPr>
        <w:t>and marketing expense in the accompanying consolidated statements of operations. There was no impairment loss in relation to the deferred costs for</w:t>
      </w:r>
    </w:p>
    <w:p>
      <w:pPr>
        <w:spacing w:after="0" w:line="31" w:lineRule="exact"/>
        <w:rPr>
          <w:sz w:val="20"/>
          <w:szCs w:val="20"/>
          <w:color w:val="auto"/>
        </w:rPr>
      </w:pPr>
    </w:p>
    <w:p>
      <w:pPr>
        <w:ind w:left="1120"/>
        <w:spacing w:after="0"/>
        <w:rPr>
          <w:sz w:val="20"/>
          <w:szCs w:val="20"/>
          <w:color w:val="auto"/>
        </w:rPr>
      </w:pPr>
      <w:r>
        <w:rPr>
          <w:rFonts w:ascii="Arial" w:cs="Arial" w:eastAsia="Arial" w:hAnsi="Arial"/>
          <w:sz w:val="15"/>
          <w:szCs w:val="15"/>
          <w:color w:val="auto"/>
        </w:rPr>
        <w:t>any period presented.</w:t>
      </w:r>
    </w:p>
    <w:p>
      <w:pPr>
        <w:spacing w:after="0" w:line="269" w:lineRule="exact"/>
        <w:rPr>
          <w:sz w:val="20"/>
          <w:szCs w:val="20"/>
          <w:color w:val="auto"/>
        </w:rPr>
      </w:pPr>
    </w:p>
    <w:p>
      <w:pPr>
        <w:ind w:left="1480"/>
        <w:spacing w:after="0"/>
        <w:rPr>
          <w:sz w:val="20"/>
          <w:szCs w:val="20"/>
          <w:color w:val="auto"/>
        </w:rPr>
      </w:pPr>
      <w:r>
        <w:rPr>
          <w:rFonts w:ascii="Arial" w:cs="Arial" w:eastAsia="Arial" w:hAnsi="Arial"/>
          <w:sz w:val="15"/>
          <w:szCs w:val="15"/>
          <w:b w:val="1"/>
          <w:bCs w:val="1"/>
          <w:i w:val="1"/>
          <w:iCs w:val="1"/>
          <w:color w:val="auto"/>
        </w:rPr>
        <w:t>Property and equipment, net</w:t>
      </w:r>
    </w:p>
    <w:p>
      <w:pPr>
        <w:spacing w:after="0" w:line="98" w:lineRule="exact"/>
        <w:rPr>
          <w:sz w:val="20"/>
          <w:szCs w:val="20"/>
          <w:color w:val="auto"/>
        </w:rPr>
      </w:pPr>
    </w:p>
    <w:p>
      <w:pPr>
        <w:ind w:left="1120" w:right="120" w:firstLine="368"/>
        <w:spacing w:after="0" w:line="263" w:lineRule="auto"/>
        <w:rPr>
          <w:sz w:val="20"/>
          <w:szCs w:val="20"/>
          <w:color w:val="auto"/>
        </w:rPr>
      </w:pPr>
      <w:r>
        <w:rPr>
          <w:rFonts w:ascii="Arial" w:cs="Arial" w:eastAsia="Arial" w:hAnsi="Arial"/>
          <w:sz w:val="15"/>
          <w:szCs w:val="15"/>
          <w:color w:val="auto"/>
        </w:rPr>
        <w:t>Equipment is stated at cost less accumulated depreciation. Depreciation is computed using the straight-line method over the estimated useful life of the related asset, which is generally three to seven years. Leasehold improvements are amortized on a straight-line basis over the shorter of their estimated useful lives or the initial term of the related lease.</w:t>
      </w:r>
    </w:p>
    <w:p>
      <w:pPr>
        <w:spacing w:after="0" w:line="155" w:lineRule="exact"/>
        <w:rPr>
          <w:sz w:val="20"/>
          <w:szCs w:val="20"/>
          <w:color w:val="auto"/>
        </w:rPr>
      </w:pPr>
    </w:p>
    <w:p>
      <w:pPr>
        <w:ind w:left="1480"/>
        <w:spacing w:after="0"/>
        <w:rPr>
          <w:sz w:val="20"/>
          <w:szCs w:val="20"/>
          <w:color w:val="auto"/>
        </w:rPr>
      </w:pPr>
      <w:r>
        <w:rPr>
          <w:rFonts w:ascii="Arial" w:cs="Arial" w:eastAsia="Arial" w:hAnsi="Arial"/>
          <w:sz w:val="15"/>
          <w:szCs w:val="15"/>
          <w:color w:val="auto"/>
        </w:rPr>
        <w:t>The following table presents the estimated useful lives of property and equipment:</w:t>
      </w:r>
    </w:p>
    <w:p>
      <w:pPr>
        <w:spacing w:after="0" w:line="202" w:lineRule="exact"/>
        <w:rPr>
          <w:sz w:val="20"/>
          <w:szCs w:val="20"/>
          <w:color w:val="auto"/>
        </w:rPr>
      </w:pPr>
    </w:p>
    <w:tbl>
      <w:tblPr>
        <w:tblLayout w:type="fixed"/>
        <w:tblInd w:w="1120" w:type="dxa"/>
        <w:tblCellMar>
          <w:top w:w="0" w:type="dxa"/>
          <w:left w:w="0" w:type="dxa"/>
          <w:bottom w:w="0" w:type="dxa"/>
          <w:right w:w="0" w:type="dxa"/>
        </w:tblCellMar>
      </w:tblPr>
      <w:tr>
        <w:trPr>
          <w:trHeight w:val="155"/>
        </w:trPr>
        <w:tc>
          <w:tcPr>
            <w:tcW w:w="3940" w:type="dxa"/>
            <w:vAlign w:val="bottom"/>
            <w:gridSpan w:val="2"/>
          </w:tcPr>
          <w:p>
            <w:pPr>
              <w:spacing w:after="0"/>
              <w:rPr>
                <w:sz w:val="20"/>
                <w:szCs w:val="20"/>
                <w:color w:val="auto"/>
              </w:rPr>
            </w:pPr>
            <w:r>
              <w:rPr>
                <w:rFonts w:ascii="Arial" w:cs="Arial" w:eastAsia="Arial" w:hAnsi="Arial"/>
                <w:sz w:val="12"/>
                <w:szCs w:val="12"/>
                <w:b w:val="1"/>
                <w:bCs w:val="1"/>
                <w:color w:val="auto"/>
              </w:rPr>
              <w:t>Property and equipment</w:t>
            </w:r>
          </w:p>
        </w:tc>
        <w:tc>
          <w:tcPr>
            <w:tcW w:w="2800" w:type="dxa"/>
            <w:vAlign w:val="bottom"/>
            <w:vMerge w:val="restart"/>
          </w:tcPr>
          <w:p>
            <w:pPr>
              <w:jc w:val="right"/>
              <w:spacing w:after="0"/>
              <w:rPr>
                <w:sz w:val="20"/>
                <w:szCs w:val="20"/>
                <w:color w:val="auto"/>
              </w:rPr>
            </w:pPr>
            <w:r>
              <w:rPr>
                <w:rFonts w:ascii="Arial" w:cs="Arial" w:eastAsia="Arial" w:hAnsi="Arial"/>
                <w:sz w:val="15"/>
                <w:szCs w:val="15"/>
                <w:color w:val="auto"/>
              </w:rPr>
              <w:t>20</w:t>
            </w:r>
          </w:p>
        </w:tc>
        <w:tc>
          <w:tcPr>
            <w:tcW w:w="1880" w:type="dxa"/>
            <w:vAlign w:val="bottom"/>
            <w:gridSpan w:val="2"/>
          </w:tcPr>
          <w:p>
            <w:pPr>
              <w:jc w:val="center"/>
              <w:ind w:right="1380"/>
              <w:spacing w:after="0"/>
              <w:rPr>
                <w:sz w:val="20"/>
                <w:szCs w:val="20"/>
                <w:color w:val="auto"/>
              </w:rPr>
            </w:pPr>
            <w:r>
              <w:rPr>
                <w:rFonts w:ascii="Arial" w:cs="Arial" w:eastAsia="Arial" w:hAnsi="Arial"/>
                <w:sz w:val="12"/>
                <w:szCs w:val="12"/>
                <w:b w:val="1"/>
                <w:bCs w:val="1"/>
                <w:color w:val="auto"/>
                <w:w w:val="87"/>
              </w:rPr>
              <w:t>Useful life</w:t>
            </w:r>
          </w:p>
        </w:tc>
        <w:tc>
          <w:tcPr>
            <w:tcW w:w="0" w:type="dxa"/>
            <w:vAlign w:val="bottom"/>
          </w:tcPr>
          <w:p>
            <w:pPr>
              <w:spacing w:after="0"/>
              <w:rPr>
                <w:sz w:val="1"/>
                <w:szCs w:val="1"/>
                <w:color w:val="auto"/>
              </w:rPr>
            </w:pPr>
          </w:p>
        </w:tc>
      </w:tr>
      <w:tr>
        <w:trPr>
          <w:trHeight w:val="20"/>
        </w:trPr>
        <w:tc>
          <w:tcPr>
            <w:tcW w:w="1240" w:type="dxa"/>
            <w:vAlign w:val="bottom"/>
            <w:shd w:val="clear" w:color="auto" w:fill="000000"/>
          </w:tcPr>
          <w:p>
            <w:pPr>
              <w:spacing w:after="0" w:line="20" w:lineRule="exact"/>
              <w:rPr>
                <w:sz w:val="1"/>
                <w:szCs w:val="1"/>
                <w:color w:val="auto"/>
              </w:rPr>
            </w:pPr>
          </w:p>
        </w:tc>
        <w:tc>
          <w:tcPr>
            <w:tcW w:w="2700" w:type="dxa"/>
            <w:vAlign w:val="bottom"/>
            <w:vMerge w:val="restart"/>
          </w:tcPr>
          <w:p>
            <w:pPr>
              <w:spacing w:after="0" w:line="20" w:lineRule="exact"/>
              <w:rPr>
                <w:sz w:val="1"/>
                <w:szCs w:val="1"/>
                <w:color w:val="auto"/>
              </w:rPr>
            </w:pPr>
          </w:p>
        </w:tc>
        <w:tc>
          <w:tcPr>
            <w:tcW w:w="2800" w:type="dxa"/>
            <w:vAlign w:val="bottom"/>
            <w:vMerge w:val="continue"/>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9"/>
        </w:trPr>
        <w:tc>
          <w:tcPr>
            <w:tcW w:w="1240" w:type="dxa"/>
            <w:vAlign w:val="bottom"/>
          </w:tcPr>
          <w:p>
            <w:pPr>
              <w:spacing w:after="0" w:line="138" w:lineRule="exact"/>
              <w:rPr>
                <w:sz w:val="20"/>
                <w:szCs w:val="20"/>
                <w:color w:val="auto"/>
              </w:rPr>
            </w:pPr>
            <w:r>
              <w:rPr>
                <w:rFonts w:ascii="Arial" w:cs="Arial" w:eastAsia="Arial" w:hAnsi="Arial"/>
                <w:sz w:val="15"/>
                <w:szCs w:val="15"/>
                <w:color w:val="auto"/>
              </w:rPr>
              <w:t>Buildings</w:t>
            </w:r>
          </w:p>
        </w:tc>
        <w:tc>
          <w:tcPr>
            <w:tcW w:w="2700" w:type="dxa"/>
            <w:vAlign w:val="bottom"/>
            <w:vMerge w:val="continue"/>
          </w:tcPr>
          <w:p>
            <w:pPr>
              <w:spacing w:after="0"/>
              <w:rPr>
                <w:sz w:val="12"/>
                <w:szCs w:val="12"/>
                <w:color w:val="auto"/>
              </w:rPr>
            </w:pPr>
          </w:p>
        </w:tc>
        <w:tc>
          <w:tcPr>
            <w:tcW w:w="2800" w:type="dxa"/>
            <w:vAlign w:val="bottom"/>
            <w:vMerge w:val="continue"/>
          </w:tcPr>
          <w:p>
            <w:pPr>
              <w:spacing w:after="0"/>
              <w:rPr>
                <w:sz w:val="12"/>
                <w:szCs w:val="12"/>
                <w:color w:val="auto"/>
              </w:rPr>
            </w:pPr>
          </w:p>
        </w:tc>
        <w:tc>
          <w:tcPr>
            <w:tcW w:w="1880" w:type="dxa"/>
            <w:vAlign w:val="bottom"/>
            <w:gridSpan w:val="2"/>
          </w:tcPr>
          <w:p>
            <w:pPr>
              <w:ind w:left="20"/>
              <w:spacing w:after="0" w:line="138" w:lineRule="exact"/>
              <w:rPr>
                <w:sz w:val="20"/>
                <w:szCs w:val="20"/>
                <w:color w:val="auto"/>
              </w:rPr>
            </w:pPr>
            <w:r>
              <w:rPr>
                <w:rFonts w:ascii="Arial" w:cs="Arial" w:eastAsia="Arial" w:hAnsi="Arial"/>
                <w:sz w:val="15"/>
                <w:szCs w:val="15"/>
                <w:color w:val="auto"/>
              </w:rPr>
              <w:t>to 30 years</w:t>
            </w:r>
          </w:p>
        </w:tc>
        <w:tc>
          <w:tcPr>
            <w:tcW w:w="0" w:type="dxa"/>
            <w:vAlign w:val="bottom"/>
          </w:tcPr>
          <w:p>
            <w:pPr>
              <w:spacing w:after="0"/>
              <w:rPr>
                <w:sz w:val="1"/>
                <w:szCs w:val="1"/>
                <w:color w:val="auto"/>
              </w:rPr>
            </w:pPr>
          </w:p>
        </w:tc>
      </w:tr>
      <w:tr>
        <w:trPr>
          <w:trHeight w:val="180"/>
        </w:trPr>
        <w:tc>
          <w:tcPr>
            <w:tcW w:w="3940" w:type="dxa"/>
            <w:vAlign w:val="bottom"/>
            <w:gridSpan w:val="2"/>
          </w:tcPr>
          <w:p>
            <w:pPr>
              <w:spacing w:after="0"/>
              <w:rPr>
                <w:sz w:val="20"/>
                <w:szCs w:val="20"/>
                <w:color w:val="auto"/>
              </w:rPr>
            </w:pPr>
            <w:r>
              <w:rPr>
                <w:rFonts w:ascii="Arial" w:cs="Arial" w:eastAsia="Arial" w:hAnsi="Arial"/>
                <w:sz w:val="15"/>
                <w:szCs w:val="15"/>
                <w:color w:val="auto"/>
              </w:rPr>
              <w:t>Datacenter and other computer equipment</w:t>
            </w:r>
          </w:p>
        </w:tc>
        <w:tc>
          <w:tcPr>
            <w:tcW w:w="4680" w:type="dxa"/>
            <w:vAlign w:val="bottom"/>
            <w:gridSpan w:val="3"/>
          </w:tcPr>
          <w:p>
            <w:pPr>
              <w:jc w:val="center"/>
              <w:ind w:left="1345"/>
              <w:spacing w:after="0"/>
              <w:rPr>
                <w:sz w:val="20"/>
                <w:szCs w:val="20"/>
                <w:color w:val="auto"/>
              </w:rPr>
            </w:pPr>
            <w:r>
              <w:rPr>
                <w:rFonts w:ascii="Arial" w:cs="Arial" w:eastAsia="Arial" w:hAnsi="Arial"/>
                <w:sz w:val="15"/>
                <w:szCs w:val="15"/>
                <w:color w:val="auto"/>
                <w:w w:val="89"/>
              </w:rPr>
              <w:t>3 to 5 years</w:t>
            </w:r>
          </w:p>
        </w:tc>
        <w:tc>
          <w:tcPr>
            <w:tcW w:w="0" w:type="dxa"/>
            <w:vAlign w:val="bottom"/>
          </w:tcPr>
          <w:p>
            <w:pPr>
              <w:spacing w:after="0"/>
              <w:rPr>
                <w:sz w:val="1"/>
                <w:szCs w:val="1"/>
                <w:color w:val="auto"/>
              </w:rPr>
            </w:pPr>
          </w:p>
        </w:tc>
      </w:tr>
      <w:tr>
        <w:trPr>
          <w:trHeight w:val="180"/>
        </w:trPr>
        <w:tc>
          <w:tcPr>
            <w:tcW w:w="3940" w:type="dxa"/>
            <w:vAlign w:val="bottom"/>
            <w:gridSpan w:val="2"/>
          </w:tcPr>
          <w:p>
            <w:pPr>
              <w:spacing w:after="0"/>
              <w:rPr>
                <w:sz w:val="20"/>
                <w:szCs w:val="20"/>
                <w:color w:val="auto"/>
              </w:rPr>
            </w:pPr>
            <w:r>
              <w:rPr>
                <w:rFonts w:ascii="Arial" w:cs="Arial" w:eastAsia="Arial" w:hAnsi="Arial"/>
                <w:sz w:val="15"/>
                <w:szCs w:val="15"/>
                <w:color w:val="auto"/>
              </w:rPr>
              <w:t>Office equipment and other</w:t>
            </w:r>
          </w:p>
        </w:tc>
        <w:tc>
          <w:tcPr>
            <w:tcW w:w="4680" w:type="dxa"/>
            <w:vAlign w:val="bottom"/>
            <w:gridSpan w:val="3"/>
          </w:tcPr>
          <w:p>
            <w:pPr>
              <w:jc w:val="center"/>
              <w:ind w:left="1345"/>
              <w:spacing w:after="0"/>
              <w:rPr>
                <w:sz w:val="20"/>
                <w:szCs w:val="20"/>
                <w:color w:val="auto"/>
              </w:rPr>
            </w:pPr>
            <w:r>
              <w:rPr>
                <w:rFonts w:ascii="Arial" w:cs="Arial" w:eastAsia="Arial" w:hAnsi="Arial"/>
                <w:sz w:val="15"/>
                <w:szCs w:val="15"/>
                <w:color w:val="auto"/>
                <w:w w:val="89"/>
              </w:rPr>
              <w:t>3 to 7 years</w:t>
            </w:r>
          </w:p>
        </w:tc>
        <w:tc>
          <w:tcPr>
            <w:tcW w:w="0" w:type="dxa"/>
            <w:vAlign w:val="bottom"/>
          </w:tcPr>
          <w:p>
            <w:pPr>
              <w:spacing w:after="0"/>
              <w:rPr>
                <w:sz w:val="1"/>
                <w:szCs w:val="1"/>
                <w:color w:val="auto"/>
              </w:rPr>
            </w:pPr>
          </w:p>
        </w:tc>
      </w:tr>
      <w:tr>
        <w:trPr>
          <w:trHeight w:val="190"/>
        </w:trPr>
        <w:tc>
          <w:tcPr>
            <w:tcW w:w="3940" w:type="dxa"/>
            <w:vAlign w:val="bottom"/>
            <w:gridSpan w:val="2"/>
          </w:tcPr>
          <w:p>
            <w:pPr>
              <w:spacing w:after="0"/>
              <w:rPr>
                <w:sz w:val="20"/>
                <w:szCs w:val="20"/>
                <w:color w:val="auto"/>
              </w:rPr>
            </w:pPr>
            <w:r>
              <w:rPr>
                <w:rFonts w:ascii="Arial" w:cs="Arial" w:eastAsia="Arial" w:hAnsi="Arial"/>
                <w:sz w:val="15"/>
                <w:szCs w:val="15"/>
                <w:color w:val="auto"/>
              </w:rPr>
              <w:t>Leasehold improvements</w:t>
            </w:r>
          </w:p>
        </w:tc>
        <w:tc>
          <w:tcPr>
            <w:tcW w:w="4680" w:type="dxa"/>
            <w:vAlign w:val="bottom"/>
            <w:gridSpan w:val="3"/>
          </w:tcPr>
          <w:p>
            <w:pPr>
              <w:jc w:val="center"/>
              <w:ind w:left="1345"/>
              <w:spacing w:after="0"/>
              <w:rPr>
                <w:sz w:val="20"/>
                <w:szCs w:val="20"/>
                <w:color w:val="auto"/>
              </w:rPr>
            </w:pPr>
            <w:r>
              <w:rPr>
                <w:rFonts w:ascii="Arial" w:cs="Arial" w:eastAsia="Arial" w:hAnsi="Arial"/>
                <w:sz w:val="15"/>
                <w:szCs w:val="15"/>
                <w:color w:val="auto"/>
                <w:w w:val="90"/>
              </w:rPr>
              <w:t>Lesser of estimated useful life or remaining lease term</w:t>
            </w:r>
          </w:p>
        </w:tc>
        <w:tc>
          <w:tcPr>
            <w:tcW w:w="0" w:type="dxa"/>
            <w:vAlign w:val="bottom"/>
          </w:tcPr>
          <w:p>
            <w:pPr>
              <w:spacing w:after="0"/>
              <w:rPr>
                <w:sz w:val="1"/>
                <w:szCs w:val="1"/>
                <w:color w:val="auto"/>
              </w:rPr>
            </w:pPr>
          </w:p>
        </w:tc>
      </w:tr>
    </w:tbl>
    <w:p>
      <w:pPr>
        <w:spacing w:after="0" w:line="261" w:lineRule="exact"/>
        <w:rPr>
          <w:sz w:val="20"/>
          <w:szCs w:val="20"/>
          <w:color w:val="auto"/>
        </w:rPr>
      </w:pPr>
    </w:p>
    <w:p>
      <w:pPr>
        <w:ind w:left="1480"/>
        <w:spacing w:after="0"/>
        <w:rPr>
          <w:sz w:val="20"/>
          <w:szCs w:val="20"/>
          <w:color w:val="auto"/>
        </w:rPr>
      </w:pPr>
      <w:r>
        <w:rPr>
          <w:rFonts w:ascii="Arial" w:cs="Arial" w:eastAsia="Arial" w:hAnsi="Arial"/>
          <w:sz w:val="15"/>
          <w:szCs w:val="15"/>
          <w:b w:val="1"/>
          <w:bCs w:val="1"/>
          <w:i w:val="1"/>
          <w:iCs w:val="1"/>
          <w:color w:val="auto"/>
        </w:rPr>
        <w:t>Lease obligations</w:t>
      </w:r>
    </w:p>
    <w:p>
      <w:pPr>
        <w:spacing w:after="0" w:line="98" w:lineRule="exact"/>
        <w:rPr>
          <w:sz w:val="20"/>
          <w:szCs w:val="20"/>
          <w:color w:val="auto"/>
        </w:rPr>
      </w:pPr>
    </w:p>
    <w:p>
      <w:pPr>
        <w:ind w:left="1120" w:right="80" w:firstLine="368"/>
        <w:spacing w:after="0" w:line="300" w:lineRule="auto"/>
        <w:rPr>
          <w:sz w:val="20"/>
          <w:szCs w:val="20"/>
          <w:color w:val="auto"/>
        </w:rPr>
      </w:pPr>
      <w:r>
        <w:rPr>
          <w:rFonts w:ascii="Arial" w:cs="Arial" w:eastAsia="Arial" w:hAnsi="Arial"/>
          <w:sz w:val="13"/>
          <w:szCs w:val="13"/>
          <w:color w:val="auto"/>
        </w:rPr>
        <w:t>The Company leases office space, datacenters, and equipment under non-cancelable capital and operating leases with various expiration dates through 2033. Certain of the Company’s operating lease agreements contain tenant improvement allowances from its landlords. These allowances are accounted for as lease incentive obligations, and are amortized as reductions to rent expense over the lease term. In addition, certain of the operating lease agreements contain rent concession, rent escalation, and options to renew. Rent concession and rent escalation provisions are considered in determining the straight-line rent expense to be recorded over the lease term. The lease term begins on the date the Company has the right to use the leased property for purposes of recognizing lease expense on a straight-line basis over the term of the lease. The Company does not assume renewals in its determination of the lease term unless the renewals are deemed to be reasonably assured at lease inception.</w:t>
      </w:r>
    </w:p>
    <w:p>
      <w:pPr>
        <w:spacing w:after="0" w:line="79" w:lineRule="exact"/>
        <w:rPr>
          <w:sz w:val="20"/>
          <w:szCs w:val="20"/>
          <w:color w:val="auto"/>
        </w:rPr>
      </w:pPr>
    </w:p>
    <w:p>
      <w:pPr>
        <w:ind w:left="5580"/>
        <w:spacing w:after="0"/>
        <w:rPr>
          <w:sz w:val="20"/>
          <w:szCs w:val="20"/>
          <w:color w:val="auto"/>
        </w:rPr>
      </w:pPr>
      <w:r>
        <w:rPr>
          <w:rFonts w:ascii="Arial" w:cs="Arial" w:eastAsia="Arial" w:hAnsi="Arial"/>
          <w:sz w:val="15"/>
          <w:szCs w:val="15"/>
          <w:color w:val="auto"/>
        </w:rPr>
        <w:t>F-15</w:t>
      </w:r>
    </w:p>
    <w:p>
      <w:pPr>
        <w:sectPr>
          <w:pgSz w:w="11900" w:h="16838" w:orient="portrait"/>
          <w:cols w:equalWidth="0" w:num="1">
            <w:col w:w="10300"/>
          </w:cols>
          <w:pgMar w:left="240" w:top="408" w:right="1359" w:bottom="1440" w:gutter="0" w:footer="0" w:header="0"/>
        </w:sectPr>
      </w:pPr>
    </w:p>
    <w:bookmarkStart w:id="218" w:name="page219"/>
    <w:bookmarkEnd w:id="218"/>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133350</wp:posOffset>
            </wp:positionH>
            <wp:positionV relativeFrom="page">
              <wp:posOffset>88900</wp:posOffset>
            </wp:positionV>
            <wp:extent cx="7308850" cy="3429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308850" cy="34290"/>
                    </a:xfrm>
                    <a:prstGeom prst="rect">
                      <a:avLst/>
                    </a:prstGeom>
                    <a:noFill/>
                  </pic:spPr>
                </pic:pic>
              </a:graphicData>
            </a:graphic>
          </wp:anchor>
        </w:drawing>
      </w:r>
      <w:hyperlink w:anchor="page7">
        <w:r>
          <w:rPr>
            <w:rFonts w:ascii="Arial" w:cs="Arial" w:eastAsia="Arial" w:hAnsi="Arial"/>
            <w:sz w:val="15"/>
            <w:szCs w:val="15"/>
            <w:b w:val="1"/>
            <w:bCs w:val="1"/>
            <w:u w:val="single" w:color="auto"/>
            <w:color w:val="0000EE"/>
          </w:rPr>
          <w:t>Table of Contents</w:t>
        </w:r>
      </w:hyperlink>
    </w:p>
    <w:p>
      <w:pPr>
        <w:spacing w:after="0" w:line="260" w:lineRule="exact"/>
        <w:rPr>
          <w:sz w:val="20"/>
          <w:szCs w:val="20"/>
          <w:color w:val="auto"/>
        </w:rPr>
      </w:pPr>
    </w:p>
    <w:p>
      <w:pPr>
        <w:ind w:left="1120" w:firstLine="368"/>
        <w:spacing w:after="0" w:line="255" w:lineRule="auto"/>
        <w:rPr>
          <w:sz w:val="20"/>
          <w:szCs w:val="20"/>
          <w:color w:val="auto"/>
        </w:rPr>
      </w:pPr>
      <w:r>
        <w:rPr>
          <w:rFonts w:ascii="Arial" w:cs="Arial" w:eastAsia="Arial" w:hAnsi="Arial"/>
          <w:sz w:val="15"/>
          <w:szCs w:val="15"/>
          <w:color w:val="auto"/>
        </w:rPr>
        <w:t>The Company leases certain equipment from various third parties, including from a related party, through equipment financing leases under capital leases. See Note 15, “Related Party Transactions” for additional details. These leases either include a bargain purchase option, a full transfer of ownership at the completion of the lease term, or the terms of the leases are at least 75 percent of the useful lives of the assets and are therefore classified as a capital leases. These leases are capitalized in property and equipment and the related amortization of assets under capital leases is included in depreciation and amortization expense in the Company’s consolidated statements of operations. Initial asset values and lease obligations are based on the present value of future minimum lease payments.</w:t>
      </w:r>
    </w:p>
    <w:p>
      <w:pPr>
        <w:spacing w:after="0" w:line="254" w:lineRule="exact"/>
        <w:rPr>
          <w:sz w:val="20"/>
          <w:szCs w:val="20"/>
          <w:color w:val="auto"/>
        </w:rPr>
      </w:pPr>
    </w:p>
    <w:p>
      <w:pPr>
        <w:ind w:left="1480"/>
        <w:spacing w:after="0"/>
        <w:rPr>
          <w:sz w:val="20"/>
          <w:szCs w:val="20"/>
          <w:color w:val="auto"/>
        </w:rPr>
      </w:pPr>
      <w:r>
        <w:rPr>
          <w:rFonts w:ascii="Arial" w:cs="Arial" w:eastAsia="Arial" w:hAnsi="Arial"/>
          <w:sz w:val="15"/>
          <w:szCs w:val="15"/>
          <w:b w:val="1"/>
          <w:bCs w:val="1"/>
          <w:i w:val="1"/>
          <w:iCs w:val="1"/>
          <w:color w:val="auto"/>
        </w:rPr>
        <w:t>Internal use software</w:t>
      </w:r>
    </w:p>
    <w:p>
      <w:pPr>
        <w:spacing w:after="0" w:line="98" w:lineRule="exact"/>
        <w:rPr>
          <w:sz w:val="20"/>
          <w:szCs w:val="20"/>
          <w:color w:val="auto"/>
        </w:rPr>
      </w:pPr>
    </w:p>
    <w:p>
      <w:pPr>
        <w:ind w:left="1120" w:right="100" w:firstLine="368"/>
        <w:spacing w:after="0" w:line="255" w:lineRule="auto"/>
        <w:rPr>
          <w:sz w:val="20"/>
          <w:szCs w:val="20"/>
          <w:color w:val="auto"/>
        </w:rPr>
      </w:pPr>
      <w:r>
        <w:rPr>
          <w:rFonts w:ascii="Arial" w:cs="Arial" w:eastAsia="Arial" w:hAnsi="Arial"/>
          <w:sz w:val="15"/>
          <w:szCs w:val="15"/>
          <w:color w:val="auto"/>
        </w:rPr>
        <w:t>The Company capitalizes certain costs related to developed or modified software solely for its internal use and cloud based applications used to deliver its platform. The Company capitalizes costs during the application development stage once the preliminary project stage is complete, management authorizes and commits to funding the project, and it is probable that the project will be completed and that the software will be used to perform the function intended. Costs related to preliminary project activities and post implementation activities are expensed as incurred. Capitalized internal use software costs were not material to the Company’s consolidated financial statements during the years ended December 31, 2015, 2016, and 2017.</w:t>
      </w:r>
    </w:p>
    <w:p>
      <w:pPr>
        <w:spacing w:after="0" w:line="254" w:lineRule="exact"/>
        <w:rPr>
          <w:sz w:val="20"/>
          <w:szCs w:val="20"/>
          <w:color w:val="auto"/>
        </w:rPr>
      </w:pPr>
    </w:p>
    <w:p>
      <w:pPr>
        <w:ind w:left="1480"/>
        <w:spacing w:after="0"/>
        <w:rPr>
          <w:sz w:val="20"/>
          <w:szCs w:val="20"/>
          <w:color w:val="auto"/>
        </w:rPr>
      </w:pPr>
      <w:r>
        <w:rPr>
          <w:rFonts w:ascii="Arial" w:cs="Arial" w:eastAsia="Arial" w:hAnsi="Arial"/>
          <w:sz w:val="15"/>
          <w:szCs w:val="15"/>
          <w:b w:val="1"/>
          <w:bCs w:val="1"/>
          <w:i w:val="1"/>
          <w:iCs w:val="1"/>
          <w:color w:val="auto"/>
        </w:rPr>
        <w:t>Business combinations</w:t>
      </w:r>
    </w:p>
    <w:p>
      <w:pPr>
        <w:spacing w:after="0" w:line="98" w:lineRule="exact"/>
        <w:rPr>
          <w:sz w:val="20"/>
          <w:szCs w:val="20"/>
          <w:color w:val="auto"/>
        </w:rPr>
      </w:pPr>
    </w:p>
    <w:p>
      <w:pPr>
        <w:ind w:left="1120" w:right="140" w:firstLine="368"/>
        <w:spacing w:after="0" w:line="255" w:lineRule="auto"/>
        <w:rPr>
          <w:sz w:val="20"/>
          <w:szCs w:val="20"/>
          <w:color w:val="auto"/>
        </w:rPr>
      </w:pPr>
      <w:r>
        <w:rPr>
          <w:rFonts w:ascii="Arial" w:cs="Arial" w:eastAsia="Arial" w:hAnsi="Arial"/>
          <w:sz w:val="15"/>
          <w:szCs w:val="15"/>
          <w:color w:val="auto"/>
        </w:rPr>
        <w:t>The Company uses best estimates and assumptions to assign a fair value to the tangible and intangible assets acquired and liabilities assumed in business combinations as of the acquisition date. These estimates are inherently uncertain and subject to refinement. During the measurement period, which may be up to one year from the acquisition date, adjustments to the fair value of these tangible and intangible assets acquired and liabilities assumed may be recorded, with the corresponding offset to goodwill. Upon the conclusion of the measurement period or final determination of the fair value of assets acquired or liabilities assumed, whichever comes first, any subsequent adjustments are recorded to the Company’s consolidated statements of operations.</w:t>
      </w:r>
    </w:p>
    <w:p>
      <w:pPr>
        <w:spacing w:after="0" w:line="254" w:lineRule="exact"/>
        <w:rPr>
          <w:sz w:val="20"/>
          <w:szCs w:val="20"/>
          <w:color w:val="auto"/>
        </w:rPr>
      </w:pPr>
    </w:p>
    <w:p>
      <w:pPr>
        <w:ind w:left="1480"/>
        <w:spacing w:after="0"/>
        <w:rPr>
          <w:sz w:val="20"/>
          <w:szCs w:val="20"/>
          <w:color w:val="auto"/>
        </w:rPr>
      </w:pPr>
      <w:r>
        <w:rPr>
          <w:rFonts w:ascii="Arial" w:cs="Arial" w:eastAsia="Arial" w:hAnsi="Arial"/>
          <w:sz w:val="15"/>
          <w:szCs w:val="15"/>
          <w:b w:val="1"/>
          <w:bCs w:val="1"/>
          <w:i w:val="1"/>
          <w:iCs w:val="1"/>
          <w:color w:val="auto"/>
        </w:rPr>
        <w:t>Long-lived assets, including goodwill and other acquired intangible assets, net</w:t>
      </w:r>
    </w:p>
    <w:p>
      <w:pPr>
        <w:spacing w:after="0" w:line="98" w:lineRule="exact"/>
        <w:rPr>
          <w:sz w:val="20"/>
          <w:szCs w:val="20"/>
          <w:color w:val="auto"/>
        </w:rPr>
      </w:pPr>
    </w:p>
    <w:p>
      <w:pPr>
        <w:ind w:left="1120" w:right="160" w:firstLine="368"/>
        <w:spacing w:after="0" w:line="255" w:lineRule="auto"/>
        <w:rPr>
          <w:sz w:val="20"/>
          <w:szCs w:val="20"/>
          <w:color w:val="auto"/>
        </w:rPr>
      </w:pPr>
      <w:r>
        <w:rPr>
          <w:rFonts w:ascii="Arial" w:cs="Arial" w:eastAsia="Arial" w:hAnsi="Arial"/>
          <w:sz w:val="15"/>
          <w:szCs w:val="15"/>
          <w:color w:val="auto"/>
        </w:rPr>
        <w:t>The Company evaluates the recoverability of property and equipment and finite-lived intangible assets for possible impairment whenever events or circumstances indicate that the carrying amount of such assets may not be recoverable. The evaluation is performed at the lowest level for which identifiable cash flows are largely independent of the cash flows of other assets and liabilities. Recoverability of these assets is measured by a comparison of the carrying amounts to the future undiscounted cash flows the assets are expected to generate. If such review determines that the carrying amount of specific property and equipment or intangible assets is not recoverable, the carrying amount of such assets is reduced to its fair value.</w:t>
      </w:r>
    </w:p>
    <w:p>
      <w:pPr>
        <w:spacing w:after="0" w:line="164" w:lineRule="exact"/>
        <w:rPr>
          <w:sz w:val="20"/>
          <w:szCs w:val="20"/>
          <w:color w:val="auto"/>
        </w:rPr>
      </w:pPr>
    </w:p>
    <w:p>
      <w:pPr>
        <w:ind w:left="1120" w:right="220" w:firstLine="368"/>
        <w:spacing w:after="0" w:line="275" w:lineRule="auto"/>
        <w:rPr>
          <w:sz w:val="20"/>
          <w:szCs w:val="20"/>
          <w:color w:val="auto"/>
        </w:rPr>
      </w:pPr>
      <w:r>
        <w:rPr>
          <w:rFonts w:ascii="Arial" w:cs="Arial" w:eastAsia="Arial" w:hAnsi="Arial"/>
          <w:sz w:val="15"/>
          <w:szCs w:val="15"/>
          <w:color w:val="auto"/>
        </w:rPr>
        <w:t>The Company reviews goodwill for impairment at least annually in the fourth quarter, or more frequently if events or changes in circumstances would more likely than not reduce the fair value of its single reporting unit below its carrying value.</w:t>
      </w:r>
    </w:p>
    <w:p>
      <w:pPr>
        <w:spacing w:after="0" w:line="146" w:lineRule="exact"/>
        <w:rPr>
          <w:sz w:val="20"/>
          <w:szCs w:val="20"/>
          <w:color w:val="auto"/>
        </w:rPr>
      </w:pPr>
    </w:p>
    <w:p>
      <w:pPr>
        <w:ind w:left="1120" w:right="200" w:firstLine="368"/>
        <w:spacing w:after="0" w:line="275" w:lineRule="auto"/>
        <w:rPr>
          <w:sz w:val="20"/>
          <w:szCs w:val="20"/>
          <w:color w:val="auto"/>
        </w:rPr>
      </w:pPr>
      <w:r>
        <w:rPr>
          <w:rFonts w:ascii="Arial" w:cs="Arial" w:eastAsia="Arial" w:hAnsi="Arial"/>
          <w:sz w:val="15"/>
          <w:szCs w:val="15"/>
          <w:color w:val="auto"/>
        </w:rPr>
        <w:t>The Company has not recorded impairment charges on property and equipment, goodwill, or intangible assets for the periods presented in these consolidated financial statements.</w:t>
      </w:r>
    </w:p>
    <w:p>
      <w:pPr>
        <w:spacing w:after="0" w:line="146" w:lineRule="exact"/>
        <w:rPr>
          <w:sz w:val="20"/>
          <w:szCs w:val="20"/>
          <w:color w:val="auto"/>
        </w:rPr>
      </w:pPr>
    </w:p>
    <w:p>
      <w:pPr>
        <w:ind w:left="1120" w:right="260" w:firstLine="368"/>
        <w:spacing w:after="0" w:line="259" w:lineRule="auto"/>
        <w:rPr>
          <w:sz w:val="20"/>
          <w:szCs w:val="20"/>
          <w:color w:val="auto"/>
        </w:rPr>
      </w:pPr>
      <w:r>
        <w:rPr>
          <w:rFonts w:ascii="Arial" w:cs="Arial" w:eastAsia="Arial" w:hAnsi="Arial"/>
          <w:sz w:val="15"/>
          <w:szCs w:val="15"/>
          <w:color w:val="auto"/>
        </w:rPr>
        <w:t>Acquired property and equipment and finite-lived intangible assets are amortized over their useful lives. The Company evaluates the estimated remaining useful life of these assets when events or changes in circumstances warrant a revision to the remaining period of amortization. If the Company reduces the estimated useful life assumption for any asset, the remaining unamortized balance is amortized or depreciated over the revised estimated useful life on a prospective basis.</w:t>
      </w:r>
    </w:p>
    <w:p>
      <w:pPr>
        <w:spacing w:after="0" w:line="101" w:lineRule="exact"/>
        <w:rPr>
          <w:sz w:val="20"/>
          <w:szCs w:val="20"/>
          <w:color w:val="auto"/>
        </w:rPr>
      </w:pPr>
    </w:p>
    <w:p>
      <w:pPr>
        <w:ind w:left="5580"/>
        <w:spacing w:after="0"/>
        <w:rPr>
          <w:sz w:val="20"/>
          <w:szCs w:val="20"/>
          <w:color w:val="auto"/>
        </w:rPr>
      </w:pPr>
      <w:r>
        <w:rPr>
          <w:rFonts w:ascii="Arial" w:cs="Arial" w:eastAsia="Arial" w:hAnsi="Arial"/>
          <w:sz w:val="15"/>
          <w:szCs w:val="15"/>
          <w:color w:val="auto"/>
        </w:rPr>
        <w:t>F-16</w:t>
      </w:r>
    </w:p>
    <w:p>
      <w:pPr>
        <w:sectPr>
          <w:pgSz w:w="11900" w:h="16838" w:orient="portrait"/>
          <w:cols w:equalWidth="0" w:num="1">
            <w:col w:w="10320"/>
          </w:cols>
          <w:pgMar w:left="240" w:top="408" w:right="1339" w:bottom="1440" w:gutter="0" w:footer="0" w:header="0"/>
        </w:sectPr>
      </w:pPr>
    </w:p>
    <w:bookmarkStart w:id="219" w:name="page220"/>
    <w:bookmarkEnd w:id="219"/>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133350</wp:posOffset>
            </wp:positionH>
            <wp:positionV relativeFrom="page">
              <wp:posOffset>88900</wp:posOffset>
            </wp:positionV>
            <wp:extent cx="7308850" cy="3429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308850" cy="34290"/>
                    </a:xfrm>
                    <a:prstGeom prst="rect">
                      <a:avLst/>
                    </a:prstGeom>
                    <a:noFill/>
                  </pic:spPr>
                </pic:pic>
              </a:graphicData>
            </a:graphic>
          </wp:anchor>
        </w:drawing>
      </w:r>
      <w:hyperlink w:anchor="page7">
        <w:r>
          <w:rPr>
            <w:rFonts w:ascii="Arial" w:cs="Arial" w:eastAsia="Arial" w:hAnsi="Arial"/>
            <w:sz w:val="15"/>
            <w:szCs w:val="15"/>
            <w:b w:val="1"/>
            <w:bCs w:val="1"/>
            <w:u w:val="single" w:color="auto"/>
            <w:color w:val="0000EE"/>
          </w:rPr>
          <w:t>Table of Contents</w:t>
        </w:r>
      </w:hyperlink>
    </w:p>
    <w:p>
      <w:pPr>
        <w:spacing w:after="0" w:line="260" w:lineRule="exact"/>
        <w:rPr>
          <w:sz w:val="20"/>
          <w:szCs w:val="20"/>
          <w:color w:val="auto"/>
        </w:rPr>
      </w:pPr>
    </w:p>
    <w:p>
      <w:pPr>
        <w:ind w:left="1480"/>
        <w:spacing w:after="0"/>
        <w:rPr>
          <w:sz w:val="20"/>
          <w:szCs w:val="20"/>
          <w:color w:val="auto"/>
        </w:rPr>
      </w:pPr>
      <w:r>
        <w:rPr>
          <w:rFonts w:ascii="Arial" w:cs="Arial" w:eastAsia="Arial" w:hAnsi="Arial"/>
          <w:sz w:val="15"/>
          <w:szCs w:val="15"/>
          <w:b w:val="1"/>
          <w:bCs w:val="1"/>
          <w:i w:val="1"/>
          <w:iCs w:val="1"/>
          <w:color w:val="auto"/>
        </w:rPr>
        <w:t>Deferred offering costs</w:t>
      </w:r>
    </w:p>
    <w:p>
      <w:pPr>
        <w:spacing w:after="0" w:line="98" w:lineRule="exact"/>
        <w:rPr>
          <w:sz w:val="20"/>
          <w:szCs w:val="20"/>
          <w:color w:val="auto"/>
        </w:rPr>
      </w:pPr>
    </w:p>
    <w:p>
      <w:pPr>
        <w:ind w:left="1120" w:right="60" w:firstLine="368"/>
        <w:spacing w:after="0" w:line="259" w:lineRule="auto"/>
        <w:rPr>
          <w:sz w:val="20"/>
          <w:szCs w:val="20"/>
          <w:color w:val="auto"/>
        </w:rPr>
      </w:pPr>
      <w:r>
        <w:rPr>
          <w:rFonts w:ascii="Arial" w:cs="Arial" w:eastAsia="Arial" w:hAnsi="Arial"/>
          <w:sz w:val="15"/>
          <w:szCs w:val="15"/>
          <w:color w:val="auto"/>
        </w:rPr>
        <w:t>Deferred offering costs, which consist of direct incremental legal, accounting, and consulting fees relating to the initial public offering, are capitalized. The deferred offering costs will be offset against initial public offering proceeds upon the consummation of the offering. In the event the offering is terminated, the deferred offering costs will be expensed. As of December 31, 2017, the Company had capitalized approximately $4.1 million of deferred offering costs within other assets on the consolidated balance sheet.</w:t>
      </w:r>
    </w:p>
    <w:p>
      <w:pPr>
        <w:spacing w:after="0" w:line="248" w:lineRule="exact"/>
        <w:rPr>
          <w:sz w:val="20"/>
          <w:szCs w:val="20"/>
          <w:color w:val="auto"/>
        </w:rPr>
      </w:pPr>
    </w:p>
    <w:p>
      <w:pPr>
        <w:ind w:left="1480"/>
        <w:spacing w:after="0"/>
        <w:rPr>
          <w:sz w:val="20"/>
          <w:szCs w:val="20"/>
          <w:color w:val="auto"/>
        </w:rPr>
      </w:pPr>
      <w:r>
        <w:rPr>
          <w:rFonts w:ascii="Arial" w:cs="Arial" w:eastAsia="Arial" w:hAnsi="Arial"/>
          <w:sz w:val="15"/>
          <w:szCs w:val="15"/>
          <w:b w:val="1"/>
          <w:bCs w:val="1"/>
          <w:i w:val="1"/>
          <w:iCs w:val="1"/>
          <w:color w:val="auto"/>
        </w:rPr>
        <w:t>Income taxes</w:t>
      </w:r>
    </w:p>
    <w:p>
      <w:pPr>
        <w:spacing w:after="0" w:line="98" w:lineRule="exact"/>
        <w:rPr>
          <w:sz w:val="20"/>
          <w:szCs w:val="20"/>
          <w:color w:val="auto"/>
        </w:rPr>
      </w:pPr>
    </w:p>
    <w:p>
      <w:pPr>
        <w:jc w:val="both"/>
        <w:ind w:left="1120" w:right="180" w:firstLine="368"/>
        <w:spacing w:after="0" w:line="263" w:lineRule="auto"/>
        <w:rPr>
          <w:sz w:val="20"/>
          <w:szCs w:val="20"/>
          <w:color w:val="auto"/>
        </w:rPr>
      </w:pPr>
      <w:r>
        <w:rPr>
          <w:rFonts w:ascii="Arial" w:cs="Arial" w:eastAsia="Arial" w:hAnsi="Arial"/>
          <w:sz w:val="15"/>
          <w:szCs w:val="15"/>
          <w:color w:val="auto"/>
        </w:rPr>
        <w:t>Deferred income tax balances reflect the effects of temporary differences between the financial reporting and tax bases of the Company’s assets and liabilities using enacted tax rates expected to apply when taxes are actually paid or recovered. In addition, deferred tax assets are recorded for net operating loss and credit carryforwards.</w:t>
      </w:r>
    </w:p>
    <w:p>
      <w:pPr>
        <w:spacing w:after="0" w:line="155" w:lineRule="exact"/>
        <w:rPr>
          <w:sz w:val="20"/>
          <w:szCs w:val="20"/>
          <w:color w:val="auto"/>
        </w:rPr>
      </w:pPr>
    </w:p>
    <w:p>
      <w:pPr>
        <w:ind w:left="1120" w:firstLine="368"/>
        <w:spacing w:after="0" w:line="263" w:lineRule="auto"/>
        <w:rPr>
          <w:sz w:val="20"/>
          <w:szCs w:val="20"/>
          <w:color w:val="auto"/>
        </w:rPr>
      </w:pPr>
      <w:r>
        <w:rPr>
          <w:rFonts w:ascii="Arial" w:cs="Arial" w:eastAsia="Arial" w:hAnsi="Arial"/>
          <w:sz w:val="15"/>
          <w:szCs w:val="15"/>
          <w:color w:val="auto"/>
        </w:rPr>
        <w:t>A valuation allowance is provided against deferred tax assets unless it is more likely than not that they will be realized based on all available positive and negative evidence. Such evidence includes, but is not limited to, recent cumulative earnings or losses, expectations of future taxable income by taxing jurisdiction, and the carry-forward periods available for the utilization of deferred tax assets.</w:t>
      </w:r>
    </w:p>
    <w:p>
      <w:pPr>
        <w:spacing w:after="0" w:line="155" w:lineRule="exact"/>
        <w:rPr>
          <w:sz w:val="20"/>
          <w:szCs w:val="20"/>
          <w:color w:val="auto"/>
        </w:rPr>
      </w:pPr>
    </w:p>
    <w:p>
      <w:pPr>
        <w:ind w:left="1120" w:right="40" w:firstLine="368"/>
        <w:spacing w:after="0" w:line="257" w:lineRule="auto"/>
        <w:rPr>
          <w:sz w:val="20"/>
          <w:szCs w:val="20"/>
          <w:color w:val="auto"/>
        </w:rPr>
      </w:pPr>
      <w:r>
        <w:rPr>
          <w:rFonts w:ascii="Arial" w:cs="Arial" w:eastAsia="Arial" w:hAnsi="Arial"/>
          <w:sz w:val="15"/>
          <w:szCs w:val="15"/>
          <w:color w:val="auto"/>
        </w:rPr>
        <w:t>The Company uses a two-step approach to recognizing and measuring uncertain income tax positions. The first step is to evaluate the tax position for recognition by determining if the weight of available evidence indicates it is more likely than not that the position will be sustained on audit. The second step is to measure the tax benefit as the largest amount, which is more than 50% likely of being realized upon ultimate settlement. The Company recognizes interest and penalties related to unrecognized tax benefits as income tax expense. Significant judgment is required to evaluate uncertain tax positions.</w:t>
      </w:r>
    </w:p>
    <w:p>
      <w:pPr>
        <w:spacing w:after="0" w:line="159" w:lineRule="exact"/>
        <w:rPr>
          <w:sz w:val="20"/>
          <w:szCs w:val="20"/>
          <w:color w:val="auto"/>
        </w:rPr>
      </w:pPr>
    </w:p>
    <w:p>
      <w:pPr>
        <w:ind w:left="1120" w:right="20" w:firstLine="368"/>
        <w:spacing w:after="0" w:line="259" w:lineRule="auto"/>
        <w:rPr>
          <w:sz w:val="20"/>
          <w:szCs w:val="20"/>
          <w:color w:val="auto"/>
        </w:rPr>
      </w:pPr>
      <w:r>
        <w:rPr>
          <w:rFonts w:ascii="Arial" w:cs="Arial" w:eastAsia="Arial" w:hAnsi="Arial"/>
          <w:sz w:val="15"/>
          <w:szCs w:val="15"/>
          <w:color w:val="auto"/>
        </w:rPr>
        <w:t>Although the Company believes that it has adequately reserved for its uncertain tax positions, it can provide no assurance that the final tax outcome of these matters will not be materially different. The Company evaluates its uncertain tax positions on a regular basis and evaluations are based on a number of factors, including changes in facts and circumstances, changes in tax law, such as the Tax Cuts and Jobs Act, correspondence with tax authorities during the course of an audit, and effective settlement of audit issues.</w:t>
      </w:r>
    </w:p>
    <w:p>
      <w:pPr>
        <w:spacing w:after="0" w:line="158" w:lineRule="exact"/>
        <w:rPr>
          <w:sz w:val="20"/>
          <w:szCs w:val="20"/>
          <w:color w:val="auto"/>
        </w:rPr>
      </w:pPr>
    </w:p>
    <w:p>
      <w:pPr>
        <w:ind w:left="1120" w:right="180" w:firstLine="368"/>
        <w:spacing w:after="0" w:line="263" w:lineRule="auto"/>
        <w:rPr>
          <w:sz w:val="20"/>
          <w:szCs w:val="20"/>
          <w:color w:val="auto"/>
        </w:rPr>
      </w:pPr>
      <w:r>
        <w:rPr>
          <w:rFonts w:ascii="Arial" w:cs="Arial" w:eastAsia="Arial" w:hAnsi="Arial"/>
          <w:sz w:val="15"/>
          <w:szCs w:val="15"/>
          <w:color w:val="auto"/>
        </w:rPr>
        <w:t>To the extent that the final tax outcome of these matters is different than the amounts recorded, such differences will affect the provision for income taxes in the period in which such determination is made and could have a material impact on the Company’s financial condition and results of operations.</w:t>
      </w:r>
    </w:p>
    <w:p>
      <w:pPr>
        <w:spacing w:after="0" w:line="245" w:lineRule="exact"/>
        <w:rPr>
          <w:sz w:val="20"/>
          <w:szCs w:val="20"/>
          <w:color w:val="auto"/>
        </w:rPr>
      </w:pPr>
    </w:p>
    <w:p>
      <w:pPr>
        <w:ind w:left="1480"/>
        <w:spacing w:after="0"/>
        <w:rPr>
          <w:sz w:val="20"/>
          <w:szCs w:val="20"/>
          <w:color w:val="auto"/>
        </w:rPr>
      </w:pPr>
      <w:r>
        <w:rPr>
          <w:rFonts w:ascii="Arial" w:cs="Arial" w:eastAsia="Arial" w:hAnsi="Arial"/>
          <w:sz w:val="15"/>
          <w:szCs w:val="15"/>
          <w:b w:val="1"/>
          <w:bCs w:val="1"/>
          <w:i w:val="1"/>
          <w:iCs w:val="1"/>
          <w:color w:val="auto"/>
        </w:rPr>
        <w:t>Fair value measurement</w:t>
      </w:r>
    </w:p>
    <w:p>
      <w:pPr>
        <w:spacing w:after="0" w:line="98" w:lineRule="exact"/>
        <w:rPr>
          <w:sz w:val="20"/>
          <w:szCs w:val="20"/>
          <w:color w:val="auto"/>
        </w:rPr>
      </w:pPr>
    </w:p>
    <w:p>
      <w:pPr>
        <w:ind w:left="1120" w:right="20" w:firstLine="368"/>
        <w:spacing w:after="0" w:line="254" w:lineRule="auto"/>
        <w:rPr>
          <w:sz w:val="20"/>
          <w:szCs w:val="20"/>
          <w:color w:val="auto"/>
        </w:rPr>
      </w:pPr>
      <w:r>
        <w:rPr>
          <w:rFonts w:ascii="Arial" w:cs="Arial" w:eastAsia="Arial" w:hAnsi="Arial"/>
          <w:sz w:val="15"/>
          <w:szCs w:val="15"/>
          <w:color w:val="auto"/>
        </w:rPr>
        <w:t>The Company applies fair value accounting for all financial assets and liabilities and non-financial assets and liabilities that are recognized or disclosed at fair value in the financial statements on a recurring basis. The Company defines fair value as the price that would be received from selling an asset or paid to transfer a liability in an orderly transaction between market participants at the measurement date. When determining fair value measurements for assets and liabilities, the Company considers the principal or most advantageous market in which it would transact and the market-based risk measurements or assumptions that market participants would use in pricing the asset or liability, such as risks inherent in valuation techniques, transfer restrictions, and credit risk. Fair value is estimated by applying the following hierarchy, which prioritizes the inputs used to measure fair value into three levels and bases the categorization within the hierarchy upon the lowest level of input that is available and significant to the fair value measurement:</w:t>
      </w:r>
    </w:p>
    <w:p>
      <w:pPr>
        <w:spacing w:after="0" w:line="73" w:lineRule="exact"/>
        <w:rPr>
          <w:sz w:val="20"/>
          <w:szCs w:val="20"/>
          <w:color w:val="auto"/>
        </w:rPr>
      </w:pPr>
    </w:p>
    <w:p>
      <w:pPr>
        <w:ind w:left="1480"/>
        <w:spacing w:after="0"/>
        <w:rPr>
          <w:sz w:val="20"/>
          <w:szCs w:val="20"/>
          <w:color w:val="auto"/>
        </w:rPr>
      </w:pPr>
      <w:r>
        <w:rPr>
          <w:rFonts w:ascii="Arial" w:cs="Arial" w:eastAsia="Arial" w:hAnsi="Arial"/>
          <w:sz w:val="15"/>
          <w:szCs w:val="15"/>
          <w:i w:val="1"/>
          <w:iCs w:val="1"/>
          <w:color w:val="auto"/>
        </w:rPr>
        <w:t>Level 1</w:t>
      </w:r>
      <w:r>
        <w:rPr>
          <w:rFonts w:ascii="Arial" w:cs="Arial" w:eastAsia="Arial" w:hAnsi="Arial"/>
          <w:sz w:val="15"/>
          <w:szCs w:val="15"/>
          <w:color w:val="auto"/>
        </w:rPr>
        <w:t>—Quoted prices in active markets for identical assets or liabilities.</w:t>
      </w:r>
    </w:p>
    <w:p>
      <w:pPr>
        <w:spacing w:after="0" w:line="98" w:lineRule="exact"/>
        <w:rPr>
          <w:sz w:val="20"/>
          <w:szCs w:val="20"/>
          <w:color w:val="auto"/>
        </w:rPr>
      </w:pPr>
    </w:p>
    <w:p>
      <w:pPr>
        <w:ind w:left="1480" w:right="320"/>
        <w:spacing w:after="0" w:line="275" w:lineRule="auto"/>
        <w:rPr>
          <w:sz w:val="20"/>
          <w:szCs w:val="20"/>
          <w:color w:val="auto"/>
        </w:rPr>
      </w:pPr>
      <w:r>
        <w:rPr>
          <w:rFonts w:ascii="Arial" w:cs="Arial" w:eastAsia="Arial" w:hAnsi="Arial"/>
          <w:sz w:val="15"/>
          <w:szCs w:val="15"/>
          <w:i w:val="1"/>
          <w:iCs w:val="1"/>
          <w:color w:val="auto"/>
        </w:rPr>
        <w:t>Level 2</w:t>
      </w:r>
      <w:r>
        <w:rPr>
          <w:rFonts w:ascii="Arial" w:cs="Arial" w:eastAsia="Arial" w:hAnsi="Arial"/>
          <w:sz w:val="15"/>
          <w:szCs w:val="15"/>
          <w:color w:val="auto"/>
        </w:rPr>
        <w:t>—Observable inputs other than quoted prices in active markets for identical assets and liabilities, quoted prices for identical or similar</w:t>
      </w:r>
      <w:r>
        <w:rPr>
          <w:rFonts w:ascii="Arial" w:cs="Arial" w:eastAsia="Arial" w:hAnsi="Arial"/>
          <w:sz w:val="15"/>
          <w:szCs w:val="15"/>
          <w:i w:val="1"/>
          <w:iCs w:val="1"/>
          <w:color w:val="auto"/>
        </w:rPr>
        <w:t xml:space="preserve"> </w:t>
      </w:r>
      <w:r>
        <w:rPr>
          <w:rFonts w:ascii="Arial" w:cs="Arial" w:eastAsia="Arial" w:hAnsi="Arial"/>
          <w:sz w:val="15"/>
          <w:szCs w:val="15"/>
          <w:color w:val="auto"/>
        </w:rPr>
        <w:t>assets or liabilities in inactive markets, or other inputs that are</w:t>
      </w:r>
    </w:p>
    <w:p>
      <w:pPr>
        <w:spacing w:after="0" w:line="90" w:lineRule="exact"/>
        <w:rPr>
          <w:sz w:val="20"/>
          <w:szCs w:val="20"/>
          <w:color w:val="auto"/>
        </w:rPr>
      </w:pPr>
    </w:p>
    <w:p>
      <w:pPr>
        <w:ind w:left="5580"/>
        <w:spacing w:after="0"/>
        <w:rPr>
          <w:sz w:val="20"/>
          <w:szCs w:val="20"/>
          <w:color w:val="auto"/>
        </w:rPr>
      </w:pPr>
      <w:r>
        <w:rPr>
          <w:rFonts w:ascii="Arial" w:cs="Arial" w:eastAsia="Arial" w:hAnsi="Arial"/>
          <w:sz w:val="15"/>
          <w:szCs w:val="15"/>
          <w:color w:val="auto"/>
        </w:rPr>
        <w:t>F-17</w:t>
      </w:r>
    </w:p>
    <w:p>
      <w:pPr>
        <w:sectPr>
          <w:pgSz w:w="11900" w:h="16838" w:orient="portrait"/>
          <w:cols w:equalWidth="0" w:num="1">
            <w:col w:w="10300"/>
          </w:cols>
          <w:pgMar w:left="240" w:top="408" w:right="1359" w:bottom="1440" w:gutter="0" w:footer="0" w:header="0"/>
        </w:sectPr>
      </w:pPr>
    </w:p>
    <w:bookmarkStart w:id="220" w:name="page221"/>
    <w:bookmarkEnd w:id="220"/>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133350</wp:posOffset>
            </wp:positionH>
            <wp:positionV relativeFrom="page">
              <wp:posOffset>88900</wp:posOffset>
            </wp:positionV>
            <wp:extent cx="7308850" cy="3429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308850" cy="34290"/>
                    </a:xfrm>
                    <a:prstGeom prst="rect">
                      <a:avLst/>
                    </a:prstGeom>
                    <a:noFill/>
                  </pic:spPr>
                </pic:pic>
              </a:graphicData>
            </a:graphic>
          </wp:anchor>
        </w:drawing>
      </w:r>
      <w:hyperlink w:anchor="page7">
        <w:r>
          <w:rPr>
            <w:rFonts w:ascii="Arial" w:cs="Arial" w:eastAsia="Arial" w:hAnsi="Arial"/>
            <w:sz w:val="15"/>
            <w:szCs w:val="15"/>
            <w:b w:val="1"/>
            <w:bCs w:val="1"/>
            <w:u w:val="single" w:color="auto"/>
            <w:color w:val="0000EE"/>
          </w:rPr>
          <w:t>Table of Contents</w:t>
        </w:r>
      </w:hyperlink>
    </w:p>
    <w:p>
      <w:pPr>
        <w:spacing w:after="0" w:line="260" w:lineRule="exact"/>
        <w:rPr>
          <w:sz w:val="20"/>
          <w:szCs w:val="20"/>
          <w:color w:val="auto"/>
        </w:rPr>
      </w:pPr>
    </w:p>
    <w:p>
      <w:pPr>
        <w:ind w:left="1480"/>
        <w:spacing w:after="0"/>
        <w:rPr>
          <w:sz w:val="20"/>
          <w:szCs w:val="20"/>
          <w:color w:val="auto"/>
        </w:rPr>
      </w:pPr>
      <w:r>
        <w:rPr>
          <w:rFonts w:ascii="Arial" w:cs="Arial" w:eastAsia="Arial" w:hAnsi="Arial"/>
          <w:sz w:val="15"/>
          <w:szCs w:val="15"/>
          <w:color w:val="auto"/>
        </w:rPr>
        <w:t>observable or can be corroborated by observable market data for substantially the full term of the assets or liabilities.</w:t>
      </w:r>
    </w:p>
    <w:p>
      <w:pPr>
        <w:spacing w:after="0" w:line="98" w:lineRule="exact"/>
        <w:rPr>
          <w:sz w:val="20"/>
          <w:szCs w:val="20"/>
          <w:color w:val="auto"/>
        </w:rPr>
      </w:pPr>
    </w:p>
    <w:p>
      <w:pPr>
        <w:ind w:left="1480"/>
        <w:spacing w:after="0" w:line="275" w:lineRule="auto"/>
        <w:rPr>
          <w:sz w:val="20"/>
          <w:szCs w:val="20"/>
          <w:color w:val="auto"/>
        </w:rPr>
      </w:pPr>
      <w:r>
        <w:rPr>
          <w:rFonts w:ascii="Arial" w:cs="Arial" w:eastAsia="Arial" w:hAnsi="Arial"/>
          <w:sz w:val="15"/>
          <w:szCs w:val="15"/>
          <w:i w:val="1"/>
          <w:iCs w:val="1"/>
          <w:color w:val="auto"/>
        </w:rPr>
        <w:t>Level 3</w:t>
      </w:r>
      <w:r>
        <w:rPr>
          <w:rFonts w:ascii="Arial" w:cs="Arial" w:eastAsia="Arial" w:hAnsi="Arial"/>
          <w:sz w:val="15"/>
          <w:szCs w:val="15"/>
          <w:color w:val="auto"/>
        </w:rPr>
        <w:t>—Inputs that are generally unobservable and typically reflect management’s estimate of assumptions that market participants would use in</w:t>
      </w:r>
      <w:r>
        <w:rPr>
          <w:rFonts w:ascii="Arial" w:cs="Arial" w:eastAsia="Arial" w:hAnsi="Arial"/>
          <w:sz w:val="15"/>
          <w:szCs w:val="15"/>
          <w:i w:val="1"/>
          <w:iCs w:val="1"/>
          <w:color w:val="auto"/>
        </w:rPr>
        <w:t xml:space="preserve"> </w:t>
      </w:r>
      <w:r>
        <w:rPr>
          <w:rFonts w:ascii="Arial" w:cs="Arial" w:eastAsia="Arial" w:hAnsi="Arial"/>
          <w:sz w:val="15"/>
          <w:szCs w:val="15"/>
          <w:color w:val="auto"/>
        </w:rPr>
        <w:t>pricing the asset or liability.</w:t>
      </w:r>
    </w:p>
    <w:p>
      <w:pPr>
        <w:spacing w:after="0" w:line="236" w:lineRule="exact"/>
        <w:rPr>
          <w:sz w:val="20"/>
          <w:szCs w:val="20"/>
          <w:color w:val="auto"/>
        </w:rPr>
      </w:pPr>
    </w:p>
    <w:p>
      <w:pPr>
        <w:ind w:left="1480"/>
        <w:spacing w:after="0"/>
        <w:rPr>
          <w:sz w:val="20"/>
          <w:szCs w:val="20"/>
          <w:color w:val="auto"/>
        </w:rPr>
      </w:pPr>
      <w:r>
        <w:rPr>
          <w:rFonts w:ascii="Arial" w:cs="Arial" w:eastAsia="Arial" w:hAnsi="Arial"/>
          <w:sz w:val="15"/>
          <w:szCs w:val="15"/>
          <w:b w:val="1"/>
          <w:bCs w:val="1"/>
          <w:i w:val="1"/>
          <w:iCs w:val="1"/>
          <w:color w:val="auto"/>
        </w:rPr>
        <w:t>Recently issued accounting pronouncements not yet adopted</w:t>
      </w:r>
    </w:p>
    <w:p>
      <w:pPr>
        <w:spacing w:after="0" w:line="98" w:lineRule="exact"/>
        <w:rPr>
          <w:sz w:val="20"/>
          <w:szCs w:val="20"/>
          <w:color w:val="auto"/>
        </w:rPr>
      </w:pPr>
    </w:p>
    <w:p>
      <w:pPr>
        <w:ind w:left="1120" w:firstLine="368"/>
        <w:spacing w:after="0" w:line="259" w:lineRule="auto"/>
        <w:rPr>
          <w:sz w:val="20"/>
          <w:szCs w:val="20"/>
          <w:color w:val="auto"/>
        </w:rPr>
      </w:pPr>
      <w:r>
        <w:rPr>
          <w:rFonts w:ascii="Arial" w:cs="Arial" w:eastAsia="Arial" w:hAnsi="Arial"/>
          <w:sz w:val="15"/>
          <w:szCs w:val="15"/>
          <w:color w:val="auto"/>
        </w:rPr>
        <w:t xml:space="preserve">In October 2016, the FASB issued ASU No. 2016-16, </w:t>
      </w:r>
      <w:r>
        <w:rPr>
          <w:rFonts w:ascii="Arial" w:cs="Arial" w:eastAsia="Arial" w:hAnsi="Arial"/>
          <w:sz w:val="15"/>
          <w:szCs w:val="15"/>
          <w:i w:val="1"/>
          <w:iCs w:val="1"/>
          <w:color w:val="auto"/>
        </w:rPr>
        <w:t>Income Taxes: Intra-Entity Transfers Other than Inventory (Topic 740)</w:t>
      </w:r>
      <w:r>
        <w:rPr>
          <w:rFonts w:ascii="Arial" w:cs="Arial" w:eastAsia="Arial" w:hAnsi="Arial"/>
          <w:sz w:val="15"/>
          <w:szCs w:val="15"/>
          <w:color w:val="auto"/>
        </w:rPr>
        <w:t>, which requires entities to recognize the income tax consequences of an intra-entity transfer of an asset other than inventory when the transfer occurs. ASU 2016-16 is effective for fiscal years beginning after December 15, 2018. Early adoption is permitted. The Company does not expect the adoption to have a material impact on its consolidated financial statements.</w:t>
      </w:r>
    </w:p>
    <w:p>
      <w:pPr>
        <w:spacing w:after="0" w:line="158" w:lineRule="exact"/>
        <w:rPr>
          <w:sz w:val="20"/>
          <w:szCs w:val="20"/>
          <w:color w:val="auto"/>
        </w:rPr>
      </w:pPr>
    </w:p>
    <w:p>
      <w:pPr>
        <w:ind w:left="1120" w:right="20" w:firstLine="368"/>
        <w:spacing w:after="0" w:line="272" w:lineRule="auto"/>
        <w:rPr>
          <w:sz w:val="20"/>
          <w:szCs w:val="20"/>
          <w:color w:val="auto"/>
        </w:rPr>
      </w:pPr>
      <w:r>
        <w:rPr>
          <w:rFonts w:ascii="Arial" w:cs="Arial" w:eastAsia="Arial" w:hAnsi="Arial"/>
          <w:sz w:val="14"/>
          <w:szCs w:val="14"/>
          <w:color w:val="auto"/>
        </w:rPr>
        <w:t xml:space="preserve">In February 2016, the FASB issued ASU No. 2016-02, </w:t>
      </w:r>
      <w:r>
        <w:rPr>
          <w:rFonts w:ascii="Arial" w:cs="Arial" w:eastAsia="Arial" w:hAnsi="Arial"/>
          <w:sz w:val="14"/>
          <w:szCs w:val="14"/>
          <w:i w:val="1"/>
          <w:iCs w:val="1"/>
          <w:color w:val="auto"/>
        </w:rPr>
        <w:t>Leases (Topic 842)</w:t>
      </w:r>
      <w:r>
        <w:rPr>
          <w:rFonts w:ascii="Arial" w:cs="Arial" w:eastAsia="Arial" w:hAnsi="Arial"/>
          <w:sz w:val="14"/>
          <w:szCs w:val="14"/>
          <w:color w:val="auto"/>
        </w:rPr>
        <w:t>. Most prominent among the changes in the standard is the recognition of right of use assets and lease liabilities by lessees for those leases classified as operating leases under current GAAP. Under the standard, disclosures are required to meet the objective of enabling users of financial statements to assess the amount, timing, and uncertainty of cash flows arising from leases. The Company will be required to recognize and measure leases existing at, or entered into after, the beginning of the earliest comparative period presented using a modified retrospective approach, with certain practical expedients available. The new standard is effective for fiscal years beginning after December 15, 2018. Early adoption by public entities is permitted. The Company is in the initial stage of its assessment of the new standard and is currently evaluating the timing of adoption, the quantitative impact of adoption, and the related disclosure requirements. The Company anticipates the adoption of this standard will result in a substantial increase in its non-current assets and liabilities recorded on the consolidated balance sheets. The adoption of the standard is not expected to have a material impact on the consolidated statement of operations. While the Company is assessing all potential impacts of the adoption of the standard, it currently expects the most significant impact to be the capitalization of right-to-use assets and lease liabilities for its office space and datacenter operating leases. The Company expects its accounting for capital leases related to infrastructure equipment to remain substantially unchanged under the new standard.</w:t>
      </w:r>
    </w:p>
    <w:p>
      <w:pPr>
        <w:spacing w:after="0" w:line="247" w:lineRule="exact"/>
        <w:rPr>
          <w:sz w:val="20"/>
          <w:szCs w:val="20"/>
          <w:color w:val="auto"/>
        </w:rPr>
      </w:pPr>
    </w:p>
    <w:p>
      <w:pPr>
        <w:ind w:left="1480"/>
        <w:spacing w:after="0"/>
        <w:rPr>
          <w:sz w:val="20"/>
          <w:szCs w:val="20"/>
          <w:color w:val="auto"/>
        </w:rPr>
      </w:pPr>
      <w:r>
        <w:rPr>
          <w:rFonts w:ascii="Arial" w:cs="Arial" w:eastAsia="Arial" w:hAnsi="Arial"/>
          <w:sz w:val="15"/>
          <w:szCs w:val="15"/>
          <w:b w:val="1"/>
          <w:bCs w:val="1"/>
          <w:i w:val="1"/>
          <w:iCs w:val="1"/>
          <w:color w:val="auto"/>
        </w:rPr>
        <w:t>Recently adopted accounting pronouncements</w:t>
      </w:r>
    </w:p>
    <w:p>
      <w:pPr>
        <w:spacing w:after="0" w:line="98" w:lineRule="exact"/>
        <w:rPr>
          <w:sz w:val="20"/>
          <w:szCs w:val="20"/>
          <w:color w:val="auto"/>
        </w:rPr>
      </w:pPr>
    </w:p>
    <w:p>
      <w:pPr>
        <w:ind w:left="1120" w:right="40" w:firstLine="368"/>
        <w:spacing w:after="0" w:line="255" w:lineRule="auto"/>
        <w:rPr>
          <w:sz w:val="20"/>
          <w:szCs w:val="20"/>
          <w:color w:val="auto"/>
        </w:rPr>
      </w:pPr>
      <w:r>
        <w:rPr>
          <w:rFonts w:ascii="Arial" w:cs="Arial" w:eastAsia="Arial" w:hAnsi="Arial"/>
          <w:sz w:val="15"/>
          <w:szCs w:val="15"/>
          <w:color w:val="auto"/>
        </w:rPr>
        <w:t xml:space="preserve">In May 2014, the FASB issued ASU No. 2014-09, </w:t>
      </w:r>
      <w:r>
        <w:rPr>
          <w:rFonts w:ascii="Arial" w:cs="Arial" w:eastAsia="Arial" w:hAnsi="Arial"/>
          <w:sz w:val="15"/>
          <w:szCs w:val="15"/>
          <w:i w:val="1"/>
          <w:iCs w:val="1"/>
          <w:color w:val="auto"/>
        </w:rPr>
        <w:t>Revenue from Contracts with Customers (Topic 606)</w:t>
      </w:r>
      <w:r>
        <w:rPr>
          <w:rFonts w:ascii="Arial" w:cs="Arial" w:eastAsia="Arial" w:hAnsi="Arial"/>
          <w:sz w:val="15"/>
          <w:szCs w:val="15"/>
          <w:color w:val="auto"/>
        </w:rPr>
        <w:t xml:space="preserve"> and Subtopic 340-40, </w:t>
      </w:r>
      <w:r>
        <w:rPr>
          <w:rFonts w:ascii="Arial" w:cs="Arial" w:eastAsia="Arial" w:hAnsi="Arial"/>
          <w:sz w:val="15"/>
          <w:szCs w:val="15"/>
          <w:i w:val="1"/>
          <w:iCs w:val="1"/>
          <w:color w:val="auto"/>
        </w:rPr>
        <w:t>Other Assets and</w:t>
      </w:r>
      <w:r>
        <w:rPr>
          <w:rFonts w:ascii="Arial" w:cs="Arial" w:eastAsia="Arial" w:hAnsi="Arial"/>
          <w:sz w:val="15"/>
          <w:szCs w:val="15"/>
          <w:color w:val="auto"/>
        </w:rPr>
        <w:t xml:space="preserve"> </w:t>
      </w:r>
      <w:r>
        <w:rPr>
          <w:rFonts w:ascii="Arial" w:cs="Arial" w:eastAsia="Arial" w:hAnsi="Arial"/>
          <w:sz w:val="15"/>
          <w:szCs w:val="15"/>
          <w:i w:val="1"/>
          <w:iCs w:val="1"/>
          <w:color w:val="auto"/>
        </w:rPr>
        <w:t>Deferred Costs—Contracts with Customers (Subtopic 340-40)</w:t>
      </w:r>
      <w:r>
        <w:rPr>
          <w:rFonts w:ascii="Arial" w:cs="Arial" w:eastAsia="Arial" w:hAnsi="Arial"/>
          <w:sz w:val="15"/>
          <w:szCs w:val="15"/>
          <w:color w:val="auto"/>
        </w:rPr>
        <w:t>. Topic 606 supersedes the revenue recognition requirements in Accounting Standards</w:t>
      </w:r>
      <w:r>
        <w:rPr>
          <w:rFonts w:ascii="Arial" w:cs="Arial" w:eastAsia="Arial" w:hAnsi="Arial"/>
          <w:sz w:val="15"/>
          <w:szCs w:val="15"/>
          <w:i w:val="1"/>
          <w:iCs w:val="1"/>
          <w:color w:val="auto"/>
        </w:rPr>
        <w:t xml:space="preserve"> </w:t>
      </w:r>
      <w:r>
        <w:rPr>
          <w:rFonts w:ascii="Arial" w:cs="Arial" w:eastAsia="Arial" w:hAnsi="Arial"/>
          <w:sz w:val="15"/>
          <w:szCs w:val="15"/>
          <w:color w:val="auto"/>
        </w:rPr>
        <w:t xml:space="preserve">Codification Topic 605, </w:t>
      </w:r>
      <w:r>
        <w:rPr>
          <w:rFonts w:ascii="Arial" w:cs="Arial" w:eastAsia="Arial" w:hAnsi="Arial"/>
          <w:sz w:val="15"/>
          <w:szCs w:val="15"/>
          <w:i w:val="1"/>
          <w:iCs w:val="1"/>
          <w:color w:val="auto"/>
        </w:rPr>
        <w:t>Revenue Recognition (Topic 605)</w:t>
      </w:r>
      <w:r>
        <w:rPr>
          <w:rFonts w:ascii="Arial" w:cs="Arial" w:eastAsia="Arial" w:hAnsi="Arial"/>
          <w:sz w:val="15"/>
          <w:szCs w:val="15"/>
          <w:color w:val="auto"/>
        </w:rPr>
        <w:t>, and requires the recognition of revenue when promised goods or services are transferred to customers in an amount that reflects the considerations to which the entity expects to be entitled to in exchange for those goods or services. Subtopic 340-40 requires the deferral of incremental costs of obtaining a contract with a customer. Collectively, reference to Topic 606 used herein refers to both Topic 606 and Subtopic 340-40.</w:t>
      </w:r>
    </w:p>
    <w:p>
      <w:pPr>
        <w:spacing w:after="0" w:line="164" w:lineRule="exact"/>
        <w:rPr>
          <w:sz w:val="20"/>
          <w:szCs w:val="20"/>
          <w:color w:val="auto"/>
        </w:rPr>
      </w:pPr>
    </w:p>
    <w:p>
      <w:pPr>
        <w:ind w:left="1120" w:right="100" w:firstLine="368"/>
        <w:spacing w:after="0" w:line="312" w:lineRule="auto"/>
        <w:rPr>
          <w:sz w:val="20"/>
          <w:szCs w:val="20"/>
          <w:color w:val="auto"/>
        </w:rPr>
      </w:pPr>
      <w:r>
        <w:rPr>
          <w:rFonts w:ascii="Arial" w:cs="Arial" w:eastAsia="Arial" w:hAnsi="Arial"/>
          <w:sz w:val="14"/>
          <w:szCs w:val="14"/>
          <w:color w:val="auto"/>
        </w:rPr>
        <w:t>The Company adopted the requirements of Topic 606 as of January 1, 2017, utilizing the full retrospective method of transition. The adoption of Topic 606 resulted in changes to accounting policies for revenue recognition, trade and other receivables, and deferred commissions.</w:t>
      </w:r>
    </w:p>
    <w:p>
      <w:pPr>
        <w:spacing w:after="0" w:line="123" w:lineRule="exact"/>
        <w:rPr>
          <w:sz w:val="20"/>
          <w:szCs w:val="20"/>
          <w:color w:val="auto"/>
        </w:rPr>
      </w:pPr>
    </w:p>
    <w:p>
      <w:pPr>
        <w:ind w:left="1480"/>
        <w:spacing w:after="0"/>
        <w:rPr>
          <w:sz w:val="20"/>
          <w:szCs w:val="20"/>
          <w:color w:val="auto"/>
        </w:rPr>
      </w:pPr>
      <w:r>
        <w:rPr>
          <w:rFonts w:ascii="Arial" w:cs="Arial" w:eastAsia="Arial" w:hAnsi="Arial"/>
          <w:sz w:val="14"/>
          <w:szCs w:val="14"/>
          <w:color w:val="auto"/>
        </w:rPr>
        <w:t>The impact of adopting Topic 606 on the Company’s revenue is not material to any of the periods presented. The primary impact of adopting</w:t>
      </w:r>
    </w:p>
    <w:p>
      <w:pPr>
        <w:spacing w:after="0" w:line="29" w:lineRule="exact"/>
        <w:rPr>
          <w:sz w:val="20"/>
          <w:szCs w:val="20"/>
          <w:color w:val="auto"/>
        </w:rPr>
      </w:pPr>
    </w:p>
    <w:p>
      <w:pPr>
        <w:ind w:left="1120"/>
        <w:spacing w:after="0"/>
        <w:rPr>
          <w:sz w:val="20"/>
          <w:szCs w:val="20"/>
          <w:color w:val="auto"/>
        </w:rPr>
      </w:pPr>
      <w:r>
        <w:rPr>
          <w:rFonts w:ascii="Arial" w:cs="Arial" w:eastAsia="Arial" w:hAnsi="Arial"/>
          <w:sz w:val="13"/>
          <w:szCs w:val="13"/>
          <w:color w:val="auto"/>
        </w:rPr>
        <w:t>Topic 606 relates to the deferral of incremental costs of obtaining customer contracts and the amortization of those costs over a longer period of benefit.</w:t>
      </w:r>
    </w:p>
    <w:p>
      <w:pPr>
        <w:spacing w:after="0" w:line="31" w:lineRule="exact"/>
        <w:rPr>
          <w:sz w:val="20"/>
          <w:szCs w:val="20"/>
          <w:color w:val="auto"/>
        </w:rPr>
      </w:pPr>
    </w:p>
    <w:p>
      <w:pPr>
        <w:ind w:left="1120"/>
        <w:spacing w:after="0"/>
        <w:rPr>
          <w:sz w:val="20"/>
          <w:szCs w:val="20"/>
          <w:color w:val="auto"/>
        </w:rPr>
      </w:pPr>
      <w:r>
        <w:rPr>
          <w:rFonts w:ascii="Arial" w:cs="Arial" w:eastAsia="Arial" w:hAnsi="Arial"/>
          <w:sz w:val="13"/>
          <w:szCs w:val="13"/>
          <w:color w:val="auto"/>
        </w:rPr>
        <w:t>Under Topic 606, the Company defers all incremental costs to obtain the contract, which primarily include sales commissions and related payroll taxes.</w:t>
      </w:r>
    </w:p>
    <w:p>
      <w:pPr>
        <w:spacing w:after="0" w:line="31" w:lineRule="exact"/>
        <w:rPr>
          <w:sz w:val="20"/>
          <w:szCs w:val="20"/>
          <w:color w:val="auto"/>
        </w:rPr>
      </w:pPr>
    </w:p>
    <w:p>
      <w:pPr>
        <w:ind w:left="1120"/>
        <w:spacing w:after="0"/>
        <w:rPr>
          <w:sz w:val="20"/>
          <w:szCs w:val="20"/>
          <w:color w:val="auto"/>
        </w:rPr>
      </w:pPr>
      <w:r>
        <w:rPr>
          <w:rFonts w:ascii="Arial" w:cs="Arial" w:eastAsia="Arial" w:hAnsi="Arial"/>
          <w:sz w:val="15"/>
          <w:szCs w:val="15"/>
          <w:color w:val="auto"/>
        </w:rPr>
        <w:t>The Company amortizes these costs over a period of benefit of five years.</w:t>
      </w:r>
    </w:p>
    <w:p>
      <w:pPr>
        <w:spacing w:after="0" w:line="179" w:lineRule="exact"/>
        <w:rPr>
          <w:sz w:val="20"/>
          <w:szCs w:val="20"/>
          <w:color w:val="auto"/>
        </w:rPr>
      </w:pPr>
    </w:p>
    <w:p>
      <w:pPr>
        <w:ind w:left="1120" w:right="260" w:firstLine="368"/>
        <w:spacing w:after="0" w:line="275" w:lineRule="auto"/>
        <w:rPr>
          <w:sz w:val="20"/>
          <w:szCs w:val="20"/>
          <w:color w:val="auto"/>
        </w:rPr>
      </w:pPr>
      <w:r>
        <w:rPr>
          <w:rFonts w:ascii="Arial" w:cs="Arial" w:eastAsia="Arial" w:hAnsi="Arial"/>
          <w:sz w:val="15"/>
          <w:szCs w:val="15"/>
          <w:color w:val="auto"/>
        </w:rPr>
        <w:t xml:space="preserve">In May 2017, the FASB issued ASU No. 2017-09, </w:t>
      </w:r>
      <w:r>
        <w:rPr>
          <w:rFonts w:ascii="Arial" w:cs="Arial" w:eastAsia="Arial" w:hAnsi="Arial"/>
          <w:sz w:val="15"/>
          <w:szCs w:val="15"/>
          <w:i w:val="1"/>
          <w:iCs w:val="1"/>
          <w:color w:val="auto"/>
        </w:rPr>
        <w:t>Compensation-Stock Compensation (Topic 718): Scope of Modification Accounting,</w:t>
      </w:r>
      <w:r>
        <w:rPr>
          <w:rFonts w:ascii="Arial" w:cs="Arial" w:eastAsia="Arial" w:hAnsi="Arial"/>
          <w:sz w:val="15"/>
          <w:szCs w:val="15"/>
          <w:color w:val="auto"/>
        </w:rPr>
        <w:t xml:space="preserve"> which amends the guidance in ASC Topic 718. The standard provides clarity and</w:t>
      </w:r>
    </w:p>
    <w:p>
      <w:pPr>
        <w:spacing w:after="0" w:line="90" w:lineRule="exact"/>
        <w:rPr>
          <w:sz w:val="20"/>
          <w:szCs w:val="20"/>
          <w:color w:val="auto"/>
        </w:rPr>
      </w:pPr>
    </w:p>
    <w:p>
      <w:pPr>
        <w:ind w:left="5580"/>
        <w:spacing w:after="0"/>
        <w:rPr>
          <w:sz w:val="20"/>
          <w:szCs w:val="20"/>
          <w:color w:val="auto"/>
        </w:rPr>
      </w:pPr>
      <w:r>
        <w:rPr>
          <w:rFonts w:ascii="Arial" w:cs="Arial" w:eastAsia="Arial" w:hAnsi="Arial"/>
          <w:sz w:val="15"/>
          <w:szCs w:val="15"/>
          <w:color w:val="auto"/>
        </w:rPr>
        <w:t>F-18</w:t>
      </w:r>
    </w:p>
    <w:p>
      <w:pPr>
        <w:sectPr>
          <w:pgSz w:w="11900" w:h="16838" w:orient="portrait"/>
          <w:cols w:equalWidth="0" w:num="1">
            <w:col w:w="10260"/>
          </w:cols>
          <w:pgMar w:left="240" w:top="407" w:right="1399" w:bottom="1440" w:gutter="0" w:footer="0" w:header="0"/>
        </w:sectPr>
      </w:pPr>
    </w:p>
    <w:bookmarkStart w:id="221" w:name="page222"/>
    <w:bookmarkEnd w:id="221"/>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133350</wp:posOffset>
            </wp:positionH>
            <wp:positionV relativeFrom="page">
              <wp:posOffset>88900</wp:posOffset>
            </wp:positionV>
            <wp:extent cx="7308850" cy="3429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308850" cy="34290"/>
                    </a:xfrm>
                    <a:prstGeom prst="rect">
                      <a:avLst/>
                    </a:prstGeom>
                    <a:noFill/>
                  </pic:spPr>
                </pic:pic>
              </a:graphicData>
            </a:graphic>
          </wp:anchor>
        </w:drawing>
      </w:r>
      <w:hyperlink w:anchor="page7">
        <w:r>
          <w:rPr>
            <w:rFonts w:ascii="Arial" w:cs="Arial" w:eastAsia="Arial" w:hAnsi="Arial"/>
            <w:sz w:val="15"/>
            <w:szCs w:val="15"/>
            <w:b w:val="1"/>
            <w:bCs w:val="1"/>
            <w:u w:val="single" w:color="auto"/>
            <w:color w:val="0000EE"/>
          </w:rPr>
          <w:t>Table of Contents</w:t>
        </w:r>
      </w:hyperlink>
    </w:p>
    <w:p>
      <w:pPr>
        <w:spacing w:after="0" w:line="260" w:lineRule="exact"/>
        <w:rPr>
          <w:sz w:val="20"/>
          <w:szCs w:val="20"/>
          <w:color w:val="auto"/>
        </w:rPr>
      </w:pPr>
    </w:p>
    <w:p>
      <w:pPr>
        <w:ind w:left="1120" w:right="20"/>
        <w:spacing w:after="0" w:line="259" w:lineRule="auto"/>
        <w:rPr>
          <w:sz w:val="20"/>
          <w:szCs w:val="20"/>
          <w:color w:val="auto"/>
        </w:rPr>
      </w:pPr>
      <w:r>
        <w:rPr>
          <w:rFonts w:ascii="Arial" w:cs="Arial" w:eastAsia="Arial" w:hAnsi="Arial"/>
          <w:sz w:val="15"/>
          <w:szCs w:val="15"/>
          <w:color w:val="auto"/>
        </w:rPr>
        <w:t>reduces the cost and complexity when applying the guidance in ASC Topic 718 to a change to the terms or conditions of a share-based payment award. ASU No. 2017-09 is effective for fiscal years beginning after December 15, 2017, and interim periods within those years, with early adoption permitted. The Company elected to adopt ASU No. 2017-09 in the fourth quarter of 2017 on a prospective basis. The adoption of the guidance did not have a material impact on the consolidated financial statements.</w:t>
      </w:r>
    </w:p>
    <w:p>
      <w:pPr>
        <w:spacing w:after="0" w:line="158" w:lineRule="exact"/>
        <w:rPr>
          <w:sz w:val="20"/>
          <w:szCs w:val="20"/>
          <w:color w:val="auto"/>
        </w:rPr>
      </w:pPr>
    </w:p>
    <w:p>
      <w:pPr>
        <w:ind w:left="1120" w:right="40" w:firstLine="368"/>
        <w:spacing w:after="0" w:line="255" w:lineRule="auto"/>
        <w:rPr>
          <w:sz w:val="20"/>
          <w:szCs w:val="20"/>
          <w:color w:val="auto"/>
        </w:rPr>
      </w:pPr>
      <w:r>
        <w:rPr>
          <w:rFonts w:ascii="Arial" w:cs="Arial" w:eastAsia="Arial" w:hAnsi="Arial"/>
          <w:sz w:val="15"/>
          <w:szCs w:val="15"/>
          <w:color w:val="auto"/>
        </w:rPr>
        <w:t xml:space="preserve">In January 2017, the FASB issued ASU No. 2017-04, </w:t>
      </w:r>
      <w:r>
        <w:rPr>
          <w:rFonts w:ascii="Arial" w:cs="Arial" w:eastAsia="Arial" w:hAnsi="Arial"/>
          <w:sz w:val="15"/>
          <w:szCs w:val="15"/>
          <w:i w:val="1"/>
          <w:iCs w:val="1"/>
          <w:color w:val="auto"/>
        </w:rPr>
        <w:t>Goodwill and Other, Simplifying the Test for Goodwill Impairment (Topic 350)</w:t>
      </w:r>
      <w:r>
        <w:rPr>
          <w:rFonts w:ascii="Arial" w:cs="Arial" w:eastAsia="Arial" w:hAnsi="Arial"/>
          <w:sz w:val="15"/>
          <w:szCs w:val="15"/>
          <w:color w:val="auto"/>
        </w:rPr>
        <w:t>, which amends the guidance in ASC Topic 350 to eliminate Step 2 from the goodwill impairment test. The updated guidance requires an entity to perform its annual or interim goodwill impairment test by comparing the fair value of a reporting unit with its carrying amount and recognize an impairment charge for the amount by which the carrying amount exceeds the reporting unit’s fair value not to exceed the total amount of goodwill allocated to that reporting unit. ASU No. 2017-04 is effective for fiscal years beginning after December 15, 2019, and is applied prospectively when adopted. Early adoption is permitted. The Company elected to adopt ASU No. 2017-04 as of January 1, 2017. The adoption of the guidance did not have an impact on the consolidated financial statements.</w:t>
      </w:r>
    </w:p>
    <w:p>
      <w:pPr>
        <w:spacing w:after="0" w:line="161" w:lineRule="exact"/>
        <w:rPr>
          <w:sz w:val="20"/>
          <w:szCs w:val="20"/>
          <w:color w:val="auto"/>
        </w:rPr>
      </w:pPr>
    </w:p>
    <w:p>
      <w:pPr>
        <w:ind w:left="1120" w:right="80" w:firstLine="368"/>
        <w:spacing w:after="0" w:line="279" w:lineRule="auto"/>
        <w:rPr>
          <w:sz w:val="20"/>
          <w:szCs w:val="20"/>
          <w:color w:val="auto"/>
        </w:rPr>
      </w:pPr>
      <w:r>
        <w:rPr>
          <w:rFonts w:ascii="Arial" w:cs="Arial" w:eastAsia="Arial" w:hAnsi="Arial"/>
          <w:sz w:val="14"/>
          <w:szCs w:val="14"/>
          <w:color w:val="auto"/>
        </w:rPr>
        <w:t xml:space="preserve">In January 2017, the FASB issued ASU No. 2017-01, </w:t>
      </w:r>
      <w:r>
        <w:rPr>
          <w:rFonts w:ascii="Arial" w:cs="Arial" w:eastAsia="Arial" w:hAnsi="Arial"/>
          <w:sz w:val="14"/>
          <w:szCs w:val="14"/>
          <w:i w:val="1"/>
          <w:iCs w:val="1"/>
          <w:color w:val="auto"/>
        </w:rPr>
        <w:t>Business Combinations, Clarifying the Definition of a Business (Topic 805)</w:t>
      </w:r>
      <w:r>
        <w:rPr>
          <w:rFonts w:ascii="Arial" w:cs="Arial" w:eastAsia="Arial" w:hAnsi="Arial"/>
          <w:sz w:val="14"/>
          <w:szCs w:val="14"/>
          <w:color w:val="auto"/>
        </w:rPr>
        <w:t>, which clarifies the definition of a business with the objective of adding guidance to assist entities with evaluating whether transactions should be accounted for as acquisitions or disposals of assets or businesses. ASU No. 2017-01 is effective for fiscal years beginning after December 15, 2017, and interim periods within those years, and is applied prospectively when adopted. Early adoption is permitted. The Company elected to adopt ASU No. 2017-01 as of January 1, 2017. The adoption of the guidance did not have an impact on the consolidated financial statements.</w:t>
      </w:r>
    </w:p>
    <w:p>
      <w:pPr>
        <w:spacing w:after="0" w:line="147" w:lineRule="exact"/>
        <w:rPr>
          <w:sz w:val="20"/>
          <w:szCs w:val="20"/>
          <w:color w:val="auto"/>
        </w:rPr>
      </w:pPr>
    </w:p>
    <w:p>
      <w:pPr>
        <w:ind w:left="1120" w:firstLine="368"/>
        <w:spacing w:after="0" w:line="276" w:lineRule="auto"/>
        <w:rPr>
          <w:sz w:val="20"/>
          <w:szCs w:val="20"/>
          <w:color w:val="auto"/>
        </w:rPr>
      </w:pPr>
      <w:r>
        <w:rPr>
          <w:rFonts w:ascii="Arial" w:cs="Arial" w:eastAsia="Arial" w:hAnsi="Arial"/>
          <w:sz w:val="14"/>
          <w:szCs w:val="14"/>
          <w:color w:val="auto"/>
        </w:rPr>
        <w:t xml:space="preserve">In March 2016, the FASB issued ASU No. 2016-09, </w:t>
      </w:r>
      <w:r>
        <w:rPr>
          <w:rFonts w:ascii="Arial" w:cs="Arial" w:eastAsia="Arial" w:hAnsi="Arial"/>
          <w:sz w:val="14"/>
          <w:szCs w:val="14"/>
          <w:i w:val="1"/>
          <w:iCs w:val="1"/>
          <w:color w:val="auto"/>
        </w:rPr>
        <w:t>Improvements to Employee Share-Based Payment Accounting (Topic 718)</w:t>
      </w:r>
      <w:r>
        <w:rPr>
          <w:rFonts w:ascii="Arial" w:cs="Arial" w:eastAsia="Arial" w:hAnsi="Arial"/>
          <w:sz w:val="14"/>
          <w:szCs w:val="14"/>
          <w:color w:val="auto"/>
        </w:rPr>
        <w:t>, which aligns with the FASB’s current simplification initiatives. The major areas for simplification in ASU No. 2016-09 involve several aspects of the accounting for stock-based payment transactions, including income tax consequences, classification of awards as either equity or liabilities, and classification on the statement of cash flows. Specifically, ASU No. 2016-09 has introduced updates to minimum statutory tax withholding requirements, policy elections surrounding forfeitures, expected term, intrinsic values, and changes to the classification of certain stock-based payment related transactions on the statement of cash flows. The Company elected to adopt ASU No. 2016-09 effective as of January 1, 2017. The adoption of the guidance did not have a material impact on the consolidated financial statements.</w:t>
      </w:r>
    </w:p>
    <w:p>
      <w:pPr>
        <w:spacing w:after="0" w:line="148" w:lineRule="exact"/>
        <w:rPr>
          <w:sz w:val="20"/>
          <w:szCs w:val="20"/>
          <w:color w:val="auto"/>
        </w:rPr>
      </w:pPr>
    </w:p>
    <w:p>
      <w:pPr>
        <w:jc w:val="both"/>
        <w:ind w:left="1120" w:right="160" w:firstLine="368"/>
        <w:spacing w:after="0" w:line="302" w:lineRule="auto"/>
        <w:rPr>
          <w:sz w:val="20"/>
          <w:szCs w:val="20"/>
          <w:color w:val="auto"/>
        </w:rPr>
      </w:pPr>
      <w:r>
        <w:rPr>
          <w:rFonts w:ascii="Arial" w:cs="Arial" w:eastAsia="Arial" w:hAnsi="Arial"/>
          <w:sz w:val="13"/>
          <w:szCs w:val="13"/>
          <w:color w:val="auto"/>
        </w:rPr>
        <w:t xml:space="preserve">In November 2016, the FASB issued ASU No. 2016-18, </w:t>
      </w:r>
      <w:r>
        <w:rPr>
          <w:rFonts w:ascii="Arial" w:cs="Arial" w:eastAsia="Arial" w:hAnsi="Arial"/>
          <w:sz w:val="13"/>
          <w:szCs w:val="13"/>
          <w:i w:val="1"/>
          <w:iCs w:val="1"/>
          <w:color w:val="auto"/>
        </w:rPr>
        <w:t>Statement of Cash Flows, Restricted Cash (Topic 230)</w:t>
      </w:r>
      <w:r>
        <w:rPr>
          <w:rFonts w:ascii="Arial" w:cs="Arial" w:eastAsia="Arial" w:hAnsi="Arial"/>
          <w:sz w:val="13"/>
          <w:szCs w:val="13"/>
          <w:color w:val="auto"/>
        </w:rPr>
        <w:t xml:space="preserve">, which amends the guidance in ASC Topic 230, </w:t>
      </w:r>
      <w:r>
        <w:rPr>
          <w:rFonts w:ascii="Arial" w:cs="Arial" w:eastAsia="Arial" w:hAnsi="Arial"/>
          <w:sz w:val="13"/>
          <w:szCs w:val="13"/>
          <w:i w:val="1"/>
          <w:iCs w:val="1"/>
          <w:color w:val="auto"/>
        </w:rPr>
        <w:t>Statement of Cash Flows,</w:t>
      </w:r>
      <w:r>
        <w:rPr>
          <w:rFonts w:ascii="Arial" w:cs="Arial" w:eastAsia="Arial" w:hAnsi="Arial"/>
          <w:sz w:val="13"/>
          <w:szCs w:val="13"/>
          <w:color w:val="auto"/>
        </w:rPr>
        <w:t xml:space="preserve"> and requires that entities show the changes in total of cash, cash equivalents, restricted cash, and restricted cash equivalents in their statement of cash flows. As a result, entities will no longer present transfers between cash and cash equivalents and restricted cash and restricted cash equivalents in the statement of cash flows. ASU No. 2016-18 is effective for fiscal years beginning after December 15, 2017, and interim periods within those years, and is applied retrospectively when adopted. Early adoption is permitted. The Company elected to adopt ASU No. 2016-18 effective January 1, 2016. The adoption of the guidance did not have a material impact on the consolidated financial statements.</w:t>
      </w:r>
    </w:p>
    <w:p>
      <w:pPr>
        <w:spacing w:after="0" w:line="134" w:lineRule="exact"/>
        <w:rPr>
          <w:sz w:val="20"/>
          <w:szCs w:val="20"/>
          <w:color w:val="auto"/>
        </w:rPr>
      </w:pPr>
    </w:p>
    <w:p>
      <w:pPr>
        <w:ind w:left="1120" w:right="180" w:firstLine="368"/>
        <w:spacing w:after="0" w:line="277" w:lineRule="auto"/>
        <w:rPr>
          <w:sz w:val="20"/>
          <w:szCs w:val="20"/>
          <w:color w:val="auto"/>
        </w:rPr>
      </w:pPr>
      <w:r>
        <w:rPr>
          <w:rFonts w:ascii="Arial" w:cs="Arial" w:eastAsia="Arial" w:hAnsi="Arial"/>
          <w:sz w:val="14"/>
          <w:szCs w:val="14"/>
          <w:color w:val="auto"/>
        </w:rPr>
        <w:t xml:space="preserve">In April 2015, the FASB issued ASU No. 2015-05, </w:t>
      </w:r>
      <w:r>
        <w:rPr>
          <w:rFonts w:ascii="Arial" w:cs="Arial" w:eastAsia="Arial" w:hAnsi="Arial"/>
          <w:sz w:val="14"/>
          <w:szCs w:val="14"/>
          <w:i w:val="1"/>
          <w:iCs w:val="1"/>
          <w:color w:val="auto"/>
        </w:rPr>
        <w:t>Intangibles—Goodwill and Other—Internal-Use Software: Customer’s Accounting for Fees</w:t>
      </w:r>
      <w:r>
        <w:rPr>
          <w:rFonts w:ascii="Arial" w:cs="Arial" w:eastAsia="Arial" w:hAnsi="Arial"/>
          <w:sz w:val="14"/>
          <w:szCs w:val="14"/>
          <w:color w:val="auto"/>
        </w:rPr>
        <w:t xml:space="preserve"> </w:t>
      </w:r>
      <w:r>
        <w:rPr>
          <w:rFonts w:ascii="Arial" w:cs="Arial" w:eastAsia="Arial" w:hAnsi="Arial"/>
          <w:sz w:val="14"/>
          <w:szCs w:val="14"/>
          <w:i w:val="1"/>
          <w:iCs w:val="1"/>
          <w:color w:val="auto"/>
        </w:rPr>
        <w:t xml:space="preserve">Paid in a Cloud Computing Arrangement (Subtopic 350-40), </w:t>
      </w:r>
      <w:r>
        <w:rPr>
          <w:rFonts w:ascii="Arial" w:cs="Arial" w:eastAsia="Arial" w:hAnsi="Arial"/>
          <w:sz w:val="14"/>
          <w:szCs w:val="14"/>
          <w:color w:val="auto"/>
        </w:rPr>
        <w:t>which provides guidance to customers about whether a cloud computing arrangement</w:t>
      </w:r>
      <w:r>
        <w:rPr>
          <w:rFonts w:ascii="Arial" w:cs="Arial" w:eastAsia="Arial" w:hAnsi="Arial"/>
          <w:sz w:val="14"/>
          <w:szCs w:val="14"/>
          <w:i w:val="1"/>
          <w:iCs w:val="1"/>
          <w:color w:val="auto"/>
        </w:rPr>
        <w:t xml:space="preserve"> </w:t>
      </w:r>
      <w:r>
        <w:rPr>
          <w:rFonts w:ascii="Arial" w:cs="Arial" w:eastAsia="Arial" w:hAnsi="Arial"/>
          <w:sz w:val="14"/>
          <w:szCs w:val="14"/>
          <w:color w:val="auto"/>
        </w:rPr>
        <w:t>includes a software license. If a cloud computing arrangement includes a software license, then the customer should account for the software license element of the arrangement consistent with the acquisition of other software licenses. If a cloud computing arrangement does not include a software license, the customer should account for the arrangement as a service contract. The Company adopted ASU No. 2015-05 in 2016. The adoption of the guidance did not have a material impact on the consolidated financial statements.</w:t>
      </w:r>
    </w:p>
    <w:p>
      <w:pPr>
        <w:spacing w:after="0" w:line="92" w:lineRule="exact"/>
        <w:rPr>
          <w:sz w:val="20"/>
          <w:szCs w:val="20"/>
          <w:color w:val="auto"/>
        </w:rPr>
      </w:pPr>
    </w:p>
    <w:p>
      <w:pPr>
        <w:ind w:left="5580"/>
        <w:spacing w:after="0"/>
        <w:rPr>
          <w:sz w:val="20"/>
          <w:szCs w:val="20"/>
          <w:color w:val="auto"/>
        </w:rPr>
      </w:pPr>
      <w:r>
        <w:rPr>
          <w:rFonts w:ascii="Arial" w:cs="Arial" w:eastAsia="Arial" w:hAnsi="Arial"/>
          <w:sz w:val="15"/>
          <w:szCs w:val="15"/>
          <w:color w:val="auto"/>
        </w:rPr>
        <w:t>F-19</w:t>
      </w:r>
    </w:p>
    <w:p>
      <w:pPr>
        <w:sectPr>
          <w:pgSz w:w="11900" w:h="16838" w:orient="portrait"/>
          <w:cols w:equalWidth="0" w:num="1">
            <w:col w:w="10300"/>
          </w:cols>
          <w:pgMar w:left="240" w:top="408" w:right="1359" w:bottom="1440" w:gutter="0" w:footer="0" w:header="0"/>
        </w:sectPr>
      </w:pPr>
    </w:p>
    <w:bookmarkStart w:id="222" w:name="page223"/>
    <w:bookmarkEnd w:id="222"/>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133350</wp:posOffset>
            </wp:positionH>
            <wp:positionV relativeFrom="page">
              <wp:posOffset>88900</wp:posOffset>
            </wp:positionV>
            <wp:extent cx="7308850" cy="3429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308850" cy="34290"/>
                    </a:xfrm>
                    <a:prstGeom prst="rect">
                      <a:avLst/>
                    </a:prstGeom>
                    <a:noFill/>
                  </pic:spPr>
                </pic:pic>
              </a:graphicData>
            </a:graphic>
          </wp:anchor>
        </w:drawing>
      </w:r>
      <w:hyperlink w:anchor="page7">
        <w:r>
          <w:rPr>
            <w:rFonts w:ascii="Arial" w:cs="Arial" w:eastAsia="Arial" w:hAnsi="Arial"/>
            <w:sz w:val="15"/>
            <w:szCs w:val="15"/>
            <w:b w:val="1"/>
            <w:bCs w:val="1"/>
            <w:u w:val="single" w:color="auto"/>
            <w:color w:val="0000EE"/>
          </w:rPr>
          <w:t>Table of Contents</w:t>
        </w:r>
      </w:hyperlink>
    </w:p>
    <w:p>
      <w:pPr>
        <w:spacing w:after="0" w:line="256" w:lineRule="exact"/>
        <w:rPr>
          <w:sz w:val="20"/>
          <w:szCs w:val="20"/>
          <w:color w:val="auto"/>
        </w:rPr>
      </w:pPr>
    </w:p>
    <w:p>
      <w:pPr>
        <w:ind w:left="1120"/>
        <w:spacing w:after="0"/>
        <w:rPr>
          <w:sz w:val="20"/>
          <w:szCs w:val="20"/>
          <w:color w:val="auto"/>
        </w:rPr>
      </w:pPr>
      <w:r>
        <w:rPr>
          <w:rFonts w:ascii="Arial" w:cs="Arial" w:eastAsia="Arial" w:hAnsi="Arial"/>
          <w:sz w:val="15"/>
          <w:szCs w:val="15"/>
          <w:b w:val="1"/>
          <w:bCs w:val="1"/>
          <w:color w:val="auto"/>
        </w:rPr>
        <w:t>Note 2. Cash and Cash Equivalents</w:t>
      </w:r>
    </w:p>
    <w:p>
      <w:pPr>
        <w:spacing w:after="0" w:line="102" w:lineRule="exact"/>
        <w:rPr>
          <w:sz w:val="20"/>
          <w:szCs w:val="20"/>
          <w:color w:val="auto"/>
        </w:rPr>
      </w:pPr>
    </w:p>
    <w:p>
      <w:pPr>
        <w:ind w:left="1480"/>
        <w:spacing w:after="0"/>
        <w:rPr>
          <w:sz w:val="20"/>
          <w:szCs w:val="20"/>
          <w:color w:val="auto"/>
        </w:rPr>
      </w:pPr>
      <w:r>
        <w:rPr>
          <w:rFonts w:ascii="Arial" w:cs="Arial" w:eastAsia="Arial" w:hAnsi="Arial"/>
          <w:sz w:val="15"/>
          <w:szCs w:val="15"/>
          <w:color w:val="auto"/>
        </w:rPr>
        <w:t>Cash and cash equivalents consisted of the following:</w:t>
      </w:r>
    </w:p>
    <w:p>
      <w:pPr>
        <w:spacing w:after="0" w:line="202" w:lineRule="exact"/>
        <w:rPr>
          <w:sz w:val="20"/>
          <w:szCs w:val="20"/>
          <w:color w:val="auto"/>
        </w:rPr>
      </w:pPr>
    </w:p>
    <w:tbl>
      <w:tblPr>
        <w:tblLayout w:type="fixed"/>
        <w:tblInd w:w="1860" w:type="dxa"/>
        <w:tblCellMar>
          <w:top w:w="0" w:type="dxa"/>
          <w:left w:w="0" w:type="dxa"/>
          <w:bottom w:w="0" w:type="dxa"/>
          <w:right w:w="0" w:type="dxa"/>
        </w:tblCellMar>
      </w:tblPr>
      <w:tr>
        <w:trPr>
          <w:trHeight w:val="144"/>
        </w:trPr>
        <w:tc>
          <w:tcPr>
            <w:tcW w:w="6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40" w:type="dxa"/>
            <w:vAlign w:val="bottom"/>
            <w:gridSpan w:val="6"/>
          </w:tcPr>
          <w:p>
            <w:pPr>
              <w:ind w:left="60"/>
              <w:spacing w:after="0"/>
              <w:rPr>
                <w:sz w:val="20"/>
                <w:szCs w:val="20"/>
                <w:color w:val="auto"/>
              </w:rPr>
            </w:pPr>
            <w:r>
              <w:rPr>
                <w:rFonts w:ascii="Arial" w:cs="Arial" w:eastAsia="Arial" w:hAnsi="Arial"/>
                <w:sz w:val="12"/>
                <w:szCs w:val="12"/>
                <w:b w:val="1"/>
                <w:bCs w:val="1"/>
                <w:color w:val="auto"/>
              </w:rPr>
              <w:t>As of December 31,</w:t>
            </w:r>
          </w:p>
        </w:tc>
      </w:tr>
      <w:tr>
        <w:trPr>
          <w:trHeight w:val="115"/>
        </w:trPr>
        <w:tc>
          <w:tcPr>
            <w:tcW w:w="6400" w:type="dxa"/>
            <w:vAlign w:val="bottom"/>
            <w:tcBorders>
              <w:bottom w:val="single" w:sz="8" w:color="CCEEFF"/>
            </w:tcBorders>
          </w:tcPr>
          <w:p>
            <w:pPr>
              <w:spacing w:after="0"/>
              <w:rPr>
                <w:sz w:val="10"/>
                <w:szCs w:val="10"/>
                <w:color w:val="auto"/>
              </w:rPr>
            </w:pPr>
          </w:p>
        </w:tc>
        <w:tc>
          <w:tcPr>
            <w:tcW w:w="80" w:type="dxa"/>
            <w:vAlign w:val="bottom"/>
            <w:tcBorders>
              <w:top w:val="single" w:sz="8" w:color="auto"/>
              <w:bottom w:val="single" w:sz="8" w:color="auto"/>
            </w:tcBorders>
          </w:tcPr>
          <w:p>
            <w:pPr>
              <w:spacing w:after="0"/>
              <w:rPr>
                <w:sz w:val="10"/>
                <w:szCs w:val="10"/>
                <w:color w:val="auto"/>
              </w:rPr>
            </w:pPr>
          </w:p>
        </w:tc>
        <w:tc>
          <w:tcPr>
            <w:tcW w:w="340" w:type="dxa"/>
            <w:vAlign w:val="bottom"/>
            <w:tcBorders>
              <w:top w:val="single" w:sz="8" w:color="auto"/>
              <w:bottom w:val="single" w:sz="8" w:color="auto"/>
            </w:tcBorders>
          </w:tcPr>
          <w:p>
            <w:pPr>
              <w:jc w:val="right"/>
              <w:ind w:right="11"/>
              <w:spacing w:after="0" w:line="115" w:lineRule="exact"/>
              <w:rPr>
                <w:sz w:val="20"/>
                <w:szCs w:val="20"/>
                <w:color w:val="auto"/>
              </w:rPr>
            </w:pPr>
            <w:r>
              <w:rPr>
                <w:rFonts w:ascii="Arial" w:cs="Arial" w:eastAsia="Arial" w:hAnsi="Arial"/>
                <w:sz w:val="12"/>
                <w:szCs w:val="12"/>
                <w:b w:val="1"/>
                <w:bCs w:val="1"/>
                <w:color w:val="auto"/>
                <w:w w:val="89"/>
              </w:rPr>
              <w:t>2016</w:t>
            </w:r>
          </w:p>
        </w:tc>
        <w:tc>
          <w:tcPr>
            <w:tcW w:w="220" w:type="dxa"/>
            <w:vAlign w:val="bottom"/>
            <w:tcBorders>
              <w:top w:val="single" w:sz="8" w:color="auto"/>
              <w:bottom w:val="single" w:sz="8" w:color="CCEEFF"/>
            </w:tcBorders>
          </w:tcPr>
          <w:p>
            <w:pPr>
              <w:spacing w:after="0"/>
              <w:rPr>
                <w:sz w:val="10"/>
                <w:szCs w:val="10"/>
                <w:color w:val="auto"/>
              </w:rPr>
            </w:pPr>
          </w:p>
        </w:tc>
        <w:tc>
          <w:tcPr>
            <w:tcW w:w="220" w:type="dxa"/>
            <w:vAlign w:val="bottom"/>
            <w:tcBorders>
              <w:top w:val="single" w:sz="8" w:color="auto"/>
              <w:bottom w:val="single" w:sz="8" w:color="CCEEFF"/>
            </w:tcBorders>
          </w:tcPr>
          <w:p>
            <w:pPr>
              <w:spacing w:after="0"/>
              <w:rPr>
                <w:sz w:val="10"/>
                <w:szCs w:val="10"/>
                <w:color w:val="auto"/>
              </w:rPr>
            </w:pPr>
          </w:p>
        </w:tc>
        <w:tc>
          <w:tcPr>
            <w:tcW w:w="80" w:type="dxa"/>
            <w:vAlign w:val="bottom"/>
            <w:tcBorders>
              <w:top w:val="single" w:sz="8" w:color="auto"/>
              <w:bottom w:val="single" w:sz="8" w:color="auto"/>
            </w:tcBorders>
          </w:tcPr>
          <w:p>
            <w:pPr>
              <w:spacing w:after="0"/>
              <w:rPr>
                <w:sz w:val="10"/>
                <w:szCs w:val="10"/>
                <w:color w:val="auto"/>
              </w:rPr>
            </w:pPr>
          </w:p>
        </w:tc>
        <w:tc>
          <w:tcPr>
            <w:tcW w:w="340" w:type="dxa"/>
            <w:vAlign w:val="bottom"/>
            <w:tcBorders>
              <w:top w:val="single" w:sz="8" w:color="auto"/>
              <w:bottom w:val="single" w:sz="8" w:color="auto"/>
            </w:tcBorders>
          </w:tcPr>
          <w:p>
            <w:pPr>
              <w:jc w:val="right"/>
              <w:ind w:right="29"/>
              <w:spacing w:after="0" w:line="115" w:lineRule="exact"/>
              <w:rPr>
                <w:sz w:val="20"/>
                <w:szCs w:val="20"/>
                <w:color w:val="auto"/>
              </w:rPr>
            </w:pPr>
            <w:r>
              <w:rPr>
                <w:rFonts w:ascii="Arial" w:cs="Arial" w:eastAsia="Arial" w:hAnsi="Arial"/>
                <w:sz w:val="12"/>
                <w:szCs w:val="12"/>
                <w:b w:val="1"/>
                <w:bCs w:val="1"/>
                <w:color w:val="auto"/>
                <w:w w:val="82"/>
              </w:rPr>
              <w:t>2017</w:t>
            </w:r>
          </w:p>
        </w:tc>
        <w:tc>
          <w:tcPr>
            <w:tcW w:w="40" w:type="dxa"/>
            <w:vAlign w:val="bottom"/>
            <w:tcBorders>
              <w:bottom w:val="single" w:sz="8" w:color="CCEEFF"/>
            </w:tcBorders>
          </w:tcPr>
          <w:p>
            <w:pPr>
              <w:spacing w:after="0"/>
              <w:rPr>
                <w:sz w:val="10"/>
                <w:szCs w:val="10"/>
                <w:color w:val="auto"/>
              </w:rPr>
            </w:pPr>
          </w:p>
        </w:tc>
      </w:tr>
      <w:tr>
        <w:trPr>
          <w:trHeight w:val="172"/>
        </w:trPr>
        <w:tc>
          <w:tcPr>
            <w:tcW w:w="6400" w:type="dxa"/>
            <w:vAlign w:val="bottom"/>
            <w:shd w:val="clear" w:color="auto" w:fill="CCEEFF"/>
          </w:tcPr>
          <w:p>
            <w:pPr>
              <w:spacing w:after="0" w:line="170" w:lineRule="exact"/>
              <w:rPr>
                <w:sz w:val="20"/>
                <w:szCs w:val="20"/>
                <w:color w:val="auto"/>
              </w:rPr>
            </w:pPr>
            <w:r>
              <w:rPr>
                <w:rFonts w:ascii="Arial" w:cs="Arial" w:eastAsia="Arial" w:hAnsi="Arial"/>
                <w:sz w:val="15"/>
                <w:szCs w:val="15"/>
                <w:color w:val="auto"/>
              </w:rPr>
              <w:t>Cash</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93.7</w:t>
            </w:r>
          </w:p>
        </w:tc>
        <w:tc>
          <w:tcPr>
            <w:tcW w:w="2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62.9</w:t>
            </w:r>
          </w:p>
        </w:tc>
        <w:tc>
          <w:tcPr>
            <w:tcW w:w="40" w:type="dxa"/>
            <w:vAlign w:val="bottom"/>
            <w:shd w:val="clear" w:color="auto" w:fill="CCEEFF"/>
          </w:tcPr>
          <w:p>
            <w:pPr>
              <w:spacing w:after="0"/>
              <w:rPr>
                <w:sz w:val="14"/>
                <w:szCs w:val="14"/>
                <w:color w:val="auto"/>
              </w:rPr>
            </w:pPr>
          </w:p>
        </w:tc>
      </w:tr>
      <w:tr>
        <w:trPr>
          <w:trHeight w:val="180"/>
        </w:trPr>
        <w:tc>
          <w:tcPr>
            <w:tcW w:w="6400" w:type="dxa"/>
            <w:vAlign w:val="bottom"/>
          </w:tcPr>
          <w:p>
            <w:pPr>
              <w:spacing w:after="0"/>
              <w:rPr>
                <w:sz w:val="20"/>
                <w:szCs w:val="20"/>
                <w:color w:val="auto"/>
              </w:rPr>
            </w:pPr>
            <w:r>
              <w:rPr>
                <w:rFonts w:ascii="Arial" w:cs="Arial" w:eastAsia="Arial" w:hAnsi="Arial"/>
                <w:sz w:val="15"/>
                <w:szCs w:val="15"/>
                <w:color w:val="auto"/>
              </w:rPr>
              <w:t>Money market mutual funds</w:t>
            </w:r>
          </w:p>
        </w:tc>
        <w:tc>
          <w:tcPr>
            <w:tcW w:w="80" w:type="dxa"/>
            <w:vAlign w:val="bottom"/>
          </w:tcPr>
          <w:p>
            <w:pPr>
              <w:spacing w:after="0"/>
              <w:rPr>
                <w:sz w:val="15"/>
                <w:szCs w:val="15"/>
                <w:color w:val="auto"/>
              </w:rPr>
            </w:pPr>
          </w:p>
        </w:tc>
        <w:tc>
          <w:tcPr>
            <w:tcW w:w="560" w:type="dxa"/>
            <w:vAlign w:val="bottom"/>
            <w:gridSpan w:val="2"/>
          </w:tcPr>
          <w:p>
            <w:pPr>
              <w:jc w:val="right"/>
              <w:ind w:right="220"/>
              <w:spacing w:after="0"/>
              <w:rPr>
                <w:sz w:val="20"/>
                <w:szCs w:val="20"/>
                <w:color w:val="auto"/>
              </w:rPr>
            </w:pPr>
            <w:r>
              <w:rPr>
                <w:rFonts w:ascii="Arial" w:cs="Arial" w:eastAsia="Arial" w:hAnsi="Arial"/>
                <w:sz w:val="15"/>
                <w:szCs w:val="15"/>
                <w:color w:val="auto"/>
                <w:w w:val="85"/>
              </w:rPr>
              <w:t>259.0</w:t>
            </w: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gridSpan w:val="2"/>
          </w:tcPr>
          <w:p>
            <w:pPr>
              <w:jc w:val="right"/>
              <w:ind w:right="40"/>
              <w:spacing w:after="0"/>
              <w:rPr>
                <w:sz w:val="20"/>
                <w:szCs w:val="20"/>
                <w:color w:val="auto"/>
              </w:rPr>
            </w:pPr>
            <w:r>
              <w:rPr>
                <w:rFonts w:ascii="Arial" w:cs="Arial" w:eastAsia="Arial" w:hAnsi="Arial"/>
                <w:sz w:val="15"/>
                <w:szCs w:val="15"/>
                <w:color w:val="auto"/>
                <w:w w:val="85"/>
              </w:rPr>
              <w:t>367.1</w:t>
            </w:r>
          </w:p>
        </w:tc>
      </w:tr>
      <w:tr>
        <w:trPr>
          <w:trHeight w:val="23"/>
        </w:trPr>
        <w:tc>
          <w:tcPr>
            <w:tcW w:w="6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80"/>
        </w:trPr>
        <w:tc>
          <w:tcPr>
            <w:tcW w:w="6400" w:type="dxa"/>
            <w:vAlign w:val="bottom"/>
            <w:shd w:val="clear" w:color="auto" w:fill="CCEEFF"/>
          </w:tcPr>
          <w:p>
            <w:pPr>
              <w:spacing w:after="0"/>
              <w:rPr>
                <w:sz w:val="20"/>
                <w:szCs w:val="20"/>
                <w:color w:val="auto"/>
              </w:rPr>
            </w:pPr>
            <w:r>
              <w:rPr>
                <w:rFonts w:ascii="Arial" w:cs="Arial" w:eastAsia="Arial" w:hAnsi="Arial"/>
                <w:sz w:val="15"/>
                <w:szCs w:val="15"/>
                <w:color w:val="auto"/>
              </w:rPr>
              <w:t>Total cash and cash equivalents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56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w w:val="85"/>
              </w:rPr>
              <w:t>352.7</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5"/>
                <w:szCs w:val="15"/>
                <w:u w:val="single" w:color="auto"/>
                <w:color w:val="auto"/>
              </w:rPr>
              <w:t>$</w:t>
            </w:r>
          </w:p>
        </w:tc>
        <w:tc>
          <w:tcPr>
            <w:tcW w:w="38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w w:val="85"/>
              </w:rPr>
              <w:t>430.0</w:t>
            </w:r>
          </w:p>
        </w:tc>
      </w:tr>
      <w:tr>
        <w:trPr>
          <w:trHeight w:val="20"/>
        </w:trPr>
        <w:tc>
          <w:tcPr>
            <w:tcW w:w="64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181" w:lineRule="exact"/>
        <w:rPr>
          <w:sz w:val="20"/>
          <w:szCs w:val="20"/>
          <w:color w:val="auto"/>
        </w:rPr>
      </w:pPr>
    </w:p>
    <w:p>
      <w:pPr>
        <w:ind w:left="1120" w:right="480" w:firstLine="368"/>
        <w:spacing w:after="0" w:line="275" w:lineRule="auto"/>
        <w:rPr>
          <w:sz w:val="20"/>
          <w:szCs w:val="20"/>
          <w:color w:val="auto"/>
        </w:rPr>
      </w:pPr>
      <w:r>
        <w:rPr>
          <w:rFonts w:ascii="Arial" w:cs="Arial" w:eastAsia="Arial" w:hAnsi="Arial"/>
          <w:sz w:val="15"/>
          <w:szCs w:val="15"/>
          <w:color w:val="auto"/>
        </w:rPr>
        <w:t>Included in cash and cash equivalents are cash in transit from payment processors for credit and debit card transactions of $8.4 million and $13.3 million as of December 31, 2016 and 2017, respectively.</w:t>
      </w:r>
    </w:p>
    <w:p>
      <w:pPr>
        <w:spacing w:after="0" w:line="232" w:lineRule="exact"/>
        <w:rPr>
          <w:sz w:val="20"/>
          <w:szCs w:val="20"/>
          <w:color w:val="auto"/>
        </w:rPr>
      </w:pPr>
    </w:p>
    <w:p>
      <w:pPr>
        <w:ind w:left="1120"/>
        <w:spacing w:after="0"/>
        <w:rPr>
          <w:sz w:val="20"/>
          <w:szCs w:val="20"/>
          <w:color w:val="auto"/>
        </w:rPr>
      </w:pPr>
      <w:r>
        <w:rPr>
          <w:rFonts w:ascii="Arial" w:cs="Arial" w:eastAsia="Arial" w:hAnsi="Arial"/>
          <w:sz w:val="15"/>
          <w:szCs w:val="15"/>
          <w:b w:val="1"/>
          <w:bCs w:val="1"/>
          <w:color w:val="auto"/>
        </w:rPr>
        <w:t>Note 3. Fair Value Measurements</w:t>
      </w:r>
    </w:p>
    <w:p>
      <w:pPr>
        <w:spacing w:after="0" w:line="102" w:lineRule="exact"/>
        <w:rPr>
          <w:sz w:val="20"/>
          <w:szCs w:val="20"/>
          <w:color w:val="auto"/>
        </w:rPr>
      </w:pPr>
    </w:p>
    <w:p>
      <w:pPr>
        <w:ind w:left="1120" w:right="160" w:firstLine="368"/>
        <w:spacing w:after="0" w:line="322" w:lineRule="auto"/>
        <w:rPr>
          <w:sz w:val="20"/>
          <w:szCs w:val="20"/>
          <w:color w:val="auto"/>
        </w:rPr>
      </w:pPr>
      <w:r>
        <w:rPr>
          <w:rFonts w:ascii="Arial" w:cs="Arial" w:eastAsia="Arial" w:hAnsi="Arial"/>
          <w:sz w:val="13"/>
          <w:szCs w:val="13"/>
          <w:color w:val="auto"/>
        </w:rPr>
        <w:t>The Company’s cash equivalents primarily consist of money market funds. The total cash equivalents held by the Company in money market funds as of December 31, 2016 and 2017, were $259.0 million and $367.1 million, respectively. The Company’s cash equivalents are classified within Level 1 of the fair value hierarchy. See Note 1, “Description of the Business and Summary of Significant Accounting Policies” for additional details.</w:t>
      </w:r>
    </w:p>
    <w:p>
      <w:pPr>
        <w:spacing w:after="0" w:line="206" w:lineRule="exact"/>
        <w:rPr>
          <w:sz w:val="20"/>
          <w:szCs w:val="20"/>
          <w:color w:val="auto"/>
        </w:rPr>
      </w:pPr>
    </w:p>
    <w:p>
      <w:pPr>
        <w:ind w:left="1120"/>
        <w:spacing w:after="0"/>
        <w:rPr>
          <w:sz w:val="20"/>
          <w:szCs w:val="20"/>
          <w:color w:val="auto"/>
        </w:rPr>
      </w:pPr>
      <w:r>
        <w:rPr>
          <w:rFonts w:ascii="Arial" w:cs="Arial" w:eastAsia="Arial" w:hAnsi="Arial"/>
          <w:sz w:val="15"/>
          <w:szCs w:val="15"/>
          <w:b w:val="1"/>
          <w:bCs w:val="1"/>
          <w:color w:val="auto"/>
        </w:rPr>
        <w:t>Note 4. Property and Equipment, Net</w:t>
      </w:r>
    </w:p>
    <w:p>
      <w:pPr>
        <w:spacing w:after="0" w:line="102" w:lineRule="exact"/>
        <w:rPr>
          <w:sz w:val="20"/>
          <w:szCs w:val="20"/>
          <w:color w:val="auto"/>
        </w:rPr>
      </w:pPr>
    </w:p>
    <w:p>
      <w:pPr>
        <w:ind w:left="1480"/>
        <w:spacing w:after="0"/>
        <w:rPr>
          <w:sz w:val="20"/>
          <w:szCs w:val="20"/>
          <w:color w:val="auto"/>
        </w:rPr>
      </w:pPr>
      <w:r>
        <w:rPr>
          <w:rFonts w:ascii="Arial" w:cs="Arial" w:eastAsia="Arial" w:hAnsi="Arial"/>
          <w:sz w:val="15"/>
          <w:szCs w:val="15"/>
          <w:color w:val="auto"/>
        </w:rPr>
        <w:t>Property and equipment, net consisted of the following:</w:t>
      </w:r>
    </w:p>
    <w:p>
      <w:pPr>
        <w:spacing w:after="0" w:line="202" w:lineRule="exact"/>
        <w:rPr>
          <w:sz w:val="20"/>
          <w:szCs w:val="20"/>
          <w:color w:val="auto"/>
        </w:rPr>
      </w:pPr>
    </w:p>
    <w:tbl>
      <w:tblPr>
        <w:tblLayout w:type="fixed"/>
        <w:tblInd w:w="1860" w:type="dxa"/>
        <w:tblCellMar>
          <w:top w:w="0" w:type="dxa"/>
          <w:left w:w="0" w:type="dxa"/>
          <w:bottom w:w="0" w:type="dxa"/>
          <w:right w:w="0" w:type="dxa"/>
        </w:tblCellMar>
      </w:tblPr>
      <w:tr>
        <w:trPr>
          <w:trHeight w:val="144"/>
        </w:trPr>
        <w:tc>
          <w:tcPr>
            <w:tcW w:w="6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00" w:type="dxa"/>
            <w:vAlign w:val="bottom"/>
            <w:gridSpan w:val="5"/>
          </w:tcPr>
          <w:p>
            <w:pPr>
              <w:jc w:val="right"/>
              <w:ind w:right="340"/>
              <w:spacing w:after="0"/>
              <w:rPr>
                <w:sz w:val="20"/>
                <w:szCs w:val="20"/>
                <w:color w:val="auto"/>
              </w:rPr>
            </w:pPr>
            <w:r>
              <w:rPr>
                <w:rFonts w:ascii="Arial" w:cs="Arial" w:eastAsia="Arial" w:hAnsi="Arial"/>
                <w:sz w:val="12"/>
                <w:szCs w:val="12"/>
                <w:b w:val="1"/>
                <w:bCs w:val="1"/>
                <w:color w:val="auto"/>
              </w:rPr>
              <w:t>As of December 31,</w:t>
            </w:r>
          </w:p>
        </w:tc>
      </w:tr>
      <w:tr>
        <w:trPr>
          <w:trHeight w:val="115"/>
        </w:trPr>
        <w:tc>
          <w:tcPr>
            <w:tcW w:w="6140" w:type="dxa"/>
            <w:vAlign w:val="bottom"/>
            <w:tcBorders>
              <w:bottom w:val="single" w:sz="8" w:color="CCEEFF"/>
            </w:tcBorders>
          </w:tcPr>
          <w:p>
            <w:pPr>
              <w:spacing w:after="0"/>
              <w:rPr>
                <w:sz w:val="10"/>
                <w:szCs w:val="10"/>
                <w:color w:val="auto"/>
              </w:rPr>
            </w:pPr>
          </w:p>
        </w:tc>
        <w:tc>
          <w:tcPr>
            <w:tcW w:w="80" w:type="dxa"/>
            <w:vAlign w:val="bottom"/>
            <w:tcBorders>
              <w:top w:val="single" w:sz="8" w:color="auto"/>
              <w:bottom w:val="single" w:sz="8" w:color="auto"/>
            </w:tcBorders>
          </w:tcPr>
          <w:p>
            <w:pPr>
              <w:spacing w:after="0"/>
              <w:rPr>
                <w:sz w:val="10"/>
                <w:szCs w:val="10"/>
                <w:color w:val="auto"/>
              </w:rPr>
            </w:pPr>
          </w:p>
        </w:tc>
        <w:tc>
          <w:tcPr>
            <w:tcW w:w="400" w:type="dxa"/>
            <w:vAlign w:val="bottom"/>
            <w:tcBorders>
              <w:top w:val="single" w:sz="8" w:color="auto"/>
              <w:bottom w:val="single" w:sz="8" w:color="auto"/>
            </w:tcBorders>
          </w:tcPr>
          <w:p>
            <w:pPr>
              <w:jc w:val="right"/>
              <w:ind w:right="48"/>
              <w:spacing w:after="0" w:line="115" w:lineRule="exact"/>
              <w:rPr>
                <w:sz w:val="20"/>
                <w:szCs w:val="20"/>
                <w:color w:val="auto"/>
              </w:rPr>
            </w:pPr>
            <w:r>
              <w:rPr>
                <w:rFonts w:ascii="Arial" w:cs="Arial" w:eastAsia="Arial" w:hAnsi="Arial"/>
                <w:sz w:val="12"/>
                <w:szCs w:val="12"/>
                <w:b w:val="1"/>
                <w:bCs w:val="1"/>
                <w:color w:val="auto"/>
                <w:w w:val="97"/>
              </w:rPr>
              <w:t>2016</w:t>
            </w:r>
          </w:p>
        </w:tc>
        <w:tc>
          <w:tcPr>
            <w:tcW w:w="540" w:type="dxa"/>
            <w:vAlign w:val="bottom"/>
            <w:tcBorders>
              <w:top w:val="single" w:sz="8" w:color="auto"/>
              <w:bottom w:val="single" w:sz="8" w:color="CCEEFF"/>
            </w:tcBorders>
          </w:tcPr>
          <w:p>
            <w:pPr>
              <w:spacing w:after="0"/>
              <w:rPr>
                <w:sz w:val="10"/>
                <w:szCs w:val="10"/>
                <w:color w:val="auto"/>
              </w:rPr>
            </w:pPr>
          </w:p>
        </w:tc>
        <w:tc>
          <w:tcPr>
            <w:tcW w:w="80" w:type="dxa"/>
            <w:vAlign w:val="bottom"/>
            <w:tcBorders>
              <w:top w:val="single" w:sz="8" w:color="auto"/>
              <w:bottom w:val="single" w:sz="8" w:color="auto"/>
            </w:tcBorders>
          </w:tcPr>
          <w:p>
            <w:pPr>
              <w:spacing w:after="0"/>
              <w:rPr>
                <w:sz w:val="10"/>
                <w:szCs w:val="10"/>
                <w:color w:val="auto"/>
              </w:rPr>
            </w:pPr>
          </w:p>
        </w:tc>
        <w:tc>
          <w:tcPr>
            <w:tcW w:w="380" w:type="dxa"/>
            <w:vAlign w:val="bottom"/>
            <w:tcBorders>
              <w:top w:val="single" w:sz="8" w:color="auto"/>
              <w:bottom w:val="single" w:sz="8" w:color="auto"/>
            </w:tcBorders>
          </w:tcPr>
          <w:p>
            <w:pPr>
              <w:jc w:val="right"/>
              <w:ind w:right="27"/>
              <w:spacing w:after="0" w:line="115" w:lineRule="exact"/>
              <w:rPr>
                <w:sz w:val="20"/>
                <w:szCs w:val="20"/>
                <w:color w:val="auto"/>
              </w:rPr>
            </w:pPr>
            <w:r>
              <w:rPr>
                <w:rFonts w:ascii="Arial" w:cs="Arial" w:eastAsia="Arial" w:hAnsi="Arial"/>
                <w:sz w:val="12"/>
                <w:szCs w:val="12"/>
                <w:b w:val="1"/>
                <w:bCs w:val="1"/>
                <w:color w:val="auto"/>
                <w:w w:val="97"/>
              </w:rPr>
              <w:t>2017</w:t>
            </w:r>
          </w:p>
        </w:tc>
        <w:tc>
          <w:tcPr>
            <w:tcW w:w="100" w:type="dxa"/>
            <w:vAlign w:val="bottom"/>
            <w:tcBorders>
              <w:bottom w:val="single" w:sz="8" w:color="CCEEFF"/>
            </w:tcBorders>
          </w:tcPr>
          <w:p>
            <w:pPr>
              <w:spacing w:after="0"/>
              <w:rPr>
                <w:sz w:val="10"/>
                <w:szCs w:val="10"/>
                <w:color w:val="auto"/>
              </w:rPr>
            </w:pPr>
          </w:p>
        </w:tc>
      </w:tr>
      <w:tr>
        <w:trPr>
          <w:trHeight w:val="172"/>
        </w:trPr>
        <w:tc>
          <w:tcPr>
            <w:tcW w:w="6140" w:type="dxa"/>
            <w:vAlign w:val="bottom"/>
            <w:shd w:val="clear" w:color="auto" w:fill="CCEEFF"/>
          </w:tcPr>
          <w:p>
            <w:pPr>
              <w:spacing w:after="0" w:line="170" w:lineRule="exact"/>
              <w:rPr>
                <w:sz w:val="20"/>
                <w:szCs w:val="20"/>
                <w:color w:val="auto"/>
              </w:rPr>
            </w:pPr>
            <w:r>
              <w:rPr>
                <w:rFonts w:ascii="Arial" w:cs="Arial" w:eastAsia="Arial" w:hAnsi="Arial"/>
                <w:sz w:val="15"/>
                <w:szCs w:val="15"/>
                <w:color w:val="auto"/>
              </w:rPr>
              <w:t>Building</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36.6</w:t>
            </w:r>
          </w:p>
        </w:tc>
        <w:tc>
          <w:tcPr>
            <w:tcW w:w="540" w:type="dxa"/>
            <w:vAlign w:val="bottom"/>
            <w:shd w:val="clear" w:color="auto" w:fill="CCEEFF"/>
          </w:tcPr>
          <w:p>
            <w:pPr>
              <w:spacing w:after="0"/>
              <w:rPr>
                <w:sz w:val="14"/>
                <w:szCs w:val="14"/>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36.6</w:t>
            </w:r>
          </w:p>
        </w:tc>
        <w:tc>
          <w:tcPr>
            <w:tcW w:w="100" w:type="dxa"/>
            <w:vAlign w:val="bottom"/>
            <w:shd w:val="clear" w:color="auto" w:fill="CCEEFF"/>
          </w:tcPr>
          <w:p>
            <w:pPr>
              <w:spacing w:after="0"/>
              <w:rPr>
                <w:sz w:val="14"/>
                <w:szCs w:val="14"/>
                <w:color w:val="auto"/>
              </w:rPr>
            </w:pPr>
          </w:p>
        </w:tc>
      </w:tr>
      <w:tr>
        <w:trPr>
          <w:trHeight w:val="180"/>
        </w:trPr>
        <w:tc>
          <w:tcPr>
            <w:tcW w:w="6140" w:type="dxa"/>
            <w:vAlign w:val="bottom"/>
          </w:tcPr>
          <w:p>
            <w:pPr>
              <w:spacing w:after="0"/>
              <w:rPr>
                <w:sz w:val="20"/>
                <w:szCs w:val="20"/>
                <w:color w:val="auto"/>
              </w:rPr>
            </w:pPr>
            <w:r>
              <w:rPr>
                <w:rFonts w:ascii="Arial" w:cs="Arial" w:eastAsia="Arial" w:hAnsi="Arial"/>
                <w:sz w:val="15"/>
                <w:szCs w:val="15"/>
                <w:color w:val="auto"/>
              </w:rPr>
              <w:t>Datacenter and other computer equipment</w:t>
            </w:r>
          </w:p>
        </w:tc>
        <w:tc>
          <w:tcPr>
            <w:tcW w:w="80" w:type="dxa"/>
            <w:vAlign w:val="bottom"/>
          </w:tcPr>
          <w:p>
            <w:pPr>
              <w:spacing w:after="0"/>
              <w:rPr>
                <w:sz w:val="15"/>
                <w:szCs w:val="15"/>
                <w:color w:val="auto"/>
              </w:rPr>
            </w:pPr>
          </w:p>
        </w:tc>
        <w:tc>
          <w:tcPr>
            <w:tcW w:w="400" w:type="dxa"/>
            <w:vAlign w:val="bottom"/>
          </w:tcPr>
          <w:p>
            <w:pPr>
              <w:jc w:val="right"/>
              <w:spacing w:after="0"/>
              <w:rPr>
                <w:sz w:val="20"/>
                <w:szCs w:val="20"/>
                <w:color w:val="auto"/>
              </w:rPr>
            </w:pPr>
            <w:r>
              <w:rPr>
                <w:rFonts w:ascii="Arial" w:cs="Arial" w:eastAsia="Arial" w:hAnsi="Arial"/>
                <w:sz w:val="15"/>
                <w:szCs w:val="15"/>
                <w:color w:val="auto"/>
              </w:rPr>
              <w:t>608.4</w:t>
            </w: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tcPr>
          <w:p>
            <w:pPr>
              <w:jc w:val="right"/>
              <w:spacing w:after="0"/>
              <w:rPr>
                <w:sz w:val="20"/>
                <w:szCs w:val="20"/>
                <w:color w:val="auto"/>
              </w:rPr>
            </w:pPr>
            <w:r>
              <w:rPr>
                <w:rFonts w:ascii="Arial" w:cs="Arial" w:eastAsia="Arial" w:hAnsi="Arial"/>
                <w:sz w:val="15"/>
                <w:szCs w:val="15"/>
                <w:color w:val="auto"/>
                <w:w w:val="95"/>
              </w:rPr>
              <w:t>663.1</w:t>
            </w:r>
          </w:p>
        </w:tc>
        <w:tc>
          <w:tcPr>
            <w:tcW w:w="100" w:type="dxa"/>
            <w:vAlign w:val="bottom"/>
          </w:tcPr>
          <w:p>
            <w:pPr>
              <w:spacing w:after="0"/>
              <w:rPr>
                <w:sz w:val="15"/>
                <w:szCs w:val="15"/>
                <w:color w:val="auto"/>
              </w:rPr>
            </w:pPr>
          </w:p>
        </w:tc>
      </w:tr>
      <w:tr>
        <w:trPr>
          <w:trHeight w:val="180"/>
        </w:trPr>
        <w:tc>
          <w:tcPr>
            <w:tcW w:w="6140" w:type="dxa"/>
            <w:vAlign w:val="bottom"/>
            <w:shd w:val="clear" w:color="auto" w:fill="CCEEFF"/>
          </w:tcPr>
          <w:p>
            <w:pPr>
              <w:spacing w:after="0"/>
              <w:rPr>
                <w:sz w:val="20"/>
                <w:szCs w:val="20"/>
                <w:color w:val="auto"/>
              </w:rPr>
            </w:pPr>
            <w:r>
              <w:rPr>
                <w:rFonts w:ascii="Arial" w:cs="Arial" w:eastAsia="Arial" w:hAnsi="Arial"/>
                <w:sz w:val="15"/>
                <w:szCs w:val="15"/>
                <w:color w:val="auto"/>
              </w:rPr>
              <w:t>Furniture and fixtures</w:t>
            </w:r>
          </w:p>
        </w:tc>
        <w:tc>
          <w:tcPr>
            <w:tcW w:w="8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540"/>
              <w:spacing w:after="0"/>
              <w:rPr>
                <w:sz w:val="20"/>
                <w:szCs w:val="20"/>
                <w:color w:val="auto"/>
              </w:rPr>
            </w:pPr>
            <w:r>
              <w:rPr>
                <w:rFonts w:ascii="Arial" w:cs="Arial" w:eastAsia="Arial" w:hAnsi="Arial"/>
                <w:sz w:val="15"/>
                <w:szCs w:val="15"/>
                <w:color w:val="auto"/>
              </w:rPr>
              <w:t>21.0</w:t>
            </w:r>
          </w:p>
        </w:tc>
        <w:tc>
          <w:tcPr>
            <w:tcW w:w="80" w:type="dxa"/>
            <w:vAlign w:val="bottom"/>
            <w:shd w:val="clear" w:color="auto" w:fill="CCEEFF"/>
          </w:tcPr>
          <w:p>
            <w:pPr>
              <w:spacing w:after="0"/>
              <w:rPr>
                <w:sz w:val="15"/>
                <w:szCs w:val="15"/>
                <w:color w:val="auto"/>
              </w:rPr>
            </w:pP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21.2</w:t>
            </w:r>
          </w:p>
        </w:tc>
      </w:tr>
      <w:tr>
        <w:trPr>
          <w:trHeight w:val="180"/>
        </w:trPr>
        <w:tc>
          <w:tcPr>
            <w:tcW w:w="6140" w:type="dxa"/>
            <w:vAlign w:val="bottom"/>
          </w:tcPr>
          <w:p>
            <w:pPr>
              <w:spacing w:after="0"/>
              <w:rPr>
                <w:sz w:val="20"/>
                <w:szCs w:val="20"/>
                <w:color w:val="auto"/>
              </w:rPr>
            </w:pPr>
            <w:r>
              <w:rPr>
                <w:rFonts w:ascii="Arial" w:cs="Arial" w:eastAsia="Arial" w:hAnsi="Arial"/>
                <w:sz w:val="15"/>
                <w:szCs w:val="15"/>
                <w:color w:val="auto"/>
              </w:rPr>
              <w:t>Leasehold improvements</w:t>
            </w:r>
          </w:p>
        </w:tc>
        <w:tc>
          <w:tcPr>
            <w:tcW w:w="80" w:type="dxa"/>
            <w:vAlign w:val="bottom"/>
          </w:tcPr>
          <w:p>
            <w:pPr>
              <w:spacing w:after="0"/>
              <w:rPr>
                <w:sz w:val="15"/>
                <w:szCs w:val="15"/>
                <w:color w:val="auto"/>
              </w:rPr>
            </w:pPr>
          </w:p>
        </w:tc>
        <w:tc>
          <w:tcPr>
            <w:tcW w:w="940" w:type="dxa"/>
            <w:vAlign w:val="bottom"/>
            <w:gridSpan w:val="2"/>
          </w:tcPr>
          <w:p>
            <w:pPr>
              <w:jc w:val="right"/>
              <w:ind w:right="540"/>
              <w:spacing w:after="0"/>
              <w:rPr>
                <w:sz w:val="20"/>
                <w:szCs w:val="20"/>
                <w:color w:val="auto"/>
              </w:rPr>
            </w:pPr>
            <w:r>
              <w:rPr>
                <w:rFonts w:ascii="Arial" w:cs="Arial" w:eastAsia="Arial" w:hAnsi="Arial"/>
                <w:sz w:val="15"/>
                <w:szCs w:val="15"/>
                <w:color w:val="auto"/>
              </w:rPr>
              <w:t>114.1</w:t>
            </w:r>
          </w:p>
        </w:tc>
        <w:tc>
          <w:tcPr>
            <w:tcW w:w="80" w:type="dxa"/>
            <w:vAlign w:val="bottom"/>
          </w:tcPr>
          <w:p>
            <w:pPr>
              <w:spacing w:after="0"/>
              <w:rPr>
                <w:sz w:val="15"/>
                <w:szCs w:val="15"/>
                <w:color w:val="auto"/>
              </w:rPr>
            </w:pPr>
          </w:p>
        </w:tc>
        <w:tc>
          <w:tcPr>
            <w:tcW w:w="480" w:type="dxa"/>
            <w:vAlign w:val="bottom"/>
            <w:gridSpan w:val="2"/>
          </w:tcPr>
          <w:p>
            <w:pPr>
              <w:jc w:val="right"/>
              <w:ind w:right="100"/>
              <w:spacing w:after="0"/>
              <w:rPr>
                <w:sz w:val="20"/>
                <w:szCs w:val="20"/>
                <w:color w:val="auto"/>
              </w:rPr>
            </w:pPr>
            <w:r>
              <w:rPr>
                <w:rFonts w:ascii="Arial" w:cs="Arial" w:eastAsia="Arial" w:hAnsi="Arial"/>
                <w:sz w:val="15"/>
                <w:szCs w:val="15"/>
                <w:color w:val="auto"/>
                <w:w w:val="95"/>
              </w:rPr>
              <w:t>118.6</w:t>
            </w:r>
          </w:p>
        </w:tc>
      </w:tr>
      <w:tr>
        <w:trPr>
          <w:trHeight w:val="180"/>
        </w:trPr>
        <w:tc>
          <w:tcPr>
            <w:tcW w:w="6140" w:type="dxa"/>
            <w:vAlign w:val="bottom"/>
            <w:shd w:val="clear" w:color="auto" w:fill="CCEEFF"/>
          </w:tcPr>
          <w:p>
            <w:pPr>
              <w:spacing w:after="0"/>
              <w:rPr>
                <w:sz w:val="20"/>
                <w:szCs w:val="20"/>
                <w:color w:val="auto"/>
              </w:rPr>
            </w:pPr>
            <w:r>
              <w:rPr>
                <w:rFonts w:ascii="Arial" w:cs="Arial" w:eastAsia="Arial" w:hAnsi="Arial"/>
                <w:sz w:val="15"/>
                <w:szCs w:val="15"/>
                <w:color w:val="auto"/>
              </w:rPr>
              <w:t>Construction in process</w:t>
            </w:r>
          </w:p>
        </w:tc>
        <w:tc>
          <w:tcPr>
            <w:tcW w:w="80" w:type="dxa"/>
            <w:vAlign w:val="bottom"/>
            <w:tcBorders>
              <w:bottom w:val="single" w:sz="8" w:color="auto"/>
            </w:tcBorders>
            <w:shd w:val="clear" w:color="auto" w:fill="CCEEFF"/>
          </w:tcPr>
          <w:p>
            <w:pPr>
              <w:spacing w:after="0"/>
              <w:rPr>
                <w:sz w:val="15"/>
                <w:szCs w:val="15"/>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0.5</w:t>
            </w:r>
          </w:p>
        </w:tc>
        <w:tc>
          <w:tcPr>
            <w:tcW w:w="540" w:type="dxa"/>
            <w:vAlign w:val="bottom"/>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7.2</w:t>
            </w:r>
          </w:p>
        </w:tc>
        <w:tc>
          <w:tcPr>
            <w:tcW w:w="100" w:type="dxa"/>
            <w:vAlign w:val="bottom"/>
            <w:shd w:val="clear" w:color="auto" w:fill="CCEEFF"/>
          </w:tcPr>
          <w:p>
            <w:pPr>
              <w:spacing w:after="0"/>
              <w:rPr>
                <w:sz w:val="15"/>
                <w:szCs w:val="15"/>
                <w:color w:val="auto"/>
              </w:rPr>
            </w:pPr>
          </w:p>
        </w:tc>
      </w:tr>
      <w:tr>
        <w:trPr>
          <w:trHeight w:val="182"/>
        </w:trPr>
        <w:tc>
          <w:tcPr>
            <w:tcW w:w="6140" w:type="dxa"/>
            <w:vAlign w:val="bottom"/>
          </w:tcPr>
          <w:p>
            <w:pPr>
              <w:ind w:left="300"/>
              <w:spacing w:after="0"/>
              <w:rPr>
                <w:sz w:val="20"/>
                <w:szCs w:val="20"/>
                <w:color w:val="auto"/>
              </w:rPr>
            </w:pPr>
            <w:r>
              <w:rPr>
                <w:rFonts w:ascii="Arial" w:cs="Arial" w:eastAsia="Arial" w:hAnsi="Arial"/>
                <w:sz w:val="15"/>
                <w:szCs w:val="15"/>
                <w:color w:val="auto"/>
              </w:rPr>
              <w:t>Total property and equipment</w:t>
            </w:r>
          </w:p>
        </w:tc>
        <w:tc>
          <w:tcPr>
            <w:tcW w:w="80" w:type="dxa"/>
            <w:vAlign w:val="bottom"/>
          </w:tcPr>
          <w:p>
            <w:pPr>
              <w:spacing w:after="0"/>
              <w:rPr>
                <w:sz w:val="15"/>
                <w:szCs w:val="15"/>
                <w:color w:val="auto"/>
              </w:rPr>
            </w:pPr>
          </w:p>
        </w:tc>
        <w:tc>
          <w:tcPr>
            <w:tcW w:w="400" w:type="dxa"/>
            <w:vAlign w:val="bottom"/>
          </w:tcPr>
          <w:p>
            <w:pPr>
              <w:jc w:val="right"/>
              <w:spacing w:after="0"/>
              <w:rPr>
                <w:sz w:val="20"/>
                <w:szCs w:val="20"/>
                <w:color w:val="auto"/>
              </w:rPr>
            </w:pPr>
            <w:r>
              <w:rPr>
                <w:rFonts w:ascii="Arial" w:cs="Arial" w:eastAsia="Arial" w:hAnsi="Arial"/>
                <w:sz w:val="15"/>
                <w:szCs w:val="15"/>
                <w:color w:val="auto"/>
              </w:rPr>
              <w:t>780.6</w:t>
            </w: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tcPr>
          <w:p>
            <w:pPr>
              <w:jc w:val="right"/>
              <w:spacing w:after="0"/>
              <w:rPr>
                <w:sz w:val="20"/>
                <w:szCs w:val="20"/>
                <w:color w:val="auto"/>
              </w:rPr>
            </w:pPr>
            <w:r>
              <w:rPr>
                <w:rFonts w:ascii="Arial" w:cs="Arial" w:eastAsia="Arial" w:hAnsi="Arial"/>
                <w:sz w:val="15"/>
                <w:szCs w:val="15"/>
                <w:color w:val="auto"/>
                <w:w w:val="95"/>
              </w:rPr>
              <w:t>846.7</w:t>
            </w:r>
          </w:p>
        </w:tc>
        <w:tc>
          <w:tcPr>
            <w:tcW w:w="100" w:type="dxa"/>
            <w:vAlign w:val="bottom"/>
          </w:tcPr>
          <w:p>
            <w:pPr>
              <w:spacing w:after="0"/>
              <w:rPr>
                <w:sz w:val="15"/>
                <w:szCs w:val="15"/>
                <w:color w:val="auto"/>
              </w:rPr>
            </w:pPr>
          </w:p>
        </w:tc>
      </w:tr>
      <w:tr>
        <w:trPr>
          <w:trHeight w:val="181"/>
        </w:trPr>
        <w:tc>
          <w:tcPr>
            <w:tcW w:w="6140" w:type="dxa"/>
            <w:vAlign w:val="bottom"/>
            <w:shd w:val="clear" w:color="auto" w:fill="CCEEFF"/>
          </w:tcPr>
          <w:p>
            <w:pPr>
              <w:spacing w:after="0"/>
              <w:rPr>
                <w:sz w:val="20"/>
                <w:szCs w:val="20"/>
                <w:color w:val="auto"/>
              </w:rPr>
            </w:pPr>
            <w:r>
              <w:rPr>
                <w:rFonts w:ascii="Arial" w:cs="Arial" w:eastAsia="Arial" w:hAnsi="Arial"/>
                <w:sz w:val="15"/>
                <w:szCs w:val="15"/>
                <w:color w:val="auto"/>
              </w:rPr>
              <w:t>Accumulated depreciation and amortization</w:t>
            </w:r>
          </w:p>
        </w:tc>
        <w:tc>
          <w:tcPr>
            <w:tcW w:w="8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480"/>
              <w:spacing w:after="0"/>
              <w:rPr>
                <w:sz w:val="20"/>
                <w:szCs w:val="20"/>
                <w:color w:val="auto"/>
              </w:rPr>
            </w:pPr>
            <w:r>
              <w:rPr>
                <w:rFonts w:ascii="Arial" w:cs="Arial" w:eastAsia="Arial" w:hAnsi="Arial"/>
                <w:sz w:val="15"/>
                <w:szCs w:val="15"/>
                <w:color w:val="auto"/>
                <w:w w:val="92"/>
              </w:rPr>
              <w:t>(336.6)</w:t>
            </w:r>
          </w:p>
        </w:tc>
        <w:tc>
          <w:tcPr>
            <w:tcW w:w="80" w:type="dxa"/>
            <w:vAlign w:val="bottom"/>
            <w:shd w:val="clear" w:color="auto" w:fill="CCEEFF"/>
          </w:tcPr>
          <w:p>
            <w:pPr>
              <w:spacing w:after="0"/>
              <w:rPr>
                <w:sz w:val="15"/>
                <w:szCs w:val="15"/>
                <w:color w:val="auto"/>
              </w:rPr>
            </w:pPr>
          </w:p>
        </w:tc>
        <w:tc>
          <w:tcPr>
            <w:tcW w:w="48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w w:val="88"/>
              </w:rPr>
              <w:t>(504.8)</w:t>
            </w:r>
          </w:p>
        </w:tc>
      </w:tr>
      <w:tr>
        <w:trPr>
          <w:trHeight w:val="182"/>
        </w:trPr>
        <w:tc>
          <w:tcPr>
            <w:tcW w:w="6140" w:type="dxa"/>
            <w:vAlign w:val="bottom"/>
          </w:tcPr>
          <w:p>
            <w:pPr>
              <w:spacing w:after="0"/>
              <w:rPr>
                <w:sz w:val="20"/>
                <w:szCs w:val="20"/>
                <w:color w:val="auto"/>
              </w:rPr>
            </w:pPr>
            <w:r>
              <w:rPr>
                <w:rFonts w:ascii="Arial" w:cs="Arial" w:eastAsia="Arial" w:hAnsi="Arial"/>
                <w:sz w:val="15"/>
                <w:szCs w:val="15"/>
                <w:color w:val="auto"/>
              </w:rPr>
              <w:t>Property and equipment, net</w:t>
            </w: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444.0</w:t>
            </w:r>
          </w:p>
        </w:tc>
        <w:tc>
          <w:tcPr>
            <w:tcW w:w="540" w:type="dxa"/>
            <w:vAlign w:val="bottom"/>
          </w:tcPr>
          <w:p>
            <w:pPr>
              <w:spacing w:after="0"/>
              <w:rPr>
                <w:sz w:val="15"/>
                <w:szCs w:val="15"/>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95"/>
              </w:rPr>
              <w:t>341.9</w:t>
            </w:r>
          </w:p>
        </w:tc>
        <w:tc>
          <w:tcPr>
            <w:tcW w:w="100" w:type="dxa"/>
            <w:vAlign w:val="bottom"/>
          </w:tcPr>
          <w:p>
            <w:pPr>
              <w:spacing w:after="0"/>
              <w:rPr>
                <w:sz w:val="15"/>
                <w:szCs w:val="15"/>
                <w:color w:val="auto"/>
              </w:rPr>
            </w:pPr>
          </w:p>
        </w:tc>
      </w:tr>
      <w:tr>
        <w:trPr>
          <w:trHeight w:val="20"/>
        </w:trPr>
        <w:tc>
          <w:tcPr>
            <w:tcW w:w="6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81" w:lineRule="exact"/>
        <w:rPr>
          <w:sz w:val="20"/>
          <w:szCs w:val="20"/>
          <w:color w:val="auto"/>
        </w:rPr>
      </w:pPr>
    </w:p>
    <w:p>
      <w:pPr>
        <w:ind w:left="1120" w:firstLine="368"/>
        <w:spacing w:after="0" w:line="276" w:lineRule="auto"/>
        <w:rPr>
          <w:sz w:val="20"/>
          <w:szCs w:val="20"/>
          <w:color w:val="auto"/>
        </w:rPr>
      </w:pPr>
      <w:r>
        <w:rPr>
          <w:rFonts w:ascii="Arial" w:cs="Arial" w:eastAsia="Arial" w:hAnsi="Arial"/>
          <w:sz w:val="14"/>
          <w:szCs w:val="14"/>
          <w:color w:val="auto"/>
        </w:rPr>
        <w:t>In 2012, the Company undertook a series of structural improvements to the floor that it occupied in its previous corporate headquarters. As a result of the requirement to fund construction costs and its responsibility for cost overruns during the construction period, the Company was considered the deemed owner of the floor for accounting purposes. Due to the presence of a standby letter of credit as a security deposit, the Company was deemed to have continuing involvement after the construction period. As such, it accounted for this arrangement as owned real estate and recorded an imputed financing obligation for its obligation to the legal owners. The net book value of the asset was $27.7 million and $25.9 million as of December 31, 2016 and 2017, respectively. The accumulated depreciation of the building totaled $8.9 million and $10.8 million as of December 31, 2016 and 2017, respectively. See Note 10, “Commitments and Contingencies,” for additional details.</w:t>
      </w:r>
    </w:p>
    <w:p>
      <w:pPr>
        <w:spacing w:after="0" w:line="148" w:lineRule="exact"/>
        <w:rPr>
          <w:sz w:val="20"/>
          <w:szCs w:val="20"/>
          <w:color w:val="auto"/>
        </w:rPr>
      </w:pPr>
    </w:p>
    <w:p>
      <w:pPr>
        <w:jc w:val="both"/>
        <w:ind w:left="1120" w:right="160" w:firstLine="368"/>
        <w:spacing w:after="0" w:line="322" w:lineRule="auto"/>
        <w:rPr>
          <w:sz w:val="20"/>
          <w:szCs w:val="20"/>
          <w:color w:val="auto"/>
        </w:rPr>
      </w:pPr>
      <w:r>
        <w:rPr>
          <w:rFonts w:ascii="Arial" w:cs="Arial" w:eastAsia="Arial" w:hAnsi="Arial"/>
          <w:sz w:val="13"/>
          <w:szCs w:val="13"/>
          <w:color w:val="auto"/>
        </w:rPr>
        <w:t>The Company leases certain infrastructure from various third parties, including from a related party, through equipment financing leases under capital leases. See Note 15, “Related Party Transactions” for additional details. Infrastructure assets as of December 31, 2016 and 2017, respectively, included a total of $474.2 million and $417.9 million acquired under capital lease agreements. These leases are capitalized in property and equipment,</w:t>
      </w:r>
    </w:p>
    <w:p>
      <w:pPr>
        <w:spacing w:after="0" w:line="64" w:lineRule="exact"/>
        <w:rPr>
          <w:sz w:val="20"/>
          <w:szCs w:val="20"/>
          <w:color w:val="auto"/>
        </w:rPr>
      </w:pPr>
    </w:p>
    <w:p>
      <w:pPr>
        <w:ind w:left="5580"/>
        <w:spacing w:after="0"/>
        <w:rPr>
          <w:sz w:val="20"/>
          <w:szCs w:val="20"/>
          <w:color w:val="auto"/>
        </w:rPr>
      </w:pPr>
      <w:r>
        <w:rPr>
          <w:rFonts w:ascii="Arial" w:cs="Arial" w:eastAsia="Arial" w:hAnsi="Arial"/>
          <w:sz w:val="15"/>
          <w:szCs w:val="15"/>
          <w:color w:val="auto"/>
        </w:rPr>
        <w:t>F-20</w:t>
      </w:r>
    </w:p>
    <w:p>
      <w:pPr>
        <w:sectPr>
          <w:pgSz w:w="11900" w:h="16838" w:orient="portrait"/>
          <w:cols w:equalWidth="0" w:num="1">
            <w:col w:w="10300"/>
          </w:cols>
          <w:pgMar w:left="240" w:top="408" w:right="1359" w:bottom="1440" w:gutter="0" w:footer="0" w:header="0"/>
        </w:sectPr>
      </w:pPr>
    </w:p>
    <w:bookmarkStart w:id="223" w:name="page224"/>
    <w:bookmarkEnd w:id="223"/>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133350</wp:posOffset>
            </wp:positionH>
            <wp:positionV relativeFrom="page">
              <wp:posOffset>88900</wp:posOffset>
            </wp:positionV>
            <wp:extent cx="7308850" cy="3429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308850" cy="34290"/>
                    </a:xfrm>
                    <a:prstGeom prst="rect">
                      <a:avLst/>
                    </a:prstGeom>
                    <a:noFill/>
                  </pic:spPr>
                </pic:pic>
              </a:graphicData>
            </a:graphic>
          </wp:anchor>
        </w:drawing>
      </w:r>
      <w:hyperlink w:anchor="page7">
        <w:r>
          <w:rPr>
            <w:rFonts w:ascii="Arial" w:cs="Arial" w:eastAsia="Arial" w:hAnsi="Arial"/>
            <w:sz w:val="15"/>
            <w:szCs w:val="15"/>
            <w:b w:val="1"/>
            <w:bCs w:val="1"/>
            <w:u w:val="single" w:color="auto"/>
            <w:color w:val="0000EE"/>
          </w:rPr>
          <w:t>Table of Contents</w:t>
        </w:r>
      </w:hyperlink>
    </w:p>
    <w:p>
      <w:pPr>
        <w:spacing w:after="0" w:line="260" w:lineRule="exact"/>
        <w:rPr>
          <w:sz w:val="20"/>
          <w:szCs w:val="20"/>
          <w:color w:val="auto"/>
        </w:rPr>
      </w:pPr>
    </w:p>
    <w:p>
      <w:pPr>
        <w:ind w:left="1120" w:right="280"/>
        <w:spacing w:after="0" w:line="312" w:lineRule="auto"/>
        <w:rPr>
          <w:sz w:val="20"/>
          <w:szCs w:val="20"/>
          <w:color w:val="auto"/>
        </w:rPr>
      </w:pPr>
      <w:r>
        <w:rPr>
          <w:rFonts w:ascii="Arial" w:cs="Arial" w:eastAsia="Arial" w:hAnsi="Arial"/>
          <w:sz w:val="14"/>
          <w:szCs w:val="14"/>
          <w:color w:val="auto"/>
        </w:rPr>
        <w:t>and the related amortization of assets under capital leases is included in depreciation and amortization expense. The accumulated depreciation of the infrastructure under capital leases totaled $224.9 million and $259.0 million as of December 31, 2016 and 2017, respectively.</w:t>
      </w:r>
    </w:p>
    <w:p>
      <w:pPr>
        <w:spacing w:after="0" w:line="123" w:lineRule="exact"/>
        <w:rPr>
          <w:sz w:val="20"/>
          <w:szCs w:val="20"/>
          <w:color w:val="auto"/>
        </w:rPr>
      </w:pPr>
    </w:p>
    <w:p>
      <w:pPr>
        <w:ind w:left="1480"/>
        <w:spacing w:after="0"/>
        <w:rPr>
          <w:sz w:val="20"/>
          <w:szCs w:val="20"/>
          <w:color w:val="auto"/>
        </w:rPr>
      </w:pPr>
      <w:r>
        <w:rPr>
          <w:rFonts w:ascii="Arial" w:cs="Arial" w:eastAsia="Arial" w:hAnsi="Arial"/>
          <w:sz w:val="14"/>
          <w:szCs w:val="14"/>
          <w:color w:val="auto"/>
        </w:rPr>
        <w:t>Construction in process includes costs primarily related to construction of leasehold improvements for office buildings and datacenters.</w:t>
      </w:r>
    </w:p>
    <w:p>
      <w:pPr>
        <w:spacing w:after="0" w:line="200" w:lineRule="exact"/>
        <w:rPr>
          <w:sz w:val="20"/>
          <w:szCs w:val="20"/>
          <w:color w:val="auto"/>
        </w:rPr>
      </w:pPr>
    </w:p>
    <w:p>
      <w:pPr>
        <w:ind w:left="1120" w:right="40" w:firstLine="368"/>
        <w:spacing w:after="0" w:line="275" w:lineRule="auto"/>
        <w:rPr>
          <w:sz w:val="20"/>
          <w:szCs w:val="20"/>
          <w:color w:val="auto"/>
        </w:rPr>
      </w:pPr>
      <w:r>
        <w:rPr>
          <w:rFonts w:ascii="Arial" w:cs="Arial" w:eastAsia="Arial" w:hAnsi="Arial"/>
          <w:sz w:val="15"/>
          <w:szCs w:val="15"/>
          <w:color w:val="auto"/>
        </w:rPr>
        <w:t>Depreciation expense related to property and equipment was $127.3 million, $173.8 million, and $170.7 million for the years ended December 31, 2015, 2016, and 2017, respectively.</w:t>
      </w:r>
    </w:p>
    <w:p>
      <w:pPr>
        <w:spacing w:after="0" w:line="232" w:lineRule="exact"/>
        <w:rPr>
          <w:sz w:val="20"/>
          <w:szCs w:val="20"/>
          <w:color w:val="auto"/>
        </w:rPr>
      </w:pPr>
    </w:p>
    <w:p>
      <w:pPr>
        <w:ind w:left="1120"/>
        <w:spacing w:after="0"/>
        <w:rPr>
          <w:sz w:val="20"/>
          <w:szCs w:val="20"/>
          <w:color w:val="auto"/>
        </w:rPr>
      </w:pPr>
      <w:r>
        <w:rPr>
          <w:rFonts w:ascii="Arial" w:cs="Arial" w:eastAsia="Arial" w:hAnsi="Arial"/>
          <w:sz w:val="15"/>
          <w:szCs w:val="15"/>
          <w:b w:val="1"/>
          <w:bCs w:val="1"/>
          <w:color w:val="auto"/>
        </w:rPr>
        <w:t>Note 5. Business Combinations</w:t>
      </w:r>
    </w:p>
    <w:p>
      <w:pPr>
        <w:spacing w:after="0" w:line="102" w:lineRule="exact"/>
        <w:rPr>
          <w:sz w:val="20"/>
          <w:szCs w:val="20"/>
          <w:color w:val="auto"/>
        </w:rPr>
      </w:pPr>
    </w:p>
    <w:p>
      <w:pPr>
        <w:ind w:left="1120" w:right="100" w:firstLine="368"/>
        <w:spacing w:after="0" w:line="257" w:lineRule="auto"/>
        <w:rPr>
          <w:sz w:val="20"/>
          <w:szCs w:val="20"/>
          <w:color w:val="auto"/>
        </w:rPr>
      </w:pPr>
      <w:r>
        <w:rPr>
          <w:rFonts w:ascii="Arial" w:cs="Arial" w:eastAsia="Arial" w:hAnsi="Arial"/>
          <w:sz w:val="15"/>
          <w:szCs w:val="15"/>
          <w:color w:val="auto"/>
        </w:rPr>
        <w:t>The Company did not complete any business combinations during the years ended December 31, 2016 and 2017. During the year ended December 31, 2015, the Company completed the business combination described below. The results of operations for this business combination were included in the accompanying consolidated statements of operations since its acquisition date. The impact of its results to the periods presented was not material. Pro forma results of operations have not been presented because the effects of the acquisition were not material to the consolidated financial statements.</w:t>
      </w:r>
    </w:p>
    <w:p>
      <w:pPr>
        <w:spacing w:after="0" w:line="159" w:lineRule="exact"/>
        <w:rPr>
          <w:sz w:val="20"/>
          <w:szCs w:val="20"/>
          <w:color w:val="auto"/>
        </w:rPr>
      </w:pPr>
    </w:p>
    <w:p>
      <w:pPr>
        <w:jc w:val="both"/>
        <w:ind w:left="1120" w:right="20" w:firstLine="368"/>
        <w:spacing w:after="0" w:line="322" w:lineRule="auto"/>
        <w:rPr>
          <w:sz w:val="20"/>
          <w:szCs w:val="20"/>
          <w:color w:val="auto"/>
        </w:rPr>
      </w:pPr>
      <w:r>
        <w:rPr>
          <w:rFonts w:ascii="Arial" w:cs="Arial" w:eastAsia="Arial" w:hAnsi="Arial"/>
          <w:sz w:val="13"/>
          <w:szCs w:val="13"/>
          <w:color w:val="auto"/>
        </w:rPr>
        <w:t>In January 2015, the Company acquired all of the outstanding shares of CloudOn, Inc (“CloudOn”) for total consideration of $31.4 million, which was comprised solely of shares of Dropbox common stock. CloudOn was an Israel-based developer of mobile software that allowed users to edit, create, organize, and share Microsoft Office documents. The fair value of the net assets acquired from the CloudOn business combination was not material.</w:t>
      </w:r>
    </w:p>
    <w:p>
      <w:pPr>
        <w:spacing w:after="0" w:line="206" w:lineRule="exact"/>
        <w:rPr>
          <w:sz w:val="20"/>
          <w:szCs w:val="20"/>
          <w:color w:val="auto"/>
        </w:rPr>
      </w:pPr>
    </w:p>
    <w:p>
      <w:pPr>
        <w:ind w:left="1120"/>
        <w:spacing w:after="0"/>
        <w:rPr>
          <w:sz w:val="20"/>
          <w:szCs w:val="20"/>
          <w:color w:val="auto"/>
        </w:rPr>
      </w:pPr>
      <w:r>
        <w:rPr>
          <w:rFonts w:ascii="Arial" w:cs="Arial" w:eastAsia="Arial" w:hAnsi="Arial"/>
          <w:sz w:val="15"/>
          <w:szCs w:val="15"/>
          <w:b w:val="1"/>
          <w:bCs w:val="1"/>
          <w:color w:val="auto"/>
        </w:rPr>
        <w:t>Note 6. Intangible Assets, Net</w:t>
      </w:r>
    </w:p>
    <w:p>
      <w:pPr>
        <w:spacing w:after="0" w:line="102" w:lineRule="exact"/>
        <w:rPr>
          <w:sz w:val="20"/>
          <w:szCs w:val="20"/>
          <w:color w:val="auto"/>
        </w:rPr>
      </w:pPr>
    </w:p>
    <w:p>
      <w:pPr>
        <w:ind w:left="1480"/>
        <w:spacing w:after="0"/>
        <w:rPr>
          <w:sz w:val="20"/>
          <w:szCs w:val="20"/>
          <w:color w:val="auto"/>
        </w:rPr>
      </w:pPr>
      <w:r>
        <w:rPr>
          <w:rFonts w:ascii="Arial" w:cs="Arial" w:eastAsia="Arial" w:hAnsi="Arial"/>
          <w:sz w:val="15"/>
          <w:szCs w:val="15"/>
          <w:color w:val="auto"/>
        </w:rPr>
        <w:t>Intangible assets consisted of the following:</w:t>
      </w:r>
    </w:p>
    <w:p>
      <w:pPr>
        <w:spacing w:after="0" w:line="188" w:lineRule="exact"/>
        <w:rPr>
          <w:sz w:val="20"/>
          <w:szCs w:val="20"/>
          <w:color w:val="auto"/>
        </w:rPr>
      </w:pPr>
    </w:p>
    <w:tbl>
      <w:tblPr>
        <w:tblLayout w:type="fixed"/>
        <w:tblInd w:w="1120" w:type="dxa"/>
        <w:tblCellMar>
          <w:top w:w="0" w:type="dxa"/>
          <w:left w:w="0" w:type="dxa"/>
          <w:bottom w:w="0" w:type="dxa"/>
          <w:right w:w="0" w:type="dxa"/>
        </w:tblCellMar>
      </w:tblPr>
      <w:tr>
        <w:trPr>
          <w:trHeight w:val="138"/>
        </w:trPr>
        <w:tc>
          <w:tcPr>
            <w:tcW w:w="20" w:type="dxa"/>
            <w:vAlign w:val="bottom"/>
          </w:tcPr>
          <w:p>
            <w:pPr>
              <w:spacing w:after="0"/>
              <w:rPr>
                <w:sz w:val="12"/>
                <w:szCs w:val="12"/>
                <w:color w:val="auto"/>
              </w:rPr>
            </w:pPr>
          </w:p>
        </w:tc>
        <w:tc>
          <w:tcPr>
            <w:tcW w:w="488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60" w:type="dxa"/>
            <w:vAlign w:val="bottom"/>
            <w:gridSpan w:val="3"/>
          </w:tcPr>
          <w:p>
            <w:pPr>
              <w:jc w:val="right"/>
              <w:ind w:right="60"/>
              <w:spacing w:after="0"/>
              <w:rPr>
                <w:sz w:val="20"/>
                <w:szCs w:val="20"/>
                <w:color w:val="auto"/>
              </w:rPr>
            </w:pPr>
            <w:r>
              <w:rPr>
                <w:rFonts w:ascii="Arial" w:cs="Arial" w:eastAsia="Arial" w:hAnsi="Arial"/>
                <w:sz w:val="12"/>
                <w:szCs w:val="12"/>
                <w:b w:val="1"/>
                <w:bCs w:val="1"/>
                <w:color w:val="auto"/>
              </w:rPr>
              <w:t>Weighted-</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4880" w:type="dxa"/>
            <w:vAlign w:val="bottom"/>
          </w:tcPr>
          <w:p>
            <w:pPr>
              <w:spacing w:after="0"/>
              <w:rPr>
                <w:sz w:val="10"/>
                <w:szCs w:val="10"/>
                <w:color w:val="auto"/>
              </w:rPr>
            </w:pPr>
          </w:p>
        </w:tc>
        <w:tc>
          <w:tcPr>
            <w:tcW w:w="20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80" w:type="dxa"/>
            <w:vAlign w:val="bottom"/>
            <w:gridSpan w:val="2"/>
          </w:tcPr>
          <w:p>
            <w:pPr>
              <w:jc w:val="center"/>
              <w:ind w:right="60"/>
              <w:spacing w:after="0" w:line="124" w:lineRule="exact"/>
              <w:rPr>
                <w:sz w:val="20"/>
                <w:szCs w:val="20"/>
                <w:color w:val="auto"/>
              </w:rPr>
            </w:pPr>
            <w:r>
              <w:rPr>
                <w:rFonts w:ascii="Arial" w:cs="Arial" w:eastAsia="Arial" w:hAnsi="Arial"/>
                <w:sz w:val="12"/>
                <w:szCs w:val="12"/>
                <w:b w:val="1"/>
                <w:bCs w:val="1"/>
                <w:color w:val="auto"/>
                <w:w w:val="88"/>
              </w:rPr>
              <w:t>average</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4880" w:type="dxa"/>
            <w:vAlign w:val="bottom"/>
          </w:tcPr>
          <w:p>
            <w:pPr>
              <w:spacing w:after="0"/>
              <w:rPr>
                <w:sz w:val="10"/>
                <w:szCs w:val="10"/>
                <w:color w:val="auto"/>
              </w:rPr>
            </w:pPr>
          </w:p>
        </w:tc>
        <w:tc>
          <w:tcPr>
            <w:tcW w:w="20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60" w:type="dxa"/>
            <w:vAlign w:val="bottom"/>
            <w:gridSpan w:val="6"/>
            <w:vMerge w:val="restart"/>
          </w:tcPr>
          <w:p>
            <w:pPr>
              <w:jc w:val="right"/>
              <w:ind w:right="400"/>
              <w:spacing w:after="0"/>
              <w:rPr>
                <w:sz w:val="20"/>
                <w:szCs w:val="20"/>
                <w:color w:val="auto"/>
              </w:rPr>
            </w:pPr>
            <w:r>
              <w:rPr>
                <w:rFonts w:ascii="Arial" w:cs="Arial" w:eastAsia="Arial" w:hAnsi="Arial"/>
                <w:sz w:val="12"/>
                <w:szCs w:val="12"/>
                <w:b w:val="1"/>
                <w:bCs w:val="1"/>
                <w:color w:val="auto"/>
                <w:w w:val="93"/>
              </w:rPr>
              <w:t>As of December 31,</w:t>
            </w:r>
          </w:p>
        </w:tc>
        <w:tc>
          <w:tcPr>
            <w:tcW w:w="760" w:type="dxa"/>
            <w:vAlign w:val="bottom"/>
            <w:gridSpan w:val="3"/>
          </w:tcPr>
          <w:p>
            <w:pPr>
              <w:jc w:val="right"/>
              <w:ind w:right="60"/>
              <w:spacing w:after="0" w:line="124" w:lineRule="exact"/>
              <w:rPr>
                <w:sz w:val="20"/>
                <w:szCs w:val="20"/>
                <w:color w:val="auto"/>
              </w:rPr>
            </w:pPr>
            <w:r>
              <w:rPr>
                <w:rFonts w:ascii="Arial" w:cs="Arial" w:eastAsia="Arial" w:hAnsi="Arial"/>
                <w:sz w:val="12"/>
                <w:szCs w:val="12"/>
                <w:b w:val="1"/>
                <w:bCs w:val="1"/>
                <w:color w:val="auto"/>
              </w:rPr>
              <w:t>remaining</w:t>
            </w:r>
          </w:p>
        </w:tc>
        <w:tc>
          <w:tcPr>
            <w:tcW w:w="0" w:type="dxa"/>
            <w:vAlign w:val="bottom"/>
          </w:tcPr>
          <w:p>
            <w:pPr>
              <w:spacing w:after="0"/>
              <w:rPr>
                <w:sz w:val="1"/>
                <w:szCs w:val="1"/>
                <w:color w:val="auto"/>
              </w:rPr>
            </w:pPr>
          </w:p>
        </w:tc>
      </w:tr>
      <w:tr>
        <w:trPr>
          <w:trHeight w:val="87"/>
        </w:trPr>
        <w:tc>
          <w:tcPr>
            <w:tcW w:w="20" w:type="dxa"/>
            <w:vAlign w:val="bottom"/>
          </w:tcPr>
          <w:p>
            <w:pPr>
              <w:spacing w:after="0"/>
              <w:rPr>
                <w:sz w:val="7"/>
                <w:szCs w:val="7"/>
                <w:color w:val="auto"/>
              </w:rPr>
            </w:pPr>
          </w:p>
        </w:tc>
        <w:tc>
          <w:tcPr>
            <w:tcW w:w="4880" w:type="dxa"/>
            <w:vAlign w:val="bottom"/>
          </w:tcPr>
          <w:p>
            <w:pPr>
              <w:spacing w:after="0"/>
              <w:rPr>
                <w:sz w:val="7"/>
                <w:szCs w:val="7"/>
                <w:color w:val="auto"/>
              </w:rPr>
            </w:pPr>
          </w:p>
        </w:tc>
        <w:tc>
          <w:tcPr>
            <w:tcW w:w="2020" w:type="dxa"/>
            <w:vAlign w:val="bottom"/>
          </w:tcPr>
          <w:p>
            <w:pPr>
              <w:spacing w:after="0"/>
              <w:rPr>
                <w:sz w:val="7"/>
                <w:szCs w:val="7"/>
                <w:color w:val="auto"/>
              </w:rPr>
            </w:pPr>
          </w:p>
        </w:tc>
        <w:tc>
          <w:tcPr>
            <w:tcW w:w="60" w:type="dxa"/>
            <w:vAlign w:val="bottom"/>
          </w:tcPr>
          <w:p>
            <w:pPr>
              <w:spacing w:after="0"/>
              <w:rPr>
                <w:sz w:val="7"/>
                <w:szCs w:val="7"/>
                <w:color w:val="auto"/>
              </w:rPr>
            </w:pPr>
          </w:p>
        </w:tc>
        <w:tc>
          <w:tcPr>
            <w:tcW w:w="1460" w:type="dxa"/>
            <w:vAlign w:val="bottom"/>
            <w:gridSpan w:val="6"/>
            <w:vMerge w:val="continue"/>
          </w:tcPr>
          <w:p>
            <w:pPr>
              <w:spacing w:after="0"/>
              <w:rPr>
                <w:sz w:val="7"/>
                <w:szCs w:val="7"/>
                <w:color w:val="auto"/>
              </w:rPr>
            </w:pPr>
          </w:p>
        </w:tc>
        <w:tc>
          <w:tcPr>
            <w:tcW w:w="180" w:type="dxa"/>
            <w:vAlign w:val="bottom"/>
          </w:tcPr>
          <w:p>
            <w:pPr>
              <w:spacing w:after="0"/>
              <w:rPr>
                <w:sz w:val="7"/>
                <w:szCs w:val="7"/>
                <w:color w:val="auto"/>
              </w:rPr>
            </w:pPr>
          </w:p>
        </w:tc>
        <w:tc>
          <w:tcPr>
            <w:tcW w:w="580" w:type="dxa"/>
            <w:vAlign w:val="bottom"/>
            <w:gridSpan w:val="2"/>
            <w:vMerge w:val="restart"/>
          </w:tcPr>
          <w:p>
            <w:pPr>
              <w:jc w:val="right"/>
              <w:ind w:right="60"/>
              <w:spacing w:after="0" w:line="128" w:lineRule="exact"/>
              <w:rPr>
                <w:sz w:val="20"/>
                <w:szCs w:val="20"/>
                <w:color w:val="auto"/>
              </w:rPr>
            </w:pPr>
            <w:r>
              <w:rPr>
                <w:rFonts w:ascii="Arial" w:cs="Arial" w:eastAsia="Arial" w:hAnsi="Arial"/>
                <w:sz w:val="12"/>
                <w:szCs w:val="12"/>
                <w:b w:val="1"/>
                <w:bCs w:val="1"/>
                <w:color w:val="auto"/>
                <w:w w:val="89"/>
              </w:rPr>
              <w:t>useful life</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88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340" w:type="dxa"/>
            <w:vAlign w:val="bottom"/>
            <w:tcBorders>
              <w:top w:val="single" w:sz="8" w:color="auto"/>
            </w:tcBorders>
            <w:vMerge w:val="restart"/>
          </w:tcPr>
          <w:p>
            <w:pPr>
              <w:jc w:val="right"/>
              <w:ind w:right="28"/>
              <w:spacing w:after="0"/>
              <w:rPr>
                <w:sz w:val="20"/>
                <w:szCs w:val="20"/>
                <w:color w:val="auto"/>
              </w:rPr>
            </w:pPr>
            <w:r>
              <w:rPr>
                <w:rFonts w:ascii="Arial" w:cs="Arial" w:eastAsia="Arial" w:hAnsi="Arial"/>
                <w:sz w:val="12"/>
                <w:szCs w:val="12"/>
                <w:b w:val="1"/>
                <w:bCs w:val="1"/>
                <w:color w:val="auto"/>
                <w:w w:val="82"/>
              </w:rPr>
              <w:t>2016</w:t>
            </w:r>
          </w:p>
        </w:tc>
        <w:tc>
          <w:tcPr>
            <w:tcW w:w="240" w:type="dxa"/>
            <w:vAlign w:val="bottom"/>
            <w:tcBorders>
              <w:top w:val="single" w:sz="8" w:color="auto"/>
            </w:tcBorders>
          </w:tcPr>
          <w:p>
            <w:pPr>
              <w:spacing w:after="0" w:line="20" w:lineRule="exact"/>
              <w:rPr>
                <w:sz w:val="1"/>
                <w:szCs w:val="1"/>
                <w:color w:val="auto"/>
              </w:rPr>
            </w:pPr>
          </w:p>
        </w:tc>
        <w:tc>
          <w:tcPr>
            <w:tcW w:w="18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360" w:type="dxa"/>
            <w:vAlign w:val="bottom"/>
            <w:tcBorders>
              <w:top w:val="single" w:sz="8" w:color="auto"/>
            </w:tcBorders>
            <w:vMerge w:val="restart"/>
          </w:tcPr>
          <w:p>
            <w:pPr>
              <w:jc w:val="right"/>
              <w:ind w:right="46"/>
              <w:spacing w:after="0"/>
              <w:rPr>
                <w:sz w:val="20"/>
                <w:szCs w:val="20"/>
                <w:color w:val="auto"/>
              </w:rPr>
            </w:pPr>
            <w:r>
              <w:rPr>
                <w:rFonts w:ascii="Arial" w:cs="Arial" w:eastAsia="Arial" w:hAnsi="Arial"/>
                <w:sz w:val="12"/>
                <w:szCs w:val="12"/>
                <w:b w:val="1"/>
                <w:bCs w:val="1"/>
                <w:color w:val="auto"/>
                <w:w w:val="82"/>
              </w:rPr>
              <w:t>2017</w:t>
            </w: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gridSpan w:val="2"/>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0"/>
        </w:trPr>
        <w:tc>
          <w:tcPr>
            <w:tcW w:w="20" w:type="dxa"/>
            <w:vAlign w:val="bottom"/>
          </w:tcPr>
          <w:p>
            <w:pPr>
              <w:spacing w:after="0"/>
              <w:rPr>
                <w:sz w:val="12"/>
                <w:szCs w:val="12"/>
                <w:color w:val="auto"/>
              </w:rPr>
            </w:pPr>
          </w:p>
        </w:tc>
        <w:tc>
          <w:tcPr>
            <w:tcW w:w="488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4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gridSpan w:val="2"/>
          </w:tcPr>
          <w:p>
            <w:pPr>
              <w:jc w:val="center"/>
              <w:ind w:right="40"/>
              <w:spacing w:after="0"/>
              <w:rPr>
                <w:sz w:val="20"/>
                <w:szCs w:val="20"/>
                <w:color w:val="auto"/>
              </w:rPr>
            </w:pPr>
            <w:r>
              <w:rPr>
                <w:rFonts w:ascii="Arial" w:cs="Arial" w:eastAsia="Arial" w:hAnsi="Arial"/>
                <w:sz w:val="12"/>
                <w:szCs w:val="12"/>
                <w:color w:val="auto"/>
                <w:w w:val="90"/>
              </w:rPr>
              <w:t>(In years)</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880" w:type="dxa"/>
            <w:vAlign w:val="bottom"/>
            <w:tcBorders>
              <w:top w:val="single" w:sz="8" w:color="CCEEFF"/>
            </w:tcBorders>
            <w:shd w:val="clear" w:color="auto" w:fill="CCEEFF"/>
          </w:tcPr>
          <w:p>
            <w:pPr>
              <w:spacing w:after="0" w:line="170" w:lineRule="exact"/>
              <w:rPr>
                <w:sz w:val="20"/>
                <w:szCs w:val="20"/>
                <w:color w:val="auto"/>
              </w:rPr>
            </w:pPr>
            <w:r>
              <w:rPr>
                <w:rFonts w:ascii="Arial" w:cs="Arial" w:eastAsia="Arial" w:hAnsi="Arial"/>
                <w:sz w:val="15"/>
                <w:szCs w:val="15"/>
                <w:color w:val="auto"/>
              </w:rPr>
              <w:t>Developed technology</w:t>
            </w:r>
          </w:p>
        </w:tc>
        <w:tc>
          <w:tcPr>
            <w:tcW w:w="2020" w:type="dxa"/>
            <w:vAlign w:val="bottom"/>
            <w:tcBorders>
              <w:top w:val="single" w:sz="8" w:color="CCEEFF"/>
            </w:tcBorders>
            <w:shd w:val="clear" w:color="auto" w:fill="CCEEFF"/>
          </w:tcPr>
          <w:p>
            <w:pPr>
              <w:spacing w:after="0"/>
              <w:rPr>
                <w:sz w:val="14"/>
                <w:szCs w:val="14"/>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50.6</w:t>
            </w:r>
          </w:p>
        </w:tc>
        <w:tc>
          <w:tcPr>
            <w:tcW w:w="24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50.9</w:t>
            </w:r>
          </w:p>
        </w:tc>
        <w:tc>
          <w:tcPr>
            <w:tcW w:w="24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CCEEFF"/>
            </w:tcBorders>
            <w:shd w:val="clear" w:color="auto" w:fill="CCEEFF"/>
          </w:tcPr>
          <w:p>
            <w:pPr>
              <w:spacing w:after="0"/>
              <w:rPr>
                <w:sz w:val="14"/>
                <w:szCs w:val="14"/>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0.5</w:t>
            </w:r>
          </w:p>
        </w:tc>
        <w:tc>
          <w:tcPr>
            <w:tcW w:w="4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880" w:type="dxa"/>
            <w:vAlign w:val="bottom"/>
          </w:tcPr>
          <w:p>
            <w:pPr>
              <w:spacing w:after="0"/>
              <w:rPr>
                <w:sz w:val="20"/>
                <w:szCs w:val="20"/>
                <w:color w:val="auto"/>
              </w:rPr>
            </w:pPr>
            <w:r>
              <w:rPr>
                <w:rFonts w:ascii="Arial" w:cs="Arial" w:eastAsia="Arial" w:hAnsi="Arial"/>
                <w:sz w:val="15"/>
                <w:szCs w:val="15"/>
                <w:color w:val="auto"/>
              </w:rPr>
              <w:t>Patents</w:t>
            </w:r>
          </w:p>
        </w:tc>
        <w:tc>
          <w:tcPr>
            <w:tcW w:w="20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40" w:type="dxa"/>
            <w:vAlign w:val="bottom"/>
          </w:tcPr>
          <w:p>
            <w:pPr>
              <w:jc w:val="right"/>
              <w:spacing w:after="0"/>
              <w:rPr>
                <w:sz w:val="20"/>
                <w:szCs w:val="20"/>
                <w:color w:val="auto"/>
              </w:rPr>
            </w:pPr>
            <w:r>
              <w:rPr>
                <w:rFonts w:ascii="Arial" w:cs="Arial" w:eastAsia="Arial" w:hAnsi="Arial"/>
                <w:sz w:val="15"/>
                <w:szCs w:val="15"/>
                <w:color w:val="auto"/>
              </w:rPr>
              <w:t>13.0</w:t>
            </w: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jc w:val="right"/>
              <w:spacing w:after="0"/>
              <w:rPr>
                <w:sz w:val="20"/>
                <w:szCs w:val="20"/>
                <w:color w:val="auto"/>
              </w:rPr>
            </w:pPr>
            <w:r>
              <w:rPr>
                <w:rFonts w:ascii="Arial" w:cs="Arial" w:eastAsia="Arial" w:hAnsi="Arial"/>
                <w:sz w:val="15"/>
                <w:szCs w:val="15"/>
                <w:color w:val="auto"/>
              </w:rPr>
              <w:t>13.0</w:t>
            </w:r>
          </w:p>
        </w:tc>
        <w:tc>
          <w:tcPr>
            <w:tcW w:w="240" w:type="dxa"/>
            <w:vAlign w:val="bottom"/>
          </w:tcPr>
          <w:p>
            <w:pPr>
              <w:spacing w:after="0"/>
              <w:rPr>
                <w:sz w:val="15"/>
                <w:szCs w:val="15"/>
                <w:color w:val="auto"/>
              </w:rPr>
            </w:pPr>
          </w:p>
        </w:tc>
        <w:tc>
          <w:tcPr>
            <w:tcW w:w="720" w:type="dxa"/>
            <w:vAlign w:val="bottom"/>
            <w:gridSpan w:val="2"/>
          </w:tcPr>
          <w:p>
            <w:pPr>
              <w:jc w:val="right"/>
              <w:spacing w:after="0"/>
              <w:rPr>
                <w:sz w:val="20"/>
                <w:szCs w:val="20"/>
                <w:color w:val="auto"/>
              </w:rPr>
            </w:pPr>
            <w:r>
              <w:rPr>
                <w:rFonts w:ascii="Arial" w:cs="Arial" w:eastAsia="Arial" w:hAnsi="Arial"/>
                <w:sz w:val="15"/>
                <w:szCs w:val="15"/>
                <w:color w:val="auto"/>
              </w:rPr>
              <w:t>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880" w:type="dxa"/>
            <w:vAlign w:val="bottom"/>
            <w:shd w:val="clear" w:color="auto" w:fill="CCEEFF"/>
          </w:tcPr>
          <w:p>
            <w:pPr>
              <w:spacing w:after="0"/>
              <w:rPr>
                <w:sz w:val="20"/>
                <w:szCs w:val="20"/>
                <w:color w:val="auto"/>
              </w:rPr>
            </w:pPr>
            <w:r>
              <w:rPr>
                <w:rFonts w:ascii="Arial" w:cs="Arial" w:eastAsia="Arial" w:hAnsi="Arial"/>
                <w:sz w:val="15"/>
                <w:szCs w:val="15"/>
                <w:color w:val="auto"/>
              </w:rPr>
              <w:t>Software</w:t>
            </w:r>
          </w:p>
        </w:tc>
        <w:tc>
          <w:tcPr>
            <w:tcW w:w="20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14.7</w:t>
            </w:r>
          </w:p>
        </w:tc>
        <w:tc>
          <w:tcPr>
            <w:tcW w:w="2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17.8</w:t>
            </w:r>
          </w:p>
        </w:tc>
        <w:tc>
          <w:tcPr>
            <w:tcW w:w="240" w:type="dxa"/>
            <w:vAlign w:val="bottom"/>
            <w:shd w:val="clear" w:color="auto" w:fill="CCEEFF"/>
          </w:tcPr>
          <w:p>
            <w:pPr>
              <w:spacing w:after="0"/>
              <w:rPr>
                <w:sz w:val="15"/>
                <w:szCs w:val="15"/>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2.5</w:t>
            </w: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880" w:type="dxa"/>
            <w:vAlign w:val="bottom"/>
          </w:tcPr>
          <w:p>
            <w:pPr>
              <w:spacing w:after="0"/>
              <w:rPr>
                <w:sz w:val="20"/>
                <w:szCs w:val="20"/>
                <w:color w:val="auto"/>
              </w:rPr>
            </w:pPr>
            <w:r>
              <w:rPr>
                <w:rFonts w:ascii="Arial" w:cs="Arial" w:eastAsia="Arial" w:hAnsi="Arial"/>
                <w:sz w:val="15"/>
                <w:szCs w:val="15"/>
                <w:color w:val="auto"/>
              </w:rPr>
              <w:t>Assembled workforce in asset acquisitions</w:t>
            </w:r>
          </w:p>
        </w:tc>
        <w:tc>
          <w:tcPr>
            <w:tcW w:w="20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40" w:type="dxa"/>
            <w:vAlign w:val="bottom"/>
          </w:tcPr>
          <w:p>
            <w:pPr>
              <w:jc w:val="right"/>
              <w:spacing w:after="0"/>
              <w:rPr>
                <w:sz w:val="20"/>
                <w:szCs w:val="20"/>
                <w:color w:val="auto"/>
              </w:rPr>
            </w:pPr>
            <w:r>
              <w:rPr>
                <w:rFonts w:ascii="Arial" w:cs="Arial" w:eastAsia="Arial" w:hAnsi="Arial"/>
                <w:sz w:val="15"/>
                <w:szCs w:val="15"/>
                <w:color w:val="auto"/>
              </w:rPr>
              <w:t>10.1</w:t>
            </w: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jc w:val="right"/>
              <w:spacing w:after="0"/>
              <w:rPr>
                <w:sz w:val="20"/>
                <w:szCs w:val="20"/>
                <w:color w:val="auto"/>
              </w:rPr>
            </w:pPr>
            <w:r>
              <w:rPr>
                <w:rFonts w:ascii="Arial" w:cs="Arial" w:eastAsia="Arial" w:hAnsi="Arial"/>
                <w:sz w:val="15"/>
                <w:szCs w:val="15"/>
                <w:color w:val="auto"/>
              </w:rPr>
              <w:t>10.1</w:t>
            </w:r>
          </w:p>
        </w:tc>
        <w:tc>
          <w:tcPr>
            <w:tcW w:w="240" w:type="dxa"/>
            <w:vAlign w:val="bottom"/>
          </w:tcPr>
          <w:p>
            <w:pPr>
              <w:spacing w:after="0"/>
              <w:rPr>
                <w:sz w:val="15"/>
                <w:szCs w:val="15"/>
                <w:color w:val="auto"/>
              </w:rPr>
            </w:pPr>
          </w:p>
        </w:tc>
        <w:tc>
          <w:tcPr>
            <w:tcW w:w="720" w:type="dxa"/>
            <w:vAlign w:val="bottom"/>
            <w:gridSpan w:val="2"/>
          </w:tcPr>
          <w:p>
            <w:pPr>
              <w:jc w:val="right"/>
              <w:spacing w:after="0"/>
              <w:rPr>
                <w:sz w:val="20"/>
                <w:szCs w:val="20"/>
                <w:color w:val="auto"/>
              </w:rPr>
            </w:pPr>
            <w:r>
              <w:rPr>
                <w:rFonts w:ascii="Arial" w:cs="Arial" w:eastAsia="Arial" w:hAnsi="Arial"/>
                <w:sz w:val="15"/>
                <w:szCs w:val="15"/>
                <w:color w:val="auto"/>
              </w:rPr>
              <w:t>1.3</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880" w:type="dxa"/>
            <w:vAlign w:val="bottom"/>
            <w:shd w:val="clear" w:color="auto" w:fill="CCEEFF"/>
          </w:tcPr>
          <w:p>
            <w:pPr>
              <w:spacing w:after="0"/>
              <w:rPr>
                <w:sz w:val="20"/>
                <w:szCs w:val="20"/>
                <w:color w:val="auto"/>
              </w:rPr>
            </w:pPr>
            <w:r>
              <w:rPr>
                <w:rFonts w:ascii="Arial" w:cs="Arial" w:eastAsia="Arial" w:hAnsi="Arial"/>
                <w:sz w:val="15"/>
                <w:szCs w:val="15"/>
                <w:color w:val="auto"/>
              </w:rPr>
              <w:t>Licenses</w:t>
            </w:r>
          </w:p>
        </w:tc>
        <w:tc>
          <w:tcPr>
            <w:tcW w:w="20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4.6</w:t>
            </w:r>
          </w:p>
        </w:tc>
        <w:tc>
          <w:tcPr>
            <w:tcW w:w="2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4.6</w:t>
            </w:r>
          </w:p>
        </w:tc>
        <w:tc>
          <w:tcPr>
            <w:tcW w:w="240" w:type="dxa"/>
            <w:vAlign w:val="bottom"/>
            <w:shd w:val="clear" w:color="auto" w:fill="CCEEFF"/>
          </w:tcPr>
          <w:p>
            <w:pPr>
              <w:spacing w:after="0"/>
              <w:rPr>
                <w:sz w:val="15"/>
                <w:szCs w:val="15"/>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3.3</w:t>
            </w: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4880" w:type="dxa"/>
            <w:vAlign w:val="bottom"/>
          </w:tcPr>
          <w:p>
            <w:pPr>
              <w:spacing w:after="0"/>
              <w:rPr>
                <w:sz w:val="20"/>
                <w:szCs w:val="20"/>
                <w:color w:val="auto"/>
              </w:rPr>
            </w:pPr>
            <w:r>
              <w:rPr>
                <w:rFonts w:ascii="Arial" w:cs="Arial" w:eastAsia="Arial" w:hAnsi="Arial"/>
                <w:sz w:val="15"/>
                <w:szCs w:val="15"/>
                <w:color w:val="auto"/>
              </w:rPr>
              <w:t>Non-compete agreements, trademarks and other</w:t>
            </w:r>
          </w:p>
        </w:tc>
        <w:tc>
          <w:tcPr>
            <w:tcW w:w="2020" w:type="dxa"/>
            <w:vAlign w:val="bottom"/>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4.1</w:t>
            </w: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4.0</w:t>
            </w:r>
          </w:p>
        </w:tc>
        <w:tc>
          <w:tcPr>
            <w:tcW w:w="240" w:type="dxa"/>
            <w:vAlign w:val="bottom"/>
          </w:tcPr>
          <w:p>
            <w:pPr>
              <w:spacing w:after="0"/>
              <w:rPr>
                <w:sz w:val="15"/>
                <w:szCs w:val="15"/>
                <w:color w:val="auto"/>
              </w:rPr>
            </w:pPr>
          </w:p>
        </w:tc>
        <w:tc>
          <w:tcPr>
            <w:tcW w:w="720" w:type="dxa"/>
            <w:vAlign w:val="bottom"/>
            <w:gridSpan w:val="2"/>
          </w:tcPr>
          <w:p>
            <w:pPr>
              <w:jc w:val="right"/>
              <w:spacing w:after="0"/>
              <w:rPr>
                <w:sz w:val="20"/>
                <w:szCs w:val="20"/>
                <w:color w:val="auto"/>
              </w:rPr>
            </w:pPr>
            <w:r>
              <w:rPr>
                <w:rFonts w:ascii="Arial" w:cs="Arial" w:eastAsia="Arial" w:hAnsi="Arial"/>
                <w:sz w:val="15"/>
                <w:szCs w:val="15"/>
                <w:color w:val="auto"/>
              </w:rPr>
              <w:t>6.8</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880" w:type="dxa"/>
            <w:vAlign w:val="bottom"/>
            <w:shd w:val="clear" w:color="auto" w:fill="CCEEFF"/>
          </w:tcPr>
          <w:p>
            <w:pPr>
              <w:ind w:left="280"/>
              <w:spacing w:after="0"/>
              <w:rPr>
                <w:sz w:val="20"/>
                <w:szCs w:val="20"/>
                <w:color w:val="auto"/>
              </w:rPr>
            </w:pPr>
            <w:r>
              <w:rPr>
                <w:rFonts w:ascii="Arial" w:cs="Arial" w:eastAsia="Arial" w:hAnsi="Arial"/>
                <w:sz w:val="15"/>
                <w:szCs w:val="15"/>
                <w:color w:val="auto"/>
              </w:rPr>
              <w:t>Total intangibles</w:t>
            </w:r>
          </w:p>
        </w:tc>
        <w:tc>
          <w:tcPr>
            <w:tcW w:w="20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97.1</w:t>
            </w:r>
          </w:p>
        </w:tc>
        <w:tc>
          <w:tcPr>
            <w:tcW w:w="2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0"/>
              </w:rPr>
              <w:t>100.4</w:t>
            </w:r>
          </w:p>
        </w:tc>
        <w:tc>
          <w:tcPr>
            <w:tcW w:w="2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880" w:type="dxa"/>
            <w:vAlign w:val="bottom"/>
          </w:tcPr>
          <w:p>
            <w:pPr>
              <w:spacing w:after="0"/>
              <w:rPr>
                <w:sz w:val="20"/>
                <w:szCs w:val="20"/>
                <w:color w:val="auto"/>
              </w:rPr>
            </w:pPr>
            <w:r>
              <w:rPr>
                <w:rFonts w:ascii="Arial" w:cs="Arial" w:eastAsia="Arial" w:hAnsi="Arial"/>
                <w:sz w:val="15"/>
                <w:szCs w:val="15"/>
                <w:color w:val="auto"/>
              </w:rPr>
              <w:t>Accumulated amortization</w:t>
            </w:r>
          </w:p>
        </w:tc>
        <w:tc>
          <w:tcPr>
            <w:tcW w:w="20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80" w:type="dxa"/>
            <w:vAlign w:val="bottom"/>
            <w:gridSpan w:val="2"/>
          </w:tcPr>
          <w:p>
            <w:pPr>
              <w:jc w:val="right"/>
              <w:ind w:right="200"/>
              <w:spacing w:after="0"/>
              <w:rPr>
                <w:sz w:val="20"/>
                <w:szCs w:val="20"/>
                <w:color w:val="auto"/>
              </w:rPr>
            </w:pPr>
            <w:r>
              <w:rPr>
                <w:rFonts w:ascii="Arial" w:cs="Arial" w:eastAsia="Arial" w:hAnsi="Arial"/>
                <w:sz w:val="15"/>
                <w:szCs w:val="15"/>
                <w:color w:val="auto"/>
                <w:w w:val="91"/>
              </w:rPr>
              <w:t>(72.9)</w:t>
            </w: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gridSpan w:val="2"/>
          </w:tcPr>
          <w:p>
            <w:pPr>
              <w:jc w:val="right"/>
              <w:ind w:right="200"/>
              <w:spacing w:after="0"/>
              <w:rPr>
                <w:sz w:val="20"/>
                <w:szCs w:val="20"/>
                <w:color w:val="auto"/>
              </w:rPr>
            </w:pPr>
            <w:r>
              <w:rPr>
                <w:rFonts w:ascii="Arial" w:cs="Arial" w:eastAsia="Arial" w:hAnsi="Arial"/>
                <w:sz w:val="15"/>
                <w:szCs w:val="15"/>
                <w:color w:val="auto"/>
                <w:w w:val="96"/>
              </w:rPr>
              <w:t>(83.4)</w:t>
            </w:r>
          </w:p>
        </w:tc>
        <w:tc>
          <w:tcPr>
            <w:tcW w:w="1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
        </w:trPr>
        <w:tc>
          <w:tcPr>
            <w:tcW w:w="20" w:type="dxa"/>
            <w:vAlign w:val="bottom"/>
            <w:vMerge w:val="restart"/>
          </w:tcPr>
          <w:p>
            <w:pPr>
              <w:spacing w:after="0" w:line="20" w:lineRule="exact"/>
              <w:rPr>
                <w:sz w:val="1"/>
                <w:szCs w:val="1"/>
                <w:color w:val="auto"/>
              </w:rPr>
            </w:pPr>
          </w:p>
        </w:tc>
        <w:tc>
          <w:tcPr>
            <w:tcW w:w="488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20" w:type="dxa"/>
            <w:vAlign w:val="bottom"/>
            <w:vMerge w:val="continue"/>
          </w:tcPr>
          <w:p>
            <w:pPr>
              <w:spacing w:after="0"/>
              <w:rPr>
                <w:sz w:val="15"/>
                <w:szCs w:val="15"/>
                <w:color w:val="auto"/>
              </w:rPr>
            </w:pPr>
          </w:p>
        </w:tc>
        <w:tc>
          <w:tcPr>
            <w:tcW w:w="4880" w:type="dxa"/>
            <w:vAlign w:val="bottom"/>
            <w:shd w:val="clear" w:color="auto" w:fill="CCEEFF"/>
          </w:tcPr>
          <w:p>
            <w:pPr>
              <w:spacing w:after="0"/>
              <w:rPr>
                <w:sz w:val="20"/>
                <w:szCs w:val="20"/>
                <w:color w:val="auto"/>
              </w:rPr>
            </w:pPr>
            <w:r>
              <w:rPr>
                <w:rFonts w:ascii="Arial" w:cs="Arial" w:eastAsia="Arial" w:hAnsi="Arial"/>
                <w:sz w:val="15"/>
                <w:szCs w:val="15"/>
                <w:color w:val="auto"/>
              </w:rPr>
              <w:t>Intangible assets, net</w:t>
            </w:r>
          </w:p>
        </w:tc>
        <w:tc>
          <w:tcPr>
            <w:tcW w:w="20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24.2</w:t>
            </w:r>
          </w:p>
        </w:tc>
        <w:tc>
          <w:tcPr>
            <w:tcW w:w="240" w:type="dxa"/>
            <w:vAlign w:val="bottom"/>
            <w:shd w:val="clear" w:color="auto" w:fill="CCEEFF"/>
          </w:tcPr>
          <w:p>
            <w:pPr>
              <w:spacing w:after="0"/>
              <w:rPr>
                <w:sz w:val="15"/>
                <w:szCs w:val="15"/>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17.0</w:t>
            </w:r>
          </w:p>
        </w:tc>
        <w:tc>
          <w:tcPr>
            <w:tcW w:w="2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8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1" w:lineRule="exact"/>
        <w:rPr>
          <w:sz w:val="20"/>
          <w:szCs w:val="20"/>
          <w:color w:val="auto"/>
        </w:rPr>
      </w:pPr>
    </w:p>
    <w:p>
      <w:pPr>
        <w:jc w:val="center"/>
        <w:ind w:left="1580" w:right="140"/>
        <w:spacing w:after="0" w:line="448" w:lineRule="auto"/>
        <w:rPr>
          <w:sz w:val="20"/>
          <w:szCs w:val="20"/>
          <w:color w:val="auto"/>
        </w:rPr>
      </w:pPr>
      <w:r>
        <w:rPr>
          <w:rFonts w:ascii="Arial" w:cs="Arial" w:eastAsia="Arial" w:hAnsi="Arial"/>
          <w:sz w:val="15"/>
          <w:szCs w:val="15"/>
          <w:color w:val="auto"/>
        </w:rPr>
        <w:t>Amortization expense was $22.2 million, $17.3 million, and $10.5 million for the years ended December 31, 2015, 2016, and 2017, respectively. F-21</w:t>
      </w:r>
    </w:p>
    <w:p>
      <w:pPr>
        <w:sectPr>
          <w:pgSz w:w="11900" w:h="16838" w:orient="portrait"/>
          <w:cols w:equalWidth="0" w:num="1">
            <w:col w:w="10320"/>
          </w:cols>
          <w:pgMar w:left="240" w:top="408" w:right="1339" w:bottom="1440" w:gutter="0" w:footer="0" w:header="0"/>
        </w:sectPr>
      </w:pPr>
    </w:p>
    <w:bookmarkStart w:id="224" w:name="page225"/>
    <w:bookmarkEnd w:id="224"/>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133350</wp:posOffset>
            </wp:positionH>
            <wp:positionV relativeFrom="page">
              <wp:posOffset>88900</wp:posOffset>
            </wp:positionV>
            <wp:extent cx="7308850" cy="3429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308850" cy="34290"/>
                    </a:xfrm>
                    <a:prstGeom prst="rect">
                      <a:avLst/>
                    </a:prstGeom>
                    <a:noFill/>
                  </pic:spPr>
                </pic:pic>
              </a:graphicData>
            </a:graphic>
          </wp:anchor>
        </w:drawing>
      </w:r>
      <w:hyperlink w:anchor="page7">
        <w:r>
          <w:rPr>
            <w:rFonts w:ascii="Arial" w:cs="Arial" w:eastAsia="Arial" w:hAnsi="Arial"/>
            <w:sz w:val="15"/>
            <w:szCs w:val="15"/>
            <w:b w:val="1"/>
            <w:bCs w:val="1"/>
            <w:u w:val="single" w:color="auto"/>
            <w:color w:val="0000EE"/>
          </w:rPr>
          <w:t>Table of Contents</w:t>
        </w:r>
      </w:hyperlink>
    </w:p>
    <w:p>
      <w:pPr>
        <w:spacing w:after="0" w:line="260" w:lineRule="exact"/>
        <w:rPr>
          <w:sz w:val="20"/>
          <w:szCs w:val="20"/>
          <w:color w:val="auto"/>
        </w:rPr>
      </w:pPr>
    </w:p>
    <w:tbl>
      <w:tblPr>
        <w:tblLayout w:type="fixed"/>
        <w:tblInd w:w="1480" w:type="dxa"/>
        <w:tblCellMar>
          <w:top w:w="0" w:type="dxa"/>
          <w:left w:w="0" w:type="dxa"/>
          <w:bottom w:w="0" w:type="dxa"/>
          <w:right w:w="0" w:type="dxa"/>
        </w:tblCellMar>
      </w:tblPr>
      <w:tr>
        <w:trPr>
          <w:trHeight w:val="190"/>
        </w:trPr>
        <w:tc>
          <w:tcPr>
            <w:tcW w:w="6420" w:type="dxa"/>
            <w:vAlign w:val="bottom"/>
            <w:gridSpan w:val="2"/>
          </w:tcPr>
          <w:p>
            <w:pPr>
              <w:spacing w:after="0"/>
              <w:rPr>
                <w:sz w:val="20"/>
                <w:szCs w:val="20"/>
                <w:color w:val="auto"/>
              </w:rPr>
            </w:pPr>
            <w:r>
              <w:rPr>
                <w:rFonts w:ascii="Arial" w:cs="Arial" w:eastAsia="Arial" w:hAnsi="Arial"/>
                <w:sz w:val="15"/>
                <w:szCs w:val="15"/>
                <w:color w:val="auto"/>
                <w:w w:val="98"/>
              </w:rPr>
              <w:t>Expected future amortization expense for intangible assets as of December 31, 2017 is as follows:</w:t>
            </w: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1120" w:type="dxa"/>
            <w:vAlign w:val="bottom"/>
            <w:vMerge w:val="restart"/>
          </w:tcPr>
          <w:p>
            <w:pPr>
              <w:spacing w:after="0"/>
              <w:rPr>
                <w:sz w:val="17"/>
                <w:szCs w:val="17"/>
                <w:color w:val="auto"/>
              </w:rPr>
            </w:pPr>
          </w:p>
        </w:tc>
        <w:tc>
          <w:tcPr>
            <w:tcW w:w="53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0"/>
        </w:trPr>
        <w:tc>
          <w:tcPr>
            <w:tcW w:w="1120" w:type="dxa"/>
            <w:vAlign w:val="bottom"/>
            <w:vMerge w:val="continue"/>
          </w:tcPr>
          <w:p>
            <w:pPr>
              <w:spacing w:after="0"/>
              <w:rPr>
                <w:sz w:val="15"/>
                <w:szCs w:val="15"/>
                <w:color w:val="auto"/>
              </w:rPr>
            </w:pPr>
          </w:p>
        </w:tc>
        <w:tc>
          <w:tcPr>
            <w:tcW w:w="5300" w:type="dxa"/>
            <w:vAlign w:val="bottom"/>
            <w:shd w:val="clear" w:color="auto" w:fill="CCEEFF"/>
          </w:tcPr>
          <w:p>
            <w:pPr>
              <w:spacing w:after="0"/>
              <w:rPr>
                <w:sz w:val="20"/>
                <w:szCs w:val="20"/>
                <w:color w:val="auto"/>
              </w:rPr>
            </w:pPr>
            <w:r>
              <w:rPr>
                <w:rFonts w:ascii="Arial" w:cs="Arial" w:eastAsia="Arial" w:hAnsi="Arial"/>
                <w:sz w:val="15"/>
                <w:szCs w:val="15"/>
                <w:color w:val="auto"/>
              </w:rPr>
              <w:t>2018</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5.2</w:t>
            </w: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1120" w:type="dxa"/>
            <w:vAlign w:val="bottom"/>
          </w:tcPr>
          <w:p>
            <w:pPr>
              <w:spacing w:after="0"/>
              <w:rPr>
                <w:sz w:val="15"/>
                <w:szCs w:val="15"/>
                <w:color w:val="auto"/>
              </w:rPr>
            </w:pPr>
          </w:p>
        </w:tc>
        <w:tc>
          <w:tcPr>
            <w:tcW w:w="5300" w:type="dxa"/>
            <w:vAlign w:val="bottom"/>
          </w:tcPr>
          <w:p>
            <w:pPr>
              <w:spacing w:after="0"/>
              <w:rPr>
                <w:sz w:val="20"/>
                <w:szCs w:val="20"/>
                <w:color w:val="auto"/>
              </w:rPr>
            </w:pPr>
            <w:r>
              <w:rPr>
                <w:rFonts w:ascii="Arial" w:cs="Arial" w:eastAsia="Arial" w:hAnsi="Arial"/>
                <w:sz w:val="15"/>
                <w:szCs w:val="15"/>
                <w:color w:val="auto"/>
              </w:rPr>
              <w:t>2019</w:t>
            </w: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jc w:val="right"/>
              <w:spacing w:after="0"/>
              <w:rPr>
                <w:sz w:val="20"/>
                <w:szCs w:val="20"/>
                <w:color w:val="auto"/>
              </w:rPr>
            </w:pPr>
            <w:r>
              <w:rPr>
                <w:rFonts w:ascii="Arial" w:cs="Arial" w:eastAsia="Arial" w:hAnsi="Arial"/>
                <w:sz w:val="15"/>
                <w:szCs w:val="15"/>
                <w:color w:val="auto"/>
              </w:rPr>
              <w:t>3.5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1120" w:type="dxa"/>
            <w:vAlign w:val="bottom"/>
          </w:tcPr>
          <w:p>
            <w:pPr>
              <w:spacing w:after="0"/>
              <w:rPr>
                <w:sz w:val="15"/>
                <w:szCs w:val="15"/>
                <w:color w:val="auto"/>
              </w:rPr>
            </w:pPr>
          </w:p>
        </w:tc>
        <w:tc>
          <w:tcPr>
            <w:tcW w:w="5300" w:type="dxa"/>
            <w:vAlign w:val="bottom"/>
            <w:shd w:val="clear" w:color="auto" w:fill="CCEEFF"/>
          </w:tcPr>
          <w:p>
            <w:pPr>
              <w:spacing w:after="0"/>
              <w:rPr>
                <w:sz w:val="20"/>
                <w:szCs w:val="20"/>
                <w:color w:val="auto"/>
              </w:rPr>
            </w:pPr>
            <w:r>
              <w:rPr>
                <w:rFonts w:ascii="Arial" w:cs="Arial" w:eastAsia="Arial" w:hAnsi="Arial"/>
                <w:sz w:val="15"/>
                <w:szCs w:val="15"/>
                <w:color w:val="auto"/>
              </w:rPr>
              <w:t>2020</w:t>
            </w:r>
          </w:p>
        </w:tc>
        <w:tc>
          <w:tcPr>
            <w:tcW w:w="5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2.5</w:t>
            </w: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1120" w:type="dxa"/>
            <w:vAlign w:val="bottom"/>
          </w:tcPr>
          <w:p>
            <w:pPr>
              <w:spacing w:after="0"/>
              <w:rPr>
                <w:sz w:val="15"/>
                <w:szCs w:val="15"/>
                <w:color w:val="auto"/>
              </w:rPr>
            </w:pPr>
          </w:p>
        </w:tc>
        <w:tc>
          <w:tcPr>
            <w:tcW w:w="5300" w:type="dxa"/>
            <w:vAlign w:val="bottom"/>
          </w:tcPr>
          <w:p>
            <w:pPr>
              <w:spacing w:after="0"/>
              <w:rPr>
                <w:sz w:val="20"/>
                <w:szCs w:val="20"/>
                <w:color w:val="auto"/>
              </w:rPr>
            </w:pPr>
            <w:r>
              <w:rPr>
                <w:rFonts w:ascii="Arial" w:cs="Arial" w:eastAsia="Arial" w:hAnsi="Arial"/>
                <w:sz w:val="15"/>
                <w:szCs w:val="15"/>
                <w:color w:val="auto"/>
              </w:rPr>
              <w:t>2021</w:t>
            </w: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jc w:val="right"/>
              <w:spacing w:after="0"/>
              <w:rPr>
                <w:sz w:val="20"/>
                <w:szCs w:val="20"/>
                <w:color w:val="auto"/>
              </w:rPr>
            </w:pPr>
            <w:r>
              <w:rPr>
                <w:rFonts w:ascii="Arial" w:cs="Arial" w:eastAsia="Arial" w:hAnsi="Arial"/>
                <w:sz w:val="15"/>
                <w:szCs w:val="15"/>
                <w:color w:val="auto"/>
              </w:rPr>
              <w:t>1.1</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1120" w:type="dxa"/>
            <w:vAlign w:val="bottom"/>
          </w:tcPr>
          <w:p>
            <w:pPr>
              <w:spacing w:after="0"/>
              <w:rPr>
                <w:sz w:val="15"/>
                <w:szCs w:val="15"/>
                <w:color w:val="auto"/>
              </w:rPr>
            </w:pPr>
          </w:p>
        </w:tc>
        <w:tc>
          <w:tcPr>
            <w:tcW w:w="5300" w:type="dxa"/>
            <w:vAlign w:val="bottom"/>
            <w:shd w:val="clear" w:color="auto" w:fill="CCEEFF"/>
          </w:tcPr>
          <w:p>
            <w:pPr>
              <w:spacing w:after="0"/>
              <w:rPr>
                <w:sz w:val="20"/>
                <w:szCs w:val="20"/>
                <w:color w:val="auto"/>
              </w:rPr>
            </w:pPr>
            <w:r>
              <w:rPr>
                <w:rFonts w:ascii="Arial" w:cs="Arial" w:eastAsia="Arial" w:hAnsi="Arial"/>
                <w:sz w:val="15"/>
                <w:szCs w:val="15"/>
                <w:color w:val="auto"/>
              </w:rPr>
              <w:t>2022</w:t>
            </w:r>
          </w:p>
        </w:tc>
        <w:tc>
          <w:tcPr>
            <w:tcW w:w="5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0.7</w:t>
            </w: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120" w:type="dxa"/>
            <w:vAlign w:val="bottom"/>
          </w:tcPr>
          <w:p>
            <w:pPr>
              <w:spacing w:after="0"/>
              <w:rPr>
                <w:sz w:val="15"/>
                <w:szCs w:val="15"/>
                <w:color w:val="auto"/>
              </w:rPr>
            </w:pPr>
          </w:p>
        </w:tc>
        <w:tc>
          <w:tcPr>
            <w:tcW w:w="5300" w:type="dxa"/>
            <w:vAlign w:val="bottom"/>
          </w:tcPr>
          <w:p>
            <w:pPr>
              <w:spacing w:after="0"/>
              <w:rPr>
                <w:sz w:val="20"/>
                <w:szCs w:val="20"/>
                <w:color w:val="auto"/>
              </w:rPr>
            </w:pPr>
            <w:r>
              <w:rPr>
                <w:rFonts w:ascii="Arial" w:cs="Arial" w:eastAsia="Arial" w:hAnsi="Arial"/>
                <w:sz w:val="15"/>
                <w:szCs w:val="15"/>
                <w:color w:val="auto"/>
              </w:rPr>
              <w:t>Thereafter</w:t>
            </w:r>
          </w:p>
        </w:tc>
        <w:tc>
          <w:tcPr>
            <w:tcW w:w="54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4.0</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1120" w:type="dxa"/>
            <w:vAlign w:val="bottom"/>
          </w:tcPr>
          <w:p>
            <w:pPr>
              <w:spacing w:after="0"/>
              <w:rPr>
                <w:sz w:val="15"/>
                <w:szCs w:val="15"/>
                <w:color w:val="auto"/>
              </w:rPr>
            </w:pPr>
          </w:p>
        </w:tc>
        <w:tc>
          <w:tcPr>
            <w:tcW w:w="5300" w:type="dxa"/>
            <w:vAlign w:val="bottom"/>
            <w:shd w:val="clear" w:color="auto" w:fill="CCEEFF"/>
          </w:tcPr>
          <w:p>
            <w:pPr>
              <w:ind w:left="300"/>
              <w:spacing w:after="0"/>
              <w:rPr>
                <w:sz w:val="20"/>
                <w:szCs w:val="20"/>
                <w:color w:val="auto"/>
              </w:rPr>
            </w:pPr>
            <w:r>
              <w:rPr>
                <w:rFonts w:ascii="Arial" w:cs="Arial" w:eastAsia="Arial" w:hAnsi="Arial"/>
                <w:sz w:val="15"/>
                <w:szCs w:val="15"/>
                <w:color w:val="auto"/>
              </w:rPr>
              <w:t>Total</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5"/>
                <w:szCs w:val="15"/>
                <w:u w:val="single" w:color="auto"/>
                <w:color w:val="auto"/>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88"/>
              </w:rPr>
              <w:t>17.0</w:t>
            </w: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53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67" w:lineRule="exact"/>
        <w:rPr>
          <w:sz w:val="20"/>
          <w:szCs w:val="20"/>
          <w:color w:val="auto"/>
        </w:rPr>
      </w:pPr>
    </w:p>
    <w:p>
      <w:pPr>
        <w:ind w:left="1120"/>
        <w:spacing w:after="0"/>
        <w:rPr>
          <w:sz w:val="20"/>
          <w:szCs w:val="20"/>
          <w:color w:val="auto"/>
        </w:rPr>
      </w:pPr>
      <w:r>
        <w:rPr>
          <w:rFonts w:ascii="Arial" w:cs="Arial" w:eastAsia="Arial" w:hAnsi="Arial"/>
          <w:sz w:val="15"/>
          <w:szCs w:val="15"/>
          <w:b w:val="1"/>
          <w:bCs w:val="1"/>
          <w:color w:val="auto"/>
        </w:rPr>
        <w:t>Note 7. Goodwill</w:t>
      </w:r>
    </w:p>
    <w:p>
      <w:pPr>
        <w:spacing w:after="0" w:line="102" w:lineRule="exact"/>
        <w:rPr>
          <w:sz w:val="20"/>
          <w:szCs w:val="20"/>
          <w:color w:val="auto"/>
        </w:rPr>
      </w:pPr>
    </w:p>
    <w:p>
      <w:pPr>
        <w:ind w:left="1120" w:right="120" w:firstLine="368"/>
        <w:spacing w:after="0" w:line="263" w:lineRule="auto"/>
        <w:rPr>
          <w:sz w:val="20"/>
          <w:szCs w:val="20"/>
          <w:color w:val="auto"/>
        </w:rPr>
      </w:pPr>
      <w:r>
        <w:rPr>
          <w:rFonts w:ascii="Arial" w:cs="Arial" w:eastAsia="Arial" w:hAnsi="Arial"/>
          <w:sz w:val="15"/>
          <w:szCs w:val="15"/>
          <w:color w:val="auto"/>
        </w:rPr>
        <w:t>Goodwill represents the excess of the purchase price in a business combination over the fair value of net tangible and intangible assets acquired. Goodwill amounts are not amortized, but tested for impairment on an annual basis. There was no impairment of goodwill as of December 31, 2016 and 2017. Goodwill consisted of the following:</w:t>
      </w:r>
    </w:p>
    <w:p>
      <w:pPr>
        <w:sectPr>
          <w:pgSz w:w="11900" w:h="16838" w:orient="portrait"/>
          <w:cols w:equalWidth="0" w:num="1">
            <w:col w:w="10320"/>
          </w:cols>
          <w:pgMar w:left="240" w:top="407" w:right="1339" w:bottom="1440" w:gutter="0" w:footer="0" w:header="0"/>
        </w:sectPr>
      </w:pPr>
    </w:p>
    <w:p>
      <w:pPr>
        <w:spacing w:after="0" w:line="177" w:lineRule="exact"/>
        <w:rPr>
          <w:sz w:val="20"/>
          <w:szCs w:val="20"/>
          <w:color w:val="auto"/>
        </w:rPr>
      </w:pPr>
    </w:p>
    <w:p>
      <w:pPr>
        <w:ind w:left="2580"/>
        <w:spacing w:after="0"/>
        <w:rPr>
          <w:sz w:val="20"/>
          <w:szCs w:val="20"/>
          <w:color w:val="auto"/>
        </w:rPr>
      </w:pPr>
      <w:r>
        <w:rPr>
          <w:rFonts w:ascii="Arial" w:cs="Arial" w:eastAsia="Arial" w:hAnsi="Arial"/>
          <w:sz w:val="15"/>
          <w:szCs w:val="15"/>
          <w:color w:val="auto"/>
        </w:rPr>
        <w:t>Balance at December 31,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1648460</wp:posOffset>
            </wp:positionH>
            <wp:positionV relativeFrom="paragraph">
              <wp:posOffset>-102235</wp:posOffset>
            </wp:positionV>
            <wp:extent cx="3967480" cy="11430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3967480" cy="114300"/>
                    </a:xfrm>
                    <a:prstGeom prst="rect">
                      <a:avLst/>
                    </a:prstGeom>
                    <a:noFill/>
                  </pic:spPr>
                </pic:pic>
              </a:graphicData>
            </a:graphic>
          </wp:anchor>
        </w:drawing>
      </w:r>
    </w:p>
    <w:p>
      <w:pPr>
        <w:ind w:left="2580"/>
        <w:spacing w:after="0"/>
        <w:rPr>
          <w:sz w:val="20"/>
          <w:szCs w:val="20"/>
          <w:color w:val="auto"/>
        </w:rPr>
      </w:pPr>
      <w:r>
        <w:rPr>
          <w:rFonts w:ascii="Arial" w:cs="Arial" w:eastAsia="Arial" w:hAnsi="Arial"/>
          <w:sz w:val="13"/>
          <w:szCs w:val="13"/>
          <w:color w:val="auto"/>
        </w:rPr>
        <w:t>Effect of foreign currency translation</w:t>
      </w:r>
    </w:p>
    <w:p>
      <w:pPr>
        <w:spacing w:after="0" w:line="44" w:lineRule="exact"/>
        <w:rPr>
          <w:sz w:val="20"/>
          <w:szCs w:val="20"/>
          <w:color w:val="auto"/>
        </w:rPr>
      </w:pPr>
    </w:p>
    <w:p>
      <w:pPr>
        <w:ind w:left="2580"/>
        <w:spacing w:after="0"/>
        <w:rPr>
          <w:sz w:val="20"/>
          <w:szCs w:val="20"/>
          <w:color w:val="auto"/>
        </w:rPr>
      </w:pPr>
      <w:r>
        <w:rPr>
          <w:rFonts w:ascii="Arial" w:cs="Arial" w:eastAsia="Arial" w:hAnsi="Arial"/>
          <w:sz w:val="15"/>
          <w:szCs w:val="15"/>
          <w:color w:val="auto"/>
        </w:rPr>
        <w:t>Balance at December 31,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1648460</wp:posOffset>
            </wp:positionH>
            <wp:positionV relativeFrom="paragraph">
              <wp:posOffset>-102235</wp:posOffset>
            </wp:positionV>
            <wp:extent cx="3967480" cy="11430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3967480" cy="114300"/>
                    </a:xfrm>
                    <a:prstGeom prst="rect">
                      <a:avLst/>
                    </a:prstGeom>
                    <a:noFill/>
                  </pic:spPr>
                </pic:pic>
              </a:graphicData>
            </a:graphic>
          </wp:anchor>
        </w:drawing>
      </w:r>
    </w:p>
    <w:p>
      <w:pPr>
        <w:ind w:left="2580"/>
        <w:spacing w:after="0"/>
        <w:rPr>
          <w:sz w:val="20"/>
          <w:szCs w:val="20"/>
          <w:color w:val="auto"/>
        </w:rPr>
      </w:pPr>
      <w:r>
        <w:rPr>
          <w:rFonts w:ascii="Arial" w:cs="Arial" w:eastAsia="Arial" w:hAnsi="Arial"/>
          <w:sz w:val="13"/>
          <w:szCs w:val="13"/>
          <w:color w:val="auto"/>
        </w:rPr>
        <w:t>Effect of foreign currency translation</w:t>
      </w:r>
    </w:p>
    <w:p>
      <w:pPr>
        <w:spacing w:after="0" w:line="44" w:lineRule="exact"/>
        <w:rPr>
          <w:sz w:val="20"/>
          <w:szCs w:val="20"/>
          <w:color w:val="auto"/>
        </w:rPr>
      </w:pPr>
    </w:p>
    <w:p>
      <w:pPr>
        <w:ind w:left="2580"/>
        <w:spacing w:after="0"/>
        <w:rPr>
          <w:sz w:val="20"/>
          <w:szCs w:val="20"/>
          <w:color w:val="auto"/>
        </w:rPr>
      </w:pPr>
      <w:r>
        <w:rPr>
          <w:rFonts w:ascii="Arial" w:cs="Arial" w:eastAsia="Arial" w:hAnsi="Arial"/>
          <w:sz w:val="15"/>
          <w:szCs w:val="15"/>
          <w:color w:val="auto"/>
        </w:rPr>
        <w:t>Balance at December 31,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1648460</wp:posOffset>
            </wp:positionH>
            <wp:positionV relativeFrom="paragraph">
              <wp:posOffset>-102235</wp:posOffset>
            </wp:positionV>
            <wp:extent cx="3967480" cy="11430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3967480" cy="11430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57" w:lineRule="exact"/>
        <w:rPr>
          <w:sz w:val="20"/>
          <w:szCs w:val="20"/>
          <w:color w:val="auto"/>
        </w:rPr>
      </w:pPr>
    </w:p>
    <w:p>
      <w:pPr>
        <w:ind w:left="80"/>
        <w:spacing w:after="0"/>
        <w:rPr>
          <w:sz w:val="20"/>
          <w:szCs w:val="20"/>
          <w:color w:val="auto"/>
        </w:rPr>
      </w:pPr>
      <w:r>
        <w:rPr>
          <w:rFonts w:ascii="Arial" w:cs="Arial" w:eastAsia="Arial" w:hAnsi="Arial"/>
          <w:sz w:val="15"/>
          <w:szCs w:val="15"/>
          <w:color w:val="auto"/>
        </w:rPr>
        <w:t>96.1</w:t>
      </w:r>
    </w:p>
    <w:p>
      <w:pPr>
        <w:spacing w:after="0" w:line="17" w:lineRule="exact"/>
        <w:rPr>
          <w:sz w:val="20"/>
          <w:szCs w:val="20"/>
          <w:color w:val="auto"/>
        </w:rPr>
      </w:pPr>
    </w:p>
    <w:p>
      <w:pPr>
        <w:jc w:val="right"/>
        <w:ind w:right="1520"/>
        <w:spacing w:after="0"/>
        <w:rPr>
          <w:sz w:val="20"/>
          <w:szCs w:val="20"/>
          <w:color w:val="auto"/>
        </w:rPr>
      </w:pPr>
      <w:r>
        <w:rPr>
          <w:rFonts w:ascii="Arial" w:cs="Arial" w:eastAsia="Arial" w:hAnsi="Arial"/>
          <w:sz w:val="15"/>
          <w:szCs w:val="15"/>
          <w:color w:val="auto"/>
        </w:rPr>
        <w:t>(0.1)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5715</wp:posOffset>
            </wp:positionV>
            <wp:extent cx="222250" cy="698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222250" cy="6985"/>
                    </a:xfrm>
                    <a:prstGeom prst="rect">
                      <a:avLst/>
                    </a:prstGeom>
                    <a:noFill/>
                  </pic:spPr>
                </pic:pic>
              </a:graphicData>
            </a:graphic>
          </wp:anchor>
        </w:drawing>
      </w:r>
    </w:p>
    <w:p>
      <w:pPr>
        <w:spacing w:after="0" w:line="1" w:lineRule="exact"/>
        <w:rPr>
          <w:sz w:val="20"/>
          <w:szCs w:val="20"/>
          <w:color w:val="auto"/>
        </w:rPr>
      </w:pPr>
    </w:p>
    <w:p>
      <w:pPr>
        <w:ind w:left="80"/>
        <w:spacing w:after="0"/>
        <w:rPr>
          <w:sz w:val="20"/>
          <w:szCs w:val="20"/>
          <w:color w:val="auto"/>
        </w:rPr>
      </w:pPr>
      <w:r>
        <w:rPr>
          <w:rFonts w:ascii="Arial" w:cs="Arial" w:eastAsia="Arial" w:hAnsi="Arial"/>
          <w:sz w:val="15"/>
          <w:szCs w:val="15"/>
          <w:color w:val="auto"/>
        </w:rPr>
        <w:t>96.0</w:t>
      </w:r>
    </w:p>
    <w:p>
      <w:pPr>
        <w:spacing w:after="0" w:line="17" w:lineRule="exact"/>
        <w:rPr>
          <w:sz w:val="20"/>
          <w:szCs w:val="20"/>
          <w:color w:val="auto"/>
        </w:rPr>
      </w:pPr>
    </w:p>
    <w:p>
      <w:pPr>
        <w:jc w:val="right"/>
        <w:ind w:right="1580"/>
        <w:spacing w:after="0"/>
        <w:rPr>
          <w:sz w:val="20"/>
          <w:szCs w:val="20"/>
          <w:color w:val="auto"/>
        </w:rPr>
      </w:pPr>
      <w:r>
        <w:rPr>
          <w:rFonts w:ascii="Arial" w:cs="Arial" w:eastAsia="Arial" w:hAnsi="Arial"/>
          <w:sz w:val="15"/>
          <w:szCs w:val="15"/>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5715</wp:posOffset>
            </wp:positionV>
            <wp:extent cx="222250" cy="698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222250" cy="6985"/>
                    </a:xfrm>
                    <a:prstGeom prst="rect">
                      <a:avLst/>
                    </a:prstGeom>
                    <a:noFill/>
                  </pic:spPr>
                </pic:pic>
              </a:graphicData>
            </a:graphic>
          </wp:anchor>
        </w:drawing>
      </w:r>
    </w:p>
    <w:p>
      <w:pPr>
        <w:spacing w:after="0" w:line="1" w:lineRule="exact"/>
        <w:rPr>
          <w:sz w:val="20"/>
          <w:szCs w:val="20"/>
          <w:color w:val="auto"/>
        </w:rPr>
      </w:pPr>
    </w:p>
    <w:p>
      <w:pPr>
        <w:jc w:val="right"/>
        <w:ind w:right="1580"/>
        <w:spacing w:after="0"/>
        <w:rPr>
          <w:sz w:val="20"/>
          <w:szCs w:val="20"/>
          <w:color w:val="auto"/>
        </w:rPr>
      </w:pPr>
      <w:r>
        <w:rPr>
          <w:rFonts w:ascii="Arial" w:cs="Arial" w:eastAsia="Arial" w:hAnsi="Arial"/>
          <w:sz w:val="13"/>
          <w:szCs w:val="13"/>
          <w:u w:val="single" w:color="auto"/>
          <w:color w:val="auto"/>
        </w:rPr>
        <w:t>$98.9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40640</wp:posOffset>
            </wp:positionV>
            <wp:extent cx="222250" cy="698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222250" cy="6985"/>
                    </a:xfrm>
                    <a:prstGeom prst="rect">
                      <a:avLst/>
                    </a:prstGeom>
                    <a:noFill/>
                  </pic:spPr>
                </pic:pic>
              </a:graphicData>
            </a:graphic>
          </wp:anchor>
        </w:drawing>
      </w:r>
    </w:p>
    <w:p>
      <w:pPr>
        <w:spacing w:after="0" w:line="222" w:lineRule="exact"/>
        <w:rPr>
          <w:sz w:val="20"/>
          <w:szCs w:val="20"/>
          <w:color w:val="auto"/>
        </w:rPr>
      </w:pPr>
    </w:p>
    <w:p>
      <w:pPr>
        <w:sectPr>
          <w:pgSz w:w="11900" w:h="16838" w:orient="portrait"/>
          <w:cols w:equalWidth="0" w:num="2">
            <w:col w:w="7680" w:space="720"/>
            <w:col w:w="1920"/>
          </w:cols>
          <w:pgMar w:left="240" w:top="407" w:right="1339" w:bottom="1440" w:gutter="0" w:footer="0" w:header="0"/>
          <w:type w:val="continuous"/>
        </w:sectPr>
      </w:pPr>
    </w:p>
    <w:p>
      <w:pPr>
        <w:spacing w:after="0" w:line="120" w:lineRule="exact"/>
        <w:rPr>
          <w:sz w:val="20"/>
          <w:szCs w:val="20"/>
          <w:color w:val="auto"/>
        </w:rPr>
      </w:pPr>
    </w:p>
    <w:p>
      <w:pPr>
        <w:ind w:left="1120"/>
        <w:spacing w:after="0"/>
        <w:rPr>
          <w:sz w:val="20"/>
          <w:szCs w:val="20"/>
          <w:color w:val="auto"/>
        </w:rPr>
      </w:pPr>
      <w:r>
        <w:rPr>
          <w:rFonts w:ascii="Arial" w:cs="Arial" w:eastAsia="Arial" w:hAnsi="Arial"/>
          <w:sz w:val="15"/>
          <w:szCs w:val="15"/>
          <w:b w:val="1"/>
          <w:bCs w:val="1"/>
          <w:color w:val="auto"/>
        </w:rPr>
        <w:t>Note 8. Accrued and Other Current Liabilities</w:t>
      </w:r>
    </w:p>
    <w:p>
      <w:pPr>
        <w:spacing w:after="0" w:line="102" w:lineRule="exact"/>
        <w:rPr>
          <w:sz w:val="20"/>
          <w:szCs w:val="20"/>
          <w:color w:val="auto"/>
        </w:rPr>
      </w:pPr>
    </w:p>
    <w:p>
      <w:pPr>
        <w:ind w:left="1480"/>
        <w:spacing w:after="0"/>
        <w:rPr>
          <w:sz w:val="20"/>
          <w:szCs w:val="20"/>
          <w:color w:val="auto"/>
        </w:rPr>
      </w:pPr>
      <w:r>
        <w:rPr>
          <w:rFonts w:ascii="Arial" w:cs="Arial" w:eastAsia="Arial" w:hAnsi="Arial"/>
          <w:sz w:val="15"/>
          <w:szCs w:val="15"/>
          <w:color w:val="auto"/>
        </w:rPr>
        <w:t>Accrued and other current liabilities consisted of the following:</w:t>
      </w:r>
    </w:p>
    <w:p>
      <w:pPr>
        <w:spacing w:after="0" w:line="202" w:lineRule="exact"/>
        <w:rPr>
          <w:sz w:val="20"/>
          <w:szCs w:val="20"/>
          <w:color w:val="auto"/>
        </w:rPr>
      </w:pPr>
    </w:p>
    <w:tbl>
      <w:tblPr>
        <w:tblLayout w:type="fixed"/>
        <w:tblInd w:w="1120" w:type="dxa"/>
        <w:tblCellMar>
          <w:top w:w="0" w:type="dxa"/>
          <w:left w:w="0" w:type="dxa"/>
          <w:bottom w:w="0" w:type="dxa"/>
          <w:right w:w="0" w:type="dxa"/>
        </w:tblCellMar>
      </w:tblPr>
      <w:tr>
        <w:trPr>
          <w:trHeight w:val="144"/>
        </w:trPr>
        <w:tc>
          <w:tcPr>
            <w:tcW w:w="20" w:type="dxa"/>
            <w:vAlign w:val="bottom"/>
          </w:tcPr>
          <w:p>
            <w:pPr>
              <w:spacing w:after="0"/>
              <w:rPr>
                <w:sz w:val="12"/>
                <w:szCs w:val="12"/>
                <w:color w:val="auto"/>
              </w:rPr>
            </w:pPr>
          </w:p>
        </w:tc>
        <w:tc>
          <w:tcPr>
            <w:tcW w:w="5200" w:type="dxa"/>
            <w:vAlign w:val="bottom"/>
          </w:tcPr>
          <w:p>
            <w:pPr>
              <w:spacing w:after="0"/>
              <w:rPr>
                <w:sz w:val="12"/>
                <w:szCs w:val="12"/>
                <w:color w:val="auto"/>
              </w:rPr>
            </w:pPr>
          </w:p>
        </w:tc>
        <w:tc>
          <w:tcPr>
            <w:tcW w:w="2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gridSpan w:val="5"/>
          </w:tcPr>
          <w:p>
            <w:pPr>
              <w:ind w:left="40"/>
              <w:spacing w:after="0"/>
              <w:rPr>
                <w:sz w:val="20"/>
                <w:szCs w:val="20"/>
                <w:color w:val="auto"/>
              </w:rPr>
            </w:pPr>
            <w:r>
              <w:rPr>
                <w:rFonts w:ascii="Arial" w:cs="Arial" w:eastAsia="Arial" w:hAnsi="Arial"/>
                <w:sz w:val="12"/>
                <w:szCs w:val="12"/>
                <w:b w:val="1"/>
                <w:bCs w:val="1"/>
                <w:color w:val="auto"/>
              </w:rPr>
              <w:t>As of December 31,</w:t>
            </w:r>
          </w:p>
        </w:tc>
      </w:tr>
      <w:tr>
        <w:trPr>
          <w:trHeight w:val="115"/>
        </w:trPr>
        <w:tc>
          <w:tcPr>
            <w:tcW w:w="20" w:type="dxa"/>
            <w:vAlign w:val="bottom"/>
          </w:tcPr>
          <w:p>
            <w:pPr>
              <w:spacing w:after="0"/>
              <w:rPr>
                <w:sz w:val="10"/>
                <w:szCs w:val="10"/>
                <w:color w:val="auto"/>
              </w:rPr>
            </w:pPr>
          </w:p>
        </w:tc>
        <w:tc>
          <w:tcPr>
            <w:tcW w:w="5200" w:type="dxa"/>
            <w:vAlign w:val="bottom"/>
            <w:tcBorders>
              <w:bottom w:val="single" w:sz="8" w:color="CCEEFF"/>
            </w:tcBorders>
          </w:tcPr>
          <w:p>
            <w:pPr>
              <w:spacing w:after="0"/>
              <w:rPr>
                <w:sz w:val="10"/>
                <w:szCs w:val="10"/>
                <w:color w:val="auto"/>
              </w:rPr>
            </w:pPr>
          </w:p>
        </w:tc>
        <w:tc>
          <w:tcPr>
            <w:tcW w:w="2640" w:type="dxa"/>
            <w:vAlign w:val="bottom"/>
            <w:tcBorders>
              <w:bottom w:val="single" w:sz="8" w:color="CCEEFF"/>
            </w:tcBorders>
          </w:tcPr>
          <w:p>
            <w:pPr>
              <w:spacing w:after="0"/>
              <w:rPr>
                <w:sz w:val="10"/>
                <w:szCs w:val="10"/>
                <w:color w:val="auto"/>
              </w:rPr>
            </w:pPr>
          </w:p>
        </w:tc>
        <w:tc>
          <w:tcPr>
            <w:tcW w:w="100" w:type="dxa"/>
            <w:vAlign w:val="bottom"/>
            <w:tcBorders>
              <w:top w:val="single" w:sz="8" w:color="auto"/>
              <w:bottom w:val="single" w:sz="8" w:color="auto"/>
            </w:tcBorders>
          </w:tcPr>
          <w:p>
            <w:pPr>
              <w:spacing w:after="0"/>
              <w:rPr>
                <w:sz w:val="10"/>
                <w:szCs w:val="10"/>
                <w:color w:val="auto"/>
              </w:rPr>
            </w:pPr>
          </w:p>
        </w:tc>
        <w:tc>
          <w:tcPr>
            <w:tcW w:w="380" w:type="dxa"/>
            <w:vAlign w:val="bottom"/>
            <w:tcBorders>
              <w:top w:val="single" w:sz="8" w:color="auto"/>
              <w:bottom w:val="single" w:sz="8" w:color="auto"/>
            </w:tcBorders>
          </w:tcPr>
          <w:p>
            <w:pPr>
              <w:jc w:val="right"/>
              <w:ind w:right="48"/>
              <w:spacing w:after="0" w:line="115" w:lineRule="exact"/>
              <w:rPr>
                <w:sz w:val="20"/>
                <w:szCs w:val="20"/>
                <w:color w:val="auto"/>
              </w:rPr>
            </w:pPr>
            <w:r>
              <w:rPr>
                <w:rFonts w:ascii="Arial" w:cs="Arial" w:eastAsia="Arial" w:hAnsi="Arial"/>
                <w:sz w:val="12"/>
                <w:szCs w:val="12"/>
                <w:b w:val="1"/>
                <w:bCs w:val="1"/>
                <w:color w:val="auto"/>
                <w:w w:val="89"/>
              </w:rPr>
              <w:t>2016</w:t>
            </w:r>
          </w:p>
        </w:tc>
        <w:tc>
          <w:tcPr>
            <w:tcW w:w="400" w:type="dxa"/>
            <w:vAlign w:val="bottom"/>
            <w:tcBorders>
              <w:top w:val="single" w:sz="8" w:color="auto"/>
              <w:bottom w:val="single" w:sz="8" w:color="CCEEFF"/>
            </w:tcBorders>
          </w:tcPr>
          <w:p>
            <w:pPr>
              <w:spacing w:after="0"/>
              <w:rPr>
                <w:sz w:val="10"/>
                <w:szCs w:val="10"/>
                <w:color w:val="auto"/>
              </w:rPr>
            </w:pPr>
          </w:p>
        </w:tc>
        <w:tc>
          <w:tcPr>
            <w:tcW w:w="80" w:type="dxa"/>
            <w:vAlign w:val="bottom"/>
            <w:tcBorders>
              <w:top w:val="single" w:sz="8" w:color="auto"/>
              <w:bottom w:val="single" w:sz="8" w:color="auto"/>
            </w:tcBorders>
          </w:tcPr>
          <w:p>
            <w:pPr>
              <w:spacing w:after="0"/>
              <w:rPr>
                <w:sz w:val="10"/>
                <w:szCs w:val="10"/>
                <w:color w:val="auto"/>
              </w:rPr>
            </w:pPr>
          </w:p>
        </w:tc>
        <w:tc>
          <w:tcPr>
            <w:tcW w:w="340" w:type="dxa"/>
            <w:vAlign w:val="bottom"/>
            <w:tcBorders>
              <w:top w:val="single" w:sz="8" w:color="auto"/>
              <w:bottom w:val="single" w:sz="8" w:color="auto"/>
            </w:tcBorders>
          </w:tcPr>
          <w:p>
            <w:pPr>
              <w:jc w:val="right"/>
              <w:ind w:right="26"/>
              <w:spacing w:after="0" w:line="115" w:lineRule="exact"/>
              <w:rPr>
                <w:sz w:val="20"/>
                <w:szCs w:val="20"/>
                <w:color w:val="auto"/>
              </w:rPr>
            </w:pPr>
            <w:r>
              <w:rPr>
                <w:rFonts w:ascii="Arial" w:cs="Arial" w:eastAsia="Arial" w:hAnsi="Arial"/>
                <w:sz w:val="12"/>
                <w:szCs w:val="12"/>
                <w:b w:val="1"/>
                <w:bCs w:val="1"/>
                <w:color w:val="auto"/>
                <w:w w:val="82"/>
              </w:rPr>
              <w:t>2017</w:t>
            </w:r>
          </w:p>
        </w:tc>
        <w:tc>
          <w:tcPr>
            <w:tcW w:w="40" w:type="dxa"/>
            <w:vAlign w:val="bottom"/>
            <w:tcBorders>
              <w:bottom w:val="single" w:sz="8" w:color="CCEEFF"/>
            </w:tcBorders>
          </w:tcPr>
          <w:p>
            <w:pPr>
              <w:spacing w:after="0"/>
              <w:rPr>
                <w:sz w:val="10"/>
                <w:szCs w:val="10"/>
                <w:color w:val="auto"/>
              </w:rPr>
            </w:pPr>
          </w:p>
        </w:tc>
      </w:tr>
      <w:tr>
        <w:trPr>
          <w:trHeight w:val="172"/>
        </w:trPr>
        <w:tc>
          <w:tcPr>
            <w:tcW w:w="20" w:type="dxa"/>
            <w:vAlign w:val="bottom"/>
          </w:tcPr>
          <w:p>
            <w:pPr>
              <w:spacing w:after="0"/>
              <w:rPr>
                <w:sz w:val="14"/>
                <w:szCs w:val="14"/>
                <w:color w:val="auto"/>
              </w:rPr>
            </w:pPr>
          </w:p>
        </w:tc>
        <w:tc>
          <w:tcPr>
            <w:tcW w:w="5200" w:type="dxa"/>
            <w:vAlign w:val="bottom"/>
            <w:shd w:val="clear" w:color="auto" w:fill="CCEEFF"/>
          </w:tcPr>
          <w:p>
            <w:pPr>
              <w:spacing w:after="0" w:line="170" w:lineRule="exact"/>
              <w:rPr>
                <w:sz w:val="20"/>
                <w:szCs w:val="20"/>
                <w:color w:val="auto"/>
              </w:rPr>
            </w:pPr>
            <w:r>
              <w:rPr>
                <w:rFonts w:ascii="Arial" w:cs="Arial" w:eastAsia="Arial" w:hAnsi="Arial"/>
                <w:sz w:val="15"/>
                <w:szCs w:val="15"/>
                <w:color w:val="auto"/>
              </w:rPr>
              <w:t>Non-income taxes payable</w:t>
            </w:r>
          </w:p>
        </w:tc>
        <w:tc>
          <w:tcPr>
            <w:tcW w:w="264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49.4</w:t>
            </w:r>
          </w:p>
        </w:tc>
        <w:tc>
          <w:tcPr>
            <w:tcW w:w="400" w:type="dxa"/>
            <w:vAlign w:val="bottom"/>
            <w:shd w:val="clear" w:color="auto" w:fill="CCEEFF"/>
          </w:tcPr>
          <w:p>
            <w:pPr>
              <w:spacing w:after="0"/>
              <w:rPr>
                <w:sz w:val="14"/>
                <w:szCs w:val="14"/>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69.7</w:t>
            </w:r>
          </w:p>
        </w:tc>
        <w:tc>
          <w:tcPr>
            <w:tcW w:w="40" w:type="dxa"/>
            <w:vAlign w:val="bottom"/>
            <w:shd w:val="clear" w:color="auto" w:fill="CCEEFF"/>
          </w:tcPr>
          <w:p>
            <w:pPr>
              <w:spacing w:after="0"/>
              <w:rPr>
                <w:sz w:val="14"/>
                <w:szCs w:val="14"/>
                <w:color w:val="auto"/>
              </w:rPr>
            </w:pPr>
          </w:p>
        </w:tc>
      </w:tr>
      <w:tr>
        <w:trPr>
          <w:trHeight w:val="180"/>
        </w:trPr>
        <w:tc>
          <w:tcPr>
            <w:tcW w:w="20" w:type="dxa"/>
            <w:vAlign w:val="bottom"/>
          </w:tcPr>
          <w:p>
            <w:pPr>
              <w:spacing w:after="0"/>
              <w:rPr>
                <w:sz w:val="15"/>
                <w:szCs w:val="15"/>
                <w:color w:val="auto"/>
              </w:rPr>
            </w:pPr>
          </w:p>
        </w:tc>
        <w:tc>
          <w:tcPr>
            <w:tcW w:w="5200" w:type="dxa"/>
            <w:vAlign w:val="bottom"/>
          </w:tcPr>
          <w:p>
            <w:pPr>
              <w:spacing w:after="0"/>
              <w:rPr>
                <w:sz w:val="20"/>
                <w:szCs w:val="20"/>
                <w:color w:val="auto"/>
              </w:rPr>
            </w:pPr>
            <w:r>
              <w:rPr>
                <w:rFonts w:ascii="Arial" w:cs="Arial" w:eastAsia="Arial" w:hAnsi="Arial"/>
                <w:sz w:val="15"/>
                <w:szCs w:val="15"/>
                <w:color w:val="auto"/>
              </w:rPr>
              <w:t>Accrued legal and other external fees</w:t>
            </w:r>
          </w:p>
        </w:tc>
        <w:tc>
          <w:tcPr>
            <w:tcW w:w="2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jc w:val="right"/>
              <w:spacing w:after="0"/>
              <w:rPr>
                <w:sz w:val="20"/>
                <w:szCs w:val="20"/>
                <w:color w:val="auto"/>
              </w:rPr>
            </w:pPr>
            <w:r>
              <w:rPr>
                <w:rFonts w:ascii="Arial" w:cs="Arial" w:eastAsia="Arial" w:hAnsi="Arial"/>
                <w:sz w:val="15"/>
                <w:szCs w:val="15"/>
                <w:color w:val="auto"/>
              </w:rPr>
              <w:t>11.9</w:t>
            </w:r>
          </w:p>
        </w:tc>
        <w:tc>
          <w:tcPr>
            <w:tcW w:w="4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jc w:val="right"/>
              <w:spacing w:after="0"/>
              <w:rPr>
                <w:sz w:val="20"/>
                <w:szCs w:val="20"/>
                <w:color w:val="auto"/>
              </w:rPr>
            </w:pPr>
            <w:r>
              <w:rPr>
                <w:rFonts w:ascii="Arial" w:cs="Arial" w:eastAsia="Arial" w:hAnsi="Arial"/>
                <w:sz w:val="15"/>
                <w:szCs w:val="15"/>
                <w:color w:val="auto"/>
              </w:rPr>
              <w:t>21.3</w:t>
            </w:r>
          </w:p>
        </w:tc>
        <w:tc>
          <w:tcPr>
            <w:tcW w:w="40" w:type="dxa"/>
            <w:vAlign w:val="bottom"/>
          </w:tcPr>
          <w:p>
            <w:pPr>
              <w:spacing w:after="0"/>
              <w:rPr>
                <w:sz w:val="15"/>
                <w:szCs w:val="15"/>
                <w:color w:val="auto"/>
              </w:rPr>
            </w:pPr>
          </w:p>
        </w:tc>
      </w:tr>
      <w:tr>
        <w:trPr>
          <w:trHeight w:val="180"/>
        </w:trPr>
        <w:tc>
          <w:tcPr>
            <w:tcW w:w="20" w:type="dxa"/>
            <w:vAlign w:val="bottom"/>
          </w:tcPr>
          <w:p>
            <w:pPr>
              <w:spacing w:after="0"/>
              <w:rPr>
                <w:sz w:val="15"/>
                <w:szCs w:val="15"/>
                <w:color w:val="auto"/>
              </w:rPr>
            </w:pPr>
          </w:p>
        </w:tc>
        <w:tc>
          <w:tcPr>
            <w:tcW w:w="5200" w:type="dxa"/>
            <w:vAlign w:val="bottom"/>
            <w:shd w:val="clear" w:color="auto" w:fill="CCEEFF"/>
          </w:tcPr>
          <w:p>
            <w:pPr>
              <w:spacing w:after="0"/>
              <w:rPr>
                <w:sz w:val="20"/>
                <w:szCs w:val="20"/>
                <w:color w:val="auto"/>
              </w:rPr>
            </w:pPr>
            <w:r>
              <w:rPr>
                <w:rFonts w:ascii="Arial" w:cs="Arial" w:eastAsia="Arial" w:hAnsi="Arial"/>
                <w:sz w:val="15"/>
                <w:szCs w:val="15"/>
                <w:color w:val="auto"/>
              </w:rPr>
              <w:t>Deferred rent</w:t>
            </w:r>
          </w:p>
        </w:tc>
        <w:tc>
          <w:tcPr>
            <w:tcW w:w="26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11.0</w:t>
            </w:r>
          </w:p>
        </w:tc>
        <w:tc>
          <w:tcPr>
            <w:tcW w:w="4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14.6</w:t>
            </w:r>
          </w:p>
        </w:tc>
        <w:tc>
          <w:tcPr>
            <w:tcW w:w="40" w:type="dxa"/>
            <w:vAlign w:val="bottom"/>
            <w:shd w:val="clear" w:color="auto" w:fill="CCEEFF"/>
          </w:tcPr>
          <w:p>
            <w:pPr>
              <w:spacing w:after="0"/>
              <w:rPr>
                <w:sz w:val="15"/>
                <w:szCs w:val="15"/>
                <w:color w:val="auto"/>
              </w:rPr>
            </w:pPr>
          </w:p>
        </w:tc>
      </w:tr>
      <w:tr>
        <w:trPr>
          <w:trHeight w:val="180"/>
        </w:trPr>
        <w:tc>
          <w:tcPr>
            <w:tcW w:w="20" w:type="dxa"/>
            <w:vAlign w:val="bottom"/>
          </w:tcPr>
          <w:p>
            <w:pPr>
              <w:spacing w:after="0"/>
              <w:rPr>
                <w:sz w:val="15"/>
                <w:szCs w:val="15"/>
                <w:color w:val="auto"/>
              </w:rPr>
            </w:pPr>
          </w:p>
        </w:tc>
        <w:tc>
          <w:tcPr>
            <w:tcW w:w="5200" w:type="dxa"/>
            <w:vAlign w:val="bottom"/>
          </w:tcPr>
          <w:p>
            <w:pPr>
              <w:spacing w:after="0"/>
              <w:rPr>
                <w:sz w:val="20"/>
                <w:szCs w:val="20"/>
                <w:color w:val="auto"/>
              </w:rPr>
            </w:pPr>
            <w:r>
              <w:rPr>
                <w:rFonts w:ascii="Arial" w:cs="Arial" w:eastAsia="Arial" w:hAnsi="Arial"/>
                <w:sz w:val="15"/>
                <w:szCs w:val="15"/>
                <w:color w:val="auto"/>
              </w:rPr>
              <w:t>Financing obligations, current</w:t>
            </w:r>
          </w:p>
        </w:tc>
        <w:tc>
          <w:tcPr>
            <w:tcW w:w="2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jc w:val="right"/>
              <w:spacing w:after="0"/>
              <w:rPr>
                <w:sz w:val="20"/>
                <w:szCs w:val="20"/>
                <w:color w:val="auto"/>
              </w:rPr>
            </w:pPr>
            <w:r>
              <w:rPr>
                <w:rFonts w:ascii="Arial" w:cs="Arial" w:eastAsia="Arial" w:hAnsi="Arial"/>
                <w:sz w:val="15"/>
                <w:szCs w:val="15"/>
                <w:color w:val="auto"/>
              </w:rPr>
              <w:t>11.4</w:t>
            </w:r>
          </w:p>
        </w:tc>
        <w:tc>
          <w:tcPr>
            <w:tcW w:w="4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jc w:val="right"/>
              <w:spacing w:after="0"/>
              <w:rPr>
                <w:sz w:val="20"/>
                <w:szCs w:val="20"/>
                <w:color w:val="auto"/>
              </w:rPr>
            </w:pPr>
            <w:r>
              <w:rPr>
                <w:rFonts w:ascii="Arial" w:cs="Arial" w:eastAsia="Arial" w:hAnsi="Arial"/>
                <w:sz w:val="15"/>
                <w:szCs w:val="15"/>
                <w:color w:val="auto"/>
              </w:rPr>
              <w:t>9.7</w:t>
            </w:r>
          </w:p>
        </w:tc>
        <w:tc>
          <w:tcPr>
            <w:tcW w:w="40" w:type="dxa"/>
            <w:vAlign w:val="bottom"/>
          </w:tcPr>
          <w:p>
            <w:pPr>
              <w:spacing w:after="0"/>
              <w:rPr>
                <w:sz w:val="15"/>
                <w:szCs w:val="15"/>
                <w:color w:val="auto"/>
              </w:rPr>
            </w:pPr>
          </w:p>
        </w:tc>
      </w:tr>
      <w:tr>
        <w:trPr>
          <w:trHeight w:val="180"/>
        </w:trPr>
        <w:tc>
          <w:tcPr>
            <w:tcW w:w="20" w:type="dxa"/>
            <w:vAlign w:val="bottom"/>
          </w:tcPr>
          <w:p>
            <w:pPr>
              <w:spacing w:after="0"/>
              <w:rPr>
                <w:sz w:val="15"/>
                <w:szCs w:val="15"/>
                <w:color w:val="auto"/>
              </w:rPr>
            </w:pPr>
          </w:p>
        </w:tc>
        <w:tc>
          <w:tcPr>
            <w:tcW w:w="5200" w:type="dxa"/>
            <w:vAlign w:val="bottom"/>
            <w:shd w:val="clear" w:color="auto" w:fill="CCEEFF"/>
          </w:tcPr>
          <w:p>
            <w:pPr>
              <w:spacing w:after="0"/>
              <w:rPr>
                <w:sz w:val="20"/>
                <w:szCs w:val="20"/>
                <w:color w:val="auto"/>
              </w:rPr>
            </w:pPr>
            <w:r>
              <w:rPr>
                <w:rFonts w:ascii="Arial" w:cs="Arial" w:eastAsia="Arial" w:hAnsi="Arial"/>
                <w:sz w:val="15"/>
                <w:szCs w:val="15"/>
                <w:color w:val="auto"/>
              </w:rPr>
              <w:t>Accrued infrastructure costs</w:t>
            </w:r>
          </w:p>
        </w:tc>
        <w:tc>
          <w:tcPr>
            <w:tcW w:w="26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1.9</w:t>
            </w:r>
          </w:p>
        </w:tc>
        <w:tc>
          <w:tcPr>
            <w:tcW w:w="4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2.6</w:t>
            </w:r>
          </w:p>
        </w:tc>
        <w:tc>
          <w:tcPr>
            <w:tcW w:w="40" w:type="dxa"/>
            <w:vAlign w:val="bottom"/>
            <w:shd w:val="clear" w:color="auto" w:fill="CCEEFF"/>
          </w:tcPr>
          <w:p>
            <w:pPr>
              <w:spacing w:after="0"/>
              <w:rPr>
                <w:sz w:val="15"/>
                <w:szCs w:val="15"/>
                <w:color w:val="auto"/>
              </w:rPr>
            </w:pPr>
          </w:p>
        </w:tc>
      </w:tr>
      <w:tr>
        <w:trPr>
          <w:trHeight w:val="180"/>
        </w:trPr>
        <w:tc>
          <w:tcPr>
            <w:tcW w:w="20" w:type="dxa"/>
            <w:vAlign w:val="bottom"/>
          </w:tcPr>
          <w:p>
            <w:pPr>
              <w:spacing w:after="0"/>
              <w:rPr>
                <w:sz w:val="15"/>
                <w:szCs w:val="15"/>
                <w:color w:val="auto"/>
              </w:rPr>
            </w:pPr>
          </w:p>
        </w:tc>
        <w:tc>
          <w:tcPr>
            <w:tcW w:w="5200" w:type="dxa"/>
            <w:vAlign w:val="bottom"/>
          </w:tcPr>
          <w:p>
            <w:pPr>
              <w:spacing w:after="0"/>
              <w:rPr>
                <w:sz w:val="20"/>
                <w:szCs w:val="20"/>
                <w:color w:val="auto"/>
              </w:rPr>
            </w:pPr>
            <w:r>
              <w:rPr>
                <w:rFonts w:ascii="Arial" w:cs="Arial" w:eastAsia="Arial" w:hAnsi="Arial"/>
                <w:sz w:val="15"/>
                <w:szCs w:val="15"/>
                <w:color w:val="auto"/>
              </w:rPr>
              <w:t>Accrued property and equipment purchases</w:t>
            </w:r>
          </w:p>
        </w:tc>
        <w:tc>
          <w:tcPr>
            <w:tcW w:w="2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jc w:val="right"/>
              <w:spacing w:after="0"/>
              <w:rPr>
                <w:sz w:val="20"/>
                <w:szCs w:val="20"/>
                <w:color w:val="auto"/>
              </w:rPr>
            </w:pPr>
            <w:r>
              <w:rPr>
                <w:rFonts w:ascii="Arial" w:cs="Arial" w:eastAsia="Arial" w:hAnsi="Arial"/>
                <w:sz w:val="15"/>
                <w:szCs w:val="15"/>
                <w:color w:val="auto"/>
              </w:rPr>
              <w:t>5.8</w:t>
            </w:r>
          </w:p>
        </w:tc>
        <w:tc>
          <w:tcPr>
            <w:tcW w:w="4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jc w:val="right"/>
              <w:spacing w:after="0"/>
              <w:rPr>
                <w:sz w:val="20"/>
                <w:szCs w:val="20"/>
                <w:color w:val="auto"/>
              </w:rPr>
            </w:pPr>
            <w:r>
              <w:rPr>
                <w:rFonts w:ascii="Arial" w:cs="Arial" w:eastAsia="Arial" w:hAnsi="Arial"/>
                <w:sz w:val="15"/>
                <w:szCs w:val="15"/>
                <w:color w:val="auto"/>
              </w:rPr>
              <w:t>1.8</w:t>
            </w:r>
          </w:p>
        </w:tc>
        <w:tc>
          <w:tcPr>
            <w:tcW w:w="40" w:type="dxa"/>
            <w:vAlign w:val="bottom"/>
          </w:tcPr>
          <w:p>
            <w:pPr>
              <w:spacing w:after="0"/>
              <w:rPr>
                <w:sz w:val="15"/>
                <w:szCs w:val="15"/>
                <w:color w:val="auto"/>
              </w:rPr>
            </w:pPr>
          </w:p>
        </w:tc>
      </w:tr>
      <w:tr>
        <w:trPr>
          <w:trHeight w:val="180"/>
        </w:trPr>
        <w:tc>
          <w:tcPr>
            <w:tcW w:w="20" w:type="dxa"/>
            <w:vAlign w:val="bottom"/>
          </w:tcPr>
          <w:p>
            <w:pPr>
              <w:spacing w:after="0"/>
              <w:rPr>
                <w:sz w:val="15"/>
                <w:szCs w:val="15"/>
                <w:color w:val="auto"/>
              </w:rPr>
            </w:pPr>
          </w:p>
        </w:tc>
        <w:tc>
          <w:tcPr>
            <w:tcW w:w="5200" w:type="dxa"/>
            <w:vAlign w:val="bottom"/>
            <w:shd w:val="clear" w:color="auto" w:fill="CCEEFF"/>
          </w:tcPr>
          <w:p>
            <w:pPr>
              <w:spacing w:after="0"/>
              <w:rPr>
                <w:sz w:val="20"/>
                <w:szCs w:val="20"/>
                <w:color w:val="auto"/>
              </w:rPr>
            </w:pPr>
            <w:r>
              <w:rPr>
                <w:rFonts w:ascii="Arial" w:cs="Arial" w:eastAsia="Arial" w:hAnsi="Arial"/>
                <w:sz w:val="15"/>
                <w:szCs w:val="15"/>
                <w:color w:val="auto"/>
              </w:rPr>
              <w:t>Income taxes payable</w:t>
            </w:r>
          </w:p>
        </w:tc>
        <w:tc>
          <w:tcPr>
            <w:tcW w:w="26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2.2</w:t>
            </w:r>
          </w:p>
        </w:tc>
        <w:tc>
          <w:tcPr>
            <w:tcW w:w="4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0.4</w:t>
            </w:r>
          </w:p>
        </w:tc>
        <w:tc>
          <w:tcPr>
            <w:tcW w:w="40" w:type="dxa"/>
            <w:vAlign w:val="bottom"/>
            <w:shd w:val="clear" w:color="auto" w:fill="CCEEFF"/>
          </w:tcPr>
          <w:p>
            <w:pPr>
              <w:spacing w:after="0"/>
              <w:rPr>
                <w:sz w:val="15"/>
                <w:szCs w:val="15"/>
                <w:color w:val="auto"/>
              </w:rPr>
            </w:pPr>
          </w:p>
        </w:tc>
      </w:tr>
      <w:tr>
        <w:trPr>
          <w:trHeight w:val="183"/>
        </w:trPr>
        <w:tc>
          <w:tcPr>
            <w:tcW w:w="20" w:type="dxa"/>
            <w:vAlign w:val="bottom"/>
          </w:tcPr>
          <w:p>
            <w:pPr>
              <w:spacing w:after="0"/>
              <w:rPr>
                <w:sz w:val="15"/>
                <w:szCs w:val="15"/>
                <w:color w:val="auto"/>
              </w:rPr>
            </w:pPr>
          </w:p>
        </w:tc>
        <w:tc>
          <w:tcPr>
            <w:tcW w:w="5200" w:type="dxa"/>
            <w:vAlign w:val="bottom"/>
          </w:tcPr>
          <w:p>
            <w:pPr>
              <w:spacing w:after="0"/>
              <w:rPr>
                <w:sz w:val="20"/>
                <w:szCs w:val="20"/>
                <w:color w:val="auto"/>
              </w:rPr>
            </w:pPr>
            <w:r>
              <w:rPr>
                <w:rFonts w:ascii="Arial" w:cs="Arial" w:eastAsia="Arial" w:hAnsi="Arial"/>
                <w:sz w:val="15"/>
                <w:szCs w:val="15"/>
                <w:color w:val="auto"/>
              </w:rPr>
              <w:t>Other accrued and current liabilities</w:t>
            </w:r>
          </w:p>
        </w:tc>
        <w:tc>
          <w:tcPr>
            <w:tcW w:w="264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4.3</w:t>
            </w:r>
          </w:p>
        </w:tc>
        <w:tc>
          <w:tcPr>
            <w:tcW w:w="40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9.7</w:t>
            </w:r>
          </w:p>
        </w:tc>
        <w:tc>
          <w:tcPr>
            <w:tcW w:w="40" w:type="dxa"/>
            <w:vAlign w:val="bottom"/>
          </w:tcPr>
          <w:p>
            <w:pPr>
              <w:spacing w:after="0"/>
              <w:rPr>
                <w:sz w:val="15"/>
                <w:szCs w:val="15"/>
                <w:color w:val="auto"/>
              </w:rPr>
            </w:pPr>
          </w:p>
        </w:tc>
      </w:tr>
      <w:tr>
        <w:trPr>
          <w:trHeight w:val="180"/>
        </w:trPr>
        <w:tc>
          <w:tcPr>
            <w:tcW w:w="20" w:type="dxa"/>
            <w:vAlign w:val="bottom"/>
          </w:tcPr>
          <w:p>
            <w:pPr>
              <w:spacing w:after="0"/>
              <w:rPr>
                <w:sz w:val="15"/>
                <w:szCs w:val="15"/>
                <w:color w:val="auto"/>
              </w:rPr>
            </w:pPr>
          </w:p>
        </w:tc>
        <w:tc>
          <w:tcPr>
            <w:tcW w:w="5200" w:type="dxa"/>
            <w:vAlign w:val="bottom"/>
            <w:shd w:val="clear" w:color="auto" w:fill="CCEEFF"/>
          </w:tcPr>
          <w:p>
            <w:pPr>
              <w:spacing w:after="0"/>
              <w:rPr>
                <w:sz w:val="20"/>
                <w:szCs w:val="20"/>
                <w:color w:val="auto"/>
              </w:rPr>
            </w:pPr>
            <w:r>
              <w:rPr>
                <w:rFonts w:ascii="Arial" w:cs="Arial" w:eastAsia="Arial" w:hAnsi="Arial"/>
                <w:sz w:val="15"/>
                <w:szCs w:val="15"/>
                <w:color w:val="auto"/>
              </w:rPr>
              <w:t>Total accrued and other current liabilities</w:t>
            </w:r>
          </w:p>
        </w:tc>
        <w:tc>
          <w:tcPr>
            <w:tcW w:w="274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97.9</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5"/>
                <w:szCs w:val="15"/>
                <w:u w:val="single" w:color="auto"/>
                <w:color w:val="auto"/>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85"/>
              </w:rPr>
              <w:t>129.8</w:t>
            </w:r>
          </w:p>
        </w:tc>
        <w:tc>
          <w:tcPr>
            <w:tcW w:w="40" w:type="dxa"/>
            <w:vAlign w:val="bottom"/>
            <w:shd w:val="clear" w:color="auto" w:fill="CCEEFF"/>
          </w:tcPr>
          <w:p>
            <w:pPr>
              <w:spacing w:after="0"/>
              <w:rPr>
                <w:sz w:val="15"/>
                <w:szCs w:val="15"/>
                <w:color w:val="auto"/>
              </w:rPr>
            </w:pPr>
          </w:p>
        </w:tc>
      </w:tr>
      <w:tr>
        <w:trPr>
          <w:trHeight w:val="20"/>
        </w:trPr>
        <w:tc>
          <w:tcPr>
            <w:tcW w:w="20" w:type="dxa"/>
            <w:vAlign w:val="bottom"/>
          </w:tcPr>
          <w:p>
            <w:pPr>
              <w:spacing w:after="0" w:line="20" w:lineRule="exact"/>
              <w:rPr>
                <w:sz w:val="1"/>
                <w:szCs w:val="1"/>
                <w:color w:val="auto"/>
              </w:rPr>
            </w:pPr>
          </w:p>
        </w:tc>
        <w:tc>
          <w:tcPr>
            <w:tcW w:w="520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67" w:lineRule="exact"/>
        <w:rPr>
          <w:sz w:val="20"/>
          <w:szCs w:val="20"/>
          <w:color w:val="auto"/>
        </w:rPr>
      </w:pPr>
    </w:p>
    <w:p>
      <w:pPr>
        <w:ind w:left="1120"/>
        <w:spacing w:after="0"/>
        <w:rPr>
          <w:sz w:val="20"/>
          <w:szCs w:val="20"/>
          <w:color w:val="auto"/>
        </w:rPr>
      </w:pPr>
      <w:r>
        <w:rPr>
          <w:rFonts w:ascii="Arial" w:cs="Arial" w:eastAsia="Arial" w:hAnsi="Arial"/>
          <w:sz w:val="15"/>
          <w:szCs w:val="15"/>
          <w:b w:val="1"/>
          <w:bCs w:val="1"/>
          <w:color w:val="auto"/>
        </w:rPr>
        <w:t>Note 9. Revolving Credit Agreement</w:t>
      </w:r>
    </w:p>
    <w:p>
      <w:pPr>
        <w:spacing w:after="0" w:line="102" w:lineRule="exact"/>
        <w:rPr>
          <w:sz w:val="20"/>
          <w:szCs w:val="20"/>
          <w:color w:val="auto"/>
        </w:rPr>
      </w:pPr>
    </w:p>
    <w:p>
      <w:pPr>
        <w:ind w:left="1120" w:right="20" w:firstLine="368"/>
        <w:spacing w:after="0" w:line="255" w:lineRule="auto"/>
        <w:rPr>
          <w:sz w:val="20"/>
          <w:szCs w:val="20"/>
          <w:color w:val="auto"/>
        </w:rPr>
      </w:pPr>
      <w:r>
        <w:rPr>
          <w:rFonts w:ascii="Arial" w:cs="Arial" w:eastAsia="Arial" w:hAnsi="Arial"/>
          <w:sz w:val="15"/>
          <w:szCs w:val="15"/>
          <w:color w:val="auto"/>
        </w:rPr>
        <w:t>On April 3, 2017, the Company entered into an amended and restated credit and guaranty agreement which currently provides for a $600.0 million revolving loan facility (the “revolving credit facility”). The revolving credit facility has an accordion option, which, if exercised, would allow the Company to increase the aggregate commitments up to $150.0 million, subject to obtaining additional lender commitments and satisfying certain conditions. The revolving credit facility replaced the Company’s existing $500.0 million revolving credit facility that was set to expire on March 20, 2018 (the “2014 revolving credit facility”). In conjunction with the revolving credit facility, the Company paid upfront issuance fees of $2.6 million, which are being amortized over the five-year term of the agreement.</w:t>
      </w:r>
    </w:p>
    <w:p>
      <w:pPr>
        <w:spacing w:after="0" w:line="107" w:lineRule="exact"/>
        <w:rPr>
          <w:sz w:val="20"/>
          <w:szCs w:val="20"/>
          <w:color w:val="auto"/>
        </w:rPr>
      </w:pPr>
    </w:p>
    <w:p>
      <w:pPr>
        <w:ind w:left="5580"/>
        <w:spacing w:after="0"/>
        <w:rPr>
          <w:sz w:val="20"/>
          <w:szCs w:val="20"/>
          <w:color w:val="auto"/>
        </w:rPr>
      </w:pPr>
      <w:r>
        <w:rPr>
          <w:rFonts w:ascii="Arial" w:cs="Arial" w:eastAsia="Arial" w:hAnsi="Arial"/>
          <w:sz w:val="15"/>
          <w:szCs w:val="15"/>
          <w:color w:val="auto"/>
        </w:rPr>
        <w:t>F-22</w:t>
      </w:r>
    </w:p>
    <w:p>
      <w:pPr>
        <w:sectPr>
          <w:pgSz w:w="11900" w:h="16838" w:orient="portrait"/>
          <w:cols w:equalWidth="0" w:num="1">
            <w:col w:w="10320"/>
          </w:cols>
          <w:pgMar w:left="240" w:top="407" w:right="1339" w:bottom="1440" w:gutter="0" w:footer="0" w:header="0"/>
          <w:type w:val="continuous"/>
        </w:sectPr>
      </w:pPr>
    </w:p>
    <w:bookmarkStart w:id="225" w:name="page226"/>
    <w:bookmarkEnd w:id="225"/>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133350</wp:posOffset>
            </wp:positionH>
            <wp:positionV relativeFrom="page">
              <wp:posOffset>88900</wp:posOffset>
            </wp:positionV>
            <wp:extent cx="7308850" cy="3429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308850" cy="34290"/>
                    </a:xfrm>
                    <a:prstGeom prst="rect">
                      <a:avLst/>
                    </a:prstGeom>
                    <a:noFill/>
                  </pic:spPr>
                </pic:pic>
              </a:graphicData>
            </a:graphic>
          </wp:anchor>
        </w:drawing>
      </w:r>
      <w:hyperlink w:anchor="page7">
        <w:r>
          <w:rPr>
            <w:rFonts w:ascii="Arial" w:cs="Arial" w:eastAsia="Arial" w:hAnsi="Arial"/>
            <w:sz w:val="15"/>
            <w:szCs w:val="15"/>
            <w:b w:val="1"/>
            <w:bCs w:val="1"/>
            <w:u w:val="single" w:color="auto"/>
            <w:color w:val="0000EE"/>
          </w:rPr>
          <w:t>Table of Contents</w:t>
        </w:r>
      </w:hyperlink>
    </w:p>
    <w:p>
      <w:pPr>
        <w:spacing w:after="0" w:line="260" w:lineRule="exact"/>
        <w:rPr>
          <w:sz w:val="20"/>
          <w:szCs w:val="20"/>
          <w:color w:val="auto"/>
        </w:rPr>
      </w:pPr>
    </w:p>
    <w:p>
      <w:pPr>
        <w:ind w:left="1120" w:firstLine="368"/>
        <w:spacing w:after="0" w:line="276" w:lineRule="auto"/>
        <w:rPr>
          <w:sz w:val="20"/>
          <w:szCs w:val="20"/>
          <w:color w:val="auto"/>
        </w:rPr>
      </w:pPr>
      <w:r>
        <w:rPr>
          <w:rFonts w:ascii="Arial" w:cs="Arial" w:eastAsia="Arial" w:hAnsi="Arial"/>
          <w:sz w:val="14"/>
          <w:szCs w:val="14"/>
          <w:color w:val="auto"/>
        </w:rPr>
        <w:t>Pursuant to the terms of the revolving credit facility, the Company may issue letters of credit under the revolving credit facility, which reduce the total amount available for borrowing. Pursuant to the terms of the revolving credit facility, the Company is required to pay an annual commitment fee that accrues at a rate of 0.20% per annum on the unused portion of the borrowing commitments under the revolving credit facility. In addition, the Company is required to pay a fee in connection with letters of credit issued under the revolving credit facility, which accrues at a rate of 1.5% per annum on the amount to be drawn under such letters of credit outstanding. There is an additional fronting fee of 0.125% per annum multiplied by the average aggregate daily maximum amount available to be drawn under all letters of credit. Borrowings under the revolving credit facility bear interest, at the Company’s option, at an annual rate based on LIBOR plus a spread of 1.50% or at an alternative base rate plus a spread of 0.50%.</w:t>
      </w:r>
    </w:p>
    <w:p>
      <w:pPr>
        <w:spacing w:after="0" w:line="148" w:lineRule="exact"/>
        <w:rPr>
          <w:sz w:val="20"/>
          <w:szCs w:val="20"/>
          <w:color w:val="auto"/>
        </w:rPr>
      </w:pPr>
    </w:p>
    <w:p>
      <w:pPr>
        <w:ind w:left="1120" w:right="60" w:firstLine="368"/>
        <w:spacing w:after="0" w:line="305" w:lineRule="auto"/>
        <w:rPr>
          <w:sz w:val="20"/>
          <w:szCs w:val="20"/>
          <w:color w:val="auto"/>
        </w:rPr>
      </w:pPr>
      <w:r>
        <w:rPr>
          <w:rFonts w:ascii="Arial" w:cs="Arial" w:eastAsia="Arial" w:hAnsi="Arial"/>
          <w:sz w:val="13"/>
          <w:szCs w:val="13"/>
          <w:color w:val="auto"/>
        </w:rPr>
        <w:t>The revolving credit facility contains customary conditions to borrowing, events of default and covenants, including covenants that restrict the Company’s ability to incur indebtedness, grant liens, make distributions to holders of the Company or its subsidiaries’ equity interests, make investments, or engage in transactions with its affiliates. In addition, the revolving credit facility contains financial covenants, including a consolidated leverage ratio covenant and a minimum liquidity balance of $100.0 million, which includes any available borrowing capacity. The Company was in compliance with the covenants of the 2014 revolving credit facility as of December 31, 2016, and the revolving credit facility as of December 31, 2017.</w:t>
      </w:r>
    </w:p>
    <w:p>
      <w:pPr>
        <w:spacing w:after="0" w:line="133" w:lineRule="exact"/>
        <w:rPr>
          <w:sz w:val="20"/>
          <w:szCs w:val="20"/>
          <w:color w:val="auto"/>
        </w:rPr>
      </w:pPr>
    </w:p>
    <w:p>
      <w:pPr>
        <w:ind w:left="1120" w:right="60" w:firstLine="368"/>
        <w:spacing w:after="0" w:line="257" w:lineRule="auto"/>
        <w:rPr>
          <w:sz w:val="20"/>
          <w:szCs w:val="20"/>
          <w:color w:val="auto"/>
        </w:rPr>
      </w:pPr>
      <w:r>
        <w:rPr>
          <w:rFonts w:ascii="Arial" w:cs="Arial" w:eastAsia="Arial" w:hAnsi="Arial"/>
          <w:sz w:val="15"/>
          <w:szCs w:val="15"/>
          <w:color w:val="auto"/>
        </w:rPr>
        <w:t>As of December 31, 2016, the Company had an aggregate of $48.7 million of letters of credit outstanding under the 2014 revolving credit facility. As of December 31, 2017, the Company had an aggregate of $82.6 million of letters of credit outstanding under the revolving credit facility. The Company’s total available borrowing capacity under the 2014 revolving credit facility was $451.3 million as of December 31, 2016. The Company’s total available borrowing capacity under the revolving credit facility was $517.4 million as of December 31, 2017. The Company’s letters of credit expire between April of 2019 and April of 2022.</w:t>
      </w:r>
    </w:p>
    <w:p>
      <w:pPr>
        <w:spacing w:after="0" w:line="245" w:lineRule="exact"/>
        <w:rPr>
          <w:sz w:val="20"/>
          <w:szCs w:val="20"/>
          <w:color w:val="auto"/>
        </w:rPr>
      </w:pPr>
    </w:p>
    <w:p>
      <w:pPr>
        <w:ind w:left="1120"/>
        <w:spacing w:after="0"/>
        <w:rPr>
          <w:sz w:val="20"/>
          <w:szCs w:val="20"/>
          <w:color w:val="auto"/>
        </w:rPr>
      </w:pPr>
      <w:r>
        <w:rPr>
          <w:rFonts w:ascii="Arial" w:cs="Arial" w:eastAsia="Arial" w:hAnsi="Arial"/>
          <w:sz w:val="15"/>
          <w:szCs w:val="15"/>
          <w:b w:val="1"/>
          <w:bCs w:val="1"/>
          <w:color w:val="auto"/>
        </w:rPr>
        <w:t>Note 10. Commitments and Contingencies</w:t>
      </w:r>
    </w:p>
    <w:p>
      <w:pPr>
        <w:spacing w:after="0" w:line="102" w:lineRule="exact"/>
        <w:rPr>
          <w:sz w:val="20"/>
          <w:szCs w:val="20"/>
          <w:color w:val="auto"/>
        </w:rPr>
      </w:pPr>
    </w:p>
    <w:p>
      <w:pPr>
        <w:ind w:left="1480"/>
        <w:spacing w:after="0"/>
        <w:rPr>
          <w:sz w:val="20"/>
          <w:szCs w:val="20"/>
          <w:color w:val="auto"/>
        </w:rPr>
      </w:pPr>
      <w:r>
        <w:rPr>
          <w:rFonts w:ascii="Arial" w:cs="Arial" w:eastAsia="Arial" w:hAnsi="Arial"/>
          <w:sz w:val="15"/>
          <w:szCs w:val="15"/>
          <w:b w:val="1"/>
          <w:bCs w:val="1"/>
          <w:i w:val="1"/>
          <w:iCs w:val="1"/>
          <w:color w:val="auto"/>
        </w:rPr>
        <w:t>Leases</w:t>
      </w:r>
    </w:p>
    <w:p>
      <w:pPr>
        <w:spacing w:after="0" w:line="98" w:lineRule="exact"/>
        <w:rPr>
          <w:sz w:val="20"/>
          <w:szCs w:val="20"/>
          <w:color w:val="auto"/>
        </w:rPr>
      </w:pPr>
    </w:p>
    <w:p>
      <w:pPr>
        <w:ind w:left="1120" w:right="80" w:firstLine="368"/>
        <w:spacing w:after="0" w:line="283" w:lineRule="auto"/>
        <w:rPr>
          <w:sz w:val="20"/>
          <w:szCs w:val="20"/>
          <w:color w:val="auto"/>
        </w:rPr>
      </w:pPr>
      <w:r>
        <w:rPr>
          <w:rFonts w:ascii="Arial" w:cs="Arial" w:eastAsia="Arial" w:hAnsi="Arial"/>
          <w:sz w:val="14"/>
          <w:szCs w:val="14"/>
          <w:color w:val="auto"/>
        </w:rPr>
        <w:t>The Company has entered into various non-cancelable operating lease agreements for certain offices and datacenters with contractual lease periods expiring at various dates through 2033. The facility lease agreements generally provide for escalating rental payments and for options to renew, which could increase future minimum lease payments if exercised. The Company recognizes rent expense on a straight-line basis over the lease period and accounts for the difference between straight-line rent and actual lease payments as deferred rent.</w:t>
      </w:r>
    </w:p>
    <w:p>
      <w:pPr>
        <w:spacing w:after="0" w:line="143" w:lineRule="exact"/>
        <w:rPr>
          <w:sz w:val="20"/>
          <w:szCs w:val="20"/>
          <w:color w:val="auto"/>
        </w:rPr>
      </w:pPr>
    </w:p>
    <w:p>
      <w:pPr>
        <w:ind w:left="1120" w:firstLine="368"/>
        <w:spacing w:after="0" w:line="259" w:lineRule="auto"/>
        <w:rPr>
          <w:sz w:val="20"/>
          <w:szCs w:val="20"/>
          <w:color w:val="auto"/>
        </w:rPr>
      </w:pPr>
      <w:r>
        <w:rPr>
          <w:rFonts w:ascii="Arial" w:cs="Arial" w:eastAsia="Arial" w:hAnsi="Arial"/>
          <w:sz w:val="15"/>
          <w:szCs w:val="15"/>
          <w:color w:val="auto"/>
        </w:rPr>
        <w:t>Gross rent expense was $49.7 million, $67.9 million, $71.0 million for the years ended December 31, 2015, 2016, and 2017, respectively. Sublease income, which is recorded as a reduction of rental expense, was $0.1 million, $4.5 million, and $10.6 million for the years ended December 31, 2015, 2016, and 2017, respectively. Sublease income in excess of the Company’s original lease obligation is split with the original lessor per the terms of the sublease agreement, with the Company’s portion recorded to other income (expense), net.</w:t>
      </w:r>
    </w:p>
    <w:p>
      <w:pPr>
        <w:spacing w:after="0" w:line="158" w:lineRule="exact"/>
        <w:rPr>
          <w:sz w:val="20"/>
          <w:szCs w:val="20"/>
          <w:color w:val="auto"/>
        </w:rPr>
      </w:pPr>
    </w:p>
    <w:p>
      <w:pPr>
        <w:ind w:left="1120" w:right="40" w:firstLine="368"/>
        <w:spacing w:after="0" w:line="276" w:lineRule="auto"/>
        <w:rPr>
          <w:sz w:val="20"/>
          <w:szCs w:val="20"/>
          <w:color w:val="auto"/>
        </w:rPr>
      </w:pPr>
      <w:r>
        <w:rPr>
          <w:rFonts w:ascii="Arial" w:cs="Arial" w:eastAsia="Arial" w:hAnsi="Arial"/>
          <w:sz w:val="14"/>
          <w:szCs w:val="14"/>
          <w:color w:val="auto"/>
        </w:rPr>
        <w:t>Other commitments include payments to third-party vendors for services related to the Company’s infrastructure, infrastructure warranty contracts, payments related to the imputed financing obligation for its previous headquarters, asset retirement obligations for office modifications, and a note payable related to financing of infrastructure. As described in Note 4, “Property and Equipment”, the Company is considered the deemed owner of a floor in its previous corporate headquarters, for accounting purposes, as part of a build-to-suit lease agreement. In June 2011, the Company initially recorded a building asset and an imputed financing obligation for its obligation to the legal owner in the amount of $36.6 million. In connection with this lease, the Company is obligated to pay $8.6 million in lease payments over the next two years as of December 31, 2017. The imputed financing obligation on the Company’s consolidated balance sheets totaled $29.5 million and</w:t>
      </w:r>
    </w:p>
    <w:p>
      <w:pPr>
        <w:spacing w:after="0" w:line="91" w:lineRule="exact"/>
        <w:rPr>
          <w:sz w:val="20"/>
          <w:szCs w:val="20"/>
          <w:color w:val="auto"/>
        </w:rPr>
      </w:pPr>
    </w:p>
    <w:p>
      <w:pPr>
        <w:ind w:left="5580"/>
        <w:spacing w:after="0"/>
        <w:rPr>
          <w:sz w:val="20"/>
          <w:szCs w:val="20"/>
          <w:color w:val="auto"/>
        </w:rPr>
      </w:pPr>
      <w:r>
        <w:rPr>
          <w:rFonts w:ascii="Arial" w:cs="Arial" w:eastAsia="Arial" w:hAnsi="Arial"/>
          <w:sz w:val="15"/>
          <w:szCs w:val="15"/>
          <w:color w:val="auto"/>
        </w:rPr>
        <w:t>F-23</w:t>
      </w:r>
    </w:p>
    <w:p>
      <w:pPr>
        <w:sectPr>
          <w:pgSz w:w="11900" w:h="16838" w:orient="portrait"/>
          <w:cols w:equalWidth="0" w:num="1">
            <w:col w:w="10300"/>
          </w:cols>
          <w:pgMar w:left="240" w:top="407" w:right="1359" w:bottom="1440" w:gutter="0" w:footer="0" w:header="0"/>
        </w:sectPr>
      </w:pPr>
    </w:p>
    <w:bookmarkStart w:id="226" w:name="page227"/>
    <w:bookmarkEnd w:id="226"/>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133350</wp:posOffset>
            </wp:positionH>
            <wp:positionV relativeFrom="page">
              <wp:posOffset>88900</wp:posOffset>
            </wp:positionV>
            <wp:extent cx="7308850" cy="3429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7308850" cy="34290"/>
                    </a:xfrm>
                    <a:prstGeom prst="rect">
                      <a:avLst/>
                    </a:prstGeom>
                    <a:noFill/>
                  </pic:spPr>
                </pic:pic>
              </a:graphicData>
            </a:graphic>
          </wp:anchor>
        </w:drawing>
      </w:r>
      <w:hyperlink w:anchor="page7">
        <w:r>
          <w:rPr>
            <w:rFonts w:ascii="Arial" w:cs="Arial" w:eastAsia="Arial" w:hAnsi="Arial"/>
            <w:sz w:val="15"/>
            <w:szCs w:val="15"/>
            <w:b w:val="1"/>
            <w:bCs w:val="1"/>
            <w:u w:val="single" w:color="auto"/>
            <w:color w:val="0000EE"/>
          </w:rPr>
          <w:t>Table of Contents</w:t>
        </w:r>
      </w:hyperlink>
    </w:p>
    <w:p>
      <w:pPr>
        <w:spacing w:after="0" w:line="260" w:lineRule="exact"/>
        <w:rPr>
          <w:sz w:val="20"/>
          <w:szCs w:val="20"/>
          <w:color w:val="auto"/>
        </w:rPr>
      </w:pPr>
    </w:p>
    <w:p>
      <w:pPr>
        <w:ind w:left="1120"/>
        <w:spacing w:after="0"/>
        <w:rPr>
          <w:sz w:val="20"/>
          <w:szCs w:val="20"/>
          <w:color w:val="auto"/>
        </w:rPr>
      </w:pPr>
      <w:r>
        <w:rPr>
          <w:rFonts w:ascii="Arial" w:cs="Arial" w:eastAsia="Arial" w:hAnsi="Arial"/>
          <w:sz w:val="15"/>
          <w:szCs w:val="15"/>
          <w:color w:val="auto"/>
        </w:rPr>
        <w:t>$27.4 million at December 31, 2016 and 2017, respectively. The current portion of the imputed financing obligation totaled $2.4 million and</w:t>
      </w:r>
    </w:p>
    <w:p>
      <w:pPr>
        <w:spacing w:after="0" w:line="17" w:lineRule="exact"/>
        <w:rPr>
          <w:sz w:val="20"/>
          <w:szCs w:val="20"/>
          <w:color w:val="auto"/>
        </w:rPr>
      </w:pPr>
    </w:p>
    <w:p>
      <w:pPr>
        <w:ind w:left="1120" w:right="20"/>
        <w:spacing w:after="0" w:line="256" w:lineRule="auto"/>
        <w:rPr>
          <w:sz w:val="20"/>
          <w:szCs w:val="20"/>
          <w:color w:val="auto"/>
        </w:rPr>
      </w:pPr>
      <w:r>
        <w:rPr>
          <w:rFonts w:ascii="Arial" w:cs="Arial" w:eastAsia="Arial" w:hAnsi="Arial"/>
          <w:sz w:val="15"/>
          <w:szCs w:val="15"/>
          <w:color w:val="auto"/>
        </w:rPr>
        <w:t>$2.6 million as of December 31, 2016 and 2017, respectively, and is classified within accrued and other current liabilities. The non-current portion of the imputed financing obligation totaled $27.1 million and $24.8 million as of December 31, 2016 and 2017, respectively, and is classified within other non-current liabilities.</w:t>
      </w:r>
    </w:p>
    <w:p>
      <w:pPr>
        <w:spacing w:after="0" w:line="160" w:lineRule="exact"/>
        <w:rPr>
          <w:sz w:val="20"/>
          <w:szCs w:val="20"/>
          <w:color w:val="auto"/>
        </w:rPr>
      </w:pPr>
    </w:p>
    <w:p>
      <w:pPr>
        <w:ind w:left="1120" w:right="100" w:firstLine="368"/>
        <w:spacing w:after="0" w:line="257" w:lineRule="auto"/>
        <w:rPr>
          <w:sz w:val="20"/>
          <w:szCs w:val="20"/>
          <w:color w:val="auto"/>
        </w:rPr>
      </w:pPr>
      <w:r>
        <w:rPr>
          <w:rFonts w:ascii="Arial" w:cs="Arial" w:eastAsia="Arial" w:hAnsi="Arial"/>
          <w:sz w:val="15"/>
          <w:szCs w:val="15"/>
          <w:color w:val="auto"/>
        </w:rPr>
        <w:t>In 2015, the Company entered into a note payable arrangement with a vendor to finance infrastructure totaling $11.9 million. The note payable is classified within accrued and other current liabilities. The term of the arrangement is thirty-six months and will end in the fourth quarter of 2018. Payments including interest towards the note payable totaled $4.3 million in each of the years ended December 31, 2016 and 2017. The total remaining obligation including interest was $7.5 million and $3.6 million as of December 31, 2016 and 2017, respectively. The note payable is included in other commitments in the table below.</w:t>
      </w:r>
    </w:p>
    <w:p>
      <w:pPr>
        <w:spacing w:after="0" w:line="159" w:lineRule="exact"/>
        <w:rPr>
          <w:sz w:val="20"/>
          <w:szCs w:val="20"/>
          <w:color w:val="auto"/>
        </w:rPr>
      </w:pPr>
    </w:p>
    <w:p>
      <w:pPr>
        <w:ind w:left="1480"/>
        <w:spacing w:after="0"/>
        <w:rPr>
          <w:sz w:val="20"/>
          <w:szCs w:val="20"/>
          <w:color w:val="auto"/>
        </w:rPr>
      </w:pPr>
      <w:r>
        <w:rPr>
          <w:rFonts w:ascii="Arial" w:cs="Arial" w:eastAsia="Arial" w:hAnsi="Arial"/>
          <w:sz w:val="14"/>
          <w:szCs w:val="14"/>
          <w:color w:val="auto"/>
        </w:rPr>
        <w:t>In 2016, the Company entered into a sale-leaseback agreement with a vendor for infrastructure. As a result of the transaction, it received</w:t>
      </w:r>
    </w:p>
    <w:p>
      <w:pPr>
        <w:spacing w:after="0" w:line="29" w:lineRule="exact"/>
        <w:rPr>
          <w:sz w:val="20"/>
          <w:szCs w:val="20"/>
          <w:color w:val="auto"/>
        </w:rPr>
      </w:pPr>
    </w:p>
    <w:p>
      <w:pPr>
        <w:ind w:left="1120"/>
        <w:spacing w:after="0"/>
        <w:rPr>
          <w:sz w:val="20"/>
          <w:szCs w:val="20"/>
          <w:color w:val="auto"/>
        </w:rPr>
      </w:pPr>
      <w:r>
        <w:rPr>
          <w:rFonts w:ascii="Arial" w:cs="Arial" w:eastAsia="Arial" w:hAnsi="Arial"/>
          <w:sz w:val="14"/>
          <w:szCs w:val="14"/>
          <w:color w:val="auto"/>
        </w:rPr>
        <w:t>$8.8 million in proceeds. Payments including interest towards the leaseback arrangement totaled $1.3 million and $2.5 million for the years ended</w:t>
      </w:r>
    </w:p>
    <w:p>
      <w:pPr>
        <w:spacing w:after="0" w:line="19" w:lineRule="exact"/>
        <w:rPr>
          <w:sz w:val="20"/>
          <w:szCs w:val="20"/>
          <w:color w:val="auto"/>
        </w:rPr>
      </w:pPr>
    </w:p>
    <w:p>
      <w:pPr>
        <w:ind w:left="1120"/>
        <w:spacing w:after="0"/>
        <w:rPr>
          <w:sz w:val="20"/>
          <w:szCs w:val="20"/>
          <w:color w:val="auto"/>
        </w:rPr>
      </w:pPr>
      <w:r>
        <w:rPr>
          <w:rFonts w:ascii="Arial" w:cs="Arial" w:eastAsia="Arial" w:hAnsi="Arial"/>
          <w:sz w:val="13"/>
          <w:szCs w:val="13"/>
          <w:color w:val="auto"/>
        </w:rPr>
        <w:t>December 31, 2016 and 2017, respectively. The total remaining obligation including interest was $8.8 million and $6.3 million as of December 31, 2016</w:t>
      </w:r>
    </w:p>
    <w:p>
      <w:pPr>
        <w:spacing w:after="0" w:line="31" w:lineRule="exact"/>
        <w:rPr>
          <w:sz w:val="20"/>
          <w:szCs w:val="20"/>
          <w:color w:val="auto"/>
        </w:rPr>
      </w:pPr>
    </w:p>
    <w:p>
      <w:pPr>
        <w:ind w:left="1120"/>
        <w:spacing w:after="0"/>
        <w:rPr>
          <w:sz w:val="20"/>
          <w:szCs w:val="20"/>
          <w:color w:val="auto"/>
        </w:rPr>
      </w:pPr>
      <w:r>
        <w:rPr>
          <w:rFonts w:ascii="Arial" w:cs="Arial" w:eastAsia="Arial" w:hAnsi="Arial"/>
          <w:sz w:val="15"/>
          <w:szCs w:val="15"/>
          <w:color w:val="auto"/>
        </w:rPr>
        <w:t>and 2017, respectively. The obligation is included in capital lease commitments in the table below.</w:t>
      </w:r>
    </w:p>
    <w:p>
      <w:pPr>
        <w:spacing w:after="0" w:line="179" w:lineRule="exact"/>
        <w:rPr>
          <w:sz w:val="20"/>
          <w:szCs w:val="20"/>
          <w:color w:val="auto"/>
        </w:rPr>
      </w:pPr>
    </w:p>
    <w:p>
      <w:pPr>
        <w:ind w:left="1120" w:right="40" w:firstLine="368"/>
        <w:spacing w:after="0" w:line="279" w:lineRule="auto"/>
        <w:rPr>
          <w:sz w:val="20"/>
          <w:szCs w:val="20"/>
          <w:color w:val="auto"/>
        </w:rPr>
      </w:pPr>
      <w:r>
        <w:rPr>
          <w:rFonts w:ascii="Arial" w:cs="Arial" w:eastAsia="Arial" w:hAnsi="Arial"/>
          <w:sz w:val="14"/>
          <w:szCs w:val="14"/>
          <w:color w:val="auto"/>
        </w:rPr>
        <w:t>In 2017, the Company entered into a new lease agreement for office space in San Francisco, California, to serve as its new corporate headquarters. The Company expects to start making recurring rental payments under the lease in the third quarter of 2019. Included in the operating lease commitments below are total expected minimum obligations under the lease agreement of $827.0 million, which exclude expected tenant improvement reimbursements from the landlord of approximately $73.6 million and variable operating expenses. The Company’s obligations under the lease are supported by a $34.2 million letter of credit, which reduced the borrowing capacity under the revolving credit facility.</w:t>
      </w:r>
    </w:p>
    <w:p>
      <w:pPr>
        <w:spacing w:after="0" w:line="147" w:lineRule="exact"/>
        <w:rPr>
          <w:sz w:val="20"/>
          <w:szCs w:val="20"/>
          <w:color w:val="auto"/>
        </w:rPr>
      </w:pPr>
    </w:p>
    <w:p>
      <w:pPr>
        <w:ind w:left="1120" w:right="120" w:firstLine="368"/>
        <w:spacing w:after="0" w:line="275" w:lineRule="auto"/>
        <w:rPr>
          <w:sz w:val="20"/>
          <w:szCs w:val="20"/>
          <w:color w:val="auto"/>
        </w:rPr>
      </w:pPr>
      <w:r>
        <w:rPr>
          <w:rFonts w:ascii="Arial" w:cs="Arial" w:eastAsia="Arial" w:hAnsi="Arial"/>
          <w:sz w:val="15"/>
          <w:szCs w:val="15"/>
          <w:color w:val="auto"/>
        </w:rPr>
        <w:t>Future minimum payments under the Company’s non-cancelable leases, financing obligations, and other commitments as of December 31, 2017, are as follows, and exclude non-cancelable rent payments from the Company’s sub-tenants:</w:t>
      </w:r>
    </w:p>
    <w:p>
      <w:pPr>
        <w:spacing w:after="0" w:line="146" w:lineRule="exact"/>
        <w:rPr>
          <w:sz w:val="20"/>
          <w:szCs w:val="20"/>
          <w:color w:val="auto"/>
        </w:rPr>
      </w:pPr>
    </w:p>
    <w:tbl>
      <w:tblPr>
        <w:tblLayout w:type="fixed"/>
        <w:tblInd w:w="1120" w:type="dxa"/>
        <w:tblCellMar>
          <w:top w:w="0" w:type="dxa"/>
          <w:left w:w="0" w:type="dxa"/>
          <w:bottom w:w="0" w:type="dxa"/>
          <w:right w:w="0" w:type="dxa"/>
        </w:tblCellMar>
      </w:tblPr>
      <w:tr>
        <w:trPr>
          <w:trHeight w:val="138"/>
        </w:trPr>
        <w:tc>
          <w:tcPr>
            <w:tcW w:w="20" w:type="dxa"/>
            <w:vAlign w:val="bottom"/>
          </w:tcPr>
          <w:p>
            <w:pPr>
              <w:spacing w:after="0"/>
              <w:rPr>
                <w:sz w:val="12"/>
                <w:szCs w:val="12"/>
                <w:color w:val="auto"/>
              </w:rPr>
            </w:pPr>
          </w:p>
        </w:tc>
        <w:tc>
          <w:tcPr>
            <w:tcW w:w="49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2"/>
          </w:tcPr>
          <w:p>
            <w:pPr>
              <w:jc w:val="right"/>
              <w:ind w:right="500"/>
              <w:spacing w:after="0"/>
              <w:rPr>
                <w:sz w:val="20"/>
                <w:szCs w:val="20"/>
                <w:color w:val="auto"/>
              </w:rPr>
            </w:pPr>
            <w:r>
              <w:rPr>
                <w:rFonts w:ascii="Arial" w:cs="Arial" w:eastAsia="Arial" w:hAnsi="Arial"/>
                <w:sz w:val="12"/>
                <w:szCs w:val="12"/>
                <w:b w:val="1"/>
                <w:bCs w:val="1"/>
                <w:color w:val="auto"/>
                <w:w w:val="99"/>
              </w:rPr>
              <w:t>Capital</w:t>
            </w: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jc w:val="right"/>
              <w:ind w:right="68"/>
              <w:spacing w:after="0"/>
              <w:rPr>
                <w:sz w:val="20"/>
                <w:szCs w:val="20"/>
                <w:color w:val="auto"/>
              </w:rPr>
            </w:pPr>
            <w:r>
              <w:rPr>
                <w:rFonts w:ascii="Arial" w:cs="Arial" w:eastAsia="Arial" w:hAnsi="Arial"/>
                <w:sz w:val="12"/>
                <w:szCs w:val="12"/>
                <w:b w:val="1"/>
                <w:bCs w:val="1"/>
                <w:color w:val="auto"/>
                <w:w w:val="95"/>
              </w:rPr>
              <w:t>Operating</w:t>
            </w: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Other</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49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20" w:type="dxa"/>
            <w:vAlign w:val="bottom"/>
            <w:gridSpan w:val="2"/>
          </w:tcPr>
          <w:p>
            <w:pPr>
              <w:jc w:val="right"/>
              <w:ind w:right="580"/>
              <w:spacing w:after="0" w:line="124" w:lineRule="exact"/>
              <w:rPr>
                <w:sz w:val="20"/>
                <w:szCs w:val="20"/>
                <w:color w:val="auto"/>
              </w:rPr>
            </w:pPr>
            <w:r>
              <w:rPr>
                <w:rFonts w:ascii="Arial" w:cs="Arial" w:eastAsia="Arial" w:hAnsi="Arial"/>
                <w:sz w:val="12"/>
                <w:szCs w:val="12"/>
                <w:b w:val="1"/>
                <w:bCs w:val="1"/>
                <w:color w:val="auto"/>
              </w:rPr>
              <w:t>lease</w:t>
            </w:r>
          </w:p>
        </w:tc>
        <w:tc>
          <w:tcPr>
            <w:tcW w:w="3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jc w:val="right"/>
              <w:ind w:right="208"/>
              <w:spacing w:after="0" w:line="124" w:lineRule="exact"/>
              <w:rPr>
                <w:sz w:val="20"/>
                <w:szCs w:val="20"/>
                <w:color w:val="auto"/>
              </w:rPr>
            </w:pPr>
            <w:r>
              <w:rPr>
                <w:rFonts w:ascii="Arial" w:cs="Arial" w:eastAsia="Arial" w:hAnsi="Arial"/>
                <w:sz w:val="12"/>
                <w:szCs w:val="12"/>
                <w:b w:val="1"/>
                <w:bCs w:val="1"/>
                <w:color w:val="auto"/>
              </w:rPr>
              <w:t>lease</w:t>
            </w: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900" w:type="dxa"/>
            <w:vAlign w:val="bottom"/>
          </w:tcPr>
          <w:p>
            <w:pPr>
              <w:spacing w:after="0"/>
              <w:rPr>
                <w:sz w:val="12"/>
                <w:szCs w:val="12"/>
                <w:color w:val="auto"/>
              </w:rPr>
            </w:pPr>
          </w:p>
        </w:tc>
        <w:tc>
          <w:tcPr>
            <w:tcW w:w="1800" w:type="dxa"/>
            <w:vAlign w:val="bottom"/>
            <w:gridSpan w:val="4"/>
          </w:tcPr>
          <w:p>
            <w:pPr>
              <w:ind w:left="760"/>
              <w:spacing w:after="0"/>
              <w:rPr>
                <w:sz w:val="20"/>
                <w:szCs w:val="20"/>
                <w:color w:val="auto"/>
              </w:rPr>
            </w:pPr>
            <w:r>
              <w:rPr>
                <w:rFonts w:ascii="Arial" w:cs="Arial" w:eastAsia="Arial" w:hAnsi="Arial"/>
                <w:sz w:val="12"/>
                <w:szCs w:val="12"/>
                <w:b w:val="1"/>
                <w:bCs w:val="1"/>
                <w:color w:val="auto"/>
              </w:rPr>
              <w:t>commitments</w:t>
            </w:r>
          </w:p>
        </w:tc>
        <w:tc>
          <w:tcPr>
            <w:tcW w:w="1120" w:type="dxa"/>
            <w:vAlign w:val="bottom"/>
            <w:gridSpan w:val="3"/>
          </w:tcPr>
          <w:p>
            <w:pPr>
              <w:ind w:left="300"/>
              <w:spacing w:after="0"/>
              <w:rPr>
                <w:sz w:val="20"/>
                <w:szCs w:val="20"/>
                <w:color w:val="auto"/>
              </w:rPr>
            </w:pPr>
            <w:r>
              <w:rPr>
                <w:rFonts w:ascii="Arial" w:cs="Arial" w:eastAsia="Arial" w:hAnsi="Arial"/>
                <w:sz w:val="12"/>
                <w:szCs w:val="12"/>
                <w:b w:val="1"/>
                <w:bCs w:val="1"/>
                <w:color w:val="auto"/>
                <w:w w:val="88"/>
              </w:rPr>
              <w:t>commitments</w:t>
            </w:r>
            <w:r>
              <w:rPr>
                <w:rFonts w:ascii="Arial" w:cs="Arial" w:eastAsia="Arial" w:hAnsi="Arial"/>
                <w:sz w:val="10"/>
                <w:szCs w:val="10"/>
                <w:b w:val="1"/>
                <w:bCs w:val="1"/>
                <w:color w:val="auto"/>
                <w:w w:val="88"/>
              </w:rPr>
              <w:t>(1)</w:t>
            </w:r>
          </w:p>
        </w:tc>
        <w:tc>
          <w:tcPr>
            <w:tcW w:w="1360" w:type="dxa"/>
            <w:vAlign w:val="bottom"/>
            <w:gridSpan w:val="4"/>
          </w:tcPr>
          <w:p>
            <w:pPr>
              <w:ind w:left="620"/>
              <w:spacing w:after="0"/>
              <w:rPr>
                <w:sz w:val="20"/>
                <w:szCs w:val="20"/>
                <w:color w:val="auto"/>
              </w:rPr>
            </w:pPr>
            <w:r>
              <w:rPr>
                <w:rFonts w:ascii="Arial" w:cs="Arial" w:eastAsia="Arial" w:hAnsi="Arial"/>
                <w:sz w:val="12"/>
                <w:szCs w:val="12"/>
                <w:b w:val="1"/>
                <w:bCs w:val="1"/>
                <w:color w:val="auto"/>
                <w:w w:val="92"/>
              </w:rPr>
              <w:t>commitments</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4900" w:type="dxa"/>
            <w:vAlign w:val="bottom"/>
            <w:tcBorders>
              <w:top w:val="single" w:sz="8" w:color="CCEEFF"/>
            </w:tcBorders>
            <w:shd w:val="clear" w:color="auto" w:fill="CCEEFF"/>
          </w:tcPr>
          <w:p>
            <w:pPr>
              <w:spacing w:after="0" w:line="161" w:lineRule="exact"/>
              <w:rPr>
                <w:sz w:val="20"/>
                <w:szCs w:val="20"/>
                <w:color w:val="auto"/>
              </w:rPr>
            </w:pPr>
            <w:r>
              <w:rPr>
                <w:rFonts w:ascii="Arial" w:cs="Arial" w:eastAsia="Arial" w:hAnsi="Arial"/>
                <w:sz w:val="15"/>
                <w:szCs w:val="15"/>
                <w:color w:val="auto"/>
              </w:rPr>
              <w:t>Year ended December 31:</w:t>
            </w:r>
          </w:p>
        </w:tc>
        <w:tc>
          <w:tcPr>
            <w:tcW w:w="76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580" w:type="dxa"/>
            <w:vAlign w:val="bottom"/>
            <w:tcBorders>
              <w:top w:val="single" w:sz="8" w:color="auto"/>
            </w:tcBorders>
            <w:shd w:val="clear" w:color="auto" w:fill="CCEEFF"/>
          </w:tcPr>
          <w:p>
            <w:pPr>
              <w:spacing w:after="0"/>
              <w:rPr>
                <w:sz w:val="13"/>
                <w:szCs w:val="13"/>
                <w:color w:val="auto"/>
              </w:rPr>
            </w:pPr>
          </w:p>
        </w:tc>
        <w:tc>
          <w:tcPr>
            <w:tcW w:w="340" w:type="dxa"/>
            <w:vAlign w:val="bottom"/>
            <w:tcBorders>
              <w:top w:val="single" w:sz="8" w:color="CCEEFF"/>
            </w:tcBorders>
            <w:shd w:val="clear" w:color="auto" w:fill="CCEEFF"/>
          </w:tcPr>
          <w:p>
            <w:pPr>
              <w:spacing w:after="0"/>
              <w:rPr>
                <w:sz w:val="13"/>
                <w:szCs w:val="13"/>
                <w:color w:val="auto"/>
              </w:rPr>
            </w:pPr>
          </w:p>
        </w:tc>
        <w:tc>
          <w:tcPr>
            <w:tcW w:w="30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700" w:type="dxa"/>
            <w:vAlign w:val="bottom"/>
            <w:tcBorders>
              <w:top w:val="single" w:sz="8" w:color="auto"/>
            </w:tcBorders>
            <w:shd w:val="clear" w:color="auto" w:fill="CCEEFF"/>
          </w:tcPr>
          <w:p>
            <w:pPr>
              <w:spacing w:after="0"/>
              <w:rPr>
                <w:sz w:val="13"/>
                <w:szCs w:val="13"/>
                <w:color w:val="auto"/>
              </w:rPr>
            </w:pPr>
          </w:p>
        </w:tc>
        <w:tc>
          <w:tcPr>
            <w:tcW w:w="62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580" w:type="dxa"/>
            <w:vAlign w:val="bottom"/>
            <w:tcBorders>
              <w:top w:val="single" w:sz="8" w:color="auto"/>
            </w:tcBorders>
            <w:shd w:val="clear" w:color="auto" w:fill="CCEEFF"/>
          </w:tcPr>
          <w:p>
            <w:pPr>
              <w:spacing w:after="0"/>
              <w:rPr>
                <w:sz w:val="13"/>
                <w:szCs w:val="13"/>
                <w:color w:val="auto"/>
              </w:rPr>
            </w:pPr>
          </w:p>
        </w:tc>
        <w:tc>
          <w:tcPr>
            <w:tcW w:w="4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900" w:type="dxa"/>
            <w:vAlign w:val="bottom"/>
          </w:tcPr>
          <w:p>
            <w:pPr>
              <w:spacing w:after="0"/>
              <w:rPr>
                <w:sz w:val="20"/>
                <w:szCs w:val="20"/>
                <w:color w:val="auto"/>
              </w:rPr>
            </w:pPr>
            <w:r>
              <w:rPr>
                <w:rFonts w:ascii="Arial" w:cs="Arial" w:eastAsia="Arial" w:hAnsi="Arial"/>
                <w:sz w:val="15"/>
                <w:szCs w:val="15"/>
                <w:color w:val="auto"/>
              </w:rPr>
              <w:t>2018</w:t>
            </w:r>
          </w:p>
        </w:tc>
        <w:tc>
          <w:tcPr>
            <w:tcW w:w="880" w:type="dxa"/>
            <w:vAlign w:val="bottom"/>
            <w:gridSpan w:val="2"/>
          </w:tcPr>
          <w:p>
            <w:pPr>
              <w:ind w:left="760"/>
              <w:spacing w:after="0"/>
              <w:rPr>
                <w:sz w:val="20"/>
                <w:szCs w:val="20"/>
                <w:color w:val="auto"/>
              </w:rPr>
            </w:pPr>
            <w:r>
              <w:rPr>
                <w:rFonts w:ascii="Arial" w:cs="Arial" w:eastAsia="Arial" w:hAnsi="Arial"/>
                <w:sz w:val="15"/>
                <w:szCs w:val="15"/>
                <w:color w:val="auto"/>
              </w:rPr>
              <w:t>$</w:t>
            </w:r>
          </w:p>
        </w:tc>
        <w:tc>
          <w:tcPr>
            <w:tcW w:w="580" w:type="dxa"/>
            <w:vAlign w:val="bottom"/>
          </w:tcPr>
          <w:p>
            <w:pPr>
              <w:jc w:val="right"/>
              <w:spacing w:after="0"/>
              <w:rPr>
                <w:sz w:val="20"/>
                <w:szCs w:val="20"/>
                <w:color w:val="auto"/>
              </w:rPr>
            </w:pPr>
            <w:r>
              <w:rPr>
                <w:rFonts w:ascii="Arial" w:cs="Arial" w:eastAsia="Arial" w:hAnsi="Arial"/>
                <w:sz w:val="15"/>
                <w:szCs w:val="15"/>
                <w:color w:val="auto"/>
              </w:rPr>
              <w:t>108.3</w:t>
            </w:r>
          </w:p>
        </w:tc>
        <w:tc>
          <w:tcPr>
            <w:tcW w:w="340" w:type="dxa"/>
            <w:vAlign w:val="bottom"/>
          </w:tcPr>
          <w:p>
            <w:pPr>
              <w:spacing w:after="0"/>
              <w:rPr>
                <w:sz w:val="15"/>
                <w:szCs w:val="15"/>
                <w:color w:val="auto"/>
              </w:rPr>
            </w:pPr>
          </w:p>
        </w:tc>
        <w:tc>
          <w:tcPr>
            <w:tcW w:w="420" w:type="dxa"/>
            <w:vAlign w:val="bottom"/>
            <w:gridSpan w:val="2"/>
          </w:tcPr>
          <w:p>
            <w:pPr>
              <w:ind w:left="300"/>
              <w:spacing w:after="0"/>
              <w:rPr>
                <w:sz w:val="20"/>
                <w:szCs w:val="20"/>
                <w:color w:val="auto"/>
              </w:rPr>
            </w:pPr>
            <w:r>
              <w:rPr>
                <w:rFonts w:ascii="Arial" w:cs="Arial" w:eastAsia="Arial" w:hAnsi="Arial"/>
                <w:sz w:val="15"/>
                <w:szCs w:val="15"/>
                <w:color w:val="auto"/>
              </w:rPr>
              <w:t>$</w:t>
            </w:r>
          </w:p>
        </w:tc>
        <w:tc>
          <w:tcPr>
            <w:tcW w:w="700" w:type="dxa"/>
            <w:vAlign w:val="bottom"/>
          </w:tcPr>
          <w:p>
            <w:pPr>
              <w:jc w:val="right"/>
              <w:spacing w:after="0"/>
              <w:rPr>
                <w:sz w:val="20"/>
                <w:szCs w:val="20"/>
                <w:color w:val="auto"/>
              </w:rPr>
            </w:pPr>
            <w:r>
              <w:rPr>
                <w:rFonts w:ascii="Arial" w:cs="Arial" w:eastAsia="Arial" w:hAnsi="Arial"/>
                <w:sz w:val="15"/>
                <w:szCs w:val="15"/>
                <w:color w:val="auto"/>
              </w:rPr>
              <w:t>91.5</w:t>
            </w:r>
          </w:p>
        </w:tc>
        <w:tc>
          <w:tcPr>
            <w:tcW w:w="740" w:type="dxa"/>
            <w:vAlign w:val="bottom"/>
            <w:gridSpan w:val="2"/>
          </w:tcPr>
          <w:p>
            <w:pPr>
              <w:ind w:left="620"/>
              <w:spacing w:after="0"/>
              <w:rPr>
                <w:sz w:val="20"/>
                <w:szCs w:val="20"/>
                <w:color w:val="auto"/>
              </w:rPr>
            </w:pPr>
            <w:r>
              <w:rPr>
                <w:rFonts w:ascii="Arial" w:cs="Arial" w:eastAsia="Arial" w:hAnsi="Arial"/>
                <w:sz w:val="15"/>
                <w:szCs w:val="15"/>
                <w:color w:val="auto"/>
              </w:rPr>
              <w:t>$</w:t>
            </w:r>
          </w:p>
        </w:tc>
        <w:tc>
          <w:tcPr>
            <w:tcW w:w="580" w:type="dxa"/>
            <w:vAlign w:val="bottom"/>
          </w:tcPr>
          <w:p>
            <w:pPr>
              <w:jc w:val="right"/>
              <w:spacing w:after="0"/>
              <w:rPr>
                <w:sz w:val="20"/>
                <w:szCs w:val="20"/>
                <w:color w:val="auto"/>
              </w:rPr>
            </w:pPr>
            <w:r>
              <w:rPr>
                <w:rFonts w:ascii="Arial" w:cs="Arial" w:eastAsia="Arial" w:hAnsi="Arial"/>
                <w:sz w:val="15"/>
                <w:szCs w:val="15"/>
                <w:color w:val="auto"/>
              </w:rPr>
              <w:t>64.0</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900" w:type="dxa"/>
            <w:vAlign w:val="bottom"/>
            <w:shd w:val="clear" w:color="auto" w:fill="CCEEFF"/>
          </w:tcPr>
          <w:p>
            <w:pPr>
              <w:spacing w:after="0"/>
              <w:rPr>
                <w:sz w:val="20"/>
                <w:szCs w:val="20"/>
                <w:color w:val="auto"/>
              </w:rPr>
            </w:pPr>
            <w:r>
              <w:rPr>
                <w:rFonts w:ascii="Arial" w:cs="Arial" w:eastAsia="Arial" w:hAnsi="Arial"/>
                <w:sz w:val="15"/>
                <w:szCs w:val="15"/>
                <w:color w:val="auto"/>
              </w:rPr>
              <w:t>2019</w:t>
            </w:r>
          </w:p>
        </w:tc>
        <w:tc>
          <w:tcPr>
            <w:tcW w:w="7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54.9</w:t>
            </w:r>
          </w:p>
        </w:tc>
        <w:tc>
          <w:tcPr>
            <w:tcW w:w="34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94.9</w:t>
            </w:r>
          </w:p>
        </w:tc>
        <w:tc>
          <w:tcPr>
            <w:tcW w:w="6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49.9</w:t>
            </w: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900" w:type="dxa"/>
            <w:vAlign w:val="bottom"/>
          </w:tcPr>
          <w:p>
            <w:pPr>
              <w:spacing w:after="0"/>
              <w:rPr>
                <w:sz w:val="20"/>
                <w:szCs w:val="20"/>
                <w:color w:val="auto"/>
              </w:rPr>
            </w:pPr>
            <w:r>
              <w:rPr>
                <w:rFonts w:ascii="Arial" w:cs="Arial" w:eastAsia="Arial" w:hAnsi="Arial"/>
                <w:sz w:val="15"/>
                <w:szCs w:val="15"/>
                <w:color w:val="auto"/>
              </w:rPr>
              <w:t>2020</w:t>
            </w:r>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5"/>
                <w:szCs w:val="15"/>
                <w:color w:val="auto"/>
              </w:rPr>
              <w:t>18.4</w:t>
            </w:r>
          </w:p>
        </w:tc>
        <w:tc>
          <w:tcPr>
            <w:tcW w:w="3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5"/>
                <w:szCs w:val="15"/>
                <w:color w:val="auto"/>
              </w:rPr>
              <w:t>126.0</w:t>
            </w: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5"/>
                <w:szCs w:val="15"/>
                <w:color w:val="auto"/>
              </w:rPr>
              <w:t>34.7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900" w:type="dxa"/>
            <w:vAlign w:val="bottom"/>
            <w:shd w:val="clear" w:color="auto" w:fill="CCEEFF"/>
          </w:tcPr>
          <w:p>
            <w:pPr>
              <w:spacing w:after="0"/>
              <w:rPr>
                <w:sz w:val="20"/>
                <w:szCs w:val="20"/>
                <w:color w:val="auto"/>
              </w:rPr>
            </w:pPr>
            <w:r>
              <w:rPr>
                <w:rFonts w:ascii="Arial" w:cs="Arial" w:eastAsia="Arial" w:hAnsi="Arial"/>
                <w:sz w:val="15"/>
                <w:szCs w:val="15"/>
                <w:color w:val="auto"/>
              </w:rPr>
              <w:t>2021</w:t>
            </w:r>
          </w:p>
        </w:tc>
        <w:tc>
          <w:tcPr>
            <w:tcW w:w="7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0.4</w:t>
            </w:r>
          </w:p>
        </w:tc>
        <w:tc>
          <w:tcPr>
            <w:tcW w:w="34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115.9</w:t>
            </w:r>
          </w:p>
        </w:tc>
        <w:tc>
          <w:tcPr>
            <w:tcW w:w="6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1.7</w:t>
            </w: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900" w:type="dxa"/>
            <w:vAlign w:val="bottom"/>
          </w:tcPr>
          <w:p>
            <w:pPr>
              <w:spacing w:after="0"/>
              <w:rPr>
                <w:sz w:val="20"/>
                <w:szCs w:val="20"/>
                <w:color w:val="auto"/>
              </w:rPr>
            </w:pPr>
            <w:r>
              <w:rPr>
                <w:rFonts w:ascii="Arial" w:cs="Arial" w:eastAsia="Arial" w:hAnsi="Arial"/>
                <w:sz w:val="15"/>
                <w:szCs w:val="15"/>
                <w:color w:val="auto"/>
              </w:rPr>
              <w:t>2022</w:t>
            </w:r>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gridSpan w:val="2"/>
          </w:tcPr>
          <w:p>
            <w:pPr>
              <w:jc w:val="right"/>
              <w:ind w:right="420"/>
              <w:spacing w:after="0"/>
              <w:rPr>
                <w:sz w:val="20"/>
                <w:szCs w:val="20"/>
                <w:color w:val="auto"/>
              </w:rPr>
            </w:pPr>
            <w:r>
              <w:rPr>
                <w:rFonts w:ascii="Arial" w:cs="Arial" w:eastAsia="Arial" w:hAnsi="Arial"/>
                <w:sz w:val="15"/>
                <w:szCs w:val="15"/>
                <w:color w:val="auto"/>
              </w:rPr>
              <w:t>—</w:t>
            </w:r>
          </w:p>
        </w:tc>
        <w:tc>
          <w:tcPr>
            <w:tcW w:w="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5"/>
                <w:szCs w:val="15"/>
                <w:color w:val="auto"/>
              </w:rPr>
              <w:t>109.0</w:t>
            </w: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gridSpan w:val="2"/>
          </w:tcPr>
          <w:p>
            <w:pPr>
              <w:ind w:left="34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900" w:type="dxa"/>
            <w:vAlign w:val="bottom"/>
            <w:shd w:val="clear" w:color="auto" w:fill="CCEEFF"/>
          </w:tcPr>
          <w:p>
            <w:pPr>
              <w:spacing w:after="0"/>
              <w:rPr>
                <w:sz w:val="20"/>
                <w:szCs w:val="20"/>
                <w:color w:val="auto"/>
              </w:rPr>
            </w:pPr>
            <w:r>
              <w:rPr>
                <w:rFonts w:ascii="Arial" w:cs="Arial" w:eastAsia="Arial" w:hAnsi="Arial"/>
                <w:sz w:val="15"/>
                <w:szCs w:val="15"/>
                <w:color w:val="auto"/>
              </w:rPr>
              <w:t>Thereafter</w:t>
            </w:r>
          </w:p>
        </w:tc>
        <w:tc>
          <w:tcPr>
            <w:tcW w:w="76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580" w:type="dxa"/>
            <w:vAlign w:val="bottom"/>
            <w:tcBorders>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rPr>
              <w:t>—</w:t>
            </w:r>
          </w:p>
        </w:tc>
        <w:tc>
          <w:tcPr>
            <w:tcW w:w="34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812.6</w:t>
            </w:r>
          </w:p>
        </w:tc>
        <w:tc>
          <w:tcPr>
            <w:tcW w:w="62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4.8</w:t>
            </w: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4920" w:type="dxa"/>
            <w:vAlign w:val="bottom"/>
            <w:gridSpan w:val="2"/>
          </w:tcPr>
          <w:p>
            <w:pPr>
              <w:spacing w:after="0"/>
              <w:rPr>
                <w:sz w:val="20"/>
                <w:szCs w:val="20"/>
                <w:color w:val="auto"/>
              </w:rPr>
            </w:pPr>
            <w:r>
              <w:rPr>
                <w:rFonts w:ascii="Arial" w:cs="Arial" w:eastAsia="Arial" w:hAnsi="Arial"/>
                <w:sz w:val="15"/>
                <w:szCs w:val="15"/>
                <w:color w:val="auto"/>
              </w:rPr>
              <w:t>Future minimum payments</w:t>
            </w:r>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5"/>
                <w:szCs w:val="15"/>
                <w:color w:val="auto"/>
              </w:rPr>
              <w:t>182.0</w:t>
            </w:r>
          </w:p>
        </w:tc>
        <w:tc>
          <w:tcPr>
            <w:tcW w:w="340" w:type="dxa"/>
            <w:vAlign w:val="bottom"/>
          </w:tcPr>
          <w:p>
            <w:pPr>
              <w:spacing w:after="0"/>
              <w:rPr>
                <w:sz w:val="15"/>
                <w:szCs w:val="15"/>
                <w:color w:val="auto"/>
              </w:rPr>
            </w:pPr>
          </w:p>
        </w:tc>
        <w:tc>
          <w:tcPr>
            <w:tcW w:w="420" w:type="dxa"/>
            <w:vAlign w:val="bottom"/>
            <w:gridSpan w:val="2"/>
          </w:tcPr>
          <w:p>
            <w:pPr>
              <w:ind w:left="300"/>
              <w:spacing w:after="0"/>
              <w:rPr>
                <w:sz w:val="20"/>
                <w:szCs w:val="20"/>
                <w:color w:val="auto"/>
              </w:rPr>
            </w:pPr>
            <w:r>
              <w:rPr>
                <w:rFonts w:ascii="Arial" w:cs="Arial" w:eastAsia="Arial" w:hAnsi="Arial"/>
                <w:sz w:val="15"/>
                <w:szCs w:val="15"/>
                <w:color w:val="auto"/>
              </w:rPr>
              <w:t>$</w:t>
            </w:r>
          </w:p>
        </w:tc>
        <w:tc>
          <w:tcPr>
            <w:tcW w:w="700" w:type="dxa"/>
            <w:vAlign w:val="bottom"/>
          </w:tcPr>
          <w:p>
            <w:pPr>
              <w:jc w:val="right"/>
              <w:spacing w:after="0"/>
              <w:rPr>
                <w:sz w:val="20"/>
                <w:szCs w:val="20"/>
                <w:color w:val="auto"/>
              </w:rPr>
            </w:pPr>
            <w:r>
              <w:rPr>
                <w:rFonts w:ascii="Arial" w:cs="Arial" w:eastAsia="Arial" w:hAnsi="Arial"/>
                <w:sz w:val="15"/>
                <w:szCs w:val="15"/>
                <w:color w:val="auto"/>
              </w:rPr>
              <w:t>1,349.9</w:t>
            </w:r>
          </w:p>
        </w:tc>
        <w:tc>
          <w:tcPr>
            <w:tcW w:w="740" w:type="dxa"/>
            <w:vAlign w:val="bottom"/>
            <w:gridSpan w:val="2"/>
          </w:tcPr>
          <w:p>
            <w:pPr>
              <w:ind w:left="620"/>
              <w:spacing w:after="0"/>
              <w:rPr>
                <w:sz w:val="20"/>
                <w:szCs w:val="20"/>
                <w:color w:val="auto"/>
              </w:rPr>
            </w:pPr>
            <w:r>
              <w:rPr>
                <w:rFonts w:ascii="Arial" w:cs="Arial" w:eastAsia="Arial" w:hAnsi="Arial"/>
                <w:sz w:val="15"/>
                <w:szCs w:val="15"/>
                <w:color w:val="auto"/>
              </w:rPr>
              <w:t>$</w:t>
            </w:r>
          </w:p>
        </w:tc>
        <w:tc>
          <w:tcPr>
            <w:tcW w:w="580" w:type="dxa"/>
            <w:vAlign w:val="bottom"/>
          </w:tcPr>
          <w:p>
            <w:pPr>
              <w:jc w:val="right"/>
              <w:spacing w:after="0"/>
              <w:rPr>
                <w:sz w:val="20"/>
                <w:szCs w:val="20"/>
                <w:color w:val="auto"/>
              </w:rPr>
            </w:pPr>
            <w:r>
              <w:rPr>
                <w:rFonts w:ascii="Arial" w:cs="Arial" w:eastAsia="Arial" w:hAnsi="Arial"/>
                <w:sz w:val="15"/>
                <w:szCs w:val="15"/>
                <w:color w:val="auto"/>
              </w:rPr>
              <w:t>155.1</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20" w:type="dxa"/>
            <w:vAlign w:val="bottom"/>
          </w:tcPr>
          <w:p>
            <w:pPr>
              <w:spacing w:after="0"/>
              <w:rPr>
                <w:sz w:val="14"/>
                <w:szCs w:val="14"/>
                <w:color w:val="auto"/>
              </w:rPr>
            </w:pPr>
          </w:p>
        </w:tc>
        <w:tc>
          <w:tcPr>
            <w:tcW w:w="4900" w:type="dxa"/>
            <w:vAlign w:val="bottom"/>
            <w:shd w:val="clear" w:color="auto" w:fill="CCEEFF"/>
          </w:tcPr>
          <w:p>
            <w:pPr>
              <w:spacing w:after="0" w:line="167" w:lineRule="exact"/>
              <w:rPr>
                <w:sz w:val="20"/>
                <w:szCs w:val="20"/>
                <w:color w:val="auto"/>
              </w:rPr>
            </w:pPr>
            <w:r>
              <w:rPr>
                <w:rFonts w:ascii="Arial" w:cs="Arial" w:eastAsia="Arial" w:hAnsi="Arial"/>
                <w:sz w:val="15"/>
                <w:szCs w:val="15"/>
                <w:color w:val="auto"/>
              </w:rPr>
              <w:t>Less interest and taxes</w:t>
            </w:r>
          </w:p>
        </w:tc>
        <w:tc>
          <w:tcPr>
            <w:tcW w:w="7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300"/>
              <w:spacing w:after="0" w:line="167" w:lineRule="exact"/>
              <w:rPr>
                <w:sz w:val="20"/>
                <w:szCs w:val="20"/>
                <w:color w:val="auto"/>
              </w:rPr>
            </w:pPr>
            <w:r>
              <w:rPr>
                <w:rFonts w:ascii="Arial" w:cs="Arial" w:eastAsia="Arial" w:hAnsi="Arial"/>
                <w:sz w:val="15"/>
                <w:szCs w:val="15"/>
                <w:color w:val="auto"/>
              </w:rPr>
              <w:t>(7.7)</w:t>
            </w:r>
          </w:p>
        </w:tc>
        <w:tc>
          <w:tcPr>
            <w:tcW w:w="3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900" w:type="dxa"/>
            <w:vAlign w:val="bottom"/>
          </w:tcPr>
          <w:p>
            <w:pPr>
              <w:spacing w:after="0"/>
              <w:rPr>
                <w:sz w:val="20"/>
                <w:szCs w:val="20"/>
                <w:color w:val="auto"/>
              </w:rPr>
            </w:pPr>
            <w:r>
              <w:rPr>
                <w:rFonts w:ascii="Arial" w:cs="Arial" w:eastAsia="Arial" w:hAnsi="Arial"/>
                <w:sz w:val="15"/>
                <w:szCs w:val="15"/>
                <w:color w:val="auto"/>
              </w:rPr>
              <w:t>Less current portion of the present value of minimum lease payments</w:t>
            </w:r>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gridSpan w:val="2"/>
          </w:tcPr>
          <w:p>
            <w:pPr>
              <w:jc w:val="right"/>
              <w:ind w:right="300"/>
              <w:spacing w:after="0"/>
              <w:rPr>
                <w:sz w:val="20"/>
                <w:szCs w:val="20"/>
                <w:color w:val="auto"/>
              </w:rPr>
            </w:pPr>
            <w:r>
              <w:rPr>
                <w:rFonts w:ascii="Arial" w:cs="Arial" w:eastAsia="Arial" w:hAnsi="Arial"/>
                <w:sz w:val="15"/>
                <w:szCs w:val="15"/>
                <w:color w:val="auto"/>
              </w:rPr>
              <w:t>(102.7)</w:t>
            </w:r>
          </w:p>
        </w:tc>
        <w:tc>
          <w:tcPr>
            <w:tcW w:w="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
        </w:trPr>
        <w:tc>
          <w:tcPr>
            <w:tcW w:w="20" w:type="dxa"/>
            <w:vAlign w:val="bottom"/>
            <w:vMerge w:val="restart"/>
          </w:tcPr>
          <w:p>
            <w:pPr>
              <w:spacing w:after="0" w:line="20" w:lineRule="exact"/>
              <w:rPr>
                <w:sz w:val="1"/>
                <w:szCs w:val="1"/>
                <w:color w:val="auto"/>
              </w:rPr>
            </w:pPr>
          </w:p>
        </w:tc>
        <w:tc>
          <w:tcPr>
            <w:tcW w:w="49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20" w:type="dxa"/>
            <w:vAlign w:val="bottom"/>
            <w:vMerge w:val="continue"/>
          </w:tcPr>
          <w:p>
            <w:pPr>
              <w:spacing w:after="0"/>
              <w:rPr>
                <w:sz w:val="15"/>
                <w:szCs w:val="15"/>
                <w:color w:val="auto"/>
              </w:rPr>
            </w:pPr>
          </w:p>
        </w:tc>
        <w:tc>
          <w:tcPr>
            <w:tcW w:w="4900" w:type="dxa"/>
            <w:vAlign w:val="bottom"/>
            <w:shd w:val="clear" w:color="auto" w:fill="CCEEFF"/>
          </w:tcPr>
          <w:p>
            <w:pPr>
              <w:spacing w:after="0"/>
              <w:rPr>
                <w:sz w:val="20"/>
                <w:szCs w:val="20"/>
                <w:color w:val="auto"/>
              </w:rPr>
            </w:pPr>
            <w:r>
              <w:rPr>
                <w:rFonts w:ascii="Arial" w:cs="Arial" w:eastAsia="Arial" w:hAnsi="Arial"/>
                <w:sz w:val="15"/>
                <w:szCs w:val="15"/>
                <w:color w:val="auto"/>
              </w:rPr>
              <w:t>Capital lease obligations, net of current portion</w:t>
            </w:r>
          </w:p>
        </w:tc>
        <w:tc>
          <w:tcPr>
            <w:tcW w:w="880" w:type="dxa"/>
            <w:vAlign w:val="bottom"/>
            <w:gridSpan w:val="2"/>
            <w:shd w:val="clear" w:color="auto" w:fill="CCEEFF"/>
          </w:tcPr>
          <w:p>
            <w:pPr>
              <w:ind w:left="760"/>
              <w:spacing w:after="0"/>
              <w:rPr>
                <w:sz w:val="20"/>
                <w:szCs w:val="20"/>
                <w:color w:val="auto"/>
              </w:rPr>
            </w:pPr>
            <w:r>
              <w:rPr>
                <w:rFonts w:ascii="Arial" w:cs="Arial" w:eastAsia="Arial" w:hAnsi="Arial"/>
                <w:sz w:val="15"/>
                <w:szCs w:val="15"/>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71.6</w:t>
            </w:r>
          </w:p>
        </w:tc>
        <w:tc>
          <w:tcPr>
            <w:tcW w:w="34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4" w:lineRule="exact"/>
        <w:rPr>
          <w:sz w:val="20"/>
          <w:szCs w:val="20"/>
          <w:color w:val="auto"/>
        </w:rPr>
      </w:pPr>
    </w:p>
    <w:p>
      <w:pPr>
        <w:ind w:left="1480" w:right="80" w:hanging="368"/>
        <w:spacing w:after="0" w:line="263" w:lineRule="auto"/>
        <w:tabs>
          <w:tab w:leader="none" w:pos="1480" w:val="left"/>
        </w:tabs>
        <w:numPr>
          <w:ilvl w:val="0"/>
          <w:numId w:val="113"/>
        </w:numPr>
        <w:rPr>
          <w:rFonts w:ascii="Arial" w:cs="Arial" w:eastAsia="Arial" w:hAnsi="Arial"/>
          <w:sz w:val="13"/>
          <w:szCs w:val="13"/>
          <w:color w:val="auto"/>
        </w:rPr>
      </w:pPr>
      <w:r>
        <w:rPr>
          <w:rFonts w:ascii="Arial" w:cs="Arial" w:eastAsia="Arial" w:hAnsi="Arial"/>
          <w:sz w:val="15"/>
          <w:szCs w:val="15"/>
          <w:color w:val="auto"/>
        </w:rPr>
        <w:t>Consists of future non-cancelable minimum rental payments under operating leases for the Company’s offices and datacenters, excluding rent payments from the Company’s sub-tenants and variable operating expenses. Non-cancelable rent payments from the Company’s sub-tenants as of December 31, 2017, are expected to be $72.1 million through 2023.</w:t>
      </w:r>
    </w:p>
    <w:p>
      <w:pPr>
        <w:spacing w:after="0" w:line="98" w:lineRule="exact"/>
        <w:rPr>
          <w:sz w:val="20"/>
          <w:szCs w:val="20"/>
          <w:color w:val="auto"/>
        </w:rPr>
      </w:pPr>
    </w:p>
    <w:p>
      <w:pPr>
        <w:ind w:left="5580"/>
        <w:spacing w:after="0"/>
        <w:rPr>
          <w:sz w:val="20"/>
          <w:szCs w:val="20"/>
          <w:color w:val="auto"/>
        </w:rPr>
      </w:pPr>
      <w:r>
        <w:rPr>
          <w:rFonts w:ascii="Arial" w:cs="Arial" w:eastAsia="Arial" w:hAnsi="Arial"/>
          <w:sz w:val="15"/>
          <w:szCs w:val="15"/>
          <w:color w:val="auto"/>
        </w:rPr>
        <w:t>F-24</w:t>
      </w:r>
    </w:p>
    <w:p>
      <w:pPr>
        <w:sectPr>
          <w:pgSz w:w="11900" w:h="16838" w:orient="portrait"/>
          <w:cols w:equalWidth="0" w:num="1">
            <w:col w:w="10320"/>
          </w:cols>
          <w:pgMar w:left="240" w:top="408" w:right="1339" w:bottom="1440" w:gutter="0" w:footer="0" w:header="0"/>
        </w:sectPr>
      </w:pPr>
    </w:p>
    <w:bookmarkStart w:id="227" w:name="page228"/>
    <w:bookmarkEnd w:id="227"/>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133350</wp:posOffset>
            </wp:positionH>
            <wp:positionV relativeFrom="page">
              <wp:posOffset>88900</wp:posOffset>
            </wp:positionV>
            <wp:extent cx="7308850" cy="3429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7308850" cy="34290"/>
                    </a:xfrm>
                    <a:prstGeom prst="rect">
                      <a:avLst/>
                    </a:prstGeom>
                    <a:noFill/>
                  </pic:spPr>
                </pic:pic>
              </a:graphicData>
            </a:graphic>
          </wp:anchor>
        </w:drawing>
      </w:r>
      <w:hyperlink w:anchor="page7">
        <w:r>
          <w:rPr>
            <w:rFonts w:ascii="Arial" w:cs="Arial" w:eastAsia="Arial" w:hAnsi="Arial"/>
            <w:sz w:val="15"/>
            <w:szCs w:val="15"/>
            <w:b w:val="1"/>
            <w:bCs w:val="1"/>
            <w:u w:val="single" w:color="auto"/>
            <w:color w:val="0000EE"/>
          </w:rPr>
          <w:t>Table of Contents</w:t>
        </w:r>
      </w:hyperlink>
    </w:p>
    <w:p>
      <w:pPr>
        <w:spacing w:after="0" w:line="260" w:lineRule="exact"/>
        <w:rPr>
          <w:sz w:val="20"/>
          <w:szCs w:val="20"/>
          <w:color w:val="auto"/>
        </w:rPr>
      </w:pPr>
    </w:p>
    <w:p>
      <w:pPr>
        <w:ind w:left="1480"/>
        <w:spacing w:after="0"/>
        <w:rPr>
          <w:sz w:val="20"/>
          <w:szCs w:val="20"/>
          <w:color w:val="auto"/>
        </w:rPr>
      </w:pPr>
      <w:r>
        <w:rPr>
          <w:rFonts w:ascii="Arial" w:cs="Arial" w:eastAsia="Arial" w:hAnsi="Arial"/>
          <w:sz w:val="15"/>
          <w:szCs w:val="15"/>
          <w:b w:val="1"/>
          <w:bCs w:val="1"/>
          <w:i w:val="1"/>
          <w:iCs w:val="1"/>
          <w:color w:val="auto"/>
        </w:rPr>
        <w:t>Legal matters</w:t>
      </w:r>
    </w:p>
    <w:p>
      <w:pPr>
        <w:spacing w:after="0" w:line="98" w:lineRule="exact"/>
        <w:rPr>
          <w:sz w:val="20"/>
          <w:szCs w:val="20"/>
          <w:color w:val="auto"/>
        </w:rPr>
      </w:pPr>
    </w:p>
    <w:p>
      <w:pPr>
        <w:ind w:left="1120" w:right="120" w:firstLine="368"/>
        <w:spacing w:after="0" w:line="277" w:lineRule="auto"/>
        <w:rPr>
          <w:sz w:val="20"/>
          <w:szCs w:val="20"/>
          <w:color w:val="auto"/>
        </w:rPr>
      </w:pPr>
      <w:r>
        <w:rPr>
          <w:rFonts w:ascii="Arial" w:cs="Arial" w:eastAsia="Arial" w:hAnsi="Arial"/>
          <w:sz w:val="14"/>
          <w:szCs w:val="14"/>
          <w:color w:val="auto"/>
        </w:rPr>
        <w:t>From time to time, the Company is a party to a variety of claims, lawsuits, and proceedings which arise in the ordinary course of business, including claims of alleged infringement of intellectual property rights. The Company records a liability when it believes that it is probable that a loss will be incurred and the amount of loss or range of loss can be reasonably estimated. In its opinion, resolution of pending matters is not likely to have a material adverse impact on its consolidated results of operations, cash flows, or its financial position. Given the unpredictable nature of legal proceedings, the Company bases its estimate on the information available at the time of the assessment. As additional information becomes available, the Company reassesses the potential liability and may revise the estimate.</w:t>
      </w:r>
    </w:p>
    <w:p>
      <w:pPr>
        <w:spacing w:after="0" w:line="239" w:lineRule="exact"/>
        <w:rPr>
          <w:sz w:val="20"/>
          <w:szCs w:val="20"/>
          <w:color w:val="auto"/>
        </w:rPr>
      </w:pPr>
    </w:p>
    <w:p>
      <w:pPr>
        <w:ind w:left="1480"/>
        <w:spacing w:after="0"/>
        <w:rPr>
          <w:sz w:val="20"/>
          <w:szCs w:val="20"/>
          <w:color w:val="auto"/>
        </w:rPr>
      </w:pPr>
      <w:r>
        <w:rPr>
          <w:rFonts w:ascii="Arial" w:cs="Arial" w:eastAsia="Arial" w:hAnsi="Arial"/>
          <w:sz w:val="15"/>
          <w:szCs w:val="15"/>
          <w:b w:val="1"/>
          <w:bCs w:val="1"/>
          <w:i w:val="1"/>
          <w:iCs w:val="1"/>
          <w:color w:val="auto"/>
        </w:rPr>
        <w:t>Indemnification</w:t>
      </w:r>
    </w:p>
    <w:p>
      <w:pPr>
        <w:spacing w:after="0" w:line="98" w:lineRule="exact"/>
        <w:rPr>
          <w:sz w:val="20"/>
          <w:szCs w:val="20"/>
          <w:color w:val="auto"/>
        </w:rPr>
      </w:pPr>
    </w:p>
    <w:p>
      <w:pPr>
        <w:ind w:left="1120" w:right="20" w:firstLine="368"/>
        <w:spacing w:after="0" w:line="263" w:lineRule="auto"/>
        <w:rPr>
          <w:sz w:val="20"/>
          <w:szCs w:val="20"/>
          <w:color w:val="auto"/>
        </w:rPr>
      </w:pPr>
      <w:r>
        <w:rPr>
          <w:rFonts w:ascii="Arial" w:cs="Arial" w:eastAsia="Arial" w:hAnsi="Arial"/>
          <w:sz w:val="15"/>
          <w:szCs w:val="15"/>
          <w:color w:val="auto"/>
        </w:rPr>
        <w:t>The Company’s arrangements generally include certain provisions for indemnifying customers against liabilities if its products or services infringe a third party’s intellectual property rights. It is not possible to determine the maximum potential amount under these indemnification obligations due to the limited history of prior indemnification claims.</w:t>
      </w:r>
    </w:p>
    <w:p>
      <w:pPr>
        <w:spacing w:after="0" w:line="241" w:lineRule="exact"/>
        <w:rPr>
          <w:sz w:val="20"/>
          <w:szCs w:val="20"/>
          <w:color w:val="auto"/>
        </w:rPr>
      </w:pPr>
    </w:p>
    <w:p>
      <w:pPr>
        <w:ind w:left="1120"/>
        <w:spacing w:after="0"/>
        <w:rPr>
          <w:sz w:val="20"/>
          <w:szCs w:val="20"/>
          <w:color w:val="auto"/>
        </w:rPr>
      </w:pPr>
      <w:r>
        <w:rPr>
          <w:rFonts w:ascii="Arial" w:cs="Arial" w:eastAsia="Arial" w:hAnsi="Arial"/>
          <w:sz w:val="15"/>
          <w:szCs w:val="15"/>
          <w:b w:val="1"/>
          <w:bCs w:val="1"/>
          <w:color w:val="auto"/>
        </w:rPr>
        <w:t>Note 11. Stockholders’ Equity</w:t>
      </w:r>
    </w:p>
    <w:p>
      <w:pPr>
        <w:spacing w:after="0" w:line="102" w:lineRule="exact"/>
        <w:rPr>
          <w:sz w:val="20"/>
          <w:szCs w:val="20"/>
          <w:color w:val="auto"/>
        </w:rPr>
      </w:pPr>
    </w:p>
    <w:p>
      <w:pPr>
        <w:ind w:left="1480"/>
        <w:spacing w:after="0"/>
        <w:rPr>
          <w:sz w:val="20"/>
          <w:szCs w:val="20"/>
          <w:color w:val="auto"/>
        </w:rPr>
      </w:pPr>
      <w:r>
        <w:rPr>
          <w:rFonts w:ascii="Arial" w:cs="Arial" w:eastAsia="Arial" w:hAnsi="Arial"/>
          <w:sz w:val="15"/>
          <w:szCs w:val="15"/>
          <w:b w:val="1"/>
          <w:bCs w:val="1"/>
          <w:i w:val="1"/>
          <w:iCs w:val="1"/>
          <w:color w:val="auto"/>
        </w:rPr>
        <w:t>Common stock</w:t>
      </w:r>
    </w:p>
    <w:p>
      <w:pPr>
        <w:spacing w:after="0" w:line="98" w:lineRule="exact"/>
        <w:rPr>
          <w:sz w:val="20"/>
          <w:szCs w:val="20"/>
          <w:color w:val="auto"/>
        </w:rPr>
      </w:pPr>
    </w:p>
    <w:p>
      <w:pPr>
        <w:ind w:left="1120" w:firstLine="368"/>
        <w:spacing w:after="0" w:line="274" w:lineRule="auto"/>
        <w:rPr>
          <w:sz w:val="20"/>
          <w:szCs w:val="20"/>
          <w:color w:val="auto"/>
        </w:rPr>
      </w:pPr>
      <w:r>
        <w:rPr>
          <w:rFonts w:ascii="Arial" w:cs="Arial" w:eastAsia="Arial" w:hAnsi="Arial"/>
          <w:sz w:val="14"/>
          <w:szCs w:val="14"/>
          <w:color w:val="auto"/>
        </w:rPr>
        <w:t>The Company’s amended and restated certificate of incorporation authorizes the issuance of Class A common stock and Class B common stock. The Company is authorized to issue 533,333,333 shares of Class A common stock and 466,666,666 shares of Class B common stock. Holders of Class A common stock and Class B common stock are entitled to dividends on a pro rata basis, when, as, and if declared by the Company’s Board of Directors, subject to the rights of the holders of the Company’s preferred stock. Holders of Class A common stock are entitled to one vote per share, and holders of Class B common stock are entitled to 10 votes per share. Upon a liquidation event, as defined in the amended and restated certificate of incorporation, after payments are made to holders of the Company’s preferred stock, any distribution of proceeds to common stockholders will be made on a pro rata basis to the holders of Class A common stock and Class B common stock. Following the completion of an initial public offering of the Company, shares of Class B common stock will automatically convert into shares of Class A common stock upon a sale or transfer (other than with respect to certain estate planning transfers).</w:t>
      </w:r>
    </w:p>
    <w:p>
      <w:pPr>
        <w:spacing w:after="0" w:line="241" w:lineRule="exact"/>
        <w:rPr>
          <w:sz w:val="20"/>
          <w:szCs w:val="20"/>
          <w:color w:val="auto"/>
        </w:rPr>
      </w:pPr>
    </w:p>
    <w:p>
      <w:pPr>
        <w:ind w:left="1480"/>
        <w:spacing w:after="0"/>
        <w:rPr>
          <w:sz w:val="20"/>
          <w:szCs w:val="20"/>
          <w:color w:val="auto"/>
        </w:rPr>
      </w:pPr>
      <w:r>
        <w:rPr>
          <w:rFonts w:ascii="Arial" w:cs="Arial" w:eastAsia="Arial" w:hAnsi="Arial"/>
          <w:sz w:val="15"/>
          <w:szCs w:val="15"/>
          <w:b w:val="1"/>
          <w:bCs w:val="1"/>
          <w:i w:val="1"/>
          <w:iCs w:val="1"/>
          <w:color w:val="auto"/>
        </w:rPr>
        <w:t>Convertible preferred stock</w:t>
      </w:r>
    </w:p>
    <w:p>
      <w:pPr>
        <w:spacing w:after="0" w:line="98" w:lineRule="exact"/>
        <w:rPr>
          <w:sz w:val="20"/>
          <w:szCs w:val="20"/>
          <w:color w:val="auto"/>
        </w:rPr>
      </w:pPr>
    </w:p>
    <w:p>
      <w:pPr>
        <w:ind w:left="1120" w:right="480" w:firstLine="368"/>
        <w:spacing w:after="0" w:line="275" w:lineRule="auto"/>
        <w:rPr>
          <w:sz w:val="20"/>
          <w:szCs w:val="20"/>
          <w:color w:val="auto"/>
        </w:rPr>
      </w:pPr>
      <w:r>
        <w:rPr>
          <w:rFonts w:ascii="Arial" w:cs="Arial" w:eastAsia="Arial" w:hAnsi="Arial"/>
          <w:sz w:val="15"/>
          <w:szCs w:val="15"/>
          <w:color w:val="auto"/>
        </w:rPr>
        <w:t>The Company is authorized to issue 151,212,292 shares of preferred stock. The following table summarizes the convertible preferred stock outstanding and liquidation preferences as of December 31, 2017:</w:t>
      </w:r>
    </w:p>
    <w:p>
      <w:pPr>
        <w:spacing w:after="0" w:line="146" w:lineRule="exact"/>
        <w:rPr>
          <w:sz w:val="20"/>
          <w:szCs w:val="20"/>
          <w:color w:val="auto"/>
        </w:rPr>
      </w:pPr>
    </w:p>
    <w:tbl>
      <w:tblPr>
        <w:tblLayout w:type="fixed"/>
        <w:tblInd w:w="1120" w:type="dxa"/>
        <w:tblCellMar>
          <w:top w:w="0" w:type="dxa"/>
          <w:left w:w="0" w:type="dxa"/>
          <w:bottom w:w="0" w:type="dxa"/>
          <w:right w:w="0" w:type="dxa"/>
        </w:tblCellMar>
      </w:tblPr>
      <w:tr>
        <w:trPr>
          <w:trHeight w:val="138"/>
        </w:trPr>
        <w:tc>
          <w:tcPr>
            <w:tcW w:w="2540" w:type="dxa"/>
            <w:vAlign w:val="bottom"/>
          </w:tcPr>
          <w:p>
            <w:pPr>
              <w:spacing w:after="0"/>
              <w:rPr>
                <w:sz w:val="12"/>
                <w:szCs w:val="12"/>
                <w:color w:val="auto"/>
              </w:rPr>
            </w:pPr>
          </w:p>
        </w:tc>
        <w:tc>
          <w:tcPr>
            <w:tcW w:w="2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60" w:type="dxa"/>
            <w:vAlign w:val="bottom"/>
            <w:gridSpan w:val="2"/>
            <w:vMerge w:val="restart"/>
          </w:tcPr>
          <w:p>
            <w:pPr>
              <w:jc w:val="right"/>
              <w:ind w:right="590"/>
              <w:spacing w:after="0"/>
              <w:rPr>
                <w:sz w:val="20"/>
                <w:szCs w:val="20"/>
                <w:color w:val="auto"/>
              </w:rPr>
            </w:pPr>
            <w:r>
              <w:rPr>
                <w:rFonts w:ascii="Arial" w:cs="Arial" w:eastAsia="Arial" w:hAnsi="Arial"/>
                <w:sz w:val="12"/>
                <w:szCs w:val="12"/>
                <w:b w:val="1"/>
                <w:bCs w:val="1"/>
                <w:color w:val="auto"/>
                <w:w w:val="94"/>
              </w:rPr>
              <w:t>Shares</w:t>
            </w:r>
          </w:p>
        </w:tc>
        <w:tc>
          <w:tcPr>
            <w:tcW w:w="1140" w:type="dxa"/>
            <w:vAlign w:val="bottom"/>
            <w:gridSpan w:val="2"/>
          </w:tcPr>
          <w:p>
            <w:pPr>
              <w:ind w:left="440"/>
              <w:spacing w:after="0"/>
              <w:rPr>
                <w:sz w:val="20"/>
                <w:szCs w:val="20"/>
                <w:color w:val="auto"/>
              </w:rPr>
            </w:pPr>
            <w:r>
              <w:rPr>
                <w:rFonts w:ascii="Arial" w:cs="Arial" w:eastAsia="Arial" w:hAnsi="Arial"/>
                <w:sz w:val="12"/>
                <w:szCs w:val="12"/>
                <w:b w:val="1"/>
                <w:bCs w:val="1"/>
                <w:color w:val="auto"/>
              </w:rPr>
              <w:t>Per share</w:t>
            </w:r>
          </w:p>
        </w:tc>
        <w:tc>
          <w:tcPr>
            <w:tcW w:w="220" w:type="dxa"/>
            <w:vAlign w:val="bottom"/>
          </w:tcPr>
          <w:p>
            <w:pPr>
              <w:spacing w:after="0"/>
              <w:rPr>
                <w:sz w:val="12"/>
                <w:szCs w:val="12"/>
                <w:color w:val="auto"/>
              </w:rPr>
            </w:pPr>
          </w:p>
        </w:tc>
        <w:tc>
          <w:tcPr>
            <w:tcW w:w="560" w:type="dxa"/>
            <w:vAlign w:val="bottom"/>
            <w:gridSpan w:val="2"/>
          </w:tcPr>
          <w:p>
            <w:pPr>
              <w:ind w:left="20"/>
              <w:spacing w:after="0"/>
              <w:rPr>
                <w:sz w:val="20"/>
                <w:szCs w:val="20"/>
                <w:color w:val="auto"/>
              </w:rPr>
            </w:pPr>
            <w:r>
              <w:rPr>
                <w:rFonts w:ascii="Arial" w:cs="Arial" w:eastAsia="Arial" w:hAnsi="Arial"/>
                <w:sz w:val="12"/>
                <w:szCs w:val="12"/>
                <w:b w:val="1"/>
                <w:bCs w:val="1"/>
                <w:color w:val="auto"/>
                <w:w w:val="87"/>
              </w:rPr>
              <w:t>Aggregate</w:t>
            </w:r>
          </w:p>
        </w:tc>
        <w:tc>
          <w:tcPr>
            <w:tcW w:w="960" w:type="dxa"/>
            <w:vAlign w:val="bottom"/>
            <w:gridSpan w:val="3"/>
          </w:tcPr>
          <w:p>
            <w:pPr>
              <w:ind w:left="440"/>
              <w:spacing w:after="0"/>
              <w:rPr>
                <w:sz w:val="20"/>
                <w:szCs w:val="20"/>
                <w:color w:val="auto"/>
              </w:rPr>
            </w:pPr>
            <w:r>
              <w:rPr>
                <w:rFonts w:ascii="Arial" w:cs="Arial" w:eastAsia="Arial" w:hAnsi="Arial"/>
                <w:sz w:val="12"/>
                <w:szCs w:val="12"/>
                <w:b w:val="1"/>
                <w:bCs w:val="1"/>
                <w:color w:val="auto"/>
                <w:w w:val="98"/>
              </w:rPr>
              <w:t>Dividend</w:t>
            </w:r>
          </w:p>
        </w:tc>
        <w:tc>
          <w:tcPr>
            <w:tcW w:w="0" w:type="dxa"/>
            <w:vAlign w:val="bottom"/>
          </w:tcPr>
          <w:p>
            <w:pPr>
              <w:spacing w:after="0"/>
              <w:rPr>
                <w:sz w:val="1"/>
                <w:szCs w:val="1"/>
                <w:color w:val="auto"/>
              </w:rPr>
            </w:pPr>
          </w:p>
        </w:tc>
      </w:tr>
      <w:tr>
        <w:trPr>
          <w:trHeight w:val="65"/>
        </w:trPr>
        <w:tc>
          <w:tcPr>
            <w:tcW w:w="2540" w:type="dxa"/>
            <w:vAlign w:val="bottom"/>
          </w:tcPr>
          <w:p>
            <w:pPr>
              <w:spacing w:after="0"/>
              <w:rPr>
                <w:sz w:val="5"/>
                <w:szCs w:val="5"/>
                <w:color w:val="auto"/>
              </w:rPr>
            </w:pPr>
          </w:p>
        </w:tc>
        <w:tc>
          <w:tcPr>
            <w:tcW w:w="2120" w:type="dxa"/>
            <w:vAlign w:val="bottom"/>
          </w:tcPr>
          <w:p>
            <w:pPr>
              <w:spacing w:after="0"/>
              <w:rPr>
                <w:sz w:val="5"/>
                <w:szCs w:val="5"/>
                <w:color w:val="auto"/>
              </w:rPr>
            </w:pPr>
          </w:p>
        </w:tc>
        <w:tc>
          <w:tcPr>
            <w:tcW w:w="600" w:type="dxa"/>
            <w:vAlign w:val="bottom"/>
            <w:tcBorders>
              <w:bottom w:val="single" w:sz="8" w:color="auto"/>
            </w:tcBorders>
          </w:tcPr>
          <w:p>
            <w:pPr>
              <w:spacing w:after="0"/>
              <w:rPr>
                <w:sz w:val="5"/>
                <w:szCs w:val="5"/>
                <w:color w:val="auto"/>
              </w:rPr>
            </w:pPr>
          </w:p>
        </w:tc>
        <w:tc>
          <w:tcPr>
            <w:tcW w:w="1060" w:type="dxa"/>
            <w:vAlign w:val="bottom"/>
            <w:tcBorders>
              <w:bottom w:val="single" w:sz="8" w:color="auto"/>
            </w:tcBorders>
            <w:gridSpan w:val="2"/>
            <w:vMerge w:val="continue"/>
          </w:tcPr>
          <w:p>
            <w:pPr>
              <w:spacing w:after="0"/>
              <w:rPr>
                <w:sz w:val="5"/>
                <w:szCs w:val="5"/>
                <w:color w:val="auto"/>
              </w:rPr>
            </w:pPr>
          </w:p>
        </w:tc>
        <w:tc>
          <w:tcPr>
            <w:tcW w:w="1140" w:type="dxa"/>
            <w:vAlign w:val="bottom"/>
            <w:gridSpan w:val="2"/>
            <w:vMerge w:val="restart"/>
          </w:tcPr>
          <w:p>
            <w:pPr>
              <w:jc w:val="right"/>
              <w:ind w:right="185"/>
              <w:spacing w:after="0" w:line="124" w:lineRule="exact"/>
              <w:rPr>
                <w:sz w:val="20"/>
                <w:szCs w:val="20"/>
                <w:color w:val="auto"/>
              </w:rPr>
            </w:pPr>
            <w:r>
              <w:rPr>
                <w:rFonts w:ascii="Arial" w:cs="Arial" w:eastAsia="Arial" w:hAnsi="Arial"/>
                <w:sz w:val="12"/>
                <w:szCs w:val="12"/>
                <w:b w:val="1"/>
                <w:bCs w:val="1"/>
                <w:color w:val="auto"/>
              </w:rPr>
              <w:t>price at</w:t>
            </w:r>
          </w:p>
        </w:tc>
        <w:tc>
          <w:tcPr>
            <w:tcW w:w="780" w:type="dxa"/>
            <w:vAlign w:val="bottom"/>
            <w:gridSpan w:val="3"/>
            <w:vMerge w:val="restart"/>
          </w:tcPr>
          <w:p>
            <w:pPr>
              <w:ind w:left="220"/>
              <w:spacing w:after="0" w:line="124" w:lineRule="exact"/>
              <w:rPr>
                <w:sz w:val="20"/>
                <w:szCs w:val="20"/>
                <w:color w:val="auto"/>
              </w:rPr>
            </w:pPr>
            <w:r>
              <w:rPr>
                <w:rFonts w:ascii="Arial" w:cs="Arial" w:eastAsia="Arial" w:hAnsi="Arial"/>
                <w:sz w:val="12"/>
                <w:szCs w:val="12"/>
                <w:b w:val="1"/>
                <w:bCs w:val="1"/>
                <w:color w:val="auto"/>
                <w:w w:val="88"/>
              </w:rPr>
              <w:t>liquidation</w:t>
            </w:r>
          </w:p>
        </w:tc>
        <w:tc>
          <w:tcPr>
            <w:tcW w:w="960" w:type="dxa"/>
            <w:vAlign w:val="bottom"/>
            <w:gridSpan w:val="3"/>
            <w:vMerge w:val="restart"/>
          </w:tcPr>
          <w:p>
            <w:pPr>
              <w:jc w:val="right"/>
              <w:ind w:right="60"/>
              <w:spacing w:after="0" w:line="124" w:lineRule="exact"/>
              <w:rPr>
                <w:sz w:val="20"/>
                <w:szCs w:val="20"/>
                <w:color w:val="auto"/>
              </w:rPr>
            </w:pPr>
            <w:r>
              <w:rPr>
                <w:rFonts w:ascii="Arial" w:cs="Arial" w:eastAsia="Arial" w:hAnsi="Arial"/>
                <w:sz w:val="12"/>
                <w:szCs w:val="12"/>
                <w:b w:val="1"/>
                <w:bCs w:val="1"/>
                <w:color w:val="auto"/>
              </w:rPr>
              <w:t>per share</w:t>
            </w:r>
          </w:p>
        </w:tc>
        <w:tc>
          <w:tcPr>
            <w:tcW w:w="0" w:type="dxa"/>
            <w:vAlign w:val="bottom"/>
          </w:tcPr>
          <w:p>
            <w:pPr>
              <w:spacing w:after="0"/>
              <w:rPr>
                <w:sz w:val="1"/>
                <w:szCs w:val="1"/>
                <w:color w:val="auto"/>
              </w:rPr>
            </w:pPr>
          </w:p>
        </w:tc>
      </w:tr>
      <w:tr>
        <w:trPr>
          <w:trHeight w:val="39"/>
        </w:trPr>
        <w:tc>
          <w:tcPr>
            <w:tcW w:w="2540" w:type="dxa"/>
            <w:vAlign w:val="bottom"/>
          </w:tcPr>
          <w:p>
            <w:pPr>
              <w:spacing w:after="0"/>
              <w:rPr>
                <w:sz w:val="3"/>
                <w:szCs w:val="3"/>
                <w:color w:val="auto"/>
              </w:rPr>
            </w:pPr>
          </w:p>
        </w:tc>
        <w:tc>
          <w:tcPr>
            <w:tcW w:w="2720" w:type="dxa"/>
            <w:vAlign w:val="bottom"/>
            <w:gridSpan w:val="2"/>
            <w:vMerge w:val="restart"/>
          </w:tcPr>
          <w:p>
            <w:pPr>
              <w:jc w:val="right"/>
              <w:spacing w:after="0"/>
              <w:rPr>
                <w:sz w:val="20"/>
                <w:szCs w:val="20"/>
                <w:color w:val="auto"/>
              </w:rPr>
            </w:pPr>
            <w:r>
              <w:rPr>
                <w:rFonts w:ascii="Arial" w:cs="Arial" w:eastAsia="Arial" w:hAnsi="Arial"/>
                <w:sz w:val="12"/>
                <w:szCs w:val="12"/>
                <w:b w:val="1"/>
                <w:bCs w:val="1"/>
                <w:color w:val="auto"/>
              </w:rPr>
              <w:t>Authorized</w:t>
            </w:r>
          </w:p>
        </w:tc>
        <w:tc>
          <w:tcPr>
            <w:tcW w:w="1060" w:type="dxa"/>
            <w:vAlign w:val="bottom"/>
            <w:gridSpan w:val="2"/>
            <w:vMerge w:val="restart"/>
          </w:tcPr>
          <w:p>
            <w:pPr>
              <w:jc w:val="right"/>
              <w:spacing w:after="0"/>
              <w:rPr>
                <w:sz w:val="20"/>
                <w:szCs w:val="20"/>
                <w:color w:val="auto"/>
              </w:rPr>
            </w:pPr>
            <w:r>
              <w:rPr>
                <w:rFonts w:ascii="Arial" w:cs="Arial" w:eastAsia="Arial" w:hAnsi="Arial"/>
                <w:sz w:val="12"/>
                <w:szCs w:val="12"/>
                <w:b w:val="1"/>
                <w:bCs w:val="1"/>
                <w:color w:val="auto"/>
              </w:rPr>
              <w:t>Outstanding</w:t>
            </w:r>
          </w:p>
        </w:tc>
        <w:tc>
          <w:tcPr>
            <w:tcW w:w="1140" w:type="dxa"/>
            <w:vAlign w:val="bottom"/>
            <w:gridSpan w:val="2"/>
            <w:vMerge w:val="continue"/>
          </w:tcPr>
          <w:p>
            <w:pPr>
              <w:spacing w:after="0"/>
              <w:rPr>
                <w:sz w:val="3"/>
                <w:szCs w:val="3"/>
                <w:color w:val="auto"/>
              </w:rPr>
            </w:pPr>
          </w:p>
        </w:tc>
        <w:tc>
          <w:tcPr>
            <w:tcW w:w="780" w:type="dxa"/>
            <w:vAlign w:val="bottom"/>
            <w:gridSpan w:val="3"/>
            <w:vMerge w:val="continue"/>
          </w:tcPr>
          <w:p>
            <w:pPr>
              <w:spacing w:after="0"/>
              <w:rPr>
                <w:sz w:val="3"/>
                <w:szCs w:val="3"/>
                <w:color w:val="auto"/>
              </w:rPr>
            </w:pPr>
          </w:p>
        </w:tc>
        <w:tc>
          <w:tcPr>
            <w:tcW w:w="96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44"/>
        </w:trPr>
        <w:tc>
          <w:tcPr>
            <w:tcW w:w="2540" w:type="dxa"/>
            <w:vAlign w:val="bottom"/>
          </w:tcPr>
          <w:p>
            <w:pPr>
              <w:spacing w:after="0"/>
              <w:rPr>
                <w:sz w:val="12"/>
                <w:szCs w:val="12"/>
                <w:color w:val="auto"/>
              </w:rPr>
            </w:pPr>
          </w:p>
        </w:tc>
        <w:tc>
          <w:tcPr>
            <w:tcW w:w="2720" w:type="dxa"/>
            <w:vAlign w:val="bottom"/>
            <w:gridSpan w:val="2"/>
            <w:vMerge w:val="continue"/>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1140" w:type="dxa"/>
            <w:vAlign w:val="bottom"/>
            <w:gridSpan w:val="2"/>
          </w:tcPr>
          <w:p>
            <w:pPr>
              <w:jc w:val="right"/>
              <w:ind w:right="165"/>
              <w:spacing w:after="0"/>
              <w:rPr>
                <w:sz w:val="20"/>
                <w:szCs w:val="20"/>
                <w:color w:val="auto"/>
              </w:rPr>
            </w:pPr>
            <w:r>
              <w:rPr>
                <w:rFonts w:ascii="Arial" w:cs="Arial" w:eastAsia="Arial" w:hAnsi="Arial"/>
                <w:sz w:val="12"/>
                <w:szCs w:val="12"/>
                <w:b w:val="1"/>
                <w:bCs w:val="1"/>
                <w:color w:val="auto"/>
              </w:rPr>
              <w:t>issuance</w:t>
            </w:r>
          </w:p>
        </w:tc>
        <w:tc>
          <w:tcPr>
            <w:tcW w:w="220" w:type="dxa"/>
            <w:vAlign w:val="bottom"/>
          </w:tcPr>
          <w:p>
            <w:pPr>
              <w:spacing w:after="0"/>
              <w:rPr>
                <w:sz w:val="12"/>
                <w:szCs w:val="12"/>
                <w:color w:val="auto"/>
              </w:rPr>
            </w:pPr>
          </w:p>
        </w:tc>
        <w:tc>
          <w:tcPr>
            <w:tcW w:w="560" w:type="dxa"/>
            <w:vAlign w:val="bottom"/>
            <w:gridSpan w:val="2"/>
          </w:tcPr>
          <w:p>
            <w:pPr>
              <w:spacing w:after="0"/>
              <w:rPr>
                <w:sz w:val="20"/>
                <w:szCs w:val="20"/>
                <w:color w:val="auto"/>
              </w:rPr>
            </w:pPr>
            <w:r>
              <w:rPr>
                <w:rFonts w:ascii="Arial" w:cs="Arial" w:eastAsia="Arial" w:hAnsi="Arial"/>
                <w:sz w:val="12"/>
                <w:szCs w:val="12"/>
                <w:b w:val="1"/>
                <w:bCs w:val="1"/>
                <w:color w:val="auto"/>
                <w:w w:val="87"/>
              </w:rPr>
              <w:t>preference</w:t>
            </w:r>
          </w:p>
        </w:tc>
        <w:tc>
          <w:tcPr>
            <w:tcW w:w="960" w:type="dxa"/>
            <w:vAlign w:val="bottom"/>
            <w:gridSpan w:val="3"/>
          </w:tcPr>
          <w:p>
            <w:pPr>
              <w:ind w:left="480"/>
              <w:spacing w:after="0"/>
              <w:rPr>
                <w:sz w:val="20"/>
                <w:szCs w:val="20"/>
                <w:color w:val="auto"/>
              </w:rPr>
            </w:pPr>
            <w:r>
              <w:rPr>
                <w:rFonts w:ascii="Arial" w:cs="Arial" w:eastAsia="Arial" w:hAnsi="Arial"/>
                <w:sz w:val="12"/>
                <w:szCs w:val="12"/>
                <w:b w:val="1"/>
                <w:bCs w:val="1"/>
                <w:color w:val="auto"/>
              </w:rPr>
              <w:t>amount</w:t>
            </w:r>
          </w:p>
        </w:tc>
        <w:tc>
          <w:tcPr>
            <w:tcW w:w="0" w:type="dxa"/>
            <w:vAlign w:val="bottom"/>
          </w:tcPr>
          <w:p>
            <w:pPr>
              <w:spacing w:after="0"/>
              <w:rPr>
                <w:sz w:val="1"/>
                <w:szCs w:val="1"/>
                <w:color w:val="auto"/>
              </w:rPr>
            </w:pPr>
          </w:p>
        </w:tc>
      </w:tr>
      <w:tr>
        <w:trPr>
          <w:trHeight w:val="115"/>
        </w:trPr>
        <w:tc>
          <w:tcPr>
            <w:tcW w:w="2540" w:type="dxa"/>
            <w:vAlign w:val="bottom"/>
          </w:tcPr>
          <w:p>
            <w:pPr>
              <w:spacing w:after="0"/>
              <w:rPr>
                <w:sz w:val="10"/>
                <w:szCs w:val="10"/>
                <w:color w:val="auto"/>
              </w:rPr>
            </w:pPr>
          </w:p>
        </w:tc>
        <w:tc>
          <w:tcPr>
            <w:tcW w:w="2120" w:type="dxa"/>
            <w:vAlign w:val="bottom"/>
          </w:tcPr>
          <w:p>
            <w:pPr>
              <w:spacing w:after="0"/>
              <w:rPr>
                <w:sz w:val="10"/>
                <w:szCs w:val="10"/>
                <w:color w:val="auto"/>
              </w:rPr>
            </w:pPr>
          </w:p>
        </w:tc>
        <w:tc>
          <w:tcPr>
            <w:tcW w:w="600" w:type="dxa"/>
            <w:vAlign w:val="bottom"/>
            <w:tcBorders>
              <w:top w:val="single" w:sz="8" w:color="auto"/>
            </w:tcBorders>
          </w:tcPr>
          <w:p>
            <w:pPr>
              <w:spacing w:after="0"/>
              <w:rPr>
                <w:sz w:val="10"/>
                <w:szCs w:val="10"/>
                <w:color w:val="auto"/>
              </w:rPr>
            </w:pPr>
          </w:p>
        </w:tc>
        <w:tc>
          <w:tcPr>
            <w:tcW w:w="420" w:type="dxa"/>
            <w:vAlign w:val="bottom"/>
            <w:tcBorders>
              <w:top w:val="single" w:sz="8" w:color="auto"/>
            </w:tcBorders>
          </w:tcPr>
          <w:p>
            <w:pPr>
              <w:spacing w:after="0"/>
              <w:rPr>
                <w:sz w:val="10"/>
                <w:szCs w:val="10"/>
                <w:color w:val="auto"/>
              </w:rPr>
            </w:pPr>
          </w:p>
        </w:tc>
        <w:tc>
          <w:tcPr>
            <w:tcW w:w="2560" w:type="dxa"/>
            <w:vAlign w:val="bottom"/>
            <w:tcBorders>
              <w:top w:val="single" w:sz="8" w:color="auto"/>
            </w:tcBorders>
            <w:gridSpan w:val="6"/>
          </w:tcPr>
          <w:p>
            <w:pPr>
              <w:jc w:val="right"/>
              <w:ind w:right="225"/>
              <w:spacing w:after="0" w:line="115" w:lineRule="exact"/>
              <w:rPr>
                <w:sz w:val="20"/>
                <w:szCs w:val="20"/>
                <w:color w:val="auto"/>
              </w:rPr>
            </w:pPr>
            <w:r>
              <w:rPr>
                <w:rFonts w:ascii="Arial" w:cs="Arial" w:eastAsia="Arial" w:hAnsi="Arial"/>
                <w:sz w:val="12"/>
                <w:szCs w:val="12"/>
                <w:i w:val="1"/>
                <w:iCs w:val="1"/>
                <w:color w:val="auto"/>
                <w:w w:val="99"/>
              </w:rPr>
              <w:t>(In millions, except for per share amounts)</w:t>
            </w:r>
          </w:p>
        </w:tc>
        <w:tc>
          <w:tcPr>
            <w:tcW w:w="580" w:type="dxa"/>
            <w:vAlign w:val="bottom"/>
            <w:tcBorders>
              <w:top w:val="single" w:sz="8" w:color="auto"/>
            </w:tcBorders>
          </w:tcPr>
          <w:p>
            <w:pPr>
              <w:spacing w:after="0"/>
              <w:rPr>
                <w:sz w:val="10"/>
                <w:szCs w:val="10"/>
                <w:color w:val="auto"/>
              </w:rPr>
            </w:pPr>
          </w:p>
        </w:tc>
        <w:tc>
          <w:tcPr>
            <w:tcW w:w="340" w:type="dxa"/>
            <w:vAlign w:val="bottom"/>
            <w:tcBorders>
              <w:top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0"/>
        </w:trPr>
        <w:tc>
          <w:tcPr>
            <w:tcW w:w="2540" w:type="dxa"/>
            <w:vAlign w:val="bottom"/>
            <w:shd w:val="clear" w:color="auto" w:fill="CCEEFF"/>
          </w:tcPr>
          <w:p>
            <w:pPr>
              <w:spacing w:after="0"/>
              <w:rPr>
                <w:sz w:val="20"/>
                <w:szCs w:val="20"/>
                <w:color w:val="auto"/>
              </w:rPr>
            </w:pPr>
            <w:r>
              <w:rPr>
                <w:rFonts w:ascii="Arial" w:cs="Arial" w:eastAsia="Arial" w:hAnsi="Arial"/>
                <w:sz w:val="15"/>
                <w:szCs w:val="15"/>
                <w:color w:val="auto"/>
              </w:rPr>
              <w:t>Series A</w:t>
            </w:r>
          </w:p>
        </w:tc>
        <w:tc>
          <w:tcPr>
            <w:tcW w:w="27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63.9</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63.9</w:t>
            </w:r>
          </w:p>
        </w:tc>
        <w:tc>
          <w:tcPr>
            <w:tcW w:w="540" w:type="dxa"/>
            <w:vAlign w:val="bottom"/>
            <w:shd w:val="clear" w:color="auto" w:fill="CCEEFF"/>
          </w:tcPr>
          <w:p>
            <w:pPr>
              <w:ind w:left="420"/>
              <w:spacing w:after="0"/>
              <w:rPr>
                <w:sz w:val="20"/>
                <w:szCs w:val="20"/>
                <w:color w:val="auto"/>
              </w:rPr>
            </w:pPr>
            <w:r>
              <w:rPr>
                <w:rFonts w:ascii="Arial" w:cs="Arial" w:eastAsia="Arial" w:hAnsi="Arial"/>
                <w:sz w:val="15"/>
                <w:szCs w:val="15"/>
                <w:color w:val="auto"/>
              </w:rPr>
              <w:t>$</w:t>
            </w:r>
          </w:p>
        </w:tc>
        <w:tc>
          <w:tcPr>
            <w:tcW w:w="600" w:type="dxa"/>
            <w:vAlign w:val="bottom"/>
            <w:shd w:val="clear" w:color="auto" w:fill="CCEEFF"/>
          </w:tcPr>
          <w:p>
            <w:pPr>
              <w:jc w:val="right"/>
              <w:ind w:right="145"/>
              <w:spacing w:after="0"/>
              <w:rPr>
                <w:sz w:val="20"/>
                <w:szCs w:val="20"/>
                <w:color w:val="auto"/>
              </w:rPr>
            </w:pPr>
            <w:r>
              <w:rPr>
                <w:rFonts w:ascii="Arial" w:cs="Arial" w:eastAsia="Arial" w:hAnsi="Arial"/>
                <w:sz w:val="15"/>
                <w:szCs w:val="15"/>
                <w:color w:val="auto"/>
              </w:rPr>
              <w:t>0.09</w:t>
            </w:r>
          </w:p>
        </w:tc>
        <w:tc>
          <w:tcPr>
            <w:tcW w:w="360" w:type="dxa"/>
            <w:vAlign w:val="bottom"/>
            <w:gridSpan w:val="2"/>
            <w:shd w:val="clear" w:color="auto" w:fill="CCEEFF"/>
          </w:tcPr>
          <w:p>
            <w:pPr>
              <w:ind w:left="220"/>
              <w:spacing w:after="0"/>
              <w:rPr>
                <w:sz w:val="20"/>
                <w:szCs w:val="20"/>
                <w:color w:val="auto"/>
              </w:rPr>
            </w:pPr>
            <w:r>
              <w:rPr>
                <w:rFonts w:ascii="Arial" w:cs="Arial" w:eastAsia="Arial" w:hAnsi="Arial"/>
                <w:sz w:val="15"/>
                <w:szCs w:val="15"/>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6.0</w:t>
            </w:r>
          </w:p>
        </w:tc>
        <w:tc>
          <w:tcPr>
            <w:tcW w:w="580" w:type="dxa"/>
            <w:vAlign w:val="bottom"/>
            <w:shd w:val="clear" w:color="auto" w:fill="CCEEFF"/>
          </w:tcPr>
          <w:p>
            <w:pPr>
              <w:ind w:left="420"/>
              <w:spacing w:after="0"/>
              <w:rPr>
                <w:sz w:val="20"/>
                <w:szCs w:val="20"/>
                <w:color w:val="auto"/>
              </w:rPr>
            </w:pPr>
            <w:r>
              <w:rPr>
                <w:rFonts w:ascii="Arial" w:cs="Arial" w:eastAsia="Arial" w:hAnsi="Arial"/>
                <w:sz w:val="15"/>
                <w:szCs w:val="15"/>
                <w:color w:val="auto"/>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0.02</w:t>
            </w: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540" w:type="dxa"/>
            <w:vAlign w:val="bottom"/>
          </w:tcPr>
          <w:p>
            <w:pPr>
              <w:spacing w:after="0"/>
              <w:rPr>
                <w:sz w:val="20"/>
                <w:szCs w:val="20"/>
                <w:color w:val="auto"/>
              </w:rPr>
            </w:pPr>
            <w:r>
              <w:rPr>
                <w:rFonts w:ascii="Arial" w:cs="Arial" w:eastAsia="Arial" w:hAnsi="Arial"/>
                <w:sz w:val="15"/>
                <w:szCs w:val="15"/>
                <w:color w:val="auto"/>
              </w:rPr>
              <w:t>Series A-1</w:t>
            </w:r>
          </w:p>
        </w:tc>
        <w:tc>
          <w:tcPr>
            <w:tcW w:w="2720" w:type="dxa"/>
            <w:vAlign w:val="bottom"/>
            <w:gridSpan w:val="2"/>
          </w:tcPr>
          <w:p>
            <w:pPr>
              <w:jc w:val="right"/>
              <w:spacing w:after="0"/>
              <w:rPr>
                <w:sz w:val="20"/>
                <w:szCs w:val="20"/>
                <w:color w:val="auto"/>
              </w:rPr>
            </w:pPr>
            <w:r>
              <w:rPr>
                <w:rFonts w:ascii="Arial" w:cs="Arial" w:eastAsia="Arial" w:hAnsi="Arial"/>
                <w:sz w:val="15"/>
                <w:szCs w:val="15"/>
                <w:color w:val="auto"/>
              </w:rPr>
              <w:t>52.0</w:t>
            </w:r>
          </w:p>
        </w:tc>
        <w:tc>
          <w:tcPr>
            <w:tcW w:w="1060" w:type="dxa"/>
            <w:vAlign w:val="bottom"/>
            <w:gridSpan w:val="2"/>
          </w:tcPr>
          <w:p>
            <w:pPr>
              <w:jc w:val="right"/>
              <w:spacing w:after="0"/>
              <w:rPr>
                <w:sz w:val="20"/>
                <w:szCs w:val="20"/>
                <w:color w:val="auto"/>
              </w:rPr>
            </w:pPr>
            <w:r>
              <w:rPr>
                <w:rFonts w:ascii="Arial" w:cs="Arial" w:eastAsia="Arial" w:hAnsi="Arial"/>
                <w:sz w:val="15"/>
                <w:szCs w:val="15"/>
                <w:color w:val="auto"/>
              </w:rPr>
              <w:t>51.9</w:t>
            </w:r>
          </w:p>
        </w:tc>
        <w:tc>
          <w:tcPr>
            <w:tcW w:w="540" w:type="dxa"/>
            <w:vAlign w:val="bottom"/>
          </w:tcPr>
          <w:p>
            <w:pPr>
              <w:spacing w:after="0"/>
              <w:rPr>
                <w:sz w:val="15"/>
                <w:szCs w:val="15"/>
                <w:color w:val="auto"/>
              </w:rPr>
            </w:pPr>
          </w:p>
        </w:tc>
        <w:tc>
          <w:tcPr>
            <w:tcW w:w="600" w:type="dxa"/>
            <w:vAlign w:val="bottom"/>
          </w:tcPr>
          <w:p>
            <w:pPr>
              <w:jc w:val="right"/>
              <w:ind w:right="145"/>
              <w:spacing w:after="0"/>
              <w:rPr>
                <w:sz w:val="20"/>
                <w:szCs w:val="20"/>
                <w:color w:val="auto"/>
              </w:rPr>
            </w:pPr>
            <w:r>
              <w:rPr>
                <w:rFonts w:ascii="Arial" w:cs="Arial" w:eastAsia="Arial" w:hAnsi="Arial"/>
                <w:sz w:val="15"/>
                <w:szCs w:val="15"/>
                <w:color w:val="auto"/>
              </w:rPr>
              <w:t>0.03</w:t>
            </w: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20" w:type="dxa"/>
            <w:vAlign w:val="bottom"/>
          </w:tcPr>
          <w:p>
            <w:pPr>
              <w:jc w:val="right"/>
              <w:spacing w:after="0"/>
              <w:rPr>
                <w:sz w:val="20"/>
                <w:szCs w:val="20"/>
                <w:color w:val="auto"/>
              </w:rPr>
            </w:pPr>
            <w:r>
              <w:rPr>
                <w:rFonts w:ascii="Arial" w:cs="Arial" w:eastAsia="Arial" w:hAnsi="Arial"/>
                <w:sz w:val="15"/>
                <w:szCs w:val="15"/>
                <w:color w:val="auto"/>
              </w:rPr>
              <w:t>1.3</w:t>
            </w:r>
          </w:p>
        </w:tc>
        <w:tc>
          <w:tcPr>
            <w:tcW w:w="580" w:type="dxa"/>
            <w:vAlign w:val="bottom"/>
          </w:tcPr>
          <w:p>
            <w:pPr>
              <w:spacing w:after="0"/>
              <w:rPr>
                <w:sz w:val="15"/>
                <w:szCs w:val="15"/>
                <w:color w:val="auto"/>
              </w:rPr>
            </w:pPr>
          </w:p>
        </w:tc>
        <w:tc>
          <w:tcPr>
            <w:tcW w:w="340" w:type="dxa"/>
            <w:vAlign w:val="bottom"/>
          </w:tcPr>
          <w:p>
            <w:pPr>
              <w:jc w:val="right"/>
              <w:spacing w:after="0"/>
              <w:rPr>
                <w:sz w:val="20"/>
                <w:szCs w:val="20"/>
                <w:color w:val="auto"/>
              </w:rPr>
            </w:pPr>
            <w:r>
              <w:rPr>
                <w:rFonts w:ascii="Arial" w:cs="Arial" w:eastAsia="Arial" w:hAnsi="Arial"/>
                <w:sz w:val="15"/>
                <w:szCs w:val="15"/>
                <w:color w:val="auto"/>
              </w:rPr>
              <w:t>0.02</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540" w:type="dxa"/>
            <w:vAlign w:val="bottom"/>
            <w:shd w:val="clear" w:color="auto" w:fill="CCEEFF"/>
          </w:tcPr>
          <w:p>
            <w:pPr>
              <w:spacing w:after="0"/>
              <w:rPr>
                <w:sz w:val="20"/>
                <w:szCs w:val="20"/>
                <w:color w:val="auto"/>
              </w:rPr>
            </w:pPr>
            <w:r>
              <w:rPr>
                <w:rFonts w:ascii="Arial" w:cs="Arial" w:eastAsia="Arial" w:hAnsi="Arial"/>
                <w:sz w:val="15"/>
                <w:szCs w:val="15"/>
                <w:color w:val="auto"/>
              </w:rPr>
              <w:t>Series B</w:t>
            </w:r>
          </w:p>
        </w:tc>
        <w:tc>
          <w:tcPr>
            <w:tcW w:w="27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19.5</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19.5</w:t>
            </w:r>
          </w:p>
        </w:tc>
        <w:tc>
          <w:tcPr>
            <w:tcW w:w="540" w:type="dxa"/>
            <w:vAlign w:val="bottom"/>
            <w:shd w:val="clear" w:color="auto" w:fill="CCEEFF"/>
          </w:tcPr>
          <w:p>
            <w:pPr>
              <w:spacing w:after="0"/>
              <w:rPr>
                <w:sz w:val="15"/>
                <w:szCs w:val="15"/>
                <w:color w:val="auto"/>
              </w:rPr>
            </w:pPr>
          </w:p>
        </w:tc>
        <w:tc>
          <w:tcPr>
            <w:tcW w:w="600" w:type="dxa"/>
            <w:vAlign w:val="bottom"/>
            <w:shd w:val="clear" w:color="auto" w:fill="CCEEFF"/>
          </w:tcPr>
          <w:p>
            <w:pPr>
              <w:jc w:val="right"/>
              <w:ind w:right="145"/>
              <w:spacing w:after="0"/>
              <w:rPr>
                <w:sz w:val="20"/>
                <w:szCs w:val="20"/>
                <w:color w:val="auto"/>
              </w:rPr>
            </w:pPr>
            <w:r>
              <w:rPr>
                <w:rFonts w:ascii="Arial" w:cs="Arial" w:eastAsia="Arial" w:hAnsi="Arial"/>
                <w:sz w:val="15"/>
                <w:szCs w:val="15"/>
                <w:color w:val="auto"/>
                <w:w w:val="95"/>
              </w:rPr>
              <w:t>13.58</w:t>
            </w:r>
          </w:p>
        </w:tc>
        <w:tc>
          <w:tcPr>
            <w:tcW w:w="2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264.8</w:t>
            </w:r>
          </w:p>
        </w:tc>
        <w:tc>
          <w:tcPr>
            <w:tcW w:w="580" w:type="dxa"/>
            <w:vAlign w:val="bottom"/>
            <w:shd w:val="clear" w:color="auto" w:fill="CCEEFF"/>
          </w:tcPr>
          <w:p>
            <w:pPr>
              <w:spacing w:after="0"/>
              <w:rPr>
                <w:sz w:val="15"/>
                <w:szCs w:val="15"/>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1.08</w:t>
            </w: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540" w:type="dxa"/>
            <w:vAlign w:val="bottom"/>
          </w:tcPr>
          <w:p>
            <w:pPr>
              <w:spacing w:after="0"/>
              <w:rPr>
                <w:sz w:val="20"/>
                <w:szCs w:val="20"/>
                <w:color w:val="auto"/>
              </w:rPr>
            </w:pPr>
            <w:r>
              <w:rPr>
                <w:rFonts w:ascii="Arial" w:cs="Arial" w:eastAsia="Arial" w:hAnsi="Arial"/>
                <w:sz w:val="15"/>
                <w:szCs w:val="15"/>
                <w:color w:val="auto"/>
              </w:rPr>
              <w:t>Series C</w:t>
            </w:r>
          </w:p>
        </w:tc>
        <w:tc>
          <w:tcPr>
            <w:tcW w:w="2120" w:type="dxa"/>
            <w:vAlign w:val="bottom"/>
          </w:tcPr>
          <w:p>
            <w:pPr>
              <w:spacing w:after="0"/>
              <w:rPr>
                <w:sz w:val="15"/>
                <w:szCs w:val="15"/>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15.8</w:t>
            </w:r>
          </w:p>
        </w:tc>
        <w:tc>
          <w:tcPr>
            <w:tcW w:w="420" w:type="dxa"/>
            <w:vAlign w:val="bottom"/>
          </w:tcPr>
          <w:p>
            <w:pPr>
              <w:spacing w:after="0"/>
              <w:rPr>
                <w:sz w:val="15"/>
                <w:szCs w:val="15"/>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12.3</w:t>
            </w:r>
          </w:p>
        </w:tc>
        <w:tc>
          <w:tcPr>
            <w:tcW w:w="540" w:type="dxa"/>
            <w:vAlign w:val="bottom"/>
          </w:tcPr>
          <w:p>
            <w:pPr>
              <w:ind w:left="420"/>
              <w:spacing w:after="0"/>
              <w:rPr>
                <w:sz w:val="20"/>
                <w:szCs w:val="20"/>
                <w:color w:val="auto"/>
              </w:rPr>
            </w:pPr>
            <w:r>
              <w:rPr>
                <w:rFonts w:ascii="Arial" w:cs="Arial" w:eastAsia="Arial" w:hAnsi="Arial"/>
                <w:sz w:val="15"/>
                <w:szCs w:val="15"/>
                <w:color w:val="auto"/>
              </w:rPr>
              <w:t>$</w:t>
            </w:r>
          </w:p>
        </w:tc>
        <w:tc>
          <w:tcPr>
            <w:tcW w:w="600" w:type="dxa"/>
            <w:vAlign w:val="bottom"/>
          </w:tcPr>
          <w:p>
            <w:pPr>
              <w:jc w:val="right"/>
              <w:ind w:right="145"/>
              <w:spacing w:after="0"/>
              <w:rPr>
                <w:sz w:val="20"/>
                <w:szCs w:val="20"/>
                <w:color w:val="auto"/>
              </w:rPr>
            </w:pPr>
            <w:r>
              <w:rPr>
                <w:rFonts w:ascii="Arial" w:cs="Arial" w:eastAsia="Arial" w:hAnsi="Arial"/>
                <w:sz w:val="15"/>
                <w:szCs w:val="15"/>
                <w:color w:val="auto"/>
                <w:w w:val="95"/>
              </w:rPr>
              <w:t>28.65</w:t>
            </w:r>
          </w:p>
        </w:tc>
        <w:tc>
          <w:tcPr>
            <w:tcW w:w="2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352.6</w:t>
            </w:r>
          </w:p>
        </w:tc>
        <w:tc>
          <w:tcPr>
            <w:tcW w:w="580" w:type="dxa"/>
            <w:vAlign w:val="bottom"/>
          </w:tcPr>
          <w:p>
            <w:pPr>
              <w:ind w:left="420"/>
              <w:spacing w:after="0"/>
              <w:rPr>
                <w:sz w:val="20"/>
                <w:szCs w:val="20"/>
                <w:color w:val="auto"/>
              </w:rPr>
            </w:pPr>
            <w:r>
              <w:rPr>
                <w:rFonts w:ascii="Arial" w:cs="Arial" w:eastAsia="Arial" w:hAnsi="Arial"/>
                <w:sz w:val="15"/>
                <w:szCs w:val="15"/>
                <w:color w:val="auto"/>
              </w:rPr>
              <w:t>$</w:t>
            </w:r>
          </w:p>
        </w:tc>
        <w:tc>
          <w:tcPr>
            <w:tcW w:w="340" w:type="dxa"/>
            <w:vAlign w:val="bottom"/>
          </w:tcPr>
          <w:p>
            <w:pPr>
              <w:jc w:val="right"/>
              <w:spacing w:after="0"/>
              <w:rPr>
                <w:sz w:val="20"/>
                <w:szCs w:val="20"/>
                <w:color w:val="auto"/>
              </w:rPr>
            </w:pPr>
            <w:r>
              <w:rPr>
                <w:rFonts w:ascii="Arial" w:cs="Arial" w:eastAsia="Arial" w:hAnsi="Arial"/>
                <w:sz w:val="15"/>
                <w:szCs w:val="15"/>
                <w:color w:val="auto"/>
              </w:rPr>
              <w:t>2.30</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540" w:type="dxa"/>
            <w:vAlign w:val="bottom"/>
            <w:shd w:val="clear" w:color="auto" w:fill="CCEEFF"/>
          </w:tcPr>
          <w:p>
            <w:pPr>
              <w:spacing w:after="0"/>
              <w:rPr>
                <w:sz w:val="15"/>
                <w:szCs w:val="15"/>
                <w:color w:val="auto"/>
              </w:rPr>
            </w:pPr>
          </w:p>
        </w:tc>
        <w:tc>
          <w:tcPr>
            <w:tcW w:w="212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151.2</w:t>
            </w:r>
          </w:p>
        </w:tc>
        <w:tc>
          <w:tcPr>
            <w:tcW w:w="42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147.6</w:t>
            </w:r>
          </w:p>
        </w:tc>
        <w:tc>
          <w:tcPr>
            <w:tcW w:w="54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360" w:type="dxa"/>
            <w:vAlign w:val="bottom"/>
            <w:gridSpan w:val="2"/>
            <w:shd w:val="clear" w:color="auto" w:fill="CCEEFF"/>
          </w:tcPr>
          <w:p>
            <w:pPr>
              <w:ind w:left="220"/>
              <w:spacing w:after="0"/>
              <w:rPr>
                <w:sz w:val="20"/>
                <w:szCs w:val="20"/>
                <w:color w:val="auto"/>
              </w:rPr>
            </w:pPr>
            <w:r>
              <w:rPr>
                <w:rFonts w:ascii="Arial" w:cs="Arial" w:eastAsia="Arial" w:hAnsi="Arial"/>
                <w:sz w:val="15"/>
                <w:szCs w:val="15"/>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624.7</w:t>
            </w:r>
          </w:p>
        </w:tc>
        <w:tc>
          <w:tcPr>
            <w:tcW w:w="5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54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9"/>
        </w:trPr>
        <w:tc>
          <w:tcPr>
            <w:tcW w:w="2540" w:type="dxa"/>
            <w:vAlign w:val="bottom"/>
          </w:tcPr>
          <w:p>
            <w:pPr>
              <w:spacing w:after="0"/>
              <w:rPr>
                <w:sz w:val="24"/>
                <w:szCs w:val="24"/>
                <w:color w:val="auto"/>
              </w:rPr>
            </w:pPr>
          </w:p>
        </w:tc>
        <w:tc>
          <w:tcPr>
            <w:tcW w:w="2720" w:type="dxa"/>
            <w:vAlign w:val="bottom"/>
            <w:gridSpan w:val="2"/>
          </w:tcPr>
          <w:p>
            <w:pPr>
              <w:jc w:val="right"/>
              <w:ind w:right="445"/>
              <w:spacing w:after="0"/>
              <w:rPr>
                <w:sz w:val="20"/>
                <w:szCs w:val="20"/>
                <w:color w:val="auto"/>
              </w:rPr>
            </w:pPr>
            <w:r>
              <w:rPr>
                <w:rFonts w:ascii="Arial" w:cs="Arial" w:eastAsia="Arial" w:hAnsi="Arial"/>
                <w:sz w:val="15"/>
                <w:szCs w:val="15"/>
                <w:color w:val="auto"/>
              </w:rPr>
              <w:t>F-25</w:t>
            </w:r>
          </w:p>
        </w:tc>
        <w:tc>
          <w:tcPr>
            <w:tcW w:w="4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320"/>
          </w:cols>
          <w:pgMar w:left="240" w:top="408" w:right="1339" w:bottom="1440" w:gutter="0" w:footer="0" w:header="0"/>
        </w:sectPr>
      </w:pPr>
    </w:p>
    <w:bookmarkStart w:id="228" w:name="page229"/>
    <w:bookmarkEnd w:id="228"/>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133350</wp:posOffset>
            </wp:positionH>
            <wp:positionV relativeFrom="page">
              <wp:posOffset>88900</wp:posOffset>
            </wp:positionV>
            <wp:extent cx="7308850" cy="3429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7308850" cy="34290"/>
                    </a:xfrm>
                    <a:prstGeom prst="rect">
                      <a:avLst/>
                    </a:prstGeom>
                    <a:noFill/>
                  </pic:spPr>
                </pic:pic>
              </a:graphicData>
            </a:graphic>
          </wp:anchor>
        </w:drawing>
      </w:r>
      <w:hyperlink w:anchor="page7">
        <w:r>
          <w:rPr>
            <w:rFonts w:ascii="Arial" w:cs="Arial" w:eastAsia="Arial" w:hAnsi="Arial"/>
            <w:sz w:val="15"/>
            <w:szCs w:val="15"/>
            <w:b w:val="1"/>
            <w:bCs w:val="1"/>
            <w:u w:val="single" w:color="auto"/>
            <w:color w:val="0000EE"/>
          </w:rPr>
          <w:t>Table of Contents</w:t>
        </w:r>
      </w:hyperlink>
    </w:p>
    <w:p>
      <w:pPr>
        <w:spacing w:after="0" w:line="260" w:lineRule="exact"/>
        <w:rPr>
          <w:sz w:val="20"/>
          <w:szCs w:val="20"/>
          <w:color w:val="auto"/>
        </w:rPr>
      </w:pPr>
    </w:p>
    <w:p>
      <w:pPr>
        <w:ind w:left="1480"/>
        <w:spacing w:after="0"/>
        <w:rPr>
          <w:sz w:val="20"/>
          <w:szCs w:val="20"/>
          <w:color w:val="auto"/>
        </w:rPr>
      </w:pPr>
      <w:r>
        <w:rPr>
          <w:rFonts w:ascii="Arial" w:cs="Arial" w:eastAsia="Arial" w:hAnsi="Arial"/>
          <w:sz w:val="15"/>
          <w:szCs w:val="15"/>
          <w:color w:val="auto"/>
        </w:rPr>
        <w:t>Significant terms of the convertible preferred stock are as follows:</w:t>
      </w:r>
    </w:p>
    <w:p>
      <w:pPr>
        <w:spacing w:after="0" w:line="279" w:lineRule="exact"/>
        <w:rPr>
          <w:sz w:val="20"/>
          <w:szCs w:val="20"/>
          <w:color w:val="auto"/>
        </w:rPr>
      </w:pPr>
    </w:p>
    <w:p>
      <w:pPr>
        <w:ind w:left="1480"/>
        <w:spacing w:after="0"/>
        <w:rPr>
          <w:sz w:val="20"/>
          <w:szCs w:val="20"/>
          <w:color w:val="auto"/>
        </w:rPr>
      </w:pPr>
      <w:r>
        <w:rPr>
          <w:rFonts w:ascii="Arial" w:cs="Arial" w:eastAsia="Arial" w:hAnsi="Arial"/>
          <w:sz w:val="15"/>
          <w:szCs w:val="15"/>
          <w:i w:val="1"/>
          <w:iCs w:val="1"/>
          <w:color w:val="auto"/>
        </w:rPr>
        <w:t>Liquidation preference</w:t>
      </w:r>
    </w:p>
    <w:p>
      <w:pPr>
        <w:spacing w:after="0" w:line="98" w:lineRule="exact"/>
        <w:rPr>
          <w:sz w:val="20"/>
          <w:szCs w:val="20"/>
          <w:color w:val="auto"/>
        </w:rPr>
      </w:pPr>
    </w:p>
    <w:p>
      <w:pPr>
        <w:ind w:left="1120" w:right="100" w:firstLine="368"/>
        <w:spacing w:after="0" w:line="302" w:lineRule="auto"/>
        <w:rPr>
          <w:sz w:val="20"/>
          <w:szCs w:val="20"/>
          <w:color w:val="auto"/>
        </w:rPr>
      </w:pPr>
      <w:r>
        <w:rPr>
          <w:rFonts w:ascii="Arial" w:cs="Arial" w:eastAsia="Arial" w:hAnsi="Arial"/>
          <w:sz w:val="13"/>
          <w:szCs w:val="13"/>
          <w:color w:val="auto"/>
        </w:rPr>
        <w:t>Upon a liquidation event, as defined in the amended and restated certificate of incorporation, the holders of Series A, Series A-1, Series B, and Series C convertible preferred stock are entitled to receive, prior to and in preference to any distribution of the proceeds of such liquidation to common stockholders, an amount per share equal to $0.09, $0.03, $13.58 and $28.65, respectively, plus any declared but unpaid dividends on such shares. If the proceeds distributed among the holders of the preferred stock are insufficient to permit the Series A, Series A-1, Series B, and Series C convertible preferred stock holders to receive the full payment noted above, then the entire proceeds legally available for distribution shall be distributed ratably among the holders of the preferred stock in proportion to the full preferential amount that each such holder is otherwise entitled to receive.</w:t>
      </w:r>
    </w:p>
    <w:p>
      <w:pPr>
        <w:spacing w:after="0" w:line="225" w:lineRule="exact"/>
        <w:rPr>
          <w:sz w:val="20"/>
          <w:szCs w:val="20"/>
          <w:color w:val="auto"/>
        </w:rPr>
      </w:pPr>
    </w:p>
    <w:p>
      <w:pPr>
        <w:ind w:left="1480"/>
        <w:spacing w:after="0"/>
        <w:rPr>
          <w:sz w:val="20"/>
          <w:szCs w:val="20"/>
          <w:color w:val="auto"/>
        </w:rPr>
      </w:pPr>
      <w:r>
        <w:rPr>
          <w:rFonts w:ascii="Arial" w:cs="Arial" w:eastAsia="Arial" w:hAnsi="Arial"/>
          <w:sz w:val="15"/>
          <w:szCs w:val="15"/>
          <w:i w:val="1"/>
          <w:iCs w:val="1"/>
          <w:color w:val="auto"/>
        </w:rPr>
        <w:t>Dividends</w:t>
      </w:r>
    </w:p>
    <w:p>
      <w:pPr>
        <w:spacing w:after="0" w:line="98" w:lineRule="exact"/>
        <w:rPr>
          <w:sz w:val="20"/>
          <w:szCs w:val="20"/>
          <w:color w:val="auto"/>
        </w:rPr>
      </w:pPr>
    </w:p>
    <w:p>
      <w:pPr>
        <w:ind w:left="1120" w:right="100" w:firstLine="368"/>
        <w:spacing w:after="0" w:line="305" w:lineRule="auto"/>
        <w:rPr>
          <w:sz w:val="20"/>
          <w:szCs w:val="20"/>
          <w:color w:val="auto"/>
        </w:rPr>
      </w:pPr>
      <w:r>
        <w:rPr>
          <w:rFonts w:ascii="Arial" w:cs="Arial" w:eastAsia="Arial" w:hAnsi="Arial"/>
          <w:sz w:val="13"/>
          <w:szCs w:val="13"/>
          <w:color w:val="auto"/>
        </w:rPr>
        <w:t>Holders of the Company’s preferred stock are entitled to receive dividends, when, as and if declared by the Company’s Board of Directors, at the applicable dividend rate of $0.02, $0.02, $1.08, and $2.30 for each share of Series A, Series A-1, Series B, and Series C convertible preferred stock, respectively, prior to and in preference of any dividend paid to holders of the Company’s common stock (other than a stock dividend declared and paid on the Class A common stock that is payable in shares of Class A common stock or on the Class B common stock that is payable in shares of Class B common stock). Such dividends shall not be cumulative or mandatory. No dividends have been declared in any period presented.</w:t>
      </w:r>
    </w:p>
    <w:p>
      <w:pPr>
        <w:spacing w:after="0" w:line="223" w:lineRule="exact"/>
        <w:rPr>
          <w:sz w:val="20"/>
          <w:szCs w:val="20"/>
          <w:color w:val="auto"/>
        </w:rPr>
      </w:pPr>
    </w:p>
    <w:p>
      <w:pPr>
        <w:ind w:left="1480"/>
        <w:spacing w:after="0"/>
        <w:rPr>
          <w:sz w:val="20"/>
          <w:szCs w:val="20"/>
          <w:color w:val="auto"/>
        </w:rPr>
      </w:pPr>
      <w:r>
        <w:rPr>
          <w:rFonts w:ascii="Arial" w:cs="Arial" w:eastAsia="Arial" w:hAnsi="Arial"/>
          <w:sz w:val="15"/>
          <w:szCs w:val="15"/>
          <w:i w:val="1"/>
          <w:iCs w:val="1"/>
          <w:color w:val="auto"/>
        </w:rPr>
        <w:t>Voting</w:t>
      </w:r>
    </w:p>
    <w:p>
      <w:pPr>
        <w:spacing w:after="0" w:line="98" w:lineRule="exact"/>
        <w:rPr>
          <w:sz w:val="20"/>
          <w:szCs w:val="20"/>
          <w:color w:val="auto"/>
        </w:rPr>
      </w:pPr>
    </w:p>
    <w:p>
      <w:pPr>
        <w:ind w:left="1120" w:right="100" w:firstLine="368"/>
        <w:spacing w:after="0" w:line="311" w:lineRule="auto"/>
        <w:rPr>
          <w:sz w:val="20"/>
          <w:szCs w:val="20"/>
          <w:color w:val="auto"/>
        </w:rPr>
      </w:pPr>
      <w:r>
        <w:rPr>
          <w:rFonts w:ascii="Arial" w:cs="Arial" w:eastAsia="Arial" w:hAnsi="Arial"/>
          <w:sz w:val="13"/>
          <w:szCs w:val="13"/>
          <w:color w:val="auto"/>
        </w:rPr>
        <w:t>Each holder of preferred stock shall have the right to 10 votes for each share of Class B common stock into which the shares of preferred stock held by such holder could then be converted. In addition, so long as at least 30.0 million shares of preferred stock are outstanding, the holders of the preferred stock shall be entitled to elect one director of Dropbox. The holders of the shares of outstanding Class A common stock and Class B common stock representing at least a majority in voting power of the then-issued common stock shall be entitled to elect seven directors of Dropbox.</w:t>
      </w:r>
    </w:p>
    <w:p>
      <w:pPr>
        <w:spacing w:after="0" w:line="218" w:lineRule="exact"/>
        <w:rPr>
          <w:sz w:val="20"/>
          <w:szCs w:val="20"/>
          <w:color w:val="auto"/>
        </w:rPr>
      </w:pPr>
    </w:p>
    <w:p>
      <w:pPr>
        <w:ind w:left="1480"/>
        <w:spacing w:after="0"/>
        <w:rPr>
          <w:sz w:val="20"/>
          <w:szCs w:val="20"/>
          <w:color w:val="auto"/>
        </w:rPr>
      </w:pPr>
      <w:r>
        <w:rPr>
          <w:rFonts w:ascii="Arial" w:cs="Arial" w:eastAsia="Arial" w:hAnsi="Arial"/>
          <w:sz w:val="15"/>
          <w:szCs w:val="15"/>
          <w:i w:val="1"/>
          <w:iCs w:val="1"/>
          <w:color w:val="auto"/>
        </w:rPr>
        <w:t>Conversion</w:t>
      </w:r>
    </w:p>
    <w:p>
      <w:pPr>
        <w:spacing w:after="0" w:line="98" w:lineRule="exact"/>
        <w:rPr>
          <w:sz w:val="20"/>
          <w:szCs w:val="20"/>
          <w:color w:val="auto"/>
        </w:rPr>
      </w:pPr>
    </w:p>
    <w:p>
      <w:pPr>
        <w:ind w:left="1120" w:firstLine="368"/>
        <w:spacing w:after="0" w:line="295" w:lineRule="auto"/>
        <w:rPr>
          <w:sz w:val="20"/>
          <w:szCs w:val="20"/>
          <w:color w:val="auto"/>
        </w:rPr>
      </w:pPr>
      <w:r>
        <w:rPr>
          <w:rFonts w:ascii="Arial" w:cs="Arial" w:eastAsia="Arial" w:hAnsi="Arial"/>
          <w:sz w:val="13"/>
          <w:szCs w:val="13"/>
          <w:color w:val="auto"/>
        </w:rPr>
        <w:t xml:space="preserve">At the option of the holder thereof, each share of preferred stock is convertible into a number of shares of Class B common stock that results from dividing the applicable original issue price for such series by the applicable conversion price in effect on the date of conversion (the “Conversion Rate”). Each share of preferred stock will be automatically converted into shares of Class B common stock at the Conversion Rate at the time in effect for such series of preferred stock upon the earlier of (i) immediately prior to the closing of a firm commitment underwritten public offering of Dropbox’s common stock on an internationally recognized securities exchange or trading system pursuant to a registration statement under the Securities Act of 1933, as amended, with gross proceeds of not less than $35.0 million in the aggregate (a “Qualified IPO”), or (ii) the date specified by written consent or agreement of the holders of a majority of the outstanding preferred stock, voting together as a single class; </w:t>
      </w:r>
      <w:r>
        <w:rPr>
          <w:rFonts w:ascii="Arial" w:cs="Arial" w:eastAsia="Arial" w:hAnsi="Arial"/>
          <w:sz w:val="13"/>
          <w:szCs w:val="13"/>
          <w:i w:val="1"/>
          <w:iCs w:val="1"/>
          <w:color w:val="auto"/>
        </w:rPr>
        <w:t>provided</w:t>
      </w:r>
      <w:r>
        <w:rPr>
          <w:rFonts w:ascii="Arial" w:cs="Arial" w:eastAsia="Arial" w:hAnsi="Arial"/>
          <w:sz w:val="13"/>
          <w:szCs w:val="13"/>
          <w:color w:val="auto"/>
        </w:rPr>
        <w:t>, that other than pursuant to a Qualified IPO (x) so long as a majority of the shares of Series B convertible preferred stock originally issued remains outstanding, the consent of the holders of 70% of the shares of the Series B convertible preferred stock, voting together as a single class, is required to convert any shares of Series B convertible preferred stock into Class B common stock and (y) so long as a majority of the shares of Series C convertible preferred stock originally issued remains outstanding, the consent of the holders of a majority of the shares of the Series C convertible preferred stock, voting together as a single class, is required to convert any shares of Series C convertible preferred stock into Class B common stock.</w:t>
      </w:r>
    </w:p>
    <w:p>
      <w:pPr>
        <w:spacing w:after="0" w:line="84" w:lineRule="exact"/>
        <w:rPr>
          <w:sz w:val="20"/>
          <w:szCs w:val="20"/>
          <w:color w:val="auto"/>
        </w:rPr>
      </w:pPr>
    </w:p>
    <w:p>
      <w:pPr>
        <w:ind w:left="5580"/>
        <w:spacing w:after="0"/>
        <w:rPr>
          <w:sz w:val="20"/>
          <w:szCs w:val="20"/>
          <w:color w:val="auto"/>
        </w:rPr>
      </w:pPr>
      <w:r>
        <w:rPr>
          <w:rFonts w:ascii="Arial" w:cs="Arial" w:eastAsia="Arial" w:hAnsi="Arial"/>
          <w:sz w:val="15"/>
          <w:szCs w:val="15"/>
          <w:color w:val="auto"/>
        </w:rPr>
        <w:t>F-26</w:t>
      </w:r>
    </w:p>
    <w:p>
      <w:pPr>
        <w:sectPr>
          <w:pgSz w:w="11900" w:h="16838" w:orient="portrait"/>
          <w:cols w:equalWidth="0" w:num="1">
            <w:col w:w="10300"/>
          </w:cols>
          <w:pgMar w:left="240" w:top="408" w:right="1359" w:bottom="1440" w:gutter="0" w:footer="0" w:header="0"/>
        </w:sectPr>
      </w:pPr>
    </w:p>
    <w:bookmarkStart w:id="229" w:name="page230"/>
    <w:bookmarkEnd w:id="229"/>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133350</wp:posOffset>
            </wp:positionH>
            <wp:positionV relativeFrom="page">
              <wp:posOffset>88900</wp:posOffset>
            </wp:positionV>
            <wp:extent cx="7308850" cy="3429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7308850" cy="34290"/>
                    </a:xfrm>
                    <a:prstGeom prst="rect">
                      <a:avLst/>
                    </a:prstGeom>
                    <a:noFill/>
                  </pic:spPr>
                </pic:pic>
              </a:graphicData>
            </a:graphic>
          </wp:anchor>
        </w:drawing>
      </w:r>
      <w:hyperlink w:anchor="page7">
        <w:r>
          <w:rPr>
            <w:rFonts w:ascii="Arial" w:cs="Arial" w:eastAsia="Arial" w:hAnsi="Arial"/>
            <w:sz w:val="15"/>
            <w:szCs w:val="15"/>
            <w:b w:val="1"/>
            <w:bCs w:val="1"/>
            <w:u w:val="single" w:color="auto"/>
            <w:color w:val="0000EE"/>
          </w:rPr>
          <w:t>Table of Contents</w:t>
        </w:r>
      </w:hyperlink>
    </w:p>
    <w:p>
      <w:pPr>
        <w:spacing w:after="0" w:line="260" w:lineRule="exact"/>
        <w:rPr>
          <w:sz w:val="20"/>
          <w:szCs w:val="20"/>
          <w:color w:val="auto"/>
        </w:rPr>
      </w:pPr>
    </w:p>
    <w:p>
      <w:pPr>
        <w:ind w:left="1480"/>
        <w:spacing w:after="0"/>
        <w:rPr>
          <w:sz w:val="20"/>
          <w:szCs w:val="20"/>
          <w:color w:val="auto"/>
        </w:rPr>
      </w:pPr>
      <w:r>
        <w:rPr>
          <w:rFonts w:ascii="Arial" w:cs="Arial" w:eastAsia="Arial" w:hAnsi="Arial"/>
          <w:sz w:val="15"/>
          <w:szCs w:val="15"/>
          <w:b w:val="1"/>
          <w:bCs w:val="1"/>
          <w:i w:val="1"/>
          <w:iCs w:val="1"/>
          <w:color w:val="auto"/>
        </w:rPr>
        <w:t>Equity incentive plans</w:t>
      </w:r>
    </w:p>
    <w:p>
      <w:pPr>
        <w:spacing w:after="0" w:line="98" w:lineRule="exact"/>
        <w:rPr>
          <w:sz w:val="20"/>
          <w:szCs w:val="20"/>
          <w:color w:val="auto"/>
        </w:rPr>
      </w:pPr>
    </w:p>
    <w:p>
      <w:pPr>
        <w:ind w:left="1120" w:right="40" w:firstLine="368"/>
        <w:spacing w:after="0" w:line="274" w:lineRule="auto"/>
        <w:rPr>
          <w:sz w:val="20"/>
          <w:szCs w:val="20"/>
          <w:color w:val="auto"/>
        </w:rPr>
      </w:pPr>
      <w:r>
        <w:rPr>
          <w:rFonts w:ascii="Arial" w:cs="Arial" w:eastAsia="Arial" w:hAnsi="Arial"/>
          <w:sz w:val="14"/>
          <w:szCs w:val="14"/>
          <w:color w:val="auto"/>
        </w:rPr>
        <w:t>Under the Company’s 2017 Equity Incentive Plan (the “Plan”), the Company may grant stock-based awards to purchase or directly issue shares of common stock to employees, directors, and consultants. Options are granted at a price per share equal to the fair market value of Dropbox’s common stock at the date of grant. Options granted are exercisable over a maximum term of 10 years from the date of grant and generally vest over a period of four years. No options have been granted since August of 2015. RSUs and RSAs are also granted under the Plan. The Plan will terminate 10 years after the later of (i) its adoption or (ii) the most recent stockholder-approved increase in the number of shares reserved under the Plan, unless terminated earlier by the Dropbox Board of Directors. This Plan was adopted on March 8, 2017, and replaced the Company’s 2008 Equity Incentive Plan (the “Prior Plan”). In August 2017, the Company increased the number of shares of common stock reserved for grant under the 2017 Plan by 6,666,666 shares. As of December 31, 2017, there were 59.9 million shares issued and outstanding under the Plan and the Prior Plan. Shares available for issuance under the Plans were 9.0 million as of December 31, 2017.</w:t>
      </w:r>
    </w:p>
    <w:p>
      <w:pPr>
        <w:spacing w:after="0" w:line="150" w:lineRule="exact"/>
        <w:rPr>
          <w:sz w:val="20"/>
          <w:szCs w:val="20"/>
          <w:color w:val="auto"/>
        </w:rPr>
      </w:pPr>
    </w:p>
    <w:p>
      <w:pPr>
        <w:ind w:left="1480"/>
        <w:spacing w:after="0"/>
        <w:rPr>
          <w:sz w:val="20"/>
          <w:szCs w:val="20"/>
          <w:color w:val="auto"/>
        </w:rPr>
      </w:pPr>
      <w:r>
        <w:rPr>
          <w:rFonts w:ascii="Arial" w:cs="Arial" w:eastAsia="Arial" w:hAnsi="Arial"/>
          <w:sz w:val="15"/>
          <w:szCs w:val="15"/>
          <w:color w:val="auto"/>
        </w:rPr>
        <w:t>Stock option and restricted stock activity for the Plans was as follows for the years ended December 31, 2015, 2016, and 2017:</w:t>
      </w:r>
    </w:p>
    <w:p>
      <w:pPr>
        <w:spacing w:after="0" w:line="188" w:lineRule="exact"/>
        <w:rPr>
          <w:sz w:val="20"/>
          <w:szCs w:val="20"/>
          <w:color w:val="auto"/>
        </w:rPr>
      </w:pPr>
    </w:p>
    <w:tbl>
      <w:tblPr>
        <w:tblLayout w:type="fixed"/>
        <w:tblInd w:w="1120" w:type="dxa"/>
        <w:tblCellMar>
          <w:top w:w="0" w:type="dxa"/>
          <w:left w:w="0" w:type="dxa"/>
          <w:bottom w:w="0" w:type="dxa"/>
          <w:right w:w="0" w:type="dxa"/>
        </w:tblCellMar>
      </w:tblPr>
      <w:tr>
        <w:trPr>
          <w:trHeight w:val="138"/>
        </w:trPr>
        <w:tc>
          <w:tcPr>
            <w:tcW w:w="20" w:type="dxa"/>
            <w:vAlign w:val="bottom"/>
          </w:tcPr>
          <w:p>
            <w:pPr>
              <w:spacing w:after="0"/>
              <w:rPr>
                <w:sz w:val="12"/>
                <w:szCs w:val="12"/>
                <w:color w:val="auto"/>
              </w:rPr>
            </w:pPr>
          </w:p>
        </w:tc>
        <w:tc>
          <w:tcPr>
            <w:tcW w:w="40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80" w:type="dxa"/>
            <w:vAlign w:val="bottom"/>
            <w:gridSpan w:val="3"/>
            <w:vMerge w:val="restart"/>
          </w:tcPr>
          <w:p>
            <w:pPr>
              <w:jc w:val="right"/>
              <w:spacing w:after="0"/>
              <w:rPr>
                <w:sz w:val="20"/>
                <w:szCs w:val="20"/>
                <w:color w:val="auto"/>
              </w:rPr>
            </w:pPr>
            <w:r>
              <w:rPr>
                <w:rFonts w:ascii="Arial" w:cs="Arial" w:eastAsia="Arial" w:hAnsi="Arial"/>
                <w:sz w:val="12"/>
                <w:szCs w:val="12"/>
                <w:b w:val="1"/>
                <w:bCs w:val="1"/>
                <w:color w:val="auto"/>
                <w:w w:val="88"/>
              </w:rPr>
              <w:t>Options outstanding</w:t>
            </w:r>
          </w:p>
        </w:tc>
        <w:tc>
          <w:tcPr>
            <w:tcW w:w="5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40" w:type="dxa"/>
            <w:vAlign w:val="bottom"/>
            <w:gridSpan w:val="5"/>
          </w:tcPr>
          <w:p>
            <w:pPr>
              <w:jc w:val="center"/>
              <w:ind w:right="60"/>
              <w:spacing w:after="0"/>
              <w:rPr>
                <w:sz w:val="20"/>
                <w:szCs w:val="20"/>
                <w:color w:val="auto"/>
              </w:rPr>
            </w:pPr>
            <w:r>
              <w:rPr>
                <w:rFonts w:ascii="Arial" w:cs="Arial" w:eastAsia="Arial" w:hAnsi="Arial"/>
                <w:sz w:val="12"/>
                <w:szCs w:val="12"/>
                <w:b w:val="1"/>
                <w:bCs w:val="1"/>
                <w:color w:val="auto"/>
                <w:w w:val="87"/>
              </w:rPr>
              <w:t>Restricted stock</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0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80" w:type="dxa"/>
            <w:vAlign w:val="bottom"/>
            <w:gridSpan w:val="2"/>
            <w:vMerge w:val="restart"/>
          </w:tcPr>
          <w:p>
            <w:pPr>
              <w:jc w:val="center"/>
              <w:ind w:right="180"/>
              <w:spacing w:after="0"/>
              <w:rPr>
                <w:sz w:val="20"/>
                <w:szCs w:val="20"/>
                <w:color w:val="auto"/>
              </w:rPr>
            </w:pPr>
            <w:r>
              <w:rPr>
                <w:rFonts w:ascii="Arial" w:cs="Arial" w:eastAsia="Arial" w:hAnsi="Arial"/>
                <w:sz w:val="12"/>
                <w:szCs w:val="12"/>
                <w:color w:val="auto"/>
                <w:w w:val="92"/>
              </w:rPr>
              <w:t>Number of</w:t>
            </w:r>
          </w:p>
        </w:tc>
        <w:tc>
          <w:tcPr>
            <w:tcW w:w="140" w:type="dxa"/>
            <w:vAlign w:val="bottom"/>
          </w:tcPr>
          <w:p>
            <w:pPr>
              <w:spacing w:after="0"/>
              <w:rPr>
                <w:sz w:val="12"/>
                <w:szCs w:val="12"/>
                <w:color w:val="auto"/>
              </w:rPr>
            </w:pPr>
          </w:p>
        </w:tc>
        <w:tc>
          <w:tcPr>
            <w:tcW w:w="56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gridSpan w:val="3"/>
            <w:vMerge w:val="continue"/>
          </w:tcPr>
          <w:p>
            <w:pPr>
              <w:spacing w:after="0"/>
              <w:rPr>
                <w:sz w:val="12"/>
                <w:szCs w:val="12"/>
                <w:color w:val="auto"/>
              </w:rPr>
            </w:pPr>
          </w:p>
        </w:tc>
        <w:tc>
          <w:tcPr>
            <w:tcW w:w="560" w:type="dxa"/>
            <w:vAlign w:val="bottom"/>
            <w:tcBorders>
              <w:bottom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20" w:type="dxa"/>
            <w:vAlign w:val="bottom"/>
            <w:tcBorders>
              <w:bottom w:val="single" w:sz="8" w:color="auto"/>
            </w:tcBorders>
            <w:gridSpan w:val="3"/>
          </w:tcPr>
          <w:p>
            <w:pPr>
              <w:jc w:val="center"/>
              <w:ind w:left="310"/>
              <w:spacing w:after="0"/>
              <w:rPr>
                <w:sz w:val="20"/>
                <w:szCs w:val="20"/>
                <w:color w:val="auto"/>
              </w:rPr>
            </w:pPr>
            <w:r>
              <w:rPr>
                <w:rFonts w:ascii="Arial" w:cs="Arial" w:eastAsia="Arial" w:hAnsi="Arial"/>
                <w:sz w:val="12"/>
                <w:szCs w:val="12"/>
                <w:b w:val="1"/>
                <w:bCs w:val="1"/>
                <w:color w:val="auto"/>
                <w:w w:val="87"/>
              </w:rPr>
              <w:t>outstanding</w:t>
            </w:r>
          </w:p>
        </w:tc>
        <w:tc>
          <w:tcPr>
            <w:tcW w:w="380" w:type="dxa"/>
            <w:vAlign w:val="bottom"/>
            <w:tcBorders>
              <w:bottom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4080" w:type="dxa"/>
            <w:vAlign w:val="bottom"/>
          </w:tcPr>
          <w:p>
            <w:pPr>
              <w:spacing w:after="0"/>
              <w:rPr>
                <w:sz w:val="8"/>
                <w:szCs w:val="8"/>
                <w:color w:val="auto"/>
              </w:rPr>
            </w:pPr>
          </w:p>
        </w:tc>
        <w:tc>
          <w:tcPr>
            <w:tcW w:w="280" w:type="dxa"/>
            <w:vAlign w:val="bottom"/>
          </w:tcPr>
          <w:p>
            <w:pPr>
              <w:spacing w:after="0"/>
              <w:rPr>
                <w:sz w:val="8"/>
                <w:szCs w:val="8"/>
                <w:color w:val="auto"/>
              </w:rPr>
            </w:pPr>
          </w:p>
        </w:tc>
        <w:tc>
          <w:tcPr>
            <w:tcW w:w="780" w:type="dxa"/>
            <w:vAlign w:val="bottom"/>
            <w:gridSpan w:val="2"/>
            <w:vMerge w:val="continue"/>
          </w:tcPr>
          <w:p>
            <w:pPr>
              <w:spacing w:after="0"/>
              <w:rPr>
                <w:sz w:val="8"/>
                <w:szCs w:val="8"/>
                <w:color w:val="auto"/>
              </w:rPr>
            </w:pPr>
          </w:p>
        </w:tc>
        <w:tc>
          <w:tcPr>
            <w:tcW w:w="140" w:type="dxa"/>
            <w:vAlign w:val="bottom"/>
          </w:tcPr>
          <w:p>
            <w:pPr>
              <w:spacing w:after="0"/>
              <w:rPr>
                <w:sz w:val="8"/>
                <w:szCs w:val="8"/>
                <w:color w:val="auto"/>
              </w:rPr>
            </w:pPr>
          </w:p>
        </w:tc>
        <w:tc>
          <w:tcPr>
            <w:tcW w:w="560" w:type="dxa"/>
            <w:vAlign w:val="bottom"/>
          </w:tcPr>
          <w:p>
            <w:pPr>
              <w:spacing w:after="0"/>
              <w:rPr>
                <w:sz w:val="8"/>
                <w:szCs w:val="8"/>
                <w:color w:val="auto"/>
              </w:rPr>
            </w:pPr>
          </w:p>
        </w:tc>
        <w:tc>
          <w:tcPr>
            <w:tcW w:w="180" w:type="dxa"/>
            <w:vAlign w:val="bottom"/>
          </w:tcPr>
          <w:p>
            <w:pPr>
              <w:spacing w:after="0"/>
              <w:rPr>
                <w:sz w:val="8"/>
                <w:szCs w:val="8"/>
                <w:color w:val="auto"/>
              </w:rPr>
            </w:pPr>
          </w:p>
        </w:tc>
        <w:tc>
          <w:tcPr>
            <w:tcW w:w="240" w:type="dxa"/>
            <w:vAlign w:val="bottom"/>
          </w:tcPr>
          <w:p>
            <w:pPr>
              <w:spacing w:after="0"/>
              <w:rPr>
                <w:sz w:val="8"/>
                <w:szCs w:val="8"/>
                <w:color w:val="auto"/>
              </w:rPr>
            </w:pPr>
          </w:p>
        </w:tc>
        <w:tc>
          <w:tcPr>
            <w:tcW w:w="660" w:type="dxa"/>
            <w:vAlign w:val="bottom"/>
          </w:tcPr>
          <w:p>
            <w:pPr>
              <w:spacing w:after="0"/>
              <w:rPr>
                <w:sz w:val="8"/>
                <w:szCs w:val="8"/>
                <w:color w:val="auto"/>
              </w:rPr>
            </w:pPr>
          </w:p>
        </w:tc>
        <w:tc>
          <w:tcPr>
            <w:tcW w:w="560" w:type="dxa"/>
            <w:vAlign w:val="bottom"/>
          </w:tcPr>
          <w:p>
            <w:pPr>
              <w:jc w:val="center"/>
              <w:spacing w:after="0" w:line="100" w:lineRule="exact"/>
              <w:rPr>
                <w:sz w:val="20"/>
                <w:szCs w:val="20"/>
                <w:color w:val="auto"/>
              </w:rPr>
            </w:pPr>
            <w:r>
              <w:rPr>
                <w:rFonts w:ascii="Arial" w:cs="Arial" w:eastAsia="Arial" w:hAnsi="Arial"/>
                <w:sz w:val="11"/>
                <w:szCs w:val="11"/>
                <w:color w:val="auto"/>
                <w:w w:val="99"/>
              </w:rPr>
              <w:t>Weighted-</w:t>
            </w:r>
          </w:p>
        </w:tc>
        <w:tc>
          <w:tcPr>
            <w:tcW w:w="240" w:type="dxa"/>
            <w:vAlign w:val="bottom"/>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Pr>
          <w:p>
            <w:pPr>
              <w:spacing w:after="0"/>
              <w:rPr>
                <w:sz w:val="8"/>
                <w:szCs w:val="8"/>
                <w:color w:val="auto"/>
              </w:rPr>
            </w:pPr>
          </w:p>
        </w:tc>
        <w:tc>
          <w:tcPr>
            <w:tcW w:w="180" w:type="dxa"/>
            <w:vAlign w:val="bottom"/>
          </w:tcPr>
          <w:p>
            <w:pPr>
              <w:spacing w:after="0"/>
              <w:rPr>
                <w:sz w:val="8"/>
                <w:szCs w:val="8"/>
                <w:color w:val="auto"/>
              </w:rPr>
            </w:pPr>
          </w:p>
        </w:tc>
        <w:tc>
          <w:tcPr>
            <w:tcW w:w="260" w:type="dxa"/>
            <w:vAlign w:val="bottom"/>
          </w:tcPr>
          <w:p>
            <w:pPr>
              <w:spacing w:after="0"/>
              <w:rPr>
                <w:sz w:val="8"/>
                <w:szCs w:val="8"/>
                <w:color w:val="auto"/>
              </w:rPr>
            </w:pPr>
          </w:p>
        </w:tc>
        <w:tc>
          <w:tcPr>
            <w:tcW w:w="38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40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780" w:type="dxa"/>
            <w:vAlign w:val="bottom"/>
            <w:gridSpan w:val="2"/>
          </w:tcPr>
          <w:p>
            <w:pPr>
              <w:jc w:val="center"/>
              <w:ind w:right="200"/>
              <w:spacing w:after="0" w:line="124" w:lineRule="exact"/>
              <w:rPr>
                <w:sz w:val="20"/>
                <w:szCs w:val="20"/>
                <w:color w:val="auto"/>
              </w:rPr>
            </w:pPr>
            <w:r>
              <w:rPr>
                <w:rFonts w:ascii="Arial" w:cs="Arial" w:eastAsia="Arial" w:hAnsi="Arial"/>
                <w:sz w:val="12"/>
                <w:szCs w:val="12"/>
                <w:color w:val="auto"/>
                <w:w w:val="83"/>
              </w:rPr>
              <w:t>shares</w:t>
            </w:r>
          </w:p>
        </w:tc>
        <w:tc>
          <w:tcPr>
            <w:tcW w:w="140" w:type="dxa"/>
            <w:vAlign w:val="bottom"/>
          </w:tcPr>
          <w:p>
            <w:pPr>
              <w:spacing w:after="0"/>
              <w:rPr>
                <w:sz w:val="10"/>
                <w:szCs w:val="10"/>
                <w:color w:val="auto"/>
              </w:rPr>
            </w:pPr>
          </w:p>
        </w:tc>
        <w:tc>
          <w:tcPr>
            <w:tcW w:w="740" w:type="dxa"/>
            <w:vAlign w:val="bottom"/>
            <w:gridSpan w:val="2"/>
          </w:tcPr>
          <w:p>
            <w:pPr>
              <w:jc w:val="center"/>
              <w:ind w:right="120"/>
              <w:spacing w:after="0" w:line="124" w:lineRule="exact"/>
              <w:rPr>
                <w:sz w:val="20"/>
                <w:szCs w:val="20"/>
                <w:color w:val="auto"/>
              </w:rPr>
            </w:pPr>
            <w:r>
              <w:rPr>
                <w:rFonts w:ascii="Arial" w:cs="Arial" w:eastAsia="Arial" w:hAnsi="Arial"/>
                <w:sz w:val="12"/>
                <w:szCs w:val="12"/>
                <w:color w:val="auto"/>
                <w:w w:val="92"/>
              </w:rPr>
              <w:t>Number of</w:t>
            </w:r>
          </w:p>
        </w:tc>
        <w:tc>
          <w:tcPr>
            <w:tcW w:w="900" w:type="dxa"/>
            <w:vAlign w:val="bottom"/>
            <w:gridSpan w:val="2"/>
          </w:tcPr>
          <w:p>
            <w:pPr>
              <w:ind w:left="140"/>
              <w:spacing w:after="0" w:line="124" w:lineRule="exact"/>
              <w:rPr>
                <w:sz w:val="20"/>
                <w:szCs w:val="20"/>
                <w:color w:val="auto"/>
              </w:rPr>
            </w:pPr>
            <w:r>
              <w:rPr>
                <w:rFonts w:ascii="Arial" w:cs="Arial" w:eastAsia="Arial" w:hAnsi="Arial"/>
                <w:sz w:val="12"/>
                <w:szCs w:val="12"/>
                <w:color w:val="auto"/>
              </w:rPr>
              <w:t>Weighted-</w:t>
            </w:r>
          </w:p>
        </w:tc>
        <w:tc>
          <w:tcPr>
            <w:tcW w:w="800" w:type="dxa"/>
            <w:vAlign w:val="bottom"/>
            <w:gridSpan w:val="2"/>
          </w:tcPr>
          <w:p>
            <w:pPr>
              <w:jc w:val="center"/>
              <w:ind w:right="240"/>
              <w:spacing w:after="0" w:line="124" w:lineRule="exact"/>
              <w:rPr>
                <w:sz w:val="20"/>
                <w:szCs w:val="20"/>
                <w:color w:val="auto"/>
              </w:rPr>
            </w:pPr>
            <w:r>
              <w:rPr>
                <w:rFonts w:ascii="Arial" w:cs="Arial" w:eastAsia="Arial" w:hAnsi="Arial"/>
                <w:sz w:val="12"/>
                <w:szCs w:val="12"/>
                <w:color w:val="auto"/>
                <w:w w:val="82"/>
              </w:rPr>
              <w:t>average</w:t>
            </w:r>
          </w:p>
        </w:tc>
        <w:tc>
          <w:tcPr>
            <w:tcW w:w="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80" w:type="dxa"/>
            <w:vAlign w:val="bottom"/>
            <w:gridSpan w:val="3"/>
          </w:tcPr>
          <w:p>
            <w:pPr>
              <w:ind w:left="120"/>
              <w:spacing w:after="0" w:line="124" w:lineRule="exact"/>
              <w:rPr>
                <w:sz w:val="20"/>
                <w:szCs w:val="20"/>
                <w:color w:val="auto"/>
              </w:rPr>
            </w:pPr>
            <w:r>
              <w:rPr>
                <w:rFonts w:ascii="Arial" w:cs="Arial" w:eastAsia="Arial" w:hAnsi="Arial"/>
                <w:sz w:val="12"/>
                <w:szCs w:val="12"/>
                <w:color w:val="auto"/>
                <w:w w:val="98"/>
              </w:rPr>
              <w:t>Weighted-</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4080" w:type="dxa"/>
            <w:vAlign w:val="bottom"/>
          </w:tcPr>
          <w:p>
            <w:pPr>
              <w:spacing w:after="0"/>
              <w:rPr>
                <w:sz w:val="10"/>
                <w:szCs w:val="10"/>
                <w:color w:val="auto"/>
              </w:rPr>
            </w:pPr>
          </w:p>
        </w:tc>
        <w:tc>
          <w:tcPr>
            <w:tcW w:w="1060" w:type="dxa"/>
            <w:vAlign w:val="bottom"/>
            <w:gridSpan w:val="3"/>
          </w:tcPr>
          <w:p>
            <w:pPr>
              <w:jc w:val="center"/>
              <w:ind w:left="26"/>
              <w:spacing w:after="0" w:line="124" w:lineRule="exact"/>
              <w:rPr>
                <w:sz w:val="20"/>
                <w:szCs w:val="20"/>
                <w:color w:val="auto"/>
              </w:rPr>
            </w:pPr>
            <w:r>
              <w:rPr>
                <w:rFonts w:ascii="Arial" w:cs="Arial" w:eastAsia="Arial" w:hAnsi="Arial"/>
                <w:sz w:val="12"/>
                <w:szCs w:val="12"/>
                <w:color w:val="auto"/>
                <w:w w:val="92"/>
              </w:rPr>
              <w:t>available for</w:t>
            </w:r>
          </w:p>
        </w:tc>
        <w:tc>
          <w:tcPr>
            <w:tcW w:w="140" w:type="dxa"/>
            <w:vAlign w:val="bottom"/>
          </w:tcPr>
          <w:p>
            <w:pPr>
              <w:spacing w:after="0"/>
              <w:rPr>
                <w:sz w:val="10"/>
                <w:szCs w:val="10"/>
                <w:color w:val="auto"/>
              </w:rPr>
            </w:pPr>
          </w:p>
        </w:tc>
        <w:tc>
          <w:tcPr>
            <w:tcW w:w="740" w:type="dxa"/>
            <w:vAlign w:val="bottom"/>
            <w:gridSpan w:val="2"/>
          </w:tcPr>
          <w:p>
            <w:pPr>
              <w:jc w:val="center"/>
              <w:ind w:right="140"/>
              <w:spacing w:after="0" w:line="124" w:lineRule="exact"/>
              <w:rPr>
                <w:sz w:val="20"/>
                <w:szCs w:val="20"/>
                <w:color w:val="auto"/>
              </w:rPr>
            </w:pPr>
            <w:r>
              <w:rPr>
                <w:rFonts w:ascii="Arial" w:cs="Arial" w:eastAsia="Arial" w:hAnsi="Arial"/>
                <w:sz w:val="12"/>
                <w:szCs w:val="12"/>
                <w:color w:val="auto"/>
                <w:w w:val="83"/>
              </w:rPr>
              <w:t>shares</w:t>
            </w:r>
          </w:p>
        </w:tc>
        <w:tc>
          <w:tcPr>
            <w:tcW w:w="900" w:type="dxa"/>
            <w:vAlign w:val="bottom"/>
            <w:gridSpan w:val="2"/>
          </w:tcPr>
          <w:p>
            <w:pPr>
              <w:jc w:val="center"/>
              <w:ind w:right="46"/>
              <w:spacing w:after="0" w:line="124" w:lineRule="exact"/>
              <w:rPr>
                <w:sz w:val="20"/>
                <w:szCs w:val="20"/>
                <w:color w:val="auto"/>
              </w:rPr>
            </w:pPr>
            <w:r>
              <w:rPr>
                <w:rFonts w:ascii="Arial" w:cs="Arial" w:eastAsia="Arial" w:hAnsi="Arial"/>
                <w:sz w:val="12"/>
                <w:szCs w:val="12"/>
                <w:color w:val="auto"/>
                <w:w w:val="87"/>
              </w:rPr>
              <w:t>average</w:t>
            </w:r>
          </w:p>
        </w:tc>
        <w:tc>
          <w:tcPr>
            <w:tcW w:w="800" w:type="dxa"/>
            <w:vAlign w:val="bottom"/>
            <w:gridSpan w:val="2"/>
          </w:tcPr>
          <w:p>
            <w:pPr>
              <w:jc w:val="center"/>
              <w:ind w:right="240"/>
              <w:spacing w:after="0" w:line="124" w:lineRule="exact"/>
              <w:rPr>
                <w:sz w:val="20"/>
                <w:szCs w:val="20"/>
                <w:color w:val="auto"/>
              </w:rPr>
            </w:pPr>
            <w:r>
              <w:rPr>
                <w:rFonts w:ascii="Arial" w:cs="Arial" w:eastAsia="Arial" w:hAnsi="Arial"/>
                <w:sz w:val="12"/>
                <w:szCs w:val="12"/>
                <w:color w:val="auto"/>
                <w:w w:val="91"/>
              </w:rPr>
              <w:t>remaining</w:t>
            </w:r>
          </w:p>
        </w:tc>
        <w:tc>
          <w:tcPr>
            <w:tcW w:w="20" w:type="dxa"/>
            <w:vAlign w:val="bottom"/>
          </w:tcPr>
          <w:p>
            <w:pPr>
              <w:spacing w:after="0"/>
              <w:rPr>
                <w:sz w:val="10"/>
                <w:szCs w:val="10"/>
                <w:color w:val="auto"/>
              </w:rPr>
            </w:pPr>
          </w:p>
        </w:tc>
        <w:tc>
          <w:tcPr>
            <w:tcW w:w="760" w:type="dxa"/>
            <w:vAlign w:val="bottom"/>
            <w:gridSpan w:val="2"/>
          </w:tcPr>
          <w:p>
            <w:pPr>
              <w:jc w:val="center"/>
              <w:ind w:right="200"/>
              <w:spacing w:after="0" w:line="124" w:lineRule="exact"/>
              <w:rPr>
                <w:sz w:val="20"/>
                <w:szCs w:val="20"/>
                <w:color w:val="auto"/>
              </w:rPr>
            </w:pPr>
            <w:r>
              <w:rPr>
                <w:rFonts w:ascii="Arial" w:cs="Arial" w:eastAsia="Arial" w:hAnsi="Arial"/>
                <w:sz w:val="12"/>
                <w:szCs w:val="12"/>
                <w:color w:val="auto"/>
                <w:w w:val="92"/>
              </w:rPr>
              <w:t>Number of</w:t>
            </w:r>
          </w:p>
        </w:tc>
        <w:tc>
          <w:tcPr>
            <w:tcW w:w="680" w:type="dxa"/>
            <w:vAlign w:val="bottom"/>
            <w:gridSpan w:val="3"/>
          </w:tcPr>
          <w:p>
            <w:pPr>
              <w:jc w:val="center"/>
              <w:spacing w:after="0" w:line="124" w:lineRule="exact"/>
              <w:rPr>
                <w:sz w:val="20"/>
                <w:szCs w:val="20"/>
                <w:color w:val="auto"/>
              </w:rPr>
            </w:pPr>
            <w:r>
              <w:rPr>
                <w:rFonts w:ascii="Arial" w:cs="Arial" w:eastAsia="Arial" w:hAnsi="Arial"/>
                <w:sz w:val="12"/>
                <w:szCs w:val="12"/>
                <w:color w:val="auto"/>
                <w:w w:val="87"/>
              </w:rPr>
              <w:t>average</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40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780" w:type="dxa"/>
            <w:vAlign w:val="bottom"/>
            <w:gridSpan w:val="2"/>
          </w:tcPr>
          <w:p>
            <w:pPr>
              <w:jc w:val="center"/>
              <w:ind w:right="200"/>
              <w:spacing w:after="0" w:line="124" w:lineRule="exact"/>
              <w:rPr>
                <w:sz w:val="20"/>
                <w:szCs w:val="20"/>
                <w:color w:val="auto"/>
              </w:rPr>
            </w:pPr>
            <w:r>
              <w:rPr>
                <w:rFonts w:ascii="Arial" w:cs="Arial" w:eastAsia="Arial" w:hAnsi="Arial"/>
                <w:sz w:val="12"/>
                <w:szCs w:val="12"/>
                <w:color w:val="auto"/>
                <w:w w:val="88"/>
              </w:rPr>
              <w:t>issuance</w:t>
            </w:r>
          </w:p>
        </w:tc>
        <w:tc>
          <w:tcPr>
            <w:tcW w:w="880" w:type="dxa"/>
            <w:vAlign w:val="bottom"/>
            <w:gridSpan w:val="3"/>
          </w:tcPr>
          <w:p>
            <w:pPr>
              <w:jc w:val="center"/>
              <w:spacing w:after="0" w:line="124" w:lineRule="exact"/>
              <w:rPr>
                <w:sz w:val="20"/>
                <w:szCs w:val="20"/>
                <w:color w:val="auto"/>
              </w:rPr>
            </w:pPr>
            <w:r>
              <w:rPr>
                <w:rFonts w:ascii="Arial" w:cs="Arial" w:eastAsia="Arial" w:hAnsi="Arial"/>
                <w:sz w:val="12"/>
                <w:szCs w:val="12"/>
                <w:color w:val="auto"/>
                <w:w w:val="90"/>
              </w:rPr>
              <w:t>outstanding</w:t>
            </w:r>
          </w:p>
        </w:tc>
        <w:tc>
          <w:tcPr>
            <w:tcW w:w="900" w:type="dxa"/>
            <w:vAlign w:val="bottom"/>
            <w:gridSpan w:val="2"/>
          </w:tcPr>
          <w:p>
            <w:pPr>
              <w:jc w:val="center"/>
              <w:ind w:right="66"/>
              <w:spacing w:after="0" w:line="124" w:lineRule="exact"/>
              <w:rPr>
                <w:sz w:val="20"/>
                <w:szCs w:val="20"/>
                <w:color w:val="auto"/>
              </w:rPr>
            </w:pPr>
            <w:r>
              <w:rPr>
                <w:rFonts w:ascii="Arial" w:cs="Arial" w:eastAsia="Arial" w:hAnsi="Arial"/>
                <w:sz w:val="12"/>
                <w:szCs w:val="12"/>
                <w:color w:val="auto"/>
                <w:w w:val="89"/>
              </w:rPr>
              <w:t>exercise</w:t>
            </w:r>
          </w:p>
        </w:tc>
        <w:tc>
          <w:tcPr>
            <w:tcW w:w="800" w:type="dxa"/>
            <w:vAlign w:val="bottom"/>
            <w:gridSpan w:val="2"/>
          </w:tcPr>
          <w:p>
            <w:pPr>
              <w:jc w:val="right"/>
              <w:ind w:right="260"/>
              <w:spacing w:after="0" w:line="124" w:lineRule="exact"/>
              <w:rPr>
                <w:sz w:val="20"/>
                <w:szCs w:val="20"/>
                <w:color w:val="auto"/>
              </w:rPr>
            </w:pPr>
            <w:r>
              <w:rPr>
                <w:rFonts w:ascii="Arial" w:cs="Arial" w:eastAsia="Arial" w:hAnsi="Arial"/>
                <w:sz w:val="12"/>
                <w:szCs w:val="12"/>
                <w:color w:val="auto"/>
                <w:w w:val="88"/>
              </w:rPr>
              <w:t>contractual</w:t>
            </w:r>
          </w:p>
        </w:tc>
        <w:tc>
          <w:tcPr>
            <w:tcW w:w="20" w:type="dxa"/>
            <w:vAlign w:val="bottom"/>
          </w:tcPr>
          <w:p>
            <w:pPr>
              <w:spacing w:after="0"/>
              <w:rPr>
                <w:sz w:val="10"/>
                <w:szCs w:val="10"/>
                <w:color w:val="auto"/>
              </w:rPr>
            </w:pPr>
          </w:p>
        </w:tc>
        <w:tc>
          <w:tcPr>
            <w:tcW w:w="760" w:type="dxa"/>
            <w:vAlign w:val="bottom"/>
            <w:gridSpan w:val="2"/>
          </w:tcPr>
          <w:p>
            <w:pPr>
              <w:jc w:val="center"/>
              <w:ind w:right="220"/>
              <w:spacing w:after="0" w:line="124" w:lineRule="exact"/>
              <w:rPr>
                <w:sz w:val="20"/>
                <w:szCs w:val="20"/>
                <w:color w:val="auto"/>
              </w:rPr>
            </w:pPr>
            <w:r>
              <w:rPr>
                <w:rFonts w:ascii="Arial" w:cs="Arial" w:eastAsia="Arial" w:hAnsi="Arial"/>
                <w:sz w:val="12"/>
                <w:szCs w:val="12"/>
                <w:color w:val="auto"/>
                <w:w w:val="91"/>
              </w:rPr>
              <w:t>Plan</w:t>
            </w:r>
          </w:p>
        </w:tc>
        <w:tc>
          <w:tcPr>
            <w:tcW w:w="680" w:type="dxa"/>
            <w:vAlign w:val="bottom"/>
            <w:gridSpan w:val="3"/>
          </w:tcPr>
          <w:p>
            <w:pPr>
              <w:ind w:left="140"/>
              <w:spacing w:after="0" w:line="124" w:lineRule="exact"/>
              <w:rPr>
                <w:sz w:val="20"/>
                <w:szCs w:val="20"/>
                <w:color w:val="auto"/>
              </w:rPr>
            </w:pPr>
            <w:r>
              <w:rPr>
                <w:rFonts w:ascii="Arial" w:cs="Arial" w:eastAsia="Arial" w:hAnsi="Arial"/>
                <w:sz w:val="12"/>
                <w:szCs w:val="12"/>
                <w:color w:val="auto"/>
                <w:w w:val="96"/>
              </w:rPr>
              <w:t>grant date</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40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780" w:type="dxa"/>
            <w:vAlign w:val="bottom"/>
            <w:gridSpan w:val="2"/>
          </w:tcPr>
          <w:p>
            <w:pPr>
              <w:jc w:val="center"/>
              <w:ind w:right="200"/>
              <w:spacing w:after="0" w:line="124" w:lineRule="exact"/>
              <w:rPr>
                <w:sz w:val="20"/>
                <w:szCs w:val="20"/>
                <w:color w:val="auto"/>
              </w:rPr>
            </w:pPr>
            <w:r>
              <w:rPr>
                <w:rFonts w:ascii="Arial" w:cs="Arial" w:eastAsia="Arial" w:hAnsi="Arial"/>
                <w:sz w:val="12"/>
                <w:szCs w:val="12"/>
                <w:color w:val="auto"/>
                <w:w w:val="90"/>
              </w:rPr>
              <w:t>under the</w:t>
            </w:r>
          </w:p>
        </w:tc>
        <w:tc>
          <w:tcPr>
            <w:tcW w:w="140" w:type="dxa"/>
            <w:vAlign w:val="bottom"/>
          </w:tcPr>
          <w:p>
            <w:pPr>
              <w:spacing w:after="0"/>
              <w:rPr>
                <w:sz w:val="10"/>
                <w:szCs w:val="10"/>
                <w:color w:val="auto"/>
              </w:rPr>
            </w:pPr>
          </w:p>
        </w:tc>
        <w:tc>
          <w:tcPr>
            <w:tcW w:w="740" w:type="dxa"/>
            <w:vAlign w:val="bottom"/>
            <w:gridSpan w:val="2"/>
          </w:tcPr>
          <w:p>
            <w:pPr>
              <w:jc w:val="center"/>
              <w:ind w:right="120"/>
              <w:spacing w:after="0" w:line="124" w:lineRule="exact"/>
              <w:rPr>
                <w:sz w:val="20"/>
                <w:szCs w:val="20"/>
                <w:color w:val="auto"/>
              </w:rPr>
            </w:pPr>
            <w:r>
              <w:rPr>
                <w:rFonts w:ascii="Arial" w:cs="Arial" w:eastAsia="Arial" w:hAnsi="Arial"/>
                <w:sz w:val="12"/>
                <w:szCs w:val="12"/>
                <w:color w:val="auto"/>
                <w:w w:val="86"/>
              </w:rPr>
              <w:t>under the</w:t>
            </w:r>
          </w:p>
        </w:tc>
        <w:tc>
          <w:tcPr>
            <w:tcW w:w="240" w:type="dxa"/>
            <w:vAlign w:val="bottom"/>
          </w:tcPr>
          <w:p>
            <w:pPr>
              <w:spacing w:after="0"/>
              <w:rPr>
                <w:sz w:val="10"/>
                <w:szCs w:val="10"/>
                <w:color w:val="auto"/>
              </w:rPr>
            </w:pPr>
          </w:p>
        </w:tc>
        <w:tc>
          <w:tcPr>
            <w:tcW w:w="660" w:type="dxa"/>
            <w:vAlign w:val="bottom"/>
          </w:tcPr>
          <w:p>
            <w:pPr>
              <w:jc w:val="center"/>
              <w:ind w:right="306"/>
              <w:spacing w:after="0" w:line="124" w:lineRule="exact"/>
              <w:rPr>
                <w:sz w:val="20"/>
                <w:szCs w:val="20"/>
                <w:color w:val="auto"/>
              </w:rPr>
            </w:pPr>
            <w:r>
              <w:rPr>
                <w:rFonts w:ascii="Arial" w:cs="Arial" w:eastAsia="Arial" w:hAnsi="Arial"/>
                <w:sz w:val="12"/>
                <w:szCs w:val="12"/>
                <w:color w:val="auto"/>
                <w:w w:val="92"/>
              </w:rPr>
              <w:t>price</w:t>
            </w:r>
          </w:p>
        </w:tc>
        <w:tc>
          <w:tcPr>
            <w:tcW w:w="800" w:type="dxa"/>
            <w:vAlign w:val="bottom"/>
            <w:gridSpan w:val="2"/>
          </w:tcPr>
          <w:p>
            <w:pPr>
              <w:jc w:val="center"/>
              <w:ind w:right="220"/>
              <w:spacing w:after="0" w:line="124" w:lineRule="exact"/>
              <w:rPr>
                <w:sz w:val="20"/>
                <w:szCs w:val="20"/>
                <w:color w:val="auto"/>
              </w:rPr>
            </w:pPr>
            <w:r>
              <w:rPr>
                <w:rFonts w:ascii="Arial" w:cs="Arial" w:eastAsia="Arial" w:hAnsi="Arial"/>
                <w:sz w:val="12"/>
                <w:szCs w:val="12"/>
                <w:color w:val="auto"/>
                <w:w w:val="91"/>
              </w:rPr>
              <w:t>term</w:t>
            </w:r>
          </w:p>
        </w:tc>
        <w:tc>
          <w:tcPr>
            <w:tcW w:w="20" w:type="dxa"/>
            <w:vAlign w:val="bottom"/>
          </w:tcPr>
          <w:p>
            <w:pPr>
              <w:spacing w:after="0"/>
              <w:rPr>
                <w:sz w:val="10"/>
                <w:szCs w:val="10"/>
                <w:color w:val="auto"/>
              </w:rPr>
            </w:pPr>
          </w:p>
        </w:tc>
        <w:tc>
          <w:tcPr>
            <w:tcW w:w="760" w:type="dxa"/>
            <w:vAlign w:val="bottom"/>
            <w:gridSpan w:val="2"/>
          </w:tcPr>
          <w:p>
            <w:pPr>
              <w:jc w:val="center"/>
              <w:ind w:right="180"/>
              <w:spacing w:after="0" w:line="124" w:lineRule="exact"/>
              <w:rPr>
                <w:sz w:val="20"/>
                <w:szCs w:val="20"/>
                <w:color w:val="auto"/>
              </w:rPr>
            </w:pPr>
            <w:r>
              <w:rPr>
                <w:rFonts w:ascii="Arial" w:cs="Arial" w:eastAsia="Arial" w:hAnsi="Arial"/>
                <w:sz w:val="12"/>
                <w:szCs w:val="12"/>
                <w:color w:val="auto"/>
                <w:w w:val="83"/>
              </w:rPr>
              <w:t>shares</w:t>
            </w:r>
          </w:p>
        </w:tc>
        <w:tc>
          <w:tcPr>
            <w:tcW w:w="680" w:type="dxa"/>
            <w:vAlign w:val="bottom"/>
            <w:gridSpan w:val="3"/>
          </w:tcPr>
          <w:p>
            <w:pPr>
              <w:jc w:val="center"/>
              <w:spacing w:after="0" w:line="124" w:lineRule="exact"/>
              <w:rPr>
                <w:sz w:val="20"/>
                <w:szCs w:val="20"/>
                <w:color w:val="auto"/>
              </w:rPr>
            </w:pPr>
            <w:r>
              <w:rPr>
                <w:rFonts w:ascii="Arial" w:cs="Arial" w:eastAsia="Arial" w:hAnsi="Arial"/>
                <w:sz w:val="12"/>
                <w:szCs w:val="12"/>
                <w:color w:val="auto"/>
                <w:w w:val="94"/>
              </w:rPr>
              <w:t>fair value</w:t>
            </w: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40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80" w:type="dxa"/>
            <w:vAlign w:val="bottom"/>
            <w:gridSpan w:val="2"/>
          </w:tcPr>
          <w:p>
            <w:pPr>
              <w:jc w:val="center"/>
              <w:ind w:right="200"/>
              <w:spacing w:after="0"/>
              <w:rPr>
                <w:sz w:val="20"/>
                <w:szCs w:val="20"/>
                <w:color w:val="auto"/>
              </w:rPr>
            </w:pPr>
            <w:r>
              <w:rPr>
                <w:rFonts w:ascii="Arial" w:cs="Arial" w:eastAsia="Arial" w:hAnsi="Arial"/>
                <w:sz w:val="12"/>
                <w:szCs w:val="12"/>
                <w:color w:val="auto"/>
                <w:w w:val="86"/>
              </w:rPr>
              <w:t>Plans</w:t>
            </w:r>
          </w:p>
        </w:tc>
        <w:tc>
          <w:tcPr>
            <w:tcW w:w="140" w:type="dxa"/>
            <w:vAlign w:val="bottom"/>
          </w:tcPr>
          <w:p>
            <w:pPr>
              <w:spacing w:after="0"/>
              <w:rPr>
                <w:sz w:val="12"/>
                <w:szCs w:val="12"/>
                <w:color w:val="auto"/>
              </w:rPr>
            </w:pPr>
          </w:p>
        </w:tc>
        <w:tc>
          <w:tcPr>
            <w:tcW w:w="740" w:type="dxa"/>
            <w:vAlign w:val="bottom"/>
            <w:gridSpan w:val="2"/>
          </w:tcPr>
          <w:p>
            <w:pPr>
              <w:jc w:val="center"/>
              <w:ind w:right="140"/>
              <w:spacing w:after="0"/>
              <w:rPr>
                <w:sz w:val="20"/>
                <w:szCs w:val="20"/>
                <w:color w:val="auto"/>
              </w:rPr>
            </w:pPr>
            <w:r>
              <w:rPr>
                <w:rFonts w:ascii="Arial" w:cs="Arial" w:eastAsia="Arial" w:hAnsi="Arial"/>
                <w:sz w:val="12"/>
                <w:szCs w:val="12"/>
                <w:color w:val="auto"/>
                <w:w w:val="86"/>
              </w:rPr>
              <w:t>Plans</w:t>
            </w:r>
          </w:p>
        </w:tc>
        <w:tc>
          <w:tcPr>
            <w:tcW w:w="900" w:type="dxa"/>
            <w:vAlign w:val="bottom"/>
            <w:gridSpan w:val="2"/>
          </w:tcPr>
          <w:p>
            <w:pPr>
              <w:jc w:val="center"/>
              <w:ind w:right="66"/>
              <w:spacing w:after="0"/>
              <w:rPr>
                <w:sz w:val="20"/>
                <w:szCs w:val="20"/>
                <w:color w:val="auto"/>
              </w:rPr>
            </w:pPr>
            <w:r>
              <w:rPr>
                <w:rFonts w:ascii="Arial" w:cs="Arial" w:eastAsia="Arial" w:hAnsi="Arial"/>
                <w:sz w:val="12"/>
                <w:szCs w:val="12"/>
                <w:color w:val="auto"/>
                <w:w w:val="86"/>
              </w:rPr>
              <w:t>per share</w:t>
            </w:r>
          </w:p>
        </w:tc>
        <w:tc>
          <w:tcPr>
            <w:tcW w:w="800" w:type="dxa"/>
            <w:vAlign w:val="bottom"/>
            <w:gridSpan w:val="2"/>
          </w:tcPr>
          <w:p>
            <w:pPr>
              <w:jc w:val="center"/>
              <w:ind w:right="220"/>
              <w:spacing w:after="0"/>
              <w:rPr>
                <w:sz w:val="20"/>
                <w:szCs w:val="20"/>
                <w:color w:val="auto"/>
              </w:rPr>
            </w:pPr>
            <w:r>
              <w:rPr>
                <w:rFonts w:ascii="Arial" w:cs="Arial" w:eastAsia="Arial" w:hAnsi="Arial"/>
                <w:sz w:val="12"/>
                <w:szCs w:val="12"/>
                <w:color w:val="auto"/>
                <w:w w:val="90"/>
              </w:rPr>
              <w:t>(In years)</w:t>
            </w:r>
          </w:p>
        </w:tc>
        <w:tc>
          <w:tcPr>
            <w:tcW w:w="780" w:type="dxa"/>
            <w:vAlign w:val="bottom"/>
            <w:gridSpan w:val="3"/>
          </w:tcPr>
          <w:p>
            <w:pPr>
              <w:jc w:val="center"/>
              <w:ind w:right="180"/>
              <w:spacing w:after="0"/>
              <w:rPr>
                <w:sz w:val="20"/>
                <w:szCs w:val="20"/>
                <w:color w:val="auto"/>
              </w:rPr>
            </w:pPr>
            <w:r>
              <w:rPr>
                <w:rFonts w:ascii="Arial" w:cs="Arial" w:eastAsia="Arial" w:hAnsi="Arial"/>
                <w:sz w:val="12"/>
                <w:szCs w:val="12"/>
                <w:color w:val="auto"/>
                <w:w w:val="90"/>
              </w:rPr>
              <w:t>outstanding</w:t>
            </w:r>
          </w:p>
        </w:tc>
        <w:tc>
          <w:tcPr>
            <w:tcW w:w="680" w:type="dxa"/>
            <w:vAlign w:val="bottom"/>
            <w:gridSpan w:val="3"/>
          </w:tcPr>
          <w:p>
            <w:pPr>
              <w:jc w:val="center"/>
              <w:ind w:left="12"/>
              <w:spacing w:after="0"/>
              <w:rPr>
                <w:sz w:val="20"/>
                <w:szCs w:val="20"/>
                <w:color w:val="auto"/>
              </w:rPr>
            </w:pPr>
            <w:r>
              <w:rPr>
                <w:rFonts w:ascii="Arial" w:cs="Arial" w:eastAsia="Arial" w:hAnsi="Arial"/>
                <w:sz w:val="12"/>
                <w:szCs w:val="12"/>
                <w:color w:val="auto"/>
                <w:w w:val="86"/>
              </w:rPr>
              <w:t>per share</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40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00" w:type="dxa"/>
            <w:vAlign w:val="bottom"/>
            <w:tcBorders>
              <w:top w:val="single" w:sz="8" w:color="auto"/>
            </w:tcBorders>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2440" w:type="dxa"/>
            <w:vAlign w:val="bottom"/>
            <w:tcBorders>
              <w:top w:val="single" w:sz="8" w:color="auto"/>
            </w:tcBorders>
            <w:gridSpan w:val="6"/>
          </w:tcPr>
          <w:p>
            <w:pPr>
              <w:ind w:left="520"/>
              <w:spacing w:after="0" w:line="115" w:lineRule="exact"/>
              <w:rPr>
                <w:sz w:val="20"/>
                <w:szCs w:val="20"/>
                <w:color w:val="auto"/>
              </w:rPr>
            </w:pPr>
            <w:r>
              <w:rPr>
                <w:rFonts w:ascii="Arial" w:cs="Arial" w:eastAsia="Arial" w:hAnsi="Arial"/>
                <w:sz w:val="12"/>
                <w:szCs w:val="12"/>
                <w:i w:val="1"/>
                <w:iCs w:val="1"/>
                <w:color w:val="auto"/>
                <w:w w:val="91"/>
              </w:rPr>
              <w:t>(In millions, except per share amounts)</w:t>
            </w:r>
          </w:p>
        </w:tc>
        <w:tc>
          <w:tcPr>
            <w:tcW w:w="2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380" w:type="dxa"/>
            <w:vAlign w:val="bottom"/>
            <w:tcBorders>
              <w:top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080" w:type="dxa"/>
            <w:vAlign w:val="bottom"/>
            <w:shd w:val="clear" w:color="auto" w:fill="CCEEFF"/>
          </w:tcPr>
          <w:p>
            <w:pPr>
              <w:spacing w:after="0"/>
              <w:rPr>
                <w:sz w:val="20"/>
                <w:szCs w:val="20"/>
                <w:color w:val="auto"/>
              </w:rPr>
            </w:pPr>
            <w:r>
              <w:rPr>
                <w:rFonts w:ascii="Arial" w:cs="Arial" w:eastAsia="Arial" w:hAnsi="Arial"/>
                <w:sz w:val="15"/>
                <w:szCs w:val="15"/>
                <w:color w:val="auto"/>
              </w:rPr>
              <w:t>Balance at December 31, 2014</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0.4</w:t>
            </w:r>
          </w:p>
        </w:tc>
        <w:tc>
          <w:tcPr>
            <w:tcW w:w="180" w:type="dxa"/>
            <w:vAlign w:val="bottom"/>
            <w:shd w:val="clear" w:color="auto" w:fill="CCEEFF"/>
          </w:tcPr>
          <w:p>
            <w:pPr>
              <w:spacing w:after="0"/>
              <w:rPr>
                <w:sz w:val="15"/>
                <w:szCs w:val="15"/>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13.5</w:t>
            </w:r>
          </w:p>
        </w:tc>
        <w:tc>
          <w:tcPr>
            <w:tcW w:w="180" w:type="dxa"/>
            <w:vAlign w:val="bottom"/>
            <w:shd w:val="clear" w:color="auto" w:fill="CCEEFF"/>
          </w:tcPr>
          <w:p>
            <w:pPr>
              <w:spacing w:after="0"/>
              <w:rPr>
                <w:sz w:val="15"/>
                <w:szCs w:val="15"/>
                <w:color w:val="auto"/>
              </w:rPr>
            </w:pPr>
          </w:p>
        </w:tc>
        <w:tc>
          <w:tcPr>
            <w:tcW w:w="240" w:type="dxa"/>
            <w:vAlign w:val="bottom"/>
            <w:shd w:val="clear" w:color="auto" w:fill="CCEEFF"/>
          </w:tcPr>
          <w:p>
            <w:pPr>
              <w:ind w:left="140"/>
              <w:spacing w:after="0"/>
              <w:rPr>
                <w:sz w:val="20"/>
                <w:szCs w:val="20"/>
                <w:color w:val="auto"/>
              </w:rPr>
            </w:pPr>
            <w:r>
              <w:rPr>
                <w:rFonts w:ascii="Arial" w:cs="Arial" w:eastAsia="Arial" w:hAnsi="Arial"/>
                <w:sz w:val="15"/>
                <w:szCs w:val="15"/>
                <w:color w:val="auto"/>
                <w:w w:val="95"/>
              </w:rPr>
              <w:t>$</w:t>
            </w:r>
          </w:p>
        </w:tc>
        <w:tc>
          <w:tcPr>
            <w:tcW w:w="660" w:type="dxa"/>
            <w:vAlign w:val="bottom"/>
            <w:shd w:val="clear" w:color="auto" w:fill="CCEEFF"/>
          </w:tcPr>
          <w:p>
            <w:pPr>
              <w:jc w:val="right"/>
              <w:ind w:right="186"/>
              <w:spacing w:after="0"/>
              <w:rPr>
                <w:sz w:val="20"/>
                <w:szCs w:val="20"/>
                <w:color w:val="auto"/>
              </w:rPr>
            </w:pPr>
            <w:r>
              <w:rPr>
                <w:rFonts w:ascii="Arial" w:cs="Arial" w:eastAsia="Arial" w:hAnsi="Arial"/>
                <w:sz w:val="15"/>
                <w:szCs w:val="15"/>
                <w:color w:val="auto"/>
              </w:rPr>
              <w:t>15.92</w:t>
            </w:r>
          </w:p>
        </w:tc>
        <w:tc>
          <w:tcPr>
            <w:tcW w:w="5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8.9</w:t>
            </w:r>
          </w:p>
        </w:tc>
        <w:tc>
          <w:tcPr>
            <w:tcW w:w="240" w:type="dxa"/>
            <w:vAlign w:val="bottom"/>
            <w:shd w:val="clear" w:color="auto" w:fill="CCEEFF"/>
          </w:tcPr>
          <w:p>
            <w:pPr>
              <w:spacing w:after="0"/>
              <w:rPr>
                <w:sz w:val="15"/>
                <w:szCs w:val="15"/>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27.1</w:t>
            </w:r>
          </w:p>
        </w:tc>
        <w:tc>
          <w:tcPr>
            <w:tcW w:w="180" w:type="dxa"/>
            <w:vAlign w:val="bottom"/>
            <w:shd w:val="clear" w:color="auto" w:fill="CCEEFF"/>
          </w:tcPr>
          <w:p>
            <w:pPr>
              <w:spacing w:after="0"/>
              <w:rPr>
                <w:sz w:val="15"/>
                <w:szCs w:val="15"/>
                <w:color w:val="auto"/>
              </w:rPr>
            </w:pPr>
          </w:p>
        </w:tc>
        <w:tc>
          <w:tcPr>
            <w:tcW w:w="260" w:type="dxa"/>
            <w:vAlign w:val="bottom"/>
            <w:shd w:val="clear" w:color="auto" w:fill="CCEEFF"/>
          </w:tcPr>
          <w:p>
            <w:pPr>
              <w:ind w:left="120"/>
              <w:spacing w:after="0"/>
              <w:rPr>
                <w:sz w:val="20"/>
                <w:szCs w:val="20"/>
                <w:color w:val="auto"/>
              </w:rPr>
            </w:pPr>
            <w:r>
              <w:rPr>
                <w:rFonts w:ascii="Arial" w:cs="Arial" w:eastAsia="Arial" w:hAnsi="Arial"/>
                <w:sz w:val="15"/>
                <w:szCs w:val="15"/>
                <w:color w:val="auto"/>
              </w:rPr>
              <w:t>$</w:t>
            </w:r>
          </w:p>
        </w:tc>
        <w:tc>
          <w:tcPr>
            <w:tcW w:w="38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90"/>
              </w:rPr>
              <w:t>13.70</w:t>
            </w: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080" w:type="dxa"/>
            <w:vAlign w:val="bottom"/>
          </w:tcPr>
          <w:p>
            <w:pPr>
              <w:spacing w:after="0"/>
              <w:rPr>
                <w:sz w:val="20"/>
                <w:szCs w:val="20"/>
                <w:color w:val="auto"/>
              </w:rPr>
            </w:pPr>
            <w:r>
              <w:rPr>
                <w:rFonts w:ascii="Arial" w:cs="Arial" w:eastAsia="Arial" w:hAnsi="Arial"/>
                <w:sz w:val="15"/>
                <w:szCs w:val="15"/>
                <w:color w:val="auto"/>
              </w:rPr>
              <w:t>Additional shares authorized</w:t>
            </w:r>
          </w:p>
        </w:tc>
        <w:tc>
          <w:tcPr>
            <w:tcW w:w="880" w:type="dxa"/>
            <w:vAlign w:val="bottom"/>
            <w:gridSpan w:val="2"/>
          </w:tcPr>
          <w:p>
            <w:pPr>
              <w:jc w:val="right"/>
              <w:spacing w:after="0"/>
              <w:rPr>
                <w:sz w:val="20"/>
                <w:szCs w:val="20"/>
                <w:color w:val="auto"/>
              </w:rPr>
            </w:pPr>
            <w:r>
              <w:rPr>
                <w:rFonts w:ascii="Arial" w:cs="Arial" w:eastAsia="Arial" w:hAnsi="Arial"/>
                <w:sz w:val="15"/>
                <w:szCs w:val="15"/>
                <w:color w:val="auto"/>
              </w:rPr>
              <w:t>30.7</w:t>
            </w: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15"/>
                <w:szCs w:val="15"/>
                <w:color w:val="auto"/>
              </w:rPr>
            </w:pPr>
          </w:p>
        </w:tc>
        <w:tc>
          <w:tcPr>
            <w:tcW w:w="660" w:type="dxa"/>
            <w:vAlign w:val="bottom"/>
          </w:tcPr>
          <w:p>
            <w:pPr>
              <w:jc w:val="right"/>
              <w:ind w:right="266"/>
              <w:spacing w:after="0"/>
              <w:rPr>
                <w:sz w:val="20"/>
                <w:szCs w:val="20"/>
                <w:color w:val="auto"/>
              </w:rPr>
            </w:pPr>
            <w:r>
              <w:rPr>
                <w:rFonts w:ascii="Arial" w:cs="Arial" w:eastAsia="Arial" w:hAnsi="Arial"/>
                <w:sz w:val="15"/>
                <w:szCs w:val="15"/>
                <w:color w:val="auto"/>
              </w:rPr>
              <w:t>—</w:t>
            </w:r>
          </w:p>
        </w:tc>
        <w:tc>
          <w:tcPr>
            <w:tcW w:w="5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60" w:type="dxa"/>
            <w:vAlign w:val="bottom"/>
            <w:gridSpan w:val="2"/>
          </w:tcPr>
          <w:p>
            <w:pPr>
              <w:jc w:val="right"/>
              <w:ind w:right="260"/>
              <w:spacing w:after="0"/>
              <w:rPr>
                <w:sz w:val="20"/>
                <w:szCs w:val="20"/>
                <w:color w:val="auto"/>
              </w:rPr>
            </w:pPr>
            <w:r>
              <w:rPr>
                <w:rFonts w:ascii="Arial" w:cs="Arial" w:eastAsia="Arial" w:hAnsi="Arial"/>
                <w:sz w:val="15"/>
                <w:szCs w:val="15"/>
                <w:color w:val="auto"/>
              </w:rPr>
              <w:t>—</w:t>
            </w:r>
          </w:p>
        </w:tc>
        <w:tc>
          <w:tcPr>
            <w:tcW w:w="260" w:type="dxa"/>
            <w:vAlign w:val="bottom"/>
          </w:tcPr>
          <w:p>
            <w:pPr>
              <w:spacing w:after="0"/>
              <w:rPr>
                <w:sz w:val="15"/>
                <w:szCs w:val="15"/>
                <w:color w:val="auto"/>
              </w:rPr>
            </w:pPr>
          </w:p>
        </w:tc>
        <w:tc>
          <w:tcPr>
            <w:tcW w:w="420" w:type="dxa"/>
            <w:vAlign w:val="bottom"/>
            <w:gridSpan w:val="2"/>
          </w:tcPr>
          <w:p>
            <w:pPr>
              <w:jc w:val="center"/>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080" w:type="dxa"/>
            <w:vAlign w:val="bottom"/>
            <w:shd w:val="clear" w:color="auto" w:fill="CCEEFF"/>
          </w:tcPr>
          <w:p>
            <w:pPr>
              <w:spacing w:after="0"/>
              <w:rPr>
                <w:sz w:val="20"/>
                <w:szCs w:val="20"/>
                <w:color w:val="auto"/>
              </w:rPr>
            </w:pPr>
            <w:r>
              <w:rPr>
                <w:rFonts w:ascii="Arial" w:cs="Arial" w:eastAsia="Arial" w:hAnsi="Arial"/>
                <w:sz w:val="15"/>
                <w:szCs w:val="15"/>
                <w:color w:val="auto"/>
              </w:rPr>
              <w:t>Options granted</w:t>
            </w:r>
          </w:p>
        </w:tc>
        <w:tc>
          <w:tcPr>
            <w:tcW w:w="1060" w:type="dxa"/>
            <w:vAlign w:val="bottom"/>
            <w:gridSpan w:val="3"/>
            <w:shd w:val="clear" w:color="auto" w:fill="CCEEFF"/>
          </w:tcPr>
          <w:p>
            <w:pPr>
              <w:jc w:val="right"/>
              <w:ind w:right="140"/>
              <w:spacing w:after="0"/>
              <w:rPr>
                <w:sz w:val="20"/>
                <w:szCs w:val="20"/>
                <w:color w:val="auto"/>
              </w:rPr>
            </w:pPr>
            <w:r>
              <w:rPr>
                <w:rFonts w:ascii="Arial" w:cs="Arial" w:eastAsia="Arial" w:hAnsi="Arial"/>
                <w:sz w:val="15"/>
                <w:szCs w:val="15"/>
                <w:color w:val="auto"/>
              </w:rPr>
              <w:t>(2.0)</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2.0</w:t>
            </w:r>
          </w:p>
        </w:tc>
        <w:tc>
          <w:tcPr>
            <w:tcW w:w="1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660" w:type="dxa"/>
            <w:vAlign w:val="bottom"/>
            <w:shd w:val="clear" w:color="auto" w:fill="CCEEFF"/>
          </w:tcPr>
          <w:p>
            <w:pPr>
              <w:jc w:val="right"/>
              <w:ind w:right="186"/>
              <w:spacing w:after="0"/>
              <w:rPr>
                <w:sz w:val="20"/>
                <w:szCs w:val="20"/>
                <w:color w:val="auto"/>
              </w:rPr>
            </w:pPr>
            <w:r>
              <w:rPr>
                <w:rFonts w:ascii="Arial" w:cs="Arial" w:eastAsia="Arial" w:hAnsi="Arial"/>
                <w:sz w:val="15"/>
                <w:szCs w:val="15"/>
                <w:color w:val="auto"/>
              </w:rPr>
              <w:t>25.23</w:t>
            </w:r>
          </w:p>
        </w:tc>
        <w:tc>
          <w:tcPr>
            <w:tcW w:w="5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260"/>
              <w:spacing w:after="0"/>
              <w:rPr>
                <w:sz w:val="20"/>
                <w:szCs w:val="20"/>
                <w:color w:val="auto"/>
              </w:rPr>
            </w:pPr>
            <w:r>
              <w:rPr>
                <w:rFonts w:ascii="Arial" w:cs="Arial" w:eastAsia="Arial" w:hAnsi="Arial"/>
                <w:sz w:val="15"/>
                <w:szCs w:val="15"/>
                <w:color w:val="auto"/>
              </w:rPr>
              <w:t>—</w:t>
            </w:r>
          </w:p>
        </w:tc>
        <w:tc>
          <w:tcPr>
            <w:tcW w:w="260" w:type="dxa"/>
            <w:vAlign w:val="bottom"/>
            <w:shd w:val="clear" w:color="auto" w:fill="CCEEFF"/>
          </w:tcPr>
          <w:p>
            <w:pPr>
              <w:spacing w:after="0"/>
              <w:rPr>
                <w:sz w:val="15"/>
                <w:szCs w:val="15"/>
                <w:color w:val="auto"/>
              </w:rPr>
            </w:pPr>
          </w:p>
        </w:tc>
        <w:tc>
          <w:tcPr>
            <w:tcW w:w="420" w:type="dxa"/>
            <w:vAlign w:val="bottom"/>
            <w:gridSpan w:val="2"/>
            <w:shd w:val="clear" w:color="auto" w:fill="CCEEFF"/>
          </w:tcPr>
          <w:p>
            <w:pPr>
              <w:jc w:val="center"/>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080" w:type="dxa"/>
            <w:vAlign w:val="bottom"/>
          </w:tcPr>
          <w:p>
            <w:pPr>
              <w:spacing w:after="0"/>
              <w:rPr>
                <w:sz w:val="20"/>
                <w:szCs w:val="20"/>
                <w:color w:val="auto"/>
              </w:rPr>
            </w:pPr>
            <w:r>
              <w:rPr>
                <w:rFonts w:ascii="Arial" w:cs="Arial" w:eastAsia="Arial" w:hAnsi="Arial"/>
                <w:sz w:val="15"/>
                <w:szCs w:val="15"/>
                <w:color w:val="auto"/>
              </w:rPr>
              <w:t>Restricted stock granted</w:t>
            </w:r>
          </w:p>
        </w:tc>
        <w:tc>
          <w:tcPr>
            <w:tcW w:w="1060" w:type="dxa"/>
            <w:vAlign w:val="bottom"/>
            <w:gridSpan w:val="3"/>
          </w:tcPr>
          <w:p>
            <w:pPr>
              <w:jc w:val="right"/>
              <w:ind w:right="140"/>
              <w:spacing w:after="0"/>
              <w:rPr>
                <w:sz w:val="20"/>
                <w:szCs w:val="20"/>
                <w:color w:val="auto"/>
              </w:rPr>
            </w:pPr>
            <w:r>
              <w:rPr>
                <w:rFonts w:ascii="Arial" w:cs="Arial" w:eastAsia="Arial" w:hAnsi="Arial"/>
                <w:sz w:val="15"/>
                <w:szCs w:val="15"/>
                <w:color w:val="auto"/>
              </w:rPr>
              <w:t>(21.0)</w:t>
            </w:r>
          </w:p>
        </w:tc>
        <w:tc>
          <w:tcPr>
            <w:tcW w:w="140" w:type="dxa"/>
            <w:vAlign w:val="bottom"/>
          </w:tcPr>
          <w:p>
            <w:pPr>
              <w:spacing w:after="0"/>
              <w:rPr>
                <w:sz w:val="15"/>
                <w:szCs w:val="15"/>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15"/>
                <w:szCs w:val="15"/>
                <w:color w:val="auto"/>
              </w:rPr>
            </w:pPr>
          </w:p>
        </w:tc>
        <w:tc>
          <w:tcPr>
            <w:tcW w:w="660" w:type="dxa"/>
            <w:vAlign w:val="bottom"/>
          </w:tcPr>
          <w:p>
            <w:pPr>
              <w:jc w:val="right"/>
              <w:ind w:right="266"/>
              <w:spacing w:after="0"/>
              <w:rPr>
                <w:sz w:val="20"/>
                <w:szCs w:val="20"/>
                <w:color w:val="auto"/>
              </w:rPr>
            </w:pPr>
            <w:r>
              <w:rPr>
                <w:rFonts w:ascii="Arial" w:cs="Arial" w:eastAsia="Arial" w:hAnsi="Arial"/>
                <w:sz w:val="15"/>
                <w:szCs w:val="15"/>
                <w:color w:val="auto"/>
              </w:rPr>
              <w:t>—</w:t>
            </w:r>
          </w:p>
        </w:tc>
        <w:tc>
          <w:tcPr>
            <w:tcW w:w="5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00" w:type="dxa"/>
            <w:vAlign w:val="bottom"/>
            <w:gridSpan w:val="2"/>
          </w:tcPr>
          <w:p>
            <w:pPr>
              <w:jc w:val="right"/>
              <w:spacing w:after="0"/>
              <w:rPr>
                <w:sz w:val="20"/>
                <w:szCs w:val="20"/>
                <w:color w:val="auto"/>
              </w:rPr>
            </w:pPr>
            <w:r>
              <w:rPr>
                <w:rFonts w:ascii="Arial" w:cs="Arial" w:eastAsia="Arial" w:hAnsi="Arial"/>
                <w:sz w:val="15"/>
                <w:szCs w:val="15"/>
                <w:color w:val="auto"/>
              </w:rPr>
              <w:t>21.0</w:t>
            </w:r>
          </w:p>
        </w:tc>
        <w:tc>
          <w:tcPr>
            <w:tcW w:w="1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80" w:type="dxa"/>
            <w:vAlign w:val="bottom"/>
          </w:tcPr>
          <w:p>
            <w:pPr>
              <w:jc w:val="center"/>
              <w:spacing w:after="0"/>
              <w:rPr>
                <w:sz w:val="20"/>
                <w:szCs w:val="20"/>
                <w:color w:val="auto"/>
              </w:rPr>
            </w:pPr>
            <w:r>
              <w:rPr>
                <w:rFonts w:ascii="Arial" w:cs="Arial" w:eastAsia="Arial" w:hAnsi="Arial"/>
                <w:sz w:val="15"/>
                <w:szCs w:val="15"/>
                <w:color w:val="auto"/>
                <w:w w:val="90"/>
              </w:rPr>
              <w:t>22.74</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080" w:type="dxa"/>
            <w:vAlign w:val="bottom"/>
            <w:shd w:val="clear" w:color="auto" w:fill="CCEEFF"/>
          </w:tcPr>
          <w:p>
            <w:pPr>
              <w:spacing w:after="0"/>
              <w:rPr>
                <w:sz w:val="20"/>
                <w:szCs w:val="20"/>
                <w:color w:val="auto"/>
              </w:rPr>
            </w:pPr>
            <w:r>
              <w:rPr>
                <w:rFonts w:ascii="Arial" w:cs="Arial" w:eastAsia="Arial" w:hAnsi="Arial"/>
                <w:sz w:val="15"/>
                <w:szCs w:val="15"/>
                <w:color w:val="auto"/>
              </w:rPr>
              <w:t>Options and RSAs exercised</w:t>
            </w:r>
          </w:p>
        </w:tc>
        <w:tc>
          <w:tcPr>
            <w:tcW w:w="28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260"/>
              <w:spacing w:after="0"/>
              <w:rPr>
                <w:sz w:val="20"/>
                <w:szCs w:val="20"/>
                <w:color w:val="auto"/>
              </w:rPr>
            </w:pPr>
            <w:r>
              <w:rPr>
                <w:rFonts w:ascii="Arial" w:cs="Arial" w:eastAsia="Arial" w:hAnsi="Arial"/>
                <w:sz w:val="15"/>
                <w:szCs w:val="15"/>
                <w:color w:val="auto"/>
              </w:rPr>
              <w:t>—</w:t>
            </w:r>
          </w:p>
        </w:tc>
        <w:tc>
          <w:tcPr>
            <w:tcW w:w="880" w:type="dxa"/>
            <w:vAlign w:val="bottom"/>
            <w:gridSpan w:val="3"/>
            <w:shd w:val="clear" w:color="auto" w:fill="CCEEFF"/>
          </w:tcPr>
          <w:p>
            <w:pPr>
              <w:jc w:val="right"/>
              <w:ind w:right="80"/>
              <w:spacing w:after="0"/>
              <w:rPr>
                <w:sz w:val="20"/>
                <w:szCs w:val="20"/>
                <w:color w:val="auto"/>
              </w:rPr>
            </w:pPr>
            <w:r>
              <w:rPr>
                <w:rFonts w:ascii="Arial" w:cs="Arial" w:eastAsia="Arial" w:hAnsi="Arial"/>
                <w:sz w:val="15"/>
                <w:szCs w:val="15"/>
                <w:color w:val="auto"/>
              </w:rPr>
              <w:t>(0.4)</w:t>
            </w:r>
          </w:p>
        </w:tc>
        <w:tc>
          <w:tcPr>
            <w:tcW w:w="240" w:type="dxa"/>
            <w:vAlign w:val="bottom"/>
            <w:shd w:val="clear" w:color="auto" w:fill="CCEEFF"/>
          </w:tcPr>
          <w:p>
            <w:pPr>
              <w:spacing w:after="0"/>
              <w:rPr>
                <w:sz w:val="15"/>
                <w:szCs w:val="15"/>
                <w:color w:val="auto"/>
              </w:rPr>
            </w:pPr>
          </w:p>
        </w:tc>
        <w:tc>
          <w:tcPr>
            <w:tcW w:w="660" w:type="dxa"/>
            <w:vAlign w:val="bottom"/>
            <w:shd w:val="clear" w:color="auto" w:fill="CCEEFF"/>
          </w:tcPr>
          <w:p>
            <w:pPr>
              <w:jc w:val="right"/>
              <w:ind w:right="186"/>
              <w:spacing w:after="0"/>
              <w:rPr>
                <w:sz w:val="20"/>
                <w:szCs w:val="20"/>
                <w:color w:val="auto"/>
              </w:rPr>
            </w:pPr>
            <w:r>
              <w:rPr>
                <w:rFonts w:ascii="Arial" w:cs="Arial" w:eastAsia="Arial" w:hAnsi="Arial"/>
                <w:sz w:val="15"/>
                <w:szCs w:val="15"/>
                <w:color w:val="auto"/>
              </w:rPr>
              <w:t>6.77</w:t>
            </w:r>
          </w:p>
        </w:tc>
        <w:tc>
          <w:tcPr>
            <w:tcW w:w="5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260"/>
              <w:spacing w:after="0"/>
              <w:rPr>
                <w:sz w:val="20"/>
                <w:szCs w:val="20"/>
                <w:color w:val="auto"/>
              </w:rPr>
            </w:pPr>
            <w:r>
              <w:rPr>
                <w:rFonts w:ascii="Arial" w:cs="Arial" w:eastAsia="Arial" w:hAnsi="Arial"/>
                <w:sz w:val="15"/>
                <w:szCs w:val="15"/>
                <w:color w:val="auto"/>
              </w:rPr>
              <w:t>—</w:t>
            </w:r>
          </w:p>
        </w:tc>
        <w:tc>
          <w:tcPr>
            <w:tcW w:w="260" w:type="dxa"/>
            <w:vAlign w:val="bottom"/>
            <w:shd w:val="clear" w:color="auto" w:fill="CCEEFF"/>
          </w:tcPr>
          <w:p>
            <w:pPr>
              <w:spacing w:after="0"/>
              <w:rPr>
                <w:sz w:val="15"/>
                <w:szCs w:val="15"/>
                <w:color w:val="auto"/>
              </w:rPr>
            </w:pPr>
          </w:p>
        </w:tc>
        <w:tc>
          <w:tcPr>
            <w:tcW w:w="420" w:type="dxa"/>
            <w:vAlign w:val="bottom"/>
            <w:gridSpan w:val="2"/>
            <w:shd w:val="clear" w:color="auto" w:fill="CCEEFF"/>
          </w:tcPr>
          <w:p>
            <w:pPr>
              <w:jc w:val="center"/>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080" w:type="dxa"/>
            <w:vAlign w:val="bottom"/>
          </w:tcPr>
          <w:p>
            <w:pPr>
              <w:spacing w:after="0"/>
              <w:rPr>
                <w:sz w:val="20"/>
                <w:szCs w:val="20"/>
                <w:color w:val="auto"/>
              </w:rPr>
            </w:pPr>
            <w:r>
              <w:rPr>
                <w:rFonts w:ascii="Arial" w:cs="Arial" w:eastAsia="Arial" w:hAnsi="Arial"/>
                <w:sz w:val="15"/>
                <w:szCs w:val="15"/>
                <w:color w:val="auto"/>
              </w:rPr>
              <w:t>Options and RSUs canceled</w:t>
            </w:r>
          </w:p>
        </w:tc>
        <w:tc>
          <w:tcPr>
            <w:tcW w:w="880" w:type="dxa"/>
            <w:vAlign w:val="bottom"/>
            <w:gridSpan w:val="2"/>
          </w:tcPr>
          <w:p>
            <w:pPr>
              <w:jc w:val="right"/>
              <w:spacing w:after="0"/>
              <w:rPr>
                <w:sz w:val="20"/>
                <w:szCs w:val="20"/>
                <w:color w:val="auto"/>
              </w:rPr>
            </w:pPr>
            <w:r>
              <w:rPr>
                <w:rFonts w:ascii="Arial" w:cs="Arial" w:eastAsia="Arial" w:hAnsi="Arial"/>
                <w:sz w:val="15"/>
                <w:szCs w:val="15"/>
                <w:color w:val="auto"/>
              </w:rPr>
              <w:t>6.3</w:t>
            </w:r>
          </w:p>
        </w:tc>
        <w:tc>
          <w:tcPr>
            <w:tcW w:w="180" w:type="dxa"/>
            <w:vAlign w:val="bottom"/>
          </w:tcPr>
          <w:p>
            <w:pPr>
              <w:spacing w:after="0"/>
              <w:rPr>
                <w:sz w:val="15"/>
                <w:szCs w:val="15"/>
                <w:color w:val="auto"/>
              </w:rPr>
            </w:pPr>
          </w:p>
        </w:tc>
        <w:tc>
          <w:tcPr>
            <w:tcW w:w="880" w:type="dxa"/>
            <w:vAlign w:val="bottom"/>
            <w:gridSpan w:val="3"/>
          </w:tcPr>
          <w:p>
            <w:pPr>
              <w:jc w:val="right"/>
              <w:ind w:right="80"/>
              <w:spacing w:after="0"/>
              <w:rPr>
                <w:sz w:val="20"/>
                <w:szCs w:val="20"/>
                <w:color w:val="auto"/>
              </w:rPr>
            </w:pPr>
            <w:r>
              <w:rPr>
                <w:rFonts w:ascii="Arial" w:cs="Arial" w:eastAsia="Arial" w:hAnsi="Arial"/>
                <w:sz w:val="15"/>
                <w:szCs w:val="15"/>
                <w:color w:val="auto"/>
              </w:rPr>
              <w:t>(1.7)</w:t>
            </w:r>
          </w:p>
        </w:tc>
        <w:tc>
          <w:tcPr>
            <w:tcW w:w="240" w:type="dxa"/>
            <w:vAlign w:val="bottom"/>
          </w:tcPr>
          <w:p>
            <w:pPr>
              <w:spacing w:after="0"/>
              <w:rPr>
                <w:sz w:val="15"/>
                <w:szCs w:val="15"/>
                <w:color w:val="auto"/>
              </w:rPr>
            </w:pPr>
          </w:p>
        </w:tc>
        <w:tc>
          <w:tcPr>
            <w:tcW w:w="660" w:type="dxa"/>
            <w:vAlign w:val="bottom"/>
          </w:tcPr>
          <w:p>
            <w:pPr>
              <w:jc w:val="right"/>
              <w:ind w:right="186"/>
              <w:spacing w:after="0"/>
              <w:rPr>
                <w:sz w:val="20"/>
                <w:szCs w:val="20"/>
                <w:color w:val="auto"/>
              </w:rPr>
            </w:pPr>
            <w:r>
              <w:rPr>
                <w:rFonts w:ascii="Arial" w:cs="Arial" w:eastAsia="Arial" w:hAnsi="Arial"/>
                <w:sz w:val="15"/>
                <w:szCs w:val="15"/>
                <w:color w:val="auto"/>
              </w:rPr>
              <w:t>16.31</w:t>
            </w:r>
          </w:p>
        </w:tc>
        <w:tc>
          <w:tcPr>
            <w:tcW w:w="5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gridSpan w:val="3"/>
          </w:tcPr>
          <w:p>
            <w:pPr>
              <w:jc w:val="right"/>
              <w:ind w:right="140"/>
              <w:spacing w:after="0"/>
              <w:rPr>
                <w:sz w:val="20"/>
                <w:szCs w:val="20"/>
                <w:color w:val="auto"/>
              </w:rPr>
            </w:pPr>
            <w:r>
              <w:rPr>
                <w:rFonts w:ascii="Arial" w:cs="Arial" w:eastAsia="Arial" w:hAnsi="Arial"/>
                <w:sz w:val="15"/>
                <w:szCs w:val="15"/>
                <w:color w:val="auto"/>
              </w:rPr>
              <w:t>(4.6)</w:t>
            </w:r>
          </w:p>
        </w:tc>
        <w:tc>
          <w:tcPr>
            <w:tcW w:w="260" w:type="dxa"/>
            <w:vAlign w:val="bottom"/>
          </w:tcPr>
          <w:p>
            <w:pPr>
              <w:spacing w:after="0"/>
              <w:rPr>
                <w:sz w:val="15"/>
                <w:szCs w:val="15"/>
                <w:color w:val="auto"/>
              </w:rPr>
            </w:pPr>
          </w:p>
        </w:tc>
        <w:tc>
          <w:tcPr>
            <w:tcW w:w="380" w:type="dxa"/>
            <w:vAlign w:val="bottom"/>
          </w:tcPr>
          <w:p>
            <w:pPr>
              <w:jc w:val="center"/>
              <w:spacing w:after="0"/>
              <w:rPr>
                <w:sz w:val="20"/>
                <w:szCs w:val="20"/>
                <w:color w:val="auto"/>
              </w:rPr>
            </w:pPr>
            <w:r>
              <w:rPr>
                <w:rFonts w:ascii="Arial" w:cs="Arial" w:eastAsia="Arial" w:hAnsi="Arial"/>
                <w:sz w:val="15"/>
                <w:szCs w:val="15"/>
                <w:color w:val="auto"/>
                <w:w w:val="90"/>
              </w:rPr>
              <w:t>17.36</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080" w:type="dxa"/>
            <w:vAlign w:val="bottom"/>
            <w:shd w:val="clear" w:color="auto" w:fill="CCEEFF"/>
          </w:tcPr>
          <w:p>
            <w:pPr>
              <w:spacing w:after="0"/>
              <w:rPr>
                <w:sz w:val="20"/>
                <w:szCs w:val="20"/>
                <w:color w:val="auto"/>
              </w:rPr>
            </w:pPr>
            <w:r>
              <w:rPr>
                <w:rFonts w:ascii="Arial" w:cs="Arial" w:eastAsia="Arial" w:hAnsi="Arial"/>
                <w:sz w:val="15"/>
                <w:szCs w:val="15"/>
                <w:color w:val="auto"/>
              </w:rPr>
              <w:t>Repurchased under the Plan</w:t>
            </w:r>
          </w:p>
        </w:tc>
        <w:tc>
          <w:tcPr>
            <w:tcW w:w="280" w:type="dxa"/>
            <w:vAlign w:val="bottom"/>
            <w:shd w:val="clear" w:color="auto" w:fill="CCEEFF"/>
          </w:tcPr>
          <w:p>
            <w:pPr>
              <w:spacing w:after="0"/>
              <w:rPr>
                <w:sz w:val="15"/>
                <w:szCs w:val="15"/>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0.2</w:t>
            </w:r>
          </w:p>
        </w:tc>
        <w:tc>
          <w:tcPr>
            <w:tcW w:w="1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5"/>
                <w:szCs w:val="15"/>
                <w:color w:val="auto"/>
              </w:rPr>
              <w:t>—</w:t>
            </w:r>
          </w:p>
        </w:tc>
        <w:tc>
          <w:tcPr>
            <w:tcW w:w="1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660" w:type="dxa"/>
            <w:vAlign w:val="bottom"/>
            <w:shd w:val="clear" w:color="auto" w:fill="CCEEFF"/>
          </w:tcPr>
          <w:p>
            <w:pPr>
              <w:jc w:val="right"/>
              <w:ind w:right="266"/>
              <w:spacing w:after="0"/>
              <w:rPr>
                <w:sz w:val="20"/>
                <w:szCs w:val="20"/>
                <w:color w:val="auto"/>
              </w:rPr>
            </w:pPr>
            <w:r>
              <w:rPr>
                <w:rFonts w:ascii="Arial" w:cs="Arial" w:eastAsia="Arial" w:hAnsi="Arial"/>
                <w:sz w:val="15"/>
                <w:szCs w:val="15"/>
                <w:color w:val="auto"/>
              </w:rPr>
              <w:t>—</w:t>
            </w:r>
          </w:p>
        </w:tc>
        <w:tc>
          <w:tcPr>
            <w:tcW w:w="5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5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5"/>
                <w:szCs w:val="15"/>
                <w:color w:val="auto"/>
              </w:rPr>
              <w:t>—</w:t>
            </w:r>
          </w:p>
        </w:tc>
        <w:tc>
          <w:tcPr>
            <w:tcW w:w="1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420" w:type="dxa"/>
            <w:vAlign w:val="bottom"/>
            <w:gridSpan w:val="2"/>
            <w:shd w:val="clear" w:color="auto" w:fill="CCEEFF"/>
          </w:tcPr>
          <w:p>
            <w:pPr>
              <w:jc w:val="center"/>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82"/>
        </w:trPr>
        <w:tc>
          <w:tcPr>
            <w:tcW w:w="4100" w:type="dxa"/>
            <w:vAlign w:val="bottom"/>
            <w:gridSpan w:val="2"/>
          </w:tcPr>
          <w:p>
            <w:pPr>
              <w:spacing w:after="0"/>
              <w:rPr>
                <w:sz w:val="20"/>
                <w:szCs w:val="20"/>
                <w:color w:val="auto"/>
              </w:rPr>
            </w:pPr>
            <w:r>
              <w:rPr>
                <w:rFonts w:ascii="Arial" w:cs="Arial" w:eastAsia="Arial" w:hAnsi="Arial"/>
                <w:sz w:val="15"/>
                <w:szCs w:val="15"/>
                <w:color w:val="auto"/>
              </w:rPr>
              <w:t>Balance at December 31, 2015</w:t>
            </w:r>
          </w:p>
        </w:tc>
        <w:tc>
          <w:tcPr>
            <w:tcW w:w="880" w:type="dxa"/>
            <w:vAlign w:val="bottom"/>
            <w:gridSpan w:val="2"/>
          </w:tcPr>
          <w:p>
            <w:pPr>
              <w:jc w:val="right"/>
              <w:spacing w:after="0"/>
              <w:rPr>
                <w:sz w:val="20"/>
                <w:szCs w:val="20"/>
                <w:color w:val="auto"/>
              </w:rPr>
            </w:pPr>
            <w:r>
              <w:rPr>
                <w:rFonts w:ascii="Arial" w:cs="Arial" w:eastAsia="Arial" w:hAnsi="Arial"/>
                <w:sz w:val="15"/>
                <w:szCs w:val="15"/>
                <w:color w:val="auto"/>
              </w:rPr>
              <w:t>14.6</w:t>
            </w:r>
          </w:p>
        </w:tc>
        <w:tc>
          <w:tcPr>
            <w:tcW w:w="180" w:type="dxa"/>
            <w:vAlign w:val="bottom"/>
          </w:tcPr>
          <w:p>
            <w:pPr>
              <w:spacing w:after="0"/>
              <w:rPr>
                <w:sz w:val="15"/>
                <w:szCs w:val="15"/>
                <w:color w:val="auto"/>
              </w:rPr>
            </w:pPr>
          </w:p>
        </w:tc>
        <w:tc>
          <w:tcPr>
            <w:tcW w:w="700" w:type="dxa"/>
            <w:vAlign w:val="bottom"/>
            <w:gridSpan w:val="2"/>
          </w:tcPr>
          <w:p>
            <w:pPr>
              <w:jc w:val="right"/>
              <w:spacing w:after="0"/>
              <w:rPr>
                <w:sz w:val="20"/>
                <w:szCs w:val="20"/>
                <w:color w:val="auto"/>
              </w:rPr>
            </w:pPr>
            <w:r>
              <w:rPr>
                <w:rFonts w:ascii="Arial" w:cs="Arial" w:eastAsia="Arial" w:hAnsi="Arial"/>
                <w:sz w:val="15"/>
                <w:szCs w:val="15"/>
                <w:color w:val="auto"/>
              </w:rPr>
              <w:t>13.4</w:t>
            </w:r>
          </w:p>
        </w:tc>
        <w:tc>
          <w:tcPr>
            <w:tcW w:w="180" w:type="dxa"/>
            <w:vAlign w:val="bottom"/>
          </w:tcPr>
          <w:p>
            <w:pPr>
              <w:spacing w:after="0"/>
              <w:rPr>
                <w:sz w:val="15"/>
                <w:szCs w:val="15"/>
                <w:color w:val="auto"/>
              </w:rPr>
            </w:pPr>
          </w:p>
        </w:tc>
        <w:tc>
          <w:tcPr>
            <w:tcW w:w="240" w:type="dxa"/>
            <w:vAlign w:val="bottom"/>
          </w:tcPr>
          <w:p>
            <w:pPr>
              <w:ind w:left="140"/>
              <w:spacing w:after="0"/>
              <w:rPr>
                <w:sz w:val="20"/>
                <w:szCs w:val="20"/>
                <w:color w:val="auto"/>
              </w:rPr>
            </w:pPr>
            <w:r>
              <w:rPr>
                <w:rFonts w:ascii="Arial" w:cs="Arial" w:eastAsia="Arial" w:hAnsi="Arial"/>
                <w:sz w:val="15"/>
                <w:szCs w:val="15"/>
                <w:color w:val="auto"/>
                <w:w w:val="95"/>
              </w:rPr>
              <w:t>$</w:t>
            </w:r>
          </w:p>
        </w:tc>
        <w:tc>
          <w:tcPr>
            <w:tcW w:w="660" w:type="dxa"/>
            <w:vAlign w:val="bottom"/>
          </w:tcPr>
          <w:p>
            <w:pPr>
              <w:jc w:val="right"/>
              <w:ind w:right="186"/>
              <w:spacing w:after="0"/>
              <w:rPr>
                <w:sz w:val="20"/>
                <w:szCs w:val="20"/>
                <w:color w:val="auto"/>
              </w:rPr>
            </w:pPr>
            <w:r>
              <w:rPr>
                <w:rFonts w:ascii="Arial" w:cs="Arial" w:eastAsia="Arial" w:hAnsi="Arial"/>
                <w:sz w:val="15"/>
                <w:szCs w:val="15"/>
                <w:color w:val="auto"/>
              </w:rPr>
              <w:t>17.51</w:t>
            </w:r>
          </w:p>
        </w:tc>
        <w:tc>
          <w:tcPr>
            <w:tcW w:w="560" w:type="dxa"/>
            <w:vAlign w:val="bottom"/>
          </w:tcPr>
          <w:p>
            <w:pPr>
              <w:jc w:val="right"/>
              <w:spacing w:after="0"/>
              <w:rPr>
                <w:sz w:val="20"/>
                <w:szCs w:val="20"/>
                <w:color w:val="auto"/>
              </w:rPr>
            </w:pPr>
            <w:r>
              <w:rPr>
                <w:rFonts w:ascii="Arial" w:cs="Arial" w:eastAsia="Arial" w:hAnsi="Arial"/>
                <w:sz w:val="15"/>
                <w:szCs w:val="15"/>
                <w:color w:val="auto"/>
              </w:rPr>
              <w:t>8.1</w:t>
            </w:r>
          </w:p>
        </w:tc>
        <w:tc>
          <w:tcPr>
            <w:tcW w:w="240" w:type="dxa"/>
            <w:vAlign w:val="bottom"/>
          </w:tcPr>
          <w:p>
            <w:pPr>
              <w:spacing w:after="0"/>
              <w:rPr>
                <w:sz w:val="15"/>
                <w:szCs w:val="15"/>
                <w:color w:val="auto"/>
              </w:rPr>
            </w:pPr>
          </w:p>
        </w:tc>
        <w:tc>
          <w:tcPr>
            <w:tcW w:w="600" w:type="dxa"/>
            <w:vAlign w:val="bottom"/>
            <w:gridSpan w:val="2"/>
          </w:tcPr>
          <w:p>
            <w:pPr>
              <w:jc w:val="right"/>
              <w:spacing w:after="0"/>
              <w:rPr>
                <w:sz w:val="20"/>
                <w:szCs w:val="20"/>
                <w:color w:val="auto"/>
              </w:rPr>
            </w:pPr>
            <w:r>
              <w:rPr>
                <w:rFonts w:ascii="Arial" w:cs="Arial" w:eastAsia="Arial" w:hAnsi="Arial"/>
                <w:sz w:val="15"/>
                <w:szCs w:val="15"/>
                <w:color w:val="auto"/>
              </w:rPr>
              <w:t>43.5</w:t>
            </w:r>
          </w:p>
        </w:tc>
        <w:tc>
          <w:tcPr>
            <w:tcW w:w="180" w:type="dxa"/>
            <w:vAlign w:val="bottom"/>
          </w:tcPr>
          <w:p>
            <w:pPr>
              <w:spacing w:after="0"/>
              <w:rPr>
                <w:sz w:val="15"/>
                <w:szCs w:val="15"/>
                <w:color w:val="auto"/>
              </w:rPr>
            </w:pPr>
          </w:p>
        </w:tc>
        <w:tc>
          <w:tcPr>
            <w:tcW w:w="260" w:type="dxa"/>
            <w:vAlign w:val="bottom"/>
          </w:tcPr>
          <w:p>
            <w:pPr>
              <w:ind w:left="120"/>
              <w:spacing w:after="0"/>
              <w:rPr>
                <w:sz w:val="20"/>
                <w:szCs w:val="20"/>
                <w:color w:val="auto"/>
              </w:rPr>
            </w:pPr>
            <w:r>
              <w:rPr>
                <w:rFonts w:ascii="Arial" w:cs="Arial" w:eastAsia="Arial" w:hAnsi="Arial"/>
                <w:sz w:val="15"/>
                <w:szCs w:val="15"/>
                <w:color w:val="auto"/>
              </w:rPr>
              <w:t>$</w:t>
            </w:r>
          </w:p>
        </w:tc>
        <w:tc>
          <w:tcPr>
            <w:tcW w:w="380" w:type="dxa"/>
            <w:vAlign w:val="bottom"/>
          </w:tcPr>
          <w:p>
            <w:pPr>
              <w:jc w:val="center"/>
              <w:spacing w:after="0"/>
              <w:rPr>
                <w:sz w:val="20"/>
                <w:szCs w:val="20"/>
                <w:color w:val="auto"/>
              </w:rPr>
            </w:pPr>
            <w:r>
              <w:rPr>
                <w:rFonts w:ascii="Arial" w:cs="Arial" w:eastAsia="Arial" w:hAnsi="Arial"/>
                <w:sz w:val="15"/>
                <w:szCs w:val="15"/>
                <w:color w:val="auto"/>
                <w:w w:val="90"/>
              </w:rPr>
              <w:t>17.67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4080" w:type="dxa"/>
            <w:vAlign w:val="bottom"/>
            <w:shd w:val="clear" w:color="auto" w:fill="CCEEFF"/>
          </w:tcPr>
          <w:p>
            <w:pPr>
              <w:spacing w:after="0"/>
              <w:rPr>
                <w:sz w:val="20"/>
                <w:szCs w:val="20"/>
                <w:color w:val="auto"/>
              </w:rPr>
            </w:pPr>
            <w:r>
              <w:rPr>
                <w:rFonts w:ascii="Arial" w:cs="Arial" w:eastAsia="Arial" w:hAnsi="Arial"/>
                <w:sz w:val="15"/>
                <w:szCs w:val="15"/>
                <w:color w:val="auto"/>
              </w:rPr>
              <w:t>Options and RSUs canceled</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14.1</w:t>
            </w:r>
          </w:p>
        </w:tc>
        <w:tc>
          <w:tcPr>
            <w:tcW w:w="180" w:type="dxa"/>
            <w:vAlign w:val="bottom"/>
            <w:shd w:val="clear" w:color="auto" w:fill="CCEEFF"/>
          </w:tcPr>
          <w:p>
            <w:pPr>
              <w:spacing w:after="0"/>
              <w:rPr>
                <w:sz w:val="15"/>
                <w:szCs w:val="15"/>
                <w:color w:val="auto"/>
              </w:rPr>
            </w:pPr>
          </w:p>
        </w:tc>
        <w:tc>
          <w:tcPr>
            <w:tcW w:w="880" w:type="dxa"/>
            <w:vAlign w:val="bottom"/>
            <w:gridSpan w:val="3"/>
            <w:shd w:val="clear" w:color="auto" w:fill="CCEEFF"/>
          </w:tcPr>
          <w:p>
            <w:pPr>
              <w:jc w:val="right"/>
              <w:ind w:right="80"/>
              <w:spacing w:after="0"/>
              <w:rPr>
                <w:sz w:val="20"/>
                <w:szCs w:val="20"/>
                <w:color w:val="auto"/>
              </w:rPr>
            </w:pPr>
            <w:r>
              <w:rPr>
                <w:rFonts w:ascii="Arial" w:cs="Arial" w:eastAsia="Arial" w:hAnsi="Arial"/>
                <w:sz w:val="15"/>
                <w:szCs w:val="15"/>
                <w:color w:val="auto"/>
              </w:rPr>
              <w:t>(8.0)</w:t>
            </w:r>
          </w:p>
        </w:tc>
        <w:tc>
          <w:tcPr>
            <w:tcW w:w="240" w:type="dxa"/>
            <w:vAlign w:val="bottom"/>
            <w:shd w:val="clear" w:color="auto" w:fill="CCEEFF"/>
          </w:tcPr>
          <w:p>
            <w:pPr>
              <w:spacing w:after="0"/>
              <w:rPr>
                <w:sz w:val="15"/>
                <w:szCs w:val="15"/>
                <w:color w:val="auto"/>
              </w:rPr>
            </w:pPr>
          </w:p>
        </w:tc>
        <w:tc>
          <w:tcPr>
            <w:tcW w:w="660" w:type="dxa"/>
            <w:vAlign w:val="bottom"/>
            <w:shd w:val="clear" w:color="auto" w:fill="CCEEFF"/>
          </w:tcPr>
          <w:p>
            <w:pPr>
              <w:jc w:val="right"/>
              <w:ind w:right="186"/>
              <w:spacing w:after="0"/>
              <w:rPr>
                <w:sz w:val="20"/>
                <w:szCs w:val="20"/>
                <w:color w:val="auto"/>
              </w:rPr>
            </w:pPr>
            <w:r>
              <w:rPr>
                <w:rFonts w:ascii="Arial" w:cs="Arial" w:eastAsia="Arial" w:hAnsi="Arial"/>
                <w:sz w:val="15"/>
                <w:szCs w:val="15"/>
                <w:color w:val="auto"/>
              </w:rPr>
              <w:t>22.04</w:t>
            </w:r>
          </w:p>
        </w:tc>
        <w:tc>
          <w:tcPr>
            <w:tcW w:w="5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780" w:type="dxa"/>
            <w:vAlign w:val="bottom"/>
            <w:gridSpan w:val="3"/>
            <w:shd w:val="clear" w:color="auto" w:fill="CCEEFF"/>
          </w:tcPr>
          <w:p>
            <w:pPr>
              <w:jc w:val="right"/>
              <w:ind w:right="140"/>
              <w:spacing w:after="0"/>
              <w:rPr>
                <w:sz w:val="20"/>
                <w:szCs w:val="20"/>
                <w:color w:val="auto"/>
              </w:rPr>
            </w:pPr>
            <w:r>
              <w:rPr>
                <w:rFonts w:ascii="Arial" w:cs="Arial" w:eastAsia="Arial" w:hAnsi="Arial"/>
                <w:sz w:val="15"/>
                <w:szCs w:val="15"/>
                <w:color w:val="auto"/>
              </w:rPr>
              <w:t>(6.1)</w:t>
            </w:r>
          </w:p>
        </w:tc>
        <w:tc>
          <w:tcPr>
            <w:tcW w:w="260" w:type="dxa"/>
            <w:vAlign w:val="bottom"/>
            <w:shd w:val="clear" w:color="auto" w:fill="CCEEFF"/>
          </w:tcPr>
          <w:p>
            <w:pPr>
              <w:spacing w:after="0"/>
              <w:rPr>
                <w:sz w:val="15"/>
                <w:szCs w:val="15"/>
                <w:color w:val="auto"/>
              </w:rPr>
            </w:pPr>
          </w:p>
        </w:tc>
        <w:tc>
          <w:tcPr>
            <w:tcW w:w="38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90"/>
              </w:rPr>
              <w:t>20.06</w:t>
            </w: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4080" w:type="dxa"/>
            <w:vAlign w:val="bottom"/>
          </w:tcPr>
          <w:p>
            <w:pPr>
              <w:spacing w:after="0"/>
              <w:rPr>
                <w:sz w:val="20"/>
                <w:szCs w:val="20"/>
                <w:color w:val="auto"/>
              </w:rPr>
            </w:pPr>
            <w:r>
              <w:rPr>
                <w:rFonts w:ascii="Arial" w:cs="Arial" w:eastAsia="Arial" w:hAnsi="Arial"/>
                <w:sz w:val="15"/>
                <w:szCs w:val="15"/>
                <w:color w:val="auto"/>
              </w:rPr>
              <w:t>Restricted stock granted</w:t>
            </w:r>
          </w:p>
        </w:tc>
        <w:tc>
          <w:tcPr>
            <w:tcW w:w="280" w:type="dxa"/>
            <w:vAlign w:val="bottom"/>
          </w:tcPr>
          <w:p>
            <w:pPr>
              <w:spacing w:after="0"/>
              <w:rPr>
                <w:sz w:val="15"/>
                <w:szCs w:val="15"/>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5"/>
                <w:szCs w:val="15"/>
                <w:color w:val="auto"/>
              </w:rPr>
              <w:t>(16.6)</w:t>
            </w:r>
          </w:p>
        </w:tc>
        <w:tc>
          <w:tcPr>
            <w:tcW w:w="140" w:type="dxa"/>
            <w:vAlign w:val="bottom"/>
          </w:tcPr>
          <w:p>
            <w:pPr>
              <w:spacing w:after="0"/>
              <w:rPr>
                <w:sz w:val="15"/>
                <w:szCs w:val="15"/>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15"/>
                <w:szCs w:val="15"/>
                <w:color w:val="auto"/>
              </w:rPr>
            </w:pPr>
          </w:p>
        </w:tc>
        <w:tc>
          <w:tcPr>
            <w:tcW w:w="660" w:type="dxa"/>
            <w:vAlign w:val="bottom"/>
          </w:tcPr>
          <w:p>
            <w:pPr>
              <w:jc w:val="right"/>
              <w:ind w:right="266"/>
              <w:spacing w:after="0"/>
              <w:rPr>
                <w:sz w:val="20"/>
                <w:szCs w:val="20"/>
                <w:color w:val="auto"/>
              </w:rPr>
            </w:pPr>
            <w:r>
              <w:rPr>
                <w:rFonts w:ascii="Arial" w:cs="Arial" w:eastAsia="Arial" w:hAnsi="Arial"/>
                <w:sz w:val="15"/>
                <w:szCs w:val="15"/>
                <w:color w:val="auto"/>
              </w:rPr>
              <w:t>—</w:t>
            </w:r>
          </w:p>
        </w:tc>
        <w:tc>
          <w:tcPr>
            <w:tcW w:w="5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00" w:type="dxa"/>
            <w:vAlign w:val="bottom"/>
            <w:gridSpan w:val="2"/>
          </w:tcPr>
          <w:p>
            <w:pPr>
              <w:jc w:val="right"/>
              <w:spacing w:after="0"/>
              <w:rPr>
                <w:sz w:val="20"/>
                <w:szCs w:val="20"/>
                <w:color w:val="auto"/>
              </w:rPr>
            </w:pPr>
            <w:r>
              <w:rPr>
                <w:rFonts w:ascii="Arial" w:cs="Arial" w:eastAsia="Arial" w:hAnsi="Arial"/>
                <w:sz w:val="15"/>
                <w:szCs w:val="15"/>
                <w:color w:val="auto"/>
              </w:rPr>
              <w:t>16.6</w:t>
            </w:r>
          </w:p>
        </w:tc>
        <w:tc>
          <w:tcPr>
            <w:tcW w:w="1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80" w:type="dxa"/>
            <w:vAlign w:val="bottom"/>
          </w:tcPr>
          <w:p>
            <w:pPr>
              <w:jc w:val="center"/>
              <w:spacing w:after="0"/>
              <w:rPr>
                <w:sz w:val="20"/>
                <w:szCs w:val="20"/>
                <w:color w:val="auto"/>
              </w:rPr>
            </w:pPr>
            <w:r>
              <w:rPr>
                <w:rFonts w:ascii="Arial" w:cs="Arial" w:eastAsia="Arial" w:hAnsi="Arial"/>
                <w:sz w:val="15"/>
                <w:szCs w:val="15"/>
                <w:color w:val="auto"/>
                <w:w w:val="90"/>
              </w:rPr>
              <w:t>15.59</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080" w:type="dxa"/>
            <w:vAlign w:val="bottom"/>
            <w:shd w:val="clear" w:color="auto" w:fill="CCEEFF"/>
          </w:tcPr>
          <w:p>
            <w:pPr>
              <w:spacing w:after="0"/>
              <w:rPr>
                <w:sz w:val="20"/>
                <w:szCs w:val="20"/>
                <w:color w:val="auto"/>
              </w:rPr>
            </w:pPr>
            <w:r>
              <w:rPr>
                <w:rFonts w:ascii="Arial" w:cs="Arial" w:eastAsia="Arial" w:hAnsi="Arial"/>
                <w:sz w:val="15"/>
                <w:szCs w:val="15"/>
                <w:color w:val="auto"/>
              </w:rPr>
              <w:t>Balance at December 31, 2016</w:t>
            </w:r>
          </w:p>
        </w:tc>
        <w:tc>
          <w:tcPr>
            <w:tcW w:w="280" w:type="dxa"/>
            <w:vAlign w:val="bottom"/>
            <w:shd w:val="clear" w:color="auto" w:fill="CCEEFF"/>
          </w:tcPr>
          <w:p>
            <w:pPr>
              <w:spacing w:after="0"/>
              <w:rPr>
                <w:sz w:val="15"/>
                <w:szCs w:val="15"/>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12.1</w:t>
            </w:r>
          </w:p>
        </w:tc>
        <w:tc>
          <w:tcPr>
            <w:tcW w:w="1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5.4</w:t>
            </w:r>
          </w:p>
        </w:tc>
        <w:tc>
          <w:tcPr>
            <w:tcW w:w="180" w:type="dxa"/>
            <w:vAlign w:val="bottom"/>
            <w:shd w:val="clear" w:color="auto" w:fill="CCEEFF"/>
          </w:tcPr>
          <w:p>
            <w:pPr>
              <w:spacing w:after="0"/>
              <w:rPr>
                <w:sz w:val="15"/>
                <w:szCs w:val="15"/>
                <w:color w:val="auto"/>
              </w:rPr>
            </w:pPr>
          </w:p>
        </w:tc>
        <w:tc>
          <w:tcPr>
            <w:tcW w:w="240" w:type="dxa"/>
            <w:vAlign w:val="bottom"/>
            <w:shd w:val="clear" w:color="auto" w:fill="CCEEFF"/>
          </w:tcPr>
          <w:p>
            <w:pPr>
              <w:ind w:left="140"/>
              <w:spacing w:after="0"/>
              <w:rPr>
                <w:sz w:val="20"/>
                <w:szCs w:val="20"/>
                <w:color w:val="auto"/>
              </w:rPr>
            </w:pPr>
            <w:r>
              <w:rPr>
                <w:rFonts w:ascii="Arial" w:cs="Arial" w:eastAsia="Arial" w:hAnsi="Arial"/>
                <w:sz w:val="15"/>
                <w:szCs w:val="15"/>
                <w:color w:val="auto"/>
                <w:w w:val="95"/>
              </w:rPr>
              <w:t>$</w:t>
            </w:r>
          </w:p>
        </w:tc>
        <w:tc>
          <w:tcPr>
            <w:tcW w:w="660" w:type="dxa"/>
            <w:vAlign w:val="bottom"/>
            <w:shd w:val="clear" w:color="auto" w:fill="CCEEFF"/>
          </w:tcPr>
          <w:p>
            <w:pPr>
              <w:jc w:val="right"/>
              <w:ind w:right="186"/>
              <w:spacing w:after="0"/>
              <w:rPr>
                <w:sz w:val="20"/>
                <w:szCs w:val="20"/>
                <w:color w:val="auto"/>
              </w:rPr>
            </w:pPr>
            <w:r>
              <w:rPr>
                <w:rFonts w:ascii="Arial" w:cs="Arial" w:eastAsia="Arial" w:hAnsi="Arial"/>
                <w:sz w:val="15"/>
                <w:szCs w:val="15"/>
                <w:color w:val="auto"/>
              </w:rPr>
              <w:t>10.68</w:t>
            </w:r>
          </w:p>
        </w:tc>
        <w:tc>
          <w:tcPr>
            <w:tcW w:w="5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6.5</w:t>
            </w:r>
          </w:p>
        </w:tc>
        <w:tc>
          <w:tcPr>
            <w:tcW w:w="2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54.0</w:t>
            </w:r>
          </w:p>
        </w:tc>
        <w:tc>
          <w:tcPr>
            <w:tcW w:w="180" w:type="dxa"/>
            <w:vAlign w:val="bottom"/>
            <w:shd w:val="clear" w:color="auto" w:fill="CCEEFF"/>
          </w:tcPr>
          <w:p>
            <w:pPr>
              <w:spacing w:after="0"/>
              <w:rPr>
                <w:sz w:val="15"/>
                <w:szCs w:val="15"/>
                <w:color w:val="auto"/>
              </w:rPr>
            </w:pPr>
          </w:p>
        </w:tc>
        <w:tc>
          <w:tcPr>
            <w:tcW w:w="260" w:type="dxa"/>
            <w:vAlign w:val="bottom"/>
            <w:shd w:val="clear" w:color="auto" w:fill="CCEEFF"/>
          </w:tcPr>
          <w:p>
            <w:pPr>
              <w:ind w:left="120"/>
              <w:spacing w:after="0"/>
              <w:rPr>
                <w:sz w:val="20"/>
                <w:szCs w:val="20"/>
                <w:color w:val="auto"/>
              </w:rPr>
            </w:pPr>
            <w:r>
              <w:rPr>
                <w:rFonts w:ascii="Arial" w:cs="Arial" w:eastAsia="Arial" w:hAnsi="Arial"/>
                <w:sz w:val="15"/>
                <w:szCs w:val="15"/>
                <w:color w:val="auto"/>
              </w:rPr>
              <w:t>$</w:t>
            </w:r>
          </w:p>
        </w:tc>
        <w:tc>
          <w:tcPr>
            <w:tcW w:w="38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90"/>
              </w:rPr>
              <w:t>16.41</w:t>
            </w: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080" w:type="dxa"/>
            <w:vAlign w:val="bottom"/>
          </w:tcPr>
          <w:p>
            <w:pPr>
              <w:spacing w:after="0"/>
              <w:rPr>
                <w:sz w:val="20"/>
                <w:szCs w:val="20"/>
                <w:color w:val="auto"/>
              </w:rPr>
            </w:pPr>
            <w:r>
              <w:rPr>
                <w:rFonts w:ascii="Arial" w:cs="Arial" w:eastAsia="Arial" w:hAnsi="Arial"/>
                <w:sz w:val="15"/>
                <w:szCs w:val="15"/>
                <w:color w:val="auto"/>
              </w:rPr>
              <w:t>Additional shares authorized</w:t>
            </w:r>
          </w:p>
        </w:tc>
        <w:tc>
          <w:tcPr>
            <w:tcW w:w="880" w:type="dxa"/>
            <w:vAlign w:val="bottom"/>
            <w:gridSpan w:val="2"/>
          </w:tcPr>
          <w:p>
            <w:pPr>
              <w:jc w:val="right"/>
              <w:spacing w:after="0"/>
              <w:rPr>
                <w:sz w:val="20"/>
                <w:szCs w:val="20"/>
                <w:color w:val="auto"/>
              </w:rPr>
            </w:pPr>
            <w:r>
              <w:rPr>
                <w:rFonts w:ascii="Arial" w:cs="Arial" w:eastAsia="Arial" w:hAnsi="Arial"/>
                <w:sz w:val="15"/>
                <w:szCs w:val="15"/>
                <w:color w:val="auto"/>
              </w:rPr>
              <w:t>6.7</w:t>
            </w: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15"/>
                <w:szCs w:val="15"/>
                <w:color w:val="auto"/>
              </w:rPr>
            </w:pPr>
          </w:p>
        </w:tc>
        <w:tc>
          <w:tcPr>
            <w:tcW w:w="660" w:type="dxa"/>
            <w:vAlign w:val="bottom"/>
          </w:tcPr>
          <w:p>
            <w:pPr>
              <w:jc w:val="right"/>
              <w:ind w:right="266"/>
              <w:spacing w:after="0"/>
              <w:rPr>
                <w:sz w:val="20"/>
                <w:szCs w:val="20"/>
                <w:color w:val="auto"/>
              </w:rPr>
            </w:pPr>
            <w:r>
              <w:rPr>
                <w:rFonts w:ascii="Arial" w:cs="Arial" w:eastAsia="Arial" w:hAnsi="Arial"/>
                <w:sz w:val="15"/>
                <w:szCs w:val="15"/>
                <w:color w:val="auto"/>
              </w:rPr>
              <w:t>—</w:t>
            </w:r>
          </w:p>
        </w:tc>
        <w:tc>
          <w:tcPr>
            <w:tcW w:w="5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60" w:type="dxa"/>
            <w:vAlign w:val="bottom"/>
            <w:gridSpan w:val="2"/>
          </w:tcPr>
          <w:p>
            <w:pPr>
              <w:jc w:val="right"/>
              <w:ind w:right="260"/>
              <w:spacing w:after="0"/>
              <w:rPr>
                <w:sz w:val="20"/>
                <w:szCs w:val="20"/>
                <w:color w:val="auto"/>
              </w:rPr>
            </w:pPr>
            <w:r>
              <w:rPr>
                <w:rFonts w:ascii="Arial" w:cs="Arial" w:eastAsia="Arial" w:hAnsi="Arial"/>
                <w:sz w:val="15"/>
                <w:szCs w:val="15"/>
                <w:color w:val="auto"/>
              </w:rPr>
              <w:t>—</w:t>
            </w:r>
          </w:p>
        </w:tc>
        <w:tc>
          <w:tcPr>
            <w:tcW w:w="260" w:type="dxa"/>
            <w:vAlign w:val="bottom"/>
          </w:tcPr>
          <w:p>
            <w:pPr>
              <w:spacing w:after="0"/>
              <w:rPr>
                <w:sz w:val="15"/>
                <w:szCs w:val="15"/>
                <w:color w:val="auto"/>
              </w:rPr>
            </w:pPr>
          </w:p>
        </w:tc>
        <w:tc>
          <w:tcPr>
            <w:tcW w:w="420" w:type="dxa"/>
            <w:vAlign w:val="bottom"/>
            <w:gridSpan w:val="2"/>
          </w:tcPr>
          <w:p>
            <w:pPr>
              <w:jc w:val="center"/>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080" w:type="dxa"/>
            <w:vAlign w:val="bottom"/>
            <w:shd w:val="clear" w:color="auto" w:fill="CCEEFF"/>
          </w:tcPr>
          <w:p>
            <w:pPr>
              <w:spacing w:after="0"/>
              <w:rPr>
                <w:sz w:val="20"/>
                <w:szCs w:val="20"/>
                <w:color w:val="auto"/>
              </w:rPr>
            </w:pPr>
            <w:r>
              <w:rPr>
                <w:rFonts w:ascii="Arial" w:cs="Arial" w:eastAsia="Arial" w:hAnsi="Arial"/>
                <w:sz w:val="15"/>
                <w:szCs w:val="15"/>
                <w:color w:val="auto"/>
              </w:rPr>
              <w:t>Options exercised and RSUs released</w:t>
            </w:r>
          </w:p>
        </w:tc>
        <w:tc>
          <w:tcPr>
            <w:tcW w:w="28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260"/>
              <w:spacing w:after="0"/>
              <w:rPr>
                <w:sz w:val="20"/>
                <w:szCs w:val="20"/>
                <w:color w:val="auto"/>
              </w:rPr>
            </w:pPr>
            <w:r>
              <w:rPr>
                <w:rFonts w:ascii="Arial" w:cs="Arial" w:eastAsia="Arial" w:hAnsi="Arial"/>
                <w:sz w:val="15"/>
                <w:szCs w:val="15"/>
                <w:color w:val="auto"/>
              </w:rPr>
              <w:t>—</w:t>
            </w:r>
          </w:p>
        </w:tc>
        <w:tc>
          <w:tcPr>
            <w:tcW w:w="880" w:type="dxa"/>
            <w:vAlign w:val="bottom"/>
            <w:gridSpan w:val="3"/>
            <w:shd w:val="clear" w:color="auto" w:fill="CCEEFF"/>
          </w:tcPr>
          <w:p>
            <w:pPr>
              <w:jc w:val="right"/>
              <w:ind w:right="80"/>
              <w:spacing w:after="0"/>
              <w:rPr>
                <w:sz w:val="20"/>
                <w:szCs w:val="20"/>
                <w:color w:val="auto"/>
              </w:rPr>
            </w:pPr>
            <w:r>
              <w:rPr>
                <w:rFonts w:ascii="Arial" w:cs="Arial" w:eastAsia="Arial" w:hAnsi="Arial"/>
                <w:sz w:val="15"/>
                <w:szCs w:val="15"/>
                <w:color w:val="auto"/>
              </w:rPr>
              <w:t>(0.1)</w:t>
            </w:r>
          </w:p>
        </w:tc>
        <w:tc>
          <w:tcPr>
            <w:tcW w:w="240" w:type="dxa"/>
            <w:vAlign w:val="bottom"/>
            <w:shd w:val="clear" w:color="auto" w:fill="CCEEFF"/>
          </w:tcPr>
          <w:p>
            <w:pPr>
              <w:spacing w:after="0"/>
              <w:rPr>
                <w:sz w:val="15"/>
                <w:szCs w:val="15"/>
                <w:color w:val="auto"/>
              </w:rPr>
            </w:pPr>
          </w:p>
        </w:tc>
        <w:tc>
          <w:tcPr>
            <w:tcW w:w="660" w:type="dxa"/>
            <w:vAlign w:val="bottom"/>
            <w:shd w:val="clear" w:color="auto" w:fill="CCEEFF"/>
          </w:tcPr>
          <w:p>
            <w:pPr>
              <w:jc w:val="right"/>
              <w:ind w:right="186"/>
              <w:spacing w:after="0"/>
              <w:rPr>
                <w:sz w:val="20"/>
                <w:szCs w:val="20"/>
                <w:color w:val="auto"/>
              </w:rPr>
            </w:pPr>
            <w:r>
              <w:rPr>
                <w:rFonts w:ascii="Arial" w:cs="Arial" w:eastAsia="Arial" w:hAnsi="Arial"/>
                <w:sz w:val="15"/>
                <w:szCs w:val="15"/>
                <w:color w:val="auto"/>
              </w:rPr>
              <w:t>6.00</w:t>
            </w:r>
          </w:p>
        </w:tc>
        <w:tc>
          <w:tcPr>
            <w:tcW w:w="5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780" w:type="dxa"/>
            <w:vAlign w:val="bottom"/>
            <w:gridSpan w:val="3"/>
            <w:shd w:val="clear" w:color="auto" w:fill="CCEEFF"/>
          </w:tcPr>
          <w:p>
            <w:pPr>
              <w:jc w:val="right"/>
              <w:ind w:right="140"/>
              <w:spacing w:after="0"/>
              <w:rPr>
                <w:sz w:val="20"/>
                <w:szCs w:val="20"/>
                <w:color w:val="auto"/>
              </w:rPr>
            </w:pPr>
            <w:r>
              <w:rPr>
                <w:rFonts w:ascii="Arial" w:cs="Arial" w:eastAsia="Arial" w:hAnsi="Arial"/>
                <w:sz w:val="15"/>
                <w:szCs w:val="15"/>
                <w:color w:val="auto"/>
              </w:rPr>
              <w:t>(14.6)</w:t>
            </w:r>
          </w:p>
        </w:tc>
        <w:tc>
          <w:tcPr>
            <w:tcW w:w="260" w:type="dxa"/>
            <w:vAlign w:val="bottom"/>
            <w:shd w:val="clear" w:color="auto" w:fill="CCEEFF"/>
          </w:tcPr>
          <w:p>
            <w:pPr>
              <w:spacing w:after="0"/>
              <w:rPr>
                <w:sz w:val="15"/>
                <w:szCs w:val="15"/>
                <w:color w:val="auto"/>
              </w:rPr>
            </w:pPr>
          </w:p>
        </w:tc>
        <w:tc>
          <w:tcPr>
            <w:tcW w:w="38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90"/>
              </w:rPr>
              <w:t>17.12</w:t>
            </w: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080" w:type="dxa"/>
            <w:vAlign w:val="bottom"/>
          </w:tcPr>
          <w:p>
            <w:pPr>
              <w:spacing w:after="0"/>
              <w:rPr>
                <w:sz w:val="20"/>
                <w:szCs w:val="20"/>
                <w:color w:val="auto"/>
              </w:rPr>
            </w:pPr>
            <w:r>
              <w:rPr>
                <w:rFonts w:ascii="Arial" w:cs="Arial" w:eastAsia="Arial" w:hAnsi="Arial"/>
                <w:sz w:val="15"/>
                <w:szCs w:val="15"/>
                <w:color w:val="auto"/>
              </w:rPr>
              <w:t>Options and RSUs canceled</w:t>
            </w:r>
          </w:p>
        </w:tc>
        <w:tc>
          <w:tcPr>
            <w:tcW w:w="880" w:type="dxa"/>
            <w:vAlign w:val="bottom"/>
            <w:gridSpan w:val="2"/>
          </w:tcPr>
          <w:p>
            <w:pPr>
              <w:jc w:val="right"/>
              <w:spacing w:after="0"/>
              <w:rPr>
                <w:sz w:val="20"/>
                <w:szCs w:val="20"/>
                <w:color w:val="auto"/>
              </w:rPr>
            </w:pPr>
            <w:r>
              <w:rPr>
                <w:rFonts w:ascii="Arial" w:cs="Arial" w:eastAsia="Arial" w:hAnsi="Arial"/>
                <w:sz w:val="15"/>
                <w:szCs w:val="15"/>
                <w:color w:val="auto"/>
              </w:rPr>
              <w:t>6.2</w:t>
            </w:r>
          </w:p>
        </w:tc>
        <w:tc>
          <w:tcPr>
            <w:tcW w:w="180" w:type="dxa"/>
            <w:vAlign w:val="bottom"/>
          </w:tcPr>
          <w:p>
            <w:pPr>
              <w:spacing w:after="0"/>
              <w:rPr>
                <w:sz w:val="15"/>
                <w:szCs w:val="15"/>
                <w:color w:val="auto"/>
              </w:rPr>
            </w:pPr>
          </w:p>
        </w:tc>
        <w:tc>
          <w:tcPr>
            <w:tcW w:w="880" w:type="dxa"/>
            <w:vAlign w:val="bottom"/>
            <w:gridSpan w:val="3"/>
          </w:tcPr>
          <w:p>
            <w:pPr>
              <w:jc w:val="right"/>
              <w:ind w:right="80"/>
              <w:spacing w:after="0"/>
              <w:rPr>
                <w:sz w:val="20"/>
                <w:szCs w:val="20"/>
                <w:color w:val="auto"/>
              </w:rPr>
            </w:pPr>
            <w:r>
              <w:rPr>
                <w:rFonts w:ascii="Arial" w:cs="Arial" w:eastAsia="Arial" w:hAnsi="Arial"/>
                <w:sz w:val="15"/>
                <w:szCs w:val="15"/>
                <w:color w:val="auto"/>
              </w:rPr>
              <w:t>(0.3)</w:t>
            </w:r>
          </w:p>
        </w:tc>
        <w:tc>
          <w:tcPr>
            <w:tcW w:w="240" w:type="dxa"/>
            <w:vAlign w:val="bottom"/>
          </w:tcPr>
          <w:p>
            <w:pPr>
              <w:spacing w:after="0"/>
              <w:rPr>
                <w:sz w:val="15"/>
                <w:szCs w:val="15"/>
                <w:color w:val="auto"/>
              </w:rPr>
            </w:pPr>
          </w:p>
        </w:tc>
        <w:tc>
          <w:tcPr>
            <w:tcW w:w="660" w:type="dxa"/>
            <w:vAlign w:val="bottom"/>
          </w:tcPr>
          <w:p>
            <w:pPr>
              <w:jc w:val="right"/>
              <w:ind w:right="186"/>
              <w:spacing w:after="0"/>
              <w:rPr>
                <w:sz w:val="20"/>
                <w:szCs w:val="20"/>
                <w:color w:val="auto"/>
              </w:rPr>
            </w:pPr>
            <w:r>
              <w:rPr>
                <w:rFonts w:ascii="Arial" w:cs="Arial" w:eastAsia="Arial" w:hAnsi="Arial"/>
                <w:sz w:val="15"/>
                <w:szCs w:val="15"/>
                <w:color w:val="auto"/>
              </w:rPr>
              <w:t>17.44</w:t>
            </w:r>
          </w:p>
        </w:tc>
        <w:tc>
          <w:tcPr>
            <w:tcW w:w="5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gridSpan w:val="3"/>
          </w:tcPr>
          <w:p>
            <w:pPr>
              <w:jc w:val="right"/>
              <w:ind w:right="140"/>
              <w:spacing w:after="0"/>
              <w:rPr>
                <w:sz w:val="20"/>
                <w:szCs w:val="20"/>
                <w:color w:val="auto"/>
              </w:rPr>
            </w:pPr>
            <w:r>
              <w:rPr>
                <w:rFonts w:ascii="Arial" w:cs="Arial" w:eastAsia="Arial" w:hAnsi="Arial"/>
                <w:sz w:val="15"/>
                <w:szCs w:val="15"/>
                <w:color w:val="auto"/>
              </w:rPr>
              <w:t>(6.0)</w:t>
            </w:r>
          </w:p>
        </w:tc>
        <w:tc>
          <w:tcPr>
            <w:tcW w:w="260" w:type="dxa"/>
            <w:vAlign w:val="bottom"/>
          </w:tcPr>
          <w:p>
            <w:pPr>
              <w:spacing w:after="0"/>
              <w:rPr>
                <w:sz w:val="15"/>
                <w:szCs w:val="15"/>
                <w:color w:val="auto"/>
              </w:rPr>
            </w:pPr>
          </w:p>
        </w:tc>
        <w:tc>
          <w:tcPr>
            <w:tcW w:w="380" w:type="dxa"/>
            <w:vAlign w:val="bottom"/>
          </w:tcPr>
          <w:p>
            <w:pPr>
              <w:jc w:val="center"/>
              <w:spacing w:after="0"/>
              <w:rPr>
                <w:sz w:val="20"/>
                <w:szCs w:val="20"/>
                <w:color w:val="auto"/>
              </w:rPr>
            </w:pPr>
            <w:r>
              <w:rPr>
                <w:rFonts w:ascii="Arial" w:cs="Arial" w:eastAsia="Arial" w:hAnsi="Arial"/>
                <w:sz w:val="15"/>
                <w:szCs w:val="15"/>
                <w:color w:val="auto"/>
                <w:w w:val="90"/>
              </w:rPr>
              <w:t>17.96</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4080" w:type="dxa"/>
            <w:vAlign w:val="bottom"/>
            <w:shd w:val="clear" w:color="auto" w:fill="CCEEFF"/>
          </w:tcPr>
          <w:p>
            <w:pPr>
              <w:spacing w:after="0" w:line="170" w:lineRule="exact"/>
              <w:rPr>
                <w:sz w:val="20"/>
                <w:szCs w:val="20"/>
                <w:color w:val="auto"/>
              </w:rPr>
            </w:pPr>
            <w:r>
              <w:rPr>
                <w:rFonts w:ascii="Arial" w:cs="Arial" w:eastAsia="Arial" w:hAnsi="Arial"/>
                <w:sz w:val="15"/>
                <w:szCs w:val="15"/>
                <w:color w:val="auto"/>
                <w:w w:val="95"/>
              </w:rPr>
              <w:t>Shares repurchased for tax withholdings on release of restricted</w:t>
            </w:r>
          </w:p>
        </w:tc>
        <w:tc>
          <w:tcPr>
            <w:tcW w:w="28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4080" w:type="dxa"/>
            <w:vAlign w:val="bottom"/>
            <w:shd w:val="clear" w:color="auto" w:fill="CCEEFF"/>
          </w:tcPr>
          <w:p>
            <w:pPr>
              <w:ind w:left="120"/>
              <w:spacing w:after="0"/>
              <w:rPr>
                <w:sz w:val="20"/>
                <w:szCs w:val="20"/>
                <w:color w:val="auto"/>
              </w:rPr>
            </w:pPr>
            <w:r>
              <w:rPr>
                <w:rFonts w:ascii="Arial" w:cs="Arial" w:eastAsia="Arial" w:hAnsi="Arial"/>
                <w:sz w:val="15"/>
                <w:szCs w:val="15"/>
                <w:color w:val="auto"/>
              </w:rPr>
              <w:t>stock</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5.5</w:t>
            </w:r>
          </w:p>
        </w:tc>
        <w:tc>
          <w:tcPr>
            <w:tcW w:w="1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w:t>
            </w:r>
          </w:p>
        </w:tc>
        <w:tc>
          <w:tcPr>
            <w:tcW w:w="240" w:type="dxa"/>
            <w:vAlign w:val="bottom"/>
            <w:shd w:val="clear" w:color="auto" w:fill="CCEEFF"/>
          </w:tcPr>
          <w:p>
            <w:pPr>
              <w:spacing w:after="0"/>
              <w:rPr>
                <w:sz w:val="16"/>
                <w:szCs w:val="16"/>
                <w:color w:val="auto"/>
              </w:rPr>
            </w:pPr>
          </w:p>
        </w:tc>
        <w:tc>
          <w:tcPr>
            <w:tcW w:w="660" w:type="dxa"/>
            <w:vAlign w:val="bottom"/>
            <w:shd w:val="clear" w:color="auto" w:fill="CCEEFF"/>
          </w:tcPr>
          <w:p>
            <w:pPr>
              <w:jc w:val="right"/>
              <w:ind w:right="266"/>
              <w:spacing w:after="0"/>
              <w:rPr>
                <w:sz w:val="20"/>
                <w:szCs w:val="20"/>
                <w:color w:val="auto"/>
              </w:rPr>
            </w:pPr>
            <w:r>
              <w:rPr>
                <w:rFonts w:ascii="Arial" w:cs="Arial" w:eastAsia="Arial" w:hAnsi="Arial"/>
                <w:sz w:val="15"/>
                <w:szCs w:val="15"/>
                <w:color w:val="auto"/>
              </w:rPr>
              <w:t>—</w:t>
            </w:r>
          </w:p>
        </w:tc>
        <w:tc>
          <w:tcPr>
            <w:tcW w:w="5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260"/>
              <w:spacing w:after="0"/>
              <w:rPr>
                <w:sz w:val="20"/>
                <w:szCs w:val="20"/>
                <w:color w:val="auto"/>
              </w:rPr>
            </w:pPr>
            <w:r>
              <w:rPr>
                <w:rFonts w:ascii="Arial" w:cs="Arial" w:eastAsia="Arial" w:hAnsi="Arial"/>
                <w:sz w:val="15"/>
                <w:szCs w:val="15"/>
                <w:color w:val="auto"/>
              </w:rPr>
              <w:t>—</w:t>
            </w:r>
          </w:p>
        </w:tc>
        <w:tc>
          <w:tcPr>
            <w:tcW w:w="260" w:type="dxa"/>
            <w:vAlign w:val="bottom"/>
            <w:shd w:val="clear" w:color="auto" w:fill="CCEEFF"/>
          </w:tcPr>
          <w:p>
            <w:pPr>
              <w:spacing w:after="0"/>
              <w:rPr>
                <w:sz w:val="16"/>
                <w:szCs w:val="16"/>
                <w:color w:val="auto"/>
              </w:rPr>
            </w:pPr>
          </w:p>
        </w:tc>
        <w:tc>
          <w:tcPr>
            <w:tcW w:w="38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90"/>
              </w:rPr>
              <w:t>17.09</w:t>
            </w: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4080" w:type="dxa"/>
            <w:vAlign w:val="bottom"/>
          </w:tcPr>
          <w:p>
            <w:pPr>
              <w:spacing w:after="0"/>
              <w:rPr>
                <w:sz w:val="20"/>
                <w:szCs w:val="20"/>
                <w:color w:val="auto"/>
              </w:rPr>
            </w:pPr>
            <w:r>
              <w:rPr>
                <w:rFonts w:ascii="Arial" w:cs="Arial" w:eastAsia="Arial" w:hAnsi="Arial"/>
                <w:sz w:val="15"/>
                <w:szCs w:val="15"/>
                <w:color w:val="auto"/>
              </w:rPr>
              <w:t>Restricted stock granted</w:t>
            </w:r>
          </w:p>
        </w:tc>
        <w:tc>
          <w:tcPr>
            <w:tcW w:w="280" w:type="dxa"/>
            <w:vAlign w:val="bottom"/>
          </w:tcPr>
          <w:p>
            <w:pPr>
              <w:spacing w:after="0"/>
              <w:rPr>
                <w:sz w:val="15"/>
                <w:szCs w:val="15"/>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5"/>
                <w:szCs w:val="15"/>
                <w:color w:val="auto"/>
              </w:rPr>
              <w:t>(21.5)</w:t>
            </w:r>
          </w:p>
        </w:tc>
        <w:tc>
          <w:tcPr>
            <w:tcW w:w="140" w:type="dxa"/>
            <w:vAlign w:val="bottom"/>
          </w:tcPr>
          <w:p>
            <w:pPr>
              <w:spacing w:after="0"/>
              <w:rPr>
                <w:sz w:val="15"/>
                <w:szCs w:val="15"/>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15"/>
                <w:szCs w:val="15"/>
                <w:color w:val="auto"/>
              </w:rPr>
            </w:pPr>
          </w:p>
        </w:tc>
        <w:tc>
          <w:tcPr>
            <w:tcW w:w="660" w:type="dxa"/>
            <w:vAlign w:val="bottom"/>
          </w:tcPr>
          <w:p>
            <w:pPr>
              <w:jc w:val="right"/>
              <w:ind w:right="266"/>
              <w:spacing w:after="0"/>
              <w:rPr>
                <w:sz w:val="20"/>
                <w:szCs w:val="20"/>
                <w:color w:val="auto"/>
              </w:rPr>
            </w:pPr>
            <w:r>
              <w:rPr>
                <w:rFonts w:ascii="Arial" w:cs="Arial" w:eastAsia="Arial" w:hAnsi="Arial"/>
                <w:sz w:val="15"/>
                <w:szCs w:val="15"/>
                <w:color w:val="auto"/>
              </w:rPr>
              <w:t>—</w:t>
            </w:r>
          </w:p>
        </w:tc>
        <w:tc>
          <w:tcPr>
            <w:tcW w:w="5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00" w:type="dxa"/>
            <w:vAlign w:val="bottom"/>
            <w:gridSpan w:val="2"/>
          </w:tcPr>
          <w:p>
            <w:pPr>
              <w:jc w:val="right"/>
              <w:spacing w:after="0"/>
              <w:rPr>
                <w:sz w:val="20"/>
                <w:szCs w:val="20"/>
                <w:color w:val="auto"/>
              </w:rPr>
            </w:pPr>
            <w:r>
              <w:rPr>
                <w:rFonts w:ascii="Arial" w:cs="Arial" w:eastAsia="Arial" w:hAnsi="Arial"/>
                <w:sz w:val="15"/>
                <w:szCs w:val="15"/>
                <w:color w:val="auto"/>
              </w:rPr>
              <w:t>21.5</w:t>
            </w:r>
          </w:p>
        </w:tc>
        <w:tc>
          <w:tcPr>
            <w:tcW w:w="1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80" w:type="dxa"/>
            <w:vAlign w:val="bottom"/>
          </w:tcPr>
          <w:p>
            <w:pPr>
              <w:jc w:val="center"/>
              <w:spacing w:after="0"/>
              <w:rPr>
                <w:sz w:val="20"/>
                <w:szCs w:val="20"/>
                <w:color w:val="auto"/>
              </w:rPr>
            </w:pPr>
            <w:r>
              <w:rPr>
                <w:rFonts w:ascii="Arial" w:cs="Arial" w:eastAsia="Arial" w:hAnsi="Arial"/>
                <w:sz w:val="15"/>
                <w:szCs w:val="15"/>
                <w:color w:val="auto"/>
                <w:w w:val="90"/>
              </w:rPr>
              <w:t>15.70</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080" w:type="dxa"/>
            <w:vAlign w:val="bottom"/>
            <w:shd w:val="clear" w:color="auto" w:fill="CCEEFF"/>
          </w:tcPr>
          <w:p>
            <w:pPr>
              <w:spacing w:after="0"/>
              <w:rPr>
                <w:sz w:val="20"/>
                <w:szCs w:val="20"/>
                <w:color w:val="auto"/>
              </w:rPr>
            </w:pPr>
            <w:r>
              <w:rPr>
                <w:rFonts w:ascii="Arial" w:cs="Arial" w:eastAsia="Arial" w:hAnsi="Arial"/>
                <w:sz w:val="15"/>
                <w:szCs w:val="15"/>
                <w:color w:val="auto"/>
              </w:rPr>
              <w:t>Balance at December 31, 2017</w:t>
            </w:r>
          </w:p>
        </w:tc>
        <w:tc>
          <w:tcPr>
            <w:tcW w:w="280" w:type="dxa"/>
            <w:vAlign w:val="bottom"/>
            <w:shd w:val="clear" w:color="auto" w:fill="CCEEFF"/>
          </w:tcPr>
          <w:p>
            <w:pPr>
              <w:spacing w:after="0"/>
              <w:rPr>
                <w:sz w:val="15"/>
                <w:szCs w:val="15"/>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9.0</w:t>
            </w:r>
          </w:p>
        </w:tc>
        <w:tc>
          <w:tcPr>
            <w:tcW w:w="1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5.0</w:t>
            </w:r>
          </w:p>
        </w:tc>
        <w:tc>
          <w:tcPr>
            <w:tcW w:w="180" w:type="dxa"/>
            <w:vAlign w:val="bottom"/>
            <w:shd w:val="clear" w:color="auto" w:fill="CCEEFF"/>
          </w:tcPr>
          <w:p>
            <w:pPr>
              <w:spacing w:after="0"/>
              <w:rPr>
                <w:sz w:val="15"/>
                <w:szCs w:val="15"/>
                <w:color w:val="auto"/>
              </w:rPr>
            </w:pPr>
          </w:p>
        </w:tc>
        <w:tc>
          <w:tcPr>
            <w:tcW w:w="240" w:type="dxa"/>
            <w:vAlign w:val="bottom"/>
            <w:shd w:val="clear" w:color="auto" w:fill="CCEEFF"/>
          </w:tcPr>
          <w:p>
            <w:pPr>
              <w:ind w:left="140"/>
              <w:spacing w:after="0"/>
              <w:rPr>
                <w:sz w:val="20"/>
                <w:szCs w:val="20"/>
                <w:color w:val="auto"/>
              </w:rPr>
            </w:pPr>
            <w:r>
              <w:rPr>
                <w:rFonts w:ascii="Arial" w:cs="Arial" w:eastAsia="Arial" w:hAnsi="Arial"/>
                <w:sz w:val="15"/>
                <w:szCs w:val="15"/>
                <w:color w:val="auto"/>
                <w:w w:val="95"/>
              </w:rPr>
              <w:t>$</w:t>
            </w:r>
          </w:p>
        </w:tc>
        <w:tc>
          <w:tcPr>
            <w:tcW w:w="660" w:type="dxa"/>
            <w:vAlign w:val="bottom"/>
            <w:shd w:val="clear" w:color="auto" w:fill="CCEEFF"/>
          </w:tcPr>
          <w:p>
            <w:pPr>
              <w:jc w:val="right"/>
              <w:ind w:right="186"/>
              <w:spacing w:after="0"/>
              <w:rPr>
                <w:sz w:val="20"/>
                <w:szCs w:val="20"/>
                <w:color w:val="auto"/>
              </w:rPr>
            </w:pPr>
            <w:r>
              <w:rPr>
                <w:rFonts w:ascii="Arial" w:cs="Arial" w:eastAsia="Arial" w:hAnsi="Arial"/>
                <w:sz w:val="15"/>
                <w:szCs w:val="15"/>
                <w:color w:val="auto"/>
              </w:rPr>
              <w:t>10.52</w:t>
            </w:r>
          </w:p>
        </w:tc>
        <w:tc>
          <w:tcPr>
            <w:tcW w:w="5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5.5</w:t>
            </w:r>
          </w:p>
        </w:tc>
        <w:tc>
          <w:tcPr>
            <w:tcW w:w="2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54.9</w:t>
            </w:r>
          </w:p>
        </w:tc>
        <w:tc>
          <w:tcPr>
            <w:tcW w:w="180" w:type="dxa"/>
            <w:vAlign w:val="bottom"/>
            <w:shd w:val="clear" w:color="auto" w:fill="CCEEFF"/>
          </w:tcPr>
          <w:p>
            <w:pPr>
              <w:spacing w:after="0"/>
              <w:rPr>
                <w:sz w:val="15"/>
                <w:szCs w:val="15"/>
                <w:color w:val="auto"/>
              </w:rPr>
            </w:pPr>
          </w:p>
        </w:tc>
        <w:tc>
          <w:tcPr>
            <w:tcW w:w="260" w:type="dxa"/>
            <w:vAlign w:val="bottom"/>
            <w:shd w:val="clear" w:color="auto" w:fill="CCEEFF"/>
          </w:tcPr>
          <w:p>
            <w:pPr>
              <w:ind w:left="120"/>
              <w:spacing w:after="0"/>
              <w:rPr>
                <w:sz w:val="20"/>
                <w:szCs w:val="20"/>
                <w:color w:val="auto"/>
              </w:rPr>
            </w:pPr>
            <w:r>
              <w:rPr>
                <w:rFonts w:ascii="Arial" w:cs="Arial" w:eastAsia="Arial" w:hAnsi="Arial"/>
                <w:sz w:val="15"/>
                <w:szCs w:val="15"/>
                <w:color w:val="auto"/>
              </w:rPr>
              <w:t>$</w:t>
            </w:r>
          </w:p>
        </w:tc>
        <w:tc>
          <w:tcPr>
            <w:tcW w:w="38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90"/>
              </w:rPr>
              <w:t>15.60</w:t>
            </w: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100" w:type="dxa"/>
            <w:vAlign w:val="bottom"/>
            <w:gridSpan w:val="2"/>
            <w:vMerge w:val="restart"/>
          </w:tcPr>
          <w:p>
            <w:pPr>
              <w:spacing w:after="0"/>
              <w:rPr>
                <w:sz w:val="20"/>
                <w:szCs w:val="20"/>
                <w:color w:val="auto"/>
              </w:rPr>
            </w:pPr>
            <w:r>
              <w:rPr>
                <w:rFonts w:ascii="Arial" w:cs="Arial" w:eastAsia="Arial" w:hAnsi="Arial"/>
                <w:sz w:val="15"/>
                <w:szCs w:val="15"/>
                <w:color w:val="auto"/>
              </w:rPr>
              <w:t>Vested at December 31, 2017</w:t>
            </w:r>
          </w:p>
        </w:tc>
        <w:tc>
          <w:tcPr>
            <w:tcW w:w="28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vMerge w:val="restart"/>
          </w:tcPr>
          <w:p>
            <w:pPr>
              <w:ind w:left="140"/>
              <w:spacing w:after="0"/>
              <w:rPr>
                <w:sz w:val="20"/>
                <w:szCs w:val="20"/>
                <w:color w:val="auto"/>
              </w:rPr>
            </w:pPr>
            <w:r>
              <w:rPr>
                <w:rFonts w:ascii="Arial" w:cs="Arial" w:eastAsia="Arial" w:hAnsi="Arial"/>
                <w:sz w:val="15"/>
                <w:szCs w:val="15"/>
                <w:color w:val="auto"/>
                <w:w w:val="95"/>
              </w:rPr>
              <w:t>$</w:t>
            </w:r>
          </w:p>
        </w:tc>
        <w:tc>
          <w:tcPr>
            <w:tcW w:w="660" w:type="dxa"/>
            <w:vAlign w:val="bottom"/>
            <w:vMerge w:val="restart"/>
          </w:tcPr>
          <w:p>
            <w:pPr>
              <w:jc w:val="right"/>
              <w:ind w:right="186"/>
              <w:spacing w:after="0"/>
              <w:rPr>
                <w:sz w:val="20"/>
                <w:szCs w:val="20"/>
                <w:color w:val="auto"/>
              </w:rPr>
            </w:pPr>
            <w:r>
              <w:rPr>
                <w:rFonts w:ascii="Arial" w:cs="Arial" w:eastAsia="Arial" w:hAnsi="Arial"/>
                <w:sz w:val="15"/>
                <w:szCs w:val="15"/>
                <w:color w:val="auto"/>
              </w:rPr>
              <w:t>10.11</w:t>
            </w:r>
          </w:p>
        </w:tc>
        <w:tc>
          <w:tcPr>
            <w:tcW w:w="560" w:type="dxa"/>
            <w:vAlign w:val="bottom"/>
            <w:vMerge w:val="restart"/>
          </w:tcPr>
          <w:p>
            <w:pPr>
              <w:jc w:val="right"/>
              <w:spacing w:after="0"/>
              <w:rPr>
                <w:sz w:val="20"/>
                <w:szCs w:val="20"/>
                <w:color w:val="auto"/>
              </w:rPr>
            </w:pPr>
            <w:r>
              <w:rPr>
                <w:rFonts w:ascii="Arial" w:cs="Arial" w:eastAsia="Arial" w:hAnsi="Arial"/>
                <w:sz w:val="15"/>
                <w:szCs w:val="15"/>
                <w:color w:val="auto"/>
              </w:rPr>
              <w:t>5.5</w:t>
            </w: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vMerge w:val="restart"/>
          </w:tcPr>
          <w:p>
            <w:pPr>
              <w:ind w:left="120"/>
              <w:spacing w:after="0"/>
              <w:rPr>
                <w:sz w:val="20"/>
                <w:szCs w:val="20"/>
                <w:color w:val="auto"/>
              </w:rPr>
            </w:pPr>
            <w:r>
              <w:rPr>
                <w:rFonts w:ascii="Arial" w:cs="Arial" w:eastAsia="Arial" w:hAnsi="Arial"/>
                <w:sz w:val="15"/>
                <w:szCs w:val="15"/>
                <w:color w:val="auto"/>
              </w:rPr>
              <w:t>$</w:t>
            </w:r>
          </w:p>
        </w:tc>
        <w:tc>
          <w:tcPr>
            <w:tcW w:w="420" w:type="dxa"/>
            <w:vAlign w:val="bottom"/>
            <w:gridSpan w:val="2"/>
            <w:vMerge w:val="restart"/>
          </w:tcPr>
          <w:p>
            <w:pPr>
              <w:jc w:val="center"/>
              <w:spacing w:after="0"/>
              <w:rPr>
                <w:sz w:val="20"/>
                <w:szCs w:val="20"/>
                <w:color w:val="auto"/>
              </w:rPr>
            </w:pPr>
            <w:r>
              <w:rPr>
                <w:rFonts w:ascii="Arial" w:cs="Arial" w:eastAsia="Arial" w:hAnsi="Arial"/>
                <w:sz w:val="15"/>
                <w:szCs w:val="15"/>
                <w:color w:val="auto"/>
              </w:rPr>
              <w:t>—</w:t>
            </w:r>
          </w:p>
        </w:tc>
        <w:tc>
          <w:tcPr>
            <w:tcW w:w="0" w:type="dxa"/>
            <w:vAlign w:val="bottom"/>
          </w:tcPr>
          <w:p>
            <w:pPr>
              <w:spacing w:after="0" w:line="20" w:lineRule="exact"/>
              <w:rPr>
                <w:sz w:val="1"/>
                <w:szCs w:val="1"/>
                <w:color w:val="auto"/>
              </w:rPr>
            </w:pPr>
          </w:p>
        </w:tc>
      </w:tr>
      <w:tr>
        <w:trPr>
          <w:trHeight w:val="165"/>
        </w:trPr>
        <w:tc>
          <w:tcPr>
            <w:tcW w:w="4100" w:type="dxa"/>
            <w:vAlign w:val="bottom"/>
            <w:gridSpan w:val="2"/>
            <w:vMerge w:val="continue"/>
          </w:tcPr>
          <w:p>
            <w:pPr>
              <w:spacing w:after="0"/>
              <w:rPr>
                <w:sz w:val="14"/>
                <w:szCs w:val="14"/>
                <w:color w:val="auto"/>
              </w:rPr>
            </w:pPr>
          </w:p>
        </w:tc>
        <w:tc>
          <w:tcPr>
            <w:tcW w:w="2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gridSpan w:val="2"/>
          </w:tcPr>
          <w:p>
            <w:pPr>
              <w:jc w:val="right"/>
              <w:spacing w:after="0" w:line="165" w:lineRule="exact"/>
              <w:rPr>
                <w:sz w:val="20"/>
                <w:szCs w:val="20"/>
                <w:color w:val="auto"/>
              </w:rPr>
            </w:pPr>
            <w:r>
              <w:rPr>
                <w:rFonts w:ascii="Arial" w:cs="Arial" w:eastAsia="Arial" w:hAnsi="Arial"/>
                <w:sz w:val="15"/>
                <w:szCs w:val="15"/>
                <w:color w:val="auto"/>
              </w:rPr>
              <w:t>4.8</w:t>
            </w:r>
          </w:p>
        </w:tc>
        <w:tc>
          <w:tcPr>
            <w:tcW w:w="180" w:type="dxa"/>
            <w:vAlign w:val="bottom"/>
          </w:tcPr>
          <w:p>
            <w:pPr>
              <w:spacing w:after="0"/>
              <w:rPr>
                <w:sz w:val="14"/>
                <w:szCs w:val="14"/>
                <w:color w:val="auto"/>
              </w:rPr>
            </w:pPr>
          </w:p>
        </w:tc>
        <w:tc>
          <w:tcPr>
            <w:tcW w:w="240" w:type="dxa"/>
            <w:vAlign w:val="bottom"/>
            <w:vMerge w:val="continue"/>
          </w:tcPr>
          <w:p>
            <w:pPr>
              <w:spacing w:after="0"/>
              <w:rPr>
                <w:sz w:val="14"/>
                <w:szCs w:val="14"/>
                <w:color w:val="auto"/>
              </w:rPr>
            </w:pPr>
          </w:p>
        </w:tc>
        <w:tc>
          <w:tcPr>
            <w:tcW w:w="660" w:type="dxa"/>
            <w:vAlign w:val="bottom"/>
            <w:vMerge w:val="continue"/>
          </w:tcPr>
          <w:p>
            <w:pPr>
              <w:spacing w:after="0"/>
              <w:rPr>
                <w:sz w:val="14"/>
                <w:szCs w:val="14"/>
                <w:color w:val="auto"/>
              </w:rPr>
            </w:pPr>
          </w:p>
        </w:tc>
        <w:tc>
          <w:tcPr>
            <w:tcW w:w="56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60" w:type="dxa"/>
            <w:vAlign w:val="bottom"/>
            <w:gridSpan w:val="2"/>
          </w:tcPr>
          <w:p>
            <w:pPr>
              <w:jc w:val="right"/>
              <w:ind w:right="260"/>
              <w:spacing w:after="0" w:line="165" w:lineRule="exact"/>
              <w:rPr>
                <w:sz w:val="20"/>
                <w:szCs w:val="20"/>
                <w:color w:val="auto"/>
              </w:rPr>
            </w:pPr>
            <w:r>
              <w:rPr>
                <w:rFonts w:ascii="Arial" w:cs="Arial" w:eastAsia="Arial" w:hAnsi="Arial"/>
                <w:sz w:val="15"/>
                <w:szCs w:val="15"/>
                <w:color w:val="auto"/>
              </w:rPr>
              <w:t>—</w:t>
            </w:r>
          </w:p>
        </w:tc>
        <w:tc>
          <w:tcPr>
            <w:tcW w:w="260" w:type="dxa"/>
            <w:vAlign w:val="bottom"/>
            <w:vMerge w:val="continue"/>
          </w:tcPr>
          <w:p>
            <w:pPr>
              <w:spacing w:after="0"/>
              <w:rPr>
                <w:sz w:val="14"/>
                <w:szCs w:val="14"/>
                <w:color w:val="auto"/>
              </w:rPr>
            </w:pPr>
          </w:p>
        </w:tc>
        <w:tc>
          <w:tcPr>
            <w:tcW w:w="4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20" w:type="dxa"/>
            <w:vAlign w:val="bottom"/>
          </w:tcPr>
          <w:p>
            <w:pPr>
              <w:spacing w:after="0"/>
              <w:rPr>
                <w:sz w:val="14"/>
                <w:szCs w:val="14"/>
                <w:color w:val="auto"/>
              </w:rPr>
            </w:pPr>
          </w:p>
        </w:tc>
        <w:tc>
          <w:tcPr>
            <w:tcW w:w="4080" w:type="dxa"/>
            <w:vAlign w:val="bottom"/>
            <w:shd w:val="clear" w:color="auto" w:fill="CCEEFF"/>
          </w:tcPr>
          <w:p>
            <w:pPr>
              <w:spacing w:after="0" w:line="167" w:lineRule="exact"/>
              <w:rPr>
                <w:sz w:val="20"/>
                <w:szCs w:val="20"/>
                <w:color w:val="auto"/>
              </w:rPr>
            </w:pPr>
            <w:r>
              <w:rPr>
                <w:rFonts w:ascii="Arial" w:cs="Arial" w:eastAsia="Arial" w:hAnsi="Arial"/>
                <w:sz w:val="15"/>
                <w:szCs w:val="15"/>
                <w:color w:val="auto"/>
              </w:rPr>
              <w:t>Unvested at December 31, 2017</w:t>
            </w:r>
          </w:p>
        </w:tc>
        <w:tc>
          <w:tcPr>
            <w:tcW w:w="28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spacing w:after="0" w:line="167" w:lineRule="exact"/>
              <w:rPr>
                <w:sz w:val="20"/>
                <w:szCs w:val="20"/>
                <w:color w:val="auto"/>
              </w:rPr>
            </w:pPr>
            <w:r>
              <w:rPr>
                <w:rFonts w:ascii="Arial" w:cs="Arial" w:eastAsia="Arial" w:hAnsi="Arial"/>
                <w:sz w:val="15"/>
                <w:szCs w:val="15"/>
                <w:color w:val="auto"/>
              </w:rPr>
              <w:t>0.2</w:t>
            </w:r>
          </w:p>
        </w:tc>
        <w:tc>
          <w:tcPr>
            <w:tcW w:w="180" w:type="dxa"/>
            <w:vAlign w:val="bottom"/>
            <w:shd w:val="clear" w:color="auto" w:fill="CCEEFF"/>
          </w:tcPr>
          <w:p>
            <w:pPr>
              <w:spacing w:after="0"/>
              <w:rPr>
                <w:sz w:val="14"/>
                <w:szCs w:val="14"/>
                <w:color w:val="auto"/>
              </w:rPr>
            </w:pPr>
          </w:p>
        </w:tc>
        <w:tc>
          <w:tcPr>
            <w:tcW w:w="240" w:type="dxa"/>
            <w:vAlign w:val="bottom"/>
            <w:shd w:val="clear" w:color="auto" w:fill="CCEEFF"/>
          </w:tcPr>
          <w:p>
            <w:pPr>
              <w:ind w:left="140"/>
              <w:spacing w:after="0" w:line="167" w:lineRule="exact"/>
              <w:rPr>
                <w:sz w:val="20"/>
                <w:szCs w:val="20"/>
                <w:color w:val="auto"/>
              </w:rPr>
            </w:pPr>
            <w:r>
              <w:rPr>
                <w:rFonts w:ascii="Arial" w:cs="Arial" w:eastAsia="Arial" w:hAnsi="Arial"/>
                <w:sz w:val="15"/>
                <w:szCs w:val="15"/>
                <w:color w:val="auto"/>
                <w:w w:val="95"/>
              </w:rPr>
              <w:t>$</w:t>
            </w:r>
          </w:p>
        </w:tc>
        <w:tc>
          <w:tcPr>
            <w:tcW w:w="660" w:type="dxa"/>
            <w:vAlign w:val="bottom"/>
            <w:shd w:val="clear" w:color="auto" w:fill="CCEEFF"/>
          </w:tcPr>
          <w:p>
            <w:pPr>
              <w:jc w:val="right"/>
              <w:ind w:right="186"/>
              <w:spacing w:after="0" w:line="167" w:lineRule="exact"/>
              <w:rPr>
                <w:sz w:val="20"/>
                <w:szCs w:val="20"/>
                <w:color w:val="auto"/>
              </w:rPr>
            </w:pPr>
            <w:r>
              <w:rPr>
                <w:rFonts w:ascii="Arial" w:cs="Arial" w:eastAsia="Arial" w:hAnsi="Arial"/>
                <w:sz w:val="15"/>
                <w:szCs w:val="15"/>
                <w:color w:val="auto"/>
              </w:rPr>
              <w:t>21.11</w:t>
            </w:r>
          </w:p>
        </w:tc>
        <w:tc>
          <w:tcPr>
            <w:tcW w:w="5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600" w:type="dxa"/>
            <w:vAlign w:val="bottom"/>
            <w:gridSpan w:val="2"/>
            <w:shd w:val="clear" w:color="auto" w:fill="CCEEFF"/>
          </w:tcPr>
          <w:p>
            <w:pPr>
              <w:jc w:val="right"/>
              <w:spacing w:after="0" w:line="167" w:lineRule="exact"/>
              <w:rPr>
                <w:sz w:val="20"/>
                <w:szCs w:val="20"/>
                <w:color w:val="auto"/>
              </w:rPr>
            </w:pPr>
            <w:r>
              <w:rPr>
                <w:rFonts w:ascii="Arial" w:cs="Arial" w:eastAsia="Arial" w:hAnsi="Arial"/>
                <w:sz w:val="15"/>
                <w:szCs w:val="15"/>
                <w:color w:val="auto"/>
              </w:rPr>
              <w:t>54.9</w:t>
            </w:r>
          </w:p>
        </w:tc>
        <w:tc>
          <w:tcPr>
            <w:tcW w:w="180" w:type="dxa"/>
            <w:vAlign w:val="bottom"/>
            <w:shd w:val="clear" w:color="auto" w:fill="CCEEFF"/>
          </w:tcPr>
          <w:p>
            <w:pPr>
              <w:spacing w:after="0"/>
              <w:rPr>
                <w:sz w:val="14"/>
                <w:szCs w:val="14"/>
                <w:color w:val="auto"/>
              </w:rPr>
            </w:pPr>
          </w:p>
        </w:tc>
        <w:tc>
          <w:tcPr>
            <w:tcW w:w="260" w:type="dxa"/>
            <w:vAlign w:val="bottom"/>
            <w:shd w:val="clear" w:color="auto" w:fill="CCEEFF"/>
          </w:tcPr>
          <w:p>
            <w:pPr>
              <w:ind w:left="120"/>
              <w:spacing w:after="0" w:line="167" w:lineRule="exact"/>
              <w:rPr>
                <w:sz w:val="20"/>
                <w:szCs w:val="20"/>
                <w:color w:val="auto"/>
              </w:rPr>
            </w:pPr>
            <w:r>
              <w:rPr>
                <w:rFonts w:ascii="Arial" w:cs="Arial" w:eastAsia="Arial" w:hAnsi="Arial"/>
                <w:sz w:val="15"/>
                <w:szCs w:val="15"/>
                <w:color w:val="auto"/>
              </w:rPr>
              <w:t>$</w:t>
            </w:r>
          </w:p>
        </w:tc>
        <w:tc>
          <w:tcPr>
            <w:tcW w:w="380" w:type="dxa"/>
            <w:vAlign w:val="bottom"/>
            <w:shd w:val="clear" w:color="auto" w:fill="CCEEFF"/>
          </w:tcPr>
          <w:p>
            <w:pPr>
              <w:jc w:val="center"/>
              <w:spacing w:after="0" w:line="167" w:lineRule="exact"/>
              <w:rPr>
                <w:sz w:val="20"/>
                <w:szCs w:val="20"/>
                <w:color w:val="auto"/>
              </w:rPr>
            </w:pPr>
            <w:r>
              <w:rPr>
                <w:rFonts w:ascii="Arial" w:cs="Arial" w:eastAsia="Arial" w:hAnsi="Arial"/>
                <w:sz w:val="15"/>
                <w:szCs w:val="15"/>
                <w:color w:val="auto"/>
                <w:w w:val="90"/>
              </w:rPr>
              <w:t>15.60</w:t>
            </w: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1" w:lineRule="exact"/>
        <w:rPr>
          <w:sz w:val="20"/>
          <w:szCs w:val="20"/>
          <w:color w:val="auto"/>
        </w:rPr>
      </w:pPr>
    </w:p>
    <w:p>
      <w:pPr>
        <w:ind w:left="1480"/>
        <w:spacing w:after="0"/>
        <w:rPr>
          <w:sz w:val="20"/>
          <w:szCs w:val="20"/>
          <w:color w:val="auto"/>
        </w:rPr>
      </w:pPr>
      <w:r>
        <w:rPr>
          <w:rFonts w:ascii="Arial" w:cs="Arial" w:eastAsia="Arial" w:hAnsi="Arial"/>
          <w:sz w:val="15"/>
          <w:szCs w:val="15"/>
          <w:color w:val="auto"/>
        </w:rPr>
        <w:t>Two-tier RSUs are included in the unvested share counts in the table above as the Performance Vesting Condition was not probable.</w:t>
      </w:r>
    </w:p>
    <w:p>
      <w:pPr>
        <w:spacing w:after="0" w:line="132" w:lineRule="exact"/>
        <w:rPr>
          <w:sz w:val="20"/>
          <w:szCs w:val="20"/>
          <w:color w:val="auto"/>
        </w:rPr>
      </w:pPr>
    </w:p>
    <w:p>
      <w:pPr>
        <w:ind w:left="5580"/>
        <w:spacing w:after="0"/>
        <w:rPr>
          <w:sz w:val="20"/>
          <w:szCs w:val="20"/>
          <w:color w:val="auto"/>
        </w:rPr>
      </w:pPr>
      <w:r>
        <w:rPr>
          <w:rFonts w:ascii="Arial" w:cs="Arial" w:eastAsia="Arial" w:hAnsi="Arial"/>
          <w:sz w:val="15"/>
          <w:szCs w:val="15"/>
          <w:color w:val="auto"/>
        </w:rPr>
        <w:t>F-27</w:t>
      </w:r>
    </w:p>
    <w:p>
      <w:pPr>
        <w:sectPr>
          <w:pgSz w:w="11900" w:h="16838" w:orient="portrait"/>
          <w:cols w:equalWidth="0" w:num="1">
            <w:col w:w="10320"/>
          </w:cols>
          <w:pgMar w:left="240" w:top="408" w:right="1339" w:bottom="1440" w:gutter="0" w:footer="0" w:header="0"/>
        </w:sectPr>
      </w:pPr>
    </w:p>
    <w:bookmarkStart w:id="230" w:name="page231"/>
    <w:bookmarkEnd w:id="230"/>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133350</wp:posOffset>
            </wp:positionH>
            <wp:positionV relativeFrom="page">
              <wp:posOffset>88900</wp:posOffset>
            </wp:positionV>
            <wp:extent cx="7308850" cy="3429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7308850" cy="34290"/>
                    </a:xfrm>
                    <a:prstGeom prst="rect">
                      <a:avLst/>
                    </a:prstGeom>
                    <a:noFill/>
                  </pic:spPr>
                </pic:pic>
              </a:graphicData>
            </a:graphic>
          </wp:anchor>
        </w:drawing>
      </w:r>
      <w:hyperlink w:anchor="page7">
        <w:r>
          <w:rPr>
            <w:rFonts w:ascii="Arial" w:cs="Arial" w:eastAsia="Arial" w:hAnsi="Arial"/>
            <w:sz w:val="15"/>
            <w:szCs w:val="15"/>
            <w:b w:val="1"/>
            <w:bCs w:val="1"/>
            <w:u w:val="single" w:color="auto"/>
            <w:color w:val="0000EE"/>
          </w:rPr>
          <w:t>Table of Contents</w:t>
        </w:r>
      </w:hyperlink>
    </w:p>
    <w:p>
      <w:pPr>
        <w:spacing w:after="0" w:line="260" w:lineRule="exact"/>
        <w:rPr>
          <w:sz w:val="20"/>
          <w:szCs w:val="20"/>
          <w:color w:val="auto"/>
        </w:rPr>
      </w:pPr>
    </w:p>
    <w:p>
      <w:pPr>
        <w:ind w:left="1120" w:right="120" w:firstLine="368"/>
        <w:spacing w:after="0" w:line="275" w:lineRule="auto"/>
        <w:rPr>
          <w:sz w:val="20"/>
          <w:szCs w:val="20"/>
          <w:color w:val="auto"/>
        </w:rPr>
      </w:pPr>
      <w:r>
        <w:rPr>
          <w:rFonts w:ascii="Arial" w:cs="Arial" w:eastAsia="Arial" w:hAnsi="Arial"/>
          <w:sz w:val="15"/>
          <w:szCs w:val="15"/>
          <w:color w:val="auto"/>
        </w:rPr>
        <w:t>The following table summarizes information about the pre-tax intrinsic value of options exercised and the weighted-average grant date fair value per share of options granted during the years ended December 31, 2015, 2016, and 2017:</w:t>
      </w:r>
    </w:p>
    <w:p>
      <w:pPr>
        <w:spacing w:after="0" w:line="146" w:lineRule="exact"/>
        <w:rPr>
          <w:sz w:val="20"/>
          <w:szCs w:val="20"/>
          <w:color w:val="auto"/>
        </w:rPr>
      </w:pPr>
    </w:p>
    <w:tbl>
      <w:tblPr>
        <w:tblLayout w:type="fixed"/>
        <w:tblInd w:w="1120" w:type="dxa"/>
        <w:tblCellMar>
          <w:top w:w="0" w:type="dxa"/>
          <w:left w:w="0" w:type="dxa"/>
          <w:bottom w:w="0" w:type="dxa"/>
          <w:right w:w="0" w:type="dxa"/>
        </w:tblCellMar>
      </w:tblPr>
      <w:tr>
        <w:trPr>
          <w:trHeight w:val="138"/>
        </w:trPr>
        <w:tc>
          <w:tcPr>
            <w:tcW w:w="610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00" w:type="dxa"/>
            <w:vAlign w:val="bottom"/>
            <w:gridSpan w:val="3"/>
          </w:tcPr>
          <w:p>
            <w:pPr>
              <w:jc w:val="center"/>
              <w:ind w:right="80"/>
              <w:spacing w:after="0"/>
              <w:rPr>
                <w:sz w:val="20"/>
                <w:szCs w:val="20"/>
                <w:color w:val="auto"/>
              </w:rPr>
            </w:pPr>
            <w:r>
              <w:rPr>
                <w:rFonts w:ascii="Arial" w:cs="Arial" w:eastAsia="Arial" w:hAnsi="Arial"/>
                <w:sz w:val="12"/>
                <w:szCs w:val="12"/>
                <w:b w:val="1"/>
                <w:bCs w:val="1"/>
                <w:color w:val="auto"/>
                <w:w w:val="89"/>
              </w:rPr>
              <w:t>Year ended</w:t>
            </w:r>
          </w:p>
        </w:tc>
        <w:tc>
          <w:tcPr>
            <w:tcW w:w="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144"/>
        </w:trPr>
        <w:tc>
          <w:tcPr>
            <w:tcW w:w="610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gridSpan w:val="4"/>
          </w:tcPr>
          <w:p>
            <w:pPr>
              <w:jc w:val="center"/>
              <w:ind w:left="192"/>
              <w:spacing w:after="0"/>
              <w:rPr>
                <w:sz w:val="20"/>
                <w:szCs w:val="20"/>
                <w:color w:val="auto"/>
              </w:rPr>
            </w:pPr>
            <w:r>
              <w:rPr>
                <w:rFonts w:ascii="Arial" w:cs="Arial" w:eastAsia="Arial" w:hAnsi="Arial"/>
                <w:sz w:val="12"/>
                <w:szCs w:val="12"/>
                <w:b w:val="1"/>
                <w:bCs w:val="1"/>
                <w:color w:val="auto"/>
                <w:w w:val="89"/>
              </w:rPr>
              <w:t>December 31,</w:t>
            </w:r>
          </w:p>
        </w:tc>
        <w:tc>
          <w:tcPr>
            <w:tcW w:w="60" w:type="dxa"/>
            <w:vAlign w:val="bottom"/>
            <w:tcBorders>
              <w:bottom w:val="single" w:sz="8" w:color="auto"/>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40" w:type="dxa"/>
            <w:vAlign w:val="bottom"/>
          </w:tcPr>
          <w:p>
            <w:pPr>
              <w:spacing w:after="0"/>
              <w:rPr>
                <w:sz w:val="12"/>
                <w:szCs w:val="12"/>
                <w:color w:val="auto"/>
              </w:rPr>
            </w:pPr>
          </w:p>
        </w:tc>
      </w:tr>
      <w:tr>
        <w:trPr>
          <w:trHeight w:val="115"/>
        </w:trPr>
        <w:tc>
          <w:tcPr>
            <w:tcW w:w="6100" w:type="dxa"/>
            <w:vAlign w:val="bottom"/>
          </w:tcPr>
          <w:p>
            <w:pPr>
              <w:spacing w:after="0"/>
              <w:rPr>
                <w:sz w:val="10"/>
                <w:szCs w:val="10"/>
                <w:color w:val="auto"/>
              </w:rPr>
            </w:pPr>
          </w:p>
        </w:tc>
        <w:tc>
          <w:tcPr>
            <w:tcW w:w="1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40" w:type="dxa"/>
            <w:vAlign w:val="bottom"/>
          </w:tcPr>
          <w:p>
            <w:pPr>
              <w:jc w:val="right"/>
              <w:ind w:right="32"/>
              <w:spacing w:after="0" w:line="115" w:lineRule="exact"/>
              <w:rPr>
                <w:sz w:val="20"/>
                <w:szCs w:val="20"/>
                <w:color w:val="auto"/>
              </w:rPr>
            </w:pPr>
            <w:r>
              <w:rPr>
                <w:rFonts w:ascii="Arial" w:cs="Arial" w:eastAsia="Arial" w:hAnsi="Arial"/>
                <w:sz w:val="12"/>
                <w:szCs w:val="12"/>
                <w:b w:val="1"/>
                <w:bCs w:val="1"/>
                <w:color w:val="auto"/>
                <w:w w:val="82"/>
              </w:rPr>
              <w:t>2015</w:t>
            </w:r>
          </w:p>
        </w:tc>
        <w:tc>
          <w:tcPr>
            <w:tcW w:w="520" w:type="dxa"/>
            <w:vAlign w:val="bottom"/>
            <w:gridSpan w:val="2"/>
          </w:tcPr>
          <w:p>
            <w:pPr>
              <w:jc w:val="right"/>
              <w:spacing w:after="0" w:line="115" w:lineRule="exact"/>
              <w:rPr>
                <w:sz w:val="20"/>
                <w:szCs w:val="20"/>
                <w:color w:val="auto"/>
              </w:rPr>
            </w:pPr>
            <w:r>
              <w:rPr>
                <w:rFonts w:ascii="Arial" w:cs="Arial" w:eastAsia="Arial" w:hAnsi="Arial"/>
                <w:sz w:val="12"/>
                <w:szCs w:val="12"/>
                <w:b w:val="1"/>
                <w:bCs w:val="1"/>
                <w:color w:val="auto"/>
              </w:rPr>
              <w:t>2016</w:t>
            </w:r>
          </w:p>
        </w:tc>
        <w:tc>
          <w:tcPr>
            <w:tcW w:w="180" w:type="dxa"/>
            <w:vAlign w:val="bottom"/>
          </w:tcPr>
          <w:p>
            <w:pPr>
              <w:spacing w:after="0"/>
              <w:rPr>
                <w:sz w:val="10"/>
                <w:szCs w:val="10"/>
                <w:color w:val="auto"/>
              </w:rPr>
            </w:pPr>
          </w:p>
        </w:tc>
        <w:tc>
          <w:tcPr>
            <w:tcW w:w="360" w:type="dxa"/>
            <w:vAlign w:val="bottom"/>
            <w:gridSpan w:val="2"/>
          </w:tcPr>
          <w:p>
            <w:pPr>
              <w:jc w:val="right"/>
              <w:spacing w:after="0" w:line="115" w:lineRule="exact"/>
              <w:rPr>
                <w:sz w:val="20"/>
                <w:szCs w:val="20"/>
                <w:color w:val="auto"/>
              </w:rPr>
            </w:pPr>
            <w:r>
              <w:rPr>
                <w:rFonts w:ascii="Arial" w:cs="Arial" w:eastAsia="Arial" w:hAnsi="Arial"/>
                <w:sz w:val="12"/>
                <w:szCs w:val="12"/>
                <w:b w:val="1"/>
                <w:bCs w:val="1"/>
                <w:color w:val="auto"/>
              </w:rPr>
              <w:t>2017</w:t>
            </w:r>
          </w:p>
        </w:tc>
        <w:tc>
          <w:tcPr>
            <w:tcW w:w="40" w:type="dxa"/>
            <w:vAlign w:val="bottom"/>
          </w:tcPr>
          <w:p>
            <w:pPr>
              <w:spacing w:after="0"/>
              <w:rPr>
                <w:sz w:val="10"/>
                <w:szCs w:val="10"/>
                <w:color w:val="auto"/>
              </w:rPr>
            </w:pPr>
          </w:p>
        </w:tc>
      </w:tr>
      <w:tr>
        <w:trPr>
          <w:trHeight w:val="172"/>
        </w:trPr>
        <w:tc>
          <w:tcPr>
            <w:tcW w:w="6100" w:type="dxa"/>
            <w:vAlign w:val="bottom"/>
            <w:tcBorders>
              <w:top w:val="single" w:sz="8" w:color="CCEEFF"/>
            </w:tcBorders>
            <w:shd w:val="clear" w:color="auto" w:fill="CCEEFF"/>
          </w:tcPr>
          <w:p>
            <w:pPr>
              <w:spacing w:after="0" w:line="170" w:lineRule="exact"/>
              <w:rPr>
                <w:sz w:val="20"/>
                <w:szCs w:val="20"/>
                <w:color w:val="auto"/>
              </w:rPr>
            </w:pPr>
            <w:r>
              <w:rPr>
                <w:rFonts w:ascii="Arial" w:cs="Arial" w:eastAsia="Arial" w:hAnsi="Arial"/>
                <w:sz w:val="15"/>
                <w:szCs w:val="15"/>
                <w:color w:val="auto"/>
              </w:rPr>
              <w:t>Intrinsic value of options exercised</w:t>
            </w:r>
          </w:p>
        </w:tc>
        <w:tc>
          <w:tcPr>
            <w:tcW w:w="158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7.4</w:t>
            </w:r>
          </w:p>
        </w:tc>
        <w:tc>
          <w:tcPr>
            <w:tcW w:w="220" w:type="dxa"/>
            <w:vAlign w:val="bottom"/>
            <w:tcBorders>
              <w:top w:val="single" w:sz="8" w:color="CCEEFF"/>
            </w:tcBorders>
            <w:shd w:val="clear" w:color="auto" w:fill="CCEEFF"/>
          </w:tcPr>
          <w:p>
            <w:pPr>
              <w:spacing w:after="0"/>
              <w:rPr>
                <w:sz w:val="14"/>
                <w:szCs w:val="14"/>
                <w:color w:val="auto"/>
              </w:rPr>
            </w:pPr>
          </w:p>
        </w:tc>
        <w:tc>
          <w:tcPr>
            <w:tcW w:w="3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5"/>
                <w:szCs w:val="15"/>
                <w:color w:val="auto"/>
              </w:rPr>
              <w:t>$—</w:t>
            </w:r>
          </w:p>
        </w:tc>
        <w:tc>
          <w:tcPr>
            <w:tcW w:w="180" w:type="dxa"/>
            <w:vAlign w:val="bottom"/>
            <w:tcBorders>
              <w:top w:val="single" w:sz="8" w:color="CCEEFF"/>
            </w:tcBorders>
            <w:shd w:val="clear" w:color="auto" w:fill="CCEEFF"/>
          </w:tcPr>
          <w:p>
            <w:pPr>
              <w:spacing w:after="0"/>
              <w:rPr>
                <w:sz w:val="14"/>
                <w:szCs w:val="14"/>
                <w:color w:val="auto"/>
              </w:rPr>
            </w:pPr>
          </w:p>
        </w:tc>
        <w:tc>
          <w:tcPr>
            <w:tcW w:w="60" w:type="dxa"/>
            <w:vAlign w:val="bottom"/>
            <w:tcBorders>
              <w:top w:val="single" w:sz="8" w:color="CCEEFF"/>
            </w:tcBorders>
            <w:shd w:val="clear" w:color="auto" w:fill="CCEEFF"/>
          </w:tcPr>
          <w:p>
            <w:pPr>
              <w:spacing w:after="0"/>
              <w:rPr>
                <w:sz w:val="14"/>
                <w:szCs w:val="14"/>
                <w:color w:val="auto"/>
              </w:rPr>
            </w:pPr>
          </w:p>
        </w:tc>
        <w:tc>
          <w:tcPr>
            <w:tcW w:w="3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5"/>
                <w:szCs w:val="15"/>
                <w:color w:val="auto"/>
                <w:w w:val="83"/>
              </w:rPr>
              <w:t>$ 1.2</w:t>
            </w:r>
          </w:p>
        </w:tc>
        <w:tc>
          <w:tcPr>
            <w:tcW w:w="40" w:type="dxa"/>
            <w:vAlign w:val="bottom"/>
            <w:tcBorders>
              <w:top w:val="single" w:sz="8" w:color="CCEEFF"/>
            </w:tcBorders>
            <w:shd w:val="clear" w:color="auto" w:fill="CCEEFF"/>
          </w:tcPr>
          <w:p>
            <w:pPr>
              <w:spacing w:after="0"/>
              <w:rPr>
                <w:sz w:val="14"/>
                <w:szCs w:val="14"/>
                <w:color w:val="auto"/>
              </w:rPr>
            </w:pPr>
          </w:p>
        </w:tc>
      </w:tr>
      <w:tr>
        <w:trPr>
          <w:trHeight w:val="190"/>
        </w:trPr>
        <w:tc>
          <w:tcPr>
            <w:tcW w:w="6100" w:type="dxa"/>
            <w:vAlign w:val="bottom"/>
          </w:tcPr>
          <w:p>
            <w:pPr>
              <w:spacing w:after="0"/>
              <w:rPr>
                <w:sz w:val="20"/>
                <w:szCs w:val="20"/>
                <w:color w:val="auto"/>
              </w:rPr>
            </w:pPr>
            <w:r>
              <w:rPr>
                <w:rFonts w:ascii="Arial" w:cs="Arial" w:eastAsia="Arial" w:hAnsi="Arial"/>
                <w:sz w:val="15"/>
                <w:szCs w:val="15"/>
                <w:color w:val="auto"/>
              </w:rPr>
              <w:t>Weighted-average grant date fair value per share of stock options granted</w:t>
            </w:r>
            <w:r>
              <w:rPr>
                <w:rFonts w:ascii="Arial" w:cs="Arial" w:eastAsia="Arial" w:hAnsi="Arial"/>
                <w:sz w:val="12"/>
                <w:szCs w:val="12"/>
                <w:color w:val="auto"/>
              </w:rPr>
              <w:t>(1)</w:t>
            </w:r>
          </w:p>
        </w:tc>
        <w:tc>
          <w:tcPr>
            <w:tcW w:w="166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340" w:type="dxa"/>
            <w:vAlign w:val="bottom"/>
          </w:tcPr>
          <w:p>
            <w:pPr>
              <w:jc w:val="right"/>
              <w:spacing w:after="0"/>
              <w:rPr>
                <w:sz w:val="20"/>
                <w:szCs w:val="20"/>
                <w:color w:val="auto"/>
              </w:rPr>
            </w:pPr>
            <w:r>
              <w:rPr>
                <w:rFonts w:ascii="Arial" w:cs="Arial" w:eastAsia="Arial" w:hAnsi="Arial"/>
                <w:sz w:val="15"/>
                <w:szCs w:val="15"/>
                <w:color w:val="auto"/>
                <w:w w:val="85"/>
              </w:rPr>
              <w:t>12.27</w:t>
            </w:r>
          </w:p>
        </w:tc>
        <w:tc>
          <w:tcPr>
            <w:tcW w:w="700" w:type="dxa"/>
            <w:vAlign w:val="bottom"/>
            <w:gridSpan w:val="3"/>
          </w:tcPr>
          <w:p>
            <w:pPr>
              <w:ind w:left="220"/>
              <w:spacing w:after="0"/>
              <w:rPr>
                <w:sz w:val="20"/>
                <w:szCs w:val="20"/>
                <w:color w:val="auto"/>
              </w:rPr>
            </w:pPr>
            <w:r>
              <w:rPr>
                <w:rFonts w:ascii="Arial" w:cs="Arial" w:eastAsia="Arial" w:hAnsi="Arial"/>
                <w:sz w:val="15"/>
                <w:szCs w:val="15"/>
                <w:color w:val="auto"/>
              </w:rPr>
              <w:t>$—</w:t>
            </w:r>
          </w:p>
        </w:tc>
        <w:tc>
          <w:tcPr>
            <w:tcW w:w="400" w:type="dxa"/>
            <w:vAlign w:val="bottom"/>
            <w:gridSpan w:val="3"/>
          </w:tcPr>
          <w:p>
            <w:pPr>
              <w:ind w:left="40"/>
              <w:spacing w:after="0"/>
              <w:rPr>
                <w:sz w:val="20"/>
                <w:szCs w:val="20"/>
                <w:color w:val="auto"/>
              </w:rPr>
            </w:pPr>
            <w:r>
              <w:rPr>
                <w:rFonts w:ascii="Arial" w:cs="Arial" w:eastAsia="Arial" w:hAnsi="Arial"/>
                <w:sz w:val="15"/>
                <w:szCs w:val="15"/>
                <w:color w:val="auto"/>
              </w:rPr>
              <w:t>$—</w:t>
            </w:r>
          </w:p>
        </w:tc>
      </w:tr>
    </w:tbl>
    <w:p>
      <w:pPr>
        <w:spacing w:after="0" w:line="183" w:lineRule="exact"/>
        <w:rPr>
          <w:sz w:val="20"/>
          <w:szCs w:val="20"/>
          <w:color w:val="auto"/>
        </w:rPr>
      </w:pPr>
    </w:p>
    <w:p>
      <w:pPr>
        <w:ind w:left="1480" w:right="20" w:hanging="368"/>
        <w:spacing w:after="0" w:line="275" w:lineRule="auto"/>
        <w:tabs>
          <w:tab w:leader="none" w:pos="1480" w:val="left"/>
        </w:tabs>
        <w:numPr>
          <w:ilvl w:val="0"/>
          <w:numId w:val="114"/>
        </w:numPr>
        <w:rPr>
          <w:rFonts w:ascii="Arial" w:cs="Arial" w:eastAsia="Arial" w:hAnsi="Arial"/>
          <w:sz w:val="13"/>
          <w:szCs w:val="13"/>
          <w:color w:val="auto"/>
        </w:rPr>
      </w:pPr>
      <w:r>
        <w:rPr>
          <w:rFonts w:ascii="Arial" w:cs="Arial" w:eastAsia="Arial" w:hAnsi="Arial"/>
          <w:sz w:val="15"/>
          <w:szCs w:val="15"/>
          <w:color w:val="auto"/>
        </w:rPr>
        <w:t>The weighted-average grant date fair value per share of stock options granted is calculated, as of the stock option grant date, using the BSM option pricing model. The Company did not grant stock options during the years ended December 31, 2016 and 2017.</w:t>
      </w:r>
    </w:p>
    <w:p>
      <w:pPr>
        <w:spacing w:after="0" w:line="146" w:lineRule="exact"/>
        <w:rPr>
          <w:sz w:val="20"/>
          <w:szCs w:val="20"/>
          <w:color w:val="auto"/>
        </w:rPr>
      </w:pPr>
    </w:p>
    <w:p>
      <w:pPr>
        <w:ind w:left="1120" w:right="180" w:firstLine="368"/>
        <w:spacing w:after="0" w:line="263" w:lineRule="auto"/>
        <w:rPr>
          <w:sz w:val="20"/>
          <w:szCs w:val="20"/>
          <w:color w:val="auto"/>
        </w:rPr>
      </w:pPr>
      <w:r>
        <w:rPr>
          <w:rFonts w:ascii="Arial" w:cs="Arial" w:eastAsia="Arial" w:hAnsi="Arial"/>
          <w:sz w:val="15"/>
          <w:szCs w:val="15"/>
          <w:color w:val="auto"/>
        </w:rPr>
        <w:t>As of December 31, 2017, unamortized stock-based compensation expense related to unvested stock options, restricted stock awards (excluding the Co-Founder Grants), and one-tier RSUs was $386.8 million. The weighted-average period over which such compensation expense will be recognized if the requisite service is provided is approximately 2.8 years as of December 31, 2017.</w:t>
      </w:r>
    </w:p>
    <w:p>
      <w:pPr>
        <w:spacing w:after="0" w:line="155" w:lineRule="exact"/>
        <w:rPr>
          <w:sz w:val="20"/>
          <w:szCs w:val="20"/>
          <w:color w:val="auto"/>
        </w:rPr>
      </w:pPr>
    </w:p>
    <w:p>
      <w:pPr>
        <w:ind w:left="1480"/>
        <w:spacing w:after="0"/>
        <w:rPr>
          <w:sz w:val="20"/>
          <w:szCs w:val="20"/>
          <w:color w:val="auto"/>
        </w:rPr>
      </w:pPr>
      <w:r>
        <w:rPr>
          <w:rFonts w:ascii="Arial" w:cs="Arial" w:eastAsia="Arial" w:hAnsi="Arial"/>
          <w:sz w:val="13"/>
          <w:szCs w:val="13"/>
          <w:color w:val="auto"/>
        </w:rPr>
        <w:t>As of December 31, 2017, all compensation expense related to the Company’s two-tier RSUs remained unrecognized because the Performance</w:t>
      </w:r>
    </w:p>
    <w:p>
      <w:pPr>
        <w:spacing w:after="0" w:line="40" w:lineRule="exact"/>
        <w:rPr>
          <w:sz w:val="20"/>
          <w:szCs w:val="20"/>
          <w:color w:val="auto"/>
        </w:rPr>
      </w:pPr>
    </w:p>
    <w:p>
      <w:pPr>
        <w:ind w:left="1120"/>
        <w:spacing w:after="0"/>
        <w:rPr>
          <w:sz w:val="20"/>
          <w:szCs w:val="20"/>
          <w:color w:val="auto"/>
        </w:rPr>
      </w:pPr>
      <w:r>
        <w:rPr>
          <w:rFonts w:ascii="Arial" w:cs="Arial" w:eastAsia="Arial" w:hAnsi="Arial"/>
          <w:sz w:val="13"/>
          <w:szCs w:val="13"/>
          <w:color w:val="auto"/>
        </w:rPr>
        <w:t>Vesting Condition was not satisfied. Approximately 26.1 million two-tier RSUs had met their service-based vesting condition as of December 31, 2017,</w:t>
      </w:r>
    </w:p>
    <w:p>
      <w:pPr>
        <w:spacing w:after="0" w:line="31" w:lineRule="exact"/>
        <w:rPr>
          <w:sz w:val="20"/>
          <w:szCs w:val="20"/>
          <w:color w:val="auto"/>
        </w:rPr>
      </w:pPr>
    </w:p>
    <w:p>
      <w:pPr>
        <w:ind w:left="1120"/>
        <w:spacing w:after="0"/>
        <w:rPr>
          <w:sz w:val="20"/>
          <w:szCs w:val="20"/>
          <w:color w:val="auto"/>
        </w:rPr>
      </w:pPr>
      <w:r>
        <w:rPr>
          <w:rFonts w:ascii="Arial" w:cs="Arial" w:eastAsia="Arial" w:hAnsi="Arial"/>
          <w:sz w:val="13"/>
          <w:szCs w:val="13"/>
          <w:color w:val="auto"/>
        </w:rPr>
        <w:t>but not the Performance Vesting Condition. If the Performance Vesting Condition had been satisfied on December 31, 2017, the Company would have</w:t>
      </w:r>
    </w:p>
    <w:p>
      <w:pPr>
        <w:spacing w:after="0" w:line="31" w:lineRule="exact"/>
        <w:rPr>
          <w:sz w:val="20"/>
          <w:szCs w:val="20"/>
          <w:color w:val="auto"/>
        </w:rPr>
      </w:pPr>
    </w:p>
    <w:p>
      <w:pPr>
        <w:ind w:left="1120"/>
        <w:spacing w:after="0"/>
        <w:rPr>
          <w:sz w:val="20"/>
          <w:szCs w:val="20"/>
          <w:color w:val="auto"/>
        </w:rPr>
      </w:pPr>
      <w:r>
        <w:rPr>
          <w:rFonts w:ascii="Arial" w:cs="Arial" w:eastAsia="Arial" w:hAnsi="Arial"/>
          <w:sz w:val="15"/>
          <w:szCs w:val="15"/>
          <w:color w:val="auto"/>
        </w:rPr>
        <w:t>recorded $415.6 million of stock-based compensation expense using the accelerated attribution method related to the two-tier RSUs. As of</w:t>
      </w:r>
    </w:p>
    <w:p>
      <w:pPr>
        <w:spacing w:after="0" w:line="8" w:lineRule="exact"/>
        <w:rPr>
          <w:sz w:val="20"/>
          <w:szCs w:val="20"/>
          <w:color w:val="auto"/>
        </w:rPr>
      </w:pPr>
    </w:p>
    <w:p>
      <w:pPr>
        <w:ind w:left="1120"/>
        <w:spacing w:after="0"/>
        <w:rPr>
          <w:sz w:val="20"/>
          <w:szCs w:val="20"/>
          <w:color w:val="auto"/>
        </w:rPr>
      </w:pPr>
      <w:r>
        <w:rPr>
          <w:rFonts w:ascii="Arial" w:cs="Arial" w:eastAsia="Arial" w:hAnsi="Arial"/>
          <w:sz w:val="14"/>
          <w:szCs w:val="14"/>
          <w:color w:val="auto"/>
        </w:rPr>
        <w:t>December 31, 2017, approximately 2.1 million two-tier RSUs had not met their service-based vesting condition. If the Performance Vesting Condition</w:t>
      </w:r>
    </w:p>
    <w:p>
      <w:pPr>
        <w:spacing w:after="0" w:line="19" w:lineRule="exact"/>
        <w:rPr>
          <w:sz w:val="20"/>
          <w:szCs w:val="20"/>
          <w:color w:val="auto"/>
        </w:rPr>
      </w:pPr>
    </w:p>
    <w:p>
      <w:pPr>
        <w:ind w:left="1120"/>
        <w:spacing w:after="0"/>
        <w:rPr>
          <w:sz w:val="20"/>
          <w:szCs w:val="20"/>
          <w:color w:val="auto"/>
        </w:rPr>
      </w:pPr>
      <w:r>
        <w:rPr>
          <w:rFonts w:ascii="Arial" w:cs="Arial" w:eastAsia="Arial" w:hAnsi="Arial"/>
          <w:sz w:val="14"/>
          <w:szCs w:val="14"/>
          <w:color w:val="auto"/>
        </w:rPr>
        <w:t>had been satisfied on these two-tier RSUs as of December 31, 2017, unamortized stock-based compensation expense of $5.6 million would be</w:t>
      </w:r>
    </w:p>
    <w:p>
      <w:pPr>
        <w:spacing w:after="0" w:line="19" w:lineRule="exact"/>
        <w:rPr>
          <w:sz w:val="20"/>
          <w:szCs w:val="20"/>
          <w:color w:val="auto"/>
        </w:rPr>
      </w:pPr>
    </w:p>
    <w:p>
      <w:pPr>
        <w:ind w:left="1120"/>
        <w:spacing w:after="0"/>
        <w:rPr>
          <w:sz w:val="20"/>
          <w:szCs w:val="20"/>
          <w:color w:val="auto"/>
        </w:rPr>
      </w:pPr>
      <w:r>
        <w:rPr>
          <w:rFonts w:ascii="Arial" w:cs="Arial" w:eastAsia="Arial" w:hAnsi="Arial"/>
          <w:sz w:val="15"/>
          <w:szCs w:val="15"/>
          <w:color w:val="auto"/>
        </w:rPr>
        <w:t>recognized over a weighted-average period of approximately one year if the requisite service is provided.</w:t>
      </w:r>
    </w:p>
    <w:p>
      <w:pPr>
        <w:spacing w:after="0" w:line="269" w:lineRule="exact"/>
        <w:rPr>
          <w:sz w:val="20"/>
          <w:szCs w:val="20"/>
          <w:color w:val="auto"/>
        </w:rPr>
      </w:pPr>
    </w:p>
    <w:p>
      <w:pPr>
        <w:ind w:left="1480"/>
        <w:spacing w:after="0"/>
        <w:rPr>
          <w:sz w:val="20"/>
          <w:szCs w:val="20"/>
          <w:color w:val="auto"/>
        </w:rPr>
      </w:pPr>
      <w:r>
        <w:rPr>
          <w:rFonts w:ascii="Arial" w:cs="Arial" w:eastAsia="Arial" w:hAnsi="Arial"/>
          <w:sz w:val="15"/>
          <w:szCs w:val="15"/>
          <w:i w:val="1"/>
          <w:iCs w:val="1"/>
          <w:color w:val="auto"/>
        </w:rPr>
        <w:t>Co-Founder Grants</w:t>
      </w:r>
    </w:p>
    <w:p>
      <w:pPr>
        <w:spacing w:after="0" w:line="98" w:lineRule="exact"/>
        <w:rPr>
          <w:sz w:val="20"/>
          <w:szCs w:val="20"/>
          <w:color w:val="auto"/>
        </w:rPr>
      </w:pPr>
    </w:p>
    <w:p>
      <w:pPr>
        <w:ind w:left="1120" w:right="20" w:firstLine="368"/>
        <w:spacing w:after="0" w:line="254" w:lineRule="auto"/>
        <w:rPr>
          <w:sz w:val="20"/>
          <w:szCs w:val="20"/>
          <w:color w:val="auto"/>
        </w:rPr>
      </w:pPr>
      <w:r>
        <w:rPr>
          <w:rFonts w:ascii="Arial" w:cs="Arial" w:eastAsia="Arial" w:hAnsi="Arial"/>
          <w:sz w:val="15"/>
          <w:szCs w:val="15"/>
          <w:color w:val="auto"/>
        </w:rPr>
        <w:t>In December 2017, the Board of Directors approved a grant to the Company’s co-founders of non-Plan RSAs with respect to 14.7 million shares of Class A Common Stock in the aggregate (collectively, the “Co-Founder Grants”), of which 10.3 million RSAs were granted to Mr. Houston, the Company’s co-founder and Chief Executive Officer, and 4.4 million RSAs were granted to Mr. Ferdowsi, the Company’s co-founder and Director. These Co-Founder Grants have service-based, market-based, and performance-based vesting conditions. The Co-Founder Grants are excluded from Class A common stock issued and outstanding within these financial statements until the satisfaction of these vesting conditions. The Co-Founder Grants also provide the holders with certain stockholder rights, such as the right to vote the shares with the other holders of Class A common stock and a right to cumulative declared dividends. However, the Co-Founder Grants are not considered a participating security for purposes of calculating net loss per share attributable to common stockholders in Note 12 as the right to the cumulative declared dividends is forfeitable if the service condition is not met.</w:t>
      </w:r>
    </w:p>
    <w:p>
      <w:pPr>
        <w:spacing w:after="0" w:line="162" w:lineRule="exact"/>
        <w:rPr>
          <w:sz w:val="20"/>
          <w:szCs w:val="20"/>
          <w:color w:val="auto"/>
        </w:rPr>
      </w:pPr>
    </w:p>
    <w:p>
      <w:pPr>
        <w:ind w:left="1120" w:right="80" w:firstLine="368"/>
        <w:spacing w:after="0" w:line="276" w:lineRule="auto"/>
        <w:rPr>
          <w:sz w:val="20"/>
          <w:szCs w:val="20"/>
          <w:color w:val="auto"/>
        </w:rPr>
      </w:pPr>
      <w:r>
        <w:rPr>
          <w:rFonts w:ascii="Arial" w:cs="Arial" w:eastAsia="Arial" w:hAnsi="Arial"/>
          <w:sz w:val="14"/>
          <w:szCs w:val="14"/>
          <w:color w:val="auto"/>
        </w:rPr>
        <w:t>The Co-Founder Grants are eligible to vest over the ten-year period following the closing of this offering. The Co-Founder Grants comprise nine tranches that are eligible to vest based on the achievement of stock price goals, or, each, a Stock Price Target, measured over a consecutive thirty-day trading period during the Performance Period. The Performance Period begins on the first trading day following the later of (a) the expiration of the lock-up period following the first date the Company’s shares are traded on an established national securities exchange or automated quotation system (the “IPO Date”) and (b) January 1, 2019 and ends on the earliest to occur of: (i) the date on which all shares subject to the Co-Founder Grants vest, (ii) the date the applicable co-founder ceases to satisfy the service-based vesting condition, (iii) the tenth anniversary of the IPO Date, and (iv) the occurrence of an acquisition of the Company prior to the IPO Date.</w:t>
      </w:r>
    </w:p>
    <w:p>
      <w:pPr>
        <w:spacing w:after="0" w:line="91" w:lineRule="exact"/>
        <w:rPr>
          <w:sz w:val="20"/>
          <w:szCs w:val="20"/>
          <w:color w:val="auto"/>
        </w:rPr>
      </w:pPr>
    </w:p>
    <w:p>
      <w:pPr>
        <w:ind w:left="5580"/>
        <w:spacing w:after="0"/>
        <w:rPr>
          <w:sz w:val="20"/>
          <w:szCs w:val="20"/>
          <w:color w:val="auto"/>
        </w:rPr>
      </w:pPr>
      <w:r>
        <w:rPr>
          <w:rFonts w:ascii="Arial" w:cs="Arial" w:eastAsia="Arial" w:hAnsi="Arial"/>
          <w:sz w:val="15"/>
          <w:szCs w:val="15"/>
          <w:color w:val="auto"/>
        </w:rPr>
        <w:t>F-28</w:t>
      </w:r>
    </w:p>
    <w:p>
      <w:pPr>
        <w:sectPr>
          <w:pgSz w:w="11900" w:h="16838" w:orient="portrait"/>
          <w:cols w:equalWidth="0" w:num="1">
            <w:col w:w="10320"/>
          </w:cols>
          <w:pgMar w:left="240" w:top="408" w:right="1339" w:bottom="1440" w:gutter="0" w:footer="0" w:header="0"/>
        </w:sectPr>
      </w:pPr>
    </w:p>
    <w:bookmarkStart w:id="231" w:name="page232"/>
    <w:bookmarkEnd w:id="231"/>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133350</wp:posOffset>
            </wp:positionH>
            <wp:positionV relativeFrom="page">
              <wp:posOffset>88900</wp:posOffset>
            </wp:positionV>
            <wp:extent cx="7308850" cy="3429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7308850" cy="34290"/>
                    </a:xfrm>
                    <a:prstGeom prst="rect">
                      <a:avLst/>
                    </a:prstGeom>
                    <a:noFill/>
                  </pic:spPr>
                </pic:pic>
              </a:graphicData>
            </a:graphic>
          </wp:anchor>
        </w:drawing>
      </w:r>
      <w:hyperlink w:anchor="page7">
        <w:r>
          <w:rPr>
            <w:rFonts w:ascii="Arial" w:cs="Arial" w:eastAsia="Arial" w:hAnsi="Arial"/>
            <w:sz w:val="15"/>
            <w:szCs w:val="15"/>
            <w:b w:val="1"/>
            <w:bCs w:val="1"/>
            <w:u w:val="single" w:color="auto"/>
            <w:color w:val="0000EE"/>
          </w:rPr>
          <w:t>Table of Contents</w:t>
        </w:r>
      </w:hyperlink>
    </w:p>
    <w:p>
      <w:pPr>
        <w:spacing w:after="0" w:line="260" w:lineRule="exact"/>
        <w:rPr>
          <w:sz w:val="20"/>
          <w:szCs w:val="20"/>
          <w:color w:val="auto"/>
        </w:rPr>
      </w:pPr>
    </w:p>
    <w:p>
      <w:pPr>
        <w:ind w:left="1120" w:right="80" w:firstLine="368"/>
        <w:spacing w:after="0" w:line="312" w:lineRule="auto"/>
        <w:rPr>
          <w:sz w:val="20"/>
          <w:szCs w:val="20"/>
          <w:color w:val="auto"/>
        </w:rPr>
      </w:pPr>
      <w:r>
        <w:rPr>
          <w:rFonts w:ascii="Arial" w:cs="Arial" w:eastAsia="Arial" w:hAnsi="Arial"/>
          <w:sz w:val="14"/>
          <w:szCs w:val="14"/>
          <w:color w:val="auto"/>
        </w:rPr>
        <w:t>During the first four years of the Performance Period, no more than 20% of the shares subject to each Co-Founder Grant would be eligible to vest in any calendar year. After the first four years, all shares are eligible to vest based on the achievement of the Stock Price Targets.</w:t>
      </w:r>
    </w:p>
    <w:p>
      <w:pPr>
        <w:spacing w:after="0" w:line="123" w:lineRule="exact"/>
        <w:rPr>
          <w:sz w:val="20"/>
          <w:szCs w:val="20"/>
          <w:color w:val="auto"/>
        </w:rPr>
      </w:pPr>
    </w:p>
    <w:p>
      <w:pPr>
        <w:jc w:val="both"/>
        <w:ind w:left="1120" w:firstLine="368"/>
        <w:spacing w:after="0" w:line="290" w:lineRule="auto"/>
        <w:rPr>
          <w:sz w:val="20"/>
          <w:szCs w:val="20"/>
          <w:color w:val="auto"/>
        </w:rPr>
      </w:pPr>
      <w:r>
        <w:rPr>
          <w:rFonts w:ascii="Arial" w:cs="Arial" w:eastAsia="Arial" w:hAnsi="Arial"/>
          <w:sz w:val="14"/>
          <w:szCs w:val="14"/>
          <w:color w:val="auto"/>
        </w:rPr>
        <w:t>The Co-Founder Grants contain an implied performance-based vesting condition satisfied upon the IPO Date, because no shares subject to the Co-Founder Grants will vest unless the IPO Date occurs. Accordingly, as of December 31, 2017, all compensation expense related to the Co-Founder Grants remained unrecognized because the performance-based vesting condition was not deemed probable of being achieved.</w:t>
      </w:r>
    </w:p>
    <w:p>
      <w:pPr>
        <w:spacing w:after="0" w:line="138" w:lineRule="exact"/>
        <w:rPr>
          <w:sz w:val="20"/>
          <w:szCs w:val="20"/>
          <w:color w:val="auto"/>
        </w:rPr>
      </w:pPr>
    </w:p>
    <w:p>
      <w:pPr>
        <w:ind w:left="1120" w:firstLine="368"/>
        <w:spacing w:after="0" w:line="273" w:lineRule="auto"/>
        <w:rPr>
          <w:sz w:val="20"/>
          <w:szCs w:val="20"/>
          <w:color w:val="auto"/>
        </w:rPr>
      </w:pPr>
      <w:r>
        <w:rPr>
          <w:rFonts w:ascii="Arial" w:cs="Arial" w:eastAsia="Arial" w:hAnsi="Arial"/>
          <w:sz w:val="14"/>
          <w:szCs w:val="14"/>
          <w:color w:val="auto"/>
        </w:rPr>
        <w:t>The Company calculated the grant date fair value of the Co-Founder Grants based on multiple stock price paths developed through the use of a Monte Carlo simulation. A Monte Carlo simulation also calculates a derived service period for each of the nine vesting tranches, which is the measure of the expected time to achieve each Stock Price Target. A Monte Carlo simulation requires the use of various assumptions, including the underlying stock price, volatility, and the risk-free interest rate as of the valuation date, corresponding to the length of time remaining in the performance period, and expected dividend yield. The weighted-average grant date fair value of each Co-Founder Grant was estimated to be $10.60 per share. The weighted-average derived service period of each Co-Founder Grant was estimated to be 5.2 years, and ranged from 2.9 - 6.9 years. The Company will recognize aggregate stock-based compensation expense of $156.2 million over the derived service period of each tranche using the accelerated attribution method as long as the co-founders satisfy their service-based vesting conditions. If the Stock Price Targets are met sooner than the derived service period, the Company will adjust its stock-based compensation to reflect the cumulative expense associated with the vested awards. The Company will recognize expense if the requisite service is provided, regardless of whether the market conditions are achieved.</w:t>
      </w:r>
    </w:p>
    <w:p>
      <w:pPr>
        <w:spacing w:after="0" w:line="244" w:lineRule="exact"/>
        <w:rPr>
          <w:sz w:val="20"/>
          <w:szCs w:val="20"/>
          <w:color w:val="auto"/>
        </w:rPr>
      </w:pPr>
    </w:p>
    <w:p>
      <w:pPr>
        <w:ind w:left="1480"/>
        <w:spacing w:after="0"/>
        <w:rPr>
          <w:sz w:val="20"/>
          <w:szCs w:val="20"/>
          <w:color w:val="auto"/>
        </w:rPr>
      </w:pPr>
      <w:r>
        <w:rPr>
          <w:rFonts w:ascii="Arial" w:cs="Arial" w:eastAsia="Arial" w:hAnsi="Arial"/>
          <w:sz w:val="15"/>
          <w:szCs w:val="15"/>
          <w:i w:val="1"/>
          <w:iCs w:val="1"/>
          <w:color w:val="auto"/>
        </w:rPr>
        <w:t>Award modifications</w:t>
      </w:r>
    </w:p>
    <w:p>
      <w:pPr>
        <w:spacing w:after="0" w:line="98" w:lineRule="exact"/>
        <w:rPr>
          <w:sz w:val="20"/>
          <w:szCs w:val="20"/>
          <w:color w:val="auto"/>
        </w:rPr>
      </w:pPr>
    </w:p>
    <w:p>
      <w:pPr>
        <w:ind w:left="1120" w:right="100" w:firstLine="368"/>
        <w:spacing w:after="0" w:line="297" w:lineRule="auto"/>
        <w:rPr>
          <w:sz w:val="20"/>
          <w:szCs w:val="20"/>
          <w:color w:val="auto"/>
        </w:rPr>
      </w:pPr>
      <w:r>
        <w:rPr>
          <w:rFonts w:ascii="Arial" w:cs="Arial" w:eastAsia="Arial" w:hAnsi="Arial"/>
          <w:sz w:val="13"/>
          <w:szCs w:val="13"/>
          <w:color w:val="auto"/>
        </w:rPr>
        <w:t>During the year ended December 31, 2016, the Company’s Board of Directors voted to approve the exchange of stock options previously granted to an executive officer under the Plan for one-tier RSUs. In total, options to purchase 4.3 million shares of common stock were exchanged for</w:t>
      </w:r>
    </w:p>
    <w:p>
      <w:pPr>
        <w:ind w:left="1120" w:right="180"/>
        <w:spacing w:after="0" w:line="253" w:lineRule="auto"/>
        <w:rPr>
          <w:sz w:val="20"/>
          <w:szCs w:val="20"/>
          <w:color w:val="auto"/>
        </w:rPr>
      </w:pPr>
      <w:r>
        <w:rPr>
          <w:rFonts w:ascii="Arial" w:cs="Arial" w:eastAsia="Arial" w:hAnsi="Arial"/>
          <w:sz w:val="15"/>
          <w:szCs w:val="15"/>
          <w:color w:val="auto"/>
        </w:rPr>
        <w:t>2.2 million RSUs. Total compensation expense for the modified awards is $37.7 million, of which $18.8 million in stock-based compensation expense was recognized on the date of exchange representing the portion that vested immediately. Out of the total $37.7 million in stock-based compensation expense, $8.9 million was incremental to what would have been recognized related to the original stock option award. The Company will recognize approximately $2.4 million in stock-based compensation expense per quarter related to these awards. As of December 31, 2017, the total unamortized expense relating to these awards was $2.4 million.</w:t>
      </w:r>
    </w:p>
    <w:p>
      <w:pPr>
        <w:spacing w:after="0" w:line="164" w:lineRule="exact"/>
        <w:rPr>
          <w:sz w:val="20"/>
          <w:szCs w:val="20"/>
          <w:color w:val="auto"/>
        </w:rPr>
      </w:pPr>
    </w:p>
    <w:p>
      <w:pPr>
        <w:ind w:left="1120" w:right="140" w:firstLine="368"/>
        <w:spacing w:after="0" w:line="277" w:lineRule="auto"/>
        <w:rPr>
          <w:sz w:val="20"/>
          <w:szCs w:val="20"/>
          <w:color w:val="auto"/>
        </w:rPr>
      </w:pPr>
      <w:r>
        <w:rPr>
          <w:rFonts w:ascii="Arial" w:cs="Arial" w:eastAsia="Arial" w:hAnsi="Arial"/>
          <w:sz w:val="14"/>
          <w:szCs w:val="14"/>
          <w:color w:val="auto"/>
        </w:rPr>
        <w:t>Additionally, during the year ended December 31, 2016, the Board of Directors voted to approve a continuation of vesting upon change in employment status clause for an executive officer who had previously provided services to the Company. Under this clause, 0.4 million RSUs previously granted to the former executive officer will continue to vest for a pre-determined period of time. The continuation of vesting was accounted for as a modification of the terms of the original award. As a result, the Company recognized an incremental $4.2 million of stock-based compensation expense. An additional $1.5 million of stock-based compensation expense may be recognized in future periods for the former executive officers’ two-tier RSUs if the initial qualifying liquidity event defined under the award agreement occurs.</w:t>
      </w:r>
    </w:p>
    <w:p>
      <w:pPr>
        <w:spacing w:after="0" w:line="148" w:lineRule="exact"/>
        <w:rPr>
          <w:sz w:val="20"/>
          <w:szCs w:val="20"/>
          <w:color w:val="auto"/>
        </w:rPr>
      </w:pPr>
    </w:p>
    <w:p>
      <w:pPr>
        <w:ind w:left="1120" w:right="60" w:firstLine="368"/>
        <w:spacing w:after="0" w:line="279" w:lineRule="auto"/>
        <w:rPr>
          <w:sz w:val="20"/>
          <w:szCs w:val="20"/>
          <w:color w:val="auto"/>
        </w:rPr>
      </w:pPr>
      <w:r>
        <w:rPr>
          <w:rFonts w:ascii="Arial" w:cs="Arial" w:eastAsia="Arial" w:hAnsi="Arial"/>
          <w:sz w:val="14"/>
          <w:szCs w:val="14"/>
          <w:color w:val="auto"/>
        </w:rPr>
        <w:t>During the year ended December 31, 2017, the Company’s Board of Directors voted to approve a modification of vesting schedules for certain unvested one-tier and two-tier RSUs to align the vesting schedules for all RSUs to vest once per quarter. As a result of this modification, the Company’s unamortized stock-based compensation expense related to one-tier RSUs increased by $3.2 million, which will be recognized over a weighted-average period of 2.8 years if and when the awards vest. The total unamortized stock-based compensation expense related to two-tier RSUs decreased by $9.5 million. The unamortized amount will be recognized over a period of 0.9 years if and when the awards vest.</w:t>
      </w:r>
    </w:p>
    <w:p>
      <w:pPr>
        <w:spacing w:after="0" w:line="91" w:lineRule="exact"/>
        <w:rPr>
          <w:sz w:val="20"/>
          <w:szCs w:val="20"/>
          <w:color w:val="auto"/>
        </w:rPr>
      </w:pPr>
    </w:p>
    <w:p>
      <w:pPr>
        <w:ind w:left="5580"/>
        <w:spacing w:after="0"/>
        <w:rPr>
          <w:sz w:val="20"/>
          <w:szCs w:val="20"/>
          <w:color w:val="auto"/>
        </w:rPr>
      </w:pPr>
      <w:r>
        <w:rPr>
          <w:rFonts w:ascii="Arial" w:cs="Arial" w:eastAsia="Arial" w:hAnsi="Arial"/>
          <w:sz w:val="15"/>
          <w:szCs w:val="15"/>
          <w:color w:val="auto"/>
        </w:rPr>
        <w:t>F-29</w:t>
      </w:r>
    </w:p>
    <w:p>
      <w:pPr>
        <w:sectPr>
          <w:pgSz w:w="11900" w:h="16838" w:orient="portrait"/>
          <w:cols w:equalWidth="0" w:num="1">
            <w:col w:w="10320"/>
          </w:cols>
          <w:pgMar w:left="240" w:top="408" w:right="1339" w:bottom="1440" w:gutter="0" w:footer="0" w:header="0"/>
        </w:sectPr>
      </w:pPr>
    </w:p>
    <w:bookmarkStart w:id="232" w:name="page233"/>
    <w:bookmarkEnd w:id="232"/>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133350</wp:posOffset>
            </wp:positionH>
            <wp:positionV relativeFrom="page">
              <wp:posOffset>88900</wp:posOffset>
            </wp:positionV>
            <wp:extent cx="7308850" cy="3429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7308850" cy="34290"/>
                    </a:xfrm>
                    <a:prstGeom prst="rect">
                      <a:avLst/>
                    </a:prstGeom>
                    <a:noFill/>
                  </pic:spPr>
                </pic:pic>
              </a:graphicData>
            </a:graphic>
          </wp:anchor>
        </w:drawing>
      </w:r>
      <w:hyperlink w:anchor="page7">
        <w:r>
          <w:rPr>
            <w:rFonts w:ascii="Arial" w:cs="Arial" w:eastAsia="Arial" w:hAnsi="Arial"/>
            <w:sz w:val="15"/>
            <w:szCs w:val="15"/>
            <w:b w:val="1"/>
            <w:bCs w:val="1"/>
            <w:u w:val="single" w:color="auto"/>
            <w:color w:val="0000EE"/>
          </w:rPr>
          <w:t>Table of Contents</w:t>
        </w:r>
      </w:hyperlink>
    </w:p>
    <w:p>
      <w:pPr>
        <w:spacing w:after="0" w:line="256" w:lineRule="exact"/>
        <w:rPr>
          <w:sz w:val="20"/>
          <w:szCs w:val="20"/>
          <w:color w:val="auto"/>
        </w:rPr>
      </w:pPr>
    </w:p>
    <w:p>
      <w:pPr>
        <w:ind w:left="1120"/>
        <w:spacing w:after="0"/>
        <w:rPr>
          <w:sz w:val="20"/>
          <w:szCs w:val="20"/>
          <w:color w:val="auto"/>
        </w:rPr>
      </w:pPr>
      <w:r>
        <w:rPr>
          <w:rFonts w:ascii="Arial" w:cs="Arial" w:eastAsia="Arial" w:hAnsi="Arial"/>
          <w:sz w:val="15"/>
          <w:szCs w:val="15"/>
          <w:b w:val="1"/>
          <w:bCs w:val="1"/>
          <w:color w:val="auto"/>
        </w:rPr>
        <w:t>Note 12. Net Loss Per Share</w:t>
      </w:r>
    </w:p>
    <w:p>
      <w:pPr>
        <w:spacing w:after="0" w:line="102" w:lineRule="exact"/>
        <w:rPr>
          <w:sz w:val="20"/>
          <w:szCs w:val="20"/>
          <w:color w:val="auto"/>
        </w:rPr>
      </w:pPr>
    </w:p>
    <w:p>
      <w:pPr>
        <w:ind w:left="1120" w:right="480" w:firstLine="368"/>
        <w:spacing w:after="0" w:line="275" w:lineRule="auto"/>
        <w:rPr>
          <w:sz w:val="20"/>
          <w:szCs w:val="20"/>
          <w:color w:val="auto"/>
        </w:rPr>
      </w:pPr>
      <w:r>
        <w:rPr>
          <w:rFonts w:ascii="Arial" w:cs="Arial" w:eastAsia="Arial" w:hAnsi="Arial"/>
          <w:sz w:val="15"/>
          <w:szCs w:val="15"/>
          <w:color w:val="auto"/>
        </w:rPr>
        <w:t>The following table sets forth the calculation of basic and diluted net loss per share attributable to common stockholders during the periods presented:</w:t>
      </w:r>
    </w:p>
    <w:p>
      <w:pPr>
        <w:spacing w:after="0" w:line="160" w:lineRule="exact"/>
        <w:rPr>
          <w:sz w:val="20"/>
          <w:szCs w:val="20"/>
          <w:color w:val="auto"/>
        </w:rPr>
      </w:pPr>
    </w:p>
    <w:tbl>
      <w:tblPr>
        <w:tblLayout w:type="fixed"/>
        <w:tblInd w:w="1120" w:type="dxa"/>
        <w:tblCellMar>
          <w:top w:w="0" w:type="dxa"/>
          <w:left w:w="0" w:type="dxa"/>
          <w:bottom w:w="0" w:type="dxa"/>
          <w:right w:w="0" w:type="dxa"/>
        </w:tblCellMar>
      </w:tblPr>
      <w:tr>
        <w:trPr>
          <w:trHeight w:val="144"/>
        </w:trPr>
        <w:tc>
          <w:tcPr>
            <w:tcW w:w="5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480" w:type="dxa"/>
            <w:vAlign w:val="bottom"/>
            <w:tcBorders>
              <w:bottom w:val="single" w:sz="8" w:color="auto"/>
            </w:tcBorders>
            <w:gridSpan w:val="8"/>
          </w:tcPr>
          <w:p>
            <w:pPr>
              <w:jc w:val="center"/>
              <w:ind w:right="20"/>
              <w:spacing w:after="0"/>
              <w:rPr>
                <w:sz w:val="20"/>
                <w:szCs w:val="20"/>
                <w:color w:val="auto"/>
              </w:rPr>
            </w:pPr>
            <w:r>
              <w:rPr>
                <w:rFonts w:ascii="Arial" w:cs="Arial" w:eastAsia="Arial" w:hAnsi="Arial"/>
                <w:sz w:val="12"/>
                <w:szCs w:val="12"/>
                <w:b w:val="1"/>
                <w:bCs w:val="1"/>
                <w:color w:val="auto"/>
                <w:w w:val="88"/>
              </w:rPr>
              <w:t>Year ended December 31,</w:t>
            </w:r>
          </w:p>
        </w:tc>
        <w:tc>
          <w:tcPr>
            <w:tcW w:w="10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r>
      <w:tr>
        <w:trPr>
          <w:trHeight w:val="115"/>
        </w:trPr>
        <w:tc>
          <w:tcPr>
            <w:tcW w:w="50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gridSpan w:val="2"/>
          </w:tcPr>
          <w:p>
            <w:pPr>
              <w:jc w:val="right"/>
              <w:spacing w:after="0" w:line="115" w:lineRule="exact"/>
              <w:rPr>
                <w:sz w:val="20"/>
                <w:szCs w:val="20"/>
                <w:color w:val="auto"/>
              </w:rPr>
            </w:pPr>
            <w:r>
              <w:rPr>
                <w:rFonts w:ascii="Arial" w:cs="Arial" w:eastAsia="Arial" w:hAnsi="Arial"/>
                <w:sz w:val="12"/>
                <w:szCs w:val="12"/>
                <w:b w:val="1"/>
                <w:bCs w:val="1"/>
                <w:color w:val="auto"/>
                <w:w w:val="82"/>
              </w:rPr>
              <w:t>2015</w:t>
            </w:r>
          </w:p>
        </w:tc>
        <w:tc>
          <w:tcPr>
            <w:tcW w:w="4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gridSpan w:val="2"/>
          </w:tcPr>
          <w:p>
            <w:pPr>
              <w:jc w:val="center"/>
              <w:spacing w:after="0" w:line="115" w:lineRule="exact"/>
              <w:rPr>
                <w:sz w:val="20"/>
                <w:szCs w:val="20"/>
                <w:color w:val="auto"/>
              </w:rPr>
            </w:pPr>
            <w:r>
              <w:rPr>
                <w:rFonts w:ascii="Arial" w:cs="Arial" w:eastAsia="Arial" w:hAnsi="Arial"/>
                <w:sz w:val="12"/>
                <w:szCs w:val="12"/>
                <w:b w:val="1"/>
                <w:bCs w:val="1"/>
                <w:color w:val="auto"/>
                <w:w w:val="89"/>
              </w:rPr>
              <w:t>2016</w:t>
            </w:r>
          </w:p>
        </w:tc>
        <w:tc>
          <w:tcPr>
            <w:tcW w:w="40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gridSpan w:val="2"/>
          </w:tcPr>
          <w:p>
            <w:pPr>
              <w:jc w:val="right"/>
              <w:spacing w:after="0" w:line="115" w:lineRule="exact"/>
              <w:rPr>
                <w:sz w:val="20"/>
                <w:szCs w:val="20"/>
                <w:color w:val="auto"/>
              </w:rPr>
            </w:pPr>
            <w:r>
              <w:rPr>
                <w:rFonts w:ascii="Arial" w:cs="Arial" w:eastAsia="Arial" w:hAnsi="Arial"/>
                <w:sz w:val="12"/>
                <w:szCs w:val="12"/>
                <w:b w:val="1"/>
                <w:bCs w:val="1"/>
                <w:color w:val="auto"/>
                <w:w w:val="82"/>
              </w:rPr>
              <w:t>2017</w:t>
            </w:r>
          </w:p>
        </w:tc>
        <w:tc>
          <w:tcPr>
            <w:tcW w:w="400" w:type="dxa"/>
            <w:vAlign w:val="bottom"/>
            <w:tcBorders>
              <w:bottom w:val="single" w:sz="8" w:color="auto"/>
            </w:tcBorders>
          </w:tcPr>
          <w:p>
            <w:pPr>
              <w:spacing w:after="0"/>
              <w:rPr>
                <w:sz w:val="10"/>
                <w:szCs w:val="10"/>
                <w:color w:val="auto"/>
              </w:rPr>
            </w:pPr>
          </w:p>
        </w:tc>
        <w:tc>
          <w:tcPr>
            <w:tcW w:w="80" w:type="dxa"/>
            <w:vAlign w:val="bottom"/>
          </w:tcPr>
          <w:p>
            <w:pPr>
              <w:spacing w:after="0"/>
              <w:rPr>
                <w:sz w:val="10"/>
                <w:szCs w:val="10"/>
                <w:color w:val="auto"/>
              </w:rPr>
            </w:pPr>
          </w:p>
        </w:tc>
      </w:tr>
      <w:tr>
        <w:trPr>
          <w:trHeight w:val="115"/>
        </w:trPr>
        <w:tc>
          <w:tcPr>
            <w:tcW w:w="50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2520" w:type="dxa"/>
            <w:vAlign w:val="bottom"/>
            <w:tcBorders>
              <w:bottom w:val="single" w:sz="8" w:color="auto"/>
            </w:tcBorders>
            <w:gridSpan w:val="14"/>
          </w:tcPr>
          <w:p>
            <w:pPr>
              <w:jc w:val="center"/>
              <w:ind w:right="80"/>
              <w:spacing w:after="0" w:line="115" w:lineRule="exact"/>
              <w:rPr>
                <w:sz w:val="20"/>
                <w:szCs w:val="20"/>
                <w:color w:val="auto"/>
              </w:rPr>
            </w:pPr>
            <w:r>
              <w:rPr>
                <w:rFonts w:ascii="Arial" w:cs="Arial" w:eastAsia="Arial" w:hAnsi="Arial"/>
                <w:sz w:val="12"/>
                <w:szCs w:val="12"/>
                <w:i w:val="1"/>
                <w:iCs w:val="1"/>
                <w:color w:val="auto"/>
                <w:w w:val="90"/>
              </w:rPr>
              <w:t>(In millions, except per share amounts)</w:t>
            </w:r>
          </w:p>
        </w:tc>
        <w:tc>
          <w:tcPr>
            <w:tcW w:w="22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80" w:type="dxa"/>
            <w:vAlign w:val="bottom"/>
          </w:tcPr>
          <w:p>
            <w:pPr>
              <w:spacing w:after="0"/>
              <w:rPr>
                <w:sz w:val="10"/>
                <w:szCs w:val="10"/>
                <w:color w:val="auto"/>
              </w:rPr>
            </w:pPr>
          </w:p>
        </w:tc>
      </w:tr>
      <w:tr>
        <w:trPr>
          <w:trHeight w:val="115"/>
        </w:trPr>
        <w:tc>
          <w:tcPr>
            <w:tcW w:w="50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40" w:type="dxa"/>
            <w:vAlign w:val="bottom"/>
            <w:gridSpan w:val="3"/>
          </w:tcPr>
          <w:p>
            <w:pPr>
              <w:spacing w:after="0" w:line="115" w:lineRule="exact"/>
              <w:rPr>
                <w:sz w:val="20"/>
                <w:szCs w:val="20"/>
                <w:color w:val="auto"/>
              </w:rPr>
            </w:pPr>
            <w:r>
              <w:rPr>
                <w:rFonts w:ascii="Arial" w:cs="Arial" w:eastAsia="Arial" w:hAnsi="Arial"/>
                <w:sz w:val="12"/>
                <w:szCs w:val="12"/>
                <w:color w:val="auto"/>
              </w:rPr>
              <w:t>Class A</w:t>
            </w:r>
          </w:p>
        </w:tc>
        <w:tc>
          <w:tcPr>
            <w:tcW w:w="220" w:type="dxa"/>
            <w:vAlign w:val="bottom"/>
          </w:tcPr>
          <w:p>
            <w:pPr>
              <w:spacing w:after="0"/>
              <w:rPr>
                <w:sz w:val="10"/>
                <w:szCs w:val="10"/>
                <w:color w:val="auto"/>
              </w:rPr>
            </w:pPr>
          </w:p>
        </w:tc>
        <w:tc>
          <w:tcPr>
            <w:tcW w:w="580" w:type="dxa"/>
            <w:vAlign w:val="bottom"/>
            <w:gridSpan w:val="3"/>
          </w:tcPr>
          <w:p>
            <w:pPr>
              <w:jc w:val="right"/>
              <w:ind w:right="160"/>
              <w:spacing w:after="0" w:line="115" w:lineRule="exact"/>
              <w:rPr>
                <w:sz w:val="20"/>
                <w:szCs w:val="20"/>
                <w:color w:val="auto"/>
              </w:rPr>
            </w:pPr>
            <w:r>
              <w:rPr>
                <w:rFonts w:ascii="Arial" w:cs="Arial" w:eastAsia="Arial" w:hAnsi="Arial"/>
                <w:sz w:val="12"/>
                <w:szCs w:val="12"/>
                <w:color w:val="auto"/>
                <w:w w:val="96"/>
              </w:rPr>
              <w:t>Class B</w:t>
            </w:r>
          </w:p>
        </w:tc>
        <w:tc>
          <w:tcPr>
            <w:tcW w:w="160" w:type="dxa"/>
            <w:vAlign w:val="bottom"/>
          </w:tcPr>
          <w:p>
            <w:pPr>
              <w:spacing w:after="0"/>
              <w:rPr>
                <w:sz w:val="10"/>
                <w:szCs w:val="10"/>
                <w:color w:val="auto"/>
              </w:rPr>
            </w:pPr>
          </w:p>
        </w:tc>
        <w:tc>
          <w:tcPr>
            <w:tcW w:w="440" w:type="dxa"/>
            <w:vAlign w:val="bottom"/>
            <w:gridSpan w:val="3"/>
          </w:tcPr>
          <w:p>
            <w:pPr>
              <w:spacing w:after="0" w:line="115" w:lineRule="exact"/>
              <w:rPr>
                <w:sz w:val="20"/>
                <w:szCs w:val="20"/>
                <w:color w:val="auto"/>
              </w:rPr>
            </w:pPr>
            <w:r>
              <w:rPr>
                <w:rFonts w:ascii="Arial" w:cs="Arial" w:eastAsia="Arial" w:hAnsi="Arial"/>
                <w:sz w:val="12"/>
                <w:szCs w:val="12"/>
                <w:color w:val="auto"/>
              </w:rPr>
              <w:t>Class A</w:t>
            </w:r>
          </w:p>
        </w:tc>
        <w:tc>
          <w:tcPr>
            <w:tcW w:w="220" w:type="dxa"/>
            <w:vAlign w:val="bottom"/>
          </w:tcPr>
          <w:p>
            <w:pPr>
              <w:spacing w:after="0"/>
              <w:rPr>
                <w:sz w:val="10"/>
                <w:szCs w:val="10"/>
                <w:color w:val="auto"/>
              </w:rPr>
            </w:pPr>
          </w:p>
        </w:tc>
        <w:tc>
          <w:tcPr>
            <w:tcW w:w="660" w:type="dxa"/>
            <w:vAlign w:val="bottom"/>
            <w:gridSpan w:val="3"/>
          </w:tcPr>
          <w:p>
            <w:pPr>
              <w:jc w:val="right"/>
              <w:ind w:right="240"/>
              <w:spacing w:after="0" w:line="115" w:lineRule="exact"/>
              <w:rPr>
                <w:sz w:val="20"/>
                <w:szCs w:val="20"/>
                <w:color w:val="auto"/>
              </w:rPr>
            </w:pPr>
            <w:r>
              <w:rPr>
                <w:rFonts w:ascii="Arial" w:cs="Arial" w:eastAsia="Arial" w:hAnsi="Arial"/>
                <w:sz w:val="12"/>
                <w:szCs w:val="12"/>
                <w:color w:val="auto"/>
                <w:w w:val="96"/>
              </w:rPr>
              <w:t>Class B</w:t>
            </w:r>
          </w:p>
        </w:tc>
        <w:tc>
          <w:tcPr>
            <w:tcW w:w="100" w:type="dxa"/>
            <w:vAlign w:val="bottom"/>
          </w:tcPr>
          <w:p>
            <w:pPr>
              <w:spacing w:after="0"/>
              <w:rPr>
                <w:sz w:val="10"/>
                <w:szCs w:val="10"/>
                <w:color w:val="auto"/>
              </w:rPr>
            </w:pPr>
          </w:p>
        </w:tc>
        <w:tc>
          <w:tcPr>
            <w:tcW w:w="440" w:type="dxa"/>
            <w:vAlign w:val="bottom"/>
            <w:gridSpan w:val="3"/>
          </w:tcPr>
          <w:p>
            <w:pPr>
              <w:spacing w:after="0" w:line="115" w:lineRule="exact"/>
              <w:rPr>
                <w:sz w:val="20"/>
                <w:szCs w:val="20"/>
                <w:color w:val="auto"/>
              </w:rPr>
            </w:pPr>
            <w:r>
              <w:rPr>
                <w:rFonts w:ascii="Arial" w:cs="Arial" w:eastAsia="Arial" w:hAnsi="Arial"/>
                <w:sz w:val="12"/>
                <w:szCs w:val="12"/>
                <w:color w:val="auto"/>
              </w:rPr>
              <w:t>Class A</w:t>
            </w:r>
          </w:p>
        </w:tc>
        <w:tc>
          <w:tcPr>
            <w:tcW w:w="220" w:type="dxa"/>
            <w:vAlign w:val="bottom"/>
          </w:tcPr>
          <w:p>
            <w:pPr>
              <w:spacing w:after="0"/>
              <w:rPr>
                <w:sz w:val="10"/>
                <w:szCs w:val="10"/>
                <w:color w:val="auto"/>
              </w:rPr>
            </w:pPr>
          </w:p>
        </w:tc>
        <w:tc>
          <w:tcPr>
            <w:tcW w:w="480" w:type="dxa"/>
            <w:vAlign w:val="bottom"/>
            <w:gridSpan w:val="2"/>
          </w:tcPr>
          <w:p>
            <w:pPr>
              <w:jc w:val="right"/>
              <w:spacing w:after="0" w:line="115" w:lineRule="exact"/>
              <w:rPr>
                <w:sz w:val="20"/>
                <w:szCs w:val="20"/>
                <w:color w:val="auto"/>
              </w:rPr>
            </w:pPr>
            <w:r>
              <w:rPr>
                <w:rFonts w:ascii="Arial" w:cs="Arial" w:eastAsia="Arial" w:hAnsi="Arial"/>
                <w:sz w:val="12"/>
                <w:szCs w:val="12"/>
                <w:color w:val="auto"/>
                <w:w w:val="96"/>
              </w:rPr>
              <w:t>Class B</w:t>
            </w:r>
          </w:p>
        </w:tc>
        <w:tc>
          <w:tcPr>
            <w:tcW w:w="80" w:type="dxa"/>
            <w:vAlign w:val="bottom"/>
          </w:tcPr>
          <w:p>
            <w:pPr>
              <w:spacing w:after="0"/>
              <w:rPr>
                <w:sz w:val="10"/>
                <w:szCs w:val="10"/>
                <w:color w:val="auto"/>
              </w:rPr>
            </w:pPr>
          </w:p>
        </w:tc>
      </w:tr>
      <w:tr>
        <w:trPr>
          <w:trHeight w:val="160"/>
        </w:trPr>
        <w:tc>
          <w:tcPr>
            <w:tcW w:w="5040" w:type="dxa"/>
            <w:vAlign w:val="bottom"/>
            <w:tcBorders>
              <w:top w:val="single" w:sz="8" w:color="CCEEFF"/>
            </w:tcBorders>
            <w:shd w:val="clear" w:color="auto" w:fill="CCEEFF"/>
          </w:tcPr>
          <w:p>
            <w:pPr>
              <w:spacing w:after="0" w:line="161" w:lineRule="exact"/>
              <w:rPr>
                <w:sz w:val="20"/>
                <w:szCs w:val="20"/>
                <w:color w:val="auto"/>
              </w:rPr>
            </w:pPr>
            <w:r>
              <w:rPr>
                <w:rFonts w:ascii="Arial" w:cs="Arial" w:eastAsia="Arial" w:hAnsi="Arial"/>
                <w:sz w:val="15"/>
                <w:szCs w:val="15"/>
                <w:color w:val="auto"/>
              </w:rPr>
              <w:t>Numerator:</w:t>
            </w:r>
          </w:p>
        </w:tc>
        <w:tc>
          <w:tcPr>
            <w:tcW w:w="120" w:type="dxa"/>
            <w:vAlign w:val="bottom"/>
            <w:tcBorders>
              <w:top w:val="single" w:sz="8" w:color="CCEEFF"/>
            </w:tcBorders>
            <w:shd w:val="clear" w:color="auto" w:fill="CCEEFF"/>
          </w:tcPr>
          <w:p>
            <w:pPr>
              <w:spacing w:after="0"/>
              <w:rPr>
                <w:sz w:val="13"/>
                <w:szCs w:val="13"/>
                <w:color w:val="auto"/>
              </w:rPr>
            </w:pPr>
          </w:p>
        </w:tc>
        <w:tc>
          <w:tcPr>
            <w:tcW w:w="60" w:type="dxa"/>
            <w:vAlign w:val="bottom"/>
            <w:tcBorders>
              <w:top w:val="single" w:sz="8" w:color="auto"/>
            </w:tcBorders>
            <w:shd w:val="clear" w:color="auto" w:fill="CCEEFF"/>
          </w:tcPr>
          <w:p>
            <w:pPr>
              <w:spacing w:after="0"/>
              <w:rPr>
                <w:sz w:val="13"/>
                <w:szCs w:val="13"/>
                <w:color w:val="auto"/>
              </w:rPr>
            </w:pPr>
          </w:p>
        </w:tc>
        <w:tc>
          <w:tcPr>
            <w:tcW w:w="320" w:type="dxa"/>
            <w:vAlign w:val="bottom"/>
            <w:tcBorders>
              <w:top w:val="single" w:sz="8" w:color="auto"/>
            </w:tcBorders>
            <w:shd w:val="clear" w:color="auto" w:fill="CCEEFF"/>
          </w:tcPr>
          <w:p>
            <w:pPr>
              <w:spacing w:after="0"/>
              <w:rPr>
                <w:sz w:val="13"/>
                <w:szCs w:val="13"/>
                <w:color w:val="auto"/>
              </w:rPr>
            </w:pPr>
          </w:p>
        </w:tc>
        <w:tc>
          <w:tcPr>
            <w:tcW w:w="6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40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320" w:type="dxa"/>
            <w:vAlign w:val="bottom"/>
            <w:tcBorders>
              <w:top w:val="single" w:sz="8" w:color="auto"/>
            </w:tcBorders>
            <w:shd w:val="clear" w:color="auto" w:fill="CCEEFF"/>
          </w:tcPr>
          <w:p>
            <w:pPr>
              <w:spacing w:after="0"/>
              <w:rPr>
                <w:sz w:val="13"/>
                <w:szCs w:val="13"/>
                <w:color w:val="auto"/>
              </w:rPr>
            </w:pPr>
          </w:p>
        </w:tc>
        <w:tc>
          <w:tcPr>
            <w:tcW w:w="4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400" w:type="dxa"/>
            <w:vAlign w:val="bottom"/>
            <w:tcBorders>
              <w:top w:val="single" w:sz="8" w:color="auto"/>
            </w:tcBorders>
            <w:shd w:val="clear" w:color="auto" w:fill="CCEEFF"/>
          </w:tcPr>
          <w:p>
            <w:pPr>
              <w:spacing w:after="0"/>
              <w:rPr>
                <w:sz w:val="13"/>
                <w:szCs w:val="13"/>
                <w:color w:val="auto"/>
              </w:rPr>
            </w:pPr>
          </w:p>
        </w:tc>
        <w:tc>
          <w:tcPr>
            <w:tcW w:w="18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60" w:type="dxa"/>
            <w:vAlign w:val="bottom"/>
            <w:tcBorders>
              <w:top w:val="single" w:sz="8" w:color="auto"/>
            </w:tcBorders>
            <w:shd w:val="clear" w:color="auto" w:fill="CCEEFF"/>
          </w:tcPr>
          <w:p>
            <w:pPr>
              <w:spacing w:after="0"/>
              <w:rPr>
                <w:sz w:val="13"/>
                <w:szCs w:val="13"/>
                <w:color w:val="auto"/>
              </w:rPr>
            </w:pPr>
          </w:p>
        </w:tc>
        <w:tc>
          <w:tcPr>
            <w:tcW w:w="320" w:type="dxa"/>
            <w:vAlign w:val="bottom"/>
            <w:tcBorders>
              <w:top w:val="single" w:sz="8" w:color="auto"/>
            </w:tcBorders>
            <w:shd w:val="clear" w:color="auto" w:fill="CCEEFF"/>
          </w:tcPr>
          <w:p>
            <w:pPr>
              <w:spacing w:after="0"/>
              <w:rPr>
                <w:sz w:val="13"/>
                <w:szCs w:val="13"/>
                <w:color w:val="auto"/>
              </w:rPr>
            </w:pPr>
          </w:p>
        </w:tc>
        <w:tc>
          <w:tcPr>
            <w:tcW w:w="6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40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r>
      <w:tr>
        <w:trPr>
          <w:trHeight w:val="180"/>
        </w:trPr>
        <w:tc>
          <w:tcPr>
            <w:tcW w:w="5040" w:type="dxa"/>
            <w:vAlign w:val="bottom"/>
          </w:tcPr>
          <w:p>
            <w:pPr>
              <w:spacing w:after="0"/>
              <w:rPr>
                <w:sz w:val="20"/>
                <w:szCs w:val="20"/>
                <w:color w:val="auto"/>
              </w:rPr>
            </w:pPr>
            <w:r>
              <w:rPr>
                <w:rFonts w:ascii="Arial" w:cs="Arial" w:eastAsia="Arial" w:hAnsi="Arial"/>
                <w:sz w:val="15"/>
                <w:szCs w:val="15"/>
                <w:color w:val="auto"/>
              </w:rPr>
              <w:t>Net loss attributable to common stockholders</w:t>
            </w:r>
          </w:p>
        </w:tc>
        <w:tc>
          <w:tcPr>
            <w:tcW w:w="180" w:type="dxa"/>
            <w:vAlign w:val="bottom"/>
            <w:gridSpan w:val="2"/>
          </w:tcPr>
          <w:p>
            <w:pPr>
              <w:ind w:left="100"/>
              <w:spacing w:after="0"/>
              <w:rPr>
                <w:sz w:val="20"/>
                <w:szCs w:val="20"/>
                <w:color w:val="auto"/>
              </w:rPr>
            </w:pPr>
            <w:r>
              <w:rPr>
                <w:rFonts w:ascii="Arial" w:cs="Arial" w:eastAsia="Arial" w:hAnsi="Arial"/>
                <w:sz w:val="15"/>
                <w:szCs w:val="15"/>
                <w:color w:val="auto"/>
                <w:w w:val="71"/>
              </w:rPr>
              <w:t>$</w:t>
            </w:r>
          </w:p>
        </w:tc>
        <w:tc>
          <w:tcPr>
            <w:tcW w:w="380" w:type="dxa"/>
            <w:vAlign w:val="bottom"/>
            <w:gridSpan w:val="2"/>
          </w:tcPr>
          <w:p>
            <w:pPr>
              <w:jc w:val="right"/>
              <w:spacing w:after="0"/>
              <w:rPr>
                <w:sz w:val="20"/>
                <w:szCs w:val="20"/>
                <w:color w:val="auto"/>
              </w:rPr>
            </w:pPr>
            <w:r>
              <w:rPr>
                <w:rFonts w:ascii="Arial" w:cs="Arial" w:eastAsia="Arial" w:hAnsi="Arial"/>
                <w:sz w:val="15"/>
                <w:szCs w:val="15"/>
                <w:color w:val="auto"/>
              </w:rPr>
              <w:t>(9.7)</w:t>
            </w:r>
          </w:p>
        </w:tc>
        <w:tc>
          <w:tcPr>
            <w:tcW w:w="300" w:type="dxa"/>
            <w:vAlign w:val="bottom"/>
            <w:gridSpan w:val="2"/>
          </w:tcPr>
          <w:p>
            <w:pPr>
              <w:jc w:val="right"/>
              <w:spacing w:after="0"/>
              <w:rPr>
                <w:sz w:val="20"/>
                <w:szCs w:val="20"/>
                <w:color w:val="auto"/>
              </w:rPr>
            </w:pPr>
            <w:r>
              <w:rPr>
                <w:rFonts w:ascii="Arial" w:cs="Arial" w:eastAsia="Arial" w:hAnsi="Arial"/>
                <w:sz w:val="15"/>
                <w:szCs w:val="15"/>
                <w:u w:val="single" w:color="auto"/>
                <w:color w:val="auto"/>
              </w:rPr>
              <w:t>$</w:t>
            </w:r>
          </w:p>
        </w:tc>
        <w:tc>
          <w:tcPr>
            <w:tcW w:w="500" w:type="dxa"/>
            <w:vAlign w:val="bottom"/>
            <w:gridSpan w:val="2"/>
          </w:tcPr>
          <w:p>
            <w:pPr>
              <w:jc w:val="right"/>
              <w:ind w:right="60"/>
              <w:spacing w:after="0"/>
              <w:rPr>
                <w:sz w:val="20"/>
                <w:szCs w:val="20"/>
                <w:color w:val="auto"/>
              </w:rPr>
            </w:pPr>
            <w:r>
              <w:rPr>
                <w:rFonts w:ascii="Arial" w:cs="Arial" w:eastAsia="Arial" w:hAnsi="Arial"/>
                <w:sz w:val="15"/>
                <w:szCs w:val="15"/>
                <w:color w:val="auto"/>
                <w:w w:val="88"/>
              </w:rPr>
              <w:t>(316.2)</w:t>
            </w:r>
          </w:p>
        </w:tc>
        <w:tc>
          <w:tcPr>
            <w:tcW w:w="240" w:type="dxa"/>
            <w:vAlign w:val="bottom"/>
            <w:gridSpan w:val="2"/>
          </w:tcPr>
          <w:p>
            <w:pPr>
              <w:ind w:left="160"/>
              <w:spacing w:after="0"/>
              <w:rPr>
                <w:sz w:val="20"/>
                <w:szCs w:val="20"/>
                <w:color w:val="auto"/>
              </w:rPr>
            </w:pPr>
            <w:r>
              <w:rPr>
                <w:rFonts w:ascii="Arial" w:cs="Arial" w:eastAsia="Arial" w:hAnsi="Arial"/>
                <w:sz w:val="15"/>
                <w:szCs w:val="15"/>
                <w:color w:val="auto"/>
                <w:w w:val="71"/>
              </w:rPr>
              <w:t>$</w:t>
            </w:r>
          </w:p>
        </w:tc>
        <w:tc>
          <w:tcPr>
            <w:tcW w:w="360" w:type="dxa"/>
            <w:vAlign w:val="bottom"/>
            <w:gridSpan w:val="2"/>
          </w:tcPr>
          <w:p>
            <w:pPr>
              <w:jc w:val="right"/>
              <w:spacing w:after="0"/>
              <w:rPr>
                <w:sz w:val="20"/>
                <w:szCs w:val="20"/>
                <w:color w:val="auto"/>
              </w:rPr>
            </w:pPr>
            <w:r>
              <w:rPr>
                <w:rFonts w:ascii="Arial" w:cs="Arial" w:eastAsia="Arial" w:hAnsi="Arial"/>
                <w:sz w:val="15"/>
                <w:szCs w:val="15"/>
                <w:color w:val="auto"/>
              </w:rPr>
              <w:t>(6.1)</w:t>
            </w:r>
          </w:p>
        </w:tc>
        <w:tc>
          <w:tcPr>
            <w:tcW w:w="300" w:type="dxa"/>
            <w:vAlign w:val="bottom"/>
            <w:gridSpan w:val="2"/>
          </w:tcPr>
          <w:p>
            <w:pPr>
              <w:jc w:val="right"/>
              <w:spacing w:after="0"/>
              <w:rPr>
                <w:sz w:val="20"/>
                <w:szCs w:val="20"/>
                <w:color w:val="auto"/>
              </w:rPr>
            </w:pPr>
            <w:r>
              <w:rPr>
                <w:rFonts w:ascii="Arial" w:cs="Arial" w:eastAsia="Arial" w:hAnsi="Arial"/>
                <w:sz w:val="15"/>
                <w:szCs w:val="15"/>
                <w:u w:val="single" w:color="auto"/>
                <w:color w:val="auto"/>
              </w:rPr>
              <w:t>$</w:t>
            </w:r>
          </w:p>
        </w:tc>
        <w:tc>
          <w:tcPr>
            <w:tcW w:w="580" w:type="dxa"/>
            <w:vAlign w:val="bottom"/>
            <w:gridSpan w:val="2"/>
          </w:tcPr>
          <w:p>
            <w:pPr>
              <w:jc w:val="right"/>
              <w:ind w:right="140"/>
              <w:spacing w:after="0"/>
              <w:rPr>
                <w:sz w:val="20"/>
                <w:szCs w:val="20"/>
                <w:color w:val="auto"/>
              </w:rPr>
            </w:pPr>
            <w:r>
              <w:rPr>
                <w:rFonts w:ascii="Arial" w:cs="Arial" w:eastAsia="Arial" w:hAnsi="Arial"/>
                <w:sz w:val="15"/>
                <w:szCs w:val="15"/>
                <w:color w:val="auto"/>
                <w:w w:val="88"/>
              </w:rPr>
              <w:t>(204.1)</w:t>
            </w:r>
          </w:p>
        </w:tc>
        <w:tc>
          <w:tcPr>
            <w:tcW w:w="160" w:type="dxa"/>
            <w:vAlign w:val="bottom"/>
            <w:gridSpan w:val="2"/>
          </w:tcPr>
          <w:p>
            <w:pPr>
              <w:ind w:left="80"/>
              <w:spacing w:after="0"/>
              <w:rPr>
                <w:sz w:val="20"/>
                <w:szCs w:val="20"/>
                <w:color w:val="auto"/>
              </w:rPr>
            </w:pPr>
            <w:r>
              <w:rPr>
                <w:rFonts w:ascii="Arial" w:cs="Arial" w:eastAsia="Arial" w:hAnsi="Arial"/>
                <w:sz w:val="15"/>
                <w:szCs w:val="15"/>
                <w:color w:val="auto"/>
                <w:w w:val="71"/>
              </w:rPr>
              <w:t>$</w:t>
            </w:r>
          </w:p>
        </w:tc>
        <w:tc>
          <w:tcPr>
            <w:tcW w:w="380" w:type="dxa"/>
            <w:vAlign w:val="bottom"/>
            <w:gridSpan w:val="2"/>
          </w:tcPr>
          <w:p>
            <w:pPr>
              <w:jc w:val="right"/>
              <w:spacing w:after="0"/>
              <w:rPr>
                <w:sz w:val="20"/>
                <w:szCs w:val="20"/>
                <w:color w:val="auto"/>
              </w:rPr>
            </w:pPr>
            <w:r>
              <w:rPr>
                <w:rFonts w:ascii="Arial" w:cs="Arial" w:eastAsia="Arial" w:hAnsi="Arial"/>
                <w:sz w:val="15"/>
                <w:szCs w:val="15"/>
                <w:color w:val="auto"/>
              </w:rPr>
              <w:t>(3.6)</w:t>
            </w:r>
          </w:p>
        </w:tc>
        <w:tc>
          <w:tcPr>
            <w:tcW w:w="300" w:type="dxa"/>
            <w:vAlign w:val="bottom"/>
            <w:gridSpan w:val="2"/>
          </w:tcPr>
          <w:p>
            <w:pPr>
              <w:jc w:val="right"/>
              <w:spacing w:after="0"/>
              <w:rPr>
                <w:sz w:val="20"/>
                <w:szCs w:val="20"/>
                <w:color w:val="auto"/>
              </w:rPr>
            </w:pPr>
            <w:r>
              <w:rPr>
                <w:rFonts w:ascii="Arial" w:cs="Arial" w:eastAsia="Arial" w:hAnsi="Arial"/>
                <w:sz w:val="15"/>
                <w:szCs w:val="15"/>
                <w:u w:val="single" w:color="auto"/>
                <w:color w:val="auto"/>
              </w:rPr>
              <w:t>$</w:t>
            </w:r>
          </w:p>
        </w:tc>
        <w:tc>
          <w:tcPr>
            <w:tcW w:w="480" w:type="dxa"/>
            <w:vAlign w:val="bottom"/>
            <w:gridSpan w:val="2"/>
          </w:tcPr>
          <w:p>
            <w:pPr>
              <w:jc w:val="right"/>
              <w:ind w:right="40"/>
              <w:spacing w:after="0"/>
              <w:rPr>
                <w:sz w:val="20"/>
                <w:szCs w:val="20"/>
                <w:color w:val="auto"/>
              </w:rPr>
            </w:pPr>
            <w:r>
              <w:rPr>
                <w:rFonts w:ascii="Arial" w:cs="Arial" w:eastAsia="Arial" w:hAnsi="Arial"/>
                <w:sz w:val="15"/>
                <w:szCs w:val="15"/>
                <w:color w:val="auto"/>
                <w:w w:val="88"/>
              </w:rPr>
              <w:t>(108.1)</w:t>
            </w:r>
          </w:p>
        </w:tc>
      </w:tr>
      <w:tr>
        <w:trPr>
          <w:trHeight w:val="20"/>
        </w:trPr>
        <w:tc>
          <w:tcPr>
            <w:tcW w:w="5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66"/>
        </w:trPr>
        <w:tc>
          <w:tcPr>
            <w:tcW w:w="5040" w:type="dxa"/>
            <w:vAlign w:val="bottom"/>
            <w:shd w:val="clear" w:color="auto" w:fill="CCEEFF"/>
          </w:tcPr>
          <w:p>
            <w:pPr>
              <w:spacing w:after="0" w:line="166" w:lineRule="exact"/>
              <w:rPr>
                <w:sz w:val="20"/>
                <w:szCs w:val="20"/>
                <w:color w:val="auto"/>
              </w:rPr>
            </w:pPr>
            <w:r>
              <w:rPr>
                <w:rFonts w:ascii="Arial" w:cs="Arial" w:eastAsia="Arial" w:hAnsi="Arial"/>
                <w:sz w:val="15"/>
                <w:szCs w:val="15"/>
                <w:color w:val="auto"/>
              </w:rPr>
              <w:t>Denominator:</w:t>
            </w:r>
          </w:p>
        </w:tc>
        <w:tc>
          <w:tcPr>
            <w:tcW w:w="1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r>
      <w:tr>
        <w:trPr>
          <w:trHeight w:val="170"/>
        </w:trPr>
        <w:tc>
          <w:tcPr>
            <w:tcW w:w="5040" w:type="dxa"/>
            <w:vAlign w:val="bottom"/>
          </w:tcPr>
          <w:p>
            <w:pPr>
              <w:spacing w:after="0" w:line="170" w:lineRule="exact"/>
              <w:rPr>
                <w:sz w:val="20"/>
                <w:szCs w:val="20"/>
                <w:color w:val="auto"/>
              </w:rPr>
            </w:pPr>
            <w:r>
              <w:rPr>
                <w:rFonts w:ascii="Arial" w:cs="Arial" w:eastAsia="Arial" w:hAnsi="Arial"/>
                <w:sz w:val="15"/>
                <w:szCs w:val="15"/>
                <w:color w:val="auto"/>
                <w:w w:val="90"/>
              </w:rPr>
              <w:t>Weighted-average number of common shares outstanding used in computing basic</w:t>
            </w: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91"/>
        </w:trPr>
        <w:tc>
          <w:tcPr>
            <w:tcW w:w="5040" w:type="dxa"/>
            <w:vAlign w:val="bottom"/>
          </w:tcPr>
          <w:p>
            <w:pPr>
              <w:ind w:left="140"/>
              <w:spacing w:after="0"/>
              <w:rPr>
                <w:sz w:val="20"/>
                <w:szCs w:val="20"/>
                <w:color w:val="auto"/>
              </w:rPr>
            </w:pPr>
            <w:r>
              <w:rPr>
                <w:rFonts w:ascii="Arial" w:cs="Arial" w:eastAsia="Arial" w:hAnsi="Arial"/>
                <w:sz w:val="15"/>
                <w:szCs w:val="15"/>
                <w:color w:val="auto"/>
              </w:rPr>
              <w:t>and diluted net loss per common share</w:t>
            </w:r>
          </w:p>
        </w:tc>
        <w:tc>
          <w:tcPr>
            <w:tcW w:w="120" w:type="dxa"/>
            <w:vAlign w:val="bottom"/>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5.5</w:t>
            </w:r>
          </w:p>
        </w:tc>
        <w:tc>
          <w:tcPr>
            <w:tcW w:w="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5"/>
              </w:rPr>
              <w:t>179.0</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5.5</w:t>
            </w:r>
          </w:p>
        </w:tc>
        <w:tc>
          <w:tcPr>
            <w:tcW w:w="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183.6</w:t>
            </w: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6.3</w:t>
            </w:r>
          </w:p>
        </w:tc>
        <w:tc>
          <w:tcPr>
            <w:tcW w:w="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5"/>
              </w:rPr>
              <w:t>189.6</w:t>
            </w:r>
          </w:p>
        </w:tc>
        <w:tc>
          <w:tcPr>
            <w:tcW w:w="80" w:type="dxa"/>
            <w:vAlign w:val="bottom"/>
          </w:tcPr>
          <w:p>
            <w:pPr>
              <w:spacing w:after="0"/>
              <w:rPr>
                <w:sz w:val="16"/>
                <w:szCs w:val="16"/>
                <w:color w:val="auto"/>
              </w:rPr>
            </w:pPr>
          </w:p>
        </w:tc>
      </w:tr>
      <w:tr>
        <w:trPr>
          <w:trHeight w:val="20"/>
        </w:trPr>
        <w:tc>
          <w:tcPr>
            <w:tcW w:w="5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66"/>
        </w:trPr>
        <w:tc>
          <w:tcPr>
            <w:tcW w:w="5040" w:type="dxa"/>
            <w:vAlign w:val="bottom"/>
            <w:shd w:val="clear" w:color="auto" w:fill="CCEEFF"/>
          </w:tcPr>
          <w:p>
            <w:pPr>
              <w:spacing w:after="0" w:line="167" w:lineRule="exact"/>
              <w:rPr>
                <w:sz w:val="20"/>
                <w:szCs w:val="20"/>
                <w:color w:val="auto"/>
              </w:rPr>
            </w:pPr>
            <w:r>
              <w:rPr>
                <w:rFonts w:ascii="Arial" w:cs="Arial" w:eastAsia="Arial" w:hAnsi="Arial"/>
                <w:sz w:val="15"/>
                <w:szCs w:val="15"/>
                <w:color w:val="auto"/>
              </w:rPr>
              <w:t>Net loss per common share, basic and diluted</w:t>
            </w:r>
          </w:p>
        </w:tc>
        <w:tc>
          <w:tcPr>
            <w:tcW w:w="180" w:type="dxa"/>
            <w:vAlign w:val="bottom"/>
            <w:gridSpan w:val="2"/>
            <w:shd w:val="clear" w:color="auto" w:fill="CCEEFF"/>
          </w:tcPr>
          <w:p>
            <w:pPr>
              <w:ind w:left="100"/>
              <w:spacing w:after="0" w:line="167" w:lineRule="exact"/>
              <w:rPr>
                <w:sz w:val="20"/>
                <w:szCs w:val="20"/>
                <w:color w:val="auto"/>
              </w:rPr>
            </w:pPr>
            <w:r>
              <w:rPr>
                <w:rFonts w:ascii="Arial" w:cs="Arial" w:eastAsia="Arial" w:hAnsi="Arial"/>
                <w:sz w:val="15"/>
                <w:szCs w:val="15"/>
                <w:u w:val="single" w:color="auto"/>
                <w:color w:val="auto"/>
                <w:w w:val="71"/>
              </w:rPr>
              <w:t>$</w:t>
            </w:r>
          </w:p>
        </w:tc>
        <w:tc>
          <w:tcPr>
            <w:tcW w:w="380" w:type="dxa"/>
            <w:vAlign w:val="bottom"/>
            <w:gridSpan w:val="2"/>
            <w:shd w:val="clear" w:color="auto" w:fill="CCEEFF"/>
          </w:tcPr>
          <w:p>
            <w:pPr>
              <w:jc w:val="right"/>
              <w:spacing w:after="0" w:line="167" w:lineRule="exact"/>
              <w:rPr>
                <w:sz w:val="20"/>
                <w:szCs w:val="20"/>
                <w:color w:val="auto"/>
              </w:rPr>
            </w:pPr>
            <w:r>
              <w:rPr>
                <w:rFonts w:ascii="Arial" w:cs="Arial" w:eastAsia="Arial" w:hAnsi="Arial"/>
                <w:sz w:val="15"/>
                <w:szCs w:val="15"/>
                <w:color w:val="auto"/>
                <w:w w:val="91"/>
              </w:rPr>
              <w:t>(1.77)</w:t>
            </w:r>
          </w:p>
        </w:tc>
        <w:tc>
          <w:tcPr>
            <w:tcW w:w="300" w:type="dxa"/>
            <w:vAlign w:val="bottom"/>
            <w:gridSpan w:val="2"/>
            <w:shd w:val="clear" w:color="auto" w:fill="CCEEFF"/>
          </w:tcPr>
          <w:p>
            <w:pPr>
              <w:jc w:val="right"/>
              <w:spacing w:after="0" w:line="167" w:lineRule="exact"/>
              <w:rPr>
                <w:sz w:val="20"/>
                <w:szCs w:val="20"/>
                <w:color w:val="auto"/>
              </w:rPr>
            </w:pPr>
            <w:r>
              <w:rPr>
                <w:rFonts w:ascii="Arial" w:cs="Arial" w:eastAsia="Arial" w:hAnsi="Arial"/>
                <w:sz w:val="15"/>
                <w:szCs w:val="15"/>
                <w:color w:val="auto"/>
              </w:rPr>
              <w:t>$</w:t>
            </w:r>
          </w:p>
        </w:tc>
        <w:tc>
          <w:tcPr>
            <w:tcW w:w="500" w:type="dxa"/>
            <w:vAlign w:val="bottom"/>
            <w:gridSpan w:val="2"/>
            <w:shd w:val="clear" w:color="auto" w:fill="CCEEFF"/>
          </w:tcPr>
          <w:p>
            <w:pPr>
              <w:jc w:val="right"/>
              <w:ind w:right="60"/>
              <w:spacing w:after="0" w:line="167" w:lineRule="exact"/>
              <w:rPr>
                <w:sz w:val="20"/>
                <w:szCs w:val="20"/>
                <w:color w:val="auto"/>
              </w:rPr>
            </w:pPr>
            <w:r>
              <w:rPr>
                <w:rFonts w:ascii="Arial" w:cs="Arial" w:eastAsia="Arial" w:hAnsi="Arial"/>
                <w:sz w:val="15"/>
                <w:szCs w:val="15"/>
                <w:color w:val="auto"/>
              </w:rPr>
              <w:t>(1.77)</w:t>
            </w:r>
          </w:p>
        </w:tc>
        <w:tc>
          <w:tcPr>
            <w:tcW w:w="240" w:type="dxa"/>
            <w:vAlign w:val="bottom"/>
            <w:gridSpan w:val="2"/>
            <w:shd w:val="clear" w:color="auto" w:fill="CCEEFF"/>
          </w:tcPr>
          <w:p>
            <w:pPr>
              <w:ind w:left="160"/>
              <w:spacing w:after="0" w:line="167" w:lineRule="exact"/>
              <w:rPr>
                <w:sz w:val="20"/>
                <w:szCs w:val="20"/>
                <w:color w:val="auto"/>
              </w:rPr>
            </w:pPr>
            <w:r>
              <w:rPr>
                <w:rFonts w:ascii="Arial" w:cs="Arial" w:eastAsia="Arial" w:hAnsi="Arial"/>
                <w:sz w:val="15"/>
                <w:szCs w:val="15"/>
                <w:u w:val="single" w:color="auto"/>
                <w:color w:val="auto"/>
                <w:w w:val="71"/>
              </w:rPr>
              <w:t>$</w:t>
            </w:r>
          </w:p>
        </w:tc>
        <w:tc>
          <w:tcPr>
            <w:tcW w:w="360" w:type="dxa"/>
            <w:vAlign w:val="bottom"/>
            <w:gridSpan w:val="2"/>
            <w:shd w:val="clear" w:color="auto" w:fill="CCEEFF"/>
          </w:tcPr>
          <w:p>
            <w:pPr>
              <w:jc w:val="right"/>
              <w:spacing w:after="0" w:line="167" w:lineRule="exact"/>
              <w:rPr>
                <w:sz w:val="20"/>
                <w:szCs w:val="20"/>
                <w:color w:val="auto"/>
              </w:rPr>
            </w:pPr>
            <w:r>
              <w:rPr>
                <w:rFonts w:ascii="Arial" w:cs="Arial" w:eastAsia="Arial" w:hAnsi="Arial"/>
                <w:sz w:val="15"/>
                <w:szCs w:val="15"/>
                <w:color w:val="auto"/>
                <w:w w:val="86"/>
              </w:rPr>
              <w:t>(1.11)</w:t>
            </w:r>
          </w:p>
        </w:tc>
        <w:tc>
          <w:tcPr>
            <w:tcW w:w="300" w:type="dxa"/>
            <w:vAlign w:val="bottom"/>
            <w:gridSpan w:val="2"/>
            <w:shd w:val="clear" w:color="auto" w:fill="CCEEFF"/>
          </w:tcPr>
          <w:p>
            <w:pPr>
              <w:jc w:val="right"/>
              <w:spacing w:after="0" w:line="167" w:lineRule="exact"/>
              <w:rPr>
                <w:sz w:val="20"/>
                <w:szCs w:val="20"/>
                <w:color w:val="auto"/>
              </w:rPr>
            </w:pPr>
            <w:r>
              <w:rPr>
                <w:rFonts w:ascii="Arial" w:cs="Arial" w:eastAsia="Arial" w:hAnsi="Arial"/>
                <w:sz w:val="15"/>
                <w:szCs w:val="15"/>
                <w:color w:val="auto"/>
              </w:rPr>
              <w:t>$</w:t>
            </w:r>
          </w:p>
        </w:tc>
        <w:tc>
          <w:tcPr>
            <w:tcW w:w="580" w:type="dxa"/>
            <w:vAlign w:val="bottom"/>
            <w:gridSpan w:val="2"/>
            <w:shd w:val="clear" w:color="auto" w:fill="CCEEFF"/>
          </w:tcPr>
          <w:p>
            <w:pPr>
              <w:jc w:val="right"/>
              <w:ind w:right="140"/>
              <w:spacing w:after="0" w:line="167" w:lineRule="exact"/>
              <w:rPr>
                <w:sz w:val="20"/>
                <w:szCs w:val="20"/>
                <w:color w:val="auto"/>
              </w:rPr>
            </w:pPr>
            <w:r>
              <w:rPr>
                <w:rFonts w:ascii="Arial" w:cs="Arial" w:eastAsia="Arial" w:hAnsi="Arial"/>
                <w:sz w:val="15"/>
                <w:szCs w:val="15"/>
                <w:color w:val="auto"/>
              </w:rPr>
              <w:t>(1.11)</w:t>
            </w:r>
          </w:p>
        </w:tc>
        <w:tc>
          <w:tcPr>
            <w:tcW w:w="160" w:type="dxa"/>
            <w:vAlign w:val="bottom"/>
            <w:gridSpan w:val="2"/>
            <w:shd w:val="clear" w:color="auto" w:fill="CCEEFF"/>
          </w:tcPr>
          <w:p>
            <w:pPr>
              <w:ind w:left="80"/>
              <w:spacing w:after="0" w:line="167" w:lineRule="exact"/>
              <w:rPr>
                <w:sz w:val="20"/>
                <w:szCs w:val="20"/>
                <w:color w:val="auto"/>
              </w:rPr>
            </w:pPr>
            <w:r>
              <w:rPr>
                <w:rFonts w:ascii="Arial" w:cs="Arial" w:eastAsia="Arial" w:hAnsi="Arial"/>
                <w:sz w:val="15"/>
                <w:szCs w:val="15"/>
                <w:u w:val="single" w:color="auto"/>
                <w:color w:val="auto"/>
                <w:w w:val="71"/>
              </w:rPr>
              <w:t>$</w:t>
            </w:r>
          </w:p>
        </w:tc>
        <w:tc>
          <w:tcPr>
            <w:tcW w:w="380" w:type="dxa"/>
            <w:vAlign w:val="bottom"/>
            <w:gridSpan w:val="2"/>
            <w:shd w:val="clear" w:color="auto" w:fill="CCEEFF"/>
          </w:tcPr>
          <w:p>
            <w:pPr>
              <w:jc w:val="right"/>
              <w:spacing w:after="0" w:line="167" w:lineRule="exact"/>
              <w:rPr>
                <w:sz w:val="20"/>
                <w:szCs w:val="20"/>
                <w:color w:val="auto"/>
              </w:rPr>
            </w:pPr>
            <w:r>
              <w:rPr>
                <w:rFonts w:ascii="Arial" w:cs="Arial" w:eastAsia="Arial" w:hAnsi="Arial"/>
                <w:sz w:val="15"/>
                <w:szCs w:val="15"/>
                <w:color w:val="auto"/>
                <w:w w:val="91"/>
              </w:rPr>
              <w:t>(0.57)</w:t>
            </w:r>
          </w:p>
        </w:tc>
        <w:tc>
          <w:tcPr>
            <w:tcW w:w="300" w:type="dxa"/>
            <w:vAlign w:val="bottom"/>
            <w:gridSpan w:val="2"/>
            <w:shd w:val="clear" w:color="auto" w:fill="CCEEFF"/>
          </w:tcPr>
          <w:p>
            <w:pPr>
              <w:jc w:val="right"/>
              <w:spacing w:after="0" w:line="167" w:lineRule="exact"/>
              <w:rPr>
                <w:sz w:val="20"/>
                <w:szCs w:val="20"/>
                <w:color w:val="auto"/>
              </w:rPr>
            </w:pPr>
            <w:r>
              <w:rPr>
                <w:rFonts w:ascii="Arial" w:cs="Arial" w:eastAsia="Arial" w:hAnsi="Arial"/>
                <w:sz w:val="15"/>
                <w:szCs w:val="15"/>
                <w:color w:val="auto"/>
              </w:rPr>
              <w:t>$</w:t>
            </w:r>
          </w:p>
        </w:tc>
        <w:tc>
          <w:tcPr>
            <w:tcW w:w="480" w:type="dxa"/>
            <w:vAlign w:val="bottom"/>
            <w:gridSpan w:val="2"/>
            <w:shd w:val="clear" w:color="auto" w:fill="CCEEFF"/>
          </w:tcPr>
          <w:p>
            <w:pPr>
              <w:jc w:val="right"/>
              <w:ind w:right="40"/>
              <w:spacing w:after="0" w:line="167" w:lineRule="exact"/>
              <w:rPr>
                <w:sz w:val="20"/>
                <w:szCs w:val="20"/>
                <w:color w:val="auto"/>
              </w:rPr>
            </w:pPr>
            <w:r>
              <w:rPr>
                <w:rFonts w:ascii="Arial" w:cs="Arial" w:eastAsia="Arial" w:hAnsi="Arial"/>
                <w:sz w:val="15"/>
                <w:szCs w:val="15"/>
                <w:color w:val="auto"/>
              </w:rPr>
              <w:t>(0.57)</w:t>
            </w:r>
          </w:p>
        </w:tc>
      </w:tr>
      <w:tr>
        <w:trPr>
          <w:trHeight w:val="20"/>
        </w:trPr>
        <w:tc>
          <w:tcPr>
            <w:tcW w:w="5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81" w:lineRule="exact"/>
        <w:rPr>
          <w:sz w:val="20"/>
          <w:szCs w:val="20"/>
          <w:color w:val="auto"/>
        </w:rPr>
      </w:pPr>
    </w:p>
    <w:p>
      <w:pPr>
        <w:ind w:left="1120" w:right="140" w:firstLine="368"/>
        <w:spacing w:after="0" w:line="259" w:lineRule="auto"/>
        <w:rPr>
          <w:sz w:val="20"/>
          <w:szCs w:val="20"/>
          <w:color w:val="auto"/>
        </w:rPr>
      </w:pPr>
      <w:r>
        <w:rPr>
          <w:rFonts w:ascii="Arial" w:cs="Arial" w:eastAsia="Arial" w:hAnsi="Arial"/>
          <w:sz w:val="15"/>
          <w:szCs w:val="15"/>
          <w:color w:val="auto"/>
        </w:rPr>
        <w:t>Since the Company was in a loss position for all periods presented, basic net loss per share attributable to common stockholders is the same as diluted net loss per share for all periods as the inclusion of all potential common shares outstanding would have been anti-dilutive. The weighted-average impact of potentially dilutive securities that were not included in the diluted per share calculations because they would be anti-dilutive were as follows:</w:t>
      </w:r>
    </w:p>
    <w:p>
      <w:pPr>
        <w:spacing w:after="0" w:line="171" w:lineRule="exact"/>
        <w:rPr>
          <w:sz w:val="20"/>
          <w:szCs w:val="20"/>
          <w:color w:val="auto"/>
        </w:rPr>
      </w:pPr>
    </w:p>
    <w:tbl>
      <w:tblPr>
        <w:tblLayout w:type="fixed"/>
        <w:tblInd w:w="1120" w:type="dxa"/>
        <w:tblCellMar>
          <w:top w:w="0" w:type="dxa"/>
          <w:left w:w="0" w:type="dxa"/>
          <w:bottom w:w="0" w:type="dxa"/>
          <w:right w:w="0" w:type="dxa"/>
        </w:tblCellMar>
      </w:tblPr>
      <w:tr>
        <w:trPr>
          <w:trHeight w:val="144"/>
        </w:trPr>
        <w:tc>
          <w:tcPr>
            <w:tcW w:w="6920" w:type="dxa"/>
            <w:vAlign w:val="bottom"/>
          </w:tcPr>
          <w:p>
            <w:pPr>
              <w:spacing w:after="0"/>
              <w:rPr>
                <w:sz w:val="12"/>
                <w:szCs w:val="12"/>
                <w:color w:val="auto"/>
              </w:rPr>
            </w:pPr>
          </w:p>
        </w:tc>
        <w:tc>
          <w:tcPr>
            <w:tcW w:w="1820" w:type="dxa"/>
            <w:vAlign w:val="bottom"/>
            <w:tcBorders>
              <w:bottom w:val="single" w:sz="8" w:color="auto"/>
            </w:tcBorders>
            <w:gridSpan w:val="5"/>
          </w:tcPr>
          <w:p>
            <w:pPr>
              <w:jc w:val="center"/>
              <w:ind w:left="329"/>
              <w:spacing w:after="0"/>
              <w:rPr>
                <w:sz w:val="20"/>
                <w:szCs w:val="20"/>
                <w:color w:val="auto"/>
              </w:rPr>
            </w:pPr>
            <w:r>
              <w:rPr>
                <w:rFonts w:ascii="Arial" w:cs="Arial" w:eastAsia="Arial" w:hAnsi="Arial"/>
                <w:sz w:val="12"/>
                <w:szCs w:val="12"/>
                <w:b w:val="1"/>
                <w:bCs w:val="1"/>
                <w:color w:val="auto"/>
                <w:w w:val="88"/>
              </w:rPr>
              <w:t>Year ended December 31,</w:t>
            </w:r>
          </w:p>
        </w:tc>
        <w:tc>
          <w:tcPr>
            <w:tcW w:w="420" w:type="dxa"/>
            <w:vAlign w:val="bottom"/>
            <w:tcBorders>
              <w:bottom w:val="single" w:sz="8" w:color="auto"/>
            </w:tcBorders>
          </w:tcPr>
          <w:p>
            <w:pPr>
              <w:spacing w:after="0"/>
              <w:rPr>
                <w:sz w:val="12"/>
                <w:szCs w:val="12"/>
                <w:color w:val="auto"/>
              </w:rPr>
            </w:pPr>
          </w:p>
        </w:tc>
        <w:tc>
          <w:tcPr>
            <w:tcW w:w="40" w:type="dxa"/>
            <w:vAlign w:val="bottom"/>
          </w:tcPr>
          <w:p>
            <w:pPr>
              <w:spacing w:after="0"/>
              <w:rPr>
                <w:sz w:val="12"/>
                <w:szCs w:val="12"/>
                <w:color w:val="auto"/>
              </w:rPr>
            </w:pPr>
          </w:p>
        </w:tc>
      </w:tr>
      <w:tr>
        <w:trPr>
          <w:trHeight w:val="115"/>
        </w:trPr>
        <w:tc>
          <w:tcPr>
            <w:tcW w:w="6920" w:type="dxa"/>
            <w:vAlign w:val="bottom"/>
          </w:tcPr>
          <w:p>
            <w:pPr>
              <w:spacing w:after="0"/>
              <w:rPr>
                <w:sz w:val="10"/>
                <w:szCs w:val="10"/>
                <w:color w:val="auto"/>
              </w:rPr>
            </w:pPr>
          </w:p>
        </w:tc>
        <w:tc>
          <w:tcPr>
            <w:tcW w:w="480" w:type="dxa"/>
            <w:vAlign w:val="bottom"/>
            <w:tcBorders>
              <w:bottom w:val="single" w:sz="8" w:color="auto"/>
            </w:tcBorders>
          </w:tcPr>
          <w:p>
            <w:pPr>
              <w:jc w:val="right"/>
              <w:ind w:right="69"/>
              <w:spacing w:after="0" w:line="115" w:lineRule="exact"/>
              <w:rPr>
                <w:sz w:val="20"/>
                <w:szCs w:val="20"/>
                <w:color w:val="auto"/>
              </w:rPr>
            </w:pPr>
            <w:r>
              <w:rPr>
                <w:rFonts w:ascii="Arial" w:cs="Arial" w:eastAsia="Arial" w:hAnsi="Arial"/>
                <w:sz w:val="12"/>
                <w:szCs w:val="12"/>
                <w:b w:val="1"/>
                <w:bCs w:val="1"/>
                <w:color w:val="auto"/>
              </w:rPr>
              <w:t>2015</w:t>
            </w:r>
          </w:p>
        </w:tc>
        <w:tc>
          <w:tcPr>
            <w:tcW w:w="880" w:type="dxa"/>
            <w:vAlign w:val="bottom"/>
            <w:tcBorders>
              <w:bottom w:val="single" w:sz="8" w:color="auto"/>
            </w:tcBorders>
            <w:gridSpan w:val="2"/>
          </w:tcPr>
          <w:p>
            <w:pPr>
              <w:jc w:val="center"/>
              <w:ind w:left="290"/>
              <w:spacing w:after="0" w:line="115" w:lineRule="exact"/>
              <w:rPr>
                <w:sz w:val="20"/>
                <w:szCs w:val="20"/>
                <w:color w:val="auto"/>
              </w:rPr>
            </w:pPr>
            <w:r>
              <w:rPr>
                <w:rFonts w:ascii="Arial" w:cs="Arial" w:eastAsia="Arial" w:hAnsi="Arial"/>
                <w:sz w:val="12"/>
                <w:szCs w:val="12"/>
                <w:b w:val="1"/>
                <w:bCs w:val="1"/>
                <w:color w:val="auto"/>
                <w:w w:val="89"/>
              </w:rPr>
              <w:t>2016</w:t>
            </w:r>
          </w:p>
        </w:tc>
        <w:tc>
          <w:tcPr>
            <w:tcW w:w="40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420" w:type="dxa"/>
            <w:vAlign w:val="bottom"/>
            <w:tcBorders>
              <w:bottom w:val="single" w:sz="8" w:color="auto"/>
            </w:tcBorders>
          </w:tcPr>
          <w:p>
            <w:pPr>
              <w:jc w:val="right"/>
              <w:ind w:right="67"/>
              <w:spacing w:after="0" w:line="115" w:lineRule="exact"/>
              <w:rPr>
                <w:sz w:val="20"/>
                <w:szCs w:val="20"/>
                <w:color w:val="auto"/>
              </w:rPr>
            </w:pPr>
            <w:r>
              <w:rPr>
                <w:rFonts w:ascii="Arial" w:cs="Arial" w:eastAsia="Arial" w:hAnsi="Arial"/>
                <w:sz w:val="12"/>
                <w:szCs w:val="12"/>
                <w:b w:val="1"/>
                <w:bCs w:val="1"/>
                <w:color w:val="auto"/>
                <w:w w:val="97"/>
              </w:rPr>
              <w:t>2017</w:t>
            </w:r>
          </w:p>
        </w:tc>
        <w:tc>
          <w:tcPr>
            <w:tcW w:w="40" w:type="dxa"/>
            <w:vAlign w:val="bottom"/>
          </w:tcPr>
          <w:p>
            <w:pPr>
              <w:spacing w:after="0"/>
              <w:rPr>
                <w:sz w:val="10"/>
                <w:szCs w:val="10"/>
                <w:color w:val="auto"/>
              </w:rPr>
            </w:pPr>
          </w:p>
        </w:tc>
      </w:tr>
      <w:tr>
        <w:trPr>
          <w:trHeight w:val="127"/>
        </w:trPr>
        <w:tc>
          <w:tcPr>
            <w:tcW w:w="69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340" w:type="dxa"/>
            <w:vAlign w:val="bottom"/>
            <w:gridSpan w:val="4"/>
          </w:tcPr>
          <w:p>
            <w:pPr>
              <w:jc w:val="center"/>
              <w:ind w:right="80"/>
              <w:spacing w:after="0" w:line="127" w:lineRule="exact"/>
              <w:rPr>
                <w:sz w:val="20"/>
                <w:szCs w:val="20"/>
                <w:color w:val="auto"/>
              </w:rPr>
            </w:pPr>
            <w:r>
              <w:rPr>
                <w:rFonts w:ascii="Arial" w:cs="Arial" w:eastAsia="Arial" w:hAnsi="Arial"/>
                <w:sz w:val="12"/>
                <w:szCs w:val="12"/>
                <w:i w:val="1"/>
                <w:iCs w:val="1"/>
                <w:color w:val="auto"/>
                <w:w w:val="92"/>
              </w:rPr>
              <w:t>(Shares in millions)</w:t>
            </w:r>
          </w:p>
        </w:tc>
        <w:tc>
          <w:tcPr>
            <w:tcW w:w="420" w:type="dxa"/>
            <w:vAlign w:val="bottom"/>
          </w:tcPr>
          <w:p>
            <w:pPr>
              <w:spacing w:after="0"/>
              <w:rPr>
                <w:sz w:val="11"/>
                <w:szCs w:val="11"/>
                <w:color w:val="auto"/>
              </w:rPr>
            </w:pPr>
          </w:p>
        </w:tc>
        <w:tc>
          <w:tcPr>
            <w:tcW w:w="40" w:type="dxa"/>
            <w:vAlign w:val="bottom"/>
          </w:tcPr>
          <w:p>
            <w:pPr>
              <w:spacing w:after="0"/>
              <w:rPr>
                <w:sz w:val="11"/>
                <w:szCs w:val="11"/>
                <w:color w:val="auto"/>
              </w:rPr>
            </w:pPr>
          </w:p>
        </w:tc>
      </w:tr>
      <w:tr>
        <w:trPr>
          <w:trHeight w:val="180"/>
        </w:trPr>
        <w:tc>
          <w:tcPr>
            <w:tcW w:w="6920" w:type="dxa"/>
            <w:vAlign w:val="bottom"/>
            <w:shd w:val="clear" w:color="auto" w:fill="CCEEFF"/>
          </w:tcPr>
          <w:p>
            <w:pPr>
              <w:spacing w:after="0"/>
              <w:rPr>
                <w:sz w:val="20"/>
                <w:szCs w:val="20"/>
                <w:color w:val="auto"/>
              </w:rPr>
            </w:pPr>
            <w:r>
              <w:rPr>
                <w:rFonts w:ascii="Arial" w:cs="Arial" w:eastAsia="Arial" w:hAnsi="Arial"/>
                <w:sz w:val="15"/>
                <w:szCs w:val="15"/>
                <w:color w:val="auto"/>
              </w:rPr>
              <w:t>Convertible preferred stock</w:t>
            </w:r>
          </w:p>
        </w:tc>
        <w:tc>
          <w:tcPr>
            <w:tcW w:w="4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147.6</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147.6</w:t>
            </w:r>
          </w:p>
        </w:tc>
        <w:tc>
          <w:tcPr>
            <w:tcW w:w="4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147.6</w:t>
            </w:r>
          </w:p>
        </w:tc>
        <w:tc>
          <w:tcPr>
            <w:tcW w:w="40" w:type="dxa"/>
            <w:vAlign w:val="bottom"/>
            <w:shd w:val="clear" w:color="auto" w:fill="CCEEFF"/>
          </w:tcPr>
          <w:p>
            <w:pPr>
              <w:spacing w:after="0"/>
              <w:rPr>
                <w:sz w:val="15"/>
                <w:szCs w:val="15"/>
                <w:color w:val="auto"/>
              </w:rPr>
            </w:pPr>
          </w:p>
        </w:tc>
      </w:tr>
      <w:tr>
        <w:trPr>
          <w:trHeight w:val="180"/>
        </w:trPr>
        <w:tc>
          <w:tcPr>
            <w:tcW w:w="6920" w:type="dxa"/>
            <w:vAlign w:val="bottom"/>
          </w:tcPr>
          <w:p>
            <w:pPr>
              <w:spacing w:after="0"/>
              <w:rPr>
                <w:sz w:val="20"/>
                <w:szCs w:val="20"/>
                <w:color w:val="auto"/>
              </w:rPr>
            </w:pPr>
            <w:r>
              <w:rPr>
                <w:rFonts w:ascii="Arial" w:cs="Arial" w:eastAsia="Arial" w:hAnsi="Arial"/>
                <w:sz w:val="15"/>
                <w:szCs w:val="15"/>
                <w:color w:val="auto"/>
              </w:rPr>
              <w:t>Restricted stock units</w:t>
            </w:r>
          </w:p>
        </w:tc>
        <w:tc>
          <w:tcPr>
            <w:tcW w:w="480" w:type="dxa"/>
            <w:vAlign w:val="bottom"/>
          </w:tcPr>
          <w:p>
            <w:pPr>
              <w:jc w:val="right"/>
              <w:spacing w:after="0"/>
              <w:rPr>
                <w:sz w:val="20"/>
                <w:szCs w:val="20"/>
                <w:color w:val="auto"/>
              </w:rPr>
            </w:pPr>
            <w:r>
              <w:rPr>
                <w:rFonts w:ascii="Arial" w:cs="Arial" w:eastAsia="Arial" w:hAnsi="Arial"/>
                <w:sz w:val="15"/>
                <w:szCs w:val="15"/>
                <w:color w:val="auto"/>
              </w:rPr>
              <w:t>34.1</w:t>
            </w:r>
          </w:p>
        </w:tc>
        <w:tc>
          <w:tcPr>
            <w:tcW w:w="880" w:type="dxa"/>
            <w:vAlign w:val="bottom"/>
            <w:gridSpan w:val="2"/>
          </w:tcPr>
          <w:p>
            <w:pPr>
              <w:jc w:val="right"/>
              <w:spacing w:after="0"/>
              <w:rPr>
                <w:sz w:val="20"/>
                <w:szCs w:val="20"/>
                <w:color w:val="auto"/>
              </w:rPr>
            </w:pPr>
            <w:r>
              <w:rPr>
                <w:rFonts w:ascii="Arial" w:cs="Arial" w:eastAsia="Arial" w:hAnsi="Arial"/>
                <w:sz w:val="15"/>
                <w:szCs w:val="15"/>
                <w:color w:val="auto"/>
              </w:rPr>
              <w:t>47.9</w:t>
            </w:r>
          </w:p>
        </w:tc>
        <w:tc>
          <w:tcPr>
            <w:tcW w:w="4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20" w:type="dxa"/>
            <w:vAlign w:val="bottom"/>
          </w:tcPr>
          <w:p>
            <w:pPr>
              <w:jc w:val="right"/>
              <w:spacing w:after="0"/>
              <w:rPr>
                <w:sz w:val="20"/>
                <w:szCs w:val="20"/>
                <w:color w:val="auto"/>
              </w:rPr>
            </w:pPr>
            <w:r>
              <w:rPr>
                <w:rFonts w:ascii="Arial" w:cs="Arial" w:eastAsia="Arial" w:hAnsi="Arial"/>
                <w:sz w:val="15"/>
                <w:szCs w:val="15"/>
                <w:color w:val="auto"/>
              </w:rPr>
              <w:t>52.7</w:t>
            </w:r>
          </w:p>
        </w:tc>
        <w:tc>
          <w:tcPr>
            <w:tcW w:w="40" w:type="dxa"/>
            <w:vAlign w:val="bottom"/>
          </w:tcPr>
          <w:p>
            <w:pPr>
              <w:spacing w:after="0"/>
              <w:rPr>
                <w:sz w:val="15"/>
                <w:szCs w:val="15"/>
                <w:color w:val="auto"/>
              </w:rPr>
            </w:pPr>
          </w:p>
        </w:tc>
      </w:tr>
      <w:tr>
        <w:trPr>
          <w:trHeight w:val="180"/>
        </w:trPr>
        <w:tc>
          <w:tcPr>
            <w:tcW w:w="6920" w:type="dxa"/>
            <w:vAlign w:val="bottom"/>
            <w:shd w:val="clear" w:color="auto" w:fill="CCEEFF"/>
          </w:tcPr>
          <w:p>
            <w:pPr>
              <w:spacing w:after="0"/>
              <w:rPr>
                <w:sz w:val="20"/>
                <w:szCs w:val="20"/>
                <w:color w:val="auto"/>
              </w:rPr>
            </w:pPr>
            <w:r>
              <w:rPr>
                <w:rFonts w:ascii="Arial" w:cs="Arial" w:eastAsia="Arial" w:hAnsi="Arial"/>
                <w:sz w:val="15"/>
                <w:szCs w:val="15"/>
                <w:color w:val="auto"/>
              </w:rPr>
              <w:t>Options to purchase shares of common stock</w:t>
            </w:r>
          </w:p>
        </w:tc>
        <w:tc>
          <w:tcPr>
            <w:tcW w:w="4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14.0</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7.9</w:t>
            </w:r>
          </w:p>
        </w:tc>
        <w:tc>
          <w:tcPr>
            <w:tcW w:w="4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5.1</w:t>
            </w:r>
          </w:p>
        </w:tc>
        <w:tc>
          <w:tcPr>
            <w:tcW w:w="40" w:type="dxa"/>
            <w:vAlign w:val="bottom"/>
            <w:shd w:val="clear" w:color="auto" w:fill="CCEEFF"/>
          </w:tcPr>
          <w:p>
            <w:pPr>
              <w:spacing w:after="0"/>
              <w:rPr>
                <w:sz w:val="15"/>
                <w:szCs w:val="15"/>
                <w:color w:val="auto"/>
              </w:rPr>
            </w:pPr>
          </w:p>
        </w:tc>
      </w:tr>
      <w:tr>
        <w:trPr>
          <w:trHeight w:val="180"/>
        </w:trPr>
        <w:tc>
          <w:tcPr>
            <w:tcW w:w="6920" w:type="dxa"/>
            <w:vAlign w:val="bottom"/>
          </w:tcPr>
          <w:p>
            <w:pPr>
              <w:spacing w:after="0"/>
              <w:rPr>
                <w:sz w:val="20"/>
                <w:szCs w:val="20"/>
                <w:color w:val="auto"/>
              </w:rPr>
            </w:pPr>
            <w:r>
              <w:rPr>
                <w:rFonts w:ascii="Arial" w:cs="Arial" w:eastAsia="Arial" w:hAnsi="Arial"/>
                <w:sz w:val="15"/>
                <w:szCs w:val="15"/>
                <w:color w:val="auto"/>
              </w:rPr>
              <w:t>Co-Founder Grants</w:t>
            </w:r>
            <w:r>
              <w:rPr>
                <w:rFonts w:ascii="Arial" w:cs="Arial" w:eastAsia="Arial" w:hAnsi="Arial"/>
                <w:sz w:val="12"/>
                <w:szCs w:val="12"/>
                <w:color w:val="auto"/>
              </w:rPr>
              <w:t>(1)</w:t>
            </w:r>
          </w:p>
        </w:tc>
        <w:tc>
          <w:tcPr>
            <w:tcW w:w="480" w:type="dxa"/>
            <w:vAlign w:val="bottom"/>
          </w:tcPr>
          <w:p>
            <w:pPr>
              <w:jc w:val="right"/>
              <w:spacing w:after="0"/>
              <w:rPr>
                <w:sz w:val="20"/>
                <w:szCs w:val="20"/>
                <w:color w:val="auto"/>
              </w:rPr>
            </w:pPr>
            <w:r>
              <w:rPr>
                <w:rFonts w:ascii="Arial" w:cs="Arial" w:eastAsia="Arial" w:hAnsi="Arial"/>
                <w:sz w:val="15"/>
                <w:szCs w:val="15"/>
                <w:color w:val="auto"/>
              </w:rPr>
              <w:t>—</w:t>
            </w:r>
          </w:p>
        </w:tc>
        <w:tc>
          <w:tcPr>
            <w:tcW w:w="400" w:type="dxa"/>
            <w:vAlign w:val="bottom"/>
          </w:tcPr>
          <w:p>
            <w:pPr>
              <w:spacing w:after="0"/>
              <w:rPr>
                <w:sz w:val="15"/>
                <w:szCs w:val="15"/>
                <w:color w:val="auto"/>
              </w:rPr>
            </w:pPr>
          </w:p>
        </w:tc>
        <w:tc>
          <w:tcPr>
            <w:tcW w:w="940" w:type="dxa"/>
            <w:vAlign w:val="bottom"/>
            <w:gridSpan w:val="3"/>
          </w:tcPr>
          <w:p>
            <w:pPr>
              <w:jc w:val="right"/>
              <w:ind w:right="460"/>
              <w:spacing w:after="0"/>
              <w:rPr>
                <w:sz w:val="20"/>
                <w:szCs w:val="20"/>
                <w:color w:val="auto"/>
              </w:rPr>
            </w:pPr>
            <w:r>
              <w:rPr>
                <w:rFonts w:ascii="Arial" w:cs="Arial" w:eastAsia="Arial" w:hAnsi="Arial"/>
                <w:sz w:val="15"/>
                <w:szCs w:val="15"/>
                <w:color w:val="auto"/>
              </w:rPr>
              <w:t>—</w:t>
            </w:r>
          </w:p>
        </w:tc>
        <w:tc>
          <w:tcPr>
            <w:tcW w:w="420" w:type="dxa"/>
            <w:vAlign w:val="bottom"/>
          </w:tcPr>
          <w:p>
            <w:pPr>
              <w:jc w:val="right"/>
              <w:spacing w:after="0"/>
              <w:rPr>
                <w:sz w:val="20"/>
                <w:szCs w:val="20"/>
                <w:color w:val="auto"/>
              </w:rPr>
            </w:pPr>
            <w:r>
              <w:rPr>
                <w:rFonts w:ascii="Arial" w:cs="Arial" w:eastAsia="Arial" w:hAnsi="Arial"/>
                <w:sz w:val="15"/>
                <w:szCs w:val="15"/>
                <w:color w:val="auto"/>
              </w:rPr>
              <w:t>0.8</w:t>
            </w:r>
          </w:p>
        </w:tc>
        <w:tc>
          <w:tcPr>
            <w:tcW w:w="40" w:type="dxa"/>
            <w:vAlign w:val="bottom"/>
          </w:tcPr>
          <w:p>
            <w:pPr>
              <w:spacing w:after="0"/>
              <w:rPr>
                <w:sz w:val="15"/>
                <w:szCs w:val="15"/>
                <w:color w:val="auto"/>
              </w:rPr>
            </w:pPr>
          </w:p>
        </w:tc>
      </w:tr>
      <w:tr>
        <w:trPr>
          <w:trHeight w:val="180"/>
        </w:trPr>
        <w:tc>
          <w:tcPr>
            <w:tcW w:w="6920" w:type="dxa"/>
            <w:vAlign w:val="bottom"/>
            <w:shd w:val="clear" w:color="auto" w:fill="CCEEFF"/>
          </w:tcPr>
          <w:p>
            <w:pPr>
              <w:spacing w:after="0"/>
              <w:rPr>
                <w:sz w:val="20"/>
                <w:szCs w:val="20"/>
                <w:color w:val="auto"/>
              </w:rPr>
            </w:pPr>
            <w:r>
              <w:rPr>
                <w:rFonts w:ascii="Arial" w:cs="Arial" w:eastAsia="Arial" w:hAnsi="Arial"/>
                <w:sz w:val="15"/>
                <w:szCs w:val="15"/>
                <w:color w:val="auto"/>
              </w:rPr>
              <w:t>Shares subject to repurchase from early-exercised options and unvested restricted stock</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3.6</w:t>
            </w:r>
          </w:p>
        </w:tc>
        <w:tc>
          <w:tcPr>
            <w:tcW w:w="400" w:type="dxa"/>
            <w:vAlign w:val="bottom"/>
            <w:shd w:val="clear" w:color="auto" w:fill="CCEEFF"/>
          </w:tcPr>
          <w:p>
            <w:pPr>
              <w:spacing w:after="0"/>
              <w:rPr>
                <w:sz w:val="15"/>
                <w:szCs w:val="15"/>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0.9</w:t>
            </w:r>
          </w:p>
        </w:tc>
        <w:tc>
          <w:tcPr>
            <w:tcW w:w="400" w:type="dxa"/>
            <w:vAlign w:val="bottom"/>
            <w:shd w:val="clear" w:color="auto" w:fill="CCEEFF"/>
          </w:tcPr>
          <w:p>
            <w:pPr>
              <w:spacing w:after="0"/>
              <w:rPr>
                <w:sz w:val="15"/>
                <w:szCs w:val="15"/>
                <w:color w:val="auto"/>
              </w:rPr>
            </w:pPr>
          </w:p>
        </w:tc>
        <w:tc>
          <w:tcPr>
            <w:tcW w:w="60" w:type="dxa"/>
            <w:vAlign w:val="bottom"/>
            <w:tcBorders>
              <w:bottom w:val="single" w:sz="8" w:color="auto"/>
            </w:tcBorders>
            <w:shd w:val="clear" w:color="auto" w:fill="CCEEFF"/>
          </w:tcPr>
          <w:p>
            <w:pPr>
              <w:spacing w:after="0"/>
              <w:rPr>
                <w:sz w:val="15"/>
                <w:szCs w:val="15"/>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0.2</w:t>
            </w:r>
          </w:p>
        </w:tc>
        <w:tc>
          <w:tcPr>
            <w:tcW w:w="40" w:type="dxa"/>
            <w:vAlign w:val="bottom"/>
            <w:shd w:val="clear" w:color="auto" w:fill="CCEEFF"/>
          </w:tcPr>
          <w:p>
            <w:pPr>
              <w:spacing w:after="0"/>
              <w:rPr>
                <w:sz w:val="15"/>
                <w:szCs w:val="15"/>
                <w:color w:val="auto"/>
              </w:rPr>
            </w:pPr>
          </w:p>
        </w:tc>
      </w:tr>
      <w:tr>
        <w:trPr>
          <w:trHeight w:val="182"/>
        </w:trPr>
        <w:tc>
          <w:tcPr>
            <w:tcW w:w="6920" w:type="dxa"/>
            <w:vAlign w:val="bottom"/>
          </w:tcPr>
          <w:p>
            <w:pPr>
              <w:spacing w:after="0"/>
              <w:rPr>
                <w:sz w:val="20"/>
                <w:szCs w:val="20"/>
                <w:color w:val="auto"/>
              </w:rPr>
            </w:pPr>
            <w:r>
              <w:rPr>
                <w:rFonts w:ascii="Arial" w:cs="Arial" w:eastAsia="Arial" w:hAnsi="Arial"/>
                <w:sz w:val="15"/>
                <w:szCs w:val="15"/>
                <w:color w:val="auto"/>
              </w:rPr>
              <w:t>Total</w:t>
            </w:r>
          </w:p>
        </w:tc>
        <w:tc>
          <w:tcPr>
            <w:tcW w:w="480" w:type="dxa"/>
            <w:vAlign w:val="bottom"/>
          </w:tcPr>
          <w:p>
            <w:pPr>
              <w:jc w:val="right"/>
              <w:spacing w:after="0"/>
              <w:rPr>
                <w:sz w:val="20"/>
                <w:szCs w:val="20"/>
                <w:color w:val="auto"/>
              </w:rPr>
            </w:pPr>
            <w:r>
              <w:rPr>
                <w:rFonts w:ascii="Arial" w:cs="Arial" w:eastAsia="Arial" w:hAnsi="Arial"/>
                <w:sz w:val="15"/>
                <w:szCs w:val="15"/>
                <w:color w:val="auto"/>
              </w:rPr>
              <w:t>199.3</w:t>
            </w:r>
          </w:p>
        </w:tc>
        <w:tc>
          <w:tcPr>
            <w:tcW w:w="880" w:type="dxa"/>
            <w:vAlign w:val="bottom"/>
            <w:gridSpan w:val="2"/>
          </w:tcPr>
          <w:p>
            <w:pPr>
              <w:jc w:val="right"/>
              <w:spacing w:after="0"/>
              <w:rPr>
                <w:sz w:val="20"/>
                <w:szCs w:val="20"/>
                <w:color w:val="auto"/>
              </w:rPr>
            </w:pPr>
            <w:r>
              <w:rPr>
                <w:rFonts w:ascii="Arial" w:cs="Arial" w:eastAsia="Arial" w:hAnsi="Arial"/>
                <w:sz w:val="15"/>
                <w:szCs w:val="15"/>
                <w:color w:val="auto"/>
              </w:rPr>
              <w:t>204.3</w:t>
            </w:r>
          </w:p>
        </w:tc>
        <w:tc>
          <w:tcPr>
            <w:tcW w:w="4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20" w:type="dxa"/>
            <w:vAlign w:val="bottom"/>
          </w:tcPr>
          <w:p>
            <w:pPr>
              <w:jc w:val="right"/>
              <w:spacing w:after="0"/>
              <w:rPr>
                <w:sz w:val="20"/>
                <w:szCs w:val="20"/>
                <w:color w:val="auto"/>
              </w:rPr>
            </w:pPr>
            <w:r>
              <w:rPr>
                <w:rFonts w:ascii="Arial" w:cs="Arial" w:eastAsia="Arial" w:hAnsi="Arial"/>
                <w:sz w:val="15"/>
                <w:szCs w:val="15"/>
                <w:color w:val="auto"/>
              </w:rPr>
              <w:t>206.4</w:t>
            </w:r>
          </w:p>
        </w:tc>
        <w:tc>
          <w:tcPr>
            <w:tcW w:w="40" w:type="dxa"/>
            <w:vAlign w:val="bottom"/>
          </w:tcPr>
          <w:p>
            <w:pPr>
              <w:spacing w:after="0"/>
              <w:rPr>
                <w:sz w:val="15"/>
                <w:szCs w:val="15"/>
                <w:color w:val="auto"/>
              </w:rPr>
            </w:pPr>
          </w:p>
        </w:tc>
      </w:tr>
      <w:tr>
        <w:trPr>
          <w:trHeight w:val="20"/>
        </w:trPr>
        <w:tc>
          <w:tcPr>
            <w:tcW w:w="692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4" w:lineRule="exact"/>
        <w:rPr>
          <w:sz w:val="20"/>
          <w:szCs w:val="20"/>
          <w:color w:val="auto"/>
        </w:rPr>
      </w:pPr>
    </w:p>
    <w:p>
      <w:pPr>
        <w:ind w:left="1480" w:right="180" w:hanging="368"/>
        <w:spacing w:after="0" w:line="275" w:lineRule="auto"/>
        <w:tabs>
          <w:tab w:leader="none" w:pos="1480" w:val="left"/>
        </w:tabs>
        <w:numPr>
          <w:ilvl w:val="0"/>
          <w:numId w:val="115"/>
        </w:numPr>
        <w:rPr>
          <w:rFonts w:ascii="Arial" w:cs="Arial" w:eastAsia="Arial" w:hAnsi="Arial"/>
          <w:sz w:val="13"/>
          <w:szCs w:val="13"/>
          <w:color w:val="auto"/>
        </w:rPr>
      </w:pPr>
      <w:r>
        <w:rPr>
          <w:rFonts w:ascii="Arial" w:cs="Arial" w:eastAsia="Arial" w:hAnsi="Arial"/>
          <w:sz w:val="15"/>
          <w:szCs w:val="15"/>
          <w:color w:val="auto"/>
        </w:rPr>
        <w:t>A total of 14.7 million shares of Class A common stock associated with the Co-Founder Grants could potentially dilute earnings per share in the future if the requisite vesting conditions are met.</w:t>
      </w:r>
    </w:p>
    <w:p>
      <w:pPr>
        <w:spacing w:after="0" w:line="232" w:lineRule="exact"/>
        <w:rPr>
          <w:sz w:val="20"/>
          <w:szCs w:val="20"/>
          <w:color w:val="auto"/>
        </w:rPr>
      </w:pPr>
    </w:p>
    <w:p>
      <w:pPr>
        <w:ind w:left="1120"/>
        <w:spacing w:after="0"/>
        <w:rPr>
          <w:sz w:val="20"/>
          <w:szCs w:val="20"/>
          <w:color w:val="auto"/>
        </w:rPr>
      </w:pPr>
      <w:r>
        <w:rPr>
          <w:rFonts w:ascii="Arial" w:cs="Arial" w:eastAsia="Arial" w:hAnsi="Arial"/>
          <w:sz w:val="15"/>
          <w:szCs w:val="15"/>
          <w:b w:val="1"/>
          <w:bCs w:val="1"/>
          <w:color w:val="auto"/>
        </w:rPr>
        <w:t>Note 13. Unaudited Pro Forma Net Loss Per Share</w:t>
      </w:r>
    </w:p>
    <w:p>
      <w:pPr>
        <w:spacing w:after="0" w:line="102" w:lineRule="exact"/>
        <w:rPr>
          <w:sz w:val="20"/>
          <w:szCs w:val="20"/>
          <w:color w:val="auto"/>
        </w:rPr>
      </w:pPr>
    </w:p>
    <w:p>
      <w:pPr>
        <w:ind w:left="1120" w:firstLine="368"/>
        <w:spacing w:after="0" w:line="254" w:lineRule="auto"/>
        <w:rPr>
          <w:sz w:val="20"/>
          <w:szCs w:val="20"/>
          <w:color w:val="auto"/>
        </w:rPr>
      </w:pPr>
      <w:r>
        <w:rPr>
          <w:rFonts w:ascii="Arial" w:cs="Arial" w:eastAsia="Arial" w:hAnsi="Arial"/>
          <w:sz w:val="15"/>
          <w:szCs w:val="15"/>
          <w:color w:val="auto"/>
        </w:rPr>
        <w:t>Pro forma net loss per share was computed to give effect to the automatic conversion of all series of convertible preferred stock using the if-converted method as though the conversion had occurred as of the beginning of the period or the date of issuance, if later. Subject to the satisfaction of certain conditions, immediately prior to the completion of the Company’s initial public offering, 147,310,563 shares of convertible preferred stock will convert into an equivalent number of shares of Class B common stock. Further, pursuant to transfer agreements with certain of the Company’s stockholders, 258,620 shares of the Company’s preferred stock and 2,609,951 shares of the Company’s Class B common stock will automatically convert into an equivalent number of shares of Class A common stock. In addition, the pro forma share amounts give effect to the weighted-average issuance of two-tier RSUs that have satisfied the service-based vesting condition and the Performance Vesting Condition as of December 31, 2017. The Company’s Board of Directors has approved the acceleration of the Performance Vesting Condition for two-tier RSUs for which the service condition was</w:t>
      </w:r>
    </w:p>
    <w:p>
      <w:pPr>
        <w:spacing w:after="0" w:line="105" w:lineRule="exact"/>
        <w:rPr>
          <w:sz w:val="20"/>
          <w:szCs w:val="20"/>
          <w:color w:val="auto"/>
        </w:rPr>
      </w:pPr>
    </w:p>
    <w:p>
      <w:pPr>
        <w:ind w:left="5580"/>
        <w:spacing w:after="0"/>
        <w:rPr>
          <w:sz w:val="20"/>
          <w:szCs w:val="20"/>
          <w:color w:val="auto"/>
        </w:rPr>
      </w:pPr>
      <w:r>
        <w:rPr>
          <w:rFonts w:ascii="Arial" w:cs="Arial" w:eastAsia="Arial" w:hAnsi="Arial"/>
          <w:sz w:val="15"/>
          <w:szCs w:val="15"/>
          <w:color w:val="auto"/>
        </w:rPr>
        <w:t>F-30</w:t>
      </w:r>
    </w:p>
    <w:p>
      <w:pPr>
        <w:sectPr>
          <w:pgSz w:w="11900" w:h="16838" w:orient="portrait"/>
          <w:cols w:equalWidth="0" w:num="1">
            <w:col w:w="10320"/>
          </w:cols>
          <w:pgMar w:left="240" w:top="407" w:right="1339" w:bottom="1440" w:gutter="0" w:footer="0" w:header="0"/>
        </w:sectPr>
      </w:pPr>
    </w:p>
    <w:bookmarkStart w:id="233" w:name="page234"/>
    <w:bookmarkEnd w:id="233"/>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133350</wp:posOffset>
            </wp:positionH>
            <wp:positionV relativeFrom="page">
              <wp:posOffset>88900</wp:posOffset>
            </wp:positionV>
            <wp:extent cx="7308850" cy="3429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7308850" cy="34290"/>
                    </a:xfrm>
                    <a:prstGeom prst="rect">
                      <a:avLst/>
                    </a:prstGeom>
                    <a:noFill/>
                  </pic:spPr>
                </pic:pic>
              </a:graphicData>
            </a:graphic>
          </wp:anchor>
        </w:drawing>
      </w:r>
      <w:hyperlink w:anchor="page7">
        <w:r>
          <w:rPr>
            <w:rFonts w:ascii="Arial" w:cs="Arial" w:eastAsia="Arial" w:hAnsi="Arial"/>
            <w:sz w:val="15"/>
            <w:szCs w:val="15"/>
            <w:b w:val="1"/>
            <w:bCs w:val="1"/>
            <w:u w:val="single" w:color="auto"/>
            <w:color w:val="0000EE"/>
          </w:rPr>
          <w:t>Table of Contents</w:t>
        </w:r>
      </w:hyperlink>
    </w:p>
    <w:p>
      <w:pPr>
        <w:spacing w:after="0" w:line="260" w:lineRule="exact"/>
        <w:rPr>
          <w:sz w:val="20"/>
          <w:szCs w:val="20"/>
          <w:color w:val="auto"/>
        </w:rPr>
      </w:pPr>
    </w:p>
    <w:p>
      <w:pPr>
        <w:ind w:left="1120" w:right="60"/>
        <w:spacing w:after="0" w:line="255" w:lineRule="auto"/>
        <w:rPr>
          <w:sz w:val="20"/>
          <w:szCs w:val="20"/>
          <w:color w:val="auto"/>
        </w:rPr>
      </w:pPr>
      <w:r>
        <w:rPr>
          <w:rFonts w:ascii="Arial" w:cs="Arial" w:eastAsia="Arial" w:hAnsi="Arial"/>
          <w:sz w:val="15"/>
          <w:szCs w:val="15"/>
          <w:color w:val="auto"/>
        </w:rPr>
        <w:t>satisfied as of December 31, 2017, to occur upon the effectiveness of its registration statement related to this offering. The Company will repurchase the number of shares necessary to satisfy the tax withholding obligations, based on the fair value of its common stock on the date of the initial public offering. The Company currently expects that the average of these withholding tax rates will be approximately 39%. For two-tier RSUs for which the service-based vesting condition and the Performance Vesting Condition was satisfied as of December 31, 2017, the pro forma shares outstanding for the year ended December 31, 2017 includes the weighted-average issuance of 15,897,254 shares of Class B common stock, net of 10,163,817 shares repurchased to satisfy tax withholding obligations.</w:t>
      </w:r>
    </w:p>
    <w:p>
      <w:pPr>
        <w:spacing w:after="0" w:line="164" w:lineRule="exact"/>
        <w:rPr>
          <w:sz w:val="20"/>
          <w:szCs w:val="20"/>
          <w:color w:val="auto"/>
        </w:rPr>
      </w:pPr>
    </w:p>
    <w:p>
      <w:pPr>
        <w:ind w:left="1120" w:right="20" w:firstLine="368"/>
        <w:spacing w:after="0" w:line="257" w:lineRule="auto"/>
        <w:rPr>
          <w:sz w:val="20"/>
          <w:szCs w:val="20"/>
          <w:color w:val="auto"/>
        </w:rPr>
      </w:pPr>
      <w:r>
        <w:rPr>
          <w:rFonts w:ascii="Arial" w:cs="Arial" w:eastAsia="Arial" w:hAnsi="Arial"/>
          <w:sz w:val="15"/>
          <w:szCs w:val="15"/>
          <w:color w:val="auto"/>
        </w:rPr>
        <w:t>The net loss used in computing pro forma net loss per share amount in the table below does not give effect to the stock-based compensation expense associated with two-tier RSUs that have both a service-based vesting condition and the Performance Vesting Condition. If an initial public offering had been completed on December 31, 2017, the Company would have recognized approximately $415.6 million of stock-based compensation expense on the effective date, and would have approximately $5.6 million of additional future period expense that would be recognized over a weighted-average period of approximately one year if the requisite service is provided.</w:t>
      </w:r>
    </w:p>
    <w:p>
      <w:pPr>
        <w:spacing w:after="0" w:line="159" w:lineRule="exact"/>
        <w:rPr>
          <w:sz w:val="20"/>
          <w:szCs w:val="20"/>
          <w:color w:val="auto"/>
        </w:rPr>
      </w:pPr>
    </w:p>
    <w:p>
      <w:pPr>
        <w:ind w:left="1480"/>
        <w:spacing w:after="0"/>
        <w:rPr>
          <w:sz w:val="20"/>
          <w:szCs w:val="20"/>
          <w:color w:val="auto"/>
        </w:rPr>
      </w:pPr>
      <w:r>
        <w:rPr>
          <w:rFonts w:ascii="Arial" w:cs="Arial" w:eastAsia="Arial" w:hAnsi="Arial"/>
          <w:sz w:val="15"/>
          <w:szCs w:val="15"/>
          <w:color w:val="auto"/>
        </w:rPr>
        <w:t>The following table presents the calculation of pro forma net loss attributable to common stockholders per share, basic and diluted:</w:t>
      </w:r>
    </w:p>
    <w:p>
      <w:pPr>
        <w:spacing w:after="0" w:line="202" w:lineRule="exact"/>
        <w:rPr>
          <w:sz w:val="20"/>
          <w:szCs w:val="20"/>
          <w:color w:val="auto"/>
        </w:rPr>
      </w:pPr>
    </w:p>
    <w:p>
      <w:pPr>
        <w:jc w:val="center"/>
        <w:ind w:left="6340"/>
        <w:spacing w:after="0"/>
        <w:rPr>
          <w:sz w:val="20"/>
          <w:szCs w:val="20"/>
          <w:color w:val="auto"/>
        </w:rPr>
      </w:pPr>
      <w:r>
        <w:rPr>
          <w:rFonts w:ascii="Arial" w:cs="Arial" w:eastAsia="Arial" w:hAnsi="Arial"/>
          <w:sz w:val="12"/>
          <w:szCs w:val="12"/>
          <w:b w:val="1"/>
          <w:bCs w:val="1"/>
          <w:color w:val="auto"/>
        </w:rPr>
        <w:t>Year ended December 31,</w:t>
      </w:r>
    </w:p>
    <w:p>
      <w:pPr>
        <w:jc w:val="center"/>
        <w:ind w:left="6340"/>
        <w:spacing w:after="0" w:line="225" w:lineRule="auto"/>
        <w:rPr>
          <w:sz w:val="20"/>
          <w:szCs w:val="20"/>
          <w:color w:val="auto"/>
        </w:rPr>
      </w:pPr>
      <w:r>
        <w:rPr>
          <w:rFonts w:ascii="Arial" w:cs="Arial" w:eastAsia="Arial" w:hAnsi="Arial"/>
          <w:sz w:val="12"/>
          <w:szCs w:val="12"/>
          <w:b w:val="1"/>
          <w:bCs w:val="1"/>
          <w:color w:val="auto"/>
        </w:rPr>
        <w:t>2017</w:t>
      </w:r>
    </w:p>
    <w:tbl>
      <w:tblPr>
        <w:tblLayout w:type="fixed"/>
        <w:tblInd w:w="1120" w:type="dxa"/>
        <w:tblCellMar>
          <w:top w:w="0" w:type="dxa"/>
          <w:left w:w="0" w:type="dxa"/>
          <w:bottom w:w="0" w:type="dxa"/>
          <w:right w:w="0" w:type="dxa"/>
        </w:tblCellMar>
      </w:tblPr>
      <w:tr>
        <w:trPr>
          <w:trHeight w:val="115"/>
        </w:trPr>
        <w:tc>
          <w:tcPr>
            <w:tcW w:w="58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60" w:type="dxa"/>
            <w:vAlign w:val="bottom"/>
            <w:tcBorders>
              <w:top w:val="single" w:sz="8" w:color="auto"/>
              <w:bottom w:val="single" w:sz="8" w:color="auto"/>
            </w:tcBorders>
          </w:tcPr>
          <w:p>
            <w:pPr>
              <w:spacing w:after="0"/>
              <w:rPr>
                <w:sz w:val="10"/>
                <w:szCs w:val="10"/>
                <w:color w:val="auto"/>
              </w:rPr>
            </w:pPr>
          </w:p>
        </w:tc>
        <w:tc>
          <w:tcPr>
            <w:tcW w:w="2540" w:type="dxa"/>
            <w:vAlign w:val="bottom"/>
            <w:tcBorders>
              <w:top w:val="single" w:sz="8" w:color="auto"/>
              <w:bottom w:val="single" w:sz="8" w:color="auto"/>
            </w:tcBorders>
            <w:gridSpan w:val="5"/>
          </w:tcPr>
          <w:p>
            <w:pPr>
              <w:jc w:val="right"/>
              <w:ind w:right="346"/>
              <w:spacing w:after="0" w:line="115" w:lineRule="exact"/>
              <w:rPr>
                <w:sz w:val="20"/>
                <w:szCs w:val="20"/>
                <w:color w:val="auto"/>
              </w:rPr>
            </w:pPr>
            <w:r>
              <w:rPr>
                <w:rFonts w:ascii="Arial" w:cs="Arial" w:eastAsia="Arial" w:hAnsi="Arial"/>
                <w:sz w:val="12"/>
                <w:szCs w:val="12"/>
                <w:i w:val="1"/>
                <w:iCs w:val="1"/>
                <w:color w:val="auto"/>
              </w:rPr>
              <w:t>(In millions, except per share amounts)</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58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180" w:type="dxa"/>
            <w:vAlign w:val="bottom"/>
            <w:gridSpan w:val="2"/>
          </w:tcPr>
          <w:p>
            <w:pPr>
              <w:jc w:val="right"/>
              <w:ind w:right="740"/>
              <w:spacing w:after="0" w:line="115" w:lineRule="exact"/>
              <w:rPr>
                <w:sz w:val="20"/>
                <w:szCs w:val="20"/>
                <w:color w:val="auto"/>
              </w:rPr>
            </w:pPr>
            <w:r>
              <w:rPr>
                <w:rFonts w:ascii="Arial" w:cs="Arial" w:eastAsia="Arial" w:hAnsi="Arial"/>
                <w:sz w:val="12"/>
                <w:szCs w:val="12"/>
                <w:color w:val="auto"/>
              </w:rPr>
              <w:t>Class A</w:t>
            </w:r>
          </w:p>
        </w:tc>
        <w:tc>
          <w:tcPr>
            <w:tcW w:w="4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20" w:type="dxa"/>
            <w:vAlign w:val="bottom"/>
          </w:tcPr>
          <w:p>
            <w:pPr>
              <w:jc w:val="right"/>
              <w:ind w:right="186"/>
              <w:spacing w:after="0" w:line="115" w:lineRule="exact"/>
              <w:rPr>
                <w:sz w:val="20"/>
                <w:szCs w:val="20"/>
                <w:color w:val="auto"/>
              </w:rPr>
            </w:pPr>
            <w:r>
              <w:rPr>
                <w:rFonts w:ascii="Arial" w:cs="Arial" w:eastAsia="Arial" w:hAnsi="Arial"/>
                <w:sz w:val="12"/>
                <w:szCs w:val="12"/>
                <w:color w:val="auto"/>
              </w:rPr>
              <w:t>Class B</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0"/>
        </w:trPr>
        <w:tc>
          <w:tcPr>
            <w:tcW w:w="5860" w:type="dxa"/>
            <w:vAlign w:val="bottom"/>
            <w:tcBorders>
              <w:top w:val="single" w:sz="8" w:color="CCEEFF"/>
            </w:tcBorders>
            <w:shd w:val="clear" w:color="auto" w:fill="CCEEFF"/>
          </w:tcPr>
          <w:p>
            <w:pPr>
              <w:spacing w:after="0" w:line="161" w:lineRule="exact"/>
              <w:rPr>
                <w:sz w:val="20"/>
                <w:szCs w:val="20"/>
                <w:color w:val="auto"/>
              </w:rPr>
            </w:pPr>
            <w:r>
              <w:rPr>
                <w:rFonts w:ascii="Arial" w:cs="Arial" w:eastAsia="Arial" w:hAnsi="Arial"/>
                <w:sz w:val="15"/>
                <w:szCs w:val="15"/>
                <w:color w:val="auto"/>
              </w:rPr>
              <w:t>Numerator:</w:t>
            </w:r>
          </w:p>
        </w:tc>
        <w:tc>
          <w:tcPr>
            <w:tcW w:w="56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spacing w:after="0"/>
              <w:rPr>
                <w:sz w:val="13"/>
                <w:szCs w:val="13"/>
                <w:color w:val="auto"/>
              </w:rPr>
            </w:pPr>
          </w:p>
        </w:tc>
        <w:tc>
          <w:tcPr>
            <w:tcW w:w="660" w:type="dxa"/>
            <w:vAlign w:val="bottom"/>
            <w:tcBorders>
              <w:top w:val="single" w:sz="8" w:color="auto"/>
            </w:tcBorders>
            <w:shd w:val="clear" w:color="auto" w:fill="CCEEFF"/>
          </w:tcPr>
          <w:p>
            <w:pPr>
              <w:spacing w:after="0"/>
              <w:rPr>
                <w:sz w:val="13"/>
                <w:szCs w:val="13"/>
                <w:color w:val="auto"/>
              </w:rPr>
            </w:pPr>
          </w:p>
        </w:tc>
        <w:tc>
          <w:tcPr>
            <w:tcW w:w="520" w:type="dxa"/>
            <w:vAlign w:val="bottom"/>
            <w:tcBorders>
              <w:top w:val="single" w:sz="8" w:color="CCEEFF"/>
            </w:tcBorders>
            <w:shd w:val="clear" w:color="auto" w:fill="CCEEFF"/>
          </w:tcPr>
          <w:p>
            <w:pPr>
              <w:spacing w:after="0"/>
              <w:rPr>
                <w:sz w:val="13"/>
                <w:szCs w:val="13"/>
                <w:color w:val="auto"/>
              </w:rPr>
            </w:pPr>
          </w:p>
        </w:tc>
        <w:tc>
          <w:tcPr>
            <w:tcW w:w="48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spacing w:after="0"/>
              <w:rPr>
                <w:sz w:val="13"/>
                <w:szCs w:val="13"/>
                <w:color w:val="auto"/>
              </w:rPr>
            </w:pPr>
          </w:p>
        </w:tc>
        <w:tc>
          <w:tcPr>
            <w:tcW w:w="72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5860" w:type="dxa"/>
            <w:vAlign w:val="bottom"/>
          </w:tcPr>
          <w:p>
            <w:pPr>
              <w:ind w:left="300"/>
              <w:spacing w:after="0"/>
              <w:rPr>
                <w:sz w:val="20"/>
                <w:szCs w:val="20"/>
                <w:color w:val="auto"/>
              </w:rPr>
            </w:pPr>
            <w:r>
              <w:rPr>
                <w:rFonts w:ascii="Arial" w:cs="Arial" w:eastAsia="Arial" w:hAnsi="Arial"/>
                <w:sz w:val="15"/>
                <w:szCs w:val="15"/>
                <w:color w:val="auto"/>
              </w:rPr>
              <w:t>Net loss as reported</w:t>
            </w:r>
          </w:p>
        </w:tc>
        <w:tc>
          <w:tcPr>
            <w:tcW w:w="560" w:type="dxa"/>
            <w:vAlign w:val="bottom"/>
          </w:tcPr>
          <w:p>
            <w:pPr>
              <w:spacing w:after="0"/>
              <w:rPr>
                <w:sz w:val="15"/>
                <w:szCs w:val="15"/>
                <w:color w:val="auto"/>
              </w:rPr>
            </w:pP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480"/>
              <w:spacing w:after="0"/>
              <w:rPr>
                <w:sz w:val="20"/>
                <w:szCs w:val="20"/>
                <w:color w:val="auto"/>
              </w:rPr>
            </w:pPr>
            <w:r>
              <w:rPr>
                <w:rFonts w:ascii="Arial" w:cs="Arial" w:eastAsia="Arial" w:hAnsi="Arial"/>
                <w:sz w:val="15"/>
                <w:szCs w:val="15"/>
                <w:color w:val="auto"/>
              </w:rPr>
              <w:t>(3.6)</w:t>
            </w:r>
          </w:p>
        </w:tc>
        <w:tc>
          <w:tcPr>
            <w:tcW w:w="640" w:type="dxa"/>
            <w:vAlign w:val="bottom"/>
            <w:gridSpan w:val="2"/>
          </w:tcPr>
          <w:p>
            <w:pPr>
              <w:jc w:val="right"/>
              <w:ind w:right="80"/>
              <w:spacing w:after="0"/>
              <w:rPr>
                <w:sz w:val="20"/>
                <w:szCs w:val="20"/>
                <w:color w:val="auto"/>
              </w:rPr>
            </w:pPr>
            <w:r>
              <w:rPr>
                <w:rFonts w:ascii="Arial" w:cs="Arial" w:eastAsia="Arial" w:hAnsi="Arial"/>
                <w:sz w:val="15"/>
                <w:szCs w:val="15"/>
                <w:color w:val="auto"/>
              </w:rPr>
              <w:t>$</w:t>
            </w:r>
          </w:p>
        </w:tc>
        <w:tc>
          <w:tcPr>
            <w:tcW w:w="800" w:type="dxa"/>
            <w:vAlign w:val="bottom"/>
            <w:gridSpan w:val="2"/>
          </w:tcPr>
          <w:p>
            <w:pPr>
              <w:jc w:val="right"/>
              <w:ind w:right="40"/>
              <w:spacing w:after="0"/>
              <w:rPr>
                <w:sz w:val="20"/>
                <w:szCs w:val="20"/>
                <w:color w:val="auto"/>
              </w:rPr>
            </w:pPr>
            <w:r>
              <w:rPr>
                <w:rFonts w:ascii="Arial" w:cs="Arial" w:eastAsia="Arial" w:hAnsi="Arial"/>
                <w:sz w:val="15"/>
                <w:szCs w:val="15"/>
                <w:color w:val="auto"/>
              </w:rPr>
              <w:t>(108.1)</w:t>
            </w:r>
          </w:p>
        </w:tc>
        <w:tc>
          <w:tcPr>
            <w:tcW w:w="0" w:type="dxa"/>
            <w:vAlign w:val="bottom"/>
          </w:tcPr>
          <w:p>
            <w:pPr>
              <w:spacing w:after="0"/>
              <w:rPr>
                <w:sz w:val="1"/>
                <w:szCs w:val="1"/>
                <w:color w:val="auto"/>
              </w:rPr>
            </w:pPr>
          </w:p>
        </w:tc>
      </w:tr>
      <w:tr>
        <w:trPr>
          <w:trHeight w:val="23"/>
        </w:trPr>
        <w:tc>
          <w:tcPr>
            <w:tcW w:w="58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5860" w:type="dxa"/>
            <w:vAlign w:val="bottom"/>
            <w:shd w:val="clear" w:color="auto" w:fill="CCEEFF"/>
          </w:tcPr>
          <w:p>
            <w:pPr>
              <w:ind w:left="600"/>
              <w:spacing w:after="0"/>
              <w:rPr>
                <w:sz w:val="20"/>
                <w:szCs w:val="20"/>
                <w:color w:val="auto"/>
              </w:rPr>
            </w:pPr>
            <w:r>
              <w:rPr>
                <w:rFonts w:ascii="Arial" w:cs="Arial" w:eastAsia="Arial" w:hAnsi="Arial"/>
                <w:sz w:val="15"/>
                <w:szCs w:val="15"/>
                <w:color w:val="auto"/>
              </w:rPr>
              <w:t>Reallocation of net loss due to pro forma adjustments</w:t>
            </w:r>
          </w:p>
        </w:tc>
        <w:tc>
          <w:tcPr>
            <w:tcW w:w="5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0.7</w:t>
            </w:r>
          </w:p>
        </w:tc>
        <w:tc>
          <w:tcPr>
            <w:tcW w:w="52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(0.7)</w:t>
            </w:r>
          </w:p>
        </w:tc>
        <w:tc>
          <w:tcPr>
            <w:tcW w:w="0" w:type="dxa"/>
            <w:vAlign w:val="bottom"/>
          </w:tcPr>
          <w:p>
            <w:pPr>
              <w:spacing w:after="0"/>
              <w:rPr>
                <w:sz w:val="1"/>
                <w:szCs w:val="1"/>
                <w:color w:val="auto"/>
              </w:rPr>
            </w:pPr>
          </w:p>
        </w:tc>
      </w:tr>
      <w:tr>
        <w:trPr>
          <w:trHeight w:val="170"/>
        </w:trPr>
        <w:tc>
          <w:tcPr>
            <w:tcW w:w="5860" w:type="dxa"/>
            <w:vAlign w:val="bottom"/>
          </w:tcPr>
          <w:p>
            <w:pPr>
              <w:ind w:left="600"/>
              <w:spacing w:after="0" w:line="170" w:lineRule="exact"/>
              <w:rPr>
                <w:sz w:val="20"/>
                <w:szCs w:val="20"/>
                <w:color w:val="auto"/>
              </w:rPr>
            </w:pPr>
            <w:r>
              <w:rPr>
                <w:rFonts w:ascii="Arial" w:cs="Arial" w:eastAsia="Arial" w:hAnsi="Arial"/>
                <w:sz w:val="15"/>
                <w:szCs w:val="15"/>
                <w:color w:val="auto"/>
              </w:rPr>
              <w:t>Net loss attributable to common stockholders for pro forma net loss per share</w:t>
            </w:r>
          </w:p>
        </w:tc>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1"/>
        </w:trPr>
        <w:tc>
          <w:tcPr>
            <w:tcW w:w="5860" w:type="dxa"/>
            <w:vAlign w:val="bottom"/>
          </w:tcPr>
          <w:p>
            <w:pPr>
              <w:ind w:left="740"/>
              <w:spacing w:after="0"/>
              <w:rPr>
                <w:sz w:val="20"/>
                <w:szCs w:val="20"/>
                <w:color w:val="auto"/>
              </w:rPr>
            </w:pPr>
            <w:r>
              <w:rPr>
                <w:rFonts w:ascii="Arial" w:cs="Arial" w:eastAsia="Arial" w:hAnsi="Arial"/>
                <w:sz w:val="15"/>
                <w:szCs w:val="15"/>
                <w:color w:val="auto"/>
              </w:rPr>
              <w:t>computation, basic and diluted</w:t>
            </w:r>
          </w:p>
        </w:tc>
        <w:tc>
          <w:tcPr>
            <w:tcW w:w="720" w:type="dxa"/>
            <w:vAlign w:val="bottom"/>
            <w:gridSpan w:val="2"/>
          </w:tcPr>
          <w:p>
            <w:pPr>
              <w:jc w:val="right"/>
              <w:ind w:right="5"/>
              <w:spacing w:after="0"/>
              <w:rPr>
                <w:sz w:val="20"/>
                <w:szCs w:val="20"/>
                <w:color w:val="auto"/>
              </w:rPr>
            </w:pPr>
            <w:r>
              <w:rPr>
                <w:rFonts w:ascii="Arial" w:cs="Arial" w:eastAsia="Arial" w:hAnsi="Arial"/>
                <w:sz w:val="15"/>
                <w:szCs w:val="15"/>
                <w:color w:val="auto"/>
              </w:rPr>
              <w:t>$</w:t>
            </w:r>
          </w:p>
        </w:tc>
        <w:tc>
          <w:tcPr>
            <w:tcW w:w="1180" w:type="dxa"/>
            <w:vAlign w:val="bottom"/>
            <w:gridSpan w:val="2"/>
          </w:tcPr>
          <w:p>
            <w:pPr>
              <w:jc w:val="right"/>
              <w:ind w:right="480"/>
              <w:spacing w:after="0"/>
              <w:rPr>
                <w:sz w:val="20"/>
                <w:szCs w:val="20"/>
                <w:color w:val="auto"/>
              </w:rPr>
            </w:pPr>
            <w:r>
              <w:rPr>
                <w:rFonts w:ascii="Arial" w:cs="Arial" w:eastAsia="Arial" w:hAnsi="Arial"/>
                <w:sz w:val="15"/>
                <w:szCs w:val="15"/>
                <w:color w:val="auto"/>
              </w:rPr>
              <w:t>(2.9)</w:t>
            </w:r>
          </w:p>
        </w:tc>
        <w:tc>
          <w:tcPr>
            <w:tcW w:w="640" w:type="dxa"/>
            <w:vAlign w:val="bottom"/>
            <w:gridSpan w:val="2"/>
          </w:tcPr>
          <w:p>
            <w:pPr>
              <w:jc w:val="right"/>
              <w:ind w:right="80"/>
              <w:spacing w:after="0"/>
              <w:rPr>
                <w:sz w:val="20"/>
                <w:szCs w:val="20"/>
                <w:color w:val="auto"/>
              </w:rPr>
            </w:pPr>
            <w:r>
              <w:rPr>
                <w:rFonts w:ascii="Arial" w:cs="Arial" w:eastAsia="Arial" w:hAnsi="Arial"/>
                <w:sz w:val="15"/>
                <w:szCs w:val="15"/>
                <w:color w:val="auto"/>
              </w:rPr>
              <w:t>$</w:t>
            </w:r>
          </w:p>
        </w:tc>
        <w:tc>
          <w:tcPr>
            <w:tcW w:w="800" w:type="dxa"/>
            <w:vAlign w:val="bottom"/>
            <w:gridSpan w:val="2"/>
          </w:tcPr>
          <w:p>
            <w:pPr>
              <w:jc w:val="right"/>
              <w:ind w:right="40"/>
              <w:spacing w:after="0"/>
              <w:rPr>
                <w:sz w:val="20"/>
                <w:szCs w:val="20"/>
                <w:color w:val="auto"/>
              </w:rPr>
            </w:pPr>
            <w:r>
              <w:rPr>
                <w:rFonts w:ascii="Arial" w:cs="Arial" w:eastAsia="Arial" w:hAnsi="Arial"/>
                <w:sz w:val="15"/>
                <w:szCs w:val="15"/>
                <w:color w:val="auto"/>
              </w:rPr>
              <w:t>(108.8)</w:t>
            </w:r>
          </w:p>
        </w:tc>
        <w:tc>
          <w:tcPr>
            <w:tcW w:w="0" w:type="dxa"/>
            <w:vAlign w:val="bottom"/>
          </w:tcPr>
          <w:p>
            <w:pPr>
              <w:spacing w:after="0"/>
              <w:rPr>
                <w:sz w:val="1"/>
                <w:szCs w:val="1"/>
                <w:color w:val="auto"/>
              </w:rPr>
            </w:pPr>
          </w:p>
        </w:tc>
      </w:tr>
      <w:tr>
        <w:trPr>
          <w:trHeight w:val="20"/>
        </w:trPr>
        <w:tc>
          <w:tcPr>
            <w:tcW w:w="58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5860" w:type="dxa"/>
            <w:vAlign w:val="bottom"/>
            <w:shd w:val="clear" w:color="auto" w:fill="CCEEFF"/>
          </w:tcPr>
          <w:p>
            <w:pPr>
              <w:spacing w:after="0" w:line="167" w:lineRule="exact"/>
              <w:rPr>
                <w:sz w:val="20"/>
                <w:szCs w:val="20"/>
                <w:color w:val="auto"/>
              </w:rPr>
            </w:pPr>
            <w:r>
              <w:rPr>
                <w:rFonts w:ascii="Arial" w:cs="Arial" w:eastAsia="Arial" w:hAnsi="Arial"/>
                <w:sz w:val="15"/>
                <w:szCs w:val="15"/>
                <w:color w:val="auto"/>
              </w:rPr>
              <w:t>Denominator:</w:t>
            </w:r>
          </w:p>
        </w:tc>
        <w:tc>
          <w:tcPr>
            <w:tcW w:w="5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5860" w:type="dxa"/>
            <w:vAlign w:val="bottom"/>
          </w:tcPr>
          <w:p>
            <w:pPr>
              <w:ind w:left="300"/>
              <w:spacing w:after="0" w:line="170" w:lineRule="exact"/>
              <w:rPr>
                <w:sz w:val="20"/>
                <w:szCs w:val="20"/>
                <w:color w:val="auto"/>
              </w:rPr>
            </w:pPr>
            <w:r>
              <w:rPr>
                <w:rFonts w:ascii="Arial" w:cs="Arial" w:eastAsia="Arial" w:hAnsi="Arial"/>
                <w:sz w:val="15"/>
                <w:szCs w:val="15"/>
                <w:color w:val="auto"/>
              </w:rPr>
              <w:t>Weighted-average shares of common stock used in computing net loss per share</w:t>
            </w:r>
          </w:p>
        </w:tc>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1"/>
        </w:trPr>
        <w:tc>
          <w:tcPr>
            <w:tcW w:w="5860" w:type="dxa"/>
            <w:vAlign w:val="bottom"/>
          </w:tcPr>
          <w:p>
            <w:pPr>
              <w:ind w:left="440"/>
              <w:spacing w:after="0"/>
              <w:rPr>
                <w:sz w:val="20"/>
                <w:szCs w:val="20"/>
                <w:color w:val="auto"/>
              </w:rPr>
            </w:pPr>
            <w:r>
              <w:rPr>
                <w:rFonts w:ascii="Arial" w:cs="Arial" w:eastAsia="Arial" w:hAnsi="Arial"/>
                <w:sz w:val="15"/>
                <w:szCs w:val="15"/>
                <w:color w:val="auto"/>
              </w:rPr>
              <w:t>attributable to common stockholders, basic and diluted</w:t>
            </w:r>
          </w:p>
        </w:tc>
        <w:tc>
          <w:tcPr>
            <w:tcW w:w="5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5"/>
                <w:szCs w:val="15"/>
                <w:color w:val="auto"/>
              </w:rPr>
              <w:t>6.3</w:t>
            </w:r>
          </w:p>
        </w:tc>
        <w:tc>
          <w:tcPr>
            <w:tcW w:w="5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189.6</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0"/>
        </w:trPr>
        <w:tc>
          <w:tcPr>
            <w:tcW w:w="5860" w:type="dxa"/>
            <w:vAlign w:val="bottom"/>
            <w:shd w:val="clear" w:color="auto" w:fill="CCEEFF"/>
          </w:tcPr>
          <w:p>
            <w:pPr>
              <w:ind w:left="600"/>
              <w:spacing w:after="0" w:line="171" w:lineRule="exact"/>
              <w:rPr>
                <w:sz w:val="20"/>
                <w:szCs w:val="20"/>
                <w:color w:val="auto"/>
              </w:rPr>
            </w:pPr>
            <w:r>
              <w:rPr>
                <w:rFonts w:ascii="Arial" w:cs="Arial" w:eastAsia="Arial" w:hAnsi="Arial"/>
                <w:sz w:val="15"/>
                <w:szCs w:val="15"/>
                <w:color w:val="auto"/>
              </w:rPr>
              <w:t>Weighted-average pro forma adjustment to reflect conversion of convertible</w:t>
            </w:r>
          </w:p>
        </w:tc>
        <w:tc>
          <w:tcPr>
            <w:tcW w:w="5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1"/>
        </w:trPr>
        <w:tc>
          <w:tcPr>
            <w:tcW w:w="5860" w:type="dxa"/>
            <w:vAlign w:val="bottom"/>
            <w:shd w:val="clear" w:color="auto" w:fill="CCEEFF"/>
          </w:tcPr>
          <w:p>
            <w:pPr>
              <w:ind w:left="740"/>
              <w:spacing w:after="0"/>
              <w:rPr>
                <w:sz w:val="20"/>
                <w:szCs w:val="20"/>
                <w:color w:val="auto"/>
              </w:rPr>
            </w:pPr>
            <w:r>
              <w:rPr>
                <w:rFonts w:ascii="Arial" w:cs="Arial" w:eastAsia="Arial" w:hAnsi="Arial"/>
                <w:sz w:val="15"/>
                <w:szCs w:val="15"/>
                <w:color w:val="auto"/>
              </w:rPr>
              <w:t>preferred stock</w:t>
            </w:r>
          </w:p>
        </w:tc>
        <w:tc>
          <w:tcPr>
            <w:tcW w:w="5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0.3</w:t>
            </w:r>
          </w:p>
        </w:tc>
        <w:tc>
          <w:tcPr>
            <w:tcW w:w="52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147.3</w:t>
            </w: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0"/>
        </w:trPr>
        <w:tc>
          <w:tcPr>
            <w:tcW w:w="5860" w:type="dxa"/>
            <w:vAlign w:val="bottom"/>
          </w:tcPr>
          <w:p>
            <w:pPr>
              <w:ind w:left="600"/>
              <w:spacing w:after="0" w:line="170" w:lineRule="exact"/>
              <w:rPr>
                <w:sz w:val="20"/>
                <w:szCs w:val="20"/>
                <w:color w:val="auto"/>
              </w:rPr>
            </w:pPr>
            <w:r>
              <w:rPr>
                <w:rFonts w:ascii="Arial" w:cs="Arial" w:eastAsia="Arial" w:hAnsi="Arial"/>
                <w:sz w:val="15"/>
                <w:szCs w:val="15"/>
                <w:color w:val="auto"/>
              </w:rPr>
              <w:t>Weighted-average pro forma adjustment to reflect assumed vesting of two-tier</w:t>
            </w:r>
          </w:p>
        </w:tc>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1"/>
        </w:trPr>
        <w:tc>
          <w:tcPr>
            <w:tcW w:w="5860" w:type="dxa"/>
            <w:vAlign w:val="bottom"/>
          </w:tcPr>
          <w:p>
            <w:pPr>
              <w:ind w:left="740"/>
              <w:spacing w:after="0"/>
              <w:rPr>
                <w:sz w:val="20"/>
                <w:szCs w:val="20"/>
                <w:color w:val="auto"/>
              </w:rPr>
            </w:pPr>
            <w:r>
              <w:rPr>
                <w:rFonts w:ascii="Arial" w:cs="Arial" w:eastAsia="Arial" w:hAnsi="Arial"/>
                <w:sz w:val="15"/>
                <w:szCs w:val="15"/>
                <w:color w:val="auto"/>
              </w:rPr>
              <w:t>RSUs, net of shares repurchased to satisfy tax withholding obligations</w:t>
            </w:r>
          </w:p>
        </w:tc>
        <w:tc>
          <w:tcPr>
            <w:tcW w:w="5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gridSpan w:val="2"/>
          </w:tcPr>
          <w:p>
            <w:pPr>
              <w:jc w:val="right"/>
              <w:ind w:right="600"/>
              <w:spacing w:after="0"/>
              <w:rPr>
                <w:sz w:val="20"/>
                <w:szCs w:val="20"/>
                <w:color w:val="auto"/>
              </w:rPr>
            </w:pPr>
            <w:r>
              <w:rPr>
                <w:rFonts w:ascii="Arial" w:cs="Arial" w:eastAsia="Arial" w:hAnsi="Arial"/>
                <w:sz w:val="15"/>
                <w:szCs w:val="15"/>
                <w:color w:val="auto"/>
              </w:rPr>
              <w:t>—</w:t>
            </w:r>
          </w:p>
        </w:tc>
        <w:tc>
          <w:tcPr>
            <w:tcW w:w="4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15.1</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0"/>
        </w:trPr>
        <w:tc>
          <w:tcPr>
            <w:tcW w:w="5860" w:type="dxa"/>
            <w:vAlign w:val="bottom"/>
            <w:shd w:val="clear" w:color="auto" w:fill="CCEEFF"/>
          </w:tcPr>
          <w:p>
            <w:pPr>
              <w:ind w:left="600"/>
              <w:spacing w:after="0" w:line="171" w:lineRule="exact"/>
              <w:rPr>
                <w:sz w:val="20"/>
                <w:szCs w:val="20"/>
                <w:color w:val="auto"/>
              </w:rPr>
            </w:pPr>
            <w:r>
              <w:rPr>
                <w:rFonts w:ascii="Arial" w:cs="Arial" w:eastAsia="Arial" w:hAnsi="Arial"/>
                <w:sz w:val="15"/>
                <w:szCs w:val="15"/>
                <w:color w:val="auto"/>
              </w:rPr>
              <w:t>Weighted-average pro forma adjustment of conversions of Class B to Class A</w:t>
            </w:r>
          </w:p>
        </w:tc>
        <w:tc>
          <w:tcPr>
            <w:tcW w:w="5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1"/>
        </w:trPr>
        <w:tc>
          <w:tcPr>
            <w:tcW w:w="5860" w:type="dxa"/>
            <w:vAlign w:val="bottom"/>
            <w:shd w:val="clear" w:color="auto" w:fill="CCEEFF"/>
          </w:tcPr>
          <w:p>
            <w:pPr>
              <w:ind w:left="740"/>
              <w:spacing w:after="0"/>
              <w:rPr>
                <w:sz w:val="20"/>
                <w:szCs w:val="20"/>
                <w:color w:val="auto"/>
              </w:rPr>
            </w:pPr>
            <w:r>
              <w:rPr>
                <w:rFonts w:ascii="Arial" w:cs="Arial" w:eastAsia="Arial" w:hAnsi="Arial"/>
                <w:sz w:val="15"/>
                <w:szCs w:val="15"/>
                <w:color w:val="auto"/>
              </w:rPr>
              <w:t>common stock</w:t>
            </w:r>
          </w:p>
        </w:tc>
        <w:tc>
          <w:tcPr>
            <w:tcW w:w="5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2.6</w:t>
            </w:r>
          </w:p>
        </w:tc>
        <w:tc>
          <w:tcPr>
            <w:tcW w:w="52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(2.6)</w:t>
            </w:r>
          </w:p>
        </w:tc>
        <w:tc>
          <w:tcPr>
            <w:tcW w:w="0" w:type="dxa"/>
            <w:vAlign w:val="bottom"/>
          </w:tcPr>
          <w:p>
            <w:pPr>
              <w:spacing w:after="0"/>
              <w:rPr>
                <w:sz w:val="1"/>
                <w:szCs w:val="1"/>
                <w:color w:val="auto"/>
              </w:rPr>
            </w:pPr>
          </w:p>
        </w:tc>
      </w:tr>
      <w:tr>
        <w:trPr>
          <w:trHeight w:val="20"/>
        </w:trPr>
        <w:tc>
          <w:tcPr>
            <w:tcW w:w="5860" w:type="dxa"/>
            <w:vAlign w:val="bottom"/>
            <w:vMerge w:val="restart"/>
          </w:tcPr>
          <w:p>
            <w:pPr>
              <w:ind w:left="600"/>
              <w:spacing w:after="0"/>
              <w:rPr>
                <w:sz w:val="20"/>
                <w:szCs w:val="20"/>
                <w:color w:val="auto"/>
              </w:rPr>
            </w:pPr>
            <w:r>
              <w:rPr>
                <w:rFonts w:ascii="Arial" w:cs="Arial" w:eastAsia="Arial" w:hAnsi="Arial"/>
                <w:sz w:val="15"/>
                <w:szCs w:val="15"/>
                <w:color w:val="auto"/>
              </w:rPr>
              <w:t>Weighted-average shares used in computing pro forma net loss per share</w:t>
            </w:r>
          </w:p>
        </w:tc>
        <w:tc>
          <w:tcPr>
            <w:tcW w:w="5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5860" w:type="dxa"/>
            <w:vAlign w:val="bottom"/>
            <w:vMerge w:val="continue"/>
          </w:tcPr>
          <w:p>
            <w:pPr>
              <w:spacing w:after="0"/>
              <w:rPr>
                <w:sz w:val="13"/>
                <w:szCs w:val="13"/>
                <w:color w:val="auto"/>
              </w:rPr>
            </w:pPr>
          </w:p>
        </w:tc>
        <w:tc>
          <w:tcPr>
            <w:tcW w:w="5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1"/>
        </w:trPr>
        <w:tc>
          <w:tcPr>
            <w:tcW w:w="5860" w:type="dxa"/>
            <w:vAlign w:val="bottom"/>
          </w:tcPr>
          <w:p>
            <w:pPr>
              <w:ind w:left="740"/>
              <w:spacing w:after="0"/>
              <w:rPr>
                <w:sz w:val="20"/>
                <w:szCs w:val="20"/>
                <w:color w:val="auto"/>
              </w:rPr>
            </w:pPr>
            <w:r>
              <w:rPr>
                <w:rFonts w:ascii="Arial" w:cs="Arial" w:eastAsia="Arial" w:hAnsi="Arial"/>
                <w:sz w:val="15"/>
                <w:szCs w:val="15"/>
                <w:color w:val="auto"/>
              </w:rPr>
              <w:t>attributable to common stockholders, basic and diluted</w:t>
            </w:r>
          </w:p>
        </w:tc>
        <w:tc>
          <w:tcPr>
            <w:tcW w:w="5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9.2</w:t>
            </w:r>
          </w:p>
        </w:tc>
        <w:tc>
          <w:tcPr>
            <w:tcW w:w="5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349.4</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58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5860" w:type="dxa"/>
            <w:vAlign w:val="bottom"/>
            <w:shd w:val="clear" w:color="auto" w:fill="CCEEFF"/>
          </w:tcPr>
          <w:p>
            <w:pPr>
              <w:spacing w:after="0" w:line="167" w:lineRule="exact"/>
              <w:rPr>
                <w:sz w:val="20"/>
                <w:szCs w:val="20"/>
                <w:color w:val="auto"/>
              </w:rPr>
            </w:pPr>
            <w:r>
              <w:rPr>
                <w:rFonts w:ascii="Arial" w:cs="Arial" w:eastAsia="Arial" w:hAnsi="Arial"/>
                <w:sz w:val="15"/>
                <w:szCs w:val="15"/>
                <w:color w:val="auto"/>
              </w:rPr>
              <w:t>Pro forma net loss attributable to common stockholders per share, basic and diluted</w:t>
            </w:r>
          </w:p>
        </w:tc>
        <w:tc>
          <w:tcPr>
            <w:tcW w:w="720" w:type="dxa"/>
            <w:vAlign w:val="bottom"/>
            <w:gridSpan w:val="2"/>
            <w:shd w:val="clear" w:color="auto" w:fill="CCEEFF"/>
          </w:tcPr>
          <w:p>
            <w:pPr>
              <w:jc w:val="right"/>
              <w:ind w:right="5"/>
              <w:spacing w:after="0" w:line="167" w:lineRule="exact"/>
              <w:rPr>
                <w:sz w:val="20"/>
                <w:szCs w:val="20"/>
                <w:color w:val="auto"/>
              </w:rPr>
            </w:pPr>
            <w:r>
              <w:rPr>
                <w:rFonts w:ascii="Arial" w:cs="Arial" w:eastAsia="Arial" w:hAnsi="Arial"/>
                <w:sz w:val="15"/>
                <w:szCs w:val="15"/>
                <w:color w:val="auto"/>
              </w:rPr>
              <w:t>$</w:t>
            </w:r>
          </w:p>
        </w:tc>
        <w:tc>
          <w:tcPr>
            <w:tcW w:w="1180" w:type="dxa"/>
            <w:vAlign w:val="bottom"/>
            <w:gridSpan w:val="2"/>
            <w:shd w:val="clear" w:color="auto" w:fill="CCEEFF"/>
          </w:tcPr>
          <w:p>
            <w:pPr>
              <w:jc w:val="right"/>
              <w:ind w:right="480"/>
              <w:spacing w:after="0" w:line="167" w:lineRule="exact"/>
              <w:rPr>
                <w:sz w:val="20"/>
                <w:szCs w:val="20"/>
                <w:color w:val="auto"/>
              </w:rPr>
            </w:pPr>
            <w:r>
              <w:rPr>
                <w:rFonts w:ascii="Arial" w:cs="Arial" w:eastAsia="Arial" w:hAnsi="Arial"/>
                <w:sz w:val="15"/>
                <w:szCs w:val="15"/>
                <w:color w:val="auto"/>
              </w:rPr>
              <w:t>(0.31)</w:t>
            </w:r>
          </w:p>
        </w:tc>
        <w:tc>
          <w:tcPr>
            <w:tcW w:w="640" w:type="dxa"/>
            <w:vAlign w:val="bottom"/>
            <w:gridSpan w:val="2"/>
            <w:shd w:val="clear" w:color="auto" w:fill="CCEEFF"/>
          </w:tcPr>
          <w:p>
            <w:pPr>
              <w:jc w:val="right"/>
              <w:ind w:right="80"/>
              <w:spacing w:after="0" w:line="167" w:lineRule="exact"/>
              <w:rPr>
                <w:sz w:val="20"/>
                <w:szCs w:val="20"/>
                <w:color w:val="auto"/>
              </w:rPr>
            </w:pPr>
            <w:r>
              <w:rPr>
                <w:rFonts w:ascii="Arial" w:cs="Arial" w:eastAsia="Arial" w:hAnsi="Arial"/>
                <w:sz w:val="15"/>
                <w:szCs w:val="15"/>
                <w:color w:val="auto"/>
              </w:rPr>
              <w:t>$</w:t>
            </w:r>
          </w:p>
        </w:tc>
        <w:tc>
          <w:tcPr>
            <w:tcW w:w="800" w:type="dxa"/>
            <w:vAlign w:val="bottom"/>
            <w:gridSpan w:val="2"/>
            <w:shd w:val="clear" w:color="auto" w:fill="CCEEFF"/>
          </w:tcPr>
          <w:p>
            <w:pPr>
              <w:jc w:val="right"/>
              <w:ind w:right="40"/>
              <w:spacing w:after="0" w:line="167" w:lineRule="exact"/>
              <w:rPr>
                <w:sz w:val="20"/>
                <w:szCs w:val="20"/>
                <w:color w:val="auto"/>
              </w:rPr>
            </w:pPr>
            <w:r>
              <w:rPr>
                <w:rFonts w:ascii="Arial" w:cs="Arial" w:eastAsia="Arial" w:hAnsi="Arial"/>
                <w:sz w:val="15"/>
                <w:szCs w:val="15"/>
                <w:color w:val="auto"/>
              </w:rPr>
              <w:t>(0.31)</w:t>
            </w:r>
          </w:p>
        </w:tc>
        <w:tc>
          <w:tcPr>
            <w:tcW w:w="0" w:type="dxa"/>
            <w:vAlign w:val="bottom"/>
          </w:tcPr>
          <w:p>
            <w:pPr>
              <w:spacing w:after="0"/>
              <w:rPr>
                <w:sz w:val="1"/>
                <w:szCs w:val="1"/>
                <w:color w:val="auto"/>
              </w:rPr>
            </w:pPr>
          </w:p>
        </w:tc>
      </w:tr>
      <w:tr>
        <w:trPr>
          <w:trHeight w:val="20"/>
        </w:trPr>
        <w:tc>
          <w:tcPr>
            <w:tcW w:w="5860" w:type="dxa"/>
            <w:vAlign w:val="bottom"/>
            <w:vMerge w:val="restart"/>
          </w:tcPr>
          <w:p>
            <w:pPr>
              <w:ind w:left="4460"/>
              <w:spacing w:after="0"/>
              <w:rPr>
                <w:sz w:val="20"/>
                <w:szCs w:val="20"/>
                <w:color w:val="auto"/>
              </w:rPr>
            </w:pPr>
            <w:r>
              <w:rPr>
                <w:rFonts w:ascii="Arial" w:cs="Arial" w:eastAsia="Arial" w:hAnsi="Arial"/>
                <w:sz w:val="15"/>
                <w:szCs w:val="15"/>
                <w:color w:val="auto"/>
              </w:rPr>
              <w:t>F-31</w:t>
            </w:r>
          </w:p>
        </w:tc>
        <w:tc>
          <w:tcPr>
            <w:tcW w:w="5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9"/>
        </w:trPr>
        <w:tc>
          <w:tcPr>
            <w:tcW w:w="5860" w:type="dxa"/>
            <w:vAlign w:val="bottom"/>
            <w:vMerge w:val="continue"/>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320"/>
          </w:cols>
          <w:pgMar w:left="240" w:top="408" w:right="1339" w:bottom="1440" w:gutter="0" w:footer="0" w:header="0"/>
        </w:sectPr>
      </w:pPr>
    </w:p>
    <w:bookmarkStart w:id="234" w:name="page235"/>
    <w:bookmarkEnd w:id="234"/>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133350</wp:posOffset>
            </wp:positionH>
            <wp:positionV relativeFrom="page">
              <wp:posOffset>88900</wp:posOffset>
            </wp:positionV>
            <wp:extent cx="7308850" cy="3429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7308850" cy="34290"/>
                    </a:xfrm>
                    <a:prstGeom prst="rect">
                      <a:avLst/>
                    </a:prstGeom>
                    <a:noFill/>
                  </pic:spPr>
                </pic:pic>
              </a:graphicData>
            </a:graphic>
          </wp:anchor>
        </w:drawing>
      </w:r>
      <w:hyperlink w:anchor="page7">
        <w:r>
          <w:rPr>
            <w:rFonts w:ascii="Arial" w:cs="Arial" w:eastAsia="Arial" w:hAnsi="Arial"/>
            <w:sz w:val="15"/>
            <w:szCs w:val="15"/>
            <w:b w:val="1"/>
            <w:bCs w:val="1"/>
            <w:u w:val="single" w:color="auto"/>
            <w:color w:val="0000EE"/>
          </w:rPr>
          <w:t>Table of Contents</w:t>
        </w:r>
      </w:hyperlink>
    </w:p>
    <w:p>
      <w:pPr>
        <w:spacing w:after="0" w:line="256" w:lineRule="exact"/>
        <w:rPr>
          <w:sz w:val="20"/>
          <w:szCs w:val="20"/>
          <w:color w:val="auto"/>
        </w:rPr>
      </w:pPr>
    </w:p>
    <w:p>
      <w:pPr>
        <w:ind w:left="1120"/>
        <w:spacing w:after="0"/>
        <w:rPr>
          <w:sz w:val="20"/>
          <w:szCs w:val="20"/>
          <w:color w:val="auto"/>
        </w:rPr>
      </w:pPr>
      <w:r>
        <w:rPr>
          <w:rFonts w:ascii="Arial" w:cs="Arial" w:eastAsia="Arial" w:hAnsi="Arial"/>
          <w:sz w:val="15"/>
          <w:szCs w:val="15"/>
          <w:b w:val="1"/>
          <w:bCs w:val="1"/>
          <w:color w:val="auto"/>
        </w:rPr>
        <w:t>Note 14. Income Taxes</w:t>
      </w:r>
    </w:p>
    <w:p>
      <w:pPr>
        <w:spacing w:after="0" w:line="102" w:lineRule="exact"/>
        <w:rPr>
          <w:sz w:val="20"/>
          <w:szCs w:val="20"/>
          <w:color w:val="auto"/>
        </w:rPr>
      </w:pPr>
    </w:p>
    <w:p>
      <w:pPr>
        <w:ind w:left="1120" w:firstLine="368"/>
        <w:spacing w:after="0" w:line="275" w:lineRule="auto"/>
        <w:rPr>
          <w:sz w:val="20"/>
          <w:szCs w:val="20"/>
          <w:color w:val="auto"/>
        </w:rPr>
      </w:pPr>
      <w:r>
        <w:rPr>
          <w:rFonts w:ascii="Arial" w:cs="Arial" w:eastAsia="Arial" w:hAnsi="Arial"/>
          <w:sz w:val="15"/>
          <w:szCs w:val="15"/>
          <w:color w:val="auto"/>
        </w:rPr>
        <w:t>For the years ended December 31, 2015, 2016, and 2017 the Company’s loss from continuing operations before provision for income taxes was as follows:</w:t>
      </w:r>
    </w:p>
    <w:p>
      <w:pPr>
        <w:spacing w:after="0" w:line="160" w:lineRule="exact"/>
        <w:rPr>
          <w:sz w:val="20"/>
          <w:szCs w:val="20"/>
          <w:color w:val="auto"/>
        </w:rPr>
      </w:pPr>
    </w:p>
    <w:tbl>
      <w:tblPr>
        <w:tblLayout w:type="fixed"/>
        <w:tblInd w:w="2220" w:type="dxa"/>
        <w:tblCellMar>
          <w:top w:w="0" w:type="dxa"/>
          <w:left w:w="0" w:type="dxa"/>
          <w:bottom w:w="0" w:type="dxa"/>
          <w:right w:w="0" w:type="dxa"/>
        </w:tblCellMar>
      </w:tblPr>
      <w:tr>
        <w:trPr>
          <w:trHeight w:val="144"/>
        </w:trPr>
        <w:tc>
          <w:tcPr>
            <w:tcW w:w="20" w:type="dxa"/>
            <w:vAlign w:val="bottom"/>
          </w:tcPr>
          <w:p>
            <w:pPr>
              <w:spacing w:after="0"/>
              <w:rPr>
                <w:sz w:val="12"/>
                <w:szCs w:val="12"/>
                <w:color w:val="auto"/>
              </w:rPr>
            </w:pPr>
          </w:p>
        </w:tc>
        <w:tc>
          <w:tcPr>
            <w:tcW w:w="304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1320" w:type="dxa"/>
            <w:vAlign w:val="bottom"/>
            <w:tcBorders>
              <w:bottom w:val="single" w:sz="8" w:color="auto"/>
            </w:tcBorders>
            <w:gridSpan w:val="5"/>
          </w:tcPr>
          <w:p>
            <w:pPr>
              <w:jc w:val="right"/>
              <w:spacing w:after="0"/>
              <w:rPr>
                <w:sz w:val="20"/>
                <w:szCs w:val="20"/>
                <w:color w:val="auto"/>
              </w:rPr>
            </w:pPr>
            <w:r>
              <w:rPr>
                <w:rFonts w:ascii="Arial" w:cs="Arial" w:eastAsia="Arial" w:hAnsi="Arial"/>
                <w:sz w:val="12"/>
                <w:szCs w:val="12"/>
                <w:b w:val="1"/>
                <w:bCs w:val="1"/>
                <w:color w:val="auto"/>
                <w:w w:val="88"/>
              </w:rPr>
              <w:t>Year ended December 31,</w:t>
            </w:r>
          </w:p>
        </w:tc>
        <w:tc>
          <w:tcPr>
            <w:tcW w:w="2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3040" w:type="dxa"/>
            <w:vAlign w:val="bottom"/>
            <w:tcBorders>
              <w:bottom w:val="single" w:sz="8" w:color="CCEEFF"/>
            </w:tcBorders>
          </w:tcPr>
          <w:p>
            <w:pPr>
              <w:spacing w:after="0"/>
              <w:rPr>
                <w:sz w:val="10"/>
                <w:szCs w:val="10"/>
                <w:color w:val="auto"/>
              </w:rPr>
            </w:pPr>
          </w:p>
        </w:tc>
        <w:tc>
          <w:tcPr>
            <w:tcW w:w="1540" w:type="dxa"/>
            <w:vAlign w:val="bottom"/>
            <w:tcBorders>
              <w:bottom w:val="single" w:sz="8" w:color="CCEEFF"/>
            </w:tcBorders>
          </w:tcPr>
          <w:p>
            <w:pPr>
              <w:spacing w:after="0"/>
              <w:rPr>
                <w:sz w:val="10"/>
                <w:szCs w:val="10"/>
                <w:color w:val="auto"/>
              </w:rPr>
            </w:pPr>
          </w:p>
        </w:tc>
        <w:tc>
          <w:tcPr>
            <w:tcW w:w="480" w:type="dxa"/>
            <w:vAlign w:val="bottom"/>
            <w:tcBorders>
              <w:bottom w:val="single" w:sz="8" w:color="auto"/>
            </w:tcBorders>
          </w:tcPr>
          <w:p>
            <w:pPr>
              <w:jc w:val="right"/>
              <w:ind w:right="50"/>
              <w:spacing w:after="0" w:line="115" w:lineRule="exact"/>
              <w:rPr>
                <w:sz w:val="20"/>
                <w:szCs w:val="20"/>
                <w:color w:val="auto"/>
              </w:rPr>
            </w:pPr>
            <w:r>
              <w:rPr>
                <w:rFonts w:ascii="Arial" w:cs="Arial" w:eastAsia="Arial" w:hAnsi="Arial"/>
                <w:sz w:val="12"/>
                <w:szCs w:val="12"/>
                <w:b w:val="1"/>
                <w:bCs w:val="1"/>
                <w:color w:val="auto"/>
              </w:rPr>
              <w:t>2015</w:t>
            </w:r>
          </w:p>
        </w:tc>
        <w:tc>
          <w:tcPr>
            <w:tcW w:w="240" w:type="dxa"/>
            <w:vAlign w:val="bottom"/>
            <w:tcBorders>
              <w:bottom w:val="single" w:sz="8" w:color="CCEEFF"/>
            </w:tcBorders>
          </w:tcPr>
          <w:p>
            <w:pPr>
              <w:spacing w:after="0"/>
              <w:rPr>
                <w:sz w:val="10"/>
                <w:szCs w:val="10"/>
                <w:color w:val="auto"/>
              </w:rPr>
            </w:pPr>
          </w:p>
        </w:tc>
        <w:tc>
          <w:tcPr>
            <w:tcW w:w="180" w:type="dxa"/>
            <w:vAlign w:val="bottom"/>
            <w:tcBorders>
              <w:bottom w:val="single" w:sz="8" w:color="CCEEFF"/>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420" w:type="dxa"/>
            <w:vAlign w:val="bottom"/>
            <w:tcBorders>
              <w:bottom w:val="single" w:sz="8" w:color="auto"/>
            </w:tcBorders>
          </w:tcPr>
          <w:p>
            <w:pPr>
              <w:jc w:val="right"/>
              <w:ind w:right="69"/>
              <w:spacing w:after="0" w:line="115" w:lineRule="exact"/>
              <w:rPr>
                <w:sz w:val="20"/>
                <w:szCs w:val="20"/>
                <w:color w:val="auto"/>
              </w:rPr>
            </w:pPr>
            <w:r>
              <w:rPr>
                <w:rFonts w:ascii="Arial" w:cs="Arial" w:eastAsia="Arial" w:hAnsi="Arial"/>
                <w:sz w:val="12"/>
                <w:szCs w:val="12"/>
                <w:b w:val="1"/>
                <w:bCs w:val="1"/>
                <w:color w:val="auto"/>
                <w:w w:val="97"/>
              </w:rPr>
              <w:t>2016</w:t>
            </w:r>
          </w:p>
        </w:tc>
        <w:tc>
          <w:tcPr>
            <w:tcW w:w="400" w:type="dxa"/>
            <w:vAlign w:val="bottom"/>
            <w:tcBorders>
              <w:bottom w:val="single" w:sz="8" w:color="CCEEFF"/>
            </w:tcBorders>
          </w:tcPr>
          <w:p>
            <w:pPr>
              <w:spacing w:after="0"/>
              <w:rPr>
                <w:sz w:val="10"/>
                <w:szCs w:val="10"/>
                <w:color w:val="auto"/>
              </w:rPr>
            </w:pPr>
          </w:p>
        </w:tc>
        <w:tc>
          <w:tcPr>
            <w:tcW w:w="20" w:type="dxa"/>
            <w:vAlign w:val="bottom"/>
            <w:tcBorders>
              <w:bottom w:val="single" w:sz="8" w:color="CCEEFF"/>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jc w:val="right"/>
              <w:ind w:right="49"/>
              <w:spacing w:after="0" w:line="115" w:lineRule="exact"/>
              <w:rPr>
                <w:sz w:val="20"/>
                <w:szCs w:val="20"/>
                <w:color w:val="auto"/>
              </w:rPr>
            </w:pPr>
            <w:r>
              <w:rPr>
                <w:rFonts w:ascii="Arial" w:cs="Arial" w:eastAsia="Arial" w:hAnsi="Arial"/>
                <w:sz w:val="12"/>
                <w:szCs w:val="12"/>
                <w:b w:val="1"/>
                <w:bCs w:val="1"/>
                <w:color w:val="auto"/>
                <w:w w:val="97"/>
              </w:rPr>
              <w:t>2017</w:t>
            </w:r>
          </w:p>
        </w:tc>
        <w:tc>
          <w:tcPr>
            <w:tcW w:w="100" w:type="dxa"/>
            <w:vAlign w:val="bottom"/>
            <w:tcBorders>
              <w:bottom w:val="single" w:sz="8" w:color="CCEEFF"/>
            </w:tcBorders>
          </w:tcPr>
          <w:p>
            <w:pPr>
              <w:spacing w:after="0"/>
              <w:rPr>
                <w:sz w:val="10"/>
                <w:szCs w:val="10"/>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040" w:type="dxa"/>
            <w:vAlign w:val="bottom"/>
            <w:shd w:val="clear" w:color="auto" w:fill="CCEEFF"/>
          </w:tcPr>
          <w:p>
            <w:pPr>
              <w:spacing w:after="0" w:line="170" w:lineRule="exact"/>
              <w:rPr>
                <w:sz w:val="20"/>
                <w:szCs w:val="20"/>
                <w:color w:val="auto"/>
              </w:rPr>
            </w:pPr>
            <w:r>
              <w:rPr>
                <w:rFonts w:ascii="Arial" w:cs="Arial" w:eastAsia="Arial" w:hAnsi="Arial"/>
                <w:sz w:val="15"/>
                <w:szCs w:val="15"/>
                <w:color w:val="auto"/>
              </w:rPr>
              <w:t>Domestic</w:t>
            </w:r>
          </w:p>
        </w:tc>
        <w:tc>
          <w:tcPr>
            <w:tcW w:w="154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6"/>
              </w:rPr>
              <w:t>$ (176.9)</w:t>
            </w:r>
          </w:p>
        </w:tc>
        <w:tc>
          <w:tcPr>
            <w:tcW w:w="2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(94.4)</w:t>
            </w:r>
          </w:p>
        </w:tc>
        <w:tc>
          <w:tcPr>
            <w:tcW w:w="4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6"/>
              </w:rPr>
              <w:t>(76.9)</w:t>
            </w: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040" w:type="dxa"/>
            <w:vAlign w:val="bottom"/>
          </w:tcPr>
          <w:p>
            <w:pPr>
              <w:spacing w:after="0"/>
              <w:rPr>
                <w:sz w:val="20"/>
                <w:szCs w:val="20"/>
                <w:color w:val="auto"/>
              </w:rPr>
            </w:pPr>
            <w:r>
              <w:rPr>
                <w:rFonts w:ascii="Arial" w:cs="Arial" w:eastAsia="Arial" w:hAnsi="Arial"/>
                <w:sz w:val="15"/>
                <w:szCs w:val="15"/>
                <w:color w:val="auto"/>
              </w:rPr>
              <w:t>Foreign</w:t>
            </w:r>
          </w:p>
        </w:tc>
        <w:tc>
          <w:tcPr>
            <w:tcW w:w="1540" w:type="dxa"/>
            <w:vAlign w:val="bottom"/>
          </w:tcPr>
          <w:p>
            <w:pPr>
              <w:spacing w:after="0"/>
              <w:rPr>
                <w:sz w:val="15"/>
                <w:szCs w:val="15"/>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5"/>
                <w:szCs w:val="15"/>
                <w:color w:val="auto"/>
              </w:rPr>
              <w:t>(148.7)</w:t>
            </w: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gridSpan w:val="2"/>
          </w:tcPr>
          <w:p>
            <w:pPr>
              <w:jc w:val="right"/>
              <w:ind w:right="360"/>
              <w:spacing w:after="0"/>
              <w:rPr>
                <w:sz w:val="20"/>
                <w:szCs w:val="20"/>
                <w:color w:val="auto"/>
              </w:rPr>
            </w:pPr>
            <w:r>
              <w:rPr>
                <w:rFonts w:ascii="Arial" w:cs="Arial" w:eastAsia="Arial" w:hAnsi="Arial"/>
                <w:sz w:val="15"/>
                <w:szCs w:val="15"/>
                <w:color w:val="auto"/>
                <w:w w:val="92"/>
              </w:rPr>
              <w:t>(110.6)</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00" w:type="dxa"/>
            <w:vAlign w:val="bottom"/>
            <w:gridSpan w:val="2"/>
          </w:tcPr>
          <w:p>
            <w:pPr>
              <w:jc w:val="right"/>
              <w:ind w:right="40"/>
              <w:spacing w:after="0"/>
              <w:rPr>
                <w:sz w:val="20"/>
                <w:szCs w:val="20"/>
                <w:color w:val="auto"/>
              </w:rPr>
            </w:pPr>
            <w:r>
              <w:rPr>
                <w:rFonts w:ascii="Arial" w:cs="Arial" w:eastAsia="Arial" w:hAnsi="Arial"/>
                <w:sz w:val="15"/>
                <w:szCs w:val="15"/>
                <w:color w:val="auto"/>
              </w:rPr>
              <w:t>(34.6)</w:t>
            </w:r>
          </w:p>
        </w:tc>
        <w:tc>
          <w:tcPr>
            <w:tcW w:w="0" w:type="dxa"/>
            <w:vAlign w:val="bottom"/>
          </w:tcPr>
          <w:p>
            <w:pPr>
              <w:spacing w:after="0"/>
              <w:rPr>
                <w:sz w:val="1"/>
                <w:szCs w:val="1"/>
                <w:color w:val="auto"/>
              </w:rPr>
            </w:pPr>
          </w:p>
        </w:tc>
      </w:tr>
      <w:tr>
        <w:trPr>
          <w:trHeight w:val="23"/>
        </w:trPr>
        <w:tc>
          <w:tcPr>
            <w:tcW w:w="20" w:type="dxa"/>
            <w:vAlign w:val="bottom"/>
            <w:vMerge w:val="restart"/>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20" w:type="dxa"/>
            <w:vAlign w:val="bottom"/>
            <w:vMerge w:val="continue"/>
          </w:tcPr>
          <w:p>
            <w:pPr>
              <w:spacing w:after="0"/>
              <w:rPr>
                <w:sz w:val="15"/>
                <w:szCs w:val="15"/>
                <w:color w:val="auto"/>
              </w:rPr>
            </w:pPr>
          </w:p>
        </w:tc>
        <w:tc>
          <w:tcPr>
            <w:tcW w:w="3040" w:type="dxa"/>
            <w:vAlign w:val="bottom"/>
            <w:shd w:val="clear" w:color="auto" w:fill="CCEEFF"/>
          </w:tcPr>
          <w:p>
            <w:pPr>
              <w:spacing w:after="0"/>
              <w:rPr>
                <w:sz w:val="20"/>
                <w:szCs w:val="20"/>
                <w:color w:val="auto"/>
              </w:rPr>
            </w:pPr>
            <w:r>
              <w:rPr>
                <w:rFonts w:ascii="Arial" w:cs="Arial" w:eastAsia="Arial" w:hAnsi="Arial"/>
                <w:sz w:val="15"/>
                <w:szCs w:val="15"/>
                <w:color w:val="auto"/>
              </w:rPr>
              <w:t>Loss before income taxes</w:t>
            </w:r>
          </w:p>
        </w:tc>
        <w:tc>
          <w:tcPr>
            <w:tcW w:w="2260" w:type="dxa"/>
            <w:vAlign w:val="bottom"/>
            <w:gridSpan w:val="3"/>
            <w:shd w:val="clear" w:color="auto" w:fill="CCEEFF"/>
          </w:tcPr>
          <w:p>
            <w:pPr>
              <w:jc w:val="right"/>
              <w:ind w:right="140"/>
              <w:spacing w:after="0"/>
              <w:rPr>
                <w:sz w:val="20"/>
                <w:szCs w:val="20"/>
                <w:color w:val="auto"/>
              </w:rPr>
            </w:pPr>
            <w:r>
              <w:rPr>
                <w:rFonts w:ascii="Arial" w:cs="Arial" w:eastAsia="Arial" w:hAnsi="Arial"/>
                <w:sz w:val="15"/>
                <w:szCs w:val="15"/>
                <w:color w:val="auto"/>
              </w:rPr>
              <w:t>$ (325.6)</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820" w:type="dxa"/>
            <w:vAlign w:val="bottom"/>
            <w:gridSpan w:val="2"/>
            <w:shd w:val="clear" w:color="auto" w:fill="CCEEFF"/>
          </w:tcPr>
          <w:p>
            <w:pPr>
              <w:jc w:val="right"/>
              <w:ind w:right="360"/>
              <w:spacing w:after="0"/>
              <w:rPr>
                <w:sz w:val="20"/>
                <w:szCs w:val="20"/>
                <w:color w:val="auto"/>
              </w:rPr>
            </w:pPr>
            <w:r>
              <w:rPr>
                <w:rFonts w:ascii="Arial" w:cs="Arial" w:eastAsia="Arial" w:hAnsi="Arial"/>
                <w:sz w:val="15"/>
                <w:szCs w:val="15"/>
                <w:color w:val="auto"/>
                <w:w w:val="92"/>
              </w:rPr>
              <w:t>(205.0)</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50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w w:val="92"/>
              </w:rPr>
              <w:t>(111.5)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1" w:lineRule="exact"/>
        <w:rPr>
          <w:sz w:val="20"/>
          <w:szCs w:val="20"/>
          <w:color w:val="auto"/>
        </w:rPr>
      </w:pPr>
    </w:p>
    <w:p>
      <w:pPr>
        <w:jc w:val="center"/>
        <w:ind w:right="-79"/>
        <w:spacing w:after="0"/>
        <w:rPr>
          <w:sz w:val="20"/>
          <w:szCs w:val="20"/>
          <w:color w:val="auto"/>
        </w:rPr>
      </w:pPr>
      <w:r>
        <w:rPr>
          <w:rFonts w:ascii="Arial" w:cs="Arial" w:eastAsia="Arial" w:hAnsi="Arial"/>
          <w:sz w:val="15"/>
          <w:szCs w:val="15"/>
          <w:color w:val="auto"/>
        </w:rPr>
        <w:t>The components of the provision for income taxes in the years ended December 31, 2015, 2016, and 2017 were as follows:</w:t>
      </w:r>
    </w:p>
    <w:p>
      <w:pPr>
        <w:spacing w:after="0" w:line="202" w:lineRule="exact"/>
        <w:rPr>
          <w:sz w:val="20"/>
          <w:szCs w:val="20"/>
          <w:color w:val="auto"/>
        </w:rPr>
      </w:pPr>
    </w:p>
    <w:tbl>
      <w:tblPr>
        <w:tblLayout w:type="fixed"/>
        <w:tblInd w:w="2220" w:type="dxa"/>
        <w:tblCellMar>
          <w:top w:w="0" w:type="dxa"/>
          <w:left w:w="0" w:type="dxa"/>
          <w:bottom w:w="0" w:type="dxa"/>
          <w:right w:w="0" w:type="dxa"/>
        </w:tblCellMar>
      </w:tblPr>
      <w:tr>
        <w:trPr>
          <w:trHeight w:val="144"/>
        </w:trPr>
        <w:tc>
          <w:tcPr>
            <w:tcW w:w="20" w:type="dxa"/>
            <w:vAlign w:val="bottom"/>
          </w:tcPr>
          <w:p>
            <w:pPr>
              <w:spacing w:after="0"/>
              <w:rPr>
                <w:sz w:val="12"/>
                <w:szCs w:val="12"/>
                <w:color w:val="auto"/>
              </w:rPr>
            </w:pPr>
          </w:p>
        </w:tc>
        <w:tc>
          <w:tcPr>
            <w:tcW w:w="294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440" w:type="dxa"/>
            <w:vAlign w:val="bottom"/>
            <w:tcBorders>
              <w:bottom w:val="single" w:sz="8" w:color="auto"/>
            </w:tcBorders>
            <w:gridSpan w:val="4"/>
          </w:tcPr>
          <w:p>
            <w:pPr>
              <w:ind w:left="60"/>
              <w:spacing w:after="0"/>
              <w:rPr>
                <w:sz w:val="20"/>
                <w:szCs w:val="20"/>
                <w:color w:val="auto"/>
              </w:rPr>
            </w:pPr>
            <w:r>
              <w:rPr>
                <w:rFonts w:ascii="Arial" w:cs="Arial" w:eastAsia="Arial" w:hAnsi="Arial"/>
                <w:sz w:val="12"/>
                <w:szCs w:val="12"/>
                <w:b w:val="1"/>
                <w:bCs w:val="1"/>
                <w:color w:val="auto"/>
                <w:w w:val="93"/>
              </w:rPr>
              <w:t>Year ended December 31,</w:t>
            </w:r>
          </w:p>
        </w:tc>
        <w:tc>
          <w:tcPr>
            <w:tcW w:w="8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2940" w:type="dxa"/>
            <w:vAlign w:val="bottom"/>
            <w:tcBorders>
              <w:bottom w:val="single" w:sz="8" w:color="CCEEFF"/>
            </w:tcBorders>
          </w:tcPr>
          <w:p>
            <w:pPr>
              <w:spacing w:after="0"/>
              <w:rPr>
                <w:sz w:val="10"/>
                <w:szCs w:val="10"/>
                <w:color w:val="auto"/>
              </w:rPr>
            </w:pPr>
          </w:p>
        </w:tc>
        <w:tc>
          <w:tcPr>
            <w:tcW w:w="1360" w:type="dxa"/>
            <w:vAlign w:val="bottom"/>
            <w:tcBorders>
              <w:bottom w:val="single" w:sz="8" w:color="CCEEFF"/>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380" w:type="dxa"/>
            <w:vAlign w:val="bottom"/>
            <w:tcBorders>
              <w:bottom w:val="single" w:sz="8" w:color="auto"/>
            </w:tcBorders>
          </w:tcPr>
          <w:p>
            <w:pPr>
              <w:jc w:val="right"/>
              <w:ind w:right="47"/>
              <w:spacing w:after="0" w:line="115" w:lineRule="exact"/>
              <w:rPr>
                <w:sz w:val="20"/>
                <w:szCs w:val="20"/>
                <w:color w:val="auto"/>
              </w:rPr>
            </w:pPr>
            <w:r>
              <w:rPr>
                <w:rFonts w:ascii="Arial" w:cs="Arial" w:eastAsia="Arial" w:hAnsi="Arial"/>
                <w:sz w:val="12"/>
                <w:szCs w:val="12"/>
                <w:b w:val="1"/>
                <w:bCs w:val="1"/>
                <w:color w:val="auto"/>
                <w:w w:val="89"/>
              </w:rPr>
              <w:t>2015</w:t>
            </w:r>
          </w:p>
        </w:tc>
        <w:tc>
          <w:tcPr>
            <w:tcW w:w="100" w:type="dxa"/>
            <w:vAlign w:val="bottom"/>
            <w:tcBorders>
              <w:bottom w:val="single" w:sz="8" w:color="CCEEFF"/>
            </w:tcBorders>
          </w:tcPr>
          <w:p>
            <w:pPr>
              <w:spacing w:after="0"/>
              <w:rPr>
                <w:sz w:val="10"/>
                <w:szCs w:val="10"/>
                <w:color w:val="auto"/>
              </w:rPr>
            </w:pPr>
          </w:p>
        </w:tc>
        <w:tc>
          <w:tcPr>
            <w:tcW w:w="480" w:type="dxa"/>
            <w:vAlign w:val="bottom"/>
            <w:tcBorders>
              <w:bottom w:val="single" w:sz="8" w:color="CCEEFF"/>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ind w:left="20"/>
              <w:spacing w:after="0" w:line="115" w:lineRule="exact"/>
              <w:rPr>
                <w:sz w:val="20"/>
                <w:szCs w:val="20"/>
                <w:color w:val="auto"/>
              </w:rPr>
            </w:pPr>
            <w:r>
              <w:rPr>
                <w:rFonts w:ascii="Arial" w:cs="Arial" w:eastAsia="Arial" w:hAnsi="Arial"/>
                <w:sz w:val="12"/>
                <w:szCs w:val="12"/>
                <w:b w:val="1"/>
                <w:bCs w:val="1"/>
                <w:color w:val="auto"/>
              </w:rPr>
              <w:t>2016</w:t>
            </w:r>
          </w:p>
        </w:tc>
        <w:tc>
          <w:tcPr>
            <w:tcW w:w="480" w:type="dxa"/>
            <w:vAlign w:val="bottom"/>
            <w:tcBorders>
              <w:bottom w:val="single" w:sz="8" w:color="CCEEFF"/>
            </w:tcBorders>
          </w:tcPr>
          <w:p>
            <w:pPr>
              <w:spacing w:after="0"/>
              <w:rPr>
                <w:sz w:val="10"/>
                <w:szCs w:val="10"/>
                <w:color w:val="auto"/>
              </w:rPr>
            </w:pPr>
          </w:p>
        </w:tc>
        <w:tc>
          <w:tcPr>
            <w:tcW w:w="80" w:type="dxa"/>
            <w:vAlign w:val="bottom"/>
            <w:tcBorders>
              <w:bottom w:val="single" w:sz="8" w:color="CCEEFF"/>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380" w:type="dxa"/>
            <w:vAlign w:val="bottom"/>
            <w:tcBorders>
              <w:bottom w:val="single" w:sz="8" w:color="auto"/>
            </w:tcBorders>
          </w:tcPr>
          <w:p>
            <w:pPr>
              <w:jc w:val="right"/>
              <w:ind w:right="47"/>
              <w:spacing w:after="0" w:line="115" w:lineRule="exact"/>
              <w:rPr>
                <w:sz w:val="20"/>
                <w:szCs w:val="20"/>
                <w:color w:val="auto"/>
              </w:rPr>
            </w:pPr>
            <w:r>
              <w:rPr>
                <w:rFonts w:ascii="Arial" w:cs="Arial" w:eastAsia="Arial" w:hAnsi="Arial"/>
                <w:sz w:val="12"/>
                <w:szCs w:val="12"/>
                <w:b w:val="1"/>
                <w:bCs w:val="1"/>
                <w:color w:val="auto"/>
                <w:w w:val="89"/>
              </w:rPr>
              <w:t>2017</w:t>
            </w:r>
          </w:p>
        </w:tc>
        <w:tc>
          <w:tcPr>
            <w:tcW w:w="100" w:type="dxa"/>
            <w:vAlign w:val="bottom"/>
            <w:tcBorders>
              <w:bottom w:val="single" w:sz="8" w:color="CCEEFF"/>
            </w:tcBorders>
          </w:tcPr>
          <w:p>
            <w:pPr>
              <w:spacing w:after="0"/>
              <w:rPr>
                <w:sz w:val="10"/>
                <w:szCs w:val="10"/>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2940" w:type="dxa"/>
            <w:vAlign w:val="bottom"/>
            <w:shd w:val="clear" w:color="auto" w:fill="CCEEFF"/>
          </w:tcPr>
          <w:p>
            <w:pPr>
              <w:spacing w:after="0" w:line="161" w:lineRule="exact"/>
              <w:rPr>
                <w:sz w:val="20"/>
                <w:szCs w:val="20"/>
                <w:color w:val="auto"/>
              </w:rPr>
            </w:pPr>
            <w:r>
              <w:rPr>
                <w:rFonts w:ascii="Arial" w:cs="Arial" w:eastAsia="Arial" w:hAnsi="Arial"/>
                <w:sz w:val="15"/>
                <w:szCs w:val="15"/>
                <w:color w:val="auto"/>
              </w:rPr>
              <w:t>Current:</w:t>
            </w:r>
          </w:p>
        </w:tc>
        <w:tc>
          <w:tcPr>
            <w:tcW w:w="13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2940" w:type="dxa"/>
            <w:vAlign w:val="bottom"/>
          </w:tcPr>
          <w:p>
            <w:pPr>
              <w:ind w:left="280"/>
              <w:spacing w:after="0"/>
              <w:rPr>
                <w:sz w:val="20"/>
                <w:szCs w:val="20"/>
                <w:color w:val="auto"/>
              </w:rPr>
            </w:pPr>
            <w:r>
              <w:rPr>
                <w:rFonts w:ascii="Arial" w:cs="Arial" w:eastAsia="Arial" w:hAnsi="Arial"/>
                <w:sz w:val="15"/>
                <w:szCs w:val="15"/>
                <w:color w:val="auto"/>
              </w:rPr>
              <w:t>Federal</w:t>
            </w:r>
          </w:p>
        </w:tc>
        <w:tc>
          <w:tcPr>
            <w:tcW w:w="1460" w:type="dxa"/>
            <w:vAlign w:val="bottom"/>
            <w:gridSpan w:val="2"/>
          </w:tcPr>
          <w:p>
            <w:pPr>
              <w:jc w:val="right"/>
              <w:ind w:right="20"/>
              <w:spacing w:after="0"/>
              <w:rPr>
                <w:sz w:val="20"/>
                <w:szCs w:val="20"/>
                <w:color w:val="auto"/>
              </w:rPr>
            </w:pPr>
            <w:r>
              <w:rPr>
                <w:rFonts w:ascii="Arial" w:cs="Arial" w:eastAsia="Arial" w:hAnsi="Arial"/>
                <w:sz w:val="15"/>
                <w:szCs w:val="15"/>
                <w:color w:val="auto"/>
              </w:rPr>
              <w:t>$</w:t>
            </w:r>
          </w:p>
        </w:tc>
        <w:tc>
          <w:tcPr>
            <w:tcW w:w="48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560" w:type="dxa"/>
            <w:vAlign w:val="bottom"/>
            <w:gridSpan w:val="2"/>
          </w:tcPr>
          <w:p>
            <w:pPr>
              <w:jc w:val="right"/>
              <w:ind w:right="20"/>
              <w:spacing w:after="0"/>
              <w:rPr>
                <w:sz w:val="20"/>
                <w:szCs w:val="20"/>
                <w:color w:val="auto"/>
              </w:rPr>
            </w:pPr>
            <w:r>
              <w:rPr>
                <w:rFonts w:ascii="Arial" w:cs="Arial" w:eastAsia="Arial" w:hAnsi="Arial"/>
                <w:sz w:val="15"/>
                <w:szCs w:val="15"/>
                <w:color w:val="auto"/>
              </w:rPr>
              <w:t>$</w:t>
            </w:r>
          </w:p>
        </w:tc>
        <w:tc>
          <w:tcPr>
            <w:tcW w:w="880" w:type="dxa"/>
            <w:vAlign w:val="bottom"/>
            <w:gridSpan w:val="2"/>
          </w:tcPr>
          <w:p>
            <w:pPr>
              <w:ind w:left="160"/>
              <w:spacing w:after="0"/>
              <w:rPr>
                <w:sz w:val="20"/>
                <w:szCs w:val="20"/>
                <w:color w:val="auto"/>
              </w:rPr>
            </w:pPr>
            <w:r>
              <w:rPr>
                <w:rFonts w:ascii="Arial" w:cs="Arial" w:eastAsia="Arial" w:hAnsi="Arial"/>
                <w:sz w:val="15"/>
                <w:szCs w:val="15"/>
                <w:color w:val="auto"/>
              </w:rPr>
              <w:t>(1.5)</w:t>
            </w:r>
          </w:p>
        </w:tc>
        <w:tc>
          <w:tcPr>
            <w:tcW w:w="180" w:type="dxa"/>
            <w:vAlign w:val="bottom"/>
            <w:gridSpan w:val="2"/>
          </w:tcPr>
          <w:p>
            <w:pPr>
              <w:jc w:val="right"/>
              <w:ind w:right="20"/>
              <w:spacing w:after="0"/>
              <w:rPr>
                <w:sz w:val="20"/>
                <w:szCs w:val="20"/>
                <w:color w:val="auto"/>
              </w:rPr>
            </w:pPr>
            <w:r>
              <w:rPr>
                <w:rFonts w:ascii="Arial" w:cs="Arial" w:eastAsia="Arial" w:hAnsi="Arial"/>
                <w:sz w:val="15"/>
                <w:szCs w:val="15"/>
                <w:color w:val="auto"/>
              </w:rPr>
              <w:t>$</w:t>
            </w:r>
          </w:p>
        </w:tc>
        <w:tc>
          <w:tcPr>
            <w:tcW w:w="380" w:type="dxa"/>
            <w:vAlign w:val="bottom"/>
          </w:tcPr>
          <w:p>
            <w:pPr>
              <w:jc w:val="right"/>
              <w:spacing w:after="0"/>
              <w:rPr>
                <w:sz w:val="20"/>
                <w:szCs w:val="20"/>
                <w:color w:val="auto"/>
              </w:rPr>
            </w:pPr>
            <w:r>
              <w:rPr>
                <w:rFonts w:ascii="Arial" w:cs="Arial" w:eastAsia="Arial" w:hAnsi="Arial"/>
                <w:sz w:val="15"/>
                <w:szCs w:val="15"/>
                <w:color w:val="auto"/>
              </w:rPr>
              <w:t>0.1</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2940" w:type="dxa"/>
            <w:vAlign w:val="bottom"/>
            <w:shd w:val="clear" w:color="auto" w:fill="CCEEFF"/>
          </w:tcPr>
          <w:p>
            <w:pPr>
              <w:ind w:left="280"/>
              <w:spacing w:after="0"/>
              <w:rPr>
                <w:sz w:val="20"/>
                <w:szCs w:val="20"/>
                <w:color w:val="auto"/>
              </w:rPr>
            </w:pPr>
            <w:r>
              <w:rPr>
                <w:rFonts w:ascii="Arial" w:cs="Arial" w:eastAsia="Arial" w:hAnsi="Arial"/>
                <w:sz w:val="15"/>
                <w:szCs w:val="15"/>
                <w:color w:val="auto"/>
              </w:rPr>
              <w:t>State</w:t>
            </w:r>
          </w:p>
        </w:tc>
        <w:tc>
          <w:tcPr>
            <w:tcW w:w="13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8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4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80" w:type="dxa"/>
            <w:vAlign w:val="bottom"/>
            <w:gridSpan w:val="2"/>
            <w:shd w:val="clear" w:color="auto" w:fill="CCEEFF"/>
          </w:tcPr>
          <w:p>
            <w:pPr>
              <w:ind w:left="160"/>
              <w:spacing w:after="0"/>
              <w:rPr>
                <w:sz w:val="20"/>
                <w:szCs w:val="20"/>
                <w:color w:val="auto"/>
              </w:rPr>
            </w:pPr>
            <w:r>
              <w:rPr>
                <w:rFonts w:ascii="Arial" w:cs="Arial" w:eastAsia="Arial" w:hAnsi="Arial"/>
                <w:sz w:val="15"/>
                <w:szCs w:val="15"/>
                <w:color w:val="auto"/>
              </w:rPr>
              <w:t>(0.6)</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8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(0.3)</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2940" w:type="dxa"/>
            <w:vAlign w:val="bottom"/>
          </w:tcPr>
          <w:p>
            <w:pPr>
              <w:ind w:left="280"/>
              <w:spacing w:after="0"/>
              <w:rPr>
                <w:sz w:val="20"/>
                <w:szCs w:val="20"/>
                <w:color w:val="auto"/>
              </w:rPr>
            </w:pPr>
            <w:r>
              <w:rPr>
                <w:rFonts w:ascii="Arial" w:cs="Arial" w:eastAsia="Arial" w:hAnsi="Arial"/>
                <w:sz w:val="15"/>
                <w:szCs w:val="15"/>
                <w:color w:val="auto"/>
              </w:rPr>
              <w:t>Foreign</w:t>
            </w:r>
          </w:p>
        </w:tc>
        <w:tc>
          <w:tcPr>
            <w:tcW w:w="1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gridSpan w:val="2"/>
          </w:tcPr>
          <w:p>
            <w:pPr>
              <w:jc w:val="right"/>
              <w:ind w:right="40"/>
              <w:spacing w:after="0"/>
              <w:rPr>
                <w:sz w:val="20"/>
                <w:szCs w:val="20"/>
                <w:color w:val="auto"/>
              </w:rPr>
            </w:pPr>
            <w:r>
              <w:rPr>
                <w:rFonts w:ascii="Arial" w:cs="Arial" w:eastAsia="Arial" w:hAnsi="Arial"/>
                <w:sz w:val="15"/>
                <w:szCs w:val="15"/>
                <w:color w:val="auto"/>
              </w:rPr>
              <w:t>(0.5)</w:t>
            </w:r>
          </w:p>
        </w:tc>
        <w:tc>
          <w:tcPr>
            <w:tcW w:w="4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gridSpan w:val="2"/>
          </w:tcPr>
          <w:p>
            <w:pPr>
              <w:ind w:left="160"/>
              <w:spacing w:after="0"/>
              <w:rPr>
                <w:sz w:val="20"/>
                <w:szCs w:val="20"/>
                <w:color w:val="auto"/>
              </w:rPr>
            </w:pPr>
            <w:r>
              <w:rPr>
                <w:rFonts w:ascii="Arial" w:cs="Arial" w:eastAsia="Arial" w:hAnsi="Arial"/>
                <w:sz w:val="15"/>
                <w:szCs w:val="15"/>
                <w:color w:val="auto"/>
              </w:rPr>
              <w:t>(2.9)</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gridSpan w:val="2"/>
          </w:tcPr>
          <w:p>
            <w:pPr>
              <w:jc w:val="right"/>
              <w:ind w:right="40"/>
              <w:spacing w:after="0"/>
              <w:rPr>
                <w:sz w:val="20"/>
                <w:szCs w:val="20"/>
                <w:color w:val="auto"/>
              </w:rPr>
            </w:pPr>
            <w:r>
              <w:rPr>
                <w:rFonts w:ascii="Arial" w:cs="Arial" w:eastAsia="Arial" w:hAnsi="Arial"/>
                <w:sz w:val="15"/>
                <w:szCs w:val="15"/>
                <w:color w:val="auto"/>
              </w:rPr>
              <w:t>(2.3)</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2940" w:type="dxa"/>
            <w:vAlign w:val="bottom"/>
            <w:shd w:val="clear" w:color="auto" w:fill="CCEEFF"/>
          </w:tcPr>
          <w:p>
            <w:pPr>
              <w:spacing w:after="0"/>
              <w:rPr>
                <w:sz w:val="20"/>
                <w:szCs w:val="20"/>
                <w:color w:val="auto"/>
              </w:rPr>
            </w:pPr>
            <w:r>
              <w:rPr>
                <w:rFonts w:ascii="Arial" w:cs="Arial" w:eastAsia="Arial" w:hAnsi="Arial"/>
                <w:sz w:val="15"/>
                <w:szCs w:val="15"/>
                <w:color w:val="auto"/>
              </w:rPr>
              <w:t>Deferred:</w:t>
            </w:r>
          </w:p>
        </w:tc>
        <w:tc>
          <w:tcPr>
            <w:tcW w:w="13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2940" w:type="dxa"/>
            <w:vAlign w:val="bottom"/>
          </w:tcPr>
          <w:p>
            <w:pPr>
              <w:ind w:left="280"/>
              <w:spacing w:after="0"/>
              <w:rPr>
                <w:sz w:val="20"/>
                <w:szCs w:val="20"/>
                <w:color w:val="auto"/>
              </w:rPr>
            </w:pPr>
            <w:r>
              <w:rPr>
                <w:rFonts w:ascii="Arial" w:cs="Arial" w:eastAsia="Arial" w:hAnsi="Arial"/>
                <w:sz w:val="15"/>
                <w:szCs w:val="15"/>
                <w:color w:val="auto"/>
              </w:rPr>
              <w:t>Federal</w:t>
            </w:r>
          </w:p>
        </w:tc>
        <w:tc>
          <w:tcPr>
            <w:tcW w:w="1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4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gridSpan w:val="2"/>
          </w:tcPr>
          <w:p>
            <w:pPr>
              <w:ind w:left="16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jc w:val="right"/>
              <w:spacing w:after="0"/>
              <w:rPr>
                <w:sz w:val="20"/>
                <w:szCs w:val="20"/>
                <w:color w:val="auto"/>
              </w:rPr>
            </w:pPr>
            <w:r>
              <w:rPr>
                <w:rFonts w:ascii="Arial" w:cs="Arial" w:eastAsia="Arial" w:hAnsi="Arial"/>
                <w:sz w:val="15"/>
                <w:szCs w:val="15"/>
                <w:color w:val="auto"/>
              </w:rPr>
              <w:t>1.4</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2940" w:type="dxa"/>
            <w:vAlign w:val="bottom"/>
            <w:shd w:val="clear" w:color="auto" w:fill="CCEEFF"/>
          </w:tcPr>
          <w:p>
            <w:pPr>
              <w:ind w:left="280"/>
              <w:spacing w:after="0"/>
              <w:rPr>
                <w:sz w:val="20"/>
                <w:szCs w:val="20"/>
                <w:color w:val="auto"/>
              </w:rPr>
            </w:pPr>
            <w:r>
              <w:rPr>
                <w:rFonts w:ascii="Arial" w:cs="Arial" w:eastAsia="Arial" w:hAnsi="Arial"/>
                <w:sz w:val="15"/>
                <w:szCs w:val="15"/>
                <w:color w:val="auto"/>
              </w:rPr>
              <w:t>State</w:t>
            </w:r>
          </w:p>
        </w:tc>
        <w:tc>
          <w:tcPr>
            <w:tcW w:w="13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8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4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80" w:type="dxa"/>
            <w:vAlign w:val="bottom"/>
            <w:gridSpan w:val="2"/>
            <w:shd w:val="clear" w:color="auto" w:fill="CCEEFF"/>
          </w:tcPr>
          <w:p>
            <w:pPr>
              <w:ind w:left="160"/>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8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2940" w:type="dxa"/>
            <w:vAlign w:val="bottom"/>
          </w:tcPr>
          <w:p>
            <w:pPr>
              <w:ind w:left="280"/>
              <w:spacing w:after="0"/>
              <w:rPr>
                <w:sz w:val="20"/>
                <w:szCs w:val="20"/>
                <w:color w:val="auto"/>
              </w:rPr>
            </w:pPr>
            <w:r>
              <w:rPr>
                <w:rFonts w:ascii="Arial" w:cs="Arial" w:eastAsia="Arial" w:hAnsi="Arial"/>
                <w:sz w:val="15"/>
                <w:szCs w:val="15"/>
                <w:color w:val="auto"/>
              </w:rPr>
              <w:t>Foreign</w:t>
            </w:r>
          </w:p>
        </w:tc>
        <w:tc>
          <w:tcPr>
            <w:tcW w:w="1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jc w:val="right"/>
              <w:spacing w:after="0"/>
              <w:rPr>
                <w:sz w:val="20"/>
                <w:szCs w:val="20"/>
                <w:color w:val="auto"/>
              </w:rPr>
            </w:pPr>
            <w:r>
              <w:rPr>
                <w:rFonts w:ascii="Arial" w:cs="Arial" w:eastAsia="Arial" w:hAnsi="Arial"/>
                <w:sz w:val="15"/>
                <w:szCs w:val="15"/>
                <w:color w:val="auto"/>
              </w:rPr>
              <w:t>0.2</w:t>
            </w: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gridSpan w:val="2"/>
          </w:tcPr>
          <w:p>
            <w:pPr>
              <w:ind w:left="160"/>
              <w:spacing w:after="0"/>
              <w:rPr>
                <w:sz w:val="20"/>
                <w:szCs w:val="20"/>
                <w:color w:val="auto"/>
              </w:rPr>
            </w:pPr>
            <w:r>
              <w:rPr>
                <w:rFonts w:ascii="Arial" w:cs="Arial" w:eastAsia="Arial" w:hAnsi="Arial"/>
                <w:sz w:val="15"/>
                <w:szCs w:val="15"/>
                <w:color w:val="auto"/>
              </w:rPr>
              <w:t>(0.2)</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jc w:val="right"/>
              <w:spacing w:after="0"/>
              <w:rPr>
                <w:sz w:val="20"/>
                <w:szCs w:val="20"/>
                <w:color w:val="auto"/>
              </w:rPr>
            </w:pPr>
            <w:r>
              <w:rPr>
                <w:rFonts w:ascii="Arial" w:cs="Arial" w:eastAsia="Arial" w:hAnsi="Arial"/>
                <w:sz w:val="15"/>
                <w:szCs w:val="15"/>
                <w:color w:val="auto"/>
              </w:rPr>
              <w:t>0.9</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
        </w:trPr>
        <w:tc>
          <w:tcPr>
            <w:tcW w:w="20" w:type="dxa"/>
            <w:vAlign w:val="bottom"/>
            <w:vMerge w:val="restart"/>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20" w:type="dxa"/>
            <w:vAlign w:val="bottom"/>
            <w:vMerge w:val="continue"/>
          </w:tcPr>
          <w:p>
            <w:pPr>
              <w:spacing w:after="0"/>
              <w:rPr>
                <w:sz w:val="15"/>
                <w:szCs w:val="15"/>
                <w:color w:val="auto"/>
              </w:rPr>
            </w:pPr>
          </w:p>
        </w:tc>
        <w:tc>
          <w:tcPr>
            <w:tcW w:w="2940" w:type="dxa"/>
            <w:vAlign w:val="bottom"/>
            <w:shd w:val="clear" w:color="auto" w:fill="CCEEFF"/>
          </w:tcPr>
          <w:p>
            <w:pPr>
              <w:spacing w:after="0"/>
              <w:rPr>
                <w:sz w:val="20"/>
                <w:szCs w:val="20"/>
                <w:color w:val="auto"/>
              </w:rPr>
            </w:pPr>
            <w:r>
              <w:rPr>
                <w:rFonts w:ascii="Arial" w:cs="Arial" w:eastAsia="Arial" w:hAnsi="Arial"/>
                <w:sz w:val="15"/>
                <w:szCs w:val="15"/>
                <w:color w:val="auto"/>
              </w:rPr>
              <w:t>Provision for income taxes</w:t>
            </w:r>
          </w:p>
        </w:tc>
        <w:tc>
          <w:tcPr>
            <w:tcW w:w="146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w:t>
            </w:r>
          </w:p>
        </w:tc>
        <w:tc>
          <w:tcPr>
            <w:tcW w:w="48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(0.3)</w:t>
            </w: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w:t>
            </w:r>
          </w:p>
        </w:tc>
        <w:tc>
          <w:tcPr>
            <w:tcW w:w="880" w:type="dxa"/>
            <w:vAlign w:val="bottom"/>
            <w:gridSpan w:val="2"/>
            <w:shd w:val="clear" w:color="auto" w:fill="CCEEFF"/>
          </w:tcPr>
          <w:p>
            <w:pPr>
              <w:ind w:left="160"/>
              <w:spacing w:after="0"/>
              <w:rPr>
                <w:sz w:val="20"/>
                <w:szCs w:val="20"/>
                <w:color w:val="auto"/>
              </w:rPr>
            </w:pPr>
            <w:r>
              <w:rPr>
                <w:rFonts w:ascii="Arial" w:cs="Arial" w:eastAsia="Arial" w:hAnsi="Arial"/>
                <w:sz w:val="15"/>
                <w:szCs w:val="15"/>
                <w:color w:val="auto"/>
              </w:rPr>
              <w:t>(5.2)</w:t>
            </w: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w:t>
            </w:r>
          </w:p>
        </w:tc>
        <w:tc>
          <w:tcPr>
            <w:tcW w:w="48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(0.2)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1" w:lineRule="exact"/>
        <w:rPr>
          <w:sz w:val="20"/>
          <w:szCs w:val="20"/>
          <w:color w:val="auto"/>
        </w:rPr>
      </w:pPr>
    </w:p>
    <w:p>
      <w:pPr>
        <w:ind w:left="1120" w:right="320" w:firstLine="368"/>
        <w:spacing w:after="0" w:line="275" w:lineRule="auto"/>
        <w:rPr>
          <w:sz w:val="20"/>
          <w:szCs w:val="20"/>
          <w:color w:val="auto"/>
        </w:rPr>
      </w:pPr>
      <w:r>
        <w:rPr>
          <w:rFonts w:ascii="Arial" w:cs="Arial" w:eastAsia="Arial" w:hAnsi="Arial"/>
          <w:sz w:val="15"/>
          <w:szCs w:val="15"/>
          <w:color w:val="auto"/>
        </w:rPr>
        <w:t>Income tax benefit attributable to loss from continuing operations differed from the amounts computed by applying the statutory U.S. federal income tax rate of 34% to pretax loss from continuing operations as a result of the following:</w:t>
      </w:r>
    </w:p>
    <w:p>
      <w:pPr>
        <w:spacing w:after="0" w:line="160" w:lineRule="exact"/>
        <w:rPr>
          <w:sz w:val="20"/>
          <w:szCs w:val="20"/>
          <w:color w:val="auto"/>
        </w:rPr>
      </w:pPr>
    </w:p>
    <w:tbl>
      <w:tblPr>
        <w:tblLayout w:type="fixed"/>
        <w:tblInd w:w="2220" w:type="dxa"/>
        <w:tblCellMar>
          <w:top w:w="0" w:type="dxa"/>
          <w:left w:w="0" w:type="dxa"/>
          <w:bottom w:w="0" w:type="dxa"/>
          <w:right w:w="0" w:type="dxa"/>
        </w:tblCellMar>
      </w:tblPr>
      <w:tr>
        <w:trPr>
          <w:trHeight w:val="144"/>
        </w:trPr>
        <w:tc>
          <w:tcPr>
            <w:tcW w:w="296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460" w:type="dxa"/>
            <w:vAlign w:val="bottom"/>
            <w:tcBorders>
              <w:bottom w:val="single" w:sz="8" w:color="auto"/>
            </w:tcBorders>
            <w:gridSpan w:val="4"/>
          </w:tcPr>
          <w:p>
            <w:pPr>
              <w:jc w:val="right"/>
              <w:ind w:right="100"/>
              <w:spacing w:after="0"/>
              <w:rPr>
                <w:sz w:val="20"/>
                <w:szCs w:val="20"/>
                <w:color w:val="auto"/>
              </w:rPr>
            </w:pPr>
            <w:r>
              <w:rPr>
                <w:rFonts w:ascii="Arial" w:cs="Arial" w:eastAsia="Arial" w:hAnsi="Arial"/>
                <w:sz w:val="12"/>
                <w:szCs w:val="12"/>
                <w:b w:val="1"/>
                <w:bCs w:val="1"/>
                <w:color w:val="auto"/>
                <w:w w:val="91"/>
              </w:rPr>
              <w:t>Year ended December 31,</w:t>
            </w:r>
          </w:p>
        </w:tc>
        <w:tc>
          <w:tcPr>
            <w:tcW w:w="8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5"/>
        </w:trPr>
        <w:tc>
          <w:tcPr>
            <w:tcW w:w="2960" w:type="dxa"/>
            <w:vAlign w:val="bottom"/>
            <w:tcBorders>
              <w:bottom w:val="single" w:sz="8" w:color="CCEEFF"/>
            </w:tcBorders>
          </w:tcPr>
          <w:p>
            <w:pPr>
              <w:spacing w:after="0"/>
              <w:rPr>
                <w:sz w:val="10"/>
                <w:szCs w:val="10"/>
                <w:color w:val="auto"/>
              </w:rPr>
            </w:pPr>
          </w:p>
        </w:tc>
        <w:tc>
          <w:tcPr>
            <w:tcW w:w="1340" w:type="dxa"/>
            <w:vAlign w:val="bottom"/>
            <w:tcBorders>
              <w:bottom w:val="single" w:sz="8" w:color="CCEEFF"/>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380" w:type="dxa"/>
            <w:vAlign w:val="bottom"/>
            <w:tcBorders>
              <w:bottom w:val="single" w:sz="8" w:color="auto"/>
            </w:tcBorders>
          </w:tcPr>
          <w:p>
            <w:pPr>
              <w:jc w:val="right"/>
              <w:ind w:right="46"/>
              <w:spacing w:after="0" w:line="115" w:lineRule="exact"/>
              <w:rPr>
                <w:sz w:val="20"/>
                <w:szCs w:val="20"/>
                <w:color w:val="auto"/>
              </w:rPr>
            </w:pPr>
            <w:r>
              <w:rPr>
                <w:rFonts w:ascii="Arial" w:cs="Arial" w:eastAsia="Arial" w:hAnsi="Arial"/>
                <w:sz w:val="12"/>
                <w:szCs w:val="12"/>
                <w:b w:val="1"/>
                <w:bCs w:val="1"/>
                <w:color w:val="auto"/>
                <w:w w:val="89"/>
              </w:rPr>
              <w:t>2015</w:t>
            </w:r>
          </w:p>
        </w:tc>
        <w:tc>
          <w:tcPr>
            <w:tcW w:w="100" w:type="dxa"/>
            <w:vAlign w:val="bottom"/>
            <w:tcBorders>
              <w:bottom w:val="single" w:sz="8" w:color="CCEEFF"/>
            </w:tcBorders>
          </w:tcPr>
          <w:p>
            <w:pPr>
              <w:spacing w:after="0"/>
              <w:rPr>
                <w:sz w:val="10"/>
                <w:szCs w:val="10"/>
                <w:color w:val="auto"/>
              </w:rPr>
            </w:pPr>
          </w:p>
        </w:tc>
        <w:tc>
          <w:tcPr>
            <w:tcW w:w="480" w:type="dxa"/>
            <w:vAlign w:val="bottom"/>
            <w:tcBorders>
              <w:bottom w:val="single" w:sz="8" w:color="CCEEFF"/>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380" w:type="dxa"/>
            <w:vAlign w:val="bottom"/>
            <w:tcBorders>
              <w:bottom w:val="single" w:sz="8" w:color="auto"/>
            </w:tcBorders>
          </w:tcPr>
          <w:p>
            <w:pPr>
              <w:jc w:val="right"/>
              <w:ind w:right="46"/>
              <w:spacing w:after="0" w:line="115" w:lineRule="exact"/>
              <w:rPr>
                <w:sz w:val="20"/>
                <w:szCs w:val="20"/>
                <w:color w:val="auto"/>
              </w:rPr>
            </w:pPr>
            <w:r>
              <w:rPr>
                <w:rFonts w:ascii="Arial" w:cs="Arial" w:eastAsia="Arial" w:hAnsi="Arial"/>
                <w:sz w:val="12"/>
                <w:szCs w:val="12"/>
                <w:b w:val="1"/>
                <w:bCs w:val="1"/>
                <w:color w:val="auto"/>
                <w:w w:val="89"/>
              </w:rPr>
              <w:t>2016</w:t>
            </w:r>
          </w:p>
        </w:tc>
        <w:tc>
          <w:tcPr>
            <w:tcW w:w="500" w:type="dxa"/>
            <w:vAlign w:val="bottom"/>
            <w:tcBorders>
              <w:bottom w:val="single" w:sz="8" w:color="CCEEFF"/>
            </w:tcBorders>
          </w:tcPr>
          <w:p>
            <w:pPr>
              <w:spacing w:after="0"/>
              <w:rPr>
                <w:sz w:val="10"/>
                <w:szCs w:val="10"/>
                <w:color w:val="auto"/>
              </w:rPr>
            </w:pPr>
          </w:p>
        </w:tc>
        <w:tc>
          <w:tcPr>
            <w:tcW w:w="80" w:type="dxa"/>
            <w:vAlign w:val="bottom"/>
            <w:tcBorders>
              <w:bottom w:val="single" w:sz="8" w:color="CCEEFF"/>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380" w:type="dxa"/>
            <w:vAlign w:val="bottom"/>
            <w:tcBorders>
              <w:bottom w:val="single" w:sz="8" w:color="auto"/>
            </w:tcBorders>
          </w:tcPr>
          <w:p>
            <w:pPr>
              <w:jc w:val="right"/>
              <w:ind w:right="46"/>
              <w:spacing w:after="0" w:line="115" w:lineRule="exact"/>
              <w:rPr>
                <w:sz w:val="20"/>
                <w:szCs w:val="20"/>
                <w:color w:val="auto"/>
              </w:rPr>
            </w:pPr>
            <w:r>
              <w:rPr>
                <w:rFonts w:ascii="Arial" w:cs="Arial" w:eastAsia="Arial" w:hAnsi="Arial"/>
                <w:sz w:val="12"/>
                <w:szCs w:val="12"/>
                <w:b w:val="1"/>
                <w:bCs w:val="1"/>
                <w:color w:val="auto"/>
                <w:w w:val="89"/>
              </w:rPr>
              <w:t>2017</w:t>
            </w:r>
          </w:p>
        </w:tc>
        <w:tc>
          <w:tcPr>
            <w:tcW w:w="100" w:type="dxa"/>
            <w:vAlign w:val="bottom"/>
            <w:tcBorders>
              <w:bottom w:val="single" w:sz="8" w:color="CCEEFF"/>
            </w:tcBorders>
          </w:tcPr>
          <w:p>
            <w:pPr>
              <w:spacing w:after="0"/>
              <w:rPr>
                <w:sz w:val="10"/>
                <w:szCs w:val="10"/>
                <w:color w:val="auto"/>
              </w:rPr>
            </w:pPr>
          </w:p>
        </w:tc>
        <w:tc>
          <w:tcPr>
            <w:tcW w:w="0" w:type="dxa"/>
            <w:vAlign w:val="bottom"/>
          </w:tcPr>
          <w:p>
            <w:pPr>
              <w:spacing w:after="0"/>
              <w:rPr>
                <w:sz w:val="1"/>
                <w:szCs w:val="1"/>
                <w:color w:val="auto"/>
              </w:rPr>
            </w:pPr>
          </w:p>
        </w:tc>
      </w:tr>
      <w:tr>
        <w:trPr>
          <w:trHeight w:val="172"/>
        </w:trPr>
        <w:tc>
          <w:tcPr>
            <w:tcW w:w="2960" w:type="dxa"/>
            <w:vAlign w:val="bottom"/>
            <w:shd w:val="clear" w:color="auto" w:fill="CCEEFF"/>
          </w:tcPr>
          <w:p>
            <w:pPr>
              <w:spacing w:after="0" w:line="170" w:lineRule="exact"/>
              <w:rPr>
                <w:sz w:val="20"/>
                <w:szCs w:val="20"/>
                <w:color w:val="auto"/>
              </w:rPr>
            </w:pPr>
            <w:r>
              <w:rPr>
                <w:rFonts w:ascii="Arial" w:cs="Arial" w:eastAsia="Arial" w:hAnsi="Arial"/>
                <w:sz w:val="15"/>
                <w:szCs w:val="15"/>
                <w:color w:val="auto"/>
              </w:rPr>
              <w:t>Tax benefit at federal statutory rate of 34%</w:t>
            </w:r>
          </w:p>
        </w:tc>
        <w:tc>
          <w:tcPr>
            <w:tcW w:w="134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110.7</w:t>
            </w:r>
          </w:p>
        </w:tc>
        <w:tc>
          <w:tcPr>
            <w:tcW w:w="10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69.7</w:t>
            </w:r>
          </w:p>
        </w:tc>
        <w:tc>
          <w:tcPr>
            <w:tcW w:w="5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37.9</w:t>
            </w: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2960" w:type="dxa"/>
            <w:vAlign w:val="bottom"/>
          </w:tcPr>
          <w:p>
            <w:pPr>
              <w:spacing w:after="0"/>
              <w:rPr>
                <w:sz w:val="20"/>
                <w:szCs w:val="20"/>
                <w:color w:val="auto"/>
              </w:rPr>
            </w:pPr>
            <w:r>
              <w:rPr>
                <w:rFonts w:ascii="Arial" w:cs="Arial" w:eastAsia="Arial" w:hAnsi="Arial"/>
                <w:sz w:val="15"/>
                <w:szCs w:val="15"/>
                <w:color w:val="auto"/>
              </w:rPr>
              <w:t>State taxes, net of federal benefit</w:t>
            </w:r>
          </w:p>
        </w:tc>
        <w:tc>
          <w:tcPr>
            <w:tcW w:w="1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jc w:val="right"/>
              <w:spacing w:after="0"/>
              <w:rPr>
                <w:sz w:val="20"/>
                <w:szCs w:val="20"/>
                <w:color w:val="auto"/>
              </w:rPr>
            </w:pPr>
            <w:r>
              <w:rPr>
                <w:rFonts w:ascii="Arial" w:cs="Arial" w:eastAsia="Arial" w:hAnsi="Arial"/>
                <w:sz w:val="15"/>
                <w:szCs w:val="15"/>
                <w:color w:val="auto"/>
              </w:rPr>
              <w:t>4.5</w:t>
            </w: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jc w:val="right"/>
              <w:spacing w:after="0"/>
              <w:rPr>
                <w:sz w:val="20"/>
                <w:szCs w:val="20"/>
                <w:color w:val="auto"/>
              </w:rPr>
            </w:pPr>
            <w:r>
              <w:rPr>
                <w:rFonts w:ascii="Arial" w:cs="Arial" w:eastAsia="Arial" w:hAnsi="Arial"/>
                <w:sz w:val="15"/>
                <w:szCs w:val="15"/>
                <w:color w:val="auto"/>
              </w:rPr>
              <w:t>2.2</w:t>
            </w:r>
          </w:p>
        </w:tc>
        <w:tc>
          <w:tcPr>
            <w:tcW w:w="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jc w:val="right"/>
              <w:spacing w:after="0"/>
              <w:rPr>
                <w:sz w:val="20"/>
                <w:szCs w:val="20"/>
                <w:color w:val="auto"/>
              </w:rPr>
            </w:pPr>
            <w:r>
              <w:rPr>
                <w:rFonts w:ascii="Arial" w:cs="Arial" w:eastAsia="Arial" w:hAnsi="Arial"/>
                <w:sz w:val="15"/>
                <w:szCs w:val="15"/>
                <w:color w:val="auto"/>
              </w:rPr>
              <w:t>1.7</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960" w:type="dxa"/>
            <w:vAlign w:val="bottom"/>
            <w:shd w:val="clear" w:color="auto" w:fill="CCEEFF"/>
          </w:tcPr>
          <w:p>
            <w:pPr>
              <w:spacing w:after="0"/>
              <w:rPr>
                <w:sz w:val="20"/>
                <w:szCs w:val="20"/>
                <w:color w:val="auto"/>
              </w:rPr>
            </w:pPr>
            <w:r>
              <w:rPr>
                <w:rFonts w:ascii="Arial" w:cs="Arial" w:eastAsia="Arial" w:hAnsi="Arial"/>
                <w:sz w:val="15"/>
                <w:szCs w:val="15"/>
                <w:color w:val="auto"/>
              </w:rPr>
              <w:t>Foreign rate differential</w:t>
            </w:r>
          </w:p>
        </w:tc>
        <w:tc>
          <w:tcPr>
            <w:tcW w:w="13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8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(50.7)</w:t>
            </w:r>
          </w:p>
        </w:tc>
        <w:tc>
          <w:tcPr>
            <w:tcW w:w="4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440"/>
              <w:spacing w:after="0"/>
              <w:rPr>
                <w:sz w:val="20"/>
                <w:szCs w:val="20"/>
                <w:color w:val="auto"/>
              </w:rPr>
            </w:pPr>
            <w:r>
              <w:rPr>
                <w:rFonts w:ascii="Arial" w:cs="Arial" w:eastAsia="Arial" w:hAnsi="Arial"/>
                <w:sz w:val="15"/>
                <w:szCs w:val="15"/>
                <w:color w:val="auto"/>
              </w:rPr>
              <w:t>(38.8)</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8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(12.3)</w:t>
            </w:r>
          </w:p>
        </w:tc>
        <w:tc>
          <w:tcPr>
            <w:tcW w:w="0" w:type="dxa"/>
            <w:vAlign w:val="bottom"/>
          </w:tcPr>
          <w:p>
            <w:pPr>
              <w:spacing w:after="0"/>
              <w:rPr>
                <w:sz w:val="1"/>
                <w:szCs w:val="1"/>
                <w:color w:val="auto"/>
              </w:rPr>
            </w:pPr>
          </w:p>
        </w:tc>
      </w:tr>
      <w:tr>
        <w:trPr>
          <w:trHeight w:val="180"/>
        </w:trPr>
        <w:tc>
          <w:tcPr>
            <w:tcW w:w="2960" w:type="dxa"/>
            <w:vAlign w:val="bottom"/>
          </w:tcPr>
          <w:p>
            <w:pPr>
              <w:spacing w:after="0"/>
              <w:rPr>
                <w:sz w:val="20"/>
                <w:szCs w:val="20"/>
                <w:color w:val="auto"/>
              </w:rPr>
            </w:pPr>
            <w:r>
              <w:rPr>
                <w:rFonts w:ascii="Arial" w:cs="Arial" w:eastAsia="Arial" w:hAnsi="Arial"/>
                <w:sz w:val="15"/>
                <w:szCs w:val="15"/>
                <w:color w:val="auto"/>
              </w:rPr>
              <w:t>Research and other credits</w:t>
            </w:r>
          </w:p>
        </w:tc>
        <w:tc>
          <w:tcPr>
            <w:tcW w:w="1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jc w:val="right"/>
              <w:spacing w:after="0"/>
              <w:rPr>
                <w:sz w:val="20"/>
                <w:szCs w:val="20"/>
                <w:color w:val="auto"/>
              </w:rPr>
            </w:pPr>
            <w:r>
              <w:rPr>
                <w:rFonts w:ascii="Arial" w:cs="Arial" w:eastAsia="Arial" w:hAnsi="Arial"/>
                <w:sz w:val="15"/>
                <w:szCs w:val="15"/>
                <w:color w:val="auto"/>
              </w:rPr>
              <w:t>12.7</w:t>
            </w: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jc w:val="right"/>
              <w:spacing w:after="0"/>
              <w:rPr>
                <w:sz w:val="20"/>
                <w:szCs w:val="20"/>
                <w:color w:val="auto"/>
              </w:rPr>
            </w:pPr>
            <w:r>
              <w:rPr>
                <w:rFonts w:ascii="Arial" w:cs="Arial" w:eastAsia="Arial" w:hAnsi="Arial"/>
                <w:sz w:val="15"/>
                <w:szCs w:val="15"/>
                <w:color w:val="auto"/>
              </w:rPr>
              <w:t>12.6</w:t>
            </w:r>
          </w:p>
        </w:tc>
        <w:tc>
          <w:tcPr>
            <w:tcW w:w="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jc w:val="right"/>
              <w:spacing w:after="0"/>
              <w:rPr>
                <w:sz w:val="20"/>
                <w:szCs w:val="20"/>
                <w:color w:val="auto"/>
              </w:rPr>
            </w:pPr>
            <w:r>
              <w:rPr>
                <w:rFonts w:ascii="Arial" w:cs="Arial" w:eastAsia="Arial" w:hAnsi="Arial"/>
                <w:sz w:val="15"/>
                <w:szCs w:val="15"/>
                <w:color w:val="auto"/>
              </w:rPr>
              <w:t>25.4</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960" w:type="dxa"/>
            <w:vAlign w:val="bottom"/>
            <w:shd w:val="clear" w:color="auto" w:fill="CCEEFF"/>
          </w:tcPr>
          <w:p>
            <w:pPr>
              <w:spacing w:after="0"/>
              <w:rPr>
                <w:sz w:val="20"/>
                <w:szCs w:val="20"/>
                <w:color w:val="auto"/>
              </w:rPr>
            </w:pPr>
            <w:r>
              <w:rPr>
                <w:rFonts w:ascii="Arial" w:cs="Arial" w:eastAsia="Arial" w:hAnsi="Arial"/>
                <w:sz w:val="15"/>
                <w:szCs w:val="15"/>
                <w:color w:val="auto"/>
              </w:rPr>
              <w:t>Permanent differences</w:t>
            </w:r>
          </w:p>
        </w:tc>
        <w:tc>
          <w:tcPr>
            <w:tcW w:w="13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8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(4.8)</w:t>
            </w:r>
          </w:p>
        </w:tc>
        <w:tc>
          <w:tcPr>
            <w:tcW w:w="4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440"/>
              <w:spacing w:after="0"/>
              <w:rPr>
                <w:sz w:val="20"/>
                <w:szCs w:val="20"/>
                <w:color w:val="auto"/>
              </w:rPr>
            </w:pPr>
            <w:r>
              <w:rPr>
                <w:rFonts w:ascii="Arial" w:cs="Arial" w:eastAsia="Arial" w:hAnsi="Arial"/>
                <w:sz w:val="15"/>
                <w:szCs w:val="15"/>
                <w:color w:val="auto"/>
              </w:rPr>
              <w:t>(3.5)</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8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(9.0)</w:t>
            </w:r>
          </w:p>
        </w:tc>
        <w:tc>
          <w:tcPr>
            <w:tcW w:w="0" w:type="dxa"/>
            <w:vAlign w:val="bottom"/>
          </w:tcPr>
          <w:p>
            <w:pPr>
              <w:spacing w:after="0"/>
              <w:rPr>
                <w:sz w:val="1"/>
                <w:szCs w:val="1"/>
                <w:color w:val="auto"/>
              </w:rPr>
            </w:pPr>
          </w:p>
        </w:tc>
      </w:tr>
      <w:tr>
        <w:trPr>
          <w:trHeight w:val="180"/>
        </w:trPr>
        <w:tc>
          <w:tcPr>
            <w:tcW w:w="2960" w:type="dxa"/>
            <w:vAlign w:val="bottom"/>
          </w:tcPr>
          <w:p>
            <w:pPr>
              <w:spacing w:after="0"/>
              <w:rPr>
                <w:sz w:val="20"/>
                <w:szCs w:val="20"/>
                <w:color w:val="auto"/>
              </w:rPr>
            </w:pPr>
            <w:r>
              <w:rPr>
                <w:rFonts w:ascii="Arial" w:cs="Arial" w:eastAsia="Arial" w:hAnsi="Arial"/>
                <w:sz w:val="15"/>
                <w:szCs w:val="15"/>
                <w:color w:val="auto"/>
              </w:rPr>
              <w:t>Tax Cuts and Jobs Act impact</w:t>
            </w:r>
          </w:p>
        </w:tc>
        <w:tc>
          <w:tcPr>
            <w:tcW w:w="1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gridSpan w:val="2"/>
          </w:tcPr>
          <w:p>
            <w:pPr>
              <w:jc w:val="right"/>
              <w:ind w:right="100"/>
              <w:spacing w:after="0"/>
              <w:rPr>
                <w:sz w:val="20"/>
                <w:szCs w:val="20"/>
                <w:color w:val="auto"/>
              </w:rPr>
            </w:pPr>
            <w:r>
              <w:rPr>
                <w:rFonts w:ascii="Arial" w:cs="Arial" w:eastAsia="Arial" w:hAnsi="Arial"/>
                <w:sz w:val="15"/>
                <w:szCs w:val="15"/>
                <w:color w:val="auto"/>
              </w:rPr>
              <w:t>—</w:t>
            </w:r>
          </w:p>
        </w:tc>
        <w:tc>
          <w:tcPr>
            <w:tcW w:w="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gridSpan w:val="2"/>
          </w:tcPr>
          <w:p>
            <w:pPr>
              <w:jc w:val="right"/>
              <w:ind w:right="50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gridSpan w:val="2"/>
          </w:tcPr>
          <w:p>
            <w:pPr>
              <w:jc w:val="right"/>
              <w:ind w:right="40"/>
              <w:spacing w:after="0"/>
              <w:rPr>
                <w:sz w:val="20"/>
                <w:szCs w:val="20"/>
                <w:color w:val="auto"/>
              </w:rPr>
            </w:pPr>
            <w:r>
              <w:rPr>
                <w:rFonts w:ascii="Arial" w:cs="Arial" w:eastAsia="Arial" w:hAnsi="Arial"/>
                <w:sz w:val="15"/>
                <w:szCs w:val="15"/>
                <w:color w:val="auto"/>
              </w:rPr>
              <w:t>(61.7)</w:t>
            </w:r>
          </w:p>
        </w:tc>
        <w:tc>
          <w:tcPr>
            <w:tcW w:w="0" w:type="dxa"/>
            <w:vAlign w:val="bottom"/>
          </w:tcPr>
          <w:p>
            <w:pPr>
              <w:spacing w:after="0"/>
              <w:rPr>
                <w:sz w:val="1"/>
                <w:szCs w:val="1"/>
                <w:color w:val="auto"/>
              </w:rPr>
            </w:pPr>
          </w:p>
        </w:tc>
      </w:tr>
      <w:tr>
        <w:trPr>
          <w:trHeight w:val="180"/>
        </w:trPr>
        <w:tc>
          <w:tcPr>
            <w:tcW w:w="2960" w:type="dxa"/>
            <w:vAlign w:val="bottom"/>
            <w:shd w:val="clear" w:color="auto" w:fill="CCEEFF"/>
          </w:tcPr>
          <w:p>
            <w:pPr>
              <w:spacing w:after="0"/>
              <w:rPr>
                <w:sz w:val="20"/>
                <w:szCs w:val="20"/>
                <w:color w:val="auto"/>
              </w:rPr>
            </w:pPr>
            <w:r>
              <w:rPr>
                <w:rFonts w:ascii="Arial" w:cs="Arial" w:eastAsia="Arial" w:hAnsi="Arial"/>
                <w:sz w:val="15"/>
                <w:szCs w:val="15"/>
                <w:color w:val="auto"/>
              </w:rPr>
              <w:t>Change in valuation allowance</w:t>
            </w:r>
          </w:p>
        </w:tc>
        <w:tc>
          <w:tcPr>
            <w:tcW w:w="13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8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(71.2)</w:t>
            </w:r>
          </w:p>
        </w:tc>
        <w:tc>
          <w:tcPr>
            <w:tcW w:w="4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440"/>
              <w:spacing w:after="0"/>
              <w:rPr>
                <w:sz w:val="20"/>
                <w:szCs w:val="20"/>
                <w:color w:val="auto"/>
              </w:rPr>
            </w:pPr>
            <w:r>
              <w:rPr>
                <w:rFonts w:ascii="Arial" w:cs="Arial" w:eastAsia="Arial" w:hAnsi="Arial"/>
                <w:sz w:val="15"/>
                <w:szCs w:val="15"/>
                <w:color w:val="auto"/>
              </w:rPr>
              <w:t>(40.7)</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38.9</w:t>
            </w: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960" w:type="dxa"/>
            <w:vAlign w:val="bottom"/>
          </w:tcPr>
          <w:p>
            <w:pPr>
              <w:spacing w:after="0"/>
              <w:rPr>
                <w:sz w:val="20"/>
                <w:szCs w:val="20"/>
                <w:color w:val="auto"/>
              </w:rPr>
            </w:pPr>
            <w:r>
              <w:rPr>
                <w:rFonts w:ascii="Arial" w:cs="Arial" w:eastAsia="Arial" w:hAnsi="Arial"/>
                <w:sz w:val="15"/>
                <w:szCs w:val="15"/>
                <w:color w:val="auto"/>
              </w:rPr>
              <w:t>Stock-based compensation</w:t>
            </w:r>
          </w:p>
        </w:tc>
        <w:tc>
          <w:tcPr>
            <w:tcW w:w="1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gridSpan w:val="2"/>
          </w:tcPr>
          <w:p>
            <w:pPr>
              <w:jc w:val="right"/>
              <w:ind w:right="60"/>
              <w:spacing w:after="0"/>
              <w:rPr>
                <w:sz w:val="20"/>
                <w:szCs w:val="20"/>
                <w:color w:val="auto"/>
              </w:rPr>
            </w:pPr>
            <w:r>
              <w:rPr>
                <w:rFonts w:ascii="Arial" w:cs="Arial" w:eastAsia="Arial" w:hAnsi="Arial"/>
                <w:sz w:val="15"/>
                <w:szCs w:val="15"/>
                <w:color w:val="auto"/>
              </w:rPr>
              <w:t>(6.1)</w:t>
            </w:r>
          </w:p>
        </w:tc>
        <w:tc>
          <w:tcPr>
            <w:tcW w:w="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gridSpan w:val="2"/>
          </w:tcPr>
          <w:p>
            <w:pPr>
              <w:jc w:val="right"/>
              <w:ind w:right="440"/>
              <w:spacing w:after="0"/>
              <w:rPr>
                <w:sz w:val="20"/>
                <w:szCs w:val="20"/>
                <w:color w:val="auto"/>
              </w:rPr>
            </w:pPr>
            <w:r>
              <w:rPr>
                <w:rFonts w:ascii="Arial" w:cs="Arial" w:eastAsia="Arial" w:hAnsi="Arial"/>
                <w:sz w:val="15"/>
                <w:szCs w:val="15"/>
                <w:color w:val="auto"/>
              </w:rPr>
              <w:t>(4.8)</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gridSpan w:val="2"/>
          </w:tcPr>
          <w:p>
            <w:pPr>
              <w:jc w:val="right"/>
              <w:ind w:right="40"/>
              <w:spacing w:after="0"/>
              <w:rPr>
                <w:sz w:val="20"/>
                <w:szCs w:val="20"/>
                <w:color w:val="auto"/>
              </w:rPr>
            </w:pPr>
            <w:r>
              <w:rPr>
                <w:rFonts w:ascii="Arial" w:cs="Arial" w:eastAsia="Arial" w:hAnsi="Arial"/>
                <w:sz w:val="15"/>
                <w:szCs w:val="15"/>
                <w:color w:val="auto"/>
              </w:rPr>
              <w:t>(20.1)</w:t>
            </w:r>
          </w:p>
        </w:tc>
        <w:tc>
          <w:tcPr>
            <w:tcW w:w="0" w:type="dxa"/>
            <w:vAlign w:val="bottom"/>
          </w:tcPr>
          <w:p>
            <w:pPr>
              <w:spacing w:after="0"/>
              <w:rPr>
                <w:sz w:val="1"/>
                <w:szCs w:val="1"/>
                <w:color w:val="auto"/>
              </w:rPr>
            </w:pPr>
          </w:p>
        </w:tc>
      </w:tr>
      <w:tr>
        <w:trPr>
          <w:trHeight w:val="180"/>
        </w:trPr>
        <w:tc>
          <w:tcPr>
            <w:tcW w:w="2960" w:type="dxa"/>
            <w:vAlign w:val="bottom"/>
            <w:shd w:val="clear" w:color="auto" w:fill="CCEEFF"/>
          </w:tcPr>
          <w:p>
            <w:pPr>
              <w:spacing w:after="0"/>
              <w:rPr>
                <w:sz w:val="20"/>
                <w:szCs w:val="20"/>
                <w:color w:val="auto"/>
              </w:rPr>
            </w:pPr>
            <w:r>
              <w:rPr>
                <w:rFonts w:ascii="Arial" w:cs="Arial" w:eastAsia="Arial" w:hAnsi="Arial"/>
                <w:sz w:val="15"/>
                <w:szCs w:val="15"/>
                <w:color w:val="auto"/>
              </w:rPr>
              <w:t>Other nondeductible items</w:t>
            </w:r>
          </w:p>
        </w:tc>
        <w:tc>
          <w:tcPr>
            <w:tcW w:w="13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4.6</w:t>
            </w: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440"/>
              <w:spacing w:after="0"/>
              <w:rPr>
                <w:sz w:val="20"/>
                <w:szCs w:val="20"/>
                <w:color w:val="auto"/>
              </w:rPr>
            </w:pPr>
            <w:r>
              <w:rPr>
                <w:rFonts w:ascii="Arial" w:cs="Arial" w:eastAsia="Arial" w:hAnsi="Arial"/>
                <w:sz w:val="15"/>
                <w:szCs w:val="15"/>
                <w:color w:val="auto"/>
              </w:rPr>
              <w:t>(1.9)</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8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(1.0)</w:t>
            </w:r>
          </w:p>
        </w:tc>
        <w:tc>
          <w:tcPr>
            <w:tcW w:w="0" w:type="dxa"/>
            <w:vAlign w:val="bottom"/>
          </w:tcPr>
          <w:p>
            <w:pPr>
              <w:spacing w:after="0"/>
              <w:rPr>
                <w:sz w:val="1"/>
                <w:szCs w:val="1"/>
                <w:color w:val="auto"/>
              </w:rPr>
            </w:pPr>
          </w:p>
        </w:tc>
      </w:tr>
      <w:tr>
        <w:trPr>
          <w:trHeight w:val="20"/>
        </w:trPr>
        <w:tc>
          <w:tcPr>
            <w:tcW w:w="2960" w:type="dxa"/>
            <w:vAlign w:val="bottom"/>
            <w:vMerge w:val="restart"/>
          </w:tcPr>
          <w:p>
            <w:pPr>
              <w:spacing w:after="0"/>
              <w:rPr>
                <w:sz w:val="20"/>
                <w:szCs w:val="20"/>
                <w:color w:val="auto"/>
              </w:rPr>
            </w:pPr>
            <w:r>
              <w:rPr>
                <w:rFonts w:ascii="Arial" w:cs="Arial" w:eastAsia="Arial" w:hAnsi="Arial"/>
                <w:sz w:val="15"/>
                <w:szCs w:val="15"/>
                <w:color w:val="auto"/>
              </w:rPr>
              <w:t>Provision for income taxes</w:t>
            </w:r>
          </w:p>
        </w:tc>
        <w:tc>
          <w:tcPr>
            <w:tcW w:w="13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2960" w:type="dxa"/>
            <w:vAlign w:val="bottom"/>
            <w:vMerge w:val="continue"/>
          </w:tcPr>
          <w:p>
            <w:pPr>
              <w:spacing w:after="0"/>
              <w:rPr>
                <w:sz w:val="15"/>
                <w:szCs w:val="15"/>
                <w:color w:val="auto"/>
              </w:rPr>
            </w:pPr>
          </w:p>
        </w:tc>
        <w:tc>
          <w:tcPr>
            <w:tcW w:w="144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480" w:type="dxa"/>
            <w:vAlign w:val="bottom"/>
            <w:gridSpan w:val="2"/>
          </w:tcPr>
          <w:p>
            <w:pPr>
              <w:jc w:val="right"/>
              <w:ind w:right="60"/>
              <w:spacing w:after="0"/>
              <w:rPr>
                <w:sz w:val="20"/>
                <w:szCs w:val="20"/>
                <w:color w:val="auto"/>
              </w:rPr>
            </w:pPr>
            <w:r>
              <w:rPr>
                <w:rFonts w:ascii="Arial" w:cs="Arial" w:eastAsia="Arial" w:hAnsi="Arial"/>
                <w:sz w:val="15"/>
                <w:szCs w:val="15"/>
                <w:color w:val="auto"/>
              </w:rPr>
              <w:t>(0.3)</w:t>
            </w:r>
          </w:p>
        </w:tc>
        <w:tc>
          <w:tcPr>
            <w:tcW w:w="58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880" w:type="dxa"/>
            <w:vAlign w:val="bottom"/>
            <w:gridSpan w:val="2"/>
          </w:tcPr>
          <w:p>
            <w:pPr>
              <w:jc w:val="right"/>
              <w:ind w:right="440"/>
              <w:spacing w:after="0"/>
              <w:rPr>
                <w:sz w:val="20"/>
                <w:szCs w:val="20"/>
                <w:color w:val="auto"/>
              </w:rPr>
            </w:pPr>
            <w:r>
              <w:rPr>
                <w:rFonts w:ascii="Arial" w:cs="Arial" w:eastAsia="Arial" w:hAnsi="Arial"/>
                <w:sz w:val="15"/>
                <w:szCs w:val="15"/>
                <w:color w:val="auto"/>
              </w:rPr>
              <w:t>(5.2)</w:t>
            </w:r>
          </w:p>
        </w:tc>
        <w:tc>
          <w:tcPr>
            <w:tcW w:w="18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480" w:type="dxa"/>
            <w:vAlign w:val="bottom"/>
            <w:gridSpan w:val="2"/>
          </w:tcPr>
          <w:p>
            <w:pPr>
              <w:jc w:val="right"/>
              <w:ind w:right="40"/>
              <w:spacing w:after="0"/>
              <w:rPr>
                <w:sz w:val="20"/>
                <w:szCs w:val="20"/>
                <w:color w:val="auto"/>
              </w:rPr>
            </w:pPr>
            <w:r>
              <w:rPr>
                <w:rFonts w:ascii="Arial" w:cs="Arial" w:eastAsia="Arial" w:hAnsi="Arial"/>
                <w:sz w:val="15"/>
                <w:szCs w:val="15"/>
                <w:color w:val="auto"/>
              </w:rPr>
              <w:t>(0.2)</w:t>
            </w:r>
          </w:p>
        </w:tc>
        <w:tc>
          <w:tcPr>
            <w:tcW w:w="0" w:type="dxa"/>
            <w:vAlign w:val="bottom"/>
          </w:tcPr>
          <w:p>
            <w:pPr>
              <w:spacing w:after="0"/>
              <w:rPr>
                <w:sz w:val="1"/>
                <w:szCs w:val="1"/>
                <w:color w:val="auto"/>
              </w:rPr>
            </w:pPr>
          </w:p>
        </w:tc>
      </w:tr>
      <w:tr>
        <w:trPr>
          <w:trHeight w:val="20"/>
        </w:trPr>
        <w:tc>
          <w:tcPr>
            <w:tcW w:w="29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9"/>
        </w:trPr>
        <w:tc>
          <w:tcPr>
            <w:tcW w:w="2960" w:type="dxa"/>
            <w:vAlign w:val="bottom"/>
          </w:tcPr>
          <w:p>
            <w:pPr>
              <w:spacing w:after="0"/>
              <w:rPr>
                <w:sz w:val="24"/>
                <w:szCs w:val="24"/>
                <w:color w:val="auto"/>
              </w:rPr>
            </w:pPr>
          </w:p>
        </w:tc>
        <w:tc>
          <w:tcPr>
            <w:tcW w:w="1440" w:type="dxa"/>
            <w:vAlign w:val="bottom"/>
            <w:gridSpan w:val="2"/>
          </w:tcPr>
          <w:p>
            <w:pPr>
              <w:jc w:val="right"/>
              <w:ind w:right="685"/>
              <w:spacing w:after="0"/>
              <w:rPr>
                <w:sz w:val="20"/>
                <w:szCs w:val="20"/>
                <w:color w:val="auto"/>
              </w:rPr>
            </w:pPr>
            <w:r>
              <w:rPr>
                <w:rFonts w:ascii="Arial" w:cs="Arial" w:eastAsia="Arial" w:hAnsi="Arial"/>
                <w:sz w:val="15"/>
                <w:szCs w:val="15"/>
                <w:color w:val="auto"/>
              </w:rPr>
              <w:t>F-32</w:t>
            </w: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280"/>
          </w:cols>
          <w:pgMar w:left="240" w:top="408" w:right="1379" w:bottom="1440" w:gutter="0" w:footer="0" w:header="0"/>
        </w:sectPr>
      </w:pPr>
    </w:p>
    <w:bookmarkStart w:id="235" w:name="page236"/>
    <w:bookmarkEnd w:id="235"/>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133350</wp:posOffset>
            </wp:positionH>
            <wp:positionV relativeFrom="page">
              <wp:posOffset>88900</wp:posOffset>
            </wp:positionV>
            <wp:extent cx="7308850" cy="3429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7308850" cy="34290"/>
                    </a:xfrm>
                    <a:prstGeom prst="rect">
                      <a:avLst/>
                    </a:prstGeom>
                    <a:noFill/>
                  </pic:spPr>
                </pic:pic>
              </a:graphicData>
            </a:graphic>
          </wp:anchor>
        </w:drawing>
      </w:r>
      <w:hyperlink w:anchor="page7">
        <w:r>
          <w:rPr>
            <w:rFonts w:ascii="Arial" w:cs="Arial" w:eastAsia="Arial" w:hAnsi="Arial"/>
            <w:sz w:val="15"/>
            <w:szCs w:val="15"/>
            <w:b w:val="1"/>
            <w:bCs w:val="1"/>
            <w:u w:val="single" w:color="auto"/>
            <w:color w:val="0000EE"/>
          </w:rPr>
          <w:t>Table of Contents</w:t>
        </w:r>
      </w:hyperlink>
    </w:p>
    <w:p>
      <w:pPr>
        <w:spacing w:after="0" w:line="260" w:lineRule="exact"/>
        <w:rPr>
          <w:sz w:val="20"/>
          <w:szCs w:val="20"/>
          <w:color w:val="auto"/>
        </w:rPr>
      </w:pPr>
    </w:p>
    <w:p>
      <w:pPr>
        <w:ind w:left="1480"/>
        <w:spacing w:after="0"/>
        <w:rPr>
          <w:sz w:val="20"/>
          <w:szCs w:val="20"/>
          <w:color w:val="auto"/>
        </w:rPr>
      </w:pPr>
      <w:r>
        <w:rPr>
          <w:rFonts w:ascii="Arial" w:cs="Arial" w:eastAsia="Arial" w:hAnsi="Arial"/>
          <w:sz w:val="15"/>
          <w:szCs w:val="15"/>
          <w:color w:val="auto"/>
        </w:rPr>
        <w:t>The significant components of the Company’s deferred tax assets and liabilities as of December 31, 2016 and 2017 were as follows:</w:t>
      </w:r>
    </w:p>
    <w:p>
      <w:pPr>
        <w:spacing w:after="0" w:line="202" w:lineRule="exact"/>
        <w:rPr>
          <w:sz w:val="20"/>
          <w:szCs w:val="20"/>
          <w:color w:val="auto"/>
        </w:rPr>
      </w:pPr>
    </w:p>
    <w:tbl>
      <w:tblPr>
        <w:tblLayout w:type="fixed"/>
        <w:tblInd w:w="2220" w:type="dxa"/>
        <w:tblCellMar>
          <w:top w:w="0" w:type="dxa"/>
          <w:left w:w="0" w:type="dxa"/>
          <w:bottom w:w="0" w:type="dxa"/>
          <w:right w:w="0" w:type="dxa"/>
        </w:tblCellMar>
      </w:tblPr>
      <w:tr>
        <w:trPr>
          <w:trHeight w:val="144"/>
        </w:trPr>
        <w:tc>
          <w:tcPr>
            <w:tcW w:w="20" w:type="dxa"/>
            <w:vAlign w:val="bottom"/>
          </w:tcPr>
          <w:p>
            <w:pPr>
              <w:spacing w:after="0"/>
              <w:rPr>
                <w:sz w:val="12"/>
                <w:szCs w:val="12"/>
                <w:color w:val="auto"/>
              </w:rPr>
            </w:pPr>
          </w:p>
        </w:tc>
        <w:tc>
          <w:tcPr>
            <w:tcW w:w="42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60" w:type="dxa"/>
            <w:vAlign w:val="bottom"/>
            <w:gridSpan w:val="6"/>
          </w:tcPr>
          <w:p>
            <w:pPr>
              <w:jc w:val="right"/>
              <w:ind w:right="320"/>
              <w:spacing w:after="0"/>
              <w:rPr>
                <w:sz w:val="20"/>
                <w:szCs w:val="20"/>
                <w:color w:val="auto"/>
              </w:rPr>
            </w:pPr>
            <w:r>
              <w:rPr>
                <w:rFonts w:ascii="Arial" w:cs="Arial" w:eastAsia="Arial" w:hAnsi="Arial"/>
                <w:sz w:val="12"/>
                <w:szCs w:val="12"/>
                <w:b w:val="1"/>
                <w:bCs w:val="1"/>
                <w:color w:val="auto"/>
              </w:rPr>
              <w:t>As of December 31,</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4260" w:type="dxa"/>
            <w:vAlign w:val="bottom"/>
            <w:tcBorders>
              <w:bottom w:val="single" w:sz="8" w:color="CCEEFF"/>
            </w:tcBorders>
          </w:tcPr>
          <w:p>
            <w:pPr>
              <w:spacing w:after="0"/>
              <w:rPr>
                <w:sz w:val="10"/>
                <w:szCs w:val="10"/>
                <w:color w:val="auto"/>
              </w:rPr>
            </w:pPr>
          </w:p>
        </w:tc>
        <w:tc>
          <w:tcPr>
            <w:tcW w:w="1180" w:type="dxa"/>
            <w:vAlign w:val="bottom"/>
            <w:tcBorders>
              <w:bottom w:val="single" w:sz="8" w:color="CCEEFF"/>
            </w:tcBorders>
          </w:tcPr>
          <w:p>
            <w:pPr>
              <w:spacing w:after="0"/>
              <w:rPr>
                <w:sz w:val="10"/>
                <w:szCs w:val="10"/>
                <w:color w:val="auto"/>
              </w:rPr>
            </w:pPr>
          </w:p>
        </w:tc>
        <w:tc>
          <w:tcPr>
            <w:tcW w:w="80" w:type="dxa"/>
            <w:vAlign w:val="bottom"/>
            <w:tcBorders>
              <w:top w:val="single" w:sz="8" w:color="auto"/>
              <w:bottom w:val="single" w:sz="8" w:color="auto"/>
            </w:tcBorders>
          </w:tcPr>
          <w:p>
            <w:pPr>
              <w:spacing w:after="0"/>
              <w:rPr>
                <w:sz w:val="10"/>
                <w:szCs w:val="10"/>
                <w:color w:val="auto"/>
              </w:rPr>
            </w:pPr>
          </w:p>
        </w:tc>
        <w:tc>
          <w:tcPr>
            <w:tcW w:w="400" w:type="dxa"/>
            <w:vAlign w:val="bottom"/>
            <w:tcBorders>
              <w:top w:val="single" w:sz="8" w:color="auto"/>
              <w:bottom w:val="single" w:sz="8" w:color="auto"/>
            </w:tcBorders>
          </w:tcPr>
          <w:p>
            <w:pPr>
              <w:jc w:val="right"/>
              <w:ind w:right="47"/>
              <w:spacing w:after="0" w:line="115" w:lineRule="exact"/>
              <w:rPr>
                <w:sz w:val="20"/>
                <w:szCs w:val="20"/>
                <w:color w:val="auto"/>
              </w:rPr>
            </w:pPr>
            <w:r>
              <w:rPr>
                <w:rFonts w:ascii="Arial" w:cs="Arial" w:eastAsia="Arial" w:hAnsi="Arial"/>
                <w:sz w:val="12"/>
                <w:szCs w:val="12"/>
                <w:b w:val="1"/>
                <w:bCs w:val="1"/>
                <w:color w:val="auto"/>
                <w:w w:val="97"/>
              </w:rPr>
              <w:t>2016</w:t>
            </w:r>
          </w:p>
        </w:tc>
        <w:tc>
          <w:tcPr>
            <w:tcW w:w="260" w:type="dxa"/>
            <w:vAlign w:val="bottom"/>
            <w:tcBorders>
              <w:top w:val="single" w:sz="8" w:color="auto"/>
              <w:bottom w:val="single" w:sz="8" w:color="CCEEFF"/>
            </w:tcBorders>
          </w:tcPr>
          <w:p>
            <w:pPr>
              <w:spacing w:after="0"/>
              <w:rPr>
                <w:sz w:val="10"/>
                <w:szCs w:val="10"/>
                <w:color w:val="auto"/>
              </w:rPr>
            </w:pPr>
          </w:p>
        </w:tc>
        <w:tc>
          <w:tcPr>
            <w:tcW w:w="240" w:type="dxa"/>
            <w:vAlign w:val="bottom"/>
            <w:tcBorders>
              <w:top w:val="single" w:sz="8" w:color="auto"/>
              <w:bottom w:val="single" w:sz="8" w:color="CCEEFF"/>
            </w:tcBorders>
          </w:tcPr>
          <w:p>
            <w:pPr>
              <w:spacing w:after="0"/>
              <w:rPr>
                <w:sz w:val="10"/>
                <w:szCs w:val="10"/>
                <w:color w:val="auto"/>
              </w:rPr>
            </w:pPr>
          </w:p>
        </w:tc>
        <w:tc>
          <w:tcPr>
            <w:tcW w:w="60" w:type="dxa"/>
            <w:vAlign w:val="bottom"/>
            <w:tcBorders>
              <w:top w:val="single" w:sz="8" w:color="auto"/>
              <w:bottom w:val="single" w:sz="8" w:color="auto"/>
            </w:tcBorders>
          </w:tcPr>
          <w:p>
            <w:pPr>
              <w:spacing w:after="0"/>
              <w:rPr>
                <w:sz w:val="10"/>
                <w:szCs w:val="10"/>
                <w:color w:val="auto"/>
              </w:rPr>
            </w:pPr>
          </w:p>
        </w:tc>
        <w:tc>
          <w:tcPr>
            <w:tcW w:w="400" w:type="dxa"/>
            <w:vAlign w:val="bottom"/>
            <w:tcBorders>
              <w:top w:val="single" w:sz="8" w:color="auto"/>
              <w:bottom w:val="single" w:sz="8" w:color="auto"/>
            </w:tcBorders>
          </w:tcPr>
          <w:p>
            <w:pPr>
              <w:jc w:val="right"/>
              <w:ind w:right="46"/>
              <w:spacing w:after="0" w:line="115" w:lineRule="exact"/>
              <w:rPr>
                <w:sz w:val="20"/>
                <w:szCs w:val="20"/>
                <w:color w:val="auto"/>
              </w:rPr>
            </w:pPr>
            <w:r>
              <w:rPr>
                <w:rFonts w:ascii="Arial" w:cs="Arial" w:eastAsia="Arial" w:hAnsi="Arial"/>
                <w:sz w:val="12"/>
                <w:szCs w:val="12"/>
                <w:b w:val="1"/>
                <w:bCs w:val="1"/>
                <w:color w:val="auto"/>
                <w:w w:val="97"/>
              </w:rPr>
              <w:t>2017</w:t>
            </w:r>
          </w:p>
        </w:tc>
        <w:tc>
          <w:tcPr>
            <w:tcW w:w="100" w:type="dxa"/>
            <w:vAlign w:val="bottom"/>
            <w:tcBorders>
              <w:bottom w:val="single" w:sz="8" w:color="CCEEFF"/>
            </w:tcBorders>
          </w:tcPr>
          <w:p>
            <w:pPr>
              <w:spacing w:after="0"/>
              <w:rPr>
                <w:sz w:val="10"/>
                <w:szCs w:val="10"/>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4260" w:type="dxa"/>
            <w:vAlign w:val="bottom"/>
            <w:shd w:val="clear" w:color="auto" w:fill="CCEEFF"/>
          </w:tcPr>
          <w:p>
            <w:pPr>
              <w:spacing w:after="0" w:line="161" w:lineRule="exact"/>
              <w:rPr>
                <w:sz w:val="20"/>
                <w:szCs w:val="20"/>
                <w:color w:val="auto"/>
              </w:rPr>
            </w:pPr>
            <w:r>
              <w:rPr>
                <w:rFonts w:ascii="Arial" w:cs="Arial" w:eastAsia="Arial" w:hAnsi="Arial"/>
                <w:sz w:val="15"/>
                <w:szCs w:val="15"/>
                <w:color w:val="auto"/>
              </w:rPr>
              <w:t>Deferred tax assets:</w:t>
            </w:r>
          </w:p>
        </w:tc>
        <w:tc>
          <w:tcPr>
            <w:tcW w:w="11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260" w:type="dxa"/>
            <w:vAlign w:val="bottom"/>
          </w:tcPr>
          <w:p>
            <w:pPr>
              <w:ind w:left="280"/>
              <w:spacing w:after="0"/>
              <w:rPr>
                <w:sz w:val="20"/>
                <w:szCs w:val="20"/>
                <w:color w:val="auto"/>
              </w:rPr>
            </w:pPr>
            <w:r>
              <w:rPr>
                <w:rFonts w:ascii="Arial" w:cs="Arial" w:eastAsia="Arial" w:hAnsi="Arial"/>
                <w:sz w:val="15"/>
                <w:szCs w:val="15"/>
                <w:color w:val="auto"/>
              </w:rPr>
              <w:t>Net operating loss carryforwards</w:t>
            </w:r>
          </w:p>
        </w:tc>
        <w:tc>
          <w:tcPr>
            <w:tcW w:w="126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400" w:type="dxa"/>
            <w:vAlign w:val="bottom"/>
          </w:tcPr>
          <w:p>
            <w:pPr>
              <w:jc w:val="right"/>
              <w:spacing w:after="0"/>
              <w:rPr>
                <w:sz w:val="20"/>
                <w:szCs w:val="20"/>
                <w:color w:val="auto"/>
              </w:rPr>
            </w:pPr>
            <w:r>
              <w:rPr>
                <w:rFonts w:ascii="Arial" w:cs="Arial" w:eastAsia="Arial" w:hAnsi="Arial"/>
                <w:sz w:val="15"/>
                <w:szCs w:val="15"/>
                <w:color w:val="auto"/>
              </w:rPr>
              <w:t>127.9</w:t>
            </w:r>
          </w:p>
        </w:tc>
        <w:tc>
          <w:tcPr>
            <w:tcW w:w="260" w:type="dxa"/>
            <w:vAlign w:val="bottom"/>
          </w:tcPr>
          <w:p>
            <w:pPr>
              <w:spacing w:after="0"/>
              <w:rPr>
                <w:sz w:val="15"/>
                <w:szCs w:val="15"/>
                <w:color w:val="auto"/>
              </w:rPr>
            </w:pPr>
          </w:p>
        </w:tc>
        <w:tc>
          <w:tcPr>
            <w:tcW w:w="30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400" w:type="dxa"/>
            <w:vAlign w:val="bottom"/>
          </w:tcPr>
          <w:p>
            <w:pPr>
              <w:jc w:val="right"/>
              <w:spacing w:after="0"/>
              <w:rPr>
                <w:sz w:val="20"/>
                <w:szCs w:val="20"/>
                <w:color w:val="auto"/>
              </w:rPr>
            </w:pPr>
            <w:r>
              <w:rPr>
                <w:rFonts w:ascii="Arial" w:cs="Arial" w:eastAsia="Arial" w:hAnsi="Arial"/>
                <w:sz w:val="15"/>
                <w:szCs w:val="15"/>
                <w:color w:val="auto"/>
              </w:rPr>
              <w:t>119.6</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260" w:type="dxa"/>
            <w:vAlign w:val="bottom"/>
            <w:shd w:val="clear" w:color="auto" w:fill="CCEEFF"/>
          </w:tcPr>
          <w:p>
            <w:pPr>
              <w:ind w:left="280"/>
              <w:spacing w:after="0"/>
              <w:rPr>
                <w:sz w:val="20"/>
                <w:szCs w:val="20"/>
                <w:color w:val="auto"/>
              </w:rPr>
            </w:pPr>
            <w:r>
              <w:rPr>
                <w:rFonts w:ascii="Arial" w:cs="Arial" w:eastAsia="Arial" w:hAnsi="Arial"/>
                <w:sz w:val="15"/>
                <w:szCs w:val="15"/>
                <w:color w:val="auto"/>
              </w:rPr>
              <w:t>Research credit carryforwards</w:t>
            </w:r>
          </w:p>
        </w:tc>
        <w:tc>
          <w:tcPr>
            <w:tcW w:w="11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41.3</w:t>
            </w:r>
          </w:p>
        </w:tc>
        <w:tc>
          <w:tcPr>
            <w:tcW w:w="2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67.9</w:t>
            </w: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260" w:type="dxa"/>
            <w:vAlign w:val="bottom"/>
          </w:tcPr>
          <w:p>
            <w:pPr>
              <w:ind w:left="280"/>
              <w:spacing w:after="0"/>
              <w:rPr>
                <w:sz w:val="20"/>
                <w:szCs w:val="20"/>
                <w:color w:val="auto"/>
              </w:rPr>
            </w:pPr>
            <w:r>
              <w:rPr>
                <w:rFonts w:ascii="Arial" w:cs="Arial" w:eastAsia="Arial" w:hAnsi="Arial"/>
                <w:sz w:val="15"/>
                <w:szCs w:val="15"/>
                <w:color w:val="auto"/>
              </w:rPr>
              <w:t>Stock-based compensation</w:t>
            </w:r>
          </w:p>
        </w:tc>
        <w:tc>
          <w:tcPr>
            <w:tcW w:w="1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0" w:type="dxa"/>
            <w:vAlign w:val="bottom"/>
          </w:tcPr>
          <w:p>
            <w:pPr>
              <w:jc w:val="right"/>
              <w:spacing w:after="0"/>
              <w:rPr>
                <w:sz w:val="20"/>
                <w:szCs w:val="20"/>
                <w:color w:val="auto"/>
              </w:rPr>
            </w:pPr>
            <w:r>
              <w:rPr>
                <w:rFonts w:ascii="Arial" w:cs="Arial" w:eastAsia="Arial" w:hAnsi="Arial"/>
                <w:sz w:val="15"/>
                <w:szCs w:val="15"/>
                <w:color w:val="auto"/>
              </w:rPr>
              <w:t>70.3</w:t>
            </w:r>
          </w:p>
        </w:tc>
        <w:tc>
          <w:tcPr>
            <w:tcW w:w="2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0" w:type="dxa"/>
            <w:vAlign w:val="bottom"/>
          </w:tcPr>
          <w:p>
            <w:pPr>
              <w:jc w:val="right"/>
              <w:spacing w:after="0"/>
              <w:rPr>
                <w:sz w:val="20"/>
                <w:szCs w:val="20"/>
                <w:color w:val="auto"/>
              </w:rPr>
            </w:pPr>
            <w:r>
              <w:rPr>
                <w:rFonts w:ascii="Arial" w:cs="Arial" w:eastAsia="Arial" w:hAnsi="Arial"/>
                <w:sz w:val="15"/>
                <w:szCs w:val="15"/>
                <w:color w:val="auto"/>
              </w:rPr>
              <w:t>20.0</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260" w:type="dxa"/>
            <w:vAlign w:val="bottom"/>
            <w:shd w:val="clear" w:color="auto" w:fill="CCEEFF"/>
          </w:tcPr>
          <w:p>
            <w:pPr>
              <w:ind w:left="280"/>
              <w:spacing w:after="0"/>
              <w:rPr>
                <w:sz w:val="20"/>
                <w:szCs w:val="20"/>
                <w:color w:val="auto"/>
              </w:rPr>
            </w:pPr>
            <w:r>
              <w:rPr>
                <w:rFonts w:ascii="Arial" w:cs="Arial" w:eastAsia="Arial" w:hAnsi="Arial"/>
                <w:sz w:val="15"/>
                <w:szCs w:val="15"/>
                <w:color w:val="auto"/>
              </w:rPr>
              <w:t>Accruals and reserves</w:t>
            </w:r>
          </w:p>
        </w:tc>
        <w:tc>
          <w:tcPr>
            <w:tcW w:w="1180" w:type="dxa"/>
            <w:vAlign w:val="bottom"/>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43.9</w:t>
            </w:r>
          </w:p>
        </w:tc>
        <w:tc>
          <w:tcPr>
            <w:tcW w:w="2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60" w:type="dxa"/>
            <w:vAlign w:val="bottom"/>
            <w:tcBorders>
              <w:bottom w:val="single" w:sz="8" w:color="auto"/>
            </w:tcBorders>
            <w:shd w:val="clear" w:color="auto" w:fill="CCEEFF"/>
          </w:tcPr>
          <w:p>
            <w:pPr>
              <w:spacing w:after="0"/>
              <w:rPr>
                <w:sz w:val="15"/>
                <w:szCs w:val="15"/>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34.0</w:t>
            </w: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4260" w:type="dxa"/>
            <w:vAlign w:val="bottom"/>
          </w:tcPr>
          <w:p>
            <w:pPr>
              <w:ind w:left="280"/>
              <w:spacing w:after="0"/>
              <w:rPr>
                <w:sz w:val="20"/>
                <w:szCs w:val="20"/>
                <w:color w:val="auto"/>
              </w:rPr>
            </w:pPr>
            <w:r>
              <w:rPr>
                <w:rFonts w:ascii="Arial" w:cs="Arial" w:eastAsia="Arial" w:hAnsi="Arial"/>
                <w:sz w:val="15"/>
                <w:szCs w:val="15"/>
                <w:color w:val="auto"/>
              </w:rPr>
              <w:t>Gross deferred tax assets</w:t>
            </w:r>
          </w:p>
        </w:tc>
        <w:tc>
          <w:tcPr>
            <w:tcW w:w="1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0" w:type="dxa"/>
            <w:vAlign w:val="bottom"/>
          </w:tcPr>
          <w:p>
            <w:pPr>
              <w:jc w:val="right"/>
              <w:spacing w:after="0"/>
              <w:rPr>
                <w:sz w:val="20"/>
                <w:szCs w:val="20"/>
                <w:color w:val="auto"/>
              </w:rPr>
            </w:pPr>
            <w:r>
              <w:rPr>
                <w:rFonts w:ascii="Arial" w:cs="Arial" w:eastAsia="Arial" w:hAnsi="Arial"/>
                <w:sz w:val="15"/>
                <w:szCs w:val="15"/>
                <w:color w:val="auto"/>
              </w:rPr>
              <w:t>283.4</w:t>
            </w:r>
          </w:p>
        </w:tc>
        <w:tc>
          <w:tcPr>
            <w:tcW w:w="2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0" w:type="dxa"/>
            <w:vAlign w:val="bottom"/>
          </w:tcPr>
          <w:p>
            <w:pPr>
              <w:jc w:val="right"/>
              <w:spacing w:after="0"/>
              <w:rPr>
                <w:sz w:val="20"/>
                <w:szCs w:val="20"/>
                <w:color w:val="auto"/>
              </w:rPr>
            </w:pPr>
            <w:r>
              <w:rPr>
                <w:rFonts w:ascii="Arial" w:cs="Arial" w:eastAsia="Arial" w:hAnsi="Arial"/>
                <w:sz w:val="15"/>
                <w:szCs w:val="15"/>
                <w:color w:val="auto"/>
              </w:rPr>
              <w:t>241.5</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4260" w:type="dxa"/>
            <w:vAlign w:val="bottom"/>
            <w:shd w:val="clear" w:color="auto" w:fill="CCEEFF"/>
          </w:tcPr>
          <w:p>
            <w:pPr>
              <w:spacing w:after="0"/>
              <w:rPr>
                <w:sz w:val="20"/>
                <w:szCs w:val="20"/>
                <w:color w:val="auto"/>
              </w:rPr>
            </w:pPr>
            <w:r>
              <w:rPr>
                <w:rFonts w:ascii="Arial" w:cs="Arial" w:eastAsia="Arial" w:hAnsi="Arial"/>
                <w:sz w:val="15"/>
                <w:szCs w:val="15"/>
                <w:color w:val="auto"/>
              </w:rPr>
              <w:t>Valuation allowance</w:t>
            </w:r>
          </w:p>
        </w:tc>
        <w:tc>
          <w:tcPr>
            <w:tcW w:w="11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w w:val="88"/>
              </w:rPr>
              <w:t>(259.7)</w:t>
            </w:r>
          </w:p>
        </w:tc>
        <w:tc>
          <w:tcPr>
            <w:tcW w:w="2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50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w w:val="92"/>
              </w:rPr>
              <w:t>(233.7)</w:t>
            </w:r>
          </w:p>
        </w:tc>
        <w:tc>
          <w:tcPr>
            <w:tcW w:w="0" w:type="dxa"/>
            <w:vAlign w:val="bottom"/>
          </w:tcPr>
          <w:p>
            <w:pPr>
              <w:spacing w:after="0"/>
              <w:rPr>
                <w:sz w:val="1"/>
                <w:szCs w:val="1"/>
                <w:color w:val="auto"/>
              </w:rPr>
            </w:pPr>
          </w:p>
        </w:tc>
      </w:tr>
      <w:tr>
        <w:trPr>
          <w:trHeight w:val="182"/>
        </w:trPr>
        <w:tc>
          <w:tcPr>
            <w:tcW w:w="4280" w:type="dxa"/>
            <w:vAlign w:val="bottom"/>
            <w:gridSpan w:val="2"/>
          </w:tcPr>
          <w:p>
            <w:pPr>
              <w:spacing w:after="0"/>
              <w:rPr>
                <w:sz w:val="20"/>
                <w:szCs w:val="20"/>
                <w:color w:val="auto"/>
              </w:rPr>
            </w:pPr>
            <w:r>
              <w:rPr>
                <w:rFonts w:ascii="Arial" w:cs="Arial" w:eastAsia="Arial" w:hAnsi="Arial"/>
                <w:sz w:val="15"/>
                <w:szCs w:val="15"/>
                <w:color w:val="auto"/>
              </w:rPr>
              <w:t>Total deferred tax assets, net of valuation allowance</w:t>
            </w:r>
          </w:p>
        </w:tc>
        <w:tc>
          <w:tcPr>
            <w:tcW w:w="1180" w:type="dxa"/>
            <w:vAlign w:val="bottom"/>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4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23.7</w:t>
            </w:r>
          </w:p>
        </w:tc>
        <w:tc>
          <w:tcPr>
            <w:tcW w:w="2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0" w:type="dxa"/>
            <w:vAlign w:val="bottom"/>
            <w:tcBorders>
              <w:top w:val="single" w:sz="8" w:color="auto"/>
            </w:tcBorders>
          </w:tcPr>
          <w:p>
            <w:pPr>
              <w:spacing w:after="0"/>
              <w:rPr>
                <w:sz w:val="15"/>
                <w:szCs w:val="15"/>
                <w:color w:val="auto"/>
              </w:rPr>
            </w:pPr>
          </w:p>
        </w:tc>
        <w:tc>
          <w:tcPr>
            <w:tcW w:w="4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7.8</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1"/>
        </w:trPr>
        <w:tc>
          <w:tcPr>
            <w:tcW w:w="20" w:type="dxa"/>
            <w:vAlign w:val="bottom"/>
            <w:vMerge w:val="restart"/>
          </w:tcPr>
          <w:p>
            <w:pPr>
              <w:spacing w:after="0"/>
              <w:rPr>
                <w:sz w:val="7"/>
                <w:szCs w:val="7"/>
                <w:color w:val="auto"/>
              </w:rPr>
            </w:pPr>
          </w:p>
        </w:tc>
        <w:tc>
          <w:tcPr>
            <w:tcW w:w="4260" w:type="dxa"/>
            <w:vAlign w:val="bottom"/>
          </w:tcPr>
          <w:p>
            <w:pPr>
              <w:spacing w:after="0"/>
              <w:rPr>
                <w:sz w:val="7"/>
                <w:szCs w:val="7"/>
                <w:color w:val="auto"/>
              </w:rPr>
            </w:pPr>
          </w:p>
        </w:tc>
        <w:tc>
          <w:tcPr>
            <w:tcW w:w="1180" w:type="dxa"/>
            <w:vAlign w:val="bottom"/>
          </w:tcPr>
          <w:p>
            <w:pPr>
              <w:spacing w:after="0"/>
              <w:rPr>
                <w:sz w:val="7"/>
                <w:szCs w:val="7"/>
                <w:color w:val="auto"/>
              </w:rPr>
            </w:pPr>
          </w:p>
        </w:tc>
        <w:tc>
          <w:tcPr>
            <w:tcW w:w="80" w:type="dxa"/>
            <w:vAlign w:val="bottom"/>
          </w:tcPr>
          <w:p>
            <w:pPr>
              <w:spacing w:after="0"/>
              <w:rPr>
                <w:sz w:val="7"/>
                <w:szCs w:val="7"/>
                <w:color w:val="auto"/>
              </w:rPr>
            </w:pPr>
          </w:p>
        </w:tc>
        <w:tc>
          <w:tcPr>
            <w:tcW w:w="400" w:type="dxa"/>
            <w:vAlign w:val="bottom"/>
          </w:tcPr>
          <w:p>
            <w:pPr>
              <w:spacing w:after="0"/>
              <w:rPr>
                <w:sz w:val="7"/>
                <w:szCs w:val="7"/>
                <w:color w:val="auto"/>
              </w:rPr>
            </w:pPr>
          </w:p>
        </w:tc>
        <w:tc>
          <w:tcPr>
            <w:tcW w:w="260" w:type="dxa"/>
            <w:vAlign w:val="bottom"/>
          </w:tcPr>
          <w:p>
            <w:pPr>
              <w:spacing w:after="0"/>
              <w:rPr>
                <w:sz w:val="7"/>
                <w:szCs w:val="7"/>
                <w:color w:val="auto"/>
              </w:rPr>
            </w:pPr>
          </w:p>
        </w:tc>
        <w:tc>
          <w:tcPr>
            <w:tcW w:w="240" w:type="dxa"/>
            <w:vAlign w:val="bottom"/>
          </w:tcPr>
          <w:p>
            <w:pPr>
              <w:spacing w:after="0"/>
              <w:rPr>
                <w:sz w:val="7"/>
                <w:szCs w:val="7"/>
                <w:color w:val="auto"/>
              </w:rPr>
            </w:pPr>
          </w:p>
        </w:tc>
        <w:tc>
          <w:tcPr>
            <w:tcW w:w="60" w:type="dxa"/>
            <w:vAlign w:val="bottom"/>
          </w:tcPr>
          <w:p>
            <w:pPr>
              <w:spacing w:after="0"/>
              <w:rPr>
                <w:sz w:val="7"/>
                <w:szCs w:val="7"/>
                <w:color w:val="auto"/>
              </w:rPr>
            </w:pPr>
          </w:p>
        </w:tc>
        <w:tc>
          <w:tcPr>
            <w:tcW w:w="40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80"/>
        </w:trPr>
        <w:tc>
          <w:tcPr>
            <w:tcW w:w="20" w:type="dxa"/>
            <w:vAlign w:val="bottom"/>
            <w:vMerge w:val="continue"/>
          </w:tcPr>
          <w:p>
            <w:pPr>
              <w:spacing w:after="0"/>
              <w:rPr>
                <w:sz w:val="15"/>
                <w:szCs w:val="15"/>
                <w:color w:val="auto"/>
              </w:rPr>
            </w:pPr>
          </w:p>
        </w:tc>
        <w:tc>
          <w:tcPr>
            <w:tcW w:w="4260" w:type="dxa"/>
            <w:vAlign w:val="bottom"/>
            <w:shd w:val="clear" w:color="auto" w:fill="CCEEFF"/>
          </w:tcPr>
          <w:p>
            <w:pPr>
              <w:spacing w:after="0"/>
              <w:rPr>
                <w:sz w:val="20"/>
                <w:szCs w:val="20"/>
                <w:color w:val="auto"/>
              </w:rPr>
            </w:pPr>
            <w:r>
              <w:rPr>
                <w:rFonts w:ascii="Arial" w:cs="Arial" w:eastAsia="Arial" w:hAnsi="Arial"/>
                <w:sz w:val="15"/>
                <w:szCs w:val="15"/>
                <w:color w:val="auto"/>
              </w:rPr>
              <w:t>Deferred tax liabilities:</w:t>
            </w:r>
          </w:p>
        </w:tc>
        <w:tc>
          <w:tcPr>
            <w:tcW w:w="11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260" w:type="dxa"/>
            <w:vAlign w:val="bottom"/>
          </w:tcPr>
          <w:p>
            <w:pPr>
              <w:ind w:left="280"/>
              <w:spacing w:after="0"/>
              <w:rPr>
                <w:sz w:val="20"/>
                <w:szCs w:val="20"/>
                <w:color w:val="auto"/>
              </w:rPr>
            </w:pPr>
            <w:r>
              <w:rPr>
                <w:rFonts w:ascii="Arial" w:cs="Arial" w:eastAsia="Arial" w:hAnsi="Arial"/>
                <w:sz w:val="15"/>
                <w:szCs w:val="15"/>
                <w:color w:val="auto"/>
              </w:rPr>
              <w:t>Fixed assets and intangible assets</w:t>
            </w:r>
          </w:p>
        </w:tc>
        <w:tc>
          <w:tcPr>
            <w:tcW w:w="1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0" w:type="dxa"/>
            <w:vAlign w:val="bottom"/>
          </w:tcPr>
          <w:p>
            <w:pPr>
              <w:jc w:val="right"/>
              <w:spacing w:after="0"/>
              <w:rPr>
                <w:sz w:val="20"/>
                <w:szCs w:val="20"/>
                <w:color w:val="auto"/>
              </w:rPr>
            </w:pPr>
            <w:r>
              <w:rPr>
                <w:rFonts w:ascii="Arial" w:cs="Arial" w:eastAsia="Arial" w:hAnsi="Arial"/>
                <w:sz w:val="15"/>
                <w:szCs w:val="15"/>
                <w:color w:val="auto"/>
              </w:rPr>
              <w:t>20.3</w:t>
            </w:r>
          </w:p>
        </w:tc>
        <w:tc>
          <w:tcPr>
            <w:tcW w:w="2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0" w:type="dxa"/>
            <w:vAlign w:val="bottom"/>
          </w:tcPr>
          <w:p>
            <w:pPr>
              <w:jc w:val="right"/>
              <w:spacing w:after="0"/>
              <w:rPr>
                <w:sz w:val="20"/>
                <w:szCs w:val="20"/>
                <w:color w:val="auto"/>
              </w:rPr>
            </w:pPr>
            <w:r>
              <w:rPr>
                <w:rFonts w:ascii="Arial" w:cs="Arial" w:eastAsia="Arial" w:hAnsi="Arial"/>
                <w:sz w:val="15"/>
                <w:szCs w:val="15"/>
                <w:color w:val="auto"/>
              </w:rPr>
              <w:t>6.6</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4260" w:type="dxa"/>
            <w:vAlign w:val="bottom"/>
            <w:shd w:val="clear" w:color="auto" w:fill="CCEEFF"/>
          </w:tcPr>
          <w:p>
            <w:pPr>
              <w:ind w:left="280"/>
              <w:spacing w:after="0"/>
              <w:rPr>
                <w:sz w:val="20"/>
                <w:szCs w:val="20"/>
                <w:color w:val="auto"/>
              </w:rPr>
            </w:pPr>
            <w:r>
              <w:rPr>
                <w:rFonts w:ascii="Arial" w:cs="Arial" w:eastAsia="Arial" w:hAnsi="Arial"/>
                <w:sz w:val="15"/>
                <w:szCs w:val="15"/>
                <w:color w:val="auto"/>
              </w:rPr>
              <w:t>Other</w:t>
            </w:r>
          </w:p>
        </w:tc>
        <w:tc>
          <w:tcPr>
            <w:tcW w:w="1180" w:type="dxa"/>
            <w:vAlign w:val="bottom"/>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spacing w:after="0"/>
              <w:rPr>
                <w:sz w:val="16"/>
                <w:szCs w:val="16"/>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3.5</w:t>
            </w:r>
          </w:p>
        </w:tc>
        <w:tc>
          <w:tcPr>
            <w:tcW w:w="2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60" w:type="dxa"/>
            <w:vAlign w:val="bottom"/>
            <w:tcBorders>
              <w:bottom w:val="single" w:sz="8" w:color="auto"/>
            </w:tcBorders>
            <w:shd w:val="clear" w:color="auto" w:fill="CCEEFF"/>
          </w:tcPr>
          <w:p>
            <w:pPr>
              <w:spacing w:after="0"/>
              <w:rPr>
                <w:sz w:val="16"/>
                <w:szCs w:val="16"/>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0.4</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4260" w:type="dxa"/>
            <w:vAlign w:val="bottom"/>
          </w:tcPr>
          <w:p>
            <w:pPr>
              <w:ind w:left="280"/>
              <w:spacing w:after="0"/>
              <w:rPr>
                <w:sz w:val="20"/>
                <w:szCs w:val="20"/>
                <w:color w:val="auto"/>
              </w:rPr>
            </w:pPr>
            <w:r>
              <w:rPr>
                <w:rFonts w:ascii="Arial" w:cs="Arial" w:eastAsia="Arial" w:hAnsi="Arial"/>
                <w:sz w:val="15"/>
                <w:szCs w:val="15"/>
                <w:color w:val="auto"/>
              </w:rPr>
              <w:t>Total deferred tax liability</w:t>
            </w:r>
          </w:p>
        </w:tc>
        <w:tc>
          <w:tcPr>
            <w:tcW w:w="118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23.8</w:t>
            </w:r>
          </w:p>
        </w:tc>
        <w:tc>
          <w:tcPr>
            <w:tcW w:w="2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7.0</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260" w:type="dxa"/>
            <w:vAlign w:val="bottom"/>
            <w:shd w:val="clear" w:color="auto" w:fill="CCEEFF"/>
          </w:tcPr>
          <w:p>
            <w:pPr>
              <w:spacing w:after="0"/>
              <w:rPr>
                <w:sz w:val="20"/>
                <w:szCs w:val="20"/>
                <w:color w:val="auto"/>
              </w:rPr>
            </w:pPr>
            <w:r>
              <w:rPr>
                <w:rFonts w:ascii="Arial" w:cs="Arial" w:eastAsia="Arial" w:hAnsi="Arial"/>
                <w:sz w:val="15"/>
                <w:szCs w:val="15"/>
                <w:color w:val="auto"/>
              </w:rPr>
              <w:t>Net deferred tax assets (liabilities)</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(0.1)</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0.8</w:t>
            </w: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1" w:lineRule="exact"/>
        <w:rPr>
          <w:sz w:val="20"/>
          <w:szCs w:val="20"/>
          <w:color w:val="auto"/>
        </w:rPr>
      </w:pPr>
    </w:p>
    <w:p>
      <w:pPr>
        <w:ind w:left="1120" w:right="180" w:firstLine="368"/>
        <w:spacing w:after="0" w:line="259" w:lineRule="auto"/>
        <w:rPr>
          <w:sz w:val="20"/>
          <w:szCs w:val="20"/>
          <w:color w:val="auto"/>
        </w:rPr>
      </w:pPr>
      <w:r>
        <w:rPr>
          <w:rFonts w:ascii="Arial" w:cs="Arial" w:eastAsia="Arial" w:hAnsi="Arial"/>
          <w:sz w:val="15"/>
          <w:szCs w:val="15"/>
          <w:color w:val="auto"/>
        </w:rPr>
        <w:t>For the years ended December 31, 2016 and 2017, based on all available objective evidence, including the existence of cumulative losses, the Company determined that it was not more likely than not that the U.S., Ireland, and Israel net deferred tax assets were fully realizable as of December 31, 2016 and 2017. Accordingly, the Company established a full valuation allowance against its U.S. and Ireland deferred tax assets and a partial valuation allowance against its Israeli deferred tax assets.</w:t>
      </w:r>
    </w:p>
    <w:p>
      <w:pPr>
        <w:spacing w:after="0" w:line="158" w:lineRule="exact"/>
        <w:rPr>
          <w:sz w:val="20"/>
          <w:szCs w:val="20"/>
          <w:color w:val="auto"/>
        </w:rPr>
      </w:pPr>
    </w:p>
    <w:p>
      <w:pPr>
        <w:ind w:left="1120" w:right="160" w:firstLine="368"/>
        <w:spacing w:after="0" w:line="275" w:lineRule="auto"/>
        <w:rPr>
          <w:sz w:val="20"/>
          <w:szCs w:val="20"/>
          <w:color w:val="auto"/>
        </w:rPr>
      </w:pPr>
      <w:r>
        <w:rPr>
          <w:rFonts w:ascii="Arial" w:cs="Arial" w:eastAsia="Arial" w:hAnsi="Arial"/>
          <w:sz w:val="15"/>
          <w:szCs w:val="15"/>
          <w:color w:val="auto"/>
        </w:rPr>
        <w:t>As of December 31, 2017, the Company had $312.2 million of federal and $143.0 million of state net operating loss carryforwards available to reduce future taxable income, which will begin to expire in 2031 for federal and 2030 for state tax purposes.</w:t>
      </w:r>
    </w:p>
    <w:p>
      <w:pPr>
        <w:spacing w:after="0" w:line="146" w:lineRule="exact"/>
        <w:rPr>
          <w:sz w:val="20"/>
          <w:szCs w:val="20"/>
          <w:color w:val="auto"/>
        </w:rPr>
      </w:pPr>
    </w:p>
    <w:p>
      <w:pPr>
        <w:ind w:left="1120" w:right="140" w:firstLine="368"/>
        <w:spacing w:after="0" w:line="283" w:lineRule="auto"/>
        <w:rPr>
          <w:sz w:val="20"/>
          <w:szCs w:val="20"/>
          <w:color w:val="auto"/>
        </w:rPr>
      </w:pPr>
      <w:r>
        <w:rPr>
          <w:rFonts w:ascii="Arial" w:cs="Arial" w:eastAsia="Arial" w:hAnsi="Arial"/>
          <w:sz w:val="14"/>
          <w:szCs w:val="14"/>
          <w:color w:val="auto"/>
        </w:rPr>
        <w:t>As of December 31, 2017, the Company had research credit carryforwards of $59.2 million and $34.6 million for federal and state income tax purposes, respectively, of which $14.7 million and $8.6 million is the unrecognized tax benefit portion related to the research credit carryforwards for federal and state, respectively. The federal credit carryforward will begin to expire in 2027. The state research credits have no expiration date. The Company also had $3.7 million of state enterprise zone credit carryforwards, which will begin to expire in 2023.</w:t>
      </w:r>
    </w:p>
    <w:p>
      <w:pPr>
        <w:spacing w:after="0" w:line="143" w:lineRule="exact"/>
        <w:rPr>
          <w:sz w:val="20"/>
          <w:szCs w:val="20"/>
          <w:color w:val="auto"/>
        </w:rPr>
      </w:pPr>
    </w:p>
    <w:p>
      <w:pPr>
        <w:ind w:left="1120" w:right="220" w:firstLine="368"/>
        <w:spacing w:after="0" w:line="263" w:lineRule="auto"/>
        <w:rPr>
          <w:sz w:val="20"/>
          <w:szCs w:val="20"/>
          <w:color w:val="auto"/>
        </w:rPr>
      </w:pPr>
      <w:r>
        <w:rPr>
          <w:rFonts w:ascii="Arial" w:cs="Arial" w:eastAsia="Arial" w:hAnsi="Arial"/>
          <w:sz w:val="15"/>
          <w:szCs w:val="15"/>
          <w:color w:val="auto"/>
        </w:rPr>
        <w:t>As of December 31, 2017, the Company also had $289.3 million of foreign net operating loss carryforwards available to reduce future taxable income, which will carryforward indefinitely. In addition, the Company had $22.9 million of foreign acquired net operating losses, which will carryforward indefinitely.</w:t>
      </w:r>
    </w:p>
    <w:p>
      <w:pPr>
        <w:spacing w:after="0" w:line="155" w:lineRule="exact"/>
        <w:rPr>
          <w:sz w:val="20"/>
          <w:szCs w:val="20"/>
          <w:color w:val="auto"/>
        </w:rPr>
      </w:pPr>
    </w:p>
    <w:p>
      <w:pPr>
        <w:ind w:left="1120" w:firstLine="368"/>
        <w:spacing w:after="0" w:line="300" w:lineRule="auto"/>
        <w:rPr>
          <w:sz w:val="20"/>
          <w:szCs w:val="20"/>
          <w:color w:val="auto"/>
        </w:rPr>
      </w:pPr>
      <w:r>
        <w:rPr>
          <w:rFonts w:ascii="Arial" w:cs="Arial" w:eastAsia="Arial" w:hAnsi="Arial"/>
          <w:sz w:val="13"/>
          <w:szCs w:val="13"/>
          <w:color w:val="auto"/>
        </w:rPr>
        <w:t>Under Section 382 and 383 of the Internal Revenue Code of 1986, as amended, or the Code, if a corporation undergoes an “ownership change,” the corporation’s ability to use its pre-change net operating loss carryforwards and other pre-change attributes, such as research tax credits, to offset its post-change income may be limited. In general, an “ownership change” will occur if there is a cumulative change in our ownership by “5-percent shareholders” that exceeds 50 percentage points over a rolling three-year period. Similar rules may apply under state tax laws. The Company performed a study for the period through December 31, 2017, and determined that no ownership changes exceeding 50 percentage points have occurred. The Company’s ability to use net operating loss and tax credit carryforwards to reduce future taxable income and liabilities may be subject to annual limitations as a result of ownership changes from January 1, 2018, and subsequent years or as a result of this offering.</w:t>
      </w:r>
    </w:p>
    <w:p>
      <w:pPr>
        <w:spacing w:after="0" w:line="79" w:lineRule="exact"/>
        <w:rPr>
          <w:sz w:val="20"/>
          <w:szCs w:val="20"/>
          <w:color w:val="auto"/>
        </w:rPr>
      </w:pPr>
    </w:p>
    <w:p>
      <w:pPr>
        <w:ind w:left="5580"/>
        <w:spacing w:after="0"/>
        <w:rPr>
          <w:sz w:val="20"/>
          <w:szCs w:val="20"/>
          <w:color w:val="auto"/>
        </w:rPr>
      </w:pPr>
      <w:r>
        <w:rPr>
          <w:rFonts w:ascii="Arial" w:cs="Arial" w:eastAsia="Arial" w:hAnsi="Arial"/>
          <w:sz w:val="15"/>
          <w:szCs w:val="15"/>
          <w:color w:val="auto"/>
        </w:rPr>
        <w:t>F-33</w:t>
      </w:r>
    </w:p>
    <w:p>
      <w:pPr>
        <w:sectPr>
          <w:pgSz w:w="11900" w:h="16838" w:orient="portrait"/>
          <w:cols w:equalWidth="0" w:num="1">
            <w:col w:w="10240"/>
          </w:cols>
          <w:pgMar w:left="240" w:top="408" w:right="1419" w:bottom="1440" w:gutter="0" w:footer="0" w:header="0"/>
        </w:sectPr>
      </w:pPr>
    </w:p>
    <w:bookmarkStart w:id="236" w:name="page237"/>
    <w:bookmarkEnd w:id="236"/>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133350</wp:posOffset>
            </wp:positionH>
            <wp:positionV relativeFrom="page">
              <wp:posOffset>88900</wp:posOffset>
            </wp:positionV>
            <wp:extent cx="7308850" cy="3429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7308850" cy="34290"/>
                    </a:xfrm>
                    <a:prstGeom prst="rect">
                      <a:avLst/>
                    </a:prstGeom>
                    <a:noFill/>
                  </pic:spPr>
                </pic:pic>
              </a:graphicData>
            </a:graphic>
          </wp:anchor>
        </w:drawing>
      </w:r>
      <w:hyperlink w:anchor="page7">
        <w:r>
          <w:rPr>
            <w:rFonts w:ascii="Arial" w:cs="Arial" w:eastAsia="Arial" w:hAnsi="Arial"/>
            <w:sz w:val="15"/>
            <w:szCs w:val="15"/>
            <w:b w:val="1"/>
            <w:bCs w:val="1"/>
            <w:u w:val="single" w:color="auto"/>
            <w:color w:val="0000EE"/>
          </w:rPr>
          <w:t>Table of Contents</w:t>
        </w:r>
      </w:hyperlink>
    </w:p>
    <w:p>
      <w:pPr>
        <w:spacing w:after="0" w:line="260" w:lineRule="exact"/>
        <w:rPr>
          <w:sz w:val="20"/>
          <w:szCs w:val="20"/>
          <w:color w:val="auto"/>
        </w:rPr>
      </w:pPr>
    </w:p>
    <w:p>
      <w:pPr>
        <w:ind w:left="1120" w:right="400" w:firstLine="368"/>
        <w:spacing w:after="0" w:line="354" w:lineRule="auto"/>
        <w:rPr>
          <w:sz w:val="20"/>
          <w:szCs w:val="20"/>
          <w:color w:val="auto"/>
        </w:rPr>
      </w:pPr>
      <w:r>
        <w:rPr>
          <w:rFonts w:ascii="Arial" w:cs="Arial" w:eastAsia="Arial" w:hAnsi="Arial"/>
          <w:sz w:val="13"/>
          <w:szCs w:val="13"/>
          <w:color w:val="auto"/>
        </w:rPr>
        <w:t>As of December 31, 2017, the balance of unrecognized tax benefits was $25.6 million of which $2.3 million, if recognized, would affect the effective tax rate and $23.3 million would result in adjustment to deferred tax assets with corresponding adjustments to the valuation allowance.</w:t>
      </w:r>
    </w:p>
    <w:p>
      <w:pPr>
        <w:spacing w:after="0" w:line="100" w:lineRule="exact"/>
        <w:rPr>
          <w:sz w:val="20"/>
          <w:szCs w:val="20"/>
          <w:color w:val="auto"/>
        </w:rPr>
      </w:pPr>
    </w:p>
    <w:p>
      <w:pPr>
        <w:ind w:left="1480"/>
        <w:spacing w:after="0"/>
        <w:rPr>
          <w:sz w:val="20"/>
          <w:szCs w:val="20"/>
          <w:color w:val="auto"/>
        </w:rPr>
      </w:pPr>
      <w:r>
        <w:rPr>
          <w:rFonts w:ascii="Arial" w:cs="Arial" w:eastAsia="Arial" w:hAnsi="Arial"/>
          <w:sz w:val="15"/>
          <w:szCs w:val="15"/>
          <w:color w:val="auto"/>
        </w:rPr>
        <w:t>A reconciliation of the beginning and ending amount of unrecognized tax benefit is as follows:</w:t>
      </w:r>
    </w:p>
    <w:p>
      <w:pPr>
        <w:spacing w:after="0" w:line="202" w:lineRule="exact"/>
        <w:rPr>
          <w:sz w:val="20"/>
          <w:szCs w:val="20"/>
          <w:color w:val="auto"/>
        </w:rPr>
      </w:pPr>
    </w:p>
    <w:tbl>
      <w:tblPr>
        <w:tblLayout w:type="fixed"/>
        <w:tblInd w:w="1480" w:type="dxa"/>
        <w:tblCellMar>
          <w:top w:w="0" w:type="dxa"/>
          <w:left w:w="0" w:type="dxa"/>
          <w:bottom w:w="0" w:type="dxa"/>
          <w:right w:w="0" w:type="dxa"/>
        </w:tblCellMar>
      </w:tblPr>
      <w:tr>
        <w:trPr>
          <w:trHeight w:val="144"/>
        </w:trPr>
        <w:tc>
          <w:tcPr>
            <w:tcW w:w="20" w:type="dxa"/>
            <w:vAlign w:val="bottom"/>
          </w:tcPr>
          <w:p>
            <w:pPr>
              <w:spacing w:after="0"/>
              <w:rPr>
                <w:sz w:val="12"/>
                <w:szCs w:val="12"/>
                <w:color w:val="auto"/>
              </w:rPr>
            </w:pPr>
          </w:p>
        </w:tc>
        <w:tc>
          <w:tcPr>
            <w:tcW w:w="64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900" w:type="dxa"/>
            <w:vAlign w:val="bottom"/>
            <w:gridSpan w:val="7"/>
          </w:tcPr>
          <w:p>
            <w:pPr>
              <w:ind w:left="220"/>
              <w:spacing w:after="0"/>
              <w:rPr>
                <w:sz w:val="20"/>
                <w:szCs w:val="20"/>
                <w:color w:val="auto"/>
              </w:rPr>
            </w:pPr>
            <w:r>
              <w:rPr>
                <w:rFonts w:ascii="Arial" w:cs="Arial" w:eastAsia="Arial" w:hAnsi="Arial"/>
                <w:sz w:val="12"/>
                <w:szCs w:val="12"/>
                <w:b w:val="1"/>
                <w:bCs w:val="1"/>
                <w:color w:val="auto"/>
              </w:rPr>
              <w:t>Year ended December 31,</w:t>
            </w:r>
          </w:p>
        </w:tc>
      </w:tr>
      <w:tr>
        <w:trPr>
          <w:trHeight w:val="115"/>
        </w:trPr>
        <w:tc>
          <w:tcPr>
            <w:tcW w:w="20" w:type="dxa"/>
            <w:vAlign w:val="bottom"/>
          </w:tcPr>
          <w:p>
            <w:pPr>
              <w:spacing w:after="0"/>
              <w:rPr>
                <w:sz w:val="10"/>
                <w:szCs w:val="10"/>
                <w:color w:val="auto"/>
              </w:rPr>
            </w:pPr>
          </w:p>
        </w:tc>
        <w:tc>
          <w:tcPr>
            <w:tcW w:w="64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40" w:type="dxa"/>
            <w:vAlign w:val="bottom"/>
            <w:tcBorders>
              <w:top w:val="single" w:sz="8" w:color="auto"/>
            </w:tcBorders>
            <w:gridSpan w:val="2"/>
          </w:tcPr>
          <w:p>
            <w:pPr>
              <w:jc w:val="right"/>
              <w:spacing w:after="0" w:line="115" w:lineRule="exact"/>
              <w:rPr>
                <w:sz w:val="20"/>
                <w:szCs w:val="20"/>
                <w:color w:val="auto"/>
              </w:rPr>
            </w:pPr>
            <w:r>
              <w:rPr>
                <w:rFonts w:ascii="Arial" w:cs="Arial" w:eastAsia="Arial" w:hAnsi="Arial"/>
                <w:sz w:val="12"/>
                <w:szCs w:val="12"/>
                <w:b w:val="1"/>
                <w:bCs w:val="1"/>
                <w:color w:val="auto"/>
                <w:w w:val="97"/>
              </w:rPr>
              <w:t>2015</w:t>
            </w:r>
          </w:p>
        </w:tc>
        <w:tc>
          <w:tcPr>
            <w:tcW w:w="820" w:type="dxa"/>
            <w:vAlign w:val="bottom"/>
            <w:tcBorders>
              <w:top w:val="single" w:sz="8" w:color="auto"/>
            </w:tcBorders>
            <w:gridSpan w:val="3"/>
          </w:tcPr>
          <w:p>
            <w:pPr>
              <w:jc w:val="right"/>
              <w:ind w:right="5"/>
              <w:spacing w:after="0" w:line="115" w:lineRule="exact"/>
              <w:rPr>
                <w:sz w:val="20"/>
                <w:szCs w:val="20"/>
                <w:color w:val="auto"/>
              </w:rPr>
            </w:pPr>
            <w:r>
              <w:rPr>
                <w:rFonts w:ascii="Arial" w:cs="Arial" w:eastAsia="Arial" w:hAnsi="Arial"/>
                <w:sz w:val="12"/>
                <w:szCs w:val="12"/>
                <w:b w:val="1"/>
                <w:bCs w:val="1"/>
                <w:color w:val="auto"/>
              </w:rPr>
              <w:t>2016</w:t>
            </w:r>
          </w:p>
        </w:tc>
        <w:tc>
          <w:tcPr>
            <w:tcW w:w="800" w:type="dxa"/>
            <w:vAlign w:val="bottom"/>
            <w:tcBorders>
              <w:top w:val="single" w:sz="8" w:color="auto"/>
            </w:tcBorders>
            <w:gridSpan w:val="2"/>
          </w:tcPr>
          <w:p>
            <w:pPr>
              <w:jc w:val="right"/>
              <w:spacing w:after="0" w:line="115" w:lineRule="exact"/>
              <w:rPr>
                <w:sz w:val="20"/>
                <w:szCs w:val="20"/>
                <w:color w:val="auto"/>
              </w:rPr>
            </w:pPr>
            <w:r>
              <w:rPr>
                <w:rFonts w:ascii="Arial" w:cs="Arial" w:eastAsia="Arial" w:hAnsi="Arial"/>
                <w:sz w:val="12"/>
                <w:szCs w:val="12"/>
                <w:b w:val="1"/>
                <w:bCs w:val="1"/>
                <w:color w:val="auto"/>
              </w:rPr>
              <w:t>2017</w:t>
            </w:r>
          </w:p>
        </w:tc>
        <w:tc>
          <w:tcPr>
            <w:tcW w:w="40" w:type="dxa"/>
            <w:vAlign w:val="bottom"/>
          </w:tcPr>
          <w:p>
            <w:pPr>
              <w:spacing w:after="0"/>
              <w:rPr>
                <w:sz w:val="10"/>
                <w:szCs w:val="10"/>
                <w:color w:val="auto"/>
              </w:rPr>
            </w:pPr>
          </w:p>
        </w:tc>
      </w:tr>
      <w:tr>
        <w:trPr>
          <w:trHeight w:val="172"/>
        </w:trPr>
        <w:tc>
          <w:tcPr>
            <w:tcW w:w="20" w:type="dxa"/>
            <w:vAlign w:val="bottom"/>
          </w:tcPr>
          <w:p>
            <w:pPr>
              <w:spacing w:after="0"/>
              <w:rPr>
                <w:sz w:val="14"/>
                <w:szCs w:val="14"/>
                <w:color w:val="auto"/>
              </w:rPr>
            </w:pPr>
          </w:p>
        </w:tc>
        <w:tc>
          <w:tcPr>
            <w:tcW w:w="6420" w:type="dxa"/>
            <w:vAlign w:val="bottom"/>
            <w:tcBorders>
              <w:top w:val="single" w:sz="8" w:color="CCEEFF"/>
            </w:tcBorders>
            <w:shd w:val="clear" w:color="auto" w:fill="CCEEFF"/>
          </w:tcPr>
          <w:p>
            <w:pPr>
              <w:spacing w:after="0" w:line="170" w:lineRule="exact"/>
              <w:rPr>
                <w:sz w:val="20"/>
                <w:szCs w:val="20"/>
                <w:color w:val="auto"/>
              </w:rPr>
            </w:pPr>
            <w:r>
              <w:rPr>
                <w:rFonts w:ascii="Arial" w:cs="Arial" w:eastAsia="Arial" w:hAnsi="Arial"/>
                <w:sz w:val="15"/>
                <w:szCs w:val="15"/>
                <w:color w:val="auto"/>
              </w:rPr>
              <w:t>Balance of gross unrecognized tax benefits at the beginning of the fiscal year</w:t>
            </w:r>
          </w:p>
        </w:tc>
        <w:tc>
          <w:tcPr>
            <w:tcW w:w="2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jc w:val="right"/>
              <w:ind w:right="17"/>
              <w:spacing w:after="0"/>
              <w:rPr>
                <w:sz w:val="20"/>
                <w:szCs w:val="20"/>
                <w:color w:val="auto"/>
              </w:rPr>
            </w:pPr>
            <w:r>
              <w:rPr>
                <w:rFonts w:ascii="Arial" w:cs="Arial" w:eastAsia="Arial" w:hAnsi="Arial"/>
                <w:sz w:val="5"/>
                <w:szCs w:val="5"/>
                <w:color w:val="auto"/>
                <w:w w:val="70"/>
              </w:rPr>
              <w:t>$</w:t>
            </w:r>
          </w:p>
        </w:tc>
        <w:tc>
          <w:tcPr>
            <w:tcW w:w="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3.1</w:t>
            </w:r>
          </w:p>
        </w:tc>
        <w:tc>
          <w:tcPr>
            <w:tcW w:w="46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7.9</w:t>
            </w:r>
          </w:p>
        </w:tc>
        <w:tc>
          <w:tcPr>
            <w:tcW w:w="440" w:type="dxa"/>
            <w:vAlign w:val="bottom"/>
            <w:tcBorders>
              <w:top w:val="single" w:sz="8" w:color="CCEEFF"/>
            </w:tcBorders>
            <w:shd w:val="clear" w:color="auto" w:fill="CCEEFF"/>
          </w:tcPr>
          <w:p>
            <w:pPr>
              <w:spacing w:after="0"/>
              <w:rPr>
                <w:sz w:val="14"/>
                <w:szCs w:val="14"/>
                <w:color w:val="auto"/>
              </w:rPr>
            </w:pPr>
          </w:p>
        </w:tc>
        <w:tc>
          <w:tcPr>
            <w:tcW w:w="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81"/>
              </w:rPr>
              <w:t>$ 15.7</w:t>
            </w:r>
          </w:p>
        </w:tc>
        <w:tc>
          <w:tcPr>
            <w:tcW w:w="40" w:type="dxa"/>
            <w:vAlign w:val="bottom"/>
            <w:tcBorders>
              <w:top w:val="single" w:sz="8" w:color="CCEEFF"/>
            </w:tcBorders>
            <w:shd w:val="clear" w:color="auto" w:fill="CCEEFF"/>
          </w:tcPr>
          <w:p>
            <w:pPr>
              <w:spacing w:after="0"/>
              <w:rPr>
                <w:sz w:val="14"/>
                <w:szCs w:val="14"/>
                <w:color w:val="auto"/>
              </w:rPr>
            </w:pPr>
          </w:p>
        </w:tc>
      </w:tr>
      <w:tr>
        <w:trPr>
          <w:trHeight w:val="180"/>
        </w:trPr>
        <w:tc>
          <w:tcPr>
            <w:tcW w:w="20" w:type="dxa"/>
            <w:vAlign w:val="bottom"/>
          </w:tcPr>
          <w:p>
            <w:pPr>
              <w:spacing w:after="0"/>
              <w:rPr>
                <w:sz w:val="15"/>
                <w:szCs w:val="15"/>
                <w:color w:val="auto"/>
              </w:rPr>
            </w:pPr>
          </w:p>
        </w:tc>
        <w:tc>
          <w:tcPr>
            <w:tcW w:w="6420" w:type="dxa"/>
            <w:vAlign w:val="bottom"/>
          </w:tcPr>
          <w:p>
            <w:pPr>
              <w:spacing w:after="0"/>
              <w:rPr>
                <w:sz w:val="20"/>
                <w:szCs w:val="20"/>
                <w:color w:val="auto"/>
              </w:rPr>
            </w:pPr>
            <w:r>
              <w:rPr>
                <w:rFonts w:ascii="Arial" w:cs="Arial" w:eastAsia="Arial" w:hAnsi="Arial"/>
                <w:sz w:val="15"/>
                <w:szCs w:val="15"/>
                <w:color w:val="auto"/>
              </w:rPr>
              <w:t>Gross increases related to prior period tax positions</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jc w:val="right"/>
              <w:spacing w:after="0"/>
              <w:rPr>
                <w:sz w:val="20"/>
                <w:szCs w:val="20"/>
                <w:color w:val="auto"/>
              </w:rPr>
            </w:pPr>
            <w:r>
              <w:rPr>
                <w:rFonts w:ascii="Arial" w:cs="Arial" w:eastAsia="Arial" w:hAnsi="Arial"/>
                <w:sz w:val="15"/>
                <w:szCs w:val="15"/>
                <w:color w:val="auto"/>
              </w:rPr>
              <w:t>1.1</w:t>
            </w:r>
          </w:p>
        </w:tc>
        <w:tc>
          <w:tcPr>
            <w:tcW w:w="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jc w:val="right"/>
              <w:spacing w:after="0"/>
              <w:rPr>
                <w:sz w:val="20"/>
                <w:szCs w:val="20"/>
                <w:color w:val="auto"/>
              </w:rPr>
            </w:pPr>
            <w:r>
              <w:rPr>
                <w:rFonts w:ascii="Arial" w:cs="Arial" w:eastAsia="Arial" w:hAnsi="Arial"/>
                <w:sz w:val="15"/>
                <w:szCs w:val="15"/>
                <w:color w:val="auto"/>
              </w:rPr>
              <w:t>2.2</w:t>
            </w:r>
          </w:p>
        </w:tc>
        <w:tc>
          <w:tcPr>
            <w:tcW w:w="440" w:type="dxa"/>
            <w:vAlign w:val="bottom"/>
          </w:tcPr>
          <w:p>
            <w:pPr>
              <w:spacing w:after="0"/>
              <w:rPr>
                <w:sz w:val="15"/>
                <w:szCs w:val="15"/>
                <w:color w:val="auto"/>
              </w:rPr>
            </w:pPr>
          </w:p>
        </w:tc>
        <w:tc>
          <w:tcPr>
            <w:tcW w:w="400" w:type="dxa"/>
            <w:vAlign w:val="bottom"/>
            <w:gridSpan w:val="2"/>
          </w:tcPr>
          <w:p>
            <w:pPr>
              <w:jc w:val="right"/>
              <w:ind w:right="120"/>
              <w:spacing w:after="0"/>
              <w:rPr>
                <w:sz w:val="20"/>
                <w:szCs w:val="20"/>
                <w:color w:val="auto"/>
              </w:rPr>
            </w:pPr>
            <w:r>
              <w:rPr>
                <w:rFonts w:ascii="Arial" w:cs="Arial" w:eastAsia="Arial" w:hAnsi="Arial"/>
                <w:sz w:val="15"/>
                <w:szCs w:val="15"/>
                <w:color w:val="auto"/>
              </w:rPr>
              <w:t>—</w:t>
            </w:r>
          </w:p>
        </w:tc>
      </w:tr>
      <w:tr>
        <w:trPr>
          <w:trHeight w:val="180"/>
        </w:trPr>
        <w:tc>
          <w:tcPr>
            <w:tcW w:w="20" w:type="dxa"/>
            <w:vAlign w:val="bottom"/>
          </w:tcPr>
          <w:p>
            <w:pPr>
              <w:spacing w:after="0"/>
              <w:rPr>
                <w:sz w:val="15"/>
                <w:szCs w:val="15"/>
                <w:color w:val="auto"/>
              </w:rPr>
            </w:pPr>
          </w:p>
        </w:tc>
        <w:tc>
          <w:tcPr>
            <w:tcW w:w="6420" w:type="dxa"/>
            <w:vAlign w:val="bottom"/>
            <w:shd w:val="clear" w:color="auto" w:fill="CCEEFF"/>
          </w:tcPr>
          <w:p>
            <w:pPr>
              <w:spacing w:after="0"/>
              <w:rPr>
                <w:sz w:val="20"/>
                <w:szCs w:val="20"/>
                <w:color w:val="auto"/>
              </w:rPr>
            </w:pPr>
            <w:r>
              <w:rPr>
                <w:rFonts w:ascii="Arial" w:cs="Arial" w:eastAsia="Arial" w:hAnsi="Arial"/>
                <w:sz w:val="15"/>
                <w:szCs w:val="15"/>
                <w:color w:val="auto"/>
              </w:rPr>
              <w:t>Gross increases related to current period tax positions</w:t>
            </w:r>
          </w:p>
        </w:tc>
        <w:tc>
          <w:tcPr>
            <w:tcW w:w="2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3.7</w:t>
            </w:r>
          </w:p>
        </w:tc>
        <w:tc>
          <w:tcPr>
            <w:tcW w:w="460" w:type="dxa"/>
            <w:vAlign w:val="bottom"/>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5.6</w:t>
            </w:r>
          </w:p>
        </w:tc>
        <w:tc>
          <w:tcPr>
            <w:tcW w:w="440" w:type="dxa"/>
            <w:vAlign w:val="bottom"/>
            <w:shd w:val="clear" w:color="auto" w:fill="CCEEFF"/>
          </w:tcPr>
          <w:p>
            <w:pPr>
              <w:spacing w:after="0"/>
              <w:rPr>
                <w:sz w:val="15"/>
                <w:szCs w:val="15"/>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9.9</w:t>
            </w:r>
          </w:p>
        </w:tc>
        <w:tc>
          <w:tcPr>
            <w:tcW w:w="40" w:type="dxa"/>
            <w:vAlign w:val="bottom"/>
            <w:shd w:val="clear" w:color="auto" w:fill="CCEEFF"/>
          </w:tcPr>
          <w:p>
            <w:pPr>
              <w:spacing w:after="0"/>
              <w:rPr>
                <w:sz w:val="15"/>
                <w:szCs w:val="15"/>
                <w:color w:val="auto"/>
              </w:rPr>
            </w:pPr>
          </w:p>
        </w:tc>
      </w:tr>
      <w:tr>
        <w:trPr>
          <w:trHeight w:val="182"/>
        </w:trPr>
        <w:tc>
          <w:tcPr>
            <w:tcW w:w="6440" w:type="dxa"/>
            <w:vAlign w:val="bottom"/>
            <w:gridSpan w:val="2"/>
          </w:tcPr>
          <w:p>
            <w:pPr>
              <w:spacing w:after="0"/>
              <w:rPr>
                <w:sz w:val="20"/>
                <w:szCs w:val="20"/>
                <w:color w:val="auto"/>
              </w:rPr>
            </w:pPr>
            <w:r>
              <w:rPr>
                <w:rFonts w:ascii="Arial" w:cs="Arial" w:eastAsia="Arial" w:hAnsi="Arial"/>
                <w:sz w:val="15"/>
                <w:szCs w:val="15"/>
                <w:color w:val="auto"/>
              </w:rPr>
              <w:t>Balance of gross unrecognized tax benefits at the end of the fiscal year</w:t>
            </w:r>
          </w:p>
        </w:tc>
        <w:tc>
          <w:tcPr>
            <w:tcW w:w="120" w:type="dxa"/>
            <w:vAlign w:val="bottom"/>
            <w:gridSpan w:val="2"/>
          </w:tcPr>
          <w:p>
            <w:pPr>
              <w:jc w:val="right"/>
              <w:ind w:right="17"/>
              <w:spacing w:after="0"/>
              <w:rPr>
                <w:sz w:val="20"/>
                <w:szCs w:val="20"/>
                <w:color w:val="auto"/>
              </w:rPr>
            </w:pPr>
            <w:r>
              <w:rPr>
                <w:rFonts w:ascii="Arial" w:cs="Arial" w:eastAsia="Arial" w:hAnsi="Arial"/>
                <w:sz w:val="10"/>
                <w:szCs w:val="10"/>
                <w:color w:val="auto"/>
                <w:w w:val="71"/>
              </w:rPr>
              <w:t>$</w:t>
            </w:r>
          </w:p>
        </w:tc>
        <w:tc>
          <w:tcPr>
            <w:tcW w:w="240" w:type="dxa"/>
            <w:vAlign w:val="bottom"/>
          </w:tcPr>
          <w:p>
            <w:pPr>
              <w:jc w:val="right"/>
              <w:spacing w:after="0"/>
              <w:rPr>
                <w:sz w:val="20"/>
                <w:szCs w:val="20"/>
                <w:color w:val="auto"/>
              </w:rPr>
            </w:pPr>
            <w:r>
              <w:rPr>
                <w:rFonts w:ascii="Arial" w:cs="Arial" w:eastAsia="Arial" w:hAnsi="Arial"/>
                <w:sz w:val="15"/>
                <w:szCs w:val="15"/>
                <w:color w:val="auto"/>
              </w:rPr>
              <w:t>7.9</w:t>
            </w:r>
          </w:p>
        </w:tc>
        <w:tc>
          <w:tcPr>
            <w:tcW w:w="54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280" w:type="dxa"/>
            <w:vAlign w:val="bottom"/>
          </w:tcPr>
          <w:p>
            <w:pPr>
              <w:jc w:val="right"/>
              <w:spacing w:after="0"/>
              <w:rPr>
                <w:sz w:val="20"/>
                <w:szCs w:val="20"/>
                <w:color w:val="auto"/>
              </w:rPr>
            </w:pPr>
            <w:r>
              <w:rPr>
                <w:rFonts w:ascii="Arial" w:cs="Arial" w:eastAsia="Arial" w:hAnsi="Arial"/>
                <w:sz w:val="15"/>
                <w:szCs w:val="15"/>
                <w:color w:val="auto"/>
                <w:w w:val="82"/>
              </w:rPr>
              <w:t>15.7</w:t>
            </w:r>
          </w:p>
        </w:tc>
        <w:tc>
          <w:tcPr>
            <w:tcW w:w="800" w:type="dxa"/>
            <w:vAlign w:val="bottom"/>
            <w:gridSpan w:val="2"/>
          </w:tcPr>
          <w:p>
            <w:pPr>
              <w:jc w:val="right"/>
              <w:spacing w:after="0"/>
              <w:rPr>
                <w:sz w:val="20"/>
                <w:szCs w:val="20"/>
                <w:color w:val="auto"/>
              </w:rPr>
            </w:pPr>
            <w:r>
              <w:rPr>
                <w:rFonts w:ascii="Arial" w:cs="Arial" w:eastAsia="Arial" w:hAnsi="Arial"/>
                <w:sz w:val="15"/>
                <w:szCs w:val="15"/>
                <w:color w:val="auto"/>
              </w:rPr>
              <w:t>$ 25.6</w:t>
            </w:r>
          </w:p>
        </w:tc>
        <w:tc>
          <w:tcPr>
            <w:tcW w:w="40" w:type="dxa"/>
            <w:vAlign w:val="bottom"/>
          </w:tcPr>
          <w:p>
            <w:pPr>
              <w:spacing w:after="0"/>
              <w:rPr>
                <w:sz w:val="15"/>
                <w:szCs w:val="15"/>
                <w:color w:val="auto"/>
              </w:rPr>
            </w:pPr>
          </w:p>
        </w:tc>
      </w:tr>
      <w:tr>
        <w:trPr>
          <w:trHeight w:val="20"/>
        </w:trPr>
        <w:tc>
          <w:tcPr>
            <w:tcW w:w="20" w:type="dxa"/>
            <w:vAlign w:val="bottom"/>
          </w:tcPr>
          <w:p>
            <w:pPr>
              <w:spacing w:after="0" w:line="20" w:lineRule="exact"/>
              <w:rPr>
                <w:sz w:val="1"/>
                <w:szCs w:val="1"/>
                <w:color w:val="auto"/>
              </w:rPr>
            </w:pPr>
          </w:p>
        </w:tc>
        <w:tc>
          <w:tcPr>
            <w:tcW w:w="64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181" w:lineRule="exact"/>
        <w:rPr>
          <w:sz w:val="20"/>
          <w:szCs w:val="20"/>
          <w:color w:val="auto"/>
        </w:rPr>
      </w:pPr>
    </w:p>
    <w:p>
      <w:pPr>
        <w:ind w:left="1120" w:firstLine="368"/>
        <w:spacing w:after="0" w:line="259" w:lineRule="auto"/>
        <w:rPr>
          <w:sz w:val="20"/>
          <w:szCs w:val="20"/>
          <w:color w:val="auto"/>
        </w:rPr>
      </w:pPr>
      <w:r>
        <w:rPr>
          <w:rFonts w:ascii="Arial" w:cs="Arial" w:eastAsia="Arial" w:hAnsi="Arial"/>
          <w:sz w:val="15"/>
          <w:szCs w:val="15"/>
          <w:color w:val="auto"/>
        </w:rPr>
        <w:t>The Company recognizes interest and/or penalties related to income tax matters as a component of income tax expense. As of December 31, 2017, the amount of accrued interest and penalties related to uncertain tax positions was $0.6 million. Interest and penalties recognized for the year ended December 31, 2016 and 2017, was $0.4 million and $0.2 million, respectively, and the Company did not recognize any interest and penalties for the year ended December 31, 2015.</w:t>
      </w:r>
    </w:p>
    <w:p>
      <w:pPr>
        <w:spacing w:after="0" w:line="158" w:lineRule="exact"/>
        <w:rPr>
          <w:sz w:val="20"/>
          <w:szCs w:val="20"/>
          <w:color w:val="auto"/>
        </w:rPr>
      </w:pPr>
    </w:p>
    <w:p>
      <w:pPr>
        <w:ind w:left="1120" w:right="260" w:firstLine="368"/>
        <w:spacing w:after="0" w:line="275" w:lineRule="auto"/>
        <w:rPr>
          <w:sz w:val="20"/>
          <w:szCs w:val="20"/>
          <w:color w:val="auto"/>
        </w:rPr>
      </w:pPr>
      <w:r>
        <w:rPr>
          <w:rFonts w:ascii="Arial" w:cs="Arial" w:eastAsia="Arial" w:hAnsi="Arial"/>
          <w:sz w:val="15"/>
          <w:szCs w:val="15"/>
          <w:color w:val="auto"/>
        </w:rPr>
        <w:t>The Company files income tax returns in the U.S. federal, multiple states, and foreign jurisdictions. All of the Company’s tax years from 2007 remain open for examination by the federal and state authorities, and from 2013 by foreign authorities.</w:t>
      </w:r>
    </w:p>
    <w:p>
      <w:pPr>
        <w:spacing w:after="0" w:line="146" w:lineRule="exact"/>
        <w:rPr>
          <w:sz w:val="20"/>
          <w:szCs w:val="20"/>
          <w:color w:val="auto"/>
        </w:rPr>
      </w:pPr>
    </w:p>
    <w:p>
      <w:pPr>
        <w:ind w:left="1120" w:right="20" w:firstLine="368"/>
        <w:spacing w:after="0" w:line="257" w:lineRule="auto"/>
        <w:rPr>
          <w:sz w:val="20"/>
          <w:szCs w:val="20"/>
          <w:color w:val="auto"/>
        </w:rPr>
      </w:pPr>
      <w:r>
        <w:rPr>
          <w:rFonts w:ascii="Arial" w:cs="Arial" w:eastAsia="Arial" w:hAnsi="Arial"/>
          <w:sz w:val="15"/>
          <w:szCs w:val="15"/>
          <w:color w:val="auto"/>
        </w:rPr>
        <w:t>The Company generally does not provide deferred income taxes for the undistributed earnings of its foreign subsidiaries as the Company intends to reinvest such earnings indefinitely. Should circumstances change and it becomes apparent that some or all of the undistributed earnings will no longer be indefinitely reinvested, the Company will accrue for income taxes not previously recognized. As of December 31, 2017, there were no cumulative undistributed earnings in its Irish subsidiary and, as a result, there were no unrecorded deferred tax liabilities. The amount of undistributed earnings in the Company’s other foreign subsidiaries, if any, are immaterial.</w:t>
      </w:r>
    </w:p>
    <w:p>
      <w:pPr>
        <w:spacing w:after="0" w:line="249" w:lineRule="exact"/>
        <w:rPr>
          <w:sz w:val="20"/>
          <w:szCs w:val="20"/>
          <w:color w:val="auto"/>
        </w:rPr>
      </w:pPr>
    </w:p>
    <w:p>
      <w:pPr>
        <w:ind w:left="1480"/>
        <w:spacing w:after="0"/>
        <w:rPr>
          <w:sz w:val="20"/>
          <w:szCs w:val="20"/>
          <w:color w:val="auto"/>
        </w:rPr>
      </w:pPr>
      <w:r>
        <w:rPr>
          <w:rFonts w:ascii="Arial" w:cs="Arial" w:eastAsia="Arial" w:hAnsi="Arial"/>
          <w:sz w:val="15"/>
          <w:szCs w:val="15"/>
          <w:i w:val="1"/>
          <w:iCs w:val="1"/>
          <w:color w:val="auto"/>
        </w:rPr>
        <w:t>Impact of The Tax Cuts and Jobs Act</w:t>
      </w:r>
    </w:p>
    <w:p>
      <w:pPr>
        <w:spacing w:after="0" w:line="98" w:lineRule="exact"/>
        <w:rPr>
          <w:sz w:val="20"/>
          <w:szCs w:val="20"/>
          <w:color w:val="auto"/>
        </w:rPr>
      </w:pPr>
    </w:p>
    <w:p>
      <w:pPr>
        <w:ind w:left="1120" w:right="20" w:firstLine="368"/>
        <w:spacing w:after="0" w:line="297" w:lineRule="auto"/>
        <w:rPr>
          <w:sz w:val="20"/>
          <w:szCs w:val="20"/>
          <w:color w:val="auto"/>
        </w:rPr>
      </w:pPr>
      <w:r>
        <w:rPr>
          <w:rFonts w:ascii="Arial" w:cs="Arial" w:eastAsia="Arial" w:hAnsi="Arial"/>
          <w:sz w:val="13"/>
          <w:szCs w:val="13"/>
          <w:color w:val="auto"/>
        </w:rPr>
        <w:t>The Tax Cuts and Jobs Act (the “Tax Reform Act”) was enacted on December 22, 2017 and provides for significant changes to U.S. tax law. Among other provisions, the Tax Reform Act reduces the U.S. corporate income tax rate to 21% effective in 2018. The Tax Reform Act also contains a number of provisions that may impact the Company in future years. Since the Tax Reform Act was recently finalized and ongoing guidance and accounting interpretation is expected over the next twelve months, the Company has made certain provisional accounting estimates, as permitted under Staff Accounting Bulletin No. 118, and continues to analyze its accounting policies in this area. The U.S. Treasury Department, the IRS, and other standard-setting bodies could interpret or issue guidance on how provisions of the Tax Reform Act will be applied or otherwise administered that is different from the Company’s interpretation. As the Company completes its analysis of the Tax Reform Act, collects and prepares necessary data, and interprets any additional guidance, the Company may make adjustments to provisional amounts that it has recorded that may be material in the period in which the adjustments are made. The final accounting analysis will occur no later than one year from the date the Tax Reform Act was enacted.</w:t>
      </w:r>
    </w:p>
    <w:p>
      <w:pPr>
        <w:spacing w:after="0" w:line="140" w:lineRule="exact"/>
        <w:rPr>
          <w:sz w:val="20"/>
          <w:szCs w:val="20"/>
          <w:color w:val="auto"/>
        </w:rPr>
      </w:pPr>
    </w:p>
    <w:p>
      <w:pPr>
        <w:ind w:left="1120" w:right="60" w:firstLine="368"/>
        <w:spacing w:after="0" w:line="290" w:lineRule="auto"/>
        <w:rPr>
          <w:sz w:val="20"/>
          <w:szCs w:val="20"/>
          <w:color w:val="auto"/>
        </w:rPr>
      </w:pPr>
      <w:r>
        <w:rPr>
          <w:rFonts w:ascii="Arial" w:cs="Arial" w:eastAsia="Arial" w:hAnsi="Arial"/>
          <w:sz w:val="14"/>
          <w:szCs w:val="14"/>
          <w:color w:val="auto"/>
        </w:rPr>
        <w:t>As a result of the reduction in the corporate rate, the Company has remeasured its U.S. deferred tax assets and liabilities as of December 31, 2017 to reflect the lower rate expected to apply when these temporary differences reverse. The Company provisionally estimates that the remeasurement resulted in a reduction in deferred tax assets of $63.1 million, which was fully offset by a corresponding change to the Company’s</w:t>
      </w:r>
    </w:p>
    <w:p>
      <w:pPr>
        <w:spacing w:after="0" w:line="82" w:lineRule="exact"/>
        <w:rPr>
          <w:sz w:val="20"/>
          <w:szCs w:val="20"/>
          <w:color w:val="auto"/>
        </w:rPr>
      </w:pPr>
    </w:p>
    <w:p>
      <w:pPr>
        <w:ind w:left="5580"/>
        <w:spacing w:after="0"/>
        <w:rPr>
          <w:sz w:val="20"/>
          <w:szCs w:val="20"/>
          <w:color w:val="auto"/>
        </w:rPr>
      </w:pPr>
      <w:r>
        <w:rPr>
          <w:rFonts w:ascii="Arial" w:cs="Arial" w:eastAsia="Arial" w:hAnsi="Arial"/>
          <w:sz w:val="15"/>
          <w:szCs w:val="15"/>
          <w:color w:val="auto"/>
        </w:rPr>
        <w:t>F-34</w:t>
      </w:r>
    </w:p>
    <w:p>
      <w:pPr>
        <w:sectPr>
          <w:pgSz w:w="11900" w:h="16838" w:orient="portrait"/>
          <w:cols w:equalWidth="0" w:num="1">
            <w:col w:w="10300"/>
          </w:cols>
          <w:pgMar w:left="240" w:top="408" w:right="1359" w:bottom="1440" w:gutter="0" w:footer="0" w:header="0"/>
        </w:sectPr>
      </w:pPr>
    </w:p>
    <w:bookmarkStart w:id="237" w:name="page238"/>
    <w:bookmarkEnd w:id="237"/>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133350</wp:posOffset>
            </wp:positionH>
            <wp:positionV relativeFrom="page">
              <wp:posOffset>88900</wp:posOffset>
            </wp:positionV>
            <wp:extent cx="7308850" cy="3429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7308850" cy="34290"/>
                    </a:xfrm>
                    <a:prstGeom prst="rect">
                      <a:avLst/>
                    </a:prstGeom>
                    <a:noFill/>
                  </pic:spPr>
                </pic:pic>
              </a:graphicData>
            </a:graphic>
          </wp:anchor>
        </w:drawing>
      </w:r>
      <w:hyperlink w:anchor="page7">
        <w:r>
          <w:rPr>
            <w:rFonts w:ascii="Arial" w:cs="Arial" w:eastAsia="Arial" w:hAnsi="Arial"/>
            <w:sz w:val="15"/>
            <w:szCs w:val="15"/>
            <w:b w:val="1"/>
            <w:bCs w:val="1"/>
            <w:u w:val="single" w:color="auto"/>
            <w:color w:val="0000EE"/>
          </w:rPr>
          <w:t>Table of Contents</w:t>
        </w:r>
      </w:hyperlink>
    </w:p>
    <w:p>
      <w:pPr>
        <w:spacing w:after="0" w:line="260" w:lineRule="exact"/>
        <w:rPr>
          <w:sz w:val="20"/>
          <w:szCs w:val="20"/>
          <w:color w:val="auto"/>
        </w:rPr>
      </w:pPr>
    </w:p>
    <w:p>
      <w:pPr>
        <w:ind w:left="1120"/>
        <w:spacing w:after="0" w:line="259" w:lineRule="auto"/>
        <w:rPr>
          <w:sz w:val="20"/>
          <w:szCs w:val="20"/>
          <w:color w:val="auto"/>
        </w:rPr>
      </w:pPr>
      <w:r>
        <w:rPr>
          <w:rFonts w:ascii="Arial" w:cs="Arial" w:eastAsia="Arial" w:hAnsi="Arial"/>
          <w:sz w:val="15"/>
          <w:szCs w:val="15"/>
          <w:color w:val="auto"/>
        </w:rPr>
        <w:t>valuation allowance. Although the tax rate reduction is known, the Company has not collected all of the necessary data to complete its analysis of the effect of the Tax Reform Act on the underlying deferred taxes and as such, the amounts recorded as of December 31, 2017 are provisional. However, the Company anticipates that any adjustment to provisional amounts recorded would be fully offset by a corresponding change to the Company’s valuation allowance.</w:t>
      </w:r>
    </w:p>
    <w:p>
      <w:pPr>
        <w:spacing w:after="0" w:line="158" w:lineRule="exact"/>
        <w:rPr>
          <w:sz w:val="20"/>
          <w:szCs w:val="20"/>
          <w:color w:val="auto"/>
        </w:rPr>
      </w:pPr>
    </w:p>
    <w:p>
      <w:pPr>
        <w:ind w:left="1120" w:right="80" w:firstLine="368"/>
        <w:spacing w:after="0" w:line="255" w:lineRule="auto"/>
        <w:rPr>
          <w:sz w:val="20"/>
          <w:szCs w:val="20"/>
          <w:color w:val="auto"/>
        </w:rPr>
      </w:pPr>
      <w:r>
        <w:rPr>
          <w:rFonts w:ascii="Arial" w:cs="Arial" w:eastAsia="Arial" w:hAnsi="Arial"/>
          <w:sz w:val="15"/>
          <w:szCs w:val="15"/>
          <w:color w:val="auto"/>
        </w:rPr>
        <w:t>The Tax Reform Act repeals the corporate alternative minimum tax (“AMT”) effective beginning in 2018 and permits AMT credit carryforwards to be refunded to the extent unused through 2021. Since the Company does not anticipate the use of these credits to reduce future federal taxes, it recognized an income tax benefit and established an income tax receivable to reflect anticipated refunds of $1.4 million for its 2016 AMT credit carryforward during the year ended December 31, 2017. The Company has not collected all of the necessary data to complete its analysis of the classification of the AMT tax credit as a receivable and as such, the amounts recorded as an income tax receivable as of December 31, 2017 are provisional.</w:t>
      </w:r>
    </w:p>
    <w:p>
      <w:pPr>
        <w:spacing w:after="0" w:line="164" w:lineRule="exact"/>
        <w:rPr>
          <w:sz w:val="20"/>
          <w:szCs w:val="20"/>
          <w:color w:val="auto"/>
        </w:rPr>
      </w:pPr>
    </w:p>
    <w:p>
      <w:pPr>
        <w:ind w:left="1120" w:right="360" w:firstLine="368"/>
        <w:spacing w:after="0" w:line="263" w:lineRule="auto"/>
        <w:rPr>
          <w:sz w:val="20"/>
          <w:szCs w:val="20"/>
          <w:color w:val="auto"/>
        </w:rPr>
      </w:pPr>
      <w:r>
        <w:rPr>
          <w:rFonts w:ascii="Arial" w:cs="Arial" w:eastAsia="Arial" w:hAnsi="Arial"/>
          <w:sz w:val="15"/>
          <w:szCs w:val="15"/>
          <w:color w:val="auto"/>
        </w:rPr>
        <w:t>The Tax Reform Act also provides for a transition to a new territorial system of taxation and generally requires companies to include certain untaxed foreign earnings of non-U.S. subsidiaries into taxable income in 2017 (“Transition Tax”). As a result of the cumulative deficits in the Company’s foreign subsidiaries, the Company estimates that it will have no Transition Tax inclusion.</w:t>
      </w:r>
    </w:p>
    <w:p>
      <w:pPr>
        <w:spacing w:after="0" w:line="155" w:lineRule="exact"/>
        <w:rPr>
          <w:sz w:val="20"/>
          <w:szCs w:val="20"/>
          <w:color w:val="auto"/>
        </w:rPr>
      </w:pPr>
    </w:p>
    <w:p>
      <w:pPr>
        <w:ind w:left="1120" w:right="80" w:firstLine="368"/>
        <w:spacing w:after="0" w:line="263" w:lineRule="auto"/>
        <w:rPr>
          <w:sz w:val="20"/>
          <w:szCs w:val="20"/>
          <w:color w:val="auto"/>
        </w:rPr>
      </w:pPr>
      <w:r>
        <w:rPr>
          <w:rFonts w:ascii="Arial" w:cs="Arial" w:eastAsia="Arial" w:hAnsi="Arial"/>
          <w:sz w:val="15"/>
          <w:szCs w:val="15"/>
          <w:color w:val="auto"/>
        </w:rPr>
        <w:t>The Company continues to evaluate its accounting policy for recording deferred taxes, if any, that would arise as a result of other new provisions including the global intangible low-taxed income tax and the base erosion tax regimes established under the Tax Reform Act. This evaluation will be completed no later than one year from the date the Tax Reform Act was enacted.</w:t>
      </w:r>
    </w:p>
    <w:p>
      <w:pPr>
        <w:spacing w:after="0" w:line="241" w:lineRule="exact"/>
        <w:rPr>
          <w:sz w:val="20"/>
          <w:szCs w:val="20"/>
          <w:color w:val="auto"/>
        </w:rPr>
      </w:pPr>
    </w:p>
    <w:p>
      <w:pPr>
        <w:ind w:left="1120"/>
        <w:spacing w:after="0"/>
        <w:rPr>
          <w:sz w:val="20"/>
          <w:szCs w:val="20"/>
          <w:color w:val="auto"/>
        </w:rPr>
      </w:pPr>
      <w:r>
        <w:rPr>
          <w:rFonts w:ascii="Arial" w:cs="Arial" w:eastAsia="Arial" w:hAnsi="Arial"/>
          <w:sz w:val="15"/>
          <w:szCs w:val="15"/>
          <w:b w:val="1"/>
          <w:bCs w:val="1"/>
          <w:color w:val="auto"/>
        </w:rPr>
        <w:t>Note 15. Related Party Transactions</w:t>
      </w:r>
    </w:p>
    <w:p>
      <w:pPr>
        <w:spacing w:after="0" w:line="102" w:lineRule="exact"/>
        <w:rPr>
          <w:sz w:val="20"/>
          <w:szCs w:val="20"/>
          <w:color w:val="auto"/>
        </w:rPr>
      </w:pPr>
    </w:p>
    <w:p>
      <w:pPr>
        <w:ind w:left="1480"/>
        <w:spacing w:after="0"/>
        <w:rPr>
          <w:sz w:val="20"/>
          <w:szCs w:val="20"/>
          <w:color w:val="auto"/>
        </w:rPr>
      </w:pPr>
      <w:r>
        <w:rPr>
          <w:rFonts w:ascii="Arial" w:cs="Arial" w:eastAsia="Arial" w:hAnsi="Arial"/>
          <w:sz w:val="15"/>
          <w:szCs w:val="15"/>
          <w:b w:val="1"/>
          <w:bCs w:val="1"/>
          <w:i w:val="1"/>
          <w:iCs w:val="1"/>
          <w:color w:val="auto"/>
        </w:rPr>
        <w:t>Dropbox Charitable Foundation</w:t>
      </w:r>
    </w:p>
    <w:p>
      <w:pPr>
        <w:spacing w:after="0" w:line="98" w:lineRule="exact"/>
        <w:rPr>
          <w:sz w:val="20"/>
          <w:szCs w:val="20"/>
          <w:color w:val="auto"/>
        </w:rPr>
      </w:pPr>
    </w:p>
    <w:p>
      <w:pPr>
        <w:ind w:left="1120" w:right="20" w:firstLine="368"/>
        <w:spacing w:after="0" w:line="255" w:lineRule="auto"/>
        <w:rPr>
          <w:sz w:val="20"/>
          <w:szCs w:val="20"/>
          <w:color w:val="auto"/>
        </w:rPr>
      </w:pPr>
      <w:r>
        <w:rPr>
          <w:rFonts w:ascii="Arial" w:cs="Arial" w:eastAsia="Arial" w:hAnsi="Arial"/>
          <w:sz w:val="15"/>
          <w:szCs w:val="15"/>
          <w:color w:val="auto"/>
        </w:rPr>
        <w:t>During the year ended December 31, 2016, two of the Company’s controlling shareholders formed the Dropbox Charitable Foundation, a Delaware non-stock corporation (the “Foundation”). The primary purpose of the Foundation is to engage in charitable and educational activities within the meaning of Section 501(c)(3) of the Code. The Foundation is governed by a Board of Directors, a majority of which are independent. Both shareholders made contributions to the Foundation during the year ended December 31, 2016, comprised entirely of shares of Dropbox common stock. The Company has not consolidated the Foundation in the accompanying consolidated financial statements, as the Company does not have control of the entity.</w:t>
      </w:r>
    </w:p>
    <w:p>
      <w:pPr>
        <w:spacing w:after="0" w:line="164" w:lineRule="exact"/>
        <w:rPr>
          <w:sz w:val="20"/>
          <w:szCs w:val="20"/>
          <w:color w:val="auto"/>
        </w:rPr>
      </w:pPr>
    </w:p>
    <w:p>
      <w:pPr>
        <w:ind w:left="1120" w:right="80" w:firstLine="368"/>
        <w:spacing w:after="0" w:line="259" w:lineRule="auto"/>
        <w:rPr>
          <w:sz w:val="20"/>
          <w:szCs w:val="20"/>
          <w:color w:val="auto"/>
        </w:rPr>
      </w:pPr>
      <w:r>
        <w:rPr>
          <w:rFonts w:ascii="Arial" w:cs="Arial" w:eastAsia="Arial" w:hAnsi="Arial"/>
          <w:sz w:val="15"/>
          <w:szCs w:val="15"/>
          <w:color w:val="auto"/>
        </w:rPr>
        <w:t>During the year ended December 31, 2017, the Company recorded $9.4 million of expense for a non-cash charitable contribution, whereby the Company donated Class B common shares to initially fund the Foundation. The expense was recorded to general and administrative expenses based on the Company’s estimate of the then current fair value of the contributed shares. Additionally, during the year ended December 31, 2017, the Company made cash contributions of $1.9 million to the Foundation.</w:t>
      </w:r>
    </w:p>
    <w:p>
      <w:pPr>
        <w:spacing w:after="0" w:line="248" w:lineRule="exact"/>
        <w:rPr>
          <w:sz w:val="20"/>
          <w:szCs w:val="20"/>
          <w:color w:val="auto"/>
        </w:rPr>
      </w:pPr>
    </w:p>
    <w:p>
      <w:pPr>
        <w:ind w:left="1480"/>
        <w:spacing w:after="0"/>
        <w:rPr>
          <w:sz w:val="20"/>
          <w:szCs w:val="20"/>
          <w:color w:val="auto"/>
        </w:rPr>
      </w:pPr>
      <w:r>
        <w:rPr>
          <w:rFonts w:ascii="Arial" w:cs="Arial" w:eastAsia="Arial" w:hAnsi="Arial"/>
          <w:sz w:val="15"/>
          <w:szCs w:val="15"/>
          <w:b w:val="1"/>
          <w:bCs w:val="1"/>
          <w:i w:val="1"/>
          <w:iCs w:val="1"/>
          <w:color w:val="auto"/>
        </w:rPr>
        <w:t>Hewlett Packard Enterprise</w:t>
      </w:r>
    </w:p>
    <w:p>
      <w:pPr>
        <w:spacing w:after="0" w:line="98" w:lineRule="exact"/>
        <w:rPr>
          <w:sz w:val="20"/>
          <w:szCs w:val="20"/>
          <w:color w:val="auto"/>
        </w:rPr>
      </w:pPr>
    </w:p>
    <w:p>
      <w:pPr>
        <w:ind w:left="1120" w:right="60" w:firstLine="368"/>
        <w:spacing w:after="0" w:line="293" w:lineRule="auto"/>
        <w:rPr>
          <w:sz w:val="20"/>
          <w:szCs w:val="20"/>
          <w:color w:val="auto"/>
        </w:rPr>
      </w:pPr>
      <w:r>
        <w:rPr>
          <w:rFonts w:ascii="Arial" w:cs="Arial" w:eastAsia="Arial" w:hAnsi="Arial"/>
          <w:sz w:val="13"/>
          <w:szCs w:val="13"/>
          <w:color w:val="auto"/>
        </w:rPr>
        <w:t>The Company has engaged in various commercial relationships with Hewlett Packard Enterprise (“HPE”), whose chief executive officer was appointed to the Dropbox Board of Directors in September 2017. These commercial relationships include infrastructure equipment under capital leases, the purchase of commercial products and other services, and a multi-year subscription agreement for access to the Dropbox platform. From the date of appointment of HPE’s chief executive officer to the Dropbox Board of Directors through December 31, 2017, the Company made payments of</w:t>
      </w:r>
    </w:p>
    <w:p>
      <w:pPr>
        <w:spacing w:after="0" w:line="1" w:lineRule="exact"/>
        <w:rPr>
          <w:sz w:val="20"/>
          <w:szCs w:val="20"/>
          <w:color w:val="auto"/>
        </w:rPr>
      </w:pPr>
    </w:p>
    <w:p>
      <w:pPr>
        <w:ind w:left="1120" w:right="120"/>
        <w:spacing w:after="0" w:line="298" w:lineRule="auto"/>
        <w:rPr>
          <w:sz w:val="20"/>
          <w:szCs w:val="20"/>
          <w:color w:val="auto"/>
        </w:rPr>
      </w:pPr>
      <w:r>
        <w:rPr>
          <w:rFonts w:ascii="Arial" w:cs="Arial" w:eastAsia="Arial" w:hAnsi="Arial"/>
          <w:sz w:val="14"/>
          <w:szCs w:val="14"/>
          <w:color w:val="auto"/>
        </w:rPr>
        <w:t>$18.4 million for infrastructure equipment under capital leases and commercial products and services provided by HPE. As of December 31, 2017, the Company had a remaining obligation of $87.1 million for equipment under capital lease from HPE. Related to the multi-year</w:t>
      </w:r>
    </w:p>
    <w:p>
      <w:pPr>
        <w:spacing w:after="0" w:line="76" w:lineRule="exact"/>
        <w:rPr>
          <w:sz w:val="20"/>
          <w:szCs w:val="20"/>
          <w:color w:val="auto"/>
        </w:rPr>
      </w:pPr>
    </w:p>
    <w:p>
      <w:pPr>
        <w:ind w:left="5580"/>
        <w:spacing w:after="0"/>
        <w:rPr>
          <w:sz w:val="20"/>
          <w:szCs w:val="20"/>
          <w:color w:val="auto"/>
        </w:rPr>
      </w:pPr>
      <w:r>
        <w:rPr>
          <w:rFonts w:ascii="Arial" w:cs="Arial" w:eastAsia="Arial" w:hAnsi="Arial"/>
          <w:sz w:val="15"/>
          <w:szCs w:val="15"/>
          <w:color w:val="auto"/>
        </w:rPr>
        <w:t>F-35</w:t>
      </w:r>
    </w:p>
    <w:p>
      <w:pPr>
        <w:sectPr>
          <w:pgSz w:w="11900" w:h="16838" w:orient="portrait"/>
          <w:cols w:equalWidth="0" w:num="1">
            <w:col w:w="10280"/>
          </w:cols>
          <w:pgMar w:left="240" w:top="407" w:right="1379" w:bottom="1440" w:gutter="0" w:footer="0" w:header="0"/>
        </w:sectPr>
      </w:pPr>
    </w:p>
    <w:bookmarkStart w:id="238" w:name="page239"/>
    <w:bookmarkEnd w:id="238"/>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133350</wp:posOffset>
            </wp:positionH>
            <wp:positionV relativeFrom="page">
              <wp:posOffset>88900</wp:posOffset>
            </wp:positionV>
            <wp:extent cx="7308850" cy="3429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7308850" cy="34290"/>
                    </a:xfrm>
                    <a:prstGeom prst="rect">
                      <a:avLst/>
                    </a:prstGeom>
                    <a:noFill/>
                  </pic:spPr>
                </pic:pic>
              </a:graphicData>
            </a:graphic>
          </wp:anchor>
        </w:drawing>
      </w:r>
      <w:hyperlink w:anchor="page7">
        <w:r>
          <w:rPr>
            <w:rFonts w:ascii="Arial" w:cs="Arial" w:eastAsia="Arial" w:hAnsi="Arial"/>
            <w:sz w:val="15"/>
            <w:szCs w:val="15"/>
            <w:b w:val="1"/>
            <w:bCs w:val="1"/>
            <w:u w:val="single" w:color="auto"/>
            <w:color w:val="0000EE"/>
          </w:rPr>
          <w:t>Table of Contents</w:t>
        </w:r>
      </w:hyperlink>
    </w:p>
    <w:p>
      <w:pPr>
        <w:spacing w:after="0" w:line="260" w:lineRule="exact"/>
        <w:rPr>
          <w:sz w:val="20"/>
          <w:szCs w:val="20"/>
          <w:color w:val="auto"/>
        </w:rPr>
      </w:pPr>
    </w:p>
    <w:p>
      <w:pPr>
        <w:ind w:left="1120" w:right="40"/>
        <w:spacing w:after="0" w:line="263" w:lineRule="auto"/>
        <w:rPr>
          <w:sz w:val="20"/>
          <w:szCs w:val="20"/>
          <w:color w:val="auto"/>
        </w:rPr>
      </w:pPr>
      <w:r>
        <w:rPr>
          <w:rFonts w:ascii="Arial" w:cs="Arial" w:eastAsia="Arial" w:hAnsi="Arial"/>
          <w:sz w:val="15"/>
          <w:szCs w:val="15"/>
          <w:color w:val="auto"/>
        </w:rPr>
        <w:t>subscription agreement, the Company recognized an immaterial amount of revenue from the date of appointment of HPE’s chief executive officer to the Dropbox Board of Directors through December 31, 2017, and had an immaterial balance of deferred revenue and outstanding trade receivables as of December 31, 2017.</w:t>
      </w:r>
    </w:p>
    <w:p>
      <w:pPr>
        <w:spacing w:after="0" w:line="241" w:lineRule="exact"/>
        <w:rPr>
          <w:sz w:val="20"/>
          <w:szCs w:val="20"/>
          <w:color w:val="auto"/>
        </w:rPr>
      </w:pPr>
    </w:p>
    <w:p>
      <w:pPr>
        <w:ind w:left="1120"/>
        <w:spacing w:after="0"/>
        <w:rPr>
          <w:sz w:val="20"/>
          <w:szCs w:val="20"/>
          <w:color w:val="auto"/>
        </w:rPr>
      </w:pPr>
      <w:r>
        <w:rPr>
          <w:rFonts w:ascii="Arial" w:cs="Arial" w:eastAsia="Arial" w:hAnsi="Arial"/>
          <w:sz w:val="15"/>
          <w:szCs w:val="15"/>
          <w:b w:val="1"/>
          <w:bCs w:val="1"/>
          <w:color w:val="auto"/>
        </w:rPr>
        <w:t>Note 16. Geographic Areas</w:t>
      </w:r>
    </w:p>
    <w:p>
      <w:pPr>
        <w:spacing w:after="0" w:line="102" w:lineRule="exact"/>
        <w:rPr>
          <w:sz w:val="20"/>
          <w:szCs w:val="20"/>
          <w:color w:val="auto"/>
        </w:rPr>
      </w:pPr>
    </w:p>
    <w:p>
      <w:pPr>
        <w:ind w:left="1480"/>
        <w:spacing w:after="0"/>
        <w:rPr>
          <w:sz w:val="20"/>
          <w:szCs w:val="20"/>
          <w:color w:val="auto"/>
        </w:rPr>
      </w:pPr>
      <w:r>
        <w:rPr>
          <w:rFonts w:ascii="Arial" w:cs="Arial" w:eastAsia="Arial" w:hAnsi="Arial"/>
          <w:sz w:val="15"/>
          <w:szCs w:val="15"/>
          <w:b w:val="1"/>
          <w:bCs w:val="1"/>
          <w:i w:val="1"/>
          <w:iCs w:val="1"/>
          <w:color w:val="auto"/>
        </w:rPr>
        <w:t>Long-lived assets</w:t>
      </w:r>
    </w:p>
    <w:p>
      <w:pPr>
        <w:spacing w:after="0" w:line="98" w:lineRule="exact"/>
        <w:rPr>
          <w:sz w:val="20"/>
          <w:szCs w:val="20"/>
          <w:color w:val="auto"/>
        </w:rPr>
      </w:pPr>
    </w:p>
    <w:p>
      <w:pPr>
        <w:ind w:left="1480"/>
        <w:spacing w:after="0"/>
        <w:rPr>
          <w:sz w:val="20"/>
          <w:szCs w:val="20"/>
          <w:color w:val="auto"/>
        </w:rPr>
      </w:pPr>
      <w:r>
        <w:rPr>
          <w:rFonts w:ascii="Arial" w:cs="Arial" w:eastAsia="Arial" w:hAnsi="Arial"/>
          <w:sz w:val="15"/>
          <w:szCs w:val="15"/>
          <w:color w:val="auto"/>
        </w:rPr>
        <w:t>The following table sets forth long-lived assets by geographic area:</w:t>
      </w:r>
    </w:p>
    <w:p>
      <w:pPr>
        <w:spacing w:after="0" w:line="202" w:lineRule="exact"/>
        <w:rPr>
          <w:sz w:val="20"/>
          <w:szCs w:val="20"/>
          <w:color w:val="auto"/>
        </w:rPr>
      </w:pPr>
    </w:p>
    <w:tbl>
      <w:tblPr>
        <w:tblLayout w:type="fixed"/>
        <w:tblInd w:w="1860" w:type="dxa"/>
        <w:tblCellMar>
          <w:top w:w="0" w:type="dxa"/>
          <w:left w:w="0" w:type="dxa"/>
          <w:bottom w:w="0" w:type="dxa"/>
          <w:right w:w="0" w:type="dxa"/>
        </w:tblCellMar>
      </w:tblPr>
      <w:tr>
        <w:trPr>
          <w:trHeight w:val="144"/>
        </w:trPr>
        <w:tc>
          <w:tcPr>
            <w:tcW w:w="6380" w:type="dxa"/>
            <w:vAlign w:val="bottom"/>
          </w:tcPr>
          <w:p>
            <w:pPr>
              <w:spacing w:after="0"/>
              <w:rPr>
                <w:sz w:val="12"/>
                <w:szCs w:val="12"/>
                <w:color w:val="auto"/>
              </w:rPr>
            </w:pPr>
          </w:p>
        </w:tc>
        <w:tc>
          <w:tcPr>
            <w:tcW w:w="1340" w:type="dxa"/>
            <w:vAlign w:val="bottom"/>
            <w:gridSpan w:val="5"/>
          </w:tcPr>
          <w:p>
            <w:pPr>
              <w:ind w:left="140"/>
              <w:spacing w:after="0"/>
              <w:rPr>
                <w:sz w:val="20"/>
                <w:szCs w:val="20"/>
                <w:color w:val="auto"/>
              </w:rPr>
            </w:pPr>
            <w:r>
              <w:rPr>
                <w:rFonts w:ascii="Arial" w:cs="Arial" w:eastAsia="Arial" w:hAnsi="Arial"/>
                <w:sz w:val="12"/>
                <w:szCs w:val="12"/>
                <w:b w:val="1"/>
                <w:bCs w:val="1"/>
                <w:color w:val="auto"/>
              </w:rPr>
              <w:t>As of December 31,</w:t>
            </w:r>
          </w:p>
        </w:tc>
      </w:tr>
      <w:tr>
        <w:trPr>
          <w:trHeight w:val="115"/>
        </w:trPr>
        <w:tc>
          <w:tcPr>
            <w:tcW w:w="6380" w:type="dxa"/>
            <w:vAlign w:val="bottom"/>
          </w:tcPr>
          <w:p>
            <w:pPr>
              <w:spacing w:after="0"/>
              <w:rPr>
                <w:sz w:val="10"/>
                <w:szCs w:val="10"/>
                <w:color w:val="auto"/>
              </w:rPr>
            </w:pPr>
          </w:p>
        </w:tc>
        <w:tc>
          <w:tcPr>
            <w:tcW w:w="420" w:type="dxa"/>
            <w:vAlign w:val="bottom"/>
            <w:tcBorders>
              <w:top w:val="single" w:sz="8" w:color="auto"/>
            </w:tcBorders>
          </w:tcPr>
          <w:p>
            <w:pPr>
              <w:jc w:val="right"/>
              <w:ind w:right="31"/>
              <w:spacing w:after="0" w:line="115" w:lineRule="exact"/>
              <w:rPr>
                <w:sz w:val="20"/>
                <w:szCs w:val="20"/>
                <w:color w:val="auto"/>
              </w:rPr>
            </w:pPr>
            <w:r>
              <w:rPr>
                <w:rFonts w:ascii="Arial" w:cs="Arial" w:eastAsia="Arial" w:hAnsi="Arial"/>
                <w:sz w:val="12"/>
                <w:szCs w:val="12"/>
                <w:b w:val="1"/>
                <w:bCs w:val="1"/>
                <w:color w:val="auto"/>
              </w:rPr>
              <w:t>2016</w:t>
            </w:r>
          </w:p>
        </w:tc>
        <w:tc>
          <w:tcPr>
            <w:tcW w:w="22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gridSpan w:val="2"/>
          </w:tcPr>
          <w:p>
            <w:pPr>
              <w:jc w:val="right"/>
              <w:ind w:right="25"/>
              <w:spacing w:after="0" w:line="115" w:lineRule="exact"/>
              <w:rPr>
                <w:sz w:val="20"/>
                <w:szCs w:val="20"/>
                <w:color w:val="auto"/>
              </w:rPr>
            </w:pPr>
            <w:r>
              <w:rPr>
                <w:rFonts w:ascii="Arial" w:cs="Arial" w:eastAsia="Arial" w:hAnsi="Arial"/>
                <w:sz w:val="12"/>
                <w:szCs w:val="12"/>
                <w:b w:val="1"/>
                <w:bCs w:val="1"/>
                <w:color w:val="auto"/>
              </w:rPr>
              <w:t>2017</w:t>
            </w:r>
          </w:p>
        </w:tc>
        <w:tc>
          <w:tcPr>
            <w:tcW w:w="40" w:type="dxa"/>
            <w:vAlign w:val="bottom"/>
          </w:tcPr>
          <w:p>
            <w:pPr>
              <w:spacing w:after="0"/>
              <w:rPr>
                <w:sz w:val="10"/>
                <w:szCs w:val="10"/>
                <w:color w:val="auto"/>
              </w:rPr>
            </w:pPr>
          </w:p>
        </w:tc>
      </w:tr>
      <w:tr>
        <w:trPr>
          <w:trHeight w:val="172"/>
        </w:trPr>
        <w:tc>
          <w:tcPr>
            <w:tcW w:w="6380" w:type="dxa"/>
            <w:vAlign w:val="bottom"/>
            <w:tcBorders>
              <w:top w:val="single" w:sz="8" w:color="CCEEFF"/>
            </w:tcBorders>
            <w:shd w:val="clear" w:color="auto" w:fill="CCEEFF"/>
          </w:tcPr>
          <w:p>
            <w:pPr>
              <w:spacing w:after="0" w:line="170" w:lineRule="exact"/>
              <w:rPr>
                <w:sz w:val="20"/>
                <w:szCs w:val="20"/>
                <w:color w:val="auto"/>
              </w:rPr>
            </w:pPr>
            <w:r>
              <w:rPr>
                <w:rFonts w:ascii="Arial" w:cs="Arial" w:eastAsia="Arial" w:hAnsi="Arial"/>
                <w:sz w:val="15"/>
                <w:szCs w:val="15"/>
                <w:color w:val="auto"/>
              </w:rPr>
              <w:t>United States</w:t>
            </w: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9"/>
              </w:rPr>
              <w:t>$ 425.1</w:t>
            </w:r>
          </w:p>
        </w:tc>
        <w:tc>
          <w:tcPr>
            <w:tcW w:w="22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CCEEFF"/>
            </w:tcBorders>
            <w:shd w:val="clear" w:color="auto" w:fill="CCEEFF"/>
          </w:tcPr>
          <w:p>
            <w:pPr>
              <w:spacing w:after="0"/>
              <w:rPr>
                <w:sz w:val="14"/>
                <w:szCs w:val="14"/>
                <w:color w:val="auto"/>
              </w:rPr>
            </w:pP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83"/>
              </w:rPr>
              <w:t>$ 323.7</w:t>
            </w:r>
          </w:p>
        </w:tc>
        <w:tc>
          <w:tcPr>
            <w:tcW w:w="40" w:type="dxa"/>
            <w:vAlign w:val="bottom"/>
            <w:tcBorders>
              <w:top w:val="single" w:sz="8" w:color="CCEEFF"/>
            </w:tcBorders>
            <w:shd w:val="clear" w:color="auto" w:fill="CCEEFF"/>
          </w:tcPr>
          <w:p>
            <w:pPr>
              <w:spacing w:after="0"/>
              <w:rPr>
                <w:sz w:val="14"/>
                <w:szCs w:val="14"/>
                <w:color w:val="auto"/>
              </w:rPr>
            </w:pPr>
          </w:p>
        </w:tc>
      </w:tr>
      <w:tr>
        <w:trPr>
          <w:trHeight w:val="180"/>
        </w:trPr>
        <w:tc>
          <w:tcPr>
            <w:tcW w:w="6380" w:type="dxa"/>
            <w:vAlign w:val="bottom"/>
          </w:tcPr>
          <w:p>
            <w:pPr>
              <w:spacing w:after="0"/>
              <w:rPr>
                <w:sz w:val="20"/>
                <w:szCs w:val="20"/>
                <w:color w:val="auto"/>
              </w:rPr>
            </w:pPr>
            <w:r>
              <w:rPr>
                <w:rFonts w:ascii="Arial" w:cs="Arial" w:eastAsia="Arial" w:hAnsi="Arial"/>
                <w:sz w:val="15"/>
                <w:szCs w:val="15"/>
                <w:color w:val="auto"/>
              </w:rPr>
              <w:t>International</w:t>
            </w:r>
            <w:r>
              <w:rPr>
                <w:rFonts w:ascii="Arial" w:cs="Arial" w:eastAsia="Arial" w:hAnsi="Arial"/>
                <w:sz w:val="12"/>
                <w:szCs w:val="12"/>
                <w:color w:val="auto"/>
              </w:rPr>
              <w:t>(1)</w:t>
            </w:r>
          </w:p>
        </w:tc>
        <w:tc>
          <w:tcPr>
            <w:tcW w:w="640" w:type="dxa"/>
            <w:vAlign w:val="bottom"/>
            <w:gridSpan w:val="2"/>
          </w:tcPr>
          <w:p>
            <w:pPr>
              <w:jc w:val="right"/>
              <w:ind w:right="220"/>
              <w:spacing w:after="0"/>
              <w:rPr>
                <w:sz w:val="20"/>
                <w:szCs w:val="20"/>
                <w:color w:val="auto"/>
              </w:rPr>
            </w:pPr>
            <w:r>
              <w:rPr>
                <w:rFonts w:ascii="Arial" w:cs="Arial" w:eastAsia="Arial" w:hAnsi="Arial"/>
                <w:sz w:val="15"/>
                <w:szCs w:val="15"/>
                <w:color w:val="auto"/>
              </w:rPr>
              <w:t>18.9</w:t>
            </w:r>
          </w:p>
        </w:tc>
        <w:tc>
          <w:tcPr>
            <w:tcW w:w="700" w:type="dxa"/>
            <w:vAlign w:val="bottom"/>
            <w:gridSpan w:val="3"/>
          </w:tcPr>
          <w:p>
            <w:pPr>
              <w:jc w:val="right"/>
              <w:ind w:right="40"/>
              <w:spacing w:after="0"/>
              <w:rPr>
                <w:sz w:val="20"/>
                <w:szCs w:val="20"/>
                <w:color w:val="auto"/>
              </w:rPr>
            </w:pPr>
            <w:r>
              <w:rPr>
                <w:rFonts w:ascii="Arial" w:cs="Arial" w:eastAsia="Arial" w:hAnsi="Arial"/>
                <w:sz w:val="15"/>
                <w:szCs w:val="15"/>
                <w:color w:val="auto"/>
              </w:rPr>
              <w:t>18.2</w:t>
            </w:r>
          </w:p>
        </w:tc>
      </w:tr>
      <w:tr>
        <w:trPr>
          <w:trHeight w:val="23"/>
        </w:trPr>
        <w:tc>
          <w:tcPr>
            <w:tcW w:w="638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80"/>
        </w:trPr>
        <w:tc>
          <w:tcPr>
            <w:tcW w:w="6380" w:type="dxa"/>
            <w:vAlign w:val="bottom"/>
            <w:shd w:val="clear" w:color="auto" w:fill="CCEEFF"/>
          </w:tcPr>
          <w:p>
            <w:pPr>
              <w:spacing w:after="0"/>
              <w:rPr>
                <w:sz w:val="20"/>
                <w:szCs w:val="20"/>
                <w:color w:val="auto"/>
              </w:rPr>
            </w:pPr>
            <w:r>
              <w:rPr>
                <w:rFonts w:ascii="Arial" w:cs="Arial" w:eastAsia="Arial" w:hAnsi="Arial"/>
                <w:sz w:val="15"/>
                <w:szCs w:val="15"/>
                <w:color w:val="auto"/>
              </w:rPr>
              <w:t>Total property and equipment, net</w:t>
            </w:r>
          </w:p>
        </w:tc>
        <w:tc>
          <w:tcPr>
            <w:tcW w:w="64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u w:val="single" w:color="auto"/>
                <w:color w:val="auto"/>
                <w:w w:val="79"/>
              </w:rPr>
              <w:t>$</w:t>
            </w:r>
            <w:r>
              <w:rPr>
                <w:rFonts w:ascii="Arial" w:cs="Arial" w:eastAsia="Arial" w:hAnsi="Arial"/>
                <w:sz w:val="15"/>
                <w:szCs w:val="15"/>
                <w:color w:val="auto"/>
                <w:w w:val="79"/>
              </w:rPr>
              <w:t xml:space="preserve"> 444.0</w:t>
            </w:r>
          </w:p>
        </w:tc>
        <w:tc>
          <w:tcPr>
            <w:tcW w:w="700" w:type="dxa"/>
            <w:vAlign w:val="bottom"/>
            <w:gridSpan w:val="3"/>
            <w:shd w:val="clear" w:color="auto" w:fill="CCEEFF"/>
          </w:tcPr>
          <w:p>
            <w:pPr>
              <w:jc w:val="right"/>
              <w:ind w:right="40"/>
              <w:spacing w:after="0"/>
              <w:rPr>
                <w:sz w:val="20"/>
                <w:szCs w:val="20"/>
                <w:color w:val="auto"/>
              </w:rPr>
            </w:pPr>
            <w:r>
              <w:rPr>
                <w:rFonts w:ascii="Arial" w:cs="Arial" w:eastAsia="Arial" w:hAnsi="Arial"/>
                <w:sz w:val="15"/>
                <w:szCs w:val="15"/>
                <w:color w:val="auto"/>
              </w:rPr>
              <w:t>$ 341.9</w:t>
            </w:r>
          </w:p>
        </w:tc>
      </w:tr>
      <w:tr>
        <w:trPr>
          <w:trHeight w:val="20"/>
        </w:trPr>
        <w:tc>
          <w:tcPr>
            <w:tcW w:w="638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4" w:lineRule="exact"/>
        <w:rPr>
          <w:sz w:val="20"/>
          <w:szCs w:val="20"/>
          <w:color w:val="auto"/>
        </w:rPr>
      </w:pPr>
    </w:p>
    <w:p>
      <w:pPr>
        <w:ind w:left="1480" w:right="80" w:hanging="368"/>
        <w:spacing w:after="0" w:line="275" w:lineRule="auto"/>
        <w:tabs>
          <w:tab w:leader="none" w:pos="1480" w:val="left"/>
        </w:tabs>
        <w:numPr>
          <w:ilvl w:val="0"/>
          <w:numId w:val="116"/>
        </w:numPr>
        <w:rPr>
          <w:rFonts w:ascii="Arial" w:cs="Arial" w:eastAsia="Arial" w:hAnsi="Arial"/>
          <w:sz w:val="13"/>
          <w:szCs w:val="13"/>
          <w:color w:val="auto"/>
        </w:rPr>
      </w:pPr>
      <w:r>
        <w:rPr>
          <w:rFonts w:ascii="Arial" w:cs="Arial" w:eastAsia="Arial" w:hAnsi="Arial"/>
          <w:sz w:val="15"/>
          <w:szCs w:val="15"/>
          <w:color w:val="auto"/>
        </w:rPr>
        <w:t>No single country other than the United States had a property and equipment balance greater than 10% of total property and equipment, net, as of December 31, 2016 and 2017.</w:t>
      </w:r>
    </w:p>
    <w:p>
      <w:pPr>
        <w:spacing w:after="0" w:line="236" w:lineRule="exact"/>
        <w:rPr>
          <w:rFonts w:ascii="Arial" w:cs="Arial" w:eastAsia="Arial" w:hAnsi="Arial"/>
          <w:sz w:val="13"/>
          <w:szCs w:val="13"/>
          <w:color w:val="auto"/>
        </w:rPr>
      </w:pPr>
    </w:p>
    <w:p>
      <w:pPr>
        <w:ind w:left="1480"/>
        <w:spacing w:after="0"/>
        <w:rPr>
          <w:rFonts w:ascii="Arial" w:cs="Arial" w:eastAsia="Arial" w:hAnsi="Arial"/>
          <w:sz w:val="13"/>
          <w:szCs w:val="13"/>
          <w:color w:val="auto"/>
        </w:rPr>
      </w:pPr>
      <w:r>
        <w:rPr>
          <w:rFonts w:ascii="Arial" w:cs="Arial" w:eastAsia="Arial" w:hAnsi="Arial"/>
          <w:sz w:val="15"/>
          <w:szCs w:val="15"/>
          <w:b w:val="1"/>
          <w:bCs w:val="1"/>
          <w:i w:val="1"/>
          <w:iCs w:val="1"/>
          <w:color w:val="auto"/>
        </w:rPr>
        <w:t>Revenue</w:t>
      </w:r>
    </w:p>
    <w:p>
      <w:pPr>
        <w:spacing w:after="0" w:line="98" w:lineRule="exact"/>
        <w:rPr>
          <w:sz w:val="20"/>
          <w:szCs w:val="20"/>
          <w:color w:val="auto"/>
        </w:rPr>
      </w:pPr>
    </w:p>
    <w:p>
      <w:pPr>
        <w:ind w:left="1120" w:firstLine="368"/>
        <w:spacing w:after="0" w:line="275" w:lineRule="auto"/>
        <w:rPr>
          <w:sz w:val="20"/>
          <w:szCs w:val="20"/>
          <w:color w:val="auto"/>
        </w:rPr>
      </w:pPr>
      <w:r>
        <w:rPr>
          <w:rFonts w:ascii="Arial" w:cs="Arial" w:eastAsia="Arial" w:hAnsi="Arial"/>
          <w:sz w:val="15"/>
          <w:szCs w:val="15"/>
          <w:color w:val="auto"/>
        </w:rPr>
        <w:t>Revenue by geography is generally based on the address of the customer as defined in the Company’s subscription agreement. The following table sets forth revenue by geographic area for the years ended December 31, 2015, 2016, and 2017.</w:t>
      </w:r>
    </w:p>
    <w:p>
      <w:pPr>
        <w:spacing w:after="0" w:line="160" w:lineRule="exact"/>
        <w:rPr>
          <w:sz w:val="20"/>
          <w:szCs w:val="20"/>
          <w:color w:val="auto"/>
        </w:rPr>
      </w:pPr>
    </w:p>
    <w:tbl>
      <w:tblPr>
        <w:tblLayout w:type="fixed"/>
        <w:tblInd w:w="1480" w:type="dxa"/>
        <w:tblCellMar>
          <w:top w:w="0" w:type="dxa"/>
          <w:left w:w="0" w:type="dxa"/>
          <w:bottom w:w="0" w:type="dxa"/>
          <w:right w:w="0" w:type="dxa"/>
        </w:tblCellMar>
      </w:tblPr>
      <w:tr>
        <w:trPr>
          <w:trHeight w:val="144"/>
        </w:trPr>
        <w:tc>
          <w:tcPr>
            <w:tcW w:w="2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25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1400" w:type="dxa"/>
            <w:vAlign w:val="bottom"/>
            <w:tcBorders>
              <w:bottom w:val="single" w:sz="8" w:color="auto"/>
            </w:tcBorders>
            <w:gridSpan w:val="4"/>
          </w:tcPr>
          <w:p>
            <w:pPr>
              <w:ind w:left="80"/>
              <w:spacing w:after="0"/>
              <w:rPr>
                <w:sz w:val="20"/>
                <w:szCs w:val="20"/>
                <w:color w:val="auto"/>
              </w:rPr>
            </w:pPr>
            <w:r>
              <w:rPr>
                <w:rFonts w:ascii="Arial" w:cs="Arial" w:eastAsia="Arial" w:hAnsi="Arial"/>
                <w:sz w:val="12"/>
                <w:szCs w:val="12"/>
                <w:b w:val="1"/>
                <w:bCs w:val="1"/>
                <w:color w:val="auto"/>
                <w:w w:val="88"/>
              </w:rPr>
              <w:t>Year ended December 31,</w:t>
            </w:r>
          </w:p>
        </w:tc>
        <w:tc>
          <w:tcPr>
            <w:tcW w:w="2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40" w:type="dxa"/>
            <w:vAlign w:val="bottom"/>
          </w:tcPr>
          <w:p>
            <w:pPr>
              <w:spacing w:after="0"/>
              <w:rPr>
                <w:sz w:val="12"/>
                <w:szCs w:val="12"/>
                <w:color w:val="auto"/>
              </w:rPr>
            </w:pPr>
          </w:p>
        </w:tc>
      </w:tr>
      <w:tr>
        <w:trPr>
          <w:trHeight w:val="115"/>
        </w:trPr>
        <w:tc>
          <w:tcPr>
            <w:tcW w:w="20" w:type="dxa"/>
            <w:vAlign w:val="bottom"/>
          </w:tcPr>
          <w:p>
            <w:pPr>
              <w:spacing w:after="0"/>
              <w:rPr>
                <w:sz w:val="10"/>
                <w:szCs w:val="10"/>
                <w:color w:val="auto"/>
              </w:rPr>
            </w:pPr>
          </w:p>
        </w:tc>
        <w:tc>
          <w:tcPr>
            <w:tcW w:w="3440" w:type="dxa"/>
            <w:vAlign w:val="bottom"/>
            <w:tcBorders>
              <w:bottom w:val="single" w:sz="8" w:color="CCEEFF"/>
            </w:tcBorders>
          </w:tcPr>
          <w:p>
            <w:pPr>
              <w:spacing w:after="0"/>
              <w:rPr>
                <w:sz w:val="10"/>
                <w:szCs w:val="10"/>
                <w:color w:val="auto"/>
              </w:rPr>
            </w:pPr>
          </w:p>
        </w:tc>
        <w:tc>
          <w:tcPr>
            <w:tcW w:w="2540" w:type="dxa"/>
            <w:vAlign w:val="bottom"/>
            <w:tcBorders>
              <w:bottom w:val="single" w:sz="8" w:color="CCEEFF"/>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380" w:type="dxa"/>
            <w:vAlign w:val="bottom"/>
            <w:tcBorders>
              <w:bottom w:val="single" w:sz="8" w:color="auto"/>
            </w:tcBorders>
          </w:tcPr>
          <w:p>
            <w:pPr>
              <w:jc w:val="right"/>
              <w:ind w:right="49"/>
              <w:spacing w:after="0" w:line="115" w:lineRule="exact"/>
              <w:rPr>
                <w:sz w:val="20"/>
                <w:szCs w:val="20"/>
                <w:color w:val="auto"/>
              </w:rPr>
            </w:pPr>
            <w:r>
              <w:rPr>
                <w:rFonts w:ascii="Arial" w:cs="Arial" w:eastAsia="Arial" w:hAnsi="Arial"/>
                <w:sz w:val="12"/>
                <w:szCs w:val="12"/>
                <w:b w:val="1"/>
                <w:bCs w:val="1"/>
                <w:color w:val="auto"/>
                <w:w w:val="89"/>
              </w:rPr>
              <w:t>2015</w:t>
            </w:r>
          </w:p>
        </w:tc>
        <w:tc>
          <w:tcPr>
            <w:tcW w:w="460" w:type="dxa"/>
            <w:vAlign w:val="bottom"/>
            <w:tcBorders>
              <w:bottom w:val="single" w:sz="8" w:color="CCEEFF"/>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jc w:val="right"/>
              <w:ind w:right="69"/>
              <w:spacing w:after="0" w:line="115" w:lineRule="exact"/>
              <w:rPr>
                <w:sz w:val="20"/>
                <w:szCs w:val="20"/>
                <w:color w:val="auto"/>
              </w:rPr>
            </w:pPr>
            <w:r>
              <w:rPr>
                <w:rFonts w:ascii="Arial" w:cs="Arial" w:eastAsia="Arial" w:hAnsi="Arial"/>
                <w:sz w:val="12"/>
                <w:szCs w:val="12"/>
                <w:b w:val="1"/>
                <w:bCs w:val="1"/>
                <w:color w:val="auto"/>
                <w:w w:val="89"/>
              </w:rPr>
              <w:t>2016</w:t>
            </w:r>
          </w:p>
        </w:tc>
        <w:tc>
          <w:tcPr>
            <w:tcW w:w="440" w:type="dxa"/>
            <w:vAlign w:val="bottom"/>
            <w:tcBorders>
              <w:bottom w:val="single" w:sz="8" w:color="CCEEFF"/>
            </w:tcBorders>
          </w:tcPr>
          <w:p>
            <w:pPr>
              <w:spacing w:after="0"/>
              <w:rPr>
                <w:sz w:val="10"/>
                <w:szCs w:val="10"/>
                <w:color w:val="auto"/>
              </w:rPr>
            </w:pPr>
          </w:p>
        </w:tc>
        <w:tc>
          <w:tcPr>
            <w:tcW w:w="20" w:type="dxa"/>
            <w:vAlign w:val="bottom"/>
            <w:tcBorders>
              <w:bottom w:val="single" w:sz="8" w:color="CCEEFF"/>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tcPr>
          <w:p>
            <w:pPr>
              <w:jc w:val="right"/>
              <w:ind w:right="69"/>
              <w:spacing w:after="0" w:line="115" w:lineRule="exact"/>
              <w:rPr>
                <w:sz w:val="20"/>
                <w:szCs w:val="20"/>
                <w:color w:val="auto"/>
              </w:rPr>
            </w:pPr>
            <w:r>
              <w:rPr>
                <w:rFonts w:ascii="Arial" w:cs="Arial" w:eastAsia="Arial" w:hAnsi="Arial"/>
                <w:sz w:val="12"/>
                <w:szCs w:val="12"/>
                <w:b w:val="1"/>
                <w:bCs w:val="1"/>
                <w:color w:val="auto"/>
              </w:rPr>
              <w:t>2017</w:t>
            </w:r>
          </w:p>
        </w:tc>
        <w:tc>
          <w:tcPr>
            <w:tcW w:w="40" w:type="dxa"/>
            <w:vAlign w:val="bottom"/>
            <w:tcBorders>
              <w:bottom w:val="single" w:sz="8" w:color="CCEEFF"/>
            </w:tcBorders>
          </w:tcPr>
          <w:p>
            <w:pPr>
              <w:spacing w:after="0"/>
              <w:rPr>
                <w:sz w:val="10"/>
                <w:szCs w:val="10"/>
                <w:color w:val="auto"/>
              </w:rPr>
            </w:pPr>
          </w:p>
        </w:tc>
      </w:tr>
      <w:tr>
        <w:trPr>
          <w:trHeight w:val="172"/>
        </w:trPr>
        <w:tc>
          <w:tcPr>
            <w:tcW w:w="20" w:type="dxa"/>
            <w:vAlign w:val="bottom"/>
          </w:tcPr>
          <w:p>
            <w:pPr>
              <w:spacing w:after="0"/>
              <w:rPr>
                <w:sz w:val="14"/>
                <w:szCs w:val="14"/>
                <w:color w:val="auto"/>
              </w:rPr>
            </w:pPr>
          </w:p>
        </w:tc>
        <w:tc>
          <w:tcPr>
            <w:tcW w:w="3440" w:type="dxa"/>
            <w:vAlign w:val="bottom"/>
            <w:shd w:val="clear" w:color="auto" w:fill="CCEEFF"/>
          </w:tcPr>
          <w:p>
            <w:pPr>
              <w:spacing w:after="0" w:line="170" w:lineRule="exact"/>
              <w:rPr>
                <w:sz w:val="20"/>
                <w:szCs w:val="20"/>
                <w:color w:val="auto"/>
              </w:rPr>
            </w:pPr>
            <w:r>
              <w:rPr>
                <w:rFonts w:ascii="Arial" w:cs="Arial" w:eastAsia="Arial" w:hAnsi="Arial"/>
                <w:sz w:val="15"/>
                <w:szCs w:val="15"/>
                <w:color w:val="auto"/>
              </w:rPr>
              <w:t>United States</w:t>
            </w:r>
          </w:p>
        </w:tc>
        <w:tc>
          <w:tcPr>
            <w:tcW w:w="254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326.1</w:t>
            </w:r>
          </w:p>
        </w:tc>
        <w:tc>
          <w:tcPr>
            <w:tcW w:w="46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455.9</w:t>
            </w:r>
          </w:p>
        </w:tc>
        <w:tc>
          <w:tcPr>
            <w:tcW w:w="4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575.7</w:t>
            </w:r>
          </w:p>
        </w:tc>
        <w:tc>
          <w:tcPr>
            <w:tcW w:w="40" w:type="dxa"/>
            <w:vAlign w:val="bottom"/>
            <w:shd w:val="clear" w:color="auto" w:fill="CCEEFF"/>
          </w:tcPr>
          <w:p>
            <w:pPr>
              <w:spacing w:after="0"/>
              <w:rPr>
                <w:sz w:val="14"/>
                <w:szCs w:val="14"/>
                <w:color w:val="auto"/>
              </w:rPr>
            </w:pPr>
          </w:p>
        </w:tc>
      </w:tr>
      <w:tr>
        <w:trPr>
          <w:trHeight w:val="183"/>
        </w:trPr>
        <w:tc>
          <w:tcPr>
            <w:tcW w:w="20" w:type="dxa"/>
            <w:vAlign w:val="bottom"/>
          </w:tcPr>
          <w:p>
            <w:pPr>
              <w:spacing w:after="0"/>
              <w:rPr>
                <w:sz w:val="15"/>
                <w:szCs w:val="15"/>
                <w:color w:val="auto"/>
              </w:rPr>
            </w:pPr>
          </w:p>
        </w:tc>
        <w:tc>
          <w:tcPr>
            <w:tcW w:w="3440" w:type="dxa"/>
            <w:vAlign w:val="bottom"/>
          </w:tcPr>
          <w:p>
            <w:pPr>
              <w:spacing w:after="0"/>
              <w:rPr>
                <w:sz w:val="20"/>
                <w:szCs w:val="20"/>
                <w:color w:val="auto"/>
              </w:rPr>
            </w:pPr>
            <w:r>
              <w:rPr>
                <w:rFonts w:ascii="Arial" w:cs="Arial" w:eastAsia="Arial" w:hAnsi="Arial"/>
                <w:sz w:val="15"/>
                <w:szCs w:val="15"/>
                <w:color w:val="auto"/>
              </w:rPr>
              <w:t>International</w:t>
            </w:r>
            <w:r>
              <w:rPr>
                <w:rFonts w:ascii="Arial" w:cs="Arial" w:eastAsia="Arial" w:hAnsi="Arial"/>
                <w:sz w:val="12"/>
                <w:szCs w:val="12"/>
                <w:color w:val="auto"/>
              </w:rPr>
              <w:t>(1)</w:t>
            </w:r>
          </w:p>
        </w:tc>
        <w:tc>
          <w:tcPr>
            <w:tcW w:w="254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5"/>
              </w:rPr>
              <w:t>277.7</w:t>
            </w:r>
          </w:p>
        </w:tc>
        <w:tc>
          <w:tcPr>
            <w:tcW w:w="46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5"/>
              </w:rPr>
              <w:t>388.9</w:t>
            </w:r>
          </w:p>
        </w:tc>
        <w:tc>
          <w:tcPr>
            <w:tcW w:w="4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531.1</w:t>
            </w:r>
          </w:p>
        </w:tc>
        <w:tc>
          <w:tcPr>
            <w:tcW w:w="40" w:type="dxa"/>
            <w:vAlign w:val="bottom"/>
          </w:tcPr>
          <w:p>
            <w:pPr>
              <w:spacing w:after="0"/>
              <w:rPr>
                <w:sz w:val="15"/>
                <w:szCs w:val="15"/>
                <w:color w:val="auto"/>
              </w:rPr>
            </w:pPr>
          </w:p>
        </w:tc>
      </w:tr>
      <w:tr>
        <w:trPr>
          <w:trHeight w:val="180"/>
        </w:trPr>
        <w:tc>
          <w:tcPr>
            <w:tcW w:w="20" w:type="dxa"/>
            <w:vAlign w:val="bottom"/>
          </w:tcPr>
          <w:p>
            <w:pPr>
              <w:spacing w:after="0"/>
              <w:rPr>
                <w:sz w:val="15"/>
                <w:szCs w:val="15"/>
                <w:color w:val="auto"/>
              </w:rPr>
            </w:pPr>
          </w:p>
        </w:tc>
        <w:tc>
          <w:tcPr>
            <w:tcW w:w="3440" w:type="dxa"/>
            <w:vAlign w:val="bottom"/>
            <w:shd w:val="clear" w:color="auto" w:fill="CCEEFF"/>
          </w:tcPr>
          <w:p>
            <w:pPr>
              <w:spacing w:after="0"/>
              <w:rPr>
                <w:sz w:val="20"/>
                <w:szCs w:val="20"/>
                <w:color w:val="auto"/>
              </w:rPr>
            </w:pPr>
            <w:r>
              <w:rPr>
                <w:rFonts w:ascii="Arial" w:cs="Arial" w:eastAsia="Arial" w:hAnsi="Arial"/>
                <w:sz w:val="15"/>
                <w:szCs w:val="15"/>
                <w:color w:val="auto"/>
              </w:rPr>
              <w:t>Total revenue</w:t>
            </w:r>
          </w:p>
        </w:tc>
        <w:tc>
          <w:tcPr>
            <w:tcW w:w="264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603.8</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844.8</w:t>
            </w:r>
          </w:p>
        </w:tc>
        <w:tc>
          <w:tcPr>
            <w:tcW w:w="440" w:type="dxa"/>
            <w:vAlign w:val="bottom"/>
            <w:shd w:val="clear" w:color="auto" w:fill="CCEEFF"/>
          </w:tcPr>
          <w:p>
            <w:pPr>
              <w:spacing w:after="0"/>
              <w:rPr>
                <w:sz w:val="15"/>
                <w:szCs w:val="15"/>
                <w:color w:val="auto"/>
              </w:rPr>
            </w:pPr>
          </w:p>
        </w:tc>
        <w:tc>
          <w:tcPr>
            <w:tcW w:w="80" w:type="dxa"/>
            <w:vAlign w:val="bottom"/>
            <w:gridSpan w:val="2"/>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5"/>
                <w:szCs w:val="15"/>
                <w:color w:val="auto"/>
                <w:w w:val="87"/>
              </w:rPr>
              <w:t>1,106.8</w:t>
            </w:r>
          </w:p>
        </w:tc>
        <w:tc>
          <w:tcPr>
            <w:tcW w:w="40" w:type="dxa"/>
            <w:vAlign w:val="bottom"/>
            <w:shd w:val="clear" w:color="auto" w:fill="CCEEFF"/>
          </w:tcPr>
          <w:p>
            <w:pPr>
              <w:spacing w:after="0"/>
              <w:rPr>
                <w:sz w:val="15"/>
                <w:szCs w:val="15"/>
                <w:color w:val="auto"/>
              </w:rPr>
            </w:pPr>
          </w:p>
        </w:tc>
      </w:tr>
      <w:tr>
        <w:trPr>
          <w:trHeight w:val="20"/>
        </w:trPr>
        <w:tc>
          <w:tcPr>
            <w:tcW w:w="2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4" w:lineRule="exact"/>
        <w:rPr>
          <w:sz w:val="20"/>
          <w:szCs w:val="20"/>
          <w:color w:val="auto"/>
        </w:rPr>
      </w:pPr>
    </w:p>
    <w:p>
      <w:pPr>
        <w:ind w:left="1480" w:right="240" w:hanging="368"/>
        <w:spacing w:after="0" w:line="275" w:lineRule="auto"/>
        <w:tabs>
          <w:tab w:leader="none" w:pos="1480" w:val="left"/>
        </w:tabs>
        <w:numPr>
          <w:ilvl w:val="0"/>
          <w:numId w:val="117"/>
        </w:numPr>
        <w:rPr>
          <w:rFonts w:ascii="Arial" w:cs="Arial" w:eastAsia="Arial" w:hAnsi="Arial"/>
          <w:sz w:val="13"/>
          <w:szCs w:val="13"/>
          <w:color w:val="auto"/>
        </w:rPr>
      </w:pPr>
      <w:r>
        <w:rPr>
          <w:rFonts w:ascii="Arial" w:cs="Arial" w:eastAsia="Arial" w:hAnsi="Arial"/>
          <w:sz w:val="15"/>
          <w:szCs w:val="15"/>
          <w:color w:val="auto"/>
        </w:rPr>
        <w:t>No single country outside of the United States accounted for more than 10 percent of total revenue during the years ended December 31, 2015, 2016, and 2017</w:t>
      </w:r>
    </w:p>
    <w:p>
      <w:pPr>
        <w:spacing w:after="0" w:line="232" w:lineRule="exact"/>
        <w:rPr>
          <w:sz w:val="20"/>
          <w:szCs w:val="20"/>
          <w:color w:val="auto"/>
        </w:rPr>
      </w:pPr>
    </w:p>
    <w:p>
      <w:pPr>
        <w:ind w:left="1120"/>
        <w:spacing w:after="0"/>
        <w:rPr>
          <w:sz w:val="20"/>
          <w:szCs w:val="20"/>
          <w:color w:val="auto"/>
        </w:rPr>
      </w:pPr>
      <w:r>
        <w:rPr>
          <w:rFonts w:ascii="Arial" w:cs="Arial" w:eastAsia="Arial" w:hAnsi="Arial"/>
          <w:sz w:val="15"/>
          <w:szCs w:val="15"/>
          <w:b w:val="1"/>
          <w:bCs w:val="1"/>
          <w:color w:val="auto"/>
        </w:rPr>
        <w:t>Note 17. Subsequent Events</w:t>
      </w:r>
    </w:p>
    <w:p>
      <w:pPr>
        <w:spacing w:after="0" w:line="102" w:lineRule="exact"/>
        <w:rPr>
          <w:sz w:val="20"/>
          <w:szCs w:val="20"/>
          <w:color w:val="auto"/>
        </w:rPr>
      </w:pPr>
    </w:p>
    <w:p>
      <w:pPr>
        <w:ind w:left="1120" w:right="260" w:firstLine="368"/>
        <w:spacing w:after="0" w:line="312" w:lineRule="auto"/>
        <w:rPr>
          <w:sz w:val="20"/>
          <w:szCs w:val="20"/>
          <w:color w:val="auto"/>
        </w:rPr>
      </w:pPr>
      <w:r>
        <w:rPr>
          <w:rFonts w:ascii="Arial" w:cs="Arial" w:eastAsia="Arial" w:hAnsi="Arial"/>
          <w:sz w:val="14"/>
          <w:szCs w:val="14"/>
          <w:color w:val="auto"/>
        </w:rPr>
        <w:t>The Company has evaluated subsequent events through February 23, 2018, the date that the independent auditor’s report as of and for the year ended December 31, 2017 was originally issued and the audited annual consolidated financial statements were available for issuance.</w:t>
      </w:r>
    </w:p>
    <w:p>
      <w:pPr>
        <w:spacing w:after="0" w:line="123" w:lineRule="exact"/>
        <w:rPr>
          <w:sz w:val="20"/>
          <w:szCs w:val="20"/>
          <w:color w:val="auto"/>
        </w:rPr>
      </w:pPr>
    </w:p>
    <w:p>
      <w:pPr>
        <w:ind w:left="1120" w:right="80" w:firstLine="368"/>
        <w:spacing w:after="0" w:line="257" w:lineRule="auto"/>
        <w:rPr>
          <w:sz w:val="20"/>
          <w:szCs w:val="20"/>
          <w:color w:val="auto"/>
        </w:rPr>
      </w:pPr>
      <w:r>
        <w:rPr>
          <w:rFonts w:ascii="Arial" w:cs="Arial" w:eastAsia="Arial" w:hAnsi="Arial"/>
          <w:sz w:val="15"/>
          <w:szCs w:val="15"/>
          <w:color w:val="auto"/>
        </w:rPr>
        <w:t>In February 2018, the Company amended its revolving credit facility to, among other things, permit the Company to make certain investments, enter into an unsecured standby letter of credit facility, and increase its standby letter of credit sublimit to $187.5 million. The Company also increased its borrowing capacity under the revolving credit facility from $600.0 million to $725.0 million. The Company may from time to time request increases in its borrowing capacity under its revolving credit facility of up to $275.0 million, provided no event of default has occurred or is continuing or would result from such increase.</w:t>
      </w:r>
    </w:p>
    <w:p>
      <w:pPr>
        <w:spacing w:after="0" w:line="159" w:lineRule="exact"/>
        <w:rPr>
          <w:sz w:val="20"/>
          <w:szCs w:val="20"/>
          <w:color w:val="auto"/>
        </w:rPr>
      </w:pPr>
    </w:p>
    <w:p>
      <w:pPr>
        <w:ind w:left="1120" w:right="140" w:firstLine="368"/>
        <w:spacing w:after="0" w:line="275" w:lineRule="auto"/>
        <w:rPr>
          <w:sz w:val="20"/>
          <w:szCs w:val="20"/>
          <w:color w:val="auto"/>
        </w:rPr>
      </w:pPr>
      <w:r>
        <w:rPr>
          <w:rFonts w:ascii="Arial" w:cs="Arial" w:eastAsia="Arial" w:hAnsi="Arial"/>
          <w:sz w:val="15"/>
          <w:szCs w:val="15"/>
          <w:color w:val="auto"/>
        </w:rPr>
        <w:t>In February 2018, the Board of Directors approved grants of 9,909,986 RSUs. These RSUs will result in estimated stock-based compensation of $170.2 million, which is expected to be recognized over a weighted-average period of 3.9 years from the grant date.</w:t>
      </w:r>
    </w:p>
    <w:p>
      <w:pPr>
        <w:spacing w:after="0" w:line="146" w:lineRule="exact"/>
        <w:rPr>
          <w:sz w:val="20"/>
          <w:szCs w:val="20"/>
          <w:color w:val="auto"/>
        </w:rPr>
      </w:pPr>
    </w:p>
    <w:p>
      <w:pPr>
        <w:ind w:left="1120" w:right="120" w:firstLine="368"/>
        <w:spacing w:after="0" w:line="312" w:lineRule="auto"/>
        <w:rPr>
          <w:sz w:val="20"/>
          <w:szCs w:val="20"/>
          <w:color w:val="auto"/>
        </w:rPr>
      </w:pPr>
      <w:r>
        <w:rPr>
          <w:rFonts w:ascii="Arial" w:cs="Arial" w:eastAsia="Arial" w:hAnsi="Arial"/>
          <w:sz w:val="14"/>
          <w:szCs w:val="14"/>
          <w:color w:val="auto"/>
        </w:rPr>
        <w:t>In February 2018, the Company’s Board of Directors also approved the acceleration of the Performance Vesting Condition for two-tier RSUs for which the service condition was satisfied, to occur upon the effectiveness of the registration statement related to this offering.</w:t>
      </w:r>
    </w:p>
    <w:p>
      <w:pPr>
        <w:spacing w:after="0" w:line="66" w:lineRule="exact"/>
        <w:rPr>
          <w:sz w:val="20"/>
          <w:szCs w:val="20"/>
          <w:color w:val="auto"/>
        </w:rPr>
      </w:pPr>
    </w:p>
    <w:p>
      <w:pPr>
        <w:ind w:left="5580"/>
        <w:spacing w:after="0"/>
        <w:rPr>
          <w:sz w:val="20"/>
          <w:szCs w:val="20"/>
          <w:color w:val="auto"/>
        </w:rPr>
      </w:pPr>
      <w:r>
        <w:rPr>
          <w:rFonts w:ascii="Arial" w:cs="Arial" w:eastAsia="Arial" w:hAnsi="Arial"/>
          <w:sz w:val="15"/>
          <w:szCs w:val="15"/>
          <w:color w:val="auto"/>
        </w:rPr>
        <w:t>F-36</w:t>
      </w:r>
    </w:p>
    <w:p>
      <w:pPr>
        <w:sectPr>
          <w:pgSz w:w="11900" w:h="16838" w:orient="portrait"/>
          <w:cols w:equalWidth="0" w:num="1">
            <w:col w:w="10300"/>
          </w:cols>
          <w:pgMar w:left="240" w:top="408" w:right="1359" w:bottom="1440" w:gutter="0" w:footer="0" w:header="0"/>
        </w:sectPr>
      </w:pPr>
    </w:p>
    <w:bookmarkStart w:id="239" w:name="page240"/>
    <w:bookmarkEnd w:id="239"/>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133350</wp:posOffset>
            </wp:positionH>
            <wp:positionV relativeFrom="page">
              <wp:posOffset>88900</wp:posOffset>
            </wp:positionV>
            <wp:extent cx="7308850" cy="3429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7308850" cy="34290"/>
                    </a:xfrm>
                    <a:prstGeom prst="rect">
                      <a:avLst/>
                    </a:prstGeom>
                    <a:noFill/>
                  </pic:spPr>
                </pic:pic>
              </a:graphicData>
            </a:graphic>
          </wp:anchor>
        </w:drawing>
      </w:r>
      <w:hyperlink w:anchor="page7">
        <w:r>
          <w:rPr>
            <w:rFonts w:ascii="Arial" w:cs="Arial" w:eastAsia="Arial" w:hAnsi="Arial"/>
            <w:sz w:val="15"/>
            <w:szCs w:val="15"/>
            <w:b w:val="1"/>
            <w:bCs w:val="1"/>
            <w:u w:val="single" w:color="auto"/>
            <w:color w:val="0000EE"/>
          </w:rPr>
          <w:t>Table of Contents</w:t>
        </w:r>
      </w:hyperlink>
    </w:p>
    <w:p>
      <w:pPr>
        <w:spacing w:after="0" w:line="256" w:lineRule="exact"/>
        <w:rPr>
          <w:sz w:val="20"/>
          <w:szCs w:val="20"/>
          <w:color w:val="auto"/>
        </w:rPr>
      </w:pPr>
    </w:p>
    <w:p>
      <w:pPr>
        <w:ind w:left="1120"/>
        <w:spacing w:after="0"/>
        <w:rPr>
          <w:sz w:val="20"/>
          <w:szCs w:val="20"/>
          <w:color w:val="auto"/>
        </w:rPr>
      </w:pPr>
      <w:r>
        <w:rPr>
          <w:rFonts w:ascii="Arial" w:cs="Arial" w:eastAsia="Arial" w:hAnsi="Arial"/>
          <w:sz w:val="15"/>
          <w:szCs w:val="15"/>
          <w:b w:val="1"/>
          <w:bCs w:val="1"/>
          <w:color w:val="auto"/>
        </w:rPr>
        <w:t>Note 18. Subsequent Events (unaudited)</w:t>
      </w:r>
    </w:p>
    <w:p>
      <w:pPr>
        <w:spacing w:after="0" w:line="102" w:lineRule="exact"/>
        <w:rPr>
          <w:sz w:val="20"/>
          <w:szCs w:val="20"/>
          <w:color w:val="auto"/>
        </w:rPr>
      </w:pPr>
    </w:p>
    <w:p>
      <w:pPr>
        <w:ind w:left="1120" w:right="240" w:firstLine="368"/>
        <w:spacing w:after="0" w:line="275" w:lineRule="auto"/>
        <w:rPr>
          <w:sz w:val="20"/>
          <w:szCs w:val="20"/>
          <w:color w:val="auto"/>
        </w:rPr>
      </w:pPr>
      <w:r>
        <w:rPr>
          <w:rFonts w:ascii="Arial" w:cs="Arial" w:eastAsia="Arial" w:hAnsi="Arial"/>
          <w:sz w:val="15"/>
          <w:szCs w:val="15"/>
          <w:color w:val="auto"/>
        </w:rPr>
        <w:t>The Company has evaluated subsequent events through March 21, 2018, the date the consolidated financial statements as of and for the years ended December 31, 2017 were available for issuance.</w:t>
      </w:r>
    </w:p>
    <w:p>
      <w:pPr>
        <w:spacing w:after="0" w:line="146" w:lineRule="exact"/>
        <w:rPr>
          <w:sz w:val="20"/>
          <w:szCs w:val="20"/>
          <w:color w:val="auto"/>
        </w:rPr>
      </w:pPr>
    </w:p>
    <w:p>
      <w:pPr>
        <w:ind w:left="1120" w:right="220" w:firstLine="368"/>
        <w:spacing w:after="0" w:line="275" w:lineRule="auto"/>
        <w:rPr>
          <w:sz w:val="20"/>
          <w:szCs w:val="20"/>
          <w:color w:val="auto"/>
        </w:rPr>
      </w:pPr>
      <w:r>
        <w:rPr>
          <w:rFonts w:ascii="Arial" w:cs="Arial" w:eastAsia="Arial" w:hAnsi="Arial"/>
          <w:sz w:val="15"/>
          <w:szCs w:val="15"/>
          <w:color w:val="auto"/>
        </w:rPr>
        <w:t>In March 2018, the Board of Directors approved grants of 1,011,430 RSUs. These RSUs will result in estimated stock-based compensation of $17.4 million, which is expected to be recognized over a weighted-average period of 3.8 years from the grant date.</w:t>
      </w:r>
    </w:p>
    <w:p>
      <w:pPr>
        <w:spacing w:after="0" w:line="146" w:lineRule="exact"/>
        <w:rPr>
          <w:sz w:val="20"/>
          <w:szCs w:val="20"/>
          <w:color w:val="auto"/>
        </w:rPr>
      </w:pPr>
    </w:p>
    <w:p>
      <w:pPr>
        <w:jc w:val="both"/>
        <w:ind w:left="1120" w:right="260" w:firstLine="368"/>
        <w:spacing w:after="0" w:line="263" w:lineRule="auto"/>
        <w:rPr>
          <w:sz w:val="20"/>
          <w:szCs w:val="20"/>
          <w:color w:val="auto"/>
        </w:rPr>
      </w:pPr>
      <w:r>
        <w:rPr>
          <w:rFonts w:ascii="Arial" w:cs="Arial" w:eastAsia="Arial" w:hAnsi="Arial"/>
          <w:sz w:val="15"/>
          <w:szCs w:val="15"/>
          <w:color w:val="auto"/>
        </w:rPr>
        <w:t>In March 2018, the Company entered into a purchase agreement with Salesforce Ventures LLC to purchase $100.0 million of the Company’s Class A common stock in a private placement at a price per share equal to the initial public offering price. The purchase of the Company’s Class A shares will occur immediately subsequent to the closing of the Company’s initial public offering.</w:t>
      </w:r>
    </w:p>
    <w:p>
      <w:pPr>
        <w:spacing w:after="0" w:line="155" w:lineRule="exact"/>
        <w:rPr>
          <w:sz w:val="20"/>
          <w:szCs w:val="20"/>
          <w:color w:val="auto"/>
        </w:rPr>
      </w:pPr>
    </w:p>
    <w:p>
      <w:pPr>
        <w:jc w:val="both"/>
        <w:ind w:left="1120" w:firstLine="368"/>
        <w:spacing w:after="0" w:line="257" w:lineRule="auto"/>
        <w:rPr>
          <w:sz w:val="20"/>
          <w:szCs w:val="20"/>
          <w:color w:val="auto"/>
        </w:rPr>
      </w:pPr>
      <w:r>
        <w:rPr>
          <w:rFonts w:ascii="Arial" w:cs="Arial" w:eastAsia="Arial" w:hAnsi="Arial"/>
          <w:sz w:val="15"/>
          <w:szCs w:val="15"/>
          <w:color w:val="auto"/>
        </w:rPr>
        <w:t>In February 2018, the Board of Directors approved, and in March 2018 the Company’s stockholders approved, grants of RSUs with an aggregate value of $1.2 million to four of the Company’s non-employee directors. The awards will be effective as of immediately prior to the effectiveness of the registration statement related to this offering, subject to each director’s continued service with the Company. The number of RSUs subject to the award will equal the value of the award divided by the per share price of Class A common stock listed on the cover of the registration statement related to this offering.</w:t>
      </w:r>
    </w:p>
    <w:p>
      <w:pPr>
        <w:spacing w:after="0" w:line="159" w:lineRule="exact"/>
        <w:rPr>
          <w:sz w:val="20"/>
          <w:szCs w:val="20"/>
          <w:color w:val="auto"/>
        </w:rPr>
      </w:pPr>
    </w:p>
    <w:p>
      <w:pPr>
        <w:ind w:left="1120" w:right="60" w:firstLine="368"/>
        <w:spacing w:after="0" w:line="279" w:lineRule="auto"/>
        <w:rPr>
          <w:sz w:val="20"/>
          <w:szCs w:val="20"/>
          <w:color w:val="auto"/>
        </w:rPr>
      </w:pPr>
      <w:r>
        <w:rPr>
          <w:rFonts w:ascii="Arial" w:cs="Arial" w:eastAsia="Arial" w:hAnsi="Arial"/>
          <w:sz w:val="14"/>
          <w:szCs w:val="14"/>
          <w:color w:val="auto"/>
        </w:rPr>
        <w:t>Additionally, in February 2018, the Board of Directors approved, and in March 2018 the Company’s stockholders approved, the Company’s amended and restated certificate of incorporation, which will become effective immediately prior to the completion of this offering, the increase in the total number of shares of Class A common stock reserved for issuance under the 2017 Plan by 1,333,333 shares, and the adoption of the 2018 Equity Incentive Plan, the 2018 Class C Stock Incentive Plan, the 2018 Employee Stock Purchase Plan, the 2018 Class C Employee Stock Purchase Plan, and the form of indemnification agreement the Company has entered into with its directors and executive officers.</w:t>
      </w:r>
    </w:p>
    <w:p>
      <w:pPr>
        <w:spacing w:after="0" w:line="91" w:lineRule="exact"/>
        <w:rPr>
          <w:sz w:val="20"/>
          <w:szCs w:val="20"/>
          <w:color w:val="auto"/>
        </w:rPr>
      </w:pPr>
    </w:p>
    <w:p>
      <w:pPr>
        <w:ind w:left="5580"/>
        <w:spacing w:after="0"/>
        <w:rPr>
          <w:sz w:val="20"/>
          <w:szCs w:val="20"/>
          <w:color w:val="auto"/>
        </w:rPr>
      </w:pPr>
      <w:r>
        <w:rPr>
          <w:rFonts w:ascii="Arial" w:cs="Arial" w:eastAsia="Arial" w:hAnsi="Arial"/>
          <w:sz w:val="15"/>
          <w:szCs w:val="15"/>
          <w:color w:val="auto"/>
        </w:rPr>
        <w:t>F-37</w:t>
      </w:r>
    </w:p>
    <w:p>
      <w:pPr>
        <w:sectPr>
          <w:pgSz w:w="11900" w:h="16838" w:orient="portrait"/>
          <w:cols w:equalWidth="0" w:num="1">
            <w:col w:w="10220"/>
          </w:cols>
          <w:pgMar w:left="240" w:top="408" w:right="1439" w:bottom="1440" w:gutter="0" w:footer="0" w:header="0"/>
        </w:sectPr>
      </w:pPr>
    </w:p>
    <w:bookmarkStart w:id="240" w:name="page241"/>
    <w:bookmarkEnd w:id="240"/>
    <w:p>
      <w:pPr>
        <w:spacing w:after="0"/>
        <w:rPr>
          <w:rFonts w:ascii="Arial" w:cs="Arial" w:eastAsia="Arial" w:hAnsi="Arial"/>
          <w:sz w:val="13"/>
          <w:szCs w:val="13"/>
          <w:b w:val="1"/>
          <w:bCs w:val="1"/>
          <w:u w:val="single" w:color="auto"/>
          <w:color w:val="0000EE"/>
        </w:rPr>
      </w:pPr>
      <w:r>
        <w:rPr>
          <w:rFonts w:ascii="Arial" w:cs="Arial" w:eastAsia="Arial" w:hAnsi="Arial"/>
          <w:sz w:val="13"/>
          <w:szCs w:val="13"/>
          <w:b w:val="1"/>
          <w:bCs w:val="1"/>
          <w:u w:val="single" w:color="auto"/>
          <w:color w:val="0000EE"/>
        </w:rPr>
        <w:drawing>
          <wp:anchor simplePos="0" relativeHeight="251657728" behindDoc="1" locked="0" layoutInCell="0" allowOverlap="1">
            <wp:simplePos x="0" y="0"/>
            <wp:positionH relativeFrom="page">
              <wp:posOffset>133350</wp:posOffset>
            </wp:positionH>
            <wp:positionV relativeFrom="page">
              <wp:posOffset>88900</wp:posOffset>
            </wp:positionV>
            <wp:extent cx="7308850" cy="3429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7308850" cy="34290"/>
                    </a:xfrm>
                    <a:prstGeom prst="rect">
                      <a:avLst/>
                    </a:prstGeom>
                    <a:noFill/>
                  </pic:spPr>
                </pic:pic>
              </a:graphicData>
            </a:graphic>
          </wp:anchor>
        </w:drawing>
      </w:r>
      <w:hyperlink w:anchor="page7">
        <w:r>
          <w:rPr>
            <w:rFonts w:ascii="Arial" w:cs="Arial" w:eastAsia="Arial" w:hAnsi="Arial"/>
            <w:sz w:val="13"/>
            <w:szCs w:val="13"/>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1196975</wp:posOffset>
            </wp:positionH>
            <wp:positionV relativeFrom="paragraph">
              <wp:posOffset>186055</wp:posOffset>
            </wp:positionV>
            <wp:extent cx="4869815" cy="625919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4869815" cy="6259195"/>
                    </a:xfrm>
                    <a:prstGeom prst="rect">
                      <a:avLst/>
                    </a:prstGeom>
                    <a:noFill/>
                  </pic:spPr>
                </pic:pic>
              </a:graphicData>
            </a:graphic>
          </wp:anchor>
        </w:drawing>
      </w:r>
    </w:p>
    <w:p>
      <w:pPr>
        <w:sectPr>
          <w:pgSz w:w="11900" w:h="16838" w:orient="portrait"/>
          <w:cols w:equalWidth="0" w:num="1">
            <w:col w:w="10219"/>
          </w:cols>
          <w:pgMar w:left="240" w:top="408" w:right="1440" w:bottom="1440" w:gutter="0" w:footer="0" w:header="0"/>
        </w:sectPr>
      </w:pPr>
    </w:p>
    <w:bookmarkStart w:id="241" w:name="page242"/>
    <w:bookmarkEnd w:id="241"/>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133350</wp:posOffset>
            </wp:positionH>
            <wp:positionV relativeFrom="page">
              <wp:posOffset>88900</wp:posOffset>
            </wp:positionV>
            <wp:extent cx="7308850" cy="3429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7308850" cy="34290"/>
                    </a:xfrm>
                    <a:prstGeom prst="rect">
                      <a:avLst/>
                    </a:prstGeom>
                    <a:noFill/>
                  </pic:spPr>
                </pic:pic>
              </a:graphicData>
            </a:graphic>
          </wp:anchor>
        </w:drawing>
      </w:r>
      <w:hyperlink w:anchor="page7">
        <w:r>
          <w:rPr>
            <w:rFonts w:ascii="Arial" w:cs="Arial" w:eastAsia="Arial" w:hAnsi="Arial"/>
            <w:sz w:val="15"/>
            <w:szCs w:val="15"/>
            <w:b w:val="1"/>
            <w:bCs w:val="1"/>
            <w:u w:val="single" w:color="auto"/>
            <w:color w:val="0000EE"/>
          </w:rPr>
          <w:t>Table of Contents</w:t>
        </w:r>
      </w:hyperlink>
    </w:p>
    <w:p>
      <w:pPr>
        <w:spacing w:after="0" w:line="256" w:lineRule="exact"/>
        <w:rPr>
          <w:sz w:val="20"/>
          <w:szCs w:val="20"/>
          <w:color w:val="auto"/>
        </w:rPr>
      </w:pPr>
    </w:p>
    <w:p>
      <w:pPr>
        <w:jc w:val="center"/>
        <w:ind w:right="-1179"/>
        <w:spacing w:after="0"/>
        <w:rPr>
          <w:sz w:val="20"/>
          <w:szCs w:val="20"/>
          <w:color w:val="auto"/>
        </w:rPr>
      </w:pPr>
      <w:r>
        <w:rPr>
          <w:rFonts w:ascii="Arial" w:cs="Arial" w:eastAsia="Arial" w:hAnsi="Arial"/>
          <w:sz w:val="15"/>
          <w:szCs w:val="15"/>
          <w:b w:val="1"/>
          <w:bCs w:val="1"/>
          <w:color w:val="auto"/>
        </w:rPr>
        <w:t>PART II</w:t>
      </w:r>
    </w:p>
    <w:p>
      <w:pPr>
        <w:spacing w:after="0" w:line="188" w:lineRule="exact"/>
        <w:rPr>
          <w:sz w:val="20"/>
          <w:szCs w:val="20"/>
          <w:color w:val="auto"/>
        </w:rPr>
      </w:pPr>
    </w:p>
    <w:p>
      <w:pPr>
        <w:ind w:left="3940"/>
        <w:spacing w:after="0"/>
        <w:rPr>
          <w:sz w:val="20"/>
          <w:szCs w:val="20"/>
          <w:color w:val="auto"/>
        </w:rPr>
      </w:pPr>
      <w:r>
        <w:rPr>
          <w:rFonts w:ascii="Arial" w:cs="Arial" w:eastAsia="Arial" w:hAnsi="Arial"/>
          <w:sz w:val="15"/>
          <w:szCs w:val="15"/>
          <w:b w:val="1"/>
          <w:bCs w:val="1"/>
          <w:color w:val="auto"/>
        </w:rPr>
        <w:t>INFORMATION NOT REQUIRED IN PROSPECTUS</w:t>
      </w:r>
    </w:p>
    <w:p>
      <w:pPr>
        <w:spacing w:after="0" w:line="188" w:lineRule="exact"/>
        <w:rPr>
          <w:sz w:val="20"/>
          <w:szCs w:val="20"/>
          <w:color w:val="auto"/>
        </w:rPr>
      </w:pPr>
    </w:p>
    <w:p>
      <w:pPr>
        <w:ind w:left="1120"/>
        <w:spacing w:after="0"/>
        <w:rPr>
          <w:sz w:val="20"/>
          <w:szCs w:val="20"/>
          <w:color w:val="auto"/>
        </w:rPr>
      </w:pPr>
      <w:r>
        <w:rPr>
          <w:rFonts w:ascii="Arial" w:cs="Arial" w:eastAsia="Arial" w:hAnsi="Arial"/>
          <w:sz w:val="15"/>
          <w:szCs w:val="15"/>
          <w:b w:val="1"/>
          <w:bCs w:val="1"/>
          <w:color w:val="auto"/>
        </w:rPr>
        <w:t>ITEM 13. OTHER EXPENSES OF ISSUANCE AND DISTRIBUTION.</w:t>
      </w:r>
    </w:p>
    <w:p>
      <w:pPr>
        <w:spacing w:after="0" w:line="102" w:lineRule="exact"/>
        <w:rPr>
          <w:sz w:val="20"/>
          <w:szCs w:val="20"/>
          <w:color w:val="auto"/>
        </w:rPr>
      </w:pPr>
    </w:p>
    <w:p>
      <w:pPr>
        <w:ind w:left="1480"/>
        <w:spacing w:after="0"/>
        <w:rPr>
          <w:sz w:val="20"/>
          <w:szCs w:val="20"/>
          <w:color w:val="auto"/>
        </w:rPr>
      </w:pPr>
      <w:r>
        <w:rPr>
          <w:rFonts w:ascii="Arial" w:cs="Arial" w:eastAsia="Arial" w:hAnsi="Arial"/>
          <w:sz w:val="13"/>
          <w:szCs w:val="13"/>
          <w:color w:val="auto"/>
        </w:rPr>
        <w:t>The following table sets forth all expenses to be paid by us, other than underwriting discounts and commissions, upon completion of this offering.</w:t>
      </w:r>
    </w:p>
    <w:p>
      <w:pPr>
        <w:spacing w:after="0" w:line="40" w:lineRule="exact"/>
        <w:rPr>
          <w:sz w:val="20"/>
          <w:szCs w:val="20"/>
          <w:color w:val="auto"/>
        </w:rPr>
      </w:pPr>
    </w:p>
    <w:p>
      <w:pPr>
        <w:ind w:left="1120"/>
        <w:spacing w:after="0"/>
        <w:rPr>
          <w:sz w:val="20"/>
          <w:szCs w:val="20"/>
          <w:color w:val="auto"/>
        </w:rPr>
      </w:pPr>
      <w:r>
        <w:rPr>
          <w:rFonts w:ascii="Arial" w:cs="Arial" w:eastAsia="Arial" w:hAnsi="Arial"/>
          <w:sz w:val="15"/>
          <w:szCs w:val="15"/>
          <w:color w:val="auto"/>
        </w:rPr>
        <w:t>All amounts shown are estimates except for the SEC registration fee, the FINRA filing fee and the exchange listing fee.</w:t>
      </w:r>
    </w:p>
    <w:p>
      <w:pPr>
        <w:spacing w:after="0" w:line="179" w:lineRule="exact"/>
        <w:rPr>
          <w:sz w:val="20"/>
          <w:szCs w:val="20"/>
          <w:color w:val="auto"/>
        </w:rPr>
      </w:pPr>
    </w:p>
    <w:tbl>
      <w:tblPr>
        <w:tblLayout w:type="fixed"/>
        <w:tblInd w:w="2580" w:type="dxa"/>
        <w:tblCellMar>
          <w:top w:w="0" w:type="dxa"/>
          <w:left w:w="0" w:type="dxa"/>
          <w:bottom w:w="0" w:type="dxa"/>
          <w:right w:w="0" w:type="dxa"/>
        </w:tblCellMar>
      </w:tblPr>
      <w:tr>
        <w:trPr>
          <w:trHeight w:val="138"/>
        </w:trPr>
        <w:tc>
          <w:tcPr>
            <w:tcW w:w="20" w:type="dxa"/>
            <w:vAlign w:val="bottom"/>
          </w:tcPr>
          <w:p>
            <w:pPr>
              <w:spacing w:after="0"/>
              <w:rPr>
                <w:sz w:val="12"/>
                <w:szCs w:val="12"/>
                <w:color w:val="auto"/>
              </w:rPr>
            </w:pPr>
          </w:p>
        </w:tc>
        <w:tc>
          <w:tcPr>
            <w:tcW w:w="372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tcPr>
          <w:p>
            <w:pPr>
              <w:jc w:val="center"/>
              <w:ind w:right="140"/>
              <w:spacing w:after="0"/>
              <w:rPr>
                <w:sz w:val="20"/>
                <w:szCs w:val="20"/>
                <w:color w:val="auto"/>
              </w:rPr>
            </w:pPr>
            <w:r>
              <w:rPr>
                <w:rFonts w:ascii="Arial" w:cs="Arial" w:eastAsia="Arial" w:hAnsi="Arial"/>
                <w:sz w:val="12"/>
                <w:szCs w:val="12"/>
                <w:b w:val="1"/>
                <w:bCs w:val="1"/>
                <w:color w:val="auto"/>
                <w:w w:val="92"/>
              </w:rPr>
              <w:t>Amount</w:t>
            </w:r>
          </w:p>
        </w:tc>
      </w:tr>
      <w:tr>
        <w:trPr>
          <w:trHeight w:val="144"/>
        </w:trPr>
        <w:tc>
          <w:tcPr>
            <w:tcW w:w="20" w:type="dxa"/>
            <w:vAlign w:val="bottom"/>
          </w:tcPr>
          <w:p>
            <w:pPr>
              <w:spacing w:after="0"/>
              <w:rPr>
                <w:sz w:val="12"/>
                <w:szCs w:val="12"/>
                <w:color w:val="auto"/>
              </w:rPr>
            </w:pPr>
          </w:p>
        </w:tc>
        <w:tc>
          <w:tcPr>
            <w:tcW w:w="372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tcPr>
          <w:p>
            <w:pPr>
              <w:jc w:val="center"/>
              <w:ind w:right="140"/>
              <w:spacing w:after="0"/>
              <w:rPr>
                <w:sz w:val="20"/>
                <w:szCs w:val="20"/>
                <w:color w:val="auto"/>
              </w:rPr>
            </w:pPr>
            <w:r>
              <w:rPr>
                <w:rFonts w:ascii="Arial" w:cs="Arial" w:eastAsia="Arial" w:hAnsi="Arial"/>
                <w:sz w:val="12"/>
                <w:szCs w:val="12"/>
                <w:b w:val="1"/>
                <w:bCs w:val="1"/>
                <w:color w:val="auto"/>
                <w:w w:val="88"/>
              </w:rPr>
              <w:t>to be paid</w:t>
            </w:r>
          </w:p>
        </w:tc>
      </w:tr>
      <w:tr>
        <w:trPr>
          <w:trHeight w:val="172"/>
        </w:trPr>
        <w:tc>
          <w:tcPr>
            <w:tcW w:w="20" w:type="dxa"/>
            <w:vAlign w:val="bottom"/>
          </w:tcPr>
          <w:p>
            <w:pPr>
              <w:spacing w:after="0"/>
              <w:rPr>
                <w:sz w:val="14"/>
                <w:szCs w:val="14"/>
                <w:color w:val="auto"/>
              </w:rPr>
            </w:pPr>
          </w:p>
        </w:tc>
        <w:tc>
          <w:tcPr>
            <w:tcW w:w="3720" w:type="dxa"/>
            <w:vAlign w:val="bottom"/>
            <w:tcBorders>
              <w:top w:val="single" w:sz="8" w:color="CCEEFF"/>
            </w:tcBorders>
            <w:shd w:val="clear" w:color="auto" w:fill="CCEEFF"/>
          </w:tcPr>
          <w:p>
            <w:pPr>
              <w:spacing w:after="0" w:line="170" w:lineRule="exact"/>
              <w:rPr>
                <w:sz w:val="20"/>
                <w:szCs w:val="20"/>
                <w:color w:val="auto"/>
              </w:rPr>
            </w:pPr>
            <w:r>
              <w:rPr>
                <w:rFonts w:ascii="Arial" w:cs="Arial" w:eastAsia="Arial" w:hAnsi="Arial"/>
                <w:sz w:val="15"/>
                <w:szCs w:val="15"/>
                <w:color w:val="auto"/>
              </w:rPr>
              <w:t>SEC registration fee</w:t>
            </w:r>
          </w:p>
        </w:tc>
        <w:tc>
          <w:tcPr>
            <w:tcW w:w="176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92,778</w:t>
            </w:r>
          </w:p>
        </w:tc>
        <w:tc>
          <w:tcPr>
            <w:tcW w:w="60" w:type="dxa"/>
            <w:vAlign w:val="bottom"/>
            <w:tcBorders>
              <w:top w:val="single" w:sz="8" w:color="CCEEFF"/>
            </w:tcBorders>
            <w:shd w:val="clear" w:color="auto" w:fill="CCEEFF"/>
          </w:tcPr>
          <w:p>
            <w:pPr>
              <w:spacing w:after="0"/>
              <w:rPr>
                <w:sz w:val="14"/>
                <w:szCs w:val="14"/>
                <w:color w:val="auto"/>
              </w:rPr>
            </w:pPr>
          </w:p>
        </w:tc>
      </w:tr>
      <w:tr>
        <w:trPr>
          <w:trHeight w:val="180"/>
        </w:trPr>
        <w:tc>
          <w:tcPr>
            <w:tcW w:w="20" w:type="dxa"/>
            <w:vAlign w:val="bottom"/>
          </w:tcPr>
          <w:p>
            <w:pPr>
              <w:spacing w:after="0"/>
              <w:rPr>
                <w:sz w:val="15"/>
                <w:szCs w:val="15"/>
                <w:color w:val="auto"/>
              </w:rPr>
            </w:pPr>
          </w:p>
        </w:tc>
        <w:tc>
          <w:tcPr>
            <w:tcW w:w="3720" w:type="dxa"/>
            <w:vAlign w:val="bottom"/>
          </w:tcPr>
          <w:p>
            <w:pPr>
              <w:spacing w:after="0"/>
              <w:rPr>
                <w:sz w:val="20"/>
                <w:szCs w:val="20"/>
                <w:color w:val="auto"/>
              </w:rPr>
            </w:pPr>
            <w:r>
              <w:rPr>
                <w:rFonts w:ascii="Arial" w:cs="Arial" w:eastAsia="Arial" w:hAnsi="Arial"/>
                <w:sz w:val="15"/>
                <w:szCs w:val="15"/>
                <w:color w:val="auto"/>
              </w:rPr>
              <w:t>FINRA filing fee</w:t>
            </w:r>
          </w:p>
        </w:tc>
        <w:tc>
          <w:tcPr>
            <w:tcW w:w="1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5"/>
                <w:szCs w:val="15"/>
                <w:color w:val="auto"/>
              </w:rPr>
              <w:t>124,700</w:t>
            </w:r>
          </w:p>
        </w:tc>
        <w:tc>
          <w:tcPr>
            <w:tcW w:w="60" w:type="dxa"/>
            <w:vAlign w:val="bottom"/>
          </w:tcPr>
          <w:p>
            <w:pPr>
              <w:spacing w:after="0"/>
              <w:rPr>
                <w:sz w:val="15"/>
                <w:szCs w:val="15"/>
                <w:color w:val="auto"/>
              </w:rPr>
            </w:pPr>
          </w:p>
        </w:tc>
      </w:tr>
      <w:tr>
        <w:trPr>
          <w:trHeight w:val="180"/>
        </w:trPr>
        <w:tc>
          <w:tcPr>
            <w:tcW w:w="20" w:type="dxa"/>
            <w:vAlign w:val="bottom"/>
          </w:tcPr>
          <w:p>
            <w:pPr>
              <w:spacing w:after="0"/>
              <w:rPr>
                <w:sz w:val="15"/>
                <w:szCs w:val="15"/>
                <w:color w:val="auto"/>
              </w:rPr>
            </w:pPr>
          </w:p>
        </w:tc>
        <w:tc>
          <w:tcPr>
            <w:tcW w:w="3720" w:type="dxa"/>
            <w:vAlign w:val="bottom"/>
            <w:shd w:val="clear" w:color="auto" w:fill="CCEEFF"/>
          </w:tcPr>
          <w:p>
            <w:pPr>
              <w:spacing w:after="0"/>
              <w:rPr>
                <w:sz w:val="20"/>
                <w:szCs w:val="20"/>
                <w:color w:val="auto"/>
              </w:rPr>
            </w:pPr>
            <w:r>
              <w:rPr>
                <w:rFonts w:ascii="Arial" w:cs="Arial" w:eastAsia="Arial" w:hAnsi="Arial"/>
                <w:sz w:val="15"/>
                <w:szCs w:val="15"/>
                <w:color w:val="auto"/>
              </w:rPr>
              <w:t>Exchange listing fee</w:t>
            </w:r>
          </w:p>
        </w:tc>
        <w:tc>
          <w:tcPr>
            <w:tcW w:w="17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225,000</w:t>
            </w:r>
          </w:p>
        </w:tc>
        <w:tc>
          <w:tcPr>
            <w:tcW w:w="60" w:type="dxa"/>
            <w:vAlign w:val="bottom"/>
            <w:shd w:val="clear" w:color="auto" w:fill="CCEEFF"/>
          </w:tcPr>
          <w:p>
            <w:pPr>
              <w:spacing w:after="0"/>
              <w:rPr>
                <w:sz w:val="15"/>
                <w:szCs w:val="15"/>
                <w:color w:val="auto"/>
              </w:rPr>
            </w:pPr>
          </w:p>
        </w:tc>
      </w:tr>
      <w:tr>
        <w:trPr>
          <w:trHeight w:val="180"/>
        </w:trPr>
        <w:tc>
          <w:tcPr>
            <w:tcW w:w="20" w:type="dxa"/>
            <w:vAlign w:val="bottom"/>
          </w:tcPr>
          <w:p>
            <w:pPr>
              <w:spacing w:after="0"/>
              <w:rPr>
                <w:sz w:val="15"/>
                <w:szCs w:val="15"/>
                <w:color w:val="auto"/>
              </w:rPr>
            </w:pPr>
          </w:p>
        </w:tc>
        <w:tc>
          <w:tcPr>
            <w:tcW w:w="3720" w:type="dxa"/>
            <w:vAlign w:val="bottom"/>
          </w:tcPr>
          <w:p>
            <w:pPr>
              <w:spacing w:after="0"/>
              <w:rPr>
                <w:sz w:val="20"/>
                <w:szCs w:val="20"/>
                <w:color w:val="auto"/>
              </w:rPr>
            </w:pPr>
            <w:r>
              <w:rPr>
                <w:rFonts w:ascii="Arial" w:cs="Arial" w:eastAsia="Arial" w:hAnsi="Arial"/>
                <w:sz w:val="15"/>
                <w:szCs w:val="15"/>
                <w:color w:val="auto"/>
              </w:rPr>
              <w:t>Printing and engraving expenses</w:t>
            </w:r>
          </w:p>
        </w:tc>
        <w:tc>
          <w:tcPr>
            <w:tcW w:w="1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5"/>
                <w:szCs w:val="15"/>
                <w:color w:val="auto"/>
              </w:rPr>
              <w:t>875,000</w:t>
            </w:r>
          </w:p>
        </w:tc>
        <w:tc>
          <w:tcPr>
            <w:tcW w:w="60" w:type="dxa"/>
            <w:vAlign w:val="bottom"/>
          </w:tcPr>
          <w:p>
            <w:pPr>
              <w:spacing w:after="0"/>
              <w:rPr>
                <w:sz w:val="15"/>
                <w:szCs w:val="15"/>
                <w:color w:val="auto"/>
              </w:rPr>
            </w:pPr>
          </w:p>
        </w:tc>
      </w:tr>
      <w:tr>
        <w:trPr>
          <w:trHeight w:val="180"/>
        </w:trPr>
        <w:tc>
          <w:tcPr>
            <w:tcW w:w="20" w:type="dxa"/>
            <w:vAlign w:val="bottom"/>
          </w:tcPr>
          <w:p>
            <w:pPr>
              <w:spacing w:after="0"/>
              <w:rPr>
                <w:sz w:val="15"/>
                <w:szCs w:val="15"/>
                <w:color w:val="auto"/>
              </w:rPr>
            </w:pPr>
          </w:p>
        </w:tc>
        <w:tc>
          <w:tcPr>
            <w:tcW w:w="3720" w:type="dxa"/>
            <w:vAlign w:val="bottom"/>
            <w:shd w:val="clear" w:color="auto" w:fill="CCEEFF"/>
          </w:tcPr>
          <w:p>
            <w:pPr>
              <w:spacing w:after="0"/>
              <w:rPr>
                <w:sz w:val="20"/>
                <w:szCs w:val="20"/>
                <w:color w:val="auto"/>
              </w:rPr>
            </w:pPr>
            <w:r>
              <w:rPr>
                <w:rFonts w:ascii="Arial" w:cs="Arial" w:eastAsia="Arial" w:hAnsi="Arial"/>
                <w:sz w:val="15"/>
                <w:szCs w:val="15"/>
                <w:color w:val="auto"/>
              </w:rPr>
              <w:t>Legal fees and expenses</w:t>
            </w:r>
          </w:p>
        </w:tc>
        <w:tc>
          <w:tcPr>
            <w:tcW w:w="17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89"/>
              </w:rPr>
              <w:t>2,500,000</w:t>
            </w:r>
          </w:p>
        </w:tc>
        <w:tc>
          <w:tcPr>
            <w:tcW w:w="60" w:type="dxa"/>
            <w:vAlign w:val="bottom"/>
            <w:shd w:val="clear" w:color="auto" w:fill="CCEEFF"/>
          </w:tcPr>
          <w:p>
            <w:pPr>
              <w:spacing w:after="0"/>
              <w:rPr>
                <w:sz w:val="15"/>
                <w:szCs w:val="15"/>
                <w:color w:val="auto"/>
              </w:rPr>
            </w:pPr>
          </w:p>
        </w:tc>
      </w:tr>
      <w:tr>
        <w:trPr>
          <w:trHeight w:val="180"/>
        </w:trPr>
        <w:tc>
          <w:tcPr>
            <w:tcW w:w="20" w:type="dxa"/>
            <w:vAlign w:val="bottom"/>
          </w:tcPr>
          <w:p>
            <w:pPr>
              <w:spacing w:after="0"/>
              <w:rPr>
                <w:sz w:val="15"/>
                <w:szCs w:val="15"/>
                <w:color w:val="auto"/>
              </w:rPr>
            </w:pPr>
          </w:p>
        </w:tc>
        <w:tc>
          <w:tcPr>
            <w:tcW w:w="3720" w:type="dxa"/>
            <w:vAlign w:val="bottom"/>
          </w:tcPr>
          <w:p>
            <w:pPr>
              <w:spacing w:after="0"/>
              <w:rPr>
                <w:sz w:val="20"/>
                <w:szCs w:val="20"/>
                <w:color w:val="auto"/>
              </w:rPr>
            </w:pPr>
            <w:r>
              <w:rPr>
                <w:rFonts w:ascii="Arial" w:cs="Arial" w:eastAsia="Arial" w:hAnsi="Arial"/>
                <w:sz w:val="15"/>
                <w:szCs w:val="15"/>
                <w:color w:val="auto"/>
              </w:rPr>
              <w:t>Accounting fees and expenses</w:t>
            </w:r>
          </w:p>
        </w:tc>
        <w:tc>
          <w:tcPr>
            <w:tcW w:w="1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5"/>
                <w:szCs w:val="15"/>
                <w:color w:val="auto"/>
                <w:w w:val="89"/>
              </w:rPr>
              <w:t>2,500,000</w:t>
            </w:r>
          </w:p>
        </w:tc>
        <w:tc>
          <w:tcPr>
            <w:tcW w:w="60" w:type="dxa"/>
            <w:vAlign w:val="bottom"/>
          </w:tcPr>
          <w:p>
            <w:pPr>
              <w:spacing w:after="0"/>
              <w:rPr>
                <w:sz w:val="15"/>
                <w:szCs w:val="15"/>
                <w:color w:val="auto"/>
              </w:rPr>
            </w:pPr>
          </w:p>
        </w:tc>
      </w:tr>
      <w:tr>
        <w:trPr>
          <w:trHeight w:val="180"/>
        </w:trPr>
        <w:tc>
          <w:tcPr>
            <w:tcW w:w="20" w:type="dxa"/>
            <w:vAlign w:val="bottom"/>
          </w:tcPr>
          <w:p>
            <w:pPr>
              <w:spacing w:after="0"/>
              <w:rPr>
                <w:sz w:val="15"/>
                <w:szCs w:val="15"/>
                <w:color w:val="auto"/>
              </w:rPr>
            </w:pPr>
          </w:p>
        </w:tc>
        <w:tc>
          <w:tcPr>
            <w:tcW w:w="3720" w:type="dxa"/>
            <w:vAlign w:val="bottom"/>
            <w:shd w:val="clear" w:color="auto" w:fill="CCEEFF"/>
          </w:tcPr>
          <w:p>
            <w:pPr>
              <w:spacing w:after="0"/>
              <w:rPr>
                <w:sz w:val="20"/>
                <w:szCs w:val="20"/>
                <w:color w:val="auto"/>
              </w:rPr>
            </w:pPr>
            <w:r>
              <w:rPr>
                <w:rFonts w:ascii="Arial" w:cs="Arial" w:eastAsia="Arial" w:hAnsi="Arial"/>
                <w:sz w:val="15"/>
                <w:szCs w:val="15"/>
                <w:color w:val="auto"/>
              </w:rPr>
              <w:t>Transfer agent and registrar fees</w:t>
            </w:r>
          </w:p>
        </w:tc>
        <w:tc>
          <w:tcPr>
            <w:tcW w:w="17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10,000</w:t>
            </w:r>
          </w:p>
        </w:tc>
        <w:tc>
          <w:tcPr>
            <w:tcW w:w="60" w:type="dxa"/>
            <w:vAlign w:val="bottom"/>
            <w:shd w:val="clear" w:color="auto" w:fill="CCEEFF"/>
          </w:tcPr>
          <w:p>
            <w:pPr>
              <w:spacing w:after="0"/>
              <w:rPr>
                <w:sz w:val="15"/>
                <w:szCs w:val="15"/>
                <w:color w:val="auto"/>
              </w:rPr>
            </w:pPr>
          </w:p>
        </w:tc>
      </w:tr>
      <w:tr>
        <w:trPr>
          <w:trHeight w:val="183"/>
        </w:trPr>
        <w:tc>
          <w:tcPr>
            <w:tcW w:w="20" w:type="dxa"/>
            <w:vAlign w:val="bottom"/>
          </w:tcPr>
          <w:p>
            <w:pPr>
              <w:spacing w:after="0"/>
              <w:rPr>
                <w:sz w:val="15"/>
                <w:szCs w:val="15"/>
                <w:color w:val="auto"/>
              </w:rPr>
            </w:pPr>
          </w:p>
        </w:tc>
        <w:tc>
          <w:tcPr>
            <w:tcW w:w="3720" w:type="dxa"/>
            <w:vAlign w:val="bottom"/>
          </w:tcPr>
          <w:p>
            <w:pPr>
              <w:spacing w:after="0"/>
              <w:rPr>
                <w:sz w:val="20"/>
                <w:szCs w:val="20"/>
                <w:color w:val="auto"/>
              </w:rPr>
            </w:pPr>
            <w:r>
              <w:rPr>
                <w:rFonts w:ascii="Arial" w:cs="Arial" w:eastAsia="Arial" w:hAnsi="Arial"/>
                <w:sz w:val="15"/>
                <w:szCs w:val="15"/>
                <w:color w:val="auto"/>
              </w:rPr>
              <w:t>Miscellaneous</w:t>
            </w:r>
          </w:p>
        </w:tc>
        <w:tc>
          <w:tcPr>
            <w:tcW w:w="176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672,522</w:t>
            </w:r>
          </w:p>
        </w:tc>
        <w:tc>
          <w:tcPr>
            <w:tcW w:w="60" w:type="dxa"/>
            <w:vAlign w:val="bottom"/>
          </w:tcPr>
          <w:p>
            <w:pPr>
              <w:spacing w:after="0"/>
              <w:rPr>
                <w:sz w:val="15"/>
                <w:szCs w:val="15"/>
                <w:color w:val="auto"/>
              </w:rPr>
            </w:pPr>
          </w:p>
        </w:tc>
      </w:tr>
      <w:tr>
        <w:trPr>
          <w:trHeight w:val="180"/>
        </w:trPr>
        <w:tc>
          <w:tcPr>
            <w:tcW w:w="20" w:type="dxa"/>
            <w:vAlign w:val="bottom"/>
          </w:tcPr>
          <w:p>
            <w:pPr>
              <w:spacing w:after="0"/>
              <w:rPr>
                <w:sz w:val="15"/>
                <w:szCs w:val="15"/>
                <w:color w:val="auto"/>
              </w:rPr>
            </w:pPr>
          </w:p>
        </w:tc>
        <w:tc>
          <w:tcPr>
            <w:tcW w:w="3720" w:type="dxa"/>
            <w:vAlign w:val="bottom"/>
            <w:shd w:val="clear" w:color="auto" w:fill="CCEEFF"/>
          </w:tcPr>
          <w:p>
            <w:pPr>
              <w:ind w:left="300"/>
              <w:spacing w:after="0"/>
              <w:rPr>
                <w:sz w:val="20"/>
                <w:szCs w:val="20"/>
                <w:color w:val="auto"/>
              </w:rPr>
            </w:pPr>
            <w:r>
              <w:rPr>
                <w:rFonts w:ascii="Arial" w:cs="Arial" w:eastAsia="Arial" w:hAnsi="Arial"/>
                <w:sz w:val="15"/>
                <w:szCs w:val="15"/>
                <w:color w:val="auto"/>
              </w:rPr>
              <w:t>Total</w:t>
            </w:r>
          </w:p>
        </w:tc>
        <w:tc>
          <w:tcPr>
            <w:tcW w:w="184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89"/>
              </w:rPr>
              <w:t>7,000,000</w:t>
            </w:r>
          </w:p>
        </w:tc>
        <w:tc>
          <w:tcPr>
            <w:tcW w:w="60" w:type="dxa"/>
            <w:vAlign w:val="bottom"/>
            <w:shd w:val="clear" w:color="auto" w:fill="CCEEFF"/>
          </w:tcPr>
          <w:p>
            <w:pPr>
              <w:spacing w:after="0"/>
              <w:rPr>
                <w:sz w:val="15"/>
                <w:szCs w:val="15"/>
                <w:color w:val="auto"/>
              </w:rPr>
            </w:pPr>
          </w:p>
        </w:tc>
      </w:tr>
      <w:tr>
        <w:trPr>
          <w:trHeight w:val="20"/>
        </w:trPr>
        <w:tc>
          <w:tcPr>
            <w:tcW w:w="2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67" w:lineRule="exact"/>
        <w:rPr>
          <w:sz w:val="20"/>
          <w:szCs w:val="20"/>
          <w:color w:val="auto"/>
        </w:rPr>
      </w:pPr>
    </w:p>
    <w:p>
      <w:pPr>
        <w:ind w:left="1120"/>
        <w:spacing w:after="0"/>
        <w:rPr>
          <w:sz w:val="20"/>
          <w:szCs w:val="20"/>
          <w:color w:val="auto"/>
        </w:rPr>
      </w:pPr>
      <w:r>
        <w:rPr>
          <w:rFonts w:ascii="Arial" w:cs="Arial" w:eastAsia="Arial" w:hAnsi="Arial"/>
          <w:sz w:val="15"/>
          <w:szCs w:val="15"/>
          <w:b w:val="1"/>
          <w:bCs w:val="1"/>
          <w:color w:val="auto"/>
        </w:rPr>
        <w:t>ITEM 14. INDEMNIFICATION OF DIRECTORS AND OFFICERS.</w:t>
      </w:r>
    </w:p>
    <w:p>
      <w:pPr>
        <w:spacing w:after="0" w:line="102" w:lineRule="exact"/>
        <w:rPr>
          <w:sz w:val="20"/>
          <w:szCs w:val="20"/>
          <w:color w:val="auto"/>
        </w:rPr>
      </w:pPr>
    </w:p>
    <w:p>
      <w:pPr>
        <w:ind w:left="1120" w:right="300" w:firstLine="368"/>
        <w:spacing w:after="0" w:line="275" w:lineRule="auto"/>
        <w:rPr>
          <w:sz w:val="20"/>
          <w:szCs w:val="20"/>
          <w:color w:val="auto"/>
        </w:rPr>
      </w:pPr>
      <w:r>
        <w:rPr>
          <w:rFonts w:ascii="Arial" w:cs="Arial" w:eastAsia="Arial" w:hAnsi="Arial"/>
          <w:sz w:val="15"/>
          <w:szCs w:val="15"/>
          <w:color w:val="auto"/>
        </w:rPr>
        <w:t>Section 145 of the Delaware General Corporation Law authorizes a corporation’s board of directors to grant, and authorizes a court to award, indemnity to officers, directors, and other corporate agents.</w:t>
      </w:r>
    </w:p>
    <w:p>
      <w:pPr>
        <w:spacing w:after="0" w:line="146" w:lineRule="exact"/>
        <w:rPr>
          <w:sz w:val="20"/>
          <w:szCs w:val="20"/>
          <w:color w:val="auto"/>
        </w:rPr>
      </w:pPr>
    </w:p>
    <w:p>
      <w:pPr>
        <w:jc w:val="both"/>
        <w:ind w:left="1120" w:firstLine="368"/>
        <w:spacing w:after="0" w:line="259" w:lineRule="auto"/>
        <w:rPr>
          <w:sz w:val="20"/>
          <w:szCs w:val="20"/>
          <w:color w:val="auto"/>
        </w:rPr>
      </w:pPr>
      <w:r>
        <w:rPr>
          <w:rFonts w:ascii="Arial" w:cs="Arial" w:eastAsia="Arial" w:hAnsi="Arial"/>
          <w:sz w:val="15"/>
          <w:szCs w:val="15"/>
          <w:color w:val="auto"/>
        </w:rPr>
        <w:t>We expect to adopt an amended and restated certificate of incorporation, which will become effective immediately prior to the completion of this offering, and which will contain provisions that limit the liability of our directors for monetary damages to the fullest extent permitted by Delaware law. Consequently, our directors will not be personally liable to us or our stockholders for monetary damages for any breach of fiduciary duties as directors, except liability for the following:</w:t>
      </w:r>
    </w:p>
    <w:p>
      <w:pPr>
        <w:spacing w:after="0" w:line="79" w:lineRule="exact"/>
        <w:rPr>
          <w:sz w:val="20"/>
          <w:szCs w:val="20"/>
          <w:color w:val="auto"/>
        </w:rPr>
      </w:pPr>
    </w:p>
    <w:p>
      <w:pPr>
        <w:ind w:left="1840" w:hanging="276"/>
        <w:spacing w:after="0"/>
        <w:tabs>
          <w:tab w:leader="none" w:pos="1840" w:val="left"/>
        </w:tabs>
        <w:numPr>
          <w:ilvl w:val="0"/>
          <w:numId w:val="118"/>
        </w:numPr>
        <w:rPr>
          <w:rFonts w:ascii="Arial" w:cs="Arial" w:eastAsia="Arial" w:hAnsi="Arial"/>
          <w:sz w:val="15"/>
          <w:szCs w:val="15"/>
          <w:color w:val="auto"/>
        </w:rPr>
      </w:pPr>
      <w:r>
        <w:rPr>
          <w:rFonts w:ascii="Arial" w:cs="Arial" w:eastAsia="Arial" w:hAnsi="Arial"/>
          <w:sz w:val="15"/>
          <w:szCs w:val="15"/>
          <w:color w:val="auto"/>
        </w:rPr>
        <w:t>any breach of their duty of loyalty to our company or our stockholders;</w:t>
      </w:r>
    </w:p>
    <w:p>
      <w:pPr>
        <w:spacing w:after="0" w:line="109" w:lineRule="exact"/>
        <w:rPr>
          <w:rFonts w:ascii="Arial" w:cs="Arial" w:eastAsia="Arial" w:hAnsi="Arial"/>
          <w:sz w:val="15"/>
          <w:szCs w:val="15"/>
          <w:color w:val="auto"/>
        </w:rPr>
      </w:pPr>
    </w:p>
    <w:p>
      <w:pPr>
        <w:ind w:left="1840" w:hanging="276"/>
        <w:spacing w:after="0"/>
        <w:tabs>
          <w:tab w:leader="none" w:pos="1840" w:val="left"/>
        </w:tabs>
        <w:numPr>
          <w:ilvl w:val="0"/>
          <w:numId w:val="118"/>
        </w:numPr>
        <w:rPr>
          <w:rFonts w:ascii="Arial" w:cs="Arial" w:eastAsia="Arial" w:hAnsi="Arial"/>
          <w:sz w:val="15"/>
          <w:szCs w:val="15"/>
          <w:color w:val="auto"/>
        </w:rPr>
      </w:pPr>
      <w:r>
        <w:rPr>
          <w:rFonts w:ascii="Arial" w:cs="Arial" w:eastAsia="Arial" w:hAnsi="Arial"/>
          <w:sz w:val="15"/>
          <w:szCs w:val="15"/>
          <w:color w:val="auto"/>
        </w:rPr>
        <w:t>any act or omission not in good faith or that involves intentional misconduct or a knowing violation of law;</w:t>
      </w:r>
    </w:p>
    <w:p>
      <w:pPr>
        <w:spacing w:after="0" w:line="109" w:lineRule="exact"/>
        <w:rPr>
          <w:rFonts w:ascii="Arial" w:cs="Arial" w:eastAsia="Arial" w:hAnsi="Arial"/>
          <w:sz w:val="15"/>
          <w:szCs w:val="15"/>
          <w:color w:val="auto"/>
        </w:rPr>
      </w:pPr>
    </w:p>
    <w:p>
      <w:pPr>
        <w:ind w:left="1840" w:right="560" w:hanging="276"/>
        <w:spacing w:after="0" w:line="275" w:lineRule="auto"/>
        <w:tabs>
          <w:tab w:leader="none" w:pos="1840" w:val="left"/>
        </w:tabs>
        <w:numPr>
          <w:ilvl w:val="0"/>
          <w:numId w:val="118"/>
        </w:numPr>
        <w:rPr>
          <w:rFonts w:ascii="Arial" w:cs="Arial" w:eastAsia="Arial" w:hAnsi="Arial"/>
          <w:sz w:val="15"/>
          <w:szCs w:val="15"/>
          <w:color w:val="auto"/>
        </w:rPr>
      </w:pPr>
      <w:r>
        <w:rPr>
          <w:rFonts w:ascii="Arial" w:cs="Arial" w:eastAsia="Arial" w:hAnsi="Arial"/>
          <w:sz w:val="15"/>
          <w:szCs w:val="15"/>
          <w:color w:val="auto"/>
        </w:rPr>
        <w:t>unlawful payments of dividends or unlawful stock repurchases or redemptions as provided in Section 174 of the Delaware General Corporation Law; or</w:t>
      </w:r>
    </w:p>
    <w:p>
      <w:pPr>
        <w:spacing w:after="0" w:line="67" w:lineRule="exact"/>
        <w:rPr>
          <w:rFonts w:ascii="Arial" w:cs="Arial" w:eastAsia="Arial" w:hAnsi="Arial"/>
          <w:sz w:val="15"/>
          <w:szCs w:val="15"/>
          <w:color w:val="auto"/>
        </w:rPr>
      </w:pPr>
    </w:p>
    <w:p>
      <w:pPr>
        <w:ind w:left="1840" w:hanging="276"/>
        <w:spacing w:after="0"/>
        <w:tabs>
          <w:tab w:leader="none" w:pos="1840" w:val="left"/>
        </w:tabs>
        <w:numPr>
          <w:ilvl w:val="0"/>
          <w:numId w:val="118"/>
        </w:numPr>
        <w:rPr>
          <w:rFonts w:ascii="Arial" w:cs="Arial" w:eastAsia="Arial" w:hAnsi="Arial"/>
          <w:sz w:val="15"/>
          <w:szCs w:val="15"/>
          <w:color w:val="auto"/>
        </w:rPr>
      </w:pPr>
      <w:r>
        <w:rPr>
          <w:rFonts w:ascii="Arial" w:cs="Arial" w:eastAsia="Arial" w:hAnsi="Arial"/>
          <w:sz w:val="15"/>
          <w:szCs w:val="15"/>
          <w:color w:val="auto"/>
        </w:rPr>
        <w:t>any transaction from which they derived an improper personal benefit.</w:t>
      </w:r>
    </w:p>
    <w:p>
      <w:pPr>
        <w:spacing w:after="0" w:line="188" w:lineRule="exact"/>
        <w:rPr>
          <w:sz w:val="20"/>
          <w:szCs w:val="20"/>
          <w:color w:val="auto"/>
        </w:rPr>
      </w:pPr>
    </w:p>
    <w:p>
      <w:pPr>
        <w:ind w:left="1120" w:right="20" w:firstLine="368"/>
        <w:spacing w:after="0" w:line="259" w:lineRule="auto"/>
        <w:rPr>
          <w:sz w:val="20"/>
          <w:szCs w:val="20"/>
          <w:color w:val="auto"/>
        </w:rPr>
      </w:pPr>
      <w:r>
        <w:rPr>
          <w:rFonts w:ascii="Arial" w:cs="Arial" w:eastAsia="Arial" w:hAnsi="Arial"/>
          <w:sz w:val="15"/>
          <w:szCs w:val="15"/>
          <w:color w:val="auto"/>
        </w:rPr>
        <w:t>Any amendment to, or repeal of, these provisions will not eliminate or reduce the effect of these provisions in respect of any act, omission, or claim that occurred or arose prior to that amendment or repeal. If the Delaware General Corporation Law is amended to provide for further limitations on the personal liability of directors of corporations, then the personal liability of our directors will be further limited to the greatest extent permitted by the Delaware General Corporation Law.</w:t>
      </w:r>
    </w:p>
    <w:p>
      <w:pPr>
        <w:spacing w:after="0" w:line="158" w:lineRule="exact"/>
        <w:rPr>
          <w:sz w:val="20"/>
          <w:szCs w:val="20"/>
          <w:color w:val="auto"/>
        </w:rPr>
      </w:pPr>
    </w:p>
    <w:p>
      <w:pPr>
        <w:ind w:left="1120" w:right="160" w:firstLine="368"/>
        <w:spacing w:after="0" w:line="263" w:lineRule="auto"/>
        <w:rPr>
          <w:sz w:val="20"/>
          <w:szCs w:val="20"/>
          <w:color w:val="auto"/>
        </w:rPr>
      </w:pPr>
      <w:r>
        <w:rPr>
          <w:rFonts w:ascii="Arial" w:cs="Arial" w:eastAsia="Arial" w:hAnsi="Arial"/>
          <w:sz w:val="15"/>
          <w:szCs w:val="15"/>
          <w:color w:val="auto"/>
        </w:rPr>
        <w:t>In addition, we expect to adopt amended and restated bylaws, which will become effective immediately prior to the completion of this offering, and which will provide that we will indemnify, to the fullest extent permitted by law, any person who is or was a party or is threatened to be made a party to any action, suit, or</w:t>
      </w:r>
    </w:p>
    <w:p>
      <w:pPr>
        <w:spacing w:after="0" w:line="98" w:lineRule="exact"/>
        <w:rPr>
          <w:sz w:val="20"/>
          <w:szCs w:val="20"/>
          <w:color w:val="auto"/>
        </w:rPr>
      </w:pPr>
    </w:p>
    <w:p>
      <w:pPr>
        <w:ind w:left="5600"/>
        <w:spacing w:after="0"/>
        <w:rPr>
          <w:sz w:val="20"/>
          <w:szCs w:val="20"/>
          <w:color w:val="auto"/>
        </w:rPr>
      </w:pPr>
      <w:r>
        <w:rPr>
          <w:rFonts w:ascii="Arial" w:cs="Arial" w:eastAsia="Arial" w:hAnsi="Arial"/>
          <w:sz w:val="15"/>
          <w:szCs w:val="15"/>
          <w:color w:val="auto"/>
        </w:rPr>
        <w:t>II-1</w:t>
      </w:r>
    </w:p>
    <w:p>
      <w:pPr>
        <w:sectPr>
          <w:pgSz w:w="11900" w:h="16838" w:orient="portrait"/>
          <w:cols w:equalWidth="0" w:num="1">
            <w:col w:w="10260"/>
          </w:cols>
          <w:pgMar w:left="240" w:top="407" w:right="1399" w:bottom="1440" w:gutter="0" w:footer="0" w:header="0"/>
        </w:sectPr>
      </w:pPr>
    </w:p>
    <w:bookmarkStart w:id="242" w:name="page243"/>
    <w:bookmarkEnd w:id="242"/>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133350</wp:posOffset>
            </wp:positionH>
            <wp:positionV relativeFrom="page">
              <wp:posOffset>88900</wp:posOffset>
            </wp:positionV>
            <wp:extent cx="7308850" cy="3429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7308850" cy="34290"/>
                    </a:xfrm>
                    <a:prstGeom prst="rect">
                      <a:avLst/>
                    </a:prstGeom>
                    <a:noFill/>
                  </pic:spPr>
                </pic:pic>
              </a:graphicData>
            </a:graphic>
          </wp:anchor>
        </w:drawing>
      </w:r>
      <w:hyperlink w:anchor="page7">
        <w:r>
          <w:rPr>
            <w:rFonts w:ascii="Arial" w:cs="Arial" w:eastAsia="Arial" w:hAnsi="Arial"/>
            <w:sz w:val="15"/>
            <w:szCs w:val="15"/>
            <w:b w:val="1"/>
            <w:bCs w:val="1"/>
            <w:u w:val="single" w:color="auto"/>
            <w:color w:val="0000EE"/>
          </w:rPr>
          <w:t>Table of Contents</w:t>
        </w:r>
      </w:hyperlink>
    </w:p>
    <w:p>
      <w:pPr>
        <w:spacing w:after="0" w:line="260" w:lineRule="exact"/>
        <w:rPr>
          <w:sz w:val="20"/>
          <w:szCs w:val="20"/>
          <w:color w:val="auto"/>
        </w:rPr>
      </w:pPr>
    </w:p>
    <w:p>
      <w:pPr>
        <w:ind w:left="1120"/>
        <w:spacing w:after="0" w:line="302" w:lineRule="auto"/>
        <w:rPr>
          <w:sz w:val="20"/>
          <w:szCs w:val="20"/>
          <w:color w:val="auto"/>
        </w:rPr>
      </w:pPr>
      <w:r>
        <w:rPr>
          <w:rFonts w:ascii="Arial" w:cs="Arial" w:eastAsia="Arial" w:hAnsi="Arial"/>
          <w:sz w:val="13"/>
          <w:szCs w:val="13"/>
          <w:color w:val="auto"/>
        </w:rPr>
        <w:t>proceeding by reason of the fact that he or she is or was one of our directors or officers or is or was serving at our request as a director or officer of another corporation, partnership, joint venture, trust, or other enterprise. Our amended and restated bylaws are expected to provide that we may indemnify to the fullest extent permitted by law any person who is or was a party or is threatened to be made a party to any action, suit, or proceeding by reason of the fact that he or she is or was one of our employees or agents or is or was serving at our request as an employee or agent of another corporation, partnership, joint venture, trust, or other enterprise. Our amended and restated bylaws will also provide that we must advance expenses incurred by or on behalf of a director or officer in advance of the final disposition of any action or proceeding, subject to limited exceptions.</w:t>
      </w:r>
    </w:p>
    <w:p>
      <w:pPr>
        <w:spacing w:after="0" w:line="134" w:lineRule="exact"/>
        <w:rPr>
          <w:sz w:val="20"/>
          <w:szCs w:val="20"/>
          <w:color w:val="auto"/>
        </w:rPr>
      </w:pPr>
    </w:p>
    <w:p>
      <w:pPr>
        <w:ind w:left="1120" w:firstLine="368"/>
        <w:spacing w:after="0" w:line="305" w:lineRule="auto"/>
        <w:rPr>
          <w:sz w:val="20"/>
          <w:szCs w:val="20"/>
          <w:color w:val="auto"/>
        </w:rPr>
      </w:pPr>
      <w:r>
        <w:rPr>
          <w:rFonts w:ascii="Arial" w:cs="Arial" w:eastAsia="Arial" w:hAnsi="Arial"/>
          <w:sz w:val="13"/>
          <w:szCs w:val="13"/>
          <w:color w:val="auto"/>
        </w:rPr>
        <w:t>Further, we have entered into or will enter into indemnification agreements with each of our directors and executive officers that may be broader than the specific indemnification provisions contained in the Delaware General Corporation Law. These indemnification agreements require us, among other things, to indemnify our directors and executive officers against liabilities that may arise by reason of their status or service. These indemnification agreements also require us to advance all expenses incurred by the directors and executive officers in investigating or defending any such action, suit, or proceeding. We believe that these agreements are necessary to attract and retain qualified individuals to serve as directors and executive officers.</w:t>
      </w:r>
    </w:p>
    <w:p>
      <w:pPr>
        <w:spacing w:after="0" w:line="133" w:lineRule="exact"/>
        <w:rPr>
          <w:sz w:val="20"/>
          <w:szCs w:val="20"/>
          <w:color w:val="auto"/>
        </w:rPr>
      </w:pPr>
    </w:p>
    <w:p>
      <w:pPr>
        <w:ind w:left="1120" w:right="20" w:firstLine="368"/>
        <w:spacing w:after="0" w:line="274" w:lineRule="auto"/>
        <w:rPr>
          <w:sz w:val="20"/>
          <w:szCs w:val="20"/>
          <w:color w:val="auto"/>
        </w:rPr>
      </w:pPr>
      <w:r>
        <w:rPr>
          <w:rFonts w:ascii="Arial" w:cs="Arial" w:eastAsia="Arial" w:hAnsi="Arial"/>
          <w:sz w:val="14"/>
          <w:szCs w:val="14"/>
          <w:color w:val="auto"/>
        </w:rPr>
        <w:t>The limitation of liability and indemnification provisions that are expected to be included in our amended and restated certificate of incorporation, amended and restated bylaws, and the indemnification agreements that we have entered into or will enter into with our directors and executive officers may discourage stockholders from bringing a lawsuit against our directors and executive officers for breach of their fiduciary duties. They may also reduce the likelihood of derivative litigation against our directors and executive officers, even though an action, if successful, might benefit us and other stockholders. Further, a stockholder’s investment may be adversely affected to the extent that we pay the costs of settlement and damage awards against directors and executive officers as required by these indemnification provisions. At present, we are not aware of any pending litigation or proceeding involving any person who is or was one of our directors, officers, employees, or other agents or is or was serving at our request as a director, officer, employee, or agent of another corporation, partnership, joint venture, trust, or other enterprise, for which indemnification is sought, and we are not aware of any threatened litigation that may result in claims for indemnification.</w:t>
      </w:r>
    </w:p>
    <w:p>
      <w:pPr>
        <w:spacing w:after="0" w:line="150" w:lineRule="exact"/>
        <w:rPr>
          <w:sz w:val="20"/>
          <w:szCs w:val="20"/>
          <w:color w:val="auto"/>
        </w:rPr>
      </w:pPr>
    </w:p>
    <w:p>
      <w:pPr>
        <w:ind w:left="1120" w:right="40" w:firstLine="368"/>
        <w:spacing w:after="0" w:line="259" w:lineRule="auto"/>
        <w:rPr>
          <w:sz w:val="20"/>
          <w:szCs w:val="20"/>
          <w:color w:val="auto"/>
        </w:rPr>
      </w:pPr>
      <w:r>
        <w:rPr>
          <w:rFonts w:ascii="Arial" w:cs="Arial" w:eastAsia="Arial" w:hAnsi="Arial"/>
          <w:sz w:val="15"/>
          <w:szCs w:val="15"/>
          <w:color w:val="auto"/>
        </w:rPr>
        <w:t>We have obtained insurance policies under which, subject to the limitations of the policies, coverage is provided to our directors and executive officers against loss arising from claims made by reason of breach of fiduciary duty or other wrongful acts as a director or executive officer, including claims relating to public securities matters, and to us with respect to payments that may be made by us to these directors and executive officers pursuant to our indemnification obligations or otherwise as a matter of law.</w:t>
      </w:r>
    </w:p>
    <w:p>
      <w:pPr>
        <w:spacing w:after="0" w:line="158" w:lineRule="exact"/>
        <w:rPr>
          <w:sz w:val="20"/>
          <w:szCs w:val="20"/>
          <w:color w:val="auto"/>
        </w:rPr>
      </w:pPr>
    </w:p>
    <w:p>
      <w:pPr>
        <w:ind w:left="1120" w:right="500" w:firstLine="368"/>
        <w:spacing w:after="0" w:line="275" w:lineRule="auto"/>
        <w:rPr>
          <w:sz w:val="20"/>
          <w:szCs w:val="20"/>
          <w:color w:val="auto"/>
        </w:rPr>
      </w:pPr>
      <w:r>
        <w:rPr>
          <w:rFonts w:ascii="Arial" w:cs="Arial" w:eastAsia="Arial" w:hAnsi="Arial"/>
          <w:sz w:val="15"/>
          <w:szCs w:val="15"/>
          <w:color w:val="auto"/>
        </w:rPr>
        <w:t>Certain of our non-employee directors may, through their relationships with their employers, be insured and/or indemnified against certain liabilities incurred in their capacity as members of our Board of Directors.</w:t>
      </w:r>
    </w:p>
    <w:p>
      <w:pPr>
        <w:spacing w:after="0" w:line="146" w:lineRule="exact"/>
        <w:rPr>
          <w:sz w:val="20"/>
          <w:szCs w:val="20"/>
          <w:color w:val="auto"/>
        </w:rPr>
      </w:pPr>
    </w:p>
    <w:p>
      <w:pPr>
        <w:ind w:left="1120" w:right="180" w:firstLine="368"/>
        <w:spacing w:after="0" w:line="275" w:lineRule="auto"/>
        <w:rPr>
          <w:sz w:val="20"/>
          <w:szCs w:val="20"/>
          <w:color w:val="auto"/>
        </w:rPr>
      </w:pPr>
      <w:r>
        <w:rPr>
          <w:rFonts w:ascii="Arial" w:cs="Arial" w:eastAsia="Arial" w:hAnsi="Arial"/>
          <w:sz w:val="15"/>
          <w:szCs w:val="15"/>
          <w:color w:val="auto"/>
        </w:rPr>
        <w:t>The underwriting agreement filed as Exhibit 1.1 to this registration statement will provide for indemnification by the underwriters of us and our officers and directors for certain liabilities arising under the Securities Act or otherwise.</w:t>
      </w:r>
    </w:p>
    <w:p>
      <w:pPr>
        <w:spacing w:after="0" w:line="232" w:lineRule="exact"/>
        <w:rPr>
          <w:sz w:val="20"/>
          <w:szCs w:val="20"/>
          <w:color w:val="auto"/>
        </w:rPr>
      </w:pPr>
    </w:p>
    <w:p>
      <w:pPr>
        <w:ind w:left="1120"/>
        <w:spacing w:after="0"/>
        <w:rPr>
          <w:sz w:val="20"/>
          <w:szCs w:val="20"/>
          <w:color w:val="auto"/>
        </w:rPr>
      </w:pPr>
      <w:r>
        <w:rPr>
          <w:rFonts w:ascii="Arial" w:cs="Arial" w:eastAsia="Arial" w:hAnsi="Arial"/>
          <w:sz w:val="15"/>
          <w:szCs w:val="15"/>
          <w:b w:val="1"/>
          <w:bCs w:val="1"/>
          <w:color w:val="auto"/>
        </w:rPr>
        <w:t>ITEM 15. RECENT SALES OF UNREGISTERED SECURITIES.</w:t>
      </w:r>
    </w:p>
    <w:p>
      <w:pPr>
        <w:spacing w:after="0" w:line="102" w:lineRule="exact"/>
        <w:rPr>
          <w:sz w:val="20"/>
          <w:szCs w:val="20"/>
          <w:color w:val="auto"/>
        </w:rPr>
      </w:pPr>
    </w:p>
    <w:p>
      <w:pPr>
        <w:ind w:left="1480"/>
        <w:spacing w:after="0"/>
        <w:rPr>
          <w:sz w:val="20"/>
          <w:szCs w:val="20"/>
          <w:color w:val="auto"/>
        </w:rPr>
      </w:pPr>
      <w:r>
        <w:rPr>
          <w:rFonts w:ascii="Arial" w:cs="Arial" w:eastAsia="Arial" w:hAnsi="Arial"/>
          <w:sz w:val="15"/>
          <w:szCs w:val="15"/>
          <w:color w:val="auto"/>
        </w:rPr>
        <w:t>Since January 1, 2014, we have issued the following unregistered securities:</w:t>
      </w:r>
    </w:p>
    <w:p>
      <w:pPr>
        <w:spacing w:after="0" w:line="94" w:lineRule="exact"/>
        <w:rPr>
          <w:sz w:val="20"/>
          <w:szCs w:val="20"/>
          <w:color w:val="auto"/>
        </w:rPr>
      </w:pPr>
    </w:p>
    <w:p>
      <w:pPr>
        <w:ind w:left="1120"/>
        <w:spacing w:after="0"/>
        <w:rPr>
          <w:sz w:val="20"/>
          <w:szCs w:val="20"/>
          <w:color w:val="auto"/>
        </w:rPr>
      </w:pPr>
      <w:r>
        <w:rPr>
          <w:rFonts w:ascii="Arial" w:cs="Arial" w:eastAsia="Arial" w:hAnsi="Arial"/>
          <w:sz w:val="15"/>
          <w:szCs w:val="15"/>
          <w:b w:val="1"/>
          <w:bCs w:val="1"/>
          <w:color w:val="auto"/>
        </w:rPr>
        <w:t>Preferred Stock Issuances</w:t>
      </w:r>
    </w:p>
    <w:p>
      <w:pPr>
        <w:spacing w:after="0" w:line="102" w:lineRule="exact"/>
        <w:rPr>
          <w:sz w:val="20"/>
          <w:szCs w:val="20"/>
          <w:color w:val="auto"/>
        </w:rPr>
      </w:pPr>
    </w:p>
    <w:p>
      <w:pPr>
        <w:ind w:left="1120" w:right="220" w:firstLine="368"/>
        <w:spacing w:after="0" w:line="275" w:lineRule="auto"/>
        <w:rPr>
          <w:sz w:val="20"/>
          <w:szCs w:val="20"/>
          <w:color w:val="auto"/>
        </w:rPr>
      </w:pPr>
      <w:r>
        <w:rPr>
          <w:rFonts w:ascii="Arial" w:cs="Arial" w:eastAsia="Arial" w:hAnsi="Arial"/>
          <w:sz w:val="15"/>
          <w:szCs w:val="15"/>
          <w:color w:val="auto"/>
        </w:rPr>
        <w:t>From January 2014 through April 2014, we sold an aggregate of 12,307,226 shares of our Series C convertible preferred stock to 55 accredited investors at a purchase price of approximately $28.65 per share, for an aggregate purchase price of $352,625,362.</w:t>
      </w:r>
    </w:p>
    <w:p>
      <w:pPr>
        <w:spacing w:after="0" w:line="90" w:lineRule="exact"/>
        <w:rPr>
          <w:sz w:val="20"/>
          <w:szCs w:val="20"/>
          <w:color w:val="auto"/>
        </w:rPr>
      </w:pPr>
    </w:p>
    <w:p>
      <w:pPr>
        <w:ind w:left="5600"/>
        <w:spacing w:after="0"/>
        <w:rPr>
          <w:sz w:val="20"/>
          <w:szCs w:val="20"/>
          <w:color w:val="auto"/>
        </w:rPr>
      </w:pPr>
      <w:r>
        <w:rPr>
          <w:rFonts w:ascii="Arial" w:cs="Arial" w:eastAsia="Arial" w:hAnsi="Arial"/>
          <w:sz w:val="15"/>
          <w:szCs w:val="15"/>
          <w:color w:val="auto"/>
        </w:rPr>
        <w:t>II-2</w:t>
      </w:r>
    </w:p>
    <w:p>
      <w:pPr>
        <w:sectPr>
          <w:pgSz w:w="11900" w:h="16838" w:orient="portrait"/>
          <w:cols w:equalWidth="0" w:num="1">
            <w:col w:w="10300"/>
          </w:cols>
          <w:pgMar w:left="240" w:top="407" w:right="1359" w:bottom="1440" w:gutter="0" w:footer="0" w:header="0"/>
        </w:sectPr>
      </w:pPr>
    </w:p>
    <w:bookmarkStart w:id="243" w:name="page244"/>
    <w:bookmarkEnd w:id="243"/>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133350</wp:posOffset>
            </wp:positionH>
            <wp:positionV relativeFrom="page">
              <wp:posOffset>88900</wp:posOffset>
            </wp:positionV>
            <wp:extent cx="7308850" cy="3429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7308850" cy="34290"/>
                    </a:xfrm>
                    <a:prstGeom prst="rect">
                      <a:avLst/>
                    </a:prstGeom>
                    <a:noFill/>
                  </pic:spPr>
                </pic:pic>
              </a:graphicData>
            </a:graphic>
          </wp:anchor>
        </w:drawing>
      </w:r>
      <w:hyperlink w:anchor="page7">
        <w:r>
          <w:rPr>
            <w:rFonts w:ascii="Arial" w:cs="Arial" w:eastAsia="Arial" w:hAnsi="Arial"/>
            <w:sz w:val="15"/>
            <w:szCs w:val="15"/>
            <w:b w:val="1"/>
            <w:bCs w:val="1"/>
            <w:u w:val="single" w:color="auto"/>
            <w:color w:val="0000EE"/>
          </w:rPr>
          <w:t>Table of Contents</w:t>
        </w:r>
      </w:hyperlink>
    </w:p>
    <w:p>
      <w:pPr>
        <w:spacing w:after="0" w:line="256" w:lineRule="exact"/>
        <w:rPr>
          <w:sz w:val="20"/>
          <w:szCs w:val="20"/>
          <w:color w:val="auto"/>
        </w:rPr>
      </w:pPr>
    </w:p>
    <w:p>
      <w:pPr>
        <w:ind w:left="1120"/>
        <w:spacing w:after="0"/>
        <w:rPr>
          <w:sz w:val="20"/>
          <w:szCs w:val="20"/>
          <w:color w:val="auto"/>
        </w:rPr>
      </w:pPr>
      <w:r>
        <w:rPr>
          <w:rFonts w:ascii="Arial" w:cs="Arial" w:eastAsia="Arial" w:hAnsi="Arial"/>
          <w:sz w:val="15"/>
          <w:szCs w:val="15"/>
          <w:b w:val="1"/>
          <w:bCs w:val="1"/>
          <w:color w:val="auto"/>
        </w:rPr>
        <w:t>Option and RSU Issuances</w:t>
      </w:r>
    </w:p>
    <w:p>
      <w:pPr>
        <w:spacing w:after="0" w:line="102" w:lineRule="exact"/>
        <w:rPr>
          <w:sz w:val="20"/>
          <w:szCs w:val="20"/>
          <w:color w:val="auto"/>
        </w:rPr>
      </w:pPr>
    </w:p>
    <w:p>
      <w:pPr>
        <w:jc w:val="both"/>
        <w:ind w:left="1120" w:right="100" w:firstLine="368"/>
        <w:spacing w:after="0" w:line="263" w:lineRule="auto"/>
        <w:rPr>
          <w:sz w:val="20"/>
          <w:szCs w:val="20"/>
          <w:color w:val="auto"/>
        </w:rPr>
      </w:pPr>
      <w:r>
        <w:rPr>
          <w:rFonts w:ascii="Arial" w:cs="Arial" w:eastAsia="Arial" w:hAnsi="Arial"/>
          <w:sz w:val="15"/>
          <w:szCs w:val="15"/>
          <w:color w:val="auto"/>
        </w:rPr>
        <w:t>From January 1, 2014 to December 31, 2017, we granted to our directors, officers, employees, consultants, and other service providers options to purchase an aggregate of 10,295,142 shares of our Class B common stock under our 2008 Plan at exercise prices ranging from approximately $20.76 to $25.23 per share.</w:t>
      </w:r>
    </w:p>
    <w:p>
      <w:pPr>
        <w:spacing w:after="0" w:line="155" w:lineRule="exact"/>
        <w:rPr>
          <w:sz w:val="20"/>
          <w:szCs w:val="20"/>
          <w:color w:val="auto"/>
        </w:rPr>
      </w:pPr>
    </w:p>
    <w:p>
      <w:pPr>
        <w:ind w:left="1120" w:right="280" w:firstLine="368"/>
        <w:spacing w:after="0" w:line="263" w:lineRule="auto"/>
        <w:rPr>
          <w:sz w:val="20"/>
          <w:szCs w:val="20"/>
          <w:color w:val="auto"/>
        </w:rPr>
      </w:pPr>
      <w:r>
        <w:rPr>
          <w:rFonts w:ascii="Arial" w:cs="Arial" w:eastAsia="Arial" w:hAnsi="Arial"/>
          <w:sz w:val="15"/>
          <w:szCs w:val="15"/>
          <w:color w:val="auto"/>
        </w:rPr>
        <w:t>From January 1, 2014 to December 31, 2017, we granted to our directors, officers, employees, consultants, and other service providers an aggregate of 19,186,292 RSUs to be settled in shares of our Class A common stock under our 2017 Plan and an aggregate of 51,321,122 RSUs to be settled in shares of our Class B common stock under our 2008 Plan.</w:t>
      </w:r>
    </w:p>
    <w:p>
      <w:pPr>
        <w:spacing w:after="0" w:line="241" w:lineRule="exact"/>
        <w:rPr>
          <w:sz w:val="20"/>
          <w:szCs w:val="20"/>
          <w:color w:val="auto"/>
        </w:rPr>
      </w:pPr>
    </w:p>
    <w:p>
      <w:pPr>
        <w:ind w:left="1120"/>
        <w:spacing w:after="0"/>
        <w:rPr>
          <w:sz w:val="20"/>
          <w:szCs w:val="20"/>
          <w:color w:val="auto"/>
        </w:rPr>
      </w:pPr>
      <w:r>
        <w:rPr>
          <w:rFonts w:ascii="Arial" w:cs="Arial" w:eastAsia="Arial" w:hAnsi="Arial"/>
          <w:sz w:val="15"/>
          <w:szCs w:val="15"/>
          <w:b w:val="1"/>
          <w:bCs w:val="1"/>
          <w:color w:val="auto"/>
        </w:rPr>
        <w:t>RSA Grants</w:t>
      </w:r>
    </w:p>
    <w:p>
      <w:pPr>
        <w:spacing w:after="0" w:line="102" w:lineRule="exact"/>
        <w:rPr>
          <w:sz w:val="20"/>
          <w:szCs w:val="20"/>
          <w:color w:val="auto"/>
        </w:rPr>
      </w:pPr>
    </w:p>
    <w:p>
      <w:pPr>
        <w:ind w:left="1120" w:right="160" w:firstLine="368"/>
        <w:spacing w:after="0" w:line="354" w:lineRule="auto"/>
        <w:rPr>
          <w:sz w:val="20"/>
          <w:szCs w:val="20"/>
          <w:color w:val="auto"/>
        </w:rPr>
      </w:pPr>
      <w:r>
        <w:rPr>
          <w:rFonts w:ascii="Arial" w:cs="Arial" w:eastAsia="Arial" w:hAnsi="Arial"/>
          <w:sz w:val="13"/>
          <w:szCs w:val="13"/>
          <w:color w:val="auto"/>
        </w:rPr>
        <w:t>In December 2017, we granted RSAs with respect to 14.7 million shares of Class A common stock, of which 10.3 million RSAs were granted to Mr. Houston, our co-founder and Chief Executive Officer, and 4.4 million RSAs were granted to Mr. Ferdowsi, our co-founder and Director.</w:t>
      </w:r>
    </w:p>
    <w:p>
      <w:pPr>
        <w:spacing w:after="0" w:line="187" w:lineRule="exact"/>
        <w:rPr>
          <w:sz w:val="20"/>
          <w:szCs w:val="20"/>
          <w:color w:val="auto"/>
        </w:rPr>
      </w:pPr>
    </w:p>
    <w:p>
      <w:pPr>
        <w:ind w:left="1120"/>
        <w:spacing w:after="0"/>
        <w:rPr>
          <w:sz w:val="20"/>
          <w:szCs w:val="20"/>
          <w:color w:val="auto"/>
        </w:rPr>
      </w:pPr>
      <w:r>
        <w:rPr>
          <w:rFonts w:ascii="Arial" w:cs="Arial" w:eastAsia="Arial" w:hAnsi="Arial"/>
          <w:sz w:val="15"/>
          <w:szCs w:val="15"/>
          <w:b w:val="1"/>
          <w:bCs w:val="1"/>
          <w:color w:val="auto"/>
        </w:rPr>
        <w:t>Shares Issued in Connection with Third-Party Tender Offer</w:t>
      </w:r>
    </w:p>
    <w:p>
      <w:pPr>
        <w:spacing w:after="0" w:line="102" w:lineRule="exact"/>
        <w:rPr>
          <w:sz w:val="20"/>
          <w:szCs w:val="20"/>
          <w:color w:val="auto"/>
        </w:rPr>
      </w:pPr>
    </w:p>
    <w:p>
      <w:pPr>
        <w:ind w:left="1120" w:firstLine="368"/>
        <w:spacing w:after="0" w:line="259" w:lineRule="auto"/>
        <w:rPr>
          <w:sz w:val="20"/>
          <w:szCs w:val="20"/>
          <w:color w:val="auto"/>
        </w:rPr>
      </w:pPr>
      <w:r>
        <w:rPr>
          <w:rFonts w:ascii="Arial" w:cs="Arial" w:eastAsia="Arial" w:hAnsi="Arial"/>
          <w:sz w:val="15"/>
          <w:szCs w:val="15"/>
          <w:color w:val="auto"/>
        </w:rPr>
        <w:t>From January 1, 2014 to December 31, 2017, we issued an aggregate of 5,452,108 shares of our Class A common stock in connection with a third-party tender offer to purchase shares of our capital stock from certain holders of our Class B common stock and convertible preferred stock. Each share of our Class B common stock and convertible preferred stock transferred in connection with the tender offer was automatically converted to one share of our Class A common stock.</w:t>
      </w:r>
    </w:p>
    <w:p>
      <w:pPr>
        <w:spacing w:after="0" w:line="244" w:lineRule="exact"/>
        <w:rPr>
          <w:sz w:val="20"/>
          <w:szCs w:val="20"/>
          <w:color w:val="auto"/>
        </w:rPr>
      </w:pPr>
    </w:p>
    <w:p>
      <w:pPr>
        <w:ind w:left="1120"/>
        <w:spacing w:after="0"/>
        <w:rPr>
          <w:sz w:val="20"/>
          <w:szCs w:val="20"/>
          <w:color w:val="auto"/>
        </w:rPr>
      </w:pPr>
      <w:r>
        <w:rPr>
          <w:rFonts w:ascii="Arial" w:cs="Arial" w:eastAsia="Arial" w:hAnsi="Arial"/>
          <w:sz w:val="15"/>
          <w:szCs w:val="15"/>
          <w:b w:val="1"/>
          <w:bCs w:val="1"/>
          <w:color w:val="auto"/>
        </w:rPr>
        <w:t>Shares Issued in Connection with Acquisitions</w:t>
      </w:r>
    </w:p>
    <w:p>
      <w:pPr>
        <w:spacing w:after="0" w:line="102" w:lineRule="exact"/>
        <w:rPr>
          <w:sz w:val="20"/>
          <w:szCs w:val="20"/>
          <w:color w:val="auto"/>
        </w:rPr>
      </w:pPr>
    </w:p>
    <w:p>
      <w:pPr>
        <w:ind w:left="1120" w:right="120" w:firstLine="368"/>
        <w:spacing w:after="0" w:line="263" w:lineRule="auto"/>
        <w:rPr>
          <w:sz w:val="20"/>
          <w:szCs w:val="20"/>
          <w:color w:val="auto"/>
        </w:rPr>
      </w:pPr>
      <w:r>
        <w:rPr>
          <w:rFonts w:ascii="Arial" w:cs="Arial" w:eastAsia="Arial" w:hAnsi="Arial"/>
          <w:sz w:val="15"/>
          <w:szCs w:val="15"/>
          <w:color w:val="auto"/>
        </w:rPr>
        <w:t>From January 1, 2014 to December 31, 2017, we issued an aggregate of 4,177,085 shares of our Class B common stock in connection with our acquisitions of certain companies or their assets and as consideration to individuals and entities who were former service providers and/or stockholders of such companies.</w:t>
      </w:r>
    </w:p>
    <w:p>
      <w:pPr>
        <w:spacing w:after="0" w:line="155" w:lineRule="exact"/>
        <w:rPr>
          <w:sz w:val="20"/>
          <w:szCs w:val="20"/>
          <w:color w:val="auto"/>
        </w:rPr>
      </w:pPr>
    </w:p>
    <w:p>
      <w:pPr>
        <w:ind w:left="1120" w:right="20" w:firstLine="368"/>
        <w:spacing w:after="0" w:line="254" w:lineRule="auto"/>
        <w:rPr>
          <w:sz w:val="20"/>
          <w:szCs w:val="20"/>
          <w:color w:val="auto"/>
        </w:rPr>
      </w:pPr>
      <w:r>
        <w:rPr>
          <w:rFonts w:ascii="Arial" w:cs="Arial" w:eastAsia="Arial" w:hAnsi="Arial"/>
          <w:sz w:val="15"/>
          <w:szCs w:val="15"/>
          <w:color w:val="auto"/>
        </w:rPr>
        <w:t>None of the foregoing transactions involved any underwriters, underwriting discounts or commissions, or any public offering. We believe the offers, sales, and issuances of the above securities were exempt from registration under the Securities Act (or Regulation D or Regulation S promulgated thereunder) by virtue of Section 4(2) of the Securities Act because the issuance of securities to the recipients did not involve a public offering, or in reliance on Rule 701 because the transactions were pursuant to compensatory benefit plans or contracts relating to compensation as provided under such rule. The recipients of the securities in each of these transactions represented their intentions to acquire the securities for investment only and not with a view to or for sale in connection with any distribution thereof, and appropriate legends were placed upon the stock certificates issued in these transactions. All recipients had adequate access, through their relationships with us, to information about us. The sales of these securities were made without any general solicitation or advertising.</w:t>
      </w:r>
    </w:p>
    <w:p>
      <w:pPr>
        <w:spacing w:after="0" w:line="250" w:lineRule="exact"/>
        <w:rPr>
          <w:sz w:val="20"/>
          <w:szCs w:val="20"/>
          <w:color w:val="auto"/>
        </w:rPr>
      </w:pPr>
    </w:p>
    <w:p>
      <w:pPr>
        <w:ind w:left="1120"/>
        <w:spacing w:after="0"/>
        <w:rPr>
          <w:sz w:val="20"/>
          <w:szCs w:val="20"/>
          <w:color w:val="auto"/>
        </w:rPr>
      </w:pPr>
      <w:r>
        <w:rPr>
          <w:rFonts w:ascii="Arial" w:cs="Arial" w:eastAsia="Arial" w:hAnsi="Arial"/>
          <w:sz w:val="15"/>
          <w:szCs w:val="15"/>
          <w:b w:val="1"/>
          <w:bCs w:val="1"/>
          <w:color w:val="auto"/>
        </w:rPr>
        <w:t>ITEM 16. EXHIBITS AND FINANCIAL STATEMENT SCHEDULES.</w:t>
      </w:r>
    </w:p>
    <w:p>
      <w:pPr>
        <w:spacing w:after="0" w:line="109" w:lineRule="exact"/>
        <w:rPr>
          <w:sz w:val="20"/>
          <w:szCs w:val="20"/>
          <w:color w:val="auto"/>
        </w:rPr>
      </w:pPr>
    </w:p>
    <w:p>
      <w:pPr>
        <w:ind w:left="1480" w:hanging="368"/>
        <w:spacing w:after="0"/>
        <w:tabs>
          <w:tab w:leader="none" w:pos="1480" w:val="left"/>
        </w:tabs>
        <w:numPr>
          <w:ilvl w:val="0"/>
          <w:numId w:val="119"/>
        </w:numPr>
        <w:rPr>
          <w:rFonts w:ascii="Arial" w:cs="Arial" w:eastAsia="Arial" w:hAnsi="Arial"/>
          <w:sz w:val="15"/>
          <w:szCs w:val="15"/>
          <w:b w:val="1"/>
          <w:bCs w:val="1"/>
          <w:color w:val="auto"/>
        </w:rPr>
      </w:pPr>
      <w:r>
        <w:rPr>
          <w:rFonts w:ascii="Arial" w:cs="Arial" w:eastAsia="Arial" w:hAnsi="Arial"/>
          <w:sz w:val="15"/>
          <w:szCs w:val="15"/>
          <w:b w:val="1"/>
          <w:bCs w:val="1"/>
          <w:color w:val="auto"/>
        </w:rPr>
        <w:t>Exhibits.</w:t>
      </w:r>
    </w:p>
    <w:p>
      <w:pPr>
        <w:spacing w:after="0" w:line="102" w:lineRule="exact"/>
        <w:rPr>
          <w:sz w:val="20"/>
          <w:szCs w:val="20"/>
          <w:color w:val="auto"/>
        </w:rPr>
      </w:pPr>
    </w:p>
    <w:p>
      <w:pPr>
        <w:ind w:left="1120" w:right="320" w:firstLine="368"/>
        <w:spacing w:after="0" w:line="275" w:lineRule="auto"/>
        <w:rPr>
          <w:sz w:val="20"/>
          <w:szCs w:val="20"/>
          <w:color w:val="auto"/>
        </w:rPr>
      </w:pPr>
      <w:r>
        <w:rPr>
          <w:rFonts w:ascii="Arial" w:cs="Arial" w:eastAsia="Arial" w:hAnsi="Arial"/>
          <w:sz w:val="15"/>
          <w:szCs w:val="15"/>
          <w:color w:val="auto"/>
        </w:rPr>
        <w:t>See the Exhibit Index immediately preceding the signature page hereto for a list of exhibits filed as part of this registration statement on Form S-1, which Exhibit Index is incorporated herein by reference.</w:t>
      </w:r>
    </w:p>
    <w:p>
      <w:pPr>
        <w:spacing w:after="0" w:line="266" w:lineRule="exact"/>
        <w:rPr>
          <w:sz w:val="20"/>
          <w:szCs w:val="20"/>
          <w:color w:val="auto"/>
        </w:rPr>
      </w:pPr>
    </w:p>
    <w:p>
      <w:pPr>
        <w:ind w:left="1480" w:hanging="368"/>
        <w:spacing w:after="0"/>
        <w:tabs>
          <w:tab w:leader="none" w:pos="1480" w:val="left"/>
        </w:tabs>
        <w:numPr>
          <w:ilvl w:val="0"/>
          <w:numId w:val="120"/>
        </w:numPr>
        <w:rPr>
          <w:rFonts w:ascii="Arial" w:cs="Arial" w:eastAsia="Arial" w:hAnsi="Arial"/>
          <w:sz w:val="15"/>
          <w:szCs w:val="15"/>
          <w:b w:val="1"/>
          <w:bCs w:val="1"/>
          <w:color w:val="auto"/>
        </w:rPr>
      </w:pPr>
      <w:r>
        <w:rPr>
          <w:rFonts w:ascii="Arial" w:cs="Arial" w:eastAsia="Arial" w:hAnsi="Arial"/>
          <w:sz w:val="15"/>
          <w:szCs w:val="15"/>
          <w:b w:val="1"/>
          <w:bCs w:val="1"/>
          <w:color w:val="auto"/>
        </w:rPr>
        <w:t>Financial statement schedules.</w:t>
      </w:r>
    </w:p>
    <w:p>
      <w:pPr>
        <w:spacing w:after="0" w:line="102" w:lineRule="exact"/>
        <w:rPr>
          <w:sz w:val="20"/>
          <w:szCs w:val="20"/>
          <w:color w:val="auto"/>
        </w:rPr>
      </w:pPr>
    </w:p>
    <w:p>
      <w:pPr>
        <w:ind w:left="1120" w:right="280" w:firstLine="368"/>
        <w:spacing w:after="0" w:line="275" w:lineRule="auto"/>
        <w:rPr>
          <w:sz w:val="20"/>
          <w:szCs w:val="20"/>
          <w:color w:val="auto"/>
        </w:rPr>
      </w:pPr>
      <w:r>
        <w:rPr>
          <w:rFonts w:ascii="Arial" w:cs="Arial" w:eastAsia="Arial" w:hAnsi="Arial"/>
          <w:sz w:val="15"/>
          <w:szCs w:val="15"/>
          <w:color w:val="auto"/>
        </w:rPr>
        <w:t>All financial statement schedules are omitted because the information called for is not required or is shown either in the consolidated financial statements or in the notes thereto.</w:t>
      </w:r>
    </w:p>
    <w:p>
      <w:pPr>
        <w:spacing w:after="0" w:line="90" w:lineRule="exact"/>
        <w:rPr>
          <w:sz w:val="20"/>
          <w:szCs w:val="20"/>
          <w:color w:val="auto"/>
        </w:rPr>
      </w:pPr>
    </w:p>
    <w:p>
      <w:pPr>
        <w:ind w:left="5600"/>
        <w:spacing w:after="0"/>
        <w:rPr>
          <w:sz w:val="20"/>
          <w:szCs w:val="20"/>
          <w:color w:val="auto"/>
        </w:rPr>
      </w:pPr>
      <w:r>
        <w:rPr>
          <w:rFonts w:ascii="Arial" w:cs="Arial" w:eastAsia="Arial" w:hAnsi="Arial"/>
          <w:sz w:val="15"/>
          <w:szCs w:val="15"/>
          <w:color w:val="auto"/>
        </w:rPr>
        <w:t>II-3</w:t>
      </w:r>
    </w:p>
    <w:p>
      <w:pPr>
        <w:sectPr>
          <w:pgSz w:w="11900" w:h="16838" w:orient="portrait"/>
          <w:cols w:equalWidth="0" w:num="1">
            <w:col w:w="10320"/>
          </w:cols>
          <w:pgMar w:left="240" w:top="408" w:right="1339" w:bottom="1440" w:gutter="0" w:footer="0" w:header="0"/>
        </w:sectPr>
      </w:pPr>
    </w:p>
    <w:bookmarkStart w:id="244" w:name="page245"/>
    <w:bookmarkEnd w:id="244"/>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133350</wp:posOffset>
            </wp:positionH>
            <wp:positionV relativeFrom="page">
              <wp:posOffset>88900</wp:posOffset>
            </wp:positionV>
            <wp:extent cx="7308850" cy="3429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7308850" cy="34290"/>
                    </a:xfrm>
                    <a:prstGeom prst="rect">
                      <a:avLst/>
                    </a:prstGeom>
                    <a:noFill/>
                  </pic:spPr>
                </pic:pic>
              </a:graphicData>
            </a:graphic>
          </wp:anchor>
        </w:drawing>
      </w:r>
      <w:hyperlink w:anchor="page7">
        <w:r>
          <w:rPr>
            <w:rFonts w:ascii="Arial" w:cs="Arial" w:eastAsia="Arial" w:hAnsi="Arial"/>
            <w:sz w:val="15"/>
            <w:szCs w:val="15"/>
            <w:b w:val="1"/>
            <w:bCs w:val="1"/>
            <w:u w:val="single" w:color="auto"/>
            <w:color w:val="0000EE"/>
          </w:rPr>
          <w:t>Table of Contents</w:t>
        </w:r>
      </w:hyperlink>
    </w:p>
    <w:p>
      <w:pPr>
        <w:spacing w:after="0" w:line="256" w:lineRule="exact"/>
        <w:rPr>
          <w:sz w:val="20"/>
          <w:szCs w:val="20"/>
          <w:color w:val="auto"/>
        </w:rPr>
      </w:pPr>
    </w:p>
    <w:p>
      <w:pPr>
        <w:ind w:left="1120"/>
        <w:spacing w:after="0"/>
        <w:rPr>
          <w:sz w:val="20"/>
          <w:szCs w:val="20"/>
          <w:color w:val="auto"/>
        </w:rPr>
      </w:pPr>
      <w:r>
        <w:rPr>
          <w:rFonts w:ascii="Arial" w:cs="Arial" w:eastAsia="Arial" w:hAnsi="Arial"/>
          <w:sz w:val="15"/>
          <w:szCs w:val="15"/>
          <w:b w:val="1"/>
          <w:bCs w:val="1"/>
          <w:color w:val="auto"/>
        </w:rPr>
        <w:t>ITEM 17. UNDERTAKINGS.</w:t>
      </w:r>
    </w:p>
    <w:p>
      <w:pPr>
        <w:spacing w:after="0" w:line="102" w:lineRule="exact"/>
        <w:rPr>
          <w:sz w:val="20"/>
          <w:szCs w:val="20"/>
          <w:color w:val="auto"/>
        </w:rPr>
      </w:pPr>
    </w:p>
    <w:p>
      <w:pPr>
        <w:ind w:left="1120" w:right="60" w:firstLine="368"/>
        <w:spacing w:after="0" w:line="312" w:lineRule="auto"/>
        <w:rPr>
          <w:sz w:val="20"/>
          <w:szCs w:val="20"/>
          <w:color w:val="auto"/>
        </w:rPr>
      </w:pPr>
      <w:r>
        <w:rPr>
          <w:rFonts w:ascii="Arial" w:cs="Arial" w:eastAsia="Arial" w:hAnsi="Arial"/>
          <w:sz w:val="14"/>
          <w:szCs w:val="14"/>
          <w:color w:val="auto"/>
        </w:rPr>
        <w:t>The undersigned Registrant hereby undertakes to provide to the underwriters at the closing specified in the underwriting agreement certificates in such denominations and registered in such names as required by the underwriters to permit prompt delivery to each purchaser.</w:t>
      </w:r>
    </w:p>
    <w:p>
      <w:pPr>
        <w:spacing w:after="0" w:line="123" w:lineRule="exact"/>
        <w:rPr>
          <w:sz w:val="20"/>
          <w:szCs w:val="20"/>
          <w:color w:val="auto"/>
        </w:rPr>
      </w:pPr>
    </w:p>
    <w:p>
      <w:pPr>
        <w:ind w:left="1120" w:right="20" w:firstLine="368"/>
        <w:spacing w:after="0" w:line="275" w:lineRule="auto"/>
        <w:rPr>
          <w:sz w:val="20"/>
          <w:szCs w:val="20"/>
          <w:color w:val="auto"/>
        </w:rPr>
      </w:pPr>
      <w:r>
        <w:rPr>
          <w:rFonts w:ascii="Arial" w:cs="Arial" w:eastAsia="Arial" w:hAnsi="Arial"/>
          <w:sz w:val="14"/>
          <w:szCs w:val="14"/>
          <w:color w:val="auto"/>
        </w:rPr>
        <w:t>Insofar as indemnification for liabilities arising under the Securities Act of 1933, as amended, or the Act,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Act and will be governed by the final adjudication of such issue.</w:t>
      </w:r>
    </w:p>
    <w:p>
      <w:pPr>
        <w:spacing w:after="0" w:line="148" w:lineRule="exact"/>
        <w:rPr>
          <w:sz w:val="20"/>
          <w:szCs w:val="20"/>
          <w:color w:val="auto"/>
        </w:rPr>
      </w:pPr>
    </w:p>
    <w:p>
      <w:pPr>
        <w:ind w:left="1480"/>
        <w:spacing w:after="0"/>
        <w:rPr>
          <w:sz w:val="20"/>
          <w:szCs w:val="20"/>
          <w:color w:val="auto"/>
        </w:rPr>
      </w:pPr>
      <w:r>
        <w:rPr>
          <w:rFonts w:ascii="Arial" w:cs="Arial" w:eastAsia="Arial" w:hAnsi="Arial"/>
          <w:sz w:val="15"/>
          <w:szCs w:val="15"/>
          <w:color w:val="auto"/>
        </w:rPr>
        <w:t>The undersigned Registrant hereby undertakes that:</w:t>
      </w:r>
    </w:p>
    <w:p>
      <w:pPr>
        <w:spacing w:after="0" w:line="109" w:lineRule="exact"/>
        <w:rPr>
          <w:sz w:val="20"/>
          <w:szCs w:val="20"/>
          <w:color w:val="auto"/>
        </w:rPr>
      </w:pPr>
    </w:p>
    <w:p>
      <w:pPr>
        <w:ind w:left="1840" w:hanging="367"/>
        <w:spacing w:after="0" w:line="322" w:lineRule="auto"/>
        <w:tabs>
          <w:tab w:leader="none" w:pos="1840" w:val="left"/>
        </w:tabs>
        <w:numPr>
          <w:ilvl w:val="0"/>
          <w:numId w:val="121"/>
        </w:numPr>
        <w:rPr>
          <w:rFonts w:ascii="Arial" w:cs="Arial" w:eastAsia="Arial" w:hAnsi="Arial"/>
          <w:sz w:val="13"/>
          <w:szCs w:val="13"/>
          <w:color w:val="auto"/>
        </w:rPr>
      </w:pPr>
      <w:r>
        <w:rPr>
          <w:rFonts w:ascii="Arial" w:cs="Arial" w:eastAsia="Arial" w:hAnsi="Arial"/>
          <w:sz w:val="13"/>
          <w:szCs w:val="13"/>
          <w:color w:val="auto"/>
        </w:rPr>
        <w:t>For purposes of determining any liability under the Act, the information omitted from the form of prospectus filed as part of this registration statement in reliance upon Rule 430A and contained in a form of prospectus filed by the Registrant pursuant to Rule 424(b)(1) or (4) or 497(h) under the Securities Act shall be deemed to be part of this registration statement as of the time it was declared effective.</w:t>
      </w:r>
    </w:p>
    <w:p>
      <w:pPr>
        <w:spacing w:after="0" w:line="41" w:lineRule="exact"/>
        <w:rPr>
          <w:rFonts w:ascii="Arial" w:cs="Arial" w:eastAsia="Arial" w:hAnsi="Arial"/>
          <w:sz w:val="13"/>
          <w:szCs w:val="13"/>
          <w:color w:val="auto"/>
        </w:rPr>
      </w:pPr>
    </w:p>
    <w:p>
      <w:pPr>
        <w:ind w:left="1840" w:right="180" w:hanging="367"/>
        <w:spacing w:after="0" w:line="263" w:lineRule="auto"/>
        <w:tabs>
          <w:tab w:leader="none" w:pos="1840" w:val="left"/>
        </w:tabs>
        <w:numPr>
          <w:ilvl w:val="0"/>
          <w:numId w:val="121"/>
        </w:numPr>
        <w:rPr>
          <w:rFonts w:ascii="Arial" w:cs="Arial" w:eastAsia="Arial" w:hAnsi="Arial"/>
          <w:sz w:val="15"/>
          <w:szCs w:val="15"/>
          <w:color w:val="auto"/>
        </w:rPr>
      </w:pPr>
      <w:r>
        <w:rPr>
          <w:rFonts w:ascii="Arial" w:cs="Arial" w:eastAsia="Arial" w:hAnsi="Arial"/>
          <w:sz w:val="15"/>
          <w:szCs w:val="15"/>
          <w:color w:val="auto"/>
        </w:rPr>
        <w:t>For the purpose of determining any liability under the Act, each post-effective amendment that contains a form of prospectus shall be deemed to be a new registration statement relating to the securities offered therein, and the offering of such securities at that time shall be deemed to be the initial bona fide offering thereof.</w:t>
      </w:r>
    </w:p>
    <w:p>
      <w:pPr>
        <w:spacing w:after="0" w:line="98" w:lineRule="exact"/>
        <w:rPr>
          <w:sz w:val="20"/>
          <w:szCs w:val="20"/>
          <w:color w:val="auto"/>
        </w:rPr>
      </w:pPr>
    </w:p>
    <w:p>
      <w:pPr>
        <w:ind w:left="5600"/>
        <w:spacing w:after="0"/>
        <w:rPr>
          <w:sz w:val="20"/>
          <w:szCs w:val="20"/>
          <w:color w:val="auto"/>
        </w:rPr>
      </w:pPr>
      <w:r>
        <w:rPr>
          <w:rFonts w:ascii="Arial" w:cs="Arial" w:eastAsia="Arial" w:hAnsi="Arial"/>
          <w:sz w:val="15"/>
          <w:szCs w:val="15"/>
          <w:color w:val="auto"/>
        </w:rPr>
        <w:t>II-4</w:t>
      </w:r>
    </w:p>
    <w:p>
      <w:pPr>
        <w:sectPr>
          <w:pgSz w:w="11900" w:h="16838" w:orient="portrait"/>
          <w:cols w:equalWidth="0" w:num="1">
            <w:col w:w="10280"/>
          </w:cols>
          <w:pgMar w:left="240" w:top="408" w:right="1379" w:bottom="1440" w:gutter="0" w:footer="0" w:header="0"/>
        </w:sectPr>
      </w:pPr>
    </w:p>
    <w:bookmarkStart w:id="245" w:name="page246"/>
    <w:bookmarkEnd w:id="245"/>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133350</wp:posOffset>
            </wp:positionH>
            <wp:positionV relativeFrom="page">
              <wp:posOffset>88900</wp:posOffset>
            </wp:positionV>
            <wp:extent cx="7308850" cy="3429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7308850" cy="34290"/>
                    </a:xfrm>
                    <a:prstGeom prst="rect">
                      <a:avLst/>
                    </a:prstGeom>
                    <a:noFill/>
                  </pic:spPr>
                </pic:pic>
              </a:graphicData>
            </a:graphic>
          </wp:anchor>
        </w:drawing>
      </w:r>
      <w:hyperlink w:anchor="page7">
        <w:r>
          <w:rPr>
            <w:rFonts w:ascii="Arial" w:cs="Arial" w:eastAsia="Arial" w:hAnsi="Arial"/>
            <w:sz w:val="15"/>
            <w:szCs w:val="15"/>
            <w:b w:val="1"/>
            <w:bCs w:val="1"/>
            <w:u w:val="single" w:color="auto"/>
            <w:color w:val="0000EE"/>
          </w:rPr>
          <w:t>Table of Contents</w:t>
        </w:r>
      </w:hyperlink>
    </w:p>
    <w:p>
      <w:pPr>
        <w:spacing w:after="0" w:line="256" w:lineRule="exact"/>
        <w:rPr>
          <w:sz w:val="20"/>
          <w:szCs w:val="20"/>
          <w:color w:val="auto"/>
        </w:rPr>
      </w:pPr>
    </w:p>
    <w:tbl>
      <w:tblPr>
        <w:tblLayout w:type="fixed"/>
        <w:tblInd w:w="1120" w:type="dxa"/>
        <w:tblCellMar>
          <w:top w:w="0" w:type="dxa"/>
          <w:left w:w="0" w:type="dxa"/>
          <w:bottom w:w="0" w:type="dxa"/>
          <w:right w:w="0" w:type="dxa"/>
        </w:tblCellMar>
      </w:tblPr>
      <w:tr>
        <w:trPr>
          <w:trHeight w:val="194"/>
        </w:trPr>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760" w:type="dxa"/>
            <w:vAlign w:val="bottom"/>
            <w:gridSpan w:val="26"/>
          </w:tcPr>
          <w:p>
            <w:pPr>
              <w:jc w:val="center"/>
              <w:ind w:right="2720"/>
              <w:spacing w:after="0"/>
              <w:rPr>
                <w:sz w:val="20"/>
                <w:szCs w:val="20"/>
                <w:color w:val="auto"/>
              </w:rPr>
            </w:pPr>
            <w:r>
              <w:rPr>
                <w:rFonts w:ascii="Arial" w:cs="Arial" w:eastAsia="Arial" w:hAnsi="Arial"/>
                <w:sz w:val="15"/>
                <w:szCs w:val="15"/>
                <w:b w:val="1"/>
                <w:bCs w:val="1"/>
                <w:color w:val="auto"/>
              </w:rPr>
              <w:t>EXHIBIT INDEX</w:t>
            </w:r>
          </w:p>
        </w:tc>
        <w:tc>
          <w:tcPr>
            <w:tcW w:w="0" w:type="dxa"/>
            <w:vAlign w:val="bottom"/>
          </w:tcPr>
          <w:p>
            <w:pPr>
              <w:spacing w:after="0"/>
              <w:rPr>
                <w:sz w:val="1"/>
                <w:szCs w:val="1"/>
                <w:color w:val="auto"/>
              </w:rPr>
            </w:pPr>
          </w:p>
        </w:tc>
      </w:tr>
      <w:tr>
        <w:trPr>
          <w:trHeight w:val="317"/>
        </w:trPr>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80" w:type="dxa"/>
            <w:vAlign w:val="bottom"/>
            <w:gridSpan w:val="3"/>
          </w:tcPr>
          <w:p>
            <w:pPr>
              <w:spacing w:after="0"/>
              <w:rPr>
                <w:sz w:val="20"/>
                <w:szCs w:val="20"/>
                <w:color w:val="auto"/>
              </w:rPr>
            </w:pPr>
            <w:r>
              <w:rPr>
                <w:rFonts w:ascii="Arial" w:cs="Arial" w:eastAsia="Arial" w:hAnsi="Arial"/>
                <w:sz w:val="12"/>
                <w:szCs w:val="12"/>
                <w:b w:val="1"/>
                <w:bCs w:val="1"/>
                <w:color w:val="auto"/>
              </w:rPr>
              <w:t>Exhibit</w:t>
            </w:r>
          </w:p>
        </w:tc>
        <w:tc>
          <w:tcPr>
            <w:tcW w:w="1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gridSpan w:val="5"/>
            <w:vMerge w:val="restart"/>
          </w:tcPr>
          <w:p>
            <w:pPr>
              <w:spacing w:after="0"/>
              <w:rPr>
                <w:sz w:val="20"/>
                <w:szCs w:val="20"/>
                <w:color w:val="auto"/>
              </w:rPr>
            </w:pPr>
            <w:r>
              <w:rPr>
                <w:rFonts w:ascii="Arial" w:cs="Arial" w:eastAsia="Arial" w:hAnsi="Arial"/>
                <w:sz w:val="12"/>
                <w:szCs w:val="12"/>
                <w:b w:val="1"/>
                <w:bCs w:val="1"/>
                <w:color w:val="auto"/>
                <w:w w:val="87"/>
              </w:rPr>
              <w:t>Description</w:t>
            </w:r>
          </w:p>
        </w:tc>
        <w:tc>
          <w:tcPr>
            <w:tcW w:w="3440" w:type="dxa"/>
            <w:vAlign w:val="bottom"/>
            <w:gridSpan w:val="17"/>
            <w:vMerge w:val="restart"/>
          </w:tcPr>
          <w:p>
            <w:pPr>
              <w:spacing w:after="0"/>
              <w:rPr>
                <w:sz w:val="24"/>
                <w:szCs w:val="24"/>
                <w:color w:val="auto"/>
              </w:rPr>
            </w:pPr>
          </w:p>
        </w:tc>
        <w:tc>
          <w:tcPr>
            <w:tcW w:w="0" w:type="dxa"/>
            <w:vAlign w:val="bottom"/>
          </w:tcPr>
          <w:p>
            <w:pPr>
              <w:spacing w:after="0"/>
              <w:rPr>
                <w:sz w:val="1"/>
                <w:szCs w:val="1"/>
                <w:color w:val="auto"/>
              </w:rPr>
            </w:pPr>
          </w:p>
        </w:tc>
      </w:tr>
      <w:tr>
        <w:trPr>
          <w:trHeight w:val="127"/>
        </w:trPr>
        <w:tc>
          <w:tcPr>
            <w:tcW w:w="10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400" w:type="dxa"/>
            <w:vAlign w:val="bottom"/>
            <w:tcBorders>
              <w:top w:val="single" w:sz="8" w:color="auto"/>
              <w:bottom w:val="single" w:sz="8" w:color="auto"/>
            </w:tcBorders>
          </w:tcPr>
          <w:p>
            <w:pPr>
              <w:spacing w:after="0" w:line="127" w:lineRule="exact"/>
              <w:rPr>
                <w:sz w:val="20"/>
                <w:szCs w:val="20"/>
                <w:color w:val="auto"/>
              </w:rPr>
            </w:pPr>
            <w:r>
              <w:rPr>
                <w:rFonts w:ascii="Arial" w:cs="Arial" w:eastAsia="Arial" w:hAnsi="Arial"/>
                <w:sz w:val="12"/>
                <w:szCs w:val="12"/>
                <w:b w:val="1"/>
                <w:bCs w:val="1"/>
                <w:color w:val="auto"/>
                <w:w w:val="83"/>
              </w:rPr>
              <w:t>Number</w:t>
            </w:r>
          </w:p>
        </w:tc>
        <w:tc>
          <w:tcPr>
            <w:tcW w:w="20" w:type="dxa"/>
            <w:vAlign w:val="bottom"/>
            <w:tcBorders>
              <w:bottom w:val="single" w:sz="8" w:color="auto"/>
            </w:tcBorders>
          </w:tcPr>
          <w:p>
            <w:pPr>
              <w:spacing w:after="0"/>
              <w:rPr>
                <w:sz w:val="11"/>
                <w:szCs w:val="11"/>
                <w:color w:val="auto"/>
              </w:rPr>
            </w:pPr>
          </w:p>
        </w:tc>
        <w:tc>
          <w:tcPr>
            <w:tcW w:w="46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Borders>
              <w:bottom w:val="single" w:sz="8" w:color="auto"/>
            </w:tcBorders>
            <w:gridSpan w:val="5"/>
            <w:vMerge w:val="continue"/>
          </w:tcPr>
          <w:p>
            <w:pPr>
              <w:spacing w:after="0"/>
              <w:rPr>
                <w:sz w:val="11"/>
                <w:szCs w:val="11"/>
                <w:color w:val="auto"/>
              </w:rPr>
            </w:pPr>
          </w:p>
        </w:tc>
        <w:tc>
          <w:tcPr>
            <w:tcW w:w="3440" w:type="dxa"/>
            <w:vAlign w:val="bottom"/>
            <w:gridSpan w:val="17"/>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6"/>
        </w:trPr>
        <w:tc>
          <w:tcPr>
            <w:tcW w:w="520" w:type="dxa"/>
            <w:vAlign w:val="bottom"/>
            <w:gridSpan w:val="3"/>
          </w:tcPr>
          <w:p>
            <w:pPr>
              <w:ind w:left="60"/>
              <w:spacing w:after="0"/>
              <w:rPr>
                <w:sz w:val="20"/>
                <w:szCs w:val="20"/>
                <w:color w:val="auto"/>
              </w:rPr>
            </w:pPr>
            <w:r>
              <w:rPr>
                <w:rFonts w:ascii="Arial" w:cs="Arial" w:eastAsia="Arial" w:hAnsi="Arial"/>
                <w:sz w:val="15"/>
                <w:szCs w:val="15"/>
                <w:color w:val="auto"/>
              </w:rPr>
              <w:t>1.1#</w:t>
            </w:r>
          </w:p>
        </w:tc>
        <w:tc>
          <w:tcPr>
            <w:tcW w:w="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7840" w:type="dxa"/>
            <w:vAlign w:val="bottom"/>
            <w:gridSpan w:val="28"/>
          </w:tcPr>
          <w:p>
            <w:pPr>
              <w:spacing w:after="0"/>
              <w:rPr>
                <w:rFonts w:ascii="Arial" w:cs="Arial" w:eastAsia="Arial" w:hAnsi="Arial"/>
                <w:sz w:val="15"/>
                <w:szCs w:val="15"/>
                <w:color w:val="0000EE"/>
              </w:rPr>
            </w:pPr>
            <w:hyperlink r:id="rId342">
              <w:r>
                <w:rPr>
                  <w:rFonts w:ascii="Arial" w:cs="Arial" w:eastAsia="Arial" w:hAnsi="Arial"/>
                  <w:sz w:val="15"/>
                  <w:szCs w:val="15"/>
                  <w:color w:val="0000EE"/>
                </w:rPr>
                <w:t>Form of Underwriting Agreement.</w:t>
              </w:r>
            </w:hyperlink>
          </w:p>
        </w:tc>
        <w:tc>
          <w:tcPr>
            <w:tcW w:w="0" w:type="dxa"/>
            <w:vAlign w:val="bottom"/>
          </w:tcPr>
          <w:p>
            <w:pPr>
              <w:spacing w:after="0"/>
              <w:rPr>
                <w:sz w:val="1"/>
                <w:szCs w:val="1"/>
                <w:color w:val="auto"/>
              </w:rPr>
            </w:pPr>
          </w:p>
        </w:tc>
      </w:tr>
      <w:tr>
        <w:trPr>
          <w:trHeight w:val="20"/>
        </w:trPr>
        <w:tc>
          <w:tcPr>
            <w:tcW w:w="5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520" w:type="dxa"/>
            <w:vAlign w:val="bottom"/>
            <w:gridSpan w:val="3"/>
          </w:tcPr>
          <w:p>
            <w:pPr>
              <w:ind w:left="60"/>
              <w:spacing w:after="0"/>
              <w:rPr>
                <w:sz w:val="20"/>
                <w:szCs w:val="20"/>
                <w:color w:val="auto"/>
              </w:rPr>
            </w:pPr>
            <w:r>
              <w:rPr>
                <w:rFonts w:ascii="Arial" w:cs="Arial" w:eastAsia="Arial" w:hAnsi="Arial"/>
                <w:sz w:val="15"/>
                <w:szCs w:val="15"/>
                <w:color w:val="auto"/>
              </w:rPr>
              <w:t>3.1#</w:t>
            </w:r>
          </w:p>
        </w:tc>
        <w:tc>
          <w:tcPr>
            <w:tcW w:w="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5440" w:type="dxa"/>
            <w:vAlign w:val="bottom"/>
            <w:tcBorders>
              <w:bottom w:val="single" w:sz="8" w:color="0000EE"/>
            </w:tcBorders>
            <w:gridSpan w:val="17"/>
          </w:tcPr>
          <w:p>
            <w:pPr>
              <w:spacing w:after="0"/>
              <w:rPr>
                <w:rFonts w:ascii="Arial" w:cs="Arial" w:eastAsia="Arial" w:hAnsi="Arial"/>
                <w:sz w:val="15"/>
                <w:szCs w:val="15"/>
                <w:color w:val="0000EE"/>
                <w:w w:val="90"/>
              </w:rPr>
            </w:pPr>
            <w:hyperlink r:id="rId343">
              <w:r>
                <w:rPr>
                  <w:rFonts w:ascii="Arial" w:cs="Arial" w:eastAsia="Arial" w:hAnsi="Arial"/>
                  <w:sz w:val="15"/>
                  <w:szCs w:val="15"/>
                  <w:color w:val="0000EE"/>
                  <w:w w:val="90"/>
                </w:rPr>
                <w:t>Restated Certificate of Incorporation of the Registrant, as amended and currently in effect.</w:t>
              </w:r>
            </w:hyperlink>
          </w:p>
        </w:tc>
        <w:tc>
          <w:tcPr>
            <w:tcW w:w="2400" w:type="dxa"/>
            <w:vAlign w:val="bottom"/>
            <w:gridSpan w:val="11"/>
          </w:tcPr>
          <w:p>
            <w:pPr>
              <w:spacing w:after="0"/>
              <w:rPr>
                <w:sz w:val="21"/>
                <w:szCs w:val="21"/>
                <w:color w:val="auto"/>
              </w:rPr>
            </w:pPr>
          </w:p>
        </w:tc>
        <w:tc>
          <w:tcPr>
            <w:tcW w:w="0" w:type="dxa"/>
            <w:vAlign w:val="bottom"/>
          </w:tcPr>
          <w:p>
            <w:pPr>
              <w:spacing w:after="0"/>
              <w:rPr>
                <w:sz w:val="1"/>
                <w:szCs w:val="1"/>
                <w:color w:val="auto"/>
              </w:rPr>
            </w:pPr>
          </w:p>
        </w:tc>
      </w:tr>
      <w:tr>
        <w:trPr>
          <w:trHeight w:val="251"/>
        </w:trPr>
        <w:tc>
          <w:tcPr>
            <w:tcW w:w="520" w:type="dxa"/>
            <w:vAlign w:val="bottom"/>
            <w:gridSpan w:val="3"/>
          </w:tcPr>
          <w:p>
            <w:pPr>
              <w:ind w:left="60"/>
              <w:spacing w:after="0"/>
              <w:rPr>
                <w:sz w:val="20"/>
                <w:szCs w:val="20"/>
                <w:color w:val="auto"/>
              </w:rPr>
            </w:pPr>
            <w:r>
              <w:rPr>
                <w:rFonts w:ascii="Arial" w:cs="Arial" w:eastAsia="Arial" w:hAnsi="Arial"/>
                <w:sz w:val="15"/>
                <w:szCs w:val="15"/>
                <w:color w:val="auto"/>
              </w:rPr>
              <w:t>3.2#</w:t>
            </w:r>
          </w:p>
        </w:tc>
        <w:tc>
          <w:tcPr>
            <w:tcW w:w="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7840" w:type="dxa"/>
            <w:vAlign w:val="bottom"/>
            <w:gridSpan w:val="28"/>
          </w:tcPr>
          <w:p>
            <w:pPr>
              <w:spacing w:after="0"/>
              <w:rPr>
                <w:rFonts w:ascii="Arial" w:cs="Arial" w:eastAsia="Arial" w:hAnsi="Arial"/>
                <w:sz w:val="15"/>
                <w:szCs w:val="15"/>
                <w:color w:val="0000EE"/>
              </w:rPr>
            </w:pPr>
            <w:hyperlink r:id="rId344">
              <w:r>
                <w:rPr>
                  <w:rFonts w:ascii="Arial" w:cs="Arial" w:eastAsia="Arial" w:hAnsi="Arial"/>
                  <w:sz w:val="15"/>
                  <w:szCs w:val="15"/>
                  <w:color w:val="0000EE"/>
                </w:rPr>
                <w:t>Certificate of Amendment to the Restated Certificate of Incorporation, as filed on April 4, 2014.</w:t>
              </w:r>
            </w:hyperlink>
          </w:p>
        </w:tc>
        <w:tc>
          <w:tcPr>
            <w:tcW w:w="0" w:type="dxa"/>
            <w:vAlign w:val="bottom"/>
          </w:tcPr>
          <w:p>
            <w:pPr>
              <w:spacing w:after="0"/>
              <w:rPr>
                <w:sz w:val="1"/>
                <w:szCs w:val="1"/>
                <w:color w:val="auto"/>
              </w:rPr>
            </w:pPr>
          </w:p>
        </w:tc>
      </w:tr>
      <w:tr>
        <w:trPr>
          <w:trHeight w:val="20"/>
        </w:trPr>
        <w:tc>
          <w:tcPr>
            <w:tcW w:w="5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60" w:type="dxa"/>
            <w:vAlign w:val="bottom"/>
            <w:shd w:val="clear" w:color="auto" w:fill="0000EE"/>
          </w:tcPr>
          <w:p>
            <w:pPr>
              <w:spacing w:after="0" w:line="20" w:lineRule="exact"/>
              <w:rPr>
                <w:sz w:val="1"/>
                <w:szCs w:val="1"/>
                <w:color w:val="auto"/>
              </w:rPr>
            </w:pPr>
          </w:p>
        </w:tc>
        <w:tc>
          <w:tcPr>
            <w:tcW w:w="1260" w:type="dxa"/>
            <w:vAlign w:val="bottom"/>
            <w:gridSpan w:val="2"/>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00" w:type="dxa"/>
            <w:vAlign w:val="bottom"/>
            <w:tcBorders>
              <w:right w:val="single" w:sz="8" w:color="0000EE"/>
            </w:tcBorders>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520" w:type="dxa"/>
            <w:vAlign w:val="bottom"/>
            <w:gridSpan w:val="3"/>
          </w:tcPr>
          <w:p>
            <w:pPr>
              <w:ind w:left="60"/>
              <w:spacing w:after="0"/>
              <w:rPr>
                <w:sz w:val="20"/>
                <w:szCs w:val="20"/>
                <w:color w:val="auto"/>
              </w:rPr>
            </w:pPr>
            <w:r>
              <w:rPr>
                <w:rFonts w:ascii="Arial" w:cs="Arial" w:eastAsia="Arial" w:hAnsi="Arial"/>
                <w:sz w:val="15"/>
                <w:szCs w:val="15"/>
                <w:color w:val="auto"/>
              </w:rPr>
              <w:t>3.3#</w:t>
            </w:r>
          </w:p>
        </w:tc>
        <w:tc>
          <w:tcPr>
            <w:tcW w:w="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5880" w:type="dxa"/>
            <w:vAlign w:val="bottom"/>
            <w:tcBorders>
              <w:bottom w:val="single" w:sz="8" w:color="0000EE"/>
            </w:tcBorders>
            <w:gridSpan w:val="20"/>
          </w:tcPr>
          <w:p>
            <w:pPr>
              <w:spacing w:after="0"/>
              <w:rPr>
                <w:rFonts w:ascii="Arial" w:cs="Arial" w:eastAsia="Arial" w:hAnsi="Arial"/>
                <w:sz w:val="15"/>
                <w:szCs w:val="15"/>
                <w:color w:val="0000EE"/>
                <w:w w:val="92"/>
              </w:rPr>
            </w:pPr>
            <w:hyperlink r:id="rId345">
              <w:r>
                <w:rPr>
                  <w:rFonts w:ascii="Arial" w:cs="Arial" w:eastAsia="Arial" w:hAnsi="Arial"/>
                  <w:sz w:val="15"/>
                  <w:szCs w:val="15"/>
                  <w:color w:val="0000EE"/>
                  <w:w w:val="92"/>
                </w:rPr>
                <w:t>Certificate of Amendment to the Restated Certificate of Incorporation, as filed on April 21, 2016.</w:t>
              </w:r>
            </w:hyperlink>
          </w:p>
        </w:tc>
        <w:tc>
          <w:tcPr>
            <w:tcW w:w="1960" w:type="dxa"/>
            <w:vAlign w:val="bottom"/>
            <w:gridSpan w:val="8"/>
          </w:tcPr>
          <w:p>
            <w:pPr>
              <w:spacing w:after="0"/>
              <w:rPr>
                <w:sz w:val="21"/>
                <w:szCs w:val="21"/>
                <w:color w:val="auto"/>
              </w:rPr>
            </w:pPr>
          </w:p>
        </w:tc>
        <w:tc>
          <w:tcPr>
            <w:tcW w:w="0" w:type="dxa"/>
            <w:vAlign w:val="bottom"/>
          </w:tcPr>
          <w:p>
            <w:pPr>
              <w:spacing w:after="0"/>
              <w:rPr>
                <w:sz w:val="1"/>
                <w:szCs w:val="1"/>
                <w:color w:val="auto"/>
              </w:rPr>
            </w:pPr>
          </w:p>
        </w:tc>
      </w:tr>
      <w:tr>
        <w:trPr>
          <w:trHeight w:val="251"/>
        </w:trPr>
        <w:tc>
          <w:tcPr>
            <w:tcW w:w="520" w:type="dxa"/>
            <w:vAlign w:val="bottom"/>
            <w:gridSpan w:val="3"/>
          </w:tcPr>
          <w:p>
            <w:pPr>
              <w:ind w:left="60"/>
              <w:spacing w:after="0"/>
              <w:rPr>
                <w:sz w:val="20"/>
                <w:szCs w:val="20"/>
                <w:color w:val="auto"/>
              </w:rPr>
            </w:pPr>
            <w:r>
              <w:rPr>
                <w:rFonts w:ascii="Arial" w:cs="Arial" w:eastAsia="Arial" w:hAnsi="Arial"/>
                <w:sz w:val="15"/>
                <w:szCs w:val="15"/>
                <w:color w:val="auto"/>
              </w:rPr>
              <w:t>3.4#</w:t>
            </w:r>
          </w:p>
        </w:tc>
        <w:tc>
          <w:tcPr>
            <w:tcW w:w="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7840" w:type="dxa"/>
            <w:vAlign w:val="bottom"/>
            <w:gridSpan w:val="28"/>
          </w:tcPr>
          <w:p>
            <w:pPr>
              <w:spacing w:after="0"/>
              <w:rPr>
                <w:rFonts w:ascii="Arial" w:cs="Arial" w:eastAsia="Arial" w:hAnsi="Arial"/>
                <w:sz w:val="15"/>
                <w:szCs w:val="15"/>
                <w:color w:val="0000EE"/>
              </w:rPr>
            </w:pPr>
            <w:hyperlink r:id="rId346">
              <w:r>
                <w:rPr>
                  <w:rFonts w:ascii="Arial" w:cs="Arial" w:eastAsia="Arial" w:hAnsi="Arial"/>
                  <w:sz w:val="15"/>
                  <w:szCs w:val="15"/>
                  <w:color w:val="0000EE"/>
                </w:rPr>
                <w:t>Certificate of Amendment to the Restated Certificate of Incorporation, as filed on March 7, 2018.</w:t>
              </w:r>
            </w:hyperlink>
          </w:p>
        </w:tc>
        <w:tc>
          <w:tcPr>
            <w:tcW w:w="0" w:type="dxa"/>
            <w:vAlign w:val="bottom"/>
          </w:tcPr>
          <w:p>
            <w:pPr>
              <w:spacing w:after="0"/>
              <w:rPr>
                <w:sz w:val="1"/>
                <w:szCs w:val="1"/>
                <w:color w:val="auto"/>
              </w:rPr>
            </w:pPr>
          </w:p>
        </w:tc>
      </w:tr>
      <w:tr>
        <w:trPr>
          <w:trHeight w:val="20"/>
        </w:trPr>
        <w:tc>
          <w:tcPr>
            <w:tcW w:w="5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60" w:type="dxa"/>
            <w:vAlign w:val="bottom"/>
            <w:shd w:val="clear" w:color="auto" w:fill="0000EE"/>
          </w:tcPr>
          <w:p>
            <w:pPr>
              <w:spacing w:after="0" w:line="20" w:lineRule="exact"/>
              <w:rPr>
                <w:sz w:val="1"/>
                <w:szCs w:val="1"/>
                <w:color w:val="auto"/>
              </w:rPr>
            </w:pPr>
          </w:p>
        </w:tc>
        <w:tc>
          <w:tcPr>
            <w:tcW w:w="1260" w:type="dxa"/>
            <w:vAlign w:val="bottom"/>
            <w:gridSpan w:val="2"/>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00" w:type="dxa"/>
            <w:vAlign w:val="bottom"/>
            <w:tcBorders>
              <w:right w:val="single" w:sz="8" w:color="0000EE"/>
            </w:tcBorders>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80" w:type="dxa"/>
            <w:vAlign w:val="bottom"/>
            <w:gridSpan w:val="3"/>
            <w:shd w:val="clear" w:color="auto" w:fill="0000EE"/>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520" w:type="dxa"/>
            <w:vAlign w:val="bottom"/>
            <w:gridSpan w:val="3"/>
          </w:tcPr>
          <w:p>
            <w:pPr>
              <w:ind w:left="60"/>
              <w:spacing w:after="0"/>
              <w:rPr>
                <w:sz w:val="20"/>
                <w:szCs w:val="20"/>
                <w:color w:val="auto"/>
              </w:rPr>
            </w:pPr>
            <w:r>
              <w:rPr>
                <w:rFonts w:ascii="Arial" w:cs="Arial" w:eastAsia="Arial" w:hAnsi="Arial"/>
                <w:sz w:val="15"/>
                <w:szCs w:val="15"/>
                <w:color w:val="auto"/>
              </w:rPr>
              <w:t>3.5#</w:t>
            </w:r>
          </w:p>
        </w:tc>
        <w:tc>
          <w:tcPr>
            <w:tcW w:w="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7840" w:type="dxa"/>
            <w:vAlign w:val="bottom"/>
            <w:gridSpan w:val="28"/>
          </w:tcPr>
          <w:p>
            <w:pPr>
              <w:spacing w:after="0"/>
              <w:rPr>
                <w:rFonts w:ascii="Arial" w:cs="Arial" w:eastAsia="Arial" w:hAnsi="Arial"/>
                <w:sz w:val="15"/>
                <w:szCs w:val="15"/>
                <w:color w:val="0000EE"/>
                <w:w w:val="95"/>
              </w:rPr>
            </w:pPr>
            <w:hyperlink r:id="rId347">
              <w:r>
                <w:rPr>
                  <w:rFonts w:ascii="Arial" w:cs="Arial" w:eastAsia="Arial" w:hAnsi="Arial"/>
                  <w:sz w:val="15"/>
                  <w:szCs w:val="15"/>
                  <w:color w:val="0000EE"/>
                  <w:w w:val="95"/>
                </w:rPr>
                <w:t>Form of Amended and Restated Certificate of Incorporation of the Registrant, to be in effect upon completion of this offering.</w:t>
              </w:r>
            </w:hyperlink>
          </w:p>
        </w:tc>
        <w:tc>
          <w:tcPr>
            <w:tcW w:w="0" w:type="dxa"/>
            <w:vAlign w:val="bottom"/>
          </w:tcPr>
          <w:p>
            <w:pPr>
              <w:spacing w:after="0"/>
              <w:rPr>
                <w:sz w:val="1"/>
                <w:szCs w:val="1"/>
                <w:color w:val="auto"/>
              </w:rPr>
            </w:pPr>
          </w:p>
        </w:tc>
      </w:tr>
      <w:tr>
        <w:trPr>
          <w:trHeight w:val="251"/>
        </w:trPr>
        <w:tc>
          <w:tcPr>
            <w:tcW w:w="520" w:type="dxa"/>
            <w:vAlign w:val="bottom"/>
            <w:gridSpan w:val="3"/>
          </w:tcPr>
          <w:p>
            <w:pPr>
              <w:ind w:left="60"/>
              <w:spacing w:after="0"/>
              <w:rPr>
                <w:sz w:val="20"/>
                <w:szCs w:val="20"/>
                <w:color w:val="auto"/>
              </w:rPr>
            </w:pPr>
            <w:r>
              <w:rPr>
                <w:rFonts w:ascii="Arial" w:cs="Arial" w:eastAsia="Arial" w:hAnsi="Arial"/>
                <w:sz w:val="15"/>
                <w:szCs w:val="15"/>
                <w:color w:val="auto"/>
              </w:rPr>
              <w:t>3.6#</w:t>
            </w:r>
          </w:p>
        </w:tc>
        <w:tc>
          <w:tcPr>
            <w:tcW w:w="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7580" w:type="dxa"/>
            <w:vAlign w:val="bottom"/>
            <w:tcBorders>
              <w:top w:val="single" w:sz="8" w:color="0000EE"/>
            </w:tcBorders>
            <w:gridSpan w:val="26"/>
          </w:tcPr>
          <w:p>
            <w:pPr>
              <w:spacing w:after="0"/>
              <w:rPr>
                <w:rFonts w:ascii="Arial" w:cs="Arial" w:eastAsia="Arial" w:hAnsi="Arial"/>
                <w:sz w:val="15"/>
                <w:szCs w:val="15"/>
                <w:color w:val="0000EE"/>
              </w:rPr>
            </w:pPr>
            <w:hyperlink r:id="rId348">
              <w:r>
                <w:rPr>
                  <w:rFonts w:ascii="Arial" w:cs="Arial" w:eastAsia="Arial" w:hAnsi="Arial"/>
                  <w:sz w:val="15"/>
                  <w:szCs w:val="15"/>
                  <w:color w:val="0000EE"/>
                </w:rPr>
                <w:t>Bylaws of the Registrant, as amended and currently in effect.</w:t>
              </w:r>
            </w:hyperlink>
          </w:p>
        </w:tc>
        <w:tc>
          <w:tcPr>
            <w:tcW w:w="260" w:type="dxa"/>
            <w:vAlign w:val="bottom"/>
            <w:gridSpan w:val="2"/>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60" w:type="dxa"/>
            <w:vAlign w:val="bottom"/>
            <w:shd w:val="clear" w:color="auto" w:fill="0000EE"/>
          </w:tcPr>
          <w:p>
            <w:pPr>
              <w:spacing w:after="0" w:line="20" w:lineRule="exact"/>
              <w:rPr>
                <w:sz w:val="1"/>
                <w:szCs w:val="1"/>
                <w:color w:val="auto"/>
              </w:rPr>
            </w:pPr>
          </w:p>
        </w:tc>
        <w:tc>
          <w:tcPr>
            <w:tcW w:w="1260" w:type="dxa"/>
            <w:vAlign w:val="bottom"/>
            <w:gridSpan w:val="2"/>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00" w:type="dxa"/>
            <w:vAlign w:val="bottom"/>
            <w:tcBorders>
              <w:right w:val="single" w:sz="8" w:color="0000EE"/>
            </w:tcBorders>
            <w:shd w:val="clear" w:color="auto" w:fill="0000EE"/>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0" w:type="dxa"/>
            <w:vAlign w:val="bottom"/>
            <w:gridSpan w:val="5"/>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520" w:type="dxa"/>
            <w:vAlign w:val="bottom"/>
            <w:gridSpan w:val="3"/>
          </w:tcPr>
          <w:p>
            <w:pPr>
              <w:ind w:left="60"/>
              <w:spacing w:after="0"/>
              <w:rPr>
                <w:sz w:val="20"/>
                <w:szCs w:val="20"/>
                <w:color w:val="auto"/>
              </w:rPr>
            </w:pPr>
            <w:r>
              <w:rPr>
                <w:rFonts w:ascii="Arial" w:cs="Arial" w:eastAsia="Arial" w:hAnsi="Arial"/>
                <w:sz w:val="15"/>
                <w:szCs w:val="15"/>
                <w:color w:val="auto"/>
              </w:rPr>
              <w:t>3.7#</w:t>
            </w:r>
          </w:p>
        </w:tc>
        <w:tc>
          <w:tcPr>
            <w:tcW w:w="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7840" w:type="dxa"/>
            <w:vAlign w:val="bottom"/>
            <w:gridSpan w:val="28"/>
          </w:tcPr>
          <w:p>
            <w:pPr>
              <w:spacing w:after="0"/>
              <w:rPr>
                <w:rFonts w:ascii="Arial" w:cs="Arial" w:eastAsia="Arial" w:hAnsi="Arial"/>
                <w:sz w:val="15"/>
                <w:szCs w:val="15"/>
                <w:color w:val="0000EE"/>
              </w:rPr>
            </w:pPr>
            <w:hyperlink r:id="rId349">
              <w:r>
                <w:rPr>
                  <w:rFonts w:ascii="Arial" w:cs="Arial" w:eastAsia="Arial" w:hAnsi="Arial"/>
                  <w:sz w:val="15"/>
                  <w:szCs w:val="15"/>
                  <w:color w:val="0000EE"/>
                </w:rPr>
                <w:t>Form of Amended and Restated Bylaws of the Registrant, to be in effect upon completion of this offering.</w:t>
              </w:r>
            </w:hyperlink>
          </w:p>
        </w:tc>
        <w:tc>
          <w:tcPr>
            <w:tcW w:w="0" w:type="dxa"/>
            <w:vAlign w:val="bottom"/>
          </w:tcPr>
          <w:p>
            <w:pPr>
              <w:spacing w:after="0"/>
              <w:rPr>
                <w:sz w:val="1"/>
                <w:szCs w:val="1"/>
                <w:color w:val="auto"/>
              </w:rPr>
            </w:pPr>
          </w:p>
        </w:tc>
      </w:tr>
      <w:tr>
        <w:trPr>
          <w:trHeight w:val="251"/>
        </w:trPr>
        <w:tc>
          <w:tcPr>
            <w:tcW w:w="520" w:type="dxa"/>
            <w:vAlign w:val="bottom"/>
            <w:gridSpan w:val="3"/>
          </w:tcPr>
          <w:p>
            <w:pPr>
              <w:ind w:left="60"/>
              <w:spacing w:after="0"/>
              <w:rPr>
                <w:sz w:val="20"/>
                <w:szCs w:val="20"/>
                <w:color w:val="auto"/>
              </w:rPr>
            </w:pPr>
            <w:r>
              <w:rPr>
                <w:rFonts w:ascii="Arial" w:cs="Arial" w:eastAsia="Arial" w:hAnsi="Arial"/>
                <w:sz w:val="15"/>
                <w:szCs w:val="15"/>
                <w:color w:val="auto"/>
              </w:rPr>
              <w:t>4.1#</w:t>
            </w:r>
          </w:p>
        </w:tc>
        <w:tc>
          <w:tcPr>
            <w:tcW w:w="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3680" w:type="dxa"/>
            <w:vAlign w:val="bottom"/>
            <w:tcBorders>
              <w:top w:val="single" w:sz="8" w:color="0000EE"/>
              <w:bottom w:val="single" w:sz="8" w:color="0000EE"/>
            </w:tcBorders>
            <w:gridSpan w:val="5"/>
          </w:tcPr>
          <w:p>
            <w:pPr>
              <w:spacing w:after="0"/>
              <w:rPr>
                <w:rFonts w:ascii="Arial" w:cs="Arial" w:eastAsia="Arial" w:hAnsi="Arial"/>
                <w:sz w:val="15"/>
                <w:szCs w:val="15"/>
                <w:color w:val="0000EE"/>
                <w:w w:val="92"/>
              </w:rPr>
            </w:pPr>
            <w:hyperlink r:id="rId350">
              <w:r>
                <w:rPr>
                  <w:rFonts w:ascii="Arial" w:cs="Arial" w:eastAsia="Arial" w:hAnsi="Arial"/>
                  <w:sz w:val="15"/>
                  <w:szCs w:val="15"/>
                  <w:color w:val="0000EE"/>
                  <w:w w:val="92"/>
                </w:rPr>
                <w:t>Form of Class A common stock certificate of the Registrant.</w:t>
              </w:r>
            </w:hyperlink>
          </w:p>
        </w:tc>
        <w:tc>
          <w:tcPr>
            <w:tcW w:w="2700" w:type="dxa"/>
            <w:vAlign w:val="bottom"/>
            <w:tcBorders>
              <w:top w:val="single" w:sz="8" w:color="0000EE"/>
            </w:tcBorders>
            <w:gridSpan w:val="16"/>
          </w:tcPr>
          <w:p>
            <w:pPr>
              <w:spacing w:after="0"/>
              <w:rPr>
                <w:sz w:val="21"/>
                <w:szCs w:val="21"/>
                <w:color w:val="auto"/>
              </w:rPr>
            </w:pPr>
          </w:p>
        </w:tc>
        <w:tc>
          <w:tcPr>
            <w:tcW w:w="1460" w:type="dxa"/>
            <w:vAlign w:val="bottom"/>
            <w:gridSpan w:val="7"/>
          </w:tcPr>
          <w:p>
            <w:pPr>
              <w:spacing w:after="0"/>
              <w:rPr>
                <w:sz w:val="21"/>
                <w:szCs w:val="21"/>
                <w:color w:val="auto"/>
              </w:rPr>
            </w:pPr>
          </w:p>
        </w:tc>
        <w:tc>
          <w:tcPr>
            <w:tcW w:w="0" w:type="dxa"/>
            <w:vAlign w:val="bottom"/>
          </w:tcPr>
          <w:p>
            <w:pPr>
              <w:spacing w:after="0"/>
              <w:rPr>
                <w:sz w:val="1"/>
                <w:szCs w:val="1"/>
                <w:color w:val="auto"/>
              </w:rPr>
            </w:pPr>
          </w:p>
        </w:tc>
      </w:tr>
      <w:tr>
        <w:trPr>
          <w:trHeight w:val="251"/>
        </w:trPr>
        <w:tc>
          <w:tcPr>
            <w:tcW w:w="520" w:type="dxa"/>
            <w:vAlign w:val="bottom"/>
            <w:gridSpan w:val="3"/>
          </w:tcPr>
          <w:p>
            <w:pPr>
              <w:ind w:left="60"/>
              <w:spacing w:after="0"/>
              <w:rPr>
                <w:sz w:val="20"/>
                <w:szCs w:val="20"/>
                <w:color w:val="auto"/>
              </w:rPr>
            </w:pPr>
            <w:r>
              <w:rPr>
                <w:rFonts w:ascii="Arial" w:cs="Arial" w:eastAsia="Arial" w:hAnsi="Arial"/>
                <w:sz w:val="15"/>
                <w:szCs w:val="15"/>
                <w:color w:val="auto"/>
              </w:rPr>
              <w:t>4.2#</w:t>
            </w:r>
          </w:p>
        </w:tc>
        <w:tc>
          <w:tcPr>
            <w:tcW w:w="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7840" w:type="dxa"/>
            <w:vAlign w:val="bottom"/>
            <w:gridSpan w:val="28"/>
          </w:tcPr>
          <w:p>
            <w:pPr>
              <w:spacing w:after="0"/>
              <w:rPr>
                <w:rFonts w:ascii="Arial" w:cs="Arial" w:eastAsia="Arial" w:hAnsi="Arial"/>
                <w:sz w:val="15"/>
                <w:szCs w:val="15"/>
                <w:color w:val="0000EE"/>
                <w:w w:val="93"/>
              </w:rPr>
            </w:pPr>
            <w:hyperlink r:id="rId351">
              <w:r>
                <w:rPr>
                  <w:rFonts w:ascii="Arial" w:cs="Arial" w:eastAsia="Arial" w:hAnsi="Arial"/>
                  <w:sz w:val="15"/>
                  <w:szCs w:val="15"/>
                  <w:color w:val="0000EE"/>
                  <w:w w:val="93"/>
                </w:rPr>
                <w:t>Amended and Restated Investors’ Rights Agreement among the Registrant and certain holders of its capital stock, dated as of</w:t>
              </w:r>
            </w:hyperlink>
          </w:p>
        </w:tc>
        <w:tc>
          <w:tcPr>
            <w:tcW w:w="0" w:type="dxa"/>
            <w:vAlign w:val="bottom"/>
          </w:tcPr>
          <w:p>
            <w:pPr>
              <w:spacing w:after="0"/>
              <w:rPr>
                <w:sz w:val="1"/>
                <w:szCs w:val="1"/>
                <w:color w:val="auto"/>
              </w:rPr>
            </w:pPr>
          </w:p>
        </w:tc>
      </w:tr>
      <w:tr>
        <w:trPr>
          <w:trHeight w:val="160"/>
        </w:trPr>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860" w:type="dxa"/>
            <w:vAlign w:val="bottom"/>
            <w:tcBorders>
              <w:top w:val="single" w:sz="8" w:color="0000EE"/>
              <w:bottom w:val="single" w:sz="8" w:color="0000EE"/>
            </w:tcBorders>
          </w:tcPr>
          <w:p>
            <w:pPr>
              <w:spacing w:after="0" w:line="161" w:lineRule="exact"/>
              <w:rPr>
                <w:rFonts w:ascii="Arial" w:cs="Arial" w:eastAsia="Arial" w:hAnsi="Arial"/>
                <w:sz w:val="15"/>
                <w:szCs w:val="15"/>
                <w:color w:val="0000EE"/>
                <w:w w:val="87"/>
              </w:rPr>
            </w:pPr>
            <w:hyperlink r:id="rId351">
              <w:r>
                <w:rPr>
                  <w:rFonts w:ascii="Arial" w:cs="Arial" w:eastAsia="Arial" w:hAnsi="Arial"/>
                  <w:sz w:val="15"/>
                  <w:szCs w:val="15"/>
                  <w:color w:val="0000EE"/>
                  <w:w w:val="87"/>
                </w:rPr>
                <w:t>January 30, 2014, as amended.</w:t>
              </w:r>
            </w:hyperlink>
          </w:p>
        </w:tc>
        <w:tc>
          <w:tcPr>
            <w:tcW w:w="5680" w:type="dxa"/>
            <w:vAlign w:val="bottom"/>
            <w:tcBorders>
              <w:top w:val="single" w:sz="8" w:color="0000EE"/>
            </w:tcBorders>
            <w:gridSpan w:val="24"/>
          </w:tcPr>
          <w:p>
            <w:pPr>
              <w:spacing w:after="0"/>
              <w:rPr>
                <w:sz w:val="13"/>
                <w:szCs w:val="13"/>
                <w:color w:val="auto"/>
              </w:rPr>
            </w:pPr>
          </w:p>
        </w:tc>
        <w:tc>
          <w:tcPr>
            <w:tcW w:w="300"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r>
        <w:trPr>
          <w:trHeight w:val="251"/>
        </w:trPr>
        <w:tc>
          <w:tcPr>
            <w:tcW w:w="520" w:type="dxa"/>
            <w:vAlign w:val="bottom"/>
            <w:gridSpan w:val="3"/>
          </w:tcPr>
          <w:p>
            <w:pPr>
              <w:ind w:left="60"/>
              <w:spacing w:after="0"/>
              <w:rPr>
                <w:sz w:val="20"/>
                <w:szCs w:val="20"/>
                <w:color w:val="auto"/>
              </w:rPr>
            </w:pPr>
            <w:r>
              <w:rPr>
                <w:rFonts w:ascii="Arial" w:cs="Arial" w:eastAsia="Arial" w:hAnsi="Arial"/>
                <w:sz w:val="15"/>
                <w:szCs w:val="15"/>
                <w:color w:val="auto"/>
              </w:rPr>
              <w:t>5.1#</w:t>
            </w:r>
          </w:p>
        </w:tc>
        <w:tc>
          <w:tcPr>
            <w:tcW w:w="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3120" w:type="dxa"/>
            <w:vAlign w:val="bottom"/>
            <w:tcBorders>
              <w:bottom w:val="single" w:sz="8" w:color="0000EE"/>
            </w:tcBorders>
            <w:gridSpan w:val="3"/>
          </w:tcPr>
          <w:p>
            <w:pPr>
              <w:spacing w:after="0"/>
              <w:rPr>
                <w:rFonts w:ascii="Arial" w:cs="Arial" w:eastAsia="Arial" w:hAnsi="Arial"/>
                <w:sz w:val="15"/>
                <w:szCs w:val="15"/>
                <w:color w:val="0000EE"/>
                <w:w w:val="92"/>
              </w:rPr>
            </w:pPr>
            <w:hyperlink r:id="rId352">
              <w:r>
                <w:rPr>
                  <w:rFonts w:ascii="Arial" w:cs="Arial" w:eastAsia="Arial" w:hAnsi="Arial"/>
                  <w:sz w:val="15"/>
                  <w:szCs w:val="15"/>
                  <w:color w:val="0000EE"/>
                  <w:w w:val="92"/>
                </w:rPr>
                <w:t>Opinion of Wilson Sonsini Goodrich &amp; Rosati, P.C.</w:t>
              </w:r>
            </w:hyperlink>
          </w:p>
        </w:tc>
        <w:tc>
          <w:tcPr>
            <w:tcW w:w="4720" w:type="dxa"/>
            <w:vAlign w:val="bottom"/>
            <w:gridSpan w:val="25"/>
          </w:tcPr>
          <w:p>
            <w:pPr>
              <w:spacing w:after="0"/>
              <w:rPr>
                <w:sz w:val="21"/>
                <w:szCs w:val="21"/>
                <w:color w:val="auto"/>
              </w:rPr>
            </w:pPr>
          </w:p>
        </w:tc>
        <w:tc>
          <w:tcPr>
            <w:tcW w:w="0" w:type="dxa"/>
            <w:vAlign w:val="bottom"/>
          </w:tcPr>
          <w:p>
            <w:pPr>
              <w:spacing w:after="0"/>
              <w:rPr>
                <w:sz w:val="1"/>
                <w:szCs w:val="1"/>
                <w:color w:val="auto"/>
              </w:rPr>
            </w:pPr>
          </w:p>
        </w:tc>
      </w:tr>
      <w:tr>
        <w:trPr>
          <w:trHeight w:val="251"/>
        </w:trPr>
        <w:tc>
          <w:tcPr>
            <w:tcW w:w="520" w:type="dxa"/>
            <w:vAlign w:val="bottom"/>
            <w:gridSpan w:val="3"/>
          </w:tcPr>
          <w:p>
            <w:pPr>
              <w:spacing w:after="0"/>
              <w:rPr>
                <w:sz w:val="20"/>
                <w:szCs w:val="20"/>
                <w:color w:val="auto"/>
              </w:rPr>
            </w:pPr>
            <w:r>
              <w:rPr>
                <w:rFonts w:ascii="Arial" w:cs="Arial" w:eastAsia="Arial" w:hAnsi="Arial"/>
                <w:sz w:val="15"/>
                <w:szCs w:val="15"/>
                <w:color w:val="auto"/>
              </w:rPr>
              <w:t>10.1+#</w:t>
            </w:r>
          </w:p>
        </w:tc>
        <w:tc>
          <w:tcPr>
            <w:tcW w:w="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7840" w:type="dxa"/>
            <w:vAlign w:val="bottom"/>
            <w:gridSpan w:val="28"/>
          </w:tcPr>
          <w:p>
            <w:pPr>
              <w:spacing w:after="0"/>
              <w:rPr>
                <w:rFonts w:ascii="Arial" w:cs="Arial" w:eastAsia="Arial" w:hAnsi="Arial"/>
                <w:sz w:val="15"/>
                <w:szCs w:val="15"/>
                <w:color w:val="0000EE"/>
              </w:rPr>
            </w:pPr>
            <w:hyperlink r:id="rId353">
              <w:r>
                <w:rPr>
                  <w:rFonts w:ascii="Arial" w:cs="Arial" w:eastAsia="Arial" w:hAnsi="Arial"/>
                  <w:sz w:val="15"/>
                  <w:szCs w:val="15"/>
                  <w:color w:val="0000EE"/>
                </w:rPr>
                <w:t>Form of Indemnification Agreement between the Registrant and each of its directors and executive officers.</w:t>
              </w:r>
            </w:hyperlink>
          </w:p>
        </w:tc>
        <w:tc>
          <w:tcPr>
            <w:tcW w:w="0" w:type="dxa"/>
            <w:vAlign w:val="bottom"/>
          </w:tcPr>
          <w:p>
            <w:pPr>
              <w:spacing w:after="0"/>
              <w:rPr>
                <w:sz w:val="1"/>
                <w:szCs w:val="1"/>
                <w:color w:val="auto"/>
              </w:rPr>
            </w:pPr>
          </w:p>
        </w:tc>
      </w:tr>
      <w:tr>
        <w:trPr>
          <w:trHeight w:val="251"/>
        </w:trPr>
        <w:tc>
          <w:tcPr>
            <w:tcW w:w="520" w:type="dxa"/>
            <w:vAlign w:val="bottom"/>
            <w:gridSpan w:val="3"/>
          </w:tcPr>
          <w:p>
            <w:pPr>
              <w:spacing w:after="0"/>
              <w:rPr>
                <w:sz w:val="20"/>
                <w:szCs w:val="20"/>
                <w:color w:val="auto"/>
              </w:rPr>
            </w:pPr>
            <w:r>
              <w:rPr>
                <w:rFonts w:ascii="Arial" w:cs="Arial" w:eastAsia="Arial" w:hAnsi="Arial"/>
                <w:sz w:val="15"/>
                <w:szCs w:val="15"/>
                <w:color w:val="auto"/>
              </w:rPr>
              <w:t>10.2+</w:t>
            </w:r>
          </w:p>
        </w:tc>
        <w:tc>
          <w:tcPr>
            <w:tcW w:w="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4320" w:type="dxa"/>
            <w:vAlign w:val="bottom"/>
            <w:tcBorders>
              <w:top w:val="single" w:sz="8" w:color="0000EE"/>
              <w:bottom w:val="single" w:sz="8" w:color="0000EE"/>
            </w:tcBorders>
            <w:gridSpan w:val="10"/>
          </w:tcPr>
          <w:p>
            <w:pPr>
              <w:spacing w:after="0"/>
              <w:rPr>
                <w:sz w:val="20"/>
                <w:szCs w:val="20"/>
                <w:color w:val="auto"/>
              </w:rPr>
            </w:pPr>
            <w:r>
              <w:rPr>
                <w:rFonts w:ascii="Arial" w:cs="Arial" w:eastAsia="Arial" w:hAnsi="Arial"/>
                <w:sz w:val="15"/>
                <w:szCs w:val="15"/>
                <w:color w:val="0000EE"/>
                <w:w w:val="91"/>
              </w:rPr>
              <w:t>Dropbox, Inc. 2018 Equity Incentive Plan and related form agreements.</w:t>
            </w:r>
          </w:p>
        </w:tc>
        <w:tc>
          <w:tcPr>
            <w:tcW w:w="2160" w:type="dxa"/>
            <w:vAlign w:val="bottom"/>
            <w:tcBorders>
              <w:top w:val="single" w:sz="8" w:color="0000EE"/>
            </w:tcBorders>
            <w:gridSpan w:val="12"/>
          </w:tcPr>
          <w:p>
            <w:pPr>
              <w:spacing w:after="0"/>
              <w:rPr>
                <w:sz w:val="21"/>
                <w:szCs w:val="21"/>
                <w:color w:val="auto"/>
              </w:rPr>
            </w:pPr>
          </w:p>
        </w:tc>
        <w:tc>
          <w:tcPr>
            <w:tcW w:w="1360" w:type="dxa"/>
            <w:vAlign w:val="bottom"/>
            <w:gridSpan w:val="6"/>
          </w:tcPr>
          <w:p>
            <w:pPr>
              <w:spacing w:after="0"/>
              <w:rPr>
                <w:sz w:val="21"/>
                <w:szCs w:val="21"/>
                <w:color w:val="auto"/>
              </w:rPr>
            </w:pPr>
          </w:p>
        </w:tc>
        <w:tc>
          <w:tcPr>
            <w:tcW w:w="0" w:type="dxa"/>
            <w:vAlign w:val="bottom"/>
          </w:tcPr>
          <w:p>
            <w:pPr>
              <w:spacing w:after="0"/>
              <w:rPr>
                <w:sz w:val="1"/>
                <w:szCs w:val="1"/>
                <w:color w:val="auto"/>
              </w:rPr>
            </w:pPr>
          </w:p>
        </w:tc>
      </w:tr>
      <w:tr>
        <w:trPr>
          <w:trHeight w:val="251"/>
        </w:trPr>
        <w:tc>
          <w:tcPr>
            <w:tcW w:w="520" w:type="dxa"/>
            <w:vAlign w:val="bottom"/>
            <w:gridSpan w:val="3"/>
          </w:tcPr>
          <w:p>
            <w:pPr>
              <w:spacing w:after="0"/>
              <w:rPr>
                <w:sz w:val="20"/>
                <w:szCs w:val="20"/>
                <w:color w:val="auto"/>
              </w:rPr>
            </w:pPr>
            <w:r>
              <w:rPr>
                <w:rFonts w:ascii="Arial" w:cs="Arial" w:eastAsia="Arial" w:hAnsi="Arial"/>
                <w:sz w:val="15"/>
                <w:szCs w:val="15"/>
                <w:color w:val="auto"/>
              </w:rPr>
              <w:t>10.3+</w:t>
            </w:r>
          </w:p>
        </w:tc>
        <w:tc>
          <w:tcPr>
            <w:tcW w:w="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7840" w:type="dxa"/>
            <w:vAlign w:val="bottom"/>
            <w:gridSpan w:val="28"/>
          </w:tcPr>
          <w:p>
            <w:pPr>
              <w:spacing w:after="0"/>
              <w:rPr>
                <w:sz w:val="20"/>
                <w:szCs w:val="20"/>
                <w:color w:val="auto"/>
              </w:rPr>
            </w:pPr>
            <w:r>
              <w:rPr>
                <w:rFonts w:ascii="Arial" w:cs="Arial" w:eastAsia="Arial" w:hAnsi="Arial"/>
                <w:sz w:val="15"/>
                <w:szCs w:val="15"/>
                <w:color w:val="0000EE"/>
              </w:rPr>
              <w:t>Dropbox, Inc. 2018 Employee Stock Purchase Plan and related form agreements</w:t>
            </w:r>
            <w:r>
              <w:rPr>
                <w:rFonts w:ascii="Arial" w:cs="Arial" w:eastAsia="Arial" w:hAnsi="Arial"/>
                <w:sz w:val="15"/>
                <w:szCs w:val="15"/>
                <w:color w:val="000000"/>
              </w:rPr>
              <w:t>.</w:t>
            </w:r>
          </w:p>
        </w:tc>
        <w:tc>
          <w:tcPr>
            <w:tcW w:w="0" w:type="dxa"/>
            <w:vAlign w:val="bottom"/>
          </w:tcPr>
          <w:p>
            <w:pPr>
              <w:spacing w:after="0"/>
              <w:rPr>
                <w:sz w:val="1"/>
                <w:szCs w:val="1"/>
                <w:color w:val="auto"/>
              </w:rPr>
            </w:pPr>
          </w:p>
        </w:tc>
      </w:tr>
      <w:tr>
        <w:trPr>
          <w:trHeight w:val="251"/>
        </w:trPr>
        <w:tc>
          <w:tcPr>
            <w:tcW w:w="520" w:type="dxa"/>
            <w:vAlign w:val="bottom"/>
            <w:gridSpan w:val="3"/>
          </w:tcPr>
          <w:p>
            <w:pPr>
              <w:spacing w:after="0"/>
              <w:rPr>
                <w:sz w:val="20"/>
                <w:szCs w:val="20"/>
                <w:color w:val="auto"/>
              </w:rPr>
            </w:pPr>
            <w:r>
              <w:rPr>
                <w:rFonts w:ascii="Arial" w:cs="Arial" w:eastAsia="Arial" w:hAnsi="Arial"/>
                <w:sz w:val="15"/>
                <w:szCs w:val="15"/>
                <w:color w:val="auto"/>
              </w:rPr>
              <w:t>10.4+</w:t>
            </w:r>
          </w:p>
        </w:tc>
        <w:tc>
          <w:tcPr>
            <w:tcW w:w="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4760" w:type="dxa"/>
            <w:vAlign w:val="bottom"/>
            <w:tcBorders>
              <w:top w:val="single" w:sz="8" w:color="0000EE"/>
              <w:bottom w:val="single" w:sz="8" w:color="0000EE"/>
            </w:tcBorders>
            <w:gridSpan w:val="13"/>
          </w:tcPr>
          <w:p>
            <w:pPr>
              <w:spacing w:after="0"/>
              <w:rPr>
                <w:sz w:val="20"/>
                <w:szCs w:val="20"/>
                <w:color w:val="auto"/>
              </w:rPr>
            </w:pPr>
            <w:r>
              <w:rPr>
                <w:rFonts w:ascii="Arial" w:cs="Arial" w:eastAsia="Arial" w:hAnsi="Arial"/>
                <w:sz w:val="15"/>
                <w:szCs w:val="15"/>
                <w:color w:val="0000EE"/>
                <w:w w:val="90"/>
              </w:rPr>
              <w:t>Dropbox, Inc. 2018 Class C Stock Incentive Plan and related form agreements.</w:t>
            </w:r>
          </w:p>
        </w:tc>
        <w:tc>
          <w:tcPr>
            <w:tcW w:w="80" w:type="dxa"/>
            <w:vAlign w:val="bottom"/>
            <w:tcBorders>
              <w:top w:val="single" w:sz="8" w:color="0000EE"/>
            </w:tcBorders>
          </w:tcPr>
          <w:p>
            <w:pPr>
              <w:spacing w:after="0"/>
              <w:rPr>
                <w:sz w:val="21"/>
                <w:szCs w:val="21"/>
                <w:color w:val="auto"/>
              </w:rPr>
            </w:pPr>
          </w:p>
        </w:tc>
        <w:tc>
          <w:tcPr>
            <w:tcW w:w="3000" w:type="dxa"/>
            <w:vAlign w:val="bottom"/>
            <w:gridSpan w:val="14"/>
          </w:tcPr>
          <w:p>
            <w:pPr>
              <w:spacing w:after="0"/>
              <w:rPr>
                <w:sz w:val="21"/>
                <w:szCs w:val="21"/>
                <w:color w:val="auto"/>
              </w:rPr>
            </w:pPr>
          </w:p>
        </w:tc>
        <w:tc>
          <w:tcPr>
            <w:tcW w:w="0" w:type="dxa"/>
            <w:vAlign w:val="bottom"/>
          </w:tcPr>
          <w:p>
            <w:pPr>
              <w:spacing w:after="0"/>
              <w:rPr>
                <w:sz w:val="1"/>
                <w:szCs w:val="1"/>
                <w:color w:val="auto"/>
              </w:rPr>
            </w:pPr>
          </w:p>
        </w:tc>
      </w:tr>
      <w:tr>
        <w:trPr>
          <w:trHeight w:val="251"/>
        </w:trPr>
        <w:tc>
          <w:tcPr>
            <w:tcW w:w="520" w:type="dxa"/>
            <w:vAlign w:val="bottom"/>
            <w:gridSpan w:val="3"/>
          </w:tcPr>
          <w:p>
            <w:pPr>
              <w:spacing w:after="0"/>
              <w:rPr>
                <w:sz w:val="20"/>
                <w:szCs w:val="20"/>
                <w:color w:val="auto"/>
              </w:rPr>
            </w:pPr>
            <w:r>
              <w:rPr>
                <w:rFonts w:ascii="Arial" w:cs="Arial" w:eastAsia="Arial" w:hAnsi="Arial"/>
                <w:sz w:val="15"/>
                <w:szCs w:val="15"/>
                <w:color w:val="auto"/>
              </w:rPr>
              <w:t>10.5+</w:t>
            </w:r>
          </w:p>
        </w:tc>
        <w:tc>
          <w:tcPr>
            <w:tcW w:w="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7840" w:type="dxa"/>
            <w:vAlign w:val="bottom"/>
            <w:gridSpan w:val="28"/>
          </w:tcPr>
          <w:p>
            <w:pPr>
              <w:spacing w:after="0"/>
              <w:rPr>
                <w:sz w:val="20"/>
                <w:szCs w:val="20"/>
                <w:color w:val="auto"/>
              </w:rPr>
            </w:pPr>
            <w:r>
              <w:rPr>
                <w:rFonts w:ascii="Arial" w:cs="Arial" w:eastAsia="Arial" w:hAnsi="Arial"/>
                <w:sz w:val="15"/>
                <w:szCs w:val="15"/>
                <w:color w:val="0000EE"/>
              </w:rPr>
              <w:t>Dropbox, Inc. 2018 Class C Employee Stock Purchase Plan and related form agreements.</w:t>
            </w:r>
          </w:p>
        </w:tc>
        <w:tc>
          <w:tcPr>
            <w:tcW w:w="0" w:type="dxa"/>
            <w:vAlign w:val="bottom"/>
          </w:tcPr>
          <w:p>
            <w:pPr>
              <w:spacing w:after="0"/>
              <w:rPr>
                <w:sz w:val="1"/>
                <w:szCs w:val="1"/>
                <w:color w:val="auto"/>
              </w:rPr>
            </w:pPr>
          </w:p>
        </w:tc>
      </w:tr>
      <w:tr>
        <w:trPr>
          <w:trHeight w:val="251"/>
        </w:trPr>
        <w:tc>
          <w:tcPr>
            <w:tcW w:w="520" w:type="dxa"/>
            <w:vAlign w:val="bottom"/>
            <w:gridSpan w:val="3"/>
          </w:tcPr>
          <w:p>
            <w:pPr>
              <w:spacing w:after="0"/>
              <w:rPr>
                <w:sz w:val="20"/>
                <w:szCs w:val="20"/>
                <w:color w:val="auto"/>
              </w:rPr>
            </w:pPr>
            <w:r>
              <w:rPr>
                <w:rFonts w:ascii="Arial" w:cs="Arial" w:eastAsia="Arial" w:hAnsi="Arial"/>
                <w:sz w:val="15"/>
                <w:szCs w:val="15"/>
                <w:color w:val="auto"/>
              </w:rPr>
              <w:t>10.6+</w:t>
            </w:r>
          </w:p>
        </w:tc>
        <w:tc>
          <w:tcPr>
            <w:tcW w:w="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4320" w:type="dxa"/>
            <w:vAlign w:val="bottom"/>
            <w:tcBorders>
              <w:top w:val="single" w:sz="8" w:color="0000EE"/>
              <w:bottom w:val="single" w:sz="8" w:color="0000EE"/>
            </w:tcBorders>
            <w:gridSpan w:val="10"/>
          </w:tcPr>
          <w:p>
            <w:pPr>
              <w:spacing w:after="0"/>
              <w:rPr>
                <w:sz w:val="20"/>
                <w:szCs w:val="20"/>
                <w:color w:val="auto"/>
              </w:rPr>
            </w:pPr>
            <w:r>
              <w:rPr>
                <w:rFonts w:ascii="Arial" w:cs="Arial" w:eastAsia="Arial" w:hAnsi="Arial"/>
                <w:sz w:val="15"/>
                <w:szCs w:val="15"/>
                <w:color w:val="0000EE"/>
                <w:w w:val="91"/>
              </w:rPr>
              <w:t>Dropbox, Inc. 2017 Equity Incentive Plan and related form agreements.</w:t>
            </w:r>
          </w:p>
        </w:tc>
        <w:tc>
          <w:tcPr>
            <w:tcW w:w="1060" w:type="dxa"/>
            <w:vAlign w:val="bottom"/>
            <w:tcBorders>
              <w:top w:val="single" w:sz="8" w:color="0000EE"/>
            </w:tcBorders>
            <w:gridSpan w:val="6"/>
          </w:tcPr>
          <w:p>
            <w:pPr>
              <w:spacing w:after="0"/>
              <w:rPr>
                <w:sz w:val="21"/>
                <w:szCs w:val="21"/>
                <w:color w:val="auto"/>
              </w:rPr>
            </w:pPr>
          </w:p>
        </w:tc>
        <w:tc>
          <w:tcPr>
            <w:tcW w:w="2460" w:type="dxa"/>
            <w:vAlign w:val="bottom"/>
            <w:gridSpan w:val="12"/>
          </w:tcPr>
          <w:p>
            <w:pPr>
              <w:spacing w:after="0"/>
              <w:rPr>
                <w:sz w:val="21"/>
                <w:szCs w:val="21"/>
                <w:color w:val="auto"/>
              </w:rPr>
            </w:pPr>
          </w:p>
        </w:tc>
        <w:tc>
          <w:tcPr>
            <w:tcW w:w="0" w:type="dxa"/>
            <w:vAlign w:val="bottom"/>
          </w:tcPr>
          <w:p>
            <w:pPr>
              <w:spacing w:after="0"/>
              <w:rPr>
                <w:sz w:val="1"/>
                <w:szCs w:val="1"/>
                <w:color w:val="auto"/>
              </w:rPr>
            </w:pPr>
          </w:p>
        </w:tc>
      </w:tr>
      <w:tr>
        <w:trPr>
          <w:trHeight w:val="251"/>
        </w:trPr>
        <w:tc>
          <w:tcPr>
            <w:tcW w:w="520" w:type="dxa"/>
            <w:vAlign w:val="bottom"/>
            <w:gridSpan w:val="3"/>
          </w:tcPr>
          <w:p>
            <w:pPr>
              <w:spacing w:after="0"/>
              <w:rPr>
                <w:sz w:val="20"/>
                <w:szCs w:val="20"/>
                <w:color w:val="auto"/>
              </w:rPr>
            </w:pPr>
            <w:r>
              <w:rPr>
                <w:rFonts w:ascii="Arial" w:cs="Arial" w:eastAsia="Arial" w:hAnsi="Arial"/>
                <w:sz w:val="15"/>
                <w:szCs w:val="15"/>
                <w:color w:val="auto"/>
              </w:rPr>
              <w:t>10.7+</w:t>
            </w:r>
          </w:p>
        </w:tc>
        <w:tc>
          <w:tcPr>
            <w:tcW w:w="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5140" w:type="dxa"/>
            <w:vAlign w:val="bottom"/>
            <w:tcBorders>
              <w:bottom w:val="single" w:sz="8" w:color="0000EE"/>
            </w:tcBorders>
            <w:gridSpan w:val="15"/>
          </w:tcPr>
          <w:p>
            <w:pPr>
              <w:spacing w:after="0"/>
              <w:rPr>
                <w:sz w:val="20"/>
                <w:szCs w:val="20"/>
                <w:color w:val="auto"/>
              </w:rPr>
            </w:pPr>
            <w:r>
              <w:rPr>
                <w:rFonts w:ascii="Arial" w:cs="Arial" w:eastAsia="Arial" w:hAnsi="Arial"/>
                <w:sz w:val="15"/>
                <w:szCs w:val="15"/>
                <w:color w:val="0000EE"/>
                <w:w w:val="90"/>
              </w:rPr>
              <w:t>Dropbox, Inc. 2008 Equity Incentive Plan, as amended, and related form agreements.</w:t>
            </w:r>
          </w:p>
        </w:tc>
        <w:tc>
          <w:tcPr>
            <w:tcW w:w="2700" w:type="dxa"/>
            <w:vAlign w:val="bottom"/>
            <w:gridSpan w:val="13"/>
          </w:tcPr>
          <w:p>
            <w:pPr>
              <w:spacing w:after="0"/>
              <w:rPr>
                <w:sz w:val="21"/>
                <w:szCs w:val="21"/>
                <w:color w:val="auto"/>
              </w:rPr>
            </w:pPr>
          </w:p>
        </w:tc>
        <w:tc>
          <w:tcPr>
            <w:tcW w:w="0" w:type="dxa"/>
            <w:vAlign w:val="bottom"/>
          </w:tcPr>
          <w:p>
            <w:pPr>
              <w:spacing w:after="0"/>
              <w:rPr>
                <w:sz w:val="1"/>
                <w:szCs w:val="1"/>
                <w:color w:val="auto"/>
              </w:rPr>
            </w:pPr>
          </w:p>
        </w:tc>
      </w:tr>
      <w:tr>
        <w:trPr>
          <w:trHeight w:val="251"/>
        </w:trPr>
        <w:tc>
          <w:tcPr>
            <w:tcW w:w="520" w:type="dxa"/>
            <w:vAlign w:val="bottom"/>
            <w:gridSpan w:val="3"/>
          </w:tcPr>
          <w:p>
            <w:pPr>
              <w:spacing w:after="0"/>
              <w:rPr>
                <w:sz w:val="20"/>
                <w:szCs w:val="20"/>
                <w:color w:val="auto"/>
              </w:rPr>
            </w:pPr>
            <w:r>
              <w:rPr>
                <w:rFonts w:ascii="Arial" w:cs="Arial" w:eastAsia="Arial" w:hAnsi="Arial"/>
                <w:sz w:val="15"/>
                <w:szCs w:val="15"/>
                <w:color w:val="auto"/>
              </w:rPr>
              <w:t>10.8+#</w:t>
            </w:r>
          </w:p>
        </w:tc>
        <w:tc>
          <w:tcPr>
            <w:tcW w:w="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7840" w:type="dxa"/>
            <w:vAlign w:val="bottom"/>
            <w:gridSpan w:val="28"/>
          </w:tcPr>
          <w:p>
            <w:pPr>
              <w:spacing w:after="0"/>
              <w:rPr>
                <w:rFonts w:ascii="Arial" w:cs="Arial" w:eastAsia="Arial" w:hAnsi="Arial"/>
                <w:sz w:val="15"/>
                <w:szCs w:val="15"/>
                <w:color w:val="0000EE"/>
              </w:rPr>
            </w:pPr>
            <w:hyperlink r:id="rId354">
              <w:r>
                <w:rPr>
                  <w:rFonts w:ascii="Arial" w:cs="Arial" w:eastAsia="Arial" w:hAnsi="Arial"/>
                  <w:sz w:val="15"/>
                  <w:szCs w:val="15"/>
                  <w:color w:val="0000EE"/>
                </w:rPr>
                <w:t>Dropbox, Inc. Amended and Restated Cash Bonus Plan.</w:t>
              </w:r>
            </w:hyperlink>
          </w:p>
        </w:tc>
        <w:tc>
          <w:tcPr>
            <w:tcW w:w="0" w:type="dxa"/>
            <w:vAlign w:val="bottom"/>
          </w:tcPr>
          <w:p>
            <w:pPr>
              <w:spacing w:after="0"/>
              <w:rPr>
                <w:sz w:val="1"/>
                <w:szCs w:val="1"/>
                <w:color w:val="auto"/>
              </w:rPr>
            </w:pPr>
          </w:p>
        </w:tc>
      </w:tr>
      <w:tr>
        <w:trPr>
          <w:trHeight w:val="20"/>
        </w:trPr>
        <w:tc>
          <w:tcPr>
            <w:tcW w:w="5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380" w:type="dxa"/>
            <w:vAlign w:val="bottom"/>
            <w:gridSpan w:val="4"/>
            <w:shd w:val="clear" w:color="auto" w:fill="0000EE"/>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40" w:type="dxa"/>
            <w:vAlign w:val="bottom"/>
            <w:gridSpan w:val="11"/>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520" w:type="dxa"/>
            <w:vAlign w:val="bottom"/>
            <w:gridSpan w:val="3"/>
          </w:tcPr>
          <w:p>
            <w:pPr>
              <w:spacing w:after="0"/>
              <w:rPr>
                <w:sz w:val="20"/>
                <w:szCs w:val="20"/>
                <w:color w:val="auto"/>
              </w:rPr>
            </w:pPr>
            <w:r>
              <w:rPr>
                <w:rFonts w:ascii="Arial" w:cs="Arial" w:eastAsia="Arial" w:hAnsi="Arial"/>
                <w:sz w:val="15"/>
                <w:szCs w:val="15"/>
                <w:color w:val="auto"/>
              </w:rPr>
              <w:t>10.9+#</w:t>
            </w:r>
          </w:p>
        </w:tc>
        <w:tc>
          <w:tcPr>
            <w:tcW w:w="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7840" w:type="dxa"/>
            <w:vAlign w:val="bottom"/>
            <w:gridSpan w:val="28"/>
          </w:tcPr>
          <w:p>
            <w:pPr>
              <w:spacing w:after="0"/>
              <w:rPr>
                <w:rFonts w:ascii="Arial" w:cs="Arial" w:eastAsia="Arial" w:hAnsi="Arial"/>
                <w:sz w:val="15"/>
                <w:szCs w:val="15"/>
                <w:color w:val="0000EE"/>
              </w:rPr>
            </w:pPr>
            <w:hyperlink r:id="rId355">
              <w:r>
                <w:rPr>
                  <w:rFonts w:ascii="Arial" w:cs="Arial" w:eastAsia="Arial" w:hAnsi="Arial"/>
                  <w:sz w:val="15"/>
                  <w:szCs w:val="15"/>
                  <w:color w:val="0000EE"/>
                </w:rPr>
                <w:t>Restricted Stock Agreement between the Registrant and Andrew W. Houston.</w:t>
              </w:r>
            </w:hyperlink>
          </w:p>
        </w:tc>
        <w:tc>
          <w:tcPr>
            <w:tcW w:w="0" w:type="dxa"/>
            <w:vAlign w:val="bottom"/>
          </w:tcPr>
          <w:p>
            <w:pPr>
              <w:spacing w:after="0"/>
              <w:rPr>
                <w:sz w:val="1"/>
                <w:szCs w:val="1"/>
                <w:color w:val="auto"/>
              </w:rPr>
            </w:pPr>
          </w:p>
        </w:tc>
      </w:tr>
      <w:tr>
        <w:trPr>
          <w:trHeight w:val="251"/>
        </w:trPr>
        <w:tc>
          <w:tcPr>
            <w:tcW w:w="520" w:type="dxa"/>
            <w:vAlign w:val="bottom"/>
            <w:gridSpan w:val="3"/>
          </w:tcPr>
          <w:p>
            <w:pPr>
              <w:spacing w:after="0"/>
              <w:rPr>
                <w:sz w:val="20"/>
                <w:szCs w:val="20"/>
                <w:color w:val="auto"/>
              </w:rPr>
            </w:pPr>
            <w:r>
              <w:rPr>
                <w:rFonts w:ascii="Arial" w:cs="Arial" w:eastAsia="Arial" w:hAnsi="Arial"/>
                <w:sz w:val="15"/>
                <w:szCs w:val="15"/>
                <w:color w:val="auto"/>
                <w:w w:val="91"/>
              </w:rPr>
              <w:t>10.10+#</w:t>
            </w:r>
          </w:p>
        </w:tc>
        <w:tc>
          <w:tcPr>
            <w:tcW w:w="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4680" w:type="dxa"/>
            <w:vAlign w:val="bottom"/>
            <w:tcBorders>
              <w:top w:val="single" w:sz="8" w:color="0000EE"/>
            </w:tcBorders>
            <w:gridSpan w:val="12"/>
          </w:tcPr>
          <w:p>
            <w:pPr>
              <w:spacing w:after="0"/>
              <w:rPr>
                <w:rFonts w:ascii="Arial" w:cs="Arial" w:eastAsia="Arial" w:hAnsi="Arial"/>
                <w:sz w:val="15"/>
                <w:szCs w:val="15"/>
                <w:color w:val="0000EE"/>
                <w:w w:val="95"/>
              </w:rPr>
            </w:pPr>
            <w:hyperlink r:id="rId356">
              <w:r>
                <w:rPr>
                  <w:rFonts w:ascii="Arial" w:cs="Arial" w:eastAsia="Arial" w:hAnsi="Arial"/>
                  <w:sz w:val="15"/>
                  <w:szCs w:val="15"/>
                  <w:color w:val="0000EE"/>
                  <w:w w:val="95"/>
                </w:rPr>
                <w:t>Restricted Stock Agreement between the Registrant and Arash Ferdowsi.</w:t>
              </w:r>
            </w:hyperlink>
          </w:p>
        </w:tc>
        <w:tc>
          <w:tcPr>
            <w:tcW w:w="3160" w:type="dxa"/>
            <w:vAlign w:val="bottom"/>
            <w:gridSpan w:val="16"/>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880" w:type="dxa"/>
            <w:vAlign w:val="bottom"/>
            <w:gridSpan w:val="7"/>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2120" w:type="dxa"/>
            <w:vAlign w:val="bottom"/>
            <w:gridSpan w:val="1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520" w:type="dxa"/>
            <w:vAlign w:val="bottom"/>
            <w:gridSpan w:val="3"/>
          </w:tcPr>
          <w:p>
            <w:pPr>
              <w:spacing w:after="0"/>
              <w:rPr>
                <w:sz w:val="20"/>
                <w:szCs w:val="20"/>
                <w:color w:val="auto"/>
              </w:rPr>
            </w:pPr>
            <w:r>
              <w:rPr>
                <w:rFonts w:ascii="Arial" w:cs="Arial" w:eastAsia="Arial" w:hAnsi="Arial"/>
                <w:sz w:val="15"/>
                <w:szCs w:val="15"/>
                <w:color w:val="auto"/>
                <w:w w:val="91"/>
              </w:rPr>
              <w:t>10.11+#</w:t>
            </w:r>
          </w:p>
        </w:tc>
        <w:tc>
          <w:tcPr>
            <w:tcW w:w="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7840" w:type="dxa"/>
            <w:vAlign w:val="bottom"/>
            <w:gridSpan w:val="28"/>
          </w:tcPr>
          <w:p>
            <w:pPr>
              <w:spacing w:after="0"/>
              <w:rPr>
                <w:rFonts w:ascii="Arial" w:cs="Arial" w:eastAsia="Arial" w:hAnsi="Arial"/>
                <w:sz w:val="15"/>
                <w:szCs w:val="15"/>
                <w:color w:val="0000EE"/>
              </w:rPr>
            </w:pPr>
            <w:hyperlink r:id="rId357">
              <w:r>
                <w:rPr>
                  <w:rFonts w:ascii="Arial" w:cs="Arial" w:eastAsia="Arial" w:hAnsi="Arial"/>
                  <w:sz w:val="15"/>
                  <w:szCs w:val="15"/>
                  <w:color w:val="0000EE"/>
                </w:rPr>
                <w:t>Form of Change of Control and Severance Agreement between the Registrant and certain executive officers.</w:t>
              </w:r>
            </w:hyperlink>
          </w:p>
        </w:tc>
        <w:tc>
          <w:tcPr>
            <w:tcW w:w="0" w:type="dxa"/>
            <w:vAlign w:val="bottom"/>
          </w:tcPr>
          <w:p>
            <w:pPr>
              <w:spacing w:after="0"/>
              <w:rPr>
                <w:sz w:val="1"/>
                <w:szCs w:val="1"/>
                <w:color w:val="auto"/>
              </w:rPr>
            </w:pPr>
          </w:p>
        </w:tc>
      </w:tr>
      <w:tr>
        <w:trPr>
          <w:trHeight w:val="251"/>
        </w:trPr>
        <w:tc>
          <w:tcPr>
            <w:tcW w:w="520" w:type="dxa"/>
            <w:vAlign w:val="bottom"/>
            <w:gridSpan w:val="3"/>
          </w:tcPr>
          <w:p>
            <w:pPr>
              <w:spacing w:after="0"/>
              <w:rPr>
                <w:sz w:val="20"/>
                <w:szCs w:val="20"/>
                <w:color w:val="auto"/>
              </w:rPr>
            </w:pPr>
            <w:r>
              <w:rPr>
                <w:rFonts w:ascii="Arial" w:cs="Arial" w:eastAsia="Arial" w:hAnsi="Arial"/>
                <w:sz w:val="15"/>
                <w:szCs w:val="15"/>
                <w:color w:val="auto"/>
                <w:w w:val="91"/>
              </w:rPr>
              <w:t>10.12+#</w:t>
            </w:r>
          </w:p>
        </w:tc>
        <w:tc>
          <w:tcPr>
            <w:tcW w:w="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4160" w:type="dxa"/>
            <w:vAlign w:val="bottom"/>
            <w:tcBorders>
              <w:top w:val="single" w:sz="8" w:color="0000EE"/>
              <w:bottom w:val="single" w:sz="8" w:color="0000EE"/>
            </w:tcBorders>
            <w:gridSpan w:val="9"/>
          </w:tcPr>
          <w:p>
            <w:pPr>
              <w:spacing w:after="0"/>
              <w:rPr>
                <w:rFonts w:ascii="Arial" w:cs="Arial" w:eastAsia="Arial" w:hAnsi="Arial"/>
                <w:sz w:val="15"/>
                <w:szCs w:val="15"/>
                <w:color w:val="0000EE"/>
                <w:w w:val="90"/>
              </w:rPr>
            </w:pPr>
            <w:hyperlink r:id="rId358">
              <w:r>
                <w:rPr>
                  <w:rFonts w:ascii="Arial" w:cs="Arial" w:eastAsia="Arial" w:hAnsi="Arial"/>
                  <w:sz w:val="15"/>
                  <w:szCs w:val="15"/>
                  <w:color w:val="0000EE"/>
                  <w:w w:val="90"/>
                </w:rPr>
                <w:t>Employment Letter between the Registrant and Andrew W. Houston.</w:t>
              </w:r>
            </w:hyperlink>
          </w:p>
        </w:tc>
        <w:tc>
          <w:tcPr>
            <w:tcW w:w="2360" w:type="dxa"/>
            <w:vAlign w:val="bottom"/>
            <w:tcBorders>
              <w:top w:val="single" w:sz="8" w:color="0000EE"/>
            </w:tcBorders>
            <w:gridSpan w:val="14"/>
          </w:tcPr>
          <w:p>
            <w:pPr>
              <w:spacing w:after="0"/>
              <w:rPr>
                <w:sz w:val="21"/>
                <w:szCs w:val="21"/>
                <w:color w:val="auto"/>
              </w:rPr>
            </w:pPr>
          </w:p>
        </w:tc>
        <w:tc>
          <w:tcPr>
            <w:tcW w:w="1320" w:type="dxa"/>
            <w:vAlign w:val="bottom"/>
            <w:gridSpan w:val="5"/>
          </w:tcPr>
          <w:p>
            <w:pPr>
              <w:spacing w:after="0"/>
              <w:rPr>
                <w:sz w:val="21"/>
                <w:szCs w:val="21"/>
                <w:color w:val="auto"/>
              </w:rPr>
            </w:pPr>
          </w:p>
        </w:tc>
        <w:tc>
          <w:tcPr>
            <w:tcW w:w="0" w:type="dxa"/>
            <w:vAlign w:val="bottom"/>
          </w:tcPr>
          <w:p>
            <w:pPr>
              <w:spacing w:after="0"/>
              <w:rPr>
                <w:sz w:val="1"/>
                <w:szCs w:val="1"/>
                <w:color w:val="auto"/>
              </w:rPr>
            </w:pPr>
          </w:p>
        </w:tc>
      </w:tr>
      <w:tr>
        <w:trPr>
          <w:trHeight w:val="251"/>
        </w:trPr>
        <w:tc>
          <w:tcPr>
            <w:tcW w:w="520" w:type="dxa"/>
            <w:vAlign w:val="bottom"/>
            <w:gridSpan w:val="3"/>
          </w:tcPr>
          <w:p>
            <w:pPr>
              <w:spacing w:after="0"/>
              <w:rPr>
                <w:sz w:val="20"/>
                <w:szCs w:val="20"/>
                <w:color w:val="auto"/>
              </w:rPr>
            </w:pPr>
            <w:r>
              <w:rPr>
                <w:rFonts w:ascii="Arial" w:cs="Arial" w:eastAsia="Arial" w:hAnsi="Arial"/>
                <w:sz w:val="15"/>
                <w:szCs w:val="15"/>
                <w:color w:val="auto"/>
                <w:w w:val="91"/>
              </w:rPr>
              <w:t>10.13+#</w:t>
            </w:r>
          </w:p>
        </w:tc>
        <w:tc>
          <w:tcPr>
            <w:tcW w:w="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7840" w:type="dxa"/>
            <w:vAlign w:val="bottom"/>
            <w:gridSpan w:val="28"/>
          </w:tcPr>
          <w:p>
            <w:pPr>
              <w:spacing w:after="0"/>
              <w:rPr>
                <w:rFonts w:ascii="Arial" w:cs="Arial" w:eastAsia="Arial" w:hAnsi="Arial"/>
                <w:sz w:val="15"/>
                <w:szCs w:val="15"/>
                <w:color w:val="0000EE"/>
              </w:rPr>
            </w:pPr>
            <w:hyperlink r:id="rId359">
              <w:r>
                <w:rPr>
                  <w:rFonts w:ascii="Arial" w:cs="Arial" w:eastAsia="Arial" w:hAnsi="Arial"/>
                  <w:sz w:val="15"/>
                  <w:szCs w:val="15"/>
                  <w:color w:val="0000EE"/>
                </w:rPr>
                <w:t>Employment Letter between the Registrant and Arash Ferdowsi.</w:t>
              </w:r>
            </w:hyperlink>
          </w:p>
        </w:tc>
        <w:tc>
          <w:tcPr>
            <w:tcW w:w="0" w:type="dxa"/>
            <w:vAlign w:val="bottom"/>
          </w:tcPr>
          <w:p>
            <w:pPr>
              <w:spacing w:after="0"/>
              <w:rPr>
                <w:sz w:val="1"/>
                <w:szCs w:val="1"/>
                <w:color w:val="auto"/>
              </w:rPr>
            </w:pPr>
          </w:p>
        </w:tc>
      </w:tr>
      <w:tr>
        <w:trPr>
          <w:trHeight w:val="20"/>
        </w:trPr>
        <w:tc>
          <w:tcPr>
            <w:tcW w:w="5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880" w:type="dxa"/>
            <w:vAlign w:val="bottom"/>
            <w:gridSpan w:val="7"/>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760" w:type="dxa"/>
            <w:vAlign w:val="bottom"/>
            <w:gridSpan w:val="16"/>
          </w:tcPr>
          <w:p>
            <w:pPr>
              <w:spacing w:after="0" w:line="20" w:lineRule="exact"/>
              <w:rPr>
                <w:sz w:val="1"/>
                <w:szCs w:val="1"/>
                <w:color w:val="auto"/>
              </w:rPr>
            </w:pPr>
          </w:p>
        </w:tc>
        <w:tc>
          <w:tcPr>
            <w:tcW w:w="98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520" w:type="dxa"/>
            <w:vAlign w:val="bottom"/>
            <w:gridSpan w:val="3"/>
          </w:tcPr>
          <w:p>
            <w:pPr>
              <w:spacing w:after="0"/>
              <w:rPr>
                <w:sz w:val="20"/>
                <w:szCs w:val="20"/>
                <w:color w:val="auto"/>
              </w:rPr>
            </w:pPr>
            <w:r>
              <w:rPr>
                <w:rFonts w:ascii="Arial" w:cs="Arial" w:eastAsia="Arial" w:hAnsi="Arial"/>
                <w:sz w:val="15"/>
                <w:szCs w:val="15"/>
                <w:color w:val="auto"/>
                <w:w w:val="91"/>
              </w:rPr>
              <w:t>10.14+#</w:t>
            </w:r>
          </w:p>
        </w:tc>
        <w:tc>
          <w:tcPr>
            <w:tcW w:w="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3920" w:type="dxa"/>
            <w:vAlign w:val="bottom"/>
            <w:tcBorders>
              <w:bottom w:val="single" w:sz="8" w:color="0000EE"/>
            </w:tcBorders>
            <w:gridSpan w:val="8"/>
          </w:tcPr>
          <w:p>
            <w:pPr>
              <w:spacing w:after="0"/>
              <w:rPr>
                <w:rFonts w:ascii="Arial" w:cs="Arial" w:eastAsia="Arial" w:hAnsi="Arial"/>
                <w:sz w:val="15"/>
                <w:szCs w:val="15"/>
                <w:color w:val="0000EE"/>
                <w:w w:val="90"/>
              </w:rPr>
            </w:pPr>
            <w:hyperlink r:id="rId360">
              <w:r>
                <w:rPr>
                  <w:rFonts w:ascii="Arial" w:cs="Arial" w:eastAsia="Arial" w:hAnsi="Arial"/>
                  <w:sz w:val="15"/>
                  <w:szCs w:val="15"/>
                  <w:color w:val="0000EE"/>
                  <w:w w:val="90"/>
                </w:rPr>
                <w:t>Employment Letter between the Registrant and Quentin J. Clark.</w:t>
              </w:r>
            </w:hyperlink>
          </w:p>
        </w:tc>
        <w:tc>
          <w:tcPr>
            <w:tcW w:w="3920" w:type="dxa"/>
            <w:vAlign w:val="bottom"/>
            <w:gridSpan w:val="20"/>
          </w:tcPr>
          <w:p>
            <w:pPr>
              <w:spacing w:after="0"/>
              <w:rPr>
                <w:sz w:val="21"/>
                <w:szCs w:val="21"/>
                <w:color w:val="auto"/>
              </w:rPr>
            </w:pPr>
          </w:p>
        </w:tc>
        <w:tc>
          <w:tcPr>
            <w:tcW w:w="0" w:type="dxa"/>
            <w:vAlign w:val="bottom"/>
          </w:tcPr>
          <w:p>
            <w:pPr>
              <w:spacing w:after="0"/>
              <w:rPr>
                <w:sz w:val="1"/>
                <w:szCs w:val="1"/>
                <w:color w:val="auto"/>
              </w:rPr>
            </w:pPr>
          </w:p>
        </w:tc>
      </w:tr>
      <w:tr>
        <w:trPr>
          <w:trHeight w:val="251"/>
        </w:trPr>
        <w:tc>
          <w:tcPr>
            <w:tcW w:w="520" w:type="dxa"/>
            <w:vAlign w:val="bottom"/>
            <w:gridSpan w:val="3"/>
          </w:tcPr>
          <w:p>
            <w:pPr>
              <w:spacing w:after="0"/>
              <w:rPr>
                <w:sz w:val="20"/>
                <w:szCs w:val="20"/>
                <w:color w:val="auto"/>
              </w:rPr>
            </w:pPr>
            <w:r>
              <w:rPr>
                <w:rFonts w:ascii="Arial" w:cs="Arial" w:eastAsia="Arial" w:hAnsi="Arial"/>
                <w:sz w:val="15"/>
                <w:szCs w:val="15"/>
                <w:color w:val="auto"/>
              </w:rPr>
              <w:t>10.15#</w:t>
            </w:r>
          </w:p>
        </w:tc>
        <w:tc>
          <w:tcPr>
            <w:tcW w:w="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7840" w:type="dxa"/>
            <w:vAlign w:val="bottom"/>
            <w:gridSpan w:val="28"/>
          </w:tcPr>
          <w:p>
            <w:pPr>
              <w:spacing w:after="0"/>
              <w:rPr>
                <w:rFonts w:ascii="Arial" w:cs="Arial" w:eastAsia="Arial" w:hAnsi="Arial"/>
                <w:sz w:val="15"/>
                <w:szCs w:val="15"/>
                <w:color w:val="0000EE"/>
              </w:rPr>
            </w:pPr>
            <w:hyperlink r:id="rId361">
              <w:r>
                <w:rPr>
                  <w:rFonts w:ascii="Arial" w:cs="Arial" w:eastAsia="Arial" w:hAnsi="Arial"/>
                  <w:sz w:val="15"/>
                  <w:szCs w:val="15"/>
                  <w:color w:val="0000EE"/>
                </w:rPr>
                <w:t>Office Lease between the Registrant and Kilroy Realty Finance Partnership, L.P., dated as of January 31, 2014.</w:t>
              </w:r>
            </w:hyperlink>
          </w:p>
        </w:tc>
        <w:tc>
          <w:tcPr>
            <w:tcW w:w="0" w:type="dxa"/>
            <w:vAlign w:val="bottom"/>
          </w:tcPr>
          <w:p>
            <w:pPr>
              <w:spacing w:after="0"/>
              <w:rPr>
                <w:sz w:val="1"/>
                <w:szCs w:val="1"/>
                <w:color w:val="auto"/>
              </w:rPr>
            </w:pPr>
          </w:p>
        </w:tc>
      </w:tr>
      <w:tr>
        <w:trPr>
          <w:trHeight w:val="20"/>
        </w:trPr>
        <w:tc>
          <w:tcPr>
            <w:tcW w:w="5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680" w:type="dxa"/>
            <w:vAlign w:val="bottom"/>
            <w:gridSpan w:val="24"/>
            <w:shd w:val="clear" w:color="auto" w:fill="0000EE"/>
          </w:tcPr>
          <w:p>
            <w:pPr>
              <w:spacing w:after="0" w:line="20" w:lineRule="exact"/>
              <w:rPr>
                <w:sz w:val="1"/>
                <w:szCs w:val="1"/>
                <w:color w:val="auto"/>
              </w:rPr>
            </w:pPr>
          </w:p>
        </w:tc>
        <w:tc>
          <w:tcPr>
            <w:tcW w:w="98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520" w:type="dxa"/>
            <w:vAlign w:val="bottom"/>
            <w:gridSpan w:val="3"/>
          </w:tcPr>
          <w:p>
            <w:pPr>
              <w:spacing w:after="0"/>
              <w:rPr>
                <w:sz w:val="20"/>
                <w:szCs w:val="20"/>
                <w:color w:val="auto"/>
              </w:rPr>
            </w:pPr>
            <w:r>
              <w:rPr>
                <w:rFonts w:ascii="Arial" w:cs="Arial" w:eastAsia="Arial" w:hAnsi="Arial"/>
                <w:sz w:val="15"/>
                <w:szCs w:val="15"/>
                <w:color w:val="auto"/>
              </w:rPr>
              <w:t>10.16#</w:t>
            </w:r>
          </w:p>
        </w:tc>
        <w:tc>
          <w:tcPr>
            <w:tcW w:w="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7840" w:type="dxa"/>
            <w:vAlign w:val="bottom"/>
            <w:gridSpan w:val="28"/>
          </w:tcPr>
          <w:p>
            <w:pPr>
              <w:spacing w:after="0"/>
              <w:rPr>
                <w:rFonts w:ascii="Arial" w:cs="Arial" w:eastAsia="Arial" w:hAnsi="Arial"/>
                <w:sz w:val="15"/>
                <w:szCs w:val="15"/>
                <w:color w:val="0000EE"/>
                <w:w w:val="92"/>
              </w:rPr>
            </w:pPr>
            <w:hyperlink r:id="rId362">
              <w:r>
                <w:rPr>
                  <w:rFonts w:ascii="Arial" w:cs="Arial" w:eastAsia="Arial" w:hAnsi="Arial"/>
                  <w:sz w:val="15"/>
                  <w:szCs w:val="15"/>
                  <w:color w:val="0000EE"/>
                  <w:w w:val="92"/>
                </w:rPr>
                <w:t>First Amendment to Office Lease between the Registrant and Kilroy Realty Finance Partnership, L.P., dated as of June 5, 2015.</w:t>
              </w:r>
            </w:hyperlink>
          </w:p>
        </w:tc>
        <w:tc>
          <w:tcPr>
            <w:tcW w:w="0" w:type="dxa"/>
            <w:vAlign w:val="bottom"/>
          </w:tcPr>
          <w:p>
            <w:pPr>
              <w:spacing w:after="0"/>
              <w:rPr>
                <w:sz w:val="1"/>
                <w:szCs w:val="1"/>
                <w:color w:val="auto"/>
              </w:rPr>
            </w:pPr>
          </w:p>
        </w:tc>
      </w:tr>
      <w:tr>
        <w:trPr>
          <w:trHeight w:val="20"/>
        </w:trPr>
        <w:tc>
          <w:tcPr>
            <w:tcW w:w="5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660" w:type="dxa"/>
            <w:vAlign w:val="bottom"/>
            <w:gridSpan w:val="27"/>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520" w:type="dxa"/>
            <w:vAlign w:val="bottom"/>
            <w:gridSpan w:val="3"/>
          </w:tcPr>
          <w:p>
            <w:pPr>
              <w:spacing w:after="0"/>
              <w:rPr>
                <w:sz w:val="20"/>
                <w:szCs w:val="20"/>
                <w:color w:val="auto"/>
              </w:rPr>
            </w:pPr>
            <w:r>
              <w:rPr>
                <w:rFonts w:ascii="Arial" w:cs="Arial" w:eastAsia="Arial" w:hAnsi="Arial"/>
                <w:sz w:val="15"/>
                <w:szCs w:val="15"/>
                <w:color w:val="auto"/>
              </w:rPr>
              <w:t>10.17#</w:t>
            </w:r>
          </w:p>
        </w:tc>
        <w:tc>
          <w:tcPr>
            <w:tcW w:w="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7840" w:type="dxa"/>
            <w:vAlign w:val="bottom"/>
            <w:tcBorders>
              <w:bottom w:val="single" w:sz="8" w:color="0000EE"/>
            </w:tcBorders>
            <w:gridSpan w:val="28"/>
          </w:tcPr>
          <w:p>
            <w:pPr>
              <w:spacing w:after="0"/>
              <w:rPr>
                <w:rFonts w:ascii="Arial" w:cs="Arial" w:eastAsia="Arial" w:hAnsi="Arial"/>
                <w:sz w:val="15"/>
                <w:szCs w:val="15"/>
                <w:color w:val="0000EE"/>
                <w:w w:val="90"/>
              </w:rPr>
            </w:pPr>
            <w:hyperlink r:id="rId363">
              <w:r>
                <w:rPr>
                  <w:rFonts w:ascii="Arial" w:cs="Arial" w:eastAsia="Arial" w:hAnsi="Arial"/>
                  <w:sz w:val="15"/>
                  <w:szCs w:val="15"/>
                  <w:color w:val="0000EE"/>
                  <w:w w:val="90"/>
                </w:rPr>
                <w:t>Second Amendment to Office Lease between the Registrant and Kilroy Realty Finance Partnership, L.P., dated as of May 3, 2016.</w:t>
              </w:r>
            </w:hyperlink>
          </w:p>
        </w:tc>
        <w:tc>
          <w:tcPr>
            <w:tcW w:w="0" w:type="dxa"/>
            <w:vAlign w:val="bottom"/>
          </w:tcPr>
          <w:p>
            <w:pPr>
              <w:spacing w:after="0"/>
              <w:rPr>
                <w:sz w:val="1"/>
                <w:szCs w:val="1"/>
                <w:color w:val="auto"/>
              </w:rPr>
            </w:pPr>
          </w:p>
        </w:tc>
      </w:tr>
      <w:tr>
        <w:trPr>
          <w:trHeight w:val="317"/>
        </w:trPr>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460" w:type="dxa"/>
            <w:vAlign w:val="bottom"/>
            <w:gridSpan w:val="24"/>
          </w:tcPr>
          <w:p>
            <w:pPr>
              <w:jc w:val="center"/>
              <w:ind w:right="4040"/>
              <w:spacing w:after="0"/>
              <w:rPr>
                <w:sz w:val="20"/>
                <w:szCs w:val="20"/>
                <w:color w:val="auto"/>
              </w:rPr>
            </w:pPr>
            <w:r>
              <w:rPr>
                <w:rFonts w:ascii="Arial" w:cs="Arial" w:eastAsia="Arial" w:hAnsi="Arial"/>
                <w:sz w:val="15"/>
                <w:szCs w:val="15"/>
                <w:color w:val="auto"/>
              </w:rPr>
              <w:t>II-5</w:t>
            </w:r>
          </w:p>
        </w:tc>
        <w:tc>
          <w:tcPr>
            <w:tcW w:w="0" w:type="dxa"/>
            <w:vAlign w:val="bottom"/>
          </w:tcPr>
          <w:p>
            <w:pPr>
              <w:spacing w:after="0"/>
              <w:rPr>
                <w:sz w:val="1"/>
                <w:szCs w:val="1"/>
                <w:color w:val="auto"/>
              </w:rPr>
            </w:pPr>
          </w:p>
        </w:tc>
      </w:tr>
    </w:tbl>
    <w:p>
      <w:pPr>
        <w:sectPr>
          <w:pgSz w:w="11900" w:h="16838" w:orient="portrait"/>
          <w:cols w:equalWidth="0" w:num="1">
            <w:col w:w="10219"/>
          </w:cols>
          <w:pgMar w:left="240" w:top="408" w:right="1440" w:bottom="1440" w:gutter="0" w:footer="0" w:header="0"/>
        </w:sectPr>
      </w:pPr>
    </w:p>
    <w:bookmarkStart w:id="246" w:name="page247"/>
    <w:bookmarkEnd w:id="246"/>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133350</wp:posOffset>
            </wp:positionH>
            <wp:positionV relativeFrom="page">
              <wp:posOffset>88900</wp:posOffset>
            </wp:positionV>
            <wp:extent cx="7308850" cy="34290"/>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64">
                      <a:extLst>
                        <a:ext uri="{28A0092B-C50C-407E-A947-70E740481C1C}"/>
                      </a:extLst>
                    </a:blip>
                    <a:srcRect/>
                    <a:stretch>
                      <a:fillRect/>
                    </a:stretch>
                  </pic:blipFill>
                  <pic:spPr bwMode="auto">
                    <a:xfrm>
                      <a:off x="0" y="0"/>
                      <a:ext cx="7308850" cy="34290"/>
                    </a:xfrm>
                    <a:prstGeom prst="rect">
                      <a:avLst/>
                    </a:prstGeom>
                    <a:noFill/>
                  </pic:spPr>
                </pic:pic>
              </a:graphicData>
            </a:graphic>
          </wp:anchor>
        </w:drawing>
      </w:r>
      <w:hyperlink w:anchor="page7">
        <w:r>
          <w:rPr>
            <w:rFonts w:ascii="Arial" w:cs="Arial" w:eastAsia="Arial" w:hAnsi="Arial"/>
            <w:sz w:val="15"/>
            <w:szCs w:val="15"/>
            <w:b w:val="1"/>
            <w:bCs w:val="1"/>
            <w:u w:val="single" w:color="auto"/>
            <w:color w:val="0000EE"/>
          </w:rPr>
          <w:t>Table of Contents</w:t>
        </w:r>
      </w:hyperlink>
    </w:p>
    <w:p>
      <w:pPr>
        <w:spacing w:after="0" w:line="245" w:lineRule="exact"/>
        <w:rPr>
          <w:sz w:val="20"/>
          <w:szCs w:val="20"/>
          <w:color w:val="auto"/>
        </w:rPr>
      </w:pPr>
    </w:p>
    <w:tbl>
      <w:tblPr>
        <w:tblLayout w:type="fixed"/>
        <w:tblInd w:w="1120" w:type="dxa"/>
        <w:tblCellMar>
          <w:top w:w="0" w:type="dxa"/>
          <w:left w:w="0" w:type="dxa"/>
          <w:bottom w:w="0" w:type="dxa"/>
          <w:right w:w="0" w:type="dxa"/>
        </w:tblCellMar>
      </w:tblPr>
      <w:tr>
        <w:trPr>
          <w:trHeight w:val="138"/>
        </w:trPr>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80" w:type="dxa"/>
            <w:vAlign w:val="bottom"/>
            <w:gridSpan w:val="3"/>
          </w:tcPr>
          <w:p>
            <w:pPr>
              <w:spacing w:after="0"/>
              <w:rPr>
                <w:sz w:val="20"/>
                <w:szCs w:val="20"/>
                <w:color w:val="auto"/>
              </w:rPr>
            </w:pPr>
            <w:r>
              <w:rPr>
                <w:rFonts w:ascii="Arial" w:cs="Arial" w:eastAsia="Arial" w:hAnsi="Arial"/>
                <w:sz w:val="12"/>
                <w:szCs w:val="12"/>
                <w:b w:val="1"/>
                <w:bCs w:val="1"/>
                <w:color w:val="auto"/>
              </w:rPr>
              <w:t>Exhibit</w:t>
            </w:r>
          </w:p>
        </w:tc>
        <w:tc>
          <w:tcPr>
            <w:tcW w:w="10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0" w:type="dxa"/>
            <w:vAlign w:val="bottom"/>
            <w:vMerge w:val="restart"/>
          </w:tcPr>
          <w:p>
            <w:pPr>
              <w:spacing w:after="0"/>
              <w:rPr>
                <w:sz w:val="20"/>
                <w:szCs w:val="20"/>
                <w:color w:val="auto"/>
              </w:rPr>
            </w:pPr>
            <w:r>
              <w:rPr>
                <w:rFonts w:ascii="Arial" w:cs="Arial" w:eastAsia="Arial" w:hAnsi="Arial"/>
                <w:sz w:val="12"/>
                <w:szCs w:val="12"/>
                <w:b w:val="1"/>
                <w:bCs w:val="1"/>
                <w:color w:val="auto"/>
                <w:w w:val="87"/>
              </w:rPr>
              <w:t>Description</w:t>
            </w:r>
          </w:p>
        </w:tc>
        <w:tc>
          <w:tcPr>
            <w:tcW w:w="3780" w:type="dxa"/>
            <w:vAlign w:val="bottom"/>
            <w:gridSpan w:val="9"/>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127"/>
        </w:trPr>
        <w:tc>
          <w:tcPr>
            <w:tcW w:w="10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400" w:type="dxa"/>
            <w:vAlign w:val="bottom"/>
            <w:tcBorders>
              <w:top w:val="single" w:sz="8" w:color="auto"/>
              <w:bottom w:val="single" w:sz="8" w:color="auto"/>
            </w:tcBorders>
          </w:tcPr>
          <w:p>
            <w:pPr>
              <w:spacing w:after="0" w:line="127" w:lineRule="exact"/>
              <w:rPr>
                <w:sz w:val="20"/>
                <w:szCs w:val="20"/>
                <w:color w:val="auto"/>
              </w:rPr>
            </w:pPr>
            <w:r>
              <w:rPr>
                <w:rFonts w:ascii="Arial" w:cs="Arial" w:eastAsia="Arial" w:hAnsi="Arial"/>
                <w:sz w:val="12"/>
                <w:szCs w:val="12"/>
                <w:b w:val="1"/>
                <w:bCs w:val="1"/>
                <w:color w:val="auto"/>
                <w:w w:val="83"/>
              </w:rPr>
              <w:t>Number</w:t>
            </w:r>
          </w:p>
        </w:tc>
        <w:tc>
          <w:tcPr>
            <w:tcW w:w="20" w:type="dxa"/>
            <w:vAlign w:val="bottom"/>
            <w:tcBorders>
              <w:bottom w:val="single" w:sz="8" w:color="auto"/>
            </w:tcBorders>
          </w:tcPr>
          <w:p>
            <w:pPr>
              <w:spacing w:after="0"/>
              <w:rPr>
                <w:sz w:val="11"/>
                <w:szCs w:val="11"/>
                <w:color w:val="auto"/>
              </w:rPr>
            </w:pPr>
          </w:p>
        </w:tc>
        <w:tc>
          <w:tcPr>
            <w:tcW w:w="4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Borders>
              <w:bottom w:val="single" w:sz="8" w:color="auto"/>
            </w:tcBorders>
            <w:vMerge w:val="continue"/>
          </w:tcPr>
          <w:p>
            <w:pPr>
              <w:spacing w:after="0"/>
              <w:rPr>
                <w:sz w:val="11"/>
                <w:szCs w:val="11"/>
                <w:color w:val="auto"/>
              </w:rPr>
            </w:pPr>
          </w:p>
        </w:tc>
        <w:tc>
          <w:tcPr>
            <w:tcW w:w="3780" w:type="dxa"/>
            <w:vAlign w:val="bottom"/>
            <w:gridSpan w:val="9"/>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6"/>
        </w:trPr>
        <w:tc>
          <w:tcPr>
            <w:tcW w:w="520" w:type="dxa"/>
            <w:vAlign w:val="bottom"/>
            <w:gridSpan w:val="3"/>
          </w:tcPr>
          <w:p>
            <w:pPr>
              <w:spacing w:after="0"/>
              <w:rPr>
                <w:sz w:val="20"/>
                <w:szCs w:val="20"/>
                <w:color w:val="auto"/>
              </w:rPr>
            </w:pPr>
            <w:r>
              <w:rPr>
                <w:rFonts w:ascii="Arial" w:cs="Arial" w:eastAsia="Arial" w:hAnsi="Arial"/>
                <w:sz w:val="15"/>
                <w:szCs w:val="15"/>
                <w:color w:val="auto"/>
              </w:rPr>
              <w:t>10.18#</w:t>
            </w:r>
          </w:p>
        </w:tc>
        <w:tc>
          <w:tcPr>
            <w:tcW w:w="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7940" w:type="dxa"/>
            <w:vAlign w:val="bottom"/>
            <w:tcBorders>
              <w:bottom w:val="single" w:sz="8" w:color="0000EE"/>
            </w:tcBorders>
            <w:gridSpan w:val="12"/>
          </w:tcPr>
          <w:p>
            <w:pPr>
              <w:spacing w:after="0"/>
              <w:rPr>
                <w:rFonts w:ascii="Arial" w:cs="Arial" w:eastAsia="Arial" w:hAnsi="Arial"/>
                <w:sz w:val="15"/>
                <w:szCs w:val="15"/>
                <w:color w:val="0000EE"/>
                <w:w w:val="90"/>
              </w:rPr>
            </w:pPr>
            <w:hyperlink r:id="rId365">
              <w:r>
                <w:rPr>
                  <w:rFonts w:ascii="Arial" w:cs="Arial" w:eastAsia="Arial" w:hAnsi="Arial"/>
                  <w:sz w:val="15"/>
                  <w:szCs w:val="15"/>
                  <w:color w:val="0000EE"/>
                  <w:w w:val="90"/>
                </w:rPr>
                <w:t>Third Amendment to Office Lease between the Registrant and Kilroy Realty Finance Partnership, L.P., dated as of October 6, 2017.</w:t>
              </w:r>
            </w:hyperlink>
          </w:p>
        </w:tc>
        <w:tc>
          <w:tcPr>
            <w:tcW w:w="24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251"/>
        </w:trPr>
        <w:tc>
          <w:tcPr>
            <w:tcW w:w="520" w:type="dxa"/>
            <w:vAlign w:val="bottom"/>
            <w:gridSpan w:val="3"/>
          </w:tcPr>
          <w:p>
            <w:pPr>
              <w:spacing w:after="0"/>
              <w:rPr>
                <w:sz w:val="20"/>
                <w:szCs w:val="20"/>
                <w:color w:val="auto"/>
              </w:rPr>
            </w:pPr>
            <w:r>
              <w:rPr>
                <w:rFonts w:ascii="Arial" w:cs="Arial" w:eastAsia="Arial" w:hAnsi="Arial"/>
                <w:sz w:val="15"/>
                <w:szCs w:val="15"/>
                <w:color w:val="auto"/>
              </w:rPr>
              <w:t>10.19#</w:t>
            </w:r>
          </w:p>
        </w:tc>
        <w:tc>
          <w:tcPr>
            <w:tcW w:w="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5620" w:type="dxa"/>
            <w:vAlign w:val="bottom"/>
            <w:tcBorders>
              <w:bottom w:val="single" w:sz="8" w:color="0000EE"/>
            </w:tcBorders>
            <w:gridSpan w:val="11"/>
          </w:tcPr>
          <w:p>
            <w:pPr>
              <w:spacing w:after="0"/>
              <w:rPr>
                <w:rFonts w:ascii="Arial" w:cs="Arial" w:eastAsia="Arial" w:hAnsi="Arial"/>
                <w:sz w:val="15"/>
                <w:szCs w:val="15"/>
                <w:color w:val="0000EE"/>
                <w:w w:val="90"/>
              </w:rPr>
            </w:pPr>
            <w:hyperlink r:id="rId366">
              <w:r>
                <w:rPr>
                  <w:rFonts w:ascii="Arial" w:cs="Arial" w:eastAsia="Arial" w:hAnsi="Arial"/>
                  <w:sz w:val="15"/>
                  <w:szCs w:val="15"/>
                  <w:color w:val="0000EE"/>
                  <w:w w:val="90"/>
                </w:rPr>
                <w:t>Office Lease between the Registrant and KR Mission Bay, LLC, dated as of October 6, 2017.</w:t>
              </w:r>
            </w:hyperlink>
          </w:p>
        </w:tc>
        <w:tc>
          <w:tcPr>
            <w:tcW w:w="2560" w:type="dxa"/>
            <w:vAlign w:val="bottom"/>
            <w:gridSpan w:val="4"/>
          </w:tcPr>
          <w:p>
            <w:pPr>
              <w:spacing w:after="0"/>
              <w:rPr>
                <w:sz w:val="21"/>
                <w:szCs w:val="21"/>
                <w:color w:val="auto"/>
              </w:rPr>
            </w:pPr>
          </w:p>
        </w:tc>
        <w:tc>
          <w:tcPr>
            <w:tcW w:w="0" w:type="dxa"/>
            <w:vAlign w:val="bottom"/>
          </w:tcPr>
          <w:p>
            <w:pPr>
              <w:spacing w:after="0"/>
              <w:rPr>
                <w:sz w:val="1"/>
                <w:szCs w:val="1"/>
                <w:color w:val="auto"/>
              </w:rPr>
            </w:pPr>
          </w:p>
        </w:tc>
      </w:tr>
      <w:tr>
        <w:trPr>
          <w:trHeight w:val="251"/>
        </w:trPr>
        <w:tc>
          <w:tcPr>
            <w:tcW w:w="520" w:type="dxa"/>
            <w:vAlign w:val="bottom"/>
            <w:gridSpan w:val="3"/>
          </w:tcPr>
          <w:p>
            <w:pPr>
              <w:spacing w:after="0"/>
              <w:rPr>
                <w:sz w:val="20"/>
                <w:szCs w:val="20"/>
                <w:color w:val="auto"/>
              </w:rPr>
            </w:pPr>
            <w:r>
              <w:rPr>
                <w:rFonts w:ascii="Arial" w:cs="Arial" w:eastAsia="Arial" w:hAnsi="Arial"/>
                <w:sz w:val="15"/>
                <w:szCs w:val="15"/>
                <w:color w:val="auto"/>
              </w:rPr>
              <w:t>10.20#</w:t>
            </w:r>
          </w:p>
        </w:tc>
        <w:tc>
          <w:tcPr>
            <w:tcW w:w="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140" w:type="dxa"/>
            <w:vAlign w:val="bottom"/>
            <w:tcBorders>
              <w:bottom w:val="single" w:sz="8" w:color="0000EE"/>
            </w:tcBorders>
            <w:gridSpan w:val="14"/>
          </w:tcPr>
          <w:p>
            <w:pPr>
              <w:spacing w:after="0"/>
              <w:rPr>
                <w:rFonts w:ascii="Arial" w:cs="Arial" w:eastAsia="Arial" w:hAnsi="Arial"/>
                <w:sz w:val="15"/>
                <w:szCs w:val="15"/>
                <w:color w:val="0000EE"/>
                <w:w w:val="90"/>
              </w:rPr>
            </w:pPr>
            <w:hyperlink r:id="rId367">
              <w:r>
                <w:rPr>
                  <w:rFonts w:ascii="Arial" w:cs="Arial" w:eastAsia="Arial" w:hAnsi="Arial"/>
                  <w:sz w:val="15"/>
                  <w:szCs w:val="15"/>
                  <w:color w:val="0000EE"/>
                  <w:w w:val="90"/>
                </w:rPr>
                <w:t>Second Amendment and Restatement to the Revolving Credit and Guaranty Agreement among the Registrant, the lenders party thereto</w:t>
              </w:r>
            </w:hyperlink>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60"/>
        </w:trPr>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5160" w:type="dxa"/>
            <w:vAlign w:val="bottom"/>
            <w:tcBorders>
              <w:bottom w:val="single" w:sz="8" w:color="0000EE"/>
            </w:tcBorders>
            <w:gridSpan w:val="10"/>
          </w:tcPr>
          <w:p>
            <w:pPr>
              <w:spacing w:after="0" w:line="161" w:lineRule="exact"/>
              <w:rPr>
                <w:rFonts w:ascii="Arial" w:cs="Arial" w:eastAsia="Arial" w:hAnsi="Arial"/>
                <w:sz w:val="15"/>
                <w:szCs w:val="15"/>
                <w:color w:val="0000EE"/>
                <w:w w:val="91"/>
              </w:rPr>
            </w:pPr>
            <w:hyperlink r:id="rId367">
              <w:r>
                <w:rPr>
                  <w:rFonts w:ascii="Arial" w:cs="Arial" w:eastAsia="Arial" w:hAnsi="Arial"/>
                  <w:sz w:val="15"/>
                  <w:szCs w:val="15"/>
                  <w:color w:val="0000EE"/>
                  <w:w w:val="91"/>
                </w:rPr>
                <w:t>and JPMorgan Chase Bank, N.A., as Administrative Agent, dated as of April 3, 2017.</w:t>
              </w:r>
            </w:hyperlink>
          </w:p>
        </w:tc>
        <w:tc>
          <w:tcPr>
            <w:tcW w:w="3020" w:type="dxa"/>
            <w:vAlign w:val="bottom"/>
            <w:gridSpan w:val="5"/>
          </w:tcPr>
          <w:p>
            <w:pPr>
              <w:spacing w:after="0"/>
              <w:rPr>
                <w:sz w:val="13"/>
                <w:szCs w:val="13"/>
                <w:color w:val="auto"/>
              </w:rPr>
            </w:pPr>
          </w:p>
        </w:tc>
        <w:tc>
          <w:tcPr>
            <w:tcW w:w="0" w:type="dxa"/>
            <w:vAlign w:val="bottom"/>
          </w:tcPr>
          <w:p>
            <w:pPr>
              <w:spacing w:after="0"/>
              <w:rPr>
                <w:sz w:val="1"/>
                <w:szCs w:val="1"/>
                <w:color w:val="auto"/>
              </w:rPr>
            </w:pPr>
          </w:p>
        </w:tc>
      </w:tr>
      <w:tr>
        <w:trPr>
          <w:trHeight w:val="251"/>
        </w:trPr>
        <w:tc>
          <w:tcPr>
            <w:tcW w:w="520" w:type="dxa"/>
            <w:vAlign w:val="bottom"/>
            <w:gridSpan w:val="3"/>
          </w:tcPr>
          <w:p>
            <w:pPr>
              <w:spacing w:after="0"/>
              <w:rPr>
                <w:sz w:val="20"/>
                <w:szCs w:val="20"/>
                <w:color w:val="auto"/>
              </w:rPr>
            </w:pPr>
            <w:r>
              <w:rPr>
                <w:rFonts w:ascii="Arial" w:cs="Arial" w:eastAsia="Arial" w:hAnsi="Arial"/>
                <w:sz w:val="15"/>
                <w:szCs w:val="15"/>
                <w:color w:val="auto"/>
              </w:rPr>
              <w:t>10.21#</w:t>
            </w:r>
          </w:p>
        </w:tc>
        <w:tc>
          <w:tcPr>
            <w:tcW w:w="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060" w:type="dxa"/>
            <w:vAlign w:val="bottom"/>
            <w:tcBorders>
              <w:bottom w:val="single" w:sz="8" w:color="0000EE"/>
            </w:tcBorders>
            <w:gridSpan w:val="13"/>
          </w:tcPr>
          <w:p>
            <w:pPr>
              <w:spacing w:after="0"/>
              <w:rPr>
                <w:rFonts w:ascii="Arial" w:cs="Arial" w:eastAsia="Arial" w:hAnsi="Arial"/>
                <w:sz w:val="15"/>
                <w:szCs w:val="15"/>
                <w:color w:val="0000EE"/>
                <w:w w:val="90"/>
              </w:rPr>
            </w:pPr>
            <w:hyperlink r:id="rId368">
              <w:r>
                <w:rPr>
                  <w:rFonts w:ascii="Arial" w:cs="Arial" w:eastAsia="Arial" w:hAnsi="Arial"/>
                  <w:sz w:val="15"/>
                  <w:szCs w:val="15"/>
                  <w:color w:val="0000EE"/>
                  <w:w w:val="90"/>
                </w:rPr>
                <w:t>Incremental Facility and Amendment Agreement among the Registrant, the lenders party thereto and JPMorgan Chase Bank, N.A., as</w:t>
              </w:r>
            </w:hyperlink>
          </w:p>
        </w:tc>
        <w:tc>
          <w:tcPr>
            <w:tcW w:w="120" w:type="dxa"/>
            <w:vAlign w:val="bottom"/>
            <w:gridSpan w:val="2"/>
          </w:tcPr>
          <w:p>
            <w:pPr>
              <w:spacing w:after="0"/>
              <w:rPr>
                <w:sz w:val="21"/>
                <w:szCs w:val="21"/>
                <w:color w:val="auto"/>
              </w:rPr>
            </w:pPr>
          </w:p>
        </w:tc>
        <w:tc>
          <w:tcPr>
            <w:tcW w:w="0" w:type="dxa"/>
            <w:vAlign w:val="bottom"/>
          </w:tcPr>
          <w:p>
            <w:pPr>
              <w:spacing w:after="0"/>
              <w:rPr>
                <w:sz w:val="1"/>
                <w:szCs w:val="1"/>
                <w:color w:val="auto"/>
              </w:rPr>
            </w:pPr>
          </w:p>
        </w:tc>
      </w:tr>
      <w:tr>
        <w:trPr>
          <w:trHeight w:val="160"/>
        </w:trPr>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180" w:type="dxa"/>
            <w:vAlign w:val="bottom"/>
            <w:gridSpan w:val="15"/>
          </w:tcPr>
          <w:p>
            <w:pPr>
              <w:spacing w:after="0" w:line="161" w:lineRule="exact"/>
              <w:rPr>
                <w:rFonts w:ascii="Arial" w:cs="Arial" w:eastAsia="Arial" w:hAnsi="Arial"/>
                <w:sz w:val="15"/>
                <w:szCs w:val="15"/>
                <w:color w:val="0000EE"/>
              </w:rPr>
            </w:pPr>
            <w:hyperlink r:id="rId368">
              <w:r>
                <w:rPr>
                  <w:rFonts w:ascii="Arial" w:cs="Arial" w:eastAsia="Arial" w:hAnsi="Arial"/>
                  <w:sz w:val="15"/>
                  <w:szCs w:val="15"/>
                  <w:color w:val="0000EE"/>
                </w:rPr>
                <w:t>Administrative Agent, dated as of February 9, 2018.</w:t>
              </w:r>
            </w:hyperlink>
          </w:p>
        </w:tc>
        <w:tc>
          <w:tcPr>
            <w:tcW w:w="0" w:type="dxa"/>
            <w:vAlign w:val="bottom"/>
          </w:tcPr>
          <w:p>
            <w:pPr>
              <w:spacing w:after="0"/>
              <w:rPr>
                <w:sz w:val="1"/>
                <w:szCs w:val="1"/>
                <w:color w:val="auto"/>
              </w:rPr>
            </w:pPr>
          </w:p>
        </w:tc>
      </w:tr>
      <w:tr>
        <w:trPr>
          <w:trHeight w:val="20"/>
        </w:trPr>
        <w:tc>
          <w:tcPr>
            <w:tcW w:w="5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80" w:type="dxa"/>
            <w:vAlign w:val="bottom"/>
            <w:shd w:val="clear" w:color="auto" w:fill="0000EE"/>
          </w:tcPr>
          <w:p>
            <w:pPr>
              <w:spacing w:after="0" w:line="20" w:lineRule="exact"/>
              <w:rPr>
                <w:sz w:val="1"/>
                <w:szCs w:val="1"/>
                <w:color w:val="auto"/>
              </w:rPr>
            </w:pPr>
          </w:p>
        </w:tc>
        <w:tc>
          <w:tcPr>
            <w:tcW w:w="114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520" w:type="dxa"/>
            <w:vAlign w:val="bottom"/>
            <w:gridSpan w:val="3"/>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180" w:type="dxa"/>
            <w:vAlign w:val="bottom"/>
            <w:gridSpan w:val="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520" w:type="dxa"/>
            <w:vAlign w:val="bottom"/>
            <w:gridSpan w:val="3"/>
          </w:tcPr>
          <w:p>
            <w:pPr>
              <w:spacing w:after="0"/>
              <w:rPr>
                <w:sz w:val="20"/>
                <w:szCs w:val="20"/>
                <w:color w:val="auto"/>
              </w:rPr>
            </w:pPr>
            <w:r>
              <w:rPr>
                <w:rFonts w:ascii="Arial" w:cs="Arial" w:eastAsia="Arial" w:hAnsi="Arial"/>
                <w:sz w:val="15"/>
                <w:szCs w:val="15"/>
                <w:color w:val="auto"/>
              </w:rPr>
              <w:t>10.22#</w:t>
            </w:r>
          </w:p>
        </w:tc>
        <w:tc>
          <w:tcPr>
            <w:tcW w:w="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180" w:type="dxa"/>
            <w:vAlign w:val="bottom"/>
            <w:tcBorders>
              <w:bottom w:val="single" w:sz="8" w:color="0000EE"/>
            </w:tcBorders>
            <w:gridSpan w:val="15"/>
          </w:tcPr>
          <w:p>
            <w:pPr>
              <w:spacing w:after="0"/>
              <w:rPr>
                <w:rFonts w:ascii="Arial" w:cs="Arial" w:eastAsia="Arial" w:hAnsi="Arial"/>
                <w:sz w:val="15"/>
                <w:szCs w:val="15"/>
                <w:color w:val="0000EE"/>
                <w:w w:val="89"/>
              </w:rPr>
            </w:pPr>
            <w:hyperlink r:id="rId369">
              <w:r>
                <w:rPr>
                  <w:rFonts w:ascii="Arial" w:cs="Arial" w:eastAsia="Arial" w:hAnsi="Arial"/>
                  <w:sz w:val="15"/>
                  <w:szCs w:val="15"/>
                  <w:color w:val="0000EE"/>
                  <w:w w:val="89"/>
                </w:rPr>
                <w:t>Class A Common Stock Purchase Agreement by and among the Registrant, salesforce.com, inc. and Salesforce Ventures LLC, dated as</w:t>
              </w:r>
            </w:hyperlink>
          </w:p>
        </w:tc>
        <w:tc>
          <w:tcPr>
            <w:tcW w:w="0" w:type="dxa"/>
            <w:vAlign w:val="bottom"/>
          </w:tcPr>
          <w:p>
            <w:pPr>
              <w:spacing w:after="0"/>
              <w:rPr>
                <w:sz w:val="1"/>
                <w:szCs w:val="1"/>
                <w:color w:val="auto"/>
              </w:rPr>
            </w:pPr>
          </w:p>
        </w:tc>
      </w:tr>
      <w:tr>
        <w:trPr>
          <w:trHeight w:val="160"/>
        </w:trPr>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180" w:type="dxa"/>
            <w:vAlign w:val="bottom"/>
            <w:gridSpan w:val="15"/>
          </w:tcPr>
          <w:p>
            <w:pPr>
              <w:spacing w:after="0" w:line="161" w:lineRule="exact"/>
              <w:rPr>
                <w:rFonts w:ascii="Arial" w:cs="Arial" w:eastAsia="Arial" w:hAnsi="Arial"/>
                <w:sz w:val="15"/>
                <w:szCs w:val="15"/>
                <w:color w:val="0000EE"/>
              </w:rPr>
            </w:pPr>
            <w:hyperlink r:id="rId369">
              <w:r>
                <w:rPr>
                  <w:rFonts w:ascii="Arial" w:cs="Arial" w:eastAsia="Arial" w:hAnsi="Arial"/>
                  <w:sz w:val="15"/>
                  <w:szCs w:val="15"/>
                  <w:color w:val="0000EE"/>
                </w:rPr>
                <w:t>of March 7, 2018.</w:t>
              </w:r>
            </w:hyperlink>
          </w:p>
        </w:tc>
        <w:tc>
          <w:tcPr>
            <w:tcW w:w="0" w:type="dxa"/>
            <w:vAlign w:val="bottom"/>
          </w:tcPr>
          <w:p>
            <w:pPr>
              <w:spacing w:after="0"/>
              <w:rPr>
                <w:sz w:val="1"/>
                <w:szCs w:val="1"/>
                <w:color w:val="auto"/>
              </w:rPr>
            </w:pPr>
          </w:p>
        </w:tc>
      </w:tr>
      <w:tr>
        <w:trPr>
          <w:trHeight w:val="20"/>
        </w:trPr>
        <w:tc>
          <w:tcPr>
            <w:tcW w:w="5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80" w:type="dxa"/>
            <w:vAlign w:val="bottom"/>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60" w:type="dxa"/>
            <w:vAlign w:val="bottom"/>
            <w:gridSpan w:val="4"/>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180" w:type="dxa"/>
            <w:vAlign w:val="bottom"/>
            <w:gridSpan w:val="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520" w:type="dxa"/>
            <w:vAlign w:val="bottom"/>
            <w:gridSpan w:val="3"/>
          </w:tcPr>
          <w:p>
            <w:pPr>
              <w:spacing w:after="0"/>
              <w:rPr>
                <w:sz w:val="20"/>
                <w:szCs w:val="20"/>
                <w:color w:val="auto"/>
              </w:rPr>
            </w:pPr>
            <w:r>
              <w:rPr>
                <w:rFonts w:ascii="Arial" w:cs="Arial" w:eastAsia="Arial" w:hAnsi="Arial"/>
                <w:sz w:val="15"/>
                <w:szCs w:val="15"/>
                <w:color w:val="auto"/>
                <w:w w:val="91"/>
              </w:rPr>
              <w:t>10.23+#</w:t>
            </w:r>
          </w:p>
        </w:tc>
        <w:tc>
          <w:tcPr>
            <w:tcW w:w="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180" w:type="dxa"/>
            <w:vAlign w:val="bottom"/>
            <w:gridSpan w:val="15"/>
          </w:tcPr>
          <w:p>
            <w:pPr>
              <w:spacing w:after="0"/>
              <w:rPr>
                <w:rFonts w:ascii="Arial" w:cs="Arial" w:eastAsia="Arial" w:hAnsi="Arial"/>
                <w:sz w:val="15"/>
                <w:szCs w:val="15"/>
                <w:color w:val="0000EE"/>
              </w:rPr>
            </w:pPr>
            <w:hyperlink r:id="rId370">
              <w:r>
                <w:rPr>
                  <w:rFonts w:ascii="Arial" w:cs="Arial" w:eastAsia="Arial" w:hAnsi="Arial"/>
                  <w:sz w:val="15"/>
                  <w:szCs w:val="15"/>
                  <w:color w:val="0000EE"/>
                </w:rPr>
                <w:t>Dropbox, Inc. Outside Director Compensation Policy and related form agreements.</w:t>
              </w:r>
            </w:hyperlink>
          </w:p>
        </w:tc>
        <w:tc>
          <w:tcPr>
            <w:tcW w:w="0" w:type="dxa"/>
            <w:vAlign w:val="bottom"/>
          </w:tcPr>
          <w:p>
            <w:pPr>
              <w:spacing w:after="0"/>
              <w:rPr>
                <w:sz w:val="1"/>
                <w:szCs w:val="1"/>
                <w:color w:val="auto"/>
              </w:rPr>
            </w:pPr>
          </w:p>
        </w:tc>
      </w:tr>
      <w:tr>
        <w:trPr>
          <w:trHeight w:val="262"/>
        </w:trPr>
        <w:tc>
          <w:tcPr>
            <w:tcW w:w="520" w:type="dxa"/>
            <w:vAlign w:val="bottom"/>
            <w:gridSpan w:val="3"/>
          </w:tcPr>
          <w:p>
            <w:pPr>
              <w:spacing w:after="0"/>
              <w:rPr>
                <w:sz w:val="20"/>
                <w:szCs w:val="20"/>
                <w:color w:val="auto"/>
              </w:rPr>
            </w:pPr>
            <w:r>
              <w:rPr>
                <w:rFonts w:ascii="Arial" w:cs="Arial" w:eastAsia="Arial" w:hAnsi="Arial"/>
                <w:sz w:val="15"/>
                <w:szCs w:val="15"/>
                <w:color w:val="auto"/>
              </w:rPr>
              <w:t>21.1#</w:t>
            </w:r>
          </w:p>
        </w:tc>
        <w:tc>
          <w:tcPr>
            <w:tcW w:w="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5000" w:type="dxa"/>
            <w:vAlign w:val="bottom"/>
            <w:tcBorders>
              <w:top w:val="single" w:sz="8" w:color="0000EE"/>
            </w:tcBorders>
            <w:gridSpan w:val="9"/>
          </w:tcPr>
          <w:p>
            <w:pPr>
              <w:spacing w:after="0"/>
              <w:rPr>
                <w:rFonts w:ascii="Arial" w:cs="Arial" w:eastAsia="Arial" w:hAnsi="Arial"/>
                <w:sz w:val="15"/>
                <w:szCs w:val="15"/>
                <w:color w:val="0000EE"/>
              </w:rPr>
            </w:pPr>
            <w:hyperlink r:id="rId371">
              <w:r>
                <w:rPr>
                  <w:rFonts w:ascii="Arial" w:cs="Arial" w:eastAsia="Arial" w:hAnsi="Arial"/>
                  <w:sz w:val="15"/>
                  <w:szCs w:val="15"/>
                  <w:color w:val="0000EE"/>
                </w:rPr>
                <w:t>List of subsidiaries of the Registrant.</w:t>
              </w:r>
            </w:hyperlink>
          </w:p>
        </w:tc>
        <w:tc>
          <w:tcPr>
            <w:tcW w:w="3180" w:type="dxa"/>
            <w:vAlign w:val="bottom"/>
            <w:gridSpan w:val="6"/>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5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20" w:type="dxa"/>
            <w:vAlign w:val="bottom"/>
            <w:gridSpan w:val="2"/>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60" w:type="dxa"/>
            <w:vAlign w:val="bottom"/>
            <w:gridSpan w:val="4"/>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60" w:type="dxa"/>
            <w:vAlign w:val="bottom"/>
            <w:gridSpan w:val="7"/>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520" w:type="dxa"/>
            <w:vAlign w:val="bottom"/>
            <w:gridSpan w:val="3"/>
          </w:tcPr>
          <w:p>
            <w:pPr>
              <w:spacing w:after="0"/>
              <w:rPr>
                <w:sz w:val="20"/>
                <w:szCs w:val="20"/>
                <w:color w:val="auto"/>
              </w:rPr>
            </w:pPr>
            <w:r>
              <w:rPr>
                <w:rFonts w:ascii="Arial" w:cs="Arial" w:eastAsia="Arial" w:hAnsi="Arial"/>
                <w:sz w:val="15"/>
                <w:szCs w:val="15"/>
                <w:color w:val="auto"/>
              </w:rPr>
              <w:t>23.1</w:t>
            </w:r>
          </w:p>
        </w:tc>
        <w:tc>
          <w:tcPr>
            <w:tcW w:w="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4920" w:type="dxa"/>
            <w:vAlign w:val="bottom"/>
            <w:tcBorders>
              <w:bottom w:val="single" w:sz="8" w:color="0000EE"/>
            </w:tcBorders>
            <w:gridSpan w:val="8"/>
          </w:tcPr>
          <w:p>
            <w:pPr>
              <w:spacing w:after="0"/>
              <w:rPr>
                <w:sz w:val="20"/>
                <w:szCs w:val="20"/>
                <w:color w:val="auto"/>
              </w:rPr>
            </w:pPr>
            <w:r>
              <w:rPr>
                <w:rFonts w:ascii="Arial" w:cs="Arial" w:eastAsia="Arial" w:hAnsi="Arial"/>
                <w:sz w:val="15"/>
                <w:szCs w:val="15"/>
                <w:color w:val="0000EE"/>
                <w:w w:val="91"/>
              </w:rPr>
              <w:t>Consent of Ernst &amp; Young LLP, Independent Registered Public Accounting Firm.</w:t>
            </w:r>
          </w:p>
        </w:tc>
        <w:tc>
          <w:tcPr>
            <w:tcW w:w="3260" w:type="dxa"/>
            <w:vAlign w:val="bottom"/>
            <w:gridSpan w:val="7"/>
          </w:tcPr>
          <w:p>
            <w:pPr>
              <w:spacing w:after="0"/>
              <w:rPr>
                <w:sz w:val="21"/>
                <w:szCs w:val="21"/>
                <w:color w:val="auto"/>
              </w:rPr>
            </w:pPr>
          </w:p>
        </w:tc>
        <w:tc>
          <w:tcPr>
            <w:tcW w:w="0" w:type="dxa"/>
            <w:vAlign w:val="bottom"/>
          </w:tcPr>
          <w:p>
            <w:pPr>
              <w:spacing w:after="0"/>
              <w:rPr>
                <w:sz w:val="1"/>
                <w:szCs w:val="1"/>
                <w:color w:val="auto"/>
              </w:rPr>
            </w:pPr>
          </w:p>
        </w:tc>
      </w:tr>
      <w:tr>
        <w:trPr>
          <w:trHeight w:val="251"/>
        </w:trPr>
        <w:tc>
          <w:tcPr>
            <w:tcW w:w="520" w:type="dxa"/>
            <w:vAlign w:val="bottom"/>
            <w:gridSpan w:val="3"/>
          </w:tcPr>
          <w:p>
            <w:pPr>
              <w:spacing w:after="0"/>
              <w:rPr>
                <w:sz w:val="20"/>
                <w:szCs w:val="20"/>
                <w:color w:val="auto"/>
              </w:rPr>
            </w:pPr>
            <w:r>
              <w:rPr>
                <w:rFonts w:ascii="Arial" w:cs="Arial" w:eastAsia="Arial" w:hAnsi="Arial"/>
                <w:sz w:val="15"/>
                <w:szCs w:val="15"/>
                <w:color w:val="auto"/>
              </w:rPr>
              <w:t>23.2#</w:t>
            </w:r>
          </w:p>
        </w:tc>
        <w:tc>
          <w:tcPr>
            <w:tcW w:w="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180" w:type="dxa"/>
            <w:vAlign w:val="bottom"/>
            <w:gridSpan w:val="15"/>
          </w:tcPr>
          <w:p>
            <w:pPr>
              <w:spacing w:after="0"/>
              <w:rPr>
                <w:rFonts w:ascii="Arial" w:cs="Arial" w:eastAsia="Arial" w:hAnsi="Arial"/>
                <w:sz w:val="15"/>
                <w:szCs w:val="15"/>
                <w:color w:val="0000EE"/>
              </w:rPr>
            </w:pPr>
            <w:hyperlink r:id="rId352">
              <w:r>
                <w:rPr>
                  <w:rFonts w:ascii="Arial" w:cs="Arial" w:eastAsia="Arial" w:hAnsi="Arial"/>
                  <w:sz w:val="15"/>
                  <w:szCs w:val="15"/>
                  <w:color w:val="0000EE"/>
                </w:rPr>
                <w:t>Consent of Wilson Sonsini Goodrich &amp; Rosati, P.C. (included in Exhibit 5.1).</w:t>
              </w:r>
            </w:hyperlink>
          </w:p>
        </w:tc>
        <w:tc>
          <w:tcPr>
            <w:tcW w:w="0" w:type="dxa"/>
            <w:vAlign w:val="bottom"/>
          </w:tcPr>
          <w:p>
            <w:pPr>
              <w:spacing w:after="0"/>
              <w:rPr>
                <w:sz w:val="1"/>
                <w:szCs w:val="1"/>
                <w:color w:val="auto"/>
              </w:rPr>
            </w:pPr>
          </w:p>
        </w:tc>
      </w:tr>
      <w:tr>
        <w:trPr>
          <w:trHeight w:val="251"/>
        </w:trPr>
        <w:tc>
          <w:tcPr>
            <w:tcW w:w="520" w:type="dxa"/>
            <w:vAlign w:val="bottom"/>
            <w:gridSpan w:val="3"/>
          </w:tcPr>
          <w:p>
            <w:pPr>
              <w:spacing w:after="0"/>
              <w:rPr>
                <w:sz w:val="20"/>
                <w:szCs w:val="20"/>
                <w:color w:val="auto"/>
              </w:rPr>
            </w:pPr>
            <w:r>
              <w:rPr>
                <w:rFonts w:ascii="Arial" w:cs="Arial" w:eastAsia="Arial" w:hAnsi="Arial"/>
                <w:sz w:val="15"/>
                <w:szCs w:val="15"/>
                <w:color w:val="auto"/>
              </w:rPr>
              <w:t>24.1#</w:t>
            </w:r>
          </w:p>
        </w:tc>
        <w:tc>
          <w:tcPr>
            <w:tcW w:w="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2600" w:type="dxa"/>
            <w:vAlign w:val="bottom"/>
            <w:tcBorders>
              <w:top w:val="single" w:sz="8" w:color="0000EE"/>
              <w:bottom w:val="single" w:sz="8" w:color="0000EE"/>
            </w:tcBorders>
            <w:gridSpan w:val="3"/>
          </w:tcPr>
          <w:p>
            <w:pPr>
              <w:spacing w:after="0"/>
              <w:rPr>
                <w:rFonts w:ascii="Arial" w:cs="Arial" w:eastAsia="Arial" w:hAnsi="Arial"/>
                <w:sz w:val="15"/>
                <w:szCs w:val="15"/>
                <w:color w:val="0000EE"/>
                <w:w w:val="92"/>
              </w:rPr>
            </w:pPr>
            <w:hyperlink r:id="rId372">
              <w:r>
                <w:rPr>
                  <w:rFonts w:ascii="Arial" w:cs="Arial" w:eastAsia="Arial" w:hAnsi="Arial"/>
                  <w:sz w:val="15"/>
                  <w:szCs w:val="15"/>
                  <w:color w:val="0000EE"/>
                  <w:w w:val="92"/>
                </w:rPr>
                <w:t>Power of Attorney (included on page II-7).</w:t>
              </w:r>
            </w:hyperlink>
          </w:p>
        </w:tc>
        <w:tc>
          <w:tcPr>
            <w:tcW w:w="2060" w:type="dxa"/>
            <w:vAlign w:val="bottom"/>
            <w:tcBorders>
              <w:top w:val="single" w:sz="8" w:color="0000EE"/>
            </w:tcBorders>
            <w:gridSpan w:val="4"/>
          </w:tcPr>
          <w:p>
            <w:pPr>
              <w:spacing w:after="0"/>
              <w:rPr>
                <w:sz w:val="21"/>
                <w:szCs w:val="21"/>
                <w:color w:val="auto"/>
              </w:rPr>
            </w:pPr>
          </w:p>
        </w:tc>
        <w:tc>
          <w:tcPr>
            <w:tcW w:w="3520" w:type="dxa"/>
            <w:vAlign w:val="bottom"/>
            <w:gridSpan w:val="8"/>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709930</wp:posOffset>
            </wp:positionH>
            <wp:positionV relativeFrom="paragraph">
              <wp:posOffset>85725</wp:posOffset>
            </wp:positionV>
            <wp:extent cx="580390" cy="698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73">
                      <a:extLst>
                        <a:ext uri="{28A0092B-C50C-407E-A947-70E740481C1C}"/>
                      </a:extLst>
                    </a:blip>
                    <a:srcRect/>
                    <a:stretch>
                      <a:fillRect/>
                    </a:stretch>
                  </pic:blipFill>
                  <pic:spPr bwMode="auto">
                    <a:xfrm>
                      <a:off x="0" y="0"/>
                      <a:ext cx="580390" cy="6985"/>
                    </a:xfrm>
                    <a:prstGeom prst="rect">
                      <a:avLst/>
                    </a:prstGeom>
                    <a:noFill/>
                  </pic:spPr>
                </pic:pic>
              </a:graphicData>
            </a:graphic>
          </wp:anchor>
        </w:drawing>
      </w:r>
    </w:p>
    <w:p>
      <w:pPr>
        <w:spacing w:after="0" w:line="150" w:lineRule="exact"/>
        <w:rPr>
          <w:sz w:val="20"/>
          <w:szCs w:val="20"/>
          <w:color w:val="auto"/>
        </w:rPr>
      </w:pPr>
    </w:p>
    <w:p>
      <w:pPr>
        <w:ind w:left="1120"/>
        <w:spacing w:after="0"/>
        <w:rPr>
          <w:sz w:val="20"/>
          <w:szCs w:val="20"/>
          <w:color w:val="auto"/>
        </w:rPr>
      </w:pPr>
      <w:r>
        <w:rPr>
          <w:rFonts w:ascii="Arial" w:cs="Arial" w:eastAsia="Arial" w:hAnsi="Arial"/>
          <w:sz w:val="15"/>
          <w:szCs w:val="15"/>
          <w:color w:val="auto"/>
        </w:rPr>
        <w:t>#  Previously filed.</w:t>
      </w:r>
    </w:p>
    <w:p>
      <w:pPr>
        <w:spacing w:after="0" w:line="17" w:lineRule="exact"/>
        <w:rPr>
          <w:sz w:val="20"/>
          <w:szCs w:val="20"/>
          <w:color w:val="auto"/>
        </w:rPr>
      </w:pPr>
    </w:p>
    <w:p>
      <w:pPr>
        <w:ind w:left="1120"/>
        <w:spacing w:after="0"/>
        <w:rPr>
          <w:sz w:val="20"/>
          <w:szCs w:val="20"/>
          <w:color w:val="auto"/>
        </w:rPr>
      </w:pPr>
      <w:r>
        <w:rPr>
          <w:rFonts w:ascii="Arial" w:cs="Arial" w:eastAsia="Arial" w:hAnsi="Arial"/>
          <w:sz w:val="15"/>
          <w:szCs w:val="15"/>
          <w:color w:val="auto"/>
        </w:rPr>
        <w:t>+  Indicates management contract or compensatory plan.</w:t>
      </w:r>
    </w:p>
    <w:p>
      <w:pPr>
        <w:spacing w:after="0" w:line="123" w:lineRule="exact"/>
        <w:rPr>
          <w:sz w:val="20"/>
          <w:szCs w:val="20"/>
          <w:color w:val="auto"/>
        </w:rPr>
      </w:pPr>
    </w:p>
    <w:p>
      <w:pPr>
        <w:ind w:left="5600"/>
        <w:spacing w:after="0"/>
        <w:rPr>
          <w:sz w:val="20"/>
          <w:szCs w:val="20"/>
          <w:color w:val="auto"/>
        </w:rPr>
      </w:pPr>
      <w:r>
        <w:rPr>
          <w:rFonts w:ascii="Arial" w:cs="Arial" w:eastAsia="Arial" w:hAnsi="Arial"/>
          <w:sz w:val="15"/>
          <w:szCs w:val="15"/>
          <w:color w:val="auto"/>
        </w:rPr>
        <w:t>II-6</w:t>
      </w:r>
    </w:p>
    <w:p>
      <w:pPr>
        <w:sectPr>
          <w:pgSz w:w="11900" w:h="16838" w:orient="portrait"/>
          <w:cols w:equalWidth="0" w:num="1">
            <w:col w:w="10300"/>
          </w:cols>
          <w:pgMar w:left="240" w:top="407" w:right="1359" w:bottom="1440" w:gutter="0" w:footer="0" w:header="0"/>
        </w:sectPr>
      </w:pPr>
    </w:p>
    <w:bookmarkStart w:id="247" w:name="page248"/>
    <w:bookmarkEnd w:id="247"/>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133350</wp:posOffset>
            </wp:positionH>
            <wp:positionV relativeFrom="page">
              <wp:posOffset>88900</wp:posOffset>
            </wp:positionV>
            <wp:extent cx="7308850" cy="34290"/>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74">
                      <a:extLst>
                        <a:ext uri="{28A0092B-C50C-407E-A947-70E740481C1C}"/>
                      </a:extLst>
                    </a:blip>
                    <a:srcRect/>
                    <a:stretch>
                      <a:fillRect/>
                    </a:stretch>
                  </pic:blipFill>
                  <pic:spPr bwMode="auto">
                    <a:xfrm>
                      <a:off x="0" y="0"/>
                      <a:ext cx="7308850" cy="34290"/>
                    </a:xfrm>
                    <a:prstGeom prst="rect">
                      <a:avLst/>
                    </a:prstGeom>
                    <a:noFill/>
                  </pic:spPr>
                </pic:pic>
              </a:graphicData>
            </a:graphic>
          </wp:anchor>
        </w:drawing>
      </w:r>
      <w:hyperlink w:anchor="page7">
        <w:r>
          <w:rPr>
            <w:rFonts w:ascii="Arial" w:cs="Arial" w:eastAsia="Arial" w:hAnsi="Arial"/>
            <w:sz w:val="15"/>
            <w:szCs w:val="15"/>
            <w:b w:val="1"/>
            <w:bCs w:val="1"/>
            <w:u w:val="single" w:color="auto"/>
            <w:color w:val="0000EE"/>
          </w:rPr>
          <w:t>Table of Contents</w:t>
        </w:r>
      </w:hyperlink>
    </w:p>
    <w:p>
      <w:pPr>
        <w:spacing w:after="0" w:line="256" w:lineRule="exact"/>
        <w:rPr>
          <w:sz w:val="20"/>
          <w:szCs w:val="20"/>
          <w:color w:val="auto"/>
        </w:rPr>
      </w:pPr>
    </w:p>
    <w:p>
      <w:pPr>
        <w:jc w:val="center"/>
        <w:ind w:right="-1200"/>
        <w:spacing w:after="0"/>
        <w:rPr>
          <w:sz w:val="20"/>
          <w:szCs w:val="20"/>
          <w:color w:val="auto"/>
        </w:rPr>
      </w:pPr>
      <w:r>
        <w:rPr>
          <w:rFonts w:ascii="Arial" w:cs="Arial" w:eastAsia="Arial" w:hAnsi="Arial"/>
          <w:sz w:val="15"/>
          <w:szCs w:val="15"/>
          <w:b w:val="1"/>
          <w:bCs w:val="1"/>
          <w:color w:val="auto"/>
        </w:rPr>
        <w:t>SIGNATURES</w:t>
      </w:r>
    </w:p>
    <w:p>
      <w:pPr>
        <w:spacing w:after="0" w:line="192" w:lineRule="exact"/>
        <w:rPr>
          <w:sz w:val="20"/>
          <w:szCs w:val="20"/>
          <w:color w:val="auto"/>
        </w:rPr>
      </w:pPr>
    </w:p>
    <w:p>
      <w:pPr>
        <w:ind w:left="1120" w:right="19" w:firstLine="368"/>
        <w:spacing w:after="0" w:line="312" w:lineRule="auto"/>
        <w:rPr>
          <w:sz w:val="20"/>
          <w:szCs w:val="20"/>
          <w:color w:val="auto"/>
        </w:rPr>
      </w:pPr>
      <w:r>
        <w:rPr>
          <w:rFonts w:ascii="Arial" w:cs="Arial" w:eastAsia="Arial" w:hAnsi="Arial"/>
          <w:sz w:val="14"/>
          <w:szCs w:val="14"/>
          <w:color w:val="auto"/>
        </w:rPr>
        <w:t>Pursuant to the requirements of the Securities Act of 1933, as amended, the Registrant has duly caused this registration statement on Form S-1 to be signed on its behalf by the undersigned, thereunto duly authorized, in San Francisco, California, on the 21st day of March, 2018.</w:t>
      </w:r>
    </w:p>
    <w:p>
      <w:pPr>
        <w:spacing w:after="0" w:line="141" w:lineRule="exact"/>
        <w:rPr>
          <w:sz w:val="20"/>
          <w:szCs w:val="20"/>
          <w:color w:val="auto"/>
        </w:rPr>
      </w:pPr>
    </w:p>
    <w:p>
      <w:pPr>
        <w:ind w:left="6640"/>
        <w:spacing w:after="0"/>
        <w:rPr>
          <w:sz w:val="20"/>
          <w:szCs w:val="20"/>
          <w:color w:val="auto"/>
        </w:rPr>
      </w:pPr>
      <w:r>
        <w:rPr>
          <w:rFonts w:ascii="Arial" w:cs="Arial" w:eastAsia="Arial" w:hAnsi="Arial"/>
          <w:sz w:val="15"/>
          <w:szCs w:val="15"/>
          <w:b w:val="1"/>
          <w:bCs w:val="1"/>
          <w:color w:val="auto"/>
        </w:rPr>
        <w:t>DROPBOX, INC.</w:t>
      </w:r>
    </w:p>
    <w:p>
      <w:pPr>
        <w:spacing w:after="0" w:line="192" w:lineRule="exact"/>
        <w:rPr>
          <w:sz w:val="20"/>
          <w:szCs w:val="20"/>
          <w:color w:val="auto"/>
        </w:rPr>
      </w:pPr>
    </w:p>
    <w:p>
      <w:pPr>
        <w:ind w:left="6640"/>
        <w:spacing w:after="0"/>
        <w:rPr>
          <w:sz w:val="20"/>
          <w:szCs w:val="20"/>
          <w:color w:val="auto"/>
        </w:rPr>
      </w:pPr>
      <w:r>
        <w:rPr>
          <w:rFonts w:ascii="Arial" w:cs="Arial" w:eastAsia="Arial" w:hAnsi="Arial"/>
          <w:sz w:val="15"/>
          <w:szCs w:val="15"/>
          <w:color w:val="auto"/>
        </w:rPr>
        <w:t>By: /s/ Andrew W. Houston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4412615</wp:posOffset>
            </wp:positionH>
            <wp:positionV relativeFrom="paragraph">
              <wp:posOffset>12065</wp:posOffset>
            </wp:positionV>
            <wp:extent cx="2141220" cy="698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75">
                      <a:extLst>
                        <a:ext uri="{28A0092B-C50C-407E-A947-70E740481C1C}"/>
                      </a:extLst>
                    </a:blip>
                    <a:srcRect/>
                    <a:stretch>
                      <a:fillRect/>
                    </a:stretch>
                  </pic:blipFill>
                  <pic:spPr bwMode="auto">
                    <a:xfrm>
                      <a:off x="0" y="0"/>
                      <a:ext cx="2141220" cy="6985"/>
                    </a:xfrm>
                    <a:prstGeom prst="rect">
                      <a:avLst/>
                    </a:prstGeom>
                    <a:noFill/>
                  </pic:spPr>
                </pic:pic>
              </a:graphicData>
            </a:graphic>
          </wp:anchor>
        </w:drawing>
      </w:r>
    </w:p>
    <w:p>
      <w:pPr>
        <w:spacing w:after="0" w:line="11" w:lineRule="exact"/>
        <w:rPr>
          <w:sz w:val="20"/>
          <w:szCs w:val="20"/>
          <w:color w:val="auto"/>
        </w:rPr>
      </w:pPr>
    </w:p>
    <w:p>
      <w:pPr>
        <w:ind w:left="6940"/>
        <w:spacing w:after="0"/>
        <w:rPr>
          <w:sz w:val="20"/>
          <w:szCs w:val="20"/>
          <w:color w:val="auto"/>
        </w:rPr>
      </w:pPr>
      <w:r>
        <w:rPr>
          <w:rFonts w:ascii="Arial" w:cs="Arial" w:eastAsia="Arial" w:hAnsi="Arial"/>
          <w:sz w:val="15"/>
          <w:szCs w:val="15"/>
          <w:color w:val="auto"/>
        </w:rPr>
        <w:t>Andrew W. Houston</w:t>
      </w:r>
    </w:p>
    <w:p>
      <w:pPr>
        <w:spacing w:after="0" w:line="17" w:lineRule="exact"/>
        <w:rPr>
          <w:sz w:val="20"/>
          <w:szCs w:val="20"/>
          <w:color w:val="auto"/>
        </w:rPr>
      </w:pPr>
    </w:p>
    <w:p>
      <w:pPr>
        <w:ind w:left="6940"/>
        <w:spacing w:after="0"/>
        <w:rPr>
          <w:sz w:val="20"/>
          <w:szCs w:val="20"/>
          <w:color w:val="auto"/>
        </w:rPr>
      </w:pPr>
      <w:r>
        <w:rPr>
          <w:rFonts w:ascii="Arial" w:cs="Arial" w:eastAsia="Arial" w:hAnsi="Arial"/>
          <w:sz w:val="15"/>
          <w:szCs w:val="15"/>
          <w:color w:val="auto"/>
        </w:rPr>
        <w:t>Chief Executive Officer</w:t>
      </w:r>
    </w:p>
    <w:p>
      <w:pPr>
        <w:spacing w:after="0" w:line="179" w:lineRule="exact"/>
        <w:rPr>
          <w:sz w:val="20"/>
          <w:szCs w:val="20"/>
          <w:color w:val="auto"/>
        </w:rPr>
      </w:pPr>
    </w:p>
    <w:p>
      <w:pPr>
        <w:ind w:left="1120" w:right="19" w:firstLine="368"/>
        <w:spacing w:after="0" w:line="275" w:lineRule="auto"/>
        <w:rPr>
          <w:sz w:val="20"/>
          <w:szCs w:val="20"/>
          <w:color w:val="auto"/>
        </w:rPr>
      </w:pPr>
      <w:r>
        <w:rPr>
          <w:rFonts w:ascii="Arial" w:cs="Arial" w:eastAsia="Arial" w:hAnsi="Arial"/>
          <w:sz w:val="15"/>
          <w:szCs w:val="15"/>
          <w:color w:val="auto"/>
        </w:rPr>
        <w:t>Pursuant to the requirements of the Securities Act of 1933, as amended, this registration statement on Form S-1 has been signed by the following persons in the capacities and on the dates indicated.</w:t>
      </w:r>
    </w:p>
    <w:p>
      <w:pPr>
        <w:sectPr>
          <w:pgSz w:w="11900" w:h="16838" w:orient="portrait"/>
          <w:cols w:equalWidth="0" w:num="1">
            <w:col w:w="10219"/>
          </w:cols>
          <w:pgMar w:left="240" w:top="408" w:right="1440" w:bottom="1440" w:gutter="0" w:footer="0" w:header="0"/>
        </w:sectPr>
      </w:pPr>
    </w:p>
    <w:p>
      <w:pPr>
        <w:spacing w:after="0" w:line="160" w:lineRule="exact"/>
        <w:rPr>
          <w:sz w:val="20"/>
          <w:szCs w:val="20"/>
          <w:color w:val="auto"/>
        </w:rPr>
      </w:pPr>
    </w:p>
    <w:p>
      <w:pPr>
        <w:jc w:val="center"/>
        <w:ind w:left="1740"/>
        <w:spacing w:after="0"/>
        <w:rPr>
          <w:sz w:val="20"/>
          <w:szCs w:val="20"/>
          <w:color w:val="auto"/>
        </w:rPr>
      </w:pPr>
      <w:r>
        <w:rPr>
          <w:rFonts w:ascii="Arial" w:cs="Arial" w:eastAsia="Arial" w:hAnsi="Arial"/>
          <w:sz w:val="12"/>
          <w:szCs w:val="12"/>
          <w:b w:val="1"/>
          <w:bCs w:val="1"/>
          <w:u w:val="single" w:color="auto"/>
          <w:color w:val="auto"/>
        </w:rPr>
        <w:t>Signature</w:t>
      </w:r>
    </w:p>
    <w:p>
      <w:pPr>
        <w:spacing w:after="0" w:line="176" w:lineRule="exact"/>
        <w:rPr>
          <w:sz w:val="20"/>
          <w:szCs w:val="20"/>
          <w:color w:val="auto"/>
        </w:rPr>
      </w:pPr>
    </w:p>
    <w:p>
      <w:pPr>
        <w:jc w:val="center"/>
        <w:ind w:left="1740"/>
        <w:spacing w:after="0"/>
        <w:rPr>
          <w:sz w:val="20"/>
          <w:szCs w:val="20"/>
          <w:color w:val="auto"/>
        </w:rPr>
      </w:pPr>
      <w:r>
        <w:rPr>
          <w:rFonts w:ascii="Arial" w:cs="Arial" w:eastAsia="Arial" w:hAnsi="Arial"/>
          <w:sz w:val="13"/>
          <w:szCs w:val="13"/>
          <w:color w:val="auto"/>
        </w:rPr>
        <w:t>/s/ Andrew W. Houston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709930</wp:posOffset>
            </wp:positionH>
            <wp:positionV relativeFrom="paragraph">
              <wp:posOffset>26670</wp:posOffset>
            </wp:positionV>
            <wp:extent cx="1890395" cy="698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76">
                      <a:extLst>
                        <a:ext uri="{28A0092B-C50C-407E-A947-70E740481C1C}"/>
                      </a:extLst>
                    </a:blip>
                    <a:srcRect/>
                    <a:stretch>
                      <a:fillRect/>
                    </a:stretch>
                  </pic:blipFill>
                  <pic:spPr bwMode="auto">
                    <a:xfrm>
                      <a:off x="0" y="0"/>
                      <a:ext cx="1890395" cy="6985"/>
                    </a:xfrm>
                    <a:prstGeom prst="rect">
                      <a:avLst/>
                    </a:prstGeom>
                    <a:noFill/>
                  </pic:spPr>
                </pic:pic>
              </a:graphicData>
            </a:graphic>
          </wp:anchor>
        </w:drawing>
      </w:r>
    </w:p>
    <w:p>
      <w:pPr>
        <w:spacing w:after="0" w:line="22" w:lineRule="exact"/>
        <w:rPr>
          <w:sz w:val="20"/>
          <w:szCs w:val="20"/>
          <w:color w:val="auto"/>
        </w:rPr>
      </w:pPr>
    </w:p>
    <w:p>
      <w:pPr>
        <w:jc w:val="center"/>
        <w:ind w:left="1740"/>
        <w:spacing w:after="0"/>
        <w:rPr>
          <w:sz w:val="20"/>
          <w:szCs w:val="20"/>
          <w:color w:val="auto"/>
        </w:rPr>
      </w:pPr>
      <w:r>
        <w:rPr>
          <w:rFonts w:ascii="Arial" w:cs="Arial" w:eastAsia="Arial" w:hAnsi="Arial"/>
          <w:sz w:val="15"/>
          <w:szCs w:val="15"/>
          <w:color w:val="auto"/>
        </w:rPr>
        <w:t>Andrew W. Houston</w:t>
      </w:r>
    </w:p>
    <w:p>
      <w:pPr>
        <w:spacing w:after="0" w:line="200" w:lineRule="exact"/>
        <w:rPr>
          <w:sz w:val="20"/>
          <w:szCs w:val="20"/>
          <w:color w:val="auto"/>
        </w:rPr>
      </w:pPr>
    </w:p>
    <w:p>
      <w:pPr>
        <w:jc w:val="center"/>
        <w:ind w:left="1740"/>
        <w:spacing w:after="0"/>
        <w:rPr>
          <w:sz w:val="20"/>
          <w:szCs w:val="20"/>
          <w:color w:val="auto"/>
        </w:rPr>
      </w:pPr>
      <w:r>
        <w:rPr>
          <w:rFonts w:ascii="Arial" w:cs="Arial" w:eastAsia="Arial" w:hAnsi="Arial"/>
          <w:sz w:val="15"/>
          <w:szCs w:val="15"/>
          <w:color w:val="auto"/>
        </w:rPr>
        <w:t>/s/ Ajay V. Vashee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709930</wp:posOffset>
            </wp:positionH>
            <wp:positionV relativeFrom="paragraph">
              <wp:posOffset>12065</wp:posOffset>
            </wp:positionV>
            <wp:extent cx="1890395" cy="698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77">
                      <a:extLst>
                        <a:ext uri="{28A0092B-C50C-407E-A947-70E740481C1C}"/>
                      </a:extLst>
                    </a:blip>
                    <a:srcRect/>
                    <a:stretch>
                      <a:fillRect/>
                    </a:stretch>
                  </pic:blipFill>
                  <pic:spPr bwMode="auto">
                    <a:xfrm>
                      <a:off x="0" y="0"/>
                      <a:ext cx="1890395" cy="6985"/>
                    </a:xfrm>
                    <a:prstGeom prst="rect">
                      <a:avLst/>
                    </a:prstGeom>
                    <a:noFill/>
                  </pic:spPr>
                </pic:pic>
              </a:graphicData>
            </a:graphic>
          </wp:anchor>
        </w:drawing>
      </w:r>
    </w:p>
    <w:p>
      <w:pPr>
        <w:jc w:val="center"/>
        <w:ind w:left="1740"/>
        <w:spacing w:after="0"/>
        <w:rPr>
          <w:sz w:val="20"/>
          <w:szCs w:val="20"/>
          <w:color w:val="auto"/>
        </w:rPr>
      </w:pPr>
      <w:r>
        <w:rPr>
          <w:rFonts w:ascii="Arial" w:cs="Arial" w:eastAsia="Arial" w:hAnsi="Arial"/>
          <w:sz w:val="15"/>
          <w:szCs w:val="15"/>
          <w:color w:val="auto"/>
        </w:rPr>
        <w:t>Ajay V. Vashee</w:t>
      </w:r>
    </w:p>
    <w:p>
      <w:pPr>
        <w:spacing w:after="0" w:line="200" w:lineRule="exact"/>
        <w:rPr>
          <w:sz w:val="20"/>
          <w:szCs w:val="20"/>
          <w:color w:val="auto"/>
        </w:rPr>
      </w:pPr>
    </w:p>
    <w:p>
      <w:pPr>
        <w:jc w:val="center"/>
        <w:ind w:left="1740"/>
        <w:spacing w:after="0"/>
        <w:rPr>
          <w:sz w:val="20"/>
          <w:szCs w:val="20"/>
          <w:color w:val="auto"/>
        </w:rPr>
      </w:pPr>
      <w:r>
        <w:rPr>
          <w:rFonts w:ascii="Arial" w:cs="Arial" w:eastAsia="Arial" w:hAnsi="Arial"/>
          <w:sz w:val="15"/>
          <w:szCs w:val="15"/>
          <w:color w:val="auto"/>
        </w:rPr>
        <w:t>/s/ Timothy J. Regan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709930</wp:posOffset>
            </wp:positionH>
            <wp:positionV relativeFrom="paragraph">
              <wp:posOffset>12065</wp:posOffset>
            </wp:positionV>
            <wp:extent cx="1890395" cy="698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78">
                      <a:extLst>
                        <a:ext uri="{28A0092B-C50C-407E-A947-70E740481C1C}"/>
                      </a:extLst>
                    </a:blip>
                    <a:srcRect/>
                    <a:stretch>
                      <a:fillRect/>
                    </a:stretch>
                  </pic:blipFill>
                  <pic:spPr bwMode="auto">
                    <a:xfrm>
                      <a:off x="0" y="0"/>
                      <a:ext cx="1890395" cy="6985"/>
                    </a:xfrm>
                    <a:prstGeom prst="rect">
                      <a:avLst/>
                    </a:prstGeom>
                    <a:noFill/>
                  </pic:spPr>
                </pic:pic>
              </a:graphicData>
            </a:graphic>
          </wp:anchor>
        </w:drawing>
      </w:r>
    </w:p>
    <w:p>
      <w:pPr>
        <w:jc w:val="center"/>
        <w:ind w:left="1740"/>
        <w:spacing w:after="0"/>
        <w:rPr>
          <w:sz w:val="20"/>
          <w:szCs w:val="20"/>
          <w:color w:val="auto"/>
        </w:rPr>
      </w:pPr>
      <w:r>
        <w:rPr>
          <w:rFonts w:ascii="Arial" w:cs="Arial" w:eastAsia="Arial" w:hAnsi="Arial"/>
          <w:sz w:val="15"/>
          <w:szCs w:val="15"/>
          <w:color w:val="auto"/>
        </w:rPr>
        <w:t>Timothy J. Regan</w:t>
      </w:r>
    </w:p>
    <w:p>
      <w:pPr>
        <w:spacing w:after="0" w:line="200" w:lineRule="exact"/>
        <w:rPr>
          <w:sz w:val="20"/>
          <w:szCs w:val="20"/>
          <w:color w:val="auto"/>
        </w:rPr>
      </w:pPr>
    </w:p>
    <w:p>
      <w:pPr>
        <w:jc w:val="center"/>
        <w:ind w:left="1740"/>
        <w:spacing w:after="0"/>
        <w:rPr>
          <w:sz w:val="20"/>
          <w:szCs w:val="20"/>
          <w:color w:val="auto"/>
        </w:rPr>
      </w:pPr>
      <w:r>
        <w:rPr>
          <w:rFonts w:ascii="Arial" w:cs="Arial" w:eastAsia="Arial" w:hAnsi="Arial"/>
          <w:sz w:val="15"/>
          <w:szCs w:val="15"/>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709930</wp:posOffset>
            </wp:positionH>
            <wp:positionV relativeFrom="paragraph">
              <wp:posOffset>12065</wp:posOffset>
            </wp:positionV>
            <wp:extent cx="1890395" cy="698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79">
                      <a:extLst>
                        <a:ext uri="{28A0092B-C50C-407E-A947-70E740481C1C}"/>
                      </a:extLst>
                    </a:blip>
                    <a:srcRect/>
                    <a:stretch>
                      <a:fillRect/>
                    </a:stretch>
                  </pic:blipFill>
                  <pic:spPr bwMode="auto">
                    <a:xfrm>
                      <a:off x="0" y="0"/>
                      <a:ext cx="1890395" cy="6985"/>
                    </a:xfrm>
                    <a:prstGeom prst="rect">
                      <a:avLst/>
                    </a:prstGeom>
                    <a:noFill/>
                  </pic:spPr>
                </pic:pic>
              </a:graphicData>
            </a:graphic>
          </wp:anchor>
        </w:drawing>
      </w:r>
    </w:p>
    <w:p>
      <w:pPr>
        <w:jc w:val="center"/>
        <w:ind w:left="1740"/>
        <w:spacing w:after="0"/>
        <w:rPr>
          <w:sz w:val="20"/>
          <w:szCs w:val="20"/>
          <w:color w:val="auto"/>
        </w:rPr>
      </w:pPr>
      <w:r>
        <w:rPr>
          <w:rFonts w:ascii="Arial" w:cs="Arial" w:eastAsia="Arial" w:hAnsi="Arial"/>
          <w:sz w:val="15"/>
          <w:szCs w:val="15"/>
          <w:color w:val="auto"/>
        </w:rPr>
        <w:t>Donald W. Blair</w:t>
      </w:r>
    </w:p>
    <w:p>
      <w:pPr>
        <w:spacing w:after="0" w:line="200" w:lineRule="exact"/>
        <w:rPr>
          <w:sz w:val="20"/>
          <w:szCs w:val="20"/>
          <w:color w:val="auto"/>
        </w:rPr>
      </w:pPr>
    </w:p>
    <w:p>
      <w:pPr>
        <w:jc w:val="center"/>
        <w:ind w:left="1740"/>
        <w:spacing w:after="0"/>
        <w:rPr>
          <w:sz w:val="20"/>
          <w:szCs w:val="20"/>
          <w:color w:val="auto"/>
        </w:rPr>
      </w:pPr>
      <w:r>
        <w:rPr>
          <w:rFonts w:ascii="Arial" w:cs="Arial" w:eastAsia="Arial" w:hAnsi="Arial"/>
          <w:sz w:val="15"/>
          <w:szCs w:val="15"/>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709930</wp:posOffset>
            </wp:positionH>
            <wp:positionV relativeFrom="paragraph">
              <wp:posOffset>12065</wp:posOffset>
            </wp:positionV>
            <wp:extent cx="1890395" cy="698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80">
                      <a:extLst>
                        <a:ext uri="{28A0092B-C50C-407E-A947-70E740481C1C}"/>
                      </a:extLst>
                    </a:blip>
                    <a:srcRect/>
                    <a:stretch>
                      <a:fillRect/>
                    </a:stretch>
                  </pic:blipFill>
                  <pic:spPr bwMode="auto">
                    <a:xfrm>
                      <a:off x="0" y="0"/>
                      <a:ext cx="1890395" cy="6985"/>
                    </a:xfrm>
                    <a:prstGeom prst="rect">
                      <a:avLst/>
                    </a:prstGeom>
                    <a:noFill/>
                  </pic:spPr>
                </pic:pic>
              </a:graphicData>
            </a:graphic>
          </wp:anchor>
        </w:drawing>
      </w:r>
    </w:p>
    <w:p>
      <w:pPr>
        <w:jc w:val="center"/>
        <w:ind w:left="1740"/>
        <w:spacing w:after="0"/>
        <w:rPr>
          <w:sz w:val="20"/>
          <w:szCs w:val="20"/>
          <w:color w:val="auto"/>
        </w:rPr>
      </w:pPr>
      <w:r>
        <w:rPr>
          <w:rFonts w:ascii="Arial" w:cs="Arial" w:eastAsia="Arial" w:hAnsi="Arial"/>
          <w:sz w:val="15"/>
          <w:szCs w:val="15"/>
          <w:color w:val="auto"/>
        </w:rPr>
        <w:t>Arash Ferdowsi</w:t>
      </w:r>
    </w:p>
    <w:p>
      <w:pPr>
        <w:spacing w:after="0" w:line="200" w:lineRule="exact"/>
        <w:rPr>
          <w:sz w:val="20"/>
          <w:szCs w:val="20"/>
          <w:color w:val="auto"/>
        </w:rPr>
      </w:pPr>
    </w:p>
    <w:p>
      <w:pPr>
        <w:jc w:val="center"/>
        <w:ind w:left="1740"/>
        <w:spacing w:after="0"/>
        <w:rPr>
          <w:sz w:val="20"/>
          <w:szCs w:val="20"/>
          <w:color w:val="auto"/>
        </w:rPr>
      </w:pPr>
      <w:r>
        <w:rPr>
          <w:rFonts w:ascii="Arial" w:cs="Arial" w:eastAsia="Arial" w:hAnsi="Arial"/>
          <w:sz w:val="15"/>
          <w:szCs w:val="15"/>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709930</wp:posOffset>
            </wp:positionH>
            <wp:positionV relativeFrom="paragraph">
              <wp:posOffset>12065</wp:posOffset>
            </wp:positionV>
            <wp:extent cx="1890395" cy="698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81">
                      <a:extLst>
                        <a:ext uri="{28A0092B-C50C-407E-A947-70E740481C1C}"/>
                      </a:extLst>
                    </a:blip>
                    <a:srcRect/>
                    <a:stretch>
                      <a:fillRect/>
                    </a:stretch>
                  </pic:blipFill>
                  <pic:spPr bwMode="auto">
                    <a:xfrm>
                      <a:off x="0" y="0"/>
                      <a:ext cx="1890395" cy="6985"/>
                    </a:xfrm>
                    <a:prstGeom prst="rect">
                      <a:avLst/>
                    </a:prstGeom>
                    <a:noFill/>
                  </pic:spPr>
                </pic:pic>
              </a:graphicData>
            </a:graphic>
          </wp:anchor>
        </w:drawing>
      </w:r>
    </w:p>
    <w:p>
      <w:pPr>
        <w:jc w:val="center"/>
        <w:ind w:left="1740"/>
        <w:spacing w:after="0"/>
        <w:rPr>
          <w:sz w:val="20"/>
          <w:szCs w:val="20"/>
          <w:color w:val="auto"/>
        </w:rPr>
      </w:pPr>
      <w:r>
        <w:rPr>
          <w:rFonts w:ascii="Arial" w:cs="Arial" w:eastAsia="Arial" w:hAnsi="Arial"/>
          <w:sz w:val="15"/>
          <w:szCs w:val="15"/>
          <w:color w:val="auto"/>
        </w:rPr>
        <w:t>Paul E. Jacobs</w:t>
      </w:r>
    </w:p>
    <w:p>
      <w:pPr>
        <w:spacing w:after="0" w:line="200" w:lineRule="exact"/>
        <w:rPr>
          <w:sz w:val="20"/>
          <w:szCs w:val="20"/>
          <w:color w:val="auto"/>
        </w:rPr>
      </w:pPr>
    </w:p>
    <w:p>
      <w:pPr>
        <w:jc w:val="center"/>
        <w:ind w:left="1740"/>
        <w:spacing w:after="0"/>
        <w:rPr>
          <w:sz w:val="20"/>
          <w:szCs w:val="20"/>
          <w:color w:val="auto"/>
        </w:rPr>
      </w:pPr>
      <w:r>
        <w:rPr>
          <w:rFonts w:ascii="Arial" w:cs="Arial" w:eastAsia="Arial" w:hAnsi="Arial"/>
          <w:sz w:val="15"/>
          <w:szCs w:val="15"/>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709930</wp:posOffset>
            </wp:positionH>
            <wp:positionV relativeFrom="paragraph">
              <wp:posOffset>12065</wp:posOffset>
            </wp:positionV>
            <wp:extent cx="1890395" cy="698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82">
                      <a:extLst>
                        <a:ext uri="{28A0092B-C50C-407E-A947-70E740481C1C}"/>
                      </a:extLst>
                    </a:blip>
                    <a:srcRect/>
                    <a:stretch>
                      <a:fillRect/>
                    </a:stretch>
                  </pic:blipFill>
                  <pic:spPr bwMode="auto">
                    <a:xfrm>
                      <a:off x="0" y="0"/>
                      <a:ext cx="1890395" cy="6985"/>
                    </a:xfrm>
                    <a:prstGeom prst="rect">
                      <a:avLst/>
                    </a:prstGeom>
                    <a:noFill/>
                  </pic:spPr>
                </pic:pic>
              </a:graphicData>
            </a:graphic>
          </wp:anchor>
        </w:drawing>
      </w:r>
    </w:p>
    <w:p>
      <w:pPr>
        <w:jc w:val="center"/>
        <w:ind w:left="1740"/>
        <w:spacing w:after="0"/>
        <w:rPr>
          <w:sz w:val="20"/>
          <w:szCs w:val="20"/>
          <w:color w:val="auto"/>
        </w:rPr>
      </w:pPr>
      <w:r>
        <w:rPr>
          <w:rFonts w:ascii="Arial" w:cs="Arial" w:eastAsia="Arial" w:hAnsi="Arial"/>
          <w:sz w:val="15"/>
          <w:szCs w:val="15"/>
          <w:color w:val="auto"/>
        </w:rPr>
        <w:t>Robert J. Mylod, Jr.</w:t>
      </w:r>
    </w:p>
    <w:p>
      <w:pPr>
        <w:spacing w:after="0" w:line="200" w:lineRule="exact"/>
        <w:rPr>
          <w:sz w:val="20"/>
          <w:szCs w:val="20"/>
          <w:color w:val="auto"/>
        </w:rPr>
      </w:pPr>
    </w:p>
    <w:p>
      <w:pPr>
        <w:jc w:val="center"/>
        <w:ind w:left="1740"/>
        <w:spacing w:after="0"/>
        <w:rPr>
          <w:sz w:val="20"/>
          <w:szCs w:val="20"/>
          <w:color w:val="auto"/>
        </w:rPr>
      </w:pPr>
      <w:r>
        <w:rPr>
          <w:rFonts w:ascii="Arial" w:cs="Arial" w:eastAsia="Arial" w:hAnsi="Arial"/>
          <w:sz w:val="15"/>
          <w:szCs w:val="15"/>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709930</wp:posOffset>
            </wp:positionH>
            <wp:positionV relativeFrom="paragraph">
              <wp:posOffset>12065</wp:posOffset>
            </wp:positionV>
            <wp:extent cx="1890395" cy="698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83">
                      <a:extLst>
                        <a:ext uri="{28A0092B-C50C-407E-A947-70E740481C1C}"/>
                      </a:extLst>
                    </a:blip>
                    <a:srcRect/>
                    <a:stretch>
                      <a:fillRect/>
                    </a:stretch>
                  </pic:blipFill>
                  <pic:spPr bwMode="auto">
                    <a:xfrm>
                      <a:off x="0" y="0"/>
                      <a:ext cx="1890395" cy="6985"/>
                    </a:xfrm>
                    <a:prstGeom prst="rect">
                      <a:avLst/>
                    </a:prstGeom>
                    <a:noFill/>
                  </pic:spPr>
                </pic:pic>
              </a:graphicData>
            </a:graphic>
          </wp:anchor>
        </w:drawing>
      </w:r>
    </w:p>
    <w:p>
      <w:pPr>
        <w:jc w:val="center"/>
        <w:ind w:left="1740"/>
        <w:spacing w:after="0"/>
        <w:rPr>
          <w:sz w:val="20"/>
          <w:szCs w:val="20"/>
          <w:color w:val="auto"/>
        </w:rPr>
      </w:pPr>
      <w:r>
        <w:rPr>
          <w:rFonts w:ascii="Arial" w:cs="Arial" w:eastAsia="Arial" w:hAnsi="Arial"/>
          <w:sz w:val="15"/>
          <w:szCs w:val="15"/>
          <w:color w:val="auto"/>
        </w:rPr>
        <w:t>Condoleezza Rice</w:t>
      </w:r>
    </w:p>
    <w:p>
      <w:pPr>
        <w:spacing w:after="0" w:line="200" w:lineRule="exact"/>
        <w:rPr>
          <w:sz w:val="20"/>
          <w:szCs w:val="20"/>
          <w:color w:val="auto"/>
        </w:rPr>
      </w:pPr>
    </w:p>
    <w:p>
      <w:pPr>
        <w:jc w:val="center"/>
        <w:ind w:left="1740"/>
        <w:spacing w:after="0"/>
        <w:rPr>
          <w:sz w:val="20"/>
          <w:szCs w:val="20"/>
          <w:color w:val="auto"/>
        </w:rPr>
      </w:pPr>
      <w:r>
        <w:rPr>
          <w:rFonts w:ascii="Arial" w:cs="Arial" w:eastAsia="Arial" w:hAnsi="Arial"/>
          <w:sz w:val="15"/>
          <w:szCs w:val="15"/>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709930</wp:posOffset>
            </wp:positionH>
            <wp:positionV relativeFrom="paragraph">
              <wp:posOffset>12065</wp:posOffset>
            </wp:positionV>
            <wp:extent cx="1890395" cy="698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84">
                      <a:extLst>
                        <a:ext uri="{28A0092B-C50C-407E-A947-70E740481C1C}"/>
                      </a:extLst>
                    </a:blip>
                    <a:srcRect/>
                    <a:stretch>
                      <a:fillRect/>
                    </a:stretch>
                  </pic:blipFill>
                  <pic:spPr bwMode="auto">
                    <a:xfrm>
                      <a:off x="0" y="0"/>
                      <a:ext cx="1890395" cy="6985"/>
                    </a:xfrm>
                    <a:prstGeom prst="rect">
                      <a:avLst/>
                    </a:prstGeom>
                    <a:noFill/>
                  </pic:spPr>
                </pic:pic>
              </a:graphicData>
            </a:graphic>
          </wp:anchor>
        </w:drawing>
      </w:r>
    </w:p>
    <w:p>
      <w:pPr>
        <w:jc w:val="center"/>
        <w:ind w:left="1740"/>
        <w:spacing w:after="0"/>
        <w:rPr>
          <w:sz w:val="20"/>
          <w:szCs w:val="20"/>
          <w:color w:val="auto"/>
        </w:rPr>
      </w:pPr>
      <w:r>
        <w:rPr>
          <w:rFonts w:ascii="Arial" w:cs="Arial" w:eastAsia="Arial" w:hAnsi="Arial"/>
          <w:sz w:val="15"/>
          <w:szCs w:val="15"/>
          <w:color w:val="auto"/>
        </w:rPr>
        <w:t>R. Bryan Schreier</w:t>
      </w:r>
    </w:p>
    <w:p>
      <w:pPr>
        <w:spacing w:after="0" w:line="200" w:lineRule="exact"/>
        <w:rPr>
          <w:sz w:val="20"/>
          <w:szCs w:val="20"/>
          <w:color w:val="auto"/>
        </w:rPr>
      </w:pPr>
    </w:p>
    <w:p>
      <w:pPr>
        <w:jc w:val="center"/>
        <w:ind w:left="1740"/>
        <w:spacing w:after="0"/>
        <w:rPr>
          <w:sz w:val="20"/>
          <w:szCs w:val="20"/>
          <w:color w:val="auto"/>
        </w:rPr>
      </w:pPr>
      <w:r>
        <w:rPr>
          <w:rFonts w:ascii="Arial" w:cs="Arial" w:eastAsia="Arial" w:hAnsi="Arial"/>
          <w:sz w:val="15"/>
          <w:szCs w:val="15"/>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709930</wp:posOffset>
            </wp:positionH>
            <wp:positionV relativeFrom="paragraph">
              <wp:posOffset>12065</wp:posOffset>
            </wp:positionV>
            <wp:extent cx="1890395" cy="698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85">
                      <a:extLst>
                        <a:ext uri="{28A0092B-C50C-407E-A947-70E740481C1C}"/>
                      </a:extLst>
                    </a:blip>
                    <a:srcRect/>
                    <a:stretch>
                      <a:fillRect/>
                    </a:stretch>
                  </pic:blipFill>
                  <pic:spPr bwMode="auto">
                    <a:xfrm>
                      <a:off x="0" y="0"/>
                      <a:ext cx="1890395" cy="6985"/>
                    </a:xfrm>
                    <a:prstGeom prst="rect">
                      <a:avLst/>
                    </a:prstGeom>
                    <a:noFill/>
                  </pic:spPr>
                </pic:pic>
              </a:graphicData>
            </a:graphic>
          </wp:anchor>
        </w:drawing>
      </w:r>
    </w:p>
    <w:p>
      <w:pPr>
        <w:jc w:val="center"/>
        <w:ind w:left="1740"/>
        <w:spacing w:after="0"/>
        <w:rPr>
          <w:sz w:val="20"/>
          <w:szCs w:val="20"/>
          <w:color w:val="auto"/>
        </w:rPr>
      </w:pPr>
      <w:r>
        <w:rPr>
          <w:rFonts w:ascii="Arial" w:cs="Arial" w:eastAsia="Arial" w:hAnsi="Arial"/>
          <w:sz w:val="14"/>
          <w:szCs w:val="14"/>
          <w:color w:val="auto"/>
        </w:rPr>
        <w:t>Margaret C. Whitman</w:t>
      </w:r>
    </w:p>
    <w:p>
      <w:pPr>
        <w:spacing w:after="0" w:line="211" w:lineRule="exact"/>
        <w:rPr>
          <w:sz w:val="20"/>
          <w:szCs w:val="20"/>
          <w:color w:val="auto"/>
        </w:rPr>
      </w:pPr>
    </w:p>
    <w:p>
      <w:pPr>
        <w:ind w:left="1980" w:right="240" w:hanging="870"/>
        <w:spacing w:after="0" w:line="315" w:lineRule="auto"/>
        <w:rPr>
          <w:sz w:val="20"/>
          <w:szCs w:val="20"/>
          <w:color w:val="auto"/>
        </w:rPr>
      </w:pPr>
      <w:r>
        <w:rPr>
          <w:rFonts w:ascii="Arial" w:cs="Arial" w:eastAsia="Arial" w:hAnsi="Arial"/>
          <w:sz w:val="13"/>
          <w:szCs w:val="13"/>
          <w:color w:val="auto"/>
        </w:rPr>
        <w:t>*By: /s/ Andrew W. Houston Andrew W. Houston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709930</wp:posOffset>
            </wp:positionH>
            <wp:positionV relativeFrom="paragraph">
              <wp:posOffset>-127000</wp:posOffset>
            </wp:positionV>
            <wp:extent cx="1890395" cy="698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86">
                      <a:extLst>
                        <a:ext uri="{28A0092B-C50C-407E-A947-70E740481C1C}"/>
                      </a:extLst>
                    </a:blip>
                    <a:srcRect/>
                    <a:stretch>
                      <a:fillRect/>
                    </a:stretch>
                  </pic:blipFill>
                  <pic:spPr bwMode="auto">
                    <a:xfrm>
                      <a:off x="0" y="0"/>
                      <a:ext cx="1890395" cy="6985"/>
                    </a:xfrm>
                    <a:prstGeom prst="rect">
                      <a:avLst/>
                    </a:prstGeom>
                    <a:noFill/>
                  </pic:spPr>
                </pic:pic>
              </a:graphicData>
            </a:graphic>
          </wp:anchor>
        </w:drawing>
      </w:r>
    </w:p>
    <w:p>
      <w:pPr>
        <w:ind w:left="2100"/>
        <w:spacing w:after="0"/>
        <w:rPr>
          <w:sz w:val="20"/>
          <w:szCs w:val="20"/>
          <w:color w:val="auto"/>
        </w:rPr>
      </w:pPr>
      <w:r>
        <w:rPr>
          <w:rFonts w:ascii="Arial" w:cs="Arial" w:eastAsia="Arial" w:hAnsi="Arial"/>
          <w:sz w:val="15"/>
          <w:szCs w:val="15"/>
          <w:color w:val="auto"/>
        </w:rPr>
        <w:t>Attorney-in-Fact</w:t>
      </w:r>
    </w:p>
    <w:p>
      <w:pPr>
        <w:spacing w:after="0" w:line="20" w:lineRule="exact"/>
        <w:rPr>
          <w:sz w:val="20"/>
          <w:szCs w:val="20"/>
          <w:color w:val="auto"/>
        </w:rPr>
      </w:pPr>
      <w:r>
        <w:rPr>
          <w:sz w:val="20"/>
          <w:szCs w:val="20"/>
          <w:color w:val="auto"/>
        </w:rPr>
        <w:br w:type="column"/>
      </w:r>
    </w:p>
    <w:p>
      <w:pPr>
        <w:spacing w:after="0" w:line="140" w:lineRule="exact"/>
        <w:rPr>
          <w:sz w:val="20"/>
          <w:szCs w:val="20"/>
          <w:color w:val="auto"/>
        </w:rPr>
      </w:pPr>
    </w:p>
    <w:p>
      <w:pPr>
        <w:ind w:left="2020"/>
        <w:spacing w:after="0"/>
        <w:rPr>
          <w:sz w:val="20"/>
          <w:szCs w:val="20"/>
          <w:color w:val="auto"/>
        </w:rPr>
      </w:pPr>
      <w:r>
        <w:rPr>
          <w:rFonts w:ascii="Arial" w:cs="Arial" w:eastAsia="Arial" w:hAnsi="Arial"/>
          <w:sz w:val="12"/>
          <w:szCs w:val="12"/>
          <w:b w:val="1"/>
          <w:bCs w:val="1"/>
          <w:u w:val="single" w:color="auto"/>
          <w:color w:val="auto"/>
        </w:rPr>
        <w:t>Title</w:t>
      </w:r>
    </w:p>
    <w:p>
      <w:pPr>
        <w:spacing w:after="0" w:line="176" w:lineRule="exact"/>
        <w:rPr>
          <w:sz w:val="20"/>
          <w:szCs w:val="20"/>
          <w:color w:val="auto"/>
        </w:rPr>
      </w:pPr>
    </w:p>
    <w:p>
      <w:pPr>
        <w:spacing w:after="0"/>
        <w:rPr>
          <w:sz w:val="20"/>
          <w:szCs w:val="20"/>
          <w:color w:val="auto"/>
        </w:rPr>
      </w:pPr>
      <w:r>
        <w:rPr>
          <w:rFonts w:ascii="Arial" w:cs="Arial" w:eastAsia="Arial" w:hAnsi="Arial"/>
          <w:sz w:val="13"/>
          <w:szCs w:val="13"/>
          <w:color w:val="auto"/>
        </w:rPr>
        <w:t>Chief Executive Officer and Chairman</w:t>
      </w:r>
    </w:p>
    <w:p>
      <w:pPr>
        <w:spacing w:after="0" w:line="40"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(Principal Executive Officer)</w:t>
      </w:r>
    </w:p>
    <w:p>
      <w:pPr>
        <w:spacing w:after="0" w:line="201" w:lineRule="exact"/>
        <w:rPr>
          <w:sz w:val="20"/>
          <w:szCs w:val="20"/>
          <w:color w:val="auto"/>
        </w:rPr>
      </w:pPr>
    </w:p>
    <w:p>
      <w:pPr>
        <w:spacing w:after="0"/>
        <w:rPr>
          <w:sz w:val="20"/>
          <w:szCs w:val="20"/>
          <w:color w:val="auto"/>
        </w:rPr>
      </w:pPr>
      <w:r>
        <w:rPr>
          <w:rFonts w:ascii="Arial" w:cs="Arial" w:eastAsia="Arial" w:hAnsi="Arial"/>
          <w:sz w:val="15"/>
          <w:szCs w:val="15"/>
          <w:color w:val="auto"/>
        </w:rPr>
        <w:t>Chief Financial Officer</w:t>
      </w:r>
    </w:p>
    <w:p>
      <w:pPr>
        <w:spacing w:after="0" w:line="17"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(Principal Financial Officer)</w:t>
      </w:r>
    </w:p>
    <w:p>
      <w:pPr>
        <w:spacing w:after="0" w:line="201" w:lineRule="exact"/>
        <w:rPr>
          <w:sz w:val="20"/>
          <w:szCs w:val="20"/>
          <w:color w:val="auto"/>
        </w:rPr>
      </w:pPr>
    </w:p>
    <w:p>
      <w:pPr>
        <w:spacing w:after="0"/>
        <w:rPr>
          <w:sz w:val="20"/>
          <w:szCs w:val="20"/>
          <w:color w:val="auto"/>
        </w:rPr>
      </w:pPr>
      <w:r>
        <w:rPr>
          <w:rFonts w:ascii="Arial" w:cs="Arial" w:eastAsia="Arial" w:hAnsi="Arial"/>
          <w:sz w:val="15"/>
          <w:szCs w:val="15"/>
          <w:color w:val="auto"/>
        </w:rPr>
        <w:t>Chief Accounting Officer</w:t>
      </w:r>
    </w:p>
    <w:p>
      <w:pPr>
        <w:spacing w:after="0" w:line="17"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(Principal Accounting Officer)</w:t>
      </w:r>
    </w:p>
    <w:p>
      <w:pPr>
        <w:spacing w:after="0" w:line="292" w:lineRule="exact"/>
        <w:rPr>
          <w:sz w:val="20"/>
          <w:szCs w:val="20"/>
          <w:color w:val="auto"/>
        </w:rPr>
      </w:pPr>
    </w:p>
    <w:p>
      <w:pPr>
        <w:spacing w:after="0"/>
        <w:rPr>
          <w:sz w:val="20"/>
          <w:szCs w:val="20"/>
          <w:color w:val="auto"/>
        </w:rPr>
      </w:pPr>
      <w:r>
        <w:rPr>
          <w:rFonts w:ascii="Arial" w:cs="Arial" w:eastAsia="Arial" w:hAnsi="Arial"/>
          <w:sz w:val="15"/>
          <w:szCs w:val="15"/>
          <w:color w:val="auto"/>
        </w:rPr>
        <w:t>Director</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5"/>
          <w:szCs w:val="15"/>
          <w:color w:val="auto"/>
        </w:rPr>
        <w:t>Director</w:t>
      </w:r>
    </w:p>
    <w:p>
      <w:pPr>
        <w:spacing w:after="0" w:line="391" w:lineRule="exact"/>
        <w:rPr>
          <w:sz w:val="20"/>
          <w:szCs w:val="20"/>
          <w:color w:val="auto"/>
        </w:rPr>
      </w:pPr>
    </w:p>
    <w:p>
      <w:pPr>
        <w:spacing w:after="0"/>
        <w:rPr>
          <w:sz w:val="20"/>
          <w:szCs w:val="20"/>
          <w:color w:val="auto"/>
        </w:rPr>
      </w:pPr>
      <w:r>
        <w:rPr>
          <w:rFonts w:ascii="Arial" w:cs="Arial" w:eastAsia="Arial" w:hAnsi="Arial"/>
          <w:sz w:val="15"/>
          <w:szCs w:val="15"/>
          <w:color w:val="auto"/>
        </w:rPr>
        <w:t>Director</w:t>
      </w:r>
    </w:p>
    <w:p>
      <w:pPr>
        <w:spacing w:after="0" w:line="391" w:lineRule="exact"/>
        <w:rPr>
          <w:sz w:val="20"/>
          <w:szCs w:val="20"/>
          <w:color w:val="auto"/>
        </w:rPr>
      </w:pPr>
    </w:p>
    <w:p>
      <w:pPr>
        <w:spacing w:after="0"/>
        <w:rPr>
          <w:sz w:val="20"/>
          <w:szCs w:val="20"/>
          <w:color w:val="auto"/>
        </w:rPr>
      </w:pPr>
      <w:r>
        <w:rPr>
          <w:rFonts w:ascii="Arial" w:cs="Arial" w:eastAsia="Arial" w:hAnsi="Arial"/>
          <w:sz w:val="15"/>
          <w:szCs w:val="15"/>
          <w:color w:val="auto"/>
        </w:rPr>
        <w:t>Director</w:t>
      </w:r>
    </w:p>
    <w:p>
      <w:pPr>
        <w:spacing w:after="0" w:line="391" w:lineRule="exact"/>
        <w:rPr>
          <w:sz w:val="20"/>
          <w:szCs w:val="20"/>
          <w:color w:val="auto"/>
        </w:rPr>
      </w:pPr>
    </w:p>
    <w:p>
      <w:pPr>
        <w:spacing w:after="0"/>
        <w:rPr>
          <w:sz w:val="20"/>
          <w:szCs w:val="20"/>
          <w:color w:val="auto"/>
        </w:rPr>
      </w:pPr>
      <w:r>
        <w:rPr>
          <w:rFonts w:ascii="Arial" w:cs="Arial" w:eastAsia="Arial" w:hAnsi="Arial"/>
          <w:sz w:val="15"/>
          <w:szCs w:val="15"/>
          <w:color w:val="auto"/>
        </w:rPr>
        <w:t>Director</w:t>
      </w:r>
    </w:p>
    <w:p>
      <w:pPr>
        <w:spacing w:after="0" w:line="391" w:lineRule="exact"/>
        <w:rPr>
          <w:sz w:val="20"/>
          <w:szCs w:val="20"/>
          <w:color w:val="auto"/>
        </w:rPr>
      </w:pPr>
    </w:p>
    <w:p>
      <w:pPr>
        <w:spacing w:after="0"/>
        <w:rPr>
          <w:sz w:val="20"/>
          <w:szCs w:val="20"/>
          <w:color w:val="auto"/>
        </w:rPr>
      </w:pPr>
      <w:r>
        <w:rPr>
          <w:rFonts w:ascii="Arial" w:cs="Arial" w:eastAsia="Arial" w:hAnsi="Arial"/>
          <w:sz w:val="15"/>
          <w:szCs w:val="15"/>
          <w:color w:val="auto"/>
        </w:rPr>
        <w:t>Director</w:t>
      </w:r>
    </w:p>
    <w:p>
      <w:pPr>
        <w:spacing w:after="0" w:line="391" w:lineRule="exact"/>
        <w:rPr>
          <w:sz w:val="20"/>
          <w:szCs w:val="20"/>
          <w:color w:val="auto"/>
        </w:rPr>
      </w:pPr>
    </w:p>
    <w:p>
      <w:pPr>
        <w:spacing w:after="0"/>
        <w:rPr>
          <w:sz w:val="20"/>
          <w:szCs w:val="20"/>
          <w:color w:val="auto"/>
        </w:rPr>
      </w:pPr>
      <w:r>
        <w:rPr>
          <w:rFonts w:ascii="Arial" w:cs="Arial" w:eastAsia="Arial" w:hAnsi="Arial"/>
          <w:sz w:val="15"/>
          <w:szCs w:val="15"/>
          <w:color w:val="auto"/>
        </w:rPr>
        <w:t>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left="1420"/>
        <w:spacing w:after="0"/>
        <w:rPr>
          <w:sz w:val="20"/>
          <w:szCs w:val="20"/>
          <w:color w:val="auto"/>
        </w:rPr>
      </w:pPr>
      <w:r>
        <w:rPr>
          <w:rFonts w:ascii="Arial" w:cs="Arial" w:eastAsia="Arial" w:hAnsi="Arial"/>
          <w:sz w:val="15"/>
          <w:szCs w:val="15"/>
          <w:color w:val="auto"/>
        </w:rPr>
        <w:t>II-7</w:t>
      </w:r>
    </w:p>
    <w:p>
      <w:pPr>
        <w:spacing w:after="0" w:line="20" w:lineRule="exact"/>
        <w:rPr>
          <w:sz w:val="20"/>
          <w:szCs w:val="20"/>
          <w:color w:val="auto"/>
        </w:rPr>
      </w:pPr>
      <w:r>
        <w:rPr>
          <w:sz w:val="20"/>
          <w:szCs w:val="20"/>
          <w:color w:val="auto"/>
        </w:rPr>
        <w:br w:type="column"/>
      </w:r>
    </w:p>
    <w:p>
      <w:pPr>
        <w:spacing w:after="0" w:line="140" w:lineRule="exact"/>
        <w:rPr>
          <w:sz w:val="20"/>
          <w:szCs w:val="20"/>
          <w:color w:val="auto"/>
        </w:rPr>
      </w:pPr>
    </w:p>
    <w:p>
      <w:pPr>
        <w:ind w:left="360"/>
        <w:spacing w:after="0"/>
        <w:rPr>
          <w:sz w:val="20"/>
          <w:szCs w:val="20"/>
          <w:color w:val="auto"/>
        </w:rPr>
      </w:pPr>
      <w:r>
        <w:rPr>
          <w:rFonts w:ascii="Arial" w:cs="Arial" w:eastAsia="Arial" w:hAnsi="Arial"/>
          <w:sz w:val="12"/>
          <w:szCs w:val="12"/>
          <w:b w:val="1"/>
          <w:bCs w:val="1"/>
          <w:u w:val="single" w:color="auto"/>
          <w:color w:val="auto"/>
        </w:rPr>
        <w:t>Date</w:t>
      </w:r>
    </w:p>
    <w:p>
      <w:pPr>
        <w:spacing w:after="0" w:line="277" w:lineRule="exact"/>
        <w:rPr>
          <w:sz w:val="20"/>
          <w:szCs w:val="20"/>
          <w:color w:val="auto"/>
        </w:rPr>
      </w:pPr>
    </w:p>
    <w:p>
      <w:pPr>
        <w:spacing w:after="0"/>
        <w:rPr>
          <w:sz w:val="20"/>
          <w:szCs w:val="20"/>
          <w:color w:val="auto"/>
        </w:rPr>
      </w:pPr>
      <w:r>
        <w:rPr>
          <w:rFonts w:ascii="Arial" w:cs="Arial" w:eastAsia="Arial" w:hAnsi="Arial"/>
          <w:sz w:val="13"/>
          <w:szCs w:val="13"/>
          <w:color w:val="auto"/>
        </w:rPr>
        <w:t>March 21, 2018</w:t>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3"/>
          <w:szCs w:val="13"/>
          <w:color w:val="auto"/>
        </w:rPr>
        <w:t>March 21, 2018</w:t>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3"/>
          <w:szCs w:val="13"/>
          <w:color w:val="auto"/>
        </w:rPr>
        <w:t>March 21, 2018</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3"/>
          <w:szCs w:val="13"/>
          <w:color w:val="auto"/>
        </w:rPr>
        <w:t>March 21, 2018</w:t>
      </w: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13"/>
          <w:szCs w:val="13"/>
          <w:color w:val="auto"/>
        </w:rPr>
        <w:t>March 21, 2018</w:t>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3"/>
          <w:szCs w:val="13"/>
          <w:color w:val="auto"/>
        </w:rPr>
        <w:t>March 21, 2018</w:t>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3"/>
          <w:szCs w:val="13"/>
          <w:color w:val="auto"/>
        </w:rPr>
        <w:t>March 21, 2018</w:t>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3"/>
          <w:szCs w:val="13"/>
          <w:color w:val="auto"/>
        </w:rPr>
        <w:t>March 21, 2018</w:t>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3"/>
          <w:szCs w:val="13"/>
          <w:color w:val="auto"/>
        </w:rPr>
        <w:t>March 21, 2018</w:t>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3"/>
          <w:szCs w:val="13"/>
          <w:color w:val="auto"/>
        </w:rPr>
        <w:t>March 21, 2018</w:t>
      </w:r>
    </w:p>
    <w:p>
      <w:pPr>
        <w:sectPr>
          <w:pgSz w:w="11900" w:h="16838" w:orient="portrait"/>
          <w:cols w:equalWidth="0" w:num="3">
            <w:col w:w="3460" w:space="720"/>
            <w:col w:w="4100" w:space="720"/>
            <w:col w:w="1219"/>
          </w:cols>
          <w:pgMar w:left="240" w:top="408" w:right="1440" w:bottom="1440" w:gutter="0" w:footer="0" w:header="0"/>
          <w:type w:val="continuous"/>
        </w:sectPr>
      </w:pPr>
    </w:p>
    <w:bookmarkStart w:id="248" w:name="page249"/>
    <w:bookmarkEnd w:id="248"/>
    <w:p>
      <w:pPr>
        <w:jc w:val="right"/>
        <w:spacing w:after="0"/>
        <w:rPr>
          <w:sz w:val="20"/>
          <w:szCs w:val="20"/>
          <w:color w:val="auto"/>
        </w:rPr>
      </w:pPr>
      <w:r>
        <w:rPr>
          <w:rFonts w:ascii="Arial" w:cs="Arial" w:eastAsia="Arial" w:hAnsi="Arial"/>
          <w:sz w:val="15"/>
          <w:szCs w:val="15"/>
          <w:b w:val="1"/>
          <w:bCs w:val="1"/>
          <w:color w:val="auto"/>
        </w:rPr>
        <w:t>Exhibit 10.2</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DROPBOX, INC.</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2018 EQUITY INCENTIVE PLAN</w:t>
      </w:r>
    </w:p>
    <w:p>
      <w:pPr>
        <w:spacing w:after="0" w:line="192" w:lineRule="exact"/>
        <w:rPr>
          <w:sz w:val="20"/>
          <w:szCs w:val="20"/>
          <w:color w:val="auto"/>
        </w:rPr>
      </w:pPr>
    </w:p>
    <w:p>
      <w:pPr>
        <w:ind w:left="720" w:hanging="272"/>
        <w:spacing w:after="0"/>
        <w:tabs>
          <w:tab w:leader="none" w:pos="720" w:val="left"/>
        </w:tabs>
        <w:numPr>
          <w:ilvl w:val="0"/>
          <w:numId w:val="122"/>
        </w:numPr>
        <w:rPr>
          <w:rFonts w:ascii="Arial" w:cs="Arial" w:eastAsia="Arial" w:hAnsi="Arial"/>
          <w:sz w:val="15"/>
          <w:szCs w:val="15"/>
          <w:color w:val="auto"/>
        </w:rPr>
      </w:pPr>
      <w:r>
        <w:rPr>
          <w:rFonts w:ascii="Arial" w:cs="Arial" w:eastAsia="Arial" w:hAnsi="Arial"/>
          <w:sz w:val="15"/>
          <w:szCs w:val="15"/>
          <w:u w:val="single" w:color="auto"/>
          <w:color w:val="auto"/>
        </w:rPr>
        <w:t>Purposes of the Plan</w:t>
      </w:r>
      <w:r>
        <w:rPr>
          <w:rFonts w:ascii="Arial" w:cs="Arial" w:eastAsia="Arial" w:hAnsi="Arial"/>
          <w:sz w:val="15"/>
          <w:szCs w:val="15"/>
          <w:color w:val="auto"/>
        </w:rPr>
        <w:t>. The purposes of this Plan are:</w:t>
      </w:r>
    </w:p>
    <w:p>
      <w:pPr>
        <w:spacing w:after="0" w:line="109" w:lineRule="exact"/>
        <w:rPr>
          <w:rFonts w:ascii="Arial" w:cs="Arial" w:eastAsia="Arial" w:hAnsi="Arial"/>
          <w:sz w:val="15"/>
          <w:szCs w:val="15"/>
          <w:color w:val="auto"/>
        </w:rPr>
      </w:pPr>
    </w:p>
    <w:p>
      <w:pPr>
        <w:ind w:left="1460" w:hanging="443"/>
        <w:spacing w:after="0"/>
        <w:tabs>
          <w:tab w:leader="none" w:pos="1460" w:val="left"/>
        </w:tabs>
        <w:numPr>
          <w:ilvl w:val="1"/>
          <w:numId w:val="122"/>
        </w:numPr>
        <w:rPr>
          <w:rFonts w:ascii="Arial" w:cs="Arial" w:eastAsia="Arial" w:hAnsi="Arial"/>
          <w:sz w:val="15"/>
          <w:szCs w:val="15"/>
          <w:color w:val="auto"/>
        </w:rPr>
      </w:pPr>
      <w:r>
        <w:rPr>
          <w:rFonts w:ascii="Arial" w:cs="Arial" w:eastAsia="Arial" w:hAnsi="Arial"/>
          <w:sz w:val="15"/>
          <w:szCs w:val="15"/>
          <w:color w:val="auto"/>
        </w:rPr>
        <w:t>to attract and retain the best available personnel for positions of substantial responsibility,</w:t>
      </w:r>
    </w:p>
    <w:p>
      <w:pPr>
        <w:spacing w:after="0" w:line="109" w:lineRule="exact"/>
        <w:rPr>
          <w:rFonts w:ascii="Arial" w:cs="Arial" w:eastAsia="Arial" w:hAnsi="Arial"/>
          <w:sz w:val="15"/>
          <w:szCs w:val="15"/>
          <w:color w:val="auto"/>
        </w:rPr>
      </w:pPr>
    </w:p>
    <w:p>
      <w:pPr>
        <w:ind w:left="1460" w:hanging="443"/>
        <w:spacing w:after="0"/>
        <w:tabs>
          <w:tab w:leader="none" w:pos="1460" w:val="left"/>
        </w:tabs>
        <w:numPr>
          <w:ilvl w:val="1"/>
          <w:numId w:val="122"/>
        </w:numPr>
        <w:rPr>
          <w:rFonts w:ascii="Arial" w:cs="Arial" w:eastAsia="Arial" w:hAnsi="Arial"/>
          <w:sz w:val="15"/>
          <w:szCs w:val="15"/>
          <w:color w:val="auto"/>
        </w:rPr>
      </w:pPr>
      <w:r>
        <w:rPr>
          <w:rFonts w:ascii="Arial" w:cs="Arial" w:eastAsia="Arial" w:hAnsi="Arial"/>
          <w:sz w:val="15"/>
          <w:szCs w:val="15"/>
          <w:color w:val="auto"/>
        </w:rPr>
        <w:t>to provide additional incentive to Employees, Directors and Consultants, and</w:t>
      </w:r>
    </w:p>
    <w:p>
      <w:pPr>
        <w:spacing w:after="0" w:line="109" w:lineRule="exact"/>
        <w:rPr>
          <w:rFonts w:ascii="Arial" w:cs="Arial" w:eastAsia="Arial" w:hAnsi="Arial"/>
          <w:sz w:val="15"/>
          <w:szCs w:val="15"/>
          <w:color w:val="auto"/>
        </w:rPr>
      </w:pPr>
    </w:p>
    <w:p>
      <w:pPr>
        <w:ind w:left="1460" w:hanging="443"/>
        <w:spacing w:after="0"/>
        <w:tabs>
          <w:tab w:leader="none" w:pos="1460" w:val="left"/>
        </w:tabs>
        <w:numPr>
          <w:ilvl w:val="1"/>
          <w:numId w:val="122"/>
        </w:numPr>
        <w:rPr>
          <w:rFonts w:ascii="Arial" w:cs="Arial" w:eastAsia="Arial" w:hAnsi="Arial"/>
          <w:sz w:val="15"/>
          <w:szCs w:val="15"/>
          <w:color w:val="auto"/>
        </w:rPr>
      </w:pPr>
      <w:r>
        <w:rPr>
          <w:rFonts w:ascii="Arial" w:cs="Arial" w:eastAsia="Arial" w:hAnsi="Arial"/>
          <w:sz w:val="15"/>
          <w:szCs w:val="15"/>
          <w:color w:val="auto"/>
        </w:rPr>
        <w:t>to promote the success of the Company’s business.</w:t>
      </w:r>
    </w:p>
    <w:p>
      <w:pPr>
        <w:spacing w:after="0" w:line="188" w:lineRule="exact"/>
        <w:rPr>
          <w:sz w:val="20"/>
          <w:szCs w:val="20"/>
          <w:color w:val="auto"/>
        </w:rPr>
      </w:pPr>
    </w:p>
    <w:p>
      <w:pPr>
        <w:ind w:right="160" w:firstLine="916"/>
        <w:spacing w:after="0" w:line="275" w:lineRule="auto"/>
        <w:rPr>
          <w:sz w:val="20"/>
          <w:szCs w:val="20"/>
          <w:color w:val="auto"/>
        </w:rPr>
      </w:pPr>
      <w:r>
        <w:rPr>
          <w:rFonts w:ascii="Arial" w:cs="Arial" w:eastAsia="Arial" w:hAnsi="Arial"/>
          <w:sz w:val="15"/>
          <w:szCs w:val="15"/>
          <w:color w:val="auto"/>
        </w:rPr>
        <w:t>The Plan permits the grant of Incentive Stock Options, Nonstatutory Stock Options, Restricted Stock, Restricted Stock Units, Stock Appreciation Rights, Performance Units and Performance Shares.</w:t>
      </w:r>
    </w:p>
    <w:p>
      <w:pPr>
        <w:spacing w:after="0" w:line="146" w:lineRule="exact"/>
        <w:rPr>
          <w:sz w:val="20"/>
          <w:szCs w:val="20"/>
          <w:color w:val="auto"/>
        </w:rPr>
      </w:pPr>
    </w:p>
    <w:p>
      <w:pPr>
        <w:ind w:left="720" w:hanging="272"/>
        <w:spacing w:after="0"/>
        <w:tabs>
          <w:tab w:leader="none" w:pos="720" w:val="left"/>
        </w:tabs>
        <w:numPr>
          <w:ilvl w:val="0"/>
          <w:numId w:val="123"/>
        </w:numPr>
        <w:rPr>
          <w:rFonts w:ascii="Arial" w:cs="Arial" w:eastAsia="Arial" w:hAnsi="Arial"/>
          <w:sz w:val="15"/>
          <w:szCs w:val="15"/>
          <w:color w:val="auto"/>
        </w:rPr>
      </w:pPr>
      <w:r>
        <w:rPr>
          <w:rFonts w:ascii="Arial" w:cs="Arial" w:eastAsia="Arial" w:hAnsi="Arial"/>
          <w:sz w:val="15"/>
          <w:szCs w:val="15"/>
          <w:u w:val="single" w:color="auto"/>
          <w:color w:val="auto"/>
        </w:rPr>
        <w:t>Definitions</w:t>
      </w:r>
      <w:r>
        <w:rPr>
          <w:rFonts w:ascii="Arial" w:cs="Arial" w:eastAsia="Arial" w:hAnsi="Arial"/>
          <w:sz w:val="15"/>
          <w:szCs w:val="15"/>
          <w:color w:val="auto"/>
        </w:rPr>
        <w:t>. As used herein, the following definitions will apply:</w:t>
      </w:r>
    </w:p>
    <w:p>
      <w:pPr>
        <w:spacing w:after="0" w:line="188" w:lineRule="exact"/>
        <w:rPr>
          <w:rFonts w:ascii="Arial" w:cs="Arial" w:eastAsia="Arial" w:hAnsi="Arial"/>
          <w:sz w:val="15"/>
          <w:szCs w:val="15"/>
          <w:color w:val="auto"/>
        </w:rPr>
      </w:pPr>
    </w:p>
    <w:p>
      <w:pPr>
        <w:ind w:left="1220" w:hanging="314"/>
        <w:spacing w:after="0"/>
        <w:tabs>
          <w:tab w:leader="none" w:pos="1220" w:val="left"/>
        </w:tabs>
        <w:numPr>
          <w:ilvl w:val="1"/>
          <w:numId w:val="123"/>
        </w:numPr>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Administrator</w:t>
      </w:r>
      <w:r>
        <w:rPr>
          <w:rFonts w:ascii="Arial" w:cs="Arial" w:eastAsia="Arial" w:hAnsi="Arial"/>
          <w:sz w:val="15"/>
          <w:szCs w:val="15"/>
          <w:color w:val="auto"/>
        </w:rPr>
        <w:t>” means the Board or any of its Committees as will be administering the Plan, in accordance with Section 4 of the Plan.</w:t>
      </w:r>
    </w:p>
    <w:p>
      <w:pPr>
        <w:spacing w:after="0" w:line="188" w:lineRule="exact"/>
        <w:rPr>
          <w:rFonts w:ascii="Arial" w:cs="Arial" w:eastAsia="Arial" w:hAnsi="Arial"/>
          <w:sz w:val="15"/>
          <w:szCs w:val="15"/>
          <w:color w:val="auto"/>
        </w:rPr>
      </w:pPr>
    </w:p>
    <w:p>
      <w:pPr>
        <w:ind w:right="260" w:firstLine="906"/>
        <w:spacing w:after="0" w:line="290" w:lineRule="auto"/>
        <w:tabs>
          <w:tab w:leader="none" w:pos="1241" w:val="left"/>
        </w:tabs>
        <w:numPr>
          <w:ilvl w:val="1"/>
          <w:numId w:val="123"/>
        </w:numPr>
        <w:rPr>
          <w:rFonts w:ascii="Arial" w:cs="Arial" w:eastAsia="Arial" w:hAnsi="Arial"/>
          <w:sz w:val="14"/>
          <w:szCs w:val="14"/>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Applicable Laws</w:t>
      </w:r>
      <w:r>
        <w:rPr>
          <w:rFonts w:ascii="Arial" w:cs="Arial" w:eastAsia="Arial" w:hAnsi="Arial"/>
          <w:sz w:val="14"/>
          <w:szCs w:val="14"/>
          <w:color w:val="auto"/>
        </w:rPr>
        <w:t>” means the legal and regulatory requirements relating to the administration of equity-based awards and the related issuance of Shares thereunder, including but not limited to U.S. federal and state corporate laws, U.S. federal and state securities laws, the Code, any stock exchange or quotation system on which the Common Stock is listed or quoted and the applicable laws of any non-U.S. country or jurisdiction where Awards are, or will be, granted under the Plan.</w:t>
      </w:r>
    </w:p>
    <w:p>
      <w:pPr>
        <w:spacing w:after="0" w:line="138" w:lineRule="exact"/>
        <w:rPr>
          <w:rFonts w:ascii="Arial" w:cs="Arial" w:eastAsia="Arial" w:hAnsi="Arial"/>
          <w:sz w:val="14"/>
          <w:szCs w:val="14"/>
          <w:color w:val="auto"/>
        </w:rPr>
      </w:pPr>
    </w:p>
    <w:p>
      <w:pPr>
        <w:ind w:right="140" w:firstLine="906"/>
        <w:spacing w:after="0" w:line="275" w:lineRule="auto"/>
        <w:tabs>
          <w:tab w:leader="none" w:pos="1233" w:val="left"/>
        </w:tabs>
        <w:numPr>
          <w:ilvl w:val="1"/>
          <w:numId w:val="123"/>
        </w:numPr>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Award</w:t>
      </w:r>
      <w:r>
        <w:rPr>
          <w:rFonts w:ascii="Arial" w:cs="Arial" w:eastAsia="Arial" w:hAnsi="Arial"/>
          <w:sz w:val="15"/>
          <w:szCs w:val="15"/>
          <w:color w:val="auto"/>
        </w:rPr>
        <w:t>” means, individually or collectively, a grant under the Plan of Options, Stock Appreciation Rights, Restricted Stock, Restricted Stock Units, Performance Units or Performance Shares.</w:t>
      </w:r>
    </w:p>
    <w:p>
      <w:pPr>
        <w:spacing w:after="0" w:line="146" w:lineRule="exact"/>
        <w:rPr>
          <w:rFonts w:ascii="Arial" w:cs="Arial" w:eastAsia="Arial" w:hAnsi="Arial"/>
          <w:sz w:val="15"/>
          <w:szCs w:val="15"/>
          <w:color w:val="auto"/>
        </w:rPr>
      </w:pPr>
    </w:p>
    <w:p>
      <w:pPr>
        <w:ind w:right="440" w:firstLine="906"/>
        <w:spacing w:after="0" w:line="275" w:lineRule="auto"/>
        <w:tabs>
          <w:tab w:leader="none" w:pos="1241" w:val="left"/>
        </w:tabs>
        <w:numPr>
          <w:ilvl w:val="1"/>
          <w:numId w:val="123"/>
        </w:numPr>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Award Agreement</w:t>
      </w:r>
      <w:r>
        <w:rPr>
          <w:rFonts w:ascii="Arial" w:cs="Arial" w:eastAsia="Arial" w:hAnsi="Arial"/>
          <w:sz w:val="15"/>
          <w:szCs w:val="15"/>
          <w:color w:val="auto"/>
        </w:rPr>
        <w:t>” means the written or electronic agreement setting forth the terms and provisions applicable to each Award granted under the Plan. The Award Agreement is subject to the terms and conditions of the Plan.</w:t>
      </w:r>
    </w:p>
    <w:p>
      <w:pPr>
        <w:spacing w:after="0" w:line="146" w:lineRule="exact"/>
        <w:rPr>
          <w:rFonts w:ascii="Arial" w:cs="Arial" w:eastAsia="Arial" w:hAnsi="Arial"/>
          <w:sz w:val="15"/>
          <w:szCs w:val="15"/>
          <w:color w:val="auto"/>
        </w:rPr>
      </w:pPr>
    </w:p>
    <w:p>
      <w:pPr>
        <w:ind w:left="1220" w:hanging="314"/>
        <w:spacing w:after="0"/>
        <w:tabs>
          <w:tab w:leader="none" w:pos="1220" w:val="left"/>
        </w:tabs>
        <w:numPr>
          <w:ilvl w:val="1"/>
          <w:numId w:val="123"/>
        </w:numPr>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Board</w:t>
      </w:r>
      <w:r>
        <w:rPr>
          <w:rFonts w:ascii="Arial" w:cs="Arial" w:eastAsia="Arial" w:hAnsi="Arial"/>
          <w:sz w:val="15"/>
          <w:szCs w:val="15"/>
          <w:color w:val="auto"/>
        </w:rPr>
        <w:t>” means the Board of Directors of the Company.</w:t>
      </w:r>
    </w:p>
    <w:p>
      <w:pPr>
        <w:spacing w:after="0" w:line="188" w:lineRule="exact"/>
        <w:rPr>
          <w:rFonts w:ascii="Arial" w:cs="Arial" w:eastAsia="Arial" w:hAnsi="Arial"/>
          <w:sz w:val="15"/>
          <w:szCs w:val="15"/>
          <w:color w:val="auto"/>
        </w:rPr>
      </w:pPr>
    </w:p>
    <w:p>
      <w:pPr>
        <w:ind w:left="1200" w:hanging="294"/>
        <w:spacing w:after="0"/>
        <w:tabs>
          <w:tab w:leader="none" w:pos="1200" w:val="left"/>
        </w:tabs>
        <w:numPr>
          <w:ilvl w:val="1"/>
          <w:numId w:val="123"/>
        </w:numPr>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Change in Control</w:t>
      </w:r>
      <w:r>
        <w:rPr>
          <w:rFonts w:ascii="Arial" w:cs="Arial" w:eastAsia="Arial" w:hAnsi="Arial"/>
          <w:sz w:val="15"/>
          <w:szCs w:val="15"/>
          <w:color w:val="auto"/>
        </w:rPr>
        <w:t>” means the occurrence of any of the following events:</w:t>
      </w:r>
    </w:p>
    <w:p>
      <w:pPr>
        <w:spacing w:after="0" w:line="188" w:lineRule="exact"/>
        <w:rPr>
          <w:rFonts w:ascii="Arial" w:cs="Arial" w:eastAsia="Arial" w:hAnsi="Arial"/>
          <w:sz w:val="15"/>
          <w:szCs w:val="15"/>
          <w:color w:val="auto"/>
        </w:rPr>
      </w:pPr>
    </w:p>
    <w:p>
      <w:pPr>
        <w:ind w:right="260" w:firstLine="1478"/>
        <w:spacing w:after="0" w:line="263" w:lineRule="auto"/>
        <w:tabs>
          <w:tab w:leader="none" w:pos="1772" w:val="left"/>
        </w:tabs>
        <w:numPr>
          <w:ilvl w:val="2"/>
          <w:numId w:val="123"/>
        </w:numPr>
        <w:rPr>
          <w:rFonts w:ascii="Arial" w:cs="Arial" w:eastAsia="Arial" w:hAnsi="Arial"/>
          <w:sz w:val="15"/>
          <w:szCs w:val="15"/>
          <w:color w:val="auto"/>
        </w:rPr>
      </w:pPr>
      <w:r>
        <w:rPr>
          <w:rFonts w:ascii="Arial" w:cs="Arial" w:eastAsia="Arial" w:hAnsi="Arial"/>
          <w:sz w:val="15"/>
          <w:szCs w:val="15"/>
          <w:color w:val="auto"/>
        </w:rPr>
        <w:t>A change in the ownership of the Company which occurs on the date that any one person, or more than one person acting as a group (“</w:t>
      </w:r>
      <w:r>
        <w:rPr>
          <w:rFonts w:ascii="Arial" w:cs="Arial" w:eastAsia="Arial" w:hAnsi="Arial"/>
          <w:sz w:val="15"/>
          <w:szCs w:val="15"/>
          <w:u w:val="single" w:color="auto"/>
          <w:color w:val="auto"/>
        </w:rPr>
        <w:t>Person</w:t>
      </w:r>
      <w:r>
        <w:rPr>
          <w:rFonts w:ascii="Arial" w:cs="Arial" w:eastAsia="Arial" w:hAnsi="Arial"/>
          <w:sz w:val="15"/>
          <w:szCs w:val="15"/>
          <w:color w:val="auto"/>
        </w:rPr>
        <w:t>”), acquires ownership of the stock of the Company that, together with the stock held by such Person, constitutes more than fifty percent (50%) of the total voting power of the stock of the Company; provided, however, that for purposes of this subsection, (A) the acquisition of additional stock by any one Person, who is</w:t>
      </w:r>
    </w:p>
    <w:p>
      <w:pPr>
        <w:sectPr>
          <w:pgSz w:w="11900" w:h="16838" w:orient="portrait"/>
          <w:cols w:equalWidth="0" w:num="1">
            <w:col w:w="11440"/>
          </w:cols>
          <w:pgMar w:left="240" w:top="125" w:right="219" w:bottom="1440" w:gutter="0" w:footer="0" w:header="0"/>
        </w:sectPr>
      </w:pPr>
    </w:p>
    <w:bookmarkStart w:id="249" w:name="page250"/>
    <w:bookmarkEnd w:id="249"/>
    <w:p>
      <w:pPr>
        <w:ind w:right="40"/>
        <w:spacing w:after="0" w:line="277" w:lineRule="auto"/>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133350</wp:posOffset>
            </wp:positionH>
            <wp:positionV relativeFrom="page">
              <wp:posOffset>88900</wp:posOffset>
            </wp:positionV>
            <wp:extent cx="7308850" cy="34290"/>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87">
                      <a:extLst>
                        <a:ext uri="{28A0092B-C50C-407E-A947-70E740481C1C}"/>
                      </a:extLst>
                    </a:blip>
                    <a:srcRect/>
                    <a:stretch>
                      <a:fillRect/>
                    </a:stretch>
                  </pic:blipFill>
                  <pic:spPr bwMode="auto">
                    <a:xfrm>
                      <a:off x="0" y="0"/>
                      <a:ext cx="7308850" cy="34290"/>
                    </a:xfrm>
                    <a:prstGeom prst="rect">
                      <a:avLst/>
                    </a:prstGeom>
                    <a:noFill/>
                  </pic:spPr>
                </pic:pic>
              </a:graphicData>
            </a:graphic>
          </wp:anchor>
        </w:drawing>
        <w:t>considered to own more than fifty percent (50%) of the total voting power of the stock of the Company will not be considered a Change in Control, and (B) if the stockholders of the Company immediately before such change in ownership continue to retain immediately after the change in ownership, in substantially the same proportions as their ownership of shares of the Company’s voting stock immediately prior to the change in ownership, the direct or indirect beneficial ownership of fifty percent (50%) or more of the total voting power of the stock of the Company or of the ultimate parent entity of the Company, such event will not be considered a Change in Control under this subsection (i). For this purpose, indirect beneficial ownership will include, without limitation, an interest resulting from ownership of the voting securities of one or more corporations or other business entities which own the Company, as the case may be, either directly or through one or more subsidiary corporations or other business entities; or</w:t>
      </w:r>
    </w:p>
    <w:p>
      <w:pPr>
        <w:spacing w:after="0" w:line="148" w:lineRule="exact"/>
        <w:rPr>
          <w:sz w:val="20"/>
          <w:szCs w:val="20"/>
          <w:color w:val="auto"/>
        </w:rPr>
      </w:pPr>
    </w:p>
    <w:p>
      <w:pPr>
        <w:ind w:right="20" w:firstLine="1478"/>
        <w:spacing w:after="0" w:line="259" w:lineRule="auto"/>
        <w:tabs>
          <w:tab w:leader="none" w:pos="1814" w:val="left"/>
        </w:tabs>
        <w:numPr>
          <w:ilvl w:val="0"/>
          <w:numId w:val="124"/>
        </w:numPr>
        <w:rPr>
          <w:rFonts w:ascii="Arial" w:cs="Arial" w:eastAsia="Arial" w:hAnsi="Arial"/>
          <w:sz w:val="15"/>
          <w:szCs w:val="15"/>
          <w:color w:val="auto"/>
        </w:rPr>
      </w:pPr>
      <w:r>
        <w:rPr>
          <w:rFonts w:ascii="Arial" w:cs="Arial" w:eastAsia="Arial" w:hAnsi="Arial"/>
          <w:sz w:val="15"/>
          <w:szCs w:val="15"/>
          <w:color w:val="auto"/>
        </w:rPr>
        <w:t>A change in the effective control of the Company which occurs on the date that a majority of members of the Board is replaced during any twelve (12)-month period by Directors whose appointment or election is not endorsed by a majority of the members of the Board prior to the date of the appointment or election. For purposes of this subsection (ii), if any Person is considered to be in effective control of the Company, the acquisition of additional control of the Company by the same Person will not be considered a Change in Control; or</w:t>
      </w:r>
    </w:p>
    <w:p>
      <w:pPr>
        <w:spacing w:after="0" w:line="157" w:lineRule="exact"/>
        <w:rPr>
          <w:rFonts w:ascii="Arial" w:cs="Arial" w:eastAsia="Arial" w:hAnsi="Arial"/>
          <w:sz w:val="15"/>
          <w:szCs w:val="15"/>
          <w:color w:val="auto"/>
        </w:rPr>
      </w:pPr>
    </w:p>
    <w:p>
      <w:pPr>
        <w:ind w:right="80" w:firstLine="1478"/>
        <w:spacing w:after="0" w:line="297" w:lineRule="auto"/>
        <w:tabs>
          <w:tab w:leader="none" w:pos="1855" w:val="left"/>
        </w:tabs>
        <w:numPr>
          <w:ilvl w:val="0"/>
          <w:numId w:val="124"/>
        </w:numPr>
        <w:rPr>
          <w:rFonts w:ascii="Arial" w:cs="Arial" w:eastAsia="Arial" w:hAnsi="Arial"/>
          <w:sz w:val="13"/>
          <w:szCs w:val="13"/>
          <w:color w:val="auto"/>
        </w:rPr>
      </w:pPr>
      <w:r>
        <w:rPr>
          <w:rFonts w:ascii="Arial" w:cs="Arial" w:eastAsia="Arial" w:hAnsi="Arial"/>
          <w:sz w:val="13"/>
          <w:szCs w:val="13"/>
          <w:color w:val="auto"/>
        </w:rPr>
        <w:t>A change in the ownership of a substantial portion of the Company’s assets which occurs on the date that any Person acquires (or has acquired during the twelve (12)-month period ending on the date of the most recent acquisition by such person or persons) assets from the Company that have a total gross fair market value equal to or more than fifty percent (50%) of the total gross fair market value of all of the assets of the Company immediately prior to such acquisition or acquisitions; provided, however, that for purposes of this subsection (iii), the following will not constitute a change in the ownership of a substantial portion of the Company’s assets: (A) a transfer to an entity that is controlled by the Company’s stockholders immediately after the transfer, or (B) a transfer of assets by the Company to: (1) a stockholder of the Company (immediately before the asset transfer) in exchange for or with respect to the Company’s stock, (2) an entity, fifty percent (50%) or more of the total value or voting power of which is owned, directly or indirectly, by the Company, (3) a Person, that owns, directly or indirectly, fifty percent (50%) or more of the total value or voting power of all the outstanding stock of the Company, or (4) an entity, at least fifty percent (50%) of the total value or voting power of which is owned, directly or indirectly, by a Person described in this subsection (iii)(B)(3). For purposes of this subsection (iii), gross fair market value means the value of the assets of the Company, or the value of the assets being disposed of, determined without regard to any liabilities associated with such assets.</w:t>
      </w:r>
    </w:p>
    <w:p>
      <w:pPr>
        <w:spacing w:after="0" w:line="140" w:lineRule="exact"/>
        <w:rPr>
          <w:sz w:val="20"/>
          <w:szCs w:val="20"/>
          <w:color w:val="auto"/>
        </w:rPr>
      </w:pPr>
    </w:p>
    <w:p>
      <w:pPr>
        <w:ind w:right="500" w:firstLine="1488"/>
        <w:spacing w:after="0" w:line="275" w:lineRule="auto"/>
        <w:rPr>
          <w:sz w:val="20"/>
          <w:szCs w:val="20"/>
          <w:color w:val="auto"/>
        </w:rPr>
      </w:pPr>
      <w:r>
        <w:rPr>
          <w:rFonts w:ascii="Arial" w:cs="Arial" w:eastAsia="Arial" w:hAnsi="Arial"/>
          <w:sz w:val="15"/>
          <w:szCs w:val="15"/>
          <w:color w:val="auto"/>
        </w:rPr>
        <w:t>For purposes of this definition, persons will be considered to be acting as a group if they are owners of a corporation that enters into a merger, consolidation, purchase or acquisition of stock, or similar business transaction with the Company.</w:t>
      </w:r>
    </w:p>
    <w:p>
      <w:pPr>
        <w:spacing w:after="0" w:line="146" w:lineRule="exact"/>
        <w:rPr>
          <w:sz w:val="20"/>
          <w:szCs w:val="20"/>
          <w:color w:val="auto"/>
        </w:rPr>
      </w:pPr>
    </w:p>
    <w:p>
      <w:pPr>
        <w:jc w:val="right"/>
        <w:spacing w:after="0"/>
        <w:rPr>
          <w:sz w:val="20"/>
          <w:szCs w:val="20"/>
          <w:color w:val="auto"/>
        </w:rPr>
      </w:pPr>
      <w:r>
        <w:rPr>
          <w:rFonts w:ascii="Arial" w:cs="Arial" w:eastAsia="Arial" w:hAnsi="Arial"/>
          <w:sz w:val="15"/>
          <w:szCs w:val="15"/>
          <w:color w:val="auto"/>
        </w:rPr>
        <w:t>Notwithstanding the foregoing, a transaction will not be deemed a Change in Control unless the transaction qualifies as a change in control event within the meaning</w:t>
      </w:r>
    </w:p>
    <w:p>
      <w:pPr>
        <w:spacing w:after="0" w:line="17" w:lineRule="exact"/>
        <w:rPr>
          <w:sz w:val="20"/>
          <w:szCs w:val="20"/>
          <w:color w:val="auto"/>
        </w:rPr>
      </w:pPr>
    </w:p>
    <w:p>
      <w:pPr>
        <w:spacing w:after="0"/>
        <w:rPr>
          <w:sz w:val="20"/>
          <w:szCs w:val="20"/>
          <w:color w:val="auto"/>
        </w:rPr>
      </w:pPr>
      <w:r>
        <w:rPr>
          <w:rFonts w:ascii="Arial" w:cs="Arial" w:eastAsia="Arial" w:hAnsi="Arial"/>
          <w:sz w:val="15"/>
          <w:szCs w:val="15"/>
          <w:color w:val="auto"/>
        </w:rPr>
        <w:t>of Section 409A.</w:t>
      </w:r>
    </w:p>
    <w:p>
      <w:pPr>
        <w:spacing w:after="0" w:line="123"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-2-</w:t>
      </w:r>
    </w:p>
    <w:p>
      <w:pPr>
        <w:sectPr>
          <w:pgSz w:w="11900" w:h="16838" w:orient="portrait"/>
          <w:cols w:equalWidth="0" w:num="1">
            <w:col w:w="11400"/>
          </w:cols>
          <w:pgMar w:left="240" w:top="253" w:right="259" w:bottom="1440" w:gutter="0" w:footer="0" w:header="0"/>
        </w:sectPr>
      </w:pPr>
    </w:p>
    <w:bookmarkStart w:id="250" w:name="page251"/>
    <w:bookmarkEnd w:id="250"/>
    <w:p>
      <w:pPr>
        <w:ind w:right="100" w:firstLine="1488"/>
        <w:spacing w:after="0" w:line="263"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133350</wp:posOffset>
            </wp:positionH>
            <wp:positionV relativeFrom="page">
              <wp:posOffset>88900</wp:posOffset>
            </wp:positionV>
            <wp:extent cx="7308850" cy="34290"/>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88">
                      <a:extLst>
                        <a:ext uri="{28A0092B-C50C-407E-A947-70E740481C1C}"/>
                      </a:extLst>
                    </a:blip>
                    <a:srcRect/>
                    <a:stretch>
                      <a:fillRect/>
                    </a:stretch>
                  </pic:blipFill>
                  <pic:spPr bwMode="auto">
                    <a:xfrm>
                      <a:off x="0" y="0"/>
                      <a:ext cx="7308850" cy="34290"/>
                    </a:xfrm>
                    <a:prstGeom prst="rect">
                      <a:avLst/>
                    </a:prstGeom>
                    <a:noFill/>
                  </pic:spPr>
                </pic:pic>
              </a:graphicData>
            </a:graphic>
          </wp:anchor>
        </w:drawing>
        <w:t>Further and for the avoidance of doubt, a transaction will not constitute a Change in Control if: (i) its sole purpose is to change the state of the Company’s incorporation, or (ii) its sole purpose is to create a holding company that will be owned in substantially the same proportions by the persons who held the Company’s securities immediately before such transaction.</w:t>
      </w:r>
    </w:p>
    <w:p>
      <w:pPr>
        <w:spacing w:after="0" w:line="155" w:lineRule="exact"/>
        <w:rPr>
          <w:sz w:val="20"/>
          <w:szCs w:val="20"/>
          <w:color w:val="auto"/>
        </w:rPr>
      </w:pPr>
    </w:p>
    <w:p>
      <w:pPr>
        <w:ind w:right="120" w:firstLine="906"/>
        <w:spacing w:after="0" w:line="263" w:lineRule="auto"/>
        <w:tabs>
          <w:tab w:leader="none" w:pos="1241" w:val="left"/>
        </w:tabs>
        <w:numPr>
          <w:ilvl w:val="0"/>
          <w:numId w:val="125"/>
        </w:numPr>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Code</w:t>
      </w:r>
      <w:r>
        <w:rPr>
          <w:rFonts w:ascii="Arial" w:cs="Arial" w:eastAsia="Arial" w:hAnsi="Arial"/>
          <w:sz w:val="15"/>
          <w:szCs w:val="15"/>
          <w:color w:val="auto"/>
        </w:rPr>
        <w:t>” means the Internal Revenue Code of 1986, as amended. Reference to a specific section of the Code or regulation thereunder will include such section or regulation, any valid regulation promulgated under such section, and any comparable provision of any future legislation or regulation amending, supplementing or superseding such section or regulation.</w:t>
      </w:r>
    </w:p>
    <w:p>
      <w:pPr>
        <w:spacing w:after="0" w:line="154" w:lineRule="exact"/>
        <w:rPr>
          <w:rFonts w:ascii="Arial" w:cs="Arial" w:eastAsia="Arial" w:hAnsi="Arial"/>
          <w:sz w:val="15"/>
          <w:szCs w:val="15"/>
          <w:color w:val="auto"/>
        </w:rPr>
      </w:pPr>
    </w:p>
    <w:p>
      <w:pPr>
        <w:ind w:firstLine="906"/>
        <w:spacing w:after="0" w:line="275" w:lineRule="auto"/>
        <w:tabs>
          <w:tab w:leader="none" w:pos="1241" w:val="left"/>
        </w:tabs>
        <w:numPr>
          <w:ilvl w:val="0"/>
          <w:numId w:val="125"/>
        </w:numPr>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Committee</w:t>
      </w:r>
      <w:r>
        <w:rPr>
          <w:rFonts w:ascii="Arial" w:cs="Arial" w:eastAsia="Arial" w:hAnsi="Arial"/>
          <w:sz w:val="15"/>
          <w:szCs w:val="15"/>
          <w:color w:val="auto"/>
        </w:rPr>
        <w:t>” means a committee of Directors or of other individuals satisfying Applicable Laws appointed by the Board, or a duly authorized committee of the Board, in accordance with Section 4 hereof.</w:t>
      </w:r>
    </w:p>
    <w:p>
      <w:pPr>
        <w:spacing w:after="0" w:line="146" w:lineRule="exact"/>
        <w:rPr>
          <w:rFonts w:ascii="Arial" w:cs="Arial" w:eastAsia="Arial" w:hAnsi="Arial"/>
          <w:sz w:val="15"/>
          <w:szCs w:val="15"/>
          <w:color w:val="auto"/>
        </w:rPr>
      </w:pPr>
    </w:p>
    <w:p>
      <w:pPr>
        <w:ind w:left="1200" w:hanging="294"/>
        <w:spacing w:after="0"/>
        <w:tabs>
          <w:tab w:leader="none" w:pos="1200" w:val="left"/>
        </w:tabs>
        <w:numPr>
          <w:ilvl w:val="0"/>
          <w:numId w:val="125"/>
        </w:numPr>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Common Stock</w:t>
      </w:r>
      <w:r>
        <w:rPr>
          <w:rFonts w:ascii="Arial" w:cs="Arial" w:eastAsia="Arial" w:hAnsi="Arial"/>
          <w:sz w:val="15"/>
          <w:szCs w:val="15"/>
          <w:color w:val="auto"/>
        </w:rPr>
        <w:t>” means the Class A common stock of the Company.</w:t>
      </w:r>
    </w:p>
    <w:p>
      <w:pPr>
        <w:spacing w:after="0" w:line="188" w:lineRule="exact"/>
        <w:rPr>
          <w:rFonts w:ascii="Arial" w:cs="Arial" w:eastAsia="Arial" w:hAnsi="Arial"/>
          <w:sz w:val="15"/>
          <w:szCs w:val="15"/>
          <w:color w:val="auto"/>
        </w:rPr>
      </w:pPr>
    </w:p>
    <w:p>
      <w:pPr>
        <w:ind w:left="1200" w:hanging="294"/>
        <w:spacing w:after="0"/>
        <w:tabs>
          <w:tab w:leader="none" w:pos="1200" w:val="left"/>
        </w:tabs>
        <w:numPr>
          <w:ilvl w:val="0"/>
          <w:numId w:val="125"/>
        </w:numPr>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Company</w:t>
      </w:r>
      <w:r>
        <w:rPr>
          <w:rFonts w:ascii="Arial" w:cs="Arial" w:eastAsia="Arial" w:hAnsi="Arial"/>
          <w:sz w:val="15"/>
          <w:szCs w:val="15"/>
          <w:color w:val="auto"/>
        </w:rPr>
        <w:t>” means Dropbox, Inc., a Delaware corporation, or any successor thereto.</w:t>
      </w:r>
    </w:p>
    <w:p>
      <w:pPr>
        <w:spacing w:after="0" w:line="188" w:lineRule="exact"/>
        <w:rPr>
          <w:rFonts w:ascii="Arial" w:cs="Arial" w:eastAsia="Arial" w:hAnsi="Arial"/>
          <w:sz w:val="15"/>
          <w:szCs w:val="15"/>
          <w:color w:val="auto"/>
        </w:rPr>
      </w:pPr>
    </w:p>
    <w:p>
      <w:pPr>
        <w:jc w:val="both"/>
        <w:ind w:right="40" w:firstLine="906"/>
        <w:spacing w:after="0" w:line="259" w:lineRule="auto"/>
        <w:tabs>
          <w:tab w:leader="none" w:pos="1241" w:val="left"/>
        </w:tabs>
        <w:numPr>
          <w:ilvl w:val="0"/>
          <w:numId w:val="125"/>
        </w:numPr>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Consultant</w:t>
      </w:r>
      <w:r>
        <w:rPr>
          <w:rFonts w:ascii="Arial" w:cs="Arial" w:eastAsia="Arial" w:hAnsi="Arial"/>
          <w:sz w:val="15"/>
          <w:szCs w:val="15"/>
          <w:color w:val="auto"/>
        </w:rPr>
        <w:t>” means any natural person, including an advisor, engaged by the Company or a Parent or Subsidiary to render bona fide services to such entity, provided the services (i) are not in connection with the offer or sale of securities in a capital-raising transaction, and (ii) do not directly promote or maintain a market for the Company’s securities, in each case, within the meaning of Form S-8 promulgated under the Securities Act, and provided, further, that a Consultant will include only those persons to whom the issuance of Shares may be registered under Form S-8 promulgated under the Securities Act.</w:t>
      </w:r>
    </w:p>
    <w:p>
      <w:pPr>
        <w:spacing w:after="0" w:line="157" w:lineRule="exact"/>
        <w:rPr>
          <w:rFonts w:ascii="Arial" w:cs="Arial" w:eastAsia="Arial" w:hAnsi="Arial"/>
          <w:sz w:val="15"/>
          <w:szCs w:val="15"/>
          <w:color w:val="auto"/>
        </w:rPr>
      </w:pPr>
    </w:p>
    <w:p>
      <w:pPr>
        <w:ind w:left="1200" w:hanging="294"/>
        <w:spacing w:after="0"/>
        <w:tabs>
          <w:tab w:leader="none" w:pos="1200" w:val="left"/>
        </w:tabs>
        <w:numPr>
          <w:ilvl w:val="0"/>
          <w:numId w:val="125"/>
        </w:numPr>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Director</w:t>
      </w:r>
      <w:r>
        <w:rPr>
          <w:rFonts w:ascii="Arial" w:cs="Arial" w:eastAsia="Arial" w:hAnsi="Arial"/>
          <w:sz w:val="15"/>
          <w:szCs w:val="15"/>
          <w:color w:val="auto"/>
        </w:rPr>
        <w:t>” means a member of the Board.</w:t>
      </w:r>
    </w:p>
    <w:p>
      <w:pPr>
        <w:spacing w:after="0" w:line="188" w:lineRule="exact"/>
        <w:rPr>
          <w:rFonts w:ascii="Arial" w:cs="Arial" w:eastAsia="Arial" w:hAnsi="Arial"/>
          <w:sz w:val="15"/>
          <w:szCs w:val="15"/>
          <w:color w:val="auto"/>
        </w:rPr>
      </w:pPr>
    </w:p>
    <w:p>
      <w:pPr>
        <w:ind w:right="20" w:firstLine="906"/>
        <w:spacing w:after="0" w:line="263" w:lineRule="auto"/>
        <w:tabs>
          <w:tab w:leader="none" w:pos="1283" w:val="left"/>
        </w:tabs>
        <w:numPr>
          <w:ilvl w:val="0"/>
          <w:numId w:val="125"/>
        </w:numPr>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Disability</w:t>
      </w:r>
      <w:r>
        <w:rPr>
          <w:rFonts w:ascii="Arial" w:cs="Arial" w:eastAsia="Arial" w:hAnsi="Arial"/>
          <w:sz w:val="15"/>
          <w:szCs w:val="15"/>
          <w:color w:val="auto"/>
        </w:rPr>
        <w:t>” means total and permanent disability as defined in Section 22(e)(3) of the Code, provided that in the case of Awards other than Incentive Stock Options, the Administrator in its discretion may determine whether a permanent and total disability exists in accordance with uniform and non-discriminatory standards adopted by the Administrator from time to time.</w:t>
      </w:r>
    </w:p>
    <w:p>
      <w:pPr>
        <w:spacing w:after="0" w:line="154" w:lineRule="exact"/>
        <w:rPr>
          <w:rFonts w:ascii="Arial" w:cs="Arial" w:eastAsia="Arial" w:hAnsi="Arial"/>
          <w:sz w:val="15"/>
          <w:szCs w:val="15"/>
          <w:color w:val="auto"/>
        </w:rPr>
      </w:pPr>
    </w:p>
    <w:p>
      <w:pPr>
        <w:ind w:right="140" w:firstLine="906"/>
        <w:spacing w:after="0" w:line="275" w:lineRule="auto"/>
        <w:tabs>
          <w:tab w:leader="none" w:pos="1241" w:val="left"/>
        </w:tabs>
        <w:numPr>
          <w:ilvl w:val="0"/>
          <w:numId w:val="125"/>
        </w:numPr>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Employee</w:t>
      </w:r>
      <w:r>
        <w:rPr>
          <w:rFonts w:ascii="Arial" w:cs="Arial" w:eastAsia="Arial" w:hAnsi="Arial"/>
          <w:sz w:val="15"/>
          <w:szCs w:val="15"/>
          <w:color w:val="auto"/>
        </w:rPr>
        <w:t>” means any person, including Officers and Directors, employed by the Company or any Parent or Subsidiary of the Company. Neither service as a Director nor payment of a director’s fee by the Company will be sufficient to constitute “employment” by the Company.</w:t>
      </w:r>
    </w:p>
    <w:p>
      <w:pPr>
        <w:spacing w:after="0" w:line="146" w:lineRule="exact"/>
        <w:rPr>
          <w:rFonts w:ascii="Arial" w:cs="Arial" w:eastAsia="Arial" w:hAnsi="Arial"/>
          <w:sz w:val="15"/>
          <w:szCs w:val="15"/>
          <w:color w:val="auto"/>
        </w:rPr>
      </w:pPr>
    </w:p>
    <w:p>
      <w:pPr>
        <w:ind w:left="1240" w:hanging="334"/>
        <w:spacing w:after="0"/>
        <w:tabs>
          <w:tab w:leader="none" w:pos="1240" w:val="left"/>
        </w:tabs>
        <w:numPr>
          <w:ilvl w:val="0"/>
          <w:numId w:val="125"/>
        </w:numPr>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Exchange Act</w:t>
      </w:r>
      <w:r>
        <w:rPr>
          <w:rFonts w:ascii="Arial" w:cs="Arial" w:eastAsia="Arial" w:hAnsi="Arial"/>
          <w:sz w:val="15"/>
          <w:szCs w:val="15"/>
          <w:color w:val="auto"/>
        </w:rPr>
        <w:t>” means the Securities Exchange Act of 1934, as amended.</w:t>
      </w:r>
    </w:p>
    <w:p>
      <w:pPr>
        <w:spacing w:after="0" w:line="188" w:lineRule="exact"/>
        <w:rPr>
          <w:rFonts w:ascii="Arial" w:cs="Arial" w:eastAsia="Arial" w:hAnsi="Arial"/>
          <w:sz w:val="15"/>
          <w:szCs w:val="15"/>
          <w:color w:val="auto"/>
        </w:rPr>
      </w:pPr>
    </w:p>
    <w:p>
      <w:pPr>
        <w:ind w:right="80" w:firstLine="906"/>
        <w:spacing w:after="0" w:line="259" w:lineRule="auto"/>
        <w:tabs>
          <w:tab w:leader="none" w:pos="1241" w:val="left"/>
        </w:tabs>
        <w:numPr>
          <w:ilvl w:val="0"/>
          <w:numId w:val="125"/>
        </w:numPr>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Exchange Program</w:t>
      </w:r>
      <w:r>
        <w:rPr>
          <w:rFonts w:ascii="Arial" w:cs="Arial" w:eastAsia="Arial" w:hAnsi="Arial"/>
          <w:sz w:val="15"/>
          <w:szCs w:val="15"/>
          <w:color w:val="auto"/>
        </w:rPr>
        <w:t>” means a program under which (i) outstanding Awards are surrendered or cancelled in exchange for awards of the same type (which may have higher or lower exercise prices and different terms), awards of a different type, and/or cash, (ii) Participants would have the opportunity to transfer any outstanding Awards to a financial institution or other person or entity selected by the Administrator, and/or (iii) the exercise price of an outstanding Award is increased or reduced. The Administrator will determine the terms and conditions of any Exchange Program in its sole discretion.</w:t>
      </w:r>
    </w:p>
    <w:p>
      <w:pPr>
        <w:spacing w:after="0" w:line="10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-3-</w:t>
      </w:r>
    </w:p>
    <w:p>
      <w:pPr>
        <w:sectPr>
          <w:pgSz w:w="11900" w:h="16838" w:orient="portrait"/>
          <w:cols w:equalWidth="0" w:num="1">
            <w:col w:w="11420"/>
          </w:cols>
          <w:pgMar w:left="240" w:top="253" w:right="239" w:bottom="1440" w:gutter="0" w:footer="0" w:header="0"/>
        </w:sectPr>
      </w:pPr>
    </w:p>
    <w:bookmarkStart w:id="251" w:name="page252"/>
    <w:bookmarkEnd w:id="251"/>
    <w:p>
      <w:pPr>
        <w:ind w:left="1240" w:hanging="334"/>
        <w:spacing w:after="0"/>
        <w:tabs>
          <w:tab w:leader="none" w:pos="1240" w:val="left"/>
        </w:tabs>
        <w:numPr>
          <w:ilvl w:val="0"/>
          <w:numId w:val="126"/>
        </w:numPr>
        <w:rPr>
          <w:rFonts w:ascii="Arial" w:cs="Arial" w:eastAsia="Arial" w:hAnsi="Arial"/>
          <w:sz w:val="15"/>
          <w:szCs w:val="15"/>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133350</wp:posOffset>
            </wp:positionH>
            <wp:positionV relativeFrom="page">
              <wp:posOffset>88900</wp:posOffset>
            </wp:positionV>
            <wp:extent cx="7308850" cy="34290"/>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89">
                      <a:extLst>
                        <a:ext uri="{28A0092B-C50C-407E-A947-70E740481C1C}"/>
                      </a:extLst>
                    </a:blip>
                    <a:srcRect/>
                    <a:stretch>
                      <a:fillRect/>
                    </a:stretch>
                  </pic:blipFill>
                  <pic:spPr bwMode="auto">
                    <a:xfrm>
                      <a:off x="0" y="0"/>
                      <a:ext cx="7308850" cy="34290"/>
                    </a:xfrm>
                    <a:prstGeom prst="rect">
                      <a:avLst/>
                    </a:prstGeom>
                    <a:noFill/>
                  </pic:spPr>
                </pic:pic>
              </a:graphicData>
            </a:graphic>
          </wp:anchor>
        </w:drawing>
        <w:t>“</w:t>
      </w:r>
      <w:r>
        <w:rPr>
          <w:rFonts w:ascii="Arial" w:cs="Arial" w:eastAsia="Arial" w:hAnsi="Arial"/>
          <w:sz w:val="15"/>
          <w:szCs w:val="15"/>
          <w:u w:val="single" w:color="auto"/>
          <w:color w:val="auto"/>
        </w:rPr>
        <w:t>Fair Market Value</w:t>
      </w:r>
      <w:r>
        <w:rPr>
          <w:rFonts w:ascii="Arial" w:cs="Arial" w:eastAsia="Arial" w:hAnsi="Arial"/>
          <w:sz w:val="15"/>
          <w:szCs w:val="15"/>
          <w:color w:val="auto"/>
        </w:rPr>
        <w:t>” means, as of any date, the value of Common Stock determined as follows:</w:t>
      </w:r>
    </w:p>
    <w:p>
      <w:pPr>
        <w:spacing w:after="0" w:line="188" w:lineRule="exact"/>
        <w:rPr>
          <w:rFonts w:ascii="Arial" w:cs="Arial" w:eastAsia="Arial" w:hAnsi="Arial"/>
          <w:sz w:val="15"/>
          <w:szCs w:val="15"/>
          <w:color w:val="auto"/>
        </w:rPr>
      </w:pPr>
    </w:p>
    <w:p>
      <w:pPr>
        <w:ind w:right="300" w:firstLine="1478"/>
        <w:spacing w:after="0" w:line="354" w:lineRule="auto"/>
        <w:tabs>
          <w:tab w:leader="none" w:pos="1780" w:val="left"/>
        </w:tabs>
        <w:numPr>
          <w:ilvl w:val="1"/>
          <w:numId w:val="126"/>
        </w:numPr>
        <w:rPr>
          <w:rFonts w:ascii="Arial" w:cs="Arial" w:eastAsia="Arial" w:hAnsi="Arial"/>
          <w:sz w:val="13"/>
          <w:szCs w:val="13"/>
          <w:color w:val="auto"/>
        </w:rPr>
      </w:pPr>
      <w:r>
        <w:rPr>
          <w:rFonts w:ascii="Arial" w:cs="Arial" w:eastAsia="Arial" w:hAnsi="Arial"/>
          <w:sz w:val="13"/>
          <w:szCs w:val="13"/>
          <w:color w:val="auto"/>
        </w:rPr>
        <w:t>For purposes of any Awards granted on the Registration Date, the Fair Market Value will be the initial price to the public as set forth in the final prospectus included within the registration statement in Form S-1 filed with the Securities and Exchange Commission for the initial public offering of the Company’s Common Stock.</w:t>
      </w:r>
    </w:p>
    <w:p>
      <w:pPr>
        <w:spacing w:after="0" w:line="100" w:lineRule="exact"/>
        <w:rPr>
          <w:rFonts w:ascii="Arial" w:cs="Arial" w:eastAsia="Arial" w:hAnsi="Arial"/>
          <w:sz w:val="13"/>
          <w:szCs w:val="13"/>
          <w:color w:val="auto"/>
        </w:rPr>
      </w:pPr>
    </w:p>
    <w:p>
      <w:pPr>
        <w:ind w:firstLine="1478"/>
        <w:spacing w:after="0" w:line="255" w:lineRule="auto"/>
        <w:tabs>
          <w:tab w:leader="none" w:pos="1822" w:val="left"/>
        </w:tabs>
        <w:numPr>
          <w:ilvl w:val="1"/>
          <w:numId w:val="126"/>
        </w:numPr>
        <w:rPr>
          <w:rFonts w:ascii="Arial" w:cs="Arial" w:eastAsia="Arial" w:hAnsi="Arial"/>
          <w:sz w:val="15"/>
          <w:szCs w:val="15"/>
          <w:color w:val="auto"/>
        </w:rPr>
      </w:pPr>
      <w:r>
        <w:rPr>
          <w:rFonts w:ascii="Arial" w:cs="Arial" w:eastAsia="Arial" w:hAnsi="Arial"/>
          <w:sz w:val="15"/>
          <w:szCs w:val="15"/>
          <w:color w:val="auto"/>
        </w:rPr>
        <w:t xml:space="preserve">For purposes of any Awards granted on any other date, the Fair Market Value will be the closing sales price for Common Stock as quoted on any established stock exchange or national market system (including without limitation the New York Stock Exchange, NASDAQ Global Select Market, the NASDAQ Global Market or the NASDAQ Capital Market of The NASDAQ Stock Market) on which the Common Stock is listed on the date of determination (or the closing bid, if no sales were reported), as reported in </w:t>
      </w:r>
      <w:r>
        <w:rPr>
          <w:rFonts w:ascii="Arial" w:cs="Arial" w:eastAsia="Arial" w:hAnsi="Arial"/>
          <w:sz w:val="15"/>
          <w:szCs w:val="15"/>
          <w:i w:val="1"/>
          <w:iCs w:val="1"/>
          <w:color w:val="auto"/>
        </w:rPr>
        <w:t>The Wall</w:t>
      </w:r>
      <w:r>
        <w:rPr>
          <w:rFonts w:ascii="Arial" w:cs="Arial" w:eastAsia="Arial" w:hAnsi="Arial"/>
          <w:sz w:val="15"/>
          <w:szCs w:val="15"/>
          <w:color w:val="auto"/>
        </w:rPr>
        <w:t xml:space="preserve"> </w:t>
      </w:r>
      <w:r>
        <w:rPr>
          <w:rFonts w:ascii="Arial" w:cs="Arial" w:eastAsia="Arial" w:hAnsi="Arial"/>
          <w:sz w:val="15"/>
          <w:szCs w:val="15"/>
          <w:i w:val="1"/>
          <w:iCs w:val="1"/>
          <w:color w:val="auto"/>
        </w:rPr>
        <w:t xml:space="preserve">Street Journal </w:t>
      </w:r>
      <w:r>
        <w:rPr>
          <w:rFonts w:ascii="Arial" w:cs="Arial" w:eastAsia="Arial" w:hAnsi="Arial"/>
          <w:sz w:val="15"/>
          <w:szCs w:val="15"/>
          <w:color w:val="auto"/>
        </w:rPr>
        <w:t>or such other source as the Administrator deems reliable. If the determination date for the Fair Market Value occurs on a non-trading day (i.e., a weekend or holiday), the Fair</w:t>
      </w:r>
      <w:r>
        <w:rPr>
          <w:rFonts w:ascii="Arial" w:cs="Arial" w:eastAsia="Arial" w:hAnsi="Arial"/>
          <w:sz w:val="15"/>
          <w:szCs w:val="15"/>
          <w:i w:val="1"/>
          <w:iCs w:val="1"/>
          <w:color w:val="auto"/>
        </w:rPr>
        <w:t xml:space="preserve"> </w:t>
      </w:r>
      <w:r>
        <w:rPr>
          <w:rFonts w:ascii="Arial" w:cs="Arial" w:eastAsia="Arial" w:hAnsi="Arial"/>
          <w:sz w:val="15"/>
          <w:szCs w:val="15"/>
          <w:color w:val="auto"/>
        </w:rPr>
        <w:t>Market Value will be such price on the immediately preceding trading day, unless otherwise determined by the Administrator. In the absence of an established market for the Common Stock, the Fair Market Value thereof will be determined in good faith by the Administrator.</w:t>
      </w:r>
    </w:p>
    <w:p>
      <w:pPr>
        <w:spacing w:after="0" w:line="164" w:lineRule="exact"/>
        <w:rPr>
          <w:sz w:val="20"/>
          <w:szCs w:val="20"/>
          <w:color w:val="auto"/>
        </w:rPr>
      </w:pPr>
    </w:p>
    <w:p>
      <w:pPr>
        <w:ind w:right="60" w:firstLine="458"/>
        <w:spacing w:after="0" w:line="275" w:lineRule="auto"/>
        <w:rPr>
          <w:sz w:val="20"/>
          <w:szCs w:val="20"/>
          <w:color w:val="auto"/>
        </w:rPr>
      </w:pPr>
      <w:r>
        <w:rPr>
          <w:rFonts w:ascii="Arial" w:cs="Arial" w:eastAsia="Arial" w:hAnsi="Arial"/>
          <w:sz w:val="15"/>
          <w:szCs w:val="15"/>
          <w:color w:val="auto"/>
        </w:rPr>
        <w:t>The determination of fair market value for purposes of tax withholding may be made in the Administrator’s discretion subject to Applicable Laws and is not required to be consistent with the determination of Fair Market Value for other purposes.</w:t>
      </w:r>
    </w:p>
    <w:p>
      <w:pPr>
        <w:spacing w:after="0" w:line="146" w:lineRule="exact"/>
        <w:rPr>
          <w:sz w:val="20"/>
          <w:szCs w:val="20"/>
          <w:color w:val="auto"/>
        </w:rPr>
      </w:pPr>
    </w:p>
    <w:p>
      <w:pPr>
        <w:ind w:left="1200" w:hanging="294"/>
        <w:spacing w:after="0"/>
        <w:tabs>
          <w:tab w:leader="none" w:pos="1200" w:val="left"/>
        </w:tabs>
        <w:numPr>
          <w:ilvl w:val="0"/>
          <w:numId w:val="127"/>
        </w:numPr>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Fiscal Year</w:t>
      </w:r>
      <w:r>
        <w:rPr>
          <w:rFonts w:ascii="Arial" w:cs="Arial" w:eastAsia="Arial" w:hAnsi="Arial"/>
          <w:sz w:val="15"/>
          <w:szCs w:val="15"/>
          <w:color w:val="auto"/>
        </w:rPr>
        <w:t>” means the fiscal year of the Company.</w:t>
      </w:r>
    </w:p>
    <w:p>
      <w:pPr>
        <w:spacing w:after="0" w:line="188" w:lineRule="exact"/>
        <w:rPr>
          <w:rFonts w:ascii="Arial" w:cs="Arial" w:eastAsia="Arial" w:hAnsi="Arial"/>
          <w:sz w:val="15"/>
          <w:szCs w:val="15"/>
          <w:color w:val="auto"/>
        </w:rPr>
      </w:pPr>
    </w:p>
    <w:p>
      <w:pPr>
        <w:ind w:right="680" w:firstLine="906"/>
        <w:spacing w:after="0" w:line="275" w:lineRule="auto"/>
        <w:tabs>
          <w:tab w:leader="none" w:pos="1225" w:val="left"/>
        </w:tabs>
        <w:numPr>
          <w:ilvl w:val="0"/>
          <w:numId w:val="127"/>
        </w:numPr>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Incentive Stock Option</w:t>
      </w:r>
      <w:r>
        <w:rPr>
          <w:rFonts w:ascii="Arial" w:cs="Arial" w:eastAsia="Arial" w:hAnsi="Arial"/>
          <w:sz w:val="15"/>
          <w:szCs w:val="15"/>
          <w:color w:val="auto"/>
        </w:rPr>
        <w:t>” means an Option intended to qualify as an incentive stock option within the meaning of Section 422 of the Code and the regulations promulgated thereunder.</w:t>
      </w:r>
    </w:p>
    <w:p>
      <w:pPr>
        <w:spacing w:after="0" w:line="146" w:lineRule="exact"/>
        <w:rPr>
          <w:rFonts w:ascii="Arial" w:cs="Arial" w:eastAsia="Arial" w:hAnsi="Arial"/>
          <w:sz w:val="15"/>
          <w:szCs w:val="15"/>
          <w:color w:val="auto"/>
        </w:rPr>
      </w:pPr>
    </w:p>
    <w:p>
      <w:pPr>
        <w:ind w:left="1200" w:hanging="294"/>
        <w:spacing w:after="0"/>
        <w:tabs>
          <w:tab w:leader="none" w:pos="1200" w:val="left"/>
        </w:tabs>
        <w:numPr>
          <w:ilvl w:val="0"/>
          <w:numId w:val="127"/>
        </w:numPr>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Inside Director</w:t>
      </w:r>
      <w:r>
        <w:rPr>
          <w:rFonts w:ascii="Arial" w:cs="Arial" w:eastAsia="Arial" w:hAnsi="Arial"/>
          <w:sz w:val="15"/>
          <w:szCs w:val="15"/>
          <w:color w:val="auto"/>
        </w:rPr>
        <w:t>” means a Director who is an Employee.</w:t>
      </w:r>
    </w:p>
    <w:p>
      <w:pPr>
        <w:spacing w:after="0" w:line="188" w:lineRule="exact"/>
        <w:rPr>
          <w:rFonts w:ascii="Arial" w:cs="Arial" w:eastAsia="Arial" w:hAnsi="Arial"/>
          <w:sz w:val="15"/>
          <w:szCs w:val="15"/>
          <w:color w:val="auto"/>
        </w:rPr>
      </w:pPr>
    </w:p>
    <w:p>
      <w:pPr>
        <w:ind w:left="1240" w:hanging="334"/>
        <w:spacing w:after="0"/>
        <w:tabs>
          <w:tab w:leader="none" w:pos="1240" w:val="left"/>
        </w:tabs>
        <w:numPr>
          <w:ilvl w:val="0"/>
          <w:numId w:val="127"/>
        </w:numPr>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Nonstatutory Stock Option</w:t>
      </w:r>
      <w:r>
        <w:rPr>
          <w:rFonts w:ascii="Arial" w:cs="Arial" w:eastAsia="Arial" w:hAnsi="Arial"/>
          <w:sz w:val="15"/>
          <w:szCs w:val="15"/>
          <w:color w:val="auto"/>
        </w:rPr>
        <w:t>” means an Option that by its terms does not qualify or is not intended to qualify as an Incentive Stock Option.</w:t>
      </w:r>
    </w:p>
    <w:p>
      <w:pPr>
        <w:spacing w:after="0" w:line="188" w:lineRule="exact"/>
        <w:rPr>
          <w:rFonts w:ascii="Arial" w:cs="Arial" w:eastAsia="Arial" w:hAnsi="Arial"/>
          <w:sz w:val="15"/>
          <w:szCs w:val="15"/>
          <w:color w:val="auto"/>
        </w:rPr>
      </w:pPr>
    </w:p>
    <w:p>
      <w:pPr>
        <w:ind w:left="1240" w:hanging="334"/>
        <w:spacing w:after="0"/>
        <w:tabs>
          <w:tab w:leader="none" w:pos="1240" w:val="left"/>
        </w:tabs>
        <w:numPr>
          <w:ilvl w:val="0"/>
          <w:numId w:val="127"/>
        </w:numPr>
        <w:rPr>
          <w:rFonts w:ascii="Arial" w:cs="Arial" w:eastAsia="Arial" w:hAnsi="Arial"/>
          <w:sz w:val="13"/>
          <w:szCs w:val="13"/>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Officer</w:t>
      </w:r>
      <w:r>
        <w:rPr>
          <w:rFonts w:ascii="Arial" w:cs="Arial" w:eastAsia="Arial" w:hAnsi="Arial"/>
          <w:sz w:val="13"/>
          <w:szCs w:val="13"/>
          <w:color w:val="auto"/>
        </w:rPr>
        <w:t>” means a person who is an officer of the Company within the meaning of Section 16 of the Exchange Act and the rules and regulations promulgated thereunder.</w:t>
      </w:r>
    </w:p>
    <w:p>
      <w:pPr>
        <w:spacing w:after="0" w:line="211" w:lineRule="exact"/>
        <w:rPr>
          <w:rFonts w:ascii="Arial" w:cs="Arial" w:eastAsia="Arial" w:hAnsi="Arial"/>
          <w:sz w:val="13"/>
          <w:szCs w:val="13"/>
          <w:color w:val="auto"/>
        </w:rPr>
      </w:pPr>
    </w:p>
    <w:p>
      <w:pPr>
        <w:ind w:left="1260" w:hanging="354"/>
        <w:spacing w:after="0"/>
        <w:tabs>
          <w:tab w:leader="none" w:pos="1260" w:val="left"/>
        </w:tabs>
        <w:numPr>
          <w:ilvl w:val="0"/>
          <w:numId w:val="127"/>
        </w:numPr>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Option</w:t>
      </w:r>
      <w:r>
        <w:rPr>
          <w:rFonts w:ascii="Arial" w:cs="Arial" w:eastAsia="Arial" w:hAnsi="Arial"/>
          <w:sz w:val="15"/>
          <w:szCs w:val="15"/>
          <w:color w:val="auto"/>
        </w:rPr>
        <w:t>” means a stock option granted pursuant to the Plan.</w:t>
      </w:r>
    </w:p>
    <w:p>
      <w:pPr>
        <w:spacing w:after="0" w:line="188" w:lineRule="exact"/>
        <w:rPr>
          <w:rFonts w:ascii="Arial" w:cs="Arial" w:eastAsia="Arial" w:hAnsi="Arial"/>
          <w:sz w:val="15"/>
          <w:szCs w:val="15"/>
          <w:color w:val="auto"/>
        </w:rPr>
      </w:pPr>
    </w:p>
    <w:p>
      <w:pPr>
        <w:ind w:left="1240" w:hanging="334"/>
        <w:spacing w:after="0"/>
        <w:tabs>
          <w:tab w:leader="none" w:pos="1240" w:val="left"/>
        </w:tabs>
        <w:numPr>
          <w:ilvl w:val="0"/>
          <w:numId w:val="127"/>
        </w:numPr>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Outside Director</w:t>
      </w:r>
      <w:r>
        <w:rPr>
          <w:rFonts w:ascii="Arial" w:cs="Arial" w:eastAsia="Arial" w:hAnsi="Arial"/>
          <w:sz w:val="15"/>
          <w:szCs w:val="15"/>
          <w:color w:val="auto"/>
        </w:rPr>
        <w:t>” means a Director who is not an Employee.</w:t>
      </w:r>
    </w:p>
    <w:p>
      <w:pPr>
        <w:spacing w:after="0" w:line="188" w:lineRule="exact"/>
        <w:rPr>
          <w:rFonts w:ascii="Arial" w:cs="Arial" w:eastAsia="Arial" w:hAnsi="Arial"/>
          <w:sz w:val="15"/>
          <w:szCs w:val="15"/>
          <w:color w:val="auto"/>
        </w:rPr>
      </w:pPr>
    </w:p>
    <w:p>
      <w:pPr>
        <w:ind w:left="1240" w:hanging="334"/>
        <w:spacing w:after="0"/>
        <w:tabs>
          <w:tab w:leader="none" w:pos="1240" w:val="left"/>
        </w:tabs>
        <w:numPr>
          <w:ilvl w:val="0"/>
          <w:numId w:val="127"/>
        </w:numPr>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Parent</w:t>
      </w:r>
      <w:r>
        <w:rPr>
          <w:rFonts w:ascii="Arial" w:cs="Arial" w:eastAsia="Arial" w:hAnsi="Arial"/>
          <w:sz w:val="15"/>
          <w:szCs w:val="15"/>
          <w:color w:val="auto"/>
        </w:rPr>
        <w:t>” means a “parent corporation,” whether now or hereafter existing, as defined in Section 424(e) of the Code.</w:t>
      </w:r>
    </w:p>
    <w:p>
      <w:pPr>
        <w:spacing w:after="0" w:line="335"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-4-</w:t>
      </w:r>
    </w:p>
    <w:p>
      <w:pPr>
        <w:sectPr>
          <w:pgSz w:w="11900" w:h="16838" w:orient="portrait"/>
          <w:cols w:equalWidth="0" w:num="1">
            <w:col w:w="11400"/>
          </w:cols>
          <w:pgMar w:left="240" w:top="253" w:right="259" w:bottom="1440" w:gutter="0" w:footer="0" w:header="0"/>
        </w:sectPr>
      </w:pPr>
    </w:p>
    <w:bookmarkStart w:id="252" w:name="page253"/>
    <w:bookmarkEnd w:id="252"/>
    <w:p>
      <w:pPr>
        <w:ind w:left="880"/>
        <w:spacing w:after="0"/>
        <w:tabs>
          <w:tab w:leader="none" w:pos="1180" w:val="left"/>
        </w:tabs>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133350</wp:posOffset>
            </wp:positionH>
            <wp:positionV relativeFrom="page">
              <wp:posOffset>88900</wp:posOffset>
            </wp:positionV>
            <wp:extent cx="7308850" cy="34290"/>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90">
                      <a:extLst>
                        <a:ext uri="{28A0092B-C50C-407E-A947-70E740481C1C}"/>
                      </a:extLst>
                    </a:blip>
                    <a:srcRect/>
                    <a:stretch>
                      <a:fillRect/>
                    </a:stretch>
                  </pic:blipFill>
                  <pic:spPr bwMode="auto">
                    <a:xfrm>
                      <a:off x="0" y="0"/>
                      <a:ext cx="7308850" cy="34290"/>
                    </a:xfrm>
                    <a:prstGeom prst="rect">
                      <a:avLst/>
                    </a:prstGeom>
                    <a:noFill/>
                  </pic:spPr>
                </pic:pic>
              </a:graphicData>
            </a:graphic>
          </wp:anchor>
        </w:drawing>
        <w:t>(z)</w:t>
      </w:r>
      <w:r>
        <w:rPr>
          <w:sz w:val="20"/>
          <w:szCs w:val="20"/>
          <w:color w:val="auto"/>
        </w:rPr>
        <w:tab/>
      </w:r>
      <w:r>
        <w:rPr>
          <w:rFonts w:ascii="Arial" w:cs="Arial" w:eastAsia="Arial" w:hAnsi="Arial"/>
          <w:sz w:val="13"/>
          <w:szCs w:val="13"/>
          <w:color w:val="auto"/>
        </w:rPr>
        <w:t>“</w:t>
      </w:r>
      <w:r>
        <w:rPr>
          <w:rFonts w:ascii="Arial" w:cs="Arial" w:eastAsia="Arial" w:hAnsi="Arial"/>
          <w:sz w:val="13"/>
          <w:szCs w:val="13"/>
          <w:u w:val="single" w:color="auto"/>
          <w:color w:val="auto"/>
        </w:rPr>
        <w:t>Participant</w:t>
      </w:r>
      <w:r>
        <w:rPr>
          <w:rFonts w:ascii="Arial" w:cs="Arial" w:eastAsia="Arial" w:hAnsi="Arial"/>
          <w:sz w:val="13"/>
          <w:szCs w:val="13"/>
          <w:color w:val="auto"/>
        </w:rPr>
        <w:t>” means the holder of an outstanding Award.</w:t>
      </w:r>
    </w:p>
    <w:p>
      <w:pPr>
        <w:spacing w:after="0" w:line="188" w:lineRule="exact"/>
        <w:rPr>
          <w:sz w:val="20"/>
          <w:szCs w:val="20"/>
          <w:color w:val="auto"/>
        </w:rPr>
      </w:pPr>
    </w:p>
    <w:p>
      <w:pPr>
        <w:ind w:left="-20" w:firstLine="906"/>
        <w:spacing w:after="0" w:line="275" w:lineRule="auto"/>
        <w:tabs>
          <w:tab w:leader="none" w:pos="1280" w:val="left"/>
        </w:tabs>
        <w:numPr>
          <w:ilvl w:val="0"/>
          <w:numId w:val="128"/>
        </w:numPr>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Performance Share</w:t>
      </w:r>
      <w:r>
        <w:rPr>
          <w:rFonts w:ascii="Arial" w:cs="Arial" w:eastAsia="Arial" w:hAnsi="Arial"/>
          <w:sz w:val="15"/>
          <w:szCs w:val="15"/>
          <w:color w:val="auto"/>
        </w:rPr>
        <w:t>” means an Award denominated in Shares which may be earned in whole or in part upon attainment of performance goals or other vesting criteria as the Administrator may determine pursuant to Section 10.</w:t>
      </w:r>
    </w:p>
    <w:p>
      <w:pPr>
        <w:spacing w:after="0" w:line="146" w:lineRule="exact"/>
        <w:rPr>
          <w:rFonts w:ascii="Arial" w:cs="Arial" w:eastAsia="Arial" w:hAnsi="Arial"/>
          <w:sz w:val="15"/>
          <w:szCs w:val="15"/>
          <w:color w:val="auto"/>
        </w:rPr>
      </w:pPr>
    </w:p>
    <w:p>
      <w:pPr>
        <w:ind w:left="-20" w:right="80" w:firstLine="906"/>
        <w:spacing w:after="0" w:line="275" w:lineRule="auto"/>
        <w:tabs>
          <w:tab w:leader="none" w:pos="1296" w:val="left"/>
        </w:tabs>
        <w:numPr>
          <w:ilvl w:val="0"/>
          <w:numId w:val="128"/>
        </w:numPr>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Performance Unit</w:t>
      </w:r>
      <w:r>
        <w:rPr>
          <w:rFonts w:ascii="Arial" w:cs="Arial" w:eastAsia="Arial" w:hAnsi="Arial"/>
          <w:sz w:val="15"/>
          <w:szCs w:val="15"/>
          <w:color w:val="auto"/>
        </w:rPr>
        <w:t>” means an Award which may be earned in whole or in part upon attainment of performance goals or other vesting criteria as the Administrator may determine and which may be settled for cash, Shares or other securities or a combination of the foregoing pursuant to Section 10.</w:t>
      </w:r>
    </w:p>
    <w:p>
      <w:pPr>
        <w:spacing w:after="0" w:line="146" w:lineRule="exact"/>
        <w:rPr>
          <w:rFonts w:ascii="Arial" w:cs="Arial" w:eastAsia="Arial" w:hAnsi="Arial"/>
          <w:sz w:val="15"/>
          <w:szCs w:val="15"/>
          <w:color w:val="auto"/>
        </w:rPr>
      </w:pPr>
    </w:p>
    <w:p>
      <w:pPr>
        <w:ind w:left="-20" w:right="160" w:firstLine="906"/>
        <w:spacing w:after="0" w:line="263" w:lineRule="auto"/>
        <w:tabs>
          <w:tab w:leader="none" w:pos="1280" w:val="left"/>
        </w:tabs>
        <w:numPr>
          <w:ilvl w:val="0"/>
          <w:numId w:val="128"/>
        </w:numPr>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Period of Restriction</w:t>
      </w:r>
      <w:r>
        <w:rPr>
          <w:rFonts w:ascii="Arial" w:cs="Arial" w:eastAsia="Arial" w:hAnsi="Arial"/>
          <w:sz w:val="15"/>
          <w:szCs w:val="15"/>
          <w:color w:val="auto"/>
        </w:rPr>
        <w:t>” means the period during which the transfer of Shares of Restricted Stock are subject to restrictions and therefore, the Shares are subject to a substantial risk of forfeiture. Such restrictions may be based on the passage of time, the achievement of target levels of performance, or the occurrence of other events as determined by the Administrator.</w:t>
      </w:r>
    </w:p>
    <w:p>
      <w:pPr>
        <w:spacing w:after="0" w:line="154" w:lineRule="exact"/>
        <w:rPr>
          <w:rFonts w:ascii="Arial" w:cs="Arial" w:eastAsia="Arial" w:hAnsi="Arial"/>
          <w:sz w:val="15"/>
          <w:szCs w:val="15"/>
          <w:color w:val="auto"/>
        </w:rPr>
      </w:pPr>
    </w:p>
    <w:p>
      <w:pPr>
        <w:ind w:left="1280" w:hanging="394"/>
        <w:spacing w:after="0"/>
        <w:tabs>
          <w:tab w:leader="none" w:pos="1280" w:val="left"/>
        </w:tabs>
        <w:numPr>
          <w:ilvl w:val="0"/>
          <w:numId w:val="128"/>
        </w:numPr>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Plan</w:t>
      </w:r>
      <w:r>
        <w:rPr>
          <w:rFonts w:ascii="Arial" w:cs="Arial" w:eastAsia="Arial" w:hAnsi="Arial"/>
          <w:sz w:val="15"/>
          <w:szCs w:val="15"/>
          <w:color w:val="auto"/>
        </w:rPr>
        <w:t>” means this 2018 Equity Incentive Plan.</w:t>
      </w:r>
    </w:p>
    <w:p>
      <w:pPr>
        <w:spacing w:after="0" w:line="188" w:lineRule="exact"/>
        <w:rPr>
          <w:rFonts w:ascii="Arial" w:cs="Arial" w:eastAsia="Arial" w:hAnsi="Arial"/>
          <w:sz w:val="15"/>
          <w:szCs w:val="15"/>
          <w:color w:val="auto"/>
        </w:rPr>
      </w:pPr>
    </w:p>
    <w:p>
      <w:pPr>
        <w:ind w:left="-20" w:right="400" w:firstLine="906"/>
        <w:spacing w:after="0" w:line="275" w:lineRule="auto"/>
        <w:tabs>
          <w:tab w:leader="none" w:pos="1280" w:val="left"/>
        </w:tabs>
        <w:numPr>
          <w:ilvl w:val="0"/>
          <w:numId w:val="128"/>
        </w:numPr>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Registration Date</w:t>
      </w:r>
      <w:r>
        <w:rPr>
          <w:rFonts w:ascii="Arial" w:cs="Arial" w:eastAsia="Arial" w:hAnsi="Arial"/>
          <w:sz w:val="15"/>
          <w:szCs w:val="15"/>
          <w:color w:val="auto"/>
        </w:rPr>
        <w:t>” means the effective date of the first registration statement that is filed by the Company and declared effective pursuant to Section 12(b) of the Exchange Act, with respect to any class of the Company’s securities.</w:t>
      </w:r>
    </w:p>
    <w:p>
      <w:pPr>
        <w:spacing w:after="0" w:line="146" w:lineRule="exact"/>
        <w:rPr>
          <w:rFonts w:ascii="Arial" w:cs="Arial" w:eastAsia="Arial" w:hAnsi="Arial"/>
          <w:sz w:val="15"/>
          <w:szCs w:val="15"/>
          <w:color w:val="auto"/>
        </w:rPr>
      </w:pPr>
    </w:p>
    <w:p>
      <w:pPr>
        <w:ind w:left="1240" w:hanging="354"/>
        <w:spacing w:after="0"/>
        <w:tabs>
          <w:tab w:leader="none" w:pos="1240" w:val="left"/>
        </w:tabs>
        <w:numPr>
          <w:ilvl w:val="0"/>
          <w:numId w:val="128"/>
        </w:numPr>
        <w:rPr>
          <w:rFonts w:ascii="Arial" w:cs="Arial" w:eastAsia="Arial" w:hAnsi="Arial"/>
          <w:sz w:val="14"/>
          <w:szCs w:val="14"/>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Restricted Stock</w:t>
      </w:r>
      <w:r>
        <w:rPr>
          <w:rFonts w:ascii="Arial" w:cs="Arial" w:eastAsia="Arial" w:hAnsi="Arial"/>
          <w:sz w:val="14"/>
          <w:szCs w:val="14"/>
          <w:color w:val="auto"/>
        </w:rPr>
        <w:t>” means Shares issued pursuant to a Restricted Stock award under Section 7 of the Plan, or issued pursuant to the early exercise of an Option.</w:t>
      </w:r>
    </w:p>
    <w:p>
      <w:pPr>
        <w:spacing w:after="0" w:line="199" w:lineRule="exact"/>
        <w:rPr>
          <w:rFonts w:ascii="Arial" w:cs="Arial" w:eastAsia="Arial" w:hAnsi="Arial"/>
          <w:sz w:val="14"/>
          <w:szCs w:val="14"/>
          <w:color w:val="auto"/>
        </w:rPr>
      </w:pPr>
    </w:p>
    <w:p>
      <w:pPr>
        <w:ind w:left="-20" w:right="20" w:firstLine="906"/>
        <w:spacing w:after="0" w:line="275" w:lineRule="auto"/>
        <w:tabs>
          <w:tab w:leader="none" w:pos="1296" w:val="left"/>
        </w:tabs>
        <w:numPr>
          <w:ilvl w:val="0"/>
          <w:numId w:val="128"/>
        </w:numPr>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Restricted Stock Unit</w:t>
      </w:r>
      <w:r>
        <w:rPr>
          <w:rFonts w:ascii="Arial" w:cs="Arial" w:eastAsia="Arial" w:hAnsi="Arial"/>
          <w:sz w:val="15"/>
          <w:szCs w:val="15"/>
          <w:color w:val="auto"/>
        </w:rPr>
        <w:t>” means a bookkeeping entry representing an amount equal to the Fair Market Value of one Share, granted pursuant to Section 8. Each Restricted Stock Unit represents an unfunded and unsecured obligation of the Company.</w:t>
      </w:r>
    </w:p>
    <w:p>
      <w:pPr>
        <w:spacing w:after="0" w:line="146" w:lineRule="exact"/>
        <w:rPr>
          <w:rFonts w:ascii="Arial" w:cs="Arial" w:eastAsia="Arial" w:hAnsi="Arial"/>
          <w:sz w:val="15"/>
          <w:szCs w:val="15"/>
          <w:color w:val="auto"/>
        </w:rPr>
      </w:pPr>
    </w:p>
    <w:p>
      <w:pPr>
        <w:ind w:left="1280" w:hanging="394"/>
        <w:spacing w:after="0"/>
        <w:tabs>
          <w:tab w:leader="none" w:pos="1280" w:val="left"/>
        </w:tabs>
        <w:numPr>
          <w:ilvl w:val="0"/>
          <w:numId w:val="128"/>
        </w:numPr>
        <w:rPr>
          <w:rFonts w:ascii="Arial" w:cs="Arial" w:eastAsia="Arial" w:hAnsi="Arial"/>
          <w:sz w:val="14"/>
          <w:szCs w:val="14"/>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Rule 16b-3</w:t>
      </w:r>
      <w:r>
        <w:rPr>
          <w:rFonts w:ascii="Arial" w:cs="Arial" w:eastAsia="Arial" w:hAnsi="Arial"/>
          <w:sz w:val="14"/>
          <w:szCs w:val="14"/>
          <w:color w:val="auto"/>
        </w:rPr>
        <w:t>” means Rule 16b-3 of the Exchange Act or any successor to Rule 16b-3, as in effect when discretion is being exercised with respect to the Plan.</w:t>
      </w:r>
    </w:p>
    <w:p>
      <w:pPr>
        <w:spacing w:after="0" w:line="199" w:lineRule="exact"/>
        <w:rPr>
          <w:rFonts w:ascii="Arial" w:cs="Arial" w:eastAsia="Arial" w:hAnsi="Arial"/>
          <w:sz w:val="14"/>
          <w:szCs w:val="14"/>
          <w:color w:val="auto"/>
        </w:rPr>
      </w:pPr>
    </w:p>
    <w:p>
      <w:pPr>
        <w:ind w:left="1220" w:hanging="334"/>
        <w:spacing w:after="0"/>
        <w:tabs>
          <w:tab w:leader="none" w:pos="1220" w:val="left"/>
        </w:tabs>
        <w:numPr>
          <w:ilvl w:val="0"/>
          <w:numId w:val="128"/>
        </w:numPr>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Section 16(b)</w:t>
      </w:r>
      <w:r>
        <w:rPr>
          <w:rFonts w:ascii="Arial" w:cs="Arial" w:eastAsia="Arial" w:hAnsi="Arial"/>
          <w:sz w:val="15"/>
          <w:szCs w:val="15"/>
          <w:color w:val="auto"/>
        </w:rPr>
        <w:t>” means Section 16(b) of the Exchange Act.</w:t>
      </w:r>
    </w:p>
    <w:p>
      <w:pPr>
        <w:spacing w:after="0" w:line="188" w:lineRule="exact"/>
        <w:rPr>
          <w:rFonts w:ascii="Arial" w:cs="Arial" w:eastAsia="Arial" w:hAnsi="Arial"/>
          <w:sz w:val="15"/>
          <w:szCs w:val="15"/>
          <w:color w:val="auto"/>
        </w:rPr>
      </w:pPr>
    </w:p>
    <w:p>
      <w:pPr>
        <w:ind w:left="-20" w:right="40" w:firstLine="906"/>
        <w:spacing w:after="0" w:line="275" w:lineRule="auto"/>
        <w:tabs>
          <w:tab w:leader="none" w:pos="1230" w:val="left"/>
        </w:tabs>
        <w:numPr>
          <w:ilvl w:val="0"/>
          <w:numId w:val="128"/>
        </w:numPr>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Section 409A</w:t>
      </w:r>
      <w:r>
        <w:rPr>
          <w:rFonts w:ascii="Arial" w:cs="Arial" w:eastAsia="Arial" w:hAnsi="Arial"/>
          <w:sz w:val="15"/>
          <w:szCs w:val="15"/>
          <w:color w:val="auto"/>
        </w:rPr>
        <w:t>” means Code Section 409A, as it has been and may be amended from time to time, and any proposed or final Treasury Regulations and Internal Revenue Service guidance that has been promulgated or may be promulgated thereunder from time to time.</w:t>
      </w:r>
    </w:p>
    <w:p>
      <w:pPr>
        <w:spacing w:after="0" w:line="146" w:lineRule="exact"/>
        <w:rPr>
          <w:rFonts w:ascii="Arial" w:cs="Arial" w:eastAsia="Arial" w:hAnsi="Arial"/>
          <w:sz w:val="15"/>
          <w:szCs w:val="15"/>
          <w:color w:val="auto"/>
        </w:rPr>
      </w:pPr>
    </w:p>
    <w:p>
      <w:pPr>
        <w:ind w:left="1280" w:hanging="394"/>
        <w:spacing w:after="0"/>
        <w:tabs>
          <w:tab w:leader="none" w:pos="1280" w:val="left"/>
        </w:tabs>
        <w:numPr>
          <w:ilvl w:val="0"/>
          <w:numId w:val="128"/>
        </w:numPr>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Securities Act</w:t>
      </w:r>
      <w:r>
        <w:rPr>
          <w:rFonts w:ascii="Arial" w:cs="Arial" w:eastAsia="Arial" w:hAnsi="Arial"/>
          <w:sz w:val="15"/>
          <w:szCs w:val="15"/>
          <w:color w:val="auto"/>
        </w:rPr>
        <w:t>” means the Securities Act of 1933, as amended.</w:t>
      </w:r>
    </w:p>
    <w:p>
      <w:pPr>
        <w:spacing w:after="0" w:line="188" w:lineRule="exact"/>
        <w:rPr>
          <w:rFonts w:ascii="Arial" w:cs="Arial" w:eastAsia="Arial" w:hAnsi="Arial"/>
          <w:sz w:val="15"/>
          <w:szCs w:val="15"/>
          <w:color w:val="auto"/>
        </w:rPr>
      </w:pPr>
    </w:p>
    <w:p>
      <w:pPr>
        <w:ind w:left="1220" w:hanging="334"/>
        <w:spacing w:after="0"/>
        <w:tabs>
          <w:tab w:leader="none" w:pos="1220" w:val="left"/>
        </w:tabs>
        <w:numPr>
          <w:ilvl w:val="0"/>
          <w:numId w:val="128"/>
        </w:numPr>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Service Provider</w:t>
      </w:r>
      <w:r>
        <w:rPr>
          <w:rFonts w:ascii="Arial" w:cs="Arial" w:eastAsia="Arial" w:hAnsi="Arial"/>
          <w:sz w:val="15"/>
          <w:szCs w:val="15"/>
          <w:color w:val="auto"/>
        </w:rPr>
        <w:t>” means an Employee, Director or Consultant.</w:t>
      </w:r>
    </w:p>
    <w:p>
      <w:pPr>
        <w:spacing w:after="0" w:line="188" w:lineRule="exact"/>
        <w:rPr>
          <w:rFonts w:ascii="Arial" w:cs="Arial" w:eastAsia="Arial" w:hAnsi="Arial"/>
          <w:sz w:val="15"/>
          <w:szCs w:val="15"/>
          <w:color w:val="auto"/>
        </w:rPr>
      </w:pPr>
    </w:p>
    <w:p>
      <w:pPr>
        <w:ind w:left="1380" w:hanging="494"/>
        <w:spacing w:after="0"/>
        <w:tabs>
          <w:tab w:leader="none" w:pos="1380" w:val="left"/>
        </w:tabs>
        <w:numPr>
          <w:ilvl w:val="0"/>
          <w:numId w:val="128"/>
        </w:numPr>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Share</w:t>
      </w:r>
      <w:r>
        <w:rPr>
          <w:rFonts w:ascii="Arial" w:cs="Arial" w:eastAsia="Arial" w:hAnsi="Arial"/>
          <w:sz w:val="15"/>
          <w:szCs w:val="15"/>
          <w:color w:val="auto"/>
        </w:rPr>
        <w:t>” means a share of the Common Stock, as adjusted in accordance with Section 14 of the Plan.</w:t>
      </w:r>
    </w:p>
    <w:p>
      <w:pPr>
        <w:spacing w:after="0" w:line="188" w:lineRule="exact"/>
        <w:rPr>
          <w:rFonts w:ascii="Arial" w:cs="Arial" w:eastAsia="Arial" w:hAnsi="Arial"/>
          <w:sz w:val="15"/>
          <w:szCs w:val="15"/>
          <w:color w:val="auto"/>
        </w:rPr>
      </w:pPr>
    </w:p>
    <w:p>
      <w:pPr>
        <w:ind w:left="1280" w:hanging="394"/>
        <w:spacing w:after="0"/>
        <w:tabs>
          <w:tab w:leader="none" w:pos="1280" w:val="left"/>
        </w:tabs>
        <w:numPr>
          <w:ilvl w:val="0"/>
          <w:numId w:val="128"/>
        </w:numPr>
        <w:rPr>
          <w:rFonts w:ascii="Arial" w:cs="Arial" w:eastAsia="Arial" w:hAnsi="Arial"/>
          <w:sz w:val="14"/>
          <w:szCs w:val="14"/>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Stock Appreciation Right</w:t>
      </w:r>
      <w:r>
        <w:rPr>
          <w:rFonts w:ascii="Arial" w:cs="Arial" w:eastAsia="Arial" w:hAnsi="Arial"/>
          <w:sz w:val="14"/>
          <w:szCs w:val="14"/>
          <w:color w:val="auto"/>
        </w:rPr>
        <w:t>” means an Award, granted alone or in connection with an Option, that pursuant to Section 9 is designated as a Stock Appreciation Right.</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-5-</w:t>
      </w:r>
    </w:p>
    <w:p>
      <w:pPr>
        <w:sectPr>
          <w:pgSz w:w="11900" w:h="16838" w:orient="portrait"/>
          <w:cols w:equalWidth="0" w:num="1">
            <w:col w:w="11400"/>
          </w:cols>
          <w:pgMar w:left="260" w:top="253" w:right="239" w:bottom="1440" w:gutter="0" w:footer="0" w:header="0"/>
        </w:sectPr>
      </w:pPr>
    </w:p>
    <w:bookmarkStart w:id="253" w:name="page254"/>
    <w:bookmarkEnd w:id="253"/>
    <w:p>
      <w:pPr>
        <w:ind w:left="1300" w:hanging="394"/>
        <w:spacing w:after="0"/>
        <w:tabs>
          <w:tab w:leader="none" w:pos="1300" w:val="left"/>
        </w:tabs>
        <w:numPr>
          <w:ilvl w:val="1"/>
          <w:numId w:val="129"/>
        </w:numPr>
        <w:rPr>
          <w:rFonts w:ascii="Arial" w:cs="Arial" w:eastAsia="Arial" w:hAnsi="Arial"/>
          <w:sz w:val="15"/>
          <w:szCs w:val="15"/>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133350</wp:posOffset>
            </wp:positionH>
            <wp:positionV relativeFrom="page">
              <wp:posOffset>88900</wp:posOffset>
            </wp:positionV>
            <wp:extent cx="7308850" cy="34290"/>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91">
                      <a:extLst>
                        <a:ext uri="{28A0092B-C50C-407E-A947-70E740481C1C}"/>
                      </a:extLst>
                    </a:blip>
                    <a:srcRect/>
                    <a:stretch>
                      <a:fillRect/>
                    </a:stretch>
                  </pic:blipFill>
                  <pic:spPr bwMode="auto">
                    <a:xfrm>
                      <a:off x="0" y="0"/>
                      <a:ext cx="7308850" cy="34290"/>
                    </a:xfrm>
                    <a:prstGeom prst="rect">
                      <a:avLst/>
                    </a:prstGeom>
                    <a:noFill/>
                  </pic:spPr>
                </pic:pic>
              </a:graphicData>
            </a:graphic>
          </wp:anchor>
        </w:drawing>
        <w:t>“</w:t>
      </w:r>
      <w:r>
        <w:rPr>
          <w:rFonts w:ascii="Arial" w:cs="Arial" w:eastAsia="Arial" w:hAnsi="Arial"/>
          <w:sz w:val="15"/>
          <w:szCs w:val="15"/>
          <w:u w:val="single" w:color="auto"/>
          <w:color w:val="auto"/>
        </w:rPr>
        <w:t>Subsidiary</w:t>
      </w:r>
      <w:r>
        <w:rPr>
          <w:rFonts w:ascii="Arial" w:cs="Arial" w:eastAsia="Arial" w:hAnsi="Arial"/>
          <w:sz w:val="15"/>
          <w:szCs w:val="15"/>
          <w:color w:val="auto"/>
        </w:rPr>
        <w:t>” means a “subsidiary corporation,” whether now or hereafter existing, as defined in Section 424(f) of the Code.</w:t>
      </w:r>
    </w:p>
    <w:p>
      <w:pPr>
        <w:spacing w:after="0" w:line="188" w:lineRule="exact"/>
        <w:rPr>
          <w:rFonts w:ascii="Arial" w:cs="Arial" w:eastAsia="Arial" w:hAnsi="Arial"/>
          <w:sz w:val="15"/>
          <w:szCs w:val="15"/>
          <w:color w:val="auto"/>
        </w:rPr>
      </w:pPr>
    </w:p>
    <w:p>
      <w:pPr>
        <w:ind w:left="720" w:hanging="272"/>
        <w:spacing w:after="0"/>
        <w:tabs>
          <w:tab w:leader="none" w:pos="720" w:val="left"/>
        </w:tabs>
        <w:numPr>
          <w:ilvl w:val="0"/>
          <w:numId w:val="130"/>
        </w:numPr>
        <w:rPr>
          <w:rFonts w:ascii="Arial" w:cs="Arial" w:eastAsia="Arial" w:hAnsi="Arial"/>
          <w:sz w:val="15"/>
          <w:szCs w:val="15"/>
          <w:color w:val="auto"/>
        </w:rPr>
      </w:pPr>
      <w:r>
        <w:rPr>
          <w:rFonts w:ascii="Arial" w:cs="Arial" w:eastAsia="Arial" w:hAnsi="Arial"/>
          <w:sz w:val="15"/>
          <w:szCs w:val="15"/>
          <w:u w:val="single" w:color="auto"/>
          <w:color w:val="auto"/>
        </w:rPr>
        <w:t>Stock Subject to the Plan</w:t>
      </w:r>
      <w:r>
        <w:rPr>
          <w:rFonts w:ascii="Arial" w:cs="Arial" w:eastAsia="Arial" w:hAnsi="Arial"/>
          <w:sz w:val="15"/>
          <w:szCs w:val="15"/>
          <w:color w:val="auto"/>
        </w:rPr>
        <w:t>.</w:t>
      </w:r>
    </w:p>
    <w:p>
      <w:pPr>
        <w:spacing w:after="0" w:line="188" w:lineRule="exact"/>
        <w:rPr>
          <w:rFonts w:ascii="Arial" w:cs="Arial" w:eastAsia="Arial" w:hAnsi="Arial"/>
          <w:sz w:val="15"/>
          <w:szCs w:val="15"/>
          <w:color w:val="auto"/>
        </w:rPr>
      </w:pPr>
    </w:p>
    <w:p>
      <w:pPr>
        <w:ind w:right="20" w:firstLine="906"/>
        <w:spacing w:after="0" w:line="296" w:lineRule="auto"/>
        <w:tabs>
          <w:tab w:leader="none" w:pos="1233" w:val="left"/>
        </w:tabs>
        <w:numPr>
          <w:ilvl w:val="1"/>
          <w:numId w:val="130"/>
        </w:numPr>
        <w:rPr>
          <w:rFonts w:ascii="Arial" w:cs="Arial" w:eastAsia="Arial" w:hAnsi="Arial"/>
          <w:sz w:val="13"/>
          <w:szCs w:val="13"/>
          <w:color w:val="auto"/>
        </w:rPr>
      </w:pPr>
      <w:r>
        <w:rPr>
          <w:rFonts w:ascii="Arial" w:cs="Arial" w:eastAsia="Arial" w:hAnsi="Arial"/>
          <w:sz w:val="13"/>
          <w:szCs w:val="13"/>
          <w:u w:val="single" w:color="auto"/>
          <w:color w:val="auto"/>
        </w:rPr>
        <w:t>Stock Subject to the Plan</w:t>
      </w:r>
      <w:r>
        <w:rPr>
          <w:rFonts w:ascii="Arial" w:cs="Arial" w:eastAsia="Arial" w:hAnsi="Arial"/>
          <w:sz w:val="13"/>
          <w:szCs w:val="13"/>
          <w:color w:val="auto"/>
        </w:rPr>
        <w:t>. Subject to the provisions of Section 14 of the Plan and the automatic increase set forth in Section 3(b) of the Plan, the maximum aggregate number of Shares that may be issued under the Plan is 41,368,326 Shares, plus (i) any Shares that, as of the Registration Date, have been reserved but not issued pursuant to any awards granted under the Company’s 2017 Equity Incentive Plan (the “2017 Plan”) and are not subject to any awards granted thereunder, (ii) any Shares subject to stock options, restricted stock units, or similar awards granted under the 2017 Plan that, on or after the Registration Date, expire or otherwise terminate without having been exercised in full, are tendered to or withheld by the Company for payment of an exercise price or for tax withholding obligations, or are forfeited to or repurchased by the Company due to failure to vest, and (iii) a number of Shares equal to the shares of the Company’s Class B common stock subject to stock options, restricted stock units, or similar awards granted under the Company’s 2008 Equity Incentive Plan (the “2008 Plan”) that, on or after the Registration Date, expire or otherwise terminate without having been exercised in full, are tendered to or withheld by the Company for payment of an exercise price or for tax withholding obligations (including, for the avoidance of doubt, shares withheld on or after the Registration Date to satisfy tax withholding obligations with respect to restricted stock units vesting on the Registration Date), or are forfeited to or repurchased by the Company due to failure to vest, with the maximum number of Shares to be added to the Plan pursuant to clauses (i) through (iii) equal to 68,824,856 Shares. The Shares may be authorized, but unissued, or reacquired Common Stock.</w:t>
      </w:r>
    </w:p>
    <w:p>
      <w:pPr>
        <w:spacing w:after="0" w:line="141" w:lineRule="exact"/>
        <w:rPr>
          <w:rFonts w:ascii="Arial" w:cs="Arial" w:eastAsia="Arial" w:hAnsi="Arial"/>
          <w:sz w:val="13"/>
          <w:szCs w:val="13"/>
          <w:color w:val="auto"/>
        </w:rPr>
      </w:pPr>
    </w:p>
    <w:p>
      <w:pPr>
        <w:ind w:right="60" w:firstLine="906"/>
        <w:spacing w:after="0" w:line="290" w:lineRule="auto"/>
        <w:tabs>
          <w:tab w:leader="none" w:pos="1241" w:val="left"/>
        </w:tabs>
        <w:numPr>
          <w:ilvl w:val="1"/>
          <w:numId w:val="130"/>
        </w:numPr>
        <w:rPr>
          <w:rFonts w:ascii="Arial" w:cs="Arial" w:eastAsia="Arial" w:hAnsi="Arial"/>
          <w:sz w:val="14"/>
          <w:szCs w:val="14"/>
          <w:color w:val="auto"/>
        </w:rPr>
      </w:pPr>
      <w:r>
        <w:rPr>
          <w:rFonts w:ascii="Arial" w:cs="Arial" w:eastAsia="Arial" w:hAnsi="Arial"/>
          <w:sz w:val="14"/>
          <w:szCs w:val="14"/>
          <w:u w:val="single" w:color="auto"/>
          <w:color w:val="auto"/>
        </w:rPr>
        <w:t>Automatic Share Reserve Increase</w:t>
      </w:r>
      <w:r>
        <w:rPr>
          <w:rFonts w:ascii="Arial" w:cs="Arial" w:eastAsia="Arial" w:hAnsi="Arial"/>
          <w:sz w:val="14"/>
          <w:szCs w:val="14"/>
          <w:color w:val="auto"/>
        </w:rPr>
        <w:t>. Subject to the provisions of Section 14 of the Plan, the number of Shares available for issuance under the Plan will be increased on the first day of each Fiscal Year beginning with the 2019 Fiscal Year, in an amount equal to the least of (i) 41,368,326 Shares, (ii) five percent (5%) of the outstanding shares of all classes of the Company’s common stock on the last day of the immediately preceding Fiscal Year or (iii) such number of Shares determined by the Board.</w:t>
      </w:r>
    </w:p>
    <w:p>
      <w:pPr>
        <w:spacing w:after="0" w:line="138" w:lineRule="exact"/>
        <w:rPr>
          <w:rFonts w:ascii="Arial" w:cs="Arial" w:eastAsia="Arial" w:hAnsi="Arial"/>
          <w:sz w:val="14"/>
          <w:szCs w:val="14"/>
          <w:color w:val="auto"/>
        </w:rPr>
      </w:pPr>
    </w:p>
    <w:p>
      <w:pPr>
        <w:ind w:firstLine="906"/>
        <w:spacing w:after="0" w:line="263" w:lineRule="auto"/>
        <w:tabs>
          <w:tab w:leader="none" w:pos="1233" w:val="left"/>
        </w:tabs>
        <w:numPr>
          <w:ilvl w:val="1"/>
          <w:numId w:val="130"/>
        </w:numPr>
        <w:rPr>
          <w:rFonts w:ascii="Arial" w:cs="Arial" w:eastAsia="Arial" w:hAnsi="Arial"/>
          <w:sz w:val="15"/>
          <w:szCs w:val="15"/>
          <w:color w:val="auto"/>
        </w:rPr>
      </w:pPr>
      <w:r>
        <w:rPr>
          <w:rFonts w:ascii="Arial" w:cs="Arial" w:eastAsia="Arial" w:hAnsi="Arial"/>
          <w:sz w:val="15"/>
          <w:szCs w:val="15"/>
          <w:u w:val="single" w:color="auto"/>
          <w:color w:val="auto"/>
        </w:rPr>
        <w:t>Lapsed Awards</w:t>
      </w:r>
      <w:r>
        <w:rPr>
          <w:rFonts w:ascii="Arial" w:cs="Arial" w:eastAsia="Arial" w:hAnsi="Arial"/>
          <w:sz w:val="15"/>
          <w:szCs w:val="15"/>
          <w:color w:val="auto"/>
        </w:rPr>
        <w:t>. If an Award expires or becomes unexercisable without having been exercised in full, is surrendered pursuant to an Exchange Program, or, with respect to Restricted Stock, Restricted Stock Units, Performance Units or Performance Shares, is forfeited to or repurchased by the Company due to failure to vest, the unpurchased Shares (or for Awards other than Options or Stock Appreciation Rights the forfeited or repurchased Shares), which were subject</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-6-</w:t>
      </w:r>
    </w:p>
    <w:p>
      <w:pPr>
        <w:sectPr>
          <w:pgSz w:w="11900" w:h="16838" w:orient="portrait"/>
          <w:cols w:equalWidth="0" w:num="1">
            <w:col w:w="11420"/>
          </w:cols>
          <w:pgMar w:left="240" w:top="253" w:right="239" w:bottom="1440" w:gutter="0" w:footer="0" w:header="0"/>
        </w:sectPr>
      </w:pPr>
    </w:p>
    <w:bookmarkStart w:id="254" w:name="page255"/>
    <w:bookmarkEnd w:id="254"/>
    <w:p>
      <w:pPr>
        <w:ind w:right="80"/>
        <w:spacing w:after="0" w:line="273" w:lineRule="auto"/>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133350</wp:posOffset>
            </wp:positionH>
            <wp:positionV relativeFrom="page">
              <wp:posOffset>88900</wp:posOffset>
            </wp:positionV>
            <wp:extent cx="7308850" cy="34290"/>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92">
                      <a:extLst>
                        <a:ext uri="{28A0092B-C50C-407E-A947-70E740481C1C}"/>
                      </a:extLst>
                    </a:blip>
                    <a:srcRect/>
                    <a:stretch>
                      <a:fillRect/>
                    </a:stretch>
                  </pic:blipFill>
                  <pic:spPr bwMode="auto">
                    <a:xfrm>
                      <a:off x="0" y="0"/>
                      <a:ext cx="7308850" cy="34290"/>
                    </a:xfrm>
                    <a:prstGeom prst="rect">
                      <a:avLst/>
                    </a:prstGeom>
                    <a:noFill/>
                  </pic:spPr>
                </pic:pic>
              </a:graphicData>
            </a:graphic>
          </wp:anchor>
        </w:drawing>
        <w:t>thereto will become available for future grant or sale under the Plan (unless the Plan has terminated). With respect to Stock Appreciation Rights, only Shares actually issued (i.e., the net Shares issued) pursuant to a Stock Appreciation Right will cease to be available under the Plan; all remaining Shares under Stock Appreciation Rights will remain available for future grant or sale under the Plan (unless the Plan has terminated). Shares that have actually been issued under the Plan under any Award will not be returned to the Plan and will not become available for future distribution under the Plan; provided, however, that if Shares issued pursuant to Awards of Restricted Stock, Restricted Stock Units, Performance Shares or Performance Units are repurchased by the Company or are forfeited to the Company, such Shares will become available for future grant under the Plan. Shares used to pay the exercise price of an Award or to satisfy the tax withholding obligations related to an Award will become available for future grant or sale under the Plan. To the extent an Award under the Plan is paid out in cash rather than Shares, such cash payment will not result in reducing the number of Shares available for issuance under the Plan. Notwithstanding the foregoing and, subject to adjustment as provided in Section 14, the maximum number of Shares that may be issued upon the exercise of Incentive Stock Options will equal the aggregate Share number stated in Section 3(a), plus, to the extent allowable under Section 422 of the Code and the Treasury Regulations promulgated thereunder, any Shares that become available for issuance under the Plan pursuant to Sections 3(b) and 3(c).</w:t>
      </w:r>
    </w:p>
    <w:p>
      <w:pPr>
        <w:spacing w:after="0" w:line="154" w:lineRule="exact"/>
        <w:rPr>
          <w:sz w:val="20"/>
          <w:szCs w:val="20"/>
          <w:color w:val="auto"/>
        </w:rPr>
      </w:pPr>
    </w:p>
    <w:p>
      <w:pPr>
        <w:ind w:right="620" w:firstLine="906"/>
        <w:spacing w:after="0" w:line="275" w:lineRule="auto"/>
        <w:tabs>
          <w:tab w:leader="none" w:pos="1241" w:val="left"/>
        </w:tabs>
        <w:numPr>
          <w:ilvl w:val="1"/>
          <w:numId w:val="131"/>
        </w:numPr>
        <w:rPr>
          <w:rFonts w:ascii="Arial" w:cs="Arial" w:eastAsia="Arial" w:hAnsi="Arial"/>
          <w:sz w:val="15"/>
          <w:szCs w:val="15"/>
          <w:color w:val="auto"/>
        </w:rPr>
      </w:pPr>
      <w:r>
        <w:rPr>
          <w:rFonts w:ascii="Arial" w:cs="Arial" w:eastAsia="Arial" w:hAnsi="Arial"/>
          <w:sz w:val="15"/>
          <w:szCs w:val="15"/>
          <w:u w:val="single" w:color="auto"/>
          <w:color w:val="auto"/>
        </w:rPr>
        <w:t>Share Reserve</w:t>
      </w:r>
      <w:r>
        <w:rPr>
          <w:rFonts w:ascii="Arial" w:cs="Arial" w:eastAsia="Arial" w:hAnsi="Arial"/>
          <w:sz w:val="15"/>
          <w:szCs w:val="15"/>
          <w:color w:val="auto"/>
        </w:rPr>
        <w:t>. The Company, during the term of this Plan, will at all times reserve and keep available such number of Shares as will be sufficient to satisfy the requirements of the Plan.</w:t>
      </w:r>
    </w:p>
    <w:p>
      <w:pPr>
        <w:spacing w:after="0" w:line="146" w:lineRule="exact"/>
        <w:rPr>
          <w:rFonts w:ascii="Arial" w:cs="Arial" w:eastAsia="Arial" w:hAnsi="Arial"/>
          <w:sz w:val="15"/>
          <w:szCs w:val="15"/>
          <w:color w:val="auto"/>
        </w:rPr>
      </w:pPr>
    </w:p>
    <w:p>
      <w:pPr>
        <w:ind w:left="720" w:hanging="272"/>
        <w:spacing w:after="0"/>
        <w:tabs>
          <w:tab w:leader="none" w:pos="720" w:val="left"/>
        </w:tabs>
        <w:numPr>
          <w:ilvl w:val="0"/>
          <w:numId w:val="132"/>
        </w:numPr>
        <w:rPr>
          <w:rFonts w:ascii="Arial" w:cs="Arial" w:eastAsia="Arial" w:hAnsi="Arial"/>
          <w:sz w:val="15"/>
          <w:szCs w:val="15"/>
          <w:color w:val="auto"/>
        </w:rPr>
      </w:pPr>
      <w:r>
        <w:rPr>
          <w:rFonts w:ascii="Arial" w:cs="Arial" w:eastAsia="Arial" w:hAnsi="Arial"/>
          <w:sz w:val="15"/>
          <w:szCs w:val="15"/>
          <w:u w:val="single" w:color="auto"/>
          <w:color w:val="auto"/>
        </w:rPr>
        <w:t>Administration of the Plan</w:t>
      </w:r>
      <w:r>
        <w:rPr>
          <w:rFonts w:ascii="Arial" w:cs="Arial" w:eastAsia="Arial" w:hAnsi="Arial"/>
          <w:sz w:val="15"/>
          <w:szCs w:val="15"/>
          <w:color w:val="auto"/>
        </w:rPr>
        <w:t>.</w:t>
      </w:r>
    </w:p>
    <w:p>
      <w:pPr>
        <w:spacing w:after="0" w:line="188" w:lineRule="exact"/>
        <w:rPr>
          <w:rFonts w:ascii="Arial" w:cs="Arial" w:eastAsia="Arial" w:hAnsi="Arial"/>
          <w:sz w:val="15"/>
          <w:szCs w:val="15"/>
          <w:color w:val="auto"/>
        </w:rPr>
      </w:pPr>
    </w:p>
    <w:p>
      <w:pPr>
        <w:ind w:left="1220" w:hanging="314"/>
        <w:spacing w:after="0"/>
        <w:tabs>
          <w:tab w:leader="none" w:pos="1220" w:val="left"/>
        </w:tabs>
        <w:numPr>
          <w:ilvl w:val="1"/>
          <w:numId w:val="132"/>
        </w:numPr>
        <w:rPr>
          <w:rFonts w:ascii="Arial" w:cs="Arial" w:eastAsia="Arial" w:hAnsi="Arial"/>
          <w:sz w:val="15"/>
          <w:szCs w:val="15"/>
          <w:color w:val="auto"/>
        </w:rPr>
      </w:pPr>
      <w:r>
        <w:rPr>
          <w:rFonts w:ascii="Arial" w:cs="Arial" w:eastAsia="Arial" w:hAnsi="Arial"/>
          <w:sz w:val="15"/>
          <w:szCs w:val="15"/>
          <w:u w:val="single" w:color="auto"/>
          <w:color w:val="auto"/>
        </w:rPr>
        <w:t>Procedure</w:t>
      </w:r>
      <w:r>
        <w:rPr>
          <w:rFonts w:ascii="Arial" w:cs="Arial" w:eastAsia="Arial" w:hAnsi="Arial"/>
          <w:sz w:val="15"/>
          <w:szCs w:val="15"/>
          <w:color w:val="auto"/>
        </w:rPr>
        <w:t>.</w:t>
      </w:r>
    </w:p>
    <w:p>
      <w:pPr>
        <w:spacing w:after="0" w:line="188" w:lineRule="exact"/>
        <w:rPr>
          <w:rFonts w:ascii="Arial" w:cs="Arial" w:eastAsia="Arial" w:hAnsi="Arial"/>
          <w:sz w:val="15"/>
          <w:szCs w:val="15"/>
          <w:color w:val="auto"/>
        </w:rPr>
      </w:pPr>
    </w:p>
    <w:p>
      <w:pPr>
        <w:ind w:left="1780" w:hanging="302"/>
        <w:spacing w:after="0"/>
        <w:tabs>
          <w:tab w:leader="none" w:pos="1780" w:val="left"/>
        </w:tabs>
        <w:numPr>
          <w:ilvl w:val="2"/>
          <w:numId w:val="132"/>
        </w:numPr>
        <w:rPr>
          <w:rFonts w:ascii="Arial" w:cs="Arial" w:eastAsia="Arial" w:hAnsi="Arial"/>
          <w:sz w:val="15"/>
          <w:szCs w:val="15"/>
          <w:color w:val="auto"/>
        </w:rPr>
      </w:pPr>
      <w:r>
        <w:rPr>
          <w:rFonts w:ascii="Arial" w:cs="Arial" w:eastAsia="Arial" w:hAnsi="Arial"/>
          <w:sz w:val="15"/>
          <w:szCs w:val="15"/>
          <w:u w:val="single" w:color="auto"/>
          <w:color w:val="auto"/>
        </w:rPr>
        <w:t>Multiple Administrative Bodies</w:t>
      </w:r>
      <w:r>
        <w:rPr>
          <w:rFonts w:ascii="Arial" w:cs="Arial" w:eastAsia="Arial" w:hAnsi="Arial"/>
          <w:sz w:val="15"/>
          <w:szCs w:val="15"/>
          <w:color w:val="auto"/>
        </w:rPr>
        <w:t>. Different Committees with respect to different groups of Service Providers may administer the Plan.</w:t>
      </w:r>
    </w:p>
    <w:p>
      <w:pPr>
        <w:spacing w:after="0" w:line="188" w:lineRule="exact"/>
        <w:rPr>
          <w:rFonts w:ascii="Arial" w:cs="Arial" w:eastAsia="Arial" w:hAnsi="Arial"/>
          <w:sz w:val="15"/>
          <w:szCs w:val="15"/>
          <w:color w:val="auto"/>
        </w:rPr>
      </w:pPr>
    </w:p>
    <w:p>
      <w:pPr>
        <w:ind w:firstLine="1478"/>
        <w:spacing w:after="0" w:line="275" w:lineRule="auto"/>
        <w:tabs>
          <w:tab w:leader="none" w:pos="1822" w:val="left"/>
        </w:tabs>
        <w:numPr>
          <w:ilvl w:val="2"/>
          <w:numId w:val="132"/>
        </w:numPr>
        <w:rPr>
          <w:rFonts w:ascii="Arial" w:cs="Arial" w:eastAsia="Arial" w:hAnsi="Arial"/>
          <w:sz w:val="15"/>
          <w:szCs w:val="15"/>
          <w:color w:val="auto"/>
        </w:rPr>
      </w:pPr>
      <w:r>
        <w:rPr>
          <w:rFonts w:ascii="Arial" w:cs="Arial" w:eastAsia="Arial" w:hAnsi="Arial"/>
          <w:sz w:val="15"/>
          <w:szCs w:val="15"/>
          <w:u w:val="single" w:color="auto"/>
          <w:color w:val="auto"/>
        </w:rPr>
        <w:t>Rule 16b-3</w:t>
      </w:r>
      <w:r>
        <w:rPr>
          <w:rFonts w:ascii="Arial" w:cs="Arial" w:eastAsia="Arial" w:hAnsi="Arial"/>
          <w:sz w:val="15"/>
          <w:szCs w:val="15"/>
          <w:color w:val="auto"/>
        </w:rPr>
        <w:t>. To the extent desirable to qualify transactions hereunder as exempt under Rule 16b-3, the transactions contemplated hereunder will be structured to satisfy the requirements for exemption under Rule 16b-3.</w:t>
      </w:r>
    </w:p>
    <w:p>
      <w:pPr>
        <w:spacing w:after="0" w:line="146" w:lineRule="exact"/>
        <w:rPr>
          <w:rFonts w:ascii="Arial" w:cs="Arial" w:eastAsia="Arial" w:hAnsi="Arial"/>
          <w:sz w:val="15"/>
          <w:szCs w:val="15"/>
          <w:color w:val="auto"/>
        </w:rPr>
      </w:pPr>
    </w:p>
    <w:p>
      <w:pPr>
        <w:ind w:left="1860" w:hanging="382"/>
        <w:spacing w:after="0"/>
        <w:tabs>
          <w:tab w:leader="none" w:pos="1860" w:val="left"/>
        </w:tabs>
        <w:numPr>
          <w:ilvl w:val="2"/>
          <w:numId w:val="132"/>
        </w:numPr>
        <w:rPr>
          <w:rFonts w:ascii="Arial" w:cs="Arial" w:eastAsia="Arial" w:hAnsi="Arial"/>
          <w:sz w:val="13"/>
          <w:szCs w:val="13"/>
          <w:color w:val="auto"/>
        </w:rPr>
      </w:pPr>
      <w:r>
        <w:rPr>
          <w:rFonts w:ascii="Arial" w:cs="Arial" w:eastAsia="Arial" w:hAnsi="Arial"/>
          <w:sz w:val="13"/>
          <w:szCs w:val="13"/>
          <w:u w:val="single" w:color="auto"/>
          <w:color w:val="auto"/>
        </w:rPr>
        <w:t>Other Administration</w:t>
      </w:r>
      <w:r>
        <w:rPr>
          <w:rFonts w:ascii="Arial" w:cs="Arial" w:eastAsia="Arial" w:hAnsi="Arial"/>
          <w:sz w:val="13"/>
          <w:szCs w:val="13"/>
          <w:color w:val="auto"/>
        </w:rPr>
        <w:t>. Other than as provided above, the Plan will be administered by (A) the Board or (B) a Committee, which committee will be constituted</w:t>
      </w:r>
    </w:p>
    <w:p>
      <w:pPr>
        <w:spacing w:after="0" w:line="40"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5"/>
          <w:szCs w:val="15"/>
          <w:color w:val="auto"/>
        </w:rPr>
        <w:t>to satisfy Applicable Laws.</w:t>
      </w:r>
    </w:p>
    <w:p>
      <w:pPr>
        <w:spacing w:after="0" w:line="178" w:lineRule="exact"/>
        <w:rPr>
          <w:rFonts w:ascii="Arial" w:cs="Arial" w:eastAsia="Arial" w:hAnsi="Arial"/>
          <w:sz w:val="13"/>
          <w:szCs w:val="13"/>
          <w:color w:val="auto"/>
        </w:rPr>
      </w:pPr>
    </w:p>
    <w:p>
      <w:pPr>
        <w:ind w:right="620" w:firstLine="906"/>
        <w:spacing w:after="0" w:line="275" w:lineRule="auto"/>
        <w:tabs>
          <w:tab w:leader="none" w:pos="1241" w:val="left"/>
        </w:tabs>
        <w:numPr>
          <w:ilvl w:val="1"/>
          <w:numId w:val="132"/>
        </w:numPr>
        <w:rPr>
          <w:rFonts w:ascii="Arial" w:cs="Arial" w:eastAsia="Arial" w:hAnsi="Arial"/>
          <w:sz w:val="15"/>
          <w:szCs w:val="15"/>
          <w:color w:val="auto"/>
        </w:rPr>
      </w:pPr>
      <w:r>
        <w:rPr>
          <w:rFonts w:ascii="Arial" w:cs="Arial" w:eastAsia="Arial" w:hAnsi="Arial"/>
          <w:sz w:val="15"/>
          <w:szCs w:val="15"/>
          <w:u w:val="single" w:color="auto"/>
          <w:color w:val="auto"/>
        </w:rPr>
        <w:t>Powers of the Administrator</w:t>
      </w:r>
      <w:r>
        <w:rPr>
          <w:rFonts w:ascii="Arial" w:cs="Arial" w:eastAsia="Arial" w:hAnsi="Arial"/>
          <w:sz w:val="15"/>
          <w:szCs w:val="15"/>
          <w:color w:val="auto"/>
        </w:rPr>
        <w:t>. Subject to the provisions of the Plan, and in the case of a Committee, subject to the specific duties delegated by the Board to such Committee, the Administrator will have the authority, in its discretion:</w:t>
      </w:r>
    </w:p>
    <w:p>
      <w:pPr>
        <w:spacing w:after="0" w:line="146" w:lineRule="exact"/>
        <w:rPr>
          <w:rFonts w:ascii="Arial" w:cs="Arial" w:eastAsia="Arial" w:hAnsi="Arial"/>
          <w:sz w:val="15"/>
          <w:szCs w:val="15"/>
          <w:color w:val="auto"/>
        </w:rPr>
      </w:pPr>
    </w:p>
    <w:p>
      <w:pPr>
        <w:ind w:left="1780" w:hanging="302"/>
        <w:spacing w:after="0"/>
        <w:tabs>
          <w:tab w:leader="none" w:pos="1780" w:val="left"/>
        </w:tabs>
        <w:numPr>
          <w:ilvl w:val="2"/>
          <w:numId w:val="132"/>
        </w:numPr>
        <w:rPr>
          <w:rFonts w:ascii="Arial" w:cs="Arial" w:eastAsia="Arial" w:hAnsi="Arial"/>
          <w:sz w:val="15"/>
          <w:szCs w:val="15"/>
          <w:color w:val="auto"/>
        </w:rPr>
      </w:pPr>
      <w:r>
        <w:rPr>
          <w:rFonts w:ascii="Arial" w:cs="Arial" w:eastAsia="Arial" w:hAnsi="Arial"/>
          <w:sz w:val="15"/>
          <w:szCs w:val="15"/>
          <w:color w:val="auto"/>
        </w:rPr>
        <w:t>to determine the Fair Market Value;</w:t>
      </w:r>
    </w:p>
    <w:p>
      <w:pPr>
        <w:spacing w:after="0" w:line="188" w:lineRule="exact"/>
        <w:rPr>
          <w:rFonts w:ascii="Arial" w:cs="Arial" w:eastAsia="Arial" w:hAnsi="Arial"/>
          <w:sz w:val="15"/>
          <w:szCs w:val="15"/>
          <w:color w:val="auto"/>
        </w:rPr>
      </w:pPr>
    </w:p>
    <w:p>
      <w:pPr>
        <w:ind w:left="1820" w:hanging="342"/>
        <w:spacing w:after="0"/>
        <w:tabs>
          <w:tab w:leader="none" w:pos="1820" w:val="left"/>
        </w:tabs>
        <w:numPr>
          <w:ilvl w:val="2"/>
          <w:numId w:val="132"/>
        </w:numPr>
        <w:rPr>
          <w:rFonts w:ascii="Arial" w:cs="Arial" w:eastAsia="Arial" w:hAnsi="Arial"/>
          <w:sz w:val="15"/>
          <w:szCs w:val="15"/>
          <w:color w:val="auto"/>
        </w:rPr>
      </w:pPr>
      <w:r>
        <w:rPr>
          <w:rFonts w:ascii="Arial" w:cs="Arial" w:eastAsia="Arial" w:hAnsi="Arial"/>
          <w:sz w:val="15"/>
          <w:szCs w:val="15"/>
          <w:color w:val="auto"/>
        </w:rPr>
        <w:t>to select the Service Providers to whom Awards may be granted hereunder;</w:t>
      </w:r>
    </w:p>
    <w:p>
      <w:pPr>
        <w:spacing w:after="0" w:line="132"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-7-</w:t>
      </w:r>
    </w:p>
    <w:p>
      <w:pPr>
        <w:sectPr>
          <w:pgSz w:w="11900" w:h="16838" w:orient="portrait"/>
          <w:cols w:equalWidth="0" w:num="1">
            <w:col w:w="11420"/>
          </w:cols>
          <w:pgMar w:left="240" w:top="253" w:right="239" w:bottom="1440" w:gutter="0" w:footer="0" w:header="0"/>
        </w:sectPr>
      </w:pPr>
    </w:p>
    <w:bookmarkStart w:id="255" w:name="page256"/>
    <w:bookmarkEnd w:id="255"/>
    <w:p>
      <w:pPr>
        <w:ind w:left="1860" w:hanging="382"/>
        <w:spacing w:after="0"/>
        <w:tabs>
          <w:tab w:leader="none" w:pos="1860" w:val="left"/>
        </w:tabs>
        <w:numPr>
          <w:ilvl w:val="1"/>
          <w:numId w:val="133"/>
        </w:numPr>
        <w:rPr>
          <w:rFonts w:ascii="Arial" w:cs="Arial" w:eastAsia="Arial" w:hAnsi="Arial"/>
          <w:sz w:val="15"/>
          <w:szCs w:val="15"/>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133350</wp:posOffset>
            </wp:positionH>
            <wp:positionV relativeFrom="page">
              <wp:posOffset>88900</wp:posOffset>
            </wp:positionV>
            <wp:extent cx="7308850" cy="34290"/>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93">
                      <a:extLst>
                        <a:ext uri="{28A0092B-C50C-407E-A947-70E740481C1C}"/>
                      </a:extLst>
                    </a:blip>
                    <a:srcRect/>
                    <a:stretch>
                      <a:fillRect/>
                    </a:stretch>
                  </pic:blipFill>
                  <pic:spPr bwMode="auto">
                    <a:xfrm>
                      <a:off x="0" y="0"/>
                      <a:ext cx="7308850" cy="34290"/>
                    </a:xfrm>
                    <a:prstGeom prst="rect">
                      <a:avLst/>
                    </a:prstGeom>
                    <a:noFill/>
                  </pic:spPr>
                </pic:pic>
              </a:graphicData>
            </a:graphic>
          </wp:anchor>
        </w:drawing>
        <w:t>to determine the number of Shares to be covered by each Award granted hereunder;</w:t>
      </w:r>
    </w:p>
    <w:p>
      <w:pPr>
        <w:spacing w:after="0" w:line="188" w:lineRule="exact"/>
        <w:rPr>
          <w:rFonts w:ascii="Arial" w:cs="Arial" w:eastAsia="Arial" w:hAnsi="Arial"/>
          <w:sz w:val="15"/>
          <w:szCs w:val="15"/>
          <w:color w:val="auto"/>
        </w:rPr>
      </w:pPr>
    </w:p>
    <w:p>
      <w:pPr>
        <w:ind w:left="1840" w:hanging="362"/>
        <w:spacing w:after="0"/>
        <w:tabs>
          <w:tab w:leader="none" w:pos="1840" w:val="left"/>
        </w:tabs>
        <w:numPr>
          <w:ilvl w:val="1"/>
          <w:numId w:val="133"/>
        </w:numPr>
        <w:rPr>
          <w:rFonts w:ascii="Arial" w:cs="Arial" w:eastAsia="Arial" w:hAnsi="Arial"/>
          <w:sz w:val="15"/>
          <w:szCs w:val="15"/>
          <w:color w:val="auto"/>
        </w:rPr>
      </w:pPr>
      <w:r>
        <w:rPr>
          <w:rFonts w:ascii="Arial" w:cs="Arial" w:eastAsia="Arial" w:hAnsi="Arial"/>
          <w:sz w:val="15"/>
          <w:szCs w:val="15"/>
          <w:color w:val="auto"/>
        </w:rPr>
        <w:t>to approve forms of Award Agreements for use under the Plan;</w:t>
      </w:r>
    </w:p>
    <w:p>
      <w:pPr>
        <w:spacing w:after="0" w:line="188" w:lineRule="exact"/>
        <w:rPr>
          <w:rFonts w:ascii="Arial" w:cs="Arial" w:eastAsia="Arial" w:hAnsi="Arial"/>
          <w:sz w:val="15"/>
          <w:szCs w:val="15"/>
          <w:color w:val="auto"/>
        </w:rPr>
      </w:pPr>
    </w:p>
    <w:p>
      <w:pPr>
        <w:ind w:right="40" w:firstLine="1478"/>
        <w:spacing w:after="0" w:line="290" w:lineRule="auto"/>
        <w:tabs>
          <w:tab w:leader="none" w:pos="1814" w:val="left"/>
        </w:tabs>
        <w:numPr>
          <w:ilvl w:val="1"/>
          <w:numId w:val="133"/>
        </w:numPr>
        <w:rPr>
          <w:rFonts w:ascii="Arial" w:cs="Arial" w:eastAsia="Arial" w:hAnsi="Arial"/>
          <w:sz w:val="14"/>
          <w:szCs w:val="14"/>
          <w:color w:val="auto"/>
        </w:rPr>
      </w:pPr>
      <w:r>
        <w:rPr>
          <w:rFonts w:ascii="Arial" w:cs="Arial" w:eastAsia="Arial" w:hAnsi="Arial"/>
          <w:sz w:val="14"/>
          <w:szCs w:val="14"/>
          <w:color w:val="auto"/>
        </w:rPr>
        <w:t>to determine the terms and conditions, not inconsistent with the terms of the Plan, of any Award granted hereunder. Such terms and conditions include, but are not limited to, the exercise price, the time or times when Awards may be exercised (which may be based on performance criteria), any vesting acceleration or waiver of forfeiture restrictions, and any restriction or limitation regarding any Award or the Shares relating thereto, based in each case on such factors as the Administrator will determine;</w:t>
      </w:r>
    </w:p>
    <w:p>
      <w:pPr>
        <w:spacing w:after="0" w:line="138" w:lineRule="exact"/>
        <w:rPr>
          <w:rFonts w:ascii="Arial" w:cs="Arial" w:eastAsia="Arial" w:hAnsi="Arial"/>
          <w:sz w:val="14"/>
          <w:szCs w:val="14"/>
          <w:color w:val="auto"/>
        </w:rPr>
      </w:pPr>
    </w:p>
    <w:p>
      <w:pPr>
        <w:ind w:left="1840" w:hanging="362"/>
        <w:spacing w:after="0"/>
        <w:tabs>
          <w:tab w:leader="none" w:pos="1840" w:val="left"/>
        </w:tabs>
        <w:numPr>
          <w:ilvl w:val="1"/>
          <w:numId w:val="133"/>
        </w:numPr>
        <w:rPr>
          <w:rFonts w:ascii="Arial" w:cs="Arial" w:eastAsia="Arial" w:hAnsi="Arial"/>
          <w:sz w:val="15"/>
          <w:szCs w:val="15"/>
          <w:color w:val="auto"/>
        </w:rPr>
      </w:pPr>
      <w:r>
        <w:rPr>
          <w:rFonts w:ascii="Arial" w:cs="Arial" w:eastAsia="Arial" w:hAnsi="Arial"/>
          <w:sz w:val="15"/>
          <w:szCs w:val="15"/>
          <w:color w:val="auto"/>
        </w:rPr>
        <w:t>to institute and determine the terms and conditions of an Exchange Program;</w:t>
      </w:r>
    </w:p>
    <w:p>
      <w:pPr>
        <w:spacing w:after="0" w:line="188" w:lineRule="exact"/>
        <w:rPr>
          <w:rFonts w:ascii="Arial" w:cs="Arial" w:eastAsia="Arial" w:hAnsi="Arial"/>
          <w:sz w:val="15"/>
          <w:szCs w:val="15"/>
          <w:color w:val="auto"/>
        </w:rPr>
      </w:pPr>
    </w:p>
    <w:p>
      <w:pPr>
        <w:ind w:left="1880" w:hanging="402"/>
        <w:spacing w:after="0"/>
        <w:tabs>
          <w:tab w:leader="none" w:pos="1880" w:val="left"/>
        </w:tabs>
        <w:numPr>
          <w:ilvl w:val="1"/>
          <w:numId w:val="133"/>
        </w:numPr>
        <w:rPr>
          <w:rFonts w:ascii="Arial" w:cs="Arial" w:eastAsia="Arial" w:hAnsi="Arial"/>
          <w:sz w:val="15"/>
          <w:szCs w:val="15"/>
          <w:color w:val="auto"/>
        </w:rPr>
      </w:pPr>
      <w:r>
        <w:rPr>
          <w:rFonts w:ascii="Arial" w:cs="Arial" w:eastAsia="Arial" w:hAnsi="Arial"/>
          <w:sz w:val="15"/>
          <w:szCs w:val="15"/>
          <w:color w:val="auto"/>
        </w:rPr>
        <w:t>to construe and interpret the terms of the Plan and Awards granted pursuant to the Plan;</w:t>
      </w:r>
    </w:p>
    <w:p>
      <w:pPr>
        <w:spacing w:after="0" w:line="188" w:lineRule="exact"/>
        <w:rPr>
          <w:rFonts w:ascii="Arial" w:cs="Arial" w:eastAsia="Arial" w:hAnsi="Arial"/>
          <w:sz w:val="15"/>
          <w:szCs w:val="15"/>
          <w:color w:val="auto"/>
        </w:rPr>
      </w:pPr>
    </w:p>
    <w:p>
      <w:pPr>
        <w:ind w:right="120" w:firstLine="1478"/>
        <w:spacing w:after="0" w:line="275" w:lineRule="auto"/>
        <w:tabs>
          <w:tab w:leader="none" w:pos="1939" w:val="left"/>
        </w:tabs>
        <w:numPr>
          <w:ilvl w:val="1"/>
          <w:numId w:val="133"/>
        </w:numPr>
        <w:rPr>
          <w:rFonts w:ascii="Arial" w:cs="Arial" w:eastAsia="Arial" w:hAnsi="Arial"/>
          <w:sz w:val="15"/>
          <w:szCs w:val="15"/>
          <w:color w:val="auto"/>
        </w:rPr>
      </w:pPr>
      <w:r>
        <w:rPr>
          <w:rFonts w:ascii="Arial" w:cs="Arial" w:eastAsia="Arial" w:hAnsi="Arial"/>
          <w:sz w:val="15"/>
          <w:szCs w:val="15"/>
          <w:color w:val="auto"/>
        </w:rPr>
        <w:t>to prescribe, amend and rescind rules and regulations relating to the Plan, including rules and regulations relating to sub-plans established for the purpose of satisfying applicable non-U.S. laws or for qualifying for favorable tax treatment under applicable non-U.S. laws;</w:t>
      </w:r>
    </w:p>
    <w:p>
      <w:pPr>
        <w:spacing w:after="0" w:line="146" w:lineRule="exact"/>
        <w:rPr>
          <w:rFonts w:ascii="Arial" w:cs="Arial" w:eastAsia="Arial" w:hAnsi="Arial"/>
          <w:sz w:val="15"/>
          <w:szCs w:val="15"/>
          <w:color w:val="auto"/>
        </w:rPr>
      </w:pPr>
    </w:p>
    <w:p>
      <w:pPr>
        <w:ind w:right="380" w:firstLine="1478"/>
        <w:spacing w:after="0" w:line="275" w:lineRule="auto"/>
        <w:tabs>
          <w:tab w:leader="none" w:pos="1855" w:val="left"/>
        </w:tabs>
        <w:numPr>
          <w:ilvl w:val="1"/>
          <w:numId w:val="133"/>
        </w:numPr>
        <w:rPr>
          <w:rFonts w:ascii="Arial" w:cs="Arial" w:eastAsia="Arial" w:hAnsi="Arial"/>
          <w:sz w:val="15"/>
          <w:szCs w:val="15"/>
          <w:color w:val="auto"/>
        </w:rPr>
      </w:pPr>
      <w:r>
        <w:rPr>
          <w:rFonts w:ascii="Arial" w:cs="Arial" w:eastAsia="Arial" w:hAnsi="Arial"/>
          <w:sz w:val="15"/>
          <w:szCs w:val="15"/>
          <w:color w:val="auto"/>
        </w:rPr>
        <w:t>to modify or amend each Award (subject to Section 19 of the Plan), including but not limited to the discretionary authority to extend the post-termination exercisability period of Awards and to extend the maximum term of an Option (subject to Section 6(b) of the Plan regarding Incentive Stock Options);</w:t>
      </w:r>
    </w:p>
    <w:p>
      <w:pPr>
        <w:spacing w:after="0" w:line="146" w:lineRule="exact"/>
        <w:rPr>
          <w:rFonts w:ascii="Arial" w:cs="Arial" w:eastAsia="Arial" w:hAnsi="Arial"/>
          <w:sz w:val="15"/>
          <w:szCs w:val="15"/>
          <w:color w:val="auto"/>
        </w:rPr>
      </w:pPr>
    </w:p>
    <w:p>
      <w:pPr>
        <w:ind w:left="1800" w:hanging="322"/>
        <w:spacing w:after="0"/>
        <w:tabs>
          <w:tab w:leader="none" w:pos="1800" w:val="left"/>
        </w:tabs>
        <w:numPr>
          <w:ilvl w:val="1"/>
          <w:numId w:val="133"/>
        </w:numPr>
        <w:rPr>
          <w:rFonts w:ascii="Arial" w:cs="Arial" w:eastAsia="Arial" w:hAnsi="Arial"/>
          <w:sz w:val="15"/>
          <w:szCs w:val="15"/>
          <w:color w:val="auto"/>
        </w:rPr>
      </w:pPr>
      <w:r>
        <w:rPr>
          <w:rFonts w:ascii="Arial" w:cs="Arial" w:eastAsia="Arial" w:hAnsi="Arial"/>
          <w:sz w:val="15"/>
          <w:szCs w:val="15"/>
          <w:color w:val="auto"/>
        </w:rPr>
        <w:t>to allow Participants to satisfy tax withholding obligations in such manner as prescribed in Section 15 of the Plan;</w:t>
      </w:r>
    </w:p>
    <w:p>
      <w:pPr>
        <w:spacing w:after="0" w:line="188" w:lineRule="exact"/>
        <w:rPr>
          <w:rFonts w:ascii="Arial" w:cs="Arial" w:eastAsia="Arial" w:hAnsi="Arial"/>
          <w:sz w:val="15"/>
          <w:szCs w:val="15"/>
          <w:color w:val="auto"/>
        </w:rPr>
      </w:pPr>
    </w:p>
    <w:p>
      <w:pPr>
        <w:ind w:left="1840" w:hanging="362"/>
        <w:spacing w:after="0"/>
        <w:tabs>
          <w:tab w:leader="none" w:pos="1840" w:val="left"/>
        </w:tabs>
        <w:numPr>
          <w:ilvl w:val="1"/>
          <w:numId w:val="133"/>
        </w:numPr>
        <w:rPr>
          <w:rFonts w:ascii="Arial" w:cs="Arial" w:eastAsia="Arial" w:hAnsi="Arial"/>
          <w:sz w:val="13"/>
          <w:szCs w:val="13"/>
          <w:color w:val="auto"/>
        </w:rPr>
      </w:pPr>
      <w:r>
        <w:rPr>
          <w:rFonts w:ascii="Arial" w:cs="Arial" w:eastAsia="Arial" w:hAnsi="Arial"/>
          <w:sz w:val="13"/>
          <w:szCs w:val="13"/>
          <w:color w:val="auto"/>
        </w:rPr>
        <w:t>to authorize any person to execute on behalf of the Company any instrument required to effect the grant of an Award previously granted by the Administrator;</w:t>
      </w:r>
    </w:p>
    <w:p>
      <w:pPr>
        <w:spacing w:after="0" w:line="211" w:lineRule="exact"/>
        <w:rPr>
          <w:rFonts w:ascii="Arial" w:cs="Arial" w:eastAsia="Arial" w:hAnsi="Arial"/>
          <w:sz w:val="13"/>
          <w:szCs w:val="13"/>
          <w:color w:val="auto"/>
        </w:rPr>
      </w:pPr>
    </w:p>
    <w:p>
      <w:pPr>
        <w:ind w:left="1880" w:hanging="402"/>
        <w:spacing w:after="0"/>
        <w:tabs>
          <w:tab w:leader="none" w:pos="1880" w:val="left"/>
        </w:tabs>
        <w:numPr>
          <w:ilvl w:val="1"/>
          <w:numId w:val="133"/>
        </w:numPr>
        <w:rPr>
          <w:rFonts w:ascii="Arial" w:cs="Arial" w:eastAsia="Arial" w:hAnsi="Arial"/>
          <w:sz w:val="13"/>
          <w:szCs w:val="13"/>
          <w:color w:val="auto"/>
        </w:rPr>
      </w:pPr>
      <w:r>
        <w:rPr>
          <w:rFonts w:ascii="Arial" w:cs="Arial" w:eastAsia="Arial" w:hAnsi="Arial"/>
          <w:sz w:val="13"/>
          <w:szCs w:val="13"/>
          <w:color w:val="auto"/>
        </w:rPr>
        <w:t>to allow a Participant to defer the receipt of the payment of cash or the delivery of Shares that would otherwise be due to such Participant under an Award; and</w:t>
      </w:r>
    </w:p>
    <w:p>
      <w:pPr>
        <w:spacing w:after="0" w:line="211" w:lineRule="exact"/>
        <w:rPr>
          <w:rFonts w:ascii="Arial" w:cs="Arial" w:eastAsia="Arial" w:hAnsi="Arial"/>
          <w:sz w:val="13"/>
          <w:szCs w:val="13"/>
          <w:color w:val="auto"/>
        </w:rPr>
      </w:pPr>
    </w:p>
    <w:p>
      <w:pPr>
        <w:ind w:left="1920" w:hanging="442"/>
        <w:spacing w:after="0"/>
        <w:tabs>
          <w:tab w:leader="none" w:pos="1920" w:val="left"/>
        </w:tabs>
        <w:numPr>
          <w:ilvl w:val="1"/>
          <w:numId w:val="133"/>
        </w:numPr>
        <w:rPr>
          <w:rFonts w:ascii="Arial" w:cs="Arial" w:eastAsia="Arial" w:hAnsi="Arial"/>
          <w:sz w:val="15"/>
          <w:szCs w:val="15"/>
          <w:color w:val="auto"/>
        </w:rPr>
      </w:pPr>
      <w:r>
        <w:rPr>
          <w:rFonts w:ascii="Arial" w:cs="Arial" w:eastAsia="Arial" w:hAnsi="Arial"/>
          <w:sz w:val="15"/>
          <w:szCs w:val="15"/>
          <w:color w:val="auto"/>
        </w:rPr>
        <w:t>to make all other determinations deemed necessary or advisable for administering the Plan.</w:t>
      </w:r>
    </w:p>
    <w:p>
      <w:pPr>
        <w:spacing w:after="0" w:line="188" w:lineRule="exact"/>
        <w:rPr>
          <w:rFonts w:ascii="Arial" w:cs="Arial" w:eastAsia="Arial" w:hAnsi="Arial"/>
          <w:sz w:val="15"/>
          <w:szCs w:val="15"/>
          <w:color w:val="auto"/>
        </w:rPr>
      </w:pPr>
    </w:p>
    <w:p>
      <w:pPr>
        <w:ind w:left="1220" w:hanging="314"/>
        <w:spacing w:after="0"/>
        <w:tabs>
          <w:tab w:leader="none" w:pos="1220" w:val="left"/>
        </w:tabs>
        <w:numPr>
          <w:ilvl w:val="0"/>
          <w:numId w:val="134"/>
        </w:numPr>
        <w:rPr>
          <w:rFonts w:ascii="Arial" w:cs="Arial" w:eastAsia="Arial" w:hAnsi="Arial"/>
          <w:sz w:val="14"/>
          <w:szCs w:val="14"/>
          <w:color w:val="auto"/>
        </w:rPr>
      </w:pPr>
      <w:r>
        <w:rPr>
          <w:rFonts w:ascii="Arial" w:cs="Arial" w:eastAsia="Arial" w:hAnsi="Arial"/>
          <w:sz w:val="14"/>
          <w:szCs w:val="14"/>
          <w:u w:val="single" w:color="auto"/>
          <w:color w:val="auto"/>
        </w:rPr>
        <w:t>Effect of Administrator’s Decision</w:t>
      </w:r>
      <w:r>
        <w:rPr>
          <w:rFonts w:ascii="Arial" w:cs="Arial" w:eastAsia="Arial" w:hAnsi="Arial"/>
          <w:sz w:val="14"/>
          <w:szCs w:val="14"/>
          <w:color w:val="auto"/>
        </w:rPr>
        <w:t>. The Administrator’s decisions, determinations and interpretations will be final and binding on all Participants and any other holders</w:t>
      </w:r>
    </w:p>
    <w:p>
      <w:pPr>
        <w:spacing w:after="0" w:line="28" w:lineRule="exact"/>
        <w:rPr>
          <w:rFonts w:ascii="Arial" w:cs="Arial" w:eastAsia="Arial" w:hAnsi="Arial"/>
          <w:sz w:val="14"/>
          <w:szCs w:val="14"/>
          <w:color w:val="auto"/>
        </w:rPr>
      </w:pPr>
    </w:p>
    <w:p>
      <w:pPr>
        <w:spacing w:after="0"/>
        <w:rPr>
          <w:rFonts w:ascii="Arial" w:cs="Arial" w:eastAsia="Arial" w:hAnsi="Arial"/>
          <w:sz w:val="14"/>
          <w:szCs w:val="14"/>
          <w:color w:val="auto"/>
        </w:rPr>
      </w:pPr>
      <w:r>
        <w:rPr>
          <w:rFonts w:ascii="Arial" w:cs="Arial" w:eastAsia="Arial" w:hAnsi="Arial"/>
          <w:sz w:val="15"/>
          <w:szCs w:val="15"/>
          <w:color w:val="auto"/>
        </w:rPr>
        <w:t>of Awards.</w:t>
      </w:r>
    </w:p>
    <w:p>
      <w:pPr>
        <w:spacing w:after="0" w:line="179" w:lineRule="exact"/>
        <w:rPr>
          <w:sz w:val="20"/>
          <w:szCs w:val="20"/>
          <w:color w:val="auto"/>
        </w:rPr>
      </w:pPr>
    </w:p>
    <w:p>
      <w:pPr>
        <w:ind w:right="380" w:firstLine="448"/>
        <w:spacing w:after="0" w:line="275" w:lineRule="auto"/>
        <w:tabs>
          <w:tab w:leader="none" w:pos="721" w:val="left"/>
        </w:tabs>
        <w:numPr>
          <w:ilvl w:val="0"/>
          <w:numId w:val="135"/>
        </w:numPr>
        <w:rPr>
          <w:rFonts w:ascii="Arial" w:cs="Arial" w:eastAsia="Arial" w:hAnsi="Arial"/>
          <w:sz w:val="15"/>
          <w:szCs w:val="15"/>
          <w:color w:val="auto"/>
        </w:rPr>
      </w:pPr>
      <w:r>
        <w:rPr>
          <w:rFonts w:ascii="Arial" w:cs="Arial" w:eastAsia="Arial" w:hAnsi="Arial"/>
          <w:sz w:val="15"/>
          <w:szCs w:val="15"/>
          <w:u w:val="single" w:color="auto"/>
          <w:color w:val="auto"/>
        </w:rPr>
        <w:t>Eligibility</w:t>
      </w:r>
      <w:r>
        <w:rPr>
          <w:rFonts w:ascii="Arial" w:cs="Arial" w:eastAsia="Arial" w:hAnsi="Arial"/>
          <w:sz w:val="15"/>
          <w:szCs w:val="15"/>
          <w:color w:val="auto"/>
        </w:rPr>
        <w:t>. Nonstatutory Stock Options, Stock Appreciation Rights, Restricted Stock, Restricted Stock Units, Performance Shares and Performance Units may be granted to Service Providers. Incentive Stock Options may be granted only to Employees.</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-8-</w:t>
      </w:r>
    </w:p>
    <w:p>
      <w:pPr>
        <w:sectPr>
          <w:pgSz w:w="11900" w:h="16838" w:orient="portrait"/>
          <w:cols w:equalWidth="0" w:num="1">
            <w:col w:w="11440"/>
          </w:cols>
          <w:pgMar w:left="240" w:top="253" w:right="219" w:bottom="1440" w:gutter="0" w:footer="0" w:header="0"/>
        </w:sectPr>
      </w:pPr>
    </w:p>
    <w:bookmarkStart w:id="256" w:name="page257"/>
    <w:bookmarkEnd w:id="256"/>
    <w:p>
      <w:pPr>
        <w:ind w:left="720" w:hanging="272"/>
        <w:spacing w:after="0"/>
        <w:tabs>
          <w:tab w:leader="none" w:pos="720" w:val="left"/>
        </w:tabs>
        <w:numPr>
          <w:ilvl w:val="0"/>
          <w:numId w:val="136"/>
        </w:numPr>
        <w:rPr>
          <w:rFonts w:ascii="Arial" w:cs="Arial" w:eastAsia="Arial" w:hAnsi="Arial"/>
          <w:sz w:val="15"/>
          <w:szCs w:val="15"/>
          <w:color w:val="auto"/>
        </w:rPr>
      </w:pPr>
      <w:r>
        <w:rPr>
          <w:rFonts w:ascii="Arial" w:cs="Arial" w:eastAsia="Arial" w:hAnsi="Arial"/>
          <w:sz w:val="15"/>
          <w:szCs w:val="15"/>
          <w:u w:val="single" w:color="auto"/>
          <w:color w:val="auto"/>
        </w:rPr>
        <w:drawing>
          <wp:anchor simplePos="0" relativeHeight="251657728" behindDoc="1" locked="0" layoutInCell="0" allowOverlap="1">
            <wp:simplePos x="0" y="0"/>
            <wp:positionH relativeFrom="page">
              <wp:posOffset>133350</wp:posOffset>
            </wp:positionH>
            <wp:positionV relativeFrom="page">
              <wp:posOffset>88900</wp:posOffset>
            </wp:positionV>
            <wp:extent cx="7308850" cy="34290"/>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94">
                      <a:extLst>
                        <a:ext uri="{28A0092B-C50C-407E-A947-70E740481C1C}"/>
                      </a:extLst>
                    </a:blip>
                    <a:srcRect/>
                    <a:stretch>
                      <a:fillRect/>
                    </a:stretch>
                  </pic:blipFill>
                  <pic:spPr bwMode="auto">
                    <a:xfrm>
                      <a:off x="0" y="0"/>
                      <a:ext cx="7308850" cy="34290"/>
                    </a:xfrm>
                    <a:prstGeom prst="rect">
                      <a:avLst/>
                    </a:prstGeom>
                    <a:noFill/>
                  </pic:spPr>
                </pic:pic>
              </a:graphicData>
            </a:graphic>
          </wp:anchor>
        </w:drawing>
        <w:t>Stock Options</w:t>
      </w:r>
      <w:r>
        <w:rPr>
          <w:rFonts w:ascii="Arial" w:cs="Arial" w:eastAsia="Arial" w:hAnsi="Arial"/>
          <w:sz w:val="15"/>
          <w:szCs w:val="15"/>
          <w:color w:val="auto"/>
        </w:rPr>
        <w:t>.</w:t>
      </w:r>
    </w:p>
    <w:p>
      <w:pPr>
        <w:spacing w:after="0" w:line="188" w:lineRule="exact"/>
        <w:rPr>
          <w:rFonts w:ascii="Arial" w:cs="Arial" w:eastAsia="Arial" w:hAnsi="Arial"/>
          <w:sz w:val="15"/>
          <w:szCs w:val="15"/>
          <w:color w:val="auto"/>
        </w:rPr>
      </w:pPr>
    </w:p>
    <w:p>
      <w:pPr>
        <w:ind w:right="20" w:firstLine="906"/>
        <w:spacing w:after="0" w:line="257" w:lineRule="auto"/>
        <w:tabs>
          <w:tab w:leader="none" w:pos="1233" w:val="left"/>
        </w:tabs>
        <w:numPr>
          <w:ilvl w:val="1"/>
          <w:numId w:val="136"/>
        </w:numPr>
        <w:rPr>
          <w:rFonts w:ascii="Arial" w:cs="Arial" w:eastAsia="Arial" w:hAnsi="Arial"/>
          <w:sz w:val="15"/>
          <w:szCs w:val="15"/>
          <w:color w:val="auto"/>
        </w:rPr>
      </w:pPr>
      <w:r>
        <w:rPr>
          <w:rFonts w:ascii="Arial" w:cs="Arial" w:eastAsia="Arial" w:hAnsi="Arial"/>
          <w:sz w:val="15"/>
          <w:szCs w:val="15"/>
          <w:u w:val="single" w:color="auto"/>
          <w:color w:val="auto"/>
        </w:rPr>
        <w:t>Limitations</w:t>
      </w:r>
      <w:r>
        <w:rPr>
          <w:rFonts w:ascii="Arial" w:cs="Arial" w:eastAsia="Arial" w:hAnsi="Arial"/>
          <w:sz w:val="15"/>
          <w:szCs w:val="15"/>
          <w:color w:val="auto"/>
        </w:rPr>
        <w:t>. Each Option will be designated in the Award Agreement as either an Incentive Stock Option or a Nonstatutory Stock Option. However, notwithstanding such designation, to the extent that the aggregate fair market value of the shares with respect to which incentive stock options are exercisable for the first time by the Participant during any calendar year (under all plans of the Company and any Parent or Subsidiary) exceeds one hundred thousand dollars ($100,000), such options will be treated as nonstatutory stock options. For purposes of this Section 6(a), incentive stock options will be taken into account in the order in which they were granted. The fair market value of the shares will be determined as of the time the option with respect to such shares is granted.</w:t>
      </w:r>
    </w:p>
    <w:p>
      <w:pPr>
        <w:spacing w:after="0" w:line="159" w:lineRule="exact"/>
        <w:rPr>
          <w:rFonts w:ascii="Arial" w:cs="Arial" w:eastAsia="Arial" w:hAnsi="Arial"/>
          <w:sz w:val="15"/>
          <w:szCs w:val="15"/>
          <w:color w:val="auto"/>
        </w:rPr>
      </w:pPr>
    </w:p>
    <w:p>
      <w:pPr>
        <w:ind w:firstLine="906"/>
        <w:spacing w:after="0" w:line="283" w:lineRule="auto"/>
        <w:tabs>
          <w:tab w:leader="none" w:pos="1241" w:val="left"/>
        </w:tabs>
        <w:numPr>
          <w:ilvl w:val="1"/>
          <w:numId w:val="136"/>
        </w:numPr>
        <w:rPr>
          <w:rFonts w:ascii="Arial" w:cs="Arial" w:eastAsia="Arial" w:hAnsi="Arial"/>
          <w:sz w:val="14"/>
          <w:szCs w:val="14"/>
          <w:color w:val="auto"/>
        </w:rPr>
      </w:pPr>
      <w:r>
        <w:rPr>
          <w:rFonts w:ascii="Arial" w:cs="Arial" w:eastAsia="Arial" w:hAnsi="Arial"/>
          <w:sz w:val="14"/>
          <w:szCs w:val="14"/>
          <w:u w:val="single" w:color="auto"/>
          <w:color w:val="auto"/>
        </w:rPr>
        <w:t>Term of Option</w:t>
      </w:r>
      <w:r>
        <w:rPr>
          <w:rFonts w:ascii="Arial" w:cs="Arial" w:eastAsia="Arial" w:hAnsi="Arial"/>
          <w:sz w:val="14"/>
          <w:szCs w:val="14"/>
          <w:color w:val="auto"/>
        </w:rPr>
        <w:t>. The term of each Option will be stated in the Award Agreement. In the case of an Incentive Stock Option, the term will be ten (10) years from the date of grant or such shorter term as may be provided in the Award Agreement. Moreover, in the case of an Incentive Stock Option granted to a Participant who, at the time the Incentive Stock Option is granted, owns stock representing more than ten percent (10%) of the total combined voting power of all classes of stock of the Company or any Parent or Subsidiary, the term of the Incentive Stock Option will be five (5) years from the date of grant or such shorter term as may be provided in the Award Agreement.</w:t>
      </w:r>
    </w:p>
    <w:p>
      <w:pPr>
        <w:spacing w:after="0" w:line="142" w:lineRule="exact"/>
        <w:rPr>
          <w:rFonts w:ascii="Arial" w:cs="Arial" w:eastAsia="Arial" w:hAnsi="Arial"/>
          <w:sz w:val="14"/>
          <w:szCs w:val="14"/>
          <w:color w:val="auto"/>
        </w:rPr>
      </w:pPr>
    </w:p>
    <w:p>
      <w:pPr>
        <w:ind w:left="1220" w:hanging="314"/>
        <w:spacing w:after="0"/>
        <w:tabs>
          <w:tab w:leader="none" w:pos="1220" w:val="left"/>
        </w:tabs>
        <w:numPr>
          <w:ilvl w:val="1"/>
          <w:numId w:val="136"/>
        </w:numPr>
        <w:rPr>
          <w:rFonts w:ascii="Arial" w:cs="Arial" w:eastAsia="Arial" w:hAnsi="Arial"/>
          <w:sz w:val="15"/>
          <w:szCs w:val="15"/>
          <w:color w:val="auto"/>
        </w:rPr>
      </w:pPr>
      <w:r>
        <w:rPr>
          <w:rFonts w:ascii="Arial" w:cs="Arial" w:eastAsia="Arial" w:hAnsi="Arial"/>
          <w:sz w:val="15"/>
          <w:szCs w:val="15"/>
          <w:u w:val="single" w:color="auto"/>
          <w:color w:val="auto"/>
        </w:rPr>
        <w:t>Option Exercise Price and Consideration</w:t>
      </w:r>
      <w:r>
        <w:rPr>
          <w:rFonts w:ascii="Arial" w:cs="Arial" w:eastAsia="Arial" w:hAnsi="Arial"/>
          <w:sz w:val="15"/>
          <w:szCs w:val="15"/>
          <w:color w:val="auto"/>
        </w:rPr>
        <w:t>.</w:t>
      </w:r>
    </w:p>
    <w:p>
      <w:pPr>
        <w:spacing w:after="0" w:line="188" w:lineRule="exact"/>
        <w:rPr>
          <w:rFonts w:ascii="Arial" w:cs="Arial" w:eastAsia="Arial" w:hAnsi="Arial"/>
          <w:sz w:val="15"/>
          <w:szCs w:val="15"/>
          <w:color w:val="auto"/>
        </w:rPr>
      </w:pPr>
    </w:p>
    <w:p>
      <w:pPr>
        <w:ind w:left="1780" w:hanging="302"/>
        <w:spacing w:after="0"/>
        <w:tabs>
          <w:tab w:leader="none" w:pos="1780" w:val="left"/>
        </w:tabs>
        <w:numPr>
          <w:ilvl w:val="2"/>
          <w:numId w:val="136"/>
        </w:numPr>
        <w:rPr>
          <w:rFonts w:ascii="Arial" w:cs="Arial" w:eastAsia="Arial" w:hAnsi="Arial"/>
          <w:sz w:val="13"/>
          <w:szCs w:val="13"/>
          <w:color w:val="auto"/>
        </w:rPr>
      </w:pPr>
      <w:r>
        <w:rPr>
          <w:rFonts w:ascii="Arial" w:cs="Arial" w:eastAsia="Arial" w:hAnsi="Arial"/>
          <w:sz w:val="13"/>
          <w:szCs w:val="13"/>
          <w:u w:val="single" w:color="auto"/>
          <w:color w:val="auto"/>
        </w:rPr>
        <w:t>Exercise Price</w:t>
      </w:r>
      <w:r>
        <w:rPr>
          <w:rFonts w:ascii="Arial" w:cs="Arial" w:eastAsia="Arial" w:hAnsi="Arial"/>
          <w:sz w:val="13"/>
          <w:szCs w:val="13"/>
          <w:color w:val="auto"/>
        </w:rPr>
        <w:t>. The per share exercise price for the Shares to be issued pursuant to exercise of an Option will be determined by the Administrator, subject to the</w:t>
      </w:r>
    </w:p>
    <w:p>
      <w:pPr>
        <w:spacing w:after="0" w:line="40"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5"/>
          <w:szCs w:val="15"/>
          <w:color w:val="auto"/>
        </w:rPr>
        <w:t>following:</w:t>
      </w:r>
    </w:p>
    <w:p>
      <w:pPr>
        <w:spacing w:after="0" w:line="178" w:lineRule="exact"/>
        <w:rPr>
          <w:rFonts w:ascii="Arial" w:cs="Arial" w:eastAsia="Arial" w:hAnsi="Arial"/>
          <w:sz w:val="13"/>
          <w:szCs w:val="13"/>
          <w:color w:val="auto"/>
        </w:rPr>
      </w:pPr>
    </w:p>
    <w:p>
      <w:pPr>
        <w:ind w:left="2260" w:hanging="324"/>
        <w:spacing w:after="0"/>
        <w:tabs>
          <w:tab w:leader="none" w:pos="2260" w:val="left"/>
        </w:tabs>
        <w:numPr>
          <w:ilvl w:val="3"/>
          <w:numId w:val="136"/>
        </w:numPr>
        <w:rPr>
          <w:rFonts w:ascii="Arial" w:cs="Arial" w:eastAsia="Arial" w:hAnsi="Arial"/>
          <w:sz w:val="15"/>
          <w:szCs w:val="15"/>
          <w:color w:val="auto"/>
        </w:rPr>
      </w:pPr>
      <w:r>
        <w:rPr>
          <w:rFonts w:ascii="Arial" w:cs="Arial" w:eastAsia="Arial" w:hAnsi="Arial"/>
          <w:sz w:val="15"/>
          <w:szCs w:val="15"/>
          <w:color w:val="auto"/>
        </w:rPr>
        <w:t>In the case of an Incentive Stock Option</w:t>
      </w:r>
    </w:p>
    <w:p>
      <w:pPr>
        <w:spacing w:after="0" w:line="188" w:lineRule="exact"/>
        <w:rPr>
          <w:rFonts w:ascii="Arial" w:cs="Arial" w:eastAsia="Arial" w:hAnsi="Arial"/>
          <w:sz w:val="15"/>
          <w:szCs w:val="15"/>
          <w:color w:val="auto"/>
        </w:rPr>
      </w:pPr>
    </w:p>
    <w:p>
      <w:pPr>
        <w:ind w:firstLine="2394"/>
        <w:spacing w:after="0" w:line="263" w:lineRule="auto"/>
        <w:tabs>
          <w:tab w:leader="none" w:pos="2763" w:val="left"/>
        </w:tabs>
        <w:numPr>
          <w:ilvl w:val="4"/>
          <w:numId w:val="136"/>
        </w:numPr>
        <w:rPr>
          <w:rFonts w:ascii="Arial" w:cs="Arial" w:eastAsia="Arial" w:hAnsi="Arial"/>
          <w:sz w:val="15"/>
          <w:szCs w:val="15"/>
          <w:color w:val="auto"/>
        </w:rPr>
      </w:pPr>
      <w:r>
        <w:rPr>
          <w:rFonts w:ascii="Arial" w:cs="Arial" w:eastAsia="Arial" w:hAnsi="Arial"/>
          <w:sz w:val="15"/>
          <w:szCs w:val="15"/>
          <w:color w:val="auto"/>
        </w:rPr>
        <w:t>granted to an Employee who, at the time the Incentive Stock Option is granted, owns stock representing more than ten percent (10%) of the voting power of all classes of stock of the Company or any Parent or Subsidiary, the per Share exercise price will be no less than one hundred ten percent (110%) of the Fair Market Value per Share on the date of grant.</w:t>
      </w:r>
    </w:p>
    <w:p>
      <w:pPr>
        <w:spacing w:after="0" w:line="154" w:lineRule="exact"/>
        <w:rPr>
          <w:rFonts w:ascii="Arial" w:cs="Arial" w:eastAsia="Arial" w:hAnsi="Arial"/>
          <w:sz w:val="15"/>
          <w:szCs w:val="15"/>
          <w:color w:val="auto"/>
        </w:rPr>
      </w:pPr>
    </w:p>
    <w:p>
      <w:pPr>
        <w:ind w:right="240" w:firstLine="2394"/>
        <w:spacing w:after="0" w:line="275" w:lineRule="auto"/>
        <w:tabs>
          <w:tab w:leader="none" w:pos="2755" w:val="left"/>
        </w:tabs>
        <w:numPr>
          <w:ilvl w:val="4"/>
          <w:numId w:val="136"/>
        </w:numPr>
        <w:rPr>
          <w:rFonts w:ascii="Arial" w:cs="Arial" w:eastAsia="Arial" w:hAnsi="Arial"/>
          <w:sz w:val="15"/>
          <w:szCs w:val="15"/>
          <w:color w:val="auto"/>
        </w:rPr>
      </w:pPr>
      <w:r>
        <w:rPr>
          <w:rFonts w:ascii="Arial" w:cs="Arial" w:eastAsia="Arial" w:hAnsi="Arial"/>
          <w:sz w:val="15"/>
          <w:szCs w:val="15"/>
          <w:color w:val="auto"/>
        </w:rPr>
        <w:t>granted to any Employee other than an Employee described in paragraph (A) immediately above, the per Share exercise price will be no less than one hundred percent (100%) of the Fair Market Value per Share on the date of grant.</w:t>
      </w:r>
    </w:p>
    <w:p>
      <w:pPr>
        <w:spacing w:after="0" w:line="146" w:lineRule="exact"/>
        <w:rPr>
          <w:rFonts w:ascii="Arial" w:cs="Arial" w:eastAsia="Arial" w:hAnsi="Arial"/>
          <w:sz w:val="15"/>
          <w:szCs w:val="15"/>
          <w:color w:val="auto"/>
        </w:rPr>
      </w:pPr>
    </w:p>
    <w:p>
      <w:pPr>
        <w:ind w:left="2260" w:hanging="324"/>
        <w:spacing w:after="0"/>
        <w:tabs>
          <w:tab w:leader="none" w:pos="2260" w:val="left"/>
        </w:tabs>
        <w:numPr>
          <w:ilvl w:val="3"/>
          <w:numId w:val="136"/>
        </w:numPr>
        <w:rPr>
          <w:rFonts w:ascii="Arial" w:cs="Arial" w:eastAsia="Arial" w:hAnsi="Arial"/>
          <w:sz w:val="13"/>
          <w:szCs w:val="13"/>
          <w:color w:val="auto"/>
        </w:rPr>
      </w:pPr>
      <w:r>
        <w:rPr>
          <w:rFonts w:ascii="Arial" w:cs="Arial" w:eastAsia="Arial" w:hAnsi="Arial"/>
          <w:sz w:val="13"/>
          <w:szCs w:val="13"/>
          <w:color w:val="auto"/>
        </w:rPr>
        <w:t>In the case of a Nonstatutory Stock Option, the per Share exercise price will be no less than one hundred percent (100%) of the Fair Market Value per</w:t>
      </w:r>
    </w:p>
    <w:p>
      <w:pPr>
        <w:spacing w:after="0" w:line="40"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5"/>
          <w:szCs w:val="15"/>
          <w:color w:val="auto"/>
        </w:rPr>
        <w:t>Share on the date of grant.</w:t>
      </w:r>
    </w:p>
    <w:p>
      <w:pPr>
        <w:spacing w:after="0" w:line="178" w:lineRule="exact"/>
        <w:rPr>
          <w:rFonts w:ascii="Arial" w:cs="Arial" w:eastAsia="Arial" w:hAnsi="Arial"/>
          <w:sz w:val="13"/>
          <w:szCs w:val="13"/>
          <w:color w:val="auto"/>
        </w:rPr>
      </w:pPr>
    </w:p>
    <w:p>
      <w:pPr>
        <w:ind w:right="320" w:firstLine="1936"/>
        <w:spacing w:after="0" w:line="275" w:lineRule="auto"/>
        <w:tabs>
          <w:tab w:leader="none" w:pos="2272" w:val="left"/>
        </w:tabs>
        <w:numPr>
          <w:ilvl w:val="3"/>
          <w:numId w:val="136"/>
        </w:numPr>
        <w:rPr>
          <w:rFonts w:ascii="Arial" w:cs="Arial" w:eastAsia="Arial" w:hAnsi="Arial"/>
          <w:sz w:val="15"/>
          <w:szCs w:val="15"/>
          <w:color w:val="auto"/>
        </w:rPr>
      </w:pPr>
      <w:r>
        <w:rPr>
          <w:rFonts w:ascii="Arial" w:cs="Arial" w:eastAsia="Arial" w:hAnsi="Arial"/>
          <w:sz w:val="15"/>
          <w:szCs w:val="15"/>
          <w:color w:val="auto"/>
        </w:rPr>
        <w:t>Notwithstanding the foregoing, Options may be granted with a per Share exercise price of less than one hundred percent (100%) of the Fair Market Value per Share on the date of grant pursuant to a transaction described in, and in a manner consistent with, Section 424(a) of the Code.</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-9-</w:t>
      </w:r>
    </w:p>
    <w:p>
      <w:pPr>
        <w:sectPr>
          <w:pgSz w:w="11900" w:h="16838" w:orient="portrait"/>
          <w:cols w:equalWidth="0" w:num="1">
            <w:col w:w="11440"/>
          </w:cols>
          <w:pgMar w:left="240" w:top="253" w:right="219" w:bottom="1440" w:gutter="0" w:footer="0" w:header="0"/>
        </w:sectPr>
      </w:pPr>
    </w:p>
    <w:bookmarkStart w:id="257" w:name="page258"/>
    <w:bookmarkEnd w:id="257"/>
    <w:p>
      <w:pPr>
        <w:ind w:left="10" w:right="140" w:firstLine="1478"/>
        <w:spacing w:after="0" w:line="275" w:lineRule="auto"/>
        <w:tabs>
          <w:tab w:leader="none" w:pos="1832" w:val="left"/>
        </w:tabs>
        <w:numPr>
          <w:ilvl w:val="2"/>
          <w:numId w:val="137"/>
        </w:numPr>
        <w:rPr>
          <w:rFonts w:ascii="Arial" w:cs="Arial" w:eastAsia="Arial" w:hAnsi="Arial"/>
          <w:sz w:val="15"/>
          <w:szCs w:val="15"/>
          <w:color w:val="auto"/>
        </w:rPr>
      </w:pPr>
      <w:r>
        <w:rPr>
          <w:rFonts w:ascii="Arial" w:cs="Arial" w:eastAsia="Arial" w:hAnsi="Arial"/>
          <w:sz w:val="15"/>
          <w:szCs w:val="15"/>
          <w:u w:val="single" w:color="auto"/>
          <w:color w:val="auto"/>
        </w:rPr>
        <w:drawing>
          <wp:anchor simplePos="0" relativeHeight="251657728" behindDoc="1" locked="0" layoutInCell="0" allowOverlap="1">
            <wp:simplePos x="0" y="0"/>
            <wp:positionH relativeFrom="page">
              <wp:posOffset>133350</wp:posOffset>
            </wp:positionH>
            <wp:positionV relativeFrom="page">
              <wp:posOffset>88900</wp:posOffset>
            </wp:positionV>
            <wp:extent cx="7308850" cy="34290"/>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95">
                      <a:extLst>
                        <a:ext uri="{28A0092B-C50C-407E-A947-70E740481C1C}"/>
                      </a:extLst>
                    </a:blip>
                    <a:srcRect/>
                    <a:stretch>
                      <a:fillRect/>
                    </a:stretch>
                  </pic:blipFill>
                  <pic:spPr bwMode="auto">
                    <a:xfrm>
                      <a:off x="0" y="0"/>
                      <a:ext cx="7308850" cy="34290"/>
                    </a:xfrm>
                    <a:prstGeom prst="rect">
                      <a:avLst/>
                    </a:prstGeom>
                    <a:noFill/>
                  </pic:spPr>
                </pic:pic>
              </a:graphicData>
            </a:graphic>
          </wp:anchor>
        </w:drawing>
        <w:t>Waiting Period and Exercise Dates</w:t>
      </w:r>
      <w:r>
        <w:rPr>
          <w:rFonts w:ascii="Arial" w:cs="Arial" w:eastAsia="Arial" w:hAnsi="Arial"/>
          <w:sz w:val="15"/>
          <w:szCs w:val="15"/>
          <w:color w:val="auto"/>
        </w:rPr>
        <w:t>. At the time an Option is granted, the Administrator will fix the period within which the Option may be exercised and will determine any conditions that must be satisfied before the Option may be exercised.</w:t>
      </w:r>
    </w:p>
    <w:p>
      <w:pPr>
        <w:spacing w:after="0" w:line="146" w:lineRule="exact"/>
        <w:rPr>
          <w:rFonts w:ascii="Arial" w:cs="Arial" w:eastAsia="Arial" w:hAnsi="Arial"/>
          <w:sz w:val="15"/>
          <w:szCs w:val="15"/>
          <w:color w:val="auto"/>
        </w:rPr>
      </w:pPr>
    </w:p>
    <w:p>
      <w:pPr>
        <w:ind w:left="10" w:right="100" w:firstLine="1478"/>
        <w:spacing w:after="0" w:line="297" w:lineRule="auto"/>
        <w:tabs>
          <w:tab w:leader="none" w:pos="1874" w:val="left"/>
        </w:tabs>
        <w:numPr>
          <w:ilvl w:val="2"/>
          <w:numId w:val="137"/>
        </w:numPr>
        <w:rPr>
          <w:rFonts w:ascii="Arial" w:cs="Arial" w:eastAsia="Arial" w:hAnsi="Arial"/>
          <w:sz w:val="13"/>
          <w:szCs w:val="13"/>
          <w:color w:val="auto"/>
        </w:rPr>
      </w:pPr>
      <w:r>
        <w:rPr>
          <w:rFonts w:ascii="Arial" w:cs="Arial" w:eastAsia="Arial" w:hAnsi="Arial"/>
          <w:sz w:val="13"/>
          <w:szCs w:val="13"/>
          <w:u w:val="single" w:color="auto"/>
          <w:color w:val="auto"/>
        </w:rPr>
        <w:t>Form of Consideration</w:t>
      </w:r>
      <w:r>
        <w:rPr>
          <w:rFonts w:ascii="Arial" w:cs="Arial" w:eastAsia="Arial" w:hAnsi="Arial"/>
          <w:sz w:val="13"/>
          <w:szCs w:val="13"/>
          <w:color w:val="auto"/>
        </w:rPr>
        <w:t>. The Administrator will determine the acceptable form of consideration for exercising an Option, including the method of payment. In the case of an Incentive Stock Option, the Administrator will determine the acceptable form of consideration at the time of grant. Such consideration may consist entirely of: (1) cash;</w:t>
      </w:r>
    </w:p>
    <w:p>
      <w:pPr>
        <w:ind w:left="10" w:right="100" w:hanging="10"/>
        <w:spacing w:after="0" w:line="253" w:lineRule="auto"/>
        <w:tabs>
          <w:tab w:leader="none" w:pos="223" w:val="left"/>
        </w:tabs>
        <w:numPr>
          <w:ilvl w:val="0"/>
          <w:numId w:val="138"/>
        </w:numPr>
        <w:rPr>
          <w:rFonts w:ascii="Arial" w:cs="Arial" w:eastAsia="Arial" w:hAnsi="Arial"/>
          <w:sz w:val="15"/>
          <w:szCs w:val="15"/>
          <w:color w:val="auto"/>
        </w:rPr>
      </w:pPr>
      <w:r>
        <w:rPr>
          <w:rFonts w:ascii="Arial" w:cs="Arial" w:eastAsia="Arial" w:hAnsi="Arial"/>
          <w:sz w:val="15"/>
          <w:szCs w:val="15"/>
          <w:color w:val="auto"/>
        </w:rPr>
        <w:t>check; (3) promissory note, to the extent permitted by Applicable Laws, (4) other Shares, provided that such Shares have a Fair Market Value on the date of surrender equal to the aggregate exercise price of the Shares as to which such Option will be exercised and provided that accepting such Shares will not result in any adverse accounting consequences to the Company, as the Administrator determines in its sole discretion; (5) consideration received by the Company under a broker-assisted (or other) cashless exercise program (whether through a broker or otherwise) implemented by the Company in connection with the Plan; (6) by net exercise; (7) such other consideration and method of payment for the issuance of Shares to the extent permitted by Applicable Laws; or (8) any combination of the foregoing methods of payment.</w:t>
      </w:r>
    </w:p>
    <w:p>
      <w:pPr>
        <w:spacing w:after="0" w:line="164" w:lineRule="exact"/>
        <w:rPr>
          <w:rFonts w:ascii="Arial" w:cs="Arial" w:eastAsia="Arial" w:hAnsi="Arial"/>
          <w:sz w:val="15"/>
          <w:szCs w:val="15"/>
          <w:color w:val="auto"/>
        </w:rPr>
      </w:pPr>
    </w:p>
    <w:p>
      <w:pPr>
        <w:ind w:left="1250" w:hanging="334"/>
        <w:spacing w:after="0"/>
        <w:tabs>
          <w:tab w:leader="none" w:pos="1250" w:val="left"/>
        </w:tabs>
        <w:numPr>
          <w:ilvl w:val="1"/>
          <w:numId w:val="138"/>
        </w:numPr>
        <w:rPr>
          <w:rFonts w:ascii="Arial" w:cs="Arial" w:eastAsia="Arial" w:hAnsi="Arial"/>
          <w:sz w:val="15"/>
          <w:szCs w:val="15"/>
          <w:color w:val="auto"/>
        </w:rPr>
      </w:pPr>
      <w:r>
        <w:rPr>
          <w:rFonts w:ascii="Arial" w:cs="Arial" w:eastAsia="Arial" w:hAnsi="Arial"/>
          <w:sz w:val="15"/>
          <w:szCs w:val="15"/>
          <w:u w:val="single" w:color="auto"/>
          <w:color w:val="auto"/>
        </w:rPr>
        <w:t>Exercise of Option</w:t>
      </w:r>
      <w:r>
        <w:rPr>
          <w:rFonts w:ascii="Arial" w:cs="Arial" w:eastAsia="Arial" w:hAnsi="Arial"/>
          <w:sz w:val="15"/>
          <w:szCs w:val="15"/>
          <w:color w:val="auto"/>
        </w:rPr>
        <w:t>.</w:t>
      </w:r>
    </w:p>
    <w:p>
      <w:pPr>
        <w:spacing w:after="0" w:line="188" w:lineRule="exact"/>
        <w:rPr>
          <w:rFonts w:ascii="Arial" w:cs="Arial" w:eastAsia="Arial" w:hAnsi="Arial"/>
          <w:sz w:val="15"/>
          <w:szCs w:val="15"/>
          <w:color w:val="auto"/>
        </w:rPr>
      </w:pPr>
    </w:p>
    <w:p>
      <w:pPr>
        <w:ind w:left="10" w:right="300" w:firstLine="1478"/>
        <w:spacing w:after="0" w:line="312" w:lineRule="auto"/>
        <w:tabs>
          <w:tab w:leader="none" w:pos="1790" w:val="left"/>
        </w:tabs>
        <w:numPr>
          <w:ilvl w:val="2"/>
          <w:numId w:val="138"/>
        </w:numPr>
        <w:rPr>
          <w:rFonts w:ascii="Arial" w:cs="Arial" w:eastAsia="Arial" w:hAnsi="Arial"/>
          <w:sz w:val="14"/>
          <w:szCs w:val="14"/>
          <w:color w:val="auto"/>
        </w:rPr>
      </w:pPr>
      <w:r>
        <w:rPr>
          <w:rFonts w:ascii="Arial" w:cs="Arial" w:eastAsia="Arial" w:hAnsi="Arial"/>
          <w:sz w:val="14"/>
          <w:szCs w:val="14"/>
          <w:u w:val="single" w:color="auto"/>
          <w:color w:val="auto"/>
        </w:rPr>
        <w:t>Procedure for Exercise; Rights as a Stockholder</w:t>
      </w:r>
      <w:r>
        <w:rPr>
          <w:rFonts w:ascii="Arial" w:cs="Arial" w:eastAsia="Arial" w:hAnsi="Arial"/>
          <w:sz w:val="14"/>
          <w:szCs w:val="14"/>
          <w:color w:val="auto"/>
        </w:rPr>
        <w:t>. Any Option granted hereunder will be exercisable according to the terms of the Plan and at such times and under such conditions as determined by the Administrator and set forth in the Award Agreement. An Option may not be exercised for a fraction of a Share.</w:t>
      </w:r>
    </w:p>
    <w:p>
      <w:pPr>
        <w:spacing w:after="0" w:line="123" w:lineRule="exact"/>
        <w:rPr>
          <w:sz w:val="20"/>
          <w:szCs w:val="20"/>
          <w:color w:val="auto"/>
        </w:rPr>
      </w:pPr>
    </w:p>
    <w:p>
      <w:pPr>
        <w:ind w:left="10" w:right="180" w:firstLine="1946"/>
        <w:spacing w:after="0" w:line="300" w:lineRule="auto"/>
        <w:rPr>
          <w:sz w:val="20"/>
          <w:szCs w:val="20"/>
          <w:color w:val="auto"/>
        </w:rPr>
      </w:pPr>
      <w:r>
        <w:rPr>
          <w:rFonts w:ascii="Arial" w:cs="Arial" w:eastAsia="Arial" w:hAnsi="Arial"/>
          <w:sz w:val="13"/>
          <w:szCs w:val="13"/>
          <w:color w:val="auto"/>
        </w:rPr>
        <w:t>An Option will be deemed exercised when the Company receives: (i) a notice of exercise (in such form as the Administrator may specify from time to time) from the person entitled to exercise the Option, and (ii) full payment for the Shares with respect to which the Option is exercised (together with applicable withholding taxes). Full payment may consist of any consideration and method of payment authorized by the Administrator and permitted by the Award Agreement and the Plan. Shares issued upon exercise of an Option will be issued in the name of the Participant or, if requested by the Participant, in the name of the Participant and his or her spouse. Until the Shares are issued (as evidenced by the appropriate entry on the books of the Company or of a duly authorized transfer agent of the Company), no right to vote or receive dividends or any other rights as a stockholder will exist with respect to the Shares subject to an Option, notwithstanding the exercise of the Option. The Company will issue (or cause to be issued) such Shares promptly after the Option is exercised. No adjustment will be made for a dividend or other right for which the record date is prior to the date the Shares are issued, except as provided in Section 14 of the Plan.</w:t>
      </w:r>
    </w:p>
    <w:p>
      <w:pPr>
        <w:spacing w:after="0" w:line="136" w:lineRule="exact"/>
        <w:rPr>
          <w:sz w:val="20"/>
          <w:szCs w:val="20"/>
          <w:color w:val="auto"/>
        </w:rPr>
      </w:pPr>
    </w:p>
    <w:p>
      <w:pPr>
        <w:ind w:left="10" w:right="380" w:firstLine="1488"/>
        <w:spacing w:after="0" w:line="275" w:lineRule="auto"/>
        <w:rPr>
          <w:sz w:val="20"/>
          <w:szCs w:val="20"/>
          <w:color w:val="auto"/>
        </w:rPr>
      </w:pPr>
      <w:r>
        <w:rPr>
          <w:rFonts w:ascii="Arial" w:cs="Arial" w:eastAsia="Arial" w:hAnsi="Arial"/>
          <w:sz w:val="15"/>
          <w:szCs w:val="15"/>
          <w:color w:val="auto"/>
        </w:rPr>
        <w:t>Exercising an Option in any manner will decrease the number of Shares thereafter available, both for purposes of the Plan and for sale under the Option, by the number of Shares as to which the Option is exercised.</w:t>
      </w:r>
    </w:p>
    <w:p>
      <w:pPr>
        <w:spacing w:after="0" w:line="146" w:lineRule="exact"/>
        <w:rPr>
          <w:sz w:val="20"/>
          <w:szCs w:val="20"/>
          <w:color w:val="auto"/>
        </w:rPr>
      </w:pPr>
    </w:p>
    <w:p>
      <w:pPr>
        <w:ind w:left="10" w:firstLine="1478"/>
        <w:spacing w:after="0" w:line="263" w:lineRule="auto"/>
        <w:tabs>
          <w:tab w:leader="none" w:pos="1832" w:val="left"/>
        </w:tabs>
        <w:numPr>
          <w:ilvl w:val="0"/>
          <w:numId w:val="139"/>
        </w:numPr>
        <w:rPr>
          <w:rFonts w:ascii="Arial" w:cs="Arial" w:eastAsia="Arial" w:hAnsi="Arial"/>
          <w:sz w:val="15"/>
          <w:szCs w:val="15"/>
          <w:color w:val="auto"/>
        </w:rPr>
      </w:pPr>
      <w:r>
        <w:rPr>
          <w:rFonts w:ascii="Arial" w:cs="Arial" w:eastAsia="Arial" w:hAnsi="Arial"/>
          <w:sz w:val="15"/>
          <w:szCs w:val="15"/>
          <w:u w:val="single" w:color="auto"/>
          <w:color w:val="auto"/>
        </w:rPr>
        <w:t>Termination of Relationship as a Service Provider</w:t>
      </w:r>
      <w:r>
        <w:rPr>
          <w:rFonts w:ascii="Arial" w:cs="Arial" w:eastAsia="Arial" w:hAnsi="Arial"/>
          <w:sz w:val="15"/>
          <w:szCs w:val="15"/>
          <w:color w:val="auto"/>
        </w:rPr>
        <w:t>. If a Participant ceases to be a Service Provider, other than upon the Participant’s termination as the result of the Participant’s death or Disability, the Participant may exercise his or her Option within such period of time as is specified in the Award Agreement to the extent that the Option is vested on the date of</w:t>
      </w:r>
    </w:p>
    <w:p>
      <w:pPr>
        <w:spacing w:after="0" w:line="98" w:lineRule="exact"/>
        <w:rPr>
          <w:sz w:val="20"/>
          <w:szCs w:val="20"/>
          <w:color w:val="auto"/>
        </w:rPr>
      </w:pPr>
    </w:p>
    <w:p>
      <w:pPr>
        <w:jc w:val="center"/>
        <w:ind w:right="-9"/>
        <w:spacing w:after="0"/>
        <w:rPr>
          <w:sz w:val="20"/>
          <w:szCs w:val="20"/>
          <w:color w:val="auto"/>
        </w:rPr>
      </w:pPr>
      <w:r>
        <w:rPr>
          <w:rFonts w:ascii="Arial" w:cs="Arial" w:eastAsia="Arial" w:hAnsi="Arial"/>
          <w:sz w:val="15"/>
          <w:szCs w:val="15"/>
          <w:color w:val="auto"/>
        </w:rPr>
        <w:t>-10-</w:t>
      </w:r>
    </w:p>
    <w:p>
      <w:pPr>
        <w:sectPr>
          <w:pgSz w:w="11900" w:h="16838" w:orient="portrait"/>
          <w:cols w:equalWidth="0" w:num="1">
            <w:col w:w="11430"/>
          </w:cols>
          <w:pgMar w:left="230" w:top="253" w:right="239" w:bottom="1440" w:gutter="0" w:footer="0" w:header="0"/>
        </w:sectPr>
      </w:pPr>
    </w:p>
    <w:bookmarkStart w:id="258" w:name="page259"/>
    <w:bookmarkEnd w:id="258"/>
    <w:p>
      <w:pPr>
        <w:ind w:right="20"/>
        <w:spacing w:after="0" w:line="283" w:lineRule="auto"/>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133350</wp:posOffset>
            </wp:positionH>
            <wp:positionV relativeFrom="page">
              <wp:posOffset>88900</wp:posOffset>
            </wp:positionV>
            <wp:extent cx="7308850" cy="34290"/>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96">
                      <a:extLst>
                        <a:ext uri="{28A0092B-C50C-407E-A947-70E740481C1C}"/>
                      </a:extLst>
                    </a:blip>
                    <a:srcRect/>
                    <a:stretch>
                      <a:fillRect/>
                    </a:stretch>
                  </pic:blipFill>
                  <pic:spPr bwMode="auto">
                    <a:xfrm>
                      <a:off x="0" y="0"/>
                      <a:ext cx="7308850" cy="34290"/>
                    </a:xfrm>
                    <a:prstGeom prst="rect">
                      <a:avLst/>
                    </a:prstGeom>
                    <a:noFill/>
                  </pic:spPr>
                </pic:pic>
              </a:graphicData>
            </a:graphic>
          </wp:anchor>
        </w:drawing>
        <w:t>termination (but in no event later than the expiration of the term of such Option as set forth in the Award Agreement). In the absence of a specified time in the Award Agreement, the Option will remain exercisable for three (3) months following the Participant’s termination. Unless otherwise provided by the Administrator, if on the date of termination the Participant is not vested as to his or her entire Option, the Shares covered by the unvested portion of the Option will revert to the Plan. If after termination the Participant does not exercise his or her Option within the time specified by the Administrator, the Option will terminate, and the Shares covered by such Option will revert to the Plan.</w:t>
      </w:r>
    </w:p>
    <w:p>
      <w:pPr>
        <w:spacing w:after="0" w:line="143" w:lineRule="exact"/>
        <w:rPr>
          <w:sz w:val="20"/>
          <w:szCs w:val="20"/>
          <w:color w:val="auto"/>
        </w:rPr>
      </w:pPr>
    </w:p>
    <w:p>
      <w:pPr>
        <w:ind w:firstLine="1478"/>
        <w:spacing w:after="0" w:line="255" w:lineRule="auto"/>
        <w:tabs>
          <w:tab w:leader="none" w:pos="1864" w:val="left"/>
        </w:tabs>
        <w:numPr>
          <w:ilvl w:val="0"/>
          <w:numId w:val="140"/>
        </w:numPr>
        <w:rPr>
          <w:rFonts w:ascii="Arial" w:cs="Arial" w:eastAsia="Arial" w:hAnsi="Arial"/>
          <w:sz w:val="15"/>
          <w:szCs w:val="15"/>
          <w:color w:val="auto"/>
        </w:rPr>
      </w:pPr>
      <w:r>
        <w:rPr>
          <w:rFonts w:ascii="Arial" w:cs="Arial" w:eastAsia="Arial" w:hAnsi="Arial"/>
          <w:sz w:val="15"/>
          <w:szCs w:val="15"/>
          <w:u w:val="single" w:color="auto"/>
          <w:color w:val="auto"/>
        </w:rPr>
        <w:t>Disability of Participant</w:t>
      </w:r>
      <w:r>
        <w:rPr>
          <w:rFonts w:ascii="Arial" w:cs="Arial" w:eastAsia="Arial" w:hAnsi="Arial"/>
          <w:sz w:val="15"/>
          <w:szCs w:val="15"/>
          <w:color w:val="auto"/>
        </w:rPr>
        <w:t>. If a Participant ceases to be a Service Provider as a result of the Participant’s Disability, the Participant may exercise his or her Option within such period of time as is specified in the Award Agreement to the extent the Option is vested on the date of termination (but in no event later than the expiration of the term of such Option as set forth in the Award Agreement). In the absence of a specified time in the Award Agreement, the Option will remain exercisable for twelve (12) months following the Participant’s termination. Unless otherwise provided by the Administrator, if on the date of termination the Participant is not vested as to his or her entire Option, the Shares covered by the unvested portion of the Option will revert to the Plan. If after termination the Participant does not exercise his or her Option within the time specified herein, the Option will terminate, and the Shares covered by such Option will revert to the Plan.</w:t>
      </w:r>
    </w:p>
    <w:p>
      <w:pPr>
        <w:spacing w:after="0" w:line="163" w:lineRule="exact"/>
        <w:rPr>
          <w:rFonts w:ascii="Arial" w:cs="Arial" w:eastAsia="Arial" w:hAnsi="Arial"/>
          <w:sz w:val="15"/>
          <w:szCs w:val="15"/>
          <w:color w:val="auto"/>
        </w:rPr>
      </w:pPr>
    </w:p>
    <w:p>
      <w:pPr>
        <w:ind w:firstLine="1478"/>
        <w:spacing w:after="0" w:line="275" w:lineRule="auto"/>
        <w:tabs>
          <w:tab w:leader="none" w:pos="1855" w:val="left"/>
        </w:tabs>
        <w:numPr>
          <w:ilvl w:val="0"/>
          <w:numId w:val="140"/>
        </w:numPr>
        <w:rPr>
          <w:rFonts w:ascii="Arial" w:cs="Arial" w:eastAsia="Arial" w:hAnsi="Arial"/>
          <w:sz w:val="14"/>
          <w:szCs w:val="14"/>
          <w:color w:val="auto"/>
        </w:rPr>
      </w:pPr>
      <w:r>
        <w:rPr>
          <w:rFonts w:ascii="Arial" w:cs="Arial" w:eastAsia="Arial" w:hAnsi="Arial"/>
          <w:sz w:val="14"/>
          <w:szCs w:val="14"/>
          <w:u w:val="single" w:color="auto"/>
          <w:color w:val="auto"/>
        </w:rPr>
        <w:t>Death of Participant</w:t>
      </w:r>
      <w:r>
        <w:rPr>
          <w:rFonts w:ascii="Arial" w:cs="Arial" w:eastAsia="Arial" w:hAnsi="Arial"/>
          <w:sz w:val="14"/>
          <w:szCs w:val="14"/>
          <w:color w:val="auto"/>
        </w:rPr>
        <w:t>. If a Participant dies while a Service Provider, the Option may be exercised following the Participant’s death within such period of time as is specified in the Award Agreement to the extent that the Option is vested on the date of death (but in no event may the option be exercised later than the expiration of the term of such Option as set forth in the Award Agreement), by the Participant’s designated beneficiary, provided such beneficiary has been designated prior to Participant’s death in a form acceptable to the Administrator. If no such beneficiary has been designated by the Participant, then such Option may be exercised by the personal representative of the Participant’s estate or by the person(s) to whom the Option is transferred pursuant to the Participant’s will or in accordance with the laws of descent and distribution. In the absence of a specified time in the Award Agreement, the Option will remain exercisable for twelve (12) months following Participant’s death. Unless otherwise provided by the Administrator, if at the time of death Participant is not vested as to his or her entire Option, the Shares covered by the unvested portion of the Option will immediately revert to the Plan. If the Option is not so exercised within the time specified herein, the Option will terminate, and the Shares covered by such Option will revert to the Plan.</w:t>
      </w:r>
    </w:p>
    <w:p>
      <w:pPr>
        <w:spacing w:after="0" w:line="148" w:lineRule="exact"/>
        <w:rPr>
          <w:rFonts w:ascii="Arial" w:cs="Arial" w:eastAsia="Arial" w:hAnsi="Arial"/>
          <w:sz w:val="14"/>
          <w:szCs w:val="14"/>
          <w:color w:val="auto"/>
        </w:rPr>
      </w:pPr>
    </w:p>
    <w:p>
      <w:pPr>
        <w:ind w:left="1800" w:hanging="322"/>
        <w:spacing w:after="0"/>
        <w:tabs>
          <w:tab w:leader="none" w:pos="1800" w:val="left"/>
        </w:tabs>
        <w:numPr>
          <w:ilvl w:val="0"/>
          <w:numId w:val="140"/>
        </w:numPr>
        <w:rPr>
          <w:rFonts w:ascii="Arial" w:cs="Arial" w:eastAsia="Arial" w:hAnsi="Arial"/>
          <w:sz w:val="15"/>
          <w:szCs w:val="15"/>
          <w:color w:val="auto"/>
        </w:rPr>
      </w:pPr>
      <w:r>
        <w:rPr>
          <w:rFonts w:ascii="Arial" w:cs="Arial" w:eastAsia="Arial" w:hAnsi="Arial"/>
          <w:sz w:val="15"/>
          <w:szCs w:val="15"/>
          <w:u w:val="single" w:color="auto"/>
          <w:color w:val="auto"/>
        </w:rPr>
        <w:t>Tolling Expiration</w:t>
      </w:r>
      <w:r>
        <w:rPr>
          <w:rFonts w:ascii="Arial" w:cs="Arial" w:eastAsia="Arial" w:hAnsi="Arial"/>
          <w:sz w:val="15"/>
          <w:szCs w:val="15"/>
          <w:color w:val="auto"/>
        </w:rPr>
        <w:t>. A Participant’s Award Agreement may also provide that:</w:t>
      </w:r>
    </w:p>
    <w:p>
      <w:pPr>
        <w:spacing w:after="0" w:line="188" w:lineRule="exact"/>
        <w:rPr>
          <w:sz w:val="20"/>
          <w:szCs w:val="20"/>
          <w:color w:val="auto"/>
        </w:rPr>
      </w:pPr>
    </w:p>
    <w:p>
      <w:pPr>
        <w:ind w:right="40" w:firstLine="1936"/>
        <w:spacing w:after="0" w:line="263" w:lineRule="auto"/>
        <w:tabs>
          <w:tab w:leader="none" w:pos="2272" w:val="left"/>
        </w:tabs>
        <w:numPr>
          <w:ilvl w:val="0"/>
          <w:numId w:val="141"/>
        </w:numPr>
        <w:rPr>
          <w:rFonts w:ascii="Arial" w:cs="Arial" w:eastAsia="Arial" w:hAnsi="Arial"/>
          <w:sz w:val="15"/>
          <w:szCs w:val="15"/>
          <w:color w:val="auto"/>
        </w:rPr>
      </w:pPr>
      <w:r>
        <w:rPr>
          <w:rFonts w:ascii="Arial" w:cs="Arial" w:eastAsia="Arial" w:hAnsi="Arial"/>
          <w:sz w:val="15"/>
          <w:szCs w:val="15"/>
          <w:color w:val="auto"/>
        </w:rPr>
        <w:t>if the exercise of the Option following the termination of Participant’s status as a Service Provider (other than upon the Participant’s death or Disability) would result in liability under Section 16(b), then the Option will terminate on the earlier of (A) the expiration of the term of the Option set forth in the Award Agreement, or (B) the tenth (10</w:t>
      </w:r>
      <w:r>
        <w:rPr>
          <w:rFonts w:ascii="Arial" w:cs="Arial" w:eastAsia="Arial" w:hAnsi="Arial"/>
          <w:sz w:val="12"/>
          <w:szCs w:val="12"/>
          <w:color w:val="auto"/>
        </w:rPr>
        <w:t>th</w:t>
      </w:r>
      <w:r>
        <w:rPr>
          <w:rFonts w:ascii="Arial" w:cs="Arial" w:eastAsia="Arial" w:hAnsi="Arial"/>
          <w:sz w:val="15"/>
          <w:szCs w:val="15"/>
          <w:color w:val="auto"/>
        </w:rPr>
        <w:t>) day after the last date on which such exercise would result in liability under Section 16(b); or</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-11-</w:t>
      </w:r>
    </w:p>
    <w:p>
      <w:pPr>
        <w:sectPr>
          <w:pgSz w:w="11900" w:h="16838" w:orient="portrait"/>
          <w:cols w:equalWidth="0" w:num="1">
            <w:col w:w="11440"/>
          </w:cols>
          <w:pgMar w:left="240" w:top="253" w:right="219" w:bottom="1440" w:gutter="0" w:footer="0" w:header="0"/>
        </w:sectPr>
      </w:pPr>
    </w:p>
    <w:bookmarkStart w:id="259" w:name="page260"/>
    <w:bookmarkEnd w:id="259"/>
    <w:p>
      <w:pPr>
        <w:ind w:left="-20" w:right="120" w:firstLine="1936"/>
        <w:spacing w:after="0" w:line="259" w:lineRule="auto"/>
        <w:tabs>
          <w:tab w:leader="none" w:pos="2252" w:val="left"/>
        </w:tabs>
        <w:numPr>
          <w:ilvl w:val="2"/>
          <w:numId w:val="142"/>
        </w:numPr>
        <w:rPr>
          <w:rFonts w:ascii="Arial" w:cs="Arial" w:eastAsia="Arial" w:hAnsi="Arial"/>
          <w:sz w:val="15"/>
          <w:szCs w:val="15"/>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133350</wp:posOffset>
            </wp:positionH>
            <wp:positionV relativeFrom="page">
              <wp:posOffset>88900</wp:posOffset>
            </wp:positionV>
            <wp:extent cx="7308850" cy="34290"/>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97">
                      <a:extLst>
                        <a:ext uri="{28A0092B-C50C-407E-A947-70E740481C1C}"/>
                      </a:extLst>
                    </a:blip>
                    <a:srcRect/>
                    <a:stretch>
                      <a:fillRect/>
                    </a:stretch>
                  </pic:blipFill>
                  <pic:spPr bwMode="auto">
                    <a:xfrm>
                      <a:off x="0" y="0"/>
                      <a:ext cx="7308850" cy="34290"/>
                    </a:xfrm>
                    <a:prstGeom prst="rect">
                      <a:avLst/>
                    </a:prstGeom>
                    <a:noFill/>
                  </pic:spPr>
                </pic:pic>
              </a:graphicData>
            </a:graphic>
          </wp:anchor>
        </w:drawing>
        <w:t>if the exercise of the Option following the termination of the Participant’s status as a Service Provider (other than upon the Participant’s death or Disability) would be prohibited at any time solely because the issuance of Shares would violate the registration requirements under the Securities Act, then the Option will terminate on the earlier of (A) the expiration of the term of the Option or (B) the expiration of a period of thirty (30)-day period after the termination of the Participant’s status as a Service Provider during which the exercise of the Option would not be in violation of such registration requirements.</w:t>
      </w:r>
    </w:p>
    <w:p>
      <w:pPr>
        <w:spacing w:after="0" w:line="157" w:lineRule="exact"/>
        <w:rPr>
          <w:rFonts w:ascii="Arial" w:cs="Arial" w:eastAsia="Arial" w:hAnsi="Arial"/>
          <w:sz w:val="15"/>
          <w:szCs w:val="15"/>
          <w:color w:val="auto"/>
        </w:rPr>
      </w:pPr>
    </w:p>
    <w:p>
      <w:pPr>
        <w:ind w:left="700" w:hanging="272"/>
        <w:spacing w:after="0"/>
        <w:tabs>
          <w:tab w:leader="none" w:pos="700" w:val="left"/>
        </w:tabs>
        <w:numPr>
          <w:ilvl w:val="0"/>
          <w:numId w:val="143"/>
        </w:numPr>
        <w:rPr>
          <w:rFonts w:ascii="Arial" w:cs="Arial" w:eastAsia="Arial" w:hAnsi="Arial"/>
          <w:sz w:val="15"/>
          <w:szCs w:val="15"/>
          <w:color w:val="auto"/>
        </w:rPr>
      </w:pPr>
      <w:r>
        <w:rPr>
          <w:rFonts w:ascii="Arial" w:cs="Arial" w:eastAsia="Arial" w:hAnsi="Arial"/>
          <w:sz w:val="15"/>
          <w:szCs w:val="15"/>
          <w:u w:val="single" w:color="auto"/>
          <w:color w:val="auto"/>
        </w:rPr>
        <w:t>Restricted Stock</w:t>
      </w:r>
      <w:r>
        <w:rPr>
          <w:rFonts w:ascii="Arial" w:cs="Arial" w:eastAsia="Arial" w:hAnsi="Arial"/>
          <w:sz w:val="15"/>
          <w:szCs w:val="15"/>
          <w:color w:val="auto"/>
        </w:rPr>
        <w:t>.</w:t>
      </w:r>
    </w:p>
    <w:p>
      <w:pPr>
        <w:spacing w:after="0" w:line="188" w:lineRule="exact"/>
        <w:rPr>
          <w:rFonts w:ascii="Arial" w:cs="Arial" w:eastAsia="Arial" w:hAnsi="Arial"/>
          <w:sz w:val="15"/>
          <w:szCs w:val="15"/>
          <w:color w:val="auto"/>
        </w:rPr>
      </w:pPr>
    </w:p>
    <w:p>
      <w:pPr>
        <w:ind w:left="-20" w:right="80" w:firstLine="906"/>
        <w:spacing w:after="0" w:line="275" w:lineRule="auto"/>
        <w:tabs>
          <w:tab w:leader="none" w:pos="1213" w:val="left"/>
        </w:tabs>
        <w:numPr>
          <w:ilvl w:val="1"/>
          <w:numId w:val="143"/>
        </w:numPr>
        <w:rPr>
          <w:rFonts w:ascii="Arial" w:cs="Arial" w:eastAsia="Arial" w:hAnsi="Arial"/>
          <w:sz w:val="15"/>
          <w:szCs w:val="15"/>
          <w:color w:val="auto"/>
        </w:rPr>
      </w:pPr>
      <w:r>
        <w:rPr>
          <w:rFonts w:ascii="Arial" w:cs="Arial" w:eastAsia="Arial" w:hAnsi="Arial"/>
          <w:sz w:val="15"/>
          <w:szCs w:val="15"/>
          <w:u w:val="single" w:color="auto"/>
          <w:color w:val="auto"/>
        </w:rPr>
        <w:t>Grant of Restricted Stock</w:t>
      </w:r>
      <w:r>
        <w:rPr>
          <w:rFonts w:ascii="Arial" w:cs="Arial" w:eastAsia="Arial" w:hAnsi="Arial"/>
          <w:sz w:val="15"/>
          <w:szCs w:val="15"/>
          <w:color w:val="auto"/>
        </w:rPr>
        <w:t>. Subject to the terms and provisions of the Plan, the Administrator, at any time and from time to time, may grant Shares of Restricted Stock to Service Providers in such amounts as the Administrator, in its sole discretion, will determine.</w:t>
      </w:r>
    </w:p>
    <w:p>
      <w:pPr>
        <w:spacing w:after="0" w:line="146" w:lineRule="exact"/>
        <w:rPr>
          <w:rFonts w:ascii="Arial" w:cs="Arial" w:eastAsia="Arial" w:hAnsi="Arial"/>
          <w:sz w:val="15"/>
          <w:szCs w:val="15"/>
          <w:color w:val="auto"/>
        </w:rPr>
      </w:pPr>
    </w:p>
    <w:p>
      <w:pPr>
        <w:ind w:left="-20" w:firstLine="906"/>
        <w:spacing w:after="0" w:line="263" w:lineRule="auto"/>
        <w:tabs>
          <w:tab w:leader="none" w:pos="1221" w:val="left"/>
        </w:tabs>
        <w:numPr>
          <w:ilvl w:val="1"/>
          <w:numId w:val="143"/>
        </w:numPr>
        <w:rPr>
          <w:rFonts w:ascii="Arial" w:cs="Arial" w:eastAsia="Arial" w:hAnsi="Arial"/>
          <w:sz w:val="15"/>
          <w:szCs w:val="15"/>
          <w:color w:val="auto"/>
        </w:rPr>
      </w:pPr>
      <w:r>
        <w:rPr>
          <w:rFonts w:ascii="Arial" w:cs="Arial" w:eastAsia="Arial" w:hAnsi="Arial"/>
          <w:sz w:val="15"/>
          <w:szCs w:val="15"/>
          <w:u w:val="single" w:color="auto"/>
          <w:color w:val="auto"/>
        </w:rPr>
        <w:t>Restricted Stock Agreement</w:t>
      </w:r>
      <w:r>
        <w:rPr>
          <w:rFonts w:ascii="Arial" w:cs="Arial" w:eastAsia="Arial" w:hAnsi="Arial"/>
          <w:sz w:val="15"/>
          <w:szCs w:val="15"/>
          <w:color w:val="auto"/>
        </w:rPr>
        <w:t>. Each Award of Restricted Stock will be evidenced by an Award Agreement that will specify the Period of Restriction, the number of Shares granted, and such other terms and conditions as the Administrator, in its sole discretion, will determine. Unless the Administrator determines otherwise, the Company as escrow agent will hold Shares of Restricted Stock until the restrictions on such Shares have lapsed.</w:t>
      </w:r>
    </w:p>
    <w:p>
      <w:pPr>
        <w:spacing w:after="0" w:line="154" w:lineRule="exact"/>
        <w:rPr>
          <w:rFonts w:ascii="Arial" w:cs="Arial" w:eastAsia="Arial" w:hAnsi="Arial"/>
          <w:sz w:val="15"/>
          <w:szCs w:val="15"/>
          <w:color w:val="auto"/>
        </w:rPr>
      </w:pPr>
    </w:p>
    <w:p>
      <w:pPr>
        <w:ind w:left="-20" w:right="180" w:firstLine="906"/>
        <w:spacing w:after="0" w:line="275" w:lineRule="auto"/>
        <w:tabs>
          <w:tab w:leader="none" w:pos="1213" w:val="left"/>
        </w:tabs>
        <w:numPr>
          <w:ilvl w:val="1"/>
          <w:numId w:val="143"/>
        </w:numPr>
        <w:rPr>
          <w:rFonts w:ascii="Arial" w:cs="Arial" w:eastAsia="Arial" w:hAnsi="Arial"/>
          <w:sz w:val="15"/>
          <w:szCs w:val="15"/>
          <w:color w:val="auto"/>
        </w:rPr>
      </w:pPr>
      <w:r>
        <w:rPr>
          <w:rFonts w:ascii="Arial" w:cs="Arial" w:eastAsia="Arial" w:hAnsi="Arial"/>
          <w:sz w:val="15"/>
          <w:szCs w:val="15"/>
          <w:u w:val="single" w:color="auto"/>
          <w:color w:val="auto"/>
        </w:rPr>
        <w:t>Transferability</w:t>
      </w:r>
      <w:r>
        <w:rPr>
          <w:rFonts w:ascii="Arial" w:cs="Arial" w:eastAsia="Arial" w:hAnsi="Arial"/>
          <w:sz w:val="15"/>
          <w:szCs w:val="15"/>
          <w:color w:val="auto"/>
        </w:rPr>
        <w:t>. Except as provided in this Section 7 or the Award Agreement, Shares of Restricted Stock may not be sold, transferred, pledged, assigned, or otherwise alienated or hypothecated until the end of the applicable Period of Restriction.</w:t>
      </w:r>
    </w:p>
    <w:p>
      <w:pPr>
        <w:spacing w:after="0" w:line="146" w:lineRule="exact"/>
        <w:rPr>
          <w:rFonts w:ascii="Arial" w:cs="Arial" w:eastAsia="Arial" w:hAnsi="Arial"/>
          <w:sz w:val="15"/>
          <w:szCs w:val="15"/>
          <w:color w:val="auto"/>
        </w:rPr>
      </w:pPr>
    </w:p>
    <w:p>
      <w:pPr>
        <w:ind w:left="1220" w:hanging="334"/>
        <w:spacing w:after="0"/>
        <w:tabs>
          <w:tab w:leader="none" w:pos="1220" w:val="left"/>
        </w:tabs>
        <w:numPr>
          <w:ilvl w:val="1"/>
          <w:numId w:val="143"/>
        </w:numPr>
        <w:rPr>
          <w:rFonts w:ascii="Arial" w:cs="Arial" w:eastAsia="Arial" w:hAnsi="Arial"/>
          <w:sz w:val="13"/>
          <w:szCs w:val="13"/>
          <w:color w:val="auto"/>
        </w:rPr>
      </w:pPr>
      <w:r>
        <w:rPr>
          <w:rFonts w:ascii="Arial" w:cs="Arial" w:eastAsia="Arial" w:hAnsi="Arial"/>
          <w:sz w:val="13"/>
          <w:szCs w:val="13"/>
          <w:u w:val="single" w:color="auto"/>
          <w:color w:val="auto"/>
        </w:rPr>
        <w:t>Other Restrictions</w:t>
      </w:r>
      <w:r>
        <w:rPr>
          <w:rFonts w:ascii="Arial" w:cs="Arial" w:eastAsia="Arial" w:hAnsi="Arial"/>
          <w:sz w:val="13"/>
          <w:szCs w:val="13"/>
          <w:color w:val="auto"/>
        </w:rPr>
        <w:t>. The Administrator, in its sole discretion, may impose such other restrictions on Shares of Restricted Stock as it may deem advisable or appropriate.</w:t>
      </w:r>
    </w:p>
    <w:p>
      <w:pPr>
        <w:spacing w:after="0" w:line="211" w:lineRule="exact"/>
        <w:rPr>
          <w:rFonts w:ascii="Arial" w:cs="Arial" w:eastAsia="Arial" w:hAnsi="Arial"/>
          <w:sz w:val="13"/>
          <w:szCs w:val="13"/>
          <w:color w:val="auto"/>
        </w:rPr>
      </w:pPr>
    </w:p>
    <w:p>
      <w:pPr>
        <w:jc w:val="both"/>
        <w:ind w:left="-20" w:right="80" w:firstLine="906"/>
        <w:spacing w:after="0" w:line="263" w:lineRule="auto"/>
        <w:tabs>
          <w:tab w:leader="none" w:pos="1213" w:val="left"/>
        </w:tabs>
        <w:numPr>
          <w:ilvl w:val="1"/>
          <w:numId w:val="143"/>
        </w:numPr>
        <w:rPr>
          <w:rFonts w:ascii="Arial" w:cs="Arial" w:eastAsia="Arial" w:hAnsi="Arial"/>
          <w:sz w:val="15"/>
          <w:szCs w:val="15"/>
          <w:color w:val="auto"/>
        </w:rPr>
      </w:pPr>
      <w:r>
        <w:rPr>
          <w:rFonts w:ascii="Arial" w:cs="Arial" w:eastAsia="Arial" w:hAnsi="Arial"/>
          <w:sz w:val="15"/>
          <w:szCs w:val="15"/>
          <w:u w:val="single" w:color="auto"/>
          <w:color w:val="auto"/>
        </w:rPr>
        <w:t>Removal of Restrictions</w:t>
      </w:r>
      <w:r>
        <w:rPr>
          <w:rFonts w:ascii="Arial" w:cs="Arial" w:eastAsia="Arial" w:hAnsi="Arial"/>
          <w:sz w:val="15"/>
          <w:szCs w:val="15"/>
          <w:color w:val="auto"/>
        </w:rPr>
        <w:t>. Except as otherwise provided in this Section 7, Shares of Restricted Stock covered by each Restricted Stock grant made under the Plan will be released from escrow as soon as practicable after the last day of the Period of Restriction or at such other time as the Administrator may determine. The Administrator, in its discretion, may accelerate the time at which any restrictions will lapse or be removed.</w:t>
      </w:r>
    </w:p>
    <w:p>
      <w:pPr>
        <w:spacing w:after="0" w:line="154" w:lineRule="exact"/>
        <w:rPr>
          <w:rFonts w:ascii="Arial" w:cs="Arial" w:eastAsia="Arial" w:hAnsi="Arial"/>
          <w:sz w:val="15"/>
          <w:szCs w:val="15"/>
          <w:color w:val="auto"/>
        </w:rPr>
      </w:pPr>
    </w:p>
    <w:p>
      <w:pPr>
        <w:ind w:left="-20" w:right="160" w:firstLine="906"/>
        <w:spacing w:after="0" w:line="275" w:lineRule="auto"/>
        <w:tabs>
          <w:tab w:leader="none" w:pos="1196" w:val="left"/>
        </w:tabs>
        <w:numPr>
          <w:ilvl w:val="1"/>
          <w:numId w:val="143"/>
        </w:numPr>
        <w:rPr>
          <w:rFonts w:ascii="Arial" w:cs="Arial" w:eastAsia="Arial" w:hAnsi="Arial"/>
          <w:sz w:val="15"/>
          <w:szCs w:val="15"/>
          <w:color w:val="auto"/>
        </w:rPr>
      </w:pPr>
      <w:r>
        <w:rPr>
          <w:rFonts w:ascii="Arial" w:cs="Arial" w:eastAsia="Arial" w:hAnsi="Arial"/>
          <w:sz w:val="15"/>
          <w:szCs w:val="15"/>
          <w:u w:val="single" w:color="auto"/>
          <w:color w:val="auto"/>
        </w:rPr>
        <w:t>Voting Rights</w:t>
      </w:r>
      <w:r>
        <w:rPr>
          <w:rFonts w:ascii="Arial" w:cs="Arial" w:eastAsia="Arial" w:hAnsi="Arial"/>
          <w:sz w:val="15"/>
          <w:szCs w:val="15"/>
          <w:color w:val="auto"/>
        </w:rPr>
        <w:t>. During the Period of Restriction, Service Providers holding Shares of Restricted Stock granted hereunder may exercise full voting rights with respect to those Shares, unless the Administrator determines otherwise.</w:t>
      </w:r>
    </w:p>
    <w:p>
      <w:pPr>
        <w:spacing w:after="0" w:line="146" w:lineRule="exact"/>
        <w:rPr>
          <w:rFonts w:ascii="Arial" w:cs="Arial" w:eastAsia="Arial" w:hAnsi="Arial"/>
          <w:sz w:val="15"/>
          <w:szCs w:val="15"/>
          <w:color w:val="auto"/>
        </w:rPr>
      </w:pPr>
    </w:p>
    <w:p>
      <w:pPr>
        <w:jc w:val="both"/>
        <w:ind w:left="-20" w:right="180" w:firstLine="906"/>
        <w:spacing w:after="0" w:line="263" w:lineRule="auto"/>
        <w:tabs>
          <w:tab w:leader="none" w:pos="1221" w:val="left"/>
        </w:tabs>
        <w:numPr>
          <w:ilvl w:val="1"/>
          <w:numId w:val="143"/>
        </w:numPr>
        <w:rPr>
          <w:rFonts w:ascii="Arial" w:cs="Arial" w:eastAsia="Arial" w:hAnsi="Arial"/>
          <w:sz w:val="15"/>
          <w:szCs w:val="15"/>
          <w:color w:val="auto"/>
        </w:rPr>
      </w:pPr>
      <w:r>
        <w:rPr>
          <w:rFonts w:ascii="Arial" w:cs="Arial" w:eastAsia="Arial" w:hAnsi="Arial"/>
          <w:sz w:val="15"/>
          <w:szCs w:val="15"/>
          <w:u w:val="single" w:color="auto"/>
          <w:color w:val="auto"/>
        </w:rPr>
        <w:t>Dividends and Other Distributions</w:t>
      </w:r>
      <w:r>
        <w:rPr>
          <w:rFonts w:ascii="Arial" w:cs="Arial" w:eastAsia="Arial" w:hAnsi="Arial"/>
          <w:sz w:val="15"/>
          <w:szCs w:val="15"/>
          <w:color w:val="auto"/>
        </w:rPr>
        <w:t>. During the Period of Restriction, Service Providers holding Shares of Restricted Stock will be entitled to receive all dividends and other distributions paid with respect to such Shares, unless the Administrator provides otherwise. If any such dividends or distributions are paid in Shares, the Shares will be subject to the same restrictions on transferability and forfeitability as the Shares of Restricted Stock with respect to which they were paid.</w:t>
      </w:r>
    </w:p>
    <w:p>
      <w:pPr>
        <w:spacing w:after="0" w:line="154" w:lineRule="exact"/>
        <w:rPr>
          <w:rFonts w:ascii="Arial" w:cs="Arial" w:eastAsia="Arial" w:hAnsi="Arial"/>
          <w:sz w:val="15"/>
          <w:szCs w:val="15"/>
          <w:color w:val="auto"/>
        </w:rPr>
      </w:pPr>
    </w:p>
    <w:p>
      <w:pPr>
        <w:ind w:left="-20" w:right="360" w:firstLine="906"/>
        <w:spacing w:after="0" w:line="275" w:lineRule="auto"/>
        <w:tabs>
          <w:tab w:leader="none" w:pos="1221" w:val="left"/>
        </w:tabs>
        <w:numPr>
          <w:ilvl w:val="1"/>
          <w:numId w:val="143"/>
        </w:numPr>
        <w:rPr>
          <w:rFonts w:ascii="Arial" w:cs="Arial" w:eastAsia="Arial" w:hAnsi="Arial"/>
          <w:sz w:val="15"/>
          <w:szCs w:val="15"/>
          <w:color w:val="auto"/>
        </w:rPr>
      </w:pPr>
      <w:r>
        <w:rPr>
          <w:rFonts w:ascii="Arial" w:cs="Arial" w:eastAsia="Arial" w:hAnsi="Arial"/>
          <w:sz w:val="15"/>
          <w:szCs w:val="15"/>
          <w:u w:val="single" w:color="auto"/>
          <w:color w:val="auto"/>
        </w:rPr>
        <w:t>Return of Restricted Stock to Company</w:t>
      </w:r>
      <w:r>
        <w:rPr>
          <w:rFonts w:ascii="Arial" w:cs="Arial" w:eastAsia="Arial" w:hAnsi="Arial"/>
          <w:sz w:val="15"/>
          <w:szCs w:val="15"/>
          <w:color w:val="auto"/>
        </w:rPr>
        <w:t>. On the date set forth in the Award Agreement, the Restricted Stock for which restrictions have not lapsed will revert to the Company and again will become available for grant under the Plan.</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-12-</w:t>
      </w:r>
    </w:p>
    <w:p>
      <w:pPr>
        <w:sectPr>
          <w:pgSz w:w="11900" w:h="16838" w:orient="portrait"/>
          <w:cols w:equalWidth="0" w:num="1">
            <w:col w:w="11380"/>
          </w:cols>
          <w:pgMar w:left="260" w:top="253" w:right="259" w:bottom="1440" w:gutter="0" w:footer="0" w:header="0"/>
        </w:sectPr>
      </w:pPr>
    </w:p>
    <w:bookmarkStart w:id="260" w:name="page261"/>
    <w:bookmarkEnd w:id="260"/>
    <w:p>
      <w:pPr>
        <w:ind w:left="720" w:hanging="272"/>
        <w:spacing w:after="0"/>
        <w:tabs>
          <w:tab w:leader="none" w:pos="720" w:val="left"/>
        </w:tabs>
        <w:numPr>
          <w:ilvl w:val="0"/>
          <w:numId w:val="144"/>
        </w:numPr>
        <w:rPr>
          <w:rFonts w:ascii="Arial" w:cs="Arial" w:eastAsia="Arial" w:hAnsi="Arial"/>
          <w:sz w:val="15"/>
          <w:szCs w:val="15"/>
          <w:color w:val="auto"/>
        </w:rPr>
      </w:pPr>
      <w:r>
        <w:rPr>
          <w:rFonts w:ascii="Arial" w:cs="Arial" w:eastAsia="Arial" w:hAnsi="Arial"/>
          <w:sz w:val="15"/>
          <w:szCs w:val="15"/>
          <w:u w:val="single" w:color="auto"/>
          <w:color w:val="auto"/>
        </w:rPr>
        <w:drawing>
          <wp:anchor simplePos="0" relativeHeight="251657728" behindDoc="1" locked="0" layoutInCell="0" allowOverlap="1">
            <wp:simplePos x="0" y="0"/>
            <wp:positionH relativeFrom="page">
              <wp:posOffset>133350</wp:posOffset>
            </wp:positionH>
            <wp:positionV relativeFrom="page">
              <wp:posOffset>88900</wp:posOffset>
            </wp:positionV>
            <wp:extent cx="7308850" cy="34290"/>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98">
                      <a:extLst>
                        <a:ext uri="{28A0092B-C50C-407E-A947-70E740481C1C}"/>
                      </a:extLst>
                    </a:blip>
                    <a:srcRect/>
                    <a:stretch>
                      <a:fillRect/>
                    </a:stretch>
                  </pic:blipFill>
                  <pic:spPr bwMode="auto">
                    <a:xfrm>
                      <a:off x="0" y="0"/>
                      <a:ext cx="7308850" cy="34290"/>
                    </a:xfrm>
                    <a:prstGeom prst="rect">
                      <a:avLst/>
                    </a:prstGeom>
                    <a:noFill/>
                  </pic:spPr>
                </pic:pic>
              </a:graphicData>
            </a:graphic>
          </wp:anchor>
        </w:drawing>
        <w:t>Restricted Stock Units</w:t>
      </w:r>
      <w:r>
        <w:rPr>
          <w:rFonts w:ascii="Arial" w:cs="Arial" w:eastAsia="Arial" w:hAnsi="Arial"/>
          <w:sz w:val="15"/>
          <w:szCs w:val="15"/>
          <w:color w:val="auto"/>
        </w:rPr>
        <w:t>.</w:t>
      </w:r>
    </w:p>
    <w:p>
      <w:pPr>
        <w:spacing w:after="0" w:line="188" w:lineRule="exact"/>
        <w:rPr>
          <w:rFonts w:ascii="Arial" w:cs="Arial" w:eastAsia="Arial" w:hAnsi="Arial"/>
          <w:sz w:val="15"/>
          <w:szCs w:val="15"/>
          <w:color w:val="auto"/>
        </w:rPr>
      </w:pPr>
    </w:p>
    <w:p>
      <w:pPr>
        <w:ind w:right="60" w:firstLine="906"/>
        <w:spacing w:after="0" w:line="263" w:lineRule="auto"/>
        <w:tabs>
          <w:tab w:leader="none" w:pos="1233" w:val="left"/>
        </w:tabs>
        <w:numPr>
          <w:ilvl w:val="1"/>
          <w:numId w:val="144"/>
        </w:numPr>
        <w:rPr>
          <w:rFonts w:ascii="Arial" w:cs="Arial" w:eastAsia="Arial" w:hAnsi="Arial"/>
          <w:sz w:val="15"/>
          <w:szCs w:val="15"/>
          <w:color w:val="auto"/>
        </w:rPr>
      </w:pPr>
      <w:r>
        <w:rPr>
          <w:rFonts w:ascii="Arial" w:cs="Arial" w:eastAsia="Arial" w:hAnsi="Arial"/>
          <w:sz w:val="15"/>
          <w:szCs w:val="15"/>
          <w:u w:val="single" w:color="auto"/>
          <w:color w:val="auto"/>
        </w:rPr>
        <w:t>Grant</w:t>
      </w:r>
      <w:r>
        <w:rPr>
          <w:rFonts w:ascii="Arial" w:cs="Arial" w:eastAsia="Arial" w:hAnsi="Arial"/>
          <w:sz w:val="15"/>
          <w:szCs w:val="15"/>
          <w:color w:val="auto"/>
        </w:rPr>
        <w:t>. Restricted Stock Units may be granted at any time and from time to time as determined by the Administrator. After the Administrator determines that it will grant Restricted Stock Units under the Plan, it will advise the Participant in an Award Agreement of the terms, conditions, and restrictions related to the grant, including the number of Restricted Stock Units.</w:t>
      </w:r>
    </w:p>
    <w:p>
      <w:pPr>
        <w:spacing w:after="0" w:line="154" w:lineRule="exact"/>
        <w:rPr>
          <w:rFonts w:ascii="Arial" w:cs="Arial" w:eastAsia="Arial" w:hAnsi="Arial"/>
          <w:sz w:val="15"/>
          <w:szCs w:val="15"/>
          <w:color w:val="auto"/>
        </w:rPr>
      </w:pPr>
    </w:p>
    <w:p>
      <w:pPr>
        <w:ind w:firstLine="906"/>
        <w:spacing w:after="0" w:line="259" w:lineRule="auto"/>
        <w:tabs>
          <w:tab w:leader="none" w:pos="1241" w:val="left"/>
        </w:tabs>
        <w:numPr>
          <w:ilvl w:val="1"/>
          <w:numId w:val="144"/>
        </w:numPr>
        <w:rPr>
          <w:rFonts w:ascii="Arial" w:cs="Arial" w:eastAsia="Arial" w:hAnsi="Arial"/>
          <w:sz w:val="15"/>
          <w:szCs w:val="15"/>
          <w:color w:val="auto"/>
        </w:rPr>
      </w:pPr>
      <w:r>
        <w:rPr>
          <w:rFonts w:ascii="Arial" w:cs="Arial" w:eastAsia="Arial" w:hAnsi="Arial"/>
          <w:sz w:val="15"/>
          <w:szCs w:val="15"/>
          <w:u w:val="single" w:color="auto"/>
          <w:color w:val="auto"/>
        </w:rPr>
        <w:t>Vesting Criteria and Other Terms</w:t>
      </w:r>
      <w:r>
        <w:rPr>
          <w:rFonts w:ascii="Arial" w:cs="Arial" w:eastAsia="Arial" w:hAnsi="Arial"/>
          <w:sz w:val="15"/>
          <w:szCs w:val="15"/>
          <w:color w:val="auto"/>
        </w:rPr>
        <w:t>. The Administrator will set vesting criteria in its discretion, which, depending on the extent to which the criteria are met, will determine the number of Restricted Stock Units that will be paid out to the Participant. The Administrator may set vesting criteria based upon the achievement of Company-wide, divisional, business unit, or individual goals (including, but not limited to, continued employment or service), applicable federal or state securities laws or any other basis determined by the Administrator in its discretion.</w:t>
      </w:r>
    </w:p>
    <w:p>
      <w:pPr>
        <w:spacing w:after="0" w:line="157" w:lineRule="exact"/>
        <w:rPr>
          <w:rFonts w:ascii="Arial" w:cs="Arial" w:eastAsia="Arial" w:hAnsi="Arial"/>
          <w:sz w:val="15"/>
          <w:szCs w:val="15"/>
          <w:color w:val="auto"/>
        </w:rPr>
      </w:pPr>
    </w:p>
    <w:p>
      <w:pPr>
        <w:jc w:val="both"/>
        <w:ind w:right="280" w:firstLine="906"/>
        <w:spacing w:after="0" w:line="263" w:lineRule="auto"/>
        <w:tabs>
          <w:tab w:leader="none" w:pos="1233" w:val="left"/>
        </w:tabs>
        <w:numPr>
          <w:ilvl w:val="1"/>
          <w:numId w:val="144"/>
        </w:numPr>
        <w:rPr>
          <w:rFonts w:ascii="Arial" w:cs="Arial" w:eastAsia="Arial" w:hAnsi="Arial"/>
          <w:sz w:val="15"/>
          <w:szCs w:val="15"/>
          <w:color w:val="auto"/>
        </w:rPr>
      </w:pPr>
      <w:r>
        <w:rPr>
          <w:rFonts w:ascii="Arial" w:cs="Arial" w:eastAsia="Arial" w:hAnsi="Arial"/>
          <w:sz w:val="15"/>
          <w:szCs w:val="15"/>
          <w:u w:val="single" w:color="auto"/>
          <w:color w:val="auto"/>
        </w:rPr>
        <w:t>Earning Restricted Stock Units</w:t>
      </w:r>
      <w:r>
        <w:rPr>
          <w:rFonts w:ascii="Arial" w:cs="Arial" w:eastAsia="Arial" w:hAnsi="Arial"/>
          <w:sz w:val="15"/>
          <w:szCs w:val="15"/>
          <w:color w:val="auto"/>
        </w:rPr>
        <w:t>. Upon meeting the applicable vesting criteria, the Participant will be entitled to receive a payout as determined by the Administrator. Notwithstanding the foregoing, at any time after the grant of Restricted Stock Units, the Administrator, in its sole discretion, may reduce or waive any vesting criteria that must be met to receive a payout.</w:t>
      </w:r>
    </w:p>
    <w:p>
      <w:pPr>
        <w:spacing w:after="0" w:line="154" w:lineRule="exact"/>
        <w:rPr>
          <w:rFonts w:ascii="Arial" w:cs="Arial" w:eastAsia="Arial" w:hAnsi="Arial"/>
          <w:sz w:val="15"/>
          <w:szCs w:val="15"/>
          <w:color w:val="auto"/>
        </w:rPr>
      </w:pPr>
    </w:p>
    <w:p>
      <w:pPr>
        <w:ind w:right="220" w:firstLine="906"/>
        <w:spacing w:after="0" w:line="312" w:lineRule="auto"/>
        <w:tabs>
          <w:tab w:leader="none" w:pos="1241" w:val="left"/>
        </w:tabs>
        <w:numPr>
          <w:ilvl w:val="1"/>
          <w:numId w:val="144"/>
        </w:numPr>
        <w:rPr>
          <w:rFonts w:ascii="Arial" w:cs="Arial" w:eastAsia="Arial" w:hAnsi="Arial"/>
          <w:sz w:val="14"/>
          <w:szCs w:val="14"/>
          <w:color w:val="auto"/>
        </w:rPr>
      </w:pPr>
      <w:r>
        <w:rPr>
          <w:rFonts w:ascii="Arial" w:cs="Arial" w:eastAsia="Arial" w:hAnsi="Arial"/>
          <w:sz w:val="14"/>
          <w:szCs w:val="14"/>
          <w:u w:val="single" w:color="auto"/>
          <w:color w:val="auto"/>
        </w:rPr>
        <w:t>Form and Timing of Payment</w:t>
      </w:r>
      <w:r>
        <w:rPr>
          <w:rFonts w:ascii="Arial" w:cs="Arial" w:eastAsia="Arial" w:hAnsi="Arial"/>
          <w:sz w:val="14"/>
          <w:szCs w:val="14"/>
          <w:color w:val="auto"/>
        </w:rPr>
        <w:t>. Payment of earned Restricted Stock Units will be made as soon as practicable after the date(s) determined by the Administrator and set forth in the Award Agreement. The Administrator, in its sole discretion, may only settle earned Restricted Stock Units in cash, Shares, or a combination of both.</w:t>
      </w:r>
    </w:p>
    <w:p>
      <w:pPr>
        <w:spacing w:after="0" w:line="122" w:lineRule="exact"/>
        <w:rPr>
          <w:rFonts w:ascii="Arial" w:cs="Arial" w:eastAsia="Arial" w:hAnsi="Arial"/>
          <w:sz w:val="14"/>
          <w:szCs w:val="14"/>
          <w:color w:val="auto"/>
        </w:rPr>
      </w:pPr>
    </w:p>
    <w:p>
      <w:pPr>
        <w:ind w:left="1220" w:hanging="314"/>
        <w:spacing w:after="0"/>
        <w:tabs>
          <w:tab w:leader="none" w:pos="1220" w:val="left"/>
        </w:tabs>
        <w:numPr>
          <w:ilvl w:val="1"/>
          <w:numId w:val="144"/>
        </w:numPr>
        <w:rPr>
          <w:rFonts w:ascii="Arial" w:cs="Arial" w:eastAsia="Arial" w:hAnsi="Arial"/>
          <w:sz w:val="15"/>
          <w:szCs w:val="15"/>
          <w:color w:val="auto"/>
        </w:rPr>
      </w:pPr>
      <w:r>
        <w:rPr>
          <w:rFonts w:ascii="Arial" w:cs="Arial" w:eastAsia="Arial" w:hAnsi="Arial"/>
          <w:sz w:val="15"/>
          <w:szCs w:val="15"/>
          <w:u w:val="single" w:color="auto"/>
          <w:color w:val="auto"/>
        </w:rPr>
        <w:t>Cancellation</w:t>
      </w:r>
      <w:r>
        <w:rPr>
          <w:rFonts w:ascii="Arial" w:cs="Arial" w:eastAsia="Arial" w:hAnsi="Arial"/>
          <w:sz w:val="15"/>
          <w:szCs w:val="15"/>
          <w:color w:val="auto"/>
        </w:rPr>
        <w:t>. On the date set forth in the Award Agreement, all unearned Restricted Stock Units will be forfeited to the Company.</w:t>
      </w:r>
    </w:p>
    <w:p>
      <w:pPr>
        <w:spacing w:after="0" w:line="188" w:lineRule="exact"/>
        <w:rPr>
          <w:rFonts w:ascii="Arial" w:cs="Arial" w:eastAsia="Arial" w:hAnsi="Arial"/>
          <w:sz w:val="15"/>
          <w:szCs w:val="15"/>
          <w:color w:val="auto"/>
        </w:rPr>
      </w:pPr>
    </w:p>
    <w:p>
      <w:pPr>
        <w:ind w:left="720" w:hanging="272"/>
        <w:spacing w:after="0"/>
        <w:tabs>
          <w:tab w:leader="none" w:pos="720" w:val="left"/>
        </w:tabs>
        <w:numPr>
          <w:ilvl w:val="0"/>
          <w:numId w:val="144"/>
        </w:numPr>
        <w:rPr>
          <w:rFonts w:ascii="Arial" w:cs="Arial" w:eastAsia="Arial" w:hAnsi="Arial"/>
          <w:sz w:val="15"/>
          <w:szCs w:val="15"/>
          <w:color w:val="auto"/>
        </w:rPr>
      </w:pPr>
      <w:r>
        <w:rPr>
          <w:rFonts w:ascii="Arial" w:cs="Arial" w:eastAsia="Arial" w:hAnsi="Arial"/>
          <w:sz w:val="15"/>
          <w:szCs w:val="15"/>
          <w:u w:val="single" w:color="auto"/>
          <w:color w:val="auto"/>
        </w:rPr>
        <w:t>Stock Appreciation Rights</w:t>
      </w:r>
      <w:r>
        <w:rPr>
          <w:rFonts w:ascii="Arial" w:cs="Arial" w:eastAsia="Arial" w:hAnsi="Arial"/>
          <w:sz w:val="15"/>
          <w:szCs w:val="15"/>
          <w:color w:val="auto"/>
        </w:rPr>
        <w:t>.</w:t>
      </w:r>
    </w:p>
    <w:p>
      <w:pPr>
        <w:spacing w:after="0" w:line="188" w:lineRule="exact"/>
        <w:rPr>
          <w:rFonts w:ascii="Arial" w:cs="Arial" w:eastAsia="Arial" w:hAnsi="Arial"/>
          <w:sz w:val="15"/>
          <w:szCs w:val="15"/>
          <w:color w:val="auto"/>
        </w:rPr>
      </w:pPr>
    </w:p>
    <w:p>
      <w:pPr>
        <w:ind w:right="280" w:firstLine="906"/>
        <w:spacing w:after="0" w:line="275" w:lineRule="auto"/>
        <w:tabs>
          <w:tab w:leader="none" w:pos="1233" w:val="left"/>
        </w:tabs>
        <w:numPr>
          <w:ilvl w:val="1"/>
          <w:numId w:val="144"/>
        </w:numPr>
        <w:rPr>
          <w:rFonts w:ascii="Arial" w:cs="Arial" w:eastAsia="Arial" w:hAnsi="Arial"/>
          <w:sz w:val="15"/>
          <w:szCs w:val="15"/>
          <w:color w:val="auto"/>
        </w:rPr>
      </w:pPr>
      <w:r>
        <w:rPr>
          <w:rFonts w:ascii="Arial" w:cs="Arial" w:eastAsia="Arial" w:hAnsi="Arial"/>
          <w:sz w:val="15"/>
          <w:szCs w:val="15"/>
          <w:u w:val="single" w:color="auto"/>
          <w:color w:val="auto"/>
        </w:rPr>
        <w:t>Grant of Stock Appreciation Rights</w:t>
      </w:r>
      <w:r>
        <w:rPr>
          <w:rFonts w:ascii="Arial" w:cs="Arial" w:eastAsia="Arial" w:hAnsi="Arial"/>
          <w:sz w:val="15"/>
          <w:szCs w:val="15"/>
          <w:color w:val="auto"/>
        </w:rPr>
        <w:t>. Subject to the terms and conditions of the Plan, a Stock Appreciation Right may be granted to Service Providers at any time and from time to time as will be determined by the Administrator, in its sole discretion.</w:t>
      </w:r>
    </w:p>
    <w:p>
      <w:pPr>
        <w:spacing w:after="0" w:line="146" w:lineRule="exact"/>
        <w:rPr>
          <w:rFonts w:ascii="Arial" w:cs="Arial" w:eastAsia="Arial" w:hAnsi="Arial"/>
          <w:sz w:val="15"/>
          <w:szCs w:val="15"/>
          <w:color w:val="auto"/>
        </w:rPr>
      </w:pPr>
    </w:p>
    <w:p>
      <w:pPr>
        <w:ind w:left="1240" w:hanging="334"/>
        <w:spacing w:after="0"/>
        <w:tabs>
          <w:tab w:leader="none" w:pos="1240" w:val="left"/>
        </w:tabs>
        <w:numPr>
          <w:ilvl w:val="1"/>
          <w:numId w:val="144"/>
        </w:numPr>
        <w:rPr>
          <w:rFonts w:ascii="Arial" w:cs="Arial" w:eastAsia="Arial" w:hAnsi="Arial"/>
          <w:sz w:val="14"/>
          <w:szCs w:val="14"/>
          <w:color w:val="auto"/>
        </w:rPr>
      </w:pPr>
      <w:r>
        <w:rPr>
          <w:rFonts w:ascii="Arial" w:cs="Arial" w:eastAsia="Arial" w:hAnsi="Arial"/>
          <w:sz w:val="14"/>
          <w:szCs w:val="14"/>
          <w:u w:val="single" w:color="auto"/>
          <w:color w:val="auto"/>
        </w:rPr>
        <w:t>Number of Shares</w:t>
      </w:r>
      <w:r>
        <w:rPr>
          <w:rFonts w:ascii="Arial" w:cs="Arial" w:eastAsia="Arial" w:hAnsi="Arial"/>
          <w:sz w:val="14"/>
          <w:szCs w:val="14"/>
          <w:color w:val="auto"/>
        </w:rPr>
        <w:t>. The Administrator will have complete discretion to determine the number of Stock Appreciation Rights granted to any Service Provider.</w:t>
      </w:r>
    </w:p>
    <w:p>
      <w:pPr>
        <w:spacing w:after="0" w:line="199" w:lineRule="exact"/>
        <w:rPr>
          <w:rFonts w:ascii="Arial" w:cs="Arial" w:eastAsia="Arial" w:hAnsi="Arial"/>
          <w:sz w:val="14"/>
          <w:szCs w:val="14"/>
          <w:color w:val="auto"/>
        </w:rPr>
      </w:pPr>
    </w:p>
    <w:p>
      <w:pPr>
        <w:jc w:val="both"/>
        <w:ind w:right="260" w:firstLine="906"/>
        <w:spacing w:after="0" w:line="290" w:lineRule="auto"/>
        <w:tabs>
          <w:tab w:leader="none" w:pos="1233" w:val="left"/>
        </w:tabs>
        <w:numPr>
          <w:ilvl w:val="1"/>
          <w:numId w:val="144"/>
        </w:numPr>
        <w:rPr>
          <w:rFonts w:ascii="Arial" w:cs="Arial" w:eastAsia="Arial" w:hAnsi="Arial"/>
          <w:sz w:val="14"/>
          <w:szCs w:val="14"/>
          <w:color w:val="auto"/>
        </w:rPr>
      </w:pPr>
      <w:r>
        <w:rPr>
          <w:rFonts w:ascii="Arial" w:cs="Arial" w:eastAsia="Arial" w:hAnsi="Arial"/>
          <w:sz w:val="14"/>
          <w:szCs w:val="14"/>
          <w:u w:val="single" w:color="auto"/>
          <w:color w:val="auto"/>
        </w:rPr>
        <w:t>Exercise Price and Other Terms</w:t>
      </w:r>
      <w:r>
        <w:rPr>
          <w:rFonts w:ascii="Arial" w:cs="Arial" w:eastAsia="Arial" w:hAnsi="Arial"/>
          <w:sz w:val="14"/>
          <w:szCs w:val="14"/>
          <w:color w:val="auto"/>
        </w:rPr>
        <w:t>. The per share exercise price for the Shares to be issued pursuant to exercise of a Stock Appreciation Right will be determined by the Administrator and will be no less than one hundred percent (100%) of the Fair Market Value per Share on the date of grant. Otherwise, the Administrator, subject to the provisions of the Plan, will have complete discretion to determine the terms and conditions of Stock Appreciation Rights granted under the Plan.</w:t>
      </w:r>
    </w:p>
    <w:p>
      <w:pPr>
        <w:spacing w:after="0" w:line="138" w:lineRule="exact"/>
        <w:rPr>
          <w:rFonts w:ascii="Arial" w:cs="Arial" w:eastAsia="Arial" w:hAnsi="Arial"/>
          <w:sz w:val="14"/>
          <w:szCs w:val="14"/>
          <w:color w:val="auto"/>
        </w:rPr>
      </w:pPr>
    </w:p>
    <w:p>
      <w:pPr>
        <w:ind w:firstLine="906"/>
        <w:spacing w:after="0" w:line="275" w:lineRule="auto"/>
        <w:tabs>
          <w:tab w:leader="none" w:pos="1241" w:val="left"/>
        </w:tabs>
        <w:numPr>
          <w:ilvl w:val="1"/>
          <w:numId w:val="144"/>
        </w:numPr>
        <w:rPr>
          <w:rFonts w:ascii="Arial" w:cs="Arial" w:eastAsia="Arial" w:hAnsi="Arial"/>
          <w:sz w:val="15"/>
          <w:szCs w:val="15"/>
          <w:color w:val="auto"/>
        </w:rPr>
      </w:pPr>
      <w:r>
        <w:rPr>
          <w:rFonts w:ascii="Arial" w:cs="Arial" w:eastAsia="Arial" w:hAnsi="Arial"/>
          <w:sz w:val="15"/>
          <w:szCs w:val="15"/>
          <w:u w:val="single" w:color="auto"/>
          <w:color w:val="auto"/>
        </w:rPr>
        <w:t>Stock Appreciation Right Agreement</w:t>
      </w:r>
      <w:r>
        <w:rPr>
          <w:rFonts w:ascii="Arial" w:cs="Arial" w:eastAsia="Arial" w:hAnsi="Arial"/>
          <w:sz w:val="15"/>
          <w:szCs w:val="15"/>
          <w:color w:val="auto"/>
        </w:rPr>
        <w:t>. Each Stock Appreciation Right grant will be evidenced by an Award Agreement that will specify the exercise price, the term of the Stock Appreciation Right, the conditions of exercise, and such other terms and conditions as the Administrator, in its sole discretion, will determine.</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-13-</w:t>
      </w:r>
    </w:p>
    <w:p>
      <w:pPr>
        <w:sectPr>
          <w:pgSz w:w="11900" w:h="16838" w:orient="portrait"/>
          <w:cols w:equalWidth="0" w:num="1">
            <w:col w:w="11420"/>
          </w:cols>
          <w:pgMar w:left="240" w:top="253" w:right="239" w:bottom="1440" w:gutter="0" w:footer="0" w:header="0"/>
        </w:sectPr>
      </w:pPr>
    </w:p>
    <w:bookmarkStart w:id="261" w:name="page262"/>
    <w:bookmarkEnd w:id="261"/>
    <w:p>
      <w:pPr>
        <w:jc w:val="both"/>
        <w:ind w:firstLine="906"/>
        <w:spacing w:after="0" w:line="263" w:lineRule="auto"/>
        <w:tabs>
          <w:tab w:leader="none" w:pos="1233" w:val="left"/>
        </w:tabs>
        <w:numPr>
          <w:ilvl w:val="0"/>
          <w:numId w:val="145"/>
        </w:numPr>
        <w:rPr>
          <w:rFonts w:ascii="Arial" w:cs="Arial" w:eastAsia="Arial" w:hAnsi="Arial"/>
          <w:sz w:val="15"/>
          <w:szCs w:val="15"/>
          <w:color w:val="auto"/>
        </w:rPr>
      </w:pPr>
      <w:r>
        <w:rPr>
          <w:rFonts w:ascii="Arial" w:cs="Arial" w:eastAsia="Arial" w:hAnsi="Arial"/>
          <w:sz w:val="15"/>
          <w:szCs w:val="15"/>
          <w:u w:val="single" w:color="auto"/>
          <w:color w:val="auto"/>
        </w:rPr>
        <w:drawing>
          <wp:anchor simplePos="0" relativeHeight="251657728" behindDoc="1" locked="0" layoutInCell="0" allowOverlap="1">
            <wp:simplePos x="0" y="0"/>
            <wp:positionH relativeFrom="page">
              <wp:posOffset>133350</wp:posOffset>
            </wp:positionH>
            <wp:positionV relativeFrom="page">
              <wp:posOffset>88900</wp:posOffset>
            </wp:positionV>
            <wp:extent cx="7308850" cy="34290"/>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99">
                      <a:extLst>
                        <a:ext uri="{28A0092B-C50C-407E-A947-70E740481C1C}"/>
                      </a:extLst>
                    </a:blip>
                    <a:srcRect/>
                    <a:stretch>
                      <a:fillRect/>
                    </a:stretch>
                  </pic:blipFill>
                  <pic:spPr bwMode="auto">
                    <a:xfrm>
                      <a:off x="0" y="0"/>
                      <a:ext cx="7308850" cy="34290"/>
                    </a:xfrm>
                    <a:prstGeom prst="rect">
                      <a:avLst/>
                    </a:prstGeom>
                    <a:noFill/>
                  </pic:spPr>
                </pic:pic>
              </a:graphicData>
            </a:graphic>
          </wp:anchor>
        </w:drawing>
        <w:t>Expiration of Stock Appreciation Rights</w:t>
      </w:r>
      <w:r>
        <w:rPr>
          <w:rFonts w:ascii="Arial" w:cs="Arial" w:eastAsia="Arial" w:hAnsi="Arial"/>
          <w:sz w:val="15"/>
          <w:szCs w:val="15"/>
          <w:color w:val="auto"/>
        </w:rPr>
        <w:t>. A Stock Appreciation Right granted under the Plan will expire ten (10) years from the date of grant or such shorter term as may be provided in the Award Agreement, as determined by the Administrator, in its sole discretion. Notwithstanding the foregoing, the rules of Section 6(d) relating to exercise also will apply to Stock Appreciation Rights.</w:t>
      </w:r>
    </w:p>
    <w:p>
      <w:pPr>
        <w:spacing w:after="0" w:line="154" w:lineRule="exact"/>
        <w:rPr>
          <w:rFonts w:ascii="Arial" w:cs="Arial" w:eastAsia="Arial" w:hAnsi="Arial"/>
          <w:sz w:val="15"/>
          <w:szCs w:val="15"/>
          <w:color w:val="auto"/>
        </w:rPr>
      </w:pPr>
    </w:p>
    <w:p>
      <w:pPr>
        <w:ind w:right="160" w:firstLine="906"/>
        <w:spacing w:after="0" w:line="275" w:lineRule="auto"/>
        <w:tabs>
          <w:tab w:leader="none" w:pos="1216" w:val="left"/>
        </w:tabs>
        <w:numPr>
          <w:ilvl w:val="0"/>
          <w:numId w:val="145"/>
        </w:numPr>
        <w:rPr>
          <w:rFonts w:ascii="Arial" w:cs="Arial" w:eastAsia="Arial" w:hAnsi="Arial"/>
          <w:sz w:val="15"/>
          <w:szCs w:val="15"/>
          <w:color w:val="auto"/>
        </w:rPr>
      </w:pPr>
      <w:r>
        <w:rPr>
          <w:rFonts w:ascii="Arial" w:cs="Arial" w:eastAsia="Arial" w:hAnsi="Arial"/>
          <w:sz w:val="15"/>
          <w:szCs w:val="15"/>
          <w:u w:val="single" w:color="auto"/>
          <w:color w:val="auto"/>
        </w:rPr>
        <w:t>Payment of Stock Appreciation Right Amount</w:t>
      </w:r>
      <w:r>
        <w:rPr>
          <w:rFonts w:ascii="Arial" w:cs="Arial" w:eastAsia="Arial" w:hAnsi="Arial"/>
          <w:sz w:val="15"/>
          <w:szCs w:val="15"/>
          <w:color w:val="auto"/>
        </w:rPr>
        <w:t>. Upon exercise of a Stock Appreciation Right, a Participant will be entitled to receive payment from the Company in an amount determined by multiplying:</w:t>
      </w:r>
    </w:p>
    <w:p>
      <w:pPr>
        <w:spacing w:after="0" w:line="146" w:lineRule="exact"/>
        <w:rPr>
          <w:rFonts w:ascii="Arial" w:cs="Arial" w:eastAsia="Arial" w:hAnsi="Arial"/>
          <w:sz w:val="15"/>
          <w:szCs w:val="15"/>
          <w:color w:val="auto"/>
        </w:rPr>
      </w:pPr>
    </w:p>
    <w:p>
      <w:pPr>
        <w:ind w:left="1760" w:hanging="282"/>
        <w:spacing w:after="0"/>
        <w:tabs>
          <w:tab w:leader="none" w:pos="1760" w:val="left"/>
        </w:tabs>
        <w:numPr>
          <w:ilvl w:val="1"/>
          <w:numId w:val="145"/>
        </w:numPr>
        <w:rPr>
          <w:rFonts w:ascii="Arial" w:cs="Arial" w:eastAsia="Arial" w:hAnsi="Arial"/>
          <w:sz w:val="15"/>
          <w:szCs w:val="15"/>
          <w:color w:val="auto"/>
        </w:rPr>
      </w:pPr>
      <w:r>
        <w:rPr>
          <w:rFonts w:ascii="Arial" w:cs="Arial" w:eastAsia="Arial" w:hAnsi="Arial"/>
          <w:sz w:val="15"/>
          <w:szCs w:val="15"/>
          <w:color w:val="auto"/>
        </w:rPr>
        <w:t>The difference between the Fair Market Value of a Share on the date of exercise over the exercise price; times</w:t>
      </w:r>
    </w:p>
    <w:p>
      <w:pPr>
        <w:spacing w:after="0" w:line="188" w:lineRule="exact"/>
        <w:rPr>
          <w:rFonts w:ascii="Arial" w:cs="Arial" w:eastAsia="Arial" w:hAnsi="Arial"/>
          <w:sz w:val="15"/>
          <w:szCs w:val="15"/>
          <w:color w:val="auto"/>
        </w:rPr>
      </w:pPr>
    </w:p>
    <w:p>
      <w:pPr>
        <w:ind w:left="1800" w:hanging="322"/>
        <w:spacing w:after="0"/>
        <w:tabs>
          <w:tab w:leader="none" w:pos="1800" w:val="left"/>
        </w:tabs>
        <w:numPr>
          <w:ilvl w:val="1"/>
          <w:numId w:val="145"/>
        </w:numPr>
        <w:rPr>
          <w:rFonts w:ascii="Arial" w:cs="Arial" w:eastAsia="Arial" w:hAnsi="Arial"/>
          <w:sz w:val="15"/>
          <w:szCs w:val="15"/>
          <w:color w:val="auto"/>
        </w:rPr>
      </w:pPr>
      <w:r>
        <w:rPr>
          <w:rFonts w:ascii="Arial" w:cs="Arial" w:eastAsia="Arial" w:hAnsi="Arial"/>
          <w:sz w:val="15"/>
          <w:szCs w:val="15"/>
          <w:color w:val="auto"/>
        </w:rPr>
        <w:t>The number of Shares with respect to which the Stock Appreciation Right is exercised.</w:t>
      </w:r>
    </w:p>
    <w:p>
      <w:pPr>
        <w:spacing w:after="0" w:line="188" w:lineRule="exact"/>
        <w:rPr>
          <w:sz w:val="20"/>
          <w:szCs w:val="20"/>
          <w:color w:val="auto"/>
        </w:rPr>
      </w:pPr>
    </w:p>
    <w:p>
      <w:pPr>
        <w:ind w:left="440"/>
        <w:spacing w:after="0"/>
        <w:rPr>
          <w:sz w:val="20"/>
          <w:szCs w:val="20"/>
          <w:color w:val="auto"/>
        </w:rPr>
      </w:pPr>
      <w:r>
        <w:rPr>
          <w:rFonts w:ascii="Arial" w:cs="Arial" w:eastAsia="Arial" w:hAnsi="Arial"/>
          <w:sz w:val="14"/>
          <w:szCs w:val="14"/>
          <w:color w:val="auto"/>
        </w:rPr>
        <w:t>At the discretion of the Administrator, the payment upon Stock Appreciation Right exercise may be in cash, in Shares of equivalent value, or in some combination thereof.</w:t>
      </w:r>
    </w:p>
    <w:p>
      <w:pPr>
        <w:spacing w:after="0" w:line="200" w:lineRule="exact"/>
        <w:rPr>
          <w:sz w:val="20"/>
          <w:szCs w:val="20"/>
          <w:color w:val="auto"/>
        </w:rPr>
      </w:pPr>
    </w:p>
    <w:p>
      <w:pPr>
        <w:ind w:left="780" w:hanging="332"/>
        <w:spacing w:after="0"/>
        <w:tabs>
          <w:tab w:leader="none" w:pos="780" w:val="left"/>
        </w:tabs>
        <w:numPr>
          <w:ilvl w:val="0"/>
          <w:numId w:val="146"/>
        </w:numPr>
        <w:rPr>
          <w:rFonts w:ascii="Arial" w:cs="Arial" w:eastAsia="Arial" w:hAnsi="Arial"/>
          <w:sz w:val="15"/>
          <w:szCs w:val="15"/>
          <w:color w:val="auto"/>
        </w:rPr>
      </w:pPr>
      <w:r>
        <w:rPr>
          <w:rFonts w:ascii="Arial" w:cs="Arial" w:eastAsia="Arial" w:hAnsi="Arial"/>
          <w:sz w:val="15"/>
          <w:szCs w:val="15"/>
          <w:u w:val="single" w:color="auto"/>
          <w:color w:val="auto"/>
        </w:rPr>
        <w:t>Performance Units and Performance Shares</w:t>
      </w:r>
      <w:r>
        <w:rPr>
          <w:rFonts w:ascii="Arial" w:cs="Arial" w:eastAsia="Arial" w:hAnsi="Arial"/>
          <w:sz w:val="15"/>
          <w:szCs w:val="15"/>
          <w:color w:val="auto"/>
        </w:rPr>
        <w:t>.</w:t>
      </w:r>
    </w:p>
    <w:p>
      <w:pPr>
        <w:spacing w:after="0" w:line="188" w:lineRule="exact"/>
        <w:rPr>
          <w:rFonts w:ascii="Arial" w:cs="Arial" w:eastAsia="Arial" w:hAnsi="Arial"/>
          <w:sz w:val="15"/>
          <w:szCs w:val="15"/>
          <w:color w:val="auto"/>
        </w:rPr>
      </w:pPr>
    </w:p>
    <w:p>
      <w:pPr>
        <w:ind w:right="60" w:firstLine="906"/>
        <w:spacing w:after="0" w:line="263" w:lineRule="auto"/>
        <w:tabs>
          <w:tab w:leader="none" w:pos="1233" w:val="left"/>
        </w:tabs>
        <w:numPr>
          <w:ilvl w:val="1"/>
          <w:numId w:val="146"/>
        </w:numPr>
        <w:rPr>
          <w:rFonts w:ascii="Arial" w:cs="Arial" w:eastAsia="Arial" w:hAnsi="Arial"/>
          <w:sz w:val="15"/>
          <w:szCs w:val="15"/>
          <w:color w:val="auto"/>
        </w:rPr>
      </w:pPr>
      <w:r>
        <w:rPr>
          <w:rFonts w:ascii="Arial" w:cs="Arial" w:eastAsia="Arial" w:hAnsi="Arial"/>
          <w:sz w:val="15"/>
          <w:szCs w:val="15"/>
          <w:u w:val="single" w:color="auto"/>
          <w:color w:val="auto"/>
        </w:rPr>
        <w:t>Grant of Performance Units/Shares</w:t>
      </w:r>
      <w:r>
        <w:rPr>
          <w:rFonts w:ascii="Arial" w:cs="Arial" w:eastAsia="Arial" w:hAnsi="Arial"/>
          <w:sz w:val="15"/>
          <w:szCs w:val="15"/>
          <w:color w:val="auto"/>
        </w:rPr>
        <w:t>. Performance Units and Performance Shares may be granted to Service Providers at any time and from time to time, as will be determined by the Administrator, in its sole discretion. The Administrator will have complete discretion in determining the number of Performance Units and Performance Shares granted to each Participant.</w:t>
      </w:r>
    </w:p>
    <w:p>
      <w:pPr>
        <w:spacing w:after="0" w:line="154" w:lineRule="exact"/>
        <w:rPr>
          <w:rFonts w:ascii="Arial" w:cs="Arial" w:eastAsia="Arial" w:hAnsi="Arial"/>
          <w:sz w:val="15"/>
          <w:szCs w:val="15"/>
          <w:color w:val="auto"/>
        </w:rPr>
      </w:pPr>
    </w:p>
    <w:p>
      <w:pPr>
        <w:ind w:right="480" w:firstLine="906"/>
        <w:spacing w:after="0" w:line="275" w:lineRule="auto"/>
        <w:tabs>
          <w:tab w:leader="none" w:pos="1241" w:val="left"/>
        </w:tabs>
        <w:numPr>
          <w:ilvl w:val="1"/>
          <w:numId w:val="146"/>
        </w:numPr>
        <w:rPr>
          <w:rFonts w:ascii="Arial" w:cs="Arial" w:eastAsia="Arial" w:hAnsi="Arial"/>
          <w:sz w:val="15"/>
          <w:szCs w:val="15"/>
          <w:color w:val="auto"/>
        </w:rPr>
      </w:pPr>
      <w:r>
        <w:rPr>
          <w:rFonts w:ascii="Arial" w:cs="Arial" w:eastAsia="Arial" w:hAnsi="Arial"/>
          <w:sz w:val="15"/>
          <w:szCs w:val="15"/>
          <w:u w:val="single" w:color="auto"/>
          <w:color w:val="auto"/>
        </w:rPr>
        <w:t>Value of Performance Units/Shares</w:t>
      </w:r>
      <w:r>
        <w:rPr>
          <w:rFonts w:ascii="Arial" w:cs="Arial" w:eastAsia="Arial" w:hAnsi="Arial"/>
          <w:sz w:val="15"/>
          <w:szCs w:val="15"/>
          <w:color w:val="auto"/>
        </w:rPr>
        <w:t>. Each Performance Unit will have an initial value that is established by the Administrator on or before the date of grant. Each Performance Share will have an initial value equal to the Fair Market Value of a Share on the date of grant.</w:t>
      </w:r>
    </w:p>
    <w:p>
      <w:pPr>
        <w:spacing w:after="0" w:line="146" w:lineRule="exact"/>
        <w:rPr>
          <w:rFonts w:ascii="Arial" w:cs="Arial" w:eastAsia="Arial" w:hAnsi="Arial"/>
          <w:sz w:val="15"/>
          <w:szCs w:val="15"/>
          <w:color w:val="auto"/>
        </w:rPr>
      </w:pPr>
    </w:p>
    <w:p>
      <w:pPr>
        <w:ind w:right="60" w:firstLine="906"/>
        <w:spacing w:after="0" w:line="277" w:lineRule="auto"/>
        <w:tabs>
          <w:tab w:leader="none" w:pos="1233" w:val="left"/>
        </w:tabs>
        <w:numPr>
          <w:ilvl w:val="1"/>
          <w:numId w:val="146"/>
        </w:numPr>
        <w:rPr>
          <w:rFonts w:ascii="Arial" w:cs="Arial" w:eastAsia="Arial" w:hAnsi="Arial"/>
          <w:sz w:val="14"/>
          <w:szCs w:val="14"/>
          <w:color w:val="auto"/>
        </w:rPr>
      </w:pPr>
      <w:r>
        <w:rPr>
          <w:rFonts w:ascii="Arial" w:cs="Arial" w:eastAsia="Arial" w:hAnsi="Arial"/>
          <w:sz w:val="14"/>
          <w:szCs w:val="14"/>
          <w:u w:val="single" w:color="auto"/>
          <w:color w:val="auto"/>
        </w:rPr>
        <w:t>Performance Objectives and Other Terms</w:t>
      </w:r>
      <w:r>
        <w:rPr>
          <w:rFonts w:ascii="Arial" w:cs="Arial" w:eastAsia="Arial" w:hAnsi="Arial"/>
          <w:sz w:val="14"/>
          <w:szCs w:val="14"/>
          <w:color w:val="auto"/>
        </w:rPr>
        <w:t>. The Administrator will set performance objectives or other vesting provisions (including, without limitation, continued status as a Service Provider) in its discretion which, depending on the extent to which they are met, will determine the number or value of Performance Units/Shares that will be paid out to the Service Providers. The time period during which the performance objectives or other vesting provisions must be met will be called the “Performance Period.” Each Award of Performance Units/Shares will be evidenced by an Award Agreement that will specify the Performance Period, and such other terms and conditions as the Administrator, in its sole discretion, will determine. The Administrator may set performance objectives based upon the achievement of Company-wide, divisional, business unit or individual goals (including, but not limited to, continued employment or service), applicable federal or state securities laws, or any other basis determined by the Administrator in its discretion.</w:t>
      </w:r>
    </w:p>
    <w:p>
      <w:pPr>
        <w:spacing w:after="0" w:line="148" w:lineRule="exact"/>
        <w:rPr>
          <w:rFonts w:ascii="Arial" w:cs="Arial" w:eastAsia="Arial" w:hAnsi="Arial"/>
          <w:sz w:val="14"/>
          <w:szCs w:val="14"/>
          <w:color w:val="auto"/>
        </w:rPr>
      </w:pPr>
    </w:p>
    <w:p>
      <w:pPr>
        <w:ind w:left="1240" w:hanging="334"/>
        <w:spacing w:after="0"/>
        <w:tabs>
          <w:tab w:leader="none" w:pos="1240" w:val="left"/>
        </w:tabs>
        <w:numPr>
          <w:ilvl w:val="1"/>
          <w:numId w:val="146"/>
        </w:numPr>
        <w:rPr>
          <w:rFonts w:ascii="Arial" w:cs="Arial" w:eastAsia="Arial" w:hAnsi="Arial"/>
          <w:sz w:val="13"/>
          <w:szCs w:val="13"/>
          <w:color w:val="auto"/>
        </w:rPr>
      </w:pPr>
      <w:r>
        <w:rPr>
          <w:rFonts w:ascii="Arial" w:cs="Arial" w:eastAsia="Arial" w:hAnsi="Arial"/>
          <w:sz w:val="13"/>
          <w:szCs w:val="13"/>
          <w:u w:val="single" w:color="auto"/>
          <w:color w:val="auto"/>
        </w:rPr>
        <w:t>Earning of Performance Units/Shares</w:t>
      </w:r>
      <w:r>
        <w:rPr>
          <w:rFonts w:ascii="Arial" w:cs="Arial" w:eastAsia="Arial" w:hAnsi="Arial"/>
          <w:sz w:val="13"/>
          <w:szCs w:val="13"/>
          <w:color w:val="auto"/>
        </w:rPr>
        <w:t>. After the applicable Performance Period has ended, the holder of Performance Units/Shares will be entitled to receive a payout of</w:t>
      </w:r>
    </w:p>
    <w:p>
      <w:pPr>
        <w:spacing w:after="0" w:line="40"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5"/>
          <w:szCs w:val="15"/>
          <w:color w:val="auto"/>
        </w:rPr>
        <w:t>the</w:t>
      </w:r>
    </w:p>
    <w:p>
      <w:pPr>
        <w:spacing w:after="0" w:line="123"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-14-</w:t>
      </w:r>
    </w:p>
    <w:p>
      <w:pPr>
        <w:sectPr>
          <w:pgSz w:w="11900" w:h="16838" w:orient="portrait"/>
          <w:cols w:equalWidth="0" w:num="1">
            <w:col w:w="11400"/>
          </w:cols>
          <w:pgMar w:left="240" w:top="253" w:right="259" w:bottom="1440" w:gutter="0" w:footer="0" w:header="0"/>
        </w:sectPr>
      </w:pPr>
    </w:p>
    <w:bookmarkStart w:id="262" w:name="page263"/>
    <w:bookmarkEnd w:id="262"/>
    <w:p>
      <w:pPr>
        <w:ind w:right="60"/>
        <w:spacing w:after="0" w:line="263"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133350</wp:posOffset>
            </wp:positionH>
            <wp:positionV relativeFrom="page">
              <wp:posOffset>88900</wp:posOffset>
            </wp:positionV>
            <wp:extent cx="7308850" cy="34290"/>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400">
                      <a:extLst>
                        <a:ext uri="{28A0092B-C50C-407E-A947-70E740481C1C}"/>
                      </a:extLst>
                    </a:blip>
                    <a:srcRect/>
                    <a:stretch>
                      <a:fillRect/>
                    </a:stretch>
                  </pic:blipFill>
                  <pic:spPr bwMode="auto">
                    <a:xfrm>
                      <a:off x="0" y="0"/>
                      <a:ext cx="7308850" cy="34290"/>
                    </a:xfrm>
                    <a:prstGeom prst="rect">
                      <a:avLst/>
                    </a:prstGeom>
                    <a:noFill/>
                  </pic:spPr>
                </pic:pic>
              </a:graphicData>
            </a:graphic>
          </wp:anchor>
        </w:drawing>
        <w:t>number of Performance Units/Shares earned by the Participant over the Performance Period, to be determined as a function of the extent to which the corresponding performance objectives or other vesting provisions have been achieved. After the grant of a Performance Unit/Share, the Administrator, in its sole discretion, may reduce or waive any performance objectives or other vesting provisions for such Performance Unit/Share.</w:t>
      </w:r>
    </w:p>
    <w:p>
      <w:pPr>
        <w:spacing w:after="0" w:line="155" w:lineRule="exact"/>
        <w:rPr>
          <w:sz w:val="20"/>
          <w:szCs w:val="20"/>
          <w:color w:val="auto"/>
        </w:rPr>
      </w:pPr>
    </w:p>
    <w:p>
      <w:pPr>
        <w:ind w:right="60" w:firstLine="906"/>
        <w:spacing w:after="0" w:line="290" w:lineRule="auto"/>
        <w:tabs>
          <w:tab w:leader="none" w:pos="1233" w:val="left"/>
        </w:tabs>
        <w:numPr>
          <w:ilvl w:val="1"/>
          <w:numId w:val="147"/>
        </w:numPr>
        <w:rPr>
          <w:rFonts w:ascii="Arial" w:cs="Arial" w:eastAsia="Arial" w:hAnsi="Arial"/>
          <w:sz w:val="14"/>
          <w:szCs w:val="14"/>
          <w:color w:val="auto"/>
        </w:rPr>
      </w:pPr>
      <w:r>
        <w:rPr>
          <w:rFonts w:ascii="Arial" w:cs="Arial" w:eastAsia="Arial" w:hAnsi="Arial"/>
          <w:sz w:val="14"/>
          <w:szCs w:val="14"/>
          <w:u w:val="single" w:color="auto"/>
          <w:color w:val="auto"/>
        </w:rPr>
        <w:t>Form and Timing of Payment of Performance Units/Shares</w:t>
      </w:r>
      <w:r>
        <w:rPr>
          <w:rFonts w:ascii="Arial" w:cs="Arial" w:eastAsia="Arial" w:hAnsi="Arial"/>
          <w:sz w:val="14"/>
          <w:szCs w:val="14"/>
          <w:color w:val="auto"/>
        </w:rPr>
        <w:t>. Payment of earned Performance Units/Shares will be made as soon as practicable after the expiration of the applicable Performance Period. The Administrator, in its sole discretion, may pay earned Performance Units/Shares in the form of cash, in Shares (which have an aggregate Fair Market Value equal to the value of the earned Performance Units/Shares at the close of the applicable Performance Period) or in a combination thereof.</w:t>
      </w:r>
    </w:p>
    <w:p>
      <w:pPr>
        <w:spacing w:after="0" w:line="138" w:lineRule="exact"/>
        <w:rPr>
          <w:rFonts w:ascii="Arial" w:cs="Arial" w:eastAsia="Arial" w:hAnsi="Arial"/>
          <w:sz w:val="14"/>
          <w:szCs w:val="14"/>
          <w:color w:val="auto"/>
        </w:rPr>
      </w:pPr>
    </w:p>
    <w:p>
      <w:pPr>
        <w:ind w:right="280" w:firstLine="906"/>
        <w:spacing w:after="0" w:line="275" w:lineRule="auto"/>
        <w:tabs>
          <w:tab w:leader="none" w:pos="1216" w:val="left"/>
        </w:tabs>
        <w:numPr>
          <w:ilvl w:val="1"/>
          <w:numId w:val="147"/>
        </w:numPr>
        <w:rPr>
          <w:rFonts w:ascii="Arial" w:cs="Arial" w:eastAsia="Arial" w:hAnsi="Arial"/>
          <w:sz w:val="15"/>
          <w:szCs w:val="15"/>
          <w:color w:val="auto"/>
        </w:rPr>
      </w:pPr>
      <w:r>
        <w:rPr>
          <w:rFonts w:ascii="Arial" w:cs="Arial" w:eastAsia="Arial" w:hAnsi="Arial"/>
          <w:sz w:val="15"/>
          <w:szCs w:val="15"/>
          <w:u w:val="single" w:color="auto"/>
          <w:color w:val="auto"/>
        </w:rPr>
        <w:t>Cancellation of Performance Units/Shares</w:t>
      </w:r>
      <w:r>
        <w:rPr>
          <w:rFonts w:ascii="Arial" w:cs="Arial" w:eastAsia="Arial" w:hAnsi="Arial"/>
          <w:sz w:val="15"/>
          <w:szCs w:val="15"/>
          <w:color w:val="auto"/>
        </w:rPr>
        <w:t>. On the date set forth in the Award Agreement, all unearned or unvested Performance Units/Shares will be forfeited to the Company, and again will be available for grant under the Plan.</w:t>
      </w:r>
    </w:p>
    <w:p>
      <w:pPr>
        <w:spacing w:after="0" w:line="146" w:lineRule="exact"/>
        <w:rPr>
          <w:rFonts w:ascii="Arial" w:cs="Arial" w:eastAsia="Arial" w:hAnsi="Arial"/>
          <w:sz w:val="15"/>
          <w:szCs w:val="15"/>
          <w:color w:val="auto"/>
        </w:rPr>
      </w:pPr>
    </w:p>
    <w:p>
      <w:pPr>
        <w:ind w:firstLine="448"/>
        <w:spacing w:after="0" w:line="259" w:lineRule="auto"/>
        <w:tabs>
          <w:tab w:leader="none" w:pos="790" w:val="left"/>
        </w:tabs>
        <w:numPr>
          <w:ilvl w:val="0"/>
          <w:numId w:val="148"/>
        </w:numPr>
        <w:rPr>
          <w:rFonts w:ascii="Arial" w:cs="Arial" w:eastAsia="Arial" w:hAnsi="Arial"/>
          <w:sz w:val="15"/>
          <w:szCs w:val="15"/>
          <w:color w:val="auto"/>
        </w:rPr>
      </w:pPr>
      <w:r>
        <w:rPr>
          <w:rFonts w:ascii="Arial" w:cs="Arial" w:eastAsia="Arial" w:hAnsi="Arial"/>
          <w:sz w:val="15"/>
          <w:szCs w:val="15"/>
          <w:u w:val="single" w:color="auto"/>
          <w:color w:val="auto"/>
        </w:rPr>
        <w:t>Outside Director Limitations</w:t>
      </w:r>
      <w:r>
        <w:rPr>
          <w:rFonts w:ascii="Arial" w:cs="Arial" w:eastAsia="Arial" w:hAnsi="Arial"/>
          <w:sz w:val="15"/>
          <w:szCs w:val="15"/>
          <w:color w:val="auto"/>
        </w:rPr>
        <w:t>. No Outside Director may be paid, issued or granted, in any Fiscal Year, cash compensation and equity awards (including any Awards issued under this Plan) with an aggregate value greater than $1,200,000 (with the value of each equity award based on its grant date fair value (determined in accordance with U.S. generally accepted accounting principles)). Any cash compensation paid or Awards granted to an individual for his or her services as an Employee, or for his or her services as a Consultant (other than as an Outside Director), will not count for purposes of the limitation under this Section 11.</w:t>
      </w:r>
    </w:p>
    <w:p>
      <w:pPr>
        <w:spacing w:after="0" w:line="157" w:lineRule="exact"/>
        <w:rPr>
          <w:rFonts w:ascii="Arial" w:cs="Arial" w:eastAsia="Arial" w:hAnsi="Arial"/>
          <w:sz w:val="15"/>
          <w:szCs w:val="15"/>
          <w:color w:val="auto"/>
        </w:rPr>
      </w:pPr>
    </w:p>
    <w:p>
      <w:pPr>
        <w:ind w:right="60" w:firstLine="448"/>
        <w:spacing w:after="0" w:line="305" w:lineRule="auto"/>
        <w:tabs>
          <w:tab w:leader="none" w:pos="796" w:val="left"/>
        </w:tabs>
        <w:numPr>
          <w:ilvl w:val="0"/>
          <w:numId w:val="148"/>
        </w:numPr>
        <w:rPr>
          <w:rFonts w:ascii="Arial" w:cs="Arial" w:eastAsia="Arial" w:hAnsi="Arial"/>
          <w:sz w:val="13"/>
          <w:szCs w:val="13"/>
          <w:color w:val="auto"/>
        </w:rPr>
      </w:pPr>
      <w:r>
        <w:rPr>
          <w:rFonts w:ascii="Arial" w:cs="Arial" w:eastAsia="Arial" w:hAnsi="Arial"/>
          <w:sz w:val="13"/>
          <w:szCs w:val="13"/>
          <w:u w:val="single" w:color="auto"/>
          <w:color w:val="auto"/>
        </w:rPr>
        <w:t>Leaves of Absence/Transfer Between Locations</w:t>
      </w:r>
      <w:r>
        <w:rPr>
          <w:rFonts w:ascii="Arial" w:cs="Arial" w:eastAsia="Arial" w:hAnsi="Arial"/>
          <w:sz w:val="13"/>
          <w:szCs w:val="13"/>
          <w:color w:val="auto"/>
        </w:rPr>
        <w:t>. Unless the Administrator provides otherwise, vesting of Awards granted hereunder will be suspended during any unpaid leave of absence. A Participant will not cease to be an Employee in the case of (i) any leave of absence approved by the Company or (ii) transfers between locations of the Company or between the Company, its Parent, or any Subsidiary. For purposes of Incentive Stock Options, no such leave may exceed three (3) months, unless reemployment upon expiration of such leave is guaranteed by statute or contract. If reemployment upon expiration of a leave of absence approved by the Company is not so guaranteed, then six (6) months following the first (1st) day of such leave any Incentive Stock Option held by the Participant will cease to be treated as an Incentive Stock Option and will be treated for tax purposes as a Nonstatutory Stock Option.</w:t>
      </w:r>
    </w:p>
    <w:p>
      <w:pPr>
        <w:spacing w:after="0" w:line="132" w:lineRule="exact"/>
        <w:rPr>
          <w:rFonts w:ascii="Arial" w:cs="Arial" w:eastAsia="Arial" w:hAnsi="Arial"/>
          <w:sz w:val="13"/>
          <w:szCs w:val="13"/>
          <w:color w:val="auto"/>
        </w:rPr>
      </w:pPr>
    </w:p>
    <w:p>
      <w:pPr>
        <w:ind w:right="60" w:firstLine="448"/>
        <w:spacing w:after="0" w:line="263" w:lineRule="auto"/>
        <w:tabs>
          <w:tab w:leader="none" w:pos="796" w:val="left"/>
        </w:tabs>
        <w:numPr>
          <w:ilvl w:val="0"/>
          <w:numId w:val="148"/>
        </w:numPr>
        <w:rPr>
          <w:rFonts w:ascii="Arial" w:cs="Arial" w:eastAsia="Arial" w:hAnsi="Arial"/>
          <w:sz w:val="15"/>
          <w:szCs w:val="15"/>
          <w:color w:val="auto"/>
        </w:rPr>
      </w:pPr>
      <w:r>
        <w:rPr>
          <w:rFonts w:ascii="Arial" w:cs="Arial" w:eastAsia="Arial" w:hAnsi="Arial"/>
          <w:sz w:val="15"/>
          <w:szCs w:val="15"/>
          <w:u w:val="single" w:color="auto"/>
          <w:color w:val="auto"/>
        </w:rPr>
        <w:t>Transferability of Awards</w:t>
      </w:r>
      <w:r>
        <w:rPr>
          <w:rFonts w:ascii="Arial" w:cs="Arial" w:eastAsia="Arial" w:hAnsi="Arial"/>
          <w:sz w:val="15"/>
          <w:szCs w:val="15"/>
          <w:color w:val="auto"/>
        </w:rPr>
        <w:t>. Unless determined otherwise by the Administrator, an Award may not be sold, pledged, assigned, hypothecated, transferred, or disposed of in any manner other than by will or by the laws of descent or distribution and may be exercised, during the lifetime of the Participant, only by the Participant. If the Administrator makes an Award transferable, such Award will contain such additional terms and conditions as the Administrator deems appropriate.</w:t>
      </w:r>
    </w:p>
    <w:p>
      <w:pPr>
        <w:spacing w:after="0" w:line="154" w:lineRule="exact"/>
        <w:rPr>
          <w:rFonts w:ascii="Arial" w:cs="Arial" w:eastAsia="Arial" w:hAnsi="Arial"/>
          <w:sz w:val="15"/>
          <w:szCs w:val="15"/>
          <w:color w:val="auto"/>
        </w:rPr>
      </w:pPr>
    </w:p>
    <w:p>
      <w:pPr>
        <w:ind w:left="780" w:hanging="332"/>
        <w:spacing w:after="0"/>
        <w:tabs>
          <w:tab w:leader="none" w:pos="780" w:val="left"/>
        </w:tabs>
        <w:numPr>
          <w:ilvl w:val="0"/>
          <w:numId w:val="148"/>
        </w:numPr>
        <w:rPr>
          <w:rFonts w:ascii="Arial" w:cs="Arial" w:eastAsia="Arial" w:hAnsi="Arial"/>
          <w:sz w:val="15"/>
          <w:szCs w:val="15"/>
          <w:color w:val="auto"/>
        </w:rPr>
      </w:pPr>
      <w:r>
        <w:rPr>
          <w:rFonts w:ascii="Arial" w:cs="Arial" w:eastAsia="Arial" w:hAnsi="Arial"/>
          <w:sz w:val="15"/>
          <w:szCs w:val="15"/>
          <w:u w:val="single" w:color="auto"/>
          <w:color w:val="auto"/>
        </w:rPr>
        <w:t>Adjustments; Dissolution or Liquidation; Merger or Change in Control</w:t>
      </w:r>
      <w:r>
        <w:rPr>
          <w:rFonts w:ascii="Arial" w:cs="Arial" w:eastAsia="Arial" w:hAnsi="Arial"/>
          <w:sz w:val="15"/>
          <w:szCs w:val="15"/>
          <w:color w:val="auto"/>
        </w:rPr>
        <w:t>.</w:t>
      </w:r>
    </w:p>
    <w:p>
      <w:pPr>
        <w:spacing w:after="0" w:line="188" w:lineRule="exact"/>
        <w:rPr>
          <w:rFonts w:ascii="Arial" w:cs="Arial" w:eastAsia="Arial" w:hAnsi="Arial"/>
          <w:sz w:val="15"/>
          <w:szCs w:val="15"/>
          <w:color w:val="auto"/>
        </w:rPr>
      </w:pPr>
    </w:p>
    <w:p>
      <w:pPr>
        <w:ind w:right="200" w:firstLine="906"/>
        <w:spacing w:after="0" w:line="275" w:lineRule="auto"/>
        <w:tabs>
          <w:tab w:leader="none" w:pos="1233" w:val="left"/>
        </w:tabs>
        <w:numPr>
          <w:ilvl w:val="1"/>
          <w:numId w:val="148"/>
        </w:numPr>
        <w:rPr>
          <w:rFonts w:ascii="Arial" w:cs="Arial" w:eastAsia="Arial" w:hAnsi="Arial"/>
          <w:sz w:val="15"/>
          <w:szCs w:val="15"/>
          <w:color w:val="auto"/>
        </w:rPr>
      </w:pPr>
      <w:r>
        <w:rPr>
          <w:rFonts w:ascii="Arial" w:cs="Arial" w:eastAsia="Arial" w:hAnsi="Arial"/>
          <w:sz w:val="15"/>
          <w:szCs w:val="15"/>
          <w:u w:val="single" w:color="auto"/>
          <w:color w:val="auto"/>
        </w:rPr>
        <w:t>Adjustments</w:t>
      </w:r>
      <w:r>
        <w:rPr>
          <w:rFonts w:ascii="Arial" w:cs="Arial" w:eastAsia="Arial" w:hAnsi="Arial"/>
          <w:sz w:val="15"/>
          <w:szCs w:val="15"/>
          <w:color w:val="auto"/>
        </w:rPr>
        <w:t>. In the event that any dividend or other distribution (whether in the form of cash, Shares, other securities, or other property), recapitalization, stock split, reverse stock split, reorganization, merger, consolidation, split-up, spin-off, combination, repurchase, or</w:t>
      </w:r>
    </w:p>
    <w:p>
      <w:pPr>
        <w:spacing w:after="0" w:line="90"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-15-</w:t>
      </w:r>
    </w:p>
    <w:p>
      <w:pPr>
        <w:sectPr>
          <w:pgSz w:w="11900" w:h="16838" w:orient="portrait"/>
          <w:cols w:equalWidth="0" w:num="1">
            <w:col w:w="11380"/>
          </w:cols>
          <w:pgMar w:left="240" w:top="253" w:right="279" w:bottom="1440" w:gutter="0" w:footer="0" w:header="0"/>
        </w:sectPr>
      </w:pPr>
    </w:p>
    <w:bookmarkStart w:id="263" w:name="page264"/>
    <w:bookmarkEnd w:id="263"/>
    <w:p>
      <w:pPr>
        <w:ind w:right="120"/>
        <w:spacing w:after="0" w:line="290" w:lineRule="auto"/>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133350</wp:posOffset>
            </wp:positionH>
            <wp:positionV relativeFrom="page">
              <wp:posOffset>88900</wp:posOffset>
            </wp:positionV>
            <wp:extent cx="7308850" cy="34290"/>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401">
                      <a:extLst>
                        <a:ext uri="{28A0092B-C50C-407E-A947-70E740481C1C}"/>
                      </a:extLst>
                    </a:blip>
                    <a:srcRect/>
                    <a:stretch>
                      <a:fillRect/>
                    </a:stretch>
                  </pic:blipFill>
                  <pic:spPr bwMode="auto">
                    <a:xfrm>
                      <a:off x="0" y="0"/>
                      <a:ext cx="7308850" cy="34290"/>
                    </a:xfrm>
                    <a:prstGeom prst="rect">
                      <a:avLst/>
                    </a:prstGeom>
                    <a:noFill/>
                  </pic:spPr>
                </pic:pic>
              </a:graphicData>
            </a:graphic>
          </wp:anchor>
        </w:drawing>
        <w:t>exchange of Shares or other securities of the Company, or other change in the corporate structure of the Company affecting the Shares occurs, the Administrator, in order to prevent diminution or enlargement of the benefits or potential benefits intended to be made available under the Plan, will adjust the number and class of Shares that may be delivered under the Plan and/or the number, class, and price of Shares covered by each outstanding Award, and the numerical Share limits in Section 3 of the Plan.</w:t>
      </w:r>
    </w:p>
    <w:p>
      <w:pPr>
        <w:spacing w:after="0" w:line="138" w:lineRule="exact"/>
        <w:rPr>
          <w:sz w:val="20"/>
          <w:szCs w:val="20"/>
          <w:color w:val="auto"/>
        </w:rPr>
      </w:pPr>
    </w:p>
    <w:p>
      <w:pPr>
        <w:jc w:val="both"/>
        <w:ind w:right="120" w:firstLine="906"/>
        <w:spacing w:after="0" w:line="263" w:lineRule="auto"/>
        <w:tabs>
          <w:tab w:leader="none" w:pos="1241" w:val="left"/>
        </w:tabs>
        <w:numPr>
          <w:ilvl w:val="0"/>
          <w:numId w:val="149"/>
        </w:numPr>
        <w:rPr>
          <w:rFonts w:ascii="Arial" w:cs="Arial" w:eastAsia="Arial" w:hAnsi="Arial"/>
          <w:sz w:val="15"/>
          <w:szCs w:val="15"/>
          <w:color w:val="auto"/>
        </w:rPr>
      </w:pPr>
      <w:r>
        <w:rPr>
          <w:rFonts w:ascii="Arial" w:cs="Arial" w:eastAsia="Arial" w:hAnsi="Arial"/>
          <w:sz w:val="15"/>
          <w:szCs w:val="15"/>
          <w:u w:val="single" w:color="auto"/>
          <w:color w:val="auto"/>
        </w:rPr>
        <w:t>Dissolution or Liquidation</w:t>
      </w:r>
      <w:r>
        <w:rPr>
          <w:rFonts w:ascii="Arial" w:cs="Arial" w:eastAsia="Arial" w:hAnsi="Arial"/>
          <w:sz w:val="15"/>
          <w:szCs w:val="15"/>
          <w:color w:val="auto"/>
        </w:rPr>
        <w:t>. In the event of the proposed dissolution or liquidation of the Company, the Administrator will notify each Participant as soon as practicable prior to the effective date of such proposed transaction. To the extent it has not been previously exercised, an Award will terminate immediately prior to the consummation of such proposed action.</w:t>
      </w:r>
    </w:p>
    <w:p>
      <w:pPr>
        <w:spacing w:after="0" w:line="154" w:lineRule="exact"/>
        <w:rPr>
          <w:rFonts w:ascii="Arial" w:cs="Arial" w:eastAsia="Arial" w:hAnsi="Arial"/>
          <w:sz w:val="15"/>
          <w:szCs w:val="15"/>
          <w:color w:val="auto"/>
        </w:rPr>
      </w:pPr>
    </w:p>
    <w:p>
      <w:pPr>
        <w:ind w:right="360" w:firstLine="906"/>
        <w:spacing w:after="0" w:line="259" w:lineRule="auto"/>
        <w:tabs>
          <w:tab w:leader="none" w:pos="1233" w:val="left"/>
        </w:tabs>
        <w:numPr>
          <w:ilvl w:val="0"/>
          <w:numId w:val="149"/>
        </w:numPr>
        <w:rPr>
          <w:rFonts w:ascii="Arial" w:cs="Arial" w:eastAsia="Arial" w:hAnsi="Arial"/>
          <w:sz w:val="15"/>
          <w:szCs w:val="15"/>
          <w:color w:val="auto"/>
        </w:rPr>
      </w:pPr>
      <w:r>
        <w:rPr>
          <w:rFonts w:ascii="Arial" w:cs="Arial" w:eastAsia="Arial" w:hAnsi="Arial"/>
          <w:sz w:val="15"/>
          <w:szCs w:val="15"/>
          <w:u w:val="single" w:color="auto"/>
          <w:color w:val="auto"/>
        </w:rPr>
        <w:t>Change in Control</w:t>
      </w:r>
      <w:r>
        <w:rPr>
          <w:rFonts w:ascii="Arial" w:cs="Arial" w:eastAsia="Arial" w:hAnsi="Arial"/>
          <w:sz w:val="15"/>
          <w:szCs w:val="15"/>
          <w:color w:val="auto"/>
        </w:rPr>
        <w:t>. In the event of a merger of the Company with or into another corporation or other entity or a Change in Control, each outstanding Award will be treated as the Administrator determines subject to the restriction in the following paragraph, including, without limitation, that each Award be assumed or an equivalent option or right substituted by the successor corporation or a Parent or Subsidiary of the successor corporation. The Administrator will not be required to treat all Awards or Participants similarly in the transaction.</w:t>
      </w:r>
    </w:p>
    <w:p>
      <w:pPr>
        <w:spacing w:after="0" w:line="158" w:lineRule="exact"/>
        <w:rPr>
          <w:sz w:val="20"/>
          <w:szCs w:val="20"/>
          <w:color w:val="auto"/>
        </w:rPr>
      </w:pPr>
    </w:p>
    <w:p>
      <w:pPr>
        <w:ind w:right="20" w:firstLine="916"/>
        <w:spacing w:after="0" w:line="276" w:lineRule="auto"/>
        <w:rPr>
          <w:sz w:val="20"/>
          <w:szCs w:val="20"/>
          <w:color w:val="auto"/>
        </w:rPr>
      </w:pPr>
      <w:r>
        <w:rPr>
          <w:rFonts w:ascii="Arial" w:cs="Arial" w:eastAsia="Arial" w:hAnsi="Arial"/>
          <w:sz w:val="14"/>
          <w:szCs w:val="14"/>
          <w:color w:val="auto"/>
        </w:rPr>
        <w:t>In the event that the successor corporation does not assume or substitute for the Award, the Participant will fully vest in and have the right to exercise all of his or her outstanding Options and Stock Appreciation Rights, including Shares as to which such Awards would not otherwise be vested or exercisable, all restrictions on Restricted Stock and Restricted Stock Units will lapse, and, with respect to Awards with performance-based vesting, unless specifically provided otherwise under the applicable Award Agreement, a Company policy applicable to the Participant, or other written agreement between the Participant and the Company, all performance goals or other vesting criteria will be deemed achieved at one hundred percent (100%) of target levels and all other terms and conditions met. In addition, if an Option or Stock Appreciation Right is not assumed or substituted in the event of a Change in Control, the Administrator will notify the Participant in writing or electronically that the Option or Stock Appreciation Right will be exercisable for a period of time determined by the Administrator in its sole discretion, and the Option or Stock Appreciation Right will terminate upon the expiration of such period.</w:t>
      </w:r>
    </w:p>
    <w:p>
      <w:pPr>
        <w:spacing w:after="0" w:line="148" w:lineRule="exact"/>
        <w:rPr>
          <w:sz w:val="20"/>
          <w:szCs w:val="20"/>
          <w:color w:val="auto"/>
        </w:rPr>
      </w:pPr>
    </w:p>
    <w:p>
      <w:pPr>
        <w:ind w:firstLine="916"/>
        <w:spacing w:after="0" w:line="276" w:lineRule="auto"/>
        <w:rPr>
          <w:sz w:val="20"/>
          <w:szCs w:val="20"/>
          <w:color w:val="auto"/>
        </w:rPr>
      </w:pPr>
      <w:r>
        <w:rPr>
          <w:rFonts w:ascii="Arial" w:cs="Arial" w:eastAsia="Arial" w:hAnsi="Arial"/>
          <w:sz w:val="14"/>
          <w:szCs w:val="14"/>
          <w:color w:val="auto"/>
        </w:rPr>
        <w:t>For the purposes of this subsection (c), an Award will be considered assumed if, following the Change in Control, the Award confers the right to purchase or receive, for each Share subject to the Award immediately prior to the Change in Control, the consideration (whether stock, cash, or other securities or property) received in the Change in Control by holders of Common Stock for each Share held on the effective date of the transaction (and if holders were offered a choice of consideration, the type of consideration chosen by the holders of a majority of the outstanding Shares); provided, however, that if such consideration received in the Change in Control is not solely common stock of the successor corporation or its Parent, the Administrator may, with the consent of the successor corporation, provide for the consideration to be received upon the exercise of an Option or Stock Appreciation Right or upon the payout of a Restricted Stock Unit, Performance Unit or Performance Share, for each Share subject to such Award, to be solely common stock of the successor corporation or its Parent equal in fair market value to the per share consideration received by holders of Common Stock in the Change in Control.</w:t>
      </w:r>
    </w:p>
    <w:p>
      <w:pPr>
        <w:spacing w:after="0" w:line="9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-16-</w:t>
      </w:r>
    </w:p>
    <w:p>
      <w:pPr>
        <w:sectPr>
          <w:pgSz w:w="11900" w:h="16838" w:orient="portrait"/>
          <w:cols w:equalWidth="0" w:num="1">
            <w:col w:w="11440"/>
          </w:cols>
          <w:pgMar w:left="240" w:top="253" w:right="219" w:bottom="1440" w:gutter="0" w:footer="0" w:header="0"/>
        </w:sectPr>
      </w:pPr>
    </w:p>
    <w:bookmarkStart w:id="264" w:name="page265"/>
    <w:bookmarkEnd w:id="264"/>
    <w:p>
      <w:pPr>
        <w:ind w:right="80" w:firstLine="916"/>
        <w:spacing w:after="0" w:line="290" w:lineRule="auto"/>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133350</wp:posOffset>
            </wp:positionH>
            <wp:positionV relativeFrom="page">
              <wp:posOffset>88900</wp:posOffset>
            </wp:positionV>
            <wp:extent cx="7308850" cy="34290"/>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402">
                      <a:extLst>
                        <a:ext uri="{28A0092B-C50C-407E-A947-70E740481C1C}"/>
                      </a:extLst>
                    </a:blip>
                    <a:srcRect/>
                    <a:stretch>
                      <a:fillRect/>
                    </a:stretch>
                  </pic:blipFill>
                  <pic:spPr bwMode="auto">
                    <a:xfrm>
                      <a:off x="0" y="0"/>
                      <a:ext cx="7308850" cy="34290"/>
                    </a:xfrm>
                    <a:prstGeom prst="rect">
                      <a:avLst/>
                    </a:prstGeom>
                    <a:noFill/>
                  </pic:spPr>
                </pic:pic>
              </a:graphicData>
            </a:graphic>
          </wp:anchor>
        </w:drawing>
        <w:t>Notwithstanding anything in this Section 14(c) to the contrary, an Award that vests, is earned or paid-out upon the satisfaction of one or more performance goals will not be considered assumed if the Company or its successor modifies any of such performance goals without the Participant’s consent; provided, however, a modification to such performance goals only to reflect the successor corporation’s post-Change in Control corporate structure will not be deemed to invalidate an otherwise valid Award assumption.</w:t>
      </w:r>
    </w:p>
    <w:p>
      <w:pPr>
        <w:spacing w:after="0" w:line="138" w:lineRule="exact"/>
        <w:rPr>
          <w:sz w:val="20"/>
          <w:szCs w:val="20"/>
          <w:color w:val="auto"/>
        </w:rPr>
      </w:pPr>
    </w:p>
    <w:p>
      <w:pPr>
        <w:ind w:right="20" w:firstLine="906"/>
        <w:spacing w:after="0" w:line="276" w:lineRule="auto"/>
        <w:tabs>
          <w:tab w:leader="none" w:pos="1241" w:val="left"/>
        </w:tabs>
        <w:numPr>
          <w:ilvl w:val="1"/>
          <w:numId w:val="150"/>
        </w:numPr>
        <w:rPr>
          <w:rFonts w:ascii="Arial" w:cs="Arial" w:eastAsia="Arial" w:hAnsi="Arial"/>
          <w:sz w:val="14"/>
          <w:szCs w:val="14"/>
          <w:color w:val="auto"/>
        </w:rPr>
      </w:pPr>
      <w:r>
        <w:rPr>
          <w:rFonts w:ascii="Arial" w:cs="Arial" w:eastAsia="Arial" w:hAnsi="Arial"/>
          <w:sz w:val="14"/>
          <w:szCs w:val="14"/>
          <w:u w:val="single" w:color="auto"/>
          <w:color w:val="auto"/>
        </w:rPr>
        <w:t>Outside Director Awards</w:t>
      </w:r>
      <w:r>
        <w:rPr>
          <w:rFonts w:ascii="Arial" w:cs="Arial" w:eastAsia="Arial" w:hAnsi="Arial"/>
          <w:sz w:val="14"/>
          <w:szCs w:val="14"/>
          <w:color w:val="auto"/>
        </w:rPr>
        <w:t>. With respect to Awards granted to an Outside Director, in the event of a Change in Control in which such Awards are assumed or substituted for, if on the date of or following such assumption or substitution the Participant’s status as a Director or a director of the successor corporation, as applicable, is terminated other than upon a voluntary resignation by the Participant (unless such resignation is at the request of the acquirer), then the Participant will fully vest in and have the right to exercise Options and/or Stock Appreciation Rights as to all of the Shares underlying such Award, including those Shares which would not otherwise be vested or exercisable, all restrictions on Restricted Stock and Restricted Stock Units will lapse, and, with respect to Awards with performance-based vesting, unless specifically provided otherwise under the applicable Award Agreement, a Company policy applicable to the Participant, or other written agreement between the Participant and the Company, all performance goals or other vesting criteria will be deemed achieved at one hundred percent (100%) of target levels and all other terms and conditions met.</w:t>
      </w:r>
    </w:p>
    <w:p>
      <w:pPr>
        <w:spacing w:after="0" w:line="147" w:lineRule="exact"/>
        <w:rPr>
          <w:rFonts w:ascii="Arial" w:cs="Arial" w:eastAsia="Arial" w:hAnsi="Arial"/>
          <w:sz w:val="14"/>
          <w:szCs w:val="14"/>
          <w:color w:val="auto"/>
        </w:rPr>
      </w:pPr>
    </w:p>
    <w:p>
      <w:pPr>
        <w:ind w:left="780" w:hanging="332"/>
        <w:spacing w:after="0"/>
        <w:tabs>
          <w:tab w:leader="none" w:pos="780" w:val="left"/>
        </w:tabs>
        <w:numPr>
          <w:ilvl w:val="0"/>
          <w:numId w:val="151"/>
        </w:numPr>
        <w:rPr>
          <w:rFonts w:ascii="Arial" w:cs="Arial" w:eastAsia="Arial" w:hAnsi="Arial"/>
          <w:sz w:val="15"/>
          <w:szCs w:val="15"/>
          <w:color w:val="auto"/>
        </w:rPr>
      </w:pPr>
      <w:r>
        <w:rPr>
          <w:rFonts w:ascii="Arial" w:cs="Arial" w:eastAsia="Arial" w:hAnsi="Arial"/>
          <w:sz w:val="15"/>
          <w:szCs w:val="15"/>
          <w:u w:val="single" w:color="auto"/>
          <w:color w:val="auto"/>
        </w:rPr>
        <w:t>Tax</w:t>
      </w:r>
      <w:r>
        <w:rPr>
          <w:rFonts w:ascii="Arial" w:cs="Arial" w:eastAsia="Arial" w:hAnsi="Arial"/>
          <w:sz w:val="15"/>
          <w:szCs w:val="15"/>
          <w:color w:val="auto"/>
        </w:rPr>
        <w:t>.</w:t>
      </w:r>
    </w:p>
    <w:p>
      <w:pPr>
        <w:spacing w:after="0" w:line="188" w:lineRule="exact"/>
        <w:rPr>
          <w:rFonts w:ascii="Arial" w:cs="Arial" w:eastAsia="Arial" w:hAnsi="Arial"/>
          <w:sz w:val="15"/>
          <w:szCs w:val="15"/>
          <w:color w:val="auto"/>
        </w:rPr>
      </w:pPr>
    </w:p>
    <w:p>
      <w:pPr>
        <w:ind w:right="80" w:firstLine="906"/>
        <w:spacing w:after="0" w:line="290" w:lineRule="auto"/>
        <w:tabs>
          <w:tab w:leader="none" w:pos="1233" w:val="left"/>
        </w:tabs>
        <w:numPr>
          <w:ilvl w:val="1"/>
          <w:numId w:val="151"/>
        </w:numPr>
        <w:rPr>
          <w:rFonts w:ascii="Arial" w:cs="Arial" w:eastAsia="Arial" w:hAnsi="Arial"/>
          <w:sz w:val="14"/>
          <w:szCs w:val="14"/>
          <w:color w:val="auto"/>
        </w:rPr>
      </w:pPr>
      <w:r>
        <w:rPr>
          <w:rFonts w:ascii="Arial" w:cs="Arial" w:eastAsia="Arial" w:hAnsi="Arial"/>
          <w:sz w:val="14"/>
          <w:szCs w:val="14"/>
          <w:u w:val="single" w:color="auto"/>
          <w:color w:val="auto"/>
        </w:rPr>
        <w:t>Withholding Requirements</w:t>
      </w:r>
      <w:r>
        <w:rPr>
          <w:rFonts w:ascii="Arial" w:cs="Arial" w:eastAsia="Arial" w:hAnsi="Arial"/>
          <w:sz w:val="14"/>
          <w:szCs w:val="14"/>
          <w:color w:val="auto"/>
        </w:rPr>
        <w:t>. Prior to the delivery of any Shares or cash pursuant to an Award (or exercise thereof) or such earlier time as any tax withholding obligations are due, the Company will have the power and the right to deduct or withhold, or require a Participant to remit to the Company, an amount sufficient to satisfy U.S. federal, state, or local taxes, non-U.S. taxes, or other taxes (including the Participant’s FICA obligation) required to be withheld with respect to such Award (or exercise thereof).</w:t>
      </w:r>
    </w:p>
    <w:p>
      <w:pPr>
        <w:spacing w:after="0" w:line="138" w:lineRule="exact"/>
        <w:rPr>
          <w:rFonts w:ascii="Arial" w:cs="Arial" w:eastAsia="Arial" w:hAnsi="Arial"/>
          <w:sz w:val="14"/>
          <w:szCs w:val="14"/>
          <w:color w:val="auto"/>
        </w:rPr>
      </w:pPr>
    </w:p>
    <w:p>
      <w:pPr>
        <w:ind w:firstLine="906"/>
        <w:spacing w:after="0" w:line="257" w:lineRule="auto"/>
        <w:tabs>
          <w:tab w:leader="none" w:pos="1241" w:val="left"/>
        </w:tabs>
        <w:numPr>
          <w:ilvl w:val="1"/>
          <w:numId w:val="151"/>
        </w:numPr>
        <w:rPr>
          <w:rFonts w:ascii="Arial" w:cs="Arial" w:eastAsia="Arial" w:hAnsi="Arial"/>
          <w:sz w:val="15"/>
          <w:szCs w:val="15"/>
          <w:color w:val="auto"/>
        </w:rPr>
      </w:pPr>
      <w:r>
        <w:rPr>
          <w:rFonts w:ascii="Arial" w:cs="Arial" w:eastAsia="Arial" w:hAnsi="Arial"/>
          <w:sz w:val="15"/>
          <w:szCs w:val="15"/>
          <w:u w:val="single" w:color="auto"/>
          <w:color w:val="auto"/>
        </w:rPr>
        <w:t>Withholding Arrangements</w:t>
      </w:r>
      <w:r>
        <w:rPr>
          <w:rFonts w:ascii="Arial" w:cs="Arial" w:eastAsia="Arial" w:hAnsi="Arial"/>
          <w:sz w:val="15"/>
          <w:szCs w:val="15"/>
          <w:color w:val="auto"/>
        </w:rPr>
        <w:t>. The Administrator, in its sole discretion and pursuant to such procedures as it may specify from time to time, may permit a Participant to satisfy such tax withholding obligation, in whole or in part by (without limitation) (i) paying cash, (ii) electing to have the Company withhold otherwise deliverable cash or Shares having a fair market value not in excess of the maximum statutory amount required to be withheld, or (iii) delivering to the Company already-owned Shares having a fair market value not in excess of the maximum statutory amount required to be withheld. The fair market value of the Shares to be withheld or delivered will be determined as of the date that the taxes are required to be withheld.</w:t>
      </w:r>
    </w:p>
    <w:p>
      <w:pPr>
        <w:spacing w:after="0" w:line="159" w:lineRule="exact"/>
        <w:rPr>
          <w:rFonts w:ascii="Arial" w:cs="Arial" w:eastAsia="Arial" w:hAnsi="Arial"/>
          <w:sz w:val="15"/>
          <w:szCs w:val="15"/>
          <w:color w:val="auto"/>
        </w:rPr>
      </w:pPr>
    </w:p>
    <w:p>
      <w:pPr>
        <w:ind w:right="160" w:firstLine="906"/>
        <w:spacing w:after="0" w:line="257" w:lineRule="auto"/>
        <w:tabs>
          <w:tab w:leader="none" w:pos="1233" w:val="left"/>
        </w:tabs>
        <w:numPr>
          <w:ilvl w:val="1"/>
          <w:numId w:val="151"/>
        </w:numPr>
        <w:rPr>
          <w:rFonts w:ascii="Arial" w:cs="Arial" w:eastAsia="Arial" w:hAnsi="Arial"/>
          <w:sz w:val="15"/>
          <w:szCs w:val="15"/>
          <w:color w:val="auto"/>
        </w:rPr>
      </w:pPr>
      <w:r>
        <w:rPr>
          <w:rFonts w:ascii="Arial" w:cs="Arial" w:eastAsia="Arial" w:hAnsi="Arial"/>
          <w:sz w:val="15"/>
          <w:szCs w:val="15"/>
          <w:u w:val="single" w:color="auto"/>
          <w:color w:val="auto"/>
        </w:rPr>
        <w:t>Compliance With Section 409A</w:t>
      </w:r>
      <w:r>
        <w:rPr>
          <w:rFonts w:ascii="Arial" w:cs="Arial" w:eastAsia="Arial" w:hAnsi="Arial"/>
          <w:sz w:val="15"/>
          <w:szCs w:val="15"/>
          <w:color w:val="auto"/>
        </w:rPr>
        <w:t>. Awards will be designed and operated in such a manner that they are either exempt from the application of, or comply with, the requirements of Section 409A such that the grant, payment, settlement or deferral will not be subject to the additional tax or interest applicable under Section 409A, except as otherwise determined in the sole discretion of the Administrator. The Plan and each Award Agreement under the Plan is intended to meet the requirements of Section 409A and will be construed and interpreted in accordance with such intent, except as otherwise determined in the sole discretion of the Administrator. To the extent that an Award or payment, or the settlement or deferral thereof, is subject to Section 409A the</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-17-</w:t>
      </w:r>
    </w:p>
    <w:p>
      <w:pPr>
        <w:sectPr>
          <w:pgSz w:w="11900" w:h="16838" w:orient="portrait"/>
          <w:cols w:equalWidth="0" w:num="1">
            <w:col w:w="11420"/>
          </w:cols>
          <w:pgMar w:left="240" w:top="253" w:right="239" w:bottom="1440" w:gutter="0" w:footer="0" w:header="0"/>
        </w:sectPr>
      </w:pPr>
    </w:p>
    <w:bookmarkStart w:id="265" w:name="page266"/>
    <w:bookmarkEnd w:id="265"/>
    <w:p>
      <w:pPr>
        <w:jc w:val="both"/>
        <w:ind w:right="280"/>
        <w:spacing w:after="0" w:line="263"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133350</wp:posOffset>
            </wp:positionH>
            <wp:positionV relativeFrom="page">
              <wp:posOffset>88900</wp:posOffset>
            </wp:positionV>
            <wp:extent cx="7308850" cy="34290"/>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403">
                      <a:extLst>
                        <a:ext uri="{28A0092B-C50C-407E-A947-70E740481C1C}"/>
                      </a:extLst>
                    </a:blip>
                    <a:srcRect/>
                    <a:stretch>
                      <a:fillRect/>
                    </a:stretch>
                  </pic:blipFill>
                  <pic:spPr bwMode="auto">
                    <a:xfrm>
                      <a:off x="0" y="0"/>
                      <a:ext cx="7308850" cy="34290"/>
                    </a:xfrm>
                    <a:prstGeom prst="rect">
                      <a:avLst/>
                    </a:prstGeom>
                    <a:noFill/>
                  </pic:spPr>
                </pic:pic>
              </a:graphicData>
            </a:graphic>
          </wp:anchor>
        </w:drawing>
        <w:t>Award will be granted, paid, settled or deferred in a manner that will meet the requirements of Section 409A, such that the grant, payment, settlement or deferral will not be subject to the additional tax or interest applicable under Section 409A. In no event will the Company (or any Parent or Subsidiary of the Company, as applicable) reimburse a Participant for any taxes imposed or other costs incurred as a result of Section 409A.</w:t>
      </w:r>
    </w:p>
    <w:p>
      <w:pPr>
        <w:spacing w:after="0" w:line="155" w:lineRule="exact"/>
        <w:rPr>
          <w:sz w:val="20"/>
          <w:szCs w:val="20"/>
          <w:color w:val="auto"/>
        </w:rPr>
      </w:pPr>
    </w:p>
    <w:p>
      <w:pPr>
        <w:ind w:firstLine="448"/>
        <w:spacing w:after="0" w:line="263" w:lineRule="auto"/>
        <w:tabs>
          <w:tab w:leader="none" w:pos="796" w:val="left"/>
        </w:tabs>
        <w:numPr>
          <w:ilvl w:val="0"/>
          <w:numId w:val="152"/>
        </w:numPr>
        <w:rPr>
          <w:rFonts w:ascii="Arial" w:cs="Arial" w:eastAsia="Arial" w:hAnsi="Arial"/>
          <w:sz w:val="15"/>
          <w:szCs w:val="15"/>
          <w:color w:val="auto"/>
        </w:rPr>
      </w:pPr>
      <w:r>
        <w:rPr>
          <w:rFonts w:ascii="Arial" w:cs="Arial" w:eastAsia="Arial" w:hAnsi="Arial"/>
          <w:sz w:val="15"/>
          <w:szCs w:val="15"/>
          <w:u w:val="single" w:color="auto"/>
          <w:color w:val="auto"/>
        </w:rPr>
        <w:t>No Effect on Employment or Service</w:t>
      </w:r>
      <w:r>
        <w:rPr>
          <w:rFonts w:ascii="Arial" w:cs="Arial" w:eastAsia="Arial" w:hAnsi="Arial"/>
          <w:sz w:val="15"/>
          <w:szCs w:val="15"/>
          <w:color w:val="auto"/>
        </w:rPr>
        <w:t>. Neither the Plan nor any Award will confer upon a Participant any right with respect to continuing the Participant’s relationship as a Service Provider, nor will they interfere in any way with the Participant’s right or the right of the Company (or any Parent or Subsidiary of the Company) to terminate such relationship at any time, with or without cause, to the extent permitted by Applicable Laws.</w:t>
      </w:r>
    </w:p>
    <w:p>
      <w:pPr>
        <w:spacing w:after="0" w:line="154" w:lineRule="exact"/>
        <w:rPr>
          <w:rFonts w:ascii="Arial" w:cs="Arial" w:eastAsia="Arial" w:hAnsi="Arial"/>
          <w:sz w:val="15"/>
          <w:szCs w:val="15"/>
          <w:color w:val="auto"/>
        </w:rPr>
      </w:pPr>
    </w:p>
    <w:p>
      <w:pPr>
        <w:ind w:right="280" w:firstLine="448"/>
        <w:spacing w:after="0" w:line="312" w:lineRule="auto"/>
        <w:tabs>
          <w:tab w:leader="none" w:pos="796" w:val="left"/>
        </w:tabs>
        <w:numPr>
          <w:ilvl w:val="0"/>
          <w:numId w:val="152"/>
        </w:numPr>
        <w:rPr>
          <w:rFonts w:ascii="Arial" w:cs="Arial" w:eastAsia="Arial" w:hAnsi="Arial"/>
          <w:sz w:val="14"/>
          <w:szCs w:val="14"/>
          <w:color w:val="auto"/>
        </w:rPr>
      </w:pPr>
      <w:r>
        <w:rPr>
          <w:rFonts w:ascii="Arial" w:cs="Arial" w:eastAsia="Arial" w:hAnsi="Arial"/>
          <w:sz w:val="14"/>
          <w:szCs w:val="14"/>
          <w:u w:val="single" w:color="auto"/>
          <w:color w:val="auto"/>
        </w:rPr>
        <w:t>Date of Grant</w:t>
      </w:r>
      <w:r>
        <w:rPr>
          <w:rFonts w:ascii="Arial" w:cs="Arial" w:eastAsia="Arial" w:hAnsi="Arial"/>
          <w:sz w:val="14"/>
          <w:szCs w:val="14"/>
          <w:color w:val="auto"/>
        </w:rPr>
        <w:t>. The date of grant of an Award will be, for all purposes, the date on which the Administrator makes the determination granting such Award, or such other later date as is determined by the Administrator. Notice of the determination will be provided to each Participant within a reasonable time after the date of such grant.</w:t>
      </w:r>
    </w:p>
    <w:p>
      <w:pPr>
        <w:spacing w:after="0" w:line="122" w:lineRule="exact"/>
        <w:rPr>
          <w:rFonts w:ascii="Arial" w:cs="Arial" w:eastAsia="Arial" w:hAnsi="Arial"/>
          <w:sz w:val="14"/>
          <w:szCs w:val="14"/>
          <w:color w:val="auto"/>
        </w:rPr>
      </w:pPr>
    </w:p>
    <w:p>
      <w:pPr>
        <w:ind w:right="100" w:firstLine="448"/>
        <w:spacing w:after="0" w:line="312" w:lineRule="auto"/>
        <w:tabs>
          <w:tab w:leader="none" w:pos="796" w:val="left"/>
        </w:tabs>
        <w:numPr>
          <w:ilvl w:val="0"/>
          <w:numId w:val="152"/>
        </w:numPr>
        <w:rPr>
          <w:rFonts w:ascii="Arial" w:cs="Arial" w:eastAsia="Arial" w:hAnsi="Arial"/>
          <w:sz w:val="14"/>
          <w:szCs w:val="14"/>
          <w:color w:val="auto"/>
        </w:rPr>
      </w:pPr>
      <w:r>
        <w:rPr>
          <w:rFonts w:ascii="Arial" w:cs="Arial" w:eastAsia="Arial" w:hAnsi="Arial"/>
          <w:sz w:val="14"/>
          <w:szCs w:val="14"/>
          <w:u w:val="single" w:color="auto"/>
          <w:color w:val="auto"/>
        </w:rPr>
        <w:t>Term of Plan</w:t>
      </w:r>
      <w:r>
        <w:rPr>
          <w:rFonts w:ascii="Arial" w:cs="Arial" w:eastAsia="Arial" w:hAnsi="Arial"/>
          <w:sz w:val="14"/>
          <w:szCs w:val="14"/>
          <w:color w:val="auto"/>
        </w:rPr>
        <w:t>. Subject to Section 23 of the Plan, the Plan will become effective upon the later to occur of (i) its adoption by the Board or (ii) the business day immediately prior to the Registration Date. It will continue in effect for a term of ten (10) years from the date adopted by the Board, unless terminated earlier under Section 19 of the Plan.</w:t>
      </w:r>
    </w:p>
    <w:p>
      <w:pPr>
        <w:spacing w:after="0" w:line="122" w:lineRule="exact"/>
        <w:rPr>
          <w:rFonts w:ascii="Arial" w:cs="Arial" w:eastAsia="Arial" w:hAnsi="Arial"/>
          <w:sz w:val="14"/>
          <w:szCs w:val="14"/>
          <w:color w:val="auto"/>
        </w:rPr>
      </w:pPr>
    </w:p>
    <w:p>
      <w:pPr>
        <w:ind w:left="780" w:hanging="332"/>
        <w:spacing w:after="0"/>
        <w:tabs>
          <w:tab w:leader="none" w:pos="780" w:val="left"/>
        </w:tabs>
        <w:numPr>
          <w:ilvl w:val="0"/>
          <w:numId w:val="152"/>
        </w:numPr>
        <w:rPr>
          <w:rFonts w:ascii="Arial" w:cs="Arial" w:eastAsia="Arial" w:hAnsi="Arial"/>
          <w:sz w:val="15"/>
          <w:szCs w:val="15"/>
          <w:color w:val="auto"/>
        </w:rPr>
      </w:pPr>
      <w:r>
        <w:rPr>
          <w:rFonts w:ascii="Arial" w:cs="Arial" w:eastAsia="Arial" w:hAnsi="Arial"/>
          <w:sz w:val="15"/>
          <w:szCs w:val="15"/>
          <w:u w:val="single" w:color="auto"/>
          <w:color w:val="auto"/>
        </w:rPr>
        <w:t>Amendment and Termination of the Plan</w:t>
      </w:r>
      <w:r>
        <w:rPr>
          <w:rFonts w:ascii="Arial" w:cs="Arial" w:eastAsia="Arial" w:hAnsi="Arial"/>
          <w:sz w:val="15"/>
          <w:szCs w:val="15"/>
          <w:color w:val="auto"/>
        </w:rPr>
        <w:t>.</w:t>
      </w:r>
    </w:p>
    <w:p>
      <w:pPr>
        <w:spacing w:after="0" w:line="188" w:lineRule="exact"/>
        <w:rPr>
          <w:rFonts w:ascii="Arial" w:cs="Arial" w:eastAsia="Arial" w:hAnsi="Arial"/>
          <w:sz w:val="15"/>
          <w:szCs w:val="15"/>
          <w:color w:val="auto"/>
        </w:rPr>
      </w:pPr>
    </w:p>
    <w:p>
      <w:pPr>
        <w:ind w:left="1220" w:hanging="314"/>
        <w:spacing w:after="0"/>
        <w:tabs>
          <w:tab w:leader="none" w:pos="1220" w:val="left"/>
        </w:tabs>
        <w:numPr>
          <w:ilvl w:val="1"/>
          <w:numId w:val="152"/>
        </w:numPr>
        <w:rPr>
          <w:rFonts w:ascii="Arial" w:cs="Arial" w:eastAsia="Arial" w:hAnsi="Arial"/>
          <w:sz w:val="15"/>
          <w:szCs w:val="15"/>
          <w:color w:val="auto"/>
        </w:rPr>
      </w:pPr>
      <w:r>
        <w:rPr>
          <w:rFonts w:ascii="Arial" w:cs="Arial" w:eastAsia="Arial" w:hAnsi="Arial"/>
          <w:sz w:val="15"/>
          <w:szCs w:val="15"/>
          <w:u w:val="single" w:color="auto"/>
          <w:color w:val="auto"/>
        </w:rPr>
        <w:t>Amendment and Termination</w:t>
      </w:r>
      <w:r>
        <w:rPr>
          <w:rFonts w:ascii="Arial" w:cs="Arial" w:eastAsia="Arial" w:hAnsi="Arial"/>
          <w:sz w:val="15"/>
          <w:szCs w:val="15"/>
          <w:color w:val="auto"/>
        </w:rPr>
        <w:t>. The Administrator may at any time amend, alter, suspend or terminate the Plan.</w:t>
      </w:r>
    </w:p>
    <w:p>
      <w:pPr>
        <w:spacing w:after="0" w:line="188" w:lineRule="exact"/>
        <w:rPr>
          <w:rFonts w:ascii="Arial" w:cs="Arial" w:eastAsia="Arial" w:hAnsi="Arial"/>
          <w:sz w:val="15"/>
          <w:szCs w:val="15"/>
          <w:color w:val="auto"/>
        </w:rPr>
      </w:pPr>
    </w:p>
    <w:p>
      <w:pPr>
        <w:ind w:left="1240" w:hanging="334"/>
        <w:spacing w:after="0"/>
        <w:tabs>
          <w:tab w:leader="none" w:pos="1240" w:val="left"/>
        </w:tabs>
        <w:numPr>
          <w:ilvl w:val="1"/>
          <w:numId w:val="152"/>
        </w:numPr>
        <w:rPr>
          <w:rFonts w:ascii="Arial" w:cs="Arial" w:eastAsia="Arial" w:hAnsi="Arial"/>
          <w:sz w:val="14"/>
          <w:szCs w:val="14"/>
          <w:color w:val="auto"/>
        </w:rPr>
      </w:pPr>
      <w:r>
        <w:rPr>
          <w:rFonts w:ascii="Arial" w:cs="Arial" w:eastAsia="Arial" w:hAnsi="Arial"/>
          <w:sz w:val="14"/>
          <w:szCs w:val="14"/>
          <w:u w:val="single" w:color="auto"/>
          <w:color w:val="auto"/>
        </w:rPr>
        <w:t>Stockholder Approval</w:t>
      </w:r>
      <w:r>
        <w:rPr>
          <w:rFonts w:ascii="Arial" w:cs="Arial" w:eastAsia="Arial" w:hAnsi="Arial"/>
          <w:sz w:val="14"/>
          <w:szCs w:val="14"/>
          <w:color w:val="auto"/>
        </w:rPr>
        <w:t>. The Company will obtain stockholder approval of any Plan amendment to the extent necessary and desirable to comply with Applicable Laws.</w:t>
      </w:r>
    </w:p>
    <w:p>
      <w:pPr>
        <w:spacing w:after="0" w:line="199" w:lineRule="exact"/>
        <w:rPr>
          <w:rFonts w:ascii="Arial" w:cs="Arial" w:eastAsia="Arial" w:hAnsi="Arial"/>
          <w:sz w:val="14"/>
          <w:szCs w:val="14"/>
          <w:color w:val="auto"/>
        </w:rPr>
      </w:pPr>
    </w:p>
    <w:p>
      <w:pPr>
        <w:ind w:right="180" w:firstLine="906"/>
        <w:spacing w:after="0" w:line="290" w:lineRule="auto"/>
        <w:tabs>
          <w:tab w:leader="none" w:pos="1233" w:val="left"/>
        </w:tabs>
        <w:numPr>
          <w:ilvl w:val="1"/>
          <w:numId w:val="152"/>
        </w:numPr>
        <w:rPr>
          <w:rFonts w:ascii="Arial" w:cs="Arial" w:eastAsia="Arial" w:hAnsi="Arial"/>
          <w:sz w:val="14"/>
          <w:szCs w:val="14"/>
          <w:color w:val="auto"/>
        </w:rPr>
      </w:pPr>
      <w:r>
        <w:rPr>
          <w:rFonts w:ascii="Arial" w:cs="Arial" w:eastAsia="Arial" w:hAnsi="Arial"/>
          <w:sz w:val="14"/>
          <w:szCs w:val="14"/>
          <w:u w:val="single" w:color="auto"/>
          <w:color w:val="auto"/>
        </w:rPr>
        <w:t>Effect of Amendment or Termination</w:t>
      </w:r>
      <w:r>
        <w:rPr>
          <w:rFonts w:ascii="Arial" w:cs="Arial" w:eastAsia="Arial" w:hAnsi="Arial"/>
          <w:sz w:val="14"/>
          <w:szCs w:val="14"/>
          <w:color w:val="auto"/>
        </w:rPr>
        <w:t>. No amendment, alteration, suspension or termination of the Plan will materially impair the rights of any Participant, unless mutually agreed otherwise between the Participant and the Administrator, which agreement must be in writing and signed by the Participant and the Company. Termination of the Plan will not affect the Administrator’s ability to exercise the powers granted to it hereunder with respect to Awards granted under the Plan prior to the date of such termination.</w:t>
      </w:r>
    </w:p>
    <w:p>
      <w:pPr>
        <w:spacing w:after="0" w:line="138" w:lineRule="exact"/>
        <w:rPr>
          <w:rFonts w:ascii="Arial" w:cs="Arial" w:eastAsia="Arial" w:hAnsi="Arial"/>
          <w:sz w:val="14"/>
          <w:szCs w:val="14"/>
          <w:color w:val="auto"/>
        </w:rPr>
      </w:pPr>
    </w:p>
    <w:p>
      <w:pPr>
        <w:ind w:left="780" w:hanging="332"/>
        <w:spacing w:after="0"/>
        <w:tabs>
          <w:tab w:leader="none" w:pos="780" w:val="left"/>
        </w:tabs>
        <w:numPr>
          <w:ilvl w:val="0"/>
          <w:numId w:val="152"/>
        </w:numPr>
        <w:rPr>
          <w:rFonts w:ascii="Arial" w:cs="Arial" w:eastAsia="Arial" w:hAnsi="Arial"/>
          <w:sz w:val="15"/>
          <w:szCs w:val="15"/>
          <w:color w:val="auto"/>
        </w:rPr>
      </w:pPr>
      <w:r>
        <w:rPr>
          <w:rFonts w:ascii="Arial" w:cs="Arial" w:eastAsia="Arial" w:hAnsi="Arial"/>
          <w:sz w:val="15"/>
          <w:szCs w:val="15"/>
          <w:u w:val="single" w:color="auto"/>
          <w:color w:val="auto"/>
        </w:rPr>
        <w:t>Conditions Upon Issuance of Shares</w:t>
      </w:r>
      <w:r>
        <w:rPr>
          <w:rFonts w:ascii="Arial" w:cs="Arial" w:eastAsia="Arial" w:hAnsi="Arial"/>
          <w:sz w:val="15"/>
          <w:szCs w:val="15"/>
          <w:color w:val="auto"/>
        </w:rPr>
        <w:t>.</w:t>
      </w:r>
    </w:p>
    <w:p>
      <w:pPr>
        <w:spacing w:after="0" w:line="188" w:lineRule="exact"/>
        <w:rPr>
          <w:rFonts w:ascii="Arial" w:cs="Arial" w:eastAsia="Arial" w:hAnsi="Arial"/>
          <w:sz w:val="15"/>
          <w:szCs w:val="15"/>
          <w:color w:val="auto"/>
        </w:rPr>
      </w:pPr>
    </w:p>
    <w:p>
      <w:pPr>
        <w:ind w:right="360" w:firstLine="906"/>
        <w:spacing w:after="0" w:line="275" w:lineRule="auto"/>
        <w:tabs>
          <w:tab w:leader="none" w:pos="1233" w:val="left"/>
        </w:tabs>
        <w:numPr>
          <w:ilvl w:val="1"/>
          <w:numId w:val="152"/>
        </w:numPr>
        <w:rPr>
          <w:rFonts w:ascii="Arial" w:cs="Arial" w:eastAsia="Arial" w:hAnsi="Arial"/>
          <w:sz w:val="15"/>
          <w:szCs w:val="15"/>
          <w:color w:val="auto"/>
        </w:rPr>
      </w:pPr>
      <w:r>
        <w:rPr>
          <w:rFonts w:ascii="Arial" w:cs="Arial" w:eastAsia="Arial" w:hAnsi="Arial"/>
          <w:sz w:val="15"/>
          <w:szCs w:val="15"/>
          <w:u w:val="single" w:color="auto"/>
          <w:color w:val="auto"/>
        </w:rPr>
        <w:t>Legal Compliance</w:t>
      </w:r>
      <w:r>
        <w:rPr>
          <w:rFonts w:ascii="Arial" w:cs="Arial" w:eastAsia="Arial" w:hAnsi="Arial"/>
          <w:sz w:val="15"/>
          <w:szCs w:val="15"/>
          <w:color w:val="auto"/>
        </w:rPr>
        <w:t>. Shares will not be issued pursuant to an Award unless the exercise of such Award and the issuance and delivery of such Shares will comply with Applicable Laws and will be further subject to the approval of counsel for the Company with respect to such compliance.</w:t>
      </w:r>
    </w:p>
    <w:p>
      <w:pPr>
        <w:spacing w:after="0" w:line="146" w:lineRule="exact"/>
        <w:rPr>
          <w:rFonts w:ascii="Arial" w:cs="Arial" w:eastAsia="Arial" w:hAnsi="Arial"/>
          <w:sz w:val="15"/>
          <w:szCs w:val="15"/>
          <w:color w:val="auto"/>
        </w:rPr>
      </w:pPr>
    </w:p>
    <w:p>
      <w:pPr>
        <w:ind w:right="40" w:firstLine="906"/>
        <w:spacing w:after="0" w:line="263" w:lineRule="auto"/>
        <w:tabs>
          <w:tab w:leader="none" w:pos="1241" w:val="left"/>
        </w:tabs>
        <w:numPr>
          <w:ilvl w:val="1"/>
          <w:numId w:val="152"/>
        </w:numPr>
        <w:rPr>
          <w:rFonts w:ascii="Arial" w:cs="Arial" w:eastAsia="Arial" w:hAnsi="Arial"/>
          <w:sz w:val="15"/>
          <w:szCs w:val="15"/>
          <w:color w:val="auto"/>
        </w:rPr>
      </w:pPr>
      <w:r>
        <w:rPr>
          <w:rFonts w:ascii="Arial" w:cs="Arial" w:eastAsia="Arial" w:hAnsi="Arial"/>
          <w:sz w:val="15"/>
          <w:szCs w:val="15"/>
          <w:u w:val="single" w:color="auto"/>
          <w:color w:val="auto"/>
        </w:rPr>
        <w:t>Investment Representations</w:t>
      </w:r>
      <w:r>
        <w:rPr>
          <w:rFonts w:ascii="Arial" w:cs="Arial" w:eastAsia="Arial" w:hAnsi="Arial"/>
          <w:sz w:val="15"/>
          <w:szCs w:val="15"/>
          <w:color w:val="auto"/>
        </w:rPr>
        <w:t>. As a condition to the exercise of an Award, the Company may require the person exercising such Award to represent and warrant at the time of any such exercise that the Shares are being purchased only for investment and without any present intention to sell or distribute such Shares if, in the opinion of counsel for the Company, such a representation is required.</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-18-</w:t>
      </w:r>
    </w:p>
    <w:p>
      <w:pPr>
        <w:sectPr>
          <w:pgSz w:w="11900" w:h="16838" w:orient="portrait"/>
          <w:cols w:equalWidth="0" w:num="1">
            <w:col w:w="11440"/>
          </w:cols>
          <w:pgMar w:left="240" w:top="253" w:right="219" w:bottom="1440" w:gutter="0" w:footer="0" w:header="0"/>
        </w:sectPr>
      </w:pPr>
    </w:p>
    <w:bookmarkStart w:id="266" w:name="page267"/>
    <w:bookmarkEnd w:id="266"/>
    <w:p>
      <w:pPr>
        <w:ind w:right="80" w:firstLine="448"/>
        <w:spacing w:after="0" w:line="279" w:lineRule="auto"/>
        <w:tabs>
          <w:tab w:leader="none" w:pos="796" w:val="left"/>
        </w:tabs>
        <w:numPr>
          <w:ilvl w:val="0"/>
          <w:numId w:val="153"/>
        </w:numPr>
        <w:rPr>
          <w:rFonts w:ascii="Arial" w:cs="Arial" w:eastAsia="Arial" w:hAnsi="Arial"/>
          <w:sz w:val="14"/>
          <w:szCs w:val="14"/>
          <w:color w:val="auto"/>
        </w:rPr>
      </w:pPr>
      <w:r>
        <w:rPr>
          <w:rFonts w:ascii="Arial" w:cs="Arial" w:eastAsia="Arial" w:hAnsi="Arial"/>
          <w:sz w:val="14"/>
          <w:szCs w:val="14"/>
          <w:u w:val="single" w:color="auto"/>
          <w:color w:val="auto"/>
        </w:rPr>
        <w:drawing>
          <wp:anchor simplePos="0" relativeHeight="251657728" behindDoc="1" locked="0" layoutInCell="0" allowOverlap="1">
            <wp:simplePos x="0" y="0"/>
            <wp:positionH relativeFrom="page">
              <wp:posOffset>133350</wp:posOffset>
            </wp:positionH>
            <wp:positionV relativeFrom="page">
              <wp:posOffset>88900</wp:posOffset>
            </wp:positionV>
            <wp:extent cx="7308850" cy="34290"/>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404">
                      <a:extLst>
                        <a:ext uri="{28A0092B-C50C-407E-A947-70E740481C1C}"/>
                      </a:extLst>
                    </a:blip>
                    <a:srcRect/>
                    <a:stretch>
                      <a:fillRect/>
                    </a:stretch>
                  </pic:blipFill>
                  <pic:spPr bwMode="auto">
                    <a:xfrm>
                      <a:off x="0" y="0"/>
                      <a:ext cx="7308850" cy="34290"/>
                    </a:xfrm>
                    <a:prstGeom prst="rect">
                      <a:avLst/>
                    </a:prstGeom>
                    <a:noFill/>
                  </pic:spPr>
                </pic:pic>
              </a:graphicData>
            </a:graphic>
          </wp:anchor>
        </w:drawing>
        <w:t>Inability to Obtain Authority</w:t>
      </w:r>
      <w:r>
        <w:rPr>
          <w:rFonts w:ascii="Arial" w:cs="Arial" w:eastAsia="Arial" w:hAnsi="Arial"/>
          <w:sz w:val="14"/>
          <w:szCs w:val="14"/>
          <w:color w:val="auto"/>
        </w:rPr>
        <w:t>. The inability of the Company to obtain authority from any regulatory body having jurisdiction or to complete or comply with the requirements of any registration or other qualification of the Shares under any U.S. federal or state law, any non-U.S. law, or the rules and regulations of the Securities and Exchange Commission, the stock exchange on which Shares of the same class are then listed, or any other governmental or regulatory body, which authority, registration, qualification or rule compliance is deemed by the Company’s counsel to be necessary or advisable for the issuance and sale of any Shares hereunder, will relieve the Company of any liability in respect of the failure to issue or sell such Shares as to which such requisite authority, registration, qualification or rule compliance will not have been obtained.</w:t>
      </w:r>
    </w:p>
    <w:p>
      <w:pPr>
        <w:spacing w:after="0" w:line="146" w:lineRule="exact"/>
        <w:rPr>
          <w:rFonts w:ascii="Arial" w:cs="Arial" w:eastAsia="Arial" w:hAnsi="Arial"/>
          <w:sz w:val="14"/>
          <w:szCs w:val="14"/>
          <w:color w:val="auto"/>
        </w:rPr>
      </w:pPr>
    </w:p>
    <w:p>
      <w:pPr>
        <w:ind w:firstLine="448"/>
        <w:spacing w:after="0" w:line="255" w:lineRule="auto"/>
        <w:tabs>
          <w:tab w:leader="none" w:pos="796" w:val="left"/>
        </w:tabs>
        <w:numPr>
          <w:ilvl w:val="0"/>
          <w:numId w:val="153"/>
        </w:numPr>
        <w:rPr>
          <w:rFonts w:ascii="Arial" w:cs="Arial" w:eastAsia="Arial" w:hAnsi="Arial"/>
          <w:sz w:val="15"/>
          <w:szCs w:val="15"/>
          <w:color w:val="auto"/>
        </w:rPr>
      </w:pPr>
      <w:r>
        <w:rPr>
          <w:rFonts w:ascii="Arial" w:cs="Arial" w:eastAsia="Arial" w:hAnsi="Arial"/>
          <w:sz w:val="15"/>
          <w:szCs w:val="15"/>
          <w:u w:val="single" w:color="auto"/>
          <w:color w:val="auto"/>
        </w:rPr>
        <w:t>Clawback</w:t>
      </w:r>
      <w:r>
        <w:rPr>
          <w:rFonts w:ascii="Arial" w:cs="Arial" w:eastAsia="Arial" w:hAnsi="Arial"/>
          <w:sz w:val="15"/>
          <w:szCs w:val="15"/>
          <w:color w:val="auto"/>
        </w:rPr>
        <w:t>. The Administrator may specify in an Award Agreement that the Participant’s rights, payments, and/or benefits with respect to an Award will be subject to reduction, cancellation, forfeiture, and/or recoupment upon the occurrence of certain specified events, in addition to any applicable vesting, performance or other conditions and restrictions of an Award. Notwithstanding any provisions to the contrary under this Plan, an Award granted under the Plan shall be subject to the Company’s clawback policy as may be established and/or amended from time to time. The Board may require a Participant to forfeit or return to and/or reimburse the Company all or a portion of the Award and/or Shares issued under the Award, any amounts paid under the Award, and any payments or proceeds paid or provided upon disposition of the Shares issued under the Award, pursuant to the terms of such Company policy or as necessary or appropriate to comply with Applicable Laws.</w:t>
      </w:r>
    </w:p>
    <w:p>
      <w:pPr>
        <w:spacing w:after="0" w:line="163" w:lineRule="exact"/>
        <w:rPr>
          <w:rFonts w:ascii="Arial" w:cs="Arial" w:eastAsia="Arial" w:hAnsi="Arial"/>
          <w:sz w:val="15"/>
          <w:szCs w:val="15"/>
          <w:color w:val="auto"/>
        </w:rPr>
      </w:pPr>
    </w:p>
    <w:p>
      <w:pPr>
        <w:ind w:right="20" w:firstLine="448"/>
        <w:spacing w:after="0" w:line="275" w:lineRule="auto"/>
        <w:tabs>
          <w:tab w:leader="none" w:pos="796" w:val="left"/>
        </w:tabs>
        <w:numPr>
          <w:ilvl w:val="0"/>
          <w:numId w:val="153"/>
        </w:numPr>
        <w:rPr>
          <w:rFonts w:ascii="Arial" w:cs="Arial" w:eastAsia="Arial" w:hAnsi="Arial"/>
          <w:sz w:val="15"/>
          <w:szCs w:val="15"/>
          <w:color w:val="auto"/>
        </w:rPr>
      </w:pPr>
      <w:r>
        <w:rPr>
          <w:rFonts w:ascii="Arial" w:cs="Arial" w:eastAsia="Arial" w:hAnsi="Arial"/>
          <w:sz w:val="15"/>
          <w:szCs w:val="15"/>
          <w:u w:val="single" w:color="auto"/>
          <w:color w:val="auto"/>
        </w:rPr>
        <w:t>Stockholder Approval</w:t>
      </w:r>
      <w:r>
        <w:rPr>
          <w:rFonts w:ascii="Arial" w:cs="Arial" w:eastAsia="Arial" w:hAnsi="Arial"/>
          <w:sz w:val="15"/>
          <w:szCs w:val="15"/>
          <w:color w:val="auto"/>
        </w:rPr>
        <w:t>. The Plan will be subject to approval by the stockholders of the Company within twelve (12) months after the date the Plan is adopted by the Board. Such stockholder approval will be obtained in the manner and to the degree required under Applicable Laws.</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-19-</w:t>
      </w:r>
    </w:p>
    <w:p>
      <w:pPr>
        <w:sectPr>
          <w:pgSz w:w="11900" w:h="16838" w:orient="portrait"/>
          <w:cols w:equalWidth="0" w:num="1">
            <w:col w:w="11420"/>
          </w:cols>
          <w:pgMar w:left="240" w:top="253" w:right="239" w:bottom="1440" w:gutter="0" w:footer="0" w:header="0"/>
        </w:sectPr>
      </w:pPr>
    </w:p>
    <w:bookmarkStart w:id="267" w:name="page268"/>
    <w:bookmarkEnd w:id="267"/>
    <w:p>
      <w:pPr>
        <w:jc w:val="center"/>
        <w:ind w:right="-49"/>
        <w:spacing w:after="0"/>
        <w:rPr>
          <w:sz w:val="20"/>
          <w:szCs w:val="20"/>
          <w:color w:val="auto"/>
        </w:rPr>
      </w:pPr>
      <w:r>
        <w:rPr>
          <w:rFonts w:ascii="Arial" w:cs="Arial" w:eastAsia="Arial" w:hAnsi="Arial"/>
          <w:sz w:val="15"/>
          <w:szCs w:val="15"/>
          <w:b w:val="1"/>
          <w:bCs w:val="1"/>
          <w:color w:val="auto"/>
        </w:rPr>
        <w:drawing>
          <wp:anchor simplePos="0" relativeHeight="251657728" behindDoc="1" locked="0" layoutInCell="0" allowOverlap="1">
            <wp:simplePos x="0" y="0"/>
            <wp:positionH relativeFrom="page">
              <wp:posOffset>133350</wp:posOffset>
            </wp:positionH>
            <wp:positionV relativeFrom="page">
              <wp:posOffset>88900</wp:posOffset>
            </wp:positionV>
            <wp:extent cx="7308850" cy="34290"/>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405">
                      <a:extLst>
                        <a:ext uri="{28A0092B-C50C-407E-A947-70E740481C1C}"/>
                      </a:extLst>
                    </a:blip>
                    <a:srcRect/>
                    <a:stretch>
                      <a:fillRect/>
                    </a:stretch>
                  </pic:blipFill>
                  <pic:spPr bwMode="auto">
                    <a:xfrm>
                      <a:off x="0" y="0"/>
                      <a:ext cx="7308850" cy="34290"/>
                    </a:xfrm>
                    <a:prstGeom prst="rect">
                      <a:avLst/>
                    </a:prstGeom>
                    <a:noFill/>
                  </pic:spPr>
                </pic:pic>
              </a:graphicData>
            </a:graphic>
          </wp:anchor>
        </w:drawing>
        <w:t>DROPBOX, INC.</w:t>
      </w:r>
    </w:p>
    <w:p>
      <w:pPr>
        <w:spacing w:after="0" w:line="21" w:lineRule="exact"/>
        <w:rPr>
          <w:sz w:val="20"/>
          <w:szCs w:val="20"/>
          <w:color w:val="auto"/>
        </w:rPr>
      </w:pPr>
    </w:p>
    <w:p>
      <w:pPr>
        <w:jc w:val="center"/>
        <w:ind w:right="-49"/>
        <w:spacing w:after="0"/>
        <w:rPr>
          <w:sz w:val="20"/>
          <w:szCs w:val="20"/>
          <w:color w:val="auto"/>
        </w:rPr>
      </w:pPr>
      <w:r>
        <w:rPr>
          <w:rFonts w:ascii="Arial" w:cs="Arial" w:eastAsia="Arial" w:hAnsi="Arial"/>
          <w:sz w:val="15"/>
          <w:szCs w:val="15"/>
          <w:b w:val="1"/>
          <w:bCs w:val="1"/>
          <w:color w:val="auto"/>
        </w:rPr>
        <w:t>2018 EQUITY INCENTIVE PLAN</w:t>
      </w:r>
    </w:p>
    <w:p>
      <w:pPr>
        <w:spacing w:after="0" w:line="85" w:lineRule="exact"/>
        <w:rPr>
          <w:sz w:val="20"/>
          <w:szCs w:val="20"/>
          <w:color w:val="auto"/>
        </w:rPr>
      </w:pPr>
    </w:p>
    <w:p>
      <w:pPr>
        <w:jc w:val="center"/>
        <w:ind w:right="-49"/>
        <w:spacing w:after="0"/>
        <w:rPr>
          <w:sz w:val="20"/>
          <w:szCs w:val="20"/>
          <w:color w:val="auto"/>
        </w:rPr>
      </w:pPr>
      <w:r>
        <w:rPr>
          <w:rFonts w:ascii="Arial" w:cs="Arial" w:eastAsia="Arial" w:hAnsi="Arial"/>
          <w:sz w:val="15"/>
          <w:szCs w:val="15"/>
          <w:b w:val="1"/>
          <w:bCs w:val="1"/>
          <w:color w:val="auto"/>
        </w:rPr>
        <w:t>IRISH APPENDIX</w:t>
      </w:r>
    </w:p>
    <w:p>
      <w:pPr>
        <w:spacing w:after="0" w:line="21" w:lineRule="exact"/>
        <w:rPr>
          <w:sz w:val="20"/>
          <w:szCs w:val="20"/>
          <w:color w:val="auto"/>
        </w:rPr>
      </w:pPr>
    </w:p>
    <w:p>
      <w:pPr>
        <w:jc w:val="center"/>
        <w:ind w:right="-49"/>
        <w:spacing w:after="0"/>
        <w:rPr>
          <w:sz w:val="20"/>
          <w:szCs w:val="20"/>
          <w:color w:val="auto"/>
        </w:rPr>
      </w:pPr>
      <w:r>
        <w:rPr>
          <w:rFonts w:ascii="Arial" w:cs="Arial" w:eastAsia="Arial" w:hAnsi="Arial"/>
          <w:sz w:val="15"/>
          <w:szCs w:val="15"/>
          <w:b w:val="1"/>
          <w:bCs w:val="1"/>
          <w:color w:val="auto"/>
        </w:rPr>
        <w:t>(Current as of 3 November 2017)</w:t>
      </w:r>
    </w:p>
    <w:p>
      <w:pPr>
        <w:spacing w:after="0" w:line="179" w:lineRule="exact"/>
        <w:rPr>
          <w:sz w:val="20"/>
          <w:szCs w:val="20"/>
          <w:color w:val="auto"/>
        </w:rPr>
      </w:pPr>
    </w:p>
    <w:p>
      <w:pPr>
        <w:ind w:left="450"/>
        <w:spacing w:after="0"/>
        <w:rPr>
          <w:sz w:val="20"/>
          <w:szCs w:val="20"/>
          <w:color w:val="auto"/>
        </w:rPr>
      </w:pPr>
      <w:r>
        <w:rPr>
          <w:rFonts w:ascii="Arial" w:cs="Arial" w:eastAsia="Arial" w:hAnsi="Arial"/>
          <w:sz w:val="14"/>
          <w:szCs w:val="14"/>
          <w:color w:val="auto"/>
        </w:rPr>
        <w:t>Capitalized terms not explicitly defined in this Irish Appendix but defined in the Plan shall have the same definitions as in the Plan, unless the context otherwise requires.</w:t>
      </w:r>
    </w:p>
    <w:p>
      <w:pPr>
        <w:spacing w:after="0" w:line="320" w:lineRule="exact"/>
        <w:rPr>
          <w:sz w:val="20"/>
          <w:szCs w:val="20"/>
          <w:color w:val="auto"/>
        </w:rPr>
      </w:pPr>
    </w:p>
    <w:p>
      <w:pPr>
        <w:ind w:left="450" w:hanging="450"/>
        <w:spacing w:after="0"/>
        <w:tabs>
          <w:tab w:leader="none" w:pos="450" w:val="left"/>
        </w:tabs>
        <w:numPr>
          <w:ilvl w:val="0"/>
          <w:numId w:val="154"/>
        </w:numPr>
        <w:rPr>
          <w:rFonts w:ascii="Arial" w:cs="Arial" w:eastAsia="Arial" w:hAnsi="Arial"/>
          <w:sz w:val="15"/>
          <w:szCs w:val="15"/>
          <w:color w:val="auto"/>
        </w:rPr>
      </w:pPr>
      <w:r>
        <w:rPr>
          <w:rFonts w:ascii="Arial" w:cs="Arial" w:eastAsia="Arial" w:hAnsi="Arial"/>
          <w:sz w:val="15"/>
          <w:szCs w:val="15"/>
          <w:b w:val="1"/>
          <w:bCs w:val="1"/>
          <w:color w:val="auto"/>
        </w:rPr>
        <w:t>Purpose and eligibility</w:t>
      </w:r>
    </w:p>
    <w:p>
      <w:pPr>
        <w:spacing w:after="0" w:line="102" w:lineRule="exact"/>
        <w:rPr>
          <w:sz w:val="20"/>
          <w:szCs w:val="20"/>
          <w:color w:val="auto"/>
        </w:rPr>
      </w:pPr>
    </w:p>
    <w:p>
      <w:pPr>
        <w:ind w:left="10" w:right="200" w:firstLine="458"/>
        <w:spacing w:after="0" w:line="257" w:lineRule="auto"/>
        <w:rPr>
          <w:sz w:val="20"/>
          <w:szCs w:val="20"/>
          <w:color w:val="auto"/>
        </w:rPr>
      </w:pPr>
      <w:r>
        <w:rPr>
          <w:rFonts w:ascii="Arial" w:cs="Arial" w:eastAsia="Arial" w:hAnsi="Arial"/>
          <w:sz w:val="15"/>
          <w:szCs w:val="15"/>
          <w:color w:val="auto"/>
        </w:rPr>
        <w:t>The purpose of this appendix to the Plan (the “Irish Appendix”) is to enable the Committee to grant awards, including Options, Restricted Stock Units, Stock Appreciation Rights, Restricted Stock, Performance Units or Performance Shares (the “Award” or “Awards”) to certain employees and full-time directors of the Company and any Subsidiary who are based in Ireland. The Irish Appendix should be read and construed as one document with the Plan. Awards (which in the case of Options will be unapproved for Irish tax purposes) may only be granted under the Irish Appendix to employees and full-time directors of the Company and any Subsidiary. Any person to whom an Award has been granted under the Irish Appendix is a “Participant” for the purposes of the Plan.</w:t>
      </w:r>
    </w:p>
    <w:p>
      <w:pPr>
        <w:spacing w:after="0" w:line="159" w:lineRule="exact"/>
        <w:rPr>
          <w:sz w:val="20"/>
          <w:szCs w:val="20"/>
          <w:color w:val="auto"/>
        </w:rPr>
      </w:pPr>
    </w:p>
    <w:p>
      <w:pPr>
        <w:ind w:left="10" w:firstLine="458"/>
        <w:spacing w:after="0" w:line="259" w:lineRule="auto"/>
        <w:rPr>
          <w:sz w:val="20"/>
          <w:szCs w:val="20"/>
          <w:color w:val="auto"/>
        </w:rPr>
      </w:pPr>
      <w:r>
        <w:rPr>
          <w:rFonts w:ascii="Arial" w:cs="Arial" w:eastAsia="Arial" w:hAnsi="Arial"/>
          <w:sz w:val="15"/>
          <w:szCs w:val="15"/>
          <w:color w:val="auto"/>
        </w:rPr>
        <w:t xml:space="preserve">The tax and social security consequences of participating in the Plan are based on complex tax and social security laws, which may be subject to varying interpretations, and the application of such laws may depend, in large part, on the surrounding facts and circumstances. </w:t>
      </w:r>
      <w:r>
        <w:rPr>
          <w:rFonts w:ascii="Arial" w:cs="Arial" w:eastAsia="Arial" w:hAnsi="Arial"/>
          <w:sz w:val="15"/>
          <w:szCs w:val="15"/>
          <w:b w:val="1"/>
          <w:bCs w:val="1"/>
          <w:u w:val="single" w:color="auto"/>
          <w:color w:val="auto"/>
        </w:rPr>
        <w:t>Therefore, we recommend that the Participant consults with their own tax advisor</w:t>
      </w:r>
      <w:r>
        <w:rPr>
          <w:rFonts w:ascii="Arial" w:cs="Arial" w:eastAsia="Arial" w:hAnsi="Arial"/>
          <w:sz w:val="15"/>
          <w:szCs w:val="15"/>
          <w:color w:val="auto"/>
        </w:rPr>
        <w:t xml:space="preserve"> </w:t>
      </w:r>
      <w:r>
        <w:rPr>
          <w:rFonts w:ascii="Arial" w:cs="Arial" w:eastAsia="Arial" w:hAnsi="Arial"/>
          <w:sz w:val="15"/>
          <w:szCs w:val="15"/>
          <w:b w:val="1"/>
          <w:bCs w:val="1"/>
          <w:u w:val="single" w:color="auto"/>
          <w:color w:val="auto"/>
        </w:rPr>
        <w:t>regularly to determine the consequences of taking or not taking any action concerning their participation in the Plan and to determine how the tax, social security or other laws in Ireland (or elsewhere) apply to their specific situation.</w:t>
      </w:r>
    </w:p>
    <w:p>
      <w:pPr>
        <w:spacing w:after="0" w:line="278" w:lineRule="exact"/>
        <w:rPr>
          <w:sz w:val="20"/>
          <w:szCs w:val="20"/>
          <w:color w:val="auto"/>
        </w:rPr>
      </w:pPr>
    </w:p>
    <w:p>
      <w:pPr>
        <w:ind w:left="450" w:hanging="450"/>
        <w:spacing w:after="0"/>
        <w:tabs>
          <w:tab w:leader="none" w:pos="450" w:val="left"/>
        </w:tabs>
        <w:numPr>
          <w:ilvl w:val="0"/>
          <w:numId w:val="155"/>
        </w:numPr>
        <w:rPr>
          <w:rFonts w:ascii="Arial" w:cs="Arial" w:eastAsia="Arial" w:hAnsi="Arial"/>
          <w:sz w:val="15"/>
          <w:szCs w:val="15"/>
          <w:color w:val="auto"/>
        </w:rPr>
      </w:pPr>
      <w:r>
        <w:rPr>
          <w:rFonts w:ascii="Arial" w:cs="Arial" w:eastAsia="Arial" w:hAnsi="Arial"/>
          <w:sz w:val="15"/>
          <w:szCs w:val="15"/>
          <w:b w:val="1"/>
          <w:bCs w:val="1"/>
          <w:color w:val="auto"/>
        </w:rPr>
        <w:t>Terms</w:t>
      </w:r>
    </w:p>
    <w:p>
      <w:pPr>
        <w:spacing w:after="0" w:line="102" w:lineRule="exact"/>
        <w:rPr>
          <w:sz w:val="20"/>
          <w:szCs w:val="20"/>
          <w:color w:val="auto"/>
        </w:rPr>
      </w:pPr>
    </w:p>
    <w:p>
      <w:pPr>
        <w:ind w:left="10" w:firstLine="458"/>
        <w:spacing w:after="0" w:line="263" w:lineRule="auto"/>
        <w:rPr>
          <w:sz w:val="20"/>
          <w:szCs w:val="20"/>
          <w:color w:val="auto"/>
        </w:rPr>
      </w:pPr>
      <w:r>
        <w:rPr>
          <w:rFonts w:ascii="Arial" w:cs="Arial" w:eastAsia="Arial" w:hAnsi="Arial"/>
          <w:sz w:val="15"/>
          <w:szCs w:val="15"/>
          <w:color w:val="auto"/>
        </w:rPr>
        <w:t>Awards granted pursuant to the Plan shall be governed by the terms of the Plan, subject to any such amendments set out herein and as are necessary to give effect to Section 1 of the Irish Appendix, and by the terms of the individual Award agreement entered into between the Company and the Participant. To the extent that there is a conflict between the rules of the Plan and the Irish Appendix, or the relevant Award agreement and Irish Appendix, the provisions of the Irish Appendix shall prevail.</w:t>
      </w:r>
    </w:p>
    <w:p>
      <w:pPr>
        <w:spacing w:after="0" w:line="275" w:lineRule="exact"/>
        <w:rPr>
          <w:sz w:val="20"/>
          <w:szCs w:val="20"/>
          <w:color w:val="auto"/>
        </w:rPr>
      </w:pPr>
    </w:p>
    <w:p>
      <w:pPr>
        <w:ind w:left="450" w:hanging="450"/>
        <w:spacing w:after="0"/>
        <w:tabs>
          <w:tab w:leader="none" w:pos="450" w:val="left"/>
        </w:tabs>
        <w:numPr>
          <w:ilvl w:val="0"/>
          <w:numId w:val="156"/>
        </w:numPr>
        <w:rPr>
          <w:rFonts w:ascii="Arial" w:cs="Arial" w:eastAsia="Arial" w:hAnsi="Arial"/>
          <w:sz w:val="15"/>
          <w:szCs w:val="15"/>
          <w:color w:val="auto"/>
        </w:rPr>
      </w:pPr>
      <w:r>
        <w:rPr>
          <w:rFonts w:ascii="Arial" w:cs="Arial" w:eastAsia="Arial" w:hAnsi="Arial"/>
          <w:sz w:val="15"/>
          <w:szCs w:val="15"/>
          <w:b w:val="1"/>
          <w:bCs w:val="1"/>
          <w:color w:val="auto"/>
        </w:rPr>
        <w:t>Taxes</w:t>
      </w:r>
    </w:p>
    <w:p>
      <w:pPr>
        <w:spacing w:after="0" w:line="102" w:lineRule="exact"/>
        <w:rPr>
          <w:sz w:val="20"/>
          <w:szCs w:val="20"/>
          <w:color w:val="auto"/>
        </w:rPr>
      </w:pPr>
    </w:p>
    <w:p>
      <w:pPr>
        <w:ind w:left="10" w:right="220" w:firstLine="458"/>
        <w:spacing w:after="0" w:line="275" w:lineRule="auto"/>
        <w:rPr>
          <w:sz w:val="20"/>
          <w:szCs w:val="20"/>
          <w:color w:val="auto"/>
        </w:rPr>
      </w:pPr>
      <w:r>
        <w:rPr>
          <w:rFonts w:ascii="Arial" w:cs="Arial" w:eastAsia="Arial" w:hAnsi="Arial"/>
          <w:sz w:val="15"/>
          <w:szCs w:val="15"/>
          <w:color w:val="auto"/>
        </w:rPr>
        <w:t>The references in the Plan, and in particular clause 15 (Tax) of the Plan, to “tax” or “taxes” includes any and all taxes, charges, levies and contributions in Ireland or elsewhere, to include, in particular, Universal Social Charge (USC) and Pay Related Social Insurance (PRSI) (“</w:t>
      </w:r>
      <w:r>
        <w:rPr>
          <w:rFonts w:ascii="Arial" w:cs="Arial" w:eastAsia="Arial" w:hAnsi="Arial"/>
          <w:sz w:val="15"/>
          <w:szCs w:val="15"/>
          <w:b w:val="1"/>
          <w:bCs w:val="1"/>
          <w:color w:val="auto"/>
        </w:rPr>
        <w:t>Taxes</w:t>
      </w:r>
      <w:r>
        <w:rPr>
          <w:rFonts w:ascii="Arial" w:cs="Arial" w:eastAsia="Arial" w:hAnsi="Arial"/>
          <w:sz w:val="15"/>
          <w:szCs w:val="15"/>
          <w:color w:val="auto"/>
        </w:rPr>
        <w:t>”).</w:t>
      </w:r>
    </w:p>
    <w:p>
      <w:pPr>
        <w:spacing w:after="0" w:line="266" w:lineRule="exact"/>
        <w:rPr>
          <w:sz w:val="20"/>
          <w:szCs w:val="20"/>
          <w:color w:val="auto"/>
        </w:rPr>
      </w:pPr>
    </w:p>
    <w:p>
      <w:pPr>
        <w:ind w:left="450" w:hanging="450"/>
        <w:spacing w:after="0"/>
        <w:tabs>
          <w:tab w:leader="none" w:pos="450" w:val="left"/>
        </w:tabs>
        <w:numPr>
          <w:ilvl w:val="0"/>
          <w:numId w:val="157"/>
        </w:numPr>
        <w:rPr>
          <w:rFonts w:ascii="Arial" w:cs="Arial" w:eastAsia="Arial" w:hAnsi="Arial"/>
          <w:sz w:val="15"/>
          <w:szCs w:val="15"/>
          <w:color w:val="auto"/>
        </w:rPr>
      </w:pPr>
      <w:r>
        <w:rPr>
          <w:rFonts w:ascii="Arial" w:cs="Arial" w:eastAsia="Arial" w:hAnsi="Arial"/>
          <w:sz w:val="15"/>
          <w:szCs w:val="15"/>
          <w:b w:val="1"/>
          <w:bCs w:val="1"/>
          <w:color w:val="auto"/>
        </w:rPr>
        <w:t>Tax indemnity</w:t>
      </w:r>
    </w:p>
    <w:p>
      <w:pPr>
        <w:spacing w:after="0" w:line="113" w:lineRule="exact"/>
        <w:rPr>
          <w:sz w:val="20"/>
          <w:szCs w:val="20"/>
          <w:color w:val="auto"/>
        </w:rPr>
      </w:pPr>
    </w:p>
    <w:p>
      <w:pPr>
        <w:ind w:left="450" w:hanging="450"/>
        <w:spacing w:after="0" w:line="259" w:lineRule="auto"/>
        <w:tabs>
          <w:tab w:leader="none" w:pos="429" w:val="left"/>
        </w:tabs>
        <w:rPr>
          <w:sz w:val="20"/>
          <w:szCs w:val="20"/>
          <w:color w:val="auto"/>
        </w:rPr>
      </w:pPr>
      <w:r>
        <w:rPr>
          <w:rFonts w:ascii="Arial" w:cs="Arial" w:eastAsia="Arial" w:hAnsi="Arial"/>
          <w:sz w:val="15"/>
          <w:szCs w:val="15"/>
          <w:color w:val="auto"/>
        </w:rPr>
        <w:t>4.1</w:t>
      </w:r>
      <w:r>
        <w:rPr>
          <w:sz w:val="20"/>
          <w:szCs w:val="20"/>
          <w:color w:val="auto"/>
        </w:rPr>
        <w:tab/>
      </w:r>
      <w:r>
        <w:rPr>
          <w:rFonts w:ascii="Arial" w:cs="Arial" w:eastAsia="Arial" w:hAnsi="Arial"/>
          <w:sz w:val="15"/>
          <w:szCs w:val="15"/>
          <w:color w:val="auto"/>
        </w:rPr>
        <w:t>The Participant shall be accountable for any Taxes, which are chargeable on any assessable income deriving from the grant, exercise, purchase, vesting of, or other dealing in Awards or Shares issued pursuant to an Award. The Company shall not become liable for any Taxes, as a result of the Participant’s participation in the Plan. In respect of such assessable income, the Participant shall indemnify the Company and (at the direction of the Company) any Subsidiary, which is or may be treated as the employer of the Participant in respect of the Taxes (the “</w:t>
      </w:r>
      <w:r>
        <w:rPr>
          <w:rFonts w:ascii="Arial" w:cs="Arial" w:eastAsia="Arial" w:hAnsi="Arial"/>
          <w:sz w:val="15"/>
          <w:szCs w:val="15"/>
          <w:b w:val="1"/>
          <w:bCs w:val="1"/>
          <w:color w:val="auto"/>
        </w:rPr>
        <w:t>Tax Liabilities</w:t>
      </w:r>
      <w:r>
        <w:rPr>
          <w:rFonts w:ascii="Arial" w:cs="Arial" w:eastAsia="Arial" w:hAnsi="Arial"/>
          <w:sz w:val="15"/>
          <w:szCs w:val="15"/>
          <w:color w:val="auto"/>
        </w:rPr>
        <w:t>”).</w:t>
      </w:r>
    </w:p>
    <w:p>
      <w:pPr>
        <w:spacing w:after="0" w:line="101" w:lineRule="exact"/>
        <w:rPr>
          <w:sz w:val="20"/>
          <w:szCs w:val="20"/>
          <w:color w:val="auto"/>
        </w:rPr>
      </w:pPr>
    </w:p>
    <w:p>
      <w:pPr>
        <w:jc w:val="center"/>
        <w:ind w:right="-49"/>
        <w:spacing w:after="0"/>
        <w:rPr>
          <w:sz w:val="20"/>
          <w:szCs w:val="20"/>
          <w:color w:val="auto"/>
        </w:rPr>
      </w:pPr>
      <w:r>
        <w:rPr>
          <w:rFonts w:ascii="Arial" w:cs="Arial" w:eastAsia="Arial" w:hAnsi="Arial"/>
          <w:sz w:val="15"/>
          <w:szCs w:val="15"/>
          <w:color w:val="auto"/>
        </w:rPr>
        <w:t>-20-</w:t>
      </w:r>
    </w:p>
    <w:p>
      <w:pPr>
        <w:sectPr>
          <w:pgSz w:w="11900" w:h="16838" w:orient="portrait"/>
          <w:cols w:equalWidth="0" w:num="1">
            <w:col w:w="11390"/>
          </w:cols>
          <w:pgMar w:left="230" w:top="249" w:right="279" w:bottom="1440" w:gutter="0" w:footer="0" w:header="0"/>
        </w:sectPr>
      </w:pPr>
    </w:p>
    <w:bookmarkStart w:id="268" w:name="page269"/>
    <w:bookmarkEnd w:id="268"/>
    <w:p>
      <w:pPr>
        <w:ind w:left="450" w:right="160" w:hanging="450"/>
        <w:spacing w:after="0" w:line="275" w:lineRule="auto"/>
        <w:tabs>
          <w:tab w:leader="none" w:pos="429" w:val="left"/>
        </w:tabs>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133350</wp:posOffset>
            </wp:positionH>
            <wp:positionV relativeFrom="page">
              <wp:posOffset>88900</wp:posOffset>
            </wp:positionV>
            <wp:extent cx="7308850" cy="34290"/>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406">
                      <a:extLst>
                        <a:ext uri="{28A0092B-C50C-407E-A947-70E740481C1C}"/>
                      </a:extLst>
                    </a:blip>
                    <a:srcRect/>
                    <a:stretch>
                      <a:fillRect/>
                    </a:stretch>
                  </pic:blipFill>
                  <pic:spPr bwMode="auto">
                    <a:xfrm>
                      <a:off x="0" y="0"/>
                      <a:ext cx="7308850" cy="34290"/>
                    </a:xfrm>
                    <a:prstGeom prst="rect">
                      <a:avLst/>
                    </a:prstGeom>
                    <a:noFill/>
                  </pic:spPr>
                </pic:pic>
              </a:graphicData>
            </a:graphic>
          </wp:anchor>
        </w:drawing>
        <w:t>4.2</w:t>
      </w:r>
      <w:r>
        <w:rPr>
          <w:sz w:val="20"/>
          <w:szCs w:val="20"/>
          <w:color w:val="auto"/>
        </w:rPr>
        <w:tab/>
      </w:r>
      <w:r>
        <w:rPr>
          <w:rFonts w:ascii="Arial" w:cs="Arial" w:eastAsia="Arial" w:hAnsi="Arial"/>
          <w:sz w:val="15"/>
          <w:szCs w:val="15"/>
          <w:color w:val="auto"/>
        </w:rPr>
        <w:t>Pursuant to the indemnity referred to in Section 4.1, where necessary, the Participant shall make such arrangements, as the Company requires to meet the cost of the Tax Liabilities, including at the direction of the Company any of the following:</w:t>
      </w:r>
    </w:p>
    <w:p>
      <w:pPr>
        <w:spacing w:after="0" w:line="67" w:lineRule="exact"/>
        <w:rPr>
          <w:sz w:val="20"/>
          <w:szCs w:val="20"/>
          <w:color w:val="auto"/>
        </w:rPr>
      </w:pPr>
    </w:p>
    <w:p>
      <w:pPr>
        <w:ind w:left="910" w:right="80" w:hanging="459"/>
        <w:spacing w:after="0" w:line="354" w:lineRule="auto"/>
        <w:tabs>
          <w:tab w:leader="none" w:pos="910" w:val="left"/>
        </w:tabs>
        <w:numPr>
          <w:ilvl w:val="1"/>
          <w:numId w:val="158"/>
        </w:numPr>
        <w:rPr>
          <w:rFonts w:ascii="Arial" w:cs="Arial" w:eastAsia="Arial" w:hAnsi="Arial"/>
          <w:sz w:val="13"/>
          <w:szCs w:val="13"/>
          <w:color w:val="auto"/>
        </w:rPr>
      </w:pPr>
      <w:r>
        <w:rPr>
          <w:rFonts w:ascii="Arial" w:cs="Arial" w:eastAsia="Arial" w:hAnsi="Arial"/>
          <w:sz w:val="13"/>
          <w:szCs w:val="13"/>
          <w:color w:val="auto"/>
        </w:rPr>
        <w:t>making a cash payment of an appropriate amount to the relevant company whether by cheque, banker’s draft or deduction from salary in time to enable the Company to remit such amount to the Irish Revenue Commissioners before the 14th day following the end of the month in which the event giving rise to the Tax Liabilities occurred; or</w:t>
      </w:r>
    </w:p>
    <w:p>
      <w:pPr>
        <w:spacing w:after="0" w:line="21" w:lineRule="exact"/>
        <w:rPr>
          <w:rFonts w:ascii="Arial" w:cs="Arial" w:eastAsia="Arial" w:hAnsi="Arial"/>
          <w:sz w:val="13"/>
          <w:szCs w:val="13"/>
          <w:color w:val="auto"/>
        </w:rPr>
      </w:pPr>
    </w:p>
    <w:p>
      <w:pPr>
        <w:ind w:left="910" w:right="80" w:hanging="459"/>
        <w:spacing w:after="0" w:line="290" w:lineRule="auto"/>
        <w:tabs>
          <w:tab w:leader="none" w:pos="910" w:val="left"/>
        </w:tabs>
        <w:numPr>
          <w:ilvl w:val="1"/>
          <w:numId w:val="158"/>
        </w:numPr>
        <w:rPr>
          <w:rFonts w:ascii="Arial" w:cs="Arial" w:eastAsia="Arial" w:hAnsi="Arial"/>
          <w:sz w:val="14"/>
          <w:szCs w:val="14"/>
          <w:color w:val="auto"/>
        </w:rPr>
      </w:pPr>
      <w:r>
        <w:rPr>
          <w:rFonts w:ascii="Arial" w:cs="Arial" w:eastAsia="Arial" w:hAnsi="Arial"/>
          <w:sz w:val="14"/>
          <w:szCs w:val="14"/>
          <w:color w:val="auto"/>
        </w:rPr>
        <w:t>appointing the Company as agent and / or attorney for the sale of sufficient Shares, acquired pursuant to the grant, exercise, purchase, vesting or other dealing in Awards, or Shares issued pursuant to an Award to cover the Tax Liabilities and authorising the payment to the relevant company of the appropriate amount (including all reasonable fees, commissions and expenses incurred by the relevant company in relation to such sale) out of the net proceeds of sale of the Shares.</w:t>
      </w:r>
    </w:p>
    <w:p>
      <w:pPr>
        <w:spacing w:after="0" w:line="258" w:lineRule="exact"/>
        <w:rPr>
          <w:rFonts w:ascii="Arial" w:cs="Arial" w:eastAsia="Arial" w:hAnsi="Arial"/>
          <w:sz w:val="14"/>
          <w:szCs w:val="14"/>
          <w:color w:val="auto"/>
        </w:rPr>
      </w:pPr>
    </w:p>
    <w:p>
      <w:pPr>
        <w:ind w:left="450" w:hanging="450"/>
        <w:spacing w:after="0"/>
        <w:tabs>
          <w:tab w:leader="none" w:pos="450" w:val="left"/>
        </w:tabs>
        <w:numPr>
          <w:ilvl w:val="0"/>
          <w:numId w:val="159"/>
        </w:numPr>
        <w:rPr>
          <w:rFonts w:ascii="Arial" w:cs="Arial" w:eastAsia="Arial" w:hAnsi="Arial"/>
          <w:sz w:val="15"/>
          <w:szCs w:val="15"/>
          <w:color w:val="auto"/>
        </w:rPr>
      </w:pPr>
      <w:r>
        <w:rPr>
          <w:rFonts w:ascii="Arial" w:cs="Arial" w:eastAsia="Arial" w:hAnsi="Arial"/>
          <w:sz w:val="15"/>
          <w:szCs w:val="15"/>
          <w:b w:val="1"/>
          <w:bCs w:val="1"/>
          <w:color w:val="auto"/>
        </w:rPr>
        <w:t>Employment rights</w:t>
      </w:r>
    </w:p>
    <w:p>
      <w:pPr>
        <w:spacing w:after="0" w:line="113" w:lineRule="exact"/>
        <w:rPr>
          <w:sz w:val="20"/>
          <w:szCs w:val="20"/>
          <w:color w:val="auto"/>
        </w:rPr>
      </w:pPr>
    </w:p>
    <w:p>
      <w:pPr>
        <w:ind w:left="450" w:hanging="450"/>
        <w:spacing w:after="0" w:line="255" w:lineRule="auto"/>
        <w:tabs>
          <w:tab w:leader="none" w:pos="429" w:val="left"/>
        </w:tabs>
        <w:rPr>
          <w:sz w:val="20"/>
          <w:szCs w:val="20"/>
          <w:color w:val="auto"/>
        </w:rPr>
      </w:pPr>
      <w:r>
        <w:rPr>
          <w:rFonts w:ascii="Arial" w:cs="Arial" w:eastAsia="Arial" w:hAnsi="Arial"/>
          <w:sz w:val="15"/>
          <w:szCs w:val="15"/>
          <w:color w:val="auto"/>
        </w:rPr>
        <w:t>5.1</w:t>
      </w:r>
      <w:r>
        <w:rPr>
          <w:sz w:val="20"/>
          <w:szCs w:val="20"/>
          <w:color w:val="auto"/>
        </w:rPr>
        <w:tab/>
      </w:r>
      <w:r>
        <w:rPr>
          <w:rFonts w:ascii="Arial" w:cs="Arial" w:eastAsia="Arial" w:hAnsi="Arial"/>
          <w:sz w:val="15"/>
          <w:szCs w:val="15"/>
          <w:color w:val="auto"/>
        </w:rPr>
        <w:t>The Participant acknowledges that his or her terms of employment shall not be affected in any way by his or her participation in the Plan, which shall not form part of such terms (either expressly or impliedly). The Participant acknowledges that his or her participation in the Plan shall be subject at all times to the rules of the Plan as may be amended from time to time (including, but not limited to, any clawback provisions). If on termination of the Participant’s employment (whether lawfully, unlawfully, or in breach of contract) he or she loses any rights or benefits under the Plan (including any rights or benefits which he or she would not have lost had his or her employment not been terminated), the Participant hereby acknowledges that he or she shall not be entitled to (and hereby waives) any compensation for the loss of any rights or benefits under the Plan, or any replacement or successor plan.</w:t>
      </w:r>
    </w:p>
    <w:p>
      <w:pPr>
        <w:spacing w:after="0" w:line="85" w:lineRule="exact"/>
        <w:rPr>
          <w:sz w:val="20"/>
          <w:szCs w:val="20"/>
          <w:color w:val="auto"/>
        </w:rPr>
      </w:pPr>
    </w:p>
    <w:p>
      <w:pPr>
        <w:ind w:left="450" w:hanging="450"/>
        <w:spacing w:after="0" w:line="263" w:lineRule="auto"/>
        <w:tabs>
          <w:tab w:leader="none" w:pos="429" w:val="left"/>
        </w:tabs>
        <w:rPr>
          <w:sz w:val="20"/>
          <w:szCs w:val="20"/>
          <w:color w:val="auto"/>
        </w:rPr>
      </w:pPr>
      <w:r>
        <w:rPr>
          <w:rFonts w:ascii="Arial" w:cs="Arial" w:eastAsia="Arial" w:hAnsi="Arial"/>
          <w:sz w:val="15"/>
          <w:szCs w:val="15"/>
          <w:color w:val="auto"/>
        </w:rPr>
        <w:t>5.2</w:t>
      </w:r>
      <w:r>
        <w:rPr>
          <w:sz w:val="20"/>
          <w:szCs w:val="20"/>
          <w:color w:val="auto"/>
        </w:rPr>
        <w:tab/>
      </w:r>
      <w:r>
        <w:rPr>
          <w:rFonts w:ascii="Arial" w:cs="Arial" w:eastAsia="Arial" w:hAnsi="Arial"/>
          <w:sz w:val="15"/>
          <w:szCs w:val="15"/>
          <w:color w:val="auto"/>
        </w:rPr>
        <w:t>The Plan is entirely discretionary and may be suspended or terminated by the Committee or by the Company at any time for any reason. Participation in the Plan is entirely discretionary and does not create any contractual or other right to receive future grants of Awards or benefits in lieu of Awards. All determinations with respect to future grants will be at the sole discretion of the Committee or the Company. Rights under the Plan are not pensionable.</w:t>
      </w:r>
    </w:p>
    <w:p>
      <w:pPr>
        <w:spacing w:after="0" w:line="275" w:lineRule="exact"/>
        <w:rPr>
          <w:sz w:val="20"/>
          <w:szCs w:val="20"/>
          <w:color w:val="auto"/>
        </w:rPr>
      </w:pPr>
    </w:p>
    <w:p>
      <w:pPr>
        <w:ind w:left="450" w:hanging="450"/>
        <w:spacing w:after="0"/>
        <w:tabs>
          <w:tab w:leader="none" w:pos="450" w:val="left"/>
        </w:tabs>
        <w:numPr>
          <w:ilvl w:val="0"/>
          <w:numId w:val="160"/>
        </w:numPr>
        <w:rPr>
          <w:rFonts w:ascii="Arial" w:cs="Arial" w:eastAsia="Arial" w:hAnsi="Arial"/>
          <w:sz w:val="15"/>
          <w:szCs w:val="15"/>
          <w:color w:val="auto"/>
        </w:rPr>
      </w:pPr>
      <w:r>
        <w:rPr>
          <w:rFonts w:ascii="Arial" w:cs="Arial" w:eastAsia="Arial" w:hAnsi="Arial"/>
          <w:sz w:val="15"/>
          <w:szCs w:val="15"/>
          <w:b w:val="1"/>
          <w:bCs w:val="1"/>
          <w:color w:val="auto"/>
        </w:rPr>
        <w:t>Data Protection</w:t>
      </w:r>
    </w:p>
    <w:p>
      <w:pPr>
        <w:spacing w:after="0" w:line="113" w:lineRule="exact"/>
        <w:rPr>
          <w:sz w:val="20"/>
          <w:szCs w:val="20"/>
          <w:color w:val="auto"/>
        </w:rPr>
      </w:pPr>
    </w:p>
    <w:p>
      <w:pPr>
        <w:ind w:left="10"/>
        <w:spacing w:after="0"/>
        <w:tabs>
          <w:tab w:leader="none" w:pos="429" w:val="left"/>
        </w:tabs>
        <w:rPr>
          <w:sz w:val="20"/>
          <w:szCs w:val="20"/>
          <w:color w:val="auto"/>
        </w:rPr>
      </w:pPr>
      <w:r>
        <w:rPr>
          <w:rFonts w:ascii="Arial" w:cs="Arial" w:eastAsia="Arial" w:hAnsi="Arial"/>
          <w:sz w:val="15"/>
          <w:szCs w:val="15"/>
          <w:color w:val="auto"/>
        </w:rPr>
        <w:t>6.1</w:t>
      </w:r>
      <w:r>
        <w:rPr>
          <w:sz w:val="20"/>
          <w:szCs w:val="20"/>
          <w:color w:val="auto"/>
        </w:rPr>
        <w:tab/>
      </w:r>
      <w:r>
        <w:rPr>
          <w:rFonts w:ascii="Arial" w:cs="Arial" w:eastAsia="Arial" w:hAnsi="Arial"/>
          <w:sz w:val="13"/>
          <w:szCs w:val="13"/>
          <w:color w:val="auto"/>
        </w:rPr>
        <w:t>Section 14 of the Award Agreement does not apply.</w:t>
      </w:r>
    </w:p>
    <w:p>
      <w:pPr>
        <w:spacing w:after="0" w:line="132" w:lineRule="exact"/>
        <w:rPr>
          <w:sz w:val="20"/>
          <w:szCs w:val="20"/>
          <w:color w:val="auto"/>
        </w:rPr>
      </w:pPr>
    </w:p>
    <w:p>
      <w:pPr>
        <w:jc w:val="center"/>
        <w:ind w:right="-9"/>
        <w:spacing w:after="0"/>
        <w:rPr>
          <w:sz w:val="20"/>
          <w:szCs w:val="20"/>
          <w:color w:val="auto"/>
        </w:rPr>
      </w:pPr>
      <w:r>
        <w:rPr>
          <w:rFonts w:ascii="Arial" w:cs="Arial" w:eastAsia="Arial" w:hAnsi="Arial"/>
          <w:sz w:val="15"/>
          <w:szCs w:val="15"/>
          <w:color w:val="auto"/>
        </w:rPr>
        <w:t>-21-</w:t>
      </w:r>
    </w:p>
    <w:p>
      <w:pPr>
        <w:sectPr>
          <w:pgSz w:w="11900" w:h="16838" w:orient="portrait"/>
          <w:cols w:equalWidth="0" w:num="1">
            <w:col w:w="11430"/>
          </w:cols>
          <w:pgMar w:left="230" w:top="253" w:right="239" w:bottom="1440" w:gutter="0" w:footer="0" w:header="0"/>
        </w:sectPr>
      </w:pPr>
    </w:p>
    <w:bookmarkStart w:id="269" w:name="page270"/>
    <w:bookmarkEnd w:id="269"/>
    <w:p>
      <w:pPr>
        <w:jc w:val="center"/>
        <w:ind w:right="-9"/>
        <w:spacing w:after="0"/>
        <w:rPr>
          <w:sz w:val="20"/>
          <w:szCs w:val="20"/>
          <w:color w:val="auto"/>
        </w:rPr>
      </w:pPr>
      <w:r>
        <w:rPr>
          <w:rFonts w:ascii="Arial" w:cs="Arial" w:eastAsia="Arial" w:hAnsi="Arial"/>
          <w:sz w:val="15"/>
          <w:szCs w:val="15"/>
          <w:b w:val="1"/>
          <w:bCs w:val="1"/>
          <w:color w:val="auto"/>
        </w:rPr>
        <w:drawing>
          <wp:anchor simplePos="0" relativeHeight="251657728" behindDoc="1" locked="0" layoutInCell="0" allowOverlap="1">
            <wp:simplePos x="0" y="0"/>
            <wp:positionH relativeFrom="page">
              <wp:posOffset>133350</wp:posOffset>
            </wp:positionH>
            <wp:positionV relativeFrom="page">
              <wp:posOffset>88900</wp:posOffset>
            </wp:positionV>
            <wp:extent cx="7308850" cy="34290"/>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407">
                      <a:extLst>
                        <a:ext uri="{28A0092B-C50C-407E-A947-70E740481C1C}"/>
                      </a:extLst>
                    </a:blip>
                    <a:srcRect/>
                    <a:stretch>
                      <a:fillRect/>
                    </a:stretch>
                  </pic:blipFill>
                  <pic:spPr bwMode="auto">
                    <a:xfrm>
                      <a:off x="0" y="0"/>
                      <a:ext cx="7308850" cy="34290"/>
                    </a:xfrm>
                    <a:prstGeom prst="rect">
                      <a:avLst/>
                    </a:prstGeom>
                    <a:noFill/>
                  </pic:spPr>
                </pic:pic>
              </a:graphicData>
            </a:graphic>
          </wp:anchor>
        </w:drawing>
        <w:t>DROPBOX, INC.</w:t>
      </w:r>
    </w:p>
    <w:p>
      <w:pPr>
        <w:spacing w:after="0" w:line="188" w:lineRule="exact"/>
        <w:rPr>
          <w:sz w:val="20"/>
          <w:szCs w:val="20"/>
          <w:color w:val="auto"/>
        </w:rPr>
      </w:pPr>
    </w:p>
    <w:p>
      <w:pPr>
        <w:jc w:val="center"/>
        <w:ind w:right="-9"/>
        <w:spacing w:after="0"/>
        <w:rPr>
          <w:sz w:val="20"/>
          <w:szCs w:val="20"/>
          <w:color w:val="auto"/>
        </w:rPr>
      </w:pPr>
      <w:r>
        <w:rPr>
          <w:rFonts w:ascii="Arial" w:cs="Arial" w:eastAsia="Arial" w:hAnsi="Arial"/>
          <w:sz w:val="15"/>
          <w:szCs w:val="15"/>
          <w:b w:val="1"/>
          <w:bCs w:val="1"/>
          <w:color w:val="auto"/>
        </w:rPr>
        <w:t>2018 EQUITY INCENTIVE PLAN</w:t>
      </w:r>
    </w:p>
    <w:p>
      <w:pPr>
        <w:spacing w:after="0" w:line="188" w:lineRule="exact"/>
        <w:rPr>
          <w:sz w:val="20"/>
          <w:szCs w:val="20"/>
          <w:color w:val="auto"/>
        </w:rPr>
      </w:pPr>
    </w:p>
    <w:p>
      <w:pPr>
        <w:jc w:val="center"/>
        <w:ind w:right="-9"/>
        <w:spacing w:after="0"/>
        <w:rPr>
          <w:sz w:val="20"/>
          <w:szCs w:val="20"/>
          <w:color w:val="auto"/>
        </w:rPr>
      </w:pPr>
      <w:r>
        <w:rPr>
          <w:rFonts w:ascii="Arial" w:cs="Arial" w:eastAsia="Arial" w:hAnsi="Arial"/>
          <w:sz w:val="15"/>
          <w:szCs w:val="15"/>
          <w:b w:val="1"/>
          <w:bCs w:val="1"/>
          <w:color w:val="auto"/>
        </w:rPr>
        <w:t>ISRAEI APPENDIX</w:t>
      </w:r>
    </w:p>
    <w:p>
      <w:pPr>
        <w:spacing w:after="0" w:line="188" w:lineRule="exact"/>
        <w:rPr>
          <w:sz w:val="20"/>
          <w:szCs w:val="20"/>
          <w:color w:val="auto"/>
        </w:rPr>
      </w:pPr>
    </w:p>
    <w:p>
      <w:pPr>
        <w:jc w:val="both"/>
        <w:ind w:left="10" w:right="100" w:firstLine="458"/>
        <w:spacing w:after="0" w:line="266" w:lineRule="auto"/>
        <w:rPr>
          <w:sz w:val="20"/>
          <w:szCs w:val="20"/>
          <w:color w:val="auto"/>
        </w:rPr>
      </w:pPr>
      <w:r>
        <w:rPr>
          <w:rFonts w:ascii="Arial" w:cs="Arial" w:eastAsia="Arial" w:hAnsi="Arial"/>
          <w:sz w:val="15"/>
          <w:szCs w:val="15"/>
          <w:color w:val="auto"/>
        </w:rPr>
        <w:t>This Israeli Appendix (the “</w:t>
      </w:r>
      <w:r>
        <w:rPr>
          <w:rFonts w:ascii="Arial" w:cs="Arial" w:eastAsia="Arial" w:hAnsi="Arial"/>
          <w:sz w:val="15"/>
          <w:szCs w:val="15"/>
          <w:b w:val="1"/>
          <w:bCs w:val="1"/>
          <w:color w:val="auto"/>
        </w:rPr>
        <w:t>Appendix</w:t>
      </w:r>
      <w:r>
        <w:rPr>
          <w:rFonts w:ascii="Arial" w:cs="Arial" w:eastAsia="Arial" w:hAnsi="Arial"/>
          <w:sz w:val="15"/>
          <w:szCs w:val="15"/>
          <w:color w:val="auto"/>
        </w:rPr>
        <w:t>”) to the 2018 Equity Incentive Plan (as amended from time to time, the “</w:t>
      </w:r>
      <w:r>
        <w:rPr>
          <w:rFonts w:ascii="Arial" w:cs="Arial" w:eastAsia="Arial" w:hAnsi="Arial"/>
          <w:sz w:val="15"/>
          <w:szCs w:val="15"/>
          <w:b w:val="1"/>
          <w:bCs w:val="1"/>
          <w:color w:val="auto"/>
        </w:rPr>
        <w:t>Plan</w:t>
      </w:r>
      <w:r>
        <w:rPr>
          <w:rFonts w:ascii="Arial" w:cs="Arial" w:eastAsia="Arial" w:hAnsi="Arial"/>
          <w:sz w:val="15"/>
          <w:szCs w:val="15"/>
          <w:color w:val="auto"/>
        </w:rPr>
        <w:t>”) of Dropbox, Inc. (the “</w:t>
      </w:r>
      <w:r>
        <w:rPr>
          <w:rFonts w:ascii="Arial" w:cs="Arial" w:eastAsia="Arial" w:hAnsi="Arial"/>
          <w:sz w:val="15"/>
          <w:szCs w:val="15"/>
          <w:b w:val="1"/>
          <w:bCs w:val="1"/>
          <w:color w:val="auto"/>
        </w:rPr>
        <w:t>Company</w:t>
      </w:r>
      <w:r>
        <w:rPr>
          <w:rFonts w:ascii="Arial" w:cs="Arial" w:eastAsia="Arial" w:hAnsi="Arial"/>
          <w:sz w:val="15"/>
          <w:szCs w:val="15"/>
          <w:color w:val="auto"/>
        </w:rPr>
        <w:t>”) is adopted pursuant to the authority granted under Section 4(b)(viii) of the Plan and shall apply only to persons who are, or are deemed to be, residents of the State of Israel for Israeli tax purposes, as further detailed below.</w:t>
      </w:r>
    </w:p>
    <w:p>
      <w:pPr>
        <w:spacing w:after="0" w:line="272" w:lineRule="exact"/>
        <w:rPr>
          <w:sz w:val="20"/>
          <w:szCs w:val="20"/>
          <w:color w:val="auto"/>
        </w:rPr>
      </w:pPr>
    </w:p>
    <w:p>
      <w:pPr>
        <w:ind w:left="10"/>
        <w:spacing w:after="0"/>
        <w:tabs>
          <w:tab w:leader="none" w:pos="249" w:val="left"/>
        </w:tabs>
        <w:rPr>
          <w:sz w:val="20"/>
          <w:szCs w:val="20"/>
          <w:color w:val="auto"/>
        </w:rPr>
      </w:pPr>
      <w:r>
        <w:rPr>
          <w:rFonts w:ascii="Arial" w:cs="Arial" w:eastAsia="Arial" w:hAnsi="Arial"/>
          <w:sz w:val="15"/>
          <w:szCs w:val="15"/>
          <w:b w:val="1"/>
          <w:bCs w:val="1"/>
          <w:color w:val="auto"/>
        </w:rPr>
        <w:t>1.</w:t>
        <w:tab/>
        <w:t>GENERAL</w:t>
      </w:r>
    </w:p>
    <w:p>
      <w:pPr>
        <w:spacing w:after="0" w:line="102" w:lineRule="exact"/>
        <w:rPr>
          <w:sz w:val="20"/>
          <w:szCs w:val="20"/>
          <w:color w:val="auto"/>
        </w:rPr>
      </w:pPr>
    </w:p>
    <w:p>
      <w:pPr>
        <w:ind w:left="10" w:firstLine="458"/>
        <w:spacing w:after="0" w:line="290" w:lineRule="auto"/>
        <w:rPr>
          <w:sz w:val="20"/>
          <w:szCs w:val="20"/>
          <w:color w:val="auto"/>
        </w:rPr>
      </w:pPr>
      <w:r>
        <w:rPr>
          <w:rFonts w:ascii="Arial" w:cs="Arial" w:eastAsia="Arial" w:hAnsi="Arial"/>
          <w:sz w:val="14"/>
          <w:szCs w:val="14"/>
          <w:color w:val="auto"/>
        </w:rPr>
        <w:t>1.1. The Committee, in its discretion, may grant Awards to eligible Participants and shall determine the tax route under which such Awards are intended to be granted, provided only one type of trustee awards may be granted, subject to the provisions of the Ordinance and the Rules. Each Award shall be evidenced by an Award Agreement, which shall expressly identify the tax classification of the Award, and be in such form and contain such provisions, as the Committee shall from time to time deem appropriate.</w:t>
      </w:r>
    </w:p>
    <w:p>
      <w:pPr>
        <w:spacing w:after="0" w:line="138" w:lineRule="exact"/>
        <w:rPr>
          <w:sz w:val="20"/>
          <w:szCs w:val="20"/>
          <w:color w:val="auto"/>
        </w:rPr>
      </w:pPr>
    </w:p>
    <w:p>
      <w:pPr>
        <w:ind w:left="10" w:right="820" w:firstLine="458"/>
        <w:spacing w:after="0" w:line="275" w:lineRule="auto"/>
        <w:rPr>
          <w:sz w:val="20"/>
          <w:szCs w:val="20"/>
          <w:color w:val="auto"/>
        </w:rPr>
      </w:pPr>
      <w:r>
        <w:rPr>
          <w:rFonts w:ascii="Arial" w:cs="Arial" w:eastAsia="Arial" w:hAnsi="Arial"/>
          <w:sz w:val="15"/>
          <w:szCs w:val="15"/>
          <w:color w:val="auto"/>
        </w:rPr>
        <w:t>1.2. The Plan shall apply to any Awards granted pursuant to this Appendix, provided, that the provisions of this Appendix shall supersede and govern in the case of any inconsistency or conflict, either explicit or implied, arising between the provisions of this Appendix and the Plan.</w:t>
      </w:r>
    </w:p>
    <w:p>
      <w:pPr>
        <w:spacing w:after="0" w:line="146" w:lineRule="exact"/>
        <w:rPr>
          <w:sz w:val="20"/>
          <w:szCs w:val="20"/>
          <w:color w:val="auto"/>
        </w:rPr>
      </w:pPr>
    </w:p>
    <w:p>
      <w:pPr>
        <w:ind w:left="450"/>
        <w:spacing w:after="0"/>
        <w:tabs>
          <w:tab w:leader="none" w:pos="809" w:val="left"/>
        </w:tabs>
        <w:rPr>
          <w:sz w:val="20"/>
          <w:szCs w:val="20"/>
          <w:color w:val="auto"/>
        </w:rPr>
      </w:pPr>
      <w:r>
        <w:rPr>
          <w:rFonts w:ascii="Arial" w:cs="Arial" w:eastAsia="Arial" w:hAnsi="Arial"/>
          <w:sz w:val="15"/>
          <w:szCs w:val="15"/>
          <w:color w:val="auto"/>
        </w:rPr>
        <w:t>1.3.</w:t>
      </w:r>
      <w:r>
        <w:rPr>
          <w:sz w:val="20"/>
          <w:szCs w:val="20"/>
          <w:color w:val="auto"/>
        </w:rPr>
        <w:tab/>
      </w:r>
      <w:r>
        <w:rPr>
          <w:rFonts w:ascii="Arial" w:cs="Arial" w:eastAsia="Arial" w:hAnsi="Arial"/>
          <w:sz w:val="13"/>
          <w:szCs w:val="13"/>
          <w:color w:val="auto"/>
        </w:rPr>
        <w:t>Unless otherwise defined in this Appendix, capitalized terms contained herein shall have the same meanings given to them in the Plan.</w:t>
      </w:r>
    </w:p>
    <w:p>
      <w:pPr>
        <w:spacing w:after="0" w:line="207" w:lineRule="exact"/>
        <w:rPr>
          <w:sz w:val="20"/>
          <w:szCs w:val="20"/>
          <w:color w:val="auto"/>
        </w:rPr>
      </w:pPr>
    </w:p>
    <w:p>
      <w:pPr>
        <w:ind w:left="450" w:hanging="450"/>
        <w:spacing w:after="0"/>
        <w:tabs>
          <w:tab w:leader="none" w:pos="450" w:val="left"/>
        </w:tabs>
        <w:numPr>
          <w:ilvl w:val="0"/>
          <w:numId w:val="161"/>
        </w:numPr>
        <w:rPr>
          <w:rFonts w:ascii="Arial" w:cs="Arial" w:eastAsia="Arial" w:hAnsi="Arial"/>
          <w:sz w:val="15"/>
          <w:szCs w:val="15"/>
          <w:b w:val="1"/>
          <w:bCs w:val="1"/>
          <w:color w:val="auto"/>
        </w:rPr>
      </w:pPr>
      <w:r>
        <w:rPr>
          <w:rFonts w:ascii="Arial" w:cs="Arial" w:eastAsia="Arial" w:hAnsi="Arial"/>
          <w:sz w:val="15"/>
          <w:szCs w:val="15"/>
          <w:b w:val="1"/>
          <w:bCs w:val="1"/>
          <w:color w:val="auto"/>
        </w:rPr>
        <w:t>DEFINITIONS</w:t>
      </w:r>
      <w:r>
        <w:rPr>
          <w:rFonts w:ascii="Arial" w:cs="Arial" w:eastAsia="Arial" w:hAnsi="Arial"/>
          <w:sz w:val="15"/>
          <w:szCs w:val="15"/>
          <w:color w:val="auto"/>
        </w:rPr>
        <w:t>.</w:t>
      </w:r>
    </w:p>
    <w:p>
      <w:pPr>
        <w:spacing w:after="0" w:line="188" w:lineRule="exact"/>
        <w:rPr>
          <w:sz w:val="20"/>
          <w:szCs w:val="20"/>
          <w:color w:val="auto"/>
        </w:rPr>
      </w:pPr>
    </w:p>
    <w:p>
      <w:pPr>
        <w:ind w:left="10" w:right="380" w:firstLine="458"/>
        <w:spacing w:after="0" w:line="280" w:lineRule="auto"/>
        <w:rPr>
          <w:sz w:val="20"/>
          <w:szCs w:val="20"/>
          <w:color w:val="auto"/>
        </w:rPr>
      </w:pPr>
      <w:r>
        <w:rPr>
          <w:rFonts w:ascii="Arial" w:cs="Arial" w:eastAsia="Arial" w:hAnsi="Arial"/>
          <w:sz w:val="15"/>
          <w:szCs w:val="15"/>
          <w:color w:val="auto"/>
        </w:rPr>
        <w:t>2.1. “</w:t>
      </w:r>
      <w:r>
        <w:rPr>
          <w:rFonts w:ascii="Arial" w:cs="Arial" w:eastAsia="Arial" w:hAnsi="Arial"/>
          <w:sz w:val="15"/>
          <w:szCs w:val="15"/>
          <w:b w:val="1"/>
          <w:bCs w:val="1"/>
          <w:color w:val="auto"/>
        </w:rPr>
        <w:t>3(9) Award</w:t>
      </w:r>
      <w:r>
        <w:rPr>
          <w:rFonts w:ascii="Arial" w:cs="Arial" w:eastAsia="Arial" w:hAnsi="Arial"/>
          <w:sz w:val="15"/>
          <w:szCs w:val="15"/>
          <w:color w:val="auto"/>
        </w:rPr>
        <w:t>” means any Option or Restricted Stock Unit granted by the Company to any Participant who is engaged by an Israeli resident Subsidiary but is not an Israeli Employee and is taxed pursuant to Section 3(9) of the Ordinance.</w:t>
      </w:r>
    </w:p>
    <w:p>
      <w:pPr>
        <w:spacing w:after="0" w:line="139" w:lineRule="exact"/>
        <w:rPr>
          <w:sz w:val="20"/>
          <w:szCs w:val="20"/>
          <w:color w:val="auto"/>
        </w:rPr>
      </w:pPr>
    </w:p>
    <w:p>
      <w:pPr>
        <w:ind w:left="450"/>
        <w:spacing w:after="0"/>
        <w:tabs>
          <w:tab w:leader="none" w:pos="809" w:val="left"/>
        </w:tabs>
        <w:rPr>
          <w:sz w:val="20"/>
          <w:szCs w:val="20"/>
          <w:color w:val="auto"/>
        </w:rPr>
      </w:pPr>
      <w:r>
        <w:rPr>
          <w:rFonts w:ascii="Arial" w:cs="Arial" w:eastAsia="Arial" w:hAnsi="Arial"/>
          <w:sz w:val="15"/>
          <w:szCs w:val="15"/>
          <w:color w:val="auto"/>
        </w:rPr>
        <w:t>2.2.</w:t>
      </w:r>
      <w:r>
        <w:rPr>
          <w:sz w:val="20"/>
          <w:szCs w:val="20"/>
          <w:color w:val="auto"/>
        </w:rPr>
        <w:tab/>
      </w:r>
      <w:r>
        <w:rPr>
          <w:rFonts w:ascii="Arial" w:cs="Arial" w:eastAsia="Arial" w:hAnsi="Arial"/>
          <w:sz w:val="13"/>
          <w:szCs w:val="13"/>
          <w:color w:val="auto"/>
        </w:rPr>
        <w:t>“</w:t>
      </w:r>
      <w:r>
        <w:rPr>
          <w:rFonts w:ascii="Arial" w:cs="Arial" w:eastAsia="Arial" w:hAnsi="Arial"/>
          <w:sz w:val="13"/>
          <w:szCs w:val="13"/>
          <w:b w:val="1"/>
          <w:bCs w:val="1"/>
          <w:color w:val="auto"/>
        </w:rPr>
        <w:t>102 Award</w:t>
      </w:r>
      <w:r>
        <w:rPr>
          <w:rFonts w:ascii="Arial" w:cs="Arial" w:eastAsia="Arial" w:hAnsi="Arial"/>
          <w:sz w:val="13"/>
          <w:szCs w:val="13"/>
          <w:color w:val="auto"/>
        </w:rPr>
        <w:t>” means any Award granted to an Israeli Employee, provided it is settled only in shares of Common Stock.</w:t>
      </w:r>
    </w:p>
    <w:p>
      <w:pPr>
        <w:spacing w:after="0" w:line="188" w:lineRule="exact"/>
        <w:rPr>
          <w:sz w:val="20"/>
          <w:szCs w:val="20"/>
          <w:color w:val="auto"/>
        </w:rPr>
      </w:pPr>
    </w:p>
    <w:p>
      <w:pPr>
        <w:ind w:left="10" w:right="60" w:firstLine="458"/>
        <w:spacing w:after="0" w:line="280" w:lineRule="auto"/>
        <w:rPr>
          <w:sz w:val="20"/>
          <w:szCs w:val="20"/>
          <w:color w:val="auto"/>
        </w:rPr>
      </w:pPr>
      <w:r>
        <w:rPr>
          <w:rFonts w:ascii="Arial" w:cs="Arial" w:eastAsia="Arial" w:hAnsi="Arial"/>
          <w:sz w:val="15"/>
          <w:szCs w:val="15"/>
          <w:color w:val="auto"/>
        </w:rPr>
        <w:t>2.3. “</w:t>
      </w:r>
      <w:r>
        <w:rPr>
          <w:rFonts w:ascii="Arial" w:cs="Arial" w:eastAsia="Arial" w:hAnsi="Arial"/>
          <w:sz w:val="15"/>
          <w:szCs w:val="15"/>
          <w:b w:val="1"/>
          <w:bCs w:val="1"/>
          <w:color w:val="auto"/>
        </w:rPr>
        <w:t>102 Capital Gain Track Award</w:t>
      </w:r>
      <w:r>
        <w:rPr>
          <w:rFonts w:ascii="Arial" w:cs="Arial" w:eastAsia="Arial" w:hAnsi="Arial"/>
          <w:sz w:val="15"/>
          <w:szCs w:val="15"/>
          <w:color w:val="auto"/>
        </w:rPr>
        <w:t>” means any 102 Award granted by the Company to an Israeli Employee pursuant to Section 102(b)(2) or (3) (as applicable) of the Ordinance under the capital gain track.</w:t>
      </w:r>
    </w:p>
    <w:p>
      <w:pPr>
        <w:spacing w:after="0" w:line="139" w:lineRule="exact"/>
        <w:rPr>
          <w:sz w:val="20"/>
          <w:szCs w:val="20"/>
          <w:color w:val="auto"/>
        </w:rPr>
      </w:pPr>
    </w:p>
    <w:p>
      <w:pPr>
        <w:ind w:left="450"/>
        <w:spacing w:after="0"/>
        <w:tabs>
          <w:tab w:leader="none" w:pos="809" w:val="left"/>
        </w:tabs>
        <w:rPr>
          <w:sz w:val="20"/>
          <w:szCs w:val="20"/>
          <w:color w:val="auto"/>
        </w:rPr>
      </w:pPr>
      <w:r>
        <w:rPr>
          <w:rFonts w:ascii="Arial" w:cs="Arial" w:eastAsia="Arial" w:hAnsi="Arial"/>
          <w:sz w:val="15"/>
          <w:szCs w:val="15"/>
          <w:color w:val="auto"/>
        </w:rPr>
        <w:t>2.4.</w:t>
      </w:r>
      <w:r>
        <w:rPr>
          <w:sz w:val="20"/>
          <w:szCs w:val="20"/>
          <w:color w:val="auto"/>
        </w:rPr>
        <w:tab/>
      </w:r>
      <w:r>
        <w:rPr>
          <w:rFonts w:ascii="Arial" w:cs="Arial" w:eastAsia="Arial" w:hAnsi="Arial"/>
          <w:sz w:val="13"/>
          <w:szCs w:val="13"/>
          <w:color w:val="auto"/>
        </w:rPr>
        <w:t>“</w:t>
      </w:r>
      <w:r>
        <w:rPr>
          <w:rFonts w:ascii="Arial" w:cs="Arial" w:eastAsia="Arial" w:hAnsi="Arial"/>
          <w:sz w:val="13"/>
          <w:szCs w:val="13"/>
          <w:b w:val="1"/>
          <w:bCs w:val="1"/>
          <w:color w:val="auto"/>
        </w:rPr>
        <w:t>102 Non-Trustee Award</w:t>
      </w:r>
      <w:r>
        <w:rPr>
          <w:rFonts w:ascii="Arial" w:cs="Arial" w:eastAsia="Arial" w:hAnsi="Arial"/>
          <w:sz w:val="13"/>
          <w:szCs w:val="13"/>
          <w:color w:val="auto"/>
        </w:rPr>
        <w:t>” means any 102 Award granted by the Company to an Israeli Employee pursuant to Section 102(c) of the Ordinance without a Trustee.</w:t>
      </w:r>
    </w:p>
    <w:p>
      <w:pPr>
        <w:spacing w:after="0" w:line="188" w:lineRule="exact"/>
        <w:rPr>
          <w:sz w:val="20"/>
          <w:szCs w:val="20"/>
          <w:color w:val="auto"/>
        </w:rPr>
      </w:pPr>
    </w:p>
    <w:p>
      <w:pPr>
        <w:ind w:left="10" w:right="460" w:firstLine="458"/>
        <w:spacing w:after="0" w:line="280" w:lineRule="auto"/>
        <w:rPr>
          <w:sz w:val="20"/>
          <w:szCs w:val="20"/>
          <w:color w:val="auto"/>
        </w:rPr>
      </w:pPr>
      <w:r>
        <w:rPr>
          <w:rFonts w:ascii="Arial" w:cs="Arial" w:eastAsia="Arial" w:hAnsi="Arial"/>
          <w:sz w:val="15"/>
          <w:szCs w:val="15"/>
          <w:color w:val="auto"/>
        </w:rPr>
        <w:t>2.5. “</w:t>
      </w:r>
      <w:r>
        <w:rPr>
          <w:rFonts w:ascii="Arial" w:cs="Arial" w:eastAsia="Arial" w:hAnsi="Arial"/>
          <w:sz w:val="15"/>
          <w:szCs w:val="15"/>
          <w:b w:val="1"/>
          <w:bCs w:val="1"/>
          <w:color w:val="auto"/>
        </w:rPr>
        <w:t>102 Ordinary Income Track Award</w:t>
      </w:r>
      <w:r>
        <w:rPr>
          <w:rFonts w:ascii="Arial" w:cs="Arial" w:eastAsia="Arial" w:hAnsi="Arial"/>
          <w:sz w:val="15"/>
          <w:szCs w:val="15"/>
          <w:color w:val="auto"/>
        </w:rPr>
        <w:t>” means any 102 Award granted by the Company to an Israeli Employee pursuant to Section 102(b)(1) of the Ordinance under the ordinary income track.</w:t>
      </w:r>
    </w:p>
    <w:p>
      <w:pPr>
        <w:spacing w:after="0" w:line="139" w:lineRule="exact"/>
        <w:rPr>
          <w:sz w:val="20"/>
          <w:szCs w:val="20"/>
          <w:color w:val="auto"/>
        </w:rPr>
      </w:pPr>
    </w:p>
    <w:p>
      <w:pPr>
        <w:ind w:left="450"/>
        <w:spacing w:after="0"/>
        <w:tabs>
          <w:tab w:leader="none" w:pos="809" w:val="left"/>
        </w:tabs>
        <w:rPr>
          <w:sz w:val="20"/>
          <w:szCs w:val="20"/>
          <w:color w:val="auto"/>
        </w:rPr>
      </w:pPr>
      <w:r>
        <w:rPr>
          <w:rFonts w:ascii="Arial" w:cs="Arial" w:eastAsia="Arial" w:hAnsi="Arial"/>
          <w:sz w:val="15"/>
          <w:szCs w:val="15"/>
          <w:color w:val="auto"/>
        </w:rPr>
        <w:t>2.6.</w:t>
      </w:r>
      <w:r>
        <w:rPr>
          <w:sz w:val="20"/>
          <w:szCs w:val="20"/>
          <w:color w:val="auto"/>
        </w:rPr>
        <w:tab/>
      </w:r>
      <w:r>
        <w:rPr>
          <w:rFonts w:ascii="Arial" w:cs="Arial" w:eastAsia="Arial" w:hAnsi="Arial"/>
          <w:sz w:val="13"/>
          <w:szCs w:val="13"/>
          <w:color w:val="auto"/>
        </w:rPr>
        <w:t>“</w:t>
      </w:r>
      <w:r>
        <w:rPr>
          <w:rFonts w:ascii="Arial" w:cs="Arial" w:eastAsia="Arial" w:hAnsi="Arial"/>
          <w:sz w:val="13"/>
          <w:szCs w:val="13"/>
          <w:b w:val="1"/>
          <w:bCs w:val="1"/>
          <w:color w:val="auto"/>
        </w:rPr>
        <w:t>102 Trustee Awards</w:t>
      </w:r>
      <w:r>
        <w:rPr>
          <w:rFonts w:ascii="Arial" w:cs="Arial" w:eastAsia="Arial" w:hAnsi="Arial"/>
          <w:sz w:val="13"/>
          <w:szCs w:val="13"/>
          <w:color w:val="auto"/>
        </w:rPr>
        <w:t>” means, collectively, 102 Capital Gain Track Awards and 102 Ordinary Income Track Awards.</w:t>
      </w:r>
    </w:p>
    <w:p>
      <w:pPr>
        <w:spacing w:after="0" w:line="188" w:lineRule="exact"/>
        <w:rPr>
          <w:sz w:val="20"/>
          <w:szCs w:val="20"/>
          <w:color w:val="auto"/>
        </w:rPr>
      </w:pPr>
    </w:p>
    <w:p>
      <w:pPr>
        <w:ind w:left="10" w:right="140" w:firstLine="458"/>
        <w:spacing w:after="0" w:line="280" w:lineRule="auto"/>
        <w:rPr>
          <w:sz w:val="20"/>
          <w:szCs w:val="20"/>
          <w:color w:val="auto"/>
        </w:rPr>
      </w:pPr>
      <w:r>
        <w:rPr>
          <w:rFonts w:ascii="Arial" w:cs="Arial" w:eastAsia="Arial" w:hAnsi="Arial"/>
          <w:sz w:val="15"/>
          <w:szCs w:val="15"/>
          <w:color w:val="auto"/>
        </w:rPr>
        <w:t>2.7. “</w:t>
      </w:r>
      <w:r>
        <w:rPr>
          <w:rFonts w:ascii="Arial" w:cs="Arial" w:eastAsia="Arial" w:hAnsi="Arial"/>
          <w:sz w:val="15"/>
          <w:szCs w:val="15"/>
          <w:b w:val="1"/>
          <w:bCs w:val="1"/>
          <w:color w:val="auto"/>
        </w:rPr>
        <w:t>Applicable Law</w:t>
      </w:r>
      <w:r>
        <w:rPr>
          <w:rFonts w:ascii="Arial" w:cs="Arial" w:eastAsia="Arial" w:hAnsi="Arial"/>
          <w:sz w:val="15"/>
          <w:szCs w:val="15"/>
          <w:color w:val="auto"/>
        </w:rPr>
        <w:t>” shall mean any applicable law, rule, regulation, statute, pronouncement, policy, interpretation, judgment, order or decree of any federal, provincial, state or local governmental,</w:t>
      </w:r>
    </w:p>
    <w:p>
      <w:pPr>
        <w:spacing w:after="0" w:line="87" w:lineRule="exact"/>
        <w:rPr>
          <w:sz w:val="20"/>
          <w:szCs w:val="20"/>
          <w:color w:val="auto"/>
        </w:rPr>
      </w:pPr>
    </w:p>
    <w:p>
      <w:pPr>
        <w:jc w:val="center"/>
        <w:ind w:right="-9"/>
        <w:spacing w:after="0"/>
        <w:rPr>
          <w:sz w:val="20"/>
          <w:szCs w:val="20"/>
          <w:color w:val="auto"/>
        </w:rPr>
      </w:pPr>
      <w:r>
        <w:rPr>
          <w:rFonts w:ascii="Arial" w:cs="Arial" w:eastAsia="Arial" w:hAnsi="Arial"/>
          <w:sz w:val="15"/>
          <w:szCs w:val="15"/>
          <w:color w:val="auto"/>
        </w:rPr>
        <w:t>-22-</w:t>
      </w:r>
    </w:p>
    <w:p>
      <w:pPr>
        <w:sectPr>
          <w:pgSz w:w="11900" w:h="16838" w:orient="portrait"/>
          <w:cols w:equalWidth="0" w:num="1">
            <w:col w:w="11450"/>
          </w:cols>
          <w:pgMar w:left="230" w:top="249" w:right="219" w:bottom="1440" w:gutter="0" w:footer="0" w:header="0"/>
        </w:sectPr>
      </w:pPr>
    </w:p>
    <w:bookmarkStart w:id="270" w:name="page271"/>
    <w:bookmarkEnd w:id="270"/>
    <w:p>
      <w:pPr>
        <w:ind w:right="320"/>
        <w:spacing w:after="0" w:line="275"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133350</wp:posOffset>
            </wp:positionH>
            <wp:positionV relativeFrom="page">
              <wp:posOffset>88900</wp:posOffset>
            </wp:positionV>
            <wp:extent cx="7308850" cy="34290"/>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408">
                      <a:extLst>
                        <a:ext uri="{28A0092B-C50C-407E-A947-70E740481C1C}"/>
                      </a:extLst>
                    </a:blip>
                    <a:srcRect/>
                    <a:stretch>
                      <a:fillRect/>
                    </a:stretch>
                  </pic:blipFill>
                  <pic:spPr bwMode="auto">
                    <a:xfrm>
                      <a:off x="0" y="0"/>
                      <a:ext cx="7308850" cy="34290"/>
                    </a:xfrm>
                    <a:prstGeom prst="rect">
                      <a:avLst/>
                    </a:prstGeom>
                    <a:noFill/>
                  </pic:spPr>
                </pic:pic>
              </a:graphicData>
            </a:graphic>
          </wp:anchor>
        </w:drawing>
        <w:t>regulatory or adjudicative authority or agency, of any jurisdiction, and the rules and regulations of any stock exchange, over-the-counter market or trading system on which the common stock of the Company are then traded or listed.</w:t>
      </w:r>
    </w:p>
    <w:p>
      <w:pPr>
        <w:spacing w:after="0" w:line="142" w:lineRule="exact"/>
        <w:rPr>
          <w:sz w:val="20"/>
          <w:szCs w:val="20"/>
          <w:color w:val="auto"/>
        </w:rPr>
      </w:pPr>
    </w:p>
    <w:p>
      <w:pPr>
        <w:ind w:left="440"/>
        <w:spacing w:after="0"/>
        <w:tabs>
          <w:tab w:leader="none" w:pos="800" w:val="left"/>
        </w:tabs>
        <w:rPr>
          <w:sz w:val="20"/>
          <w:szCs w:val="20"/>
          <w:color w:val="auto"/>
        </w:rPr>
      </w:pPr>
      <w:r>
        <w:rPr>
          <w:rFonts w:ascii="Arial" w:cs="Arial" w:eastAsia="Arial" w:hAnsi="Arial"/>
          <w:sz w:val="15"/>
          <w:szCs w:val="15"/>
          <w:color w:val="auto"/>
        </w:rPr>
        <w:t>2.8.</w:t>
      </w:r>
      <w:r>
        <w:rPr>
          <w:sz w:val="20"/>
          <w:szCs w:val="20"/>
          <w:color w:val="auto"/>
        </w:rPr>
        <w:tab/>
      </w:r>
      <w:r>
        <w:rPr>
          <w:rFonts w:ascii="Arial" w:cs="Arial" w:eastAsia="Arial" w:hAnsi="Arial"/>
          <w:sz w:val="13"/>
          <w:szCs w:val="13"/>
          <w:color w:val="auto"/>
        </w:rPr>
        <w:t>“</w:t>
      </w:r>
      <w:r>
        <w:rPr>
          <w:rFonts w:ascii="Arial" w:cs="Arial" w:eastAsia="Arial" w:hAnsi="Arial"/>
          <w:sz w:val="13"/>
          <w:szCs w:val="13"/>
          <w:b w:val="1"/>
          <w:bCs w:val="1"/>
          <w:color w:val="auto"/>
        </w:rPr>
        <w:t>Controlling Stockholder</w:t>
      </w:r>
      <w:r>
        <w:rPr>
          <w:rFonts w:ascii="Arial" w:cs="Arial" w:eastAsia="Arial" w:hAnsi="Arial"/>
          <w:sz w:val="13"/>
          <w:szCs w:val="13"/>
          <w:color w:val="auto"/>
        </w:rPr>
        <w:t>” means a controlling stockholder of the Company as such term is defined in Section 32(9) of the Ordinance.</w:t>
      </w:r>
    </w:p>
    <w:p>
      <w:pPr>
        <w:spacing w:after="0" w:line="188" w:lineRule="exact"/>
        <w:rPr>
          <w:sz w:val="20"/>
          <w:szCs w:val="20"/>
          <w:color w:val="auto"/>
        </w:rPr>
      </w:pPr>
    </w:p>
    <w:p>
      <w:pPr>
        <w:ind w:left="440"/>
        <w:spacing w:after="0"/>
        <w:tabs>
          <w:tab w:leader="none" w:pos="800" w:val="left"/>
        </w:tabs>
        <w:rPr>
          <w:sz w:val="20"/>
          <w:szCs w:val="20"/>
          <w:color w:val="auto"/>
        </w:rPr>
      </w:pPr>
      <w:r>
        <w:rPr>
          <w:rFonts w:ascii="Arial" w:cs="Arial" w:eastAsia="Arial" w:hAnsi="Arial"/>
          <w:sz w:val="15"/>
          <w:szCs w:val="15"/>
          <w:color w:val="auto"/>
        </w:rPr>
        <w:t>2.9.</w:t>
      </w:r>
      <w:r>
        <w:rPr>
          <w:sz w:val="20"/>
          <w:szCs w:val="20"/>
          <w:color w:val="auto"/>
        </w:rPr>
        <w:tab/>
      </w:r>
      <w:r>
        <w:rPr>
          <w:rFonts w:ascii="Arial" w:cs="Arial" w:eastAsia="Arial" w:hAnsi="Arial"/>
          <w:sz w:val="13"/>
          <w:szCs w:val="13"/>
          <w:color w:val="auto"/>
        </w:rPr>
        <w:t>“</w:t>
      </w:r>
      <w:r>
        <w:rPr>
          <w:rFonts w:ascii="Arial" w:cs="Arial" w:eastAsia="Arial" w:hAnsi="Arial"/>
          <w:sz w:val="13"/>
          <w:szCs w:val="13"/>
          <w:b w:val="1"/>
          <w:bCs w:val="1"/>
          <w:color w:val="auto"/>
        </w:rPr>
        <w:t>Election</w:t>
      </w:r>
      <w:r>
        <w:rPr>
          <w:rFonts w:ascii="Arial" w:cs="Arial" w:eastAsia="Arial" w:hAnsi="Arial"/>
          <w:sz w:val="13"/>
          <w:szCs w:val="13"/>
          <w:color w:val="auto"/>
        </w:rPr>
        <w:t>” as defined in Section 3.2 below.</w:t>
      </w:r>
    </w:p>
    <w:p>
      <w:pPr>
        <w:spacing w:after="0" w:line="188" w:lineRule="exact"/>
        <w:rPr>
          <w:sz w:val="20"/>
          <w:szCs w:val="20"/>
          <w:color w:val="auto"/>
        </w:rPr>
      </w:pPr>
    </w:p>
    <w:p>
      <w:pPr>
        <w:ind w:right="80" w:firstLine="458"/>
        <w:spacing w:after="0" w:line="280" w:lineRule="auto"/>
        <w:rPr>
          <w:sz w:val="20"/>
          <w:szCs w:val="20"/>
          <w:color w:val="auto"/>
        </w:rPr>
      </w:pPr>
      <w:r>
        <w:rPr>
          <w:rFonts w:ascii="Arial" w:cs="Arial" w:eastAsia="Arial" w:hAnsi="Arial"/>
          <w:sz w:val="15"/>
          <w:szCs w:val="15"/>
          <w:color w:val="auto"/>
        </w:rPr>
        <w:t>2.10. “</w:t>
      </w:r>
      <w:r>
        <w:rPr>
          <w:rFonts w:ascii="Arial" w:cs="Arial" w:eastAsia="Arial" w:hAnsi="Arial"/>
          <w:sz w:val="15"/>
          <w:szCs w:val="15"/>
          <w:b w:val="1"/>
          <w:bCs w:val="1"/>
          <w:color w:val="auto"/>
        </w:rPr>
        <w:t>Israeli Employee</w:t>
      </w:r>
      <w:r>
        <w:rPr>
          <w:rFonts w:ascii="Arial" w:cs="Arial" w:eastAsia="Arial" w:hAnsi="Arial"/>
          <w:sz w:val="15"/>
          <w:szCs w:val="15"/>
          <w:color w:val="auto"/>
        </w:rPr>
        <w:t>” means either (i) an individual employed by an Israeli resident Subsidiary, or (ii) an individual who is serving and is engaged personally (and not through an entity) as an “office holder” by an Israeli resident Subsidiary, but in both cases, excluding any Controlling Stockholder.</w:t>
      </w:r>
    </w:p>
    <w:p>
      <w:pPr>
        <w:spacing w:after="0" w:line="139" w:lineRule="exact"/>
        <w:rPr>
          <w:sz w:val="20"/>
          <w:szCs w:val="20"/>
          <w:color w:val="auto"/>
        </w:rPr>
      </w:pPr>
    </w:p>
    <w:p>
      <w:pPr>
        <w:ind w:left="440"/>
        <w:spacing w:after="0"/>
        <w:tabs>
          <w:tab w:leader="none" w:pos="880" w:val="left"/>
        </w:tabs>
        <w:rPr>
          <w:sz w:val="20"/>
          <w:szCs w:val="20"/>
          <w:color w:val="auto"/>
        </w:rPr>
      </w:pPr>
      <w:r>
        <w:rPr>
          <w:rFonts w:ascii="Arial" w:cs="Arial" w:eastAsia="Arial" w:hAnsi="Arial"/>
          <w:sz w:val="15"/>
          <w:szCs w:val="15"/>
          <w:color w:val="auto"/>
        </w:rPr>
        <w:t>2.11.</w:t>
      </w:r>
      <w:r>
        <w:rPr>
          <w:sz w:val="20"/>
          <w:szCs w:val="20"/>
          <w:color w:val="auto"/>
        </w:rPr>
        <w:tab/>
      </w:r>
      <w:r>
        <w:rPr>
          <w:rFonts w:ascii="Arial" w:cs="Arial" w:eastAsia="Arial" w:hAnsi="Arial"/>
          <w:sz w:val="14"/>
          <w:szCs w:val="14"/>
          <w:color w:val="auto"/>
        </w:rPr>
        <w:t>“</w:t>
      </w:r>
      <w:r>
        <w:rPr>
          <w:rFonts w:ascii="Arial" w:cs="Arial" w:eastAsia="Arial" w:hAnsi="Arial"/>
          <w:sz w:val="14"/>
          <w:szCs w:val="14"/>
          <w:b w:val="1"/>
          <w:bCs w:val="1"/>
          <w:color w:val="auto"/>
        </w:rPr>
        <w:t>ITA</w:t>
      </w:r>
      <w:r>
        <w:rPr>
          <w:rFonts w:ascii="Arial" w:cs="Arial" w:eastAsia="Arial" w:hAnsi="Arial"/>
          <w:sz w:val="14"/>
          <w:szCs w:val="14"/>
          <w:color w:val="auto"/>
        </w:rPr>
        <w:t>” means the Israel Tax Authority</w:t>
      </w:r>
      <w:r>
        <w:rPr>
          <w:rFonts w:ascii="Arial" w:cs="Arial" w:eastAsia="Arial" w:hAnsi="Arial"/>
          <w:sz w:val="14"/>
          <w:szCs w:val="14"/>
          <w:b w:val="1"/>
          <w:bCs w:val="1"/>
          <w:color w:val="auto"/>
        </w:rPr>
        <w:t>.</w:t>
      </w:r>
    </w:p>
    <w:p>
      <w:pPr>
        <w:spacing w:after="0" w:line="188" w:lineRule="exact"/>
        <w:rPr>
          <w:sz w:val="20"/>
          <w:szCs w:val="20"/>
          <w:color w:val="auto"/>
        </w:rPr>
      </w:pPr>
    </w:p>
    <w:p>
      <w:pPr>
        <w:ind w:right="640" w:firstLine="458"/>
        <w:spacing w:after="0" w:line="280" w:lineRule="auto"/>
        <w:rPr>
          <w:sz w:val="20"/>
          <w:szCs w:val="20"/>
          <w:color w:val="auto"/>
        </w:rPr>
      </w:pPr>
      <w:r>
        <w:rPr>
          <w:rFonts w:ascii="Arial" w:cs="Arial" w:eastAsia="Arial" w:hAnsi="Arial"/>
          <w:sz w:val="15"/>
          <w:szCs w:val="15"/>
          <w:color w:val="auto"/>
        </w:rPr>
        <w:t>2.12. “</w:t>
      </w:r>
      <w:r>
        <w:rPr>
          <w:rFonts w:ascii="Arial" w:cs="Arial" w:eastAsia="Arial" w:hAnsi="Arial"/>
          <w:sz w:val="15"/>
          <w:szCs w:val="15"/>
          <w:b w:val="1"/>
          <w:bCs w:val="1"/>
          <w:color w:val="auto"/>
        </w:rPr>
        <w:t>Ordinance</w:t>
      </w:r>
      <w:r>
        <w:rPr>
          <w:rFonts w:ascii="Arial" w:cs="Arial" w:eastAsia="Arial" w:hAnsi="Arial"/>
          <w:sz w:val="15"/>
          <w:szCs w:val="15"/>
          <w:color w:val="auto"/>
        </w:rPr>
        <w:t>” means the Israeli Income Tax Ordinance (New Version), 1961, including the Rules and any other regulations, rules, orders or procedures promulgated thereunder, as may be amended or replaced from time to time.</w:t>
      </w:r>
    </w:p>
    <w:p>
      <w:pPr>
        <w:spacing w:after="0" w:line="139" w:lineRule="exact"/>
        <w:rPr>
          <w:sz w:val="20"/>
          <w:szCs w:val="20"/>
          <w:color w:val="auto"/>
        </w:rPr>
      </w:pPr>
    </w:p>
    <w:p>
      <w:pPr>
        <w:ind w:left="440"/>
        <w:spacing w:after="0"/>
        <w:tabs>
          <w:tab w:leader="none" w:pos="880" w:val="left"/>
        </w:tabs>
        <w:rPr>
          <w:sz w:val="20"/>
          <w:szCs w:val="20"/>
          <w:color w:val="auto"/>
        </w:rPr>
      </w:pPr>
      <w:r>
        <w:rPr>
          <w:rFonts w:ascii="Arial" w:cs="Arial" w:eastAsia="Arial" w:hAnsi="Arial"/>
          <w:sz w:val="15"/>
          <w:szCs w:val="15"/>
          <w:color w:val="auto"/>
        </w:rPr>
        <w:t>2.13.</w:t>
      </w:r>
      <w:r>
        <w:rPr>
          <w:sz w:val="20"/>
          <w:szCs w:val="20"/>
          <w:color w:val="auto"/>
        </w:rPr>
        <w:tab/>
      </w:r>
      <w:r>
        <w:rPr>
          <w:rFonts w:ascii="Arial" w:cs="Arial" w:eastAsia="Arial" w:hAnsi="Arial"/>
          <w:sz w:val="13"/>
          <w:szCs w:val="13"/>
          <w:color w:val="auto"/>
        </w:rPr>
        <w:t>“</w:t>
      </w:r>
      <w:r>
        <w:rPr>
          <w:rFonts w:ascii="Arial" w:cs="Arial" w:eastAsia="Arial" w:hAnsi="Arial"/>
          <w:sz w:val="13"/>
          <w:szCs w:val="13"/>
          <w:b w:val="1"/>
          <w:bCs w:val="1"/>
          <w:color w:val="auto"/>
        </w:rPr>
        <w:t>Required Holding Period</w:t>
      </w:r>
      <w:r>
        <w:rPr>
          <w:rFonts w:ascii="Arial" w:cs="Arial" w:eastAsia="Arial" w:hAnsi="Arial"/>
          <w:sz w:val="13"/>
          <w:szCs w:val="13"/>
          <w:color w:val="auto"/>
        </w:rPr>
        <w:t>” as defined in Section 3.5.1 below.</w:t>
      </w:r>
    </w:p>
    <w:p>
      <w:pPr>
        <w:spacing w:after="0" w:line="188" w:lineRule="exact"/>
        <w:rPr>
          <w:sz w:val="20"/>
          <w:szCs w:val="20"/>
          <w:color w:val="auto"/>
        </w:rPr>
      </w:pPr>
    </w:p>
    <w:p>
      <w:pPr>
        <w:ind w:left="440"/>
        <w:spacing w:after="0"/>
        <w:tabs>
          <w:tab w:leader="none" w:pos="880" w:val="left"/>
        </w:tabs>
        <w:rPr>
          <w:sz w:val="20"/>
          <w:szCs w:val="20"/>
          <w:color w:val="auto"/>
        </w:rPr>
      </w:pPr>
      <w:r>
        <w:rPr>
          <w:rFonts w:ascii="Arial" w:cs="Arial" w:eastAsia="Arial" w:hAnsi="Arial"/>
          <w:sz w:val="15"/>
          <w:szCs w:val="15"/>
          <w:color w:val="auto"/>
        </w:rPr>
        <w:t>2.14.</w:t>
      </w:r>
      <w:r>
        <w:rPr>
          <w:sz w:val="20"/>
          <w:szCs w:val="20"/>
          <w:color w:val="auto"/>
        </w:rPr>
        <w:tab/>
      </w:r>
      <w:r>
        <w:rPr>
          <w:rFonts w:ascii="Arial" w:cs="Arial" w:eastAsia="Arial" w:hAnsi="Arial"/>
          <w:sz w:val="13"/>
          <w:szCs w:val="13"/>
          <w:color w:val="auto"/>
        </w:rPr>
        <w:t>“</w:t>
      </w:r>
      <w:r>
        <w:rPr>
          <w:rFonts w:ascii="Arial" w:cs="Arial" w:eastAsia="Arial" w:hAnsi="Arial"/>
          <w:sz w:val="13"/>
          <w:szCs w:val="13"/>
          <w:b w:val="1"/>
          <w:bCs w:val="1"/>
          <w:color w:val="auto"/>
        </w:rPr>
        <w:t>Rules</w:t>
      </w:r>
      <w:r>
        <w:rPr>
          <w:rFonts w:ascii="Arial" w:cs="Arial" w:eastAsia="Arial" w:hAnsi="Arial"/>
          <w:sz w:val="13"/>
          <w:szCs w:val="13"/>
          <w:color w:val="auto"/>
        </w:rPr>
        <w:t>” means the Income Tax Rules (Tax Benefits in Stock Issuance to Employees) 5763-2003.</w:t>
      </w:r>
    </w:p>
    <w:p>
      <w:pPr>
        <w:spacing w:after="0" w:line="188" w:lineRule="exact"/>
        <w:rPr>
          <w:sz w:val="20"/>
          <w:szCs w:val="20"/>
          <w:color w:val="auto"/>
        </w:rPr>
      </w:pPr>
    </w:p>
    <w:p>
      <w:pPr>
        <w:ind w:left="440"/>
        <w:spacing w:after="0"/>
        <w:tabs>
          <w:tab w:leader="none" w:pos="880" w:val="left"/>
        </w:tabs>
        <w:rPr>
          <w:sz w:val="20"/>
          <w:szCs w:val="20"/>
          <w:color w:val="auto"/>
        </w:rPr>
      </w:pPr>
      <w:r>
        <w:rPr>
          <w:rFonts w:ascii="Arial" w:cs="Arial" w:eastAsia="Arial" w:hAnsi="Arial"/>
          <w:sz w:val="15"/>
          <w:szCs w:val="15"/>
          <w:color w:val="auto"/>
        </w:rPr>
        <w:t>2.15.</w:t>
      </w:r>
      <w:r>
        <w:rPr>
          <w:sz w:val="20"/>
          <w:szCs w:val="20"/>
          <w:color w:val="auto"/>
        </w:rPr>
        <w:tab/>
      </w:r>
      <w:r>
        <w:rPr>
          <w:rFonts w:ascii="Arial" w:cs="Arial" w:eastAsia="Arial" w:hAnsi="Arial"/>
          <w:sz w:val="13"/>
          <w:szCs w:val="13"/>
          <w:color w:val="auto"/>
        </w:rPr>
        <w:t>“</w:t>
      </w:r>
      <w:r>
        <w:rPr>
          <w:rFonts w:ascii="Arial" w:cs="Arial" w:eastAsia="Arial" w:hAnsi="Arial"/>
          <w:sz w:val="13"/>
          <w:szCs w:val="13"/>
          <w:b w:val="1"/>
          <w:bCs w:val="1"/>
          <w:color w:val="auto"/>
        </w:rPr>
        <w:t>Section 102</w:t>
      </w:r>
      <w:r>
        <w:rPr>
          <w:rFonts w:ascii="Arial" w:cs="Arial" w:eastAsia="Arial" w:hAnsi="Arial"/>
          <w:sz w:val="13"/>
          <w:szCs w:val="13"/>
          <w:color w:val="auto"/>
        </w:rPr>
        <w:t>” means Section 102 of the Ordinance.</w:t>
      </w:r>
    </w:p>
    <w:p>
      <w:pPr>
        <w:spacing w:after="0" w:line="188" w:lineRule="exact"/>
        <w:rPr>
          <w:sz w:val="20"/>
          <w:szCs w:val="20"/>
          <w:color w:val="auto"/>
        </w:rPr>
      </w:pPr>
    </w:p>
    <w:p>
      <w:pPr>
        <w:ind w:left="440"/>
        <w:spacing w:after="0"/>
        <w:tabs>
          <w:tab w:leader="none" w:pos="880" w:val="left"/>
        </w:tabs>
        <w:rPr>
          <w:sz w:val="20"/>
          <w:szCs w:val="20"/>
          <w:color w:val="auto"/>
        </w:rPr>
      </w:pPr>
      <w:r>
        <w:rPr>
          <w:rFonts w:ascii="Arial" w:cs="Arial" w:eastAsia="Arial" w:hAnsi="Arial"/>
          <w:sz w:val="15"/>
          <w:szCs w:val="15"/>
          <w:color w:val="auto"/>
        </w:rPr>
        <w:t>2.16.</w:t>
      </w:r>
      <w:r>
        <w:rPr>
          <w:sz w:val="20"/>
          <w:szCs w:val="20"/>
          <w:color w:val="auto"/>
        </w:rPr>
        <w:tab/>
      </w:r>
      <w:r>
        <w:rPr>
          <w:rFonts w:ascii="Arial" w:cs="Arial" w:eastAsia="Arial" w:hAnsi="Arial"/>
          <w:sz w:val="13"/>
          <w:szCs w:val="13"/>
          <w:color w:val="auto"/>
        </w:rPr>
        <w:t>“</w:t>
      </w:r>
      <w:r>
        <w:rPr>
          <w:rFonts w:ascii="Arial" w:cs="Arial" w:eastAsia="Arial" w:hAnsi="Arial"/>
          <w:sz w:val="13"/>
          <w:szCs w:val="13"/>
          <w:b w:val="1"/>
          <w:bCs w:val="1"/>
          <w:color w:val="auto"/>
        </w:rPr>
        <w:t>Trust Agreement</w:t>
      </w:r>
      <w:r>
        <w:rPr>
          <w:rFonts w:ascii="Arial" w:cs="Arial" w:eastAsia="Arial" w:hAnsi="Arial"/>
          <w:sz w:val="13"/>
          <w:szCs w:val="13"/>
          <w:color w:val="auto"/>
        </w:rPr>
        <w:t>” means the agreement to be signed between the Company, an Subsidiary and the Trustee for the purposes of Section 102.</w:t>
      </w:r>
    </w:p>
    <w:p>
      <w:pPr>
        <w:spacing w:after="0" w:line="188" w:lineRule="exact"/>
        <w:rPr>
          <w:sz w:val="20"/>
          <w:szCs w:val="20"/>
          <w:color w:val="auto"/>
        </w:rPr>
      </w:pPr>
    </w:p>
    <w:p>
      <w:pPr>
        <w:ind w:right="340" w:firstLine="458"/>
        <w:spacing w:after="0" w:line="280" w:lineRule="auto"/>
        <w:rPr>
          <w:sz w:val="20"/>
          <w:szCs w:val="20"/>
          <w:color w:val="auto"/>
        </w:rPr>
      </w:pPr>
      <w:r>
        <w:rPr>
          <w:rFonts w:ascii="Arial" w:cs="Arial" w:eastAsia="Arial" w:hAnsi="Arial"/>
          <w:sz w:val="15"/>
          <w:szCs w:val="15"/>
          <w:color w:val="auto"/>
        </w:rPr>
        <w:t>2.17. “</w:t>
      </w:r>
      <w:r>
        <w:rPr>
          <w:rFonts w:ascii="Arial" w:cs="Arial" w:eastAsia="Arial" w:hAnsi="Arial"/>
          <w:sz w:val="15"/>
          <w:szCs w:val="15"/>
          <w:b w:val="1"/>
          <w:bCs w:val="1"/>
          <w:color w:val="auto"/>
        </w:rPr>
        <w:t>Trustee</w:t>
      </w:r>
      <w:r>
        <w:rPr>
          <w:rFonts w:ascii="Arial" w:cs="Arial" w:eastAsia="Arial" w:hAnsi="Arial"/>
          <w:sz w:val="15"/>
          <w:szCs w:val="15"/>
          <w:color w:val="auto"/>
        </w:rPr>
        <w:t>” means the trustee appointed by the Company’s Board of Directors and/or by the Committee to serve as trustee pursuant to the provisions of Section 102 of the Ordinance and approved by the ITA.</w:t>
      </w:r>
    </w:p>
    <w:p>
      <w:pPr>
        <w:spacing w:after="0" w:line="139" w:lineRule="exact"/>
        <w:rPr>
          <w:sz w:val="20"/>
          <w:szCs w:val="20"/>
          <w:color w:val="auto"/>
        </w:rPr>
      </w:pPr>
    </w:p>
    <w:p>
      <w:pPr>
        <w:ind w:left="440"/>
        <w:spacing w:after="0"/>
        <w:tabs>
          <w:tab w:leader="none" w:pos="880" w:val="left"/>
        </w:tabs>
        <w:rPr>
          <w:sz w:val="20"/>
          <w:szCs w:val="20"/>
          <w:color w:val="auto"/>
        </w:rPr>
      </w:pPr>
      <w:r>
        <w:rPr>
          <w:rFonts w:ascii="Arial" w:cs="Arial" w:eastAsia="Arial" w:hAnsi="Arial"/>
          <w:sz w:val="15"/>
          <w:szCs w:val="15"/>
          <w:color w:val="auto"/>
        </w:rPr>
        <w:t>2.18.</w:t>
      </w:r>
      <w:r>
        <w:rPr>
          <w:sz w:val="20"/>
          <w:szCs w:val="20"/>
          <w:color w:val="auto"/>
        </w:rPr>
        <w:tab/>
      </w:r>
      <w:r>
        <w:rPr>
          <w:rFonts w:ascii="Arial" w:cs="Arial" w:eastAsia="Arial" w:hAnsi="Arial"/>
          <w:sz w:val="13"/>
          <w:szCs w:val="13"/>
          <w:color w:val="auto"/>
        </w:rPr>
        <w:t>“</w:t>
      </w:r>
      <w:r>
        <w:rPr>
          <w:rFonts w:ascii="Arial" w:cs="Arial" w:eastAsia="Arial" w:hAnsi="Arial"/>
          <w:sz w:val="13"/>
          <w:szCs w:val="13"/>
          <w:b w:val="1"/>
          <w:bCs w:val="1"/>
          <w:color w:val="auto"/>
        </w:rPr>
        <w:t>Withholding Obligations</w:t>
      </w:r>
      <w:r>
        <w:rPr>
          <w:rFonts w:ascii="Arial" w:cs="Arial" w:eastAsia="Arial" w:hAnsi="Arial"/>
          <w:sz w:val="13"/>
          <w:szCs w:val="13"/>
          <w:color w:val="auto"/>
        </w:rPr>
        <w:t>” as defined in Section 5.5 below.</w:t>
      </w:r>
    </w:p>
    <w:p>
      <w:pPr>
        <w:spacing w:after="0" w:line="279" w:lineRule="exact"/>
        <w:rPr>
          <w:sz w:val="20"/>
          <w:szCs w:val="20"/>
          <w:color w:val="auto"/>
        </w:rPr>
      </w:pPr>
    </w:p>
    <w:p>
      <w:pPr>
        <w:spacing w:after="0"/>
        <w:tabs>
          <w:tab w:leader="none" w:pos="240" w:val="left"/>
        </w:tabs>
        <w:rPr>
          <w:sz w:val="20"/>
          <w:szCs w:val="20"/>
          <w:color w:val="auto"/>
        </w:rPr>
      </w:pPr>
      <w:r>
        <w:rPr>
          <w:rFonts w:ascii="Arial" w:cs="Arial" w:eastAsia="Arial" w:hAnsi="Arial"/>
          <w:sz w:val="15"/>
          <w:szCs w:val="15"/>
          <w:b w:val="1"/>
          <w:bCs w:val="1"/>
          <w:color w:val="auto"/>
        </w:rPr>
        <w:t>3.</w:t>
      </w:r>
      <w:r>
        <w:rPr>
          <w:sz w:val="20"/>
          <w:szCs w:val="20"/>
          <w:color w:val="auto"/>
        </w:rPr>
        <w:tab/>
      </w:r>
      <w:r>
        <w:rPr>
          <w:rFonts w:ascii="Arial" w:cs="Arial" w:eastAsia="Arial" w:hAnsi="Arial"/>
          <w:sz w:val="13"/>
          <w:szCs w:val="13"/>
          <w:b w:val="1"/>
          <w:bCs w:val="1"/>
          <w:color w:val="auto"/>
        </w:rPr>
        <w:t>102 AWARDS</w:t>
      </w:r>
    </w:p>
    <w:p>
      <w:pPr>
        <w:spacing w:after="0" w:line="102" w:lineRule="exact"/>
        <w:rPr>
          <w:sz w:val="20"/>
          <w:szCs w:val="20"/>
          <w:color w:val="auto"/>
        </w:rPr>
      </w:pPr>
    </w:p>
    <w:p>
      <w:pPr>
        <w:ind w:firstLine="458"/>
        <w:spacing w:after="0" w:line="259" w:lineRule="auto"/>
        <w:rPr>
          <w:sz w:val="20"/>
          <w:szCs w:val="20"/>
          <w:color w:val="auto"/>
        </w:rPr>
      </w:pPr>
      <w:r>
        <w:rPr>
          <w:rFonts w:ascii="Arial" w:cs="Arial" w:eastAsia="Arial" w:hAnsi="Arial"/>
          <w:sz w:val="15"/>
          <w:szCs w:val="15"/>
          <w:color w:val="auto"/>
        </w:rPr>
        <w:t xml:space="preserve">3.1. </w:t>
      </w:r>
      <w:r>
        <w:rPr>
          <w:rFonts w:ascii="Arial" w:cs="Arial" w:eastAsia="Arial" w:hAnsi="Arial"/>
          <w:sz w:val="15"/>
          <w:szCs w:val="15"/>
          <w:u w:val="single" w:color="auto"/>
          <w:color w:val="auto"/>
        </w:rPr>
        <w:t>Trustee Tax Tracks</w:t>
      </w:r>
      <w:r>
        <w:rPr>
          <w:rFonts w:ascii="Arial" w:cs="Arial" w:eastAsia="Arial" w:hAnsi="Arial"/>
          <w:sz w:val="15"/>
          <w:szCs w:val="15"/>
          <w:color w:val="auto"/>
        </w:rPr>
        <w:t>. Awards granted as 102 Trustee Awards are intended to be granted as either 102 Capital Gain Track Awards or 102 Ordinary Income Track Awards. 102 Trustee Awards shall be granted subject to the special terms and conditions contained in this Section 3 and the general terms and conditions of the Plan, Section 102 and the Rules, except for any provisions of the Plan applying to Awards under different tax laws or regulations. The classification of any 102 Award shall be subject to and conditions upon compliance with the provisions of Applicable Law including the Ordinance and the Rules and any guidelines from the ITA.</w:t>
      </w:r>
    </w:p>
    <w:p>
      <w:pPr>
        <w:spacing w:after="0" w:line="158" w:lineRule="exact"/>
        <w:rPr>
          <w:sz w:val="20"/>
          <w:szCs w:val="20"/>
          <w:color w:val="auto"/>
        </w:rPr>
      </w:pPr>
    </w:p>
    <w:p>
      <w:pPr>
        <w:ind w:right="20" w:firstLine="458"/>
        <w:spacing w:after="0" w:line="259" w:lineRule="auto"/>
        <w:rPr>
          <w:sz w:val="20"/>
          <w:szCs w:val="20"/>
          <w:color w:val="auto"/>
        </w:rPr>
      </w:pPr>
      <w:r>
        <w:rPr>
          <w:rFonts w:ascii="Arial" w:cs="Arial" w:eastAsia="Arial" w:hAnsi="Arial"/>
          <w:sz w:val="15"/>
          <w:szCs w:val="15"/>
          <w:color w:val="auto"/>
        </w:rPr>
        <w:t xml:space="preserve">3.2. </w:t>
      </w:r>
      <w:r>
        <w:rPr>
          <w:rFonts w:ascii="Arial" w:cs="Arial" w:eastAsia="Arial" w:hAnsi="Arial"/>
          <w:sz w:val="15"/>
          <w:szCs w:val="15"/>
          <w:u w:val="single" w:color="auto"/>
          <w:color w:val="auto"/>
        </w:rPr>
        <w:t>Election of Track</w:t>
      </w:r>
      <w:r>
        <w:rPr>
          <w:rFonts w:ascii="Arial" w:cs="Arial" w:eastAsia="Arial" w:hAnsi="Arial"/>
          <w:sz w:val="15"/>
          <w:szCs w:val="15"/>
          <w:color w:val="auto"/>
        </w:rPr>
        <w:t>. Subject to Applicable Law, the Company may grant only one type of 102 Trustee Award at any given time to all Participants who are to be granted 102 Trustee Awards pursuant to this Appendix, and shall file an election with the ITA regarding the type of 102 Trustee Award it elects to grant before the date of grant of any 102 Trustee Award (the “</w:t>
      </w:r>
      <w:r>
        <w:rPr>
          <w:rFonts w:ascii="Arial" w:cs="Arial" w:eastAsia="Arial" w:hAnsi="Arial"/>
          <w:sz w:val="15"/>
          <w:szCs w:val="15"/>
          <w:b w:val="1"/>
          <w:bCs w:val="1"/>
          <w:color w:val="auto"/>
        </w:rPr>
        <w:t>Election</w:t>
      </w:r>
      <w:r>
        <w:rPr>
          <w:rFonts w:ascii="Arial" w:cs="Arial" w:eastAsia="Arial" w:hAnsi="Arial"/>
          <w:sz w:val="15"/>
          <w:szCs w:val="15"/>
          <w:color w:val="auto"/>
        </w:rPr>
        <w:t>”). Such Election shall also apply to any other securities received by any Participant as a result of holding the 102 Trustee Awards. The Company may change the type of 102 Trustee Award that it elects to grant only after the expiration of at least 12 months</w:t>
      </w:r>
    </w:p>
    <w:p>
      <w:pPr>
        <w:spacing w:after="0" w:line="101"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-23-</w:t>
      </w:r>
    </w:p>
    <w:p>
      <w:pPr>
        <w:sectPr>
          <w:pgSz w:w="11900" w:h="16838" w:orient="portrait"/>
          <w:cols w:equalWidth="0" w:num="1">
            <w:col w:w="11400"/>
          </w:cols>
          <w:pgMar w:left="240" w:top="253" w:right="259" w:bottom="1440" w:gutter="0" w:footer="0" w:header="0"/>
        </w:sectPr>
      </w:pPr>
    </w:p>
    <w:bookmarkStart w:id="271" w:name="page272"/>
    <w:bookmarkEnd w:id="271"/>
    <w:p>
      <w:pPr>
        <w:ind w:right="580"/>
        <w:spacing w:after="0" w:line="275"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133350</wp:posOffset>
            </wp:positionH>
            <wp:positionV relativeFrom="page">
              <wp:posOffset>88900</wp:posOffset>
            </wp:positionV>
            <wp:extent cx="7308850" cy="34290"/>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409">
                      <a:extLst>
                        <a:ext uri="{28A0092B-C50C-407E-A947-70E740481C1C}"/>
                      </a:extLst>
                    </a:blip>
                    <a:srcRect/>
                    <a:stretch>
                      <a:fillRect/>
                    </a:stretch>
                  </pic:blipFill>
                  <pic:spPr bwMode="auto">
                    <a:xfrm>
                      <a:off x="0" y="0"/>
                      <a:ext cx="7308850" cy="34290"/>
                    </a:xfrm>
                    <a:prstGeom prst="rect">
                      <a:avLst/>
                    </a:prstGeom>
                    <a:noFill/>
                  </pic:spPr>
                </pic:pic>
              </a:graphicData>
            </a:graphic>
          </wp:anchor>
        </w:drawing>
        <w:t>from the end of the year in which the first grant was made in accordance with the previous Election, or as otherwise provided by Applicable Law. Any Election shall not prevent the Company from granting 102 Non-Trustee Awards.</w:t>
      </w:r>
    </w:p>
    <w:p>
      <w:pPr>
        <w:spacing w:after="0" w:line="146" w:lineRule="exact"/>
        <w:rPr>
          <w:sz w:val="20"/>
          <w:szCs w:val="20"/>
          <w:color w:val="auto"/>
        </w:rPr>
      </w:pPr>
    </w:p>
    <w:p>
      <w:pPr>
        <w:ind w:right="20" w:firstLine="458"/>
        <w:spacing w:after="0" w:line="275" w:lineRule="auto"/>
        <w:rPr>
          <w:sz w:val="20"/>
          <w:szCs w:val="20"/>
          <w:color w:val="auto"/>
        </w:rPr>
      </w:pPr>
      <w:r>
        <w:rPr>
          <w:rFonts w:ascii="Arial" w:cs="Arial" w:eastAsia="Arial" w:hAnsi="Arial"/>
          <w:sz w:val="15"/>
          <w:szCs w:val="15"/>
          <w:color w:val="auto"/>
        </w:rPr>
        <w:t xml:space="preserve">3.3. </w:t>
      </w:r>
      <w:r>
        <w:rPr>
          <w:rFonts w:ascii="Arial" w:cs="Arial" w:eastAsia="Arial" w:hAnsi="Arial"/>
          <w:sz w:val="15"/>
          <w:szCs w:val="15"/>
          <w:u w:val="single" w:color="auto"/>
          <w:color w:val="auto"/>
        </w:rPr>
        <w:t>Eligibility for Awards</w:t>
      </w:r>
      <w:r>
        <w:rPr>
          <w:rFonts w:ascii="Arial" w:cs="Arial" w:eastAsia="Arial" w:hAnsi="Arial"/>
          <w:sz w:val="15"/>
          <w:szCs w:val="15"/>
          <w:color w:val="auto"/>
        </w:rPr>
        <w:t>. Subject to Applicable Law, 102 Awards may only be granted to Israeli Employees. Such 102 Awards may either be granted to a Trustee or granted under Section 102(c) without a Trustee.</w:t>
      </w:r>
    </w:p>
    <w:p>
      <w:pPr>
        <w:spacing w:after="0" w:line="146" w:lineRule="exact"/>
        <w:rPr>
          <w:sz w:val="20"/>
          <w:szCs w:val="20"/>
          <w:color w:val="auto"/>
        </w:rPr>
      </w:pPr>
    </w:p>
    <w:p>
      <w:pPr>
        <w:ind w:left="440"/>
        <w:spacing w:after="0"/>
        <w:tabs>
          <w:tab w:leader="none" w:pos="800" w:val="left"/>
        </w:tabs>
        <w:rPr>
          <w:sz w:val="20"/>
          <w:szCs w:val="20"/>
          <w:color w:val="auto"/>
        </w:rPr>
      </w:pPr>
      <w:r>
        <w:rPr>
          <w:rFonts w:ascii="Arial" w:cs="Arial" w:eastAsia="Arial" w:hAnsi="Arial"/>
          <w:sz w:val="15"/>
          <w:szCs w:val="15"/>
          <w:color w:val="auto"/>
        </w:rPr>
        <w:t>3.4.</w:t>
      </w:r>
      <w:r>
        <w:rPr>
          <w:sz w:val="20"/>
          <w:szCs w:val="20"/>
          <w:color w:val="auto"/>
        </w:rPr>
        <w:tab/>
      </w:r>
      <w:r>
        <w:rPr>
          <w:rFonts w:ascii="Arial" w:cs="Arial" w:eastAsia="Arial" w:hAnsi="Arial"/>
          <w:sz w:val="13"/>
          <w:szCs w:val="13"/>
          <w:u w:val="single" w:color="auto"/>
          <w:color w:val="auto"/>
        </w:rPr>
        <w:t>102 Award Grant Date</w:t>
      </w:r>
      <w:r>
        <w:rPr>
          <w:rFonts w:ascii="Arial" w:cs="Arial" w:eastAsia="Arial" w:hAnsi="Arial"/>
          <w:sz w:val="13"/>
          <w:szCs w:val="13"/>
          <w:color w:val="auto"/>
        </w:rPr>
        <w:t>.</w:t>
      </w:r>
    </w:p>
    <w:p>
      <w:pPr>
        <w:spacing w:after="0" w:line="188" w:lineRule="exact"/>
        <w:rPr>
          <w:sz w:val="20"/>
          <w:szCs w:val="20"/>
          <w:color w:val="auto"/>
        </w:rPr>
      </w:pPr>
    </w:p>
    <w:p>
      <w:pPr>
        <w:ind w:left="900"/>
        <w:spacing w:after="0"/>
        <w:tabs>
          <w:tab w:leader="none" w:pos="1380" w:val="left"/>
        </w:tabs>
        <w:rPr>
          <w:sz w:val="20"/>
          <w:szCs w:val="20"/>
          <w:color w:val="auto"/>
        </w:rPr>
      </w:pPr>
      <w:r>
        <w:rPr>
          <w:rFonts w:ascii="Arial" w:cs="Arial" w:eastAsia="Arial" w:hAnsi="Arial"/>
          <w:sz w:val="15"/>
          <w:szCs w:val="15"/>
          <w:color w:val="auto"/>
        </w:rPr>
        <w:t>3.4.1.</w:t>
      </w:r>
      <w:r>
        <w:rPr>
          <w:sz w:val="20"/>
          <w:szCs w:val="20"/>
          <w:color w:val="auto"/>
        </w:rPr>
        <w:tab/>
      </w:r>
      <w:r>
        <w:rPr>
          <w:rFonts w:ascii="Arial" w:cs="Arial" w:eastAsia="Arial" w:hAnsi="Arial"/>
          <w:sz w:val="13"/>
          <w:szCs w:val="13"/>
          <w:color w:val="auto"/>
        </w:rPr>
        <w:t>Each 102 Award will be deemed granted on the date determined by the Committee, subject to the provisions of the Plan.</w:t>
      </w:r>
    </w:p>
    <w:p>
      <w:pPr>
        <w:spacing w:after="0" w:line="188" w:lineRule="exact"/>
        <w:rPr>
          <w:sz w:val="20"/>
          <w:szCs w:val="20"/>
          <w:color w:val="auto"/>
        </w:rPr>
      </w:pPr>
    </w:p>
    <w:p>
      <w:pPr>
        <w:ind w:right="20" w:firstLine="916"/>
        <w:spacing w:after="0" w:line="255" w:lineRule="auto"/>
        <w:rPr>
          <w:sz w:val="20"/>
          <w:szCs w:val="20"/>
          <w:color w:val="auto"/>
        </w:rPr>
      </w:pPr>
      <w:r>
        <w:rPr>
          <w:rFonts w:ascii="Arial" w:cs="Arial" w:eastAsia="Arial" w:hAnsi="Arial"/>
          <w:sz w:val="15"/>
          <w:szCs w:val="15"/>
          <w:color w:val="auto"/>
        </w:rPr>
        <w:t>3.4.2. Unless otherwise permitted by the Ordinance or by a tax ruling issued by the ITA, any grants of 102 Trustee Awards that are made on or after the date of the adoption of the Plan and this Appendix shall become effective only at the expiration of thirty (30) days after the filing of the Plan and this Appendix with the ITA, and such condition shall be read and is incorporated by reference into the Plan, any corporate resolutions approving such grants and into any Award Agreement evidencing such grants (whether or not explicitly referring to such condition), and the date of grant shall be at the expiration of such 30-day period, whether or not the date of grant indicated therein corresponds with this Section. In the case of any contradiction, this provision and the date of grant determined pursuant hereto shall supersede and be deemed to amend any date of grant indicated in any corporate resolution or Award Agreement.</w:t>
      </w:r>
    </w:p>
    <w:p>
      <w:pPr>
        <w:spacing w:after="0" w:line="164" w:lineRule="exact"/>
        <w:rPr>
          <w:sz w:val="20"/>
          <w:szCs w:val="20"/>
          <w:color w:val="auto"/>
        </w:rPr>
      </w:pPr>
    </w:p>
    <w:p>
      <w:pPr>
        <w:ind w:left="440"/>
        <w:spacing w:after="0"/>
        <w:tabs>
          <w:tab w:leader="none" w:pos="800" w:val="left"/>
        </w:tabs>
        <w:rPr>
          <w:sz w:val="20"/>
          <w:szCs w:val="20"/>
          <w:color w:val="auto"/>
        </w:rPr>
      </w:pPr>
      <w:r>
        <w:rPr>
          <w:rFonts w:ascii="Arial" w:cs="Arial" w:eastAsia="Arial" w:hAnsi="Arial"/>
          <w:sz w:val="15"/>
          <w:szCs w:val="15"/>
          <w:color w:val="auto"/>
        </w:rPr>
        <w:t>3.5.</w:t>
      </w:r>
      <w:r>
        <w:rPr>
          <w:sz w:val="20"/>
          <w:szCs w:val="20"/>
          <w:color w:val="auto"/>
        </w:rPr>
        <w:tab/>
      </w:r>
      <w:r>
        <w:rPr>
          <w:rFonts w:ascii="Arial" w:cs="Arial" w:eastAsia="Arial" w:hAnsi="Arial"/>
          <w:sz w:val="13"/>
          <w:szCs w:val="13"/>
          <w:u w:val="single" w:color="auto"/>
          <w:color w:val="auto"/>
        </w:rPr>
        <w:t>102 Trustee Awards</w:t>
      </w:r>
      <w:r>
        <w:rPr>
          <w:rFonts w:ascii="Arial" w:cs="Arial" w:eastAsia="Arial" w:hAnsi="Arial"/>
          <w:sz w:val="13"/>
          <w:szCs w:val="13"/>
          <w:color w:val="auto"/>
        </w:rPr>
        <w:t>.</w:t>
      </w:r>
    </w:p>
    <w:p>
      <w:pPr>
        <w:spacing w:after="0" w:line="188" w:lineRule="exact"/>
        <w:rPr>
          <w:sz w:val="20"/>
          <w:szCs w:val="20"/>
          <w:color w:val="auto"/>
        </w:rPr>
      </w:pPr>
    </w:p>
    <w:p>
      <w:pPr>
        <w:ind w:right="120" w:firstLine="916"/>
        <w:spacing w:after="0" w:line="263" w:lineRule="auto"/>
        <w:rPr>
          <w:sz w:val="20"/>
          <w:szCs w:val="20"/>
          <w:color w:val="auto"/>
        </w:rPr>
      </w:pPr>
      <w:r>
        <w:rPr>
          <w:rFonts w:ascii="Arial" w:cs="Arial" w:eastAsia="Arial" w:hAnsi="Arial"/>
          <w:sz w:val="15"/>
          <w:szCs w:val="15"/>
          <w:color w:val="auto"/>
        </w:rPr>
        <w:t>3.5.1. Each 102 Trustee Award, each share of Common Stock issued pursuant to the grant, exercise or vesting of any 102 Trustee Award and any rights granted thereunder, shall be allocated or issued to and registered in the name of the Trustee and shall be held in trust or controlled by the Trustee for the benefit of the Participant for the requisite period prescribed by the Ordinance or such longer period as set by the Committee (the “</w:t>
      </w:r>
      <w:r>
        <w:rPr>
          <w:rFonts w:ascii="Arial" w:cs="Arial" w:eastAsia="Arial" w:hAnsi="Arial"/>
          <w:sz w:val="15"/>
          <w:szCs w:val="15"/>
          <w:b w:val="1"/>
          <w:bCs w:val="1"/>
          <w:color w:val="auto"/>
        </w:rPr>
        <w:t>Required Holding Period</w:t>
      </w:r>
      <w:r>
        <w:rPr>
          <w:rFonts w:ascii="Arial" w:cs="Arial" w:eastAsia="Arial" w:hAnsi="Arial"/>
          <w:sz w:val="15"/>
          <w:szCs w:val="15"/>
          <w:color w:val="auto"/>
        </w:rPr>
        <w:t>”).</w:t>
      </w:r>
    </w:p>
    <w:p>
      <w:pPr>
        <w:spacing w:after="0" w:line="155" w:lineRule="exact"/>
        <w:rPr>
          <w:sz w:val="20"/>
          <w:szCs w:val="20"/>
          <w:color w:val="auto"/>
        </w:rPr>
      </w:pPr>
    </w:p>
    <w:p>
      <w:pPr>
        <w:ind w:firstLine="916"/>
        <w:spacing w:after="0" w:line="283" w:lineRule="auto"/>
        <w:rPr>
          <w:sz w:val="20"/>
          <w:szCs w:val="20"/>
          <w:color w:val="auto"/>
        </w:rPr>
      </w:pPr>
      <w:r>
        <w:rPr>
          <w:rFonts w:ascii="Arial" w:cs="Arial" w:eastAsia="Arial" w:hAnsi="Arial"/>
          <w:sz w:val="14"/>
          <w:szCs w:val="14"/>
          <w:color w:val="auto"/>
        </w:rPr>
        <w:t>3.5.2. In the event that the requirements under Section 102 to qualify an Award as a 102 Trustee Award are not met, then the Award may be treated as a 102 Non-Trustee Award or shall be subject to tax under Section 3(i) or 2 of the Ordinance (as determined by the Company), all in accordance with the provisions of the Ordinance. Subject to the provisions of Section 102 and the Rules, the Trustee shall not release any 102 Trustee Awards or shares of Common Stock issued in connection with a Trustee 102 Award prior to the payment in full of the Participant’s tax and compulsory payments arising from such 102 Trustee Awards and/or shares of Common Stock.</w:t>
      </w:r>
    </w:p>
    <w:p>
      <w:pPr>
        <w:spacing w:after="0" w:line="53" w:lineRule="exact"/>
        <w:rPr>
          <w:sz w:val="20"/>
          <w:szCs w:val="20"/>
          <w:color w:val="auto"/>
        </w:rPr>
      </w:pPr>
    </w:p>
    <w:p>
      <w:pPr>
        <w:ind w:right="40" w:firstLine="916"/>
        <w:spacing w:after="0" w:line="277" w:lineRule="auto"/>
        <w:rPr>
          <w:sz w:val="20"/>
          <w:szCs w:val="20"/>
          <w:color w:val="auto"/>
        </w:rPr>
      </w:pPr>
      <w:r>
        <w:rPr>
          <w:rFonts w:ascii="Arial" w:cs="Arial" w:eastAsia="Arial" w:hAnsi="Arial"/>
          <w:sz w:val="14"/>
          <w:szCs w:val="14"/>
          <w:color w:val="auto"/>
        </w:rPr>
        <w:t>3.5.3. Each 102 Trustee Award shall be subject to the relevant terms of the Ordinance, the Rules and any determinations, rulings or approvals issued by the ITA, which shall be deemed an integral part of the 102 Trustee Awards and shall prevail over any term contained in the Plan, this Appendix or the Award Agreement that is not consistent therewith. Any provision of the Ordinance, the Rules and any determinations, rulings or approvals by the ITA not expressly specified in the Plan, this Appendix or Award Agreement that are necessary to receive or maintain any tax benefit pursuant to Section 102 shall be binding on the Participant. The Participant granted a 102 Trustee Award shall comply with the Ordinance and the terms and conditions of the Trust Agreement entered into between the Company and the Trustee. The Participant shall execute any and all documents that the Company and/or the Subsidiary and/or the Trustee determine from time to time to be necessary in order to comply with the Ordinance and the Rules.</w:t>
      </w:r>
    </w:p>
    <w:p>
      <w:pPr>
        <w:spacing w:after="0" w:line="148" w:lineRule="exact"/>
        <w:rPr>
          <w:sz w:val="20"/>
          <w:szCs w:val="20"/>
          <w:color w:val="auto"/>
        </w:rPr>
      </w:pPr>
    </w:p>
    <w:p>
      <w:pPr>
        <w:ind w:left="900"/>
        <w:spacing w:after="0"/>
        <w:tabs>
          <w:tab w:leader="none" w:pos="1380" w:val="left"/>
        </w:tabs>
        <w:rPr>
          <w:sz w:val="20"/>
          <w:szCs w:val="20"/>
          <w:color w:val="auto"/>
        </w:rPr>
      </w:pPr>
      <w:r>
        <w:rPr>
          <w:rFonts w:ascii="Arial" w:cs="Arial" w:eastAsia="Arial" w:hAnsi="Arial"/>
          <w:sz w:val="15"/>
          <w:szCs w:val="15"/>
          <w:color w:val="auto"/>
        </w:rPr>
        <w:t>3.5.4.</w:t>
      </w:r>
      <w:r>
        <w:rPr>
          <w:sz w:val="20"/>
          <w:szCs w:val="20"/>
          <w:color w:val="auto"/>
        </w:rPr>
        <w:tab/>
      </w:r>
      <w:r>
        <w:rPr>
          <w:rFonts w:ascii="Arial" w:cs="Arial" w:eastAsia="Arial" w:hAnsi="Arial"/>
          <w:sz w:val="13"/>
          <w:szCs w:val="13"/>
          <w:color w:val="auto"/>
        </w:rPr>
        <w:t>During the Required Holding Period, the Participant shall not release from trust or</w:t>
      </w:r>
    </w:p>
    <w:p>
      <w:pPr>
        <w:spacing w:after="0" w:line="132" w:lineRule="exact"/>
        <w:rPr>
          <w:sz w:val="20"/>
          <w:szCs w:val="20"/>
          <w:color w:val="auto"/>
        </w:rPr>
      </w:pPr>
    </w:p>
    <w:p>
      <w:pPr>
        <w:ind w:left="5580"/>
        <w:spacing w:after="0"/>
        <w:rPr>
          <w:sz w:val="20"/>
          <w:szCs w:val="20"/>
          <w:color w:val="auto"/>
        </w:rPr>
      </w:pPr>
      <w:r>
        <w:rPr>
          <w:rFonts w:ascii="Arial" w:cs="Arial" w:eastAsia="Arial" w:hAnsi="Arial"/>
          <w:sz w:val="15"/>
          <w:szCs w:val="15"/>
          <w:color w:val="auto"/>
        </w:rPr>
        <w:t>-24-</w:t>
      </w:r>
    </w:p>
    <w:p>
      <w:pPr>
        <w:sectPr>
          <w:pgSz w:w="11900" w:h="16838" w:orient="portrait"/>
          <w:cols w:equalWidth="0" w:num="1">
            <w:col w:w="11420"/>
          </w:cols>
          <w:pgMar w:left="240" w:top="253" w:right="239" w:bottom="1440" w:gutter="0" w:footer="0" w:header="0"/>
        </w:sectPr>
      </w:pPr>
    </w:p>
    <w:bookmarkStart w:id="272" w:name="page273"/>
    <w:bookmarkEnd w:id="272"/>
    <w:p>
      <w:pPr>
        <w:ind w:left="10" w:right="40"/>
        <w:spacing w:after="0" w:line="275" w:lineRule="auto"/>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133350</wp:posOffset>
            </wp:positionH>
            <wp:positionV relativeFrom="page">
              <wp:posOffset>88900</wp:posOffset>
            </wp:positionV>
            <wp:extent cx="7308850" cy="34290"/>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410">
                      <a:extLst>
                        <a:ext uri="{28A0092B-C50C-407E-A947-70E740481C1C}"/>
                      </a:extLst>
                    </a:blip>
                    <a:srcRect/>
                    <a:stretch>
                      <a:fillRect/>
                    </a:stretch>
                  </pic:blipFill>
                  <pic:spPr bwMode="auto">
                    <a:xfrm>
                      <a:off x="0" y="0"/>
                      <a:ext cx="7308850" cy="34290"/>
                    </a:xfrm>
                    <a:prstGeom prst="rect">
                      <a:avLst/>
                    </a:prstGeom>
                    <a:noFill/>
                  </pic:spPr>
                </pic:pic>
              </a:graphicData>
            </a:graphic>
          </wp:anchor>
        </w:drawing>
        <w:t>sell, assign, transfer or give as collateral, the shares of Common Stock issued in connection with a 102 Trustee Award and/or any securities issued or distributed with respect thereto, until the expiration of the Required Holding Period. Notwithstanding the above, if any such sale, release or other action occurs during the Required Holding Period it may result in adverse tax consequences to the Participant under Section 102 and the Rules, which shall apply to and shall be borne solely by such Participant. Subject to the foregoing, the Trustee may, pursuant to a written request from the Participant, but subject to the terms of the Plan and this Appendix, release and transfer such shares of Common Stock to a designated third party, provided that both of the following conditions have been fulfilled prior to such release or transfer: (i) payment has been made to the ITA of all taxes and compulsory payments required to be paid upon the release and transfer of the shares of Common Stock, and confirmation of such payment has been received by the Trustee and the Company, and (ii) the Trustee has received written confirmation from the Company that all requirements for such release and transfer have been fulfilled according to the terms of the Company’s corporate documents, any agreement governing the shares of Common Stock, the Plan, this Appendix, the Award Agreement and any Applicable Law.</w:t>
      </w:r>
    </w:p>
    <w:p>
      <w:pPr>
        <w:spacing w:after="0" w:line="148" w:lineRule="exact"/>
        <w:rPr>
          <w:sz w:val="20"/>
          <w:szCs w:val="20"/>
          <w:color w:val="auto"/>
        </w:rPr>
      </w:pPr>
    </w:p>
    <w:p>
      <w:pPr>
        <w:ind w:left="910"/>
        <w:spacing w:after="0"/>
        <w:tabs>
          <w:tab w:leader="none" w:pos="1369" w:val="left"/>
        </w:tabs>
        <w:rPr>
          <w:sz w:val="20"/>
          <w:szCs w:val="20"/>
          <w:color w:val="auto"/>
        </w:rPr>
      </w:pPr>
      <w:r>
        <w:rPr>
          <w:rFonts w:ascii="Arial" w:cs="Arial" w:eastAsia="Arial" w:hAnsi="Arial"/>
          <w:sz w:val="15"/>
          <w:szCs w:val="15"/>
          <w:color w:val="auto"/>
        </w:rPr>
        <w:t>3.5.5.</w:t>
      </w:r>
      <w:r>
        <w:rPr>
          <w:sz w:val="20"/>
          <w:szCs w:val="20"/>
          <w:color w:val="auto"/>
        </w:rPr>
        <w:tab/>
      </w:r>
      <w:r>
        <w:rPr>
          <w:rFonts w:ascii="Arial" w:cs="Arial" w:eastAsia="Arial" w:hAnsi="Arial"/>
          <w:sz w:val="13"/>
          <w:szCs w:val="13"/>
          <w:color w:val="auto"/>
        </w:rPr>
        <w:t>As a condition to the grant of a 102 Trustee Award the Participant shall sign a declaration as required in order to comply with the provisions of Section 102 and the</w:t>
      </w:r>
    </w:p>
    <w:p>
      <w:pPr>
        <w:spacing w:after="0" w:line="17" w:lineRule="exact"/>
        <w:rPr>
          <w:sz w:val="20"/>
          <w:szCs w:val="20"/>
          <w:color w:val="auto"/>
        </w:rPr>
      </w:pPr>
    </w:p>
    <w:p>
      <w:pPr>
        <w:ind w:left="10"/>
        <w:spacing w:after="0"/>
        <w:rPr>
          <w:sz w:val="20"/>
          <w:szCs w:val="20"/>
          <w:color w:val="auto"/>
        </w:rPr>
      </w:pPr>
      <w:r>
        <w:rPr>
          <w:rFonts w:ascii="Arial" w:cs="Arial" w:eastAsia="Arial" w:hAnsi="Arial"/>
          <w:sz w:val="15"/>
          <w:szCs w:val="15"/>
          <w:color w:val="auto"/>
        </w:rPr>
        <w:t>Rules.</w:t>
      </w:r>
    </w:p>
    <w:p>
      <w:pPr>
        <w:spacing w:after="0" w:line="179" w:lineRule="exact"/>
        <w:rPr>
          <w:sz w:val="20"/>
          <w:szCs w:val="20"/>
          <w:color w:val="auto"/>
        </w:rPr>
      </w:pPr>
    </w:p>
    <w:p>
      <w:pPr>
        <w:ind w:left="10" w:right="100" w:firstLine="458"/>
        <w:spacing w:after="0" w:line="276" w:lineRule="auto"/>
        <w:rPr>
          <w:sz w:val="20"/>
          <w:szCs w:val="20"/>
          <w:color w:val="auto"/>
        </w:rPr>
      </w:pPr>
      <w:r>
        <w:rPr>
          <w:rFonts w:ascii="Arial" w:cs="Arial" w:eastAsia="Arial" w:hAnsi="Arial"/>
          <w:sz w:val="14"/>
          <w:szCs w:val="14"/>
          <w:color w:val="auto"/>
        </w:rPr>
        <w:t xml:space="preserve">3.6. </w:t>
      </w:r>
      <w:r>
        <w:rPr>
          <w:rFonts w:ascii="Arial" w:cs="Arial" w:eastAsia="Arial" w:hAnsi="Arial"/>
          <w:sz w:val="14"/>
          <w:szCs w:val="14"/>
          <w:u w:val="single" w:color="auto"/>
          <w:color w:val="auto"/>
        </w:rPr>
        <w:t>102 Non-Trustee Awards</w:t>
      </w:r>
      <w:r>
        <w:rPr>
          <w:rFonts w:ascii="Arial" w:cs="Arial" w:eastAsia="Arial" w:hAnsi="Arial"/>
          <w:sz w:val="14"/>
          <w:szCs w:val="14"/>
          <w:color w:val="auto"/>
        </w:rPr>
        <w:t>. The foregoing provisions of this Section 3 relating to 102 Trustee Awards shall not apply with respect to 102 Non-Trustee Awards, which shall, however, be subject to the relevant provisions of Section 102 and the applicable Rules. The Committee may determine that 102 Non-Trustee Awards, the shares of Common Stock issuable upon the exercise or (if applicable) vesting of a 102 Non-Trustee Award and/or any securities issued or distributed with respect thereto, shall be allocated or issued to a third party administrator , who shall hold such 102 Non-Trustee Award and all accrued rights thereon (if any) in trust for the benefit of the Participant and/or the Company, as the case may be, until the full payment of tax arising from the 102 Non-Trustee Awards, the shares of Common Stock issuable upon the exercise or (if applicable) vesting of a 102 Non-Trustee Award and/or any securities issued or distributed with respect thereto. The Company may choose, alternatively, to require the Participant to provide the Company with a guarantee or other security, to the satisfaction of the employing Subsidiary and the Company, until the full payment of the applicable taxes.</w:t>
      </w:r>
    </w:p>
    <w:p>
      <w:pPr>
        <w:spacing w:after="0" w:line="268" w:lineRule="exact"/>
        <w:rPr>
          <w:sz w:val="20"/>
          <w:szCs w:val="20"/>
          <w:color w:val="auto"/>
        </w:rPr>
      </w:pPr>
    </w:p>
    <w:p>
      <w:pPr>
        <w:ind w:left="450" w:hanging="450"/>
        <w:spacing w:after="0"/>
        <w:tabs>
          <w:tab w:leader="none" w:pos="450" w:val="left"/>
        </w:tabs>
        <w:numPr>
          <w:ilvl w:val="0"/>
          <w:numId w:val="162"/>
        </w:numPr>
        <w:rPr>
          <w:rFonts w:ascii="Arial" w:cs="Arial" w:eastAsia="Arial" w:hAnsi="Arial"/>
          <w:sz w:val="15"/>
          <w:szCs w:val="15"/>
          <w:b w:val="1"/>
          <w:bCs w:val="1"/>
          <w:color w:val="auto"/>
        </w:rPr>
      </w:pPr>
      <w:r>
        <w:rPr>
          <w:rFonts w:ascii="Arial" w:cs="Arial" w:eastAsia="Arial" w:hAnsi="Arial"/>
          <w:sz w:val="15"/>
          <w:szCs w:val="15"/>
          <w:b w:val="1"/>
          <w:bCs w:val="1"/>
          <w:color w:val="auto"/>
        </w:rPr>
        <w:t>3(9) AWARDS</w:t>
      </w:r>
    </w:p>
    <w:p>
      <w:pPr>
        <w:spacing w:after="0" w:line="102" w:lineRule="exact"/>
        <w:rPr>
          <w:sz w:val="20"/>
          <w:szCs w:val="20"/>
          <w:color w:val="auto"/>
        </w:rPr>
      </w:pPr>
    </w:p>
    <w:p>
      <w:pPr>
        <w:ind w:left="10" w:right="220" w:firstLine="458"/>
        <w:spacing w:after="0" w:line="263" w:lineRule="auto"/>
        <w:rPr>
          <w:sz w:val="20"/>
          <w:szCs w:val="20"/>
          <w:color w:val="auto"/>
        </w:rPr>
      </w:pPr>
      <w:r>
        <w:rPr>
          <w:rFonts w:ascii="Arial" w:cs="Arial" w:eastAsia="Arial" w:hAnsi="Arial"/>
          <w:sz w:val="15"/>
          <w:szCs w:val="15"/>
          <w:color w:val="auto"/>
        </w:rPr>
        <w:t>4.1. This Section 4 shall apply to Awards which are 3(9) Awards which are granted subject to the general terms and conditions of the Plan, except for any provisions of the Plan applying to Awards under different tax laws or regulations. In the event of any inconsistency or contradictions between the provisions of this Section 4 and the other terms of the Plan, this Section 4 shall prevail.</w:t>
      </w:r>
    </w:p>
    <w:p>
      <w:pPr>
        <w:spacing w:after="0" w:line="155" w:lineRule="exact"/>
        <w:rPr>
          <w:sz w:val="20"/>
          <w:szCs w:val="20"/>
          <w:color w:val="auto"/>
        </w:rPr>
      </w:pPr>
    </w:p>
    <w:p>
      <w:pPr>
        <w:ind w:left="10" w:firstLine="458"/>
        <w:spacing w:after="0" w:line="283" w:lineRule="auto"/>
        <w:rPr>
          <w:sz w:val="20"/>
          <w:szCs w:val="20"/>
          <w:color w:val="auto"/>
        </w:rPr>
      </w:pPr>
      <w:r>
        <w:rPr>
          <w:rFonts w:ascii="Arial" w:cs="Arial" w:eastAsia="Arial" w:hAnsi="Arial"/>
          <w:sz w:val="14"/>
          <w:szCs w:val="14"/>
          <w:color w:val="auto"/>
        </w:rPr>
        <w:t>4.2. Shares of Common Stock pursuant to a 3(9) Award shall not be issued upon exercise or vesting, as applicable, unless the Participant delivers to the Company payment in cash or by bank check or such other form acceptable to the Committee of all withholding taxes due, if any, on account of the Participant acquiring shares of Common Stock under the Award or the Participant provides other assurance satisfactory to the Committee of the payment of those withholding taxes. Alternatively the Company may sell such amount of shares of Common Stock underlying the Award as required to satisfy the tax withholding obligations and deliver the net amount to the Participant.</w:t>
      </w:r>
    </w:p>
    <w:p>
      <w:pPr>
        <w:spacing w:after="0" w:line="263" w:lineRule="exact"/>
        <w:rPr>
          <w:sz w:val="20"/>
          <w:szCs w:val="20"/>
          <w:color w:val="auto"/>
        </w:rPr>
      </w:pPr>
    </w:p>
    <w:p>
      <w:pPr>
        <w:ind w:left="10"/>
        <w:spacing w:after="0"/>
        <w:tabs>
          <w:tab w:leader="none" w:pos="229" w:val="left"/>
        </w:tabs>
        <w:rPr>
          <w:sz w:val="20"/>
          <w:szCs w:val="20"/>
          <w:color w:val="auto"/>
        </w:rPr>
      </w:pPr>
      <w:r>
        <w:rPr>
          <w:rFonts w:ascii="Arial" w:cs="Arial" w:eastAsia="Arial" w:hAnsi="Arial"/>
          <w:sz w:val="15"/>
          <w:szCs w:val="15"/>
          <w:b w:val="1"/>
          <w:bCs w:val="1"/>
          <w:color w:val="auto"/>
        </w:rPr>
        <w:t>5.</w:t>
        <w:tab/>
        <w:t>AGREEMENTREGARDING TAXES; DISCLAIMER</w:t>
      </w:r>
    </w:p>
    <w:p>
      <w:pPr>
        <w:spacing w:after="0" w:line="102" w:lineRule="exact"/>
        <w:rPr>
          <w:sz w:val="20"/>
          <w:szCs w:val="20"/>
          <w:color w:val="auto"/>
        </w:rPr>
      </w:pPr>
    </w:p>
    <w:p>
      <w:pPr>
        <w:ind w:left="10" w:right="200" w:firstLine="458"/>
        <w:spacing w:after="0" w:line="290" w:lineRule="auto"/>
        <w:rPr>
          <w:sz w:val="20"/>
          <w:szCs w:val="20"/>
          <w:color w:val="auto"/>
        </w:rPr>
      </w:pPr>
      <w:r>
        <w:rPr>
          <w:rFonts w:ascii="Arial" w:cs="Arial" w:eastAsia="Arial" w:hAnsi="Arial"/>
          <w:sz w:val="14"/>
          <w:szCs w:val="14"/>
          <w:color w:val="auto"/>
        </w:rPr>
        <w:t>5.1. If the Committee shall so require, as a condition of exercise of an Award or the release of shares of Common Stock by the Trustee, a Participant shall agree that, no later than the date of such occurrence, the Participant will pay to the Company (or the Trustee, as applicable) or make arrangements satisfactory to the Committee and the Trustee (if applicable) regarding payment of any applicable taxes and compulsory payments of any kind required by Applicable Law to be withheld or paid.</w:t>
      </w:r>
    </w:p>
    <w:p>
      <w:pPr>
        <w:spacing w:after="0" w:line="82" w:lineRule="exact"/>
        <w:rPr>
          <w:sz w:val="20"/>
          <w:szCs w:val="20"/>
          <w:color w:val="auto"/>
        </w:rPr>
      </w:pPr>
    </w:p>
    <w:p>
      <w:pPr>
        <w:jc w:val="center"/>
        <w:ind w:right="-9"/>
        <w:spacing w:after="0"/>
        <w:rPr>
          <w:sz w:val="20"/>
          <w:szCs w:val="20"/>
          <w:color w:val="auto"/>
        </w:rPr>
      </w:pPr>
      <w:r>
        <w:rPr>
          <w:rFonts w:ascii="Arial" w:cs="Arial" w:eastAsia="Arial" w:hAnsi="Arial"/>
          <w:sz w:val="15"/>
          <w:szCs w:val="15"/>
          <w:color w:val="auto"/>
        </w:rPr>
        <w:t>-25-</w:t>
      </w:r>
    </w:p>
    <w:p>
      <w:pPr>
        <w:sectPr>
          <w:pgSz w:w="11900" w:h="16838" w:orient="portrait"/>
          <w:cols w:equalWidth="0" w:num="1">
            <w:col w:w="11450"/>
          </w:cols>
          <w:pgMar w:left="230" w:top="253" w:right="219" w:bottom="1440" w:gutter="0" w:footer="0" w:header="0"/>
        </w:sectPr>
      </w:pPr>
    </w:p>
    <w:bookmarkStart w:id="273" w:name="page274"/>
    <w:bookmarkEnd w:id="273"/>
    <w:p>
      <w:pPr>
        <w:ind w:firstLine="458"/>
        <w:spacing w:after="0" w:line="254"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133350</wp:posOffset>
            </wp:positionH>
            <wp:positionV relativeFrom="page">
              <wp:posOffset>88900</wp:posOffset>
            </wp:positionV>
            <wp:extent cx="7308850" cy="34290"/>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411">
                      <a:extLst>
                        <a:ext uri="{28A0092B-C50C-407E-A947-70E740481C1C}"/>
                      </a:extLst>
                    </a:blip>
                    <a:srcRect/>
                    <a:stretch>
                      <a:fillRect/>
                    </a:stretch>
                  </pic:blipFill>
                  <pic:spPr bwMode="auto">
                    <a:xfrm>
                      <a:off x="0" y="0"/>
                      <a:ext cx="7308850" cy="34290"/>
                    </a:xfrm>
                    <a:prstGeom prst="rect">
                      <a:avLst/>
                    </a:prstGeom>
                    <a:noFill/>
                  </pic:spPr>
                </pic:pic>
              </a:graphicData>
            </a:graphic>
          </wp:anchor>
        </w:drawing>
        <w:t xml:space="preserve">5.2. </w:t>
      </w:r>
      <w:r>
        <w:rPr>
          <w:rFonts w:ascii="Arial" w:cs="Arial" w:eastAsia="Arial" w:hAnsi="Arial"/>
          <w:sz w:val="15"/>
          <w:szCs w:val="15"/>
          <w:u w:val="single" w:color="auto"/>
          <w:color w:val="auto"/>
        </w:rPr>
        <w:t>TAX LIABILITY</w:t>
      </w:r>
      <w:r>
        <w:rPr>
          <w:rFonts w:ascii="Arial" w:cs="Arial" w:eastAsia="Arial" w:hAnsi="Arial"/>
          <w:sz w:val="15"/>
          <w:szCs w:val="15"/>
          <w:color w:val="auto"/>
        </w:rPr>
        <w:t>. ALL TAX CONSEQUENCES UNDER ANY APPLICABLE LAW WHICH MAY ARISE FROM THE GRANT OF ANY AWARDS OR THE EXERCISE OR VESTING THEREOF, THE SALE OR DISPOSITION OF ANY SHARES OF COMMON STOCK GRANTED HEREUNDER OR ISSUED UPON EXERCISE OR (IF APPLICABLE) VESTING OF ANY AWARD, THE ASSUMPTION, SUBSTITUTION, CANCELLATION OR PAYMENT IN LIEU OF AWARDS OR FROM ANY OTHER ACTION IN CONNECTION WITH THE FOREGOING (INCLUDING WITHOUT LIMITATION ANY TAXES AND COMPULSORY PAYMENTS, SUCH AS SOCIAL SECURITY OR HEALTH TAX PAYABLE BY THE PARTICIPANT OR THE COMPANY IN CONNECTION THEREWITH) SHALL BE BORNE AND PAID SOLELY BY THE PARTICIPANT, AND THE PARTICIPANT SHALL INDEMNIFY THE COMPANY, THE SUBSIDIARY AND THE TRUSTEE, AND SHALL HOLD THEM HARMLESS AGAINST AND FROM ANY LIABILITY FOR ANY SUCH TAX OR PAYMENT OR ANY PENALTY, INTEREST OR INDEXATION THEREON. EACH PARTICIPANT AGREES TO, AND UNDERTAKES TO COMPLY WITH, ANY RULING, SETTLEMENT, CLOSING AGREEMENT OR OTHER SIMILAR AGREEMENT OR ARRANGEMENT WITH ANY TAX AUTHORITY IN CONNECTION WITH THE FOREGOING WHICH IS APPROVED BY THE COMPANY.</w:t>
      </w:r>
    </w:p>
    <w:p>
      <w:pPr>
        <w:spacing w:after="0" w:line="162" w:lineRule="exact"/>
        <w:rPr>
          <w:sz w:val="20"/>
          <w:szCs w:val="20"/>
          <w:color w:val="auto"/>
        </w:rPr>
      </w:pPr>
    </w:p>
    <w:p>
      <w:pPr>
        <w:ind w:right="280" w:firstLine="458"/>
        <w:spacing w:after="0" w:line="263" w:lineRule="auto"/>
        <w:rPr>
          <w:sz w:val="20"/>
          <w:szCs w:val="20"/>
          <w:color w:val="auto"/>
        </w:rPr>
      </w:pPr>
      <w:r>
        <w:rPr>
          <w:rFonts w:ascii="Arial" w:cs="Arial" w:eastAsia="Arial" w:hAnsi="Arial"/>
          <w:sz w:val="15"/>
          <w:szCs w:val="15"/>
          <w:color w:val="auto"/>
        </w:rPr>
        <w:t xml:space="preserve">5.3. </w:t>
      </w:r>
      <w:r>
        <w:rPr>
          <w:rFonts w:ascii="Arial" w:cs="Arial" w:eastAsia="Arial" w:hAnsi="Arial"/>
          <w:sz w:val="15"/>
          <w:szCs w:val="15"/>
          <w:u w:val="single" w:color="auto"/>
          <w:color w:val="auto"/>
        </w:rPr>
        <w:t>NO TAX ADVICE</w:t>
      </w:r>
      <w:r>
        <w:rPr>
          <w:rFonts w:ascii="Arial" w:cs="Arial" w:eastAsia="Arial" w:hAnsi="Arial"/>
          <w:sz w:val="15"/>
          <w:szCs w:val="15"/>
          <w:color w:val="auto"/>
        </w:rPr>
        <w:t>. THE PARTICIPANT IS ADVISED TO CONSULT WITH A TAX ADVISOR WITH RESPECT TO THE TAX CONSEQUENCES OF RECEIVING, EXERCISING OR DISPOSING OF AWARDS HEREUNDER. THE COMPANY DOES NOT ASSUME ANY RESPONSIBILITY TO ADVISE THE PARTICIPANT ON SUCH MATTERS, WHICH SHALL REMAIN SOLELY THE RESPONSIBILITY OF THE PARTICIPANT.</w:t>
      </w:r>
    </w:p>
    <w:p>
      <w:pPr>
        <w:spacing w:after="0" w:line="155" w:lineRule="exact"/>
        <w:rPr>
          <w:sz w:val="20"/>
          <w:szCs w:val="20"/>
          <w:color w:val="auto"/>
        </w:rPr>
      </w:pPr>
    </w:p>
    <w:p>
      <w:pPr>
        <w:ind w:firstLine="458"/>
        <w:spacing w:after="0" w:line="252" w:lineRule="auto"/>
        <w:rPr>
          <w:sz w:val="20"/>
          <w:szCs w:val="20"/>
          <w:color w:val="auto"/>
        </w:rPr>
      </w:pPr>
      <w:r>
        <w:rPr>
          <w:rFonts w:ascii="Arial" w:cs="Arial" w:eastAsia="Arial" w:hAnsi="Arial"/>
          <w:sz w:val="15"/>
          <w:szCs w:val="15"/>
          <w:color w:val="auto"/>
        </w:rPr>
        <w:t xml:space="preserve">5.4. </w:t>
      </w:r>
      <w:r>
        <w:rPr>
          <w:rFonts w:ascii="Arial" w:cs="Arial" w:eastAsia="Arial" w:hAnsi="Arial"/>
          <w:sz w:val="15"/>
          <w:szCs w:val="15"/>
          <w:u w:val="single" w:color="auto"/>
          <w:color w:val="auto"/>
        </w:rPr>
        <w:t>TAX TREATMENT</w:t>
      </w:r>
      <w:r>
        <w:rPr>
          <w:rFonts w:ascii="Arial" w:cs="Arial" w:eastAsia="Arial" w:hAnsi="Arial"/>
          <w:sz w:val="15"/>
          <w:szCs w:val="15"/>
          <w:color w:val="auto"/>
        </w:rPr>
        <w:t>. THE COMPANY DOES NOT UNDERTAKE OR ASSUME ANY LIABILITY OR RESPONSIBILITY TO THE EFFECT THAT ANY AWARD SHALL QUALIFY WITH ANY PARTICULAR TAX REGIME OR RULES APPLYING TO PARTICULAR TAX TREATMENT, OR BENEFIT FROM ANY PARTICULAR TAX TREATMENT OR TAX ADVANTAGE OF ANY TYPE AND THE COMPANY SHALL BEAR NO LIABILITY IN CONNECTION WITH THE MANNER IN WHICH ANY AWARD IS EVENTUALLY TREATED FOR TAX PURPOSES, REGARDLESS OF WHETHER THE AWARD WAS GRANTED OR WAS INTENDED TO QUALIFY UNDER ANY PARTICULAR TAX REGIME OR TREATMENT. THIS PROVISION SHALL SUPERSEDE ANY DESIGNATION OF AWARDS OR TAX QUALIFICATION INDICATED IN ANY CORPORATE RESOLUTION OR AWARD AGREEMENT, WHICH SHALL AT ALL TIMES BE SUBJECT TO THE REQUIREMENTS OF APPLICABLE LAW. THE COMPANY DOES NOT UNDERTAKE AND SHALL NOT BE REQUIRED TO TAKE ANY ACTION IN ORDER TO QUALIFY ANY AWARD WITH THE REQUIREMENTS OF ANY PARTICULAR TAX TREATMENT AND NO INDICATION IN ANY DOCUMENT TO THE EFFECT THAT ANY AWARD IS INTENDED TO QUALIFY FOR ANY TAX TREATMENT SHALL IMPLY SUCH AN UNDERTAKING. NO ASSURANCE IS MADE BY THE COMPANY OR THE SUBSIDIARY THAT ANY PARTICULAR TAX TREATMENT ON THE DATE OF GRANT WILL CONTINUE TO EXIST OR THAT THE AWARD WILL QUALIFY AT THE TIME OF EXERCISE OR DISPOSITION THEREOF WITH ANY PARTICULAR TAX TREATMENT. THE COMPANY AND THE SUBSIDIARY SHALL NOT HAVE ANY LIABILITY OR OBLIGATION OF ANY NATURE IN THE EVENT THAT AN AWARD DOES NOT QUALIFY FOR ANY PARTICULAR TAX TREATMENT, REGARDLESS WHETHER THE COMPANY COULD HAVE TAKEN ANY ACTION TO CAUSE SUCH QUALIFICATION TO BE MET AND SUCH QUALIFICATION REMAINS AT ALL TIMES AND UNDER ALL CIRCUMSTANCES AT THE RISK OF THE PARTICIPANT. THE COMPANY DOES NOT UNDERTAKE OR ASSUME ANY LIABILITY TO CONTEST A DETERMINATION OR INTERPRETATION (WHETHER WRITTEN OR UNWRITTEN) OF ANY TAX</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-26-</w:t>
      </w:r>
    </w:p>
    <w:p>
      <w:pPr>
        <w:sectPr>
          <w:pgSz w:w="11900" w:h="16838" w:orient="portrait"/>
          <w:cols w:equalWidth="0" w:num="1">
            <w:col w:w="11400"/>
          </w:cols>
          <w:pgMar w:left="240" w:top="253" w:right="259" w:bottom="1440" w:gutter="0" w:footer="0" w:header="0"/>
        </w:sectPr>
      </w:pPr>
    </w:p>
    <w:bookmarkStart w:id="274" w:name="page275"/>
    <w:bookmarkEnd w:id="274"/>
    <w:p>
      <w:pPr>
        <w:ind w:left="10" w:right="20"/>
        <w:spacing w:after="0" w:line="312" w:lineRule="auto"/>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133350</wp:posOffset>
            </wp:positionH>
            <wp:positionV relativeFrom="page">
              <wp:posOffset>88900</wp:posOffset>
            </wp:positionV>
            <wp:extent cx="7308850" cy="34290"/>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412">
                      <a:extLst>
                        <a:ext uri="{28A0092B-C50C-407E-A947-70E740481C1C}"/>
                      </a:extLst>
                    </a:blip>
                    <a:srcRect/>
                    <a:stretch>
                      <a:fillRect/>
                    </a:stretch>
                  </pic:blipFill>
                  <pic:spPr bwMode="auto">
                    <a:xfrm>
                      <a:off x="0" y="0"/>
                      <a:ext cx="7308850" cy="34290"/>
                    </a:xfrm>
                    <a:prstGeom prst="rect">
                      <a:avLst/>
                    </a:prstGeom>
                    <a:noFill/>
                  </pic:spPr>
                </pic:pic>
              </a:graphicData>
            </a:graphic>
          </wp:anchor>
        </w:drawing>
        <w:t>AUTHORITY, INCLUDING IN RESPECT OF THE QUALIFICATION UNDER ANY PARTICULAR TAX REGIME OR RULES APPLYING TO PARTICULAR TAX TREATMENT. IF THE AWARDS DO NOT QUALIFY UNDER ANY PARTICULAR TAX TREATMENT IT COULD RESULT IN ADVERSE TAX CONSEQUENCES TO THE PARTICIPANT.</w:t>
      </w:r>
    </w:p>
    <w:p>
      <w:pPr>
        <w:spacing w:after="0" w:line="123" w:lineRule="exact"/>
        <w:rPr>
          <w:sz w:val="20"/>
          <w:szCs w:val="20"/>
          <w:color w:val="auto"/>
        </w:rPr>
      </w:pPr>
    </w:p>
    <w:p>
      <w:pPr>
        <w:ind w:left="450"/>
        <w:spacing w:after="0"/>
        <w:tabs>
          <w:tab w:leader="none" w:pos="809" w:val="left"/>
        </w:tabs>
        <w:rPr>
          <w:sz w:val="20"/>
          <w:szCs w:val="20"/>
          <w:color w:val="auto"/>
        </w:rPr>
      </w:pPr>
      <w:r>
        <w:rPr>
          <w:rFonts w:ascii="Arial" w:cs="Arial" w:eastAsia="Arial" w:hAnsi="Arial"/>
          <w:sz w:val="15"/>
          <w:szCs w:val="15"/>
          <w:color w:val="auto"/>
        </w:rPr>
        <w:t>5.5.</w:t>
      </w:r>
      <w:r>
        <w:rPr>
          <w:sz w:val="20"/>
          <w:szCs w:val="20"/>
          <w:color w:val="auto"/>
        </w:rPr>
        <w:tab/>
      </w:r>
      <w:r>
        <w:rPr>
          <w:rFonts w:ascii="Arial" w:cs="Arial" w:eastAsia="Arial" w:hAnsi="Arial"/>
          <w:sz w:val="13"/>
          <w:szCs w:val="13"/>
          <w:color w:val="auto"/>
        </w:rPr>
        <w:t>The Company or the Subsidiary may take such action as it may deem necessary or appropriate, in its discretion, for the purpose of or in connection with withholding of any</w:t>
      </w:r>
    </w:p>
    <w:p>
      <w:pPr>
        <w:spacing w:after="0" w:line="17" w:lineRule="exact"/>
        <w:rPr>
          <w:sz w:val="20"/>
          <w:szCs w:val="20"/>
          <w:color w:val="auto"/>
        </w:rPr>
      </w:pPr>
    </w:p>
    <w:p>
      <w:pPr>
        <w:ind w:left="10"/>
        <w:spacing w:after="0"/>
        <w:rPr>
          <w:sz w:val="20"/>
          <w:szCs w:val="20"/>
          <w:color w:val="auto"/>
        </w:rPr>
      </w:pPr>
      <w:r>
        <w:rPr>
          <w:rFonts w:ascii="Arial" w:cs="Arial" w:eastAsia="Arial" w:hAnsi="Arial"/>
          <w:sz w:val="14"/>
          <w:szCs w:val="14"/>
          <w:color w:val="auto"/>
        </w:rPr>
        <w:t>taxes and compulsory payments which the Trustee, the Company or the Subsidiary is required by any Applicable Law to withhold in connection with any Awards (collectively,</w:t>
      </w:r>
    </w:p>
    <w:p>
      <w:pPr>
        <w:spacing w:after="0" w:line="19" w:lineRule="exact"/>
        <w:rPr>
          <w:sz w:val="20"/>
          <w:szCs w:val="20"/>
          <w:color w:val="auto"/>
        </w:rPr>
      </w:pPr>
    </w:p>
    <w:p>
      <w:pPr>
        <w:ind w:left="1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Withholding Obligations</w:t>
      </w:r>
      <w:r>
        <w:rPr>
          <w:rFonts w:ascii="Arial" w:cs="Arial" w:eastAsia="Arial" w:hAnsi="Arial"/>
          <w:sz w:val="13"/>
          <w:szCs w:val="13"/>
          <w:color w:val="auto"/>
        </w:rPr>
        <w:t>”). Such actions may include (i) requiring Participants to remit to the Company in cash an amount sufficient to satisfy such Withholding Obligations and any other</w:t>
      </w:r>
    </w:p>
    <w:p>
      <w:pPr>
        <w:spacing w:after="0" w:line="31" w:lineRule="exact"/>
        <w:rPr>
          <w:sz w:val="20"/>
          <w:szCs w:val="20"/>
          <w:color w:val="auto"/>
        </w:rPr>
      </w:pPr>
    </w:p>
    <w:p>
      <w:pPr>
        <w:ind w:left="10"/>
        <w:spacing w:after="0"/>
        <w:rPr>
          <w:sz w:val="20"/>
          <w:szCs w:val="20"/>
          <w:color w:val="auto"/>
        </w:rPr>
      </w:pPr>
      <w:r>
        <w:rPr>
          <w:rFonts w:ascii="Arial" w:cs="Arial" w:eastAsia="Arial" w:hAnsi="Arial"/>
          <w:sz w:val="14"/>
          <w:szCs w:val="14"/>
          <w:color w:val="auto"/>
        </w:rPr>
        <w:t>taxes and compulsory payments, payable by the Company in connection with the Award or the exercise or (if applicable) vesting thereof; (ii) subject to Applicable Law, allowing the</w:t>
      </w:r>
    </w:p>
    <w:p>
      <w:pPr>
        <w:spacing w:after="0" w:line="19" w:lineRule="exact"/>
        <w:rPr>
          <w:sz w:val="20"/>
          <w:szCs w:val="20"/>
          <w:color w:val="auto"/>
        </w:rPr>
      </w:pPr>
    </w:p>
    <w:p>
      <w:pPr>
        <w:ind w:left="10"/>
        <w:spacing w:after="0"/>
        <w:rPr>
          <w:sz w:val="20"/>
          <w:szCs w:val="20"/>
          <w:color w:val="auto"/>
        </w:rPr>
      </w:pPr>
      <w:r>
        <w:rPr>
          <w:rFonts w:ascii="Arial" w:cs="Arial" w:eastAsia="Arial" w:hAnsi="Arial"/>
          <w:sz w:val="14"/>
          <w:szCs w:val="14"/>
          <w:color w:val="auto"/>
        </w:rPr>
        <w:t>Participants to provide shares of Common Stock, in an amount that at such time, reflects a value that the Committee determines to be sufficient to satisfy such Withholding Obligations;</w:t>
      </w:r>
    </w:p>
    <w:p>
      <w:pPr>
        <w:spacing w:after="0" w:line="19" w:lineRule="exact"/>
        <w:rPr>
          <w:sz w:val="20"/>
          <w:szCs w:val="20"/>
          <w:color w:val="auto"/>
        </w:rPr>
      </w:pPr>
    </w:p>
    <w:p>
      <w:pPr>
        <w:ind w:left="10" w:right="260" w:hanging="10"/>
        <w:spacing w:after="0" w:line="256" w:lineRule="auto"/>
        <w:tabs>
          <w:tab w:leader="none" w:pos="273" w:val="left"/>
        </w:tabs>
        <w:numPr>
          <w:ilvl w:val="0"/>
          <w:numId w:val="163"/>
        </w:numPr>
        <w:rPr>
          <w:rFonts w:ascii="Arial" w:cs="Arial" w:eastAsia="Arial" w:hAnsi="Arial"/>
          <w:sz w:val="15"/>
          <w:szCs w:val="15"/>
          <w:color w:val="auto"/>
        </w:rPr>
      </w:pPr>
      <w:r>
        <w:rPr>
          <w:rFonts w:ascii="Arial" w:cs="Arial" w:eastAsia="Arial" w:hAnsi="Arial"/>
          <w:sz w:val="15"/>
          <w:szCs w:val="15"/>
          <w:color w:val="auto"/>
        </w:rPr>
        <w:t>withholding shares of Common Stock otherwise issuable upon the exercise of an Award at a value which is determined by the Committee to be sufficient to satisfy such Withholding Obligations; or (iv) any combination of the foregoing. The Company shall not be obligated to allow the exercise of any Award by or on behalf of a Participant until all tax consequences arising from the exercise of such Award are resolved in a manner acceptable to the Company.</w:t>
      </w:r>
    </w:p>
    <w:p>
      <w:pPr>
        <w:spacing w:after="0" w:line="160" w:lineRule="exact"/>
        <w:rPr>
          <w:sz w:val="20"/>
          <w:szCs w:val="20"/>
          <w:color w:val="auto"/>
        </w:rPr>
      </w:pPr>
    </w:p>
    <w:p>
      <w:pPr>
        <w:ind w:left="10" w:right="60" w:firstLine="458"/>
        <w:spacing w:after="0" w:line="257" w:lineRule="auto"/>
        <w:rPr>
          <w:sz w:val="20"/>
          <w:szCs w:val="20"/>
          <w:color w:val="auto"/>
        </w:rPr>
      </w:pPr>
      <w:r>
        <w:rPr>
          <w:rFonts w:ascii="Arial" w:cs="Arial" w:eastAsia="Arial" w:hAnsi="Arial"/>
          <w:sz w:val="15"/>
          <w:szCs w:val="15"/>
          <w:color w:val="auto"/>
        </w:rPr>
        <w:t>5.6. Each Participant shall notify the Company in writing promptly and in any event within ten (10) days after the date on which such Participant first obtains knowledge of any tax bureau inquiry, audit, assertion, determination, investigation, or question relating in any manner to the Awards granted or received hereunder or shares of Common Stock issued thereunder and shall continuously inform the Company of any developments, proceedings, discussions and negotiations relating to such matter, and shall allow the Company and its representatives to participate in any proceedings and discussions concerning such matters. Upon request, a Participant shall provide to the Company any information or document relating to any matter described in the preceding sentence, which the Company, in its discretion, requires.</w:t>
      </w:r>
    </w:p>
    <w:p>
      <w:pPr>
        <w:spacing w:after="0" w:line="159" w:lineRule="exact"/>
        <w:rPr>
          <w:sz w:val="20"/>
          <w:szCs w:val="20"/>
          <w:color w:val="auto"/>
        </w:rPr>
      </w:pPr>
    </w:p>
    <w:p>
      <w:pPr>
        <w:ind w:left="10" w:right="120" w:firstLine="458"/>
        <w:spacing w:after="0" w:line="263" w:lineRule="auto"/>
        <w:rPr>
          <w:sz w:val="20"/>
          <w:szCs w:val="20"/>
          <w:color w:val="auto"/>
        </w:rPr>
      </w:pPr>
      <w:r>
        <w:rPr>
          <w:rFonts w:ascii="Arial" w:cs="Arial" w:eastAsia="Arial" w:hAnsi="Arial"/>
          <w:sz w:val="15"/>
          <w:szCs w:val="15"/>
          <w:color w:val="auto"/>
        </w:rPr>
        <w:t>5.7. With respect to 102 Non-Trustee Awards, if the Participant ceases to be employed by the Company or any Subsidiary, the Participant shall extend to the Company and/or the Subsidiary with whom the Participant is employed a security or guarantee for the payment of taxes due at the time of sale of shares of Common Stock, all in accordance with the provisions of Section 102 and the Rules.</w:t>
      </w:r>
    </w:p>
    <w:p>
      <w:pPr>
        <w:spacing w:after="0" w:line="241" w:lineRule="exact"/>
        <w:rPr>
          <w:sz w:val="20"/>
          <w:szCs w:val="20"/>
          <w:color w:val="auto"/>
        </w:rPr>
      </w:pPr>
    </w:p>
    <w:p>
      <w:pPr>
        <w:ind w:left="10"/>
        <w:spacing w:after="0"/>
        <w:tabs>
          <w:tab w:leader="none" w:pos="229" w:val="left"/>
        </w:tabs>
        <w:rPr>
          <w:sz w:val="20"/>
          <w:szCs w:val="20"/>
          <w:color w:val="auto"/>
        </w:rPr>
      </w:pPr>
      <w:r>
        <w:rPr>
          <w:rFonts w:ascii="Arial" w:cs="Arial" w:eastAsia="Arial" w:hAnsi="Arial"/>
          <w:sz w:val="15"/>
          <w:szCs w:val="15"/>
          <w:b w:val="1"/>
          <w:bCs w:val="1"/>
          <w:color w:val="auto"/>
        </w:rPr>
        <w:t>6.</w:t>
      </w:r>
      <w:r>
        <w:rPr>
          <w:sz w:val="20"/>
          <w:szCs w:val="20"/>
          <w:color w:val="auto"/>
        </w:rPr>
        <w:tab/>
      </w:r>
      <w:r>
        <w:rPr>
          <w:rFonts w:ascii="Arial" w:cs="Arial" w:eastAsia="Arial" w:hAnsi="Arial"/>
          <w:sz w:val="14"/>
          <w:szCs w:val="14"/>
          <w:b w:val="1"/>
          <w:bCs w:val="1"/>
          <w:color w:val="auto"/>
        </w:rPr>
        <w:t>ASSIGNABILITY, DESIGNATION AND SALE OF AWARDS</w:t>
      </w:r>
    </w:p>
    <w:p>
      <w:pPr>
        <w:spacing w:after="0" w:line="102" w:lineRule="exact"/>
        <w:rPr>
          <w:sz w:val="20"/>
          <w:szCs w:val="20"/>
          <w:color w:val="auto"/>
        </w:rPr>
      </w:pPr>
    </w:p>
    <w:p>
      <w:pPr>
        <w:ind w:left="10" w:right="140" w:firstLine="458"/>
        <w:spacing w:after="0" w:line="259" w:lineRule="auto"/>
        <w:rPr>
          <w:sz w:val="20"/>
          <w:szCs w:val="20"/>
          <w:color w:val="auto"/>
        </w:rPr>
      </w:pPr>
      <w:r>
        <w:rPr>
          <w:rFonts w:ascii="Arial" w:cs="Arial" w:eastAsia="Arial" w:hAnsi="Arial"/>
          <w:sz w:val="15"/>
          <w:szCs w:val="15"/>
          <w:color w:val="auto"/>
        </w:rPr>
        <w:t>6.1. Despite any other provision of the Plan (including section 6(d)(i) of the Plan), no 102 Award or any right with respect thereto, or purchasable hereunder, whether fully paid or not, shall be assignable, transferable or given as collateral, or any right with respect to any 102 Award given to any third party whatsoever, and during the lifetime of the Israeli Employee, each and all of such Israeli Employee’s rights with respect to a Grant shall belong only to the Israeli Employee. Any such action made directly or indirectly, for an immediate or future validation, shall be void.</w:t>
      </w:r>
    </w:p>
    <w:p>
      <w:pPr>
        <w:spacing w:after="0" w:line="158" w:lineRule="exact"/>
        <w:rPr>
          <w:sz w:val="20"/>
          <w:szCs w:val="20"/>
          <w:color w:val="auto"/>
        </w:rPr>
      </w:pPr>
    </w:p>
    <w:p>
      <w:pPr>
        <w:ind w:left="10" w:right="100" w:firstLine="458"/>
        <w:spacing w:after="0" w:line="275" w:lineRule="auto"/>
        <w:rPr>
          <w:sz w:val="20"/>
          <w:szCs w:val="20"/>
          <w:color w:val="auto"/>
        </w:rPr>
      </w:pPr>
      <w:r>
        <w:rPr>
          <w:rFonts w:ascii="Arial" w:cs="Arial" w:eastAsia="Arial" w:hAnsi="Arial"/>
          <w:sz w:val="15"/>
          <w:szCs w:val="15"/>
          <w:color w:val="auto"/>
        </w:rPr>
        <w:t>6.2. As long as 102 Awards or Common Stock issued or purchased hereunder are held by the Trustee on behalf of the Israeli Employee, all rights of the Israeli Employee t over the Common Stock cannot be transferred, assigned, pledged or mortgaged, other than by will or laws of descent and distribution.</w:t>
      </w:r>
    </w:p>
    <w:p>
      <w:pPr>
        <w:spacing w:after="0" w:line="232" w:lineRule="exact"/>
        <w:rPr>
          <w:sz w:val="20"/>
          <w:szCs w:val="20"/>
          <w:color w:val="auto"/>
        </w:rPr>
      </w:pPr>
    </w:p>
    <w:p>
      <w:pPr>
        <w:ind w:left="10"/>
        <w:spacing w:after="0"/>
        <w:tabs>
          <w:tab w:leader="none" w:pos="249" w:val="left"/>
        </w:tabs>
        <w:rPr>
          <w:sz w:val="20"/>
          <w:szCs w:val="20"/>
          <w:color w:val="auto"/>
        </w:rPr>
      </w:pPr>
      <w:r>
        <w:rPr>
          <w:rFonts w:ascii="Arial" w:cs="Arial" w:eastAsia="Arial" w:hAnsi="Arial"/>
          <w:sz w:val="15"/>
          <w:szCs w:val="15"/>
          <w:b w:val="1"/>
          <w:bCs w:val="1"/>
          <w:color w:val="auto"/>
        </w:rPr>
        <w:t>7.</w:t>
      </w:r>
      <w:r>
        <w:rPr>
          <w:sz w:val="20"/>
          <w:szCs w:val="20"/>
          <w:color w:val="auto"/>
        </w:rPr>
        <w:tab/>
      </w:r>
      <w:r>
        <w:rPr>
          <w:rFonts w:ascii="Arial" w:cs="Arial" w:eastAsia="Arial" w:hAnsi="Arial"/>
          <w:sz w:val="14"/>
          <w:szCs w:val="14"/>
          <w:b w:val="1"/>
          <w:bCs w:val="1"/>
          <w:color w:val="auto"/>
        </w:rPr>
        <w:t>ONE TIME AWARD</w:t>
      </w:r>
    </w:p>
    <w:p>
      <w:pPr>
        <w:spacing w:after="0" w:line="192" w:lineRule="exact"/>
        <w:rPr>
          <w:sz w:val="20"/>
          <w:szCs w:val="20"/>
          <w:color w:val="auto"/>
        </w:rPr>
      </w:pPr>
    </w:p>
    <w:p>
      <w:pPr>
        <w:ind w:left="10" w:right="140" w:firstLine="458"/>
        <w:spacing w:after="0" w:line="263" w:lineRule="auto"/>
        <w:rPr>
          <w:sz w:val="20"/>
          <w:szCs w:val="20"/>
          <w:color w:val="auto"/>
        </w:rPr>
      </w:pPr>
      <w:r>
        <w:rPr>
          <w:rFonts w:ascii="Arial" w:cs="Arial" w:eastAsia="Arial" w:hAnsi="Arial"/>
          <w:sz w:val="15"/>
          <w:szCs w:val="15"/>
          <w:color w:val="auto"/>
        </w:rPr>
        <w:t>7.1. The 102 Awards and underlying Common Stock are extraordinary, one-time awards granted to the Israeli Employees, and are not and shall not be deemed a salary component for any purpose whatsoever, including in connection with calculating severance compensation under applicable law, nor shall receipt of an award entitle an Israeli Employee to any future Award.</w:t>
      </w:r>
    </w:p>
    <w:p>
      <w:pPr>
        <w:spacing w:after="0" w:line="98" w:lineRule="exact"/>
        <w:rPr>
          <w:sz w:val="20"/>
          <w:szCs w:val="20"/>
          <w:color w:val="auto"/>
        </w:rPr>
      </w:pPr>
    </w:p>
    <w:p>
      <w:pPr>
        <w:jc w:val="center"/>
        <w:ind w:right="-29"/>
        <w:spacing w:after="0"/>
        <w:rPr>
          <w:sz w:val="20"/>
          <w:szCs w:val="20"/>
          <w:color w:val="auto"/>
        </w:rPr>
      </w:pPr>
      <w:r>
        <w:rPr>
          <w:rFonts w:ascii="Arial" w:cs="Arial" w:eastAsia="Arial" w:hAnsi="Arial"/>
          <w:sz w:val="15"/>
          <w:szCs w:val="15"/>
          <w:color w:val="auto"/>
        </w:rPr>
        <w:t>-27-</w:t>
      </w:r>
    </w:p>
    <w:p>
      <w:pPr>
        <w:sectPr>
          <w:pgSz w:w="11900" w:h="16838" w:orient="portrait"/>
          <w:cols w:equalWidth="0" w:num="1">
            <w:col w:w="11430"/>
          </w:cols>
          <w:pgMar w:left="230" w:top="253" w:right="239" w:bottom="1440" w:gutter="0" w:footer="0" w:header="0"/>
        </w:sectPr>
      </w:pPr>
    </w:p>
    <w:bookmarkStart w:id="275" w:name="page276"/>
    <w:bookmarkEnd w:id="275"/>
    <w:p>
      <w:pPr>
        <w:spacing w:after="0"/>
        <w:tabs>
          <w:tab w:leader="none" w:pos="240" w:val="left"/>
        </w:tabs>
        <w:rPr>
          <w:sz w:val="20"/>
          <w:szCs w:val="20"/>
          <w:color w:val="auto"/>
        </w:rPr>
      </w:pPr>
      <w:r>
        <w:rPr>
          <w:rFonts w:ascii="Arial" w:cs="Arial" w:eastAsia="Arial" w:hAnsi="Arial"/>
          <w:sz w:val="15"/>
          <w:szCs w:val="15"/>
          <w:b w:val="1"/>
          <w:bCs w:val="1"/>
          <w:color w:val="auto"/>
        </w:rPr>
        <w:drawing>
          <wp:anchor simplePos="0" relativeHeight="251657728" behindDoc="1" locked="0" layoutInCell="0" allowOverlap="1">
            <wp:simplePos x="0" y="0"/>
            <wp:positionH relativeFrom="page">
              <wp:posOffset>133350</wp:posOffset>
            </wp:positionH>
            <wp:positionV relativeFrom="page">
              <wp:posOffset>88900</wp:posOffset>
            </wp:positionV>
            <wp:extent cx="7308850" cy="34290"/>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413">
                      <a:extLst>
                        <a:ext uri="{28A0092B-C50C-407E-A947-70E740481C1C}"/>
                      </a:extLst>
                    </a:blip>
                    <a:srcRect/>
                    <a:stretch>
                      <a:fillRect/>
                    </a:stretch>
                  </pic:blipFill>
                  <pic:spPr bwMode="auto">
                    <a:xfrm>
                      <a:off x="0" y="0"/>
                      <a:ext cx="7308850" cy="34290"/>
                    </a:xfrm>
                    <a:prstGeom prst="rect">
                      <a:avLst/>
                    </a:prstGeom>
                    <a:noFill/>
                  </pic:spPr>
                </pic:pic>
              </a:graphicData>
            </a:graphic>
          </wp:anchor>
        </w:drawing>
        <w:t>8.</w:t>
        <w:tab/>
        <w:t>GOVERNING LAW</w:t>
      </w:r>
    </w:p>
    <w:p>
      <w:pPr>
        <w:spacing w:after="0" w:line="102" w:lineRule="exact"/>
        <w:rPr>
          <w:sz w:val="20"/>
          <w:szCs w:val="20"/>
          <w:color w:val="auto"/>
        </w:rPr>
      </w:pPr>
    </w:p>
    <w:p>
      <w:pPr>
        <w:ind w:firstLine="458"/>
        <w:spacing w:after="0" w:line="275" w:lineRule="auto"/>
        <w:rPr>
          <w:sz w:val="20"/>
          <w:szCs w:val="20"/>
          <w:color w:val="auto"/>
        </w:rPr>
      </w:pPr>
      <w:r>
        <w:rPr>
          <w:rFonts w:ascii="Arial" w:cs="Arial" w:eastAsia="Arial" w:hAnsi="Arial"/>
          <w:sz w:val="15"/>
          <w:szCs w:val="15"/>
          <w:color w:val="auto"/>
        </w:rPr>
        <w:t>8.1. This Appendix shall be governed by, construed and enforced in accordance with the laws of the State of California, without reference to conflicts of law principles, except that applicable Israeli laws, rules and regulations (as amended) shall apply to any mandatory tax matters arising hereunder.</w:t>
      </w:r>
    </w:p>
    <w:p>
      <w:pPr>
        <w:spacing w:after="0" w:line="90" w:lineRule="exact"/>
        <w:rPr>
          <w:sz w:val="20"/>
          <w:szCs w:val="20"/>
          <w:color w:val="auto"/>
        </w:rPr>
      </w:pPr>
    </w:p>
    <w:p>
      <w:pPr>
        <w:jc w:val="center"/>
        <w:ind w:right="-99"/>
        <w:spacing w:after="0"/>
        <w:rPr>
          <w:sz w:val="20"/>
          <w:szCs w:val="20"/>
          <w:color w:val="auto"/>
        </w:rPr>
      </w:pPr>
      <w:r>
        <w:rPr>
          <w:rFonts w:ascii="Arial" w:cs="Arial" w:eastAsia="Arial" w:hAnsi="Arial"/>
          <w:sz w:val="15"/>
          <w:szCs w:val="15"/>
          <w:color w:val="auto"/>
        </w:rPr>
        <w:t>-28-</w:t>
      </w:r>
    </w:p>
    <w:p>
      <w:pPr>
        <w:sectPr>
          <w:pgSz w:w="11900" w:h="16838" w:orient="portrait"/>
          <w:cols w:equalWidth="0" w:num="1">
            <w:col w:w="11340"/>
          </w:cols>
          <w:pgMar w:left="240" w:top="249" w:right="319" w:bottom="1440" w:gutter="0" w:footer="0" w:header="0"/>
        </w:sectPr>
      </w:pPr>
    </w:p>
    <w:bookmarkStart w:id="276" w:name="page277"/>
    <w:bookmarkEnd w:id="276"/>
    <w:p>
      <w:pPr>
        <w:jc w:val="center"/>
        <w:ind w:right="-139"/>
        <w:spacing w:after="0"/>
        <w:rPr>
          <w:sz w:val="20"/>
          <w:szCs w:val="20"/>
          <w:color w:val="auto"/>
        </w:rPr>
      </w:pPr>
      <w:r>
        <w:rPr>
          <w:rFonts w:ascii="Arial" w:cs="Arial" w:eastAsia="Arial" w:hAnsi="Arial"/>
          <w:sz w:val="15"/>
          <w:szCs w:val="15"/>
          <w:b w:val="1"/>
          <w:bCs w:val="1"/>
          <w:color w:val="auto"/>
        </w:rPr>
        <w:drawing>
          <wp:anchor simplePos="0" relativeHeight="251657728" behindDoc="1" locked="0" layoutInCell="0" allowOverlap="1">
            <wp:simplePos x="0" y="0"/>
            <wp:positionH relativeFrom="page">
              <wp:posOffset>133350</wp:posOffset>
            </wp:positionH>
            <wp:positionV relativeFrom="page">
              <wp:posOffset>88900</wp:posOffset>
            </wp:positionV>
            <wp:extent cx="7308850" cy="34290"/>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414">
                      <a:extLst>
                        <a:ext uri="{28A0092B-C50C-407E-A947-70E740481C1C}"/>
                      </a:extLst>
                    </a:blip>
                    <a:srcRect/>
                    <a:stretch>
                      <a:fillRect/>
                    </a:stretch>
                  </pic:blipFill>
                  <pic:spPr bwMode="auto">
                    <a:xfrm>
                      <a:off x="0" y="0"/>
                      <a:ext cx="7308850" cy="34290"/>
                    </a:xfrm>
                    <a:prstGeom prst="rect">
                      <a:avLst/>
                    </a:prstGeom>
                    <a:noFill/>
                  </pic:spPr>
                </pic:pic>
              </a:graphicData>
            </a:graphic>
          </wp:anchor>
        </w:drawing>
        <w:t>DROPBOX, INC.</w:t>
      </w:r>
    </w:p>
    <w:p>
      <w:pPr>
        <w:spacing w:after="0" w:line="21" w:lineRule="exact"/>
        <w:rPr>
          <w:sz w:val="20"/>
          <w:szCs w:val="20"/>
          <w:color w:val="auto"/>
        </w:rPr>
      </w:pPr>
    </w:p>
    <w:p>
      <w:pPr>
        <w:ind w:left="4580"/>
        <w:spacing w:after="0"/>
        <w:rPr>
          <w:sz w:val="20"/>
          <w:szCs w:val="20"/>
          <w:color w:val="auto"/>
        </w:rPr>
      </w:pPr>
      <w:r>
        <w:rPr>
          <w:rFonts w:ascii="Arial" w:cs="Arial" w:eastAsia="Arial" w:hAnsi="Arial"/>
          <w:sz w:val="15"/>
          <w:szCs w:val="15"/>
          <w:b w:val="1"/>
          <w:bCs w:val="1"/>
          <w:color w:val="auto"/>
        </w:rPr>
        <w:t>2018 EQUITY INCENTIVE PLAN</w:t>
      </w:r>
    </w:p>
    <w:p>
      <w:pPr>
        <w:spacing w:after="0" w:line="8" w:lineRule="exact"/>
        <w:rPr>
          <w:sz w:val="20"/>
          <w:szCs w:val="20"/>
          <w:color w:val="auto"/>
        </w:rPr>
      </w:pPr>
    </w:p>
    <w:p>
      <w:pPr>
        <w:ind w:left="4620"/>
        <w:spacing w:after="0"/>
        <w:rPr>
          <w:sz w:val="20"/>
          <w:szCs w:val="20"/>
          <w:color w:val="auto"/>
        </w:rPr>
      </w:pPr>
      <w:r>
        <w:rPr>
          <w:rFonts w:ascii="Arial" w:cs="Arial" w:eastAsia="Arial" w:hAnsi="Arial"/>
          <w:sz w:val="15"/>
          <w:szCs w:val="15"/>
          <w:b w:val="1"/>
          <w:bCs w:val="1"/>
          <w:color w:val="auto"/>
        </w:rPr>
        <w:t>STOCK OPTION AGREEMENT</w:t>
      </w:r>
    </w:p>
    <w:p>
      <w:pPr>
        <w:spacing w:after="0" w:line="179" w:lineRule="exact"/>
        <w:rPr>
          <w:sz w:val="20"/>
          <w:szCs w:val="20"/>
          <w:color w:val="auto"/>
        </w:rPr>
      </w:pPr>
    </w:p>
    <w:p>
      <w:pPr>
        <w:ind w:firstLine="458"/>
        <w:spacing w:after="0" w:line="263" w:lineRule="auto"/>
        <w:rPr>
          <w:sz w:val="20"/>
          <w:szCs w:val="20"/>
          <w:color w:val="auto"/>
        </w:rPr>
      </w:pPr>
      <w:r>
        <w:rPr>
          <w:rFonts w:ascii="Arial" w:cs="Arial" w:eastAsia="Arial" w:hAnsi="Arial"/>
          <w:sz w:val="15"/>
          <w:szCs w:val="15"/>
          <w:color w:val="auto"/>
        </w:rPr>
        <w:t xml:space="preserve">Unless otherwise defined herein, the terms defined in the Dropbox, Inc. 2018 Equity Incentive Plan (the “Plan”) will have the same defined meanings in this Stock Option Agreement, which includes the Notice of Stock Option Grant (the “Notice of Grant”), the Terms and Conditions of Stock Option Grant attached hereto as </w:t>
      </w:r>
      <w:r>
        <w:rPr>
          <w:rFonts w:ascii="Arial" w:cs="Arial" w:eastAsia="Arial" w:hAnsi="Arial"/>
          <w:sz w:val="15"/>
          <w:szCs w:val="15"/>
          <w:u w:val="single" w:color="auto"/>
          <w:color w:val="auto"/>
        </w:rPr>
        <w:t>Exhibit A</w:t>
      </w:r>
      <w:r>
        <w:rPr>
          <w:rFonts w:ascii="Arial" w:cs="Arial" w:eastAsia="Arial" w:hAnsi="Arial"/>
          <w:sz w:val="15"/>
          <w:szCs w:val="15"/>
          <w:color w:val="auto"/>
        </w:rPr>
        <w:t>, and all appendices and exhibits attached thereto (all together, the “Option Agreement”).</w:t>
      </w:r>
    </w:p>
    <w:p>
      <w:pPr>
        <w:spacing w:after="0" w:line="241" w:lineRule="exact"/>
        <w:rPr>
          <w:sz w:val="20"/>
          <w:szCs w:val="20"/>
          <w:color w:val="auto"/>
        </w:rPr>
      </w:pPr>
    </w:p>
    <w:p>
      <w:pPr>
        <w:spacing w:after="0"/>
        <w:rPr>
          <w:sz w:val="20"/>
          <w:szCs w:val="20"/>
          <w:color w:val="auto"/>
        </w:rPr>
      </w:pPr>
      <w:r>
        <w:rPr>
          <w:rFonts w:ascii="Arial" w:cs="Arial" w:eastAsia="Arial" w:hAnsi="Arial"/>
          <w:sz w:val="15"/>
          <w:szCs w:val="15"/>
          <w:b w:val="1"/>
          <w:bCs w:val="1"/>
          <w:u w:val="single" w:color="auto"/>
          <w:color w:val="auto"/>
        </w:rPr>
        <w:t>NOTICE OF STOCK OPTION GRANT</w:t>
      </w:r>
    </w:p>
    <w:p>
      <w:pPr>
        <w:spacing w:after="0" w:line="98" w:lineRule="exact"/>
        <w:rPr>
          <w:sz w:val="20"/>
          <w:szCs w:val="20"/>
          <w:color w:val="auto"/>
        </w:rPr>
      </w:pPr>
    </w:p>
    <w:p>
      <w:pPr>
        <w:ind w:left="440"/>
        <w:spacing w:after="0"/>
        <w:rPr>
          <w:sz w:val="20"/>
          <w:szCs w:val="20"/>
          <w:color w:val="auto"/>
        </w:rPr>
      </w:pPr>
      <w:r>
        <w:rPr>
          <w:rFonts w:ascii="Arial" w:cs="Arial" w:eastAsia="Arial" w:hAnsi="Arial"/>
          <w:sz w:val="15"/>
          <w:szCs w:val="15"/>
          <w:b w:val="1"/>
          <w:bCs w:val="1"/>
          <w:color w:val="auto"/>
        </w:rPr>
        <w:t>Participant:</w:t>
      </w:r>
    </w:p>
    <w:p>
      <w:pPr>
        <w:spacing w:after="0" w:line="98" w:lineRule="exact"/>
        <w:rPr>
          <w:sz w:val="20"/>
          <w:szCs w:val="20"/>
          <w:color w:val="auto"/>
        </w:rPr>
      </w:pPr>
    </w:p>
    <w:p>
      <w:pPr>
        <w:ind w:left="440"/>
        <w:spacing w:after="0"/>
        <w:rPr>
          <w:sz w:val="20"/>
          <w:szCs w:val="20"/>
          <w:color w:val="auto"/>
        </w:rPr>
      </w:pPr>
      <w:r>
        <w:rPr>
          <w:rFonts w:ascii="Arial" w:cs="Arial" w:eastAsia="Arial" w:hAnsi="Arial"/>
          <w:sz w:val="15"/>
          <w:szCs w:val="15"/>
          <w:b w:val="1"/>
          <w:bCs w:val="1"/>
          <w:color w:val="auto"/>
        </w:rPr>
        <w:t>Address:</w:t>
      </w:r>
    </w:p>
    <w:p>
      <w:pPr>
        <w:spacing w:after="0" w:line="102" w:lineRule="exact"/>
        <w:rPr>
          <w:sz w:val="20"/>
          <w:szCs w:val="20"/>
          <w:color w:val="auto"/>
        </w:rPr>
      </w:pPr>
    </w:p>
    <w:p>
      <w:pPr>
        <w:ind w:left="440"/>
        <w:spacing w:after="0"/>
        <w:rPr>
          <w:sz w:val="20"/>
          <w:szCs w:val="20"/>
          <w:color w:val="auto"/>
        </w:rPr>
      </w:pPr>
      <w:r>
        <w:rPr>
          <w:rFonts w:ascii="Arial" w:cs="Arial" w:eastAsia="Arial" w:hAnsi="Arial"/>
          <w:sz w:val="14"/>
          <w:szCs w:val="14"/>
          <w:color w:val="auto"/>
        </w:rPr>
        <w:t>The undersigned Participant has been granted an Option to purchase Common Stock of Dropbox, Inc. (the “Company”), subject to the terms and conditions of the Plan and this</w:t>
      </w:r>
    </w:p>
    <w:p>
      <w:pPr>
        <w:spacing w:after="0" w:line="29" w:lineRule="exact"/>
        <w:rPr>
          <w:sz w:val="20"/>
          <w:szCs w:val="20"/>
          <w:color w:val="auto"/>
        </w:rPr>
      </w:pPr>
    </w:p>
    <w:p>
      <w:pPr>
        <w:spacing w:after="0"/>
        <w:rPr>
          <w:sz w:val="20"/>
          <w:szCs w:val="20"/>
          <w:color w:val="auto"/>
        </w:rPr>
      </w:pPr>
      <w:r>
        <w:rPr>
          <w:rFonts w:ascii="Arial" w:cs="Arial" w:eastAsia="Arial" w:hAnsi="Arial"/>
          <w:sz w:val="15"/>
          <w:szCs w:val="15"/>
          <w:color w:val="auto"/>
        </w:rPr>
        <w:t>Option Agreement, as follows:</w:t>
      </w:r>
    </w:p>
    <w:p>
      <w:pPr>
        <w:spacing w:after="0" w:line="280" w:lineRule="exact"/>
        <w:rPr>
          <w:sz w:val="20"/>
          <w:szCs w:val="20"/>
          <w:color w:val="auto"/>
        </w:rPr>
      </w:pPr>
    </w:p>
    <w:tbl>
      <w:tblPr>
        <w:tblLayout w:type="fixed"/>
        <w:tblInd w:w="460" w:type="dxa"/>
        <w:tblCellMar>
          <w:top w:w="0" w:type="dxa"/>
          <w:left w:w="0" w:type="dxa"/>
          <w:bottom w:w="0" w:type="dxa"/>
          <w:right w:w="0" w:type="dxa"/>
        </w:tblCellMar>
      </w:tblPr>
      <w:tr>
        <w:trPr>
          <w:trHeight w:val="190"/>
        </w:trPr>
        <w:tc>
          <w:tcPr>
            <w:tcW w:w="3260" w:type="dxa"/>
            <w:vAlign w:val="bottom"/>
            <w:gridSpan w:val="2"/>
          </w:tcPr>
          <w:p>
            <w:pPr>
              <w:spacing w:after="0"/>
              <w:rPr>
                <w:sz w:val="20"/>
                <w:szCs w:val="20"/>
                <w:color w:val="auto"/>
              </w:rPr>
            </w:pPr>
            <w:r>
              <w:rPr>
                <w:rFonts w:ascii="Arial" w:cs="Arial" w:eastAsia="Arial" w:hAnsi="Arial"/>
                <w:sz w:val="15"/>
                <w:szCs w:val="15"/>
                <w:color w:val="auto"/>
              </w:rPr>
              <w:t>Grant Number:</w:t>
            </w:r>
          </w:p>
        </w:tc>
        <w:tc>
          <w:tcPr>
            <w:tcW w:w="300" w:type="dxa"/>
            <w:vAlign w:val="bottom"/>
            <w:tcBorders>
              <w:bottom w:val="single" w:sz="8" w:color="auto"/>
            </w:tcBorders>
          </w:tcPr>
          <w:p>
            <w:pPr>
              <w:spacing w:after="0"/>
              <w:rPr>
                <w:sz w:val="16"/>
                <w:szCs w:val="16"/>
                <w:color w:val="auto"/>
              </w:rPr>
            </w:pPr>
          </w:p>
        </w:tc>
        <w:tc>
          <w:tcPr>
            <w:tcW w:w="4760" w:type="dxa"/>
            <w:vAlign w:val="bottom"/>
            <w:tcBorders>
              <w:bottom w:val="single" w:sz="8" w:color="auto"/>
            </w:tcBorders>
          </w:tcPr>
          <w:p>
            <w:pPr>
              <w:spacing w:after="0"/>
              <w:rPr>
                <w:sz w:val="16"/>
                <w:szCs w:val="16"/>
                <w:color w:val="auto"/>
              </w:rPr>
            </w:pPr>
          </w:p>
        </w:tc>
      </w:tr>
      <w:tr>
        <w:trPr>
          <w:trHeight w:val="363"/>
        </w:trPr>
        <w:tc>
          <w:tcPr>
            <w:tcW w:w="3260" w:type="dxa"/>
            <w:vAlign w:val="bottom"/>
            <w:gridSpan w:val="2"/>
          </w:tcPr>
          <w:p>
            <w:pPr>
              <w:spacing w:after="0"/>
              <w:rPr>
                <w:sz w:val="20"/>
                <w:szCs w:val="20"/>
                <w:color w:val="auto"/>
              </w:rPr>
            </w:pPr>
            <w:r>
              <w:rPr>
                <w:rFonts w:ascii="Arial" w:cs="Arial" w:eastAsia="Arial" w:hAnsi="Arial"/>
                <w:sz w:val="15"/>
                <w:szCs w:val="15"/>
                <w:color w:val="auto"/>
              </w:rPr>
              <w:t>Date of Grant:</w:t>
            </w:r>
          </w:p>
        </w:tc>
        <w:tc>
          <w:tcPr>
            <w:tcW w:w="300" w:type="dxa"/>
            <w:vAlign w:val="bottom"/>
            <w:tcBorders>
              <w:bottom w:val="single" w:sz="8" w:color="auto"/>
            </w:tcBorders>
          </w:tcPr>
          <w:p>
            <w:pPr>
              <w:spacing w:after="0"/>
              <w:rPr>
                <w:sz w:val="24"/>
                <w:szCs w:val="24"/>
                <w:color w:val="auto"/>
              </w:rPr>
            </w:pPr>
          </w:p>
        </w:tc>
        <w:tc>
          <w:tcPr>
            <w:tcW w:w="4760" w:type="dxa"/>
            <w:vAlign w:val="bottom"/>
            <w:tcBorders>
              <w:bottom w:val="single" w:sz="8" w:color="auto"/>
            </w:tcBorders>
          </w:tcPr>
          <w:p>
            <w:pPr>
              <w:spacing w:after="0"/>
              <w:rPr>
                <w:sz w:val="24"/>
                <w:szCs w:val="24"/>
                <w:color w:val="auto"/>
              </w:rPr>
            </w:pPr>
          </w:p>
        </w:tc>
      </w:tr>
      <w:tr>
        <w:trPr>
          <w:trHeight w:val="363"/>
        </w:trPr>
        <w:tc>
          <w:tcPr>
            <w:tcW w:w="3260" w:type="dxa"/>
            <w:vAlign w:val="bottom"/>
            <w:gridSpan w:val="2"/>
          </w:tcPr>
          <w:p>
            <w:pPr>
              <w:spacing w:after="0"/>
              <w:rPr>
                <w:sz w:val="20"/>
                <w:szCs w:val="20"/>
                <w:color w:val="auto"/>
              </w:rPr>
            </w:pPr>
            <w:r>
              <w:rPr>
                <w:rFonts w:ascii="Arial" w:cs="Arial" w:eastAsia="Arial" w:hAnsi="Arial"/>
                <w:sz w:val="15"/>
                <w:szCs w:val="15"/>
                <w:color w:val="auto"/>
              </w:rPr>
              <w:t>Vesting Commencement Date:</w:t>
            </w:r>
          </w:p>
        </w:tc>
        <w:tc>
          <w:tcPr>
            <w:tcW w:w="300" w:type="dxa"/>
            <w:vAlign w:val="bottom"/>
            <w:tcBorders>
              <w:bottom w:val="single" w:sz="8" w:color="auto"/>
            </w:tcBorders>
          </w:tcPr>
          <w:p>
            <w:pPr>
              <w:spacing w:after="0"/>
              <w:rPr>
                <w:sz w:val="24"/>
                <w:szCs w:val="24"/>
                <w:color w:val="auto"/>
              </w:rPr>
            </w:pPr>
          </w:p>
        </w:tc>
        <w:tc>
          <w:tcPr>
            <w:tcW w:w="4760" w:type="dxa"/>
            <w:vAlign w:val="bottom"/>
            <w:tcBorders>
              <w:bottom w:val="single" w:sz="8" w:color="auto"/>
            </w:tcBorders>
          </w:tcPr>
          <w:p>
            <w:pPr>
              <w:spacing w:after="0"/>
              <w:rPr>
                <w:sz w:val="24"/>
                <w:szCs w:val="24"/>
                <w:color w:val="auto"/>
              </w:rPr>
            </w:pPr>
          </w:p>
        </w:tc>
      </w:tr>
      <w:tr>
        <w:trPr>
          <w:trHeight w:val="364"/>
        </w:trPr>
        <w:tc>
          <w:tcPr>
            <w:tcW w:w="3260" w:type="dxa"/>
            <w:vAlign w:val="bottom"/>
            <w:gridSpan w:val="2"/>
          </w:tcPr>
          <w:p>
            <w:pPr>
              <w:spacing w:after="0"/>
              <w:rPr>
                <w:sz w:val="20"/>
                <w:szCs w:val="20"/>
                <w:color w:val="auto"/>
              </w:rPr>
            </w:pPr>
            <w:r>
              <w:rPr>
                <w:rFonts w:ascii="Arial" w:cs="Arial" w:eastAsia="Arial" w:hAnsi="Arial"/>
                <w:sz w:val="15"/>
                <w:szCs w:val="15"/>
                <w:color w:val="auto"/>
              </w:rPr>
              <w:t>Number of Shares Granted:</w:t>
            </w:r>
          </w:p>
        </w:tc>
        <w:tc>
          <w:tcPr>
            <w:tcW w:w="300" w:type="dxa"/>
            <w:vAlign w:val="bottom"/>
            <w:tcBorders>
              <w:bottom w:val="single" w:sz="8" w:color="auto"/>
            </w:tcBorders>
          </w:tcPr>
          <w:p>
            <w:pPr>
              <w:spacing w:after="0"/>
              <w:rPr>
                <w:sz w:val="24"/>
                <w:szCs w:val="24"/>
                <w:color w:val="auto"/>
              </w:rPr>
            </w:pPr>
          </w:p>
        </w:tc>
        <w:tc>
          <w:tcPr>
            <w:tcW w:w="4760" w:type="dxa"/>
            <w:vAlign w:val="bottom"/>
            <w:tcBorders>
              <w:bottom w:val="single" w:sz="8" w:color="auto"/>
            </w:tcBorders>
          </w:tcPr>
          <w:p>
            <w:pPr>
              <w:spacing w:after="0"/>
              <w:rPr>
                <w:sz w:val="24"/>
                <w:szCs w:val="24"/>
                <w:color w:val="auto"/>
              </w:rPr>
            </w:pPr>
          </w:p>
        </w:tc>
      </w:tr>
      <w:tr>
        <w:trPr>
          <w:trHeight w:val="363"/>
        </w:trPr>
        <w:tc>
          <w:tcPr>
            <w:tcW w:w="3260" w:type="dxa"/>
            <w:vAlign w:val="bottom"/>
            <w:gridSpan w:val="2"/>
          </w:tcPr>
          <w:p>
            <w:pPr>
              <w:spacing w:after="0"/>
              <w:rPr>
                <w:sz w:val="20"/>
                <w:szCs w:val="20"/>
                <w:color w:val="auto"/>
              </w:rPr>
            </w:pPr>
            <w:r>
              <w:rPr>
                <w:rFonts w:ascii="Arial" w:cs="Arial" w:eastAsia="Arial" w:hAnsi="Arial"/>
                <w:sz w:val="15"/>
                <w:szCs w:val="15"/>
                <w:color w:val="auto"/>
              </w:rPr>
              <w:t>Exercise Price per Share:</w:t>
            </w:r>
          </w:p>
        </w:tc>
        <w:tc>
          <w:tcPr>
            <w:tcW w:w="300" w:type="dxa"/>
            <w:vAlign w:val="bottom"/>
            <w:tcBorders>
              <w:bottom w:val="single" w:sz="8" w:color="auto"/>
            </w:tcBorders>
          </w:tcPr>
          <w:p>
            <w:pPr>
              <w:jc w:val="right"/>
              <w:ind w:right="145"/>
              <w:spacing w:after="0"/>
              <w:rPr>
                <w:sz w:val="20"/>
                <w:szCs w:val="20"/>
                <w:color w:val="auto"/>
              </w:rPr>
            </w:pPr>
            <w:r>
              <w:rPr>
                <w:rFonts w:ascii="Arial" w:cs="Arial" w:eastAsia="Arial" w:hAnsi="Arial"/>
                <w:sz w:val="15"/>
                <w:szCs w:val="15"/>
                <w:color w:val="auto"/>
                <w:w w:val="71"/>
              </w:rPr>
              <w:t>$</w:t>
            </w:r>
          </w:p>
        </w:tc>
        <w:tc>
          <w:tcPr>
            <w:tcW w:w="4760" w:type="dxa"/>
            <w:vAlign w:val="bottom"/>
            <w:tcBorders>
              <w:bottom w:val="single" w:sz="8" w:color="auto"/>
            </w:tcBorders>
          </w:tcPr>
          <w:p>
            <w:pPr>
              <w:spacing w:after="0"/>
              <w:rPr>
                <w:sz w:val="24"/>
                <w:szCs w:val="24"/>
                <w:color w:val="auto"/>
              </w:rPr>
            </w:pPr>
          </w:p>
        </w:tc>
      </w:tr>
      <w:tr>
        <w:trPr>
          <w:trHeight w:val="363"/>
        </w:trPr>
        <w:tc>
          <w:tcPr>
            <w:tcW w:w="3260" w:type="dxa"/>
            <w:vAlign w:val="bottom"/>
            <w:gridSpan w:val="2"/>
          </w:tcPr>
          <w:p>
            <w:pPr>
              <w:spacing w:after="0"/>
              <w:rPr>
                <w:sz w:val="20"/>
                <w:szCs w:val="20"/>
                <w:color w:val="auto"/>
              </w:rPr>
            </w:pPr>
            <w:r>
              <w:rPr>
                <w:rFonts w:ascii="Arial" w:cs="Arial" w:eastAsia="Arial" w:hAnsi="Arial"/>
                <w:sz w:val="15"/>
                <w:szCs w:val="15"/>
                <w:color w:val="auto"/>
              </w:rPr>
              <w:t>Total Exercise Price:</w:t>
            </w:r>
          </w:p>
        </w:tc>
        <w:tc>
          <w:tcPr>
            <w:tcW w:w="300" w:type="dxa"/>
            <w:vAlign w:val="bottom"/>
            <w:tcBorders>
              <w:bottom w:val="single" w:sz="8" w:color="auto"/>
            </w:tcBorders>
          </w:tcPr>
          <w:p>
            <w:pPr>
              <w:jc w:val="right"/>
              <w:ind w:right="145"/>
              <w:spacing w:after="0"/>
              <w:rPr>
                <w:sz w:val="20"/>
                <w:szCs w:val="20"/>
                <w:color w:val="auto"/>
              </w:rPr>
            </w:pPr>
            <w:r>
              <w:rPr>
                <w:rFonts w:ascii="Arial" w:cs="Arial" w:eastAsia="Arial" w:hAnsi="Arial"/>
                <w:sz w:val="15"/>
                <w:szCs w:val="15"/>
                <w:color w:val="auto"/>
                <w:w w:val="71"/>
              </w:rPr>
              <w:t>$</w:t>
            </w:r>
          </w:p>
        </w:tc>
        <w:tc>
          <w:tcPr>
            <w:tcW w:w="4760" w:type="dxa"/>
            <w:vAlign w:val="bottom"/>
            <w:tcBorders>
              <w:bottom w:val="single" w:sz="8" w:color="auto"/>
            </w:tcBorders>
          </w:tcPr>
          <w:p>
            <w:pPr>
              <w:spacing w:after="0"/>
              <w:rPr>
                <w:sz w:val="24"/>
                <w:szCs w:val="24"/>
                <w:color w:val="auto"/>
              </w:rPr>
            </w:pPr>
          </w:p>
        </w:tc>
      </w:tr>
      <w:tr>
        <w:trPr>
          <w:trHeight w:val="330"/>
        </w:trPr>
        <w:tc>
          <w:tcPr>
            <w:tcW w:w="3260" w:type="dxa"/>
            <w:vAlign w:val="bottom"/>
            <w:gridSpan w:val="2"/>
          </w:tcPr>
          <w:p>
            <w:pPr>
              <w:spacing w:after="0"/>
              <w:rPr>
                <w:sz w:val="20"/>
                <w:szCs w:val="20"/>
                <w:color w:val="auto"/>
              </w:rPr>
            </w:pPr>
            <w:r>
              <w:rPr>
                <w:rFonts w:ascii="Arial" w:cs="Arial" w:eastAsia="Arial" w:hAnsi="Arial"/>
                <w:sz w:val="15"/>
                <w:szCs w:val="15"/>
                <w:color w:val="auto"/>
              </w:rPr>
              <w:t>Type of Option:</w:t>
            </w:r>
          </w:p>
        </w:tc>
        <w:tc>
          <w:tcPr>
            <w:tcW w:w="300" w:type="dxa"/>
            <w:vAlign w:val="bottom"/>
            <w:tcBorders>
              <w:bottom w:val="single" w:sz="8" w:color="auto"/>
            </w:tcBorders>
          </w:tcPr>
          <w:p>
            <w:pPr>
              <w:spacing w:after="0"/>
              <w:rPr>
                <w:sz w:val="24"/>
                <w:szCs w:val="24"/>
                <w:color w:val="auto"/>
              </w:rPr>
            </w:pPr>
          </w:p>
        </w:tc>
        <w:tc>
          <w:tcPr>
            <w:tcW w:w="4760" w:type="dxa"/>
            <w:vAlign w:val="bottom"/>
          </w:tcPr>
          <w:p>
            <w:pPr>
              <w:ind w:left="40"/>
              <w:spacing w:after="0"/>
              <w:rPr>
                <w:sz w:val="20"/>
                <w:szCs w:val="20"/>
                <w:color w:val="auto"/>
              </w:rPr>
            </w:pPr>
            <w:r>
              <w:rPr>
                <w:rFonts w:ascii="Arial" w:cs="Arial" w:eastAsia="Arial" w:hAnsi="Arial"/>
                <w:sz w:val="15"/>
                <w:szCs w:val="15"/>
                <w:color w:val="auto"/>
              </w:rPr>
              <w:t>Incentive Stock Option</w:t>
            </w:r>
          </w:p>
        </w:tc>
      </w:tr>
      <w:tr>
        <w:trPr>
          <w:trHeight w:val="341"/>
        </w:trPr>
        <w:tc>
          <w:tcPr>
            <w:tcW w:w="104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4760" w:type="dxa"/>
            <w:vAlign w:val="bottom"/>
          </w:tcPr>
          <w:p>
            <w:pPr>
              <w:ind w:left="40"/>
              <w:spacing w:after="0"/>
              <w:rPr>
                <w:sz w:val="20"/>
                <w:szCs w:val="20"/>
                <w:color w:val="auto"/>
              </w:rPr>
            </w:pPr>
            <w:r>
              <w:rPr>
                <w:rFonts w:ascii="Arial" w:cs="Arial" w:eastAsia="Arial" w:hAnsi="Arial"/>
                <w:sz w:val="15"/>
                <w:szCs w:val="15"/>
                <w:color w:val="auto"/>
              </w:rPr>
              <w:t>Nonstatutory Stock Option</w:t>
            </w:r>
          </w:p>
        </w:tc>
      </w:tr>
      <w:tr>
        <w:trPr>
          <w:trHeight w:val="374"/>
        </w:trPr>
        <w:tc>
          <w:tcPr>
            <w:tcW w:w="3260" w:type="dxa"/>
            <w:vAlign w:val="bottom"/>
            <w:gridSpan w:val="2"/>
          </w:tcPr>
          <w:p>
            <w:pPr>
              <w:spacing w:after="0"/>
              <w:rPr>
                <w:sz w:val="20"/>
                <w:szCs w:val="20"/>
                <w:color w:val="auto"/>
              </w:rPr>
            </w:pPr>
            <w:r>
              <w:rPr>
                <w:rFonts w:ascii="Arial" w:cs="Arial" w:eastAsia="Arial" w:hAnsi="Arial"/>
                <w:sz w:val="15"/>
                <w:szCs w:val="15"/>
                <w:color w:val="auto"/>
              </w:rPr>
              <w:t>Term/Expiration Date:</w:t>
            </w:r>
          </w:p>
        </w:tc>
        <w:tc>
          <w:tcPr>
            <w:tcW w:w="300" w:type="dxa"/>
            <w:vAlign w:val="bottom"/>
            <w:tcBorders>
              <w:bottom w:val="single" w:sz="8" w:color="auto"/>
            </w:tcBorders>
          </w:tcPr>
          <w:p>
            <w:pPr>
              <w:spacing w:after="0"/>
              <w:rPr>
                <w:sz w:val="24"/>
                <w:szCs w:val="24"/>
                <w:color w:val="auto"/>
              </w:rPr>
            </w:pPr>
          </w:p>
        </w:tc>
        <w:tc>
          <w:tcPr>
            <w:tcW w:w="4760" w:type="dxa"/>
            <w:vAlign w:val="bottom"/>
            <w:tcBorders>
              <w:bottom w:val="single" w:sz="8" w:color="auto"/>
            </w:tcBorders>
          </w:tcPr>
          <w:p>
            <w:pPr>
              <w:spacing w:after="0"/>
              <w:rPr>
                <w:sz w:val="24"/>
                <w:szCs w:val="24"/>
                <w:color w:val="auto"/>
              </w:rPr>
            </w:pPr>
          </w:p>
        </w:tc>
      </w:tr>
      <w:tr>
        <w:trPr>
          <w:trHeight w:val="331"/>
        </w:trPr>
        <w:tc>
          <w:tcPr>
            <w:tcW w:w="3260" w:type="dxa"/>
            <w:vAlign w:val="bottom"/>
            <w:gridSpan w:val="2"/>
          </w:tcPr>
          <w:p>
            <w:pPr>
              <w:spacing w:after="0"/>
              <w:rPr>
                <w:sz w:val="20"/>
                <w:szCs w:val="20"/>
                <w:color w:val="auto"/>
              </w:rPr>
            </w:pPr>
            <w:r>
              <w:rPr>
                <w:rFonts w:ascii="Arial" w:cs="Arial" w:eastAsia="Arial" w:hAnsi="Arial"/>
                <w:sz w:val="15"/>
                <w:szCs w:val="15"/>
                <w:color w:val="auto"/>
              </w:rPr>
              <w:t>Vesting Schedule:</w:t>
            </w:r>
          </w:p>
        </w:tc>
        <w:tc>
          <w:tcPr>
            <w:tcW w:w="300" w:type="dxa"/>
            <w:vAlign w:val="bottom"/>
          </w:tcPr>
          <w:p>
            <w:pPr>
              <w:spacing w:after="0"/>
              <w:rPr>
                <w:sz w:val="24"/>
                <w:szCs w:val="24"/>
                <w:color w:val="auto"/>
              </w:rPr>
            </w:pPr>
          </w:p>
        </w:tc>
        <w:tc>
          <w:tcPr>
            <w:tcW w:w="4760" w:type="dxa"/>
            <w:vAlign w:val="bottom"/>
          </w:tcPr>
          <w:p>
            <w:pPr>
              <w:spacing w:after="0"/>
              <w:rPr>
                <w:sz w:val="24"/>
                <w:szCs w:val="24"/>
                <w:color w:val="auto"/>
              </w:rPr>
            </w:pPr>
          </w:p>
        </w:tc>
      </w:tr>
      <w:tr>
        <w:trPr>
          <w:trHeight w:val="20"/>
        </w:trPr>
        <w:tc>
          <w:tcPr>
            <w:tcW w:w="1040" w:type="dxa"/>
            <w:vAlign w:val="bottom"/>
            <w:shd w:val="clear" w:color="auto" w:fill="000000"/>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760" w:type="dxa"/>
            <w:vAlign w:val="bottom"/>
          </w:tcPr>
          <w:p>
            <w:pPr>
              <w:spacing w:after="0" w:line="20" w:lineRule="exact"/>
              <w:rPr>
                <w:sz w:val="1"/>
                <w:szCs w:val="1"/>
                <w:color w:val="auto"/>
              </w:rPr>
            </w:pPr>
          </w:p>
        </w:tc>
      </w:tr>
    </w:tbl>
    <w:p>
      <w:pPr>
        <w:spacing w:after="0" w:line="192" w:lineRule="exact"/>
        <w:rPr>
          <w:sz w:val="20"/>
          <w:szCs w:val="20"/>
          <w:color w:val="auto"/>
        </w:rPr>
      </w:pPr>
    </w:p>
    <w:p>
      <w:pPr>
        <w:ind w:left="440"/>
        <w:spacing w:after="0"/>
        <w:rPr>
          <w:sz w:val="20"/>
          <w:szCs w:val="20"/>
          <w:color w:val="auto"/>
        </w:rPr>
      </w:pPr>
      <w:r>
        <w:rPr>
          <w:rFonts w:ascii="Arial" w:cs="Arial" w:eastAsia="Arial" w:hAnsi="Arial"/>
          <w:sz w:val="15"/>
          <w:szCs w:val="15"/>
          <w:color w:val="auto"/>
        </w:rPr>
        <w:t>Subject to accelerated vesting as set forth below or in the Plan, this Option will be exercisable, in whole or in part, in accordance with the following schedule:</w:t>
      </w:r>
    </w:p>
    <w:p>
      <w:pPr>
        <w:spacing w:after="0" w:line="188" w:lineRule="exact"/>
        <w:rPr>
          <w:sz w:val="20"/>
          <w:szCs w:val="20"/>
          <w:color w:val="auto"/>
        </w:rPr>
      </w:pPr>
    </w:p>
    <w:p>
      <w:pPr>
        <w:ind w:right="60" w:firstLine="458"/>
        <w:spacing w:after="0" w:line="263" w:lineRule="auto"/>
        <w:rPr>
          <w:sz w:val="20"/>
          <w:szCs w:val="20"/>
          <w:color w:val="auto"/>
        </w:rPr>
      </w:pPr>
      <w:r>
        <w:rPr>
          <w:rFonts w:ascii="Arial" w:cs="Arial" w:eastAsia="Arial" w:hAnsi="Arial"/>
          <w:sz w:val="15"/>
          <w:szCs w:val="15"/>
          <w:color w:val="auto"/>
        </w:rPr>
        <w:t>[Twenty-five percent (25%) of the Shares subject to the Option shall vest on the one (1) year anniversary of the Vesting Commencement Date, and one forty-eighth (1/48</w:t>
      </w:r>
      <w:r>
        <w:rPr>
          <w:rFonts w:ascii="Arial" w:cs="Arial" w:eastAsia="Arial" w:hAnsi="Arial"/>
          <w:sz w:val="12"/>
          <w:szCs w:val="12"/>
          <w:color w:val="auto"/>
        </w:rPr>
        <w:t>th</w:t>
      </w:r>
      <w:r>
        <w:rPr>
          <w:rFonts w:ascii="Arial" w:cs="Arial" w:eastAsia="Arial" w:hAnsi="Arial"/>
          <w:sz w:val="15"/>
          <w:szCs w:val="15"/>
          <w:color w:val="auto"/>
        </w:rPr>
        <w:t>) of the Shares subject to the Option shall vest each month thereafter on the same day of the month as the Vesting Commencement Date (and if there is no corresponding day, on the last day of the month), subject to Participant continuing to be a Service Provider through each such date.]</w:t>
      </w:r>
    </w:p>
    <w:p>
      <w:pPr>
        <w:spacing w:after="0" w:line="99" w:lineRule="exact"/>
        <w:rPr>
          <w:sz w:val="20"/>
          <w:szCs w:val="20"/>
          <w:color w:val="auto"/>
        </w:rPr>
      </w:pPr>
    </w:p>
    <w:p>
      <w:pPr>
        <w:jc w:val="center"/>
        <w:ind w:right="-139"/>
        <w:spacing w:after="0"/>
        <w:rPr>
          <w:sz w:val="20"/>
          <w:szCs w:val="20"/>
          <w:color w:val="auto"/>
        </w:rPr>
      </w:pPr>
      <w:r>
        <w:rPr>
          <w:rFonts w:ascii="Arial" w:cs="Arial" w:eastAsia="Arial" w:hAnsi="Arial"/>
          <w:sz w:val="15"/>
          <w:szCs w:val="15"/>
          <w:color w:val="auto"/>
        </w:rPr>
        <w:t>- 1 -</w:t>
      </w:r>
    </w:p>
    <w:p>
      <w:pPr>
        <w:sectPr>
          <w:pgSz w:w="11900" w:h="16838" w:orient="portrait"/>
          <w:cols w:equalWidth="0" w:num="1">
            <w:col w:w="11300"/>
          </w:cols>
          <w:pgMar w:left="240" w:top="249" w:right="359" w:bottom="1440" w:gutter="0" w:footer="0" w:header="0"/>
        </w:sectPr>
      </w:pPr>
    </w:p>
    <w:bookmarkStart w:id="277" w:name="page278"/>
    <w:bookmarkEnd w:id="277"/>
    <w:p>
      <w:pPr>
        <w:ind w:left="440"/>
        <w:spacing w:after="0"/>
        <w:rPr>
          <w:sz w:val="20"/>
          <w:szCs w:val="20"/>
          <w:color w:val="auto"/>
        </w:rPr>
      </w:pPr>
      <w:r>
        <w:rPr>
          <w:rFonts w:ascii="Arial" w:cs="Arial" w:eastAsia="Arial" w:hAnsi="Arial"/>
          <w:sz w:val="15"/>
          <w:szCs w:val="15"/>
          <w:u w:val="single" w:color="auto"/>
          <w:color w:val="auto"/>
        </w:rPr>
        <w:drawing>
          <wp:anchor simplePos="0" relativeHeight="251657728" behindDoc="1" locked="0" layoutInCell="0" allowOverlap="1">
            <wp:simplePos x="0" y="0"/>
            <wp:positionH relativeFrom="page">
              <wp:posOffset>133350</wp:posOffset>
            </wp:positionH>
            <wp:positionV relativeFrom="page">
              <wp:posOffset>88900</wp:posOffset>
            </wp:positionV>
            <wp:extent cx="7308850" cy="34290"/>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415">
                      <a:extLst>
                        <a:ext uri="{28A0092B-C50C-407E-A947-70E740481C1C}"/>
                      </a:extLst>
                    </a:blip>
                    <a:srcRect/>
                    <a:stretch>
                      <a:fillRect/>
                    </a:stretch>
                  </pic:blipFill>
                  <pic:spPr bwMode="auto">
                    <a:xfrm>
                      <a:off x="0" y="0"/>
                      <a:ext cx="7308850" cy="34290"/>
                    </a:xfrm>
                    <a:prstGeom prst="rect">
                      <a:avLst/>
                    </a:prstGeom>
                    <a:noFill/>
                  </pic:spPr>
                </pic:pic>
              </a:graphicData>
            </a:graphic>
          </wp:anchor>
        </w:drawing>
        <w:t>Termination Period</w:t>
      </w:r>
      <w:r>
        <w:rPr>
          <w:rFonts w:ascii="Arial" w:cs="Arial" w:eastAsia="Arial" w:hAnsi="Arial"/>
          <w:sz w:val="15"/>
          <w:szCs w:val="15"/>
          <w:color w:val="auto"/>
        </w:rPr>
        <w:t>:</w:t>
      </w:r>
    </w:p>
    <w:p>
      <w:pPr>
        <w:spacing w:after="0" w:line="188" w:lineRule="exact"/>
        <w:rPr>
          <w:sz w:val="20"/>
          <w:szCs w:val="20"/>
          <w:color w:val="auto"/>
        </w:rPr>
      </w:pPr>
    </w:p>
    <w:p>
      <w:pPr>
        <w:ind w:firstLine="458"/>
        <w:spacing w:after="0" w:line="263" w:lineRule="auto"/>
        <w:rPr>
          <w:sz w:val="20"/>
          <w:szCs w:val="20"/>
          <w:color w:val="auto"/>
        </w:rPr>
      </w:pPr>
      <w:r>
        <w:rPr>
          <w:rFonts w:ascii="Arial" w:cs="Arial" w:eastAsia="Arial" w:hAnsi="Arial"/>
          <w:sz w:val="15"/>
          <w:szCs w:val="15"/>
          <w:color w:val="auto"/>
        </w:rPr>
        <w:t>This Option will be exercisable for three (3) months after Participant ceases to be a Service Provider, unless such termination is due to Participant’s death or Disability, in which case this Option will be exercisable for twelve (12) months after Participant ceases to be a Service Provider. Notwithstanding the foregoing sentence, in no event may this Option be exercised after the Term/Expiration Date as provided above and may be subject to earlier termination as provided in Section 14 of the Plan.</w:t>
      </w:r>
    </w:p>
    <w:p>
      <w:pPr>
        <w:spacing w:after="0" w:line="155" w:lineRule="exact"/>
        <w:rPr>
          <w:sz w:val="20"/>
          <w:szCs w:val="20"/>
          <w:color w:val="auto"/>
        </w:rPr>
      </w:pPr>
    </w:p>
    <w:p>
      <w:pPr>
        <w:ind w:right="40" w:firstLine="458"/>
        <w:spacing w:after="0" w:line="255" w:lineRule="auto"/>
        <w:rPr>
          <w:sz w:val="20"/>
          <w:szCs w:val="20"/>
          <w:color w:val="auto"/>
        </w:rPr>
      </w:pPr>
      <w:r>
        <w:rPr>
          <w:rFonts w:ascii="Arial" w:cs="Arial" w:eastAsia="Arial" w:hAnsi="Arial"/>
          <w:sz w:val="15"/>
          <w:szCs w:val="15"/>
          <w:color w:val="auto"/>
        </w:rPr>
        <w:t xml:space="preserve">By Participant’s signature and the signature of the representative of the Company below, Participant and the Company agree that this Option is granted under and governed by the terms and conditions of the Plan and this Option Agreement, including the Terms and Conditions of Stock Option Grant, attached hereto as </w:t>
      </w:r>
      <w:r>
        <w:rPr>
          <w:rFonts w:ascii="Arial" w:cs="Arial" w:eastAsia="Arial" w:hAnsi="Arial"/>
          <w:sz w:val="15"/>
          <w:szCs w:val="15"/>
          <w:u w:val="single" w:color="auto"/>
          <w:color w:val="auto"/>
        </w:rPr>
        <w:t>Exhibit A</w:t>
      </w:r>
      <w:r>
        <w:rPr>
          <w:rFonts w:ascii="Arial" w:cs="Arial" w:eastAsia="Arial" w:hAnsi="Arial"/>
          <w:sz w:val="15"/>
          <w:szCs w:val="15"/>
          <w:color w:val="auto"/>
        </w:rPr>
        <w:t>, all of which are made a part of this document. Participant acknowledges receipt of a copy of the Plan. Participant has reviewed the Plan and this Option Agreement in their entirety, has had an opportunity to obtain the advice of counsel prior to executing this Option Agreement, and fully understands all provisions of the Plan and this Option Agreement. Participant hereby agrees to accept as binding, conclusive, and final all decisions or interpretations of the Administrator upon any questions relating to the Plan and the Option Agreement. Participant further agrees to notify the Company upon any change in the residence address indicated below.</w:t>
      </w:r>
    </w:p>
    <w:p>
      <w:pPr>
        <w:spacing w:after="0" w:line="186" w:lineRule="exact"/>
        <w:rPr>
          <w:sz w:val="20"/>
          <w:szCs w:val="20"/>
          <w:color w:val="auto"/>
        </w:rPr>
      </w:pPr>
    </w:p>
    <w:p>
      <w:pPr>
        <w:spacing w:after="0"/>
        <w:tabs>
          <w:tab w:leader="none" w:pos="6040" w:val="left"/>
        </w:tabs>
        <w:rPr>
          <w:sz w:val="20"/>
          <w:szCs w:val="20"/>
          <w:color w:val="auto"/>
        </w:rPr>
      </w:pPr>
      <w:r>
        <w:rPr>
          <w:rFonts w:ascii="Arial" w:cs="Arial" w:eastAsia="Arial" w:hAnsi="Arial"/>
          <w:sz w:val="15"/>
          <w:szCs w:val="15"/>
          <w:color w:val="auto"/>
        </w:rPr>
        <w:t>PARTICIPANT</w:t>
      </w:r>
      <w:r>
        <w:rPr>
          <w:sz w:val="20"/>
          <w:szCs w:val="20"/>
          <w:color w:val="auto"/>
        </w:rPr>
        <w:tab/>
      </w:r>
      <w:r>
        <w:rPr>
          <w:rFonts w:ascii="Arial" w:cs="Arial" w:eastAsia="Arial" w:hAnsi="Arial"/>
          <w:sz w:val="15"/>
          <w:szCs w:val="15"/>
          <w:color w:val="auto"/>
        </w:rPr>
        <w:t>DROPBOX,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240665</wp:posOffset>
            </wp:positionV>
            <wp:extent cx="7269480" cy="698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416">
                      <a:extLst>
                        <a:ext uri="{28A0092B-C50C-407E-A947-70E740481C1C}"/>
                      </a:extLst>
                    </a:blip>
                    <a:srcRect/>
                    <a:stretch>
                      <a:fillRect/>
                    </a:stretch>
                  </pic:blipFill>
                  <pic:spPr bwMode="auto">
                    <a:xfrm>
                      <a:off x="0" y="0"/>
                      <a:ext cx="7269480" cy="6985"/>
                    </a:xfrm>
                    <a:prstGeom prst="rect">
                      <a:avLst/>
                    </a:prstGeom>
                    <a:noFill/>
                  </pic:spPr>
                </pic:pic>
              </a:graphicData>
            </a:graphic>
          </wp:anchor>
        </w:drawing>
      </w:r>
    </w:p>
    <w:p>
      <w:pPr>
        <w:sectPr>
          <w:pgSz w:w="11900" w:h="16838" w:orient="portrait"/>
          <w:cols w:equalWidth="0" w:num="1">
            <w:col w:w="11340"/>
          </w:cols>
          <w:pgMar w:left="240" w:top="253" w:right="319" w:bottom="1440" w:gutter="0" w:footer="0" w:header="0"/>
        </w:sectPr>
      </w:pPr>
    </w:p>
    <w:p>
      <w:pPr>
        <w:spacing w:after="0" w:line="391" w:lineRule="exact"/>
        <w:rPr>
          <w:sz w:val="20"/>
          <w:szCs w:val="20"/>
          <w:color w:val="auto"/>
        </w:rPr>
      </w:pPr>
    </w:p>
    <w:p>
      <w:pPr>
        <w:spacing w:after="0"/>
        <w:rPr>
          <w:sz w:val="20"/>
          <w:szCs w:val="20"/>
          <w:color w:val="auto"/>
        </w:rPr>
      </w:pPr>
      <w:r>
        <w:rPr>
          <w:rFonts w:ascii="Arial" w:cs="Arial" w:eastAsia="Arial" w:hAnsi="Arial"/>
          <w:sz w:val="15"/>
          <w:szCs w:val="15"/>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240665</wp:posOffset>
            </wp:positionV>
            <wp:extent cx="3559175" cy="698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417">
                      <a:extLst>
                        <a:ext uri="{28A0092B-C50C-407E-A947-70E740481C1C}"/>
                      </a:extLst>
                    </a:blip>
                    <a:srcRect/>
                    <a:stretch>
                      <a:fillRect/>
                    </a:stretch>
                  </pic:blipFill>
                  <pic:spPr bwMode="auto">
                    <a:xfrm>
                      <a:off x="0" y="0"/>
                      <a:ext cx="3559175" cy="6985"/>
                    </a:xfrm>
                    <a:prstGeom prst="rect">
                      <a:avLst/>
                    </a:prstGeom>
                    <a:noFill/>
                  </pic:spPr>
                </pic:pic>
              </a:graphicData>
            </a:graphic>
          </wp:anchor>
        </w:drawing>
      </w:r>
    </w:p>
    <w:p>
      <w:pPr>
        <w:spacing w:after="0" w:line="371" w:lineRule="exact"/>
        <w:rPr>
          <w:sz w:val="20"/>
          <w:szCs w:val="20"/>
          <w:color w:val="auto"/>
        </w:rPr>
      </w:pPr>
    </w:p>
    <w:p>
      <w:pPr>
        <w:spacing w:after="0"/>
        <w:rPr>
          <w:sz w:val="20"/>
          <w:szCs w:val="20"/>
          <w:color w:val="auto"/>
        </w:rPr>
      </w:pPr>
      <w:r>
        <w:rPr>
          <w:rFonts w:ascii="Arial" w:cs="Arial" w:eastAsia="Arial" w:hAnsi="Arial"/>
          <w:sz w:val="13"/>
          <w:szCs w:val="13"/>
          <w:color w:val="auto"/>
        </w:rPr>
        <w:t>Print Name</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Arial" w:cs="Arial" w:eastAsia="Arial" w:hAnsi="Arial"/>
          <w:sz w:val="15"/>
          <w:szCs w:val="15"/>
          <w:u w:val="single" w:color="auto"/>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240665</wp:posOffset>
            </wp:positionV>
            <wp:extent cx="3559175" cy="698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418">
                      <a:extLst>
                        <a:ext uri="{28A0092B-C50C-407E-A947-70E740481C1C}"/>
                      </a:extLst>
                    </a:blip>
                    <a:srcRect/>
                    <a:stretch>
                      <a:fillRect/>
                    </a:stretch>
                  </pic:blipFill>
                  <pic:spPr bwMode="auto">
                    <a:xfrm>
                      <a:off x="0" y="0"/>
                      <a:ext cx="3559175" cy="698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484505</wp:posOffset>
            </wp:positionV>
            <wp:extent cx="3559175" cy="698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419">
                      <a:extLst>
                        <a:ext uri="{28A0092B-C50C-407E-A947-70E740481C1C}"/>
                      </a:extLst>
                    </a:blip>
                    <a:srcRect/>
                    <a:stretch>
                      <a:fillRect/>
                    </a:stretch>
                  </pic:blipFill>
                  <pic:spPr bwMode="auto">
                    <a:xfrm>
                      <a:off x="0" y="0"/>
                      <a:ext cx="3559175" cy="698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71" w:lineRule="exact"/>
        <w:rPr>
          <w:sz w:val="20"/>
          <w:szCs w:val="20"/>
          <w:color w:val="auto"/>
        </w:rPr>
      </w:pPr>
    </w:p>
    <w:p>
      <w:pPr>
        <w:spacing w:after="0"/>
        <w:rPr>
          <w:sz w:val="20"/>
          <w:szCs w:val="20"/>
          <w:color w:val="auto"/>
        </w:rPr>
      </w:pPr>
      <w:r>
        <w:rPr>
          <w:rFonts w:ascii="Arial" w:cs="Arial" w:eastAsia="Arial" w:hAnsi="Arial"/>
          <w:sz w:val="15"/>
          <w:szCs w:val="15"/>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240665</wp:posOffset>
            </wp:positionV>
            <wp:extent cx="3416300" cy="698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420">
                      <a:extLst>
                        <a:ext uri="{28A0092B-C50C-407E-A947-70E740481C1C}"/>
                      </a:extLst>
                    </a:blip>
                    <a:srcRect/>
                    <a:stretch>
                      <a:fillRect/>
                    </a:stretch>
                  </pic:blipFill>
                  <pic:spPr bwMode="auto">
                    <a:xfrm>
                      <a:off x="0" y="0"/>
                      <a:ext cx="3416300" cy="6985"/>
                    </a:xfrm>
                    <a:prstGeom prst="rect">
                      <a:avLst/>
                    </a:prstGeom>
                    <a:noFill/>
                  </pic:spPr>
                </pic:pic>
              </a:graphicData>
            </a:graphic>
          </wp:anchor>
        </w:drawing>
      </w:r>
    </w:p>
    <w:p>
      <w:pPr>
        <w:spacing w:after="0" w:line="371" w:lineRule="exact"/>
        <w:rPr>
          <w:sz w:val="20"/>
          <w:szCs w:val="20"/>
          <w:color w:val="auto"/>
        </w:rPr>
      </w:pPr>
    </w:p>
    <w:p>
      <w:pPr>
        <w:spacing w:after="0"/>
        <w:rPr>
          <w:sz w:val="20"/>
          <w:szCs w:val="20"/>
          <w:color w:val="auto"/>
        </w:rPr>
      </w:pPr>
      <w:r>
        <w:rPr>
          <w:rFonts w:ascii="Arial" w:cs="Arial" w:eastAsia="Arial" w:hAnsi="Arial"/>
          <w:sz w:val="13"/>
          <w:szCs w:val="13"/>
          <w:color w:val="auto"/>
        </w:rPr>
        <w:t>Print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255270</wp:posOffset>
            </wp:positionV>
            <wp:extent cx="3416300" cy="698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421">
                      <a:extLst>
                        <a:ext uri="{28A0092B-C50C-407E-A947-70E740481C1C}"/>
                      </a:extLst>
                    </a:blip>
                    <a:srcRect/>
                    <a:stretch>
                      <a:fillRect/>
                    </a:stretch>
                  </pic:blipFill>
                  <pic:spPr bwMode="auto">
                    <a:xfrm>
                      <a:off x="0" y="0"/>
                      <a:ext cx="3416300" cy="6985"/>
                    </a:xfrm>
                    <a:prstGeom prst="rect">
                      <a:avLst/>
                    </a:prstGeom>
                    <a:noFill/>
                  </pic:spPr>
                </pic:pic>
              </a:graphicData>
            </a:graphic>
          </wp:anchor>
        </w:drawing>
      </w:r>
    </w:p>
    <w:p>
      <w:pPr>
        <w:spacing w:after="0" w:line="394" w:lineRule="exact"/>
        <w:rPr>
          <w:sz w:val="20"/>
          <w:szCs w:val="20"/>
          <w:color w:val="auto"/>
        </w:rPr>
      </w:pPr>
    </w:p>
    <w:p>
      <w:pPr>
        <w:jc w:val="center"/>
        <w:ind w:right="5000"/>
        <w:spacing w:after="0"/>
        <w:rPr>
          <w:sz w:val="20"/>
          <w:szCs w:val="20"/>
          <w:color w:val="auto"/>
        </w:rPr>
      </w:pPr>
      <w:r>
        <w:rPr>
          <w:rFonts w:ascii="Arial" w:cs="Arial" w:eastAsia="Arial" w:hAnsi="Arial"/>
          <w:sz w:val="14"/>
          <w:szCs w:val="14"/>
          <w:color w:val="auto"/>
        </w:rPr>
        <w:t>Title</w:t>
      </w:r>
    </w:p>
    <w:p>
      <w:pPr>
        <w:spacing w:after="0" w:line="572" w:lineRule="exact"/>
        <w:rPr>
          <w:sz w:val="20"/>
          <w:szCs w:val="20"/>
          <w:color w:val="auto"/>
        </w:rPr>
      </w:pPr>
    </w:p>
    <w:p>
      <w:pPr>
        <w:sectPr>
          <w:pgSz w:w="11900" w:h="16838" w:orient="portrait"/>
          <w:cols w:equalWidth="0" w:num="2">
            <w:col w:w="5340" w:space="720"/>
            <w:col w:w="5280"/>
          </w:cols>
          <w:pgMar w:left="240" w:top="253" w:right="31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ind w:right="-79"/>
        <w:spacing w:after="0"/>
        <w:rPr>
          <w:sz w:val="20"/>
          <w:szCs w:val="20"/>
          <w:color w:val="auto"/>
        </w:rPr>
      </w:pPr>
      <w:r>
        <w:rPr>
          <w:rFonts w:ascii="Arial" w:cs="Arial" w:eastAsia="Arial" w:hAnsi="Arial"/>
          <w:sz w:val="14"/>
          <w:szCs w:val="14"/>
          <w:color w:val="auto"/>
        </w:rPr>
        <w:t>- 2 -</w:t>
      </w:r>
    </w:p>
    <w:p>
      <w:pPr>
        <w:sectPr>
          <w:pgSz w:w="11900" w:h="16838" w:orient="portrait"/>
          <w:cols w:equalWidth="0" w:num="1">
            <w:col w:w="11340"/>
          </w:cols>
          <w:pgMar w:left="240" w:top="253" w:right="319" w:bottom="1440" w:gutter="0" w:footer="0" w:header="0"/>
          <w:type w:val="continuous"/>
        </w:sectPr>
      </w:pPr>
    </w:p>
    <w:bookmarkStart w:id="278" w:name="page279"/>
    <w:bookmarkEnd w:id="278"/>
    <w:p>
      <w:pPr>
        <w:jc w:val="center"/>
        <w:spacing w:after="0"/>
        <w:rPr>
          <w:sz w:val="20"/>
          <w:szCs w:val="20"/>
          <w:color w:val="auto"/>
        </w:rPr>
      </w:pPr>
      <w:r>
        <w:rPr>
          <w:rFonts w:ascii="Arial" w:cs="Arial" w:eastAsia="Arial" w:hAnsi="Arial"/>
          <w:sz w:val="15"/>
          <w:szCs w:val="15"/>
          <w:b w:val="1"/>
          <w:bCs w:val="1"/>
          <w:u w:val="single" w:color="auto"/>
          <w:color w:val="auto"/>
        </w:rPr>
        <w:drawing>
          <wp:anchor simplePos="0" relativeHeight="251657728" behindDoc="1" locked="0" layoutInCell="0" allowOverlap="1">
            <wp:simplePos x="0" y="0"/>
            <wp:positionH relativeFrom="page">
              <wp:posOffset>133350</wp:posOffset>
            </wp:positionH>
            <wp:positionV relativeFrom="page">
              <wp:posOffset>88900</wp:posOffset>
            </wp:positionV>
            <wp:extent cx="7308850" cy="34290"/>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422">
                      <a:extLst>
                        <a:ext uri="{28A0092B-C50C-407E-A947-70E740481C1C}"/>
                      </a:extLst>
                    </a:blip>
                    <a:srcRect/>
                    <a:stretch>
                      <a:fillRect/>
                    </a:stretch>
                  </pic:blipFill>
                  <pic:spPr bwMode="auto">
                    <a:xfrm>
                      <a:off x="0" y="0"/>
                      <a:ext cx="7308850" cy="34290"/>
                    </a:xfrm>
                    <a:prstGeom prst="rect">
                      <a:avLst/>
                    </a:prstGeom>
                    <a:noFill/>
                  </pic:spPr>
                </pic:pic>
              </a:graphicData>
            </a:graphic>
          </wp:anchor>
        </w:drawing>
        <w:t>EXHIBIT A</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TERMS AND CONDITIONS OF STOCK OPTION GRANT</w:t>
      </w:r>
    </w:p>
    <w:p>
      <w:pPr>
        <w:spacing w:after="0" w:line="192" w:lineRule="exact"/>
        <w:rPr>
          <w:sz w:val="20"/>
          <w:szCs w:val="20"/>
          <w:color w:val="auto"/>
        </w:rPr>
      </w:pPr>
    </w:p>
    <w:p>
      <w:pPr>
        <w:ind w:right="40" w:firstLine="448"/>
        <w:spacing w:after="0" w:line="283" w:lineRule="auto"/>
        <w:tabs>
          <w:tab w:leader="none" w:pos="721" w:val="left"/>
        </w:tabs>
        <w:numPr>
          <w:ilvl w:val="0"/>
          <w:numId w:val="164"/>
        </w:numPr>
        <w:rPr>
          <w:rFonts w:ascii="Arial" w:cs="Arial" w:eastAsia="Arial" w:hAnsi="Arial"/>
          <w:sz w:val="14"/>
          <w:szCs w:val="14"/>
          <w:color w:val="auto"/>
        </w:rPr>
      </w:pPr>
      <w:r>
        <w:rPr>
          <w:rFonts w:ascii="Arial" w:cs="Arial" w:eastAsia="Arial" w:hAnsi="Arial"/>
          <w:sz w:val="14"/>
          <w:szCs w:val="14"/>
          <w:u w:val="single" w:color="auto"/>
          <w:color w:val="auto"/>
        </w:rPr>
        <w:t>Grant of Option</w:t>
      </w:r>
      <w:r>
        <w:rPr>
          <w:rFonts w:ascii="Arial" w:cs="Arial" w:eastAsia="Arial" w:hAnsi="Arial"/>
          <w:sz w:val="14"/>
          <w:szCs w:val="14"/>
          <w:color w:val="auto"/>
        </w:rPr>
        <w:t>. The Company hereby grants to the individual (the “Participant”) named in the Notice of Stock Option Grant of this Option Agreement (the “Notice of Grant”) an option (the “Option”) to purchase the number of Shares, as set forth in the Notice of Grant, at the exercise price per Share set forth in the Notice of Grant (the “Exercise Price”), subject to all of the terms and conditions in this Option Agreement and the Plan, which is incorporated herein by reference. Subject to Section 19(c) of the Plan, in the event of a conflict between the terms and conditions of the Plan and the terms and conditions of this Option Agreement, the terms and conditions of the Plan will prevail.</w:t>
      </w:r>
    </w:p>
    <w:p>
      <w:pPr>
        <w:spacing w:after="0" w:line="142" w:lineRule="exact"/>
        <w:rPr>
          <w:rFonts w:ascii="Arial" w:cs="Arial" w:eastAsia="Arial" w:hAnsi="Arial"/>
          <w:sz w:val="14"/>
          <w:szCs w:val="14"/>
          <w:color w:val="auto"/>
        </w:rPr>
      </w:pPr>
    </w:p>
    <w:p>
      <w:pPr>
        <w:ind w:right="60" w:firstLine="906"/>
        <w:spacing w:after="0" w:line="255" w:lineRule="auto"/>
        <w:tabs>
          <w:tab w:leader="none" w:pos="1233" w:val="left"/>
        </w:tabs>
        <w:numPr>
          <w:ilvl w:val="1"/>
          <w:numId w:val="164"/>
        </w:numPr>
        <w:rPr>
          <w:rFonts w:ascii="Arial" w:cs="Arial" w:eastAsia="Arial" w:hAnsi="Arial"/>
          <w:sz w:val="15"/>
          <w:szCs w:val="15"/>
          <w:color w:val="auto"/>
        </w:rPr>
      </w:pPr>
      <w:r>
        <w:rPr>
          <w:rFonts w:ascii="Arial" w:cs="Arial" w:eastAsia="Arial" w:hAnsi="Arial"/>
          <w:sz w:val="15"/>
          <w:szCs w:val="15"/>
          <w:color w:val="auto"/>
        </w:rPr>
        <w:t>For U.S. taxpayers, the Option will be designated as either an Incentive Stock Option (“ISO”) or a Nonstatutory Stock Option (“NSO”). If designated in the Notice of Grant as an ISO, this Option is intended to qualify as an ISO under Section 422 of the Internal Revenue Code of 1986, as amended (the “Code”). However, if this Option is intended to be an ISO, to the extent that it exceeds the $100,000 rule of Code Section 422(d) it will be treated as an NSO. Further, if for any reason this Option (or portion thereof) will not qualify as an ISO, then, to the extent of such nonqualification, such Option (or portion thereof) shall be regarded as a NSO granted under the Plan. In no event will the Administrator, the Company or any Parent or Subsidiary or any of their respective employees or directors have any liability to Participant (or any other person) due to the failure of the Option to qualify for any reason as an ISO.</w:t>
      </w:r>
    </w:p>
    <w:p>
      <w:pPr>
        <w:spacing w:after="0" w:line="163" w:lineRule="exact"/>
        <w:rPr>
          <w:rFonts w:ascii="Arial" w:cs="Arial" w:eastAsia="Arial" w:hAnsi="Arial"/>
          <w:sz w:val="15"/>
          <w:szCs w:val="15"/>
          <w:color w:val="auto"/>
        </w:rPr>
      </w:pPr>
    </w:p>
    <w:p>
      <w:pPr>
        <w:ind w:left="1240" w:hanging="334"/>
        <w:spacing w:after="0"/>
        <w:tabs>
          <w:tab w:leader="none" w:pos="1240" w:val="left"/>
        </w:tabs>
        <w:numPr>
          <w:ilvl w:val="1"/>
          <w:numId w:val="164"/>
        </w:numPr>
        <w:rPr>
          <w:rFonts w:ascii="Arial" w:cs="Arial" w:eastAsia="Arial" w:hAnsi="Arial"/>
          <w:sz w:val="15"/>
          <w:szCs w:val="15"/>
          <w:color w:val="auto"/>
        </w:rPr>
      </w:pPr>
      <w:r>
        <w:rPr>
          <w:rFonts w:ascii="Arial" w:cs="Arial" w:eastAsia="Arial" w:hAnsi="Arial"/>
          <w:sz w:val="15"/>
          <w:szCs w:val="15"/>
          <w:color w:val="auto"/>
        </w:rPr>
        <w:t>For non-U.S. taxpayers, the Option will be designated as an NSO.</w:t>
      </w:r>
    </w:p>
    <w:p>
      <w:pPr>
        <w:spacing w:after="0" w:line="188" w:lineRule="exact"/>
        <w:rPr>
          <w:rFonts w:ascii="Arial" w:cs="Arial" w:eastAsia="Arial" w:hAnsi="Arial"/>
          <w:sz w:val="15"/>
          <w:szCs w:val="15"/>
          <w:color w:val="auto"/>
        </w:rPr>
      </w:pPr>
    </w:p>
    <w:p>
      <w:pPr>
        <w:ind w:right="60" w:firstLine="448"/>
        <w:spacing w:after="0" w:line="263" w:lineRule="auto"/>
        <w:tabs>
          <w:tab w:leader="none" w:pos="721" w:val="left"/>
        </w:tabs>
        <w:numPr>
          <w:ilvl w:val="0"/>
          <w:numId w:val="164"/>
        </w:numPr>
        <w:rPr>
          <w:rFonts w:ascii="Arial" w:cs="Arial" w:eastAsia="Arial" w:hAnsi="Arial"/>
          <w:sz w:val="15"/>
          <w:szCs w:val="15"/>
          <w:color w:val="auto"/>
        </w:rPr>
      </w:pPr>
      <w:r>
        <w:rPr>
          <w:rFonts w:ascii="Arial" w:cs="Arial" w:eastAsia="Arial" w:hAnsi="Arial"/>
          <w:sz w:val="15"/>
          <w:szCs w:val="15"/>
          <w:u w:val="single" w:color="auto"/>
          <w:color w:val="auto"/>
        </w:rPr>
        <w:t>Vesting Schedule</w:t>
      </w:r>
      <w:r>
        <w:rPr>
          <w:rFonts w:ascii="Arial" w:cs="Arial" w:eastAsia="Arial" w:hAnsi="Arial"/>
          <w:sz w:val="15"/>
          <w:szCs w:val="15"/>
          <w:color w:val="auto"/>
        </w:rPr>
        <w:t>. Except as provided in Section 3, the Option awarded by this Option Agreement will vest in accordance with the vesting provisions set forth in the Notice of Grant. Shares scheduled to vest on a certain date or upon the occurrence of a certain condition will not vest in Participant in accordance with any of the provisions of this Option Agreement, unless Participant will have been continuously a Service Provider from the Date of Grant until the date such vesting occurs.</w:t>
      </w:r>
    </w:p>
    <w:p>
      <w:pPr>
        <w:spacing w:after="0" w:line="154" w:lineRule="exact"/>
        <w:rPr>
          <w:rFonts w:ascii="Arial" w:cs="Arial" w:eastAsia="Arial" w:hAnsi="Arial"/>
          <w:sz w:val="15"/>
          <w:szCs w:val="15"/>
          <w:color w:val="auto"/>
        </w:rPr>
      </w:pPr>
    </w:p>
    <w:p>
      <w:pPr>
        <w:ind w:firstLine="448"/>
        <w:spacing w:after="0" w:line="275" w:lineRule="auto"/>
        <w:tabs>
          <w:tab w:leader="none" w:pos="721" w:val="left"/>
        </w:tabs>
        <w:numPr>
          <w:ilvl w:val="0"/>
          <w:numId w:val="164"/>
        </w:numPr>
        <w:rPr>
          <w:rFonts w:ascii="Arial" w:cs="Arial" w:eastAsia="Arial" w:hAnsi="Arial"/>
          <w:sz w:val="15"/>
          <w:szCs w:val="15"/>
          <w:color w:val="auto"/>
        </w:rPr>
      </w:pPr>
      <w:r>
        <w:rPr>
          <w:rFonts w:ascii="Arial" w:cs="Arial" w:eastAsia="Arial" w:hAnsi="Arial"/>
          <w:sz w:val="15"/>
          <w:szCs w:val="15"/>
          <w:u w:val="single" w:color="auto"/>
          <w:color w:val="auto"/>
        </w:rPr>
        <w:t>Administrator Discretion</w:t>
      </w:r>
      <w:r>
        <w:rPr>
          <w:rFonts w:ascii="Arial" w:cs="Arial" w:eastAsia="Arial" w:hAnsi="Arial"/>
          <w:sz w:val="15"/>
          <w:szCs w:val="15"/>
          <w:color w:val="auto"/>
        </w:rPr>
        <w:t>. The Administrator, in its discretion, may accelerate the vesting of the balance, or some lesser portion of the balance, of the unvested Option at any time, subject to the terms of the Plan. If so accelerated, such Option will be considered as having vested as of the date specified by the Administrator.</w:t>
      </w:r>
    </w:p>
    <w:p>
      <w:pPr>
        <w:spacing w:after="0" w:line="146" w:lineRule="exact"/>
        <w:rPr>
          <w:rFonts w:ascii="Arial" w:cs="Arial" w:eastAsia="Arial" w:hAnsi="Arial"/>
          <w:sz w:val="15"/>
          <w:szCs w:val="15"/>
          <w:color w:val="auto"/>
        </w:rPr>
      </w:pPr>
    </w:p>
    <w:p>
      <w:pPr>
        <w:ind w:left="720" w:hanging="272"/>
        <w:spacing w:after="0"/>
        <w:tabs>
          <w:tab w:leader="none" w:pos="720" w:val="left"/>
        </w:tabs>
        <w:numPr>
          <w:ilvl w:val="0"/>
          <w:numId w:val="164"/>
        </w:numPr>
        <w:rPr>
          <w:rFonts w:ascii="Arial" w:cs="Arial" w:eastAsia="Arial" w:hAnsi="Arial"/>
          <w:sz w:val="15"/>
          <w:szCs w:val="15"/>
          <w:color w:val="auto"/>
        </w:rPr>
      </w:pPr>
      <w:r>
        <w:rPr>
          <w:rFonts w:ascii="Arial" w:cs="Arial" w:eastAsia="Arial" w:hAnsi="Arial"/>
          <w:sz w:val="15"/>
          <w:szCs w:val="15"/>
          <w:u w:val="single" w:color="auto"/>
          <w:color w:val="auto"/>
        </w:rPr>
        <w:t>Exercise of Option</w:t>
      </w:r>
      <w:r>
        <w:rPr>
          <w:rFonts w:ascii="Arial" w:cs="Arial" w:eastAsia="Arial" w:hAnsi="Arial"/>
          <w:sz w:val="15"/>
          <w:szCs w:val="15"/>
          <w:color w:val="auto"/>
        </w:rPr>
        <w:t>.</w:t>
      </w:r>
    </w:p>
    <w:p>
      <w:pPr>
        <w:spacing w:after="0" w:line="188" w:lineRule="exact"/>
        <w:rPr>
          <w:rFonts w:ascii="Arial" w:cs="Arial" w:eastAsia="Arial" w:hAnsi="Arial"/>
          <w:sz w:val="15"/>
          <w:szCs w:val="15"/>
          <w:color w:val="auto"/>
        </w:rPr>
      </w:pPr>
    </w:p>
    <w:p>
      <w:pPr>
        <w:ind w:right="100" w:firstLine="906"/>
        <w:spacing w:after="0" w:line="275" w:lineRule="auto"/>
        <w:tabs>
          <w:tab w:leader="none" w:pos="1233" w:val="left"/>
        </w:tabs>
        <w:numPr>
          <w:ilvl w:val="1"/>
          <w:numId w:val="164"/>
        </w:numPr>
        <w:rPr>
          <w:rFonts w:ascii="Arial" w:cs="Arial" w:eastAsia="Arial" w:hAnsi="Arial"/>
          <w:sz w:val="15"/>
          <w:szCs w:val="15"/>
          <w:color w:val="auto"/>
        </w:rPr>
      </w:pPr>
      <w:r>
        <w:rPr>
          <w:rFonts w:ascii="Arial" w:cs="Arial" w:eastAsia="Arial" w:hAnsi="Arial"/>
          <w:sz w:val="15"/>
          <w:szCs w:val="15"/>
          <w:u w:val="single" w:color="auto"/>
          <w:color w:val="auto"/>
        </w:rPr>
        <w:t>Right to Exercise</w:t>
      </w:r>
      <w:r>
        <w:rPr>
          <w:rFonts w:ascii="Arial" w:cs="Arial" w:eastAsia="Arial" w:hAnsi="Arial"/>
          <w:sz w:val="15"/>
          <w:szCs w:val="15"/>
          <w:color w:val="auto"/>
        </w:rPr>
        <w:t>. This Option may be exercised only within the term set out in the Notice of Grant, and may be exercised during such term only in accordance with the Plan and the terms of this Option Agreement.</w:t>
      </w:r>
    </w:p>
    <w:p>
      <w:pPr>
        <w:spacing w:after="0" w:line="89" w:lineRule="exact"/>
        <w:rPr>
          <w:rFonts w:ascii="Arial" w:cs="Arial" w:eastAsia="Arial" w:hAnsi="Arial"/>
          <w:sz w:val="15"/>
          <w:szCs w:val="15"/>
          <w:color w:val="auto"/>
        </w:rPr>
      </w:pPr>
    </w:p>
    <w:p>
      <w:pPr>
        <w:ind w:left="5680" w:hanging="91"/>
        <w:spacing w:after="0"/>
        <w:tabs>
          <w:tab w:leader="none" w:pos="5680" w:val="left"/>
        </w:tabs>
        <w:numPr>
          <w:ilvl w:val="2"/>
          <w:numId w:val="164"/>
        </w:numPr>
        <w:rPr>
          <w:rFonts w:ascii="Arial" w:cs="Arial" w:eastAsia="Arial" w:hAnsi="Arial"/>
          <w:sz w:val="15"/>
          <w:szCs w:val="15"/>
          <w:color w:val="auto"/>
        </w:rPr>
      </w:pPr>
      <w:r>
        <w:rPr>
          <w:rFonts w:ascii="Arial" w:cs="Arial" w:eastAsia="Arial" w:hAnsi="Arial"/>
          <w:sz w:val="15"/>
          <w:szCs w:val="15"/>
          <w:color w:val="auto"/>
        </w:rPr>
        <w:t>1 -</w:t>
      </w:r>
    </w:p>
    <w:p>
      <w:pPr>
        <w:sectPr>
          <w:pgSz w:w="11900" w:h="16838" w:orient="portrait"/>
          <w:cols w:equalWidth="0" w:num="1">
            <w:col w:w="11420"/>
          </w:cols>
          <w:pgMar w:left="240" w:top="249" w:right="239" w:bottom="1440" w:gutter="0" w:footer="0" w:header="0"/>
        </w:sectPr>
      </w:pPr>
    </w:p>
    <w:bookmarkStart w:id="279" w:name="page280"/>
    <w:bookmarkEnd w:id="279"/>
    <w:p>
      <w:pPr>
        <w:ind w:left="-448" w:firstLine="906"/>
        <w:spacing w:after="0" w:line="255" w:lineRule="auto"/>
        <w:tabs>
          <w:tab w:leader="none" w:pos="793" w:val="left"/>
        </w:tabs>
        <w:numPr>
          <w:ilvl w:val="1"/>
          <w:numId w:val="165"/>
        </w:numPr>
        <w:rPr>
          <w:rFonts w:ascii="Arial" w:cs="Arial" w:eastAsia="Arial" w:hAnsi="Arial"/>
          <w:sz w:val="15"/>
          <w:szCs w:val="15"/>
          <w:color w:val="auto"/>
        </w:rPr>
      </w:pPr>
      <w:r>
        <w:rPr>
          <w:rFonts w:ascii="Arial" w:cs="Arial" w:eastAsia="Arial" w:hAnsi="Arial"/>
          <w:sz w:val="15"/>
          <w:szCs w:val="15"/>
          <w:u w:val="single" w:color="auto"/>
          <w:color w:val="auto"/>
        </w:rPr>
        <w:drawing>
          <wp:anchor simplePos="0" relativeHeight="251657728" behindDoc="1" locked="0" layoutInCell="0" allowOverlap="1">
            <wp:simplePos x="0" y="0"/>
            <wp:positionH relativeFrom="page">
              <wp:posOffset>133350</wp:posOffset>
            </wp:positionH>
            <wp:positionV relativeFrom="page">
              <wp:posOffset>88900</wp:posOffset>
            </wp:positionV>
            <wp:extent cx="7308850" cy="34290"/>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423">
                      <a:extLst>
                        <a:ext uri="{28A0092B-C50C-407E-A947-70E740481C1C}"/>
                      </a:extLst>
                    </a:blip>
                    <a:srcRect/>
                    <a:stretch>
                      <a:fillRect/>
                    </a:stretch>
                  </pic:blipFill>
                  <pic:spPr bwMode="auto">
                    <a:xfrm>
                      <a:off x="0" y="0"/>
                      <a:ext cx="7308850" cy="34290"/>
                    </a:xfrm>
                    <a:prstGeom prst="rect">
                      <a:avLst/>
                    </a:prstGeom>
                    <a:noFill/>
                  </pic:spPr>
                </pic:pic>
              </a:graphicData>
            </a:graphic>
          </wp:anchor>
        </w:drawing>
        <w:t>Method of Exercise</w:t>
      </w:r>
      <w:r>
        <w:rPr>
          <w:rFonts w:ascii="Arial" w:cs="Arial" w:eastAsia="Arial" w:hAnsi="Arial"/>
          <w:sz w:val="15"/>
          <w:szCs w:val="15"/>
          <w:color w:val="auto"/>
        </w:rPr>
        <w:t xml:space="preserve">. This Option is exercisable by delivery of an exercise notice (the “Exercise Notice”) in the form attached as </w:t>
      </w:r>
      <w:r>
        <w:rPr>
          <w:rFonts w:ascii="Arial" w:cs="Arial" w:eastAsia="Arial" w:hAnsi="Arial"/>
          <w:sz w:val="15"/>
          <w:szCs w:val="15"/>
          <w:u w:val="single" w:color="auto"/>
          <w:color w:val="auto"/>
        </w:rPr>
        <w:t>Exhibit A</w:t>
      </w:r>
      <w:r>
        <w:rPr>
          <w:rFonts w:ascii="Arial" w:cs="Arial" w:eastAsia="Arial" w:hAnsi="Arial"/>
          <w:sz w:val="15"/>
          <w:szCs w:val="15"/>
          <w:color w:val="auto"/>
        </w:rPr>
        <w:t xml:space="preserve"> or in a manner and pursuant to such procedures as the Administrator may determine, which will state the election to exercise the Option, the number of Shares in respect of which the Option is being exercised (the “Exercised Shares”), and such other representations and agreements as may be required by the Company pursuant to the provisions of the Plan. The Exercise Notice will be completed by Participant and delivered to the Company. The Exercise Notice will be accompanied by payment of the aggregate Exercise Price as to all Exercised Shares together and of any Tax Obligations (as defined in Section 6(a)). This Option will be deemed to be exercised upon receipt by the Company of such fully executed Exercise Notice accompanied by the aggregate Exercise Price.</w:t>
      </w:r>
    </w:p>
    <w:p>
      <w:pPr>
        <w:spacing w:after="0" w:line="163" w:lineRule="exact"/>
        <w:rPr>
          <w:rFonts w:ascii="Arial" w:cs="Arial" w:eastAsia="Arial" w:hAnsi="Arial"/>
          <w:sz w:val="15"/>
          <w:szCs w:val="15"/>
          <w:color w:val="auto"/>
        </w:rPr>
      </w:pPr>
    </w:p>
    <w:p>
      <w:pPr>
        <w:ind w:left="272" w:hanging="272"/>
        <w:spacing w:after="0"/>
        <w:tabs>
          <w:tab w:leader="none" w:pos="272" w:val="left"/>
        </w:tabs>
        <w:numPr>
          <w:ilvl w:val="0"/>
          <w:numId w:val="166"/>
        </w:numPr>
        <w:rPr>
          <w:rFonts w:ascii="Arial" w:cs="Arial" w:eastAsia="Arial" w:hAnsi="Arial"/>
          <w:sz w:val="15"/>
          <w:szCs w:val="15"/>
          <w:color w:val="auto"/>
        </w:rPr>
      </w:pPr>
      <w:r>
        <w:rPr>
          <w:rFonts w:ascii="Arial" w:cs="Arial" w:eastAsia="Arial" w:hAnsi="Arial"/>
          <w:sz w:val="15"/>
          <w:szCs w:val="15"/>
          <w:u w:val="single" w:color="auto"/>
          <w:color w:val="auto"/>
        </w:rPr>
        <w:t>Method of Payment</w:t>
      </w:r>
      <w:r>
        <w:rPr>
          <w:rFonts w:ascii="Arial" w:cs="Arial" w:eastAsia="Arial" w:hAnsi="Arial"/>
          <w:sz w:val="15"/>
          <w:szCs w:val="15"/>
          <w:color w:val="auto"/>
        </w:rPr>
        <w:t>. Payment of the aggregate Exercise Price will be by any of the following, or a combination thereof, at the election of Participant:</w:t>
      </w:r>
    </w:p>
    <w:p>
      <w:pPr>
        <w:spacing w:after="0" w:line="188" w:lineRule="exact"/>
        <w:rPr>
          <w:rFonts w:ascii="Arial" w:cs="Arial" w:eastAsia="Arial" w:hAnsi="Arial"/>
          <w:sz w:val="15"/>
          <w:szCs w:val="15"/>
          <w:color w:val="auto"/>
        </w:rPr>
      </w:pPr>
    </w:p>
    <w:p>
      <w:pPr>
        <w:ind w:left="772" w:hanging="314"/>
        <w:spacing w:after="0"/>
        <w:tabs>
          <w:tab w:leader="none" w:pos="772" w:val="left"/>
        </w:tabs>
        <w:numPr>
          <w:ilvl w:val="1"/>
          <w:numId w:val="166"/>
        </w:numPr>
        <w:rPr>
          <w:rFonts w:ascii="Arial" w:cs="Arial" w:eastAsia="Arial" w:hAnsi="Arial"/>
          <w:sz w:val="15"/>
          <w:szCs w:val="15"/>
          <w:color w:val="auto"/>
        </w:rPr>
      </w:pPr>
      <w:r>
        <w:rPr>
          <w:rFonts w:ascii="Arial" w:cs="Arial" w:eastAsia="Arial" w:hAnsi="Arial"/>
          <w:sz w:val="15"/>
          <w:szCs w:val="15"/>
          <w:color w:val="auto"/>
        </w:rPr>
        <w:t>cash;</w:t>
      </w:r>
    </w:p>
    <w:p>
      <w:pPr>
        <w:spacing w:after="0" w:line="188" w:lineRule="exact"/>
        <w:rPr>
          <w:rFonts w:ascii="Arial" w:cs="Arial" w:eastAsia="Arial" w:hAnsi="Arial"/>
          <w:sz w:val="15"/>
          <w:szCs w:val="15"/>
          <w:color w:val="auto"/>
        </w:rPr>
      </w:pPr>
    </w:p>
    <w:p>
      <w:pPr>
        <w:ind w:left="792" w:hanging="334"/>
        <w:spacing w:after="0"/>
        <w:tabs>
          <w:tab w:leader="none" w:pos="792" w:val="left"/>
        </w:tabs>
        <w:numPr>
          <w:ilvl w:val="1"/>
          <w:numId w:val="166"/>
        </w:numPr>
        <w:rPr>
          <w:rFonts w:ascii="Arial" w:cs="Arial" w:eastAsia="Arial" w:hAnsi="Arial"/>
          <w:sz w:val="15"/>
          <w:szCs w:val="15"/>
          <w:color w:val="auto"/>
        </w:rPr>
      </w:pPr>
      <w:r>
        <w:rPr>
          <w:rFonts w:ascii="Arial" w:cs="Arial" w:eastAsia="Arial" w:hAnsi="Arial"/>
          <w:sz w:val="15"/>
          <w:szCs w:val="15"/>
          <w:color w:val="auto"/>
        </w:rPr>
        <w:t>check;</w:t>
      </w:r>
    </w:p>
    <w:p>
      <w:pPr>
        <w:spacing w:after="0" w:line="188" w:lineRule="exact"/>
        <w:rPr>
          <w:rFonts w:ascii="Arial" w:cs="Arial" w:eastAsia="Arial" w:hAnsi="Arial"/>
          <w:sz w:val="15"/>
          <w:szCs w:val="15"/>
          <w:color w:val="auto"/>
        </w:rPr>
      </w:pPr>
    </w:p>
    <w:p>
      <w:pPr>
        <w:ind w:left="772" w:hanging="314"/>
        <w:spacing w:after="0"/>
        <w:tabs>
          <w:tab w:leader="none" w:pos="772" w:val="left"/>
        </w:tabs>
        <w:numPr>
          <w:ilvl w:val="1"/>
          <w:numId w:val="166"/>
        </w:numPr>
        <w:rPr>
          <w:rFonts w:ascii="Arial" w:cs="Arial" w:eastAsia="Arial" w:hAnsi="Arial"/>
          <w:sz w:val="15"/>
          <w:szCs w:val="15"/>
          <w:color w:val="auto"/>
        </w:rPr>
      </w:pPr>
      <w:r>
        <w:rPr>
          <w:rFonts w:ascii="Arial" w:cs="Arial" w:eastAsia="Arial" w:hAnsi="Arial"/>
          <w:sz w:val="15"/>
          <w:szCs w:val="15"/>
          <w:color w:val="auto"/>
        </w:rPr>
        <w:t>consideration received by the Company under a formal cashless exercise program adopted by the Company in connection with the Plan; or</w:t>
      </w:r>
    </w:p>
    <w:p>
      <w:pPr>
        <w:spacing w:after="0" w:line="188" w:lineRule="exact"/>
        <w:rPr>
          <w:rFonts w:ascii="Arial" w:cs="Arial" w:eastAsia="Arial" w:hAnsi="Arial"/>
          <w:sz w:val="15"/>
          <w:szCs w:val="15"/>
          <w:color w:val="auto"/>
        </w:rPr>
      </w:pPr>
    </w:p>
    <w:p>
      <w:pPr>
        <w:ind w:left="-448" w:right="120" w:firstLine="906"/>
        <w:spacing w:after="0" w:line="263" w:lineRule="auto"/>
        <w:tabs>
          <w:tab w:leader="none" w:pos="793" w:val="left"/>
        </w:tabs>
        <w:numPr>
          <w:ilvl w:val="1"/>
          <w:numId w:val="166"/>
        </w:numPr>
        <w:rPr>
          <w:rFonts w:ascii="Arial" w:cs="Arial" w:eastAsia="Arial" w:hAnsi="Arial"/>
          <w:sz w:val="15"/>
          <w:szCs w:val="15"/>
          <w:color w:val="auto"/>
        </w:rPr>
      </w:pPr>
      <w:r>
        <w:rPr>
          <w:rFonts w:ascii="Arial" w:cs="Arial" w:eastAsia="Arial" w:hAnsi="Arial"/>
          <w:sz w:val="15"/>
          <w:szCs w:val="15"/>
          <w:color w:val="auto"/>
        </w:rPr>
        <w:t>if Participant is a U.S. employee, surrender of other Shares which have a Fair Market Value on the date of surrender equal to the aggregate Exercise Price of the Exercised Shares and that are owned free and clear of any liens, claims, encumbrances, or security interests, provided that accepting such Shares, in the sole discretion of the Administrator, will not result in any adverse accounting consequences to the Company.</w:t>
      </w:r>
    </w:p>
    <w:p>
      <w:pPr>
        <w:spacing w:after="0" w:line="154" w:lineRule="exact"/>
        <w:rPr>
          <w:rFonts w:ascii="Arial" w:cs="Arial" w:eastAsia="Arial" w:hAnsi="Arial"/>
          <w:sz w:val="15"/>
          <w:szCs w:val="15"/>
          <w:color w:val="auto"/>
        </w:rPr>
      </w:pPr>
    </w:p>
    <w:p>
      <w:pPr>
        <w:ind w:left="272" w:hanging="272"/>
        <w:spacing w:after="0"/>
        <w:tabs>
          <w:tab w:leader="none" w:pos="272" w:val="left"/>
        </w:tabs>
        <w:numPr>
          <w:ilvl w:val="0"/>
          <w:numId w:val="166"/>
        </w:numPr>
        <w:rPr>
          <w:rFonts w:ascii="Arial" w:cs="Arial" w:eastAsia="Arial" w:hAnsi="Arial"/>
          <w:sz w:val="15"/>
          <w:szCs w:val="15"/>
          <w:color w:val="auto"/>
        </w:rPr>
      </w:pPr>
      <w:r>
        <w:rPr>
          <w:rFonts w:ascii="Arial" w:cs="Arial" w:eastAsia="Arial" w:hAnsi="Arial"/>
          <w:sz w:val="15"/>
          <w:szCs w:val="15"/>
          <w:u w:val="single" w:color="auto"/>
          <w:color w:val="auto"/>
        </w:rPr>
        <w:t>Tax Obligations</w:t>
      </w:r>
      <w:r>
        <w:rPr>
          <w:rFonts w:ascii="Arial" w:cs="Arial" w:eastAsia="Arial" w:hAnsi="Arial"/>
          <w:sz w:val="15"/>
          <w:szCs w:val="15"/>
          <w:color w:val="auto"/>
        </w:rPr>
        <w:t>.</w:t>
      </w:r>
    </w:p>
    <w:p>
      <w:pPr>
        <w:spacing w:after="0" w:line="188" w:lineRule="exact"/>
        <w:rPr>
          <w:rFonts w:ascii="Arial" w:cs="Arial" w:eastAsia="Arial" w:hAnsi="Arial"/>
          <w:sz w:val="15"/>
          <w:szCs w:val="15"/>
          <w:color w:val="auto"/>
        </w:rPr>
      </w:pPr>
    </w:p>
    <w:p>
      <w:pPr>
        <w:ind w:left="-448" w:right="20" w:firstLine="906"/>
        <w:spacing w:after="0" w:line="297" w:lineRule="auto"/>
        <w:tabs>
          <w:tab w:leader="none" w:pos="785" w:val="left"/>
        </w:tabs>
        <w:numPr>
          <w:ilvl w:val="1"/>
          <w:numId w:val="166"/>
        </w:numPr>
        <w:rPr>
          <w:rFonts w:ascii="Arial" w:cs="Arial" w:eastAsia="Arial" w:hAnsi="Arial"/>
          <w:sz w:val="13"/>
          <w:szCs w:val="13"/>
          <w:color w:val="auto"/>
        </w:rPr>
      </w:pPr>
      <w:r>
        <w:rPr>
          <w:rFonts w:ascii="Arial" w:cs="Arial" w:eastAsia="Arial" w:hAnsi="Arial"/>
          <w:sz w:val="13"/>
          <w:szCs w:val="13"/>
          <w:color w:val="auto"/>
        </w:rPr>
        <w:t>Participant acknowledges that, regardless of any action taken by the Company or, if different, Participant’s employer (the “Employer”) or Parent or Subsidiary to which Participant is providing services (together, the Company, Employer and/or Parent or Subsidiary to which the Participant is providing services, the “Service Recipient”), the ultimate liability for any tax and/or social insurance liability obligations and requirements in connection with the Option, including, without limitation, (i) all federal, state, and local taxes (including the Participant’s Federal Insurance Contributions Act (FICA) obligation) that are required to be withheld by the Company or the Service Recipient or other payment of tax-related items related to Participant’s participation in the Plan and legally applicable to Participant, (ii) the Participant’s and, to the extent required by the Company (or Service Recipient), the Company’s (or Service Recipient’s) fringe benefit tax liability, if any, associated with the grant, vesting, or exercise of the Option or sale of Shares, and (iii) any other Company (or Service Recipient) taxes the responsibility for which the Participant has, or has agreed to bear, with respect to the Option (or exercise thereof or issuance of Shares thereunder) (collectively, the “Tax Obligations”), is and remains Participant’s responsibility and may exceed the amount actually withheld by the Company or the Service Recipient. Participant further acknowledges that the Company and/or the Service Recipient (A) make no representations or undertakings regarding the treatment of any Tax Obligations in connection with any aspect of the</w:t>
      </w:r>
    </w:p>
    <w:p>
      <w:pPr>
        <w:spacing w:after="0" w:line="83" w:lineRule="exact"/>
        <w:rPr>
          <w:rFonts w:ascii="Arial" w:cs="Arial" w:eastAsia="Arial" w:hAnsi="Arial"/>
          <w:sz w:val="13"/>
          <w:szCs w:val="13"/>
          <w:color w:val="auto"/>
        </w:rPr>
      </w:pPr>
    </w:p>
    <w:p>
      <w:pPr>
        <w:ind w:left="5232" w:hanging="91"/>
        <w:spacing w:after="0"/>
        <w:tabs>
          <w:tab w:leader="none" w:pos="5232" w:val="left"/>
        </w:tabs>
        <w:numPr>
          <w:ilvl w:val="2"/>
          <w:numId w:val="166"/>
        </w:numPr>
        <w:rPr>
          <w:rFonts w:ascii="Arial" w:cs="Arial" w:eastAsia="Arial" w:hAnsi="Arial"/>
          <w:sz w:val="15"/>
          <w:szCs w:val="15"/>
          <w:color w:val="auto"/>
        </w:rPr>
      </w:pPr>
      <w:r>
        <w:rPr>
          <w:rFonts w:ascii="Arial" w:cs="Arial" w:eastAsia="Arial" w:hAnsi="Arial"/>
          <w:sz w:val="15"/>
          <w:szCs w:val="15"/>
          <w:color w:val="auto"/>
        </w:rPr>
        <w:t>2 -</w:t>
      </w:r>
    </w:p>
    <w:p>
      <w:pPr>
        <w:sectPr>
          <w:pgSz w:w="11900" w:h="16838" w:orient="portrait"/>
          <w:cols w:equalWidth="0" w:num="1">
            <w:col w:w="10972"/>
          </w:cols>
          <w:pgMar w:left="688" w:top="253" w:right="239" w:bottom="1440" w:gutter="0" w:footer="0" w:header="0"/>
        </w:sectPr>
      </w:pPr>
    </w:p>
    <w:bookmarkStart w:id="280" w:name="page281"/>
    <w:bookmarkEnd w:id="280"/>
    <w:p>
      <w:pPr>
        <w:ind w:left="10" w:right="60"/>
        <w:spacing w:after="0" w:line="277" w:lineRule="auto"/>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133350</wp:posOffset>
            </wp:positionH>
            <wp:positionV relativeFrom="page">
              <wp:posOffset>88900</wp:posOffset>
            </wp:positionV>
            <wp:extent cx="7308850" cy="34290"/>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424">
                      <a:extLst>
                        <a:ext uri="{28A0092B-C50C-407E-A947-70E740481C1C}"/>
                      </a:extLst>
                    </a:blip>
                    <a:srcRect/>
                    <a:stretch>
                      <a:fillRect/>
                    </a:stretch>
                  </pic:blipFill>
                  <pic:spPr bwMode="auto">
                    <a:xfrm>
                      <a:off x="0" y="0"/>
                      <a:ext cx="7308850" cy="34290"/>
                    </a:xfrm>
                    <a:prstGeom prst="rect">
                      <a:avLst/>
                    </a:prstGeom>
                    <a:noFill/>
                  </pic:spPr>
                </pic:pic>
              </a:graphicData>
            </a:graphic>
          </wp:anchor>
        </w:drawing>
        <w:t>Option, including, but not limited to, the grant, vesting or exercise of the Option, the subsequent sale of Shares acquired pursuant to such exercise and the receipt of any dividends or other distributions, and (B) do not commit to and are under no obligation to structure the terms of the grant or any aspect of the Option to reduce or eliminate Participant’s liability for Tax Obligations or achieve any particular tax result. Further, if Participant is subject to Tax Obligations in more than one jurisdiction between the Date of Grant and the date of any relevant taxable or tax withholding event, as applicable, Participant acknowledges that the Company and/or the Service Recipient (or former employer, as applicable) may be required to withhold or account for Tax Obligations in more than one jurisdiction. If Participant fails to make satisfactory arrangements for the payment of any required Tax Obligations hereunder at the time of the applicable taxable event, Participant acknowledges and agrees that the Company may refuse to issue or deliver the Shares.</w:t>
      </w:r>
    </w:p>
    <w:p>
      <w:pPr>
        <w:spacing w:after="0" w:line="148" w:lineRule="exact"/>
        <w:rPr>
          <w:sz w:val="20"/>
          <w:szCs w:val="20"/>
          <w:color w:val="auto"/>
        </w:rPr>
      </w:pPr>
    </w:p>
    <w:p>
      <w:pPr>
        <w:ind w:left="10" w:firstLine="906"/>
        <w:spacing w:after="0" w:line="293" w:lineRule="auto"/>
        <w:tabs>
          <w:tab w:leader="none" w:pos="1251" w:val="left"/>
        </w:tabs>
        <w:numPr>
          <w:ilvl w:val="1"/>
          <w:numId w:val="167"/>
        </w:numPr>
        <w:rPr>
          <w:rFonts w:ascii="Arial" w:cs="Arial" w:eastAsia="Arial" w:hAnsi="Arial"/>
          <w:sz w:val="13"/>
          <w:szCs w:val="13"/>
          <w:color w:val="auto"/>
        </w:rPr>
      </w:pPr>
      <w:r>
        <w:rPr>
          <w:rFonts w:ascii="Arial" w:cs="Arial" w:eastAsia="Arial" w:hAnsi="Arial"/>
          <w:sz w:val="13"/>
          <w:szCs w:val="13"/>
          <w:u w:val="single" w:color="auto"/>
          <w:color w:val="auto"/>
        </w:rPr>
        <w:t>Tax Withholding</w:t>
      </w:r>
      <w:r>
        <w:rPr>
          <w:rFonts w:ascii="Arial" w:cs="Arial" w:eastAsia="Arial" w:hAnsi="Arial"/>
          <w:sz w:val="13"/>
          <w:szCs w:val="13"/>
          <w:color w:val="auto"/>
        </w:rPr>
        <w:t>. When the Option is exercised, Participant generally will recognize immediate U.S. taxable income if Participant is a U.S. taxpayer. If Participant is a non-U.S. taxpayer, Participant will be subject to applicable taxes in his or her jurisdiction. Pursuant to such procedures as the Administrator may specify from time to time, the Company and/or Service Recipient shall withhold the amount required to be withheld for the payment of Tax Obligations. The Administrator, in its sole discretion and pursuant to such procedures as it may specify from time to time, may permit Participant to satisfy such Tax Obligations, in whole or in part (without limitation), if permissible by applicable local law, by (i) paying cash,</w:t>
      </w:r>
    </w:p>
    <w:p>
      <w:pPr>
        <w:spacing w:after="0" w:line="1" w:lineRule="exact"/>
        <w:rPr>
          <w:rFonts w:ascii="Arial" w:cs="Arial" w:eastAsia="Arial" w:hAnsi="Arial"/>
          <w:sz w:val="13"/>
          <w:szCs w:val="13"/>
          <w:color w:val="auto"/>
        </w:rPr>
      </w:pPr>
    </w:p>
    <w:p>
      <w:pPr>
        <w:ind w:left="10" w:right="120" w:hanging="10"/>
        <w:spacing w:after="0" w:line="289" w:lineRule="auto"/>
        <w:tabs>
          <w:tab w:leader="none" w:pos="231" w:val="left"/>
        </w:tabs>
        <w:numPr>
          <w:ilvl w:val="0"/>
          <w:numId w:val="168"/>
        </w:numPr>
        <w:rPr>
          <w:rFonts w:ascii="Arial" w:cs="Arial" w:eastAsia="Arial" w:hAnsi="Arial"/>
          <w:sz w:val="13"/>
          <w:szCs w:val="13"/>
          <w:color w:val="auto"/>
        </w:rPr>
      </w:pPr>
      <w:r>
        <w:rPr>
          <w:rFonts w:ascii="Arial" w:cs="Arial" w:eastAsia="Arial" w:hAnsi="Arial"/>
          <w:sz w:val="13"/>
          <w:szCs w:val="13"/>
          <w:color w:val="auto"/>
        </w:rPr>
        <w:t>electing to have the Company withhold otherwise deliverable Shares having a fair market value equal to the minimum amount that is necessary to meet the withholding requirement for such Tax Obligations (or such greater amount as Participant may elect if permitted by the Administrator, if such greater amount would not result in adverse financial accounting consequences), (iii) withholding the amount of such Tax Obligations from Participant’s wages or other cash compensation paid to Participant by the Company and/or the Service Recipient,</w:t>
      </w:r>
    </w:p>
    <w:p>
      <w:pPr>
        <w:spacing w:after="0" w:line="1" w:lineRule="exact"/>
        <w:rPr>
          <w:rFonts w:ascii="Arial" w:cs="Arial" w:eastAsia="Arial" w:hAnsi="Arial"/>
          <w:sz w:val="13"/>
          <w:szCs w:val="13"/>
          <w:color w:val="auto"/>
        </w:rPr>
      </w:pPr>
    </w:p>
    <w:p>
      <w:pPr>
        <w:ind w:left="10" w:hanging="10"/>
        <w:spacing w:after="0" w:line="252" w:lineRule="auto"/>
        <w:tabs>
          <w:tab w:leader="none" w:pos="264" w:val="left"/>
        </w:tabs>
        <w:numPr>
          <w:ilvl w:val="0"/>
          <w:numId w:val="169"/>
        </w:numPr>
        <w:rPr>
          <w:rFonts w:ascii="Arial" w:cs="Arial" w:eastAsia="Arial" w:hAnsi="Arial"/>
          <w:sz w:val="15"/>
          <w:szCs w:val="15"/>
          <w:color w:val="auto"/>
        </w:rPr>
      </w:pPr>
      <w:r>
        <w:rPr>
          <w:rFonts w:ascii="Arial" w:cs="Arial" w:eastAsia="Arial" w:hAnsi="Arial"/>
          <w:sz w:val="15"/>
          <w:szCs w:val="15"/>
          <w:color w:val="auto"/>
        </w:rPr>
        <w:t>delivering to the Company already vested and owned Shares having a fair market value equal to such Tax Obligations, or (v) selling a sufficient number of such Shares otherwise deliverable to Participant through such means as the Company may determine in its sole discretion (whether through a broker or otherwise) equal to the minimum amount that is necessary to meet the withholding requirement for such Tax Obligations (or such greater amount as Participant may elect if permitted by the Administrator, if such greater amount would not result in adverse financial accounting consequences). To the extent determined appropriate by the Company in its discretion, it will have the right (but not the obligation) to satisfy any Tax Obligations by reducing the number of Shares otherwise deliverable to Participant. Further, if Participant is subject to tax in more than one jurisdiction between the Date of Grant and a date of any relevant taxable or tax withholding event, as applicable, Participant acknowledges and agrees that the Company and/or the Service Recipient (and/or former employer, as applicable) may be required to withhold or account for tax in more than one jurisdiction. If Participant fails to make satisfactory arrangements for the payment of any required Tax Obligations hereunder at the time of the Option exercise, Participant acknowledges and agrees that the Company may refuse to honor the exercise and refuse to deliver the Shares if such amounts are not delivered at the time of exercise.</w:t>
      </w:r>
    </w:p>
    <w:p>
      <w:pPr>
        <w:spacing w:after="0" w:line="165" w:lineRule="exact"/>
        <w:rPr>
          <w:rFonts w:ascii="Arial" w:cs="Arial" w:eastAsia="Arial" w:hAnsi="Arial"/>
          <w:sz w:val="15"/>
          <w:szCs w:val="15"/>
          <w:color w:val="auto"/>
        </w:rPr>
      </w:pPr>
    </w:p>
    <w:p>
      <w:pPr>
        <w:ind w:left="10" w:right="160" w:firstLine="906"/>
        <w:spacing w:after="0" w:line="259" w:lineRule="auto"/>
        <w:tabs>
          <w:tab w:leader="none" w:pos="1243" w:val="left"/>
        </w:tabs>
        <w:numPr>
          <w:ilvl w:val="1"/>
          <w:numId w:val="169"/>
        </w:numPr>
        <w:rPr>
          <w:rFonts w:ascii="Arial" w:cs="Arial" w:eastAsia="Arial" w:hAnsi="Arial"/>
          <w:sz w:val="15"/>
          <w:szCs w:val="15"/>
          <w:color w:val="auto"/>
        </w:rPr>
      </w:pPr>
      <w:r>
        <w:rPr>
          <w:rFonts w:ascii="Arial" w:cs="Arial" w:eastAsia="Arial" w:hAnsi="Arial"/>
          <w:sz w:val="15"/>
          <w:szCs w:val="15"/>
          <w:u w:val="single" w:color="auto"/>
          <w:color w:val="auto"/>
        </w:rPr>
        <w:t>Notice of Disqualifying Disposition of ISO Shares</w:t>
      </w:r>
      <w:r>
        <w:rPr>
          <w:rFonts w:ascii="Arial" w:cs="Arial" w:eastAsia="Arial" w:hAnsi="Arial"/>
          <w:sz w:val="15"/>
          <w:szCs w:val="15"/>
          <w:color w:val="auto"/>
        </w:rPr>
        <w:t>. If the Option granted to Participant herein is an ISO, and if Participant sells or otherwise disposes of any of the Shares acquired pursuant to the ISO on or before the later of (i) the date two (2) years after the Date of Grant, or (ii) the date one (1) year after the date of exercise, Participant will immediately notify the Company in writing of such disposition. Participant agrees that Participant may be subject to income tax withholding by the Company on the compensation income recognized by Participant.</w:t>
      </w:r>
    </w:p>
    <w:p>
      <w:pPr>
        <w:spacing w:after="0" w:line="101" w:lineRule="exact"/>
        <w:rPr>
          <w:rFonts w:ascii="Arial" w:cs="Arial" w:eastAsia="Arial" w:hAnsi="Arial"/>
          <w:sz w:val="15"/>
          <w:szCs w:val="15"/>
          <w:color w:val="auto"/>
        </w:rPr>
      </w:pPr>
    </w:p>
    <w:p>
      <w:pPr>
        <w:ind w:left="5690" w:hanging="91"/>
        <w:spacing w:after="0"/>
        <w:tabs>
          <w:tab w:leader="none" w:pos="5690" w:val="left"/>
        </w:tabs>
        <w:numPr>
          <w:ilvl w:val="2"/>
          <w:numId w:val="169"/>
        </w:numPr>
        <w:rPr>
          <w:rFonts w:ascii="Arial" w:cs="Arial" w:eastAsia="Arial" w:hAnsi="Arial"/>
          <w:sz w:val="15"/>
          <w:szCs w:val="15"/>
          <w:color w:val="auto"/>
        </w:rPr>
      </w:pPr>
      <w:r>
        <w:rPr>
          <w:rFonts w:ascii="Arial" w:cs="Arial" w:eastAsia="Arial" w:hAnsi="Arial"/>
          <w:sz w:val="15"/>
          <w:szCs w:val="15"/>
          <w:color w:val="auto"/>
        </w:rPr>
        <w:t>3 -</w:t>
      </w:r>
    </w:p>
    <w:p>
      <w:pPr>
        <w:sectPr>
          <w:pgSz w:w="11900" w:h="16838" w:orient="portrait"/>
          <w:cols w:equalWidth="0" w:num="1">
            <w:col w:w="11410"/>
          </w:cols>
          <w:pgMar w:left="230" w:top="253" w:right="259" w:bottom="1440" w:gutter="0" w:footer="0" w:header="0"/>
        </w:sectPr>
      </w:pPr>
    </w:p>
    <w:bookmarkStart w:id="281" w:name="page282"/>
    <w:bookmarkEnd w:id="281"/>
    <w:p>
      <w:pPr>
        <w:ind w:right="20" w:firstLine="906"/>
        <w:spacing w:after="0" w:line="275" w:lineRule="auto"/>
        <w:tabs>
          <w:tab w:leader="none" w:pos="1241" w:val="left"/>
        </w:tabs>
        <w:numPr>
          <w:ilvl w:val="1"/>
          <w:numId w:val="170"/>
        </w:numPr>
        <w:rPr>
          <w:rFonts w:ascii="Arial" w:cs="Arial" w:eastAsia="Arial" w:hAnsi="Arial"/>
          <w:sz w:val="14"/>
          <w:szCs w:val="14"/>
          <w:color w:val="auto"/>
        </w:rPr>
      </w:pPr>
      <w:r>
        <w:rPr>
          <w:rFonts w:ascii="Arial" w:cs="Arial" w:eastAsia="Arial" w:hAnsi="Arial"/>
          <w:sz w:val="14"/>
          <w:szCs w:val="14"/>
          <w:u w:val="single" w:color="auto"/>
          <w:color w:val="auto"/>
        </w:rPr>
        <w:drawing>
          <wp:anchor simplePos="0" relativeHeight="251657728" behindDoc="1" locked="0" layoutInCell="0" allowOverlap="1">
            <wp:simplePos x="0" y="0"/>
            <wp:positionH relativeFrom="page">
              <wp:posOffset>133350</wp:posOffset>
            </wp:positionH>
            <wp:positionV relativeFrom="page">
              <wp:posOffset>88900</wp:posOffset>
            </wp:positionV>
            <wp:extent cx="7308850" cy="34290"/>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425">
                      <a:extLst>
                        <a:ext uri="{28A0092B-C50C-407E-A947-70E740481C1C}"/>
                      </a:extLst>
                    </a:blip>
                    <a:srcRect/>
                    <a:stretch>
                      <a:fillRect/>
                    </a:stretch>
                  </pic:blipFill>
                  <pic:spPr bwMode="auto">
                    <a:xfrm>
                      <a:off x="0" y="0"/>
                      <a:ext cx="7308850" cy="34290"/>
                    </a:xfrm>
                    <a:prstGeom prst="rect">
                      <a:avLst/>
                    </a:prstGeom>
                    <a:noFill/>
                  </pic:spPr>
                </pic:pic>
              </a:graphicData>
            </a:graphic>
          </wp:anchor>
        </w:drawing>
        <w:t>Code Section 409A</w:t>
      </w:r>
      <w:r>
        <w:rPr>
          <w:rFonts w:ascii="Arial" w:cs="Arial" w:eastAsia="Arial" w:hAnsi="Arial"/>
          <w:sz w:val="14"/>
          <w:szCs w:val="14"/>
          <w:color w:val="auto"/>
        </w:rPr>
        <w:t>. Under Code Section 409A, a stock right (such as the Option) that vests after December 31, 2004 (or that vested on or prior to such date but which was materially modified after October 3, 2004) that was granted with a per share exercise price that is determined by the Internal Revenue Service (the “IRS”) to be less than the fair market value of an underlying share on the date of grant (a “discount option”) may be considered “deferred compensation.” A stock right that is a “discount option” may result in (i) income recognition by the recipient of the stock right prior to the exercise of the stock right, (ii) an additional twenty percent (20%) federal income tax, and (iii) potential penalty and interest charges. The “discount option” may also result in additional state income, penalty and interest tax to the recipient of the stock right. Participant acknowledges that the Company cannot and has not guaranteed that the IRS will agree that the per Share exercise price of this Option equals or exceeds the fair market value of a Share on the date of grant in a later examination. Participant agrees that if the IRS determines that the Option was granted with a per Share exercise price that was less than the fair market value of a Share on the date of grant, Participant shall be solely responsible for Participant’s costs related to such a determination.</w:t>
      </w:r>
    </w:p>
    <w:p>
      <w:pPr>
        <w:spacing w:after="0" w:line="148" w:lineRule="exact"/>
        <w:rPr>
          <w:rFonts w:ascii="Arial" w:cs="Arial" w:eastAsia="Arial" w:hAnsi="Arial"/>
          <w:sz w:val="14"/>
          <w:szCs w:val="14"/>
          <w:color w:val="auto"/>
        </w:rPr>
      </w:pPr>
    </w:p>
    <w:p>
      <w:pPr>
        <w:ind w:right="180" w:firstLine="448"/>
        <w:spacing w:after="0" w:line="311" w:lineRule="auto"/>
        <w:tabs>
          <w:tab w:leader="none" w:pos="721" w:val="left"/>
        </w:tabs>
        <w:numPr>
          <w:ilvl w:val="0"/>
          <w:numId w:val="171"/>
        </w:numPr>
        <w:rPr>
          <w:rFonts w:ascii="Arial" w:cs="Arial" w:eastAsia="Arial" w:hAnsi="Arial"/>
          <w:sz w:val="13"/>
          <w:szCs w:val="13"/>
          <w:color w:val="auto"/>
        </w:rPr>
      </w:pPr>
      <w:r>
        <w:rPr>
          <w:rFonts w:ascii="Arial" w:cs="Arial" w:eastAsia="Arial" w:hAnsi="Arial"/>
          <w:sz w:val="13"/>
          <w:szCs w:val="13"/>
          <w:u w:val="single" w:color="auto"/>
          <w:color w:val="auto"/>
        </w:rPr>
        <w:t>Rights as Stockholder</w:t>
      </w:r>
      <w:r>
        <w:rPr>
          <w:rFonts w:ascii="Arial" w:cs="Arial" w:eastAsia="Arial" w:hAnsi="Arial"/>
          <w:sz w:val="13"/>
          <w:szCs w:val="13"/>
          <w:color w:val="auto"/>
        </w:rPr>
        <w:t>. Neither Participant nor any person claiming under or through Participant will have any of the rights or privileges of a stockholder of the Company in respect of any Shares deliverable hereunder unless and until certificates representing such Shares (which may be in book entry form) will have been issued, recorded on the records of the Company or its transfer agents or registrars, and delivered to Participant (including through electronic delivery to a brokerage account). After such issuance, recordation, and delivery, Participant will have all the rights of a stockholder of the Company with respect to voting such Shares and receipt of dividends and distributions on such Shares.</w:t>
      </w:r>
    </w:p>
    <w:p>
      <w:pPr>
        <w:spacing w:after="0" w:line="127" w:lineRule="exact"/>
        <w:rPr>
          <w:rFonts w:ascii="Arial" w:cs="Arial" w:eastAsia="Arial" w:hAnsi="Arial"/>
          <w:sz w:val="13"/>
          <w:szCs w:val="13"/>
          <w:color w:val="auto"/>
        </w:rPr>
      </w:pPr>
    </w:p>
    <w:p>
      <w:pPr>
        <w:jc w:val="both"/>
        <w:ind w:right="20" w:firstLine="448"/>
        <w:spacing w:after="0" w:line="273" w:lineRule="auto"/>
        <w:tabs>
          <w:tab w:leader="none" w:pos="721" w:val="left"/>
        </w:tabs>
        <w:numPr>
          <w:ilvl w:val="0"/>
          <w:numId w:val="171"/>
        </w:numPr>
        <w:rPr>
          <w:rFonts w:ascii="Arial" w:cs="Arial" w:eastAsia="Arial" w:hAnsi="Arial"/>
          <w:sz w:val="14"/>
          <w:szCs w:val="14"/>
          <w:color w:val="auto"/>
        </w:rPr>
      </w:pPr>
      <w:r>
        <w:rPr>
          <w:rFonts w:ascii="Arial" w:cs="Arial" w:eastAsia="Arial" w:hAnsi="Arial"/>
          <w:sz w:val="14"/>
          <w:szCs w:val="14"/>
          <w:u w:val="single" w:color="auto"/>
          <w:color w:val="auto"/>
        </w:rPr>
        <w:t>No Guarantee of Continued Service</w:t>
      </w:r>
      <w:r>
        <w:rPr>
          <w:rFonts w:ascii="Arial" w:cs="Arial" w:eastAsia="Arial" w:hAnsi="Arial"/>
          <w:sz w:val="14"/>
          <w:szCs w:val="14"/>
          <w:color w:val="auto"/>
        </w:rPr>
        <w:t>. PARTICIPANT ACKNOWLEDGES AND AGREES THAT THE VESTING OF SHARES PURSUANT TO THE VESTING SCHEDULE HEREOF IS EARNED ONLY BY CONTINUING AS A SERVICE PROVIDER, WHICH UNLESS PROVIDED OTHERWISE UNDER APPLICABLE LAW IS AT THE WILL OF THE COMPANY (OR THE SERVICE RECIPIENT) AND NOT THROUGH THE ACT OF BEING HIRED, BEING GRANTED THIS OPTION OR ACQUIRING SHARES HEREUNDER.</w:t>
      </w:r>
    </w:p>
    <w:p>
      <w:pPr>
        <w:spacing w:after="0" w:line="1" w:lineRule="exact"/>
        <w:rPr>
          <w:rFonts w:ascii="Arial" w:cs="Arial" w:eastAsia="Arial" w:hAnsi="Arial"/>
          <w:sz w:val="14"/>
          <w:szCs w:val="14"/>
          <w:color w:val="auto"/>
        </w:rPr>
      </w:pPr>
    </w:p>
    <w:p>
      <w:pPr>
        <w:spacing w:after="0" w:line="253" w:lineRule="auto"/>
        <w:rPr>
          <w:rFonts w:ascii="Arial" w:cs="Arial" w:eastAsia="Arial" w:hAnsi="Arial"/>
          <w:sz w:val="14"/>
          <w:szCs w:val="14"/>
          <w:color w:val="auto"/>
        </w:rPr>
      </w:pPr>
      <w:r>
        <w:rPr>
          <w:rFonts w:ascii="Arial" w:cs="Arial" w:eastAsia="Arial" w:hAnsi="Arial"/>
          <w:sz w:val="15"/>
          <w:szCs w:val="15"/>
          <w:color w:val="auto"/>
        </w:rPr>
        <w:t>PARTICIPANT FURTHER ACKNOWLEDGES AND AGREES THAT THIS OPTION AGREEMENT, THE TRANSACTIONS CONTEMPLATED HEREUNDER AND THE VESTING SCHEDULE SET FORTH HEREIN DO NOT CONSTITUTE AN EXPRESS OR IMPLIED PROMISE OF CONTINUED ENGAGEMENT AS A SERVICE PROVIDER FOR THE VESTING PERIOD, FOR ANY PERIOD, OR AT ALL, AND WILL NOT INTERFERE IN ANY WAY WITH PARTICIPANT’S RIGHT OR THE RIGHT OF THE COMPANY (OR THE SERVICE RECIPIENT) TO TERMINATE PARTICIPANT’S RELATIONSHIP AS A SERVICE PROVIDER, SUBJECT TO APPLICABLE LAW, WHICH TERMINATION, UNLESS PROVIDED OTHERWISE UNDER APPLICABLE LAW, MAY BE AT ANY TIME, WITH OR WITHOUT CAUSE.</w:t>
      </w:r>
    </w:p>
    <w:p>
      <w:pPr>
        <w:spacing w:after="0" w:line="107" w:lineRule="exact"/>
        <w:rPr>
          <w:rFonts w:ascii="Arial" w:cs="Arial" w:eastAsia="Arial" w:hAnsi="Arial"/>
          <w:sz w:val="14"/>
          <w:szCs w:val="14"/>
          <w:color w:val="auto"/>
        </w:rPr>
      </w:pPr>
    </w:p>
    <w:p>
      <w:pPr>
        <w:ind w:left="5680" w:hanging="91"/>
        <w:spacing w:after="0"/>
        <w:tabs>
          <w:tab w:leader="none" w:pos="5680" w:val="left"/>
        </w:tabs>
        <w:numPr>
          <w:ilvl w:val="2"/>
          <w:numId w:val="171"/>
        </w:numPr>
        <w:rPr>
          <w:rFonts w:ascii="Arial" w:cs="Arial" w:eastAsia="Arial" w:hAnsi="Arial"/>
          <w:sz w:val="15"/>
          <w:szCs w:val="15"/>
          <w:color w:val="auto"/>
        </w:rPr>
      </w:pPr>
      <w:r>
        <w:rPr>
          <w:rFonts w:ascii="Arial" w:cs="Arial" w:eastAsia="Arial" w:hAnsi="Arial"/>
          <w:sz w:val="15"/>
          <w:szCs w:val="15"/>
          <w:color w:val="auto"/>
        </w:rPr>
        <w:t>4 -</w:t>
      </w:r>
    </w:p>
    <w:p>
      <w:pPr>
        <w:sectPr>
          <w:pgSz w:w="11900" w:h="16838" w:orient="portrait"/>
          <w:cols w:equalWidth="0" w:num="1">
            <w:col w:w="11360"/>
          </w:cols>
          <w:pgMar w:left="240" w:top="253" w:right="299" w:bottom="1440" w:gutter="0" w:footer="0" w:header="0"/>
        </w:sectPr>
      </w:pPr>
    </w:p>
    <w:bookmarkStart w:id="282" w:name="page283"/>
    <w:bookmarkEnd w:id="282"/>
    <w:p>
      <w:pPr>
        <w:ind w:left="272" w:hanging="272"/>
        <w:spacing w:after="0"/>
        <w:tabs>
          <w:tab w:leader="none" w:pos="272" w:val="left"/>
        </w:tabs>
        <w:numPr>
          <w:ilvl w:val="0"/>
          <w:numId w:val="172"/>
        </w:numPr>
        <w:rPr>
          <w:rFonts w:ascii="Arial" w:cs="Arial" w:eastAsia="Arial" w:hAnsi="Arial"/>
          <w:sz w:val="15"/>
          <w:szCs w:val="15"/>
          <w:color w:val="auto"/>
        </w:rPr>
      </w:pPr>
      <w:r>
        <w:rPr>
          <w:rFonts w:ascii="Arial" w:cs="Arial" w:eastAsia="Arial" w:hAnsi="Arial"/>
          <w:sz w:val="15"/>
          <w:szCs w:val="15"/>
          <w:u w:val="single" w:color="auto"/>
          <w:color w:val="auto"/>
        </w:rPr>
        <w:drawing>
          <wp:anchor simplePos="0" relativeHeight="251657728" behindDoc="1" locked="0" layoutInCell="0" allowOverlap="1">
            <wp:simplePos x="0" y="0"/>
            <wp:positionH relativeFrom="page">
              <wp:posOffset>133350</wp:posOffset>
            </wp:positionH>
            <wp:positionV relativeFrom="page">
              <wp:posOffset>88900</wp:posOffset>
            </wp:positionV>
            <wp:extent cx="7308850" cy="34290"/>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426">
                      <a:extLst>
                        <a:ext uri="{28A0092B-C50C-407E-A947-70E740481C1C}"/>
                      </a:extLst>
                    </a:blip>
                    <a:srcRect/>
                    <a:stretch>
                      <a:fillRect/>
                    </a:stretch>
                  </pic:blipFill>
                  <pic:spPr bwMode="auto">
                    <a:xfrm>
                      <a:off x="0" y="0"/>
                      <a:ext cx="7308850" cy="34290"/>
                    </a:xfrm>
                    <a:prstGeom prst="rect">
                      <a:avLst/>
                    </a:prstGeom>
                    <a:noFill/>
                  </pic:spPr>
                </pic:pic>
              </a:graphicData>
            </a:graphic>
          </wp:anchor>
        </w:drawing>
        <w:t>Nature of Grant</w:t>
      </w:r>
      <w:r>
        <w:rPr>
          <w:rFonts w:ascii="Arial" w:cs="Arial" w:eastAsia="Arial" w:hAnsi="Arial"/>
          <w:sz w:val="15"/>
          <w:szCs w:val="15"/>
          <w:color w:val="auto"/>
        </w:rPr>
        <w:t>. In accepting the Option, Participant acknowledges, understands and agrees that:</w:t>
      </w:r>
    </w:p>
    <w:p>
      <w:pPr>
        <w:spacing w:after="0" w:line="188" w:lineRule="exact"/>
        <w:rPr>
          <w:rFonts w:ascii="Arial" w:cs="Arial" w:eastAsia="Arial" w:hAnsi="Arial"/>
          <w:sz w:val="15"/>
          <w:szCs w:val="15"/>
          <w:color w:val="auto"/>
        </w:rPr>
      </w:pPr>
    </w:p>
    <w:p>
      <w:pPr>
        <w:ind w:left="-448" w:right="300" w:firstLine="906"/>
        <w:spacing w:after="0" w:line="275" w:lineRule="auto"/>
        <w:tabs>
          <w:tab w:leader="none" w:pos="785" w:val="left"/>
        </w:tabs>
        <w:numPr>
          <w:ilvl w:val="1"/>
          <w:numId w:val="172"/>
        </w:numPr>
        <w:rPr>
          <w:rFonts w:ascii="Arial" w:cs="Arial" w:eastAsia="Arial" w:hAnsi="Arial"/>
          <w:sz w:val="15"/>
          <w:szCs w:val="15"/>
          <w:color w:val="auto"/>
        </w:rPr>
      </w:pPr>
      <w:r>
        <w:rPr>
          <w:rFonts w:ascii="Arial" w:cs="Arial" w:eastAsia="Arial" w:hAnsi="Arial"/>
          <w:sz w:val="15"/>
          <w:szCs w:val="15"/>
          <w:color w:val="auto"/>
        </w:rPr>
        <w:t>the grant of the Option is voluntary and occasional and does not create any contractual or other right to receive future grants of options, or benefits in lieu of options, even if options have been granted in the past;</w:t>
      </w:r>
    </w:p>
    <w:p>
      <w:pPr>
        <w:spacing w:after="0" w:line="146" w:lineRule="exact"/>
        <w:rPr>
          <w:rFonts w:ascii="Arial" w:cs="Arial" w:eastAsia="Arial" w:hAnsi="Arial"/>
          <w:sz w:val="15"/>
          <w:szCs w:val="15"/>
          <w:color w:val="auto"/>
        </w:rPr>
      </w:pPr>
    </w:p>
    <w:p>
      <w:pPr>
        <w:ind w:left="792" w:hanging="334"/>
        <w:spacing w:after="0"/>
        <w:tabs>
          <w:tab w:leader="none" w:pos="792" w:val="left"/>
        </w:tabs>
        <w:numPr>
          <w:ilvl w:val="1"/>
          <w:numId w:val="172"/>
        </w:numPr>
        <w:rPr>
          <w:rFonts w:ascii="Arial" w:cs="Arial" w:eastAsia="Arial" w:hAnsi="Arial"/>
          <w:sz w:val="15"/>
          <w:szCs w:val="15"/>
          <w:color w:val="auto"/>
        </w:rPr>
      </w:pPr>
      <w:r>
        <w:rPr>
          <w:rFonts w:ascii="Arial" w:cs="Arial" w:eastAsia="Arial" w:hAnsi="Arial"/>
          <w:sz w:val="15"/>
          <w:szCs w:val="15"/>
          <w:color w:val="auto"/>
        </w:rPr>
        <w:t>all decisions with respect to future option or other grants, if any, will be at the sole discretion of the Company;</w:t>
      </w:r>
    </w:p>
    <w:p>
      <w:pPr>
        <w:spacing w:after="0" w:line="188" w:lineRule="exact"/>
        <w:rPr>
          <w:rFonts w:ascii="Arial" w:cs="Arial" w:eastAsia="Arial" w:hAnsi="Arial"/>
          <w:sz w:val="15"/>
          <w:szCs w:val="15"/>
          <w:color w:val="auto"/>
        </w:rPr>
      </w:pPr>
    </w:p>
    <w:p>
      <w:pPr>
        <w:ind w:left="772" w:hanging="314"/>
        <w:spacing w:after="0"/>
        <w:tabs>
          <w:tab w:leader="none" w:pos="772" w:val="left"/>
        </w:tabs>
        <w:numPr>
          <w:ilvl w:val="1"/>
          <w:numId w:val="172"/>
        </w:numPr>
        <w:rPr>
          <w:rFonts w:ascii="Arial" w:cs="Arial" w:eastAsia="Arial" w:hAnsi="Arial"/>
          <w:sz w:val="15"/>
          <w:szCs w:val="15"/>
          <w:color w:val="auto"/>
        </w:rPr>
      </w:pPr>
      <w:r>
        <w:rPr>
          <w:rFonts w:ascii="Arial" w:cs="Arial" w:eastAsia="Arial" w:hAnsi="Arial"/>
          <w:sz w:val="15"/>
          <w:szCs w:val="15"/>
          <w:color w:val="auto"/>
        </w:rPr>
        <w:t>Participant is voluntarily participating in the Plan;</w:t>
      </w:r>
    </w:p>
    <w:p>
      <w:pPr>
        <w:spacing w:after="0" w:line="188" w:lineRule="exact"/>
        <w:rPr>
          <w:rFonts w:ascii="Arial" w:cs="Arial" w:eastAsia="Arial" w:hAnsi="Arial"/>
          <w:sz w:val="15"/>
          <w:szCs w:val="15"/>
          <w:color w:val="auto"/>
        </w:rPr>
      </w:pPr>
    </w:p>
    <w:p>
      <w:pPr>
        <w:ind w:left="792" w:hanging="334"/>
        <w:spacing w:after="0"/>
        <w:tabs>
          <w:tab w:leader="none" w:pos="792" w:val="left"/>
        </w:tabs>
        <w:numPr>
          <w:ilvl w:val="1"/>
          <w:numId w:val="172"/>
        </w:numPr>
        <w:rPr>
          <w:rFonts w:ascii="Arial" w:cs="Arial" w:eastAsia="Arial" w:hAnsi="Arial"/>
          <w:sz w:val="15"/>
          <w:szCs w:val="15"/>
          <w:color w:val="auto"/>
        </w:rPr>
      </w:pPr>
      <w:r>
        <w:rPr>
          <w:rFonts w:ascii="Arial" w:cs="Arial" w:eastAsia="Arial" w:hAnsi="Arial"/>
          <w:sz w:val="15"/>
          <w:szCs w:val="15"/>
          <w:color w:val="auto"/>
        </w:rPr>
        <w:t>the Option and any Shares acquired under the Plan are not intended to replace any pension rights or compensation;</w:t>
      </w:r>
    </w:p>
    <w:p>
      <w:pPr>
        <w:spacing w:after="0" w:line="188" w:lineRule="exact"/>
        <w:rPr>
          <w:rFonts w:ascii="Arial" w:cs="Arial" w:eastAsia="Arial" w:hAnsi="Arial"/>
          <w:sz w:val="15"/>
          <w:szCs w:val="15"/>
          <w:color w:val="auto"/>
        </w:rPr>
      </w:pPr>
    </w:p>
    <w:p>
      <w:pPr>
        <w:ind w:left="-448" w:right="440" w:firstLine="906"/>
        <w:spacing w:after="0" w:line="354" w:lineRule="auto"/>
        <w:tabs>
          <w:tab w:leader="none" w:pos="785" w:val="left"/>
        </w:tabs>
        <w:numPr>
          <w:ilvl w:val="1"/>
          <w:numId w:val="172"/>
        </w:numPr>
        <w:rPr>
          <w:rFonts w:ascii="Arial" w:cs="Arial" w:eastAsia="Arial" w:hAnsi="Arial"/>
          <w:sz w:val="13"/>
          <w:szCs w:val="13"/>
          <w:color w:val="auto"/>
        </w:rPr>
      </w:pPr>
      <w:r>
        <w:rPr>
          <w:rFonts w:ascii="Arial" w:cs="Arial" w:eastAsia="Arial" w:hAnsi="Arial"/>
          <w:sz w:val="13"/>
          <w:szCs w:val="13"/>
          <w:color w:val="auto"/>
        </w:rPr>
        <w:t>the Option and Shares acquired under the Plan and the income and value of same, are not part of normal or expected compensation for purposes of calculating any severance, resignation, termination, redundancy, dismissal, end-of-service payments, bonuses, long-service awards, pension or retirement or welfare benefits or similar payments;</w:t>
      </w:r>
    </w:p>
    <w:p>
      <w:pPr>
        <w:spacing w:after="0" w:line="100" w:lineRule="exact"/>
        <w:rPr>
          <w:rFonts w:ascii="Arial" w:cs="Arial" w:eastAsia="Arial" w:hAnsi="Arial"/>
          <w:sz w:val="13"/>
          <w:szCs w:val="13"/>
          <w:color w:val="auto"/>
        </w:rPr>
      </w:pPr>
    </w:p>
    <w:p>
      <w:pPr>
        <w:ind w:left="752" w:hanging="294"/>
        <w:spacing w:after="0"/>
        <w:tabs>
          <w:tab w:leader="none" w:pos="752" w:val="left"/>
        </w:tabs>
        <w:numPr>
          <w:ilvl w:val="1"/>
          <w:numId w:val="172"/>
        </w:numPr>
        <w:rPr>
          <w:rFonts w:ascii="Arial" w:cs="Arial" w:eastAsia="Arial" w:hAnsi="Arial"/>
          <w:sz w:val="15"/>
          <w:szCs w:val="15"/>
          <w:color w:val="auto"/>
        </w:rPr>
      </w:pPr>
      <w:r>
        <w:rPr>
          <w:rFonts w:ascii="Arial" w:cs="Arial" w:eastAsia="Arial" w:hAnsi="Arial"/>
          <w:sz w:val="15"/>
          <w:szCs w:val="15"/>
          <w:color w:val="auto"/>
        </w:rPr>
        <w:t>the future value of the Shares underlying the Option is unknown, indeterminable, and cannot be predicted with certainty;</w:t>
      </w:r>
    </w:p>
    <w:p>
      <w:pPr>
        <w:spacing w:after="0" w:line="188" w:lineRule="exact"/>
        <w:rPr>
          <w:rFonts w:ascii="Arial" w:cs="Arial" w:eastAsia="Arial" w:hAnsi="Arial"/>
          <w:sz w:val="15"/>
          <w:szCs w:val="15"/>
          <w:color w:val="auto"/>
        </w:rPr>
      </w:pPr>
    </w:p>
    <w:p>
      <w:pPr>
        <w:ind w:left="792" w:hanging="334"/>
        <w:spacing w:after="0"/>
        <w:tabs>
          <w:tab w:leader="none" w:pos="792" w:val="left"/>
        </w:tabs>
        <w:numPr>
          <w:ilvl w:val="1"/>
          <w:numId w:val="172"/>
        </w:numPr>
        <w:rPr>
          <w:rFonts w:ascii="Arial" w:cs="Arial" w:eastAsia="Arial" w:hAnsi="Arial"/>
          <w:sz w:val="15"/>
          <w:szCs w:val="15"/>
          <w:color w:val="auto"/>
        </w:rPr>
      </w:pPr>
      <w:r>
        <w:rPr>
          <w:rFonts w:ascii="Arial" w:cs="Arial" w:eastAsia="Arial" w:hAnsi="Arial"/>
          <w:sz w:val="15"/>
          <w:szCs w:val="15"/>
          <w:color w:val="auto"/>
        </w:rPr>
        <w:t>if the underlying Shares do not increase in value, the Option will have no value;</w:t>
      </w:r>
    </w:p>
    <w:p>
      <w:pPr>
        <w:spacing w:after="0" w:line="188" w:lineRule="exact"/>
        <w:rPr>
          <w:rFonts w:ascii="Arial" w:cs="Arial" w:eastAsia="Arial" w:hAnsi="Arial"/>
          <w:sz w:val="15"/>
          <w:szCs w:val="15"/>
          <w:color w:val="auto"/>
        </w:rPr>
      </w:pPr>
    </w:p>
    <w:p>
      <w:pPr>
        <w:ind w:left="792" w:hanging="334"/>
        <w:spacing w:after="0"/>
        <w:tabs>
          <w:tab w:leader="none" w:pos="792" w:val="left"/>
        </w:tabs>
        <w:numPr>
          <w:ilvl w:val="1"/>
          <w:numId w:val="172"/>
        </w:numPr>
        <w:rPr>
          <w:rFonts w:ascii="Arial" w:cs="Arial" w:eastAsia="Arial" w:hAnsi="Arial"/>
          <w:sz w:val="15"/>
          <w:szCs w:val="15"/>
          <w:color w:val="auto"/>
        </w:rPr>
      </w:pPr>
      <w:r>
        <w:rPr>
          <w:rFonts w:ascii="Arial" w:cs="Arial" w:eastAsia="Arial" w:hAnsi="Arial"/>
          <w:sz w:val="15"/>
          <w:szCs w:val="15"/>
          <w:color w:val="auto"/>
        </w:rPr>
        <w:t>if Participant exercises the Option and acquires Shares, the value of such Shares may increase or decrease in value, even below the Exercise Price;</w:t>
      </w:r>
    </w:p>
    <w:p>
      <w:pPr>
        <w:spacing w:after="0" w:line="188" w:lineRule="exact"/>
        <w:rPr>
          <w:rFonts w:ascii="Arial" w:cs="Arial" w:eastAsia="Arial" w:hAnsi="Arial"/>
          <w:sz w:val="15"/>
          <w:szCs w:val="15"/>
          <w:color w:val="auto"/>
        </w:rPr>
      </w:pPr>
    </w:p>
    <w:p>
      <w:pPr>
        <w:ind w:left="-448" w:firstLine="906"/>
        <w:spacing w:after="0" w:line="253" w:lineRule="auto"/>
        <w:tabs>
          <w:tab w:leader="none" w:pos="760" w:val="left"/>
        </w:tabs>
        <w:numPr>
          <w:ilvl w:val="1"/>
          <w:numId w:val="172"/>
        </w:numPr>
        <w:rPr>
          <w:rFonts w:ascii="Arial" w:cs="Arial" w:eastAsia="Arial" w:hAnsi="Arial"/>
          <w:sz w:val="15"/>
          <w:szCs w:val="15"/>
          <w:color w:val="auto"/>
        </w:rPr>
      </w:pPr>
      <w:r>
        <w:rPr>
          <w:rFonts w:ascii="Arial" w:cs="Arial" w:eastAsia="Arial" w:hAnsi="Arial"/>
          <w:sz w:val="15"/>
          <w:szCs w:val="15"/>
          <w:color w:val="auto"/>
        </w:rPr>
        <w:t>for purposes of the Option, Participant’s engagement as a Service Provider will be considered terminated as of the date Participant is no longer actively providing services to the Company or any Parent or Subsidiary (regardless of the reason for such termination and whether or not later found to be invalid or in breach of employment laws in the jurisdiction where Participant is a Service Provider or the terms of Participant’s employment or service agreement, if any), and unless otherwise expressly provided in this Option Agreement (including by reference in the Notice of Grant to other arrangements or contracts) or determined by the Administrator, (i) Participant’s right to vest in the Option under the Plan, if any, will terminate as of such date and will not be extended by any notice period (</w:t>
      </w:r>
      <w:r>
        <w:rPr>
          <w:rFonts w:ascii="Arial" w:cs="Arial" w:eastAsia="Arial" w:hAnsi="Arial"/>
          <w:sz w:val="15"/>
          <w:szCs w:val="15"/>
          <w:i w:val="1"/>
          <w:iCs w:val="1"/>
          <w:color w:val="auto"/>
        </w:rPr>
        <w:t>e.g</w:t>
      </w:r>
      <w:r>
        <w:rPr>
          <w:rFonts w:ascii="Arial" w:cs="Arial" w:eastAsia="Arial" w:hAnsi="Arial"/>
          <w:sz w:val="15"/>
          <w:szCs w:val="15"/>
          <w:color w:val="auto"/>
        </w:rPr>
        <w:t>., Participant’s period of service would not include any contractual notice period or any period of “garden leave” or similar period mandated under employment laws in the jurisdiction where Participant is a Service Provider or Participant’s employment or service agreement, if any, unless Participant is providing bona fide services during such time); and (ii) the period (if any) during which Participant may exercise the Option after such termination of Participant’s engagement as a Service Provider will commence on the date Participant ceases to actively provide services and will not be extended by any notice period mandated under employment laws in the jurisdiction where Participant is employed or terms of Participant’s engagement agreement, if any; the Administrator shall have the exclusive discretion to determine when Participant is no longer actively providing services for purposes of his or her Option grant (including whether Participant may still be considered to be providing services while on a leave of absence and consistent with local law);</w:t>
      </w:r>
    </w:p>
    <w:p>
      <w:pPr>
        <w:spacing w:after="0" w:line="108" w:lineRule="exact"/>
        <w:rPr>
          <w:rFonts w:ascii="Arial" w:cs="Arial" w:eastAsia="Arial" w:hAnsi="Arial"/>
          <w:sz w:val="15"/>
          <w:szCs w:val="15"/>
          <w:color w:val="auto"/>
        </w:rPr>
      </w:pPr>
    </w:p>
    <w:p>
      <w:pPr>
        <w:ind w:left="5232" w:hanging="91"/>
        <w:spacing w:after="0"/>
        <w:tabs>
          <w:tab w:leader="none" w:pos="5232" w:val="left"/>
        </w:tabs>
        <w:numPr>
          <w:ilvl w:val="2"/>
          <w:numId w:val="172"/>
        </w:numPr>
        <w:rPr>
          <w:rFonts w:ascii="Arial" w:cs="Arial" w:eastAsia="Arial" w:hAnsi="Arial"/>
          <w:sz w:val="15"/>
          <w:szCs w:val="15"/>
          <w:color w:val="auto"/>
        </w:rPr>
      </w:pPr>
      <w:r>
        <w:rPr>
          <w:rFonts w:ascii="Arial" w:cs="Arial" w:eastAsia="Arial" w:hAnsi="Arial"/>
          <w:sz w:val="15"/>
          <w:szCs w:val="15"/>
          <w:color w:val="auto"/>
        </w:rPr>
        <w:t>5 -</w:t>
      </w:r>
    </w:p>
    <w:p>
      <w:pPr>
        <w:sectPr>
          <w:pgSz w:w="11900" w:h="16838" w:orient="portrait"/>
          <w:cols w:equalWidth="0" w:num="1">
            <w:col w:w="10992"/>
          </w:cols>
          <w:pgMar w:left="688" w:top="253" w:right="219" w:bottom="1440" w:gutter="0" w:footer="0" w:header="0"/>
        </w:sectPr>
      </w:pPr>
    </w:p>
    <w:bookmarkStart w:id="283" w:name="page284"/>
    <w:bookmarkEnd w:id="283"/>
    <w:p>
      <w:pPr>
        <w:ind w:left="-448" w:right="40" w:firstLine="906"/>
        <w:spacing w:after="0" w:line="263" w:lineRule="auto"/>
        <w:tabs>
          <w:tab w:leader="none" w:pos="760" w:val="left"/>
        </w:tabs>
        <w:numPr>
          <w:ilvl w:val="0"/>
          <w:numId w:val="173"/>
        </w:numPr>
        <w:rPr>
          <w:rFonts w:ascii="Arial" w:cs="Arial" w:eastAsia="Arial" w:hAnsi="Arial"/>
          <w:sz w:val="15"/>
          <w:szCs w:val="15"/>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133350</wp:posOffset>
            </wp:positionH>
            <wp:positionV relativeFrom="page">
              <wp:posOffset>88900</wp:posOffset>
            </wp:positionV>
            <wp:extent cx="7308850" cy="34290"/>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427">
                      <a:extLst>
                        <a:ext uri="{28A0092B-C50C-407E-A947-70E740481C1C}"/>
                      </a:extLst>
                    </a:blip>
                    <a:srcRect/>
                    <a:stretch>
                      <a:fillRect/>
                    </a:stretch>
                  </pic:blipFill>
                  <pic:spPr bwMode="auto">
                    <a:xfrm>
                      <a:off x="0" y="0"/>
                      <a:ext cx="7308850" cy="34290"/>
                    </a:xfrm>
                    <a:prstGeom prst="rect">
                      <a:avLst/>
                    </a:prstGeom>
                    <a:noFill/>
                  </pic:spPr>
                </pic:pic>
              </a:graphicData>
            </a:graphic>
          </wp:anchor>
        </w:drawing>
        <w:t>unless otherwise provided in the Plan or by the Company in its discretion, the Option and the benefits evidenced by this Option Agreement do not create any entitlement to have the Option or any such benefits transferred to, or assumed by, another company nor to be exchanged, cashed out or substituted for, in connection with any corporate transaction affecting the Shares; and</w:t>
      </w:r>
    </w:p>
    <w:p>
      <w:pPr>
        <w:spacing w:after="0" w:line="154" w:lineRule="exact"/>
        <w:rPr>
          <w:rFonts w:ascii="Arial" w:cs="Arial" w:eastAsia="Arial" w:hAnsi="Arial"/>
          <w:sz w:val="15"/>
          <w:szCs w:val="15"/>
          <w:color w:val="auto"/>
        </w:rPr>
      </w:pPr>
    </w:p>
    <w:p>
      <w:pPr>
        <w:ind w:left="792" w:hanging="334"/>
        <w:spacing w:after="0"/>
        <w:tabs>
          <w:tab w:leader="none" w:pos="792" w:val="left"/>
        </w:tabs>
        <w:numPr>
          <w:ilvl w:val="0"/>
          <w:numId w:val="173"/>
        </w:numPr>
        <w:rPr>
          <w:rFonts w:ascii="Arial" w:cs="Arial" w:eastAsia="Arial" w:hAnsi="Arial"/>
          <w:sz w:val="15"/>
          <w:szCs w:val="15"/>
          <w:color w:val="auto"/>
        </w:rPr>
      </w:pPr>
      <w:r>
        <w:rPr>
          <w:rFonts w:ascii="Arial" w:cs="Arial" w:eastAsia="Arial" w:hAnsi="Arial"/>
          <w:sz w:val="15"/>
          <w:szCs w:val="15"/>
          <w:color w:val="auto"/>
        </w:rPr>
        <w:t>the following provisions apply only if Participant is providing services outside the United States:</w:t>
      </w:r>
    </w:p>
    <w:p>
      <w:pPr>
        <w:spacing w:after="0" w:line="98" w:lineRule="exact"/>
        <w:rPr>
          <w:sz w:val="20"/>
          <w:szCs w:val="20"/>
          <w:color w:val="auto"/>
        </w:rPr>
      </w:pPr>
    </w:p>
    <w:p>
      <w:pPr>
        <w:ind w:left="1032"/>
        <w:spacing w:after="0"/>
        <w:rPr>
          <w:sz w:val="20"/>
          <w:szCs w:val="20"/>
          <w:color w:val="auto"/>
        </w:rPr>
      </w:pPr>
      <w:r>
        <w:rPr>
          <w:rFonts w:ascii="Arial" w:cs="Arial" w:eastAsia="Arial" w:hAnsi="Arial"/>
          <w:sz w:val="15"/>
          <w:szCs w:val="15"/>
          <w:color w:val="auto"/>
        </w:rPr>
        <w:t>the Option and the Shares subject to the Option are not part of normal or expected compensation or salary for any purpose;</w:t>
      </w:r>
    </w:p>
    <w:p>
      <w:pPr>
        <w:spacing w:after="0" w:line="98" w:lineRule="exact"/>
        <w:rPr>
          <w:sz w:val="20"/>
          <w:szCs w:val="20"/>
          <w:color w:val="auto"/>
        </w:rPr>
      </w:pPr>
    </w:p>
    <w:p>
      <w:pPr>
        <w:ind w:left="1032"/>
        <w:spacing w:after="0" w:line="263" w:lineRule="auto"/>
        <w:rPr>
          <w:sz w:val="20"/>
          <w:szCs w:val="20"/>
          <w:color w:val="auto"/>
        </w:rPr>
      </w:pPr>
      <w:r>
        <w:rPr>
          <w:rFonts w:ascii="Arial" w:cs="Arial" w:eastAsia="Arial" w:hAnsi="Arial"/>
          <w:sz w:val="15"/>
          <w:szCs w:val="15"/>
          <w:color w:val="auto"/>
        </w:rPr>
        <w:t>Participant acknowledges and agrees that none of the Company, the Service Recipient, or any Parent or Subsidiary shall be liable for any foreign exchange rate fluctuation between Participant’s local currency and the United States Dollar that may affect the value of the Option or of any amounts due to Participant pursuant to the exercise of the Option or the subsequent sale of any Shares acquired upon exercise; and</w:t>
      </w:r>
    </w:p>
    <w:p>
      <w:pPr>
        <w:spacing w:after="0" w:line="65" w:lineRule="exact"/>
        <w:rPr>
          <w:sz w:val="20"/>
          <w:szCs w:val="20"/>
          <w:color w:val="auto"/>
        </w:rPr>
      </w:pPr>
    </w:p>
    <w:p>
      <w:pPr>
        <w:ind w:left="1032" w:right="20"/>
        <w:spacing w:after="0" w:line="276" w:lineRule="auto"/>
        <w:rPr>
          <w:sz w:val="20"/>
          <w:szCs w:val="20"/>
          <w:color w:val="auto"/>
        </w:rPr>
      </w:pPr>
      <w:r>
        <w:rPr>
          <w:rFonts w:ascii="Arial" w:cs="Arial" w:eastAsia="Arial" w:hAnsi="Arial"/>
          <w:sz w:val="14"/>
          <w:szCs w:val="14"/>
          <w:color w:val="auto"/>
        </w:rPr>
        <w:t>no claim or entitlement to compensation or damages shall arise from forfeiture of the Option resulting from the termination of Participant’s engagement as a Service Provider (for any reason whatsoever, whether or not later found to be invalid or in breach of employment laws in the jurisdiction where Participant is a Service Provider or the terms of Participant’s employment or service agreement, if any), and in consideration of the grant of the Option to which Participant is otherwise not entitled, Participant irrevocably agrees never to institute any claim against the Company, any Parent, any Subsidiary or the Service Recipient, waives his or her ability, if any, to bring any such claim, and releases the Company, any Parent or Subsidiary and the Service Recipient from any such claim; if, notwithstanding the foregoing, any such claim is allowed by a court of competent jurisdiction, then, by participating in the Plan, Participant shall be deemed irrevocably to have agreed not to pursue such claim and agrees to execute any and all documents necessary to request dismissal or withdrawal of such claim.</w:t>
      </w:r>
    </w:p>
    <w:p>
      <w:pPr>
        <w:spacing w:after="0" w:line="148" w:lineRule="exact"/>
        <w:rPr>
          <w:sz w:val="20"/>
          <w:szCs w:val="20"/>
          <w:color w:val="auto"/>
        </w:rPr>
      </w:pPr>
    </w:p>
    <w:p>
      <w:pPr>
        <w:ind w:left="-448" w:right="180" w:firstLine="448"/>
        <w:spacing w:after="0" w:line="263" w:lineRule="auto"/>
        <w:tabs>
          <w:tab w:leader="none" w:pos="348" w:val="left"/>
        </w:tabs>
        <w:numPr>
          <w:ilvl w:val="0"/>
          <w:numId w:val="174"/>
        </w:numPr>
        <w:rPr>
          <w:rFonts w:ascii="Arial" w:cs="Arial" w:eastAsia="Arial" w:hAnsi="Arial"/>
          <w:sz w:val="15"/>
          <w:szCs w:val="15"/>
          <w:color w:val="auto"/>
        </w:rPr>
      </w:pPr>
      <w:r>
        <w:rPr>
          <w:rFonts w:ascii="Arial" w:cs="Arial" w:eastAsia="Arial" w:hAnsi="Arial"/>
          <w:sz w:val="15"/>
          <w:szCs w:val="15"/>
          <w:u w:val="single" w:color="auto"/>
          <w:color w:val="auto"/>
        </w:rPr>
        <w:t>No Advice Regarding Grant</w:t>
      </w:r>
      <w:r>
        <w:rPr>
          <w:rFonts w:ascii="Arial" w:cs="Arial" w:eastAsia="Arial" w:hAnsi="Arial"/>
          <w:sz w:val="15"/>
          <w:szCs w:val="15"/>
          <w:color w:val="auto"/>
        </w:rPr>
        <w:t>. The Company is not providing any tax, legal or financial advice, nor is the Company making any recommendations regarding Participant’s participation in the Plan, or Participant’s acquisition or sale of the underlying Shares. Participant is hereby advised to consult with his or her own personal tax, legal and financial advisors regarding his or her participation in the Plan before taking any action related to the Plan.</w:t>
      </w:r>
    </w:p>
    <w:p>
      <w:pPr>
        <w:spacing w:after="0" w:line="98" w:lineRule="exact"/>
        <w:rPr>
          <w:rFonts w:ascii="Arial" w:cs="Arial" w:eastAsia="Arial" w:hAnsi="Arial"/>
          <w:sz w:val="15"/>
          <w:szCs w:val="15"/>
          <w:color w:val="auto"/>
        </w:rPr>
      </w:pPr>
    </w:p>
    <w:p>
      <w:pPr>
        <w:ind w:left="5232" w:hanging="91"/>
        <w:spacing w:after="0"/>
        <w:tabs>
          <w:tab w:leader="none" w:pos="5232" w:val="left"/>
        </w:tabs>
        <w:numPr>
          <w:ilvl w:val="1"/>
          <w:numId w:val="174"/>
        </w:numPr>
        <w:rPr>
          <w:rFonts w:ascii="Arial" w:cs="Arial" w:eastAsia="Arial" w:hAnsi="Arial"/>
          <w:sz w:val="15"/>
          <w:szCs w:val="15"/>
          <w:color w:val="auto"/>
        </w:rPr>
      </w:pPr>
      <w:r>
        <w:rPr>
          <w:rFonts w:ascii="Arial" w:cs="Arial" w:eastAsia="Arial" w:hAnsi="Arial"/>
          <w:sz w:val="15"/>
          <w:szCs w:val="15"/>
          <w:color w:val="auto"/>
        </w:rPr>
        <w:t>6 -</w:t>
      </w:r>
    </w:p>
    <w:p>
      <w:pPr>
        <w:sectPr>
          <w:pgSz w:w="11900" w:h="16838" w:orient="portrait"/>
          <w:cols w:equalWidth="0" w:num="1">
            <w:col w:w="10932"/>
          </w:cols>
          <w:pgMar w:left="688" w:top="253" w:right="279" w:bottom="1440" w:gutter="0" w:footer="0" w:header="0"/>
        </w:sectPr>
      </w:pPr>
    </w:p>
    <w:bookmarkStart w:id="284" w:name="page285"/>
    <w:bookmarkEnd w:id="284"/>
    <w:p>
      <w:pPr>
        <w:ind w:right="260" w:firstLine="448"/>
        <w:spacing w:after="0" w:line="293" w:lineRule="auto"/>
        <w:tabs>
          <w:tab w:leader="none" w:pos="790" w:val="left"/>
        </w:tabs>
        <w:numPr>
          <w:ilvl w:val="0"/>
          <w:numId w:val="175"/>
        </w:numPr>
        <w:rPr>
          <w:rFonts w:ascii="Arial" w:cs="Arial" w:eastAsia="Arial" w:hAnsi="Arial"/>
          <w:sz w:val="14"/>
          <w:szCs w:val="14"/>
          <w:color w:val="auto"/>
        </w:rPr>
      </w:pPr>
      <w:r>
        <w:rPr>
          <w:rFonts w:ascii="Arial" w:cs="Arial" w:eastAsia="Arial" w:hAnsi="Arial"/>
          <w:sz w:val="14"/>
          <w:szCs w:val="14"/>
          <w:b w:val="1"/>
          <w:bCs w:val="1"/>
          <w:u w:val="single" w:color="auto"/>
          <w:color w:val="auto"/>
        </w:rPr>
        <w:drawing>
          <wp:anchor simplePos="0" relativeHeight="251657728" behindDoc="1" locked="0" layoutInCell="0" allowOverlap="1">
            <wp:simplePos x="0" y="0"/>
            <wp:positionH relativeFrom="page">
              <wp:posOffset>133350</wp:posOffset>
            </wp:positionH>
            <wp:positionV relativeFrom="page">
              <wp:posOffset>88900</wp:posOffset>
            </wp:positionV>
            <wp:extent cx="7308850" cy="34290"/>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428">
                      <a:extLst>
                        <a:ext uri="{28A0092B-C50C-407E-A947-70E740481C1C}"/>
                      </a:extLst>
                    </a:blip>
                    <a:srcRect/>
                    <a:stretch>
                      <a:fillRect/>
                    </a:stretch>
                  </pic:blipFill>
                  <pic:spPr bwMode="auto">
                    <a:xfrm>
                      <a:off x="0" y="0"/>
                      <a:ext cx="7308850" cy="34290"/>
                    </a:xfrm>
                    <a:prstGeom prst="rect">
                      <a:avLst/>
                    </a:prstGeom>
                    <a:noFill/>
                  </pic:spPr>
                </pic:pic>
              </a:graphicData>
            </a:graphic>
          </wp:anchor>
        </w:drawing>
        <w:t>Data Privacy</w:t>
      </w:r>
      <w:r>
        <w:rPr>
          <w:rFonts w:ascii="Arial" w:cs="Arial" w:eastAsia="Arial" w:hAnsi="Arial"/>
          <w:sz w:val="14"/>
          <w:szCs w:val="14"/>
          <w:color w:val="auto"/>
        </w:rPr>
        <w:t>.</w:t>
      </w:r>
      <w:r>
        <w:rPr>
          <w:rFonts w:ascii="Arial" w:cs="Arial" w:eastAsia="Arial" w:hAnsi="Arial"/>
          <w:sz w:val="14"/>
          <w:szCs w:val="14"/>
          <w:b w:val="1"/>
          <w:bCs w:val="1"/>
          <w:color w:val="auto"/>
        </w:rPr>
        <w:t xml:space="preserve"> </w:t>
      </w:r>
      <w:r>
        <w:rPr>
          <w:rFonts w:ascii="Arial" w:cs="Arial" w:eastAsia="Arial" w:hAnsi="Arial"/>
          <w:sz w:val="14"/>
          <w:szCs w:val="14"/>
          <w:b w:val="1"/>
          <w:bCs w:val="1"/>
          <w:i w:val="1"/>
          <w:iCs w:val="1"/>
          <w:color w:val="auto"/>
        </w:rPr>
        <w:t>Participant hereby explicitly and unambiguously consents to the collection, use and transfer, in electronic or other form, of Participant’s personal data as</w:t>
      </w:r>
      <w:r>
        <w:rPr>
          <w:rFonts w:ascii="Arial" w:cs="Arial" w:eastAsia="Arial" w:hAnsi="Arial"/>
          <w:sz w:val="14"/>
          <w:szCs w:val="14"/>
          <w:b w:val="1"/>
          <w:bCs w:val="1"/>
          <w:color w:val="auto"/>
        </w:rPr>
        <w:t xml:space="preserve"> </w:t>
      </w:r>
      <w:r>
        <w:rPr>
          <w:rFonts w:ascii="Arial" w:cs="Arial" w:eastAsia="Arial" w:hAnsi="Arial"/>
          <w:sz w:val="14"/>
          <w:szCs w:val="14"/>
          <w:b w:val="1"/>
          <w:bCs w:val="1"/>
          <w:i w:val="1"/>
          <w:iCs w:val="1"/>
          <w:color w:val="auto"/>
        </w:rPr>
        <w:t>described in this Option Agreement and any other Option grant materials by and among, as applicable, the Employer or other Service Recipient, the Company and any Parent or Subsidiary for the exclusive purpose of implementing, administering and managing Participant’s participation in the Plan.</w:t>
      </w:r>
    </w:p>
    <w:p>
      <w:pPr>
        <w:spacing w:after="0" w:line="136" w:lineRule="exact"/>
        <w:rPr>
          <w:sz w:val="20"/>
          <w:szCs w:val="20"/>
          <w:color w:val="auto"/>
        </w:rPr>
      </w:pPr>
    </w:p>
    <w:p>
      <w:pPr>
        <w:ind w:right="200" w:firstLine="458"/>
        <w:spacing w:after="0" w:line="259" w:lineRule="auto"/>
        <w:rPr>
          <w:sz w:val="20"/>
          <w:szCs w:val="20"/>
          <w:color w:val="auto"/>
        </w:rPr>
      </w:pPr>
      <w:r>
        <w:rPr>
          <w:rFonts w:ascii="Arial" w:cs="Arial" w:eastAsia="Arial" w:hAnsi="Arial"/>
          <w:sz w:val="15"/>
          <w:szCs w:val="15"/>
          <w:b w:val="1"/>
          <w:bCs w:val="1"/>
          <w:i w:val="1"/>
          <w:iCs w:val="1"/>
          <w:color w:val="auto"/>
        </w:rPr>
        <w:t>Participant understands that the Company and the Employer may hold certain personal information about Participant, including, but not limited to, Participant’s name, home address and telephone number, date of birth, social insurance number or other identification number, salary, nationality, job title, any Shares or directorships held in the Company, details of all Options or any other entitlement to Shares awarded, canceled, exercised, vested, unvested or outstanding in Participant’s favor (“Data”), for the exclusive purpose of implementing, administering and managing the Plan.</w:t>
      </w:r>
    </w:p>
    <w:p>
      <w:pPr>
        <w:spacing w:after="0" w:line="248" w:lineRule="exact"/>
        <w:rPr>
          <w:sz w:val="20"/>
          <w:szCs w:val="20"/>
          <w:color w:val="auto"/>
        </w:rPr>
      </w:pPr>
    </w:p>
    <w:p>
      <w:pPr>
        <w:ind w:firstLine="458"/>
        <w:spacing w:after="0" w:line="294" w:lineRule="auto"/>
        <w:rPr>
          <w:sz w:val="20"/>
          <w:szCs w:val="20"/>
          <w:color w:val="auto"/>
        </w:rPr>
      </w:pPr>
      <w:r>
        <w:rPr>
          <w:rFonts w:ascii="Arial" w:cs="Arial" w:eastAsia="Arial" w:hAnsi="Arial"/>
          <w:sz w:val="13"/>
          <w:szCs w:val="13"/>
          <w:b w:val="1"/>
          <w:bCs w:val="1"/>
          <w:i w:val="1"/>
          <w:iCs w:val="1"/>
          <w:color w:val="auto"/>
        </w:rPr>
        <w:t>Participant understands that Data will be transferred to a stock plan service provider as may be selected by the Company in the future, which is assisting the Company with the implementation, administration, and management of the Plan. Participant understands that the recipients of the Data may be located in the United States or elsewhere, and that the recipient’s country of operation (e.g., the United States) may have different data privacy laws and protections than Participant’s country. Participant understands that if he or she resides outside the United States, he or she may request a list with the names and addresses of any potential recipients of the Data by contacting his or her local human resources representative. Participant authorizes the Company and any other possible recipients which may assist the Company (presently or in the future) with implementing, administering and managing the Plan to receive, possess, use, retain and transfer the Data, in electronic or other form, for the sole purposes of implementing, administering and managing Participant’s participation in the Plan. Participant understands that Data will be held only as long as is necessary to implement, administer and manage Participant’s participation in the Plan. Participant understands that if he or she resides outside the United States, he or she may, at any time, view Data, request additional information about the storage and processing of Data, require any necessary amendments to Data or refuse or withdraw the consents herein, in any case without cost, by contacting in writing his or her local human resources representative. Further, Participant understands that he or she is providing the consents herein on a purely voluntary basis. If Participant does not consent, or if Participant later seeks to revoke his or her consent, his or her engagement as a Service Provider and career with the Employer will not be adversely affected; the only adverse consequence of refusing or withdrawing Participant’s consent is that the Company would not be able to grant Participant Options or other equity awards or administer or maintain such awards. Therefore, Participant understands that refusing or withdrawing his or her consent may affect Participant’s ability to participate in the Plan. For more information on the consequences of Participant’s refusal to consent or withdrawal of consent, Participant understands that he or she may contact his or her local human resources representative.</w:t>
      </w:r>
    </w:p>
    <w:p>
      <w:pPr>
        <w:spacing w:after="0" w:line="143" w:lineRule="exact"/>
        <w:rPr>
          <w:sz w:val="20"/>
          <w:szCs w:val="20"/>
          <w:color w:val="auto"/>
        </w:rPr>
      </w:pPr>
    </w:p>
    <w:p>
      <w:pPr>
        <w:ind w:right="80" w:firstLine="448"/>
        <w:spacing w:after="0" w:line="275" w:lineRule="auto"/>
        <w:tabs>
          <w:tab w:leader="none" w:pos="796" w:val="left"/>
        </w:tabs>
        <w:numPr>
          <w:ilvl w:val="0"/>
          <w:numId w:val="176"/>
        </w:numPr>
        <w:rPr>
          <w:rFonts w:ascii="Arial" w:cs="Arial" w:eastAsia="Arial" w:hAnsi="Arial"/>
          <w:sz w:val="15"/>
          <w:szCs w:val="15"/>
          <w:color w:val="auto"/>
        </w:rPr>
      </w:pPr>
      <w:r>
        <w:rPr>
          <w:rFonts w:ascii="Arial" w:cs="Arial" w:eastAsia="Arial" w:hAnsi="Arial"/>
          <w:sz w:val="15"/>
          <w:szCs w:val="15"/>
          <w:u w:val="single" w:color="auto"/>
          <w:color w:val="auto"/>
        </w:rPr>
        <w:t>Address for Notices</w:t>
      </w:r>
      <w:r>
        <w:rPr>
          <w:rFonts w:ascii="Arial" w:cs="Arial" w:eastAsia="Arial" w:hAnsi="Arial"/>
          <w:sz w:val="15"/>
          <w:szCs w:val="15"/>
          <w:color w:val="auto"/>
        </w:rPr>
        <w:t>. Any notice to be given to the Company under the terms of this Option Agreement will be addressed to the Company at Dropbox, Inc., 333 Brannan Street, San Francisco, CA 94107, or at such other address as the Company may hereafter designate in writing.</w:t>
      </w:r>
    </w:p>
    <w:p>
      <w:pPr>
        <w:spacing w:after="0" w:line="89" w:lineRule="exact"/>
        <w:rPr>
          <w:rFonts w:ascii="Arial" w:cs="Arial" w:eastAsia="Arial" w:hAnsi="Arial"/>
          <w:sz w:val="15"/>
          <w:szCs w:val="15"/>
          <w:color w:val="auto"/>
        </w:rPr>
      </w:pPr>
    </w:p>
    <w:p>
      <w:pPr>
        <w:ind w:left="5680" w:hanging="91"/>
        <w:spacing w:after="0"/>
        <w:tabs>
          <w:tab w:leader="none" w:pos="5680" w:val="left"/>
        </w:tabs>
        <w:numPr>
          <w:ilvl w:val="1"/>
          <w:numId w:val="176"/>
        </w:numPr>
        <w:rPr>
          <w:rFonts w:ascii="Arial" w:cs="Arial" w:eastAsia="Arial" w:hAnsi="Arial"/>
          <w:sz w:val="15"/>
          <w:szCs w:val="15"/>
          <w:color w:val="auto"/>
        </w:rPr>
      </w:pPr>
      <w:r>
        <w:rPr>
          <w:rFonts w:ascii="Arial" w:cs="Arial" w:eastAsia="Arial" w:hAnsi="Arial"/>
          <w:sz w:val="15"/>
          <w:szCs w:val="15"/>
          <w:color w:val="auto"/>
        </w:rPr>
        <w:t>7 -</w:t>
      </w:r>
    </w:p>
    <w:p>
      <w:pPr>
        <w:sectPr>
          <w:pgSz w:w="11900" w:h="16838" w:orient="portrait"/>
          <w:cols w:equalWidth="0" w:num="1">
            <w:col w:w="11440"/>
          </w:cols>
          <w:pgMar w:left="240" w:top="249" w:right="219" w:bottom="1440" w:gutter="0" w:footer="0" w:header="0"/>
        </w:sectPr>
      </w:pPr>
    </w:p>
    <w:bookmarkStart w:id="285" w:name="page286"/>
    <w:bookmarkEnd w:id="285"/>
    <w:p>
      <w:pPr>
        <w:ind w:left="-448" w:right="160" w:firstLine="448"/>
        <w:spacing w:after="0" w:line="275" w:lineRule="auto"/>
        <w:tabs>
          <w:tab w:leader="none" w:pos="348" w:val="left"/>
        </w:tabs>
        <w:numPr>
          <w:ilvl w:val="0"/>
          <w:numId w:val="177"/>
        </w:numPr>
        <w:rPr>
          <w:rFonts w:ascii="Arial" w:cs="Arial" w:eastAsia="Arial" w:hAnsi="Arial"/>
          <w:sz w:val="15"/>
          <w:szCs w:val="15"/>
          <w:color w:val="auto"/>
        </w:rPr>
      </w:pPr>
      <w:r>
        <w:rPr>
          <w:rFonts w:ascii="Arial" w:cs="Arial" w:eastAsia="Arial" w:hAnsi="Arial"/>
          <w:sz w:val="15"/>
          <w:szCs w:val="15"/>
          <w:u w:val="single" w:color="auto"/>
          <w:color w:val="auto"/>
        </w:rPr>
        <w:drawing>
          <wp:anchor simplePos="0" relativeHeight="251657728" behindDoc="1" locked="0" layoutInCell="0" allowOverlap="1">
            <wp:simplePos x="0" y="0"/>
            <wp:positionH relativeFrom="page">
              <wp:posOffset>133350</wp:posOffset>
            </wp:positionH>
            <wp:positionV relativeFrom="page">
              <wp:posOffset>88900</wp:posOffset>
            </wp:positionV>
            <wp:extent cx="7308850" cy="34290"/>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429">
                      <a:extLst>
                        <a:ext uri="{28A0092B-C50C-407E-A947-70E740481C1C}"/>
                      </a:extLst>
                    </a:blip>
                    <a:srcRect/>
                    <a:stretch>
                      <a:fillRect/>
                    </a:stretch>
                  </pic:blipFill>
                  <pic:spPr bwMode="auto">
                    <a:xfrm>
                      <a:off x="0" y="0"/>
                      <a:ext cx="7308850" cy="34290"/>
                    </a:xfrm>
                    <a:prstGeom prst="rect">
                      <a:avLst/>
                    </a:prstGeom>
                    <a:noFill/>
                  </pic:spPr>
                </pic:pic>
              </a:graphicData>
            </a:graphic>
          </wp:anchor>
        </w:drawing>
        <w:t>Non-Transferability of Option</w:t>
      </w:r>
      <w:r>
        <w:rPr>
          <w:rFonts w:ascii="Arial" w:cs="Arial" w:eastAsia="Arial" w:hAnsi="Arial"/>
          <w:sz w:val="15"/>
          <w:szCs w:val="15"/>
          <w:color w:val="auto"/>
        </w:rPr>
        <w:t>. This Option may not be transferred in any manner otherwise than by will or by the laws of descent or distribution and may be exercised during the lifetime of Participant only by Participant.</w:t>
      </w:r>
    </w:p>
    <w:p>
      <w:pPr>
        <w:spacing w:after="0" w:line="146" w:lineRule="exact"/>
        <w:rPr>
          <w:rFonts w:ascii="Arial" w:cs="Arial" w:eastAsia="Arial" w:hAnsi="Arial"/>
          <w:sz w:val="15"/>
          <w:szCs w:val="15"/>
          <w:color w:val="auto"/>
        </w:rPr>
      </w:pPr>
    </w:p>
    <w:p>
      <w:pPr>
        <w:ind w:left="-448" w:firstLine="448"/>
        <w:spacing w:after="0" w:line="322" w:lineRule="auto"/>
        <w:tabs>
          <w:tab w:leader="none" w:pos="348" w:val="left"/>
        </w:tabs>
        <w:numPr>
          <w:ilvl w:val="0"/>
          <w:numId w:val="177"/>
        </w:numPr>
        <w:rPr>
          <w:rFonts w:ascii="Arial" w:cs="Arial" w:eastAsia="Arial" w:hAnsi="Arial"/>
          <w:sz w:val="13"/>
          <w:szCs w:val="13"/>
          <w:color w:val="auto"/>
        </w:rPr>
      </w:pPr>
      <w:r>
        <w:rPr>
          <w:rFonts w:ascii="Arial" w:cs="Arial" w:eastAsia="Arial" w:hAnsi="Arial"/>
          <w:sz w:val="13"/>
          <w:szCs w:val="13"/>
          <w:u w:val="single" w:color="auto"/>
          <w:color w:val="auto"/>
        </w:rPr>
        <w:t>Successors and Assigns</w:t>
      </w:r>
      <w:r>
        <w:rPr>
          <w:rFonts w:ascii="Arial" w:cs="Arial" w:eastAsia="Arial" w:hAnsi="Arial"/>
          <w:sz w:val="13"/>
          <w:szCs w:val="13"/>
          <w:color w:val="auto"/>
        </w:rPr>
        <w:t>. The Company may assign any of its rights under this Option Agreement to single or multiple assignees, and this Option Agreement shall inure to the benefit of the successors and assigns of the Company. Subject to the restrictions on transfer herein set forth, this Option Agreement shall be binding upon Participant and his or her heirs, executors, administrators, successors and assigns. The rights and obligations of Participant under this Option Agreement may only be assigned with the prior written consent of the Company.</w:t>
      </w:r>
    </w:p>
    <w:p>
      <w:pPr>
        <w:spacing w:after="0" w:line="120" w:lineRule="exact"/>
        <w:rPr>
          <w:rFonts w:ascii="Arial" w:cs="Arial" w:eastAsia="Arial" w:hAnsi="Arial"/>
          <w:sz w:val="13"/>
          <w:szCs w:val="13"/>
          <w:color w:val="auto"/>
        </w:rPr>
      </w:pPr>
    </w:p>
    <w:p>
      <w:pPr>
        <w:ind w:left="-448" w:firstLine="448"/>
        <w:spacing w:after="0" w:line="300" w:lineRule="auto"/>
        <w:tabs>
          <w:tab w:leader="none" w:pos="348" w:val="left"/>
        </w:tabs>
        <w:numPr>
          <w:ilvl w:val="0"/>
          <w:numId w:val="177"/>
        </w:numPr>
        <w:rPr>
          <w:rFonts w:ascii="Arial" w:cs="Arial" w:eastAsia="Arial" w:hAnsi="Arial"/>
          <w:sz w:val="13"/>
          <w:szCs w:val="13"/>
          <w:color w:val="auto"/>
        </w:rPr>
      </w:pPr>
      <w:r>
        <w:rPr>
          <w:rFonts w:ascii="Arial" w:cs="Arial" w:eastAsia="Arial" w:hAnsi="Arial"/>
          <w:sz w:val="13"/>
          <w:szCs w:val="13"/>
          <w:u w:val="single" w:color="auto"/>
          <w:color w:val="auto"/>
        </w:rPr>
        <w:t>Additional Conditions to Issuance of Stock</w:t>
      </w:r>
      <w:r>
        <w:rPr>
          <w:rFonts w:ascii="Arial" w:cs="Arial" w:eastAsia="Arial" w:hAnsi="Arial"/>
          <w:sz w:val="13"/>
          <w:szCs w:val="13"/>
          <w:color w:val="auto"/>
        </w:rPr>
        <w:t>. If at any time the Company will determine, in its discretion, that the listing, registration, qualification or rule compliance of the Shares upon any securities exchange or under any state, federal or non-U.S. law, the tax code and related regulations or under the rulings or regulations of the United States Securities and Exchange Commission or any other governmental regulatory body or the clearance, consent or approval of the United States Securities and Exchange Commission or any other governmental regulatory authority is necessary or desirable as a condition to the purchase by, or issuance of Shares, to Participant (or his or her estate) hereunder, such purchase or issuance will not occur unless and until such listing, registration, qualification, rule compliance, clearance, consent or approval will have been completed, effected or obtained free of any conditions not acceptable to the Company. Subject to the terms of the Option Agreement and the Plan, the Company shall not be required to issue any certificate or certificates for Shares hereunder prior to the lapse of such reasonable period of time following the date of exercise of the Option as the Administrator may establish from time to time for reasons of administrative convenience.</w:t>
      </w:r>
    </w:p>
    <w:p>
      <w:pPr>
        <w:spacing w:after="0" w:line="135" w:lineRule="exact"/>
        <w:rPr>
          <w:rFonts w:ascii="Arial" w:cs="Arial" w:eastAsia="Arial" w:hAnsi="Arial"/>
          <w:sz w:val="13"/>
          <w:szCs w:val="13"/>
          <w:color w:val="auto"/>
        </w:rPr>
      </w:pPr>
    </w:p>
    <w:p>
      <w:pPr>
        <w:ind w:left="-448" w:right="200" w:firstLine="448"/>
        <w:spacing w:after="0" w:line="275" w:lineRule="auto"/>
        <w:tabs>
          <w:tab w:leader="none" w:pos="348" w:val="left"/>
        </w:tabs>
        <w:numPr>
          <w:ilvl w:val="0"/>
          <w:numId w:val="177"/>
        </w:numPr>
        <w:rPr>
          <w:rFonts w:ascii="Arial" w:cs="Arial" w:eastAsia="Arial" w:hAnsi="Arial"/>
          <w:sz w:val="15"/>
          <w:szCs w:val="15"/>
          <w:color w:val="auto"/>
        </w:rPr>
      </w:pPr>
      <w:r>
        <w:rPr>
          <w:rFonts w:ascii="Arial" w:cs="Arial" w:eastAsia="Arial" w:hAnsi="Arial"/>
          <w:sz w:val="15"/>
          <w:szCs w:val="15"/>
          <w:u w:val="single" w:color="auto"/>
          <w:color w:val="auto"/>
        </w:rPr>
        <w:t>Language</w:t>
      </w:r>
      <w:r>
        <w:rPr>
          <w:rFonts w:ascii="Arial" w:cs="Arial" w:eastAsia="Arial" w:hAnsi="Arial"/>
          <w:sz w:val="15"/>
          <w:szCs w:val="15"/>
          <w:color w:val="auto"/>
        </w:rPr>
        <w:t>. If Participant has received this Option Agreement or any other document related to the Plan translated into a language other than English and if the meaning of the translated version is different than the English version, the English version will control.</w:t>
      </w:r>
    </w:p>
    <w:p>
      <w:pPr>
        <w:spacing w:after="0" w:line="146" w:lineRule="exact"/>
        <w:rPr>
          <w:rFonts w:ascii="Arial" w:cs="Arial" w:eastAsia="Arial" w:hAnsi="Arial"/>
          <w:sz w:val="15"/>
          <w:szCs w:val="15"/>
          <w:color w:val="auto"/>
        </w:rPr>
      </w:pPr>
    </w:p>
    <w:p>
      <w:pPr>
        <w:ind w:left="-448" w:right="20" w:firstLine="448"/>
        <w:spacing w:after="0" w:line="257" w:lineRule="auto"/>
        <w:tabs>
          <w:tab w:leader="none" w:pos="348" w:val="left"/>
        </w:tabs>
        <w:numPr>
          <w:ilvl w:val="0"/>
          <w:numId w:val="177"/>
        </w:numPr>
        <w:rPr>
          <w:rFonts w:ascii="Arial" w:cs="Arial" w:eastAsia="Arial" w:hAnsi="Arial"/>
          <w:sz w:val="15"/>
          <w:szCs w:val="15"/>
          <w:color w:val="auto"/>
        </w:rPr>
      </w:pPr>
      <w:r>
        <w:rPr>
          <w:rFonts w:ascii="Arial" w:cs="Arial" w:eastAsia="Arial" w:hAnsi="Arial"/>
          <w:sz w:val="15"/>
          <w:szCs w:val="15"/>
          <w:u w:val="single" w:color="auto"/>
          <w:color w:val="auto"/>
        </w:rPr>
        <w:t>Interpretation</w:t>
      </w:r>
      <w:r>
        <w:rPr>
          <w:rFonts w:ascii="Arial" w:cs="Arial" w:eastAsia="Arial" w:hAnsi="Arial"/>
          <w:sz w:val="15"/>
          <w:szCs w:val="15"/>
          <w:color w:val="auto"/>
        </w:rPr>
        <w:t>. The Administrator will have the power to interpret the Plan and this Option Agreement and to adopt such rules for the administration, interpretation and application of the Plan as are consistent therewith and to interpret or revoke any such rules (including, but not limited to, the determination of whether or not any Shares subject to the Option have vested). All actions taken and all interpretations and determinations made by the Administrator in good faith will be final and binding upon Participant, the Company and all other interested persons. Neither the Administrator nor any person acting on behalf of the Administrator will be personally liable for any action, determination, or interpretation made in good faith with respect to the Plan or this Option Agreement.</w:t>
      </w:r>
    </w:p>
    <w:p>
      <w:pPr>
        <w:spacing w:after="0" w:line="159" w:lineRule="exact"/>
        <w:rPr>
          <w:rFonts w:ascii="Arial" w:cs="Arial" w:eastAsia="Arial" w:hAnsi="Arial"/>
          <w:sz w:val="15"/>
          <w:szCs w:val="15"/>
          <w:color w:val="auto"/>
        </w:rPr>
      </w:pPr>
    </w:p>
    <w:p>
      <w:pPr>
        <w:ind w:left="-448" w:right="180" w:firstLine="448"/>
        <w:spacing w:after="0" w:line="275" w:lineRule="auto"/>
        <w:tabs>
          <w:tab w:leader="none" w:pos="348" w:val="left"/>
        </w:tabs>
        <w:numPr>
          <w:ilvl w:val="0"/>
          <w:numId w:val="177"/>
        </w:numPr>
        <w:rPr>
          <w:rFonts w:ascii="Arial" w:cs="Arial" w:eastAsia="Arial" w:hAnsi="Arial"/>
          <w:sz w:val="15"/>
          <w:szCs w:val="15"/>
          <w:color w:val="auto"/>
        </w:rPr>
      </w:pPr>
      <w:r>
        <w:rPr>
          <w:rFonts w:ascii="Arial" w:cs="Arial" w:eastAsia="Arial" w:hAnsi="Arial"/>
          <w:sz w:val="15"/>
          <w:szCs w:val="15"/>
          <w:u w:val="single" w:color="auto"/>
          <w:color w:val="auto"/>
        </w:rPr>
        <w:t>Electronic Delivery and Acceptance</w:t>
      </w:r>
      <w:r>
        <w:rPr>
          <w:rFonts w:ascii="Arial" w:cs="Arial" w:eastAsia="Arial" w:hAnsi="Arial"/>
          <w:sz w:val="15"/>
          <w:szCs w:val="15"/>
          <w:color w:val="auto"/>
        </w:rPr>
        <w:t>. The Company may, in its sole discretion, decide to deliver any documents related to the Option awarded under the Plan or future options that may be awarded under the Plan by electronic means or request Participant’s consent to participate in</w:t>
      </w:r>
    </w:p>
    <w:p>
      <w:pPr>
        <w:spacing w:after="0" w:line="89" w:lineRule="exact"/>
        <w:rPr>
          <w:rFonts w:ascii="Arial" w:cs="Arial" w:eastAsia="Arial" w:hAnsi="Arial"/>
          <w:sz w:val="15"/>
          <w:szCs w:val="15"/>
          <w:color w:val="auto"/>
        </w:rPr>
      </w:pPr>
    </w:p>
    <w:p>
      <w:pPr>
        <w:ind w:left="5232" w:hanging="91"/>
        <w:spacing w:after="0"/>
        <w:tabs>
          <w:tab w:leader="none" w:pos="5232" w:val="left"/>
        </w:tabs>
        <w:numPr>
          <w:ilvl w:val="1"/>
          <w:numId w:val="177"/>
        </w:numPr>
        <w:rPr>
          <w:rFonts w:ascii="Arial" w:cs="Arial" w:eastAsia="Arial" w:hAnsi="Arial"/>
          <w:sz w:val="15"/>
          <w:szCs w:val="15"/>
          <w:color w:val="auto"/>
        </w:rPr>
      </w:pPr>
      <w:r>
        <w:rPr>
          <w:rFonts w:ascii="Arial" w:cs="Arial" w:eastAsia="Arial" w:hAnsi="Arial"/>
          <w:sz w:val="15"/>
          <w:szCs w:val="15"/>
          <w:color w:val="auto"/>
        </w:rPr>
        <w:t>8 -</w:t>
      </w:r>
    </w:p>
    <w:p>
      <w:pPr>
        <w:sectPr>
          <w:pgSz w:w="11900" w:h="16838" w:orient="portrait"/>
          <w:cols w:equalWidth="0" w:num="1">
            <w:col w:w="10972"/>
          </w:cols>
          <w:pgMar w:left="688" w:top="253" w:right="239" w:bottom="1440" w:gutter="0" w:footer="0" w:header="0"/>
        </w:sectPr>
      </w:pPr>
    </w:p>
    <w:bookmarkStart w:id="286" w:name="page287"/>
    <w:bookmarkEnd w:id="286"/>
    <w:p>
      <w:pPr>
        <w:ind w:right="340"/>
        <w:spacing w:after="0" w:line="275"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133350</wp:posOffset>
            </wp:positionH>
            <wp:positionV relativeFrom="page">
              <wp:posOffset>88900</wp:posOffset>
            </wp:positionV>
            <wp:extent cx="7308850" cy="34290"/>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30">
                      <a:extLst>
                        <a:ext uri="{28A0092B-C50C-407E-A947-70E740481C1C}"/>
                      </a:extLst>
                    </a:blip>
                    <a:srcRect/>
                    <a:stretch>
                      <a:fillRect/>
                    </a:stretch>
                  </pic:blipFill>
                  <pic:spPr bwMode="auto">
                    <a:xfrm>
                      <a:off x="0" y="0"/>
                      <a:ext cx="7308850" cy="34290"/>
                    </a:xfrm>
                    <a:prstGeom prst="rect">
                      <a:avLst/>
                    </a:prstGeom>
                    <a:noFill/>
                  </pic:spPr>
                </pic:pic>
              </a:graphicData>
            </a:graphic>
          </wp:anchor>
        </w:drawing>
        <w:t>the Plan by electronic means. Participant hereby consents to receive such documents by electronic delivery and agrees to participate in the Plan through any on-line or electronic system established and maintained by the Company or a third party designated by the Company.</w:t>
      </w:r>
    </w:p>
    <w:p>
      <w:pPr>
        <w:spacing w:after="0" w:line="146" w:lineRule="exact"/>
        <w:rPr>
          <w:sz w:val="20"/>
          <w:szCs w:val="20"/>
          <w:color w:val="auto"/>
        </w:rPr>
      </w:pPr>
    </w:p>
    <w:p>
      <w:pPr>
        <w:ind w:left="780" w:hanging="332"/>
        <w:spacing w:after="0"/>
        <w:tabs>
          <w:tab w:leader="none" w:pos="780" w:val="left"/>
        </w:tabs>
        <w:numPr>
          <w:ilvl w:val="0"/>
          <w:numId w:val="178"/>
        </w:numPr>
        <w:rPr>
          <w:rFonts w:ascii="Arial" w:cs="Arial" w:eastAsia="Arial" w:hAnsi="Arial"/>
          <w:sz w:val="15"/>
          <w:szCs w:val="15"/>
          <w:color w:val="auto"/>
        </w:rPr>
      </w:pPr>
      <w:r>
        <w:rPr>
          <w:rFonts w:ascii="Arial" w:cs="Arial" w:eastAsia="Arial" w:hAnsi="Arial"/>
          <w:sz w:val="15"/>
          <w:szCs w:val="15"/>
          <w:u w:val="single" w:color="auto"/>
          <w:color w:val="auto"/>
        </w:rPr>
        <w:t>Captions</w:t>
      </w:r>
      <w:r>
        <w:rPr>
          <w:rFonts w:ascii="Arial" w:cs="Arial" w:eastAsia="Arial" w:hAnsi="Arial"/>
          <w:sz w:val="15"/>
          <w:szCs w:val="15"/>
          <w:color w:val="auto"/>
        </w:rPr>
        <w:t>. Captions provided herein are for convenience only and are not to serve as a basis for interpretation or construction of this Option Agreement.</w:t>
      </w:r>
    </w:p>
    <w:p>
      <w:pPr>
        <w:spacing w:after="0" w:line="188" w:lineRule="exact"/>
        <w:rPr>
          <w:rFonts w:ascii="Arial" w:cs="Arial" w:eastAsia="Arial" w:hAnsi="Arial"/>
          <w:sz w:val="15"/>
          <w:szCs w:val="15"/>
          <w:color w:val="auto"/>
        </w:rPr>
      </w:pPr>
    </w:p>
    <w:p>
      <w:pPr>
        <w:ind w:right="40" w:firstLine="448"/>
        <w:spacing w:after="0" w:line="275" w:lineRule="auto"/>
        <w:tabs>
          <w:tab w:leader="none" w:pos="796" w:val="left"/>
        </w:tabs>
        <w:numPr>
          <w:ilvl w:val="0"/>
          <w:numId w:val="178"/>
        </w:numPr>
        <w:rPr>
          <w:rFonts w:ascii="Arial" w:cs="Arial" w:eastAsia="Arial" w:hAnsi="Arial"/>
          <w:sz w:val="15"/>
          <w:szCs w:val="15"/>
          <w:color w:val="auto"/>
        </w:rPr>
      </w:pPr>
      <w:r>
        <w:rPr>
          <w:rFonts w:ascii="Arial" w:cs="Arial" w:eastAsia="Arial" w:hAnsi="Arial"/>
          <w:sz w:val="15"/>
          <w:szCs w:val="15"/>
          <w:u w:val="single" w:color="auto"/>
          <w:color w:val="auto"/>
        </w:rPr>
        <w:t>Agreement Severable</w:t>
      </w:r>
      <w:r>
        <w:rPr>
          <w:rFonts w:ascii="Arial" w:cs="Arial" w:eastAsia="Arial" w:hAnsi="Arial"/>
          <w:sz w:val="15"/>
          <w:szCs w:val="15"/>
          <w:color w:val="auto"/>
        </w:rPr>
        <w:t>. In the event that any provision in this Option Agreement will be held invalid or unenforceable, such provision will be severable from, and such invalidity or unenforceability will not be construed to have any effect on, the remaining provisions of this Option Agreement.</w:t>
      </w:r>
    </w:p>
    <w:p>
      <w:pPr>
        <w:spacing w:after="0" w:line="146" w:lineRule="exact"/>
        <w:rPr>
          <w:rFonts w:ascii="Arial" w:cs="Arial" w:eastAsia="Arial" w:hAnsi="Arial"/>
          <w:sz w:val="15"/>
          <w:szCs w:val="15"/>
          <w:color w:val="auto"/>
        </w:rPr>
      </w:pPr>
    </w:p>
    <w:p>
      <w:pPr>
        <w:ind w:firstLine="448"/>
        <w:spacing w:after="0" w:line="263" w:lineRule="auto"/>
        <w:tabs>
          <w:tab w:leader="none" w:pos="796" w:val="left"/>
        </w:tabs>
        <w:numPr>
          <w:ilvl w:val="0"/>
          <w:numId w:val="178"/>
        </w:numPr>
        <w:rPr>
          <w:rFonts w:ascii="Arial" w:cs="Arial" w:eastAsia="Arial" w:hAnsi="Arial"/>
          <w:sz w:val="15"/>
          <w:szCs w:val="15"/>
          <w:color w:val="auto"/>
        </w:rPr>
      </w:pPr>
      <w:r>
        <w:rPr>
          <w:rFonts w:ascii="Arial" w:cs="Arial" w:eastAsia="Arial" w:hAnsi="Arial"/>
          <w:sz w:val="15"/>
          <w:szCs w:val="15"/>
          <w:u w:val="single" w:color="auto"/>
          <w:color w:val="auto"/>
        </w:rPr>
        <w:t>Amendment, Suspension or Termination of the Plan</w:t>
      </w:r>
      <w:r>
        <w:rPr>
          <w:rFonts w:ascii="Arial" w:cs="Arial" w:eastAsia="Arial" w:hAnsi="Arial"/>
          <w:sz w:val="15"/>
          <w:szCs w:val="15"/>
          <w:color w:val="auto"/>
        </w:rPr>
        <w:t>. By accepting this Option, Participant expressly warrants that he or she has received an Option under the Plan, and has received, read, and understood a description of the Plan. Participant understands that the Plan is discretionary in nature and may be amended, suspended or terminated by the Company at any time.</w:t>
      </w:r>
    </w:p>
    <w:p>
      <w:pPr>
        <w:spacing w:after="0" w:line="154" w:lineRule="exact"/>
        <w:rPr>
          <w:rFonts w:ascii="Arial" w:cs="Arial" w:eastAsia="Arial" w:hAnsi="Arial"/>
          <w:sz w:val="15"/>
          <w:szCs w:val="15"/>
          <w:color w:val="auto"/>
        </w:rPr>
      </w:pPr>
    </w:p>
    <w:p>
      <w:pPr>
        <w:ind w:firstLine="448"/>
        <w:spacing w:after="0" w:line="259" w:lineRule="auto"/>
        <w:tabs>
          <w:tab w:leader="none" w:pos="796" w:val="left"/>
        </w:tabs>
        <w:numPr>
          <w:ilvl w:val="0"/>
          <w:numId w:val="178"/>
        </w:numPr>
        <w:rPr>
          <w:rFonts w:ascii="Arial" w:cs="Arial" w:eastAsia="Arial" w:hAnsi="Arial"/>
          <w:sz w:val="15"/>
          <w:szCs w:val="15"/>
          <w:color w:val="auto"/>
        </w:rPr>
      </w:pPr>
      <w:r>
        <w:rPr>
          <w:rFonts w:ascii="Arial" w:cs="Arial" w:eastAsia="Arial" w:hAnsi="Arial"/>
          <w:sz w:val="15"/>
          <w:szCs w:val="15"/>
          <w:u w:val="single" w:color="auto"/>
          <w:color w:val="auto"/>
        </w:rPr>
        <w:t>Governing Law and Venue</w:t>
      </w:r>
      <w:r>
        <w:rPr>
          <w:rFonts w:ascii="Arial" w:cs="Arial" w:eastAsia="Arial" w:hAnsi="Arial"/>
          <w:sz w:val="15"/>
          <w:szCs w:val="15"/>
          <w:color w:val="auto"/>
        </w:rPr>
        <w:t>. This Option Agreement will be governed by the laws of California, without giving effect to the conflict of law principles thereof. For purposes of litigating any dispute that arises under this Option or this Option Agreement, the parties hereby submit to and consent to the jurisdiction of the State of California, and agree that such litigation will be conducted in the courts of San Francisco County, California, or the federal courts for the United States for the Northern District of California, and no other courts, where this Option is made and/or to be performed.</w:t>
      </w:r>
    </w:p>
    <w:p>
      <w:pPr>
        <w:spacing w:after="0" w:line="157" w:lineRule="exact"/>
        <w:rPr>
          <w:rFonts w:ascii="Arial" w:cs="Arial" w:eastAsia="Arial" w:hAnsi="Arial"/>
          <w:sz w:val="15"/>
          <w:szCs w:val="15"/>
          <w:color w:val="auto"/>
        </w:rPr>
      </w:pPr>
    </w:p>
    <w:p>
      <w:pPr>
        <w:ind w:right="20" w:firstLine="448"/>
        <w:spacing w:after="0" w:line="259" w:lineRule="auto"/>
        <w:tabs>
          <w:tab w:leader="none" w:pos="796" w:val="left"/>
        </w:tabs>
        <w:numPr>
          <w:ilvl w:val="0"/>
          <w:numId w:val="178"/>
        </w:numPr>
        <w:rPr>
          <w:rFonts w:ascii="Arial" w:cs="Arial" w:eastAsia="Arial" w:hAnsi="Arial"/>
          <w:sz w:val="15"/>
          <w:szCs w:val="15"/>
          <w:color w:val="auto"/>
        </w:rPr>
      </w:pPr>
      <w:r>
        <w:rPr>
          <w:rFonts w:ascii="Arial" w:cs="Arial" w:eastAsia="Arial" w:hAnsi="Arial"/>
          <w:sz w:val="15"/>
          <w:szCs w:val="15"/>
          <w:u w:val="single" w:color="auto"/>
          <w:color w:val="auto"/>
        </w:rPr>
        <w:t>Country Addendum</w:t>
      </w:r>
      <w:r>
        <w:rPr>
          <w:rFonts w:ascii="Arial" w:cs="Arial" w:eastAsia="Arial" w:hAnsi="Arial"/>
          <w:sz w:val="15"/>
          <w:szCs w:val="15"/>
          <w:color w:val="auto"/>
        </w:rPr>
        <w:t>. Notwithstanding any provisions in this Option Agreement, this Option shall be subject to any special terms and conditions set forth in the appendix (if any) to this Option Agreement for Participant’s country (the “Country Addendum”). Moreover, if Participant relocates to one of the countries included in the Country Addendum (if any), the special terms and conditions for such country will apply to Participant, to the extent the Company determines that the application of such terms and conditions is necessary or advisable for legal or administrative reasons. The Country Addendum constitutes part of this Option Agreement.</w:t>
      </w:r>
    </w:p>
    <w:p>
      <w:pPr>
        <w:spacing w:after="0" w:line="157" w:lineRule="exact"/>
        <w:rPr>
          <w:rFonts w:ascii="Arial" w:cs="Arial" w:eastAsia="Arial" w:hAnsi="Arial"/>
          <w:sz w:val="15"/>
          <w:szCs w:val="15"/>
          <w:color w:val="auto"/>
        </w:rPr>
      </w:pPr>
    </w:p>
    <w:p>
      <w:pPr>
        <w:ind w:right="40" w:firstLine="448"/>
        <w:spacing w:after="0" w:line="293" w:lineRule="auto"/>
        <w:tabs>
          <w:tab w:leader="none" w:pos="796" w:val="left"/>
        </w:tabs>
        <w:numPr>
          <w:ilvl w:val="0"/>
          <w:numId w:val="178"/>
        </w:numPr>
        <w:rPr>
          <w:rFonts w:ascii="Arial" w:cs="Arial" w:eastAsia="Arial" w:hAnsi="Arial"/>
          <w:sz w:val="13"/>
          <w:szCs w:val="13"/>
          <w:color w:val="auto"/>
        </w:rPr>
      </w:pPr>
      <w:r>
        <w:rPr>
          <w:rFonts w:ascii="Arial" w:cs="Arial" w:eastAsia="Arial" w:hAnsi="Arial"/>
          <w:sz w:val="13"/>
          <w:szCs w:val="13"/>
          <w:u w:val="single" w:color="auto"/>
          <w:color w:val="auto"/>
        </w:rPr>
        <w:t>Modifications to the Agreement</w:t>
      </w:r>
      <w:r>
        <w:rPr>
          <w:rFonts w:ascii="Arial" w:cs="Arial" w:eastAsia="Arial" w:hAnsi="Arial"/>
          <w:sz w:val="13"/>
          <w:szCs w:val="13"/>
          <w:color w:val="auto"/>
        </w:rPr>
        <w:t>. This Option Agreement constitutes the entire understanding of the parties on the subjects covered. Participant expressly warrants that he or she is not accepting this Option Agreement in reliance on any promises, representations, or inducements other than those contained herein. Modifications to this Option Agreement or the Plan can be made only in an express written contract executed by a duly authorized officer of the Company. Notwithstanding anything to the contrary in the Plan or this Option Agreement, the Company reserves the right to revise this Option Agreement as it deems necessary or advisable, in its sole discretion and without the consent of Participant, to comply with Code</w:t>
      </w:r>
    </w:p>
    <w:p>
      <w:pPr>
        <w:spacing w:after="0" w:line="1"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5"/>
          <w:szCs w:val="15"/>
          <w:color w:val="auto"/>
        </w:rPr>
        <w:t>Section 409A or to otherwise avoid imposition of any additional tax or income recognition under Section 409A of the Code in connection with the Option.</w:t>
      </w:r>
    </w:p>
    <w:p>
      <w:pPr>
        <w:spacing w:after="0" w:line="178" w:lineRule="exact"/>
        <w:rPr>
          <w:rFonts w:ascii="Arial" w:cs="Arial" w:eastAsia="Arial" w:hAnsi="Arial"/>
          <w:sz w:val="13"/>
          <w:szCs w:val="13"/>
          <w:color w:val="auto"/>
        </w:rPr>
      </w:pPr>
    </w:p>
    <w:p>
      <w:pPr>
        <w:ind w:left="780" w:hanging="332"/>
        <w:spacing w:after="0"/>
        <w:tabs>
          <w:tab w:leader="none" w:pos="780" w:val="left"/>
        </w:tabs>
        <w:numPr>
          <w:ilvl w:val="0"/>
          <w:numId w:val="178"/>
        </w:numPr>
        <w:rPr>
          <w:rFonts w:ascii="Arial" w:cs="Arial" w:eastAsia="Arial" w:hAnsi="Arial"/>
          <w:sz w:val="14"/>
          <w:szCs w:val="14"/>
          <w:color w:val="auto"/>
        </w:rPr>
      </w:pPr>
      <w:r>
        <w:rPr>
          <w:rFonts w:ascii="Arial" w:cs="Arial" w:eastAsia="Arial" w:hAnsi="Arial"/>
          <w:sz w:val="14"/>
          <w:szCs w:val="14"/>
          <w:u w:val="single" w:color="auto"/>
          <w:color w:val="auto"/>
        </w:rPr>
        <w:t>No Waiver</w:t>
      </w:r>
      <w:r>
        <w:rPr>
          <w:rFonts w:ascii="Arial" w:cs="Arial" w:eastAsia="Arial" w:hAnsi="Arial"/>
          <w:sz w:val="14"/>
          <w:szCs w:val="14"/>
          <w:color w:val="auto"/>
        </w:rPr>
        <w:t>. Either party’s failure to enforce any provision or provisions of this Option Agreement shall not in any way be construed as a waiver of any such provision or</w:t>
      </w:r>
    </w:p>
    <w:p>
      <w:pPr>
        <w:spacing w:after="0" w:line="28" w:lineRule="exact"/>
        <w:rPr>
          <w:rFonts w:ascii="Arial" w:cs="Arial" w:eastAsia="Arial" w:hAnsi="Arial"/>
          <w:sz w:val="14"/>
          <w:szCs w:val="14"/>
          <w:color w:val="auto"/>
        </w:rPr>
      </w:pPr>
    </w:p>
    <w:p>
      <w:pPr>
        <w:spacing w:after="0"/>
        <w:rPr>
          <w:rFonts w:ascii="Arial" w:cs="Arial" w:eastAsia="Arial" w:hAnsi="Arial"/>
          <w:sz w:val="14"/>
          <w:szCs w:val="14"/>
          <w:color w:val="auto"/>
        </w:rPr>
      </w:pPr>
      <w:r>
        <w:rPr>
          <w:rFonts w:ascii="Arial" w:cs="Arial" w:eastAsia="Arial" w:hAnsi="Arial"/>
          <w:sz w:val="15"/>
          <w:szCs w:val="15"/>
          <w:color w:val="auto"/>
        </w:rPr>
        <w:t>provisions,</w:t>
      </w:r>
    </w:p>
    <w:p>
      <w:pPr>
        <w:spacing w:after="0" w:line="122" w:lineRule="exact"/>
        <w:rPr>
          <w:rFonts w:ascii="Arial" w:cs="Arial" w:eastAsia="Arial" w:hAnsi="Arial"/>
          <w:sz w:val="14"/>
          <w:szCs w:val="14"/>
          <w:color w:val="auto"/>
        </w:rPr>
      </w:pPr>
    </w:p>
    <w:p>
      <w:pPr>
        <w:ind w:left="5680" w:hanging="91"/>
        <w:spacing w:after="0"/>
        <w:tabs>
          <w:tab w:leader="none" w:pos="5680" w:val="left"/>
        </w:tabs>
        <w:numPr>
          <w:ilvl w:val="1"/>
          <w:numId w:val="178"/>
        </w:numPr>
        <w:rPr>
          <w:rFonts w:ascii="Arial" w:cs="Arial" w:eastAsia="Arial" w:hAnsi="Arial"/>
          <w:sz w:val="15"/>
          <w:szCs w:val="15"/>
          <w:color w:val="auto"/>
        </w:rPr>
      </w:pPr>
      <w:r>
        <w:rPr>
          <w:rFonts w:ascii="Arial" w:cs="Arial" w:eastAsia="Arial" w:hAnsi="Arial"/>
          <w:sz w:val="15"/>
          <w:szCs w:val="15"/>
          <w:color w:val="auto"/>
        </w:rPr>
        <w:t>9 -</w:t>
      </w:r>
    </w:p>
    <w:p>
      <w:pPr>
        <w:sectPr>
          <w:pgSz w:w="11900" w:h="16838" w:orient="portrait"/>
          <w:cols w:equalWidth="0" w:num="1">
            <w:col w:w="11420"/>
          </w:cols>
          <w:pgMar w:left="240" w:top="253" w:right="239" w:bottom="1440" w:gutter="0" w:footer="0" w:header="0"/>
        </w:sectPr>
      </w:pPr>
    </w:p>
    <w:bookmarkStart w:id="287" w:name="page288"/>
    <w:bookmarkEnd w:id="287"/>
    <w:p>
      <w:pPr>
        <w:ind w:right="340"/>
        <w:spacing w:after="0" w:line="275"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133350</wp:posOffset>
            </wp:positionH>
            <wp:positionV relativeFrom="page">
              <wp:posOffset>88900</wp:posOffset>
            </wp:positionV>
            <wp:extent cx="7308850" cy="34290"/>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31">
                      <a:extLst>
                        <a:ext uri="{28A0092B-C50C-407E-A947-70E740481C1C}"/>
                      </a:extLst>
                    </a:blip>
                    <a:srcRect/>
                    <a:stretch>
                      <a:fillRect/>
                    </a:stretch>
                  </pic:blipFill>
                  <pic:spPr bwMode="auto">
                    <a:xfrm>
                      <a:off x="0" y="0"/>
                      <a:ext cx="7308850" cy="34290"/>
                    </a:xfrm>
                    <a:prstGeom prst="rect">
                      <a:avLst/>
                    </a:prstGeom>
                    <a:noFill/>
                  </pic:spPr>
                </pic:pic>
              </a:graphicData>
            </a:graphic>
          </wp:anchor>
        </w:drawing>
        <w:t>nor prevent that party from thereafter enforcing each and every other provision of this Option Agreement. The rights granted both parties herein are cumulative and shall not constitute a waiver of either party’s right to assert all other legal remedies available to it under the circumstances.</w:t>
      </w:r>
    </w:p>
    <w:p>
      <w:pPr>
        <w:spacing w:after="0" w:line="146" w:lineRule="exact"/>
        <w:rPr>
          <w:sz w:val="20"/>
          <w:szCs w:val="20"/>
          <w:color w:val="auto"/>
        </w:rPr>
      </w:pPr>
    </w:p>
    <w:p>
      <w:pPr>
        <w:ind w:firstLine="448"/>
        <w:spacing w:after="0" w:line="259" w:lineRule="auto"/>
        <w:tabs>
          <w:tab w:leader="none" w:pos="796" w:val="left"/>
        </w:tabs>
        <w:numPr>
          <w:ilvl w:val="0"/>
          <w:numId w:val="179"/>
        </w:numPr>
        <w:rPr>
          <w:rFonts w:ascii="Arial" w:cs="Arial" w:eastAsia="Arial" w:hAnsi="Arial"/>
          <w:sz w:val="15"/>
          <w:szCs w:val="15"/>
          <w:color w:val="auto"/>
        </w:rPr>
      </w:pPr>
      <w:r>
        <w:rPr>
          <w:rFonts w:ascii="Arial" w:cs="Arial" w:eastAsia="Arial" w:hAnsi="Arial"/>
          <w:sz w:val="15"/>
          <w:szCs w:val="15"/>
          <w:u w:val="single" w:color="auto"/>
          <w:color w:val="auto"/>
        </w:rPr>
        <w:t>Tax Consequences</w:t>
      </w:r>
      <w:r>
        <w:rPr>
          <w:rFonts w:ascii="Arial" w:cs="Arial" w:eastAsia="Arial" w:hAnsi="Arial"/>
          <w:sz w:val="15"/>
          <w:szCs w:val="15"/>
          <w:color w:val="auto"/>
        </w:rPr>
        <w:t>. Participant has reviewed with its own tax advisors the U.S. federal, state, local and non-U.S. tax consequences of this investment and the transactions contemplated by this Option Agreement. With respect to such matters, Participant relies solely on such advisors and not on any statements or representations of the Company or any of its agents, written or oral. Participant understands that Participant (and not the Company) shall be responsible for Participant’s own tax liability that may arise as a result of this investment or the transactions contemplated by this Option Agreement.</w:t>
      </w:r>
    </w:p>
    <w:p>
      <w:pPr>
        <w:spacing w:after="0" w:line="101" w:lineRule="exact"/>
        <w:rPr>
          <w:rFonts w:ascii="Arial" w:cs="Arial" w:eastAsia="Arial" w:hAnsi="Arial"/>
          <w:sz w:val="15"/>
          <w:szCs w:val="15"/>
          <w:color w:val="auto"/>
        </w:rPr>
      </w:pPr>
    </w:p>
    <w:p>
      <w:pPr>
        <w:ind w:left="5640" w:hanging="89"/>
        <w:spacing w:after="0"/>
        <w:tabs>
          <w:tab w:leader="none" w:pos="5640" w:val="left"/>
        </w:tabs>
        <w:numPr>
          <w:ilvl w:val="1"/>
          <w:numId w:val="179"/>
        </w:numPr>
        <w:rPr>
          <w:rFonts w:ascii="Arial" w:cs="Arial" w:eastAsia="Arial" w:hAnsi="Arial"/>
          <w:sz w:val="15"/>
          <w:szCs w:val="15"/>
          <w:color w:val="auto"/>
        </w:rPr>
      </w:pPr>
      <w:r>
        <w:rPr>
          <w:rFonts w:ascii="Arial" w:cs="Arial" w:eastAsia="Arial" w:hAnsi="Arial"/>
          <w:sz w:val="15"/>
          <w:szCs w:val="15"/>
          <w:color w:val="auto"/>
        </w:rPr>
        <w:t>10 -</w:t>
      </w:r>
    </w:p>
    <w:p>
      <w:pPr>
        <w:sectPr>
          <w:pgSz w:w="11900" w:h="16838" w:orient="portrait"/>
          <w:cols w:equalWidth="0" w:num="1">
            <w:col w:w="11440"/>
          </w:cols>
          <w:pgMar w:left="240" w:top="253" w:right="219" w:bottom="1440" w:gutter="0" w:footer="0" w:header="0"/>
        </w:sectPr>
      </w:pPr>
    </w:p>
    <w:bookmarkStart w:id="288" w:name="page289"/>
    <w:bookmarkEnd w:id="288"/>
    <w:p>
      <w:pPr>
        <w:jc w:val="center"/>
        <w:ind w:right="-19"/>
        <w:spacing w:after="0"/>
        <w:rPr>
          <w:sz w:val="20"/>
          <w:szCs w:val="20"/>
          <w:color w:val="auto"/>
        </w:rPr>
      </w:pPr>
      <w:r>
        <w:rPr>
          <w:rFonts w:ascii="Arial" w:cs="Arial" w:eastAsia="Arial" w:hAnsi="Arial"/>
          <w:sz w:val="15"/>
          <w:szCs w:val="15"/>
          <w:b w:val="1"/>
          <w:bCs w:val="1"/>
          <w:color w:val="auto"/>
        </w:rPr>
        <w:drawing>
          <wp:anchor simplePos="0" relativeHeight="251657728" behindDoc="1" locked="0" layoutInCell="0" allowOverlap="1">
            <wp:simplePos x="0" y="0"/>
            <wp:positionH relativeFrom="page">
              <wp:posOffset>133350</wp:posOffset>
            </wp:positionH>
            <wp:positionV relativeFrom="page">
              <wp:posOffset>88900</wp:posOffset>
            </wp:positionV>
            <wp:extent cx="7308850" cy="34290"/>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32">
                      <a:extLst>
                        <a:ext uri="{28A0092B-C50C-407E-A947-70E740481C1C}"/>
                      </a:extLst>
                    </a:blip>
                    <a:srcRect/>
                    <a:stretch>
                      <a:fillRect/>
                    </a:stretch>
                  </pic:blipFill>
                  <pic:spPr bwMode="auto">
                    <a:xfrm>
                      <a:off x="0" y="0"/>
                      <a:ext cx="7308850" cy="34290"/>
                    </a:xfrm>
                    <a:prstGeom prst="rect">
                      <a:avLst/>
                    </a:prstGeom>
                    <a:noFill/>
                  </pic:spPr>
                </pic:pic>
              </a:graphicData>
            </a:graphic>
          </wp:anchor>
        </w:drawing>
        <w:t>DROPBOX, INC.</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2018 EQUITY INCENTIVE PLAN</w:t>
      </w:r>
    </w:p>
    <w:p>
      <w:pPr>
        <w:spacing w:after="0" w:line="8"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STOCK OPTION AGREEMENT</w:t>
      </w:r>
    </w:p>
    <w:p>
      <w:pPr>
        <w:spacing w:after="0" w:line="8"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COUNTRY ADDENDUM</w:t>
      </w:r>
    </w:p>
    <w:p>
      <w:pPr>
        <w:spacing w:after="0" w:line="179"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TERMS AND CONDITIONS</w:t>
      </w:r>
    </w:p>
    <w:p>
      <w:pPr>
        <w:spacing w:after="0" w:line="98" w:lineRule="exact"/>
        <w:rPr>
          <w:sz w:val="20"/>
          <w:szCs w:val="20"/>
          <w:color w:val="auto"/>
        </w:rPr>
      </w:pPr>
    </w:p>
    <w:p>
      <w:pPr>
        <w:spacing w:after="0" w:line="290" w:lineRule="auto"/>
        <w:rPr>
          <w:sz w:val="20"/>
          <w:szCs w:val="20"/>
          <w:color w:val="auto"/>
        </w:rPr>
      </w:pPr>
      <w:r>
        <w:rPr>
          <w:rFonts w:ascii="Arial" w:cs="Arial" w:eastAsia="Arial" w:hAnsi="Arial"/>
          <w:sz w:val="14"/>
          <w:szCs w:val="14"/>
          <w:color w:val="auto"/>
        </w:rPr>
        <w:t>This Country Addendum includes additional terms and conditions that govern the Option granted to Participant under the Plan if Participant works in one of the countries listed below. If Participant is a citizen or resident of a country (or is considered as such for local law purposes) other than the one in which he or she is currently working or if Participant relocates to another country after receiving the Option, the Company will, in its discretion, determine the extent to which the terms and conditions contained herein will be applicable to Participant.</w:t>
      </w:r>
    </w:p>
    <w:p>
      <w:pPr>
        <w:spacing w:after="0" w:line="138" w:lineRule="exact"/>
        <w:rPr>
          <w:sz w:val="20"/>
          <w:szCs w:val="20"/>
          <w:color w:val="auto"/>
        </w:rPr>
      </w:pPr>
    </w:p>
    <w:p>
      <w:pPr>
        <w:ind w:right="40"/>
        <w:spacing w:after="0" w:line="275" w:lineRule="auto"/>
        <w:rPr>
          <w:sz w:val="20"/>
          <w:szCs w:val="20"/>
          <w:color w:val="auto"/>
        </w:rPr>
      </w:pPr>
      <w:r>
        <w:rPr>
          <w:rFonts w:ascii="Arial" w:cs="Arial" w:eastAsia="Arial" w:hAnsi="Arial"/>
          <w:sz w:val="15"/>
          <w:szCs w:val="15"/>
          <w:color w:val="auto"/>
        </w:rPr>
        <w:t>Certain capitalized terms used but not defined in this Country Addendum shall have the meanings set forth in the Plan, and/or the Stock Option Agreement to which this Country Addendum is attached.</w:t>
      </w:r>
    </w:p>
    <w:p>
      <w:pPr>
        <w:spacing w:after="0" w:line="236"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NOTIFICATIONS</w:t>
      </w:r>
    </w:p>
    <w:p>
      <w:pPr>
        <w:spacing w:after="0" w:line="98" w:lineRule="exact"/>
        <w:rPr>
          <w:sz w:val="20"/>
          <w:szCs w:val="20"/>
          <w:color w:val="auto"/>
        </w:rPr>
      </w:pPr>
    </w:p>
    <w:p>
      <w:pPr>
        <w:spacing w:after="0"/>
        <w:rPr>
          <w:sz w:val="20"/>
          <w:szCs w:val="20"/>
          <w:color w:val="auto"/>
        </w:rPr>
      </w:pPr>
      <w:r>
        <w:rPr>
          <w:rFonts w:ascii="Arial" w:cs="Arial" w:eastAsia="Arial" w:hAnsi="Arial"/>
          <w:sz w:val="13"/>
          <w:szCs w:val="13"/>
          <w:color w:val="auto"/>
        </w:rPr>
        <w:t>This Country Addendum also includes notifications relating to exchange control and other issues of which Participant should be aware with respect to his or her participation in the Plan. The</w:t>
      </w:r>
    </w:p>
    <w:p>
      <w:pPr>
        <w:spacing w:after="0" w:line="40" w:lineRule="exact"/>
        <w:rPr>
          <w:sz w:val="20"/>
          <w:szCs w:val="20"/>
          <w:color w:val="auto"/>
        </w:rPr>
      </w:pPr>
    </w:p>
    <w:p>
      <w:pPr>
        <w:jc w:val="both"/>
        <w:ind w:right="260"/>
        <w:spacing w:after="0" w:line="283" w:lineRule="auto"/>
        <w:rPr>
          <w:sz w:val="20"/>
          <w:szCs w:val="20"/>
          <w:color w:val="auto"/>
        </w:rPr>
      </w:pPr>
      <w:r>
        <w:rPr>
          <w:rFonts w:ascii="Arial" w:cs="Arial" w:eastAsia="Arial" w:hAnsi="Arial"/>
          <w:sz w:val="14"/>
          <w:szCs w:val="14"/>
          <w:color w:val="auto"/>
        </w:rPr>
        <w:t>information is based on the exchange control, securities and other laws in effect in the countries listed in this Country Addendum, as of . Such laws are often complex and change frequently. As a result, the Company strongly recommends that Participant not rely on the notifications herein as the only source of information relating to the consequences of his or her participation in the Plan because the information may be outdated when Participant exercises the Option or sells Shares acquired under the Plan.</w:t>
      </w:r>
    </w:p>
    <w:p>
      <w:pPr>
        <w:spacing w:after="0" w:line="143" w:lineRule="exact"/>
        <w:rPr>
          <w:sz w:val="20"/>
          <w:szCs w:val="20"/>
          <w:color w:val="auto"/>
        </w:rPr>
      </w:pPr>
    </w:p>
    <w:p>
      <w:pPr>
        <w:spacing w:after="0"/>
        <w:rPr>
          <w:sz w:val="20"/>
          <w:szCs w:val="20"/>
          <w:color w:val="auto"/>
        </w:rPr>
      </w:pPr>
      <w:r>
        <w:rPr>
          <w:rFonts w:ascii="Arial" w:cs="Arial" w:eastAsia="Arial" w:hAnsi="Arial"/>
          <w:sz w:val="13"/>
          <w:szCs w:val="13"/>
          <w:color w:val="auto"/>
        </w:rPr>
        <w:t>In addition, the notifications are general in nature and may not apply to Participant’s particular situation, and the Company is not in a position to assure Participant of any particular result.</w:t>
      </w:r>
    </w:p>
    <w:p>
      <w:pPr>
        <w:spacing w:after="0" w:line="40" w:lineRule="exact"/>
        <w:rPr>
          <w:sz w:val="20"/>
          <w:szCs w:val="20"/>
          <w:color w:val="auto"/>
        </w:rPr>
      </w:pPr>
    </w:p>
    <w:p>
      <w:pPr>
        <w:spacing w:after="0"/>
        <w:rPr>
          <w:sz w:val="20"/>
          <w:szCs w:val="20"/>
          <w:color w:val="auto"/>
        </w:rPr>
      </w:pPr>
      <w:r>
        <w:rPr>
          <w:rFonts w:ascii="Arial" w:cs="Arial" w:eastAsia="Arial" w:hAnsi="Arial"/>
          <w:sz w:val="15"/>
          <w:szCs w:val="15"/>
          <w:color w:val="auto"/>
        </w:rPr>
        <w:t>Accordingly, Participant is advised to seek appropriate professional advice as to how the relevant laws in Participant’s country may apply to Participant’s situation.</w:t>
      </w:r>
    </w:p>
    <w:p>
      <w:pPr>
        <w:spacing w:after="0" w:line="179" w:lineRule="exact"/>
        <w:rPr>
          <w:sz w:val="20"/>
          <w:szCs w:val="20"/>
          <w:color w:val="auto"/>
        </w:rPr>
      </w:pPr>
    </w:p>
    <w:p>
      <w:pPr>
        <w:ind w:right="40"/>
        <w:spacing w:after="0" w:line="275" w:lineRule="auto"/>
        <w:rPr>
          <w:sz w:val="20"/>
          <w:szCs w:val="20"/>
          <w:color w:val="auto"/>
        </w:rPr>
      </w:pPr>
      <w:r>
        <w:rPr>
          <w:rFonts w:ascii="Arial" w:cs="Arial" w:eastAsia="Arial" w:hAnsi="Arial"/>
          <w:sz w:val="15"/>
          <w:szCs w:val="15"/>
          <w:color w:val="auto"/>
        </w:rPr>
        <w:t>Finally, if Participant is a citizen or resident of a country other than the one in which Participant is currently working (or is considered as such for local law purposes) or if Participant moves to another country after the Option is granted, the information contained herein may not be applicable to Participant.</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- 11 -</w:t>
      </w:r>
    </w:p>
    <w:p>
      <w:pPr>
        <w:sectPr>
          <w:pgSz w:w="11900" w:h="16838" w:orient="portrait"/>
          <w:cols w:equalWidth="0" w:num="1">
            <w:col w:w="11400"/>
          </w:cols>
          <w:pgMar w:left="240" w:top="249" w:right="259" w:bottom="1440" w:gutter="0" w:footer="0" w:header="0"/>
        </w:sectPr>
      </w:pPr>
    </w:p>
    <w:bookmarkStart w:id="289" w:name="page290"/>
    <w:bookmarkEnd w:id="289"/>
    <w:p>
      <w:pPr>
        <w:jc w:val="center"/>
        <w:spacing w:after="0"/>
        <w:rPr>
          <w:sz w:val="20"/>
          <w:szCs w:val="20"/>
          <w:color w:val="auto"/>
        </w:rPr>
      </w:pPr>
      <w:r>
        <w:rPr>
          <w:rFonts w:ascii="Arial" w:cs="Arial" w:eastAsia="Arial" w:hAnsi="Arial"/>
          <w:sz w:val="15"/>
          <w:szCs w:val="15"/>
          <w:b w:val="1"/>
          <w:bCs w:val="1"/>
          <w:u w:val="single" w:color="auto"/>
          <w:color w:val="auto"/>
        </w:rPr>
        <w:drawing>
          <wp:anchor simplePos="0" relativeHeight="251657728" behindDoc="1" locked="0" layoutInCell="0" allowOverlap="1">
            <wp:simplePos x="0" y="0"/>
            <wp:positionH relativeFrom="page">
              <wp:posOffset>133350</wp:posOffset>
            </wp:positionH>
            <wp:positionV relativeFrom="page">
              <wp:posOffset>88900</wp:posOffset>
            </wp:positionV>
            <wp:extent cx="7308850" cy="34290"/>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33">
                      <a:extLst>
                        <a:ext uri="{28A0092B-C50C-407E-A947-70E740481C1C}"/>
                      </a:extLst>
                    </a:blip>
                    <a:srcRect/>
                    <a:stretch>
                      <a:fillRect/>
                    </a:stretch>
                  </pic:blipFill>
                  <pic:spPr bwMode="auto">
                    <a:xfrm>
                      <a:off x="0" y="0"/>
                      <a:ext cx="7308850" cy="34290"/>
                    </a:xfrm>
                    <a:prstGeom prst="rect">
                      <a:avLst/>
                    </a:prstGeom>
                    <a:noFill/>
                  </pic:spPr>
                </pic:pic>
              </a:graphicData>
            </a:graphic>
          </wp:anchor>
        </w:drawing>
        <w:t>EXHIBIT B</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DROPBOX, INC.</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2018 EQUITY INCENTIVE PLAN</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EXERCISE NOTICE</w:t>
      </w:r>
    </w:p>
    <w:p>
      <w:pPr>
        <w:spacing w:after="0" w:line="192" w:lineRule="exact"/>
        <w:rPr>
          <w:sz w:val="20"/>
          <w:szCs w:val="20"/>
          <w:color w:val="auto"/>
        </w:rPr>
      </w:pPr>
    </w:p>
    <w:p>
      <w:pPr>
        <w:spacing w:after="0"/>
        <w:rPr>
          <w:sz w:val="20"/>
          <w:szCs w:val="20"/>
          <w:color w:val="auto"/>
        </w:rPr>
      </w:pPr>
      <w:r>
        <w:rPr>
          <w:rFonts w:ascii="Arial" w:cs="Arial" w:eastAsia="Arial" w:hAnsi="Arial"/>
          <w:sz w:val="15"/>
          <w:szCs w:val="15"/>
          <w:color w:val="auto"/>
        </w:rPr>
        <w:t>Dropbox, Inc.</w:t>
      </w:r>
    </w:p>
    <w:p>
      <w:pPr>
        <w:spacing w:after="0" w:line="17" w:lineRule="exact"/>
        <w:rPr>
          <w:sz w:val="20"/>
          <w:szCs w:val="20"/>
          <w:color w:val="auto"/>
        </w:rPr>
      </w:pPr>
    </w:p>
    <w:p>
      <w:pPr>
        <w:spacing w:after="0"/>
        <w:rPr>
          <w:sz w:val="20"/>
          <w:szCs w:val="20"/>
          <w:color w:val="auto"/>
        </w:rPr>
      </w:pPr>
      <w:r>
        <w:rPr>
          <w:rFonts w:ascii="Arial" w:cs="Arial" w:eastAsia="Arial" w:hAnsi="Arial"/>
          <w:sz w:val="15"/>
          <w:szCs w:val="15"/>
          <w:color w:val="auto"/>
        </w:rPr>
        <w:t>333 Brannan Street</w:t>
      </w:r>
    </w:p>
    <w:p>
      <w:pPr>
        <w:spacing w:after="0" w:line="8" w:lineRule="exact"/>
        <w:rPr>
          <w:sz w:val="20"/>
          <w:szCs w:val="20"/>
          <w:color w:val="auto"/>
        </w:rPr>
      </w:pPr>
    </w:p>
    <w:p>
      <w:pPr>
        <w:spacing w:after="0"/>
        <w:rPr>
          <w:sz w:val="20"/>
          <w:szCs w:val="20"/>
          <w:color w:val="auto"/>
        </w:rPr>
      </w:pPr>
      <w:r>
        <w:rPr>
          <w:rFonts w:ascii="Arial" w:cs="Arial" w:eastAsia="Arial" w:hAnsi="Arial"/>
          <w:sz w:val="15"/>
          <w:szCs w:val="15"/>
          <w:color w:val="auto"/>
        </w:rPr>
        <w:t>San Francisco, CA 94107</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580" w:type="dxa"/>
            <w:vAlign w:val="bottom"/>
            <w:gridSpan w:val="3"/>
          </w:tcPr>
          <w:p>
            <w:pPr>
              <w:spacing w:after="0"/>
              <w:rPr>
                <w:sz w:val="20"/>
                <w:szCs w:val="20"/>
                <w:color w:val="auto"/>
              </w:rPr>
            </w:pPr>
            <w:r>
              <w:rPr>
                <w:rFonts w:ascii="Arial" w:cs="Arial" w:eastAsia="Arial" w:hAnsi="Arial"/>
                <w:sz w:val="15"/>
                <w:szCs w:val="15"/>
                <w:color w:val="auto"/>
              </w:rPr>
              <w:t>Attention: Stock Administration</w:t>
            </w:r>
          </w:p>
        </w:tc>
        <w:tc>
          <w:tcPr>
            <w:tcW w:w="580" w:type="dxa"/>
            <w:vAlign w:val="bottom"/>
          </w:tcPr>
          <w:p>
            <w:pPr>
              <w:spacing w:after="0"/>
              <w:rPr>
                <w:sz w:val="16"/>
                <w:szCs w:val="16"/>
                <w:color w:val="auto"/>
              </w:rPr>
            </w:pPr>
          </w:p>
        </w:tc>
        <w:tc>
          <w:tcPr>
            <w:tcW w:w="38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340" w:type="dxa"/>
            <w:vAlign w:val="bottom"/>
          </w:tcPr>
          <w:p>
            <w:pPr>
              <w:spacing w:after="0"/>
              <w:rPr>
                <w:sz w:val="16"/>
                <w:szCs w:val="16"/>
                <w:color w:val="auto"/>
              </w:rPr>
            </w:pPr>
          </w:p>
        </w:tc>
      </w:tr>
      <w:tr>
        <w:trPr>
          <w:trHeight w:val="328"/>
        </w:trPr>
        <w:tc>
          <w:tcPr>
            <w:tcW w:w="3580" w:type="dxa"/>
            <w:vAlign w:val="bottom"/>
            <w:gridSpan w:val="3"/>
          </w:tcPr>
          <w:p>
            <w:pPr>
              <w:ind w:left="440"/>
              <w:spacing w:after="0"/>
              <w:rPr>
                <w:sz w:val="20"/>
                <w:szCs w:val="20"/>
                <w:color w:val="auto"/>
              </w:rPr>
            </w:pPr>
            <w:r>
              <w:rPr>
                <w:rFonts w:ascii="Arial" w:cs="Arial" w:eastAsia="Arial" w:hAnsi="Arial"/>
                <w:sz w:val="15"/>
                <w:szCs w:val="15"/>
                <w:color w:val="auto"/>
              </w:rPr>
              <w:t>1.  Exercise of Option. Effective as of today,</w:t>
            </w:r>
          </w:p>
        </w:tc>
        <w:tc>
          <w:tcPr>
            <w:tcW w:w="580" w:type="dxa"/>
            <w:vAlign w:val="bottom"/>
          </w:tcPr>
          <w:p>
            <w:pPr>
              <w:jc w:val="right"/>
              <w:ind w:right="105"/>
              <w:spacing w:after="0"/>
              <w:rPr>
                <w:sz w:val="20"/>
                <w:szCs w:val="20"/>
                <w:color w:val="auto"/>
              </w:rPr>
            </w:pPr>
            <w:r>
              <w:rPr>
                <w:rFonts w:ascii="Arial" w:cs="Arial" w:eastAsia="Arial" w:hAnsi="Arial"/>
                <w:sz w:val="15"/>
                <w:szCs w:val="15"/>
                <w:color w:val="auto"/>
              </w:rPr>
              <w:t>,</w:t>
            </w:r>
          </w:p>
        </w:tc>
        <w:tc>
          <w:tcPr>
            <w:tcW w:w="3880" w:type="dxa"/>
            <w:vAlign w:val="bottom"/>
          </w:tcPr>
          <w:p>
            <w:pPr>
              <w:ind w:left="160"/>
              <w:spacing w:after="0"/>
              <w:rPr>
                <w:sz w:val="20"/>
                <w:szCs w:val="20"/>
                <w:color w:val="auto"/>
              </w:rPr>
            </w:pPr>
            <w:r>
              <w:rPr>
                <w:rFonts w:ascii="Arial" w:cs="Arial" w:eastAsia="Arial" w:hAnsi="Arial"/>
                <w:sz w:val="15"/>
                <w:szCs w:val="15"/>
                <w:color w:val="auto"/>
                <w:w w:val="96"/>
              </w:rPr>
              <w:t>, the undersigned (“Purchaser”) hereby elects to purchase</w:t>
            </w:r>
          </w:p>
        </w:tc>
        <w:tc>
          <w:tcPr>
            <w:tcW w:w="3100" w:type="dxa"/>
            <w:vAlign w:val="bottom"/>
            <w:gridSpan w:val="2"/>
          </w:tcPr>
          <w:p>
            <w:pPr>
              <w:ind w:left="260"/>
              <w:spacing w:after="0"/>
              <w:rPr>
                <w:sz w:val="20"/>
                <w:szCs w:val="20"/>
                <w:color w:val="auto"/>
              </w:rPr>
            </w:pPr>
            <w:r>
              <w:rPr>
                <w:rFonts w:ascii="Arial" w:cs="Arial" w:eastAsia="Arial" w:hAnsi="Arial"/>
                <w:sz w:val="15"/>
                <w:szCs w:val="15"/>
                <w:color w:val="auto"/>
                <w:w w:val="91"/>
              </w:rPr>
              <w:t>shares (the “Shares”) of the Common Stock of</w:t>
            </w:r>
          </w:p>
        </w:tc>
      </w:tr>
      <w:tr>
        <w:trPr>
          <w:trHeight w:val="20"/>
        </w:trPr>
        <w:tc>
          <w:tcPr>
            <w:tcW w:w="72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6960" w:type="dxa"/>
            <w:vAlign w:val="bottom"/>
            <w:gridSpan w:val="4"/>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r>
      <w:tr>
        <w:trPr>
          <w:trHeight w:val="184"/>
        </w:trPr>
        <w:tc>
          <w:tcPr>
            <w:tcW w:w="8800" w:type="dxa"/>
            <w:vAlign w:val="bottom"/>
            <w:gridSpan w:val="6"/>
          </w:tcPr>
          <w:p>
            <w:pPr>
              <w:spacing w:after="0"/>
              <w:rPr>
                <w:sz w:val="20"/>
                <w:szCs w:val="20"/>
                <w:color w:val="auto"/>
              </w:rPr>
            </w:pPr>
            <w:r>
              <w:rPr>
                <w:rFonts w:ascii="Arial" w:cs="Arial" w:eastAsia="Arial" w:hAnsi="Arial"/>
                <w:sz w:val="15"/>
                <w:szCs w:val="15"/>
                <w:color w:val="auto"/>
                <w:w w:val="96"/>
              </w:rPr>
              <w:t>Dropbox, Inc. (the “Company”) under and pursuant to the 2018 Equity Incentive Plan (the “Plan”) and the Stock Option Agreement, dated</w:t>
            </w:r>
          </w:p>
        </w:tc>
        <w:tc>
          <w:tcPr>
            <w:tcW w:w="2340" w:type="dxa"/>
            <w:vAlign w:val="bottom"/>
          </w:tcPr>
          <w:p>
            <w:pPr>
              <w:jc w:val="center"/>
              <w:spacing w:after="0"/>
              <w:rPr>
                <w:sz w:val="20"/>
                <w:szCs w:val="20"/>
                <w:color w:val="auto"/>
              </w:rPr>
            </w:pPr>
            <w:r>
              <w:rPr>
                <w:rFonts w:ascii="Arial" w:cs="Arial" w:eastAsia="Arial" w:hAnsi="Arial"/>
                <w:sz w:val="15"/>
                <w:szCs w:val="15"/>
                <w:color w:val="auto"/>
                <w:w w:val="92"/>
              </w:rPr>
              <w:t>and including the Notice of Grant, the</w:t>
            </w:r>
          </w:p>
        </w:tc>
      </w:tr>
      <w:tr>
        <w:trPr>
          <w:trHeight w:val="180"/>
        </w:trPr>
        <w:tc>
          <w:tcPr>
            <w:tcW w:w="8800" w:type="dxa"/>
            <w:vAlign w:val="bottom"/>
            <w:gridSpan w:val="6"/>
          </w:tcPr>
          <w:p>
            <w:pPr>
              <w:spacing w:after="0"/>
              <w:rPr>
                <w:sz w:val="20"/>
                <w:szCs w:val="20"/>
                <w:color w:val="auto"/>
              </w:rPr>
            </w:pPr>
            <w:r>
              <w:rPr>
                <w:rFonts w:ascii="Arial" w:cs="Arial" w:eastAsia="Arial" w:hAnsi="Arial"/>
                <w:sz w:val="15"/>
                <w:szCs w:val="15"/>
                <w:color w:val="auto"/>
                <w:w w:val="91"/>
              </w:rPr>
              <w:t>Terms and Conditions of Stock Option Grant, and exhibits attached thereto (the “Option Agreement”). The purchase price for the Shares will be $</w:t>
            </w:r>
          </w:p>
        </w:tc>
        <w:tc>
          <w:tcPr>
            <w:tcW w:w="2340" w:type="dxa"/>
            <w:vAlign w:val="bottom"/>
          </w:tcPr>
          <w:p>
            <w:pPr>
              <w:jc w:val="center"/>
              <w:spacing w:after="0"/>
              <w:rPr>
                <w:sz w:val="20"/>
                <w:szCs w:val="20"/>
                <w:color w:val="auto"/>
              </w:rPr>
            </w:pPr>
            <w:r>
              <w:rPr>
                <w:rFonts w:ascii="Arial" w:cs="Arial" w:eastAsia="Arial" w:hAnsi="Arial"/>
                <w:sz w:val="15"/>
                <w:szCs w:val="15"/>
                <w:color w:val="auto"/>
                <w:w w:val="90"/>
              </w:rPr>
              <w:t>, as required by the Option</w:t>
            </w:r>
          </w:p>
        </w:tc>
      </w:tr>
      <w:tr>
        <w:trPr>
          <w:trHeight w:val="190"/>
        </w:trPr>
        <w:tc>
          <w:tcPr>
            <w:tcW w:w="3580" w:type="dxa"/>
            <w:vAlign w:val="bottom"/>
            <w:gridSpan w:val="3"/>
          </w:tcPr>
          <w:p>
            <w:pPr>
              <w:spacing w:after="0"/>
              <w:rPr>
                <w:sz w:val="20"/>
                <w:szCs w:val="20"/>
                <w:color w:val="auto"/>
              </w:rPr>
            </w:pPr>
            <w:r>
              <w:rPr>
                <w:rFonts w:ascii="Arial" w:cs="Arial" w:eastAsia="Arial" w:hAnsi="Arial"/>
                <w:sz w:val="15"/>
                <w:szCs w:val="15"/>
                <w:color w:val="auto"/>
              </w:rPr>
              <w:t>Agreement.</w:t>
            </w:r>
          </w:p>
        </w:tc>
        <w:tc>
          <w:tcPr>
            <w:tcW w:w="580" w:type="dxa"/>
            <w:vAlign w:val="bottom"/>
          </w:tcPr>
          <w:p>
            <w:pPr>
              <w:spacing w:after="0"/>
              <w:rPr>
                <w:sz w:val="16"/>
                <w:szCs w:val="16"/>
                <w:color w:val="auto"/>
              </w:rPr>
            </w:pPr>
          </w:p>
        </w:tc>
        <w:tc>
          <w:tcPr>
            <w:tcW w:w="38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340" w:type="dxa"/>
            <w:vAlign w:val="bottom"/>
          </w:tcPr>
          <w:p>
            <w:pPr>
              <w:spacing w:after="0"/>
              <w:rPr>
                <w:sz w:val="16"/>
                <w:szCs w:val="16"/>
                <w:color w:val="auto"/>
              </w:rPr>
            </w:pPr>
          </w:p>
        </w:tc>
      </w:tr>
    </w:tbl>
    <w:p>
      <w:pPr>
        <w:spacing w:after="0" w:line="171" w:lineRule="exact"/>
        <w:rPr>
          <w:sz w:val="20"/>
          <w:szCs w:val="20"/>
          <w:color w:val="auto"/>
        </w:rPr>
      </w:pPr>
    </w:p>
    <w:p>
      <w:pPr>
        <w:ind w:right="540" w:firstLine="448"/>
        <w:spacing w:after="0" w:line="275" w:lineRule="auto"/>
        <w:tabs>
          <w:tab w:leader="none" w:pos="721" w:val="left"/>
        </w:tabs>
        <w:numPr>
          <w:ilvl w:val="0"/>
          <w:numId w:val="180"/>
        </w:numPr>
        <w:rPr>
          <w:rFonts w:ascii="Arial" w:cs="Arial" w:eastAsia="Arial" w:hAnsi="Arial"/>
          <w:sz w:val="15"/>
          <w:szCs w:val="15"/>
          <w:color w:val="auto"/>
        </w:rPr>
      </w:pPr>
      <w:r>
        <w:rPr>
          <w:rFonts w:ascii="Arial" w:cs="Arial" w:eastAsia="Arial" w:hAnsi="Arial"/>
          <w:sz w:val="15"/>
          <w:szCs w:val="15"/>
          <w:u w:val="single" w:color="auto"/>
          <w:color w:val="auto"/>
        </w:rPr>
        <w:t>Delivery of Payment</w:t>
      </w:r>
      <w:r>
        <w:rPr>
          <w:rFonts w:ascii="Arial" w:cs="Arial" w:eastAsia="Arial" w:hAnsi="Arial"/>
          <w:sz w:val="15"/>
          <w:szCs w:val="15"/>
          <w:color w:val="auto"/>
        </w:rPr>
        <w:t>. Purchaser herewith delivers to the Company the full purchase price of the Shares and any Tax Obligations (as defined in Section 6(a) of the Option Agreement) to be paid in connection with the exercise of the Option.</w:t>
      </w:r>
    </w:p>
    <w:p>
      <w:pPr>
        <w:spacing w:after="0" w:line="146" w:lineRule="exact"/>
        <w:rPr>
          <w:rFonts w:ascii="Arial" w:cs="Arial" w:eastAsia="Arial" w:hAnsi="Arial"/>
          <w:sz w:val="15"/>
          <w:szCs w:val="15"/>
          <w:color w:val="auto"/>
        </w:rPr>
      </w:pPr>
    </w:p>
    <w:p>
      <w:pPr>
        <w:ind w:right="40" w:firstLine="448"/>
        <w:spacing w:after="0" w:line="275" w:lineRule="auto"/>
        <w:tabs>
          <w:tab w:leader="none" w:pos="721" w:val="left"/>
        </w:tabs>
        <w:numPr>
          <w:ilvl w:val="0"/>
          <w:numId w:val="180"/>
        </w:numPr>
        <w:rPr>
          <w:rFonts w:ascii="Arial" w:cs="Arial" w:eastAsia="Arial" w:hAnsi="Arial"/>
          <w:sz w:val="15"/>
          <w:szCs w:val="15"/>
          <w:color w:val="auto"/>
        </w:rPr>
      </w:pPr>
      <w:r>
        <w:rPr>
          <w:rFonts w:ascii="Arial" w:cs="Arial" w:eastAsia="Arial" w:hAnsi="Arial"/>
          <w:sz w:val="15"/>
          <w:szCs w:val="15"/>
          <w:u w:val="single" w:color="auto"/>
          <w:color w:val="auto"/>
        </w:rPr>
        <w:t>Representations of Purchaser</w:t>
      </w:r>
      <w:r>
        <w:rPr>
          <w:rFonts w:ascii="Arial" w:cs="Arial" w:eastAsia="Arial" w:hAnsi="Arial"/>
          <w:sz w:val="15"/>
          <w:szCs w:val="15"/>
          <w:color w:val="auto"/>
        </w:rPr>
        <w:t>. Purchaser acknowledges that Purchaser has received, read and understood the Plan and the Option Agreement and agrees to abide by and be bound by their terms and conditions.</w:t>
      </w:r>
    </w:p>
    <w:p>
      <w:pPr>
        <w:spacing w:after="0" w:line="146" w:lineRule="exact"/>
        <w:rPr>
          <w:rFonts w:ascii="Arial" w:cs="Arial" w:eastAsia="Arial" w:hAnsi="Arial"/>
          <w:sz w:val="15"/>
          <w:szCs w:val="15"/>
          <w:color w:val="auto"/>
        </w:rPr>
      </w:pPr>
    </w:p>
    <w:p>
      <w:pPr>
        <w:ind w:right="140" w:firstLine="448"/>
        <w:spacing w:after="0" w:line="259" w:lineRule="auto"/>
        <w:tabs>
          <w:tab w:leader="none" w:pos="721" w:val="left"/>
        </w:tabs>
        <w:numPr>
          <w:ilvl w:val="0"/>
          <w:numId w:val="180"/>
        </w:numPr>
        <w:rPr>
          <w:rFonts w:ascii="Arial" w:cs="Arial" w:eastAsia="Arial" w:hAnsi="Arial"/>
          <w:sz w:val="15"/>
          <w:szCs w:val="15"/>
          <w:color w:val="auto"/>
        </w:rPr>
      </w:pPr>
      <w:r>
        <w:rPr>
          <w:rFonts w:ascii="Arial" w:cs="Arial" w:eastAsia="Arial" w:hAnsi="Arial"/>
          <w:sz w:val="15"/>
          <w:szCs w:val="15"/>
          <w:u w:val="single" w:color="auto"/>
          <w:color w:val="auto"/>
        </w:rPr>
        <w:t>Rights as Stockholder</w:t>
      </w:r>
      <w:r>
        <w:rPr>
          <w:rFonts w:ascii="Arial" w:cs="Arial" w:eastAsia="Arial" w:hAnsi="Arial"/>
          <w:sz w:val="15"/>
          <w:szCs w:val="15"/>
          <w:color w:val="auto"/>
        </w:rPr>
        <w:t>. Until the issuance (as evidenced by the appropriate entry on the books of the Company or of a duly authorized transfer agent of the Company) of the Shares, no right to vote or receive dividends or any other rights as a stockholder will exist with respect to the Shares subject to the Option, notwithstanding the exercise of the Option. The Shares so acquired will be issued to Purchaser as soon as practicable after exercise of the Option. No adjustment will be made for a dividend or other right for which the record date is prior to the date of issuance, except as provided in Section 14 of the Plan.</w:t>
      </w:r>
    </w:p>
    <w:p>
      <w:pPr>
        <w:spacing w:after="0" w:line="157" w:lineRule="exact"/>
        <w:rPr>
          <w:rFonts w:ascii="Arial" w:cs="Arial" w:eastAsia="Arial" w:hAnsi="Arial"/>
          <w:sz w:val="15"/>
          <w:szCs w:val="15"/>
          <w:color w:val="auto"/>
        </w:rPr>
      </w:pPr>
    </w:p>
    <w:p>
      <w:pPr>
        <w:ind w:firstLine="448"/>
        <w:spacing w:after="0" w:line="263" w:lineRule="auto"/>
        <w:tabs>
          <w:tab w:leader="none" w:pos="721" w:val="left"/>
        </w:tabs>
        <w:numPr>
          <w:ilvl w:val="0"/>
          <w:numId w:val="180"/>
        </w:numPr>
        <w:rPr>
          <w:rFonts w:ascii="Arial" w:cs="Arial" w:eastAsia="Arial" w:hAnsi="Arial"/>
          <w:sz w:val="15"/>
          <w:szCs w:val="15"/>
          <w:color w:val="auto"/>
        </w:rPr>
      </w:pPr>
      <w:r>
        <w:rPr>
          <w:rFonts w:ascii="Arial" w:cs="Arial" w:eastAsia="Arial" w:hAnsi="Arial"/>
          <w:sz w:val="15"/>
          <w:szCs w:val="15"/>
          <w:u w:val="single" w:color="auto"/>
          <w:color w:val="auto"/>
        </w:rPr>
        <w:t>Tax Consultation</w:t>
      </w:r>
      <w:r>
        <w:rPr>
          <w:rFonts w:ascii="Arial" w:cs="Arial" w:eastAsia="Arial" w:hAnsi="Arial"/>
          <w:sz w:val="15"/>
          <w:szCs w:val="15"/>
          <w:color w:val="auto"/>
        </w:rPr>
        <w:t>. Purchaser understands that Purchaser may suffer adverse tax consequences as a result of Purchaser’s purchase or disposition of the Shares. Purchaser represents that Purchaser has consulted with any tax consultants Purchaser deems advisable in connection with the purchase or disposition of the Shares and that Purchaser is not relying on the Company for any tax advice.</w:t>
      </w:r>
    </w:p>
    <w:p>
      <w:pPr>
        <w:spacing w:after="0" w:line="98" w:lineRule="exact"/>
        <w:rPr>
          <w:rFonts w:ascii="Arial" w:cs="Arial" w:eastAsia="Arial" w:hAnsi="Arial"/>
          <w:sz w:val="15"/>
          <w:szCs w:val="15"/>
          <w:color w:val="auto"/>
        </w:rPr>
      </w:pPr>
    </w:p>
    <w:p>
      <w:pPr>
        <w:ind w:left="5680" w:hanging="91"/>
        <w:spacing w:after="0"/>
        <w:tabs>
          <w:tab w:leader="none" w:pos="5680" w:val="left"/>
        </w:tabs>
        <w:numPr>
          <w:ilvl w:val="1"/>
          <w:numId w:val="180"/>
        </w:numPr>
        <w:rPr>
          <w:rFonts w:ascii="Arial" w:cs="Arial" w:eastAsia="Arial" w:hAnsi="Arial"/>
          <w:sz w:val="15"/>
          <w:szCs w:val="15"/>
          <w:color w:val="auto"/>
        </w:rPr>
      </w:pPr>
      <w:r>
        <w:rPr>
          <w:rFonts w:ascii="Arial" w:cs="Arial" w:eastAsia="Arial" w:hAnsi="Arial"/>
          <w:sz w:val="15"/>
          <w:szCs w:val="15"/>
          <w:color w:val="auto"/>
        </w:rPr>
        <w:t>1 -</w:t>
      </w:r>
    </w:p>
    <w:p>
      <w:pPr>
        <w:sectPr>
          <w:pgSz w:w="11900" w:h="16838" w:orient="portrait"/>
          <w:cols w:equalWidth="0" w:num="1">
            <w:col w:w="11420"/>
          </w:cols>
          <w:pgMar w:left="240" w:top="249" w:right="239" w:bottom="1440" w:gutter="0" w:footer="0" w:header="0"/>
        </w:sectPr>
      </w:pPr>
    </w:p>
    <w:bookmarkStart w:id="290" w:name="page291"/>
    <w:bookmarkEnd w:id="290"/>
    <w:p>
      <w:pPr>
        <w:ind w:firstLine="448"/>
        <w:spacing w:after="0" w:line="259" w:lineRule="auto"/>
        <w:tabs>
          <w:tab w:leader="none" w:pos="721" w:val="left"/>
        </w:tabs>
        <w:numPr>
          <w:ilvl w:val="0"/>
          <w:numId w:val="181"/>
        </w:numPr>
        <w:rPr>
          <w:rFonts w:ascii="Arial" w:cs="Arial" w:eastAsia="Arial" w:hAnsi="Arial"/>
          <w:sz w:val="15"/>
          <w:szCs w:val="15"/>
          <w:color w:val="auto"/>
        </w:rPr>
      </w:pPr>
      <w:r>
        <w:rPr>
          <w:rFonts w:ascii="Arial" w:cs="Arial" w:eastAsia="Arial" w:hAnsi="Arial"/>
          <w:sz w:val="15"/>
          <w:szCs w:val="15"/>
          <w:u w:val="single" w:color="auto"/>
          <w:color w:val="auto"/>
        </w:rPr>
        <w:drawing>
          <wp:anchor simplePos="0" relativeHeight="251657728" behindDoc="1" locked="0" layoutInCell="0" allowOverlap="1">
            <wp:simplePos x="0" y="0"/>
            <wp:positionH relativeFrom="page">
              <wp:posOffset>133350</wp:posOffset>
            </wp:positionH>
            <wp:positionV relativeFrom="page">
              <wp:posOffset>88900</wp:posOffset>
            </wp:positionV>
            <wp:extent cx="7308850" cy="34290"/>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34">
                      <a:extLst>
                        <a:ext uri="{28A0092B-C50C-407E-A947-70E740481C1C}"/>
                      </a:extLst>
                    </a:blip>
                    <a:srcRect/>
                    <a:stretch>
                      <a:fillRect/>
                    </a:stretch>
                  </pic:blipFill>
                  <pic:spPr bwMode="auto">
                    <a:xfrm>
                      <a:off x="0" y="0"/>
                      <a:ext cx="7308850" cy="34290"/>
                    </a:xfrm>
                    <a:prstGeom prst="rect">
                      <a:avLst/>
                    </a:prstGeom>
                    <a:noFill/>
                  </pic:spPr>
                </pic:pic>
              </a:graphicData>
            </a:graphic>
          </wp:anchor>
        </w:drawing>
        <w:t>Entire Agreement; Governing Law</w:t>
      </w:r>
      <w:r>
        <w:rPr>
          <w:rFonts w:ascii="Arial" w:cs="Arial" w:eastAsia="Arial" w:hAnsi="Arial"/>
          <w:sz w:val="15"/>
          <w:szCs w:val="15"/>
          <w:color w:val="auto"/>
        </w:rPr>
        <w:t>. The Plan and Option Agreement are incorporated herein by reference. This Exercise Notice, the Plan and the Option Agreement constitute the entire agreement of the parties with respect to the subject matter hereof and supersede in their entirety all prior undertakings and agreements of the Company and Purchaser with respect to the subject matter hereof, and may not be modified adversely to the Purchaser’s interest except by means of a writing signed by the Company and Purchaser. This Option Agreement is governed by the internal substantive laws, but not the choice of law rules, of California.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1808480</wp:posOffset>
            </wp:positionH>
            <wp:positionV relativeFrom="paragraph">
              <wp:posOffset>-372110</wp:posOffset>
            </wp:positionV>
            <wp:extent cx="24130" cy="698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35">
                      <a:extLst>
                        <a:ext uri="{28A0092B-C50C-407E-A947-70E740481C1C}"/>
                      </a:extLst>
                    </a:blip>
                    <a:srcRect/>
                    <a:stretch>
                      <a:fillRect/>
                    </a:stretch>
                  </pic:blipFill>
                  <pic:spPr bwMode="auto">
                    <a:xfrm>
                      <a:off x="0" y="0"/>
                      <a:ext cx="24130" cy="6985"/>
                    </a:xfrm>
                    <a:prstGeom prst="rect">
                      <a:avLst/>
                    </a:prstGeom>
                    <a:noFill/>
                  </pic:spPr>
                </pic:pic>
              </a:graphicData>
            </a:graphic>
          </wp:anchor>
        </w:drawing>
      </w:r>
    </w:p>
    <w:p>
      <w:pPr>
        <w:sectPr>
          <w:pgSz w:w="11900" w:h="16838" w:orient="portrait"/>
          <w:cols w:equalWidth="0" w:num="1">
            <w:col w:w="11420"/>
          </w:cols>
          <w:pgMar w:left="240" w:top="253" w:right="239" w:bottom="1440" w:gutter="0" w:footer="0" w:header="0"/>
        </w:sectPr>
      </w:pPr>
    </w:p>
    <w:p>
      <w:pPr>
        <w:spacing w:after="0" w:line="180" w:lineRule="exact"/>
        <w:rPr>
          <w:sz w:val="20"/>
          <w:szCs w:val="20"/>
          <w:color w:val="auto"/>
        </w:rPr>
      </w:pPr>
    </w:p>
    <w:p>
      <w:pPr>
        <w:spacing w:after="0"/>
        <w:rPr>
          <w:sz w:val="20"/>
          <w:szCs w:val="20"/>
          <w:color w:val="auto"/>
        </w:rPr>
      </w:pPr>
      <w:r>
        <w:rPr>
          <w:rFonts w:ascii="Arial" w:cs="Arial" w:eastAsia="Arial" w:hAnsi="Arial"/>
          <w:sz w:val="14"/>
          <w:szCs w:val="14"/>
          <w:color w:val="auto"/>
        </w:rPr>
        <w:t>Submitted by:</w:t>
      </w:r>
    </w:p>
    <w:p>
      <w:pPr>
        <w:spacing w:after="0" w:line="200" w:lineRule="exact"/>
        <w:rPr>
          <w:sz w:val="20"/>
          <w:szCs w:val="20"/>
          <w:color w:val="auto"/>
        </w:rPr>
      </w:pPr>
    </w:p>
    <w:p>
      <w:pPr>
        <w:spacing w:after="0"/>
        <w:rPr>
          <w:sz w:val="20"/>
          <w:szCs w:val="20"/>
          <w:color w:val="auto"/>
        </w:rPr>
      </w:pPr>
      <w:r>
        <w:rPr>
          <w:rFonts w:ascii="Arial" w:cs="Arial" w:eastAsia="Arial" w:hAnsi="Arial"/>
          <w:sz w:val="14"/>
          <w:szCs w:val="14"/>
          <w:color w:val="auto"/>
        </w:rPr>
        <w:t>PURCHASER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248285</wp:posOffset>
            </wp:positionV>
            <wp:extent cx="3488055" cy="698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36">
                      <a:extLst>
                        <a:ext uri="{28A0092B-C50C-407E-A947-70E740481C1C}"/>
                      </a:extLst>
                    </a:blip>
                    <a:srcRect/>
                    <a:stretch>
                      <a:fillRect/>
                    </a:stretch>
                  </pic:blipFill>
                  <pic:spPr bwMode="auto">
                    <a:xfrm>
                      <a:off x="0" y="0"/>
                      <a:ext cx="3488055" cy="6985"/>
                    </a:xfrm>
                    <a:prstGeom prst="rect">
                      <a:avLst/>
                    </a:prstGeom>
                    <a:noFill/>
                  </pic:spPr>
                </pic:pic>
              </a:graphicData>
            </a:graphic>
          </wp:anchor>
        </w:drawing>
      </w:r>
    </w:p>
    <w:p>
      <w:pPr>
        <w:spacing w:after="0" w:line="383" w:lineRule="exact"/>
        <w:rPr>
          <w:sz w:val="20"/>
          <w:szCs w:val="20"/>
          <w:color w:val="auto"/>
        </w:rPr>
      </w:pPr>
    </w:p>
    <w:p>
      <w:pPr>
        <w:spacing w:after="0"/>
        <w:rPr>
          <w:sz w:val="20"/>
          <w:szCs w:val="20"/>
          <w:color w:val="auto"/>
        </w:rPr>
      </w:pPr>
      <w:r>
        <w:rPr>
          <w:rFonts w:ascii="Arial" w:cs="Arial" w:eastAsia="Arial" w:hAnsi="Arial"/>
          <w:sz w:val="15"/>
          <w:szCs w:val="15"/>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240665</wp:posOffset>
            </wp:positionV>
            <wp:extent cx="3488055" cy="698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37">
                      <a:extLst>
                        <a:ext uri="{28A0092B-C50C-407E-A947-70E740481C1C}"/>
                      </a:extLst>
                    </a:blip>
                    <a:srcRect/>
                    <a:stretch>
                      <a:fillRect/>
                    </a:stretch>
                  </pic:blipFill>
                  <pic:spPr bwMode="auto">
                    <a:xfrm>
                      <a:off x="0" y="0"/>
                      <a:ext cx="3488055" cy="6985"/>
                    </a:xfrm>
                    <a:prstGeom prst="rect">
                      <a:avLst/>
                    </a:prstGeom>
                    <a:noFill/>
                  </pic:spPr>
                </pic:pic>
              </a:graphicData>
            </a:graphic>
          </wp:anchor>
        </w:drawing>
      </w:r>
    </w:p>
    <w:p>
      <w:pPr>
        <w:spacing w:after="0" w:line="371" w:lineRule="exact"/>
        <w:rPr>
          <w:sz w:val="20"/>
          <w:szCs w:val="20"/>
          <w:color w:val="auto"/>
        </w:rPr>
      </w:pPr>
    </w:p>
    <w:p>
      <w:pPr>
        <w:spacing w:after="0"/>
        <w:rPr>
          <w:sz w:val="20"/>
          <w:szCs w:val="20"/>
          <w:color w:val="auto"/>
        </w:rPr>
      </w:pPr>
      <w:r>
        <w:rPr>
          <w:rFonts w:ascii="Arial" w:cs="Arial" w:eastAsia="Arial" w:hAnsi="Arial"/>
          <w:sz w:val="15"/>
          <w:szCs w:val="15"/>
          <w:color w:val="auto"/>
        </w:rPr>
        <w:t>Print Name</w:t>
      </w:r>
    </w:p>
    <w:p>
      <w:pPr>
        <w:spacing w:after="0" w:line="188" w:lineRule="exact"/>
        <w:rPr>
          <w:sz w:val="20"/>
          <w:szCs w:val="20"/>
          <w:color w:val="auto"/>
        </w:rPr>
      </w:pPr>
    </w:p>
    <w:p>
      <w:pPr>
        <w:spacing w:after="0"/>
        <w:rPr>
          <w:sz w:val="20"/>
          <w:szCs w:val="20"/>
          <w:color w:val="auto"/>
        </w:rPr>
      </w:pPr>
      <w:r>
        <w:rPr>
          <w:rFonts w:ascii="Arial" w:cs="Arial" w:eastAsia="Arial" w:hAnsi="Arial"/>
          <w:sz w:val="15"/>
          <w:szCs w:val="15"/>
          <w:u w:val="single" w:color="auto"/>
          <w:color w:val="auto"/>
        </w:rPr>
        <w:t>Address</w:t>
      </w:r>
      <w:r>
        <w:rPr>
          <w:rFonts w:ascii="Arial" w:cs="Arial" w:eastAsia="Arial" w:hAnsi="Arial"/>
          <w:sz w:val="15"/>
          <w:szCs w:val="15"/>
          <w:color w:val="auto"/>
        </w:rPr>
        <w:t>:</w:t>
      </w:r>
    </w:p>
    <w:p>
      <w:pPr>
        <w:spacing w:after="0" w:line="20" w:lineRule="exact"/>
        <w:rPr>
          <w:sz w:val="20"/>
          <w:szCs w:val="20"/>
          <w:color w:val="auto"/>
        </w:rPr>
      </w:pPr>
      <w:r>
        <w:rPr>
          <w:sz w:val="20"/>
          <w:szCs w:val="20"/>
          <w:color w:val="auto"/>
        </w:rPr>
        <w:br w:type="column"/>
      </w:r>
    </w:p>
    <w:p>
      <w:pPr>
        <w:spacing w:after="0" w:line="160" w:lineRule="exact"/>
        <w:rPr>
          <w:sz w:val="20"/>
          <w:szCs w:val="20"/>
          <w:color w:val="auto"/>
        </w:rPr>
      </w:pPr>
    </w:p>
    <w:p>
      <w:pPr>
        <w:spacing w:after="0"/>
        <w:rPr>
          <w:sz w:val="20"/>
          <w:szCs w:val="20"/>
          <w:color w:val="auto"/>
        </w:rPr>
      </w:pPr>
      <w:r>
        <w:rPr>
          <w:rFonts w:ascii="Arial" w:cs="Arial" w:eastAsia="Arial" w:hAnsi="Arial"/>
          <w:sz w:val="15"/>
          <w:szCs w:val="15"/>
          <w:color w:val="auto"/>
        </w:rPr>
        <w:t>Accepted by:</w:t>
      </w:r>
    </w:p>
    <w:p>
      <w:pPr>
        <w:spacing w:after="0" w:line="188" w:lineRule="exact"/>
        <w:rPr>
          <w:sz w:val="20"/>
          <w:szCs w:val="20"/>
          <w:color w:val="auto"/>
        </w:rPr>
      </w:pPr>
    </w:p>
    <w:p>
      <w:pPr>
        <w:spacing w:after="0"/>
        <w:rPr>
          <w:sz w:val="20"/>
          <w:szCs w:val="20"/>
          <w:color w:val="auto"/>
        </w:rPr>
      </w:pPr>
      <w:r>
        <w:rPr>
          <w:rFonts w:ascii="Arial" w:cs="Arial" w:eastAsia="Arial" w:hAnsi="Arial"/>
          <w:sz w:val="14"/>
          <w:szCs w:val="14"/>
          <w:color w:val="auto"/>
        </w:rPr>
        <w:t>DROPBOX,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248285</wp:posOffset>
            </wp:positionV>
            <wp:extent cx="3488055" cy="6985"/>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38">
                      <a:extLst>
                        <a:ext uri="{28A0092B-C50C-407E-A947-70E740481C1C}"/>
                      </a:extLst>
                    </a:blip>
                    <a:srcRect/>
                    <a:stretch>
                      <a:fillRect/>
                    </a:stretch>
                  </pic:blipFill>
                  <pic:spPr bwMode="auto">
                    <a:xfrm>
                      <a:off x="0" y="0"/>
                      <a:ext cx="3488055" cy="6985"/>
                    </a:xfrm>
                    <a:prstGeom prst="rect">
                      <a:avLst/>
                    </a:prstGeom>
                    <a:noFill/>
                  </pic:spPr>
                </pic:pic>
              </a:graphicData>
            </a:graphic>
          </wp:anchor>
        </w:drawing>
      </w:r>
    </w:p>
    <w:p>
      <w:pPr>
        <w:spacing w:after="0" w:line="383" w:lineRule="exact"/>
        <w:rPr>
          <w:sz w:val="20"/>
          <w:szCs w:val="20"/>
          <w:color w:val="auto"/>
        </w:rPr>
      </w:pPr>
    </w:p>
    <w:p>
      <w:pPr>
        <w:jc w:val="center"/>
        <w:ind w:right="4900"/>
        <w:spacing w:after="0"/>
        <w:rPr>
          <w:sz w:val="20"/>
          <w:szCs w:val="20"/>
          <w:color w:val="auto"/>
        </w:rPr>
      </w:pPr>
      <w:r>
        <w:rPr>
          <w:rFonts w:ascii="Arial" w:cs="Arial" w:eastAsia="Arial" w:hAnsi="Arial"/>
          <w:sz w:val="13"/>
          <w:szCs w:val="13"/>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255270</wp:posOffset>
            </wp:positionV>
            <wp:extent cx="3488055" cy="698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39">
                      <a:extLst>
                        <a:ext uri="{28A0092B-C50C-407E-A947-70E740481C1C}"/>
                      </a:extLst>
                    </a:blip>
                    <a:srcRect/>
                    <a:stretch>
                      <a:fillRect/>
                    </a:stretch>
                  </pic:blipFill>
                  <pic:spPr bwMode="auto">
                    <a:xfrm>
                      <a:off x="0" y="0"/>
                      <a:ext cx="3488055" cy="6985"/>
                    </a:xfrm>
                    <a:prstGeom prst="rect">
                      <a:avLst/>
                    </a:prstGeom>
                    <a:noFill/>
                  </pic:spPr>
                </pic:pic>
              </a:graphicData>
            </a:graphic>
          </wp:anchor>
        </w:drawing>
      </w:r>
    </w:p>
    <w:p>
      <w:pPr>
        <w:spacing w:after="0" w:line="394" w:lineRule="exact"/>
        <w:rPr>
          <w:sz w:val="20"/>
          <w:szCs w:val="20"/>
          <w:color w:val="auto"/>
        </w:rPr>
      </w:pPr>
    </w:p>
    <w:p>
      <w:pPr>
        <w:jc w:val="center"/>
        <w:ind w:right="4780"/>
        <w:spacing w:after="0"/>
        <w:rPr>
          <w:sz w:val="20"/>
          <w:szCs w:val="20"/>
          <w:color w:val="auto"/>
        </w:rPr>
      </w:pPr>
      <w:r>
        <w:rPr>
          <w:rFonts w:ascii="Arial" w:cs="Arial" w:eastAsia="Arial" w:hAnsi="Arial"/>
          <w:sz w:val="13"/>
          <w:szCs w:val="13"/>
          <w:color w:val="auto"/>
        </w:rPr>
        <w:t>Print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255270</wp:posOffset>
            </wp:positionV>
            <wp:extent cx="3488055" cy="6985"/>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40">
                      <a:extLst>
                        <a:ext uri="{28A0092B-C50C-407E-A947-70E740481C1C}"/>
                      </a:extLst>
                    </a:blip>
                    <a:srcRect/>
                    <a:stretch>
                      <a:fillRect/>
                    </a:stretch>
                  </pic:blipFill>
                  <pic:spPr bwMode="auto">
                    <a:xfrm>
                      <a:off x="0" y="0"/>
                      <a:ext cx="3488055" cy="6985"/>
                    </a:xfrm>
                    <a:prstGeom prst="rect">
                      <a:avLst/>
                    </a:prstGeom>
                    <a:noFill/>
                  </pic:spPr>
                </pic:pic>
              </a:graphicData>
            </a:graphic>
          </wp:anchor>
        </w:drawing>
      </w:r>
    </w:p>
    <w:p>
      <w:pPr>
        <w:spacing w:after="0" w:line="583" w:lineRule="exact"/>
        <w:rPr>
          <w:sz w:val="20"/>
          <w:szCs w:val="20"/>
          <w:color w:val="auto"/>
        </w:rPr>
      </w:pPr>
    </w:p>
    <w:p>
      <w:pPr>
        <w:sectPr>
          <w:pgSz w:w="11900" w:h="16838" w:orient="portrait"/>
          <w:cols w:equalWidth="0" w:num="2">
            <w:col w:w="5220" w:space="720"/>
            <w:col w:w="5480"/>
          </w:cols>
          <w:pgMar w:left="240" w:top="253" w:right="239" w:bottom="1440" w:gutter="0" w:footer="0" w:header="0"/>
          <w:type w:val="continuous"/>
        </w:sectPr>
      </w:pPr>
    </w:p>
    <w:p>
      <w:pPr>
        <w:spacing w:after="0" w:line="34" w:lineRule="exact"/>
        <w:rPr>
          <w:sz w:val="20"/>
          <w:szCs w:val="20"/>
          <w:color w:val="auto"/>
        </w:rPr>
      </w:pPr>
    </w:p>
    <w:p>
      <w:pPr>
        <w:ind w:left="5940"/>
        <w:spacing w:after="0"/>
        <w:rPr>
          <w:sz w:val="20"/>
          <w:szCs w:val="20"/>
          <w:color w:val="auto"/>
        </w:rPr>
      </w:pPr>
      <w:r>
        <w:rPr>
          <w:rFonts w:ascii="Arial" w:cs="Arial" w:eastAsia="Arial" w:hAnsi="Arial"/>
          <w:sz w:val="15"/>
          <w:szCs w:val="15"/>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-1905</wp:posOffset>
            </wp:positionV>
            <wp:extent cx="3488055" cy="6985"/>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41">
                      <a:extLst>
                        <a:ext uri="{28A0092B-C50C-407E-A947-70E740481C1C}"/>
                      </a:extLst>
                    </a:blip>
                    <a:srcRect/>
                    <a:stretch>
                      <a:fillRect/>
                    </a:stretch>
                  </pic:blipFill>
                  <pic:spPr bwMode="auto">
                    <a:xfrm>
                      <a:off x="0" y="0"/>
                      <a:ext cx="3488055" cy="698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240665</wp:posOffset>
            </wp:positionV>
            <wp:extent cx="3488055" cy="6985"/>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42">
                      <a:extLst>
                        <a:ext uri="{28A0092B-C50C-407E-A947-70E740481C1C}"/>
                      </a:extLst>
                    </a:blip>
                    <a:srcRect/>
                    <a:stretch>
                      <a:fillRect/>
                    </a:stretch>
                  </pic:blipFill>
                  <pic:spPr bwMode="auto">
                    <a:xfrm>
                      <a:off x="0" y="0"/>
                      <a:ext cx="3488055" cy="6985"/>
                    </a:xfrm>
                    <a:prstGeom prst="rect">
                      <a:avLst/>
                    </a:prstGeom>
                    <a:noFill/>
                  </pic:spPr>
                </pic:pic>
              </a:graphicData>
            </a:graphic>
          </wp:anchor>
        </w:drawing>
        <w:drawing>
          <wp:anchor simplePos="0" relativeHeight="251657728" behindDoc="1" locked="0" layoutInCell="0" allowOverlap="1">
            <wp:simplePos x="0" y="0"/>
            <wp:positionH relativeFrom="column">
              <wp:posOffset>3775075</wp:posOffset>
            </wp:positionH>
            <wp:positionV relativeFrom="paragraph">
              <wp:posOffset>727710</wp:posOffset>
            </wp:positionV>
            <wp:extent cx="3488055" cy="6985"/>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43">
                      <a:extLst>
                        <a:ext uri="{28A0092B-C50C-407E-A947-70E740481C1C}"/>
                      </a:extLst>
                    </a:blip>
                    <a:srcRect/>
                    <a:stretch>
                      <a:fillRect/>
                    </a:stretch>
                  </pic:blipFill>
                  <pic:spPr bwMode="auto">
                    <a:xfrm>
                      <a:off x="0" y="0"/>
                      <a:ext cx="3488055" cy="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right"/>
        <w:ind w:right="4600"/>
        <w:spacing w:after="0"/>
        <w:rPr>
          <w:sz w:val="20"/>
          <w:szCs w:val="20"/>
          <w:color w:val="auto"/>
        </w:rPr>
      </w:pPr>
      <w:r>
        <w:rPr>
          <w:rFonts w:ascii="Arial" w:cs="Arial" w:eastAsia="Arial" w:hAnsi="Arial"/>
          <w:sz w:val="15"/>
          <w:szCs w:val="15"/>
          <w:color w:val="auto"/>
        </w:rPr>
        <w:t>Date Received</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- 2 -</w:t>
      </w:r>
    </w:p>
    <w:p>
      <w:pPr>
        <w:sectPr>
          <w:pgSz w:w="11900" w:h="16838" w:orient="portrait"/>
          <w:cols w:equalWidth="0" w:num="1">
            <w:col w:w="11420"/>
          </w:cols>
          <w:pgMar w:left="240" w:top="253" w:right="239" w:bottom="1440" w:gutter="0" w:footer="0" w:header="0"/>
          <w:type w:val="continuous"/>
        </w:sectPr>
      </w:pPr>
    </w:p>
    <w:bookmarkStart w:id="291" w:name="page292"/>
    <w:bookmarkEnd w:id="291"/>
    <w:p>
      <w:pPr>
        <w:jc w:val="center"/>
        <w:ind w:right="-39"/>
        <w:spacing w:after="0"/>
        <w:rPr>
          <w:sz w:val="20"/>
          <w:szCs w:val="20"/>
          <w:color w:val="auto"/>
        </w:rPr>
      </w:pPr>
      <w:r>
        <w:rPr>
          <w:rFonts w:ascii="Arial" w:cs="Arial" w:eastAsia="Arial" w:hAnsi="Arial"/>
          <w:sz w:val="15"/>
          <w:szCs w:val="15"/>
          <w:b w:val="1"/>
          <w:bCs w:val="1"/>
          <w:color w:val="auto"/>
        </w:rPr>
        <w:drawing>
          <wp:anchor simplePos="0" relativeHeight="251657728" behindDoc="1" locked="0" layoutInCell="0" allowOverlap="1">
            <wp:simplePos x="0" y="0"/>
            <wp:positionH relativeFrom="page">
              <wp:posOffset>133350</wp:posOffset>
            </wp:positionH>
            <wp:positionV relativeFrom="page">
              <wp:posOffset>89535</wp:posOffset>
            </wp:positionV>
            <wp:extent cx="7308850" cy="34290"/>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44">
                      <a:extLst>
                        <a:ext uri="{28A0092B-C50C-407E-A947-70E740481C1C}"/>
                      </a:extLst>
                    </a:blip>
                    <a:srcRect/>
                    <a:stretch>
                      <a:fillRect/>
                    </a:stretch>
                  </pic:blipFill>
                  <pic:spPr bwMode="auto">
                    <a:xfrm>
                      <a:off x="0" y="0"/>
                      <a:ext cx="7308850" cy="34290"/>
                    </a:xfrm>
                    <a:prstGeom prst="rect">
                      <a:avLst/>
                    </a:prstGeom>
                    <a:noFill/>
                  </pic:spPr>
                </pic:pic>
              </a:graphicData>
            </a:graphic>
          </wp:anchor>
        </w:drawing>
        <w:t>DROPBOX, INC.</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5"/>
          <w:szCs w:val="15"/>
          <w:b w:val="1"/>
          <w:bCs w:val="1"/>
          <w:color w:val="auto"/>
        </w:rPr>
        <w:t>2018 EQUITY INCENTIVE PLAN</w:t>
      </w:r>
    </w:p>
    <w:p>
      <w:pPr>
        <w:spacing w:after="0" w:line="8" w:lineRule="exact"/>
        <w:rPr>
          <w:sz w:val="20"/>
          <w:szCs w:val="20"/>
          <w:color w:val="auto"/>
        </w:rPr>
      </w:pPr>
    </w:p>
    <w:p>
      <w:pPr>
        <w:jc w:val="center"/>
        <w:ind w:right="-39"/>
        <w:spacing w:after="0"/>
        <w:rPr>
          <w:sz w:val="20"/>
          <w:szCs w:val="20"/>
          <w:color w:val="auto"/>
        </w:rPr>
      </w:pPr>
      <w:r>
        <w:rPr>
          <w:rFonts w:ascii="Arial" w:cs="Arial" w:eastAsia="Arial" w:hAnsi="Arial"/>
          <w:sz w:val="15"/>
          <w:szCs w:val="15"/>
          <w:b w:val="1"/>
          <w:bCs w:val="1"/>
          <w:color w:val="auto"/>
        </w:rPr>
        <w:t>RESTRICTED STOCK UNIT AGREEMENT</w:t>
      </w:r>
    </w:p>
    <w:p>
      <w:pPr>
        <w:spacing w:after="0" w:line="85" w:lineRule="exact"/>
        <w:rPr>
          <w:sz w:val="20"/>
          <w:szCs w:val="20"/>
          <w:color w:val="auto"/>
        </w:rPr>
      </w:pPr>
    </w:p>
    <w:p>
      <w:pPr>
        <w:jc w:val="center"/>
        <w:ind w:right="-39"/>
        <w:spacing w:after="0"/>
        <w:rPr>
          <w:sz w:val="20"/>
          <w:szCs w:val="20"/>
          <w:color w:val="auto"/>
        </w:rPr>
      </w:pPr>
      <w:r>
        <w:rPr>
          <w:rFonts w:ascii="Arial" w:cs="Arial" w:eastAsia="Arial" w:hAnsi="Arial"/>
          <w:sz w:val="15"/>
          <w:szCs w:val="15"/>
          <w:b w:val="1"/>
          <w:bCs w:val="1"/>
          <w:u w:val="single" w:color="auto"/>
          <w:color w:val="auto"/>
        </w:rPr>
        <w:t>NOTICE OF RESTRICTED STOCK UNIT GRANT</w:t>
      </w:r>
    </w:p>
    <w:p>
      <w:pPr>
        <w:spacing w:after="0" w:line="192" w:lineRule="exact"/>
        <w:rPr>
          <w:sz w:val="20"/>
          <w:szCs w:val="20"/>
          <w:color w:val="auto"/>
        </w:rPr>
      </w:pPr>
    </w:p>
    <w:p>
      <w:pPr>
        <w:ind w:right="180" w:firstLine="458"/>
        <w:spacing w:after="0" w:line="263" w:lineRule="auto"/>
        <w:rPr>
          <w:sz w:val="20"/>
          <w:szCs w:val="20"/>
          <w:color w:val="auto"/>
        </w:rPr>
      </w:pPr>
      <w:r>
        <w:rPr>
          <w:rFonts w:ascii="Arial" w:cs="Arial" w:eastAsia="Arial" w:hAnsi="Arial"/>
          <w:sz w:val="15"/>
          <w:szCs w:val="15"/>
          <w:color w:val="auto"/>
        </w:rPr>
        <w:t xml:space="preserve">Unless otherwise defined herein, the terms defined in the Dropbox, Inc. 2018 Equity Incentive Plan (the “Plan”) will have the same defined meanings in this Restricted Stock Unit Agreement, which includes the Notice of Restricted Stock Unit Grant (the “Notice of Grant”), Terms and Conditions of Restricted Stock Unit Grant attached hereto as </w:t>
      </w:r>
      <w:r>
        <w:rPr>
          <w:rFonts w:ascii="Arial" w:cs="Arial" w:eastAsia="Arial" w:hAnsi="Arial"/>
          <w:sz w:val="15"/>
          <w:szCs w:val="15"/>
          <w:u w:val="single" w:color="auto"/>
          <w:color w:val="auto"/>
        </w:rPr>
        <w:t>Exhibit A</w:t>
      </w:r>
      <w:r>
        <w:rPr>
          <w:rFonts w:ascii="Arial" w:cs="Arial" w:eastAsia="Arial" w:hAnsi="Arial"/>
          <w:sz w:val="15"/>
          <w:szCs w:val="15"/>
          <w:color w:val="auto"/>
        </w:rPr>
        <w:t>, and all appendices and exhibits attached thereto (all together, the “Award Agreement”).</w:t>
      </w:r>
    </w:p>
    <w:p>
      <w:pPr>
        <w:spacing w:after="0" w:line="151" w:lineRule="exact"/>
        <w:rPr>
          <w:sz w:val="20"/>
          <w:szCs w:val="20"/>
          <w:color w:val="auto"/>
        </w:rPr>
      </w:pPr>
    </w:p>
    <w:p>
      <w:pPr>
        <w:ind w:left="440"/>
        <w:spacing w:after="0"/>
        <w:rPr>
          <w:sz w:val="20"/>
          <w:szCs w:val="20"/>
          <w:color w:val="auto"/>
        </w:rPr>
      </w:pPr>
      <w:r>
        <w:rPr>
          <w:rFonts w:ascii="Arial" w:cs="Arial" w:eastAsia="Arial" w:hAnsi="Arial"/>
          <w:sz w:val="15"/>
          <w:szCs w:val="15"/>
          <w:b w:val="1"/>
          <w:bCs w:val="1"/>
          <w:color w:val="auto"/>
        </w:rPr>
        <w:t>Participant:</w:t>
      </w:r>
    </w:p>
    <w:p>
      <w:pPr>
        <w:spacing w:after="0" w:line="188" w:lineRule="exact"/>
        <w:rPr>
          <w:sz w:val="20"/>
          <w:szCs w:val="20"/>
          <w:color w:val="auto"/>
        </w:rPr>
      </w:pPr>
    </w:p>
    <w:p>
      <w:pPr>
        <w:ind w:left="440"/>
        <w:spacing w:after="0"/>
        <w:rPr>
          <w:sz w:val="20"/>
          <w:szCs w:val="20"/>
          <w:color w:val="auto"/>
        </w:rPr>
      </w:pPr>
      <w:r>
        <w:rPr>
          <w:rFonts w:ascii="Arial" w:cs="Arial" w:eastAsia="Arial" w:hAnsi="Arial"/>
          <w:sz w:val="15"/>
          <w:szCs w:val="15"/>
          <w:b w:val="1"/>
          <w:bCs w:val="1"/>
          <w:color w:val="auto"/>
        </w:rPr>
        <w:t>Address:</w:t>
      </w:r>
    </w:p>
    <w:p>
      <w:pPr>
        <w:spacing w:after="0" w:line="192" w:lineRule="exact"/>
        <w:rPr>
          <w:sz w:val="20"/>
          <w:szCs w:val="20"/>
          <w:color w:val="auto"/>
        </w:rPr>
      </w:pPr>
    </w:p>
    <w:p>
      <w:pPr>
        <w:ind w:right="160" w:firstLine="458"/>
        <w:spacing w:after="0" w:line="275" w:lineRule="auto"/>
        <w:rPr>
          <w:sz w:val="20"/>
          <w:szCs w:val="20"/>
          <w:color w:val="auto"/>
        </w:rPr>
      </w:pPr>
      <w:r>
        <w:rPr>
          <w:rFonts w:ascii="Arial" w:cs="Arial" w:eastAsia="Arial" w:hAnsi="Arial"/>
          <w:sz w:val="15"/>
          <w:szCs w:val="15"/>
          <w:color w:val="auto"/>
        </w:rPr>
        <w:t>The undersigned Participant has been granted the right to receive an Award of Restricted Stock Units, subject to the terms and conditions of the Plan and this Award Agreement, as follows:</w:t>
      </w:r>
    </w:p>
    <w:p>
      <w:pPr>
        <w:spacing w:after="0" w:line="169" w:lineRule="exact"/>
        <w:rPr>
          <w:sz w:val="20"/>
          <w:szCs w:val="20"/>
          <w:color w:val="auto"/>
        </w:rPr>
      </w:pPr>
    </w:p>
    <w:p>
      <w:pPr>
        <w:ind w:left="460"/>
        <w:spacing w:after="0"/>
        <w:rPr>
          <w:sz w:val="20"/>
          <w:szCs w:val="20"/>
          <w:color w:val="auto"/>
        </w:rPr>
      </w:pPr>
      <w:r>
        <w:rPr>
          <w:rFonts w:ascii="Arial" w:cs="Arial" w:eastAsia="Arial" w:hAnsi="Arial"/>
          <w:sz w:val="15"/>
          <w:szCs w:val="15"/>
          <w:color w:val="auto"/>
        </w:rPr>
        <w:t>Grant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2271395</wp:posOffset>
            </wp:positionH>
            <wp:positionV relativeFrom="paragraph">
              <wp:posOffset>12065</wp:posOffset>
            </wp:positionV>
            <wp:extent cx="2449195" cy="6985"/>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45">
                      <a:extLst>
                        <a:ext uri="{28A0092B-C50C-407E-A947-70E740481C1C}"/>
                      </a:extLst>
                    </a:blip>
                    <a:srcRect/>
                    <a:stretch>
                      <a:fillRect/>
                    </a:stretch>
                  </pic:blipFill>
                  <pic:spPr bwMode="auto">
                    <a:xfrm>
                      <a:off x="0" y="0"/>
                      <a:ext cx="2449195" cy="6985"/>
                    </a:xfrm>
                    <a:prstGeom prst="rect">
                      <a:avLst/>
                    </a:prstGeom>
                    <a:noFill/>
                  </pic:spPr>
                </pic:pic>
              </a:graphicData>
            </a:graphic>
          </wp:anchor>
        </w:drawing>
      </w:r>
    </w:p>
    <w:p>
      <w:pPr>
        <w:spacing w:after="0" w:line="191" w:lineRule="exact"/>
        <w:rPr>
          <w:sz w:val="20"/>
          <w:szCs w:val="20"/>
          <w:color w:val="auto"/>
        </w:rPr>
      </w:pPr>
    </w:p>
    <w:p>
      <w:pPr>
        <w:ind w:left="460"/>
        <w:spacing w:after="0"/>
        <w:rPr>
          <w:sz w:val="20"/>
          <w:szCs w:val="20"/>
          <w:color w:val="auto"/>
        </w:rPr>
      </w:pPr>
      <w:r>
        <w:rPr>
          <w:rFonts w:ascii="Arial" w:cs="Arial" w:eastAsia="Arial" w:hAnsi="Arial"/>
          <w:sz w:val="15"/>
          <w:szCs w:val="15"/>
          <w:color w:val="auto"/>
        </w:rPr>
        <w:t>Date of Grant: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2271395</wp:posOffset>
            </wp:positionH>
            <wp:positionV relativeFrom="paragraph">
              <wp:posOffset>12065</wp:posOffset>
            </wp:positionV>
            <wp:extent cx="2449195" cy="6985"/>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46">
                      <a:extLst>
                        <a:ext uri="{28A0092B-C50C-407E-A947-70E740481C1C}"/>
                      </a:extLst>
                    </a:blip>
                    <a:srcRect/>
                    <a:stretch>
                      <a:fillRect/>
                    </a:stretch>
                  </pic:blipFill>
                  <pic:spPr bwMode="auto">
                    <a:xfrm>
                      <a:off x="0" y="0"/>
                      <a:ext cx="2449195" cy="6985"/>
                    </a:xfrm>
                    <a:prstGeom prst="rect">
                      <a:avLst/>
                    </a:prstGeom>
                    <a:noFill/>
                  </pic:spPr>
                </pic:pic>
              </a:graphicData>
            </a:graphic>
          </wp:anchor>
        </w:drawing>
      </w:r>
    </w:p>
    <w:p>
      <w:pPr>
        <w:spacing w:after="0" w:line="191" w:lineRule="exact"/>
        <w:rPr>
          <w:sz w:val="20"/>
          <w:szCs w:val="20"/>
          <w:color w:val="auto"/>
        </w:rPr>
      </w:pPr>
    </w:p>
    <w:p>
      <w:pPr>
        <w:ind w:left="460"/>
        <w:spacing w:after="0"/>
        <w:rPr>
          <w:sz w:val="20"/>
          <w:szCs w:val="20"/>
          <w:color w:val="auto"/>
        </w:rPr>
      </w:pPr>
      <w:r>
        <w:rPr>
          <w:rFonts w:ascii="Arial" w:cs="Arial" w:eastAsia="Arial" w:hAnsi="Arial"/>
          <w:sz w:val="15"/>
          <w:szCs w:val="15"/>
          <w:color w:val="auto"/>
        </w:rPr>
        <w:t>Vesting Commencement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2271395</wp:posOffset>
            </wp:positionH>
            <wp:positionV relativeFrom="paragraph">
              <wp:posOffset>12065</wp:posOffset>
            </wp:positionV>
            <wp:extent cx="2449195" cy="6985"/>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47">
                      <a:extLst>
                        <a:ext uri="{28A0092B-C50C-407E-A947-70E740481C1C}"/>
                      </a:extLst>
                    </a:blip>
                    <a:srcRect/>
                    <a:stretch>
                      <a:fillRect/>
                    </a:stretch>
                  </pic:blipFill>
                  <pic:spPr bwMode="auto">
                    <a:xfrm>
                      <a:off x="0" y="0"/>
                      <a:ext cx="2449195" cy="6985"/>
                    </a:xfrm>
                    <a:prstGeom prst="rect">
                      <a:avLst/>
                    </a:prstGeom>
                    <a:noFill/>
                  </pic:spPr>
                </pic:pic>
              </a:graphicData>
            </a:graphic>
          </wp:anchor>
        </w:drawing>
      </w:r>
    </w:p>
    <w:p>
      <w:pPr>
        <w:spacing w:after="0" w:line="191" w:lineRule="exact"/>
        <w:rPr>
          <w:sz w:val="20"/>
          <w:szCs w:val="20"/>
          <w:color w:val="auto"/>
        </w:rPr>
      </w:pPr>
    </w:p>
    <w:p>
      <w:pPr>
        <w:ind w:left="460"/>
        <w:spacing w:after="0"/>
        <w:rPr>
          <w:sz w:val="20"/>
          <w:szCs w:val="20"/>
          <w:color w:val="auto"/>
        </w:rPr>
      </w:pPr>
      <w:r>
        <w:rPr>
          <w:rFonts w:ascii="Arial" w:cs="Arial" w:eastAsia="Arial" w:hAnsi="Arial"/>
          <w:sz w:val="15"/>
          <w:szCs w:val="15"/>
          <w:color w:val="auto"/>
        </w:rPr>
        <w:t>Number of Restricted Stock Units: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2271395</wp:posOffset>
            </wp:positionH>
            <wp:positionV relativeFrom="paragraph">
              <wp:posOffset>12065</wp:posOffset>
            </wp:positionV>
            <wp:extent cx="2449195" cy="6985"/>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48">
                      <a:extLst>
                        <a:ext uri="{28A0092B-C50C-407E-A947-70E740481C1C}"/>
                      </a:extLst>
                    </a:blip>
                    <a:srcRect/>
                    <a:stretch>
                      <a:fillRect/>
                    </a:stretch>
                  </pic:blipFill>
                  <pic:spPr bwMode="auto">
                    <a:xfrm>
                      <a:off x="0" y="0"/>
                      <a:ext cx="2449195" cy="6985"/>
                    </a:xfrm>
                    <a:prstGeom prst="rect">
                      <a:avLst/>
                    </a:prstGeom>
                    <a:noFill/>
                  </pic:spPr>
                </pic:pic>
              </a:graphicData>
            </a:graphic>
          </wp:anchor>
        </w:drawing>
      </w:r>
    </w:p>
    <w:p>
      <w:pPr>
        <w:spacing w:after="0" w:line="191" w:lineRule="exact"/>
        <w:rPr>
          <w:sz w:val="20"/>
          <w:szCs w:val="20"/>
          <w:color w:val="auto"/>
        </w:rPr>
      </w:pPr>
    </w:p>
    <w:p>
      <w:pPr>
        <w:ind w:left="460"/>
        <w:spacing w:after="0"/>
        <w:rPr>
          <w:sz w:val="20"/>
          <w:szCs w:val="20"/>
          <w:color w:val="auto"/>
        </w:rPr>
      </w:pPr>
      <w:r>
        <w:rPr>
          <w:rFonts w:ascii="Arial" w:cs="Arial" w:eastAsia="Arial" w:hAnsi="Arial"/>
          <w:sz w:val="15"/>
          <w:szCs w:val="15"/>
          <w:u w:val="single" w:color="auto"/>
          <w:color w:val="auto"/>
        </w:rPr>
        <w:t>Vesting Schedule</w:t>
      </w:r>
      <w:r>
        <w:rPr>
          <w:rFonts w:ascii="Arial" w:cs="Arial" w:eastAsia="Arial" w:hAnsi="Arial"/>
          <w:sz w:val="15"/>
          <w:szCs w:val="15"/>
          <w:color w:val="auto"/>
        </w:rPr>
        <w:t>:</w:t>
      </w:r>
    </w:p>
    <w:p>
      <w:pPr>
        <w:spacing w:after="0" w:line="188" w:lineRule="exact"/>
        <w:rPr>
          <w:sz w:val="20"/>
          <w:szCs w:val="20"/>
          <w:color w:val="auto"/>
        </w:rPr>
      </w:pPr>
    </w:p>
    <w:p>
      <w:pPr>
        <w:ind w:left="440"/>
        <w:spacing w:after="0"/>
        <w:rPr>
          <w:sz w:val="20"/>
          <w:szCs w:val="20"/>
          <w:color w:val="auto"/>
        </w:rPr>
      </w:pPr>
      <w:r>
        <w:rPr>
          <w:rFonts w:ascii="Arial" w:cs="Arial" w:eastAsia="Arial" w:hAnsi="Arial"/>
          <w:sz w:val="15"/>
          <w:szCs w:val="15"/>
          <w:color w:val="auto"/>
        </w:rPr>
        <w:t>Subject to any acceleration provisions contained in the Plan or set forth below, the Restricted Stock Units will vest in accordance with the following schedule:</w:t>
      </w:r>
    </w:p>
    <w:p>
      <w:pPr>
        <w:spacing w:after="0" w:line="184" w:lineRule="exact"/>
        <w:rPr>
          <w:sz w:val="20"/>
          <w:szCs w:val="20"/>
          <w:color w:val="auto"/>
        </w:rPr>
      </w:pPr>
    </w:p>
    <w:p>
      <w:pPr>
        <w:ind w:right="120" w:firstLine="458"/>
        <w:spacing w:after="0" w:line="318" w:lineRule="auto"/>
        <w:rPr>
          <w:sz w:val="20"/>
          <w:szCs w:val="20"/>
          <w:color w:val="auto"/>
        </w:rPr>
      </w:pPr>
      <w:r>
        <w:rPr>
          <w:rFonts w:ascii="Arial" w:cs="Arial" w:eastAsia="Arial" w:hAnsi="Arial"/>
          <w:sz w:val="14"/>
          <w:szCs w:val="14"/>
          <w:b w:val="1"/>
          <w:bCs w:val="1"/>
          <w:color w:val="auto"/>
        </w:rPr>
        <w:t>[</w:t>
      </w:r>
      <w:r>
        <w:rPr>
          <w:rFonts w:ascii="Arial" w:cs="Arial" w:eastAsia="Arial" w:hAnsi="Arial"/>
          <w:sz w:val="14"/>
          <w:szCs w:val="14"/>
          <w:color w:val="auto"/>
        </w:rPr>
        <w:t>Twenty-five percent (25%) of the Restricted Stock Units will vest on the one (1)-year anniversary of the Vesting Commencement Date, and one sixteenth (1/16</w:t>
      </w:r>
      <w:r>
        <w:rPr>
          <w:rFonts w:ascii="Arial" w:cs="Arial" w:eastAsia="Arial" w:hAnsi="Arial"/>
          <w:sz w:val="11"/>
          <w:szCs w:val="11"/>
          <w:color w:val="auto"/>
        </w:rPr>
        <w:t>th</w:t>
      </w:r>
      <w:r>
        <w:rPr>
          <w:rFonts w:ascii="Arial" w:cs="Arial" w:eastAsia="Arial" w:hAnsi="Arial"/>
          <w:sz w:val="14"/>
          <w:szCs w:val="14"/>
          <w:color w:val="auto"/>
        </w:rPr>
        <w:t>) of the Restricted</w:t>
      </w:r>
      <w:r>
        <w:rPr>
          <w:rFonts w:ascii="Arial" w:cs="Arial" w:eastAsia="Arial" w:hAnsi="Arial"/>
          <w:sz w:val="14"/>
          <w:szCs w:val="14"/>
          <w:b w:val="1"/>
          <w:bCs w:val="1"/>
          <w:color w:val="auto"/>
        </w:rPr>
        <w:t xml:space="preserve"> </w:t>
      </w:r>
      <w:r>
        <w:rPr>
          <w:rFonts w:ascii="Arial" w:cs="Arial" w:eastAsia="Arial" w:hAnsi="Arial"/>
          <w:sz w:val="14"/>
          <w:szCs w:val="14"/>
          <w:color w:val="auto"/>
        </w:rPr>
        <w:t>Stock Units will vest on each Quarterly Vesting Date (as defined below) thereafter, subject to Participant continuing to be a Service Provider through each such date.</w:t>
      </w:r>
      <w:r>
        <w:rPr>
          <w:rFonts w:ascii="Arial" w:cs="Arial" w:eastAsia="Arial" w:hAnsi="Arial"/>
          <w:sz w:val="14"/>
          <w:szCs w:val="14"/>
          <w:b w:val="1"/>
          <w:bCs w:val="1"/>
          <w:color w:val="auto"/>
        </w:rPr>
        <w:t>]</w:t>
      </w:r>
    </w:p>
    <w:p>
      <w:pPr>
        <w:spacing w:after="0" w:line="119" w:lineRule="exact"/>
        <w:rPr>
          <w:sz w:val="20"/>
          <w:szCs w:val="20"/>
          <w:color w:val="auto"/>
        </w:rPr>
      </w:pPr>
    </w:p>
    <w:p>
      <w:pPr>
        <w:ind w:left="440"/>
        <w:spacing w:after="0"/>
        <w:rPr>
          <w:sz w:val="20"/>
          <w:szCs w:val="20"/>
          <w:color w:val="auto"/>
        </w:rPr>
      </w:pPr>
      <w:r>
        <w:rPr>
          <w:rFonts w:ascii="Arial" w:cs="Arial" w:eastAsia="Arial" w:hAnsi="Arial"/>
          <w:sz w:val="15"/>
          <w:szCs w:val="15"/>
          <w:color w:val="auto"/>
        </w:rPr>
        <w:t>A “Quarterly Vesting Date” is the first trading day on or after each of February 15, May 15, August 15, and November 15.</w:t>
      </w:r>
    </w:p>
    <w:p>
      <w:pPr>
        <w:spacing w:after="0" w:line="188" w:lineRule="exact"/>
        <w:rPr>
          <w:sz w:val="20"/>
          <w:szCs w:val="20"/>
          <w:color w:val="auto"/>
        </w:rPr>
      </w:pPr>
    </w:p>
    <w:p>
      <w:pPr>
        <w:ind w:firstLine="458"/>
        <w:spacing w:after="0" w:line="275" w:lineRule="auto"/>
        <w:rPr>
          <w:sz w:val="20"/>
          <w:szCs w:val="20"/>
          <w:color w:val="auto"/>
        </w:rPr>
      </w:pPr>
      <w:r>
        <w:rPr>
          <w:rFonts w:ascii="Arial" w:cs="Arial" w:eastAsia="Arial" w:hAnsi="Arial"/>
          <w:sz w:val="15"/>
          <w:szCs w:val="15"/>
          <w:color w:val="auto"/>
        </w:rPr>
        <w:t>In the event Participant ceases to be a Service Provider for any or no reason before Participant vests in the Restricted Stock Units, the Restricted Stock Units and Participant’s right to acquire any Shares hereunder will immediately terminate.</w:t>
      </w:r>
    </w:p>
    <w:p>
      <w:pPr>
        <w:spacing w:after="0" w:line="146" w:lineRule="exact"/>
        <w:rPr>
          <w:sz w:val="20"/>
          <w:szCs w:val="20"/>
          <w:color w:val="auto"/>
        </w:rPr>
      </w:pPr>
    </w:p>
    <w:p>
      <w:pPr>
        <w:ind w:right="80" w:firstLine="458"/>
        <w:spacing w:after="0" w:line="263" w:lineRule="auto"/>
        <w:rPr>
          <w:sz w:val="20"/>
          <w:szCs w:val="20"/>
          <w:color w:val="auto"/>
        </w:rPr>
      </w:pPr>
      <w:r>
        <w:rPr>
          <w:rFonts w:ascii="Arial" w:cs="Arial" w:eastAsia="Arial" w:hAnsi="Arial"/>
          <w:sz w:val="15"/>
          <w:szCs w:val="15"/>
          <w:color w:val="auto"/>
        </w:rPr>
        <w:t>By Participant’s signature and the signature of the representative of Dropbox, Inc. (the “Company”) below, Participant and the Company agree that this Award of Restricted Stock Units is granted under and governed by the terms and conditions of the Plan and this Award Agreement, including the Terms and Conditions of Restricted Stock Unit Grant, attached hereto as</w:t>
      </w:r>
    </w:p>
    <w:p>
      <w:pPr>
        <w:sectPr>
          <w:pgSz w:w="11900" w:h="16838" w:orient="portrait"/>
          <w:cols w:equalWidth="0" w:num="1">
            <w:col w:w="11380"/>
          </w:cols>
          <w:pgMar w:left="240" w:top="250" w:right="279" w:bottom="1440" w:gutter="0" w:footer="0" w:header="0"/>
        </w:sectPr>
      </w:pPr>
    </w:p>
    <w:bookmarkStart w:id="292" w:name="page293"/>
    <w:bookmarkEnd w:id="292"/>
    <w:p>
      <w:pPr>
        <w:spacing w:after="0" w:line="259" w:lineRule="auto"/>
        <w:rPr>
          <w:sz w:val="20"/>
          <w:szCs w:val="20"/>
          <w:color w:val="auto"/>
        </w:rPr>
      </w:pPr>
      <w:r>
        <w:rPr>
          <w:rFonts w:ascii="Arial" w:cs="Arial" w:eastAsia="Arial" w:hAnsi="Arial"/>
          <w:sz w:val="15"/>
          <w:szCs w:val="15"/>
          <w:u w:val="single" w:color="auto"/>
          <w:color w:val="auto"/>
        </w:rPr>
        <w:drawing>
          <wp:anchor simplePos="0" relativeHeight="251657728" behindDoc="1" locked="0" layoutInCell="0" allowOverlap="1">
            <wp:simplePos x="0" y="0"/>
            <wp:positionH relativeFrom="page">
              <wp:posOffset>133350</wp:posOffset>
            </wp:positionH>
            <wp:positionV relativeFrom="page">
              <wp:posOffset>88900</wp:posOffset>
            </wp:positionV>
            <wp:extent cx="7308850" cy="34290"/>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49">
                      <a:extLst>
                        <a:ext uri="{28A0092B-C50C-407E-A947-70E740481C1C}"/>
                      </a:extLst>
                    </a:blip>
                    <a:srcRect/>
                    <a:stretch>
                      <a:fillRect/>
                    </a:stretch>
                  </pic:blipFill>
                  <pic:spPr bwMode="auto">
                    <a:xfrm>
                      <a:off x="0" y="0"/>
                      <a:ext cx="7308850" cy="34290"/>
                    </a:xfrm>
                    <a:prstGeom prst="rect">
                      <a:avLst/>
                    </a:prstGeom>
                    <a:noFill/>
                  </pic:spPr>
                </pic:pic>
              </a:graphicData>
            </a:graphic>
          </wp:anchor>
        </w:drawing>
        <w:t>Exhibit A</w:t>
      </w:r>
      <w:r>
        <w:rPr>
          <w:rFonts w:ascii="Arial" w:cs="Arial" w:eastAsia="Arial" w:hAnsi="Arial"/>
          <w:sz w:val="15"/>
          <w:szCs w:val="15"/>
          <w:color w:val="auto"/>
        </w:rPr>
        <w:t>, all of which are made a part of this document. Participant acknowledges receipt of a copy of the Plan. Participant has reviewed the Plan and this Award Agreement in their entirety, has had an opportunity to obtain the advice of counsel prior to executing this Award Agreement, and fully understands all provisions of the Plan and this Award Agreement. Participant hereby agrees to accept as binding, conclusive, and final all decisions or interpretations of the Administrator upon any questions relating to the Plan and the Award Agreement. Participant further agrees to notify the Company upon any change in the residence address indicated below.</w:t>
      </w:r>
    </w:p>
    <w:p>
      <w:pPr>
        <w:spacing w:after="0" w:line="180" w:lineRule="exact"/>
        <w:rPr>
          <w:sz w:val="20"/>
          <w:szCs w:val="20"/>
          <w:color w:val="auto"/>
        </w:rPr>
      </w:pPr>
    </w:p>
    <w:p>
      <w:pPr>
        <w:spacing w:after="0"/>
        <w:tabs>
          <w:tab w:leader="none" w:pos="7880" w:val="left"/>
        </w:tabs>
        <w:rPr>
          <w:sz w:val="20"/>
          <w:szCs w:val="20"/>
          <w:color w:val="auto"/>
        </w:rPr>
      </w:pPr>
      <w:r>
        <w:rPr>
          <w:rFonts w:ascii="Arial" w:cs="Arial" w:eastAsia="Arial" w:hAnsi="Arial"/>
          <w:sz w:val="15"/>
          <w:szCs w:val="15"/>
          <w:color w:val="auto"/>
        </w:rPr>
        <w:t>PARTICIPANT:</w:t>
      </w:r>
      <w:r>
        <w:rPr>
          <w:sz w:val="20"/>
          <w:szCs w:val="20"/>
          <w:color w:val="auto"/>
        </w:rPr>
        <w:tab/>
      </w:r>
      <w:r>
        <w:rPr>
          <w:rFonts w:ascii="Arial" w:cs="Arial" w:eastAsia="Arial" w:hAnsi="Arial"/>
          <w:sz w:val="15"/>
          <w:szCs w:val="15"/>
          <w:color w:val="auto"/>
        </w:rPr>
        <w:t>DROPBOX,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240665</wp:posOffset>
            </wp:positionV>
            <wp:extent cx="2549525" cy="6985"/>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50">
                      <a:extLst>
                        <a:ext uri="{28A0092B-C50C-407E-A947-70E740481C1C}"/>
                      </a:extLst>
                    </a:blip>
                    <a:srcRect/>
                    <a:stretch>
                      <a:fillRect/>
                    </a:stretch>
                  </pic:blipFill>
                  <pic:spPr bwMode="auto">
                    <a:xfrm>
                      <a:off x="0" y="0"/>
                      <a:ext cx="2549525" cy="6985"/>
                    </a:xfrm>
                    <a:prstGeom prst="rect">
                      <a:avLst/>
                    </a:prstGeom>
                    <a:noFill/>
                  </pic:spPr>
                </pic:pic>
              </a:graphicData>
            </a:graphic>
          </wp:anchor>
        </w:drawing>
        <w:drawing>
          <wp:anchor simplePos="0" relativeHeight="251657728" behindDoc="1" locked="0" layoutInCell="0" allowOverlap="1">
            <wp:simplePos x="0" y="0"/>
            <wp:positionH relativeFrom="column">
              <wp:posOffset>5013960</wp:posOffset>
            </wp:positionH>
            <wp:positionV relativeFrom="paragraph">
              <wp:posOffset>240665</wp:posOffset>
            </wp:positionV>
            <wp:extent cx="2248535" cy="6985"/>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51">
                      <a:extLst>
                        <a:ext uri="{28A0092B-C50C-407E-A947-70E740481C1C}"/>
                      </a:extLst>
                    </a:blip>
                    <a:srcRect/>
                    <a:stretch>
                      <a:fillRect/>
                    </a:stretch>
                  </pic:blipFill>
                  <pic:spPr bwMode="auto">
                    <a:xfrm>
                      <a:off x="0" y="0"/>
                      <a:ext cx="2248535" cy="6985"/>
                    </a:xfrm>
                    <a:prstGeom prst="rect">
                      <a:avLst/>
                    </a:prstGeom>
                    <a:noFill/>
                  </pic:spPr>
                </pic:pic>
              </a:graphicData>
            </a:graphic>
          </wp:anchor>
        </w:drawing>
      </w:r>
    </w:p>
    <w:p>
      <w:pPr>
        <w:sectPr>
          <w:pgSz w:w="11900" w:h="16838" w:orient="portrait"/>
          <w:cols w:equalWidth="0" w:num="1">
            <w:col w:w="11220"/>
          </w:cols>
          <w:pgMar w:left="240" w:top="253" w:right="439" w:bottom="1440" w:gutter="0" w:footer="0" w:header="0"/>
        </w:sectPr>
      </w:pPr>
    </w:p>
    <w:p>
      <w:pPr>
        <w:spacing w:after="0" w:line="391" w:lineRule="exact"/>
        <w:rPr>
          <w:sz w:val="20"/>
          <w:szCs w:val="20"/>
          <w:color w:val="auto"/>
        </w:rPr>
      </w:pPr>
    </w:p>
    <w:p>
      <w:pPr>
        <w:spacing w:after="0"/>
        <w:rPr>
          <w:sz w:val="20"/>
          <w:szCs w:val="20"/>
          <w:color w:val="auto"/>
        </w:rPr>
      </w:pPr>
      <w:r>
        <w:rPr>
          <w:rFonts w:ascii="Arial" w:cs="Arial" w:eastAsia="Arial" w:hAnsi="Arial"/>
          <w:sz w:val="15"/>
          <w:szCs w:val="15"/>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240665</wp:posOffset>
            </wp:positionV>
            <wp:extent cx="2549525" cy="6985"/>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52">
                      <a:extLst>
                        <a:ext uri="{28A0092B-C50C-407E-A947-70E740481C1C}"/>
                      </a:extLst>
                    </a:blip>
                    <a:srcRect/>
                    <a:stretch>
                      <a:fillRect/>
                    </a:stretch>
                  </pic:blipFill>
                  <pic:spPr bwMode="auto">
                    <a:xfrm>
                      <a:off x="0" y="0"/>
                      <a:ext cx="2549525" cy="6985"/>
                    </a:xfrm>
                    <a:prstGeom prst="rect">
                      <a:avLst/>
                    </a:prstGeom>
                    <a:noFill/>
                  </pic:spPr>
                </pic:pic>
              </a:graphicData>
            </a:graphic>
          </wp:anchor>
        </w:drawing>
      </w:r>
    </w:p>
    <w:p>
      <w:pPr>
        <w:spacing w:after="0" w:line="371" w:lineRule="exact"/>
        <w:rPr>
          <w:sz w:val="20"/>
          <w:szCs w:val="20"/>
          <w:color w:val="auto"/>
        </w:rPr>
      </w:pPr>
    </w:p>
    <w:p>
      <w:pPr>
        <w:spacing w:after="0"/>
        <w:rPr>
          <w:sz w:val="20"/>
          <w:szCs w:val="20"/>
          <w:color w:val="auto"/>
        </w:rPr>
      </w:pPr>
      <w:r>
        <w:rPr>
          <w:rFonts w:ascii="Arial" w:cs="Arial" w:eastAsia="Arial" w:hAnsi="Arial"/>
          <w:sz w:val="13"/>
          <w:szCs w:val="13"/>
          <w:color w:val="auto"/>
        </w:rPr>
        <w:t>Print Name</w:t>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5"/>
          <w:szCs w:val="15"/>
          <w:u w:val="single" w:color="auto"/>
          <w:color w:val="auto"/>
        </w:rPr>
        <w:t>Address</w:t>
      </w:r>
      <w:r>
        <w:rPr>
          <w:rFonts w:ascii="Arial" w:cs="Arial" w:eastAsia="Arial" w:hAnsi="Arial"/>
          <w:sz w:val="15"/>
          <w:szCs w:val="15"/>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240665</wp:posOffset>
            </wp:positionV>
            <wp:extent cx="2549525" cy="6985"/>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53">
                      <a:extLst>
                        <a:ext uri="{28A0092B-C50C-407E-A947-70E740481C1C}"/>
                      </a:extLst>
                    </a:blip>
                    <a:srcRect/>
                    <a:stretch>
                      <a:fillRect/>
                    </a:stretch>
                  </pic:blipFill>
                  <pic:spPr bwMode="auto">
                    <a:xfrm>
                      <a:off x="0" y="0"/>
                      <a:ext cx="2549525" cy="698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484505</wp:posOffset>
            </wp:positionV>
            <wp:extent cx="2549525" cy="6985"/>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54">
                      <a:extLst>
                        <a:ext uri="{28A0092B-C50C-407E-A947-70E740481C1C}"/>
                      </a:extLst>
                    </a:blip>
                    <a:srcRect/>
                    <a:stretch>
                      <a:fillRect/>
                    </a:stretch>
                  </pic:blipFill>
                  <pic:spPr bwMode="auto">
                    <a:xfrm>
                      <a:off x="0" y="0"/>
                      <a:ext cx="2549525" cy="698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71" w:lineRule="exact"/>
        <w:rPr>
          <w:sz w:val="20"/>
          <w:szCs w:val="20"/>
          <w:color w:val="auto"/>
        </w:rPr>
      </w:pPr>
    </w:p>
    <w:p>
      <w:pPr>
        <w:spacing w:after="0"/>
        <w:rPr>
          <w:sz w:val="20"/>
          <w:szCs w:val="20"/>
          <w:color w:val="auto"/>
        </w:rPr>
      </w:pPr>
      <w:r>
        <w:rPr>
          <w:rFonts w:ascii="Arial" w:cs="Arial" w:eastAsia="Arial" w:hAnsi="Arial"/>
          <w:sz w:val="15"/>
          <w:szCs w:val="15"/>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240665</wp:posOffset>
            </wp:positionV>
            <wp:extent cx="2248535" cy="6985"/>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55">
                      <a:extLst>
                        <a:ext uri="{28A0092B-C50C-407E-A947-70E740481C1C}"/>
                      </a:extLst>
                    </a:blip>
                    <a:srcRect/>
                    <a:stretch>
                      <a:fillRect/>
                    </a:stretch>
                  </pic:blipFill>
                  <pic:spPr bwMode="auto">
                    <a:xfrm>
                      <a:off x="0" y="0"/>
                      <a:ext cx="2248535" cy="6985"/>
                    </a:xfrm>
                    <a:prstGeom prst="rect">
                      <a:avLst/>
                    </a:prstGeom>
                    <a:noFill/>
                  </pic:spPr>
                </pic:pic>
              </a:graphicData>
            </a:graphic>
          </wp:anchor>
        </w:drawing>
      </w:r>
    </w:p>
    <w:p>
      <w:pPr>
        <w:spacing w:after="0" w:line="371" w:lineRule="exact"/>
        <w:rPr>
          <w:sz w:val="20"/>
          <w:szCs w:val="20"/>
          <w:color w:val="auto"/>
        </w:rPr>
      </w:pPr>
    </w:p>
    <w:p>
      <w:pPr>
        <w:spacing w:after="0"/>
        <w:rPr>
          <w:sz w:val="20"/>
          <w:szCs w:val="20"/>
          <w:color w:val="auto"/>
        </w:rPr>
      </w:pPr>
      <w:r>
        <w:rPr>
          <w:rFonts w:ascii="Arial" w:cs="Arial" w:eastAsia="Arial" w:hAnsi="Arial"/>
          <w:sz w:val="13"/>
          <w:szCs w:val="13"/>
          <w:color w:val="auto"/>
        </w:rPr>
        <w:t>Print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140970</wp:posOffset>
            </wp:positionV>
            <wp:extent cx="2248535" cy="6985"/>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56">
                      <a:extLst>
                        <a:ext uri="{28A0092B-C50C-407E-A947-70E740481C1C}"/>
                      </a:extLst>
                    </a:blip>
                    <a:srcRect/>
                    <a:stretch>
                      <a:fillRect/>
                    </a:stretch>
                  </pic:blipFill>
                  <pic:spPr bwMode="auto">
                    <a:xfrm>
                      <a:off x="0" y="0"/>
                      <a:ext cx="2248535" cy="6985"/>
                    </a:xfrm>
                    <a:prstGeom prst="rect">
                      <a:avLst/>
                    </a:prstGeom>
                    <a:noFill/>
                  </pic:spPr>
                </pic:pic>
              </a:graphicData>
            </a:graphic>
          </wp:anchor>
        </w:drawing>
      </w:r>
    </w:p>
    <w:p>
      <w:pPr>
        <w:spacing w:after="0" w:line="214" w:lineRule="exact"/>
        <w:rPr>
          <w:sz w:val="20"/>
          <w:szCs w:val="20"/>
          <w:color w:val="auto"/>
        </w:rPr>
      </w:pPr>
    </w:p>
    <w:p>
      <w:pPr>
        <w:spacing w:after="0"/>
        <w:rPr>
          <w:sz w:val="20"/>
          <w:szCs w:val="20"/>
          <w:color w:val="auto"/>
        </w:rPr>
      </w:pPr>
      <w:r>
        <w:rPr>
          <w:rFonts w:ascii="Arial" w:cs="Arial" w:eastAsia="Arial" w:hAnsi="Arial"/>
          <w:sz w:val="15"/>
          <w:szCs w:val="15"/>
          <w:color w:val="auto"/>
        </w:rPr>
        <w:t>Title</w:t>
      </w:r>
    </w:p>
    <w:p>
      <w:pPr>
        <w:spacing w:after="0" w:line="380" w:lineRule="exact"/>
        <w:rPr>
          <w:sz w:val="20"/>
          <w:szCs w:val="20"/>
          <w:color w:val="auto"/>
        </w:rPr>
      </w:pPr>
    </w:p>
    <w:p>
      <w:pPr>
        <w:sectPr>
          <w:pgSz w:w="11900" w:h="16838" w:orient="portrait"/>
          <w:cols w:equalWidth="0" w:num="2">
            <w:col w:w="7180" w:space="720"/>
            <w:col w:w="3320"/>
          </w:cols>
          <w:pgMar w:left="240" w:top="253" w:right="4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ind w:right="-199"/>
        <w:spacing w:after="0"/>
        <w:rPr>
          <w:sz w:val="20"/>
          <w:szCs w:val="20"/>
          <w:color w:val="auto"/>
        </w:rPr>
      </w:pPr>
      <w:r>
        <w:rPr>
          <w:rFonts w:ascii="Arial" w:cs="Arial" w:eastAsia="Arial" w:hAnsi="Arial"/>
          <w:sz w:val="14"/>
          <w:szCs w:val="14"/>
          <w:color w:val="auto"/>
        </w:rPr>
        <w:t>- 2 -</w:t>
      </w:r>
    </w:p>
    <w:p>
      <w:pPr>
        <w:sectPr>
          <w:pgSz w:w="11900" w:h="16838" w:orient="portrait"/>
          <w:cols w:equalWidth="0" w:num="1">
            <w:col w:w="11220"/>
          </w:cols>
          <w:pgMar w:left="240" w:top="253" w:right="439" w:bottom="1440" w:gutter="0" w:footer="0" w:header="0"/>
          <w:type w:val="continuous"/>
        </w:sectPr>
      </w:pPr>
    </w:p>
    <w:bookmarkStart w:id="293" w:name="page294"/>
    <w:bookmarkEnd w:id="293"/>
    <w:p>
      <w:pPr>
        <w:jc w:val="center"/>
        <w:spacing w:after="0"/>
        <w:rPr>
          <w:sz w:val="20"/>
          <w:szCs w:val="20"/>
          <w:color w:val="auto"/>
        </w:rPr>
      </w:pPr>
      <w:r>
        <w:rPr>
          <w:rFonts w:ascii="Arial" w:cs="Arial" w:eastAsia="Arial" w:hAnsi="Arial"/>
          <w:sz w:val="15"/>
          <w:szCs w:val="15"/>
          <w:b w:val="1"/>
          <w:bCs w:val="1"/>
          <w:u w:val="single" w:color="auto"/>
          <w:color w:val="auto"/>
        </w:rPr>
        <w:drawing>
          <wp:anchor simplePos="0" relativeHeight="251657728" behindDoc="1" locked="0" layoutInCell="0" allowOverlap="1">
            <wp:simplePos x="0" y="0"/>
            <wp:positionH relativeFrom="page">
              <wp:posOffset>133350</wp:posOffset>
            </wp:positionH>
            <wp:positionV relativeFrom="page">
              <wp:posOffset>88900</wp:posOffset>
            </wp:positionV>
            <wp:extent cx="7308850" cy="34290"/>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57">
                      <a:extLst>
                        <a:ext uri="{28A0092B-C50C-407E-A947-70E740481C1C}"/>
                      </a:extLst>
                    </a:blip>
                    <a:srcRect/>
                    <a:stretch>
                      <a:fillRect/>
                    </a:stretch>
                  </pic:blipFill>
                  <pic:spPr bwMode="auto">
                    <a:xfrm>
                      <a:off x="0" y="0"/>
                      <a:ext cx="7308850" cy="34290"/>
                    </a:xfrm>
                    <a:prstGeom prst="rect">
                      <a:avLst/>
                    </a:prstGeom>
                    <a:noFill/>
                  </pic:spPr>
                </pic:pic>
              </a:graphicData>
            </a:graphic>
          </wp:anchor>
        </w:drawing>
        <w:t>EXHIBIT A</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5"/>
          <w:szCs w:val="15"/>
          <w:b w:val="1"/>
          <w:bCs w:val="1"/>
          <w:u w:val="single" w:color="auto"/>
          <w:color w:val="auto"/>
        </w:rPr>
        <w:t>TERMS AND CONDITIONS OF RESTRICTED STOCK UNIT GRANT</w:t>
      </w:r>
    </w:p>
    <w:p>
      <w:pPr>
        <w:spacing w:after="0" w:line="192" w:lineRule="exact"/>
        <w:rPr>
          <w:sz w:val="20"/>
          <w:szCs w:val="20"/>
          <w:color w:val="auto"/>
        </w:rPr>
      </w:pPr>
    </w:p>
    <w:p>
      <w:pPr>
        <w:ind w:left="-20" w:right="20" w:firstLine="448"/>
        <w:spacing w:after="0" w:line="259" w:lineRule="auto"/>
        <w:tabs>
          <w:tab w:leader="none" w:pos="701" w:val="left"/>
        </w:tabs>
        <w:numPr>
          <w:ilvl w:val="0"/>
          <w:numId w:val="182"/>
        </w:numPr>
        <w:rPr>
          <w:rFonts w:ascii="Arial" w:cs="Arial" w:eastAsia="Arial" w:hAnsi="Arial"/>
          <w:sz w:val="15"/>
          <w:szCs w:val="15"/>
          <w:color w:val="auto"/>
        </w:rPr>
      </w:pPr>
      <w:r>
        <w:rPr>
          <w:rFonts w:ascii="Arial" w:cs="Arial" w:eastAsia="Arial" w:hAnsi="Arial"/>
          <w:sz w:val="15"/>
          <w:szCs w:val="15"/>
          <w:u w:val="single" w:color="auto"/>
          <w:color w:val="auto"/>
        </w:rPr>
        <w:t>Grant of Restricted Stock Units</w:t>
      </w:r>
      <w:r>
        <w:rPr>
          <w:rFonts w:ascii="Arial" w:cs="Arial" w:eastAsia="Arial" w:hAnsi="Arial"/>
          <w:sz w:val="15"/>
          <w:szCs w:val="15"/>
          <w:color w:val="auto"/>
        </w:rPr>
        <w:t>. The Company hereby grants to the individual (the “Participant”) named in the Notice of Grant of Restricted Stock Units of this Award Agreement (the “Notice of Grant”) under the Plan an Award of Restricted Stock Units, subject to all of the terms and conditions in this Award Agreement and the Plan, which is incorporated herein by reference. Subject to Section 19(c) of the Plan, in the event of a conflict between the terms and conditions of the Plan and this Award Agreement, the terms and conditions of the Plan shall prevail.</w:t>
      </w:r>
    </w:p>
    <w:p>
      <w:pPr>
        <w:spacing w:after="0" w:line="157" w:lineRule="exact"/>
        <w:rPr>
          <w:rFonts w:ascii="Arial" w:cs="Arial" w:eastAsia="Arial" w:hAnsi="Arial"/>
          <w:sz w:val="15"/>
          <w:szCs w:val="15"/>
          <w:color w:val="auto"/>
        </w:rPr>
      </w:pPr>
    </w:p>
    <w:p>
      <w:pPr>
        <w:ind w:left="-20" w:right="60" w:firstLine="448"/>
        <w:spacing w:after="0" w:line="290" w:lineRule="auto"/>
        <w:tabs>
          <w:tab w:leader="none" w:pos="701" w:val="left"/>
        </w:tabs>
        <w:numPr>
          <w:ilvl w:val="0"/>
          <w:numId w:val="182"/>
        </w:numPr>
        <w:rPr>
          <w:rFonts w:ascii="Arial" w:cs="Arial" w:eastAsia="Arial" w:hAnsi="Arial"/>
          <w:sz w:val="14"/>
          <w:szCs w:val="14"/>
          <w:color w:val="auto"/>
        </w:rPr>
      </w:pPr>
      <w:r>
        <w:rPr>
          <w:rFonts w:ascii="Arial" w:cs="Arial" w:eastAsia="Arial" w:hAnsi="Arial"/>
          <w:sz w:val="14"/>
          <w:szCs w:val="14"/>
          <w:u w:val="single" w:color="auto"/>
          <w:color w:val="auto"/>
        </w:rPr>
        <w:t>Company’s Obligation to Pay</w:t>
      </w:r>
      <w:r>
        <w:rPr>
          <w:rFonts w:ascii="Arial" w:cs="Arial" w:eastAsia="Arial" w:hAnsi="Arial"/>
          <w:sz w:val="14"/>
          <w:szCs w:val="14"/>
          <w:color w:val="auto"/>
        </w:rPr>
        <w:t>. Each Restricted Stock Unit represents the right to receive a Share on the date it vests. Unless and until the Restricted Stock Units will have vested in the manner set forth in Section 3 or 4, Participant will have no right to payment of any such Restricted Stock Units. Prior to actual payment of any vested Restricted Stock Units, such Restricted Stock Unit will represent an unsecured obligation of the Company, payable (if at all) only from the general assets of the Company.</w:t>
      </w:r>
    </w:p>
    <w:p>
      <w:pPr>
        <w:spacing w:after="0" w:line="138" w:lineRule="exact"/>
        <w:rPr>
          <w:rFonts w:ascii="Arial" w:cs="Arial" w:eastAsia="Arial" w:hAnsi="Arial"/>
          <w:sz w:val="14"/>
          <w:szCs w:val="14"/>
          <w:color w:val="auto"/>
        </w:rPr>
      </w:pPr>
    </w:p>
    <w:p>
      <w:pPr>
        <w:ind w:left="-20" w:right="440" w:firstLine="448"/>
        <w:spacing w:after="0" w:line="275" w:lineRule="auto"/>
        <w:tabs>
          <w:tab w:leader="none" w:pos="701" w:val="left"/>
        </w:tabs>
        <w:numPr>
          <w:ilvl w:val="0"/>
          <w:numId w:val="182"/>
        </w:numPr>
        <w:rPr>
          <w:rFonts w:ascii="Arial" w:cs="Arial" w:eastAsia="Arial" w:hAnsi="Arial"/>
          <w:sz w:val="15"/>
          <w:szCs w:val="15"/>
          <w:color w:val="auto"/>
        </w:rPr>
      </w:pPr>
      <w:r>
        <w:rPr>
          <w:rFonts w:ascii="Arial" w:cs="Arial" w:eastAsia="Arial" w:hAnsi="Arial"/>
          <w:sz w:val="15"/>
          <w:szCs w:val="15"/>
          <w:u w:val="single" w:color="auto"/>
          <w:color w:val="auto"/>
        </w:rPr>
        <w:t>Vesting Schedule</w:t>
      </w:r>
      <w:r>
        <w:rPr>
          <w:rFonts w:ascii="Arial" w:cs="Arial" w:eastAsia="Arial" w:hAnsi="Arial"/>
          <w:sz w:val="15"/>
          <w:szCs w:val="15"/>
          <w:color w:val="auto"/>
        </w:rPr>
        <w:t>. Except as provided in Section 4, and subject to Section 5, the Restricted Stock Units awarded by this Award Agreement will vest in accordance with the vesting schedule set forth in the Notice of Grant, subject to Participant continuing to be a Service Provider through each applicable vesting date.</w:t>
      </w:r>
    </w:p>
    <w:p>
      <w:pPr>
        <w:spacing w:after="0" w:line="146" w:lineRule="exact"/>
        <w:rPr>
          <w:rFonts w:ascii="Arial" w:cs="Arial" w:eastAsia="Arial" w:hAnsi="Arial"/>
          <w:sz w:val="15"/>
          <w:szCs w:val="15"/>
          <w:color w:val="auto"/>
        </w:rPr>
      </w:pPr>
    </w:p>
    <w:p>
      <w:pPr>
        <w:ind w:left="700" w:hanging="272"/>
        <w:spacing w:after="0"/>
        <w:tabs>
          <w:tab w:leader="none" w:pos="700" w:val="left"/>
        </w:tabs>
        <w:numPr>
          <w:ilvl w:val="0"/>
          <w:numId w:val="182"/>
        </w:numPr>
        <w:rPr>
          <w:rFonts w:ascii="Arial" w:cs="Arial" w:eastAsia="Arial" w:hAnsi="Arial"/>
          <w:sz w:val="15"/>
          <w:szCs w:val="15"/>
          <w:color w:val="auto"/>
        </w:rPr>
      </w:pPr>
      <w:r>
        <w:rPr>
          <w:rFonts w:ascii="Arial" w:cs="Arial" w:eastAsia="Arial" w:hAnsi="Arial"/>
          <w:sz w:val="15"/>
          <w:szCs w:val="15"/>
          <w:u w:val="single" w:color="auto"/>
          <w:color w:val="auto"/>
        </w:rPr>
        <w:t>Payment after Vesting</w:t>
      </w:r>
      <w:r>
        <w:rPr>
          <w:rFonts w:ascii="Arial" w:cs="Arial" w:eastAsia="Arial" w:hAnsi="Arial"/>
          <w:sz w:val="15"/>
          <w:szCs w:val="15"/>
          <w:color w:val="auto"/>
        </w:rPr>
        <w:t>.</w:t>
      </w:r>
    </w:p>
    <w:p>
      <w:pPr>
        <w:spacing w:after="0" w:line="188" w:lineRule="exact"/>
        <w:rPr>
          <w:rFonts w:ascii="Arial" w:cs="Arial" w:eastAsia="Arial" w:hAnsi="Arial"/>
          <w:sz w:val="15"/>
          <w:szCs w:val="15"/>
          <w:color w:val="auto"/>
        </w:rPr>
      </w:pPr>
    </w:p>
    <w:p>
      <w:pPr>
        <w:ind w:left="-20" w:firstLine="906"/>
        <w:spacing w:after="0" w:line="259" w:lineRule="auto"/>
        <w:tabs>
          <w:tab w:leader="none" w:pos="1213" w:val="left"/>
        </w:tabs>
        <w:numPr>
          <w:ilvl w:val="1"/>
          <w:numId w:val="182"/>
        </w:numPr>
        <w:rPr>
          <w:rFonts w:ascii="Arial" w:cs="Arial" w:eastAsia="Arial" w:hAnsi="Arial"/>
          <w:sz w:val="15"/>
          <w:szCs w:val="15"/>
          <w:color w:val="auto"/>
        </w:rPr>
      </w:pPr>
      <w:r>
        <w:rPr>
          <w:rFonts w:ascii="Arial" w:cs="Arial" w:eastAsia="Arial" w:hAnsi="Arial"/>
          <w:sz w:val="15"/>
          <w:szCs w:val="15"/>
          <w:u w:val="single" w:color="auto"/>
          <w:color w:val="auto"/>
        </w:rPr>
        <w:t>General Rule</w:t>
      </w:r>
      <w:r>
        <w:rPr>
          <w:rFonts w:ascii="Arial" w:cs="Arial" w:eastAsia="Arial" w:hAnsi="Arial"/>
          <w:sz w:val="15"/>
          <w:szCs w:val="15"/>
          <w:color w:val="auto"/>
        </w:rPr>
        <w:t>. Subject to Section 8, any Restricted Stock Units that vest will be paid to Participant (or in the event of Participant’s death, to his or her properly designated beneficiary or estate) in whole Shares. Subject to the provisions of Section 4(b), such vested Restricted Stock Units shall be paid in whole Shares as soon as practicable after vesting, but in each such case within sixty (60) days following the vesting date. In no event will Participant be permitted, directly or indirectly, to specify the taxable year of payment of any Restricted Stock Units payable under this Award Agreement.</w:t>
      </w:r>
    </w:p>
    <w:p>
      <w:pPr>
        <w:spacing w:after="0" w:line="157" w:lineRule="exact"/>
        <w:rPr>
          <w:rFonts w:ascii="Arial" w:cs="Arial" w:eastAsia="Arial" w:hAnsi="Arial"/>
          <w:sz w:val="15"/>
          <w:szCs w:val="15"/>
          <w:color w:val="auto"/>
        </w:rPr>
      </w:pPr>
    </w:p>
    <w:p>
      <w:pPr>
        <w:ind w:left="1220" w:hanging="334"/>
        <w:spacing w:after="0"/>
        <w:tabs>
          <w:tab w:leader="none" w:pos="1220" w:val="left"/>
        </w:tabs>
        <w:numPr>
          <w:ilvl w:val="1"/>
          <w:numId w:val="182"/>
        </w:numPr>
        <w:rPr>
          <w:rFonts w:ascii="Arial" w:cs="Arial" w:eastAsia="Arial" w:hAnsi="Arial"/>
          <w:sz w:val="15"/>
          <w:szCs w:val="15"/>
          <w:color w:val="auto"/>
        </w:rPr>
      </w:pPr>
      <w:r>
        <w:rPr>
          <w:rFonts w:ascii="Arial" w:cs="Arial" w:eastAsia="Arial" w:hAnsi="Arial"/>
          <w:sz w:val="15"/>
          <w:szCs w:val="15"/>
          <w:u w:val="single" w:color="auto"/>
          <w:color w:val="auto"/>
        </w:rPr>
        <w:t>Acceleration</w:t>
      </w:r>
      <w:r>
        <w:rPr>
          <w:rFonts w:ascii="Arial" w:cs="Arial" w:eastAsia="Arial" w:hAnsi="Arial"/>
          <w:sz w:val="15"/>
          <w:szCs w:val="15"/>
          <w:color w:val="auto"/>
        </w:rPr>
        <w:t>.</w:t>
      </w:r>
    </w:p>
    <w:p>
      <w:pPr>
        <w:spacing w:after="0" w:line="188" w:lineRule="exact"/>
        <w:rPr>
          <w:rFonts w:ascii="Arial" w:cs="Arial" w:eastAsia="Arial" w:hAnsi="Arial"/>
          <w:sz w:val="15"/>
          <w:szCs w:val="15"/>
          <w:color w:val="auto"/>
        </w:rPr>
      </w:pPr>
    </w:p>
    <w:p>
      <w:pPr>
        <w:ind w:left="-20" w:firstLine="1478"/>
        <w:spacing w:after="0" w:line="311" w:lineRule="auto"/>
        <w:tabs>
          <w:tab w:leader="none" w:pos="1760" w:val="left"/>
        </w:tabs>
        <w:numPr>
          <w:ilvl w:val="2"/>
          <w:numId w:val="182"/>
        </w:numPr>
        <w:rPr>
          <w:rFonts w:ascii="Arial" w:cs="Arial" w:eastAsia="Arial" w:hAnsi="Arial"/>
          <w:sz w:val="13"/>
          <w:szCs w:val="13"/>
          <w:color w:val="auto"/>
        </w:rPr>
      </w:pPr>
      <w:r>
        <w:rPr>
          <w:rFonts w:ascii="Arial" w:cs="Arial" w:eastAsia="Arial" w:hAnsi="Arial"/>
          <w:sz w:val="13"/>
          <w:szCs w:val="13"/>
          <w:u w:val="single" w:color="auto"/>
          <w:color w:val="auto"/>
        </w:rPr>
        <w:t>Discretionary Acceleration</w:t>
      </w:r>
      <w:r>
        <w:rPr>
          <w:rFonts w:ascii="Arial" w:cs="Arial" w:eastAsia="Arial" w:hAnsi="Arial"/>
          <w:sz w:val="13"/>
          <w:szCs w:val="13"/>
          <w:color w:val="auto"/>
        </w:rPr>
        <w:t>. The Administrator, in its discretion, may accelerate the vesting of the balance, or some lesser portion of the balance, of the unvested Restricted Stock Units at any time, subject to the terms of the Plan. If so accelerated, such Restricted Stock Units will be considered as having vested as of the date specified by the Administrator. If Participant is a U.S. taxpayer, the payment of Shares vesting pursuant to this Section 4(b) shall in all cases be paid at a time or in a manner that is exempt from, or complies with, Section 409A. The prior sentence may be superseded in a future agreement or amendment to this Award Agreement only by direct and specific reference to such sentence.</w:t>
      </w:r>
    </w:p>
    <w:p>
      <w:pPr>
        <w:spacing w:after="0" w:line="127" w:lineRule="exact"/>
        <w:rPr>
          <w:rFonts w:ascii="Arial" w:cs="Arial" w:eastAsia="Arial" w:hAnsi="Arial"/>
          <w:sz w:val="13"/>
          <w:szCs w:val="13"/>
          <w:color w:val="auto"/>
        </w:rPr>
      </w:pPr>
    </w:p>
    <w:p>
      <w:pPr>
        <w:ind w:left="-20" w:right="380" w:firstLine="1478"/>
        <w:spacing w:after="0" w:line="275" w:lineRule="auto"/>
        <w:tabs>
          <w:tab w:leader="none" w:pos="1802" w:val="left"/>
        </w:tabs>
        <w:numPr>
          <w:ilvl w:val="2"/>
          <w:numId w:val="182"/>
        </w:numPr>
        <w:rPr>
          <w:rFonts w:ascii="Arial" w:cs="Arial" w:eastAsia="Arial" w:hAnsi="Arial"/>
          <w:sz w:val="15"/>
          <w:szCs w:val="15"/>
          <w:color w:val="auto"/>
        </w:rPr>
      </w:pPr>
      <w:r>
        <w:rPr>
          <w:rFonts w:ascii="Arial" w:cs="Arial" w:eastAsia="Arial" w:hAnsi="Arial"/>
          <w:sz w:val="15"/>
          <w:szCs w:val="15"/>
          <w:color w:val="auto"/>
        </w:rPr>
        <w:t>Notwithstanding anything in the Plan or this Award Agreement or any other agreement (whether entered into before, on or after the Date of Grant), if the vesting of the balance, or some lesser portion of the balance, of the Restricted Stock Units is accelerated in</w:t>
      </w:r>
    </w:p>
    <w:p>
      <w:pPr>
        <w:sectPr>
          <w:pgSz w:w="11900" w:h="16838" w:orient="portrait"/>
          <w:cols w:equalWidth="0" w:num="1">
            <w:col w:w="11380"/>
          </w:cols>
          <w:pgMar w:left="260" w:top="249" w:right="259" w:bottom="1440" w:gutter="0" w:footer="0" w:header="0"/>
        </w:sectPr>
      </w:pPr>
    </w:p>
    <w:bookmarkStart w:id="294" w:name="page295"/>
    <w:bookmarkEnd w:id="294"/>
    <w:p>
      <w:pPr>
        <w:ind w:left="10" w:right="80"/>
        <w:spacing w:after="0" w:line="294" w:lineRule="auto"/>
        <w:rPr>
          <w:sz w:val="20"/>
          <w:szCs w:val="20"/>
          <w:color w:val="auto"/>
        </w:rPr>
      </w:pPr>
      <w:r>
        <w:rPr>
          <w:rFonts w:ascii="Arial" w:cs="Arial" w:eastAsia="Arial" w:hAnsi="Arial"/>
          <w:sz w:val="13"/>
          <w:szCs w:val="13"/>
          <w:color w:val="auto"/>
        </w:rPr>
        <w:drawing>
          <wp:anchor simplePos="0" relativeHeight="251657728" behindDoc="1" locked="0" layoutInCell="0" allowOverlap="1">
            <wp:simplePos x="0" y="0"/>
            <wp:positionH relativeFrom="page">
              <wp:posOffset>133350</wp:posOffset>
            </wp:positionH>
            <wp:positionV relativeFrom="page">
              <wp:posOffset>88900</wp:posOffset>
            </wp:positionV>
            <wp:extent cx="7308850" cy="34290"/>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58">
                      <a:extLst>
                        <a:ext uri="{28A0092B-C50C-407E-A947-70E740481C1C}"/>
                      </a:extLst>
                    </a:blip>
                    <a:srcRect/>
                    <a:stretch>
                      <a:fillRect/>
                    </a:stretch>
                  </pic:blipFill>
                  <pic:spPr bwMode="auto">
                    <a:xfrm>
                      <a:off x="0" y="0"/>
                      <a:ext cx="7308850" cy="34290"/>
                    </a:xfrm>
                    <a:prstGeom prst="rect">
                      <a:avLst/>
                    </a:prstGeom>
                    <a:noFill/>
                  </pic:spPr>
                </pic:pic>
              </a:graphicData>
            </a:graphic>
          </wp:anchor>
        </w:drawing>
        <w:t>connection with Participant’s termination as a Service Provider (provided that such termination is a “separation from service” within the meaning of Section 409A, as determined by the Company), other than due to Participant’s death, and if (x) Participant is a U.S. taxpayer and a “specified employee” within the meaning of Section 409A at the time of such termination as a Service Provider and (y) the payment of such accelerated Restricted Stock Units will result in the imposition of additional tax under Section 409A if paid to Participant on or within the six</w:t>
      </w:r>
    </w:p>
    <w:p>
      <w:pPr>
        <w:spacing w:after="0" w:line="1" w:lineRule="exact"/>
        <w:rPr>
          <w:sz w:val="20"/>
          <w:szCs w:val="20"/>
          <w:color w:val="auto"/>
        </w:rPr>
      </w:pPr>
    </w:p>
    <w:p>
      <w:pPr>
        <w:ind w:left="210" w:hanging="210"/>
        <w:spacing w:after="0"/>
        <w:tabs>
          <w:tab w:leader="none" w:pos="210" w:val="left"/>
        </w:tabs>
        <w:numPr>
          <w:ilvl w:val="0"/>
          <w:numId w:val="183"/>
        </w:numPr>
        <w:rPr>
          <w:rFonts w:ascii="Arial" w:cs="Arial" w:eastAsia="Arial" w:hAnsi="Arial"/>
          <w:sz w:val="13"/>
          <w:szCs w:val="13"/>
          <w:color w:val="auto"/>
        </w:rPr>
      </w:pPr>
      <w:r>
        <w:rPr>
          <w:rFonts w:ascii="Arial" w:cs="Arial" w:eastAsia="Arial" w:hAnsi="Arial"/>
          <w:sz w:val="13"/>
          <w:szCs w:val="13"/>
          <w:color w:val="auto"/>
        </w:rPr>
        <w:t>month period following Participant’s termination as a Service Provider, then the payment of such accelerated Restricted Stock Units will not be made until the date six (6) months and one</w:t>
      </w:r>
    </w:p>
    <w:p>
      <w:pPr>
        <w:spacing w:after="0" w:line="30" w:lineRule="exact"/>
        <w:rPr>
          <w:rFonts w:ascii="Arial" w:cs="Arial" w:eastAsia="Arial" w:hAnsi="Arial"/>
          <w:sz w:val="13"/>
          <w:szCs w:val="13"/>
          <w:color w:val="auto"/>
        </w:rPr>
      </w:pPr>
    </w:p>
    <w:p>
      <w:pPr>
        <w:ind w:left="10" w:right="40" w:hanging="10"/>
        <w:spacing w:after="0" w:line="262" w:lineRule="auto"/>
        <w:tabs>
          <w:tab w:leader="none" w:pos="223" w:val="left"/>
        </w:tabs>
        <w:numPr>
          <w:ilvl w:val="0"/>
          <w:numId w:val="184"/>
        </w:numPr>
        <w:rPr>
          <w:rFonts w:ascii="Arial" w:cs="Arial" w:eastAsia="Arial" w:hAnsi="Arial"/>
          <w:sz w:val="15"/>
          <w:szCs w:val="15"/>
          <w:color w:val="auto"/>
        </w:rPr>
      </w:pPr>
      <w:r>
        <w:rPr>
          <w:rFonts w:ascii="Arial" w:cs="Arial" w:eastAsia="Arial" w:hAnsi="Arial"/>
          <w:sz w:val="15"/>
          <w:szCs w:val="15"/>
          <w:color w:val="auto"/>
        </w:rPr>
        <w:t>day following the date of Participant’s termination as a Service Provider, unless Participant dies following his or her termination as a Service Provider, in which case, the Restricted Stock Units will be paid in Shares to Participant’s estate as soon as practicable following his or her death.</w:t>
      </w:r>
    </w:p>
    <w:p>
      <w:pPr>
        <w:spacing w:after="0" w:line="155" w:lineRule="exact"/>
        <w:rPr>
          <w:rFonts w:ascii="Arial" w:cs="Arial" w:eastAsia="Arial" w:hAnsi="Arial"/>
          <w:sz w:val="15"/>
          <w:szCs w:val="15"/>
          <w:color w:val="auto"/>
        </w:rPr>
      </w:pPr>
    </w:p>
    <w:p>
      <w:pPr>
        <w:ind w:left="10" w:right="20" w:firstLine="906"/>
        <w:spacing w:after="0" w:line="277" w:lineRule="auto"/>
        <w:tabs>
          <w:tab w:leader="none" w:pos="1243" w:val="left"/>
        </w:tabs>
        <w:numPr>
          <w:ilvl w:val="2"/>
          <w:numId w:val="184"/>
        </w:numPr>
        <w:rPr>
          <w:rFonts w:ascii="Arial" w:cs="Arial" w:eastAsia="Arial" w:hAnsi="Arial"/>
          <w:sz w:val="14"/>
          <w:szCs w:val="14"/>
          <w:color w:val="auto"/>
        </w:rPr>
      </w:pPr>
      <w:r>
        <w:rPr>
          <w:rFonts w:ascii="Arial" w:cs="Arial" w:eastAsia="Arial" w:hAnsi="Arial"/>
          <w:sz w:val="14"/>
          <w:szCs w:val="14"/>
          <w:u w:val="single" w:color="auto"/>
          <w:color w:val="auto"/>
        </w:rPr>
        <w:t>Section 409A</w:t>
      </w:r>
      <w:r>
        <w:rPr>
          <w:rFonts w:ascii="Arial" w:cs="Arial" w:eastAsia="Arial" w:hAnsi="Arial"/>
          <w:sz w:val="14"/>
          <w:szCs w:val="14"/>
          <w:color w:val="auto"/>
        </w:rPr>
        <w:t>. It is the intent of this Award Agreement that it and all payments and benefits to U.S. taxpayers hereunder be exempt from, or comply with, the requirements of Section 409A so that none of the Restricted Stock Units provided under this Award Agreement or Shares issuable thereunder will be subject to the additional tax imposed under Section 409A, and any ambiguities herein will be interpreted to be so exempt or so comply. Each payment payable under this Award Agreement is intended to constitute a separate payment for purposes of Treasury Regulation Section 1.409A-2(b)(2). However, in no event will the Company reimburse Participant, or be otherwise responsible for, any taxes or costs that may be imposed on Participant as a result of Section 409A. For purposes of this Award Agreement, “Section 409A” means Section 409A of the Code, and any final Treasury Regulations and Internal Revenue Service guidance thereunder, as each may be amended from time to time.</w:t>
      </w:r>
    </w:p>
    <w:p>
      <w:pPr>
        <w:spacing w:after="0" w:line="148" w:lineRule="exact"/>
        <w:rPr>
          <w:rFonts w:ascii="Arial" w:cs="Arial" w:eastAsia="Arial" w:hAnsi="Arial"/>
          <w:sz w:val="14"/>
          <w:szCs w:val="14"/>
          <w:color w:val="auto"/>
        </w:rPr>
      </w:pPr>
    </w:p>
    <w:p>
      <w:pPr>
        <w:ind w:left="10" w:right="80" w:firstLine="448"/>
        <w:spacing w:after="0" w:line="263" w:lineRule="auto"/>
        <w:tabs>
          <w:tab w:leader="none" w:pos="731" w:val="left"/>
        </w:tabs>
        <w:numPr>
          <w:ilvl w:val="1"/>
          <w:numId w:val="184"/>
        </w:numPr>
        <w:rPr>
          <w:rFonts w:ascii="Arial" w:cs="Arial" w:eastAsia="Arial" w:hAnsi="Arial"/>
          <w:sz w:val="15"/>
          <w:szCs w:val="15"/>
          <w:color w:val="auto"/>
        </w:rPr>
      </w:pPr>
      <w:r>
        <w:rPr>
          <w:rFonts w:ascii="Arial" w:cs="Arial" w:eastAsia="Arial" w:hAnsi="Arial"/>
          <w:sz w:val="15"/>
          <w:szCs w:val="15"/>
          <w:u w:val="single" w:color="auto"/>
          <w:color w:val="auto"/>
        </w:rPr>
        <w:t>Forfeiture Upon Termination as a Service Provider</w:t>
      </w:r>
      <w:r>
        <w:rPr>
          <w:rFonts w:ascii="Arial" w:cs="Arial" w:eastAsia="Arial" w:hAnsi="Arial"/>
          <w:sz w:val="15"/>
          <w:szCs w:val="15"/>
          <w:color w:val="auto"/>
        </w:rPr>
        <w:t>. Notwithstanding any contrary provision of this Award Agreement, if Participant ceases to be a Service Provider for any or no reason, the then-unvested Restricted Stock Units awarded by this Award Agreement will thereupon be forfeited at no cost to the Company and Participant will have no further rights thereunder.</w:t>
      </w:r>
    </w:p>
    <w:p>
      <w:pPr>
        <w:spacing w:after="0" w:line="154" w:lineRule="exact"/>
        <w:rPr>
          <w:rFonts w:ascii="Arial" w:cs="Arial" w:eastAsia="Arial" w:hAnsi="Arial"/>
          <w:sz w:val="15"/>
          <w:szCs w:val="15"/>
          <w:color w:val="auto"/>
        </w:rPr>
      </w:pPr>
    </w:p>
    <w:p>
      <w:pPr>
        <w:ind w:left="10" w:firstLine="448"/>
        <w:spacing w:after="0" w:line="259" w:lineRule="auto"/>
        <w:tabs>
          <w:tab w:leader="none" w:pos="731" w:val="left"/>
        </w:tabs>
        <w:numPr>
          <w:ilvl w:val="1"/>
          <w:numId w:val="184"/>
        </w:numPr>
        <w:rPr>
          <w:rFonts w:ascii="Arial" w:cs="Arial" w:eastAsia="Arial" w:hAnsi="Arial"/>
          <w:sz w:val="15"/>
          <w:szCs w:val="15"/>
          <w:color w:val="auto"/>
        </w:rPr>
      </w:pPr>
      <w:r>
        <w:rPr>
          <w:rFonts w:ascii="Arial" w:cs="Arial" w:eastAsia="Arial" w:hAnsi="Arial"/>
          <w:sz w:val="15"/>
          <w:szCs w:val="15"/>
          <w:u w:val="single" w:color="auto"/>
          <w:color w:val="auto"/>
        </w:rPr>
        <w:t>Tax Consequences</w:t>
      </w:r>
      <w:r>
        <w:rPr>
          <w:rFonts w:ascii="Arial" w:cs="Arial" w:eastAsia="Arial" w:hAnsi="Arial"/>
          <w:sz w:val="15"/>
          <w:szCs w:val="15"/>
          <w:color w:val="auto"/>
        </w:rPr>
        <w:t>. Participant has reviewed with his or her own tax advisors the U.S. federal, state, local and non-U.S. tax consequences of this investment and the transactions contemplated by this Award Agreement. With respect to such matters, Participant relies solely on such advisors and not on any statements or representations of the Company or any of its agents, written or oral. Participant understands that Participant (and not the Company) shall be responsible for Participant’s own tax liability that may arise as a result of this investment or the transactions contemplated by this Award Agreement.</w:t>
      </w:r>
    </w:p>
    <w:p>
      <w:pPr>
        <w:spacing w:after="0" w:line="157" w:lineRule="exact"/>
        <w:rPr>
          <w:rFonts w:ascii="Arial" w:cs="Arial" w:eastAsia="Arial" w:hAnsi="Arial"/>
          <w:sz w:val="15"/>
          <w:szCs w:val="15"/>
          <w:color w:val="auto"/>
        </w:rPr>
      </w:pPr>
    </w:p>
    <w:p>
      <w:pPr>
        <w:jc w:val="both"/>
        <w:ind w:left="10" w:right="100" w:firstLine="448"/>
        <w:spacing w:after="0" w:line="322" w:lineRule="auto"/>
        <w:tabs>
          <w:tab w:leader="none" w:pos="731" w:val="left"/>
        </w:tabs>
        <w:numPr>
          <w:ilvl w:val="1"/>
          <w:numId w:val="184"/>
        </w:numPr>
        <w:rPr>
          <w:rFonts w:ascii="Arial" w:cs="Arial" w:eastAsia="Arial" w:hAnsi="Arial"/>
          <w:sz w:val="13"/>
          <w:szCs w:val="13"/>
          <w:color w:val="auto"/>
        </w:rPr>
      </w:pPr>
      <w:r>
        <w:rPr>
          <w:rFonts w:ascii="Arial" w:cs="Arial" w:eastAsia="Arial" w:hAnsi="Arial"/>
          <w:sz w:val="13"/>
          <w:szCs w:val="13"/>
          <w:u w:val="single" w:color="auto"/>
          <w:color w:val="auto"/>
        </w:rPr>
        <w:t>Death of Participant</w:t>
      </w:r>
      <w:r>
        <w:rPr>
          <w:rFonts w:ascii="Arial" w:cs="Arial" w:eastAsia="Arial" w:hAnsi="Arial"/>
          <w:sz w:val="13"/>
          <w:szCs w:val="13"/>
          <w:color w:val="auto"/>
        </w:rPr>
        <w:t>. Any distribution or delivery to be made to Participant under this Award Agreement will, if Participant is then deceased, be made to Participant’s designated beneficiary, or if no beneficiary survives Participant, the administrator or executor of Participant’s estate. Any such transferee must furnish the Company with (a) written notice of his or her status as transferee, and (b) evidence satisfactory to the Company to establish the validity of the transfer and compliance with any laws or regulations pertaining to said transfer.</w:t>
      </w:r>
    </w:p>
    <w:p>
      <w:pPr>
        <w:spacing w:after="0" w:line="64" w:lineRule="exact"/>
        <w:rPr>
          <w:sz w:val="20"/>
          <w:szCs w:val="20"/>
          <w:color w:val="auto"/>
        </w:rPr>
      </w:pPr>
    </w:p>
    <w:p>
      <w:pPr>
        <w:jc w:val="center"/>
        <w:ind w:right="-9"/>
        <w:spacing w:after="0"/>
        <w:rPr>
          <w:sz w:val="20"/>
          <w:szCs w:val="20"/>
          <w:color w:val="auto"/>
        </w:rPr>
      </w:pPr>
      <w:r>
        <w:rPr>
          <w:rFonts w:ascii="Arial" w:cs="Arial" w:eastAsia="Arial" w:hAnsi="Arial"/>
          <w:sz w:val="15"/>
          <w:szCs w:val="15"/>
          <w:color w:val="auto"/>
        </w:rPr>
        <w:t>-2-</w:t>
      </w:r>
    </w:p>
    <w:p>
      <w:pPr>
        <w:sectPr>
          <w:pgSz w:w="11900" w:h="16838" w:orient="portrait"/>
          <w:cols w:equalWidth="0" w:num="1">
            <w:col w:w="11450"/>
          </w:cols>
          <w:pgMar w:left="230" w:top="253" w:right="219" w:bottom="1440" w:gutter="0" w:footer="0" w:header="0"/>
        </w:sectPr>
      </w:pPr>
    </w:p>
    <w:bookmarkStart w:id="295" w:name="page296"/>
    <w:bookmarkEnd w:id="295"/>
    <w:p>
      <w:pPr>
        <w:ind w:left="730" w:hanging="272"/>
        <w:spacing w:after="0"/>
        <w:tabs>
          <w:tab w:leader="none" w:pos="730" w:val="left"/>
        </w:tabs>
        <w:numPr>
          <w:ilvl w:val="1"/>
          <w:numId w:val="185"/>
        </w:numPr>
        <w:rPr>
          <w:rFonts w:ascii="Arial" w:cs="Arial" w:eastAsia="Arial" w:hAnsi="Arial"/>
          <w:sz w:val="15"/>
          <w:szCs w:val="15"/>
          <w:color w:val="auto"/>
        </w:rPr>
      </w:pPr>
      <w:r>
        <w:rPr>
          <w:rFonts w:ascii="Arial" w:cs="Arial" w:eastAsia="Arial" w:hAnsi="Arial"/>
          <w:sz w:val="15"/>
          <w:szCs w:val="15"/>
          <w:u w:val="single" w:color="auto"/>
          <w:color w:val="auto"/>
        </w:rPr>
        <w:drawing>
          <wp:anchor simplePos="0" relativeHeight="251657728" behindDoc="1" locked="0" layoutInCell="0" allowOverlap="1">
            <wp:simplePos x="0" y="0"/>
            <wp:positionH relativeFrom="page">
              <wp:posOffset>133350</wp:posOffset>
            </wp:positionH>
            <wp:positionV relativeFrom="page">
              <wp:posOffset>88900</wp:posOffset>
            </wp:positionV>
            <wp:extent cx="7308850" cy="34290"/>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59">
                      <a:extLst>
                        <a:ext uri="{28A0092B-C50C-407E-A947-70E740481C1C}"/>
                      </a:extLst>
                    </a:blip>
                    <a:srcRect/>
                    <a:stretch>
                      <a:fillRect/>
                    </a:stretch>
                  </pic:blipFill>
                  <pic:spPr bwMode="auto">
                    <a:xfrm>
                      <a:off x="0" y="0"/>
                      <a:ext cx="7308850" cy="34290"/>
                    </a:xfrm>
                    <a:prstGeom prst="rect">
                      <a:avLst/>
                    </a:prstGeom>
                    <a:noFill/>
                  </pic:spPr>
                </pic:pic>
              </a:graphicData>
            </a:graphic>
          </wp:anchor>
        </w:drawing>
        <w:t>Tax Obligations</w:t>
      </w:r>
    </w:p>
    <w:p>
      <w:pPr>
        <w:spacing w:after="0" w:line="188" w:lineRule="exact"/>
        <w:rPr>
          <w:rFonts w:ascii="Arial" w:cs="Arial" w:eastAsia="Arial" w:hAnsi="Arial"/>
          <w:sz w:val="15"/>
          <w:szCs w:val="15"/>
          <w:color w:val="auto"/>
        </w:rPr>
      </w:pPr>
    </w:p>
    <w:p>
      <w:pPr>
        <w:ind w:left="10" w:right="40" w:firstLine="906"/>
        <w:spacing w:after="0" w:line="292" w:lineRule="auto"/>
        <w:tabs>
          <w:tab w:leader="none" w:pos="1243" w:val="left"/>
        </w:tabs>
        <w:numPr>
          <w:ilvl w:val="2"/>
          <w:numId w:val="185"/>
        </w:numPr>
        <w:rPr>
          <w:rFonts w:ascii="Arial" w:cs="Arial" w:eastAsia="Arial" w:hAnsi="Arial"/>
          <w:sz w:val="13"/>
          <w:szCs w:val="13"/>
          <w:color w:val="auto"/>
        </w:rPr>
      </w:pPr>
      <w:r>
        <w:rPr>
          <w:rFonts w:ascii="Arial" w:cs="Arial" w:eastAsia="Arial" w:hAnsi="Arial"/>
          <w:sz w:val="13"/>
          <w:szCs w:val="13"/>
          <w:u w:val="single" w:color="auto"/>
          <w:color w:val="auto"/>
        </w:rPr>
        <w:t>Responsibility for Taxes</w:t>
      </w:r>
      <w:r>
        <w:rPr>
          <w:rFonts w:ascii="Arial" w:cs="Arial" w:eastAsia="Arial" w:hAnsi="Arial"/>
          <w:sz w:val="13"/>
          <w:szCs w:val="13"/>
          <w:color w:val="auto"/>
        </w:rPr>
        <w:t>. Participant acknowledges that, regardless of any action taken by the Company or, if different, Participant’s employer (the “Employer”) or Parent or Subsidiary to which Participant is providing services (together, the Company, Employer and/or Parent or Subsidiary to which the Participant is providing services, the “Service Recipient”), the ultimate liability for any tax and/or social insurance liability obligations and requirements in connection with the Restricted Stock Units, including, without limitation, (i) all federal, state, and local taxes (including the Participant’s Federal Insurance Contributions Act (FICA) obligation) that are required to be withheld by the Company or the Employer or other payment of tax-related items related to Participant’s participation in the Plan and legally applicable to Participant, (ii) the Participant’s and, to the extent required by the Company (or Service Recipient), the Company’s (or Service Recipient’s) fringe benefit tax liability, if any, associated with the grant, vesting, or settlement of the Restricted Stock Units or sale of Shares, and</w:t>
      </w:r>
    </w:p>
    <w:p>
      <w:pPr>
        <w:ind w:left="10" w:hanging="10"/>
        <w:spacing w:after="0" w:line="272" w:lineRule="auto"/>
        <w:tabs>
          <w:tab w:leader="none" w:pos="273" w:val="left"/>
        </w:tabs>
        <w:numPr>
          <w:ilvl w:val="0"/>
          <w:numId w:val="186"/>
        </w:numPr>
        <w:rPr>
          <w:rFonts w:ascii="Arial" w:cs="Arial" w:eastAsia="Arial" w:hAnsi="Arial"/>
          <w:sz w:val="14"/>
          <w:szCs w:val="14"/>
          <w:color w:val="auto"/>
        </w:rPr>
      </w:pPr>
      <w:r>
        <w:rPr>
          <w:rFonts w:ascii="Arial" w:cs="Arial" w:eastAsia="Arial" w:hAnsi="Arial"/>
          <w:sz w:val="14"/>
          <w:szCs w:val="14"/>
          <w:color w:val="auto"/>
        </w:rPr>
        <w:t>any other Company (or Service Recipient) taxes the responsibility for which the Participant has, or has agreed to bear, with respect to the Restricted Stock Units (or settlement thereof or issuance of Shares thereunder) (collectively, the “Tax Obligations”), is and remains Participant’s responsibility and may exceed the amount actually withheld by the Company or the Service Recipient. Participant further acknowledges that the Company and/or the Service Recipient (A) make no representations or undertakings regarding the treatment of any Tax Obligations in connection with any aspect of the Restricted Stock Units, including, but not limited to, the grant, vesting or settlement of the Restricted Stock Units, the subsequent sale of Shares acquired pursuant to such settlement and the receipt of any dividends or other distributions, and (B) do not commit to and are under no obligation to structure the terms of the grant or any aspect of the Restricted Stock Units to reduce or eliminate Participant’s liability for Tax Obligations or achieve any particular tax result. Further, if Participant is subject to Tax Obligations in more than one jurisdiction between the Date of Grant and the date of any relevant taxable or tax withholding event, as applicable, Participant acknowledges that the Company and/or the Service Recipient (or former employer, as applicable) may be required to withhold or account for Tax Obligations in more than one jurisdiction. If Participant fails to make satisfactory arrangements for the payment of any required Tax Obligations hereunder at the time of the applicable taxable event, Participant acknowledges and agrees that the Company may refuse to issue or deliver the Shares.</w:t>
      </w:r>
    </w:p>
    <w:p>
      <w:pPr>
        <w:spacing w:after="0" w:line="150" w:lineRule="exact"/>
        <w:rPr>
          <w:rFonts w:ascii="Arial" w:cs="Arial" w:eastAsia="Arial" w:hAnsi="Arial"/>
          <w:sz w:val="14"/>
          <w:szCs w:val="14"/>
          <w:color w:val="auto"/>
        </w:rPr>
      </w:pPr>
    </w:p>
    <w:p>
      <w:pPr>
        <w:ind w:left="10" w:right="80" w:firstLine="906"/>
        <w:spacing w:after="0" w:line="254" w:lineRule="auto"/>
        <w:tabs>
          <w:tab w:leader="none" w:pos="1251" w:val="left"/>
        </w:tabs>
        <w:numPr>
          <w:ilvl w:val="2"/>
          <w:numId w:val="186"/>
        </w:numPr>
        <w:rPr>
          <w:rFonts w:ascii="Arial" w:cs="Arial" w:eastAsia="Arial" w:hAnsi="Arial"/>
          <w:sz w:val="15"/>
          <w:szCs w:val="15"/>
          <w:color w:val="auto"/>
        </w:rPr>
      </w:pPr>
      <w:r>
        <w:rPr>
          <w:rFonts w:ascii="Arial" w:cs="Arial" w:eastAsia="Arial" w:hAnsi="Arial"/>
          <w:sz w:val="15"/>
          <w:szCs w:val="15"/>
          <w:u w:val="single" w:color="auto"/>
          <w:color w:val="auto"/>
        </w:rPr>
        <w:t>Tax Withholding</w:t>
      </w:r>
      <w:r>
        <w:rPr>
          <w:rFonts w:ascii="Arial" w:cs="Arial" w:eastAsia="Arial" w:hAnsi="Arial"/>
          <w:sz w:val="15"/>
          <w:szCs w:val="15"/>
          <w:color w:val="auto"/>
        </w:rPr>
        <w:t>. When Shares are issued as payment for vested Restricted Stock Units, Participant generally will recognize immediate U.S. taxable income if Participant is a U.S. taxpayer. If Participant is a non-U.S. taxpayer, Participant will be subject to applicable taxes in his or her jurisdiction. Pursuant to such procedures as the Administrator may specify from time to time, the Company and/or Service Recipient shall withhold the amount required to be withheld for the payment of Tax Obligations. The Administrator, in its sole discretion and pursuant to such procedures as it may specify from time to time, may permit Participant to satisfy such Tax Obligations, in whole or in part (without limitation), if permissible by applicable local law, by (i) paying cash, (ii) electing to have the Company withhold otherwise deliverable Shares having a fair market value equal to the minimum amount that is necessary to meet the withholding requirement for such Tax Obligations (or such greater amount as Participant may elect if permitted by the Administrator, if such greater amount would not result in adverse financial accounting consequences), (iii) withholding the amount of such Tax Obligations from Participant’s wages or other cash compensation paid to Participant by the Company and/or the Service Recipient,</w:t>
      </w:r>
    </w:p>
    <w:p>
      <w:pPr>
        <w:spacing w:after="0" w:line="107" w:lineRule="exact"/>
        <w:rPr>
          <w:sz w:val="20"/>
          <w:szCs w:val="20"/>
          <w:color w:val="auto"/>
        </w:rPr>
      </w:pPr>
    </w:p>
    <w:p>
      <w:pPr>
        <w:jc w:val="center"/>
        <w:ind w:right="-9"/>
        <w:spacing w:after="0"/>
        <w:rPr>
          <w:sz w:val="20"/>
          <w:szCs w:val="20"/>
          <w:color w:val="auto"/>
        </w:rPr>
      </w:pPr>
      <w:r>
        <w:rPr>
          <w:rFonts w:ascii="Arial" w:cs="Arial" w:eastAsia="Arial" w:hAnsi="Arial"/>
          <w:sz w:val="15"/>
          <w:szCs w:val="15"/>
          <w:color w:val="auto"/>
        </w:rPr>
        <w:t>-3-</w:t>
      </w:r>
    </w:p>
    <w:p>
      <w:pPr>
        <w:sectPr>
          <w:pgSz w:w="11900" w:h="16838" w:orient="portrait"/>
          <w:cols w:equalWidth="0" w:num="1">
            <w:col w:w="11450"/>
          </w:cols>
          <w:pgMar w:left="230" w:top="253" w:right="219" w:bottom="1440" w:gutter="0" w:footer="0" w:header="0"/>
        </w:sectPr>
      </w:pPr>
    </w:p>
    <w:bookmarkStart w:id="296" w:name="page297"/>
    <w:bookmarkEnd w:id="296"/>
    <w:p>
      <w:pPr>
        <w:ind w:left="10" w:right="40" w:hanging="10"/>
        <w:spacing w:after="0" w:line="253" w:lineRule="auto"/>
        <w:tabs>
          <w:tab w:leader="none" w:pos="264" w:val="left"/>
        </w:tabs>
        <w:numPr>
          <w:ilvl w:val="0"/>
          <w:numId w:val="187"/>
        </w:numPr>
        <w:rPr>
          <w:rFonts w:ascii="Arial" w:cs="Arial" w:eastAsia="Arial" w:hAnsi="Arial"/>
          <w:sz w:val="15"/>
          <w:szCs w:val="15"/>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133350</wp:posOffset>
            </wp:positionH>
            <wp:positionV relativeFrom="page">
              <wp:posOffset>88900</wp:posOffset>
            </wp:positionV>
            <wp:extent cx="7308850" cy="34290"/>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60">
                      <a:extLst>
                        <a:ext uri="{28A0092B-C50C-407E-A947-70E740481C1C}"/>
                      </a:extLst>
                    </a:blip>
                    <a:srcRect/>
                    <a:stretch>
                      <a:fillRect/>
                    </a:stretch>
                  </pic:blipFill>
                  <pic:spPr bwMode="auto">
                    <a:xfrm>
                      <a:off x="0" y="0"/>
                      <a:ext cx="7308850" cy="34290"/>
                    </a:xfrm>
                    <a:prstGeom prst="rect">
                      <a:avLst/>
                    </a:prstGeom>
                    <a:noFill/>
                  </pic:spPr>
                </pic:pic>
              </a:graphicData>
            </a:graphic>
          </wp:anchor>
        </w:drawing>
        <w:t>delivering to the Company already vested and owned Shares having a fair market value equal to such Tax Obligations, or (v) selling a sufficient number of such Shares otherwise deliverable to Participant through such means as the Company may determine in its sole discretion (whether through a broker or otherwise) equal to the minimum amount that is necessary to meet the withholding requirement for such Tax Obligations (or such greater amount as Participant may elect if permitted by the Administrator, if such greater amount would not result in adverse financial accounting consequences). To the extent determined appropriate by the Company in its discretion, it will have the right (but not the obligation) to satisfy any Tax Obligations by reducing the number of Shares otherwise deliverable to Participant and, until determined otherwise by the Company, this will be the method by which such Tax Obligations are satisfied. Further, if Participant is subject to tax in more than one jurisdiction between the Date of Grant and a date of any relevant taxable or tax withholding event, as applicable, Participant acknowledges and agrees that the Company and/or the Service Recipient (and/or former employer, as applicable) may be required to withhold or account for tax in more than one jurisdiction. If Participant fails to make satisfactory arrangements for the payment of such Tax Obligations hereunder at the time any applicable Restricted Stock Units otherwise are scheduled to vest pursuant to Sections 3 or 4, Participant will permanently forfeit such Restricted Stock Units and any right to receive Shares thereunder and such Restricted Stock Units will be returned to the Company at no cost to the Company. Participant acknowledges and agrees that the Company may refuse to deliver the Shares if such Tax Obligations are not delivered at the time they are due.</w:t>
      </w:r>
    </w:p>
    <w:p>
      <w:pPr>
        <w:spacing w:after="0" w:line="165" w:lineRule="exact"/>
        <w:rPr>
          <w:rFonts w:ascii="Arial" w:cs="Arial" w:eastAsia="Arial" w:hAnsi="Arial"/>
          <w:sz w:val="15"/>
          <w:szCs w:val="15"/>
          <w:color w:val="auto"/>
        </w:rPr>
      </w:pPr>
    </w:p>
    <w:p>
      <w:pPr>
        <w:ind w:left="10" w:right="260" w:firstLine="448"/>
        <w:spacing w:after="0" w:line="311" w:lineRule="auto"/>
        <w:tabs>
          <w:tab w:leader="none" w:pos="731" w:val="left"/>
        </w:tabs>
        <w:numPr>
          <w:ilvl w:val="1"/>
          <w:numId w:val="187"/>
        </w:numPr>
        <w:rPr>
          <w:rFonts w:ascii="Arial" w:cs="Arial" w:eastAsia="Arial" w:hAnsi="Arial"/>
          <w:sz w:val="13"/>
          <w:szCs w:val="13"/>
          <w:color w:val="auto"/>
        </w:rPr>
      </w:pPr>
      <w:r>
        <w:rPr>
          <w:rFonts w:ascii="Arial" w:cs="Arial" w:eastAsia="Arial" w:hAnsi="Arial"/>
          <w:sz w:val="13"/>
          <w:szCs w:val="13"/>
          <w:u w:val="single" w:color="auto"/>
          <w:color w:val="auto"/>
        </w:rPr>
        <w:t>Rights as Stockholder</w:t>
      </w:r>
      <w:r>
        <w:rPr>
          <w:rFonts w:ascii="Arial" w:cs="Arial" w:eastAsia="Arial" w:hAnsi="Arial"/>
          <w:sz w:val="13"/>
          <w:szCs w:val="13"/>
          <w:color w:val="auto"/>
        </w:rPr>
        <w:t>. Neither Participant nor any person claiming under or through Participant will have any of the rights or privileges of a stockholder of the Company in respect of any Shares deliverable hereunder unless and until certificates representing such Shares (which may be in book entry form) will have been issued, recorded on the records of the Company or its transfer agents or registrars, and delivered to Participant (including through electronic delivery to a brokerage account). After such issuance, recordation, and delivery, Participant will have all the rights of a stockholder of the Company with respect to voting such Shares and receipt of dividends and distributions on such Shares.</w:t>
      </w:r>
    </w:p>
    <w:p>
      <w:pPr>
        <w:spacing w:after="0" w:line="127" w:lineRule="exact"/>
        <w:rPr>
          <w:rFonts w:ascii="Arial" w:cs="Arial" w:eastAsia="Arial" w:hAnsi="Arial"/>
          <w:sz w:val="13"/>
          <w:szCs w:val="13"/>
          <w:color w:val="auto"/>
        </w:rPr>
      </w:pPr>
    </w:p>
    <w:p>
      <w:pPr>
        <w:ind w:left="10" w:firstLine="448"/>
        <w:spacing w:after="0" w:line="254" w:lineRule="auto"/>
        <w:tabs>
          <w:tab w:leader="none" w:pos="806" w:val="left"/>
        </w:tabs>
        <w:numPr>
          <w:ilvl w:val="1"/>
          <w:numId w:val="187"/>
        </w:numPr>
        <w:rPr>
          <w:rFonts w:ascii="Arial" w:cs="Arial" w:eastAsia="Arial" w:hAnsi="Arial"/>
          <w:sz w:val="15"/>
          <w:szCs w:val="15"/>
          <w:color w:val="auto"/>
        </w:rPr>
      </w:pPr>
      <w:r>
        <w:rPr>
          <w:rFonts w:ascii="Arial" w:cs="Arial" w:eastAsia="Arial" w:hAnsi="Arial"/>
          <w:sz w:val="15"/>
          <w:szCs w:val="15"/>
          <w:u w:val="single" w:color="auto"/>
          <w:color w:val="auto"/>
        </w:rPr>
        <w:t>No Guarantee of Continued Service</w:t>
      </w:r>
      <w:r>
        <w:rPr>
          <w:rFonts w:ascii="Arial" w:cs="Arial" w:eastAsia="Arial" w:hAnsi="Arial"/>
          <w:sz w:val="15"/>
          <w:szCs w:val="15"/>
          <w:color w:val="auto"/>
        </w:rPr>
        <w:t>. PARTICIPANT ACKNOWLEDGES AND AGREES THAT THE VESTING OF THE RESTRICTED STOCK UNITS PURSUANT TO THE VESTING SCHEDULE HEREOF IS EARNED ONLY BY CONTINUING AS A SERVICE PROVIDER, WHICH UNLESS PROVIDED OTHERWISE UNDER APPLICABLE LAW IS AT THE WILL OF THE COMPANY (OR THE SERVICE RECIPIENT) AND NOT THROUGH THE ACT OF BEING HIRED, BEING GRANTED THIS RESTRICTED STOCK UNIT AWARD OR ACQUIRING SHARES HEREUNDER. PARTICIPANT FURTHER ACKNOWLEDGES AND AGREES THAT THIS AWARD AGREEMENT, THE TRANSACTIONS CONTEMPLATED HEREUNDER AND THE VESTING SCHEDULE SET FORTH HEREIN DO NOT CONSTITUTE AN EXPRESS OR IMPLIED PROMISE OF CONTINUED ENGAGEMENT AS A SERVICE PROVIDER FOR THE VESTING PERIOD, FOR ANY PERIOD, OR AT ALL, AND SHALL NOT INTERFERE IN ANY WAY WITH PARTICIPANT’S RIGHT OR THE RIGHT OF THE COMPANY (OR THE SERVICE RECIPIENT) TO TERMINATE PARTICIPANT’S RELATIONSHIP AS A SERVICE PROVIDER, SUBJECT TO APPLICABLE LAW, WHICH TERMINATION, UNLESS PROVIDED OTHERWISE UNDER APPLICABLE LAW, MAY BE AT ANY TIME, WITH OR WITHOUT CAUSE.</w:t>
      </w:r>
    </w:p>
    <w:p>
      <w:pPr>
        <w:spacing w:after="0" w:line="105" w:lineRule="exact"/>
        <w:rPr>
          <w:sz w:val="20"/>
          <w:szCs w:val="20"/>
          <w:color w:val="auto"/>
        </w:rPr>
      </w:pPr>
    </w:p>
    <w:p>
      <w:pPr>
        <w:jc w:val="center"/>
        <w:ind w:right="-9"/>
        <w:spacing w:after="0"/>
        <w:rPr>
          <w:sz w:val="20"/>
          <w:szCs w:val="20"/>
          <w:color w:val="auto"/>
        </w:rPr>
      </w:pPr>
      <w:r>
        <w:rPr>
          <w:rFonts w:ascii="Arial" w:cs="Arial" w:eastAsia="Arial" w:hAnsi="Arial"/>
          <w:sz w:val="15"/>
          <w:szCs w:val="15"/>
          <w:color w:val="auto"/>
        </w:rPr>
        <w:t>-4-</w:t>
      </w:r>
    </w:p>
    <w:p>
      <w:pPr>
        <w:sectPr>
          <w:pgSz w:w="11900" w:h="16838" w:orient="portrait"/>
          <w:cols w:equalWidth="0" w:num="1">
            <w:col w:w="11450"/>
          </w:cols>
          <w:pgMar w:left="230" w:top="253" w:right="219" w:bottom="1440" w:gutter="0" w:footer="0" w:header="0"/>
        </w:sectPr>
      </w:pPr>
    </w:p>
    <w:bookmarkStart w:id="297" w:name="page298"/>
    <w:bookmarkEnd w:id="297"/>
    <w:p>
      <w:pPr>
        <w:ind w:left="-20" w:right="60" w:firstLine="448"/>
        <w:spacing w:after="0" w:line="259" w:lineRule="auto"/>
        <w:tabs>
          <w:tab w:leader="none" w:pos="770" w:val="left"/>
        </w:tabs>
        <w:numPr>
          <w:ilvl w:val="0"/>
          <w:numId w:val="188"/>
        </w:numPr>
        <w:rPr>
          <w:rFonts w:ascii="Arial" w:cs="Arial" w:eastAsia="Arial" w:hAnsi="Arial"/>
          <w:sz w:val="15"/>
          <w:szCs w:val="15"/>
          <w:color w:val="auto"/>
        </w:rPr>
      </w:pPr>
      <w:r>
        <w:rPr>
          <w:rFonts w:ascii="Arial" w:cs="Arial" w:eastAsia="Arial" w:hAnsi="Arial"/>
          <w:sz w:val="15"/>
          <w:szCs w:val="15"/>
          <w:u w:val="single" w:color="auto"/>
          <w:color w:val="auto"/>
        </w:rPr>
        <w:drawing>
          <wp:anchor simplePos="0" relativeHeight="251657728" behindDoc="1" locked="0" layoutInCell="0" allowOverlap="1">
            <wp:simplePos x="0" y="0"/>
            <wp:positionH relativeFrom="page">
              <wp:posOffset>133350</wp:posOffset>
            </wp:positionH>
            <wp:positionV relativeFrom="page">
              <wp:posOffset>88900</wp:posOffset>
            </wp:positionV>
            <wp:extent cx="7308850" cy="34290"/>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61">
                      <a:extLst>
                        <a:ext uri="{28A0092B-C50C-407E-A947-70E740481C1C}"/>
                      </a:extLst>
                    </a:blip>
                    <a:srcRect/>
                    <a:stretch>
                      <a:fillRect/>
                    </a:stretch>
                  </pic:blipFill>
                  <pic:spPr bwMode="auto">
                    <a:xfrm>
                      <a:off x="0" y="0"/>
                      <a:ext cx="7308850" cy="34290"/>
                    </a:xfrm>
                    <a:prstGeom prst="rect">
                      <a:avLst/>
                    </a:prstGeom>
                    <a:noFill/>
                  </pic:spPr>
                </pic:pic>
              </a:graphicData>
            </a:graphic>
          </wp:anchor>
        </w:drawing>
        <w:t>Grant is Not Transferable</w:t>
      </w:r>
      <w:r>
        <w:rPr>
          <w:rFonts w:ascii="Arial" w:cs="Arial" w:eastAsia="Arial" w:hAnsi="Arial"/>
          <w:sz w:val="15"/>
          <w:szCs w:val="15"/>
          <w:color w:val="auto"/>
        </w:rPr>
        <w:t>. Except to the limited extent provided in Section 7, this grant and the rights and privileges conferred hereby will not be transferred, assigned, pledged or hypothecated in any way (whether by operation of law or otherwise) and will not be subject to sale under execution, attachment or similar process. Upon any attempt to transfer, assign, pledge, hypothecate or otherwise dispose of this grant, or any right or privilege conferred hereby, or upon any attempted sale under any execution, attachment or similar process, this grant and the rights and privileges conferred hereby immediately will become null and void.</w:t>
      </w:r>
    </w:p>
    <w:p>
      <w:pPr>
        <w:spacing w:after="0" w:line="157" w:lineRule="exact"/>
        <w:rPr>
          <w:rFonts w:ascii="Arial" w:cs="Arial" w:eastAsia="Arial" w:hAnsi="Arial"/>
          <w:sz w:val="15"/>
          <w:szCs w:val="15"/>
          <w:color w:val="auto"/>
        </w:rPr>
      </w:pPr>
    </w:p>
    <w:p>
      <w:pPr>
        <w:ind w:left="760" w:hanging="332"/>
        <w:spacing w:after="0"/>
        <w:tabs>
          <w:tab w:leader="none" w:pos="760" w:val="left"/>
        </w:tabs>
        <w:numPr>
          <w:ilvl w:val="0"/>
          <w:numId w:val="188"/>
        </w:numPr>
        <w:rPr>
          <w:rFonts w:ascii="Arial" w:cs="Arial" w:eastAsia="Arial" w:hAnsi="Arial"/>
          <w:sz w:val="15"/>
          <w:szCs w:val="15"/>
          <w:color w:val="auto"/>
        </w:rPr>
      </w:pPr>
      <w:r>
        <w:rPr>
          <w:rFonts w:ascii="Arial" w:cs="Arial" w:eastAsia="Arial" w:hAnsi="Arial"/>
          <w:sz w:val="15"/>
          <w:szCs w:val="15"/>
          <w:u w:val="single" w:color="auto"/>
          <w:color w:val="auto"/>
        </w:rPr>
        <w:t>Nature of Grant</w:t>
      </w:r>
      <w:r>
        <w:rPr>
          <w:rFonts w:ascii="Arial" w:cs="Arial" w:eastAsia="Arial" w:hAnsi="Arial"/>
          <w:sz w:val="15"/>
          <w:szCs w:val="15"/>
          <w:color w:val="auto"/>
        </w:rPr>
        <w:t>. In accepting the grant, Participant acknowledges, understands, and agrees that:</w:t>
      </w:r>
    </w:p>
    <w:p>
      <w:pPr>
        <w:spacing w:after="0" w:line="188" w:lineRule="exact"/>
        <w:rPr>
          <w:rFonts w:ascii="Arial" w:cs="Arial" w:eastAsia="Arial" w:hAnsi="Arial"/>
          <w:sz w:val="15"/>
          <w:szCs w:val="15"/>
          <w:color w:val="auto"/>
        </w:rPr>
      </w:pPr>
    </w:p>
    <w:p>
      <w:pPr>
        <w:ind w:left="-20" w:right="20" w:firstLine="906"/>
        <w:spacing w:after="0" w:line="275" w:lineRule="auto"/>
        <w:tabs>
          <w:tab w:leader="none" w:pos="1213" w:val="left"/>
        </w:tabs>
        <w:numPr>
          <w:ilvl w:val="1"/>
          <w:numId w:val="188"/>
        </w:numPr>
        <w:rPr>
          <w:rFonts w:ascii="Arial" w:cs="Arial" w:eastAsia="Arial" w:hAnsi="Arial"/>
          <w:sz w:val="15"/>
          <w:szCs w:val="15"/>
          <w:color w:val="auto"/>
        </w:rPr>
      </w:pPr>
      <w:r>
        <w:rPr>
          <w:rFonts w:ascii="Arial" w:cs="Arial" w:eastAsia="Arial" w:hAnsi="Arial"/>
          <w:sz w:val="15"/>
          <w:szCs w:val="15"/>
          <w:color w:val="auto"/>
        </w:rPr>
        <w:t>the grant of the Restricted Stock Units is voluntary and occasional and does not create any contractual or other right to receive future grants of Restricted Stock Units, or benefits in lieu of Restricted Stock Units, even if Restricted Stock Units have been granted in the past;</w:t>
      </w:r>
    </w:p>
    <w:p>
      <w:pPr>
        <w:spacing w:after="0" w:line="146" w:lineRule="exact"/>
        <w:rPr>
          <w:rFonts w:ascii="Arial" w:cs="Arial" w:eastAsia="Arial" w:hAnsi="Arial"/>
          <w:sz w:val="15"/>
          <w:szCs w:val="15"/>
          <w:color w:val="auto"/>
        </w:rPr>
      </w:pPr>
    </w:p>
    <w:p>
      <w:pPr>
        <w:ind w:left="1220" w:hanging="334"/>
        <w:spacing w:after="0"/>
        <w:tabs>
          <w:tab w:leader="none" w:pos="1220" w:val="left"/>
        </w:tabs>
        <w:numPr>
          <w:ilvl w:val="1"/>
          <w:numId w:val="188"/>
        </w:numPr>
        <w:rPr>
          <w:rFonts w:ascii="Arial" w:cs="Arial" w:eastAsia="Arial" w:hAnsi="Arial"/>
          <w:sz w:val="15"/>
          <w:szCs w:val="15"/>
          <w:color w:val="auto"/>
        </w:rPr>
      </w:pPr>
      <w:r>
        <w:rPr>
          <w:rFonts w:ascii="Arial" w:cs="Arial" w:eastAsia="Arial" w:hAnsi="Arial"/>
          <w:sz w:val="15"/>
          <w:szCs w:val="15"/>
          <w:color w:val="auto"/>
        </w:rPr>
        <w:t>all decisions with respect to future Restricted Stock Units or other grants, if any, will be at the sole discretion of the Company;</w:t>
      </w:r>
    </w:p>
    <w:p>
      <w:pPr>
        <w:spacing w:after="0" w:line="188" w:lineRule="exact"/>
        <w:rPr>
          <w:rFonts w:ascii="Arial" w:cs="Arial" w:eastAsia="Arial" w:hAnsi="Arial"/>
          <w:sz w:val="15"/>
          <w:szCs w:val="15"/>
          <w:color w:val="auto"/>
        </w:rPr>
      </w:pPr>
    </w:p>
    <w:p>
      <w:pPr>
        <w:ind w:left="1200" w:hanging="314"/>
        <w:spacing w:after="0"/>
        <w:tabs>
          <w:tab w:leader="none" w:pos="1200" w:val="left"/>
        </w:tabs>
        <w:numPr>
          <w:ilvl w:val="1"/>
          <w:numId w:val="188"/>
        </w:numPr>
        <w:rPr>
          <w:rFonts w:ascii="Arial" w:cs="Arial" w:eastAsia="Arial" w:hAnsi="Arial"/>
          <w:sz w:val="15"/>
          <w:szCs w:val="15"/>
          <w:color w:val="auto"/>
        </w:rPr>
      </w:pPr>
      <w:r>
        <w:rPr>
          <w:rFonts w:ascii="Arial" w:cs="Arial" w:eastAsia="Arial" w:hAnsi="Arial"/>
          <w:sz w:val="15"/>
          <w:szCs w:val="15"/>
          <w:color w:val="auto"/>
        </w:rPr>
        <w:t>Participant is voluntarily participating in the Plan;</w:t>
      </w:r>
    </w:p>
    <w:p>
      <w:pPr>
        <w:spacing w:after="0" w:line="188" w:lineRule="exact"/>
        <w:rPr>
          <w:rFonts w:ascii="Arial" w:cs="Arial" w:eastAsia="Arial" w:hAnsi="Arial"/>
          <w:sz w:val="15"/>
          <w:szCs w:val="15"/>
          <w:color w:val="auto"/>
        </w:rPr>
      </w:pPr>
    </w:p>
    <w:p>
      <w:pPr>
        <w:ind w:left="1220" w:hanging="334"/>
        <w:spacing w:after="0"/>
        <w:tabs>
          <w:tab w:leader="none" w:pos="1220" w:val="left"/>
        </w:tabs>
        <w:numPr>
          <w:ilvl w:val="1"/>
          <w:numId w:val="188"/>
        </w:numPr>
        <w:rPr>
          <w:rFonts w:ascii="Arial" w:cs="Arial" w:eastAsia="Arial" w:hAnsi="Arial"/>
          <w:sz w:val="15"/>
          <w:szCs w:val="15"/>
          <w:color w:val="auto"/>
        </w:rPr>
      </w:pPr>
      <w:r>
        <w:rPr>
          <w:rFonts w:ascii="Arial" w:cs="Arial" w:eastAsia="Arial" w:hAnsi="Arial"/>
          <w:sz w:val="15"/>
          <w:szCs w:val="15"/>
          <w:color w:val="auto"/>
        </w:rPr>
        <w:t>the Restricted Stock Units and the Shares subject to the Restricted Stock Units are not intended to replace any pension rights or compensation;</w:t>
      </w:r>
    </w:p>
    <w:p>
      <w:pPr>
        <w:spacing w:after="0" w:line="188" w:lineRule="exact"/>
        <w:rPr>
          <w:rFonts w:ascii="Arial" w:cs="Arial" w:eastAsia="Arial" w:hAnsi="Arial"/>
          <w:sz w:val="15"/>
          <w:szCs w:val="15"/>
          <w:color w:val="auto"/>
        </w:rPr>
      </w:pPr>
    </w:p>
    <w:p>
      <w:pPr>
        <w:jc w:val="both"/>
        <w:ind w:left="-20" w:right="140" w:firstLine="906"/>
        <w:spacing w:after="0" w:line="263" w:lineRule="auto"/>
        <w:tabs>
          <w:tab w:leader="none" w:pos="1213" w:val="left"/>
        </w:tabs>
        <w:numPr>
          <w:ilvl w:val="1"/>
          <w:numId w:val="188"/>
        </w:numPr>
        <w:rPr>
          <w:rFonts w:ascii="Arial" w:cs="Arial" w:eastAsia="Arial" w:hAnsi="Arial"/>
          <w:sz w:val="15"/>
          <w:szCs w:val="15"/>
          <w:color w:val="auto"/>
        </w:rPr>
      </w:pPr>
      <w:r>
        <w:rPr>
          <w:rFonts w:ascii="Arial" w:cs="Arial" w:eastAsia="Arial" w:hAnsi="Arial"/>
          <w:sz w:val="15"/>
          <w:szCs w:val="15"/>
          <w:color w:val="auto"/>
        </w:rPr>
        <w:t>the Restricted Stock Units and the Shares subject to the Restricted Stock Units, and the income and value of same, are not part of normal or expected compensation for purposes of calculating any severance, resignation, termination, redundancy, dismissal, end-of-service payments, bonuses, long-service awards, pension or retirement or welfare benefits or similar payments;</w:t>
      </w:r>
    </w:p>
    <w:p>
      <w:pPr>
        <w:spacing w:after="0" w:line="154" w:lineRule="exact"/>
        <w:rPr>
          <w:rFonts w:ascii="Arial" w:cs="Arial" w:eastAsia="Arial" w:hAnsi="Arial"/>
          <w:sz w:val="15"/>
          <w:szCs w:val="15"/>
          <w:color w:val="auto"/>
        </w:rPr>
      </w:pPr>
    </w:p>
    <w:p>
      <w:pPr>
        <w:ind w:left="1180" w:hanging="294"/>
        <w:spacing w:after="0"/>
        <w:tabs>
          <w:tab w:leader="none" w:pos="1180" w:val="left"/>
        </w:tabs>
        <w:numPr>
          <w:ilvl w:val="1"/>
          <w:numId w:val="188"/>
        </w:numPr>
        <w:rPr>
          <w:rFonts w:ascii="Arial" w:cs="Arial" w:eastAsia="Arial" w:hAnsi="Arial"/>
          <w:sz w:val="15"/>
          <w:szCs w:val="15"/>
          <w:color w:val="auto"/>
        </w:rPr>
      </w:pPr>
      <w:r>
        <w:rPr>
          <w:rFonts w:ascii="Arial" w:cs="Arial" w:eastAsia="Arial" w:hAnsi="Arial"/>
          <w:sz w:val="15"/>
          <w:szCs w:val="15"/>
          <w:color w:val="auto"/>
        </w:rPr>
        <w:t>the future value of the underlying Shares is unknown, indeterminable and cannot be predicted;</w:t>
      </w:r>
    </w:p>
    <w:p>
      <w:pPr>
        <w:spacing w:after="0" w:line="188" w:lineRule="exact"/>
        <w:rPr>
          <w:rFonts w:ascii="Arial" w:cs="Arial" w:eastAsia="Arial" w:hAnsi="Arial"/>
          <w:sz w:val="15"/>
          <w:szCs w:val="15"/>
          <w:color w:val="auto"/>
        </w:rPr>
      </w:pPr>
    </w:p>
    <w:p>
      <w:pPr>
        <w:ind w:left="-20" w:firstLine="906"/>
        <w:spacing w:after="0" w:line="254" w:lineRule="auto"/>
        <w:tabs>
          <w:tab w:leader="none" w:pos="1221" w:val="left"/>
        </w:tabs>
        <w:numPr>
          <w:ilvl w:val="1"/>
          <w:numId w:val="188"/>
        </w:numPr>
        <w:rPr>
          <w:rFonts w:ascii="Arial" w:cs="Arial" w:eastAsia="Arial" w:hAnsi="Arial"/>
          <w:sz w:val="15"/>
          <w:szCs w:val="15"/>
          <w:color w:val="auto"/>
        </w:rPr>
      </w:pPr>
      <w:r>
        <w:rPr>
          <w:rFonts w:ascii="Arial" w:cs="Arial" w:eastAsia="Arial" w:hAnsi="Arial"/>
          <w:sz w:val="15"/>
          <w:szCs w:val="15"/>
          <w:color w:val="auto"/>
        </w:rPr>
        <w:t>for purposes of the Restricted Stock Units, Participant’s status as a Service Provider will be considered terminated as of the date Participant is no longer actively providing services to the Company or any Parent or Subsidiary (regardless of the reason for such termination and whether or not later to be found invalid or in breach of employment laws in the jurisdiction where Participant is a Service Provider or the terms of Participant’s employment or service agreement, if any), and unless otherwise expressly provided in this Award Agreement (including by reference in the Notice of Grant to other arrangements or contracts) or determined by the Administrator, Participant’s right to vest in the Restricted Stock Units under the Plan, if any, will terminate as of such date and will not be extended by any notice period (e.g., Participant’s period of service would not include any contractual notice period or any period of “garden leave” or similar period mandated under employment laws in the jurisdiction where Participant is a Service Provider or the terms of Participant’s employment or service agreement, if any, unless Participant is providing bona fide services during such time); the Administrator shall have the exclusive discretion to determine when Participant is no longer actively providing services for purposes of the Restricted Stock Units grant (including whether Participant may still be considered to be providing services while on a leave of absence and consistent with local law);</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-5-</w:t>
      </w:r>
    </w:p>
    <w:p>
      <w:pPr>
        <w:sectPr>
          <w:pgSz w:w="11900" w:h="16838" w:orient="portrait"/>
          <w:cols w:equalWidth="0" w:num="1">
            <w:col w:w="11380"/>
          </w:cols>
          <w:pgMar w:left="260" w:top="253" w:right="259" w:bottom="1440" w:gutter="0" w:footer="0" w:header="0"/>
        </w:sectPr>
      </w:pPr>
    </w:p>
    <w:bookmarkStart w:id="298" w:name="page299"/>
    <w:bookmarkEnd w:id="298"/>
    <w:p>
      <w:pPr>
        <w:ind w:right="120" w:firstLine="906"/>
        <w:spacing w:after="0" w:line="263" w:lineRule="auto"/>
        <w:tabs>
          <w:tab w:leader="none" w:pos="1241" w:val="left"/>
        </w:tabs>
        <w:numPr>
          <w:ilvl w:val="1"/>
          <w:numId w:val="189"/>
        </w:numPr>
        <w:rPr>
          <w:rFonts w:ascii="Arial" w:cs="Arial" w:eastAsia="Arial" w:hAnsi="Arial"/>
          <w:sz w:val="15"/>
          <w:szCs w:val="15"/>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133350</wp:posOffset>
            </wp:positionH>
            <wp:positionV relativeFrom="page">
              <wp:posOffset>88900</wp:posOffset>
            </wp:positionV>
            <wp:extent cx="7308850" cy="34290"/>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62">
                      <a:extLst>
                        <a:ext uri="{28A0092B-C50C-407E-A947-70E740481C1C}"/>
                      </a:extLst>
                    </a:blip>
                    <a:srcRect/>
                    <a:stretch>
                      <a:fillRect/>
                    </a:stretch>
                  </pic:blipFill>
                  <pic:spPr bwMode="auto">
                    <a:xfrm>
                      <a:off x="0" y="0"/>
                      <a:ext cx="7308850" cy="34290"/>
                    </a:xfrm>
                    <a:prstGeom prst="rect">
                      <a:avLst/>
                    </a:prstGeom>
                    <a:noFill/>
                  </pic:spPr>
                </pic:pic>
              </a:graphicData>
            </a:graphic>
          </wp:anchor>
        </w:drawing>
        <w:t>unless otherwise provided in the Plan or by the Company in its discretion, the Restricted Stock Units and the benefits evidenced by this Award Agreement do not create any entitlement to have the Restricted Stock Units or any such benefits transferred to, or assumed by, another company nor be exchanged, cashed out or substituted for, in connection with any corporate transaction affecting the Shares; and</w:t>
      </w:r>
    </w:p>
    <w:p>
      <w:pPr>
        <w:spacing w:after="0" w:line="154" w:lineRule="exact"/>
        <w:rPr>
          <w:rFonts w:ascii="Arial" w:cs="Arial" w:eastAsia="Arial" w:hAnsi="Arial"/>
          <w:sz w:val="15"/>
          <w:szCs w:val="15"/>
          <w:color w:val="auto"/>
        </w:rPr>
      </w:pPr>
    </w:p>
    <w:p>
      <w:pPr>
        <w:ind w:left="1200" w:hanging="294"/>
        <w:spacing w:after="0"/>
        <w:tabs>
          <w:tab w:leader="none" w:pos="1200" w:val="left"/>
        </w:tabs>
        <w:numPr>
          <w:ilvl w:val="1"/>
          <w:numId w:val="189"/>
        </w:numPr>
        <w:rPr>
          <w:rFonts w:ascii="Arial" w:cs="Arial" w:eastAsia="Arial" w:hAnsi="Arial"/>
          <w:sz w:val="15"/>
          <w:szCs w:val="15"/>
          <w:color w:val="auto"/>
        </w:rPr>
      </w:pPr>
      <w:r>
        <w:rPr>
          <w:rFonts w:ascii="Arial" w:cs="Arial" w:eastAsia="Arial" w:hAnsi="Arial"/>
          <w:sz w:val="15"/>
          <w:szCs w:val="15"/>
          <w:color w:val="auto"/>
        </w:rPr>
        <w:t>the following provisions apply only if Participant is providing services outside the United States:</w:t>
      </w:r>
    </w:p>
    <w:p>
      <w:pPr>
        <w:spacing w:after="0" w:line="188" w:lineRule="exact"/>
        <w:rPr>
          <w:rFonts w:ascii="Arial" w:cs="Arial" w:eastAsia="Arial" w:hAnsi="Arial"/>
          <w:sz w:val="15"/>
          <w:szCs w:val="15"/>
          <w:color w:val="auto"/>
        </w:rPr>
      </w:pPr>
    </w:p>
    <w:p>
      <w:pPr>
        <w:ind w:left="1780" w:hanging="302"/>
        <w:spacing w:after="0"/>
        <w:tabs>
          <w:tab w:leader="none" w:pos="1780" w:val="left"/>
        </w:tabs>
        <w:numPr>
          <w:ilvl w:val="2"/>
          <w:numId w:val="189"/>
        </w:numPr>
        <w:rPr>
          <w:rFonts w:ascii="Arial" w:cs="Arial" w:eastAsia="Arial" w:hAnsi="Arial"/>
          <w:sz w:val="14"/>
          <w:szCs w:val="14"/>
          <w:color w:val="auto"/>
        </w:rPr>
      </w:pPr>
      <w:r>
        <w:rPr>
          <w:rFonts w:ascii="Arial" w:cs="Arial" w:eastAsia="Arial" w:hAnsi="Arial"/>
          <w:sz w:val="14"/>
          <w:szCs w:val="14"/>
          <w:color w:val="auto"/>
        </w:rPr>
        <w:t>the Restricted Stock Units and the Shares subject to the Restricted Stock Units are not part of normal or expected compensation or salary for any purpose;</w:t>
      </w:r>
    </w:p>
    <w:p>
      <w:pPr>
        <w:spacing w:after="0" w:line="199" w:lineRule="exact"/>
        <w:rPr>
          <w:rFonts w:ascii="Arial" w:cs="Arial" w:eastAsia="Arial" w:hAnsi="Arial"/>
          <w:sz w:val="14"/>
          <w:szCs w:val="14"/>
          <w:color w:val="auto"/>
        </w:rPr>
      </w:pPr>
    </w:p>
    <w:p>
      <w:pPr>
        <w:ind w:right="380" w:firstLine="1478"/>
        <w:spacing w:after="0" w:line="263" w:lineRule="auto"/>
        <w:tabs>
          <w:tab w:leader="none" w:pos="1822" w:val="left"/>
        </w:tabs>
        <w:numPr>
          <w:ilvl w:val="2"/>
          <w:numId w:val="189"/>
        </w:numPr>
        <w:rPr>
          <w:rFonts w:ascii="Arial" w:cs="Arial" w:eastAsia="Arial" w:hAnsi="Arial"/>
          <w:sz w:val="15"/>
          <w:szCs w:val="15"/>
          <w:color w:val="auto"/>
        </w:rPr>
      </w:pPr>
      <w:r>
        <w:rPr>
          <w:rFonts w:ascii="Arial" w:cs="Arial" w:eastAsia="Arial" w:hAnsi="Arial"/>
          <w:sz w:val="15"/>
          <w:szCs w:val="15"/>
          <w:color w:val="auto"/>
        </w:rPr>
        <w:t>Participant acknowledges and agrees that none of the Company, the Employer or any Parent or Subsidiary shall be liable for any foreign exchange rate fluctuation between Participant’s local currency and the United States Dollar that may affect the value of the Restricted Stock Units or of any amounts due to Participant pursuant to the settlement of the Restricted Stock Units or the subsequent sale of any Shares acquired upon settlement; and</w:t>
      </w:r>
    </w:p>
    <w:p>
      <w:pPr>
        <w:spacing w:after="0" w:line="154" w:lineRule="exact"/>
        <w:rPr>
          <w:rFonts w:ascii="Arial" w:cs="Arial" w:eastAsia="Arial" w:hAnsi="Arial"/>
          <w:sz w:val="15"/>
          <w:szCs w:val="15"/>
          <w:color w:val="auto"/>
        </w:rPr>
      </w:pPr>
    </w:p>
    <w:p>
      <w:pPr>
        <w:ind w:firstLine="1478"/>
        <w:spacing w:after="0" w:line="255" w:lineRule="auto"/>
        <w:tabs>
          <w:tab w:leader="none" w:pos="1864" w:val="left"/>
        </w:tabs>
        <w:numPr>
          <w:ilvl w:val="2"/>
          <w:numId w:val="189"/>
        </w:numPr>
        <w:rPr>
          <w:rFonts w:ascii="Arial" w:cs="Arial" w:eastAsia="Arial" w:hAnsi="Arial"/>
          <w:sz w:val="15"/>
          <w:szCs w:val="15"/>
          <w:color w:val="auto"/>
        </w:rPr>
      </w:pPr>
      <w:r>
        <w:rPr>
          <w:rFonts w:ascii="Arial" w:cs="Arial" w:eastAsia="Arial" w:hAnsi="Arial"/>
          <w:sz w:val="15"/>
          <w:szCs w:val="15"/>
          <w:color w:val="auto"/>
        </w:rPr>
        <w:t>no claim or entitlement to compensation or damages shall arise from forfeiture of the Restricted Stock Units resulting from the termination of Participant’s status as a Service Provider (for any reason whatsoever whether or not later found to be invalid or in breach of employment laws in the jurisdiction where Participant is a Service Provider or the terms of Participant’s employment or service agreement, if any), and in consideration of the grant of the Restricted Stock Units to which Participant is otherwise not entitled, Participant irrevocably agrees never to institute any claim against the Company, any Parent or Subsidiary or the Service Recipient, waives his or her ability, if any, to bring any such claim, and releases the Company, any Parent or Subsidiary and the Service Recipient from any such claim; if, notwithstanding the foregoing, any such claim is allowed by a court of competent jurisdiction, then, by participating in the Plan, Participant shall be deemed irrevocably to have agreed not to pursue such claim and agrees to execute any and all documents necessary to request dismissal or withdrawal of such claim.</w:t>
      </w:r>
    </w:p>
    <w:p>
      <w:pPr>
        <w:spacing w:after="0" w:line="160" w:lineRule="exact"/>
        <w:rPr>
          <w:rFonts w:ascii="Arial" w:cs="Arial" w:eastAsia="Arial" w:hAnsi="Arial"/>
          <w:sz w:val="15"/>
          <w:szCs w:val="15"/>
          <w:color w:val="auto"/>
        </w:rPr>
      </w:pPr>
    </w:p>
    <w:p>
      <w:pPr>
        <w:ind w:right="240" w:firstLine="448"/>
        <w:spacing w:after="0" w:line="263" w:lineRule="auto"/>
        <w:tabs>
          <w:tab w:leader="none" w:pos="796" w:val="left"/>
        </w:tabs>
        <w:numPr>
          <w:ilvl w:val="0"/>
          <w:numId w:val="190"/>
        </w:numPr>
        <w:rPr>
          <w:rFonts w:ascii="Arial" w:cs="Arial" w:eastAsia="Arial" w:hAnsi="Arial"/>
          <w:sz w:val="15"/>
          <w:szCs w:val="15"/>
          <w:color w:val="auto"/>
        </w:rPr>
      </w:pPr>
      <w:r>
        <w:rPr>
          <w:rFonts w:ascii="Arial" w:cs="Arial" w:eastAsia="Arial" w:hAnsi="Arial"/>
          <w:sz w:val="15"/>
          <w:szCs w:val="15"/>
          <w:u w:val="single" w:color="auto"/>
          <w:color w:val="auto"/>
        </w:rPr>
        <w:t>No Advice Regarding Grant</w:t>
      </w:r>
      <w:r>
        <w:rPr>
          <w:rFonts w:ascii="Arial" w:cs="Arial" w:eastAsia="Arial" w:hAnsi="Arial"/>
          <w:sz w:val="15"/>
          <w:szCs w:val="15"/>
          <w:color w:val="auto"/>
        </w:rPr>
        <w:t>. The Company is not providing any tax, legal or financial advice, nor is the Company making any recommendations regarding Participant’s participation in the Plan, or Participant’s acquisition or sale of the underlying Shares. Participant is hereby advised to consult with his or her own personal tax, legal and financial advisors regarding his or her participation in the Plan before taking any action related to the Plan.</w:t>
      </w:r>
    </w:p>
    <w:p>
      <w:pPr>
        <w:spacing w:after="0" w:line="154" w:lineRule="exact"/>
        <w:rPr>
          <w:rFonts w:ascii="Arial" w:cs="Arial" w:eastAsia="Arial" w:hAnsi="Arial"/>
          <w:sz w:val="15"/>
          <w:szCs w:val="15"/>
          <w:color w:val="auto"/>
        </w:rPr>
      </w:pPr>
    </w:p>
    <w:p>
      <w:pPr>
        <w:jc w:val="both"/>
        <w:ind w:right="280" w:firstLine="448"/>
        <w:spacing w:after="0" w:line="290" w:lineRule="auto"/>
        <w:tabs>
          <w:tab w:leader="none" w:pos="796" w:val="left"/>
        </w:tabs>
        <w:numPr>
          <w:ilvl w:val="0"/>
          <w:numId w:val="190"/>
        </w:numPr>
        <w:rPr>
          <w:rFonts w:ascii="Arial" w:cs="Arial" w:eastAsia="Arial" w:hAnsi="Arial"/>
          <w:sz w:val="14"/>
          <w:szCs w:val="14"/>
          <w:color w:val="auto"/>
        </w:rPr>
      </w:pPr>
      <w:r>
        <w:rPr>
          <w:rFonts w:ascii="Arial" w:cs="Arial" w:eastAsia="Arial" w:hAnsi="Arial"/>
          <w:sz w:val="14"/>
          <w:szCs w:val="14"/>
          <w:b w:val="1"/>
          <w:bCs w:val="1"/>
          <w:i w:val="1"/>
          <w:iCs w:val="1"/>
          <w:u w:val="single" w:color="auto"/>
          <w:color w:val="auto"/>
        </w:rPr>
        <w:t>Data Privacy</w:t>
      </w:r>
      <w:r>
        <w:rPr>
          <w:rFonts w:ascii="Arial" w:cs="Arial" w:eastAsia="Arial" w:hAnsi="Arial"/>
          <w:sz w:val="14"/>
          <w:szCs w:val="14"/>
          <w:color w:val="auto"/>
        </w:rPr>
        <w:t>.</w:t>
      </w:r>
      <w:r>
        <w:rPr>
          <w:rFonts w:ascii="Arial" w:cs="Arial" w:eastAsia="Arial" w:hAnsi="Arial"/>
          <w:sz w:val="14"/>
          <w:szCs w:val="14"/>
          <w:b w:val="1"/>
          <w:bCs w:val="1"/>
          <w:i w:val="1"/>
          <w:iCs w:val="1"/>
          <w:color w:val="auto"/>
        </w:rPr>
        <w:t xml:space="preserve"> Participant hereby explicitly and unambiguously consents to the collection, use and transfer, in electronic or other form, of Participant’s personal data as described in this Award Agreement and any other Restricted Stock Unit grant materials by and among, as applicable, the Employer, or other Service Recipient the Company and any Parent or Subsidiary for the exclusive purpose of implementing, administering and managing Participant’s participation in the Plan.</w:t>
      </w:r>
    </w:p>
    <w:p>
      <w:pPr>
        <w:spacing w:after="0" w:line="82"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-6-</w:t>
      </w:r>
    </w:p>
    <w:p>
      <w:pPr>
        <w:sectPr>
          <w:pgSz w:w="11900" w:h="16838" w:orient="portrait"/>
          <w:cols w:equalWidth="0" w:num="1">
            <w:col w:w="11440"/>
          </w:cols>
          <w:pgMar w:left="240" w:top="253" w:right="219" w:bottom="1440" w:gutter="0" w:footer="0" w:header="0"/>
        </w:sectPr>
      </w:pPr>
    </w:p>
    <w:bookmarkStart w:id="299" w:name="page300"/>
    <w:bookmarkEnd w:id="299"/>
    <w:p>
      <w:pPr>
        <w:ind w:right="120" w:firstLine="458"/>
        <w:spacing w:after="0" w:line="259" w:lineRule="auto"/>
        <w:rPr>
          <w:sz w:val="20"/>
          <w:szCs w:val="20"/>
          <w:color w:val="auto"/>
        </w:rPr>
      </w:pPr>
      <w:r>
        <w:rPr>
          <w:rFonts w:ascii="Arial" w:cs="Arial" w:eastAsia="Arial" w:hAnsi="Arial"/>
          <w:sz w:val="15"/>
          <w:szCs w:val="15"/>
          <w:b w:val="1"/>
          <w:bCs w:val="1"/>
          <w:i w:val="1"/>
          <w:iCs w:val="1"/>
          <w:color w:val="auto"/>
        </w:rPr>
        <w:drawing>
          <wp:anchor simplePos="0" relativeHeight="251657728" behindDoc="1" locked="0" layoutInCell="0" allowOverlap="1">
            <wp:simplePos x="0" y="0"/>
            <wp:positionH relativeFrom="page">
              <wp:posOffset>133350</wp:posOffset>
            </wp:positionH>
            <wp:positionV relativeFrom="page">
              <wp:posOffset>88900</wp:posOffset>
            </wp:positionV>
            <wp:extent cx="7308850" cy="34290"/>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63">
                      <a:extLst>
                        <a:ext uri="{28A0092B-C50C-407E-A947-70E740481C1C}"/>
                      </a:extLst>
                    </a:blip>
                    <a:srcRect/>
                    <a:stretch>
                      <a:fillRect/>
                    </a:stretch>
                  </pic:blipFill>
                  <pic:spPr bwMode="auto">
                    <a:xfrm>
                      <a:off x="0" y="0"/>
                      <a:ext cx="7308850" cy="34290"/>
                    </a:xfrm>
                    <a:prstGeom prst="rect">
                      <a:avLst/>
                    </a:prstGeom>
                    <a:noFill/>
                  </pic:spPr>
                </pic:pic>
              </a:graphicData>
            </a:graphic>
          </wp:anchor>
        </w:drawing>
        <w:t>Participant understands that the Company and the Service Recipient may hold certain personal information about Participant, including, but not limited to, Participant’s name, home address and telephone number, date of birth, social insurance number or other identification number, salary, nationality, job title, any Shares or directorships held in the Company, details of all Restricted Stock Units or any other entitlement to Shares awarded, canceled, exercised, vested, unvested or outstanding in Participant’s favor (“Data”), for the exclusive purpose of implementing, administering and managing the Plan.</w:t>
      </w:r>
    </w:p>
    <w:p>
      <w:pPr>
        <w:spacing w:after="0" w:line="158" w:lineRule="exact"/>
        <w:rPr>
          <w:sz w:val="20"/>
          <w:szCs w:val="20"/>
          <w:color w:val="auto"/>
        </w:rPr>
      </w:pPr>
    </w:p>
    <w:p>
      <w:pPr>
        <w:ind w:firstLine="458"/>
        <w:spacing w:after="0" w:line="294" w:lineRule="auto"/>
        <w:rPr>
          <w:sz w:val="20"/>
          <w:szCs w:val="20"/>
          <w:color w:val="auto"/>
        </w:rPr>
      </w:pPr>
      <w:r>
        <w:rPr>
          <w:rFonts w:ascii="Arial" w:cs="Arial" w:eastAsia="Arial" w:hAnsi="Arial"/>
          <w:sz w:val="13"/>
          <w:szCs w:val="13"/>
          <w:b w:val="1"/>
          <w:bCs w:val="1"/>
          <w:i w:val="1"/>
          <w:iCs w:val="1"/>
          <w:color w:val="auto"/>
        </w:rPr>
        <w:t>Participant understands that Data will be transferred to a stock plan service provider as may be selected by the Company in the future, which is assisting the Company with the implementation, administration, and management of the Plan. Participant understands that the recipients of the Data may be located in the United States or elsewhere, and that the recipients’ country of operation (e.g., the United States) may have different data privacy laws and protections than Participant’s country. Participant understands that if he or she resides outside the United States, he or she may request a list with the names and addresses of any potential recipients of the Data by contacting his or her local human resources representative. Participant authorizes the Company, any stock plan service provider selected by the Company and any other possible recipients which may assist the Company (presently or in the future) with implementing, administering and managing the Plan to receive, possess, use, retain and transfer the Data, in electronic or other form, for the sole purpose of implementing, administering and managing his or her participation in the Plan. Participant understands that Data will be held only as long as is necessary to implement, administer and manage Participant’s participation in the Plan. Participant understands if he or she resides outside the United States, he or she may, at any time, view Data, request additional information about the storage and processing of Data, require any necessary amendments to Data or refuse or withdraw the consents herein, in any case without cost, by contacting in writing his or her local human resources representative. Further, Participant understands that he or she is providing the consents herein on a purely voluntary basis. If Participant does not consent, or if Participant later seeks to revoke his or her consent, his or her status as a Service Provider and career with the Service Recipient will not be adversely affected; the only adverse consequence of refusing or withdrawing Participant’s consent is that the Company would not be able to grant Participant Restricted Stock Units or other equity awards or administer or maintain such awards. Therefore, Participant understands that refusing or withdrawing his or her consent may affect Participant’s ability to participate in the Plan. For more information on the consequences of Participant’s refusal to consent or withdrawal of consent, Participant understands that he or she may contact his or her local human resources representative.</w:t>
      </w:r>
    </w:p>
    <w:p>
      <w:pPr>
        <w:spacing w:after="0" w:line="140" w:lineRule="exact"/>
        <w:rPr>
          <w:sz w:val="20"/>
          <w:szCs w:val="20"/>
          <w:color w:val="auto"/>
        </w:rPr>
      </w:pPr>
    </w:p>
    <w:p>
      <w:pPr>
        <w:ind w:right="100" w:firstLine="448"/>
        <w:spacing w:after="0" w:line="275" w:lineRule="auto"/>
        <w:tabs>
          <w:tab w:leader="none" w:pos="796" w:val="left"/>
        </w:tabs>
        <w:numPr>
          <w:ilvl w:val="0"/>
          <w:numId w:val="191"/>
        </w:numPr>
        <w:rPr>
          <w:rFonts w:ascii="Arial" w:cs="Arial" w:eastAsia="Arial" w:hAnsi="Arial"/>
          <w:sz w:val="15"/>
          <w:szCs w:val="15"/>
          <w:color w:val="auto"/>
        </w:rPr>
      </w:pPr>
      <w:r>
        <w:rPr>
          <w:rFonts w:ascii="Arial" w:cs="Arial" w:eastAsia="Arial" w:hAnsi="Arial"/>
          <w:sz w:val="15"/>
          <w:szCs w:val="15"/>
          <w:u w:val="single" w:color="auto"/>
          <w:color w:val="auto"/>
        </w:rPr>
        <w:t>Address for Notices</w:t>
      </w:r>
      <w:r>
        <w:rPr>
          <w:rFonts w:ascii="Arial" w:cs="Arial" w:eastAsia="Arial" w:hAnsi="Arial"/>
          <w:sz w:val="15"/>
          <w:szCs w:val="15"/>
          <w:color w:val="auto"/>
        </w:rPr>
        <w:t>. Any notice to be given to the Company under the terms of this Award Agreement will be addressed to the Company at Dropbox, Inc., 333 Brannan Street, San Francisco, CA 94107, or at such other address as the Company may hereafter designate in writing.</w:t>
      </w:r>
    </w:p>
    <w:p>
      <w:pPr>
        <w:spacing w:after="0" w:line="146" w:lineRule="exact"/>
        <w:rPr>
          <w:rFonts w:ascii="Arial" w:cs="Arial" w:eastAsia="Arial" w:hAnsi="Arial"/>
          <w:sz w:val="15"/>
          <w:szCs w:val="15"/>
          <w:color w:val="auto"/>
        </w:rPr>
      </w:pPr>
    </w:p>
    <w:p>
      <w:pPr>
        <w:ind w:right="140" w:firstLine="448"/>
        <w:spacing w:after="0" w:line="263" w:lineRule="auto"/>
        <w:tabs>
          <w:tab w:leader="none" w:pos="796" w:val="left"/>
        </w:tabs>
        <w:numPr>
          <w:ilvl w:val="0"/>
          <w:numId w:val="191"/>
        </w:numPr>
        <w:rPr>
          <w:rFonts w:ascii="Arial" w:cs="Arial" w:eastAsia="Arial" w:hAnsi="Arial"/>
          <w:sz w:val="15"/>
          <w:szCs w:val="15"/>
          <w:color w:val="auto"/>
        </w:rPr>
      </w:pPr>
      <w:r>
        <w:rPr>
          <w:rFonts w:ascii="Arial" w:cs="Arial" w:eastAsia="Arial" w:hAnsi="Arial"/>
          <w:sz w:val="15"/>
          <w:szCs w:val="15"/>
          <w:u w:val="single" w:color="auto"/>
          <w:color w:val="auto"/>
        </w:rPr>
        <w:t>Electronic Delivery and Acceptance</w:t>
      </w:r>
      <w:r>
        <w:rPr>
          <w:rFonts w:ascii="Arial" w:cs="Arial" w:eastAsia="Arial" w:hAnsi="Arial"/>
          <w:sz w:val="15"/>
          <w:szCs w:val="15"/>
          <w:color w:val="auto"/>
        </w:rPr>
        <w:t>. The Company may, in its sole discretion, decide to deliver any documents related to the Restricted Stock Units awarded under the Plan or future Restricted Stock Units that may be awarded under the Plan by electronic means or request Participant’s consent to participate in the Plan by electronic means. Participant hereby consents to</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-7-</w:t>
      </w:r>
    </w:p>
    <w:p>
      <w:pPr>
        <w:sectPr>
          <w:pgSz w:w="11900" w:h="16838" w:orient="portrait"/>
          <w:cols w:equalWidth="0" w:num="1">
            <w:col w:w="11440"/>
          </w:cols>
          <w:pgMar w:left="240" w:top="253" w:right="219" w:bottom="1440" w:gutter="0" w:footer="0" w:header="0"/>
        </w:sectPr>
      </w:pPr>
    </w:p>
    <w:bookmarkStart w:id="300" w:name="page301"/>
    <w:bookmarkEnd w:id="300"/>
    <w:p>
      <w:pPr>
        <w:ind w:right="360"/>
        <w:spacing w:after="0" w:line="275"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133350</wp:posOffset>
            </wp:positionH>
            <wp:positionV relativeFrom="page">
              <wp:posOffset>88900</wp:posOffset>
            </wp:positionV>
            <wp:extent cx="7308850" cy="34290"/>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64">
                      <a:extLst>
                        <a:ext uri="{28A0092B-C50C-407E-A947-70E740481C1C}"/>
                      </a:extLst>
                    </a:blip>
                    <a:srcRect/>
                    <a:stretch>
                      <a:fillRect/>
                    </a:stretch>
                  </pic:blipFill>
                  <pic:spPr bwMode="auto">
                    <a:xfrm>
                      <a:off x="0" y="0"/>
                      <a:ext cx="7308850" cy="34290"/>
                    </a:xfrm>
                    <a:prstGeom prst="rect">
                      <a:avLst/>
                    </a:prstGeom>
                    <a:noFill/>
                  </pic:spPr>
                </pic:pic>
              </a:graphicData>
            </a:graphic>
          </wp:anchor>
        </w:drawing>
        <w:t>receive such documents by electronic delivery and agrees to participate in the Plan through any on-line or electronic system established and maintained by the Company or a third party designated by the Company.</w:t>
      </w:r>
    </w:p>
    <w:p>
      <w:pPr>
        <w:spacing w:after="0" w:line="146" w:lineRule="exact"/>
        <w:rPr>
          <w:sz w:val="20"/>
          <w:szCs w:val="20"/>
          <w:color w:val="auto"/>
        </w:rPr>
      </w:pPr>
    </w:p>
    <w:p>
      <w:pPr>
        <w:ind w:right="360" w:firstLine="448"/>
        <w:spacing w:after="0" w:line="263" w:lineRule="auto"/>
        <w:tabs>
          <w:tab w:leader="none" w:pos="796" w:val="left"/>
        </w:tabs>
        <w:numPr>
          <w:ilvl w:val="0"/>
          <w:numId w:val="192"/>
        </w:numPr>
        <w:rPr>
          <w:rFonts w:ascii="Arial" w:cs="Arial" w:eastAsia="Arial" w:hAnsi="Arial"/>
          <w:sz w:val="15"/>
          <w:szCs w:val="15"/>
          <w:color w:val="auto"/>
        </w:rPr>
      </w:pPr>
      <w:r>
        <w:rPr>
          <w:rFonts w:ascii="Arial" w:cs="Arial" w:eastAsia="Arial" w:hAnsi="Arial"/>
          <w:sz w:val="15"/>
          <w:szCs w:val="15"/>
          <w:u w:val="single" w:color="auto"/>
          <w:color w:val="auto"/>
        </w:rPr>
        <w:t>No Waiver</w:t>
      </w:r>
      <w:r>
        <w:rPr>
          <w:rFonts w:ascii="Arial" w:cs="Arial" w:eastAsia="Arial" w:hAnsi="Arial"/>
          <w:sz w:val="15"/>
          <w:szCs w:val="15"/>
          <w:color w:val="auto"/>
        </w:rPr>
        <w:t>. Either party’s failure to enforce any provision or provisions of this Award Agreement shall not in any way be construed as a waiver of any such provision or provisions, nor prevent that party from thereafter enforcing each and every other provision of this Award Agreement. The rights granted both parties herein are cumulative and shall not constitute a waiver of either party’s right to assert all other legal remedies available to it under the circumstances.</w:t>
      </w:r>
    </w:p>
    <w:p>
      <w:pPr>
        <w:spacing w:after="0" w:line="154" w:lineRule="exact"/>
        <w:rPr>
          <w:rFonts w:ascii="Arial" w:cs="Arial" w:eastAsia="Arial" w:hAnsi="Arial"/>
          <w:sz w:val="15"/>
          <w:szCs w:val="15"/>
          <w:color w:val="auto"/>
        </w:rPr>
      </w:pPr>
    </w:p>
    <w:p>
      <w:pPr>
        <w:ind w:right="20" w:firstLine="448"/>
        <w:spacing w:after="0" w:line="322" w:lineRule="auto"/>
        <w:tabs>
          <w:tab w:leader="none" w:pos="796" w:val="left"/>
        </w:tabs>
        <w:numPr>
          <w:ilvl w:val="0"/>
          <w:numId w:val="192"/>
        </w:numPr>
        <w:rPr>
          <w:rFonts w:ascii="Arial" w:cs="Arial" w:eastAsia="Arial" w:hAnsi="Arial"/>
          <w:sz w:val="13"/>
          <w:szCs w:val="13"/>
          <w:color w:val="auto"/>
        </w:rPr>
      </w:pPr>
      <w:r>
        <w:rPr>
          <w:rFonts w:ascii="Arial" w:cs="Arial" w:eastAsia="Arial" w:hAnsi="Arial"/>
          <w:sz w:val="13"/>
          <w:szCs w:val="13"/>
          <w:u w:val="single" w:color="auto"/>
          <w:color w:val="auto"/>
        </w:rPr>
        <w:t>Successors and Assigns</w:t>
      </w:r>
      <w:r>
        <w:rPr>
          <w:rFonts w:ascii="Arial" w:cs="Arial" w:eastAsia="Arial" w:hAnsi="Arial"/>
          <w:sz w:val="13"/>
          <w:szCs w:val="13"/>
          <w:color w:val="auto"/>
        </w:rPr>
        <w:t>. The Company may assign any of its rights under this Award Agreement to single or multiple assignees, and this Award Agreement shall inure to the benefit of the successors and assigns of the Company. Subject to the restrictions on transfer herein set forth, this Award Agreement shall be binding upon Participant and his or her heirs, executors, administrators, successors and assigns. The rights and obligations of Participant under this Award Agreement may only be assigned with the prior written consent of the Company.</w:t>
      </w:r>
    </w:p>
    <w:p>
      <w:pPr>
        <w:spacing w:after="0" w:line="120" w:lineRule="exact"/>
        <w:rPr>
          <w:rFonts w:ascii="Arial" w:cs="Arial" w:eastAsia="Arial" w:hAnsi="Arial"/>
          <w:sz w:val="13"/>
          <w:szCs w:val="13"/>
          <w:color w:val="auto"/>
        </w:rPr>
      </w:pPr>
    </w:p>
    <w:p>
      <w:pPr>
        <w:ind w:firstLine="448"/>
        <w:spacing w:after="0" w:line="300" w:lineRule="auto"/>
        <w:tabs>
          <w:tab w:leader="none" w:pos="796" w:val="left"/>
        </w:tabs>
        <w:numPr>
          <w:ilvl w:val="0"/>
          <w:numId w:val="192"/>
        </w:numPr>
        <w:rPr>
          <w:rFonts w:ascii="Arial" w:cs="Arial" w:eastAsia="Arial" w:hAnsi="Arial"/>
          <w:sz w:val="13"/>
          <w:szCs w:val="13"/>
          <w:color w:val="auto"/>
        </w:rPr>
      </w:pPr>
      <w:r>
        <w:rPr>
          <w:rFonts w:ascii="Arial" w:cs="Arial" w:eastAsia="Arial" w:hAnsi="Arial"/>
          <w:sz w:val="13"/>
          <w:szCs w:val="13"/>
          <w:u w:val="single" w:color="auto"/>
          <w:color w:val="auto"/>
        </w:rPr>
        <w:t>Additional Conditions to Issuance of Stock</w:t>
      </w:r>
      <w:r>
        <w:rPr>
          <w:rFonts w:ascii="Arial" w:cs="Arial" w:eastAsia="Arial" w:hAnsi="Arial"/>
          <w:sz w:val="13"/>
          <w:szCs w:val="13"/>
          <w:color w:val="auto"/>
        </w:rPr>
        <w:t>. If at any time the Company will determine, in its discretion, that the listing, registration, qualification or rule compliance of the Shares upon any securities exchange or under any state, federal or non-U.S. law, the tax code and related regulations or under the rulings or regulations of the United States Securities and Exchange Commission or any other governmental regulatory body or the clearance, consent or approval of the United States Securities and Exchange Commission or any other governmental regulatory authority is necessary or desirable as a condition to the issuance of Shares to Participant (or his or her estate) hereunder, such issuance will not occur unless and until such listing, registration, qualification, rule compliance, clearance, consent or approval will have been completed, effected or obtained free of any conditions not acceptable to the Company. Subject to the terms of the Award Agreement and the Plan, the Company shall not be required to issue any certificate or certificates for Shares hereunder prior to the lapse of such reasonable period of time following the date of vesting of the Restricted Stock Units as the Administrator may establish from time to time for reasons of administrative convenience.</w:t>
      </w:r>
    </w:p>
    <w:p>
      <w:pPr>
        <w:spacing w:after="0" w:line="135" w:lineRule="exact"/>
        <w:rPr>
          <w:rFonts w:ascii="Arial" w:cs="Arial" w:eastAsia="Arial" w:hAnsi="Arial"/>
          <w:sz w:val="13"/>
          <w:szCs w:val="13"/>
          <w:color w:val="auto"/>
        </w:rPr>
      </w:pPr>
    </w:p>
    <w:p>
      <w:pPr>
        <w:ind w:right="220" w:firstLine="448"/>
        <w:spacing w:after="0" w:line="275" w:lineRule="auto"/>
        <w:tabs>
          <w:tab w:leader="none" w:pos="796" w:val="left"/>
        </w:tabs>
        <w:numPr>
          <w:ilvl w:val="0"/>
          <w:numId w:val="192"/>
        </w:numPr>
        <w:rPr>
          <w:rFonts w:ascii="Arial" w:cs="Arial" w:eastAsia="Arial" w:hAnsi="Arial"/>
          <w:sz w:val="15"/>
          <w:szCs w:val="15"/>
          <w:color w:val="auto"/>
        </w:rPr>
      </w:pPr>
      <w:r>
        <w:rPr>
          <w:rFonts w:ascii="Arial" w:cs="Arial" w:eastAsia="Arial" w:hAnsi="Arial"/>
          <w:sz w:val="15"/>
          <w:szCs w:val="15"/>
          <w:u w:val="single" w:color="auto"/>
          <w:color w:val="auto"/>
        </w:rPr>
        <w:t>Language</w:t>
      </w:r>
      <w:r>
        <w:rPr>
          <w:rFonts w:ascii="Arial" w:cs="Arial" w:eastAsia="Arial" w:hAnsi="Arial"/>
          <w:sz w:val="15"/>
          <w:szCs w:val="15"/>
          <w:color w:val="auto"/>
        </w:rPr>
        <w:t>. If Participant has received this Award Agreement or any other document related to the Plan translated into a language other than English and if the meaning of the translated version is different than the English version, the English version will control.</w:t>
      </w:r>
    </w:p>
    <w:p>
      <w:pPr>
        <w:spacing w:after="0" w:line="146" w:lineRule="exact"/>
        <w:rPr>
          <w:rFonts w:ascii="Arial" w:cs="Arial" w:eastAsia="Arial" w:hAnsi="Arial"/>
          <w:sz w:val="15"/>
          <w:szCs w:val="15"/>
          <w:color w:val="auto"/>
        </w:rPr>
      </w:pPr>
    </w:p>
    <w:p>
      <w:pPr>
        <w:ind w:right="40" w:firstLine="448"/>
        <w:spacing w:after="0" w:line="257" w:lineRule="auto"/>
        <w:tabs>
          <w:tab w:leader="none" w:pos="796" w:val="left"/>
        </w:tabs>
        <w:numPr>
          <w:ilvl w:val="0"/>
          <w:numId w:val="192"/>
        </w:numPr>
        <w:rPr>
          <w:rFonts w:ascii="Arial" w:cs="Arial" w:eastAsia="Arial" w:hAnsi="Arial"/>
          <w:sz w:val="15"/>
          <w:szCs w:val="15"/>
          <w:color w:val="auto"/>
        </w:rPr>
      </w:pPr>
      <w:r>
        <w:rPr>
          <w:rFonts w:ascii="Arial" w:cs="Arial" w:eastAsia="Arial" w:hAnsi="Arial"/>
          <w:sz w:val="15"/>
          <w:szCs w:val="15"/>
          <w:u w:val="single" w:color="auto"/>
          <w:color w:val="auto"/>
        </w:rPr>
        <w:t>Interpretation</w:t>
      </w:r>
      <w:r>
        <w:rPr>
          <w:rFonts w:ascii="Arial" w:cs="Arial" w:eastAsia="Arial" w:hAnsi="Arial"/>
          <w:sz w:val="15"/>
          <w:szCs w:val="15"/>
          <w:color w:val="auto"/>
        </w:rPr>
        <w:t>. The Administrator will have the power to interpret the Plan and this Award Agreement and to adopt such rules for the administration, interpretation and application of the Plan as are consistent therewith and to interpret or revoke any such rules (including, but not limited to, the determination of whether or not any Restricted Stock Units have vested). All actions taken and all interpretations and determinations made by the Administrator in good faith will be final and binding upon Participant, the Company and all other interested persons. Neither the Administrator nor any person acting on behalf of the Administrator will be personally liable for any action, determination, or interpretation made in good faith with respect to the Plan or this Award Agreement.</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-8-</w:t>
      </w:r>
    </w:p>
    <w:p>
      <w:pPr>
        <w:sectPr>
          <w:pgSz w:w="11900" w:h="16838" w:orient="portrait"/>
          <w:cols w:equalWidth="0" w:num="1">
            <w:col w:w="11420"/>
          </w:cols>
          <w:pgMar w:left="240" w:top="253" w:right="239" w:bottom="1440" w:gutter="0" w:footer="0" w:header="0"/>
        </w:sectPr>
      </w:pPr>
    </w:p>
    <w:bookmarkStart w:id="301" w:name="page302"/>
    <w:bookmarkEnd w:id="301"/>
    <w:p>
      <w:pPr>
        <w:ind w:left="780" w:hanging="332"/>
        <w:spacing w:after="0"/>
        <w:tabs>
          <w:tab w:leader="none" w:pos="780" w:val="left"/>
        </w:tabs>
        <w:numPr>
          <w:ilvl w:val="0"/>
          <w:numId w:val="193"/>
        </w:numPr>
        <w:rPr>
          <w:rFonts w:ascii="Arial" w:cs="Arial" w:eastAsia="Arial" w:hAnsi="Arial"/>
          <w:sz w:val="15"/>
          <w:szCs w:val="15"/>
          <w:color w:val="auto"/>
        </w:rPr>
      </w:pPr>
      <w:r>
        <w:rPr>
          <w:rFonts w:ascii="Arial" w:cs="Arial" w:eastAsia="Arial" w:hAnsi="Arial"/>
          <w:sz w:val="15"/>
          <w:szCs w:val="15"/>
          <w:u w:val="single" w:color="auto"/>
          <w:color w:val="auto"/>
        </w:rPr>
        <w:drawing>
          <wp:anchor simplePos="0" relativeHeight="251657728" behindDoc="1" locked="0" layoutInCell="0" allowOverlap="1">
            <wp:simplePos x="0" y="0"/>
            <wp:positionH relativeFrom="page">
              <wp:posOffset>133350</wp:posOffset>
            </wp:positionH>
            <wp:positionV relativeFrom="page">
              <wp:posOffset>88900</wp:posOffset>
            </wp:positionV>
            <wp:extent cx="7308850" cy="34290"/>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65">
                      <a:extLst>
                        <a:ext uri="{28A0092B-C50C-407E-A947-70E740481C1C}"/>
                      </a:extLst>
                    </a:blip>
                    <a:srcRect/>
                    <a:stretch>
                      <a:fillRect/>
                    </a:stretch>
                  </pic:blipFill>
                  <pic:spPr bwMode="auto">
                    <a:xfrm>
                      <a:off x="0" y="0"/>
                      <a:ext cx="7308850" cy="34290"/>
                    </a:xfrm>
                    <a:prstGeom prst="rect">
                      <a:avLst/>
                    </a:prstGeom>
                    <a:noFill/>
                  </pic:spPr>
                </pic:pic>
              </a:graphicData>
            </a:graphic>
          </wp:anchor>
        </w:drawing>
        <w:t>Captions</w:t>
      </w:r>
      <w:r>
        <w:rPr>
          <w:rFonts w:ascii="Arial" w:cs="Arial" w:eastAsia="Arial" w:hAnsi="Arial"/>
          <w:sz w:val="15"/>
          <w:szCs w:val="15"/>
          <w:color w:val="auto"/>
        </w:rPr>
        <w:t>. Captions provided herein are for convenience only and are not to serve as a basis for interpretation or construction of this Award Agreement.</w:t>
      </w:r>
    </w:p>
    <w:p>
      <w:pPr>
        <w:spacing w:after="0" w:line="188" w:lineRule="exact"/>
        <w:rPr>
          <w:rFonts w:ascii="Arial" w:cs="Arial" w:eastAsia="Arial" w:hAnsi="Arial"/>
          <w:sz w:val="15"/>
          <w:szCs w:val="15"/>
          <w:color w:val="auto"/>
        </w:rPr>
      </w:pPr>
    </w:p>
    <w:p>
      <w:pPr>
        <w:ind w:firstLine="448"/>
        <w:spacing w:after="0" w:line="263" w:lineRule="auto"/>
        <w:tabs>
          <w:tab w:leader="none" w:pos="796" w:val="left"/>
        </w:tabs>
        <w:numPr>
          <w:ilvl w:val="0"/>
          <w:numId w:val="193"/>
        </w:numPr>
        <w:rPr>
          <w:rFonts w:ascii="Arial" w:cs="Arial" w:eastAsia="Arial" w:hAnsi="Arial"/>
          <w:sz w:val="15"/>
          <w:szCs w:val="15"/>
          <w:color w:val="auto"/>
        </w:rPr>
      </w:pPr>
      <w:r>
        <w:rPr>
          <w:rFonts w:ascii="Arial" w:cs="Arial" w:eastAsia="Arial" w:hAnsi="Arial"/>
          <w:sz w:val="15"/>
          <w:szCs w:val="15"/>
          <w:u w:val="single" w:color="auto"/>
          <w:color w:val="auto"/>
        </w:rPr>
        <w:t>Amendment, Suspension or Termination of the Plan</w:t>
      </w:r>
      <w:r>
        <w:rPr>
          <w:rFonts w:ascii="Arial" w:cs="Arial" w:eastAsia="Arial" w:hAnsi="Arial"/>
          <w:sz w:val="15"/>
          <w:szCs w:val="15"/>
          <w:color w:val="auto"/>
        </w:rPr>
        <w:t>. By accepting this Award, Participant expressly warrants that he or she has received an Award of Restricted Stock Units under the Plan, and has received, read, and understood a description of the Plan. Participant understands that the Plan is discretionary in nature and may be amended, suspended or terminated by the Company at any time.</w:t>
      </w:r>
    </w:p>
    <w:p>
      <w:pPr>
        <w:spacing w:after="0" w:line="154" w:lineRule="exact"/>
        <w:rPr>
          <w:rFonts w:ascii="Arial" w:cs="Arial" w:eastAsia="Arial" w:hAnsi="Arial"/>
          <w:sz w:val="15"/>
          <w:szCs w:val="15"/>
          <w:color w:val="auto"/>
        </w:rPr>
      </w:pPr>
    </w:p>
    <w:p>
      <w:pPr>
        <w:ind w:right="20" w:firstLine="448"/>
        <w:spacing w:after="0" w:line="279" w:lineRule="auto"/>
        <w:tabs>
          <w:tab w:leader="none" w:pos="796" w:val="left"/>
        </w:tabs>
        <w:numPr>
          <w:ilvl w:val="0"/>
          <w:numId w:val="193"/>
        </w:numPr>
        <w:rPr>
          <w:rFonts w:ascii="Arial" w:cs="Arial" w:eastAsia="Arial" w:hAnsi="Arial"/>
          <w:sz w:val="14"/>
          <w:szCs w:val="14"/>
          <w:color w:val="auto"/>
        </w:rPr>
      </w:pPr>
      <w:r>
        <w:rPr>
          <w:rFonts w:ascii="Arial" w:cs="Arial" w:eastAsia="Arial" w:hAnsi="Arial"/>
          <w:sz w:val="14"/>
          <w:szCs w:val="14"/>
          <w:u w:val="single" w:color="auto"/>
          <w:color w:val="auto"/>
        </w:rPr>
        <w:t>Modifications to the Award Agreement</w:t>
      </w:r>
      <w:r>
        <w:rPr>
          <w:rFonts w:ascii="Arial" w:cs="Arial" w:eastAsia="Arial" w:hAnsi="Arial"/>
          <w:sz w:val="14"/>
          <w:szCs w:val="14"/>
          <w:color w:val="auto"/>
        </w:rPr>
        <w:t>. This Award Agreement constitutes the entire understanding of the parties on the subjects covered. Participant expressly warrants that he or she is not accepting this Award Agreement in reliance on any promises, representations, or inducements other than those contained herein. Modifications to this Award Agreement or the Plan can be made only in an express written contract executed by a duly authorized officer of the Company. Notwithstanding anything to the contrary in the Plan or this Award Agreement, the Company reserves the right to revise this Award Agreement as it deems necessary or advisable, in its sole discretion and without the consent of Participant, to comply with Section 409A or to otherwise avoid imposition of any additional tax or income recognition under Section 409A in connection to this Award of Restricted Stock Units.</w:t>
      </w:r>
    </w:p>
    <w:p>
      <w:pPr>
        <w:spacing w:after="0" w:line="146" w:lineRule="exact"/>
        <w:rPr>
          <w:rFonts w:ascii="Arial" w:cs="Arial" w:eastAsia="Arial" w:hAnsi="Arial"/>
          <w:sz w:val="14"/>
          <w:szCs w:val="14"/>
          <w:color w:val="auto"/>
        </w:rPr>
      </w:pPr>
    </w:p>
    <w:p>
      <w:pPr>
        <w:ind w:right="200" w:firstLine="448"/>
        <w:spacing w:after="0" w:line="279" w:lineRule="auto"/>
        <w:tabs>
          <w:tab w:leader="none" w:pos="796" w:val="left"/>
        </w:tabs>
        <w:numPr>
          <w:ilvl w:val="0"/>
          <w:numId w:val="193"/>
        </w:numPr>
        <w:rPr>
          <w:rFonts w:ascii="Arial" w:cs="Arial" w:eastAsia="Arial" w:hAnsi="Arial"/>
          <w:sz w:val="14"/>
          <w:szCs w:val="14"/>
          <w:color w:val="auto"/>
        </w:rPr>
      </w:pPr>
      <w:r>
        <w:rPr>
          <w:rFonts w:ascii="Arial" w:cs="Arial" w:eastAsia="Arial" w:hAnsi="Arial"/>
          <w:sz w:val="14"/>
          <w:szCs w:val="14"/>
          <w:u w:val="single" w:color="auto"/>
          <w:color w:val="auto"/>
        </w:rPr>
        <w:t>Governing Law; Venue; Severability</w:t>
      </w:r>
      <w:r>
        <w:rPr>
          <w:rFonts w:ascii="Arial" w:cs="Arial" w:eastAsia="Arial" w:hAnsi="Arial"/>
          <w:sz w:val="14"/>
          <w:szCs w:val="14"/>
          <w:color w:val="auto"/>
        </w:rPr>
        <w:t>. This Award Agreement and the Restricted Stock Units are governed by the internal substantive laws, but not the choice of law rules, of California. For purposes of litigating any dispute that arises under these Restricted Stock Units or this Award Agreement, the parties hereby submit to and consent to the jurisdiction of the State of California, and agree that such litigation will be conducted in the courts of San Francisco County, California, or the federal courts for the United States for the Northern District of California, and no other courts, where this Award Agreement is made and/or to be performed. In the event that any provision hereof becomes or is declared by a court of competent jurisdiction to be illegal, unenforceable or void, this Award Agreement shall continue in full force and effect.</w:t>
      </w:r>
    </w:p>
    <w:p>
      <w:pPr>
        <w:spacing w:after="0" w:line="146" w:lineRule="exact"/>
        <w:rPr>
          <w:rFonts w:ascii="Arial" w:cs="Arial" w:eastAsia="Arial" w:hAnsi="Arial"/>
          <w:sz w:val="14"/>
          <w:szCs w:val="14"/>
          <w:color w:val="auto"/>
        </w:rPr>
      </w:pPr>
    </w:p>
    <w:p>
      <w:pPr>
        <w:ind w:right="120" w:firstLine="448"/>
        <w:spacing w:after="0" w:line="290" w:lineRule="auto"/>
        <w:tabs>
          <w:tab w:leader="none" w:pos="796" w:val="left"/>
        </w:tabs>
        <w:numPr>
          <w:ilvl w:val="0"/>
          <w:numId w:val="193"/>
        </w:numPr>
        <w:rPr>
          <w:rFonts w:ascii="Arial" w:cs="Arial" w:eastAsia="Arial" w:hAnsi="Arial"/>
          <w:sz w:val="14"/>
          <w:szCs w:val="14"/>
          <w:color w:val="auto"/>
        </w:rPr>
      </w:pPr>
      <w:r>
        <w:rPr>
          <w:rFonts w:ascii="Arial" w:cs="Arial" w:eastAsia="Arial" w:hAnsi="Arial"/>
          <w:sz w:val="14"/>
          <w:szCs w:val="14"/>
          <w:u w:val="single" w:color="auto"/>
          <w:color w:val="auto"/>
        </w:rPr>
        <w:t>Entire Agreement</w:t>
      </w:r>
      <w:r>
        <w:rPr>
          <w:rFonts w:ascii="Arial" w:cs="Arial" w:eastAsia="Arial" w:hAnsi="Arial"/>
          <w:sz w:val="14"/>
          <w:szCs w:val="14"/>
          <w:color w:val="auto"/>
        </w:rPr>
        <w:t>. The Plan is incorporated herein by reference. The Plan and this Award Agreement (including the appendices and exhibits referenced herein) constitute the entire agreement of the parties with respect to the subject matter hereof and supersede in their entirety all prior undertakings and agreements of the Company and Participant with respect to the subject matter hereof, and may not be modified adversely to the Participant’s interest except by means of a writing signed by the Company and Participant.</w:t>
      </w:r>
    </w:p>
    <w:p>
      <w:pPr>
        <w:spacing w:after="0" w:line="138" w:lineRule="exact"/>
        <w:rPr>
          <w:rFonts w:ascii="Arial" w:cs="Arial" w:eastAsia="Arial" w:hAnsi="Arial"/>
          <w:sz w:val="14"/>
          <w:szCs w:val="14"/>
          <w:color w:val="auto"/>
        </w:rPr>
      </w:pPr>
    </w:p>
    <w:p>
      <w:pPr>
        <w:ind w:right="120" w:firstLine="448"/>
        <w:spacing w:after="0" w:line="259" w:lineRule="auto"/>
        <w:tabs>
          <w:tab w:leader="none" w:pos="796" w:val="left"/>
        </w:tabs>
        <w:numPr>
          <w:ilvl w:val="0"/>
          <w:numId w:val="193"/>
        </w:numPr>
        <w:rPr>
          <w:rFonts w:ascii="Arial" w:cs="Arial" w:eastAsia="Arial" w:hAnsi="Arial"/>
          <w:sz w:val="15"/>
          <w:szCs w:val="15"/>
          <w:color w:val="auto"/>
        </w:rPr>
      </w:pPr>
      <w:r>
        <w:rPr>
          <w:rFonts w:ascii="Arial" w:cs="Arial" w:eastAsia="Arial" w:hAnsi="Arial"/>
          <w:sz w:val="15"/>
          <w:szCs w:val="15"/>
          <w:u w:val="single" w:color="auto"/>
          <w:color w:val="auto"/>
        </w:rPr>
        <w:t>Country Addendum</w:t>
      </w:r>
      <w:r>
        <w:rPr>
          <w:rFonts w:ascii="Arial" w:cs="Arial" w:eastAsia="Arial" w:hAnsi="Arial"/>
          <w:sz w:val="15"/>
          <w:szCs w:val="15"/>
          <w:color w:val="auto"/>
        </w:rPr>
        <w:t>. Notwithstanding any provisions in this Award Agreement, the Restricted Stock Unit grant shall be subject to any special terms and conditions set forth in the appendix (if any) to this Award Agreement for Participant’s country. Moreover, if Participant relocates to one of the countries included in the Country Addendum (if any), the special terms and conditions for such country will apply to Participant, to the extent the Company determines that the application of such terms and conditions is necessary or advisable for legal or administrative reasons. The Country Addendum constitutes part of this Award Agreement.</w:t>
      </w:r>
    </w:p>
    <w:p>
      <w:pPr>
        <w:spacing w:after="0" w:line="10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-9-</w:t>
      </w:r>
    </w:p>
    <w:p>
      <w:pPr>
        <w:sectPr>
          <w:pgSz w:w="11900" w:h="16838" w:orient="portrait"/>
          <w:cols w:equalWidth="0" w:num="1">
            <w:col w:w="11420"/>
          </w:cols>
          <w:pgMar w:left="240" w:top="253" w:right="239" w:bottom="1440" w:gutter="0" w:footer="0" w:header="0"/>
        </w:sectPr>
      </w:pPr>
    </w:p>
    <w:bookmarkStart w:id="302" w:name="page303"/>
    <w:bookmarkEnd w:id="302"/>
    <w:p>
      <w:pPr>
        <w:jc w:val="center"/>
        <w:ind w:right="-19"/>
        <w:spacing w:after="0"/>
        <w:rPr>
          <w:sz w:val="20"/>
          <w:szCs w:val="20"/>
          <w:color w:val="auto"/>
        </w:rPr>
      </w:pPr>
      <w:r>
        <w:rPr>
          <w:rFonts w:ascii="Arial" w:cs="Arial" w:eastAsia="Arial" w:hAnsi="Arial"/>
          <w:sz w:val="15"/>
          <w:szCs w:val="15"/>
          <w:b w:val="1"/>
          <w:bCs w:val="1"/>
          <w:color w:val="auto"/>
        </w:rPr>
        <w:drawing>
          <wp:anchor simplePos="0" relativeHeight="251657728" behindDoc="1" locked="0" layoutInCell="0" allowOverlap="1">
            <wp:simplePos x="0" y="0"/>
            <wp:positionH relativeFrom="page">
              <wp:posOffset>133350</wp:posOffset>
            </wp:positionH>
            <wp:positionV relativeFrom="page">
              <wp:posOffset>88900</wp:posOffset>
            </wp:positionV>
            <wp:extent cx="7308850" cy="34290"/>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66">
                      <a:extLst>
                        <a:ext uri="{28A0092B-C50C-407E-A947-70E740481C1C}"/>
                      </a:extLst>
                    </a:blip>
                    <a:srcRect/>
                    <a:stretch>
                      <a:fillRect/>
                    </a:stretch>
                  </pic:blipFill>
                  <pic:spPr bwMode="auto">
                    <a:xfrm>
                      <a:off x="0" y="0"/>
                      <a:ext cx="7308850" cy="34290"/>
                    </a:xfrm>
                    <a:prstGeom prst="rect">
                      <a:avLst/>
                    </a:prstGeom>
                    <a:noFill/>
                  </pic:spPr>
                </pic:pic>
              </a:graphicData>
            </a:graphic>
          </wp:anchor>
        </w:drawing>
        <w:t>DROPBOX, INC.</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2018 EQUITY INCENTIVE PLAN</w:t>
      </w:r>
    </w:p>
    <w:p>
      <w:pPr>
        <w:spacing w:after="0" w:line="8"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RESTRICTED STOCK UNIT AGREEMENT</w:t>
      </w:r>
    </w:p>
    <w:p>
      <w:pPr>
        <w:spacing w:after="0" w:line="8"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COUNTRY ADDENDUM</w:t>
      </w:r>
    </w:p>
    <w:p>
      <w:pPr>
        <w:spacing w:after="0" w:line="179"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TERMS AND CONDITIONS</w:t>
      </w:r>
    </w:p>
    <w:p>
      <w:pPr>
        <w:spacing w:after="0" w:line="98" w:lineRule="exact"/>
        <w:rPr>
          <w:sz w:val="20"/>
          <w:szCs w:val="20"/>
          <w:color w:val="auto"/>
        </w:rPr>
      </w:pPr>
    </w:p>
    <w:p>
      <w:pPr>
        <w:ind w:right="260"/>
        <w:spacing w:after="0" w:line="259" w:lineRule="auto"/>
        <w:rPr>
          <w:sz w:val="20"/>
          <w:szCs w:val="20"/>
          <w:color w:val="auto"/>
        </w:rPr>
      </w:pPr>
      <w:r>
        <w:rPr>
          <w:rFonts w:ascii="Arial" w:cs="Arial" w:eastAsia="Arial" w:hAnsi="Arial"/>
          <w:sz w:val="15"/>
          <w:szCs w:val="15"/>
          <w:color w:val="auto"/>
        </w:rPr>
        <w:t>This Country Addendum includes additional terms and conditions that govern the Award of Restricted Stock Units granted to Participant under the Plan if Participant works in one of the countries listed below. If Participant is a citizen or resident of a country (or is considered as such for local law purposes) other than the one in which he or she is currently working or if Participant relocates to another country after receiving the Award of Restricted Stock Units, the Company will, in its discretion, determine the extent to which the terms and conditions contained herein will be applicable to Participant.</w:t>
      </w:r>
    </w:p>
    <w:p>
      <w:pPr>
        <w:spacing w:after="0" w:line="158" w:lineRule="exact"/>
        <w:rPr>
          <w:sz w:val="20"/>
          <w:szCs w:val="20"/>
          <w:color w:val="auto"/>
        </w:rPr>
      </w:pPr>
    </w:p>
    <w:p>
      <w:pPr>
        <w:ind w:right="260"/>
        <w:spacing w:after="0" w:line="275" w:lineRule="auto"/>
        <w:rPr>
          <w:sz w:val="20"/>
          <w:szCs w:val="20"/>
          <w:color w:val="auto"/>
        </w:rPr>
      </w:pPr>
      <w:r>
        <w:rPr>
          <w:rFonts w:ascii="Arial" w:cs="Arial" w:eastAsia="Arial" w:hAnsi="Arial"/>
          <w:sz w:val="15"/>
          <w:szCs w:val="15"/>
          <w:color w:val="auto"/>
        </w:rPr>
        <w:t>Certain capitalized terms used but not defined in this Country Addendum shall have the meanings set forth in the Plan, and/or the Restricted Stock Unit Agreement to which this Country Addendum is attached.</w:t>
      </w:r>
    </w:p>
    <w:p>
      <w:pPr>
        <w:spacing w:after="0" w:line="236"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NOTIFICATIONS</w:t>
      </w:r>
    </w:p>
    <w:p>
      <w:pPr>
        <w:spacing w:after="0" w:line="98" w:lineRule="exact"/>
        <w:rPr>
          <w:sz w:val="20"/>
          <w:szCs w:val="20"/>
          <w:color w:val="auto"/>
        </w:rPr>
      </w:pPr>
    </w:p>
    <w:p>
      <w:pPr>
        <w:spacing w:after="0" w:line="257" w:lineRule="auto"/>
        <w:rPr>
          <w:sz w:val="20"/>
          <w:szCs w:val="20"/>
          <w:color w:val="auto"/>
        </w:rPr>
      </w:pPr>
      <w:r>
        <w:rPr>
          <w:rFonts w:ascii="Arial" w:cs="Arial" w:eastAsia="Arial" w:hAnsi="Arial"/>
          <w:sz w:val="15"/>
          <w:szCs w:val="15"/>
          <w:color w:val="auto"/>
        </w:rPr>
        <w:t>This Country Addendum also includes notifications relating to exchange control and other issues of which Participant should be aware with respect to his or her participation in the Plan. The information is based on the exchange control, securities and other laws in effect in the countries listed in this Country Addendum, as of February 2018 (except as otherwise noted below). Such laws are often complex and change frequently. As a result, the Company strongly recommends that Participant not rely on the notifications herein as the only source of information relating to the consequences of his or her participation in the Plan because the information may be outdated when Participant vests in the Restricted Stock Units and acquires Shares, or when Participant subsequently sell Shares acquired under the Plan.</w:t>
      </w:r>
    </w:p>
    <w:p>
      <w:pPr>
        <w:spacing w:after="0" w:line="159" w:lineRule="exact"/>
        <w:rPr>
          <w:sz w:val="20"/>
          <w:szCs w:val="20"/>
          <w:color w:val="auto"/>
        </w:rPr>
      </w:pPr>
    </w:p>
    <w:p>
      <w:pPr>
        <w:spacing w:after="0"/>
        <w:rPr>
          <w:sz w:val="20"/>
          <w:szCs w:val="20"/>
          <w:color w:val="auto"/>
        </w:rPr>
      </w:pPr>
      <w:r>
        <w:rPr>
          <w:rFonts w:ascii="Arial" w:cs="Arial" w:eastAsia="Arial" w:hAnsi="Arial"/>
          <w:sz w:val="13"/>
          <w:szCs w:val="13"/>
          <w:color w:val="auto"/>
        </w:rPr>
        <w:t>In addition, the notifications are general in nature and may not apply to Participant’s particular situation, and the Company is not in a position to assure Participant of any particular result.</w:t>
      </w:r>
    </w:p>
    <w:p>
      <w:pPr>
        <w:spacing w:after="0" w:line="40" w:lineRule="exact"/>
        <w:rPr>
          <w:sz w:val="20"/>
          <w:szCs w:val="20"/>
          <w:color w:val="auto"/>
        </w:rPr>
      </w:pPr>
    </w:p>
    <w:p>
      <w:pPr>
        <w:spacing w:after="0"/>
        <w:rPr>
          <w:sz w:val="20"/>
          <w:szCs w:val="20"/>
          <w:color w:val="auto"/>
        </w:rPr>
      </w:pPr>
      <w:r>
        <w:rPr>
          <w:rFonts w:ascii="Arial" w:cs="Arial" w:eastAsia="Arial" w:hAnsi="Arial"/>
          <w:sz w:val="15"/>
          <w:szCs w:val="15"/>
          <w:color w:val="auto"/>
        </w:rPr>
        <w:t>Accordingly, Participant is advised to seek appropriate professional advice as to how the relevant laws in Participant’s country may apply to Participant’s situation.</w:t>
      </w:r>
    </w:p>
    <w:p>
      <w:pPr>
        <w:spacing w:after="0" w:line="179" w:lineRule="exact"/>
        <w:rPr>
          <w:sz w:val="20"/>
          <w:szCs w:val="20"/>
          <w:color w:val="auto"/>
        </w:rPr>
      </w:pPr>
    </w:p>
    <w:p>
      <w:pPr>
        <w:ind w:right="40"/>
        <w:spacing w:after="0" w:line="275" w:lineRule="auto"/>
        <w:rPr>
          <w:sz w:val="20"/>
          <w:szCs w:val="20"/>
          <w:color w:val="auto"/>
        </w:rPr>
      </w:pPr>
      <w:r>
        <w:rPr>
          <w:rFonts w:ascii="Arial" w:cs="Arial" w:eastAsia="Arial" w:hAnsi="Arial"/>
          <w:sz w:val="15"/>
          <w:szCs w:val="15"/>
          <w:color w:val="auto"/>
        </w:rPr>
        <w:t>Finally, if Participant is a citizen or resident of a country other than the one in which Participant is currently working (or is considered as such for local law purposes) or if Participant moves to another country after receiving the Award of Restricted Stock Units, the information contained herein may not be applicable to Participant.</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-10-</w:t>
      </w:r>
    </w:p>
    <w:p>
      <w:pPr>
        <w:sectPr>
          <w:pgSz w:w="11900" w:h="16838" w:orient="portrait"/>
          <w:cols w:equalWidth="0" w:num="1">
            <w:col w:w="11400"/>
          </w:cols>
          <w:pgMar w:left="240" w:top="249" w:right="259" w:bottom="1440" w:gutter="0" w:footer="0" w:header="0"/>
        </w:sectPr>
      </w:pPr>
    </w:p>
    <w:bookmarkStart w:id="303" w:name="page304"/>
    <w:bookmarkEnd w:id="303"/>
    <w:p>
      <w:pPr>
        <w:jc w:val="center"/>
        <w:spacing w:after="0"/>
        <w:rPr>
          <w:sz w:val="20"/>
          <w:szCs w:val="20"/>
          <w:color w:val="auto"/>
        </w:rPr>
      </w:pPr>
      <w:r>
        <w:rPr>
          <w:rFonts w:ascii="Arial" w:cs="Arial" w:eastAsia="Arial" w:hAnsi="Arial"/>
          <w:sz w:val="15"/>
          <w:szCs w:val="15"/>
          <w:b w:val="1"/>
          <w:bCs w:val="1"/>
          <w:color w:val="auto"/>
        </w:rPr>
        <w:drawing>
          <wp:anchor simplePos="0" relativeHeight="251657728" behindDoc="1" locked="0" layoutInCell="0" allowOverlap="1">
            <wp:simplePos x="0" y="0"/>
            <wp:positionH relativeFrom="page">
              <wp:posOffset>133350</wp:posOffset>
            </wp:positionH>
            <wp:positionV relativeFrom="page">
              <wp:posOffset>89535</wp:posOffset>
            </wp:positionV>
            <wp:extent cx="7308850" cy="34290"/>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67">
                      <a:extLst>
                        <a:ext uri="{28A0092B-C50C-407E-A947-70E740481C1C}"/>
                      </a:extLst>
                    </a:blip>
                    <a:srcRect/>
                    <a:stretch>
                      <a:fillRect/>
                    </a:stretch>
                  </pic:blipFill>
                  <pic:spPr bwMode="auto">
                    <a:xfrm>
                      <a:off x="0" y="0"/>
                      <a:ext cx="7308850" cy="34290"/>
                    </a:xfrm>
                    <a:prstGeom prst="rect">
                      <a:avLst/>
                    </a:prstGeom>
                    <a:noFill/>
                  </pic:spPr>
                </pic:pic>
              </a:graphicData>
            </a:graphic>
          </wp:anchor>
        </w:drawing>
        <w:t>DROPBOX, INC.</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2018 EQUITY INCENTIVE PLAN</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ADDENDUM REGARDING OFFERINGS OF RESTRICTED STOCK UNITS TO PARTICIPANTS IN FRANCE</w:t>
      </w:r>
    </w:p>
    <w:p>
      <w:pPr>
        <w:spacing w:after="0" w:line="188" w:lineRule="exact"/>
        <w:rPr>
          <w:sz w:val="20"/>
          <w:szCs w:val="20"/>
          <w:color w:val="auto"/>
        </w:rPr>
      </w:pPr>
    </w:p>
    <w:p>
      <w:pPr>
        <w:spacing w:after="0"/>
        <w:rPr>
          <w:sz w:val="20"/>
          <w:szCs w:val="20"/>
          <w:color w:val="auto"/>
        </w:rPr>
      </w:pPr>
      <w:r>
        <w:rPr>
          <w:rFonts w:ascii="Arial" w:cs="Arial" w:eastAsia="Arial" w:hAnsi="Arial"/>
          <w:sz w:val="15"/>
          <w:szCs w:val="15"/>
          <w:b w:val="1"/>
          <w:bCs w:val="1"/>
          <w:u w:val="single" w:color="auto"/>
          <w:color w:val="auto"/>
        </w:rPr>
        <w:t>Type of Award</w:t>
      </w:r>
    </w:p>
    <w:p>
      <w:pPr>
        <w:spacing w:after="0" w:line="102" w:lineRule="exact"/>
        <w:rPr>
          <w:sz w:val="20"/>
          <w:szCs w:val="20"/>
          <w:color w:val="auto"/>
        </w:rPr>
      </w:pPr>
    </w:p>
    <w:p>
      <w:pPr>
        <w:ind w:right="620"/>
        <w:spacing w:after="0" w:line="275" w:lineRule="auto"/>
        <w:rPr>
          <w:sz w:val="20"/>
          <w:szCs w:val="20"/>
          <w:color w:val="auto"/>
        </w:rPr>
      </w:pPr>
      <w:r>
        <w:rPr>
          <w:rFonts w:ascii="Arial" w:cs="Arial" w:eastAsia="Arial" w:hAnsi="Arial"/>
          <w:sz w:val="15"/>
          <w:szCs w:val="15"/>
          <w:color w:val="auto"/>
        </w:rPr>
        <w:t>The RSUs are not intended to qualify for specific tax or social security treatment in France. Therefore, the Company has decided not to provide terms and conditions of the grant in compliance with the French Commercial Code provisions on French qualified awards.</w:t>
      </w:r>
    </w:p>
    <w:p>
      <w:pPr>
        <w:spacing w:after="0" w:line="232" w:lineRule="exact"/>
        <w:rPr>
          <w:sz w:val="20"/>
          <w:szCs w:val="20"/>
          <w:color w:val="auto"/>
        </w:rPr>
      </w:pPr>
    </w:p>
    <w:p>
      <w:pPr>
        <w:spacing w:after="0"/>
        <w:rPr>
          <w:sz w:val="20"/>
          <w:szCs w:val="20"/>
          <w:color w:val="auto"/>
        </w:rPr>
      </w:pPr>
      <w:r>
        <w:rPr>
          <w:rFonts w:ascii="Arial" w:cs="Arial" w:eastAsia="Arial" w:hAnsi="Arial"/>
          <w:sz w:val="15"/>
          <w:szCs w:val="15"/>
          <w:b w:val="1"/>
          <w:bCs w:val="1"/>
          <w:u w:val="single" w:color="auto"/>
          <w:color w:val="auto"/>
        </w:rPr>
        <w:t>Withholding taxes and related items</w:t>
      </w:r>
    </w:p>
    <w:p>
      <w:pPr>
        <w:spacing w:after="0" w:line="98" w:lineRule="exact"/>
        <w:rPr>
          <w:sz w:val="20"/>
          <w:szCs w:val="20"/>
          <w:color w:val="auto"/>
        </w:rPr>
      </w:pPr>
    </w:p>
    <w:p>
      <w:pPr>
        <w:ind w:firstLine="458"/>
        <w:spacing w:after="0" w:line="275" w:lineRule="auto"/>
        <w:rPr>
          <w:sz w:val="20"/>
          <w:szCs w:val="20"/>
          <w:color w:val="auto"/>
        </w:rPr>
      </w:pPr>
      <w:r>
        <w:rPr>
          <w:rFonts w:ascii="Arial" w:cs="Arial" w:eastAsia="Arial" w:hAnsi="Arial"/>
          <w:sz w:val="14"/>
          <w:szCs w:val="14"/>
          <w:color w:val="auto"/>
        </w:rPr>
        <w:t xml:space="preserve">Regardless of any action the Company, or, if different, Participant’s employer (the </w:t>
      </w:r>
      <w:r>
        <w:rPr>
          <w:rFonts w:ascii="Arial" w:cs="Arial" w:eastAsia="Arial" w:hAnsi="Arial"/>
          <w:sz w:val="14"/>
          <w:szCs w:val="14"/>
          <w:b w:val="1"/>
          <w:bCs w:val="1"/>
          <w:color w:val="auto"/>
        </w:rPr>
        <w:t>“</w:t>
      </w:r>
      <w:r>
        <w:rPr>
          <w:rFonts w:ascii="Arial" w:cs="Arial" w:eastAsia="Arial" w:hAnsi="Arial"/>
          <w:sz w:val="14"/>
          <w:szCs w:val="14"/>
          <w:b w:val="1"/>
          <w:bCs w:val="1"/>
          <w:u w:val="single" w:color="auto"/>
          <w:color w:val="auto"/>
        </w:rPr>
        <w:t>Employer</w:t>
      </w:r>
      <w:r>
        <w:rPr>
          <w:rFonts w:ascii="Arial" w:cs="Arial" w:eastAsia="Arial" w:hAnsi="Arial"/>
          <w:sz w:val="14"/>
          <w:szCs w:val="14"/>
          <w:b w:val="1"/>
          <w:bCs w:val="1"/>
          <w:color w:val="auto"/>
        </w:rPr>
        <w:t>”</w:t>
      </w:r>
      <w:r>
        <w:rPr>
          <w:rFonts w:ascii="Arial" w:cs="Arial" w:eastAsia="Arial" w:hAnsi="Arial"/>
          <w:sz w:val="14"/>
          <w:szCs w:val="14"/>
          <w:color w:val="auto"/>
        </w:rPr>
        <w:t>) takes with respect to any or all income tax, social security contributions, payroll tax, fringe benefits tax, payment on account or other tax-related items related to Participant’s participation in the Plan and legally applicable to Participant (“</w:t>
      </w:r>
      <w:r>
        <w:rPr>
          <w:rFonts w:ascii="Arial" w:cs="Arial" w:eastAsia="Arial" w:hAnsi="Arial"/>
          <w:sz w:val="14"/>
          <w:szCs w:val="14"/>
          <w:b w:val="1"/>
          <w:bCs w:val="1"/>
          <w:u w:val="single" w:color="auto"/>
          <w:color w:val="auto"/>
        </w:rPr>
        <w:t>Tax-Related Items</w:t>
      </w:r>
      <w:r>
        <w:rPr>
          <w:rFonts w:ascii="Arial" w:cs="Arial" w:eastAsia="Arial" w:hAnsi="Arial"/>
          <w:sz w:val="14"/>
          <w:szCs w:val="14"/>
          <w:color w:val="auto"/>
        </w:rPr>
        <w:t>”), Participant acknowledges and agrees that the ultimate liability for all Tax-Related Items is and remains Participant’s responsibility and may exceed the amount actually withheld by the Company or the Employer. Participant further acknowledges that the Company and/or the Employer (a) make no representations or undertakings regarding the treatment of any Tax-Related Items in connection with any aspect of the RSUs, including, but not limited to, the grant, vesting or settlement of the RSUs, the issuance of Shares upon settlement of the RSUs, the subsequent sale of Shares acquired under the Plan and the receipt of dividends or dividend equivalents, if any; and (b) do not commit to and are under no obligation to structure the terms of the RSUs or any aspect of the RSUs to reduce or eliminate Participant’s liability for Tax-Related Items or achieve any particular tax result. Further, if Participant is subject to Tax-Related Items in more than one jurisdiction, Participant acknowledges that the Company and/or the Employer (or former employer, as applicable) may be required to withhold or account for Tax-Related Items in more than one jurisdiction.</w:t>
      </w:r>
    </w:p>
    <w:p>
      <w:pPr>
        <w:spacing w:after="0" w:line="148" w:lineRule="exact"/>
        <w:rPr>
          <w:sz w:val="20"/>
          <w:szCs w:val="20"/>
          <w:color w:val="auto"/>
        </w:rPr>
      </w:pPr>
    </w:p>
    <w:p>
      <w:pPr>
        <w:ind w:right="240" w:firstLine="458"/>
        <w:spacing w:after="0" w:line="263" w:lineRule="auto"/>
        <w:rPr>
          <w:sz w:val="20"/>
          <w:szCs w:val="20"/>
          <w:color w:val="auto"/>
        </w:rPr>
      </w:pPr>
      <w:r>
        <w:rPr>
          <w:rFonts w:ascii="Arial" w:cs="Arial" w:eastAsia="Arial" w:hAnsi="Arial"/>
          <w:sz w:val="15"/>
          <w:szCs w:val="15"/>
          <w:color w:val="auto"/>
        </w:rPr>
        <w:t>Prior to any relevant taxable or tax/social security contributions withholding event, as applicable, Participant will pay or make adequate arrangements satisfactory to the Company and/or the Employer to satisfy all Tax-Related Items. In this regard, Participant authorizes the Company and/or the Employer, or their respective agents, at their discretion, to satisfy the obligations with regard to all Tax-Related Items by one or a combination of the following:</w:t>
      </w:r>
    </w:p>
    <w:p>
      <w:pPr>
        <w:spacing w:after="0" w:line="76" w:lineRule="exact"/>
        <w:rPr>
          <w:sz w:val="20"/>
          <w:szCs w:val="20"/>
          <w:color w:val="auto"/>
        </w:rPr>
      </w:pPr>
    </w:p>
    <w:p>
      <w:pPr>
        <w:ind w:left="900" w:hanging="459"/>
        <w:spacing w:after="0"/>
        <w:tabs>
          <w:tab w:leader="none" w:pos="900" w:val="left"/>
        </w:tabs>
        <w:numPr>
          <w:ilvl w:val="0"/>
          <w:numId w:val="194"/>
        </w:numPr>
        <w:rPr>
          <w:rFonts w:ascii="Arial" w:cs="Arial" w:eastAsia="Arial" w:hAnsi="Arial"/>
          <w:sz w:val="15"/>
          <w:szCs w:val="15"/>
          <w:color w:val="auto"/>
        </w:rPr>
      </w:pPr>
      <w:r>
        <w:rPr>
          <w:rFonts w:ascii="Arial" w:cs="Arial" w:eastAsia="Arial" w:hAnsi="Arial"/>
          <w:sz w:val="15"/>
          <w:szCs w:val="15"/>
          <w:color w:val="auto"/>
        </w:rPr>
        <w:t>withholding from Participant’s wages or other cash compensation paid to Participant by the Company and/or the Employer; or</w:t>
      </w:r>
    </w:p>
    <w:p>
      <w:pPr>
        <w:spacing w:after="0" w:line="109" w:lineRule="exact"/>
        <w:rPr>
          <w:rFonts w:ascii="Arial" w:cs="Arial" w:eastAsia="Arial" w:hAnsi="Arial"/>
          <w:sz w:val="15"/>
          <w:szCs w:val="15"/>
          <w:color w:val="auto"/>
        </w:rPr>
      </w:pPr>
    </w:p>
    <w:p>
      <w:pPr>
        <w:ind w:left="900" w:right="460" w:hanging="459"/>
        <w:spacing w:after="0" w:line="275" w:lineRule="auto"/>
        <w:tabs>
          <w:tab w:leader="none" w:pos="900" w:val="left"/>
        </w:tabs>
        <w:numPr>
          <w:ilvl w:val="0"/>
          <w:numId w:val="194"/>
        </w:numPr>
        <w:rPr>
          <w:rFonts w:ascii="Arial" w:cs="Arial" w:eastAsia="Arial" w:hAnsi="Arial"/>
          <w:sz w:val="15"/>
          <w:szCs w:val="15"/>
          <w:color w:val="auto"/>
        </w:rPr>
      </w:pPr>
      <w:r>
        <w:rPr>
          <w:rFonts w:ascii="Arial" w:cs="Arial" w:eastAsia="Arial" w:hAnsi="Arial"/>
          <w:sz w:val="15"/>
          <w:szCs w:val="15"/>
          <w:color w:val="auto"/>
        </w:rPr>
        <w:t>withholding from proceeds of the sale of Common Stock purchased upon vesting of the RSUs (Sell to Cover Arrangement) either through a voluntary sale or through a mandatory sale arranged by the Company (on Participant’s behalf pursuant to this authorization); or</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-11-</w:t>
      </w:r>
    </w:p>
    <w:p>
      <w:pPr>
        <w:sectPr>
          <w:pgSz w:w="11900" w:h="16838" w:orient="portrait"/>
          <w:cols w:equalWidth="0" w:num="1">
            <w:col w:w="11420"/>
          </w:cols>
          <w:pgMar w:left="240" w:top="250" w:right="239" w:bottom="1440" w:gutter="0" w:footer="0" w:header="0"/>
        </w:sectPr>
      </w:pPr>
    </w:p>
    <w:bookmarkStart w:id="304" w:name="page305"/>
    <w:bookmarkEnd w:id="304"/>
    <w:p>
      <w:pPr>
        <w:ind w:left="900" w:hanging="459"/>
        <w:spacing w:after="0"/>
        <w:tabs>
          <w:tab w:leader="none" w:pos="900" w:val="left"/>
        </w:tabs>
        <w:numPr>
          <w:ilvl w:val="0"/>
          <w:numId w:val="195"/>
        </w:numPr>
        <w:rPr>
          <w:rFonts w:ascii="Arial" w:cs="Arial" w:eastAsia="Arial" w:hAnsi="Arial"/>
          <w:sz w:val="15"/>
          <w:szCs w:val="15"/>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133350</wp:posOffset>
            </wp:positionH>
            <wp:positionV relativeFrom="page">
              <wp:posOffset>88900</wp:posOffset>
            </wp:positionV>
            <wp:extent cx="7308850" cy="33655"/>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68">
                      <a:extLst>
                        <a:ext uri="{28A0092B-C50C-407E-A947-70E740481C1C}"/>
                      </a:extLst>
                    </a:blip>
                    <a:srcRect/>
                    <a:stretch>
                      <a:fillRect/>
                    </a:stretch>
                  </pic:blipFill>
                  <pic:spPr bwMode="auto">
                    <a:xfrm>
                      <a:off x="0" y="0"/>
                      <a:ext cx="7308850" cy="33655"/>
                    </a:xfrm>
                    <a:prstGeom prst="rect">
                      <a:avLst/>
                    </a:prstGeom>
                    <a:noFill/>
                  </pic:spPr>
                </pic:pic>
              </a:graphicData>
            </a:graphic>
          </wp:anchor>
        </w:drawing>
        <w:t>withholding Common Stock to be issued upon vesting of the RSUs.</w:t>
      </w:r>
    </w:p>
    <w:p>
      <w:pPr>
        <w:spacing w:after="0" w:line="188" w:lineRule="exact"/>
        <w:rPr>
          <w:sz w:val="20"/>
          <w:szCs w:val="20"/>
          <w:color w:val="auto"/>
        </w:rPr>
      </w:pPr>
    </w:p>
    <w:p>
      <w:pPr>
        <w:spacing w:after="0" w:line="255" w:lineRule="auto"/>
        <w:rPr>
          <w:sz w:val="20"/>
          <w:szCs w:val="20"/>
          <w:color w:val="auto"/>
        </w:rPr>
      </w:pPr>
      <w:r>
        <w:rPr>
          <w:rFonts w:ascii="Arial" w:cs="Arial" w:eastAsia="Arial" w:hAnsi="Arial"/>
          <w:sz w:val="15"/>
          <w:szCs w:val="15"/>
          <w:color w:val="auto"/>
        </w:rPr>
        <w:t>Any Sell to Cover arrangement shall be pursuant to terms specified by the Company from time to time. No fractional Shares will be withheld, sold to cover the Tax-Related Items or issued pursuant to the grant of RSUs and the issuance of Shares thereunder; unless determined otherwise by the Company, any additional withholding for Tax-Related Items necessary for this reason will be done by the Company or the Employer, in its sole discretion, through Participant’s paycheck or other cash compensation paid to Participant by the Company and/or the Employer or through direct payment by Participant to the Company in the form of cash, check or other cash equivalent. Participant acknowledges and agrees that should the amount withheld from Participant’s sales proceeds be in excess of the amount of Tax-Related Items, the excess amount will be refunded to Participant as soon as administratively practicable and without any interest.</w:t>
      </w:r>
    </w:p>
    <w:p>
      <w:pPr>
        <w:spacing w:after="0" w:line="164" w:lineRule="exact"/>
        <w:rPr>
          <w:sz w:val="20"/>
          <w:szCs w:val="20"/>
          <w:color w:val="auto"/>
        </w:rPr>
      </w:pPr>
    </w:p>
    <w:p>
      <w:pPr>
        <w:ind w:right="140"/>
        <w:spacing w:after="0" w:line="259" w:lineRule="auto"/>
        <w:rPr>
          <w:sz w:val="20"/>
          <w:szCs w:val="20"/>
          <w:color w:val="auto"/>
        </w:rPr>
      </w:pPr>
      <w:r>
        <w:rPr>
          <w:rFonts w:ascii="Arial" w:cs="Arial" w:eastAsia="Arial" w:hAnsi="Arial"/>
          <w:sz w:val="15"/>
          <w:szCs w:val="15"/>
          <w:color w:val="auto"/>
        </w:rPr>
        <w:t>Participant shall pay to the Company or the Employer any amount of Tax-Related Items that the Company or the Employer may be required to withhold or account for as a result of Participant’s participation in the Plan that cannot be satisfied by the means previously described. The Company shall not be obligated to deliver any new certificate representing Shares issuable with respect to the RSUs to Participant or Participant’s legal representative unless and until Participant or Participant’s legal representative shall have paid or otherwise satisfied in full the amount of all Tax-Related Items.</w:t>
      </w:r>
    </w:p>
    <w:p>
      <w:pPr>
        <w:spacing w:after="0" w:line="244" w:lineRule="exact"/>
        <w:rPr>
          <w:sz w:val="20"/>
          <w:szCs w:val="20"/>
          <w:color w:val="auto"/>
        </w:rPr>
      </w:pPr>
    </w:p>
    <w:p>
      <w:pPr>
        <w:spacing w:after="0"/>
        <w:rPr>
          <w:sz w:val="20"/>
          <w:szCs w:val="20"/>
          <w:color w:val="auto"/>
        </w:rPr>
      </w:pPr>
      <w:r>
        <w:rPr>
          <w:rFonts w:ascii="Arial" w:cs="Arial" w:eastAsia="Arial" w:hAnsi="Arial"/>
          <w:sz w:val="15"/>
          <w:szCs w:val="15"/>
          <w:b w:val="1"/>
          <w:bCs w:val="1"/>
          <w:u w:val="single" w:color="auto"/>
          <w:color w:val="auto"/>
        </w:rPr>
        <w:t>Data Privacy</w:t>
      </w:r>
    </w:p>
    <w:p>
      <w:pPr>
        <w:spacing w:after="0" w:line="102" w:lineRule="exact"/>
        <w:rPr>
          <w:sz w:val="20"/>
          <w:szCs w:val="20"/>
          <w:color w:val="auto"/>
        </w:rPr>
      </w:pPr>
    </w:p>
    <w:p>
      <w:pPr>
        <w:spacing w:after="0"/>
        <w:rPr>
          <w:sz w:val="20"/>
          <w:szCs w:val="20"/>
          <w:color w:val="auto"/>
        </w:rPr>
      </w:pPr>
      <w:r>
        <w:rPr>
          <w:rFonts w:ascii="Arial" w:cs="Arial" w:eastAsia="Arial" w:hAnsi="Arial"/>
          <w:sz w:val="15"/>
          <w:szCs w:val="15"/>
          <w:color w:val="auto"/>
        </w:rPr>
        <w:t>Section 14 of the Award Agreement does not apply.</w:t>
      </w:r>
    </w:p>
    <w:p>
      <w:pPr>
        <w:spacing w:after="0" w:line="275" w:lineRule="exact"/>
        <w:rPr>
          <w:sz w:val="20"/>
          <w:szCs w:val="20"/>
          <w:color w:val="auto"/>
        </w:rPr>
      </w:pPr>
    </w:p>
    <w:p>
      <w:pPr>
        <w:spacing w:after="0"/>
        <w:rPr>
          <w:sz w:val="20"/>
          <w:szCs w:val="20"/>
          <w:color w:val="auto"/>
        </w:rPr>
      </w:pPr>
      <w:r>
        <w:rPr>
          <w:rFonts w:ascii="Arial" w:cs="Arial" w:eastAsia="Arial" w:hAnsi="Arial"/>
          <w:sz w:val="15"/>
          <w:szCs w:val="15"/>
          <w:b w:val="1"/>
          <w:bCs w:val="1"/>
          <w:u w:val="single" w:color="auto"/>
          <w:color w:val="auto"/>
        </w:rPr>
        <w:t>Language Consent</w:t>
      </w:r>
    </w:p>
    <w:p>
      <w:pPr>
        <w:spacing w:after="0" w:line="102" w:lineRule="exact"/>
        <w:rPr>
          <w:sz w:val="20"/>
          <w:szCs w:val="20"/>
          <w:color w:val="auto"/>
        </w:rPr>
      </w:pPr>
    </w:p>
    <w:p>
      <w:pPr>
        <w:spacing w:after="0"/>
        <w:rPr>
          <w:sz w:val="20"/>
          <w:szCs w:val="20"/>
          <w:color w:val="auto"/>
        </w:rPr>
      </w:pPr>
      <w:r>
        <w:rPr>
          <w:rFonts w:ascii="Arial" w:cs="Arial" w:eastAsia="Arial" w:hAnsi="Arial"/>
          <w:sz w:val="13"/>
          <w:szCs w:val="13"/>
          <w:color w:val="auto"/>
        </w:rPr>
        <w:t>By accepting the Agreement, Participant confirms having read and understood the documents relating to this grant (the Plan and the Agreement) which were provided in English language.</w:t>
      </w:r>
    </w:p>
    <w:p>
      <w:pPr>
        <w:spacing w:after="0" w:line="40" w:lineRule="exact"/>
        <w:rPr>
          <w:sz w:val="20"/>
          <w:szCs w:val="20"/>
          <w:color w:val="auto"/>
        </w:rPr>
      </w:pPr>
    </w:p>
    <w:p>
      <w:pPr>
        <w:spacing w:after="0"/>
        <w:rPr>
          <w:sz w:val="20"/>
          <w:szCs w:val="20"/>
          <w:color w:val="auto"/>
        </w:rPr>
      </w:pPr>
      <w:r>
        <w:rPr>
          <w:rFonts w:ascii="Arial" w:cs="Arial" w:eastAsia="Arial" w:hAnsi="Arial"/>
          <w:sz w:val="15"/>
          <w:szCs w:val="15"/>
          <w:color w:val="auto"/>
        </w:rPr>
        <w:t>Participant accepts the terms of those documents accordingly.</w:t>
      </w:r>
    </w:p>
    <w:p>
      <w:pPr>
        <w:spacing w:after="0" w:line="269" w:lineRule="exact"/>
        <w:rPr>
          <w:sz w:val="20"/>
          <w:szCs w:val="20"/>
          <w:color w:val="auto"/>
        </w:rPr>
      </w:pPr>
    </w:p>
    <w:p>
      <w:pPr>
        <w:spacing w:after="0"/>
        <w:rPr>
          <w:sz w:val="20"/>
          <w:szCs w:val="20"/>
          <w:color w:val="auto"/>
        </w:rPr>
      </w:pPr>
      <w:r>
        <w:rPr>
          <w:rFonts w:ascii="Arial" w:cs="Arial" w:eastAsia="Arial" w:hAnsi="Arial"/>
          <w:sz w:val="15"/>
          <w:szCs w:val="15"/>
          <w:i w:val="1"/>
          <w:iCs w:val="1"/>
          <w:u w:val="single" w:color="auto"/>
          <w:color w:val="auto"/>
        </w:rPr>
        <w:t>Consentement Relatif à la Langue Utilisée</w:t>
      </w:r>
    </w:p>
    <w:p>
      <w:pPr>
        <w:spacing w:after="0" w:line="98" w:lineRule="exact"/>
        <w:rPr>
          <w:sz w:val="20"/>
          <w:szCs w:val="20"/>
          <w:color w:val="auto"/>
        </w:rPr>
      </w:pPr>
    </w:p>
    <w:p>
      <w:pPr>
        <w:ind w:right="560"/>
        <w:spacing w:after="0" w:line="275" w:lineRule="auto"/>
        <w:rPr>
          <w:sz w:val="20"/>
          <w:szCs w:val="20"/>
          <w:color w:val="auto"/>
        </w:rPr>
      </w:pPr>
      <w:r>
        <w:rPr>
          <w:rFonts w:ascii="Arial" w:cs="Arial" w:eastAsia="Arial" w:hAnsi="Arial"/>
          <w:sz w:val="15"/>
          <w:szCs w:val="15"/>
          <w:i w:val="1"/>
          <w:iCs w:val="1"/>
          <w:color w:val="auto"/>
        </w:rPr>
        <w:t>En acceptant le Contrat, le Participant confirme avoir lu et compris les documents relatifs à cette attribution (le Plan et le Contrat) qui ont été communiqués en langue anglaise. Le Participant accepte les termes de ces documents en connaissance de cause.</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-12-</w:t>
      </w:r>
    </w:p>
    <w:p>
      <w:pPr>
        <w:sectPr>
          <w:pgSz w:w="11900" w:h="16838" w:orient="portrait"/>
          <w:cols w:equalWidth="0" w:num="1">
            <w:col w:w="11400"/>
          </w:cols>
          <w:pgMar w:left="240" w:top="252" w:right="259" w:bottom="1440" w:gutter="0" w:footer="0" w:header="0"/>
        </w:sectPr>
      </w:pPr>
    </w:p>
    <w:bookmarkStart w:id="305" w:name="page306"/>
    <w:bookmarkEnd w:id="305"/>
    <w:p>
      <w:pPr>
        <w:jc w:val="center"/>
        <w:ind w:right="-9"/>
        <w:spacing w:after="0"/>
        <w:rPr>
          <w:sz w:val="20"/>
          <w:szCs w:val="20"/>
          <w:color w:val="auto"/>
        </w:rPr>
      </w:pPr>
      <w:r>
        <w:rPr>
          <w:rFonts w:ascii="Arial" w:cs="Arial" w:eastAsia="Arial" w:hAnsi="Arial"/>
          <w:sz w:val="15"/>
          <w:szCs w:val="15"/>
          <w:b w:val="1"/>
          <w:bCs w:val="1"/>
          <w:color w:val="auto"/>
        </w:rPr>
        <w:drawing>
          <wp:anchor simplePos="0" relativeHeight="251657728" behindDoc="1" locked="0" layoutInCell="0" allowOverlap="1">
            <wp:simplePos x="0" y="0"/>
            <wp:positionH relativeFrom="page">
              <wp:posOffset>133350</wp:posOffset>
            </wp:positionH>
            <wp:positionV relativeFrom="page">
              <wp:posOffset>88900</wp:posOffset>
            </wp:positionV>
            <wp:extent cx="7308850" cy="33655"/>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69">
                      <a:extLst>
                        <a:ext uri="{28A0092B-C50C-407E-A947-70E740481C1C}"/>
                      </a:extLst>
                    </a:blip>
                    <a:srcRect/>
                    <a:stretch>
                      <a:fillRect/>
                    </a:stretch>
                  </pic:blipFill>
                  <pic:spPr bwMode="auto">
                    <a:xfrm>
                      <a:off x="0" y="0"/>
                      <a:ext cx="7308850" cy="33655"/>
                    </a:xfrm>
                    <a:prstGeom prst="rect">
                      <a:avLst/>
                    </a:prstGeom>
                    <a:noFill/>
                  </pic:spPr>
                </pic:pic>
              </a:graphicData>
            </a:graphic>
          </wp:anchor>
        </w:drawing>
        <w:t>DROPBOX, INC.</w:t>
      </w:r>
    </w:p>
    <w:p>
      <w:pPr>
        <w:spacing w:after="0" w:line="188" w:lineRule="exact"/>
        <w:rPr>
          <w:sz w:val="20"/>
          <w:szCs w:val="20"/>
          <w:color w:val="auto"/>
        </w:rPr>
      </w:pPr>
    </w:p>
    <w:p>
      <w:pPr>
        <w:jc w:val="center"/>
        <w:ind w:right="-9"/>
        <w:spacing w:after="0"/>
        <w:rPr>
          <w:sz w:val="20"/>
          <w:szCs w:val="20"/>
          <w:color w:val="auto"/>
        </w:rPr>
      </w:pPr>
      <w:r>
        <w:rPr>
          <w:rFonts w:ascii="Arial" w:cs="Arial" w:eastAsia="Arial" w:hAnsi="Arial"/>
          <w:sz w:val="15"/>
          <w:szCs w:val="15"/>
          <w:b w:val="1"/>
          <w:bCs w:val="1"/>
          <w:color w:val="auto"/>
        </w:rPr>
        <w:t>2018 EQUITY INCENTIVE PLAN</w:t>
      </w:r>
    </w:p>
    <w:p>
      <w:pPr>
        <w:spacing w:after="0" w:line="188" w:lineRule="exact"/>
        <w:rPr>
          <w:sz w:val="20"/>
          <w:szCs w:val="20"/>
          <w:color w:val="auto"/>
        </w:rPr>
      </w:pPr>
    </w:p>
    <w:p>
      <w:pPr>
        <w:jc w:val="center"/>
        <w:ind w:right="-9"/>
        <w:spacing w:after="0"/>
        <w:rPr>
          <w:sz w:val="20"/>
          <w:szCs w:val="20"/>
          <w:color w:val="auto"/>
        </w:rPr>
      </w:pPr>
      <w:r>
        <w:rPr>
          <w:rFonts w:ascii="Arial" w:cs="Arial" w:eastAsia="Arial" w:hAnsi="Arial"/>
          <w:sz w:val="15"/>
          <w:szCs w:val="15"/>
          <w:b w:val="1"/>
          <w:bCs w:val="1"/>
          <w:color w:val="auto"/>
        </w:rPr>
        <w:t>ADDENDUM REGARDING OFFERINGS OF RESTRICTED STOCK UNITS TO</w:t>
      </w:r>
    </w:p>
    <w:p>
      <w:pPr>
        <w:spacing w:after="0" w:line="21" w:lineRule="exact"/>
        <w:rPr>
          <w:sz w:val="20"/>
          <w:szCs w:val="20"/>
          <w:color w:val="auto"/>
        </w:rPr>
      </w:pPr>
    </w:p>
    <w:p>
      <w:pPr>
        <w:jc w:val="center"/>
        <w:ind w:right="-9"/>
        <w:spacing w:after="0"/>
        <w:rPr>
          <w:sz w:val="20"/>
          <w:szCs w:val="20"/>
          <w:color w:val="auto"/>
        </w:rPr>
      </w:pPr>
      <w:r>
        <w:rPr>
          <w:rFonts w:ascii="Arial" w:cs="Arial" w:eastAsia="Arial" w:hAnsi="Arial"/>
          <w:sz w:val="15"/>
          <w:szCs w:val="15"/>
          <w:b w:val="1"/>
          <w:bCs w:val="1"/>
          <w:color w:val="auto"/>
        </w:rPr>
        <w:t>PARTICIPANTS IN GERMANY</w:t>
      </w:r>
    </w:p>
    <w:p>
      <w:pPr>
        <w:spacing w:after="0" w:line="179" w:lineRule="exact"/>
        <w:rPr>
          <w:sz w:val="20"/>
          <w:szCs w:val="20"/>
          <w:color w:val="auto"/>
        </w:rPr>
      </w:pPr>
    </w:p>
    <w:p>
      <w:pPr>
        <w:ind w:left="10"/>
        <w:spacing w:after="0"/>
        <w:rPr>
          <w:sz w:val="20"/>
          <w:szCs w:val="20"/>
          <w:color w:val="auto"/>
        </w:rPr>
      </w:pPr>
      <w:r>
        <w:rPr>
          <w:rFonts w:ascii="Arial" w:cs="Arial" w:eastAsia="Arial" w:hAnsi="Arial"/>
          <w:sz w:val="14"/>
          <w:szCs w:val="14"/>
          <w:color w:val="auto"/>
        </w:rPr>
        <w:t>All capitalized terms used not defined herein shall have the meanings assigned to them in the Dropbox, Inc. 2018 Equity Incentive Plan, as amended from time to time (the “Plan”).</w:t>
      </w:r>
    </w:p>
    <w:p>
      <w:pPr>
        <w:spacing w:after="0" w:line="320" w:lineRule="exact"/>
        <w:rPr>
          <w:sz w:val="20"/>
          <w:szCs w:val="20"/>
          <w:color w:val="auto"/>
        </w:rPr>
      </w:pPr>
    </w:p>
    <w:p>
      <w:pPr>
        <w:ind w:left="450" w:hanging="450"/>
        <w:spacing w:after="0"/>
        <w:tabs>
          <w:tab w:leader="none" w:pos="450" w:val="left"/>
        </w:tabs>
        <w:numPr>
          <w:ilvl w:val="0"/>
          <w:numId w:val="196"/>
        </w:numPr>
        <w:rPr>
          <w:rFonts w:ascii="Arial" w:cs="Arial" w:eastAsia="Arial" w:hAnsi="Arial"/>
          <w:sz w:val="15"/>
          <w:szCs w:val="15"/>
          <w:b w:val="1"/>
          <w:bCs w:val="1"/>
          <w:color w:val="auto"/>
        </w:rPr>
      </w:pPr>
      <w:r>
        <w:rPr>
          <w:rFonts w:ascii="Arial" w:cs="Arial" w:eastAsia="Arial" w:hAnsi="Arial"/>
          <w:sz w:val="15"/>
          <w:szCs w:val="15"/>
          <w:b w:val="1"/>
          <w:bCs w:val="1"/>
          <w:color w:val="auto"/>
        </w:rPr>
        <w:t>Taxes</w:t>
      </w:r>
    </w:p>
    <w:p>
      <w:pPr>
        <w:spacing w:after="0" w:line="102" w:lineRule="exact"/>
        <w:rPr>
          <w:sz w:val="20"/>
          <w:szCs w:val="20"/>
          <w:color w:val="auto"/>
        </w:rPr>
      </w:pPr>
    </w:p>
    <w:p>
      <w:pPr>
        <w:ind w:left="10"/>
        <w:spacing w:after="0" w:line="274" w:lineRule="auto"/>
        <w:rPr>
          <w:sz w:val="20"/>
          <w:szCs w:val="20"/>
          <w:color w:val="auto"/>
        </w:rPr>
      </w:pPr>
      <w:r>
        <w:rPr>
          <w:rFonts w:ascii="Arial" w:cs="Arial" w:eastAsia="Arial" w:hAnsi="Arial"/>
          <w:sz w:val="14"/>
          <w:szCs w:val="14"/>
          <w:color w:val="auto"/>
        </w:rPr>
        <w:t>Regardless of any action the Company or Participant’s employer (the “Employer”) take with respect to any or all income tax, ancillary taxes (such as solidarity surcharge or church tax), wage tax withholding or other tax-related items related to Participant’s participation in the Plan and legally applicable to Participant (“Tax-Related Items”), Participant acknowledges that the ultimate liability for all Tax-Related Items is and remains Participant’s responsibility and may exceed the amount actually withheld by the Company or the Employer. Participant further acknowledges that the Company and/or the Employer (i) make no representations or undertakings regarding the treatment of any Tax-Related Items in connection with any aspect of the Plan, including, but not limited to, the grant of the RSUs, the purchase of Common Stock under the Plan, the subsequent sale of Common Stock purchased under the Plan and the receipt of any dividends on the Common Stock; and (ii) do not commit to and are under no obligation to structure the terms of the grant or any aspect of the RSUs to reduce or eliminate Participant’s liability for Tax-Related Items or achieve any particular tax result. Further, if Participant has become subject to tax in more than one jurisdiction between the date of grant of the RSUs and the date of any relevant taxable or tax withholding event, as applicable, Participant acknowledges that the Company and/or the Employer (or former employer, as applicable) may be required to withhold or account for Tax-Related Items in more than one jurisdiction.</w:t>
      </w:r>
    </w:p>
    <w:p>
      <w:pPr>
        <w:spacing w:after="0" w:line="150" w:lineRule="exact"/>
        <w:rPr>
          <w:sz w:val="20"/>
          <w:szCs w:val="20"/>
          <w:color w:val="auto"/>
        </w:rPr>
      </w:pPr>
    </w:p>
    <w:p>
      <w:pPr>
        <w:ind w:left="10"/>
        <w:spacing w:after="0"/>
        <w:rPr>
          <w:sz w:val="20"/>
          <w:szCs w:val="20"/>
          <w:color w:val="auto"/>
        </w:rPr>
      </w:pPr>
      <w:r>
        <w:rPr>
          <w:rFonts w:ascii="Arial" w:cs="Arial" w:eastAsia="Arial" w:hAnsi="Arial"/>
          <w:sz w:val="14"/>
          <w:szCs w:val="14"/>
          <w:color w:val="auto"/>
        </w:rPr>
        <w:t>Prior to any relevant taxable or tax withholding event, as applicable, Participant will pay or make adequate arrangements satisfactory to the Company and/or the Employer to satisfy all</w:t>
      </w:r>
    </w:p>
    <w:p>
      <w:pPr>
        <w:spacing w:after="0" w:line="29" w:lineRule="exact"/>
        <w:rPr>
          <w:sz w:val="20"/>
          <w:szCs w:val="20"/>
          <w:color w:val="auto"/>
        </w:rPr>
      </w:pPr>
    </w:p>
    <w:p>
      <w:pPr>
        <w:ind w:left="10"/>
        <w:spacing w:after="0"/>
        <w:rPr>
          <w:sz w:val="20"/>
          <w:szCs w:val="20"/>
          <w:color w:val="auto"/>
        </w:rPr>
      </w:pPr>
      <w:r>
        <w:rPr>
          <w:rFonts w:ascii="Arial" w:cs="Arial" w:eastAsia="Arial" w:hAnsi="Arial"/>
          <w:sz w:val="14"/>
          <w:szCs w:val="14"/>
          <w:color w:val="auto"/>
        </w:rPr>
        <w:t>Tax-Related Items. In this regard, Participant authorizes the Company and/or the Employer, or their respective agents, at their discretion, to satisfy the obligations with regard to all</w:t>
      </w:r>
    </w:p>
    <w:p>
      <w:pPr>
        <w:spacing w:after="0" w:line="19" w:lineRule="exact"/>
        <w:rPr>
          <w:sz w:val="20"/>
          <w:szCs w:val="20"/>
          <w:color w:val="auto"/>
        </w:rPr>
      </w:pPr>
    </w:p>
    <w:p>
      <w:pPr>
        <w:ind w:left="10"/>
        <w:spacing w:after="0"/>
        <w:rPr>
          <w:sz w:val="20"/>
          <w:szCs w:val="20"/>
          <w:color w:val="auto"/>
        </w:rPr>
      </w:pPr>
      <w:r>
        <w:rPr>
          <w:rFonts w:ascii="Arial" w:cs="Arial" w:eastAsia="Arial" w:hAnsi="Arial"/>
          <w:sz w:val="15"/>
          <w:szCs w:val="15"/>
          <w:color w:val="auto"/>
        </w:rPr>
        <w:t>Tax-Related Items by one or a combination of the following:</w:t>
      </w:r>
    </w:p>
    <w:p>
      <w:pPr>
        <w:spacing w:after="0" w:line="100" w:lineRule="exact"/>
        <w:rPr>
          <w:sz w:val="20"/>
          <w:szCs w:val="20"/>
          <w:color w:val="auto"/>
        </w:rPr>
      </w:pPr>
    </w:p>
    <w:p>
      <w:pPr>
        <w:ind w:left="910" w:hanging="459"/>
        <w:spacing w:after="0"/>
        <w:tabs>
          <w:tab w:leader="none" w:pos="910" w:val="left"/>
        </w:tabs>
        <w:numPr>
          <w:ilvl w:val="0"/>
          <w:numId w:val="197"/>
        </w:numPr>
        <w:rPr>
          <w:rFonts w:ascii="Arial" w:cs="Arial" w:eastAsia="Arial" w:hAnsi="Arial"/>
          <w:sz w:val="15"/>
          <w:szCs w:val="15"/>
          <w:color w:val="auto"/>
        </w:rPr>
      </w:pPr>
      <w:r>
        <w:rPr>
          <w:rFonts w:ascii="Arial" w:cs="Arial" w:eastAsia="Arial" w:hAnsi="Arial"/>
          <w:sz w:val="15"/>
          <w:szCs w:val="15"/>
          <w:color w:val="auto"/>
        </w:rPr>
        <w:t>withholding from Participant’s wages or other cash compensation paid to Participant by the Company and/or the Employer; or</w:t>
      </w:r>
    </w:p>
    <w:p>
      <w:pPr>
        <w:spacing w:after="0" w:line="109" w:lineRule="exact"/>
        <w:rPr>
          <w:rFonts w:ascii="Arial" w:cs="Arial" w:eastAsia="Arial" w:hAnsi="Arial"/>
          <w:sz w:val="15"/>
          <w:szCs w:val="15"/>
          <w:color w:val="auto"/>
        </w:rPr>
      </w:pPr>
    </w:p>
    <w:p>
      <w:pPr>
        <w:ind w:left="910" w:right="300" w:hanging="459"/>
        <w:spacing w:after="0" w:line="275" w:lineRule="auto"/>
        <w:tabs>
          <w:tab w:leader="none" w:pos="910" w:val="left"/>
        </w:tabs>
        <w:numPr>
          <w:ilvl w:val="0"/>
          <w:numId w:val="197"/>
        </w:numPr>
        <w:rPr>
          <w:rFonts w:ascii="Arial" w:cs="Arial" w:eastAsia="Arial" w:hAnsi="Arial"/>
          <w:sz w:val="15"/>
          <w:szCs w:val="15"/>
          <w:color w:val="auto"/>
        </w:rPr>
      </w:pPr>
      <w:r>
        <w:rPr>
          <w:rFonts w:ascii="Arial" w:cs="Arial" w:eastAsia="Arial" w:hAnsi="Arial"/>
          <w:sz w:val="15"/>
          <w:szCs w:val="15"/>
          <w:color w:val="auto"/>
        </w:rPr>
        <w:t>withholding from proceeds of the sale of Common Stock purchased upon vesting of the RSUs either through a voluntary sale or through a mandatory sale arranged by the Company (on Participant’s behalf pursuant to this authorization); or</w:t>
      </w:r>
    </w:p>
    <w:p>
      <w:pPr>
        <w:spacing w:after="0" w:line="67" w:lineRule="exact"/>
        <w:rPr>
          <w:rFonts w:ascii="Arial" w:cs="Arial" w:eastAsia="Arial" w:hAnsi="Arial"/>
          <w:sz w:val="15"/>
          <w:szCs w:val="15"/>
          <w:color w:val="auto"/>
        </w:rPr>
      </w:pPr>
    </w:p>
    <w:p>
      <w:pPr>
        <w:ind w:left="910" w:hanging="459"/>
        <w:spacing w:after="0"/>
        <w:tabs>
          <w:tab w:leader="none" w:pos="910" w:val="left"/>
        </w:tabs>
        <w:numPr>
          <w:ilvl w:val="0"/>
          <w:numId w:val="197"/>
        </w:numPr>
        <w:rPr>
          <w:rFonts w:ascii="Arial" w:cs="Arial" w:eastAsia="Arial" w:hAnsi="Arial"/>
          <w:sz w:val="15"/>
          <w:szCs w:val="15"/>
          <w:color w:val="auto"/>
        </w:rPr>
      </w:pPr>
      <w:r>
        <w:rPr>
          <w:rFonts w:ascii="Arial" w:cs="Arial" w:eastAsia="Arial" w:hAnsi="Arial"/>
          <w:sz w:val="15"/>
          <w:szCs w:val="15"/>
          <w:color w:val="auto"/>
        </w:rPr>
        <w:t>withholding Common Stock to be issued upon vesting of the RSUs.</w:t>
      </w:r>
    </w:p>
    <w:p>
      <w:pPr>
        <w:spacing w:after="0" w:line="188" w:lineRule="exact"/>
        <w:rPr>
          <w:sz w:val="20"/>
          <w:szCs w:val="20"/>
          <w:color w:val="auto"/>
        </w:rPr>
      </w:pPr>
    </w:p>
    <w:p>
      <w:pPr>
        <w:ind w:left="10" w:right="60"/>
        <w:spacing w:after="0" w:line="275" w:lineRule="auto"/>
        <w:rPr>
          <w:sz w:val="20"/>
          <w:szCs w:val="20"/>
          <w:color w:val="auto"/>
        </w:rPr>
      </w:pPr>
      <w:r>
        <w:rPr>
          <w:rFonts w:ascii="Arial" w:cs="Arial" w:eastAsia="Arial" w:hAnsi="Arial"/>
          <w:sz w:val="15"/>
          <w:szCs w:val="15"/>
          <w:color w:val="auto"/>
        </w:rPr>
        <w:t>If payment or withholding of the income tax due in connection with the RSUs is not made within 10 days following the end of the month in which the event giving rise to the liability occurs (the “Due Date”), the amount of any uncollected income tax, including ancillary taxes, shall constitute a loan</w:t>
      </w:r>
    </w:p>
    <w:p>
      <w:pPr>
        <w:spacing w:after="0" w:line="90" w:lineRule="exact"/>
        <w:rPr>
          <w:sz w:val="20"/>
          <w:szCs w:val="20"/>
          <w:color w:val="auto"/>
        </w:rPr>
      </w:pPr>
    </w:p>
    <w:p>
      <w:pPr>
        <w:jc w:val="center"/>
        <w:ind w:right="-9"/>
        <w:spacing w:after="0"/>
        <w:rPr>
          <w:sz w:val="20"/>
          <w:szCs w:val="20"/>
          <w:color w:val="auto"/>
        </w:rPr>
      </w:pPr>
      <w:r>
        <w:rPr>
          <w:rFonts w:ascii="Arial" w:cs="Arial" w:eastAsia="Arial" w:hAnsi="Arial"/>
          <w:sz w:val="15"/>
          <w:szCs w:val="15"/>
          <w:color w:val="auto"/>
        </w:rPr>
        <w:t>-13-</w:t>
      </w:r>
    </w:p>
    <w:p>
      <w:pPr>
        <w:sectPr>
          <w:pgSz w:w="11900" w:h="16838" w:orient="portrait"/>
          <w:cols w:equalWidth="0" w:num="1">
            <w:col w:w="11430"/>
          </w:cols>
          <w:pgMar w:left="230" w:top="249" w:right="239" w:bottom="1440" w:gutter="0" w:footer="0" w:header="0"/>
        </w:sectPr>
      </w:pPr>
    </w:p>
    <w:bookmarkStart w:id="306" w:name="page307"/>
    <w:bookmarkEnd w:id="306"/>
    <w:p>
      <w:pPr>
        <w:ind w:left="10"/>
        <w:spacing w:after="0" w:line="263"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133350</wp:posOffset>
            </wp:positionH>
            <wp:positionV relativeFrom="page">
              <wp:posOffset>88900</wp:posOffset>
            </wp:positionV>
            <wp:extent cx="7308850" cy="34290"/>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70">
                      <a:extLst>
                        <a:ext uri="{28A0092B-C50C-407E-A947-70E740481C1C}"/>
                      </a:extLst>
                    </a:blip>
                    <a:srcRect/>
                    <a:stretch>
                      <a:fillRect/>
                    </a:stretch>
                  </pic:blipFill>
                  <pic:spPr bwMode="auto">
                    <a:xfrm>
                      <a:off x="0" y="0"/>
                      <a:ext cx="7308850" cy="34290"/>
                    </a:xfrm>
                    <a:prstGeom prst="rect">
                      <a:avLst/>
                    </a:prstGeom>
                    <a:noFill/>
                  </pic:spPr>
                </pic:pic>
              </a:graphicData>
            </a:graphic>
          </wp:anchor>
        </w:drawing>
        <w:t>owed by Participant to the Employer effective on the Due Date. Participant agrees that the loan will bear interest at the then current market rate as published by the German Federal Bank and in accordance with the regulations set by the German tax authorities as published in the letter dated May 19, 2015, it will be immediately due and repayable, and the Company and/or the Employer may recover it at any time thereafter by any of the means referred to in this Section 1.</w:t>
      </w:r>
    </w:p>
    <w:p>
      <w:pPr>
        <w:spacing w:after="0" w:line="155" w:lineRule="exact"/>
        <w:rPr>
          <w:sz w:val="20"/>
          <w:szCs w:val="20"/>
          <w:color w:val="auto"/>
        </w:rPr>
      </w:pPr>
    </w:p>
    <w:p>
      <w:pPr>
        <w:ind w:left="10" w:right="120"/>
        <w:spacing w:after="0" w:line="283" w:lineRule="auto"/>
        <w:rPr>
          <w:sz w:val="20"/>
          <w:szCs w:val="20"/>
          <w:color w:val="auto"/>
        </w:rPr>
      </w:pPr>
      <w:r>
        <w:rPr>
          <w:rFonts w:ascii="Arial" w:cs="Arial" w:eastAsia="Arial" w:hAnsi="Arial"/>
          <w:sz w:val="14"/>
          <w:szCs w:val="14"/>
          <w:color w:val="auto"/>
        </w:rPr>
        <w:t>Notwithstanding the foregoing, if the taxes due are not collected from or paid by Participant by the Due Date, it cannot be excluded that German tax authorities qualify the amount of any uncollected income tax as a benefit to Participant on which additional income tax are payable. The Participant will be responsible for any income tax due on this additional benefit and for reimbursing the Company or the Employer, as applicable, any taxes collected from the Company or the Employer, as applicable, on this additional benefit, which Participant agrees that the Company or the Employer, as applicable, may recover from Participant by any of the means referred to in this Section 1.</w:t>
      </w:r>
    </w:p>
    <w:p>
      <w:pPr>
        <w:spacing w:after="0" w:line="143" w:lineRule="exact"/>
        <w:rPr>
          <w:sz w:val="20"/>
          <w:szCs w:val="20"/>
          <w:color w:val="auto"/>
        </w:rPr>
      </w:pPr>
    </w:p>
    <w:p>
      <w:pPr>
        <w:ind w:left="10" w:right="120"/>
        <w:spacing w:after="0" w:line="290" w:lineRule="auto"/>
        <w:rPr>
          <w:sz w:val="20"/>
          <w:szCs w:val="20"/>
          <w:color w:val="auto"/>
        </w:rPr>
      </w:pPr>
      <w:r>
        <w:rPr>
          <w:rFonts w:ascii="Arial" w:cs="Arial" w:eastAsia="Arial" w:hAnsi="Arial"/>
          <w:sz w:val="14"/>
          <w:szCs w:val="14"/>
          <w:color w:val="auto"/>
        </w:rPr>
        <w:t>Participant shall pay to the Company or the Employer any amount of Tax-Related Items that the Company or the Employer may be required to withhold or account for as a result of Participant’s participation in the Plan that cannot be satisfied by the means previously described. The Company may refuse to purchase Common Stock on Participant’s behalf and/or refuse to deliver Common Stock purchased under the Plan if Participant fails to comply with his or her obligations in connection with the Tax-Related Items.</w:t>
      </w:r>
    </w:p>
    <w:p>
      <w:pPr>
        <w:spacing w:after="0" w:line="258" w:lineRule="exact"/>
        <w:rPr>
          <w:sz w:val="20"/>
          <w:szCs w:val="20"/>
          <w:color w:val="auto"/>
        </w:rPr>
      </w:pPr>
    </w:p>
    <w:p>
      <w:pPr>
        <w:ind w:left="450" w:hanging="450"/>
        <w:spacing w:after="0"/>
        <w:tabs>
          <w:tab w:leader="none" w:pos="450" w:val="left"/>
        </w:tabs>
        <w:numPr>
          <w:ilvl w:val="0"/>
          <w:numId w:val="198"/>
        </w:numPr>
        <w:rPr>
          <w:rFonts w:ascii="Arial" w:cs="Arial" w:eastAsia="Arial" w:hAnsi="Arial"/>
          <w:sz w:val="15"/>
          <w:szCs w:val="15"/>
          <w:b w:val="1"/>
          <w:bCs w:val="1"/>
          <w:color w:val="auto"/>
        </w:rPr>
      </w:pPr>
      <w:r>
        <w:rPr>
          <w:rFonts w:ascii="Arial" w:cs="Arial" w:eastAsia="Arial" w:hAnsi="Arial"/>
          <w:sz w:val="15"/>
          <w:szCs w:val="15"/>
          <w:b w:val="1"/>
          <w:bCs w:val="1"/>
          <w:color w:val="auto"/>
        </w:rPr>
        <w:t>Social Security</w:t>
      </w:r>
    </w:p>
    <w:p>
      <w:pPr>
        <w:spacing w:after="0" w:line="102" w:lineRule="exact"/>
        <w:rPr>
          <w:sz w:val="20"/>
          <w:szCs w:val="20"/>
          <w:color w:val="auto"/>
        </w:rPr>
      </w:pPr>
    </w:p>
    <w:p>
      <w:pPr>
        <w:ind w:left="10" w:right="500"/>
        <w:spacing w:after="0" w:line="275" w:lineRule="auto"/>
        <w:rPr>
          <w:sz w:val="20"/>
          <w:szCs w:val="20"/>
          <w:color w:val="auto"/>
        </w:rPr>
      </w:pPr>
      <w:r>
        <w:rPr>
          <w:rFonts w:ascii="Arial" w:cs="Arial" w:eastAsia="Arial" w:hAnsi="Arial"/>
          <w:sz w:val="15"/>
          <w:szCs w:val="15"/>
          <w:color w:val="auto"/>
        </w:rPr>
        <w:t>The local employer will withhold and deduct social security contributions, to the extent the obligation arises to do so and will comply with any corresponding reporting obligations in accordance with German social security laws and regulations.</w:t>
      </w:r>
    </w:p>
    <w:p>
      <w:pPr>
        <w:spacing w:after="0" w:line="232" w:lineRule="exact"/>
        <w:rPr>
          <w:sz w:val="20"/>
          <w:szCs w:val="20"/>
          <w:color w:val="auto"/>
        </w:rPr>
      </w:pPr>
    </w:p>
    <w:p>
      <w:pPr>
        <w:ind w:left="10"/>
        <w:spacing w:after="0"/>
        <w:tabs>
          <w:tab w:leader="none" w:pos="249" w:val="left"/>
        </w:tabs>
        <w:rPr>
          <w:sz w:val="20"/>
          <w:szCs w:val="20"/>
          <w:color w:val="auto"/>
        </w:rPr>
      </w:pPr>
      <w:r>
        <w:rPr>
          <w:rFonts w:ascii="Arial" w:cs="Arial" w:eastAsia="Arial" w:hAnsi="Arial"/>
          <w:sz w:val="15"/>
          <w:szCs w:val="15"/>
          <w:b w:val="1"/>
          <w:bCs w:val="1"/>
          <w:color w:val="auto"/>
        </w:rPr>
        <w:t>3.</w:t>
      </w:r>
      <w:r>
        <w:rPr>
          <w:sz w:val="20"/>
          <w:szCs w:val="20"/>
          <w:color w:val="auto"/>
        </w:rPr>
        <w:tab/>
      </w:r>
      <w:r>
        <w:rPr>
          <w:rFonts w:ascii="Arial" w:cs="Arial" w:eastAsia="Arial" w:hAnsi="Arial"/>
          <w:sz w:val="14"/>
          <w:szCs w:val="14"/>
          <w:b w:val="1"/>
          <w:bCs w:val="1"/>
          <w:color w:val="auto"/>
        </w:rPr>
        <w:t>Nature of Grant</w:t>
      </w:r>
    </w:p>
    <w:p>
      <w:pPr>
        <w:spacing w:after="0" w:line="102" w:lineRule="exact"/>
        <w:rPr>
          <w:sz w:val="20"/>
          <w:szCs w:val="20"/>
          <w:color w:val="auto"/>
        </w:rPr>
      </w:pPr>
    </w:p>
    <w:p>
      <w:pPr>
        <w:ind w:left="10"/>
        <w:spacing w:after="0"/>
        <w:rPr>
          <w:sz w:val="20"/>
          <w:szCs w:val="20"/>
          <w:color w:val="auto"/>
        </w:rPr>
      </w:pPr>
      <w:r>
        <w:rPr>
          <w:rFonts w:ascii="Arial" w:cs="Arial" w:eastAsia="Arial" w:hAnsi="Arial"/>
          <w:sz w:val="15"/>
          <w:szCs w:val="15"/>
          <w:color w:val="auto"/>
        </w:rPr>
        <w:t>By enrolling in the Plan, Participant acknowledges, understands and agrees that:</w:t>
      </w:r>
    </w:p>
    <w:p>
      <w:pPr>
        <w:spacing w:after="0" w:line="109" w:lineRule="exact"/>
        <w:rPr>
          <w:sz w:val="20"/>
          <w:szCs w:val="20"/>
          <w:color w:val="auto"/>
        </w:rPr>
      </w:pPr>
    </w:p>
    <w:p>
      <w:pPr>
        <w:ind w:left="910" w:hanging="459"/>
        <w:spacing w:after="0"/>
        <w:tabs>
          <w:tab w:leader="none" w:pos="910" w:val="left"/>
        </w:tabs>
        <w:numPr>
          <w:ilvl w:val="0"/>
          <w:numId w:val="199"/>
        </w:numPr>
        <w:rPr>
          <w:rFonts w:ascii="Arial" w:cs="Arial" w:eastAsia="Arial" w:hAnsi="Arial"/>
          <w:sz w:val="14"/>
          <w:szCs w:val="14"/>
          <w:color w:val="auto"/>
        </w:rPr>
      </w:pPr>
      <w:r>
        <w:rPr>
          <w:rFonts w:ascii="Arial" w:cs="Arial" w:eastAsia="Arial" w:hAnsi="Arial"/>
          <w:sz w:val="14"/>
          <w:szCs w:val="14"/>
          <w:color w:val="auto"/>
        </w:rPr>
        <w:t>the Plan is established voluntarily by the Company, it is discretionary in nature and it may be modified, amended, suspended or terminated by the Company at any time;</w:t>
      </w:r>
    </w:p>
    <w:p>
      <w:pPr>
        <w:spacing w:after="0" w:line="120" w:lineRule="exact"/>
        <w:rPr>
          <w:rFonts w:ascii="Arial" w:cs="Arial" w:eastAsia="Arial" w:hAnsi="Arial"/>
          <w:sz w:val="14"/>
          <w:szCs w:val="14"/>
          <w:color w:val="auto"/>
        </w:rPr>
      </w:pPr>
    </w:p>
    <w:p>
      <w:pPr>
        <w:ind w:left="910" w:right="240" w:hanging="459"/>
        <w:spacing w:after="0" w:line="275" w:lineRule="auto"/>
        <w:tabs>
          <w:tab w:leader="none" w:pos="910" w:val="left"/>
        </w:tabs>
        <w:numPr>
          <w:ilvl w:val="0"/>
          <w:numId w:val="199"/>
        </w:numPr>
        <w:rPr>
          <w:rFonts w:ascii="Arial" w:cs="Arial" w:eastAsia="Arial" w:hAnsi="Arial"/>
          <w:sz w:val="15"/>
          <w:szCs w:val="15"/>
          <w:color w:val="auto"/>
        </w:rPr>
      </w:pPr>
      <w:r>
        <w:rPr>
          <w:rFonts w:ascii="Arial" w:cs="Arial" w:eastAsia="Arial" w:hAnsi="Arial"/>
          <w:sz w:val="15"/>
          <w:szCs w:val="15"/>
          <w:color w:val="auto"/>
        </w:rPr>
        <w:t>the grant of RSUs is voluntary and occasional and does not create any contractual or other right to receive future grants of RSUs, or benefits in lieu of RSUs, even if RSUs have been granted repeatedly in the past;</w:t>
      </w:r>
    </w:p>
    <w:p>
      <w:pPr>
        <w:spacing w:after="0" w:line="67" w:lineRule="exact"/>
        <w:rPr>
          <w:rFonts w:ascii="Arial" w:cs="Arial" w:eastAsia="Arial" w:hAnsi="Arial"/>
          <w:sz w:val="15"/>
          <w:szCs w:val="15"/>
          <w:color w:val="auto"/>
        </w:rPr>
      </w:pPr>
    </w:p>
    <w:p>
      <w:pPr>
        <w:ind w:left="910" w:hanging="459"/>
        <w:spacing w:after="0"/>
        <w:tabs>
          <w:tab w:leader="none" w:pos="910" w:val="left"/>
        </w:tabs>
        <w:numPr>
          <w:ilvl w:val="0"/>
          <w:numId w:val="199"/>
        </w:numPr>
        <w:rPr>
          <w:rFonts w:ascii="Arial" w:cs="Arial" w:eastAsia="Arial" w:hAnsi="Arial"/>
          <w:sz w:val="15"/>
          <w:szCs w:val="15"/>
          <w:color w:val="auto"/>
        </w:rPr>
      </w:pPr>
      <w:r>
        <w:rPr>
          <w:rFonts w:ascii="Arial" w:cs="Arial" w:eastAsia="Arial" w:hAnsi="Arial"/>
          <w:sz w:val="15"/>
          <w:szCs w:val="15"/>
          <w:color w:val="auto"/>
        </w:rPr>
        <w:t>all decisions with respect to future grants of RSUs, if any, will be at the sole discretion of the Company;</w:t>
      </w:r>
    </w:p>
    <w:p>
      <w:pPr>
        <w:spacing w:after="0" w:line="109" w:lineRule="exact"/>
        <w:rPr>
          <w:rFonts w:ascii="Arial" w:cs="Arial" w:eastAsia="Arial" w:hAnsi="Arial"/>
          <w:sz w:val="15"/>
          <w:szCs w:val="15"/>
          <w:color w:val="auto"/>
        </w:rPr>
      </w:pPr>
    </w:p>
    <w:p>
      <w:pPr>
        <w:ind w:left="910" w:right="300" w:hanging="459"/>
        <w:spacing w:after="0" w:line="275" w:lineRule="auto"/>
        <w:tabs>
          <w:tab w:leader="none" w:pos="910" w:val="left"/>
        </w:tabs>
        <w:numPr>
          <w:ilvl w:val="0"/>
          <w:numId w:val="199"/>
        </w:numPr>
        <w:rPr>
          <w:rFonts w:ascii="Arial" w:cs="Arial" w:eastAsia="Arial" w:hAnsi="Arial"/>
          <w:sz w:val="15"/>
          <w:szCs w:val="15"/>
          <w:color w:val="auto"/>
        </w:rPr>
      </w:pPr>
      <w:r>
        <w:rPr>
          <w:rFonts w:ascii="Arial" w:cs="Arial" w:eastAsia="Arial" w:hAnsi="Arial"/>
          <w:sz w:val="15"/>
          <w:szCs w:val="15"/>
          <w:color w:val="auto"/>
        </w:rPr>
        <w:t>Participant’s participation in the Plan shall not create a right to further employment with the Employer and shall not interfere with the ability of the Employer to terminate Participant’s employment relationship at any time;</w:t>
      </w:r>
    </w:p>
    <w:p>
      <w:pPr>
        <w:spacing w:after="0" w:line="67" w:lineRule="exact"/>
        <w:rPr>
          <w:rFonts w:ascii="Arial" w:cs="Arial" w:eastAsia="Arial" w:hAnsi="Arial"/>
          <w:sz w:val="15"/>
          <w:szCs w:val="15"/>
          <w:color w:val="auto"/>
        </w:rPr>
      </w:pPr>
    </w:p>
    <w:p>
      <w:pPr>
        <w:ind w:left="910" w:hanging="459"/>
        <w:spacing w:after="0"/>
        <w:tabs>
          <w:tab w:leader="none" w:pos="910" w:val="left"/>
        </w:tabs>
        <w:numPr>
          <w:ilvl w:val="0"/>
          <w:numId w:val="199"/>
        </w:numPr>
        <w:rPr>
          <w:rFonts w:ascii="Arial" w:cs="Arial" w:eastAsia="Arial" w:hAnsi="Arial"/>
          <w:sz w:val="15"/>
          <w:szCs w:val="15"/>
          <w:color w:val="auto"/>
        </w:rPr>
      </w:pPr>
      <w:r>
        <w:rPr>
          <w:rFonts w:ascii="Arial" w:cs="Arial" w:eastAsia="Arial" w:hAnsi="Arial"/>
          <w:sz w:val="15"/>
          <w:szCs w:val="15"/>
          <w:color w:val="auto"/>
        </w:rPr>
        <w:t>Participant is voluntarily participating in the Plan;</w:t>
      </w:r>
    </w:p>
    <w:p>
      <w:pPr>
        <w:spacing w:after="0" w:line="109" w:lineRule="exact"/>
        <w:rPr>
          <w:rFonts w:ascii="Arial" w:cs="Arial" w:eastAsia="Arial" w:hAnsi="Arial"/>
          <w:sz w:val="15"/>
          <w:szCs w:val="15"/>
          <w:color w:val="auto"/>
        </w:rPr>
      </w:pPr>
    </w:p>
    <w:p>
      <w:pPr>
        <w:ind w:left="910" w:right="300" w:hanging="459"/>
        <w:spacing w:after="0" w:line="275" w:lineRule="auto"/>
        <w:tabs>
          <w:tab w:leader="none" w:pos="910" w:val="left"/>
        </w:tabs>
        <w:numPr>
          <w:ilvl w:val="0"/>
          <w:numId w:val="199"/>
        </w:numPr>
        <w:rPr>
          <w:rFonts w:ascii="Arial" w:cs="Arial" w:eastAsia="Arial" w:hAnsi="Arial"/>
          <w:sz w:val="15"/>
          <w:szCs w:val="15"/>
          <w:color w:val="auto"/>
        </w:rPr>
      </w:pPr>
      <w:r>
        <w:rPr>
          <w:rFonts w:ascii="Arial" w:cs="Arial" w:eastAsia="Arial" w:hAnsi="Arial"/>
          <w:sz w:val="15"/>
          <w:szCs w:val="15"/>
          <w:color w:val="auto"/>
        </w:rPr>
        <w:t>the RSUs and the Common Stock subject to the RSUs are an extraordinary item that does not constitute compensation of any kind for services of any kind rendered to the Company or the Employer, and which is outside the scope of Participant’s employment contract, if any;</w:t>
      </w:r>
    </w:p>
    <w:p>
      <w:pPr>
        <w:spacing w:after="0" w:line="90" w:lineRule="exact"/>
        <w:rPr>
          <w:sz w:val="20"/>
          <w:szCs w:val="20"/>
          <w:color w:val="auto"/>
        </w:rPr>
      </w:pPr>
    </w:p>
    <w:p>
      <w:pPr>
        <w:jc w:val="center"/>
        <w:ind w:right="-29"/>
        <w:spacing w:after="0"/>
        <w:rPr>
          <w:sz w:val="20"/>
          <w:szCs w:val="20"/>
          <w:color w:val="auto"/>
        </w:rPr>
      </w:pPr>
      <w:r>
        <w:rPr>
          <w:rFonts w:ascii="Arial" w:cs="Arial" w:eastAsia="Arial" w:hAnsi="Arial"/>
          <w:sz w:val="15"/>
          <w:szCs w:val="15"/>
          <w:color w:val="auto"/>
        </w:rPr>
        <w:t>-14-</w:t>
      </w:r>
    </w:p>
    <w:p>
      <w:pPr>
        <w:sectPr>
          <w:pgSz w:w="11900" w:h="16838" w:orient="portrait"/>
          <w:cols w:equalWidth="0" w:num="1">
            <w:col w:w="11430"/>
          </w:cols>
          <w:pgMar w:left="230" w:top="253" w:right="239" w:bottom="1440" w:gutter="0" w:footer="0" w:header="0"/>
        </w:sectPr>
      </w:pPr>
    </w:p>
    <w:bookmarkStart w:id="307" w:name="page308"/>
    <w:bookmarkEnd w:id="307"/>
    <w:p>
      <w:pPr>
        <w:ind w:left="1800" w:hanging="671"/>
        <w:spacing w:after="0"/>
        <w:tabs>
          <w:tab w:leader="none" w:pos="1800" w:val="left"/>
        </w:tabs>
        <w:numPr>
          <w:ilvl w:val="0"/>
          <w:numId w:val="200"/>
        </w:numPr>
        <w:rPr>
          <w:rFonts w:ascii="Arial" w:cs="Arial" w:eastAsia="Arial" w:hAnsi="Arial"/>
          <w:sz w:val="15"/>
          <w:szCs w:val="15"/>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133350</wp:posOffset>
            </wp:positionH>
            <wp:positionV relativeFrom="page">
              <wp:posOffset>88900</wp:posOffset>
            </wp:positionV>
            <wp:extent cx="7308850" cy="34290"/>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71">
                      <a:extLst>
                        <a:ext uri="{28A0092B-C50C-407E-A947-70E740481C1C}"/>
                      </a:extLst>
                    </a:blip>
                    <a:srcRect/>
                    <a:stretch>
                      <a:fillRect/>
                    </a:stretch>
                  </pic:blipFill>
                  <pic:spPr bwMode="auto">
                    <a:xfrm>
                      <a:off x="0" y="0"/>
                      <a:ext cx="7308850" cy="34290"/>
                    </a:xfrm>
                    <a:prstGeom prst="rect">
                      <a:avLst/>
                    </a:prstGeom>
                    <a:noFill/>
                  </pic:spPr>
                </pic:pic>
              </a:graphicData>
            </a:graphic>
          </wp:anchor>
        </w:drawing>
        <w:t>the RSUs and the Common Stock subject to the RSUs are not intended to replace any pension rights or compensation;</w:t>
      </w:r>
    </w:p>
    <w:p>
      <w:pPr>
        <w:spacing w:after="0" w:line="109" w:lineRule="exact"/>
        <w:rPr>
          <w:rFonts w:ascii="Arial" w:cs="Arial" w:eastAsia="Arial" w:hAnsi="Arial"/>
          <w:sz w:val="15"/>
          <w:szCs w:val="15"/>
          <w:color w:val="auto"/>
        </w:rPr>
      </w:pPr>
    </w:p>
    <w:p>
      <w:pPr>
        <w:ind w:left="1800" w:right="40" w:hanging="671"/>
        <w:spacing w:after="0" w:line="259" w:lineRule="auto"/>
        <w:tabs>
          <w:tab w:leader="none" w:pos="1800" w:val="left"/>
        </w:tabs>
        <w:numPr>
          <w:ilvl w:val="0"/>
          <w:numId w:val="200"/>
        </w:numPr>
        <w:rPr>
          <w:rFonts w:ascii="Arial" w:cs="Arial" w:eastAsia="Arial" w:hAnsi="Arial"/>
          <w:sz w:val="15"/>
          <w:szCs w:val="15"/>
          <w:color w:val="auto"/>
        </w:rPr>
      </w:pPr>
      <w:r>
        <w:rPr>
          <w:rFonts w:ascii="Arial" w:cs="Arial" w:eastAsia="Arial" w:hAnsi="Arial"/>
          <w:sz w:val="15"/>
          <w:szCs w:val="15"/>
          <w:color w:val="auto"/>
        </w:rPr>
        <w:t>the RSUs and the Common Stock subject to the RSUs are not part of normal or expected compensation or salary for any purposes, including, but not limited to, calculating any severance, resignation, termination, redundancy, end of service payments, bonuses, long-service awards, pension or retirement or welfare benefits or similar payments and in no event should be considered as compensation for, or relating in any way to, past services for the Company, the Employer or any Subsidiary;</w:t>
      </w:r>
    </w:p>
    <w:p>
      <w:pPr>
        <w:spacing w:after="0" w:line="78" w:lineRule="exact"/>
        <w:rPr>
          <w:rFonts w:ascii="Arial" w:cs="Arial" w:eastAsia="Arial" w:hAnsi="Arial"/>
          <w:sz w:val="15"/>
          <w:szCs w:val="15"/>
          <w:color w:val="auto"/>
        </w:rPr>
      </w:pPr>
    </w:p>
    <w:p>
      <w:pPr>
        <w:ind w:left="1800" w:right="80" w:hanging="671"/>
        <w:spacing w:after="0" w:line="275" w:lineRule="auto"/>
        <w:tabs>
          <w:tab w:leader="none" w:pos="1800" w:val="left"/>
        </w:tabs>
        <w:numPr>
          <w:ilvl w:val="0"/>
          <w:numId w:val="200"/>
        </w:numPr>
        <w:rPr>
          <w:rFonts w:ascii="Arial" w:cs="Arial" w:eastAsia="Arial" w:hAnsi="Arial"/>
          <w:sz w:val="15"/>
          <w:szCs w:val="15"/>
          <w:color w:val="auto"/>
        </w:rPr>
      </w:pPr>
      <w:r>
        <w:rPr>
          <w:rFonts w:ascii="Arial" w:cs="Arial" w:eastAsia="Arial" w:hAnsi="Arial"/>
          <w:sz w:val="15"/>
          <w:szCs w:val="15"/>
          <w:color w:val="auto"/>
        </w:rPr>
        <w:t>the grant of RSUs and participation in the Plan will not be interpreted to form an employment contract or relationship between Participant and the Company or any Subsidiary;</w:t>
      </w:r>
    </w:p>
    <w:p>
      <w:pPr>
        <w:spacing w:after="0" w:line="67" w:lineRule="exact"/>
        <w:rPr>
          <w:rFonts w:ascii="Arial" w:cs="Arial" w:eastAsia="Arial" w:hAnsi="Arial"/>
          <w:sz w:val="15"/>
          <w:szCs w:val="15"/>
          <w:color w:val="auto"/>
        </w:rPr>
      </w:pPr>
    </w:p>
    <w:p>
      <w:pPr>
        <w:ind w:left="1800" w:hanging="671"/>
        <w:spacing w:after="0"/>
        <w:tabs>
          <w:tab w:leader="none" w:pos="1800" w:val="left"/>
        </w:tabs>
        <w:numPr>
          <w:ilvl w:val="0"/>
          <w:numId w:val="200"/>
        </w:numPr>
        <w:rPr>
          <w:rFonts w:ascii="Arial" w:cs="Arial" w:eastAsia="Arial" w:hAnsi="Arial"/>
          <w:sz w:val="14"/>
          <w:szCs w:val="14"/>
          <w:color w:val="auto"/>
        </w:rPr>
      </w:pPr>
      <w:r>
        <w:rPr>
          <w:rFonts w:ascii="Arial" w:cs="Arial" w:eastAsia="Arial" w:hAnsi="Arial"/>
          <w:sz w:val="14"/>
          <w:szCs w:val="14"/>
          <w:color w:val="auto"/>
        </w:rPr>
        <w:t>the future value of the underlying Common Stock purchased or to be purchased under the Plan is unknown and cannot be predicted with certainty;</w:t>
      </w:r>
    </w:p>
    <w:p>
      <w:pPr>
        <w:spacing w:after="0" w:line="120" w:lineRule="exact"/>
        <w:rPr>
          <w:rFonts w:ascii="Arial" w:cs="Arial" w:eastAsia="Arial" w:hAnsi="Arial"/>
          <w:sz w:val="14"/>
          <w:szCs w:val="14"/>
          <w:color w:val="auto"/>
        </w:rPr>
      </w:pPr>
    </w:p>
    <w:p>
      <w:pPr>
        <w:ind w:left="1800" w:hanging="671"/>
        <w:spacing w:after="0" w:line="277" w:lineRule="auto"/>
        <w:tabs>
          <w:tab w:leader="none" w:pos="1800" w:val="left"/>
        </w:tabs>
        <w:numPr>
          <w:ilvl w:val="0"/>
          <w:numId w:val="200"/>
        </w:numPr>
        <w:rPr>
          <w:rFonts w:ascii="Arial" w:cs="Arial" w:eastAsia="Arial" w:hAnsi="Arial"/>
          <w:sz w:val="14"/>
          <w:szCs w:val="14"/>
          <w:color w:val="auto"/>
        </w:rPr>
      </w:pPr>
      <w:r>
        <w:rPr>
          <w:rFonts w:ascii="Arial" w:cs="Arial" w:eastAsia="Arial" w:hAnsi="Arial"/>
          <w:sz w:val="14"/>
          <w:szCs w:val="14"/>
          <w:color w:val="auto"/>
        </w:rPr>
        <w:t>no claim or entitlement to compensation or damages shall arise from forfeiture of the RSUs resulting from termination of Participant’s employment by the Company or the Employer (for any reason whatsoever and whether or not in breach of local employment laws) and, in consideration of the grant of the RSUs to which Participant is otherwise not entitled, Participant irrevocably agrees never to institute any claim against the Company or the Employer, waives the ability, if any, to bring any such claim and releases the Company and the Employer from any such claim; if, notwithstanding the foregoing, any such claim is allowed by a court of competent jurisdiction, then, by enrolling in and participating in the Plan, Participant shall be deemed irrevocably to have agreed not to pursue such claim and agrees to execute any and all documents necessary to request dismissal or withdrawal of such claims;</w:t>
      </w:r>
    </w:p>
    <w:p>
      <w:pPr>
        <w:spacing w:after="0" w:line="69" w:lineRule="exact"/>
        <w:rPr>
          <w:rFonts w:ascii="Arial" w:cs="Arial" w:eastAsia="Arial" w:hAnsi="Arial"/>
          <w:sz w:val="14"/>
          <w:szCs w:val="14"/>
          <w:color w:val="auto"/>
        </w:rPr>
      </w:pPr>
    </w:p>
    <w:p>
      <w:pPr>
        <w:ind w:left="1800" w:hanging="671"/>
        <w:spacing w:after="0"/>
        <w:tabs>
          <w:tab w:leader="none" w:pos="1800" w:val="left"/>
        </w:tabs>
        <w:numPr>
          <w:ilvl w:val="0"/>
          <w:numId w:val="200"/>
        </w:numPr>
        <w:rPr>
          <w:rFonts w:ascii="Arial" w:cs="Arial" w:eastAsia="Arial" w:hAnsi="Arial"/>
          <w:sz w:val="14"/>
          <w:szCs w:val="14"/>
          <w:color w:val="auto"/>
        </w:rPr>
      </w:pPr>
      <w:r>
        <w:rPr>
          <w:rFonts w:ascii="Arial" w:cs="Arial" w:eastAsia="Arial" w:hAnsi="Arial"/>
          <w:sz w:val="14"/>
          <w:szCs w:val="14"/>
          <w:color w:val="auto"/>
        </w:rPr>
        <w:t>the RSUs and the benefits under the Plan, if any, will not necessarily transfer to another company in the case of a merger, take-over or transfer of liability.</w:t>
      </w:r>
    </w:p>
    <w:p>
      <w:pPr>
        <w:spacing w:after="0" w:line="286" w:lineRule="exact"/>
        <w:rPr>
          <w:sz w:val="20"/>
          <w:szCs w:val="20"/>
          <w:color w:val="auto"/>
        </w:rPr>
      </w:pPr>
    </w:p>
    <w:p>
      <w:pPr>
        <w:spacing w:after="0"/>
        <w:tabs>
          <w:tab w:leader="none" w:pos="240" w:val="left"/>
        </w:tabs>
        <w:rPr>
          <w:sz w:val="20"/>
          <w:szCs w:val="20"/>
          <w:color w:val="auto"/>
        </w:rPr>
      </w:pPr>
      <w:r>
        <w:rPr>
          <w:rFonts w:ascii="Arial" w:cs="Arial" w:eastAsia="Arial" w:hAnsi="Arial"/>
          <w:sz w:val="15"/>
          <w:szCs w:val="15"/>
          <w:b w:val="1"/>
          <w:bCs w:val="1"/>
          <w:color w:val="auto"/>
        </w:rPr>
        <w:t>4.</w:t>
      </w:r>
      <w:r>
        <w:rPr>
          <w:sz w:val="20"/>
          <w:szCs w:val="20"/>
          <w:color w:val="auto"/>
        </w:rPr>
        <w:tab/>
      </w:r>
      <w:r>
        <w:rPr>
          <w:rFonts w:ascii="Arial" w:cs="Arial" w:eastAsia="Arial" w:hAnsi="Arial"/>
          <w:sz w:val="13"/>
          <w:szCs w:val="13"/>
          <w:b w:val="1"/>
          <w:bCs w:val="1"/>
          <w:color w:val="auto"/>
        </w:rPr>
        <w:t>No Advice Regarding Grant</w:t>
      </w:r>
    </w:p>
    <w:p>
      <w:pPr>
        <w:spacing w:after="0" w:line="102" w:lineRule="exact"/>
        <w:rPr>
          <w:sz w:val="20"/>
          <w:szCs w:val="20"/>
          <w:color w:val="auto"/>
        </w:rPr>
      </w:pPr>
    </w:p>
    <w:p>
      <w:pPr>
        <w:ind w:right="100"/>
        <w:spacing w:after="0" w:line="263" w:lineRule="auto"/>
        <w:rPr>
          <w:sz w:val="20"/>
          <w:szCs w:val="20"/>
          <w:color w:val="auto"/>
        </w:rPr>
      </w:pPr>
      <w:r>
        <w:rPr>
          <w:rFonts w:ascii="Arial" w:cs="Arial" w:eastAsia="Arial" w:hAnsi="Arial"/>
          <w:sz w:val="15"/>
          <w:szCs w:val="15"/>
          <w:color w:val="auto"/>
        </w:rPr>
        <w:t>The Company is not providing any tax, legal or financial advice, nor is the Company making any recommendations regarding participation in the Plan or the acquisition or sale of the underlying Common Stock. Participant is hereby advised to consult with his or her own personal tax, legal and financial advisors regarding participation in the Plan before taking any action related to the Plan.</w:t>
      </w:r>
    </w:p>
    <w:p>
      <w:pPr>
        <w:spacing w:after="0" w:line="241" w:lineRule="exact"/>
        <w:rPr>
          <w:sz w:val="20"/>
          <w:szCs w:val="20"/>
          <w:color w:val="auto"/>
        </w:rPr>
      </w:pPr>
    </w:p>
    <w:p>
      <w:pPr>
        <w:spacing w:after="0"/>
        <w:tabs>
          <w:tab w:leader="none" w:pos="240" w:val="left"/>
        </w:tabs>
        <w:rPr>
          <w:sz w:val="20"/>
          <w:szCs w:val="20"/>
          <w:color w:val="auto"/>
        </w:rPr>
      </w:pPr>
      <w:r>
        <w:rPr>
          <w:rFonts w:ascii="Arial" w:cs="Arial" w:eastAsia="Arial" w:hAnsi="Arial"/>
          <w:sz w:val="15"/>
          <w:szCs w:val="15"/>
          <w:b w:val="1"/>
          <w:bCs w:val="1"/>
          <w:color w:val="auto"/>
        </w:rPr>
        <w:t>5.</w:t>
      </w:r>
      <w:r>
        <w:rPr>
          <w:sz w:val="20"/>
          <w:szCs w:val="20"/>
          <w:color w:val="auto"/>
        </w:rPr>
        <w:tab/>
      </w:r>
      <w:r>
        <w:rPr>
          <w:rFonts w:ascii="Arial" w:cs="Arial" w:eastAsia="Arial" w:hAnsi="Arial"/>
          <w:sz w:val="13"/>
          <w:szCs w:val="13"/>
          <w:b w:val="1"/>
          <w:bCs w:val="1"/>
          <w:color w:val="auto"/>
        </w:rPr>
        <w:t>Data Privacy</w:t>
      </w:r>
    </w:p>
    <w:p>
      <w:pPr>
        <w:spacing w:after="0" w:line="102" w:lineRule="exact"/>
        <w:rPr>
          <w:sz w:val="20"/>
          <w:szCs w:val="20"/>
          <w:color w:val="auto"/>
        </w:rPr>
      </w:pPr>
    </w:p>
    <w:p>
      <w:pPr>
        <w:spacing w:after="0"/>
        <w:rPr>
          <w:sz w:val="20"/>
          <w:szCs w:val="20"/>
          <w:color w:val="auto"/>
        </w:rPr>
      </w:pPr>
      <w:r>
        <w:rPr>
          <w:rFonts w:ascii="Arial" w:cs="Arial" w:eastAsia="Arial" w:hAnsi="Arial"/>
          <w:sz w:val="15"/>
          <w:szCs w:val="15"/>
          <w:color w:val="auto"/>
        </w:rPr>
        <w:t>Section 14 of the Award Agreement does not apply.</w:t>
      </w:r>
    </w:p>
    <w:p>
      <w:pPr>
        <w:spacing w:after="0" w:line="132"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-15-</w:t>
      </w:r>
    </w:p>
    <w:p>
      <w:pPr>
        <w:sectPr>
          <w:pgSz w:w="11900" w:h="16838" w:orient="portrait"/>
          <w:cols w:equalWidth="0" w:num="1">
            <w:col w:w="11440"/>
          </w:cols>
          <w:pgMar w:left="240" w:top="253" w:right="219" w:bottom="1440" w:gutter="0" w:footer="0" w:header="0"/>
        </w:sectPr>
      </w:pPr>
    </w:p>
    <w:bookmarkStart w:id="308" w:name="page309"/>
    <w:bookmarkEnd w:id="308"/>
    <w:p>
      <w:pPr>
        <w:spacing w:after="0"/>
        <w:tabs>
          <w:tab w:leader="none" w:pos="240" w:val="left"/>
        </w:tabs>
        <w:rPr>
          <w:sz w:val="20"/>
          <w:szCs w:val="20"/>
          <w:color w:val="auto"/>
        </w:rPr>
      </w:pPr>
      <w:r>
        <w:rPr>
          <w:rFonts w:ascii="Arial" w:cs="Arial" w:eastAsia="Arial" w:hAnsi="Arial"/>
          <w:sz w:val="15"/>
          <w:szCs w:val="15"/>
          <w:b w:val="1"/>
          <w:bCs w:val="1"/>
          <w:color w:val="auto"/>
        </w:rPr>
        <w:drawing>
          <wp:anchor simplePos="0" relativeHeight="251657728" behindDoc="1" locked="0" layoutInCell="0" allowOverlap="1">
            <wp:simplePos x="0" y="0"/>
            <wp:positionH relativeFrom="page">
              <wp:posOffset>133350</wp:posOffset>
            </wp:positionH>
            <wp:positionV relativeFrom="page">
              <wp:posOffset>88900</wp:posOffset>
            </wp:positionV>
            <wp:extent cx="7308850" cy="34290"/>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72">
                      <a:extLst>
                        <a:ext uri="{28A0092B-C50C-407E-A947-70E740481C1C}"/>
                      </a:extLst>
                    </a:blip>
                    <a:srcRect/>
                    <a:stretch>
                      <a:fillRect/>
                    </a:stretch>
                  </pic:blipFill>
                  <pic:spPr bwMode="auto">
                    <a:xfrm>
                      <a:off x="0" y="0"/>
                      <a:ext cx="7308850" cy="34290"/>
                    </a:xfrm>
                    <a:prstGeom prst="rect">
                      <a:avLst/>
                    </a:prstGeom>
                    <a:noFill/>
                  </pic:spPr>
                </pic:pic>
              </a:graphicData>
            </a:graphic>
          </wp:anchor>
        </w:drawing>
        <w:t>6.</w:t>
      </w:r>
      <w:r>
        <w:rPr>
          <w:sz w:val="20"/>
          <w:szCs w:val="20"/>
          <w:color w:val="auto"/>
        </w:rPr>
        <w:tab/>
      </w:r>
      <w:r>
        <w:rPr>
          <w:rFonts w:ascii="Arial" w:cs="Arial" w:eastAsia="Arial" w:hAnsi="Arial"/>
          <w:sz w:val="13"/>
          <w:szCs w:val="13"/>
          <w:b w:val="1"/>
          <w:bCs w:val="1"/>
          <w:color w:val="auto"/>
        </w:rPr>
        <w:t>Impositionof Other Requirements</w:t>
      </w:r>
    </w:p>
    <w:p>
      <w:pPr>
        <w:spacing w:after="0" w:line="102" w:lineRule="exact"/>
        <w:rPr>
          <w:sz w:val="20"/>
          <w:szCs w:val="20"/>
          <w:color w:val="auto"/>
        </w:rPr>
      </w:pPr>
    </w:p>
    <w:p>
      <w:pPr>
        <w:ind w:right="120"/>
        <w:spacing w:after="0" w:line="263" w:lineRule="auto"/>
        <w:rPr>
          <w:sz w:val="20"/>
          <w:szCs w:val="20"/>
          <w:color w:val="auto"/>
        </w:rPr>
      </w:pPr>
      <w:r>
        <w:rPr>
          <w:rFonts w:ascii="Arial" w:cs="Arial" w:eastAsia="Arial" w:hAnsi="Arial"/>
          <w:sz w:val="15"/>
          <w:szCs w:val="15"/>
          <w:color w:val="auto"/>
        </w:rPr>
        <w:t>The Company reserves the right to impose other requirements on Participant’s participation in the Plan, on the RSUs and on any Common Stock acquired under the Plan, to the extent the Company determines it is necessary or advisable in order to comply with local law or facilitate the administration of the Plan, and to require Participant to sign any additional agreements or undertakings that may be necessary to accomplish the foregoing.</w:t>
      </w:r>
    </w:p>
    <w:p>
      <w:pPr>
        <w:spacing w:after="0" w:line="173" w:lineRule="exact"/>
        <w:rPr>
          <w:sz w:val="20"/>
          <w:szCs w:val="20"/>
          <w:color w:val="auto"/>
        </w:rPr>
      </w:pPr>
    </w:p>
    <w:p>
      <w:pPr>
        <w:spacing w:after="0"/>
        <w:tabs>
          <w:tab w:leader="none" w:pos="220" w:val="left"/>
        </w:tabs>
        <w:rPr>
          <w:sz w:val="20"/>
          <w:szCs w:val="20"/>
          <w:color w:val="auto"/>
        </w:rPr>
      </w:pPr>
      <w:r>
        <w:rPr>
          <w:rFonts w:ascii="Arial" w:cs="Arial" w:eastAsia="Arial" w:hAnsi="Arial"/>
          <w:sz w:val="15"/>
          <w:szCs w:val="15"/>
          <w:b w:val="1"/>
          <w:bCs w:val="1"/>
          <w:color w:val="auto"/>
        </w:rPr>
        <w:t>7.</w:t>
      </w:r>
      <w:r>
        <w:rPr>
          <w:sz w:val="20"/>
          <w:szCs w:val="20"/>
          <w:color w:val="auto"/>
        </w:rPr>
        <w:tab/>
      </w:r>
      <w:r>
        <w:rPr>
          <w:rFonts w:ascii="Arial" w:cs="Arial" w:eastAsia="Arial" w:hAnsi="Arial"/>
          <w:sz w:val="13"/>
          <w:szCs w:val="13"/>
          <w:b w:val="1"/>
          <w:bCs w:val="1"/>
          <w:color w:val="auto"/>
        </w:rPr>
        <w:t>Acknowledgement</w:t>
      </w:r>
    </w:p>
    <w:p>
      <w:pPr>
        <w:spacing w:after="0" w:line="102" w:lineRule="exact"/>
        <w:rPr>
          <w:sz w:val="20"/>
          <w:szCs w:val="20"/>
          <w:color w:val="auto"/>
        </w:rPr>
      </w:pPr>
    </w:p>
    <w:p>
      <w:pPr>
        <w:spacing w:after="0" w:line="275" w:lineRule="auto"/>
        <w:rPr>
          <w:sz w:val="20"/>
          <w:szCs w:val="20"/>
          <w:color w:val="auto"/>
        </w:rPr>
      </w:pPr>
      <w:r>
        <w:rPr>
          <w:rFonts w:ascii="Arial" w:cs="Arial" w:eastAsia="Arial" w:hAnsi="Arial"/>
          <w:sz w:val="15"/>
          <w:szCs w:val="15"/>
          <w:color w:val="auto"/>
        </w:rPr>
        <w:t>By enrolling in the Plan, Participant agrees to be bound by, and understands that his or her participation in the Plan is subject to, the terms and conditions set forth in this Appendix, as well as the terms and conditions set forth in the Plan.</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-16-</w:t>
      </w:r>
    </w:p>
    <w:p>
      <w:pPr>
        <w:sectPr>
          <w:pgSz w:w="11900" w:h="16838" w:orient="portrait"/>
          <w:cols w:equalWidth="0" w:num="1">
            <w:col w:w="11440"/>
          </w:cols>
          <w:pgMar w:left="240" w:top="249" w:right="219" w:bottom="1440" w:gutter="0" w:footer="0" w:header="0"/>
        </w:sectPr>
      </w:pPr>
    </w:p>
    <w:bookmarkStart w:id="309" w:name="page310"/>
    <w:bookmarkEnd w:id="309"/>
    <w:p>
      <w:pPr>
        <w:ind w:left="5140"/>
        <w:spacing w:after="0"/>
        <w:rPr>
          <w:sz w:val="20"/>
          <w:szCs w:val="20"/>
          <w:color w:val="auto"/>
        </w:rPr>
      </w:pPr>
      <w:r>
        <w:rPr>
          <w:rFonts w:ascii="Arial" w:cs="Arial" w:eastAsia="Arial" w:hAnsi="Arial"/>
          <w:sz w:val="15"/>
          <w:szCs w:val="15"/>
          <w:b w:val="1"/>
          <w:bCs w:val="1"/>
          <w:color w:val="auto"/>
        </w:rPr>
        <w:drawing>
          <wp:anchor simplePos="0" relativeHeight="251657728" behindDoc="1" locked="0" layoutInCell="0" allowOverlap="1">
            <wp:simplePos x="0" y="0"/>
            <wp:positionH relativeFrom="page">
              <wp:posOffset>133350</wp:posOffset>
            </wp:positionH>
            <wp:positionV relativeFrom="page">
              <wp:posOffset>88900</wp:posOffset>
            </wp:positionV>
            <wp:extent cx="7308850" cy="34290"/>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73">
                      <a:extLst>
                        <a:ext uri="{28A0092B-C50C-407E-A947-70E740481C1C}"/>
                      </a:extLst>
                    </a:blip>
                    <a:srcRect/>
                    <a:stretch>
                      <a:fillRect/>
                    </a:stretch>
                  </pic:blipFill>
                  <pic:spPr bwMode="auto">
                    <a:xfrm>
                      <a:off x="0" y="0"/>
                      <a:ext cx="7308850" cy="34290"/>
                    </a:xfrm>
                    <a:prstGeom prst="rect">
                      <a:avLst/>
                    </a:prstGeom>
                    <a:noFill/>
                  </pic:spPr>
                </pic:pic>
              </a:graphicData>
            </a:graphic>
          </wp:anchor>
        </w:drawing>
        <w:t>DROPBOX, INC.</w:t>
      </w:r>
    </w:p>
    <w:p>
      <w:pPr>
        <w:spacing w:after="0" w:line="98" w:lineRule="exact"/>
        <w:rPr>
          <w:sz w:val="20"/>
          <w:szCs w:val="20"/>
          <w:color w:val="auto"/>
        </w:rPr>
      </w:pPr>
    </w:p>
    <w:p>
      <w:pPr>
        <w:ind w:left="4580"/>
        <w:spacing w:after="0"/>
        <w:rPr>
          <w:sz w:val="20"/>
          <w:szCs w:val="20"/>
          <w:color w:val="auto"/>
        </w:rPr>
      </w:pPr>
      <w:r>
        <w:rPr>
          <w:rFonts w:ascii="Arial" w:cs="Arial" w:eastAsia="Arial" w:hAnsi="Arial"/>
          <w:sz w:val="15"/>
          <w:szCs w:val="15"/>
          <w:b w:val="1"/>
          <w:bCs w:val="1"/>
          <w:color w:val="auto"/>
        </w:rPr>
        <w:t>2018 EQUITY INCENTIVE PLAN</w:t>
      </w:r>
    </w:p>
    <w:p>
      <w:pPr>
        <w:spacing w:after="0" w:line="98" w:lineRule="exact"/>
        <w:rPr>
          <w:sz w:val="20"/>
          <w:szCs w:val="20"/>
          <w:color w:val="auto"/>
        </w:rPr>
      </w:pPr>
    </w:p>
    <w:p>
      <w:pPr>
        <w:ind w:left="3040"/>
        <w:spacing w:after="0"/>
        <w:rPr>
          <w:sz w:val="20"/>
          <w:szCs w:val="20"/>
          <w:color w:val="auto"/>
        </w:rPr>
      </w:pPr>
      <w:r>
        <w:rPr>
          <w:rFonts w:ascii="Arial" w:cs="Arial" w:eastAsia="Arial" w:hAnsi="Arial"/>
          <w:sz w:val="15"/>
          <w:szCs w:val="15"/>
          <w:b w:val="1"/>
          <w:bCs w:val="1"/>
          <w:color w:val="auto"/>
        </w:rPr>
        <w:t>ADDENDUM REGARDING OFFERINGS OF RESTRICTED STOCK UNITS TO</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PARTICIPANTS IN ISRAEL</w:t>
      </w:r>
    </w:p>
    <w:p>
      <w:pPr>
        <w:spacing w:after="0" w:line="179" w:lineRule="exact"/>
        <w:rPr>
          <w:sz w:val="20"/>
          <w:szCs w:val="20"/>
          <w:color w:val="auto"/>
        </w:rPr>
      </w:pPr>
    </w:p>
    <w:p>
      <w:pPr>
        <w:ind w:right="80" w:firstLine="458"/>
        <w:spacing w:after="0" w:line="259" w:lineRule="auto"/>
        <w:rPr>
          <w:sz w:val="20"/>
          <w:szCs w:val="20"/>
          <w:color w:val="auto"/>
        </w:rPr>
      </w:pPr>
      <w:r>
        <w:rPr>
          <w:rFonts w:ascii="Arial" w:cs="Arial" w:eastAsia="Arial" w:hAnsi="Arial"/>
          <w:sz w:val="15"/>
          <w:szCs w:val="15"/>
          <w:color w:val="auto"/>
        </w:rPr>
        <w:t>Restricted Stock Units granted to employees of the Company’s Israeli subsidiary are indented to be taxed under Section 102(b)(2) and 102(b)(3) of the Ordinance - the trustee capital gains route. The Restricted Stock Units shall be subject to the provisions of the Plan and the Israeli Appendix. Definitions not contained herein shall have the meaning given to them in the Appendix for Israeli Participants. In the event of any conflict, whether explicit or implied, between the provision of this Agreement and the Israeli Appendix, the provisions set out in the Israeli Appendix shall prevail.</w:t>
      </w:r>
    </w:p>
    <w:p>
      <w:pPr>
        <w:spacing w:after="0" w:line="154" w:lineRule="exact"/>
        <w:rPr>
          <w:sz w:val="20"/>
          <w:szCs w:val="20"/>
          <w:color w:val="auto"/>
        </w:rPr>
      </w:pPr>
    </w:p>
    <w:p>
      <w:pPr>
        <w:ind w:firstLine="458"/>
        <w:spacing w:after="0" w:line="273" w:lineRule="auto"/>
        <w:rPr>
          <w:sz w:val="20"/>
          <w:szCs w:val="20"/>
          <w:color w:val="auto"/>
        </w:rPr>
      </w:pPr>
      <w:r>
        <w:rPr>
          <w:rFonts w:ascii="Arial" w:cs="Arial" w:eastAsia="Arial" w:hAnsi="Arial"/>
          <w:sz w:val="14"/>
          <w:szCs w:val="14"/>
          <w:b w:val="1"/>
          <w:bCs w:val="1"/>
          <w:color w:val="auto"/>
        </w:rPr>
        <w:t>T</w:t>
      </w:r>
      <w:r>
        <w:rPr>
          <w:rFonts w:ascii="Arial" w:cs="Arial" w:eastAsia="Arial" w:hAnsi="Arial"/>
          <w:sz w:val="11"/>
          <w:szCs w:val="11"/>
          <w:b w:val="1"/>
          <w:bCs w:val="1"/>
          <w:color w:val="auto"/>
        </w:rPr>
        <w:t>RUST</w:t>
      </w:r>
      <w:r>
        <w:rPr>
          <w:rFonts w:ascii="Arial" w:cs="Arial" w:eastAsia="Arial" w:hAnsi="Arial"/>
          <w:sz w:val="14"/>
          <w:szCs w:val="14"/>
          <w:b w:val="1"/>
          <w:bCs w:val="1"/>
          <w:color w:val="auto"/>
        </w:rPr>
        <w:t xml:space="preserve">. </w:t>
      </w:r>
      <w:r>
        <w:rPr>
          <w:rFonts w:ascii="Arial" w:cs="Arial" w:eastAsia="Arial" w:hAnsi="Arial"/>
          <w:sz w:val="14"/>
          <w:szCs w:val="14"/>
          <w:color w:val="auto"/>
        </w:rPr>
        <w:t>The Restricted Stock Units and the Common Stock issued upon vesting or otherwise and/or any additional rights, including without limitation any right to receive any</w:t>
      </w:r>
      <w:r>
        <w:rPr>
          <w:rFonts w:ascii="Arial" w:cs="Arial" w:eastAsia="Arial" w:hAnsi="Arial"/>
          <w:sz w:val="14"/>
          <w:szCs w:val="14"/>
          <w:b w:val="1"/>
          <w:bCs w:val="1"/>
          <w:color w:val="auto"/>
        </w:rPr>
        <w:t xml:space="preserve"> </w:t>
      </w:r>
      <w:r>
        <w:rPr>
          <w:rFonts w:ascii="Arial" w:cs="Arial" w:eastAsia="Arial" w:hAnsi="Arial"/>
          <w:sz w:val="14"/>
          <w:szCs w:val="14"/>
          <w:color w:val="auto"/>
        </w:rPr>
        <w:t>dividends or any shares received as a result of an adjustment made under the Plan, that may be granted in connection with the Restricted Stock Units (the “</w:t>
      </w:r>
      <w:r>
        <w:rPr>
          <w:rFonts w:ascii="Arial" w:cs="Arial" w:eastAsia="Arial" w:hAnsi="Arial"/>
          <w:sz w:val="14"/>
          <w:szCs w:val="14"/>
          <w:b w:val="1"/>
          <w:bCs w:val="1"/>
          <w:color w:val="auto"/>
        </w:rPr>
        <w:t>Additional Rights</w:t>
      </w:r>
      <w:r>
        <w:rPr>
          <w:rFonts w:ascii="Arial" w:cs="Arial" w:eastAsia="Arial" w:hAnsi="Arial"/>
          <w:sz w:val="14"/>
          <w:szCs w:val="14"/>
          <w:color w:val="auto"/>
        </w:rPr>
        <w:t>”) shall be issued to or controlled by the Trustee for the benefit of the Participant under the provisions of Section 102 pursuant to the capital gains route for at least the period stated in Section 102 of the Ordinance and the Income Tax Rules (Tax Benefits in Share Issuance to Employees) 5763-2003 (the “</w:t>
      </w:r>
      <w:r>
        <w:rPr>
          <w:rFonts w:ascii="Arial" w:cs="Arial" w:eastAsia="Arial" w:hAnsi="Arial"/>
          <w:sz w:val="14"/>
          <w:szCs w:val="14"/>
          <w:b w:val="1"/>
          <w:bCs w:val="1"/>
          <w:color w:val="auto"/>
        </w:rPr>
        <w:t>Rules</w:t>
      </w:r>
      <w:r>
        <w:rPr>
          <w:rFonts w:ascii="Arial" w:cs="Arial" w:eastAsia="Arial" w:hAnsi="Arial"/>
          <w:sz w:val="14"/>
          <w:szCs w:val="14"/>
          <w:color w:val="auto"/>
        </w:rPr>
        <w:t>”). In the event the Restricted Stock Units or underlying Shares do not meet the requirements of Section 102, such Restricted Stock Units and the underlying Shares shall not qualify for the favorable tax treatment under the Capital Gains Route of Section 102. The Company makes no representations or guarantees that the Restricted Stock Units will qualify for favorable tax treatment and will not be liable or responsible if favorable tax treatment is not available under Section 102. Any fees associated with any vesting, sale, transfer or any act in relation to the Restricted Stock Units shall be borne by the Participant and the Trustee and/or the Employer and/or the Company and/or any Subsidiary shall be entitled to withhold or deduct such fees from payments otherwise due to from the Company or a Subsidiary or the Employer or the Trustee. In accordance with the requirements of Section 102 and the Capital Gains Route, the Participant shall not sell nor transfer the Shares or Additional Rights from the Trustee until the end of the Required Holding Period. Notwithstanding the above, if any such sale or transfer occurs before the end of the Required Holding Period, the sanctions under Section 102 shall apply to and shall be borne by the Participant.</w:t>
      </w:r>
    </w:p>
    <w:p>
      <w:pPr>
        <w:spacing w:after="0" w:line="151" w:lineRule="exact"/>
        <w:rPr>
          <w:sz w:val="20"/>
          <w:szCs w:val="20"/>
          <w:color w:val="auto"/>
        </w:rPr>
      </w:pPr>
    </w:p>
    <w:p>
      <w:pPr>
        <w:ind w:right="80" w:firstLine="458"/>
        <w:spacing w:after="0" w:line="278" w:lineRule="auto"/>
        <w:rPr>
          <w:sz w:val="20"/>
          <w:szCs w:val="20"/>
          <w:color w:val="auto"/>
        </w:rPr>
      </w:pPr>
      <w:r>
        <w:rPr>
          <w:rFonts w:ascii="Arial" w:cs="Arial" w:eastAsia="Arial" w:hAnsi="Arial"/>
          <w:sz w:val="14"/>
          <w:szCs w:val="14"/>
          <w:b w:val="1"/>
          <w:bCs w:val="1"/>
          <w:color w:val="auto"/>
        </w:rPr>
        <w:t>T</w:t>
      </w:r>
      <w:r>
        <w:rPr>
          <w:rFonts w:ascii="Arial" w:cs="Arial" w:eastAsia="Arial" w:hAnsi="Arial"/>
          <w:sz w:val="11"/>
          <w:szCs w:val="11"/>
          <w:b w:val="1"/>
          <w:bCs w:val="1"/>
          <w:color w:val="auto"/>
        </w:rPr>
        <w:t>AX</w:t>
      </w:r>
      <w:r>
        <w:rPr>
          <w:rFonts w:ascii="Arial" w:cs="Arial" w:eastAsia="Arial" w:hAnsi="Arial"/>
          <w:sz w:val="14"/>
          <w:szCs w:val="14"/>
          <w:color w:val="auto"/>
        </w:rPr>
        <w:t>: Any and all taxes due in relation to the Restricted Stock Units and Common Stock, shall be borne solely by the Participant. The Company and/or the Employer and/or any</w:t>
      </w:r>
      <w:r>
        <w:rPr>
          <w:rFonts w:ascii="Arial" w:cs="Arial" w:eastAsia="Arial" w:hAnsi="Arial"/>
          <w:sz w:val="14"/>
          <w:szCs w:val="14"/>
          <w:b w:val="1"/>
          <w:bCs w:val="1"/>
          <w:color w:val="auto"/>
        </w:rPr>
        <w:t xml:space="preserve"> </w:t>
      </w:r>
      <w:r>
        <w:rPr>
          <w:rFonts w:ascii="Arial" w:cs="Arial" w:eastAsia="Arial" w:hAnsi="Arial"/>
          <w:sz w:val="14"/>
          <w:szCs w:val="14"/>
          <w:color w:val="auto"/>
        </w:rPr>
        <w:t>Subsidiary and/or the Trustee shall withhold taxes according to the requirements under the applicable laws, rules, and regulations, including withholding taxes at source. Furthermore, the Participant agrees to indemnify the Company and/or the Employer and/or any Subsidiary and/or the Trustee and hold them harmless against and from any and all liability for any such tax or interest or penalty thereon, including without limitation, liabilities relating to the necessity to withhold, or to have withheld, any such tax from any payment made to the Participant. The Company and/or the Employer and/or any Subsidiary and/or the Trustee, to the extent permitted by law, shall have the right to deduct from any payment otherwise due to the Participant or from proceeds of the sale of the Common Stock, an amount equal to any Taxes required by law to be withheld with respect to the Common Stock. The</w:t>
      </w:r>
    </w:p>
    <w:p>
      <w:pPr>
        <w:spacing w:after="0" w:line="92"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-17-</w:t>
      </w:r>
    </w:p>
    <w:p>
      <w:pPr>
        <w:sectPr>
          <w:pgSz w:w="11900" w:h="16838" w:orient="portrait"/>
          <w:cols w:equalWidth="0" w:num="1">
            <w:col w:w="11440"/>
          </w:cols>
          <w:pgMar w:left="240" w:top="249" w:right="219" w:bottom="1440" w:gutter="0" w:footer="0" w:header="0"/>
        </w:sectPr>
      </w:pPr>
    </w:p>
    <w:bookmarkStart w:id="310" w:name="page311"/>
    <w:bookmarkEnd w:id="310"/>
    <w:p>
      <w:pPr>
        <w:ind w:right="180"/>
        <w:spacing w:after="0" w:line="263"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133350</wp:posOffset>
            </wp:positionH>
            <wp:positionV relativeFrom="page">
              <wp:posOffset>88900</wp:posOffset>
            </wp:positionV>
            <wp:extent cx="7308850" cy="34290"/>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74">
                      <a:extLst>
                        <a:ext uri="{28A0092B-C50C-407E-A947-70E740481C1C}"/>
                      </a:extLst>
                    </a:blip>
                    <a:srcRect/>
                    <a:stretch>
                      <a:fillRect/>
                    </a:stretch>
                  </pic:blipFill>
                  <pic:spPr bwMode="auto">
                    <a:xfrm>
                      <a:off x="0" y="0"/>
                      <a:ext cx="7308850" cy="34290"/>
                    </a:xfrm>
                    <a:prstGeom prst="rect">
                      <a:avLst/>
                    </a:prstGeom>
                    <a:noFill/>
                  </pic:spPr>
                </pic:pic>
              </a:graphicData>
            </a:graphic>
          </wp:anchor>
        </w:drawing>
        <w:t>Participant will pay to the Company, the Employer any Subsidiary or the Trustee any amount of taxes that the Company or any Subsidiary or the Trustee may be required to withhold with respect to the Common Stock that cannot be satisfied by the means previously described. The Company may refuse to deliver the Common Stock if the Participant fails to comply with his/her obligations in connection with the taxes as described in this section.</w:t>
      </w:r>
    </w:p>
    <w:p>
      <w:pPr>
        <w:spacing w:after="0" w:line="155" w:lineRule="exact"/>
        <w:rPr>
          <w:sz w:val="20"/>
          <w:szCs w:val="20"/>
          <w:color w:val="auto"/>
        </w:rPr>
      </w:pPr>
    </w:p>
    <w:p>
      <w:pPr>
        <w:ind w:firstLine="458"/>
        <w:spacing w:after="0" w:line="300" w:lineRule="auto"/>
        <w:rPr>
          <w:sz w:val="20"/>
          <w:szCs w:val="20"/>
          <w:color w:val="auto"/>
        </w:rPr>
      </w:pPr>
      <w:r>
        <w:rPr>
          <w:rFonts w:ascii="Arial" w:cs="Arial" w:eastAsia="Arial" w:hAnsi="Arial"/>
          <w:sz w:val="13"/>
          <w:szCs w:val="13"/>
          <w:color w:val="auto"/>
        </w:rPr>
        <w:t>By signature on the Notice of Grant the Participant (i) authorizes the Company to provide the Trustee with any information required for the purpose of administering the Plan including executing its obligations according to Section 102, the trust deed and the trust agreement, including without limitation information about the RSUs, income tax rates, salary bank account, contact details and identification number, (ii) confirms and declares that he/she is familiar with Section 102 and the regulations and rules promulgated thereunder, including without limitations the provisions of the applicable tax route under which the RSUS were granted, and agrees to comply with such provisions, as amended from time to time, provided that if such terms are not met, Section 102 may not apply or he/she may be subject to tax at higher rates, (iii) agrees to the terms and conditions of the trust deed signed between the Trustee and the Company and/or the applicable Subsidiary, including but not limited to the control of the RSUs and Common Stock by the Trustee, (iv) acknowledges that releasing the Common Stock from the control of the Trustee prior to the termination of the Required Holding Period constitutes a violation of the terms of Section 102 and agrees to bear the relevant sanctions.</w:t>
      </w:r>
    </w:p>
    <w:p>
      <w:pPr>
        <w:spacing w:after="0" w:line="136" w:lineRule="exact"/>
        <w:rPr>
          <w:sz w:val="20"/>
          <w:szCs w:val="20"/>
          <w:color w:val="auto"/>
        </w:rPr>
      </w:pPr>
    </w:p>
    <w:p>
      <w:pPr>
        <w:jc w:val="both"/>
        <w:ind w:right="20" w:firstLine="458"/>
        <w:spacing w:after="0" w:line="263" w:lineRule="auto"/>
        <w:rPr>
          <w:sz w:val="20"/>
          <w:szCs w:val="20"/>
          <w:color w:val="auto"/>
        </w:rPr>
      </w:pPr>
      <w:r>
        <w:rPr>
          <w:rFonts w:ascii="Arial" w:cs="Arial" w:eastAsia="Arial" w:hAnsi="Arial"/>
          <w:sz w:val="15"/>
          <w:szCs w:val="15"/>
          <w:color w:val="auto"/>
        </w:rPr>
        <w:t>[</w:t>
      </w:r>
      <w:r>
        <w:rPr>
          <w:rFonts w:ascii="Arial" w:cs="Arial" w:eastAsia="Arial" w:hAnsi="Arial"/>
          <w:sz w:val="15"/>
          <w:szCs w:val="15"/>
          <w:i w:val="1"/>
          <w:iCs w:val="1"/>
          <w:color w:val="auto"/>
        </w:rPr>
        <w:t>SECURITY EXEMPTION: The Company has obtained an exemption from the requirement to file a prospectus in Israel in respect to the offer of the Restricted Stock Units. Copies of</w:t>
      </w:r>
      <w:r>
        <w:rPr>
          <w:rFonts w:ascii="Arial" w:cs="Arial" w:eastAsia="Arial" w:hAnsi="Arial"/>
          <w:sz w:val="15"/>
          <w:szCs w:val="15"/>
          <w:color w:val="auto"/>
        </w:rPr>
        <w:t xml:space="preserve"> </w:t>
      </w:r>
      <w:r>
        <w:rPr>
          <w:rFonts w:ascii="Arial" w:cs="Arial" w:eastAsia="Arial" w:hAnsi="Arial"/>
          <w:sz w:val="15"/>
          <w:szCs w:val="15"/>
          <w:i w:val="1"/>
          <w:iCs w:val="1"/>
          <w:color w:val="auto"/>
        </w:rPr>
        <w:t>the Plan and Form S-8 registration statement for the Plan filed with the U.S. Securities and Exchange Commission are available free of charge upon request from the local human resources department</w:t>
      </w:r>
      <w:r>
        <w:rPr>
          <w:rFonts w:ascii="Arial" w:cs="Arial" w:eastAsia="Arial" w:hAnsi="Arial"/>
          <w:sz w:val="15"/>
          <w:szCs w:val="15"/>
          <w:color w:val="auto"/>
        </w:rPr>
        <w:t>]</w:t>
      </w:r>
    </w:p>
    <w:p>
      <w:pPr>
        <w:spacing w:after="0" w:line="98"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-18-</w:t>
      </w:r>
    </w:p>
    <w:p>
      <w:pPr>
        <w:sectPr>
          <w:pgSz w:w="11900" w:h="16838" w:orient="portrait"/>
          <w:cols w:equalWidth="0" w:num="1">
            <w:col w:w="11400"/>
          </w:cols>
          <w:pgMar w:left="240" w:top="253" w:right="259" w:bottom="1440" w:gutter="0" w:footer="0" w:header="0"/>
        </w:sectPr>
      </w:pPr>
    </w:p>
    <w:bookmarkStart w:id="311" w:name="page312"/>
    <w:bookmarkEnd w:id="311"/>
    <w:p>
      <w:pPr>
        <w:ind w:left="5150"/>
        <w:spacing w:after="0"/>
        <w:rPr>
          <w:sz w:val="20"/>
          <w:szCs w:val="20"/>
          <w:color w:val="auto"/>
        </w:rPr>
      </w:pPr>
      <w:r>
        <w:rPr>
          <w:rFonts w:ascii="Arial" w:cs="Arial" w:eastAsia="Arial" w:hAnsi="Arial"/>
          <w:sz w:val="15"/>
          <w:szCs w:val="15"/>
          <w:b w:val="1"/>
          <w:bCs w:val="1"/>
          <w:color w:val="auto"/>
        </w:rPr>
        <w:drawing>
          <wp:anchor simplePos="0" relativeHeight="251657728" behindDoc="1" locked="0" layoutInCell="0" allowOverlap="1">
            <wp:simplePos x="0" y="0"/>
            <wp:positionH relativeFrom="page">
              <wp:posOffset>133350</wp:posOffset>
            </wp:positionH>
            <wp:positionV relativeFrom="page">
              <wp:posOffset>88900</wp:posOffset>
            </wp:positionV>
            <wp:extent cx="7308850" cy="34290"/>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75">
                      <a:extLst>
                        <a:ext uri="{28A0092B-C50C-407E-A947-70E740481C1C}"/>
                      </a:extLst>
                    </a:blip>
                    <a:srcRect/>
                    <a:stretch>
                      <a:fillRect/>
                    </a:stretch>
                  </pic:blipFill>
                  <pic:spPr bwMode="auto">
                    <a:xfrm>
                      <a:off x="0" y="0"/>
                      <a:ext cx="7308850" cy="34290"/>
                    </a:xfrm>
                    <a:prstGeom prst="rect">
                      <a:avLst/>
                    </a:prstGeom>
                    <a:noFill/>
                  </pic:spPr>
                </pic:pic>
              </a:graphicData>
            </a:graphic>
          </wp:anchor>
        </w:drawing>
        <w:t>DROPBOX, INC.</w:t>
      </w:r>
    </w:p>
    <w:p>
      <w:pPr>
        <w:spacing w:after="0" w:line="98" w:lineRule="exact"/>
        <w:rPr>
          <w:sz w:val="20"/>
          <w:szCs w:val="20"/>
          <w:color w:val="auto"/>
        </w:rPr>
      </w:pPr>
    </w:p>
    <w:p>
      <w:pPr>
        <w:ind w:left="4590"/>
        <w:spacing w:after="0"/>
        <w:rPr>
          <w:sz w:val="20"/>
          <w:szCs w:val="20"/>
          <w:color w:val="auto"/>
        </w:rPr>
      </w:pPr>
      <w:r>
        <w:rPr>
          <w:rFonts w:ascii="Arial" w:cs="Arial" w:eastAsia="Arial" w:hAnsi="Arial"/>
          <w:sz w:val="15"/>
          <w:szCs w:val="15"/>
          <w:b w:val="1"/>
          <w:bCs w:val="1"/>
          <w:color w:val="auto"/>
        </w:rPr>
        <w:t>2018 EQUITY INCENTIVE PLAN</w:t>
      </w:r>
    </w:p>
    <w:p>
      <w:pPr>
        <w:spacing w:after="0" w:line="98" w:lineRule="exact"/>
        <w:rPr>
          <w:sz w:val="20"/>
          <w:szCs w:val="20"/>
          <w:color w:val="auto"/>
        </w:rPr>
      </w:pPr>
    </w:p>
    <w:p>
      <w:pPr>
        <w:ind w:left="3050"/>
        <w:spacing w:after="0"/>
        <w:rPr>
          <w:sz w:val="20"/>
          <w:szCs w:val="20"/>
          <w:color w:val="auto"/>
        </w:rPr>
      </w:pPr>
      <w:r>
        <w:rPr>
          <w:rFonts w:ascii="Arial" w:cs="Arial" w:eastAsia="Arial" w:hAnsi="Arial"/>
          <w:sz w:val="15"/>
          <w:szCs w:val="15"/>
          <w:b w:val="1"/>
          <w:bCs w:val="1"/>
          <w:color w:val="auto"/>
        </w:rPr>
        <w:t>ADDENDUM REGARDING OFFERINGS OF RESTRICTED STOCK UNITS TO</w:t>
      </w:r>
    </w:p>
    <w:p>
      <w:pPr>
        <w:spacing w:after="0" w:line="21" w:lineRule="exact"/>
        <w:rPr>
          <w:sz w:val="20"/>
          <w:szCs w:val="20"/>
          <w:color w:val="auto"/>
        </w:rPr>
      </w:pPr>
    </w:p>
    <w:p>
      <w:pPr>
        <w:jc w:val="center"/>
        <w:ind w:right="-9"/>
        <w:spacing w:after="0"/>
        <w:rPr>
          <w:sz w:val="20"/>
          <w:szCs w:val="20"/>
          <w:color w:val="auto"/>
        </w:rPr>
      </w:pPr>
      <w:r>
        <w:rPr>
          <w:rFonts w:ascii="Arial" w:cs="Arial" w:eastAsia="Arial" w:hAnsi="Arial"/>
          <w:sz w:val="15"/>
          <w:szCs w:val="15"/>
          <w:b w:val="1"/>
          <w:bCs w:val="1"/>
          <w:color w:val="auto"/>
        </w:rPr>
        <w:t>PARTICIPANTS IN THE NETHERLANDS</w:t>
      </w:r>
    </w:p>
    <w:p>
      <w:pPr>
        <w:spacing w:after="0" w:line="179" w:lineRule="exact"/>
        <w:rPr>
          <w:sz w:val="20"/>
          <w:szCs w:val="20"/>
          <w:color w:val="auto"/>
        </w:rPr>
      </w:pPr>
    </w:p>
    <w:p>
      <w:pPr>
        <w:ind w:left="10"/>
        <w:spacing w:after="0"/>
        <w:rPr>
          <w:sz w:val="20"/>
          <w:szCs w:val="20"/>
          <w:color w:val="auto"/>
        </w:rPr>
      </w:pPr>
      <w:r>
        <w:rPr>
          <w:rFonts w:ascii="Arial" w:cs="Arial" w:eastAsia="Arial" w:hAnsi="Arial"/>
          <w:sz w:val="14"/>
          <w:szCs w:val="14"/>
          <w:color w:val="auto"/>
        </w:rPr>
        <w:t>All capitalized terms used not defined herein shall have the meanings assigned to them in the Dropbox, Inc. 2018 Equity Incentive Plan, as amended from time to time (the “Plan”).</w:t>
      </w:r>
    </w:p>
    <w:p>
      <w:pPr>
        <w:spacing w:after="0" w:line="320" w:lineRule="exact"/>
        <w:rPr>
          <w:sz w:val="20"/>
          <w:szCs w:val="20"/>
          <w:color w:val="auto"/>
        </w:rPr>
      </w:pPr>
    </w:p>
    <w:p>
      <w:pPr>
        <w:ind w:left="450" w:hanging="450"/>
        <w:spacing w:after="0"/>
        <w:tabs>
          <w:tab w:leader="none" w:pos="450" w:val="left"/>
        </w:tabs>
        <w:numPr>
          <w:ilvl w:val="0"/>
          <w:numId w:val="201"/>
        </w:numPr>
        <w:rPr>
          <w:rFonts w:ascii="Arial" w:cs="Arial" w:eastAsia="Arial" w:hAnsi="Arial"/>
          <w:sz w:val="15"/>
          <w:szCs w:val="15"/>
          <w:b w:val="1"/>
          <w:bCs w:val="1"/>
          <w:color w:val="auto"/>
        </w:rPr>
      </w:pPr>
      <w:r>
        <w:rPr>
          <w:rFonts w:ascii="Arial" w:cs="Arial" w:eastAsia="Arial" w:hAnsi="Arial"/>
          <w:sz w:val="15"/>
          <w:szCs w:val="15"/>
          <w:b w:val="1"/>
          <w:bCs w:val="1"/>
          <w:color w:val="auto"/>
        </w:rPr>
        <w:t>Taxes</w:t>
      </w:r>
    </w:p>
    <w:p>
      <w:pPr>
        <w:spacing w:after="0" w:line="102" w:lineRule="exact"/>
        <w:rPr>
          <w:sz w:val="20"/>
          <w:szCs w:val="20"/>
          <w:color w:val="auto"/>
        </w:rPr>
      </w:pPr>
    </w:p>
    <w:p>
      <w:pPr>
        <w:ind w:left="10"/>
        <w:spacing w:after="0" w:line="292" w:lineRule="auto"/>
        <w:rPr>
          <w:sz w:val="20"/>
          <w:szCs w:val="20"/>
          <w:color w:val="auto"/>
        </w:rPr>
      </w:pPr>
      <w:r>
        <w:rPr>
          <w:rFonts w:ascii="Arial" w:cs="Arial" w:eastAsia="Arial" w:hAnsi="Arial"/>
          <w:sz w:val="13"/>
          <w:szCs w:val="13"/>
          <w:color w:val="auto"/>
        </w:rPr>
        <w:t>Regardless of any action the Company or Participant’s employer (the “Employer”) take with respect to any or all income tax, social insurances contributions (if any), or other tax-related items related to Participant’s participation in the Plan and legally applicable to Participant (“Tax-Related Items”), Participant acknowledges that the ultimate liability for all Tax-Related Items is and remains Participant’s responsibility and may exceed the amount actually withheld by the Company or the Employer. Participant further acknowledges that the Company and/or the Employer (i) make no representations or undertakings regarding the treatment of any Tax-Related Items in connection with any aspect of the Plan, including, but not limited to, the grant of options or RSUs, the purchase of Common Stock under the Plan, the subsequent sale of Common Stock purchased under the Plan and the receipt of any dividends on the Common Stock; and</w:t>
      </w:r>
    </w:p>
    <w:p>
      <w:pPr>
        <w:spacing w:after="0" w:line="2" w:lineRule="exact"/>
        <w:rPr>
          <w:sz w:val="20"/>
          <w:szCs w:val="20"/>
          <w:color w:val="auto"/>
        </w:rPr>
      </w:pPr>
    </w:p>
    <w:p>
      <w:pPr>
        <w:ind w:left="10" w:right="60" w:hanging="10"/>
        <w:spacing w:after="0" w:line="254" w:lineRule="auto"/>
        <w:tabs>
          <w:tab w:leader="none" w:pos="231" w:val="left"/>
        </w:tabs>
        <w:numPr>
          <w:ilvl w:val="0"/>
          <w:numId w:val="202"/>
        </w:numPr>
        <w:rPr>
          <w:rFonts w:ascii="Arial" w:cs="Arial" w:eastAsia="Arial" w:hAnsi="Arial"/>
          <w:sz w:val="15"/>
          <w:szCs w:val="15"/>
          <w:color w:val="auto"/>
        </w:rPr>
      </w:pPr>
      <w:r>
        <w:rPr>
          <w:rFonts w:ascii="Arial" w:cs="Arial" w:eastAsia="Arial" w:hAnsi="Arial"/>
          <w:sz w:val="15"/>
          <w:szCs w:val="15"/>
          <w:color w:val="auto"/>
        </w:rPr>
        <w:t>do not commit to and are under no obligation to structure the terms of the grant or any aspect of the options or RSUs to reduce or eliminate Participant’s liability for Tax-Related Items or achieve any particular tax result. Further, if Participant has become subject to tax in more than one jurisdiction between the date of grant of the options or RSUs and the date of any relevant taxable or tax withholding event, as applicable, Participant acknowledges that the Company and/or the Employer (or former employer, as applicable) may be required to withhold or account for Tax-Related Items in more than one jurisdiction.</w:t>
      </w:r>
    </w:p>
    <w:p>
      <w:pPr>
        <w:spacing w:after="0" w:line="163" w:lineRule="exact"/>
        <w:rPr>
          <w:sz w:val="20"/>
          <w:szCs w:val="20"/>
          <w:color w:val="auto"/>
        </w:rPr>
      </w:pPr>
    </w:p>
    <w:p>
      <w:pPr>
        <w:ind w:left="10"/>
        <w:spacing w:after="0"/>
        <w:rPr>
          <w:sz w:val="20"/>
          <w:szCs w:val="20"/>
          <w:color w:val="auto"/>
        </w:rPr>
      </w:pPr>
      <w:r>
        <w:rPr>
          <w:rFonts w:ascii="Arial" w:cs="Arial" w:eastAsia="Arial" w:hAnsi="Arial"/>
          <w:sz w:val="14"/>
          <w:szCs w:val="14"/>
          <w:color w:val="auto"/>
        </w:rPr>
        <w:t>Prior to any relevant taxable or tax withholding event, as applicable, Participant will pay or make adequate arrangements satisfactory to the Company and/or the Employer to satisfy all</w:t>
      </w:r>
    </w:p>
    <w:p>
      <w:pPr>
        <w:spacing w:after="0" w:line="29" w:lineRule="exact"/>
        <w:rPr>
          <w:sz w:val="20"/>
          <w:szCs w:val="20"/>
          <w:color w:val="auto"/>
        </w:rPr>
      </w:pPr>
    </w:p>
    <w:p>
      <w:pPr>
        <w:ind w:left="10"/>
        <w:spacing w:after="0"/>
        <w:rPr>
          <w:sz w:val="20"/>
          <w:szCs w:val="20"/>
          <w:color w:val="auto"/>
        </w:rPr>
      </w:pPr>
      <w:r>
        <w:rPr>
          <w:rFonts w:ascii="Arial" w:cs="Arial" w:eastAsia="Arial" w:hAnsi="Arial"/>
          <w:sz w:val="14"/>
          <w:szCs w:val="14"/>
          <w:color w:val="auto"/>
        </w:rPr>
        <w:t>Tax-Related Items. In this regard, Participant authorizes the Company and/or the Employer, or their respective agents, at their discretion, to satisfy the obligations with regard to all</w:t>
      </w:r>
    </w:p>
    <w:p>
      <w:pPr>
        <w:spacing w:after="0" w:line="19" w:lineRule="exact"/>
        <w:rPr>
          <w:sz w:val="20"/>
          <w:szCs w:val="20"/>
          <w:color w:val="auto"/>
        </w:rPr>
      </w:pPr>
    </w:p>
    <w:p>
      <w:pPr>
        <w:ind w:left="10"/>
        <w:spacing w:after="0"/>
        <w:rPr>
          <w:sz w:val="20"/>
          <w:szCs w:val="20"/>
          <w:color w:val="auto"/>
        </w:rPr>
      </w:pPr>
      <w:r>
        <w:rPr>
          <w:rFonts w:ascii="Arial" w:cs="Arial" w:eastAsia="Arial" w:hAnsi="Arial"/>
          <w:sz w:val="15"/>
          <w:szCs w:val="15"/>
          <w:color w:val="auto"/>
        </w:rPr>
        <w:t>Tax-Related Items by one or a combination of the following:</w:t>
      </w:r>
    </w:p>
    <w:p>
      <w:pPr>
        <w:spacing w:after="0" w:line="100" w:lineRule="exact"/>
        <w:rPr>
          <w:sz w:val="20"/>
          <w:szCs w:val="20"/>
          <w:color w:val="auto"/>
        </w:rPr>
      </w:pPr>
    </w:p>
    <w:p>
      <w:pPr>
        <w:ind w:left="910" w:hanging="459"/>
        <w:spacing w:after="0"/>
        <w:tabs>
          <w:tab w:leader="none" w:pos="910" w:val="left"/>
        </w:tabs>
        <w:numPr>
          <w:ilvl w:val="0"/>
          <w:numId w:val="203"/>
        </w:numPr>
        <w:rPr>
          <w:rFonts w:ascii="Arial" w:cs="Arial" w:eastAsia="Arial" w:hAnsi="Arial"/>
          <w:sz w:val="15"/>
          <w:szCs w:val="15"/>
          <w:color w:val="auto"/>
        </w:rPr>
      </w:pPr>
      <w:r>
        <w:rPr>
          <w:rFonts w:ascii="Arial" w:cs="Arial" w:eastAsia="Arial" w:hAnsi="Arial"/>
          <w:sz w:val="15"/>
          <w:szCs w:val="15"/>
          <w:color w:val="auto"/>
        </w:rPr>
        <w:t>withholding from Participant’s wages or other cash compensation paid to Participant by the Company and/or the Employer; or</w:t>
      </w:r>
    </w:p>
    <w:p>
      <w:pPr>
        <w:spacing w:after="0" w:line="109" w:lineRule="exact"/>
        <w:rPr>
          <w:rFonts w:ascii="Arial" w:cs="Arial" w:eastAsia="Arial" w:hAnsi="Arial"/>
          <w:sz w:val="15"/>
          <w:szCs w:val="15"/>
          <w:color w:val="auto"/>
        </w:rPr>
      </w:pPr>
    </w:p>
    <w:p>
      <w:pPr>
        <w:ind w:left="910" w:right="580" w:hanging="459"/>
        <w:spacing w:after="0" w:line="275" w:lineRule="auto"/>
        <w:tabs>
          <w:tab w:leader="none" w:pos="910" w:val="left"/>
        </w:tabs>
        <w:numPr>
          <w:ilvl w:val="0"/>
          <w:numId w:val="203"/>
        </w:numPr>
        <w:rPr>
          <w:rFonts w:ascii="Arial" w:cs="Arial" w:eastAsia="Arial" w:hAnsi="Arial"/>
          <w:sz w:val="15"/>
          <w:szCs w:val="15"/>
          <w:color w:val="auto"/>
        </w:rPr>
      </w:pPr>
      <w:r>
        <w:rPr>
          <w:rFonts w:ascii="Arial" w:cs="Arial" w:eastAsia="Arial" w:hAnsi="Arial"/>
          <w:sz w:val="15"/>
          <w:szCs w:val="15"/>
          <w:color w:val="auto"/>
        </w:rPr>
        <w:t>withholding from proceeds of the sale of Common Stock purchased upon the exercise of an option or vesting of the RSUs either through a voluntary sale or through a mandatory sale arranged by the Company (on Participant’s behalf pursuant to this authorization); or</w:t>
      </w:r>
    </w:p>
    <w:p>
      <w:pPr>
        <w:spacing w:after="0" w:line="67" w:lineRule="exact"/>
        <w:rPr>
          <w:rFonts w:ascii="Arial" w:cs="Arial" w:eastAsia="Arial" w:hAnsi="Arial"/>
          <w:sz w:val="15"/>
          <w:szCs w:val="15"/>
          <w:color w:val="auto"/>
        </w:rPr>
      </w:pPr>
    </w:p>
    <w:p>
      <w:pPr>
        <w:ind w:left="910" w:hanging="459"/>
        <w:spacing w:after="0"/>
        <w:tabs>
          <w:tab w:leader="none" w:pos="910" w:val="left"/>
        </w:tabs>
        <w:numPr>
          <w:ilvl w:val="0"/>
          <w:numId w:val="203"/>
        </w:numPr>
        <w:rPr>
          <w:rFonts w:ascii="Arial" w:cs="Arial" w:eastAsia="Arial" w:hAnsi="Arial"/>
          <w:sz w:val="15"/>
          <w:szCs w:val="15"/>
          <w:color w:val="auto"/>
        </w:rPr>
      </w:pPr>
      <w:r>
        <w:rPr>
          <w:rFonts w:ascii="Arial" w:cs="Arial" w:eastAsia="Arial" w:hAnsi="Arial"/>
          <w:sz w:val="15"/>
          <w:szCs w:val="15"/>
          <w:color w:val="auto"/>
        </w:rPr>
        <w:t>withholding Common Stock to be issued upon exercise of the options or vesting of the RSUs.</w:t>
      </w:r>
    </w:p>
    <w:p>
      <w:pPr>
        <w:spacing w:after="0" w:line="188" w:lineRule="exact"/>
        <w:rPr>
          <w:sz w:val="20"/>
          <w:szCs w:val="20"/>
          <w:color w:val="auto"/>
        </w:rPr>
      </w:pPr>
    </w:p>
    <w:p>
      <w:pPr>
        <w:ind w:left="10" w:right="80"/>
        <w:spacing w:after="0" w:line="275" w:lineRule="auto"/>
        <w:rPr>
          <w:sz w:val="20"/>
          <w:szCs w:val="20"/>
          <w:color w:val="auto"/>
        </w:rPr>
      </w:pPr>
      <w:r>
        <w:rPr>
          <w:rFonts w:ascii="Arial" w:cs="Arial" w:eastAsia="Arial" w:hAnsi="Arial"/>
          <w:sz w:val="15"/>
          <w:szCs w:val="15"/>
          <w:color w:val="auto"/>
        </w:rPr>
        <w:t>If payment or withholding of the income tax due in connection with the options or RSUs is not done by the Employer, the amount of any uncollected income tax shall constitute a loan owed by</w:t>
      </w:r>
    </w:p>
    <w:p>
      <w:pPr>
        <w:spacing w:after="0" w:line="90" w:lineRule="exact"/>
        <w:rPr>
          <w:sz w:val="20"/>
          <w:szCs w:val="20"/>
          <w:color w:val="auto"/>
        </w:rPr>
      </w:pPr>
    </w:p>
    <w:p>
      <w:pPr>
        <w:jc w:val="center"/>
        <w:ind w:right="-9"/>
        <w:spacing w:after="0"/>
        <w:rPr>
          <w:sz w:val="20"/>
          <w:szCs w:val="20"/>
          <w:color w:val="auto"/>
        </w:rPr>
      </w:pPr>
      <w:r>
        <w:rPr>
          <w:rFonts w:ascii="Arial" w:cs="Arial" w:eastAsia="Arial" w:hAnsi="Arial"/>
          <w:sz w:val="15"/>
          <w:szCs w:val="15"/>
          <w:color w:val="auto"/>
        </w:rPr>
        <w:t>-19-</w:t>
      </w:r>
    </w:p>
    <w:p>
      <w:pPr>
        <w:sectPr>
          <w:pgSz w:w="11900" w:h="16838" w:orient="portrait"/>
          <w:cols w:equalWidth="0" w:num="1">
            <w:col w:w="11450"/>
          </w:cols>
          <w:pgMar w:left="230" w:top="249" w:right="219" w:bottom="1440" w:gutter="0" w:footer="0" w:header="0"/>
        </w:sectPr>
      </w:pPr>
    </w:p>
    <w:bookmarkStart w:id="312" w:name="page313"/>
    <w:bookmarkEnd w:id="312"/>
    <w:p>
      <w:pPr>
        <w:ind w:left="10" w:right="580"/>
        <w:spacing w:after="0" w:line="276"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133350</wp:posOffset>
            </wp:positionH>
            <wp:positionV relativeFrom="page">
              <wp:posOffset>88900</wp:posOffset>
            </wp:positionV>
            <wp:extent cx="7308850" cy="34290"/>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76">
                      <a:extLst>
                        <a:ext uri="{28A0092B-C50C-407E-A947-70E740481C1C}"/>
                      </a:extLst>
                    </a:blip>
                    <a:srcRect/>
                    <a:stretch>
                      <a:fillRect/>
                    </a:stretch>
                  </pic:blipFill>
                  <pic:spPr bwMode="auto">
                    <a:xfrm>
                      <a:off x="0" y="0"/>
                      <a:ext cx="7308850" cy="34290"/>
                    </a:xfrm>
                    <a:prstGeom prst="rect">
                      <a:avLst/>
                    </a:prstGeom>
                    <a:noFill/>
                  </pic:spPr>
                </pic:pic>
              </a:graphicData>
            </a:graphic>
          </wp:anchor>
        </w:drawing>
        <w:t>Participant to the Employer. Participant agrees that the loan will bear interest at the then current market rate</w:t>
      </w:r>
      <w:r>
        <w:rPr>
          <w:rFonts w:ascii="Arial" w:cs="Arial" w:eastAsia="Arial" w:hAnsi="Arial"/>
          <w:sz w:val="12"/>
          <w:szCs w:val="12"/>
          <w:color w:val="auto"/>
        </w:rPr>
        <w:t>1</w:t>
      </w:r>
      <w:r>
        <w:rPr>
          <w:rFonts w:ascii="Arial" w:cs="Arial" w:eastAsia="Arial" w:hAnsi="Arial"/>
          <w:sz w:val="15"/>
          <w:szCs w:val="15"/>
          <w:color w:val="auto"/>
        </w:rPr>
        <w:t>, it will be immediately due and repayable, and the Company and/or the Employer may recover it at any time thereafter by any of the means referred to in this Section 1.</w:t>
      </w:r>
    </w:p>
    <w:p>
      <w:pPr>
        <w:spacing w:after="0" w:line="145" w:lineRule="exact"/>
        <w:rPr>
          <w:sz w:val="20"/>
          <w:szCs w:val="20"/>
          <w:color w:val="auto"/>
        </w:rPr>
      </w:pPr>
    </w:p>
    <w:p>
      <w:pPr>
        <w:ind w:left="10" w:right="120"/>
        <w:spacing w:after="0" w:line="290" w:lineRule="auto"/>
        <w:rPr>
          <w:sz w:val="20"/>
          <w:szCs w:val="20"/>
          <w:color w:val="auto"/>
        </w:rPr>
      </w:pPr>
      <w:r>
        <w:rPr>
          <w:rFonts w:ascii="Arial" w:cs="Arial" w:eastAsia="Arial" w:hAnsi="Arial"/>
          <w:sz w:val="14"/>
          <w:szCs w:val="14"/>
          <w:color w:val="auto"/>
        </w:rPr>
        <w:t>Participant shall pay to the Company or the Employer any amount of Tax-Related Items that the Company or the Employer may be required to withhold or account for as a result of Participant’s participation in the Plan that cannot be satisfied by the means previously described. The Company may refuse to purchase Common Stock on Participant’s behalf and/or refuse to deliver Common Stock purchased under the Plan if Participant fails to comply with his or her obligations in connection with the Tax-Related Items.</w:t>
      </w:r>
    </w:p>
    <w:p>
      <w:pPr>
        <w:spacing w:after="0" w:line="258" w:lineRule="exact"/>
        <w:rPr>
          <w:sz w:val="20"/>
          <w:szCs w:val="20"/>
          <w:color w:val="auto"/>
        </w:rPr>
      </w:pPr>
    </w:p>
    <w:p>
      <w:pPr>
        <w:ind w:left="450" w:hanging="450"/>
        <w:spacing w:after="0"/>
        <w:tabs>
          <w:tab w:leader="none" w:pos="450" w:val="left"/>
        </w:tabs>
        <w:numPr>
          <w:ilvl w:val="0"/>
          <w:numId w:val="204"/>
        </w:numPr>
        <w:rPr>
          <w:rFonts w:ascii="Arial" w:cs="Arial" w:eastAsia="Arial" w:hAnsi="Arial"/>
          <w:sz w:val="15"/>
          <w:szCs w:val="15"/>
          <w:b w:val="1"/>
          <w:bCs w:val="1"/>
          <w:color w:val="auto"/>
        </w:rPr>
      </w:pPr>
      <w:r>
        <w:rPr>
          <w:rFonts w:ascii="Arial" w:cs="Arial" w:eastAsia="Arial" w:hAnsi="Arial"/>
          <w:sz w:val="15"/>
          <w:szCs w:val="15"/>
          <w:b w:val="1"/>
          <w:bCs w:val="1"/>
          <w:color w:val="auto"/>
        </w:rPr>
        <w:t>Nature of Grant</w:t>
      </w:r>
    </w:p>
    <w:p>
      <w:pPr>
        <w:spacing w:after="0" w:line="102" w:lineRule="exact"/>
        <w:rPr>
          <w:sz w:val="20"/>
          <w:szCs w:val="20"/>
          <w:color w:val="auto"/>
        </w:rPr>
      </w:pPr>
    </w:p>
    <w:p>
      <w:pPr>
        <w:ind w:left="10"/>
        <w:spacing w:after="0"/>
        <w:rPr>
          <w:sz w:val="20"/>
          <w:szCs w:val="20"/>
          <w:color w:val="auto"/>
        </w:rPr>
      </w:pPr>
      <w:r>
        <w:rPr>
          <w:rFonts w:ascii="Arial" w:cs="Arial" w:eastAsia="Arial" w:hAnsi="Arial"/>
          <w:sz w:val="15"/>
          <w:szCs w:val="15"/>
          <w:color w:val="auto"/>
        </w:rPr>
        <w:t>By enrolling in the Plan, Participant acknowledges, understands and agrees that:</w:t>
      </w:r>
    </w:p>
    <w:p>
      <w:pPr>
        <w:spacing w:after="0" w:line="109" w:lineRule="exact"/>
        <w:rPr>
          <w:sz w:val="20"/>
          <w:szCs w:val="20"/>
          <w:color w:val="auto"/>
        </w:rPr>
      </w:pPr>
    </w:p>
    <w:p>
      <w:pPr>
        <w:ind w:left="910" w:hanging="459"/>
        <w:spacing w:after="0"/>
        <w:tabs>
          <w:tab w:leader="none" w:pos="910" w:val="left"/>
        </w:tabs>
        <w:numPr>
          <w:ilvl w:val="0"/>
          <w:numId w:val="205"/>
        </w:numPr>
        <w:rPr>
          <w:rFonts w:ascii="Arial" w:cs="Arial" w:eastAsia="Arial" w:hAnsi="Arial"/>
          <w:sz w:val="14"/>
          <w:szCs w:val="14"/>
          <w:color w:val="auto"/>
        </w:rPr>
      </w:pPr>
      <w:r>
        <w:rPr>
          <w:rFonts w:ascii="Arial" w:cs="Arial" w:eastAsia="Arial" w:hAnsi="Arial"/>
          <w:sz w:val="14"/>
          <w:szCs w:val="14"/>
          <w:color w:val="auto"/>
        </w:rPr>
        <w:t>the Plan is established voluntarily by the Company, it is discretionary in nature and it may be modified, amended, suspended or terminated by the Company at any time;</w:t>
      </w:r>
    </w:p>
    <w:p>
      <w:pPr>
        <w:spacing w:after="0" w:line="120" w:lineRule="exact"/>
        <w:rPr>
          <w:rFonts w:ascii="Arial" w:cs="Arial" w:eastAsia="Arial" w:hAnsi="Arial"/>
          <w:sz w:val="14"/>
          <w:szCs w:val="14"/>
          <w:color w:val="auto"/>
        </w:rPr>
      </w:pPr>
    </w:p>
    <w:p>
      <w:pPr>
        <w:ind w:left="910" w:hanging="459"/>
        <w:spacing w:after="0" w:line="275" w:lineRule="auto"/>
        <w:tabs>
          <w:tab w:leader="none" w:pos="910" w:val="left"/>
        </w:tabs>
        <w:numPr>
          <w:ilvl w:val="0"/>
          <w:numId w:val="205"/>
        </w:numPr>
        <w:rPr>
          <w:rFonts w:ascii="Arial" w:cs="Arial" w:eastAsia="Arial" w:hAnsi="Arial"/>
          <w:sz w:val="15"/>
          <w:szCs w:val="15"/>
          <w:color w:val="auto"/>
        </w:rPr>
      </w:pPr>
      <w:r>
        <w:rPr>
          <w:rFonts w:ascii="Arial" w:cs="Arial" w:eastAsia="Arial" w:hAnsi="Arial"/>
          <w:sz w:val="15"/>
          <w:szCs w:val="15"/>
          <w:color w:val="auto"/>
        </w:rPr>
        <w:t>the grant of options or RSUs is voluntary and occasional and does not create any contractual or other right to receive future grants of options or RSUs, or benefits in lieu of the options or RSUs, even if options or RSUs have been granted repeatedly in the past;</w:t>
      </w:r>
    </w:p>
    <w:p>
      <w:pPr>
        <w:spacing w:after="0" w:line="67" w:lineRule="exact"/>
        <w:rPr>
          <w:rFonts w:ascii="Arial" w:cs="Arial" w:eastAsia="Arial" w:hAnsi="Arial"/>
          <w:sz w:val="15"/>
          <w:szCs w:val="15"/>
          <w:color w:val="auto"/>
        </w:rPr>
      </w:pPr>
    </w:p>
    <w:p>
      <w:pPr>
        <w:ind w:left="910" w:hanging="459"/>
        <w:spacing w:after="0"/>
        <w:tabs>
          <w:tab w:leader="none" w:pos="910" w:val="left"/>
        </w:tabs>
        <w:numPr>
          <w:ilvl w:val="0"/>
          <w:numId w:val="205"/>
        </w:numPr>
        <w:rPr>
          <w:rFonts w:ascii="Arial" w:cs="Arial" w:eastAsia="Arial" w:hAnsi="Arial"/>
          <w:sz w:val="15"/>
          <w:szCs w:val="15"/>
          <w:color w:val="auto"/>
        </w:rPr>
      </w:pPr>
      <w:r>
        <w:rPr>
          <w:rFonts w:ascii="Arial" w:cs="Arial" w:eastAsia="Arial" w:hAnsi="Arial"/>
          <w:sz w:val="15"/>
          <w:szCs w:val="15"/>
          <w:color w:val="auto"/>
        </w:rPr>
        <w:t>all decisions with respect to future grants of options or RSUs, if any, will be at the sole discretion of the Company;</w:t>
      </w:r>
    </w:p>
    <w:p>
      <w:pPr>
        <w:spacing w:after="0" w:line="109" w:lineRule="exact"/>
        <w:rPr>
          <w:rFonts w:ascii="Arial" w:cs="Arial" w:eastAsia="Arial" w:hAnsi="Arial"/>
          <w:sz w:val="15"/>
          <w:szCs w:val="15"/>
          <w:color w:val="auto"/>
        </w:rPr>
      </w:pPr>
    </w:p>
    <w:p>
      <w:pPr>
        <w:ind w:left="910" w:right="300" w:hanging="459"/>
        <w:spacing w:after="0" w:line="275" w:lineRule="auto"/>
        <w:tabs>
          <w:tab w:leader="none" w:pos="910" w:val="left"/>
        </w:tabs>
        <w:numPr>
          <w:ilvl w:val="0"/>
          <w:numId w:val="205"/>
        </w:numPr>
        <w:rPr>
          <w:rFonts w:ascii="Arial" w:cs="Arial" w:eastAsia="Arial" w:hAnsi="Arial"/>
          <w:sz w:val="15"/>
          <w:szCs w:val="15"/>
          <w:color w:val="auto"/>
        </w:rPr>
      </w:pPr>
      <w:r>
        <w:rPr>
          <w:rFonts w:ascii="Arial" w:cs="Arial" w:eastAsia="Arial" w:hAnsi="Arial"/>
          <w:sz w:val="15"/>
          <w:szCs w:val="15"/>
          <w:color w:val="auto"/>
        </w:rPr>
        <w:t>Participant’s participation in the Plan shall not create a right to further employment with the Employer and shall not interfere with the ability of the Employer to terminate Participant’s employment relationship at any time;</w:t>
      </w:r>
    </w:p>
    <w:p>
      <w:pPr>
        <w:spacing w:after="0" w:line="67" w:lineRule="exact"/>
        <w:rPr>
          <w:rFonts w:ascii="Arial" w:cs="Arial" w:eastAsia="Arial" w:hAnsi="Arial"/>
          <w:sz w:val="15"/>
          <w:szCs w:val="15"/>
          <w:color w:val="auto"/>
        </w:rPr>
      </w:pPr>
    </w:p>
    <w:p>
      <w:pPr>
        <w:ind w:left="910" w:hanging="459"/>
        <w:spacing w:after="0"/>
        <w:tabs>
          <w:tab w:leader="none" w:pos="910" w:val="left"/>
        </w:tabs>
        <w:numPr>
          <w:ilvl w:val="0"/>
          <w:numId w:val="205"/>
        </w:numPr>
        <w:rPr>
          <w:rFonts w:ascii="Arial" w:cs="Arial" w:eastAsia="Arial" w:hAnsi="Arial"/>
          <w:sz w:val="15"/>
          <w:szCs w:val="15"/>
          <w:color w:val="auto"/>
        </w:rPr>
      </w:pPr>
      <w:r>
        <w:rPr>
          <w:rFonts w:ascii="Arial" w:cs="Arial" w:eastAsia="Arial" w:hAnsi="Arial"/>
          <w:sz w:val="15"/>
          <w:szCs w:val="15"/>
          <w:color w:val="auto"/>
        </w:rPr>
        <w:t>Participant is voluntarily participating in the Plan;</w:t>
      </w:r>
    </w:p>
    <w:p>
      <w:pPr>
        <w:spacing w:after="0" w:line="109" w:lineRule="exact"/>
        <w:rPr>
          <w:rFonts w:ascii="Arial" w:cs="Arial" w:eastAsia="Arial" w:hAnsi="Arial"/>
          <w:sz w:val="15"/>
          <w:szCs w:val="15"/>
          <w:color w:val="auto"/>
        </w:rPr>
      </w:pPr>
    </w:p>
    <w:p>
      <w:pPr>
        <w:ind w:left="910" w:right="80" w:hanging="459"/>
        <w:spacing w:after="0" w:line="275" w:lineRule="auto"/>
        <w:tabs>
          <w:tab w:leader="none" w:pos="910" w:val="left"/>
        </w:tabs>
        <w:numPr>
          <w:ilvl w:val="0"/>
          <w:numId w:val="205"/>
        </w:numPr>
        <w:rPr>
          <w:rFonts w:ascii="Arial" w:cs="Arial" w:eastAsia="Arial" w:hAnsi="Arial"/>
          <w:sz w:val="15"/>
          <w:szCs w:val="15"/>
          <w:color w:val="auto"/>
        </w:rPr>
      </w:pPr>
      <w:r>
        <w:rPr>
          <w:rFonts w:ascii="Arial" w:cs="Arial" w:eastAsia="Arial" w:hAnsi="Arial"/>
          <w:sz w:val="15"/>
          <w:szCs w:val="15"/>
          <w:color w:val="auto"/>
        </w:rPr>
        <w:t>the options and RSUs and the Common Stock subject to the options and RSUs are an extraordinary item that does not constitute compensation of any kind for services of any kind rendered to the Company or the Employer, and which is outside the scope of Participant’s employment contract, if any;</w:t>
      </w:r>
    </w:p>
    <w:p>
      <w:pPr>
        <w:spacing w:after="0" w:line="67" w:lineRule="exact"/>
        <w:rPr>
          <w:rFonts w:ascii="Arial" w:cs="Arial" w:eastAsia="Arial" w:hAnsi="Arial"/>
          <w:sz w:val="15"/>
          <w:szCs w:val="15"/>
          <w:color w:val="auto"/>
        </w:rPr>
      </w:pPr>
    </w:p>
    <w:p>
      <w:pPr>
        <w:ind w:left="910" w:hanging="459"/>
        <w:spacing w:after="0"/>
        <w:tabs>
          <w:tab w:leader="none" w:pos="910" w:val="left"/>
        </w:tabs>
        <w:numPr>
          <w:ilvl w:val="0"/>
          <w:numId w:val="205"/>
        </w:numPr>
        <w:rPr>
          <w:rFonts w:ascii="Arial" w:cs="Arial" w:eastAsia="Arial" w:hAnsi="Arial"/>
          <w:sz w:val="15"/>
          <w:szCs w:val="15"/>
          <w:color w:val="auto"/>
        </w:rPr>
      </w:pPr>
      <w:r>
        <w:rPr>
          <w:rFonts w:ascii="Arial" w:cs="Arial" w:eastAsia="Arial" w:hAnsi="Arial"/>
          <w:sz w:val="15"/>
          <w:szCs w:val="15"/>
          <w:color w:val="auto"/>
        </w:rPr>
        <w:t>the options and RSUs and the Common Stock subject to the options and RSUs are not intended to replace any pension rights or compensation;</w:t>
      </w:r>
    </w:p>
    <w:p>
      <w:pPr>
        <w:spacing w:after="0" w:line="109" w:lineRule="exact"/>
        <w:rPr>
          <w:rFonts w:ascii="Arial" w:cs="Arial" w:eastAsia="Arial" w:hAnsi="Arial"/>
          <w:sz w:val="15"/>
          <w:szCs w:val="15"/>
          <w:color w:val="auto"/>
        </w:rPr>
      </w:pPr>
    </w:p>
    <w:p>
      <w:pPr>
        <w:ind w:left="910" w:right="120" w:hanging="459"/>
        <w:spacing w:after="0" w:line="275" w:lineRule="auto"/>
        <w:tabs>
          <w:tab w:leader="none" w:pos="910" w:val="left"/>
        </w:tabs>
        <w:numPr>
          <w:ilvl w:val="0"/>
          <w:numId w:val="205"/>
        </w:numPr>
        <w:rPr>
          <w:rFonts w:ascii="Arial" w:cs="Arial" w:eastAsia="Arial" w:hAnsi="Arial"/>
          <w:sz w:val="15"/>
          <w:szCs w:val="15"/>
          <w:color w:val="auto"/>
        </w:rPr>
      </w:pPr>
      <w:r>
        <w:rPr>
          <w:rFonts w:ascii="Arial" w:cs="Arial" w:eastAsia="Arial" w:hAnsi="Arial"/>
          <w:sz w:val="15"/>
          <w:szCs w:val="15"/>
          <w:color w:val="auto"/>
        </w:rPr>
        <w:t>the options and RSUs and the Common Stock subject to the options and RSUs are not part of normal or expected compensation or salary for any purposes, including, but not limited to, calculating any severance, resignation, termination, redundancy, end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56515</wp:posOffset>
            </wp:positionV>
            <wp:extent cx="730250" cy="6985"/>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77">
                      <a:extLst>
                        <a:ext uri="{28A0092B-C50C-407E-A947-70E740481C1C}"/>
                      </a:extLst>
                    </a:blip>
                    <a:srcRect/>
                    <a:stretch>
                      <a:fillRect/>
                    </a:stretch>
                  </pic:blipFill>
                  <pic:spPr bwMode="auto">
                    <a:xfrm>
                      <a:off x="0" y="0"/>
                      <a:ext cx="730250" cy="6985"/>
                    </a:xfrm>
                    <a:prstGeom prst="rect">
                      <a:avLst/>
                    </a:prstGeom>
                    <a:noFill/>
                  </pic:spPr>
                </pic:pic>
              </a:graphicData>
            </a:graphic>
          </wp:anchor>
        </w:drawing>
      </w:r>
    </w:p>
    <w:p>
      <w:pPr>
        <w:spacing w:after="0" w:line="104" w:lineRule="exact"/>
        <w:rPr>
          <w:sz w:val="20"/>
          <w:szCs w:val="20"/>
          <w:color w:val="auto"/>
        </w:rPr>
      </w:pPr>
    </w:p>
    <w:p>
      <w:pPr>
        <w:jc w:val="center"/>
        <w:ind w:left="5590" w:right="900" w:hanging="5590"/>
        <w:spacing w:after="0" w:line="448" w:lineRule="auto"/>
        <w:tabs>
          <w:tab w:leader="none" w:pos="442" w:val="left"/>
        </w:tabs>
        <w:numPr>
          <w:ilvl w:val="0"/>
          <w:numId w:val="206"/>
        </w:numPr>
        <w:rPr>
          <w:rFonts w:ascii="Arial" w:cs="Arial" w:eastAsia="Arial" w:hAnsi="Arial"/>
          <w:sz w:val="13"/>
          <w:szCs w:val="13"/>
          <w:color w:val="auto"/>
        </w:rPr>
      </w:pPr>
      <w:r>
        <w:rPr>
          <w:rFonts w:ascii="Arial" w:cs="Arial" w:eastAsia="Arial" w:hAnsi="Arial"/>
          <w:sz w:val="15"/>
          <w:szCs w:val="15"/>
          <w:color w:val="auto"/>
        </w:rPr>
        <w:t>As determined by the Company, taking account of the market rates of interest prevailing in the Netherlands at the relevant time, but otherwise in its absolute discretion. -20-</w:t>
      </w:r>
    </w:p>
    <w:p>
      <w:pPr>
        <w:sectPr>
          <w:pgSz w:w="11900" w:h="16838" w:orient="portrait"/>
          <w:cols w:equalWidth="0" w:num="1">
            <w:col w:w="11430"/>
          </w:cols>
          <w:pgMar w:left="230" w:top="252" w:right="239" w:bottom="1440" w:gutter="0" w:footer="0" w:header="0"/>
        </w:sectPr>
      </w:pPr>
    </w:p>
    <w:bookmarkStart w:id="313" w:name="page314"/>
    <w:bookmarkEnd w:id="313"/>
    <w:p>
      <w:pPr>
        <w:ind w:left="910" w:right="180"/>
        <w:spacing w:after="0" w:line="275"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133350</wp:posOffset>
            </wp:positionH>
            <wp:positionV relativeFrom="page">
              <wp:posOffset>88900</wp:posOffset>
            </wp:positionV>
            <wp:extent cx="7308850" cy="34290"/>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78">
                      <a:extLst>
                        <a:ext uri="{28A0092B-C50C-407E-A947-70E740481C1C}"/>
                      </a:extLst>
                    </a:blip>
                    <a:srcRect/>
                    <a:stretch>
                      <a:fillRect/>
                    </a:stretch>
                  </pic:blipFill>
                  <pic:spPr bwMode="auto">
                    <a:xfrm>
                      <a:off x="0" y="0"/>
                      <a:ext cx="7308850" cy="34290"/>
                    </a:xfrm>
                    <a:prstGeom prst="rect">
                      <a:avLst/>
                    </a:prstGeom>
                    <a:noFill/>
                  </pic:spPr>
                </pic:pic>
              </a:graphicData>
            </a:graphic>
          </wp:anchor>
        </w:drawing>
        <w:t>service payments, bonuses, long-service awards, pension or retirement or welfare benefits or similar payments and in no event should be considered as compensation for, or relating in any way to, past services for the Company, the Employer or any Subsidiary;</w:t>
      </w:r>
    </w:p>
    <w:p>
      <w:pPr>
        <w:spacing w:after="0" w:line="67" w:lineRule="exact"/>
        <w:rPr>
          <w:sz w:val="20"/>
          <w:szCs w:val="20"/>
          <w:color w:val="auto"/>
        </w:rPr>
      </w:pPr>
    </w:p>
    <w:p>
      <w:pPr>
        <w:ind w:left="910" w:hanging="459"/>
        <w:spacing w:after="0" w:line="275" w:lineRule="auto"/>
        <w:tabs>
          <w:tab w:leader="none" w:pos="910" w:val="left"/>
        </w:tabs>
        <w:numPr>
          <w:ilvl w:val="0"/>
          <w:numId w:val="207"/>
        </w:numPr>
        <w:rPr>
          <w:rFonts w:ascii="Arial" w:cs="Arial" w:eastAsia="Arial" w:hAnsi="Arial"/>
          <w:sz w:val="15"/>
          <w:szCs w:val="15"/>
          <w:color w:val="auto"/>
        </w:rPr>
      </w:pPr>
      <w:r>
        <w:rPr>
          <w:rFonts w:ascii="Arial" w:cs="Arial" w:eastAsia="Arial" w:hAnsi="Arial"/>
          <w:sz w:val="15"/>
          <w:szCs w:val="15"/>
          <w:color w:val="auto"/>
        </w:rPr>
        <w:t>the grant of options and RSUs and participation in the Plan will not be interpreted to form an employment contract or relationship between Participant and the Company or any Subsidiary;</w:t>
      </w:r>
    </w:p>
    <w:p>
      <w:pPr>
        <w:spacing w:after="0" w:line="67" w:lineRule="exact"/>
        <w:rPr>
          <w:rFonts w:ascii="Arial" w:cs="Arial" w:eastAsia="Arial" w:hAnsi="Arial"/>
          <w:sz w:val="15"/>
          <w:szCs w:val="15"/>
          <w:color w:val="auto"/>
        </w:rPr>
      </w:pPr>
    </w:p>
    <w:p>
      <w:pPr>
        <w:ind w:left="910" w:hanging="459"/>
        <w:spacing w:after="0"/>
        <w:tabs>
          <w:tab w:leader="none" w:pos="910" w:val="left"/>
        </w:tabs>
        <w:numPr>
          <w:ilvl w:val="0"/>
          <w:numId w:val="207"/>
        </w:numPr>
        <w:rPr>
          <w:rFonts w:ascii="Arial" w:cs="Arial" w:eastAsia="Arial" w:hAnsi="Arial"/>
          <w:sz w:val="15"/>
          <w:szCs w:val="15"/>
          <w:color w:val="auto"/>
        </w:rPr>
      </w:pPr>
      <w:r>
        <w:rPr>
          <w:rFonts w:ascii="Arial" w:cs="Arial" w:eastAsia="Arial" w:hAnsi="Arial"/>
          <w:sz w:val="15"/>
          <w:szCs w:val="15"/>
          <w:color w:val="auto"/>
        </w:rPr>
        <w:t>the future value of the underlying Common Stock purchased or to be purchased under the Plan is unknown and cannot be predicted with certainty;</w:t>
      </w:r>
    </w:p>
    <w:p>
      <w:pPr>
        <w:spacing w:after="0" w:line="109" w:lineRule="exact"/>
        <w:rPr>
          <w:rFonts w:ascii="Arial" w:cs="Arial" w:eastAsia="Arial" w:hAnsi="Arial"/>
          <w:sz w:val="15"/>
          <w:szCs w:val="15"/>
          <w:color w:val="auto"/>
        </w:rPr>
      </w:pPr>
    </w:p>
    <w:p>
      <w:pPr>
        <w:ind w:left="910" w:hanging="459"/>
        <w:spacing w:after="0" w:line="255" w:lineRule="auto"/>
        <w:tabs>
          <w:tab w:leader="none" w:pos="910" w:val="left"/>
        </w:tabs>
        <w:numPr>
          <w:ilvl w:val="0"/>
          <w:numId w:val="207"/>
        </w:numPr>
        <w:rPr>
          <w:rFonts w:ascii="Arial" w:cs="Arial" w:eastAsia="Arial" w:hAnsi="Arial"/>
          <w:sz w:val="15"/>
          <w:szCs w:val="15"/>
          <w:color w:val="auto"/>
        </w:rPr>
      </w:pPr>
      <w:r>
        <w:rPr>
          <w:rFonts w:ascii="Arial" w:cs="Arial" w:eastAsia="Arial" w:hAnsi="Arial"/>
          <w:sz w:val="15"/>
          <w:szCs w:val="15"/>
          <w:color w:val="auto"/>
        </w:rPr>
        <w:t>no claim or entitlement to compensation or damages shall arise from forfeiture of the options or RSUs resulting from termination of Participant’s employment by the Company or the Employer (for any reason whatsoever and whether or not in breach of local employment laws) and, in consideration of the grant of the options or RSUs to which Participant is otherwise not entitled, Participant irrevocably agrees never to institute any claim against the Company or the Employer, waives the ability, if any, to bring any such claim and releases the Company and the Employer from any such claim; if, notwithstanding the foregoing, any such claim is allowed by a court of competent jurisdiction, then, by enrolling in and participating in the Plan, Participant shall be deemed irrevocably to have agreed not to pursue such claim and agrees to execute any and all documents necessary to request dismissal or withdrawal of such claims;</w:t>
      </w:r>
    </w:p>
    <w:p>
      <w:pPr>
        <w:spacing w:after="0" w:line="84" w:lineRule="exact"/>
        <w:rPr>
          <w:rFonts w:ascii="Arial" w:cs="Arial" w:eastAsia="Arial" w:hAnsi="Arial"/>
          <w:sz w:val="15"/>
          <w:szCs w:val="15"/>
          <w:color w:val="auto"/>
        </w:rPr>
      </w:pPr>
    </w:p>
    <w:p>
      <w:pPr>
        <w:ind w:left="910" w:right="80" w:hanging="459"/>
        <w:spacing w:after="0" w:line="259" w:lineRule="auto"/>
        <w:tabs>
          <w:tab w:leader="none" w:pos="910" w:val="left"/>
        </w:tabs>
        <w:numPr>
          <w:ilvl w:val="0"/>
          <w:numId w:val="207"/>
        </w:numPr>
        <w:rPr>
          <w:rFonts w:ascii="Arial" w:cs="Arial" w:eastAsia="Arial" w:hAnsi="Arial"/>
          <w:sz w:val="15"/>
          <w:szCs w:val="15"/>
          <w:color w:val="auto"/>
        </w:rPr>
      </w:pPr>
      <w:r>
        <w:rPr>
          <w:rFonts w:ascii="Arial" w:cs="Arial" w:eastAsia="Arial" w:hAnsi="Arial"/>
          <w:sz w:val="15"/>
          <w:szCs w:val="15"/>
          <w:color w:val="auto"/>
        </w:rPr>
        <w:t>in the event of termination of Participant’s employment (whether or not in breach of local employment laws), Participant’s right to participate in and purchase Common Stock under the Plan, if any, will terminate effective as of the date that Participant is no longer actively employed and will not be extended by any notice period mandated under local law (e.g., active employment would not include a period of “garden leave” or similar period pursuant to local law); the Committee shall have the exclusive discretion to determine when Participant is no longer actively employed for purposes of participation in the Plan; and</w:t>
      </w:r>
    </w:p>
    <w:p>
      <w:pPr>
        <w:spacing w:after="0" w:line="78" w:lineRule="exact"/>
        <w:rPr>
          <w:rFonts w:ascii="Arial" w:cs="Arial" w:eastAsia="Arial" w:hAnsi="Arial"/>
          <w:sz w:val="15"/>
          <w:szCs w:val="15"/>
          <w:color w:val="auto"/>
        </w:rPr>
      </w:pPr>
    </w:p>
    <w:p>
      <w:pPr>
        <w:ind w:left="910" w:hanging="459"/>
        <w:spacing w:after="0"/>
        <w:tabs>
          <w:tab w:leader="none" w:pos="910" w:val="left"/>
        </w:tabs>
        <w:numPr>
          <w:ilvl w:val="0"/>
          <w:numId w:val="207"/>
        </w:numPr>
        <w:rPr>
          <w:rFonts w:ascii="Arial" w:cs="Arial" w:eastAsia="Arial" w:hAnsi="Arial"/>
          <w:sz w:val="14"/>
          <w:szCs w:val="14"/>
          <w:color w:val="auto"/>
        </w:rPr>
      </w:pPr>
      <w:r>
        <w:rPr>
          <w:rFonts w:ascii="Arial" w:cs="Arial" w:eastAsia="Arial" w:hAnsi="Arial"/>
          <w:sz w:val="14"/>
          <w:szCs w:val="14"/>
          <w:color w:val="auto"/>
        </w:rPr>
        <w:t>the options and RSUs and the benefits under the Plan, if any, will not necessarily transfer to another company in the case of a merger, take-over or transfer of liability.</w:t>
      </w:r>
    </w:p>
    <w:p>
      <w:pPr>
        <w:spacing w:after="0" w:line="320" w:lineRule="exact"/>
        <w:rPr>
          <w:sz w:val="20"/>
          <w:szCs w:val="20"/>
          <w:color w:val="auto"/>
        </w:rPr>
      </w:pPr>
    </w:p>
    <w:p>
      <w:pPr>
        <w:ind w:left="450" w:hanging="450"/>
        <w:spacing w:after="0"/>
        <w:tabs>
          <w:tab w:leader="none" w:pos="450" w:val="left"/>
        </w:tabs>
        <w:numPr>
          <w:ilvl w:val="0"/>
          <w:numId w:val="208"/>
        </w:numPr>
        <w:rPr>
          <w:rFonts w:ascii="Arial" w:cs="Arial" w:eastAsia="Arial" w:hAnsi="Arial"/>
          <w:sz w:val="15"/>
          <w:szCs w:val="15"/>
          <w:b w:val="1"/>
          <w:bCs w:val="1"/>
          <w:color w:val="auto"/>
        </w:rPr>
      </w:pPr>
      <w:r>
        <w:rPr>
          <w:rFonts w:ascii="Arial" w:cs="Arial" w:eastAsia="Arial" w:hAnsi="Arial"/>
          <w:sz w:val="15"/>
          <w:szCs w:val="15"/>
          <w:b w:val="1"/>
          <w:bCs w:val="1"/>
          <w:color w:val="auto"/>
        </w:rPr>
        <w:t>No Advice Regarding Grant</w:t>
      </w:r>
    </w:p>
    <w:p>
      <w:pPr>
        <w:spacing w:after="0" w:line="102" w:lineRule="exact"/>
        <w:rPr>
          <w:sz w:val="20"/>
          <w:szCs w:val="20"/>
          <w:color w:val="auto"/>
        </w:rPr>
      </w:pPr>
    </w:p>
    <w:p>
      <w:pPr>
        <w:ind w:left="10" w:right="100"/>
        <w:spacing w:after="0" w:line="263" w:lineRule="auto"/>
        <w:rPr>
          <w:sz w:val="20"/>
          <w:szCs w:val="20"/>
          <w:color w:val="auto"/>
        </w:rPr>
      </w:pPr>
      <w:r>
        <w:rPr>
          <w:rFonts w:ascii="Arial" w:cs="Arial" w:eastAsia="Arial" w:hAnsi="Arial"/>
          <w:sz w:val="15"/>
          <w:szCs w:val="15"/>
          <w:color w:val="auto"/>
        </w:rPr>
        <w:t>The Company is not providing any tax, legal or financial advice, nor is the Company making any recommendations regarding participation in the Plan or the acquisition or sale of the underlying Common Stock. Participant is hereby advised to consult with his or her own personal tax, legal and financial advisors regarding participation in the Plan before taking any action related to the Plan.</w:t>
      </w:r>
    </w:p>
    <w:p>
      <w:pPr>
        <w:spacing w:after="0" w:line="275" w:lineRule="exact"/>
        <w:rPr>
          <w:sz w:val="20"/>
          <w:szCs w:val="20"/>
          <w:color w:val="auto"/>
        </w:rPr>
      </w:pPr>
    </w:p>
    <w:p>
      <w:pPr>
        <w:ind w:left="450" w:hanging="450"/>
        <w:spacing w:after="0"/>
        <w:tabs>
          <w:tab w:leader="none" w:pos="450" w:val="left"/>
        </w:tabs>
        <w:numPr>
          <w:ilvl w:val="0"/>
          <w:numId w:val="209"/>
        </w:numPr>
        <w:rPr>
          <w:rFonts w:ascii="Arial" w:cs="Arial" w:eastAsia="Arial" w:hAnsi="Arial"/>
          <w:sz w:val="15"/>
          <w:szCs w:val="15"/>
          <w:b w:val="1"/>
          <w:bCs w:val="1"/>
          <w:color w:val="auto"/>
        </w:rPr>
      </w:pPr>
      <w:r>
        <w:rPr>
          <w:rFonts w:ascii="Arial" w:cs="Arial" w:eastAsia="Arial" w:hAnsi="Arial"/>
          <w:sz w:val="15"/>
          <w:szCs w:val="15"/>
          <w:b w:val="1"/>
          <w:bCs w:val="1"/>
          <w:color w:val="auto"/>
        </w:rPr>
        <w:t>Data Privacy</w:t>
      </w:r>
    </w:p>
    <w:p>
      <w:pPr>
        <w:spacing w:after="0" w:line="102" w:lineRule="exact"/>
        <w:rPr>
          <w:sz w:val="20"/>
          <w:szCs w:val="20"/>
          <w:color w:val="auto"/>
        </w:rPr>
      </w:pPr>
    </w:p>
    <w:p>
      <w:pPr>
        <w:ind w:left="10"/>
        <w:spacing w:after="0"/>
        <w:rPr>
          <w:sz w:val="20"/>
          <w:szCs w:val="20"/>
          <w:color w:val="auto"/>
        </w:rPr>
      </w:pPr>
      <w:r>
        <w:rPr>
          <w:rFonts w:ascii="Arial" w:cs="Arial" w:eastAsia="Arial" w:hAnsi="Arial"/>
          <w:sz w:val="15"/>
          <w:szCs w:val="15"/>
          <w:color w:val="auto"/>
        </w:rPr>
        <w:t>Section 14 of the Award Agreement does not apply.</w:t>
      </w:r>
    </w:p>
    <w:p>
      <w:pPr>
        <w:spacing w:after="0" w:line="132" w:lineRule="exact"/>
        <w:rPr>
          <w:sz w:val="20"/>
          <w:szCs w:val="20"/>
          <w:color w:val="auto"/>
        </w:rPr>
      </w:pPr>
    </w:p>
    <w:p>
      <w:pPr>
        <w:jc w:val="center"/>
        <w:ind w:right="-9"/>
        <w:spacing w:after="0"/>
        <w:rPr>
          <w:sz w:val="20"/>
          <w:szCs w:val="20"/>
          <w:color w:val="auto"/>
        </w:rPr>
      </w:pPr>
      <w:r>
        <w:rPr>
          <w:rFonts w:ascii="Arial" w:cs="Arial" w:eastAsia="Arial" w:hAnsi="Arial"/>
          <w:sz w:val="15"/>
          <w:szCs w:val="15"/>
          <w:color w:val="auto"/>
        </w:rPr>
        <w:t>-21-</w:t>
      </w:r>
    </w:p>
    <w:p>
      <w:pPr>
        <w:sectPr>
          <w:pgSz w:w="11900" w:h="16838" w:orient="portrait"/>
          <w:cols w:equalWidth="0" w:num="1">
            <w:col w:w="11450"/>
          </w:cols>
          <w:pgMar w:left="230" w:top="253" w:right="219" w:bottom="1440" w:gutter="0" w:footer="0" w:header="0"/>
        </w:sectPr>
      </w:pPr>
    </w:p>
    <w:bookmarkStart w:id="314" w:name="page315"/>
    <w:bookmarkEnd w:id="314"/>
    <w:p>
      <w:pPr>
        <w:ind w:left="450" w:hanging="450"/>
        <w:spacing w:after="0"/>
        <w:tabs>
          <w:tab w:leader="none" w:pos="450" w:val="left"/>
        </w:tabs>
        <w:numPr>
          <w:ilvl w:val="0"/>
          <w:numId w:val="210"/>
        </w:numPr>
        <w:rPr>
          <w:rFonts w:ascii="Arial" w:cs="Arial" w:eastAsia="Arial" w:hAnsi="Arial"/>
          <w:sz w:val="15"/>
          <w:szCs w:val="15"/>
          <w:b w:val="1"/>
          <w:bCs w:val="1"/>
          <w:color w:val="auto"/>
        </w:rPr>
      </w:pPr>
      <w:r>
        <w:rPr>
          <w:rFonts w:ascii="Arial" w:cs="Arial" w:eastAsia="Arial" w:hAnsi="Arial"/>
          <w:sz w:val="15"/>
          <w:szCs w:val="15"/>
          <w:b w:val="1"/>
          <w:bCs w:val="1"/>
          <w:color w:val="auto"/>
        </w:rPr>
        <w:drawing>
          <wp:anchor simplePos="0" relativeHeight="251657728" behindDoc="1" locked="0" layoutInCell="0" allowOverlap="1">
            <wp:simplePos x="0" y="0"/>
            <wp:positionH relativeFrom="page">
              <wp:posOffset>133350</wp:posOffset>
            </wp:positionH>
            <wp:positionV relativeFrom="page">
              <wp:posOffset>88900</wp:posOffset>
            </wp:positionV>
            <wp:extent cx="7308850" cy="34290"/>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79">
                      <a:extLst>
                        <a:ext uri="{28A0092B-C50C-407E-A947-70E740481C1C}"/>
                      </a:extLst>
                    </a:blip>
                    <a:srcRect/>
                    <a:stretch>
                      <a:fillRect/>
                    </a:stretch>
                  </pic:blipFill>
                  <pic:spPr bwMode="auto">
                    <a:xfrm>
                      <a:off x="0" y="0"/>
                      <a:ext cx="7308850" cy="34290"/>
                    </a:xfrm>
                    <a:prstGeom prst="rect">
                      <a:avLst/>
                    </a:prstGeom>
                    <a:noFill/>
                  </pic:spPr>
                </pic:pic>
              </a:graphicData>
            </a:graphic>
          </wp:anchor>
        </w:drawing>
        <w:t>Imposition of Other Requirements</w:t>
      </w:r>
    </w:p>
    <w:p>
      <w:pPr>
        <w:spacing w:after="0" w:line="102" w:lineRule="exact"/>
        <w:rPr>
          <w:sz w:val="20"/>
          <w:szCs w:val="20"/>
          <w:color w:val="auto"/>
        </w:rPr>
      </w:pPr>
    </w:p>
    <w:p>
      <w:pPr>
        <w:ind w:left="10" w:right="160"/>
        <w:spacing w:after="0" w:line="263" w:lineRule="auto"/>
        <w:rPr>
          <w:sz w:val="20"/>
          <w:szCs w:val="20"/>
          <w:color w:val="auto"/>
        </w:rPr>
      </w:pPr>
      <w:r>
        <w:rPr>
          <w:rFonts w:ascii="Arial" w:cs="Arial" w:eastAsia="Arial" w:hAnsi="Arial"/>
          <w:sz w:val="15"/>
          <w:szCs w:val="15"/>
          <w:color w:val="auto"/>
        </w:rPr>
        <w:t>The Company reserves the right to impose other requirements on Participant’s participation in the Plan, on the options and RSUs and on any Common Stock acquired under the Plan, to the extent the Company determines it is necessary or advisable in order to comply with local law or facilitate the administration of the Plan, and to require Participant to sign any additional agreements or undertakings that may be necessary to accomplish the foregoing.</w:t>
      </w:r>
    </w:p>
    <w:p>
      <w:pPr>
        <w:spacing w:after="0" w:line="275" w:lineRule="exact"/>
        <w:rPr>
          <w:sz w:val="20"/>
          <w:szCs w:val="20"/>
          <w:color w:val="auto"/>
        </w:rPr>
      </w:pPr>
    </w:p>
    <w:p>
      <w:pPr>
        <w:ind w:left="450" w:hanging="450"/>
        <w:spacing w:after="0"/>
        <w:tabs>
          <w:tab w:leader="none" w:pos="450" w:val="left"/>
        </w:tabs>
        <w:numPr>
          <w:ilvl w:val="0"/>
          <w:numId w:val="211"/>
        </w:numPr>
        <w:rPr>
          <w:rFonts w:ascii="Arial" w:cs="Arial" w:eastAsia="Arial" w:hAnsi="Arial"/>
          <w:sz w:val="15"/>
          <w:szCs w:val="15"/>
          <w:b w:val="1"/>
          <w:bCs w:val="1"/>
          <w:color w:val="auto"/>
        </w:rPr>
      </w:pPr>
      <w:r>
        <w:rPr>
          <w:rFonts w:ascii="Arial" w:cs="Arial" w:eastAsia="Arial" w:hAnsi="Arial"/>
          <w:sz w:val="15"/>
          <w:szCs w:val="15"/>
          <w:b w:val="1"/>
          <w:bCs w:val="1"/>
          <w:color w:val="auto"/>
        </w:rPr>
        <w:t>Acknowledgement</w:t>
      </w:r>
    </w:p>
    <w:p>
      <w:pPr>
        <w:spacing w:after="0" w:line="102" w:lineRule="exact"/>
        <w:rPr>
          <w:sz w:val="20"/>
          <w:szCs w:val="20"/>
          <w:color w:val="auto"/>
        </w:rPr>
      </w:pPr>
    </w:p>
    <w:p>
      <w:pPr>
        <w:ind w:left="10"/>
        <w:spacing w:after="0" w:line="275" w:lineRule="auto"/>
        <w:rPr>
          <w:sz w:val="20"/>
          <w:szCs w:val="20"/>
          <w:color w:val="auto"/>
        </w:rPr>
      </w:pPr>
      <w:r>
        <w:rPr>
          <w:rFonts w:ascii="Arial" w:cs="Arial" w:eastAsia="Arial" w:hAnsi="Arial"/>
          <w:sz w:val="15"/>
          <w:szCs w:val="15"/>
          <w:color w:val="auto"/>
        </w:rPr>
        <w:t>By enrolling in the Plan, Participant agrees to be bound by, and understands that his or her participation in the Plan is subject to, the terms and conditions set forth in this Appendix, as well as the terms and conditions set forth in the Plan.</w:t>
      </w:r>
    </w:p>
    <w:p>
      <w:pPr>
        <w:spacing w:after="0" w:line="90" w:lineRule="exact"/>
        <w:rPr>
          <w:sz w:val="20"/>
          <w:szCs w:val="20"/>
          <w:color w:val="auto"/>
        </w:rPr>
      </w:pPr>
    </w:p>
    <w:p>
      <w:pPr>
        <w:jc w:val="center"/>
        <w:ind w:right="-9"/>
        <w:spacing w:after="0"/>
        <w:rPr>
          <w:sz w:val="20"/>
          <w:szCs w:val="20"/>
          <w:color w:val="auto"/>
        </w:rPr>
      </w:pPr>
      <w:r>
        <w:rPr>
          <w:rFonts w:ascii="Arial" w:cs="Arial" w:eastAsia="Arial" w:hAnsi="Arial"/>
          <w:sz w:val="15"/>
          <w:szCs w:val="15"/>
          <w:color w:val="auto"/>
        </w:rPr>
        <w:t>-22-</w:t>
      </w:r>
    </w:p>
    <w:p>
      <w:pPr>
        <w:sectPr>
          <w:pgSz w:w="11900" w:h="16838" w:orient="portrait"/>
          <w:cols w:equalWidth="0" w:num="1">
            <w:col w:w="11450"/>
          </w:cols>
          <w:pgMar w:left="230" w:top="249" w:right="219" w:bottom="1440" w:gutter="0" w:footer="0" w:header="0"/>
        </w:sectPr>
      </w:pPr>
    </w:p>
    <w:bookmarkStart w:id="315" w:name="page316"/>
    <w:bookmarkEnd w:id="315"/>
    <w:p>
      <w:pPr>
        <w:ind w:left="5150"/>
        <w:spacing w:after="0"/>
        <w:rPr>
          <w:sz w:val="20"/>
          <w:szCs w:val="20"/>
          <w:color w:val="auto"/>
        </w:rPr>
      </w:pPr>
      <w:r>
        <w:rPr>
          <w:rFonts w:ascii="Arial" w:cs="Arial" w:eastAsia="Arial" w:hAnsi="Arial"/>
          <w:sz w:val="15"/>
          <w:szCs w:val="15"/>
          <w:b w:val="1"/>
          <w:bCs w:val="1"/>
          <w:color w:val="auto"/>
        </w:rPr>
        <w:drawing>
          <wp:anchor simplePos="0" relativeHeight="251657728" behindDoc="1" locked="0" layoutInCell="0" allowOverlap="1">
            <wp:simplePos x="0" y="0"/>
            <wp:positionH relativeFrom="page">
              <wp:posOffset>133350</wp:posOffset>
            </wp:positionH>
            <wp:positionV relativeFrom="page">
              <wp:posOffset>88900</wp:posOffset>
            </wp:positionV>
            <wp:extent cx="7308850" cy="34290"/>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80">
                      <a:extLst>
                        <a:ext uri="{28A0092B-C50C-407E-A947-70E740481C1C}"/>
                      </a:extLst>
                    </a:blip>
                    <a:srcRect/>
                    <a:stretch>
                      <a:fillRect/>
                    </a:stretch>
                  </pic:blipFill>
                  <pic:spPr bwMode="auto">
                    <a:xfrm>
                      <a:off x="0" y="0"/>
                      <a:ext cx="7308850" cy="34290"/>
                    </a:xfrm>
                    <a:prstGeom prst="rect">
                      <a:avLst/>
                    </a:prstGeom>
                    <a:noFill/>
                  </pic:spPr>
                </pic:pic>
              </a:graphicData>
            </a:graphic>
          </wp:anchor>
        </w:drawing>
        <w:t>DROPBOX, INC.</w:t>
      </w:r>
    </w:p>
    <w:p>
      <w:pPr>
        <w:spacing w:after="0" w:line="98" w:lineRule="exact"/>
        <w:rPr>
          <w:sz w:val="20"/>
          <w:szCs w:val="20"/>
          <w:color w:val="auto"/>
        </w:rPr>
      </w:pPr>
    </w:p>
    <w:p>
      <w:pPr>
        <w:ind w:left="4590"/>
        <w:spacing w:after="0"/>
        <w:rPr>
          <w:sz w:val="20"/>
          <w:szCs w:val="20"/>
          <w:color w:val="auto"/>
        </w:rPr>
      </w:pPr>
      <w:r>
        <w:rPr>
          <w:rFonts w:ascii="Arial" w:cs="Arial" w:eastAsia="Arial" w:hAnsi="Arial"/>
          <w:sz w:val="15"/>
          <w:szCs w:val="15"/>
          <w:b w:val="1"/>
          <w:bCs w:val="1"/>
          <w:color w:val="auto"/>
        </w:rPr>
        <w:t>2018 EQUITY INCENTIVE PLAN</w:t>
      </w:r>
    </w:p>
    <w:p>
      <w:pPr>
        <w:spacing w:after="0" w:line="98" w:lineRule="exact"/>
        <w:rPr>
          <w:sz w:val="20"/>
          <w:szCs w:val="20"/>
          <w:color w:val="auto"/>
        </w:rPr>
      </w:pPr>
    </w:p>
    <w:p>
      <w:pPr>
        <w:ind w:left="3050"/>
        <w:spacing w:after="0"/>
        <w:rPr>
          <w:sz w:val="20"/>
          <w:szCs w:val="20"/>
          <w:color w:val="auto"/>
        </w:rPr>
      </w:pPr>
      <w:r>
        <w:rPr>
          <w:rFonts w:ascii="Arial" w:cs="Arial" w:eastAsia="Arial" w:hAnsi="Arial"/>
          <w:sz w:val="15"/>
          <w:szCs w:val="15"/>
          <w:b w:val="1"/>
          <w:bCs w:val="1"/>
          <w:color w:val="auto"/>
        </w:rPr>
        <w:t>ADDENDUM REGARDING OFFERINGS OF RESTRICTED STOCK UNITS TO</w:t>
      </w:r>
    </w:p>
    <w:p>
      <w:pPr>
        <w:spacing w:after="0" w:line="21" w:lineRule="exact"/>
        <w:rPr>
          <w:sz w:val="20"/>
          <w:szCs w:val="20"/>
          <w:color w:val="auto"/>
        </w:rPr>
      </w:pPr>
    </w:p>
    <w:p>
      <w:pPr>
        <w:jc w:val="center"/>
        <w:ind w:right="-69"/>
        <w:spacing w:after="0"/>
        <w:rPr>
          <w:sz w:val="20"/>
          <w:szCs w:val="20"/>
          <w:color w:val="auto"/>
        </w:rPr>
      </w:pPr>
      <w:r>
        <w:rPr>
          <w:rFonts w:ascii="Arial" w:cs="Arial" w:eastAsia="Arial" w:hAnsi="Arial"/>
          <w:sz w:val="15"/>
          <w:szCs w:val="15"/>
          <w:b w:val="1"/>
          <w:bCs w:val="1"/>
          <w:color w:val="auto"/>
        </w:rPr>
        <w:t>PARTICIPANTS IN SINGAPORE</w:t>
      </w:r>
    </w:p>
    <w:p>
      <w:pPr>
        <w:spacing w:after="0" w:line="179" w:lineRule="exact"/>
        <w:rPr>
          <w:sz w:val="20"/>
          <w:szCs w:val="20"/>
          <w:color w:val="auto"/>
        </w:rPr>
      </w:pPr>
    </w:p>
    <w:p>
      <w:pPr>
        <w:ind w:left="10"/>
        <w:spacing w:after="0"/>
        <w:rPr>
          <w:sz w:val="20"/>
          <w:szCs w:val="20"/>
          <w:color w:val="auto"/>
        </w:rPr>
      </w:pPr>
      <w:r>
        <w:rPr>
          <w:rFonts w:ascii="Arial" w:cs="Arial" w:eastAsia="Arial" w:hAnsi="Arial"/>
          <w:sz w:val="14"/>
          <w:szCs w:val="14"/>
          <w:color w:val="auto"/>
        </w:rPr>
        <w:t>All capitalized terms used not defined herein shall have the meanings assigned to them in the Dropbox, Inc. 2018 Equity Incentive Plan, as amended from time to time (the “Plan”).</w:t>
      </w:r>
    </w:p>
    <w:p>
      <w:pPr>
        <w:spacing w:after="0" w:line="320" w:lineRule="exact"/>
        <w:rPr>
          <w:sz w:val="20"/>
          <w:szCs w:val="20"/>
          <w:color w:val="auto"/>
        </w:rPr>
      </w:pPr>
    </w:p>
    <w:p>
      <w:pPr>
        <w:ind w:left="450" w:hanging="450"/>
        <w:spacing w:after="0"/>
        <w:tabs>
          <w:tab w:leader="none" w:pos="450" w:val="left"/>
        </w:tabs>
        <w:numPr>
          <w:ilvl w:val="0"/>
          <w:numId w:val="212"/>
        </w:numPr>
        <w:rPr>
          <w:rFonts w:ascii="Arial" w:cs="Arial" w:eastAsia="Arial" w:hAnsi="Arial"/>
          <w:sz w:val="15"/>
          <w:szCs w:val="15"/>
          <w:b w:val="1"/>
          <w:bCs w:val="1"/>
          <w:color w:val="auto"/>
        </w:rPr>
      </w:pPr>
      <w:r>
        <w:rPr>
          <w:rFonts w:ascii="Arial" w:cs="Arial" w:eastAsia="Arial" w:hAnsi="Arial"/>
          <w:sz w:val="15"/>
          <w:szCs w:val="15"/>
          <w:b w:val="1"/>
          <w:bCs w:val="1"/>
          <w:color w:val="auto"/>
        </w:rPr>
        <w:t>Taxes</w:t>
      </w:r>
    </w:p>
    <w:p>
      <w:pPr>
        <w:spacing w:after="0" w:line="102" w:lineRule="exact"/>
        <w:rPr>
          <w:sz w:val="20"/>
          <w:szCs w:val="20"/>
          <w:color w:val="auto"/>
        </w:rPr>
      </w:pPr>
    </w:p>
    <w:p>
      <w:pPr>
        <w:ind w:left="10" w:firstLine="458"/>
        <w:spacing w:after="0" w:line="254" w:lineRule="auto"/>
        <w:rPr>
          <w:sz w:val="20"/>
          <w:szCs w:val="20"/>
          <w:color w:val="auto"/>
        </w:rPr>
      </w:pPr>
      <w:r>
        <w:rPr>
          <w:rFonts w:ascii="Arial" w:cs="Arial" w:eastAsia="Arial" w:hAnsi="Arial"/>
          <w:sz w:val="15"/>
          <w:szCs w:val="15"/>
          <w:color w:val="auto"/>
        </w:rPr>
        <w:t>Regardless of any action the Company or Participant’s employer (the “Employer”) take with respect to any or all income tax, or other tax-related items related to Participant’s participation in the Plan and legally applicable to Participant (“Tax-Related Items”), Participant acknowledges that the ultimate liability for all Tax-Related Items is and remains Participant’s responsibility and may exceed the amount actually withheld by the Company or the Employer. Participant further acknowledges that the Company and/or the Employer (i) make no representations or undertakings regarding the treatment of any Tax-Related Items in connection with any aspect of the Plan, including, but not limited to, the grant of the RSUs, the purchase of Common Stock under the Plan, the subsequent sale of Common Stock purchased under the Plan and the receipt of any dividends on the Common Stock; and (ii) do not commit to and are under no obligation to structure the terms of the grant or any aspect of the RSUs to reduce or eliminate Participant’s liability for Tax-Related Items or achieve any particular tax result. Further, if Participant has become subject to tax in more than one jurisdiction between the date of grant of the RSUs and the date of any relevant taxable or tax withholding event, as applicable, Participant acknowledges that the Company and/or the Employer (or former employer, as applicable) may be required to withhold or account for Tax-Related Items in more than one jurisdiction.</w:t>
      </w:r>
    </w:p>
    <w:p>
      <w:pPr>
        <w:spacing w:after="0" w:line="162" w:lineRule="exact"/>
        <w:rPr>
          <w:sz w:val="20"/>
          <w:szCs w:val="20"/>
          <w:color w:val="auto"/>
        </w:rPr>
      </w:pPr>
    </w:p>
    <w:p>
      <w:pPr>
        <w:ind w:left="10" w:right="80" w:firstLine="458"/>
        <w:spacing w:after="0" w:line="263" w:lineRule="auto"/>
        <w:rPr>
          <w:sz w:val="20"/>
          <w:szCs w:val="20"/>
          <w:color w:val="auto"/>
        </w:rPr>
      </w:pPr>
      <w:r>
        <w:rPr>
          <w:rFonts w:ascii="Arial" w:cs="Arial" w:eastAsia="Arial" w:hAnsi="Arial"/>
          <w:sz w:val="15"/>
          <w:szCs w:val="15"/>
          <w:color w:val="auto"/>
        </w:rPr>
        <w:t>Prior to any relevant taxable or tax withholding event, as applicable, Participant will pay or make adequate arrangements satisfactory to the Company and/or the Employer to satisfy all Tax-Related Items. In this regard, Participant authorizes the Company and/or the Employer, or their respective agents, at their discretion, to satisfy the obligations with regard to all Tax-Related Items by one or a combination of the following:</w:t>
      </w:r>
    </w:p>
    <w:p>
      <w:pPr>
        <w:spacing w:after="0" w:line="76" w:lineRule="exact"/>
        <w:rPr>
          <w:sz w:val="20"/>
          <w:szCs w:val="20"/>
          <w:color w:val="auto"/>
        </w:rPr>
      </w:pPr>
    </w:p>
    <w:p>
      <w:pPr>
        <w:ind w:left="910" w:hanging="459"/>
        <w:spacing w:after="0"/>
        <w:tabs>
          <w:tab w:leader="none" w:pos="910" w:val="left"/>
        </w:tabs>
        <w:numPr>
          <w:ilvl w:val="0"/>
          <w:numId w:val="213"/>
        </w:numPr>
        <w:rPr>
          <w:rFonts w:ascii="Arial" w:cs="Arial" w:eastAsia="Arial" w:hAnsi="Arial"/>
          <w:sz w:val="15"/>
          <w:szCs w:val="15"/>
          <w:color w:val="auto"/>
        </w:rPr>
      </w:pPr>
      <w:r>
        <w:rPr>
          <w:rFonts w:ascii="Arial" w:cs="Arial" w:eastAsia="Arial" w:hAnsi="Arial"/>
          <w:sz w:val="15"/>
          <w:szCs w:val="15"/>
          <w:color w:val="auto"/>
        </w:rPr>
        <w:t>withholding from Participant’s wages or other cash compensation paid to Participant by the Company and/or the Employer; or</w:t>
      </w:r>
    </w:p>
    <w:p>
      <w:pPr>
        <w:spacing w:after="0" w:line="109" w:lineRule="exact"/>
        <w:rPr>
          <w:rFonts w:ascii="Arial" w:cs="Arial" w:eastAsia="Arial" w:hAnsi="Arial"/>
          <w:sz w:val="15"/>
          <w:szCs w:val="15"/>
          <w:color w:val="auto"/>
        </w:rPr>
      </w:pPr>
    </w:p>
    <w:p>
      <w:pPr>
        <w:ind w:left="910" w:right="260" w:hanging="459"/>
        <w:spacing w:after="0" w:line="275" w:lineRule="auto"/>
        <w:tabs>
          <w:tab w:leader="none" w:pos="910" w:val="left"/>
        </w:tabs>
        <w:numPr>
          <w:ilvl w:val="0"/>
          <w:numId w:val="213"/>
        </w:numPr>
        <w:rPr>
          <w:rFonts w:ascii="Arial" w:cs="Arial" w:eastAsia="Arial" w:hAnsi="Arial"/>
          <w:sz w:val="15"/>
          <w:szCs w:val="15"/>
          <w:color w:val="auto"/>
        </w:rPr>
      </w:pPr>
      <w:r>
        <w:rPr>
          <w:rFonts w:ascii="Arial" w:cs="Arial" w:eastAsia="Arial" w:hAnsi="Arial"/>
          <w:sz w:val="15"/>
          <w:szCs w:val="15"/>
          <w:color w:val="auto"/>
        </w:rPr>
        <w:t>withholding from proceeds of the sale of Common Stock purchased upon vesting of the RSUs either through a voluntary sale or through a mandatory sale arranged by the Company (on Participant’s behalf pursuant to this authorization); or</w:t>
      </w:r>
    </w:p>
    <w:p>
      <w:pPr>
        <w:spacing w:after="0" w:line="67" w:lineRule="exact"/>
        <w:rPr>
          <w:rFonts w:ascii="Arial" w:cs="Arial" w:eastAsia="Arial" w:hAnsi="Arial"/>
          <w:sz w:val="15"/>
          <w:szCs w:val="15"/>
          <w:color w:val="auto"/>
        </w:rPr>
      </w:pPr>
    </w:p>
    <w:p>
      <w:pPr>
        <w:ind w:left="910" w:hanging="459"/>
        <w:spacing w:after="0"/>
        <w:tabs>
          <w:tab w:leader="none" w:pos="910" w:val="left"/>
        </w:tabs>
        <w:numPr>
          <w:ilvl w:val="0"/>
          <w:numId w:val="213"/>
        </w:numPr>
        <w:rPr>
          <w:rFonts w:ascii="Arial" w:cs="Arial" w:eastAsia="Arial" w:hAnsi="Arial"/>
          <w:sz w:val="15"/>
          <w:szCs w:val="15"/>
          <w:color w:val="auto"/>
        </w:rPr>
      </w:pPr>
      <w:r>
        <w:rPr>
          <w:rFonts w:ascii="Arial" w:cs="Arial" w:eastAsia="Arial" w:hAnsi="Arial"/>
          <w:sz w:val="15"/>
          <w:szCs w:val="15"/>
          <w:color w:val="auto"/>
        </w:rPr>
        <w:t>withholding Common Stock to be issued upon vesting of the RSUs.</w:t>
      </w:r>
    </w:p>
    <w:p>
      <w:pPr>
        <w:spacing w:after="0" w:line="188" w:lineRule="exact"/>
        <w:rPr>
          <w:sz w:val="20"/>
          <w:szCs w:val="20"/>
          <w:color w:val="auto"/>
        </w:rPr>
      </w:pPr>
    </w:p>
    <w:p>
      <w:pPr>
        <w:ind w:left="10" w:right="260" w:firstLine="458"/>
        <w:spacing w:after="0" w:line="275" w:lineRule="auto"/>
        <w:rPr>
          <w:sz w:val="20"/>
          <w:szCs w:val="20"/>
          <w:color w:val="auto"/>
        </w:rPr>
      </w:pPr>
      <w:r>
        <w:rPr>
          <w:rFonts w:ascii="Arial" w:cs="Arial" w:eastAsia="Arial" w:hAnsi="Arial"/>
          <w:sz w:val="15"/>
          <w:szCs w:val="15"/>
          <w:color w:val="auto"/>
        </w:rPr>
        <w:t>In particular, for Singapore income tax purposes, if the affected Participant ceases employment with the Employer, departs Singapore for more than three (3) months, or is posted overseas, the Company and/or the Employer, or their respective agents, shall withhold all wages and</w:t>
      </w:r>
    </w:p>
    <w:p>
      <w:pPr>
        <w:spacing w:after="0" w:line="90" w:lineRule="exact"/>
        <w:rPr>
          <w:sz w:val="20"/>
          <w:szCs w:val="20"/>
          <w:color w:val="auto"/>
        </w:rPr>
      </w:pPr>
    </w:p>
    <w:p>
      <w:pPr>
        <w:jc w:val="center"/>
        <w:ind w:right="-69"/>
        <w:spacing w:after="0"/>
        <w:rPr>
          <w:sz w:val="20"/>
          <w:szCs w:val="20"/>
          <w:color w:val="auto"/>
        </w:rPr>
      </w:pPr>
      <w:r>
        <w:rPr>
          <w:rFonts w:ascii="Arial" w:cs="Arial" w:eastAsia="Arial" w:hAnsi="Arial"/>
          <w:sz w:val="15"/>
          <w:szCs w:val="15"/>
          <w:color w:val="auto"/>
        </w:rPr>
        <w:t>-23-</w:t>
      </w:r>
    </w:p>
    <w:p>
      <w:pPr>
        <w:sectPr>
          <w:pgSz w:w="11900" w:h="16838" w:orient="portrait"/>
          <w:cols w:equalWidth="0" w:num="1">
            <w:col w:w="11390"/>
          </w:cols>
          <w:pgMar w:left="230" w:top="249" w:right="279" w:bottom="1440" w:gutter="0" w:footer="0" w:header="0"/>
        </w:sectPr>
      </w:pPr>
    </w:p>
    <w:bookmarkStart w:id="316" w:name="page317"/>
    <w:bookmarkEnd w:id="316"/>
    <w:p>
      <w:pPr>
        <w:ind w:left="10" w:right="80"/>
        <w:spacing w:after="0" w:line="275"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133350</wp:posOffset>
            </wp:positionH>
            <wp:positionV relativeFrom="page">
              <wp:posOffset>88900</wp:posOffset>
            </wp:positionV>
            <wp:extent cx="7308850" cy="34290"/>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81">
                      <a:extLst>
                        <a:ext uri="{28A0092B-C50C-407E-A947-70E740481C1C}"/>
                      </a:extLst>
                    </a:blip>
                    <a:srcRect/>
                    <a:stretch>
                      <a:fillRect/>
                    </a:stretch>
                  </pic:blipFill>
                  <pic:spPr bwMode="auto">
                    <a:xfrm>
                      <a:off x="0" y="0"/>
                      <a:ext cx="7308850" cy="34290"/>
                    </a:xfrm>
                    <a:prstGeom prst="rect">
                      <a:avLst/>
                    </a:prstGeom>
                    <a:noFill/>
                  </pic:spPr>
                </pic:pic>
              </a:graphicData>
            </a:graphic>
          </wp:anchor>
        </w:drawing>
        <w:t>remuneration due to the affected Participant for tax clearance purposes, until the expiry of thirty (30) days after the receipt by the Inland Revenue of Authority of Singapore (“IRAS”) of the tax clearance filing or receipt of tax clearance instructions from IRAS, whichever is earlier.</w:t>
      </w:r>
    </w:p>
    <w:p>
      <w:pPr>
        <w:spacing w:after="0" w:line="146" w:lineRule="exact"/>
        <w:rPr>
          <w:sz w:val="20"/>
          <w:szCs w:val="20"/>
          <w:color w:val="auto"/>
        </w:rPr>
      </w:pPr>
    </w:p>
    <w:p>
      <w:pPr>
        <w:jc w:val="both"/>
        <w:ind w:left="10" w:right="100" w:firstLine="458"/>
        <w:spacing w:after="0" w:line="290" w:lineRule="auto"/>
        <w:rPr>
          <w:sz w:val="20"/>
          <w:szCs w:val="20"/>
          <w:color w:val="auto"/>
        </w:rPr>
      </w:pPr>
      <w:r>
        <w:rPr>
          <w:rFonts w:ascii="Arial" w:cs="Arial" w:eastAsia="Arial" w:hAnsi="Arial"/>
          <w:sz w:val="14"/>
          <w:szCs w:val="14"/>
          <w:color w:val="auto"/>
        </w:rPr>
        <w:t>Participant shall pay to the Company or the Employer any amount of Tax-Related Items that the Company or the Employer may be required to withhold or account for as a result of Participant’s participation in the Plan that cannot be satisfied by the means previously described. The Company may refuse to purchase Common Stock on Participant’s behalf and/or refuse to deliver Common Stock purchased under the Plan if Participant fails to comply with his or her obligations in connection with the Tax-Related Items.</w:t>
      </w:r>
    </w:p>
    <w:p>
      <w:pPr>
        <w:spacing w:after="0" w:line="258" w:lineRule="exact"/>
        <w:rPr>
          <w:sz w:val="20"/>
          <w:szCs w:val="20"/>
          <w:color w:val="auto"/>
        </w:rPr>
      </w:pPr>
    </w:p>
    <w:p>
      <w:pPr>
        <w:ind w:left="450" w:hanging="450"/>
        <w:spacing w:after="0"/>
        <w:tabs>
          <w:tab w:leader="none" w:pos="450" w:val="left"/>
        </w:tabs>
        <w:numPr>
          <w:ilvl w:val="0"/>
          <w:numId w:val="214"/>
        </w:numPr>
        <w:rPr>
          <w:rFonts w:ascii="Arial" w:cs="Arial" w:eastAsia="Arial" w:hAnsi="Arial"/>
          <w:sz w:val="15"/>
          <w:szCs w:val="15"/>
          <w:b w:val="1"/>
          <w:bCs w:val="1"/>
          <w:color w:val="auto"/>
        </w:rPr>
      </w:pPr>
      <w:r>
        <w:rPr>
          <w:rFonts w:ascii="Arial" w:cs="Arial" w:eastAsia="Arial" w:hAnsi="Arial"/>
          <w:sz w:val="15"/>
          <w:szCs w:val="15"/>
          <w:b w:val="1"/>
          <w:bCs w:val="1"/>
          <w:color w:val="auto"/>
        </w:rPr>
        <w:t>Nature of Grant</w:t>
      </w:r>
    </w:p>
    <w:p>
      <w:pPr>
        <w:spacing w:after="0" w:line="102" w:lineRule="exact"/>
        <w:rPr>
          <w:rFonts w:ascii="Arial" w:cs="Arial" w:eastAsia="Arial" w:hAnsi="Arial"/>
          <w:sz w:val="15"/>
          <w:szCs w:val="15"/>
          <w:b w:val="1"/>
          <w:bCs w:val="1"/>
          <w:color w:val="auto"/>
        </w:rPr>
      </w:pPr>
    </w:p>
    <w:p>
      <w:pPr>
        <w:ind w:left="450"/>
        <w:spacing w:after="0"/>
        <w:rPr>
          <w:rFonts w:ascii="Arial" w:cs="Arial" w:eastAsia="Arial" w:hAnsi="Arial"/>
          <w:sz w:val="15"/>
          <w:szCs w:val="15"/>
          <w:b w:val="1"/>
          <w:bCs w:val="1"/>
          <w:color w:val="auto"/>
        </w:rPr>
      </w:pPr>
      <w:r>
        <w:rPr>
          <w:rFonts w:ascii="Arial" w:cs="Arial" w:eastAsia="Arial" w:hAnsi="Arial"/>
          <w:sz w:val="15"/>
          <w:szCs w:val="15"/>
          <w:color w:val="auto"/>
        </w:rPr>
        <w:t>By enrolling in the Plan, Participant acknowledges, understands and agrees that:</w:t>
      </w:r>
    </w:p>
    <w:p>
      <w:pPr>
        <w:spacing w:after="0" w:line="109" w:lineRule="exact"/>
        <w:rPr>
          <w:rFonts w:ascii="Arial" w:cs="Arial" w:eastAsia="Arial" w:hAnsi="Arial"/>
          <w:sz w:val="15"/>
          <w:szCs w:val="15"/>
          <w:b w:val="1"/>
          <w:bCs w:val="1"/>
          <w:color w:val="auto"/>
        </w:rPr>
      </w:pPr>
    </w:p>
    <w:p>
      <w:pPr>
        <w:ind w:left="910" w:hanging="459"/>
        <w:spacing w:after="0"/>
        <w:tabs>
          <w:tab w:leader="none" w:pos="910" w:val="left"/>
        </w:tabs>
        <w:numPr>
          <w:ilvl w:val="1"/>
          <w:numId w:val="214"/>
        </w:numPr>
        <w:rPr>
          <w:rFonts w:ascii="Arial" w:cs="Arial" w:eastAsia="Arial" w:hAnsi="Arial"/>
          <w:sz w:val="14"/>
          <w:szCs w:val="14"/>
          <w:color w:val="auto"/>
        </w:rPr>
      </w:pPr>
      <w:r>
        <w:rPr>
          <w:rFonts w:ascii="Arial" w:cs="Arial" w:eastAsia="Arial" w:hAnsi="Arial"/>
          <w:sz w:val="14"/>
          <w:szCs w:val="14"/>
          <w:color w:val="auto"/>
        </w:rPr>
        <w:t>the Plan is established voluntarily by the Company, it is discretionary in nature and it may be modified, amended, suspended or terminated by the Company at any time;</w:t>
      </w:r>
    </w:p>
    <w:p>
      <w:pPr>
        <w:spacing w:after="0" w:line="120" w:lineRule="exact"/>
        <w:rPr>
          <w:rFonts w:ascii="Arial" w:cs="Arial" w:eastAsia="Arial" w:hAnsi="Arial"/>
          <w:sz w:val="14"/>
          <w:szCs w:val="14"/>
          <w:color w:val="auto"/>
        </w:rPr>
      </w:pPr>
    </w:p>
    <w:p>
      <w:pPr>
        <w:ind w:left="910" w:right="220" w:hanging="459"/>
        <w:spacing w:after="0" w:line="275" w:lineRule="auto"/>
        <w:tabs>
          <w:tab w:leader="none" w:pos="910" w:val="left"/>
        </w:tabs>
        <w:numPr>
          <w:ilvl w:val="1"/>
          <w:numId w:val="214"/>
        </w:numPr>
        <w:rPr>
          <w:rFonts w:ascii="Arial" w:cs="Arial" w:eastAsia="Arial" w:hAnsi="Arial"/>
          <w:sz w:val="15"/>
          <w:szCs w:val="15"/>
          <w:color w:val="auto"/>
        </w:rPr>
      </w:pPr>
      <w:r>
        <w:rPr>
          <w:rFonts w:ascii="Arial" w:cs="Arial" w:eastAsia="Arial" w:hAnsi="Arial"/>
          <w:sz w:val="15"/>
          <w:szCs w:val="15"/>
          <w:color w:val="auto"/>
        </w:rPr>
        <w:t>the grant of RSUs is voluntary and occasional and does not create any contractual or other right to receive future grants of RSUs, or benefits in lieu of RSUs, even if RSUs have been granted repeatedly in the past;</w:t>
      </w:r>
    </w:p>
    <w:p>
      <w:pPr>
        <w:spacing w:after="0" w:line="67" w:lineRule="exact"/>
        <w:rPr>
          <w:rFonts w:ascii="Arial" w:cs="Arial" w:eastAsia="Arial" w:hAnsi="Arial"/>
          <w:sz w:val="15"/>
          <w:szCs w:val="15"/>
          <w:color w:val="auto"/>
        </w:rPr>
      </w:pPr>
    </w:p>
    <w:p>
      <w:pPr>
        <w:ind w:left="910" w:hanging="459"/>
        <w:spacing w:after="0"/>
        <w:tabs>
          <w:tab w:leader="none" w:pos="910" w:val="left"/>
        </w:tabs>
        <w:numPr>
          <w:ilvl w:val="1"/>
          <w:numId w:val="214"/>
        </w:numPr>
        <w:rPr>
          <w:rFonts w:ascii="Arial" w:cs="Arial" w:eastAsia="Arial" w:hAnsi="Arial"/>
          <w:sz w:val="15"/>
          <w:szCs w:val="15"/>
          <w:color w:val="auto"/>
        </w:rPr>
      </w:pPr>
      <w:r>
        <w:rPr>
          <w:rFonts w:ascii="Arial" w:cs="Arial" w:eastAsia="Arial" w:hAnsi="Arial"/>
          <w:sz w:val="15"/>
          <w:szCs w:val="15"/>
          <w:color w:val="auto"/>
        </w:rPr>
        <w:t>all decisions with respect to future grants of RSUs, if any, will be at the sole discretion of the Company;</w:t>
      </w:r>
    </w:p>
    <w:p>
      <w:pPr>
        <w:spacing w:after="0" w:line="109" w:lineRule="exact"/>
        <w:rPr>
          <w:rFonts w:ascii="Arial" w:cs="Arial" w:eastAsia="Arial" w:hAnsi="Arial"/>
          <w:sz w:val="15"/>
          <w:szCs w:val="15"/>
          <w:color w:val="auto"/>
        </w:rPr>
      </w:pPr>
    </w:p>
    <w:p>
      <w:pPr>
        <w:ind w:left="910" w:right="280" w:hanging="459"/>
        <w:spacing w:after="0" w:line="275" w:lineRule="auto"/>
        <w:tabs>
          <w:tab w:leader="none" w:pos="910" w:val="left"/>
        </w:tabs>
        <w:numPr>
          <w:ilvl w:val="1"/>
          <w:numId w:val="214"/>
        </w:numPr>
        <w:rPr>
          <w:rFonts w:ascii="Arial" w:cs="Arial" w:eastAsia="Arial" w:hAnsi="Arial"/>
          <w:sz w:val="15"/>
          <w:szCs w:val="15"/>
          <w:color w:val="auto"/>
        </w:rPr>
      </w:pPr>
      <w:r>
        <w:rPr>
          <w:rFonts w:ascii="Arial" w:cs="Arial" w:eastAsia="Arial" w:hAnsi="Arial"/>
          <w:sz w:val="15"/>
          <w:szCs w:val="15"/>
          <w:color w:val="auto"/>
        </w:rPr>
        <w:t>Participant’s participation in the Plan shall not create a right to further employment with the Employer and shall not interfere with the ability of the Employer to terminate Participant’s employment relationship at any time;</w:t>
      </w:r>
    </w:p>
    <w:p>
      <w:pPr>
        <w:spacing w:after="0" w:line="67" w:lineRule="exact"/>
        <w:rPr>
          <w:rFonts w:ascii="Arial" w:cs="Arial" w:eastAsia="Arial" w:hAnsi="Arial"/>
          <w:sz w:val="15"/>
          <w:szCs w:val="15"/>
          <w:color w:val="auto"/>
        </w:rPr>
      </w:pPr>
    </w:p>
    <w:p>
      <w:pPr>
        <w:ind w:left="910" w:hanging="459"/>
        <w:spacing w:after="0"/>
        <w:tabs>
          <w:tab w:leader="none" w:pos="910" w:val="left"/>
        </w:tabs>
        <w:numPr>
          <w:ilvl w:val="1"/>
          <w:numId w:val="214"/>
        </w:numPr>
        <w:rPr>
          <w:rFonts w:ascii="Arial" w:cs="Arial" w:eastAsia="Arial" w:hAnsi="Arial"/>
          <w:sz w:val="15"/>
          <w:szCs w:val="15"/>
          <w:color w:val="auto"/>
        </w:rPr>
      </w:pPr>
      <w:r>
        <w:rPr>
          <w:rFonts w:ascii="Arial" w:cs="Arial" w:eastAsia="Arial" w:hAnsi="Arial"/>
          <w:sz w:val="15"/>
          <w:szCs w:val="15"/>
          <w:color w:val="auto"/>
        </w:rPr>
        <w:t>Participant is voluntarily participating in the Plan;</w:t>
      </w:r>
    </w:p>
    <w:p>
      <w:pPr>
        <w:spacing w:after="0" w:line="109" w:lineRule="exact"/>
        <w:rPr>
          <w:rFonts w:ascii="Arial" w:cs="Arial" w:eastAsia="Arial" w:hAnsi="Arial"/>
          <w:sz w:val="15"/>
          <w:szCs w:val="15"/>
          <w:color w:val="auto"/>
        </w:rPr>
      </w:pPr>
    </w:p>
    <w:p>
      <w:pPr>
        <w:ind w:left="910" w:right="280" w:hanging="459"/>
        <w:spacing w:after="0" w:line="275" w:lineRule="auto"/>
        <w:tabs>
          <w:tab w:leader="none" w:pos="910" w:val="left"/>
        </w:tabs>
        <w:numPr>
          <w:ilvl w:val="1"/>
          <w:numId w:val="214"/>
        </w:numPr>
        <w:rPr>
          <w:rFonts w:ascii="Arial" w:cs="Arial" w:eastAsia="Arial" w:hAnsi="Arial"/>
          <w:sz w:val="15"/>
          <w:szCs w:val="15"/>
          <w:color w:val="auto"/>
        </w:rPr>
      </w:pPr>
      <w:r>
        <w:rPr>
          <w:rFonts w:ascii="Arial" w:cs="Arial" w:eastAsia="Arial" w:hAnsi="Arial"/>
          <w:sz w:val="15"/>
          <w:szCs w:val="15"/>
          <w:color w:val="auto"/>
        </w:rPr>
        <w:t>the RSUs and the Common Stock subject to the RSUs are an extraordinary item that does not constitute compensation of any kind for services of any kind rendered to the Company or the Employer, and which is outside the scope of Participant’s employment contract, if any;</w:t>
      </w:r>
    </w:p>
    <w:p>
      <w:pPr>
        <w:spacing w:after="0" w:line="67" w:lineRule="exact"/>
        <w:rPr>
          <w:rFonts w:ascii="Arial" w:cs="Arial" w:eastAsia="Arial" w:hAnsi="Arial"/>
          <w:sz w:val="15"/>
          <w:szCs w:val="15"/>
          <w:color w:val="auto"/>
        </w:rPr>
      </w:pPr>
    </w:p>
    <w:p>
      <w:pPr>
        <w:ind w:left="910" w:hanging="459"/>
        <w:spacing w:after="0"/>
        <w:tabs>
          <w:tab w:leader="none" w:pos="910" w:val="left"/>
        </w:tabs>
        <w:numPr>
          <w:ilvl w:val="1"/>
          <w:numId w:val="214"/>
        </w:numPr>
        <w:rPr>
          <w:rFonts w:ascii="Arial" w:cs="Arial" w:eastAsia="Arial" w:hAnsi="Arial"/>
          <w:sz w:val="15"/>
          <w:szCs w:val="15"/>
          <w:color w:val="auto"/>
        </w:rPr>
      </w:pPr>
      <w:r>
        <w:rPr>
          <w:rFonts w:ascii="Arial" w:cs="Arial" w:eastAsia="Arial" w:hAnsi="Arial"/>
          <w:sz w:val="15"/>
          <w:szCs w:val="15"/>
          <w:color w:val="auto"/>
        </w:rPr>
        <w:t>the RSUs and the Common Stock subject to the RSUs are not intended to replace any pension rights or compensation;</w:t>
      </w:r>
    </w:p>
    <w:p>
      <w:pPr>
        <w:spacing w:after="0" w:line="109" w:lineRule="exact"/>
        <w:rPr>
          <w:rFonts w:ascii="Arial" w:cs="Arial" w:eastAsia="Arial" w:hAnsi="Arial"/>
          <w:sz w:val="15"/>
          <w:szCs w:val="15"/>
          <w:color w:val="auto"/>
        </w:rPr>
      </w:pPr>
    </w:p>
    <w:p>
      <w:pPr>
        <w:ind w:left="910" w:hanging="459"/>
        <w:spacing w:after="0" w:line="290" w:lineRule="auto"/>
        <w:tabs>
          <w:tab w:leader="none" w:pos="910" w:val="left"/>
        </w:tabs>
        <w:numPr>
          <w:ilvl w:val="1"/>
          <w:numId w:val="214"/>
        </w:numPr>
        <w:rPr>
          <w:rFonts w:ascii="Arial" w:cs="Arial" w:eastAsia="Arial" w:hAnsi="Arial"/>
          <w:sz w:val="14"/>
          <w:szCs w:val="14"/>
          <w:color w:val="auto"/>
        </w:rPr>
      </w:pPr>
      <w:r>
        <w:rPr>
          <w:rFonts w:ascii="Arial" w:cs="Arial" w:eastAsia="Arial" w:hAnsi="Arial"/>
          <w:sz w:val="14"/>
          <w:szCs w:val="14"/>
          <w:color w:val="auto"/>
        </w:rPr>
        <w:t>the RSUs and the Common Stock subject to the RSUs are not part of normal or expected compensation or salary for any purposes, including, but not limited to, calculating any severance, resignation, termination, redundancy, end of service payments, bonuses, long-service awards, pension or retirement or welfare benefits or similar payments and in no event should be considered as compensation for, or relating in any way to, past services for the Company, the Employer or any Subsidiary;</w:t>
      </w:r>
    </w:p>
    <w:p>
      <w:pPr>
        <w:spacing w:after="0" w:line="82" w:lineRule="exact"/>
        <w:rPr>
          <w:sz w:val="20"/>
          <w:szCs w:val="20"/>
          <w:color w:val="auto"/>
        </w:rPr>
      </w:pPr>
    </w:p>
    <w:p>
      <w:pPr>
        <w:jc w:val="center"/>
        <w:ind w:right="-29"/>
        <w:spacing w:after="0"/>
        <w:rPr>
          <w:sz w:val="20"/>
          <w:szCs w:val="20"/>
          <w:color w:val="auto"/>
        </w:rPr>
      </w:pPr>
      <w:r>
        <w:rPr>
          <w:rFonts w:ascii="Arial" w:cs="Arial" w:eastAsia="Arial" w:hAnsi="Arial"/>
          <w:sz w:val="15"/>
          <w:szCs w:val="15"/>
          <w:color w:val="auto"/>
        </w:rPr>
        <w:t>-24-</w:t>
      </w:r>
    </w:p>
    <w:p>
      <w:pPr>
        <w:sectPr>
          <w:pgSz w:w="11900" w:h="16838" w:orient="portrait"/>
          <w:cols w:equalWidth="0" w:num="1">
            <w:col w:w="11410"/>
          </w:cols>
          <w:pgMar w:left="230" w:top="253" w:right="259" w:bottom="1440" w:gutter="0" w:footer="0" w:header="0"/>
        </w:sectPr>
      </w:pPr>
    </w:p>
    <w:bookmarkStart w:id="317" w:name="page318"/>
    <w:bookmarkEnd w:id="317"/>
    <w:p>
      <w:pPr>
        <w:ind w:left="910" w:hanging="459"/>
        <w:spacing w:after="0"/>
        <w:tabs>
          <w:tab w:leader="none" w:pos="910" w:val="left"/>
        </w:tabs>
        <w:numPr>
          <w:ilvl w:val="1"/>
          <w:numId w:val="215"/>
        </w:numPr>
        <w:rPr>
          <w:rFonts w:ascii="Arial" w:cs="Arial" w:eastAsia="Arial" w:hAnsi="Arial"/>
          <w:sz w:val="13"/>
          <w:szCs w:val="13"/>
          <w:color w:val="auto"/>
        </w:rPr>
      </w:pPr>
      <w:r>
        <w:rPr>
          <w:rFonts w:ascii="Arial" w:cs="Arial" w:eastAsia="Arial" w:hAnsi="Arial"/>
          <w:sz w:val="13"/>
          <w:szCs w:val="13"/>
          <w:color w:val="auto"/>
        </w:rPr>
        <w:drawing>
          <wp:anchor simplePos="0" relativeHeight="251657728" behindDoc="1" locked="0" layoutInCell="0" allowOverlap="1">
            <wp:simplePos x="0" y="0"/>
            <wp:positionH relativeFrom="page">
              <wp:posOffset>133350</wp:posOffset>
            </wp:positionH>
            <wp:positionV relativeFrom="page">
              <wp:posOffset>88900</wp:posOffset>
            </wp:positionV>
            <wp:extent cx="7308850" cy="34290"/>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82">
                      <a:extLst>
                        <a:ext uri="{28A0092B-C50C-407E-A947-70E740481C1C}"/>
                      </a:extLst>
                    </a:blip>
                    <a:srcRect/>
                    <a:stretch>
                      <a:fillRect/>
                    </a:stretch>
                  </pic:blipFill>
                  <pic:spPr bwMode="auto">
                    <a:xfrm>
                      <a:off x="0" y="0"/>
                      <a:ext cx="7308850" cy="34290"/>
                    </a:xfrm>
                    <a:prstGeom prst="rect">
                      <a:avLst/>
                    </a:prstGeom>
                    <a:noFill/>
                  </pic:spPr>
                </pic:pic>
              </a:graphicData>
            </a:graphic>
          </wp:anchor>
        </w:drawing>
        <w:t>the grant of RSUs and participation in the Plan will not be interpreted to form an employment contract or relationship between Participant and the Company or any Subsidiary;</w:t>
      </w:r>
    </w:p>
    <w:p>
      <w:pPr>
        <w:spacing w:after="0" w:line="132" w:lineRule="exact"/>
        <w:rPr>
          <w:rFonts w:ascii="Arial" w:cs="Arial" w:eastAsia="Arial" w:hAnsi="Arial"/>
          <w:sz w:val="13"/>
          <w:szCs w:val="13"/>
          <w:color w:val="auto"/>
        </w:rPr>
      </w:pPr>
    </w:p>
    <w:p>
      <w:pPr>
        <w:ind w:left="910" w:hanging="459"/>
        <w:spacing w:after="0"/>
        <w:tabs>
          <w:tab w:leader="none" w:pos="910" w:val="left"/>
        </w:tabs>
        <w:numPr>
          <w:ilvl w:val="1"/>
          <w:numId w:val="215"/>
        </w:numPr>
        <w:rPr>
          <w:rFonts w:ascii="Arial" w:cs="Arial" w:eastAsia="Arial" w:hAnsi="Arial"/>
          <w:sz w:val="15"/>
          <w:szCs w:val="15"/>
          <w:color w:val="auto"/>
        </w:rPr>
      </w:pPr>
      <w:r>
        <w:rPr>
          <w:rFonts w:ascii="Arial" w:cs="Arial" w:eastAsia="Arial" w:hAnsi="Arial"/>
          <w:sz w:val="15"/>
          <w:szCs w:val="15"/>
          <w:color w:val="auto"/>
        </w:rPr>
        <w:t>the future value of the underlying Common Stock purchased or to be purchased under the Plan is unknown and cannot be predicted with certainty;</w:t>
      </w:r>
    </w:p>
    <w:p>
      <w:pPr>
        <w:spacing w:after="0" w:line="109" w:lineRule="exact"/>
        <w:rPr>
          <w:rFonts w:ascii="Arial" w:cs="Arial" w:eastAsia="Arial" w:hAnsi="Arial"/>
          <w:sz w:val="15"/>
          <w:szCs w:val="15"/>
          <w:color w:val="auto"/>
        </w:rPr>
      </w:pPr>
    </w:p>
    <w:p>
      <w:pPr>
        <w:ind w:left="910" w:right="20" w:hanging="459"/>
        <w:spacing w:after="0" w:line="255" w:lineRule="auto"/>
        <w:tabs>
          <w:tab w:leader="none" w:pos="910" w:val="left"/>
        </w:tabs>
        <w:numPr>
          <w:ilvl w:val="1"/>
          <w:numId w:val="215"/>
        </w:numPr>
        <w:rPr>
          <w:rFonts w:ascii="Arial" w:cs="Arial" w:eastAsia="Arial" w:hAnsi="Arial"/>
          <w:sz w:val="15"/>
          <w:szCs w:val="15"/>
          <w:color w:val="auto"/>
        </w:rPr>
      </w:pPr>
      <w:r>
        <w:rPr>
          <w:rFonts w:ascii="Arial" w:cs="Arial" w:eastAsia="Arial" w:hAnsi="Arial"/>
          <w:sz w:val="15"/>
          <w:szCs w:val="15"/>
          <w:color w:val="auto"/>
        </w:rPr>
        <w:t>no claim or entitlement to compensation or damages shall arise from forfeiture of the RSUs resulting from termination of Participant’s employment by the Company or the Employer (for any reason whatsoever and whether or not in breach of local employment laws) and, in consideration of the grant of the RSUs to which Participant is otherwise not entitled, Participant irrevocably agrees never to institute any claim against the Company or the Employer, waives the ability, if any, to bring any such claim and releases the Company and the Employer from any such claim; if, notwithstanding the foregoing, any such claim is allowed by a court of competent jurisdiction, then, by enrolling in and participating in the Plan, Participant shall be deemed irrevocably to have agreed not to pursue such claim and agrees to execute any and all documents necessary to request dismissal or withdrawal of such claims;</w:t>
      </w:r>
    </w:p>
    <w:p>
      <w:pPr>
        <w:spacing w:after="0" w:line="84" w:lineRule="exact"/>
        <w:rPr>
          <w:rFonts w:ascii="Arial" w:cs="Arial" w:eastAsia="Arial" w:hAnsi="Arial"/>
          <w:sz w:val="15"/>
          <w:szCs w:val="15"/>
          <w:color w:val="auto"/>
        </w:rPr>
      </w:pPr>
    </w:p>
    <w:p>
      <w:pPr>
        <w:ind w:left="910" w:right="60" w:hanging="459"/>
        <w:spacing w:after="0" w:line="257" w:lineRule="auto"/>
        <w:tabs>
          <w:tab w:leader="none" w:pos="910" w:val="left"/>
        </w:tabs>
        <w:numPr>
          <w:ilvl w:val="1"/>
          <w:numId w:val="215"/>
        </w:numPr>
        <w:rPr>
          <w:rFonts w:ascii="Arial" w:cs="Arial" w:eastAsia="Arial" w:hAnsi="Arial"/>
          <w:sz w:val="15"/>
          <w:szCs w:val="15"/>
          <w:color w:val="auto"/>
        </w:rPr>
      </w:pPr>
      <w:r>
        <w:rPr>
          <w:rFonts w:ascii="Arial" w:cs="Arial" w:eastAsia="Arial" w:hAnsi="Arial"/>
          <w:sz w:val="15"/>
          <w:szCs w:val="15"/>
          <w:color w:val="auto"/>
        </w:rPr>
        <w:t>in the event of termination of Participant’s employment (whether or not in breach of local employment laws), Participant’s right to participate in and purchase Common Stock under the Plan, if any, will terminate effective as of the date that Participant is no longer actively employed and will not be extended by any notice period as set out in the Employment Act (Cap. 91) and/or the Participant’s employment agreement (e.g., active employment would not include a period of “garden leave” or any similar period as set out in the Participant’s employment agreement ); the Committee shall have the exclusive discretion to determine when Participant is no longer actively employed for purposes of participation in the Plan; and</w:t>
      </w:r>
    </w:p>
    <w:p>
      <w:pPr>
        <w:spacing w:after="0" w:line="80" w:lineRule="exact"/>
        <w:rPr>
          <w:rFonts w:ascii="Arial" w:cs="Arial" w:eastAsia="Arial" w:hAnsi="Arial"/>
          <w:sz w:val="15"/>
          <w:szCs w:val="15"/>
          <w:color w:val="auto"/>
        </w:rPr>
      </w:pPr>
    </w:p>
    <w:p>
      <w:pPr>
        <w:ind w:left="910" w:hanging="459"/>
        <w:spacing w:after="0"/>
        <w:tabs>
          <w:tab w:leader="none" w:pos="910" w:val="left"/>
        </w:tabs>
        <w:numPr>
          <w:ilvl w:val="1"/>
          <w:numId w:val="215"/>
        </w:numPr>
        <w:rPr>
          <w:rFonts w:ascii="Arial" w:cs="Arial" w:eastAsia="Arial" w:hAnsi="Arial"/>
          <w:sz w:val="15"/>
          <w:szCs w:val="15"/>
          <w:color w:val="auto"/>
        </w:rPr>
      </w:pPr>
      <w:r>
        <w:rPr>
          <w:rFonts w:ascii="Arial" w:cs="Arial" w:eastAsia="Arial" w:hAnsi="Arial"/>
          <w:sz w:val="15"/>
          <w:szCs w:val="15"/>
          <w:color w:val="auto"/>
        </w:rPr>
        <w:t>the RSUs and the benefits under the Plan, if any, will not necessarily transfer to another company in the case of a merger, take-over or transfer of liability.</w:t>
      </w:r>
    </w:p>
    <w:p>
      <w:pPr>
        <w:spacing w:after="0" w:line="308" w:lineRule="exact"/>
        <w:rPr>
          <w:rFonts w:ascii="Arial" w:cs="Arial" w:eastAsia="Arial" w:hAnsi="Arial"/>
          <w:sz w:val="15"/>
          <w:szCs w:val="15"/>
          <w:color w:val="auto"/>
        </w:rPr>
      </w:pPr>
    </w:p>
    <w:p>
      <w:pPr>
        <w:ind w:left="450" w:hanging="450"/>
        <w:spacing w:after="0"/>
        <w:tabs>
          <w:tab w:leader="none" w:pos="450" w:val="left"/>
        </w:tabs>
        <w:numPr>
          <w:ilvl w:val="0"/>
          <w:numId w:val="216"/>
        </w:numPr>
        <w:rPr>
          <w:rFonts w:ascii="Arial" w:cs="Arial" w:eastAsia="Arial" w:hAnsi="Arial"/>
          <w:sz w:val="15"/>
          <w:szCs w:val="15"/>
          <w:b w:val="1"/>
          <w:bCs w:val="1"/>
          <w:color w:val="auto"/>
        </w:rPr>
      </w:pPr>
      <w:r>
        <w:rPr>
          <w:rFonts w:ascii="Arial" w:cs="Arial" w:eastAsia="Arial" w:hAnsi="Arial"/>
          <w:sz w:val="15"/>
          <w:szCs w:val="15"/>
          <w:b w:val="1"/>
          <w:bCs w:val="1"/>
          <w:color w:val="auto"/>
        </w:rPr>
        <w:t>No Advice Regarding Grant</w:t>
      </w:r>
    </w:p>
    <w:p>
      <w:pPr>
        <w:spacing w:after="0" w:line="102" w:lineRule="exact"/>
        <w:rPr>
          <w:sz w:val="20"/>
          <w:szCs w:val="20"/>
          <w:color w:val="auto"/>
        </w:rPr>
      </w:pPr>
    </w:p>
    <w:p>
      <w:pPr>
        <w:jc w:val="both"/>
        <w:ind w:left="10" w:right="60" w:firstLine="458"/>
        <w:spacing w:after="0" w:line="263" w:lineRule="auto"/>
        <w:rPr>
          <w:sz w:val="20"/>
          <w:szCs w:val="20"/>
          <w:color w:val="auto"/>
        </w:rPr>
      </w:pPr>
      <w:r>
        <w:rPr>
          <w:rFonts w:ascii="Arial" w:cs="Arial" w:eastAsia="Arial" w:hAnsi="Arial"/>
          <w:sz w:val="15"/>
          <w:szCs w:val="15"/>
          <w:color w:val="auto"/>
        </w:rPr>
        <w:t>The Company is not providing any tax, legal or financial advice, nor is the Company making any recommendations regarding participation in the Plan or the acquisition or sale of the underlying Common Stock. Participant is hereby advised to consult with his or her own personal tax, legal and financial advisors regarding participation in the Plan before taking any action related to the Plan.</w:t>
      </w:r>
    </w:p>
    <w:p>
      <w:pPr>
        <w:spacing w:after="0" w:line="275" w:lineRule="exact"/>
        <w:rPr>
          <w:sz w:val="20"/>
          <w:szCs w:val="20"/>
          <w:color w:val="auto"/>
        </w:rPr>
      </w:pPr>
    </w:p>
    <w:p>
      <w:pPr>
        <w:ind w:left="450" w:hanging="450"/>
        <w:spacing w:after="0"/>
        <w:tabs>
          <w:tab w:leader="none" w:pos="450" w:val="left"/>
        </w:tabs>
        <w:numPr>
          <w:ilvl w:val="0"/>
          <w:numId w:val="217"/>
        </w:numPr>
        <w:rPr>
          <w:rFonts w:ascii="Arial" w:cs="Arial" w:eastAsia="Arial" w:hAnsi="Arial"/>
          <w:sz w:val="15"/>
          <w:szCs w:val="15"/>
          <w:b w:val="1"/>
          <w:bCs w:val="1"/>
          <w:color w:val="auto"/>
        </w:rPr>
      </w:pPr>
      <w:r>
        <w:rPr>
          <w:rFonts w:ascii="Arial" w:cs="Arial" w:eastAsia="Arial" w:hAnsi="Arial"/>
          <w:sz w:val="15"/>
          <w:szCs w:val="15"/>
          <w:b w:val="1"/>
          <w:bCs w:val="1"/>
          <w:color w:val="auto"/>
        </w:rPr>
        <w:t>Data Privacy</w:t>
      </w:r>
    </w:p>
    <w:p>
      <w:pPr>
        <w:spacing w:after="0" w:line="102" w:lineRule="exact"/>
        <w:rPr>
          <w:sz w:val="20"/>
          <w:szCs w:val="20"/>
          <w:color w:val="auto"/>
        </w:rPr>
      </w:pPr>
    </w:p>
    <w:p>
      <w:pPr>
        <w:ind w:left="10" w:firstLine="458"/>
        <w:spacing w:after="0" w:line="263" w:lineRule="auto"/>
        <w:rPr>
          <w:sz w:val="20"/>
          <w:szCs w:val="20"/>
          <w:color w:val="auto"/>
        </w:rPr>
      </w:pPr>
      <w:r>
        <w:rPr>
          <w:rFonts w:ascii="Arial" w:cs="Arial" w:eastAsia="Arial" w:hAnsi="Arial"/>
          <w:sz w:val="15"/>
          <w:szCs w:val="15"/>
          <w:color w:val="auto"/>
        </w:rPr>
        <w:t>By enrolling in the Plan, Participant explicitly and unambiguously consents to the collection, use and transfer, in electronic or other form, of Participant’s personal data as described in this Appendix by and among, as applicable, the Employer, the Company and any Subsidiary for the exclusive purpose of implementing, administering and managing Participant’s participation in the Plan.</w:t>
      </w:r>
    </w:p>
    <w:p>
      <w:pPr>
        <w:spacing w:after="0" w:line="98" w:lineRule="exact"/>
        <w:rPr>
          <w:sz w:val="20"/>
          <w:szCs w:val="20"/>
          <w:color w:val="auto"/>
        </w:rPr>
      </w:pPr>
    </w:p>
    <w:p>
      <w:pPr>
        <w:jc w:val="center"/>
        <w:ind w:right="-9"/>
        <w:spacing w:after="0"/>
        <w:rPr>
          <w:sz w:val="20"/>
          <w:szCs w:val="20"/>
          <w:color w:val="auto"/>
        </w:rPr>
      </w:pPr>
      <w:r>
        <w:rPr>
          <w:rFonts w:ascii="Arial" w:cs="Arial" w:eastAsia="Arial" w:hAnsi="Arial"/>
          <w:sz w:val="15"/>
          <w:szCs w:val="15"/>
          <w:color w:val="auto"/>
        </w:rPr>
        <w:t>-25-</w:t>
      </w:r>
    </w:p>
    <w:p>
      <w:pPr>
        <w:sectPr>
          <w:pgSz w:w="11900" w:h="16838" w:orient="portrait"/>
          <w:cols w:equalWidth="0" w:num="1">
            <w:col w:w="11450"/>
          </w:cols>
          <w:pgMar w:left="230" w:top="253" w:right="219" w:bottom="1440" w:gutter="0" w:footer="0" w:header="0"/>
        </w:sectPr>
      </w:pPr>
    </w:p>
    <w:bookmarkStart w:id="318" w:name="page319"/>
    <w:bookmarkEnd w:id="318"/>
    <w:p>
      <w:pPr>
        <w:ind w:left="10" w:right="40" w:firstLine="458"/>
        <w:spacing w:after="0" w:line="259"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133350</wp:posOffset>
            </wp:positionH>
            <wp:positionV relativeFrom="page">
              <wp:posOffset>88900</wp:posOffset>
            </wp:positionV>
            <wp:extent cx="7308850" cy="34290"/>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83">
                      <a:extLst>
                        <a:ext uri="{28A0092B-C50C-407E-A947-70E740481C1C}"/>
                      </a:extLst>
                    </a:blip>
                    <a:srcRect/>
                    <a:stretch>
                      <a:fillRect/>
                    </a:stretch>
                  </pic:blipFill>
                  <pic:spPr bwMode="auto">
                    <a:xfrm>
                      <a:off x="0" y="0"/>
                      <a:ext cx="7308850" cy="34290"/>
                    </a:xfrm>
                    <a:prstGeom prst="rect">
                      <a:avLst/>
                    </a:prstGeom>
                    <a:noFill/>
                  </pic:spPr>
                </pic:pic>
              </a:graphicData>
            </a:graphic>
          </wp:anchor>
        </w:drawing>
        <w:t>Participant understands that the Company and the Employer may hold certain personal information about Participant, including, but not limited to, Participant’s name, home address and telephone number, date of birth, passport number or other identification number, salary, nationality, job title, any shares of stock or directorships held in the Company, details of all RSUs or any other entitlement to shares of stock awarded, canceled, exercised, vested, unvested or outstanding in Participant’s favor, for the exclusive purpose of implementing, administering and managing the Plan (“Data”).</w:t>
      </w:r>
    </w:p>
    <w:p>
      <w:pPr>
        <w:spacing w:after="0" w:line="158" w:lineRule="exact"/>
        <w:rPr>
          <w:sz w:val="20"/>
          <w:szCs w:val="20"/>
          <w:color w:val="auto"/>
        </w:rPr>
      </w:pPr>
    </w:p>
    <w:p>
      <w:pPr>
        <w:jc w:val="both"/>
        <w:ind w:left="10" w:right="100" w:firstLine="458"/>
        <w:spacing w:after="0" w:line="294" w:lineRule="auto"/>
        <w:rPr>
          <w:sz w:val="20"/>
          <w:szCs w:val="20"/>
          <w:color w:val="auto"/>
        </w:rPr>
      </w:pPr>
      <w:r>
        <w:rPr>
          <w:rFonts w:ascii="Arial" w:cs="Arial" w:eastAsia="Arial" w:hAnsi="Arial"/>
          <w:sz w:val="13"/>
          <w:szCs w:val="13"/>
          <w:color w:val="auto"/>
        </w:rPr>
        <w:t>Participant understands that Data may be transferred to the Company’s stock plan administrator or such other stock plan service provider that may be selected by the Company in the future (the “Stock Plan Administrator”), which is assisting the Company with the implementation, administration and management of the Plan. Participant understands that the recipients of Data may be located in Participant’s country or elsewhere, and that the recipients’ country (e.g., Bermuda) may have different data privacy laws and protections than Participant’s country.</w:t>
      </w:r>
    </w:p>
    <w:p>
      <w:pPr>
        <w:spacing w:after="0" w:line="1" w:lineRule="exact"/>
        <w:rPr>
          <w:sz w:val="20"/>
          <w:szCs w:val="20"/>
          <w:color w:val="auto"/>
        </w:rPr>
      </w:pPr>
    </w:p>
    <w:p>
      <w:pPr>
        <w:ind w:left="10" w:right="100"/>
        <w:spacing w:after="0" w:line="273" w:lineRule="auto"/>
        <w:rPr>
          <w:sz w:val="20"/>
          <w:szCs w:val="20"/>
          <w:color w:val="auto"/>
        </w:rPr>
      </w:pPr>
      <w:r>
        <w:rPr>
          <w:rFonts w:ascii="Arial" w:cs="Arial" w:eastAsia="Arial" w:hAnsi="Arial"/>
          <w:sz w:val="14"/>
          <w:szCs w:val="14"/>
          <w:color w:val="auto"/>
        </w:rPr>
        <w:t>Participant understands that he or she may request a list with the names and addresses of any potential recipients of Data by contacting his or her local human resources representative. Participant authorizes the Company, the Stock Plan Administrator and any other possible recipients which may assist the Company (presently or in the future) with implementing, administering and managing the Plan to receive, possess, use, retain and transfer Data, in electronic or other form, for the sole purpose of implementing, administering and managing Participant’s participation in the Plan. Participant understands that Data will be held only as long as is necessary to implement, administer and manage Participant’s participation in the Plan. Participant understands that he or she may, at any time, view Data, request additional information about the storage and processing of Data, require any necessary amendments to Data or refuse or withdraw the consents herein, in any case without cost, by contacting in writing his or her local human resources representative. Participant understands, however, that refusing or withdrawing consent may affect Participant’s ability to participate in the Plan. For more information on the consequences of refusal to consent or withdrawal of consent, Participant understands that he or she may contact his or her local human resources representative.</w:t>
      </w:r>
    </w:p>
    <w:p>
      <w:pPr>
        <w:spacing w:after="0" w:line="270" w:lineRule="exact"/>
        <w:rPr>
          <w:sz w:val="20"/>
          <w:szCs w:val="20"/>
          <w:color w:val="auto"/>
        </w:rPr>
      </w:pPr>
    </w:p>
    <w:p>
      <w:pPr>
        <w:ind w:left="450" w:hanging="450"/>
        <w:spacing w:after="0"/>
        <w:tabs>
          <w:tab w:leader="none" w:pos="450" w:val="left"/>
        </w:tabs>
        <w:numPr>
          <w:ilvl w:val="0"/>
          <w:numId w:val="218"/>
        </w:numPr>
        <w:rPr>
          <w:rFonts w:ascii="Arial" w:cs="Arial" w:eastAsia="Arial" w:hAnsi="Arial"/>
          <w:sz w:val="15"/>
          <w:szCs w:val="15"/>
          <w:b w:val="1"/>
          <w:bCs w:val="1"/>
          <w:color w:val="auto"/>
        </w:rPr>
      </w:pPr>
      <w:r>
        <w:rPr>
          <w:rFonts w:ascii="Arial" w:cs="Arial" w:eastAsia="Arial" w:hAnsi="Arial"/>
          <w:sz w:val="15"/>
          <w:szCs w:val="15"/>
          <w:b w:val="1"/>
          <w:bCs w:val="1"/>
          <w:color w:val="auto"/>
        </w:rPr>
        <w:t>Imposition of Other Requirements</w:t>
      </w:r>
    </w:p>
    <w:p>
      <w:pPr>
        <w:spacing w:after="0" w:line="102" w:lineRule="exact"/>
        <w:rPr>
          <w:sz w:val="20"/>
          <w:szCs w:val="20"/>
          <w:color w:val="auto"/>
        </w:rPr>
      </w:pPr>
    </w:p>
    <w:p>
      <w:pPr>
        <w:jc w:val="both"/>
        <w:ind w:left="10" w:right="20" w:firstLine="458"/>
        <w:spacing w:after="0" w:line="263" w:lineRule="auto"/>
        <w:rPr>
          <w:sz w:val="20"/>
          <w:szCs w:val="20"/>
          <w:color w:val="auto"/>
        </w:rPr>
      </w:pPr>
      <w:r>
        <w:rPr>
          <w:rFonts w:ascii="Arial" w:cs="Arial" w:eastAsia="Arial" w:hAnsi="Arial"/>
          <w:sz w:val="15"/>
          <w:szCs w:val="15"/>
          <w:color w:val="auto"/>
        </w:rPr>
        <w:t>The Company reserves the right to impose other requirements on Participant’s participation in the Plan, on the RSUs and on any Common Stock acquired under the Plan, to the extent the Company determines it is necessary or advisable in order to comply with local law or facilitate the administration of the Plan, and to require Participant to sign any additional agreements or undertakings that may be necessary to accomplish the foregoing.</w:t>
      </w:r>
    </w:p>
    <w:p>
      <w:pPr>
        <w:spacing w:after="0" w:line="275" w:lineRule="exact"/>
        <w:rPr>
          <w:sz w:val="20"/>
          <w:szCs w:val="20"/>
          <w:color w:val="auto"/>
        </w:rPr>
      </w:pPr>
    </w:p>
    <w:p>
      <w:pPr>
        <w:ind w:left="450" w:hanging="450"/>
        <w:spacing w:after="0"/>
        <w:tabs>
          <w:tab w:leader="none" w:pos="450" w:val="left"/>
        </w:tabs>
        <w:numPr>
          <w:ilvl w:val="0"/>
          <w:numId w:val="219"/>
        </w:numPr>
        <w:rPr>
          <w:rFonts w:ascii="Arial" w:cs="Arial" w:eastAsia="Arial" w:hAnsi="Arial"/>
          <w:sz w:val="15"/>
          <w:szCs w:val="15"/>
          <w:b w:val="1"/>
          <w:bCs w:val="1"/>
          <w:color w:val="auto"/>
        </w:rPr>
      </w:pPr>
      <w:r>
        <w:rPr>
          <w:rFonts w:ascii="Arial" w:cs="Arial" w:eastAsia="Arial" w:hAnsi="Arial"/>
          <w:sz w:val="15"/>
          <w:szCs w:val="15"/>
          <w:b w:val="1"/>
          <w:bCs w:val="1"/>
          <w:color w:val="auto"/>
        </w:rPr>
        <w:t>Acknowledgement</w:t>
      </w:r>
    </w:p>
    <w:p>
      <w:pPr>
        <w:spacing w:after="0" w:line="102" w:lineRule="exact"/>
        <w:rPr>
          <w:sz w:val="20"/>
          <w:szCs w:val="20"/>
          <w:color w:val="auto"/>
        </w:rPr>
      </w:pPr>
    </w:p>
    <w:p>
      <w:pPr>
        <w:ind w:left="10" w:firstLine="458"/>
        <w:spacing w:after="0" w:line="275" w:lineRule="auto"/>
        <w:rPr>
          <w:sz w:val="20"/>
          <w:szCs w:val="20"/>
          <w:color w:val="auto"/>
        </w:rPr>
      </w:pPr>
      <w:r>
        <w:rPr>
          <w:rFonts w:ascii="Arial" w:cs="Arial" w:eastAsia="Arial" w:hAnsi="Arial"/>
          <w:sz w:val="15"/>
          <w:szCs w:val="15"/>
          <w:color w:val="auto"/>
        </w:rPr>
        <w:t>By enrolling in the Plan, Participant agrees to be bound by, and understands that his or her participation in the Plan is subject to, the terms and conditions set forth in this Appendix, as well as the terms and conditions set forth in the Plan.</w:t>
      </w:r>
    </w:p>
    <w:p>
      <w:pPr>
        <w:spacing w:after="0" w:line="90" w:lineRule="exact"/>
        <w:rPr>
          <w:sz w:val="20"/>
          <w:szCs w:val="20"/>
          <w:color w:val="auto"/>
        </w:rPr>
      </w:pPr>
    </w:p>
    <w:p>
      <w:pPr>
        <w:jc w:val="center"/>
        <w:ind w:right="-9"/>
        <w:spacing w:after="0"/>
        <w:rPr>
          <w:sz w:val="20"/>
          <w:szCs w:val="20"/>
          <w:color w:val="auto"/>
        </w:rPr>
      </w:pPr>
      <w:r>
        <w:rPr>
          <w:rFonts w:ascii="Arial" w:cs="Arial" w:eastAsia="Arial" w:hAnsi="Arial"/>
          <w:sz w:val="15"/>
          <w:szCs w:val="15"/>
          <w:color w:val="auto"/>
        </w:rPr>
        <w:t>-26-</w:t>
      </w:r>
    </w:p>
    <w:p>
      <w:pPr>
        <w:sectPr>
          <w:pgSz w:w="11900" w:h="16838" w:orient="portrait"/>
          <w:cols w:equalWidth="0" w:num="1">
            <w:col w:w="11450"/>
          </w:cols>
          <w:pgMar w:left="230" w:top="253" w:right="219" w:bottom="1440" w:gutter="0" w:footer="0" w:header="0"/>
        </w:sectPr>
      </w:pPr>
    </w:p>
    <w:bookmarkStart w:id="319" w:name="page320"/>
    <w:bookmarkEnd w:id="319"/>
    <w:p>
      <w:pPr>
        <w:ind w:left="5140"/>
        <w:spacing w:after="0"/>
        <w:rPr>
          <w:sz w:val="20"/>
          <w:szCs w:val="20"/>
          <w:color w:val="auto"/>
        </w:rPr>
      </w:pPr>
      <w:r>
        <w:rPr>
          <w:rFonts w:ascii="Arial" w:cs="Arial" w:eastAsia="Arial" w:hAnsi="Arial"/>
          <w:sz w:val="15"/>
          <w:szCs w:val="15"/>
          <w:b w:val="1"/>
          <w:bCs w:val="1"/>
          <w:color w:val="auto"/>
        </w:rPr>
        <w:drawing>
          <wp:anchor simplePos="0" relativeHeight="251657728" behindDoc="1" locked="0" layoutInCell="0" allowOverlap="1">
            <wp:simplePos x="0" y="0"/>
            <wp:positionH relativeFrom="page">
              <wp:posOffset>133350</wp:posOffset>
            </wp:positionH>
            <wp:positionV relativeFrom="page">
              <wp:posOffset>88900</wp:posOffset>
            </wp:positionV>
            <wp:extent cx="7308850" cy="33655"/>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84">
                      <a:extLst>
                        <a:ext uri="{28A0092B-C50C-407E-A947-70E740481C1C}"/>
                      </a:extLst>
                    </a:blip>
                    <a:srcRect/>
                    <a:stretch>
                      <a:fillRect/>
                    </a:stretch>
                  </pic:blipFill>
                  <pic:spPr bwMode="auto">
                    <a:xfrm>
                      <a:off x="0" y="0"/>
                      <a:ext cx="7308850" cy="33655"/>
                    </a:xfrm>
                    <a:prstGeom prst="rect">
                      <a:avLst/>
                    </a:prstGeom>
                    <a:noFill/>
                  </pic:spPr>
                </pic:pic>
              </a:graphicData>
            </a:graphic>
          </wp:anchor>
        </w:drawing>
        <w:t>DROPBOX, INC.</w:t>
      </w:r>
    </w:p>
    <w:p>
      <w:pPr>
        <w:spacing w:after="0" w:line="98" w:lineRule="exact"/>
        <w:rPr>
          <w:sz w:val="20"/>
          <w:szCs w:val="20"/>
          <w:color w:val="auto"/>
        </w:rPr>
      </w:pPr>
    </w:p>
    <w:p>
      <w:pPr>
        <w:ind w:left="4580"/>
        <w:spacing w:after="0"/>
        <w:rPr>
          <w:sz w:val="20"/>
          <w:szCs w:val="20"/>
          <w:color w:val="auto"/>
        </w:rPr>
      </w:pPr>
      <w:r>
        <w:rPr>
          <w:rFonts w:ascii="Arial" w:cs="Arial" w:eastAsia="Arial" w:hAnsi="Arial"/>
          <w:sz w:val="15"/>
          <w:szCs w:val="15"/>
          <w:b w:val="1"/>
          <w:bCs w:val="1"/>
          <w:color w:val="auto"/>
        </w:rPr>
        <w:t>2018 EQUITY INCENTIVE PLAN</w:t>
      </w:r>
    </w:p>
    <w:p>
      <w:pPr>
        <w:spacing w:after="0" w:line="98" w:lineRule="exact"/>
        <w:rPr>
          <w:sz w:val="20"/>
          <w:szCs w:val="20"/>
          <w:color w:val="auto"/>
        </w:rPr>
      </w:pPr>
    </w:p>
    <w:p>
      <w:pPr>
        <w:ind w:left="3040"/>
        <w:spacing w:after="0"/>
        <w:rPr>
          <w:sz w:val="20"/>
          <w:szCs w:val="20"/>
          <w:color w:val="auto"/>
        </w:rPr>
      </w:pPr>
      <w:r>
        <w:rPr>
          <w:rFonts w:ascii="Arial" w:cs="Arial" w:eastAsia="Arial" w:hAnsi="Arial"/>
          <w:sz w:val="15"/>
          <w:szCs w:val="15"/>
          <w:b w:val="1"/>
          <w:bCs w:val="1"/>
          <w:color w:val="auto"/>
        </w:rPr>
        <w:t>ADDENDUM REGARDING OFFERINGS OF RESTRICTED STOCK UNITS TO</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5"/>
          <w:szCs w:val="15"/>
          <w:b w:val="1"/>
          <w:bCs w:val="1"/>
          <w:color w:val="auto"/>
        </w:rPr>
        <w:t>PARTICIPANTS IN SWEDEN</w:t>
      </w:r>
    </w:p>
    <w:p>
      <w:pPr>
        <w:spacing w:after="0" w:line="179" w:lineRule="exact"/>
        <w:rPr>
          <w:sz w:val="20"/>
          <w:szCs w:val="20"/>
          <w:color w:val="auto"/>
        </w:rPr>
      </w:pPr>
    </w:p>
    <w:p>
      <w:pPr>
        <w:spacing w:after="0" w:line="312" w:lineRule="auto"/>
        <w:rPr>
          <w:sz w:val="20"/>
          <w:szCs w:val="20"/>
          <w:color w:val="auto"/>
        </w:rPr>
      </w:pPr>
      <w:r>
        <w:rPr>
          <w:rFonts w:ascii="Arial" w:cs="Arial" w:eastAsia="Arial" w:hAnsi="Arial"/>
          <w:sz w:val="14"/>
          <w:szCs w:val="14"/>
          <w:color w:val="auto"/>
        </w:rPr>
        <w:t>This supplement has been prepared to provide you with the amendments that are specific for Sweden as well as a summary of the tax consequences and other issues associated with the grant of restricted stock units (hereinafter “RSUs”) by Dropbox, Inc. a United States incorporated company (the “Company”), parent of your employer company.</w:t>
      </w:r>
    </w:p>
    <w:p>
      <w:pPr>
        <w:spacing w:after="0" w:line="123" w:lineRule="exact"/>
        <w:rPr>
          <w:sz w:val="20"/>
          <w:szCs w:val="20"/>
          <w:color w:val="auto"/>
        </w:rPr>
      </w:pPr>
    </w:p>
    <w:p>
      <w:pPr>
        <w:ind w:right="100"/>
        <w:spacing w:after="0" w:line="259" w:lineRule="auto"/>
        <w:rPr>
          <w:sz w:val="20"/>
          <w:szCs w:val="20"/>
          <w:color w:val="auto"/>
        </w:rPr>
      </w:pPr>
      <w:r>
        <w:rPr>
          <w:rFonts w:ascii="Arial" w:cs="Arial" w:eastAsia="Arial" w:hAnsi="Arial"/>
          <w:sz w:val="15"/>
          <w:szCs w:val="15"/>
          <w:color w:val="auto"/>
        </w:rPr>
        <w:t>This supplement is based on tax and other laws in effect in Sweden as of November 1, 2017. It does not necessarily address all local tax laws that may apply to you with respect to your participation into the RSU plan. Such laws often are complex and can change frequently. As a result, the information contained in the supplement may be outdated at the time you become vested in your RSUs or at the time you sell the shares you acquire under the plan. In addition, the information below are only applicable if you are a Swedish tax resident and your salary is taxable in Sweden from the grant of the RSUs to the sale of the shares.</w:t>
      </w:r>
    </w:p>
    <w:p>
      <w:pPr>
        <w:spacing w:after="0" w:line="158" w:lineRule="exact"/>
        <w:rPr>
          <w:sz w:val="20"/>
          <w:szCs w:val="20"/>
          <w:color w:val="auto"/>
        </w:rPr>
      </w:pPr>
    </w:p>
    <w:p>
      <w:pPr>
        <w:spacing w:after="0" w:line="263" w:lineRule="auto"/>
        <w:rPr>
          <w:sz w:val="20"/>
          <w:szCs w:val="20"/>
          <w:color w:val="auto"/>
        </w:rPr>
      </w:pPr>
      <w:r>
        <w:rPr>
          <w:rFonts w:ascii="Arial" w:cs="Arial" w:eastAsia="Arial" w:hAnsi="Arial"/>
          <w:sz w:val="15"/>
          <w:szCs w:val="15"/>
          <w:color w:val="auto"/>
        </w:rPr>
        <w:t xml:space="preserve">Please note that this supplement is general in nature and does not discuss all of the various laws, rules and regulations that may apply. It may not apply to your particular tax or financial situation, and the Company is not in a position to assure you of any particular tax result. </w:t>
      </w:r>
      <w:r>
        <w:rPr>
          <w:rFonts w:ascii="Arial" w:cs="Arial" w:eastAsia="Arial" w:hAnsi="Arial"/>
          <w:sz w:val="15"/>
          <w:szCs w:val="15"/>
          <w:b w:val="1"/>
          <w:bCs w:val="1"/>
          <w:color w:val="auto"/>
        </w:rPr>
        <w:t>Accordingly, you are strongly advised to seek appropriate professional advice as to how the tax</w:t>
      </w:r>
      <w:r>
        <w:rPr>
          <w:rFonts w:ascii="Arial" w:cs="Arial" w:eastAsia="Arial" w:hAnsi="Arial"/>
          <w:sz w:val="15"/>
          <w:szCs w:val="15"/>
          <w:color w:val="auto"/>
        </w:rPr>
        <w:t xml:space="preserve"> </w:t>
      </w:r>
      <w:r>
        <w:rPr>
          <w:rFonts w:ascii="Arial" w:cs="Arial" w:eastAsia="Arial" w:hAnsi="Arial"/>
          <w:sz w:val="15"/>
          <w:szCs w:val="15"/>
          <w:b w:val="1"/>
          <w:bCs w:val="1"/>
          <w:color w:val="auto"/>
        </w:rPr>
        <w:t>or other laws in your country apply to your specific situation.</w:t>
      </w:r>
    </w:p>
    <w:p>
      <w:pPr>
        <w:spacing w:after="0" w:line="155" w:lineRule="exact"/>
        <w:rPr>
          <w:sz w:val="20"/>
          <w:szCs w:val="20"/>
          <w:color w:val="auto"/>
        </w:rPr>
      </w:pPr>
    </w:p>
    <w:p>
      <w:pPr>
        <w:spacing w:after="0"/>
        <w:rPr>
          <w:sz w:val="20"/>
          <w:szCs w:val="20"/>
          <w:color w:val="auto"/>
        </w:rPr>
      </w:pPr>
      <w:r>
        <w:rPr>
          <w:rFonts w:ascii="Arial" w:cs="Arial" w:eastAsia="Arial" w:hAnsi="Arial"/>
          <w:sz w:val="14"/>
          <w:szCs w:val="14"/>
          <w:color w:val="auto"/>
        </w:rPr>
        <w:t>If you are a citizen or resident of another country and/or not subject to the Swedish social insurance regime, the information contained in this supplement may not be applicable to you.</w:t>
      </w:r>
    </w:p>
    <w:p>
      <w:pPr>
        <w:spacing w:after="0" w:line="200" w:lineRule="exact"/>
        <w:rPr>
          <w:sz w:val="20"/>
          <w:szCs w:val="20"/>
          <w:color w:val="auto"/>
        </w:rPr>
      </w:pPr>
    </w:p>
    <w:p>
      <w:pPr>
        <w:spacing w:after="0"/>
        <w:rPr>
          <w:sz w:val="20"/>
          <w:szCs w:val="20"/>
          <w:color w:val="auto"/>
        </w:rPr>
      </w:pPr>
      <w:r>
        <w:rPr>
          <w:rFonts w:ascii="Arial" w:cs="Arial" w:eastAsia="Arial" w:hAnsi="Arial"/>
          <w:sz w:val="15"/>
          <w:szCs w:val="15"/>
          <w:color w:val="auto"/>
        </w:rPr>
        <w:t>This supplement applies to RSUs granted by the Company under terms and conditions that are summarized as follows:</w:t>
      </w:r>
    </w:p>
    <w:p>
      <w:pPr>
        <w:spacing w:after="0" w:line="109" w:lineRule="exact"/>
        <w:rPr>
          <w:sz w:val="20"/>
          <w:szCs w:val="20"/>
          <w:color w:val="auto"/>
        </w:rPr>
      </w:pPr>
    </w:p>
    <w:p>
      <w:pPr>
        <w:ind w:left="900" w:hanging="346"/>
        <w:spacing w:after="0"/>
        <w:tabs>
          <w:tab w:leader="none" w:pos="900" w:val="left"/>
        </w:tabs>
        <w:numPr>
          <w:ilvl w:val="0"/>
          <w:numId w:val="220"/>
        </w:numPr>
        <w:rPr>
          <w:rFonts w:ascii="Arial" w:cs="Arial" w:eastAsia="Arial" w:hAnsi="Arial"/>
          <w:sz w:val="15"/>
          <w:szCs w:val="15"/>
          <w:color w:val="auto"/>
        </w:rPr>
      </w:pPr>
      <w:r>
        <w:rPr>
          <w:rFonts w:ascii="Arial" w:cs="Arial" w:eastAsia="Arial" w:hAnsi="Arial"/>
          <w:sz w:val="15"/>
          <w:szCs w:val="15"/>
          <w:color w:val="auto"/>
        </w:rPr>
        <w:t>The Company is a US incorporated company.</w:t>
      </w:r>
    </w:p>
    <w:p>
      <w:pPr>
        <w:spacing w:after="0" w:line="109" w:lineRule="exact"/>
        <w:rPr>
          <w:rFonts w:ascii="Arial" w:cs="Arial" w:eastAsia="Arial" w:hAnsi="Arial"/>
          <w:sz w:val="15"/>
          <w:szCs w:val="15"/>
          <w:color w:val="auto"/>
        </w:rPr>
      </w:pPr>
    </w:p>
    <w:p>
      <w:pPr>
        <w:ind w:left="900" w:hanging="346"/>
        <w:spacing w:after="0"/>
        <w:tabs>
          <w:tab w:leader="none" w:pos="900" w:val="left"/>
        </w:tabs>
        <w:numPr>
          <w:ilvl w:val="0"/>
          <w:numId w:val="220"/>
        </w:numPr>
        <w:rPr>
          <w:rFonts w:ascii="Arial" w:cs="Arial" w:eastAsia="Arial" w:hAnsi="Arial"/>
          <w:sz w:val="15"/>
          <w:szCs w:val="15"/>
          <w:color w:val="auto"/>
        </w:rPr>
      </w:pPr>
      <w:r>
        <w:rPr>
          <w:rFonts w:ascii="Arial" w:cs="Arial" w:eastAsia="Arial" w:hAnsi="Arial"/>
          <w:sz w:val="15"/>
          <w:szCs w:val="15"/>
          <w:color w:val="auto"/>
        </w:rPr>
        <w:t>You are employed by an employer located in Sweden.</w:t>
      </w:r>
    </w:p>
    <w:p>
      <w:pPr>
        <w:spacing w:after="0" w:line="109" w:lineRule="exact"/>
        <w:rPr>
          <w:rFonts w:ascii="Arial" w:cs="Arial" w:eastAsia="Arial" w:hAnsi="Arial"/>
          <w:sz w:val="15"/>
          <w:szCs w:val="15"/>
          <w:color w:val="auto"/>
        </w:rPr>
      </w:pPr>
    </w:p>
    <w:p>
      <w:pPr>
        <w:ind w:left="900" w:hanging="346"/>
        <w:spacing w:after="0" w:line="263" w:lineRule="auto"/>
        <w:tabs>
          <w:tab w:leader="none" w:pos="900" w:val="left"/>
        </w:tabs>
        <w:numPr>
          <w:ilvl w:val="0"/>
          <w:numId w:val="220"/>
        </w:numPr>
        <w:rPr>
          <w:rFonts w:ascii="Arial" w:cs="Arial" w:eastAsia="Arial" w:hAnsi="Arial"/>
          <w:sz w:val="15"/>
          <w:szCs w:val="15"/>
          <w:color w:val="auto"/>
        </w:rPr>
      </w:pPr>
      <w:r>
        <w:rPr>
          <w:rFonts w:ascii="Arial" w:cs="Arial" w:eastAsia="Arial" w:hAnsi="Arial"/>
          <w:sz w:val="15"/>
          <w:szCs w:val="15"/>
          <w:color w:val="auto"/>
        </w:rPr>
        <w:t>The grant of RSUs is a promise to receive shares for no payment by you upon vesting. You will have neither dividend nor voting rights until the end of the vesting period. At vesting, ordinary shares of the Company are delivered to you and you become a Company’s shareholder. There is no dividend equivalent payment during the vesting period or at vesting.</w:t>
      </w:r>
    </w:p>
    <w:p>
      <w:pPr>
        <w:spacing w:after="0" w:line="75" w:lineRule="exact"/>
        <w:rPr>
          <w:rFonts w:ascii="Arial" w:cs="Arial" w:eastAsia="Arial" w:hAnsi="Arial"/>
          <w:sz w:val="15"/>
          <w:szCs w:val="15"/>
          <w:color w:val="auto"/>
        </w:rPr>
      </w:pPr>
    </w:p>
    <w:p>
      <w:pPr>
        <w:ind w:left="900" w:hanging="346"/>
        <w:spacing w:after="0"/>
        <w:tabs>
          <w:tab w:leader="none" w:pos="900" w:val="left"/>
        </w:tabs>
        <w:numPr>
          <w:ilvl w:val="0"/>
          <w:numId w:val="220"/>
        </w:numPr>
        <w:rPr>
          <w:rFonts w:ascii="Arial" w:cs="Arial" w:eastAsia="Arial" w:hAnsi="Arial"/>
          <w:sz w:val="15"/>
          <w:szCs w:val="15"/>
          <w:color w:val="auto"/>
        </w:rPr>
      </w:pPr>
      <w:r>
        <w:rPr>
          <w:rFonts w:ascii="Arial" w:cs="Arial" w:eastAsia="Arial" w:hAnsi="Arial"/>
          <w:sz w:val="15"/>
          <w:szCs w:val="15"/>
          <w:color w:val="auto"/>
        </w:rPr>
        <w:t>The RSUs are not transferable and are not securities under US law and are therefore not listed.</w:t>
      </w:r>
    </w:p>
    <w:p>
      <w:pPr>
        <w:spacing w:after="0" w:line="132"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-27-</w:t>
      </w:r>
    </w:p>
    <w:p>
      <w:pPr>
        <w:sectPr>
          <w:pgSz w:w="11900" w:h="16838" w:orient="portrait"/>
          <w:cols w:equalWidth="0" w:num="1">
            <w:col w:w="11380"/>
          </w:cols>
          <w:pgMar w:left="240" w:top="249" w:right="279" w:bottom="1440" w:gutter="0" w:footer="0" w:header="0"/>
        </w:sectPr>
      </w:pPr>
    </w:p>
    <w:bookmarkStart w:id="320" w:name="page321"/>
    <w:bookmarkEnd w:id="320"/>
    <w:p>
      <w:pPr>
        <w:ind w:left="900" w:hanging="346"/>
        <w:spacing w:after="0"/>
        <w:tabs>
          <w:tab w:leader="none" w:pos="900" w:val="left"/>
        </w:tabs>
        <w:numPr>
          <w:ilvl w:val="0"/>
          <w:numId w:val="221"/>
        </w:numPr>
        <w:rPr>
          <w:rFonts w:ascii="Arial" w:cs="Arial" w:eastAsia="Arial" w:hAnsi="Arial"/>
          <w:sz w:val="15"/>
          <w:szCs w:val="15"/>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133350</wp:posOffset>
            </wp:positionH>
            <wp:positionV relativeFrom="page">
              <wp:posOffset>88900</wp:posOffset>
            </wp:positionV>
            <wp:extent cx="7308850" cy="34290"/>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85">
                      <a:extLst>
                        <a:ext uri="{28A0092B-C50C-407E-A947-70E740481C1C}"/>
                      </a:extLst>
                    </a:blip>
                    <a:srcRect/>
                    <a:stretch>
                      <a:fillRect/>
                    </a:stretch>
                  </pic:blipFill>
                  <pic:spPr bwMode="auto">
                    <a:xfrm>
                      <a:off x="0" y="0"/>
                      <a:ext cx="7308850" cy="34290"/>
                    </a:xfrm>
                    <a:prstGeom prst="rect">
                      <a:avLst/>
                    </a:prstGeom>
                    <a:noFill/>
                  </pic:spPr>
                </pic:pic>
              </a:graphicData>
            </a:graphic>
          </wp:anchor>
        </w:drawing>
        <w:t>Your grant documents will indicate terms and conditions of your RSUs.</w:t>
      </w:r>
    </w:p>
    <w:p>
      <w:pPr>
        <w:spacing w:after="0" w:line="27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P</w:t>
      </w:r>
      <w:r>
        <w:rPr>
          <w:rFonts w:ascii="Arial" w:cs="Arial" w:eastAsia="Arial" w:hAnsi="Arial"/>
          <w:sz w:val="12"/>
          <w:szCs w:val="12"/>
          <w:b w:val="1"/>
          <w:bCs w:val="1"/>
          <w:color w:val="auto"/>
        </w:rPr>
        <w:t>ERSONAL INCOME</w:t>
      </w:r>
      <w:r>
        <w:rPr>
          <w:rFonts w:ascii="Arial" w:cs="Arial" w:eastAsia="Arial" w:hAnsi="Arial"/>
          <w:sz w:val="15"/>
          <w:szCs w:val="15"/>
          <w:b w:val="1"/>
          <w:bCs w:val="1"/>
          <w:color w:val="auto"/>
        </w:rPr>
        <w:t xml:space="preserve"> T</w:t>
      </w:r>
      <w:r>
        <w:rPr>
          <w:rFonts w:ascii="Arial" w:cs="Arial" w:eastAsia="Arial" w:hAnsi="Arial"/>
          <w:sz w:val="12"/>
          <w:szCs w:val="12"/>
          <w:b w:val="1"/>
          <w:bCs w:val="1"/>
          <w:color w:val="auto"/>
        </w:rPr>
        <w:t>AX</w:t>
      </w:r>
      <w:r>
        <w:rPr>
          <w:rFonts w:ascii="Arial" w:cs="Arial" w:eastAsia="Arial" w:hAnsi="Arial"/>
          <w:sz w:val="15"/>
          <w:szCs w:val="15"/>
          <w:b w:val="1"/>
          <w:bCs w:val="1"/>
          <w:color w:val="auto"/>
        </w:rPr>
        <w:t xml:space="preserve">, </w:t>
      </w:r>
      <w:r>
        <w:rPr>
          <w:rFonts w:ascii="Arial" w:cs="Arial" w:eastAsia="Arial" w:hAnsi="Arial"/>
          <w:sz w:val="12"/>
          <w:szCs w:val="12"/>
          <w:b w:val="1"/>
          <w:bCs w:val="1"/>
          <w:color w:val="auto"/>
        </w:rPr>
        <w:t>AND</w:t>
      </w:r>
      <w:r>
        <w:rPr>
          <w:rFonts w:ascii="Arial" w:cs="Arial" w:eastAsia="Arial" w:hAnsi="Arial"/>
          <w:sz w:val="15"/>
          <w:szCs w:val="15"/>
          <w:b w:val="1"/>
          <w:bCs w:val="1"/>
          <w:color w:val="auto"/>
        </w:rPr>
        <w:t xml:space="preserve"> S</w:t>
      </w:r>
      <w:r>
        <w:rPr>
          <w:rFonts w:ascii="Arial" w:cs="Arial" w:eastAsia="Arial" w:hAnsi="Arial"/>
          <w:sz w:val="12"/>
          <w:szCs w:val="12"/>
          <w:b w:val="1"/>
          <w:bCs w:val="1"/>
          <w:color w:val="auto"/>
        </w:rPr>
        <w:t>OCIAL</w:t>
      </w:r>
      <w:r>
        <w:rPr>
          <w:rFonts w:ascii="Arial" w:cs="Arial" w:eastAsia="Arial" w:hAnsi="Arial"/>
          <w:sz w:val="15"/>
          <w:szCs w:val="15"/>
          <w:b w:val="1"/>
          <w:bCs w:val="1"/>
          <w:color w:val="auto"/>
        </w:rPr>
        <w:t xml:space="preserve"> S</w:t>
      </w:r>
      <w:r>
        <w:rPr>
          <w:rFonts w:ascii="Arial" w:cs="Arial" w:eastAsia="Arial" w:hAnsi="Arial"/>
          <w:sz w:val="12"/>
          <w:szCs w:val="12"/>
          <w:b w:val="1"/>
          <w:bCs w:val="1"/>
          <w:color w:val="auto"/>
        </w:rPr>
        <w:t>ECURITY</w:t>
      </w:r>
      <w:r>
        <w:rPr>
          <w:rFonts w:ascii="Arial" w:cs="Arial" w:eastAsia="Arial" w:hAnsi="Arial"/>
          <w:sz w:val="15"/>
          <w:szCs w:val="15"/>
          <w:b w:val="1"/>
          <w:bCs w:val="1"/>
          <w:color w:val="auto"/>
        </w:rPr>
        <w:t xml:space="preserve"> I</w:t>
      </w:r>
      <w:r>
        <w:rPr>
          <w:rFonts w:ascii="Arial" w:cs="Arial" w:eastAsia="Arial" w:hAnsi="Arial"/>
          <w:sz w:val="12"/>
          <w:szCs w:val="12"/>
          <w:b w:val="1"/>
          <w:bCs w:val="1"/>
          <w:color w:val="auto"/>
        </w:rPr>
        <w:t>NFORMATION</w:t>
      </w:r>
    </w:p>
    <w:p>
      <w:pPr>
        <w:spacing w:after="0" w:line="98"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Grant</w:t>
      </w:r>
    </w:p>
    <w:p>
      <w:pPr>
        <w:spacing w:after="0" w:line="102" w:lineRule="exact"/>
        <w:rPr>
          <w:sz w:val="20"/>
          <w:szCs w:val="20"/>
          <w:color w:val="auto"/>
        </w:rPr>
      </w:pPr>
    </w:p>
    <w:p>
      <w:pPr>
        <w:spacing w:after="0"/>
        <w:rPr>
          <w:sz w:val="20"/>
          <w:szCs w:val="20"/>
          <w:color w:val="auto"/>
        </w:rPr>
      </w:pPr>
      <w:r>
        <w:rPr>
          <w:rFonts w:ascii="Arial" w:cs="Arial" w:eastAsia="Arial" w:hAnsi="Arial"/>
          <w:sz w:val="15"/>
          <w:szCs w:val="15"/>
          <w:color w:val="auto"/>
        </w:rPr>
        <w:t>On the date the Company grants you RSUs over ordinary shares of the Company you will not be subject to income tax or social security contributions.</w:t>
      </w:r>
    </w:p>
    <w:p>
      <w:pPr>
        <w:spacing w:after="0" w:line="27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Vesting</w:t>
      </w:r>
    </w:p>
    <w:p>
      <w:pPr>
        <w:spacing w:after="0" w:line="102" w:lineRule="exact"/>
        <w:rPr>
          <w:sz w:val="20"/>
          <w:szCs w:val="20"/>
          <w:color w:val="auto"/>
        </w:rPr>
      </w:pPr>
    </w:p>
    <w:p>
      <w:pPr>
        <w:spacing w:after="0" w:line="263" w:lineRule="auto"/>
        <w:rPr>
          <w:sz w:val="20"/>
          <w:szCs w:val="20"/>
          <w:color w:val="auto"/>
        </w:rPr>
      </w:pPr>
      <w:r>
        <w:rPr>
          <w:rFonts w:ascii="Arial" w:cs="Arial" w:eastAsia="Arial" w:hAnsi="Arial"/>
          <w:sz w:val="15"/>
          <w:szCs w:val="15"/>
          <w:color w:val="auto"/>
        </w:rPr>
        <w:t>On the date(s) you become vested in your RSUs and receive ordinary shares of the Company’s common stock, you will be subject to income tax. The taxable benefit is deemed to be ordinary income from employment and is taxed at ordinary income rates. The taxable benefit upon vesting is equal to the fair market value of the shares on the day they are delivered or in case of cash settlement, the amount of cash.</w:t>
      </w:r>
    </w:p>
    <w:p>
      <w:pPr>
        <w:spacing w:after="0" w:line="155" w:lineRule="exact"/>
        <w:rPr>
          <w:sz w:val="20"/>
          <w:szCs w:val="20"/>
          <w:color w:val="auto"/>
        </w:rPr>
      </w:pPr>
    </w:p>
    <w:p>
      <w:pPr>
        <w:spacing w:after="0"/>
        <w:rPr>
          <w:sz w:val="20"/>
          <w:szCs w:val="20"/>
          <w:color w:val="auto"/>
        </w:rPr>
      </w:pPr>
      <w:r>
        <w:rPr>
          <w:rFonts w:ascii="Arial" w:cs="Arial" w:eastAsia="Arial" w:hAnsi="Arial"/>
          <w:sz w:val="15"/>
          <w:szCs w:val="15"/>
          <w:color w:val="auto"/>
        </w:rPr>
        <w:t>In addition, the taxable benefit is subject to payment of social security contributions which are payable by your employer.</w:t>
      </w:r>
    </w:p>
    <w:p>
      <w:pPr>
        <w:spacing w:after="0" w:line="27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Sale of Shares</w:t>
      </w:r>
    </w:p>
    <w:p>
      <w:pPr>
        <w:spacing w:after="0" w:line="102" w:lineRule="exact"/>
        <w:rPr>
          <w:sz w:val="20"/>
          <w:szCs w:val="20"/>
          <w:color w:val="auto"/>
        </w:rPr>
      </w:pPr>
    </w:p>
    <w:p>
      <w:pPr>
        <w:ind w:right="60"/>
        <w:spacing w:after="0" w:line="283" w:lineRule="auto"/>
        <w:rPr>
          <w:sz w:val="20"/>
          <w:szCs w:val="20"/>
          <w:color w:val="auto"/>
        </w:rPr>
      </w:pPr>
      <w:r>
        <w:rPr>
          <w:rFonts w:ascii="Arial" w:cs="Arial" w:eastAsia="Arial" w:hAnsi="Arial"/>
          <w:sz w:val="14"/>
          <w:szCs w:val="14"/>
          <w:color w:val="auto"/>
        </w:rPr>
        <w:t>When you sell your shares of the Company’s common stock, the sale is recorded as either a capital gain or loss in the capital income category. The gain or loss is equal to the sale proceeds less an amount that corresponds to the benefit for which you were taxed upon vesting, i.e. the fair market value of the shares at delivery. As an alternative acquisition cost, you may use 20% of the sale proceeds provided that the shares are listed. Please be aware that in case you have shares of the same class acquired at different acquisition costs you must calculate an average acquisition cost for all those shares and use that average cost as your tax base for all shares that you sell.</w:t>
      </w:r>
    </w:p>
    <w:p>
      <w:pPr>
        <w:spacing w:after="0" w:line="143" w:lineRule="exact"/>
        <w:rPr>
          <w:sz w:val="20"/>
          <w:szCs w:val="20"/>
          <w:color w:val="auto"/>
        </w:rPr>
      </w:pPr>
    </w:p>
    <w:p>
      <w:pPr>
        <w:spacing w:after="0" w:line="275" w:lineRule="auto"/>
        <w:rPr>
          <w:sz w:val="20"/>
          <w:szCs w:val="20"/>
          <w:color w:val="auto"/>
        </w:rPr>
      </w:pPr>
      <w:r>
        <w:rPr>
          <w:rFonts w:ascii="Arial" w:cs="Arial" w:eastAsia="Arial" w:hAnsi="Arial"/>
          <w:sz w:val="15"/>
          <w:szCs w:val="15"/>
          <w:color w:val="auto"/>
        </w:rPr>
        <w:t>If the sale results in a capital gain, that gain is subject to capital gains tax at a flat rate of 30% if the shares are listed. If the sale results in a loss, the loss is deductible but deductibility may be restricted depending on your personal income tax situation.</w:t>
      </w:r>
    </w:p>
    <w:p>
      <w:pPr>
        <w:spacing w:after="0" w:line="146" w:lineRule="exact"/>
        <w:rPr>
          <w:sz w:val="20"/>
          <w:szCs w:val="20"/>
          <w:color w:val="auto"/>
        </w:rPr>
      </w:pPr>
    </w:p>
    <w:p>
      <w:pPr>
        <w:ind w:right="20"/>
        <w:spacing w:after="0" w:line="263" w:lineRule="auto"/>
        <w:rPr>
          <w:sz w:val="20"/>
          <w:szCs w:val="20"/>
          <w:color w:val="auto"/>
        </w:rPr>
      </w:pPr>
      <w:r>
        <w:rPr>
          <w:rFonts w:ascii="Arial" w:cs="Arial" w:eastAsia="Arial" w:hAnsi="Arial"/>
          <w:sz w:val="15"/>
          <w:szCs w:val="15"/>
          <w:color w:val="auto"/>
        </w:rPr>
        <w:t>If the listed shares are held through an investment savings account (sw: investeringssparkonto, ISK), you will not be subject to capital gains tax when selling your shares. Instead, you will be subject to tax in the capital income category on a standard income based on your total assets held on the investment savings account. Any realized capital losses on shares held through and ISK are not tax deductible.</w:t>
      </w:r>
    </w:p>
    <w:p>
      <w:pPr>
        <w:spacing w:after="0" w:line="24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Dividends</w:t>
      </w:r>
    </w:p>
    <w:p>
      <w:pPr>
        <w:spacing w:after="0" w:line="102" w:lineRule="exact"/>
        <w:rPr>
          <w:sz w:val="20"/>
          <w:szCs w:val="20"/>
          <w:color w:val="auto"/>
        </w:rPr>
      </w:pPr>
    </w:p>
    <w:p>
      <w:pPr>
        <w:ind w:right="80"/>
        <w:spacing w:after="0" w:line="263" w:lineRule="auto"/>
        <w:rPr>
          <w:sz w:val="20"/>
          <w:szCs w:val="20"/>
          <w:color w:val="auto"/>
        </w:rPr>
      </w:pPr>
      <w:r>
        <w:rPr>
          <w:rFonts w:ascii="Arial" w:cs="Arial" w:eastAsia="Arial" w:hAnsi="Arial"/>
          <w:sz w:val="15"/>
          <w:szCs w:val="15"/>
          <w:color w:val="auto"/>
        </w:rPr>
        <w:t>Once you become a shareholder at vesting, you may receive dividends if the Company decides to make such distributions. Dividends are subject to capital income tax at a flat rate of 30% if the underlying shares are listed. You may also be liable to pay US withholding tax on dividends paid to you. You are entitled to a credit from your Swedish tax on dividend with an amount paid as US withholding tax.</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-28-</w:t>
      </w:r>
    </w:p>
    <w:p>
      <w:pPr>
        <w:sectPr>
          <w:pgSz w:w="11900" w:h="16838" w:orient="portrait"/>
          <w:cols w:equalWidth="0" w:num="1">
            <w:col w:w="11420"/>
          </w:cols>
          <w:pgMar w:left="240" w:top="253" w:right="239" w:bottom="1440" w:gutter="0" w:footer="0" w:header="0"/>
        </w:sectPr>
      </w:pPr>
    </w:p>
    <w:bookmarkStart w:id="321" w:name="page322"/>
    <w:bookmarkEnd w:id="321"/>
    <w:p>
      <w:pPr>
        <w:ind w:right="120"/>
        <w:spacing w:after="0" w:line="275"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133350</wp:posOffset>
            </wp:positionH>
            <wp:positionV relativeFrom="page">
              <wp:posOffset>88900</wp:posOffset>
            </wp:positionV>
            <wp:extent cx="7308850" cy="34290"/>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86">
                      <a:extLst>
                        <a:ext uri="{28A0092B-C50C-407E-A947-70E740481C1C}"/>
                      </a:extLst>
                    </a:blip>
                    <a:srcRect/>
                    <a:stretch>
                      <a:fillRect/>
                    </a:stretch>
                  </pic:blipFill>
                  <pic:spPr bwMode="auto">
                    <a:xfrm>
                      <a:off x="0" y="0"/>
                      <a:ext cx="7308850" cy="34290"/>
                    </a:xfrm>
                    <a:prstGeom prst="rect">
                      <a:avLst/>
                    </a:prstGeom>
                    <a:noFill/>
                  </pic:spPr>
                </pic:pic>
              </a:graphicData>
            </a:graphic>
          </wp:anchor>
        </w:drawing>
        <w:t>If the listed shares are held through an investment savings account (sw: investeringssparkonto, ISK), you will not be subject to tax on any dividends received in Sweden. You may however still be subject to US withholding tax.</w:t>
      </w:r>
    </w:p>
    <w:p>
      <w:pPr>
        <w:spacing w:after="0" w:line="23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Tax Withholding and Reporting</w:t>
      </w:r>
    </w:p>
    <w:p>
      <w:pPr>
        <w:spacing w:after="0" w:line="102" w:lineRule="exact"/>
        <w:rPr>
          <w:sz w:val="20"/>
          <w:szCs w:val="20"/>
          <w:color w:val="auto"/>
        </w:rPr>
      </w:pPr>
    </w:p>
    <w:p>
      <w:pPr>
        <w:spacing w:after="0" w:line="255" w:lineRule="auto"/>
        <w:rPr>
          <w:sz w:val="20"/>
          <w:szCs w:val="20"/>
          <w:color w:val="auto"/>
        </w:rPr>
      </w:pPr>
      <w:r>
        <w:rPr>
          <w:rFonts w:ascii="Arial" w:cs="Arial" w:eastAsia="Arial" w:hAnsi="Arial"/>
          <w:sz w:val="15"/>
          <w:szCs w:val="15"/>
          <w:color w:val="auto"/>
        </w:rPr>
        <w:t>Your local employer is obligated to withhold and report preliminary income tax upon vesting of your RSUs. Your employer must withhold from your salary in the same calendar month as your RSUs vest and you receive shares of the Company’s common stock or if you receive a cash settlement. If your salary for that month does not cover the preliminary taxes that are to be withheld and reported by your employer, then it is your responsibility to make an extra payment to the Swedish Tax Agency (Sw. Skatteverket) during the next calendar year in connection to your personal income tax return. In addition, you are obligated by law to report the vesting of your RSUs to your employer as soon as possible after vesting and not later than 15 January of the year following the year of vesting. Please note that your employer’s withholding and reporting obligations arise at the time of vesting, even though you have additional time to fulfil your reporting obligation.</w:t>
      </w:r>
    </w:p>
    <w:p>
      <w:pPr>
        <w:spacing w:after="0" w:line="164" w:lineRule="exact"/>
        <w:rPr>
          <w:sz w:val="20"/>
          <w:szCs w:val="20"/>
          <w:color w:val="auto"/>
        </w:rPr>
      </w:pPr>
    </w:p>
    <w:p>
      <w:pPr>
        <w:ind w:right="300"/>
        <w:spacing w:after="0" w:line="275" w:lineRule="auto"/>
        <w:rPr>
          <w:sz w:val="20"/>
          <w:szCs w:val="20"/>
          <w:color w:val="auto"/>
        </w:rPr>
      </w:pPr>
      <w:r>
        <w:rPr>
          <w:rFonts w:ascii="Arial" w:cs="Arial" w:eastAsia="Arial" w:hAnsi="Arial"/>
          <w:sz w:val="15"/>
          <w:szCs w:val="15"/>
          <w:color w:val="auto"/>
        </w:rPr>
        <w:t>It is your responsibility to report taxable income resulting from the vesting of your RSUs, and the sale of shares, in your annual income tax return. The annual income tax return must be submitted to the Swedish Tax Agency by May 2 of the year following the income year, i.e., the year in which you earned the income in question.</w:t>
      </w:r>
    </w:p>
    <w:p>
      <w:pPr>
        <w:spacing w:after="0" w:line="23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E</w:t>
      </w:r>
      <w:r>
        <w:rPr>
          <w:rFonts w:ascii="Arial" w:cs="Arial" w:eastAsia="Arial" w:hAnsi="Arial"/>
          <w:sz w:val="12"/>
          <w:szCs w:val="12"/>
          <w:b w:val="1"/>
          <w:bCs w:val="1"/>
          <w:color w:val="auto"/>
        </w:rPr>
        <w:t>XCHANGE</w:t>
      </w:r>
      <w:r>
        <w:rPr>
          <w:rFonts w:ascii="Arial" w:cs="Arial" w:eastAsia="Arial" w:hAnsi="Arial"/>
          <w:sz w:val="15"/>
          <w:szCs w:val="15"/>
          <w:b w:val="1"/>
          <w:bCs w:val="1"/>
          <w:color w:val="auto"/>
        </w:rPr>
        <w:t xml:space="preserve"> C</w:t>
      </w:r>
      <w:r>
        <w:rPr>
          <w:rFonts w:ascii="Arial" w:cs="Arial" w:eastAsia="Arial" w:hAnsi="Arial"/>
          <w:sz w:val="12"/>
          <w:szCs w:val="12"/>
          <w:b w:val="1"/>
          <w:bCs w:val="1"/>
          <w:color w:val="auto"/>
        </w:rPr>
        <w:t>ONTROL</w:t>
      </w:r>
      <w:r>
        <w:rPr>
          <w:rFonts w:ascii="Arial" w:cs="Arial" w:eastAsia="Arial" w:hAnsi="Arial"/>
          <w:sz w:val="15"/>
          <w:szCs w:val="15"/>
          <w:b w:val="1"/>
          <w:bCs w:val="1"/>
          <w:color w:val="auto"/>
        </w:rPr>
        <w:t xml:space="preserve"> I</w:t>
      </w:r>
      <w:r>
        <w:rPr>
          <w:rFonts w:ascii="Arial" w:cs="Arial" w:eastAsia="Arial" w:hAnsi="Arial"/>
          <w:sz w:val="12"/>
          <w:szCs w:val="12"/>
          <w:b w:val="1"/>
          <w:bCs w:val="1"/>
          <w:color w:val="auto"/>
        </w:rPr>
        <w:t>NFORMATION</w:t>
      </w:r>
    </w:p>
    <w:p>
      <w:pPr>
        <w:spacing w:after="0" w:line="102" w:lineRule="exact"/>
        <w:rPr>
          <w:sz w:val="20"/>
          <w:szCs w:val="20"/>
          <w:color w:val="auto"/>
        </w:rPr>
      </w:pPr>
    </w:p>
    <w:p>
      <w:pPr>
        <w:jc w:val="both"/>
        <w:ind w:right="120"/>
        <w:spacing w:after="0" w:line="263" w:lineRule="auto"/>
        <w:rPr>
          <w:sz w:val="20"/>
          <w:szCs w:val="20"/>
          <w:color w:val="auto"/>
        </w:rPr>
      </w:pPr>
      <w:r>
        <w:rPr>
          <w:rFonts w:ascii="Arial" w:cs="Arial" w:eastAsia="Arial" w:hAnsi="Arial"/>
          <w:sz w:val="15"/>
          <w:szCs w:val="15"/>
          <w:color w:val="auto"/>
        </w:rPr>
        <w:t>There are no exchange controls or similar restrictions that would generally affect the holding or vesting of RSUs or the holding or disposal of Company shares. However, foreign and local banks or financial institutions (including brokers) are required to submit income statements to the Swedish Tax Agency regarding cross-border transactions, or parts of such transactions, in excess of SEK 150,000.</w:t>
      </w:r>
    </w:p>
    <w:p>
      <w:pPr>
        <w:spacing w:after="0" w:line="24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A</w:t>
      </w:r>
      <w:r>
        <w:rPr>
          <w:rFonts w:ascii="Arial" w:cs="Arial" w:eastAsia="Arial" w:hAnsi="Arial"/>
          <w:sz w:val="12"/>
          <w:szCs w:val="12"/>
          <w:b w:val="1"/>
          <w:bCs w:val="1"/>
          <w:color w:val="auto"/>
        </w:rPr>
        <w:t>MENDMENTS</w:t>
      </w:r>
    </w:p>
    <w:p>
      <w:pPr>
        <w:spacing w:after="0" w:line="102" w:lineRule="exact"/>
        <w:rPr>
          <w:sz w:val="20"/>
          <w:szCs w:val="20"/>
          <w:color w:val="auto"/>
        </w:rPr>
      </w:pPr>
    </w:p>
    <w:p>
      <w:pPr>
        <w:spacing w:after="0"/>
        <w:rPr>
          <w:sz w:val="20"/>
          <w:szCs w:val="20"/>
          <w:color w:val="auto"/>
        </w:rPr>
      </w:pPr>
      <w:r>
        <w:rPr>
          <w:rFonts w:ascii="Arial" w:cs="Arial" w:eastAsia="Arial" w:hAnsi="Arial"/>
          <w:sz w:val="15"/>
          <w:szCs w:val="15"/>
          <w:color w:val="auto"/>
        </w:rPr>
        <w:t>Section 14 (Data Privacy) shall not apply.</w:t>
      </w:r>
    </w:p>
    <w:p>
      <w:pPr>
        <w:spacing w:after="0" w:line="132"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-29-</w:t>
      </w:r>
    </w:p>
    <w:p>
      <w:pPr>
        <w:sectPr>
          <w:pgSz w:w="11900" w:h="16838" w:orient="portrait"/>
          <w:cols w:equalWidth="0" w:num="1">
            <w:col w:w="11400"/>
          </w:cols>
          <w:pgMar w:left="240" w:top="253" w:right="259" w:bottom="1440" w:gutter="0" w:footer="0" w:header="0"/>
        </w:sectPr>
      </w:pPr>
    </w:p>
    <w:bookmarkStart w:id="322" w:name="page323"/>
    <w:bookmarkEnd w:id="322"/>
    <w:p>
      <w:pPr>
        <w:ind w:left="5150"/>
        <w:spacing w:after="0"/>
        <w:rPr>
          <w:sz w:val="20"/>
          <w:szCs w:val="20"/>
          <w:color w:val="auto"/>
        </w:rPr>
      </w:pPr>
      <w:r>
        <w:rPr>
          <w:rFonts w:ascii="Arial" w:cs="Arial" w:eastAsia="Arial" w:hAnsi="Arial"/>
          <w:sz w:val="15"/>
          <w:szCs w:val="15"/>
          <w:b w:val="1"/>
          <w:bCs w:val="1"/>
          <w:color w:val="auto"/>
        </w:rPr>
        <w:drawing>
          <wp:anchor simplePos="0" relativeHeight="251657728" behindDoc="1" locked="0" layoutInCell="0" allowOverlap="1">
            <wp:simplePos x="0" y="0"/>
            <wp:positionH relativeFrom="page">
              <wp:posOffset>133350</wp:posOffset>
            </wp:positionH>
            <wp:positionV relativeFrom="page">
              <wp:posOffset>88900</wp:posOffset>
            </wp:positionV>
            <wp:extent cx="7308850" cy="34290"/>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87">
                      <a:extLst>
                        <a:ext uri="{28A0092B-C50C-407E-A947-70E740481C1C}"/>
                      </a:extLst>
                    </a:blip>
                    <a:srcRect/>
                    <a:stretch>
                      <a:fillRect/>
                    </a:stretch>
                  </pic:blipFill>
                  <pic:spPr bwMode="auto">
                    <a:xfrm>
                      <a:off x="0" y="0"/>
                      <a:ext cx="7308850" cy="34290"/>
                    </a:xfrm>
                    <a:prstGeom prst="rect">
                      <a:avLst/>
                    </a:prstGeom>
                    <a:noFill/>
                  </pic:spPr>
                </pic:pic>
              </a:graphicData>
            </a:graphic>
          </wp:anchor>
        </w:drawing>
        <w:t>DROPBOX, INC.</w:t>
      </w:r>
    </w:p>
    <w:p>
      <w:pPr>
        <w:spacing w:after="0" w:line="98" w:lineRule="exact"/>
        <w:rPr>
          <w:sz w:val="20"/>
          <w:szCs w:val="20"/>
          <w:color w:val="auto"/>
        </w:rPr>
      </w:pPr>
    </w:p>
    <w:p>
      <w:pPr>
        <w:ind w:left="4590"/>
        <w:spacing w:after="0"/>
        <w:rPr>
          <w:sz w:val="20"/>
          <w:szCs w:val="20"/>
          <w:color w:val="auto"/>
        </w:rPr>
      </w:pPr>
      <w:r>
        <w:rPr>
          <w:rFonts w:ascii="Arial" w:cs="Arial" w:eastAsia="Arial" w:hAnsi="Arial"/>
          <w:sz w:val="15"/>
          <w:szCs w:val="15"/>
          <w:b w:val="1"/>
          <w:bCs w:val="1"/>
          <w:color w:val="auto"/>
        </w:rPr>
        <w:t>2018 EQUITY INCENTIVE PLAN</w:t>
      </w:r>
    </w:p>
    <w:p>
      <w:pPr>
        <w:spacing w:after="0" w:line="98" w:lineRule="exact"/>
        <w:rPr>
          <w:sz w:val="20"/>
          <w:szCs w:val="20"/>
          <w:color w:val="auto"/>
        </w:rPr>
      </w:pPr>
    </w:p>
    <w:p>
      <w:pPr>
        <w:ind w:left="3050"/>
        <w:spacing w:after="0"/>
        <w:rPr>
          <w:sz w:val="20"/>
          <w:szCs w:val="20"/>
          <w:color w:val="auto"/>
        </w:rPr>
      </w:pPr>
      <w:r>
        <w:rPr>
          <w:rFonts w:ascii="Arial" w:cs="Arial" w:eastAsia="Arial" w:hAnsi="Arial"/>
          <w:sz w:val="15"/>
          <w:szCs w:val="15"/>
          <w:b w:val="1"/>
          <w:bCs w:val="1"/>
          <w:color w:val="auto"/>
        </w:rPr>
        <w:t>ADDENDUM REGARDING OFFERINGS OF RESTRICTED STOCK UNITS TO</w:t>
      </w:r>
    </w:p>
    <w:p>
      <w:pPr>
        <w:spacing w:after="0" w:line="21" w:lineRule="exact"/>
        <w:rPr>
          <w:sz w:val="20"/>
          <w:szCs w:val="20"/>
          <w:color w:val="auto"/>
        </w:rPr>
      </w:pPr>
    </w:p>
    <w:p>
      <w:pPr>
        <w:jc w:val="center"/>
        <w:ind w:right="-29"/>
        <w:spacing w:after="0"/>
        <w:rPr>
          <w:sz w:val="20"/>
          <w:szCs w:val="20"/>
          <w:color w:val="auto"/>
        </w:rPr>
      </w:pPr>
      <w:r>
        <w:rPr>
          <w:rFonts w:ascii="Arial" w:cs="Arial" w:eastAsia="Arial" w:hAnsi="Arial"/>
          <w:sz w:val="15"/>
          <w:szCs w:val="15"/>
          <w:b w:val="1"/>
          <w:bCs w:val="1"/>
          <w:color w:val="auto"/>
        </w:rPr>
        <w:t>PARTICIPANTS IN THE UK</w:t>
      </w:r>
    </w:p>
    <w:p>
      <w:pPr>
        <w:spacing w:after="0" w:line="179" w:lineRule="exact"/>
        <w:rPr>
          <w:sz w:val="20"/>
          <w:szCs w:val="20"/>
          <w:color w:val="auto"/>
        </w:rPr>
      </w:pPr>
    </w:p>
    <w:p>
      <w:pPr>
        <w:ind w:left="10"/>
        <w:spacing w:after="0"/>
        <w:rPr>
          <w:sz w:val="20"/>
          <w:szCs w:val="20"/>
          <w:color w:val="auto"/>
        </w:rPr>
      </w:pPr>
      <w:r>
        <w:rPr>
          <w:rFonts w:ascii="Arial" w:cs="Arial" w:eastAsia="Arial" w:hAnsi="Arial"/>
          <w:sz w:val="14"/>
          <w:szCs w:val="14"/>
          <w:color w:val="auto"/>
        </w:rPr>
        <w:t>All capitalized terms used not defined herein shall have the meanings assigned to them in the Dropbox, Inc. 2018 Equity Incentive Plan, as amended from time to time (the “Plan”).</w:t>
      </w:r>
    </w:p>
    <w:p>
      <w:pPr>
        <w:spacing w:after="0" w:line="320" w:lineRule="exact"/>
        <w:rPr>
          <w:sz w:val="20"/>
          <w:szCs w:val="20"/>
          <w:color w:val="auto"/>
        </w:rPr>
      </w:pPr>
    </w:p>
    <w:p>
      <w:pPr>
        <w:ind w:left="450" w:hanging="450"/>
        <w:spacing w:after="0"/>
        <w:tabs>
          <w:tab w:leader="none" w:pos="450" w:val="left"/>
        </w:tabs>
        <w:numPr>
          <w:ilvl w:val="0"/>
          <w:numId w:val="222"/>
        </w:numPr>
        <w:rPr>
          <w:rFonts w:ascii="Arial" w:cs="Arial" w:eastAsia="Arial" w:hAnsi="Arial"/>
          <w:sz w:val="15"/>
          <w:szCs w:val="15"/>
          <w:color w:val="auto"/>
        </w:rPr>
      </w:pPr>
      <w:r>
        <w:rPr>
          <w:rFonts w:ascii="Arial" w:cs="Arial" w:eastAsia="Arial" w:hAnsi="Arial"/>
          <w:sz w:val="15"/>
          <w:szCs w:val="15"/>
          <w:b w:val="1"/>
          <w:bCs w:val="1"/>
          <w:color w:val="auto"/>
        </w:rPr>
        <w:t>Taxes</w:t>
      </w:r>
    </w:p>
    <w:p>
      <w:pPr>
        <w:spacing w:after="0" w:line="102" w:lineRule="exact"/>
        <w:rPr>
          <w:sz w:val="20"/>
          <w:szCs w:val="20"/>
          <w:color w:val="auto"/>
        </w:rPr>
      </w:pPr>
    </w:p>
    <w:p>
      <w:pPr>
        <w:ind w:left="10" w:right="80"/>
        <w:spacing w:after="0" w:line="283" w:lineRule="auto"/>
        <w:rPr>
          <w:sz w:val="20"/>
          <w:szCs w:val="20"/>
          <w:color w:val="auto"/>
        </w:rPr>
      </w:pPr>
      <w:r>
        <w:rPr>
          <w:rFonts w:ascii="Arial" w:cs="Arial" w:eastAsia="Arial" w:hAnsi="Arial"/>
          <w:sz w:val="14"/>
          <w:szCs w:val="14"/>
          <w:color w:val="auto"/>
        </w:rPr>
        <w:t>The following provision supplements Section 8 of the Award Agreement. Without limitation to Section 8 of the Award Agreement, Participant hereby agrees that he or share is liable for all Tax Obligations and hereby covenants to pay all such Tax Obligations, as and when requested by the Company and/or the Employer and/or Her Majesty’s Revenue &amp; Customs (“HMRC”) (or any other tax authority or any other relevant authority). Participant also hereby agrees to indemnify and keep indemnified the Company and/or the Employer against any Tax Obligations that they are required to pay or withhold on Participant’s behalf or have paid or will pay to HMRC (or any other tax authority or any other relevant authority).</w:t>
      </w:r>
    </w:p>
    <w:p>
      <w:pPr>
        <w:spacing w:after="0" w:line="263" w:lineRule="exact"/>
        <w:rPr>
          <w:sz w:val="20"/>
          <w:szCs w:val="20"/>
          <w:color w:val="auto"/>
        </w:rPr>
      </w:pPr>
    </w:p>
    <w:p>
      <w:pPr>
        <w:ind w:left="450" w:hanging="450"/>
        <w:spacing w:after="0"/>
        <w:tabs>
          <w:tab w:leader="none" w:pos="450" w:val="left"/>
        </w:tabs>
        <w:numPr>
          <w:ilvl w:val="0"/>
          <w:numId w:val="223"/>
        </w:numPr>
        <w:rPr>
          <w:rFonts w:ascii="Arial" w:cs="Arial" w:eastAsia="Arial" w:hAnsi="Arial"/>
          <w:sz w:val="15"/>
          <w:szCs w:val="15"/>
          <w:color w:val="auto"/>
        </w:rPr>
      </w:pPr>
      <w:r>
        <w:rPr>
          <w:rFonts w:ascii="Arial" w:cs="Arial" w:eastAsia="Arial" w:hAnsi="Arial"/>
          <w:sz w:val="15"/>
          <w:szCs w:val="15"/>
          <w:b w:val="1"/>
          <w:bCs w:val="1"/>
          <w:color w:val="auto"/>
        </w:rPr>
        <w:t>Nature of Grant</w:t>
      </w:r>
    </w:p>
    <w:p>
      <w:pPr>
        <w:spacing w:after="0" w:line="102" w:lineRule="exact"/>
        <w:rPr>
          <w:sz w:val="20"/>
          <w:szCs w:val="20"/>
          <w:color w:val="auto"/>
        </w:rPr>
      </w:pPr>
    </w:p>
    <w:p>
      <w:pPr>
        <w:ind w:left="10"/>
        <w:spacing w:after="0"/>
        <w:rPr>
          <w:sz w:val="20"/>
          <w:szCs w:val="20"/>
          <w:color w:val="auto"/>
        </w:rPr>
      </w:pPr>
      <w:r>
        <w:rPr>
          <w:rFonts w:ascii="Arial" w:cs="Arial" w:eastAsia="Arial" w:hAnsi="Arial"/>
          <w:sz w:val="15"/>
          <w:szCs w:val="15"/>
          <w:color w:val="auto"/>
        </w:rPr>
        <w:t>By enrolling in the Plan, Participant acknowledges, understands and agrees that:</w:t>
      </w:r>
    </w:p>
    <w:p>
      <w:pPr>
        <w:spacing w:after="0" w:line="109" w:lineRule="exact"/>
        <w:rPr>
          <w:sz w:val="20"/>
          <w:szCs w:val="20"/>
          <w:color w:val="auto"/>
        </w:rPr>
      </w:pPr>
    </w:p>
    <w:p>
      <w:pPr>
        <w:ind w:left="910" w:hanging="459"/>
        <w:spacing w:after="0"/>
        <w:tabs>
          <w:tab w:leader="none" w:pos="910" w:val="left"/>
        </w:tabs>
        <w:numPr>
          <w:ilvl w:val="0"/>
          <w:numId w:val="224"/>
        </w:numPr>
        <w:rPr>
          <w:rFonts w:ascii="Arial" w:cs="Arial" w:eastAsia="Arial" w:hAnsi="Arial"/>
          <w:sz w:val="13"/>
          <w:szCs w:val="13"/>
          <w:color w:val="auto"/>
        </w:rPr>
      </w:pPr>
      <w:r>
        <w:rPr>
          <w:rFonts w:ascii="Arial" w:cs="Arial" w:eastAsia="Arial" w:hAnsi="Arial"/>
          <w:sz w:val="13"/>
          <w:szCs w:val="13"/>
          <w:color w:val="auto"/>
        </w:rPr>
        <w:t>the Plan is established voluntarily by the Company, it is discretionary in nature and it may be modified, amended, suspended or terminated by the Company at any time; and</w:t>
      </w:r>
    </w:p>
    <w:p>
      <w:pPr>
        <w:spacing w:after="0" w:line="132" w:lineRule="exact"/>
        <w:rPr>
          <w:rFonts w:ascii="Arial" w:cs="Arial" w:eastAsia="Arial" w:hAnsi="Arial"/>
          <w:sz w:val="13"/>
          <w:szCs w:val="13"/>
          <w:color w:val="auto"/>
        </w:rPr>
      </w:pPr>
    </w:p>
    <w:p>
      <w:pPr>
        <w:ind w:left="910" w:hanging="459"/>
        <w:spacing w:after="0"/>
        <w:tabs>
          <w:tab w:leader="none" w:pos="910" w:val="left"/>
        </w:tabs>
        <w:numPr>
          <w:ilvl w:val="0"/>
          <w:numId w:val="224"/>
        </w:numPr>
        <w:rPr>
          <w:rFonts w:ascii="Arial" w:cs="Arial" w:eastAsia="Arial" w:hAnsi="Arial"/>
          <w:sz w:val="13"/>
          <w:szCs w:val="13"/>
          <w:color w:val="auto"/>
        </w:rPr>
      </w:pPr>
      <w:r>
        <w:rPr>
          <w:rFonts w:ascii="Arial" w:cs="Arial" w:eastAsia="Arial" w:hAnsi="Arial"/>
          <w:sz w:val="13"/>
          <w:szCs w:val="13"/>
          <w:color w:val="auto"/>
        </w:rPr>
        <w:t>the grant of RSUs and participation in the Plan will not be interpreted to form an employment contract or relationship between Participant and the Company or any Subsidiary.</w:t>
      </w:r>
    </w:p>
    <w:p>
      <w:pPr>
        <w:spacing w:after="0" w:line="331" w:lineRule="exact"/>
        <w:rPr>
          <w:sz w:val="20"/>
          <w:szCs w:val="20"/>
          <w:color w:val="auto"/>
        </w:rPr>
      </w:pPr>
    </w:p>
    <w:p>
      <w:pPr>
        <w:ind w:left="450" w:hanging="450"/>
        <w:spacing w:after="0"/>
        <w:tabs>
          <w:tab w:leader="none" w:pos="450" w:val="left"/>
        </w:tabs>
        <w:numPr>
          <w:ilvl w:val="0"/>
          <w:numId w:val="225"/>
        </w:numPr>
        <w:rPr>
          <w:rFonts w:ascii="Arial" w:cs="Arial" w:eastAsia="Arial" w:hAnsi="Arial"/>
          <w:sz w:val="15"/>
          <w:szCs w:val="15"/>
          <w:color w:val="auto"/>
        </w:rPr>
      </w:pPr>
      <w:r>
        <w:rPr>
          <w:rFonts w:ascii="Arial" w:cs="Arial" w:eastAsia="Arial" w:hAnsi="Arial"/>
          <w:sz w:val="15"/>
          <w:szCs w:val="15"/>
          <w:b w:val="1"/>
          <w:bCs w:val="1"/>
          <w:color w:val="auto"/>
        </w:rPr>
        <w:t>Data Privacy</w:t>
      </w:r>
    </w:p>
    <w:p>
      <w:pPr>
        <w:spacing w:after="0" w:line="102" w:lineRule="exact"/>
        <w:rPr>
          <w:sz w:val="20"/>
          <w:szCs w:val="20"/>
          <w:color w:val="auto"/>
        </w:rPr>
      </w:pPr>
    </w:p>
    <w:p>
      <w:pPr>
        <w:ind w:left="10"/>
        <w:spacing w:after="0"/>
        <w:rPr>
          <w:sz w:val="20"/>
          <w:szCs w:val="20"/>
          <w:color w:val="auto"/>
        </w:rPr>
      </w:pPr>
      <w:r>
        <w:rPr>
          <w:rFonts w:ascii="Arial" w:cs="Arial" w:eastAsia="Arial" w:hAnsi="Arial"/>
          <w:sz w:val="15"/>
          <w:szCs w:val="15"/>
          <w:color w:val="auto"/>
        </w:rPr>
        <w:t>Section 14 of the Award Agreement does not apply.</w:t>
      </w:r>
    </w:p>
    <w:p>
      <w:pPr>
        <w:spacing w:after="0" w:line="308" w:lineRule="exact"/>
        <w:rPr>
          <w:sz w:val="20"/>
          <w:szCs w:val="20"/>
          <w:color w:val="auto"/>
        </w:rPr>
      </w:pPr>
    </w:p>
    <w:p>
      <w:pPr>
        <w:ind w:left="450" w:hanging="450"/>
        <w:spacing w:after="0"/>
        <w:tabs>
          <w:tab w:leader="none" w:pos="450" w:val="left"/>
        </w:tabs>
        <w:numPr>
          <w:ilvl w:val="0"/>
          <w:numId w:val="226"/>
        </w:numPr>
        <w:rPr>
          <w:rFonts w:ascii="Arial" w:cs="Arial" w:eastAsia="Arial" w:hAnsi="Arial"/>
          <w:sz w:val="15"/>
          <w:szCs w:val="15"/>
          <w:color w:val="auto"/>
        </w:rPr>
      </w:pPr>
      <w:r>
        <w:rPr>
          <w:rFonts w:ascii="Arial" w:cs="Arial" w:eastAsia="Arial" w:hAnsi="Arial"/>
          <w:sz w:val="15"/>
          <w:szCs w:val="15"/>
          <w:b w:val="1"/>
          <w:bCs w:val="1"/>
          <w:color w:val="auto"/>
        </w:rPr>
        <w:t>Imposition of Other Requirements</w:t>
      </w:r>
    </w:p>
    <w:p>
      <w:pPr>
        <w:spacing w:after="0" w:line="102" w:lineRule="exact"/>
        <w:rPr>
          <w:sz w:val="20"/>
          <w:szCs w:val="20"/>
          <w:color w:val="auto"/>
        </w:rPr>
      </w:pPr>
    </w:p>
    <w:p>
      <w:pPr>
        <w:ind w:left="10" w:right="100"/>
        <w:spacing w:after="0" w:line="263" w:lineRule="auto"/>
        <w:rPr>
          <w:sz w:val="20"/>
          <w:szCs w:val="20"/>
          <w:color w:val="auto"/>
        </w:rPr>
      </w:pPr>
      <w:r>
        <w:rPr>
          <w:rFonts w:ascii="Arial" w:cs="Arial" w:eastAsia="Arial" w:hAnsi="Arial"/>
          <w:sz w:val="15"/>
          <w:szCs w:val="15"/>
          <w:color w:val="auto"/>
        </w:rPr>
        <w:t>The Company reserves the right to impose other requirements on Participant’s participation in the Plan, on the RSUs and on any Common Stock acquired under the Plan, to the extent the Company determines it is necessary or advisable in order to comply with local law or facilitate the administration of the Plan, and to require Participant to sign any additional agreements or undertakings that may be necessary to accomplish the foregoing.</w:t>
      </w:r>
    </w:p>
    <w:p>
      <w:pPr>
        <w:spacing w:after="0" w:line="98" w:lineRule="exact"/>
        <w:rPr>
          <w:sz w:val="20"/>
          <w:szCs w:val="20"/>
          <w:color w:val="auto"/>
        </w:rPr>
      </w:pPr>
    </w:p>
    <w:p>
      <w:pPr>
        <w:jc w:val="center"/>
        <w:ind w:right="-29"/>
        <w:spacing w:after="0"/>
        <w:rPr>
          <w:sz w:val="20"/>
          <w:szCs w:val="20"/>
          <w:color w:val="auto"/>
        </w:rPr>
      </w:pPr>
      <w:r>
        <w:rPr>
          <w:rFonts w:ascii="Arial" w:cs="Arial" w:eastAsia="Arial" w:hAnsi="Arial"/>
          <w:sz w:val="15"/>
          <w:szCs w:val="15"/>
          <w:color w:val="auto"/>
        </w:rPr>
        <w:t>-30-</w:t>
      </w:r>
    </w:p>
    <w:p>
      <w:pPr>
        <w:sectPr>
          <w:pgSz w:w="11900" w:h="16838" w:orient="portrait"/>
          <w:cols w:equalWidth="0" w:num="1">
            <w:col w:w="11430"/>
          </w:cols>
          <w:pgMar w:left="230" w:top="249" w:right="239" w:bottom="1440" w:gutter="0" w:footer="0" w:header="0"/>
        </w:sectPr>
      </w:pPr>
    </w:p>
    <w:bookmarkStart w:id="323" w:name="page324"/>
    <w:bookmarkEnd w:id="323"/>
    <w:p>
      <w:pPr>
        <w:ind w:left="450" w:hanging="450"/>
        <w:spacing w:after="0"/>
        <w:tabs>
          <w:tab w:leader="none" w:pos="450" w:val="left"/>
        </w:tabs>
        <w:numPr>
          <w:ilvl w:val="0"/>
          <w:numId w:val="227"/>
        </w:numPr>
        <w:rPr>
          <w:rFonts w:ascii="Arial" w:cs="Arial" w:eastAsia="Arial" w:hAnsi="Arial"/>
          <w:sz w:val="15"/>
          <w:szCs w:val="15"/>
          <w:color w:val="auto"/>
        </w:rPr>
      </w:pPr>
      <w:r>
        <w:rPr>
          <w:rFonts w:ascii="Arial" w:cs="Arial" w:eastAsia="Arial" w:hAnsi="Arial"/>
          <w:sz w:val="15"/>
          <w:szCs w:val="15"/>
          <w:b w:val="1"/>
          <w:bCs w:val="1"/>
          <w:color w:val="auto"/>
        </w:rPr>
        <w:drawing>
          <wp:anchor simplePos="0" relativeHeight="251657728" behindDoc="1" locked="0" layoutInCell="0" allowOverlap="1">
            <wp:simplePos x="0" y="0"/>
            <wp:positionH relativeFrom="page">
              <wp:posOffset>133350</wp:posOffset>
            </wp:positionH>
            <wp:positionV relativeFrom="page">
              <wp:posOffset>88900</wp:posOffset>
            </wp:positionV>
            <wp:extent cx="7308850" cy="34290"/>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88">
                      <a:extLst>
                        <a:ext uri="{28A0092B-C50C-407E-A947-70E740481C1C}"/>
                      </a:extLst>
                    </a:blip>
                    <a:srcRect/>
                    <a:stretch>
                      <a:fillRect/>
                    </a:stretch>
                  </pic:blipFill>
                  <pic:spPr bwMode="auto">
                    <a:xfrm>
                      <a:off x="0" y="0"/>
                      <a:ext cx="7308850" cy="34290"/>
                    </a:xfrm>
                    <a:prstGeom prst="rect">
                      <a:avLst/>
                    </a:prstGeom>
                    <a:noFill/>
                  </pic:spPr>
                </pic:pic>
              </a:graphicData>
            </a:graphic>
          </wp:anchor>
        </w:drawing>
        <w:t>Acknowledgement</w:t>
      </w:r>
    </w:p>
    <w:p>
      <w:pPr>
        <w:spacing w:after="0" w:line="102" w:lineRule="exact"/>
        <w:rPr>
          <w:sz w:val="20"/>
          <w:szCs w:val="20"/>
          <w:color w:val="auto"/>
        </w:rPr>
      </w:pPr>
    </w:p>
    <w:p>
      <w:pPr>
        <w:ind w:left="10"/>
        <w:spacing w:after="0" w:line="275" w:lineRule="auto"/>
        <w:rPr>
          <w:sz w:val="20"/>
          <w:szCs w:val="20"/>
          <w:color w:val="auto"/>
        </w:rPr>
      </w:pPr>
      <w:r>
        <w:rPr>
          <w:rFonts w:ascii="Arial" w:cs="Arial" w:eastAsia="Arial" w:hAnsi="Arial"/>
          <w:sz w:val="15"/>
          <w:szCs w:val="15"/>
          <w:color w:val="auto"/>
        </w:rPr>
        <w:t>By enrolling in the Plan, Participant agrees to be bound by, and understands that his or her participation in the Plan is subject to, the terms and conditions set forth in this Appendix, as well as the terms and conditions set forth in the Plan.</w:t>
      </w:r>
    </w:p>
    <w:p>
      <w:pPr>
        <w:spacing w:after="0" w:line="90" w:lineRule="exact"/>
        <w:rPr>
          <w:sz w:val="20"/>
          <w:szCs w:val="20"/>
          <w:color w:val="auto"/>
        </w:rPr>
      </w:pPr>
    </w:p>
    <w:p>
      <w:pPr>
        <w:jc w:val="center"/>
        <w:ind w:right="-9"/>
        <w:spacing w:after="0"/>
        <w:rPr>
          <w:sz w:val="20"/>
          <w:szCs w:val="20"/>
          <w:color w:val="auto"/>
        </w:rPr>
      </w:pPr>
      <w:r>
        <w:rPr>
          <w:rFonts w:ascii="Arial" w:cs="Arial" w:eastAsia="Arial" w:hAnsi="Arial"/>
          <w:sz w:val="15"/>
          <w:szCs w:val="15"/>
          <w:color w:val="auto"/>
        </w:rPr>
        <w:t>-31-</w:t>
      </w:r>
    </w:p>
    <w:p>
      <w:pPr>
        <w:sectPr>
          <w:pgSz w:w="11900" w:h="16838" w:orient="portrait"/>
          <w:cols w:equalWidth="0" w:num="1">
            <w:col w:w="11450"/>
          </w:cols>
          <w:pgMar w:left="230" w:top="249" w:right="219" w:bottom="1440" w:gutter="0" w:footer="0" w:header="0"/>
        </w:sectPr>
      </w:pPr>
    </w:p>
    <w:bookmarkStart w:id="324" w:name="page325"/>
    <w:bookmarkEnd w:id="324"/>
    <w:p>
      <w:pPr>
        <w:jc w:val="right"/>
        <w:spacing w:after="0"/>
        <w:rPr>
          <w:sz w:val="20"/>
          <w:szCs w:val="20"/>
          <w:color w:val="auto"/>
        </w:rPr>
      </w:pPr>
      <w:r>
        <w:rPr>
          <w:rFonts w:ascii="Arial" w:cs="Arial" w:eastAsia="Arial" w:hAnsi="Arial"/>
          <w:sz w:val="15"/>
          <w:szCs w:val="15"/>
          <w:b w:val="1"/>
          <w:bCs w:val="1"/>
          <w:color w:val="auto"/>
        </w:rPr>
        <w:t>Exhibit 10.3</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DROPBOX, INC.</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2018 EMPLOYEE STOCK PURCHASE PLAN</w:t>
      </w:r>
    </w:p>
    <w:p>
      <w:pPr>
        <w:spacing w:after="0" w:line="192" w:lineRule="exact"/>
        <w:rPr>
          <w:sz w:val="20"/>
          <w:szCs w:val="20"/>
          <w:color w:val="auto"/>
        </w:rPr>
      </w:pPr>
    </w:p>
    <w:p>
      <w:pPr>
        <w:ind w:right="100" w:firstLine="448"/>
        <w:spacing w:after="0" w:line="255" w:lineRule="auto"/>
        <w:tabs>
          <w:tab w:leader="none" w:pos="721" w:val="left"/>
        </w:tabs>
        <w:numPr>
          <w:ilvl w:val="0"/>
          <w:numId w:val="228"/>
        </w:numPr>
        <w:rPr>
          <w:rFonts w:ascii="Arial" w:cs="Arial" w:eastAsia="Arial" w:hAnsi="Arial"/>
          <w:sz w:val="15"/>
          <w:szCs w:val="15"/>
          <w:color w:val="auto"/>
        </w:rPr>
      </w:pPr>
      <w:r>
        <w:rPr>
          <w:rFonts w:ascii="Arial" w:cs="Arial" w:eastAsia="Arial" w:hAnsi="Arial"/>
          <w:sz w:val="15"/>
          <w:szCs w:val="15"/>
          <w:u w:val="single" w:color="auto"/>
          <w:color w:val="auto"/>
        </w:rPr>
        <w:t>Purpose</w:t>
      </w:r>
      <w:r>
        <w:rPr>
          <w:rFonts w:ascii="Arial" w:cs="Arial" w:eastAsia="Arial" w:hAnsi="Arial"/>
          <w:sz w:val="15"/>
          <w:szCs w:val="15"/>
          <w:color w:val="auto"/>
        </w:rPr>
        <w:t>. The purpose of the Plan is to provide employees of the Company and its Designated Companies with an opportunity to purchase Common Stock through accumulated Contributions. The Company intends for the Plan to have two components: a component that is intended to qualify as an “employee stock purchase plan” under Section 423 of the Code (the “423 Component”) and a component that is not intended to qualify as an “employee stock purchase plan” under Section 423 of the Code (the “Non-423 Component”). The provisions of the 423 Component, accordingly, will be construed so as to extend and limit Plan participation in a uniform and nondiscriminatory basis consistent with the requirements of Section 423 of the Code. An option to purchase shares of Common Stock under the Non-423 Component will be granted pursuant to rules, procedures, or sub-plans adopted by the Administrator designed to achieve tax, securities laws, or other objectives for Eligible Employees and the Company. Except as otherwise provided herein, the Non-423 Component will operate and be administered in the same manner as the 423 Component.</w:t>
      </w:r>
    </w:p>
    <w:p>
      <w:pPr>
        <w:spacing w:after="0" w:line="251" w:lineRule="exact"/>
        <w:rPr>
          <w:rFonts w:ascii="Arial" w:cs="Arial" w:eastAsia="Arial" w:hAnsi="Arial"/>
          <w:sz w:val="15"/>
          <w:szCs w:val="15"/>
          <w:color w:val="auto"/>
        </w:rPr>
      </w:pPr>
    </w:p>
    <w:p>
      <w:pPr>
        <w:ind w:left="720" w:hanging="272"/>
        <w:spacing w:after="0"/>
        <w:tabs>
          <w:tab w:leader="none" w:pos="720" w:val="left"/>
        </w:tabs>
        <w:numPr>
          <w:ilvl w:val="0"/>
          <w:numId w:val="228"/>
        </w:numPr>
        <w:rPr>
          <w:rFonts w:ascii="Arial" w:cs="Arial" w:eastAsia="Arial" w:hAnsi="Arial"/>
          <w:sz w:val="15"/>
          <w:szCs w:val="15"/>
          <w:color w:val="auto"/>
        </w:rPr>
      </w:pPr>
      <w:r>
        <w:rPr>
          <w:rFonts w:ascii="Arial" w:cs="Arial" w:eastAsia="Arial" w:hAnsi="Arial"/>
          <w:sz w:val="15"/>
          <w:szCs w:val="15"/>
          <w:u w:val="single" w:color="auto"/>
          <w:color w:val="auto"/>
        </w:rPr>
        <w:t>Definitions</w:t>
      </w:r>
      <w:r>
        <w:rPr>
          <w:rFonts w:ascii="Arial" w:cs="Arial" w:eastAsia="Arial" w:hAnsi="Arial"/>
          <w:sz w:val="15"/>
          <w:szCs w:val="15"/>
          <w:color w:val="auto"/>
        </w:rPr>
        <w:t>.</w:t>
      </w:r>
    </w:p>
    <w:p>
      <w:pPr>
        <w:spacing w:after="0" w:line="98" w:lineRule="exact"/>
        <w:rPr>
          <w:rFonts w:ascii="Arial" w:cs="Arial" w:eastAsia="Arial" w:hAnsi="Arial"/>
          <w:sz w:val="15"/>
          <w:szCs w:val="15"/>
          <w:color w:val="auto"/>
        </w:rPr>
      </w:pPr>
    </w:p>
    <w:p>
      <w:pPr>
        <w:ind w:left="1220" w:hanging="314"/>
        <w:spacing w:after="0"/>
        <w:tabs>
          <w:tab w:leader="none" w:pos="1220" w:val="left"/>
        </w:tabs>
        <w:numPr>
          <w:ilvl w:val="1"/>
          <w:numId w:val="228"/>
        </w:numPr>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Administrator</w:t>
      </w:r>
      <w:r>
        <w:rPr>
          <w:rFonts w:ascii="Arial" w:cs="Arial" w:eastAsia="Arial" w:hAnsi="Arial"/>
          <w:sz w:val="15"/>
          <w:szCs w:val="15"/>
          <w:color w:val="auto"/>
        </w:rPr>
        <w:t>” means the Board or any Committee designated by the Board to administer the Plan pursuant to Section 14.</w:t>
      </w:r>
    </w:p>
    <w:p>
      <w:pPr>
        <w:spacing w:after="0" w:line="188" w:lineRule="exact"/>
        <w:rPr>
          <w:rFonts w:ascii="Arial" w:cs="Arial" w:eastAsia="Arial" w:hAnsi="Arial"/>
          <w:sz w:val="15"/>
          <w:szCs w:val="15"/>
          <w:color w:val="auto"/>
        </w:rPr>
      </w:pPr>
    </w:p>
    <w:p>
      <w:pPr>
        <w:ind w:left="1240" w:hanging="334"/>
        <w:spacing w:after="0"/>
        <w:tabs>
          <w:tab w:leader="none" w:pos="1240" w:val="left"/>
        </w:tabs>
        <w:numPr>
          <w:ilvl w:val="1"/>
          <w:numId w:val="228"/>
        </w:numPr>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Affiliate</w:t>
      </w:r>
      <w:r>
        <w:rPr>
          <w:rFonts w:ascii="Arial" w:cs="Arial" w:eastAsia="Arial" w:hAnsi="Arial"/>
          <w:sz w:val="15"/>
          <w:szCs w:val="15"/>
          <w:color w:val="auto"/>
        </w:rPr>
        <w:t>” means any entity, other than a Subsidiary, in which the Company has an equity or other ownership interest.</w:t>
      </w:r>
    </w:p>
    <w:p>
      <w:pPr>
        <w:spacing w:after="0" w:line="188" w:lineRule="exact"/>
        <w:rPr>
          <w:rFonts w:ascii="Arial" w:cs="Arial" w:eastAsia="Arial" w:hAnsi="Arial"/>
          <w:sz w:val="15"/>
          <w:szCs w:val="15"/>
          <w:color w:val="auto"/>
        </w:rPr>
      </w:pPr>
    </w:p>
    <w:p>
      <w:pPr>
        <w:ind w:right="20" w:firstLine="906"/>
        <w:spacing w:after="0" w:line="263" w:lineRule="auto"/>
        <w:tabs>
          <w:tab w:leader="none" w:pos="1233" w:val="left"/>
        </w:tabs>
        <w:numPr>
          <w:ilvl w:val="1"/>
          <w:numId w:val="228"/>
        </w:numPr>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Applicable Laws</w:t>
      </w:r>
      <w:r>
        <w:rPr>
          <w:rFonts w:ascii="Arial" w:cs="Arial" w:eastAsia="Arial" w:hAnsi="Arial"/>
          <w:sz w:val="15"/>
          <w:szCs w:val="15"/>
          <w:color w:val="auto"/>
        </w:rPr>
        <w:t>” means the requirements relating to the administration of equity-based awards under U.S. state corporate laws, U.S. federal and state securities laws, the Code, any stock exchange or quotation system on which the Common Stock is listed or quoted and the applicable laws of any foreign country or jurisdiction where options are, or will be, granted under the Plan.</w:t>
      </w:r>
    </w:p>
    <w:p>
      <w:pPr>
        <w:spacing w:after="0" w:line="154" w:lineRule="exact"/>
        <w:rPr>
          <w:rFonts w:ascii="Arial" w:cs="Arial" w:eastAsia="Arial" w:hAnsi="Arial"/>
          <w:sz w:val="15"/>
          <w:szCs w:val="15"/>
          <w:color w:val="auto"/>
        </w:rPr>
      </w:pPr>
    </w:p>
    <w:p>
      <w:pPr>
        <w:ind w:left="1240" w:hanging="334"/>
        <w:spacing w:after="0"/>
        <w:tabs>
          <w:tab w:leader="none" w:pos="1240" w:val="left"/>
        </w:tabs>
        <w:numPr>
          <w:ilvl w:val="1"/>
          <w:numId w:val="228"/>
        </w:numPr>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Board</w:t>
      </w:r>
      <w:r>
        <w:rPr>
          <w:rFonts w:ascii="Arial" w:cs="Arial" w:eastAsia="Arial" w:hAnsi="Arial"/>
          <w:sz w:val="15"/>
          <w:szCs w:val="15"/>
          <w:color w:val="auto"/>
        </w:rPr>
        <w:t>” means the Board of Directors of the Company.</w:t>
      </w:r>
    </w:p>
    <w:p>
      <w:pPr>
        <w:spacing w:after="0" w:line="188" w:lineRule="exact"/>
        <w:rPr>
          <w:rFonts w:ascii="Arial" w:cs="Arial" w:eastAsia="Arial" w:hAnsi="Arial"/>
          <w:sz w:val="15"/>
          <w:szCs w:val="15"/>
          <w:color w:val="auto"/>
        </w:rPr>
      </w:pPr>
    </w:p>
    <w:p>
      <w:pPr>
        <w:ind w:left="1220" w:hanging="314"/>
        <w:spacing w:after="0"/>
        <w:tabs>
          <w:tab w:leader="none" w:pos="1220" w:val="left"/>
        </w:tabs>
        <w:numPr>
          <w:ilvl w:val="1"/>
          <w:numId w:val="228"/>
        </w:numPr>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Change in Control</w:t>
      </w:r>
      <w:r>
        <w:rPr>
          <w:rFonts w:ascii="Arial" w:cs="Arial" w:eastAsia="Arial" w:hAnsi="Arial"/>
          <w:sz w:val="15"/>
          <w:szCs w:val="15"/>
          <w:color w:val="auto"/>
        </w:rPr>
        <w:t>” means the occurrence of any of the following events:</w:t>
      </w:r>
    </w:p>
    <w:p>
      <w:pPr>
        <w:spacing w:after="0" w:line="188" w:lineRule="exact"/>
        <w:rPr>
          <w:rFonts w:ascii="Arial" w:cs="Arial" w:eastAsia="Arial" w:hAnsi="Arial"/>
          <w:sz w:val="15"/>
          <w:szCs w:val="15"/>
          <w:color w:val="auto"/>
        </w:rPr>
      </w:pPr>
    </w:p>
    <w:p>
      <w:pPr>
        <w:ind w:right="100" w:firstLine="1478"/>
        <w:spacing w:after="0" w:line="277" w:lineRule="auto"/>
        <w:tabs>
          <w:tab w:leader="none" w:pos="1772" w:val="left"/>
        </w:tabs>
        <w:numPr>
          <w:ilvl w:val="2"/>
          <w:numId w:val="228"/>
        </w:numPr>
        <w:rPr>
          <w:rFonts w:ascii="Arial" w:cs="Arial" w:eastAsia="Arial" w:hAnsi="Arial"/>
          <w:sz w:val="14"/>
          <w:szCs w:val="14"/>
          <w:color w:val="auto"/>
        </w:rPr>
      </w:pPr>
      <w:r>
        <w:rPr>
          <w:rFonts w:ascii="Arial" w:cs="Arial" w:eastAsia="Arial" w:hAnsi="Arial"/>
          <w:sz w:val="14"/>
          <w:szCs w:val="14"/>
          <w:color w:val="auto"/>
        </w:rPr>
        <w:t>A change in the ownership of the Company which occurs on the date that any one person, or more than one person acting as a group (“</w:t>
      </w:r>
      <w:r>
        <w:rPr>
          <w:rFonts w:ascii="Arial" w:cs="Arial" w:eastAsia="Arial" w:hAnsi="Arial"/>
          <w:sz w:val="14"/>
          <w:szCs w:val="14"/>
          <w:u w:val="single" w:color="auto"/>
          <w:color w:val="auto"/>
        </w:rPr>
        <w:t>Person</w:t>
      </w:r>
      <w:r>
        <w:rPr>
          <w:rFonts w:ascii="Arial" w:cs="Arial" w:eastAsia="Arial" w:hAnsi="Arial"/>
          <w:sz w:val="14"/>
          <w:szCs w:val="14"/>
          <w:color w:val="auto"/>
        </w:rPr>
        <w:t>”), acquires ownership of the stock of the Company that, together with the stock held by such Person, constitutes more than fifty percent (50%) of the total voting power of the stock of the Company; provided, however, that for purposes of this subsection, the acquisition of additional stock by any one Person, who is considered to own more than fifty percent (50%) of the total voting power of the stock of the Company will not be considered a Change in Control. Further, if the stockholders of the Company immediately before such change in ownership continue to retain immediately after the change in ownership, in substantially the same proportions as their ownership of shares of the Company’s voting stock immediately prior to the change in ownership, direct or indirect beneficial ownership of fifty percent (50%) or more of the total voting power of the stock of the Company or of the ultimate parent entity</w:t>
      </w:r>
    </w:p>
    <w:p>
      <w:pPr>
        <w:sectPr>
          <w:pgSz w:w="11900" w:h="16838" w:orient="portrait"/>
          <w:cols w:equalWidth="0" w:num="1">
            <w:col w:w="11440"/>
          </w:cols>
          <w:pgMar w:left="240" w:top="125" w:right="219" w:bottom="1440" w:gutter="0" w:footer="0" w:header="0"/>
        </w:sectPr>
      </w:pPr>
    </w:p>
    <w:bookmarkStart w:id="325" w:name="page326"/>
    <w:bookmarkEnd w:id="325"/>
    <w:p>
      <w:pPr>
        <w:ind w:left="10" w:right="40"/>
        <w:spacing w:after="0" w:line="263"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133350</wp:posOffset>
            </wp:positionH>
            <wp:positionV relativeFrom="page">
              <wp:posOffset>88900</wp:posOffset>
            </wp:positionV>
            <wp:extent cx="7308850" cy="34290"/>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89">
                      <a:extLst>
                        <a:ext uri="{28A0092B-C50C-407E-A947-70E740481C1C}"/>
                      </a:extLst>
                    </a:blip>
                    <a:srcRect/>
                    <a:stretch>
                      <a:fillRect/>
                    </a:stretch>
                  </pic:blipFill>
                  <pic:spPr bwMode="auto">
                    <a:xfrm>
                      <a:off x="0" y="0"/>
                      <a:ext cx="7308850" cy="34290"/>
                    </a:xfrm>
                    <a:prstGeom prst="rect">
                      <a:avLst/>
                    </a:prstGeom>
                    <a:noFill/>
                  </pic:spPr>
                </pic:pic>
              </a:graphicData>
            </a:graphic>
          </wp:anchor>
        </w:drawing>
        <w:t>of the Company, such event shall not be considered a Change in Control under this subsection (i). For this purpose, indirect beneficial ownership shall include, without limitation, an interest resulting from ownership of the voting securities of one or more corporations or other business entities which own the Company, as the case may be, either directly or through one or more subsidiary corporations or other business entities; or</w:t>
      </w:r>
    </w:p>
    <w:p>
      <w:pPr>
        <w:spacing w:after="0" w:line="155" w:lineRule="exact"/>
        <w:rPr>
          <w:sz w:val="20"/>
          <w:szCs w:val="20"/>
          <w:color w:val="auto"/>
        </w:rPr>
      </w:pPr>
    </w:p>
    <w:p>
      <w:pPr>
        <w:ind w:left="10" w:right="20" w:firstLine="1478"/>
        <w:spacing w:after="0" w:line="259" w:lineRule="auto"/>
        <w:tabs>
          <w:tab w:leader="none" w:pos="1824" w:val="left"/>
        </w:tabs>
        <w:numPr>
          <w:ilvl w:val="0"/>
          <w:numId w:val="229"/>
        </w:numPr>
        <w:rPr>
          <w:rFonts w:ascii="Arial" w:cs="Arial" w:eastAsia="Arial" w:hAnsi="Arial"/>
          <w:sz w:val="15"/>
          <w:szCs w:val="15"/>
          <w:color w:val="auto"/>
        </w:rPr>
      </w:pPr>
      <w:r>
        <w:rPr>
          <w:rFonts w:ascii="Arial" w:cs="Arial" w:eastAsia="Arial" w:hAnsi="Arial"/>
          <w:sz w:val="15"/>
          <w:szCs w:val="15"/>
          <w:color w:val="auto"/>
        </w:rPr>
        <w:t>A change in the effective control of the Company which occurs on the date that a majority of members of the Board is replaced during any twelve (12)-month period by Directors whose appointment or election is not endorsed by a majority of the members of the Board prior to the date of the appointment or election. For purposes of this subsection (ii), if any Person is considered to be in effective control of the Company, the acquisition of additional control of the Company by the same Person will not be considered a Change in Control; or</w:t>
      </w:r>
    </w:p>
    <w:p>
      <w:pPr>
        <w:spacing w:after="0" w:line="157" w:lineRule="exact"/>
        <w:rPr>
          <w:rFonts w:ascii="Arial" w:cs="Arial" w:eastAsia="Arial" w:hAnsi="Arial"/>
          <w:sz w:val="15"/>
          <w:szCs w:val="15"/>
          <w:color w:val="auto"/>
        </w:rPr>
      </w:pPr>
    </w:p>
    <w:p>
      <w:pPr>
        <w:ind w:left="10" w:firstLine="1478"/>
        <w:spacing w:after="0" w:line="297" w:lineRule="auto"/>
        <w:tabs>
          <w:tab w:leader="none" w:pos="1865" w:val="left"/>
        </w:tabs>
        <w:numPr>
          <w:ilvl w:val="0"/>
          <w:numId w:val="229"/>
        </w:numPr>
        <w:rPr>
          <w:rFonts w:ascii="Arial" w:cs="Arial" w:eastAsia="Arial" w:hAnsi="Arial"/>
          <w:sz w:val="13"/>
          <w:szCs w:val="13"/>
          <w:color w:val="auto"/>
        </w:rPr>
      </w:pPr>
      <w:r>
        <w:rPr>
          <w:rFonts w:ascii="Arial" w:cs="Arial" w:eastAsia="Arial" w:hAnsi="Arial"/>
          <w:sz w:val="13"/>
          <w:szCs w:val="13"/>
          <w:color w:val="auto"/>
        </w:rPr>
        <w:t>A change in the ownership of a substantial portion of the Company’s assets which occurs on the date that any Person acquires (or has acquired during the twelve (12)-month period ending on the date of the most recent acquisition by such person or persons) assets from the Company that have a total gross fair market value equal to or more than fifty percent (50%) of the total gross fair market value of all of the assets of the Company immediately prior to such acquisition or acquisitions; provided, however, that for purposes of this subsection, the following will not constitute a change in the ownership of a substantial portion of the Company’s assets: (A) a transfer to an entity that is controlled by the Company’s stockholders immediately after the transfer, or (B) a transfer of assets by the Company to: (1) a stockholder of the Company (immediately before the asset transfer) in exchange for or with respect to the Company’s stock, (2) an entity, fifty percent (50%) or more of the total value or voting power of which is owned, directly or indirectly, by the Company, (3) a Person, that owns, directly or indirectly, fifty percent (50%) or more of the total value or voting power of all the outstanding stock of the Company, or (4) an entity, at least fifty percent (50%) of the total value or voting power of which is owned, directly or indirectly, by a Person described in this subsection (iii)(B)(3). For purposes of this subsection, gross fair market value means the value of the assets of the Company, or the value of the assets being disposed of, determined without regard to any liabilities associated with such assets.</w:t>
      </w:r>
    </w:p>
    <w:p>
      <w:pPr>
        <w:spacing w:after="0" w:line="140" w:lineRule="exact"/>
        <w:rPr>
          <w:sz w:val="20"/>
          <w:szCs w:val="20"/>
          <w:color w:val="auto"/>
        </w:rPr>
      </w:pPr>
    </w:p>
    <w:p>
      <w:pPr>
        <w:ind w:left="10" w:right="300" w:firstLine="916"/>
        <w:spacing w:after="0" w:line="275" w:lineRule="auto"/>
        <w:rPr>
          <w:sz w:val="20"/>
          <w:szCs w:val="20"/>
          <w:color w:val="auto"/>
        </w:rPr>
      </w:pPr>
      <w:r>
        <w:rPr>
          <w:rFonts w:ascii="Arial" w:cs="Arial" w:eastAsia="Arial" w:hAnsi="Arial"/>
          <w:sz w:val="15"/>
          <w:szCs w:val="15"/>
          <w:color w:val="auto"/>
        </w:rPr>
        <w:t>For purposes of this definition, persons will be considered to be acting as a group if they are owners of a corporation that enters into a merger, consolidation, purchase, or acquisition of stock, or similar business transaction with the Company.</w:t>
      </w:r>
    </w:p>
    <w:p>
      <w:pPr>
        <w:spacing w:after="0" w:line="146" w:lineRule="exact"/>
        <w:rPr>
          <w:sz w:val="20"/>
          <w:szCs w:val="20"/>
          <w:color w:val="auto"/>
        </w:rPr>
      </w:pPr>
    </w:p>
    <w:p>
      <w:pPr>
        <w:jc w:val="both"/>
        <w:ind w:left="10" w:right="60" w:firstLine="916"/>
        <w:spacing w:after="0" w:line="263" w:lineRule="auto"/>
        <w:rPr>
          <w:sz w:val="20"/>
          <w:szCs w:val="20"/>
          <w:color w:val="auto"/>
        </w:rPr>
      </w:pPr>
      <w:r>
        <w:rPr>
          <w:rFonts w:ascii="Arial" w:cs="Arial" w:eastAsia="Arial" w:hAnsi="Arial"/>
          <w:sz w:val="15"/>
          <w:szCs w:val="15"/>
          <w:color w:val="auto"/>
        </w:rPr>
        <w:t>Notwithstanding the foregoing, a transaction will not be deemed a Change in Control unless the transaction qualifies as a change in control event within the meaning of Code Section 409A, as it has been and may be amended from time to time, and any proposed or final U.S. Treasury Regulations and Internal Revenue Service guidance that has been promulgated or may be promulgated thereunder from time to time.</w:t>
      </w:r>
    </w:p>
    <w:p>
      <w:pPr>
        <w:spacing w:after="0" w:line="155" w:lineRule="exact"/>
        <w:rPr>
          <w:sz w:val="20"/>
          <w:szCs w:val="20"/>
          <w:color w:val="auto"/>
        </w:rPr>
      </w:pPr>
    </w:p>
    <w:p>
      <w:pPr>
        <w:ind w:left="910"/>
        <w:spacing w:after="0"/>
        <w:rPr>
          <w:sz w:val="20"/>
          <w:szCs w:val="20"/>
          <w:color w:val="auto"/>
        </w:rPr>
      </w:pPr>
      <w:r>
        <w:rPr>
          <w:rFonts w:ascii="Arial" w:cs="Arial" w:eastAsia="Arial" w:hAnsi="Arial"/>
          <w:sz w:val="13"/>
          <w:szCs w:val="13"/>
          <w:color w:val="auto"/>
        </w:rPr>
        <w:t>Further and for the avoidance of doubt, a transaction will not constitute a Change in Control if: (i) its sole purpose is to change the state of the Company’s incorporation, or</w:t>
      </w:r>
    </w:p>
    <w:p>
      <w:pPr>
        <w:spacing w:after="0" w:line="40" w:lineRule="exact"/>
        <w:rPr>
          <w:sz w:val="20"/>
          <w:szCs w:val="20"/>
          <w:color w:val="auto"/>
        </w:rPr>
      </w:pPr>
    </w:p>
    <w:p>
      <w:pPr>
        <w:ind w:left="10" w:right="400" w:hanging="10"/>
        <w:spacing w:after="0" w:line="262" w:lineRule="auto"/>
        <w:tabs>
          <w:tab w:leader="none" w:pos="231" w:val="left"/>
        </w:tabs>
        <w:numPr>
          <w:ilvl w:val="0"/>
          <w:numId w:val="230"/>
        </w:numPr>
        <w:rPr>
          <w:rFonts w:ascii="Arial" w:cs="Arial" w:eastAsia="Arial" w:hAnsi="Arial"/>
          <w:sz w:val="15"/>
          <w:szCs w:val="15"/>
          <w:color w:val="auto"/>
        </w:rPr>
      </w:pPr>
      <w:r>
        <w:rPr>
          <w:rFonts w:ascii="Arial" w:cs="Arial" w:eastAsia="Arial" w:hAnsi="Arial"/>
          <w:sz w:val="15"/>
          <w:szCs w:val="15"/>
          <w:color w:val="auto"/>
        </w:rPr>
        <w:t>its sole purpose is to create a holding company that will be owned in substantially the same proportions by the persons who held the Company’s securities immediately before such transaction.</w:t>
      </w:r>
    </w:p>
    <w:p>
      <w:pPr>
        <w:spacing w:after="0" w:line="98" w:lineRule="exact"/>
        <w:rPr>
          <w:rFonts w:ascii="Arial" w:cs="Arial" w:eastAsia="Arial" w:hAnsi="Arial"/>
          <w:sz w:val="15"/>
          <w:szCs w:val="15"/>
          <w:color w:val="auto"/>
        </w:rPr>
      </w:pPr>
    </w:p>
    <w:p>
      <w:pPr>
        <w:ind w:left="5690" w:hanging="91"/>
        <w:spacing w:after="0"/>
        <w:tabs>
          <w:tab w:leader="none" w:pos="5690" w:val="left"/>
        </w:tabs>
        <w:numPr>
          <w:ilvl w:val="1"/>
          <w:numId w:val="230"/>
        </w:numPr>
        <w:rPr>
          <w:rFonts w:ascii="Arial" w:cs="Arial" w:eastAsia="Arial" w:hAnsi="Arial"/>
          <w:sz w:val="15"/>
          <w:szCs w:val="15"/>
          <w:color w:val="auto"/>
        </w:rPr>
      </w:pPr>
      <w:r>
        <w:rPr>
          <w:rFonts w:ascii="Arial" w:cs="Arial" w:eastAsia="Arial" w:hAnsi="Arial"/>
          <w:sz w:val="15"/>
          <w:szCs w:val="15"/>
          <w:color w:val="auto"/>
        </w:rPr>
        <w:t>2 -</w:t>
      </w:r>
    </w:p>
    <w:p>
      <w:pPr>
        <w:sectPr>
          <w:pgSz w:w="11900" w:h="16838" w:orient="portrait"/>
          <w:cols w:equalWidth="0" w:num="1">
            <w:col w:w="11410"/>
          </w:cols>
          <w:pgMar w:left="230" w:top="253" w:right="259" w:bottom="1440" w:gutter="0" w:footer="0" w:header="0"/>
        </w:sectPr>
      </w:pPr>
    </w:p>
    <w:bookmarkStart w:id="326" w:name="page327"/>
    <w:bookmarkEnd w:id="326"/>
    <w:p>
      <w:pPr>
        <w:jc w:val="both"/>
        <w:ind w:left="-906" w:right="140" w:firstLine="906"/>
        <w:spacing w:after="0" w:line="263" w:lineRule="auto"/>
        <w:tabs>
          <w:tab w:leader="none" w:pos="310" w:val="left"/>
        </w:tabs>
        <w:numPr>
          <w:ilvl w:val="0"/>
          <w:numId w:val="231"/>
        </w:numPr>
        <w:rPr>
          <w:rFonts w:ascii="Arial" w:cs="Arial" w:eastAsia="Arial" w:hAnsi="Arial"/>
          <w:sz w:val="15"/>
          <w:szCs w:val="15"/>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133350</wp:posOffset>
            </wp:positionH>
            <wp:positionV relativeFrom="page">
              <wp:posOffset>88900</wp:posOffset>
            </wp:positionV>
            <wp:extent cx="7308850" cy="34290"/>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90">
                      <a:extLst>
                        <a:ext uri="{28A0092B-C50C-407E-A947-70E740481C1C}"/>
                      </a:extLst>
                    </a:blip>
                    <a:srcRect/>
                    <a:stretch>
                      <a:fillRect/>
                    </a:stretch>
                  </pic:blipFill>
                  <pic:spPr bwMode="auto">
                    <a:xfrm>
                      <a:off x="0" y="0"/>
                      <a:ext cx="7308850" cy="34290"/>
                    </a:xfrm>
                    <a:prstGeom prst="rect">
                      <a:avLst/>
                    </a:prstGeom>
                    <a:noFill/>
                  </pic:spPr>
                </pic:pic>
              </a:graphicData>
            </a:graphic>
          </wp:anchor>
        </w:drawing>
        <w:t>“</w:t>
      </w:r>
      <w:r>
        <w:rPr>
          <w:rFonts w:ascii="Arial" w:cs="Arial" w:eastAsia="Arial" w:hAnsi="Arial"/>
          <w:sz w:val="15"/>
          <w:szCs w:val="15"/>
          <w:u w:val="single" w:color="auto"/>
          <w:color w:val="auto"/>
        </w:rPr>
        <w:t>Code</w:t>
      </w:r>
      <w:r>
        <w:rPr>
          <w:rFonts w:ascii="Arial" w:cs="Arial" w:eastAsia="Arial" w:hAnsi="Arial"/>
          <w:sz w:val="15"/>
          <w:szCs w:val="15"/>
          <w:color w:val="auto"/>
        </w:rPr>
        <w:t>” means the U.S. Internal Revenue Code of 1986, as amended. Reference to a specific section of the Code will include such section, any valid regulation or other official applicable guidance promulgated under such section, and any comparable provision of any future legislation or regulation amending, supplementing or superseding such section or regulation.</w:t>
      </w:r>
    </w:p>
    <w:p>
      <w:pPr>
        <w:spacing w:after="0" w:line="154" w:lineRule="exact"/>
        <w:rPr>
          <w:rFonts w:ascii="Arial" w:cs="Arial" w:eastAsia="Arial" w:hAnsi="Arial"/>
          <w:sz w:val="15"/>
          <w:szCs w:val="15"/>
          <w:color w:val="auto"/>
        </w:rPr>
      </w:pPr>
    </w:p>
    <w:p>
      <w:pPr>
        <w:ind w:left="334" w:hanging="334"/>
        <w:spacing w:after="0"/>
        <w:tabs>
          <w:tab w:leader="none" w:pos="334" w:val="left"/>
        </w:tabs>
        <w:numPr>
          <w:ilvl w:val="0"/>
          <w:numId w:val="231"/>
        </w:numPr>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Committee</w:t>
      </w:r>
      <w:r>
        <w:rPr>
          <w:rFonts w:ascii="Arial" w:cs="Arial" w:eastAsia="Arial" w:hAnsi="Arial"/>
          <w:sz w:val="15"/>
          <w:szCs w:val="15"/>
          <w:color w:val="auto"/>
        </w:rPr>
        <w:t>” means a committee of the Board appointed in accordance with Section 14 hereof.</w:t>
      </w:r>
    </w:p>
    <w:p>
      <w:pPr>
        <w:spacing w:after="0" w:line="188" w:lineRule="exact"/>
        <w:rPr>
          <w:rFonts w:ascii="Arial" w:cs="Arial" w:eastAsia="Arial" w:hAnsi="Arial"/>
          <w:sz w:val="15"/>
          <w:szCs w:val="15"/>
          <w:color w:val="auto"/>
        </w:rPr>
      </w:pPr>
    </w:p>
    <w:p>
      <w:pPr>
        <w:ind w:left="334" w:hanging="334"/>
        <w:spacing w:after="0"/>
        <w:tabs>
          <w:tab w:leader="none" w:pos="334" w:val="left"/>
        </w:tabs>
        <w:numPr>
          <w:ilvl w:val="0"/>
          <w:numId w:val="231"/>
        </w:numPr>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Common Stock</w:t>
      </w:r>
      <w:r>
        <w:rPr>
          <w:rFonts w:ascii="Arial" w:cs="Arial" w:eastAsia="Arial" w:hAnsi="Arial"/>
          <w:sz w:val="15"/>
          <w:szCs w:val="15"/>
          <w:color w:val="auto"/>
        </w:rPr>
        <w:t>” means the Class A common stock of the Company.</w:t>
      </w:r>
    </w:p>
    <w:p>
      <w:pPr>
        <w:spacing w:after="0" w:line="188" w:lineRule="exact"/>
        <w:rPr>
          <w:rFonts w:ascii="Arial" w:cs="Arial" w:eastAsia="Arial" w:hAnsi="Arial"/>
          <w:sz w:val="15"/>
          <w:szCs w:val="15"/>
          <w:color w:val="auto"/>
        </w:rPr>
      </w:pPr>
    </w:p>
    <w:p>
      <w:pPr>
        <w:ind w:left="294" w:hanging="294"/>
        <w:spacing w:after="0"/>
        <w:tabs>
          <w:tab w:leader="none" w:pos="294" w:val="left"/>
        </w:tabs>
        <w:numPr>
          <w:ilvl w:val="0"/>
          <w:numId w:val="231"/>
        </w:numPr>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Company</w:t>
      </w:r>
      <w:r>
        <w:rPr>
          <w:rFonts w:ascii="Arial" w:cs="Arial" w:eastAsia="Arial" w:hAnsi="Arial"/>
          <w:sz w:val="15"/>
          <w:szCs w:val="15"/>
          <w:color w:val="auto"/>
        </w:rPr>
        <w:t>” means Dropbox, Inc., a Delaware corporation, or any successor thereto.</w:t>
      </w:r>
    </w:p>
    <w:p>
      <w:pPr>
        <w:spacing w:after="0" w:line="188" w:lineRule="exact"/>
        <w:rPr>
          <w:rFonts w:ascii="Arial" w:cs="Arial" w:eastAsia="Arial" w:hAnsi="Arial"/>
          <w:sz w:val="15"/>
          <w:szCs w:val="15"/>
          <w:color w:val="auto"/>
        </w:rPr>
      </w:pPr>
    </w:p>
    <w:p>
      <w:pPr>
        <w:ind w:left="-906" w:right="160" w:firstLine="906"/>
        <w:spacing w:after="0" w:line="263" w:lineRule="auto"/>
        <w:tabs>
          <w:tab w:leader="none" w:pos="302" w:val="left"/>
        </w:tabs>
        <w:numPr>
          <w:ilvl w:val="0"/>
          <w:numId w:val="231"/>
        </w:numPr>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Compensation</w:t>
      </w:r>
      <w:r>
        <w:rPr>
          <w:rFonts w:ascii="Arial" w:cs="Arial" w:eastAsia="Arial" w:hAnsi="Arial"/>
          <w:sz w:val="15"/>
          <w:szCs w:val="15"/>
          <w:color w:val="auto"/>
        </w:rPr>
        <w:t>” includes an Eligible Employee’s base straight time gross earnings but excludes payments for incentive compensation, bonuses, payments for overtime and shift premium, equity compensation income and other similar compensation. The Administrator, in its discretion, may, on a uniform and nondiscriminatory basis, establish a different definition of Compensation for a subsequent Offering Period.</w:t>
      </w:r>
    </w:p>
    <w:p>
      <w:pPr>
        <w:spacing w:after="0" w:line="154" w:lineRule="exact"/>
        <w:rPr>
          <w:rFonts w:ascii="Arial" w:cs="Arial" w:eastAsia="Arial" w:hAnsi="Arial"/>
          <w:sz w:val="15"/>
          <w:szCs w:val="15"/>
          <w:color w:val="auto"/>
        </w:rPr>
      </w:pPr>
    </w:p>
    <w:p>
      <w:pPr>
        <w:ind w:left="-906" w:right="200" w:firstLine="906"/>
        <w:spacing w:after="0" w:line="275" w:lineRule="auto"/>
        <w:tabs>
          <w:tab w:leader="none" w:pos="335" w:val="left"/>
        </w:tabs>
        <w:numPr>
          <w:ilvl w:val="0"/>
          <w:numId w:val="231"/>
        </w:numPr>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Contributions</w:t>
      </w:r>
      <w:r>
        <w:rPr>
          <w:rFonts w:ascii="Arial" w:cs="Arial" w:eastAsia="Arial" w:hAnsi="Arial"/>
          <w:sz w:val="15"/>
          <w:szCs w:val="15"/>
          <w:color w:val="auto"/>
        </w:rPr>
        <w:t>” means the payroll deductions and other additional payments that the Company may permit to be made by a Participant to fund the exercise of options granted pursuant to the Plan.</w:t>
      </w:r>
    </w:p>
    <w:p>
      <w:pPr>
        <w:spacing w:after="0" w:line="146" w:lineRule="exact"/>
        <w:rPr>
          <w:rFonts w:ascii="Arial" w:cs="Arial" w:eastAsia="Arial" w:hAnsi="Arial"/>
          <w:sz w:val="15"/>
          <w:szCs w:val="15"/>
          <w:color w:val="auto"/>
        </w:rPr>
      </w:pPr>
    </w:p>
    <w:p>
      <w:pPr>
        <w:ind w:left="-906" w:right="240" w:firstLine="906"/>
        <w:spacing w:after="0" w:line="290" w:lineRule="auto"/>
        <w:tabs>
          <w:tab w:leader="none" w:pos="302" w:val="left"/>
        </w:tabs>
        <w:numPr>
          <w:ilvl w:val="0"/>
          <w:numId w:val="231"/>
        </w:numPr>
        <w:rPr>
          <w:rFonts w:ascii="Arial" w:cs="Arial" w:eastAsia="Arial" w:hAnsi="Arial"/>
          <w:sz w:val="14"/>
          <w:szCs w:val="14"/>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Designated Company</w:t>
      </w:r>
      <w:r>
        <w:rPr>
          <w:rFonts w:ascii="Arial" w:cs="Arial" w:eastAsia="Arial" w:hAnsi="Arial"/>
          <w:sz w:val="14"/>
          <w:szCs w:val="14"/>
          <w:color w:val="auto"/>
        </w:rPr>
        <w:t>” means any Subsidiary or Affiliate of the Company that has been designated by the Administrator from time to time in its sole discretion as eligible to participate in the Plan. For purposes of the 423 Component, only the Company and its Subsidiaries may be Designated Companies, provided, however that at any given time, a Subsidiary that is a Designated Company under the 423 Component will not be a Designated Company under the Non-423 Component.</w:t>
      </w:r>
    </w:p>
    <w:p>
      <w:pPr>
        <w:spacing w:after="0" w:line="138" w:lineRule="exact"/>
        <w:rPr>
          <w:rFonts w:ascii="Arial" w:cs="Arial" w:eastAsia="Arial" w:hAnsi="Arial"/>
          <w:sz w:val="14"/>
          <w:szCs w:val="14"/>
          <w:color w:val="auto"/>
        </w:rPr>
      </w:pPr>
    </w:p>
    <w:p>
      <w:pPr>
        <w:ind w:left="374" w:hanging="374"/>
        <w:spacing w:after="0"/>
        <w:tabs>
          <w:tab w:leader="none" w:pos="374" w:val="left"/>
        </w:tabs>
        <w:numPr>
          <w:ilvl w:val="0"/>
          <w:numId w:val="231"/>
        </w:numPr>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Director</w:t>
      </w:r>
      <w:r>
        <w:rPr>
          <w:rFonts w:ascii="Arial" w:cs="Arial" w:eastAsia="Arial" w:hAnsi="Arial"/>
          <w:sz w:val="15"/>
          <w:szCs w:val="15"/>
          <w:color w:val="auto"/>
        </w:rPr>
        <w:t>” means a member of the Board.</w:t>
      </w:r>
    </w:p>
    <w:p>
      <w:pPr>
        <w:spacing w:after="0" w:line="188" w:lineRule="exact"/>
        <w:rPr>
          <w:rFonts w:ascii="Arial" w:cs="Arial" w:eastAsia="Arial" w:hAnsi="Arial"/>
          <w:sz w:val="15"/>
          <w:szCs w:val="15"/>
          <w:color w:val="auto"/>
        </w:rPr>
      </w:pPr>
    </w:p>
    <w:p>
      <w:pPr>
        <w:ind w:left="-906" w:firstLine="906"/>
        <w:spacing w:after="0" w:line="274" w:lineRule="auto"/>
        <w:tabs>
          <w:tab w:leader="none" w:pos="335" w:val="left"/>
        </w:tabs>
        <w:numPr>
          <w:ilvl w:val="0"/>
          <w:numId w:val="231"/>
        </w:numPr>
        <w:rPr>
          <w:rFonts w:ascii="Arial" w:cs="Arial" w:eastAsia="Arial" w:hAnsi="Arial"/>
          <w:sz w:val="14"/>
          <w:szCs w:val="14"/>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Eligible Employee</w:t>
      </w:r>
      <w:r>
        <w:rPr>
          <w:rFonts w:ascii="Arial" w:cs="Arial" w:eastAsia="Arial" w:hAnsi="Arial"/>
          <w:sz w:val="14"/>
          <w:szCs w:val="14"/>
          <w:color w:val="auto"/>
        </w:rPr>
        <w:t>” means any individual who is a common law employee providing services to the Company or a Designated Company and is customarily employed for at least twenty (20) hours per week and more than five (5) months in any calendar year by the Employer, or any lesser number of hours per week and/or number of months in any calendar year established by the Administrator (if required under applicable local law) for purposes of any separate Offering or the Non-423 Component. For purposes of the Plan, the employment relationship will be treated as continuing intact while the individual is on sick leave or other leave of absence that the Employer approves or is legally protected under Applicable Laws. Where the period of leave exceeds three (3) months and the individual’s right to reemployment is not guaranteed either by statute or by contract, the employment relationship will be deemed to have terminated three (3) months and one (1) day following the commencement of such leave. The Administrator, in its discretion, from time to time may, prior to an Enrollment Date for all options to be granted on such Enrollment Date in an Offering, determine (on a uniform and nondiscriminatory basis or as otherwise permitted by Treasury Regulation Section 1.423-2) that the definition of Eligible Employee will or will not include an individual if he or she: (i) has not completed at least two (2) years of service since his or her last hire date (or such lesser period of time as may be determined by</w:t>
      </w:r>
    </w:p>
    <w:p>
      <w:pPr>
        <w:spacing w:after="0" w:line="93" w:lineRule="exact"/>
        <w:rPr>
          <w:rFonts w:ascii="Arial" w:cs="Arial" w:eastAsia="Arial" w:hAnsi="Arial"/>
          <w:sz w:val="14"/>
          <w:szCs w:val="14"/>
          <w:color w:val="auto"/>
        </w:rPr>
      </w:pPr>
    </w:p>
    <w:p>
      <w:pPr>
        <w:ind w:left="4774" w:hanging="91"/>
        <w:spacing w:after="0"/>
        <w:tabs>
          <w:tab w:leader="none" w:pos="4774" w:val="left"/>
        </w:tabs>
        <w:numPr>
          <w:ilvl w:val="1"/>
          <w:numId w:val="231"/>
        </w:numPr>
        <w:rPr>
          <w:rFonts w:ascii="Arial" w:cs="Arial" w:eastAsia="Arial" w:hAnsi="Arial"/>
          <w:sz w:val="15"/>
          <w:szCs w:val="15"/>
          <w:color w:val="auto"/>
        </w:rPr>
      </w:pPr>
      <w:r>
        <w:rPr>
          <w:rFonts w:ascii="Arial" w:cs="Arial" w:eastAsia="Arial" w:hAnsi="Arial"/>
          <w:sz w:val="15"/>
          <w:szCs w:val="15"/>
          <w:color w:val="auto"/>
        </w:rPr>
        <w:t>3 -</w:t>
      </w:r>
    </w:p>
    <w:p>
      <w:pPr>
        <w:sectPr>
          <w:pgSz w:w="11900" w:h="16838" w:orient="portrait"/>
          <w:cols w:equalWidth="0" w:num="1">
            <w:col w:w="10514"/>
          </w:cols>
          <w:pgMar w:left="1146" w:top="253" w:right="239" w:bottom="1440" w:gutter="0" w:footer="0" w:header="0"/>
        </w:sectPr>
      </w:pPr>
    </w:p>
    <w:bookmarkStart w:id="327" w:name="page328"/>
    <w:bookmarkEnd w:id="327"/>
    <w:p>
      <w:pPr>
        <w:ind w:right="20"/>
        <w:spacing w:after="0" w:line="255"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133350</wp:posOffset>
            </wp:positionH>
            <wp:positionV relativeFrom="page">
              <wp:posOffset>88900</wp:posOffset>
            </wp:positionV>
            <wp:extent cx="7308850" cy="34290"/>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91">
                      <a:extLst>
                        <a:ext uri="{28A0092B-C50C-407E-A947-70E740481C1C}"/>
                      </a:extLst>
                    </a:blip>
                    <a:srcRect/>
                    <a:stretch>
                      <a:fillRect/>
                    </a:stretch>
                  </pic:blipFill>
                  <pic:spPr bwMode="auto">
                    <a:xfrm>
                      <a:off x="0" y="0"/>
                      <a:ext cx="7308850" cy="34290"/>
                    </a:xfrm>
                    <a:prstGeom prst="rect">
                      <a:avLst/>
                    </a:prstGeom>
                    <a:noFill/>
                  </pic:spPr>
                </pic:pic>
              </a:graphicData>
            </a:graphic>
          </wp:anchor>
        </w:drawing>
        <w:t>the Administrator in its discretion), (ii) customarily works not more than twenty (20) hours per week (or such lesser period of time as may be determined by the Administrator in its discretion), (iii) customarily works not more than five (5) months per calendar year (or such lesser period of time as may be determined by the Administrator in its discretion), (iv) is a highly compensated employee within the meaning of Section 414(q) of the Code, or (v) is a highly compensated employee within the meaning of Section 414(q) of the Code with compensation above a certain level or is an officer or subject to the disclosure requirements of Section 16(a) of the Exchange Act, provided the exclusion is applied with respect to each Offering in an identical manner to all highly compensated individuals of the Employer whose Eligible Employees are participating in that Offering. Each exclusion will be applied with respect to an Offering in a manner complying with U.S. Treasury Regulation Section 1.423-2(e)(2)(ii).</w:t>
      </w:r>
    </w:p>
    <w:p>
      <w:pPr>
        <w:spacing w:after="0" w:line="164" w:lineRule="exact"/>
        <w:rPr>
          <w:sz w:val="20"/>
          <w:szCs w:val="20"/>
          <w:color w:val="auto"/>
        </w:rPr>
      </w:pPr>
    </w:p>
    <w:p>
      <w:pPr>
        <w:ind w:left="1240" w:hanging="334"/>
        <w:spacing w:after="0"/>
        <w:tabs>
          <w:tab w:leader="none" w:pos="1240" w:val="left"/>
        </w:tabs>
        <w:numPr>
          <w:ilvl w:val="0"/>
          <w:numId w:val="232"/>
        </w:numPr>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Employer</w:t>
      </w:r>
      <w:r>
        <w:rPr>
          <w:rFonts w:ascii="Arial" w:cs="Arial" w:eastAsia="Arial" w:hAnsi="Arial"/>
          <w:sz w:val="15"/>
          <w:szCs w:val="15"/>
          <w:color w:val="auto"/>
        </w:rPr>
        <w:t>” means the employer of the applicable Eligible Employee(s).</w:t>
      </w:r>
    </w:p>
    <w:p>
      <w:pPr>
        <w:spacing w:after="0" w:line="188" w:lineRule="exact"/>
        <w:rPr>
          <w:rFonts w:ascii="Arial" w:cs="Arial" w:eastAsia="Arial" w:hAnsi="Arial"/>
          <w:sz w:val="15"/>
          <w:szCs w:val="15"/>
          <w:color w:val="auto"/>
        </w:rPr>
      </w:pPr>
    </w:p>
    <w:p>
      <w:pPr>
        <w:ind w:left="1240" w:hanging="334"/>
        <w:spacing w:after="0"/>
        <w:tabs>
          <w:tab w:leader="none" w:pos="1240" w:val="left"/>
        </w:tabs>
        <w:numPr>
          <w:ilvl w:val="0"/>
          <w:numId w:val="232"/>
        </w:numPr>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Enrollment Date</w:t>
      </w:r>
      <w:r>
        <w:rPr>
          <w:rFonts w:ascii="Arial" w:cs="Arial" w:eastAsia="Arial" w:hAnsi="Arial"/>
          <w:sz w:val="15"/>
          <w:szCs w:val="15"/>
          <w:color w:val="auto"/>
        </w:rPr>
        <w:t>” means the first Trading Day of an Offering Period.</w:t>
      </w:r>
    </w:p>
    <w:p>
      <w:pPr>
        <w:spacing w:after="0" w:line="188" w:lineRule="exact"/>
        <w:rPr>
          <w:rFonts w:ascii="Arial" w:cs="Arial" w:eastAsia="Arial" w:hAnsi="Arial"/>
          <w:sz w:val="15"/>
          <w:szCs w:val="15"/>
          <w:color w:val="auto"/>
        </w:rPr>
      </w:pPr>
    </w:p>
    <w:p>
      <w:pPr>
        <w:ind w:left="1240" w:hanging="334"/>
        <w:spacing w:after="0"/>
        <w:tabs>
          <w:tab w:leader="none" w:pos="1240" w:val="left"/>
        </w:tabs>
        <w:numPr>
          <w:ilvl w:val="0"/>
          <w:numId w:val="232"/>
        </w:numPr>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Exchange Act</w:t>
      </w:r>
      <w:r>
        <w:rPr>
          <w:rFonts w:ascii="Arial" w:cs="Arial" w:eastAsia="Arial" w:hAnsi="Arial"/>
          <w:sz w:val="15"/>
          <w:szCs w:val="15"/>
          <w:color w:val="auto"/>
        </w:rPr>
        <w:t>” means the U.S. Securities Exchange Act of 1934, as amended, including the rules and regulations promulgated thereunder.</w:t>
      </w:r>
    </w:p>
    <w:p>
      <w:pPr>
        <w:spacing w:after="0" w:line="188" w:lineRule="exact"/>
        <w:rPr>
          <w:rFonts w:ascii="Arial" w:cs="Arial" w:eastAsia="Arial" w:hAnsi="Arial"/>
          <w:sz w:val="15"/>
          <w:szCs w:val="15"/>
          <w:color w:val="auto"/>
        </w:rPr>
      </w:pPr>
    </w:p>
    <w:p>
      <w:pPr>
        <w:jc w:val="both"/>
        <w:ind w:right="60" w:firstLine="906"/>
        <w:spacing w:after="0" w:line="263" w:lineRule="auto"/>
        <w:tabs>
          <w:tab w:leader="none" w:pos="1216" w:val="left"/>
        </w:tabs>
        <w:numPr>
          <w:ilvl w:val="0"/>
          <w:numId w:val="232"/>
        </w:numPr>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Exercise Date</w:t>
      </w:r>
      <w:r>
        <w:rPr>
          <w:rFonts w:ascii="Arial" w:cs="Arial" w:eastAsia="Arial" w:hAnsi="Arial"/>
          <w:sz w:val="15"/>
          <w:szCs w:val="15"/>
          <w:color w:val="auto"/>
        </w:rPr>
        <w:t>” means a date on which each outstanding option granted under the Plan will be exercised (except if the Plan has been terminated), as may be determined by the Administrator, in its discretion and on a uniform and nondiscriminatory basis from time to time prior to an Enrollment Date for all options to be granted on such Enrollment Date. For purposes of clarification, there may be multiple Exercise Dates during an Offering Period.</w:t>
      </w:r>
    </w:p>
    <w:p>
      <w:pPr>
        <w:spacing w:after="0" w:line="154" w:lineRule="exact"/>
        <w:rPr>
          <w:rFonts w:ascii="Arial" w:cs="Arial" w:eastAsia="Arial" w:hAnsi="Arial"/>
          <w:sz w:val="15"/>
          <w:szCs w:val="15"/>
          <w:color w:val="auto"/>
        </w:rPr>
      </w:pPr>
    </w:p>
    <w:p>
      <w:pPr>
        <w:ind w:left="1220" w:hanging="314"/>
        <w:spacing w:after="0"/>
        <w:tabs>
          <w:tab w:leader="none" w:pos="1220" w:val="left"/>
        </w:tabs>
        <w:numPr>
          <w:ilvl w:val="0"/>
          <w:numId w:val="232"/>
        </w:numPr>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Fair Market Value</w:t>
      </w:r>
      <w:r>
        <w:rPr>
          <w:rFonts w:ascii="Arial" w:cs="Arial" w:eastAsia="Arial" w:hAnsi="Arial"/>
          <w:sz w:val="15"/>
          <w:szCs w:val="15"/>
          <w:color w:val="auto"/>
        </w:rPr>
        <w:t>” means, as of any date, the value of a share of Common Stock determined as follows:</w:t>
      </w:r>
    </w:p>
    <w:p>
      <w:pPr>
        <w:spacing w:after="0" w:line="188" w:lineRule="exact"/>
        <w:rPr>
          <w:rFonts w:ascii="Arial" w:cs="Arial" w:eastAsia="Arial" w:hAnsi="Arial"/>
          <w:sz w:val="15"/>
          <w:szCs w:val="15"/>
          <w:color w:val="auto"/>
        </w:rPr>
      </w:pPr>
    </w:p>
    <w:p>
      <w:pPr>
        <w:ind w:firstLine="1478"/>
        <w:spacing w:after="0" w:line="255" w:lineRule="auto"/>
        <w:tabs>
          <w:tab w:leader="none" w:pos="1780" w:val="left"/>
        </w:tabs>
        <w:numPr>
          <w:ilvl w:val="1"/>
          <w:numId w:val="232"/>
        </w:numPr>
        <w:rPr>
          <w:rFonts w:ascii="Arial" w:cs="Arial" w:eastAsia="Arial" w:hAnsi="Arial"/>
          <w:sz w:val="15"/>
          <w:szCs w:val="15"/>
          <w:color w:val="auto"/>
        </w:rPr>
      </w:pPr>
      <w:r>
        <w:rPr>
          <w:rFonts w:ascii="Arial" w:cs="Arial" w:eastAsia="Arial" w:hAnsi="Arial"/>
          <w:sz w:val="15"/>
          <w:szCs w:val="15"/>
          <w:color w:val="auto"/>
        </w:rPr>
        <w:t xml:space="preserve">the Fair Market Value will be the closing sales price for Common Stock as quoted on any established stock exchange or national market system (including without limitation the New York Stock Exchange, NASDAQ Global Select Market, the NASDAQ Global Market or the NASDAQ Capital Market of The NASDAQ Stock Market) on which the Common Stock is listed on the date of determination (or the closing bid, if no sales were reported), as reported in </w:t>
      </w:r>
      <w:r>
        <w:rPr>
          <w:rFonts w:ascii="Arial" w:cs="Arial" w:eastAsia="Arial" w:hAnsi="Arial"/>
          <w:sz w:val="15"/>
          <w:szCs w:val="15"/>
          <w:i w:val="1"/>
          <w:iCs w:val="1"/>
          <w:color w:val="auto"/>
        </w:rPr>
        <w:t>The Wall Street Journal</w:t>
      </w:r>
      <w:r>
        <w:rPr>
          <w:rFonts w:ascii="Arial" w:cs="Arial" w:eastAsia="Arial" w:hAnsi="Arial"/>
          <w:sz w:val="15"/>
          <w:szCs w:val="15"/>
          <w:color w:val="auto"/>
        </w:rPr>
        <w:t xml:space="preserve"> or such other source as the Administrator deems reliable. If the determination date for the Fair Market Value occurs on a non-trading day (i.e., a weekend or holiday), the Fair Market Value will be such price on the immediately preceding trading day, unless otherwise determined by the Administrator. In the absence of an established market for the Common Stock, the Fair Market Value thereof will be determined in good faith by the Administrator.</w:t>
      </w:r>
    </w:p>
    <w:p>
      <w:pPr>
        <w:spacing w:after="0" w:line="164" w:lineRule="exact"/>
        <w:rPr>
          <w:sz w:val="20"/>
          <w:szCs w:val="20"/>
          <w:color w:val="auto"/>
        </w:rPr>
      </w:pPr>
    </w:p>
    <w:p>
      <w:pPr>
        <w:ind w:right="60" w:firstLine="458"/>
        <w:spacing w:after="0" w:line="275" w:lineRule="auto"/>
        <w:rPr>
          <w:sz w:val="20"/>
          <w:szCs w:val="20"/>
          <w:color w:val="auto"/>
        </w:rPr>
      </w:pPr>
      <w:r>
        <w:rPr>
          <w:rFonts w:ascii="Arial" w:cs="Arial" w:eastAsia="Arial" w:hAnsi="Arial"/>
          <w:sz w:val="15"/>
          <w:szCs w:val="15"/>
          <w:color w:val="auto"/>
        </w:rPr>
        <w:t>The determination of fair market value for purposes of tax withholding may be made in the Administrator’s discretion subject to Applicable Laws and is not required to be consistent with the determination of Fair Market Value for other purposes.</w:t>
      </w:r>
    </w:p>
    <w:p>
      <w:pPr>
        <w:spacing w:after="0" w:line="146" w:lineRule="exact"/>
        <w:rPr>
          <w:sz w:val="20"/>
          <w:szCs w:val="20"/>
          <w:color w:val="auto"/>
        </w:rPr>
      </w:pPr>
    </w:p>
    <w:p>
      <w:pPr>
        <w:ind w:left="1820" w:hanging="342"/>
        <w:spacing w:after="0"/>
        <w:tabs>
          <w:tab w:leader="none" w:pos="1820" w:val="left"/>
        </w:tabs>
        <w:numPr>
          <w:ilvl w:val="1"/>
          <w:numId w:val="233"/>
        </w:numPr>
        <w:rPr>
          <w:rFonts w:ascii="Arial" w:cs="Arial" w:eastAsia="Arial" w:hAnsi="Arial"/>
          <w:sz w:val="14"/>
          <w:szCs w:val="14"/>
          <w:color w:val="auto"/>
        </w:rPr>
      </w:pPr>
      <w:r>
        <w:rPr>
          <w:rFonts w:ascii="Arial" w:cs="Arial" w:eastAsia="Arial" w:hAnsi="Arial"/>
          <w:sz w:val="14"/>
          <w:szCs w:val="14"/>
          <w:color w:val="auto"/>
        </w:rPr>
        <w:t>In the absence of an established market for the Common Stock, the Fair Market Value thereof will be determined in good faith by the Administrator.</w:t>
      </w:r>
    </w:p>
    <w:p>
      <w:pPr>
        <w:spacing w:after="0" w:line="199" w:lineRule="exact"/>
        <w:rPr>
          <w:rFonts w:ascii="Arial" w:cs="Arial" w:eastAsia="Arial" w:hAnsi="Arial"/>
          <w:sz w:val="14"/>
          <w:szCs w:val="14"/>
          <w:color w:val="auto"/>
        </w:rPr>
      </w:pPr>
    </w:p>
    <w:p>
      <w:pPr>
        <w:ind w:left="1200" w:hanging="294"/>
        <w:spacing w:after="0"/>
        <w:tabs>
          <w:tab w:leader="none" w:pos="1200" w:val="left"/>
        </w:tabs>
        <w:numPr>
          <w:ilvl w:val="0"/>
          <w:numId w:val="234"/>
        </w:numPr>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Fiscal Year</w:t>
      </w:r>
      <w:r>
        <w:rPr>
          <w:rFonts w:ascii="Arial" w:cs="Arial" w:eastAsia="Arial" w:hAnsi="Arial"/>
          <w:sz w:val="15"/>
          <w:szCs w:val="15"/>
          <w:color w:val="auto"/>
        </w:rPr>
        <w:t>” means a fiscal year of the Company.</w:t>
      </w:r>
    </w:p>
    <w:p>
      <w:pPr>
        <w:spacing w:after="0" w:line="132" w:lineRule="exact"/>
        <w:rPr>
          <w:rFonts w:ascii="Arial" w:cs="Arial" w:eastAsia="Arial" w:hAnsi="Arial"/>
          <w:sz w:val="15"/>
          <w:szCs w:val="15"/>
          <w:color w:val="auto"/>
        </w:rPr>
      </w:pPr>
    </w:p>
    <w:p>
      <w:pPr>
        <w:ind w:left="5680" w:hanging="91"/>
        <w:spacing w:after="0"/>
        <w:tabs>
          <w:tab w:leader="none" w:pos="5680" w:val="left"/>
        </w:tabs>
        <w:numPr>
          <w:ilvl w:val="2"/>
          <w:numId w:val="234"/>
        </w:numPr>
        <w:rPr>
          <w:rFonts w:ascii="Arial" w:cs="Arial" w:eastAsia="Arial" w:hAnsi="Arial"/>
          <w:sz w:val="15"/>
          <w:szCs w:val="15"/>
          <w:color w:val="auto"/>
        </w:rPr>
      </w:pPr>
      <w:r>
        <w:rPr>
          <w:rFonts w:ascii="Arial" w:cs="Arial" w:eastAsia="Arial" w:hAnsi="Arial"/>
          <w:sz w:val="15"/>
          <w:szCs w:val="15"/>
          <w:color w:val="auto"/>
        </w:rPr>
        <w:t>4 -</w:t>
      </w:r>
    </w:p>
    <w:p>
      <w:pPr>
        <w:sectPr>
          <w:pgSz w:w="11900" w:h="16838" w:orient="portrait"/>
          <w:cols w:equalWidth="0" w:num="1">
            <w:col w:w="11420"/>
          </w:cols>
          <w:pgMar w:left="240" w:top="253" w:right="239" w:bottom="1440" w:gutter="0" w:footer="0" w:header="0"/>
        </w:sectPr>
      </w:pPr>
    </w:p>
    <w:bookmarkStart w:id="328" w:name="page329"/>
    <w:bookmarkEnd w:id="328"/>
    <w:p>
      <w:pPr>
        <w:ind w:left="1240" w:hanging="334"/>
        <w:spacing w:after="0"/>
        <w:tabs>
          <w:tab w:leader="none" w:pos="1240" w:val="left"/>
        </w:tabs>
        <w:numPr>
          <w:ilvl w:val="0"/>
          <w:numId w:val="235"/>
        </w:numPr>
        <w:rPr>
          <w:rFonts w:ascii="Arial" w:cs="Arial" w:eastAsia="Arial" w:hAnsi="Arial"/>
          <w:sz w:val="15"/>
          <w:szCs w:val="15"/>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133350</wp:posOffset>
            </wp:positionH>
            <wp:positionV relativeFrom="page">
              <wp:posOffset>88900</wp:posOffset>
            </wp:positionV>
            <wp:extent cx="7308850" cy="33655"/>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92">
                      <a:extLst>
                        <a:ext uri="{28A0092B-C50C-407E-A947-70E740481C1C}"/>
                      </a:extLst>
                    </a:blip>
                    <a:srcRect/>
                    <a:stretch>
                      <a:fillRect/>
                    </a:stretch>
                  </pic:blipFill>
                  <pic:spPr bwMode="auto">
                    <a:xfrm>
                      <a:off x="0" y="0"/>
                      <a:ext cx="7308850" cy="33655"/>
                    </a:xfrm>
                    <a:prstGeom prst="rect">
                      <a:avLst/>
                    </a:prstGeom>
                    <a:noFill/>
                  </pic:spPr>
                </pic:pic>
              </a:graphicData>
            </a:graphic>
          </wp:anchor>
        </w:drawing>
        <w:t>“</w:t>
      </w:r>
      <w:r>
        <w:rPr>
          <w:rFonts w:ascii="Arial" w:cs="Arial" w:eastAsia="Arial" w:hAnsi="Arial"/>
          <w:sz w:val="15"/>
          <w:szCs w:val="15"/>
          <w:u w:val="single" w:color="auto"/>
          <w:color w:val="auto"/>
        </w:rPr>
        <w:t>New Exercise Date</w:t>
      </w:r>
      <w:r>
        <w:rPr>
          <w:rFonts w:ascii="Arial" w:cs="Arial" w:eastAsia="Arial" w:hAnsi="Arial"/>
          <w:sz w:val="15"/>
          <w:szCs w:val="15"/>
          <w:color w:val="auto"/>
        </w:rPr>
        <w:t>” means a new Exercise Date if the Administrator shortens any Offering Period then in progress.</w:t>
      </w:r>
    </w:p>
    <w:p>
      <w:pPr>
        <w:spacing w:after="0" w:line="188" w:lineRule="exact"/>
        <w:rPr>
          <w:rFonts w:ascii="Arial" w:cs="Arial" w:eastAsia="Arial" w:hAnsi="Arial"/>
          <w:sz w:val="15"/>
          <w:szCs w:val="15"/>
          <w:color w:val="auto"/>
        </w:rPr>
      </w:pPr>
    </w:p>
    <w:p>
      <w:pPr>
        <w:ind w:right="60" w:firstLine="906"/>
        <w:spacing w:after="0" w:line="293" w:lineRule="auto"/>
        <w:tabs>
          <w:tab w:leader="none" w:pos="1241" w:val="left"/>
        </w:tabs>
        <w:numPr>
          <w:ilvl w:val="0"/>
          <w:numId w:val="235"/>
        </w:numPr>
        <w:rPr>
          <w:rFonts w:ascii="Arial" w:cs="Arial" w:eastAsia="Arial" w:hAnsi="Arial"/>
          <w:sz w:val="13"/>
          <w:szCs w:val="13"/>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Offering</w:t>
      </w:r>
      <w:r>
        <w:rPr>
          <w:rFonts w:ascii="Arial" w:cs="Arial" w:eastAsia="Arial" w:hAnsi="Arial"/>
          <w:sz w:val="13"/>
          <w:szCs w:val="13"/>
          <w:color w:val="auto"/>
        </w:rPr>
        <w:t>” means an offer under the Plan of an option that may be exercised during an Offering Period as further described in Section 4. For purposes of the Plan, the Administrator may designate separate Offerings under the Plan (the terms of which need not be identical) in which Eligible Employees of one or more Employers will participate, even if the dates of the applicable Offering Periods of each such Offering are identical and the provisions of the Plan will separately apply to each Offering. To the extent permitted by U.S. Treasury Regulation Section 1.423-2(a)(1), the terms of each Offering need not be identical provided that the terms of the Plan and an Offering together satisfy U.S. Treasury Regulation</w:t>
      </w:r>
    </w:p>
    <w:p>
      <w:pPr>
        <w:spacing w:after="0" w:line="1"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5"/>
          <w:szCs w:val="15"/>
          <w:color w:val="auto"/>
        </w:rPr>
        <w:t>Section 1.423-2(a)(2) and (a)(3).</w:t>
      </w:r>
    </w:p>
    <w:p>
      <w:pPr>
        <w:spacing w:after="0" w:line="178" w:lineRule="exact"/>
        <w:rPr>
          <w:rFonts w:ascii="Arial" w:cs="Arial" w:eastAsia="Arial" w:hAnsi="Arial"/>
          <w:sz w:val="13"/>
          <w:szCs w:val="13"/>
          <w:color w:val="auto"/>
        </w:rPr>
      </w:pPr>
    </w:p>
    <w:p>
      <w:pPr>
        <w:ind w:right="20" w:firstLine="906"/>
        <w:spacing w:after="0" w:line="263" w:lineRule="auto"/>
        <w:tabs>
          <w:tab w:leader="none" w:pos="1275" w:val="left"/>
        </w:tabs>
        <w:numPr>
          <w:ilvl w:val="0"/>
          <w:numId w:val="235"/>
        </w:numPr>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Offering Period</w:t>
      </w:r>
      <w:r>
        <w:rPr>
          <w:rFonts w:ascii="Arial" w:cs="Arial" w:eastAsia="Arial" w:hAnsi="Arial"/>
          <w:sz w:val="15"/>
          <w:szCs w:val="15"/>
          <w:color w:val="auto"/>
        </w:rPr>
        <w:t>” means a period beginning on such date as may be determined by the Administrator in its discretion and ending on such Exercise Date as may be determined by the Administrator in its discretion, in each case on a uniform and nondiscriminatory basis. The duration and timing of Offering Periods may be changed pursuant to Sections 4, 20, and 30.</w:t>
      </w:r>
    </w:p>
    <w:p>
      <w:pPr>
        <w:spacing w:after="0" w:line="154" w:lineRule="exact"/>
        <w:rPr>
          <w:rFonts w:ascii="Arial" w:cs="Arial" w:eastAsia="Arial" w:hAnsi="Arial"/>
          <w:sz w:val="15"/>
          <w:szCs w:val="15"/>
          <w:color w:val="auto"/>
        </w:rPr>
      </w:pPr>
    </w:p>
    <w:p>
      <w:pPr>
        <w:ind w:left="1240" w:hanging="334"/>
        <w:spacing w:after="0"/>
        <w:tabs>
          <w:tab w:leader="none" w:pos="1240" w:val="left"/>
        </w:tabs>
        <w:numPr>
          <w:ilvl w:val="0"/>
          <w:numId w:val="235"/>
        </w:numPr>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Parent</w:t>
      </w:r>
      <w:r>
        <w:rPr>
          <w:rFonts w:ascii="Arial" w:cs="Arial" w:eastAsia="Arial" w:hAnsi="Arial"/>
          <w:sz w:val="15"/>
          <w:szCs w:val="15"/>
          <w:color w:val="auto"/>
        </w:rPr>
        <w:t>” means a “parent corporation,” whether now or hereafter existing, as defined in Section 424(e) of the Code.</w:t>
      </w:r>
    </w:p>
    <w:p>
      <w:pPr>
        <w:spacing w:after="0" w:line="188" w:lineRule="exact"/>
        <w:rPr>
          <w:rFonts w:ascii="Arial" w:cs="Arial" w:eastAsia="Arial" w:hAnsi="Arial"/>
          <w:sz w:val="15"/>
          <w:szCs w:val="15"/>
          <w:color w:val="auto"/>
        </w:rPr>
      </w:pPr>
    </w:p>
    <w:p>
      <w:pPr>
        <w:ind w:left="1240" w:hanging="334"/>
        <w:spacing w:after="0"/>
        <w:tabs>
          <w:tab w:leader="none" w:pos="1240" w:val="left"/>
        </w:tabs>
        <w:numPr>
          <w:ilvl w:val="0"/>
          <w:numId w:val="235"/>
        </w:numPr>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Participant</w:t>
      </w:r>
      <w:r>
        <w:rPr>
          <w:rFonts w:ascii="Arial" w:cs="Arial" w:eastAsia="Arial" w:hAnsi="Arial"/>
          <w:sz w:val="15"/>
          <w:szCs w:val="15"/>
          <w:color w:val="auto"/>
        </w:rPr>
        <w:t>” means an Eligible Employee that participates in the Plan.</w:t>
      </w:r>
    </w:p>
    <w:p>
      <w:pPr>
        <w:spacing w:after="0" w:line="188" w:lineRule="exact"/>
        <w:rPr>
          <w:rFonts w:ascii="Arial" w:cs="Arial" w:eastAsia="Arial" w:hAnsi="Arial"/>
          <w:sz w:val="15"/>
          <w:szCs w:val="15"/>
          <w:color w:val="auto"/>
        </w:rPr>
      </w:pPr>
    </w:p>
    <w:p>
      <w:pPr>
        <w:ind w:left="1220" w:hanging="314"/>
        <w:spacing w:after="0"/>
        <w:tabs>
          <w:tab w:leader="none" w:pos="1220" w:val="left"/>
        </w:tabs>
        <w:numPr>
          <w:ilvl w:val="0"/>
          <w:numId w:val="235"/>
        </w:numPr>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Plan</w:t>
      </w:r>
      <w:r>
        <w:rPr>
          <w:rFonts w:ascii="Arial" w:cs="Arial" w:eastAsia="Arial" w:hAnsi="Arial"/>
          <w:sz w:val="15"/>
          <w:szCs w:val="15"/>
          <w:color w:val="auto"/>
        </w:rPr>
        <w:t>” means this Dropbox, Inc. 2018 Employee Stock Purchase Plan.</w:t>
      </w:r>
    </w:p>
    <w:p>
      <w:pPr>
        <w:spacing w:after="0" w:line="188" w:lineRule="exact"/>
        <w:rPr>
          <w:sz w:val="20"/>
          <w:szCs w:val="20"/>
          <w:color w:val="auto"/>
        </w:rPr>
      </w:pPr>
    </w:p>
    <w:p>
      <w:pPr>
        <w:ind w:firstLine="906"/>
        <w:spacing w:after="0" w:line="259" w:lineRule="auto"/>
        <w:tabs>
          <w:tab w:leader="none" w:pos="1300" w:val="left"/>
        </w:tabs>
        <w:numPr>
          <w:ilvl w:val="0"/>
          <w:numId w:val="236"/>
        </w:numPr>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Purchase Period</w:t>
      </w:r>
      <w:r>
        <w:rPr>
          <w:rFonts w:ascii="Arial" w:cs="Arial" w:eastAsia="Arial" w:hAnsi="Arial"/>
          <w:sz w:val="15"/>
          <w:szCs w:val="15"/>
          <w:color w:val="auto"/>
        </w:rPr>
        <w:t>” means the period, as determined by the Administrator in its discretion on a uniform and nondiscriminatory basis, during an Offering Period that commences on the Offering Period’s Enrollment Date and ends on the next Exercise Date, except that if the Administrator determines that more than one Purchase Period should occur within an Offering Period, subsequent Purchase Periods within such Offering Period commence after one Exercise Date and end with the next Exercise Date at such time or times as the Administrator determines prior to the commencement of the Offering Period.</w:t>
      </w:r>
    </w:p>
    <w:p>
      <w:pPr>
        <w:spacing w:after="0" w:line="157" w:lineRule="exact"/>
        <w:rPr>
          <w:rFonts w:ascii="Arial" w:cs="Arial" w:eastAsia="Arial" w:hAnsi="Arial"/>
          <w:sz w:val="15"/>
          <w:szCs w:val="15"/>
          <w:color w:val="auto"/>
        </w:rPr>
      </w:pPr>
    </w:p>
    <w:p>
      <w:pPr>
        <w:ind w:right="80" w:firstLine="906"/>
        <w:spacing w:after="0" w:line="283" w:lineRule="auto"/>
        <w:tabs>
          <w:tab w:leader="none" w:pos="1316" w:val="left"/>
        </w:tabs>
        <w:numPr>
          <w:ilvl w:val="0"/>
          <w:numId w:val="236"/>
        </w:numPr>
        <w:rPr>
          <w:rFonts w:ascii="Arial" w:cs="Arial" w:eastAsia="Arial" w:hAnsi="Arial"/>
          <w:sz w:val="14"/>
          <w:szCs w:val="14"/>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Purchase Price</w:t>
      </w:r>
      <w:r>
        <w:rPr>
          <w:rFonts w:ascii="Arial" w:cs="Arial" w:eastAsia="Arial" w:hAnsi="Arial"/>
          <w:sz w:val="14"/>
          <w:szCs w:val="14"/>
          <w:color w:val="auto"/>
        </w:rPr>
        <w:t>” means the price per Share of the Shares purchased under any option granted under the Plan as determined by the Administrator from time to time, in its discretion and on a uniform and nondiscriminatory basis for all options to be granted on an Enrollment Date. However, in no event will the Purchase Price be less than eighty-five percent (85%) of the lower of the Fair Market Value of a share of Common Stock on the Enrollment Date or the Fair Market Value of a share of Common Stock on the Exercise Date and at all times in compliance with Section 423 of the Code (or any successor rule or provision or any other Applicable Law, regulation or stock exchange rule).</w:t>
      </w:r>
    </w:p>
    <w:p>
      <w:pPr>
        <w:spacing w:after="0" w:line="142" w:lineRule="exact"/>
        <w:rPr>
          <w:rFonts w:ascii="Arial" w:cs="Arial" w:eastAsia="Arial" w:hAnsi="Arial"/>
          <w:sz w:val="14"/>
          <w:szCs w:val="14"/>
          <w:color w:val="auto"/>
        </w:rPr>
      </w:pPr>
    </w:p>
    <w:p>
      <w:pPr>
        <w:ind w:left="1280" w:hanging="374"/>
        <w:spacing w:after="0"/>
        <w:tabs>
          <w:tab w:leader="none" w:pos="1280" w:val="left"/>
        </w:tabs>
        <w:numPr>
          <w:ilvl w:val="0"/>
          <w:numId w:val="236"/>
        </w:numPr>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Subsidiary</w:t>
      </w:r>
      <w:r>
        <w:rPr>
          <w:rFonts w:ascii="Arial" w:cs="Arial" w:eastAsia="Arial" w:hAnsi="Arial"/>
          <w:sz w:val="15"/>
          <w:szCs w:val="15"/>
          <w:color w:val="auto"/>
        </w:rPr>
        <w:t>” means a “subsidiary corporation,” whether now or hereafter existing, as defined in Section 424(f) of the Code.</w:t>
      </w:r>
    </w:p>
    <w:p>
      <w:pPr>
        <w:spacing w:after="0" w:line="188" w:lineRule="exact"/>
        <w:rPr>
          <w:rFonts w:ascii="Arial" w:cs="Arial" w:eastAsia="Arial" w:hAnsi="Arial"/>
          <w:sz w:val="15"/>
          <w:szCs w:val="15"/>
          <w:color w:val="auto"/>
        </w:rPr>
      </w:pPr>
    </w:p>
    <w:p>
      <w:pPr>
        <w:ind w:left="1300" w:hanging="394"/>
        <w:spacing w:after="0"/>
        <w:tabs>
          <w:tab w:leader="none" w:pos="1300" w:val="left"/>
        </w:tabs>
        <w:numPr>
          <w:ilvl w:val="0"/>
          <w:numId w:val="236"/>
        </w:numPr>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Trading Day</w:t>
      </w:r>
      <w:r>
        <w:rPr>
          <w:rFonts w:ascii="Arial" w:cs="Arial" w:eastAsia="Arial" w:hAnsi="Arial"/>
          <w:sz w:val="15"/>
          <w:szCs w:val="15"/>
          <w:color w:val="auto"/>
        </w:rPr>
        <w:t>” means a day on which the national stock exchange upon which the Common Stock is listed is open for trading.</w:t>
      </w:r>
    </w:p>
    <w:p>
      <w:pPr>
        <w:spacing w:after="0" w:line="132" w:lineRule="exact"/>
        <w:rPr>
          <w:rFonts w:ascii="Arial" w:cs="Arial" w:eastAsia="Arial" w:hAnsi="Arial"/>
          <w:sz w:val="15"/>
          <w:szCs w:val="15"/>
          <w:color w:val="auto"/>
        </w:rPr>
      </w:pPr>
    </w:p>
    <w:p>
      <w:pPr>
        <w:ind w:left="5680" w:hanging="91"/>
        <w:spacing w:after="0"/>
        <w:tabs>
          <w:tab w:leader="none" w:pos="5680" w:val="left"/>
        </w:tabs>
        <w:numPr>
          <w:ilvl w:val="1"/>
          <w:numId w:val="236"/>
        </w:numPr>
        <w:rPr>
          <w:rFonts w:ascii="Arial" w:cs="Arial" w:eastAsia="Arial" w:hAnsi="Arial"/>
          <w:sz w:val="15"/>
          <w:szCs w:val="15"/>
          <w:color w:val="auto"/>
        </w:rPr>
      </w:pPr>
      <w:r>
        <w:rPr>
          <w:rFonts w:ascii="Arial" w:cs="Arial" w:eastAsia="Arial" w:hAnsi="Arial"/>
          <w:sz w:val="15"/>
          <w:szCs w:val="15"/>
          <w:color w:val="auto"/>
        </w:rPr>
        <w:t>5 -</w:t>
      </w:r>
    </w:p>
    <w:p>
      <w:pPr>
        <w:sectPr>
          <w:pgSz w:w="11900" w:h="16838" w:orient="portrait"/>
          <w:cols w:equalWidth="0" w:num="1">
            <w:col w:w="11440"/>
          </w:cols>
          <w:pgMar w:left="240" w:top="252" w:right="219" w:bottom="1440" w:gutter="0" w:footer="0" w:header="0"/>
        </w:sectPr>
      </w:pPr>
    </w:p>
    <w:bookmarkStart w:id="329" w:name="page330"/>
    <w:bookmarkEnd w:id="329"/>
    <w:p>
      <w:pPr>
        <w:ind w:left="10" w:firstLine="906"/>
        <w:spacing w:after="0" w:line="263" w:lineRule="auto"/>
        <w:tabs>
          <w:tab w:leader="none" w:pos="1309" w:val="left"/>
        </w:tabs>
        <w:numPr>
          <w:ilvl w:val="2"/>
          <w:numId w:val="237"/>
        </w:numPr>
        <w:rPr>
          <w:rFonts w:ascii="Arial" w:cs="Arial" w:eastAsia="Arial" w:hAnsi="Arial"/>
          <w:sz w:val="15"/>
          <w:szCs w:val="15"/>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133350</wp:posOffset>
            </wp:positionH>
            <wp:positionV relativeFrom="page">
              <wp:posOffset>88900</wp:posOffset>
            </wp:positionV>
            <wp:extent cx="7308850" cy="33655"/>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93">
                      <a:extLst>
                        <a:ext uri="{28A0092B-C50C-407E-A947-70E740481C1C}"/>
                      </a:extLst>
                    </a:blip>
                    <a:srcRect/>
                    <a:stretch>
                      <a:fillRect/>
                    </a:stretch>
                  </pic:blipFill>
                  <pic:spPr bwMode="auto">
                    <a:xfrm>
                      <a:off x="0" y="0"/>
                      <a:ext cx="7308850" cy="33655"/>
                    </a:xfrm>
                    <a:prstGeom prst="rect">
                      <a:avLst/>
                    </a:prstGeom>
                    <a:noFill/>
                  </pic:spPr>
                </pic:pic>
              </a:graphicData>
            </a:graphic>
          </wp:anchor>
        </w:drawing>
        <w:t>“</w:t>
      </w:r>
      <w:r>
        <w:rPr>
          <w:rFonts w:ascii="Arial" w:cs="Arial" w:eastAsia="Arial" w:hAnsi="Arial"/>
          <w:sz w:val="15"/>
          <w:szCs w:val="15"/>
          <w:u w:val="single" w:color="auto"/>
          <w:color w:val="auto"/>
        </w:rPr>
        <w:t>U.S. Treasury Regulations</w:t>
      </w:r>
      <w:r>
        <w:rPr>
          <w:rFonts w:ascii="Arial" w:cs="Arial" w:eastAsia="Arial" w:hAnsi="Arial"/>
          <w:sz w:val="15"/>
          <w:szCs w:val="15"/>
          <w:color w:val="auto"/>
        </w:rPr>
        <w:t>” means the Treasury regulations of the Code. Reference to a specific Treasury Regulation will include such Treasury Regulation, the section of the Code under which such regulation was promulgated, and any comparable provision of any future legislation or regulation amending, supplementing, or superseding such Section or regulation.</w:t>
      </w:r>
    </w:p>
    <w:p>
      <w:pPr>
        <w:spacing w:after="0" w:line="245" w:lineRule="exact"/>
        <w:rPr>
          <w:rFonts w:ascii="Arial" w:cs="Arial" w:eastAsia="Arial" w:hAnsi="Arial"/>
          <w:sz w:val="15"/>
          <w:szCs w:val="15"/>
          <w:color w:val="auto"/>
        </w:rPr>
      </w:pPr>
    </w:p>
    <w:p>
      <w:pPr>
        <w:ind w:left="730" w:hanging="272"/>
        <w:spacing w:after="0"/>
        <w:tabs>
          <w:tab w:leader="none" w:pos="730" w:val="left"/>
        </w:tabs>
        <w:numPr>
          <w:ilvl w:val="1"/>
          <w:numId w:val="238"/>
        </w:numPr>
        <w:rPr>
          <w:rFonts w:ascii="Arial" w:cs="Arial" w:eastAsia="Arial" w:hAnsi="Arial"/>
          <w:sz w:val="15"/>
          <w:szCs w:val="15"/>
          <w:color w:val="auto"/>
        </w:rPr>
      </w:pPr>
      <w:r>
        <w:rPr>
          <w:rFonts w:ascii="Arial" w:cs="Arial" w:eastAsia="Arial" w:hAnsi="Arial"/>
          <w:sz w:val="15"/>
          <w:szCs w:val="15"/>
          <w:u w:val="single" w:color="auto"/>
          <w:color w:val="auto"/>
        </w:rPr>
        <w:t>Eligibility</w:t>
      </w:r>
      <w:r>
        <w:rPr>
          <w:rFonts w:ascii="Arial" w:cs="Arial" w:eastAsia="Arial" w:hAnsi="Arial"/>
          <w:sz w:val="15"/>
          <w:szCs w:val="15"/>
          <w:color w:val="auto"/>
        </w:rPr>
        <w:t>.</w:t>
      </w:r>
    </w:p>
    <w:p>
      <w:pPr>
        <w:spacing w:after="0" w:line="98" w:lineRule="exact"/>
        <w:rPr>
          <w:rFonts w:ascii="Arial" w:cs="Arial" w:eastAsia="Arial" w:hAnsi="Arial"/>
          <w:sz w:val="15"/>
          <w:szCs w:val="15"/>
          <w:color w:val="auto"/>
        </w:rPr>
      </w:pPr>
    </w:p>
    <w:p>
      <w:pPr>
        <w:ind w:left="1230" w:hanging="314"/>
        <w:spacing w:after="0"/>
        <w:tabs>
          <w:tab w:leader="none" w:pos="1230" w:val="left"/>
        </w:tabs>
        <w:numPr>
          <w:ilvl w:val="2"/>
          <w:numId w:val="238"/>
        </w:numPr>
        <w:rPr>
          <w:rFonts w:ascii="Arial" w:cs="Arial" w:eastAsia="Arial" w:hAnsi="Arial"/>
          <w:sz w:val="15"/>
          <w:szCs w:val="15"/>
          <w:color w:val="auto"/>
        </w:rPr>
      </w:pPr>
      <w:r>
        <w:rPr>
          <w:rFonts w:ascii="Arial" w:cs="Arial" w:eastAsia="Arial" w:hAnsi="Arial"/>
          <w:sz w:val="15"/>
          <w:szCs w:val="15"/>
          <w:u w:val="single" w:color="auto"/>
          <w:color w:val="auto"/>
        </w:rPr>
        <w:t>Offering Periods</w:t>
      </w:r>
      <w:r>
        <w:rPr>
          <w:rFonts w:ascii="Arial" w:cs="Arial" w:eastAsia="Arial" w:hAnsi="Arial"/>
          <w:sz w:val="15"/>
          <w:szCs w:val="15"/>
          <w:color w:val="auto"/>
        </w:rPr>
        <w:t>. Any Eligible Employee on a given Enrollment Date will be eligible to participate in the Plan, subject to the requirements of Section 5.</w:t>
      </w:r>
    </w:p>
    <w:p>
      <w:pPr>
        <w:spacing w:after="0" w:line="188" w:lineRule="exact"/>
        <w:rPr>
          <w:rFonts w:ascii="Arial" w:cs="Arial" w:eastAsia="Arial" w:hAnsi="Arial"/>
          <w:sz w:val="15"/>
          <w:szCs w:val="15"/>
          <w:color w:val="auto"/>
        </w:rPr>
      </w:pPr>
    </w:p>
    <w:p>
      <w:pPr>
        <w:ind w:left="10" w:firstLine="906"/>
        <w:spacing w:after="0" w:line="257" w:lineRule="auto"/>
        <w:tabs>
          <w:tab w:leader="none" w:pos="1251" w:val="left"/>
        </w:tabs>
        <w:numPr>
          <w:ilvl w:val="2"/>
          <w:numId w:val="238"/>
        </w:numPr>
        <w:rPr>
          <w:rFonts w:ascii="Arial" w:cs="Arial" w:eastAsia="Arial" w:hAnsi="Arial"/>
          <w:sz w:val="15"/>
          <w:szCs w:val="15"/>
          <w:color w:val="auto"/>
        </w:rPr>
      </w:pPr>
      <w:r>
        <w:rPr>
          <w:rFonts w:ascii="Arial" w:cs="Arial" w:eastAsia="Arial" w:hAnsi="Arial"/>
          <w:sz w:val="15"/>
          <w:szCs w:val="15"/>
          <w:u w:val="single" w:color="auto"/>
          <w:color w:val="auto"/>
        </w:rPr>
        <w:t>Non-U.S. Employees</w:t>
      </w:r>
      <w:r>
        <w:rPr>
          <w:rFonts w:ascii="Arial" w:cs="Arial" w:eastAsia="Arial" w:hAnsi="Arial"/>
          <w:sz w:val="15"/>
          <w:szCs w:val="15"/>
          <w:color w:val="auto"/>
        </w:rPr>
        <w:t>. Eligible Employees who are citizens or residents of a non-U.S. jurisdiction (without regard to whether they also are citizens or residents of the United States or resident aliens (within the meaning of Section 7701(b)(1)(A) of the Code)) may be excluded from participation in the Plan or an Offering if the participation of such Eligible Employees is prohibited under the laws of the applicable jurisdiction or if complying with the laws of the applicable jurisdiction would cause the Plan or an Offering to violate Section 423 of the Code. In the case of the Non-423 Component, Eligible Employees may be excluded from participation in the Plan or an Offering if the Administrator determines that participation of such Eligible Employees is not advisable or practicable.</w:t>
      </w:r>
    </w:p>
    <w:p>
      <w:pPr>
        <w:spacing w:after="0" w:line="159" w:lineRule="exact"/>
        <w:rPr>
          <w:rFonts w:ascii="Arial" w:cs="Arial" w:eastAsia="Arial" w:hAnsi="Arial"/>
          <w:sz w:val="15"/>
          <w:szCs w:val="15"/>
          <w:color w:val="auto"/>
        </w:rPr>
      </w:pPr>
    </w:p>
    <w:p>
      <w:pPr>
        <w:ind w:left="10" w:firstLine="906"/>
        <w:spacing w:after="0" w:line="255" w:lineRule="auto"/>
        <w:tabs>
          <w:tab w:leader="none" w:pos="1243" w:val="left"/>
        </w:tabs>
        <w:numPr>
          <w:ilvl w:val="2"/>
          <w:numId w:val="238"/>
        </w:numPr>
        <w:rPr>
          <w:rFonts w:ascii="Arial" w:cs="Arial" w:eastAsia="Arial" w:hAnsi="Arial"/>
          <w:sz w:val="15"/>
          <w:szCs w:val="15"/>
          <w:color w:val="auto"/>
        </w:rPr>
      </w:pPr>
      <w:r>
        <w:rPr>
          <w:rFonts w:ascii="Arial" w:cs="Arial" w:eastAsia="Arial" w:hAnsi="Arial"/>
          <w:sz w:val="15"/>
          <w:szCs w:val="15"/>
          <w:u w:val="single" w:color="auto"/>
          <w:color w:val="auto"/>
        </w:rPr>
        <w:t>Limitations</w:t>
      </w:r>
      <w:r>
        <w:rPr>
          <w:rFonts w:ascii="Arial" w:cs="Arial" w:eastAsia="Arial" w:hAnsi="Arial"/>
          <w:sz w:val="15"/>
          <w:szCs w:val="15"/>
          <w:color w:val="auto"/>
        </w:rPr>
        <w:t>. Any provisions of the Plan to the contrary notwithstanding, no Eligible Employee will be granted an option under the Plan (i) to the extent that, immediately after the grant, such Eligible Employee (or any other person whose stock would be attributed to such Eligible Employee pursuant to Section 424(d) of the Code) would own capital stock of the Company or any Parent or Subsidiary of the Company and/or hold outstanding options to purchase such stock possessing five percent (5%) or more of the total combined voting power or value of all classes of the capital stock of the Company or of any Parent or Subsidiary of the Company, or (ii) to the extent that his or her rights to purchase stock under all employee stock purchase plans (as defined in Section 423 of the Code) of the Company or any Parent or Subsidiary of the Company accrues at a rate, which exceeds twenty-five thousand dollars ($25,000) worth of stock (determined at the Fair Market Value of the stock at the time such option is granted) for each calendar year in which such option is outstanding at any time, as determined in accordance with Section 423 of the Code and the regulations thereunder.</w:t>
      </w:r>
    </w:p>
    <w:p>
      <w:pPr>
        <w:spacing w:after="0" w:line="160" w:lineRule="exact"/>
        <w:rPr>
          <w:rFonts w:ascii="Arial" w:cs="Arial" w:eastAsia="Arial" w:hAnsi="Arial"/>
          <w:sz w:val="15"/>
          <w:szCs w:val="15"/>
          <w:color w:val="auto"/>
        </w:rPr>
      </w:pPr>
    </w:p>
    <w:p>
      <w:pPr>
        <w:ind w:left="730" w:hanging="272"/>
        <w:spacing w:after="0"/>
        <w:tabs>
          <w:tab w:leader="none" w:pos="730" w:val="left"/>
        </w:tabs>
        <w:numPr>
          <w:ilvl w:val="1"/>
          <w:numId w:val="238"/>
        </w:numPr>
        <w:rPr>
          <w:rFonts w:ascii="Arial" w:cs="Arial" w:eastAsia="Arial" w:hAnsi="Arial"/>
          <w:sz w:val="14"/>
          <w:szCs w:val="14"/>
          <w:color w:val="auto"/>
        </w:rPr>
      </w:pPr>
      <w:r>
        <w:rPr>
          <w:rFonts w:ascii="Arial" w:cs="Arial" w:eastAsia="Arial" w:hAnsi="Arial"/>
          <w:sz w:val="14"/>
          <w:szCs w:val="14"/>
          <w:u w:val="single" w:color="auto"/>
          <w:color w:val="auto"/>
        </w:rPr>
        <w:t>Offering Periods</w:t>
      </w:r>
      <w:r>
        <w:rPr>
          <w:rFonts w:ascii="Arial" w:cs="Arial" w:eastAsia="Arial" w:hAnsi="Arial"/>
          <w:sz w:val="14"/>
          <w:szCs w:val="14"/>
          <w:color w:val="auto"/>
        </w:rPr>
        <w:t>. Offering Periods will expire on the earliest to occur of (i) the completion of the purchase of Shares on the last Exercise Date occurring within twenty-seven</w:t>
      </w:r>
    </w:p>
    <w:p>
      <w:pPr>
        <w:spacing w:after="0" w:line="28" w:lineRule="exact"/>
        <w:rPr>
          <w:rFonts w:ascii="Arial" w:cs="Arial" w:eastAsia="Arial" w:hAnsi="Arial"/>
          <w:sz w:val="14"/>
          <w:szCs w:val="14"/>
          <w:color w:val="auto"/>
        </w:rPr>
      </w:pPr>
    </w:p>
    <w:p>
      <w:pPr>
        <w:ind w:left="10" w:right="100" w:hanging="10"/>
        <w:spacing w:after="0" w:line="262" w:lineRule="auto"/>
        <w:tabs>
          <w:tab w:leader="none" w:pos="298" w:val="left"/>
        </w:tabs>
        <w:numPr>
          <w:ilvl w:val="0"/>
          <w:numId w:val="239"/>
        </w:numPr>
        <w:rPr>
          <w:rFonts w:ascii="Arial" w:cs="Arial" w:eastAsia="Arial" w:hAnsi="Arial"/>
          <w:sz w:val="15"/>
          <w:szCs w:val="15"/>
          <w:color w:val="auto"/>
        </w:rPr>
      </w:pPr>
      <w:r>
        <w:rPr>
          <w:rFonts w:ascii="Arial" w:cs="Arial" w:eastAsia="Arial" w:hAnsi="Arial"/>
          <w:sz w:val="15"/>
          <w:szCs w:val="15"/>
          <w:color w:val="auto"/>
        </w:rPr>
        <w:t>months of the applicable Enrollment Date on which the option to purchase Shares was granted, or (ii) such shorter period as may be established by the Administrator from time to time, in its discretion and on a uniform and nondiscriminatory basis, prior to an Enrollment Date for all options to be granted on such Enrollment Date.</w:t>
      </w:r>
    </w:p>
    <w:p>
      <w:pPr>
        <w:spacing w:after="0" w:line="98" w:lineRule="exact"/>
        <w:rPr>
          <w:rFonts w:ascii="Arial" w:cs="Arial" w:eastAsia="Arial" w:hAnsi="Arial"/>
          <w:sz w:val="15"/>
          <w:szCs w:val="15"/>
          <w:color w:val="auto"/>
        </w:rPr>
      </w:pPr>
    </w:p>
    <w:p>
      <w:pPr>
        <w:ind w:left="5690" w:hanging="91"/>
        <w:spacing w:after="0"/>
        <w:tabs>
          <w:tab w:leader="none" w:pos="5690" w:val="left"/>
        </w:tabs>
        <w:numPr>
          <w:ilvl w:val="3"/>
          <w:numId w:val="239"/>
        </w:numPr>
        <w:rPr>
          <w:rFonts w:ascii="Arial" w:cs="Arial" w:eastAsia="Arial" w:hAnsi="Arial"/>
          <w:sz w:val="15"/>
          <w:szCs w:val="15"/>
          <w:color w:val="auto"/>
        </w:rPr>
      </w:pPr>
      <w:r>
        <w:rPr>
          <w:rFonts w:ascii="Arial" w:cs="Arial" w:eastAsia="Arial" w:hAnsi="Arial"/>
          <w:sz w:val="15"/>
          <w:szCs w:val="15"/>
          <w:color w:val="auto"/>
        </w:rPr>
        <w:t>6 -</w:t>
      </w:r>
    </w:p>
    <w:p>
      <w:pPr>
        <w:sectPr>
          <w:pgSz w:w="11900" w:h="16838" w:orient="portrait"/>
          <w:cols w:equalWidth="0" w:num="1">
            <w:col w:w="11430"/>
          </w:cols>
          <w:pgMar w:left="230" w:top="253" w:right="239" w:bottom="1440" w:gutter="0" w:footer="0" w:header="0"/>
        </w:sectPr>
      </w:pPr>
    </w:p>
    <w:bookmarkStart w:id="330" w:name="page331"/>
    <w:bookmarkEnd w:id="330"/>
    <w:p>
      <w:pPr>
        <w:ind w:left="10" w:firstLine="448"/>
        <w:spacing w:after="0" w:line="263" w:lineRule="auto"/>
        <w:tabs>
          <w:tab w:leader="none" w:pos="731" w:val="left"/>
        </w:tabs>
        <w:numPr>
          <w:ilvl w:val="1"/>
          <w:numId w:val="240"/>
        </w:numPr>
        <w:rPr>
          <w:rFonts w:ascii="Arial" w:cs="Arial" w:eastAsia="Arial" w:hAnsi="Arial"/>
          <w:sz w:val="15"/>
          <w:szCs w:val="15"/>
          <w:color w:val="auto"/>
        </w:rPr>
      </w:pPr>
      <w:r>
        <w:rPr>
          <w:rFonts w:ascii="Arial" w:cs="Arial" w:eastAsia="Arial" w:hAnsi="Arial"/>
          <w:sz w:val="15"/>
          <w:szCs w:val="15"/>
          <w:u w:val="single" w:color="auto"/>
          <w:color w:val="auto"/>
        </w:rPr>
        <w:drawing>
          <wp:anchor simplePos="0" relativeHeight="251657728" behindDoc="1" locked="0" layoutInCell="0" allowOverlap="1">
            <wp:simplePos x="0" y="0"/>
            <wp:positionH relativeFrom="page">
              <wp:posOffset>133350</wp:posOffset>
            </wp:positionH>
            <wp:positionV relativeFrom="page">
              <wp:posOffset>88900</wp:posOffset>
            </wp:positionV>
            <wp:extent cx="7308850" cy="34290"/>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94">
                      <a:extLst>
                        <a:ext uri="{28A0092B-C50C-407E-A947-70E740481C1C}"/>
                      </a:extLst>
                    </a:blip>
                    <a:srcRect/>
                    <a:stretch>
                      <a:fillRect/>
                    </a:stretch>
                  </pic:blipFill>
                  <pic:spPr bwMode="auto">
                    <a:xfrm>
                      <a:off x="0" y="0"/>
                      <a:ext cx="7308850" cy="34290"/>
                    </a:xfrm>
                    <a:prstGeom prst="rect">
                      <a:avLst/>
                    </a:prstGeom>
                    <a:noFill/>
                  </pic:spPr>
                </pic:pic>
              </a:graphicData>
            </a:graphic>
          </wp:anchor>
        </w:drawing>
        <w:t>Participation</w:t>
      </w:r>
      <w:r>
        <w:rPr>
          <w:rFonts w:ascii="Arial" w:cs="Arial" w:eastAsia="Arial" w:hAnsi="Arial"/>
          <w:sz w:val="15"/>
          <w:szCs w:val="15"/>
          <w:color w:val="auto"/>
        </w:rPr>
        <w:t>. An Eligible Employee may participate in the Plan by (i) submitting to the Company’s stock administration office (or its designee) a properly completed subscription agreement authorizing Contributions in the form provided by the Administrator for such purpose or (ii) following an electronic or other enrollment procedure determined by the Administrator, in either case on or before a date determined by the Administrator prior to an applicable Enrollment Date.</w:t>
      </w:r>
    </w:p>
    <w:p>
      <w:pPr>
        <w:spacing w:after="0" w:line="245" w:lineRule="exact"/>
        <w:rPr>
          <w:rFonts w:ascii="Arial" w:cs="Arial" w:eastAsia="Arial" w:hAnsi="Arial"/>
          <w:sz w:val="15"/>
          <w:szCs w:val="15"/>
          <w:color w:val="auto"/>
        </w:rPr>
      </w:pPr>
    </w:p>
    <w:p>
      <w:pPr>
        <w:ind w:left="730" w:hanging="272"/>
        <w:spacing w:after="0"/>
        <w:tabs>
          <w:tab w:leader="none" w:pos="730" w:val="left"/>
        </w:tabs>
        <w:numPr>
          <w:ilvl w:val="1"/>
          <w:numId w:val="240"/>
        </w:numPr>
        <w:rPr>
          <w:rFonts w:ascii="Arial" w:cs="Arial" w:eastAsia="Arial" w:hAnsi="Arial"/>
          <w:sz w:val="15"/>
          <w:szCs w:val="15"/>
          <w:color w:val="auto"/>
        </w:rPr>
      </w:pPr>
      <w:r>
        <w:rPr>
          <w:rFonts w:ascii="Arial" w:cs="Arial" w:eastAsia="Arial" w:hAnsi="Arial"/>
          <w:sz w:val="15"/>
          <w:szCs w:val="15"/>
          <w:u w:val="single" w:color="auto"/>
          <w:color w:val="auto"/>
        </w:rPr>
        <w:t>Contributions</w:t>
      </w:r>
      <w:r>
        <w:rPr>
          <w:rFonts w:ascii="Arial" w:cs="Arial" w:eastAsia="Arial" w:hAnsi="Arial"/>
          <w:sz w:val="15"/>
          <w:szCs w:val="15"/>
          <w:color w:val="auto"/>
        </w:rPr>
        <w:t>.</w:t>
      </w:r>
    </w:p>
    <w:p>
      <w:pPr>
        <w:spacing w:after="0" w:line="98" w:lineRule="exact"/>
        <w:rPr>
          <w:rFonts w:ascii="Arial" w:cs="Arial" w:eastAsia="Arial" w:hAnsi="Arial"/>
          <w:sz w:val="15"/>
          <w:szCs w:val="15"/>
          <w:color w:val="auto"/>
        </w:rPr>
      </w:pPr>
    </w:p>
    <w:p>
      <w:pPr>
        <w:ind w:left="10" w:right="60" w:firstLine="906"/>
        <w:spacing w:after="0" w:line="279" w:lineRule="auto"/>
        <w:tabs>
          <w:tab w:leader="none" w:pos="1234" w:val="left"/>
        </w:tabs>
        <w:numPr>
          <w:ilvl w:val="2"/>
          <w:numId w:val="240"/>
        </w:numPr>
        <w:rPr>
          <w:rFonts w:ascii="Arial" w:cs="Arial" w:eastAsia="Arial" w:hAnsi="Arial"/>
          <w:sz w:val="14"/>
          <w:szCs w:val="14"/>
          <w:color w:val="auto"/>
        </w:rPr>
      </w:pPr>
      <w:r>
        <w:rPr>
          <w:rFonts w:ascii="Arial" w:cs="Arial" w:eastAsia="Arial" w:hAnsi="Arial"/>
          <w:sz w:val="14"/>
          <w:szCs w:val="14"/>
          <w:color w:val="auto"/>
        </w:rPr>
        <w:t>At the time a Participant enrolls in the Plan pursuant to Section 5, he or she will elect to have Contributions (in the form of payroll deductions or otherwise, to the extent permitted by the Administrator) made on each pay day during the Offering Period in an amount that the Administrator may establish from time to time, in its discretion and on a uniform and nondiscriminatory basis, for all options to be granted on any Enrollment Date. The Administrator, in its sole discretion, may permit all Participants in a specified Offering to contribute amounts to the Plan through payment by cash, check or other means set forth in the subscription agreement prior to each Exercise Date of each Purchase Period. A Participant’s subscription agreement will remain in effect for successive Offering Periods unless terminated as provided in Section 10 hereof.</w:t>
      </w:r>
    </w:p>
    <w:p>
      <w:pPr>
        <w:spacing w:after="0" w:line="146" w:lineRule="exact"/>
        <w:rPr>
          <w:rFonts w:ascii="Arial" w:cs="Arial" w:eastAsia="Arial" w:hAnsi="Arial"/>
          <w:sz w:val="14"/>
          <w:szCs w:val="14"/>
          <w:color w:val="auto"/>
        </w:rPr>
      </w:pPr>
    </w:p>
    <w:p>
      <w:pPr>
        <w:ind w:left="10" w:right="400" w:firstLine="906"/>
        <w:spacing w:after="0" w:line="263" w:lineRule="auto"/>
        <w:tabs>
          <w:tab w:leader="none" w:pos="1251" w:val="left"/>
        </w:tabs>
        <w:numPr>
          <w:ilvl w:val="2"/>
          <w:numId w:val="240"/>
        </w:numPr>
        <w:rPr>
          <w:rFonts w:ascii="Arial" w:cs="Arial" w:eastAsia="Arial" w:hAnsi="Arial"/>
          <w:sz w:val="15"/>
          <w:szCs w:val="15"/>
          <w:color w:val="auto"/>
        </w:rPr>
      </w:pPr>
      <w:r>
        <w:rPr>
          <w:rFonts w:ascii="Arial" w:cs="Arial" w:eastAsia="Arial" w:hAnsi="Arial"/>
          <w:sz w:val="15"/>
          <w:szCs w:val="15"/>
          <w:color w:val="auto"/>
        </w:rPr>
        <w:t>In the event Contributions are made in the form of payroll deductions, such payroll deductions for a Participant will commence on the first pay day following the Enrollment Date and will end on the last pay day on or prior to the last Exercise Date of such Offering Period to which such authorization is applicable, unless sooner terminated by the Participant as provided in Section 10 hereof.</w:t>
      </w:r>
    </w:p>
    <w:p>
      <w:pPr>
        <w:spacing w:after="0" w:line="154" w:lineRule="exact"/>
        <w:rPr>
          <w:rFonts w:ascii="Arial" w:cs="Arial" w:eastAsia="Arial" w:hAnsi="Arial"/>
          <w:sz w:val="15"/>
          <w:szCs w:val="15"/>
          <w:color w:val="auto"/>
        </w:rPr>
      </w:pPr>
    </w:p>
    <w:p>
      <w:pPr>
        <w:ind w:left="10" w:right="640" w:firstLine="906"/>
        <w:spacing w:after="0" w:line="275" w:lineRule="auto"/>
        <w:tabs>
          <w:tab w:leader="none" w:pos="1234" w:val="left"/>
        </w:tabs>
        <w:numPr>
          <w:ilvl w:val="2"/>
          <w:numId w:val="240"/>
        </w:numPr>
        <w:rPr>
          <w:rFonts w:ascii="Arial" w:cs="Arial" w:eastAsia="Arial" w:hAnsi="Arial"/>
          <w:sz w:val="15"/>
          <w:szCs w:val="15"/>
          <w:color w:val="auto"/>
        </w:rPr>
      </w:pPr>
      <w:r>
        <w:rPr>
          <w:rFonts w:ascii="Arial" w:cs="Arial" w:eastAsia="Arial" w:hAnsi="Arial"/>
          <w:sz w:val="15"/>
          <w:szCs w:val="15"/>
          <w:color w:val="auto"/>
        </w:rPr>
        <w:t>All Contributions made for a Participant will be credited to his or her account under the Plan and Contributions will be made in whole percentages of his or her Compensation only. A Participant may not make any additional payments into such account.</w:t>
      </w:r>
    </w:p>
    <w:p>
      <w:pPr>
        <w:spacing w:after="0" w:line="146" w:lineRule="exact"/>
        <w:rPr>
          <w:rFonts w:ascii="Arial" w:cs="Arial" w:eastAsia="Arial" w:hAnsi="Arial"/>
          <w:sz w:val="15"/>
          <w:szCs w:val="15"/>
          <w:color w:val="auto"/>
        </w:rPr>
      </w:pPr>
    </w:p>
    <w:p>
      <w:pPr>
        <w:ind w:left="10" w:right="240" w:firstLine="906"/>
        <w:spacing w:after="0" w:line="275" w:lineRule="auto"/>
        <w:tabs>
          <w:tab w:leader="none" w:pos="1243" w:val="left"/>
        </w:tabs>
        <w:numPr>
          <w:ilvl w:val="2"/>
          <w:numId w:val="240"/>
        </w:numPr>
        <w:rPr>
          <w:rFonts w:ascii="Arial" w:cs="Arial" w:eastAsia="Arial" w:hAnsi="Arial"/>
          <w:sz w:val="15"/>
          <w:szCs w:val="15"/>
          <w:color w:val="auto"/>
        </w:rPr>
      </w:pPr>
      <w:r>
        <w:rPr>
          <w:rFonts w:ascii="Arial" w:cs="Arial" w:eastAsia="Arial" w:hAnsi="Arial"/>
          <w:sz w:val="15"/>
          <w:szCs w:val="15"/>
          <w:color w:val="auto"/>
        </w:rPr>
        <w:t>A Participant may discontinue his or her participation in the Plan as provided under Section 10. Except as may be permitted by the Administrator, as determined in its sole discretion, a Participant may not change the rate of his or her Contributions during an Offering Period.</w:t>
      </w:r>
    </w:p>
    <w:p>
      <w:pPr>
        <w:spacing w:after="0" w:line="146" w:lineRule="exact"/>
        <w:rPr>
          <w:rFonts w:ascii="Arial" w:cs="Arial" w:eastAsia="Arial" w:hAnsi="Arial"/>
          <w:sz w:val="15"/>
          <w:szCs w:val="15"/>
          <w:color w:val="auto"/>
        </w:rPr>
      </w:pPr>
    </w:p>
    <w:p>
      <w:pPr>
        <w:jc w:val="both"/>
        <w:ind w:left="10" w:right="40" w:firstLine="906"/>
        <w:spacing w:after="0" w:line="322" w:lineRule="auto"/>
        <w:tabs>
          <w:tab w:leader="none" w:pos="1243" w:val="left"/>
        </w:tabs>
        <w:numPr>
          <w:ilvl w:val="2"/>
          <w:numId w:val="240"/>
        </w:numPr>
        <w:rPr>
          <w:rFonts w:ascii="Arial" w:cs="Arial" w:eastAsia="Arial" w:hAnsi="Arial"/>
          <w:sz w:val="13"/>
          <w:szCs w:val="13"/>
          <w:color w:val="auto"/>
        </w:rPr>
      </w:pPr>
      <w:r>
        <w:rPr>
          <w:rFonts w:ascii="Arial" w:cs="Arial" w:eastAsia="Arial" w:hAnsi="Arial"/>
          <w:sz w:val="13"/>
          <w:szCs w:val="13"/>
          <w:color w:val="auto"/>
        </w:rPr>
        <w:t>Notwithstanding the foregoing, to the extent necessary to comply with Section 423(b)(8) of the Code and Section 3(d), a Participant’s Contributions may be decreased to zero percent (0%) at any time during a Purchase Period. Subject to Section 423(b)(8) of the Code and Section 3(d) hereof, Contributions will recommence at the rate originally elected by the Participant effective as of the beginning of the first Purchase Period scheduled to end in the following calendar year, unless terminated by the Participant as provided in Section 10.</w:t>
      </w:r>
    </w:p>
    <w:p>
      <w:pPr>
        <w:spacing w:after="0" w:line="120" w:lineRule="exact"/>
        <w:rPr>
          <w:rFonts w:ascii="Arial" w:cs="Arial" w:eastAsia="Arial" w:hAnsi="Arial"/>
          <w:sz w:val="13"/>
          <w:szCs w:val="13"/>
          <w:color w:val="auto"/>
        </w:rPr>
      </w:pPr>
    </w:p>
    <w:p>
      <w:pPr>
        <w:jc w:val="both"/>
        <w:ind w:left="10" w:right="180" w:firstLine="906"/>
        <w:spacing w:after="0" w:line="297" w:lineRule="auto"/>
        <w:tabs>
          <w:tab w:leader="none" w:pos="1226" w:val="left"/>
        </w:tabs>
        <w:numPr>
          <w:ilvl w:val="2"/>
          <w:numId w:val="240"/>
        </w:numPr>
        <w:rPr>
          <w:rFonts w:ascii="Arial" w:cs="Arial" w:eastAsia="Arial" w:hAnsi="Arial"/>
          <w:sz w:val="13"/>
          <w:szCs w:val="13"/>
          <w:color w:val="auto"/>
        </w:rPr>
      </w:pPr>
      <w:r>
        <w:rPr>
          <w:rFonts w:ascii="Arial" w:cs="Arial" w:eastAsia="Arial" w:hAnsi="Arial"/>
          <w:sz w:val="13"/>
          <w:szCs w:val="13"/>
          <w:color w:val="auto"/>
        </w:rPr>
        <w:t>Notwithstanding any provisions to the contrary in the Plan, the Administrator may allow Participants to participate in the Plan via cash contributions instead of payroll deductions if (i) payroll deductions are not permitted under applicable local law, (ii) the Administrator determines that cash contributions are permissible under Section 423 of the Code; or</w:t>
      </w:r>
    </w:p>
    <w:p>
      <w:pPr>
        <w:ind w:left="270" w:hanging="270"/>
        <w:spacing w:after="0"/>
        <w:tabs>
          <w:tab w:leader="none" w:pos="270" w:val="left"/>
        </w:tabs>
        <w:numPr>
          <w:ilvl w:val="0"/>
          <w:numId w:val="241"/>
        </w:numPr>
        <w:rPr>
          <w:rFonts w:ascii="Arial" w:cs="Arial" w:eastAsia="Arial" w:hAnsi="Arial"/>
          <w:sz w:val="15"/>
          <w:szCs w:val="15"/>
          <w:color w:val="auto"/>
        </w:rPr>
      </w:pPr>
      <w:r>
        <w:rPr>
          <w:rFonts w:ascii="Arial" w:cs="Arial" w:eastAsia="Arial" w:hAnsi="Arial"/>
          <w:sz w:val="15"/>
          <w:szCs w:val="15"/>
          <w:color w:val="auto"/>
        </w:rPr>
        <w:t>the Participants are participating in the Non-423 Component.</w:t>
      </w:r>
    </w:p>
    <w:p>
      <w:pPr>
        <w:spacing w:after="0" w:line="178" w:lineRule="exact"/>
        <w:rPr>
          <w:rFonts w:ascii="Arial" w:cs="Arial" w:eastAsia="Arial" w:hAnsi="Arial"/>
          <w:sz w:val="15"/>
          <w:szCs w:val="15"/>
          <w:color w:val="auto"/>
        </w:rPr>
      </w:pPr>
    </w:p>
    <w:p>
      <w:pPr>
        <w:ind w:left="1230" w:hanging="314"/>
        <w:spacing w:after="0"/>
        <w:tabs>
          <w:tab w:leader="none" w:pos="1230" w:val="left"/>
        </w:tabs>
        <w:numPr>
          <w:ilvl w:val="2"/>
          <w:numId w:val="241"/>
        </w:numPr>
        <w:rPr>
          <w:rFonts w:ascii="Arial" w:cs="Arial" w:eastAsia="Arial" w:hAnsi="Arial"/>
          <w:sz w:val="14"/>
          <w:szCs w:val="14"/>
          <w:color w:val="auto"/>
        </w:rPr>
      </w:pPr>
      <w:r>
        <w:rPr>
          <w:rFonts w:ascii="Arial" w:cs="Arial" w:eastAsia="Arial" w:hAnsi="Arial"/>
          <w:sz w:val="14"/>
          <w:szCs w:val="14"/>
          <w:color w:val="auto"/>
        </w:rPr>
        <w:t>At the time the option is exercised, in whole or in part, or at the time some or all of the Common Stock issued under the Plan is disposed of (or any other time that a</w:t>
      </w:r>
    </w:p>
    <w:p>
      <w:pPr>
        <w:spacing w:after="0" w:line="28" w:lineRule="exact"/>
        <w:rPr>
          <w:rFonts w:ascii="Arial" w:cs="Arial" w:eastAsia="Arial" w:hAnsi="Arial"/>
          <w:sz w:val="14"/>
          <w:szCs w:val="14"/>
          <w:color w:val="auto"/>
        </w:rPr>
      </w:pPr>
    </w:p>
    <w:p>
      <w:pPr>
        <w:ind w:left="10"/>
        <w:spacing w:after="0"/>
        <w:rPr>
          <w:rFonts w:ascii="Arial" w:cs="Arial" w:eastAsia="Arial" w:hAnsi="Arial"/>
          <w:sz w:val="14"/>
          <w:szCs w:val="14"/>
          <w:color w:val="auto"/>
        </w:rPr>
      </w:pPr>
      <w:r>
        <w:rPr>
          <w:rFonts w:ascii="Arial" w:cs="Arial" w:eastAsia="Arial" w:hAnsi="Arial"/>
          <w:sz w:val="15"/>
          <w:szCs w:val="15"/>
          <w:color w:val="auto"/>
        </w:rPr>
        <w:t>taxable event</w:t>
      </w:r>
    </w:p>
    <w:p>
      <w:pPr>
        <w:spacing w:after="0" w:line="122" w:lineRule="exact"/>
        <w:rPr>
          <w:rFonts w:ascii="Arial" w:cs="Arial" w:eastAsia="Arial" w:hAnsi="Arial"/>
          <w:sz w:val="14"/>
          <w:szCs w:val="14"/>
          <w:color w:val="auto"/>
        </w:rPr>
      </w:pPr>
    </w:p>
    <w:p>
      <w:pPr>
        <w:ind w:left="5690" w:hanging="91"/>
        <w:spacing w:after="0"/>
        <w:tabs>
          <w:tab w:leader="none" w:pos="5690" w:val="left"/>
        </w:tabs>
        <w:numPr>
          <w:ilvl w:val="3"/>
          <w:numId w:val="241"/>
        </w:numPr>
        <w:rPr>
          <w:rFonts w:ascii="Arial" w:cs="Arial" w:eastAsia="Arial" w:hAnsi="Arial"/>
          <w:sz w:val="15"/>
          <w:szCs w:val="15"/>
          <w:color w:val="auto"/>
        </w:rPr>
      </w:pPr>
      <w:r>
        <w:rPr>
          <w:rFonts w:ascii="Arial" w:cs="Arial" w:eastAsia="Arial" w:hAnsi="Arial"/>
          <w:sz w:val="15"/>
          <w:szCs w:val="15"/>
          <w:color w:val="auto"/>
        </w:rPr>
        <w:t>7 -</w:t>
      </w:r>
    </w:p>
    <w:p>
      <w:pPr>
        <w:sectPr>
          <w:pgSz w:w="11900" w:h="16838" w:orient="portrait"/>
          <w:cols w:equalWidth="0" w:num="1">
            <w:col w:w="11450"/>
          </w:cols>
          <w:pgMar w:left="230" w:top="253" w:right="219" w:bottom="1440" w:gutter="0" w:footer="0" w:header="0"/>
        </w:sectPr>
      </w:pPr>
    </w:p>
    <w:bookmarkStart w:id="331" w:name="page332"/>
    <w:bookmarkEnd w:id="331"/>
    <w:p>
      <w:pPr>
        <w:ind w:left="10"/>
        <w:spacing w:after="0" w:line="255"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133350</wp:posOffset>
            </wp:positionH>
            <wp:positionV relativeFrom="page">
              <wp:posOffset>88900</wp:posOffset>
            </wp:positionV>
            <wp:extent cx="7308850" cy="34290"/>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95">
                      <a:extLst>
                        <a:ext uri="{28A0092B-C50C-407E-A947-70E740481C1C}"/>
                      </a:extLst>
                    </a:blip>
                    <a:srcRect/>
                    <a:stretch>
                      <a:fillRect/>
                    </a:stretch>
                  </pic:blipFill>
                  <pic:spPr bwMode="auto">
                    <a:xfrm>
                      <a:off x="0" y="0"/>
                      <a:ext cx="7308850" cy="34290"/>
                    </a:xfrm>
                    <a:prstGeom prst="rect">
                      <a:avLst/>
                    </a:prstGeom>
                    <a:noFill/>
                  </pic:spPr>
                </pic:pic>
              </a:graphicData>
            </a:graphic>
          </wp:anchor>
        </w:drawing>
        <w:t>related to the Plan occurs), the Participant must make adequate provision for the Company’s or Employer’s federal, state, local or any other tax liability payable to any authority including taxes imposed by jurisdictions outside of the U.S., national insurance, social security or other tax withholding obligations, if any, which arise upon the exercise of the option or the disposition of the Common Stock (or any other time that a taxable event related to the Plan occurs). At any time, the Company or the Employer may, but will not be obligated to, withhold from the Participant’s compensation the amount necessary for the Company or the Employer to meet applicable withholding obligations, including any withholding required to make available to the Company or the Employer any tax deductions or benefits attributable to sale or early disposition of Common Stock by the Eligible Employee. In addition, the Company or the Employer may, but will not be obligated to, withhold from the proceeds of the sale of Common Stock or any other method of withholding the Company or the Employer deems appropriate to the extent permitted by U.S. Treasury Regulation Section 1.423-2(f).</w:t>
      </w:r>
    </w:p>
    <w:p>
      <w:pPr>
        <w:spacing w:after="0" w:line="161" w:lineRule="exact"/>
        <w:rPr>
          <w:sz w:val="20"/>
          <w:szCs w:val="20"/>
          <w:color w:val="auto"/>
        </w:rPr>
      </w:pPr>
    </w:p>
    <w:p>
      <w:pPr>
        <w:ind w:left="10" w:firstLine="448"/>
        <w:spacing w:after="0" w:line="275" w:lineRule="auto"/>
        <w:tabs>
          <w:tab w:leader="none" w:pos="731" w:val="left"/>
        </w:tabs>
        <w:numPr>
          <w:ilvl w:val="1"/>
          <w:numId w:val="242"/>
        </w:numPr>
        <w:rPr>
          <w:rFonts w:ascii="Arial" w:cs="Arial" w:eastAsia="Arial" w:hAnsi="Arial"/>
          <w:sz w:val="14"/>
          <w:szCs w:val="14"/>
          <w:color w:val="auto"/>
        </w:rPr>
      </w:pPr>
      <w:r>
        <w:rPr>
          <w:rFonts w:ascii="Arial" w:cs="Arial" w:eastAsia="Arial" w:hAnsi="Arial"/>
          <w:sz w:val="14"/>
          <w:szCs w:val="14"/>
          <w:u w:val="single" w:color="auto"/>
          <w:color w:val="auto"/>
        </w:rPr>
        <w:t>Grant of Option</w:t>
      </w:r>
      <w:r>
        <w:rPr>
          <w:rFonts w:ascii="Arial" w:cs="Arial" w:eastAsia="Arial" w:hAnsi="Arial"/>
          <w:sz w:val="14"/>
          <w:szCs w:val="14"/>
          <w:color w:val="auto"/>
        </w:rPr>
        <w:t>. On the Enrollment Date of each Offering Period, each Eligible Employee participating in such Offering Period will be granted an option to purchase on each Exercise Date during such Offering Period (at the applicable Purchase Price) up to a number of shares of Common Stock determined by dividing such Eligible Employee’s Contributions accumulated prior to such Exercise Date and retained in the Eligible Employee’s account as of the Exercise Date by the applicable Purchase Price; provided that in no event will an Eligible Employee be permitted to purchase during each Purchase Period more than 2,500 shares of Common Stock (subject to any adjustment pursuant to Section 19) and provided further that such purchase will be subject to the limitations set forth in Sections 3(d) and 13. The Eligible Employee may accept the grant of such option by electing to participate in the Plan in accordance with the requirements of Section 5. The Administrator may, for future Offering Periods, increase or decrease, in its absolute discretion, the maximum number of shares of Common Stock that an Eligible Employee may purchase during each Purchase Period. Exercise of the option will occur as provided in Section 8, unless the Participant has withdrawn pursuant to Section 10. The option will expire on the last day of the Offering Period.</w:t>
      </w:r>
    </w:p>
    <w:p>
      <w:pPr>
        <w:spacing w:after="0" w:line="238" w:lineRule="exact"/>
        <w:rPr>
          <w:rFonts w:ascii="Arial" w:cs="Arial" w:eastAsia="Arial" w:hAnsi="Arial"/>
          <w:sz w:val="14"/>
          <w:szCs w:val="14"/>
          <w:color w:val="auto"/>
        </w:rPr>
      </w:pPr>
    </w:p>
    <w:p>
      <w:pPr>
        <w:ind w:left="730" w:hanging="272"/>
        <w:spacing w:after="0"/>
        <w:tabs>
          <w:tab w:leader="none" w:pos="730" w:val="left"/>
        </w:tabs>
        <w:numPr>
          <w:ilvl w:val="1"/>
          <w:numId w:val="242"/>
        </w:numPr>
        <w:rPr>
          <w:rFonts w:ascii="Arial" w:cs="Arial" w:eastAsia="Arial" w:hAnsi="Arial"/>
          <w:sz w:val="15"/>
          <w:szCs w:val="15"/>
          <w:color w:val="auto"/>
        </w:rPr>
      </w:pPr>
      <w:r>
        <w:rPr>
          <w:rFonts w:ascii="Arial" w:cs="Arial" w:eastAsia="Arial" w:hAnsi="Arial"/>
          <w:sz w:val="15"/>
          <w:szCs w:val="15"/>
          <w:u w:val="single" w:color="auto"/>
          <w:color w:val="auto"/>
        </w:rPr>
        <w:t>Exercise of Option</w:t>
      </w:r>
      <w:r>
        <w:rPr>
          <w:rFonts w:ascii="Arial" w:cs="Arial" w:eastAsia="Arial" w:hAnsi="Arial"/>
          <w:sz w:val="15"/>
          <w:szCs w:val="15"/>
          <w:color w:val="auto"/>
        </w:rPr>
        <w:t>.</w:t>
      </w:r>
    </w:p>
    <w:p>
      <w:pPr>
        <w:spacing w:after="0" w:line="98" w:lineRule="exact"/>
        <w:rPr>
          <w:rFonts w:ascii="Arial" w:cs="Arial" w:eastAsia="Arial" w:hAnsi="Arial"/>
          <w:sz w:val="15"/>
          <w:szCs w:val="15"/>
          <w:color w:val="auto"/>
        </w:rPr>
      </w:pPr>
    </w:p>
    <w:p>
      <w:pPr>
        <w:ind w:left="10" w:right="40" w:firstLine="906"/>
        <w:spacing w:after="0" w:line="255" w:lineRule="auto"/>
        <w:tabs>
          <w:tab w:leader="none" w:pos="1243" w:val="left"/>
        </w:tabs>
        <w:numPr>
          <w:ilvl w:val="2"/>
          <w:numId w:val="242"/>
        </w:numPr>
        <w:rPr>
          <w:rFonts w:ascii="Arial" w:cs="Arial" w:eastAsia="Arial" w:hAnsi="Arial"/>
          <w:sz w:val="15"/>
          <w:szCs w:val="15"/>
          <w:color w:val="auto"/>
        </w:rPr>
      </w:pPr>
      <w:r>
        <w:rPr>
          <w:rFonts w:ascii="Arial" w:cs="Arial" w:eastAsia="Arial" w:hAnsi="Arial"/>
          <w:sz w:val="15"/>
          <w:szCs w:val="15"/>
          <w:color w:val="auto"/>
        </w:rPr>
        <w:t>Unless a Participant withdraws from the Plan as provided in Section 10, his or her option for the purchase of shares of Common Stock will be exercised automatically on each Exercise Date, and the maximum number of full shares subject to the option will be purchased for such Participant at the applicable Purchase Price with the accumulated Contributions from his or her account. No fractional shares of Common Stock will be purchased; any Contributions accumulated in a Participant’s account, which are not sufficient to purchase a full share will be retained in the Participant’s account for the subsequent Purchase Period or Offering Period, subject to earlier withdrawal by the Participant as provided in Section 10. Any other funds left over in a Participant’s account after the Exercise Date will be returned to the Participant. During a Participant’s lifetime, a Participant’s option to purchase shares hereunder is exercisable only by him or her.</w:t>
      </w:r>
    </w:p>
    <w:p>
      <w:pPr>
        <w:spacing w:after="0" w:line="163" w:lineRule="exact"/>
        <w:rPr>
          <w:rFonts w:ascii="Arial" w:cs="Arial" w:eastAsia="Arial" w:hAnsi="Arial"/>
          <w:sz w:val="15"/>
          <w:szCs w:val="15"/>
          <w:color w:val="auto"/>
        </w:rPr>
      </w:pPr>
    </w:p>
    <w:p>
      <w:pPr>
        <w:ind w:left="1250" w:hanging="334"/>
        <w:spacing w:after="0"/>
        <w:tabs>
          <w:tab w:leader="none" w:pos="1250" w:val="left"/>
        </w:tabs>
        <w:numPr>
          <w:ilvl w:val="2"/>
          <w:numId w:val="242"/>
        </w:numPr>
        <w:rPr>
          <w:rFonts w:ascii="Arial" w:cs="Arial" w:eastAsia="Arial" w:hAnsi="Arial"/>
          <w:sz w:val="13"/>
          <w:szCs w:val="13"/>
          <w:color w:val="auto"/>
        </w:rPr>
      </w:pPr>
      <w:r>
        <w:rPr>
          <w:rFonts w:ascii="Arial" w:cs="Arial" w:eastAsia="Arial" w:hAnsi="Arial"/>
          <w:sz w:val="13"/>
          <w:szCs w:val="13"/>
          <w:color w:val="auto"/>
        </w:rPr>
        <w:t>If the Administrator determines that, on a given Exercise Date, the number of shares of Common Stock with respect to which options are to be exercised may exceed</w:t>
      </w:r>
    </w:p>
    <w:p>
      <w:pPr>
        <w:spacing w:after="0" w:line="40" w:lineRule="exact"/>
        <w:rPr>
          <w:rFonts w:ascii="Arial" w:cs="Arial" w:eastAsia="Arial" w:hAnsi="Arial"/>
          <w:sz w:val="13"/>
          <w:szCs w:val="13"/>
          <w:color w:val="auto"/>
        </w:rPr>
      </w:pPr>
    </w:p>
    <w:p>
      <w:pPr>
        <w:ind w:left="10" w:right="360" w:hanging="10"/>
        <w:spacing w:after="0" w:line="262" w:lineRule="auto"/>
        <w:tabs>
          <w:tab w:leader="none" w:pos="189" w:val="left"/>
        </w:tabs>
        <w:numPr>
          <w:ilvl w:val="0"/>
          <w:numId w:val="243"/>
        </w:numPr>
        <w:rPr>
          <w:rFonts w:ascii="Arial" w:cs="Arial" w:eastAsia="Arial" w:hAnsi="Arial"/>
          <w:sz w:val="15"/>
          <w:szCs w:val="15"/>
          <w:color w:val="auto"/>
        </w:rPr>
      </w:pPr>
      <w:r>
        <w:rPr>
          <w:rFonts w:ascii="Arial" w:cs="Arial" w:eastAsia="Arial" w:hAnsi="Arial"/>
          <w:sz w:val="15"/>
          <w:szCs w:val="15"/>
          <w:color w:val="auto"/>
        </w:rPr>
        <w:t>the number of shares of Common Stock that were available for sale under the Plan on the Enrollment Date of the applicable Offering Period, or (ii) the number of shares of Common Stock available for</w:t>
      </w:r>
    </w:p>
    <w:p>
      <w:pPr>
        <w:spacing w:after="0" w:line="98" w:lineRule="exact"/>
        <w:rPr>
          <w:rFonts w:ascii="Arial" w:cs="Arial" w:eastAsia="Arial" w:hAnsi="Arial"/>
          <w:sz w:val="15"/>
          <w:szCs w:val="15"/>
          <w:color w:val="auto"/>
        </w:rPr>
      </w:pPr>
    </w:p>
    <w:p>
      <w:pPr>
        <w:ind w:left="5690" w:hanging="91"/>
        <w:spacing w:after="0"/>
        <w:tabs>
          <w:tab w:leader="none" w:pos="5690" w:val="left"/>
        </w:tabs>
        <w:numPr>
          <w:ilvl w:val="3"/>
          <w:numId w:val="243"/>
        </w:numPr>
        <w:rPr>
          <w:rFonts w:ascii="Arial" w:cs="Arial" w:eastAsia="Arial" w:hAnsi="Arial"/>
          <w:sz w:val="15"/>
          <w:szCs w:val="15"/>
          <w:color w:val="auto"/>
        </w:rPr>
      </w:pPr>
      <w:r>
        <w:rPr>
          <w:rFonts w:ascii="Arial" w:cs="Arial" w:eastAsia="Arial" w:hAnsi="Arial"/>
          <w:sz w:val="15"/>
          <w:szCs w:val="15"/>
          <w:color w:val="auto"/>
        </w:rPr>
        <w:t>8 -</w:t>
      </w:r>
    </w:p>
    <w:p>
      <w:pPr>
        <w:sectPr>
          <w:pgSz w:w="11900" w:h="16838" w:orient="portrait"/>
          <w:cols w:equalWidth="0" w:num="1">
            <w:col w:w="11450"/>
          </w:cols>
          <w:pgMar w:left="230" w:top="253" w:right="219" w:bottom="1440" w:gutter="0" w:footer="0" w:header="0"/>
        </w:sectPr>
      </w:pPr>
    </w:p>
    <w:bookmarkStart w:id="332" w:name="page333"/>
    <w:bookmarkEnd w:id="332"/>
    <w:p>
      <w:pPr>
        <w:ind w:right="20"/>
        <w:spacing w:after="0" w:line="300" w:lineRule="auto"/>
        <w:rPr>
          <w:sz w:val="20"/>
          <w:szCs w:val="20"/>
          <w:color w:val="auto"/>
        </w:rPr>
      </w:pPr>
      <w:r>
        <w:rPr>
          <w:rFonts w:ascii="Arial" w:cs="Arial" w:eastAsia="Arial" w:hAnsi="Arial"/>
          <w:sz w:val="13"/>
          <w:szCs w:val="13"/>
          <w:color w:val="auto"/>
        </w:rPr>
        <w:drawing>
          <wp:anchor simplePos="0" relativeHeight="251657728" behindDoc="1" locked="0" layoutInCell="0" allowOverlap="1">
            <wp:simplePos x="0" y="0"/>
            <wp:positionH relativeFrom="page">
              <wp:posOffset>133350</wp:posOffset>
            </wp:positionH>
            <wp:positionV relativeFrom="page">
              <wp:posOffset>88900</wp:posOffset>
            </wp:positionV>
            <wp:extent cx="7308850" cy="34290"/>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96">
                      <a:extLst>
                        <a:ext uri="{28A0092B-C50C-407E-A947-70E740481C1C}"/>
                      </a:extLst>
                    </a:blip>
                    <a:srcRect/>
                    <a:stretch>
                      <a:fillRect/>
                    </a:stretch>
                  </pic:blipFill>
                  <pic:spPr bwMode="auto">
                    <a:xfrm>
                      <a:off x="0" y="0"/>
                      <a:ext cx="7308850" cy="34290"/>
                    </a:xfrm>
                    <a:prstGeom prst="rect">
                      <a:avLst/>
                    </a:prstGeom>
                    <a:noFill/>
                  </pic:spPr>
                </pic:pic>
              </a:graphicData>
            </a:graphic>
          </wp:anchor>
        </w:drawing>
        <w:t>sale under the Plan on such Exercise Date, the Administrator may in its sole discretion (x) provide that the Company will make a pro rata allocation of the shares of Common Stock available for purchase on such Enrollment Date or Exercise Date, as applicable, in as uniform a manner as will be practicable and as it will determine in its sole discretion to be equitable among all Participants exercising options to purchase Common Stock on such Exercise Date, and continue all Offering Periods then in effect or (y) provide that the Company will make a pro rata allocation of the shares of Common Stock available for purchase on such Enrollment Date or Exercise Date, as applicable, in as uniform a manner as will be practicable and as it will determine in its sole discretion to be equitable among all participants exercising options to purchase Common Stock on such Exercise Date, and terminate any or all Offering Periods then in effect pursuant to Section 20. The Company may make a pro rata allocation of the shares available on the Enrollment Date of any applicable Offering Period pursuant to the preceding sentence, notwithstanding any authorization of additional shares for issuance under the Plan by the Company’s stockholders subsequent to such Enrollment Date.</w:t>
      </w:r>
    </w:p>
    <w:p>
      <w:pPr>
        <w:spacing w:after="0" w:line="136" w:lineRule="exact"/>
        <w:rPr>
          <w:sz w:val="20"/>
          <w:szCs w:val="20"/>
          <w:color w:val="auto"/>
        </w:rPr>
      </w:pPr>
    </w:p>
    <w:p>
      <w:pPr>
        <w:ind w:right="20" w:firstLine="448"/>
        <w:spacing w:after="0" w:line="277" w:lineRule="auto"/>
        <w:tabs>
          <w:tab w:leader="none" w:pos="721" w:val="left"/>
        </w:tabs>
        <w:numPr>
          <w:ilvl w:val="0"/>
          <w:numId w:val="244"/>
        </w:numPr>
        <w:rPr>
          <w:rFonts w:ascii="Arial" w:cs="Arial" w:eastAsia="Arial" w:hAnsi="Arial"/>
          <w:sz w:val="14"/>
          <w:szCs w:val="14"/>
          <w:color w:val="auto"/>
        </w:rPr>
      </w:pPr>
      <w:r>
        <w:rPr>
          <w:rFonts w:ascii="Arial" w:cs="Arial" w:eastAsia="Arial" w:hAnsi="Arial"/>
          <w:sz w:val="14"/>
          <w:szCs w:val="14"/>
          <w:u w:val="single" w:color="auto"/>
          <w:color w:val="auto"/>
        </w:rPr>
        <w:t>Delivery</w:t>
      </w:r>
      <w:r>
        <w:rPr>
          <w:rFonts w:ascii="Arial" w:cs="Arial" w:eastAsia="Arial" w:hAnsi="Arial"/>
          <w:sz w:val="14"/>
          <w:szCs w:val="14"/>
          <w:color w:val="auto"/>
        </w:rPr>
        <w:t>. As soon as reasonably practicable after each Exercise Date on which a purchase of shares of Common Stock occurs, the Company will arrange the delivery to each Participant of the shares purchased upon exercise of his or her option in a form determined by the Administrator (in its sole discretion) and pursuant to rules established by the Administrator. The Company may permit or require that shares be deposited directly with a broker designated by the Company or to a designated agent of the Company, and the Company may utilize electronic or automated methods of share transfer. The Company may require that shares be retained with such broker or agent for a designated period of time and/or may establish other procedures to permit tracking of disqualifying dispositions of such shares. No Participant will have any voting, dividend, or other stockholder rights with respect to shares of Common Stock subject to any option granted under the Plan until such shares have been purchased and delivered to the Participant as provided in this Section 9.</w:t>
      </w:r>
    </w:p>
    <w:p>
      <w:pPr>
        <w:spacing w:after="0" w:line="238" w:lineRule="exact"/>
        <w:rPr>
          <w:rFonts w:ascii="Arial" w:cs="Arial" w:eastAsia="Arial" w:hAnsi="Arial"/>
          <w:sz w:val="14"/>
          <w:szCs w:val="14"/>
          <w:color w:val="auto"/>
        </w:rPr>
      </w:pPr>
    </w:p>
    <w:p>
      <w:pPr>
        <w:ind w:left="780" w:hanging="332"/>
        <w:spacing w:after="0"/>
        <w:tabs>
          <w:tab w:leader="none" w:pos="780" w:val="left"/>
        </w:tabs>
        <w:numPr>
          <w:ilvl w:val="0"/>
          <w:numId w:val="244"/>
        </w:numPr>
        <w:rPr>
          <w:rFonts w:ascii="Arial" w:cs="Arial" w:eastAsia="Arial" w:hAnsi="Arial"/>
          <w:sz w:val="15"/>
          <w:szCs w:val="15"/>
          <w:color w:val="auto"/>
        </w:rPr>
      </w:pPr>
      <w:r>
        <w:rPr>
          <w:rFonts w:ascii="Arial" w:cs="Arial" w:eastAsia="Arial" w:hAnsi="Arial"/>
          <w:sz w:val="15"/>
          <w:szCs w:val="15"/>
          <w:u w:val="single" w:color="auto"/>
          <w:color w:val="auto"/>
        </w:rPr>
        <w:t>Withdrawal</w:t>
      </w:r>
      <w:r>
        <w:rPr>
          <w:rFonts w:ascii="Arial" w:cs="Arial" w:eastAsia="Arial" w:hAnsi="Arial"/>
          <w:sz w:val="15"/>
          <w:szCs w:val="15"/>
          <w:color w:val="auto"/>
        </w:rPr>
        <w:t>.</w:t>
      </w:r>
    </w:p>
    <w:p>
      <w:pPr>
        <w:spacing w:after="0" w:line="98" w:lineRule="exact"/>
        <w:rPr>
          <w:rFonts w:ascii="Arial" w:cs="Arial" w:eastAsia="Arial" w:hAnsi="Arial"/>
          <w:sz w:val="15"/>
          <w:szCs w:val="15"/>
          <w:color w:val="auto"/>
        </w:rPr>
      </w:pPr>
    </w:p>
    <w:p>
      <w:pPr>
        <w:ind w:right="20" w:firstLine="906"/>
        <w:spacing w:after="0" w:line="277" w:lineRule="auto"/>
        <w:tabs>
          <w:tab w:leader="none" w:pos="1225" w:val="left"/>
        </w:tabs>
        <w:numPr>
          <w:ilvl w:val="1"/>
          <w:numId w:val="244"/>
        </w:numPr>
        <w:rPr>
          <w:rFonts w:ascii="Arial" w:cs="Arial" w:eastAsia="Arial" w:hAnsi="Arial"/>
          <w:sz w:val="14"/>
          <w:szCs w:val="14"/>
          <w:color w:val="auto"/>
        </w:rPr>
      </w:pPr>
      <w:r>
        <w:rPr>
          <w:rFonts w:ascii="Arial" w:cs="Arial" w:eastAsia="Arial" w:hAnsi="Arial"/>
          <w:sz w:val="14"/>
          <w:szCs w:val="14"/>
          <w:color w:val="auto"/>
        </w:rPr>
        <w:t xml:space="preserve">A Participant may withdraw all but not less than all the Contributions credited to his or her account and not yet used to exercise his or her option under the Plan at any time by (i) submitting to the Company’s stock administration office (or its designee) a written notice of withdrawal in the form determined by the Administrator for such purpose (which may be similar to the form attached hereto as </w:t>
      </w:r>
      <w:r>
        <w:rPr>
          <w:rFonts w:ascii="Arial" w:cs="Arial" w:eastAsia="Arial" w:hAnsi="Arial"/>
          <w:sz w:val="14"/>
          <w:szCs w:val="14"/>
          <w:u w:val="single" w:color="auto"/>
          <w:color w:val="auto"/>
        </w:rPr>
        <w:t>Exhibit B</w:t>
      </w:r>
      <w:r>
        <w:rPr>
          <w:rFonts w:ascii="Arial" w:cs="Arial" w:eastAsia="Arial" w:hAnsi="Arial"/>
          <w:sz w:val="14"/>
          <w:szCs w:val="14"/>
          <w:color w:val="auto"/>
        </w:rPr>
        <w:t>), or (ii) following an electronic or other withdrawal procedure determined by the Administrator. All of the Participant’s Contributions credited to his or her account will be paid to such Participant promptly after receipt of notice of withdrawal and such Participant’s option for the Offering Period will be automatically terminated, and no further Contributions for the purchase of shares will be made for such Offering Period. If a Participant withdraws from an Offering Period, Contributions will not resume at the beginning of the succeeding Offering Period, unless the Participant re-enrolls in the Plan in accordance with the provisions of Section 5.</w:t>
      </w:r>
    </w:p>
    <w:p>
      <w:pPr>
        <w:spacing w:after="0" w:line="148" w:lineRule="exact"/>
        <w:rPr>
          <w:rFonts w:ascii="Arial" w:cs="Arial" w:eastAsia="Arial" w:hAnsi="Arial"/>
          <w:sz w:val="14"/>
          <w:szCs w:val="14"/>
          <w:color w:val="auto"/>
        </w:rPr>
      </w:pPr>
    </w:p>
    <w:p>
      <w:pPr>
        <w:ind w:firstLine="906"/>
        <w:spacing w:after="0" w:line="275" w:lineRule="auto"/>
        <w:tabs>
          <w:tab w:leader="none" w:pos="1233" w:val="left"/>
        </w:tabs>
        <w:numPr>
          <w:ilvl w:val="1"/>
          <w:numId w:val="244"/>
        </w:numPr>
        <w:rPr>
          <w:rFonts w:ascii="Arial" w:cs="Arial" w:eastAsia="Arial" w:hAnsi="Arial"/>
          <w:sz w:val="15"/>
          <w:szCs w:val="15"/>
          <w:color w:val="auto"/>
        </w:rPr>
      </w:pPr>
      <w:r>
        <w:rPr>
          <w:rFonts w:ascii="Arial" w:cs="Arial" w:eastAsia="Arial" w:hAnsi="Arial"/>
          <w:sz w:val="15"/>
          <w:szCs w:val="15"/>
          <w:color w:val="auto"/>
        </w:rPr>
        <w:t>A Participant’s withdrawal from an Offering Period will not have any effect on his or her eligibility to participate in any similar plan that may hereafter be adopted by the Company or in succeeding Offering Periods that commence after the termination of the Offering Period from which the Participant withdraws.</w:t>
      </w:r>
    </w:p>
    <w:p>
      <w:pPr>
        <w:spacing w:after="0" w:line="89" w:lineRule="exact"/>
        <w:rPr>
          <w:rFonts w:ascii="Arial" w:cs="Arial" w:eastAsia="Arial" w:hAnsi="Arial"/>
          <w:sz w:val="15"/>
          <w:szCs w:val="15"/>
          <w:color w:val="auto"/>
        </w:rPr>
      </w:pPr>
    </w:p>
    <w:p>
      <w:pPr>
        <w:ind w:left="5680" w:hanging="91"/>
        <w:spacing w:after="0"/>
        <w:tabs>
          <w:tab w:leader="none" w:pos="5680" w:val="left"/>
        </w:tabs>
        <w:numPr>
          <w:ilvl w:val="2"/>
          <w:numId w:val="244"/>
        </w:numPr>
        <w:rPr>
          <w:rFonts w:ascii="Arial" w:cs="Arial" w:eastAsia="Arial" w:hAnsi="Arial"/>
          <w:sz w:val="15"/>
          <w:szCs w:val="15"/>
          <w:color w:val="auto"/>
        </w:rPr>
      </w:pPr>
      <w:r>
        <w:rPr>
          <w:rFonts w:ascii="Arial" w:cs="Arial" w:eastAsia="Arial" w:hAnsi="Arial"/>
          <w:sz w:val="15"/>
          <w:szCs w:val="15"/>
          <w:color w:val="auto"/>
        </w:rPr>
        <w:t>9 -</w:t>
      </w:r>
    </w:p>
    <w:p>
      <w:pPr>
        <w:sectPr>
          <w:pgSz w:w="11900" w:h="16838" w:orient="portrait"/>
          <w:cols w:equalWidth="0" w:num="1">
            <w:col w:w="11420"/>
          </w:cols>
          <w:pgMar w:left="240" w:top="253" w:right="239" w:bottom="1440" w:gutter="0" w:footer="0" w:header="0"/>
        </w:sectPr>
      </w:pPr>
    </w:p>
    <w:bookmarkStart w:id="333" w:name="page334"/>
    <w:bookmarkEnd w:id="333"/>
    <w:p>
      <w:pPr>
        <w:ind w:firstLine="448"/>
        <w:spacing w:after="0" w:line="302" w:lineRule="auto"/>
        <w:tabs>
          <w:tab w:leader="none" w:pos="790" w:val="left"/>
        </w:tabs>
        <w:numPr>
          <w:ilvl w:val="0"/>
          <w:numId w:val="245"/>
        </w:numPr>
        <w:rPr>
          <w:rFonts w:ascii="Arial" w:cs="Arial" w:eastAsia="Arial" w:hAnsi="Arial"/>
          <w:sz w:val="13"/>
          <w:szCs w:val="13"/>
          <w:color w:val="auto"/>
        </w:rPr>
      </w:pPr>
      <w:r>
        <w:rPr>
          <w:rFonts w:ascii="Arial" w:cs="Arial" w:eastAsia="Arial" w:hAnsi="Arial"/>
          <w:sz w:val="13"/>
          <w:szCs w:val="13"/>
          <w:u w:val="single" w:color="auto"/>
          <w:color w:val="auto"/>
        </w:rPr>
        <w:drawing>
          <wp:anchor simplePos="0" relativeHeight="251657728" behindDoc="1" locked="0" layoutInCell="0" allowOverlap="1">
            <wp:simplePos x="0" y="0"/>
            <wp:positionH relativeFrom="page">
              <wp:posOffset>133350</wp:posOffset>
            </wp:positionH>
            <wp:positionV relativeFrom="page">
              <wp:posOffset>88900</wp:posOffset>
            </wp:positionV>
            <wp:extent cx="7308850" cy="34290"/>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97">
                      <a:extLst>
                        <a:ext uri="{28A0092B-C50C-407E-A947-70E740481C1C}"/>
                      </a:extLst>
                    </a:blip>
                    <a:srcRect/>
                    <a:stretch>
                      <a:fillRect/>
                    </a:stretch>
                  </pic:blipFill>
                  <pic:spPr bwMode="auto">
                    <a:xfrm>
                      <a:off x="0" y="0"/>
                      <a:ext cx="7308850" cy="34290"/>
                    </a:xfrm>
                    <a:prstGeom prst="rect">
                      <a:avLst/>
                    </a:prstGeom>
                    <a:noFill/>
                  </pic:spPr>
                </pic:pic>
              </a:graphicData>
            </a:graphic>
          </wp:anchor>
        </w:drawing>
        <w:t>Termination of Employment</w:t>
      </w:r>
      <w:r>
        <w:rPr>
          <w:rFonts w:ascii="Arial" w:cs="Arial" w:eastAsia="Arial" w:hAnsi="Arial"/>
          <w:sz w:val="13"/>
          <w:szCs w:val="13"/>
          <w:color w:val="auto"/>
        </w:rPr>
        <w:t>. Upon a Participant’s ceasing to be an Eligible Employee, for any reason, he or she will be deemed to have elected to withdraw from the Plan and the Contributions credited to such Participant’s account during the Offering Period but not yet used to purchase shares of Common Stock under the Plan will be returned to such Participant or, in the case of his or her death, to the person or persons entitled thereto under Section 15, and such Participant’s option will be automatically terminated. Unless otherwise provided by the Administrator, a Participant whose employment transfers between entities through a termination with an immediate rehire (with no break in service) by the Company or a Designated Company will not be treated as terminated under the Plan; however, if a Participant transfers from an Offering under the 423 Component to the Non-423 Component, the exercise of the option will be qualified under the 423 Component only to the extent it complies with Section 423 of the Code, unless otherwise provided by the Administrator.</w:t>
      </w:r>
    </w:p>
    <w:p>
      <w:pPr>
        <w:spacing w:after="0" w:line="134" w:lineRule="exact"/>
        <w:rPr>
          <w:rFonts w:ascii="Arial" w:cs="Arial" w:eastAsia="Arial" w:hAnsi="Arial"/>
          <w:sz w:val="13"/>
          <w:szCs w:val="13"/>
          <w:color w:val="auto"/>
        </w:rPr>
      </w:pPr>
    </w:p>
    <w:p>
      <w:pPr>
        <w:ind w:right="180" w:firstLine="448"/>
        <w:spacing w:after="0" w:line="263" w:lineRule="auto"/>
        <w:tabs>
          <w:tab w:leader="none" w:pos="796" w:val="left"/>
        </w:tabs>
        <w:numPr>
          <w:ilvl w:val="0"/>
          <w:numId w:val="245"/>
        </w:numPr>
        <w:rPr>
          <w:rFonts w:ascii="Arial" w:cs="Arial" w:eastAsia="Arial" w:hAnsi="Arial"/>
          <w:sz w:val="15"/>
          <w:szCs w:val="15"/>
          <w:color w:val="auto"/>
        </w:rPr>
      </w:pPr>
      <w:r>
        <w:rPr>
          <w:rFonts w:ascii="Arial" w:cs="Arial" w:eastAsia="Arial" w:hAnsi="Arial"/>
          <w:sz w:val="15"/>
          <w:szCs w:val="15"/>
          <w:u w:val="single" w:color="auto"/>
          <w:color w:val="auto"/>
        </w:rPr>
        <w:t>Interest</w:t>
      </w:r>
      <w:r>
        <w:rPr>
          <w:rFonts w:ascii="Arial" w:cs="Arial" w:eastAsia="Arial" w:hAnsi="Arial"/>
          <w:sz w:val="15"/>
          <w:szCs w:val="15"/>
          <w:color w:val="auto"/>
        </w:rPr>
        <w:t>. No interest will accrue on the Contributions of a participant in the Plan, except as may be required by Applicable Law, as determined by the Company, and if so required by the laws of a particular jurisdiction, will apply to all Participants in the relevant Offering under the 423 Component, except to the extent otherwise permitted by U.S. Treasury Regulation Section 1.423-2(f).</w:t>
      </w:r>
    </w:p>
    <w:p>
      <w:pPr>
        <w:spacing w:after="0" w:line="245" w:lineRule="exact"/>
        <w:rPr>
          <w:rFonts w:ascii="Arial" w:cs="Arial" w:eastAsia="Arial" w:hAnsi="Arial"/>
          <w:sz w:val="15"/>
          <w:szCs w:val="15"/>
          <w:color w:val="auto"/>
        </w:rPr>
      </w:pPr>
    </w:p>
    <w:p>
      <w:pPr>
        <w:ind w:left="780" w:hanging="332"/>
        <w:spacing w:after="0"/>
        <w:tabs>
          <w:tab w:leader="none" w:pos="780" w:val="left"/>
        </w:tabs>
        <w:numPr>
          <w:ilvl w:val="0"/>
          <w:numId w:val="245"/>
        </w:numPr>
        <w:rPr>
          <w:rFonts w:ascii="Arial" w:cs="Arial" w:eastAsia="Arial" w:hAnsi="Arial"/>
          <w:sz w:val="15"/>
          <w:szCs w:val="15"/>
          <w:color w:val="auto"/>
        </w:rPr>
      </w:pPr>
      <w:r>
        <w:rPr>
          <w:rFonts w:ascii="Arial" w:cs="Arial" w:eastAsia="Arial" w:hAnsi="Arial"/>
          <w:sz w:val="15"/>
          <w:szCs w:val="15"/>
          <w:u w:val="single" w:color="auto"/>
          <w:color w:val="auto"/>
        </w:rPr>
        <w:t>Stock</w:t>
      </w:r>
      <w:r>
        <w:rPr>
          <w:rFonts w:ascii="Arial" w:cs="Arial" w:eastAsia="Arial" w:hAnsi="Arial"/>
          <w:sz w:val="15"/>
          <w:szCs w:val="15"/>
          <w:color w:val="auto"/>
        </w:rPr>
        <w:t>.</w:t>
      </w:r>
    </w:p>
    <w:p>
      <w:pPr>
        <w:spacing w:after="0" w:line="98" w:lineRule="exact"/>
        <w:rPr>
          <w:rFonts w:ascii="Arial" w:cs="Arial" w:eastAsia="Arial" w:hAnsi="Arial"/>
          <w:sz w:val="15"/>
          <w:szCs w:val="15"/>
          <w:color w:val="auto"/>
        </w:rPr>
      </w:pPr>
    </w:p>
    <w:p>
      <w:pPr>
        <w:ind w:right="140" w:firstLine="906"/>
        <w:spacing w:after="0" w:line="257" w:lineRule="auto"/>
        <w:tabs>
          <w:tab w:leader="none" w:pos="1233" w:val="left"/>
        </w:tabs>
        <w:numPr>
          <w:ilvl w:val="1"/>
          <w:numId w:val="245"/>
        </w:numPr>
        <w:rPr>
          <w:rFonts w:ascii="Arial" w:cs="Arial" w:eastAsia="Arial" w:hAnsi="Arial"/>
          <w:sz w:val="15"/>
          <w:szCs w:val="15"/>
          <w:color w:val="auto"/>
        </w:rPr>
      </w:pPr>
      <w:r>
        <w:rPr>
          <w:rFonts w:ascii="Arial" w:cs="Arial" w:eastAsia="Arial" w:hAnsi="Arial"/>
          <w:sz w:val="15"/>
          <w:szCs w:val="15"/>
          <w:color w:val="auto"/>
        </w:rPr>
        <w:t>Subject to adjustment upon changes in capitalization of the Company as provided in Section 19 hereof, the maximum number of shares of Common Stock that will be made available for sale under the Plan will be 4,136,832 shares of Common Stock. The number of shares of Common Stock available for issuance under the Plan will be increased on the first day of each Fiscal Year beginning for the Fiscal Year following the Fiscal Year in which the first Enrollment Date (if any) occurs equal to the least of (i) 4,136,832 shares of Common Stock, (ii) 1.5% of the outstanding shares of all classes of the Company’s common stock on the last day of the immediately preceding Fiscal Year, or (iii) an amount determined by the Administrator.</w:t>
      </w:r>
    </w:p>
    <w:p>
      <w:pPr>
        <w:spacing w:after="0" w:line="159" w:lineRule="exact"/>
        <w:rPr>
          <w:rFonts w:ascii="Arial" w:cs="Arial" w:eastAsia="Arial" w:hAnsi="Arial"/>
          <w:sz w:val="15"/>
          <w:szCs w:val="15"/>
          <w:color w:val="auto"/>
        </w:rPr>
      </w:pPr>
    </w:p>
    <w:p>
      <w:pPr>
        <w:ind w:right="20" w:firstLine="906"/>
        <w:spacing w:after="0" w:line="263" w:lineRule="auto"/>
        <w:tabs>
          <w:tab w:leader="none" w:pos="1241" w:val="left"/>
        </w:tabs>
        <w:numPr>
          <w:ilvl w:val="1"/>
          <w:numId w:val="245"/>
        </w:numPr>
        <w:rPr>
          <w:rFonts w:ascii="Arial" w:cs="Arial" w:eastAsia="Arial" w:hAnsi="Arial"/>
          <w:sz w:val="15"/>
          <w:szCs w:val="15"/>
          <w:color w:val="auto"/>
        </w:rPr>
      </w:pPr>
      <w:r>
        <w:rPr>
          <w:rFonts w:ascii="Arial" w:cs="Arial" w:eastAsia="Arial" w:hAnsi="Arial"/>
          <w:sz w:val="15"/>
          <w:szCs w:val="15"/>
          <w:color w:val="auto"/>
        </w:rPr>
        <w:t>Until the shares of Common Stock are issued (as evidenced by the appropriate entry on the books of the Company or of a duly authorized transfer agent of the Company), a Participant will have only the rights of an unsecured creditor with respect to such shares, and no right to vote or receive dividends or any other rights as a stockholder will exist with respect to such shares.</w:t>
      </w:r>
    </w:p>
    <w:p>
      <w:pPr>
        <w:spacing w:after="0" w:line="154" w:lineRule="exact"/>
        <w:rPr>
          <w:rFonts w:ascii="Arial" w:cs="Arial" w:eastAsia="Arial" w:hAnsi="Arial"/>
          <w:sz w:val="15"/>
          <w:szCs w:val="15"/>
          <w:color w:val="auto"/>
        </w:rPr>
      </w:pPr>
    </w:p>
    <w:p>
      <w:pPr>
        <w:ind w:left="1220" w:hanging="314"/>
        <w:spacing w:after="0"/>
        <w:tabs>
          <w:tab w:leader="none" w:pos="1220" w:val="left"/>
        </w:tabs>
        <w:numPr>
          <w:ilvl w:val="1"/>
          <w:numId w:val="245"/>
        </w:numPr>
        <w:rPr>
          <w:rFonts w:ascii="Arial" w:cs="Arial" w:eastAsia="Arial" w:hAnsi="Arial"/>
          <w:sz w:val="13"/>
          <w:szCs w:val="13"/>
          <w:color w:val="auto"/>
        </w:rPr>
      </w:pPr>
      <w:r>
        <w:rPr>
          <w:rFonts w:ascii="Arial" w:cs="Arial" w:eastAsia="Arial" w:hAnsi="Arial"/>
          <w:sz w:val="13"/>
          <w:szCs w:val="13"/>
          <w:color w:val="auto"/>
        </w:rPr>
        <w:t>Shares of Common Stock to be delivered to a Participant under the Plan will be registered in the name of the Participant or in the name of the Participant and his or her</w:t>
      </w:r>
    </w:p>
    <w:p>
      <w:pPr>
        <w:spacing w:after="0" w:line="40"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5"/>
          <w:szCs w:val="15"/>
          <w:color w:val="auto"/>
        </w:rPr>
        <w:t>spouse.</w:t>
      </w:r>
    </w:p>
    <w:p>
      <w:pPr>
        <w:spacing w:after="0" w:line="122" w:lineRule="exact"/>
        <w:rPr>
          <w:rFonts w:ascii="Arial" w:cs="Arial" w:eastAsia="Arial" w:hAnsi="Arial"/>
          <w:sz w:val="13"/>
          <w:szCs w:val="13"/>
          <w:color w:val="auto"/>
        </w:rPr>
      </w:pPr>
    </w:p>
    <w:p>
      <w:pPr>
        <w:ind w:left="5640" w:hanging="89"/>
        <w:spacing w:after="0"/>
        <w:tabs>
          <w:tab w:leader="none" w:pos="5640" w:val="left"/>
        </w:tabs>
        <w:numPr>
          <w:ilvl w:val="2"/>
          <w:numId w:val="245"/>
        </w:numPr>
        <w:rPr>
          <w:rFonts w:ascii="Arial" w:cs="Arial" w:eastAsia="Arial" w:hAnsi="Arial"/>
          <w:sz w:val="15"/>
          <w:szCs w:val="15"/>
          <w:color w:val="auto"/>
        </w:rPr>
      </w:pPr>
      <w:r>
        <w:rPr>
          <w:rFonts w:ascii="Arial" w:cs="Arial" w:eastAsia="Arial" w:hAnsi="Arial"/>
          <w:sz w:val="15"/>
          <w:szCs w:val="15"/>
          <w:color w:val="auto"/>
        </w:rPr>
        <w:t>10 -</w:t>
      </w:r>
    </w:p>
    <w:p>
      <w:pPr>
        <w:sectPr>
          <w:pgSz w:w="11900" w:h="16838" w:orient="portrait"/>
          <w:cols w:equalWidth="0" w:num="1">
            <w:col w:w="11360"/>
          </w:cols>
          <w:pgMar w:left="240" w:top="253" w:right="299" w:bottom="1440" w:gutter="0" w:footer="0" w:header="0"/>
        </w:sectPr>
      </w:pPr>
    </w:p>
    <w:bookmarkStart w:id="334" w:name="page335"/>
    <w:bookmarkEnd w:id="334"/>
    <w:p>
      <w:pPr>
        <w:ind w:left="-448" w:firstLine="448"/>
        <w:spacing w:after="0" w:line="272" w:lineRule="auto"/>
        <w:tabs>
          <w:tab w:leader="none" w:pos="348" w:val="left"/>
        </w:tabs>
        <w:numPr>
          <w:ilvl w:val="0"/>
          <w:numId w:val="246"/>
        </w:numPr>
        <w:rPr>
          <w:rFonts w:ascii="Arial" w:cs="Arial" w:eastAsia="Arial" w:hAnsi="Arial"/>
          <w:sz w:val="14"/>
          <w:szCs w:val="14"/>
          <w:color w:val="auto"/>
        </w:rPr>
      </w:pPr>
      <w:r>
        <w:rPr>
          <w:rFonts w:ascii="Arial" w:cs="Arial" w:eastAsia="Arial" w:hAnsi="Arial"/>
          <w:sz w:val="14"/>
          <w:szCs w:val="14"/>
          <w:u w:val="single" w:color="auto"/>
          <w:color w:val="auto"/>
        </w:rPr>
        <w:drawing>
          <wp:anchor simplePos="0" relativeHeight="251657728" behindDoc="1" locked="0" layoutInCell="0" allowOverlap="1">
            <wp:simplePos x="0" y="0"/>
            <wp:positionH relativeFrom="page">
              <wp:posOffset>133350</wp:posOffset>
            </wp:positionH>
            <wp:positionV relativeFrom="page">
              <wp:posOffset>88900</wp:posOffset>
            </wp:positionV>
            <wp:extent cx="7308850" cy="34290"/>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98">
                      <a:extLst>
                        <a:ext uri="{28A0092B-C50C-407E-A947-70E740481C1C}"/>
                      </a:extLst>
                    </a:blip>
                    <a:srcRect/>
                    <a:stretch>
                      <a:fillRect/>
                    </a:stretch>
                  </pic:blipFill>
                  <pic:spPr bwMode="auto">
                    <a:xfrm>
                      <a:off x="0" y="0"/>
                      <a:ext cx="7308850" cy="34290"/>
                    </a:xfrm>
                    <a:prstGeom prst="rect">
                      <a:avLst/>
                    </a:prstGeom>
                    <a:noFill/>
                  </pic:spPr>
                </pic:pic>
              </a:graphicData>
            </a:graphic>
          </wp:anchor>
        </w:drawing>
        <w:t>Administration</w:t>
      </w:r>
      <w:r>
        <w:rPr>
          <w:rFonts w:ascii="Arial" w:cs="Arial" w:eastAsia="Arial" w:hAnsi="Arial"/>
          <w:sz w:val="14"/>
          <w:szCs w:val="14"/>
          <w:color w:val="auto"/>
        </w:rPr>
        <w:t>. The Plan will be administered by the Board or a Committee appointed by the Board, which Committee will be constituted to comply with Applicable Laws. The Administrator will have full and exclusive discretionary authority to construe, interpret and apply the terms of the Plan, to delegate ministerial duties to any of the Company’s employees, to designate separate Offerings under the Plan, to designate Subsidiaries and Affiliates of the Company as participating in the 423 Component or Non-423 Component, to determine eligibility, to adjudicate all disputed claims filed under the Plan and to establish such procedures that it deems necessary for the administration of the Plan (including, without limitation, to adopt such procedures and sub-plans as are necessary or appropriate to permit the participation in the Plan by employees who are foreign nationals or employed outside the U.S., the terms of which sub-plans may take precedence over other provisions of this Plan, with the exception of Section 13(a) hereof, but unless otherwise superseded by the terms of such sub-plan, the provisions of this Plan will govern the operation of such sub-plan). Unless otherwise determined by the Administrator, the Eligible Employees eligible to participate in each sub-plan will participate in a separate Offering or in the Non-423 Component. Without limiting the generality of the foregoing, the Administrator is specifically authorized to adopt rules and procedures regarding eligibility to participate, the definition of Compensation, handling of Contributions, making of Contributions to the Plan (including, without limitation, in forms other than payroll deductions), establishment of bank or trust accounts to hold Contributions, payment of interest, conversion of local currency, obligations to pay payroll tax, determination of beneficiary designation requirements, withholding procedures and handling of stock certificates that vary with applicable local requirements. The Administrator also is authorized to determine that, to the extent permitted by U.S. Treasury Regulation Section 1.423-2(f), the terms of an option granted under the Plan or an Offering to citizens or residents of a non-U.S. jurisdiction will be less favorable than the terms of options granted under the Plan or the same Offering to employees resident solely in the U.S. Every finding, decision, and determination made by the Administrator will, to the full extent permitted by law, be final and binding upon all parties.</w:t>
      </w:r>
    </w:p>
    <w:p>
      <w:pPr>
        <w:spacing w:after="0" w:line="242" w:lineRule="exact"/>
        <w:rPr>
          <w:rFonts w:ascii="Arial" w:cs="Arial" w:eastAsia="Arial" w:hAnsi="Arial"/>
          <w:sz w:val="14"/>
          <w:szCs w:val="14"/>
          <w:color w:val="auto"/>
        </w:rPr>
      </w:pPr>
    </w:p>
    <w:p>
      <w:pPr>
        <w:ind w:left="332" w:hanging="332"/>
        <w:spacing w:after="0"/>
        <w:tabs>
          <w:tab w:leader="none" w:pos="332" w:val="left"/>
        </w:tabs>
        <w:numPr>
          <w:ilvl w:val="0"/>
          <w:numId w:val="246"/>
        </w:numPr>
        <w:rPr>
          <w:rFonts w:ascii="Arial" w:cs="Arial" w:eastAsia="Arial" w:hAnsi="Arial"/>
          <w:sz w:val="15"/>
          <w:szCs w:val="15"/>
          <w:color w:val="auto"/>
        </w:rPr>
      </w:pPr>
      <w:r>
        <w:rPr>
          <w:rFonts w:ascii="Arial" w:cs="Arial" w:eastAsia="Arial" w:hAnsi="Arial"/>
          <w:sz w:val="15"/>
          <w:szCs w:val="15"/>
          <w:u w:val="single" w:color="auto"/>
          <w:color w:val="auto"/>
        </w:rPr>
        <w:t>Designation of Beneficiary</w:t>
      </w:r>
      <w:r>
        <w:rPr>
          <w:rFonts w:ascii="Arial" w:cs="Arial" w:eastAsia="Arial" w:hAnsi="Arial"/>
          <w:sz w:val="15"/>
          <w:szCs w:val="15"/>
          <w:color w:val="auto"/>
        </w:rPr>
        <w:t>.</w:t>
      </w:r>
    </w:p>
    <w:p>
      <w:pPr>
        <w:spacing w:after="0" w:line="98" w:lineRule="exact"/>
        <w:rPr>
          <w:rFonts w:ascii="Arial" w:cs="Arial" w:eastAsia="Arial" w:hAnsi="Arial"/>
          <w:sz w:val="15"/>
          <w:szCs w:val="15"/>
          <w:color w:val="auto"/>
        </w:rPr>
      </w:pPr>
    </w:p>
    <w:p>
      <w:pPr>
        <w:ind w:left="-448" w:firstLine="906"/>
        <w:spacing w:after="0" w:line="257" w:lineRule="auto"/>
        <w:tabs>
          <w:tab w:leader="none" w:pos="785" w:val="left"/>
        </w:tabs>
        <w:numPr>
          <w:ilvl w:val="1"/>
          <w:numId w:val="246"/>
        </w:numPr>
        <w:rPr>
          <w:rFonts w:ascii="Arial" w:cs="Arial" w:eastAsia="Arial" w:hAnsi="Arial"/>
          <w:sz w:val="15"/>
          <w:szCs w:val="15"/>
          <w:color w:val="auto"/>
        </w:rPr>
      </w:pPr>
      <w:r>
        <w:rPr>
          <w:rFonts w:ascii="Arial" w:cs="Arial" w:eastAsia="Arial" w:hAnsi="Arial"/>
          <w:sz w:val="15"/>
          <w:szCs w:val="15"/>
          <w:color w:val="auto"/>
        </w:rPr>
        <w:t>If permitted by the Administrator, a Participant may file a designation of a beneficiary who is to receive any shares of Common Stock and cash, if any, from the Participant’s account under the Plan in the event of such Participant’s death subsequent to an Exercise Date on which the option is exercised but prior to delivery to such Participant of such shares and cash. In addition, if permitted by the Administrator, a Participant may file a designation of a beneficiary who is to receive any cash from the Participant’s account under the Plan in the event of such Participant’s death prior to exercise of the option. If a Participant is married and the designated beneficiary is not the spouse, spousal consent will be required for such designation to be effective.</w:t>
      </w:r>
    </w:p>
    <w:p>
      <w:pPr>
        <w:spacing w:after="0" w:line="159" w:lineRule="exact"/>
        <w:rPr>
          <w:rFonts w:ascii="Arial" w:cs="Arial" w:eastAsia="Arial" w:hAnsi="Arial"/>
          <w:sz w:val="15"/>
          <w:szCs w:val="15"/>
          <w:color w:val="auto"/>
        </w:rPr>
      </w:pPr>
    </w:p>
    <w:p>
      <w:pPr>
        <w:ind w:left="-448" w:right="60" w:firstLine="906"/>
        <w:spacing w:after="0" w:line="257" w:lineRule="auto"/>
        <w:tabs>
          <w:tab w:leader="none" w:pos="793" w:val="left"/>
        </w:tabs>
        <w:numPr>
          <w:ilvl w:val="1"/>
          <w:numId w:val="246"/>
        </w:numPr>
        <w:rPr>
          <w:rFonts w:ascii="Arial" w:cs="Arial" w:eastAsia="Arial" w:hAnsi="Arial"/>
          <w:sz w:val="15"/>
          <w:szCs w:val="15"/>
          <w:color w:val="auto"/>
        </w:rPr>
      </w:pPr>
      <w:r>
        <w:rPr>
          <w:rFonts w:ascii="Arial" w:cs="Arial" w:eastAsia="Arial" w:hAnsi="Arial"/>
          <w:sz w:val="15"/>
          <w:szCs w:val="15"/>
          <w:color w:val="auto"/>
        </w:rPr>
        <w:t>Such designation of beneficiary may be changed by the Participant at any time by notice in a form determined by the Administrator. In the event of the death of a Participant and in the absence of a beneficiary validly designated under the Plan who is living at the time of such Participant’s death, the Company will deliver such shares and/or cash to the executor or administrator of the estate of the Participant, or if no such executor or administrator has been appointed (to the knowledge of the Company), the Company, in its discretion, may deliver such shares and/or cash to the spouse or to any one or more dependents or relatives of the Participant, or if no spouse, dependent or relative is known to the Company, then to such other person as the Company may designate.</w:t>
      </w:r>
    </w:p>
    <w:p>
      <w:pPr>
        <w:spacing w:after="0" w:line="102" w:lineRule="exact"/>
        <w:rPr>
          <w:rFonts w:ascii="Arial" w:cs="Arial" w:eastAsia="Arial" w:hAnsi="Arial"/>
          <w:sz w:val="15"/>
          <w:szCs w:val="15"/>
          <w:color w:val="auto"/>
        </w:rPr>
      </w:pPr>
    </w:p>
    <w:p>
      <w:pPr>
        <w:ind w:left="5192" w:hanging="86"/>
        <w:spacing w:after="0"/>
        <w:tabs>
          <w:tab w:leader="none" w:pos="5192" w:val="left"/>
        </w:tabs>
        <w:numPr>
          <w:ilvl w:val="2"/>
          <w:numId w:val="246"/>
        </w:numPr>
        <w:rPr>
          <w:rFonts w:ascii="Arial" w:cs="Arial" w:eastAsia="Arial" w:hAnsi="Arial"/>
          <w:sz w:val="15"/>
          <w:szCs w:val="15"/>
          <w:color w:val="auto"/>
        </w:rPr>
      </w:pPr>
      <w:r>
        <w:rPr>
          <w:rFonts w:ascii="Arial" w:cs="Arial" w:eastAsia="Arial" w:hAnsi="Arial"/>
          <w:sz w:val="15"/>
          <w:szCs w:val="15"/>
          <w:color w:val="auto"/>
        </w:rPr>
        <w:t>11 -</w:t>
      </w:r>
    </w:p>
    <w:p>
      <w:pPr>
        <w:sectPr>
          <w:pgSz w:w="11900" w:h="16838" w:orient="portrait"/>
          <w:cols w:equalWidth="0" w:num="1">
            <w:col w:w="10972"/>
          </w:cols>
          <w:pgMar w:left="688" w:top="253" w:right="239" w:bottom="1440" w:gutter="0" w:footer="0" w:header="0"/>
        </w:sectPr>
      </w:pPr>
    </w:p>
    <w:bookmarkStart w:id="335" w:name="page336"/>
    <w:bookmarkEnd w:id="335"/>
    <w:p>
      <w:pPr>
        <w:ind w:right="180" w:firstLine="906"/>
        <w:spacing w:after="0" w:line="276" w:lineRule="auto"/>
        <w:tabs>
          <w:tab w:leader="none" w:pos="1225" w:val="left"/>
        </w:tabs>
        <w:numPr>
          <w:ilvl w:val="1"/>
          <w:numId w:val="247"/>
        </w:numPr>
        <w:rPr>
          <w:rFonts w:ascii="Arial" w:cs="Arial" w:eastAsia="Arial" w:hAnsi="Arial"/>
          <w:sz w:val="14"/>
          <w:szCs w:val="14"/>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133350</wp:posOffset>
            </wp:positionH>
            <wp:positionV relativeFrom="page">
              <wp:posOffset>88900</wp:posOffset>
            </wp:positionV>
            <wp:extent cx="7308850" cy="34290"/>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99">
                      <a:extLst>
                        <a:ext uri="{28A0092B-C50C-407E-A947-70E740481C1C}"/>
                      </a:extLst>
                    </a:blip>
                    <a:srcRect/>
                    <a:stretch>
                      <a:fillRect/>
                    </a:stretch>
                  </pic:blipFill>
                  <pic:spPr bwMode="auto">
                    <a:xfrm>
                      <a:off x="0" y="0"/>
                      <a:ext cx="7308850" cy="34290"/>
                    </a:xfrm>
                    <a:prstGeom prst="rect">
                      <a:avLst/>
                    </a:prstGeom>
                    <a:noFill/>
                  </pic:spPr>
                </pic:pic>
              </a:graphicData>
            </a:graphic>
          </wp:anchor>
        </w:drawing>
        <w:t>All beneficiary designations will be in such form and manner as the Administrator may designate from time to time. Notwithstanding Sections 15(a) and (b) above, the Company and/or the Administrator may decide not to permit such designations by Participants in non-U.S. jurisdictions to the extent permitted by U.S. Treasury Regulation</w:t>
      </w:r>
    </w:p>
    <w:p>
      <w:pPr>
        <w:spacing w:after="0"/>
        <w:rPr>
          <w:rFonts w:ascii="Arial" w:cs="Arial" w:eastAsia="Arial" w:hAnsi="Arial"/>
          <w:sz w:val="14"/>
          <w:szCs w:val="14"/>
          <w:color w:val="auto"/>
        </w:rPr>
      </w:pPr>
      <w:r>
        <w:rPr>
          <w:rFonts w:ascii="Arial" w:cs="Arial" w:eastAsia="Arial" w:hAnsi="Arial"/>
          <w:sz w:val="15"/>
          <w:szCs w:val="15"/>
          <w:color w:val="auto"/>
        </w:rPr>
        <w:t>Section 1.423-2(f).</w:t>
      </w:r>
    </w:p>
    <w:p>
      <w:pPr>
        <w:spacing w:after="0" w:line="178" w:lineRule="exact"/>
        <w:rPr>
          <w:rFonts w:ascii="Arial" w:cs="Arial" w:eastAsia="Arial" w:hAnsi="Arial"/>
          <w:sz w:val="14"/>
          <w:szCs w:val="14"/>
          <w:color w:val="auto"/>
        </w:rPr>
      </w:pPr>
    </w:p>
    <w:p>
      <w:pPr>
        <w:ind w:right="80" w:firstLine="448"/>
        <w:spacing w:after="0" w:line="259" w:lineRule="auto"/>
        <w:tabs>
          <w:tab w:leader="none" w:pos="796" w:val="left"/>
        </w:tabs>
        <w:numPr>
          <w:ilvl w:val="0"/>
          <w:numId w:val="248"/>
        </w:numPr>
        <w:rPr>
          <w:rFonts w:ascii="Arial" w:cs="Arial" w:eastAsia="Arial" w:hAnsi="Arial"/>
          <w:sz w:val="15"/>
          <w:szCs w:val="15"/>
          <w:color w:val="auto"/>
        </w:rPr>
      </w:pPr>
      <w:r>
        <w:rPr>
          <w:rFonts w:ascii="Arial" w:cs="Arial" w:eastAsia="Arial" w:hAnsi="Arial"/>
          <w:sz w:val="15"/>
          <w:szCs w:val="15"/>
          <w:u w:val="single" w:color="auto"/>
          <w:color w:val="auto"/>
        </w:rPr>
        <w:t>Transferability</w:t>
      </w:r>
      <w:r>
        <w:rPr>
          <w:rFonts w:ascii="Arial" w:cs="Arial" w:eastAsia="Arial" w:hAnsi="Arial"/>
          <w:sz w:val="15"/>
          <w:szCs w:val="15"/>
          <w:color w:val="auto"/>
        </w:rPr>
        <w:t>. Neither Contributions credited to a Participant’s account nor any rights with regard to the exercise of an option or to receive shares of Common Stock under the Plan may be assigned, transferred, pledged or otherwise disposed of in any way (other than by will, the laws of descent and distribution or as provided in Section 15 hereof) by the Participant. Any such attempt at assignment, transfer, pledge or other disposition will be without effect, except that the Company may treat such act as an election to withdraw funds from an Offering Period in accordance with Section 10 hereof.</w:t>
      </w:r>
    </w:p>
    <w:p>
      <w:pPr>
        <w:spacing w:after="0" w:line="157" w:lineRule="exact"/>
        <w:rPr>
          <w:rFonts w:ascii="Arial" w:cs="Arial" w:eastAsia="Arial" w:hAnsi="Arial"/>
          <w:sz w:val="15"/>
          <w:szCs w:val="15"/>
          <w:color w:val="auto"/>
        </w:rPr>
      </w:pPr>
    </w:p>
    <w:p>
      <w:pPr>
        <w:ind w:firstLine="448"/>
        <w:spacing w:after="0" w:line="259" w:lineRule="auto"/>
        <w:tabs>
          <w:tab w:leader="none" w:pos="796" w:val="left"/>
        </w:tabs>
        <w:numPr>
          <w:ilvl w:val="0"/>
          <w:numId w:val="248"/>
        </w:numPr>
        <w:rPr>
          <w:rFonts w:ascii="Arial" w:cs="Arial" w:eastAsia="Arial" w:hAnsi="Arial"/>
          <w:sz w:val="15"/>
          <w:szCs w:val="15"/>
          <w:color w:val="auto"/>
        </w:rPr>
      </w:pPr>
      <w:r>
        <w:rPr>
          <w:rFonts w:ascii="Arial" w:cs="Arial" w:eastAsia="Arial" w:hAnsi="Arial"/>
          <w:sz w:val="15"/>
          <w:szCs w:val="15"/>
          <w:u w:val="single" w:color="auto"/>
          <w:color w:val="auto"/>
        </w:rPr>
        <w:t>Use of Funds</w:t>
      </w:r>
      <w:r>
        <w:rPr>
          <w:rFonts w:ascii="Arial" w:cs="Arial" w:eastAsia="Arial" w:hAnsi="Arial"/>
          <w:sz w:val="15"/>
          <w:szCs w:val="15"/>
          <w:color w:val="auto"/>
        </w:rPr>
        <w:t>. The Company may use all Contributions received or held by it under the Plan for any corporate purpose, and the Company will not be obligated to segregate such Contributions except under Offerings or for Participants in the Non-423 Component for which Applicable Laws require that Contributions to the Plan by Participants be segregated from the Company’s general corporate funds and/or deposited with an independent third party. Until shares of Common Stock are issued, Participants will have only the rights of an unsecured creditor with respect to such shares.</w:t>
      </w:r>
    </w:p>
    <w:p>
      <w:pPr>
        <w:spacing w:after="0" w:line="157" w:lineRule="exact"/>
        <w:rPr>
          <w:rFonts w:ascii="Arial" w:cs="Arial" w:eastAsia="Arial" w:hAnsi="Arial"/>
          <w:sz w:val="15"/>
          <w:szCs w:val="15"/>
          <w:color w:val="auto"/>
        </w:rPr>
      </w:pPr>
    </w:p>
    <w:p>
      <w:pPr>
        <w:ind w:right="40" w:firstLine="448"/>
        <w:spacing w:after="0" w:line="312" w:lineRule="auto"/>
        <w:tabs>
          <w:tab w:leader="none" w:pos="796" w:val="left"/>
        </w:tabs>
        <w:numPr>
          <w:ilvl w:val="0"/>
          <w:numId w:val="248"/>
        </w:numPr>
        <w:rPr>
          <w:rFonts w:ascii="Arial" w:cs="Arial" w:eastAsia="Arial" w:hAnsi="Arial"/>
          <w:sz w:val="14"/>
          <w:szCs w:val="14"/>
          <w:color w:val="auto"/>
        </w:rPr>
      </w:pPr>
      <w:r>
        <w:rPr>
          <w:rFonts w:ascii="Arial" w:cs="Arial" w:eastAsia="Arial" w:hAnsi="Arial"/>
          <w:sz w:val="14"/>
          <w:szCs w:val="14"/>
          <w:u w:val="single" w:color="auto"/>
          <w:color w:val="auto"/>
        </w:rPr>
        <w:t>Reports</w:t>
      </w:r>
      <w:r>
        <w:rPr>
          <w:rFonts w:ascii="Arial" w:cs="Arial" w:eastAsia="Arial" w:hAnsi="Arial"/>
          <w:sz w:val="14"/>
          <w:szCs w:val="14"/>
          <w:color w:val="auto"/>
        </w:rPr>
        <w:t>. Individual accounts will be maintained for each Participant in the Plan. Statements of account will be given to participating Eligible Employees at least annually, which statements will set forth the amounts of Contributions, the Purchase Price, the number of shares of Common Stock purchased and the remaining cash balance, if any.</w:t>
      </w:r>
    </w:p>
    <w:p>
      <w:pPr>
        <w:spacing w:after="0" w:line="213" w:lineRule="exact"/>
        <w:rPr>
          <w:rFonts w:ascii="Arial" w:cs="Arial" w:eastAsia="Arial" w:hAnsi="Arial"/>
          <w:sz w:val="14"/>
          <w:szCs w:val="14"/>
          <w:color w:val="auto"/>
        </w:rPr>
      </w:pPr>
    </w:p>
    <w:p>
      <w:pPr>
        <w:ind w:left="780" w:hanging="332"/>
        <w:spacing w:after="0"/>
        <w:tabs>
          <w:tab w:leader="none" w:pos="780" w:val="left"/>
        </w:tabs>
        <w:numPr>
          <w:ilvl w:val="0"/>
          <w:numId w:val="248"/>
        </w:numPr>
        <w:rPr>
          <w:rFonts w:ascii="Arial" w:cs="Arial" w:eastAsia="Arial" w:hAnsi="Arial"/>
          <w:sz w:val="15"/>
          <w:szCs w:val="15"/>
          <w:color w:val="auto"/>
        </w:rPr>
      </w:pPr>
      <w:r>
        <w:rPr>
          <w:rFonts w:ascii="Arial" w:cs="Arial" w:eastAsia="Arial" w:hAnsi="Arial"/>
          <w:sz w:val="15"/>
          <w:szCs w:val="15"/>
          <w:u w:val="single" w:color="auto"/>
          <w:color w:val="auto"/>
        </w:rPr>
        <w:t>Adjustments, Dissolution, Liquidation, Merger, or Change in Control</w:t>
      </w:r>
      <w:r>
        <w:rPr>
          <w:rFonts w:ascii="Arial" w:cs="Arial" w:eastAsia="Arial" w:hAnsi="Arial"/>
          <w:sz w:val="15"/>
          <w:szCs w:val="15"/>
          <w:color w:val="auto"/>
        </w:rPr>
        <w:t>.</w:t>
      </w:r>
    </w:p>
    <w:p>
      <w:pPr>
        <w:spacing w:after="0" w:line="98" w:lineRule="exact"/>
        <w:rPr>
          <w:rFonts w:ascii="Arial" w:cs="Arial" w:eastAsia="Arial" w:hAnsi="Arial"/>
          <w:sz w:val="15"/>
          <w:szCs w:val="15"/>
          <w:color w:val="auto"/>
        </w:rPr>
      </w:pPr>
    </w:p>
    <w:p>
      <w:pPr>
        <w:ind w:right="20" w:firstLine="906"/>
        <w:spacing w:after="0" w:line="305" w:lineRule="auto"/>
        <w:tabs>
          <w:tab w:leader="none" w:pos="1233" w:val="left"/>
        </w:tabs>
        <w:numPr>
          <w:ilvl w:val="1"/>
          <w:numId w:val="248"/>
        </w:numPr>
        <w:rPr>
          <w:rFonts w:ascii="Arial" w:cs="Arial" w:eastAsia="Arial" w:hAnsi="Arial"/>
          <w:sz w:val="13"/>
          <w:szCs w:val="13"/>
          <w:color w:val="auto"/>
        </w:rPr>
      </w:pPr>
      <w:r>
        <w:rPr>
          <w:rFonts w:ascii="Arial" w:cs="Arial" w:eastAsia="Arial" w:hAnsi="Arial"/>
          <w:sz w:val="13"/>
          <w:szCs w:val="13"/>
          <w:u w:val="single" w:color="auto"/>
          <w:color w:val="auto"/>
        </w:rPr>
        <w:t>Adjustments</w:t>
      </w:r>
      <w:r>
        <w:rPr>
          <w:rFonts w:ascii="Arial" w:cs="Arial" w:eastAsia="Arial" w:hAnsi="Arial"/>
          <w:sz w:val="13"/>
          <w:szCs w:val="13"/>
          <w:color w:val="auto"/>
        </w:rPr>
        <w:t>. In the event that any dividend or other distribution (whether in the form of cash, Common Stock, other securities, or other property), recapitalization, stock split, reverse stock split, reorganization, merger, consolidation, split-up, spin-off, combination, repurchase, or exchange of Common Stock or other securities of the Company, or other change in the corporate structure of the Company affecting the Common Stock occurs, the Administrator, in order to prevent dilution or enlargement of the benefits or potential benefits intended to be made available under the Plan, will, in such manner as it may deem equitable, adjust the number and class of Common Stock that may be delivered under the Plan, the Purchase Price per share and the number of shares of Common Stock covered by each option under the Plan that has not yet been exercised, and the numerical limits of Sections 7 and 13.</w:t>
      </w:r>
    </w:p>
    <w:p>
      <w:pPr>
        <w:spacing w:after="0" w:line="132" w:lineRule="exact"/>
        <w:rPr>
          <w:rFonts w:ascii="Arial" w:cs="Arial" w:eastAsia="Arial" w:hAnsi="Arial"/>
          <w:sz w:val="13"/>
          <w:szCs w:val="13"/>
          <w:color w:val="auto"/>
        </w:rPr>
      </w:pPr>
    </w:p>
    <w:p>
      <w:pPr>
        <w:ind w:right="240" w:firstLine="906"/>
        <w:spacing w:after="0" w:line="279" w:lineRule="auto"/>
        <w:tabs>
          <w:tab w:leader="none" w:pos="1241" w:val="left"/>
        </w:tabs>
        <w:numPr>
          <w:ilvl w:val="1"/>
          <w:numId w:val="248"/>
        </w:numPr>
        <w:rPr>
          <w:rFonts w:ascii="Arial" w:cs="Arial" w:eastAsia="Arial" w:hAnsi="Arial"/>
          <w:sz w:val="14"/>
          <w:szCs w:val="14"/>
          <w:color w:val="auto"/>
        </w:rPr>
      </w:pPr>
      <w:r>
        <w:rPr>
          <w:rFonts w:ascii="Arial" w:cs="Arial" w:eastAsia="Arial" w:hAnsi="Arial"/>
          <w:sz w:val="14"/>
          <w:szCs w:val="14"/>
          <w:u w:val="single" w:color="auto"/>
          <w:color w:val="auto"/>
        </w:rPr>
        <w:t>Dissolution or Liquidation</w:t>
      </w:r>
      <w:r>
        <w:rPr>
          <w:rFonts w:ascii="Arial" w:cs="Arial" w:eastAsia="Arial" w:hAnsi="Arial"/>
          <w:sz w:val="14"/>
          <w:szCs w:val="14"/>
          <w:color w:val="auto"/>
        </w:rPr>
        <w:t>. In the event of the proposed dissolution or liquidation of the Company, any Offering Period then in progress will be shortened by setting a New Exercise Date, and will terminate immediately prior to the consummation of such proposed dissolution or liquidation, unless provided otherwise by the Administrator. The New Exercise Date will be before the date of the Company’s proposed dissolution or liquidation. The Administrator will notify each Participant in writing or electronically, prior to the New Exercise Date, that the Exercise Date for the Participant’s option has been changed to the New Exercise Date and that the Participant’s option will be exercised automatically on the New Exercise Date, unless prior to such date the Participant has withdrawn from the Offering Period as provided in Section 10 hereof.</w:t>
      </w:r>
    </w:p>
    <w:p>
      <w:pPr>
        <w:spacing w:after="0" w:line="90" w:lineRule="exact"/>
        <w:rPr>
          <w:rFonts w:ascii="Arial" w:cs="Arial" w:eastAsia="Arial" w:hAnsi="Arial"/>
          <w:sz w:val="14"/>
          <w:szCs w:val="14"/>
          <w:color w:val="auto"/>
        </w:rPr>
      </w:pPr>
    </w:p>
    <w:p>
      <w:pPr>
        <w:ind w:left="5640" w:hanging="89"/>
        <w:spacing w:after="0"/>
        <w:tabs>
          <w:tab w:leader="none" w:pos="5640" w:val="left"/>
        </w:tabs>
        <w:numPr>
          <w:ilvl w:val="2"/>
          <w:numId w:val="248"/>
        </w:numPr>
        <w:rPr>
          <w:rFonts w:ascii="Arial" w:cs="Arial" w:eastAsia="Arial" w:hAnsi="Arial"/>
          <w:sz w:val="15"/>
          <w:szCs w:val="15"/>
          <w:color w:val="auto"/>
        </w:rPr>
      </w:pPr>
      <w:r>
        <w:rPr>
          <w:rFonts w:ascii="Arial" w:cs="Arial" w:eastAsia="Arial" w:hAnsi="Arial"/>
          <w:sz w:val="15"/>
          <w:szCs w:val="15"/>
          <w:color w:val="auto"/>
        </w:rPr>
        <w:t>12 -</w:t>
      </w:r>
    </w:p>
    <w:p>
      <w:pPr>
        <w:sectPr>
          <w:pgSz w:w="11900" w:h="16838" w:orient="portrait"/>
          <w:cols w:equalWidth="0" w:num="1">
            <w:col w:w="11440"/>
          </w:cols>
          <w:pgMar w:left="240" w:top="253" w:right="219" w:bottom="1440" w:gutter="0" w:footer="0" w:header="0"/>
        </w:sectPr>
      </w:pPr>
    </w:p>
    <w:bookmarkStart w:id="336" w:name="page337"/>
    <w:bookmarkEnd w:id="336"/>
    <w:p>
      <w:pPr>
        <w:ind w:left="-448" w:right="120" w:firstLine="906"/>
        <w:spacing w:after="0" w:line="277" w:lineRule="auto"/>
        <w:tabs>
          <w:tab w:leader="none" w:pos="785" w:val="left"/>
        </w:tabs>
        <w:numPr>
          <w:ilvl w:val="1"/>
          <w:numId w:val="249"/>
        </w:numPr>
        <w:rPr>
          <w:rFonts w:ascii="Arial" w:cs="Arial" w:eastAsia="Arial" w:hAnsi="Arial"/>
          <w:sz w:val="14"/>
          <w:szCs w:val="14"/>
          <w:color w:val="auto"/>
        </w:rPr>
      </w:pPr>
      <w:r>
        <w:rPr>
          <w:rFonts w:ascii="Arial" w:cs="Arial" w:eastAsia="Arial" w:hAnsi="Arial"/>
          <w:sz w:val="14"/>
          <w:szCs w:val="14"/>
          <w:u w:val="single" w:color="auto"/>
          <w:color w:val="auto"/>
        </w:rPr>
        <w:drawing>
          <wp:anchor simplePos="0" relativeHeight="251657728" behindDoc="1" locked="0" layoutInCell="0" allowOverlap="1">
            <wp:simplePos x="0" y="0"/>
            <wp:positionH relativeFrom="page">
              <wp:posOffset>133350</wp:posOffset>
            </wp:positionH>
            <wp:positionV relativeFrom="page">
              <wp:posOffset>88900</wp:posOffset>
            </wp:positionV>
            <wp:extent cx="7308850" cy="34290"/>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500">
                      <a:extLst>
                        <a:ext uri="{28A0092B-C50C-407E-A947-70E740481C1C}"/>
                      </a:extLst>
                    </a:blip>
                    <a:srcRect/>
                    <a:stretch>
                      <a:fillRect/>
                    </a:stretch>
                  </pic:blipFill>
                  <pic:spPr bwMode="auto">
                    <a:xfrm>
                      <a:off x="0" y="0"/>
                      <a:ext cx="7308850" cy="34290"/>
                    </a:xfrm>
                    <a:prstGeom prst="rect">
                      <a:avLst/>
                    </a:prstGeom>
                    <a:noFill/>
                  </pic:spPr>
                </pic:pic>
              </a:graphicData>
            </a:graphic>
          </wp:anchor>
        </w:drawing>
        <w:t>Merger or Change in Control</w:t>
      </w:r>
      <w:r>
        <w:rPr>
          <w:rFonts w:ascii="Arial" w:cs="Arial" w:eastAsia="Arial" w:hAnsi="Arial"/>
          <w:sz w:val="14"/>
          <w:szCs w:val="14"/>
          <w:color w:val="auto"/>
        </w:rPr>
        <w:t>. In the event of a merger or Change in Control, each outstanding option will be assumed or an equivalent option substituted by the successor corporation or a Parent or Subsidiary of the successor corporation. In the event that the successor corporation refuses to assume or substitute for the option, the Offering Period with respect to which such option relates will be shortened by setting a New Exercise Date on which such Offering Period will end. The New Exercise Date will occur before the date of the Company’s proposed merger or Change in Control. The Administrator will notify each Participant in writing or electronically prior to the New Exercise Date, that the Exercise Date for the Participant’s option has been changed to the New Exercise Date and that the Participant’s option will be exercised automatically on the New Exercise Date, unless prior to such date the Participant has withdrawn from the Offering Period as provided in Section 10 hereof.</w:t>
      </w:r>
    </w:p>
    <w:p>
      <w:pPr>
        <w:spacing w:after="0" w:line="238" w:lineRule="exact"/>
        <w:rPr>
          <w:rFonts w:ascii="Arial" w:cs="Arial" w:eastAsia="Arial" w:hAnsi="Arial"/>
          <w:sz w:val="14"/>
          <w:szCs w:val="14"/>
          <w:color w:val="auto"/>
        </w:rPr>
      </w:pPr>
    </w:p>
    <w:p>
      <w:pPr>
        <w:ind w:left="332" w:hanging="332"/>
        <w:spacing w:after="0"/>
        <w:tabs>
          <w:tab w:leader="none" w:pos="332" w:val="left"/>
        </w:tabs>
        <w:numPr>
          <w:ilvl w:val="0"/>
          <w:numId w:val="250"/>
        </w:numPr>
        <w:rPr>
          <w:rFonts w:ascii="Arial" w:cs="Arial" w:eastAsia="Arial" w:hAnsi="Arial"/>
          <w:sz w:val="15"/>
          <w:szCs w:val="15"/>
          <w:color w:val="auto"/>
        </w:rPr>
      </w:pPr>
      <w:r>
        <w:rPr>
          <w:rFonts w:ascii="Arial" w:cs="Arial" w:eastAsia="Arial" w:hAnsi="Arial"/>
          <w:sz w:val="15"/>
          <w:szCs w:val="15"/>
          <w:u w:val="single" w:color="auto"/>
          <w:color w:val="auto"/>
        </w:rPr>
        <w:t>Amendment or Termination</w:t>
      </w:r>
      <w:r>
        <w:rPr>
          <w:rFonts w:ascii="Arial" w:cs="Arial" w:eastAsia="Arial" w:hAnsi="Arial"/>
          <w:sz w:val="15"/>
          <w:szCs w:val="15"/>
          <w:color w:val="auto"/>
        </w:rPr>
        <w:t>.</w:t>
      </w:r>
    </w:p>
    <w:p>
      <w:pPr>
        <w:spacing w:after="0" w:line="98" w:lineRule="exact"/>
        <w:rPr>
          <w:rFonts w:ascii="Arial" w:cs="Arial" w:eastAsia="Arial" w:hAnsi="Arial"/>
          <w:sz w:val="15"/>
          <w:szCs w:val="15"/>
          <w:color w:val="auto"/>
        </w:rPr>
      </w:pPr>
    </w:p>
    <w:p>
      <w:pPr>
        <w:ind w:left="-448" w:firstLine="906"/>
        <w:spacing w:after="0" w:line="255" w:lineRule="auto"/>
        <w:tabs>
          <w:tab w:leader="none" w:pos="782" w:val="left"/>
        </w:tabs>
        <w:numPr>
          <w:ilvl w:val="1"/>
          <w:numId w:val="250"/>
        </w:numPr>
        <w:rPr>
          <w:rFonts w:ascii="Arial" w:cs="Arial" w:eastAsia="Arial" w:hAnsi="Arial"/>
          <w:sz w:val="15"/>
          <w:szCs w:val="15"/>
          <w:color w:val="auto"/>
        </w:rPr>
      </w:pPr>
      <w:r>
        <w:rPr>
          <w:rFonts w:ascii="Arial" w:cs="Arial" w:eastAsia="Arial" w:hAnsi="Arial"/>
          <w:sz w:val="15"/>
          <w:szCs w:val="15"/>
          <w:color w:val="auto"/>
        </w:rPr>
        <w:t>The Administrator, in its sole discretion, may amend, suspend, or terminate the Plan, or any part thereof, at any time and for any reason. If the Plan is terminated, the Administrator, in its discretion, may elect to terminate all outstanding Offering Periods either immediately or upon completion of the purchase of shares of Common Stock on the next Exercise Date (which may be sooner than originally scheduled, if determined by the Administrator in its discretion), or may elect to permit Offering Periods to expire in accordance with their terms (and subject to any adjustment pursuant to Section 19). If the Offering Periods are terminated prior to expiration, all amounts then credited to Participants’ accounts that have not been used to purchase shares of Common Stock will be returned to the Participants (without interest thereon, except as otherwise required under Applicable Laws, as further set forth in Section 12 hereof) as soon as administratively practicable.</w:t>
      </w:r>
    </w:p>
    <w:p>
      <w:pPr>
        <w:spacing w:after="0" w:line="163" w:lineRule="exact"/>
        <w:rPr>
          <w:rFonts w:ascii="Arial" w:cs="Arial" w:eastAsia="Arial" w:hAnsi="Arial"/>
          <w:sz w:val="15"/>
          <w:szCs w:val="15"/>
          <w:color w:val="auto"/>
        </w:rPr>
      </w:pPr>
    </w:p>
    <w:p>
      <w:pPr>
        <w:ind w:left="-448" w:firstLine="906"/>
        <w:spacing w:after="0" w:line="255" w:lineRule="auto"/>
        <w:tabs>
          <w:tab w:leader="none" w:pos="791" w:val="left"/>
        </w:tabs>
        <w:numPr>
          <w:ilvl w:val="1"/>
          <w:numId w:val="250"/>
        </w:numPr>
        <w:rPr>
          <w:rFonts w:ascii="Arial" w:cs="Arial" w:eastAsia="Arial" w:hAnsi="Arial"/>
          <w:sz w:val="15"/>
          <w:szCs w:val="15"/>
          <w:color w:val="auto"/>
        </w:rPr>
      </w:pPr>
      <w:r>
        <w:rPr>
          <w:rFonts w:ascii="Arial" w:cs="Arial" w:eastAsia="Arial" w:hAnsi="Arial"/>
          <w:sz w:val="15"/>
          <w:szCs w:val="15"/>
          <w:color w:val="auto"/>
        </w:rPr>
        <w:t>Without stockholder consent and without limiting Section 20(a), the Administrator will be entitled to change the Offering Periods or Purchase Periods, designate separate Offerings, limit the frequency and/or number of changes in the amount withheld during an Offering Period, establish the exchange ratio applicable to amounts withheld in a currency other than U.S. dollars, permit Contributions in excess of the amount designated by a Participant in order to adjust for delays or mistakes in the Company’s processing of properly completed Contribution elections, establish reasonable waiting and adjustment periods and/or accounting and crediting procedures to ensure that amounts applied toward the purchase of Common Stock for each Participant properly correspond with Contribution amounts, and establish such other limitations or procedures as the Administrator determines in its sole discretion advisable that are consistent with the Plan.</w:t>
      </w:r>
    </w:p>
    <w:p>
      <w:pPr>
        <w:spacing w:after="0" w:line="107" w:lineRule="exact"/>
        <w:rPr>
          <w:rFonts w:ascii="Arial" w:cs="Arial" w:eastAsia="Arial" w:hAnsi="Arial"/>
          <w:sz w:val="15"/>
          <w:szCs w:val="15"/>
          <w:color w:val="auto"/>
        </w:rPr>
      </w:pPr>
    </w:p>
    <w:p>
      <w:pPr>
        <w:ind w:left="5192" w:hanging="89"/>
        <w:spacing w:after="0"/>
        <w:tabs>
          <w:tab w:leader="none" w:pos="5192" w:val="left"/>
        </w:tabs>
        <w:numPr>
          <w:ilvl w:val="2"/>
          <w:numId w:val="250"/>
        </w:numPr>
        <w:rPr>
          <w:rFonts w:ascii="Arial" w:cs="Arial" w:eastAsia="Arial" w:hAnsi="Arial"/>
          <w:sz w:val="15"/>
          <w:szCs w:val="15"/>
          <w:color w:val="auto"/>
        </w:rPr>
      </w:pPr>
      <w:r>
        <w:rPr>
          <w:rFonts w:ascii="Arial" w:cs="Arial" w:eastAsia="Arial" w:hAnsi="Arial"/>
          <w:sz w:val="15"/>
          <w:szCs w:val="15"/>
          <w:color w:val="auto"/>
        </w:rPr>
        <w:t>13 -</w:t>
      </w:r>
    </w:p>
    <w:p>
      <w:pPr>
        <w:sectPr>
          <w:pgSz w:w="11900" w:h="16838" w:orient="portrait"/>
          <w:cols w:equalWidth="0" w:num="1">
            <w:col w:w="10992"/>
          </w:cols>
          <w:pgMar w:left="688" w:top="253" w:right="219" w:bottom="1440" w:gutter="0" w:footer="0" w:header="0"/>
        </w:sectPr>
      </w:pPr>
    </w:p>
    <w:bookmarkStart w:id="337" w:name="page338"/>
    <w:bookmarkEnd w:id="337"/>
    <w:p>
      <w:pPr>
        <w:ind w:right="80" w:firstLine="906"/>
        <w:spacing w:after="0" w:line="312" w:lineRule="auto"/>
        <w:tabs>
          <w:tab w:leader="none" w:pos="1233" w:val="left"/>
        </w:tabs>
        <w:numPr>
          <w:ilvl w:val="0"/>
          <w:numId w:val="251"/>
        </w:numPr>
        <w:rPr>
          <w:rFonts w:ascii="Arial" w:cs="Arial" w:eastAsia="Arial" w:hAnsi="Arial"/>
          <w:sz w:val="14"/>
          <w:szCs w:val="14"/>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133350</wp:posOffset>
            </wp:positionH>
            <wp:positionV relativeFrom="page">
              <wp:posOffset>88900</wp:posOffset>
            </wp:positionV>
            <wp:extent cx="7308850" cy="33655"/>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501">
                      <a:extLst>
                        <a:ext uri="{28A0092B-C50C-407E-A947-70E740481C1C}"/>
                      </a:extLst>
                    </a:blip>
                    <a:srcRect/>
                    <a:stretch>
                      <a:fillRect/>
                    </a:stretch>
                  </pic:blipFill>
                  <pic:spPr bwMode="auto">
                    <a:xfrm>
                      <a:off x="0" y="0"/>
                      <a:ext cx="7308850" cy="33655"/>
                    </a:xfrm>
                    <a:prstGeom prst="rect">
                      <a:avLst/>
                    </a:prstGeom>
                    <a:noFill/>
                  </pic:spPr>
                </pic:pic>
              </a:graphicData>
            </a:graphic>
          </wp:anchor>
        </w:drawing>
        <w:t>In the event the Administrator determines that the ongoing operation of the Plan may result in unfavorable financial accounting consequences, the Administrator may, in its discretion and, to the extent necessary or desirable, modify, amend or terminate the Plan to reduce or eliminate such accounting consequence including, but not limited to:</w:t>
      </w:r>
    </w:p>
    <w:p>
      <w:pPr>
        <w:spacing w:after="0" w:line="122" w:lineRule="exact"/>
        <w:rPr>
          <w:rFonts w:ascii="Arial" w:cs="Arial" w:eastAsia="Arial" w:hAnsi="Arial"/>
          <w:sz w:val="14"/>
          <w:szCs w:val="14"/>
          <w:color w:val="auto"/>
        </w:rPr>
      </w:pPr>
    </w:p>
    <w:p>
      <w:pPr>
        <w:ind w:firstLine="1478"/>
        <w:spacing w:after="0" w:line="275" w:lineRule="auto"/>
        <w:tabs>
          <w:tab w:leader="none" w:pos="1780" w:val="left"/>
        </w:tabs>
        <w:numPr>
          <w:ilvl w:val="1"/>
          <w:numId w:val="251"/>
        </w:numPr>
        <w:rPr>
          <w:rFonts w:ascii="Arial" w:cs="Arial" w:eastAsia="Arial" w:hAnsi="Arial"/>
          <w:sz w:val="15"/>
          <w:szCs w:val="15"/>
          <w:color w:val="auto"/>
        </w:rPr>
      </w:pPr>
      <w:r>
        <w:rPr>
          <w:rFonts w:ascii="Arial" w:cs="Arial" w:eastAsia="Arial" w:hAnsi="Arial"/>
          <w:sz w:val="15"/>
          <w:szCs w:val="15"/>
          <w:color w:val="auto"/>
        </w:rPr>
        <w:t>amending the Plan to conform with the safe harbor definition under the Financial Accounting Standards Board Accounting Standards Codification Topic 718 (or any successor thereto), including with respect to an Offering Period underway at the time;</w:t>
      </w:r>
    </w:p>
    <w:p>
      <w:pPr>
        <w:spacing w:after="0" w:line="146" w:lineRule="exact"/>
        <w:rPr>
          <w:rFonts w:ascii="Arial" w:cs="Arial" w:eastAsia="Arial" w:hAnsi="Arial"/>
          <w:sz w:val="15"/>
          <w:szCs w:val="15"/>
          <w:color w:val="auto"/>
        </w:rPr>
      </w:pPr>
    </w:p>
    <w:p>
      <w:pPr>
        <w:ind w:left="1820" w:hanging="342"/>
        <w:spacing w:after="0"/>
        <w:tabs>
          <w:tab w:leader="none" w:pos="1820" w:val="left"/>
        </w:tabs>
        <w:numPr>
          <w:ilvl w:val="1"/>
          <w:numId w:val="251"/>
        </w:numPr>
        <w:rPr>
          <w:rFonts w:ascii="Arial" w:cs="Arial" w:eastAsia="Arial" w:hAnsi="Arial"/>
          <w:sz w:val="13"/>
          <w:szCs w:val="13"/>
          <w:color w:val="auto"/>
        </w:rPr>
      </w:pPr>
      <w:r>
        <w:rPr>
          <w:rFonts w:ascii="Arial" w:cs="Arial" w:eastAsia="Arial" w:hAnsi="Arial"/>
          <w:sz w:val="13"/>
          <w:szCs w:val="13"/>
          <w:color w:val="auto"/>
        </w:rPr>
        <w:t>altering the Purchase Price for any Offering Period or Purchase Period including an Offering Period or Purchase Period underway at the time of the change in</w:t>
      </w:r>
    </w:p>
    <w:p>
      <w:pPr>
        <w:spacing w:after="0" w:line="40"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5"/>
          <w:szCs w:val="15"/>
          <w:color w:val="auto"/>
        </w:rPr>
        <w:t>Purchase Price;</w:t>
      </w:r>
    </w:p>
    <w:p>
      <w:pPr>
        <w:spacing w:after="0" w:line="178" w:lineRule="exact"/>
        <w:rPr>
          <w:rFonts w:ascii="Arial" w:cs="Arial" w:eastAsia="Arial" w:hAnsi="Arial"/>
          <w:sz w:val="13"/>
          <w:szCs w:val="13"/>
          <w:color w:val="auto"/>
        </w:rPr>
      </w:pPr>
    </w:p>
    <w:p>
      <w:pPr>
        <w:ind w:left="1860" w:hanging="382"/>
        <w:spacing w:after="0"/>
        <w:tabs>
          <w:tab w:leader="none" w:pos="1860" w:val="left"/>
        </w:tabs>
        <w:numPr>
          <w:ilvl w:val="1"/>
          <w:numId w:val="251"/>
        </w:numPr>
        <w:rPr>
          <w:rFonts w:ascii="Arial" w:cs="Arial" w:eastAsia="Arial" w:hAnsi="Arial"/>
          <w:sz w:val="13"/>
          <w:szCs w:val="13"/>
          <w:color w:val="auto"/>
        </w:rPr>
      </w:pPr>
      <w:r>
        <w:rPr>
          <w:rFonts w:ascii="Arial" w:cs="Arial" w:eastAsia="Arial" w:hAnsi="Arial"/>
          <w:sz w:val="13"/>
          <w:szCs w:val="13"/>
          <w:color w:val="auto"/>
        </w:rPr>
        <w:t>shortening any Offering Period or Purchase Period by setting a New Exercise Date, including an Offering Period or Purchase Period underway at the time of</w:t>
      </w:r>
    </w:p>
    <w:p>
      <w:pPr>
        <w:spacing w:after="0" w:line="40"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5"/>
          <w:szCs w:val="15"/>
          <w:color w:val="auto"/>
        </w:rPr>
        <w:t>the Administrator action;</w:t>
      </w:r>
    </w:p>
    <w:p>
      <w:pPr>
        <w:spacing w:after="0" w:line="178" w:lineRule="exact"/>
        <w:rPr>
          <w:rFonts w:ascii="Arial" w:cs="Arial" w:eastAsia="Arial" w:hAnsi="Arial"/>
          <w:sz w:val="13"/>
          <w:szCs w:val="13"/>
          <w:color w:val="auto"/>
        </w:rPr>
      </w:pPr>
    </w:p>
    <w:p>
      <w:pPr>
        <w:ind w:left="1840" w:hanging="362"/>
        <w:spacing w:after="0"/>
        <w:tabs>
          <w:tab w:leader="none" w:pos="1840" w:val="left"/>
        </w:tabs>
        <w:numPr>
          <w:ilvl w:val="1"/>
          <w:numId w:val="251"/>
        </w:numPr>
        <w:rPr>
          <w:rFonts w:ascii="Arial" w:cs="Arial" w:eastAsia="Arial" w:hAnsi="Arial"/>
          <w:sz w:val="15"/>
          <w:szCs w:val="15"/>
          <w:color w:val="auto"/>
        </w:rPr>
      </w:pPr>
      <w:r>
        <w:rPr>
          <w:rFonts w:ascii="Arial" w:cs="Arial" w:eastAsia="Arial" w:hAnsi="Arial"/>
          <w:sz w:val="15"/>
          <w:szCs w:val="15"/>
          <w:color w:val="auto"/>
        </w:rPr>
        <w:t>reducing the maximum percentage of Compensation a Participant may elect to set aside as Contributions; and</w:t>
      </w:r>
    </w:p>
    <w:p>
      <w:pPr>
        <w:spacing w:after="0" w:line="188" w:lineRule="exact"/>
        <w:rPr>
          <w:rFonts w:ascii="Arial" w:cs="Arial" w:eastAsia="Arial" w:hAnsi="Arial"/>
          <w:sz w:val="15"/>
          <w:szCs w:val="15"/>
          <w:color w:val="auto"/>
        </w:rPr>
      </w:pPr>
    </w:p>
    <w:p>
      <w:pPr>
        <w:ind w:left="1800" w:hanging="322"/>
        <w:spacing w:after="0"/>
        <w:tabs>
          <w:tab w:leader="none" w:pos="1800" w:val="left"/>
        </w:tabs>
        <w:numPr>
          <w:ilvl w:val="1"/>
          <w:numId w:val="251"/>
        </w:numPr>
        <w:rPr>
          <w:rFonts w:ascii="Arial" w:cs="Arial" w:eastAsia="Arial" w:hAnsi="Arial"/>
          <w:sz w:val="15"/>
          <w:szCs w:val="15"/>
          <w:color w:val="auto"/>
        </w:rPr>
      </w:pPr>
      <w:r>
        <w:rPr>
          <w:rFonts w:ascii="Arial" w:cs="Arial" w:eastAsia="Arial" w:hAnsi="Arial"/>
          <w:sz w:val="15"/>
          <w:szCs w:val="15"/>
          <w:color w:val="auto"/>
        </w:rPr>
        <w:t>reducing the maximum number of shares of Common Stock a Participant may purchase during any Offering Period or Purchase Period.</w:t>
      </w:r>
    </w:p>
    <w:p>
      <w:pPr>
        <w:spacing w:after="0" w:line="188" w:lineRule="exact"/>
        <w:rPr>
          <w:sz w:val="20"/>
          <w:szCs w:val="20"/>
          <w:color w:val="auto"/>
        </w:rPr>
      </w:pPr>
    </w:p>
    <w:p>
      <w:pPr>
        <w:spacing w:after="0"/>
        <w:rPr>
          <w:sz w:val="20"/>
          <w:szCs w:val="20"/>
          <w:color w:val="auto"/>
        </w:rPr>
      </w:pPr>
      <w:r>
        <w:rPr>
          <w:rFonts w:ascii="Arial" w:cs="Arial" w:eastAsia="Arial" w:hAnsi="Arial"/>
          <w:sz w:val="15"/>
          <w:szCs w:val="15"/>
          <w:color w:val="auto"/>
        </w:rPr>
        <w:t>Such modifications or amendments will not require stockholder approval or the consent of any Participants.</w:t>
      </w:r>
    </w:p>
    <w:p>
      <w:pPr>
        <w:spacing w:after="0" w:line="188" w:lineRule="exact"/>
        <w:rPr>
          <w:sz w:val="20"/>
          <w:szCs w:val="20"/>
          <w:color w:val="auto"/>
        </w:rPr>
      </w:pPr>
    </w:p>
    <w:p>
      <w:pPr>
        <w:ind w:firstLine="448"/>
        <w:spacing w:after="0" w:line="275" w:lineRule="auto"/>
        <w:tabs>
          <w:tab w:leader="none" w:pos="796" w:val="left"/>
        </w:tabs>
        <w:numPr>
          <w:ilvl w:val="0"/>
          <w:numId w:val="252"/>
        </w:numPr>
        <w:rPr>
          <w:rFonts w:ascii="Arial" w:cs="Arial" w:eastAsia="Arial" w:hAnsi="Arial"/>
          <w:sz w:val="15"/>
          <w:szCs w:val="15"/>
          <w:color w:val="auto"/>
        </w:rPr>
      </w:pPr>
      <w:r>
        <w:rPr>
          <w:rFonts w:ascii="Arial" w:cs="Arial" w:eastAsia="Arial" w:hAnsi="Arial"/>
          <w:sz w:val="15"/>
          <w:szCs w:val="15"/>
          <w:u w:val="single" w:color="auto"/>
          <w:color w:val="auto"/>
        </w:rPr>
        <w:t>Notices</w:t>
      </w:r>
      <w:r>
        <w:rPr>
          <w:rFonts w:ascii="Arial" w:cs="Arial" w:eastAsia="Arial" w:hAnsi="Arial"/>
          <w:sz w:val="15"/>
          <w:szCs w:val="15"/>
          <w:color w:val="auto"/>
        </w:rPr>
        <w:t>. All notices or other communications by a Participant to the Company under or in connection with the Plan will be deemed to have been duly given when received in the form and manner specified by the Company at the location, or by the person, designated by the Company for the receipt thereof.</w:t>
      </w:r>
    </w:p>
    <w:p>
      <w:pPr>
        <w:spacing w:after="0" w:line="146" w:lineRule="exact"/>
        <w:rPr>
          <w:rFonts w:ascii="Arial" w:cs="Arial" w:eastAsia="Arial" w:hAnsi="Arial"/>
          <w:sz w:val="15"/>
          <w:szCs w:val="15"/>
          <w:color w:val="auto"/>
        </w:rPr>
      </w:pPr>
    </w:p>
    <w:p>
      <w:pPr>
        <w:ind w:right="100" w:firstLine="448"/>
        <w:spacing w:after="0" w:line="259" w:lineRule="auto"/>
        <w:tabs>
          <w:tab w:leader="none" w:pos="796" w:val="left"/>
        </w:tabs>
        <w:numPr>
          <w:ilvl w:val="0"/>
          <w:numId w:val="252"/>
        </w:numPr>
        <w:rPr>
          <w:rFonts w:ascii="Arial" w:cs="Arial" w:eastAsia="Arial" w:hAnsi="Arial"/>
          <w:sz w:val="15"/>
          <w:szCs w:val="15"/>
          <w:color w:val="auto"/>
        </w:rPr>
      </w:pPr>
      <w:r>
        <w:rPr>
          <w:rFonts w:ascii="Arial" w:cs="Arial" w:eastAsia="Arial" w:hAnsi="Arial"/>
          <w:sz w:val="15"/>
          <w:szCs w:val="15"/>
          <w:u w:val="single" w:color="auto"/>
          <w:color w:val="auto"/>
        </w:rPr>
        <w:t>Conditions Upon Issuance of Shares</w:t>
      </w:r>
      <w:r>
        <w:rPr>
          <w:rFonts w:ascii="Arial" w:cs="Arial" w:eastAsia="Arial" w:hAnsi="Arial"/>
          <w:sz w:val="15"/>
          <w:szCs w:val="15"/>
          <w:color w:val="auto"/>
        </w:rPr>
        <w:t>. Shares of Common Stock will not be issued with respect to an option unless the exercise of such option and the issuance and delivery of such shares pursuant thereto will comply with all applicable provisions of law, domestic or foreign, including, without limitation, the U.S. Securities Act of 1933, as amended, the Exchange Act, the rules and regulations promulgated thereunder, and the requirements of any stock exchange upon which the shares may then be listed, and will be further subject to the approval of counsel for the Company with respect to such compliance.</w:t>
      </w:r>
    </w:p>
    <w:p>
      <w:pPr>
        <w:spacing w:after="0" w:line="158" w:lineRule="exact"/>
        <w:rPr>
          <w:sz w:val="20"/>
          <w:szCs w:val="20"/>
          <w:color w:val="auto"/>
        </w:rPr>
      </w:pPr>
    </w:p>
    <w:p>
      <w:pPr>
        <w:jc w:val="both"/>
        <w:ind w:right="380" w:firstLine="916"/>
        <w:spacing w:after="0" w:line="263" w:lineRule="auto"/>
        <w:rPr>
          <w:sz w:val="20"/>
          <w:szCs w:val="20"/>
          <w:color w:val="auto"/>
        </w:rPr>
      </w:pPr>
      <w:r>
        <w:rPr>
          <w:rFonts w:ascii="Arial" w:cs="Arial" w:eastAsia="Arial" w:hAnsi="Arial"/>
          <w:sz w:val="15"/>
          <w:szCs w:val="15"/>
          <w:color w:val="auto"/>
        </w:rPr>
        <w:t>As a condition to the exercise of an option, the Company may require the person exercising such option to represent and warrant at the time of any such exercise that the shares are being purchased only for investment and without any present intention to sell or distribute such shares if, in the opinion of counsel for the Company, such a representation is required by any of the aforementioned applicable provisions of law.</w:t>
      </w:r>
    </w:p>
    <w:p>
      <w:pPr>
        <w:spacing w:after="0" w:line="155" w:lineRule="exact"/>
        <w:rPr>
          <w:sz w:val="20"/>
          <w:szCs w:val="20"/>
          <w:color w:val="auto"/>
        </w:rPr>
      </w:pPr>
    </w:p>
    <w:p>
      <w:pPr>
        <w:ind w:right="100" w:firstLine="448"/>
        <w:spacing w:after="0" w:line="257" w:lineRule="auto"/>
        <w:tabs>
          <w:tab w:leader="none" w:pos="796" w:val="left"/>
        </w:tabs>
        <w:numPr>
          <w:ilvl w:val="0"/>
          <w:numId w:val="253"/>
        </w:numPr>
        <w:rPr>
          <w:rFonts w:ascii="Arial" w:cs="Arial" w:eastAsia="Arial" w:hAnsi="Arial"/>
          <w:sz w:val="15"/>
          <w:szCs w:val="15"/>
          <w:color w:val="auto"/>
        </w:rPr>
      </w:pPr>
      <w:r>
        <w:rPr>
          <w:rFonts w:ascii="Arial" w:cs="Arial" w:eastAsia="Arial" w:hAnsi="Arial"/>
          <w:sz w:val="15"/>
          <w:szCs w:val="15"/>
          <w:u w:val="single" w:color="auto"/>
          <w:color w:val="auto"/>
        </w:rPr>
        <w:t>Code Section 409A.</w:t>
      </w:r>
      <w:r>
        <w:rPr>
          <w:rFonts w:ascii="Arial" w:cs="Arial" w:eastAsia="Arial" w:hAnsi="Arial"/>
          <w:sz w:val="15"/>
          <w:szCs w:val="15"/>
          <w:color w:val="auto"/>
        </w:rPr>
        <w:t xml:space="preserve"> The 423 Component of the Plan is exempt from the application of Code Section 409A and any ambiguities herein will be interpreted to so be exempt from Code Section 409A. In furtherance of the foregoing and notwithstanding any provision in the Plan to the contrary, if the Administrator determines that an option granted under the Plan may be subject to Code Section 409A or that any provision in the Plan would cause an option under the Plan to be subject to Code Section 409A, the Administrator may amend the terms of the Plan and/or of an outstanding option granted under the Plan, or take such other action the Administrator determines is necessary or appropriate, in each case, without the Participant’s consent, to exempt any outstanding</w:t>
      </w:r>
    </w:p>
    <w:p>
      <w:pPr>
        <w:spacing w:after="0" w:line="102" w:lineRule="exact"/>
        <w:rPr>
          <w:rFonts w:ascii="Arial" w:cs="Arial" w:eastAsia="Arial" w:hAnsi="Arial"/>
          <w:sz w:val="15"/>
          <w:szCs w:val="15"/>
          <w:color w:val="auto"/>
        </w:rPr>
      </w:pPr>
    </w:p>
    <w:p>
      <w:pPr>
        <w:ind w:left="5640" w:hanging="89"/>
        <w:spacing w:after="0"/>
        <w:tabs>
          <w:tab w:leader="none" w:pos="5640" w:val="left"/>
        </w:tabs>
        <w:numPr>
          <w:ilvl w:val="1"/>
          <w:numId w:val="253"/>
        </w:numPr>
        <w:rPr>
          <w:rFonts w:ascii="Arial" w:cs="Arial" w:eastAsia="Arial" w:hAnsi="Arial"/>
          <w:sz w:val="15"/>
          <w:szCs w:val="15"/>
          <w:color w:val="auto"/>
        </w:rPr>
      </w:pPr>
      <w:r>
        <w:rPr>
          <w:rFonts w:ascii="Arial" w:cs="Arial" w:eastAsia="Arial" w:hAnsi="Arial"/>
          <w:sz w:val="15"/>
          <w:szCs w:val="15"/>
          <w:color w:val="auto"/>
        </w:rPr>
        <w:t>14 -</w:t>
      </w:r>
    </w:p>
    <w:p>
      <w:pPr>
        <w:sectPr>
          <w:pgSz w:w="11900" w:h="16838" w:orient="portrait"/>
          <w:cols w:equalWidth="0" w:num="1">
            <w:col w:w="11440"/>
          </w:cols>
          <w:pgMar w:left="240" w:top="252" w:right="219" w:bottom="1440" w:gutter="0" w:footer="0" w:header="0"/>
        </w:sectPr>
      </w:pPr>
    </w:p>
    <w:bookmarkStart w:id="338" w:name="page339"/>
    <w:bookmarkEnd w:id="338"/>
    <w:p>
      <w:pPr>
        <w:jc w:val="both"/>
        <w:spacing w:after="0" w:line="283" w:lineRule="auto"/>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133350</wp:posOffset>
            </wp:positionH>
            <wp:positionV relativeFrom="page">
              <wp:posOffset>88900</wp:posOffset>
            </wp:positionV>
            <wp:extent cx="7308850" cy="33655"/>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502">
                      <a:extLst>
                        <a:ext uri="{28A0092B-C50C-407E-A947-70E740481C1C}"/>
                      </a:extLst>
                    </a:blip>
                    <a:srcRect/>
                    <a:stretch>
                      <a:fillRect/>
                    </a:stretch>
                  </pic:blipFill>
                  <pic:spPr bwMode="auto">
                    <a:xfrm>
                      <a:off x="0" y="0"/>
                      <a:ext cx="7308850" cy="33655"/>
                    </a:xfrm>
                    <a:prstGeom prst="rect">
                      <a:avLst/>
                    </a:prstGeom>
                    <a:noFill/>
                  </pic:spPr>
                </pic:pic>
              </a:graphicData>
            </a:graphic>
          </wp:anchor>
        </w:drawing>
        <w:t>option or future option that may be granted under the Plan from or to allow any such options to comply with Code Section 409A, but only to the extent any such amendments or action by the Administrator would not violate Code Section 409A. Notwithstanding the foregoing, the Company will have no liability to a Participant or any other party if the option to purchase Common Stock under the Plan that is intended to be exempt from or compliant with Code Section 409A is not so exempt or compliant or for any action taken by the Administrator with respect thereto. The Company makes no representation that the option to purchase Common Stock under the Plan is compliant with Code Section 409A.</w:t>
      </w:r>
    </w:p>
    <w:p>
      <w:pPr>
        <w:spacing w:after="0" w:line="143" w:lineRule="exact"/>
        <w:rPr>
          <w:sz w:val="20"/>
          <w:szCs w:val="20"/>
          <w:color w:val="auto"/>
        </w:rPr>
      </w:pPr>
    </w:p>
    <w:p>
      <w:pPr>
        <w:ind w:right="180" w:firstLine="448"/>
        <w:spacing w:after="0" w:line="275" w:lineRule="auto"/>
        <w:tabs>
          <w:tab w:leader="none" w:pos="796" w:val="left"/>
        </w:tabs>
        <w:numPr>
          <w:ilvl w:val="0"/>
          <w:numId w:val="254"/>
        </w:numPr>
        <w:rPr>
          <w:rFonts w:ascii="Arial" w:cs="Arial" w:eastAsia="Arial" w:hAnsi="Arial"/>
          <w:sz w:val="15"/>
          <w:szCs w:val="15"/>
          <w:color w:val="auto"/>
        </w:rPr>
      </w:pPr>
      <w:r>
        <w:rPr>
          <w:rFonts w:ascii="Arial" w:cs="Arial" w:eastAsia="Arial" w:hAnsi="Arial"/>
          <w:sz w:val="15"/>
          <w:szCs w:val="15"/>
          <w:u w:val="single" w:color="auto"/>
          <w:color w:val="auto"/>
        </w:rPr>
        <w:t>Term of Plan</w:t>
      </w:r>
      <w:r>
        <w:rPr>
          <w:rFonts w:ascii="Arial" w:cs="Arial" w:eastAsia="Arial" w:hAnsi="Arial"/>
          <w:sz w:val="15"/>
          <w:szCs w:val="15"/>
          <w:color w:val="auto"/>
        </w:rPr>
        <w:t>. The Plan will become effective upon the later to occur of (i) its adoption by the Board or (ii) the business day immediately prior to the Registration Date. It will continue in effect for a term of twenty (20) years, unless sooner terminated under Section 20.</w:t>
      </w:r>
    </w:p>
    <w:p>
      <w:pPr>
        <w:spacing w:after="0" w:line="146" w:lineRule="exact"/>
        <w:rPr>
          <w:rFonts w:ascii="Arial" w:cs="Arial" w:eastAsia="Arial" w:hAnsi="Arial"/>
          <w:sz w:val="15"/>
          <w:szCs w:val="15"/>
          <w:color w:val="auto"/>
        </w:rPr>
      </w:pPr>
    </w:p>
    <w:p>
      <w:pPr>
        <w:ind w:right="20" w:firstLine="448"/>
        <w:spacing w:after="0" w:line="275" w:lineRule="auto"/>
        <w:tabs>
          <w:tab w:leader="none" w:pos="796" w:val="left"/>
        </w:tabs>
        <w:numPr>
          <w:ilvl w:val="0"/>
          <w:numId w:val="254"/>
        </w:numPr>
        <w:rPr>
          <w:rFonts w:ascii="Arial" w:cs="Arial" w:eastAsia="Arial" w:hAnsi="Arial"/>
          <w:sz w:val="15"/>
          <w:szCs w:val="15"/>
          <w:color w:val="auto"/>
        </w:rPr>
      </w:pPr>
      <w:r>
        <w:rPr>
          <w:rFonts w:ascii="Arial" w:cs="Arial" w:eastAsia="Arial" w:hAnsi="Arial"/>
          <w:sz w:val="15"/>
          <w:szCs w:val="15"/>
          <w:u w:val="single" w:color="auto"/>
          <w:color w:val="auto"/>
        </w:rPr>
        <w:t>Stockholder Approval</w:t>
      </w:r>
      <w:r>
        <w:rPr>
          <w:rFonts w:ascii="Arial" w:cs="Arial" w:eastAsia="Arial" w:hAnsi="Arial"/>
          <w:sz w:val="15"/>
          <w:szCs w:val="15"/>
          <w:color w:val="auto"/>
        </w:rPr>
        <w:t>. The Plan will be subject to approval by the stockholders of the Company within twelve (12) months after the date the Plan is adopted by the Board. Such stockholder approval will be obtained in the manner and to the degree required under Applicable Laws.</w:t>
      </w:r>
    </w:p>
    <w:p>
      <w:pPr>
        <w:spacing w:after="0" w:line="146" w:lineRule="exact"/>
        <w:rPr>
          <w:rFonts w:ascii="Arial" w:cs="Arial" w:eastAsia="Arial" w:hAnsi="Arial"/>
          <w:sz w:val="15"/>
          <w:szCs w:val="15"/>
          <w:color w:val="auto"/>
        </w:rPr>
      </w:pPr>
    </w:p>
    <w:p>
      <w:pPr>
        <w:ind w:left="780" w:hanging="332"/>
        <w:spacing w:after="0"/>
        <w:tabs>
          <w:tab w:leader="none" w:pos="780" w:val="left"/>
        </w:tabs>
        <w:numPr>
          <w:ilvl w:val="0"/>
          <w:numId w:val="254"/>
        </w:numPr>
        <w:rPr>
          <w:rFonts w:ascii="Arial" w:cs="Arial" w:eastAsia="Arial" w:hAnsi="Arial"/>
          <w:sz w:val="15"/>
          <w:szCs w:val="15"/>
          <w:color w:val="auto"/>
        </w:rPr>
      </w:pPr>
      <w:r>
        <w:rPr>
          <w:rFonts w:ascii="Arial" w:cs="Arial" w:eastAsia="Arial" w:hAnsi="Arial"/>
          <w:sz w:val="15"/>
          <w:szCs w:val="15"/>
          <w:u w:val="single" w:color="auto"/>
          <w:color w:val="auto"/>
        </w:rPr>
        <w:t>Governing Law</w:t>
      </w:r>
      <w:r>
        <w:rPr>
          <w:rFonts w:ascii="Arial" w:cs="Arial" w:eastAsia="Arial" w:hAnsi="Arial"/>
          <w:sz w:val="15"/>
          <w:szCs w:val="15"/>
          <w:color w:val="auto"/>
        </w:rPr>
        <w:t>. The Plan will be governed by, and construed in accordance with, the laws of the State of Delaware (except its choice-of-law provisions).</w:t>
      </w:r>
    </w:p>
    <w:p>
      <w:pPr>
        <w:spacing w:after="0" w:line="188" w:lineRule="exact"/>
        <w:rPr>
          <w:rFonts w:ascii="Arial" w:cs="Arial" w:eastAsia="Arial" w:hAnsi="Arial"/>
          <w:sz w:val="15"/>
          <w:szCs w:val="15"/>
          <w:color w:val="auto"/>
        </w:rPr>
      </w:pPr>
    </w:p>
    <w:p>
      <w:pPr>
        <w:ind w:right="140" w:firstLine="448"/>
        <w:spacing w:after="0" w:line="263" w:lineRule="auto"/>
        <w:tabs>
          <w:tab w:leader="none" w:pos="796" w:val="left"/>
        </w:tabs>
        <w:numPr>
          <w:ilvl w:val="0"/>
          <w:numId w:val="254"/>
        </w:numPr>
        <w:rPr>
          <w:rFonts w:ascii="Arial" w:cs="Arial" w:eastAsia="Arial" w:hAnsi="Arial"/>
          <w:sz w:val="15"/>
          <w:szCs w:val="15"/>
          <w:color w:val="auto"/>
        </w:rPr>
      </w:pPr>
      <w:r>
        <w:rPr>
          <w:rFonts w:ascii="Arial" w:cs="Arial" w:eastAsia="Arial" w:hAnsi="Arial"/>
          <w:sz w:val="15"/>
          <w:szCs w:val="15"/>
          <w:u w:val="single" w:color="auto"/>
          <w:color w:val="auto"/>
        </w:rPr>
        <w:t>No Right to Employment</w:t>
      </w:r>
      <w:r>
        <w:rPr>
          <w:rFonts w:ascii="Arial" w:cs="Arial" w:eastAsia="Arial" w:hAnsi="Arial"/>
          <w:sz w:val="15"/>
          <w:szCs w:val="15"/>
          <w:color w:val="auto"/>
        </w:rPr>
        <w:t>. Participation in the Plan by a Participant will not be construed as giving a Participant the right to be retained as an employee of the Company or a Subsidiary or Affiliate of the Company, as applicable. Further, the Company or a Subsidiary or Affiliate of the Company may dismiss a Participant from employment at any time, free from any liability or any claim under the Plan.</w:t>
      </w:r>
    </w:p>
    <w:p>
      <w:pPr>
        <w:spacing w:after="0" w:line="154" w:lineRule="exact"/>
        <w:rPr>
          <w:rFonts w:ascii="Arial" w:cs="Arial" w:eastAsia="Arial" w:hAnsi="Arial"/>
          <w:sz w:val="15"/>
          <w:szCs w:val="15"/>
          <w:color w:val="auto"/>
        </w:rPr>
      </w:pPr>
    </w:p>
    <w:p>
      <w:pPr>
        <w:jc w:val="both"/>
        <w:ind w:right="380" w:firstLine="448"/>
        <w:spacing w:after="0" w:line="263" w:lineRule="auto"/>
        <w:tabs>
          <w:tab w:leader="none" w:pos="796" w:val="left"/>
        </w:tabs>
        <w:numPr>
          <w:ilvl w:val="0"/>
          <w:numId w:val="254"/>
        </w:numPr>
        <w:rPr>
          <w:rFonts w:ascii="Arial" w:cs="Arial" w:eastAsia="Arial" w:hAnsi="Arial"/>
          <w:sz w:val="15"/>
          <w:szCs w:val="15"/>
          <w:color w:val="auto"/>
        </w:rPr>
      </w:pPr>
      <w:r>
        <w:rPr>
          <w:rFonts w:ascii="Arial" w:cs="Arial" w:eastAsia="Arial" w:hAnsi="Arial"/>
          <w:sz w:val="15"/>
          <w:szCs w:val="15"/>
          <w:u w:val="single" w:color="auto"/>
          <w:color w:val="auto"/>
        </w:rPr>
        <w:t>Severability</w:t>
      </w:r>
      <w:r>
        <w:rPr>
          <w:rFonts w:ascii="Arial" w:cs="Arial" w:eastAsia="Arial" w:hAnsi="Arial"/>
          <w:sz w:val="15"/>
          <w:szCs w:val="15"/>
          <w:color w:val="auto"/>
        </w:rPr>
        <w:t>. If any provision of the Plan is or becomes or is deemed to be invalid, illegal, or unenforceable for any reason in any jurisdiction or as to any Participant, such invalidity, illegality or unenforceability will not affect the remaining parts of the Plan, and the Plan will be construed and enforced as to such jurisdiction or Participant as if the invalid, illegal or unenforceable provision had not been included.</w:t>
      </w:r>
    </w:p>
    <w:p>
      <w:pPr>
        <w:spacing w:after="0" w:line="154" w:lineRule="exact"/>
        <w:rPr>
          <w:rFonts w:ascii="Arial" w:cs="Arial" w:eastAsia="Arial" w:hAnsi="Arial"/>
          <w:sz w:val="15"/>
          <w:szCs w:val="15"/>
          <w:color w:val="auto"/>
        </w:rPr>
      </w:pPr>
    </w:p>
    <w:p>
      <w:pPr>
        <w:ind w:left="780" w:hanging="332"/>
        <w:spacing w:after="0"/>
        <w:tabs>
          <w:tab w:leader="none" w:pos="780" w:val="left"/>
        </w:tabs>
        <w:numPr>
          <w:ilvl w:val="0"/>
          <w:numId w:val="254"/>
        </w:numPr>
        <w:rPr>
          <w:rFonts w:ascii="Arial" w:cs="Arial" w:eastAsia="Arial" w:hAnsi="Arial"/>
          <w:sz w:val="15"/>
          <w:szCs w:val="15"/>
          <w:color w:val="auto"/>
        </w:rPr>
      </w:pPr>
      <w:r>
        <w:rPr>
          <w:rFonts w:ascii="Arial" w:cs="Arial" w:eastAsia="Arial" w:hAnsi="Arial"/>
          <w:sz w:val="15"/>
          <w:szCs w:val="15"/>
          <w:u w:val="single" w:color="auto"/>
          <w:color w:val="auto"/>
        </w:rPr>
        <w:t>Compliance with Applicable Laws</w:t>
      </w:r>
      <w:r>
        <w:rPr>
          <w:rFonts w:ascii="Arial" w:cs="Arial" w:eastAsia="Arial" w:hAnsi="Arial"/>
          <w:sz w:val="15"/>
          <w:szCs w:val="15"/>
          <w:color w:val="auto"/>
        </w:rPr>
        <w:t>. The terms of this Plan are intended to comply with all Applicable Laws and will be construed accordingly.</w:t>
      </w:r>
    </w:p>
    <w:p>
      <w:pPr>
        <w:spacing w:after="0" w:line="188" w:lineRule="exact"/>
        <w:rPr>
          <w:rFonts w:ascii="Arial" w:cs="Arial" w:eastAsia="Arial" w:hAnsi="Arial"/>
          <w:sz w:val="15"/>
          <w:szCs w:val="15"/>
          <w:color w:val="auto"/>
        </w:rPr>
      </w:pPr>
    </w:p>
    <w:p>
      <w:pPr>
        <w:ind w:right="260" w:firstLine="448"/>
        <w:spacing w:after="0" w:line="290" w:lineRule="auto"/>
        <w:tabs>
          <w:tab w:leader="none" w:pos="796" w:val="left"/>
        </w:tabs>
        <w:numPr>
          <w:ilvl w:val="0"/>
          <w:numId w:val="254"/>
        </w:numPr>
        <w:rPr>
          <w:rFonts w:ascii="Arial" w:cs="Arial" w:eastAsia="Arial" w:hAnsi="Arial"/>
          <w:sz w:val="14"/>
          <w:szCs w:val="14"/>
          <w:color w:val="auto"/>
        </w:rPr>
      </w:pPr>
      <w:r>
        <w:rPr>
          <w:rFonts w:ascii="Arial" w:cs="Arial" w:eastAsia="Arial" w:hAnsi="Arial"/>
          <w:sz w:val="14"/>
          <w:szCs w:val="14"/>
          <w:u w:val="single" w:color="auto"/>
          <w:color w:val="auto"/>
        </w:rPr>
        <w:t>Automatic Transfer to Low Price Offering Period</w:t>
      </w:r>
      <w:r>
        <w:rPr>
          <w:rFonts w:ascii="Arial" w:cs="Arial" w:eastAsia="Arial" w:hAnsi="Arial"/>
          <w:sz w:val="14"/>
          <w:szCs w:val="14"/>
          <w:color w:val="auto"/>
        </w:rPr>
        <w:t>. To the extent permitted by Applicable Laws, if the Fair Market Value on any Exercise Date in an Offering Period is lower than the Fair Market Value on the Enrollment Date of such Offering Period, then all Participants in such Offering Period automatically will be withdrawn from such Offering Period immediately after the exercise of their option on such Exercise Date and automatically re-enrolled in the immediately following Offering Period as of the first day thereof.</w:t>
      </w:r>
    </w:p>
    <w:p>
      <w:pPr>
        <w:spacing w:after="0" w:line="81" w:lineRule="exact"/>
        <w:rPr>
          <w:rFonts w:ascii="Arial" w:cs="Arial" w:eastAsia="Arial" w:hAnsi="Arial"/>
          <w:sz w:val="14"/>
          <w:szCs w:val="14"/>
          <w:color w:val="auto"/>
        </w:rPr>
      </w:pPr>
    </w:p>
    <w:p>
      <w:pPr>
        <w:ind w:left="5640" w:hanging="89"/>
        <w:spacing w:after="0"/>
        <w:tabs>
          <w:tab w:leader="none" w:pos="5640" w:val="left"/>
        </w:tabs>
        <w:numPr>
          <w:ilvl w:val="1"/>
          <w:numId w:val="254"/>
        </w:numPr>
        <w:rPr>
          <w:rFonts w:ascii="Arial" w:cs="Arial" w:eastAsia="Arial" w:hAnsi="Arial"/>
          <w:sz w:val="15"/>
          <w:szCs w:val="15"/>
          <w:color w:val="auto"/>
        </w:rPr>
      </w:pPr>
      <w:r>
        <w:rPr>
          <w:rFonts w:ascii="Arial" w:cs="Arial" w:eastAsia="Arial" w:hAnsi="Arial"/>
          <w:sz w:val="15"/>
          <w:szCs w:val="15"/>
          <w:color w:val="auto"/>
        </w:rPr>
        <w:t>15 -</w:t>
      </w:r>
    </w:p>
    <w:p>
      <w:pPr>
        <w:sectPr>
          <w:pgSz w:w="11900" w:h="16838" w:orient="portrait"/>
          <w:cols w:equalWidth="0" w:num="1">
            <w:col w:w="11420"/>
          </w:cols>
          <w:pgMar w:left="240" w:top="253" w:right="239" w:bottom="1440" w:gutter="0" w:footer="0" w:header="0"/>
        </w:sectPr>
      </w:pPr>
    </w:p>
    <w:bookmarkStart w:id="339" w:name="page340"/>
    <w:bookmarkEnd w:id="339"/>
    <w:tbl>
      <w:tblPr>
        <w:tblLayout w:type="fixed"/>
        <w:tblInd w:w="480" w:type="dxa"/>
        <w:tblCellMar>
          <w:top w:w="0" w:type="dxa"/>
          <w:left w:w="0" w:type="dxa"/>
          <w:bottom w:w="0" w:type="dxa"/>
          <w:right w:w="0" w:type="dxa"/>
        </w:tblCellMar>
      </w:tblPr>
      <w:tr>
        <w:trPr>
          <w:trHeight w:val="172"/>
        </w:trPr>
        <w:tc>
          <w:tcPr>
            <w:tcW w:w="288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920" w:type="dxa"/>
            <w:vAlign w:val="bottom"/>
            <w:gridSpan w:val="3"/>
          </w:tcPr>
          <w:p>
            <w:pPr>
              <w:jc w:val="center"/>
              <w:ind w:right="1140"/>
              <w:spacing w:after="0"/>
              <w:rPr>
                <w:sz w:val="20"/>
                <w:szCs w:val="20"/>
                <w:color w:val="auto"/>
              </w:rPr>
            </w:pPr>
            <w:r>
              <w:rPr>
                <w:rFonts w:ascii="Arial" w:cs="Arial" w:eastAsia="Arial" w:hAnsi="Arial"/>
                <w:sz w:val="15"/>
                <w:szCs w:val="15"/>
                <w:b w:val="1"/>
                <w:bCs w:val="1"/>
                <w:color w:val="auto"/>
              </w:rPr>
              <w:t>EXHIBIT A</w:t>
            </w:r>
          </w:p>
        </w:tc>
      </w:tr>
      <w:tr>
        <w:trPr>
          <w:trHeight w:val="20"/>
        </w:trPr>
        <w:tc>
          <w:tcPr>
            <w:tcW w:w="288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374"/>
        </w:trPr>
        <w:tc>
          <w:tcPr>
            <w:tcW w:w="2880" w:type="dxa"/>
            <w:vAlign w:val="bottom"/>
          </w:tcPr>
          <w:p>
            <w:pPr>
              <w:spacing w:after="0"/>
              <w:rPr>
                <w:sz w:val="24"/>
                <w:szCs w:val="24"/>
                <w:color w:val="auto"/>
              </w:rPr>
            </w:pPr>
          </w:p>
        </w:tc>
        <w:tc>
          <w:tcPr>
            <w:tcW w:w="3880" w:type="dxa"/>
            <w:vAlign w:val="bottom"/>
            <w:gridSpan w:val="5"/>
          </w:tcPr>
          <w:p>
            <w:pPr>
              <w:jc w:val="center"/>
              <w:ind w:left="745"/>
              <w:spacing w:after="0"/>
              <w:rPr>
                <w:sz w:val="20"/>
                <w:szCs w:val="20"/>
                <w:color w:val="auto"/>
              </w:rPr>
            </w:pPr>
            <w:r>
              <w:rPr>
                <w:rFonts w:ascii="Arial" w:cs="Arial" w:eastAsia="Arial" w:hAnsi="Arial"/>
                <w:sz w:val="15"/>
                <w:szCs w:val="15"/>
                <w:b w:val="1"/>
                <w:bCs w:val="1"/>
                <w:color w:val="auto"/>
                <w:w w:val="99"/>
              </w:rPr>
              <w:t>DROPBOX, INC.</w:t>
            </w:r>
          </w:p>
        </w:tc>
      </w:tr>
      <w:tr>
        <w:trPr>
          <w:trHeight w:val="361"/>
        </w:trPr>
        <w:tc>
          <w:tcPr>
            <w:tcW w:w="2880" w:type="dxa"/>
            <w:vAlign w:val="bottom"/>
          </w:tcPr>
          <w:p>
            <w:pPr>
              <w:spacing w:after="0"/>
              <w:rPr>
                <w:sz w:val="24"/>
                <w:szCs w:val="24"/>
                <w:color w:val="auto"/>
              </w:rPr>
            </w:pPr>
          </w:p>
        </w:tc>
        <w:tc>
          <w:tcPr>
            <w:tcW w:w="3880" w:type="dxa"/>
            <w:vAlign w:val="bottom"/>
            <w:gridSpan w:val="5"/>
          </w:tcPr>
          <w:p>
            <w:pPr>
              <w:jc w:val="center"/>
              <w:ind w:left="745"/>
              <w:spacing w:after="0"/>
              <w:rPr>
                <w:sz w:val="20"/>
                <w:szCs w:val="20"/>
                <w:color w:val="auto"/>
              </w:rPr>
            </w:pPr>
            <w:r>
              <w:rPr>
                <w:rFonts w:ascii="Arial" w:cs="Arial" w:eastAsia="Arial" w:hAnsi="Arial"/>
                <w:sz w:val="15"/>
                <w:szCs w:val="15"/>
                <w:b w:val="1"/>
                <w:bCs w:val="1"/>
                <w:color w:val="auto"/>
                <w:w w:val="98"/>
              </w:rPr>
              <w:t>2018 EMPLOYEE STOCK PURCHASE PLAN</w:t>
            </w:r>
          </w:p>
        </w:tc>
      </w:tr>
      <w:tr>
        <w:trPr>
          <w:trHeight w:val="361"/>
        </w:trPr>
        <w:tc>
          <w:tcPr>
            <w:tcW w:w="2880" w:type="dxa"/>
            <w:vAlign w:val="bottom"/>
          </w:tcPr>
          <w:p>
            <w:pPr>
              <w:spacing w:after="0"/>
              <w:rPr>
                <w:sz w:val="24"/>
                <w:szCs w:val="24"/>
                <w:color w:val="auto"/>
              </w:rPr>
            </w:pPr>
          </w:p>
        </w:tc>
        <w:tc>
          <w:tcPr>
            <w:tcW w:w="3880" w:type="dxa"/>
            <w:vAlign w:val="bottom"/>
            <w:gridSpan w:val="5"/>
          </w:tcPr>
          <w:p>
            <w:pPr>
              <w:jc w:val="center"/>
              <w:ind w:left="745"/>
              <w:spacing w:after="0"/>
              <w:rPr>
                <w:sz w:val="20"/>
                <w:szCs w:val="20"/>
                <w:color w:val="auto"/>
              </w:rPr>
            </w:pPr>
            <w:r>
              <w:rPr>
                <w:rFonts w:ascii="Arial" w:cs="Arial" w:eastAsia="Arial" w:hAnsi="Arial"/>
                <w:sz w:val="15"/>
                <w:szCs w:val="15"/>
                <w:b w:val="1"/>
                <w:bCs w:val="1"/>
                <w:color w:val="auto"/>
              </w:rPr>
              <w:t>SUBSCRIPTION AGREEMENT</w:t>
            </w:r>
          </w:p>
        </w:tc>
      </w:tr>
      <w:tr>
        <w:trPr>
          <w:trHeight w:val="328"/>
        </w:trPr>
        <w:tc>
          <w:tcPr>
            <w:tcW w:w="2880" w:type="dxa"/>
            <w:vAlign w:val="bottom"/>
          </w:tcPr>
          <w:p>
            <w:pPr>
              <w:spacing w:after="0"/>
              <w:rPr>
                <w:sz w:val="20"/>
                <w:szCs w:val="20"/>
                <w:color w:val="auto"/>
              </w:rPr>
            </w:pPr>
            <w:r>
              <w:rPr>
                <w:rFonts w:ascii="Arial" w:cs="Arial" w:eastAsia="Arial" w:hAnsi="Arial"/>
                <w:sz w:val="15"/>
                <w:szCs w:val="15"/>
                <w:color w:val="auto"/>
              </w:rPr>
              <w:t>Original Application</w:t>
            </w:r>
          </w:p>
        </w:tc>
        <w:tc>
          <w:tcPr>
            <w:tcW w:w="3880" w:type="dxa"/>
            <w:vAlign w:val="bottom"/>
            <w:gridSpan w:val="5"/>
          </w:tcPr>
          <w:p>
            <w:pPr>
              <w:ind w:left="1000"/>
              <w:spacing w:after="0"/>
              <w:rPr>
                <w:sz w:val="20"/>
                <w:szCs w:val="20"/>
                <w:color w:val="auto"/>
              </w:rPr>
            </w:pPr>
            <w:r>
              <w:rPr>
                <w:rFonts w:ascii="Arial" w:cs="Arial" w:eastAsia="Arial" w:hAnsi="Arial"/>
                <w:sz w:val="15"/>
                <w:szCs w:val="15"/>
                <w:color w:val="auto"/>
              </w:rPr>
              <w:t>Offering Date:</w:t>
            </w:r>
          </w:p>
        </w:tc>
      </w:tr>
      <w:tr>
        <w:trPr>
          <w:trHeight w:val="193"/>
        </w:trPr>
        <w:tc>
          <w:tcPr>
            <w:tcW w:w="2880" w:type="dxa"/>
            <w:vAlign w:val="bottom"/>
          </w:tcPr>
          <w:p>
            <w:pPr>
              <w:spacing w:after="0"/>
              <w:rPr>
                <w:sz w:val="20"/>
                <w:szCs w:val="20"/>
                <w:color w:val="auto"/>
              </w:rPr>
            </w:pPr>
            <w:r>
              <w:rPr>
                <w:rFonts w:ascii="Arial" w:cs="Arial" w:eastAsia="Arial" w:hAnsi="Arial"/>
                <w:sz w:val="15"/>
                <w:szCs w:val="15"/>
                <w:color w:val="auto"/>
              </w:rPr>
              <w:t>Change in Payroll Deduction Rate</w:t>
            </w:r>
          </w:p>
        </w:tc>
        <w:tc>
          <w:tcPr>
            <w:tcW w:w="1920" w:type="dxa"/>
            <w:vAlign w:val="bottom"/>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spacing w:after="0"/>
              <w:rPr>
                <w:sz w:val="16"/>
                <w:szCs w:val="16"/>
                <w:color w:val="auto"/>
              </w:rPr>
            </w:pPr>
          </w:p>
        </w:tc>
        <w:tc>
          <w:tcPr>
            <w:tcW w:w="680" w:type="dxa"/>
            <w:vAlign w:val="bottom"/>
            <w:tcBorders>
              <w:top w:val="single" w:sz="8" w:color="auto"/>
            </w:tcBorders>
          </w:tcPr>
          <w:p>
            <w:pPr>
              <w:spacing w:after="0"/>
              <w:rPr>
                <w:sz w:val="16"/>
                <w:szCs w:val="16"/>
                <w:color w:val="auto"/>
              </w:rPr>
            </w:pPr>
          </w:p>
        </w:tc>
        <w:tc>
          <w:tcPr>
            <w:tcW w:w="460" w:type="dxa"/>
            <w:vAlign w:val="bottom"/>
          </w:tcPr>
          <w:p>
            <w:pPr>
              <w:spacing w:after="0"/>
              <w:rPr>
                <w:sz w:val="16"/>
                <w:szCs w:val="1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133350</wp:posOffset>
            </wp:positionH>
            <wp:positionV relativeFrom="page">
              <wp:posOffset>88900</wp:posOffset>
            </wp:positionV>
            <wp:extent cx="7308850" cy="34290"/>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503">
                      <a:extLst>
                        <a:ext uri="{28A0092B-C50C-407E-A947-70E740481C1C}"/>
                      </a:extLst>
                    </a:blip>
                    <a:srcRect/>
                    <a:stretch>
                      <a:fillRect/>
                    </a:stretch>
                  </pic:blipFill>
                  <pic:spPr bwMode="auto">
                    <a:xfrm>
                      <a:off x="0" y="0"/>
                      <a:ext cx="7308850" cy="3429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-134620</wp:posOffset>
            </wp:positionV>
            <wp:extent cx="286385" cy="6985"/>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504">
                      <a:extLst>
                        <a:ext uri="{28A0092B-C50C-407E-A947-70E740481C1C}"/>
                      </a:extLst>
                    </a:blip>
                    <a:srcRect/>
                    <a:stretch>
                      <a:fillRect/>
                    </a:stretch>
                  </pic:blipFill>
                  <pic:spPr bwMode="auto">
                    <a:xfrm>
                      <a:off x="0" y="0"/>
                      <a:ext cx="286385" cy="698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-20320</wp:posOffset>
            </wp:positionV>
            <wp:extent cx="286385" cy="6985"/>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505">
                      <a:extLst>
                        <a:ext uri="{28A0092B-C50C-407E-A947-70E740481C1C}"/>
                      </a:extLst>
                    </a:blip>
                    <a:srcRect/>
                    <a:stretch>
                      <a:fillRect/>
                    </a:stretch>
                  </pic:blipFill>
                  <pic:spPr bwMode="auto">
                    <a:xfrm>
                      <a:off x="0" y="0"/>
                      <a:ext cx="286385" cy="6985"/>
                    </a:xfrm>
                    <a:prstGeom prst="rect">
                      <a:avLst/>
                    </a:prstGeom>
                    <a:noFill/>
                  </pic:spPr>
                </pic:pic>
              </a:graphicData>
            </a:graphic>
          </wp:anchor>
        </w:drawing>
      </w:r>
    </w:p>
    <w:p>
      <w:pPr>
        <w:spacing w:after="0" w:line="151" w:lineRule="exact"/>
        <w:rPr>
          <w:sz w:val="20"/>
          <w:szCs w:val="20"/>
          <w:color w:val="auto"/>
        </w:rPr>
      </w:pPr>
    </w:p>
    <w:p>
      <w:pPr>
        <w:ind w:right="20" w:firstLine="448"/>
        <w:spacing w:after="0" w:line="263" w:lineRule="auto"/>
        <w:tabs>
          <w:tab w:leader="none" w:pos="1547" w:val="left"/>
        </w:tabs>
        <w:numPr>
          <w:ilvl w:val="0"/>
          <w:numId w:val="255"/>
        </w:numPr>
        <w:rPr>
          <w:rFonts w:ascii="Arial" w:cs="Arial" w:eastAsia="Arial" w:hAnsi="Arial"/>
          <w:sz w:val="15"/>
          <w:szCs w:val="15"/>
          <w:color w:val="auto"/>
        </w:rPr>
      </w:pPr>
      <w:r>
        <w:rPr>
          <w:rFonts w:ascii="Arial" w:cs="Arial" w:eastAsia="Arial" w:hAnsi="Arial"/>
          <w:sz w:val="15"/>
          <w:szCs w:val="15"/>
          <w:color w:val="auto"/>
        </w:rPr>
        <w:t>(“Employee”) hereby elects to participate in the Dropbox, Inc. 2018 Employee Stock Purchase Plan (the “Plan”) and subscribes to purchase shares of the Company’s Common Stock in accordance with this Subscription Agreement and the Plan. Unless otherwise defined herein, the terms defined in the 2018 Employee Stock Purchase Plan (the “Plan”) shall have the same defined meanings in this Subscription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451485</wp:posOffset>
            </wp:positionH>
            <wp:positionV relativeFrom="paragraph">
              <wp:posOffset>-259715</wp:posOffset>
            </wp:positionV>
            <wp:extent cx="501015" cy="6985"/>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506">
                      <a:extLst>
                        <a:ext uri="{28A0092B-C50C-407E-A947-70E740481C1C}"/>
                      </a:extLst>
                    </a:blip>
                    <a:srcRect/>
                    <a:stretch>
                      <a:fillRect/>
                    </a:stretch>
                  </pic:blipFill>
                  <pic:spPr bwMode="auto">
                    <a:xfrm>
                      <a:off x="0" y="0"/>
                      <a:ext cx="501015" cy="6985"/>
                    </a:xfrm>
                    <a:prstGeom prst="rect">
                      <a:avLst/>
                    </a:prstGeom>
                    <a:noFill/>
                  </pic:spPr>
                </pic:pic>
              </a:graphicData>
            </a:graphic>
          </wp:anchor>
        </w:drawing>
      </w:r>
    </w:p>
    <w:p>
      <w:pPr>
        <w:spacing w:after="0" w:line="135" w:lineRule="exact"/>
        <w:rPr>
          <w:sz w:val="20"/>
          <w:szCs w:val="20"/>
          <w:color w:val="auto"/>
        </w:rPr>
      </w:pPr>
    </w:p>
    <w:p>
      <w:pPr>
        <w:ind w:right="260" w:firstLine="458"/>
        <w:spacing w:after="0" w:line="275" w:lineRule="auto"/>
        <w:rPr>
          <w:sz w:val="20"/>
          <w:szCs w:val="20"/>
          <w:color w:val="auto"/>
        </w:rPr>
      </w:pPr>
      <w:r>
        <w:rPr>
          <w:rFonts w:ascii="Arial" w:cs="Arial" w:eastAsia="Arial" w:hAnsi="Arial"/>
          <w:sz w:val="15"/>
          <w:szCs w:val="15"/>
          <w:color w:val="auto"/>
        </w:rPr>
        <w:t>2. Employee hereby authorizes payroll deductions from each paycheck in the amount of % (from 1% to 15%) of his or her Compensation on each payday during the Offering Period in accordance with the Plan. (Please note that no fractional percentages are permitted.)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3738245</wp:posOffset>
            </wp:positionH>
            <wp:positionV relativeFrom="paragraph">
              <wp:posOffset>-150495</wp:posOffset>
            </wp:positionV>
            <wp:extent cx="95250" cy="6985"/>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507">
                      <a:extLst>
                        <a:ext uri="{28A0092B-C50C-407E-A947-70E740481C1C}"/>
                      </a:extLst>
                    </a:blip>
                    <a:srcRect/>
                    <a:stretch>
                      <a:fillRect/>
                    </a:stretch>
                  </pic:blipFill>
                  <pic:spPr bwMode="auto">
                    <a:xfrm>
                      <a:off x="0" y="0"/>
                      <a:ext cx="95250" cy="6985"/>
                    </a:xfrm>
                    <a:prstGeom prst="rect">
                      <a:avLst/>
                    </a:prstGeom>
                    <a:noFill/>
                  </pic:spPr>
                </pic:pic>
              </a:graphicData>
            </a:graphic>
          </wp:anchor>
        </w:drawing>
      </w:r>
    </w:p>
    <w:p>
      <w:pPr>
        <w:spacing w:after="0" w:line="126" w:lineRule="exact"/>
        <w:rPr>
          <w:sz w:val="20"/>
          <w:szCs w:val="20"/>
          <w:color w:val="auto"/>
        </w:rPr>
      </w:pPr>
    </w:p>
    <w:p>
      <w:pPr>
        <w:ind w:firstLine="448"/>
        <w:spacing w:after="0" w:line="263" w:lineRule="auto"/>
        <w:tabs>
          <w:tab w:leader="none" w:pos="721" w:val="left"/>
        </w:tabs>
        <w:numPr>
          <w:ilvl w:val="0"/>
          <w:numId w:val="256"/>
        </w:numPr>
        <w:rPr>
          <w:rFonts w:ascii="Arial" w:cs="Arial" w:eastAsia="Arial" w:hAnsi="Arial"/>
          <w:sz w:val="15"/>
          <w:szCs w:val="15"/>
          <w:color w:val="auto"/>
        </w:rPr>
      </w:pPr>
      <w:r>
        <w:rPr>
          <w:rFonts w:ascii="Arial" w:cs="Arial" w:eastAsia="Arial" w:hAnsi="Arial"/>
          <w:sz w:val="15"/>
          <w:szCs w:val="15"/>
          <w:color w:val="auto"/>
        </w:rPr>
        <w:t>Employee understands that said payroll deductions will be accumulated for the purchase of shares of Common Stock at the applicable Purchase Price determined in accordance with the Plan. Employee understands that if he or she does not withdraw from an Offering Period, any accumulated payroll deductions will be used to automatically exercise his or her option and purchase Common Stock under the Plan.</w:t>
      </w:r>
    </w:p>
    <w:p>
      <w:pPr>
        <w:spacing w:after="0" w:line="154" w:lineRule="exact"/>
        <w:rPr>
          <w:rFonts w:ascii="Arial" w:cs="Arial" w:eastAsia="Arial" w:hAnsi="Arial"/>
          <w:sz w:val="15"/>
          <w:szCs w:val="15"/>
          <w:color w:val="auto"/>
        </w:rPr>
      </w:pPr>
    </w:p>
    <w:p>
      <w:pPr>
        <w:ind w:right="140" w:firstLine="448"/>
        <w:spacing w:after="0" w:line="275" w:lineRule="auto"/>
        <w:tabs>
          <w:tab w:leader="none" w:pos="721" w:val="left"/>
        </w:tabs>
        <w:numPr>
          <w:ilvl w:val="0"/>
          <w:numId w:val="256"/>
        </w:numPr>
        <w:rPr>
          <w:rFonts w:ascii="Arial" w:cs="Arial" w:eastAsia="Arial" w:hAnsi="Arial"/>
          <w:sz w:val="15"/>
          <w:szCs w:val="15"/>
          <w:color w:val="auto"/>
        </w:rPr>
      </w:pPr>
      <w:r>
        <w:rPr>
          <w:rFonts w:ascii="Arial" w:cs="Arial" w:eastAsia="Arial" w:hAnsi="Arial"/>
          <w:sz w:val="15"/>
          <w:szCs w:val="15"/>
          <w:color w:val="auto"/>
        </w:rPr>
        <w:t>Employee has received a copy of the complete Plan and its accompanying prospectus. Employee understands that his or her participation in the Plan is in all respects subject to the terms of the Plan.</w:t>
      </w:r>
    </w:p>
    <w:p>
      <w:pPr>
        <w:spacing w:after="0" w:line="146" w:lineRule="exact"/>
        <w:rPr>
          <w:sz w:val="20"/>
          <w:szCs w:val="20"/>
          <w:color w:val="auto"/>
        </w:rPr>
      </w:pPr>
    </w:p>
    <w:p>
      <w:pPr>
        <w:ind w:left="440"/>
        <w:spacing w:after="0"/>
        <w:tabs>
          <w:tab w:leader="none" w:pos="700" w:val="left"/>
          <w:tab w:leader="none" w:pos="7540" w:val="left"/>
        </w:tabs>
        <w:rPr>
          <w:sz w:val="20"/>
          <w:szCs w:val="20"/>
          <w:color w:val="auto"/>
        </w:rPr>
      </w:pPr>
      <w:r>
        <w:rPr>
          <w:rFonts w:ascii="Arial" w:cs="Arial" w:eastAsia="Arial" w:hAnsi="Arial"/>
          <w:sz w:val="15"/>
          <w:szCs w:val="15"/>
          <w:color w:val="auto"/>
        </w:rPr>
        <w:t>5.</w:t>
        <w:tab/>
        <w:t>Shares of Common Stock purchased by Employee under the Plan should be issued in the name(s) of</w:t>
      </w:r>
      <w:r>
        <w:rPr>
          <w:sz w:val="20"/>
          <w:szCs w:val="20"/>
          <w:color w:val="auto"/>
        </w:rPr>
        <w:tab/>
      </w:r>
      <w:r>
        <w:rPr>
          <w:rFonts w:ascii="Arial" w:cs="Arial" w:eastAsia="Arial" w:hAnsi="Arial"/>
          <w:sz w:val="13"/>
          <w:szCs w:val="13"/>
          <w:color w:val="auto"/>
        </w:rPr>
        <w:t>(Employee or Employee and Spouse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4298315</wp:posOffset>
            </wp:positionH>
            <wp:positionV relativeFrom="paragraph">
              <wp:posOffset>-8890</wp:posOffset>
            </wp:positionV>
            <wp:extent cx="477520" cy="6985"/>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508">
                      <a:extLst>
                        <a:ext uri="{28A0092B-C50C-407E-A947-70E740481C1C}"/>
                      </a:extLst>
                    </a:blip>
                    <a:srcRect/>
                    <a:stretch>
                      <a:fillRect/>
                    </a:stretch>
                  </pic:blipFill>
                  <pic:spPr bwMode="auto">
                    <a:xfrm>
                      <a:off x="0" y="0"/>
                      <a:ext cx="477520" cy="6985"/>
                    </a:xfrm>
                    <a:prstGeom prst="rect">
                      <a:avLst/>
                    </a:prstGeom>
                    <a:noFill/>
                  </pic:spPr>
                </pic:pic>
              </a:graphicData>
            </a:graphic>
          </wp:anchor>
        </w:drawing>
      </w:r>
    </w:p>
    <w:p>
      <w:pPr>
        <w:spacing w:after="0" w:line="168" w:lineRule="exact"/>
        <w:rPr>
          <w:sz w:val="20"/>
          <w:szCs w:val="20"/>
          <w:color w:val="auto"/>
        </w:rPr>
      </w:pPr>
    </w:p>
    <w:p>
      <w:pPr>
        <w:jc w:val="both"/>
        <w:ind w:right="20" w:firstLine="448"/>
        <w:spacing w:after="0" w:line="294" w:lineRule="auto"/>
        <w:tabs>
          <w:tab w:leader="none" w:pos="721" w:val="left"/>
        </w:tabs>
        <w:numPr>
          <w:ilvl w:val="0"/>
          <w:numId w:val="257"/>
        </w:numPr>
        <w:rPr>
          <w:rFonts w:ascii="Arial" w:cs="Arial" w:eastAsia="Arial" w:hAnsi="Arial"/>
          <w:sz w:val="13"/>
          <w:szCs w:val="13"/>
          <w:color w:val="auto"/>
        </w:rPr>
      </w:pPr>
      <w:r>
        <w:rPr>
          <w:rFonts w:ascii="Arial" w:cs="Arial" w:eastAsia="Arial" w:hAnsi="Arial"/>
          <w:sz w:val="13"/>
          <w:szCs w:val="13"/>
          <w:color w:val="auto"/>
        </w:rPr>
        <w:t>Employee understands that if he or she disposes of any shares that he or she purchased under the Plan within two (2) years after the Enrollment Date (the first day of the Offering Period during which he or she purchased such shares) or one (1) year after the applicable Exercise Date, he or she will be treated for federal income tax purposes as having received ordinary income at the time of such disposition in an amount equal to the excess of the fair market value of the shares at the time such shares were purchased over the price paid for the shares.</w:t>
      </w:r>
    </w:p>
    <w:p>
      <w:pPr>
        <w:spacing w:after="0" w:line="1" w:lineRule="exact"/>
        <w:rPr>
          <w:rFonts w:ascii="Arial" w:cs="Arial" w:eastAsia="Arial" w:hAnsi="Arial"/>
          <w:sz w:val="13"/>
          <w:szCs w:val="13"/>
          <w:color w:val="auto"/>
        </w:rPr>
      </w:pPr>
    </w:p>
    <w:p>
      <w:pPr>
        <w:spacing w:after="0" w:line="254" w:lineRule="auto"/>
        <w:rPr>
          <w:rFonts w:ascii="Arial" w:cs="Arial" w:eastAsia="Arial" w:hAnsi="Arial"/>
          <w:sz w:val="13"/>
          <w:szCs w:val="13"/>
          <w:color w:val="auto"/>
        </w:rPr>
      </w:pPr>
      <w:r>
        <w:rPr>
          <w:rFonts w:ascii="Arial" w:cs="Arial" w:eastAsia="Arial" w:hAnsi="Arial"/>
          <w:sz w:val="15"/>
          <w:szCs w:val="15"/>
          <w:u w:val="single" w:color="auto"/>
          <w:color w:val="auto"/>
        </w:rPr>
        <w:t>Employee hereby agrees to notify the Company in writing within thirty (30) days after the date of any disposition of such shares and to make adequate provision for federal, state or other tax withholding obligations, if any, that arise upon the disposition of such shares</w:t>
      </w:r>
      <w:r>
        <w:rPr>
          <w:rFonts w:ascii="Arial" w:cs="Arial" w:eastAsia="Arial" w:hAnsi="Arial"/>
          <w:sz w:val="15"/>
          <w:szCs w:val="15"/>
          <w:color w:val="auto"/>
        </w:rPr>
        <w:t>. The Company may, but will not be obligated to, withhold from Employee’s compensation the amount necessary to meet any applicable withholding obligation including any withholding necessary to make available to the Company any tax deductions or benefits attributable to Employee’s sale or early disposition of such shares. Employee understands</w:t>
      </w:r>
    </w:p>
    <w:p>
      <w:pPr>
        <w:spacing w:after="0" w:line="106" w:lineRule="exact"/>
        <w:rPr>
          <w:rFonts w:ascii="Arial" w:cs="Arial" w:eastAsia="Arial" w:hAnsi="Arial"/>
          <w:sz w:val="13"/>
          <w:szCs w:val="13"/>
          <w:color w:val="auto"/>
        </w:rPr>
      </w:pPr>
    </w:p>
    <w:p>
      <w:pPr>
        <w:ind w:left="5640" w:hanging="89"/>
        <w:spacing w:after="0"/>
        <w:tabs>
          <w:tab w:leader="none" w:pos="5640" w:val="left"/>
        </w:tabs>
        <w:numPr>
          <w:ilvl w:val="1"/>
          <w:numId w:val="257"/>
        </w:numPr>
        <w:rPr>
          <w:rFonts w:ascii="Arial" w:cs="Arial" w:eastAsia="Arial" w:hAnsi="Arial"/>
          <w:sz w:val="15"/>
          <w:szCs w:val="15"/>
          <w:color w:val="auto"/>
        </w:rPr>
      </w:pPr>
      <w:r>
        <w:rPr>
          <w:rFonts w:ascii="Arial" w:cs="Arial" w:eastAsia="Arial" w:hAnsi="Arial"/>
          <w:sz w:val="15"/>
          <w:szCs w:val="15"/>
          <w:color w:val="auto"/>
        </w:rPr>
        <w:t>16 -</w:t>
      </w:r>
    </w:p>
    <w:p>
      <w:pPr>
        <w:sectPr>
          <w:pgSz w:w="11900" w:h="16838" w:orient="portrait"/>
          <w:cols w:equalWidth="0" w:num="1">
            <w:col w:w="11400"/>
          </w:cols>
          <w:pgMar w:left="240" w:top="237" w:right="259" w:bottom="1440" w:gutter="0" w:footer="0" w:header="0"/>
        </w:sectPr>
      </w:pPr>
    </w:p>
    <w:bookmarkStart w:id="340" w:name="page341"/>
    <w:bookmarkEnd w:id="340"/>
    <w:p>
      <w:pPr>
        <w:spacing w:after="0" w:line="259"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133350</wp:posOffset>
            </wp:positionH>
            <wp:positionV relativeFrom="page">
              <wp:posOffset>88900</wp:posOffset>
            </wp:positionV>
            <wp:extent cx="7308850" cy="34290"/>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509">
                      <a:extLst>
                        <a:ext uri="{28A0092B-C50C-407E-A947-70E740481C1C}"/>
                      </a:extLst>
                    </a:blip>
                    <a:srcRect/>
                    <a:stretch>
                      <a:fillRect/>
                    </a:stretch>
                  </pic:blipFill>
                  <pic:spPr bwMode="auto">
                    <a:xfrm>
                      <a:off x="0" y="0"/>
                      <a:ext cx="7308850" cy="34290"/>
                    </a:xfrm>
                    <a:prstGeom prst="rect">
                      <a:avLst/>
                    </a:prstGeom>
                    <a:noFill/>
                  </pic:spPr>
                </pic:pic>
              </a:graphicData>
            </a:graphic>
          </wp:anchor>
        </w:drawing>
        <w:t>that if he or she disposes of such shares at any time after the expiration of the two (2)-year and one-(1) year holding periods, he or she will be treated for federal income tax purposes as having received income only at the time of such disposition, and that such income will be taxed as ordinary income only to the extent of an amount equal to the lesser of (i) the excess of the fair market value of the shares at the time of such disposition over the purchase price paid for the shares, or (ii) fifteen percent (15%) of the fair market value of the shares on the first day of the Offering Period. The remainder of the gain, if any, recognized on such disposition will be taxed as capital gain.</w:t>
      </w:r>
    </w:p>
    <w:p>
      <w:pPr>
        <w:spacing w:after="0" w:line="158" w:lineRule="exact"/>
        <w:rPr>
          <w:sz w:val="20"/>
          <w:szCs w:val="20"/>
          <w:color w:val="auto"/>
        </w:rPr>
      </w:pPr>
    </w:p>
    <w:p>
      <w:pPr>
        <w:ind w:left="720" w:hanging="272"/>
        <w:spacing w:after="0"/>
        <w:tabs>
          <w:tab w:leader="none" w:pos="720" w:val="left"/>
        </w:tabs>
        <w:numPr>
          <w:ilvl w:val="0"/>
          <w:numId w:val="258"/>
        </w:numPr>
        <w:rPr>
          <w:rFonts w:ascii="Arial" w:cs="Arial" w:eastAsia="Arial" w:hAnsi="Arial"/>
          <w:sz w:val="13"/>
          <w:szCs w:val="13"/>
          <w:color w:val="auto"/>
        </w:rPr>
      </w:pPr>
      <w:r>
        <w:rPr>
          <w:rFonts w:ascii="Arial" w:cs="Arial" w:eastAsia="Arial" w:hAnsi="Arial"/>
          <w:sz w:val="13"/>
          <w:szCs w:val="13"/>
          <w:color w:val="auto"/>
        </w:rPr>
        <w:t>Employee hereby agrees to be bound by the terms of the Plan. The effectiveness of this Subscription Agreement is dependent upon Employee’s eligibility to participate in the</w:t>
      </w:r>
    </w:p>
    <w:p>
      <w:pPr>
        <w:spacing w:after="0" w:line="40" w:lineRule="exact"/>
        <w:rPr>
          <w:sz w:val="20"/>
          <w:szCs w:val="20"/>
          <w:color w:val="auto"/>
        </w:rPr>
      </w:pPr>
    </w:p>
    <w:p>
      <w:pPr>
        <w:spacing w:after="0"/>
        <w:rPr>
          <w:sz w:val="20"/>
          <w:szCs w:val="20"/>
          <w:color w:val="auto"/>
        </w:rPr>
      </w:pPr>
      <w:r>
        <w:rPr>
          <w:rFonts w:ascii="Arial" w:cs="Arial" w:eastAsia="Arial" w:hAnsi="Arial"/>
          <w:sz w:val="15"/>
          <w:szCs w:val="15"/>
          <w:color w:val="auto"/>
        </w:rPr>
        <w:t>Plan.</w:t>
      </w:r>
    </w:p>
    <w:p>
      <w:pPr>
        <w:spacing w:after="0" w:line="201" w:lineRule="exact"/>
        <w:rPr>
          <w:sz w:val="20"/>
          <w:szCs w:val="20"/>
          <w:color w:val="auto"/>
        </w:rPr>
      </w:pPr>
    </w:p>
    <w:p>
      <w:pPr>
        <w:ind w:left="460"/>
        <w:spacing w:after="0"/>
        <w:rPr>
          <w:sz w:val="20"/>
          <w:szCs w:val="20"/>
          <w:color w:val="auto"/>
        </w:rPr>
      </w:pPr>
      <w:r>
        <w:rPr>
          <w:rFonts w:ascii="Arial" w:cs="Arial" w:eastAsia="Arial" w:hAnsi="Arial"/>
          <w:sz w:val="15"/>
          <w:szCs w:val="15"/>
          <w:color w:val="auto"/>
        </w:rPr>
        <w:t>Employee’s Social</w:t>
      </w:r>
    </w:p>
    <w:p>
      <w:pPr>
        <w:spacing w:after="0" w:line="17" w:lineRule="exact"/>
        <w:rPr>
          <w:sz w:val="20"/>
          <w:szCs w:val="20"/>
          <w:color w:val="auto"/>
        </w:rPr>
      </w:pPr>
    </w:p>
    <w:p>
      <w:pPr>
        <w:ind w:left="460"/>
        <w:spacing w:after="0"/>
        <w:rPr>
          <w:sz w:val="20"/>
          <w:szCs w:val="20"/>
          <w:color w:val="auto"/>
        </w:rPr>
      </w:pPr>
      <w:r>
        <w:rPr>
          <w:rFonts w:ascii="Arial" w:cs="Arial" w:eastAsia="Arial" w:hAnsi="Arial"/>
          <w:sz w:val="15"/>
          <w:szCs w:val="15"/>
          <w:color w:val="auto"/>
        </w:rPr>
        <w:t>Security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3832225</wp:posOffset>
            </wp:positionH>
            <wp:positionV relativeFrom="paragraph">
              <wp:posOffset>5715</wp:posOffset>
            </wp:positionV>
            <wp:extent cx="3136900" cy="6985"/>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510">
                      <a:extLst>
                        <a:ext uri="{28A0092B-C50C-407E-A947-70E740481C1C}"/>
                      </a:extLst>
                    </a:blip>
                    <a:srcRect/>
                    <a:stretch>
                      <a:fillRect/>
                    </a:stretch>
                  </pic:blipFill>
                  <pic:spPr bwMode="auto">
                    <a:xfrm>
                      <a:off x="0" y="0"/>
                      <a:ext cx="3136900" cy="6985"/>
                    </a:xfrm>
                    <a:prstGeom prst="rect">
                      <a:avLst/>
                    </a:prstGeom>
                    <a:noFill/>
                  </pic:spPr>
                </pic:pic>
              </a:graphicData>
            </a:graphic>
          </wp:anchor>
        </w:drawing>
      </w:r>
    </w:p>
    <w:p>
      <w:pPr>
        <w:spacing w:after="0" w:line="91" w:lineRule="exact"/>
        <w:rPr>
          <w:sz w:val="20"/>
          <w:szCs w:val="20"/>
          <w:color w:val="auto"/>
        </w:rPr>
      </w:pPr>
    </w:p>
    <w:p>
      <w:pPr>
        <w:ind w:left="460"/>
        <w:spacing w:after="0"/>
        <w:rPr>
          <w:sz w:val="20"/>
          <w:szCs w:val="20"/>
          <w:color w:val="auto"/>
        </w:rPr>
      </w:pPr>
      <w:r>
        <w:rPr>
          <w:rFonts w:ascii="Arial" w:cs="Arial" w:eastAsia="Arial" w:hAnsi="Arial"/>
          <w:sz w:val="15"/>
          <w:szCs w:val="15"/>
          <w:color w:val="auto"/>
        </w:rPr>
        <w:t>Employee’s 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3832225</wp:posOffset>
            </wp:positionH>
            <wp:positionV relativeFrom="paragraph">
              <wp:posOffset>12065</wp:posOffset>
            </wp:positionV>
            <wp:extent cx="3136900" cy="6985"/>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511">
                      <a:extLst>
                        <a:ext uri="{28A0092B-C50C-407E-A947-70E740481C1C}"/>
                      </a:extLst>
                    </a:blip>
                    <a:srcRect/>
                    <a:stretch>
                      <a:fillRect/>
                    </a:stretch>
                  </pic:blipFill>
                  <pic:spPr bwMode="auto">
                    <a:xfrm>
                      <a:off x="0" y="0"/>
                      <a:ext cx="3136900" cy="6985"/>
                    </a:xfrm>
                    <a:prstGeom prst="rect">
                      <a:avLst/>
                    </a:prstGeom>
                    <a:noFill/>
                  </pic:spPr>
                </pic:pic>
              </a:graphicData>
            </a:graphic>
          </wp:anchor>
        </w:drawing>
        <w:drawing>
          <wp:anchor simplePos="0" relativeHeight="251657728" behindDoc="1" locked="0" layoutInCell="0" allowOverlap="1">
            <wp:simplePos x="0" y="0"/>
            <wp:positionH relativeFrom="column">
              <wp:posOffset>3832225</wp:posOffset>
            </wp:positionH>
            <wp:positionV relativeFrom="paragraph">
              <wp:posOffset>198120</wp:posOffset>
            </wp:positionV>
            <wp:extent cx="3136900" cy="6985"/>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512">
                      <a:extLst>
                        <a:ext uri="{28A0092B-C50C-407E-A947-70E740481C1C}"/>
                      </a:extLst>
                    </a:blip>
                    <a:srcRect/>
                    <a:stretch>
                      <a:fillRect/>
                    </a:stretch>
                  </pic:blipFill>
                  <pic:spPr bwMode="auto">
                    <a:xfrm>
                      <a:off x="0" y="0"/>
                      <a:ext cx="3136900" cy="6985"/>
                    </a:xfrm>
                    <a:prstGeom prst="rect">
                      <a:avLst/>
                    </a:prstGeom>
                    <a:noFill/>
                  </pic:spPr>
                </pic:pic>
              </a:graphicData>
            </a:graphic>
          </wp:anchor>
        </w:drawing>
        <w:drawing>
          <wp:anchor simplePos="0" relativeHeight="251657728" behindDoc="1" locked="0" layoutInCell="0" allowOverlap="1">
            <wp:simplePos x="0" y="0"/>
            <wp:positionH relativeFrom="column">
              <wp:posOffset>3832225</wp:posOffset>
            </wp:positionH>
            <wp:positionV relativeFrom="paragraph">
              <wp:posOffset>384175</wp:posOffset>
            </wp:positionV>
            <wp:extent cx="3136900" cy="6985"/>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513">
                      <a:extLst>
                        <a:ext uri="{28A0092B-C50C-407E-A947-70E740481C1C}"/>
                      </a:extLst>
                    </a:blip>
                    <a:srcRect/>
                    <a:stretch>
                      <a:fillRect/>
                    </a:stretch>
                  </pic:blipFill>
                  <pic:spPr bwMode="auto">
                    <a:xfrm>
                      <a:off x="0" y="0"/>
                      <a:ext cx="3136900" cy="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right="220" w:firstLine="458"/>
        <w:spacing w:after="0" w:line="275" w:lineRule="auto"/>
        <w:rPr>
          <w:sz w:val="20"/>
          <w:szCs w:val="20"/>
          <w:color w:val="auto"/>
        </w:rPr>
      </w:pPr>
      <w:r>
        <w:rPr>
          <w:rFonts w:ascii="Arial" w:cs="Arial" w:eastAsia="Arial" w:hAnsi="Arial"/>
          <w:sz w:val="15"/>
          <w:szCs w:val="15"/>
          <w:color w:val="auto"/>
        </w:rPr>
        <w:t>EMPLOYEE UNDERSTANDS THAT THIS SUBSCRIPTION AGREEMENT WILL REMAIN IN EFFECT THROUGHOUT SUCCESSIVE OFFERING PERIODS UNLESS TERMINATED BY EMPLOYEE.</w:t>
      </w:r>
    </w:p>
    <w:p>
      <w:pPr>
        <w:spacing w:after="0" w:line="169" w:lineRule="exact"/>
        <w:rPr>
          <w:sz w:val="20"/>
          <w:szCs w:val="20"/>
          <w:color w:val="auto"/>
        </w:rPr>
      </w:pPr>
    </w:p>
    <w:p>
      <w:pPr>
        <w:spacing w:after="0"/>
        <w:rPr>
          <w:sz w:val="20"/>
          <w:szCs w:val="20"/>
          <w:color w:val="auto"/>
        </w:rPr>
      </w:pPr>
      <w:r>
        <w:rPr>
          <w:rFonts w:ascii="Arial" w:cs="Arial" w:eastAsia="Arial" w:hAnsi="Arial"/>
          <w:sz w:val="15"/>
          <w:szCs w:val="15"/>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12065</wp:posOffset>
            </wp:positionV>
            <wp:extent cx="3416300" cy="6985"/>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514">
                      <a:extLst>
                        <a:ext uri="{28A0092B-C50C-407E-A947-70E740481C1C}"/>
                      </a:extLst>
                    </a:blip>
                    <a:srcRect/>
                    <a:stretch>
                      <a:fillRect/>
                    </a:stretch>
                  </pic:blipFill>
                  <pic:spPr bwMode="auto">
                    <a:xfrm>
                      <a:off x="0" y="0"/>
                      <a:ext cx="3416300" cy="6985"/>
                    </a:xfrm>
                    <a:prstGeom prst="rect">
                      <a:avLst/>
                    </a:prstGeom>
                    <a:noFill/>
                  </pic:spPr>
                </pic:pic>
              </a:graphicData>
            </a:graphic>
          </wp:anchor>
        </w:drawing>
        <w:drawing>
          <wp:anchor simplePos="0" relativeHeight="251657728" behindDoc="1" locked="0" layoutInCell="0" allowOverlap="1">
            <wp:simplePos x="0" y="0"/>
            <wp:positionH relativeFrom="column">
              <wp:posOffset>271780</wp:posOffset>
            </wp:positionH>
            <wp:positionV relativeFrom="paragraph">
              <wp:posOffset>-8890</wp:posOffset>
            </wp:positionV>
            <wp:extent cx="2147570" cy="6985"/>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515">
                      <a:extLst>
                        <a:ext uri="{28A0092B-C50C-407E-A947-70E740481C1C}"/>
                      </a:extLst>
                    </a:blip>
                    <a:srcRect/>
                    <a:stretch>
                      <a:fillRect/>
                    </a:stretch>
                  </pic:blipFill>
                  <pic:spPr bwMode="auto">
                    <a:xfrm>
                      <a:off x="0" y="0"/>
                      <a:ext cx="2147570" cy="6985"/>
                    </a:xfrm>
                    <a:prstGeom prst="rect">
                      <a:avLst/>
                    </a:prstGeom>
                    <a:noFill/>
                  </pic:spPr>
                </pic:pic>
              </a:graphicData>
            </a:graphic>
          </wp:anchor>
        </w:drawing>
      </w:r>
    </w:p>
    <w:p>
      <w:pPr>
        <w:spacing w:after="0" w:line="11" w:lineRule="exact"/>
        <w:rPr>
          <w:sz w:val="20"/>
          <w:szCs w:val="20"/>
          <w:color w:val="auto"/>
        </w:rPr>
      </w:pPr>
    </w:p>
    <w:p>
      <w:pPr>
        <w:ind w:left="6060"/>
        <w:spacing w:after="0"/>
        <w:rPr>
          <w:sz w:val="20"/>
          <w:szCs w:val="20"/>
          <w:color w:val="auto"/>
        </w:rPr>
      </w:pPr>
      <w:r>
        <w:rPr>
          <w:rFonts w:ascii="Arial" w:cs="Arial" w:eastAsia="Arial" w:hAnsi="Arial"/>
          <w:sz w:val="15"/>
          <w:szCs w:val="15"/>
          <w:color w:val="auto"/>
        </w:rPr>
        <w:t>Signature of Employee</w:t>
      </w:r>
    </w:p>
    <w:p>
      <w:pPr>
        <w:spacing w:after="0" w:line="132" w:lineRule="exact"/>
        <w:rPr>
          <w:sz w:val="20"/>
          <w:szCs w:val="20"/>
          <w:color w:val="auto"/>
        </w:rPr>
      </w:pPr>
    </w:p>
    <w:p>
      <w:pPr>
        <w:jc w:val="center"/>
        <w:ind w:right="-79"/>
        <w:spacing w:after="0"/>
        <w:rPr>
          <w:sz w:val="20"/>
          <w:szCs w:val="20"/>
          <w:color w:val="auto"/>
        </w:rPr>
      </w:pPr>
      <w:r>
        <w:rPr>
          <w:rFonts w:ascii="Arial" w:cs="Arial" w:eastAsia="Arial" w:hAnsi="Arial"/>
          <w:sz w:val="15"/>
          <w:szCs w:val="15"/>
          <w:color w:val="auto"/>
        </w:rPr>
        <w:t>- 17 -</w:t>
      </w:r>
    </w:p>
    <w:p>
      <w:pPr>
        <w:sectPr>
          <w:pgSz w:w="11900" w:h="16838" w:orient="portrait"/>
          <w:cols w:equalWidth="0" w:num="1">
            <w:col w:w="11340"/>
          </w:cols>
          <w:pgMar w:left="240" w:top="253" w:right="319" w:bottom="1440" w:gutter="0" w:footer="0" w:header="0"/>
        </w:sectPr>
      </w:pPr>
    </w:p>
    <w:bookmarkStart w:id="341" w:name="page342"/>
    <w:bookmarkEnd w:id="341"/>
    <w:p>
      <w:pPr>
        <w:jc w:val="center"/>
        <w:ind w:right="-39"/>
        <w:spacing w:after="0"/>
        <w:rPr>
          <w:sz w:val="20"/>
          <w:szCs w:val="20"/>
          <w:color w:val="auto"/>
        </w:rPr>
      </w:pPr>
      <w:r>
        <w:rPr>
          <w:rFonts w:ascii="Arial" w:cs="Arial" w:eastAsia="Arial" w:hAnsi="Arial"/>
          <w:sz w:val="15"/>
          <w:szCs w:val="15"/>
          <w:b w:val="1"/>
          <w:bCs w:val="1"/>
          <w:u w:val="single" w:color="auto"/>
          <w:color w:val="auto"/>
        </w:rPr>
        <w:drawing>
          <wp:anchor simplePos="0" relativeHeight="251657728" behindDoc="1" locked="0" layoutInCell="0" allowOverlap="1">
            <wp:simplePos x="0" y="0"/>
            <wp:positionH relativeFrom="page">
              <wp:posOffset>133350</wp:posOffset>
            </wp:positionH>
            <wp:positionV relativeFrom="page">
              <wp:posOffset>88900</wp:posOffset>
            </wp:positionV>
            <wp:extent cx="7308850" cy="34290"/>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516">
                      <a:extLst>
                        <a:ext uri="{28A0092B-C50C-407E-A947-70E740481C1C}"/>
                      </a:extLst>
                    </a:blip>
                    <a:srcRect/>
                    <a:stretch>
                      <a:fillRect/>
                    </a:stretch>
                  </pic:blipFill>
                  <pic:spPr bwMode="auto">
                    <a:xfrm>
                      <a:off x="0" y="0"/>
                      <a:ext cx="7308850" cy="34290"/>
                    </a:xfrm>
                    <a:prstGeom prst="rect">
                      <a:avLst/>
                    </a:prstGeom>
                    <a:noFill/>
                  </pic:spPr>
                </pic:pic>
              </a:graphicData>
            </a:graphic>
          </wp:anchor>
        </w:drawing>
        <w:t>EXHIBIT B</w:t>
      </w:r>
    </w:p>
    <w:p>
      <w:pPr>
        <w:spacing w:after="0" w:line="188" w:lineRule="exact"/>
        <w:rPr>
          <w:sz w:val="20"/>
          <w:szCs w:val="20"/>
          <w:color w:val="auto"/>
        </w:rPr>
      </w:pPr>
    </w:p>
    <w:p>
      <w:pPr>
        <w:jc w:val="center"/>
        <w:ind w:right="-39"/>
        <w:spacing w:after="0"/>
        <w:rPr>
          <w:sz w:val="20"/>
          <w:szCs w:val="20"/>
          <w:color w:val="auto"/>
        </w:rPr>
      </w:pPr>
      <w:r>
        <w:rPr>
          <w:rFonts w:ascii="Arial" w:cs="Arial" w:eastAsia="Arial" w:hAnsi="Arial"/>
          <w:sz w:val="15"/>
          <w:szCs w:val="15"/>
          <w:b w:val="1"/>
          <w:bCs w:val="1"/>
          <w:color w:val="auto"/>
        </w:rPr>
        <w:t>DROPBOX, INC.</w:t>
      </w:r>
    </w:p>
    <w:p>
      <w:pPr>
        <w:spacing w:after="0" w:line="188" w:lineRule="exact"/>
        <w:rPr>
          <w:sz w:val="20"/>
          <w:szCs w:val="20"/>
          <w:color w:val="auto"/>
        </w:rPr>
      </w:pPr>
    </w:p>
    <w:p>
      <w:pPr>
        <w:jc w:val="center"/>
        <w:ind w:right="-39"/>
        <w:spacing w:after="0"/>
        <w:rPr>
          <w:sz w:val="20"/>
          <w:szCs w:val="20"/>
          <w:color w:val="auto"/>
        </w:rPr>
      </w:pPr>
      <w:r>
        <w:rPr>
          <w:rFonts w:ascii="Arial" w:cs="Arial" w:eastAsia="Arial" w:hAnsi="Arial"/>
          <w:sz w:val="15"/>
          <w:szCs w:val="15"/>
          <w:b w:val="1"/>
          <w:bCs w:val="1"/>
          <w:color w:val="auto"/>
        </w:rPr>
        <w:t>2018 EMPLOYEE STOCK PURCHASE PLAN</w:t>
      </w:r>
    </w:p>
    <w:p>
      <w:pPr>
        <w:spacing w:after="0" w:line="188" w:lineRule="exact"/>
        <w:rPr>
          <w:sz w:val="20"/>
          <w:szCs w:val="20"/>
          <w:color w:val="auto"/>
        </w:rPr>
      </w:pPr>
    </w:p>
    <w:p>
      <w:pPr>
        <w:jc w:val="center"/>
        <w:ind w:right="-39"/>
        <w:spacing w:after="0"/>
        <w:rPr>
          <w:sz w:val="20"/>
          <w:szCs w:val="20"/>
          <w:color w:val="auto"/>
        </w:rPr>
      </w:pPr>
      <w:r>
        <w:rPr>
          <w:rFonts w:ascii="Arial" w:cs="Arial" w:eastAsia="Arial" w:hAnsi="Arial"/>
          <w:sz w:val="15"/>
          <w:szCs w:val="15"/>
          <w:b w:val="1"/>
          <w:bCs w:val="1"/>
          <w:color w:val="auto"/>
        </w:rPr>
        <w:t>NOTICE OF WITHDRAWAL</w:t>
      </w:r>
    </w:p>
    <w:p>
      <w:pPr>
        <w:spacing w:after="0" w:line="192" w:lineRule="exact"/>
        <w:rPr>
          <w:sz w:val="20"/>
          <w:szCs w:val="20"/>
          <w:color w:val="auto"/>
        </w:rPr>
      </w:pPr>
    </w:p>
    <w:p>
      <w:pPr>
        <w:ind w:left="440"/>
        <w:spacing w:after="0"/>
        <w:rPr>
          <w:sz w:val="20"/>
          <w:szCs w:val="20"/>
          <w:color w:val="auto"/>
        </w:rPr>
      </w:pPr>
      <w:r>
        <w:rPr>
          <w:rFonts w:ascii="Arial" w:cs="Arial" w:eastAsia="Arial" w:hAnsi="Arial"/>
          <w:sz w:val="14"/>
          <w:szCs w:val="14"/>
          <w:color w:val="auto"/>
        </w:rPr>
        <w:t>Unless otherwise defined herein, the terms defined in the 2018 Employee Stock Purchase Plan (the “Plan”) shall have the same defined meanings in this Notice of Withdrawal.</w:t>
      </w:r>
    </w:p>
    <w:p>
      <w:pPr>
        <w:spacing w:after="0" w:line="200" w:lineRule="exact"/>
        <w:rPr>
          <w:sz w:val="20"/>
          <w:szCs w:val="20"/>
          <w:color w:val="auto"/>
        </w:rPr>
      </w:pPr>
    </w:p>
    <w:p>
      <w:pPr>
        <w:ind w:firstLine="458"/>
        <w:spacing w:after="0" w:line="257" w:lineRule="auto"/>
        <w:rPr>
          <w:sz w:val="20"/>
          <w:szCs w:val="20"/>
          <w:color w:val="auto"/>
        </w:rPr>
      </w:pPr>
      <w:r>
        <w:rPr>
          <w:rFonts w:ascii="Arial" w:cs="Arial" w:eastAsia="Arial" w:hAnsi="Arial"/>
          <w:sz w:val="15"/>
          <w:szCs w:val="15"/>
          <w:color w:val="auto"/>
        </w:rPr>
        <w:t>The undersigned Participant in the Offering Period of the Dropbox, Inc. 2018 Employee Stock Purchase Plan that began on , (the “Offering Date”) hereby notifies the Company that he or she hereby withdraws from the Offering Period. He or she hereby directs the Company to pay to the undersigned as promptly as practicable all the payroll deductions credited to his or her account with respect to such Offering Period. The undersigned understands and agrees that his or her option for such Offering Period will be terminated automatically. The undersigned understands further that no further payroll deductions will be made for the purchase of shares in the current Offering Period and the undersigned will be eligible to participate in succeeding Offering Periods only by delivering to the Company a new Subscription Agreement.</w:t>
      </w:r>
    </w:p>
    <w:p>
      <w:pPr>
        <w:spacing w:after="0" w:line="182" w:lineRule="exact"/>
        <w:rPr>
          <w:sz w:val="20"/>
          <w:szCs w:val="20"/>
          <w:color w:val="auto"/>
        </w:rPr>
      </w:pPr>
    </w:p>
    <w:p>
      <w:pPr>
        <w:ind w:left="6860"/>
        <w:spacing w:after="0"/>
        <w:rPr>
          <w:sz w:val="20"/>
          <w:szCs w:val="20"/>
          <w:color w:val="auto"/>
        </w:rPr>
      </w:pPr>
      <w:r>
        <w:rPr>
          <w:rFonts w:ascii="Arial" w:cs="Arial" w:eastAsia="Arial" w:hAnsi="Arial"/>
          <w:sz w:val="15"/>
          <w:szCs w:val="15"/>
          <w:color w:val="auto"/>
        </w:rPr>
        <w:t>Name and Address of Participant: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4355465</wp:posOffset>
            </wp:positionH>
            <wp:positionV relativeFrom="paragraph">
              <wp:posOffset>183515</wp:posOffset>
            </wp:positionV>
            <wp:extent cx="2907665" cy="6985"/>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517">
                      <a:extLst>
                        <a:ext uri="{28A0092B-C50C-407E-A947-70E740481C1C}"/>
                      </a:extLst>
                    </a:blip>
                    <a:srcRect/>
                    <a:stretch>
                      <a:fillRect/>
                    </a:stretch>
                  </pic:blipFill>
                  <pic:spPr bwMode="auto">
                    <a:xfrm>
                      <a:off x="0" y="0"/>
                      <a:ext cx="2907665" cy="6985"/>
                    </a:xfrm>
                    <a:prstGeom prst="rect">
                      <a:avLst/>
                    </a:prstGeom>
                    <a:noFill/>
                  </pic:spPr>
                </pic:pic>
              </a:graphicData>
            </a:graphic>
          </wp:anchor>
        </w:drawing>
        <w:drawing>
          <wp:anchor simplePos="0" relativeHeight="251657728" behindDoc="1" locked="0" layoutInCell="0" allowOverlap="1">
            <wp:simplePos x="0" y="0"/>
            <wp:positionH relativeFrom="column">
              <wp:posOffset>4355465</wp:posOffset>
            </wp:positionH>
            <wp:positionV relativeFrom="paragraph">
              <wp:posOffset>370205</wp:posOffset>
            </wp:positionV>
            <wp:extent cx="2907665" cy="6985"/>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518">
                      <a:extLst>
                        <a:ext uri="{28A0092B-C50C-407E-A947-70E740481C1C}"/>
                      </a:extLst>
                    </a:blip>
                    <a:srcRect/>
                    <a:stretch>
                      <a:fillRect/>
                    </a:stretch>
                  </pic:blipFill>
                  <pic:spPr bwMode="auto">
                    <a:xfrm>
                      <a:off x="0" y="0"/>
                      <a:ext cx="2907665" cy="6985"/>
                    </a:xfrm>
                    <a:prstGeom prst="rect">
                      <a:avLst/>
                    </a:prstGeom>
                    <a:noFill/>
                  </pic:spPr>
                </pic:pic>
              </a:graphicData>
            </a:graphic>
          </wp:anchor>
        </w:drawing>
        <w:drawing>
          <wp:anchor simplePos="0" relativeHeight="251657728" behindDoc="1" locked="0" layoutInCell="0" allowOverlap="1">
            <wp:simplePos x="0" y="0"/>
            <wp:positionH relativeFrom="column">
              <wp:posOffset>4355465</wp:posOffset>
            </wp:positionH>
            <wp:positionV relativeFrom="paragraph">
              <wp:posOffset>556260</wp:posOffset>
            </wp:positionV>
            <wp:extent cx="2907665" cy="6985"/>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519">
                      <a:extLst>
                        <a:ext uri="{28A0092B-C50C-407E-A947-70E740481C1C}"/>
                      </a:extLst>
                    </a:blip>
                    <a:srcRect/>
                    <a:stretch>
                      <a:fillRect/>
                    </a:stretch>
                  </pic:blipFill>
                  <pic:spPr bwMode="auto">
                    <a:xfrm>
                      <a:off x="0" y="0"/>
                      <a:ext cx="2907665" cy="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ind w:left="6860"/>
        <w:spacing w:after="0"/>
        <w:rPr>
          <w:sz w:val="20"/>
          <w:szCs w:val="20"/>
          <w:color w:val="auto"/>
        </w:rPr>
      </w:pPr>
      <w:r>
        <w:rPr>
          <w:rFonts w:ascii="Arial" w:cs="Arial" w:eastAsia="Arial" w:hAnsi="Arial"/>
          <w:sz w:val="15"/>
          <w:szCs w:val="15"/>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4355465</wp:posOffset>
            </wp:positionH>
            <wp:positionV relativeFrom="paragraph">
              <wp:posOffset>183515</wp:posOffset>
            </wp:positionV>
            <wp:extent cx="2907665" cy="6985"/>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520">
                      <a:extLst>
                        <a:ext uri="{28A0092B-C50C-407E-A947-70E740481C1C}"/>
                      </a:extLst>
                    </a:blip>
                    <a:srcRect/>
                    <a:stretch>
                      <a:fillRect/>
                    </a:stretch>
                  </pic:blipFill>
                  <pic:spPr bwMode="auto">
                    <a:xfrm>
                      <a:off x="0" y="0"/>
                      <a:ext cx="2907665" cy="6985"/>
                    </a:xfrm>
                    <a:prstGeom prst="rect">
                      <a:avLst/>
                    </a:prstGeom>
                    <a:noFill/>
                  </pic:spPr>
                </pic:pic>
              </a:graphicData>
            </a:graphic>
          </wp:anchor>
        </w:drawing>
      </w:r>
    </w:p>
    <w:p>
      <w:pPr>
        <w:spacing w:after="0" w:line="371" w:lineRule="exact"/>
        <w:rPr>
          <w:sz w:val="20"/>
          <w:szCs w:val="20"/>
          <w:color w:val="auto"/>
        </w:rPr>
      </w:pPr>
    </w:p>
    <w:p>
      <w:pPr>
        <w:ind w:left="6860"/>
        <w:spacing w:after="0"/>
        <w:rPr>
          <w:sz w:val="20"/>
          <w:szCs w:val="20"/>
          <w:color w:val="auto"/>
        </w:rPr>
      </w:pPr>
      <w:r>
        <w:rPr>
          <w:rFonts w:ascii="Arial" w:cs="Arial" w:eastAsia="Arial" w:hAnsi="Arial"/>
          <w:sz w:val="15"/>
          <w:szCs w:val="15"/>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4585970</wp:posOffset>
            </wp:positionH>
            <wp:positionV relativeFrom="paragraph">
              <wp:posOffset>-8890</wp:posOffset>
            </wp:positionV>
            <wp:extent cx="1837690" cy="6985"/>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521">
                      <a:extLst>
                        <a:ext uri="{28A0092B-C50C-407E-A947-70E740481C1C}"/>
                      </a:extLst>
                    </a:blip>
                    <a:srcRect/>
                    <a:stretch>
                      <a:fillRect/>
                    </a:stretch>
                  </pic:blipFill>
                  <pic:spPr bwMode="auto">
                    <a:xfrm>
                      <a:off x="0" y="0"/>
                      <a:ext cx="1837690" cy="6985"/>
                    </a:xfrm>
                    <a:prstGeom prst="rect">
                      <a:avLst/>
                    </a:prstGeom>
                    <a:noFill/>
                  </pic:spPr>
                </pic:pic>
              </a:graphicData>
            </a:graphic>
          </wp:anchor>
        </w:drawing>
      </w:r>
    </w:p>
    <w:p>
      <w:pPr>
        <w:spacing w:after="0" w:line="112"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- 18 -</w:t>
      </w:r>
    </w:p>
    <w:p>
      <w:pPr>
        <w:sectPr>
          <w:pgSz w:w="11900" w:h="16838" w:orient="portrait"/>
          <w:cols w:equalWidth="0" w:num="1">
            <w:col w:w="11400"/>
          </w:cols>
          <w:pgMar w:left="240" w:top="249" w:right="259" w:bottom="1440" w:gutter="0" w:footer="0" w:header="0"/>
        </w:sectPr>
      </w:pPr>
    </w:p>
    <w:bookmarkStart w:id="342" w:name="page343"/>
    <w:bookmarkEnd w:id="342"/>
    <w:p>
      <w:pPr>
        <w:jc w:val="right"/>
        <w:spacing w:after="0"/>
        <w:rPr>
          <w:sz w:val="20"/>
          <w:szCs w:val="20"/>
          <w:color w:val="auto"/>
        </w:rPr>
      </w:pPr>
      <w:r>
        <w:rPr>
          <w:rFonts w:ascii="Arial" w:cs="Arial" w:eastAsia="Arial" w:hAnsi="Arial"/>
          <w:sz w:val="15"/>
          <w:szCs w:val="15"/>
          <w:b w:val="1"/>
          <w:bCs w:val="1"/>
          <w:color w:val="auto"/>
        </w:rPr>
        <w:t>Exhibit 10.4</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DROPBOX, INC.</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2018 CLASS C STOCK INCENTIVE PLAN</w:t>
      </w:r>
    </w:p>
    <w:p>
      <w:pPr>
        <w:spacing w:after="0" w:line="192" w:lineRule="exact"/>
        <w:rPr>
          <w:sz w:val="20"/>
          <w:szCs w:val="20"/>
          <w:color w:val="auto"/>
        </w:rPr>
      </w:pPr>
    </w:p>
    <w:p>
      <w:pPr>
        <w:ind w:left="720" w:hanging="272"/>
        <w:spacing w:after="0"/>
        <w:tabs>
          <w:tab w:leader="none" w:pos="720" w:val="left"/>
        </w:tabs>
        <w:numPr>
          <w:ilvl w:val="0"/>
          <w:numId w:val="259"/>
        </w:numPr>
        <w:rPr>
          <w:rFonts w:ascii="Arial" w:cs="Arial" w:eastAsia="Arial" w:hAnsi="Arial"/>
          <w:sz w:val="15"/>
          <w:szCs w:val="15"/>
          <w:color w:val="auto"/>
        </w:rPr>
      </w:pPr>
      <w:r>
        <w:rPr>
          <w:rFonts w:ascii="Arial" w:cs="Arial" w:eastAsia="Arial" w:hAnsi="Arial"/>
          <w:sz w:val="15"/>
          <w:szCs w:val="15"/>
          <w:u w:val="single" w:color="auto"/>
          <w:color w:val="auto"/>
        </w:rPr>
        <w:t>Purposes of the Plan</w:t>
      </w:r>
      <w:r>
        <w:rPr>
          <w:rFonts w:ascii="Arial" w:cs="Arial" w:eastAsia="Arial" w:hAnsi="Arial"/>
          <w:sz w:val="15"/>
          <w:szCs w:val="15"/>
          <w:color w:val="auto"/>
        </w:rPr>
        <w:t>. The purposes of this Plan are:</w:t>
      </w:r>
    </w:p>
    <w:p>
      <w:pPr>
        <w:spacing w:after="0" w:line="109" w:lineRule="exact"/>
        <w:rPr>
          <w:rFonts w:ascii="Arial" w:cs="Arial" w:eastAsia="Arial" w:hAnsi="Arial"/>
          <w:sz w:val="15"/>
          <w:szCs w:val="15"/>
          <w:color w:val="auto"/>
        </w:rPr>
      </w:pPr>
    </w:p>
    <w:p>
      <w:pPr>
        <w:ind w:left="1460" w:hanging="556"/>
        <w:spacing w:after="0"/>
        <w:tabs>
          <w:tab w:leader="none" w:pos="1460" w:val="left"/>
        </w:tabs>
        <w:numPr>
          <w:ilvl w:val="1"/>
          <w:numId w:val="259"/>
        </w:numPr>
        <w:rPr>
          <w:rFonts w:ascii="Arial" w:cs="Arial" w:eastAsia="Arial" w:hAnsi="Arial"/>
          <w:sz w:val="15"/>
          <w:szCs w:val="15"/>
          <w:color w:val="auto"/>
        </w:rPr>
      </w:pPr>
      <w:r>
        <w:rPr>
          <w:rFonts w:ascii="Arial" w:cs="Arial" w:eastAsia="Arial" w:hAnsi="Arial"/>
          <w:sz w:val="15"/>
          <w:szCs w:val="15"/>
          <w:color w:val="auto"/>
        </w:rPr>
        <w:t>to attract and retain the best available personnel for positions of substantial responsibility,</w:t>
      </w:r>
    </w:p>
    <w:p>
      <w:pPr>
        <w:spacing w:after="0" w:line="109" w:lineRule="exact"/>
        <w:rPr>
          <w:rFonts w:ascii="Arial" w:cs="Arial" w:eastAsia="Arial" w:hAnsi="Arial"/>
          <w:sz w:val="15"/>
          <w:szCs w:val="15"/>
          <w:color w:val="auto"/>
        </w:rPr>
      </w:pPr>
    </w:p>
    <w:p>
      <w:pPr>
        <w:ind w:left="1460" w:hanging="556"/>
        <w:spacing w:after="0"/>
        <w:tabs>
          <w:tab w:leader="none" w:pos="1460" w:val="left"/>
        </w:tabs>
        <w:numPr>
          <w:ilvl w:val="1"/>
          <w:numId w:val="259"/>
        </w:numPr>
        <w:rPr>
          <w:rFonts w:ascii="Arial" w:cs="Arial" w:eastAsia="Arial" w:hAnsi="Arial"/>
          <w:sz w:val="15"/>
          <w:szCs w:val="15"/>
          <w:color w:val="auto"/>
        </w:rPr>
      </w:pPr>
      <w:r>
        <w:rPr>
          <w:rFonts w:ascii="Arial" w:cs="Arial" w:eastAsia="Arial" w:hAnsi="Arial"/>
          <w:sz w:val="15"/>
          <w:szCs w:val="15"/>
          <w:color w:val="auto"/>
        </w:rPr>
        <w:t>to provide additional incentive to Employees, Directors and Consultants, and</w:t>
      </w:r>
    </w:p>
    <w:p>
      <w:pPr>
        <w:spacing w:after="0" w:line="109" w:lineRule="exact"/>
        <w:rPr>
          <w:rFonts w:ascii="Arial" w:cs="Arial" w:eastAsia="Arial" w:hAnsi="Arial"/>
          <w:sz w:val="15"/>
          <w:szCs w:val="15"/>
          <w:color w:val="auto"/>
        </w:rPr>
      </w:pPr>
    </w:p>
    <w:p>
      <w:pPr>
        <w:ind w:left="1460" w:hanging="556"/>
        <w:spacing w:after="0"/>
        <w:tabs>
          <w:tab w:leader="none" w:pos="1460" w:val="left"/>
        </w:tabs>
        <w:numPr>
          <w:ilvl w:val="1"/>
          <w:numId w:val="259"/>
        </w:numPr>
        <w:rPr>
          <w:rFonts w:ascii="Arial" w:cs="Arial" w:eastAsia="Arial" w:hAnsi="Arial"/>
          <w:sz w:val="15"/>
          <w:szCs w:val="15"/>
          <w:color w:val="auto"/>
        </w:rPr>
      </w:pPr>
      <w:r>
        <w:rPr>
          <w:rFonts w:ascii="Arial" w:cs="Arial" w:eastAsia="Arial" w:hAnsi="Arial"/>
          <w:sz w:val="15"/>
          <w:szCs w:val="15"/>
          <w:color w:val="auto"/>
        </w:rPr>
        <w:t>to promote the success of the Company’s business.</w:t>
      </w:r>
    </w:p>
    <w:p>
      <w:pPr>
        <w:spacing w:after="0" w:line="188" w:lineRule="exact"/>
        <w:rPr>
          <w:sz w:val="20"/>
          <w:szCs w:val="20"/>
          <w:color w:val="auto"/>
        </w:rPr>
      </w:pPr>
    </w:p>
    <w:p>
      <w:pPr>
        <w:ind w:right="160" w:firstLine="916"/>
        <w:spacing w:after="0" w:line="275" w:lineRule="auto"/>
        <w:rPr>
          <w:sz w:val="20"/>
          <w:szCs w:val="20"/>
          <w:color w:val="auto"/>
        </w:rPr>
      </w:pPr>
      <w:r>
        <w:rPr>
          <w:rFonts w:ascii="Arial" w:cs="Arial" w:eastAsia="Arial" w:hAnsi="Arial"/>
          <w:sz w:val="15"/>
          <w:szCs w:val="15"/>
          <w:color w:val="auto"/>
        </w:rPr>
        <w:t>The Plan permits the grant of Incentive Stock Options, Nonstatutory Stock Options, Restricted Stock, Restricted Stock Units, Stock Appreciation Rights, Performance Units and Performance Shares.</w:t>
      </w:r>
    </w:p>
    <w:p>
      <w:pPr>
        <w:spacing w:after="0" w:line="146" w:lineRule="exact"/>
        <w:rPr>
          <w:sz w:val="20"/>
          <w:szCs w:val="20"/>
          <w:color w:val="auto"/>
        </w:rPr>
      </w:pPr>
    </w:p>
    <w:p>
      <w:pPr>
        <w:ind w:left="720" w:hanging="272"/>
        <w:spacing w:after="0"/>
        <w:tabs>
          <w:tab w:leader="none" w:pos="720" w:val="left"/>
        </w:tabs>
        <w:numPr>
          <w:ilvl w:val="0"/>
          <w:numId w:val="260"/>
        </w:numPr>
        <w:rPr>
          <w:rFonts w:ascii="Arial" w:cs="Arial" w:eastAsia="Arial" w:hAnsi="Arial"/>
          <w:sz w:val="15"/>
          <w:szCs w:val="15"/>
          <w:color w:val="auto"/>
        </w:rPr>
      </w:pPr>
      <w:r>
        <w:rPr>
          <w:rFonts w:ascii="Arial" w:cs="Arial" w:eastAsia="Arial" w:hAnsi="Arial"/>
          <w:sz w:val="15"/>
          <w:szCs w:val="15"/>
          <w:u w:val="single" w:color="auto"/>
          <w:color w:val="auto"/>
        </w:rPr>
        <w:t>Definitions</w:t>
      </w:r>
      <w:r>
        <w:rPr>
          <w:rFonts w:ascii="Arial" w:cs="Arial" w:eastAsia="Arial" w:hAnsi="Arial"/>
          <w:sz w:val="15"/>
          <w:szCs w:val="15"/>
          <w:color w:val="auto"/>
        </w:rPr>
        <w:t>. As used herein, the following definitions will apply:</w:t>
      </w:r>
    </w:p>
    <w:p>
      <w:pPr>
        <w:spacing w:after="0" w:line="188" w:lineRule="exact"/>
        <w:rPr>
          <w:rFonts w:ascii="Arial" w:cs="Arial" w:eastAsia="Arial" w:hAnsi="Arial"/>
          <w:sz w:val="15"/>
          <w:szCs w:val="15"/>
          <w:color w:val="auto"/>
        </w:rPr>
      </w:pPr>
    </w:p>
    <w:p>
      <w:pPr>
        <w:ind w:left="1220" w:hanging="314"/>
        <w:spacing w:after="0"/>
        <w:tabs>
          <w:tab w:leader="none" w:pos="1220" w:val="left"/>
        </w:tabs>
        <w:numPr>
          <w:ilvl w:val="1"/>
          <w:numId w:val="260"/>
        </w:numPr>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Administrator</w:t>
      </w:r>
      <w:r>
        <w:rPr>
          <w:rFonts w:ascii="Arial" w:cs="Arial" w:eastAsia="Arial" w:hAnsi="Arial"/>
          <w:sz w:val="15"/>
          <w:szCs w:val="15"/>
          <w:color w:val="auto"/>
        </w:rPr>
        <w:t>” means the Board or any of its Committees as will be administering the Plan, in accordance with Section 4 of the Plan.</w:t>
      </w:r>
    </w:p>
    <w:p>
      <w:pPr>
        <w:spacing w:after="0" w:line="188" w:lineRule="exact"/>
        <w:rPr>
          <w:rFonts w:ascii="Arial" w:cs="Arial" w:eastAsia="Arial" w:hAnsi="Arial"/>
          <w:sz w:val="15"/>
          <w:szCs w:val="15"/>
          <w:color w:val="auto"/>
        </w:rPr>
      </w:pPr>
    </w:p>
    <w:p>
      <w:pPr>
        <w:ind w:right="260" w:firstLine="906"/>
        <w:spacing w:after="0" w:line="290" w:lineRule="auto"/>
        <w:tabs>
          <w:tab w:leader="none" w:pos="1241" w:val="left"/>
        </w:tabs>
        <w:numPr>
          <w:ilvl w:val="1"/>
          <w:numId w:val="260"/>
        </w:numPr>
        <w:rPr>
          <w:rFonts w:ascii="Arial" w:cs="Arial" w:eastAsia="Arial" w:hAnsi="Arial"/>
          <w:sz w:val="14"/>
          <w:szCs w:val="14"/>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Applicable Laws</w:t>
      </w:r>
      <w:r>
        <w:rPr>
          <w:rFonts w:ascii="Arial" w:cs="Arial" w:eastAsia="Arial" w:hAnsi="Arial"/>
          <w:sz w:val="14"/>
          <w:szCs w:val="14"/>
          <w:color w:val="auto"/>
        </w:rPr>
        <w:t>” means the legal and regulatory requirements relating to the administration of equity-based awards and the related issuance of Shares thereunder, including but not limited to U.S. federal and state corporate laws, U.S. federal and state securities laws, the Code, any stock exchange or quotation system on which the Common Stock is listed or quoted and the applicable laws of any non-U.S. country or jurisdiction where Awards are, or will be, granted under the Plan.</w:t>
      </w:r>
    </w:p>
    <w:p>
      <w:pPr>
        <w:spacing w:after="0" w:line="138" w:lineRule="exact"/>
        <w:rPr>
          <w:rFonts w:ascii="Arial" w:cs="Arial" w:eastAsia="Arial" w:hAnsi="Arial"/>
          <w:sz w:val="14"/>
          <w:szCs w:val="14"/>
          <w:color w:val="auto"/>
        </w:rPr>
      </w:pPr>
    </w:p>
    <w:p>
      <w:pPr>
        <w:ind w:right="140" w:firstLine="906"/>
        <w:spacing w:after="0" w:line="275" w:lineRule="auto"/>
        <w:tabs>
          <w:tab w:leader="none" w:pos="1233" w:val="left"/>
        </w:tabs>
        <w:numPr>
          <w:ilvl w:val="1"/>
          <w:numId w:val="260"/>
        </w:numPr>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Award</w:t>
      </w:r>
      <w:r>
        <w:rPr>
          <w:rFonts w:ascii="Arial" w:cs="Arial" w:eastAsia="Arial" w:hAnsi="Arial"/>
          <w:sz w:val="15"/>
          <w:szCs w:val="15"/>
          <w:color w:val="auto"/>
        </w:rPr>
        <w:t>” means, individually or collectively, a grant under the Plan of Options, Stock Appreciation Rights, Restricted Stock, Restricted Stock Units, Performance Units or Performance Shares.</w:t>
      </w:r>
    </w:p>
    <w:p>
      <w:pPr>
        <w:spacing w:after="0" w:line="146" w:lineRule="exact"/>
        <w:rPr>
          <w:rFonts w:ascii="Arial" w:cs="Arial" w:eastAsia="Arial" w:hAnsi="Arial"/>
          <w:sz w:val="15"/>
          <w:szCs w:val="15"/>
          <w:color w:val="auto"/>
        </w:rPr>
      </w:pPr>
    </w:p>
    <w:p>
      <w:pPr>
        <w:ind w:right="440" w:firstLine="906"/>
        <w:spacing w:after="0" w:line="275" w:lineRule="auto"/>
        <w:tabs>
          <w:tab w:leader="none" w:pos="1241" w:val="left"/>
        </w:tabs>
        <w:numPr>
          <w:ilvl w:val="1"/>
          <w:numId w:val="260"/>
        </w:numPr>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Award Agreement</w:t>
      </w:r>
      <w:r>
        <w:rPr>
          <w:rFonts w:ascii="Arial" w:cs="Arial" w:eastAsia="Arial" w:hAnsi="Arial"/>
          <w:sz w:val="15"/>
          <w:szCs w:val="15"/>
          <w:color w:val="auto"/>
        </w:rPr>
        <w:t>” means the written or electronic agreement setting forth the terms and provisions applicable to each Award granted under the Plan. The Award Agreement is subject to the terms and conditions of the Plan.</w:t>
      </w:r>
    </w:p>
    <w:p>
      <w:pPr>
        <w:spacing w:after="0" w:line="146" w:lineRule="exact"/>
        <w:rPr>
          <w:rFonts w:ascii="Arial" w:cs="Arial" w:eastAsia="Arial" w:hAnsi="Arial"/>
          <w:sz w:val="15"/>
          <w:szCs w:val="15"/>
          <w:color w:val="auto"/>
        </w:rPr>
      </w:pPr>
    </w:p>
    <w:p>
      <w:pPr>
        <w:ind w:left="1220" w:hanging="314"/>
        <w:spacing w:after="0"/>
        <w:tabs>
          <w:tab w:leader="none" w:pos="1220" w:val="left"/>
        </w:tabs>
        <w:numPr>
          <w:ilvl w:val="1"/>
          <w:numId w:val="260"/>
        </w:numPr>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Board</w:t>
      </w:r>
      <w:r>
        <w:rPr>
          <w:rFonts w:ascii="Arial" w:cs="Arial" w:eastAsia="Arial" w:hAnsi="Arial"/>
          <w:sz w:val="15"/>
          <w:szCs w:val="15"/>
          <w:color w:val="auto"/>
        </w:rPr>
        <w:t>” means the Board of Directors of the Company.</w:t>
      </w:r>
    </w:p>
    <w:p>
      <w:pPr>
        <w:spacing w:after="0" w:line="188" w:lineRule="exact"/>
        <w:rPr>
          <w:rFonts w:ascii="Arial" w:cs="Arial" w:eastAsia="Arial" w:hAnsi="Arial"/>
          <w:sz w:val="15"/>
          <w:szCs w:val="15"/>
          <w:color w:val="auto"/>
        </w:rPr>
      </w:pPr>
    </w:p>
    <w:p>
      <w:pPr>
        <w:ind w:left="1200" w:hanging="294"/>
        <w:spacing w:after="0"/>
        <w:tabs>
          <w:tab w:leader="none" w:pos="1200" w:val="left"/>
        </w:tabs>
        <w:numPr>
          <w:ilvl w:val="1"/>
          <w:numId w:val="260"/>
        </w:numPr>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Change in Control</w:t>
      </w:r>
      <w:r>
        <w:rPr>
          <w:rFonts w:ascii="Arial" w:cs="Arial" w:eastAsia="Arial" w:hAnsi="Arial"/>
          <w:sz w:val="15"/>
          <w:szCs w:val="15"/>
          <w:color w:val="auto"/>
        </w:rPr>
        <w:t>” means the occurrence of any of the following events:</w:t>
      </w:r>
    </w:p>
    <w:p>
      <w:pPr>
        <w:spacing w:after="0" w:line="188" w:lineRule="exact"/>
        <w:rPr>
          <w:rFonts w:ascii="Arial" w:cs="Arial" w:eastAsia="Arial" w:hAnsi="Arial"/>
          <w:sz w:val="15"/>
          <w:szCs w:val="15"/>
          <w:color w:val="auto"/>
        </w:rPr>
      </w:pPr>
    </w:p>
    <w:p>
      <w:pPr>
        <w:ind w:right="260" w:firstLine="1478"/>
        <w:spacing w:after="0" w:line="263" w:lineRule="auto"/>
        <w:tabs>
          <w:tab w:leader="none" w:pos="1772" w:val="left"/>
        </w:tabs>
        <w:numPr>
          <w:ilvl w:val="2"/>
          <w:numId w:val="260"/>
        </w:numPr>
        <w:rPr>
          <w:rFonts w:ascii="Arial" w:cs="Arial" w:eastAsia="Arial" w:hAnsi="Arial"/>
          <w:sz w:val="15"/>
          <w:szCs w:val="15"/>
          <w:color w:val="auto"/>
        </w:rPr>
      </w:pPr>
      <w:r>
        <w:rPr>
          <w:rFonts w:ascii="Arial" w:cs="Arial" w:eastAsia="Arial" w:hAnsi="Arial"/>
          <w:sz w:val="15"/>
          <w:szCs w:val="15"/>
          <w:color w:val="auto"/>
        </w:rPr>
        <w:t>A change in the ownership of the Company which occurs on the date that any one person, or more than one person acting as a group (“</w:t>
      </w:r>
      <w:r>
        <w:rPr>
          <w:rFonts w:ascii="Arial" w:cs="Arial" w:eastAsia="Arial" w:hAnsi="Arial"/>
          <w:sz w:val="15"/>
          <w:szCs w:val="15"/>
          <w:u w:val="single" w:color="auto"/>
          <w:color w:val="auto"/>
        </w:rPr>
        <w:t>Person</w:t>
      </w:r>
      <w:r>
        <w:rPr>
          <w:rFonts w:ascii="Arial" w:cs="Arial" w:eastAsia="Arial" w:hAnsi="Arial"/>
          <w:sz w:val="15"/>
          <w:szCs w:val="15"/>
          <w:color w:val="auto"/>
        </w:rPr>
        <w:t>”), acquires ownership of the stock of the Company that, together with the stock held by such Person, constitutes more than fifty percent (50%) of the total voting power of the stock of the Company; provided, however, that for purposes of this subsection, (A) the acquisition of additional stock by any one Person, who is</w:t>
      </w:r>
    </w:p>
    <w:p>
      <w:pPr>
        <w:sectPr>
          <w:pgSz w:w="11900" w:h="16838" w:orient="portrait"/>
          <w:cols w:equalWidth="0" w:num="1">
            <w:col w:w="11440"/>
          </w:cols>
          <w:pgMar w:left="240" w:top="125" w:right="219" w:bottom="1440" w:gutter="0" w:footer="0" w:header="0"/>
        </w:sectPr>
      </w:pPr>
    </w:p>
    <w:bookmarkStart w:id="343" w:name="page344"/>
    <w:bookmarkEnd w:id="343"/>
    <w:p>
      <w:pPr>
        <w:ind w:right="40"/>
        <w:spacing w:after="0" w:line="277" w:lineRule="auto"/>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133350</wp:posOffset>
            </wp:positionH>
            <wp:positionV relativeFrom="page">
              <wp:posOffset>88900</wp:posOffset>
            </wp:positionV>
            <wp:extent cx="7308850" cy="34290"/>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522">
                      <a:extLst>
                        <a:ext uri="{28A0092B-C50C-407E-A947-70E740481C1C}"/>
                      </a:extLst>
                    </a:blip>
                    <a:srcRect/>
                    <a:stretch>
                      <a:fillRect/>
                    </a:stretch>
                  </pic:blipFill>
                  <pic:spPr bwMode="auto">
                    <a:xfrm>
                      <a:off x="0" y="0"/>
                      <a:ext cx="7308850" cy="34290"/>
                    </a:xfrm>
                    <a:prstGeom prst="rect">
                      <a:avLst/>
                    </a:prstGeom>
                    <a:noFill/>
                  </pic:spPr>
                </pic:pic>
              </a:graphicData>
            </a:graphic>
          </wp:anchor>
        </w:drawing>
        <w:t>considered to own more than fifty percent (50%) of the total voting power of the stock of the Company will not be considered a Change in Control, and (B) if the stockholders of the Company immediately before such change in ownership continue to retain immediately after the change in ownership, in substantially the same proportions as their ownership of shares of the Company’s voting stock immediately prior to the change in ownership, the direct or indirect beneficial ownership of fifty percent (50%) or more of the total voting power of the stock of the Company or of the ultimate parent entity of the Company, such event will not be considered a Change in Control under this subsection (i). For this purpose, indirect beneficial ownership will include, without limitation, an interest resulting from ownership of the voting securities of one or more corporations or other business entities which own the Company, as the case may be, either directly or through one or more subsidiary corporations or other business entities; or</w:t>
      </w:r>
    </w:p>
    <w:p>
      <w:pPr>
        <w:spacing w:after="0" w:line="148" w:lineRule="exact"/>
        <w:rPr>
          <w:sz w:val="20"/>
          <w:szCs w:val="20"/>
          <w:color w:val="auto"/>
        </w:rPr>
      </w:pPr>
    </w:p>
    <w:p>
      <w:pPr>
        <w:ind w:right="20" w:firstLine="1478"/>
        <w:spacing w:after="0" w:line="259" w:lineRule="auto"/>
        <w:tabs>
          <w:tab w:leader="none" w:pos="1814" w:val="left"/>
        </w:tabs>
        <w:numPr>
          <w:ilvl w:val="0"/>
          <w:numId w:val="261"/>
        </w:numPr>
        <w:rPr>
          <w:rFonts w:ascii="Arial" w:cs="Arial" w:eastAsia="Arial" w:hAnsi="Arial"/>
          <w:sz w:val="15"/>
          <w:szCs w:val="15"/>
          <w:color w:val="auto"/>
        </w:rPr>
      </w:pPr>
      <w:r>
        <w:rPr>
          <w:rFonts w:ascii="Arial" w:cs="Arial" w:eastAsia="Arial" w:hAnsi="Arial"/>
          <w:sz w:val="15"/>
          <w:szCs w:val="15"/>
          <w:color w:val="auto"/>
        </w:rPr>
        <w:t>A change in the effective control of the Company which occurs on the date that a majority of members of the Board is replaced during any twelve (12)-month period by Directors whose appointment or election is not endorsed by a majority of the members of the Board prior to the date of the appointment or election. For purposes of this subsection (ii), if any Person is considered to be in effective control of the Company, the acquisition of additional control of the Company by the same Person will not be considered a Change in Control; or</w:t>
      </w:r>
    </w:p>
    <w:p>
      <w:pPr>
        <w:spacing w:after="0" w:line="157" w:lineRule="exact"/>
        <w:rPr>
          <w:rFonts w:ascii="Arial" w:cs="Arial" w:eastAsia="Arial" w:hAnsi="Arial"/>
          <w:sz w:val="15"/>
          <w:szCs w:val="15"/>
          <w:color w:val="auto"/>
        </w:rPr>
      </w:pPr>
    </w:p>
    <w:p>
      <w:pPr>
        <w:ind w:right="80" w:firstLine="1478"/>
        <w:spacing w:after="0" w:line="297" w:lineRule="auto"/>
        <w:tabs>
          <w:tab w:leader="none" w:pos="1855" w:val="left"/>
        </w:tabs>
        <w:numPr>
          <w:ilvl w:val="0"/>
          <w:numId w:val="261"/>
        </w:numPr>
        <w:rPr>
          <w:rFonts w:ascii="Arial" w:cs="Arial" w:eastAsia="Arial" w:hAnsi="Arial"/>
          <w:sz w:val="13"/>
          <w:szCs w:val="13"/>
          <w:color w:val="auto"/>
        </w:rPr>
      </w:pPr>
      <w:r>
        <w:rPr>
          <w:rFonts w:ascii="Arial" w:cs="Arial" w:eastAsia="Arial" w:hAnsi="Arial"/>
          <w:sz w:val="13"/>
          <w:szCs w:val="13"/>
          <w:color w:val="auto"/>
        </w:rPr>
        <w:t>A change in the ownership of a substantial portion of the Company’s assets which occurs on the date that any Person acquires (or has acquired during the twelve (12)-month period ending on the date of the most recent acquisition by such person or persons) assets from the Company that have a total gross fair market value equal to or more than fifty percent (50%) of the total gross fair market value of all of the assets of the Company immediately prior to such acquisition or acquisitions; provided, however, that for purposes of this subsection (iii), the following will not constitute a change in the ownership of a substantial portion of the Company’s assets: (A) a transfer to an entity that is controlled by the Company’s stockholders immediately after the transfer, or (B) a transfer of assets by the Company to: (1) a stockholder of the Company (immediately before the asset transfer) in exchange for or with respect to the Company’s stock, (2) an entity, fifty percent (50%) or more of the total value or voting power of which is owned, directly or indirectly, by the Company, (3) a Person, that owns, directly or indirectly, fifty percent (50%) or more of the total value or voting power of all the outstanding stock of the Company, or (4) an entity, at least fifty percent (50%) of the total value or voting power of which is owned, directly or indirectly, by a Person described in this subsection (iii)(B)(3). For purposes of this subsection (iii), gross fair market value means the value of the assets of the Company, or the value of the assets being disposed of, determined without regard to any liabilities associated with such assets.</w:t>
      </w:r>
    </w:p>
    <w:p>
      <w:pPr>
        <w:spacing w:after="0" w:line="140" w:lineRule="exact"/>
        <w:rPr>
          <w:sz w:val="20"/>
          <w:szCs w:val="20"/>
          <w:color w:val="auto"/>
        </w:rPr>
      </w:pPr>
    </w:p>
    <w:p>
      <w:pPr>
        <w:ind w:right="500" w:firstLine="1488"/>
        <w:spacing w:after="0" w:line="275" w:lineRule="auto"/>
        <w:rPr>
          <w:sz w:val="20"/>
          <w:szCs w:val="20"/>
          <w:color w:val="auto"/>
        </w:rPr>
      </w:pPr>
      <w:r>
        <w:rPr>
          <w:rFonts w:ascii="Arial" w:cs="Arial" w:eastAsia="Arial" w:hAnsi="Arial"/>
          <w:sz w:val="15"/>
          <w:szCs w:val="15"/>
          <w:color w:val="auto"/>
        </w:rPr>
        <w:t>For purposes of this definition, persons will be considered to be acting as a group if they are owners of a corporation that enters into a merger, consolidation, purchase or acquisition of stock, or similar business transaction with the Company.</w:t>
      </w:r>
    </w:p>
    <w:p>
      <w:pPr>
        <w:spacing w:after="0" w:line="146" w:lineRule="exact"/>
        <w:rPr>
          <w:sz w:val="20"/>
          <w:szCs w:val="20"/>
          <w:color w:val="auto"/>
        </w:rPr>
      </w:pPr>
    </w:p>
    <w:p>
      <w:pPr>
        <w:jc w:val="right"/>
        <w:spacing w:after="0"/>
        <w:rPr>
          <w:sz w:val="20"/>
          <w:szCs w:val="20"/>
          <w:color w:val="auto"/>
        </w:rPr>
      </w:pPr>
      <w:r>
        <w:rPr>
          <w:rFonts w:ascii="Arial" w:cs="Arial" w:eastAsia="Arial" w:hAnsi="Arial"/>
          <w:sz w:val="15"/>
          <w:szCs w:val="15"/>
          <w:color w:val="auto"/>
        </w:rPr>
        <w:t>Notwithstanding the foregoing, a transaction will not be deemed a Change in Control unless the transaction qualifies as a change in control event within the meaning</w:t>
      </w:r>
    </w:p>
    <w:p>
      <w:pPr>
        <w:spacing w:after="0" w:line="17" w:lineRule="exact"/>
        <w:rPr>
          <w:sz w:val="20"/>
          <w:szCs w:val="20"/>
          <w:color w:val="auto"/>
        </w:rPr>
      </w:pPr>
    </w:p>
    <w:p>
      <w:pPr>
        <w:spacing w:after="0"/>
        <w:rPr>
          <w:sz w:val="20"/>
          <w:szCs w:val="20"/>
          <w:color w:val="auto"/>
        </w:rPr>
      </w:pPr>
      <w:r>
        <w:rPr>
          <w:rFonts w:ascii="Arial" w:cs="Arial" w:eastAsia="Arial" w:hAnsi="Arial"/>
          <w:sz w:val="15"/>
          <w:szCs w:val="15"/>
          <w:color w:val="auto"/>
        </w:rPr>
        <w:t>of Section 409A.</w:t>
      </w:r>
    </w:p>
    <w:p>
      <w:pPr>
        <w:spacing w:after="0" w:line="123"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-2-</w:t>
      </w:r>
    </w:p>
    <w:p>
      <w:pPr>
        <w:sectPr>
          <w:pgSz w:w="11900" w:h="16838" w:orient="portrait"/>
          <w:cols w:equalWidth="0" w:num="1">
            <w:col w:w="11400"/>
          </w:cols>
          <w:pgMar w:left="240" w:top="253" w:right="259" w:bottom="1440" w:gutter="0" w:footer="0" w:header="0"/>
        </w:sectPr>
      </w:pPr>
    </w:p>
    <w:bookmarkStart w:id="344" w:name="page345"/>
    <w:bookmarkEnd w:id="344"/>
    <w:p>
      <w:pPr>
        <w:ind w:right="100" w:firstLine="1488"/>
        <w:spacing w:after="0" w:line="263"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133350</wp:posOffset>
            </wp:positionH>
            <wp:positionV relativeFrom="page">
              <wp:posOffset>88900</wp:posOffset>
            </wp:positionV>
            <wp:extent cx="7308850" cy="34290"/>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523">
                      <a:extLst>
                        <a:ext uri="{28A0092B-C50C-407E-A947-70E740481C1C}"/>
                      </a:extLst>
                    </a:blip>
                    <a:srcRect/>
                    <a:stretch>
                      <a:fillRect/>
                    </a:stretch>
                  </pic:blipFill>
                  <pic:spPr bwMode="auto">
                    <a:xfrm>
                      <a:off x="0" y="0"/>
                      <a:ext cx="7308850" cy="34290"/>
                    </a:xfrm>
                    <a:prstGeom prst="rect">
                      <a:avLst/>
                    </a:prstGeom>
                    <a:noFill/>
                  </pic:spPr>
                </pic:pic>
              </a:graphicData>
            </a:graphic>
          </wp:anchor>
        </w:drawing>
        <w:t>Further and for the avoidance of doubt, a transaction will not constitute a Change in Control if: (i) its sole purpose is to change the state of the Company’s incorporation, or (ii) its sole purpose is to create a holding company that will be owned in substantially the same proportions by the persons who held the Company’s securities immediately before such transaction.</w:t>
      </w:r>
    </w:p>
    <w:p>
      <w:pPr>
        <w:spacing w:after="0" w:line="155" w:lineRule="exact"/>
        <w:rPr>
          <w:sz w:val="20"/>
          <w:szCs w:val="20"/>
          <w:color w:val="auto"/>
        </w:rPr>
      </w:pPr>
    </w:p>
    <w:p>
      <w:pPr>
        <w:ind w:right="120" w:firstLine="906"/>
        <w:spacing w:after="0" w:line="263" w:lineRule="auto"/>
        <w:tabs>
          <w:tab w:leader="none" w:pos="1241" w:val="left"/>
        </w:tabs>
        <w:numPr>
          <w:ilvl w:val="0"/>
          <w:numId w:val="262"/>
        </w:numPr>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Code</w:t>
      </w:r>
      <w:r>
        <w:rPr>
          <w:rFonts w:ascii="Arial" w:cs="Arial" w:eastAsia="Arial" w:hAnsi="Arial"/>
          <w:sz w:val="15"/>
          <w:szCs w:val="15"/>
          <w:color w:val="auto"/>
        </w:rPr>
        <w:t>” means the Internal Revenue Code of 1986, as amended. Reference to a specific section of the Code or regulation thereunder will include such section or regulation, any valid regulation promulgated under such section, and any comparable provision of any future legislation or regulation amending, supplementing or superseding such section or regulation.</w:t>
      </w:r>
    </w:p>
    <w:p>
      <w:pPr>
        <w:spacing w:after="0" w:line="154" w:lineRule="exact"/>
        <w:rPr>
          <w:rFonts w:ascii="Arial" w:cs="Arial" w:eastAsia="Arial" w:hAnsi="Arial"/>
          <w:sz w:val="15"/>
          <w:szCs w:val="15"/>
          <w:color w:val="auto"/>
        </w:rPr>
      </w:pPr>
    </w:p>
    <w:p>
      <w:pPr>
        <w:ind w:firstLine="906"/>
        <w:spacing w:after="0" w:line="275" w:lineRule="auto"/>
        <w:tabs>
          <w:tab w:leader="none" w:pos="1241" w:val="left"/>
        </w:tabs>
        <w:numPr>
          <w:ilvl w:val="0"/>
          <w:numId w:val="262"/>
        </w:numPr>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Committee</w:t>
      </w:r>
      <w:r>
        <w:rPr>
          <w:rFonts w:ascii="Arial" w:cs="Arial" w:eastAsia="Arial" w:hAnsi="Arial"/>
          <w:sz w:val="15"/>
          <w:szCs w:val="15"/>
          <w:color w:val="auto"/>
        </w:rPr>
        <w:t>” means a committee of Directors or of other individuals satisfying Applicable Laws appointed by the Board, or a duly authorized committee of the Board, in accordance with Section 4 hereof.</w:t>
      </w:r>
    </w:p>
    <w:p>
      <w:pPr>
        <w:spacing w:after="0" w:line="146" w:lineRule="exact"/>
        <w:rPr>
          <w:rFonts w:ascii="Arial" w:cs="Arial" w:eastAsia="Arial" w:hAnsi="Arial"/>
          <w:sz w:val="15"/>
          <w:szCs w:val="15"/>
          <w:color w:val="auto"/>
        </w:rPr>
      </w:pPr>
    </w:p>
    <w:p>
      <w:pPr>
        <w:ind w:left="1200" w:hanging="294"/>
        <w:spacing w:after="0"/>
        <w:tabs>
          <w:tab w:leader="none" w:pos="1200" w:val="left"/>
        </w:tabs>
        <w:numPr>
          <w:ilvl w:val="0"/>
          <w:numId w:val="262"/>
        </w:numPr>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Common Stock</w:t>
      </w:r>
      <w:r>
        <w:rPr>
          <w:rFonts w:ascii="Arial" w:cs="Arial" w:eastAsia="Arial" w:hAnsi="Arial"/>
          <w:sz w:val="15"/>
          <w:szCs w:val="15"/>
          <w:color w:val="auto"/>
        </w:rPr>
        <w:t>” means the Class C common stock of the Company.</w:t>
      </w:r>
    </w:p>
    <w:p>
      <w:pPr>
        <w:spacing w:after="0" w:line="188" w:lineRule="exact"/>
        <w:rPr>
          <w:rFonts w:ascii="Arial" w:cs="Arial" w:eastAsia="Arial" w:hAnsi="Arial"/>
          <w:sz w:val="15"/>
          <w:szCs w:val="15"/>
          <w:color w:val="auto"/>
        </w:rPr>
      </w:pPr>
    </w:p>
    <w:p>
      <w:pPr>
        <w:ind w:left="1200" w:hanging="294"/>
        <w:spacing w:after="0"/>
        <w:tabs>
          <w:tab w:leader="none" w:pos="1200" w:val="left"/>
        </w:tabs>
        <w:numPr>
          <w:ilvl w:val="0"/>
          <w:numId w:val="262"/>
        </w:numPr>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Company</w:t>
      </w:r>
      <w:r>
        <w:rPr>
          <w:rFonts w:ascii="Arial" w:cs="Arial" w:eastAsia="Arial" w:hAnsi="Arial"/>
          <w:sz w:val="15"/>
          <w:szCs w:val="15"/>
          <w:color w:val="auto"/>
        </w:rPr>
        <w:t>” means Dropbox, Inc., a Delaware corporation, or any successor thereto.</w:t>
      </w:r>
    </w:p>
    <w:p>
      <w:pPr>
        <w:spacing w:after="0" w:line="188" w:lineRule="exact"/>
        <w:rPr>
          <w:rFonts w:ascii="Arial" w:cs="Arial" w:eastAsia="Arial" w:hAnsi="Arial"/>
          <w:sz w:val="15"/>
          <w:szCs w:val="15"/>
          <w:color w:val="auto"/>
        </w:rPr>
      </w:pPr>
    </w:p>
    <w:p>
      <w:pPr>
        <w:jc w:val="both"/>
        <w:ind w:right="40" w:firstLine="906"/>
        <w:spacing w:after="0" w:line="259" w:lineRule="auto"/>
        <w:tabs>
          <w:tab w:leader="none" w:pos="1241" w:val="left"/>
        </w:tabs>
        <w:numPr>
          <w:ilvl w:val="0"/>
          <w:numId w:val="262"/>
        </w:numPr>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Consultant</w:t>
      </w:r>
      <w:r>
        <w:rPr>
          <w:rFonts w:ascii="Arial" w:cs="Arial" w:eastAsia="Arial" w:hAnsi="Arial"/>
          <w:sz w:val="15"/>
          <w:szCs w:val="15"/>
          <w:color w:val="auto"/>
        </w:rPr>
        <w:t>” means any natural person, including an advisor, engaged by the Company or a Parent or Subsidiary to render bona fide services to such entity, provided the services (i) are not in connection with the offer or sale of securities in a capital-raising transaction, and (ii) do not directly promote or maintain a market for the Company’s securities, in each case, within the meaning of Form S-8 promulgated under the Securities Act, and provided, further, that a Consultant will include only those persons to whom the issuance of Shares may be registered under Form S-8 promulgated under the Securities Act.</w:t>
      </w:r>
    </w:p>
    <w:p>
      <w:pPr>
        <w:spacing w:after="0" w:line="157" w:lineRule="exact"/>
        <w:rPr>
          <w:rFonts w:ascii="Arial" w:cs="Arial" w:eastAsia="Arial" w:hAnsi="Arial"/>
          <w:sz w:val="15"/>
          <w:szCs w:val="15"/>
          <w:color w:val="auto"/>
        </w:rPr>
      </w:pPr>
    </w:p>
    <w:p>
      <w:pPr>
        <w:ind w:left="1200" w:hanging="294"/>
        <w:spacing w:after="0"/>
        <w:tabs>
          <w:tab w:leader="none" w:pos="1200" w:val="left"/>
        </w:tabs>
        <w:numPr>
          <w:ilvl w:val="0"/>
          <w:numId w:val="262"/>
        </w:numPr>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Director</w:t>
      </w:r>
      <w:r>
        <w:rPr>
          <w:rFonts w:ascii="Arial" w:cs="Arial" w:eastAsia="Arial" w:hAnsi="Arial"/>
          <w:sz w:val="15"/>
          <w:szCs w:val="15"/>
          <w:color w:val="auto"/>
        </w:rPr>
        <w:t>” means a member of the Board.</w:t>
      </w:r>
    </w:p>
    <w:p>
      <w:pPr>
        <w:spacing w:after="0" w:line="188" w:lineRule="exact"/>
        <w:rPr>
          <w:rFonts w:ascii="Arial" w:cs="Arial" w:eastAsia="Arial" w:hAnsi="Arial"/>
          <w:sz w:val="15"/>
          <w:szCs w:val="15"/>
          <w:color w:val="auto"/>
        </w:rPr>
      </w:pPr>
    </w:p>
    <w:p>
      <w:pPr>
        <w:ind w:right="20" w:firstLine="906"/>
        <w:spacing w:after="0" w:line="263" w:lineRule="auto"/>
        <w:tabs>
          <w:tab w:leader="none" w:pos="1283" w:val="left"/>
        </w:tabs>
        <w:numPr>
          <w:ilvl w:val="0"/>
          <w:numId w:val="262"/>
        </w:numPr>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Disability</w:t>
      </w:r>
      <w:r>
        <w:rPr>
          <w:rFonts w:ascii="Arial" w:cs="Arial" w:eastAsia="Arial" w:hAnsi="Arial"/>
          <w:sz w:val="15"/>
          <w:szCs w:val="15"/>
          <w:color w:val="auto"/>
        </w:rPr>
        <w:t>” means total and permanent disability as defined in Section 22(e)(3) of the Code, provided that in the case of Awards other than Incentive Stock Options, the Administrator in its discretion may determine whether a permanent and total disability exists in accordance with uniform and non-discriminatory standards adopted by the Administrator from time to time.</w:t>
      </w:r>
    </w:p>
    <w:p>
      <w:pPr>
        <w:spacing w:after="0" w:line="154" w:lineRule="exact"/>
        <w:rPr>
          <w:rFonts w:ascii="Arial" w:cs="Arial" w:eastAsia="Arial" w:hAnsi="Arial"/>
          <w:sz w:val="15"/>
          <w:szCs w:val="15"/>
          <w:color w:val="auto"/>
        </w:rPr>
      </w:pPr>
    </w:p>
    <w:p>
      <w:pPr>
        <w:ind w:right="140" w:firstLine="906"/>
        <w:spacing w:after="0" w:line="275" w:lineRule="auto"/>
        <w:tabs>
          <w:tab w:leader="none" w:pos="1241" w:val="left"/>
        </w:tabs>
        <w:numPr>
          <w:ilvl w:val="0"/>
          <w:numId w:val="262"/>
        </w:numPr>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Employee</w:t>
      </w:r>
      <w:r>
        <w:rPr>
          <w:rFonts w:ascii="Arial" w:cs="Arial" w:eastAsia="Arial" w:hAnsi="Arial"/>
          <w:sz w:val="15"/>
          <w:szCs w:val="15"/>
          <w:color w:val="auto"/>
        </w:rPr>
        <w:t>” means any person, including Officers and Directors, employed by the Company or any Parent or Subsidiary of the Company. Neither service as a Director nor payment of a director’s fee by the Company will be sufficient to constitute “employment” by the Company.</w:t>
      </w:r>
    </w:p>
    <w:p>
      <w:pPr>
        <w:spacing w:after="0" w:line="146" w:lineRule="exact"/>
        <w:rPr>
          <w:rFonts w:ascii="Arial" w:cs="Arial" w:eastAsia="Arial" w:hAnsi="Arial"/>
          <w:sz w:val="15"/>
          <w:szCs w:val="15"/>
          <w:color w:val="auto"/>
        </w:rPr>
      </w:pPr>
    </w:p>
    <w:p>
      <w:pPr>
        <w:ind w:left="1240" w:hanging="334"/>
        <w:spacing w:after="0"/>
        <w:tabs>
          <w:tab w:leader="none" w:pos="1240" w:val="left"/>
        </w:tabs>
        <w:numPr>
          <w:ilvl w:val="0"/>
          <w:numId w:val="262"/>
        </w:numPr>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Exchange Act</w:t>
      </w:r>
      <w:r>
        <w:rPr>
          <w:rFonts w:ascii="Arial" w:cs="Arial" w:eastAsia="Arial" w:hAnsi="Arial"/>
          <w:sz w:val="15"/>
          <w:szCs w:val="15"/>
          <w:color w:val="auto"/>
        </w:rPr>
        <w:t>” means the Securities Exchange Act of 1934, as amended.</w:t>
      </w:r>
    </w:p>
    <w:p>
      <w:pPr>
        <w:spacing w:after="0" w:line="188" w:lineRule="exact"/>
        <w:rPr>
          <w:rFonts w:ascii="Arial" w:cs="Arial" w:eastAsia="Arial" w:hAnsi="Arial"/>
          <w:sz w:val="15"/>
          <w:szCs w:val="15"/>
          <w:color w:val="auto"/>
        </w:rPr>
      </w:pPr>
    </w:p>
    <w:p>
      <w:pPr>
        <w:ind w:right="80" w:firstLine="906"/>
        <w:spacing w:after="0" w:line="259" w:lineRule="auto"/>
        <w:tabs>
          <w:tab w:leader="none" w:pos="1241" w:val="left"/>
        </w:tabs>
        <w:numPr>
          <w:ilvl w:val="0"/>
          <w:numId w:val="262"/>
        </w:numPr>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Exchange Program</w:t>
      </w:r>
      <w:r>
        <w:rPr>
          <w:rFonts w:ascii="Arial" w:cs="Arial" w:eastAsia="Arial" w:hAnsi="Arial"/>
          <w:sz w:val="15"/>
          <w:szCs w:val="15"/>
          <w:color w:val="auto"/>
        </w:rPr>
        <w:t>” means a program under which (i) outstanding Awards are surrendered or cancelled in exchange for awards of the same type (which may have higher or lower exercise prices and different terms), awards of a different type, and/or cash, (ii) Participants would have the opportunity to transfer any outstanding Awards to a financial institution or other person or entity selected by the Administrator, and/or (iii) the exercise price of an outstanding Award is increased or reduced. The Administrator will determine the terms and conditions of any Exchange Program in its sole discretion.</w:t>
      </w:r>
    </w:p>
    <w:p>
      <w:pPr>
        <w:spacing w:after="0" w:line="10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-3-</w:t>
      </w:r>
    </w:p>
    <w:p>
      <w:pPr>
        <w:sectPr>
          <w:pgSz w:w="11900" w:h="16838" w:orient="portrait"/>
          <w:cols w:equalWidth="0" w:num="1">
            <w:col w:w="11420"/>
          </w:cols>
          <w:pgMar w:left="240" w:top="253" w:right="239" w:bottom="1440" w:gutter="0" w:footer="0" w:header="0"/>
        </w:sectPr>
      </w:pPr>
    </w:p>
    <w:bookmarkStart w:id="345" w:name="page346"/>
    <w:bookmarkEnd w:id="345"/>
    <w:p>
      <w:pPr>
        <w:ind w:left="1240" w:hanging="334"/>
        <w:spacing w:after="0"/>
        <w:tabs>
          <w:tab w:leader="none" w:pos="1240" w:val="left"/>
        </w:tabs>
        <w:numPr>
          <w:ilvl w:val="0"/>
          <w:numId w:val="263"/>
        </w:numPr>
        <w:rPr>
          <w:rFonts w:ascii="Arial" w:cs="Arial" w:eastAsia="Arial" w:hAnsi="Arial"/>
          <w:sz w:val="15"/>
          <w:szCs w:val="15"/>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133350</wp:posOffset>
            </wp:positionH>
            <wp:positionV relativeFrom="page">
              <wp:posOffset>88900</wp:posOffset>
            </wp:positionV>
            <wp:extent cx="7308850" cy="34290"/>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524">
                      <a:extLst>
                        <a:ext uri="{28A0092B-C50C-407E-A947-70E740481C1C}"/>
                      </a:extLst>
                    </a:blip>
                    <a:srcRect/>
                    <a:stretch>
                      <a:fillRect/>
                    </a:stretch>
                  </pic:blipFill>
                  <pic:spPr bwMode="auto">
                    <a:xfrm>
                      <a:off x="0" y="0"/>
                      <a:ext cx="7308850" cy="34290"/>
                    </a:xfrm>
                    <a:prstGeom prst="rect">
                      <a:avLst/>
                    </a:prstGeom>
                    <a:noFill/>
                  </pic:spPr>
                </pic:pic>
              </a:graphicData>
            </a:graphic>
          </wp:anchor>
        </w:drawing>
        <w:t>“</w:t>
      </w:r>
      <w:r>
        <w:rPr>
          <w:rFonts w:ascii="Arial" w:cs="Arial" w:eastAsia="Arial" w:hAnsi="Arial"/>
          <w:sz w:val="15"/>
          <w:szCs w:val="15"/>
          <w:u w:val="single" w:color="auto"/>
          <w:color w:val="auto"/>
        </w:rPr>
        <w:t>Fair Market Value</w:t>
      </w:r>
      <w:r>
        <w:rPr>
          <w:rFonts w:ascii="Arial" w:cs="Arial" w:eastAsia="Arial" w:hAnsi="Arial"/>
          <w:sz w:val="15"/>
          <w:szCs w:val="15"/>
          <w:color w:val="auto"/>
        </w:rPr>
        <w:t>” means, as of any date, the value of Common Stock determined as follows:</w:t>
      </w:r>
    </w:p>
    <w:p>
      <w:pPr>
        <w:spacing w:after="0" w:line="188" w:lineRule="exact"/>
        <w:rPr>
          <w:rFonts w:ascii="Arial" w:cs="Arial" w:eastAsia="Arial" w:hAnsi="Arial"/>
          <w:sz w:val="15"/>
          <w:szCs w:val="15"/>
          <w:color w:val="auto"/>
        </w:rPr>
      </w:pPr>
    </w:p>
    <w:p>
      <w:pPr>
        <w:ind w:right="300" w:firstLine="1478"/>
        <w:spacing w:after="0" w:line="354" w:lineRule="auto"/>
        <w:tabs>
          <w:tab w:leader="none" w:pos="1780" w:val="left"/>
        </w:tabs>
        <w:numPr>
          <w:ilvl w:val="1"/>
          <w:numId w:val="263"/>
        </w:numPr>
        <w:rPr>
          <w:rFonts w:ascii="Arial" w:cs="Arial" w:eastAsia="Arial" w:hAnsi="Arial"/>
          <w:sz w:val="13"/>
          <w:szCs w:val="13"/>
          <w:color w:val="auto"/>
        </w:rPr>
      </w:pPr>
      <w:r>
        <w:rPr>
          <w:rFonts w:ascii="Arial" w:cs="Arial" w:eastAsia="Arial" w:hAnsi="Arial"/>
          <w:sz w:val="13"/>
          <w:szCs w:val="13"/>
          <w:color w:val="auto"/>
        </w:rPr>
        <w:t>For purposes of any Awards granted on the Registration Date, the Fair Market Value will be the initial price to the public as set forth in the final prospectus included within the registration statement in Form S-1 filed with the Securities and Exchange Commission for the initial public offering of the Company’s Common Stock.</w:t>
      </w:r>
    </w:p>
    <w:p>
      <w:pPr>
        <w:spacing w:after="0" w:line="100" w:lineRule="exact"/>
        <w:rPr>
          <w:rFonts w:ascii="Arial" w:cs="Arial" w:eastAsia="Arial" w:hAnsi="Arial"/>
          <w:sz w:val="13"/>
          <w:szCs w:val="13"/>
          <w:color w:val="auto"/>
        </w:rPr>
      </w:pPr>
    </w:p>
    <w:p>
      <w:pPr>
        <w:ind w:firstLine="1478"/>
        <w:spacing w:after="0" w:line="255" w:lineRule="auto"/>
        <w:tabs>
          <w:tab w:leader="none" w:pos="1822" w:val="left"/>
        </w:tabs>
        <w:numPr>
          <w:ilvl w:val="1"/>
          <w:numId w:val="263"/>
        </w:numPr>
        <w:rPr>
          <w:rFonts w:ascii="Arial" w:cs="Arial" w:eastAsia="Arial" w:hAnsi="Arial"/>
          <w:sz w:val="15"/>
          <w:szCs w:val="15"/>
          <w:color w:val="auto"/>
        </w:rPr>
      </w:pPr>
      <w:r>
        <w:rPr>
          <w:rFonts w:ascii="Arial" w:cs="Arial" w:eastAsia="Arial" w:hAnsi="Arial"/>
          <w:sz w:val="15"/>
          <w:szCs w:val="15"/>
          <w:color w:val="auto"/>
        </w:rPr>
        <w:t xml:space="preserve">For purposes of any Awards granted on any other date, the Fair Market Value will be the closing sales price for Common Stock as quoted on any established stock exchange or national market system (including without limitation the New York Stock Exchange, NASDAQ Global Select Market, the NASDAQ Global Market or the NASDAQ Capital Market of The NASDAQ Stock Market) on which the Common Stock is listed on the date of determination (or the closing bid, if no sales were reported), as reported in </w:t>
      </w:r>
      <w:r>
        <w:rPr>
          <w:rFonts w:ascii="Arial" w:cs="Arial" w:eastAsia="Arial" w:hAnsi="Arial"/>
          <w:sz w:val="15"/>
          <w:szCs w:val="15"/>
          <w:i w:val="1"/>
          <w:iCs w:val="1"/>
          <w:color w:val="auto"/>
        </w:rPr>
        <w:t>The Wall</w:t>
      </w:r>
      <w:r>
        <w:rPr>
          <w:rFonts w:ascii="Arial" w:cs="Arial" w:eastAsia="Arial" w:hAnsi="Arial"/>
          <w:sz w:val="15"/>
          <w:szCs w:val="15"/>
          <w:color w:val="auto"/>
        </w:rPr>
        <w:t xml:space="preserve"> </w:t>
      </w:r>
      <w:r>
        <w:rPr>
          <w:rFonts w:ascii="Arial" w:cs="Arial" w:eastAsia="Arial" w:hAnsi="Arial"/>
          <w:sz w:val="15"/>
          <w:szCs w:val="15"/>
          <w:i w:val="1"/>
          <w:iCs w:val="1"/>
          <w:color w:val="auto"/>
        </w:rPr>
        <w:t xml:space="preserve">Street Journal </w:t>
      </w:r>
      <w:r>
        <w:rPr>
          <w:rFonts w:ascii="Arial" w:cs="Arial" w:eastAsia="Arial" w:hAnsi="Arial"/>
          <w:sz w:val="15"/>
          <w:szCs w:val="15"/>
          <w:color w:val="auto"/>
        </w:rPr>
        <w:t>or such other source as the Administrator deems reliable. If the determination date for the Fair Market Value occurs on a non-trading day (i.e., a weekend or holiday), the Fair</w:t>
      </w:r>
      <w:r>
        <w:rPr>
          <w:rFonts w:ascii="Arial" w:cs="Arial" w:eastAsia="Arial" w:hAnsi="Arial"/>
          <w:sz w:val="15"/>
          <w:szCs w:val="15"/>
          <w:i w:val="1"/>
          <w:iCs w:val="1"/>
          <w:color w:val="auto"/>
        </w:rPr>
        <w:t xml:space="preserve"> </w:t>
      </w:r>
      <w:r>
        <w:rPr>
          <w:rFonts w:ascii="Arial" w:cs="Arial" w:eastAsia="Arial" w:hAnsi="Arial"/>
          <w:sz w:val="15"/>
          <w:szCs w:val="15"/>
          <w:color w:val="auto"/>
        </w:rPr>
        <w:t>Market Value will be such price on the immediately preceding trading day, unless otherwise determined by the Administrator. In the absence of an established market for the Common Stock, the Fair Market Value thereof will be determined in good faith by the Administrator.</w:t>
      </w:r>
    </w:p>
    <w:p>
      <w:pPr>
        <w:spacing w:after="0" w:line="164" w:lineRule="exact"/>
        <w:rPr>
          <w:sz w:val="20"/>
          <w:szCs w:val="20"/>
          <w:color w:val="auto"/>
        </w:rPr>
      </w:pPr>
    </w:p>
    <w:p>
      <w:pPr>
        <w:ind w:right="60" w:firstLine="458"/>
        <w:spacing w:after="0" w:line="275" w:lineRule="auto"/>
        <w:rPr>
          <w:sz w:val="20"/>
          <w:szCs w:val="20"/>
          <w:color w:val="auto"/>
        </w:rPr>
      </w:pPr>
      <w:r>
        <w:rPr>
          <w:rFonts w:ascii="Arial" w:cs="Arial" w:eastAsia="Arial" w:hAnsi="Arial"/>
          <w:sz w:val="15"/>
          <w:szCs w:val="15"/>
          <w:color w:val="auto"/>
        </w:rPr>
        <w:t>The determination of fair market value for purposes of tax withholding may be made in the Administrator’s discretion subject to Applicable Laws and is not required to be consistent with the determination of Fair Market Value for other purposes.</w:t>
      </w:r>
    </w:p>
    <w:p>
      <w:pPr>
        <w:spacing w:after="0" w:line="146" w:lineRule="exact"/>
        <w:rPr>
          <w:sz w:val="20"/>
          <w:szCs w:val="20"/>
          <w:color w:val="auto"/>
        </w:rPr>
      </w:pPr>
    </w:p>
    <w:p>
      <w:pPr>
        <w:ind w:left="1200" w:hanging="294"/>
        <w:spacing w:after="0"/>
        <w:tabs>
          <w:tab w:leader="none" w:pos="1200" w:val="left"/>
        </w:tabs>
        <w:numPr>
          <w:ilvl w:val="0"/>
          <w:numId w:val="264"/>
        </w:numPr>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Fiscal Year</w:t>
      </w:r>
      <w:r>
        <w:rPr>
          <w:rFonts w:ascii="Arial" w:cs="Arial" w:eastAsia="Arial" w:hAnsi="Arial"/>
          <w:sz w:val="15"/>
          <w:szCs w:val="15"/>
          <w:color w:val="auto"/>
        </w:rPr>
        <w:t>” means the fiscal year of the Company.</w:t>
      </w:r>
    </w:p>
    <w:p>
      <w:pPr>
        <w:spacing w:after="0" w:line="188" w:lineRule="exact"/>
        <w:rPr>
          <w:rFonts w:ascii="Arial" w:cs="Arial" w:eastAsia="Arial" w:hAnsi="Arial"/>
          <w:sz w:val="15"/>
          <w:szCs w:val="15"/>
          <w:color w:val="auto"/>
        </w:rPr>
      </w:pPr>
    </w:p>
    <w:p>
      <w:pPr>
        <w:ind w:right="680" w:firstLine="906"/>
        <w:spacing w:after="0" w:line="275" w:lineRule="auto"/>
        <w:tabs>
          <w:tab w:leader="none" w:pos="1225" w:val="left"/>
        </w:tabs>
        <w:numPr>
          <w:ilvl w:val="0"/>
          <w:numId w:val="264"/>
        </w:numPr>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Incentive Stock Option</w:t>
      </w:r>
      <w:r>
        <w:rPr>
          <w:rFonts w:ascii="Arial" w:cs="Arial" w:eastAsia="Arial" w:hAnsi="Arial"/>
          <w:sz w:val="15"/>
          <w:szCs w:val="15"/>
          <w:color w:val="auto"/>
        </w:rPr>
        <w:t>” means an Option intended to qualify as an incentive stock option within the meaning of Section 422 of the Code and the regulations promulgated thereunder.</w:t>
      </w:r>
    </w:p>
    <w:p>
      <w:pPr>
        <w:spacing w:after="0" w:line="146" w:lineRule="exact"/>
        <w:rPr>
          <w:rFonts w:ascii="Arial" w:cs="Arial" w:eastAsia="Arial" w:hAnsi="Arial"/>
          <w:sz w:val="15"/>
          <w:szCs w:val="15"/>
          <w:color w:val="auto"/>
        </w:rPr>
      </w:pPr>
    </w:p>
    <w:p>
      <w:pPr>
        <w:ind w:left="1200" w:hanging="294"/>
        <w:spacing w:after="0"/>
        <w:tabs>
          <w:tab w:leader="none" w:pos="1200" w:val="left"/>
        </w:tabs>
        <w:numPr>
          <w:ilvl w:val="0"/>
          <w:numId w:val="264"/>
        </w:numPr>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Inside Director</w:t>
      </w:r>
      <w:r>
        <w:rPr>
          <w:rFonts w:ascii="Arial" w:cs="Arial" w:eastAsia="Arial" w:hAnsi="Arial"/>
          <w:sz w:val="15"/>
          <w:szCs w:val="15"/>
          <w:color w:val="auto"/>
        </w:rPr>
        <w:t>” means a Director who is an Employee.</w:t>
      </w:r>
    </w:p>
    <w:p>
      <w:pPr>
        <w:spacing w:after="0" w:line="188" w:lineRule="exact"/>
        <w:rPr>
          <w:rFonts w:ascii="Arial" w:cs="Arial" w:eastAsia="Arial" w:hAnsi="Arial"/>
          <w:sz w:val="15"/>
          <w:szCs w:val="15"/>
          <w:color w:val="auto"/>
        </w:rPr>
      </w:pPr>
    </w:p>
    <w:p>
      <w:pPr>
        <w:ind w:left="1240" w:hanging="334"/>
        <w:spacing w:after="0"/>
        <w:tabs>
          <w:tab w:leader="none" w:pos="1240" w:val="left"/>
        </w:tabs>
        <w:numPr>
          <w:ilvl w:val="0"/>
          <w:numId w:val="264"/>
        </w:numPr>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Nonstatutory Stock Option</w:t>
      </w:r>
      <w:r>
        <w:rPr>
          <w:rFonts w:ascii="Arial" w:cs="Arial" w:eastAsia="Arial" w:hAnsi="Arial"/>
          <w:sz w:val="15"/>
          <w:szCs w:val="15"/>
          <w:color w:val="auto"/>
        </w:rPr>
        <w:t>” means an Option that by its terms does not qualify or is not intended to qualify as an Incentive Stock Option.</w:t>
      </w:r>
    </w:p>
    <w:p>
      <w:pPr>
        <w:spacing w:after="0" w:line="188" w:lineRule="exact"/>
        <w:rPr>
          <w:rFonts w:ascii="Arial" w:cs="Arial" w:eastAsia="Arial" w:hAnsi="Arial"/>
          <w:sz w:val="15"/>
          <w:szCs w:val="15"/>
          <w:color w:val="auto"/>
        </w:rPr>
      </w:pPr>
    </w:p>
    <w:p>
      <w:pPr>
        <w:ind w:left="1240" w:hanging="334"/>
        <w:spacing w:after="0"/>
        <w:tabs>
          <w:tab w:leader="none" w:pos="1240" w:val="left"/>
        </w:tabs>
        <w:numPr>
          <w:ilvl w:val="0"/>
          <w:numId w:val="264"/>
        </w:numPr>
        <w:rPr>
          <w:rFonts w:ascii="Arial" w:cs="Arial" w:eastAsia="Arial" w:hAnsi="Arial"/>
          <w:sz w:val="13"/>
          <w:szCs w:val="13"/>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Officer</w:t>
      </w:r>
      <w:r>
        <w:rPr>
          <w:rFonts w:ascii="Arial" w:cs="Arial" w:eastAsia="Arial" w:hAnsi="Arial"/>
          <w:sz w:val="13"/>
          <w:szCs w:val="13"/>
          <w:color w:val="auto"/>
        </w:rPr>
        <w:t>” means a person who is an officer of the Company within the meaning of Section 16 of the Exchange Act and the rules and regulations promulgated thereunder.</w:t>
      </w:r>
    </w:p>
    <w:p>
      <w:pPr>
        <w:spacing w:after="0" w:line="211" w:lineRule="exact"/>
        <w:rPr>
          <w:rFonts w:ascii="Arial" w:cs="Arial" w:eastAsia="Arial" w:hAnsi="Arial"/>
          <w:sz w:val="13"/>
          <w:szCs w:val="13"/>
          <w:color w:val="auto"/>
        </w:rPr>
      </w:pPr>
    </w:p>
    <w:p>
      <w:pPr>
        <w:ind w:left="1260" w:hanging="354"/>
        <w:spacing w:after="0"/>
        <w:tabs>
          <w:tab w:leader="none" w:pos="1260" w:val="left"/>
        </w:tabs>
        <w:numPr>
          <w:ilvl w:val="0"/>
          <w:numId w:val="264"/>
        </w:numPr>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Option</w:t>
      </w:r>
      <w:r>
        <w:rPr>
          <w:rFonts w:ascii="Arial" w:cs="Arial" w:eastAsia="Arial" w:hAnsi="Arial"/>
          <w:sz w:val="15"/>
          <w:szCs w:val="15"/>
          <w:color w:val="auto"/>
        </w:rPr>
        <w:t>” means a stock option granted pursuant to the Plan.</w:t>
      </w:r>
    </w:p>
    <w:p>
      <w:pPr>
        <w:spacing w:after="0" w:line="188" w:lineRule="exact"/>
        <w:rPr>
          <w:rFonts w:ascii="Arial" w:cs="Arial" w:eastAsia="Arial" w:hAnsi="Arial"/>
          <w:sz w:val="15"/>
          <w:szCs w:val="15"/>
          <w:color w:val="auto"/>
        </w:rPr>
      </w:pPr>
    </w:p>
    <w:p>
      <w:pPr>
        <w:ind w:left="1240" w:hanging="334"/>
        <w:spacing w:after="0"/>
        <w:tabs>
          <w:tab w:leader="none" w:pos="1240" w:val="left"/>
        </w:tabs>
        <w:numPr>
          <w:ilvl w:val="0"/>
          <w:numId w:val="264"/>
        </w:numPr>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Outside Director</w:t>
      </w:r>
      <w:r>
        <w:rPr>
          <w:rFonts w:ascii="Arial" w:cs="Arial" w:eastAsia="Arial" w:hAnsi="Arial"/>
          <w:sz w:val="15"/>
          <w:szCs w:val="15"/>
          <w:color w:val="auto"/>
        </w:rPr>
        <w:t>” means a Director who is not an Employee.</w:t>
      </w:r>
    </w:p>
    <w:p>
      <w:pPr>
        <w:spacing w:after="0" w:line="188" w:lineRule="exact"/>
        <w:rPr>
          <w:rFonts w:ascii="Arial" w:cs="Arial" w:eastAsia="Arial" w:hAnsi="Arial"/>
          <w:sz w:val="15"/>
          <w:szCs w:val="15"/>
          <w:color w:val="auto"/>
        </w:rPr>
      </w:pPr>
    </w:p>
    <w:p>
      <w:pPr>
        <w:ind w:left="1240" w:hanging="334"/>
        <w:spacing w:after="0"/>
        <w:tabs>
          <w:tab w:leader="none" w:pos="1240" w:val="left"/>
        </w:tabs>
        <w:numPr>
          <w:ilvl w:val="0"/>
          <w:numId w:val="264"/>
        </w:numPr>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Parent</w:t>
      </w:r>
      <w:r>
        <w:rPr>
          <w:rFonts w:ascii="Arial" w:cs="Arial" w:eastAsia="Arial" w:hAnsi="Arial"/>
          <w:sz w:val="15"/>
          <w:szCs w:val="15"/>
          <w:color w:val="auto"/>
        </w:rPr>
        <w:t>” means a “parent corporation,” whether now or hereafter existing, as defined in Section 424(e) of the Code.</w:t>
      </w:r>
    </w:p>
    <w:p>
      <w:pPr>
        <w:spacing w:after="0" w:line="132"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-4-</w:t>
      </w:r>
    </w:p>
    <w:p>
      <w:pPr>
        <w:sectPr>
          <w:pgSz w:w="11900" w:h="16838" w:orient="portrait"/>
          <w:cols w:equalWidth="0" w:num="1">
            <w:col w:w="11400"/>
          </w:cols>
          <w:pgMar w:left="240" w:top="253" w:right="259" w:bottom="1440" w:gutter="0" w:footer="0" w:header="0"/>
        </w:sectPr>
      </w:pPr>
    </w:p>
    <w:bookmarkStart w:id="346" w:name="page347"/>
    <w:bookmarkEnd w:id="346"/>
    <w:p>
      <w:pPr>
        <w:ind w:left="880"/>
        <w:spacing w:after="0"/>
        <w:tabs>
          <w:tab w:leader="none" w:pos="1180" w:val="left"/>
        </w:tabs>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133350</wp:posOffset>
            </wp:positionH>
            <wp:positionV relativeFrom="page">
              <wp:posOffset>88900</wp:posOffset>
            </wp:positionV>
            <wp:extent cx="7308850" cy="34290"/>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525">
                      <a:extLst>
                        <a:ext uri="{28A0092B-C50C-407E-A947-70E740481C1C}"/>
                      </a:extLst>
                    </a:blip>
                    <a:srcRect/>
                    <a:stretch>
                      <a:fillRect/>
                    </a:stretch>
                  </pic:blipFill>
                  <pic:spPr bwMode="auto">
                    <a:xfrm>
                      <a:off x="0" y="0"/>
                      <a:ext cx="7308850" cy="34290"/>
                    </a:xfrm>
                    <a:prstGeom prst="rect">
                      <a:avLst/>
                    </a:prstGeom>
                    <a:noFill/>
                  </pic:spPr>
                </pic:pic>
              </a:graphicData>
            </a:graphic>
          </wp:anchor>
        </w:drawing>
        <w:t>(z)</w:t>
      </w:r>
      <w:r>
        <w:rPr>
          <w:sz w:val="20"/>
          <w:szCs w:val="20"/>
          <w:color w:val="auto"/>
        </w:rPr>
        <w:tab/>
      </w:r>
      <w:r>
        <w:rPr>
          <w:rFonts w:ascii="Arial" w:cs="Arial" w:eastAsia="Arial" w:hAnsi="Arial"/>
          <w:sz w:val="13"/>
          <w:szCs w:val="13"/>
          <w:color w:val="auto"/>
        </w:rPr>
        <w:t>“</w:t>
      </w:r>
      <w:r>
        <w:rPr>
          <w:rFonts w:ascii="Arial" w:cs="Arial" w:eastAsia="Arial" w:hAnsi="Arial"/>
          <w:sz w:val="13"/>
          <w:szCs w:val="13"/>
          <w:u w:val="single" w:color="auto"/>
          <w:color w:val="auto"/>
        </w:rPr>
        <w:t>Participant</w:t>
      </w:r>
      <w:r>
        <w:rPr>
          <w:rFonts w:ascii="Arial" w:cs="Arial" w:eastAsia="Arial" w:hAnsi="Arial"/>
          <w:sz w:val="13"/>
          <w:szCs w:val="13"/>
          <w:color w:val="auto"/>
        </w:rPr>
        <w:t>” means the holder of an outstanding Award.</w:t>
      </w:r>
    </w:p>
    <w:p>
      <w:pPr>
        <w:spacing w:after="0" w:line="188" w:lineRule="exact"/>
        <w:rPr>
          <w:sz w:val="20"/>
          <w:szCs w:val="20"/>
          <w:color w:val="auto"/>
        </w:rPr>
      </w:pPr>
    </w:p>
    <w:p>
      <w:pPr>
        <w:ind w:left="-20" w:firstLine="906"/>
        <w:spacing w:after="0" w:line="275" w:lineRule="auto"/>
        <w:tabs>
          <w:tab w:leader="none" w:pos="1280" w:val="left"/>
        </w:tabs>
        <w:numPr>
          <w:ilvl w:val="0"/>
          <w:numId w:val="265"/>
        </w:numPr>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Performance Share</w:t>
      </w:r>
      <w:r>
        <w:rPr>
          <w:rFonts w:ascii="Arial" w:cs="Arial" w:eastAsia="Arial" w:hAnsi="Arial"/>
          <w:sz w:val="15"/>
          <w:szCs w:val="15"/>
          <w:color w:val="auto"/>
        </w:rPr>
        <w:t>” means an Award denominated in Shares which may be earned in whole or in part upon attainment of performance goals or other vesting criteria as the Administrator may determine pursuant to Section 10.</w:t>
      </w:r>
    </w:p>
    <w:p>
      <w:pPr>
        <w:spacing w:after="0" w:line="146" w:lineRule="exact"/>
        <w:rPr>
          <w:rFonts w:ascii="Arial" w:cs="Arial" w:eastAsia="Arial" w:hAnsi="Arial"/>
          <w:sz w:val="15"/>
          <w:szCs w:val="15"/>
          <w:color w:val="auto"/>
        </w:rPr>
      </w:pPr>
    </w:p>
    <w:p>
      <w:pPr>
        <w:ind w:left="-20" w:right="80" w:firstLine="906"/>
        <w:spacing w:after="0" w:line="275" w:lineRule="auto"/>
        <w:tabs>
          <w:tab w:leader="none" w:pos="1296" w:val="left"/>
        </w:tabs>
        <w:numPr>
          <w:ilvl w:val="0"/>
          <w:numId w:val="265"/>
        </w:numPr>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Performance Unit</w:t>
      </w:r>
      <w:r>
        <w:rPr>
          <w:rFonts w:ascii="Arial" w:cs="Arial" w:eastAsia="Arial" w:hAnsi="Arial"/>
          <w:sz w:val="15"/>
          <w:szCs w:val="15"/>
          <w:color w:val="auto"/>
        </w:rPr>
        <w:t>” means an Award which may be earned in whole or in part upon attainment of performance goals or other vesting criteria as the Administrator may determine and which may be settled for cash, Shares or other securities or a combination of the foregoing pursuant to Section 10.</w:t>
      </w:r>
    </w:p>
    <w:p>
      <w:pPr>
        <w:spacing w:after="0" w:line="146" w:lineRule="exact"/>
        <w:rPr>
          <w:rFonts w:ascii="Arial" w:cs="Arial" w:eastAsia="Arial" w:hAnsi="Arial"/>
          <w:sz w:val="15"/>
          <w:szCs w:val="15"/>
          <w:color w:val="auto"/>
        </w:rPr>
      </w:pPr>
    </w:p>
    <w:p>
      <w:pPr>
        <w:ind w:left="-20" w:right="160" w:firstLine="906"/>
        <w:spacing w:after="0" w:line="263" w:lineRule="auto"/>
        <w:tabs>
          <w:tab w:leader="none" w:pos="1280" w:val="left"/>
        </w:tabs>
        <w:numPr>
          <w:ilvl w:val="0"/>
          <w:numId w:val="265"/>
        </w:numPr>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Period of Restriction</w:t>
      </w:r>
      <w:r>
        <w:rPr>
          <w:rFonts w:ascii="Arial" w:cs="Arial" w:eastAsia="Arial" w:hAnsi="Arial"/>
          <w:sz w:val="15"/>
          <w:szCs w:val="15"/>
          <w:color w:val="auto"/>
        </w:rPr>
        <w:t>” means the period during which the transfer of Shares of Restricted Stock are subject to restrictions and therefore, the Shares are subject to a substantial risk of forfeiture. Such restrictions may be based on the passage of time, the achievement of target levels of performance, or the occurrence of other events as determined by the Administrator.</w:t>
      </w:r>
    </w:p>
    <w:p>
      <w:pPr>
        <w:spacing w:after="0" w:line="154" w:lineRule="exact"/>
        <w:rPr>
          <w:rFonts w:ascii="Arial" w:cs="Arial" w:eastAsia="Arial" w:hAnsi="Arial"/>
          <w:sz w:val="15"/>
          <w:szCs w:val="15"/>
          <w:color w:val="auto"/>
        </w:rPr>
      </w:pPr>
    </w:p>
    <w:p>
      <w:pPr>
        <w:ind w:left="1280" w:hanging="394"/>
        <w:spacing w:after="0"/>
        <w:tabs>
          <w:tab w:leader="none" w:pos="1280" w:val="left"/>
        </w:tabs>
        <w:numPr>
          <w:ilvl w:val="0"/>
          <w:numId w:val="265"/>
        </w:numPr>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Plan</w:t>
      </w:r>
      <w:r>
        <w:rPr>
          <w:rFonts w:ascii="Arial" w:cs="Arial" w:eastAsia="Arial" w:hAnsi="Arial"/>
          <w:sz w:val="15"/>
          <w:szCs w:val="15"/>
          <w:color w:val="auto"/>
        </w:rPr>
        <w:t>” means this 2018 Class C Stock Incentive Plan.</w:t>
      </w:r>
    </w:p>
    <w:p>
      <w:pPr>
        <w:spacing w:after="0" w:line="188" w:lineRule="exact"/>
        <w:rPr>
          <w:rFonts w:ascii="Arial" w:cs="Arial" w:eastAsia="Arial" w:hAnsi="Arial"/>
          <w:sz w:val="15"/>
          <w:szCs w:val="15"/>
          <w:color w:val="auto"/>
        </w:rPr>
      </w:pPr>
    </w:p>
    <w:p>
      <w:pPr>
        <w:ind w:left="-20" w:right="400" w:firstLine="906"/>
        <w:spacing w:after="0" w:line="275" w:lineRule="auto"/>
        <w:tabs>
          <w:tab w:leader="none" w:pos="1280" w:val="left"/>
        </w:tabs>
        <w:numPr>
          <w:ilvl w:val="0"/>
          <w:numId w:val="265"/>
        </w:numPr>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Registration Date</w:t>
      </w:r>
      <w:r>
        <w:rPr>
          <w:rFonts w:ascii="Arial" w:cs="Arial" w:eastAsia="Arial" w:hAnsi="Arial"/>
          <w:sz w:val="15"/>
          <w:szCs w:val="15"/>
          <w:color w:val="auto"/>
        </w:rPr>
        <w:t>” means the effective date of the first registration statement that is filed by the Company and declared effective pursuant to Section 12(b) of the Exchange Act, with respect to any class of the Company’s securities.</w:t>
      </w:r>
    </w:p>
    <w:p>
      <w:pPr>
        <w:spacing w:after="0" w:line="146" w:lineRule="exact"/>
        <w:rPr>
          <w:rFonts w:ascii="Arial" w:cs="Arial" w:eastAsia="Arial" w:hAnsi="Arial"/>
          <w:sz w:val="15"/>
          <w:szCs w:val="15"/>
          <w:color w:val="auto"/>
        </w:rPr>
      </w:pPr>
    </w:p>
    <w:p>
      <w:pPr>
        <w:ind w:left="1240" w:hanging="354"/>
        <w:spacing w:after="0"/>
        <w:tabs>
          <w:tab w:leader="none" w:pos="1240" w:val="left"/>
        </w:tabs>
        <w:numPr>
          <w:ilvl w:val="0"/>
          <w:numId w:val="265"/>
        </w:numPr>
        <w:rPr>
          <w:rFonts w:ascii="Arial" w:cs="Arial" w:eastAsia="Arial" w:hAnsi="Arial"/>
          <w:sz w:val="14"/>
          <w:szCs w:val="14"/>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Restricted Stock</w:t>
      </w:r>
      <w:r>
        <w:rPr>
          <w:rFonts w:ascii="Arial" w:cs="Arial" w:eastAsia="Arial" w:hAnsi="Arial"/>
          <w:sz w:val="14"/>
          <w:szCs w:val="14"/>
          <w:color w:val="auto"/>
        </w:rPr>
        <w:t>” means Shares issued pursuant to a Restricted Stock award under Section 7 of the Plan, or issued pursuant to the early exercise of an Option.</w:t>
      </w:r>
    </w:p>
    <w:p>
      <w:pPr>
        <w:spacing w:after="0" w:line="199" w:lineRule="exact"/>
        <w:rPr>
          <w:rFonts w:ascii="Arial" w:cs="Arial" w:eastAsia="Arial" w:hAnsi="Arial"/>
          <w:sz w:val="14"/>
          <w:szCs w:val="14"/>
          <w:color w:val="auto"/>
        </w:rPr>
      </w:pPr>
    </w:p>
    <w:p>
      <w:pPr>
        <w:ind w:left="-20" w:right="20" w:firstLine="906"/>
        <w:spacing w:after="0" w:line="275" w:lineRule="auto"/>
        <w:tabs>
          <w:tab w:leader="none" w:pos="1296" w:val="left"/>
        </w:tabs>
        <w:numPr>
          <w:ilvl w:val="0"/>
          <w:numId w:val="265"/>
        </w:numPr>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Restricted Stock Unit</w:t>
      </w:r>
      <w:r>
        <w:rPr>
          <w:rFonts w:ascii="Arial" w:cs="Arial" w:eastAsia="Arial" w:hAnsi="Arial"/>
          <w:sz w:val="15"/>
          <w:szCs w:val="15"/>
          <w:color w:val="auto"/>
        </w:rPr>
        <w:t>” means a bookkeeping entry representing an amount equal to the Fair Market Value of one Share, granted pursuant to Section 8. Each Restricted Stock Unit represents an unfunded and unsecured obligation of the Company.</w:t>
      </w:r>
    </w:p>
    <w:p>
      <w:pPr>
        <w:spacing w:after="0" w:line="146" w:lineRule="exact"/>
        <w:rPr>
          <w:rFonts w:ascii="Arial" w:cs="Arial" w:eastAsia="Arial" w:hAnsi="Arial"/>
          <w:sz w:val="15"/>
          <w:szCs w:val="15"/>
          <w:color w:val="auto"/>
        </w:rPr>
      </w:pPr>
    </w:p>
    <w:p>
      <w:pPr>
        <w:ind w:left="1280" w:hanging="394"/>
        <w:spacing w:after="0"/>
        <w:tabs>
          <w:tab w:leader="none" w:pos="1280" w:val="left"/>
        </w:tabs>
        <w:numPr>
          <w:ilvl w:val="0"/>
          <w:numId w:val="265"/>
        </w:numPr>
        <w:rPr>
          <w:rFonts w:ascii="Arial" w:cs="Arial" w:eastAsia="Arial" w:hAnsi="Arial"/>
          <w:sz w:val="14"/>
          <w:szCs w:val="14"/>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Rule 16b-3</w:t>
      </w:r>
      <w:r>
        <w:rPr>
          <w:rFonts w:ascii="Arial" w:cs="Arial" w:eastAsia="Arial" w:hAnsi="Arial"/>
          <w:sz w:val="14"/>
          <w:szCs w:val="14"/>
          <w:color w:val="auto"/>
        </w:rPr>
        <w:t>” means Rule 16b-3 of the Exchange Act or any successor to Rule 16b-3, as in effect when discretion is being exercised with respect to the Plan.</w:t>
      </w:r>
    </w:p>
    <w:p>
      <w:pPr>
        <w:spacing w:after="0" w:line="199" w:lineRule="exact"/>
        <w:rPr>
          <w:rFonts w:ascii="Arial" w:cs="Arial" w:eastAsia="Arial" w:hAnsi="Arial"/>
          <w:sz w:val="14"/>
          <w:szCs w:val="14"/>
          <w:color w:val="auto"/>
        </w:rPr>
      </w:pPr>
    </w:p>
    <w:p>
      <w:pPr>
        <w:ind w:left="1220" w:hanging="334"/>
        <w:spacing w:after="0"/>
        <w:tabs>
          <w:tab w:leader="none" w:pos="1220" w:val="left"/>
        </w:tabs>
        <w:numPr>
          <w:ilvl w:val="0"/>
          <w:numId w:val="265"/>
        </w:numPr>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Section 16(b)</w:t>
      </w:r>
      <w:r>
        <w:rPr>
          <w:rFonts w:ascii="Arial" w:cs="Arial" w:eastAsia="Arial" w:hAnsi="Arial"/>
          <w:sz w:val="15"/>
          <w:szCs w:val="15"/>
          <w:color w:val="auto"/>
        </w:rPr>
        <w:t>” means Section 16(b) of the Exchange Act.</w:t>
      </w:r>
    </w:p>
    <w:p>
      <w:pPr>
        <w:spacing w:after="0" w:line="188" w:lineRule="exact"/>
        <w:rPr>
          <w:rFonts w:ascii="Arial" w:cs="Arial" w:eastAsia="Arial" w:hAnsi="Arial"/>
          <w:sz w:val="15"/>
          <w:szCs w:val="15"/>
          <w:color w:val="auto"/>
        </w:rPr>
      </w:pPr>
    </w:p>
    <w:p>
      <w:pPr>
        <w:ind w:left="-20" w:right="40" w:firstLine="906"/>
        <w:spacing w:after="0" w:line="275" w:lineRule="auto"/>
        <w:tabs>
          <w:tab w:leader="none" w:pos="1230" w:val="left"/>
        </w:tabs>
        <w:numPr>
          <w:ilvl w:val="0"/>
          <w:numId w:val="265"/>
        </w:numPr>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Section 409A</w:t>
      </w:r>
      <w:r>
        <w:rPr>
          <w:rFonts w:ascii="Arial" w:cs="Arial" w:eastAsia="Arial" w:hAnsi="Arial"/>
          <w:sz w:val="15"/>
          <w:szCs w:val="15"/>
          <w:color w:val="auto"/>
        </w:rPr>
        <w:t>” means Code Section 409A, as it has been and may be amended from time to time, and any proposed or final Treasury Regulations and Internal Revenue Service guidance that has been promulgated or may be promulgated thereunder from time to time.</w:t>
      </w:r>
    </w:p>
    <w:p>
      <w:pPr>
        <w:spacing w:after="0" w:line="146" w:lineRule="exact"/>
        <w:rPr>
          <w:rFonts w:ascii="Arial" w:cs="Arial" w:eastAsia="Arial" w:hAnsi="Arial"/>
          <w:sz w:val="15"/>
          <w:szCs w:val="15"/>
          <w:color w:val="auto"/>
        </w:rPr>
      </w:pPr>
    </w:p>
    <w:p>
      <w:pPr>
        <w:ind w:left="1280" w:hanging="394"/>
        <w:spacing w:after="0"/>
        <w:tabs>
          <w:tab w:leader="none" w:pos="1280" w:val="left"/>
        </w:tabs>
        <w:numPr>
          <w:ilvl w:val="0"/>
          <w:numId w:val="265"/>
        </w:numPr>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Securities Act</w:t>
      </w:r>
      <w:r>
        <w:rPr>
          <w:rFonts w:ascii="Arial" w:cs="Arial" w:eastAsia="Arial" w:hAnsi="Arial"/>
          <w:sz w:val="15"/>
          <w:szCs w:val="15"/>
          <w:color w:val="auto"/>
        </w:rPr>
        <w:t>” means the Securities Act of 1933, as amended.</w:t>
      </w:r>
    </w:p>
    <w:p>
      <w:pPr>
        <w:spacing w:after="0" w:line="188" w:lineRule="exact"/>
        <w:rPr>
          <w:rFonts w:ascii="Arial" w:cs="Arial" w:eastAsia="Arial" w:hAnsi="Arial"/>
          <w:sz w:val="15"/>
          <w:szCs w:val="15"/>
          <w:color w:val="auto"/>
        </w:rPr>
      </w:pPr>
    </w:p>
    <w:p>
      <w:pPr>
        <w:ind w:left="1220" w:hanging="334"/>
        <w:spacing w:after="0"/>
        <w:tabs>
          <w:tab w:leader="none" w:pos="1220" w:val="left"/>
        </w:tabs>
        <w:numPr>
          <w:ilvl w:val="0"/>
          <w:numId w:val="265"/>
        </w:numPr>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Service Provider</w:t>
      </w:r>
      <w:r>
        <w:rPr>
          <w:rFonts w:ascii="Arial" w:cs="Arial" w:eastAsia="Arial" w:hAnsi="Arial"/>
          <w:sz w:val="15"/>
          <w:szCs w:val="15"/>
          <w:color w:val="auto"/>
        </w:rPr>
        <w:t>” means an Employee, Director or Consultant.</w:t>
      </w:r>
    </w:p>
    <w:p>
      <w:pPr>
        <w:spacing w:after="0" w:line="188" w:lineRule="exact"/>
        <w:rPr>
          <w:rFonts w:ascii="Arial" w:cs="Arial" w:eastAsia="Arial" w:hAnsi="Arial"/>
          <w:sz w:val="15"/>
          <w:szCs w:val="15"/>
          <w:color w:val="auto"/>
        </w:rPr>
      </w:pPr>
    </w:p>
    <w:p>
      <w:pPr>
        <w:ind w:left="1380" w:hanging="494"/>
        <w:spacing w:after="0"/>
        <w:tabs>
          <w:tab w:leader="none" w:pos="1380" w:val="left"/>
        </w:tabs>
        <w:numPr>
          <w:ilvl w:val="0"/>
          <w:numId w:val="265"/>
        </w:numPr>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Share</w:t>
      </w:r>
      <w:r>
        <w:rPr>
          <w:rFonts w:ascii="Arial" w:cs="Arial" w:eastAsia="Arial" w:hAnsi="Arial"/>
          <w:sz w:val="15"/>
          <w:szCs w:val="15"/>
          <w:color w:val="auto"/>
        </w:rPr>
        <w:t>” means a share of the Common Stock, as adjusted in accordance with Section 14 of the Plan.</w:t>
      </w:r>
    </w:p>
    <w:p>
      <w:pPr>
        <w:spacing w:after="0" w:line="188" w:lineRule="exact"/>
        <w:rPr>
          <w:rFonts w:ascii="Arial" w:cs="Arial" w:eastAsia="Arial" w:hAnsi="Arial"/>
          <w:sz w:val="15"/>
          <w:szCs w:val="15"/>
          <w:color w:val="auto"/>
        </w:rPr>
      </w:pPr>
    </w:p>
    <w:p>
      <w:pPr>
        <w:ind w:left="1280" w:hanging="394"/>
        <w:spacing w:after="0"/>
        <w:tabs>
          <w:tab w:leader="none" w:pos="1280" w:val="left"/>
        </w:tabs>
        <w:numPr>
          <w:ilvl w:val="0"/>
          <w:numId w:val="265"/>
        </w:numPr>
        <w:rPr>
          <w:rFonts w:ascii="Arial" w:cs="Arial" w:eastAsia="Arial" w:hAnsi="Arial"/>
          <w:sz w:val="14"/>
          <w:szCs w:val="14"/>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Stock Appreciation Right</w:t>
      </w:r>
      <w:r>
        <w:rPr>
          <w:rFonts w:ascii="Arial" w:cs="Arial" w:eastAsia="Arial" w:hAnsi="Arial"/>
          <w:sz w:val="14"/>
          <w:szCs w:val="14"/>
          <w:color w:val="auto"/>
        </w:rPr>
        <w:t>” means an Award, granted alone or in connection with an Option, that pursuant to Section 9 is designated as a Stock Appreciation Right.</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-5-</w:t>
      </w:r>
    </w:p>
    <w:p>
      <w:pPr>
        <w:sectPr>
          <w:pgSz w:w="11900" w:h="16838" w:orient="portrait"/>
          <w:cols w:equalWidth="0" w:num="1">
            <w:col w:w="11400"/>
          </w:cols>
          <w:pgMar w:left="260" w:top="253" w:right="239" w:bottom="1440" w:gutter="0" w:footer="0" w:header="0"/>
        </w:sectPr>
      </w:pPr>
    </w:p>
    <w:bookmarkStart w:id="347" w:name="page348"/>
    <w:bookmarkEnd w:id="347"/>
    <w:p>
      <w:pPr>
        <w:ind w:left="1300" w:hanging="394"/>
        <w:spacing w:after="0"/>
        <w:tabs>
          <w:tab w:leader="none" w:pos="1300" w:val="left"/>
        </w:tabs>
        <w:numPr>
          <w:ilvl w:val="1"/>
          <w:numId w:val="266"/>
        </w:numPr>
        <w:rPr>
          <w:rFonts w:ascii="Arial" w:cs="Arial" w:eastAsia="Arial" w:hAnsi="Arial"/>
          <w:sz w:val="15"/>
          <w:szCs w:val="15"/>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133350</wp:posOffset>
            </wp:positionH>
            <wp:positionV relativeFrom="page">
              <wp:posOffset>88900</wp:posOffset>
            </wp:positionV>
            <wp:extent cx="7308850" cy="34290"/>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526">
                      <a:extLst>
                        <a:ext uri="{28A0092B-C50C-407E-A947-70E740481C1C}"/>
                      </a:extLst>
                    </a:blip>
                    <a:srcRect/>
                    <a:stretch>
                      <a:fillRect/>
                    </a:stretch>
                  </pic:blipFill>
                  <pic:spPr bwMode="auto">
                    <a:xfrm>
                      <a:off x="0" y="0"/>
                      <a:ext cx="7308850" cy="34290"/>
                    </a:xfrm>
                    <a:prstGeom prst="rect">
                      <a:avLst/>
                    </a:prstGeom>
                    <a:noFill/>
                  </pic:spPr>
                </pic:pic>
              </a:graphicData>
            </a:graphic>
          </wp:anchor>
        </w:drawing>
        <w:t>“</w:t>
      </w:r>
      <w:r>
        <w:rPr>
          <w:rFonts w:ascii="Arial" w:cs="Arial" w:eastAsia="Arial" w:hAnsi="Arial"/>
          <w:sz w:val="15"/>
          <w:szCs w:val="15"/>
          <w:u w:val="single" w:color="auto"/>
          <w:color w:val="auto"/>
        </w:rPr>
        <w:t>Subsidiary</w:t>
      </w:r>
      <w:r>
        <w:rPr>
          <w:rFonts w:ascii="Arial" w:cs="Arial" w:eastAsia="Arial" w:hAnsi="Arial"/>
          <w:sz w:val="15"/>
          <w:szCs w:val="15"/>
          <w:color w:val="auto"/>
        </w:rPr>
        <w:t>” means a “subsidiary corporation,” whether now or hereafter existing, as defined in Section 424(f) of the Code.</w:t>
      </w:r>
    </w:p>
    <w:p>
      <w:pPr>
        <w:spacing w:after="0" w:line="278" w:lineRule="exact"/>
        <w:rPr>
          <w:rFonts w:ascii="Arial" w:cs="Arial" w:eastAsia="Arial" w:hAnsi="Arial"/>
          <w:sz w:val="15"/>
          <w:szCs w:val="15"/>
          <w:color w:val="auto"/>
        </w:rPr>
      </w:pPr>
    </w:p>
    <w:p>
      <w:pPr>
        <w:ind w:left="720" w:hanging="272"/>
        <w:spacing w:after="0"/>
        <w:tabs>
          <w:tab w:leader="none" w:pos="720" w:val="left"/>
        </w:tabs>
        <w:numPr>
          <w:ilvl w:val="0"/>
          <w:numId w:val="267"/>
        </w:numPr>
        <w:rPr>
          <w:rFonts w:ascii="Arial" w:cs="Arial" w:eastAsia="Arial" w:hAnsi="Arial"/>
          <w:sz w:val="15"/>
          <w:szCs w:val="15"/>
          <w:color w:val="auto"/>
        </w:rPr>
      </w:pPr>
      <w:r>
        <w:rPr>
          <w:rFonts w:ascii="Arial" w:cs="Arial" w:eastAsia="Arial" w:hAnsi="Arial"/>
          <w:sz w:val="15"/>
          <w:szCs w:val="15"/>
          <w:u w:val="single" w:color="auto"/>
          <w:color w:val="auto"/>
        </w:rPr>
        <w:t>Stock Subject to the Plan</w:t>
      </w:r>
      <w:r>
        <w:rPr>
          <w:rFonts w:ascii="Arial" w:cs="Arial" w:eastAsia="Arial" w:hAnsi="Arial"/>
          <w:sz w:val="15"/>
          <w:szCs w:val="15"/>
          <w:color w:val="auto"/>
        </w:rPr>
        <w:t>.</w:t>
      </w:r>
    </w:p>
    <w:p>
      <w:pPr>
        <w:spacing w:after="0" w:line="98" w:lineRule="exact"/>
        <w:rPr>
          <w:rFonts w:ascii="Arial" w:cs="Arial" w:eastAsia="Arial" w:hAnsi="Arial"/>
          <w:sz w:val="15"/>
          <w:szCs w:val="15"/>
          <w:color w:val="auto"/>
        </w:rPr>
      </w:pPr>
    </w:p>
    <w:p>
      <w:pPr>
        <w:ind w:right="280" w:firstLine="906"/>
        <w:spacing w:after="0" w:line="312" w:lineRule="auto"/>
        <w:tabs>
          <w:tab w:leader="none" w:pos="1233" w:val="left"/>
        </w:tabs>
        <w:numPr>
          <w:ilvl w:val="1"/>
          <w:numId w:val="267"/>
        </w:numPr>
        <w:rPr>
          <w:rFonts w:ascii="Arial" w:cs="Arial" w:eastAsia="Arial" w:hAnsi="Arial"/>
          <w:sz w:val="14"/>
          <w:szCs w:val="14"/>
          <w:color w:val="auto"/>
        </w:rPr>
      </w:pPr>
      <w:r>
        <w:rPr>
          <w:rFonts w:ascii="Arial" w:cs="Arial" w:eastAsia="Arial" w:hAnsi="Arial"/>
          <w:sz w:val="14"/>
          <w:szCs w:val="14"/>
          <w:u w:val="single" w:color="auto"/>
          <w:color w:val="auto"/>
        </w:rPr>
        <w:t>Stock Subject to the Plan</w:t>
      </w:r>
      <w:r>
        <w:rPr>
          <w:rFonts w:ascii="Arial" w:cs="Arial" w:eastAsia="Arial" w:hAnsi="Arial"/>
          <w:sz w:val="14"/>
          <w:szCs w:val="14"/>
          <w:color w:val="auto"/>
        </w:rPr>
        <w:t>. Subject to the provisions of Section 14 of the Plan and the automatic increase set forth in Section 3(b) of the Plan, the maximum aggregate number of Shares that may be issued under the Plan is 41,368,326 Shares. The Shares may be authorized, but unissued, or reacquired Common Stock.</w:t>
      </w:r>
    </w:p>
    <w:p>
      <w:pPr>
        <w:spacing w:after="0" w:line="122" w:lineRule="exact"/>
        <w:rPr>
          <w:rFonts w:ascii="Arial" w:cs="Arial" w:eastAsia="Arial" w:hAnsi="Arial"/>
          <w:sz w:val="14"/>
          <w:szCs w:val="14"/>
          <w:color w:val="auto"/>
        </w:rPr>
      </w:pPr>
    </w:p>
    <w:p>
      <w:pPr>
        <w:ind w:right="40" w:firstLine="906"/>
        <w:spacing w:after="0" w:line="259" w:lineRule="auto"/>
        <w:tabs>
          <w:tab w:leader="none" w:pos="1241" w:val="left"/>
        </w:tabs>
        <w:numPr>
          <w:ilvl w:val="1"/>
          <w:numId w:val="267"/>
        </w:numPr>
        <w:rPr>
          <w:rFonts w:ascii="Arial" w:cs="Arial" w:eastAsia="Arial" w:hAnsi="Arial"/>
          <w:sz w:val="15"/>
          <w:szCs w:val="15"/>
          <w:color w:val="auto"/>
        </w:rPr>
      </w:pPr>
      <w:r>
        <w:rPr>
          <w:rFonts w:ascii="Arial" w:cs="Arial" w:eastAsia="Arial" w:hAnsi="Arial"/>
          <w:sz w:val="15"/>
          <w:szCs w:val="15"/>
          <w:u w:val="single" w:color="auto"/>
          <w:color w:val="auto"/>
        </w:rPr>
        <w:t>Automatic Share Reserve Increase</w:t>
      </w:r>
      <w:r>
        <w:rPr>
          <w:rFonts w:ascii="Arial" w:cs="Arial" w:eastAsia="Arial" w:hAnsi="Arial"/>
          <w:sz w:val="15"/>
          <w:szCs w:val="15"/>
          <w:color w:val="auto"/>
        </w:rPr>
        <w:t>. If and when authorized by the Board, and subject to the provisions of Section 14 of the Plan, the number of Shares available for issuance under the Plan will be increased on the first day of each Fiscal Year following the year of such Board authorization, in an amount equal to the least of (i) 41,368,326 Shares, (ii) five percent (5%) of the outstanding shares of all classes of the Company’s common stock on the last day of the immediately preceding Fiscal Year or (iii) such number of Shares determined by the Board.</w:t>
      </w:r>
    </w:p>
    <w:p>
      <w:pPr>
        <w:spacing w:after="0" w:line="157" w:lineRule="exact"/>
        <w:rPr>
          <w:rFonts w:ascii="Arial" w:cs="Arial" w:eastAsia="Arial" w:hAnsi="Arial"/>
          <w:sz w:val="15"/>
          <w:szCs w:val="15"/>
          <w:color w:val="auto"/>
        </w:rPr>
      </w:pPr>
    </w:p>
    <w:p>
      <w:pPr>
        <w:ind w:firstLine="906"/>
        <w:spacing w:after="0" w:line="295" w:lineRule="auto"/>
        <w:tabs>
          <w:tab w:leader="none" w:pos="1233" w:val="left"/>
        </w:tabs>
        <w:numPr>
          <w:ilvl w:val="1"/>
          <w:numId w:val="267"/>
        </w:numPr>
        <w:rPr>
          <w:rFonts w:ascii="Arial" w:cs="Arial" w:eastAsia="Arial" w:hAnsi="Arial"/>
          <w:sz w:val="13"/>
          <w:szCs w:val="13"/>
          <w:color w:val="auto"/>
        </w:rPr>
      </w:pPr>
      <w:r>
        <w:rPr>
          <w:rFonts w:ascii="Arial" w:cs="Arial" w:eastAsia="Arial" w:hAnsi="Arial"/>
          <w:sz w:val="13"/>
          <w:szCs w:val="13"/>
          <w:u w:val="single" w:color="auto"/>
          <w:color w:val="auto"/>
        </w:rPr>
        <w:t>Lapsed Awards</w:t>
      </w:r>
      <w:r>
        <w:rPr>
          <w:rFonts w:ascii="Arial" w:cs="Arial" w:eastAsia="Arial" w:hAnsi="Arial"/>
          <w:sz w:val="13"/>
          <w:szCs w:val="13"/>
          <w:color w:val="auto"/>
        </w:rPr>
        <w:t>. If an Award expires or becomes unexercisable without having been exercised in full, is surrendered pursuant to an Exchange Program, or, with respect to Restricted Stock, Restricted Stock Units, Performance Units or Performance Shares, is forfeited to or repurchased by the Company due to failure to vest, the unpurchased Shares (or for Awards other than Options or Stock Appreciation Rights the forfeited or repurchased Shares), which were subject thereto will become available for future grant or sale under the Plan (unless the Plan has terminated). With respect to Stock Appreciation Rights, only Shares actually issued (i.e., the net Shares issued) pursuant to a Stock Appreciation Right will cease to be available under the Plan; all remaining Shares under Stock Appreciation Rights will remain available for future grant or sale under the Plan (unless the Plan has terminated). Shares that have actually been issued under the Plan under any Award will not be returned to the Plan and will not become available for future distribution under the Plan; provided, however, that if Shares issued pursuant to Awards of Restricted Stock, Restricted Stock Units, Performance Shares or Performance Units are repurchased by the Company or are forfeited to the Company, such Shares will become available for future grant under the Plan. Shares used to pay the exercise price of an Award or to satisfy the tax withholding obligations related to an Award will become available for future grant or sale under the Plan. To the extent an Award under the Plan is paid out in cash rather than Shares, such cash payment will not result in reducing the number of Shares available for issuance under the Plan. Notwithstanding the foregoing and, subject to adjustment as provided in Section 14, the maximum number of Shares that may be issued upon the exercise of Incentive Stock Options will equal the aggregate Share number stated in Section 3(a), plus, to the extent allowable under Section 422 of the Code and the Treasury Regulations promulgated thereunder, any Shares that become available for issuance under the Plan pursuant to Sections 3(b) and 3(c).</w:t>
      </w:r>
    </w:p>
    <w:p>
      <w:pPr>
        <w:spacing w:after="0" w:line="84"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-6-</w:t>
      </w:r>
    </w:p>
    <w:p>
      <w:pPr>
        <w:sectPr>
          <w:pgSz w:w="11900" w:h="16838" w:orient="portrait"/>
          <w:cols w:equalWidth="0" w:num="1">
            <w:col w:w="11420"/>
          </w:cols>
          <w:pgMar w:left="240" w:top="253" w:right="239" w:bottom="1440" w:gutter="0" w:footer="0" w:header="0"/>
        </w:sectPr>
      </w:pPr>
    </w:p>
    <w:bookmarkStart w:id="348" w:name="page349"/>
    <w:bookmarkEnd w:id="348"/>
    <w:p>
      <w:pPr>
        <w:ind w:right="620" w:firstLine="906"/>
        <w:spacing w:after="0" w:line="275" w:lineRule="auto"/>
        <w:tabs>
          <w:tab w:leader="none" w:pos="1241" w:val="left"/>
        </w:tabs>
        <w:numPr>
          <w:ilvl w:val="1"/>
          <w:numId w:val="268"/>
        </w:numPr>
        <w:rPr>
          <w:rFonts w:ascii="Arial" w:cs="Arial" w:eastAsia="Arial" w:hAnsi="Arial"/>
          <w:sz w:val="15"/>
          <w:szCs w:val="15"/>
          <w:color w:val="auto"/>
        </w:rPr>
      </w:pPr>
      <w:r>
        <w:rPr>
          <w:rFonts w:ascii="Arial" w:cs="Arial" w:eastAsia="Arial" w:hAnsi="Arial"/>
          <w:sz w:val="15"/>
          <w:szCs w:val="15"/>
          <w:u w:val="single" w:color="auto"/>
          <w:color w:val="auto"/>
        </w:rPr>
        <w:drawing>
          <wp:anchor simplePos="0" relativeHeight="251657728" behindDoc="1" locked="0" layoutInCell="0" allowOverlap="1">
            <wp:simplePos x="0" y="0"/>
            <wp:positionH relativeFrom="page">
              <wp:posOffset>133350</wp:posOffset>
            </wp:positionH>
            <wp:positionV relativeFrom="page">
              <wp:posOffset>88900</wp:posOffset>
            </wp:positionV>
            <wp:extent cx="7308850" cy="34290"/>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527">
                      <a:extLst>
                        <a:ext uri="{28A0092B-C50C-407E-A947-70E740481C1C}"/>
                      </a:extLst>
                    </a:blip>
                    <a:srcRect/>
                    <a:stretch>
                      <a:fillRect/>
                    </a:stretch>
                  </pic:blipFill>
                  <pic:spPr bwMode="auto">
                    <a:xfrm>
                      <a:off x="0" y="0"/>
                      <a:ext cx="7308850" cy="34290"/>
                    </a:xfrm>
                    <a:prstGeom prst="rect">
                      <a:avLst/>
                    </a:prstGeom>
                    <a:noFill/>
                  </pic:spPr>
                </pic:pic>
              </a:graphicData>
            </a:graphic>
          </wp:anchor>
        </w:drawing>
        <w:t>Share Reserve</w:t>
      </w:r>
      <w:r>
        <w:rPr>
          <w:rFonts w:ascii="Arial" w:cs="Arial" w:eastAsia="Arial" w:hAnsi="Arial"/>
          <w:sz w:val="15"/>
          <w:szCs w:val="15"/>
          <w:color w:val="auto"/>
        </w:rPr>
        <w:t>. The Company, during the term of this Plan, will at all times reserve and keep available such number of Shares as will be sufficient to satisfy the requirements of the Plan.</w:t>
      </w:r>
    </w:p>
    <w:p>
      <w:pPr>
        <w:spacing w:after="0" w:line="236" w:lineRule="exact"/>
        <w:rPr>
          <w:rFonts w:ascii="Arial" w:cs="Arial" w:eastAsia="Arial" w:hAnsi="Arial"/>
          <w:sz w:val="15"/>
          <w:szCs w:val="15"/>
          <w:color w:val="auto"/>
        </w:rPr>
      </w:pPr>
    </w:p>
    <w:p>
      <w:pPr>
        <w:ind w:left="720" w:hanging="272"/>
        <w:spacing w:after="0"/>
        <w:tabs>
          <w:tab w:leader="none" w:pos="720" w:val="left"/>
        </w:tabs>
        <w:numPr>
          <w:ilvl w:val="0"/>
          <w:numId w:val="269"/>
        </w:numPr>
        <w:rPr>
          <w:rFonts w:ascii="Arial" w:cs="Arial" w:eastAsia="Arial" w:hAnsi="Arial"/>
          <w:sz w:val="15"/>
          <w:szCs w:val="15"/>
          <w:color w:val="auto"/>
        </w:rPr>
      </w:pPr>
      <w:r>
        <w:rPr>
          <w:rFonts w:ascii="Arial" w:cs="Arial" w:eastAsia="Arial" w:hAnsi="Arial"/>
          <w:sz w:val="15"/>
          <w:szCs w:val="15"/>
          <w:u w:val="single" w:color="auto"/>
          <w:color w:val="auto"/>
        </w:rPr>
        <w:t>Administration of the Plan</w:t>
      </w:r>
      <w:r>
        <w:rPr>
          <w:rFonts w:ascii="Arial" w:cs="Arial" w:eastAsia="Arial" w:hAnsi="Arial"/>
          <w:sz w:val="15"/>
          <w:szCs w:val="15"/>
          <w:color w:val="auto"/>
        </w:rPr>
        <w:t>.</w:t>
      </w:r>
    </w:p>
    <w:p>
      <w:pPr>
        <w:spacing w:after="0" w:line="98" w:lineRule="exact"/>
        <w:rPr>
          <w:rFonts w:ascii="Arial" w:cs="Arial" w:eastAsia="Arial" w:hAnsi="Arial"/>
          <w:sz w:val="15"/>
          <w:szCs w:val="15"/>
          <w:color w:val="auto"/>
        </w:rPr>
      </w:pPr>
    </w:p>
    <w:p>
      <w:pPr>
        <w:ind w:left="1220" w:hanging="314"/>
        <w:spacing w:after="0"/>
        <w:tabs>
          <w:tab w:leader="none" w:pos="1220" w:val="left"/>
        </w:tabs>
        <w:numPr>
          <w:ilvl w:val="1"/>
          <w:numId w:val="269"/>
        </w:numPr>
        <w:rPr>
          <w:rFonts w:ascii="Arial" w:cs="Arial" w:eastAsia="Arial" w:hAnsi="Arial"/>
          <w:sz w:val="15"/>
          <w:szCs w:val="15"/>
          <w:color w:val="auto"/>
        </w:rPr>
      </w:pPr>
      <w:r>
        <w:rPr>
          <w:rFonts w:ascii="Arial" w:cs="Arial" w:eastAsia="Arial" w:hAnsi="Arial"/>
          <w:sz w:val="15"/>
          <w:szCs w:val="15"/>
          <w:u w:val="single" w:color="auto"/>
          <w:color w:val="auto"/>
        </w:rPr>
        <w:t>Procedure</w:t>
      </w:r>
      <w:r>
        <w:rPr>
          <w:rFonts w:ascii="Arial" w:cs="Arial" w:eastAsia="Arial" w:hAnsi="Arial"/>
          <w:sz w:val="15"/>
          <w:szCs w:val="15"/>
          <w:color w:val="auto"/>
        </w:rPr>
        <w:t>.</w:t>
      </w:r>
    </w:p>
    <w:p>
      <w:pPr>
        <w:spacing w:after="0" w:line="98" w:lineRule="exact"/>
        <w:rPr>
          <w:rFonts w:ascii="Arial" w:cs="Arial" w:eastAsia="Arial" w:hAnsi="Arial"/>
          <w:sz w:val="15"/>
          <w:szCs w:val="15"/>
          <w:color w:val="auto"/>
        </w:rPr>
      </w:pPr>
    </w:p>
    <w:p>
      <w:pPr>
        <w:ind w:left="1780" w:hanging="302"/>
        <w:spacing w:after="0"/>
        <w:tabs>
          <w:tab w:leader="none" w:pos="1780" w:val="left"/>
        </w:tabs>
        <w:numPr>
          <w:ilvl w:val="2"/>
          <w:numId w:val="269"/>
        </w:numPr>
        <w:rPr>
          <w:rFonts w:ascii="Arial" w:cs="Arial" w:eastAsia="Arial" w:hAnsi="Arial"/>
          <w:sz w:val="15"/>
          <w:szCs w:val="15"/>
          <w:color w:val="auto"/>
        </w:rPr>
      </w:pPr>
      <w:r>
        <w:rPr>
          <w:rFonts w:ascii="Arial" w:cs="Arial" w:eastAsia="Arial" w:hAnsi="Arial"/>
          <w:sz w:val="15"/>
          <w:szCs w:val="15"/>
          <w:u w:val="single" w:color="auto"/>
          <w:color w:val="auto"/>
        </w:rPr>
        <w:t>Multiple Administrative Bodies</w:t>
      </w:r>
      <w:r>
        <w:rPr>
          <w:rFonts w:ascii="Arial" w:cs="Arial" w:eastAsia="Arial" w:hAnsi="Arial"/>
          <w:sz w:val="15"/>
          <w:szCs w:val="15"/>
          <w:color w:val="auto"/>
        </w:rPr>
        <w:t>. Different Committees with respect to different groups of Service Providers may administer the Plan.</w:t>
      </w:r>
    </w:p>
    <w:p>
      <w:pPr>
        <w:spacing w:after="0" w:line="188" w:lineRule="exact"/>
        <w:rPr>
          <w:rFonts w:ascii="Arial" w:cs="Arial" w:eastAsia="Arial" w:hAnsi="Arial"/>
          <w:sz w:val="15"/>
          <w:szCs w:val="15"/>
          <w:color w:val="auto"/>
        </w:rPr>
      </w:pPr>
    </w:p>
    <w:p>
      <w:pPr>
        <w:ind w:firstLine="1478"/>
        <w:spacing w:after="0" w:line="275" w:lineRule="auto"/>
        <w:tabs>
          <w:tab w:leader="none" w:pos="1822" w:val="left"/>
        </w:tabs>
        <w:numPr>
          <w:ilvl w:val="2"/>
          <w:numId w:val="269"/>
        </w:numPr>
        <w:rPr>
          <w:rFonts w:ascii="Arial" w:cs="Arial" w:eastAsia="Arial" w:hAnsi="Arial"/>
          <w:sz w:val="15"/>
          <w:szCs w:val="15"/>
          <w:color w:val="auto"/>
        </w:rPr>
      </w:pPr>
      <w:r>
        <w:rPr>
          <w:rFonts w:ascii="Arial" w:cs="Arial" w:eastAsia="Arial" w:hAnsi="Arial"/>
          <w:sz w:val="15"/>
          <w:szCs w:val="15"/>
          <w:u w:val="single" w:color="auto"/>
          <w:color w:val="auto"/>
        </w:rPr>
        <w:t>Rule 16b-3</w:t>
      </w:r>
      <w:r>
        <w:rPr>
          <w:rFonts w:ascii="Arial" w:cs="Arial" w:eastAsia="Arial" w:hAnsi="Arial"/>
          <w:sz w:val="15"/>
          <w:szCs w:val="15"/>
          <w:color w:val="auto"/>
        </w:rPr>
        <w:t>. To the extent desirable to qualify transactions hereunder as exempt under Rule 16b-3, the transactions contemplated hereunder will be structured to satisfy the requirements for exemption under Rule 16b-3.</w:t>
      </w:r>
    </w:p>
    <w:p>
      <w:pPr>
        <w:spacing w:after="0" w:line="146" w:lineRule="exact"/>
        <w:rPr>
          <w:rFonts w:ascii="Arial" w:cs="Arial" w:eastAsia="Arial" w:hAnsi="Arial"/>
          <w:sz w:val="15"/>
          <w:szCs w:val="15"/>
          <w:color w:val="auto"/>
        </w:rPr>
      </w:pPr>
    </w:p>
    <w:p>
      <w:pPr>
        <w:ind w:left="1860" w:hanging="382"/>
        <w:spacing w:after="0"/>
        <w:tabs>
          <w:tab w:leader="none" w:pos="1860" w:val="left"/>
        </w:tabs>
        <w:numPr>
          <w:ilvl w:val="2"/>
          <w:numId w:val="269"/>
        </w:numPr>
        <w:rPr>
          <w:rFonts w:ascii="Arial" w:cs="Arial" w:eastAsia="Arial" w:hAnsi="Arial"/>
          <w:sz w:val="13"/>
          <w:szCs w:val="13"/>
          <w:color w:val="auto"/>
        </w:rPr>
      </w:pPr>
      <w:r>
        <w:rPr>
          <w:rFonts w:ascii="Arial" w:cs="Arial" w:eastAsia="Arial" w:hAnsi="Arial"/>
          <w:sz w:val="13"/>
          <w:szCs w:val="13"/>
          <w:u w:val="single" w:color="auto"/>
          <w:color w:val="auto"/>
        </w:rPr>
        <w:t>Other Administration</w:t>
      </w:r>
      <w:r>
        <w:rPr>
          <w:rFonts w:ascii="Arial" w:cs="Arial" w:eastAsia="Arial" w:hAnsi="Arial"/>
          <w:sz w:val="13"/>
          <w:szCs w:val="13"/>
          <w:color w:val="auto"/>
        </w:rPr>
        <w:t>. Other than as provided above, the Plan will be administered by (A) the Board or (B) a Committee, which committee will be constituted</w:t>
      </w:r>
    </w:p>
    <w:p>
      <w:pPr>
        <w:spacing w:after="0" w:line="40"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5"/>
          <w:szCs w:val="15"/>
          <w:color w:val="auto"/>
        </w:rPr>
        <w:t>to satisfy Applicable Laws.</w:t>
      </w:r>
    </w:p>
    <w:p>
      <w:pPr>
        <w:spacing w:after="0" w:line="178" w:lineRule="exact"/>
        <w:rPr>
          <w:rFonts w:ascii="Arial" w:cs="Arial" w:eastAsia="Arial" w:hAnsi="Arial"/>
          <w:sz w:val="13"/>
          <w:szCs w:val="13"/>
          <w:color w:val="auto"/>
        </w:rPr>
      </w:pPr>
    </w:p>
    <w:p>
      <w:pPr>
        <w:ind w:right="620" w:firstLine="906"/>
        <w:spacing w:after="0" w:line="275" w:lineRule="auto"/>
        <w:tabs>
          <w:tab w:leader="none" w:pos="1241" w:val="left"/>
        </w:tabs>
        <w:numPr>
          <w:ilvl w:val="1"/>
          <w:numId w:val="269"/>
        </w:numPr>
        <w:rPr>
          <w:rFonts w:ascii="Arial" w:cs="Arial" w:eastAsia="Arial" w:hAnsi="Arial"/>
          <w:sz w:val="15"/>
          <w:szCs w:val="15"/>
          <w:color w:val="auto"/>
        </w:rPr>
      </w:pPr>
      <w:r>
        <w:rPr>
          <w:rFonts w:ascii="Arial" w:cs="Arial" w:eastAsia="Arial" w:hAnsi="Arial"/>
          <w:sz w:val="15"/>
          <w:szCs w:val="15"/>
          <w:u w:val="single" w:color="auto"/>
          <w:color w:val="auto"/>
        </w:rPr>
        <w:t>Powers of the Administrator</w:t>
      </w:r>
      <w:r>
        <w:rPr>
          <w:rFonts w:ascii="Arial" w:cs="Arial" w:eastAsia="Arial" w:hAnsi="Arial"/>
          <w:sz w:val="15"/>
          <w:szCs w:val="15"/>
          <w:color w:val="auto"/>
        </w:rPr>
        <w:t>. Subject to the provisions of the Plan, and in the case of a Committee, subject to the specific duties delegated by the Board to such Committee, the Administrator will have the authority, in its discretion:</w:t>
      </w:r>
    </w:p>
    <w:p>
      <w:pPr>
        <w:spacing w:after="0" w:line="146" w:lineRule="exact"/>
        <w:rPr>
          <w:rFonts w:ascii="Arial" w:cs="Arial" w:eastAsia="Arial" w:hAnsi="Arial"/>
          <w:sz w:val="15"/>
          <w:szCs w:val="15"/>
          <w:color w:val="auto"/>
        </w:rPr>
      </w:pPr>
    </w:p>
    <w:p>
      <w:pPr>
        <w:ind w:left="1780" w:hanging="302"/>
        <w:spacing w:after="0"/>
        <w:tabs>
          <w:tab w:leader="none" w:pos="1780" w:val="left"/>
        </w:tabs>
        <w:numPr>
          <w:ilvl w:val="2"/>
          <w:numId w:val="269"/>
        </w:numPr>
        <w:rPr>
          <w:rFonts w:ascii="Arial" w:cs="Arial" w:eastAsia="Arial" w:hAnsi="Arial"/>
          <w:sz w:val="15"/>
          <w:szCs w:val="15"/>
          <w:color w:val="auto"/>
        </w:rPr>
      </w:pPr>
      <w:r>
        <w:rPr>
          <w:rFonts w:ascii="Arial" w:cs="Arial" w:eastAsia="Arial" w:hAnsi="Arial"/>
          <w:sz w:val="15"/>
          <w:szCs w:val="15"/>
          <w:color w:val="auto"/>
        </w:rPr>
        <w:t>to determine the Fair Market Value;</w:t>
      </w:r>
    </w:p>
    <w:p>
      <w:pPr>
        <w:spacing w:after="0" w:line="188" w:lineRule="exact"/>
        <w:rPr>
          <w:rFonts w:ascii="Arial" w:cs="Arial" w:eastAsia="Arial" w:hAnsi="Arial"/>
          <w:sz w:val="15"/>
          <w:szCs w:val="15"/>
          <w:color w:val="auto"/>
        </w:rPr>
      </w:pPr>
    </w:p>
    <w:p>
      <w:pPr>
        <w:ind w:left="1820" w:hanging="342"/>
        <w:spacing w:after="0"/>
        <w:tabs>
          <w:tab w:leader="none" w:pos="1820" w:val="left"/>
        </w:tabs>
        <w:numPr>
          <w:ilvl w:val="2"/>
          <w:numId w:val="269"/>
        </w:numPr>
        <w:rPr>
          <w:rFonts w:ascii="Arial" w:cs="Arial" w:eastAsia="Arial" w:hAnsi="Arial"/>
          <w:sz w:val="15"/>
          <w:szCs w:val="15"/>
          <w:color w:val="auto"/>
        </w:rPr>
      </w:pPr>
      <w:r>
        <w:rPr>
          <w:rFonts w:ascii="Arial" w:cs="Arial" w:eastAsia="Arial" w:hAnsi="Arial"/>
          <w:sz w:val="15"/>
          <w:szCs w:val="15"/>
          <w:color w:val="auto"/>
        </w:rPr>
        <w:t>to select the Service Providers to whom Awards may be granted hereunder;</w:t>
      </w:r>
    </w:p>
    <w:p>
      <w:pPr>
        <w:spacing w:after="0" w:line="188" w:lineRule="exact"/>
        <w:rPr>
          <w:rFonts w:ascii="Arial" w:cs="Arial" w:eastAsia="Arial" w:hAnsi="Arial"/>
          <w:sz w:val="15"/>
          <w:szCs w:val="15"/>
          <w:color w:val="auto"/>
        </w:rPr>
      </w:pPr>
    </w:p>
    <w:p>
      <w:pPr>
        <w:ind w:left="1860" w:hanging="382"/>
        <w:spacing w:after="0"/>
        <w:tabs>
          <w:tab w:leader="none" w:pos="1860" w:val="left"/>
        </w:tabs>
        <w:numPr>
          <w:ilvl w:val="2"/>
          <w:numId w:val="269"/>
        </w:numPr>
        <w:rPr>
          <w:rFonts w:ascii="Arial" w:cs="Arial" w:eastAsia="Arial" w:hAnsi="Arial"/>
          <w:sz w:val="15"/>
          <w:szCs w:val="15"/>
          <w:color w:val="auto"/>
        </w:rPr>
      </w:pPr>
      <w:r>
        <w:rPr>
          <w:rFonts w:ascii="Arial" w:cs="Arial" w:eastAsia="Arial" w:hAnsi="Arial"/>
          <w:sz w:val="15"/>
          <w:szCs w:val="15"/>
          <w:color w:val="auto"/>
        </w:rPr>
        <w:t>to determine the number of Shares to be covered by each Award granted hereunder;</w:t>
      </w:r>
    </w:p>
    <w:p>
      <w:pPr>
        <w:spacing w:after="0" w:line="188" w:lineRule="exact"/>
        <w:rPr>
          <w:rFonts w:ascii="Arial" w:cs="Arial" w:eastAsia="Arial" w:hAnsi="Arial"/>
          <w:sz w:val="15"/>
          <w:szCs w:val="15"/>
          <w:color w:val="auto"/>
        </w:rPr>
      </w:pPr>
    </w:p>
    <w:p>
      <w:pPr>
        <w:ind w:left="1840" w:hanging="362"/>
        <w:spacing w:after="0"/>
        <w:tabs>
          <w:tab w:leader="none" w:pos="1840" w:val="left"/>
        </w:tabs>
        <w:numPr>
          <w:ilvl w:val="2"/>
          <w:numId w:val="269"/>
        </w:numPr>
        <w:rPr>
          <w:rFonts w:ascii="Arial" w:cs="Arial" w:eastAsia="Arial" w:hAnsi="Arial"/>
          <w:sz w:val="15"/>
          <w:szCs w:val="15"/>
          <w:color w:val="auto"/>
        </w:rPr>
      </w:pPr>
      <w:r>
        <w:rPr>
          <w:rFonts w:ascii="Arial" w:cs="Arial" w:eastAsia="Arial" w:hAnsi="Arial"/>
          <w:sz w:val="15"/>
          <w:szCs w:val="15"/>
          <w:color w:val="auto"/>
        </w:rPr>
        <w:t>to approve forms of Award Agreements for use under the Plan;</w:t>
      </w:r>
    </w:p>
    <w:p>
      <w:pPr>
        <w:spacing w:after="0" w:line="188" w:lineRule="exact"/>
        <w:rPr>
          <w:rFonts w:ascii="Arial" w:cs="Arial" w:eastAsia="Arial" w:hAnsi="Arial"/>
          <w:sz w:val="15"/>
          <w:szCs w:val="15"/>
          <w:color w:val="auto"/>
        </w:rPr>
      </w:pPr>
    </w:p>
    <w:p>
      <w:pPr>
        <w:ind w:right="20" w:firstLine="1478"/>
        <w:spacing w:after="0" w:line="290" w:lineRule="auto"/>
        <w:tabs>
          <w:tab w:leader="none" w:pos="1814" w:val="left"/>
        </w:tabs>
        <w:numPr>
          <w:ilvl w:val="2"/>
          <w:numId w:val="269"/>
        </w:numPr>
        <w:rPr>
          <w:rFonts w:ascii="Arial" w:cs="Arial" w:eastAsia="Arial" w:hAnsi="Arial"/>
          <w:sz w:val="14"/>
          <w:szCs w:val="14"/>
          <w:color w:val="auto"/>
        </w:rPr>
      </w:pPr>
      <w:r>
        <w:rPr>
          <w:rFonts w:ascii="Arial" w:cs="Arial" w:eastAsia="Arial" w:hAnsi="Arial"/>
          <w:sz w:val="14"/>
          <w:szCs w:val="14"/>
          <w:color w:val="auto"/>
        </w:rPr>
        <w:t>to determine the terms and conditions, not inconsistent with the terms of the Plan, of any Award granted hereunder. Such terms and conditions include, but are not limited to, the exercise price, the time or times when Awards may be exercised (which may be based on performance criteria), any vesting acceleration or waiver of forfeiture restrictions, and any restriction or limitation regarding any Award or the Shares relating thereto, based in each case on such factors as the Administrator will determine;</w:t>
      </w:r>
    </w:p>
    <w:p>
      <w:pPr>
        <w:spacing w:after="0" w:line="138" w:lineRule="exact"/>
        <w:rPr>
          <w:rFonts w:ascii="Arial" w:cs="Arial" w:eastAsia="Arial" w:hAnsi="Arial"/>
          <w:sz w:val="14"/>
          <w:szCs w:val="14"/>
          <w:color w:val="auto"/>
        </w:rPr>
      </w:pPr>
    </w:p>
    <w:p>
      <w:pPr>
        <w:ind w:left="1840" w:hanging="362"/>
        <w:spacing w:after="0"/>
        <w:tabs>
          <w:tab w:leader="none" w:pos="1840" w:val="left"/>
        </w:tabs>
        <w:numPr>
          <w:ilvl w:val="2"/>
          <w:numId w:val="269"/>
        </w:numPr>
        <w:rPr>
          <w:rFonts w:ascii="Arial" w:cs="Arial" w:eastAsia="Arial" w:hAnsi="Arial"/>
          <w:sz w:val="15"/>
          <w:szCs w:val="15"/>
          <w:color w:val="auto"/>
        </w:rPr>
      </w:pPr>
      <w:r>
        <w:rPr>
          <w:rFonts w:ascii="Arial" w:cs="Arial" w:eastAsia="Arial" w:hAnsi="Arial"/>
          <w:sz w:val="15"/>
          <w:szCs w:val="15"/>
          <w:color w:val="auto"/>
        </w:rPr>
        <w:t>to institute and determine the terms and conditions of an Exchange Program;</w:t>
      </w:r>
    </w:p>
    <w:p>
      <w:pPr>
        <w:spacing w:after="0" w:line="188" w:lineRule="exact"/>
        <w:rPr>
          <w:rFonts w:ascii="Arial" w:cs="Arial" w:eastAsia="Arial" w:hAnsi="Arial"/>
          <w:sz w:val="15"/>
          <w:szCs w:val="15"/>
          <w:color w:val="auto"/>
        </w:rPr>
      </w:pPr>
    </w:p>
    <w:p>
      <w:pPr>
        <w:ind w:left="1880" w:hanging="402"/>
        <w:spacing w:after="0"/>
        <w:tabs>
          <w:tab w:leader="none" w:pos="1880" w:val="left"/>
        </w:tabs>
        <w:numPr>
          <w:ilvl w:val="2"/>
          <w:numId w:val="269"/>
        </w:numPr>
        <w:rPr>
          <w:rFonts w:ascii="Arial" w:cs="Arial" w:eastAsia="Arial" w:hAnsi="Arial"/>
          <w:sz w:val="15"/>
          <w:szCs w:val="15"/>
          <w:color w:val="auto"/>
        </w:rPr>
      </w:pPr>
      <w:r>
        <w:rPr>
          <w:rFonts w:ascii="Arial" w:cs="Arial" w:eastAsia="Arial" w:hAnsi="Arial"/>
          <w:sz w:val="15"/>
          <w:szCs w:val="15"/>
          <w:color w:val="auto"/>
        </w:rPr>
        <w:t>to construe and interpret the terms of the Plan and Awards granted pursuant to the Plan;</w:t>
      </w:r>
    </w:p>
    <w:p>
      <w:pPr>
        <w:spacing w:after="0" w:line="188" w:lineRule="exact"/>
        <w:rPr>
          <w:rFonts w:ascii="Arial" w:cs="Arial" w:eastAsia="Arial" w:hAnsi="Arial"/>
          <w:sz w:val="15"/>
          <w:szCs w:val="15"/>
          <w:color w:val="auto"/>
        </w:rPr>
      </w:pPr>
    </w:p>
    <w:p>
      <w:pPr>
        <w:ind w:right="100" w:firstLine="1478"/>
        <w:spacing w:after="0" w:line="275" w:lineRule="auto"/>
        <w:tabs>
          <w:tab w:leader="none" w:pos="1939" w:val="left"/>
        </w:tabs>
        <w:numPr>
          <w:ilvl w:val="2"/>
          <w:numId w:val="269"/>
        </w:numPr>
        <w:rPr>
          <w:rFonts w:ascii="Arial" w:cs="Arial" w:eastAsia="Arial" w:hAnsi="Arial"/>
          <w:sz w:val="15"/>
          <w:szCs w:val="15"/>
          <w:color w:val="auto"/>
        </w:rPr>
      </w:pPr>
      <w:r>
        <w:rPr>
          <w:rFonts w:ascii="Arial" w:cs="Arial" w:eastAsia="Arial" w:hAnsi="Arial"/>
          <w:sz w:val="15"/>
          <w:szCs w:val="15"/>
          <w:color w:val="auto"/>
        </w:rPr>
        <w:t>to prescribe, amend and rescind rules and regulations relating to the Plan, including rules and regulations relating to sub-plans established for the purpose of satisfying applicable non-U.S. laws or for qualifying for favorable tax treatment under applicable non-U.S. laws;</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-7-</w:t>
      </w:r>
    </w:p>
    <w:p>
      <w:pPr>
        <w:sectPr>
          <w:pgSz w:w="11900" w:h="16838" w:orient="portrait"/>
          <w:cols w:equalWidth="0" w:num="1">
            <w:col w:w="11420"/>
          </w:cols>
          <w:pgMar w:left="240" w:top="253" w:right="239" w:bottom="1440" w:gutter="0" w:footer="0" w:header="0"/>
        </w:sectPr>
      </w:pPr>
    </w:p>
    <w:bookmarkStart w:id="349" w:name="page350"/>
    <w:bookmarkEnd w:id="349"/>
    <w:p>
      <w:pPr>
        <w:ind w:right="380" w:firstLine="1478"/>
        <w:spacing w:after="0" w:line="275" w:lineRule="auto"/>
        <w:tabs>
          <w:tab w:leader="none" w:pos="1855" w:val="left"/>
        </w:tabs>
        <w:numPr>
          <w:ilvl w:val="2"/>
          <w:numId w:val="270"/>
        </w:numPr>
        <w:rPr>
          <w:rFonts w:ascii="Arial" w:cs="Arial" w:eastAsia="Arial" w:hAnsi="Arial"/>
          <w:sz w:val="15"/>
          <w:szCs w:val="15"/>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133350</wp:posOffset>
            </wp:positionH>
            <wp:positionV relativeFrom="page">
              <wp:posOffset>88900</wp:posOffset>
            </wp:positionV>
            <wp:extent cx="7308850" cy="34290"/>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528">
                      <a:extLst>
                        <a:ext uri="{28A0092B-C50C-407E-A947-70E740481C1C}"/>
                      </a:extLst>
                    </a:blip>
                    <a:srcRect/>
                    <a:stretch>
                      <a:fillRect/>
                    </a:stretch>
                  </pic:blipFill>
                  <pic:spPr bwMode="auto">
                    <a:xfrm>
                      <a:off x="0" y="0"/>
                      <a:ext cx="7308850" cy="34290"/>
                    </a:xfrm>
                    <a:prstGeom prst="rect">
                      <a:avLst/>
                    </a:prstGeom>
                    <a:noFill/>
                  </pic:spPr>
                </pic:pic>
              </a:graphicData>
            </a:graphic>
          </wp:anchor>
        </w:drawing>
        <w:t>to modify or amend each Award (subject to Section 19 of the Plan), including but not limited to the discretionary authority to extend the post-termination exercisability period of Awards and to extend the maximum term of an Option (subject to Section 6(b) of the Plan regarding Incentive Stock Options);</w:t>
      </w:r>
    </w:p>
    <w:p>
      <w:pPr>
        <w:spacing w:after="0" w:line="146" w:lineRule="exact"/>
        <w:rPr>
          <w:rFonts w:ascii="Arial" w:cs="Arial" w:eastAsia="Arial" w:hAnsi="Arial"/>
          <w:sz w:val="15"/>
          <w:szCs w:val="15"/>
          <w:color w:val="auto"/>
        </w:rPr>
      </w:pPr>
    </w:p>
    <w:p>
      <w:pPr>
        <w:ind w:left="1800" w:hanging="322"/>
        <w:spacing w:after="0"/>
        <w:tabs>
          <w:tab w:leader="none" w:pos="1800" w:val="left"/>
        </w:tabs>
        <w:numPr>
          <w:ilvl w:val="2"/>
          <w:numId w:val="270"/>
        </w:numPr>
        <w:rPr>
          <w:rFonts w:ascii="Arial" w:cs="Arial" w:eastAsia="Arial" w:hAnsi="Arial"/>
          <w:sz w:val="15"/>
          <w:szCs w:val="15"/>
          <w:color w:val="auto"/>
        </w:rPr>
      </w:pPr>
      <w:r>
        <w:rPr>
          <w:rFonts w:ascii="Arial" w:cs="Arial" w:eastAsia="Arial" w:hAnsi="Arial"/>
          <w:sz w:val="15"/>
          <w:szCs w:val="15"/>
          <w:color w:val="auto"/>
        </w:rPr>
        <w:t>to allow Participants to satisfy tax withholding obligations in such manner as prescribed in Section 15 of the Plan;</w:t>
      </w:r>
    </w:p>
    <w:p>
      <w:pPr>
        <w:spacing w:after="0" w:line="188" w:lineRule="exact"/>
        <w:rPr>
          <w:rFonts w:ascii="Arial" w:cs="Arial" w:eastAsia="Arial" w:hAnsi="Arial"/>
          <w:sz w:val="15"/>
          <w:szCs w:val="15"/>
          <w:color w:val="auto"/>
        </w:rPr>
      </w:pPr>
    </w:p>
    <w:p>
      <w:pPr>
        <w:ind w:left="1840" w:hanging="362"/>
        <w:spacing w:after="0"/>
        <w:tabs>
          <w:tab w:leader="none" w:pos="1840" w:val="left"/>
        </w:tabs>
        <w:numPr>
          <w:ilvl w:val="2"/>
          <w:numId w:val="270"/>
        </w:numPr>
        <w:rPr>
          <w:rFonts w:ascii="Arial" w:cs="Arial" w:eastAsia="Arial" w:hAnsi="Arial"/>
          <w:sz w:val="13"/>
          <w:szCs w:val="13"/>
          <w:color w:val="auto"/>
        </w:rPr>
      </w:pPr>
      <w:r>
        <w:rPr>
          <w:rFonts w:ascii="Arial" w:cs="Arial" w:eastAsia="Arial" w:hAnsi="Arial"/>
          <w:sz w:val="13"/>
          <w:szCs w:val="13"/>
          <w:color w:val="auto"/>
        </w:rPr>
        <w:t>to authorize any person to execute on behalf of the Company any instrument required to effect the grant of an Award previously granted by the Administrator;</w:t>
      </w:r>
    </w:p>
    <w:p>
      <w:pPr>
        <w:spacing w:after="0" w:line="211" w:lineRule="exact"/>
        <w:rPr>
          <w:rFonts w:ascii="Arial" w:cs="Arial" w:eastAsia="Arial" w:hAnsi="Arial"/>
          <w:sz w:val="13"/>
          <w:szCs w:val="13"/>
          <w:color w:val="auto"/>
        </w:rPr>
      </w:pPr>
    </w:p>
    <w:p>
      <w:pPr>
        <w:ind w:left="1880" w:hanging="402"/>
        <w:spacing w:after="0"/>
        <w:tabs>
          <w:tab w:leader="none" w:pos="1880" w:val="left"/>
        </w:tabs>
        <w:numPr>
          <w:ilvl w:val="2"/>
          <w:numId w:val="270"/>
        </w:numPr>
        <w:rPr>
          <w:rFonts w:ascii="Arial" w:cs="Arial" w:eastAsia="Arial" w:hAnsi="Arial"/>
          <w:sz w:val="13"/>
          <w:szCs w:val="13"/>
          <w:color w:val="auto"/>
        </w:rPr>
      </w:pPr>
      <w:r>
        <w:rPr>
          <w:rFonts w:ascii="Arial" w:cs="Arial" w:eastAsia="Arial" w:hAnsi="Arial"/>
          <w:sz w:val="13"/>
          <w:szCs w:val="13"/>
          <w:color w:val="auto"/>
        </w:rPr>
        <w:t>to allow a Participant to defer the receipt of the payment of cash or the delivery of Shares that would otherwise be due to such Participant under an Award; and</w:t>
      </w:r>
    </w:p>
    <w:p>
      <w:pPr>
        <w:spacing w:after="0" w:line="211" w:lineRule="exact"/>
        <w:rPr>
          <w:rFonts w:ascii="Arial" w:cs="Arial" w:eastAsia="Arial" w:hAnsi="Arial"/>
          <w:sz w:val="13"/>
          <w:szCs w:val="13"/>
          <w:color w:val="auto"/>
        </w:rPr>
      </w:pPr>
    </w:p>
    <w:p>
      <w:pPr>
        <w:ind w:left="1920" w:hanging="442"/>
        <w:spacing w:after="0"/>
        <w:tabs>
          <w:tab w:leader="none" w:pos="1920" w:val="left"/>
        </w:tabs>
        <w:numPr>
          <w:ilvl w:val="2"/>
          <w:numId w:val="270"/>
        </w:numPr>
        <w:rPr>
          <w:rFonts w:ascii="Arial" w:cs="Arial" w:eastAsia="Arial" w:hAnsi="Arial"/>
          <w:sz w:val="15"/>
          <w:szCs w:val="15"/>
          <w:color w:val="auto"/>
        </w:rPr>
      </w:pPr>
      <w:r>
        <w:rPr>
          <w:rFonts w:ascii="Arial" w:cs="Arial" w:eastAsia="Arial" w:hAnsi="Arial"/>
          <w:sz w:val="15"/>
          <w:szCs w:val="15"/>
          <w:color w:val="auto"/>
        </w:rPr>
        <w:t>to make all other determinations deemed necessary or advisable for administering the Plan.</w:t>
      </w:r>
    </w:p>
    <w:p>
      <w:pPr>
        <w:spacing w:after="0" w:line="188" w:lineRule="exact"/>
        <w:rPr>
          <w:rFonts w:ascii="Arial" w:cs="Arial" w:eastAsia="Arial" w:hAnsi="Arial"/>
          <w:sz w:val="15"/>
          <w:szCs w:val="15"/>
          <w:color w:val="auto"/>
        </w:rPr>
      </w:pPr>
    </w:p>
    <w:p>
      <w:pPr>
        <w:ind w:left="1220" w:hanging="314"/>
        <w:spacing w:after="0"/>
        <w:tabs>
          <w:tab w:leader="none" w:pos="1220" w:val="left"/>
        </w:tabs>
        <w:numPr>
          <w:ilvl w:val="1"/>
          <w:numId w:val="271"/>
        </w:numPr>
        <w:rPr>
          <w:rFonts w:ascii="Arial" w:cs="Arial" w:eastAsia="Arial" w:hAnsi="Arial"/>
          <w:sz w:val="14"/>
          <w:szCs w:val="14"/>
          <w:color w:val="auto"/>
        </w:rPr>
      </w:pPr>
      <w:r>
        <w:rPr>
          <w:rFonts w:ascii="Arial" w:cs="Arial" w:eastAsia="Arial" w:hAnsi="Arial"/>
          <w:sz w:val="14"/>
          <w:szCs w:val="14"/>
          <w:u w:val="single" w:color="auto"/>
          <w:color w:val="auto"/>
        </w:rPr>
        <w:t>Effect of Administrator’s Decision</w:t>
      </w:r>
      <w:r>
        <w:rPr>
          <w:rFonts w:ascii="Arial" w:cs="Arial" w:eastAsia="Arial" w:hAnsi="Arial"/>
          <w:sz w:val="14"/>
          <w:szCs w:val="14"/>
          <w:color w:val="auto"/>
        </w:rPr>
        <w:t>. The Administrator’s decisions, determinations and interpretations will be final and binding on all Participants and any other holders</w:t>
      </w:r>
    </w:p>
    <w:p>
      <w:pPr>
        <w:spacing w:after="0" w:line="28" w:lineRule="exact"/>
        <w:rPr>
          <w:rFonts w:ascii="Arial" w:cs="Arial" w:eastAsia="Arial" w:hAnsi="Arial"/>
          <w:sz w:val="14"/>
          <w:szCs w:val="14"/>
          <w:color w:val="auto"/>
        </w:rPr>
      </w:pPr>
    </w:p>
    <w:p>
      <w:pPr>
        <w:spacing w:after="0"/>
        <w:rPr>
          <w:rFonts w:ascii="Arial" w:cs="Arial" w:eastAsia="Arial" w:hAnsi="Arial"/>
          <w:sz w:val="14"/>
          <w:szCs w:val="14"/>
          <w:color w:val="auto"/>
        </w:rPr>
      </w:pPr>
      <w:r>
        <w:rPr>
          <w:rFonts w:ascii="Arial" w:cs="Arial" w:eastAsia="Arial" w:hAnsi="Arial"/>
          <w:sz w:val="15"/>
          <w:szCs w:val="15"/>
          <w:color w:val="auto"/>
        </w:rPr>
        <w:t>of Awards.</w:t>
      </w:r>
    </w:p>
    <w:p>
      <w:pPr>
        <w:spacing w:after="0" w:line="178" w:lineRule="exact"/>
        <w:rPr>
          <w:rFonts w:ascii="Arial" w:cs="Arial" w:eastAsia="Arial" w:hAnsi="Arial"/>
          <w:sz w:val="14"/>
          <w:szCs w:val="14"/>
          <w:color w:val="auto"/>
        </w:rPr>
      </w:pPr>
    </w:p>
    <w:p>
      <w:pPr>
        <w:ind w:right="380" w:firstLine="448"/>
        <w:spacing w:after="0" w:line="275" w:lineRule="auto"/>
        <w:tabs>
          <w:tab w:leader="none" w:pos="721" w:val="left"/>
        </w:tabs>
        <w:numPr>
          <w:ilvl w:val="0"/>
          <w:numId w:val="272"/>
        </w:numPr>
        <w:rPr>
          <w:rFonts w:ascii="Arial" w:cs="Arial" w:eastAsia="Arial" w:hAnsi="Arial"/>
          <w:sz w:val="15"/>
          <w:szCs w:val="15"/>
          <w:color w:val="auto"/>
        </w:rPr>
      </w:pPr>
      <w:r>
        <w:rPr>
          <w:rFonts w:ascii="Arial" w:cs="Arial" w:eastAsia="Arial" w:hAnsi="Arial"/>
          <w:sz w:val="15"/>
          <w:szCs w:val="15"/>
          <w:u w:val="single" w:color="auto"/>
          <w:color w:val="auto"/>
        </w:rPr>
        <w:t>Eligibility</w:t>
      </w:r>
      <w:r>
        <w:rPr>
          <w:rFonts w:ascii="Arial" w:cs="Arial" w:eastAsia="Arial" w:hAnsi="Arial"/>
          <w:sz w:val="15"/>
          <w:szCs w:val="15"/>
          <w:color w:val="auto"/>
        </w:rPr>
        <w:t>. Nonstatutory Stock Options, Stock Appreciation Rights, Restricted Stock, Restricted Stock Units, Performance Shares and Performance Units may be granted to Service Providers. Incentive Stock Options may be granted only to Employees.</w:t>
      </w:r>
    </w:p>
    <w:p>
      <w:pPr>
        <w:spacing w:after="0" w:line="236" w:lineRule="exact"/>
        <w:rPr>
          <w:rFonts w:ascii="Arial" w:cs="Arial" w:eastAsia="Arial" w:hAnsi="Arial"/>
          <w:sz w:val="15"/>
          <w:szCs w:val="15"/>
          <w:color w:val="auto"/>
        </w:rPr>
      </w:pPr>
    </w:p>
    <w:p>
      <w:pPr>
        <w:ind w:left="720" w:hanging="272"/>
        <w:spacing w:after="0"/>
        <w:tabs>
          <w:tab w:leader="none" w:pos="720" w:val="left"/>
        </w:tabs>
        <w:numPr>
          <w:ilvl w:val="0"/>
          <w:numId w:val="272"/>
        </w:numPr>
        <w:rPr>
          <w:rFonts w:ascii="Arial" w:cs="Arial" w:eastAsia="Arial" w:hAnsi="Arial"/>
          <w:sz w:val="15"/>
          <w:szCs w:val="15"/>
          <w:color w:val="auto"/>
        </w:rPr>
      </w:pPr>
      <w:r>
        <w:rPr>
          <w:rFonts w:ascii="Arial" w:cs="Arial" w:eastAsia="Arial" w:hAnsi="Arial"/>
          <w:sz w:val="15"/>
          <w:szCs w:val="15"/>
          <w:u w:val="single" w:color="auto"/>
          <w:color w:val="auto"/>
        </w:rPr>
        <w:t>Stock Options</w:t>
      </w:r>
      <w:r>
        <w:rPr>
          <w:rFonts w:ascii="Arial" w:cs="Arial" w:eastAsia="Arial" w:hAnsi="Arial"/>
          <w:sz w:val="15"/>
          <w:szCs w:val="15"/>
          <w:color w:val="auto"/>
        </w:rPr>
        <w:t>.</w:t>
      </w:r>
    </w:p>
    <w:p>
      <w:pPr>
        <w:spacing w:after="0" w:line="98" w:lineRule="exact"/>
        <w:rPr>
          <w:rFonts w:ascii="Arial" w:cs="Arial" w:eastAsia="Arial" w:hAnsi="Arial"/>
          <w:sz w:val="15"/>
          <w:szCs w:val="15"/>
          <w:color w:val="auto"/>
        </w:rPr>
      </w:pPr>
    </w:p>
    <w:p>
      <w:pPr>
        <w:ind w:right="20" w:firstLine="906"/>
        <w:spacing w:after="0" w:line="257" w:lineRule="auto"/>
        <w:tabs>
          <w:tab w:leader="none" w:pos="1233" w:val="left"/>
        </w:tabs>
        <w:numPr>
          <w:ilvl w:val="1"/>
          <w:numId w:val="272"/>
        </w:numPr>
        <w:rPr>
          <w:rFonts w:ascii="Arial" w:cs="Arial" w:eastAsia="Arial" w:hAnsi="Arial"/>
          <w:sz w:val="15"/>
          <w:szCs w:val="15"/>
          <w:color w:val="auto"/>
        </w:rPr>
      </w:pPr>
      <w:r>
        <w:rPr>
          <w:rFonts w:ascii="Arial" w:cs="Arial" w:eastAsia="Arial" w:hAnsi="Arial"/>
          <w:sz w:val="15"/>
          <w:szCs w:val="15"/>
          <w:u w:val="single" w:color="auto"/>
          <w:color w:val="auto"/>
        </w:rPr>
        <w:t>Limitations</w:t>
      </w:r>
      <w:r>
        <w:rPr>
          <w:rFonts w:ascii="Arial" w:cs="Arial" w:eastAsia="Arial" w:hAnsi="Arial"/>
          <w:sz w:val="15"/>
          <w:szCs w:val="15"/>
          <w:color w:val="auto"/>
        </w:rPr>
        <w:t>. Each Option will be designated in the Award Agreement as either an Incentive Stock Option or a Nonstatutory Stock Option. However, notwithstanding such designation, to the extent that the aggregate fair market value of the shares with respect to which incentive stock options are exercisable for the first time by the Participant during any calendar year (under all plans of the Company and any Parent or Subsidiary) exceeds one hundred thousand dollars ($100,000), such options will be treated as nonstatutory stock options. For purposes of this Section 6(a), incentive stock options will be taken into account in the order in which they were granted. The fair market value of the shares will be determined as of the time the option with respect to such shares is granted.</w:t>
      </w:r>
    </w:p>
    <w:p>
      <w:pPr>
        <w:spacing w:after="0" w:line="159" w:lineRule="exact"/>
        <w:rPr>
          <w:rFonts w:ascii="Arial" w:cs="Arial" w:eastAsia="Arial" w:hAnsi="Arial"/>
          <w:sz w:val="15"/>
          <w:szCs w:val="15"/>
          <w:color w:val="auto"/>
        </w:rPr>
      </w:pPr>
    </w:p>
    <w:p>
      <w:pPr>
        <w:ind w:firstLine="906"/>
        <w:spacing w:after="0" w:line="283" w:lineRule="auto"/>
        <w:tabs>
          <w:tab w:leader="none" w:pos="1241" w:val="left"/>
        </w:tabs>
        <w:numPr>
          <w:ilvl w:val="1"/>
          <w:numId w:val="272"/>
        </w:numPr>
        <w:rPr>
          <w:rFonts w:ascii="Arial" w:cs="Arial" w:eastAsia="Arial" w:hAnsi="Arial"/>
          <w:sz w:val="14"/>
          <w:szCs w:val="14"/>
          <w:color w:val="auto"/>
        </w:rPr>
      </w:pPr>
      <w:r>
        <w:rPr>
          <w:rFonts w:ascii="Arial" w:cs="Arial" w:eastAsia="Arial" w:hAnsi="Arial"/>
          <w:sz w:val="14"/>
          <w:szCs w:val="14"/>
          <w:u w:val="single" w:color="auto"/>
          <w:color w:val="auto"/>
        </w:rPr>
        <w:t>Term of Option</w:t>
      </w:r>
      <w:r>
        <w:rPr>
          <w:rFonts w:ascii="Arial" w:cs="Arial" w:eastAsia="Arial" w:hAnsi="Arial"/>
          <w:sz w:val="14"/>
          <w:szCs w:val="14"/>
          <w:color w:val="auto"/>
        </w:rPr>
        <w:t>. The term of each Option will be stated in the Award Agreement. In the case of an Incentive Stock Option, the term will be ten (10) years from the date of grant or such shorter term as may be provided in the Award Agreement. Moreover, in the case of an Incentive Stock Option granted to a Participant who, at the time the Incentive Stock Option is granted, owns stock representing more than ten percent (10%) of the total combined voting power of all classes of stock of the Company or any Parent or Subsidiary, the term of the Incentive Stock Option will be five (5) years from the date of grant or such shorter term as may be provided in the Award Agreement.</w:t>
      </w:r>
    </w:p>
    <w:p>
      <w:pPr>
        <w:spacing w:after="0" w:line="87"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-8-</w:t>
      </w:r>
    </w:p>
    <w:p>
      <w:pPr>
        <w:sectPr>
          <w:pgSz w:w="11900" w:h="16838" w:orient="portrait"/>
          <w:cols w:equalWidth="0" w:num="1">
            <w:col w:w="11440"/>
          </w:cols>
          <w:pgMar w:left="240" w:top="253" w:right="219" w:bottom="1440" w:gutter="0" w:footer="0" w:header="0"/>
        </w:sectPr>
      </w:pPr>
    </w:p>
    <w:bookmarkStart w:id="350" w:name="page351"/>
    <w:bookmarkEnd w:id="350"/>
    <w:p>
      <w:pPr>
        <w:ind w:left="1230" w:hanging="314"/>
        <w:spacing w:after="0"/>
        <w:tabs>
          <w:tab w:leader="none" w:pos="1230" w:val="left"/>
        </w:tabs>
        <w:numPr>
          <w:ilvl w:val="0"/>
          <w:numId w:val="273"/>
        </w:numPr>
        <w:rPr>
          <w:rFonts w:ascii="Arial" w:cs="Arial" w:eastAsia="Arial" w:hAnsi="Arial"/>
          <w:sz w:val="15"/>
          <w:szCs w:val="15"/>
          <w:color w:val="auto"/>
        </w:rPr>
      </w:pPr>
      <w:r>
        <w:rPr>
          <w:rFonts w:ascii="Arial" w:cs="Arial" w:eastAsia="Arial" w:hAnsi="Arial"/>
          <w:sz w:val="15"/>
          <w:szCs w:val="15"/>
          <w:u w:val="single" w:color="auto"/>
          <w:color w:val="auto"/>
        </w:rPr>
        <w:drawing>
          <wp:anchor simplePos="0" relativeHeight="251657728" behindDoc="1" locked="0" layoutInCell="0" allowOverlap="1">
            <wp:simplePos x="0" y="0"/>
            <wp:positionH relativeFrom="page">
              <wp:posOffset>133350</wp:posOffset>
            </wp:positionH>
            <wp:positionV relativeFrom="page">
              <wp:posOffset>88900</wp:posOffset>
            </wp:positionV>
            <wp:extent cx="7308850" cy="34290"/>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529">
                      <a:extLst>
                        <a:ext uri="{28A0092B-C50C-407E-A947-70E740481C1C}"/>
                      </a:extLst>
                    </a:blip>
                    <a:srcRect/>
                    <a:stretch>
                      <a:fillRect/>
                    </a:stretch>
                  </pic:blipFill>
                  <pic:spPr bwMode="auto">
                    <a:xfrm>
                      <a:off x="0" y="0"/>
                      <a:ext cx="7308850" cy="34290"/>
                    </a:xfrm>
                    <a:prstGeom prst="rect">
                      <a:avLst/>
                    </a:prstGeom>
                    <a:noFill/>
                  </pic:spPr>
                </pic:pic>
              </a:graphicData>
            </a:graphic>
          </wp:anchor>
        </w:drawing>
        <w:t>Option Exercise Price and Consideration</w:t>
      </w:r>
      <w:r>
        <w:rPr>
          <w:rFonts w:ascii="Arial" w:cs="Arial" w:eastAsia="Arial" w:hAnsi="Arial"/>
          <w:sz w:val="15"/>
          <w:szCs w:val="15"/>
          <w:color w:val="auto"/>
        </w:rPr>
        <w:t>.</w:t>
      </w:r>
    </w:p>
    <w:p>
      <w:pPr>
        <w:spacing w:after="0" w:line="98" w:lineRule="exact"/>
        <w:rPr>
          <w:rFonts w:ascii="Arial" w:cs="Arial" w:eastAsia="Arial" w:hAnsi="Arial"/>
          <w:sz w:val="15"/>
          <w:szCs w:val="15"/>
          <w:color w:val="auto"/>
        </w:rPr>
      </w:pPr>
    </w:p>
    <w:p>
      <w:pPr>
        <w:ind w:left="1790" w:hanging="302"/>
        <w:spacing w:after="0"/>
        <w:tabs>
          <w:tab w:leader="none" w:pos="1790" w:val="left"/>
        </w:tabs>
        <w:numPr>
          <w:ilvl w:val="1"/>
          <w:numId w:val="273"/>
        </w:numPr>
        <w:rPr>
          <w:rFonts w:ascii="Arial" w:cs="Arial" w:eastAsia="Arial" w:hAnsi="Arial"/>
          <w:sz w:val="13"/>
          <w:szCs w:val="13"/>
          <w:color w:val="auto"/>
        </w:rPr>
      </w:pPr>
      <w:r>
        <w:rPr>
          <w:rFonts w:ascii="Arial" w:cs="Arial" w:eastAsia="Arial" w:hAnsi="Arial"/>
          <w:sz w:val="13"/>
          <w:szCs w:val="13"/>
          <w:u w:val="single" w:color="auto"/>
          <w:color w:val="auto"/>
        </w:rPr>
        <w:t>Exercise Price</w:t>
      </w:r>
      <w:r>
        <w:rPr>
          <w:rFonts w:ascii="Arial" w:cs="Arial" w:eastAsia="Arial" w:hAnsi="Arial"/>
          <w:sz w:val="13"/>
          <w:szCs w:val="13"/>
          <w:color w:val="auto"/>
        </w:rPr>
        <w:t>. The per share exercise price for the Shares to be issued pursuant to exercise of an Option will be determined by the Administrator, subject to the</w:t>
      </w:r>
    </w:p>
    <w:p>
      <w:pPr>
        <w:spacing w:after="0" w:line="40" w:lineRule="exact"/>
        <w:rPr>
          <w:sz w:val="20"/>
          <w:szCs w:val="20"/>
          <w:color w:val="auto"/>
        </w:rPr>
      </w:pPr>
    </w:p>
    <w:p>
      <w:pPr>
        <w:ind w:left="10"/>
        <w:spacing w:after="0"/>
        <w:rPr>
          <w:sz w:val="20"/>
          <w:szCs w:val="20"/>
          <w:color w:val="auto"/>
        </w:rPr>
      </w:pPr>
      <w:r>
        <w:rPr>
          <w:rFonts w:ascii="Arial" w:cs="Arial" w:eastAsia="Arial" w:hAnsi="Arial"/>
          <w:sz w:val="15"/>
          <w:szCs w:val="15"/>
          <w:color w:val="auto"/>
        </w:rPr>
        <w:t>following:</w:t>
      </w:r>
    </w:p>
    <w:p>
      <w:pPr>
        <w:spacing w:after="0" w:line="179" w:lineRule="exact"/>
        <w:rPr>
          <w:sz w:val="20"/>
          <w:szCs w:val="20"/>
          <w:color w:val="auto"/>
        </w:rPr>
      </w:pPr>
    </w:p>
    <w:p>
      <w:pPr>
        <w:ind w:left="2270" w:hanging="324"/>
        <w:spacing w:after="0"/>
        <w:tabs>
          <w:tab w:leader="none" w:pos="2270" w:val="left"/>
        </w:tabs>
        <w:numPr>
          <w:ilvl w:val="3"/>
          <w:numId w:val="274"/>
        </w:numPr>
        <w:rPr>
          <w:rFonts w:ascii="Arial" w:cs="Arial" w:eastAsia="Arial" w:hAnsi="Arial"/>
          <w:sz w:val="15"/>
          <w:szCs w:val="15"/>
          <w:color w:val="auto"/>
        </w:rPr>
      </w:pPr>
      <w:r>
        <w:rPr>
          <w:rFonts w:ascii="Arial" w:cs="Arial" w:eastAsia="Arial" w:hAnsi="Arial"/>
          <w:sz w:val="15"/>
          <w:szCs w:val="15"/>
          <w:color w:val="auto"/>
        </w:rPr>
        <w:t>In the case of an Incentive Stock Option</w:t>
      </w:r>
    </w:p>
    <w:p>
      <w:pPr>
        <w:spacing w:after="0" w:line="188" w:lineRule="exact"/>
        <w:rPr>
          <w:rFonts w:ascii="Arial" w:cs="Arial" w:eastAsia="Arial" w:hAnsi="Arial"/>
          <w:sz w:val="15"/>
          <w:szCs w:val="15"/>
          <w:color w:val="auto"/>
        </w:rPr>
      </w:pPr>
    </w:p>
    <w:p>
      <w:pPr>
        <w:ind w:left="10" w:firstLine="2394"/>
        <w:spacing w:after="0" w:line="263" w:lineRule="auto"/>
        <w:tabs>
          <w:tab w:leader="none" w:pos="2773" w:val="left"/>
        </w:tabs>
        <w:numPr>
          <w:ilvl w:val="4"/>
          <w:numId w:val="274"/>
        </w:numPr>
        <w:rPr>
          <w:rFonts w:ascii="Arial" w:cs="Arial" w:eastAsia="Arial" w:hAnsi="Arial"/>
          <w:sz w:val="15"/>
          <w:szCs w:val="15"/>
          <w:color w:val="auto"/>
        </w:rPr>
      </w:pPr>
      <w:r>
        <w:rPr>
          <w:rFonts w:ascii="Arial" w:cs="Arial" w:eastAsia="Arial" w:hAnsi="Arial"/>
          <w:sz w:val="15"/>
          <w:szCs w:val="15"/>
          <w:color w:val="auto"/>
        </w:rPr>
        <w:t>granted to an Employee who, at the time the Incentive Stock Option is granted, owns stock representing more than ten percent (10%) of the voting power of all classes of stock of the Company or any Parent or Subsidiary, the per Share exercise price will be no less than one hundred ten percent (110%) of the Fair Market Value per Share on the date of grant.</w:t>
      </w:r>
    </w:p>
    <w:p>
      <w:pPr>
        <w:spacing w:after="0" w:line="154" w:lineRule="exact"/>
        <w:rPr>
          <w:rFonts w:ascii="Arial" w:cs="Arial" w:eastAsia="Arial" w:hAnsi="Arial"/>
          <w:sz w:val="15"/>
          <w:szCs w:val="15"/>
          <w:color w:val="auto"/>
        </w:rPr>
      </w:pPr>
    </w:p>
    <w:p>
      <w:pPr>
        <w:ind w:left="10" w:right="240" w:firstLine="2394"/>
        <w:spacing w:after="0" w:line="275" w:lineRule="auto"/>
        <w:tabs>
          <w:tab w:leader="none" w:pos="2764" w:val="left"/>
        </w:tabs>
        <w:numPr>
          <w:ilvl w:val="4"/>
          <w:numId w:val="274"/>
        </w:numPr>
        <w:rPr>
          <w:rFonts w:ascii="Arial" w:cs="Arial" w:eastAsia="Arial" w:hAnsi="Arial"/>
          <w:sz w:val="15"/>
          <w:szCs w:val="15"/>
          <w:color w:val="auto"/>
        </w:rPr>
      </w:pPr>
      <w:r>
        <w:rPr>
          <w:rFonts w:ascii="Arial" w:cs="Arial" w:eastAsia="Arial" w:hAnsi="Arial"/>
          <w:sz w:val="15"/>
          <w:szCs w:val="15"/>
          <w:color w:val="auto"/>
        </w:rPr>
        <w:t>granted to any Employee other than an Employee described in paragraph (A) immediately above, the per Share exercise price will be no less than one hundred percent (100%) of the Fair Market Value per Share on the date of grant.</w:t>
      </w:r>
    </w:p>
    <w:p>
      <w:pPr>
        <w:spacing w:after="0" w:line="146" w:lineRule="exact"/>
        <w:rPr>
          <w:rFonts w:ascii="Arial" w:cs="Arial" w:eastAsia="Arial" w:hAnsi="Arial"/>
          <w:sz w:val="15"/>
          <w:szCs w:val="15"/>
          <w:color w:val="auto"/>
        </w:rPr>
      </w:pPr>
    </w:p>
    <w:p>
      <w:pPr>
        <w:ind w:left="2270" w:hanging="324"/>
        <w:spacing w:after="0"/>
        <w:tabs>
          <w:tab w:leader="none" w:pos="2270" w:val="left"/>
        </w:tabs>
        <w:numPr>
          <w:ilvl w:val="3"/>
          <w:numId w:val="274"/>
        </w:numPr>
        <w:rPr>
          <w:rFonts w:ascii="Arial" w:cs="Arial" w:eastAsia="Arial" w:hAnsi="Arial"/>
          <w:sz w:val="13"/>
          <w:szCs w:val="13"/>
          <w:color w:val="auto"/>
        </w:rPr>
      </w:pPr>
      <w:r>
        <w:rPr>
          <w:rFonts w:ascii="Arial" w:cs="Arial" w:eastAsia="Arial" w:hAnsi="Arial"/>
          <w:sz w:val="13"/>
          <w:szCs w:val="13"/>
          <w:color w:val="auto"/>
        </w:rPr>
        <w:t>In the case of a Nonstatutory Stock Option, the per Share exercise price will be no less than one hundred percent (100%) of the Fair Market Value per</w:t>
      </w:r>
    </w:p>
    <w:p>
      <w:pPr>
        <w:spacing w:after="0" w:line="40" w:lineRule="exact"/>
        <w:rPr>
          <w:rFonts w:ascii="Arial" w:cs="Arial" w:eastAsia="Arial" w:hAnsi="Arial"/>
          <w:sz w:val="13"/>
          <w:szCs w:val="13"/>
          <w:color w:val="auto"/>
        </w:rPr>
      </w:pPr>
    </w:p>
    <w:p>
      <w:pPr>
        <w:ind w:left="10"/>
        <w:spacing w:after="0"/>
        <w:rPr>
          <w:rFonts w:ascii="Arial" w:cs="Arial" w:eastAsia="Arial" w:hAnsi="Arial"/>
          <w:sz w:val="13"/>
          <w:szCs w:val="13"/>
          <w:color w:val="auto"/>
        </w:rPr>
      </w:pPr>
      <w:r>
        <w:rPr>
          <w:rFonts w:ascii="Arial" w:cs="Arial" w:eastAsia="Arial" w:hAnsi="Arial"/>
          <w:sz w:val="15"/>
          <w:szCs w:val="15"/>
          <w:color w:val="auto"/>
        </w:rPr>
        <w:t>Share on the date of grant.</w:t>
      </w:r>
    </w:p>
    <w:p>
      <w:pPr>
        <w:spacing w:after="0" w:line="178" w:lineRule="exact"/>
        <w:rPr>
          <w:rFonts w:ascii="Arial" w:cs="Arial" w:eastAsia="Arial" w:hAnsi="Arial"/>
          <w:sz w:val="13"/>
          <w:szCs w:val="13"/>
          <w:color w:val="auto"/>
        </w:rPr>
      </w:pPr>
    </w:p>
    <w:p>
      <w:pPr>
        <w:ind w:left="10" w:right="320" w:firstLine="1936"/>
        <w:spacing w:after="0" w:line="275" w:lineRule="auto"/>
        <w:tabs>
          <w:tab w:leader="none" w:pos="2281" w:val="left"/>
        </w:tabs>
        <w:numPr>
          <w:ilvl w:val="3"/>
          <w:numId w:val="274"/>
        </w:numPr>
        <w:rPr>
          <w:rFonts w:ascii="Arial" w:cs="Arial" w:eastAsia="Arial" w:hAnsi="Arial"/>
          <w:sz w:val="15"/>
          <w:szCs w:val="15"/>
          <w:color w:val="auto"/>
        </w:rPr>
      </w:pPr>
      <w:r>
        <w:rPr>
          <w:rFonts w:ascii="Arial" w:cs="Arial" w:eastAsia="Arial" w:hAnsi="Arial"/>
          <w:sz w:val="15"/>
          <w:szCs w:val="15"/>
          <w:color w:val="auto"/>
        </w:rPr>
        <w:t>Notwithstanding the foregoing, Options may be granted with a per Share exercise price of less than one hundred percent (100%) of the Fair Market Value per Share on the date of grant pursuant to a transaction described in, and in a manner consistent with, Section 424(a) of the Code.</w:t>
      </w:r>
    </w:p>
    <w:p>
      <w:pPr>
        <w:spacing w:after="0" w:line="146" w:lineRule="exact"/>
        <w:rPr>
          <w:rFonts w:ascii="Arial" w:cs="Arial" w:eastAsia="Arial" w:hAnsi="Arial"/>
          <w:sz w:val="15"/>
          <w:szCs w:val="15"/>
          <w:color w:val="auto"/>
        </w:rPr>
      </w:pPr>
    </w:p>
    <w:p>
      <w:pPr>
        <w:ind w:left="10" w:right="160" w:firstLine="1478"/>
        <w:spacing w:after="0" w:line="275" w:lineRule="auto"/>
        <w:tabs>
          <w:tab w:leader="none" w:pos="1832" w:val="left"/>
        </w:tabs>
        <w:numPr>
          <w:ilvl w:val="2"/>
          <w:numId w:val="275"/>
        </w:numPr>
        <w:rPr>
          <w:rFonts w:ascii="Arial" w:cs="Arial" w:eastAsia="Arial" w:hAnsi="Arial"/>
          <w:sz w:val="15"/>
          <w:szCs w:val="15"/>
          <w:color w:val="auto"/>
        </w:rPr>
      </w:pPr>
      <w:r>
        <w:rPr>
          <w:rFonts w:ascii="Arial" w:cs="Arial" w:eastAsia="Arial" w:hAnsi="Arial"/>
          <w:sz w:val="15"/>
          <w:szCs w:val="15"/>
          <w:u w:val="single" w:color="auto"/>
          <w:color w:val="auto"/>
        </w:rPr>
        <w:t>Waiting Period and Exercise Dates</w:t>
      </w:r>
      <w:r>
        <w:rPr>
          <w:rFonts w:ascii="Arial" w:cs="Arial" w:eastAsia="Arial" w:hAnsi="Arial"/>
          <w:sz w:val="15"/>
          <w:szCs w:val="15"/>
          <w:color w:val="auto"/>
        </w:rPr>
        <w:t>. At the time an Option is granted, the Administrator will fix the period within which the Option may be exercised and will determine any conditions that must be satisfied before the Option may be exercised.</w:t>
      </w:r>
    </w:p>
    <w:p>
      <w:pPr>
        <w:spacing w:after="0" w:line="146" w:lineRule="exact"/>
        <w:rPr>
          <w:rFonts w:ascii="Arial" w:cs="Arial" w:eastAsia="Arial" w:hAnsi="Arial"/>
          <w:sz w:val="15"/>
          <w:szCs w:val="15"/>
          <w:color w:val="auto"/>
        </w:rPr>
      </w:pPr>
    </w:p>
    <w:p>
      <w:pPr>
        <w:ind w:left="10" w:right="120" w:firstLine="1478"/>
        <w:spacing w:after="0" w:line="297" w:lineRule="auto"/>
        <w:tabs>
          <w:tab w:leader="none" w:pos="1874" w:val="left"/>
        </w:tabs>
        <w:numPr>
          <w:ilvl w:val="2"/>
          <w:numId w:val="275"/>
        </w:numPr>
        <w:rPr>
          <w:rFonts w:ascii="Arial" w:cs="Arial" w:eastAsia="Arial" w:hAnsi="Arial"/>
          <w:sz w:val="13"/>
          <w:szCs w:val="13"/>
          <w:color w:val="auto"/>
        </w:rPr>
      </w:pPr>
      <w:r>
        <w:rPr>
          <w:rFonts w:ascii="Arial" w:cs="Arial" w:eastAsia="Arial" w:hAnsi="Arial"/>
          <w:sz w:val="13"/>
          <w:szCs w:val="13"/>
          <w:u w:val="single" w:color="auto"/>
          <w:color w:val="auto"/>
        </w:rPr>
        <w:t>Form of Consideration</w:t>
      </w:r>
      <w:r>
        <w:rPr>
          <w:rFonts w:ascii="Arial" w:cs="Arial" w:eastAsia="Arial" w:hAnsi="Arial"/>
          <w:sz w:val="13"/>
          <w:szCs w:val="13"/>
          <w:color w:val="auto"/>
        </w:rPr>
        <w:t>. The Administrator will determine the acceptable form of consideration for exercising an Option, including the method of payment. In the case of an Incentive Stock Option, the Administrator will determine the acceptable form of consideration at the time of grant. Such consideration may consist entirely of: (1) cash;</w:t>
      </w:r>
    </w:p>
    <w:p>
      <w:pPr>
        <w:ind w:left="10" w:right="120" w:hanging="10"/>
        <w:spacing w:after="0" w:line="253" w:lineRule="auto"/>
        <w:tabs>
          <w:tab w:leader="none" w:pos="223" w:val="left"/>
        </w:tabs>
        <w:numPr>
          <w:ilvl w:val="0"/>
          <w:numId w:val="276"/>
        </w:numPr>
        <w:rPr>
          <w:rFonts w:ascii="Arial" w:cs="Arial" w:eastAsia="Arial" w:hAnsi="Arial"/>
          <w:sz w:val="15"/>
          <w:szCs w:val="15"/>
          <w:color w:val="auto"/>
        </w:rPr>
      </w:pPr>
      <w:r>
        <w:rPr>
          <w:rFonts w:ascii="Arial" w:cs="Arial" w:eastAsia="Arial" w:hAnsi="Arial"/>
          <w:sz w:val="15"/>
          <w:szCs w:val="15"/>
          <w:color w:val="auto"/>
        </w:rPr>
        <w:t>check; (3) promissory note, to the extent permitted by Applicable Laws, (4) other Shares, provided that such Shares have a Fair Market Value on the date of surrender equal to the aggregate exercise price of the Shares as to which such Option will be exercised and provided that accepting such Shares will not result in any adverse accounting consequences to the Company, as the Administrator determines in its sole discretion; (5) consideration received by the Company under a broker-assisted (or other) cashless exercise program (whether through a broker or otherwise) implemented by the Company in connection with the Plan; (6) by net exercise; (7) such other consideration and method of payment for the issuance of Shares to the extent permitted by Applicable Laws; or (8) any combination of the foregoing methods of payment.</w:t>
      </w:r>
    </w:p>
    <w:p>
      <w:pPr>
        <w:spacing w:after="0" w:line="254" w:lineRule="exact"/>
        <w:rPr>
          <w:rFonts w:ascii="Arial" w:cs="Arial" w:eastAsia="Arial" w:hAnsi="Arial"/>
          <w:sz w:val="15"/>
          <w:szCs w:val="15"/>
          <w:color w:val="auto"/>
        </w:rPr>
      </w:pPr>
    </w:p>
    <w:p>
      <w:pPr>
        <w:ind w:left="1250" w:hanging="334"/>
        <w:spacing w:after="0"/>
        <w:tabs>
          <w:tab w:leader="none" w:pos="1250" w:val="left"/>
        </w:tabs>
        <w:numPr>
          <w:ilvl w:val="1"/>
          <w:numId w:val="276"/>
        </w:numPr>
        <w:rPr>
          <w:rFonts w:ascii="Arial" w:cs="Arial" w:eastAsia="Arial" w:hAnsi="Arial"/>
          <w:sz w:val="15"/>
          <w:szCs w:val="15"/>
          <w:color w:val="auto"/>
        </w:rPr>
      </w:pPr>
      <w:r>
        <w:rPr>
          <w:rFonts w:ascii="Arial" w:cs="Arial" w:eastAsia="Arial" w:hAnsi="Arial"/>
          <w:sz w:val="15"/>
          <w:szCs w:val="15"/>
          <w:u w:val="single" w:color="auto"/>
          <w:color w:val="auto"/>
        </w:rPr>
        <w:t>Exercise of Option</w:t>
      </w:r>
      <w:r>
        <w:rPr>
          <w:rFonts w:ascii="Arial" w:cs="Arial" w:eastAsia="Arial" w:hAnsi="Arial"/>
          <w:sz w:val="15"/>
          <w:szCs w:val="15"/>
          <w:color w:val="auto"/>
        </w:rPr>
        <w:t>.</w:t>
      </w:r>
    </w:p>
    <w:p>
      <w:pPr>
        <w:spacing w:after="0" w:line="98" w:lineRule="exact"/>
        <w:rPr>
          <w:sz w:val="20"/>
          <w:szCs w:val="20"/>
          <w:color w:val="auto"/>
        </w:rPr>
      </w:pPr>
    </w:p>
    <w:p>
      <w:pPr>
        <w:ind w:left="10" w:right="100" w:firstLine="1936"/>
        <w:spacing w:after="0" w:line="312" w:lineRule="auto"/>
        <w:tabs>
          <w:tab w:leader="none" w:pos="2248" w:val="left"/>
        </w:tabs>
        <w:numPr>
          <w:ilvl w:val="0"/>
          <w:numId w:val="277"/>
        </w:numPr>
        <w:rPr>
          <w:rFonts w:ascii="Arial" w:cs="Arial" w:eastAsia="Arial" w:hAnsi="Arial"/>
          <w:sz w:val="14"/>
          <w:szCs w:val="14"/>
          <w:color w:val="auto"/>
        </w:rPr>
      </w:pPr>
      <w:r>
        <w:rPr>
          <w:rFonts w:ascii="Arial" w:cs="Arial" w:eastAsia="Arial" w:hAnsi="Arial"/>
          <w:sz w:val="14"/>
          <w:szCs w:val="14"/>
          <w:u w:val="single" w:color="auto"/>
          <w:color w:val="auto"/>
        </w:rPr>
        <w:t>Procedure for Exercise; Rights as a Stockholder</w:t>
      </w:r>
      <w:r>
        <w:rPr>
          <w:rFonts w:ascii="Arial" w:cs="Arial" w:eastAsia="Arial" w:hAnsi="Arial"/>
          <w:sz w:val="14"/>
          <w:szCs w:val="14"/>
          <w:color w:val="auto"/>
        </w:rPr>
        <w:t>. Any Option granted hereunder will be exercisable according to the terms of the Plan and at such times and under such conditions as determined by the Administrator and set forth in the Award Agreement. An Option may not be exercised for a fraction of a Share.</w:t>
      </w:r>
    </w:p>
    <w:p>
      <w:pPr>
        <w:spacing w:after="0" w:line="66" w:lineRule="exact"/>
        <w:rPr>
          <w:sz w:val="20"/>
          <w:szCs w:val="20"/>
          <w:color w:val="auto"/>
        </w:rPr>
      </w:pPr>
    </w:p>
    <w:p>
      <w:pPr>
        <w:jc w:val="center"/>
        <w:ind w:right="-9"/>
        <w:spacing w:after="0"/>
        <w:rPr>
          <w:sz w:val="20"/>
          <w:szCs w:val="20"/>
          <w:color w:val="auto"/>
        </w:rPr>
      </w:pPr>
      <w:r>
        <w:rPr>
          <w:rFonts w:ascii="Arial" w:cs="Arial" w:eastAsia="Arial" w:hAnsi="Arial"/>
          <w:sz w:val="15"/>
          <w:szCs w:val="15"/>
          <w:color w:val="auto"/>
        </w:rPr>
        <w:t>-9-</w:t>
      </w:r>
    </w:p>
    <w:p>
      <w:pPr>
        <w:sectPr>
          <w:pgSz w:w="11900" w:h="16838" w:orient="portrait"/>
          <w:cols w:equalWidth="0" w:num="1">
            <w:col w:w="11450"/>
          </w:cols>
          <w:pgMar w:left="230" w:top="253" w:right="219" w:bottom="1440" w:gutter="0" w:footer="0" w:header="0"/>
        </w:sectPr>
      </w:pPr>
    </w:p>
    <w:bookmarkStart w:id="351" w:name="page352"/>
    <w:bookmarkEnd w:id="351"/>
    <w:p>
      <w:pPr>
        <w:ind w:right="20" w:firstLine="1488"/>
        <w:spacing w:after="0" w:line="276" w:lineRule="auto"/>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133350</wp:posOffset>
            </wp:positionH>
            <wp:positionV relativeFrom="page">
              <wp:posOffset>88900</wp:posOffset>
            </wp:positionV>
            <wp:extent cx="7308850" cy="34290"/>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30">
                      <a:extLst>
                        <a:ext uri="{28A0092B-C50C-407E-A947-70E740481C1C}"/>
                      </a:extLst>
                    </a:blip>
                    <a:srcRect/>
                    <a:stretch>
                      <a:fillRect/>
                    </a:stretch>
                  </pic:blipFill>
                  <pic:spPr bwMode="auto">
                    <a:xfrm>
                      <a:off x="0" y="0"/>
                      <a:ext cx="7308850" cy="34290"/>
                    </a:xfrm>
                    <a:prstGeom prst="rect">
                      <a:avLst/>
                    </a:prstGeom>
                    <a:noFill/>
                  </pic:spPr>
                </pic:pic>
              </a:graphicData>
            </a:graphic>
          </wp:anchor>
        </w:drawing>
        <w:t>An Option will be deemed exercised when the Company receives: (i) a notice of exercise (in such form as the Administrator may specify from time to time) from the person entitled to exercise the Option, and (ii) full payment for the Shares with respect to which the Option is exercised (together with applicable withholding taxes). Full payment may consist of any consideration and method of payment authorized by the Administrator and permitted by the Award Agreement and the Plan. Shares issued upon exercise of an Option will be issued in the name of the Participant or, if requested by the Participant, in the name of the Participant and his or her spouse. Until the Shares are issued (as evidenced by the appropriate entry on the books of the Company or of a duly authorized transfer agent of the Company), no right to vote or receive dividends or any other rights as a stockholder will exist with respect to the Shares subject to an Option, notwithstanding the exercise of the Option. The Company will issue (or cause to be issued) such Shares promptly after the Option is exercised. No adjustment will be made for a dividend or other right for which the record date is prior to the date the Shares are issued, except as provided in Section 14 of the Plan.</w:t>
      </w:r>
    </w:p>
    <w:p>
      <w:pPr>
        <w:spacing w:after="0" w:line="148" w:lineRule="exact"/>
        <w:rPr>
          <w:sz w:val="20"/>
          <w:szCs w:val="20"/>
          <w:color w:val="auto"/>
        </w:rPr>
      </w:pPr>
    </w:p>
    <w:p>
      <w:pPr>
        <w:ind w:right="400" w:firstLine="1488"/>
        <w:spacing w:after="0" w:line="275" w:lineRule="auto"/>
        <w:rPr>
          <w:sz w:val="20"/>
          <w:szCs w:val="20"/>
          <w:color w:val="auto"/>
        </w:rPr>
      </w:pPr>
      <w:r>
        <w:rPr>
          <w:rFonts w:ascii="Arial" w:cs="Arial" w:eastAsia="Arial" w:hAnsi="Arial"/>
          <w:sz w:val="15"/>
          <w:szCs w:val="15"/>
          <w:color w:val="auto"/>
        </w:rPr>
        <w:t>Exercising an Option in any manner will decrease the number of Shares thereafter available, both for purposes of the Plan and for sale under the Option, by the number of Shares as to which the Option is exercised.</w:t>
      </w:r>
    </w:p>
    <w:p>
      <w:pPr>
        <w:spacing w:after="0" w:line="146" w:lineRule="exact"/>
        <w:rPr>
          <w:sz w:val="20"/>
          <w:szCs w:val="20"/>
          <w:color w:val="auto"/>
        </w:rPr>
      </w:pPr>
    </w:p>
    <w:p>
      <w:pPr>
        <w:ind w:right="20" w:firstLine="1478"/>
        <w:spacing w:after="0" w:line="277" w:lineRule="auto"/>
        <w:tabs>
          <w:tab w:leader="none" w:pos="1822" w:val="left"/>
        </w:tabs>
        <w:numPr>
          <w:ilvl w:val="0"/>
          <w:numId w:val="278"/>
        </w:numPr>
        <w:rPr>
          <w:rFonts w:ascii="Arial" w:cs="Arial" w:eastAsia="Arial" w:hAnsi="Arial"/>
          <w:sz w:val="14"/>
          <w:szCs w:val="14"/>
          <w:color w:val="auto"/>
        </w:rPr>
      </w:pPr>
      <w:r>
        <w:rPr>
          <w:rFonts w:ascii="Arial" w:cs="Arial" w:eastAsia="Arial" w:hAnsi="Arial"/>
          <w:sz w:val="14"/>
          <w:szCs w:val="14"/>
          <w:u w:val="single" w:color="auto"/>
          <w:color w:val="auto"/>
        </w:rPr>
        <w:t>Termination of Relationship as a Service Provider</w:t>
      </w:r>
      <w:r>
        <w:rPr>
          <w:rFonts w:ascii="Arial" w:cs="Arial" w:eastAsia="Arial" w:hAnsi="Arial"/>
          <w:sz w:val="14"/>
          <w:szCs w:val="14"/>
          <w:color w:val="auto"/>
        </w:rPr>
        <w:t>. If a Participant ceases to be a Service Provider, other than upon the Participant’s termination as the result of the Participant’s death or Disability, the Participant may exercise his or her Option within such period of time as is specified in the Award Agreement to the extent that the Option is vested on the date of termination (but in no event later than the expiration of the term of such Option as set forth in the Award Agreement). In the absence of a specified time in the Award Agreement, the Option will remain exercisable for three (3) months following the Participant’s termination. Unless otherwise provided by the Administrator, if on the date of termination the Participant is not vested as to his or her entire Option, the Shares covered by the unvested portion of the Option will revert to the Plan. If after termination the Participant does not exercise his or her Option within the time specified by the Administrator, the Option will terminate, and the Shares covered by such Option will revert to the Plan.</w:t>
      </w:r>
    </w:p>
    <w:p>
      <w:pPr>
        <w:spacing w:after="0" w:line="148" w:lineRule="exact"/>
        <w:rPr>
          <w:rFonts w:ascii="Arial" w:cs="Arial" w:eastAsia="Arial" w:hAnsi="Arial"/>
          <w:sz w:val="14"/>
          <w:szCs w:val="14"/>
          <w:color w:val="auto"/>
        </w:rPr>
      </w:pPr>
    </w:p>
    <w:p>
      <w:pPr>
        <w:ind w:firstLine="1478"/>
        <w:spacing w:after="0" w:line="255" w:lineRule="auto"/>
        <w:tabs>
          <w:tab w:leader="none" w:pos="1864" w:val="left"/>
        </w:tabs>
        <w:numPr>
          <w:ilvl w:val="0"/>
          <w:numId w:val="278"/>
        </w:numPr>
        <w:rPr>
          <w:rFonts w:ascii="Arial" w:cs="Arial" w:eastAsia="Arial" w:hAnsi="Arial"/>
          <w:sz w:val="15"/>
          <w:szCs w:val="15"/>
          <w:color w:val="auto"/>
        </w:rPr>
      </w:pPr>
      <w:r>
        <w:rPr>
          <w:rFonts w:ascii="Arial" w:cs="Arial" w:eastAsia="Arial" w:hAnsi="Arial"/>
          <w:sz w:val="15"/>
          <w:szCs w:val="15"/>
          <w:u w:val="single" w:color="auto"/>
          <w:color w:val="auto"/>
        </w:rPr>
        <w:t>Disability of Participant</w:t>
      </w:r>
      <w:r>
        <w:rPr>
          <w:rFonts w:ascii="Arial" w:cs="Arial" w:eastAsia="Arial" w:hAnsi="Arial"/>
          <w:sz w:val="15"/>
          <w:szCs w:val="15"/>
          <w:color w:val="auto"/>
        </w:rPr>
        <w:t>. If a Participant ceases to be a Service Provider as a result of the Participant’s Disability, the Participant may exercise his or her Option within such period of time as is specified in the Award Agreement to the extent the Option is vested on the date of termination (but in no event later than the expiration of the term of such Option as set forth in the Award Agreement). In the absence of a specified time in the Award Agreement, the Option will remain exercisable for twelve (12) months following the Participant’s termination. Unless otherwise provided by the Administrator, if on the date of termination the Participant is not vested as to his or her entire Option, the Shares covered by the unvested portion of the Option will revert to the Plan. If after termination the Participant does not exercise his or her Option within the time specified herein, the Option will terminate, and the Shares covered by such Option will revert to the Plan.</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-10-</w:t>
      </w:r>
    </w:p>
    <w:p>
      <w:pPr>
        <w:sectPr>
          <w:pgSz w:w="11900" w:h="16838" w:orient="portrait"/>
          <w:cols w:equalWidth="0" w:num="1">
            <w:col w:w="11440"/>
          </w:cols>
          <w:pgMar w:left="240" w:top="253" w:right="219" w:bottom="1440" w:gutter="0" w:footer="0" w:header="0"/>
        </w:sectPr>
      </w:pPr>
    </w:p>
    <w:bookmarkStart w:id="352" w:name="page353"/>
    <w:bookmarkEnd w:id="352"/>
    <w:p>
      <w:pPr>
        <w:ind w:firstLine="1478"/>
        <w:spacing w:after="0" w:line="275" w:lineRule="auto"/>
        <w:tabs>
          <w:tab w:leader="none" w:pos="1855" w:val="left"/>
        </w:tabs>
        <w:numPr>
          <w:ilvl w:val="2"/>
          <w:numId w:val="279"/>
        </w:numPr>
        <w:rPr>
          <w:rFonts w:ascii="Arial" w:cs="Arial" w:eastAsia="Arial" w:hAnsi="Arial"/>
          <w:sz w:val="14"/>
          <w:szCs w:val="14"/>
          <w:color w:val="auto"/>
        </w:rPr>
      </w:pPr>
      <w:r>
        <w:rPr>
          <w:rFonts w:ascii="Arial" w:cs="Arial" w:eastAsia="Arial" w:hAnsi="Arial"/>
          <w:sz w:val="14"/>
          <w:szCs w:val="14"/>
          <w:u w:val="single" w:color="auto"/>
          <w:color w:val="auto"/>
        </w:rPr>
        <w:drawing>
          <wp:anchor simplePos="0" relativeHeight="251657728" behindDoc="1" locked="0" layoutInCell="0" allowOverlap="1">
            <wp:simplePos x="0" y="0"/>
            <wp:positionH relativeFrom="page">
              <wp:posOffset>133350</wp:posOffset>
            </wp:positionH>
            <wp:positionV relativeFrom="page">
              <wp:posOffset>88900</wp:posOffset>
            </wp:positionV>
            <wp:extent cx="7308850" cy="34290"/>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31">
                      <a:extLst>
                        <a:ext uri="{28A0092B-C50C-407E-A947-70E740481C1C}"/>
                      </a:extLst>
                    </a:blip>
                    <a:srcRect/>
                    <a:stretch>
                      <a:fillRect/>
                    </a:stretch>
                  </pic:blipFill>
                  <pic:spPr bwMode="auto">
                    <a:xfrm>
                      <a:off x="0" y="0"/>
                      <a:ext cx="7308850" cy="34290"/>
                    </a:xfrm>
                    <a:prstGeom prst="rect">
                      <a:avLst/>
                    </a:prstGeom>
                    <a:noFill/>
                  </pic:spPr>
                </pic:pic>
              </a:graphicData>
            </a:graphic>
          </wp:anchor>
        </w:drawing>
        <w:t>Death of Participant</w:t>
      </w:r>
      <w:r>
        <w:rPr>
          <w:rFonts w:ascii="Arial" w:cs="Arial" w:eastAsia="Arial" w:hAnsi="Arial"/>
          <w:sz w:val="14"/>
          <w:szCs w:val="14"/>
          <w:color w:val="auto"/>
        </w:rPr>
        <w:t>. If a Participant dies while a Service Provider, the Option may be exercised following the Participant’s death within such period of time as is specified in the Award Agreement to the extent that the Option is vested on the date of death (but in no event may the option be exercised later than the expiration of the term of such Option as set forth in the Award Agreement), by the Participant’s designated beneficiary, provided such beneficiary has been designated prior to Participant’s death in a form acceptable to the Administrator. If no such beneficiary has been designated by the Participant, then such Option may be exercised by the personal representative of the Participant’s estate or by the person(s) to whom the Option is transferred pursuant to the Participant’s will or in accordance with the laws of descent and distribution. In the absence of a specified time in the Award Agreement, the Option will remain exercisable for twelve (12) months following Participant’s death. Unless otherwise provided by the Administrator, if at the time of death Participant is not vested as to his or her entire Option, the Shares covered by the unvested portion of the Option will immediately revert to the Plan. If the Option is not so exercised within the time specified herein, the Option will terminate, and the Shares covered by such Option will revert to the Plan.</w:t>
      </w:r>
    </w:p>
    <w:p>
      <w:pPr>
        <w:spacing w:after="0" w:line="148" w:lineRule="exact"/>
        <w:rPr>
          <w:rFonts w:ascii="Arial" w:cs="Arial" w:eastAsia="Arial" w:hAnsi="Arial"/>
          <w:sz w:val="14"/>
          <w:szCs w:val="14"/>
          <w:color w:val="auto"/>
        </w:rPr>
      </w:pPr>
    </w:p>
    <w:p>
      <w:pPr>
        <w:ind w:left="1800" w:hanging="322"/>
        <w:spacing w:after="0"/>
        <w:tabs>
          <w:tab w:leader="none" w:pos="1800" w:val="left"/>
        </w:tabs>
        <w:numPr>
          <w:ilvl w:val="2"/>
          <w:numId w:val="279"/>
        </w:numPr>
        <w:rPr>
          <w:rFonts w:ascii="Arial" w:cs="Arial" w:eastAsia="Arial" w:hAnsi="Arial"/>
          <w:sz w:val="15"/>
          <w:szCs w:val="15"/>
          <w:color w:val="auto"/>
        </w:rPr>
      </w:pPr>
      <w:r>
        <w:rPr>
          <w:rFonts w:ascii="Arial" w:cs="Arial" w:eastAsia="Arial" w:hAnsi="Arial"/>
          <w:sz w:val="15"/>
          <w:szCs w:val="15"/>
          <w:u w:val="single" w:color="auto"/>
          <w:color w:val="auto"/>
        </w:rPr>
        <w:t>Tolling Expiration</w:t>
      </w:r>
      <w:r>
        <w:rPr>
          <w:rFonts w:ascii="Arial" w:cs="Arial" w:eastAsia="Arial" w:hAnsi="Arial"/>
          <w:sz w:val="15"/>
          <w:szCs w:val="15"/>
          <w:color w:val="auto"/>
        </w:rPr>
        <w:t>. A Participant’s Award Agreement may also provide that:</w:t>
      </w:r>
    </w:p>
    <w:p>
      <w:pPr>
        <w:spacing w:after="0" w:line="188" w:lineRule="exact"/>
        <w:rPr>
          <w:rFonts w:ascii="Arial" w:cs="Arial" w:eastAsia="Arial" w:hAnsi="Arial"/>
          <w:sz w:val="15"/>
          <w:szCs w:val="15"/>
          <w:color w:val="auto"/>
        </w:rPr>
      </w:pPr>
    </w:p>
    <w:p>
      <w:pPr>
        <w:ind w:right="40" w:firstLine="1936"/>
        <w:spacing w:after="0" w:line="263" w:lineRule="auto"/>
        <w:tabs>
          <w:tab w:leader="none" w:pos="2272" w:val="left"/>
        </w:tabs>
        <w:numPr>
          <w:ilvl w:val="3"/>
          <w:numId w:val="279"/>
        </w:numPr>
        <w:rPr>
          <w:rFonts w:ascii="Arial" w:cs="Arial" w:eastAsia="Arial" w:hAnsi="Arial"/>
          <w:sz w:val="15"/>
          <w:szCs w:val="15"/>
          <w:color w:val="auto"/>
        </w:rPr>
      </w:pPr>
      <w:r>
        <w:rPr>
          <w:rFonts w:ascii="Arial" w:cs="Arial" w:eastAsia="Arial" w:hAnsi="Arial"/>
          <w:sz w:val="15"/>
          <w:szCs w:val="15"/>
          <w:color w:val="auto"/>
        </w:rPr>
        <w:t>if the exercise of the Option following the termination of Participant’s status as a Service Provider (other than upon the Participant’s death or Disability) would result in liability under Section 16(b), then the Option will terminate on the earlier of (A) the expiration of the term of the Option set forth in the Award Agreement, or (B) the tenth (10</w:t>
      </w:r>
      <w:r>
        <w:rPr>
          <w:rFonts w:ascii="Arial" w:cs="Arial" w:eastAsia="Arial" w:hAnsi="Arial"/>
          <w:sz w:val="12"/>
          <w:szCs w:val="12"/>
          <w:color w:val="auto"/>
        </w:rPr>
        <w:t>th</w:t>
      </w:r>
      <w:r>
        <w:rPr>
          <w:rFonts w:ascii="Arial" w:cs="Arial" w:eastAsia="Arial" w:hAnsi="Arial"/>
          <w:sz w:val="15"/>
          <w:szCs w:val="15"/>
          <w:color w:val="auto"/>
        </w:rPr>
        <w:t>) day after the last date on which such exercise would result in liability under Section 16(b); or</w:t>
      </w:r>
    </w:p>
    <w:p>
      <w:pPr>
        <w:spacing w:after="0" w:line="154" w:lineRule="exact"/>
        <w:rPr>
          <w:rFonts w:ascii="Arial" w:cs="Arial" w:eastAsia="Arial" w:hAnsi="Arial"/>
          <w:sz w:val="15"/>
          <w:szCs w:val="15"/>
          <w:color w:val="auto"/>
        </w:rPr>
      </w:pPr>
    </w:p>
    <w:p>
      <w:pPr>
        <w:ind w:right="160" w:firstLine="1936"/>
        <w:spacing w:after="0" w:line="259" w:lineRule="auto"/>
        <w:tabs>
          <w:tab w:leader="none" w:pos="2272" w:val="left"/>
        </w:tabs>
        <w:numPr>
          <w:ilvl w:val="3"/>
          <w:numId w:val="279"/>
        </w:numPr>
        <w:rPr>
          <w:rFonts w:ascii="Arial" w:cs="Arial" w:eastAsia="Arial" w:hAnsi="Arial"/>
          <w:sz w:val="15"/>
          <w:szCs w:val="15"/>
          <w:color w:val="auto"/>
        </w:rPr>
      </w:pPr>
      <w:r>
        <w:rPr>
          <w:rFonts w:ascii="Arial" w:cs="Arial" w:eastAsia="Arial" w:hAnsi="Arial"/>
          <w:sz w:val="15"/>
          <w:szCs w:val="15"/>
          <w:color w:val="auto"/>
        </w:rPr>
        <w:t>if the exercise of the Option following the termination of the Participant’s status as a Service Provider (other than upon the Participant’s death or Disability) would be prohibited at any time solely because the issuance of Shares would violate the registration requirements under the Securities Act, then the Option will terminate on the earlier of (A) the expiration of the term of the Option or (B) the expiration of a period of thirty (30)-day period after the termination of the Participant’s status as a Service Provider during which the exercise of the Option would not be in violation of such registration requirements.</w:t>
      </w:r>
    </w:p>
    <w:p>
      <w:pPr>
        <w:spacing w:after="0" w:line="247" w:lineRule="exact"/>
        <w:rPr>
          <w:rFonts w:ascii="Arial" w:cs="Arial" w:eastAsia="Arial" w:hAnsi="Arial"/>
          <w:sz w:val="15"/>
          <w:szCs w:val="15"/>
          <w:color w:val="auto"/>
        </w:rPr>
      </w:pPr>
    </w:p>
    <w:p>
      <w:pPr>
        <w:ind w:left="720" w:hanging="272"/>
        <w:spacing w:after="0"/>
        <w:tabs>
          <w:tab w:leader="none" w:pos="720" w:val="left"/>
        </w:tabs>
        <w:numPr>
          <w:ilvl w:val="0"/>
          <w:numId w:val="280"/>
        </w:numPr>
        <w:rPr>
          <w:rFonts w:ascii="Arial" w:cs="Arial" w:eastAsia="Arial" w:hAnsi="Arial"/>
          <w:sz w:val="15"/>
          <w:szCs w:val="15"/>
          <w:color w:val="auto"/>
        </w:rPr>
      </w:pPr>
      <w:r>
        <w:rPr>
          <w:rFonts w:ascii="Arial" w:cs="Arial" w:eastAsia="Arial" w:hAnsi="Arial"/>
          <w:sz w:val="15"/>
          <w:szCs w:val="15"/>
          <w:u w:val="single" w:color="auto"/>
          <w:color w:val="auto"/>
        </w:rPr>
        <w:t>Restricted Stock</w:t>
      </w:r>
      <w:r>
        <w:rPr>
          <w:rFonts w:ascii="Arial" w:cs="Arial" w:eastAsia="Arial" w:hAnsi="Arial"/>
          <w:sz w:val="15"/>
          <w:szCs w:val="15"/>
          <w:color w:val="auto"/>
        </w:rPr>
        <w:t>.</w:t>
      </w:r>
    </w:p>
    <w:p>
      <w:pPr>
        <w:spacing w:after="0" w:line="98" w:lineRule="exact"/>
        <w:rPr>
          <w:rFonts w:ascii="Arial" w:cs="Arial" w:eastAsia="Arial" w:hAnsi="Arial"/>
          <w:sz w:val="15"/>
          <w:szCs w:val="15"/>
          <w:color w:val="auto"/>
        </w:rPr>
      </w:pPr>
    </w:p>
    <w:p>
      <w:pPr>
        <w:ind w:right="120" w:firstLine="906"/>
        <w:spacing w:after="0" w:line="275" w:lineRule="auto"/>
        <w:tabs>
          <w:tab w:leader="none" w:pos="1233" w:val="left"/>
        </w:tabs>
        <w:numPr>
          <w:ilvl w:val="1"/>
          <w:numId w:val="280"/>
        </w:numPr>
        <w:rPr>
          <w:rFonts w:ascii="Arial" w:cs="Arial" w:eastAsia="Arial" w:hAnsi="Arial"/>
          <w:sz w:val="15"/>
          <w:szCs w:val="15"/>
          <w:color w:val="auto"/>
        </w:rPr>
      </w:pPr>
      <w:r>
        <w:rPr>
          <w:rFonts w:ascii="Arial" w:cs="Arial" w:eastAsia="Arial" w:hAnsi="Arial"/>
          <w:sz w:val="15"/>
          <w:szCs w:val="15"/>
          <w:u w:val="single" w:color="auto"/>
          <w:color w:val="auto"/>
        </w:rPr>
        <w:t>Grant of Restricted Stock</w:t>
      </w:r>
      <w:r>
        <w:rPr>
          <w:rFonts w:ascii="Arial" w:cs="Arial" w:eastAsia="Arial" w:hAnsi="Arial"/>
          <w:sz w:val="15"/>
          <w:szCs w:val="15"/>
          <w:color w:val="auto"/>
        </w:rPr>
        <w:t>. Subject to the terms and provisions of the Plan, the Administrator, at any time and from time to time, may grant Shares of Restricted Stock to Service Providers in such amounts as the Administrator, in its sole discretion, will determine.</w:t>
      </w:r>
    </w:p>
    <w:p>
      <w:pPr>
        <w:spacing w:after="0" w:line="146" w:lineRule="exact"/>
        <w:rPr>
          <w:rFonts w:ascii="Arial" w:cs="Arial" w:eastAsia="Arial" w:hAnsi="Arial"/>
          <w:sz w:val="15"/>
          <w:szCs w:val="15"/>
          <w:color w:val="auto"/>
        </w:rPr>
      </w:pPr>
    </w:p>
    <w:p>
      <w:pPr>
        <w:ind w:right="40" w:firstLine="906"/>
        <w:spacing w:after="0" w:line="263" w:lineRule="auto"/>
        <w:tabs>
          <w:tab w:leader="none" w:pos="1241" w:val="left"/>
        </w:tabs>
        <w:numPr>
          <w:ilvl w:val="1"/>
          <w:numId w:val="280"/>
        </w:numPr>
        <w:rPr>
          <w:rFonts w:ascii="Arial" w:cs="Arial" w:eastAsia="Arial" w:hAnsi="Arial"/>
          <w:sz w:val="15"/>
          <w:szCs w:val="15"/>
          <w:color w:val="auto"/>
        </w:rPr>
      </w:pPr>
      <w:r>
        <w:rPr>
          <w:rFonts w:ascii="Arial" w:cs="Arial" w:eastAsia="Arial" w:hAnsi="Arial"/>
          <w:sz w:val="15"/>
          <w:szCs w:val="15"/>
          <w:u w:val="single" w:color="auto"/>
          <w:color w:val="auto"/>
        </w:rPr>
        <w:t>Restricted Stock Agreement</w:t>
      </w:r>
      <w:r>
        <w:rPr>
          <w:rFonts w:ascii="Arial" w:cs="Arial" w:eastAsia="Arial" w:hAnsi="Arial"/>
          <w:sz w:val="15"/>
          <w:szCs w:val="15"/>
          <w:color w:val="auto"/>
        </w:rPr>
        <w:t>. Each Award of Restricted Stock will be evidenced by an Award Agreement that will specify the Period of Restriction, the number of Shares granted, and such other terms and conditions as the Administrator, in its sole discretion, will determine. Unless the Administrator determines otherwise, the Company as escrow agent will hold Shares of Restricted Stock until the restrictions on such Shares have lapsed.</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-11-</w:t>
      </w:r>
    </w:p>
    <w:p>
      <w:pPr>
        <w:sectPr>
          <w:pgSz w:w="11900" w:h="16838" w:orient="portrait"/>
          <w:cols w:equalWidth="0" w:num="1">
            <w:col w:w="11440"/>
          </w:cols>
          <w:pgMar w:left="240" w:top="253" w:right="219" w:bottom="1440" w:gutter="0" w:footer="0" w:header="0"/>
        </w:sectPr>
      </w:pPr>
    </w:p>
    <w:bookmarkStart w:id="353" w:name="page354"/>
    <w:bookmarkEnd w:id="353"/>
    <w:p>
      <w:pPr>
        <w:ind w:right="200" w:firstLine="906"/>
        <w:spacing w:after="0" w:line="275" w:lineRule="auto"/>
        <w:tabs>
          <w:tab w:leader="none" w:pos="1233" w:val="left"/>
        </w:tabs>
        <w:numPr>
          <w:ilvl w:val="1"/>
          <w:numId w:val="281"/>
        </w:numPr>
        <w:rPr>
          <w:rFonts w:ascii="Arial" w:cs="Arial" w:eastAsia="Arial" w:hAnsi="Arial"/>
          <w:sz w:val="15"/>
          <w:szCs w:val="15"/>
          <w:color w:val="auto"/>
        </w:rPr>
      </w:pPr>
      <w:r>
        <w:rPr>
          <w:rFonts w:ascii="Arial" w:cs="Arial" w:eastAsia="Arial" w:hAnsi="Arial"/>
          <w:sz w:val="15"/>
          <w:szCs w:val="15"/>
          <w:u w:val="single" w:color="auto"/>
          <w:color w:val="auto"/>
        </w:rPr>
        <w:drawing>
          <wp:anchor simplePos="0" relativeHeight="251657728" behindDoc="1" locked="0" layoutInCell="0" allowOverlap="1">
            <wp:simplePos x="0" y="0"/>
            <wp:positionH relativeFrom="page">
              <wp:posOffset>133350</wp:posOffset>
            </wp:positionH>
            <wp:positionV relativeFrom="page">
              <wp:posOffset>88900</wp:posOffset>
            </wp:positionV>
            <wp:extent cx="7308850" cy="34290"/>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32">
                      <a:extLst>
                        <a:ext uri="{28A0092B-C50C-407E-A947-70E740481C1C}"/>
                      </a:extLst>
                    </a:blip>
                    <a:srcRect/>
                    <a:stretch>
                      <a:fillRect/>
                    </a:stretch>
                  </pic:blipFill>
                  <pic:spPr bwMode="auto">
                    <a:xfrm>
                      <a:off x="0" y="0"/>
                      <a:ext cx="7308850" cy="34290"/>
                    </a:xfrm>
                    <a:prstGeom prst="rect">
                      <a:avLst/>
                    </a:prstGeom>
                    <a:noFill/>
                  </pic:spPr>
                </pic:pic>
              </a:graphicData>
            </a:graphic>
          </wp:anchor>
        </w:drawing>
        <w:t>Transferability</w:t>
      </w:r>
      <w:r>
        <w:rPr>
          <w:rFonts w:ascii="Arial" w:cs="Arial" w:eastAsia="Arial" w:hAnsi="Arial"/>
          <w:sz w:val="15"/>
          <w:szCs w:val="15"/>
          <w:color w:val="auto"/>
        </w:rPr>
        <w:t>. Except as provided in this Section 7 or the Award Agreement, Shares of Restricted Stock may not be sold, transferred, pledged, assigned, or otherwise alienated or hypothecated until the end of the applicable Period of Restriction.</w:t>
      </w:r>
    </w:p>
    <w:p>
      <w:pPr>
        <w:spacing w:after="0" w:line="146" w:lineRule="exact"/>
        <w:rPr>
          <w:rFonts w:ascii="Arial" w:cs="Arial" w:eastAsia="Arial" w:hAnsi="Arial"/>
          <w:sz w:val="15"/>
          <w:szCs w:val="15"/>
          <w:color w:val="auto"/>
        </w:rPr>
      </w:pPr>
    </w:p>
    <w:p>
      <w:pPr>
        <w:ind w:left="1240" w:hanging="334"/>
        <w:spacing w:after="0"/>
        <w:tabs>
          <w:tab w:leader="none" w:pos="1240" w:val="left"/>
        </w:tabs>
        <w:numPr>
          <w:ilvl w:val="1"/>
          <w:numId w:val="281"/>
        </w:numPr>
        <w:rPr>
          <w:rFonts w:ascii="Arial" w:cs="Arial" w:eastAsia="Arial" w:hAnsi="Arial"/>
          <w:sz w:val="13"/>
          <w:szCs w:val="13"/>
          <w:color w:val="auto"/>
        </w:rPr>
      </w:pPr>
      <w:r>
        <w:rPr>
          <w:rFonts w:ascii="Arial" w:cs="Arial" w:eastAsia="Arial" w:hAnsi="Arial"/>
          <w:sz w:val="13"/>
          <w:szCs w:val="13"/>
          <w:u w:val="single" w:color="auto"/>
          <w:color w:val="auto"/>
        </w:rPr>
        <w:t>Other Restrictions</w:t>
      </w:r>
      <w:r>
        <w:rPr>
          <w:rFonts w:ascii="Arial" w:cs="Arial" w:eastAsia="Arial" w:hAnsi="Arial"/>
          <w:sz w:val="13"/>
          <w:szCs w:val="13"/>
          <w:color w:val="auto"/>
        </w:rPr>
        <w:t>. The Administrator, in its sole discretion, may impose such other restrictions on Shares of Restricted Stock as it may deem advisable or appropriate.</w:t>
      </w:r>
    </w:p>
    <w:p>
      <w:pPr>
        <w:spacing w:after="0" w:line="211" w:lineRule="exact"/>
        <w:rPr>
          <w:rFonts w:ascii="Arial" w:cs="Arial" w:eastAsia="Arial" w:hAnsi="Arial"/>
          <w:sz w:val="13"/>
          <w:szCs w:val="13"/>
          <w:color w:val="auto"/>
        </w:rPr>
      </w:pPr>
    </w:p>
    <w:p>
      <w:pPr>
        <w:jc w:val="both"/>
        <w:ind w:right="100" w:firstLine="906"/>
        <w:spacing w:after="0" w:line="263" w:lineRule="auto"/>
        <w:tabs>
          <w:tab w:leader="none" w:pos="1233" w:val="left"/>
        </w:tabs>
        <w:numPr>
          <w:ilvl w:val="1"/>
          <w:numId w:val="281"/>
        </w:numPr>
        <w:rPr>
          <w:rFonts w:ascii="Arial" w:cs="Arial" w:eastAsia="Arial" w:hAnsi="Arial"/>
          <w:sz w:val="15"/>
          <w:szCs w:val="15"/>
          <w:color w:val="auto"/>
        </w:rPr>
      </w:pPr>
      <w:r>
        <w:rPr>
          <w:rFonts w:ascii="Arial" w:cs="Arial" w:eastAsia="Arial" w:hAnsi="Arial"/>
          <w:sz w:val="15"/>
          <w:szCs w:val="15"/>
          <w:u w:val="single" w:color="auto"/>
          <w:color w:val="auto"/>
        </w:rPr>
        <w:t>Removal of Restrictions</w:t>
      </w:r>
      <w:r>
        <w:rPr>
          <w:rFonts w:ascii="Arial" w:cs="Arial" w:eastAsia="Arial" w:hAnsi="Arial"/>
          <w:sz w:val="15"/>
          <w:szCs w:val="15"/>
          <w:color w:val="auto"/>
        </w:rPr>
        <w:t>. Except as otherwise provided in this Section 7, Shares of Restricted Stock covered by each Restricted Stock grant made under the Plan will be released from escrow as soon as practicable after the last day of the Period of Restriction or at such other time as the Administrator may determine. The Administrator, in its discretion, may accelerate the time at which any restrictions will lapse or be removed.</w:t>
      </w:r>
    </w:p>
    <w:p>
      <w:pPr>
        <w:spacing w:after="0" w:line="154" w:lineRule="exact"/>
        <w:rPr>
          <w:rFonts w:ascii="Arial" w:cs="Arial" w:eastAsia="Arial" w:hAnsi="Arial"/>
          <w:sz w:val="15"/>
          <w:szCs w:val="15"/>
          <w:color w:val="auto"/>
        </w:rPr>
      </w:pPr>
    </w:p>
    <w:p>
      <w:pPr>
        <w:ind w:right="180" w:firstLine="906"/>
        <w:spacing w:after="0" w:line="275" w:lineRule="auto"/>
        <w:tabs>
          <w:tab w:leader="none" w:pos="1216" w:val="left"/>
        </w:tabs>
        <w:numPr>
          <w:ilvl w:val="1"/>
          <w:numId w:val="281"/>
        </w:numPr>
        <w:rPr>
          <w:rFonts w:ascii="Arial" w:cs="Arial" w:eastAsia="Arial" w:hAnsi="Arial"/>
          <w:sz w:val="15"/>
          <w:szCs w:val="15"/>
          <w:color w:val="auto"/>
        </w:rPr>
      </w:pPr>
      <w:r>
        <w:rPr>
          <w:rFonts w:ascii="Arial" w:cs="Arial" w:eastAsia="Arial" w:hAnsi="Arial"/>
          <w:sz w:val="15"/>
          <w:szCs w:val="15"/>
          <w:u w:val="single" w:color="auto"/>
          <w:color w:val="auto"/>
        </w:rPr>
        <w:t>Voting Rights</w:t>
      </w:r>
      <w:r>
        <w:rPr>
          <w:rFonts w:ascii="Arial" w:cs="Arial" w:eastAsia="Arial" w:hAnsi="Arial"/>
          <w:sz w:val="15"/>
          <w:szCs w:val="15"/>
          <w:color w:val="auto"/>
        </w:rPr>
        <w:t>. During the Period of Restriction, Service Providers holding Shares of Restricted Stock granted hereunder may exercise full voting rights with respect to those Shares, unless the Administrator determines otherwise.</w:t>
      </w:r>
    </w:p>
    <w:p>
      <w:pPr>
        <w:spacing w:after="0" w:line="146" w:lineRule="exact"/>
        <w:rPr>
          <w:rFonts w:ascii="Arial" w:cs="Arial" w:eastAsia="Arial" w:hAnsi="Arial"/>
          <w:sz w:val="15"/>
          <w:szCs w:val="15"/>
          <w:color w:val="auto"/>
        </w:rPr>
      </w:pPr>
    </w:p>
    <w:p>
      <w:pPr>
        <w:jc w:val="both"/>
        <w:ind w:right="200" w:firstLine="906"/>
        <w:spacing w:after="0" w:line="263" w:lineRule="auto"/>
        <w:tabs>
          <w:tab w:leader="none" w:pos="1241" w:val="left"/>
        </w:tabs>
        <w:numPr>
          <w:ilvl w:val="1"/>
          <w:numId w:val="281"/>
        </w:numPr>
        <w:rPr>
          <w:rFonts w:ascii="Arial" w:cs="Arial" w:eastAsia="Arial" w:hAnsi="Arial"/>
          <w:sz w:val="15"/>
          <w:szCs w:val="15"/>
          <w:color w:val="auto"/>
        </w:rPr>
      </w:pPr>
      <w:r>
        <w:rPr>
          <w:rFonts w:ascii="Arial" w:cs="Arial" w:eastAsia="Arial" w:hAnsi="Arial"/>
          <w:sz w:val="15"/>
          <w:szCs w:val="15"/>
          <w:u w:val="single" w:color="auto"/>
          <w:color w:val="auto"/>
        </w:rPr>
        <w:t>Dividends and Other Distributions</w:t>
      </w:r>
      <w:r>
        <w:rPr>
          <w:rFonts w:ascii="Arial" w:cs="Arial" w:eastAsia="Arial" w:hAnsi="Arial"/>
          <w:sz w:val="15"/>
          <w:szCs w:val="15"/>
          <w:color w:val="auto"/>
        </w:rPr>
        <w:t>. During the Period of Restriction, Service Providers holding Shares of Restricted Stock will be entitled to receive all dividends and other distributions paid with respect to such Shares, unless the Administrator provides otherwise. If any such dividends or distributions are paid in Shares, the Shares will be subject to the same restrictions on transferability and forfeitability as the Shares of Restricted Stock with respect to which they were paid.</w:t>
      </w:r>
    </w:p>
    <w:p>
      <w:pPr>
        <w:spacing w:after="0" w:line="154" w:lineRule="exact"/>
        <w:rPr>
          <w:rFonts w:ascii="Arial" w:cs="Arial" w:eastAsia="Arial" w:hAnsi="Arial"/>
          <w:sz w:val="15"/>
          <w:szCs w:val="15"/>
          <w:color w:val="auto"/>
        </w:rPr>
      </w:pPr>
    </w:p>
    <w:p>
      <w:pPr>
        <w:ind w:right="380" w:firstLine="906"/>
        <w:spacing w:after="0" w:line="275" w:lineRule="auto"/>
        <w:tabs>
          <w:tab w:leader="none" w:pos="1241" w:val="left"/>
        </w:tabs>
        <w:numPr>
          <w:ilvl w:val="1"/>
          <w:numId w:val="281"/>
        </w:numPr>
        <w:rPr>
          <w:rFonts w:ascii="Arial" w:cs="Arial" w:eastAsia="Arial" w:hAnsi="Arial"/>
          <w:sz w:val="15"/>
          <w:szCs w:val="15"/>
          <w:color w:val="auto"/>
        </w:rPr>
      </w:pPr>
      <w:r>
        <w:rPr>
          <w:rFonts w:ascii="Arial" w:cs="Arial" w:eastAsia="Arial" w:hAnsi="Arial"/>
          <w:sz w:val="15"/>
          <w:szCs w:val="15"/>
          <w:u w:val="single" w:color="auto"/>
          <w:color w:val="auto"/>
        </w:rPr>
        <w:t>Return of Restricted Stock to Company</w:t>
      </w:r>
      <w:r>
        <w:rPr>
          <w:rFonts w:ascii="Arial" w:cs="Arial" w:eastAsia="Arial" w:hAnsi="Arial"/>
          <w:sz w:val="15"/>
          <w:szCs w:val="15"/>
          <w:color w:val="auto"/>
        </w:rPr>
        <w:t>. On the date set forth in the Award Agreement, the Restricted Stock for which restrictions have not lapsed will revert to the Company and again will become available for grant under the Plan.</w:t>
      </w:r>
    </w:p>
    <w:p>
      <w:pPr>
        <w:spacing w:after="0" w:line="236" w:lineRule="exact"/>
        <w:rPr>
          <w:rFonts w:ascii="Arial" w:cs="Arial" w:eastAsia="Arial" w:hAnsi="Arial"/>
          <w:sz w:val="15"/>
          <w:szCs w:val="15"/>
          <w:color w:val="auto"/>
        </w:rPr>
      </w:pPr>
    </w:p>
    <w:p>
      <w:pPr>
        <w:ind w:left="720" w:hanging="272"/>
        <w:spacing w:after="0"/>
        <w:tabs>
          <w:tab w:leader="none" w:pos="720" w:val="left"/>
        </w:tabs>
        <w:numPr>
          <w:ilvl w:val="0"/>
          <w:numId w:val="282"/>
        </w:numPr>
        <w:rPr>
          <w:rFonts w:ascii="Arial" w:cs="Arial" w:eastAsia="Arial" w:hAnsi="Arial"/>
          <w:sz w:val="15"/>
          <w:szCs w:val="15"/>
          <w:color w:val="auto"/>
        </w:rPr>
      </w:pPr>
      <w:r>
        <w:rPr>
          <w:rFonts w:ascii="Arial" w:cs="Arial" w:eastAsia="Arial" w:hAnsi="Arial"/>
          <w:sz w:val="15"/>
          <w:szCs w:val="15"/>
          <w:u w:val="single" w:color="auto"/>
          <w:color w:val="auto"/>
        </w:rPr>
        <w:t>Restricted Stock Units</w:t>
      </w:r>
      <w:r>
        <w:rPr>
          <w:rFonts w:ascii="Arial" w:cs="Arial" w:eastAsia="Arial" w:hAnsi="Arial"/>
          <w:sz w:val="15"/>
          <w:szCs w:val="15"/>
          <w:color w:val="auto"/>
        </w:rPr>
        <w:t>.</w:t>
      </w:r>
    </w:p>
    <w:p>
      <w:pPr>
        <w:spacing w:after="0" w:line="98" w:lineRule="exact"/>
        <w:rPr>
          <w:rFonts w:ascii="Arial" w:cs="Arial" w:eastAsia="Arial" w:hAnsi="Arial"/>
          <w:sz w:val="15"/>
          <w:szCs w:val="15"/>
          <w:color w:val="auto"/>
        </w:rPr>
      </w:pPr>
    </w:p>
    <w:p>
      <w:pPr>
        <w:ind w:right="60" w:firstLine="906"/>
        <w:spacing w:after="0" w:line="263" w:lineRule="auto"/>
        <w:tabs>
          <w:tab w:leader="none" w:pos="1233" w:val="left"/>
        </w:tabs>
        <w:numPr>
          <w:ilvl w:val="1"/>
          <w:numId w:val="282"/>
        </w:numPr>
        <w:rPr>
          <w:rFonts w:ascii="Arial" w:cs="Arial" w:eastAsia="Arial" w:hAnsi="Arial"/>
          <w:sz w:val="15"/>
          <w:szCs w:val="15"/>
          <w:color w:val="auto"/>
        </w:rPr>
      </w:pPr>
      <w:r>
        <w:rPr>
          <w:rFonts w:ascii="Arial" w:cs="Arial" w:eastAsia="Arial" w:hAnsi="Arial"/>
          <w:sz w:val="15"/>
          <w:szCs w:val="15"/>
          <w:u w:val="single" w:color="auto"/>
          <w:color w:val="auto"/>
        </w:rPr>
        <w:t>Grant</w:t>
      </w:r>
      <w:r>
        <w:rPr>
          <w:rFonts w:ascii="Arial" w:cs="Arial" w:eastAsia="Arial" w:hAnsi="Arial"/>
          <w:sz w:val="15"/>
          <w:szCs w:val="15"/>
          <w:color w:val="auto"/>
        </w:rPr>
        <w:t>. Restricted Stock Units may be granted at any time and from time to time as determined by the Administrator. After the Administrator determines that it will grant Restricted Stock Units under the Plan, it will advise the Participant in an Award Agreement of the terms, conditions, and restrictions related to the grant, including the number of Restricted Stock Units.</w:t>
      </w:r>
    </w:p>
    <w:p>
      <w:pPr>
        <w:spacing w:after="0" w:line="154" w:lineRule="exact"/>
        <w:rPr>
          <w:rFonts w:ascii="Arial" w:cs="Arial" w:eastAsia="Arial" w:hAnsi="Arial"/>
          <w:sz w:val="15"/>
          <w:szCs w:val="15"/>
          <w:color w:val="auto"/>
        </w:rPr>
      </w:pPr>
    </w:p>
    <w:p>
      <w:pPr>
        <w:ind w:firstLine="906"/>
        <w:spacing w:after="0" w:line="259" w:lineRule="auto"/>
        <w:tabs>
          <w:tab w:leader="none" w:pos="1241" w:val="left"/>
        </w:tabs>
        <w:numPr>
          <w:ilvl w:val="1"/>
          <w:numId w:val="282"/>
        </w:numPr>
        <w:rPr>
          <w:rFonts w:ascii="Arial" w:cs="Arial" w:eastAsia="Arial" w:hAnsi="Arial"/>
          <w:sz w:val="15"/>
          <w:szCs w:val="15"/>
          <w:color w:val="auto"/>
        </w:rPr>
      </w:pPr>
      <w:r>
        <w:rPr>
          <w:rFonts w:ascii="Arial" w:cs="Arial" w:eastAsia="Arial" w:hAnsi="Arial"/>
          <w:sz w:val="15"/>
          <w:szCs w:val="15"/>
          <w:u w:val="single" w:color="auto"/>
          <w:color w:val="auto"/>
        </w:rPr>
        <w:t>Vesting Criteria and Other Terms</w:t>
      </w:r>
      <w:r>
        <w:rPr>
          <w:rFonts w:ascii="Arial" w:cs="Arial" w:eastAsia="Arial" w:hAnsi="Arial"/>
          <w:sz w:val="15"/>
          <w:szCs w:val="15"/>
          <w:color w:val="auto"/>
        </w:rPr>
        <w:t>. The Administrator will set vesting criteria in its discretion, which, depending on the extent to which the criteria are met, will determine the number of Restricted Stock Units that will be paid out to the Participant. The Administrator may set vesting criteria based upon the achievement of Company-wide, divisional, business unit, or individual goals (including, but not limited to, continued employment or service), applicable federal or state securities laws or any other basis determined by the Administrator in its discretion.</w:t>
      </w:r>
    </w:p>
    <w:p>
      <w:pPr>
        <w:spacing w:after="0" w:line="157" w:lineRule="exact"/>
        <w:rPr>
          <w:rFonts w:ascii="Arial" w:cs="Arial" w:eastAsia="Arial" w:hAnsi="Arial"/>
          <w:sz w:val="15"/>
          <w:szCs w:val="15"/>
          <w:color w:val="auto"/>
        </w:rPr>
      </w:pPr>
    </w:p>
    <w:p>
      <w:pPr>
        <w:jc w:val="both"/>
        <w:ind w:right="280" w:firstLine="906"/>
        <w:spacing w:after="0" w:line="263" w:lineRule="auto"/>
        <w:tabs>
          <w:tab w:leader="none" w:pos="1233" w:val="left"/>
        </w:tabs>
        <w:numPr>
          <w:ilvl w:val="1"/>
          <w:numId w:val="282"/>
        </w:numPr>
        <w:rPr>
          <w:rFonts w:ascii="Arial" w:cs="Arial" w:eastAsia="Arial" w:hAnsi="Arial"/>
          <w:sz w:val="15"/>
          <w:szCs w:val="15"/>
          <w:color w:val="auto"/>
        </w:rPr>
      </w:pPr>
      <w:r>
        <w:rPr>
          <w:rFonts w:ascii="Arial" w:cs="Arial" w:eastAsia="Arial" w:hAnsi="Arial"/>
          <w:sz w:val="15"/>
          <w:szCs w:val="15"/>
          <w:u w:val="single" w:color="auto"/>
          <w:color w:val="auto"/>
        </w:rPr>
        <w:t>Earning Restricted Stock Units</w:t>
      </w:r>
      <w:r>
        <w:rPr>
          <w:rFonts w:ascii="Arial" w:cs="Arial" w:eastAsia="Arial" w:hAnsi="Arial"/>
          <w:sz w:val="15"/>
          <w:szCs w:val="15"/>
          <w:color w:val="auto"/>
        </w:rPr>
        <w:t>. Upon meeting the applicable vesting criteria, the Participant will be entitled to receive a payout as determined by the Administrator. Notwithstanding the foregoing, at any time after the grant of Restricted Stock Units, the Administrator, in its sole discretion, may reduce or waive any vesting criteria that must be met to receive a payout.</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-12-</w:t>
      </w:r>
    </w:p>
    <w:p>
      <w:pPr>
        <w:sectPr>
          <w:pgSz w:w="11900" w:h="16838" w:orient="portrait"/>
          <w:cols w:equalWidth="0" w:num="1">
            <w:col w:w="11420"/>
          </w:cols>
          <w:pgMar w:left="240" w:top="253" w:right="239" w:bottom="1440" w:gutter="0" w:footer="0" w:header="0"/>
        </w:sectPr>
      </w:pPr>
    </w:p>
    <w:bookmarkStart w:id="354" w:name="page355"/>
    <w:bookmarkEnd w:id="354"/>
    <w:p>
      <w:pPr>
        <w:ind w:left="-440" w:right="220" w:firstLine="906"/>
        <w:spacing w:after="0" w:line="312" w:lineRule="auto"/>
        <w:tabs>
          <w:tab w:leader="none" w:pos="801" w:val="left"/>
        </w:tabs>
        <w:numPr>
          <w:ilvl w:val="1"/>
          <w:numId w:val="283"/>
        </w:numPr>
        <w:rPr>
          <w:rFonts w:ascii="Arial" w:cs="Arial" w:eastAsia="Arial" w:hAnsi="Arial"/>
          <w:sz w:val="14"/>
          <w:szCs w:val="14"/>
          <w:color w:val="auto"/>
        </w:rPr>
      </w:pPr>
      <w:r>
        <w:rPr>
          <w:rFonts w:ascii="Arial" w:cs="Arial" w:eastAsia="Arial" w:hAnsi="Arial"/>
          <w:sz w:val="14"/>
          <w:szCs w:val="14"/>
          <w:u w:val="single" w:color="auto"/>
          <w:color w:val="auto"/>
        </w:rPr>
        <w:drawing>
          <wp:anchor simplePos="0" relativeHeight="251657728" behindDoc="1" locked="0" layoutInCell="0" allowOverlap="1">
            <wp:simplePos x="0" y="0"/>
            <wp:positionH relativeFrom="page">
              <wp:posOffset>133350</wp:posOffset>
            </wp:positionH>
            <wp:positionV relativeFrom="page">
              <wp:posOffset>88900</wp:posOffset>
            </wp:positionV>
            <wp:extent cx="7308850" cy="34290"/>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33">
                      <a:extLst>
                        <a:ext uri="{28A0092B-C50C-407E-A947-70E740481C1C}"/>
                      </a:extLst>
                    </a:blip>
                    <a:srcRect/>
                    <a:stretch>
                      <a:fillRect/>
                    </a:stretch>
                  </pic:blipFill>
                  <pic:spPr bwMode="auto">
                    <a:xfrm>
                      <a:off x="0" y="0"/>
                      <a:ext cx="7308850" cy="34290"/>
                    </a:xfrm>
                    <a:prstGeom prst="rect">
                      <a:avLst/>
                    </a:prstGeom>
                    <a:noFill/>
                  </pic:spPr>
                </pic:pic>
              </a:graphicData>
            </a:graphic>
          </wp:anchor>
        </w:drawing>
        <w:t>Form and Timing of Payment</w:t>
      </w:r>
      <w:r>
        <w:rPr>
          <w:rFonts w:ascii="Arial" w:cs="Arial" w:eastAsia="Arial" w:hAnsi="Arial"/>
          <w:sz w:val="14"/>
          <w:szCs w:val="14"/>
          <w:color w:val="auto"/>
        </w:rPr>
        <w:t>. Payment of earned Restricted Stock Units will be made as soon as practicable after the date(s) determined by the Administrator and set forth in the Award Agreement. The Administrator, in its sole discretion, may only settle earned Restricted Stock Units in cash, Shares, or a combination of both.</w:t>
      </w:r>
    </w:p>
    <w:p>
      <w:pPr>
        <w:spacing w:after="0" w:line="122" w:lineRule="exact"/>
        <w:rPr>
          <w:rFonts w:ascii="Arial" w:cs="Arial" w:eastAsia="Arial" w:hAnsi="Arial"/>
          <w:sz w:val="14"/>
          <w:szCs w:val="14"/>
          <w:color w:val="auto"/>
        </w:rPr>
      </w:pPr>
    </w:p>
    <w:p>
      <w:pPr>
        <w:ind w:left="780" w:hanging="314"/>
        <w:spacing w:after="0"/>
        <w:tabs>
          <w:tab w:leader="none" w:pos="780" w:val="left"/>
        </w:tabs>
        <w:numPr>
          <w:ilvl w:val="1"/>
          <w:numId w:val="283"/>
        </w:numPr>
        <w:rPr>
          <w:rFonts w:ascii="Arial" w:cs="Arial" w:eastAsia="Arial" w:hAnsi="Arial"/>
          <w:sz w:val="15"/>
          <w:szCs w:val="15"/>
          <w:color w:val="auto"/>
        </w:rPr>
      </w:pPr>
      <w:r>
        <w:rPr>
          <w:rFonts w:ascii="Arial" w:cs="Arial" w:eastAsia="Arial" w:hAnsi="Arial"/>
          <w:sz w:val="15"/>
          <w:szCs w:val="15"/>
          <w:u w:val="single" w:color="auto"/>
          <w:color w:val="auto"/>
        </w:rPr>
        <w:t>Cancellation</w:t>
      </w:r>
      <w:r>
        <w:rPr>
          <w:rFonts w:ascii="Arial" w:cs="Arial" w:eastAsia="Arial" w:hAnsi="Arial"/>
          <w:sz w:val="15"/>
          <w:szCs w:val="15"/>
          <w:color w:val="auto"/>
        </w:rPr>
        <w:t>. On the date set forth in the Award Agreement, all unearned Restricted Stock Units will be forfeited to the Company.</w:t>
      </w:r>
    </w:p>
    <w:p>
      <w:pPr>
        <w:spacing w:after="0" w:line="278" w:lineRule="exact"/>
        <w:rPr>
          <w:rFonts w:ascii="Arial" w:cs="Arial" w:eastAsia="Arial" w:hAnsi="Arial"/>
          <w:sz w:val="15"/>
          <w:szCs w:val="15"/>
          <w:color w:val="auto"/>
        </w:rPr>
      </w:pPr>
    </w:p>
    <w:p>
      <w:pPr>
        <w:ind w:left="280" w:hanging="272"/>
        <w:spacing w:after="0"/>
        <w:tabs>
          <w:tab w:leader="none" w:pos="280" w:val="left"/>
        </w:tabs>
        <w:numPr>
          <w:ilvl w:val="0"/>
          <w:numId w:val="284"/>
        </w:numPr>
        <w:rPr>
          <w:rFonts w:ascii="Arial" w:cs="Arial" w:eastAsia="Arial" w:hAnsi="Arial"/>
          <w:sz w:val="15"/>
          <w:szCs w:val="15"/>
          <w:color w:val="auto"/>
        </w:rPr>
      </w:pPr>
      <w:r>
        <w:rPr>
          <w:rFonts w:ascii="Arial" w:cs="Arial" w:eastAsia="Arial" w:hAnsi="Arial"/>
          <w:sz w:val="15"/>
          <w:szCs w:val="15"/>
          <w:u w:val="single" w:color="auto"/>
          <w:color w:val="auto"/>
        </w:rPr>
        <w:t>Stock Appreciation Rights</w:t>
      </w:r>
      <w:r>
        <w:rPr>
          <w:rFonts w:ascii="Arial" w:cs="Arial" w:eastAsia="Arial" w:hAnsi="Arial"/>
          <w:sz w:val="15"/>
          <w:szCs w:val="15"/>
          <w:color w:val="auto"/>
        </w:rPr>
        <w:t>.</w:t>
      </w:r>
    </w:p>
    <w:p>
      <w:pPr>
        <w:spacing w:after="0" w:line="98" w:lineRule="exact"/>
        <w:rPr>
          <w:rFonts w:ascii="Arial" w:cs="Arial" w:eastAsia="Arial" w:hAnsi="Arial"/>
          <w:sz w:val="15"/>
          <w:szCs w:val="15"/>
          <w:color w:val="auto"/>
        </w:rPr>
      </w:pPr>
    </w:p>
    <w:p>
      <w:pPr>
        <w:ind w:left="-440" w:right="280" w:firstLine="906"/>
        <w:spacing w:after="0" w:line="275" w:lineRule="auto"/>
        <w:tabs>
          <w:tab w:leader="none" w:pos="793" w:val="left"/>
        </w:tabs>
        <w:numPr>
          <w:ilvl w:val="1"/>
          <w:numId w:val="284"/>
        </w:numPr>
        <w:rPr>
          <w:rFonts w:ascii="Arial" w:cs="Arial" w:eastAsia="Arial" w:hAnsi="Arial"/>
          <w:sz w:val="15"/>
          <w:szCs w:val="15"/>
          <w:color w:val="auto"/>
        </w:rPr>
      </w:pPr>
      <w:r>
        <w:rPr>
          <w:rFonts w:ascii="Arial" w:cs="Arial" w:eastAsia="Arial" w:hAnsi="Arial"/>
          <w:sz w:val="15"/>
          <w:szCs w:val="15"/>
          <w:u w:val="single" w:color="auto"/>
          <w:color w:val="auto"/>
        </w:rPr>
        <w:t>Grant of Stock Appreciation Rights</w:t>
      </w:r>
      <w:r>
        <w:rPr>
          <w:rFonts w:ascii="Arial" w:cs="Arial" w:eastAsia="Arial" w:hAnsi="Arial"/>
          <w:sz w:val="15"/>
          <w:szCs w:val="15"/>
          <w:color w:val="auto"/>
        </w:rPr>
        <w:t>. Subject to the terms and conditions of the Plan, a Stock Appreciation Right may be granted to Service Providers at any time and from time to time as will be determined by the Administrator, in its sole discretion.</w:t>
      </w:r>
    </w:p>
    <w:p>
      <w:pPr>
        <w:spacing w:after="0" w:line="146" w:lineRule="exact"/>
        <w:rPr>
          <w:rFonts w:ascii="Arial" w:cs="Arial" w:eastAsia="Arial" w:hAnsi="Arial"/>
          <w:sz w:val="15"/>
          <w:szCs w:val="15"/>
          <w:color w:val="auto"/>
        </w:rPr>
      </w:pPr>
    </w:p>
    <w:p>
      <w:pPr>
        <w:ind w:left="800" w:hanging="334"/>
        <w:spacing w:after="0"/>
        <w:tabs>
          <w:tab w:leader="none" w:pos="800" w:val="left"/>
        </w:tabs>
        <w:numPr>
          <w:ilvl w:val="1"/>
          <w:numId w:val="284"/>
        </w:numPr>
        <w:rPr>
          <w:rFonts w:ascii="Arial" w:cs="Arial" w:eastAsia="Arial" w:hAnsi="Arial"/>
          <w:sz w:val="14"/>
          <w:szCs w:val="14"/>
          <w:color w:val="auto"/>
        </w:rPr>
      </w:pPr>
      <w:r>
        <w:rPr>
          <w:rFonts w:ascii="Arial" w:cs="Arial" w:eastAsia="Arial" w:hAnsi="Arial"/>
          <w:sz w:val="14"/>
          <w:szCs w:val="14"/>
          <w:u w:val="single" w:color="auto"/>
          <w:color w:val="auto"/>
        </w:rPr>
        <w:t>Number of Shares</w:t>
      </w:r>
      <w:r>
        <w:rPr>
          <w:rFonts w:ascii="Arial" w:cs="Arial" w:eastAsia="Arial" w:hAnsi="Arial"/>
          <w:sz w:val="14"/>
          <w:szCs w:val="14"/>
          <w:color w:val="auto"/>
        </w:rPr>
        <w:t>. The Administrator will have complete discretion to determine the number of Stock Appreciation Rights granted to any Service Provider.</w:t>
      </w:r>
    </w:p>
    <w:p>
      <w:pPr>
        <w:spacing w:after="0" w:line="199" w:lineRule="exact"/>
        <w:rPr>
          <w:rFonts w:ascii="Arial" w:cs="Arial" w:eastAsia="Arial" w:hAnsi="Arial"/>
          <w:sz w:val="14"/>
          <w:szCs w:val="14"/>
          <w:color w:val="auto"/>
        </w:rPr>
      </w:pPr>
    </w:p>
    <w:p>
      <w:pPr>
        <w:jc w:val="both"/>
        <w:ind w:left="-440" w:right="260" w:firstLine="906"/>
        <w:spacing w:after="0" w:line="290" w:lineRule="auto"/>
        <w:tabs>
          <w:tab w:leader="none" w:pos="793" w:val="left"/>
        </w:tabs>
        <w:numPr>
          <w:ilvl w:val="1"/>
          <w:numId w:val="284"/>
        </w:numPr>
        <w:rPr>
          <w:rFonts w:ascii="Arial" w:cs="Arial" w:eastAsia="Arial" w:hAnsi="Arial"/>
          <w:sz w:val="14"/>
          <w:szCs w:val="14"/>
          <w:color w:val="auto"/>
        </w:rPr>
      </w:pPr>
      <w:r>
        <w:rPr>
          <w:rFonts w:ascii="Arial" w:cs="Arial" w:eastAsia="Arial" w:hAnsi="Arial"/>
          <w:sz w:val="14"/>
          <w:szCs w:val="14"/>
          <w:u w:val="single" w:color="auto"/>
          <w:color w:val="auto"/>
        </w:rPr>
        <w:t>Exercise Price and Other Terms</w:t>
      </w:r>
      <w:r>
        <w:rPr>
          <w:rFonts w:ascii="Arial" w:cs="Arial" w:eastAsia="Arial" w:hAnsi="Arial"/>
          <w:sz w:val="14"/>
          <w:szCs w:val="14"/>
          <w:color w:val="auto"/>
        </w:rPr>
        <w:t>. The per share exercise price for the Shares to be issued pursuant to exercise of a Stock Appreciation Right will be determined by the Administrator and will be no less than one hundred percent (100%) of the Fair Market Value per Share on the date of grant. Otherwise, the Administrator, subject to the provisions of the Plan, will have complete discretion to determine the terms and conditions of Stock Appreciation Rights granted under the Plan.</w:t>
      </w:r>
    </w:p>
    <w:p>
      <w:pPr>
        <w:spacing w:after="0" w:line="138" w:lineRule="exact"/>
        <w:rPr>
          <w:rFonts w:ascii="Arial" w:cs="Arial" w:eastAsia="Arial" w:hAnsi="Arial"/>
          <w:sz w:val="14"/>
          <w:szCs w:val="14"/>
          <w:color w:val="auto"/>
        </w:rPr>
      </w:pPr>
    </w:p>
    <w:p>
      <w:pPr>
        <w:ind w:left="-440" w:firstLine="906"/>
        <w:spacing w:after="0" w:line="275" w:lineRule="auto"/>
        <w:tabs>
          <w:tab w:leader="none" w:pos="801" w:val="left"/>
        </w:tabs>
        <w:numPr>
          <w:ilvl w:val="1"/>
          <w:numId w:val="284"/>
        </w:numPr>
        <w:rPr>
          <w:rFonts w:ascii="Arial" w:cs="Arial" w:eastAsia="Arial" w:hAnsi="Arial"/>
          <w:sz w:val="15"/>
          <w:szCs w:val="15"/>
          <w:color w:val="auto"/>
        </w:rPr>
      </w:pPr>
      <w:r>
        <w:rPr>
          <w:rFonts w:ascii="Arial" w:cs="Arial" w:eastAsia="Arial" w:hAnsi="Arial"/>
          <w:sz w:val="15"/>
          <w:szCs w:val="15"/>
          <w:u w:val="single" w:color="auto"/>
          <w:color w:val="auto"/>
        </w:rPr>
        <w:t>Stock Appreciation Right Agreement</w:t>
      </w:r>
      <w:r>
        <w:rPr>
          <w:rFonts w:ascii="Arial" w:cs="Arial" w:eastAsia="Arial" w:hAnsi="Arial"/>
          <w:sz w:val="15"/>
          <w:szCs w:val="15"/>
          <w:color w:val="auto"/>
        </w:rPr>
        <w:t>. Each Stock Appreciation Right grant will be evidenced by an Award Agreement that will specify the exercise price, the term of the Stock Appreciation Right, the conditions of exercise, and such other terms and conditions as the Administrator, in its sole discretion, will determine.</w:t>
      </w:r>
    </w:p>
    <w:p>
      <w:pPr>
        <w:spacing w:after="0" w:line="146" w:lineRule="exact"/>
        <w:rPr>
          <w:rFonts w:ascii="Arial" w:cs="Arial" w:eastAsia="Arial" w:hAnsi="Arial"/>
          <w:sz w:val="15"/>
          <w:szCs w:val="15"/>
          <w:color w:val="auto"/>
        </w:rPr>
      </w:pPr>
    </w:p>
    <w:p>
      <w:pPr>
        <w:jc w:val="both"/>
        <w:ind w:left="-440" w:right="20" w:firstLine="906"/>
        <w:spacing w:after="0" w:line="263" w:lineRule="auto"/>
        <w:tabs>
          <w:tab w:leader="none" w:pos="793" w:val="left"/>
        </w:tabs>
        <w:numPr>
          <w:ilvl w:val="1"/>
          <w:numId w:val="284"/>
        </w:numPr>
        <w:rPr>
          <w:rFonts w:ascii="Arial" w:cs="Arial" w:eastAsia="Arial" w:hAnsi="Arial"/>
          <w:sz w:val="15"/>
          <w:szCs w:val="15"/>
          <w:color w:val="auto"/>
        </w:rPr>
      </w:pPr>
      <w:r>
        <w:rPr>
          <w:rFonts w:ascii="Arial" w:cs="Arial" w:eastAsia="Arial" w:hAnsi="Arial"/>
          <w:sz w:val="15"/>
          <w:szCs w:val="15"/>
          <w:u w:val="single" w:color="auto"/>
          <w:color w:val="auto"/>
        </w:rPr>
        <w:t>Expiration of Stock Appreciation Rights</w:t>
      </w:r>
      <w:r>
        <w:rPr>
          <w:rFonts w:ascii="Arial" w:cs="Arial" w:eastAsia="Arial" w:hAnsi="Arial"/>
          <w:sz w:val="15"/>
          <w:szCs w:val="15"/>
          <w:color w:val="auto"/>
        </w:rPr>
        <w:t>. A Stock Appreciation Right granted under the Plan will expire ten (10) years from the date of grant or such shorter term as may be provided in the Award Agreement, as determined by the Administrator, in its sole discretion. Notwithstanding the foregoing, the rules of Section 6(d) relating to exercise also will apply to Stock Appreciation Rights.</w:t>
      </w:r>
    </w:p>
    <w:p>
      <w:pPr>
        <w:spacing w:after="0" w:line="154" w:lineRule="exact"/>
        <w:rPr>
          <w:rFonts w:ascii="Arial" w:cs="Arial" w:eastAsia="Arial" w:hAnsi="Arial"/>
          <w:sz w:val="15"/>
          <w:szCs w:val="15"/>
          <w:color w:val="auto"/>
        </w:rPr>
      </w:pPr>
    </w:p>
    <w:p>
      <w:pPr>
        <w:ind w:left="-440" w:right="180" w:firstLine="906"/>
        <w:spacing w:after="0" w:line="275" w:lineRule="auto"/>
        <w:tabs>
          <w:tab w:leader="none" w:pos="776" w:val="left"/>
        </w:tabs>
        <w:numPr>
          <w:ilvl w:val="1"/>
          <w:numId w:val="284"/>
        </w:numPr>
        <w:rPr>
          <w:rFonts w:ascii="Arial" w:cs="Arial" w:eastAsia="Arial" w:hAnsi="Arial"/>
          <w:sz w:val="15"/>
          <w:szCs w:val="15"/>
          <w:color w:val="auto"/>
        </w:rPr>
      </w:pPr>
      <w:r>
        <w:rPr>
          <w:rFonts w:ascii="Arial" w:cs="Arial" w:eastAsia="Arial" w:hAnsi="Arial"/>
          <w:sz w:val="15"/>
          <w:szCs w:val="15"/>
          <w:u w:val="single" w:color="auto"/>
          <w:color w:val="auto"/>
        </w:rPr>
        <w:t>Payment of Stock Appreciation Right Amount</w:t>
      </w:r>
      <w:r>
        <w:rPr>
          <w:rFonts w:ascii="Arial" w:cs="Arial" w:eastAsia="Arial" w:hAnsi="Arial"/>
          <w:sz w:val="15"/>
          <w:szCs w:val="15"/>
          <w:color w:val="auto"/>
        </w:rPr>
        <w:t>. Upon exercise of a Stock Appreciation Right, a Participant will be entitled to receive payment from the Company in an amount determined by multiplying:</w:t>
      </w:r>
    </w:p>
    <w:p>
      <w:pPr>
        <w:spacing w:after="0" w:line="146" w:lineRule="exact"/>
        <w:rPr>
          <w:rFonts w:ascii="Arial" w:cs="Arial" w:eastAsia="Arial" w:hAnsi="Arial"/>
          <w:sz w:val="15"/>
          <w:szCs w:val="15"/>
          <w:color w:val="auto"/>
        </w:rPr>
      </w:pPr>
    </w:p>
    <w:p>
      <w:pPr>
        <w:ind w:left="1320" w:hanging="282"/>
        <w:spacing w:after="0"/>
        <w:tabs>
          <w:tab w:leader="none" w:pos="1320" w:val="left"/>
        </w:tabs>
        <w:numPr>
          <w:ilvl w:val="2"/>
          <w:numId w:val="284"/>
        </w:numPr>
        <w:rPr>
          <w:rFonts w:ascii="Arial" w:cs="Arial" w:eastAsia="Arial" w:hAnsi="Arial"/>
          <w:sz w:val="15"/>
          <w:szCs w:val="15"/>
          <w:color w:val="auto"/>
        </w:rPr>
      </w:pPr>
      <w:r>
        <w:rPr>
          <w:rFonts w:ascii="Arial" w:cs="Arial" w:eastAsia="Arial" w:hAnsi="Arial"/>
          <w:sz w:val="15"/>
          <w:szCs w:val="15"/>
          <w:color w:val="auto"/>
        </w:rPr>
        <w:t>The difference between the Fair Market Value of a Share on the date of exercise over the exercise price; times</w:t>
      </w:r>
    </w:p>
    <w:p>
      <w:pPr>
        <w:spacing w:after="0" w:line="188" w:lineRule="exact"/>
        <w:rPr>
          <w:rFonts w:ascii="Arial" w:cs="Arial" w:eastAsia="Arial" w:hAnsi="Arial"/>
          <w:sz w:val="15"/>
          <w:szCs w:val="15"/>
          <w:color w:val="auto"/>
        </w:rPr>
      </w:pPr>
    </w:p>
    <w:p>
      <w:pPr>
        <w:ind w:left="1360" w:hanging="322"/>
        <w:spacing w:after="0"/>
        <w:tabs>
          <w:tab w:leader="none" w:pos="1360" w:val="left"/>
        </w:tabs>
        <w:numPr>
          <w:ilvl w:val="2"/>
          <w:numId w:val="284"/>
        </w:numPr>
        <w:rPr>
          <w:rFonts w:ascii="Arial" w:cs="Arial" w:eastAsia="Arial" w:hAnsi="Arial"/>
          <w:sz w:val="15"/>
          <w:szCs w:val="15"/>
          <w:color w:val="auto"/>
        </w:rPr>
      </w:pPr>
      <w:r>
        <w:rPr>
          <w:rFonts w:ascii="Arial" w:cs="Arial" w:eastAsia="Arial" w:hAnsi="Arial"/>
          <w:sz w:val="15"/>
          <w:szCs w:val="15"/>
          <w:color w:val="auto"/>
        </w:rPr>
        <w:t>The number of Shares with respect to which the Stock Appreciation Right is exercised.</w:t>
      </w:r>
    </w:p>
    <w:p>
      <w:pPr>
        <w:spacing w:after="0" w:line="188" w:lineRule="exact"/>
        <w:rPr>
          <w:sz w:val="20"/>
          <w:szCs w:val="20"/>
          <w:color w:val="auto"/>
        </w:rPr>
      </w:pPr>
    </w:p>
    <w:p>
      <w:pPr>
        <w:jc w:val="center"/>
        <w:ind w:right="700"/>
        <w:spacing w:after="0" w:line="448" w:lineRule="auto"/>
        <w:rPr>
          <w:sz w:val="20"/>
          <w:szCs w:val="20"/>
          <w:color w:val="auto"/>
        </w:rPr>
      </w:pPr>
      <w:r>
        <w:rPr>
          <w:rFonts w:ascii="Arial" w:cs="Arial" w:eastAsia="Arial" w:hAnsi="Arial"/>
          <w:sz w:val="15"/>
          <w:szCs w:val="15"/>
          <w:color w:val="auto"/>
        </w:rPr>
        <w:t>At the discretion of the Administrator, the payment upon Stock Appreciation Right exercise may be in cash, in Shares of equivalent value, or in some combination thereof. -13-</w:t>
      </w:r>
    </w:p>
    <w:p>
      <w:pPr>
        <w:sectPr>
          <w:pgSz w:w="11900" w:h="16838" w:orient="portrait"/>
          <w:cols w:equalWidth="0" w:num="1">
            <w:col w:w="10980"/>
          </w:cols>
          <w:pgMar w:left="680" w:top="253" w:right="239" w:bottom="1440" w:gutter="0" w:footer="0" w:header="0"/>
        </w:sectPr>
      </w:pPr>
    </w:p>
    <w:bookmarkStart w:id="355" w:name="page356"/>
    <w:bookmarkEnd w:id="355"/>
    <w:p>
      <w:pPr>
        <w:ind w:left="740" w:hanging="332"/>
        <w:spacing w:after="0"/>
        <w:tabs>
          <w:tab w:leader="none" w:pos="740" w:val="left"/>
        </w:tabs>
        <w:numPr>
          <w:ilvl w:val="0"/>
          <w:numId w:val="285"/>
        </w:numPr>
        <w:rPr>
          <w:rFonts w:ascii="Arial" w:cs="Arial" w:eastAsia="Arial" w:hAnsi="Arial"/>
          <w:sz w:val="15"/>
          <w:szCs w:val="15"/>
          <w:color w:val="auto"/>
        </w:rPr>
      </w:pPr>
      <w:r>
        <w:rPr>
          <w:rFonts w:ascii="Arial" w:cs="Arial" w:eastAsia="Arial" w:hAnsi="Arial"/>
          <w:sz w:val="15"/>
          <w:szCs w:val="15"/>
          <w:u w:val="single" w:color="auto"/>
          <w:color w:val="auto"/>
        </w:rPr>
        <w:drawing>
          <wp:anchor simplePos="0" relativeHeight="251657728" behindDoc="1" locked="0" layoutInCell="0" allowOverlap="1">
            <wp:simplePos x="0" y="0"/>
            <wp:positionH relativeFrom="page">
              <wp:posOffset>133350</wp:posOffset>
            </wp:positionH>
            <wp:positionV relativeFrom="page">
              <wp:posOffset>88900</wp:posOffset>
            </wp:positionV>
            <wp:extent cx="7308850" cy="34290"/>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34">
                      <a:extLst>
                        <a:ext uri="{28A0092B-C50C-407E-A947-70E740481C1C}"/>
                      </a:extLst>
                    </a:blip>
                    <a:srcRect/>
                    <a:stretch>
                      <a:fillRect/>
                    </a:stretch>
                  </pic:blipFill>
                  <pic:spPr bwMode="auto">
                    <a:xfrm>
                      <a:off x="0" y="0"/>
                      <a:ext cx="7308850" cy="34290"/>
                    </a:xfrm>
                    <a:prstGeom prst="rect">
                      <a:avLst/>
                    </a:prstGeom>
                    <a:noFill/>
                  </pic:spPr>
                </pic:pic>
              </a:graphicData>
            </a:graphic>
          </wp:anchor>
        </w:drawing>
        <w:t>Performance Units and Performance Shares</w:t>
      </w:r>
      <w:r>
        <w:rPr>
          <w:rFonts w:ascii="Arial" w:cs="Arial" w:eastAsia="Arial" w:hAnsi="Arial"/>
          <w:sz w:val="15"/>
          <w:szCs w:val="15"/>
          <w:color w:val="auto"/>
        </w:rPr>
        <w:t>.</w:t>
      </w:r>
    </w:p>
    <w:p>
      <w:pPr>
        <w:spacing w:after="0" w:line="98" w:lineRule="exact"/>
        <w:rPr>
          <w:rFonts w:ascii="Arial" w:cs="Arial" w:eastAsia="Arial" w:hAnsi="Arial"/>
          <w:sz w:val="15"/>
          <w:szCs w:val="15"/>
          <w:color w:val="auto"/>
        </w:rPr>
      </w:pPr>
    </w:p>
    <w:p>
      <w:pPr>
        <w:ind w:left="-40" w:right="40" w:firstLine="906"/>
        <w:spacing w:after="0" w:line="263" w:lineRule="auto"/>
        <w:tabs>
          <w:tab w:leader="none" w:pos="1193" w:val="left"/>
        </w:tabs>
        <w:numPr>
          <w:ilvl w:val="1"/>
          <w:numId w:val="285"/>
        </w:numPr>
        <w:rPr>
          <w:rFonts w:ascii="Arial" w:cs="Arial" w:eastAsia="Arial" w:hAnsi="Arial"/>
          <w:sz w:val="15"/>
          <w:szCs w:val="15"/>
          <w:color w:val="auto"/>
        </w:rPr>
      </w:pPr>
      <w:r>
        <w:rPr>
          <w:rFonts w:ascii="Arial" w:cs="Arial" w:eastAsia="Arial" w:hAnsi="Arial"/>
          <w:sz w:val="15"/>
          <w:szCs w:val="15"/>
          <w:u w:val="single" w:color="auto"/>
          <w:color w:val="auto"/>
        </w:rPr>
        <w:t>Grant of Performance Units/Shares</w:t>
      </w:r>
      <w:r>
        <w:rPr>
          <w:rFonts w:ascii="Arial" w:cs="Arial" w:eastAsia="Arial" w:hAnsi="Arial"/>
          <w:sz w:val="15"/>
          <w:szCs w:val="15"/>
          <w:color w:val="auto"/>
        </w:rPr>
        <w:t>. Performance Units and Performance Shares may be granted to Service Providers at any time and from time to time, as will be determined by the Administrator, in its sole discretion. The Administrator will have complete discretion in determining the number of Performance Units and Performance Shares granted to each Participant.</w:t>
      </w:r>
    </w:p>
    <w:p>
      <w:pPr>
        <w:spacing w:after="0" w:line="154" w:lineRule="exact"/>
        <w:rPr>
          <w:rFonts w:ascii="Arial" w:cs="Arial" w:eastAsia="Arial" w:hAnsi="Arial"/>
          <w:sz w:val="15"/>
          <w:szCs w:val="15"/>
          <w:color w:val="auto"/>
        </w:rPr>
      </w:pPr>
    </w:p>
    <w:p>
      <w:pPr>
        <w:ind w:left="-40" w:right="460" w:firstLine="906"/>
        <w:spacing w:after="0" w:line="275" w:lineRule="auto"/>
        <w:tabs>
          <w:tab w:leader="none" w:pos="1201" w:val="left"/>
        </w:tabs>
        <w:numPr>
          <w:ilvl w:val="1"/>
          <w:numId w:val="285"/>
        </w:numPr>
        <w:rPr>
          <w:rFonts w:ascii="Arial" w:cs="Arial" w:eastAsia="Arial" w:hAnsi="Arial"/>
          <w:sz w:val="15"/>
          <w:szCs w:val="15"/>
          <w:color w:val="auto"/>
        </w:rPr>
      </w:pPr>
      <w:r>
        <w:rPr>
          <w:rFonts w:ascii="Arial" w:cs="Arial" w:eastAsia="Arial" w:hAnsi="Arial"/>
          <w:sz w:val="15"/>
          <w:szCs w:val="15"/>
          <w:u w:val="single" w:color="auto"/>
          <w:color w:val="auto"/>
        </w:rPr>
        <w:t>Value of Performance Units/Shares</w:t>
      </w:r>
      <w:r>
        <w:rPr>
          <w:rFonts w:ascii="Arial" w:cs="Arial" w:eastAsia="Arial" w:hAnsi="Arial"/>
          <w:sz w:val="15"/>
          <w:szCs w:val="15"/>
          <w:color w:val="auto"/>
        </w:rPr>
        <w:t>. Each Performance Unit will have an initial value that is established by the Administrator on or before the date of grant. Each Performance Share will have an initial value equal to the Fair Market Value of a Share on the date of grant.</w:t>
      </w:r>
    </w:p>
    <w:p>
      <w:pPr>
        <w:spacing w:after="0" w:line="146" w:lineRule="exact"/>
        <w:rPr>
          <w:rFonts w:ascii="Arial" w:cs="Arial" w:eastAsia="Arial" w:hAnsi="Arial"/>
          <w:sz w:val="15"/>
          <w:szCs w:val="15"/>
          <w:color w:val="auto"/>
        </w:rPr>
      </w:pPr>
    </w:p>
    <w:p>
      <w:pPr>
        <w:ind w:left="-40" w:right="40" w:firstLine="906"/>
        <w:spacing w:after="0" w:line="277" w:lineRule="auto"/>
        <w:tabs>
          <w:tab w:leader="none" w:pos="1193" w:val="left"/>
        </w:tabs>
        <w:numPr>
          <w:ilvl w:val="1"/>
          <w:numId w:val="285"/>
        </w:numPr>
        <w:rPr>
          <w:rFonts w:ascii="Arial" w:cs="Arial" w:eastAsia="Arial" w:hAnsi="Arial"/>
          <w:sz w:val="14"/>
          <w:szCs w:val="14"/>
          <w:color w:val="auto"/>
        </w:rPr>
      </w:pPr>
      <w:r>
        <w:rPr>
          <w:rFonts w:ascii="Arial" w:cs="Arial" w:eastAsia="Arial" w:hAnsi="Arial"/>
          <w:sz w:val="14"/>
          <w:szCs w:val="14"/>
          <w:u w:val="single" w:color="auto"/>
          <w:color w:val="auto"/>
        </w:rPr>
        <w:t>Performance Objectives and Other Terms</w:t>
      </w:r>
      <w:r>
        <w:rPr>
          <w:rFonts w:ascii="Arial" w:cs="Arial" w:eastAsia="Arial" w:hAnsi="Arial"/>
          <w:sz w:val="14"/>
          <w:szCs w:val="14"/>
          <w:color w:val="auto"/>
        </w:rPr>
        <w:t>. The Administrator will set performance objectives or other vesting provisions (including, without limitation, continued status as a Service Provider) in its discretion which, depending on the extent to which they are met, will determine the number or value of Performance Units/Shares that will be paid out to the Service Providers. The time period during which the performance objectives or other vesting provisions must be met will be called the “Performance Period.” Each Award of Performance Units/Shares will be evidenced by an Award Agreement that will specify the Performance Period, and such other terms and conditions as the Administrator, in its sole discretion, will determine. The Administrator may set performance objectives based upon the achievement of Company-wide, divisional, business unit or individual goals (including, but not limited to, continued employment or service), applicable federal or state securities laws, or any other basis determined by the Administrator in its discretion.</w:t>
      </w:r>
    </w:p>
    <w:p>
      <w:pPr>
        <w:spacing w:after="0" w:line="148" w:lineRule="exact"/>
        <w:rPr>
          <w:rFonts w:ascii="Arial" w:cs="Arial" w:eastAsia="Arial" w:hAnsi="Arial"/>
          <w:sz w:val="14"/>
          <w:szCs w:val="14"/>
          <w:color w:val="auto"/>
        </w:rPr>
      </w:pPr>
    </w:p>
    <w:p>
      <w:pPr>
        <w:ind w:left="-40" w:right="20" w:firstLine="906"/>
        <w:spacing w:after="0" w:line="259" w:lineRule="auto"/>
        <w:tabs>
          <w:tab w:leader="none" w:pos="1201" w:val="left"/>
        </w:tabs>
        <w:numPr>
          <w:ilvl w:val="1"/>
          <w:numId w:val="285"/>
        </w:numPr>
        <w:rPr>
          <w:rFonts w:ascii="Arial" w:cs="Arial" w:eastAsia="Arial" w:hAnsi="Arial"/>
          <w:sz w:val="15"/>
          <w:szCs w:val="15"/>
          <w:color w:val="auto"/>
        </w:rPr>
      </w:pPr>
      <w:r>
        <w:rPr>
          <w:rFonts w:ascii="Arial" w:cs="Arial" w:eastAsia="Arial" w:hAnsi="Arial"/>
          <w:sz w:val="15"/>
          <w:szCs w:val="15"/>
          <w:u w:val="single" w:color="auto"/>
          <w:color w:val="auto"/>
        </w:rPr>
        <w:t>Earning of Performance Units/Shares</w:t>
      </w:r>
      <w:r>
        <w:rPr>
          <w:rFonts w:ascii="Arial" w:cs="Arial" w:eastAsia="Arial" w:hAnsi="Arial"/>
          <w:sz w:val="15"/>
          <w:szCs w:val="15"/>
          <w:color w:val="auto"/>
        </w:rPr>
        <w:t>. After the applicable Performance Period has ended, the holder of Performance Units/Shares will be entitled to receive a payout of the number of Performance Units/Shares earned by the Participant over the Performance Period, to be determined as a function of the extent to which the corresponding performance objectives or other vesting provisions have been achieved. After the grant of a Performance Unit/Share, the Administrator, in its sole discretion, may reduce or waive any performance objectives or other vesting provisions for such Performance Unit/Share.</w:t>
      </w:r>
    </w:p>
    <w:p>
      <w:pPr>
        <w:spacing w:after="0" w:line="157" w:lineRule="exact"/>
        <w:rPr>
          <w:rFonts w:ascii="Arial" w:cs="Arial" w:eastAsia="Arial" w:hAnsi="Arial"/>
          <w:sz w:val="15"/>
          <w:szCs w:val="15"/>
          <w:color w:val="auto"/>
        </w:rPr>
      </w:pPr>
    </w:p>
    <w:p>
      <w:pPr>
        <w:ind w:left="-40" w:right="60" w:firstLine="906"/>
        <w:spacing w:after="0" w:line="290" w:lineRule="auto"/>
        <w:tabs>
          <w:tab w:leader="none" w:pos="1193" w:val="left"/>
        </w:tabs>
        <w:numPr>
          <w:ilvl w:val="1"/>
          <w:numId w:val="285"/>
        </w:numPr>
        <w:rPr>
          <w:rFonts w:ascii="Arial" w:cs="Arial" w:eastAsia="Arial" w:hAnsi="Arial"/>
          <w:sz w:val="14"/>
          <w:szCs w:val="14"/>
          <w:color w:val="auto"/>
        </w:rPr>
      </w:pPr>
      <w:r>
        <w:rPr>
          <w:rFonts w:ascii="Arial" w:cs="Arial" w:eastAsia="Arial" w:hAnsi="Arial"/>
          <w:sz w:val="14"/>
          <w:szCs w:val="14"/>
          <w:u w:val="single" w:color="auto"/>
          <w:color w:val="auto"/>
        </w:rPr>
        <w:t>Form and Timing of Payment of Performance Units/Shares</w:t>
      </w:r>
      <w:r>
        <w:rPr>
          <w:rFonts w:ascii="Arial" w:cs="Arial" w:eastAsia="Arial" w:hAnsi="Arial"/>
          <w:sz w:val="14"/>
          <w:szCs w:val="14"/>
          <w:color w:val="auto"/>
        </w:rPr>
        <w:t>. Payment of earned Performance Units/Shares will be made as soon as practicable after the expiration of the applicable Performance Period. The Administrator, in its sole discretion, may pay earned Performance Units/Shares in the form of cash, in Shares (which have an aggregate Fair Market Value equal to the value of the earned Performance Units/Shares at the close of the applicable Performance Period) or in a combination thereof.</w:t>
      </w:r>
    </w:p>
    <w:p>
      <w:pPr>
        <w:spacing w:after="0" w:line="138" w:lineRule="exact"/>
        <w:rPr>
          <w:rFonts w:ascii="Arial" w:cs="Arial" w:eastAsia="Arial" w:hAnsi="Arial"/>
          <w:sz w:val="14"/>
          <w:szCs w:val="14"/>
          <w:color w:val="auto"/>
        </w:rPr>
      </w:pPr>
    </w:p>
    <w:p>
      <w:pPr>
        <w:ind w:left="-40" w:right="280" w:firstLine="906"/>
        <w:spacing w:after="0" w:line="275" w:lineRule="auto"/>
        <w:tabs>
          <w:tab w:leader="none" w:pos="1176" w:val="left"/>
        </w:tabs>
        <w:numPr>
          <w:ilvl w:val="1"/>
          <w:numId w:val="285"/>
        </w:numPr>
        <w:rPr>
          <w:rFonts w:ascii="Arial" w:cs="Arial" w:eastAsia="Arial" w:hAnsi="Arial"/>
          <w:sz w:val="15"/>
          <w:szCs w:val="15"/>
          <w:color w:val="auto"/>
        </w:rPr>
      </w:pPr>
      <w:r>
        <w:rPr>
          <w:rFonts w:ascii="Arial" w:cs="Arial" w:eastAsia="Arial" w:hAnsi="Arial"/>
          <w:sz w:val="15"/>
          <w:szCs w:val="15"/>
          <w:u w:val="single" w:color="auto"/>
          <w:color w:val="auto"/>
        </w:rPr>
        <w:t>Cancellation of Performance Units/Shares</w:t>
      </w:r>
      <w:r>
        <w:rPr>
          <w:rFonts w:ascii="Arial" w:cs="Arial" w:eastAsia="Arial" w:hAnsi="Arial"/>
          <w:sz w:val="15"/>
          <w:szCs w:val="15"/>
          <w:color w:val="auto"/>
        </w:rPr>
        <w:t>. On the date set forth in the Award Agreement, all unearned or unvested Performance Units/Shares will be forfeited to the Company, and again will be available for grant under the Plan.</w:t>
      </w:r>
    </w:p>
    <w:p>
      <w:pPr>
        <w:spacing w:after="0" w:line="146" w:lineRule="exact"/>
        <w:rPr>
          <w:rFonts w:ascii="Arial" w:cs="Arial" w:eastAsia="Arial" w:hAnsi="Arial"/>
          <w:sz w:val="15"/>
          <w:szCs w:val="15"/>
          <w:color w:val="auto"/>
        </w:rPr>
      </w:pPr>
    </w:p>
    <w:p>
      <w:pPr>
        <w:ind w:left="-40" w:firstLine="448"/>
        <w:spacing w:after="0" w:line="263" w:lineRule="auto"/>
        <w:tabs>
          <w:tab w:leader="none" w:pos="750" w:val="left"/>
        </w:tabs>
        <w:numPr>
          <w:ilvl w:val="0"/>
          <w:numId w:val="285"/>
        </w:numPr>
        <w:rPr>
          <w:rFonts w:ascii="Arial" w:cs="Arial" w:eastAsia="Arial" w:hAnsi="Arial"/>
          <w:sz w:val="15"/>
          <w:szCs w:val="15"/>
          <w:color w:val="auto"/>
        </w:rPr>
      </w:pPr>
      <w:r>
        <w:rPr>
          <w:rFonts w:ascii="Arial" w:cs="Arial" w:eastAsia="Arial" w:hAnsi="Arial"/>
          <w:sz w:val="15"/>
          <w:szCs w:val="15"/>
          <w:u w:val="single" w:color="auto"/>
          <w:color w:val="auto"/>
        </w:rPr>
        <w:t>Outside Director Limitations</w:t>
      </w:r>
      <w:r>
        <w:rPr>
          <w:rFonts w:ascii="Arial" w:cs="Arial" w:eastAsia="Arial" w:hAnsi="Arial"/>
          <w:sz w:val="15"/>
          <w:szCs w:val="15"/>
          <w:color w:val="auto"/>
        </w:rPr>
        <w:t>. No Outside Director may be paid, issued or granted, in any Fiscal Year, cash compensation and equity awards (including any Awards issued under this Plan) with an aggregate value greater than $1,200,000 (with the value of each equity award based on its grant date fair value (determined in accordance with U.S. generally accepted accounting</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-14-</w:t>
      </w:r>
    </w:p>
    <w:p>
      <w:pPr>
        <w:sectPr>
          <w:pgSz w:w="11900" w:h="16838" w:orient="portrait"/>
          <w:cols w:equalWidth="0" w:num="1">
            <w:col w:w="11340"/>
          </w:cols>
          <w:pgMar w:left="280" w:top="253" w:right="279" w:bottom="1440" w:gutter="0" w:footer="0" w:header="0"/>
        </w:sectPr>
      </w:pPr>
    </w:p>
    <w:bookmarkStart w:id="356" w:name="page357"/>
    <w:bookmarkEnd w:id="356"/>
    <w:p>
      <w:pPr>
        <w:ind w:right="440"/>
        <w:spacing w:after="0" w:line="275"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133350</wp:posOffset>
            </wp:positionH>
            <wp:positionV relativeFrom="page">
              <wp:posOffset>88900</wp:posOffset>
            </wp:positionV>
            <wp:extent cx="7308850" cy="34290"/>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35">
                      <a:extLst>
                        <a:ext uri="{28A0092B-C50C-407E-A947-70E740481C1C}"/>
                      </a:extLst>
                    </a:blip>
                    <a:srcRect/>
                    <a:stretch>
                      <a:fillRect/>
                    </a:stretch>
                  </pic:blipFill>
                  <pic:spPr bwMode="auto">
                    <a:xfrm>
                      <a:off x="0" y="0"/>
                      <a:ext cx="7308850" cy="34290"/>
                    </a:xfrm>
                    <a:prstGeom prst="rect">
                      <a:avLst/>
                    </a:prstGeom>
                    <a:noFill/>
                  </pic:spPr>
                </pic:pic>
              </a:graphicData>
            </a:graphic>
          </wp:anchor>
        </w:drawing>
        <w:t>principles)). Any cash compensation paid or Awards granted to an individual for his or her services as an Employee, or for his or her services as a Consultant (other than as an Outside Director), will not count for purposes of the limitation under this Section 11.</w:t>
      </w:r>
    </w:p>
    <w:p>
      <w:pPr>
        <w:spacing w:after="0" w:line="146" w:lineRule="exact"/>
        <w:rPr>
          <w:sz w:val="20"/>
          <w:szCs w:val="20"/>
          <w:color w:val="auto"/>
        </w:rPr>
      </w:pPr>
    </w:p>
    <w:p>
      <w:pPr>
        <w:ind w:firstLine="906"/>
        <w:spacing w:after="0" w:line="255" w:lineRule="auto"/>
        <w:tabs>
          <w:tab w:leader="none" w:pos="1254" w:val="left"/>
        </w:tabs>
        <w:numPr>
          <w:ilvl w:val="0"/>
          <w:numId w:val="286"/>
        </w:numPr>
        <w:rPr>
          <w:rFonts w:ascii="Arial" w:cs="Arial" w:eastAsia="Arial" w:hAnsi="Arial"/>
          <w:sz w:val="15"/>
          <w:szCs w:val="15"/>
          <w:color w:val="auto"/>
        </w:rPr>
      </w:pPr>
      <w:r>
        <w:rPr>
          <w:rFonts w:ascii="Arial" w:cs="Arial" w:eastAsia="Arial" w:hAnsi="Arial"/>
          <w:sz w:val="15"/>
          <w:szCs w:val="15"/>
          <w:u w:val="single" w:color="auto"/>
          <w:color w:val="auto"/>
        </w:rPr>
        <w:t>Leaves of Absence/Transfer Between Locations</w:t>
      </w:r>
      <w:r>
        <w:rPr>
          <w:rFonts w:ascii="Arial" w:cs="Arial" w:eastAsia="Arial" w:hAnsi="Arial"/>
          <w:sz w:val="15"/>
          <w:szCs w:val="15"/>
          <w:color w:val="auto"/>
        </w:rPr>
        <w:t>. Unless the Administrator provides otherwise, vesting of Awards granted hereunder will be suspended during any unpaid leave of absence. A Participant will not cease to be an Employee in the case of (i) any leave of absence approved by the Company or (ii) transfers between locations of the Company or between the Company, its Parent, or any Subsidiary. For purposes of Incentive Stock Options, no such leave may exceed three (3) months, unless reemployment upon expiration of such leave is guaranteed by statute or contract. If reemployment upon expiration of a leave of absence approved by the Company is not so guaranteed, then six (6) months following the first (1st) day of such leave any Incentive Stock Option held by the Participant will cease to be treated as an Incentive Stock Option and will be treated for tax purposes as a Nonstatutory Stock Option.</w:t>
      </w:r>
    </w:p>
    <w:p>
      <w:pPr>
        <w:spacing w:after="0" w:line="163" w:lineRule="exact"/>
        <w:rPr>
          <w:rFonts w:ascii="Arial" w:cs="Arial" w:eastAsia="Arial" w:hAnsi="Arial"/>
          <w:sz w:val="15"/>
          <w:szCs w:val="15"/>
          <w:color w:val="auto"/>
        </w:rPr>
      </w:pPr>
    </w:p>
    <w:p>
      <w:pPr>
        <w:ind w:right="60" w:firstLine="906"/>
        <w:spacing w:after="0" w:line="263" w:lineRule="auto"/>
        <w:tabs>
          <w:tab w:leader="none" w:pos="1254" w:val="left"/>
        </w:tabs>
        <w:numPr>
          <w:ilvl w:val="0"/>
          <w:numId w:val="286"/>
        </w:numPr>
        <w:rPr>
          <w:rFonts w:ascii="Arial" w:cs="Arial" w:eastAsia="Arial" w:hAnsi="Arial"/>
          <w:sz w:val="15"/>
          <w:szCs w:val="15"/>
          <w:color w:val="auto"/>
        </w:rPr>
      </w:pPr>
      <w:r>
        <w:rPr>
          <w:rFonts w:ascii="Arial" w:cs="Arial" w:eastAsia="Arial" w:hAnsi="Arial"/>
          <w:sz w:val="15"/>
          <w:szCs w:val="15"/>
          <w:u w:val="single" w:color="auto"/>
          <w:color w:val="auto"/>
        </w:rPr>
        <w:t>Transferability of Awards</w:t>
      </w:r>
      <w:r>
        <w:rPr>
          <w:rFonts w:ascii="Arial" w:cs="Arial" w:eastAsia="Arial" w:hAnsi="Arial"/>
          <w:sz w:val="15"/>
          <w:szCs w:val="15"/>
          <w:color w:val="auto"/>
        </w:rPr>
        <w:t>. Unless determined otherwise by the Administrator, an Award may not be sold, pledged, assigned, hypothecated, transferred, or disposed of in any manner other than by will or by the laws of descent or distribution and may be exercised, during the lifetime of the Participant, only by the Participant. If the Administrator makes an Award transferable, such Award will contain such additional terms and conditions as the Administrator deems appropriate.</w:t>
      </w:r>
    </w:p>
    <w:p>
      <w:pPr>
        <w:spacing w:after="0" w:line="245" w:lineRule="exact"/>
        <w:rPr>
          <w:rFonts w:ascii="Arial" w:cs="Arial" w:eastAsia="Arial" w:hAnsi="Arial"/>
          <w:sz w:val="15"/>
          <w:szCs w:val="15"/>
          <w:color w:val="auto"/>
        </w:rPr>
      </w:pPr>
    </w:p>
    <w:p>
      <w:pPr>
        <w:ind w:left="1240" w:hanging="334"/>
        <w:spacing w:after="0"/>
        <w:tabs>
          <w:tab w:leader="none" w:pos="1240" w:val="left"/>
        </w:tabs>
        <w:numPr>
          <w:ilvl w:val="0"/>
          <w:numId w:val="286"/>
        </w:numPr>
        <w:rPr>
          <w:rFonts w:ascii="Arial" w:cs="Arial" w:eastAsia="Arial" w:hAnsi="Arial"/>
          <w:sz w:val="15"/>
          <w:szCs w:val="15"/>
          <w:color w:val="auto"/>
        </w:rPr>
      </w:pPr>
      <w:r>
        <w:rPr>
          <w:rFonts w:ascii="Arial" w:cs="Arial" w:eastAsia="Arial" w:hAnsi="Arial"/>
          <w:sz w:val="15"/>
          <w:szCs w:val="15"/>
          <w:u w:val="single" w:color="auto"/>
          <w:color w:val="auto"/>
        </w:rPr>
        <w:t>Adjustments; Dissolution or Liquidation; Merger or Change in Control</w:t>
      </w:r>
      <w:r>
        <w:rPr>
          <w:rFonts w:ascii="Arial" w:cs="Arial" w:eastAsia="Arial" w:hAnsi="Arial"/>
          <w:sz w:val="15"/>
          <w:szCs w:val="15"/>
          <w:color w:val="auto"/>
        </w:rPr>
        <w:t>.</w:t>
      </w:r>
    </w:p>
    <w:p>
      <w:pPr>
        <w:spacing w:after="0" w:line="98" w:lineRule="exact"/>
        <w:rPr>
          <w:rFonts w:ascii="Arial" w:cs="Arial" w:eastAsia="Arial" w:hAnsi="Arial"/>
          <w:sz w:val="15"/>
          <w:szCs w:val="15"/>
          <w:color w:val="auto"/>
        </w:rPr>
      </w:pPr>
    </w:p>
    <w:p>
      <w:pPr>
        <w:ind w:right="20" w:firstLine="1478"/>
        <w:spacing w:after="0" w:line="257" w:lineRule="auto"/>
        <w:tabs>
          <w:tab w:leader="none" w:pos="1805" w:val="left"/>
        </w:tabs>
        <w:numPr>
          <w:ilvl w:val="1"/>
          <w:numId w:val="286"/>
        </w:numPr>
        <w:rPr>
          <w:rFonts w:ascii="Arial" w:cs="Arial" w:eastAsia="Arial" w:hAnsi="Arial"/>
          <w:sz w:val="15"/>
          <w:szCs w:val="15"/>
          <w:color w:val="auto"/>
        </w:rPr>
      </w:pPr>
      <w:r>
        <w:rPr>
          <w:rFonts w:ascii="Arial" w:cs="Arial" w:eastAsia="Arial" w:hAnsi="Arial"/>
          <w:sz w:val="15"/>
          <w:szCs w:val="15"/>
          <w:u w:val="single" w:color="auto"/>
          <w:color w:val="auto"/>
        </w:rPr>
        <w:t>Adjustments</w:t>
      </w:r>
      <w:r>
        <w:rPr>
          <w:rFonts w:ascii="Arial" w:cs="Arial" w:eastAsia="Arial" w:hAnsi="Arial"/>
          <w:sz w:val="15"/>
          <w:szCs w:val="15"/>
          <w:color w:val="auto"/>
        </w:rPr>
        <w:t>. In the event that any dividend or other distribution (whether in the form of cash, Shares, other securities, or other property), recapitalization, stock split, reverse stock split, reorganization, merger, consolidation, split-up, spin-off, combination, repurchase, or exchange of Shares or other securities of the Company, or other change in the corporate structure of the Company affecting the Shares occurs, the Administrator, in order to prevent diminution or enlargement of the benefits or potential benefits intended to be made available under the Plan, will adjust the number and class of Shares that may be delivered under the Plan and/or the number, class, and price of Shares covered by each outstanding Award, and the numerical Share limits in Section 3 of the Plan.</w:t>
      </w:r>
    </w:p>
    <w:p>
      <w:pPr>
        <w:spacing w:after="0" w:line="159" w:lineRule="exact"/>
        <w:rPr>
          <w:rFonts w:ascii="Arial" w:cs="Arial" w:eastAsia="Arial" w:hAnsi="Arial"/>
          <w:sz w:val="15"/>
          <w:szCs w:val="15"/>
          <w:color w:val="auto"/>
        </w:rPr>
      </w:pPr>
    </w:p>
    <w:p>
      <w:pPr>
        <w:ind w:firstLine="1478"/>
        <w:spacing w:after="0" w:line="263" w:lineRule="auto"/>
        <w:tabs>
          <w:tab w:leader="none" w:pos="1814" w:val="left"/>
        </w:tabs>
        <w:numPr>
          <w:ilvl w:val="1"/>
          <w:numId w:val="286"/>
        </w:numPr>
        <w:rPr>
          <w:rFonts w:ascii="Arial" w:cs="Arial" w:eastAsia="Arial" w:hAnsi="Arial"/>
          <w:sz w:val="15"/>
          <w:szCs w:val="15"/>
          <w:color w:val="auto"/>
        </w:rPr>
      </w:pPr>
      <w:r>
        <w:rPr>
          <w:rFonts w:ascii="Arial" w:cs="Arial" w:eastAsia="Arial" w:hAnsi="Arial"/>
          <w:sz w:val="15"/>
          <w:szCs w:val="15"/>
          <w:u w:val="single" w:color="auto"/>
          <w:color w:val="auto"/>
        </w:rPr>
        <w:t>Dissolution or Liquidation</w:t>
      </w:r>
      <w:r>
        <w:rPr>
          <w:rFonts w:ascii="Arial" w:cs="Arial" w:eastAsia="Arial" w:hAnsi="Arial"/>
          <w:sz w:val="15"/>
          <w:szCs w:val="15"/>
          <w:color w:val="auto"/>
        </w:rPr>
        <w:t>. In the event of the proposed dissolution or liquidation of the Company, the Administrator will notify each Participant as soon as practicable prior to the effective date of such proposed transaction. To the extent it has not been previously exercised, an Award will terminate immediately prior to the consummation of such proposed action.</w:t>
      </w:r>
    </w:p>
    <w:p>
      <w:pPr>
        <w:spacing w:after="0" w:line="154" w:lineRule="exact"/>
        <w:rPr>
          <w:rFonts w:ascii="Arial" w:cs="Arial" w:eastAsia="Arial" w:hAnsi="Arial"/>
          <w:sz w:val="15"/>
          <w:szCs w:val="15"/>
          <w:color w:val="auto"/>
        </w:rPr>
      </w:pPr>
    </w:p>
    <w:p>
      <w:pPr>
        <w:ind w:firstLine="1478"/>
        <w:spacing w:after="0" w:line="259" w:lineRule="auto"/>
        <w:tabs>
          <w:tab w:leader="none" w:pos="1805" w:val="left"/>
        </w:tabs>
        <w:numPr>
          <w:ilvl w:val="1"/>
          <w:numId w:val="286"/>
        </w:numPr>
        <w:rPr>
          <w:rFonts w:ascii="Arial" w:cs="Arial" w:eastAsia="Arial" w:hAnsi="Arial"/>
          <w:sz w:val="15"/>
          <w:szCs w:val="15"/>
          <w:color w:val="auto"/>
        </w:rPr>
      </w:pPr>
      <w:r>
        <w:rPr>
          <w:rFonts w:ascii="Arial" w:cs="Arial" w:eastAsia="Arial" w:hAnsi="Arial"/>
          <w:sz w:val="15"/>
          <w:szCs w:val="15"/>
          <w:u w:val="single" w:color="auto"/>
          <w:color w:val="auto"/>
        </w:rPr>
        <w:t>Change in Control</w:t>
      </w:r>
      <w:r>
        <w:rPr>
          <w:rFonts w:ascii="Arial" w:cs="Arial" w:eastAsia="Arial" w:hAnsi="Arial"/>
          <w:sz w:val="15"/>
          <w:szCs w:val="15"/>
          <w:color w:val="auto"/>
        </w:rPr>
        <w:t>. In the event of a merger of the Company with or into another corporation or other entity or a Change in Control, each outstanding Award will be treated as the Administrator determines subject to the restriction in the following paragraph, including, without limitation, that each Award be assumed or an equivalent option or right substituted by the successor corporation or a Parent or Subsidiary of the successor corporation. The Administrator will not be required to treat all Awards or Participants similarly in the transaction.</w:t>
      </w:r>
    </w:p>
    <w:p>
      <w:pPr>
        <w:spacing w:after="0" w:line="158" w:lineRule="exact"/>
        <w:rPr>
          <w:sz w:val="20"/>
          <w:szCs w:val="20"/>
          <w:color w:val="auto"/>
        </w:rPr>
      </w:pPr>
    </w:p>
    <w:p>
      <w:pPr>
        <w:ind w:left="1480"/>
        <w:spacing w:after="0"/>
        <w:rPr>
          <w:sz w:val="20"/>
          <w:szCs w:val="20"/>
          <w:color w:val="auto"/>
        </w:rPr>
      </w:pPr>
      <w:r>
        <w:rPr>
          <w:rFonts w:ascii="Arial" w:cs="Arial" w:eastAsia="Arial" w:hAnsi="Arial"/>
          <w:sz w:val="13"/>
          <w:szCs w:val="13"/>
          <w:color w:val="auto"/>
        </w:rPr>
        <w:t>In the event that the successor corporation does not assume or substitute for the Award, the Participant will fully vest in and have the right to exercise all of his or her</w:t>
      </w:r>
    </w:p>
    <w:p>
      <w:pPr>
        <w:spacing w:after="0" w:line="40" w:lineRule="exact"/>
        <w:rPr>
          <w:sz w:val="20"/>
          <w:szCs w:val="20"/>
          <w:color w:val="auto"/>
        </w:rPr>
      </w:pPr>
    </w:p>
    <w:p>
      <w:pPr>
        <w:spacing w:after="0"/>
        <w:rPr>
          <w:sz w:val="20"/>
          <w:szCs w:val="20"/>
          <w:color w:val="auto"/>
        </w:rPr>
      </w:pPr>
      <w:r>
        <w:rPr>
          <w:rFonts w:ascii="Arial" w:cs="Arial" w:eastAsia="Arial" w:hAnsi="Arial"/>
          <w:sz w:val="15"/>
          <w:szCs w:val="15"/>
          <w:color w:val="auto"/>
        </w:rPr>
        <w:t>outstanding</w:t>
      </w:r>
    </w:p>
    <w:p>
      <w:pPr>
        <w:spacing w:after="0" w:line="123"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-15-</w:t>
      </w:r>
    </w:p>
    <w:p>
      <w:pPr>
        <w:sectPr>
          <w:pgSz w:w="11900" w:h="16838" w:orient="portrait"/>
          <w:cols w:equalWidth="0" w:num="1">
            <w:col w:w="11420"/>
          </w:cols>
          <w:pgMar w:left="240" w:top="253" w:right="239" w:bottom="1440" w:gutter="0" w:footer="0" w:header="0"/>
        </w:sectPr>
      </w:pPr>
    </w:p>
    <w:bookmarkStart w:id="357" w:name="page358"/>
    <w:bookmarkEnd w:id="357"/>
    <w:p>
      <w:pPr>
        <w:ind w:right="40"/>
        <w:spacing w:after="0" w:line="294" w:lineRule="auto"/>
        <w:rPr>
          <w:sz w:val="20"/>
          <w:szCs w:val="20"/>
          <w:color w:val="auto"/>
        </w:rPr>
      </w:pPr>
      <w:r>
        <w:rPr>
          <w:rFonts w:ascii="Arial" w:cs="Arial" w:eastAsia="Arial" w:hAnsi="Arial"/>
          <w:sz w:val="13"/>
          <w:szCs w:val="13"/>
          <w:color w:val="auto"/>
        </w:rPr>
        <w:drawing>
          <wp:anchor simplePos="0" relativeHeight="251657728" behindDoc="1" locked="0" layoutInCell="0" allowOverlap="1">
            <wp:simplePos x="0" y="0"/>
            <wp:positionH relativeFrom="page">
              <wp:posOffset>133350</wp:posOffset>
            </wp:positionH>
            <wp:positionV relativeFrom="page">
              <wp:posOffset>88900</wp:posOffset>
            </wp:positionV>
            <wp:extent cx="7308850" cy="34290"/>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36">
                      <a:extLst>
                        <a:ext uri="{28A0092B-C50C-407E-A947-70E740481C1C}"/>
                      </a:extLst>
                    </a:blip>
                    <a:srcRect/>
                    <a:stretch>
                      <a:fillRect/>
                    </a:stretch>
                  </pic:blipFill>
                  <pic:spPr bwMode="auto">
                    <a:xfrm>
                      <a:off x="0" y="0"/>
                      <a:ext cx="7308850" cy="34290"/>
                    </a:xfrm>
                    <a:prstGeom prst="rect">
                      <a:avLst/>
                    </a:prstGeom>
                    <a:noFill/>
                  </pic:spPr>
                </pic:pic>
              </a:graphicData>
            </a:graphic>
          </wp:anchor>
        </w:drawing>
        <w:t>Options and Stock Appreciation Rights, including Shares as to which such Awards would not otherwise be vested or exercisable, all restrictions on Restricted Stock and Restricted Stock Units will lapse, and, with respect to Awards with performance-based vesting, unless specifically provided otherwise under the applicable Award Agreement, a Company policy applicable to the Participant, or other written agreement between the Participant and the Company, all performance goals or other vesting criteria will be deemed achieved at one hundred percent</w:t>
      </w:r>
    </w:p>
    <w:p>
      <w:pPr>
        <w:spacing w:after="0" w:line="1" w:lineRule="exact"/>
        <w:rPr>
          <w:sz w:val="20"/>
          <w:szCs w:val="20"/>
          <w:color w:val="auto"/>
        </w:rPr>
      </w:pPr>
    </w:p>
    <w:p>
      <w:pPr>
        <w:spacing w:after="0" w:line="256" w:lineRule="auto"/>
        <w:rPr>
          <w:sz w:val="20"/>
          <w:szCs w:val="20"/>
          <w:color w:val="auto"/>
        </w:rPr>
      </w:pPr>
      <w:r>
        <w:rPr>
          <w:rFonts w:ascii="Arial" w:cs="Arial" w:eastAsia="Arial" w:hAnsi="Arial"/>
          <w:sz w:val="15"/>
          <w:szCs w:val="15"/>
          <w:color w:val="auto"/>
        </w:rPr>
        <w:t>(100%) of target levels and all other terms and conditions met. In addition, if an Option or Stock Appreciation Right is not assumed or substituted in the event of a Change in Control, the Administrator will notify the Participant in writing or electronically that the Option or Stock Appreciation Right will be exercisable for a period of time determined by the Administrator in its sole discretion, and the Option or Stock Appreciation Right will terminate upon the expiration of such period.</w:t>
      </w:r>
    </w:p>
    <w:p>
      <w:pPr>
        <w:spacing w:after="0" w:line="160" w:lineRule="exact"/>
        <w:rPr>
          <w:sz w:val="20"/>
          <w:szCs w:val="20"/>
          <w:color w:val="auto"/>
        </w:rPr>
      </w:pPr>
    </w:p>
    <w:p>
      <w:pPr>
        <w:ind w:right="20" w:firstLine="1488"/>
        <w:spacing w:after="0" w:line="276" w:lineRule="auto"/>
        <w:rPr>
          <w:sz w:val="20"/>
          <w:szCs w:val="20"/>
          <w:color w:val="auto"/>
        </w:rPr>
      </w:pPr>
      <w:r>
        <w:rPr>
          <w:rFonts w:ascii="Arial" w:cs="Arial" w:eastAsia="Arial" w:hAnsi="Arial"/>
          <w:sz w:val="14"/>
          <w:szCs w:val="14"/>
          <w:color w:val="auto"/>
        </w:rPr>
        <w:t>For the purposes of this subsection (c), an Award will be considered assumed if, following the Change in Control, the Award confers the right to purchase or receive, for each Share subject to the Award immediately prior to the Change in Control, the consideration (whether stock, cash, or other securities or property) received in the Change in Control by holders of Common Stock for each Share held on the effective date of the transaction (and if holders were offered a choice of consideration, the type of consideration chosen by the holders of a majority of the outstanding Shares); provided, however, that if such consideration received in the Change in Control is not solely common stock of the successor corporation or its Parent, the Administrator may, with the consent of the successor corporation, provide for the consideration to be received upon the exercise of an Option or Stock Appreciation Right or upon the payout of a Restricted Stock Unit, Performance Unit or Performance Share, for each Share subject to such Award, to be solely common stock of the successor corporation or its Parent equal in fair market value to the per share consideration received by holders of Common Stock in the Change in Control.</w:t>
      </w:r>
    </w:p>
    <w:p>
      <w:pPr>
        <w:spacing w:after="0" w:line="148" w:lineRule="exact"/>
        <w:rPr>
          <w:sz w:val="20"/>
          <w:szCs w:val="20"/>
          <w:color w:val="auto"/>
        </w:rPr>
      </w:pPr>
    </w:p>
    <w:p>
      <w:pPr>
        <w:jc w:val="both"/>
        <w:ind w:right="40" w:firstLine="1488"/>
        <w:spacing w:after="0" w:line="290" w:lineRule="auto"/>
        <w:rPr>
          <w:sz w:val="20"/>
          <w:szCs w:val="20"/>
          <w:color w:val="auto"/>
        </w:rPr>
      </w:pPr>
      <w:r>
        <w:rPr>
          <w:rFonts w:ascii="Arial" w:cs="Arial" w:eastAsia="Arial" w:hAnsi="Arial"/>
          <w:sz w:val="14"/>
          <w:szCs w:val="14"/>
          <w:color w:val="auto"/>
        </w:rPr>
        <w:t>Notwithstanding anything in this Section 14(c) to the contrary, an Award that vests, is earned or paid-out upon the satisfaction of one or more performance goals will not be considered assumed if the Company or its successor modifies any of such performance goals without the Participant’s consent; provided, however, a modification to such performance goals only to reflect the successor corporation’s post-Change in Control corporate structure will not be deemed to invalidate an otherwise valid Award assumption.</w:t>
      </w:r>
    </w:p>
    <w:p>
      <w:pPr>
        <w:spacing w:after="0" w:line="138" w:lineRule="exact"/>
        <w:rPr>
          <w:sz w:val="20"/>
          <w:szCs w:val="20"/>
          <w:color w:val="auto"/>
        </w:rPr>
      </w:pPr>
    </w:p>
    <w:p>
      <w:pPr>
        <w:ind w:right="20" w:firstLine="1478"/>
        <w:spacing w:after="0" w:line="276" w:lineRule="auto"/>
        <w:tabs>
          <w:tab w:leader="none" w:pos="1814" w:val="left"/>
        </w:tabs>
        <w:numPr>
          <w:ilvl w:val="0"/>
          <w:numId w:val="287"/>
        </w:numPr>
        <w:rPr>
          <w:rFonts w:ascii="Arial" w:cs="Arial" w:eastAsia="Arial" w:hAnsi="Arial"/>
          <w:sz w:val="14"/>
          <w:szCs w:val="14"/>
          <w:color w:val="auto"/>
        </w:rPr>
      </w:pPr>
      <w:r>
        <w:rPr>
          <w:rFonts w:ascii="Arial" w:cs="Arial" w:eastAsia="Arial" w:hAnsi="Arial"/>
          <w:sz w:val="14"/>
          <w:szCs w:val="14"/>
          <w:u w:val="single" w:color="auto"/>
          <w:color w:val="auto"/>
        </w:rPr>
        <w:t>Outside Director Awards</w:t>
      </w:r>
      <w:r>
        <w:rPr>
          <w:rFonts w:ascii="Arial" w:cs="Arial" w:eastAsia="Arial" w:hAnsi="Arial"/>
          <w:sz w:val="14"/>
          <w:szCs w:val="14"/>
          <w:color w:val="auto"/>
        </w:rPr>
        <w:t>. With respect to Awards granted to an Outside Director, in the event of a Change in Control in which such Awards are assumed or substituted for, if on the date of or following such assumption or substitution the Participant’s status as a Director or a director of the successor corporation, as applicable, is terminated other than upon a voluntary resignation by the Participant (unless such resignation is at the request of the acquirer), then the Participant will fully vest in and have the right to exercise Options and/or Stock Appreciation Rights as to all of the Shares underlying such Award, including those Shares which would not otherwise be vested or exercisable, all restrictions on Restricted Stock and Restricted Stock Units will lapse, and, with respect to Awards with performance-based vesting, unless specifically provided otherwise under the applicable Award Agreement, a Company policy applicable to the Participant, or other written agreement between the Participant and the Company, all performance goals or other vesting criteria will be deemed achieved at one hundred percent (100%) of target levels and all other terms and conditions met.</w:t>
      </w:r>
    </w:p>
    <w:p>
      <w:pPr>
        <w:spacing w:after="0" w:line="9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-16-</w:t>
      </w:r>
    </w:p>
    <w:p>
      <w:pPr>
        <w:sectPr>
          <w:pgSz w:w="11900" w:h="16838" w:orient="portrait"/>
          <w:cols w:equalWidth="0" w:num="1">
            <w:col w:w="11440"/>
          </w:cols>
          <w:pgMar w:left="240" w:top="253" w:right="219" w:bottom="1440" w:gutter="0" w:footer="0" w:header="0"/>
        </w:sectPr>
      </w:pPr>
    </w:p>
    <w:bookmarkStart w:id="358" w:name="page359"/>
    <w:bookmarkEnd w:id="358"/>
    <w:p>
      <w:pPr>
        <w:ind w:left="780" w:hanging="332"/>
        <w:spacing w:after="0"/>
        <w:tabs>
          <w:tab w:leader="none" w:pos="780" w:val="left"/>
        </w:tabs>
        <w:numPr>
          <w:ilvl w:val="0"/>
          <w:numId w:val="288"/>
        </w:numPr>
        <w:rPr>
          <w:rFonts w:ascii="Arial" w:cs="Arial" w:eastAsia="Arial" w:hAnsi="Arial"/>
          <w:sz w:val="15"/>
          <w:szCs w:val="15"/>
          <w:color w:val="auto"/>
        </w:rPr>
      </w:pPr>
      <w:r>
        <w:rPr>
          <w:rFonts w:ascii="Arial" w:cs="Arial" w:eastAsia="Arial" w:hAnsi="Arial"/>
          <w:sz w:val="15"/>
          <w:szCs w:val="15"/>
          <w:u w:val="single" w:color="auto"/>
          <w:color w:val="auto"/>
        </w:rPr>
        <w:drawing>
          <wp:anchor simplePos="0" relativeHeight="251657728" behindDoc="1" locked="0" layoutInCell="0" allowOverlap="1">
            <wp:simplePos x="0" y="0"/>
            <wp:positionH relativeFrom="page">
              <wp:posOffset>133350</wp:posOffset>
            </wp:positionH>
            <wp:positionV relativeFrom="page">
              <wp:posOffset>88900</wp:posOffset>
            </wp:positionV>
            <wp:extent cx="7308850" cy="34290"/>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37">
                      <a:extLst>
                        <a:ext uri="{28A0092B-C50C-407E-A947-70E740481C1C}"/>
                      </a:extLst>
                    </a:blip>
                    <a:srcRect/>
                    <a:stretch>
                      <a:fillRect/>
                    </a:stretch>
                  </pic:blipFill>
                  <pic:spPr bwMode="auto">
                    <a:xfrm>
                      <a:off x="0" y="0"/>
                      <a:ext cx="7308850" cy="34290"/>
                    </a:xfrm>
                    <a:prstGeom prst="rect">
                      <a:avLst/>
                    </a:prstGeom>
                    <a:noFill/>
                  </pic:spPr>
                </pic:pic>
              </a:graphicData>
            </a:graphic>
          </wp:anchor>
        </w:drawing>
        <w:t>Tax</w:t>
      </w:r>
      <w:r>
        <w:rPr>
          <w:rFonts w:ascii="Arial" w:cs="Arial" w:eastAsia="Arial" w:hAnsi="Arial"/>
          <w:sz w:val="15"/>
          <w:szCs w:val="15"/>
          <w:color w:val="auto"/>
        </w:rPr>
        <w:t>.</w:t>
      </w:r>
    </w:p>
    <w:p>
      <w:pPr>
        <w:spacing w:after="0" w:line="98" w:lineRule="exact"/>
        <w:rPr>
          <w:rFonts w:ascii="Arial" w:cs="Arial" w:eastAsia="Arial" w:hAnsi="Arial"/>
          <w:sz w:val="15"/>
          <w:szCs w:val="15"/>
          <w:color w:val="auto"/>
        </w:rPr>
      </w:pPr>
    </w:p>
    <w:p>
      <w:pPr>
        <w:ind w:right="100" w:firstLine="906"/>
        <w:spacing w:after="0" w:line="290" w:lineRule="auto"/>
        <w:tabs>
          <w:tab w:leader="none" w:pos="1233" w:val="left"/>
        </w:tabs>
        <w:numPr>
          <w:ilvl w:val="1"/>
          <w:numId w:val="288"/>
        </w:numPr>
        <w:rPr>
          <w:rFonts w:ascii="Arial" w:cs="Arial" w:eastAsia="Arial" w:hAnsi="Arial"/>
          <w:sz w:val="14"/>
          <w:szCs w:val="14"/>
          <w:color w:val="auto"/>
        </w:rPr>
      </w:pPr>
      <w:r>
        <w:rPr>
          <w:rFonts w:ascii="Arial" w:cs="Arial" w:eastAsia="Arial" w:hAnsi="Arial"/>
          <w:sz w:val="14"/>
          <w:szCs w:val="14"/>
          <w:u w:val="single" w:color="auto"/>
          <w:color w:val="auto"/>
        </w:rPr>
        <w:t>Withholding Requirements</w:t>
      </w:r>
      <w:r>
        <w:rPr>
          <w:rFonts w:ascii="Arial" w:cs="Arial" w:eastAsia="Arial" w:hAnsi="Arial"/>
          <w:sz w:val="14"/>
          <w:szCs w:val="14"/>
          <w:color w:val="auto"/>
        </w:rPr>
        <w:t>. Prior to the delivery of any Shares or cash pursuant to an Award (or exercise thereof) or such earlier time as any tax withholding obligations are due, the Company will have the power and the right to deduct or withhold, or require a Participant to remit to the Company, an amount sufficient to satisfy U.S. federal, state, or local taxes, non-U.S. taxes, or other taxes (including the Participant’s FICA obligation) required to be withheld with respect to such Award (or exercise thereof).</w:t>
      </w:r>
    </w:p>
    <w:p>
      <w:pPr>
        <w:spacing w:after="0" w:line="138" w:lineRule="exact"/>
        <w:rPr>
          <w:rFonts w:ascii="Arial" w:cs="Arial" w:eastAsia="Arial" w:hAnsi="Arial"/>
          <w:sz w:val="14"/>
          <w:szCs w:val="14"/>
          <w:color w:val="auto"/>
        </w:rPr>
      </w:pPr>
    </w:p>
    <w:p>
      <w:pPr>
        <w:ind w:right="20" w:firstLine="906"/>
        <w:spacing w:after="0" w:line="257" w:lineRule="auto"/>
        <w:tabs>
          <w:tab w:leader="none" w:pos="1241" w:val="left"/>
        </w:tabs>
        <w:numPr>
          <w:ilvl w:val="1"/>
          <w:numId w:val="288"/>
        </w:numPr>
        <w:rPr>
          <w:rFonts w:ascii="Arial" w:cs="Arial" w:eastAsia="Arial" w:hAnsi="Arial"/>
          <w:sz w:val="15"/>
          <w:szCs w:val="15"/>
          <w:color w:val="auto"/>
        </w:rPr>
      </w:pPr>
      <w:r>
        <w:rPr>
          <w:rFonts w:ascii="Arial" w:cs="Arial" w:eastAsia="Arial" w:hAnsi="Arial"/>
          <w:sz w:val="15"/>
          <w:szCs w:val="15"/>
          <w:u w:val="single" w:color="auto"/>
          <w:color w:val="auto"/>
        </w:rPr>
        <w:t>Withholding Arrangements</w:t>
      </w:r>
      <w:r>
        <w:rPr>
          <w:rFonts w:ascii="Arial" w:cs="Arial" w:eastAsia="Arial" w:hAnsi="Arial"/>
          <w:sz w:val="15"/>
          <w:szCs w:val="15"/>
          <w:color w:val="auto"/>
        </w:rPr>
        <w:t>. The Administrator, in its sole discretion and pursuant to such procedures as it may specify from time to time, may permit a Participant to satisfy such tax withholding obligation, in whole or in part by (without limitation) (i) paying cash, (ii) electing to have the Company withhold otherwise deliverable cash or Shares having a fair market value not in excess of the maximum statutory amount required to be withheld, or (iii) delivering to the Company already-owned Shares having a fair market value not in excess of the maximum statutory amount required to be withheld. The fair market value of the Shares to be withheld or delivered will be determined as of the date that the taxes are required to be withheld.</w:t>
      </w:r>
    </w:p>
    <w:p>
      <w:pPr>
        <w:spacing w:after="0" w:line="159" w:lineRule="exact"/>
        <w:rPr>
          <w:rFonts w:ascii="Arial" w:cs="Arial" w:eastAsia="Arial" w:hAnsi="Arial"/>
          <w:sz w:val="15"/>
          <w:szCs w:val="15"/>
          <w:color w:val="auto"/>
        </w:rPr>
      </w:pPr>
    </w:p>
    <w:p>
      <w:pPr>
        <w:ind w:right="140" w:firstLine="906"/>
        <w:spacing w:after="0" w:line="276" w:lineRule="auto"/>
        <w:tabs>
          <w:tab w:leader="none" w:pos="1233" w:val="left"/>
        </w:tabs>
        <w:numPr>
          <w:ilvl w:val="1"/>
          <w:numId w:val="288"/>
        </w:numPr>
        <w:rPr>
          <w:rFonts w:ascii="Arial" w:cs="Arial" w:eastAsia="Arial" w:hAnsi="Arial"/>
          <w:sz w:val="14"/>
          <w:szCs w:val="14"/>
          <w:color w:val="auto"/>
        </w:rPr>
      </w:pPr>
      <w:r>
        <w:rPr>
          <w:rFonts w:ascii="Arial" w:cs="Arial" w:eastAsia="Arial" w:hAnsi="Arial"/>
          <w:sz w:val="14"/>
          <w:szCs w:val="14"/>
          <w:u w:val="single" w:color="auto"/>
          <w:color w:val="auto"/>
        </w:rPr>
        <w:t>Compliance With Section 409A</w:t>
      </w:r>
      <w:r>
        <w:rPr>
          <w:rFonts w:ascii="Arial" w:cs="Arial" w:eastAsia="Arial" w:hAnsi="Arial"/>
          <w:sz w:val="14"/>
          <w:szCs w:val="14"/>
          <w:color w:val="auto"/>
        </w:rPr>
        <w:t>. Awards will be designed and operated in such a manner that they are either exempt from the application of, or comply with, the requirements of Section 409A such that the grant, payment, settlement or deferral will not be subject to the additional tax or interest applicable under Section 409A, except as otherwise determined in the sole discretion of the Administrator. The Plan and each Award Agreement under the Plan is intended to meet the requirements of Section 409A and will be construed and interpreted in accordance with such intent, except as otherwise determined in the sole discretion of the Administrator. To the extent that an Award or payment, or the settlement or deferral thereof, is subject to Section 409A the Award will be granted, paid, settled or deferred in a manner that will meet the requirements of Section 409A, such that the grant, payment, settlement or deferral will not be subject to the additional tax or interest applicable under Section 409A. In no event will the Company (or any Parent or Subsidiary of the Company, as applicable) reimburse a Participant for any taxes imposed or other costs incurred as a result of Section 409A.</w:t>
      </w:r>
    </w:p>
    <w:p>
      <w:pPr>
        <w:spacing w:after="0" w:line="147" w:lineRule="exact"/>
        <w:rPr>
          <w:rFonts w:ascii="Arial" w:cs="Arial" w:eastAsia="Arial" w:hAnsi="Arial"/>
          <w:sz w:val="14"/>
          <w:szCs w:val="14"/>
          <w:color w:val="auto"/>
        </w:rPr>
      </w:pPr>
    </w:p>
    <w:p>
      <w:pPr>
        <w:ind w:firstLine="448"/>
        <w:spacing w:after="0" w:line="263" w:lineRule="auto"/>
        <w:tabs>
          <w:tab w:leader="none" w:pos="796" w:val="left"/>
        </w:tabs>
        <w:numPr>
          <w:ilvl w:val="0"/>
          <w:numId w:val="288"/>
        </w:numPr>
        <w:rPr>
          <w:rFonts w:ascii="Arial" w:cs="Arial" w:eastAsia="Arial" w:hAnsi="Arial"/>
          <w:sz w:val="15"/>
          <w:szCs w:val="15"/>
          <w:color w:val="auto"/>
        </w:rPr>
      </w:pPr>
      <w:r>
        <w:rPr>
          <w:rFonts w:ascii="Arial" w:cs="Arial" w:eastAsia="Arial" w:hAnsi="Arial"/>
          <w:sz w:val="15"/>
          <w:szCs w:val="15"/>
          <w:u w:val="single" w:color="auto"/>
          <w:color w:val="auto"/>
        </w:rPr>
        <w:t>No Effect on Employment or Service</w:t>
      </w:r>
      <w:r>
        <w:rPr>
          <w:rFonts w:ascii="Arial" w:cs="Arial" w:eastAsia="Arial" w:hAnsi="Arial"/>
          <w:sz w:val="15"/>
          <w:szCs w:val="15"/>
          <w:color w:val="auto"/>
        </w:rPr>
        <w:t>. Neither the Plan nor any Award will confer upon a Participant any right with respect to continuing the Participant’s relationship as a Service Provider, nor will they interfere in any way with the Participant’s right or the right of the Company (or any Parent or Subsidiary of the Company) to terminate such relationship at any time, with or without cause, to the extent permitted by Applicable Laws.</w:t>
      </w:r>
    </w:p>
    <w:p>
      <w:pPr>
        <w:spacing w:after="0" w:line="154" w:lineRule="exact"/>
        <w:rPr>
          <w:rFonts w:ascii="Arial" w:cs="Arial" w:eastAsia="Arial" w:hAnsi="Arial"/>
          <w:sz w:val="15"/>
          <w:szCs w:val="15"/>
          <w:color w:val="auto"/>
        </w:rPr>
      </w:pPr>
    </w:p>
    <w:p>
      <w:pPr>
        <w:ind w:right="280" w:firstLine="448"/>
        <w:spacing w:after="0" w:line="312" w:lineRule="auto"/>
        <w:tabs>
          <w:tab w:leader="none" w:pos="796" w:val="left"/>
        </w:tabs>
        <w:numPr>
          <w:ilvl w:val="0"/>
          <w:numId w:val="288"/>
        </w:numPr>
        <w:rPr>
          <w:rFonts w:ascii="Arial" w:cs="Arial" w:eastAsia="Arial" w:hAnsi="Arial"/>
          <w:sz w:val="14"/>
          <w:szCs w:val="14"/>
          <w:color w:val="auto"/>
        </w:rPr>
      </w:pPr>
      <w:r>
        <w:rPr>
          <w:rFonts w:ascii="Arial" w:cs="Arial" w:eastAsia="Arial" w:hAnsi="Arial"/>
          <w:sz w:val="14"/>
          <w:szCs w:val="14"/>
          <w:u w:val="single" w:color="auto"/>
          <w:color w:val="auto"/>
        </w:rPr>
        <w:t>Date of Grant</w:t>
      </w:r>
      <w:r>
        <w:rPr>
          <w:rFonts w:ascii="Arial" w:cs="Arial" w:eastAsia="Arial" w:hAnsi="Arial"/>
          <w:sz w:val="14"/>
          <w:szCs w:val="14"/>
          <w:color w:val="auto"/>
        </w:rPr>
        <w:t>. The date of grant of an Award will be, for all purposes, the date on which the Administrator makes the determination granting such Award, or such other later date as is determined by the Administrator. Notice of the determination will be provided to each Participant within a reasonable time after the date of such grant.</w:t>
      </w:r>
    </w:p>
    <w:p>
      <w:pPr>
        <w:spacing w:after="0" w:line="6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-17-</w:t>
      </w:r>
    </w:p>
    <w:p>
      <w:pPr>
        <w:sectPr>
          <w:pgSz w:w="11900" w:h="16838" w:orient="portrait"/>
          <w:cols w:equalWidth="0" w:num="1">
            <w:col w:w="11440"/>
          </w:cols>
          <w:pgMar w:left="240" w:top="253" w:right="219" w:bottom="1440" w:gutter="0" w:footer="0" w:header="0"/>
        </w:sectPr>
      </w:pPr>
    </w:p>
    <w:bookmarkStart w:id="359" w:name="page360"/>
    <w:bookmarkEnd w:id="359"/>
    <w:p>
      <w:pPr>
        <w:ind w:left="-40" w:right="60" w:firstLine="448"/>
        <w:spacing w:after="0" w:line="312" w:lineRule="auto"/>
        <w:tabs>
          <w:tab w:leader="none" w:pos="756" w:val="left"/>
        </w:tabs>
        <w:numPr>
          <w:ilvl w:val="0"/>
          <w:numId w:val="289"/>
        </w:numPr>
        <w:rPr>
          <w:rFonts w:ascii="Arial" w:cs="Arial" w:eastAsia="Arial" w:hAnsi="Arial"/>
          <w:sz w:val="14"/>
          <w:szCs w:val="14"/>
          <w:color w:val="auto"/>
        </w:rPr>
      </w:pPr>
      <w:r>
        <w:rPr>
          <w:rFonts w:ascii="Arial" w:cs="Arial" w:eastAsia="Arial" w:hAnsi="Arial"/>
          <w:sz w:val="14"/>
          <w:szCs w:val="14"/>
          <w:u w:val="single" w:color="auto"/>
          <w:color w:val="auto"/>
        </w:rPr>
        <w:drawing>
          <wp:anchor simplePos="0" relativeHeight="251657728" behindDoc="1" locked="0" layoutInCell="0" allowOverlap="1">
            <wp:simplePos x="0" y="0"/>
            <wp:positionH relativeFrom="page">
              <wp:posOffset>133350</wp:posOffset>
            </wp:positionH>
            <wp:positionV relativeFrom="page">
              <wp:posOffset>88900</wp:posOffset>
            </wp:positionV>
            <wp:extent cx="7308850" cy="34290"/>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38">
                      <a:extLst>
                        <a:ext uri="{28A0092B-C50C-407E-A947-70E740481C1C}"/>
                      </a:extLst>
                    </a:blip>
                    <a:srcRect/>
                    <a:stretch>
                      <a:fillRect/>
                    </a:stretch>
                  </pic:blipFill>
                  <pic:spPr bwMode="auto">
                    <a:xfrm>
                      <a:off x="0" y="0"/>
                      <a:ext cx="7308850" cy="34290"/>
                    </a:xfrm>
                    <a:prstGeom prst="rect">
                      <a:avLst/>
                    </a:prstGeom>
                    <a:noFill/>
                  </pic:spPr>
                </pic:pic>
              </a:graphicData>
            </a:graphic>
          </wp:anchor>
        </w:drawing>
        <w:t>Term of Plan</w:t>
      </w:r>
      <w:r>
        <w:rPr>
          <w:rFonts w:ascii="Arial" w:cs="Arial" w:eastAsia="Arial" w:hAnsi="Arial"/>
          <w:sz w:val="14"/>
          <w:szCs w:val="14"/>
          <w:color w:val="auto"/>
        </w:rPr>
        <w:t>. Subject to Section 23 of the Plan, the Plan will become effective upon the later to occur of (i) its adoption by the Board or (ii) the business day immediately prior to the Registration Date. It will continue in effect for a term of ten (10) years from the date adopted by the Board, unless terminated earlier under Section 19 of the Plan.</w:t>
      </w:r>
    </w:p>
    <w:p>
      <w:pPr>
        <w:spacing w:after="0" w:line="213" w:lineRule="exact"/>
        <w:rPr>
          <w:rFonts w:ascii="Arial" w:cs="Arial" w:eastAsia="Arial" w:hAnsi="Arial"/>
          <w:sz w:val="14"/>
          <w:szCs w:val="14"/>
          <w:color w:val="auto"/>
        </w:rPr>
      </w:pPr>
    </w:p>
    <w:p>
      <w:pPr>
        <w:ind w:left="740" w:hanging="332"/>
        <w:spacing w:after="0"/>
        <w:tabs>
          <w:tab w:leader="none" w:pos="740" w:val="left"/>
        </w:tabs>
        <w:numPr>
          <w:ilvl w:val="0"/>
          <w:numId w:val="289"/>
        </w:numPr>
        <w:rPr>
          <w:rFonts w:ascii="Arial" w:cs="Arial" w:eastAsia="Arial" w:hAnsi="Arial"/>
          <w:sz w:val="15"/>
          <w:szCs w:val="15"/>
          <w:color w:val="auto"/>
        </w:rPr>
      </w:pPr>
      <w:r>
        <w:rPr>
          <w:rFonts w:ascii="Arial" w:cs="Arial" w:eastAsia="Arial" w:hAnsi="Arial"/>
          <w:sz w:val="15"/>
          <w:szCs w:val="15"/>
          <w:u w:val="single" w:color="auto"/>
          <w:color w:val="auto"/>
        </w:rPr>
        <w:t>Amendment and Termination of the Plan</w:t>
      </w:r>
      <w:r>
        <w:rPr>
          <w:rFonts w:ascii="Arial" w:cs="Arial" w:eastAsia="Arial" w:hAnsi="Arial"/>
          <w:sz w:val="15"/>
          <w:szCs w:val="15"/>
          <w:color w:val="auto"/>
        </w:rPr>
        <w:t>.</w:t>
      </w:r>
    </w:p>
    <w:p>
      <w:pPr>
        <w:spacing w:after="0" w:line="98" w:lineRule="exact"/>
        <w:rPr>
          <w:rFonts w:ascii="Arial" w:cs="Arial" w:eastAsia="Arial" w:hAnsi="Arial"/>
          <w:sz w:val="15"/>
          <w:szCs w:val="15"/>
          <w:color w:val="auto"/>
        </w:rPr>
      </w:pPr>
    </w:p>
    <w:p>
      <w:pPr>
        <w:ind w:left="1180" w:hanging="314"/>
        <w:spacing w:after="0"/>
        <w:tabs>
          <w:tab w:leader="none" w:pos="1180" w:val="left"/>
        </w:tabs>
        <w:numPr>
          <w:ilvl w:val="1"/>
          <w:numId w:val="289"/>
        </w:numPr>
        <w:rPr>
          <w:rFonts w:ascii="Arial" w:cs="Arial" w:eastAsia="Arial" w:hAnsi="Arial"/>
          <w:sz w:val="15"/>
          <w:szCs w:val="15"/>
          <w:color w:val="auto"/>
        </w:rPr>
      </w:pPr>
      <w:r>
        <w:rPr>
          <w:rFonts w:ascii="Arial" w:cs="Arial" w:eastAsia="Arial" w:hAnsi="Arial"/>
          <w:sz w:val="15"/>
          <w:szCs w:val="15"/>
          <w:u w:val="single" w:color="auto"/>
          <w:color w:val="auto"/>
        </w:rPr>
        <w:t>Amendment and Termination</w:t>
      </w:r>
      <w:r>
        <w:rPr>
          <w:rFonts w:ascii="Arial" w:cs="Arial" w:eastAsia="Arial" w:hAnsi="Arial"/>
          <w:sz w:val="15"/>
          <w:szCs w:val="15"/>
          <w:color w:val="auto"/>
        </w:rPr>
        <w:t>. The Administrator may at any time amend, alter, suspend or terminate the Plan.</w:t>
      </w:r>
    </w:p>
    <w:p>
      <w:pPr>
        <w:spacing w:after="0" w:line="188" w:lineRule="exact"/>
        <w:rPr>
          <w:rFonts w:ascii="Arial" w:cs="Arial" w:eastAsia="Arial" w:hAnsi="Arial"/>
          <w:sz w:val="15"/>
          <w:szCs w:val="15"/>
          <w:color w:val="auto"/>
        </w:rPr>
      </w:pPr>
    </w:p>
    <w:p>
      <w:pPr>
        <w:ind w:left="1200" w:hanging="334"/>
        <w:spacing w:after="0"/>
        <w:tabs>
          <w:tab w:leader="none" w:pos="1200" w:val="left"/>
        </w:tabs>
        <w:numPr>
          <w:ilvl w:val="1"/>
          <w:numId w:val="289"/>
        </w:numPr>
        <w:rPr>
          <w:rFonts w:ascii="Arial" w:cs="Arial" w:eastAsia="Arial" w:hAnsi="Arial"/>
          <w:sz w:val="13"/>
          <w:szCs w:val="13"/>
          <w:color w:val="auto"/>
        </w:rPr>
      </w:pPr>
      <w:r>
        <w:rPr>
          <w:rFonts w:ascii="Arial" w:cs="Arial" w:eastAsia="Arial" w:hAnsi="Arial"/>
          <w:sz w:val="13"/>
          <w:szCs w:val="13"/>
          <w:u w:val="single" w:color="auto"/>
          <w:color w:val="auto"/>
        </w:rPr>
        <w:t>Stockholder Approval</w:t>
      </w:r>
      <w:r>
        <w:rPr>
          <w:rFonts w:ascii="Arial" w:cs="Arial" w:eastAsia="Arial" w:hAnsi="Arial"/>
          <w:sz w:val="13"/>
          <w:szCs w:val="13"/>
          <w:color w:val="auto"/>
        </w:rPr>
        <w:t>. The Company will obtain stockholder approval of any Plan amendment to the extent necessary and desirable to comply with Applicable Laws.</w:t>
      </w:r>
    </w:p>
    <w:p>
      <w:pPr>
        <w:spacing w:after="0" w:line="211" w:lineRule="exact"/>
        <w:rPr>
          <w:rFonts w:ascii="Arial" w:cs="Arial" w:eastAsia="Arial" w:hAnsi="Arial"/>
          <w:sz w:val="13"/>
          <w:szCs w:val="13"/>
          <w:color w:val="auto"/>
        </w:rPr>
      </w:pPr>
    </w:p>
    <w:p>
      <w:pPr>
        <w:ind w:left="-40" w:right="140" w:firstLine="906"/>
        <w:spacing w:after="0" w:line="290" w:lineRule="auto"/>
        <w:tabs>
          <w:tab w:leader="none" w:pos="1193" w:val="left"/>
        </w:tabs>
        <w:numPr>
          <w:ilvl w:val="1"/>
          <w:numId w:val="289"/>
        </w:numPr>
        <w:rPr>
          <w:rFonts w:ascii="Arial" w:cs="Arial" w:eastAsia="Arial" w:hAnsi="Arial"/>
          <w:sz w:val="14"/>
          <w:szCs w:val="14"/>
          <w:color w:val="auto"/>
        </w:rPr>
      </w:pPr>
      <w:r>
        <w:rPr>
          <w:rFonts w:ascii="Arial" w:cs="Arial" w:eastAsia="Arial" w:hAnsi="Arial"/>
          <w:sz w:val="14"/>
          <w:szCs w:val="14"/>
          <w:u w:val="single" w:color="auto"/>
          <w:color w:val="auto"/>
        </w:rPr>
        <w:t>Effect of Amendment or Termination</w:t>
      </w:r>
      <w:r>
        <w:rPr>
          <w:rFonts w:ascii="Arial" w:cs="Arial" w:eastAsia="Arial" w:hAnsi="Arial"/>
          <w:sz w:val="14"/>
          <w:szCs w:val="14"/>
          <w:color w:val="auto"/>
        </w:rPr>
        <w:t>. No amendment, alteration, suspension or termination of the Plan will materially impair the rights of any Participant, unless mutually agreed otherwise between the Participant and the Administrator, which agreement must be in writing and signed by the Participant and the Company. Termination of the Plan will not affect the Administrator’s ability to exercise the powers granted to it hereunder with respect to Awards granted under the Plan prior to the date of such termination.</w:t>
      </w:r>
    </w:p>
    <w:p>
      <w:pPr>
        <w:spacing w:after="0" w:line="228" w:lineRule="exact"/>
        <w:rPr>
          <w:rFonts w:ascii="Arial" w:cs="Arial" w:eastAsia="Arial" w:hAnsi="Arial"/>
          <w:sz w:val="14"/>
          <w:szCs w:val="14"/>
          <w:color w:val="auto"/>
        </w:rPr>
      </w:pPr>
    </w:p>
    <w:p>
      <w:pPr>
        <w:ind w:left="740" w:hanging="332"/>
        <w:spacing w:after="0"/>
        <w:tabs>
          <w:tab w:leader="none" w:pos="740" w:val="left"/>
        </w:tabs>
        <w:numPr>
          <w:ilvl w:val="0"/>
          <w:numId w:val="289"/>
        </w:numPr>
        <w:rPr>
          <w:rFonts w:ascii="Arial" w:cs="Arial" w:eastAsia="Arial" w:hAnsi="Arial"/>
          <w:sz w:val="15"/>
          <w:szCs w:val="15"/>
          <w:color w:val="auto"/>
        </w:rPr>
      </w:pPr>
      <w:r>
        <w:rPr>
          <w:rFonts w:ascii="Arial" w:cs="Arial" w:eastAsia="Arial" w:hAnsi="Arial"/>
          <w:sz w:val="15"/>
          <w:szCs w:val="15"/>
          <w:u w:val="single" w:color="auto"/>
          <w:color w:val="auto"/>
        </w:rPr>
        <w:t>Conditions Upon Issuance of Shares</w:t>
      </w:r>
      <w:r>
        <w:rPr>
          <w:rFonts w:ascii="Arial" w:cs="Arial" w:eastAsia="Arial" w:hAnsi="Arial"/>
          <w:sz w:val="15"/>
          <w:szCs w:val="15"/>
          <w:color w:val="auto"/>
        </w:rPr>
        <w:t>.</w:t>
      </w:r>
    </w:p>
    <w:p>
      <w:pPr>
        <w:spacing w:after="0" w:line="98" w:lineRule="exact"/>
        <w:rPr>
          <w:rFonts w:ascii="Arial" w:cs="Arial" w:eastAsia="Arial" w:hAnsi="Arial"/>
          <w:sz w:val="15"/>
          <w:szCs w:val="15"/>
          <w:color w:val="auto"/>
        </w:rPr>
      </w:pPr>
    </w:p>
    <w:p>
      <w:pPr>
        <w:ind w:left="-40" w:right="320" w:firstLine="906"/>
        <w:spacing w:after="0" w:line="275" w:lineRule="auto"/>
        <w:tabs>
          <w:tab w:leader="none" w:pos="1193" w:val="left"/>
        </w:tabs>
        <w:numPr>
          <w:ilvl w:val="1"/>
          <w:numId w:val="289"/>
        </w:numPr>
        <w:rPr>
          <w:rFonts w:ascii="Arial" w:cs="Arial" w:eastAsia="Arial" w:hAnsi="Arial"/>
          <w:sz w:val="15"/>
          <w:szCs w:val="15"/>
          <w:color w:val="auto"/>
        </w:rPr>
      </w:pPr>
      <w:r>
        <w:rPr>
          <w:rFonts w:ascii="Arial" w:cs="Arial" w:eastAsia="Arial" w:hAnsi="Arial"/>
          <w:sz w:val="15"/>
          <w:szCs w:val="15"/>
          <w:u w:val="single" w:color="auto"/>
          <w:color w:val="auto"/>
        </w:rPr>
        <w:t>Legal Compliance</w:t>
      </w:r>
      <w:r>
        <w:rPr>
          <w:rFonts w:ascii="Arial" w:cs="Arial" w:eastAsia="Arial" w:hAnsi="Arial"/>
          <w:sz w:val="15"/>
          <w:szCs w:val="15"/>
          <w:color w:val="auto"/>
        </w:rPr>
        <w:t>. Shares will not be issued pursuant to an Award unless the exercise of such Award and the issuance and delivery of such Shares will comply with Applicable Laws and will be further subject to the approval of counsel for the Company with respect to such compliance.</w:t>
      </w:r>
    </w:p>
    <w:p>
      <w:pPr>
        <w:spacing w:after="0" w:line="146" w:lineRule="exact"/>
        <w:rPr>
          <w:rFonts w:ascii="Arial" w:cs="Arial" w:eastAsia="Arial" w:hAnsi="Arial"/>
          <w:sz w:val="15"/>
          <w:szCs w:val="15"/>
          <w:color w:val="auto"/>
        </w:rPr>
      </w:pPr>
    </w:p>
    <w:p>
      <w:pPr>
        <w:ind w:left="-40" w:firstLine="906"/>
        <w:spacing w:after="0" w:line="263" w:lineRule="auto"/>
        <w:tabs>
          <w:tab w:leader="none" w:pos="1201" w:val="left"/>
        </w:tabs>
        <w:numPr>
          <w:ilvl w:val="1"/>
          <w:numId w:val="289"/>
        </w:numPr>
        <w:rPr>
          <w:rFonts w:ascii="Arial" w:cs="Arial" w:eastAsia="Arial" w:hAnsi="Arial"/>
          <w:sz w:val="15"/>
          <w:szCs w:val="15"/>
          <w:color w:val="auto"/>
        </w:rPr>
      </w:pPr>
      <w:r>
        <w:rPr>
          <w:rFonts w:ascii="Arial" w:cs="Arial" w:eastAsia="Arial" w:hAnsi="Arial"/>
          <w:sz w:val="15"/>
          <w:szCs w:val="15"/>
          <w:u w:val="single" w:color="auto"/>
          <w:color w:val="auto"/>
        </w:rPr>
        <w:t>Investment Representations</w:t>
      </w:r>
      <w:r>
        <w:rPr>
          <w:rFonts w:ascii="Arial" w:cs="Arial" w:eastAsia="Arial" w:hAnsi="Arial"/>
          <w:sz w:val="15"/>
          <w:szCs w:val="15"/>
          <w:color w:val="auto"/>
        </w:rPr>
        <w:t>. As a condition to the exercise of an Award, the Company may require the person exercising such Award to represent and warrant at the time of any such exercise that the Shares are being purchased only for investment and without any present intention to sell or distribute such Shares if, in the opinion of counsel for the Company, such a representation is required.</w:t>
      </w:r>
    </w:p>
    <w:p>
      <w:pPr>
        <w:spacing w:after="0" w:line="154" w:lineRule="exact"/>
        <w:rPr>
          <w:rFonts w:ascii="Arial" w:cs="Arial" w:eastAsia="Arial" w:hAnsi="Arial"/>
          <w:sz w:val="15"/>
          <w:szCs w:val="15"/>
          <w:color w:val="auto"/>
        </w:rPr>
      </w:pPr>
    </w:p>
    <w:p>
      <w:pPr>
        <w:ind w:left="-40" w:right="60" w:firstLine="448"/>
        <w:spacing w:after="0" w:line="279" w:lineRule="auto"/>
        <w:tabs>
          <w:tab w:leader="none" w:pos="756" w:val="left"/>
        </w:tabs>
        <w:numPr>
          <w:ilvl w:val="0"/>
          <w:numId w:val="289"/>
        </w:numPr>
        <w:rPr>
          <w:rFonts w:ascii="Arial" w:cs="Arial" w:eastAsia="Arial" w:hAnsi="Arial"/>
          <w:sz w:val="14"/>
          <w:szCs w:val="14"/>
          <w:color w:val="auto"/>
        </w:rPr>
      </w:pPr>
      <w:r>
        <w:rPr>
          <w:rFonts w:ascii="Arial" w:cs="Arial" w:eastAsia="Arial" w:hAnsi="Arial"/>
          <w:sz w:val="14"/>
          <w:szCs w:val="14"/>
          <w:u w:val="single" w:color="auto"/>
          <w:color w:val="auto"/>
        </w:rPr>
        <w:t>Inability to Obtain Authority</w:t>
      </w:r>
      <w:r>
        <w:rPr>
          <w:rFonts w:ascii="Arial" w:cs="Arial" w:eastAsia="Arial" w:hAnsi="Arial"/>
          <w:sz w:val="14"/>
          <w:szCs w:val="14"/>
          <w:color w:val="auto"/>
        </w:rPr>
        <w:t>. The inability of the Company to obtain authority from any regulatory body having jurisdiction or to complete or comply with the requirements of any registration or other qualification of the Shares under any U.S. federal or state law, any non-U.S. law, or the rules and regulations of the Securities and Exchange Commission, the stock exchange on which Shares of the same class are then listed, or any other governmental or regulatory body, which authority, registration, qualification or rule compliance is deemed by the Company’s counsel to be necessary or advisable for the issuance and sale of any Shares hereunder, will relieve the Company of any liability in respect of the failure to issue or sell such Shares as to which such requisite authority, registration, qualification or rule compliance will not have been obtained.</w:t>
      </w:r>
    </w:p>
    <w:p>
      <w:pPr>
        <w:spacing w:after="0" w:line="146" w:lineRule="exact"/>
        <w:rPr>
          <w:rFonts w:ascii="Arial" w:cs="Arial" w:eastAsia="Arial" w:hAnsi="Arial"/>
          <w:sz w:val="14"/>
          <w:szCs w:val="14"/>
          <w:color w:val="auto"/>
        </w:rPr>
      </w:pPr>
    </w:p>
    <w:p>
      <w:pPr>
        <w:ind w:left="-40" w:right="60" w:firstLine="448"/>
        <w:spacing w:after="0" w:line="263" w:lineRule="auto"/>
        <w:tabs>
          <w:tab w:leader="none" w:pos="756" w:val="left"/>
        </w:tabs>
        <w:numPr>
          <w:ilvl w:val="0"/>
          <w:numId w:val="289"/>
        </w:numPr>
        <w:rPr>
          <w:rFonts w:ascii="Arial" w:cs="Arial" w:eastAsia="Arial" w:hAnsi="Arial"/>
          <w:sz w:val="15"/>
          <w:szCs w:val="15"/>
          <w:color w:val="auto"/>
        </w:rPr>
      </w:pPr>
      <w:r>
        <w:rPr>
          <w:rFonts w:ascii="Arial" w:cs="Arial" w:eastAsia="Arial" w:hAnsi="Arial"/>
          <w:sz w:val="15"/>
          <w:szCs w:val="15"/>
          <w:u w:val="single" w:color="auto"/>
          <w:color w:val="auto"/>
        </w:rPr>
        <w:t>Clawback</w:t>
      </w:r>
      <w:r>
        <w:rPr>
          <w:rFonts w:ascii="Arial" w:cs="Arial" w:eastAsia="Arial" w:hAnsi="Arial"/>
          <w:sz w:val="15"/>
          <w:szCs w:val="15"/>
          <w:color w:val="auto"/>
        </w:rPr>
        <w:t>. The Administrator may specify in an Award Agreement that the Participant’s rights, payments, and/or benefits with respect to an Award will be subject to reduction, cancellation, forfeiture, and/or recoupment upon the occurrence of certain specified events, in addition to any applicable vesting, performance or other conditions and restrictions of an Award. Notwithstanding any provisions to the contrary under this Plan, an Award granted under the Plan</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-18-</w:t>
      </w:r>
    </w:p>
    <w:p>
      <w:pPr>
        <w:sectPr>
          <w:pgSz w:w="11900" w:h="16838" w:orient="portrait"/>
          <w:cols w:equalWidth="0" w:num="1">
            <w:col w:w="11360"/>
          </w:cols>
          <w:pgMar w:left="280" w:top="253" w:right="259" w:bottom="1440" w:gutter="0" w:footer="0" w:header="0"/>
        </w:sectPr>
      </w:pPr>
    </w:p>
    <w:bookmarkStart w:id="360" w:name="page361"/>
    <w:bookmarkEnd w:id="360"/>
    <w:p>
      <w:pPr>
        <w:ind w:right="100"/>
        <w:spacing w:after="0" w:line="290" w:lineRule="auto"/>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133350</wp:posOffset>
            </wp:positionH>
            <wp:positionV relativeFrom="page">
              <wp:posOffset>88900</wp:posOffset>
            </wp:positionV>
            <wp:extent cx="7308850" cy="34290"/>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39">
                      <a:extLst>
                        <a:ext uri="{28A0092B-C50C-407E-A947-70E740481C1C}"/>
                      </a:extLst>
                    </a:blip>
                    <a:srcRect/>
                    <a:stretch>
                      <a:fillRect/>
                    </a:stretch>
                  </pic:blipFill>
                  <pic:spPr bwMode="auto">
                    <a:xfrm>
                      <a:off x="0" y="0"/>
                      <a:ext cx="7308850" cy="34290"/>
                    </a:xfrm>
                    <a:prstGeom prst="rect">
                      <a:avLst/>
                    </a:prstGeom>
                    <a:noFill/>
                  </pic:spPr>
                </pic:pic>
              </a:graphicData>
            </a:graphic>
          </wp:anchor>
        </w:drawing>
        <w:t>shall be subject to the Company’s clawback policy as may be established and/or amended from time to time. The Board may require a Participant to forfeit or return to and/or reimburse the Company all or a portion of the Award and/or Shares issued under the Award, any amounts paid under the Award, and any payments or proceeds paid or provided upon disposition of the Shares issued under the Award, pursuant to the terms of such Company policy or as necessary or appropriate to comply with Applicable Laws.</w:t>
      </w:r>
    </w:p>
    <w:p>
      <w:pPr>
        <w:spacing w:after="0" w:line="138" w:lineRule="exact"/>
        <w:rPr>
          <w:sz w:val="20"/>
          <w:szCs w:val="20"/>
          <w:color w:val="auto"/>
        </w:rPr>
      </w:pPr>
    </w:p>
    <w:p>
      <w:pPr>
        <w:ind w:firstLine="448"/>
        <w:spacing w:after="0" w:line="275" w:lineRule="auto"/>
        <w:tabs>
          <w:tab w:leader="none" w:pos="796" w:val="left"/>
        </w:tabs>
        <w:numPr>
          <w:ilvl w:val="0"/>
          <w:numId w:val="290"/>
        </w:numPr>
        <w:rPr>
          <w:rFonts w:ascii="Arial" w:cs="Arial" w:eastAsia="Arial" w:hAnsi="Arial"/>
          <w:sz w:val="15"/>
          <w:szCs w:val="15"/>
          <w:color w:val="auto"/>
        </w:rPr>
      </w:pPr>
      <w:r>
        <w:rPr>
          <w:rFonts w:ascii="Arial" w:cs="Arial" w:eastAsia="Arial" w:hAnsi="Arial"/>
          <w:sz w:val="15"/>
          <w:szCs w:val="15"/>
          <w:u w:val="single" w:color="auto"/>
          <w:color w:val="auto"/>
        </w:rPr>
        <w:t>Stockholder Approval</w:t>
      </w:r>
      <w:r>
        <w:rPr>
          <w:rFonts w:ascii="Arial" w:cs="Arial" w:eastAsia="Arial" w:hAnsi="Arial"/>
          <w:sz w:val="15"/>
          <w:szCs w:val="15"/>
          <w:color w:val="auto"/>
        </w:rPr>
        <w:t>. The Plan will be subject to approval by the stockholders of the Company within twelve (12) months after the date the Plan is adopted by the Board. Such stockholder approval will be obtained in the manner and to the degree required under Applicable Laws.</w:t>
      </w:r>
    </w:p>
    <w:p>
      <w:pPr>
        <w:spacing w:after="0" w:line="90"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-19-</w:t>
      </w:r>
    </w:p>
    <w:p>
      <w:pPr>
        <w:sectPr>
          <w:pgSz w:w="11900" w:h="16838" w:orient="portrait"/>
          <w:cols w:equalWidth="0" w:num="1">
            <w:col w:w="11400"/>
          </w:cols>
          <w:pgMar w:left="240" w:top="253" w:right="259" w:bottom="1440" w:gutter="0" w:footer="0" w:header="0"/>
        </w:sectPr>
      </w:pPr>
    </w:p>
    <w:bookmarkStart w:id="361" w:name="page362"/>
    <w:bookmarkEnd w:id="361"/>
    <w:p>
      <w:pPr>
        <w:jc w:val="center"/>
        <w:ind w:right="-139"/>
        <w:spacing w:after="0"/>
        <w:rPr>
          <w:sz w:val="20"/>
          <w:szCs w:val="20"/>
          <w:color w:val="auto"/>
        </w:rPr>
      </w:pPr>
      <w:r>
        <w:rPr>
          <w:rFonts w:ascii="Arial" w:cs="Arial" w:eastAsia="Arial" w:hAnsi="Arial"/>
          <w:sz w:val="15"/>
          <w:szCs w:val="15"/>
          <w:b w:val="1"/>
          <w:bCs w:val="1"/>
          <w:color w:val="auto"/>
        </w:rPr>
        <w:drawing>
          <wp:anchor simplePos="0" relativeHeight="251657728" behindDoc="1" locked="0" layoutInCell="0" allowOverlap="1">
            <wp:simplePos x="0" y="0"/>
            <wp:positionH relativeFrom="page">
              <wp:posOffset>133350</wp:posOffset>
            </wp:positionH>
            <wp:positionV relativeFrom="page">
              <wp:posOffset>88900</wp:posOffset>
            </wp:positionV>
            <wp:extent cx="7308850" cy="34290"/>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40">
                      <a:extLst>
                        <a:ext uri="{28A0092B-C50C-407E-A947-70E740481C1C}"/>
                      </a:extLst>
                    </a:blip>
                    <a:srcRect/>
                    <a:stretch>
                      <a:fillRect/>
                    </a:stretch>
                  </pic:blipFill>
                  <pic:spPr bwMode="auto">
                    <a:xfrm>
                      <a:off x="0" y="0"/>
                      <a:ext cx="7308850" cy="34290"/>
                    </a:xfrm>
                    <a:prstGeom prst="rect">
                      <a:avLst/>
                    </a:prstGeom>
                    <a:noFill/>
                  </pic:spPr>
                </pic:pic>
              </a:graphicData>
            </a:graphic>
          </wp:anchor>
        </w:drawing>
        <w:t>DROPBOX, INC.</w:t>
      </w:r>
    </w:p>
    <w:p>
      <w:pPr>
        <w:spacing w:after="0" w:line="21" w:lineRule="exact"/>
        <w:rPr>
          <w:sz w:val="20"/>
          <w:szCs w:val="20"/>
          <w:color w:val="auto"/>
        </w:rPr>
      </w:pPr>
    </w:p>
    <w:p>
      <w:pPr>
        <w:jc w:val="center"/>
        <w:ind w:right="-139"/>
        <w:spacing w:after="0"/>
        <w:rPr>
          <w:sz w:val="20"/>
          <w:szCs w:val="20"/>
          <w:color w:val="auto"/>
        </w:rPr>
      </w:pPr>
      <w:r>
        <w:rPr>
          <w:rFonts w:ascii="Arial" w:cs="Arial" w:eastAsia="Arial" w:hAnsi="Arial"/>
          <w:sz w:val="15"/>
          <w:szCs w:val="15"/>
          <w:b w:val="1"/>
          <w:bCs w:val="1"/>
          <w:color w:val="auto"/>
        </w:rPr>
        <w:t>2018 CLASS C STOCK INCENTIVE PLAN</w:t>
      </w:r>
    </w:p>
    <w:p>
      <w:pPr>
        <w:spacing w:after="0" w:line="8" w:lineRule="exact"/>
        <w:rPr>
          <w:sz w:val="20"/>
          <w:szCs w:val="20"/>
          <w:color w:val="auto"/>
        </w:rPr>
      </w:pPr>
    </w:p>
    <w:p>
      <w:pPr>
        <w:jc w:val="center"/>
        <w:ind w:right="-139"/>
        <w:spacing w:after="0"/>
        <w:rPr>
          <w:sz w:val="20"/>
          <w:szCs w:val="20"/>
          <w:color w:val="auto"/>
        </w:rPr>
      </w:pPr>
      <w:r>
        <w:rPr>
          <w:rFonts w:ascii="Arial" w:cs="Arial" w:eastAsia="Arial" w:hAnsi="Arial"/>
          <w:sz w:val="15"/>
          <w:szCs w:val="15"/>
          <w:b w:val="1"/>
          <w:bCs w:val="1"/>
          <w:color w:val="auto"/>
        </w:rPr>
        <w:t>STOCK OPTION AGREEMENT</w:t>
      </w:r>
    </w:p>
    <w:p>
      <w:pPr>
        <w:spacing w:after="0" w:line="179" w:lineRule="exact"/>
        <w:rPr>
          <w:sz w:val="20"/>
          <w:szCs w:val="20"/>
          <w:color w:val="auto"/>
        </w:rPr>
      </w:pPr>
    </w:p>
    <w:p>
      <w:pPr>
        <w:ind w:firstLine="458"/>
        <w:spacing w:after="0" w:line="263" w:lineRule="auto"/>
        <w:rPr>
          <w:sz w:val="20"/>
          <w:szCs w:val="20"/>
          <w:color w:val="auto"/>
        </w:rPr>
      </w:pPr>
      <w:r>
        <w:rPr>
          <w:rFonts w:ascii="Arial" w:cs="Arial" w:eastAsia="Arial" w:hAnsi="Arial"/>
          <w:sz w:val="15"/>
          <w:szCs w:val="15"/>
          <w:color w:val="auto"/>
        </w:rPr>
        <w:t xml:space="preserve">Unless otherwise defined herein, the terms defined in the Dropbox, Inc. 2018 Class C Stock Incentive Plan (the “Plan”) will have the same defined meanings in this Stock Option Agreement, which includes the Notice of Stock Option Grant (the “Notice of Grant”), the Terms and Conditions of Stock Option Grant attached hereto as </w:t>
      </w:r>
      <w:r>
        <w:rPr>
          <w:rFonts w:ascii="Arial" w:cs="Arial" w:eastAsia="Arial" w:hAnsi="Arial"/>
          <w:sz w:val="15"/>
          <w:szCs w:val="15"/>
          <w:u w:val="single" w:color="auto"/>
          <w:color w:val="auto"/>
        </w:rPr>
        <w:t>Exhibit A</w:t>
      </w:r>
      <w:r>
        <w:rPr>
          <w:rFonts w:ascii="Arial" w:cs="Arial" w:eastAsia="Arial" w:hAnsi="Arial"/>
          <w:sz w:val="15"/>
          <w:szCs w:val="15"/>
          <w:color w:val="auto"/>
        </w:rPr>
        <w:t>, and all appendices and exhibits attached thereto (all together, the “Option Agreement”).</w:t>
      </w:r>
    </w:p>
    <w:p>
      <w:pPr>
        <w:spacing w:after="0" w:line="241" w:lineRule="exact"/>
        <w:rPr>
          <w:sz w:val="20"/>
          <w:szCs w:val="20"/>
          <w:color w:val="auto"/>
        </w:rPr>
      </w:pPr>
    </w:p>
    <w:p>
      <w:pPr>
        <w:spacing w:after="0"/>
        <w:rPr>
          <w:sz w:val="20"/>
          <w:szCs w:val="20"/>
          <w:color w:val="auto"/>
        </w:rPr>
      </w:pPr>
      <w:r>
        <w:rPr>
          <w:rFonts w:ascii="Arial" w:cs="Arial" w:eastAsia="Arial" w:hAnsi="Arial"/>
          <w:sz w:val="15"/>
          <w:szCs w:val="15"/>
          <w:b w:val="1"/>
          <w:bCs w:val="1"/>
          <w:u w:val="single" w:color="auto"/>
          <w:color w:val="auto"/>
        </w:rPr>
        <w:t>NOTICE OF STOCK OPTION GRANT</w:t>
      </w:r>
    </w:p>
    <w:p>
      <w:pPr>
        <w:spacing w:after="0" w:line="98" w:lineRule="exact"/>
        <w:rPr>
          <w:sz w:val="20"/>
          <w:szCs w:val="20"/>
          <w:color w:val="auto"/>
        </w:rPr>
      </w:pPr>
    </w:p>
    <w:p>
      <w:pPr>
        <w:ind w:left="440"/>
        <w:spacing w:after="0"/>
        <w:rPr>
          <w:sz w:val="20"/>
          <w:szCs w:val="20"/>
          <w:color w:val="auto"/>
        </w:rPr>
      </w:pPr>
      <w:r>
        <w:rPr>
          <w:rFonts w:ascii="Arial" w:cs="Arial" w:eastAsia="Arial" w:hAnsi="Arial"/>
          <w:sz w:val="15"/>
          <w:szCs w:val="15"/>
          <w:b w:val="1"/>
          <w:bCs w:val="1"/>
          <w:color w:val="auto"/>
        </w:rPr>
        <w:t>Participant:</w:t>
      </w:r>
    </w:p>
    <w:p>
      <w:pPr>
        <w:spacing w:after="0" w:line="98" w:lineRule="exact"/>
        <w:rPr>
          <w:sz w:val="20"/>
          <w:szCs w:val="20"/>
          <w:color w:val="auto"/>
        </w:rPr>
      </w:pPr>
    </w:p>
    <w:p>
      <w:pPr>
        <w:ind w:left="440"/>
        <w:spacing w:after="0"/>
        <w:rPr>
          <w:sz w:val="20"/>
          <w:szCs w:val="20"/>
          <w:color w:val="auto"/>
        </w:rPr>
      </w:pPr>
      <w:r>
        <w:rPr>
          <w:rFonts w:ascii="Arial" w:cs="Arial" w:eastAsia="Arial" w:hAnsi="Arial"/>
          <w:sz w:val="15"/>
          <w:szCs w:val="15"/>
          <w:b w:val="1"/>
          <w:bCs w:val="1"/>
          <w:color w:val="auto"/>
        </w:rPr>
        <w:t>Address:</w:t>
      </w:r>
    </w:p>
    <w:p>
      <w:pPr>
        <w:spacing w:after="0" w:line="192" w:lineRule="exact"/>
        <w:rPr>
          <w:sz w:val="20"/>
          <w:szCs w:val="20"/>
          <w:color w:val="auto"/>
        </w:rPr>
      </w:pPr>
    </w:p>
    <w:p>
      <w:pPr>
        <w:ind w:left="440"/>
        <w:spacing w:after="0"/>
        <w:rPr>
          <w:sz w:val="20"/>
          <w:szCs w:val="20"/>
          <w:color w:val="auto"/>
        </w:rPr>
      </w:pPr>
      <w:r>
        <w:rPr>
          <w:rFonts w:ascii="Arial" w:cs="Arial" w:eastAsia="Arial" w:hAnsi="Arial"/>
          <w:sz w:val="14"/>
          <w:szCs w:val="14"/>
          <w:color w:val="auto"/>
        </w:rPr>
        <w:t>The undersigned Participant has been granted an Option to purchase Common Stock of Dropbox, Inc. (the “Company”), subject to the terms and conditions of the Plan and this</w:t>
      </w:r>
    </w:p>
    <w:p>
      <w:pPr>
        <w:spacing w:after="0" w:line="29" w:lineRule="exact"/>
        <w:rPr>
          <w:sz w:val="20"/>
          <w:szCs w:val="20"/>
          <w:color w:val="auto"/>
        </w:rPr>
      </w:pPr>
    </w:p>
    <w:p>
      <w:pPr>
        <w:spacing w:after="0"/>
        <w:rPr>
          <w:sz w:val="20"/>
          <w:szCs w:val="20"/>
          <w:color w:val="auto"/>
        </w:rPr>
      </w:pPr>
      <w:r>
        <w:rPr>
          <w:rFonts w:ascii="Arial" w:cs="Arial" w:eastAsia="Arial" w:hAnsi="Arial"/>
          <w:sz w:val="15"/>
          <w:szCs w:val="15"/>
          <w:color w:val="auto"/>
        </w:rPr>
        <w:t>Option Agreement, as follows:</w:t>
      </w:r>
    </w:p>
    <w:p>
      <w:pPr>
        <w:spacing w:after="0" w:line="186" w:lineRule="exact"/>
        <w:rPr>
          <w:sz w:val="20"/>
          <w:szCs w:val="20"/>
          <w:color w:val="auto"/>
        </w:rPr>
      </w:pPr>
    </w:p>
    <w:tbl>
      <w:tblPr>
        <w:tblLayout w:type="fixed"/>
        <w:tblInd w:w="460" w:type="dxa"/>
        <w:tblCellMar>
          <w:top w:w="0" w:type="dxa"/>
          <w:left w:w="0" w:type="dxa"/>
          <w:bottom w:w="0" w:type="dxa"/>
          <w:right w:w="0" w:type="dxa"/>
        </w:tblCellMar>
      </w:tblPr>
      <w:tr>
        <w:trPr>
          <w:trHeight w:val="172"/>
        </w:trPr>
        <w:tc>
          <w:tcPr>
            <w:tcW w:w="3700" w:type="dxa"/>
            <w:vAlign w:val="bottom"/>
          </w:tcPr>
          <w:p>
            <w:pPr>
              <w:spacing w:after="0"/>
              <w:rPr>
                <w:sz w:val="20"/>
                <w:szCs w:val="20"/>
                <w:color w:val="auto"/>
              </w:rPr>
            </w:pPr>
            <w:r>
              <w:rPr>
                <w:rFonts w:ascii="Arial" w:cs="Arial" w:eastAsia="Arial" w:hAnsi="Arial"/>
                <w:sz w:val="15"/>
                <w:szCs w:val="15"/>
                <w:color w:val="auto"/>
              </w:rPr>
              <w:t>Grant Number:</w:t>
            </w:r>
          </w:p>
        </w:tc>
        <w:tc>
          <w:tcPr>
            <w:tcW w:w="18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2140" w:type="dxa"/>
            <w:vAlign w:val="bottom"/>
            <w:tcBorders>
              <w:bottom w:val="single" w:sz="8" w:color="auto"/>
            </w:tcBorders>
          </w:tcPr>
          <w:p>
            <w:pPr>
              <w:spacing w:after="0"/>
              <w:rPr>
                <w:sz w:val="14"/>
                <w:szCs w:val="14"/>
                <w:color w:val="auto"/>
              </w:rPr>
            </w:pPr>
          </w:p>
        </w:tc>
      </w:tr>
      <w:tr>
        <w:trPr>
          <w:trHeight w:val="251"/>
        </w:trPr>
        <w:tc>
          <w:tcPr>
            <w:tcW w:w="3700" w:type="dxa"/>
            <w:vAlign w:val="bottom"/>
          </w:tcPr>
          <w:p>
            <w:pPr>
              <w:spacing w:after="0"/>
              <w:rPr>
                <w:sz w:val="20"/>
                <w:szCs w:val="20"/>
                <w:color w:val="auto"/>
              </w:rPr>
            </w:pPr>
            <w:r>
              <w:rPr>
                <w:rFonts w:ascii="Arial" w:cs="Arial" w:eastAsia="Arial" w:hAnsi="Arial"/>
                <w:sz w:val="15"/>
                <w:szCs w:val="15"/>
                <w:color w:val="auto"/>
              </w:rPr>
              <w:t>Date of Grant:</w:t>
            </w:r>
          </w:p>
        </w:tc>
        <w:tc>
          <w:tcPr>
            <w:tcW w:w="1880" w:type="dxa"/>
            <w:vAlign w:val="bottom"/>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2140" w:type="dxa"/>
            <w:vAlign w:val="bottom"/>
            <w:tcBorders>
              <w:bottom w:val="single" w:sz="8" w:color="auto"/>
            </w:tcBorders>
          </w:tcPr>
          <w:p>
            <w:pPr>
              <w:spacing w:after="0"/>
              <w:rPr>
                <w:sz w:val="21"/>
                <w:szCs w:val="21"/>
                <w:color w:val="auto"/>
              </w:rPr>
            </w:pPr>
          </w:p>
        </w:tc>
      </w:tr>
      <w:tr>
        <w:trPr>
          <w:trHeight w:val="251"/>
        </w:trPr>
        <w:tc>
          <w:tcPr>
            <w:tcW w:w="3700" w:type="dxa"/>
            <w:vAlign w:val="bottom"/>
          </w:tcPr>
          <w:p>
            <w:pPr>
              <w:spacing w:after="0"/>
              <w:rPr>
                <w:sz w:val="20"/>
                <w:szCs w:val="20"/>
                <w:color w:val="auto"/>
              </w:rPr>
            </w:pPr>
            <w:r>
              <w:rPr>
                <w:rFonts w:ascii="Arial" w:cs="Arial" w:eastAsia="Arial" w:hAnsi="Arial"/>
                <w:sz w:val="15"/>
                <w:szCs w:val="15"/>
                <w:color w:val="auto"/>
              </w:rPr>
              <w:t>Vesting Commencement Date:</w:t>
            </w:r>
          </w:p>
        </w:tc>
        <w:tc>
          <w:tcPr>
            <w:tcW w:w="1880" w:type="dxa"/>
            <w:vAlign w:val="bottom"/>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2140" w:type="dxa"/>
            <w:vAlign w:val="bottom"/>
            <w:tcBorders>
              <w:bottom w:val="single" w:sz="8" w:color="auto"/>
            </w:tcBorders>
          </w:tcPr>
          <w:p>
            <w:pPr>
              <w:spacing w:after="0"/>
              <w:rPr>
                <w:sz w:val="21"/>
                <w:szCs w:val="21"/>
                <w:color w:val="auto"/>
              </w:rPr>
            </w:pPr>
          </w:p>
        </w:tc>
      </w:tr>
      <w:tr>
        <w:trPr>
          <w:trHeight w:val="251"/>
        </w:trPr>
        <w:tc>
          <w:tcPr>
            <w:tcW w:w="3700" w:type="dxa"/>
            <w:vAlign w:val="bottom"/>
          </w:tcPr>
          <w:p>
            <w:pPr>
              <w:spacing w:after="0"/>
              <w:rPr>
                <w:sz w:val="20"/>
                <w:szCs w:val="20"/>
                <w:color w:val="auto"/>
              </w:rPr>
            </w:pPr>
            <w:r>
              <w:rPr>
                <w:rFonts w:ascii="Arial" w:cs="Arial" w:eastAsia="Arial" w:hAnsi="Arial"/>
                <w:sz w:val="15"/>
                <w:szCs w:val="15"/>
                <w:color w:val="auto"/>
              </w:rPr>
              <w:t>Number of Shares Granted:</w:t>
            </w:r>
          </w:p>
        </w:tc>
        <w:tc>
          <w:tcPr>
            <w:tcW w:w="1880" w:type="dxa"/>
            <w:vAlign w:val="bottom"/>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2140" w:type="dxa"/>
            <w:vAlign w:val="bottom"/>
            <w:tcBorders>
              <w:bottom w:val="single" w:sz="8" w:color="auto"/>
            </w:tcBorders>
          </w:tcPr>
          <w:p>
            <w:pPr>
              <w:spacing w:after="0"/>
              <w:rPr>
                <w:sz w:val="21"/>
                <w:szCs w:val="21"/>
                <w:color w:val="auto"/>
              </w:rPr>
            </w:pPr>
          </w:p>
        </w:tc>
      </w:tr>
      <w:tr>
        <w:trPr>
          <w:trHeight w:val="251"/>
        </w:trPr>
        <w:tc>
          <w:tcPr>
            <w:tcW w:w="3700" w:type="dxa"/>
            <w:vAlign w:val="bottom"/>
          </w:tcPr>
          <w:p>
            <w:pPr>
              <w:spacing w:after="0"/>
              <w:rPr>
                <w:sz w:val="20"/>
                <w:szCs w:val="20"/>
                <w:color w:val="auto"/>
              </w:rPr>
            </w:pPr>
            <w:r>
              <w:rPr>
                <w:rFonts w:ascii="Arial" w:cs="Arial" w:eastAsia="Arial" w:hAnsi="Arial"/>
                <w:sz w:val="15"/>
                <w:szCs w:val="15"/>
                <w:color w:val="auto"/>
              </w:rPr>
              <w:t>Exercise Price per Share:</w:t>
            </w:r>
          </w:p>
        </w:tc>
        <w:tc>
          <w:tcPr>
            <w:tcW w:w="1980" w:type="dxa"/>
            <w:vAlign w:val="bottom"/>
            <w:gridSpan w:val="3"/>
          </w:tcPr>
          <w:p>
            <w:pPr>
              <w:jc w:val="right"/>
              <w:ind w:right="20"/>
              <w:spacing w:after="0"/>
              <w:rPr>
                <w:sz w:val="20"/>
                <w:szCs w:val="20"/>
                <w:color w:val="auto"/>
              </w:rPr>
            </w:pPr>
            <w:r>
              <w:rPr>
                <w:rFonts w:ascii="Arial" w:cs="Arial" w:eastAsia="Arial" w:hAnsi="Arial"/>
                <w:sz w:val="15"/>
                <w:szCs w:val="15"/>
                <w:color w:val="auto"/>
              </w:rPr>
              <w:t>$</w:t>
            </w:r>
          </w:p>
        </w:tc>
        <w:tc>
          <w:tcPr>
            <w:tcW w:w="40" w:type="dxa"/>
            <w:vAlign w:val="bottom"/>
            <w:tcBorders>
              <w:bottom w:val="single" w:sz="8" w:color="auto"/>
            </w:tcBorders>
          </w:tcPr>
          <w:p>
            <w:pPr>
              <w:spacing w:after="0"/>
              <w:rPr>
                <w:sz w:val="21"/>
                <w:szCs w:val="21"/>
                <w:color w:val="auto"/>
              </w:rPr>
            </w:pPr>
          </w:p>
        </w:tc>
        <w:tc>
          <w:tcPr>
            <w:tcW w:w="2140" w:type="dxa"/>
            <w:vAlign w:val="bottom"/>
            <w:tcBorders>
              <w:bottom w:val="single" w:sz="8" w:color="auto"/>
            </w:tcBorders>
          </w:tcPr>
          <w:p>
            <w:pPr>
              <w:spacing w:after="0"/>
              <w:rPr>
                <w:sz w:val="21"/>
                <w:szCs w:val="21"/>
                <w:color w:val="auto"/>
              </w:rPr>
            </w:pPr>
          </w:p>
        </w:tc>
      </w:tr>
      <w:tr>
        <w:trPr>
          <w:trHeight w:val="251"/>
        </w:trPr>
        <w:tc>
          <w:tcPr>
            <w:tcW w:w="3700" w:type="dxa"/>
            <w:vAlign w:val="bottom"/>
          </w:tcPr>
          <w:p>
            <w:pPr>
              <w:spacing w:after="0"/>
              <w:rPr>
                <w:sz w:val="20"/>
                <w:szCs w:val="20"/>
                <w:color w:val="auto"/>
              </w:rPr>
            </w:pPr>
            <w:r>
              <w:rPr>
                <w:rFonts w:ascii="Arial" w:cs="Arial" w:eastAsia="Arial" w:hAnsi="Arial"/>
                <w:sz w:val="15"/>
                <w:szCs w:val="15"/>
                <w:color w:val="auto"/>
              </w:rPr>
              <w:t>Total Exercise Price:</w:t>
            </w:r>
          </w:p>
        </w:tc>
        <w:tc>
          <w:tcPr>
            <w:tcW w:w="1980" w:type="dxa"/>
            <w:vAlign w:val="bottom"/>
            <w:gridSpan w:val="3"/>
          </w:tcPr>
          <w:p>
            <w:pPr>
              <w:jc w:val="right"/>
              <w:ind w:right="20"/>
              <w:spacing w:after="0"/>
              <w:rPr>
                <w:sz w:val="20"/>
                <w:szCs w:val="20"/>
                <w:color w:val="auto"/>
              </w:rPr>
            </w:pPr>
            <w:r>
              <w:rPr>
                <w:rFonts w:ascii="Arial" w:cs="Arial" w:eastAsia="Arial" w:hAnsi="Arial"/>
                <w:sz w:val="15"/>
                <w:szCs w:val="15"/>
                <w:color w:val="auto"/>
              </w:rPr>
              <w:t>$</w:t>
            </w:r>
          </w:p>
        </w:tc>
        <w:tc>
          <w:tcPr>
            <w:tcW w:w="40" w:type="dxa"/>
            <w:vAlign w:val="bottom"/>
          </w:tcPr>
          <w:p>
            <w:pPr>
              <w:spacing w:after="0"/>
              <w:rPr>
                <w:sz w:val="21"/>
                <w:szCs w:val="21"/>
                <w:color w:val="auto"/>
              </w:rPr>
            </w:pPr>
          </w:p>
        </w:tc>
        <w:tc>
          <w:tcPr>
            <w:tcW w:w="2140" w:type="dxa"/>
            <w:vAlign w:val="bottom"/>
          </w:tcPr>
          <w:p>
            <w:pPr>
              <w:spacing w:after="0"/>
              <w:rPr>
                <w:sz w:val="21"/>
                <w:szCs w:val="21"/>
                <w:color w:val="auto"/>
              </w:rPr>
            </w:pPr>
          </w:p>
        </w:tc>
      </w:tr>
      <w:tr>
        <w:trPr>
          <w:trHeight w:val="251"/>
        </w:trPr>
        <w:tc>
          <w:tcPr>
            <w:tcW w:w="3700" w:type="dxa"/>
            <w:vAlign w:val="bottom"/>
          </w:tcPr>
          <w:p>
            <w:pPr>
              <w:spacing w:after="0"/>
              <w:rPr>
                <w:sz w:val="20"/>
                <w:szCs w:val="20"/>
                <w:color w:val="auto"/>
              </w:rPr>
            </w:pPr>
            <w:r>
              <w:rPr>
                <w:rFonts w:ascii="Arial" w:cs="Arial" w:eastAsia="Arial" w:hAnsi="Arial"/>
                <w:sz w:val="15"/>
                <w:szCs w:val="15"/>
                <w:color w:val="auto"/>
              </w:rPr>
              <w:t>Type of Option:</w:t>
            </w:r>
          </w:p>
        </w:tc>
        <w:tc>
          <w:tcPr>
            <w:tcW w:w="1880" w:type="dxa"/>
            <w:vAlign w:val="bottom"/>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20" w:type="dxa"/>
            <w:vAlign w:val="bottom"/>
            <w:tcBorders>
              <w:top w:val="single" w:sz="8" w:color="auto"/>
              <w:bottom w:val="single" w:sz="8" w:color="auto"/>
            </w:tcBorders>
          </w:tcPr>
          <w:p>
            <w:pPr>
              <w:spacing w:after="0"/>
              <w:rPr>
                <w:sz w:val="21"/>
                <w:szCs w:val="21"/>
                <w:color w:val="auto"/>
              </w:rPr>
            </w:pPr>
          </w:p>
        </w:tc>
        <w:tc>
          <w:tcPr>
            <w:tcW w:w="40" w:type="dxa"/>
            <w:vAlign w:val="bottom"/>
            <w:tcBorders>
              <w:top w:val="single" w:sz="8" w:color="auto"/>
              <w:bottom w:val="single" w:sz="8" w:color="auto"/>
            </w:tcBorders>
          </w:tcPr>
          <w:p>
            <w:pPr>
              <w:spacing w:after="0"/>
              <w:rPr>
                <w:sz w:val="21"/>
                <w:szCs w:val="21"/>
                <w:color w:val="auto"/>
              </w:rPr>
            </w:pPr>
          </w:p>
        </w:tc>
        <w:tc>
          <w:tcPr>
            <w:tcW w:w="2140" w:type="dxa"/>
            <w:vAlign w:val="bottom"/>
            <w:tcBorders>
              <w:top w:val="single" w:sz="8" w:color="auto"/>
            </w:tcBorders>
          </w:tcPr>
          <w:p>
            <w:pPr>
              <w:ind w:left="40"/>
              <w:spacing w:after="0"/>
              <w:rPr>
                <w:sz w:val="20"/>
                <w:szCs w:val="20"/>
                <w:color w:val="auto"/>
              </w:rPr>
            </w:pPr>
            <w:r>
              <w:rPr>
                <w:rFonts w:ascii="Arial" w:cs="Arial" w:eastAsia="Arial" w:hAnsi="Arial"/>
                <w:sz w:val="15"/>
                <w:szCs w:val="15"/>
                <w:color w:val="auto"/>
              </w:rPr>
              <w:t>Incentive Stock Option</w:t>
            </w:r>
          </w:p>
        </w:tc>
      </w:tr>
      <w:tr>
        <w:trPr>
          <w:trHeight w:val="251"/>
        </w:trPr>
        <w:tc>
          <w:tcPr>
            <w:tcW w:w="3700" w:type="dxa"/>
            <w:vAlign w:val="bottom"/>
          </w:tcPr>
          <w:p>
            <w:pPr>
              <w:spacing w:after="0"/>
              <w:rPr>
                <w:sz w:val="21"/>
                <w:szCs w:val="21"/>
                <w:color w:val="auto"/>
              </w:rPr>
            </w:pPr>
          </w:p>
        </w:tc>
        <w:tc>
          <w:tcPr>
            <w:tcW w:w="1880" w:type="dxa"/>
            <w:vAlign w:val="bottom"/>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2140" w:type="dxa"/>
            <w:vAlign w:val="bottom"/>
          </w:tcPr>
          <w:p>
            <w:pPr>
              <w:ind w:left="40"/>
              <w:spacing w:after="0"/>
              <w:rPr>
                <w:sz w:val="20"/>
                <w:szCs w:val="20"/>
                <w:color w:val="auto"/>
              </w:rPr>
            </w:pPr>
            <w:r>
              <w:rPr>
                <w:rFonts w:ascii="Arial" w:cs="Arial" w:eastAsia="Arial" w:hAnsi="Arial"/>
                <w:sz w:val="15"/>
                <w:szCs w:val="15"/>
                <w:color w:val="auto"/>
              </w:rPr>
              <w:t>Nonstatutory Stock Option</w:t>
            </w:r>
          </w:p>
        </w:tc>
      </w:tr>
      <w:tr>
        <w:trPr>
          <w:trHeight w:val="251"/>
        </w:trPr>
        <w:tc>
          <w:tcPr>
            <w:tcW w:w="3700" w:type="dxa"/>
            <w:vAlign w:val="bottom"/>
          </w:tcPr>
          <w:p>
            <w:pPr>
              <w:spacing w:after="0"/>
              <w:rPr>
                <w:sz w:val="20"/>
                <w:szCs w:val="20"/>
                <w:color w:val="auto"/>
              </w:rPr>
            </w:pPr>
            <w:r>
              <w:rPr>
                <w:rFonts w:ascii="Arial" w:cs="Arial" w:eastAsia="Arial" w:hAnsi="Arial"/>
                <w:sz w:val="15"/>
                <w:szCs w:val="15"/>
                <w:color w:val="auto"/>
              </w:rPr>
              <w:t>Term/Expiration Date:</w:t>
            </w:r>
          </w:p>
        </w:tc>
        <w:tc>
          <w:tcPr>
            <w:tcW w:w="1880" w:type="dxa"/>
            <w:vAlign w:val="bottom"/>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2140" w:type="dxa"/>
            <w:vAlign w:val="bottom"/>
            <w:tcBorders>
              <w:bottom w:val="single" w:sz="8" w:color="auto"/>
            </w:tcBorders>
          </w:tcPr>
          <w:p>
            <w:pPr>
              <w:spacing w:after="0"/>
              <w:rPr>
                <w:sz w:val="21"/>
                <w:szCs w:val="21"/>
                <w:color w:val="auto"/>
              </w:rPr>
            </w:pPr>
          </w:p>
        </w:tc>
      </w:tr>
    </w:tbl>
    <w:p>
      <w:pPr>
        <w:spacing w:after="0" w:line="283" w:lineRule="exact"/>
        <w:rPr>
          <w:sz w:val="20"/>
          <w:szCs w:val="20"/>
          <w:color w:val="auto"/>
        </w:rPr>
      </w:pPr>
    </w:p>
    <w:p>
      <w:pPr>
        <w:ind w:left="440"/>
        <w:spacing w:after="0"/>
        <w:rPr>
          <w:sz w:val="20"/>
          <w:szCs w:val="20"/>
          <w:color w:val="auto"/>
        </w:rPr>
      </w:pPr>
      <w:r>
        <w:rPr>
          <w:rFonts w:ascii="Arial" w:cs="Arial" w:eastAsia="Arial" w:hAnsi="Arial"/>
          <w:sz w:val="15"/>
          <w:szCs w:val="15"/>
          <w:u w:val="single" w:color="auto"/>
          <w:color w:val="auto"/>
        </w:rPr>
        <w:t>Vesting Schedule</w:t>
      </w:r>
      <w:r>
        <w:rPr>
          <w:rFonts w:ascii="Arial" w:cs="Arial" w:eastAsia="Arial" w:hAnsi="Arial"/>
          <w:sz w:val="15"/>
          <w:szCs w:val="15"/>
          <w:color w:val="auto"/>
        </w:rPr>
        <w:t>:</w:t>
      </w:r>
    </w:p>
    <w:p>
      <w:pPr>
        <w:spacing w:after="0" w:line="98" w:lineRule="exact"/>
        <w:rPr>
          <w:sz w:val="20"/>
          <w:szCs w:val="20"/>
          <w:color w:val="auto"/>
        </w:rPr>
      </w:pPr>
    </w:p>
    <w:p>
      <w:pPr>
        <w:ind w:left="440"/>
        <w:spacing w:after="0"/>
        <w:rPr>
          <w:sz w:val="20"/>
          <w:szCs w:val="20"/>
          <w:color w:val="auto"/>
        </w:rPr>
      </w:pPr>
      <w:r>
        <w:rPr>
          <w:rFonts w:ascii="Arial" w:cs="Arial" w:eastAsia="Arial" w:hAnsi="Arial"/>
          <w:sz w:val="15"/>
          <w:szCs w:val="15"/>
          <w:color w:val="auto"/>
        </w:rPr>
        <w:t>Subject to accelerated vesting as set forth below or in the Plan, this Option will be exercisable, in whole or in part, in accordance with the following schedule:</w:t>
      </w:r>
    </w:p>
    <w:p>
      <w:pPr>
        <w:spacing w:after="0" w:line="188" w:lineRule="exact"/>
        <w:rPr>
          <w:sz w:val="20"/>
          <w:szCs w:val="20"/>
          <w:color w:val="auto"/>
        </w:rPr>
      </w:pPr>
    </w:p>
    <w:p>
      <w:pPr>
        <w:ind w:right="60" w:firstLine="458"/>
        <w:spacing w:after="0" w:line="263" w:lineRule="auto"/>
        <w:rPr>
          <w:sz w:val="20"/>
          <w:szCs w:val="20"/>
          <w:color w:val="auto"/>
        </w:rPr>
      </w:pPr>
      <w:r>
        <w:rPr>
          <w:rFonts w:ascii="Arial" w:cs="Arial" w:eastAsia="Arial" w:hAnsi="Arial"/>
          <w:sz w:val="15"/>
          <w:szCs w:val="15"/>
          <w:color w:val="auto"/>
        </w:rPr>
        <w:t>[Twenty-five percent (25%) of the Shares subject to the Option shall vest on the one (1) year anniversary of the Vesting Commencement Date, and one forty-eighth (1/48</w:t>
      </w:r>
      <w:r>
        <w:rPr>
          <w:rFonts w:ascii="Arial" w:cs="Arial" w:eastAsia="Arial" w:hAnsi="Arial"/>
          <w:sz w:val="12"/>
          <w:szCs w:val="12"/>
          <w:color w:val="auto"/>
        </w:rPr>
        <w:t>th</w:t>
      </w:r>
      <w:r>
        <w:rPr>
          <w:rFonts w:ascii="Arial" w:cs="Arial" w:eastAsia="Arial" w:hAnsi="Arial"/>
          <w:sz w:val="15"/>
          <w:szCs w:val="15"/>
          <w:color w:val="auto"/>
        </w:rPr>
        <w:t>) of the Shares subject to the Option shall vest each month thereafter on the same day of the month as the Vesting Commencement Date (and if there is no corresponding day, on the last day of the month), subject to Participant continuing to be a Service Provider through each such date.]</w:t>
      </w:r>
    </w:p>
    <w:p>
      <w:pPr>
        <w:spacing w:after="0" w:line="99" w:lineRule="exact"/>
        <w:rPr>
          <w:sz w:val="20"/>
          <w:szCs w:val="20"/>
          <w:color w:val="auto"/>
        </w:rPr>
      </w:pPr>
    </w:p>
    <w:p>
      <w:pPr>
        <w:jc w:val="center"/>
        <w:ind w:right="-139"/>
        <w:spacing w:after="0"/>
        <w:rPr>
          <w:sz w:val="20"/>
          <w:szCs w:val="20"/>
          <w:color w:val="auto"/>
        </w:rPr>
      </w:pPr>
      <w:r>
        <w:rPr>
          <w:rFonts w:ascii="Arial" w:cs="Arial" w:eastAsia="Arial" w:hAnsi="Arial"/>
          <w:sz w:val="15"/>
          <w:szCs w:val="15"/>
          <w:color w:val="auto"/>
        </w:rPr>
        <w:t>- 1 -</w:t>
      </w:r>
    </w:p>
    <w:p>
      <w:pPr>
        <w:sectPr>
          <w:pgSz w:w="11900" w:h="16838" w:orient="portrait"/>
          <w:cols w:equalWidth="0" w:num="1">
            <w:col w:w="11300"/>
          </w:cols>
          <w:pgMar w:left="240" w:top="249" w:right="359" w:bottom="1440" w:gutter="0" w:footer="0" w:header="0"/>
        </w:sectPr>
      </w:pPr>
    </w:p>
    <w:bookmarkStart w:id="362" w:name="page363"/>
    <w:bookmarkEnd w:id="362"/>
    <w:p>
      <w:pPr>
        <w:ind w:left="440"/>
        <w:spacing w:after="0"/>
        <w:rPr>
          <w:sz w:val="20"/>
          <w:szCs w:val="20"/>
          <w:color w:val="auto"/>
        </w:rPr>
      </w:pPr>
      <w:r>
        <w:rPr>
          <w:rFonts w:ascii="Arial" w:cs="Arial" w:eastAsia="Arial" w:hAnsi="Arial"/>
          <w:sz w:val="15"/>
          <w:szCs w:val="15"/>
          <w:u w:val="single" w:color="auto"/>
          <w:color w:val="auto"/>
        </w:rPr>
        <w:drawing>
          <wp:anchor simplePos="0" relativeHeight="251657728" behindDoc="1" locked="0" layoutInCell="0" allowOverlap="1">
            <wp:simplePos x="0" y="0"/>
            <wp:positionH relativeFrom="page">
              <wp:posOffset>133350</wp:posOffset>
            </wp:positionH>
            <wp:positionV relativeFrom="page">
              <wp:posOffset>88900</wp:posOffset>
            </wp:positionV>
            <wp:extent cx="7308850" cy="33655"/>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41">
                      <a:extLst>
                        <a:ext uri="{28A0092B-C50C-407E-A947-70E740481C1C}"/>
                      </a:extLst>
                    </a:blip>
                    <a:srcRect/>
                    <a:stretch>
                      <a:fillRect/>
                    </a:stretch>
                  </pic:blipFill>
                  <pic:spPr bwMode="auto">
                    <a:xfrm>
                      <a:off x="0" y="0"/>
                      <a:ext cx="7308850" cy="33655"/>
                    </a:xfrm>
                    <a:prstGeom prst="rect">
                      <a:avLst/>
                    </a:prstGeom>
                    <a:noFill/>
                  </pic:spPr>
                </pic:pic>
              </a:graphicData>
            </a:graphic>
          </wp:anchor>
        </w:drawing>
        <w:t>Termination Period</w:t>
      </w:r>
      <w:r>
        <w:rPr>
          <w:rFonts w:ascii="Arial" w:cs="Arial" w:eastAsia="Arial" w:hAnsi="Arial"/>
          <w:sz w:val="15"/>
          <w:szCs w:val="15"/>
          <w:color w:val="auto"/>
        </w:rPr>
        <w:t>:</w:t>
      </w:r>
    </w:p>
    <w:p>
      <w:pPr>
        <w:spacing w:after="0" w:line="98" w:lineRule="exact"/>
        <w:rPr>
          <w:sz w:val="20"/>
          <w:szCs w:val="20"/>
          <w:color w:val="auto"/>
        </w:rPr>
      </w:pPr>
    </w:p>
    <w:p>
      <w:pPr>
        <w:ind w:firstLine="458"/>
        <w:spacing w:after="0" w:line="263" w:lineRule="auto"/>
        <w:rPr>
          <w:sz w:val="20"/>
          <w:szCs w:val="20"/>
          <w:color w:val="auto"/>
        </w:rPr>
      </w:pPr>
      <w:r>
        <w:rPr>
          <w:rFonts w:ascii="Arial" w:cs="Arial" w:eastAsia="Arial" w:hAnsi="Arial"/>
          <w:sz w:val="15"/>
          <w:szCs w:val="15"/>
          <w:color w:val="auto"/>
        </w:rPr>
        <w:t>This Option will be exercisable for three (3) months after Participant ceases to be a Service Provider, unless such termination is due to Participant’s death or Disability, in which case this Option will be exercisable for twelve (12) months after Participant ceases to be a Service Provider. Notwithstanding the foregoing sentence, in no event may this Option be exercised after the Term/Expiration Date as provided above and may be subject to earlier termination as provided in Section 14 of the Plan.</w:t>
      </w:r>
    </w:p>
    <w:p>
      <w:pPr>
        <w:spacing w:after="0" w:line="155" w:lineRule="exact"/>
        <w:rPr>
          <w:sz w:val="20"/>
          <w:szCs w:val="20"/>
          <w:color w:val="auto"/>
        </w:rPr>
      </w:pPr>
    </w:p>
    <w:p>
      <w:pPr>
        <w:ind w:right="40" w:firstLine="458"/>
        <w:spacing w:after="0" w:line="255" w:lineRule="auto"/>
        <w:rPr>
          <w:sz w:val="20"/>
          <w:szCs w:val="20"/>
          <w:color w:val="auto"/>
        </w:rPr>
      </w:pPr>
      <w:r>
        <w:rPr>
          <w:rFonts w:ascii="Arial" w:cs="Arial" w:eastAsia="Arial" w:hAnsi="Arial"/>
          <w:sz w:val="15"/>
          <w:szCs w:val="15"/>
          <w:color w:val="auto"/>
        </w:rPr>
        <w:t xml:space="preserve">By Participant’s signature and the signature of the representative of the Company below, Participant and the Company agree that this Option is granted under and governed by the terms and conditions of the Plan and this Option Agreement, including the Terms and Conditions of Stock Option Grant, attached hereto as </w:t>
      </w:r>
      <w:r>
        <w:rPr>
          <w:rFonts w:ascii="Arial" w:cs="Arial" w:eastAsia="Arial" w:hAnsi="Arial"/>
          <w:sz w:val="15"/>
          <w:szCs w:val="15"/>
          <w:u w:val="single" w:color="auto"/>
          <w:color w:val="auto"/>
        </w:rPr>
        <w:t>Exhibit A</w:t>
      </w:r>
      <w:r>
        <w:rPr>
          <w:rFonts w:ascii="Arial" w:cs="Arial" w:eastAsia="Arial" w:hAnsi="Arial"/>
          <w:sz w:val="15"/>
          <w:szCs w:val="15"/>
          <w:color w:val="auto"/>
        </w:rPr>
        <w:t>, all of which are made a part of this document. Participant acknowledges receipt of a copy of the Plan. Participant has reviewed the Plan and this Option Agreement in their entirety, has had an opportunity to obtain the advice of counsel prior to executing this Option Agreement, and fully understands all provisions of the Plan and this Option Agreement. Participant hereby agrees to accept as binding, conclusive, and final all decisions or interpretations of the Administrator upon any questions relating to the Plan and the Option Agreement. Participant further agrees to notify the Company upon any change in the residence address indicated below.</w:t>
      </w:r>
    </w:p>
    <w:p>
      <w:pPr>
        <w:sectPr>
          <w:pgSz w:w="11900" w:h="16838" w:orient="portrait"/>
          <w:cols w:equalWidth="0" w:num="1">
            <w:col w:w="11340"/>
          </w:cols>
          <w:pgMar w:left="240" w:top="253" w:right="319" w:bottom="1440" w:gutter="0" w:footer="0" w:header="0"/>
        </w:sectPr>
      </w:pPr>
    </w:p>
    <w:p>
      <w:pPr>
        <w:spacing w:after="0" w:line="367" w:lineRule="exact"/>
        <w:rPr>
          <w:sz w:val="20"/>
          <w:szCs w:val="20"/>
          <w:color w:val="auto"/>
        </w:rPr>
      </w:pPr>
    </w:p>
    <w:p>
      <w:pPr>
        <w:spacing w:after="0"/>
        <w:rPr>
          <w:sz w:val="20"/>
          <w:szCs w:val="20"/>
          <w:color w:val="auto"/>
        </w:rPr>
      </w:pPr>
      <w:r>
        <w:rPr>
          <w:rFonts w:ascii="Arial" w:cs="Arial" w:eastAsia="Arial" w:hAnsi="Arial"/>
          <w:sz w:val="14"/>
          <w:szCs w:val="14"/>
          <w:color w:val="auto"/>
        </w:rPr>
        <w:t>PARTICIPANT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191135</wp:posOffset>
            </wp:positionV>
            <wp:extent cx="3423285" cy="6985"/>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42">
                      <a:extLst>
                        <a:ext uri="{28A0092B-C50C-407E-A947-70E740481C1C}"/>
                      </a:extLst>
                    </a:blip>
                    <a:srcRect/>
                    <a:stretch>
                      <a:fillRect/>
                    </a:stretch>
                  </pic:blipFill>
                  <pic:spPr bwMode="auto">
                    <a:xfrm>
                      <a:off x="0" y="0"/>
                      <a:ext cx="3423285" cy="6985"/>
                    </a:xfrm>
                    <a:prstGeom prst="rect">
                      <a:avLst/>
                    </a:prstGeom>
                    <a:noFill/>
                  </pic:spPr>
                </pic:pic>
              </a:graphicData>
            </a:graphic>
          </wp:anchor>
        </w:drawing>
      </w:r>
    </w:p>
    <w:p>
      <w:pPr>
        <w:spacing w:after="0" w:line="293" w:lineRule="exact"/>
        <w:rPr>
          <w:sz w:val="20"/>
          <w:szCs w:val="20"/>
          <w:color w:val="auto"/>
        </w:rPr>
      </w:pPr>
    </w:p>
    <w:p>
      <w:pPr>
        <w:spacing w:after="0"/>
        <w:rPr>
          <w:sz w:val="20"/>
          <w:szCs w:val="20"/>
          <w:color w:val="auto"/>
        </w:rPr>
      </w:pPr>
      <w:r>
        <w:rPr>
          <w:rFonts w:ascii="Arial" w:cs="Arial" w:eastAsia="Arial" w:hAnsi="Arial"/>
          <w:sz w:val="15"/>
          <w:szCs w:val="15"/>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183515</wp:posOffset>
            </wp:positionV>
            <wp:extent cx="3423285" cy="6985"/>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43">
                      <a:extLst>
                        <a:ext uri="{28A0092B-C50C-407E-A947-70E740481C1C}"/>
                      </a:extLst>
                    </a:blip>
                    <a:srcRect/>
                    <a:stretch>
                      <a:fillRect/>
                    </a:stretch>
                  </pic:blipFill>
                  <pic:spPr bwMode="auto">
                    <a:xfrm>
                      <a:off x="0" y="0"/>
                      <a:ext cx="3423285" cy="6985"/>
                    </a:xfrm>
                    <a:prstGeom prst="rect">
                      <a:avLst/>
                    </a:prstGeom>
                    <a:noFill/>
                  </pic:spPr>
                </pic:pic>
              </a:graphicData>
            </a:graphic>
          </wp:anchor>
        </w:drawing>
      </w:r>
    </w:p>
    <w:p>
      <w:pPr>
        <w:spacing w:after="0" w:line="281" w:lineRule="exact"/>
        <w:rPr>
          <w:sz w:val="20"/>
          <w:szCs w:val="20"/>
          <w:color w:val="auto"/>
        </w:rPr>
      </w:pPr>
    </w:p>
    <w:p>
      <w:pPr>
        <w:spacing w:after="0"/>
        <w:rPr>
          <w:sz w:val="20"/>
          <w:szCs w:val="20"/>
          <w:color w:val="auto"/>
        </w:rPr>
      </w:pPr>
      <w:r>
        <w:rPr>
          <w:rFonts w:ascii="Arial" w:cs="Arial" w:eastAsia="Arial" w:hAnsi="Arial"/>
          <w:sz w:val="15"/>
          <w:szCs w:val="15"/>
          <w:color w:val="auto"/>
        </w:rPr>
        <w:t>Print Name</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Arial" w:cs="Arial" w:eastAsia="Arial" w:hAnsi="Arial"/>
          <w:sz w:val="15"/>
          <w:szCs w:val="15"/>
          <w:u w:val="single" w:color="auto"/>
          <w:color w:val="auto"/>
        </w:rPr>
        <w:t>Address</w:t>
      </w:r>
      <w:r>
        <w:rPr>
          <w:rFonts w:ascii="Arial" w:cs="Arial" w:eastAsia="Arial" w:hAnsi="Arial"/>
          <w:sz w:val="15"/>
          <w:szCs w:val="15"/>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183515</wp:posOffset>
            </wp:positionV>
            <wp:extent cx="3423285" cy="6985"/>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44">
                      <a:extLst>
                        <a:ext uri="{28A0092B-C50C-407E-A947-70E740481C1C}"/>
                      </a:extLst>
                    </a:blip>
                    <a:srcRect/>
                    <a:stretch>
                      <a:fillRect/>
                    </a:stretch>
                  </pic:blipFill>
                  <pic:spPr bwMode="auto">
                    <a:xfrm>
                      <a:off x="0" y="0"/>
                      <a:ext cx="3423285" cy="698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370205</wp:posOffset>
            </wp:positionV>
            <wp:extent cx="3423285" cy="6985"/>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45">
                      <a:extLst>
                        <a:ext uri="{28A0092B-C50C-407E-A947-70E740481C1C}"/>
                      </a:extLst>
                    </a:blip>
                    <a:srcRect/>
                    <a:stretch>
                      <a:fillRect/>
                    </a:stretch>
                  </pic:blipFill>
                  <pic:spPr bwMode="auto">
                    <a:xfrm>
                      <a:off x="0" y="0"/>
                      <a:ext cx="3423285" cy="698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47" w:lineRule="exact"/>
        <w:rPr>
          <w:sz w:val="20"/>
          <w:szCs w:val="20"/>
          <w:color w:val="auto"/>
        </w:rPr>
      </w:pPr>
    </w:p>
    <w:p>
      <w:pPr>
        <w:spacing w:after="0"/>
        <w:rPr>
          <w:sz w:val="20"/>
          <w:szCs w:val="20"/>
          <w:color w:val="auto"/>
        </w:rPr>
      </w:pPr>
      <w:r>
        <w:rPr>
          <w:rFonts w:ascii="Arial" w:cs="Arial" w:eastAsia="Arial" w:hAnsi="Arial"/>
          <w:sz w:val="14"/>
          <w:szCs w:val="14"/>
          <w:color w:val="auto"/>
        </w:rPr>
        <w:t>DROPBOX,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191135</wp:posOffset>
            </wp:positionV>
            <wp:extent cx="3416300" cy="6985"/>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46">
                      <a:extLst>
                        <a:ext uri="{28A0092B-C50C-407E-A947-70E740481C1C}"/>
                      </a:extLst>
                    </a:blip>
                    <a:srcRect/>
                    <a:stretch>
                      <a:fillRect/>
                    </a:stretch>
                  </pic:blipFill>
                  <pic:spPr bwMode="auto">
                    <a:xfrm>
                      <a:off x="0" y="0"/>
                      <a:ext cx="3416300" cy="6985"/>
                    </a:xfrm>
                    <a:prstGeom prst="rect">
                      <a:avLst/>
                    </a:prstGeom>
                    <a:noFill/>
                  </pic:spPr>
                </pic:pic>
              </a:graphicData>
            </a:graphic>
          </wp:anchor>
        </w:drawing>
      </w:r>
    </w:p>
    <w:p>
      <w:pPr>
        <w:spacing w:after="0" w:line="293" w:lineRule="exact"/>
        <w:rPr>
          <w:sz w:val="20"/>
          <w:szCs w:val="20"/>
          <w:color w:val="auto"/>
        </w:rPr>
      </w:pPr>
    </w:p>
    <w:p>
      <w:pPr>
        <w:jc w:val="center"/>
        <w:ind w:right="4700"/>
        <w:spacing w:after="0"/>
        <w:rPr>
          <w:sz w:val="20"/>
          <w:szCs w:val="20"/>
          <w:color w:val="auto"/>
        </w:rPr>
      </w:pPr>
      <w:r>
        <w:rPr>
          <w:rFonts w:ascii="Arial" w:cs="Arial" w:eastAsia="Arial" w:hAnsi="Arial"/>
          <w:sz w:val="13"/>
          <w:szCs w:val="13"/>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198120</wp:posOffset>
            </wp:positionV>
            <wp:extent cx="3416300" cy="6985"/>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47">
                      <a:extLst>
                        <a:ext uri="{28A0092B-C50C-407E-A947-70E740481C1C}"/>
                      </a:extLst>
                    </a:blip>
                    <a:srcRect/>
                    <a:stretch>
                      <a:fillRect/>
                    </a:stretch>
                  </pic:blipFill>
                  <pic:spPr bwMode="auto">
                    <a:xfrm>
                      <a:off x="0" y="0"/>
                      <a:ext cx="3416300" cy="6985"/>
                    </a:xfrm>
                    <a:prstGeom prst="rect">
                      <a:avLst/>
                    </a:prstGeom>
                    <a:noFill/>
                  </pic:spPr>
                </pic:pic>
              </a:graphicData>
            </a:graphic>
          </wp:anchor>
        </w:drawing>
      </w:r>
    </w:p>
    <w:p>
      <w:pPr>
        <w:spacing w:after="0" w:line="304" w:lineRule="exact"/>
        <w:rPr>
          <w:sz w:val="20"/>
          <w:szCs w:val="20"/>
          <w:color w:val="auto"/>
        </w:rPr>
      </w:pPr>
    </w:p>
    <w:p>
      <w:pPr>
        <w:spacing w:after="0"/>
        <w:rPr>
          <w:sz w:val="20"/>
          <w:szCs w:val="20"/>
          <w:color w:val="auto"/>
        </w:rPr>
      </w:pPr>
      <w:r>
        <w:rPr>
          <w:rFonts w:ascii="Arial" w:cs="Arial" w:eastAsia="Arial" w:hAnsi="Arial"/>
          <w:sz w:val="15"/>
          <w:szCs w:val="15"/>
          <w:color w:val="auto"/>
        </w:rPr>
        <w:t>Print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183515</wp:posOffset>
            </wp:positionV>
            <wp:extent cx="3416300" cy="6985"/>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48">
                      <a:extLst>
                        <a:ext uri="{28A0092B-C50C-407E-A947-70E740481C1C}"/>
                      </a:extLst>
                    </a:blip>
                    <a:srcRect/>
                    <a:stretch>
                      <a:fillRect/>
                    </a:stretch>
                  </pic:blipFill>
                  <pic:spPr bwMode="auto">
                    <a:xfrm>
                      <a:off x="0" y="0"/>
                      <a:ext cx="3416300" cy="6985"/>
                    </a:xfrm>
                    <a:prstGeom prst="rect">
                      <a:avLst/>
                    </a:prstGeom>
                    <a:noFill/>
                  </pic:spPr>
                </pic:pic>
              </a:graphicData>
            </a:graphic>
          </wp:anchor>
        </w:drawing>
      </w:r>
    </w:p>
    <w:p>
      <w:pPr>
        <w:spacing w:after="0" w:line="281" w:lineRule="exact"/>
        <w:rPr>
          <w:sz w:val="20"/>
          <w:szCs w:val="20"/>
          <w:color w:val="auto"/>
        </w:rPr>
      </w:pPr>
    </w:p>
    <w:p>
      <w:pPr>
        <w:jc w:val="center"/>
        <w:ind w:right="5000"/>
        <w:spacing w:after="0"/>
        <w:rPr>
          <w:sz w:val="20"/>
          <w:szCs w:val="20"/>
          <w:color w:val="auto"/>
        </w:rPr>
      </w:pPr>
      <w:r>
        <w:rPr>
          <w:rFonts w:ascii="Arial" w:cs="Arial" w:eastAsia="Arial" w:hAnsi="Arial"/>
          <w:sz w:val="14"/>
          <w:szCs w:val="14"/>
          <w:color w:val="auto"/>
        </w:rPr>
        <w:t>Title</w:t>
      </w:r>
    </w:p>
    <w:p>
      <w:pPr>
        <w:spacing w:after="0" w:line="572" w:lineRule="exact"/>
        <w:rPr>
          <w:sz w:val="20"/>
          <w:szCs w:val="20"/>
          <w:color w:val="auto"/>
        </w:rPr>
      </w:pPr>
    </w:p>
    <w:p>
      <w:pPr>
        <w:sectPr>
          <w:pgSz w:w="11900" w:h="16838" w:orient="portrait"/>
          <w:cols w:equalWidth="0" w:num="2">
            <w:col w:w="5340" w:space="720"/>
            <w:col w:w="5280"/>
          </w:cols>
          <w:pgMar w:left="240" w:top="253" w:right="319" w:bottom="1440" w:gutter="0" w:footer="0" w:header="0"/>
          <w:type w:val="continuous"/>
        </w:sectPr>
      </w:pPr>
    </w:p>
    <w:p>
      <w:pPr>
        <w:spacing w:after="0" w:line="200" w:lineRule="exact"/>
        <w:rPr>
          <w:sz w:val="20"/>
          <w:szCs w:val="20"/>
          <w:color w:val="auto"/>
        </w:rPr>
      </w:pPr>
    </w:p>
    <w:p>
      <w:pPr>
        <w:spacing w:after="0" w:line="319" w:lineRule="exact"/>
        <w:rPr>
          <w:sz w:val="20"/>
          <w:szCs w:val="20"/>
          <w:color w:val="auto"/>
        </w:rPr>
      </w:pPr>
    </w:p>
    <w:p>
      <w:pPr>
        <w:jc w:val="center"/>
        <w:ind w:right="-79"/>
        <w:spacing w:after="0"/>
        <w:rPr>
          <w:sz w:val="20"/>
          <w:szCs w:val="20"/>
          <w:color w:val="auto"/>
        </w:rPr>
      </w:pPr>
      <w:r>
        <w:rPr>
          <w:rFonts w:ascii="Arial" w:cs="Arial" w:eastAsia="Arial" w:hAnsi="Arial"/>
          <w:sz w:val="14"/>
          <w:szCs w:val="14"/>
          <w:color w:val="auto"/>
        </w:rPr>
        <w:t>- 2 -</w:t>
      </w:r>
    </w:p>
    <w:p>
      <w:pPr>
        <w:sectPr>
          <w:pgSz w:w="11900" w:h="16838" w:orient="portrait"/>
          <w:cols w:equalWidth="0" w:num="1">
            <w:col w:w="11340"/>
          </w:cols>
          <w:pgMar w:left="240" w:top="253" w:right="319" w:bottom="1440" w:gutter="0" w:footer="0" w:header="0"/>
          <w:type w:val="continuous"/>
        </w:sectPr>
      </w:pPr>
    </w:p>
    <w:bookmarkStart w:id="363" w:name="page364"/>
    <w:bookmarkEnd w:id="363"/>
    <w:p>
      <w:pPr>
        <w:jc w:val="center"/>
        <w:spacing w:after="0"/>
        <w:rPr>
          <w:sz w:val="20"/>
          <w:szCs w:val="20"/>
          <w:color w:val="auto"/>
        </w:rPr>
      </w:pPr>
      <w:r>
        <w:rPr>
          <w:rFonts w:ascii="Arial" w:cs="Arial" w:eastAsia="Arial" w:hAnsi="Arial"/>
          <w:sz w:val="15"/>
          <w:szCs w:val="15"/>
          <w:b w:val="1"/>
          <w:bCs w:val="1"/>
          <w:u w:val="single" w:color="auto"/>
          <w:color w:val="auto"/>
        </w:rPr>
        <w:drawing>
          <wp:anchor simplePos="0" relativeHeight="251657728" behindDoc="1" locked="0" layoutInCell="0" allowOverlap="1">
            <wp:simplePos x="0" y="0"/>
            <wp:positionH relativeFrom="page">
              <wp:posOffset>133350</wp:posOffset>
            </wp:positionH>
            <wp:positionV relativeFrom="page">
              <wp:posOffset>88900</wp:posOffset>
            </wp:positionV>
            <wp:extent cx="7308850" cy="34290"/>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49">
                      <a:extLst>
                        <a:ext uri="{28A0092B-C50C-407E-A947-70E740481C1C}"/>
                      </a:extLst>
                    </a:blip>
                    <a:srcRect/>
                    <a:stretch>
                      <a:fillRect/>
                    </a:stretch>
                  </pic:blipFill>
                  <pic:spPr bwMode="auto">
                    <a:xfrm>
                      <a:off x="0" y="0"/>
                      <a:ext cx="7308850" cy="34290"/>
                    </a:xfrm>
                    <a:prstGeom prst="rect">
                      <a:avLst/>
                    </a:prstGeom>
                    <a:noFill/>
                  </pic:spPr>
                </pic:pic>
              </a:graphicData>
            </a:graphic>
          </wp:anchor>
        </w:drawing>
        <w:t>EXHIBIT A</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TERMS AND CONDITIONS OF STOCK OPTION GRANT</w:t>
      </w:r>
    </w:p>
    <w:p>
      <w:pPr>
        <w:spacing w:after="0" w:line="192" w:lineRule="exact"/>
        <w:rPr>
          <w:sz w:val="20"/>
          <w:szCs w:val="20"/>
          <w:color w:val="auto"/>
        </w:rPr>
      </w:pPr>
    </w:p>
    <w:p>
      <w:pPr>
        <w:ind w:right="40" w:firstLine="448"/>
        <w:spacing w:after="0" w:line="283" w:lineRule="auto"/>
        <w:tabs>
          <w:tab w:leader="none" w:pos="721" w:val="left"/>
        </w:tabs>
        <w:numPr>
          <w:ilvl w:val="0"/>
          <w:numId w:val="291"/>
        </w:numPr>
        <w:rPr>
          <w:rFonts w:ascii="Arial" w:cs="Arial" w:eastAsia="Arial" w:hAnsi="Arial"/>
          <w:sz w:val="14"/>
          <w:szCs w:val="14"/>
          <w:color w:val="auto"/>
        </w:rPr>
      </w:pPr>
      <w:r>
        <w:rPr>
          <w:rFonts w:ascii="Arial" w:cs="Arial" w:eastAsia="Arial" w:hAnsi="Arial"/>
          <w:sz w:val="14"/>
          <w:szCs w:val="14"/>
          <w:u w:val="single" w:color="auto"/>
          <w:color w:val="auto"/>
        </w:rPr>
        <w:t>Grant of Option</w:t>
      </w:r>
      <w:r>
        <w:rPr>
          <w:rFonts w:ascii="Arial" w:cs="Arial" w:eastAsia="Arial" w:hAnsi="Arial"/>
          <w:sz w:val="14"/>
          <w:szCs w:val="14"/>
          <w:color w:val="auto"/>
        </w:rPr>
        <w:t>. The Company hereby grants to the individual (the “Participant”) named in the Notice of Stock Option Grant of this Option Agreement (the “Notice of Grant”) an option (the “Option”) to purchase the number of Shares, as set forth in the Notice of Grant, at the exercise price per Share set forth in the Notice of Grant (the “Exercise Price”), subject to all of the terms and conditions in this Option Agreement and the Plan, which is incorporated herein by reference. Subject to Section 19(c) of the Plan, in the event of a conflict between the terms and conditions of the Plan and the terms and conditions of this Option Agreement, the terms and conditions of the Plan will prevail.</w:t>
      </w:r>
    </w:p>
    <w:p>
      <w:pPr>
        <w:spacing w:after="0" w:line="142" w:lineRule="exact"/>
        <w:rPr>
          <w:rFonts w:ascii="Arial" w:cs="Arial" w:eastAsia="Arial" w:hAnsi="Arial"/>
          <w:sz w:val="14"/>
          <w:szCs w:val="14"/>
          <w:color w:val="auto"/>
        </w:rPr>
      </w:pPr>
    </w:p>
    <w:p>
      <w:pPr>
        <w:ind w:right="60" w:firstLine="906"/>
        <w:spacing w:after="0" w:line="255" w:lineRule="auto"/>
        <w:tabs>
          <w:tab w:leader="none" w:pos="1233" w:val="left"/>
        </w:tabs>
        <w:numPr>
          <w:ilvl w:val="1"/>
          <w:numId w:val="291"/>
        </w:numPr>
        <w:rPr>
          <w:rFonts w:ascii="Arial" w:cs="Arial" w:eastAsia="Arial" w:hAnsi="Arial"/>
          <w:sz w:val="15"/>
          <w:szCs w:val="15"/>
          <w:color w:val="auto"/>
        </w:rPr>
      </w:pPr>
      <w:r>
        <w:rPr>
          <w:rFonts w:ascii="Arial" w:cs="Arial" w:eastAsia="Arial" w:hAnsi="Arial"/>
          <w:sz w:val="15"/>
          <w:szCs w:val="15"/>
          <w:color w:val="auto"/>
        </w:rPr>
        <w:t>For U.S. taxpayers, the Option will be designated as either an Incentive Stock Option (“ISO”) or a Nonstatutory Stock Option (“NSO”). If designated in the Notice of Grant as an ISO, this Option is intended to qualify as an ISO under Section 422 of the Internal Revenue Code of 1986, as amended (the “Code”). However, if this Option is intended to be an ISO, to the extent that it exceeds the $100,000 rule of Code Section 422(d) it will be treated as an NSO. Further, if for any reason this Option (or portion thereof) will not qualify as an ISO, then, to the extent of such nonqualification, such Option (or portion thereof) shall be regarded as a NSO granted under the Plan. In no event will the Administrator, the Company or any Parent or Subsidiary or any of their respective employees or directors have any liability to Participant (or any other person) due to the failure of the Option to qualify for any reason as an ISO.</w:t>
      </w:r>
    </w:p>
    <w:p>
      <w:pPr>
        <w:spacing w:after="0" w:line="163" w:lineRule="exact"/>
        <w:rPr>
          <w:rFonts w:ascii="Arial" w:cs="Arial" w:eastAsia="Arial" w:hAnsi="Arial"/>
          <w:sz w:val="15"/>
          <w:szCs w:val="15"/>
          <w:color w:val="auto"/>
        </w:rPr>
      </w:pPr>
    </w:p>
    <w:p>
      <w:pPr>
        <w:ind w:left="1240" w:hanging="334"/>
        <w:spacing w:after="0"/>
        <w:tabs>
          <w:tab w:leader="none" w:pos="1240" w:val="left"/>
        </w:tabs>
        <w:numPr>
          <w:ilvl w:val="1"/>
          <w:numId w:val="291"/>
        </w:numPr>
        <w:rPr>
          <w:rFonts w:ascii="Arial" w:cs="Arial" w:eastAsia="Arial" w:hAnsi="Arial"/>
          <w:sz w:val="15"/>
          <w:szCs w:val="15"/>
          <w:color w:val="auto"/>
        </w:rPr>
      </w:pPr>
      <w:r>
        <w:rPr>
          <w:rFonts w:ascii="Arial" w:cs="Arial" w:eastAsia="Arial" w:hAnsi="Arial"/>
          <w:sz w:val="15"/>
          <w:szCs w:val="15"/>
          <w:color w:val="auto"/>
        </w:rPr>
        <w:t>For non-U.S. taxpayers, the Option will be designated as an NSO.</w:t>
      </w:r>
    </w:p>
    <w:p>
      <w:pPr>
        <w:spacing w:after="0" w:line="188" w:lineRule="exact"/>
        <w:rPr>
          <w:rFonts w:ascii="Arial" w:cs="Arial" w:eastAsia="Arial" w:hAnsi="Arial"/>
          <w:sz w:val="15"/>
          <w:szCs w:val="15"/>
          <w:color w:val="auto"/>
        </w:rPr>
      </w:pPr>
    </w:p>
    <w:p>
      <w:pPr>
        <w:ind w:right="60" w:firstLine="448"/>
        <w:spacing w:after="0" w:line="263" w:lineRule="auto"/>
        <w:tabs>
          <w:tab w:leader="none" w:pos="721" w:val="left"/>
        </w:tabs>
        <w:numPr>
          <w:ilvl w:val="0"/>
          <w:numId w:val="291"/>
        </w:numPr>
        <w:rPr>
          <w:rFonts w:ascii="Arial" w:cs="Arial" w:eastAsia="Arial" w:hAnsi="Arial"/>
          <w:sz w:val="15"/>
          <w:szCs w:val="15"/>
          <w:color w:val="auto"/>
        </w:rPr>
      </w:pPr>
      <w:r>
        <w:rPr>
          <w:rFonts w:ascii="Arial" w:cs="Arial" w:eastAsia="Arial" w:hAnsi="Arial"/>
          <w:sz w:val="15"/>
          <w:szCs w:val="15"/>
          <w:u w:val="single" w:color="auto"/>
          <w:color w:val="auto"/>
        </w:rPr>
        <w:t>Vesting Schedule</w:t>
      </w:r>
      <w:r>
        <w:rPr>
          <w:rFonts w:ascii="Arial" w:cs="Arial" w:eastAsia="Arial" w:hAnsi="Arial"/>
          <w:sz w:val="15"/>
          <w:szCs w:val="15"/>
          <w:color w:val="auto"/>
        </w:rPr>
        <w:t>. Except as provided in Section 3, the Option awarded by this Option Agreement will vest in accordance with the vesting provisions set forth in the Notice of Grant. Shares scheduled to vest on a certain date or upon the occurrence of a certain condition will not vest in Participant in accordance with any of the provisions of this Option Agreement, unless Participant will have been continuously a Service Provider from the Date of Grant until the date such vesting occurs.</w:t>
      </w:r>
    </w:p>
    <w:p>
      <w:pPr>
        <w:spacing w:after="0" w:line="154" w:lineRule="exact"/>
        <w:rPr>
          <w:rFonts w:ascii="Arial" w:cs="Arial" w:eastAsia="Arial" w:hAnsi="Arial"/>
          <w:sz w:val="15"/>
          <w:szCs w:val="15"/>
          <w:color w:val="auto"/>
        </w:rPr>
      </w:pPr>
    </w:p>
    <w:p>
      <w:pPr>
        <w:ind w:firstLine="448"/>
        <w:spacing w:after="0" w:line="275" w:lineRule="auto"/>
        <w:tabs>
          <w:tab w:leader="none" w:pos="721" w:val="left"/>
        </w:tabs>
        <w:numPr>
          <w:ilvl w:val="0"/>
          <w:numId w:val="291"/>
        </w:numPr>
        <w:rPr>
          <w:rFonts w:ascii="Arial" w:cs="Arial" w:eastAsia="Arial" w:hAnsi="Arial"/>
          <w:sz w:val="15"/>
          <w:szCs w:val="15"/>
          <w:color w:val="auto"/>
        </w:rPr>
      </w:pPr>
      <w:r>
        <w:rPr>
          <w:rFonts w:ascii="Arial" w:cs="Arial" w:eastAsia="Arial" w:hAnsi="Arial"/>
          <w:sz w:val="15"/>
          <w:szCs w:val="15"/>
          <w:u w:val="single" w:color="auto"/>
          <w:color w:val="auto"/>
        </w:rPr>
        <w:t>Administrator Discretion</w:t>
      </w:r>
      <w:r>
        <w:rPr>
          <w:rFonts w:ascii="Arial" w:cs="Arial" w:eastAsia="Arial" w:hAnsi="Arial"/>
          <w:sz w:val="15"/>
          <w:szCs w:val="15"/>
          <w:color w:val="auto"/>
        </w:rPr>
        <w:t>. The Administrator, in its discretion, may accelerate the vesting of the balance, or some lesser portion of the balance, of the unvested Option at any time, subject to the terms of the Plan. If so accelerated, such Option will be considered as having vested as of the date specified by the Administrator.</w:t>
      </w:r>
    </w:p>
    <w:p>
      <w:pPr>
        <w:spacing w:after="0" w:line="236" w:lineRule="exact"/>
        <w:rPr>
          <w:rFonts w:ascii="Arial" w:cs="Arial" w:eastAsia="Arial" w:hAnsi="Arial"/>
          <w:sz w:val="15"/>
          <w:szCs w:val="15"/>
          <w:color w:val="auto"/>
        </w:rPr>
      </w:pPr>
    </w:p>
    <w:p>
      <w:pPr>
        <w:ind w:left="720" w:hanging="272"/>
        <w:spacing w:after="0"/>
        <w:tabs>
          <w:tab w:leader="none" w:pos="720" w:val="left"/>
        </w:tabs>
        <w:numPr>
          <w:ilvl w:val="0"/>
          <w:numId w:val="291"/>
        </w:numPr>
        <w:rPr>
          <w:rFonts w:ascii="Arial" w:cs="Arial" w:eastAsia="Arial" w:hAnsi="Arial"/>
          <w:sz w:val="15"/>
          <w:szCs w:val="15"/>
          <w:color w:val="auto"/>
        </w:rPr>
      </w:pPr>
      <w:r>
        <w:rPr>
          <w:rFonts w:ascii="Arial" w:cs="Arial" w:eastAsia="Arial" w:hAnsi="Arial"/>
          <w:sz w:val="15"/>
          <w:szCs w:val="15"/>
          <w:u w:val="single" w:color="auto"/>
          <w:color w:val="auto"/>
        </w:rPr>
        <w:t>Exercise of Option</w:t>
      </w:r>
      <w:r>
        <w:rPr>
          <w:rFonts w:ascii="Arial" w:cs="Arial" w:eastAsia="Arial" w:hAnsi="Arial"/>
          <w:sz w:val="15"/>
          <w:szCs w:val="15"/>
          <w:color w:val="auto"/>
        </w:rPr>
        <w:t>.</w:t>
      </w:r>
    </w:p>
    <w:p>
      <w:pPr>
        <w:spacing w:after="0" w:line="98" w:lineRule="exact"/>
        <w:rPr>
          <w:rFonts w:ascii="Arial" w:cs="Arial" w:eastAsia="Arial" w:hAnsi="Arial"/>
          <w:sz w:val="15"/>
          <w:szCs w:val="15"/>
          <w:color w:val="auto"/>
        </w:rPr>
      </w:pPr>
    </w:p>
    <w:p>
      <w:pPr>
        <w:ind w:right="100" w:firstLine="906"/>
        <w:spacing w:after="0" w:line="275" w:lineRule="auto"/>
        <w:tabs>
          <w:tab w:leader="none" w:pos="1233" w:val="left"/>
        </w:tabs>
        <w:numPr>
          <w:ilvl w:val="1"/>
          <w:numId w:val="291"/>
        </w:numPr>
        <w:rPr>
          <w:rFonts w:ascii="Arial" w:cs="Arial" w:eastAsia="Arial" w:hAnsi="Arial"/>
          <w:sz w:val="15"/>
          <w:szCs w:val="15"/>
          <w:color w:val="auto"/>
        </w:rPr>
      </w:pPr>
      <w:r>
        <w:rPr>
          <w:rFonts w:ascii="Arial" w:cs="Arial" w:eastAsia="Arial" w:hAnsi="Arial"/>
          <w:sz w:val="15"/>
          <w:szCs w:val="15"/>
          <w:u w:val="single" w:color="auto"/>
          <w:color w:val="auto"/>
        </w:rPr>
        <w:t>Right to Exercise</w:t>
      </w:r>
      <w:r>
        <w:rPr>
          <w:rFonts w:ascii="Arial" w:cs="Arial" w:eastAsia="Arial" w:hAnsi="Arial"/>
          <w:sz w:val="15"/>
          <w:szCs w:val="15"/>
          <w:color w:val="auto"/>
        </w:rPr>
        <w:t>. This Option may be exercised only within the term set out in the Notice of Grant, and may be exercised during such term only in accordance with the Plan and the terms of this Option Agreement.</w:t>
      </w:r>
    </w:p>
    <w:p>
      <w:pPr>
        <w:spacing w:after="0" w:line="89" w:lineRule="exact"/>
        <w:rPr>
          <w:rFonts w:ascii="Arial" w:cs="Arial" w:eastAsia="Arial" w:hAnsi="Arial"/>
          <w:sz w:val="15"/>
          <w:szCs w:val="15"/>
          <w:color w:val="auto"/>
        </w:rPr>
      </w:pPr>
    </w:p>
    <w:p>
      <w:pPr>
        <w:ind w:left="5680" w:hanging="91"/>
        <w:spacing w:after="0"/>
        <w:tabs>
          <w:tab w:leader="none" w:pos="5680" w:val="left"/>
        </w:tabs>
        <w:numPr>
          <w:ilvl w:val="2"/>
          <w:numId w:val="291"/>
        </w:numPr>
        <w:rPr>
          <w:rFonts w:ascii="Arial" w:cs="Arial" w:eastAsia="Arial" w:hAnsi="Arial"/>
          <w:sz w:val="15"/>
          <w:szCs w:val="15"/>
          <w:color w:val="auto"/>
        </w:rPr>
      </w:pPr>
      <w:r>
        <w:rPr>
          <w:rFonts w:ascii="Arial" w:cs="Arial" w:eastAsia="Arial" w:hAnsi="Arial"/>
          <w:sz w:val="15"/>
          <w:szCs w:val="15"/>
          <w:color w:val="auto"/>
        </w:rPr>
        <w:t>1 -</w:t>
      </w:r>
    </w:p>
    <w:p>
      <w:pPr>
        <w:sectPr>
          <w:pgSz w:w="11900" w:h="16838" w:orient="portrait"/>
          <w:cols w:equalWidth="0" w:num="1">
            <w:col w:w="11420"/>
          </w:cols>
          <w:pgMar w:left="240" w:top="249" w:right="239" w:bottom="1440" w:gutter="0" w:footer="0" w:header="0"/>
        </w:sectPr>
      </w:pPr>
    </w:p>
    <w:bookmarkStart w:id="364" w:name="page365"/>
    <w:bookmarkEnd w:id="364"/>
    <w:p>
      <w:pPr>
        <w:ind w:left="-448" w:firstLine="906"/>
        <w:spacing w:after="0" w:line="255" w:lineRule="auto"/>
        <w:tabs>
          <w:tab w:leader="none" w:pos="793" w:val="left"/>
        </w:tabs>
        <w:numPr>
          <w:ilvl w:val="1"/>
          <w:numId w:val="292"/>
        </w:numPr>
        <w:rPr>
          <w:rFonts w:ascii="Arial" w:cs="Arial" w:eastAsia="Arial" w:hAnsi="Arial"/>
          <w:sz w:val="15"/>
          <w:szCs w:val="15"/>
          <w:color w:val="auto"/>
        </w:rPr>
      </w:pPr>
      <w:r>
        <w:rPr>
          <w:rFonts w:ascii="Arial" w:cs="Arial" w:eastAsia="Arial" w:hAnsi="Arial"/>
          <w:sz w:val="15"/>
          <w:szCs w:val="15"/>
          <w:u w:val="single" w:color="auto"/>
          <w:color w:val="auto"/>
        </w:rPr>
        <w:drawing>
          <wp:anchor simplePos="0" relativeHeight="251657728" behindDoc="1" locked="0" layoutInCell="0" allowOverlap="1">
            <wp:simplePos x="0" y="0"/>
            <wp:positionH relativeFrom="page">
              <wp:posOffset>133350</wp:posOffset>
            </wp:positionH>
            <wp:positionV relativeFrom="page">
              <wp:posOffset>88900</wp:posOffset>
            </wp:positionV>
            <wp:extent cx="7308850" cy="34290"/>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50">
                      <a:extLst>
                        <a:ext uri="{28A0092B-C50C-407E-A947-70E740481C1C}"/>
                      </a:extLst>
                    </a:blip>
                    <a:srcRect/>
                    <a:stretch>
                      <a:fillRect/>
                    </a:stretch>
                  </pic:blipFill>
                  <pic:spPr bwMode="auto">
                    <a:xfrm>
                      <a:off x="0" y="0"/>
                      <a:ext cx="7308850" cy="34290"/>
                    </a:xfrm>
                    <a:prstGeom prst="rect">
                      <a:avLst/>
                    </a:prstGeom>
                    <a:noFill/>
                  </pic:spPr>
                </pic:pic>
              </a:graphicData>
            </a:graphic>
          </wp:anchor>
        </w:drawing>
        <w:t>Method of Exercise</w:t>
      </w:r>
      <w:r>
        <w:rPr>
          <w:rFonts w:ascii="Arial" w:cs="Arial" w:eastAsia="Arial" w:hAnsi="Arial"/>
          <w:sz w:val="15"/>
          <w:szCs w:val="15"/>
          <w:color w:val="auto"/>
        </w:rPr>
        <w:t xml:space="preserve">. This Option is exercisable by delivery of an exercise notice (the “Exercise Notice”) in the form attached as </w:t>
      </w:r>
      <w:r>
        <w:rPr>
          <w:rFonts w:ascii="Arial" w:cs="Arial" w:eastAsia="Arial" w:hAnsi="Arial"/>
          <w:sz w:val="15"/>
          <w:szCs w:val="15"/>
          <w:u w:val="single" w:color="auto"/>
          <w:color w:val="auto"/>
        </w:rPr>
        <w:t>Exhibit A</w:t>
      </w:r>
      <w:r>
        <w:rPr>
          <w:rFonts w:ascii="Arial" w:cs="Arial" w:eastAsia="Arial" w:hAnsi="Arial"/>
          <w:sz w:val="15"/>
          <w:szCs w:val="15"/>
          <w:color w:val="auto"/>
        </w:rPr>
        <w:t xml:space="preserve"> or in a manner and pursuant to such procedures as the Administrator may determine, which will state the election to exercise the Option, the number of Shares in respect of which the Option is being exercised (the “Exercised Shares”), and such other representations and agreements as may be required by the Company pursuant to the provisions of the Plan. The Exercise Notice will be completed by Participant and delivered to the Company. The Exercise Notice will be accompanied by payment of the aggregate Exercise Price as to all Exercised Shares together and of any Tax Obligations (as defined in Section 6(a)). This Option will be deemed to be exercised upon receipt by the Company of such fully executed Exercise Notice accompanied by the aggregate Exercise Price.</w:t>
      </w:r>
    </w:p>
    <w:p>
      <w:pPr>
        <w:spacing w:after="0" w:line="163" w:lineRule="exact"/>
        <w:rPr>
          <w:rFonts w:ascii="Arial" w:cs="Arial" w:eastAsia="Arial" w:hAnsi="Arial"/>
          <w:sz w:val="15"/>
          <w:szCs w:val="15"/>
          <w:color w:val="auto"/>
        </w:rPr>
      </w:pPr>
    </w:p>
    <w:p>
      <w:pPr>
        <w:ind w:left="272" w:hanging="272"/>
        <w:spacing w:after="0"/>
        <w:tabs>
          <w:tab w:leader="none" w:pos="272" w:val="left"/>
        </w:tabs>
        <w:numPr>
          <w:ilvl w:val="0"/>
          <w:numId w:val="293"/>
        </w:numPr>
        <w:rPr>
          <w:rFonts w:ascii="Arial" w:cs="Arial" w:eastAsia="Arial" w:hAnsi="Arial"/>
          <w:sz w:val="15"/>
          <w:szCs w:val="15"/>
          <w:color w:val="auto"/>
        </w:rPr>
      </w:pPr>
      <w:r>
        <w:rPr>
          <w:rFonts w:ascii="Arial" w:cs="Arial" w:eastAsia="Arial" w:hAnsi="Arial"/>
          <w:sz w:val="15"/>
          <w:szCs w:val="15"/>
          <w:u w:val="single" w:color="auto"/>
          <w:color w:val="auto"/>
        </w:rPr>
        <w:t>Method of Payment</w:t>
      </w:r>
      <w:r>
        <w:rPr>
          <w:rFonts w:ascii="Arial" w:cs="Arial" w:eastAsia="Arial" w:hAnsi="Arial"/>
          <w:sz w:val="15"/>
          <w:szCs w:val="15"/>
          <w:color w:val="auto"/>
        </w:rPr>
        <w:t>. Payment of the aggregate Exercise Price will be by any of the following, or a combination thereof, at the election of Participant:</w:t>
      </w:r>
    </w:p>
    <w:p>
      <w:pPr>
        <w:spacing w:after="0" w:line="188" w:lineRule="exact"/>
        <w:rPr>
          <w:rFonts w:ascii="Arial" w:cs="Arial" w:eastAsia="Arial" w:hAnsi="Arial"/>
          <w:sz w:val="15"/>
          <w:szCs w:val="15"/>
          <w:color w:val="auto"/>
        </w:rPr>
      </w:pPr>
    </w:p>
    <w:p>
      <w:pPr>
        <w:ind w:left="772" w:hanging="314"/>
        <w:spacing w:after="0"/>
        <w:tabs>
          <w:tab w:leader="none" w:pos="772" w:val="left"/>
        </w:tabs>
        <w:numPr>
          <w:ilvl w:val="1"/>
          <w:numId w:val="293"/>
        </w:numPr>
        <w:rPr>
          <w:rFonts w:ascii="Arial" w:cs="Arial" w:eastAsia="Arial" w:hAnsi="Arial"/>
          <w:sz w:val="15"/>
          <w:szCs w:val="15"/>
          <w:color w:val="auto"/>
        </w:rPr>
      </w:pPr>
      <w:r>
        <w:rPr>
          <w:rFonts w:ascii="Arial" w:cs="Arial" w:eastAsia="Arial" w:hAnsi="Arial"/>
          <w:sz w:val="15"/>
          <w:szCs w:val="15"/>
          <w:color w:val="auto"/>
        </w:rPr>
        <w:t>cash;</w:t>
      </w:r>
    </w:p>
    <w:p>
      <w:pPr>
        <w:spacing w:after="0" w:line="188" w:lineRule="exact"/>
        <w:rPr>
          <w:rFonts w:ascii="Arial" w:cs="Arial" w:eastAsia="Arial" w:hAnsi="Arial"/>
          <w:sz w:val="15"/>
          <w:szCs w:val="15"/>
          <w:color w:val="auto"/>
        </w:rPr>
      </w:pPr>
    </w:p>
    <w:p>
      <w:pPr>
        <w:ind w:left="792" w:hanging="334"/>
        <w:spacing w:after="0"/>
        <w:tabs>
          <w:tab w:leader="none" w:pos="792" w:val="left"/>
        </w:tabs>
        <w:numPr>
          <w:ilvl w:val="1"/>
          <w:numId w:val="293"/>
        </w:numPr>
        <w:rPr>
          <w:rFonts w:ascii="Arial" w:cs="Arial" w:eastAsia="Arial" w:hAnsi="Arial"/>
          <w:sz w:val="15"/>
          <w:szCs w:val="15"/>
          <w:color w:val="auto"/>
        </w:rPr>
      </w:pPr>
      <w:r>
        <w:rPr>
          <w:rFonts w:ascii="Arial" w:cs="Arial" w:eastAsia="Arial" w:hAnsi="Arial"/>
          <w:sz w:val="15"/>
          <w:szCs w:val="15"/>
          <w:color w:val="auto"/>
        </w:rPr>
        <w:t>check;</w:t>
      </w:r>
    </w:p>
    <w:p>
      <w:pPr>
        <w:spacing w:after="0" w:line="188" w:lineRule="exact"/>
        <w:rPr>
          <w:rFonts w:ascii="Arial" w:cs="Arial" w:eastAsia="Arial" w:hAnsi="Arial"/>
          <w:sz w:val="15"/>
          <w:szCs w:val="15"/>
          <w:color w:val="auto"/>
        </w:rPr>
      </w:pPr>
    </w:p>
    <w:p>
      <w:pPr>
        <w:ind w:left="772" w:hanging="314"/>
        <w:spacing w:after="0"/>
        <w:tabs>
          <w:tab w:leader="none" w:pos="772" w:val="left"/>
        </w:tabs>
        <w:numPr>
          <w:ilvl w:val="1"/>
          <w:numId w:val="293"/>
        </w:numPr>
        <w:rPr>
          <w:rFonts w:ascii="Arial" w:cs="Arial" w:eastAsia="Arial" w:hAnsi="Arial"/>
          <w:sz w:val="15"/>
          <w:szCs w:val="15"/>
          <w:color w:val="auto"/>
        </w:rPr>
      </w:pPr>
      <w:r>
        <w:rPr>
          <w:rFonts w:ascii="Arial" w:cs="Arial" w:eastAsia="Arial" w:hAnsi="Arial"/>
          <w:sz w:val="15"/>
          <w:szCs w:val="15"/>
          <w:color w:val="auto"/>
        </w:rPr>
        <w:t>consideration received by the Company under a formal cashless exercise program adopted by the Company in connection with the Plan; or</w:t>
      </w:r>
    </w:p>
    <w:p>
      <w:pPr>
        <w:spacing w:after="0" w:line="188" w:lineRule="exact"/>
        <w:rPr>
          <w:rFonts w:ascii="Arial" w:cs="Arial" w:eastAsia="Arial" w:hAnsi="Arial"/>
          <w:sz w:val="15"/>
          <w:szCs w:val="15"/>
          <w:color w:val="auto"/>
        </w:rPr>
      </w:pPr>
    </w:p>
    <w:p>
      <w:pPr>
        <w:ind w:left="-448" w:right="120" w:firstLine="906"/>
        <w:spacing w:after="0" w:line="263" w:lineRule="auto"/>
        <w:tabs>
          <w:tab w:leader="none" w:pos="793" w:val="left"/>
        </w:tabs>
        <w:numPr>
          <w:ilvl w:val="1"/>
          <w:numId w:val="293"/>
        </w:numPr>
        <w:rPr>
          <w:rFonts w:ascii="Arial" w:cs="Arial" w:eastAsia="Arial" w:hAnsi="Arial"/>
          <w:sz w:val="15"/>
          <w:szCs w:val="15"/>
          <w:color w:val="auto"/>
        </w:rPr>
      </w:pPr>
      <w:r>
        <w:rPr>
          <w:rFonts w:ascii="Arial" w:cs="Arial" w:eastAsia="Arial" w:hAnsi="Arial"/>
          <w:sz w:val="15"/>
          <w:szCs w:val="15"/>
          <w:color w:val="auto"/>
        </w:rPr>
        <w:t>if Participant is a U.S. employee, surrender of other Shares which have a Fair Market Value on the date of surrender equal to the aggregate Exercise Price of the Exercised Shares and that are owned free and clear of any liens, claims, encumbrances, or security interests, provided that accepting such Shares, in the sole discretion of the Administrator, will not result in any adverse accounting consequences to the Company.</w:t>
      </w:r>
    </w:p>
    <w:p>
      <w:pPr>
        <w:spacing w:after="0" w:line="245" w:lineRule="exact"/>
        <w:rPr>
          <w:rFonts w:ascii="Arial" w:cs="Arial" w:eastAsia="Arial" w:hAnsi="Arial"/>
          <w:sz w:val="15"/>
          <w:szCs w:val="15"/>
          <w:color w:val="auto"/>
        </w:rPr>
      </w:pPr>
    </w:p>
    <w:p>
      <w:pPr>
        <w:ind w:left="272" w:hanging="272"/>
        <w:spacing w:after="0"/>
        <w:tabs>
          <w:tab w:leader="none" w:pos="272" w:val="left"/>
        </w:tabs>
        <w:numPr>
          <w:ilvl w:val="0"/>
          <w:numId w:val="293"/>
        </w:numPr>
        <w:rPr>
          <w:rFonts w:ascii="Arial" w:cs="Arial" w:eastAsia="Arial" w:hAnsi="Arial"/>
          <w:sz w:val="15"/>
          <w:szCs w:val="15"/>
          <w:color w:val="auto"/>
        </w:rPr>
      </w:pPr>
      <w:r>
        <w:rPr>
          <w:rFonts w:ascii="Arial" w:cs="Arial" w:eastAsia="Arial" w:hAnsi="Arial"/>
          <w:sz w:val="15"/>
          <w:szCs w:val="15"/>
          <w:u w:val="single" w:color="auto"/>
          <w:color w:val="auto"/>
        </w:rPr>
        <w:t>Tax Obligations</w:t>
      </w:r>
      <w:r>
        <w:rPr>
          <w:rFonts w:ascii="Arial" w:cs="Arial" w:eastAsia="Arial" w:hAnsi="Arial"/>
          <w:sz w:val="15"/>
          <w:szCs w:val="15"/>
          <w:color w:val="auto"/>
        </w:rPr>
        <w:t>.</w:t>
      </w:r>
    </w:p>
    <w:p>
      <w:pPr>
        <w:spacing w:after="0" w:line="98" w:lineRule="exact"/>
        <w:rPr>
          <w:rFonts w:ascii="Arial" w:cs="Arial" w:eastAsia="Arial" w:hAnsi="Arial"/>
          <w:sz w:val="15"/>
          <w:szCs w:val="15"/>
          <w:color w:val="auto"/>
        </w:rPr>
      </w:pPr>
    </w:p>
    <w:p>
      <w:pPr>
        <w:ind w:left="-448" w:right="20" w:firstLine="906"/>
        <w:spacing w:after="0" w:line="297" w:lineRule="auto"/>
        <w:tabs>
          <w:tab w:leader="none" w:pos="785" w:val="left"/>
        </w:tabs>
        <w:numPr>
          <w:ilvl w:val="1"/>
          <w:numId w:val="293"/>
        </w:numPr>
        <w:rPr>
          <w:rFonts w:ascii="Arial" w:cs="Arial" w:eastAsia="Arial" w:hAnsi="Arial"/>
          <w:sz w:val="13"/>
          <w:szCs w:val="13"/>
          <w:color w:val="auto"/>
        </w:rPr>
      </w:pPr>
      <w:r>
        <w:rPr>
          <w:rFonts w:ascii="Arial" w:cs="Arial" w:eastAsia="Arial" w:hAnsi="Arial"/>
          <w:sz w:val="13"/>
          <w:szCs w:val="13"/>
          <w:color w:val="auto"/>
        </w:rPr>
        <w:t>Participant acknowledges that, regardless of any action taken by the Company or, if different, Participant’s employer (the “Employer”) or Parent or Subsidiary to which Participant is providing services (together, the Company, Employer and/or Parent or Subsidiary to which the Participant is providing services, the “Service Recipient”), the ultimate liability for any tax and/or social insurance liability obligations and requirements in connection with the Option, including, without limitation, (i) all federal, state, and local taxes (including the Participant’s Federal Insurance Contributions Act (FICA) obligation) that are required to be withheld by the Company or the Service Recipient or other payment of tax-related items related to Participant’s participation in the Plan and legally applicable to Participant, (ii) the Participant’s and, to the extent required by the Company (or Service Recipient), the Company’s (or Service Recipient’s) fringe benefit tax liability, if any, associated with the grant, vesting, or exercise of the Option or sale of Shares, and (iii) any other Company (or Service Recipient) taxes the responsibility for which the Participant has, or has agreed to bear, with respect to the Option (or exercise thereof or issuance of Shares thereunder) (collectively, the “Tax Obligations”), is and remains Participant’s responsibility and may exceed the amount actually withheld by the Company or the Service Recipient. Participant further acknowledges that the Company and/or the Service Recipient (A) make no representations or undertakings regarding the treatment of any Tax Obligations in connection with any aspect of the</w:t>
      </w:r>
    </w:p>
    <w:p>
      <w:pPr>
        <w:spacing w:after="0" w:line="83" w:lineRule="exact"/>
        <w:rPr>
          <w:rFonts w:ascii="Arial" w:cs="Arial" w:eastAsia="Arial" w:hAnsi="Arial"/>
          <w:sz w:val="13"/>
          <w:szCs w:val="13"/>
          <w:color w:val="auto"/>
        </w:rPr>
      </w:pPr>
    </w:p>
    <w:p>
      <w:pPr>
        <w:ind w:left="5232" w:hanging="91"/>
        <w:spacing w:after="0"/>
        <w:tabs>
          <w:tab w:leader="none" w:pos="5232" w:val="left"/>
        </w:tabs>
        <w:numPr>
          <w:ilvl w:val="2"/>
          <w:numId w:val="293"/>
        </w:numPr>
        <w:rPr>
          <w:rFonts w:ascii="Arial" w:cs="Arial" w:eastAsia="Arial" w:hAnsi="Arial"/>
          <w:sz w:val="15"/>
          <w:szCs w:val="15"/>
          <w:color w:val="auto"/>
        </w:rPr>
      </w:pPr>
      <w:r>
        <w:rPr>
          <w:rFonts w:ascii="Arial" w:cs="Arial" w:eastAsia="Arial" w:hAnsi="Arial"/>
          <w:sz w:val="15"/>
          <w:szCs w:val="15"/>
          <w:color w:val="auto"/>
        </w:rPr>
        <w:t>2 -</w:t>
      </w:r>
    </w:p>
    <w:p>
      <w:pPr>
        <w:sectPr>
          <w:pgSz w:w="11900" w:h="16838" w:orient="portrait"/>
          <w:cols w:equalWidth="0" w:num="1">
            <w:col w:w="10972"/>
          </w:cols>
          <w:pgMar w:left="688" w:top="253" w:right="239" w:bottom="1440" w:gutter="0" w:footer="0" w:header="0"/>
        </w:sectPr>
      </w:pPr>
    </w:p>
    <w:bookmarkStart w:id="365" w:name="page366"/>
    <w:bookmarkEnd w:id="365"/>
    <w:p>
      <w:pPr>
        <w:ind w:left="10" w:right="60"/>
        <w:spacing w:after="0" w:line="277" w:lineRule="auto"/>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133350</wp:posOffset>
            </wp:positionH>
            <wp:positionV relativeFrom="page">
              <wp:posOffset>88900</wp:posOffset>
            </wp:positionV>
            <wp:extent cx="7308850" cy="34290"/>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51">
                      <a:extLst>
                        <a:ext uri="{28A0092B-C50C-407E-A947-70E740481C1C}"/>
                      </a:extLst>
                    </a:blip>
                    <a:srcRect/>
                    <a:stretch>
                      <a:fillRect/>
                    </a:stretch>
                  </pic:blipFill>
                  <pic:spPr bwMode="auto">
                    <a:xfrm>
                      <a:off x="0" y="0"/>
                      <a:ext cx="7308850" cy="34290"/>
                    </a:xfrm>
                    <a:prstGeom prst="rect">
                      <a:avLst/>
                    </a:prstGeom>
                    <a:noFill/>
                  </pic:spPr>
                </pic:pic>
              </a:graphicData>
            </a:graphic>
          </wp:anchor>
        </w:drawing>
        <w:t>Option, including, but not limited to, the grant, vesting or exercise of the Option, the subsequent sale of Shares acquired pursuant to such exercise and the receipt of any dividends or other distributions, and (B) do not commit to and are under no obligation to structure the terms of the grant or any aspect of the Option to reduce or eliminate Participant’s liability for Tax Obligations or achieve any particular tax result. Further, if Participant is subject to Tax Obligations in more than one jurisdiction between the Date of Grant and the date of any relevant taxable or tax withholding event, as applicable, Participant acknowledges that the Company and/or the Service Recipient (or former employer, as applicable) may be required to withhold or account for Tax Obligations in more than one jurisdiction. If Participant fails to make satisfactory arrangements for the payment of any required Tax Obligations hereunder at the time of the applicable taxable event, Participant acknowledges and agrees that the Company may refuse to issue or deliver the Shares.</w:t>
      </w:r>
    </w:p>
    <w:p>
      <w:pPr>
        <w:spacing w:after="0" w:line="148" w:lineRule="exact"/>
        <w:rPr>
          <w:sz w:val="20"/>
          <w:szCs w:val="20"/>
          <w:color w:val="auto"/>
        </w:rPr>
      </w:pPr>
    </w:p>
    <w:p>
      <w:pPr>
        <w:ind w:left="10" w:firstLine="906"/>
        <w:spacing w:after="0" w:line="293" w:lineRule="auto"/>
        <w:tabs>
          <w:tab w:leader="none" w:pos="1251" w:val="left"/>
        </w:tabs>
        <w:numPr>
          <w:ilvl w:val="1"/>
          <w:numId w:val="294"/>
        </w:numPr>
        <w:rPr>
          <w:rFonts w:ascii="Arial" w:cs="Arial" w:eastAsia="Arial" w:hAnsi="Arial"/>
          <w:sz w:val="13"/>
          <w:szCs w:val="13"/>
          <w:color w:val="auto"/>
        </w:rPr>
      </w:pPr>
      <w:r>
        <w:rPr>
          <w:rFonts w:ascii="Arial" w:cs="Arial" w:eastAsia="Arial" w:hAnsi="Arial"/>
          <w:sz w:val="13"/>
          <w:szCs w:val="13"/>
          <w:u w:val="single" w:color="auto"/>
          <w:color w:val="auto"/>
        </w:rPr>
        <w:t>Tax Withholding</w:t>
      </w:r>
      <w:r>
        <w:rPr>
          <w:rFonts w:ascii="Arial" w:cs="Arial" w:eastAsia="Arial" w:hAnsi="Arial"/>
          <w:sz w:val="13"/>
          <w:szCs w:val="13"/>
          <w:color w:val="auto"/>
        </w:rPr>
        <w:t>. When the Option is exercised, Participant generally will recognize immediate U.S. taxable income if Participant is a U.S. taxpayer. If Participant is a non-U.S. taxpayer, Participant will be subject to applicable taxes in his or her jurisdiction. Pursuant to such procedures as the Administrator may specify from time to time, the Company and/or Service Recipient shall withhold the amount required to be withheld for the payment of Tax Obligations. The Administrator, in its sole discretion and pursuant to such procedures as it may specify from time to time, may permit Participant to satisfy such Tax Obligations, in whole or in part (without limitation), if permissible by applicable local law, by (i) paying cash,</w:t>
      </w:r>
    </w:p>
    <w:p>
      <w:pPr>
        <w:spacing w:after="0" w:line="1" w:lineRule="exact"/>
        <w:rPr>
          <w:rFonts w:ascii="Arial" w:cs="Arial" w:eastAsia="Arial" w:hAnsi="Arial"/>
          <w:sz w:val="13"/>
          <w:szCs w:val="13"/>
          <w:color w:val="auto"/>
        </w:rPr>
      </w:pPr>
    </w:p>
    <w:p>
      <w:pPr>
        <w:ind w:left="10" w:right="120" w:hanging="10"/>
        <w:spacing w:after="0" w:line="289" w:lineRule="auto"/>
        <w:tabs>
          <w:tab w:leader="none" w:pos="231" w:val="left"/>
        </w:tabs>
        <w:numPr>
          <w:ilvl w:val="0"/>
          <w:numId w:val="295"/>
        </w:numPr>
        <w:rPr>
          <w:rFonts w:ascii="Arial" w:cs="Arial" w:eastAsia="Arial" w:hAnsi="Arial"/>
          <w:sz w:val="13"/>
          <w:szCs w:val="13"/>
          <w:color w:val="auto"/>
        </w:rPr>
      </w:pPr>
      <w:r>
        <w:rPr>
          <w:rFonts w:ascii="Arial" w:cs="Arial" w:eastAsia="Arial" w:hAnsi="Arial"/>
          <w:sz w:val="13"/>
          <w:szCs w:val="13"/>
          <w:color w:val="auto"/>
        </w:rPr>
        <w:t>electing to have the Company withhold otherwise deliverable Shares having a fair market value equal to the minimum amount that is necessary to meet the withholding requirement for such Tax Obligations (or such greater amount as Participant may elect if permitted by the Administrator, if such greater amount would not result in adverse financial accounting consequences), (iii) withholding the amount of such Tax Obligations from Participant’s wages or other cash compensation paid to Participant by the Company and/or the Service Recipient,</w:t>
      </w:r>
    </w:p>
    <w:p>
      <w:pPr>
        <w:spacing w:after="0" w:line="1" w:lineRule="exact"/>
        <w:rPr>
          <w:rFonts w:ascii="Arial" w:cs="Arial" w:eastAsia="Arial" w:hAnsi="Arial"/>
          <w:sz w:val="13"/>
          <w:szCs w:val="13"/>
          <w:color w:val="auto"/>
        </w:rPr>
      </w:pPr>
    </w:p>
    <w:p>
      <w:pPr>
        <w:ind w:left="10" w:hanging="10"/>
        <w:spacing w:after="0" w:line="252" w:lineRule="auto"/>
        <w:tabs>
          <w:tab w:leader="none" w:pos="264" w:val="left"/>
        </w:tabs>
        <w:numPr>
          <w:ilvl w:val="0"/>
          <w:numId w:val="296"/>
        </w:numPr>
        <w:rPr>
          <w:rFonts w:ascii="Arial" w:cs="Arial" w:eastAsia="Arial" w:hAnsi="Arial"/>
          <w:sz w:val="15"/>
          <w:szCs w:val="15"/>
          <w:color w:val="auto"/>
        </w:rPr>
      </w:pPr>
      <w:r>
        <w:rPr>
          <w:rFonts w:ascii="Arial" w:cs="Arial" w:eastAsia="Arial" w:hAnsi="Arial"/>
          <w:sz w:val="15"/>
          <w:szCs w:val="15"/>
          <w:color w:val="auto"/>
        </w:rPr>
        <w:t>delivering to the Company already vested and owned Shares having a fair market value equal to such Tax Obligations, or (v) selling a sufficient number of such Shares otherwise deliverable to Participant through such means as the Company may determine in its sole discretion (whether through a broker or otherwise) equal to the minimum amount that is necessary to meet the withholding requirement for such Tax Obligations (or such greater amount as Participant may elect if permitted by the Administrator, if such greater amount would not result in adverse financial accounting consequences). To the extent determined appropriate by the Company in its discretion, it will have the right (but not the obligation) to satisfy any Tax Obligations by reducing the number of Shares otherwise deliverable to Participant. Further, if Participant is subject to tax in more than one jurisdiction between the Date of Grant and a date of any relevant taxable or tax withholding event, as applicable, Participant acknowledges and agrees that the Company and/or the Service Recipient (and/or former employer, as applicable) may be required to withhold or account for tax in more than one jurisdiction. If Participant fails to make satisfactory arrangements for the payment of any required Tax Obligations hereunder at the time of the Option exercise, Participant acknowledges and agrees that the Company may refuse to honor the exercise and refuse to deliver the Shares if such amounts are not delivered at the time of exercise.</w:t>
      </w:r>
    </w:p>
    <w:p>
      <w:pPr>
        <w:spacing w:after="0" w:line="165" w:lineRule="exact"/>
        <w:rPr>
          <w:rFonts w:ascii="Arial" w:cs="Arial" w:eastAsia="Arial" w:hAnsi="Arial"/>
          <w:sz w:val="15"/>
          <w:szCs w:val="15"/>
          <w:color w:val="auto"/>
        </w:rPr>
      </w:pPr>
    </w:p>
    <w:p>
      <w:pPr>
        <w:ind w:left="10" w:right="160" w:firstLine="906"/>
        <w:spacing w:after="0" w:line="259" w:lineRule="auto"/>
        <w:tabs>
          <w:tab w:leader="none" w:pos="1243" w:val="left"/>
        </w:tabs>
        <w:numPr>
          <w:ilvl w:val="1"/>
          <w:numId w:val="296"/>
        </w:numPr>
        <w:rPr>
          <w:rFonts w:ascii="Arial" w:cs="Arial" w:eastAsia="Arial" w:hAnsi="Arial"/>
          <w:sz w:val="15"/>
          <w:szCs w:val="15"/>
          <w:color w:val="auto"/>
        </w:rPr>
      </w:pPr>
      <w:r>
        <w:rPr>
          <w:rFonts w:ascii="Arial" w:cs="Arial" w:eastAsia="Arial" w:hAnsi="Arial"/>
          <w:sz w:val="15"/>
          <w:szCs w:val="15"/>
          <w:u w:val="single" w:color="auto"/>
          <w:color w:val="auto"/>
        </w:rPr>
        <w:t>Notice of Disqualifying Disposition of ISO Shares</w:t>
      </w:r>
      <w:r>
        <w:rPr>
          <w:rFonts w:ascii="Arial" w:cs="Arial" w:eastAsia="Arial" w:hAnsi="Arial"/>
          <w:sz w:val="15"/>
          <w:szCs w:val="15"/>
          <w:color w:val="auto"/>
        </w:rPr>
        <w:t>. If the Option granted to Participant herein is an ISO, and if Participant sells or otherwise disposes of any of the Shares acquired pursuant to the ISO on or before the later of (i) the date two (2) years after the Date of Grant, or (ii) the date one (1) year after the date of exercise, Participant will immediately notify the Company in writing of such disposition. Participant agrees that Participant may be subject to income tax withholding by the Company on the compensation income recognized by Participant.</w:t>
      </w:r>
    </w:p>
    <w:p>
      <w:pPr>
        <w:spacing w:after="0" w:line="101" w:lineRule="exact"/>
        <w:rPr>
          <w:rFonts w:ascii="Arial" w:cs="Arial" w:eastAsia="Arial" w:hAnsi="Arial"/>
          <w:sz w:val="15"/>
          <w:szCs w:val="15"/>
          <w:color w:val="auto"/>
        </w:rPr>
      </w:pPr>
    </w:p>
    <w:p>
      <w:pPr>
        <w:ind w:left="5690" w:hanging="91"/>
        <w:spacing w:after="0"/>
        <w:tabs>
          <w:tab w:leader="none" w:pos="5690" w:val="left"/>
        </w:tabs>
        <w:numPr>
          <w:ilvl w:val="2"/>
          <w:numId w:val="296"/>
        </w:numPr>
        <w:rPr>
          <w:rFonts w:ascii="Arial" w:cs="Arial" w:eastAsia="Arial" w:hAnsi="Arial"/>
          <w:sz w:val="15"/>
          <w:szCs w:val="15"/>
          <w:color w:val="auto"/>
        </w:rPr>
      </w:pPr>
      <w:r>
        <w:rPr>
          <w:rFonts w:ascii="Arial" w:cs="Arial" w:eastAsia="Arial" w:hAnsi="Arial"/>
          <w:sz w:val="15"/>
          <w:szCs w:val="15"/>
          <w:color w:val="auto"/>
        </w:rPr>
        <w:t>3 -</w:t>
      </w:r>
    </w:p>
    <w:p>
      <w:pPr>
        <w:sectPr>
          <w:pgSz w:w="11900" w:h="16838" w:orient="portrait"/>
          <w:cols w:equalWidth="0" w:num="1">
            <w:col w:w="11410"/>
          </w:cols>
          <w:pgMar w:left="230" w:top="253" w:right="259" w:bottom="1440" w:gutter="0" w:footer="0" w:header="0"/>
        </w:sectPr>
      </w:pPr>
    </w:p>
    <w:bookmarkStart w:id="366" w:name="page367"/>
    <w:bookmarkEnd w:id="366"/>
    <w:p>
      <w:pPr>
        <w:ind w:right="20" w:firstLine="906"/>
        <w:spacing w:after="0" w:line="275" w:lineRule="auto"/>
        <w:tabs>
          <w:tab w:leader="none" w:pos="1241" w:val="left"/>
        </w:tabs>
        <w:numPr>
          <w:ilvl w:val="1"/>
          <w:numId w:val="297"/>
        </w:numPr>
        <w:rPr>
          <w:rFonts w:ascii="Arial" w:cs="Arial" w:eastAsia="Arial" w:hAnsi="Arial"/>
          <w:sz w:val="14"/>
          <w:szCs w:val="14"/>
          <w:color w:val="auto"/>
        </w:rPr>
      </w:pPr>
      <w:r>
        <w:rPr>
          <w:rFonts w:ascii="Arial" w:cs="Arial" w:eastAsia="Arial" w:hAnsi="Arial"/>
          <w:sz w:val="14"/>
          <w:szCs w:val="14"/>
          <w:u w:val="single" w:color="auto"/>
          <w:color w:val="auto"/>
        </w:rPr>
        <w:drawing>
          <wp:anchor simplePos="0" relativeHeight="251657728" behindDoc="1" locked="0" layoutInCell="0" allowOverlap="1">
            <wp:simplePos x="0" y="0"/>
            <wp:positionH relativeFrom="page">
              <wp:posOffset>133350</wp:posOffset>
            </wp:positionH>
            <wp:positionV relativeFrom="page">
              <wp:posOffset>88900</wp:posOffset>
            </wp:positionV>
            <wp:extent cx="7308850" cy="34290"/>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52">
                      <a:extLst>
                        <a:ext uri="{28A0092B-C50C-407E-A947-70E740481C1C}"/>
                      </a:extLst>
                    </a:blip>
                    <a:srcRect/>
                    <a:stretch>
                      <a:fillRect/>
                    </a:stretch>
                  </pic:blipFill>
                  <pic:spPr bwMode="auto">
                    <a:xfrm>
                      <a:off x="0" y="0"/>
                      <a:ext cx="7308850" cy="34290"/>
                    </a:xfrm>
                    <a:prstGeom prst="rect">
                      <a:avLst/>
                    </a:prstGeom>
                    <a:noFill/>
                  </pic:spPr>
                </pic:pic>
              </a:graphicData>
            </a:graphic>
          </wp:anchor>
        </w:drawing>
        <w:t>Code Section 409A</w:t>
      </w:r>
      <w:r>
        <w:rPr>
          <w:rFonts w:ascii="Arial" w:cs="Arial" w:eastAsia="Arial" w:hAnsi="Arial"/>
          <w:sz w:val="14"/>
          <w:szCs w:val="14"/>
          <w:color w:val="auto"/>
        </w:rPr>
        <w:t>. Under Code Section 409A, a stock right (such as the Option) that vests after December 31, 2004 (or that vested on or prior to such date but which was materially modified after October 3, 2004) that was granted with a per share exercise price that is determined by the Internal Revenue Service (the “IRS”) to be less than the fair market value of an underlying share on the date of grant (a “discount option”) may be considered “deferred compensation.” A stock right that is a “discount option” may result in (i) income recognition by the recipient of the stock right prior to the exercise of the stock right, (ii) an additional twenty percent (20%) federal income tax, and (iii) potential penalty and interest charges. The “discount option” may also result in additional state income, penalty and interest tax to the recipient of the stock right. Participant acknowledges that the Company cannot and has not guaranteed that the IRS will agree that the per Share exercise price of this Option equals or exceeds the fair market value of a Share on the date of grant in a later examination. Participant agrees that if the IRS determines that the Option was granted with a per Share exercise price that was less than the fair market value of a Share on the date of grant, Participant shall be solely responsible for Participant’s costs related to such a determination.</w:t>
      </w:r>
    </w:p>
    <w:p>
      <w:pPr>
        <w:spacing w:after="0" w:line="148" w:lineRule="exact"/>
        <w:rPr>
          <w:rFonts w:ascii="Arial" w:cs="Arial" w:eastAsia="Arial" w:hAnsi="Arial"/>
          <w:sz w:val="14"/>
          <w:szCs w:val="14"/>
          <w:color w:val="auto"/>
        </w:rPr>
      </w:pPr>
    </w:p>
    <w:p>
      <w:pPr>
        <w:ind w:right="180" w:firstLine="448"/>
        <w:spacing w:after="0" w:line="311" w:lineRule="auto"/>
        <w:tabs>
          <w:tab w:leader="none" w:pos="721" w:val="left"/>
        </w:tabs>
        <w:numPr>
          <w:ilvl w:val="0"/>
          <w:numId w:val="298"/>
        </w:numPr>
        <w:rPr>
          <w:rFonts w:ascii="Arial" w:cs="Arial" w:eastAsia="Arial" w:hAnsi="Arial"/>
          <w:sz w:val="13"/>
          <w:szCs w:val="13"/>
          <w:color w:val="auto"/>
        </w:rPr>
      </w:pPr>
      <w:r>
        <w:rPr>
          <w:rFonts w:ascii="Arial" w:cs="Arial" w:eastAsia="Arial" w:hAnsi="Arial"/>
          <w:sz w:val="13"/>
          <w:szCs w:val="13"/>
          <w:u w:val="single" w:color="auto"/>
          <w:color w:val="auto"/>
        </w:rPr>
        <w:t>Rights as Stockholder</w:t>
      </w:r>
      <w:r>
        <w:rPr>
          <w:rFonts w:ascii="Arial" w:cs="Arial" w:eastAsia="Arial" w:hAnsi="Arial"/>
          <w:sz w:val="13"/>
          <w:szCs w:val="13"/>
          <w:color w:val="auto"/>
        </w:rPr>
        <w:t>. Neither Participant nor any person claiming under or through Participant will have any of the rights or privileges of a stockholder of the Company in respect of any Shares deliverable hereunder unless and until certificates representing such Shares (which may be in book entry form) will have been issued, recorded on the records of the Company or its transfer agents or registrars, and delivered to Participant (including through electronic delivery to a brokerage account). After such issuance, recordation, and delivery, Participant will have all the rights of a stockholder of the Company with respect to voting such Shares and receipt of dividends and distributions on such Shares.</w:t>
      </w:r>
    </w:p>
    <w:p>
      <w:pPr>
        <w:spacing w:after="0" w:line="127" w:lineRule="exact"/>
        <w:rPr>
          <w:rFonts w:ascii="Arial" w:cs="Arial" w:eastAsia="Arial" w:hAnsi="Arial"/>
          <w:sz w:val="13"/>
          <w:szCs w:val="13"/>
          <w:color w:val="auto"/>
        </w:rPr>
      </w:pPr>
    </w:p>
    <w:p>
      <w:pPr>
        <w:jc w:val="both"/>
        <w:ind w:right="20" w:firstLine="448"/>
        <w:spacing w:after="0" w:line="273" w:lineRule="auto"/>
        <w:tabs>
          <w:tab w:leader="none" w:pos="721" w:val="left"/>
        </w:tabs>
        <w:numPr>
          <w:ilvl w:val="0"/>
          <w:numId w:val="298"/>
        </w:numPr>
        <w:rPr>
          <w:rFonts w:ascii="Arial" w:cs="Arial" w:eastAsia="Arial" w:hAnsi="Arial"/>
          <w:sz w:val="14"/>
          <w:szCs w:val="14"/>
          <w:color w:val="auto"/>
        </w:rPr>
      </w:pPr>
      <w:r>
        <w:rPr>
          <w:rFonts w:ascii="Arial" w:cs="Arial" w:eastAsia="Arial" w:hAnsi="Arial"/>
          <w:sz w:val="14"/>
          <w:szCs w:val="14"/>
          <w:u w:val="single" w:color="auto"/>
          <w:color w:val="auto"/>
        </w:rPr>
        <w:t>No Guarantee of Continued Service</w:t>
      </w:r>
      <w:r>
        <w:rPr>
          <w:rFonts w:ascii="Arial" w:cs="Arial" w:eastAsia="Arial" w:hAnsi="Arial"/>
          <w:sz w:val="14"/>
          <w:szCs w:val="14"/>
          <w:color w:val="auto"/>
        </w:rPr>
        <w:t>. PARTICIPANT ACKNOWLEDGES AND AGREES THAT THE VESTING OF SHARES PURSUANT TO THE VESTING SCHEDULE HEREOF IS EARNED ONLY BY CONTINUING AS A SERVICE PROVIDER, WHICH UNLESS PROVIDED OTHERWISE UNDER APPLICABLE LAW IS AT THE WILL OF THE COMPANY (OR THE SERVICE RECIPIENT) AND NOT THROUGH THE ACT OF BEING HIRED, BEING GRANTED THIS OPTION OR ACQUIRING SHARES HEREUNDER.</w:t>
      </w:r>
    </w:p>
    <w:p>
      <w:pPr>
        <w:spacing w:after="0" w:line="1" w:lineRule="exact"/>
        <w:rPr>
          <w:rFonts w:ascii="Arial" w:cs="Arial" w:eastAsia="Arial" w:hAnsi="Arial"/>
          <w:sz w:val="14"/>
          <w:szCs w:val="14"/>
          <w:color w:val="auto"/>
        </w:rPr>
      </w:pPr>
    </w:p>
    <w:p>
      <w:pPr>
        <w:spacing w:after="0" w:line="253" w:lineRule="auto"/>
        <w:rPr>
          <w:rFonts w:ascii="Arial" w:cs="Arial" w:eastAsia="Arial" w:hAnsi="Arial"/>
          <w:sz w:val="14"/>
          <w:szCs w:val="14"/>
          <w:color w:val="auto"/>
        </w:rPr>
      </w:pPr>
      <w:r>
        <w:rPr>
          <w:rFonts w:ascii="Arial" w:cs="Arial" w:eastAsia="Arial" w:hAnsi="Arial"/>
          <w:sz w:val="15"/>
          <w:szCs w:val="15"/>
          <w:color w:val="auto"/>
        </w:rPr>
        <w:t>PARTICIPANT FURTHER ACKNOWLEDGES AND AGREES THAT THIS OPTION AGREEMENT, THE TRANSACTIONS CONTEMPLATED HEREUNDER AND THE VESTING SCHEDULE SET FORTH HEREIN DO NOT CONSTITUTE AN EXPRESS OR IMPLIED PROMISE OF CONTINUED ENGAGEMENT AS A SERVICE PROVIDER FOR THE VESTING PERIOD, FOR ANY PERIOD, OR AT ALL, AND WILL NOT INTERFERE IN ANY WAY WITH PARTICIPANT’S RIGHT OR THE RIGHT OF THE COMPANY (OR THE SERVICE RECIPIENT) TO TERMINATE PARTICIPANT’S RELATIONSHIP AS A SERVICE PROVIDER, SUBJECT TO APPLICABLE LAW, WHICH TERMINATION, UNLESS PROVIDED OTHERWISE UNDER APPLICABLE LAW, MAY BE AT ANY TIME, WITH OR WITHOUT CAUSE.</w:t>
      </w:r>
    </w:p>
    <w:p>
      <w:pPr>
        <w:spacing w:after="0" w:line="107" w:lineRule="exact"/>
        <w:rPr>
          <w:rFonts w:ascii="Arial" w:cs="Arial" w:eastAsia="Arial" w:hAnsi="Arial"/>
          <w:sz w:val="14"/>
          <w:szCs w:val="14"/>
          <w:color w:val="auto"/>
        </w:rPr>
      </w:pPr>
    </w:p>
    <w:p>
      <w:pPr>
        <w:ind w:left="5680" w:hanging="91"/>
        <w:spacing w:after="0"/>
        <w:tabs>
          <w:tab w:leader="none" w:pos="5680" w:val="left"/>
        </w:tabs>
        <w:numPr>
          <w:ilvl w:val="2"/>
          <w:numId w:val="298"/>
        </w:numPr>
        <w:rPr>
          <w:rFonts w:ascii="Arial" w:cs="Arial" w:eastAsia="Arial" w:hAnsi="Arial"/>
          <w:sz w:val="15"/>
          <w:szCs w:val="15"/>
          <w:color w:val="auto"/>
        </w:rPr>
      </w:pPr>
      <w:r>
        <w:rPr>
          <w:rFonts w:ascii="Arial" w:cs="Arial" w:eastAsia="Arial" w:hAnsi="Arial"/>
          <w:sz w:val="15"/>
          <w:szCs w:val="15"/>
          <w:color w:val="auto"/>
        </w:rPr>
        <w:t>4 -</w:t>
      </w:r>
    </w:p>
    <w:p>
      <w:pPr>
        <w:sectPr>
          <w:pgSz w:w="11900" w:h="16838" w:orient="portrait"/>
          <w:cols w:equalWidth="0" w:num="1">
            <w:col w:w="11360"/>
          </w:cols>
          <w:pgMar w:left="240" w:top="253" w:right="299" w:bottom="1440" w:gutter="0" w:footer="0" w:header="0"/>
        </w:sectPr>
      </w:pPr>
    </w:p>
    <w:bookmarkStart w:id="367" w:name="page368"/>
    <w:bookmarkEnd w:id="367"/>
    <w:p>
      <w:pPr>
        <w:ind w:left="272" w:hanging="272"/>
        <w:spacing w:after="0"/>
        <w:tabs>
          <w:tab w:leader="none" w:pos="272" w:val="left"/>
        </w:tabs>
        <w:numPr>
          <w:ilvl w:val="0"/>
          <w:numId w:val="299"/>
        </w:numPr>
        <w:rPr>
          <w:rFonts w:ascii="Arial" w:cs="Arial" w:eastAsia="Arial" w:hAnsi="Arial"/>
          <w:sz w:val="15"/>
          <w:szCs w:val="15"/>
          <w:color w:val="auto"/>
        </w:rPr>
      </w:pPr>
      <w:r>
        <w:rPr>
          <w:rFonts w:ascii="Arial" w:cs="Arial" w:eastAsia="Arial" w:hAnsi="Arial"/>
          <w:sz w:val="15"/>
          <w:szCs w:val="15"/>
          <w:u w:val="single" w:color="auto"/>
          <w:color w:val="auto"/>
        </w:rPr>
        <w:drawing>
          <wp:anchor simplePos="0" relativeHeight="251657728" behindDoc="1" locked="0" layoutInCell="0" allowOverlap="1">
            <wp:simplePos x="0" y="0"/>
            <wp:positionH relativeFrom="page">
              <wp:posOffset>133350</wp:posOffset>
            </wp:positionH>
            <wp:positionV relativeFrom="page">
              <wp:posOffset>88900</wp:posOffset>
            </wp:positionV>
            <wp:extent cx="7308850" cy="34290"/>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53">
                      <a:extLst>
                        <a:ext uri="{28A0092B-C50C-407E-A947-70E740481C1C}"/>
                      </a:extLst>
                    </a:blip>
                    <a:srcRect/>
                    <a:stretch>
                      <a:fillRect/>
                    </a:stretch>
                  </pic:blipFill>
                  <pic:spPr bwMode="auto">
                    <a:xfrm>
                      <a:off x="0" y="0"/>
                      <a:ext cx="7308850" cy="34290"/>
                    </a:xfrm>
                    <a:prstGeom prst="rect">
                      <a:avLst/>
                    </a:prstGeom>
                    <a:noFill/>
                  </pic:spPr>
                </pic:pic>
              </a:graphicData>
            </a:graphic>
          </wp:anchor>
        </w:drawing>
        <w:t>Nature of Grant</w:t>
      </w:r>
      <w:r>
        <w:rPr>
          <w:rFonts w:ascii="Arial" w:cs="Arial" w:eastAsia="Arial" w:hAnsi="Arial"/>
          <w:sz w:val="15"/>
          <w:szCs w:val="15"/>
          <w:color w:val="auto"/>
        </w:rPr>
        <w:t>. In accepting the Option, Participant acknowledges, understands and agrees that:</w:t>
      </w:r>
    </w:p>
    <w:p>
      <w:pPr>
        <w:spacing w:after="0" w:line="188" w:lineRule="exact"/>
        <w:rPr>
          <w:rFonts w:ascii="Arial" w:cs="Arial" w:eastAsia="Arial" w:hAnsi="Arial"/>
          <w:sz w:val="15"/>
          <w:szCs w:val="15"/>
          <w:color w:val="auto"/>
        </w:rPr>
      </w:pPr>
    </w:p>
    <w:p>
      <w:pPr>
        <w:ind w:left="-448" w:right="300" w:firstLine="906"/>
        <w:spacing w:after="0" w:line="275" w:lineRule="auto"/>
        <w:tabs>
          <w:tab w:leader="none" w:pos="785" w:val="left"/>
        </w:tabs>
        <w:numPr>
          <w:ilvl w:val="1"/>
          <w:numId w:val="299"/>
        </w:numPr>
        <w:rPr>
          <w:rFonts w:ascii="Arial" w:cs="Arial" w:eastAsia="Arial" w:hAnsi="Arial"/>
          <w:sz w:val="15"/>
          <w:szCs w:val="15"/>
          <w:color w:val="auto"/>
        </w:rPr>
      </w:pPr>
      <w:r>
        <w:rPr>
          <w:rFonts w:ascii="Arial" w:cs="Arial" w:eastAsia="Arial" w:hAnsi="Arial"/>
          <w:sz w:val="15"/>
          <w:szCs w:val="15"/>
          <w:color w:val="auto"/>
        </w:rPr>
        <w:t>the grant of the Option is voluntary and occasional and does not create any contractual or other right to receive future grants of options, or benefits in lieu of options, even if options have been granted in the past;</w:t>
      </w:r>
    </w:p>
    <w:p>
      <w:pPr>
        <w:spacing w:after="0" w:line="146" w:lineRule="exact"/>
        <w:rPr>
          <w:rFonts w:ascii="Arial" w:cs="Arial" w:eastAsia="Arial" w:hAnsi="Arial"/>
          <w:sz w:val="15"/>
          <w:szCs w:val="15"/>
          <w:color w:val="auto"/>
        </w:rPr>
      </w:pPr>
    </w:p>
    <w:p>
      <w:pPr>
        <w:ind w:left="792" w:hanging="334"/>
        <w:spacing w:after="0"/>
        <w:tabs>
          <w:tab w:leader="none" w:pos="792" w:val="left"/>
        </w:tabs>
        <w:numPr>
          <w:ilvl w:val="1"/>
          <w:numId w:val="299"/>
        </w:numPr>
        <w:rPr>
          <w:rFonts w:ascii="Arial" w:cs="Arial" w:eastAsia="Arial" w:hAnsi="Arial"/>
          <w:sz w:val="15"/>
          <w:szCs w:val="15"/>
          <w:color w:val="auto"/>
        </w:rPr>
      </w:pPr>
      <w:r>
        <w:rPr>
          <w:rFonts w:ascii="Arial" w:cs="Arial" w:eastAsia="Arial" w:hAnsi="Arial"/>
          <w:sz w:val="15"/>
          <w:szCs w:val="15"/>
          <w:color w:val="auto"/>
        </w:rPr>
        <w:t>all decisions with respect to future option or other grants, if any, will be at the sole discretion of the Company;</w:t>
      </w:r>
    </w:p>
    <w:p>
      <w:pPr>
        <w:spacing w:after="0" w:line="188" w:lineRule="exact"/>
        <w:rPr>
          <w:rFonts w:ascii="Arial" w:cs="Arial" w:eastAsia="Arial" w:hAnsi="Arial"/>
          <w:sz w:val="15"/>
          <w:szCs w:val="15"/>
          <w:color w:val="auto"/>
        </w:rPr>
      </w:pPr>
    </w:p>
    <w:p>
      <w:pPr>
        <w:ind w:left="772" w:hanging="314"/>
        <w:spacing w:after="0"/>
        <w:tabs>
          <w:tab w:leader="none" w:pos="772" w:val="left"/>
        </w:tabs>
        <w:numPr>
          <w:ilvl w:val="1"/>
          <w:numId w:val="299"/>
        </w:numPr>
        <w:rPr>
          <w:rFonts w:ascii="Arial" w:cs="Arial" w:eastAsia="Arial" w:hAnsi="Arial"/>
          <w:sz w:val="15"/>
          <w:szCs w:val="15"/>
          <w:color w:val="auto"/>
        </w:rPr>
      </w:pPr>
      <w:r>
        <w:rPr>
          <w:rFonts w:ascii="Arial" w:cs="Arial" w:eastAsia="Arial" w:hAnsi="Arial"/>
          <w:sz w:val="15"/>
          <w:szCs w:val="15"/>
          <w:color w:val="auto"/>
        </w:rPr>
        <w:t>Participant is voluntarily participating in the Plan;</w:t>
      </w:r>
    </w:p>
    <w:p>
      <w:pPr>
        <w:spacing w:after="0" w:line="188" w:lineRule="exact"/>
        <w:rPr>
          <w:rFonts w:ascii="Arial" w:cs="Arial" w:eastAsia="Arial" w:hAnsi="Arial"/>
          <w:sz w:val="15"/>
          <w:szCs w:val="15"/>
          <w:color w:val="auto"/>
        </w:rPr>
      </w:pPr>
    </w:p>
    <w:p>
      <w:pPr>
        <w:ind w:left="792" w:hanging="334"/>
        <w:spacing w:after="0"/>
        <w:tabs>
          <w:tab w:leader="none" w:pos="792" w:val="left"/>
        </w:tabs>
        <w:numPr>
          <w:ilvl w:val="1"/>
          <w:numId w:val="299"/>
        </w:numPr>
        <w:rPr>
          <w:rFonts w:ascii="Arial" w:cs="Arial" w:eastAsia="Arial" w:hAnsi="Arial"/>
          <w:sz w:val="15"/>
          <w:szCs w:val="15"/>
          <w:color w:val="auto"/>
        </w:rPr>
      </w:pPr>
      <w:r>
        <w:rPr>
          <w:rFonts w:ascii="Arial" w:cs="Arial" w:eastAsia="Arial" w:hAnsi="Arial"/>
          <w:sz w:val="15"/>
          <w:szCs w:val="15"/>
          <w:color w:val="auto"/>
        </w:rPr>
        <w:t>the Option and any Shares acquired under the Plan are not intended to replace any pension rights or compensation;</w:t>
      </w:r>
    </w:p>
    <w:p>
      <w:pPr>
        <w:spacing w:after="0" w:line="188" w:lineRule="exact"/>
        <w:rPr>
          <w:rFonts w:ascii="Arial" w:cs="Arial" w:eastAsia="Arial" w:hAnsi="Arial"/>
          <w:sz w:val="15"/>
          <w:szCs w:val="15"/>
          <w:color w:val="auto"/>
        </w:rPr>
      </w:pPr>
    </w:p>
    <w:p>
      <w:pPr>
        <w:ind w:left="-448" w:right="440" w:firstLine="906"/>
        <w:spacing w:after="0" w:line="354" w:lineRule="auto"/>
        <w:tabs>
          <w:tab w:leader="none" w:pos="785" w:val="left"/>
        </w:tabs>
        <w:numPr>
          <w:ilvl w:val="1"/>
          <w:numId w:val="299"/>
        </w:numPr>
        <w:rPr>
          <w:rFonts w:ascii="Arial" w:cs="Arial" w:eastAsia="Arial" w:hAnsi="Arial"/>
          <w:sz w:val="13"/>
          <w:szCs w:val="13"/>
          <w:color w:val="auto"/>
        </w:rPr>
      </w:pPr>
      <w:r>
        <w:rPr>
          <w:rFonts w:ascii="Arial" w:cs="Arial" w:eastAsia="Arial" w:hAnsi="Arial"/>
          <w:sz w:val="13"/>
          <w:szCs w:val="13"/>
          <w:color w:val="auto"/>
        </w:rPr>
        <w:t>the Option and Shares acquired under the Plan and the income and value of same, are not part of normal or expected compensation for purposes of calculating any severance, resignation, termination, redundancy, dismissal, end-of-service payments, bonuses, long-service awards, pension or retirement or welfare benefits or similar payments;</w:t>
      </w:r>
    </w:p>
    <w:p>
      <w:pPr>
        <w:spacing w:after="0" w:line="100" w:lineRule="exact"/>
        <w:rPr>
          <w:rFonts w:ascii="Arial" w:cs="Arial" w:eastAsia="Arial" w:hAnsi="Arial"/>
          <w:sz w:val="13"/>
          <w:szCs w:val="13"/>
          <w:color w:val="auto"/>
        </w:rPr>
      </w:pPr>
    </w:p>
    <w:p>
      <w:pPr>
        <w:ind w:left="752" w:hanging="294"/>
        <w:spacing w:after="0"/>
        <w:tabs>
          <w:tab w:leader="none" w:pos="752" w:val="left"/>
        </w:tabs>
        <w:numPr>
          <w:ilvl w:val="1"/>
          <w:numId w:val="299"/>
        </w:numPr>
        <w:rPr>
          <w:rFonts w:ascii="Arial" w:cs="Arial" w:eastAsia="Arial" w:hAnsi="Arial"/>
          <w:sz w:val="15"/>
          <w:szCs w:val="15"/>
          <w:color w:val="auto"/>
        </w:rPr>
      </w:pPr>
      <w:r>
        <w:rPr>
          <w:rFonts w:ascii="Arial" w:cs="Arial" w:eastAsia="Arial" w:hAnsi="Arial"/>
          <w:sz w:val="15"/>
          <w:szCs w:val="15"/>
          <w:color w:val="auto"/>
        </w:rPr>
        <w:t>the future value of the Shares underlying the Option is unknown, indeterminable, and cannot be predicted with certainty;</w:t>
      </w:r>
    </w:p>
    <w:p>
      <w:pPr>
        <w:spacing w:after="0" w:line="188" w:lineRule="exact"/>
        <w:rPr>
          <w:rFonts w:ascii="Arial" w:cs="Arial" w:eastAsia="Arial" w:hAnsi="Arial"/>
          <w:sz w:val="15"/>
          <w:szCs w:val="15"/>
          <w:color w:val="auto"/>
        </w:rPr>
      </w:pPr>
    </w:p>
    <w:p>
      <w:pPr>
        <w:ind w:left="792" w:hanging="334"/>
        <w:spacing w:after="0"/>
        <w:tabs>
          <w:tab w:leader="none" w:pos="792" w:val="left"/>
        </w:tabs>
        <w:numPr>
          <w:ilvl w:val="1"/>
          <w:numId w:val="299"/>
        </w:numPr>
        <w:rPr>
          <w:rFonts w:ascii="Arial" w:cs="Arial" w:eastAsia="Arial" w:hAnsi="Arial"/>
          <w:sz w:val="15"/>
          <w:szCs w:val="15"/>
          <w:color w:val="auto"/>
        </w:rPr>
      </w:pPr>
      <w:r>
        <w:rPr>
          <w:rFonts w:ascii="Arial" w:cs="Arial" w:eastAsia="Arial" w:hAnsi="Arial"/>
          <w:sz w:val="15"/>
          <w:szCs w:val="15"/>
          <w:color w:val="auto"/>
        </w:rPr>
        <w:t>if the underlying Shares do not increase in value, the Option will have no value;</w:t>
      </w:r>
    </w:p>
    <w:p>
      <w:pPr>
        <w:spacing w:after="0" w:line="188" w:lineRule="exact"/>
        <w:rPr>
          <w:rFonts w:ascii="Arial" w:cs="Arial" w:eastAsia="Arial" w:hAnsi="Arial"/>
          <w:sz w:val="15"/>
          <w:szCs w:val="15"/>
          <w:color w:val="auto"/>
        </w:rPr>
      </w:pPr>
    </w:p>
    <w:p>
      <w:pPr>
        <w:ind w:left="792" w:hanging="334"/>
        <w:spacing w:after="0"/>
        <w:tabs>
          <w:tab w:leader="none" w:pos="792" w:val="left"/>
        </w:tabs>
        <w:numPr>
          <w:ilvl w:val="1"/>
          <w:numId w:val="299"/>
        </w:numPr>
        <w:rPr>
          <w:rFonts w:ascii="Arial" w:cs="Arial" w:eastAsia="Arial" w:hAnsi="Arial"/>
          <w:sz w:val="15"/>
          <w:szCs w:val="15"/>
          <w:color w:val="auto"/>
        </w:rPr>
      </w:pPr>
      <w:r>
        <w:rPr>
          <w:rFonts w:ascii="Arial" w:cs="Arial" w:eastAsia="Arial" w:hAnsi="Arial"/>
          <w:sz w:val="15"/>
          <w:szCs w:val="15"/>
          <w:color w:val="auto"/>
        </w:rPr>
        <w:t>if Participant exercises the Option and acquires Shares, the value of such Shares may increase or decrease in value, even below the Exercise Price;</w:t>
      </w:r>
    </w:p>
    <w:p>
      <w:pPr>
        <w:spacing w:after="0" w:line="188" w:lineRule="exact"/>
        <w:rPr>
          <w:rFonts w:ascii="Arial" w:cs="Arial" w:eastAsia="Arial" w:hAnsi="Arial"/>
          <w:sz w:val="15"/>
          <w:szCs w:val="15"/>
          <w:color w:val="auto"/>
        </w:rPr>
      </w:pPr>
    </w:p>
    <w:p>
      <w:pPr>
        <w:ind w:left="-448" w:firstLine="906"/>
        <w:spacing w:after="0" w:line="253" w:lineRule="auto"/>
        <w:tabs>
          <w:tab w:leader="none" w:pos="760" w:val="left"/>
        </w:tabs>
        <w:numPr>
          <w:ilvl w:val="1"/>
          <w:numId w:val="299"/>
        </w:numPr>
        <w:rPr>
          <w:rFonts w:ascii="Arial" w:cs="Arial" w:eastAsia="Arial" w:hAnsi="Arial"/>
          <w:sz w:val="15"/>
          <w:szCs w:val="15"/>
          <w:color w:val="auto"/>
        </w:rPr>
      </w:pPr>
      <w:r>
        <w:rPr>
          <w:rFonts w:ascii="Arial" w:cs="Arial" w:eastAsia="Arial" w:hAnsi="Arial"/>
          <w:sz w:val="15"/>
          <w:szCs w:val="15"/>
          <w:color w:val="auto"/>
        </w:rPr>
        <w:t>for purposes of the Option, Participant’s engagement as a Service Provider will be considered terminated as of the date Participant is no longer actively providing services to the Company or any Parent or Subsidiary (regardless of the reason for such termination and whether or not later found to be invalid or in breach of employment laws in the jurisdiction where Participant is a Service Provider or the terms of Participant’s employment or service agreement, if any), and unless otherwise expressly provided in this Option Agreement (including by reference in the Notice of Grant to other arrangements or contracts) or determined by the Administrator, (i) Participant’s right to vest in the Option under the Plan, if any, will terminate as of such date and will not be extended by any notice period (</w:t>
      </w:r>
      <w:r>
        <w:rPr>
          <w:rFonts w:ascii="Arial" w:cs="Arial" w:eastAsia="Arial" w:hAnsi="Arial"/>
          <w:sz w:val="15"/>
          <w:szCs w:val="15"/>
          <w:i w:val="1"/>
          <w:iCs w:val="1"/>
          <w:color w:val="auto"/>
        </w:rPr>
        <w:t>e.g</w:t>
      </w:r>
      <w:r>
        <w:rPr>
          <w:rFonts w:ascii="Arial" w:cs="Arial" w:eastAsia="Arial" w:hAnsi="Arial"/>
          <w:sz w:val="15"/>
          <w:szCs w:val="15"/>
          <w:color w:val="auto"/>
        </w:rPr>
        <w:t>., Participant’s period of service would not include any contractual notice period or any period of “garden leave” or similar period mandated under employment laws in the jurisdiction where Participant is a Service Provider or Participant’s employment or service agreement, if any, unless Participant is providing bona fide services during such time); and (ii) the period (if any) during which Participant may exercise the Option after such termination of Participant’s engagement as a Service Provider will commence on the date Participant ceases to actively provide services and will not be extended by any notice period mandated under employment laws in the jurisdiction where Participant is employed or terms of Participant’s engagement agreement, if any; the Administrator shall have the exclusive discretion to determine when Participant is no longer actively providing services for purposes of his or her Option grant (including whether Participant may still be considered to be providing services while on a leave of absence and consistent with local law);</w:t>
      </w:r>
    </w:p>
    <w:p>
      <w:pPr>
        <w:spacing w:after="0" w:line="108" w:lineRule="exact"/>
        <w:rPr>
          <w:rFonts w:ascii="Arial" w:cs="Arial" w:eastAsia="Arial" w:hAnsi="Arial"/>
          <w:sz w:val="15"/>
          <w:szCs w:val="15"/>
          <w:color w:val="auto"/>
        </w:rPr>
      </w:pPr>
    </w:p>
    <w:p>
      <w:pPr>
        <w:ind w:left="5232" w:hanging="91"/>
        <w:spacing w:after="0"/>
        <w:tabs>
          <w:tab w:leader="none" w:pos="5232" w:val="left"/>
        </w:tabs>
        <w:numPr>
          <w:ilvl w:val="2"/>
          <w:numId w:val="299"/>
        </w:numPr>
        <w:rPr>
          <w:rFonts w:ascii="Arial" w:cs="Arial" w:eastAsia="Arial" w:hAnsi="Arial"/>
          <w:sz w:val="15"/>
          <w:szCs w:val="15"/>
          <w:color w:val="auto"/>
        </w:rPr>
      </w:pPr>
      <w:r>
        <w:rPr>
          <w:rFonts w:ascii="Arial" w:cs="Arial" w:eastAsia="Arial" w:hAnsi="Arial"/>
          <w:sz w:val="15"/>
          <w:szCs w:val="15"/>
          <w:color w:val="auto"/>
        </w:rPr>
        <w:t>5 -</w:t>
      </w:r>
    </w:p>
    <w:p>
      <w:pPr>
        <w:sectPr>
          <w:pgSz w:w="11900" w:h="16838" w:orient="portrait"/>
          <w:cols w:equalWidth="0" w:num="1">
            <w:col w:w="10992"/>
          </w:cols>
          <w:pgMar w:left="688" w:top="253" w:right="219" w:bottom="1440" w:gutter="0" w:footer="0" w:header="0"/>
        </w:sectPr>
      </w:pPr>
    </w:p>
    <w:bookmarkStart w:id="368" w:name="page369"/>
    <w:bookmarkEnd w:id="368"/>
    <w:p>
      <w:pPr>
        <w:ind w:left="-448" w:right="60" w:firstLine="906"/>
        <w:spacing w:after="0" w:line="263" w:lineRule="auto"/>
        <w:tabs>
          <w:tab w:leader="none" w:pos="760" w:val="left"/>
        </w:tabs>
        <w:numPr>
          <w:ilvl w:val="0"/>
          <w:numId w:val="300"/>
        </w:numPr>
        <w:rPr>
          <w:rFonts w:ascii="Arial" w:cs="Arial" w:eastAsia="Arial" w:hAnsi="Arial"/>
          <w:sz w:val="15"/>
          <w:szCs w:val="15"/>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133350</wp:posOffset>
            </wp:positionH>
            <wp:positionV relativeFrom="page">
              <wp:posOffset>88900</wp:posOffset>
            </wp:positionV>
            <wp:extent cx="7308850" cy="34290"/>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54">
                      <a:extLst>
                        <a:ext uri="{28A0092B-C50C-407E-A947-70E740481C1C}"/>
                      </a:extLst>
                    </a:blip>
                    <a:srcRect/>
                    <a:stretch>
                      <a:fillRect/>
                    </a:stretch>
                  </pic:blipFill>
                  <pic:spPr bwMode="auto">
                    <a:xfrm>
                      <a:off x="0" y="0"/>
                      <a:ext cx="7308850" cy="34290"/>
                    </a:xfrm>
                    <a:prstGeom prst="rect">
                      <a:avLst/>
                    </a:prstGeom>
                    <a:noFill/>
                  </pic:spPr>
                </pic:pic>
              </a:graphicData>
            </a:graphic>
          </wp:anchor>
        </w:drawing>
        <w:t>unless otherwise provided in the Plan or by the Company in its discretion, the Option and the benefits evidenced by this Option Agreement do not create any entitlement to have the Option or any such benefits transferred to, or assumed by, another company nor to be exchanged, cashed out or substituted for, in connection with any corporate transaction affecting the Shares; and</w:t>
      </w:r>
    </w:p>
    <w:p>
      <w:pPr>
        <w:spacing w:after="0" w:line="154" w:lineRule="exact"/>
        <w:rPr>
          <w:rFonts w:ascii="Arial" w:cs="Arial" w:eastAsia="Arial" w:hAnsi="Arial"/>
          <w:sz w:val="15"/>
          <w:szCs w:val="15"/>
          <w:color w:val="auto"/>
        </w:rPr>
      </w:pPr>
    </w:p>
    <w:p>
      <w:pPr>
        <w:ind w:left="792" w:hanging="334"/>
        <w:spacing w:after="0"/>
        <w:tabs>
          <w:tab w:leader="none" w:pos="792" w:val="left"/>
        </w:tabs>
        <w:numPr>
          <w:ilvl w:val="0"/>
          <w:numId w:val="300"/>
        </w:numPr>
        <w:rPr>
          <w:rFonts w:ascii="Arial" w:cs="Arial" w:eastAsia="Arial" w:hAnsi="Arial"/>
          <w:sz w:val="15"/>
          <w:szCs w:val="15"/>
          <w:color w:val="auto"/>
        </w:rPr>
      </w:pPr>
      <w:r>
        <w:rPr>
          <w:rFonts w:ascii="Arial" w:cs="Arial" w:eastAsia="Arial" w:hAnsi="Arial"/>
          <w:sz w:val="15"/>
          <w:szCs w:val="15"/>
          <w:color w:val="auto"/>
        </w:rPr>
        <w:t>the following provisions apply only if Participant is providing services outside the United States:</w:t>
      </w:r>
    </w:p>
    <w:p>
      <w:pPr>
        <w:spacing w:after="0" w:line="98" w:lineRule="exact"/>
        <w:rPr>
          <w:sz w:val="20"/>
          <w:szCs w:val="20"/>
          <w:color w:val="auto"/>
        </w:rPr>
      </w:pPr>
    </w:p>
    <w:p>
      <w:pPr>
        <w:ind w:left="872"/>
        <w:spacing w:after="0"/>
        <w:rPr>
          <w:sz w:val="20"/>
          <w:szCs w:val="20"/>
          <w:color w:val="auto"/>
        </w:rPr>
      </w:pPr>
      <w:r>
        <w:rPr>
          <w:rFonts w:ascii="Arial" w:cs="Arial" w:eastAsia="Arial" w:hAnsi="Arial"/>
          <w:sz w:val="15"/>
          <w:szCs w:val="15"/>
          <w:color w:val="auto"/>
        </w:rPr>
        <w:t>the Option and the Shares subject to the Option are not part of normal or expected compensation or salary for any purpose;</w:t>
      </w:r>
    </w:p>
    <w:p>
      <w:pPr>
        <w:spacing w:after="0" w:line="98" w:lineRule="exact"/>
        <w:rPr>
          <w:sz w:val="20"/>
          <w:szCs w:val="20"/>
          <w:color w:val="auto"/>
        </w:rPr>
      </w:pPr>
    </w:p>
    <w:p>
      <w:pPr>
        <w:ind w:left="452" w:right="360" w:firstLine="421"/>
        <w:spacing w:after="0" w:line="263" w:lineRule="auto"/>
        <w:rPr>
          <w:sz w:val="20"/>
          <w:szCs w:val="20"/>
          <w:color w:val="auto"/>
        </w:rPr>
      </w:pPr>
      <w:r>
        <w:rPr>
          <w:rFonts w:ascii="Arial" w:cs="Arial" w:eastAsia="Arial" w:hAnsi="Arial"/>
          <w:sz w:val="15"/>
          <w:szCs w:val="15"/>
          <w:color w:val="auto"/>
        </w:rPr>
        <w:t>Participant acknowledges and agrees that none of the Company, the Service Recipient, or any Parent or Subsidiary shall be liable for any foreign exchange rate fluctuation between Participant’s local currency and the United States Dollar that may affect the value of the Option or of any amounts due to Participant pursuant to the exercise of the Option or the subsequent sale of any Shares acquired upon exercise; and</w:t>
      </w:r>
    </w:p>
    <w:p>
      <w:pPr>
        <w:spacing w:after="0" w:line="65" w:lineRule="exact"/>
        <w:rPr>
          <w:sz w:val="20"/>
          <w:szCs w:val="20"/>
          <w:color w:val="auto"/>
        </w:rPr>
      </w:pPr>
    </w:p>
    <w:p>
      <w:pPr>
        <w:ind w:left="452" w:firstLine="421"/>
        <w:spacing w:after="0" w:line="276" w:lineRule="auto"/>
        <w:rPr>
          <w:sz w:val="20"/>
          <w:szCs w:val="20"/>
          <w:color w:val="auto"/>
        </w:rPr>
      </w:pPr>
      <w:r>
        <w:rPr>
          <w:rFonts w:ascii="Arial" w:cs="Arial" w:eastAsia="Arial" w:hAnsi="Arial"/>
          <w:sz w:val="14"/>
          <w:szCs w:val="14"/>
          <w:color w:val="auto"/>
        </w:rPr>
        <w:t>no claim or entitlement to compensation or damages shall arise from forfeiture of the Option resulting from the termination of Participant’s engagement as a Service Provider (for any reason whatsoever, whether or not later found to be invalid or in breach of employment laws in the jurisdiction where Participant is a Service Provider or the terms of Participant’s employment or service agreement, if any), and in consideration of the grant of the Option to which Participant is otherwise not entitled, Participant irrevocably agrees never to institute any claim against the Company, any Parent, any Subsidiary or the Service Recipient, waives his or her ability, if any, to bring any such claim, and releases the Company, any Parent or Subsidiary and the Service Recipient from any such claim; if, notwithstanding the foregoing, any such claim is allowed by a court of competent jurisdiction, then, by participating in the Plan, Participant shall be deemed irrevocably to have agreed not to pursue such claim and agrees to execute any and all documents necessary to request dismissal or withdrawal of such claim.</w:t>
      </w:r>
    </w:p>
    <w:p>
      <w:pPr>
        <w:spacing w:after="0" w:line="148" w:lineRule="exact"/>
        <w:rPr>
          <w:sz w:val="20"/>
          <w:szCs w:val="20"/>
          <w:color w:val="auto"/>
        </w:rPr>
      </w:pPr>
    </w:p>
    <w:p>
      <w:pPr>
        <w:ind w:left="-448" w:right="200" w:firstLine="448"/>
        <w:spacing w:after="0" w:line="263" w:lineRule="auto"/>
        <w:tabs>
          <w:tab w:leader="none" w:pos="348" w:val="left"/>
        </w:tabs>
        <w:numPr>
          <w:ilvl w:val="0"/>
          <w:numId w:val="301"/>
        </w:numPr>
        <w:rPr>
          <w:rFonts w:ascii="Arial" w:cs="Arial" w:eastAsia="Arial" w:hAnsi="Arial"/>
          <w:sz w:val="15"/>
          <w:szCs w:val="15"/>
          <w:color w:val="auto"/>
        </w:rPr>
      </w:pPr>
      <w:r>
        <w:rPr>
          <w:rFonts w:ascii="Arial" w:cs="Arial" w:eastAsia="Arial" w:hAnsi="Arial"/>
          <w:sz w:val="15"/>
          <w:szCs w:val="15"/>
          <w:u w:val="single" w:color="auto"/>
          <w:color w:val="auto"/>
        </w:rPr>
        <w:t>No Advice Regarding Grant</w:t>
      </w:r>
      <w:r>
        <w:rPr>
          <w:rFonts w:ascii="Arial" w:cs="Arial" w:eastAsia="Arial" w:hAnsi="Arial"/>
          <w:sz w:val="15"/>
          <w:szCs w:val="15"/>
          <w:color w:val="auto"/>
        </w:rPr>
        <w:t>. The Company is not providing any tax, legal or financial advice, nor is the Company making any recommendations regarding Participant’s participation in the Plan, or Participant’s acquisition or sale of the underlying Shares. Participant is hereby advised to consult with his or her own personal tax, legal and financial advisors regarding his or her participation in the Plan before taking any action related to the Plan.</w:t>
      </w:r>
    </w:p>
    <w:p>
      <w:pPr>
        <w:spacing w:after="0" w:line="98" w:lineRule="exact"/>
        <w:rPr>
          <w:rFonts w:ascii="Arial" w:cs="Arial" w:eastAsia="Arial" w:hAnsi="Arial"/>
          <w:sz w:val="15"/>
          <w:szCs w:val="15"/>
          <w:color w:val="auto"/>
        </w:rPr>
      </w:pPr>
    </w:p>
    <w:p>
      <w:pPr>
        <w:ind w:left="5232" w:hanging="91"/>
        <w:spacing w:after="0"/>
        <w:tabs>
          <w:tab w:leader="none" w:pos="5232" w:val="left"/>
        </w:tabs>
        <w:numPr>
          <w:ilvl w:val="1"/>
          <w:numId w:val="301"/>
        </w:numPr>
        <w:rPr>
          <w:rFonts w:ascii="Arial" w:cs="Arial" w:eastAsia="Arial" w:hAnsi="Arial"/>
          <w:sz w:val="15"/>
          <w:szCs w:val="15"/>
          <w:color w:val="auto"/>
        </w:rPr>
      </w:pPr>
      <w:r>
        <w:rPr>
          <w:rFonts w:ascii="Arial" w:cs="Arial" w:eastAsia="Arial" w:hAnsi="Arial"/>
          <w:sz w:val="15"/>
          <w:szCs w:val="15"/>
          <w:color w:val="auto"/>
        </w:rPr>
        <w:t>6 -</w:t>
      </w:r>
    </w:p>
    <w:p>
      <w:pPr>
        <w:sectPr>
          <w:pgSz w:w="11900" w:h="16838" w:orient="portrait"/>
          <w:cols w:equalWidth="0" w:num="1">
            <w:col w:w="10952"/>
          </w:cols>
          <w:pgMar w:left="688" w:top="253" w:right="259" w:bottom="1440" w:gutter="0" w:footer="0" w:header="0"/>
        </w:sectPr>
      </w:pPr>
    </w:p>
    <w:bookmarkStart w:id="369" w:name="page370"/>
    <w:bookmarkEnd w:id="369"/>
    <w:p>
      <w:pPr>
        <w:ind w:right="260" w:firstLine="448"/>
        <w:spacing w:after="0" w:line="293" w:lineRule="auto"/>
        <w:tabs>
          <w:tab w:leader="none" w:pos="790" w:val="left"/>
        </w:tabs>
        <w:numPr>
          <w:ilvl w:val="0"/>
          <w:numId w:val="302"/>
        </w:numPr>
        <w:rPr>
          <w:rFonts w:ascii="Arial" w:cs="Arial" w:eastAsia="Arial" w:hAnsi="Arial"/>
          <w:sz w:val="14"/>
          <w:szCs w:val="14"/>
          <w:color w:val="auto"/>
        </w:rPr>
      </w:pPr>
      <w:r>
        <w:rPr>
          <w:rFonts w:ascii="Arial" w:cs="Arial" w:eastAsia="Arial" w:hAnsi="Arial"/>
          <w:sz w:val="14"/>
          <w:szCs w:val="14"/>
          <w:b w:val="1"/>
          <w:bCs w:val="1"/>
          <w:u w:val="single" w:color="auto"/>
          <w:color w:val="auto"/>
        </w:rPr>
        <w:drawing>
          <wp:anchor simplePos="0" relativeHeight="251657728" behindDoc="1" locked="0" layoutInCell="0" allowOverlap="1">
            <wp:simplePos x="0" y="0"/>
            <wp:positionH relativeFrom="page">
              <wp:posOffset>133350</wp:posOffset>
            </wp:positionH>
            <wp:positionV relativeFrom="page">
              <wp:posOffset>88900</wp:posOffset>
            </wp:positionV>
            <wp:extent cx="7308850" cy="34290"/>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55">
                      <a:extLst>
                        <a:ext uri="{28A0092B-C50C-407E-A947-70E740481C1C}"/>
                      </a:extLst>
                    </a:blip>
                    <a:srcRect/>
                    <a:stretch>
                      <a:fillRect/>
                    </a:stretch>
                  </pic:blipFill>
                  <pic:spPr bwMode="auto">
                    <a:xfrm>
                      <a:off x="0" y="0"/>
                      <a:ext cx="7308850" cy="34290"/>
                    </a:xfrm>
                    <a:prstGeom prst="rect">
                      <a:avLst/>
                    </a:prstGeom>
                    <a:noFill/>
                  </pic:spPr>
                </pic:pic>
              </a:graphicData>
            </a:graphic>
          </wp:anchor>
        </w:drawing>
        <w:t>Data Privacy</w:t>
      </w:r>
      <w:r>
        <w:rPr>
          <w:rFonts w:ascii="Arial" w:cs="Arial" w:eastAsia="Arial" w:hAnsi="Arial"/>
          <w:sz w:val="14"/>
          <w:szCs w:val="14"/>
          <w:color w:val="auto"/>
        </w:rPr>
        <w:t>.</w:t>
      </w:r>
      <w:r>
        <w:rPr>
          <w:rFonts w:ascii="Arial" w:cs="Arial" w:eastAsia="Arial" w:hAnsi="Arial"/>
          <w:sz w:val="14"/>
          <w:szCs w:val="14"/>
          <w:b w:val="1"/>
          <w:bCs w:val="1"/>
          <w:color w:val="auto"/>
        </w:rPr>
        <w:t xml:space="preserve"> </w:t>
      </w:r>
      <w:r>
        <w:rPr>
          <w:rFonts w:ascii="Arial" w:cs="Arial" w:eastAsia="Arial" w:hAnsi="Arial"/>
          <w:sz w:val="14"/>
          <w:szCs w:val="14"/>
          <w:b w:val="1"/>
          <w:bCs w:val="1"/>
          <w:i w:val="1"/>
          <w:iCs w:val="1"/>
          <w:color w:val="auto"/>
        </w:rPr>
        <w:t>Participant hereby explicitly and unambiguously consents to the collection, use and transfer, in electronic or other form, of Participant’s personal data as</w:t>
      </w:r>
      <w:r>
        <w:rPr>
          <w:rFonts w:ascii="Arial" w:cs="Arial" w:eastAsia="Arial" w:hAnsi="Arial"/>
          <w:sz w:val="14"/>
          <w:szCs w:val="14"/>
          <w:b w:val="1"/>
          <w:bCs w:val="1"/>
          <w:color w:val="auto"/>
        </w:rPr>
        <w:t xml:space="preserve"> </w:t>
      </w:r>
      <w:r>
        <w:rPr>
          <w:rFonts w:ascii="Arial" w:cs="Arial" w:eastAsia="Arial" w:hAnsi="Arial"/>
          <w:sz w:val="14"/>
          <w:szCs w:val="14"/>
          <w:b w:val="1"/>
          <w:bCs w:val="1"/>
          <w:i w:val="1"/>
          <w:iCs w:val="1"/>
          <w:color w:val="auto"/>
        </w:rPr>
        <w:t>described in this Option Agreement and any other Option grant materials by and among, as applicable, the Employer or other Service Recipient, the Company and any Parent or Subsidiary for the exclusive purpose of implementing, administering and managing Participant’s participation in the Plan.</w:t>
      </w:r>
    </w:p>
    <w:p>
      <w:pPr>
        <w:spacing w:after="0" w:line="136" w:lineRule="exact"/>
        <w:rPr>
          <w:sz w:val="20"/>
          <w:szCs w:val="20"/>
          <w:color w:val="auto"/>
        </w:rPr>
      </w:pPr>
    </w:p>
    <w:p>
      <w:pPr>
        <w:ind w:right="200" w:firstLine="458"/>
        <w:spacing w:after="0" w:line="259" w:lineRule="auto"/>
        <w:rPr>
          <w:sz w:val="20"/>
          <w:szCs w:val="20"/>
          <w:color w:val="auto"/>
        </w:rPr>
      </w:pPr>
      <w:r>
        <w:rPr>
          <w:rFonts w:ascii="Arial" w:cs="Arial" w:eastAsia="Arial" w:hAnsi="Arial"/>
          <w:sz w:val="15"/>
          <w:szCs w:val="15"/>
          <w:b w:val="1"/>
          <w:bCs w:val="1"/>
          <w:i w:val="1"/>
          <w:iCs w:val="1"/>
          <w:color w:val="auto"/>
        </w:rPr>
        <w:t>Participant understands that the Company and the Employer may hold certain personal information about Participant, including, but not limited to, Participant’s name, home address and telephone number, date of birth, social insurance number or other identification number, salary, nationality, job title, any Shares or directorships held in the Company, details of all Options or any other entitlement to Shares awarded, canceled, exercised, vested, unvested or outstanding in Participant’s favor (“Data”), for the exclusive purpose of implementing, administering and managing the Plan.</w:t>
      </w:r>
    </w:p>
    <w:p>
      <w:pPr>
        <w:spacing w:after="0" w:line="158" w:lineRule="exact"/>
        <w:rPr>
          <w:sz w:val="20"/>
          <w:szCs w:val="20"/>
          <w:color w:val="auto"/>
        </w:rPr>
      </w:pPr>
    </w:p>
    <w:p>
      <w:pPr>
        <w:ind w:firstLine="458"/>
        <w:spacing w:after="0" w:line="294" w:lineRule="auto"/>
        <w:rPr>
          <w:sz w:val="20"/>
          <w:szCs w:val="20"/>
          <w:color w:val="auto"/>
        </w:rPr>
      </w:pPr>
      <w:r>
        <w:rPr>
          <w:rFonts w:ascii="Arial" w:cs="Arial" w:eastAsia="Arial" w:hAnsi="Arial"/>
          <w:sz w:val="13"/>
          <w:szCs w:val="13"/>
          <w:b w:val="1"/>
          <w:bCs w:val="1"/>
          <w:i w:val="1"/>
          <w:iCs w:val="1"/>
          <w:color w:val="auto"/>
        </w:rPr>
        <w:t>Participant understands that Data will be transferred to a stock plan service provider as may be selected by the Company in the future, which is assisting the Company with the implementation, administration, and management of the Plan. Participant understands that the recipients of the Data may be located in the United States or elsewhere, and that the recipient’s country of operation (e.g., the United States) may have different data privacy laws and protections than Participant’s country. Participant understands that if he or she resides outside the United States, he or she may request a list with the names and addresses of any potential recipients of the Data by contacting his or her local human resources representative. Participant authorizes the Company and any other possible recipients which may assist the Company (presently or in the future) with implementing, administering and managing the Plan to receive, possess, use, retain and transfer the Data, in electronic or other form, for the sole purposes of implementing, administering and managing Participant’s participation in the Plan. Participant understands that Data will be held only as long as is necessary to implement, administer and manage Participant’s participation in the Plan. Participant understands that if he or she resides outside the United States, he or she may, at any time, view Data, request additional information about the storage and processing of Data, require any necessary amendments to Data or refuse or withdraw the consents herein, in any case without cost, by contacting in writing his or her local human resources representative. Further, Participant understands that he or she is providing the consents herein on a purely voluntary basis. If Participant does not consent, or if Participant later seeks to revoke his or her consent, his or her engagement as a Service Provider and career with the Employer will not be adversely affected; the only adverse consequence of refusing or withdrawing Participant’s consent is that the Company would not be able to grant Participant Options or other equity awards or administer or maintain such awards. Therefore, Participant understands that refusing or withdrawing his or her consent may affect Participant’s ability to participate in the Plan. For more information on the consequences of Participant’s refusal to consent or withdrawal of consent, Participant understands that he or she may contact his or her local human resources representative.</w:t>
      </w:r>
    </w:p>
    <w:p>
      <w:pPr>
        <w:spacing w:after="0" w:line="143" w:lineRule="exact"/>
        <w:rPr>
          <w:sz w:val="20"/>
          <w:szCs w:val="20"/>
          <w:color w:val="auto"/>
        </w:rPr>
      </w:pPr>
    </w:p>
    <w:p>
      <w:pPr>
        <w:ind w:right="80" w:firstLine="448"/>
        <w:spacing w:after="0" w:line="275" w:lineRule="auto"/>
        <w:tabs>
          <w:tab w:leader="none" w:pos="796" w:val="left"/>
        </w:tabs>
        <w:numPr>
          <w:ilvl w:val="0"/>
          <w:numId w:val="303"/>
        </w:numPr>
        <w:rPr>
          <w:rFonts w:ascii="Arial" w:cs="Arial" w:eastAsia="Arial" w:hAnsi="Arial"/>
          <w:sz w:val="15"/>
          <w:szCs w:val="15"/>
          <w:color w:val="auto"/>
        </w:rPr>
      </w:pPr>
      <w:r>
        <w:rPr>
          <w:rFonts w:ascii="Arial" w:cs="Arial" w:eastAsia="Arial" w:hAnsi="Arial"/>
          <w:sz w:val="15"/>
          <w:szCs w:val="15"/>
          <w:u w:val="single" w:color="auto"/>
          <w:color w:val="auto"/>
        </w:rPr>
        <w:t>Address for Notices</w:t>
      </w:r>
      <w:r>
        <w:rPr>
          <w:rFonts w:ascii="Arial" w:cs="Arial" w:eastAsia="Arial" w:hAnsi="Arial"/>
          <w:sz w:val="15"/>
          <w:szCs w:val="15"/>
          <w:color w:val="auto"/>
        </w:rPr>
        <w:t>. Any notice to be given to the Company under the terms of this Option Agreement will be addressed to the Company at Dropbox, Inc., 333 Brannan Street, San Francisco, CA 94107, or at such other address as the Company may hereafter designate in writing.</w:t>
      </w:r>
    </w:p>
    <w:p>
      <w:pPr>
        <w:spacing w:after="0" w:line="89" w:lineRule="exact"/>
        <w:rPr>
          <w:rFonts w:ascii="Arial" w:cs="Arial" w:eastAsia="Arial" w:hAnsi="Arial"/>
          <w:sz w:val="15"/>
          <w:szCs w:val="15"/>
          <w:color w:val="auto"/>
        </w:rPr>
      </w:pPr>
    </w:p>
    <w:p>
      <w:pPr>
        <w:ind w:left="5680" w:hanging="91"/>
        <w:spacing w:after="0"/>
        <w:tabs>
          <w:tab w:leader="none" w:pos="5680" w:val="left"/>
        </w:tabs>
        <w:numPr>
          <w:ilvl w:val="1"/>
          <w:numId w:val="303"/>
        </w:numPr>
        <w:rPr>
          <w:rFonts w:ascii="Arial" w:cs="Arial" w:eastAsia="Arial" w:hAnsi="Arial"/>
          <w:sz w:val="15"/>
          <w:szCs w:val="15"/>
          <w:color w:val="auto"/>
        </w:rPr>
      </w:pPr>
      <w:r>
        <w:rPr>
          <w:rFonts w:ascii="Arial" w:cs="Arial" w:eastAsia="Arial" w:hAnsi="Arial"/>
          <w:sz w:val="15"/>
          <w:szCs w:val="15"/>
          <w:color w:val="auto"/>
        </w:rPr>
        <w:t>7 -</w:t>
      </w:r>
    </w:p>
    <w:p>
      <w:pPr>
        <w:sectPr>
          <w:pgSz w:w="11900" w:h="16838" w:orient="portrait"/>
          <w:cols w:equalWidth="0" w:num="1">
            <w:col w:w="11440"/>
          </w:cols>
          <w:pgMar w:left="240" w:top="249" w:right="219" w:bottom="1440" w:gutter="0" w:footer="0" w:header="0"/>
        </w:sectPr>
      </w:pPr>
    </w:p>
    <w:bookmarkStart w:id="370" w:name="page371"/>
    <w:bookmarkEnd w:id="370"/>
    <w:p>
      <w:pPr>
        <w:ind w:left="-448" w:right="160" w:firstLine="448"/>
        <w:spacing w:after="0" w:line="275" w:lineRule="auto"/>
        <w:tabs>
          <w:tab w:leader="none" w:pos="348" w:val="left"/>
        </w:tabs>
        <w:numPr>
          <w:ilvl w:val="0"/>
          <w:numId w:val="304"/>
        </w:numPr>
        <w:rPr>
          <w:rFonts w:ascii="Arial" w:cs="Arial" w:eastAsia="Arial" w:hAnsi="Arial"/>
          <w:sz w:val="15"/>
          <w:szCs w:val="15"/>
          <w:color w:val="auto"/>
        </w:rPr>
      </w:pPr>
      <w:r>
        <w:rPr>
          <w:rFonts w:ascii="Arial" w:cs="Arial" w:eastAsia="Arial" w:hAnsi="Arial"/>
          <w:sz w:val="15"/>
          <w:szCs w:val="15"/>
          <w:u w:val="single" w:color="auto"/>
          <w:color w:val="auto"/>
        </w:rPr>
        <w:drawing>
          <wp:anchor simplePos="0" relativeHeight="251657728" behindDoc="1" locked="0" layoutInCell="0" allowOverlap="1">
            <wp:simplePos x="0" y="0"/>
            <wp:positionH relativeFrom="page">
              <wp:posOffset>133350</wp:posOffset>
            </wp:positionH>
            <wp:positionV relativeFrom="page">
              <wp:posOffset>88900</wp:posOffset>
            </wp:positionV>
            <wp:extent cx="7308850" cy="34290"/>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56">
                      <a:extLst>
                        <a:ext uri="{28A0092B-C50C-407E-A947-70E740481C1C}"/>
                      </a:extLst>
                    </a:blip>
                    <a:srcRect/>
                    <a:stretch>
                      <a:fillRect/>
                    </a:stretch>
                  </pic:blipFill>
                  <pic:spPr bwMode="auto">
                    <a:xfrm>
                      <a:off x="0" y="0"/>
                      <a:ext cx="7308850" cy="34290"/>
                    </a:xfrm>
                    <a:prstGeom prst="rect">
                      <a:avLst/>
                    </a:prstGeom>
                    <a:noFill/>
                  </pic:spPr>
                </pic:pic>
              </a:graphicData>
            </a:graphic>
          </wp:anchor>
        </w:drawing>
        <w:t>Non-Transferability of Option</w:t>
      </w:r>
      <w:r>
        <w:rPr>
          <w:rFonts w:ascii="Arial" w:cs="Arial" w:eastAsia="Arial" w:hAnsi="Arial"/>
          <w:sz w:val="15"/>
          <w:szCs w:val="15"/>
          <w:color w:val="auto"/>
        </w:rPr>
        <w:t>. This Option may not be transferred in any manner otherwise than by will or by the laws of descent or distribution and may be exercised during the lifetime of Participant only by Participant.</w:t>
      </w:r>
    </w:p>
    <w:p>
      <w:pPr>
        <w:spacing w:after="0" w:line="146" w:lineRule="exact"/>
        <w:rPr>
          <w:rFonts w:ascii="Arial" w:cs="Arial" w:eastAsia="Arial" w:hAnsi="Arial"/>
          <w:sz w:val="15"/>
          <w:szCs w:val="15"/>
          <w:color w:val="auto"/>
        </w:rPr>
      </w:pPr>
    </w:p>
    <w:p>
      <w:pPr>
        <w:ind w:left="-448" w:firstLine="448"/>
        <w:spacing w:after="0" w:line="322" w:lineRule="auto"/>
        <w:tabs>
          <w:tab w:leader="none" w:pos="348" w:val="left"/>
        </w:tabs>
        <w:numPr>
          <w:ilvl w:val="0"/>
          <w:numId w:val="304"/>
        </w:numPr>
        <w:rPr>
          <w:rFonts w:ascii="Arial" w:cs="Arial" w:eastAsia="Arial" w:hAnsi="Arial"/>
          <w:sz w:val="13"/>
          <w:szCs w:val="13"/>
          <w:color w:val="auto"/>
        </w:rPr>
      </w:pPr>
      <w:r>
        <w:rPr>
          <w:rFonts w:ascii="Arial" w:cs="Arial" w:eastAsia="Arial" w:hAnsi="Arial"/>
          <w:sz w:val="13"/>
          <w:szCs w:val="13"/>
          <w:u w:val="single" w:color="auto"/>
          <w:color w:val="auto"/>
        </w:rPr>
        <w:t>Successors and Assigns</w:t>
      </w:r>
      <w:r>
        <w:rPr>
          <w:rFonts w:ascii="Arial" w:cs="Arial" w:eastAsia="Arial" w:hAnsi="Arial"/>
          <w:sz w:val="13"/>
          <w:szCs w:val="13"/>
          <w:color w:val="auto"/>
        </w:rPr>
        <w:t>. The Company may assign any of its rights under this Option Agreement to single or multiple assignees, and this Option Agreement shall inure to the benefit of the successors and assigns of the Company. Subject to the restrictions on transfer herein set forth, this Option Agreement shall be binding upon Participant and his or her heirs, executors, administrators, successors and assigns. The rights and obligations of Participant under this Option Agreement may only be assigned with the prior written consent of the Company.</w:t>
      </w:r>
    </w:p>
    <w:p>
      <w:pPr>
        <w:spacing w:after="0" w:line="120" w:lineRule="exact"/>
        <w:rPr>
          <w:rFonts w:ascii="Arial" w:cs="Arial" w:eastAsia="Arial" w:hAnsi="Arial"/>
          <w:sz w:val="13"/>
          <w:szCs w:val="13"/>
          <w:color w:val="auto"/>
        </w:rPr>
      </w:pPr>
    </w:p>
    <w:p>
      <w:pPr>
        <w:ind w:left="-448" w:firstLine="448"/>
        <w:spacing w:after="0" w:line="300" w:lineRule="auto"/>
        <w:tabs>
          <w:tab w:leader="none" w:pos="348" w:val="left"/>
        </w:tabs>
        <w:numPr>
          <w:ilvl w:val="0"/>
          <w:numId w:val="304"/>
        </w:numPr>
        <w:rPr>
          <w:rFonts w:ascii="Arial" w:cs="Arial" w:eastAsia="Arial" w:hAnsi="Arial"/>
          <w:sz w:val="13"/>
          <w:szCs w:val="13"/>
          <w:color w:val="auto"/>
        </w:rPr>
      </w:pPr>
      <w:r>
        <w:rPr>
          <w:rFonts w:ascii="Arial" w:cs="Arial" w:eastAsia="Arial" w:hAnsi="Arial"/>
          <w:sz w:val="13"/>
          <w:szCs w:val="13"/>
          <w:u w:val="single" w:color="auto"/>
          <w:color w:val="auto"/>
        </w:rPr>
        <w:t>Additional Conditions to Issuance of Stock</w:t>
      </w:r>
      <w:r>
        <w:rPr>
          <w:rFonts w:ascii="Arial" w:cs="Arial" w:eastAsia="Arial" w:hAnsi="Arial"/>
          <w:sz w:val="13"/>
          <w:szCs w:val="13"/>
          <w:color w:val="auto"/>
        </w:rPr>
        <w:t>. If at any time the Company will determine, in its discretion, that the listing, registration, qualification or rule compliance of the Shares upon any securities exchange or under any state, federal or non-U.S. law, the tax code and related regulations or under the rulings or regulations of the United States Securities and Exchange Commission or any other governmental regulatory body or the clearance, consent or approval of the United States Securities and Exchange Commission or any other governmental regulatory authority is necessary or desirable as a condition to the purchase by, or issuance of Shares, to Participant (or his or her estate) hereunder, such purchase or issuance will not occur unless and until such listing, registration, qualification, rule compliance, clearance, consent or approval will have been completed, effected or obtained free of any conditions not acceptable to the Company. Subject to the terms of the Option Agreement and the Plan, the Company shall not be required to issue any certificate or certificates for Shares hereunder prior to the lapse of such reasonable period of time following the date of exercise of the Option as the Administrator may establish from time to time for reasons of administrative convenience.</w:t>
      </w:r>
    </w:p>
    <w:p>
      <w:pPr>
        <w:spacing w:after="0" w:line="135" w:lineRule="exact"/>
        <w:rPr>
          <w:rFonts w:ascii="Arial" w:cs="Arial" w:eastAsia="Arial" w:hAnsi="Arial"/>
          <w:sz w:val="13"/>
          <w:szCs w:val="13"/>
          <w:color w:val="auto"/>
        </w:rPr>
      </w:pPr>
    </w:p>
    <w:p>
      <w:pPr>
        <w:ind w:left="-448" w:right="200" w:firstLine="448"/>
        <w:spacing w:after="0" w:line="275" w:lineRule="auto"/>
        <w:tabs>
          <w:tab w:leader="none" w:pos="348" w:val="left"/>
        </w:tabs>
        <w:numPr>
          <w:ilvl w:val="0"/>
          <w:numId w:val="304"/>
        </w:numPr>
        <w:rPr>
          <w:rFonts w:ascii="Arial" w:cs="Arial" w:eastAsia="Arial" w:hAnsi="Arial"/>
          <w:sz w:val="15"/>
          <w:szCs w:val="15"/>
          <w:color w:val="auto"/>
        </w:rPr>
      </w:pPr>
      <w:r>
        <w:rPr>
          <w:rFonts w:ascii="Arial" w:cs="Arial" w:eastAsia="Arial" w:hAnsi="Arial"/>
          <w:sz w:val="15"/>
          <w:szCs w:val="15"/>
          <w:u w:val="single" w:color="auto"/>
          <w:color w:val="auto"/>
        </w:rPr>
        <w:t>Language</w:t>
      </w:r>
      <w:r>
        <w:rPr>
          <w:rFonts w:ascii="Arial" w:cs="Arial" w:eastAsia="Arial" w:hAnsi="Arial"/>
          <w:sz w:val="15"/>
          <w:szCs w:val="15"/>
          <w:color w:val="auto"/>
        </w:rPr>
        <w:t>. If Participant has received this Option Agreement or any other document related to the Plan translated into a language other than English and if the meaning of the translated version is different than the English version, the English version will control.</w:t>
      </w:r>
    </w:p>
    <w:p>
      <w:pPr>
        <w:spacing w:after="0" w:line="146" w:lineRule="exact"/>
        <w:rPr>
          <w:rFonts w:ascii="Arial" w:cs="Arial" w:eastAsia="Arial" w:hAnsi="Arial"/>
          <w:sz w:val="15"/>
          <w:szCs w:val="15"/>
          <w:color w:val="auto"/>
        </w:rPr>
      </w:pPr>
    </w:p>
    <w:p>
      <w:pPr>
        <w:ind w:left="-448" w:right="20" w:firstLine="448"/>
        <w:spacing w:after="0" w:line="257" w:lineRule="auto"/>
        <w:tabs>
          <w:tab w:leader="none" w:pos="348" w:val="left"/>
        </w:tabs>
        <w:numPr>
          <w:ilvl w:val="0"/>
          <w:numId w:val="304"/>
        </w:numPr>
        <w:rPr>
          <w:rFonts w:ascii="Arial" w:cs="Arial" w:eastAsia="Arial" w:hAnsi="Arial"/>
          <w:sz w:val="15"/>
          <w:szCs w:val="15"/>
          <w:color w:val="auto"/>
        </w:rPr>
      </w:pPr>
      <w:r>
        <w:rPr>
          <w:rFonts w:ascii="Arial" w:cs="Arial" w:eastAsia="Arial" w:hAnsi="Arial"/>
          <w:sz w:val="15"/>
          <w:szCs w:val="15"/>
          <w:u w:val="single" w:color="auto"/>
          <w:color w:val="auto"/>
        </w:rPr>
        <w:t>Interpretation</w:t>
      </w:r>
      <w:r>
        <w:rPr>
          <w:rFonts w:ascii="Arial" w:cs="Arial" w:eastAsia="Arial" w:hAnsi="Arial"/>
          <w:sz w:val="15"/>
          <w:szCs w:val="15"/>
          <w:color w:val="auto"/>
        </w:rPr>
        <w:t>. The Administrator will have the power to interpret the Plan and this Option Agreement and to adopt such rules for the administration, interpretation and application of the Plan as are consistent therewith and to interpret or revoke any such rules (including, but not limited to, the determination of whether or not any Shares subject to the Option have vested). All actions taken and all interpretations and determinations made by the Administrator in good faith will be final and binding upon Participant, the Company and all other interested persons. Neither the Administrator nor any person acting on behalf of the Administrator will be personally liable for any action, determination, or interpretation made in good faith with respect to the Plan or this Option Agreement.</w:t>
      </w:r>
    </w:p>
    <w:p>
      <w:pPr>
        <w:spacing w:after="0" w:line="159" w:lineRule="exact"/>
        <w:rPr>
          <w:rFonts w:ascii="Arial" w:cs="Arial" w:eastAsia="Arial" w:hAnsi="Arial"/>
          <w:sz w:val="15"/>
          <w:szCs w:val="15"/>
          <w:color w:val="auto"/>
        </w:rPr>
      </w:pPr>
    </w:p>
    <w:p>
      <w:pPr>
        <w:ind w:left="-448" w:right="180" w:firstLine="448"/>
        <w:spacing w:after="0" w:line="275" w:lineRule="auto"/>
        <w:tabs>
          <w:tab w:leader="none" w:pos="348" w:val="left"/>
        </w:tabs>
        <w:numPr>
          <w:ilvl w:val="0"/>
          <w:numId w:val="304"/>
        </w:numPr>
        <w:rPr>
          <w:rFonts w:ascii="Arial" w:cs="Arial" w:eastAsia="Arial" w:hAnsi="Arial"/>
          <w:sz w:val="15"/>
          <w:szCs w:val="15"/>
          <w:color w:val="auto"/>
        </w:rPr>
      </w:pPr>
      <w:r>
        <w:rPr>
          <w:rFonts w:ascii="Arial" w:cs="Arial" w:eastAsia="Arial" w:hAnsi="Arial"/>
          <w:sz w:val="15"/>
          <w:szCs w:val="15"/>
          <w:u w:val="single" w:color="auto"/>
          <w:color w:val="auto"/>
        </w:rPr>
        <w:t>Electronic Delivery and Acceptance</w:t>
      </w:r>
      <w:r>
        <w:rPr>
          <w:rFonts w:ascii="Arial" w:cs="Arial" w:eastAsia="Arial" w:hAnsi="Arial"/>
          <w:sz w:val="15"/>
          <w:szCs w:val="15"/>
          <w:color w:val="auto"/>
        </w:rPr>
        <w:t>. The Company may, in its sole discretion, decide to deliver any documents related to the Option awarded under the Plan or future options that may be awarded under the Plan by electronic means or request Participant’s consent to participate in</w:t>
      </w:r>
    </w:p>
    <w:p>
      <w:pPr>
        <w:spacing w:after="0" w:line="89" w:lineRule="exact"/>
        <w:rPr>
          <w:rFonts w:ascii="Arial" w:cs="Arial" w:eastAsia="Arial" w:hAnsi="Arial"/>
          <w:sz w:val="15"/>
          <w:szCs w:val="15"/>
          <w:color w:val="auto"/>
        </w:rPr>
      </w:pPr>
    </w:p>
    <w:p>
      <w:pPr>
        <w:ind w:left="5232" w:hanging="91"/>
        <w:spacing w:after="0"/>
        <w:tabs>
          <w:tab w:leader="none" w:pos="5232" w:val="left"/>
        </w:tabs>
        <w:numPr>
          <w:ilvl w:val="1"/>
          <w:numId w:val="304"/>
        </w:numPr>
        <w:rPr>
          <w:rFonts w:ascii="Arial" w:cs="Arial" w:eastAsia="Arial" w:hAnsi="Arial"/>
          <w:sz w:val="15"/>
          <w:szCs w:val="15"/>
          <w:color w:val="auto"/>
        </w:rPr>
      </w:pPr>
      <w:r>
        <w:rPr>
          <w:rFonts w:ascii="Arial" w:cs="Arial" w:eastAsia="Arial" w:hAnsi="Arial"/>
          <w:sz w:val="15"/>
          <w:szCs w:val="15"/>
          <w:color w:val="auto"/>
        </w:rPr>
        <w:t>8 -</w:t>
      </w:r>
    </w:p>
    <w:p>
      <w:pPr>
        <w:sectPr>
          <w:pgSz w:w="11900" w:h="16838" w:orient="portrait"/>
          <w:cols w:equalWidth="0" w:num="1">
            <w:col w:w="10972"/>
          </w:cols>
          <w:pgMar w:left="688" w:top="253" w:right="239" w:bottom="1440" w:gutter="0" w:footer="0" w:header="0"/>
        </w:sectPr>
      </w:pPr>
    </w:p>
    <w:bookmarkStart w:id="371" w:name="page372"/>
    <w:bookmarkEnd w:id="371"/>
    <w:p>
      <w:pPr>
        <w:ind w:right="340"/>
        <w:spacing w:after="0" w:line="275"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133350</wp:posOffset>
            </wp:positionH>
            <wp:positionV relativeFrom="page">
              <wp:posOffset>88900</wp:posOffset>
            </wp:positionV>
            <wp:extent cx="7308850" cy="33655"/>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57">
                      <a:extLst>
                        <a:ext uri="{28A0092B-C50C-407E-A947-70E740481C1C}"/>
                      </a:extLst>
                    </a:blip>
                    <a:srcRect/>
                    <a:stretch>
                      <a:fillRect/>
                    </a:stretch>
                  </pic:blipFill>
                  <pic:spPr bwMode="auto">
                    <a:xfrm>
                      <a:off x="0" y="0"/>
                      <a:ext cx="7308850" cy="33655"/>
                    </a:xfrm>
                    <a:prstGeom prst="rect">
                      <a:avLst/>
                    </a:prstGeom>
                    <a:noFill/>
                  </pic:spPr>
                </pic:pic>
              </a:graphicData>
            </a:graphic>
          </wp:anchor>
        </w:drawing>
        <w:t>the Plan by electronic means. Participant hereby consents to receive such documents by electronic delivery and agrees to participate in the Plan through any on-line or electronic system established and maintained by the Company or a third party designated by the Company.</w:t>
      </w:r>
    </w:p>
    <w:p>
      <w:pPr>
        <w:spacing w:after="0" w:line="146" w:lineRule="exact"/>
        <w:rPr>
          <w:sz w:val="20"/>
          <w:szCs w:val="20"/>
          <w:color w:val="auto"/>
        </w:rPr>
      </w:pPr>
    </w:p>
    <w:p>
      <w:pPr>
        <w:ind w:left="780" w:hanging="332"/>
        <w:spacing w:after="0"/>
        <w:tabs>
          <w:tab w:leader="none" w:pos="780" w:val="left"/>
        </w:tabs>
        <w:numPr>
          <w:ilvl w:val="0"/>
          <w:numId w:val="305"/>
        </w:numPr>
        <w:rPr>
          <w:rFonts w:ascii="Arial" w:cs="Arial" w:eastAsia="Arial" w:hAnsi="Arial"/>
          <w:sz w:val="15"/>
          <w:szCs w:val="15"/>
          <w:color w:val="auto"/>
        </w:rPr>
      </w:pPr>
      <w:r>
        <w:rPr>
          <w:rFonts w:ascii="Arial" w:cs="Arial" w:eastAsia="Arial" w:hAnsi="Arial"/>
          <w:sz w:val="15"/>
          <w:szCs w:val="15"/>
          <w:u w:val="single" w:color="auto"/>
          <w:color w:val="auto"/>
        </w:rPr>
        <w:t>Captions</w:t>
      </w:r>
      <w:r>
        <w:rPr>
          <w:rFonts w:ascii="Arial" w:cs="Arial" w:eastAsia="Arial" w:hAnsi="Arial"/>
          <w:sz w:val="15"/>
          <w:szCs w:val="15"/>
          <w:color w:val="auto"/>
        </w:rPr>
        <w:t>. Captions provided herein are for convenience only and are not to serve as a basis for interpretation or construction of this Option Agreement.</w:t>
      </w:r>
    </w:p>
    <w:p>
      <w:pPr>
        <w:spacing w:after="0" w:line="188" w:lineRule="exact"/>
        <w:rPr>
          <w:rFonts w:ascii="Arial" w:cs="Arial" w:eastAsia="Arial" w:hAnsi="Arial"/>
          <w:sz w:val="15"/>
          <w:szCs w:val="15"/>
          <w:color w:val="auto"/>
        </w:rPr>
      </w:pPr>
    </w:p>
    <w:p>
      <w:pPr>
        <w:ind w:right="40" w:firstLine="448"/>
        <w:spacing w:after="0" w:line="275" w:lineRule="auto"/>
        <w:tabs>
          <w:tab w:leader="none" w:pos="796" w:val="left"/>
        </w:tabs>
        <w:numPr>
          <w:ilvl w:val="0"/>
          <w:numId w:val="305"/>
        </w:numPr>
        <w:rPr>
          <w:rFonts w:ascii="Arial" w:cs="Arial" w:eastAsia="Arial" w:hAnsi="Arial"/>
          <w:sz w:val="15"/>
          <w:szCs w:val="15"/>
          <w:color w:val="auto"/>
        </w:rPr>
      </w:pPr>
      <w:r>
        <w:rPr>
          <w:rFonts w:ascii="Arial" w:cs="Arial" w:eastAsia="Arial" w:hAnsi="Arial"/>
          <w:sz w:val="15"/>
          <w:szCs w:val="15"/>
          <w:u w:val="single" w:color="auto"/>
          <w:color w:val="auto"/>
        </w:rPr>
        <w:t>Agreement Severable</w:t>
      </w:r>
      <w:r>
        <w:rPr>
          <w:rFonts w:ascii="Arial" w:cs="Arial" w:eastAsia="Arial" w:hAnsi="Arial"/>
          <w:sz w:val="15"/>
          <w:szCs w:val="15"/>
          <w:color w:val="auto"/>
        </w:rPr>
        <w:t>. In the event that any provision in this Option Agreement will be held invalid or unenforceable, such provision will be severable from, and such invalidity or unenforceability will not be construed to have any effect on, the remaining provisions of this Option Agreement.</w:t>
      </w:r>
    </w:p>
    <w:p>
      <w:pPr>
        <w:spacing w:after="0" w:line="146" w:lineRule="exact"/>
        <w:rPr>
          <w:rFonts w:ascii="Arial" w:cs="Arial" w:eastAsia="Arial" w:hAnsi="Arial"/>
          <w:sz w:val="15"/>
          <w:szCs w:val="15"/>
          <w:color w:val="auto"/>
        </w:rPr>
      </w:pPr>
    </w:p>
    <w:p>
      <w:pPr>
        <w:ind w:firstLine="448"/>
        <w:spacing w:after="0" w:line="263" w:lineRule="auto"/>
        <w:tabs>
          <w:tab w:leader="none" w:pos="796" w:val="left"/>
        </w:tabs>
        <w:numPr>
          <w:ilvl w:val="0"/>
          <w:numId w:val="305"/>
        </w:numPr>
        <w:rPr>
          <w:rFonts w:ascii="Arial" w:cs="Arial" w:eastAsia="Arial" w:hAnsi="Arial"/>
          <w:sz w:val="15"/>
          <w:szCs w:val="15"/>
          <w:color w:val="auto"/>
        </w:rPr>
      </w:pPr>
      <w:r>
        <w:rPr>
          <w:rFonts w:ascii="Arial" w:cs="Arial" w:eastAsia="Arial" w:hAnsi="Arial"/>
          <w:sz w:val="15"/>
          <w:szCs w:val="15"/>
          <w:u w:val="single" w:color="auto"/>
          <w:color w:val="auto"/>
        </w:rPr>
        <w:t>Amendment, Suspension or Termination of the Plan</w:t>
      </w:r>
      <w:r>
        <w:rPr>
          <w:rFonts w:ascii="Arial" w:cs="Arial" w:eastAsia="Arial" w:hAnsi="Arial"/>
          <w:sz w:val="15"/>
          <w:szCs w:val="15"/>
          <w:color w:val="auto"/>
        </w:rPr>
        <w:t>. By accepting this Option, Participant expressly warrants that he or she has received an Option under the Plan, and has received, read, and understood a description of the Plan. Participant understands that the Plan is discretionary in nature and may be amended, suspended or terminated by the Company at any time.</w:t>
      </w:r>
    </w:p>
    <w:p>
      <w:pPr>
        <w:spacing w:after="0" w:line="154" w:lineRule="exact"/>
        <w:rPr>
          <w:rFonts w:ascii="Arial" w:cs="Arial" w:eastAsia="Arial" w:hAnsi="Arial"/>
          <w:sz w:val="15"/>
          <w:szCs w:val="15"/>
          <w:color w:val="auto"/>
        </w:rPr>
      </w:pPr>
    </w:p>
    <w:p>
      <w:pPr>
        <w:ind w:firstLine="448"/>
        <w:spacing w:after="0" w:line="259" w:lineRule="auto"/>
        <w:tabs>
          <w:tab w:leader="none" w:pos="796" w:val="left"/>
        </w:tabs>
        <w:numPr>
          <w:ilvl w:val="0"/>
          <w:numId w:val="305"/>
        </w:numPr>
        <w:rPr>
          <w:rFonts w:ascii="Arial" w:cs="Arial" w:eastAsia="Arial" w:hAnsi="Arial"/>
          <w:sz w:val="15"/>
          <w:szCs w:val="15"/>
          <w:color w:val="auto"/>
        </w:rPr>
      </w:pPr>
      <w:r>
        <w:rPr>
          <w:rFonts w:ascii="Arial" w:cs="Arial" w:eastAsia="Arial" w:hAnsi="Arial"/>
          <w:sz w:val="15"/>
          <w:szCs w:val="15"/>
          <w:u w:val="single" w:color="auto"/>
          <w:color w:val="auto"/>
        </w:rPr>
        <w:t>Governing Law and Venue</w:t>
      </w:r>
      <w:r>
        <w:rPr>
          <w:rFonts w:ascii="Arial" w:cs="Arial" w:eastAsia="Arial" w:hAnsi="Arial"/>
          <w:sz w:val="15"/>
          <w:szCs w:val="15"/>
          <w:color w:val="auto"/>
        </w:rPr>
        <w:t>. This Option Agreement will be governed by the laws of California, without giving effect to the conflict of law principles thereof. For purposes of litigating any dispute that arises under this Option or this Option Agreement, the parties hereby submit to and consent to the jurisdiction of the State of California, and agree that such litigation will be conducted in the courts of San Francisco County, California, or the federal courts for the United States for the Northern District of California, and no other courts, where this Option is made and/or to be performed.</w:t>
      </w:r>
    </w:p>
    <w:p>
      <w:pPr>
        <w:spacing w:after="0" w:line="157" w:lineRule="exact"/>
        <w:rPr>
          <w:rFonts w:ascii="Arial" w:cs="Arial" w:eastAsia="Arial" w:hAnsi="Arial"/>
          <w:sz w:val="15"/>
          <w:szCs w:val="15"/>
          <w:color w:val="auto"/>
        </w:rPr>
      </w:pPr>
    </w:p>
    <w:p>
      <w:pPr>
        <w:ind w:right="20" w:firstLine="448"/>
        <w:spacing w:after="0" w:line="259" w:lineRule="auto"/>
        <w:tabs>
          <w:tab w:leader="none" w:pos="796" w:val="left"/>
        </w:tabs>
        <w:numPr>
          <w:ilvl w:val="0"/>
          <w:numId w:val="305"/>
        </w:numPr>
        <w:rPr>
          <w:rFonts w:ascii="Arial" w:cs="Arial" w:eastAsia="Arial" w:hAnsi="Arial"/>
          <w:sz w:val="15"/>
          <w:szCs w:val="15"/>
          <w:color w:val="auto"/>
        </w:rPr>
      </w:pPr>
      <w:r>
        <w:rPr>
          <w:rFonts w:ascii="Arial" w:cs="Arial" w:eastAsia="Arial" w:hAnsi="Arial"/>
          <w:sz w:val="15"/>
          <w:szCs w:val="15"/>
          <w:u w:val="single" w:color="auto"/>
          <w:color w:val="auto"/>
        </w:rPr>
        <w:t>Country Addendum</w:t>
      </w:r>
      <w:r>
        <w:rPr>
          <w:rFonts w:ascii="Arial" w:cs="Arial" w:eastAsia="Arial" w:hAnsi="Arial"/>
          <w:sz w:val="15"/>
          <w:szCs w:val="15"/>
          <w:color w:val="auto"/>
        </w:rPr>
        <w:t>. Notwithstanding any provisions in this Option Agreement, this Option shall be subject to any special terms and conditions set forth in the appendix (if any) to this Option Agreement for Participant’s country (the “Country Addendum”). Moreover, if Participant relocates to one of the countries included in the Country Addendum (if any), the special terms and conditions for such country will apply to Participant, to the extent the Company determines that the application of such terms and conditions is necessary or advisable for legal or administrative reasons. The Country Addendum constitutes part of this Option Agreement.</w:t>
      </w:r>
    </w:p>
    <w:p>
      <w:pPr>
        <w:spacing w:after="0" w:line="157" w:lineRule="exact"/>
        <w:rPr>
          <w:rFonts w:ascii="Arial" w:cs="Arial" w:eastAsia="Arial" w:hAnsi="Arial"/>
          <w:sz w:val="15"/>
          <w:szCs w:val="15"/>
          <w:color w:val="auto"/>
        </w:rPr>
      </w:pPr>
    </w:p>
    <w:p>
      <w:pPr>
        <w:ind w:right="40" w:firstLine="448"/>
        <w:spacing w:after="0" w:line="293" w:lineRule="auto"/>
        <w:tabs>
          <w:tab w:leader="none" w:pos="796" w:val="left"/>
        </w:tabs>
        <w:numPr>
          <w:ilvl w:val="0"/>
          <w:numId w:val="305"/>
        </w:numPr>
        <w:rPr>
          <w:rFonts w:ascii="Arial" w:cs="Arial" w:eastAsia="Arial" w:hAnsi="Arial"/>
          <w:sz w:val="13"/>
          <w:szCs w:val="13"/>
          <w:color w:val="auto"/>
        </w:rPr>
      </w:pPr>
      <w:r>
        <w:rPr>
          <w:rFonts w:ascii="Arial" w:cs="Arial" w:eastAsia="Arial" w:hAnsi="Arial"/>
          <w:sz w:val="13"/>
          <w:szCs w:val="13"/>
          <w:u w:val="single" w:color="auto"/>
          <w:color w:val="auto"/>
        </w:rPr>
        <w:t>Modifications to the Agreement</w:t>
      </w:r>
      <w:r>
        <w:rPr>
          <w:rFonts w:ascii="Arial" w:cs="Arial" w:eastAsia="Arial" w:hAnsi="Arial"/>
          <w:sz w:val="13"/>
          <w:szCs w:val="13"/>
          <w:color w:val="auto"/>
        </w:rPr>
        <w:t>. This Option Agreement constitutes the entire understanding of the parties on the subjects covered. Participant expressly warrants that he or she is not accepting this Option Agreement in reliance on any promises, representations, or inducements other than those contained herein. Modifications to this Option Agreement or the Plan can be made only in an express written contract executed by a duly authorized officer of the Company. Notwithstanding anything to the contrary in the Plan or this Option Agreement, the Company reserves the right to revise this Option Agreement as it deems necessary or advisable, in its sole discretion and without the consent of Participant, to comply with Code</w:t>
      </w:r>
    </w:p>
    <w:p>
      <w:pPr>
        <w:spacing w:after="0" w:line="1"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5"/>
          <w:szCs w:val="15"/>
          <w:color w:val="auto"/>
        </w:rPr>
        <w:t>Section 409A or to otherwise avoid imposition of any additional tax or income recognition under Section 409A of the Code in connection with the Option.</w:t>
      </w:r>
    </w:p>
    <w:p>
      <w:pPr>
        <w:spacing w:after="0" w:line="178" w:lineRule="exact"/>
        <w:rPr>
          <w:rFonts w:ascii="Arial" w:cs="Arial" w:eastAsia="Arial" w:hAnsi="Arial"/>
          <w:sz w:val="13"/>
          <w:szCs w:val="13"/>
          <w:color w:val="auto"/>
        </w:rPr>
      </w:pPr>
    </w:p>
    <w:p>
      <w:pPr>
        <w:ind w:left="780" w:hanging="332"/>
        <w:spacing w:after="0"/>
        <w:tabs>
          <w:tab w:leader="none" w:pos="780" w:val="left"/>
        </w:tabs>
        <w:numPr>
          <w:ilvl w:val="0"/>
          <w:numId w:val="305"/>
        </w:numPr>
        <w:rPr>
          <w:rFonts w:ascii="Arial" w:cs="Arial" w:eastAsia="Arial" w:hAnsi="Arial"/>
          <w:sz w:val="14"/>
          <w:szCs w:val="14"/>
          <w:color w:val="auto"/>
        </w:rPr>
      </w:pPr>
      <w:r>
        <w:rPr>
          <w:rFonts w:ascii="Arial" w:cs="Arial" w:eastAsia="Arial" w:hAnsi="Arial"/>
          <w:sz w:val="14"/>
          <w:szCs w:val="14"/>
          <w:u w:val="single" w:color="auto"/>
          <w:color w:val="auto"/>
        </w:rPr>
        <w:t>No Waiver</w:t>
      </w:r>
      <w:r>
        <w:rPr>
          <w:rFonts w:ascii="Arial" w:cs="Arial" w:eastAsia="Arial" w:hAnsi="Arial"/>
          <w:sz w:val="14"/>
          <w:szCs w:val="14"/>
          <w:color w:val="auto"/>
        </w:rPr>
        <w:t>. Either party’s failure to enforce any provision or provisions of this Option Agreement shall not in any way be construed as a waiver of any such provision or</w:t>
      </w:r>
    </w:p>
    <w:p>
      <w:pPr>
        <w:spacing w:after="0" w:line="28" w:lineRule="exact"/>
        <w:rPr>
          <w:rFonts w:ascii="Arial" w:cs="Arial" w:eastAsia="Arial" w:hAnsi="Arial"/>
          <w:sz w:val="14"/>
          <w:szCs w:val="14"/>
          <w:color w:val="auto"/>
        </w:rPr>
      </w:pPr>
    </w:p>
    <w:p>
      <w:pPr>
        <w:spacing w:after="0"/>
        <w:rPr>
          <w:rFonts w:ascii="Arial" w:cs="Arial" w:eastAsia="Arial" w:hAnsi="Arial"/>
          <w:sz w:val="14"/>
          <w:szCs w:val="14"/>
          <w:color w:val="auto"/>
        </w:rPr>
      </w:pPr>
      <w:r>
        <w:rPr>
          <w:rFonts w:ascii="Arial" w:cs="Arial" w:eastAsia="Arial" w:hAnsi="Arial"/>
          <w:sz w:val="15"/>
          <w:szCs w:val="15"/>
          <w:color w:val="auto"/>
        </w:rPr>
        <w:t>provisions,</w:t>
      </w:r>
    </w:p>
    <w:p>
      <w:pPr>
        <w:spacing w:after="0" w:line="122" w:lineRule="exact"/>
        <w:rPr>
          <w:rFonts w:ascii="Arial" w:cs="Arial" w:eastAsia="Arial" w:hAnsi="Arial"/>
          <w:sz w:val="14"/>
          <w:szCs w:val="14"/>
          <w:color w:val="auto"/>
        </w:rPr>
      </w:pPr>
    </w:p>
    <w:p>
      <w:pPr>
        <w:ind w:left="5680" w:hanging="91"/>
        <w:spacing w:after="0"/>
        <w:tabs>
          <w:tab w:leader="none" w:pos="5680" w:val="left"/>
        </w:tabs>
        <w:numPr>
          <w:ilvl w:val="1"/>
          <w:numId w:val="305"/>
        </w:numPr>
        <w:rPr>
          <w:rFonts w:ascii="Arial" w:cs="Arial" w:eastAsia="Arial" w:hAnsi="Arial"/>
          <w:sz w:val="15"/>
          <w:szCs w:val="15"/>
          <w:color w:val="auto"/>
        </w:rPr>
      </w:pPr>
      <w:r>
        <w:rPr>
          <w:rFonts w:ascii="Arial" w:cs="Arial" w:eastAsia="Arial" w:hAnsi="Arial"/>
          <w:sz w:val="15"/>
          <w:szCs w:val="15"/>
          <w:color w:val="auto"/>
        </w:rPr>
        <w:t>9 -</w:t>
      </w:r>
    </w:p>
    <w:p>
      <w:pPr>
        <w:sectPr>
          <w:pgSz w:w="11900" w:h="16838" w:orient="portrait"/>
          <w:cols w:equalWidth="0" w:num="1">
            <w:col w:w="11420"/>
          </w:cols>
          <w:pgMar w:left="240" w:top="252" w:right="239" w:bottom="1440" w:gutter="0" w:footer="0" w:header="0"/>
        </w:sectPr>
      </w:pPr>
    </w:p>
    <w:bookmarkStart w:id="372" w:name="page373"/>
    <w:bookmarkEnd w:id="372"/>
    <w:p>
      <w:pPr>
        <w:ind w:right="340"/>
        <w:spacing w:after="0" w:line="275"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133350</wp:posOffset>
            </wp:positionH>
            <wp:positionV relativeFrom="page">
              <wp:posOffset>88900</wp:posOffset>
            </wp:positionV>
            <wp:extent cx="7308850" cy="33655"/>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58">
                      <a:extLst>
                        <a:ext uri="{28A0092B-C50C-407E-A947-70E740481C1C}"/>
                      </a:extLst>
                    </a:blip>
                    <a:srcRect/>
                    <a:stretch>
                      <a:fillRect/>
                    </a:stretch>
                  </pic:blipFill>
                  <pic:spPr bwMode="auto">
                    <a:xfrm>
                      <a:off x="0" y="0"/>
                      <a:ext cx="7308850" cy="33655"/>
                    </a:xfrm>
                    <a:prstGeom prst="rect">
                      <a:avLst/>
                    </a:prstGeom>
                    <a:noFill/>
                  </pic:spPr>
                </pic:pic>
              </a:graphicData>
            </a:graphic>
          </wp:anchor>
        </w:drawing>
        <w:t>nor prevent that party from thereafter enforcing each and every other provision of this Option Agreement. The rights granted both parties herein are cumulative and shall not constitute a waiver of either party’s right to assert all other legal remedies available to it under the circumstances.</w:t>
      </w:r>
    </w:p>
    <w:p>
      <w:pPr>
        <w:spacing w:after="0" w:line="146" w:lineRule="exact"/>
        <w:rPr>
          <w:sz w:val="20"/>
          <w:szCs w:val="20"/>
          <w:color w:val="auto"/>
        </w:rPr>
      </w:pPr>
    </w:p>
    <w:p>
      <w:pPr>
        <w:ind w:firstLine="448"/>
        <w:spacing w:after="0" w:line="259" w:lineRule="auto"/>
        <w:tabs>
          <w:tab w:leader="none" w:pos="796" w:val="left"/>
        </w:tabs>
        <w:numPr>
          <w:ilvl w:val="0"/>
          <w:numId w:val="306"/>
        </w:numPr>
        <w:rPr>
          <w:rFonts w:ascii="Arial" w:cs="Arial" w:eastAsia="Arial" w:hAnsi="Arial"/>
          <w:sz w:val="15"/>
          <w:szCs w:val="15"/>
          <w:color w:val="auto"/>
        </w:rPr>
      </w:pPr>
      <w:r>
        <w:rPr>
          <w:rFonts w:ascii="Arial" w:cs="Arial" w:eastAsia="Arial" w:hAnsi="Arial"/>
          <w:sz w:val="15"/>
          <w:szCs w:val="15"/>
          <w:u w:val="single" w:color="auto"/>
          <w:color w:val="auto"/>
        </w:rPr>
        <w:t>Tax Consequences</w:t>
      </w:r>
      <w:r>
        <w:rPr>
          <w:rFonts w:ascii="Arial" w:cs="Arial" w:eastAsia="Arial" w:hAnsi="Arial"/>
          <w:sz w:val="15"/>
          <w:szCs w:val="15"/>
          <w:color w:val="auto"/>
        </w:rPr>
        <w:t>. Participant has reviewed with its own tax advisors the U.S. federal, state, local and non-U.S. tax consequences of this investment and the transactions contemplated by this Option Agreement. With respect to such matters, Participant relies solely on such advisors and not on any statements or representations of the Company or any of its agents, written or oral. Participant understands that Participant (and not the Company) shall be responsible for Participant’s own tax liability that may arise as a result of this investment or the transactions contemplated by this Option Agreement.</w:t>
      </w:r>
    </w:p>
    <w:p>
      <w:pPr>
        <w:spacing w:after="0" w:line="101" w:lineRule="exact"/>
        <w:rPr>
          <w:rFonts w:ascii="Arial" w:cs="Arial" w:eastAsia="Arial" w:hAnsi="Arial"/>
          <w:sz w:val="15"/>
          <w:szCs w:val="15"/>
          <w:color w:val="auto"/>
        </w:rPr>
      </w:pPr>
    </w:p>
    <w:p>
      <w:pPr>
        <w:ind w:left="5640" w:hanging="89"/>
        <w:spacing w:after="0"/>
        <w:tabs>
          <w:tab w:leader="none" w:pos="5640" w:val="left"/>
        </w:tabs>
        <w:numPr>
          <w:ilvl w:val="1"/>
          <w:numId w:val="306"/>
        </w:numPr>
        <w:rPr>
          <w:rFonts w:ascii="Arial" w:cs="Arial" w:eastAsia="Arial" w:hAnsi="Arial"/>
          <w:sz w:val="15"/>
          <w:szCs w:val="15"/>
          <w:color w:val="auto"/>
        </w:rPr>
      </w:pPr>
      <w:r>
        <w:rPr>
          <w:rFonts w:ascii="Arial" w:cs="Arial" w:eastAsia="Arial" w:hAnsi="Arial"/>
          <w:sz w:val="15"/>
          <w:szCs w:val="15"/>
          <w:color w:val="auto"/>
        </w:rPr>
        <w:t>10 -</w:t>
      </w:r>
    </w:p>
    <w:p>
      <w:pPr>
        <w:sectPr>
          <w:pgSz w:w="11900" w:h="16838" w:orient="portrait"/>
          <w:cols w:equalWidth="0" w:num="1">
            <w:col w:w="11440"/>
          </w:cols>
          <w:pgMar w:left="240" w:top="253" w:right="219" w:bottom="1440" w:gutter="0" w:footer="0" w:header="0"/>
        </w:sectPr>
      </w:pPr>
    </w:p>
    <w:bookmarkStart w:id="373" w:name="page374"/>
    <w:bookmarkEnd w:id="373"/>
    <w:p>
      <w:pPr>
        <w:jc w:val="center"/>
        <w:ind w:right="-19"/>
        <w:spacing w:after="0"/>
        <w:rPr>
          <w:sz w:val="20"/>
          <w:szCs w:val="20"/>
          <w:color w:val="auto"/>
        </w:rPr>
      </w:pPr>
      <w:r>
        <w:rPr>
          <w:rFonts w:ascii="Arial" w:cs="Arial" w:eastAsia="Arial" w:hAnsi="Arial"/>
          <w:sz w:val="15"/>
          <w:szCs w:val="15"/>
          <w:b w:val="1"/>
          <w:bCs w:val="1"/>
          <w:color w:val="auto"/>
        </w:rPr>
        <w:drawing>
          <wp:anchor simplePos="0" relativeHeight="251657728" behindDoc="1" locked="0" layoutInCell="0" allowOverlap="1">
            <wp:simplePos x="0" y="0"/>
            <wp:positionH relativeFrom="page">
              <wp:posOffset>133350</wp:posOffset>
            </wp:positionH>
            <wp:positionV relativeFrom="page">
              <wp:posOffset>88900</wp:posOffset>
            </wp:positionV>
            <wp:extent cx="7308850" cy="34290"/>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559">
                      <a:extLst>
                        <a:ext uri="{28A0092B-C50C-407E-A947-70E740481C1C}"/>
                      </a:extLst>
                    </a:blip>
                    <a:srcRect/>
                    <a:stretch>
                      <a:fillRect/>
                    </a:stretch>
                  </pic:blipFill>
                  <pic:spPr bwMode="auto">
                    <a:xfrm>
                      <a:off x="0" y="0"/>
                      <a:ext cx="7308850" cy="34290"/>
                    </a:xfrm>
                    <a:prstGeom prst="rect">
                      <a:avLst/>
                    </a:prstGeom>
                    <a:noFill/>
                  </pic:spPr>
                </pic:pic>
              </a:graphicData>
            </a:graphic>
          </wp:anchor>
        </w:drawing>
        <w:t>DROPBOX, INC.</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2018 CLASS C STOCK INCENTIVE PLAN</w:t>
      </w:r>
    </w:p>
    <w:p>
      <w:pPr>
        <w:spacing w:after="0" w:line="8"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STOCK OPTION AGREEMENT</w:t>
      </w:r>
    </w:p>
    <w:p>
      <w:pPr>
        <w:spacing w:after="0" w:line="8"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COUNTRY ADDENDUM</w:t>
      </w:r>
    </w:p>
    <w:p>
      <w:pPr>
        <w:spacing w:after="0" w:line="179"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TERMS AND CONDITIONS</w:t>
      </w:r>
    </w:p>
    <w:p>
      <w:pPr>
        <w:spacing w:after="0" w:line="98" w:lineRule="exact"/>
        <w:rPr>
          <w:sz w:val="20"/>
          <w:szCs w:val="20"/>
          <w:color w:val="auto"/>
        </w:rPr>
      </w:pPr>
    </w:p>
    <w:p>
      <w:pPr>
        <w:spacing w:after="0" w:line="290" w:lineRule="auto"/>
        <w:rPr>
          <w:sz w:val="20"/>
          <w:szCs w:val="20"/>
          <w:color w:val="auto"/>
        </w:rPr>
      </w:pPr>
      <w:r>
        <w:rPr>
          <w:rFonts w:ascii="Arial" w:cs="Arial" w:eastAsia="Arial" w:hAnsi="Arial"/>
          <w:sz w:val="14"/>
          <w:szCs w:val="14"/>
          <w:color w:val="auto"/>
        </w:rPr>
        <w:t>This Country Addendum includes additional terms and conditions that govern the Option granted to Participant under the Plan if Participant works in one of the countries listed below. If Participant is a citizen or resident of a country (or is considered as such for local law purposes) other than the one in which he or she is currently working or if Participant relocates to another country after receiving the Option, the Company will, in its discretion, determine the extent to which the terms and conditions contained herein will be applicable to Participant.</w:t>
      </w:r>
    </w:p>
    <w:p>
      <w:pPr>
        <w:spacing w:after="0" w:line="138" w:lineRule="exact"/>
        <w:rPr>
          <w:sz w:val="20"/>
          <w:szCs w:val="20"/>
          <w:color w:val="auto"/>
        </w:rPr>
      </w:pPr>
    </w:p>
    <w:p>
      <w:pPr>
        <w:ind w:right="40"/>
        <w:spacing w:after="0" w:line="275" w:lineRule="auto"/>
        <w:rPr>
          <w:sz w:val="20"/>
          <w:szCs w:val="20"/>
          <w:color w:val="auto"/>
        </w:rPr>
      </w:pPr>
      <w:r>
        <w:rPr>
          <w:rFonts w:ascii="Arial" w:cs="Arial" w:eastAsia="Arial" w:hAnsi="Arial"/>
          <w:sz w:val="15"/>
          <w:szCs w:val="15"/>
          <w:color w:val="auto"/>
        </w:rPr>
        <w:t>Certain capitalized terms used but not defined in this Country Addendum shall have the meanings set forth in the Plan, and/or the Stock Option Agreement to which this Country Addendum is attached.</w:t>
      </w:r>
    </w:p>
    <w:p>
      <w:pPr>
        <w:spacing w:after="0" w:line="236"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NOTIFICATIONS</w:t>
      </w:r>
    </w:p>
    <w:p>
      <w:pPr>
        <w:spacing w:after="0" w:line="98" w:lineRule="exact"/>
        <w:rPr>
          <w:sz w:val="20"/>
          <w:szCs w:val="20"/>
          <w:color w:val="auto"/>
        </w:rPr>
      </w:pPr>
    </w:p>
    <w:p>
      <w:pPr>
        <w:spacing w:after="0"/>
        <w:rPr>
          <w:sz w:val="20"/>
          <w:szCs w:val="20"/>
          <w:color w:val="auto"/>
        </w:rPr>
      </w:pPr>
      <w:r>
        <w:rPr>
          <w:rFonts w:ascii="Arial" w:cs="Arial" w:eastAsia="Arial" w:hAnsi="Arial"/>
          <w:sz w:val="13"/>
          <w:szCs w:val="13"/>
          <w:color w:val="auto"/>
        </w:rPr>
        <w:t>This Country Addendum also includes notifications relating to exchange control and other issues of which Participant should be aware with respect to his or her participation in the Plan. The</w:t>
      </w:r>
    </w:p>
    <w:p>
      <w:pPr>
        <w:spacing w:after="0" w:line="40" w:lineRule="exact"/>
        <w:rPr>
          <w:sz w:val="20"/>
          <w:szCs w:val="20"/>
          <w:color w:val="auto"/>
        </w:rPr>
      </w:pPr>
    </w:p>
    <w:p>
      <w:pPr>
        <w:ind w:right="40"/>
        <w:spacing w:after="0" w:line="283" w:lineRule="auto"/>
        <w:rPr>
          <w:sz w:val="20"/>
          <w:szCs w:val="20"/>
          <w:color w:val="auto"/>
        </w:rPr>
      </w:pPr>
      <w:r>
        <w:rPr>
          <w:rFonts w:ascii="Arial" w:cs="Arial" w:eastAsia="Arial" w:hAnsi="Arial"/>
          <w:sz w:val="14"/>
          <w:szCs w:val="14"/>
          <w:color w:val="auto"/>
        </w:rPr>
        <w:t>information is based on the exchange control, securities and other laws in effect in the countries listed in this Country Addendum, as of . Such laws are often complex and change frequently. As a result, the Company strongly recommends that Participant not rely on the notifications herein as the only source of information relating to the consequences of his or her participation in the Plan because the information may be outdated when Participant exercises the Option or sells Shares acquired under the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5179695</wp:posOffset>
            </wp:positionH>
            <wp:positionV relativeFrom="paragraph">
              <wp:posOffset>-267335</wp:posOffset>
            </wp:positionV>
            <wp:extent cx="477520" cy="6985"/>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560">
                      <a:extLst>
                        <a:ext uri="{28A0092B-C50C-407E-A947-70E740481C1C}"/>
                      </a:extLst>
                    </a:blip>
                    <a:srcRect/>
                    <a:stretch>
                      <a:fillRect/>
                    </a:stretch>
                  </pic:blipFill>
                  <pic:spPr bwMode="auto">
                    <a:xfrm>
                      <a:off x="0" y="0"/>
                      <a:ext cx="477520" cy="6985"/>
                    </a:xfrm>
                    <a:prstGeom prst="rect">
                      <a:avLst/>
                    </a:prstGeom>
                    <a:noFill/>
                  </pic:spPr>
                </pic:pic>
              </a:graphicData>
            </a:graphic>
          </wp:anchor>
        </w:drawing>
      </w:r>
    </w:p>
    <w:p>
      <w:pPr>
        <w:spacing w:after="0" w:line="123" w:lineRule="exact"/>
        <w:rPr>
          <w:sz w:val="20"/>
          <w:szCs w:val="20"/>
          <w:color w:val="auto"/>
        </w:rPr>
      </w:pPr>
    </w:p>
    <w:p>
      <w:pPr>
        <w:spacing w:after="0"/>
        <w:rPr>
          <w:sz w:val="20"/>
          <w:szCs w:val="20"/>
          <w:color w:val="auto"/>
        </w:rPr>
      </w:pPr>
      <w:r>
        <w:rPr>
          <w:rFonts w:ascii="Arial" w:cs="Arial" w:eastAsia="Arial" w:hAnsi="Arial"/>
          <w:sz w:val="13"/>
          <w:szCs w:val="13"/>
          <w:color w:val="auto"/>
        </w:rPr>
        <w:t>In addition, the notifications are general in nature and may not apply to Participant’s particular situation, and the Company is not in a position to assure Participant of any particular result.</w:t>
      </w:r>
    </w:p>
    <w:p>
      <w:pPr>
        <w:spacing w:after="0" w:line="40" w:lineRule="exact"/>
        <w:rPr>
          <w:sz w:val="20"/>
          <w:szCs w:val="20"/>
          <w:color w:val="auto"/>
        </w:rPr>
      </w:pPr>
    </w:p>
    <w:p>
      <w:pPr>
        <w:spacing w:after="0"/>
        <w:rPr>
          <w:sz w:val="20"/>
          <w:szCs w:val="20"/>
          <w:color w:val="auto"/>
        </w:rPr>
      </w:pPr>
      <w:r>
        <w:rPr>
          <w:rFonts w:ascii="Arial" w:cs="Arial" w:eastAsia="Arial" w:hAnsi="Arial"/>
          <w:sz w:val="15"/>
          <w:szCs w:val="15"/>
          <w:color w:val="auto"/>
        </w:rPr>
        <w:t>Accordingly, Participant is advised to seek appropriate professional advice as to how the relevant laws in Participant’s country may apply to Participant’s situation.</w:t>
      </w:r>
    </w:p>
    <w:p>
      <w:pPr>
        <w:spacing w:after="0" w:line="179" w:lineRule="exact"/>
        <w:rPr>
          <w:sz w:val="20"/>
          <w:szCs w:val="20"/>
          <w:color w:val="auto"/>
        </w:rPr>
      </w:pPr>
    </w:p>
    <w:p>
      <w:pPr>
        <w:ind w:right="40"/>
        <w:spacing w:after="0" w:line="275" w:lineRule="auto"/>
        <w:rPr>
          <w:sz w:val="20"/>
          <w:szCs w:val="20"/>
          <w:color w:val="auto"/>
        </w:rPr>
      </w:pPr>
      <w:r>
        <w:rPr>
          <w:rFonts w:ascii="Arial" w:cs="Arial" w:eastAsia="Arial" w:hAnsi="Arial"/>
          <w:sz w:val="15"/>
          <w:szCs w:val="15"/>
          <w:color w:val="auto"/>
        </w:rPr>
        <w:t>Finally, if Participant is a citizen or resident of a country other than the one in which Participant is currently working (or is considered as such for local law purposes) or if Participant moves to another country after the Option is granted, the information contained herein may not be applicable to Participant.</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- 11 -</w:t>
      </w:r>
    </w:p>
    <w:p>
      <w:pPr>
        <w:sectPr>
          <w:pgSz w:w="11900" w:h="16838" w:orient="portrait"/>
          <w:cols w:equalWidth="0" w:num="1">
            <w:col w:w="11400"/>
          </w:cols>
          <w:pgMar w:left="240" w:top="249" w:right="259" w:bottom="1440" w:gutter="0" w:footer="0" w:header="0"/>
        </w:sectPr>
      </w:pPr>
    </w:p>
    <w:bookmarkStart w:id="374" w:name="page375"/>
    <w:bookmarkEnd w:id="374"/>
    <w:tbl>
      <w:tblPr>
        <w:tblLayout w:type="fixed"/>
        <w:tblInd w:w="0" w:type="dxa"/>
        <w:tblCellMar>
          <w:top w:w="0" w:type="dxa"/>
          <w:left w:w="0" w:type="dxa"/>
          <w:bottom w:w="0" w:type="dxa"/>
          <w:right w:w="0" w:type="dxa"/>
        </w:tblCellMar>
      </w:tblPr>
      <w:tr>
        <w:trPr>
          <w:trHeight w:val="172"/>
        </w:trPr>
        <w:tc>
          <w:tcPr>
            <w:tcW w:w="7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520" w:type="dxa"/>
            <w:vAlign w:val="bottom"/>
            <w:gridSpan w:val="2"/>
          </w:tcPr>
          <w:p>
            <w:pPr>
              <w:jc w:val="center"/>
              <w:ind w:right="1740"/>
              <w:spacing w:after="0"/>
              <w:rPr>
                <w:sz w:val="20"/>
                <w:szCs w:val="20"/>
                <w:color w:val="auto"/>
              </w:rPr>
            </w:pPr>
            <w:r>
              <w:rPr>
                <w:rFonts w:ascii="Arial" w:cs="Arial" w:eastAsia="Arial" w:hAnsi="Arial"/>
                <w:sz w:val="15"/>
                <w:szCs w:val="15"/>
                <w:b w:val="1"/>
                <w:bCs w:val="1"/>
                <w:color w:val="auto"/>
              </w:rPr>
              <w:t>EXHIBIT B</w:t>
            </w:r>
          </w:p>
        </w:tc>
        <w:tc>
          <w:tcPr>
            <w:tcW w:w="9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0"/>
        </w:trPr>
        <w:tc>
          <w:tcPr>
            <w:tcW w:w="7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r>
      <w:tr>
        <w:trPr>
          <w:trHeight w:val="374"/>
        </w:trPr>
        <w:tc>
          <w:tcPr>
            <w:tcW w:w="7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780" w:type="dxa"/>
            <w:vAlign w:val="bottom"/>
            <w:gridSpan w:val="3"/>
          </w:tcPr>
          <w:p>
            <w:pPr>
              <w:jc w:val="center"/>
              <w:ind w:right="480"/>
              <w:spacing w:after="0"/>
              <w:rPr>
                <w:sz w:val="20"/>
                <w:szCs w:val="20"/>
                <w:color w:val="auto"/>
              </w:rPr>
            </w:pPr>
            <w:r>
              <w:rPr>
                <w:rFonts w:ascii="Arial" w:cs="Arial" w:eastAsia="Arial" w:hAnsi="Arial"/>
                <w:sz w:val="15"/>
                <w:szCs w:val="15"/>
                <w:b w:val="1"/>
                <w:bCs w:val="1"/>
                <w:color w:val="auto"/>
                <w:w w:val="99"/>
              </w:rPr>
              <w:t>DROPBOX, INC.</w:t>
            </w:r>
          </w:p>
        </w:tc>
        <w:tc>
          <w:tcPr>
            <w:tcW w:w="9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0" w:type="dxa"/>
            <w:vAlign w:val="bottom"/>
          </w:tcPr>
          <w:p>
            <w:pPr>
              <w:spacing w:after="0"/>
              <w:rPr>
                <w:sz w:val="24"/>
                <w:szCs w:val="24"/>
                <w:color w:val="auto"/>
              </w:rPr>
            </w:pPr>
          </w:p>
        </w:tc>
      </w:tr>
      <w:tr>
        <w:trPr>
          <w:trHeight w:val="361"/>
        </w:trPr>
        <w:tc>
          <w:tcPr>
            <w:tcW w:w="7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780" w:type="dxa"/>
            <w:vAlign w:val="bottom"/>
            <w:gridSpan w:val="3"/>
          </w:tcPr>
          <w:p>
            <w:pPr>
              <w:jc w:val="center"/>
              <w:ind w:right="480"/>
              <w:spacing w:after="0"/>
              <w:rPr>
                <w:sz w:val="20"/>
                <w:szCs w:val="20"/>
                <w:color w:val="auto"/>
              </w:rPr>
            </w:pPr>
            <w:r>
              <w:rPr>
                <w:rFonts w:ascii="Arial" w:cs="Arial" w:eastAsia="Arial" w:hAnsi="Arial"/>
                <w:sz w:val="15"/>
                <w:szCs w:val="15"/>
                <w:b w:val="1"/>
                <w:bCs w:val="1"/>
                <w:color w:val="auto"/>
                <w:w w:val="98"/>
              </w:rPr>
              <w:t>2018 CLASS C STOCK INCENTIVE PLAN</w:t>
            </w:r>
          </w:p>
        </w:tc>
        <w:tc>
          <w:tcPr>
            <w:tcW w:w="9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0" w:type="dxa"/>
            <w:vAlign w:val="bottom"/>
          </w:tcPr>
          <w:p>
            <w:pPr>
              <w:spacing w:after="0"/>
              <w:rPr>
                <w:sz w:val="24"/>
                <w:szCs w:val="24"/>
                <w:color w:val="auto"/>
              </w:rPr>
            </w:pPr>
          </w:p>
        </w:tc>
      </w:tr>
      <w:tr>
        <w:trPr>
          <w:trHeight w:val="361"/>
        </w:trPr>
        <w:tc>
          <w:tcPr>
            <w:tcW w:w="7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780" w:type="dxa"/>
            <w:vAlign w:val="bottom"/>
            <w:gridSpan w:val="3"/>
          </w:tcPr>
          <w:p>
            <w:pPr>
              <w:jc w:val="center"/>
              <w:ind w:right="460"/>
              <w:spacing w:after="0"/>
              <w:rPr>
                <w:sz w:val="20"/>
                <w:szCs w:val="20"/>
                <w:color w:val="auto"/>
              </w:rPr>
            </w:pPr>
            <w:r>
              <w:rPr>
                <w:rFonts w:ascii="Arial" w:cs="Arial" w:eastAsia="Arial" w:hAnsi="Arial"/>
                <w:sz w:val="15"/>
                <w:szCs w:val="15"/>
                <w:b w:val="1"/>
                <w:bCs w:val="1"/>
                <w:color w:val="auto"/>
              </w:rPr>
              <w:t>EXERCISE NOTICE</w:t>
            </w:r>
          </w:p>
        </w:tc>
        <w:tc>
          <w:tcPr>
            <w:tcW w:w="9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0" w:type="dxa"/>
            <w:vAlign w:val="bottom"/>
          </w:tcPr>
          <w:p>
            <w:pPr>
              <w:spacing w:after="0"/>
              <w:rPr>
                <w:sz w:val="24"/>
                <w:szCs w:val="24"/>
                <w:color w:val="auto"/>
              </w:rPr>
            </w:pPr>
          </w:p>
        </w:tc>
      </w:tr>
      <w:tr>
        <w:trPr>
          <w:trHeight w:val="351"/>
        </w:trPr>
        <w:tc>
          <w:tcPr>
            <w:tcW w:w="3240" w:type="dxa"/>
            <w:vAlign w:val="bottom"/>
            <w:gridSpan w:val="3"/>
          </w:tcPr>
          <w:p>
            <w:pPr>
              <w:spacing w:after="0"/>
              <w:rPr>
                <w:sz w:val="20"/>
                <w:szCs w:val="20"/>
                <w:color w:val="auto"/>
              </w:rPr>
            </w:pPr>
            <w:r>
              <w:rPr>
                <w:rFonts w:ascii="Arial" w:cs="Arial" w:eastAsia="Arial" w:hAnsi="Arial"/>
                <w:sz w:val="15"/>
                <w:szCs w:val="15"/>
                <w:color w:val="auto"/>
              </w:rPr>
              <w:t>Dropbox, Inc.</w:t>
            </w: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0" w:type="dxa"/>
            <w:vAlign w:val="bottom"/>
          </w:tcPr>
          <w:p>
            <w:pPr>
              <w:spacing w:after="0"/>
              <w:rPr>
                <w:sz w:val="24"/>
                <w:szCs w:val="24"/>
                <w:color w:val="auto"/>
              </w:rPr>
            </w:pPr>
          </w:p>
        </w:tc>
      </w:tr>
      <w:tr>
        <w:trPr>
          <w:trHeight w:val="180"/>
        </w:trPr>
        <w:tc>
          <w:tcPr>
            <w:tcW w:w="3240" w:type="dxa"/>
            <w:vAlign w:val="bottom"/>
            <w:gridSpan w:val="3"/>
          </w:tcPr>
          <w:p>
            <w:pPr>
              <w:spacing w:after="0"/>
              <w:rPr>
                <w:sz w:val="20"/>
                <w:szCs w:val="20"/>
                <w:color w:val="auto"/>
              </w:rPr>
            </w:pPr>
            <w:r>
              <w:rPr>
                <w:rFonts w:ascii="Arial" w:cs="Arial" w:eastAsia="Arial" w:hAnsi="Arial"/>
                <w:sz w:val="15"/>
                <w:szCs w:val="15"/>
                <w:color w:val="auto"/>
              </w:rPr>
              <w:t>333 Brannan Street</w:t>
            </w:r>
          </w:p>
        </w:tc>
        <w:tc>
          <w:tcPr>
            <w:tcW w:w="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190"/>
        </w:trPr>
        <w:tc>
          <w:tcPr>
            <w:tcW w:w="3240" w:type="dxa"/>
            <w:vAlign w:val="bottom"/>
            <w:gridSpan w:val="3"/>
          </w:tcPr>
          <w:p>
            <w:pPr>
              <w:spacing w:after="0"/>
              <w:rPr>
                <w:sz w:val="20"/>
                <w:szCs w:val="20"/>
                <w:color w:val="auto"/>
              </w:rPr>
            </w:pPr>
            <w:r>
              <w:rPr>
                <w:rFonts w:ascii="Arial" w:cs="Arial" w:eastAsia="Arial" w:hAnsi="Arial"/>
                <w:sz w:val="15"/>
                <w:szCs w:val="15"/>
                <w:color w:val="auto"/>
              </w:rPr>
              <w:t>San Francisco, CA 94107</w:t>
            </w:r>
          </w:p>
        </w:tc>
        <w:tc>
          <w:tcPr>
            <w:tcW w:w="4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0" w:type="dxa"/>
            <w:vAlign w:val="bottom"/>
          </w:tcPr>
          <w:p>
            <w:pPr>
              <w:spacing w:after="0"/>
              <w:rPr>
                <w:sz w:val="16"/>
                <w:szCs w:val="16"/>
                <w:color w:val="auto"/>
              </w:rPr>
            </w:pPr>
          </w:p>
        </w:tc>
      </w:tr>
      <w:tr>
        <w:trPr>
          <w:trHeight w:val="361"/>
        </w:trPr>
        <w:tc>
          <w:tcPr>
            <w:tcW w:w="720" w:type="dxa"/>
            <w:vAlign w:val="bottom"/>
          </w:tcPr>
          <w:p>
            <w:pPr>
              <w:spacing w:after="0"/>
              <w:rPr>
                <w:sz w:val="20"/>
                <w:szCs w:val="20"/>
                <w:color w:val="auto"/>
              </w:rPr>
            </w:pPr>
            <w:r>
              <w:rPr>
                <w:rFonts w:ascii="Arial" w:cs="Arial" w:eastAsia="Arial" w:hAnsi="Arial"/>
                <w:sz w:val="15"/>
                <w:szCs w:val="15"/>
                <w:color w:val="auto"/>
              </w:rPr>
              <w:t>Attention:</w:t>
            </w:r>
          </w:p>
        </w:tc>
        <w:tc>
          <w:tcPr>
            <w:tcW w:w="2520" w:type="dxa"/>
            <w:vAlign w:val="bottom"/>
            <w:gridSpan w:val="2"/>
          </w:tcPr>
          <w:p>
            <w:pPr>
              <w:ind w:left="40"/>
              <w:spacing w:after="0"/>
              <w:rPr>
                <w:sz w:val="20"/>
                <w:szCs w:val="20"/>
                <w:color w:val="auto"/>
              </w:rPr>
            </w:pPr>
            <w:r>
              <w:rPr>
                <w:rFonts w:ascii="Arial" w:cs="Arial" w:eastAsia="Arial" w:hAnsi="Arial"/>
                <w:sz w:val="15"/>
                <w:szCs w:val="15"/>
                <w:color w:val="auto"/>
              </w:rPr>
              <w:t>Stock Administration</w:t>
            </w: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0" w:type="dxa"/>
            <w:vAlign w:val="bottom"/>
          </w:tcPr>
          <w:p>
            <w:pPr>
              <w:spacing w:after="0"/>
              <w:rPr>
                <w:sz w:val="24"/>
                <w:szCs w:val="24"/>
                <w:color w:val="auto"/>
              </w:rPr>
            </w:pPr>
          </w:p>
        </w:tc>
      </w:tr>
      <w:tr>
        <w:trPr>
          <w:trHeight w:val="328"/>
        </w:trPr>
        <w:tc>
          <w:tcPr>
            <w:tcW w:w="720" w:type="dxa"/>
            <w:vAlign w:val="bottom"/>
          </w:tcPr>
          <w:p>
            <w:pPr>
              <w:ind w:left="440"/>
              <w:spacing w:after="0"/>
              <w:rPr>
                <w:sz w:val="20"/>
                <w:szCs w:val="20"/>
                <w:color w:val="auto"/>
              </w:rPr>
            </w:pPr>
            <w:r>
              <w:rPr>
                <w:rFonts w:ascii="Arial" w:cs="Arial" w:eastAsia="Arial" w:hAnsi="Arial"/>
                <w:sz w:val="15"/>
                <w:szCs w:val="15"/>
                <w:color w:val="auto"/>
              </w:rPr>
              <w:t>1.</w:t>
            </w:r>
          </w:p>
        </w:tc>
        <w:tc>
          <w:tcPr>
            <w:tcW w:w="2520" w:type="dxa"/>
            <w:vAlign w:val="bottom"/>
            <w:gridSpan w:val="2"/>
          </w:tcPr>
          <w:p>
            <w:pPr>
              <w:spacing w:after="0"/>
              <w:rPr>
                <w:sz w:val="20"/>
                <w:szCs w:val="20"/>
                <w:color w:val="auto"/>
              </w:rPr>
            </w:pPr>
            <w:r>
              <w:rPr>
                <w:rFonts w:ascii="Arial" w:cs="Arial" w:eastAsia="Arial" w:hAnsi="Arial"/>
                <w:sz w:val="15"/>
                <w:szCs w:val="15"/>
                <w:color w:val="auto"/>
                <w:w w:val="92"/>
              </w:rPr>
              <w:t>Exercise of Option. Effective as of today,</w:t>
            </w:r>
          </w:p>
        </w:tc>
        <w:tc>
          <w:tcPr>
            <w:tcW w:w="520" w:type="dxa"/>
            <w:vAlign w:val="bottom"/>
            <w:gridSpan w:val="2"/>
          </w:tcPr>
          <w:p>
            <w:pPr>
              <w:jc w:val="right"/>
              <w:ind w:right="40"/>
              <w:spacing w:after="0"/>
              <w:rPr>
                <w:sz w:val="20"/>
                <w:szCs w:val="20"/>
                <w:color w:val="auto"/>
              </w:rPr>
            </w:pPr>
            <w:r>
              <w:rPr>
                <w:rFonts w:ascii="Arial" w:cs="Arial" w:eastAsia="Arial" w:hAnsi="Arial"/>
                <w:sz w:val="15"/>
                <w:szCs w:val="15"/>
                <w:color w:val="auto"/>
              </w:rPr>
              <w:t>,</w:t>
            </w:r>
          </w:p>
        </w:tc>
        <w:tc>
          <w:tcPr>
            <w:tcW w:w="300" w:type="dxa"/>
            <w:vAlign w:val="bottom"/>
          </w:tcPr>
          <w:p>
            <w:pPr>
              <w:spacing w:after="0"/>
              <w:rPr>
                <w:sz w:val="24"/>
                <w:szCs w:val="24"/>
                <w:color w:val="auto"/>
              </w:rPr>
            </w:pPr>
          </w:p>
        </w:tc>
        <w:tc>
          <w:tcPr>
            <w:tcW w:w="3780" w:type="dxa"/>
            <w:vAlign w:val="bottom"/>
            <w:gridSpan w:val="3"/>
          </w:tcPr>
          <w:p>
            <w:pPr>
              <w:spacing w:after="0"/>
              <w:rPr>
                <w:sz w:val="20"/>
                <w:szCs w:val="20"/>
                <w:color w:val="auto"/>
              </w:rPr>
            </w:pPr>
            <w:r>
              <w:rPr>
                <w:rFonts w:ascii="Arial" w:cs="Arial" w:eastAsia="Arial" w:hAnsi="Arial"/>
                <w:sz w:val="15"/>
                <w:szCs w:val="15"/>
                <w:color w:val="auto"/>
                <w:w w:val="97"/>
              </w:rPr>
              <w:t>, the undersigned (“Purchaser”) hereby elects to purchase</w:t>
            </w:r>
          </w:p>
        </w:tc>
        <w:tc>
          <w:tcPr>
            <w:tcW w:w="3460" w:type="dxa"/>
            <w:vAlign w:val="bottom"/>
            <w:gridSpan w:val="5"/>
          </w:tcPr>
          <w:p>
            <w:pPr>
              <w:ind w:left="340"/>
              <w:spacing w:after="0"/>
              <w:rPr>
                <w:sz w:val="20"/>
                <w:szCs w:val="20"/>
                <w:color w:val="auto"/>
              </w:rPr>
            </w:pPr>
            <w:r>
              <w:rPr>
                <w:rFonts w:ascii="Arial" w:cs="Arial" w:eastAsia="Arial" w:hAnsi="Arial"/>
                <w:sz w:val="15"/>
                <w:szCs w:val="15"/>
                <w:color w:val="auto"/>
              </w:rPr>
              <w:t>shares (the “Shares”) of the Common Stock of</w:t>
            </w:r>
          </w:p>
        </w:tc>
      </w:tr>
      <w:tr>
        <w:trPr>
          <w:trHeight w:val="20"/>
        </w:trPr>
        <w:tc>
          <w:tcPr>
            <w:tcW w:w="72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4740" w:type="dxa"/>
            <w:vAlign w:val="bottom"/>
            <w:gridSpan w:val="4"/>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r>
      <w:tr>
        <w:trPr>
          <w:trHeight w:val="160"/>
        </w:trPr>
        <w:tc>
          <w:tcPr>
            <w:tcW w:w="8800" w:type="dxa"/>
            <w:vAlign w:val="bottom"/>
            <w:gridSpan w:val="10"/>
          </w:tcPr>
          <w:p>
            <w:pPr>
              <w:spacing w:after="0" w:line="161" w:lineRule="exact"/>
              <w:rPr>
                <w:sz w:val="20"/>
                <w:szCs w:val="20"/>
                <w:color w:val="auto"/>
              </w:rPr>
            </w:pPr>
            <w:r>
              <w:rPr>
                <w:rFonts w:ascii="Arial" w:cs="Arial" w:eastAsia="Arial" w:hAnsi="Arial"/>
                <w:sz w:val="15"/>
                <w:szCs w:val="15"/>
                <w:color w:val="auto"/>
                <w:w w:val="91"/>
              </w:rPr>
              <w:t>Dropbox, Inc. (the “Company”) under and pursuant to the 2018 Class C Stock Incentive Plan (the “Plan”) and the Stock Option Agreement, dated</w:t>
            </w:r>
          </w:p>
        </w:tc>
        <w:tc>
          <w:tcPr>
            <w:tcW w:w="760" w:type="dxa"/>
            <w:vAlign w:val="bottom"/>
            <w:tcBorders>
              <w:bottom w:val="single" w:sz="8" w:color="auto"/>
            </w:tcBorders>
            <w:gridSpan w:val="2"/>
          </w:tcPr>
          <w:p>
            <w:pPr>
              <w:spacing w:after="0"/>
              <w:rPr>
                <w:sz w:val="13"/>
                <w:szCs w:val="13"/>
                <w:color w:val="auto"/>
              </w:rPr>
            </w:pPr>
          </w:p>
        </w:tc>
        <w:tc>
          <w:tcPr>
            <w:tcW w:w="1740" w:type="dxa"/>
            <w:vAlign w:val="bottom"/>
            <w:gridSpan w:val="2"/>
          </w:tcPr>
          <w:p>
            <w:pPr>
              <w:ind w:left="40"/>
              <w:spacing w:after="0" w:line="161" w:lineRule="exact"/>
              <w:rPr>
                <w:sz w:val="20"/>
                <w:szCs w:val="20"/>
                <w:color w:val="auto"/>
              </w:rPr>
            </w:pPr>
            <w:r>
              <w:rPr>
                <w:rFonts w:ascii="Arial" w:cs="Arial" w:eastAsia="Arial" w:hAnsi="Arial"/>
                <w:sz w:val="15"/>
                <w:szCs w:val="15"/>
                <w:color w:val="auto"/>
                <w:w w:val="95"/>
              </w:rPr>
              <w:t>and including the Notice of</w:t>
            </w:r>
          </w:p>
        </w:tc>
      </w:tr>
      <w:tr>
        <w:trPr>
          <w:trHeight w:val="160"/>
        </w:trPr>
        <w:tc>
          <w:tcPr>
            <w:tcW w:w="9560" w:type="dxa"/>
            <w:vAlign w:val="bottom"/>
            <w:gridSpan w:val="12"/>
          </w:tcPr>
          <w:p>
            <w:pPr>
              <w:spacing w:after="0" w:line="161" w:lineRule="exact"/>
              <w:rPr>
                <w:sz w:val="20"/>
                <w:szCs w:val="20"/>
                <w:color w:val="auto"/>
              </w:rPr>
            </w:pPr>
            <w:r>
              <w:rPr>
                <w:rFonts w:ascii="Arial" w:cs="Arial" w:eastAsia="Arial" w:hAnsi="Arial"/>
                <w:sz w:val="15"/>
                <w:szCs w:val="15"/>
                <w:color w:val="auto"/>
                <w:w w:val="92"/>
              </w:rPr>
              <w:t>Grant, the Terms and Conditions of Stock Option Grant, and exhibits attached thereto (the “Option Agreement”). The purchase price for the Shares will be $</w:t>
            </w:r>
          </w:p>
        </w:tc>
        <w:tc>
          <w:tcPr>
            <w:tcW w:w="1740" w:type="dxa"/>
            <w:vAlign w:val="bottom"/>
            <w:gridSpan w:val="2"/>
          </w:tcPr>
          <w:p>
            <w:pPr>
              <w:ind w:left="140"/>
              <w:spacing w:after="0" w:line="161" w:lineRule="exact"/>
              <w:rPr>
                <w:sz w:val="20"/>
                <w:szCs w:val="20"/>
                <w:color w:val="auto"/>
              </w:rPr>
            </w:pPr>
            <w:r>
              <w:rPr>
                <w:rFonts w:ascii="Arial" w:cs="Arial" w:eastAsia="Arial" w:hAnsi="Arial"/>
                <w:sz w:val="15"/>
                <w:szCs w:val="15"/>
                <w:color w:val="auto"/>
                <w:w w:val="89"/>
              </w:rPr>
              <w:t>, as required by the Option</w:t>
            </w:r>
          </w:p>
        </w:tc>
      </w:tr>
      <w:tr>
        <w:trPr>
          <w:trHeight w:val="193"/>
        </w:trPr>
        <w:tc>
          <w:tcPr>
            <w:tcW w:w="720" w:type="dxa"/>
            <w:vAlign w:val="bottom"/>
          </w:tcPr>
          <w:p>
            <w:pPr>
              <w:spacing w:after="0"/>
              <w:rPr>
                <w:sz w:val="20"/>
                <w:szCs w:val="20"/>
                <w:color w:val="auto"/>
              </w:rPr>
            </w:pPr>
            <w:r>
              <w:rPr>
                <w:rFonts w:ascii="Arial" w:cs="Arial" w:eastAsia="Arial" w:hAnsi="Arial"/>
                <w:sz w:val="15"/>
                <w:szCs w:val="15"/>
                <w:color w:val="auto"/>
                <w:w w:val="90"/>
              </w:rPr>
              <w:t>Agreement.</w:t>
            </w:r>
          </w:p>
        </w:tc>
        <w:tc>
          <w:tcPr>
            <w:tcW w:w="112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600" w:type="dxa"/>
            <w:vAlign w:val="bottom"/>
          </w:tcPr>
          <w:p>
            <w:pPr>
              <w:spacing w:after="0"/>
              <w:rPr>
                <w:sz w:val="16"/>
                <w:szCs w:val="16"/>
                <w:color w:val="auto"/>
              </w:rPr>
            </w:pPr>
          </w:p>
        </w:tc>
      </w:tr>
    </w:tbl>
    <w:p>
      <w:pPr>
        <w:spacing w:after="0" w:line="17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133350</wp:posOffset>
            </wp:positionH>
            <wp:positionV relativeFrom="page">
              <wp:posOffset>88900</wp:posOffset>
            </wp:positionV>
            <wp:extent cx="7308850" cy="34290"/>
            <wp:wrapNone/>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561">
                      <a:extLst>
                        <a:ext uri="{28A0092B-C50C-407E-A947-70E740481C1C}"/>
                      </a:extLst>
                    </a:blip>
                    <a:srcRect/>
                    <a:stretch>
                      <a:fillRect/>
                    </a:stretch>
                  </pic:blipFill>
                  <pic:spPr bwMode="auto">
                    <a:xfrm>
                      <a:off x="0" y="0"/>
                      <a:ext cx="7308850" cy="34290"/>
                    </a:xfrm>
                    <a:prstGeom prst="rect">
                      <a:avLst/>
                    </a:prstGeom>
                    <a:noFill/>
                  </pic:spPr>
                </pic:pic>
              </a:graphicData>
            </a:graphic>
          </wp:anchor>
        </w:drawing>
      </w:r>
    </w:p>
    <w:p>
      <w:pPr>
        <w:ind w:right="540" w:firstLine="448"/>
        <w:spacing w:after="0" w:line="275" w:lineRule="auto"/>
        <w:tabs>
          <w:tab w:leader="none" w:pos="721" w:val="left"/>
        </w:tabs>
        <w:numPr>
          <w:ilvl w:val="0"/>
          <w:numId w:val="307"/>
        </w:numPr>
        <w:rPr>
          <w:rFonts w:ascii="Arial" w:cs="Arial" w:eastAsia="Arial" w:hAnsi="Arial"/>
          <w:sz w:val="15"/>
          <w:szCs w:val="15"/>
          <w:color w:val="auto"/>
        </w:rPr>
      </w:pPr>
      <w:r>
        <w:rPr>
          <w:rFonts w:ascii="Arial" w:cs="Arial" w:eastAsia="Arial" w:hAnsi="Arial"/>
          <w:sz w:val="15"/>
          <w:szCs w:val="15"/>
          <w:u w:val="single" w:color="auto"/>
          <w:color w:val="auto"/>
        </w:rPr>
        <w:t>Delivery of Payment</w:t>
      </w:r>
      <w:r>
        <w:rPr>
          <w:rFonts w:ascii="Arial" w:cs="Arial" w:eastAsia="Arial" w:hAnsi="Arial"/>
          <w:sz w:val="15"/>
          <w:szCs w:val="15"/>
          <w:color w:val="auto"/>
        </w:rPr>
        <w:t>. Purchaser herewith delivers to the Company the full purchase price of the Shares and any Tax Obligations (as defined in Section 6(a) of the Option Agreement) to be paid in connection with the exercise of the Option.</w:t>
      </w:r>
    </w:p>
    <w:p>
      <w:pPr>
        <w:spacing w:after="0" w:line="146" w:lineRule="exact"/>
        <w:rPr>
          <w:rFonts w:ascii="Arial" w:cs="Arial" w:eastAsia="Arial" w:hAnsi="Arial"/>
          <w:sz w:val="15"/>
          <w:szCs w:val="15"/>
          <w:color w:val="auto"/>
        </w:rPr>
      </w:pPr>
    </w:p>
    <w:p>
      <w:pPr>
        <w:ind w:right="40" w:firstLine="448"/>
        <w:spacing w:after="0" w:line="275" w:lineRule="auto"/>
        <w:tabs>
          <w:tab w:leader="none" w:pos="721" w:val="left"/>
        </w:tabs>
        <w:numPr>
          <w:ilvl w:val="0"/>
          <w:numId w:val="307"/>
        </w:numPr>
        <w:rPr>
          <w:rFonts w:ascii="Arial" w:cs="Arial" w:eastAsia="Arial" w:hAnsi="Arial"/>
          <w:sz w:val="15"/>
          <w:szCs w:val="15"/>
          <w:color w:val="auto"/>
        </w:rPr>
      </w:pPr>
      <w:r>
        <w:rPr>
          <w:rFonts w:ascii="Arial" w:cs="Arial" w:eastAsia="Arial" w:hAnsi="Arial"/>
          <w:sz w:val="15"/>
          <w:szCs w:val="15"/>
          <w:u w:val="single" w:color="auto"/>
          <w:color w:val="auto"/>
        </w:rPr>
        <w:t>Representations of Purchaser</w:t>
      </w:r>
      <w:r>
        <w:rPr>
          <w:rFonts w:ascii="Arial" w:cs="Arial" w:eastAsia="Arial" w:hAnsi="Arial"/>
          <w:sz w:val="15"/>
          <w:szCs w:val="15"/>
          <w:color w:val="auto"/>
        </w:rPr>
        <w:t>. Purchaser acknowledges that Purchaser has received, read and understood the Plan and the Option Agreement and agrees to abide by and be bound by their terms and conditions.</w:t>
      </w:r>
    </w:p>
    <w:p>
      <w:pPr>
        <w:spacing w:after="0" w:line="146" w:lineRule="exact"/>
        <w:rPr>
          <w:rFonts w:ascii="Arial" w:cs="Arial" w:eastAsia="Arial" w:hAnsi="Arial"/>
          <w:sz w:val="15"/>
          <w:szCs w:val="15"/>
          <w:color w:val="auto"/>
        </w:rPr>
      </w:pPr>
    </w:p>
    <w:p>
      <w:pPr>
        <w:ind w:right="140" w:firstLine="448"/>
        <w:spacing w:after="0" w:line="259" w:lineRule="auto"/>
        <w:tabs>
          <w:tab w:leader="none" w:pos="721" w:val="left"/>
        </w:tabs>
        <w:numPr>
          <w:ilvl w:val="0"/>
          <w:numId w:val="307"/>
        </w:numPr>
        <w:rPr>
          <w:rFonts w:ascii="Arial" w:cs="Arial" w:eastAsia="Arial" w:hAnsi="Arial"/>
          <w:sz w:val="15"/>
          <w:szCs w:val="15"/>
          <w:color w:val="auto"/>
        </w:rPr>
      </w:pPr>
      <w:r>
        <w:rPr>
          <w:rFonts w:ascii="Arial" w:cs="Arial" w:eastAsia="Arial" w:hAnsi="Arial"/>
          <w:sz w:val="15"/>
          <w:szCs w:val="15"/>
          <w:u w:val="single" w:color="auto"/>
          <w:color w:val="auto"/>
        </w:rPr>
        <w:t>Rights as Stockholder</w:t>
      </w:r>
      <w:r>
        <w:rPr>
          <w:rFonts w:ascii="Arial" w:cs="Arial" w:eastAsia="Arial" w:hAnsi="Arial"/>
          <w:sz w:val="15"/>
          <w:szCs w:val="15"/>
          <w:color w:val="auto"/>
        </w:rPr>
        <w:t>. Until the issuance (as evidenced by the appropriate entry on the books of the Company or of a duly authorized transfer agent of the Company) of the Shares, no right to vote or receive dividends or any other rights as a stockholder will exist with respect to the Shares subject to the Option, notwithstanding the exercise of the Option. The Shares so acquired will be issued to Purchaser as soon as practicable after exercise of the Option. No adjustment will be made for a dividend or other right for which the record date is prior to the date of issuance, except as provided in Section 14 of the Plan.</w:t>
      </w:r>
    </w:p>
    <w:p>
      <w:pPr>
        <w:spacing w:after="0" w:line="157" w:lineRule="exact"/>
        <w:rPr>
          <w:rFonts w:ascii="Arial" w:cs="Arial" w:eastAsia="Arial" w:hAnsi="Arial"/>
          <w:sz w:val="15"/>
          <w:szCs w:val="15"/>
          <w:color w:val="auto"/>
        </w:rPr>
      </w:pPr>
    </w:p>
    <w:p>
      <w:pPr>
        <w:ind w:firstLine="448"/>
        <w:spacing w:after="0" w:line="263" w:lineRule="auto"/>
        <w:tabs>
          <w:tab w:leader="none" w:pos="721" w:val="left"/>
        </w:tabs>
        <w:numPr>
          <w:ilvl w:val="0"/>
          <w:numId w:val="307"/>
        </w:numPr>
        <w:rPr>
          <w:rFonts w:ascii="Arial" w:cs="Arial" w:eastAsia="Arial" w:hAnsi="Arial"/>
          <w:sz w:val="15"/>
          <w:szCs w:val="15"/>
          <w:color w:val="auto"/>
        </w:rPr>
      </w:pPr>
      <w:r>
        <w:rPr>
          <w:rFonts w:ascii="Arial" w:cs="Arial" w:eastAsia="Arial" w:hAnsi="Arial"/>
          <w:sz w:val="15"/>
          <w:szCs w:val="15"/>
          <w:u w:val="single" w:color="auto"/>
          <w:color w:val="auto"/>
        </w:rPr>
        <w:t>Tax Consultation</w:t>
      </w:r>
      <w:r>
        <w:rPr>
          <w:rFonts w:ascii="Arial" w:cs="Arial" w:eastAsia="Arial" w:hAnsi="Arial"/>
          <w:sz w:val="15"/>
          <w:szCs w:val="15"/>
          <w:color w:val="auto"/>
        </w:rPr>
        <w:t>. Purchaser understands that Purchaser may suffer adverse tax consequences as a result of Purchaser’s purchase or disposition of the Shares. Purchaser represents that Purchaser has consulted with any tax consultants Purchaser deems advisable in connection with the purchase or disposition of the Shares and that Purchaser is not relying on the Company for any tax advice.</w:t>
      </w:r>
    </w:p>
    <w:p>
      <w:pPr>
        <w:spacing w:after="0" w:line="98" w:lineRule="exact"/>
        <w:rPr>
          <w:rFonts w:ascii="Arial" w:cs="Arial" w:eastAsia="Arial" w:hAnsi="Arial"/>
          <w:sz w:val="15"/>
          <w:szCs w:val="15"/>
          <w:color w:val="auto"/>
        </w:rPr>
      </w:pPr>
    </w:p>
    <w:p>
      <w:pPr>
        <w:ind w:left="5680" w:hanging="91"/>
        <w:spacing w:after="0"/>
        <w:tabs>
          <w:tab w:leader="none" w:pos="5680" w:val="left"/>
        </w:tabs>
        <w:numPr>
          <w:ilvl w:val="1"/>
          <w:numId w:val="307"/>
        </w:numPr>
        <w:rPr>
          <w:rFonts w:ascii="Arial" w:cs="Arial" w:eastAsia="Arial" w:hAnsi="Arial"/>
          <w:sz w:val="15"/>
          <w:szCs w:val="15"/>
          <w:color w:val="auto"/>
        </w:rPr>
      </w:pPr>
      <w:r>
        <w:rPr>
          <w:rFonts w:ascii="Arial" w:cs="Arial" w:eastAsia="Arial" w:hAnsi="Arial"/>
          <w:sz w:val="15"/>
          <w:szCs w:val="15"/>
          <w:color w:val="auto"/>
        </w:rPr>
        <w:t>1 -</w:t>
      </w:r>
    </w:p>
    <w:p>
      <w:pPr>
        <w:sectPr>
          <w:pgSz w:w="11900" w:h="16838" w:orient="portrait"/>
          <w:cols w:equalWidth="0" w:num="1">
            <w:col w:w="11420"/>
          </w:cols>
          <w:pgMar w:left="240" w:top="238" w:right="239" w:bottom="1440" w:gutter="0" w:footer="0" w:header="0"/>
        </w:sectPr>
      </w:pPr>
    </w:p>
    <w:bookmarkStart w:id="375" w:name="page376"/>
    <w:bookmarkEnd w:id="375"/>
    <w:p>
      <w:pPr>
        <w:ind w:firstLine="448"/>
        <w:spacing w:after="0" w:line="259" w:lineRule="auto"/>
        <w:tabs>
          <w:tab w:leader="none" w:pos="721" w:val="left"/>
        </w:tabs>
        <w:numPr>
          <w:ilvl w:val="0"/>
          <w:numId w:val="308"/>
        </w:numPr>
        <w:rPr>
          <w:rFonts w:ascii="Arial" w:cs="Arial" w:eastAsia="Arial" w:hAnsi="Arial"/>
          <w:sz w:val="15"/>
          <w:szCs w:val="15"/>
          <w:color w:val="auto"/>
        </w:rPr>
      </w:pPr>
      <w:r>
        <w:rPr>
          <w:rFonts w:ascii="Arial" w:cs="Arial" w:eastAsia="Arial" w:hAnsi="Arial"/>
          <w:sz w:val="15"/>
          <w:szCs w:val="15"/>
          <w:u w:val="single" w:color="auto"/>
          <w:color w:val="auto"/>
        </w:rPr>
        <w:drawing>
          <wp:anchor simplePos="0" relativeHeight="251657728" behindDoc="1" locked="0" layoutInCell="0" allowOverlap="1">
            <wp:simplePos x="0" y="0"/>
            <wp:positionH relativeFrom="page">
              <wp:posOffset>133350</wp:posOffset>
            </wp:positionH>
            <wp:positionV relativeFrom="page">
              <wp:posOffset>88900</wp:posOffset>
            </wp:positionV>
            <wp:extent cx="7308850" cy="34290"/>
            <wp:wrapNone/>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562">
                      <a:extLst>
                        <a:ext uri="{28A0092B-C50C-407E-A947-70E740481C1C}"/>
                      </a:extLst>
                    </a:blip>
                    <a:srcRect/>
                    <a:stretch>
                      <a:fillRect/>
                    </a:stretch>
                  </pic:blipFill>
                  <pic:spPr bwMode="auto">
                    <a:xfrm>
                      <a:off x="0" y="0"/>
                      <a:ext cx="7308850" cy="34290"/>
                    </a:xfrm>
                    <a:prstGeom prst="rect">
                      <a:avLst/>
                    </a:prstGeom>
                    <a:noFill/>
                  </pic:spPr>
                </pic:pic>
              </a:graphicData>
            </a:graphic>
          </wp:anchor>
        </w:drawing>
        <w:t>Entire Agreement; Governing Law</w:t>
      </w:r>
      <w:r>
        <w:rPr>
          <w:rFonts w:ascii="Arial" w:cs="Arial" w:eastAsia="Arial" w:hAnsi="Arial"/>
          <w:sz w:val="15"/>
          <w:szCs w:val="15"/>
          <w:color w:val="auto"/>
        </w:rPr>
        <w:t>. The Plan and Option Agreement are incorporated herein by reference. This Exercise Notice, the Plan and the Option Agreement constitute the entire agreement of the parties with respect to the subject matter hereof and supersede in their entirety all prior undertakings and agreements of the Company and Purchaser with respect to the subject matter hereof, and may not be modified adversely to the Purchaser’s interest except by means of a writing signed by the Company and Purchaser. This Option Agreement is governed by the internal substantive laws, but not the choice of law rules, of California.</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380" w:type="dxa"/>
            <w:vAlign w:val="bottom"/>
            <w:gridSpan w:val="2"/>
          </w:tcPr>
          <w:p>
            <w:pPr>
              <w:spacing w:after="0"/>
              <w:rPr>
                <w:sz w:val="20"/>
                <w:szCs w:val="20"/>
                <w:color w:val="auto"/>
              </w:rPr>
            </w:pPr>
            <w:r>
              <w:rPr>
                <w:rFonts w:ascii="Arial" w:cs="Arial" w:eastAsia="Arial" w:hAnsi="Arial"/>
                <w:sz w:val="15"/>
                <w:szCs w:val="15"/>
                <w:color w:val="auto"/>
              </w:rPr>
              <w:t>Submitted by:</w:t>
            </w:r>
          </w:p>
        </w:tc>
        <w:tc>
          <w:tcPr>
            <w:tcW w:w="680" w:type="dxa"/>
            <w:vAlign w:val="bottom"/>
          </w:tcPr>
          <w:p>
            <w:pPr>
              <w:spacing w:after="0"/>
              <w:rPr>
                <w:sz w:val="16"/>
                <w:szCs w:val="16"/>
                <w:color w:val="auto"/>
              </w:rPr>
            </w:pPr>
          </w:p>
        </w:tc>
        <w:tc>
          <w:tcPr>
            <w:tcW w:w="5380" w:type="dxa"/>
            <w:vAlign w:val="bottom"/>
          </w:tcPr>
          <w:p>
            <w:pPr>
              <w:spacing w:after="0"/>
              <w:rPr>
                <w:sz w:val="20"/>
                <w:szCs w:val="20"/>
                <w:color w:val="auto"/>
              </w:rPr>
            </w:pPr>
            <w:r>
              <w:rPr>
                <w:rFonts w:ascii="Arial" w:cs="Arial" w:eastAsia="Arial" w:hAnsi="Arial"/>
                <w:sz w:val="15"/>
                <w:szCs w:val="15"/>
                <w:color w:val="auto"/>
              </w:rPr>
              <w:t>Accepted by:</w:t>
            </w:r>
          </w:p>
        </w:tc>
        <w:tc>
          <w:tcPr>
            <w:tcW w:w="0" w:type="dxa"/>
            <w:vAlign w:val="bottom"/>
          </w:tcPr>
          <w:p>
            <w:pPr>
              <w:spacing w:after="0"/>
              <w:rPr>
                <w:sz w:val="1"/>
                <w:szCs w:val="1"/>
                <w:color w:val="auto"/>
              </w:rPr>
            </w:pPr>
          </w:p>
        </w:tc>
      </w:tr>
      <w:tr>
        <w:trPr>
          <w:trHeight w:val="361"/>
        </w:trPr>
        <w:tc>
          <w:tcPr>
            <w:tcW w:w="5380" w:type="dxa"/>
            <w:vAlign w:val="bottom"/>
            <w:gridSpan w:val="2"/>
          </w:tcPr>
          <w:p>
            <w:pPr>
              <w:spacing w:after="0"/>
              <w:rPr>
                <w:sz w:val="20"/>
                <w:szCs w:val="20"/>
                <w:color w:val="auto"/>
              </w:rPr>
            </w:pPr>
            <w:r>
              <w:rPr>
                <w:rFonts w:ascii="Arial" w:cs="Arial" w:eastAsia="Arial" w:hAnsi="Arial"/>
                <w:sz w:val="15"/>
                <w:szCs w:val="15"/>
                <w:color w:val="auto"/>
              </w:rPr>
              <w:t>PURCHASER</w:t>
            </w:r>
          </w:p>
        </w:tc>
        <w:tc>
          <w:tcPr>
            <w:tcW w:w="680" w:type="dxa"/>
            <w:vAlign w:val="bottom"/>
          </w:tcPr>
          <w:p>
            <w:pPr>
              <w:spacing w:after="0"/>
              <w:rPr>
                <w:sz w:val="24"/>
                <w:szCs w:val="24"/>
                <w:color w:val="auto"/>
              </w:rPr>
            </w:pPr>
          </w:p>
        </w:tc>
        <w:tc>
          <w:tcPr>
            <w:tcW w:w="5380" w:type="dxa"/>
            <w:vAlign w:val="bottom"/>
          </w:tcPr>
          <w:p>
            <w:pPr>
              <w:spacing w:after="0"/>
              <w:rPr>
                <w:sz w:val="20"/>
                <w:szCs w:val="20"/>
                <w:color w:val="auto"/>
              </w:rPr>
            </w:pPr>
            <w:r>
              <w:rPr>
                <w:rFonts w:ascii="Arial" w:cs="Arial" w:eastAsia="Arial" w:hAnsi="Arial"/>
                <w:sz w:val="15"/>
                <w:szCs w:val="15"/>
                <w:color w:val="auto"/>
              </w:rPr>
              <w:t>DROPBOX, INC.</w:t>
            </w:r>
          </w:p>
        </w:tc>
        <w:tc>
          <w:tcPr>
            <w:tcW w:w="0" w:type="dxa"/>
            <w:vAlign w:val="bottom"/>
          </w:tcPr>
          <w:p>
            <w:pPr>
              <w:spacing w:after="0"/>
              <w:rPr>
                <w:sz w:val="1"/>
                <w:szCs w:val="1"/>
                <w:color w:val="auto"/>
              </w:rPr>
            </w:pPr>
          </w:p>
        </w:tc>
      </w:tr>
      <w:tr>
        <w:trPr>
          <w:trHeight w:val="362"/>
        </w:trPr>
        <w:tc>
          <w:tcPr>
            <w:tcW w:w="480" w:type="dxa"/>
            <w:vAlign w:val="bottom"/>
            <w:tcBorders>
              <w:bottom w:val="single" w:sz="8" w:color="auto"/>
            </w:tcBorders>
          </w:tcPr>
          <w:p>
            <w:pPr>
              <w:spacing w:after="0"/>
              <w:rPr>
                <w:sz w:val="24"/>
                <w:szCs w:val="24"/>
                <w:color w:val="auto"/>
              </w:rPr>
            </w:pPr>
          </w:p>
        </w:tc>
        <w:tc>
          <w:tcPr>
            <w:tcW w:w="4900" w:type="dxa"/>
            <w:vAlign w:val="bottom"/>
            <w:tcBorders>
              <w:bottom w:val="single" w:sz="8" w:color="auto"/>
            </w:tcBorders>
          </w:tcPr>
          <w:p>
            <w:pPr>
              <w:spacing w:after="0"/>
              <w:rPr>
                <w:sz w:val="24"/>
                <w:szCs w:val="24"/>
                <w:color w:val="auto"/>
              </w:rPr>
            </w:pPr>
          </w:p>
        </w:tc>
        <w:tc>
          <w:tcPr>
            <w:tcW w:w="680" w:type="dxa"/>
            <w:vAlign w:val="bottom"/>
          </w:tcPr>
          <w:p>
            <w:pPr>
              <w:spacing w:after="0"/>
              <w:rPr>
                <w:sz w:val="24"/>
                <w:szCs w:val="24"/>
                <w:color w:val="auto"/>
              </w:rPr>
            </w:pPr>
          </w:p>
        </w:tc>
        <w:tc>
          <w:tcPr>
            <w:tcW w:w="53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82"/>
        </w:trPr>
        <w:tc>
          <w:tcPr>
            <w:tcW w:w="5380" w:type="dxa"/>
            <w:vAlign w:val="bottom"/>
            <w:gridSpan w:val="2"/>
          </w:tcPr>
          <w:p>
            <w:pPr>
              <w:spacing w:after="0"/>
              <w:rPr>
                <w:sz w:val="20"/>
                <w:szCs w:val="20"/>
                <w:color w:val="auto"/>
              </w:rPr>
            </w:pPr>
            <w:r>
              <w:rPr>
                <w:rFonts w:ascii="Arial" w:cs="Arial" w:eastAsia="Arial" w:hAnsi="Arial"/>
                <w:sz w:val="15"/>
                <w:szCs w:val="15"/>
                <w:color w:val="auto"/>
              </w:rPr>
              <w:t>Signature</w:t>
            </w:r>
          </w:p>
        </w:tc>
        <w:tc>
          <w:tcPr>
            <w:tcW w:w="680" w:type="dxa"/>
            <w:vAlign w:val="bottom"/>
          </w:tcPr>
          <w:p>
            <w:pPr>
              <w:spacing w:after="0"/>
              <w:rPr>
                <w:sz w:val="15"/>
                <w:szCs w:val="15"/>
                <w:color w:val="auto"/>
              </w:rPr>
            </w:pPr>
          </w:p>
        </w:tc>
        <w:tc>
          <w:tcPr>
            <w:tcW w:w="5380" w:type="dxa"/>
            <w:vAlign w:val="bottom"/>
          </w:tcPr>
          <w:p>
            <w:pPr>
              <w:spacing w:after="0"/>
              <w:rPr>
                <w:sz w:val="20"/>
                <w:szCs w:val="20"/>
                <w:color w:val="auto"/>
              </w:rPr>
            </w:pPr>
            <w:r>
              <w:rPr>
                <w:rFonts w:ascii="Arial" w:cs="Arial" w:eastAsia="Arial" w:hAnsi="Arial"/>
                <w:sz w:val="15"/>
                <w:szCs w:val="15"/>
                <w:color w:val="auto"/>
              </w:rPr>
              <w:t>Signature</w:t>
            </w:r>
          </w:p>
        </w:tc>
        <w:tc>
          <w:tcPr>
            <w:tcW w:w="0" w:type="dxa"/>
            <w:vAlign w:val="bottom"/>
          </w:tcPr>
          <w:p>
            <w:pPr>
              <w:spacing w:after="0"/>
              <w:rPr>
                <w:sz w:val="1"/>
                <w:szCs w:val="1"/>
                <w:color w:val="auto"/>
              </w:rPr>
            </w:pPr>
          </w:p>
        </w:tc>
      </w:tr>
      <w:tr>
        <w:trPr>
          <w:trHeight w:val="362"/>
        </w:trPr>
        <w:tc>
          <w:tcPr>
            <w:tcW w:w="480" w:type="dxa"/>
            <w:vAlign w:val="bottom"/>
            <w:tcBorders>
              <w:bottom w:val="single" w:sz="8" w:color="auto"/>
            </w:tcBorders>
          </w:tcPr>
          <w:p>
            <w:pPr>
              <w:spacing w:after="0"/>
              <w:rPr>
                <w:sz w:val="24"/>
                <w:szCs w:val="24"/>
                <w:color w:val="auto"/>
              </w:rPr>
            </w:pPr>
          </w:p>
        </w:tc>
        <w:tc>
          <w:tcPr>
            <w:tcW w:w="4900" w:type="dxa"/>
            <w:vAlign w:val="bottom"/>
            <w:tcBorders>
              <w:bottom w:val="single" w:sz="8" w:color="auto"/>
            </w:tcBorders>
          </w:tcPr>
          <w:p>
            <w:pPr>
              <w:spacing w:after="0"/>
              <w:rPr>
                <w:sz w:val="24"/>
                <w:szCs w:val="24"/>
                <w:color w:val="auto"/>
              </w:rPr>
            </w:pPr>
          </w:p>
        </w:tc>
        <w:tc>
          <w:tcPr>
            <w:tcW w:w="680" w:type="dxa"/>
            <w:vAlign w:val="bottom"/>
          </w:tcPr>
          <w:p>
            <w:pPr>
              <w:spacing w:after="0"/>
              <w:rPr>
                <w:sz w:val="24"/>
                <w:szCs w:val="24"/>
                <w:color w:val="auto"/>
              </w:rPr>
            </w:pPr>
          </w:p>
        </w:tc>
        <w:tc>
          <w:tcPr>
            <w:tcW w:w="53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82"/>
        </w:trPr>
        <w:tc>
          <w:tcPr>
            <w:tcW w:w="5380" w:type="dxa"/>
            <w:vAlign w:val="bottom"/>
            <w:gridSpan w:val="2"/>
          </w:tcPr>
          <w:p>
            <w:pPr>
              <w:spacing w:after="0"/>
              <w:rPr>
                <w:sz w:val="20"/>
                <w:szCs w:val="20"/>
                <w:color w:val="auto"/>
              </w:rPr>
            </w:pPr>
            <w:r>
              <w:rPr>
                <w:rFonts w:ascii="Arial" w:cs="Arial" w:eastAsia="Arial" w:hAnsi="Arial"/>
                <w:sz w:val="15"/>
                <w:szCs w:val="15"/>
                <w:color w:val="auto"/>
              </w:rPr>
              <w:t>Print Name</w:t>
            </w:r>
          </w:p>
        </w:tc>
        <w:tc>
          <w:tcPr>
            <w:tcW w:w="680" w:type="dxa"/>
            <w:vAlign w:val="bottom"/>
          </w:tcPr>
          <w:p>
            <w:pPr>
              <w:spacing w:after="0"/>
              <w:rPr>
                <w:sz w:val="15"/>
                <w:szCs w:val="15"/>
                <w:color w:val="auto"/>
              </w:rPr>
            </w:pPr>
          </w:p>
        </w:tc>
        <w:tc>
          <w:tcPr>
            <w:tcW w:w="5380" w:type="dxa"/>
            <w:vAlign w:val="bottom"/>
          </w:tcPr>
          <w:p>
            <w:pPr>
              <w:spacing w:after="0"/>
              <w:rPr>
                <w:sz w:val="20"/>
                <w:szCs w:val="20"/>
                <w:color w:val="auto"/>
              </w:rPr>
            </w:pPr>
            <w:r>
              <w:rPr>
                <w:rFonts w:ascii="Arial" w:cs="Arial" w:eastAsia="Arial" w:hAnsi="Arial"/>
                <w:sz w:val="15"/>
                <w:szCs w:val="15"/>
                <w:color w:val="auto"/>
              </w:rPr>
              <w:t>Print Name</w:t>
            </w:r>
          </w:p>
        </w:tc>
        <w:tc>
          <w:tcPr>
            <w:tcW w:w="0" w:type="dxa"/>
            <w:vAlign w:val="bottom"/>
          </w:tcPr>
          <w:p>
            <w:pPr>
              <w:spacing w:after="0"/>
              <w:rPr>
                <w:sz w:val="1"/>
                <w:szCs w:val="1"/>
                <w:color w:val="auto"/>
              </w:rPr>
            </w:pPr>
          </w:p>
        </w:tc>
      </w:tr>
      <w:tr>
        <w:trPr>
          <w:trHeight w:val="362"/>
        </w:trPr>
        <w:tc>
          <w:tcPr>
            <w:tcW w:w="5380" w:type="dxa"/>
            <w:vAlign w:val="bottom"/>
            <w:gridSpan w:val="2"/>
            <w:vMerge w:val="restart"/>
          </w:tcPr>
          <w:p>
            <w:pPr>
              <w:spacing w:after="0"/>
              <w:rPr>
                <w:sz w:val="20"/>
                <w:szCs w:val="20"/>
                <w:color w:val="auto"/>
              </w:rPr>
            </w:pPr>
            <w:r>
              <w:rPr>
                <w:rFonts w:ascii="Arial" w:cs="Arial" w:eastAsia="Arial" w:hAnsi="Arial"/>
                <w:sz w:val="15"/>
                <w:szCs w:val="15"/>
                <w:color w:val="auto"/>
              </w:rPr>
              <w:t>Address:</w:t>
            </w:r>
          </w:p>
        </w:tc>
        <w:tc>
          <w:tcPr>
            <w:tcW w:w="680" w:type="dxa"/>
            <w:vAlign w:val="bottom"/>
          </w:tcPr>
          <w:p>
            <w:pPr>
              <w:spacing w:after="0"/>
              <w:rPr>
                <w:sz w:val="24"/>
                <w:szCs w:val="24"/>
                <w:color w:val="auto"/>
              </w:rPr>
            </w:pPr>
          </w:p>
        </w:tc>
        <w:tc>
          <w:tcPr>
            <w:tcW w:w="53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5380" w:type="dxa"/>
            <w:vAlign w:val="bottom"/>
            <w:gridSpan w:val="2"/>
            <w:vMerge w:val="continue"/>
          </w:tcPr>
          <w:p>
            <w:pPr>
              <w:spacing w:after="0"/>
              <w:rPr>
                <w:sz w:val="12"/>
                <w:szCs w:val="12"/>
                <w:color w:val="auto"/>
              </w:rPr>
            </w:pPr>
          </w:p>
        </w:tc>
        <w:tc>
          <w:tcPr>
            <w:tcW w:w="680" w:type="dxa"/>
            <w:vAlign w:val="bottom"/>
          </w:tcPr>
          <w:p>
            <w:pPr>
              <w:spacing w:after="0"/>
              <w:rPr>
                <w:sz w:val="12"/>
                <w:szCs w:val="12"/>
                <w:color w:val="auto"/>
              </w:rPr>
            </w:pPr>
          </w:p>
        </w:tc>
        <w:tc>
          <w:tcPr>
            <w:tcW w:w="5380" w:type="dxa"/>
            <w:vAlign w:val="bottom"/>
          </w:tcPr>
          <w:p>
            <w:pPr>
              <w:spacing w:after="0" w:line="149" w:lineRule="exact"/>
              <w:rPr>
                <w:sz w:val="20"/>
                <w:szCs w:val="20"/>
                <w:color w:val="auto"/>
              </w:rPr>
            </w:pPr>
            <w:r>
              <w:rPr>
                <w:rFonts w:ascii="Arial" w:cs="Arial" w:eastAsia="Arial" w:hAnsi="Arial"/>
                <w:sz w:val="15"/>
                <w:szCs w:val="15"/>
                <w:color w:val="auto"/>
              </w:rPr>
              <w:t>Title</w:t>
            </w:r>
          </w:p>
        </w:tc>
        <w:tc>
          <w:tcPr>
            <w:tcW w:w="0" w:type="dxa"/>
            <w:vAlign w:val="bottom"/>
          </w:tcPr>
          <w:p>
            <w:pPr>
              <w:spacing w:after="0"/>
              <w:rPr>
                <w:sz w:val="1"/>
                <w:szCs w:val="1"/>
                <w:color w:val="auto"/>
              </w:rPr>
            </w:pPr>
          </w:p>
        </w:tc>
      </w:tr>
      <w:tr>
        <w:trPr>
          <w:trHeight w:val="375"/>
        </w:trPr>
        <w:tc>
          <w:tcPr>
            <w:tcW w:w="480" w:type="dxa"/>
            <w:vAlign w:val="bottom"/>
            <w:tcBorders>
              <w:top w:val="single" w:sz="8" w:color="auto"/>
              <w:bottom w:val="single" w:sz="8" w:color="auto"/>
            </w:tcBorders>
          </w:tcPr>
          <w:p>
            <w:pPr>
              <w:spacing w:after="0"/>
              <w:rPr>
                <w:sz w:val="24"/>
                <w:szCs w:val="24"/>
                <w:color w:val="auto"/>
              </w:rPr>
            </w:pPr>
          </w:p>
        </w:tc>
        <w:tc>
          <w:tcPr>
            <w:tcW w:w="4900" w:type="dxa"/>
            <w:vAlign w:val="bottom"/>
            <w:tcBorders>
              <w:bottom w:val="single" w:sz="8" w:color="auto"/>
            </w:tcBorders>
          </w:tcPr>
          <w:p>
            <w:pPr>
              <w:spacing w:after="0"/>
              <w:rPr>
                <w:sz w:val="24"/>
                <w:szCs w:val="24"/>
                <w:color w:val="auto"/>
              </w:rPr>
            </w:pPr>
          </w:p>
        </w:tc>
        <w:tc>
          <w:tcPr>
            <w:tcW w:w="680" w:type="dxa"/>
            <w:vAlign w:val="bottom"/>
          </w:tcPr>
          <w:p>
            <w:pPr>
              <w:spacing w:after="0"/>
              <w:rPr>
                <w:sz w:val="24"/>
                <w:szCs w:val="24"/>
                <w:color w:val="auto"/>
              </w:rPr>
            </w:pPr>
          </w:p>
        </w:tc>
        <w:tc>
          <w:tcPr>
            <w:tcW w:w="5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3"/>
        </w:trPr>
        <w:tc>
          <w:tcPr>
            <w:tcW w:w="480" w:type="dxa"/>
            <w:vAlign w:val="bottom"/>
            <w:tcBorders>
              <w:bottom w:val="single" w:sz="8" w:color="auto"/>
            </w:tcBorders>
          </w:tcPr>
          <w:p>
            <w:pPr>
              <w:spacing w:after="0"/>
              <w:rPr>
                <w:sz w:val="24"/>
                <w:szCs w:val="24"/>
                <w:color w:val="auto"/>
              </w:rPr>
            </w:pPr>
          </w:p>
        </w:tc>
        <w:tc>
          <w:tcPr>
            <w:tcW w:w="4900" w:type="dxa"/>
            <w:vAlign w:val="bottom"/>
            <w:tcBorders>
              <w:bottom w:val="single" w:sz="8" w:color="auto"/>
            </w:tcBorders>
          </w:tcPr>
          <w:p>
            <w:pPr>
              <w:spacing w:after="0"/>
              <w:rPr>
                <w:sz w:val="24"/>
                <w:szCs w:val="24"/>
                <w:color w:val="auto"/>
              </w:rPr>
            </w:pPr>
          </w:p>
        </w:tc>
        <w:tc>
          <w:tcPr>
            <w:tcW w:w="680" w:type="dxa"/>
            <w:vAlign w:val="bottom"/>
          </w:tcPr>
          <w:p>
            <w:pPr>
              <w:spacing w:after="0"/>
              <w:rPr>
                <w:sz w:val="24"/>
                <w:szCs w:val="24"/>
                <w:color w:val="auto"/>
              </w:rPr>
            </w:pPr>
          </w:p>
        </w:tc>
        <w:tc>
          <w:tcPr>
            <w:tcW w:w="5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3"/>
        </w:trPr>
        <w:tc>
          <w:tcPr>
            <w:tcW w:w="480" w:type="dxa"/>
            <w:vAlign w:val="bottom"/>
          </w:tcPr>
          <w:p>
            <w:pPr>
              <w:spacing w:after="0"/>
              <w:rPr>
                <w:sz w:val="24"/>
                <w:szCs w:val="24"/>
                <w:color w:val="auto"/>
              </w:rPr>
            </w:pPr>
          </w:p>
        </w:tc>
        <w:tc>
          <w:tcPr>
            <w:tcW w:w="49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3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ind w:left="6060"/>
        <w:spacing w:after="0"/>
        <w:rPr>
          <w:sz w:val="20"/>
          <w:szCs w:val="20"/>
          <w:color w:val="auto"/>
        </w:rPr>
      </w:pPr>
      <w:r>
        <w:rPr>
          <w:rFonts w:ascii="Arial" w:cs="Arial" w:eastAsia="Arial" w:hAnsi="Arial"/>
          <w:sz w:val="15"/>
          <w:szCs w:val="15"/>
          <w:color w:val="auto"/>
        </w:rPr>
        <w:t>Date Received</w:t>
      </w:r>
    </w:p>
    <w:p>
      <w:pPr>
        <w:spacing w:after="0" w:line="132"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- 2 -</w:t>
      </w:r>
    </w:p>
    <w:p>
      <w:pPr>
        <w:sectPr>
          <w:pgSz w:w="11900" w:h="16838" w:orient="portrait"/>
          <w:cols w:equalWidth="0" w:num="1">
            <w:col w:w="11440"/>
          </w:cols>
          <w:pgMar w:left="240" w:top="253" w:right="219" w:bottom="1440" w:gutter="0" w:footer="0" w:header="0"/>
        </w:sectPr>
      </w:pPr>
    </w:p>
    <w:bookmarkStart w:id="376" w:name="page377"/>
    <w:bookmarkEnd w:id="376"/>
    <w:p>
      <w:pPr>
        <w:jc w:val="center"/>
        <w:ind w:right="-19"/>
        <w:spacing w:after="0"/>
        <w:rPr>
          <w:sz w:val="20"/>
          <w:szCs w:val="20"/>
          <w:color w:val="auto"/>
        </w:rPr>
      </w:pPr>
      <w:r>
        <w:rPr>
          <w:rFonts w:ascii="Arial" w:cs="Arial" w:eastAsia="Arial" w:hAnsi="Arial"/>
          <w:sz w:val="15"/>
          <w:szCs w:val="15"/>
          <w:b w:val="1"/>
          <w:bCs w:val="1"/>
          <w:color w:val="auto"/>
        </w:rPr>
        <w:drawing>
          <wp:anchor simplePos="0" relativeHeight="251657728" behindDoc="1" locked="0" layoutInCell="0" allowOverlap="1">
            <wp:simplePos x="0" y="0"/>
            <wp:positionH relativeFrom="page">
              <wp:posOffset>133350</wp:posOffset>
            </wp:positionH>
            <wp:positionV relativeFrom="page">
              <wp:posOffset>88900</wp:posOffset>
            </wp:positionV>
            <wp:extent cx="7308850" cy="34290"/>
            <wp:wrapNone/>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563">
                      <a:extLst>
                        <a:ext uri="{28A0092B-C50C-407E-A947-70E740481C1C}"/>
                      </a:extLst>
                    </a:blip>
                    <a:srcRect/>
                    <a:stretch>
                      <a:fillRect/>
                    </a:stretch>
                  </pic:blipFill>
                  <pic:spPr bwMode="auto">
                    <a:xfrm>
                      <a:off x="0" y="0"/>
                      <a:ext cx="7308850" cy="34290"/>
                    </a:xfrm>
                    <a:prstGeom prst="rect">
                      <a:avLst/>
                    </a:prstGeom>
                    <a:noFill/>
                  </pic:spPr>
                </pic:pic>
              </a:graphicData>
            </a:graphic>
          </wp:anchor>
        </w:drawing>
        <w:t>DROPBOX, INC.</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2018 CLASS C STOCK INCENTIVE PLAN</w:t>
      </w:r>
    </w:p>
    <w:p>
      <w:pPr>
        <w:spacing w:after="0" w:line="8"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RESTRICTED STOCK UNIT AGREEMENT</w:t>
      </w:r>
    </w:p>
    <w:p>
      <w:pPr>
        <w:spacing w:after="0" w:line="175"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u w:val="single" w:color="auto"/>
          <w:color w:val="auto"/>
        </w:rPr>
        <w:t>NOTICE OF RESTRICTED STOCK UNIT GRANT</w:t>
      </w:r>
    </w:p>
    <w:p>
      <w:pPr>
        <w:spacing w:after="0" w:line="192" w:lineRule="exact"/>
        <w:rPr>
          <w:sz w:val="20"/>
          <w:szCs w:val="20"/>
          <w:color w:val="auto"/>
        </w:rPr>
      </w:pPr>
    </w:p>
    <w:p>
      <w:pPr>
        <w:jc w:val="both"/>
        <w:ind w:firstLine="458"/>
        <w:spacing w:after="0" w:line="263" w:lineRule="auto"/>
        <w:rPr>
          <w:sz w:val="20"/>
          <w:szCs w:val="20"/>
          <w:color w:val="auto"/>
        </w:rPr>
      </w:pPr>
      <w:r>
        <w:rPr>
          <w:rFonts w:ascii="Arial" w:cs="Arial" w:eastAsia="Arial" w:hAnsi="Arial"/>
          <w:sz w:val="15"/>
          <w:szCs w:val="15"/>
          <w:color w:val="auto"/>
        </w:rPr>
        <w:t xml:space="preserve">Unless otherwise defined herein, the terms defined in the Dropbox, Inc. 2018 Class C Stock Incentive Plan (the “Plan”) will have the same defined meanings in this Restricted Stock Unit Agreement, which includes the Notice of Restricted Stock Unit Grant (the “Notice of Grant”), Terms and Conditions of Restricted Stock Unit Grant attached hereto as </w:t>
      </w:r>
      <w:r>
        <w:rPr>
          <w:rFonts w:ascii="Arial" w:cs="Arial" w:eastAsia="Arial" w:hAnsi="Arial"/>
          <w:sz w:val="15"/>
          <w:szCs w:val="15"/>
          <w:u w:val="single" w:color="auto"/>
          <w:color w:val="auto"/>
        </w:rPr>
        <w:t>Exhibit A</w:t>
      </w:r>
      <w:r>
        <w:rPr>
          <w:rFonts w:ascii="Arial" w:cs="Arial" w:eastAsia="Arial" w:hAnsi="Arial"/>
          <w:sz w:val="15"/>
          <w:szCs w:val="15"/>
          <w:color w:val="auto"/>
        </w:rPr>
        <w:t>, and all appendices and exhibits attached thereto (all together, the “Award Agreement”).</w:t>
      </w:r>
    </w:p>
    <w:p>
      <w:pPr>
        <w:spacing w:after="0" w:line="241" w:lineRule="exact"/>
        <w:rPr>
          <w:sz w:val="20"/>
          <w:szCs w:val="20"/>
          <w:color w:val="auto"/>
        </w:rPr>
      </w:pPr>
    </w:p>
    <w:p>
      <w:pPr>
        <w:ind w:left="440"/>
        <w:spacing w:after="0"/>
        <w:rPr>
          <w:sz w:val="20"/>
          <w:szCs w:val="20"/>
          <w:color w:val="auto"/>
        </w:rPr>
      </w:pPr>
      <w:r>
        <w:rPr>
          <w:rFonts w:ascii="Arial" w:cs="Arial" w:eastAsia="Arial" w:hAnsi="Arial"/>
          <w:sz w:val="15"/>
          <w:szCs w:val="15"/>
          <w:b w:val="1"/>
          <w:bCs w:val="1"/>
          <w:color w:val="auto"/>
        </w:rPr>
        <w:t>Participant:</w:t>
      </w:r>
    </w:p>
    <w:p>
      <w:pPr>
        <w:spacing w:after="0" w:line="98" w:lineRule="exact"/>
        <w:rPr>
          <w:sz w:val="20"/>
          <w:szCs w:val="20"/>
          <w:color w:val="auto"/>
        </w:rPr>
      </w:pPr>
    </w:p>
    <w:p>
      <w:pPr>
        <w:ind w:left="440"/>
        <w:spacing w:after="0"/>
        <w:rPr>
          <w:sz w:val="20"/>
          <w:szCs w:val="20"/>
          <w:color w:val="auto"/>
        </w:rPr>
      </w:pPr>
      <w:r>
        <w:rPr>
          <w:rFonts w:ascii="Arial" w:cs="Arial" w:eastAsia="Arial" w:hAnsi="Arial"/>
          <w:sz w:val="15"/>
          <w:szCs w:val="15"/>
          <w:b w:val="1"/>
          <w:bCs w:val="1"/>
          <w:color w:val="auto"/>
        </w:rPr>
        <w:t>Address:</w:t>
      </w:r>
    </w:p>
    <w:p>
      <w:pPr>
        <w:spacing w:after="0" w:line="192" w:lineRule="exact"/>
        <w:rPr>
          <w:sz w:val="20"/>
          <w:szCs w:val="20"/>
          <w:color w:val="auto"/>
        </w:rPr>
      </w:pPr>
    </w:p>
    <w:p>
      <w:pPr>
        <w:ind w:right="180" w:firstLine="458"/>
        <w:spacing w:after="0" w:line="275" w:lineRule="auto"/>
        <w:rPr>
          <w:sz w:val="20"/>
          <w:szCs w:val="20"/>
          <w:color w:val="auto"/>
        </w:rPr>
      </w:pPr>
      <w:r>
        <w:rPr>
          <w:rFonts w:ascii="Arial" w:cs="Arial" w:eastAsia="Arial" w:hAnsi="Arial"/>
          <w:sz w:val="15"/>
          <w:szCs w:val="15"/>
          <w:color w:val="auto"/>
        </w:rPr>
        <w:t>The undersigned Participant has been granted the right to receive an Award of Restricted Stock Units, subject to the terms and conditions of the Plan and this Award Agreement, as follows:</w:t>
      </w:r>
    </w:p>
    <w:p>
      <w:pPr>
        <w:spacing w:after="0" w:line="169" w:lineRule="exact"/>
        <w:rPr>
          <w:sz w:val="20"/>
          <w:szCs w:val="20"/>
          <w:color w:val="auto"/>
        </w:rPr>
      </w:pPr>
    </w:p>
    <w:p>
      <w:pPr>
        <w:ind w:left="460"/>
        <w:spacing w:after="0"/>
        <w:rPr>
          <w:sz w:val="20"/>
          <w:szCs w:val="20"/>
          <w:color w:val="auto"/>
        </w:rPr>
      </w:pPr>
      <w:r>
        <w:rPr>
          <w:rFonts w:ascii="Arial" w:cs="Arial" w:eastAsia="Arial" w:hAnsi="Arial"/>
          <w:sz w:val="15"/>
          <w:szCs w:val="15"/>
          <w:color w:val="auto"/>
        </w:rPr>
        <w:t>Grant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2493010</wp:posOffset>
            </wp:positionH>
            <wp:positionV relativeFrom="paragraph">
              <wp:posOffset>-8890</wp:posOffset>
            </wp:positionV>
            <wp:extent cx="1455420" cy="6985"/>
            <wp:wrapNone/>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564">
                      <a:extLst>
                        <a:ext uri="{28A0092B-C50C-407E-A947-70E740481C1C}"/>
                      </a:extLst>
                    </a:blip>
                    <a:srcRect/>
                    <a:stretch>
                      <a:fillRect/>
                    </a:stretch>
                  </pic:blipFill>
                  <pic:spPr bwMode="auto">
                    <a:xfrm>
                      <a:off x="0" y="0"/>
                      <a:ext cx="1455420" cy="6985"/>
                    </a:xfrm>
                    <a:prstGeom prst="rect">
                      <a:avLst/>
                    </a:prstGeom>
                    <a:noFill/>
                  </pic:spPr>
                </pic:pic>
              </a:graphicData>
            </a:graphic>
          </wp:anchor>
        </w:drawing>
      </w:r>
    </w:p>
    <w:p>
      <w:pPr>
        <w:spacing w:after="0" w:line="78" w:lineRule="exact"/>
        <w:rPr>
          <w:sz w:val="20"/>
          <w:szCs w:val="20"/>
          <w:color w:val="auto"/>
        </w:rPr>
      </w:pPr>
    </w:p>
    <w:p>
      <w:pPr>
        <w:ind w:left="460"/>
        <w:spacing w:after="0"/>
        <w:rPr>
          <w:sz w:val="20"/>
          <w:szCs w:val="20"/>
          <w:color w:val="auto"/>
        </w:rPr>
      </w:pPr>
      <w:r>
        <w:rPr>
          <w:rFonts w:ascii="Arial" w:cs="Arial" w:eastAsia="Arial" w:hAnsi="Arial"/>
          <w:sz w:val="15"/>
          <w:szCs w:val="15"/>
          <w:color w:val="auto"/>
        </w:rPr>
        <w:t>Date of Grant: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2493010</wp:posOffset>
            </wp:positionH>
            <wp:positionV relativeFrom="paragraph">
              <wp:posOffset>-8890</wp:posOffset>
            </wp:positionV>
            <wp:extent cx="1455420" cy="6985"/>
            <wp:wrapNone/>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pic:cNvPicPr>
                      <a:picLocks noChangeAspect="1" noChangeArrowheads="1"/>
                    </pic:cNvPicPr>
                  </pic:nvPicPr>
                  <pic:blipFill>
                    <a:blip r:embed="rId565">
                      <a:extLst>
                        <a:ext uri="{28A0092B-C50C-407E-A947-70E740481C1C}"/>
                      </a:extLst>
                    </a:blip>
                    <a:srcRect/>
                    <a:stretch>
                      <a:fillRect/>
                    </a:stretch>
                  </pic:blipFill>
                  <pic:spPr bwMode="auto">
                    <a:xfrm>
                      <a:off x="0" y="0"/>
                      <a:ext cx="1455420" cy="6985"/>
                    </a:xfrm>
                    <a:prstGeom prst="rect">
                      <a:avLst/>
                    </a:prstGeom>
                    <a:noFill/>
                  </pic:spPr>
                </pic:pic>
              </a:graphicData>
            </a:graphic>
          </wp:anchor>
        </w:drawing>
      </w:r>
    </w:p>
    <w:p>
      <w:pPr>
        <w:spacing w:after="0" w:line="78" w:lineRule="exact"/>
        <w:rPr>
          <w:sz w:val="20"/>
          <w:szCs w:val="20"/>
          <w:color w:val="auto"/>
        </w:rPr>
      </w:pPr>
    </w:p>
    <w:p>
      <w:pPr>
        <w:ind w:left="460"/>
        <w:spacing w:after="0"/>
        <w:rPr>
          <w:sz w:val="20"/>
          <w:szCs w:val="20"/>
          <w:color w:val="auto"/>
        </w:rPr>
      </w:pPr>
      <w:r>
        <w:rPr>
          <w:rFonts w:ascii="Arial" w:cs="Arial" w:eastAsia="Arial" w:hAnsi="Arial"/>
          <w:sz w:val="15"/>
          <w:szCs w:val="15"/>
          <w:color w:val="auto"/>
        </w:rPr>
        <w:t>Vesting Commencement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2493010</wp:posOffset>
            </wp:positionH>
            <wp:positionV relativeFrom="paragraph">
              <wp:posOffset>-8890</wp:posOffset>
            </wp:positionV>
            <wp:extent cx="1455420" cy="6985"/>
            <wp:wrapNone/>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pic:cNvPicPr>
                      <a:picLocks noChangeAspect="1" noChangeArrowheads="1"/>
                    </pic:cNvPicPr>
                  </pic:nvPicPr>
                  <pic:blipFill>
                    <a:blip r:embed="rId566">
                      <a:extLst>
                        <a:ext uri="{28A0092B-C50C-407E-A947-70E740481C1C}"/>
                      </a:extLst>
                    </a:blip>
                    <a:srcRect/>
                    <a:stretch>
                      <a:fillRect/>
                    </a:stretch>
                  </pic:blipFill>
                  <pic:spPr bwMode="auto">
                    <a:xfrm>
                      <a:off x="0" y="0"/>
                      <a:ext cx="1455420" cy="6985"/>
                    </a:xfrm>
                    <a:prstGeom prst="rect">
                      <a:avLst/>
                    </a:prstGeom>
                    <a:noFill/>
                  </pic:spPr>
                </pic:pic>
              </a:graphicData>
            </a:graphic>
          </wp:anchor>
        </w:drawing>
      </w:r>
    </w:p>
    <w:p>
      <w:pPr>
        <w:spacing w:after="0" w:line="78" w:lineRule="exact"/>
        <w:rPr>
          <w:sz w:val="20"/>
          <w:szCs w:val="20"/>
          <w:color w:val="auto"/>
        </w:rPr>
      </w:pPr>
    </w:p>
    <w:p>
      <w:pPr>
        <w:ind w:left="460"/>
        <w:spacing w:after="0"/>
        <w:rPr>
          <w:sz w:val="20"/>
          <w:szCs w:val="20"/>
          <w:color w:val="auto"/>
        </w:rPr>
      </w:pPr>
      <w:r>
        <w:rPr>
          <w:rFonts w:ascii="Arial" w:cs="Arial" w:eastAsia="Arial" w:hAnsi="Arial"/>
          <w:sz w:val="15"/>
          <w:szCs w:val="15"/>
          <w:color w:val="auto"/>
        </w:rPr>
        <w:t>Number of Restricted Stock Units: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2493010</wp:posOffset>
            </wp:positionH>
            <wp:positionV relativeFrom="paragraph">
              <wp:posOffset>-8890</wp:posOffset>
            </wp:positionV>
            <wp:extent cx="1455420" cy="6985"/>
            <wp:wrapNone/>
            <wp:docPr id="530"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pic:cNvPicPr>
                      <a:picLocks noChangeAspect="1" noChangeArrowheads="1"/>
                    </pic:cNvPicPr>
                  </pic:nvPicPr>
                  <pic:blipFill>
                    <a:blip r:embed="rId567">
                      <a:extLst>
                        <a:ext uri="{28A0092B-C50C-407E-A947-70E740481C1C}"/>
                      </a:extLst>
                    </a:blip>
                    <a:srcRect/>
                    <a:stretch>
                      <a:fillRect/>
                    </a:stretch>
                  </pic:blipFill>
                  <pic:spPr bwMode="auto">
                    <a:xfrm>
                      <a:off x="0" y="0"/>
                      <a:ext cx="1455420" cy="6985"/>
                    </a:xfrm>
                    <a:prstGeom prst="rect">
                      <a:avLst/>
                    </a:prstGeom>
                    <a:noFill/>
                  </pic:spPr>
                </pic:pic>
              </a:graphicData>
            </a:graphic>
          </wp:anchor>
        </w:drawing>
      </w:r>
    </w:p>
    <w:p>
      <w:pPr>
        <w:spacing w:after="0" w:line="78" w:lineRule="exact"/>
        <w:rPr>
          <w:sz w:val="20"/>
          <w:szCs w:val="20"/>
          <w:color w:val="auto"/>
        </w:rPr>
      </w:pPr>
    </w:p>
    <w:p>
      <w:pPr>
        <w:ind w:left="460"/>
        <w:spacing w:after="0"/>
        <w:rPr>
          <w:sz w:val="20"/>
          <w:szCs w:val="20"/>
          <w:color w:val="auto"/>
        </w:rPr>
      </w:pPr>
      <w:r>
        <w:rPr>
          <w:rFonts w:ascii="Arial" w:cs="Arial" w:eastAsia="Arial" w:hAnsi="Arial"/>
          <w:sz w:val="15"/>
          <w:szCs w:val="15"/>
          <w:u w:val="single" w:color="auto"/>
          <w:color w:val="auto"/>
        </w:rPr>
        <w:t>Vesting Schedule</w:t>
      </w:r>
      <w:r>
        <w:rPr>
          <w:rFonts w:ascii="Arial" w:cs="Arial" w:eastAsia="Arial" w:hAnsi="Arial"/>
          <w:sz w:val="15"/>
          <w:szCs w:val="15"/>
          <w:color w:val="auto"/>
        </w:rPr>
        <w:t>:</w:t>
      </w:r>
    </w:p>
    <w:p>
      <w:pPr>
        <w:spacing w:after="0" w:line="188" w:lineRule="exact"/>
        <w:rPr>
          <w:sz w:val="20"/>
          <w:szCs w:val="20"/>
          <w:color w:val="auto"/>
        </w:rPr>
      </w:pPr>
    </w:p>
    <w:p>
      <w:pPr>
        <w:ind w:left="440"/>
        <w:spacing w:after="0"/>
        <w:rPr>
          <w:sz w:val="20"/>
          <w:szCs w:val="20"/>
          <w:color w:val="auto"/>
        </w:rPr>
      </w:pPr>
      <w:r>
        <w:rPr>
          <w:rFonts w:ascii="Arial" w:cs="Arial" w:eastAsia="Arial" w:hAnsi="Arial"/>
          <w:sz w:val="15"/>
          <w:szCs w:val="15"/>
          <w:color w:val="auto"/>
        </w:rPr>
        <w:t>Subject to any acceleration provisions contained in the Plan or set forth below, the Restricted Stock Units will vest in accordance with the following schedule:</w:t>
      </w:r>
    </w:p>
    <w:p>
      <w:pPr>
        <w:spacing w:after="0" w:line="184" w:lineRule="exact"/>
        <w:rPr>
          <w:sz w:val="20"/>
          <w:szCs w:val="20"/>
          <w:color w:val="auto"/>
        </w:rPr>
      </w:pPr>
    </w:p>
    <w:p>
      <w:pPr>
        <w:ind w:right="140" w:firstLine="458"/>
        <w:spacing w:after="0" w:line="318" w:lineRule="auto"/>
        <w:rPr>
          <w:sz w:val="20"/>
          <w:szCs w:val="20"/>
          <w:color w:val="auto"/>
        </w:rPr>
      </w:pPr>
      <w:r>
        <w:rPr>
          <w:rFonts w:ascii="Arial" w:cs="Arial" w:eastAsia="Arial" w:hAnsi="Arial"/>
          <w:sz w:val="14"/>
          <w:szCs w:val="14"/>
          <w:b w:val="1"/>
          <w:bCs w:val="1"/>
          <w:color w:val="auto"/>
        </w:rPr>
        <w:t>[</w:t>
      </w:r>
      <w:r>
        <w:rPr>
          <w:rFonts w:ascii="Arial" w:cs="Arial" w:eastAsia="Arial" w:hAnsi="Arial"/>
          <w:sz w:val="14"/>
          <w:szCs w:val="14"/>
          <w:color w:val="auto"/>
        </w:rPr>
        <w:t>Twenty-five percent (25%) of the Restricted Stock Units will vest on the one (1)-year anniversary of the Vesting Commencement Date, and one sixteenth (1/16</w:t>
      </w:r>
      <w:r>
        <w:rPr>
          <w:rFonts w:ascii="Arial" w:cs="Arial" w:eastAsia="Arial" w:hAnsi="Arial"/>
          <w:sz w:val="11"/>
          <w:szCs w:val="11"/>
          <w:color w:val="auto"/>
        </w:rPr>
        <w:t>th</w:t>
      </w:r>
      <w:r>
        <w:rPr>
          <w:rFonts w:ascii="Arial" w:cs="Arial" w:eastAsia="Arial" w:hAnsi="Arial"/>
          <w:sz w:val="14"/>
          <w:szCs w:val="14"/>
          <w:color w:val="auto"/>
        </w:rPr>
        <w:t>) of the Restricted</w:t>
      </w:r>
      <w:r>
        <w:rPr>
          <w:rFonts w:ascii="Arial" w:cs="Arial" w:eastAsia="Arial" w:hAnsi="Arial"/>
          <w:sz w:val="14"/>
          <w:szCs w:val="14"/>
          <w:b w:val="1"/>
          <w:bCs w:val="1"/>
          <w:color w:val="auto"/>
        </w:rPr>
        <w:t xml:space="preserve"> </w:t>
      </w:r>
      <w:r>
        <w:rPr>
          <w:rFonts w:ascii="Arial" w:cs="Arial" w:eastAsia="Arial" w:hAnsi="Arial"/>
          <w:sz w:val="14"/>
          <w:szCs w:val="14"/>
          <w:color w:val="auto"/>
        </w:rPr>
        <w:t>Stock Units will vest on each Quarterly Vesting Date (as defined below) thereafter, subject to Participant continuing to be a Service Provider through each such date.</w:t>
      </w:r>
      <w:r>
        <w:rPr>
          <w:rFonts w:ascii="Arial" w:cs="Arial" w:eastAsia="Arial" w:hAnsi="Arial"/>
          <w:sz w:val="14"/>
          <w:szCs w:val="14"/>
          <w:b w:val="1"/>
          <w:bCs w:val="1"/>
          <w:color w:val="auto"/>
        </w:rPr>
        <w:t>]</w:t>
      </w:r>
    </w:p>
    <w:p>
      <w:pPr>
        <w:spacing w:after="0" w:line="119" w:lineRule="exact"/>
        <w:rPr>
          <w:sz w:val="20"/>
          <w:szCs w:val="20"/>
          <w:color w:val="auto"/>
        </w:rPr>
      </w:pPr>
    </w:p>
    <w:p>
      <w:pPr>
        <w:ind w:left="440"/>
        <w:spacing w:after="0"/>
        <w:rPr>
          <w:sz w:val="20"/>
          <w:szCs w:val="20"/>
          <w:color w:val="auto"/>
        </w:rPr>
      </w:pPr>
      <w:r>
        <w:rPr>
          <w:rFonts w:ascii="Arial" w:cs="Arial" w:eastAsia="Arial" w:hAnsi="Arial"/>
          <w:sz w:val="15"/>
          <w:szCs w:val="15"/>
          <w:color w:val="auto"/>
        </w:rPr>
        <w:t>A “Quarterly Vesting Date” is the first trading day on or after each of February 15, May 15, August 15, and November 15.</w:t>
      </w:r>
    </w:p>
    <w:p>
      <w:pPr>
        <w:spacing w:after="0" w:line="188" w:lineRule="exact"/>
        <w:rPr>
          <w:sz w:val="20"/>
          <w:szCs w:val="20"/>
          <w:color w:val="auto"/>
        </w:rPr>
      </w:pPr>
    </w:p>
    <w:p>
      <w:pPr>
        <w:ind w:right="20" w:firstLine="458"/>
        <w:spacing w:after="0" w:line="275" w:lineRule="auto"/>
        <w:rPr>
          <w:sz w:val="20"/>
          <w:szCs w:val="20"/>
          <w:color w:val="auto"/>
        </w:rPr>
      </w:pPr>
      <w:r>
        <w:rPr>
          <w:rFonts w:ascii="Arial" w:cs="Arial" w:eastAsia="Arial" w:hAnsi="Arial"/>
          <w:sz w:val="15"/>
          <w:szCs w:val="15"/>
          <w:color w:val="auto"/>
        </w:rPr>
        <w:t>In the event Participant ceases to be a Service Provider for any or no reason before Participant vests in the Restricted Stock Units, the Restricted Stock Units and Participant’s right to acquire any Shares hereunder will immediately terminate.</w:t>
      </w:r>
    </w:p>
    <w:p>
      <w:pPr>
        <w:spacing w:after="0" w:line="146" w:lineRule="exact"/>
        <w:rPr>
          <w:sz w:val="20"/>
          <w:szCs w:val="20"/>
          <w:color w:val="auto"/>
        </w:rPr>
      </w:pPr>
    </w:p>
    <w:p>
      <w:pPr>
        <w:ind w:right="100" w:firstLine="458"/>
        <w:spacing w:after="0" w:line="263" w:lineRule="auto"/>
        <w:rPr>
          <w:sz w:val="20"/>
          <w:szCs w:val="20"/>
          <w:color w:val="auto"/>
        </w:rPr>
      </w:pPr>
      <w:r>
        <w:rPr>
          <w:rFonts w:ascii="Arial" w:cs="Arial" w:eastAsia="Arial" w:hAnsi="Arial"/>
          <w:sz w:val="15"/>
          <w:szCs w:val="15"/>
          <w:color w:val="auto"/>
        </w:rPr>
        <w:t>By Participant’s signature and the signature of the representative of Dropbox, Inc. (the “Company”) below, Participant and the Company agree that this Award of Restricted Stock Units is granted under and governed by the terms and conditions of the Plan and this Award Agreement, including the Terms and Conditions of Restricted Stock Unit Grant, attached hereto as</w:t>
      </w:r>
    </w:p>
    <w:p>
      <w:pPr>
        <w:sectPr>
          <w:pgSz w:w="11900" w:h="16838" w:orient="portrait"/>
          <w:cols w:equalWidth="0" w:num="1">
            <w:col w:w="11400"/>
          </w:cols>
          <w:pgMar w:left="240" w:top="249" w:right="259" w:bottom="1440" w:gutter="0" w:footer="0" w:header="0"/>
        </w:sectPr>
      </w:pPr>
    </w:p>
    <w:bookmarkStart w:id="377" w:name="page378"/>
    <w:bookmarkEnd w:id="377"/>
    <w:p>
      <w:pPr>
        <w:spacing w:after="0" w:line="259" w:lineRule="auto"/>
        <w:rPr>
          <w:sz w:val="20"/>
          <w:szCs w:val="20"/>
          <w:color w:val="auto"/>
        </w:rPr>
      </w:pPr>
      <w:r>
        <w:rPr>
          <w:rFonts w:ascii="Arial" w:cs="Arial" w:eastAsia="Arial" w:hAnsi="Arial"/>
          <w:sz w:val="15"/>
          <w:szCs w:val="15"/>
          <w:u w:val="single" w:color="auto"/>
          <w:color w:val="auto"/>
        </w:rPr>
        <w:drawing>
          <wp:anchor simplePos="0" relativeHeight="251657728" behindDoc="1" locked="0" layoutInCell="0" allowOverlap="1">
            <wp:simplePos x="0" y="0"/>
            <wp:positionH relativeFrom="page">
              <wp:posOffset>133350</wp:posOffset>
            </wp:positionH>
            <wp:positionV relativeFrom="page">
              <wp:posOffset>88900</wp:posOffset>
            </wp:positionV>
            <wp:extent cx="7308850" cy="34290"/>
            <wp:wrapNone/>
            <wp:docPr id="531" name="Picture 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pic:cNvPicPr>
                      <a:picLocks noChangeAspect="1" noChangeArrowheads="1"/>
                    </pic:cNvPicPr>
                  </pic:nvPicPr>
                  <pic:blipFill>
                    <a:blip r:embed="rId568">
                      <a:extLst>
                        <a:ext uri="{28A0092B-C50C-407E-A947-70E740481C1C}"/>
                      </a:extLst>
                    </a:blip>
                    <a:srcRect/>
                    <a:stretch>
                      <a:fillRect/>
                    </a:stretch>
                  </pic:blipFill>
                  <pic:spPr bwMode="auto">
                    <a:xfrm>
                      <a:off x="0" y="0"/>
                      <a:ext cx="7308850" cy="34290"/>
                    </a:xfrm>
                    <a:prstGeom prst="rect">
                      <a:avLst/>
                    </a:prstGeom>
                    <a:noFill/>
                  </pic:spPr>
                </pic:pic>
              </a:graphicData>
            </a:graphic>
          </wp:anchor>
        </w:drawing>
        <w:t>Exhibit A</w:t>
      </w:r>
      <w:r>
        <w:rPr>
          <w:rFonts w:ascii="Arial" w:cs="Arial" w:eastAsia="Arial" w:hAnsi="Arial"/>
          <w:sz w:val="15"/>
          <w:szCs w:val="15"/>
          <w:color w:val="auto"/>
        </w:rPr>
        <w:t>, all of which are made a part of this document. Participant acknowledges receipt of a copy of the Plan. Participant has reviewed the Plan and this Award Agreement in their entirety, has had an opportunity to obtain the advice of counsel prior to executing this Award Agreement, and fully understands all provisions of the Plan and this Award Agreement. Participant hereby agrees to accept as binding, conclusive, and final all decisions or interpretations of the Administrator upon any questions relating to the Plan and the Award Agreement. Participant further agrees to notify the Company upon any change in the residence address indicated below.</w:t>
      </w:r>
    </w:p>
    <w:p>
      <w:pPr>
        <w:spacing w:after="0" w:line="180" w:lineRule="exact"/>
        <w:rPr>
          <w:sz w:val="20"/>
          <w:szCs w:val="20"/>
          <w:color w:val="auto"/>
        </w:rPr>
      </w:pPr>
    </w:p>
    <w:p>
      <w:pPr>
        <w:spacing w:after="0"/>
        <w:tabs>
          <w:tab w:leader="none" w:pos="6040" w:val="left"/>
        </w:tabs>
        <w:rPr>
          <w:sz w:val="20"/>
          <w:szCs w:val="20"/>
          <w:color w:val="auto"/>
        </w:rPr>
      </w:pPr>
      <w:r>
        <w:rPr>
          <w:rFonts w:ascii="Arial" w:cs="Arial" w:eastAsia="Arial" w:hAnsi="Arial"/>
          <w:sz w:val="15"/>
          <w:szCs w:val="15"/>
          <w:color w:val="auto"/>
        </w:rPr>
        <w:t>PARTICIPANT:</w:t>
      </w:r>
      <w:r>
        <w:rPr>
          <w:sz w:val="20"/>
          <w:szCs w:val="20"/>
          <w:color w:val="auto"/>
        </w:rPr>
        <w:tab/>
      </w:r>
      <w:r>
        <w:rPr>
          <w:rFonts w:ascii="Arial" w:cs="Arial" w:eastAsia="Arial" w:hAnsi="Arial"/>
          <w:sz w:val="15"/>
          <w:szCs w:val="15"/>
          <w:color w:val="auto"/>
        </w:rPr>
        <w:t>DROPBOX,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240665</wp:posOffset>
            </wp:positionV>
            <wp:extent cx="7269480" cy="6985"/>
            <wp:wrapNone/>
            <wp:docPr id="532" name="Picture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pic:cNvPicPr>
                      <a:picLocks noChangeAspect="1" noChangeArrowheads="1"/>
                    </pic:cNvPicPr>
                  </pic:nvPicPr>
                  <pic:blipFill>
                    <a:blip r:embed="rId569">
                      <a:extLst>
                        <a:ext uri="{28A0092B-C50C-407E-A947-70E740481C1C}"/>
                      </a:extLst>
                    </a:blip>
                    <a:srcRect/>
                    <a:stretch>
                      <a:fillRect/>
                    </a:stretch>
                  </pic:blipFill>
                  <pic:spPr bwMode="auto">
                    <a:xfrm>
                      <a:off x="0" y="0"/>
                      <a:ext cx="7269480" cy="6985"/>
                    </a:xfrm>
                    <a:prstGeom prst="rect">
                      <a:avLst/>
                    </a:prstGeom>
                    <a:noFill/>
                  </pic:spPr>
                </pic:pic>
              </a:graphicData>
            </a:graphic>
          </wp:anchor>
        </w:drawing>
      </w:r>
    </w:p>
    <w:p>
      <w:pPr>
        <w:sectPr>
          <w:pgSz w:w="11900" w:h="16838" w:orient="portrait"/>
          <w:cols w:equalWidth="0" w:num="1">
            <w:col w:w="11220"/>
          </w:cols>
          <w:pgMar w:left="240" w:top="253" w:right="439" w:bottom="1440" w:gutter="0" w:footer="0" w:header="0"/>
        </w:sectPr>
      </w:pPr>
    </w:p>
    <w:p>
      <w:pPr>
        <w:spacing w:after="0" w:line="391" w:lineRule="exact"/>
        <w:rPr>
          <w:sz w:val="20"/>
          <w:szCs w:val="20"/>
          <w:color w:val="auto"/>
        </w:rPr>
      </w:pPr>
    </w:p>
    <w:p>
      <w:pPr>
        <w:spacing w:after="0"/>
        <w:rPr>
          <w:sz w:val="20"/>
          <w:szCs w:val="20"/>
          <w:color w:val="auto"/>
        </w:rPr>
      </w:pPr>
      <w:r>
        <w:rPr>
          <w:rFonts w:ascii="Arial" w:cs="Arial" w:eastAsia="Arial" w:hAnsi="Arial"/>
          <w:sz w:val="15"/>
          <w:szCs w:val="15"/>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240665</wp:posOffset>
            </wp:positionV>
            <wp:extent cx="3423285" cy="6985"/>
            <wp:wrapNone/>
            <wp:docPr id="533" name="Picture 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pic:cNvPicPr>
                      <a:picLocks noChangeAspect="1" noChangeArrowheads="1"/>
                    </pic:cNvPicPr>
                  </pic:nvPicPr>
                  <pic:blipFill>
                    <a:blip r:embed="rId570">
                      <a:extLst>
                        <a:ext uri="{28A0092B-C50C-407E-A947-70E740481C1C}"/>
                      </a:extLst>
                    </a:blip>
                    <a:srcRect/>
                    <a:stretch>
                      <a:fillRect/>
                    </a:stretch>
                  </pic:blipFill>
                  <pic:spPr bwMode="auto">
                    <a:xfrm>
                      <a:off x="0" y="0"/>
                      <a:ext cx="3423285" cy="6985"/>
                    </a:xfrm>
                    <a:prstGeom prst="rect">
                      <a:avLst/>
                    </a:prstGeom>
                    <a:noFill/>
                  </pic:spPr>
                </pic:pic>
              </a:graphicData>
            </a:graphic>
          </wp:anchor>
        </w:drawing>
      </w:r>
    </w:p>
    <w:p>
      <w:pPr>
        <w:spacing w:after="0" w:line="371" w:lineRule="exact"/>
        <w:rPr>
          <w:sz w:val="20"/>
          <w:szCs w:val="20"/>
          <w:color w:val="auto"/>
        </w:rPr>
      </w:pPr>
    </w:p>
    <w:p>
      <w:pPr>
        <w:spacing w:after="0"/>
        <w:rPr>
          <w:sz w:val="20"/>
          <w:szCs w:val="20"/>
          <w:color w:val="auto"/>
        </w:rPr>
      </w:pPr>
      <w:r>
        <w:rPr>
          <w:rFonts w:ascii="Arial" w:cs="Arial" w:eastAsia="Arial" w:hAnsi="Arial"/>
          <w:sz w:val="13"/>
          <w:szCs w:val="13"/>
          <w:color w:val="auto"/>
        </w:rPr>
        <w:t>Print Name</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Arial" w:cs="Arial" w:eastAsia="Arial" w:hAnsi="Arial"/>
          <w:sz w:val="15"/>
          <w:szCs w:val="15"/>
          <w:u w:val="single" w:color="auto"/>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240665</wp:posOffset>
            </wp:positionV>
            <wp:extent cx="3423285" cy="6985"/>
            <wp:wrapNone/>
            <wp:docPr id="534" name="Picture 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pic:cNvPicPr>
                      <a:picLocks noChangeAspect="1" noChangeArrowheads="1"/>
                    </pic:cNvPicPr>
                  </pic:nvPicPr>
                  <pic:blipFill>
                    <a:blip r:embed="rId571">
                      <a:extLst>
                        <a:ext uri="{28A0092B-C50C-407E-A947-70E740481C1C}"/>
                      </a:extLst>
                    </a:blip>
                    <a:srcRect/>
                    <a:stretch>
                      <a:fillRect/>
                    </a:stretch>
                  </pic:blipFill>
                  <pic:spPr bwMode="auto">
                    <a:xfrm>
                      <a:off x="0" y="0"/>
                      <a:ext cx="3423285" cy="698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484505</wp:posOffset>
            </wp:positionV>
            <wp:extent cx="3423285" cy="6985"/>
            <wp:wrapNone/>
            <wp:docPr id="535" name="Picture 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
                    <pic:cNvPicPr>
                      <a:picLocks noChangeAspect="1" noChangeArrowheads="1"/>
                    </pic:cNvPicPr>
                  </pic:nvPicPr>
                  <pic:blipFill>
                    <a:blip r:embed="rId572">
                      <a:extLst>
                        <a:ext uri="{28A0092B-C50C-407E-A947-70E740481C1C}"/>
                      </a:extLst>
                    </a:blip>
                    <a:srcRect/>
                    <a:stretch>
                      <a:fillRect/>
                    </a:stretch>
                  </pic:blipFill>
                  <pic:spPr bwMode="auto">
                    <a:xfrm>
                      <a:off x="0" y="0"/>
                      <a:ext cx="3423285" cy="698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71" w:lineRule="exact"/>
        <w:rPr>
          <w:sz w:val="20"/>
          <w:szCs w:val="20"/>
          <w:color w:val="auto"/>
        </w:rPr>
      </w:pPr>
    </w:p>
    <w:p>
      <w:pPr>
        <w:spacing w:after="0"/>
        <w:rPr>
          <w:sz w:val="20"/>
          <w:szCs w:val="20"/>
          <w:color w:val="auto"/>
        </w:rPr>
      </w:pPr>
      <w:r>
        <w:rPr>
          <w:rFonts w:ascii="Arial" w:cs="Arial" w:eastAsia="Arial" w:hAnsi="Arial"/>
          <w:sz w:val="15"/>
          <w:szCs w:val="15"/>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240665</wp:posOffset>
            </wp:positionV>
            <wp:extent cx="3416300" cy="6985"/>
            <wp:wrapNone/>
            <wp:docPr id="536" name="Picture 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
                    <pic:cNvPicPr>
                      <a:picLocks noChangeAspect="1" noChangeArrowheads="1"/>
                    </pic:cNvPicPr>
                  </pic:nvPicPr>
                  <pic:blipFill>
                    <a:blip r:embed="rId573">
                      <a:extLst>
                        <a:ext uri="{28A0092B-C50C-407E-A947-70E740481C1C}"/>
                      </a:extLst>
                    </a:blip>
                    <a:srcRect/>
                    <a:stretch>
                      <a:fillRect/>
                    </a:stretch>
                  </pic:blipFill>
                  <pic:spPr bwMode="auto">
                    <a:xfrm>
                      <a:off x="0" y="0"/>
                      <a:ext cx="3416300" cy="6985"/>
                    </a:xfrm>
                    <a:prstGeom prst="rect">
                      <a:avLst/>
                    </a:prstGeom>
                    <a:noFill/>
                  </pic:spPr>
                </pic:pic>
              </a:graphicData>
            </a:graphic>
          </wp:anchor>
        </w:drawing>
      </w:r>
    </w:p>
    <w:p>
      <w:pPr>
        <w:spacing w:after="0" w:line="371" w:lineRule="exact"/>
        <w:rPr>
          <w:sz w:val="20"/>
          <w:szCs w:val="20"/>
          <w:color w:val="auto"/>
        </w:rPr>
      </w:pPr>
    </w:p>
    <w:p>
      <w:pPr>
        <w:spacing w:after="0"/>
        <w:rPr>
          <w:sz w:val="20"/>
          <w:szCs w:val="20"/>
          <w:color w:val="auto"/>
        </w:rPr>
      </w:pPr>
      <w:r>
        <w:rPr>
          <w:rFonts w:ascii="Arial" w:cs="Arial" w:eastAsia="Arial" w:hAnsi="Arial"/>
          <w:sz w:val="13"/>
          <w:szCs w:val="13"/>
          <w:color w:val="auto"/>
        </w:rPr>
        <w:t>Print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255270</wp:posOffset>
            </wp:positionV>
            <wp:extent cx="3416300" cy="6985"/>
            <wp:wrapNone/>
            <wp:docPr id="537" name="Picture 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
                    <pic:cNvPicPr>
                      <a:picLocks noChangeAspect="1" noChangeArrowheads="1"/>
                    </pic:cNvPicPr>
                  </pic:nvPicPr>
                  <pic:blipFill>
                    <a:blip r:embed="rId574">
                      <a:extLst>
                        <a:ext uri="{28A0092B-C50C-407E-A947-70E740481C1C}"/>
                      </a:extLst>
                    </a:blip>
                    <a:srcRect/>
                    <a:stretch>
                      <a:fillRect/>
                    </a:stretch>
                  </pic:blipFill>
                  <pic:spPr bwMode="auto">
                    <a:xfrm>
                      <a:off x="0" y="0"/>
                      <a:ext cx="3416300" cy="6985"/>
                    </a:xfrm>
                    <a:prstGeom prst="rect">
                      <a:avLst/>
                    </a:prstGeom>
                    <a:noFill/>
                  </pic:spPr>
                </pic:pic>
              </a:graphicData>
            </a:graphic>
          </wp:anchor>
        </w:drawing>
      </w:r>
    </w:p>
    <w:p>
      <w:pPr>
        <w:spacing w:after="0" w:line="394" w:lineRule="exact"/>
        <w:rPr>
          <w:sz w:val="20"/>
          <w:szCs w:val="20"/>
          <w:color w:val="auto"/>
        </w:rPr>
      </w:pPr>
    </w:p>
    <w:p>
      <w:pPr>
        <w:jc w:val="center"/>
        <w:ind w:right="4880"/>
        <w:spacing w:after="0"/>
        <w:rPr>
          <w:sz w:val="20"/>
          <w:szCs w:val="20"/>
          <w:color w:val="auto"/>
        </w:rPr>
      </w:pPr>
      <w:r>
        <w:rPr>
          <w:rFonts w:ascii="Arial" w:cs="Arial" w:eastAsia="Arial" w:hAnsi="Arial"/>
          <w:sz w:val="14"/>
          <w:szCs w:val="14"/>
          <w:color w:val="auto"/>
        </w:rPr>
        <w:t>Title</w:t>
      </w:r>
    </w:p>
    <w:p>
      <w:pPr>
        <w:spacing w:after="0" w:line="572" w:lineRule="exact"/>
        <w:rPr>
          <w:sz w:val="20"/>
          <w:szCs w:val="20"/>
          <w:color w:val="auto"/>
        </w:rPr>
      </w:pPr>
    </w:p>
    <w:p>
      <w:pPr>
        <w:sectPr>
          <w:pgSz w:w="11900" w:h="16838" w:orient="portrait"/>
          <w:cols w:equalWidth="0" w:num="2">
            <w:col w:w="5340" w:space="720"/>
            <w:col w:w="5160"/>
          </w:cols>
          <w:pgMar w:left="240" w:top="253" w:right="4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ind w:right="-199"/>
        <w:spacing w:after="0"/>
        <w:rPr>
          <w:sz w:val="20"/>
          <w:szCs w:val="20"/>
          <w:color w:val="auto"/>
        </w:rPr>
      </w:pPr>
      <w:r>
        <w:rPr>
          <w:rFonts w:ascii="Arial" w:cs="Arial" w:eastAsia="Arial" w:hAnsi="Arial"/>
          <w:sz w:val="14"/>
          <w:szCs w:val="14"/>
          <w:color w:val="auto"/>
        </w:rPr>
        <w:t>- 2 -</w:t>
      </w:r>
    </w:p>
    <w:p>
      <w:pPr>
        <w:sectPr>
          <w:pgSz w:w="11900" w:h="16838" w:orient="portrait"/>
          <w:cols w:equalWidth="0" w:num="1">
            <w:col w:w="11220"/>
          </w:cols>
          <w:pgMar w:left="240" w:top="253" w:right="439" w:bottom="1440" w:gutter="0" w:footer="0" w:header="0"/>
          <w:type w:val="continuous"/>
        </w:sectPr>
      </w:pPr>
    </w:p>
    <w:bookmarkStart w:id="378" w:name="page379"/>
    <w:bookmarkEnd w:id="378"/>
    <w:p>
      <w:pPr>
        <w:jc w:val="center"/>
        <w:spacing w:after="0"/>
        <w:rPr>
          <w:sz w:val="20"/>
          <w:szCs w:val="20"/>
          <w:color w:val="auto"/>
        </w:rPr>
      </w:pPr>
      <w:r>
        <w:rPr>
          <w:rFonts w:ascii="Arial" w:cs="Arial" w:eastAsia="Arial" w:hAnsi="Arial"/>
          <w:sz w:val="15"/>
          <w:szCs w:val="15"/>
          <w:b w:val="1"/>
          <w:bCs w:val="1"/>
          <w:u w:val="single" w:color="auto"/>
          <w:color w:val="auto"/>
        </w:rPr>
        <w:drawing>
          <wp:anchor simplePos="0" relativeHeight="251657728" behindDoc="1" locked="0" layoutInCell="0" allowOverlap="1">
            <wp:simplePos x="0" y="0"/>
            <wp:positionH relativeFrom="page">
              <wp:posOffset>133350</wp:posOffset>
            </wp:positionH>
            <wp:positionV relativeFrom="page">
              <wp:posOffset>88900</wp:posOffset>
            </wp:positionV>
            <wp:extent cx="7308850" cy="34290"/>
            <wp:wrapNone/>
            <wp:docPr id="538" name="Picture 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
                    <pic:cNvPicPr>
                      <a:picLocks noChangeAspect="1" noChangeArrowheads="1"/>
                    </pic:cNvPicPr>
                  </pic:nvPicPr>
                  <pic:blipFill>
                    <a:blip r:embed="rId575">
                      <a:extLst>
                        <a:ext uri="{28A0092B-C50C-407E-A947-70E740481C1C}"/>
                      </a:extLst>
                    </a:blip>
                    <a:srcRect/>
                    <a:stretch>
                      <a:fillRect/>
                    </a:stretch>
                  </pic:blipFill>
                  <pic:spPr bwMode="auto">
                    <a:xfrm>
                      <a:off x="0" y="0"/>
                      <a:ext cx="7308850" cy="34290"/>
                    </a:xfrm>
                    <a:prstGeom prst="rect">
                      <a:avLst/>
                    </a:prstGeom>
                    <a:noFill/>
                  </pic:spPr>
                </pic:pic>
              </a:graphicData>
            </a:graphic>
          </wp:anchor>
        </w:drawing>
        <w:t>EXHIBIT A</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5"/>
          <w:szCs w:val="15"/>
          <w:b w:val="1"/>
          <w:bCs w:val="1"/>
          <w:u w:val="single" w:color="auto"/>
          <w:color w:val="auto"/>
        </w:rPr>
        <w:t>TERMS AND CONDITIONS OF RESTRICTED STOCK UNIT GRANT</w:t>
      </w:r>
    </w:p>
    <w:p>
      <w:pPr>
        <w:spacing w:after="0" w:line="192" w:lineRule="exact"/>
        <w:rPr>
          <w:sz w:val="20"/>
          <w:szCs w:val="20"/>
          <w:color w:val="auto"/>
        </w:rPr>
      </w:pPr>
    </w:p>
    <w:p>
      <w:pPr>
        <w:ind w:left="-20" w:right="20" w:firstLine="448"/>
        <w:spacing w:after="0" w:line="259" w:lineRule="auto"/>
        <w:tabs>
          <w:tab w:leader="none" w:pos="701" w:val="left"/>
        </w:tabs>
        <w:numPr>
          <w:ilvl w:val="0"/>
          <w:numId w:val="309"/>
        </w:numPr>
        <w:rPr>
          <w:rFonts w:ascii="Arial" w:cs="Arial" w:eastAsia="Arial" w:hAnsi="Arial"/>
          <w:sz w:val="15"/>
          <w:szCs w:val="15"/>
          <w:color w:val="auto"/>
        </w:rPr>
      </w:pPr>
      <w:r>
        <w:rPr>
          <w:rFonts w:ascii="Arial" w:cs="Arial" w:eastAsia="Arial" w:hAnsi="Arial"/>
          <w:sz w:val="15"/>
          <w:szCs w:val="15"/>
          <w:u w:val="single" w:color="auto"/>
          <w:color w:val="auto"/>
        </w:rPr>
        <w:t>Grant of Restricted Stock Units</w:t>
      </w:r>
      <w:r>
        <w:rPr>
          <w:rFonts w:ascii="Arial" w:cs="Arial" w:eastAsia="Arial" w:hAnsi="Arial"/>
          <w:sz w:val="15"/>
          <w:szCs w:val="15"/>
          <w:color w:val="auto"/>
        </w:rPr>
        <w:t>. The Company hereby grants to the individual (the “Participant”) named in the Notice of Grant of Restricted Stock Units of this Award Agreement (the “Notice of Grant”) under the Plan an Award of Restricted Stock Units, subject to all of the terms and conditions in this Award Agreement and the Plan, which is incorporated herein by reference. Subject to Section 19(c) of the Plan, in the event of a conflict between the terms and conditions of the Plan and this Award Agreement, the terms and conditions of the Plan shall prevail.</w:t>
      </w:r>
    </w:p>
    <w:p>
      <w:pPr>
        <w:spacing w:after="0" w:line="157" w:lineRule="exact"/>
        <w:rPr>
          <w:rFonts w:ascii="Arial" w:cs="Arial" w:eastAsia="Arial" w:hAnsi="Arial"/>
          <w:sz w:val="15"/>
          <w:szCs w:val="15"/>
          <w:color w:val="auto"/>
        </w:rPr>
      </w:pPr>
    </w:p>
    <w:p>
      <w:pPr>
        <w:ind w:left="-20" w:right="60" w:firstLine="448"/>
        <w:spacing w:after="0" w:line="290" w:lineRule="auto"/>
        <w:tabs>
          <w:tab w:leader="none" w:pos="701" w:val="left"/>
        </w:tabs>
        <w:numPr>
          <w:ilvl w:val="0"/>
          <w:numId w:val="309"/>
        </w:numPr>
        <w:rPr>
          <w:rFonts w:ascii="Arial" w:cs="Arial" w:eastAsia="Arial" w:hAnsi="Arial"/>
          <w:sz w:val="14"/>
          <w:szCs w:val="14"/>
          <w:color w:val="auto"/>
        </w:rPr>
      </w:pPr>
      <w:r>
        <w:rPr>
          <w:rFonts w:ascii="Arial" w:cs="Arial" w:eastAsia="Arial" w:hAnsi="Arial"/>
          <w:sz w:val="14"/>
          <w:szCs w:val="14"/>
          <w:u w:val="single" w:color="auto"/>
          <w:color w:val="auto"/>
        </w:rPr>
        <w:t>Company’s Obligation to Pay</w:t>
      </w:r>
      <w:r>
        <w:rPr>
          <w:rFonts w:ascii="Arial" w:cs="Arial" w:eastAsia="Arial" w:hAnsi="Arial"/>
          <w:sz w:val="14"/>
          <w:szCs w:val="14"/>
          <w:color w:val="auto"/>
        </w:rPr>
        <w:t>. Each Restricted Stock Unit represents the right to receive a Share on the date it vests. Unless and until the Restricted Stock Units will have vested in the manner set forth in Section 3 or 4, Participant will have no right to payment of any such Restricted Stock Units. Prior to actual payment of any vested Restricted Stock Units, such Restricted Stock Unit will represent an unsecured obligation of the Company, payable (if at all) only from the general assets of the Company.</w:t>
      </w:r>
    </w:p>
    <w:p>
      <w:pPr>
        <w:spacing w:after="0" w:line="138" w:lineRule="exact"/>
        <w:rPr>
          <w:rFonts w:ascii="Arial" w:cs="Arial" w:eastAsia="Arial" w:hAnsi="Arial"/>
          <w:sz w:val="14"/>
          <w:szCs w:val="14"/>
          <w:color w:val="auto"/>
        </w:rPr>
      </w:pPr>
    </w:p>
    <w:p>
      <w:pPr>
        <w:ind w:left="-20" w:right="440" w:firstLine="448"/>
        <w:spacing w:after="0" w:line="275" w:lineRule="auto"/>
        <w:tabs>
          <w:tab w:leader="none" w:pos="701" w:val="left"/>
        </w:tabs>
        <w:numPr>
          <w:ilvl w:val="0"/>
          <w:numId w:val="309"/>
        </w:numPr>
        <w:rPr>
          <w:rFonts w:ascii="Arial" w:cs="Arial" w:eastAsia="Arial" w:hAnsi="Arial"/>
          <w:sz w:val="15"/>
          <w:szCs w:val="15"/>
          <w:color w:val="auto"/>
        </w:rPr>
      </w:pPr>
      <w:r>
        <w:rPr>
          <w:rFonts w:ascii="Arial" w:cs="Arial" w:eastAsia="Arial" w:hAnsi="Arial"/>
          <w:sz w:val="15"/>
          <w:szCs w:val="15"/>
          <w:u w:val="single" w:color="auto"/>
          <w:color w:val="auto"/>
        </w:rPr>
        <w:t>Vesting Schedule</w:t>
      </w:r>
      <w:r>
        <w:rPr>
          <w:rFonts w:ascii="Arial" w:cs="Arial" w:eastAsia="Arial" w:hAnsi="Arial"/>
          <w:sz w:val="15"/>
          <w:szCs w:val="15"/>
          <w:color w:val="auto"/>
        </w:rPr>
        <w:t>. Except as provided in Section 4, and subject to Section 5, the Restricted Stock Units awarded by this Award Agreement will vest in accordance with the vesting schedule set forth in the Notice of Grant, subject to Participant continuing to be a Service Provider through each applicable vesting date.</w:t>
      </w:r>
    </w:p>
    <w:p>
      <w:pPr>
        <w:spacing w:after="0" w:line="236" w:lineRule="exact"/>
        <w:rPr>
          <w:rFonts w:ascii="Arial" w:cs="Arial" w:eastAsia="Arial" w:hAnsi="Arial"/>
          <w:sz w:val="15"/>
          <w:szCs w:val="15"/>
          <w:color w:val="auto"/>
        </w:rPr>
      </w:pPr>
    </w:p>
    <w:p>
      <w:pPr>
        <w:ind w:left="700" w:hanging="272"/>
        <w:spacing w:after="0"/>
        <w:tabs>
          <w:tab w:leader="none" w:pos="700" w:val="left"/>
        </w:tabs>
        <w:numPr>
          <w:ilvl w:val="0"/>
          <w:numId w:val="309"/>
        </w:numPr>
        <w:rPr>
          <w:rFonts w:ascii="Arial" w:cs="Arial" w:eastAsia="Arial" w:hAnsi="Arial"/>
          <w:sz w:val="15"/>
          <w:szCs w:val="15"/>
          <w:color w:val="auto"/>
        </w:rPr>
      </w:pPr>
      <w:r>
        <w:rPr>
          <w:rFonts w:ascii="Arial" w:cs="Arial" w:eastAsia="Arial" w:hAnsi="Arial"/>
          <w:sz w:val="15"/>
          <w:szCs w:val="15"/>
          <w:u w:val="single" w:color="auto"/>
          <w:color w:val="auto"/>
        </w:rPr>
        <w:t>Payment after Vesting</w:t>
      </w:r>
      <w:r>
        <w:rPr>
          <w:rFonts w:ascii="Arial" w:cs="Arial" w:eastAsia="Arial" w:hAnsi="Arial"/>
          <w:sz w:val="15"/>
          <w:szCs w:val="15"/>
          <w:color w:val="auto"/>
        </w:rPr>
        <w:t>.</w:t>
      </w:r>
    </w:p>
    <w:p>
      <w:pPr>
        <w:spacing w:after="0" w:line="98" w:lineRule="exact"/>
        <w:rPr>
          <w:rFonts w:ascii="Arial" w:cs="Arial" w:eastAsia="Arial" w:hAnsi="Arial"/>
          <w:sz w:val="15"/>
          <w:szCs w:val="15"/>
          <w:color w:val="auto"/>
        </w:rPr>
      </w:pPr>
    </w:p>
    <w:p>
      <w:pPr>
        <w:ind w:left="-20" w:firstLine="906"/>
        <w:spacing w:after="0" w:line="259" w:lineRule="auto"/>
        <w:tabs>
          <w:tab w:leader="none" w:pos="1213" w:val="left"/>
        </w:tabs>
        <w:numPr>
          <w:ilvl w:val="1"/>
          <w:numId w:val="309"/>
        </w:numPr>
        <w:rPr>
          <w:rFonts w:ascii="Arial" w:cs="Arial" w:eastAsia="Arial" w:hAnsi="Arial"/>
          <w:sz w:val="15"/>
          <w:szCs w:val="15"/>
          <w:color w:val="auto"/>
        </w:rPr>
      </w:pPr>
      <w:r>
        <w:rPr>
          <w:rFonts w:ascii="Arial" w:cs="Arial" w:eastAsia="Arial" w:hAnsi="Arial"/>
          <w:sz w:val="15"/>
          <w:szCs w:val="15"/>
          <w:u w:val="single" w:color="auto"/>
          <w:color w:val="auto"/>
        </w:rPr>
        <w:t>General Rule</w:t>
      </w:r>
      <w:r>
        <w:rPr>
          <w:rFonts w:ascii="Arial" w:cs="Arial" w:eastAsia="Arial" w:hAnsi="Arial"/>
          <w:sz w:val="15"/>
          <w:szCs w:val="15"/>
          <w:color w:val="auto"/>
        </w:rPr>
        <w:t>. Subject to Section 8, any Restricted Stock Units that vest will be paid to Participant (or in the event of Participant’s death, to his or her properly designated beneficiary or estate) in whole Shares. Subject to the provisions of Section 4(b), such vested Restricted Stock Units shall be paid in whole Shares as soon as practicable after vesting, but in each such case within sixty (60) days following the vesting date. In no event will Participant be permitted, directly or indirectly, to specify the taxable year of payment of any Restricted Stock Units payable under this Award Agreement.</w:t>
      </w:r>
    </w:p>
    <w:p>
      <w:pPr>
        <w:spacing w:after="0" w:line="247" w:lineRule="exact"/>
        <w:rPr>
          <w:rFonts w:ascii="Arial" w:cs="Arial" w:eastAsia="Arial" w:hAnsi="Arial"/>
          <w:sz w:val="15"/>
          <w:szCs w:val="15"/>
          <w:color w:val="auto"/>
        </w:rPr>
      </w:pPr>
    </w:p>
    <w:p>
      <w:pPr>
        <w:ind w:left="1220" w:hanging="334"/>
        <w:spacing w:after="0"/>
        <w:tabs>
          <w:tab w:leader="none" w:pos="1220" w:val="left"/>
        </w:tabs>
        <w:numPr>
          <w:ilvl w:val="1"/>
          <w:numId w:val="309"/>
        </w:numPr>
        <w:rPr>
          <w:rFonts w:ascii="Arial" w:cs="Arial" w:eastAsia="Arial" w:hAnsi="Arial"/>
          <w:sz w:val="15"/>
          <w:szCs w:val="15"/>
          <w:color w:val="auto"/>
        </w:rPr>
      </w:pPr>
      <w:r>
        <w:rPr>
          <w:rFonts w:ascii="Arial" w:cs="Arial" w:eastAsia="Arial" w:hAnsi="Arial"/>
          <w:sz w:val="15"/>
          <w:szCs w:val="15"/>
          <w:u w:val="single" w:color="auto"/>
          <w:color w:val="auto"/>
        </w:rPr>
        <w:t>Acceleration</w:t>
      </w:r>
      <w:r>
        <w:rPr>
          <w:rFonts w:ascii="Arial" w:cs="Arial" w:eastAsia="Arial" w:hAnsi="Arial"/>
          <w:sz w:val="15"/>
          <w:szCs w:val="15"/>
          <w:color w:val="auto"/>
        </w:rPr>
        <w:t>.</w:t>
      </w:r>
    </w:p>
    <w:p>
      <w:pPr>
        <w:spacing w:after="0" w:line="98" w:lineRule="exact"/>
        <w:rPr>
          <w:rFonts w:ascii="Arial" w:cs="Arial" w:eastAsia="Arial" w:hAnsi="Arial"/>
          <w:sz w:val="15"/>
          <w:szCs w:val="15"/>
          <w:color w:val="auto"/>
        </w:rPr>
      </w:pPr>
    </w:p>
    <w:p>
      <w:pPr>
        <w:ind w:left="-20" w:firstLine="1478"/>
        <w:spacing w:after="0" w:line="311" w:lineRule="auto"/>
        <w:tabs>
          <w:tab w:leader="none" w:pos="1760" w:val="left"/>
        </w:tabs>
        <w:numPr>
          <w:ilvl w:val="2"/>
          <w:numId w:val="309"/>
        </w:numPr>
        <w:rPr>
          <w:rFonts w:ascii="Arial" w:cs="Arial" w:eastAsia="Arial" w:hAnsi="Arial"/>
          <w:sz w:val="13"/>
          <w:szCs w:val="13"/>
          <w:color w:val="auto"/>
        </w:rPr>
      </w:pPr>
      <w:r>
        <w:rPr>
          <w:rFonts w:ascii="Arial" w:cs="Arial" w:eastAsia="Arial" w:hAnsi="Arial"/>
          <w:sz w:val="13"/>
          <w:szCs w:val="13"/>
          <w:u w:val="single" w:color="auto"/>
          <w:color w:val="auto"/>
        </w:rPr>
        <w:t>Discretionary Acceleration</w:t>
      </w:r>
      <w:r>
        <w:rPr>
          <w:rFonts w:ascii="Arial" w:cs="Arial" w:eastAsia="Arial" w:hAnsi="Arial"/>
          <w:sz w:val="13"/>
          <w:szCs w:val="13"/>
          <w:color w:val="auto"/>
        </w:rPr>
        <w:t>. The Administrator, in its discretion, may accelerate the vesting of the balance, or some lesser portion of the balance, of the unvested Restricted Stock Units at any time, subject to the terms of the Plan. If so accelerated, such Restricted Stock Units will be considered as having vested as of the date specified by the Administrator. If Participant is a U.S. taxpayer, the payment of Shares vesting pursuant to this Section 4(b) shall in all cases be paid at a time or in a manner that is exempt from, or complies with, Section 409A. The prior sentence may be superseded in a future agreement or amendment to this Award Agreement only by direct and specific reference to such sentence.</w:t>
      </w:r>
    </w:p>
    <w:p>
      <w:pPr>
        <w:spacing w:after="0" w:line="127" w:lineRule="exact"/>
        <w:rPr>
          <w:rFonts w:ascii="Arial" w:cs="Arial" w:eastAsia="Arial" w:hAnsi="Arial"/>
          <w:sz w:val="13"/>
          <w:szCs w:val="13"/>
          <w:color w:val="auto"/>
        </w:rPr>
      </w:pPr>
    </w:p>
    <w:p>
      <w:pPr>
        <w:ind w:left="-20" w:right="380" w:firstLine="1478"/>
        <w:spacing w:after="0" w:line="275" w:lineRule="auto"/>
        <w:tabs>
          <w:tab w:leader="none" w:pos="1802" w:val="left"/>
        </w:tabs>
        <w:numPr>
          <w:ilvl w:val="2"/>
          <w:numId w:val="309"/>
        </w:numPr>
        <w:rPr>
          <w:rFonts w:ascii="Arial" w:cs="Arial" w:eastAsia="Arial" w:hAnsi="Arial"/>
          <w:sz w:val="15"/>
          <w:szCs w:val="15"/>
          <w:color w:val="auto"/>
        </w:rPr>
      </w:pPr>
      <w:r>
        <w:rPr>
          <w:rFonts w:ascii="Arial" w:cs="Arial" w:eastAsia="Arial" w:hAnsi="Arial"/>
          <w:sz w:val="15"/>
          <w:szCs w:val="15"/>
          <w:color w:val="auto"/>
        </w:rPr>
        <w:t>Notwithstanding anything in the Plan or this Award Agreement or any other agreement (whether entered into before, on or after the Date of Grant), if the vesting of the balance, or some lesser portion of the balance, of the Restricted Stock Units is accelerated in</w:t>
      </w:r>
    </w:p>
    <w:p>
      <w:pPr>
        <w:sectPr>
          <w:pgSz w:w="11900" w:h="16838" w:orient="portrait"/>
          <w:cols w:equalWidth="0" w:num="1">
            <w:col w:w="11380"/>
          </w:cols>
          <w:pgMar w:left="260" w:top="249" w:right="259" w:bottom="1440" w:gutter="0" w:footer="0" w:header="0"/>
        </w:sectPr>
      </w:pPr>
    </w:p>
    <w:bookmarkStart w:id="379" w:name="page380"/>
    <w:bookmarkEnd w:id="379"/>
    <w:p>
      <w:pPr>
        <w:ind w:left="10" w:right="80"/>
        <w:spacing w:after="0" w:line="294" w:lineRule="auto"/>
        <w:rPr>
          <w:sz w:val="20"/>
          <w:szCs w:val="20"/>
          <w:color w:val="auto"/>
        </w:rPr>
      </w:pPr>
      <w:r>
        <w:rPr>
          <w:rFonts w:ascii="Arial" w:cs="Arial" w:eastAsia="Arial" w:hAnsi="Arial"/>
          <w:sz w:val="13"/>
          <w:szCs w:val="13"/>
          <w:color w:val="auto"/>
        </w:rPr>
        <w:drawing>
          <wp:anchor simplePos="0" relativeHeight="251657728" behindDoc="1" locked="0" layoutInCell="0" allowOverlap="1">
            <wp:simplePos x="0" y="0"/>
            <wp:positionH relativeFrom="page">
              <wp:posOffset>133350</wp:posOffset>
            </wp:positionH>
            <wp:positionV relativeFrom="page">
              <wp:posOffset>88900</wp:posOffset>
            </wp:positionV>
            <wp:extent cx="7308850" cy="34290"/>
            <wp:wrapNone/>
            <wp:docPr id="539" name="Picture 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
                    <pic:cNvPicPr>
                      <a:picLocks noChangeAspect="1" noChangeArrowheads="1"/>
                    </pic:cNvPicPr>
                  </pic:nvPicPr>
                  <pic:blipFill>
                    <a:blip r:embed="rId576">
                      <a:extLst>
                        <a:ext uri="{28A0092B-C50C-407E-A947-70E740481C1C}"/>
                      </a:extLst>
                    </a:blip>
                    <a:srcRect/>
                    <a:stretch>
                      <a:fillRect/>
                    </a:stretch>
                  </pic:blipFill>
                  <pic:spPr bwMode="auto">
                    <a:xfrm>
                      <a:off x="0" y="0"/>
                      <a:ext cx="7308850" cy="34290"/>
                    </a:xfrm>
                    <a:prstGeom prst="rect">
                      <a:avLst/>
                    </a:prstGeom>
                    <a:noFill/>
                  </pic:spPr>
                </pic:pic>
              </a:graphicData>
            </a:graphic>
          </wp:anchor>
        </w:drawing>
        <w:t>connection with Participant’s termination as a Service Provider (provided that such termination is a “separation from service” within the meaning of Section 409A, as determined by the Company), other than due to Participant’s death, and if (x) Participant is a U.S. taxpayer and a “specified employee” within the meaning of Section 409A at the time of such termination as a Service Provider and (y) the payment of such accelerated Restricted Stock Units will result in the imposition of additional tax under Section 409A if paid to Participant on or within the six</w:t>
      </w:r>
    </w:p>
    <w:p>
      <w:pPr>
        <w:spacing w:after="0" w:line="1" w:lineRule="exact"/>
        <w:rPr>
          <w:sz w:val="20"/>
          <w:szCs w:val="20"/>
          <w:color w:val="auto"/>
        </w:rPr>
      </w:pPr>
    </w:p>
    <w:p>
      <w:pPr>
        <w:ind w:left="210" w:hanging="210"/>
        <w:spacing w:after="0"/>
        <w:tabs>
          <w:tab w:leader="none" w:pos="210" w:val="left"/>
        </w:tabs>
        <w:numPr>
          <w:ilvl w:val="0"/>
          <w:numId w:val="310"/>
        </w:numPr>
        <w:rPr>
          <w:rFonts w:ascii="Arial" w:cs="Arial" w:eastAsia="Arial" w:hAnsi="Arial"/>
          <w:sz w:val="13"/>
          <w:szCs w:val="13"/>
          <w:color w:val="auto"/>
        </w:rPr>
      </w:pPr>
      <w:r>
        <w:rPr>
          <w:rFonts w:ascii="Arial" w:cs="Arial" w:eastAsia="Arial" w:hAnsi="Arial"/>
          <w:sz w:val="13"/>
          <w:szCs w:val="13"/>
          <w:color w:val="auto"/>
        </w:rPr>
        <w:t>month period following Participant’s termination as a Service Provider, then the payment of such accelerated Restricted Stock Units will not be made until the date six (6) months and one</w:t>
      </w:r>
    </w:p>
    <w:p>
      <w:pPr>
        <w:spacing w:after="0" w:line="30" w:lineRule="exact"/>
        <w:rPr>
          <w:rFonts w:ascii="Arial" w:cs="Arial" w:eastAsia="Arial" w:hAnsi="Arial"/>
          <w:sz w:val="13"/>
          <w:szCs w:val="13"/>
          <w:color w:val="auto"/>
        </w:rPr>
      </w:pPr>
    </w:p>
    <w:p>
      <w:pPr>
        <w:ind w:left="10" w:right="40" w:hanging="10"/>
        <w:spacing w:after="0" w:line="262" w:lineRule="auto"/>
        <w:tabs>
          <w:tab w:leader="none" w:pos="223" w:val="left"/>
        </w:tabs>
        <w:numPr>
          <w:ilvl w:val="0"/>
          <w:numId w:val="311"/>
        </w:numPr>
        <w:rPr>
          <w:rFonts w:ascii="Arial" w:cs="Arial" w:eastAsia="Arial" w:hAnsi="Arial"/>
          <w:sz w:val="15"/>
          <w:szCs w:val="15"/>
          <w:color w:val="auto"/>
        </w:rPr>
      </w:pPr>
      <w:r>
        <w:rPr>
          <w:rFonts w:ascii="Arial" w:cs="Arial" w:eastAsia="Arial" w:hAnsi="Arial"/>
          <w:sz w:val="15"/>
          <w:szCs w:val="15"/>
          <w:color w:val="auto"/>
        </w:rPr>
        <w:t>day following the date of Participant’s termination as a Service Provider, unless Participant dies following his or her termination as a Service Provider, in which case, the Restricted Stock Units will be paid in Shares to Participant’s estate as soon as practicable following his or her death.</w:t>
      </w:r>
    </w:p>
    <w:p>
      <w:pPr>
        <w:spacing w:after="0" w:line="155" w:lineRule="exact"/>
        <w:rPr>
          <w:rFonts w:ascii="Arial" w:cs="Arial" w:eastAsia="Arial" w:hAnsi="Arial"/>
          <w:sz w:val="15"/>
          <w:szCs w:val="15"/>
          <w:color w:val="auto"/>
        </w:rPr>
      </w:pPr>
    </w:p>
    <w:p>
      <w:pPr>
        <w:ind w:left="10" w:right="20" w:firstLine="1478"/>
        <w:spacing w:after="0" w:line="277" w:lineRule="auto"/>
        <w:tabs>
          <w:tab w:leader="none" w:pos="1815" w:val="left"/>
        </w:tabs>
        <w:numPr>
          <w:ilvl w:val="2"/>
          <w:numId w:val="311"/>
        </w:numPr>
        <w:rPr>
          <w:rFonts w:ascii="Arial" w:cs="Arial" w:eastAsia="Arial" w:hAnsi="Arial"/>
          <w:sz w:val="14"/>
          <w:szCs w:val="14"/>
          <w:color w:val="auto"/>
        </w:rPr>
      </w:pPr>
      <w:r>
        <w:rPr>
          <w:rFonts w:ascii="Arial" w:cs="Arial" w:eastAsia="Arial" w:hAnsi="Arial"/>
          <w:sz w:val="14"/>
          <w:szCs w:val="14"/>
          <w:u w:val="single" w:color="auto"/>
          <w:color w:val="auto"/>
        </w:rPr>
        <w:t>Section 409A</w:t>
      </w:r>
      <w:r>
        <w:rPr>
          <w:rFonts w:ascii="Arial" w:cs="Arial" w:eastAsia="Arial" w:hAnsi="Arial"/>
          <w:sz w:val="14"/>
          <w:szCs w:val="14"/>
          <w:color w:val="auto"/>
        </w:rPr>
        <w:t>. It is the intent of this Award Agreement that it and all payments and benefits to U.S. taxpayers hereunder be exempt from, or comply with, the requirements of Section 409A so that none of the Restricted Stock Units provided under this Award Agreement or Shares issuable thereunder will be subject to the additional tax imposed under Section 409A, and any ambiguities herein will be interpreted to be so exempt or so comply. Each payment payable under this Award Agreement is intended to constitute a separate payment for purposes of Treasury Regulation Section 1.409A-2(b)(2). However, in no event will the Company reimburse Participant, or be otherwise responsible for, any taxes or costs that may be imposed on Participant as a result of Section 409A. For purposes of this Award Agreement, “Section 409A” means Section 409A of the Code, and any final Treasury Regulations and Internal Revenue Service guidance thereunder, as each may be amended from time to time.</w:t>
      </w:r>
    </w:p>
    <w:p>
      <w:pPr>
        <w:spacing w:after="0" w:line="148" w:lineRule="exact"/>
        <w:rPr>
          <w:rFonts w:ascii="Arial" w:cs="Arial" w:eastAsia="Arial" w:hAnsi="Arial"/>
          <w:sz w:val="14"/>
          <w:szCs w:val="14"/>
          <w:color w:val="auto"/>
        </w:rPr>
      </w:pPr>
    </w:p>
    <w:p>
      <w:pPr>
        <w:ind w:left="10" w:right="80" w:firstLine="448"/>
        <w:spacing w:after="0" w:line="263" w:lineRule="auto"/>
        <w:tabs>
          <w:tab w:leader="none" w:pos="731" w:val="left"/>
        </w:tabs>
        <w:numPr>
          <w:ilvl w:val="1"/>
          <w:numId w:val="311"/>
        </w:numPr>
        <w:rPr>
          <w:rFonts w:ascii="Arial" w:cs="Arial" w:eastAsia="Arial" w:hAnsi="Arial"/>
          <w:sz w:val="15"/>
          <w:szCs w:val="15"/>
          <w:color w:val="auto"/>
        </w:rPr>
      </w:pPr>
      <w:r>
        <w:rPr>
          <w:rFonts w:ascii="Arial" w:cs="Arial" w:eastAsia="Arial" w:hAnsi="Arial"/>
          <w:sz w:val="15"/>
          <w:szCs w:val="15"/>
          <w:u w:val="single" w:color="auto"/>
          <w:color w:val="auto"/>
        </w:rPr>
        <w:t>Forfeiture Upon Termination as a Service Provider</w:t>
      </w:r>
      <w:r>
        <w:rPr>
          <w:rFonts w:ascii="Arial" w:cs="Arial" w:eastAsia="Arial" w:hAnsi="Arial"/>
          <w:sz w:val="15"/>
          <w:szCs w:val="15"/>
          <w:color w:val="auto"/>
        </w:rPr>
        <w:t>. Notwithstanding any contrary provision of this Award Agreement, if Participant ceases to be a Service Provider for any or no reason, the then-unvested Restricted Stock Units awarded by this Award Agreement will thereupon be forfeited at no cost to the Company and Participant will have no further rights thereunder.</w:t>
      </w:r>
    </w:p>
    <w:p>
      <w:pPr>
        <w:spacing w:after="0" w:line="154" w:lineRule="exact"/>
        <w:rPr>
          <w:rFonts w:ascii="Arial" w:cs="Arial" w:eastAsia="Arial" w:hAnsi="Arial"/>
          <w:sz w:val="15"/>
          <w:szCs w:val="15"/>
          <w:color w:val="auto"/>
        </w:rPr>
      </w:pPr>
    </w:p>
    <w:p>
      <w:pPr>
        <w:ind w:left="10" w:firstLine="448"/>
        <w:spacing w:after="0" w:line="259" w:lineRule="auto"/>
        <w:tabs>
          <w:tab w:leader="none" w:pos="731" w:val="left"/>
        </w:tabs>
        <w:numPr>
          <w:ilvl w:val="1"/>
          <w:numId w:val="311"/>
        </w:numPr>
        <w:rPr>
          <w:rFonts w:ascii="Arial" w:cs="Arial" w:eastAsia="Arial" w:hAnsi="Arial"/>
          <w:sz w:val="15"/>
          <w:szCs w:val="15"/>
          <w:color w:val="auto"/>
        </w:rPr>
      </w:pPr>
      <w:r>
        <w:rPr>
          <w:rFonts w:ascii="Arial" w:cs="Arial" w:eastAsia="Arial" w:hAnsi="Arial"/>
          <w:sz w:val="15"/>
          <w:szCs w:val="15"/>
          <w:u w:val="single" w:color="auto"/>
          <w:color w:val="auto"/>
        </w:rPr>
        <w:t>Tax Consequences</w:t>
      </w:r>
      <w:r>
        <w:rPr>
          <w:rFonts w:ascii="Arial" w:cs="Arial" w:eastAsia="Arial" w:hAnsi="Arial"/>
          <w:sz w:val="15"/>
          <w:szCs w:val="15"/>
          <w:color w:val="auto"/>
        </w:rPr>
        <w:t>. Participant has reviewed with his or her own tax advisors the U.S. federal, state, local and non-U.S. tax consequences of this investment and the transactions contemplated by this Award Agreement. With respect to such matters, Participant relies solely on such advisors and not on any statements or representations of the Company or any of its agents, written or oral. Participant understands that Participant (and not the Company) shall be responsible for Participant’s own tax liability that may arise as a result of this investment or the transactions contemplated by this Award Agreement.</w:t>
      </w:r>
    </w:p>
    <w:p>
      <w:pPr>
        <w:spacing w:after="0" w:line="157" w:lineRule="exact"/>
        <w:rPr>
          <w:rFonts w:ascii="Arial" w:cs="Arial" w:eastAsia="Arial" w:hAnsi="Arial"/>
          <w:sz w:val="15"/>
          <w:szCs w:val="15"/>
          <w:color w:val="auto"/>
        </w:rPr>
      </w:pPr>
    </w:p>
    <w:p>
      <w:pPr>
        <w:jc w:val="both"/>
        <w:ind w:left="10" w:right="100" w:firstLine="448"/>
        <w:spacing w:after="0" w:line="322" w:lineRule="auto"/>
        <w:tabs>
          <w:tab w:leader="none" w:pos="731" w:val="left"/>
        </w:tabs>
        <w:numPr>
          <w:ilvl w:val="1"/>
          <w:numId w:val="311"/>
        </w:numPr>
        <w:rPr>
          <w:rFonts w:ascii="Arial" w:cs="Arial" w:eastAsia="Arial" w:hAnsi="Arial"/>
          <w:sz w:val="13"/>
          <w:szCs w:val="13"/>
          <w:color w:val="auto"/>
        </w:rPr>
      </w:pPr>
      <w:r>
        <w:rPr>
          <w:rFonts w:ascii="Arial" w:cs="Arial" w:eastAsia="Arial" w:hAnsi="Arial"/>
          <w:sz w:val="13"/>
          <w:szCs w:val="13"/>
          <w:u w:val="single" w:color="auto"/>
          <w:color w:val="auto"/>
        </w:rPr>
        <w:t>Death of Participant</w:t>
      </w:r>
      <w:r>
        <w:rPr>
          <w:rFonts w:ascii="Arial" w:cs="Arial" w:eastAsia="Arial" w:hAnsi="Arial"/>
          <w:sz w:val="13"/>
          <w:szCs w:val="13"/>
          <w:color w:val="auto"/>
        </w:rPr>
        <w:t>. Any distribution or delivery to be made to Participant under this Award Agreement will, if Participant is then deceased, be made to Participant’s designated beneficiary, or if no beneficiary survives Participant, the administrator or executor of Participant’s estate. Any such transferee must furnish the Company with (a) written notice of his or her status as transferee, and (b) evidence satisfactory to the Company to establish the validity of the transfer and compliance with any laws or regulations pertaining to said transfer.</w:t>
      </w:r>
    </w:p>
    <w:p>
      <w:pPr>
        <w:spacing w:after="0" w:line="64" w:lineRule="exact"/>
        <w:rPr>
          <w:sz w:val="20"/>
          <w:szCs w:val="20"/>
          <w:color w:val="auto"/>
        </w:rPr>
      </w:pPr>
    </w:p>
    <w:p>
      <w:pPr>
        <w:jc w:val="center"/>
        <w:ind w:right="-9"/>
        <w:spacing w:after="0"/>
        <w:rPr>
          <w:sz w:val="20"/>
          <w:szCs w:val="20"/>
          <w:color w:val="auto"/>
        </w:rPr>
      </w:pPr>
      <w:r>
        <w:rPr>
          <w:rFonts w:ascii="Arial" w:cs="Arial" w:eastAsia="Arial" w:hAnsi="Arial"/>
          <w:sz w:val="15"/>
          <w:szCs w:val="15"/>
          <w:color w:val="auto"/>
        </w:rPr>
        <w:t>-2-</w:t>
      </w:r>
    </w:p>
    <w:p>
      <w:pPr>
        <w:sectPr>
          <w:pgSz w:w="11900" w:h="16838" w:orient="portrait"/>
          <w:cols w:equalWidth="0" w:num="1">
            <w:col w:w="11450"/>
          </w:cols>
          <w:pgMar w:left="230" w:top="253" w:right="219" w:bottom="1440" w:gutter="0" w:footer="0" w:header="0"/>
        </w:sectPr>
      </w:pPr>
    </w:p>
    <w:bookmarkStart w:id="380" w:name="page381"/>
    <w:bookmarkEnd w:id="380"/>
    <w:p>
      <w:pPr>
        <w:ind w:left="730" w:hanging="272"/>
        <w:spacing w:after="0"/>
        <w:tabs>
          <w:tab w:leader="none" w:pos="730" w:val="left"/>
        </w:tabs>
        <w:numPr>
          <w:ilvl w:val="1"/>
          <w:numId w:val="312"/>
        </w:numPr>
        <w:rPr>
          <w:rFonts w:ascii="Arial" w:cs="Arial" w:eastAsia="Arial" w:hAnsi="Arial"/>
          <w:sz w:val="15"/>
          <w:szCs w:val="15"/>
          <w:color w:val="auto"/>
        </w:rPr>
      </w:pPr>
      <w:r>
        <w:rPr>
          <w:rFonts w:ascii="Arial" w:cs="Arial" w:eastAsia="Arial" w:hAnsi="Arial"/>
          <w:sz w:val="15"/>
          <w:szCs w:val="15"/>
          <w:u w:val="single" w:color="auto"/>
          <w:color w:val="auto"/>
        </w:rPr>
        <w:drawing>
          <wp:anchor simplePos="0" relativeHeight="251657728" behindDoc="1" locked="0" layoutInCell="0" allowOverlap="1">
            <wp:simplePos x="0" y="0"/>
            <wp:positionH relativeFrom="page">
              <wp:posOffset>133350</wp:posOffset>
            </wp:positionH>
            <wp:positionV relativeFrom="page">
              <wp:posOffset>88900</wp:posOffset>
            </wp:positionV>
            <wp:extent cx="7308850" cy="34290"/>
            <wp:wrapNone/>
            <wp:docPr id="540" name="Picture 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
                    <pic:cNvPicPr>
                      <a:picLocks noChangeAspect="1" noChangeArrowheads="1"/>
                    </pic:cNvPicPr>
                  </pic:nvPicPr>
                  <pic:blipFill>
                    <a:blip r:embed="rId577">
                      <a:extLst>
                        <a:ext uri="{28A0092B-C50C-407E-A947-70E740481C1C}"/>
                      </a:extLst>
                    </a:blip>
                    <a:srcRect/>
                    <a:stretch>
                      <a:fillRect/>
                    </a:stretch>
                  </pic:blipFill>
                  <pic:spPr bwMode="auto">
                    <a:xfrm>
                      <a:off x="0" y="0"/>
                      <a:ext cx="7308850" cy="34290"/>
                    </a:xfrm>
                    <a:prstGeom prst="rect">
                      <a:avLst/>
                    </a:prstGeom>
                    <a:noFill/>
                  </pic:spPr>
                </pic:pic>
              </a:graphicData>
            </a:graphic>
          </wp:anchor>
        </w:drawing>
        <w:t>Tax Obligations</w:t>
      </w:r>
    </w:p>
    <w:p>
      <w:pPr>
        <w:spacing w:after="0" w:line="98" w:lineRule="exact"/>
        <w:rPr>
          <w:rFonts w:ascii="Arial" w:cs="Arial" w:eastAsia="Arial" w:hAnsi="Arial"/>
          <w:sz w:val="15"/>
          <w:szCs w:val="15"/>
          <w:color w:val="auto"/>
        </w:rPr>
      </w:pPr>
    </w:p>
    <w:p>
      <w:pPr>
        <w:ind w:left="10" w:right="40" w:firstLine="906"/>
        <w:spacing w:after="0" w:line="292" w:lineRule="auto"/>
        <w:tabs>
          <w:tab w:leader="none" w:pos="1243" w:val="left"/>
        </w:tabs>
        <w:numPr>
          <w:ilvl w:val="2"/>
          <w:numId w:val="312"/>
        </w:numPr>
        <w:rPr>
          <w:rFonts w:ascii="Arial" w:cs="Arial" w:eastAsia="Arial" w:hAnsi="Arial"/>
          <w:sz w:val="13"/>
          <w:szCs w:val="13"/>
          <w:color w:val="auto"/>
        </w:rPr>
      </w:pPr>
      <w:r>
        <w:rPr>
          <w:rFonts w:ascii="Arial" w:cs="Arial" w:eastAsia="Arial" w:hAnsi="Arial"/>
          <w:sz w:val="13"/>
          <w:szCs w:val="13"/>
          <w:u w:val="single" w:color="auto"/>
          <w:color w:val="auto"/>
        </w:rPr>
        <w:t>Responsibility for Taxes</w:t>
      </w:r>
      <w:r>
        <w:rPr>
          <w:rFonts w:ascii="Arial" w:cs="Arial" w:eastAsia="Arial" w:hAnsi="Arial"/>
          <w:sz w:val="13"/>
          <w:szCs w:val="13"/>
          <w:color w:val="auto"/>
        </w:rPr>
        <w:t>. Participant acknowledges that, regardless of any action taken by the Company or, if different, Participant’s employer (the “Employer”) or Parent or Subsidiary to which Participant is providing services (together, the Company, Employer and/or Parent or Subsidiary to which the Participant is providing services, the “Service Recipient”), the ultimate liability for any tax and/or social insurance liability obligations and requirements in connection with the Restricted Stock Units, including, without limitation, (i) all federal, state, and local taxes (including the Participant’s Federal Insurance Contributions Act (FICA) obligation) that are required to be withheld by the Company or the Employer or other payment of tax-related items related to Participant’s participation in the Plan and legally applicable to Participant, (ii) the Participant’s and, to the extent required by the Company (or Service Recipient), the Company’s (or Service Recipient’s) fringe benefit tax liability, if any, associated with the grant, vesting, or settlement of the Restricted Stock Units or sale of Shares, and</w:t>
      </w:r>
    </w:p>
    <w:p>
      <w:pPr>
        <w:ind w:left="10" w:hanging="10"/>
        <w:spacing w:after="0" w:line="272" w:lineRule="auto"/>
        <w:tabs>
          <w:tab w:leader="none" w:pos="273" w:val="left"/>
        </w:tabs>
        <w:numPr>
          <w:ilvl w:val="0"/>
          <w:numId w:val="313"/>
        </w:numPr>
        <w:rPr>
          <w:rFonts w:ascii="Arial" w:cs="Arial" w:eastAsia="Arial" w:hAnsi="Arial"/>
          <w:sz w:val="14"/>
          <w:szCs w:val="14"/>
          <w:color w:val="auto"/>
        </w:rPr>
      </w:pPr>
      <w:r>
        <w:rPr>
          <w:rFonts w:ascii="Arial" w:cs="Arial" w:eastAsia="Arial" w:hAnsi="Arial"/>
          <w:sz w:val="14"/>
          <w:szCs w:val="14"/>
          <w:color w:val="auto"/>
        </w:rPr>
        <w:t>any other Company (or Service Recipient) taxes the responsibility for which the Participant has, or has agreed to bear, with respect to the Restricted Stock Units (or settlement thereof or issuance of Shares thereunder) (collectively, the “Tax Obligations”), is and remains Participant’s responsibility and may exceed the amount actually withheld by the Company or the Service Recipient. Participant further acknowledges that the Company and/or the Service Recipient (A) make no representations or undertakings regarding the treatment of any Tax Obligations in connection with any aspect of the Restricted Stock Units, including, but not limited to, the grant, vesting or settlement of the Restricted Stock Units, the subsequent sale of Shares acquired pursuant to such settlement and the receipt of any dividends or other distributions, and (B) do not commit to and are under no obligation to structure the terms of the grant or any aspect of the Restricted Stock Units to reduce or eliminate Participant’s liability for Tax Obligations or achieve any particular tax result. Further, if Participant is subject to Tax Obligations in more than one jurisdiction between the Date of Grant and the date of any relevant taxable or tax withholding event, as applicable, Participant acknowledges that the Company and/or the Service Recipient (or former employer, as applicable) may be required to withhold or account for Tax Obligations in more than one jurisdiction. If Participant fails to make satisfactory arrangements for the payment of any required Tax Obligations hereunder at the time of the applicable taxable event, Participant acknowledges and agrees that the Company may refuse to issue or deliver the Shares.</w:t>
      </w:r>
    </w:p>
    <w:p>
      <w:pPr>
        <w:spacing w:after="0" w:line="150" w:lineRule="exact"/>
        <w:rPr>
          <w:rFonts w:ascii="Arial" w:cs="Arial" w:eastAsia="Arial" w:hAnsi="Arial"/>
          <w:sz w:val="14"/>
          <w:szCs w:val="14"/>
          <w:color w:val="auto"/>
        </w:rPr>
      </w:pPr>
    </w:p>
    <w:p>
      <w:pPr>
        <w:ind w:left="10" w:right="80" w:firstLine="906"/>
        <w:spacing w:after="0" w:line="254" w:lineRule="auto"/>
        <w:tabs>
          <w:tab w:leader="none" w:pos="1251" w:val="left"/>
        </w:tabs>
        <w:numPr>
          <w:ilvl w:val="2"/>
          <w:numId w:val="313"/>
        </w:numPr>
        <w:rPr>
          <w:rFonts w:ascii="Arial" w:cs="Arial" w:eastAsia="Arial" w:hAnsi="Arial"/>
          <w:sz w:val="15"/>
          <w:szCs w:val="15"/>
          <w:color w:val="auto"/>
        </w:rPr>
      </w:pPr>
      <w:r>
        <w:rPr>
          <w:rFonts w:ascii="Arial" w:cs="Arial" w:eastAsia="Arial" w:hAnsi="Arial"/>
          <w:sz w:val="15"/>
          <w:szCs w:val="15"/>
          <w:u w:val="single" w:color="auto"/>
          <w:color w:val="auto"/>
        </w:rPr>
        <w:t>Tax Withholding</w:t>
      </w:r>
      <w:r>
        <w:rPr>
          <w:rFonts w:ascii="Arial" w:cs="Arial" w:eastAsia="Arial" w:hAnsi="Arial"/>
          <w:sz w:val="15"/>
          <w:szCs w:val="15"/>
          <w:color w:val="auto"/>
        </w:rPr>
        <w:t>. When Shares are issued as payment for vested Restricted Stock Units, Participant generally will recognize immediate U.S. taxable income if Participant is a U.S. taxpayer. If Participant is a non-U.S. taxpayer, Participant will be subject to applicable taxes in his or her jurisdiction. Pursuant to such procedures as the Administrator may specify from time to time, the Company and/or Service Recipient shall withhold the amount required to be withheld for the payment of Tax Obligations. The Administrator, in its sole discretion and pursuant to such procedures as it may specify from time to time, may permit Participant to satisfy such Tax Obligations, in whole or in part (without limitation), if permissible by applicable local law, by (i) paying cash, (ii) electing to have the Company withhold otherwise deliverable Shares having a fair market value equal to the minimum amount that is necessary to meet the withholding requirement for such Tax Obligations (or such greater amount as Participant may elect if permitted by the Administrator, if such greater amount would not result in adverse financial accounting consequences), (iii) withholding the amount of such Tax Obligations from Participant’s wages or other cash compensation paid to Participant by the Company and/or the Service Recipient,</w:t>
      </w:r>
    </w:p>
    <w:p>
      <w:pPr>
        <w:spacing w:after="0" w:line="107" w:lineRule="exact"/>
        <w:rPr>
          <w:sz w:val="20"/>
          <w:szCs w:val="20"/>
          <w:color w:val="auto"/>
        </w:rPr>
      </w:pPr>
    </w:p>
    <w:p>
      <w:pPr>
        <w:jc w:val="center"/>
        <w:ind w:right="-9"/>
        <w:spacing w:after="0"/>
        <w:rPr>
          <w:sz w:val="20"/>
          <w:szCs w:val="20"/>
          <w:color w:val="auto"/>
        </w:rPr>
      </w:pPr>
      <w:r>
        <w:rPr>
          <w:rFonts w:ascii="Arial" w:cs="Arial" w:eastAsia="Arial" w:hAnsi="Arial"/>
          <w:sz w:val="15"/>
          <w:szCs w:val="15"/>
          <w:color w:val="auto"/>
        </w:rPr>
        <w:t>-3-</w:t>
      </w:r>
    </w:p>
    <w:p>
      <w:pPr>
        <w:sectPr>
          <w:pgSz w:w="11900" w:h="16838" w:orient="portrait"/>
          <w:cols w:equalWidth="0" w:num="1">
            <w:col w:w="11450"/>
          </w:cols>
          <w:pgMar w:left="230" w:top="253" w:right="219" w:bottom="1440" w:gutter="0" w:footer="0" w:header="0"/>
        </w:sectPr>
      </w:pPr>
    </w:p>
    <w:bookmarkStart w:id="381" w:name="page382"/>
    <w:bookmarkEnd w:id="381"/>
    <w:p>
      <w:pPr>
        <w:ind w:left="10" w:right="40" w:hanging="10"/>
        <w:spacing w:after="0" w:line="253" w:lineRule="auto"/>
        <w:tabs>
          <w:tab w:leader="none" w:pos="264" w:val="left"/>
        </w:tabs>
        <w:numPr>
          <w:ilvl w:val="0"/>
          <w:numId w:val="314"/>
        </w:numPr>
        <w:rPr>
          <w:rFonts w:ascii="Arial" w:cs="Arial" w:eastAsia="Arial" w:hAnsi="Arial"/>
          <w:sz w:val="15"/>
          <w:szCs w:val="15"/>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133350</wp:posOffset>
            </wp:positionH>
            <wp:positionV relativeFrom="page">
              <wp:posOffset>88900</wp:posOffset>
            </wp:positionV>
            <wp:extent cx="7308850" cy="34290"/>
            <wp:wrapNone/>
            <wp:docPr id="541" name="Picture 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
                    <pic:cNvPicPr>
                      <a:picLocks noChangeAspect="1" noChangeArrowheads="1"/>
                    </pic:cNvPicPr>
                  </pic:nvPicPr>
                  <pic:blipFill>
                    <a:blip r:embed="rId578">
                      <a:extLst>
                        <a:ext uri="{28A0092B-C50C-407E-A947-70E740481C1C}"/>
                      </a:extLst>
                    </a:blip>
                    <a:srcRect/>
                    <a:stretch>
                      <a:fillRect/>
                    </a:stretch>
                  </pic:blipFill>
                  <pic:spPr bwMode="auto">
                    <a:xfrm>
                      <a:off x="0" y="0"/>
                      <a:ext cx="7308850" cy="34290"/>
                    </a:xfrm>
                    <a:prstGeom prst="rect">
                      <a:avLst/>
                    </a:prstGeom>
                    <a:noFill/>
                  </pic:spPr>
                </pic:pic>
              </a:graphicData>
            </a:graphic>
          </wp:anchor>
        </w:drawing>
        <w:t>delivering to the Company already vested and owned Shares having a fair market value equal to such Tax Obligations, or (v) selling a sufficient number of such Shares otherwise deliverable to Participant through such means as the Company may determine in its sole discretion (whether through a broker or otherwise) equal to the minimum amount that is necessary to meet the withholding requirement for such Tax Obligations (or such greater amount as Participant may elect if permitted by the Administrator, if such greater amount would not result in adverse financial accounting consequences). To the extent determined appropriate by the Company in its discretion, it will have the right (but not the obligation) to satisfy any Tax Obligations by reducing the number of Shares otherwise deliverable to Participant and, until determined otherwise by the Company, this will be the method by which such Tax Obligations are satisfied. Further, if Participant is subject to tax in more than one jurisdiction between the Date of Grant and a date of any relevant taxable or tax withholding event, as applicable, Participant acknowledges and agrees that the Company and/or the Service Recipient (and/or former employer, as applicable) may be required to withhold or account for tax in more than one jurisdiction. If Participant fails to make satisfactory arrangements for the payment of such Tax Obligations hereunder at the time any applicable Restricted Stock Units otherwise are scheduled to vest pursuant to Sections 3 or 4, Participant will permanently forfeit such Restricted Stock Units and any right to receive Shares thereunder and such Restricted Stock Units will be returned to the Company at no cost to the Company. Participant acknowledges and agrees that the Company may refuse to deliver the Shares if such Tax Obligations are not delivered at the time they are due.</w:t>
      </w:r>
    </w:p>
    <w:p>
      <w:pPr>
        <w:spacing w:after="0" w:line="165" w:lineRule="exact"/>
        <w:rPr>
          <w:rFonts w:ascii="Arial" w:cs="Arial" w:eastAsia="Arial" w:hAnsi="Arial"/>
          <w:sz w:val="15"/>
          <w:szCs w:val="15"/>
          <w:color w:val="auto"/>
        </w:rPr>
      </w:pPr>
    </w:p>
    <w:p>
      <w:pPr>
        <w:ind w:left="10" w:right="260" w:firstLine="448"/>
        <w:spacing w:after="0" w:line="311" w:lineRule="auto"/>
        <w:tabs>
          <w:tab w:leader="none" w:pos="731" w:val="left"/>
        </w:tabs>
        <w:numPr>
          <w:ilvl w:val="1"/>
          <w:numId w:val="314"/>
        </w:numPr>
        <w:rPr>
          <w:rFonts w:ascii="Arial" w:cs="Arial" w:eastAsia="Arial" w:hAnsi="Arial"/>
          <w:sz w:val="13"/>
          <w:szCs w:val="13"/>
          <w:color w:val="auto"/>
        </w:rPr>
      </w:pPr>
      <w:r>
        <w:rPr>
          <w:rFonts w:ascii="Arial" w:cs="Arial" w:eastAsia="Arial" w:hAnsi="Arial"/>
          <w:sz w:val="13"/>
          <w:szCs w:val="13"/>
          <w:u w:val="single" w:color="auto"/>
          <w:color w:val="auto"/>
        </w:rPr>
        <w:t>Rights as Stockholder</w:t>
      </w:r>
      <w:r>
        <w:rPr>
          <w:rFonts w:ascii="Arial" w:cs="Arial" w:eastAsia="Arial" w:hAnsi="Arial"/>
          <w:sz w:val="13"/>
          <w:szCs w:val="13"/>
          <w:color w:val="auto"/>
        </w:rPr>
        <w:t>. Neither Participant nor any person claiming under or through Participant will have any of the rights or privileges of a stockholder of the Company in respect of any Shares deliverable hereunder unless and until certificates representing such Shares (which may be in book entry form) will have been issued, recorded on the records of the Company or its transfer agents or registrars, and delivered to Participant (including through electronic delivery to a brokerage account). After such issuance, recordation, and delivery, Participant will have all the rights of a stockholder of the Company with respect to voting such Shares and receipt of dividends and distributions on such Shares.</w:t>
      </w:r>
    </w:p>
    <w:p>
      <w:pPr>
        <w:spacing w:after="0" w:line="127" w:lineRule="exact"/>
        <w:rPr>
          <w:rFonts w:ascii="Arial" w:cs="Arial" w:eastAsia="Arial" w:hAnsi="Arial"/>
          <w:sz w:val="13"/>
          <w:szCs w:val="13"/>
          <w:color w:val="auto"/>
        </w:rPr>
      </w:pPr>
    </w:p>
    <w:p>
      <w:pPr>
        <w:ind w:left="10" w:firstLine="448"/>
        <w:spacing w:after="0" w:line="254" w:lineRule="auto"/>
        <w:tabs>
          <w:tab w:leader="none" w:pos="806" w:val="left"/>
        </w:tabs>
        <w:numPr>
          <w:ilvl w:val="1"/>
          <w:numId w:val="314"/>
        </w:numPr>
        <w:rPr>
          <w:rFonts w:ascii="Arial" w:cs="Arial" w:eastAsia="Arial" w:hAnsi="Arial"/>
          <w:sz w:val="15"/>
          <w:szCs w:val="15"/>
          <w:color w:val="auto"/>
        </w:rPr>
      </w:pPr>
      <w:r>
        <w:rPr>
          <w:rFonts w:ascii="Arial" w:cs="Arial" w:eastAsia="Arial" w:hAnsi="Arial"/>
          <w:sz w:val="15"/>
          <w:szCs w:val="15"/>
          <w:u w:val="single" w:color="auto"/>
          <w:color w:val="auto"/>
        </w:rPr>
        <w:t>No Guarantee of Continued Service</w:t>
      </w:r>
      <w:r>
        <w:rPr>
          <w:rFonts w:ascii="Arial" w:cs="Arial" w:eastAsia="Arial" w:hAnsi="Arial"/>
          <w:sz w:val="15"/>
          <w:szCs w:val="15"/>
          <w:color w:val="auto"/>
        </w:rPr>
        <w:t>. PARTICIPANT ACKNOWLEDGES AND AGREES THAT THE VESTING OF THE RESTRICTED STOCK UNITS PURSUANT TO THE VESTING SCHEDULE HEREOF IS EARNED ONLY BY CONTINUING AS A SERVICE PROVIDER, WHICH UNLESS PROVIDED OTHERWISE UNDER APPLICABLE LAW IS AT THE WILL OF THE COMPANY (OR THE SERVICE RECIPIENT) AND NOT THROUGH THE ACT OF BEING HIRED, BEING GRANTED THIS RESTRICTED STOCK UNIT AWARD OR ACQUIRING SHARES HEREUNDER. PARTICIPANT FURTHER ACKNOWLEDGES AND AGREES THAT THIS AWARD AGREEMENT, THE TRANSACTIONS CONTEMPLATED HEREUNDER AND THE VESTING SCHEDULE SET FORTH HEREIN DO NOT CONSTITUTE AN EXPRESS OR IMPLIED PROMISE OF CONTINUED ENGAGEMENT AS A SERVICE PROVIDER FOR THE VESTING PERIOD, FOR ANY PERIOD, OR AT ALL, AND SHALL NOT INTERFERE IN ANY WAY WITH PARTICIPANT’S RIGHT OR THE RIGHT OF THE COMPANY (OR THE SERVICE RECIPIENT) TO TERMINATE PARTICIPANT’S RELATIONSHIP AS A SERVICE PROVIDER, SUBJECT TO APPLICABLE LAW, WHICH TERMINATION, UNLESS PROVIDED OTHERWISE UNDER APPLICABLE LAW, MAY BE AT ANY TIME, WITH OR WITHOUT CAUSE.</w:t>
      </w:r>
    </w:p>
    <w:p>
      <w:pPr>
        <w:spacing w:after="0" w:line="105" w:lineRule="exact"/>
        <w:rPr>
          <w:sz w:val="20"/>
          <w:szCs w:val="20"/>
          <w:color w:val="auto"/>
        </w:rPr>
      </w:pPr>
    </w:p>
    <w:p>
      <w:pPr>
        <w:jc w:val="center"/>
        <w:ind w:right="-9"/>
        <w:spacing w:after="0"/>
        <w:rPr>
          <w:sz w:val="20"/>
          <w:szCs w:val="20"/>
          <w:color w:val="auto"/>
        </w:rPr>
      </w:pPr>
      <w:r>
        <w:rPr>
          <w:rFonts w:ascii="Arial" w:cs="Arial" w:eastAsia="Arial" w:hAnsi="Arial"/>
          <w:sz w:val="15"/>
          <w:szCs w:val="15"/>
          <w:color w:val="auto"/>
        </w:rPr>
        <w:t>-4-</w:t>
      </w:r>
    </w:p>
    <w:p>
      <w:pPr>
        <w:sectPr>
          <w:pgSz w:w="11900" w:h="16838" w:orient="portrait"/>
          <w:cols w:equalWidth="0" w:num="1">
            <w:col w:w="11450"/>
          </w:cols>
          <w:pgMar w:left="230" w:top="253" w:right="219" w:bottom="1440" w:gutter="0" w:footer="0" w:header="0"/>
        </w:sectPr>
      </w:pPr>
    </w:p>
    <w:bookmarkStart w:id="382" w:name="page383"/>
    <w:bookmarkEnd w:id="382"/>
    <w:p>
      <w:pPr>
        <w:ind w:left="-20" w:right="60" w:firstLine="448"/>
        <w:spacing w:after="0" w:line="259" w:lineRule="auto"/>
        <w:tabs>
          <w:tab w:leader="none" w:pos="770" w:val="left"/>
        </w:tabs>
        <w:numPr>
          <w:ilvl w:val="0"/>
          <w:numId w:val="315"/>
        </w:numPr>
        <w:rPr>
          <w:rFonts w:ascii="Arial" w:cs="Arial" w:eastAsia="Arial" w:hAnsi="Arial"/>
          <w:sz w:val="15"/>
          <w:szCs w:val="15"/>
          <w:color w:val="auto"/>
        </w:rPr>
      </w:pPr>
      <w:r>
        <w:rPr>
          <w:rFonts w:ascii="Arial" w:cs="Arial" w:eastAsia="Arial" w:hAnsi="Arial"/>
          <w:sz w:val="15"/>
          <w:szCs w:val="15"/>
          <w:u w:val="single" w:color="auto"/>
          <w:color w:val="auto"/>
        </w:rPr>
        <w:drawing>
          <wp:anchor simplePos="0" relativeHeight="251657728" behindDoc="1" locked="0" layoutInCell="0" allowOverlap="1">
            <wp:simplePos x="0" y="0"/>
            <wp:positionH relativeFrom="page">
              <wp:posOffset>133350</wp:posOffset>
            </wp:positionH>
            <wp:positionV relativeFrom="page">
              <wp:posOffset>88900</wp:posOffset>
            </wp:positionV>
            <wp:extent cx="7308850" cy="34290"/>
            <wp:wrapNone/>
            <wp:docPr id="542" name="Picture 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
                    <pic:cNvPicPr>
                      <a:picLocks noChangeAspect="1" noChangeArrowheads="1"/>
                    </pic:cNvPicPr>
                  </pic:nvPicPr>
                  <pic:blipFill>
                    <a:blip r:embed="rId579">
                      <a:extLst>
                        <a:ext uri="{28A0092B-C50C-407E-A947-70E740481C1C}"/>
                      </a:extLst>
                    </a:blip>
                    <a:srcRect/>
                    <a:stretch>
                      <a:fillRect/>
                    </a:stretch>
                  </pic:blipFill>
                  <pic:spPr bwMode="auto">
                    <a:xfrm>
                      <a:off x="0" y="0"/>
                      <a:ext cx="7308850" cy="34290"/>
                    </a:xfrm>
                    <a:prstGeom prst="rect">
                      <a:avLst/>
                    </a:prstGeom>
                    <a:noFill/>
                  </pic:spPr>
                </pic:pic>
              </a:graphicData>
            </a:graphic>
          </wp:anchor>
        </w:drawing>
        <w:t>Grant is Not Transferable</w:t>
      </w:r>
      <w:r>
        <w:rPr>
          <w:rFonts w:ascii="Arial" w:cs="Arial" w:eastAsia="Arial" w:hAnsi="Arial"/>
          <w:sz w:val="15"/>
          <w:szCs w:val="15"/>
          <w:color w:val="auto"/>
        </w:rPr>
        <w:t>. Except to the limited extent provided in Section 7, this grant and the rights and privileges conferred hereby will not be transferred, assigned, pledged or hypothecated in any way (whether by operation of law or otherwise) and will not be subject to sale under execution, attachment or similar process. Upon any attempt to transfer, assign, pledge, hypothecate or otherwise dispose of this grant, or any right or privilege conferred hereby, or upon any attempted sale under any execution, attachment or similar process, this grant and the rights and privileges conferred hereby immediately will become null and void.</w:t>
      </w:r>
    </w:p>
    <w:p>
      <w:pPr>
        <w:spacing w:after="0" w:line="157" w:lineRule="exact"/>
        <w:rPr>
          <w:rFonts w:ascii="Arial" w:cs="Arial" w:eastAsia="Arial" w:hAnsi="Arial"/>
          <w:sz w:val="15"/>
          <w:szCs w:val="15"/>
          <w:color w:val="auto"/>
        </w:rPr>
      </w:pPr>
    </w:p>
    <w:p>
      <w:pPr>
        <w:ind w:left="760" w:hanging="332"/>
        <w:spacing w:after="0"/>
        <w:tabs>
          <w:tab w:leader="none" w:pos="760" w:val="left"/>
        </w:tabs>
        <w:numPr>
          <w:ilvl w:val="0"/>
          <w:numId w:val="315"/>
        </w:numPr>
        <w:rPr>
          <w:rFonts w:ascii="Arial" w:cs="Arial" w:eastAsia="Arial" w:hAnsi="Arial"/>
          <w:sz w:val="15"/>
          <w:szCs w:val="15"/>
          <w:color w:val="auto"/>
        </w:rPr>
      </w:pPr>
      <w:r>
        <w:rPr>
          <w:rFonts w:ascii="Arial" w:cs="Arial" w:eastAsia="Arial" w:hAnsi="Arial"/>
          <w:sz w:val="15"/>
          <w:szCs w:val="15"/>
          <w:u w:val="single" w:color="auto"/>
          <w:color w:val="auto"/>
        </w:rPr>
        <w:t>Nature of Grant</w:t>
      </w:r>
      <w:r>
        <w:rPr>
          <w:rFonts w:ascii="Arial" w:cs="Arial" w:eastAsia="Arial" w:hAnsi="Arial"/>
          <w:sz w:val="15"/>
          <w:szCs w:val="15"/>
          <w:color w:val="auto"/>
        </w:rPr>
        <w:t>. In accepting the grant, Participant acknowledges, understands, and agrees that:</w:t>
      </w:r>
    </w:p>
    <w:p>
      <w:pPr>
        <w:spacing w:after="0" w:line="188" w:lineRule="exact"/>
        <w:rPr>
          <w:rFonts w:ascii="Arial" w:cs="Arial" w:eastAsia="Arial" w:hAnsi="Arial"/>
          <w:sz w:val="15"/>
          <w:szCs w:val="15"/>
          <w:color w:val="auto"/>
        </w:rPr>
      </w:pPr>
    </w:p>
    <w:p>
      <w:pPr>
        <w:ind w:left="-20" w:right="20" w:firstLine="906"/>
        <w:spacing w:after="0" w:line="275" w:lineRule="auto"/>
        <w:tabs>
          <w:tab w:leader="none" w:pos="1213" w:val="left"/>
        </w:tabs>
        <w:numPr>
          <w:ilvl w:val="1"/>
          <w:numId w:val="315"/>
        </w:numPr>
        <w:rPr>
          <w:rFonts w:ascii="Arial" w:cs="Arial" w:eastAsia="Arial" w:hAnsi="Arial"/>
          <w:sz w:val="15"/>
          <w:szCs w:val="15"/>
          <w:color w:val="auto"/>
        </w:rPr>
      </w:pPr>
      <w:r>
        <w:rPr>
          <w:rFonts w:ascii="Arial" w:cs="Arial" w:eastAsia="Arial" w:hAnsi="Arial"/>
          <w:sz w:val="15"/>
          <w:szCs w:val="15"/>
          <w:color w:val="auto"/>
        </w:rPr>
        <w:t>the grant of the Restricted Stock Units is voluntary and occasional and does not create any contractual or other right to receive future grants of Restricted Stock Units, or benefits in lieu of Restricted Stock Units, even if Restricted Stock Units have been granted in the past;</w:t>
      </w:r>
    </w:p>
    <w:p>
      <w:pPr>
        <w:spacing w:after="0" w:line="146" w:lineRule="exact"/>
        <w:rPr>
          <w:rFonts w:ascii="Arial" w:cs="Arial" w:eastAsia="Arial" w:hAnsi="Arial"/>
          <w:sz w:val="15"/>
          <w:szCs w:val="15"/>
          <w:color w:val="auto"/>
        </w:rPr>
      </w:pPr>
    </w:p>
    <w:p>
      <w:pPr>
        <w:ind w:left="1220" w:hanging="334"/>
        <w:spacing w:after="0"/>
        <w:tabs>
          <w:tab w:leader="none" w:pos="1220" w:val="left"/>
        </w:tabs>
        <w:numPr>
          <w:ilvl w:val="1"/>
          <w:numId w:val="315"/>
        </w:numPr>
        <w:rPr>
          <w:rFonts w:ascii="Arial" w:cs="Arial" w:eastAsia="Arial" w:hAnsi="Arial"/>
          <w:sz w:val="15"/>
          <w:szCs w:val="15"/>
          <w:color w:val="auto"/>
        </w:rPr>
      </w:pPr>
      <w:r>
        <w:rPr>
          <w:rFonts w:ascii="Arial" w:cs="Arial" w:eastAsia="Arial" w:hAnsi="Arial"/>
          <w:sz w:val="15"/>
          <w:szCs w:val="15"/>
          <w:color w:val="auto"/>
        </w:rPr>
        <w:t>all decisions with respect to future Restricted Stock Units or other grants, if any, will be at the sole discretion of the Company;</w:t>
      </w:r>
    </w:p>
    <w:p>
      <w:pPr>
        <w:spacing w:after="0" w:line="188" w:lineRule="exact"/>
        <w:rPr>
          <w:rFonts w:ascii="Arial" w:cs="Arial" w:eastAsia="Arial" w:hAnsi="Arial"/>
          <w:sz w:val="15"/>
          <w:szCs w:val="15"/>
          <w:color w:val="auto"/>
        </w:rPr>
      </w:pPr>
    </w:p>
    <w:p>
      <w:pPr>
        <w:ind w:left="1200" w:hanging="314"/>
        <w:spacing w:after="0"/>
        <w:tabs>
          <w:tab w:leader="none" w:pos="1200" w:val="left"/>
        </w:tabs>
        <w:numPr>
          <w:ilvl w:val="1"/>
          <w:numId w:val="315"/>
        </w:numPr>
        <w:rPr>
          <w:rFonts w:ascii="Arial" w:cs="Arial" w:eastAsia="Arial" w:hAnsi="Arial"/>
          <w:sz w:val="15"/>
          <w:szCs w:val="15"/>
          <w:color w:val="auto"/>
        </w:rPr>
      </w:pPr>
      <w:r>
        <w:rPr>
          <w:rFonts w:ascii="Arial" w:cs="Arial" w:eastAsia="Arial" w:hAnsi="Arial"/>
          <w:sz w:val="15"/>
          <w:szCs w:val="15"/>
          <w:color w:val="auto"/>
        </w:rPr>
        <w:t>Participant is voluntarily participating in the Plan;</w:t>
      </w:r>
    </w:p>
    <w:p>
      <w:pPr>
        <w:spacing w:after="0" w:line="188" w:lineRule="exact"/>
        <w:rPr>
          <w:rFonts w:ascii="Arial" w:cs="Arial" w:eastAsia="Arial" w:hAnsi="Arial"/>
          <w:sz w:val="15"/>
          <w:szCs w:val="15"/>
          <w:color w:val="auto"/>
        </w:rPr>
      </w:pPr>
    </w:p>
    <w:p>
      <w:pPr>
        <w:ind w:left="1220" w:hanging="334"/>
        <w:spacing w:after="0"/>
        <w:tabs>
          <w:tab w:leader="none" w:pos="1220" w:val="left"/>
        </w:tabs>
        <w:numPr>
          <w:ilvl w:val="1"/>
          <w:numId w:val="315"/>
        </w:numPr>
        <w:rPr>
          <w:rFonts w:ascii="Arial" w:cs="Arial" w:eastAsia="Arial" w:hAnsi="Arial"/>
          <w:sz w:val="15"/>
          <w:szCs w:val="15"/>
          <w:color w:val="auto"/>
        </w:rPr>
      </w:pPr>
      <w:r>
        <w:rPr>
          <w:rFonts w:ascii="Arial" w:cs="Arial" w:eastAsia="Arial" w:hAnsi="Arial"/>
          <w:sz w:val="15"/>
          <w:szCs w:val="15"/>
          <w:color w:val="auto"/>
        </w:rPr>
        <w:t>the Restricted Stock Units and the Shares subject to the Restricted Stock Units are not intended to replace any pension rights or compensation;</w:t>
      </w:r>
    </w:p>
    <w:p>
      <w:pPr>
        <w:spacing w:after="0" w:line="188" w:lineRule="exact"/>
        <w:rPr>
          <w:rFonts w:ascii="Arial" w:cs="Arial" w:eastAsia="Arial" w:hAnsi="Arial"/>
          <w:sz w:val="15"/>
          <w:szCs w:val="15"/>
          <w:color w:val="auto"/>
        </w:rPr>
      </w:pPr>
    </w:p>
    <w:p>
      <w:pPr>
        <w:jc w:val="both"/>
        <w:ind w:left="-20" w:right="140" w:firstLine="906"/>
        <w:spacing w:after="0" w:line="263" w:lineRule="auto"/>
        <w:tabs>
          <w:tab w:leader="none" w:pos="1213" w:val="left"/>
        </w:tabs>
        <w:numPr>
          <w:ilvl w:val="1"/>
          <w:numId w:val="315"/>
        </w:numPr>
        <w:rPr>
          <w:rFonts w:ascii="Arial" w:cs="Arial" w:eastAsia="Arial" w:hAnsi="Arial"/>
          <w:sz w:val="15"/>
          <w:szCs w:val="15"/>
          <w:color w:val="auto"/>
        </w:rPr>
      </w:pPr>
      <w:r>
        <w:rPr>
          <w:rFonts w:ascii="Arial" w:cs="Arial" w:eastAsia="Arial" w:hAnsi="Arial"/>
          <w:sz w:val="15"/>
          <w:szCs w:val="15"/>
          <w:color w:val="auto"/>
        </w:rPr>
        <w:t>the Restricted Stock Units and the Shares subject to the Restricted Stock Units, and the income and value of same, are not part of normal or expected compensation for purposes of calculating any severance, resignation, termination, redundancy, dismissal, end-of-service payments, bonuses, long-service awards, pension or retirement or welfare benefits or similar payments;</w:t>
      </w:r>
    </w:p>
    <w:p>
      <w:pPr>
        <w:spacing w:after="0" w:line="154" w:lineRule="exact"/>
        <w:rPr>
          <w:rFonts w:ascii="Arial" w:cs="Arial" w:eastAsia="Arial" w:hAnsi="Arial"/>
          <w:sz w:val="15"/>
          <w:szCs w:val="15"/>
          <w:color w:val="auto"/>
        </w:rPr>
      </w:pPr>
    </w:p>
    <w:p>
      <w:pPr>
        <w:ind w:left="1180" w:hanging="294"/>
        <w:spacing w:after="0"/>
        <w:tabs>
          <w:tab w:leader="none" w:pos="1180" w:val="left"/>
        </w:tabs>
        <w:numPr>
          <w:ilvl w:val="1"/>
          <w:numId w:val="315"/>
        </w:numPr>
        <w:rPr>
          <w:rFonts w:ascii="Arial" w:cs="Arial" w:eastAsia="Arial" w:hAnsi="Arial"/>
          <w:sz w:val="15"/>
          <w:szCs w:val="15"/>
          <w:color w:val="auto"/>
        </w:rPr>
      </w:pPr>
      <w:r>
        <w:rPr>
          <w:rFonts w:ascii="Arial" w:cs="Arial" w:eastAsia="Arial" w:hAnsi="Arial"/>
          <w:sz w:val="15"/>
          <w:szCs w:val="15"/>
          <w:color w:val="auto"/>
        </w:rPr>
        <w:t>the future value of the underlying Shares is unknown, indeterminable and cannot be predicted;</w:t>
      </w:r>
    </w:p>
    <w:p>
      <w:pPr>
        <w:spacing w:after="0" w:line="188" w:lineRule="exact"/>
        <w:rPr>
          <w:rFonts w:ascii="Arial" w:cs="Arial" w:eastAsia="Arial" w:hAnsi="Arial"/>
          <w:sz w:val="15"/>
          <w:szCs w:val="15"/>
          <w:color w:val="auto"/>
        </w:rPr>
      </w:pPr>
    </w:p>
    <w:p>
      <w:pPr>
        <w:ind w:left="-20" w:firstLine="906"/>
        <w:spacing w:after="0" w:line="254" w:lineRule="auto"/>
        <w:tabs>
          <w:tab w:leader="none" w:pos="1221" w:val="left"/>
        </w:tabs>
        <w:numPr>
          <w:ilvl w:val="1"/>
          <w:numId w:val="315"/>
        </w:numPr>
        <w:rPr>
          <w:rFonts w:ascii="Arial" w:cs="Arial" w:eastAsia="Arial" w:hAnsi="Arial"/>
          <w:sz w:val="15"/>
          <w:szCs w:val="15"/>
          <w:color w:val="auto"/>
        </w:rPr>
      </w:pPr>
      <w:r>
        <w:rPr>
          <w:rFonts w:ascii="Arial" w:cs="Arial" w:eastAsia="Arial" w:hAnsi="Arial"/>
          <w:sz w:val="15"/>
          <w:szCs w:val="15"/>
          <w:color w:val="auto"/>
        </w:rPr>
        <w:t>for purposes of the Restricted Stock Units, Participant’s status as a Service Provider will be considered terminated as of the date Participant is no longer actively providing services to the Company or any Parent or Subsidiary (regardless of the reason for such termination and whether or not later to be found invalid or in breach of employment laws in the jurisdiction where Participant is a Service Provider or the terms of Participant’s employment or service agreement, if any), and unless otherwise expressly provided in this Award Agreement (including by reference in the Notice of Grant to other arrangements or contracts) or determined by the Administrator, Participant’s right to vest in the Restricted Stock Units under the Plan, if any, will terminate as of such date and will not be extended by any notice period (e.g., Participant’s period of service would not include any contractual notice period or any period of “garden leave” or similar period mandated under employment laws in the jurisdiction where Participant is a Service Provider or the terms of Participant’s employment or service agreement, if any, unless Participant is providing bona fide services during such time); the Administrator shall have the exclusive discretion to determine when Participant is no longer actively providing services for purposes of the Restricted Stock Units grant (including whether Participant may still be considered to be providing services while on a leave of absence and consistent with local law);</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-5-</w:t>
      </w:r>
    </w:p>
    <w:p>
      <w:pPr>
        <w:sectPr>
          <w:pgSz w:w="11900" w:h="16838" w:orient="portrait"/>
          <w:cols w:equalWidth="0" w:num="1">
            <w:col w:w="11380"/>
          </w:cols>
          <w:pgMar w:left="260" w:top="253" w:right="259" w:bottom="1440" w:gutter="0" w:footer="0" w:header="0"/>
        </w:sectPr>
      </w:pPr>
    </w:p>
    <w:bookmarkStart w:id="383" w:name="page384"/>
    <w:bookmarkEnd w:id="383"/>
    <w:p>
      <w:pPr>
        <w:ind w:right="120" w:firstLine="906"/>
        <w:spacing w:after="0" w:line="263" w:lineRule="auto"/>
        <w:tabs>
          <w:tab w:leader="none" w:pos="1241" w:val="left"/>
        </w:tabs>
        <w:numPr>
          <w:ilvl w:val="1"/>
          <w:numId w:val="316"/>
        </w:numPr>
        <w:rPr>
          <w:rFonts w:ascii="Arial" w:cs="Arial" w:eastAsia="Arial" w:hAnsi="Arial"/>
          <w:sz w:val="15"/>
          <w:szCs w:val="15"/>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133350</wp:posOffset>
            </wp:positionH>
            <wp:positionV relativeFrom="page">
              <wp:posOffset>88900</wp:posOffset>
            </wp:positionV>
            <wp:extent cx="7308850" cy="34290"/>
            <wp:wrapNone/>
            <wp:docPr id="543" name="Picture 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
                    <pic:cNvPicPr>
                      <a:picLocks noChangeAspect="1" noChangeArrowheads="1"/>
                    </pic:cNvPicPr>
                  </pic:nvPicPr>
                  <pic:blipFill>
                    <a:blip r:embed="rId580">
                      <a:extLst>
                        <a:ext uri="{28A0092B-C50C-407E-A947-70E740481C1C}"/>
                      </a:extLst>
                    </a:blip>
                    <a:srcRect/>
                    <a:stretch>
                      <a:fillRect/>
                    </a:stretch>
                  </pic:blipFill>
                  <pic:spPr bwMode="auto">
                    <a:xfrm>
                      <a:off x="0" y="0"/>
                      <a:ext cx="7308850" cy="34290"/>
                    </a:xfrm>
                    <a:prstGeom prst="rect">
                      <a:avLst/>
                    </a:prstGeom>
                    <a:noFill/>
                  </pic:spPr>
                </pic:pic>
              </a:graphicData>
            </a:graphic>
          </wp:anchor>
        </w:drawing>
        <w:t>unless otherwise provided in the Plan or by the Company in its discretion, the Restricted Stock Units and the benefits evidenced by this Award Agreement do not create any entitlement to have the Restricted Stock Units or any such benefits transferred to, or assumed by, another company nor be exchanged, cashed out or substituted for, in connection with any corporate transaction affecting the Shares; and</w:t>
      </w:r>
    </w:p>
    <w:p>
      <w:pPr>
        <w:spacing w:after="0" w:line="154" w:lineRule="exact"/>
        <w:rPr>
          <w:rFonts w:ascii="Arial" w:cs="Arial" w:eastAsia="Arial" w:hAnsi="Arial"/>
          <w:sz w:val="15"/>
          <w:szCs w:val="15"/>
          <w:color w:val="auto"/>
        </w:rPr>
      </w:pPr>
    </w:p>
    <w:p>
      <w:pPr>
        <w:ind w:left="1200" w:hanging="294"/>
        <w:spacing w:after="0"/>
        <w:tabs>
          <w:tab w:leader="none" w:pos="1200" w:val="left"/>
        </w:tabs>
        <w:numPr>
          <w:ilvl w:val="1"/>
          <w:numId w:val="316"/>
        </w:numPr>
        <w:rPr>
          <w:rFonts w:ascii="Arial" w:cs="Arial" w:eastAsia="Arial" w:hAnsi="Arial"/>
          <w:sz w:val="15"/>
          <w:szCs w:val="15"/>
          <w:color w:val="auto"/>
        </w:rPr>
      </w:pPr>
      <w:r>
        <w:rPr>
          <w:rFonts w:ascii="Arial" w:cs="Arial" w:eastAsia="Arial" w:hAnsi="Arial"/>
          <w:sz w:val="15"/>
          <w:szCs w:val="15"/>
          <w:color w:val="auto"/>
        </w:rPr>
        <w:t>the following provisions apply only if Participant is providing services outside the United States:</w:t>
      </w:r>
    </w:p>
    <w:p>
      <w:pPr>
        <w:spacing w:after="0" w:line="188" w:lineRule="exact"/>
        <w:rPr>
          <w:rFonts w:ascii="Arial" w:cs="Arial" w:eastAsia="Arial" w:hAnsi="Arial"/>
          <w:sz w:val="15"/>
          <w:szCs w:val="15"/>
          <w:color w:val="auto"/>
        </w:rPr>
      </w:pPr>
    </w:p>
    <w:p>
      <w:pPr>
        <w:ind w:left="1780" w:hanging="302"/>
        <w:spacing w:after="0"/>
        <w:tabs>
          <w:tab w:leader="none" w:pos="1780" w:val="left"/>
        </w:tabs>
        <w:numPr>
          <w:ilvl w:val="2"/>
          <w:numId w:val="316"/>
        </w:numPr>
        <w:rPr>
          <w:rFonts w:ascii="Arial" w:cs="Arial" w:eastAsia="Arial" w:hAnsi="Arial"/>
          <w:sz w:val="14"/>
          <w:szCs w:val="14"/>
          <w:color w:val="auto"/>
        </w:rPr>
      </w:pPr>
      <w:r>
        <w:rPr>
          <w:rFonts w:ascii="Arial" w:cs="Arial" w:eastAsia="Arial" w:hAnsi="Arial"/>
          <w:sz w:val="14"/>
          <w:szCs w:val="14"/>
          <w:color w:val="auto"/>
        </w:rPr>
        <w:t>the Restricted Stock Units and the Shares subject to the Restricted Stock Units are not part of normal or expected compensation or salary for any purpose;</w:t>
      </w:r>
    </w:p>
    <w:p>
      <w:pPr>
        <w:spacing w:after="0" w:line="199" w:lineRule="exact"/>
        <w:rPr>
          <w:rFonts w:ascii="Arial" w:cs="Arial" w:eastAsia="Arial" w:hAnsi="Arial"/>
          <w:sz w:val="14"/>
          <w:szCs w:val="14"/>
          <w:color w:val="auto"/>
        </w:rPr>
      </w:pPr>
    </w:p>
    <w:p>
      <w:pPr>
        <w:ind w:right="380" w:firstLine="1478"/>
        <w:spacing w:after="0" w:line="263" w:lineRule="auto"/>
        <w:tabs>
          <w:tab w:leader="none" w:pos="1822" w:val="left"/>
        </w:tabs>
        <w:numPr>
          <w:ilvl w:val="2"/>
          <w:numId w:val="316"/>
        </w:numPr>
        <w:rPr>
          <w:rFonts w:ascii="Arial" w:cs="Arial" w:eastAsia="Arial" w:hAnsi="Arial"/>
          <w:sz w:val="15"/>
          <w:szCs w:val="15"/>
          <w:color w:val="auto"/>
        </w:rPr>
      </w:pPr>
      <w:r>
        <w:rPr>
          <w:rFonts w:ascii="Arial" w:cs="Arial" w:eastAsia="Arial" w:hAnsi="Arial"/>
          <w:sz w:val="15"/>
          <w:szCs w:val="15"/>
          <w:color w:val="auto"/>
        </w:rPr>
        <w:t>Participant acknowledges and agrees that none of the Company, the Employer or any Parent or Subsidiary shall be liable for any foreign exchange rate fluctuation between Participant’s local currency and the United States Dollar that may affect the value of the Restricted Stock Units or of any amounts due to Participant pursuant to the settlement of the Restricted Stock Units or the subsequent sale of any Shares acquired upon settlement; and</w:t>
      </w:r>
    </w:p>
    <w:p>
      <w:pPr>
        <w:spacing w:after="0" w:line="154" w:lineRule="exact"/>
        <w:rPr>
          <w:rFonts w:ascii="Arial" w:cs="Arial" w:eastAsia="Arial" w:hAnsi="Arial"/>
          <w:sz w:val="15"/>
          <w:szCs w:val="15"/>
          <w:color w:val="auto"/>
        </w:rPr>
      </w:pPr>
    </w:p>
    <w:p>
      <w:pPr>
        <w:ind w:firstLine="1478"/>
        <w:spacing w:after="0" w:line="255" w:lineRule="auto"/>
        <w:tabs>
          <w:tab w:leader="none" w:pos="1864" w:val="left"/>
        </w:tabs>
        <w:numPr>
          <w:ilvl w:val="2"/>
          <w:numId w:val="316"/>
        </w:numPr>
        <w:rPr>
          <w:rFonts w:ascii="Arial" w:cs="Arial" w:eastAsia="Arial" w:hAnsi="Arial"/>
          <w:sz w:val="15"/>
          <w:szCs w:val="15"/>
          <w:color w:val="auto"/>
        </w:rPr>
      </w:pPr>
      <w:r>
        <w:rPr>
          <w:rFonts w:ascii="Arial" w:cs="Arial" w:eastAsia="Arial" w:hAnsi="Arial"/>
          <w:sz w:val="15"/>
          <w:szCs w:val="15"/>
          <w:color w:val="auto"/>
        </w:rPr>
        <w:t>no claim or entitlement to compensation or damages shall arise from forfeiture of the Restricted Stock Units resulting from the termination of Participant’s status as a Service Provider (for any reason whatsoever whether or not later found to be invalid or in breach of employment laws in the jurisdiction where Participant is a Service Provider or the terms of Participant’s employment or service agreement, if any), and in consideration of the grant of the Restricted Stock Units to which Participant is otherwise not entitled, Participant irrevocably agrees never to institute any claim against the Company, any Parent or Subsidiary or the Service Recipient, waives his or her ability, if any, to bring any such claim, and releases the Company, any Parent or Subsidiary and the Service Recipient from any such claim; if, notwithstanding the foregoing, any such claim is allowed by a court of competent jurisdiction, then, by participating in the Plan, Participant shall be deemed irrevocably to have agreed not to pursue such claim and agrees to execute any and all documents necessary to request dismissal or withdrawal of such claim.</w:t>
      </w:r>
    </w:p>
    <w:p>
      <w:pPr>
        <w:spacing w:after="0" w:line="160" w:lineRule="exact"/>
        <w:rPr>
          <w:rFonts w:ascii="Arial" w:cs="Arial" w:eastAsia="Arial" w:hAnsi="Arial"/>
          <w:sz w:val="15"/>
          <w:szCs w:val="15"/>
          <w:color w:val="auto"/>
        </w:rPr>
      </w:pPr>
    </w:p>
    <w:p>
      <w:pPr>
        <w:ind w:right="240" w:firstLine="448"/>
        <w:spacing w:after="0" w:line="263" w:lineRule="auto"/>
        <w:tabs>
          <w:tab w:leader="none" w:pos="796" w:val="left"/>
        </w:tabs>
        <w:numPr>
          <w:ilvl w:val="0"/>
          <w:numId w:val="317"/>
        </w:numPr>
        <w:rPr>
          <w:rFonts w:ascii="Arial" w:cs="Arial" w:eastAsia="Arial" w:hAnsi="Arial"/>
          <w:sz w:val="15"/>
          <w:szCs w:val="15"/>
          <w:color w:val="auto"/>
        </w:rPr>
      </w:pPr>
      <w:r>
        <w:rPr>
          <w:rFonts w:ascii="Arial" w:cs="Arial" w:eastAsia="Arial" w:hAnsi="Arial"/>
          <w:sz w:val="15"/>
          <w:szCs w:val="15"/>
          <w:u w:val="single" w:color="auto"/>
          <w:color w:val="auto"/>
        </w:rPr>
        <w:t>No Advice Regarding Grant</w:t>
      </w:r>
      <w:r>
        <w:rPr>
          <w:rFonts w:ascii="Arial" w:cs="Arial" w:eastAsia="Arial" w:hAnsi="Arial"/>
          <w:sz w:val="15"/>
          <w:szCs w:val="15"/>
          <w:color w:val="auto"/>
        </w:rPr>
        <w:t>. The Company is not providing any tax, legal or financial advice, nor is the Company making any recommendations regarding Participant’s participation in the Plan, or Participant’s acquisition or sale of the underlying Shares. Participant is hereby advised to consult with his or her own personal tax, legal and financial advisors regarding his or her participation in the Plan before taking any action related to the Plan.</w:t>
      </w:r>
    </w:p>
    <w:p>
      <w:pPr>
        <w:spacing w:after="0" w:line="154" w:lineRule="exact"/>
        <w:rPr>
          <w:rFonts w:ascii="Arial" w:cs="Arial" w:eastAsia="Arial" w:hAnsi="Arial"/>
          <w:sz w:val="15"/>
          <w:szCs w:val="15"/>
          <w:color w:val="auto"/>
        </w:rPr>
      </w:pPr>
    </w:p>
    <w:p>
      <w:pPr>
        <w:jc w:val="both"/>
        <w:ind w:right="280" w:firstLine="448"/>
        <w:spacing w:after="0" w:line="290" w:lineRule="auto"/>
        <w:tabs>
          <w:tab w:leader="none" w:pos="796" w:val="left"/>
        </w:tabs>
        <w:numPr>
          <w:ilvl w:val="0"/>
          <w:numId w:val="317"/>
        </w:numPr>
        <w:rPr>
          <w:rFonts w:ascii="Arial" w:cs="Arial" w:eastAsia="Arial" w:hAnsi="Arial"/>
          <w:sz w:val="14"/>
          <w:szCs w:val="14"/>
          <w:color w:val="auto"/>
        </w:rPr>
      </w:pPr>
      <w:r>
        <w:rPr>
          <w:rFonts w:ascii="Arial" w:cs="Arial" w:eastAsia="Arial" w:hAnsi="Arial"/>
          <w:sz w:val="14"/>
          <w:szCs w:val="14"/>
          <w:b w:val="1"/>
          <w:bCs w:val="1"/>
          <w:i w:val="1"/>
          <w:iCs w:val="1"/>
          <w:u w:val="single" w:color="auto"/>
          <w:color w:val="auto"/>
        </w:rPr>
        <w:t>Data Privacy</w:t>
      </w:r>
      <w:r>
        <w:rPr>
          <w:rFonts w:ascii="Arial" w:cs="Arial" w:eastAsia="Arial" w:hAnsi="Arial"/>
          <w:sz w:val="14"/>
          <w:szCs w:val="14"/>
          <w:b w:val="1"/>
          <w:bCs w:val="1"/>
          <w:i w:val="1"/>
          <w:iCs w:val="1"/>
          <w:color w:val="auto"/>
        </w:rPr>
        <w:t>. Participant hereby explicitly and unambiguously consents to the collection, use and transfer, in electronic or other form, of Participant’s personal data as described in this Award Agreement and any other Restricted Stock Unit grant materials by and among, as applicable, the Employer, or other Service Recipient the Company and any Parent or Subsidiary for the exclusive purpose of implementing, administering and managing Participant’s participation in the Plan.</w:t>
      </w:r>
    </w:p>
    <w:p>
      <w:pPr>
        <w:spacing w:after="0" w:line="82"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-6-</w:t>
      </w:r>
    </w:p>
    <w:p>
      <w:pPr>
        <w:sectPr>
          <w:pgSz w:w="11900" w:h="16838" w:orient="portrait"/>
          <w:cols w:equalWidth="0" w:num="1">
            <w:col w:w="11440"/>
          </w:cols>
          <w:pgMar w:left="240" w:top="253" w:right="219" w:bottom="1440" w:gutter="0" w:footer="0" w:header="0"/>
        </w:sectPr>
      </w:pPr>
    </w:p>
    <w:bookmarkStart w:id="384" w:name="page385"/>
    <w:bookmarkEnd w:id="384"/>
    <w:p>
      <w:pPr>
        <w:ind w:right="120" w:firstLine="458"/>
        <w:spacing w:after="0" w:line="259" w:lineRule="auto"/>
        <w:rPr>
          <w:sz w:val="20"/>
          <w:szCs w:val="20"/>
          <w:color w:val="auto"/>
        </w:rPr>
      </w:pPr>
      <w:r>
        <w:rPr>
          <w:rFonts w:ascii="Arial" w:cs="Arial" w:eastAsia="Arial" w:hAnsi="Arial"/>
          <w:sz w:val="15"/>
          <w:szCs w:val="15"/>
          <w:b w:val="1"/>
          <w:bCs w:val="1"/>
          <w:i w:val="1"/>
          <w:iCs w:val="1"/>
          <w:color w:val="auto"/>
        </w:rPr>
        <w:drawing>
          <wp:anchor simplePos="0" relativeHeight="251657728" behindDoc="1" locked="0" layoutInCell="0" allowOverlap="1">
            <wp:simplePos x="0" y="0"/>
            <wp:positionH relativeFrom="page">
              <wp:posOffset>133350</wp:posOffset>
            </wp:positionH>
            <wp:positionV relativeFrom="page">
              <wp:posOffset>88900</wp:posOffset>
            </wp:positionV>
            <wp:extent cx="7308850" cy="34290"/>
            <wp:wrapNone/>
            <wp:docPr id="544" name="Picture 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
                    <pic:cNvPicPr>
                      <a:picLocks noChangeAspect="1" noChangeArrowheads="1"/>
                    </pic:cNvPicPr>
                  </pic:nvPicPr>
                  <pic:blipFill>
                    <a:blip r:embed="rId581">
                      <a:extLst>
                        <a:ext uri="{28A0092B-C50C-407E-A947-70E740481C1C}"/>
                      </a:extLst>
                    </a:blip>
                    <a:srcRect/>
                    <a:stretch>
                      <a:fillRect/>
                    </a:stretch>
                  </pic:blipFill>
                  <pic:spPr bwMode="auto">
                    <a:xfrm>
                      <a:off x="0" y="0"/>
                      <a:ext cx="7308850" cy="34290"/>
                    </a:xfrm>
                    <a:prstGeom prst="rect">
                      <a:avLst/>
                    </a:prstGeom>
                    <a:noFill/>
                  </pic:spPr>
                </pic:pic>
              </a:graphicData>
            </a:graphic>
          </wp:anchor>
        </w:drawing>
        <w:t>Participant understands that the Company and the Service Recipient may hold certain personal information about Participant, including, but not limited to, Participant’s name, home address and telephone number, date of birth, social insurance number or other identification number, salary, nationality, job title, any Shares or directorships held in the Company, details of all Restricted Stock Units or any other entitlement to Shares awarded, canceled, exercised, vested, unvested or outstanding in Participant’s favor (“Data”), for the exclusive purpose of implementing, administering and managing the Plan.</w:t>
      </w:r>
    </w:p>
    <w:p>
      <w:pPr>
        <w:spacing w:after="0" w:line="248" w:lineRule="exact"/>
        <w:rPr>
          <w:sz w:val="20"/>
          <w:szCs w:val="20"/>
          <w:color w:val="auto"/>
        </w:rPr>
      </w:pPr>
    </w:p>
    <w:p>
      <w:pPr>
        <w:ind w:firstLine="458"/>
        <w:spacing w:after="0" w:line="294" w:lineRule="auto"/>
        <w:rPr>
          <w:sz w:val="20"/>
          <w:szCs w:val="20"/>
          <w:color w:val="auto"/>
        </w:rPr>
      </w:pPr>
      <w:r>
        <w:rPr>
          <w:rFonts w:ascii="Arial" w:cs="Arial" w:eastAsia="Arial" w:hAnsi="Arial"/>
          <w:sz w:val="13"/>
          <w:szCs w:val="13"/>
          <w:b w:val="1"/>
          <w:bCs w:val="1"/>
          <w:i w:val="1"/>
          <w:iCs w:val="1"/>
          <w:color w:val="auto"/>
        </w:rPr>
        <w:t>Participant understands that Data will be transferred to a stock plan service provider as may be selected by the Company in the future, which is assisting the Company with the implementation, administration, and management of the Plan. Participant understands that the recipients of the Data may be located in the United States or elsewhere, and that the recipients’ country of operation (e.g., the United States) may have different data privacy laws and protections than Participant’s country. Participant understands that if he or she resides outside the United States, he or she may request a list with the names and addresses of any potential recipients of the Data by contacting his or her local human resources representative. Participant authorizes the Company, any stock plan service provider selected by the Company and any other possible recipients which may assist the Company (presently or in the future) with implementing, administering and managing the Plan to receive, possess, use, retain and transfer the Data, in electronic or other form, for the sole purpose of implementing, administering and managing his or her participation in the Plan. Participant understands that Data will be held only as long as is necessary to implement, administer and manage Participant’s participation in the Plan. Participant understands if he or she resides outside the United States, he or she may, at any time, view Data, request additional information about the storage and processing of Data, require any necessary amendments to Data or refuse or withdraw the consents herein, in any case without cost, by contacting in writing his or her local human resources representative. Further, Participant understands that he or she is providing the consents herein on a purely voluntary basis. If Participant does not consent, or if Participant later seeks to revoke his or her consent, his or her status as a Service Provider and career with the Service Recipient will not be adversely affected; the only adverse consequence of refusing or withdrawing Participant’s consent is that the Company would not be able to grant Participant Restricted Stock Units or other equity awards or administer or maintain such awards. Therefore, Participant understands that refusing or withdrawing his or her consent may affect Participant’s ability to participate in the Plan. For more information on the consequences of Participant’s refusal to consent or withdrawal of consent, Participant understands that he or she may contact his or her local human resources representative.</w:t>
      </w:r>
    </w:p>
    <w:p>
      <w:pPr>
        <w:spacing w:after="0" w:line="140" w:lineRule="exact"/>
        <w:rPr>
          <w:sz w:val="20"/>
          <w:szCs w:val="20"/>
          <w:color w:val="auto"/>
        </w:rPr>
      </w:pPr>
    </w:p>
    <w:p>
      <w:pPr>
        <w:ind w:right="100" w:firstLine="448"/>
        <w:spacing w:after="0" w:line="275" w:lineRule="auto"/>
        <w:tabs>
          <w:tab w:leader="none" w:pos="796" w:val="left"/>
        </w:tabs>
        <w:numPr>
          <w:ilvl w:val="0"/>
          <w:numId w:val="318"/>
        </w:numPr>
        <w:rPr>
          <w:rFonts w:ascii="Arial" w:cs="Arial" w:eastAsia="Arial" w:hAnsi="Arial"/>
          <w:sz w:val="15"/>
          <w:szCs w:val="15"/>
          <w:color w:val="auto"/>
        </w:rPr>
      </w:pPr>
      <w:r>
        <w:rPr>
          <w:rFonts w:ascii="Arial" w:cs="Arial" w:eastAsia="Arial" w:hAnsi="Arial"/>
          <w:sz w:val="15"/>
          <w:szCs w:val="15"/>
          <w:u w:val="single" w:color="auto"/>
          <w:color w:val="auto"/>
        </w:rPr>
        <w:t>Address for Notices</w:t>
      </w:r>
      <w:r>
        <w:rPr>
          <w:rFonts w:ascii="Arial" w:cs="Arial" w:eastAsia="Arial" w:hAnsi="Arial"/>
          <w:sz w:val="15"/>
          <w:szCs w:val="15"/>
          <w:color w:val="auto"/>
        </w:rPr>
        <w:t>. Any notice to be given to the Company under the terms of this Award Agreement will be addressed to the Company at Dropbox, Inc., 333 Brannan Street, San Francisco, CA 94107, or at such other address as the Company may hereafter designate in writing.</w:t>
      </w:r>
    </w:p>
    <w:p>
      <w:pPr>
        <w:spacing w:after="0" w:line="146" w:lineRule="exact"/>
        <w:rPr>
          <w:rFonts w:ascii="Arial" w:cs="Arial" w:eastAsia="Arial" w:hAnsi="Arial"/>
          <w:sz w:val="15"/>
          <w:szCs w:val="15"/>
          <w:color w:val="auto"/>
        </w:rPr>
      </w:pPr>
    </w:p>
    <w:p>
      <w:pPr>
        <w:ind w:right="20" w:firstLine="448"/>
        <w:spacing w:after="0" w:line="259" w:lineRule="auto"/>
        <w:tabs>
          <w:tab w:leader="none" w:pos="796" w:val="left"/>
        </w:tabs>
        <w:numPr>
          <w:ilvl w:val="0"/>
          <w:numId w:val="318"/>
        </w:numPr>
        <w:rPr>
          <w:rFonts w:ascii="Arial" w:cs="Arial" w:eastAsia="Arial" w:hAnsi="Arial"/>
          <w:sz w:val="15"/>
          <w:szCs w:val="15"/>
          <w:color w:val="auto"/>
        </w:rPr>
      </w:pPr>
      <w:r>
        <w:rPr>
          <w:rFonts w:ascii="Arial" w:cs="Arial" w:eastAsia="Arial" w:hAnsi="Arial"/>
          <w:sz w:val="15"/>
          <w:szCs w:val="15"/>
          <w:u w:val="single" w:color="auto"/>
          <w:color w:val="auto"/>
        </w:rPr>
        <w:t>Electronic Delivery and Acceptance</w:t>
      </w:r>
      <w:r>
        <w:rPr>
          <w:rFonts w:ascii="Arial" w:cs="Arial" w:eastAsia="Arial" w:hAnsi="Arial"/>
          <w:sz w:val="15"/>
          <w:szCs w:val="15"/>
          <w:color w:val="auto"/>
        </w:rPr>
        <w:t>. The Company may, in its sole discretion, decide to deliver any documents related to the Restricted Stock Units awarded under the Plan or future Restricted Stock Units that may be awarded under the Plan by electronic means or request Participant’s consent to participate in the Plan by electronic means. Participant hereby consents to receive such documents by electronic delivery and agrees to participate in the Plan through any on-line or electronic system established and maintained by the Company or a third party designated by the Company.</w:t>
      </w:r>
    </w:p>
    <w:p>
      <w:pPr>
        <w:spacing w:after="0" w:line="10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-7-</w:t>
      </w:r>
    </w:p>
    <w:p>
      <w:pPr>
        <w:sectPr>
          <w:pgSz w:w="11900" w:h="16838" w:orient="portrait"/>
          <w:cols w:equalWidth="0" w:num="1">
            <w:col w:w="11440"/>
          </w:cols>
          <w:pgMar w:left="240" w:top="253" w:right="219" w:bottom="1440" w:gutter="0" w:footer="0" w:header="0"/>
        </w:sectPr>
      </w:pPr>
    </w:p>
    <w:bookmarkStart w:id="385" w:name="page386"/>
    <w:bookmarkEnd w:id="385"/>
    <w:p>
      <w:pPr>
        <w:ind w:right="360" w:firstLine="448"/>
        <w:spacing w:after="0" w:line="263" w:lineRule="auto"/>
        <w:tabs>
          <w:tab w:leader="none" w:pos="796" w:val="left"/>
        </w:tabs>
        <w:numPr>
          <w:ilvl w:val="0"/>
          <w:numId w:val="319"/>
        </w:numPr>
        <w:rPr>
          <w:rFonts w:ascii="Arial" w:cs="Arial" w:eastAsia="Arial" w:hAnsi="Arial"/>
          <w:sz w:val="15"/>
          <w:szCs w:val="15"/>
          <w:color w:val="auto"/>
        </w:rPr>
      </w:pPr>
      <w:r>
        <w:rPr>
          <w:rFonts w:ascii="Arial" w:cs="Arial" w:eastAsia="Arial" w:hAnsi="Arial"/>
          <w:sz w:val="15"/>
          <w:szCs w:val="15"/>
          <w:u w:val="single" w:color="auto"/>
          <w:color w:val="auto"/>
        </w:rPr>
        <w:drawing>
          <wp:anchor simplePos="0" relativeHeight="251657728" behindDoc="1" locked="0" layoutInCell="0" allowOverlap="1">
            <wp:simplePos x="0" y="0"/>
            <wp:positionH relativeFrom="page">
              <wp:posOffset>133350</wp:posOffset>
            </wp:positionH>
            <wp:positionV relativeFrom="page">
              <wp:posOffset>88900</wp:posOffset>
            </wp:positionV>
            <wp:extent cx="7308850" cy="34290"/>
            <wp:wrapNone/>
            <wp:docPr id="545" name="Picture 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
                    <pic:cNvPicPr>
                      <a:picLocks noChangeAspect="1" noChangeArrowheads="1"/>
                    </pic:cNvPicPr>
                  </pic:nvPicPr>
                  <pic:blipFill>
                    <a:blip r:embed="rId582">
                      <a:extLst>
                        <a:ext uri="{28A0092B-C50C-407E-A947-70E740481C1C}"/>
                      </a:extLst>
                    </a:blip>
                    <a:srcRect/>
                    <a:stretch>
                      <a:fillRect/>
                    </a:stretch>
                  </pic:blipFill>
                  <pic:spPr bwMode="auto">
                    <a:xfrm>
                      <a:off x="0" y="0"/>
                      <a:ext cx="7308850" cy="34290"/>
                    </a:xfrm>
                    <a:prstGeom prst="rect">
                      <a:avLst/>
                    </a:prstGeom>
                    <a:noFill/>
                  </pic:spPr>
                </pic:pic>
              </a:graphicData>
            </a:graphic>
          </wp:anchor>
        </w:drawing>
        <w:t>No Waiver</w:t>
      </w:r>
      <w:r>
        <w:rPr>
          <w:rFonts w:ascii="Arial" w:cs="Arial" w:eastAsia="Arial" w:hAnsi="Arial"/>
          <w:sz w:val="15"/>
          <w:szCs w:val="15"/>
          <w:color w:val="auto"/>
        </w:rPr>
        <w:t>. Either party’s failure to enforce any provision or provisions of this Award Agreement shall not in any way be construed as a waiver of any such provision or provisions, nor prevent that party from thereafter enforcing each and every other provision of this Award Agreement. The rights granted both parties herein are cumulative and shall not constitute a waiver of either party’s right to assert all other legal remedies available to it under the circumstances.</w:t>
      </w:r>
    </w:p>
    <w:p>
      <w:pPr>
        <w:spacing w:after="0" w:line="154" w:lineRule="exact"/>
        <w:rPr>
          <w:rFonts w:ascii="Arial" w:cs="Arial" w:eastAsia="Arial" w:hAnsi="Arial"/>
          <w:sz w:val="15"/>
          <w:szCs w:val="15"/>
          <w:color w:val="auto"/>
        </w:rPr>
      </w:pPr>
    </w:p>
    <w:p>
      <w:pPr>
        <w:ind w:right="20" w:firstLine="448"/>
        <w:spacing w:after="0" w:line="322" w:lineRule="auto"/>
        <w:tabs>
          <w:tab w:leader="none" w:pos="796" w:val="left"/>
        </w:tabs>
        <w:numPr>
          <w:ilvl w:val="0"/>
          <w:numId w:val="319"/>
        </w:numPr>
        <w:rPr>
          <w:rFonts w:ascii="Arial" w:cs="Arial" w:eastAsia="Arial" w:hAnsi="Arial"/>
          <w:sz w:val="13"/>
          <w:szCs w:val="13"/>
          <w:color w:val="auto"/>
        </w:rPr>
      </w:pPr>
      <w:r>
        <w:rPr>
          <w:rFonts w:ascii="Arial" w:cs="Arial" w:eastAsia="Arial" w:hAnsi="Arial"/>
          <w:sz w:val="13"/>
          <w:szCs w:val="13"/>
          <w:u w:val="single" w:color="auto"/>
          <w:color w:val="auto"/>
        </w:rPr>
        <w:t>Successors and Assigns</w:t>
      </w:r>
      <w:r>
        <w:rPr>
          <w:rFonts w:ascii="Arial" w:cs="Arial" w:eastAsia="Arial" w:hAnsi="Arial"/>
          <w:sz w:val="13"/>
          <w:szCs w:val="13"/>
          <w:color w:val="auto"/>
        </w:rPr>
        <w:t>. The Company may assign any of its rights under this Award Agreement to single or multiple assignees, and this Award Agreement shall inure to the benefit of the successors and assigns of the Company. Subject to the restrictions on transfer herein set forth, this Award Agreement shall be binding upon Participant and his or her heirs, executors, administrators, successors and assigns. The rights and obligations of Participant under this Award Agreement may only be assigned with the prior written consent of the Company.</w:t>
      </w:r>
    </w:p>
    <w:p>
      <w:pPr>
        <w:spacing w:after="0" w:line="120" w:lineRule="exact"/>
        <w:rPr>
          <w:rFonts w:ascii="Arial" w:cs="Arial" w:eastAsia="Arial" w:hAnsi="Arial"/>
          <w:sz w:val="13"/>
          <w:szCs w:val="13"/>
          <w:color w:val="auto"/>
        </w:rPr>
      </w:pPr>
    </w:p>
    <w:p>
      <w:pPr>
        <w:ind w:firstLine="448"/>
        <w:spacing w:after="0" w:line="300" w:lineRule="auto"/>
        <w:tabs>
          <w:tab w:leader="none" w:pos="796" w:val="left"/>
        </w:tabs>
        <w:numPr>
          <w:ilvl w:val="0"/>
          <w:numId w:val="319"/>
        </w:numPr>
        <w:rPr>
          <w:rFonts w:ascii="Arial" w:cs="Arial" w:eastAsia="Arial" w:hAnsi="Arial"/>
          <w:sz w:val="13"/>
          <w:szCs w:val="13"/>
          <w:color w:val="auto"/>
        </w:rPr>
      </w:pPr>
      <w:r>
        <w:rPr>
          <w:rFonts w:ascii="Arial" w:cs="Arial" w:eastAsia="Arial" w:hAnsi="Arial"/>
          <w:sz w:val="13"/>
          <w:szCs w:val="13"/>
          <w:u w:val="single" w:color="auto"/>
          <w:color w:val="auto"/>
        </w:rPr>
        <w:t>Additional Conditions to Issuance of Stock</w:t>
      </w:r>
      <w:r>
        <w:rPr>
          <w:rFonts w:ascii="Arial" w:cs="Arial" w:eastAsia="Arial" w:hAnsi="Arial"/>
          <w:sz w:val="13"/>
          <w:szCs w:val="13"/>
          <w:color w:val="auto"/>
        </w:rPr>
        <w:t>. If at any time the Company will determine, in its discretion, that the listing, registration, qualification or rule compliance of the Shares upon any securities exchange or under any state, federal or non-U.S. law, the tax code and related regulations or under the rulings or regulations of the United States Securities and Exchange Commission or any other governmental regulatory body or the clearance, consent or approval of the United States Securities and Exchange Commission or any other governmental regulatory authority is necessary or desirable as a condition to the issuance of Shares to Participant (or his or her estate) hereunder, such issuance will not occur unless and until such listing, registration, qualification, rule compliance, clearance, consent or approval will have been completed, effected or obtained free of any conditions not acceptable to the Company. Subject to the terms of the Award Agreement and the Plan, the Company shall not be required to issue any certificate or certificates for Shares hereunder prior to the lapse of such reasonable period of time following the date of vesting of the Restricted Stock Units as the Administrator may establish from time to time for reasons of administrative convenience.</w:t>
      </w:r>
    </w:p>
    <w:p>
      <w:pPr>
        <w:spacing w:after="0" w:line="135" w:lineRule="exact"/>
        <w:rPr>
          <w:rFonts w:ascii="Arial" w:cs="Arial" w:eastAsia="Arial" w:hAnsi="Arial"/>
          <w:sz w:val="13"/>
          <w:szCs w:val="13"/>
          <w:color w:val="auto"/>
        </w:rPr>
      </w:pPr>
    </w:p>
    <w:p>
      <w:pPr>
        <w:ind w:right="220" w:firstLine="448"/>
        <w:spacing w:after="0" w:line="275" w:lineRule="auto"/>
        <w:tabs>
          <w:tab w:leader="none" w:pos="796" w:val="left"/>
        </w:tabs>
        <w:numPr>
          <w:ilvl w:val="0"/>
          <w:numId w:val="319"/>
        </w:numPr>
        <w:rPr>
          <w:rFonts w:ascii="Arial" w:cs="Arial" w:eastAsia="Arial" w:hAnsi="Arial"/>
          <w:sz w:val="15"/>
          <w:szCs w:val="15"/>
          <w:color w:val="auto"/>
        </w:rPr>
      </w:pPr>
      <w:r>
        <w:rPr>
          <w:rFonts w:ascii="Arial" w:cs="Arial" w:eastAsia="Arial" w:hAnsi="Arial"/>
          <w:sz w:val="15"/>
          <w:szCs w:val="15"/>
          <w:u w:val="single" w:color="auto"/>
          <w:color w:val="auto"/>
        </w:rPr>
        <w:t>Language</w:t>
      </w:r>
      <w:r>
        <w:rPr>
          <w:rFonts w:ascii="Arial" w:cs="Arial" w:eastAsia="Arial" w:hAnsi="Arial"/>
          <w:sz w:val="15"/>
          <w:szCs w:val="15"/>
          <w:color w:val="auto"/>
        </w:rPr>
        <w:t>. If Participant has received this Award Agreement or any other document related to the Plan translated into a language other than English and if the meaning of the translated version is different than the English version, the English version will control.</w:t>
      </w:r>
    </w:p>
    <w:p>
      <w:pPr>
        <w:spacing w:after="0" w:line="146" w:lineRule="exact"/>
        <w:rPr>
          <w:rFonts w:ascii="Arial" w:cs="Arial" w:eastAsia="Arial" w:hAnsi="Arial"/>
          <w:sz w:val="15"/>
          <w:szCs w:val="15"/>
          <w:color w:val="auto"/>
        </w:rPr>
      </w:pPr>
    </w:p>
    <w:p>
      <w:pPr>
        <w:ind w:right="40" w:firstLine="448"/>
        <w:spacing w:after="0" w:line="257" w:lineRule="auto"/>
        <w:tabs>
          <w:tab w:leader="none" w:pos="796" w:val="left"/>
        </w:tabs>
        <w:numPr>
          <w:ilvl w:val="0"/>
          <w:numId w:val="319"/>
        </w:numPr>
        <w:rPr>
          <w:rFonts w:ascii="Arial" w:cs="Arial" w:eastAsia="Arial" w:hAnsi="Arial"/>
          <w:sz w:val="15"/>
          <w:szCs w:val="15"/>
          <w:color w:val="auto"/>
        </w:rPr>
      </w:pPr>
      <w:r>
        <w:rPr>
          <w:rFonts w:ascii="Arial" w:cs="Arial" w:eastAsia="Arial" w:hAnsi="Arial"/>
          <w:sz w:val="15"/>
          <w:szCs w:val="15"/>
          <w:u w:val="single" w:color="auto"/>
          <w:color w:val="auto"/>
        </w:rPr>
        <w:t>Interpretation</w:t>
      </w:r>
      <w:r>
        <w:rPr>
          <w:rFonts w:ascii="Arial" w:cs="Arial" w:eastAsia="Arial" w:hAnsi="Arial"/>
          <w:sz w:val="15"/>
          <w:szCs w:val="15"/>
          <w:color w:val="auto"/>
        </w:rPr>
        <w:t>. The Administrator will have the power to interpret the Plan and this Award Agreement and to adopt such rules for the administration, interpretation and application of the Plan as are consistent therewith and to interpret or revoke any such rules (including, but not limited to, the determination of whether or not any Restricted Stock Units have vested). All actions taken and all interpretations and determinations made by the Administrator in good faith will be final and binding upon Participant, the Company and all other interested persons. Neither the Administrator nor any person acting on behalf of the Administrator will be personally liable for any action, determination, or interpretation made in good faith with respect to the Plan or this Award Agreement.</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-8-</w:t>
      </w:r>
    </w:p>
    <w:p>
      <w:pPr>
        <w:sectPr>
          <w:pgSz w:w="11900" w:h="16838" w:orient="portrait"/>
          <w:cols w:equalWidth="0" w:num="1">
            <w:col w:w="11420"/>
          </w:cols>
          <w:pgMar w:left="240" w:top="253" w:right="239" w:bottom="1440" w:gutter="0" w:footer="0" w:header="0"/>
        </w:sectPr>
      </w:pPr>
    </w:p>
    <w:bookmarkStart w:id="386" w:name="page387"/>
    <w:bookmarkEnd w:id="386"/>
    <w:p>
      <w:pPr>
        <w:ind w:left="780" w:hanging="332"/>
        <w:spacing w:after="0"/>
        <w:tabs>
          <w:tab w:leader="none" w:pos="780" w:val="left"/>
        </w:tabs>
        <w:numPr>
          <w:ilvl w:val="0"/>
          <w:numId w:val="320"/>
        </w:numPr>
        <w:rPr>
          <w:rFonts w:ascii="Arial" w:cs="Arial" w:eastAsia="Arial" w:hAnsi="Arial"/>
          <w:sz w:val="15"/>
          <w:szCs w:val="15"/>
          <w:color w:val="auto"/>
        </w:rPr>
      </w:pPr>
      <w:r>
        <w:rPr>
          <w:rFonts w:ascii="Arial" w:cs="Arial" w:eastAsia="Arial" w:hAnsi="Arial"/>
          <w:sz w:val="15"/>
          <w:szCs w:val="15"/>
          <w:u w:val="single" w:color="auto"/>
          <w:color w:val="auto"/>
        </w:rPr>
        <w:drawing>
          <wp:anchor simplePos="0" relativeHeight="251657728" behindDoc="1" locked="0" layoutInCell="0" allowOverlap="1">
            <wp:simplePos x="0" y="0"/>
            <wp:positionH relativeFrom="page">
              <wp:posOffset>133350</wp:posOffset>
            </wp:positionH>
            <wp:positionV relativeFrom="page">
              <wp:posOffset>88900</wp:posOffset>
            </wp:positionV>
            <wp:extent cx="7308850" cy="34290"/>
            <wp:wrapNone/>
            <wp:docPr id="546" name="Picture 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
                    <pic:cNvPicPr>
                      <a:picLocks noChangeAspect="1" noChangeArrowheads="1"/>
                    </pic:cNvPicPr>
                  </pic:nvPicPr>
                  <pic:blipFill>
                    <a:blip r:embed="rId583">
                      <a:extLst>
                        <a:ext uri="{28A0092B-C50C-407E-A947-70E740481C1C}"/>
                      </a:extLst>
                    </a:blip>
                    <a:srcRect/>
                    <a:stretch>
                      <a:fillRect/>
                    </a:stretch>
                  </pic:blipFill>
                  <pic:spPr bwMode="auto">
                    <a:xfrm>
                      <a:off x="0" y="0"/>
                      <a:ext cx="7308850" cy="34290"/>
                    </a:xfrm>
                    <a:prstGeom prst="rect">
                      <a:avLst/>
                    </a:prstGeom>
                    <a:noFill/>
                  </pic:spPr>
                </pic:pic>
              </a:graphicData>
            </a:graphic>
          </wp:anchor>
        </w:drawing>
        <w:t>Captions</w:t>
      </w:r>
      <w:r>
        <w:rPr>
          <w:rFonts w:ascii="Arial" w:cs="Arial" w:eastAsia="Arial" w:hAnsi="Arial"/>
          <w:sz w:val="15"/>
          <w:szCs w:val="15"/>
          <w:color w:val="auto"/>
        </w:rPr>
        <w:t>. Captions provided herein are for convenience only and are not to serve as a basis for interpretation or construction of this Award Agreement.</w:t>
      </w:r>
    </w:p>
    <w:p>
      <w:pPr>
        <w:spacing w:after="0" w:line="188" w:lineRule="exact"/>
        <w:rPr>
          <w:rFonts w:ascii="Arial" w:cs="Arial" w:eastAsia="Arial" w:hAnsi="Arial"/>
          <w:sz w:val="15"/>
          <w:szCs w:val="15"/>
          <w:color w:val="auto"/>
        </w:rPr>
      </w:pPr>
    </w:p>
    <w:p>
      <w:pPr>
        <w:ind w:firstLine="448"/>
        <w:spacing w:after="0" w:line="263" w:lineRule="auto"/>
        <w:tabs>
          <w:tab w:leader="none" w:pos="796" w:val="left"/>
        </w:tabs>
        <w:numPr>
          <w:ilvl w:val="0"/>
          <w:numId w:val="320"/>
        </w:numPr>
        <w:rPr>
          <w:rFonts w:ascii="Arial" w:cs="Arial" w:eastAsia="Arial" w:hAnsi="Arial"/>
          <w:sz w:val="15"/>
          <w:szCs w:val="15"/>
          <w:color w:val="auto"/>
        </w:rPr>
      </w:pPr>
      <w:r>
        <w:rPr>
          <w:rFonts w:ascii="Arial" w:cs="Arial" w:eastAsia="Arial" w:hAnsi="Arial"/>
          <w:sz w:val="15"/>
          <w:szCs w:val="15"/>
          <w:u w:val="single" w:color="auto"/>
          <w:color w:val="auto"/>
        </w:rPr>
        <w:t>Amendment, Suspension or Termination of the Plan</w:t>
      </w:r>
      <w:r>
        <w:rPr>
          <w:rFonts w:ascii="Arial" w:cs="Arial" w:eastAsia="Arial" w:hAnsi="Arial"/>
          <w:sz w:val="15"/>
          <w:szCs w:val="15"/>
          <w:color w:val="auto"/>
        </w:rPr>
        <w:t>. By accepting this Award, Participant expressly warrants that he or she has received an Award of Restricted Stock Units under the Plan, and has received, read, and understood a description of the Plan. Participant understands that the Plan is discretionary in nature and may be amended, suspended or terminated by the Company at any time.</w:t>
      </w:r>
    </w:p>
    <w:p>
      <w:pPr>
        <w:spacing w:after="0" w:line="154" w:lineRule="exact"/>
        <w:rPr>
          <w:rFonts w:ascii="Arial" w:cs="Arial" w:eastAsia="Arial" w:hAnsi="Arial"/>
          <w:sz w:val="15"/>
          <w:szCs w:val="15"/>
          <w:color w:val="auto"/>
        </w:rPr>
      </w:pPr>
    </w:p>
    <w:p>
      <w:pPr>
        <w:ind w:right="20" w:firstLine="448"/>
        <w:spacing w:after="0" w:line="279" w:lineRule="auto"/>
        <w:tabs>
          <w:tab w:leader="none" w:pos="796" w:val="left"/>
        </w:tabs>
        <w:numPr>
          <w:ilvl w:val="0"/>
          <w:numId w:val="320"/>
        </w:numPr>
        <w:rPr>
          <w:rFonts w:ascii="Arial" w:cs="Arial" w:eastAsia="Arial" w:hAnsi="Arial"/>
          <w:sz w:val="14"/>
          <w:szCs w:val="14"/>
          <w:color w:val="auto"/>
        </w:rPr>
      </w:pPr>
      <w:r>
        <w:rPr>
          <w:rFonts w:ascii="Arial" w:cs="Arial" w:eastAsia="Arial" w:hAnsi="Arial"/>
          <w:sz w:val="14"/>
          <w:szCs w:val="14"/>
          <w:u w:val="single" w:color="auto"/>
          <w:color w:val="auto"/>
        </w:rPr>
        <w:t>Modifications to the Award Agreement</w:t>
      </w:r>
      <w:r>
        <w:rPr>
          <w:rFonts w:ascii="Arial" w:cs="Arial" w:eastAsia="Arial" w:hAnsi="Arial"/>
          <w:sz w:val="14"/>
          <w:szCs w:val="14"/>
          <w:color w:val="auto"/>
        </w:rPr>
        <w:t>. This Award Agreement constitutes the entire understanding of the parties on the subjects covered. Participant expressly warrants that he or she is not accepting this Award Agreement in reliance on any promises, representations, or inducements other than those contained herein. Modifications to this Award Agreement or the Plan can be made only in an express written contract executed by a duly authorized officer of the Company. Notwithstanding anything to the contrary in the Plan or this Award Agreement, the Company reserves the right to revise this Award Agreement as it deems necessary or advisable, in its sole discretion and without the consent of Participant, to comply with Section 409A or to otherwise avoid imposition of any additional tax or income recognition under Section 409A in connection to this Award of Restricted Stock Units.</w:t>
      </w:r>
    </w:p>
    <w:p>
      <w:pPr>
        <w:spacing w:after="0" w:line="146" w:lineRule="exact"/>
        <w:rPr>
          <w:rFonts w:ascii="Arial" w:cs="Arial" w:eastAsia="Arial" w:hAnsi="Arial"/>
          <w:sz w:val="14"/>
          <w:szCs w:val="14"/>
          <w:color w:val="auto"/>
        </w:rPr>
      </w:pPr>
    </w:p>
    <w:p>
      <w:pPr>
        <w:ind w:right="200" w:firstLine="448"/>
        <w:spacing w:after="0" w:line="279" w:lineRule="auto"/>
        <w:tabs>
          <w:tab w:leader="none" w:pos="796" w:val="left"/>
        </w:tabs>
        <w:numPr>
          <w:ilvl w:val="0"/>
          <w:numId w:val="320"/>
        </w:numPr>
        <w:rPr>
          <w:rFonts w:ascii="Arial" w:cs="Arial" w:eastAsia="Arial" w:hAnsi="Arial"/>
          <w:sz w:val="14"/>
          <w:szCs w:val="14"/>
          <w:color w:val="auto"/>
        </w:rPr>
      </w:pPr>
      <w:r>
        <w:rPr>
          <w:rFonts w:ascii="Arial" w:cs="Arial" w:eastAsia="Arial" w:hAnsi="Arial"/>
          <w:sz w:val="14"/>
          <w:szCs w:val="14"/>
          <w:u w:val="single" w:color="auto"/>
          <w:color w:val="auto"/>
        </w:rPr>
        <w:t>Governing Law; Venue; Severability</w:t>
      </w:r>
      <w:r>
        <w:rPr>
          <w:rFonts w:ascii="Arial" w:cs="Arial" w:eastAsia="Arial" w:hAnsi="Arial"/>
          <w:sz w:val="14"/>
          <w:szCs w:val="14"/>
          <w:color w:val="auto"/>
        </w:rPr>
        <w:t>. This Award Agreement and the Restricted Stock Units are governed by the internal substantive laws, but not the choice of law rules, of California. For purposes of litigating any dispute that arises under these Restricted Stock Units or this Award Agreement, the parties hereby submit to and consent to the jurisdiction of the State of California, and agree that such litigation will be conducted in the courts of San Francisco County, California, or the federal courts for the United States for the Northern District of California, and no other courts, where this Award Agreement is made and/or to be performed. In the event that any provision hereof becomes or is declared by a court of competent jurisdiction to be illegal, unenforceable or void, this Award Agreement shall continue in full force and effect.</w:t>
      </w:r>
    </w:p>
    <w:p>
      <w:pPr>
        <w:spacing w:after="0" w:line="146" w:lineRule="exact"/>
        <w:rPr>
          <w:rFonts w:ascii="Arial" w:cs="Arial" w:eastAsia="Arial" w:hAnsi="Arial"/>
          <w:sz w:val="14"/>
          <w:szCs w:val="14"/>
          <w:color w:val="auto"/>
        </w:rPr>
      </w:pPr>
    </w:p>
    <w:p>
      <w:pPr>
        <w:ind w:right="120" w:firstLine="448"/>
        <w:spacing w:after="0" w:line="290" w:lineRule="auto"/>
        <w:tabs>
          <w:tab w:leader="none" w:pos="796" w:val="left"/>
        </w:tabs>
        <w:numPr>
          <w:ilvl w:val="0"/>
          <w:numId w:val="320"/>
        </w:numPr>
        <w:rPr>
          <w:rFonts w:ascii="Arial" w:cs="Arial" w:eastAsia="Arial" w:hAnsi="Arial"/>
          <w:sz w:val="14"/>
          <w:szCs w:val="14"/>
          <w:color w:val="auto"/>
        </w:rPr>
      </w:pPr>
      <w:r>
        <w:rPr>
          <w:rFonts w:ascii="Arial" w:cs="Arial" w:eastAsia="Arial" w:hAnsi="Arial"/>
          <w:sz w:val="14"/>
          <w:szCs w:val="14"/>
          <w:u w:val="single" w:color="auto"/>
          <w:color w:val="auto"/>
        </w:rPr>
        <w:t>Entire Agreement</w:t>
      </w:r>
      <w:r>
        <w:rPr>
          <w:rFonts w:ascii="Arial" w:cs="Arial" w:eastAsia="Arial" w:hAnsi="Arial"/>
          <w:sz w:val="14"/>
          <w:szCs w:val="14"/>
          <w:color w:val="auto"/>
        </w:rPr>
        <w:t>. The Plan is incorporated herein by reference. The Plan and this Award Agreement (including the appendices and exhibits referenced herein) constitute the entire agreement of the parties with respect to the subject matter hereof and supersede in their entirety all prior undertakings and agreements of the Company and Participant with respect to the subject matter hereof, and may not be modified adversely to the Participant’s interest except by means of a writing signed by the Company and Participant.</w:t>
      </w:r>
    </w:p>
    <w:p>
      <w:pPr>
        <w:spacing w:after="0" w:line="138" w:lineRule="exact"/>
        <w:rPr>
          <w:rFonts w:ascii="Arial" w:cs="Arial" w:eastAsia="Arial" w:hAnsi="Arial"/>
          <w:sz w:val="14"/>
          <w:szCs w:val="14"/>
          <w:color w:val="auto"/>
        </w:rPr>
      </w:pPr>
    </w:p>
    <w:p>
      <w:pPr>
        <w:ind w:right="120" w:firstLine="448"/>
        <w:spacing w:after="0" w:line="259" w:lineRule="auto"/>
        <w:tabs>
          <w:tab w:leader="none" w:pos="796" w:val="left"/>
        </w:tabs>
        <w:numPr>
          <w:ilvl w:val="0"/>
          <w:numId w:val="320"/>
        </w:numPr>
        <w:rPr>
          <w:rFonts w:ascii="Arial" w:cs="Arial" w:eastAsia="Arial" w:hAnsi="Arial"/>
          <w:sz w:val="15"/>
          <w:szCs w:val="15"/>
          <w:color w:val="auto"/>
        </w:rPr>
      </w:pPr>
      <w:r>
        <w:rPr>
          <w:rFonts w:ascii="Arial" w:cs="Arial" w:eastAsia="Arial" w:hAnsi="Arial"/>
          <w:sz w:val="15"/>
          <w:szCs w:val="15"/>
          <w:u w:val="single" w:color="auto"/>
          <w:color w:val="auto"/>
        </w:rPr>
        <w:t>Country Addendum</w:t>
      </w:r>
      <w:r>
        <w:rPr>
          <w:rFonts w:ascii="Arial" w:cs="Arial" w:eastAsia="Arial" w:hAnsi="Arial"/>
          <w:sz w:val="15"/>
          <w:szCs w:val="15"/>
          <w:color w:val="auto"/>
        </w:rPr>
        <w:t>. Notwithstanding any provisions in this Award Agreement, the Restricted Stock Unit grant shall be subject to any special terms and conditions set forth in the appendix (if any) to this Award Agreement for Participant’s country. Moreover, if Participant relocates to one of the countries included in the Country Addendum (if any), the special terms and conditions for such country will apply to Participant, to the extent the Company determines that the application of such terms and conditions is necessary or advisable for legal or administrative reasons. The Country Addendum constitutes part of this Award Agreement.</w:t>
      </w:r>
    </w:p>
    <w:p>
      <w:pPr>
        <w:spacing w:after="0" w:line="10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-9-</w:t>
      </w:r>
    </w:p>
    <w:p>
      <w:pPr>
        <w:sectPr>
          <w:pgSz w:w="11900" w:h="16838" w:orient="portrait"/>
          <w:cols w:equalWidth="0" w:num="1">
            <w:col w:w="11420"/>
          </w:cols>
          <w:pgMar w:left="240" w:top="253" w:right="239" w:bottom="1440" w:gutter="0" w:footer="0" w:header="0"/>
        </w:sectPr>
      </w:pPr>
    </w:p>
    <w:bookmarkStart w:id="387" w:name="page388"/>
    <w:bookmarkEnd w:id="387"/>
    <w:p>
      <w:pPr>
        <w:jc w:val="center"/>
        <w:ind w:right="-19"/>
        <w:spacing w:after="0"/>
        <w:rPr>
          <w:sz w:val="20"/>
          <w:szCs w:val="20"/>
          <w:color w:val="auto"/>
        </w:rPr>
      </w:pPr>
      <w:r>
        <w:rPr>
          <w:rFonts w:ascii="Arial" w:cs="Arial" w:eastAsia="Arial" w:hAnsi="Arial"/>
          <w:sz w:val="15"/>
          <w:szCs w:val="15"/>
          <w:b w:val="1"/>
          <w:bCs w:val="1"/>
          <w:color w:val="auto"/>
        </w:rPr>
        <w:drawing>
          <wp:anchor simplePos="0" relativeHeight="251657728" behindDoc="1" locked="0" layoutInCell="0" allowOverlap="1">
            <wp:simplePos x="0" y="0"/>
            <wp:positionH relativeFrom="page">
              <wp:posOffset>133350</wp:posOffset>
            </wp:positionH>
            <wp:positionV relativeFrom="page">
              <wp:posOffset>88900</wp:posOffset>
            </wp:positionV>
            <wp:extent cx="7308850" cy="34290"/>
            <wp:wrapNone/>
            <wp:docPr id="547" name="Picture 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
                    <pic:cNvPicPr>
                      <a:picLocks noChangeAspect="1" noChangeArrowheads="1"/>
                    </pic:cNvPicPr>
                  </pic:nvPicPr>
                  <pic:blipFill>
                    <a:blip r:embed="rId584">
                      <a:extLst>
                        <a:ext uri="{28A0092B-C50C-407E-A947-70E740481C1C}"/>
                      </a:extLst>
                    </a:blip>
                    <a:srcRect/>
                    <a:stretch>
                      <a:fillRect/>
                    </a:stretch>
                  </pic:blipFill>
                  <pic:spPr bwMode="auto">
                    <a:xfrm>
                      <a:off x="0" y="0"/>
                      <a:ext cx="7308850" cy="34290"/>
                    </a:xfrm>
                    <a:prstGeom prst="rect">
                      <a:avLst/>
                    </a:prstGeom>
                    <a:noFill/>
                  </pic:spPr>
                </pic:pic>
              </a:graphicData>
            </a:graphic>
          </wp:anchor>
        </w:drawing>
        <w:t>DROPBOX, INC.</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2018 CLASS C STOCK INCENTIVE PLAN</w:t>
      </w:r>
    </w:p>
    <w:p>
      <w:pPr>
        <w:spacing w:after="0" w:line="8"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RESTRICTED STOCK UNIT AGREEMENT</w:t>
      </w:r>
    </w:p>
    <w:p>
      <w:pPr>
        <w:spacing w:after="0" w:line="8"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COUNTRY ADDENDUM</w:t>
      </w:r>
    </w:p>
    <w:p>
      <w:pPr>
        <w:spacing w:after="0" w:line="179"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TERMS AND CONDITIONS</w:t>
      </w:r>
    </w:p>
    <w:p>
      <w:pPr>
        <w:spacing w:after="0" w:line="98" w:lineRule="exact"/>
        <w:rPr>
          <w:sz w:val="20"/>
          <w:szCs w:val="20"/>
          <w:color w:val="auto"/>
        </w:rPr>
      </w:pPr>
    </w:p>
    <w:p>
      <w:pPr>
        <w:ind w:right="260"/>
        <w:spacing w:after="0" w:line="259" w:lineRule="auto"/>
        <w:rPr>
          <w:sz w:val="20"/>
          <w:szCs w:val="20"/>
          <w:color w:val="auto"/>
        </w:rPr>
      </w:pPr>
      <w:r>
        <w:rPr>
          <w:rFonts w:ascii="Arial" w:cs="Arial" w:eastAsia="Arial" w:hAnsi="Arial"/>
          <w:sz w:val="15"/>
          <w:szCs w:val="15"/>
          <w:color w:val="auto"/>
        </w:rPr>
        <w:t>This Country Addendum includes additional terms and conditions that govern the Award of Restricted Stock Units granted to Participant under the Plan if Participant works in one of the countries listed below. If Participant is a citizen or resident of a country (or is considered as such for local law purposes) other than the one in which he or she is currently working or if Participant relocates to another country after receiving the Award of Restricted Stock Units, the Company will, in its discretion, determine the extent to which the terms and conditions contained herein will be applicable to Participant.</w:t>
      </w:r>
    </w:p>
    <w:p>
      <w:pPr>
        <w:spacing w:after="0" w:line="158" w:lineRule="exact"/>
        <w:rPr>
          <w:sz w:val="20"/>
          <w:szCs w:val="20"/>
          <w:color w:val="auto"/>
        </w:rPr>
      </w:pPr>
    </w:p>
    <w:p>
      <w:pPr>
        <w:ind w:right="260"/>
        <w:spacing w:after="0" w:line="275" w:lineRule="auto"/>
        <w:rPr>
          <w:sz w:val="20"/>
          <w:szCs w:val="20"/>
          <w:color w:val="auto"/>
        </w:rPr>
      </w:pPr>
      <w:r>
        <w:rPr>
          <w:rFonts w:ascii="Arial" w:cs="Arial" w:eastAsia="Arial" w:hAnsi="Arial"/>
          <w:sz w:val="15"/>
          <w:szCs w:val="15"/>
          <w:color w:val="auto"/>
        </w:rPr>
        <w:t>Certain capitalized terms used but not defined in this Country Addendum shall have the meanings set forth in the Plan, and/or the Restricted Stock Unit Agreement to which this Country Addendum is attached.</w:t>
      </w:r>
    </w:p>
    <w:p>
      <w:pPr>
        <w:spacing w:after="0" w:line="236"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NOTIFICATIONS</w:t>
      </w:r>
    </w:p>
    <w:p>
      <w:pPr>
        <w:spacing w:after="0" w:line="98" w:lineRule="exact"/>
        <w:rPr>
          <w:sz w:val="20"/>
          <w:szCs w:val="20"/>
          <w:color w:val="auto"/>
        </w:rPr>
      </w:pPr>
    </w:p>
    <w:p>
      <w:pPr>
        <w:spacing w:after="0"/>
        <w:rPr>
          <w:sz w:val="20"/>
          <w:szCs w:val="20"/>
          <w:color w:val="auto"/>
        </w:rPr>
      </w:pPr>
      <w:r>
        <w:rPr>
          <w:rFonts w:ascii="Arial" w:cs="Arial" w:eastAsia="Arial" w:hAnsi="Arial"/>
          <w:sz w:val="13"/>
          <w:szCs w:val="13"/>
          <w:color w:val="auto"/>
        </w:rPr>
        <w:t>This Country Addendum also includes notifications relating to exchange control and other issues of which Participant should be aware with respect to his or her participation in the Plan. The</w:t>
      </w:r>
    </w:p>
    <w:p>
      <w:pPr>
        <w:spacing w:after="0" w:line="40" w:lineRule="exact"/>
        <w:rPr>
          <w:sz w:val="20"/>
          <w:szCs w:val="20"/>
          <w:color w:val="auto"/>
        </w:rPr>
      </w:pPr>
    </w:p>
    <w:p>
      <w:pPr>
        <w:ind w:right="40"/>
        <w:spacing w:after="0" w:line="254" w:lineRule="auto"/>
        <w:rPr>
          <w:sz w:val="20"/>
          <w:szCs w:val="20"/>
          <w:color w:val="auto"/>
        </w:rPr>
      </w:pPr>
      <w:r>
        <w:rPr>
          <w:rFonts w:ascii="Arial" w:cs="Arial" w:eastAsia="Arial" w:hAnsi="Arial"/>
          <w:sz w:val="15"/>
          <w:szCs w:val="15"/>
          <w:color w:val="auto"/>
        </w:rPr>
        <w:t>information is based on the exchange control, securities and other laws in effect in the countries listed in this Country Addendum, as of . Such laws are often complex and change frequently. As a result, the Company strongly recommends that Participant not rely on the notifications herein as the only source of information relating to the consequences of his or her participation in the Plan because the information may be outdated when Participant vests in the Restricted Stock Units and acquires Shares, or when Participant subsequently sell Shares acquired under the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5179695</wp:posOffset>
            </wp:positionH>
            <wp:positionV relativeFrom="paragraph">
              <wp:posOffset>-368935</wp:posOffset>
            </wp:positionV>
            <wp:extent cx="477520" cy="6985"/>
            <wp:wrapNone/>
            <wp:docPr id="548" name="Picture 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
                    <pic:cNvPicPr>
                      <a:picLocks noChangeAspect="1" noChangeArrowheads="1"/>
                    </pic:cNvPicPr>
                  </pic:nvPicPr>
                  <pic:blipFill>
                    <a:blip r:embed="rId585">
                      <a:extLst>
                        <a:ext uri="{28A0092B-C50C-407E-A947-70E740481C1C}"/>
                      </a:extLst>
                    </a:blip>
                    <a:srcRect/>
                    <a:stretch>
                      <a:fillRect/>
                    </a:stretch>
                  </pic:blipFill>
                  <pic:spPr bwMode="auto">
                    <a:xfrm>
                      <a:off x="0" y="0"/>
                      <a:ext cx="477520" cy="6985"/>
                    </a:xfrm>
                    <a:prstGeom prst="rect">
                      <a:avLst/>
                    </a:prstGeom>
                    <a:noFill/>
                  </pic:spPr>
                </pic:pic>
              </a:graphicData>
            </a:graphic>
          </wp:anchor>
        </w:drawing>
      </w:r>
    </w:p>
    <w:p>
      <w:pPr>
        <w:spacing w:after="0" w:line="143" w:lineRule="exact"/>
        <w:rPr>
          <w:sz w:val="20"/>
          <w:szCs w:val="20"/>
          <w:color w:val="auto"/>
        </w:rPr>
      </w:pPr>
    </w:p>
    <w:p>
      <w:pPr>
        <w:spacing w:after="0"/>
        <w:rPr>
          <w:sz w:val="20"/>
          <w:szCs w:val="20"/>
          <w:color w:val="auto"/>
        </w:rPr>
      </w:pPr>
      <w:r>
        <w:rPr>
          <w:rFonts w:ascii="Arial" w:cs="Arial" w:eastAsia="Arial" w:hAnsi="Arial"/>
          <w:sz w:val="13"/>
          <w:szCs w:val="13"/>
          <w:color w:val="auto"/>
        </w:rPr>
        <w:t>In addition, the notifications are general in nature and may not apply to Participant’s particular situation, and the Company is not in a position to assure Participant of any particular result.</w:t>
      </w:r>
    </w:p>
    <w:p>
      <w:pPr>
        <w:spacing w:after="0" w:line="40" w:lineRule="exact"/>
        <w:rPr>
          <w:sz w:val="20"/>
          <w:szCs w:val="20"/>
          <w:color w:val="auto"/>
        </w:rPr>
      </w:pPr>
    </w:p>
    <w:p>
      <w:pPr>
        <w:spacing w:after="0"/>
        <w:rPr>
          <w:sz w:val="20"/>
          <w:szCs w:val="20"/>
          <w:color w:val="auto"/>
        </w:rPr>
      </w:pPr>
      <w:r>
        <w:rPr>
          <w:rFonts w:ascii="Arial" w:cs="Arial" w:eastAsia="Arial" w:hAnsi="Arial"/>
          <w:sz w:val="15"/>
          <w:szCs w:val="15"/>
          <w:color w:val="auto"/>
        </w:rPr>
        <w:t>Accordingly, Participant is advised to seek appropriate professional advice as to how the relevant laws in Participant’s country may apply to Participant’s situation.</w:t>
      </w:r>
    </w:p>
    <w:p>
      <w:pPr>
        <w:spacing w:after="0" w:line="179" w:lineRule="exact"/>
        <w:rPr>
          <w:sz w:val="20"/>
          <w:szCs w:val="20"/>
          <w:color w:val="auto"/>
        </w:rPr>
      </w:pPr>
    </w:p>
    <w:p>
      <w:pPr>
        <w:ind w:right="40"/>
        <w:spacing w:after="0" w:line="275" w:lineRule="auto"/>
        <w:rPr>
          <w:sz w:val="20"/>
          <w:szCs w:val="20"/>
          <w:color w:val="auto"/>
        </w:rPr>
      </w:pPr>
      <w:r>
        <w:rPr>
          <w:rFonts w:ascii="Arial" w:cs="Arial" w:eastAsia="Arial" w:hAnsi="Arial"/>
          <w:sz w:val="15"/>
          <w:szCs w:val="15"/>
          <w:color w:val="auto"/>
        </w:rPr>
        <w:t>Finally, if Participant is a citizen or resident of a country other than the one in which Participant is currently working (or is considered as such for local law purposes) or if Participant moves to another country after receiving the Award of Restricted Stock Units, the information contained herein may not be applicable to Participant.</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-10-</w:t>
      </w:r>
    </w:p>
    <w:p>
      <w:pPr>
        <w:sectPr>
          <w:pgSz w:w="11900" w:h="16838" w:orient="portrait"/>
          <w:cols w:equalWidth="0" w:num="1">
            <w:col w:w="11400"/>
          </w:cols>
          <w:pgMar w:left="240" w:top="249" w:right="259" w:bottom="1440" w:gutter="0" w:footer="0" w:header="0"/>
        </w:sectPr>
      </w:pPr>
    </w:p>
    <w:bookmarkStart w:id="388" w:name="page389"/>
    <w:bookmarkEnd w:id="388"/>
    <w:p>
      <w:pPr>
        <w:jc w:val="right"/>
        <w:spacing w:after="0"/>
        <w:rPr>
          <w:sz w:val="20"/>
          <w:szCs w:val="20"/>
          <w:color w:val="auto"/>
        </w:rPr>
      </w:pPr>
      <w:r>
        <w:rPr>
          <w:rFonts w:ascii="Arial" w:cs="Arial" w:eastAsia="Arial" w:hAnsi="Arial"/>
          <w:sz w:val="15"/>
          <w:szCs w:val="15"/>
          <w:b w:val="1"/>
          <w:bCs w:val="1"/>
          <w:color w:val="auto"/>
        </w:rPr>
        <w:t>Exhibit 10.5</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DROPBOX, INC.</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2018 CLASS C EMPLOYEE STOCK PURCHASE PLAN</w:t>
      </w:r>
    </w:p>
    <w:p>
      <w:pPr>
        <w:spacing w:after="0" w:line="192" w:lineRule="exact"/>
        <w:rPr>
          <w:sz w:val="20"/>
          <w:szCs w:val="20"/>
          <w:color w:val="auto"/>
        </w:rPr>
      </w:pPr>
    </w:p>
    <w:p>
      <w:pPr>
        <w:ind w:right="100" w:firstLine="448"/>
        <w:spacing w:after="0" w:line="255" w:lineRule="auto"/>
        <w:tabs>
          <w:tab w:leader="none" w:pos="721" w:val="left"/>
        </w:tabs>
        <w:numPr>
          <w:ilvl w:val="0"/>
          <w:numId w:val="321"/>
        </w:numPr>
        <w:rPr>
          <w:rFonts w:ascii="Arial" w:cs="Arial" w:eastAsia="Arial" w:hAnsi="Arial"/>
          <w:sz w:val="15"/>
          <w:szCs w:val="15"/>
          <w:color w:val="auto"/>
        </w:rPr>
      </w:pPr>
      <w:r>
        <w:rPr>
          <w:rFonts w:ascii="Arial" w:cs="Arial" w:eastAsia="Arial" w:hAnsi="Arial"/>
          <w:sz w:val="15"/>
          <w:szCs w:val="15"/>
          <w:u w:val="single" w:color="auto"/>
          <w:color w:val="auto"/>
        </w:rPr>
        <w:t>Purpose</w:t>
      </w:r>
      <w:r>
        <w:rPr>
          <w:rFonts w:ascii="Arial" w:cs="Arial" w:eastAsia="Arial" w:hAnsi="Arial"/>
          <w:sz w:val="15"/>
          <w:szCs w:val="15"/>
          <w:color w:val="auto"/>
        </w:rPr>
        <w:t>. The purpose of the Plan is to provide employees of the Company and its Designated Companies with an opportunity to purchase Common Stock through accumulated Contributions. The Company intends for the Plan to have two components: a component that is intended to qualify as an “employee stock purchase plan” under Section 423 of the Code (the “423 Component”) and a component that is not intended to qualify as an “employee stock purchase plan” under Section 423 of the Code (the “Non-423 Component”). The provisions of the 423 Component, accordingly, will be construed so as to extend and limit Plan participation in a uniform and nondiscriminatory basis consistent with the requirements of Section 423 of the Code. An option to purchase shares of Common Stock under the Non-423 Component will be granted pursuant to rules, procedures, or sub-plans adopted by the Administrator designed to achieve tax, securities laws, or other objectives for Eligible Employees and the Company. Except as otherwise provided herein, the Non-423 Component will operate and be administered in the same manner as the 423 Component.</w:t>
      </w:r>
    </w:p>
    <w:p>
      <w:pPr>
        <w:spacing w:after="0" w:line="251" w:lineRule="exact"/>
        <w:rPr>
          <w:rFonts w:ascii="Arial" w:cs="Arial" w:eastAsia="Arial" w:hAnsi="Arial"/>
          <w:sz w:val="15"/>
          <w:szCs w:val="15"/>
          <w:color w:val="auto"/>
        </w:rPr>
      </w:pPr>
    </w:p>
    <w:p>
      <w:pPr>
        <w:ind w:left="720" w:hanging="272"/>
        <w:spacing w:after="0"/>
        <w:tabs>
          <w:tab w:leader="none" w:pos="720" w:val="left"/>
        </w:tabs>
        <w:numPr>
          <w:ilvl w:val="0"/>
          <w:numId w:val="321"/>
        </w:numPr>
        <w:rPr>
          <w:rFonts w:ascii="Arial" w:cs="Arial" w:eastAsia="Arial" w:hAnsi="Arial"/>
          <w:sz w:val="15"/>
          <w:szCs w:val="15"/>
          <w:color w:val="auto"/>
        </w:rPr>
      </w:pPr>
      <w:r>
        <w:rPr>
          <w:rFonts w:ascii="Arial" w:cs="Arial" w:eastAsia="Arial" w:hAnsi="Arial"/>
          <w:sz w:val="15"/>
          <w:szCs w:val="15"/>
          <w:u w:val="single" w:color="auto"/>
          <w:color w:val="auto"/>
        </w:rPr>
        <w:t>Definitions</w:t>
      </w:r>
      <w:r>
        <w:rPr>
          <w:rFonts w:ascii="Arial" w:cs="Arial" w:eastAsia="Arial" w:hAnsi="Arial"/>
          <w:sz w:val="15"/>
          <w:szCs w:val="15"/>
          <w:color w:val="auto"/>
        </w:rPr>
        <w:t>.</w:t>
      </w:r>
    </w:p>
    <w:p>
      <w:pPr>
        <w:spacing w:after="0" w:line="98" w:lineRule="exact"/>
        <w:rPr>
          <w:rFonts w:ascii="Arial" w:cs="Arial" w:eastAsia="Arial" w:hAnsi="Arial"/>
          <w:sz w:val="15"/>
          <w:szCs w:val="15"/>
          <w:color w:val="auto"/>
        </w:rPr>
      </w:pPr>
    </w:p>
    <w:p>
      <w:pPr>
        <w:ind w:left="1220" w:hanging="314"/>
        <w:spacing w:after="0"/>
        <w:tabs>
          <w:tab w:leader="none" w:pos="1220" w:val="left"/>
        </w:tabs>
        <w:numPr>
          <w:ilvl w:val="1"/>
          <w:numId w:val="321"/>
        </w:numPr>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Administrator</w:t>
      </w:r>
      <w:r>
        <w:rPr>
          <w:rFonts w:ascii="Arial" w:cs="Arial" w:eastAsia="Arial" w:hAnsi="Arial"/>
          <w:sz w:val="15"/>
          <w:szCs w:val="15"/>
          <w:color w:val="auto"/>
        </w:rPr>
        <w:t>” means the Board or any Committee designated by the Board to administer the Plan pursuant to Section 14.</w:t>
      </w:r>
    </w:p>
    <w:p>
      <w:pPr>
        <w:spacing w:after="0" w:line="188" w:lineRule="exact"/>
        <w:rPr>
          <w:rFonts w:ascii="Arial" w:cs="Arial" w:eastAsia="Arial" w:hAnsi="Arial"/>
          <w:sz w:val="15"/>
          <w:szCs w:val="15"/>
          <w:color w:val="auto"/>
        </w:rPr>
      </w:pPr>
    </w:p>
    <w:p>
      <w:pPr>
        <w:ind w:left="1240" w:hanging="334"/>
        <w:spacing w:after="0"/>
        <w:tabs>
          <w:tab w:leader="none" w:pos="1240" w:val="left"/>
        </w:tabs>
        <w:numPr>
          <w:ilvl w:val="1"/>
          <w:numId w:val="321"/>
        </w:numPr>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Affiliate</w:t>
      </w:r>
      <w:r>
        <w:rPr>
          <w:rFonts w:ascii="Arial" w:cs="Arial" w:eastAsia="Arial" w:hAnsi="Arial"/>
          <w:sz w:val="15"/>
          <w:szCs w:val="15"/>
          <w:color w:val="auto"/>
        </w:rPr>
        <w:t>” means any entity, other than a Subsidiary, in which the Company has an equity or other ownership interest.</w:t>
      </w:r>
    </w:p>
    <w:p>
      <w:pPr>
        <w:spacing w:after="0" w:line="188" w:lineRule="exact"/>
        <w:rPr>
          <w:rFonts w:ascii="Arial" w:cs="Arial" w:eastAsia="Arial" w:hAnsi="Arial"/>
          <w:sz w:val="15"/>
          <w:szCs w:val="15"/>
          <w:color w:val="auto"/>
        </w:rPr>
      </w:pPr>
    </w:p>
    <w:p>
      <w:pPr>
        <w:ind w:right="20" w:firstLine="906"/>
        <w:spacing w:after="0" w:line="263" w:lineRule="auto"/>
        <w:tabs>
          <w:tab w:leader="none" w:pos="1233" w:val="left"/>
        </w:tabs>
        <w:numPr>
          <w:ilvl w:val="1"/>
          <w:numId w:val="321"/>
        </w:numPr>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Applicable Laws</w:t>
      </w:r>
      <w:r>
        <w:rPr>
          <w:rFonts w:ascii="Arial" w:cs="Arial" w:eastAsia="Arial" w:hAnsi="Arial"/>
          <w:sz w:val="15"/>
          <w:szCs w:val="15"/>
          <w:color w:val="auto"/>
        </w:rPr>
        <w:t>” means the requirements relating to the administration of equity-based awards under U.S. state corporate laws, U.S. federal and state securities laws, the Code, any stock exchange or quotation system on which the Common Stock is listed or quoted and the applicable laws of any foreign country or jurisdiction where options are, or will be, granted under the Plan.</w:t>
      </w:r>
    </w:p>
    <w:p>
      <w:pPr>
        <w:spacing w:after="0" w:line="154" w:lineRule="exact"/>
        <w:rPr>
          <w:rFonts w:ascii="Arial" w:cs="Arial" w:eastAsia="Arial" w:hAnsi="Arial"/>
          <w:sz w:val="15"/>
          <w:szCs w:val="15"/>
          <w:color w:val="auto"/>
        </w:rPr>
      </w:pPr>
    </w:p>
    <w:p>
      <w:pPr>
        <w:ind w:left="1240" w:hanging="334"/>
        <w:spacing w:after="0"/>
        <w:tabs>
          <w:tab w:leader="none" w:pos="1240" w:val="left"/>
        </w:tabs>
        <w:numPr>
          <w:ilvl w:val="1"/>
          <w:numId w:val="321"/>
        </w:numPr>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Board</w:t>
      </w:r>
      <w:r>
        <w:rPr>
          <w:rFonts w:ascii="Arial" w:cs="Arial" w:eastAsia="Arial" w:hAnsi="Arial"/>
          <w:sz w:val="15"/>
          <w:szCs w:val="15"/>
          <w:color w:val="auto"/>
        </w:rPr>
        <w:t>” means the Board of Directors of the Company.</w:t>
      </w:r>
    </w:p>
    <w:p>
      <w:pPr>
        <w:spacing w:after="0" w:line="188" w:lineRule="exact"/>
        <w:rPr>
          <w:rFonts w:ascii="Arial" w:cs="Arial" w:eastAsia="Arial" w:hAnsi="Arial"/>
          <w:sz w:val="15"/>
          <w:szCs w:val="15"/>
          <w:color w:val="auto"/>
        </w:rPr>
      </w:pPr>
    </w:p>
    <w:p>
      <w:pPr>
        <w:ind w:left="1220" w:hanging="314"/>
        <w:spacing w:after="0"/>
        <w:tabs>
          <w:tab w:leader="none" w:pos="1220" w:val="left"/>
        </w:tabs>
        <w:numPr>
          <w:ilvl w:val="1"/>
          <w:numId w:val="321"/>
        </w:numPr>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Change in Control</w:t>
      </w:r>
      <w:r>
        <w:rPr>
          <w:rFonts w:ascii="Arial" w:cs="Arial" w:eastAsia="Arial" w:hAnsi="Arial"/>
          <w:sz w:val="15"/>
          <w:szCs w:val="15"/>
          <w:color w:val="auto"/>
        </w:rPr>
        <w:t>” means the occurrence of any of the following events:</w:t>
      </w:r>
    </w:p>
    <w:p>
      <w:pPr>
        <w:spacing w:after="0" w:line="188" w:lineRule="exact"/>
        <w:rPr>
          <w:rFonts w:ascii="Arial" w:cs="Arial" w:eastAsia="Arial" w:hAnsi="Arial"/>
          <w:sz w:val="15"/>
          <w:szCs w:val="15"/>
          <w:color w:val="auto"/>
        </w:rPr>
      </w:pPr>
    </w:p>
    <w:p>
      <w:pPr>
        <w:ind w:right="100" w:firstLine="1478"/>
        <w:spacing w:after="0" w:line="277" w:lineRule="auto"/>
        <w:tabs>
          <w:tab w:leader="none" w:pos="1772" w:val="left"/>
        </w:tabs>
        <w:numPr>
          <w:ilvl w:val="2"/>
          <w:numId w:val="321"/>
        </w:numPr>
        <w:rPr>
          <w:rFonts w:ascii="Arial" w:cs="Arial" w:eastAsia="Arial" w:hAnsi="Arial"/>
          <w:sz w:val="14"/>
          <w:szCs w:val="14"/>
          <w:color w:val="auto"/>
        </w:rPr>
      </w:pPr>
      <w:r>
        <w:rPr>
          <w:rFonts w:ascii="Arial" w:cs="Arial" w:eastAsia="Arial" w:hAnsi="Arial"/>
          <w:sz w:val="14"/>
          <w:szCs w:val="14"/>
          <w:color w:val="auto"/>
        </w:rPr>
        <w:t>A change in the ownership of the Company which occurs on the date that any one person, or more than one person acting as a group (“</w:t>
      </w:r>
      <w:r>
        <w:rPr>
          <w:rFonts w:ascii="Arial" w:cs="Arial" w:eastAsia="Arial" w:hAnsi="Arial"/>
          <w:sz w:val="14"/>
          <w:szCs w:val="14"/>
          <w:u w:val="single" w:color="auto"/>
          <w:color w:val="auto"/>
        </w:rPr>
        <w:t>Person</w:t>
      </w:r>
      <w:r>
        <w:rPr>
          <w:rFonts w:ascii="Arial" w:cs="Arial" w:eastAsia="Arial" w:hAnsi="Arial"/>
          <w:sz w:val="14"/>
          <w:szCs w:val="14"/>
          <w:color w:val="auto"/>
        </w:rPr>
        <w:t>”), acquires ownership of the stock of the Company that, together with the stock held by such Person, constitutes more than fifty percent (50%) of the total voting power of the stock of the Company; provided, however, that for purposes of this subsection, the acquisition of additional stock by any one Person, who is considered to own more than fifty percent (50%) of the total voting power of the stock of the Company will not be considered a Change in Control. Further, if the stockholders of the Company immediately before such change in ownership continue to retain immediately after the change in ownership, in substantially the same proportions as their ownership of shares of the Company’s voting stock immediately prior to the change in ownership, direct or indirect beneficial ownership of fifty percent (50%) or more of the total voting power of the stock of the Company or of the ultimate parent entity</w:t>
      </w:r>
    </w:p>
    <w:p>
      <w:pPr>
        <w:sectPr>
          <w:pgSz w:w="11900" w:h="16838" w:orient="portrait"/>
          <w:cols w:equalWidth="0" w:num="1">
            <w:col w:w="11440"/>
          </w:cols>
          <w:pgMar w:left="240" w:top="125" w:right="219" w:bottom="1440" w:gutter="0" w:footer="0" w:header="0"/>
        </w:sectPr>
      </w:pPr>
    </w:p>
    <w:bookmarkStart w:id="389" w:name="page390"/>
    <w:bookmarkEnd w:id="389"/>
    <w:p>
      <w:pPr>
        <w:ind w:left="10" w:right="40"/>
        <w:spacing w:after="0" w:line="263"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133350</wp:posOffset>
            </wp:positionH>
            <wp:positionV relativeFrom="page">
              <wp:posOffset>88900</wp:posOffset>
            </wp:positionV>
            <wp:extent cx="7308850" cy="34290"/>
            <wp:wrapNone/>
            <wp:docPr id="549" name="Picture 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
                    <pic:cNvPicPr>
                      <a:picLocks noChangeAspect="1" noChangeArrowheads="1"/>
                    </pic:cNvPicPr>
                  </pic:nvPicPr>
                  <pic:blipFill>
                    <a:blip r:embed="rId586">
                      <a:extLst>
                        <a:ext uri="{28A0092B-C50C-407E-A947-70E740481C1C}"/>
                      </a:extLst>
                    </a:blip>
                    <a:srcRect/>
                    <a:stretch>
                      <a:fillRect/>
                    </a:stretch>
                  </pic:blipFill>
                  <pic:spPr bwMode="auto">
                    <a:xfrm>
                      <a:off x="0" y="0"/>
                      <a:ext cx="7308850" cy="34290"/>
                    </a:xfrm>
                    <a:prstGeom prst="rect">
                      <a:avLst/>
                    </a:prstGeom>
                    <a:noFill/>
                  </pic:spPr>
                </pic:pic>
              </a:graphicData>
            </a:graphic>
          </wp:anchor>
        </w:drawing>
        <w:t>of the Company, such event shall not be considered a Change in Control under this subsection (i). For this purpose, indirect beneficial ownership shall include, without limitation, an interest resulting from ownership of the voting securities of one or more corporations or other business entities which own the Company, as the case may be, either directly or through one or more subsidiary corporations or other business entities; or</w:t>
      </w:r>
    </w:p>
    <w:p>
      <w:pPr>
        <w:spacing w:after="0" w:line="155" w:lineRule="exact"/>
        <w:rPr>
          <w:sz w:val="20"/>
          <w:szCs w:val="20"/>
          <w:color w:val="auto"/>
        </w:rPr>
      </w:pPr>
    </w:p>
    <w:p>
      <w:pPr>
        <w:ind w:left="10" w:right="20" w:firstLine="1478"/>
        <w:spacing w:after="0" w:line="259" w:lineRule="auto"/>
        <w:tabs>
          <w:tab w:leader="none" w:pos="1824" w:val="left"/>
        </w:tabs>
        <w:numPr>
          <w:ilvl w:val="0"/>
          <w:numId w:val="322"/>
        </w:numPr>
        <w:rPr>
          <w:rFonts w:ascii="Arial" w:cs="Arial" w:eastAsia="Arial" w:hAnsi="Arial"/>
          <w:sz w:val="15"/>
          <w:szCs w:val="15"/>
          <w:color w:val="auto"/>
        </w:rPr>
      </w:pPr>
      <w:r>
        <w:rPr>
          <w:rFonts w:ascii="Arial" w:cs="Arial" w:eastAsia="Arial" w:hAnsi="Arial"/>
          <w:sz w:val="15"/>
          <w:szCs w:val="15"/>
          <w:color w:val="auto"/>
        </w:rPr>
        <w:t>A change in the effective control of the Company which occurs on the date that a majority of members of the Board is replaced during any twelve (12)-month period by Directors whose appointment or election is not endorsed by a majority of the members of the Board prior to the date of the appointment or election. For purposes of this subsection (ii), if any Person is considered to be in effective control of the Company, the acquisition of additional control of the Company by the same Person will not be considered a Change in Control; or</w:t>
      </w:r>
    </w:p>
    <w:p>
      <w:pPr>
        <w:spacing w:after="0" w:line="157" w:lineRule="exact"/>
        <w:rPr>
          <w:rFonts w:ascii="Arial" w:cs="Arial" w:eastAsia="Arial" w:hAnsi="Arial"/>
          <w:sz w:val="15"/>
          <w:szCs w:val="15"/>
          <w:color w:val="auto"/>
        </w:rPr>
      </w:pPr>
    </w:p>
    <w:p>
      <w:pPr>
        <w:ind w:left="10" w:firstLine="1478"/>
        <w:spacing w:after="0" w:line="297" w:lineRule="auto"/>
        <w:tabs>
          <w:tab w:leader="none" w:pos="1865" w:val="left"/>
        </w:tabs>
        <w:numPr>
          <w:ilvl w:val="0"/>
          <w:numId w:val="322"/>
        </w:numPr>
        <w:rPr>
          <w:rFonts w:ascii="Arial" w:cs="Arial" w:eastAsia="Arial" w:hAnsi="Arial"/>
          <w:sz w:val="13"/>
          <w:szCs w:val="13"/>
          <w:color w:val="auto"/>
        </w:rPr>
      </w:pPr>
      <w:r>
        <w:rPr>
          <w:rFonts w:ascii="Arial" w:cs="Arial" w:eastAsia="Arial" w:hAnsi="Arial"/>
          <w:sz w:val="13"/>
          <w:szCs w:val="13"/>
          <w:color w:val="auto"/>
        </w:rPr>
        <w:t>A change in the ownership of a substantial portion of the Company’s assets which occurs on the date that any Person acquires (or has acquired during the twelve (12)-month period ending on the date of the most recent acquisition by such person or persons) assets from the Company that have a total gross fair market value equal to or more than fifty percent (50%) of the total gross fair market value of all of the assets of the Company immediately prior to such acquisition or acquisitions; provided, however, that for purposes of this subsection, the following will not constitute a change in the ownership of a substantial portion of the Company’s assets: (A) a transfer to an entity that is controlled by the Company’s stockholders immediately after the transfer, or (B) a transfer of assets by the Company to: (1) a stockholder of the Company (immediately before the asset transfer) in exchange for or with respect to the Company’s stock, (2) an entity, fifty percent (50%) or more of the total value or voting power of which is owned, directly or indirectly, by the Company, (3) a Person, that owns, directly or indirectly, fifty percent (50%) or more of the total value or voting power of all the outstanding stock of the Company, or (4) an entity, at least fifty percent (50%) of the total value or voting power of which is owned, directly or indirectly, by a Person described in this subsection (iii)(B)(3). For purposes of this subsection, gross fair market value means the value of the assets of the Company, or the value of the assets being disposed of, determined without regard to any liabilities associated with such assets.</w:t>
      </w:r>
    </w:p>
    <w:p>
      <w:pPr>
        <w:spacing w:after="0" w:line="140" w:lineRule="exact"/>
        <w:rPr>
          <w:sz w:val="20"/>
          <w:szCs w:val="20"/>
          <w:color w:val="auto"/>
        </w:rPr>
      </w:pPr>
    </w:p>
    <w:p>
      <w:pPr>
        <w:ind w:left="10" w:right="300" w:firstLine="916"/>
        <w:spacing w:after="0" w:line="275" w:lineRule="auto"/>
        <w:rPr>
          <w:sz w:val="20"/>
          <w:szCs w:val="20"/>
          <w:color w:val="auto"/>
        </w:rPr>
      </w:pPr>
      <w:r>
        <w:rPr>
          <w:rFonts w:ascii="Arial" w:cs="Arial" w:eastAsia="Arial" w:hAnsi="Arial"/>
          <w:sz w:val="15"/>
          <w:szCs w:val="15"/>
          <w:color w:val="auto"/>
        </w:rPr>
        <w:t>For purposes of this definition, persons will be considered to be acting as a group if they are owners of a corporation that enters into a merger, consolidation, purchase, or acquisition of stock, or similar business transaction with the Company.</w:t>
      </w:r>
    </w:p>
    <w:p>
      <w:pPr>
        <w:spacing w:after="0" w:line="146" w:lineRule="exact"/>
        <w:rPr>
          <w:sz w:val="20"/>
          <w:szCs w:val="20"/>
          <w:color w:val="auto"/>
        </w:rPr>
      </w:pPr>
    </w:p>
    <w:p>
      <w:pPr>
        <w:jc w:val="both"/>
        <w:ind w:left="10" w:right="60" w:firstLine="916"/>
        <w:spacing w:after="0" w:line="263" w:lineRule="auto"/>
        <w:rPr>
          <w:sz w:val="20"/>
          <w:szCs w:val="20"/>
          <w:color w:val="auto"/>
        </w:rPr>
      </w:pPr>
      <w:r>
        <w:rPr>
          <w:rFonts w:ascii="Arial" w:cs="Arial" w:eastAsia="Arial" w:hAnsi="Arial"/>
          <w:sz w:val="15"/>
          <w:szCs w:val="15"/>
          <w:color w:val="auto"/>
        </w:rPr>
        <w:t>Notwithstanding the foregoing, a transaction will not be deemed a Change in Control unless the transaction qualifies as a change in control event within the meaning of Code Section 409A, as it has been and may be amended from time to time, and any proposed or final U.S. Treasury Regulations and Internal Revenue Service guidance that has been promulgated or may be promulgated thereunder from time to time.</w:t>
      </w:r>
    </w:p>
    <w:p>
      <w:pPr>
        <w:spacing w:after="0" w:line="155" w:lineRule="exact"/>
        <w:rPr>
          <w:sz w:val="20"/>
          <w:szCs w:val="20"/>
          <w:color w:val="auto"/>
        </w:rPr>
      </w:pPr>
    </w:p>
    <w:p>
      <w:pPr>
        <w:ind w:left="910"/>
        <w:spacing w:after="0"/>
        <w:rPr>
          <w:sz w:val="20"/>
          <w:szCs w:val="20"/>
          <w:color w:val="auto"/>
        </w:rPr>
      </w:pPr>
      <w:r>
        <w:rPr>
          <w:rFonts w:ascii="Arial" w:cs="Arial" w:eastAsia="Arial" w:hAnsi="Arial"/>
          <w:sz w:val="13"/>
          <w:szCs w:val="13"/>
          <w:color w:val="auto"/>
        </w:rPr>
        <w:t>Further and for the avoidance of doubt, a transaction will not constitute a Change in Control if: (i) its sole purpose is to change the state of the Company’s incorporation, or</w:t>
      </w:r>
    </w:p>
    <w:p>
      <w:pPr>
        <w:spacing w:after="0" w:line="40" w:lineRule="exact"/>
        <w:rPr>
          <w:sz w:val="20"/>
          <w:szCs w:val="20"/>
          <w:color w:val="auto"/>
        </w:rPr>
      </w:pPr>
    </w:p>
    <w:p>
      <w:pPr>
        <w:ind w:left="10" w:right="400" w:hanging="10"/>
        <w:spacing w:after="0" w:line="262" w:lineRule="auto"/>
        <w:tabs>
          <w:tab w:leader="none" w:pos="231" w:val="left"/>
        </w:tabs>
        <w:numPr>
          <w:ilvl w:val="0"/>
          <w:numId w:val="323"/>
        </w:numPr>
        <w:rPr>
          <w:rFonts w:ascii="Arial" w:cs="Arial" w:eastAsia="Arial" w:hAnsi="Arial"/>
          <w:sz w:val="15"/>
          <w:szCs w:val="15"/>
          <w:color w:val="auto"/>
        </w:rPr>
      </w:pPr>
      <w:r>
        <w:rPr>
          <w:rFonts w:ascii="Arial" w:cs="Arial" w:eastAsia="Arial" w:hAnsi="Arial"/>
          <w:sz w:val="15"/>
          <w:szCs w:val="15"/>
          <w:color w:val="auto"/>
        </w:rPr>
        <w:t>its sole purpose is to create a holding company that will be owned in substantially the same proportions by the persons who held the Company’s securities immediately before such transaction.</w:t>
      </w:r>
    </w:p>
    <w:p>
      <w:pPr>
        <w:spacing w:after="0" w:line="98" w:lineRule="exact"/>
        <w:rPr>
          <w:rFonts w:ascii="Arial" w:cs="Arial" w:eastAsia="Arial" w:hAnsi="Arial"/>
          <w:sz w:val="15"/>
          <w:szCs w:val="15"/>
          <w:color w:val="auto"/>
        </w:rPr>
      </w:pPr>
    </w:p>
    <w:p>
      <w:pPr>
        <w:ind w:left="5690" w:hanging="91"/>
        <w:spacing w:after="0"/>
        <w:tabs>
          <w:tab w:leader="none" w:pos="5690" w:val="left"/>
        </w:tabs>
        <w:numPr>
          <w:ilvl w:val="1"/>
          <w:numId w:val="323"/>
        </w:numPr>
        <w:rPr>
          <w:rFonts w:ascii="Arial" w:cs="Arial" w:eastAsia="Arial" w:hAnsi="Arial"/>
          <w:sz w:val="15"/>
          <w:szCs w:val="15"/>
          <w:color w:val="auto"/>
        </w:rPr>
      </w:pPr>
      <w:r>
        <w:rPr>
          <w:rFonts w:ascii="Arial" w:cs="Arial" w:eastAsia="Arial" w:hAnsi="Arial"/>
          <w:sz w:val="15"/>
          <w:szCs w:val="15"/>
          <w:color w:val="auto"/>
        </w:rPr>
        <w:t>2 -</w:t>
      </w:r>
    </w:p>
    <w:p>
      <w:pPr>
        <w:sectPr>
          <w:pgSz w:w="11900" w:h="16838" w:orient="portrait"/>
          <w:cols w:equalWidth="0" w:num="1">
            <w:col w:w="11410"/>
          </w:cols>
          <w:pgMar w:left="230" w:top="253" w:right="259" w:bottom="1440" w:gutter="0" w:footer="0" w:header="0"/>
        </w:sectPr>
      </w:pPr>
    </w:p>
    <w:bookmarkStart w:id="390" w:name="page391"/>
    <w:bookmarkEnd w:id="390"/>
    <w:p>
      <w:pPr>
        <w:jc w:val="both"/>
        <w:ind w:left="-906" w:right="140" w:firstLine="906"/>
        <w:spacing w:after="0" w:line="263" w:lineRule="auto"/>
        <w:tabs>
          <w:tab w:leader="none" w:pos="310" w:val="left"/>
        </w:tabs>
        <w:numPr>
          <w:ilvl w:val="0"/>
          <w:numId w:val="324"/>
        </w:numPr>
        <w:rPr>
          <w:rFonts w:ascii="Arial" w:cs="Arial" w:eastAsia="Arial" w:hAnsi="Arial"/>
          <w:sz w:val="15"/>
          <w:szCs w:val="15"/>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133350</wp:posOffset>
            </wp:positionH>
            <wp:positionV relativeFrom="page">
              <wp:posOffset>88900</wp:posOffset>
            </wp:positionV>
            <wp:extent cx="7308850" cy="34290"/>
            <wp:wrapNone/>
            <wp:docPr id="550" name="Picture 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
                    <pic:cNvPicPr>
                      <a:picLocks noChangeAspect="1" noChangeArrowheads="1"/>
                    </pic:cNvPicPr>
                  </pic:nvPicPr>
                  <pic:blipFill>
                    <a:blip r:embed="rId587">
                      <a:extLst>
                        <a:ext uri="{28A0092B-C50C-407E-A947-70E740481C1C}"/>
                      </a:extLst>
                    </a:blip>
                    <a:srcRect/>
                    <a:stretch>
                      <a:fillRect/>
                    </a:stretch>
                  </pic:blipFill>
                  <pic:spPr bwMode="auto">
                    <a:xfrm>
                      <a:off x="0" y="0"/>
                      <a:ext cx="7308850" cy="34290"/>
                    </a:xfrm>
                    <a:prstGeom prst="rect">
                      <a:avLst/>
                    </a:prstGeom>
                    <a:noFill/>
                  </pic:spPr>
                </pic:pic>
              </a:graphicData>
            </a:graphic>
          </wp:anchor>
        </w:drawing>
        <w:t>“</w:t>
      </w:r>
      <w:r>
        <w:rPr>
          <w:rFonts w:ascii="Arial" w:cs="Arial" w:eastAsia="Arial" w:hAnsi="Arial"/>
          <w:sz w:val="15"/>
          <w:szCs w:val="15"/>
          <w:u w:val="single" w:color="auto"/>
          <w:color w:val="auto"/>
        </w:rPr>
        <w:t>Code</w:t>
      </w:r>
      <w:r>
        <w:rPr>
          <w:rFonts w:ascii="Arial" w:cs="Arial" w:eastAsia="Arial" w:hAnsi="Arial"/>
          <w:sz w:val="15"/>
          <w:szCs w:val="15"/>
          <w:color w:val="auto"/>
        </w:rPr>
        <w:t>” means the U.S. Internal Revenue Code of 1986, as amended. Reference to a specific section of the Code will include such section, any valid regulation or other official applicable guidance promulgated under such section, and any comparable provision of any future legislation or regulation amending, supplementing or superseding such section or regulation.</w:t>
      </w:r>
    </w:p>
    <w:p>
      <w:pPr>
        <w:spacing w:after="0" w:line="154" w:lineRule="exact"/>
        <w:rPr>
          <w:rFonts w:ascii="Arial" w:cs="Arial" w:eastAsia="Arial" w:hAnsi="Arial"/>
          <w:sz w:val="15"/>
          <w:szCs w:val="15"/>
          <w:color w:val="auto"/>
        </w:rPr>
      </w:pPr>
    </w:p>
    <w:p>
      <w:pPr>
        <w:ind w:left="334" w:hanging="334"/>
        <w:spacing w:after="0"/>
        <w:tabs>
          <w:tab w:leader="none" w:pos="334" w:val="left"/>
        </w:tabs>
        <w:numPr>
          <w:ilvl w:val="0"/>
          <w:numId w:val="324"/>
        </w:numPr>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Committee</w:t>
      </w:r>
      <w:r>
        <w:rPr>
          <w:rFonts w:ascii="Arial" w:cs="Arial" w:eastAsia="Arial" w:hAnsi="Arial"/>
          <w:sz w:val="15"/>
          <w:szCs w:val="15"/>
          <w:color w:val="auto"/>
        </w:rPr>
        <w:t>” means a committee of the Board appointed in accordance with Section 14 hereof.</w:t>
      </w:r>
    </w:p>
    <w:p>
      <w:pPr>
        <w:spacing w:after="0" w:line="188" w:lineRule="exact"/>
        <w:rPr>
          <w:rFonts w:ascii="Arial" w:cs="Arial" w:eastAsia="Arial" w:hAnsi="Arial"/>
          <w:sz w:val="15"/>
          <w:szCs w:val="15"/>
          <w:color w:val="auto"/>
        </w:rPr>
      </w:pPr>
    </w:p>
    <w:p>
      <w:pPr>
        <w:ind w:left="334" w:hanging="334"/>
        <w:spacing w:after="0"/>
        <w:tabs>
          <w:tab w:leader="none" w:pos="334" w:val="left"/>
        </w:tabs>
        <w:numPr>
          <w:ilvl w:val="0"/>
          <w:numId w:val="324"/>
        </w:numPr>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Common Stock</w:t>
      </w:r>
      <w:r>
        <w:rPr>
          <w:rFonts w:ascii="Arial" w:cs="Arial" w:eastAsia="Arial" w:hAnsi="Arial"/>
          <w:sz w:val="15"/>
          <w:szCs w:val="15"/>
          <w:color w:val="auto"/>
        </w:rPr>
        <w:t>” means the Class C common stock of the Company.</w:t>
      </w:r>
    </w:p>
    <w:p>
      <w:pPr>
        <w:spacing w:after="0" w:line="188" w:lineRule="exact"/>
        <w:rPr>
          <w:rFonts w:ascii="Arial" w:cs="Arial" w:eastAsia="Arial" w:hAnsi="Arial"/>
          <w:sz w:val="15"/>
          <w:szCs w:val="15"/>
          <w:color w:val="auto"/>
        </w:rPr>
      </w:pPr>
    </w:p>
    <w:p>
      <w:pPr>
        <w:ind w:left="294" w:hanging="294"/>
        <w:spacing w:after="0"/>
        <w:tabs>
          <w:tab w:leader="none" w:pos="294" w:val="left"/>
        </w:tabs>
        <w:numPr>
          <w:ilvl w:val="0"/>
          <w:numId w:val="324"/>
        </w:numPr>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Company</w:t>
      </w:r>
      <w:r>
        <w:rPr>
          <w:rFonts w:ascii="Arial" w:cs="Arial" w:eastAsia="Arial" w:hAnsi="Arial"/>
          <w:sz w:val="15"/>
          <w:szCs w:val="15"/>
          <w:color w:val="auto"/>
        </w:rPr>
        <w:t>” means Dropbox, Inc., a Delaware corporation, or any successor thereto.</w:t>
      </w:r>
    </w:p>
    <w:p>
      <w:pPr>
        <w:spacing w:after="0" w:line="188" w:lineRule="exact"/>
        <w:rPr>
          <w:rFonts w:ascii="Arial" w:cs="Arial" w:eastAsia="Arial" w:hAnsi="Arial"/>
          <w:sz w:val="15"/>
          <w:szCs w:val="15"/>
          <w:color w:val="auto"/>
        </w:rPr>
      </w:pPr>
    </w:p>
    <w:p>
      <w:pPr>
        <w:ind w:left="-906" w:right="160" w:firstLine="906"/>
        <w:spacing w:after="0" w:line="263" w:lineRule="auto"/>
        <w:tabs>
          <w:tab w:leader="none" w:pos="302" w:val="left"/>
        </w:tabs>
        <w:numPr>
          <w:ilvl w:val="0"/>
          <w:numId w:val="324"/>
        </w:numPr>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Compensation</w:t>
      </w:r>
      <w:r>
        <w:rPr>
          <w:rFonts w:ascii="Arial" w:cs="Arial" w:eastAsia="Arial" w:hAnsi="Arial"/>
          <w:sz w:val="15"/>
          <w:szCs w:val="15"/>
          <w:color w:val="auto"/>
        </w:rPr>
        <w:t>” includes an Eligible Employee’s base straight time gross earnings but excludes payments for incentive compensation, bonuses, payments for overtime and shift premium, equity compensation income and other similar compensation. The Administrator, in its discretion, may, on a uniform and nondiscriminatory basis, establish a different definition of Compensation for a subsequent Offering Period.</w:t>
      </w:r>
    </w:p>
    <w:p>
      <w:pPr>
        <w:spacing w:after="0" w:line="154" w:lineRule="exact"/>
        <w:rPr>
          <w:rFonts w:ascii="Arial" w:cs="Arial" w:eastAsia="Arial" w:hAnsi="Arial"/>
          <w:sz w:val="15"/>
          <w:szCs w:val="15"/>
          <w:color w:val="auto"/>
        </w:rPr>
      </w:pPr>
    </w:p>
    <w:p>
      <w:pPr>
        <w:ind w:left="-906" w:right="200" w:firstLine="906"/>
        <w:spacing w:after="0" w:line="275" w:lineRule="auto"/>
        <w:tabs>
          <w:tab w:leader="none" w:pos="335" w:val="left"/>
        </w:tabs>
        <w:numPr>
          <w:ilvl w:val="0"/>
          <w:numId w:val="324"/>
        </w:numPr>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Contributions</w:t>
      </w:r>
      <w:r>
        <w:rPr>
          <w:rFonts w:ascii="Arial" w:cs="Arial" w:eastAsia="Arial" w:hAnsi="Arial"/>
          <w:sz w:val="15"/>
          <w:szCs w:val="15"/>
          <w:color w:val="auto"/>
        </w:rPr>
        <w:t>” means the payroll deductions and other additional payments that the Company may permit to be made by a Participant to fund the exercise of options granted pursuant to the Plan.</w:t>
      </w:r>
    </w:p>
    <w:p>
      <w:pPr>
        <w:spacing w:after="0" w:line="146" w:lineRule="exact"/>
        <w:rPr>
          <w:rFonts w:ascii="Arial" w:cs="Arial" w:eastAsia="Arial" w:hAnsi="Arial"/>
          <w:sz w:val="15"/>
          <w:szCs w:val="15"/>
          <w:color w:val="auto"/>
        </w:rPr>
      </w:pPr>
    </w:p>
    <w:p>
      <w:pPr>
        <w:ind w:left="-906" w:right="240" w:firstLine="906"/>
        <w:spacing w:after="0" w:line="290" w:lineRule="auto"/>
        <w:tabs>
          <w:tab w:leader="none" w:pos="302" w:val="left"/>
        </w:tabs>
        <w:numPr>
          <w:ilvl w:val="0"/>
          <w:numId w:val="324"/>
        </w:numPr>
        <w:rPr>
          <w:rFonts w:ascii="Arial" w:cs="Arial" w:eastAsia="Arial" w:hAnsi="Arial"/>
          <w:sz w:val="14"/>
          <w:szCs w:val="14"/>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Designated Company</w:t>
      </w:r>
      <w:r>
        <w:rPr>
          <w:rFonts w:ascii="Arial" w:cs="Arial" w:eastAsia="Arial" w:hAnsi="Arial"/>
          <w:sz w:val="14"/>
          <w:szCs w:val="14"/>
          <w:color w:val="auto"/>
        </w:rPr>
        <w:t>” means any Subsidiary or Affiliate of the Company that has been designated by the Administrator from time to time in its sole discretion as eligible to participate in the Plan. For purposes of the 423 Component, only the Company and its Subsidiaries may be Designated Companies, provided, however that at any given time, a Subsidiary that is a Designated Company under the 423 Component will not be a Designated Company under the Non-423 Component.</w:t>
      </w:r>
    </w:p>
    <w:p>
      <w:pPr>
        <w:spacing w:after="0" w:line="138" w:lineRule="exact"/>
        <w:rPr>
          <w:rFonts w:ascii="Arial" w:cs="Arial" w:eastAsia="Arial" w:hAnsi="Arial"/>
          <w:sz w:val="14"/>
          <w:szCs w:val="14"/>
          <w:color w:val="auto"/>
        </w:rPr>
      </w:pPr>
    </w:p>
    <w:p>
      <w:pPr>
        <w:ind w:left="374" w:hanging="374"/>
        <w:spacing w:after="0"/>
        <w:tabs>
          <w:tab w:leader="none" w:pos="374" w:val="left"/>
        </w:tabs>
        <w:numPr>
          <w:ilvl w:val="0"/>
          <w:numId w:val="324"/>
        </w:numPr>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Director</w:t>
      </w:r>
      <w:r>
        <w:rPr>
          <w:rFonts w:ascii="Arial" w:cs="Arial" w:eastAsia="Arial" w:hAnsi="Arial"/>
          <w:sz w:val="15"/>
          <w:szCs w:val="15"/>
          <w:color w:val="auto"/>
        </w:rPr>
        <w:t>” means a member of the Board.</w:t>
      </w:r>
    </w:p>
    <w:p>
      <w:pPr>
        <w:spacing w:after="0" w:line="188" w:lineRule="exact"/>
        <w:rPr>
          <w:rFonts w:ascii="Arial" w:cs="Arial" w:eastAsia="Arial" w:hAnsi="Arial"/>
          <w:sz w:val="15"/>
          <w:szCs w:val="15"/>
          <w:color w:val="auto"/>
        </w:rPr>
      </w:pPr>
    </w:p>
    <w:p>
      <w:pPr>
        <w:ind w:left="-906" w:firstLine="906"/>
        <w:spacing w:after="0" w:line="274" w:lineRule="auto"/>
        <w:tabs>
          <w:tab w:leader="none" w:pos="335" w:val="left"/>
        </w:tabs>
        <w:numPr>
          <w:ilvl w:val="0"/>
          <w:numId w:val="324"/>
        </w:numPr>
        <w:rPr>
          <w:rFonts w:ascii="Arial" w:cs="Arial" w:eastAsia="Arial" w:hAnsi="Arial"/>
          <w:sz w:val="14"/>
          <w:szCs w:val="14"/>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Eligible Employee</w:t>
      </w:r>
      <w:r>
        <w:rPr>
          <w:rFonts w:ascii="Arial" w:cs="Arial" w:eastAsia="Arial" w:hAnsi="Arial"/>
          <w:sz w:val="14"/>
          <w:szCs w:val="14"/>
          <w:color w:val="auto"/>
        </w:rPr>
        <w:t>” means any individual who is a common law employee providing services to the Company or a Designated Company and is customarily employed for at least twenty (20) hours per week and more than five (5) months in any calendar year by the Employer, or any lesser number of hours per week and/or number of months in any calendar year established by the Administrator (if required under applicable local law) for purposes of any separate Offering or the Non-423 Component. For purposes of the Plan, the employment relationship will be treated as continuing intact while the individual is on sick leave or other leave of absence that the Employer approves or is legally protected under Applicable Laws. Where the period of leave exceeds three (3) months and the individual’s right to reemployment is not guaranteed either by statute or by contract, the employment relationship will be deemed to have terminated three (3) months and one (1) day following the commencement of such leave. The Administrator, in its discretion, from time to time may, prior to an Enrollment Date for all options to be granted on such Enrollment Date in an Offering, determine (on a uniform and nondiscriminatory basis or as otherwise permitted by Treasury Regulation Section 1.423-2) that the definition of Eligible Employee will or will not include an individual if he or she: (i) has not completed at least two (2) years of service since his or her last hire date (or such lesser period of time as may be determined by</w:t>
      </w:r>
    </w:p>
    <w:p>
      <w:pPr>
        <w:spacing w:after="0" w:line="93" w:lineRule="exact"/>
        <w:rPr>
          <w:rFonts w:ascii="Arial" w:cs="Arial" w:eastAsia="Arial" w:hAnsi="Arial"/>
          <w:sz w:val="14"/>
          <w:szCs w:val="14"/>
          <w:color w:val="auto"/>
        </w:rPr>
      </w:pPr>
    </w:p>
    <w:p>
      <w:pPr>
        <w:ind w:left="4774" w:hanging="91"/>
        <w:spacing w:after="0"/>
        <w:tabs>
          <w:tab w:leader="none" w:pos="4774" w:val="left"/>
        </w:tabs>
        <w:numPr>
          <w:ilvl w:val="1"/>
          <w:numId w:val="324"/>
        </w:numPr>
        <w:rPr>
          <w:rFonts w:ascii="Arial" w:cs="Arial" w:eastAsia="Arial" w:hAnsi="Arial"/>
          <w:sz w:val="15"/>
          <w:szCs w:val="15"/>
          <w:color w:val="auto"/>
        </w:rPr>
      </w:pPr>
      <w:r>
        <w:rPr>
          <w:rFonts w:ascii="Arial" w:cs="Arial" w:eastAsia="Arial" w:hAnsi="Arial"/>
          <w:sz w:val="15"/>
          <w:szCs w:val="15"/>
          <w:color w:val="auto"/>
        </w:rPr>
        <w:t>3 -</w:t>
      </w:r>
    </w:p>
    <w:p>
      <w:pPr>
        <w:sectPr>
          <w:pgSz w:w="11900" w:h="16838" w:orient="portrait"/>
          <w:cols w:equalWidth="0" w:num="1">
            <w:col w:w="10514"/>
          </w:cols>
          <w:pgMar w:left="1146" w:top="253" w:right="239" w:bottom="1440" w:gutter="0" w:footer="0" w:header="0"/>
        </w:sectPr>
      </w:pPr>
    </w:p>
    <w:bookmarkStart w:id="391" w:name="page392"/>
    <w:bookmarkEnd w:id="391"/>
    <w:p>
      <w:pPr>
        <w:ind w:right="20"/>
        <w:spacing w:after="0" w:line="255"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133350</wp:posOffset>
            </wp:positionH>
            <wp:positionV relativeFrom="page">
              <wp:posOffset>88900</wp:posOffset>
            </wp:positionV>
            <wp:extent cx="7308850" cy="34290"/>
            <wp:wrapNone/>
            <wp:docPr id="551" name="Picture 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
                    <pic:cNvPicPr>
                      <a:picLocks noChangeAspect="1" noChangeArrowheads="1"/>
                    </pic:cNvPicPr>
                  </pic:nvPicPr>
                  <pic:blipFill>
                    <a:blip r:embed="rId588">
                      <a:extLst>
                        <a:ext uri="{28A0092B-C50C-407E-A947-70E740481C1C}"/>
                      </a:extLst>
                    </a:blip>
                    <a:srcRect/>
                    <a:stretch>
                      <a:fillRect/>
                    </a:stretch>
                  </pic:blipFill>
                  <pic:spPr bwMode="auto">
                    <a:xfrm>
                      <a:off x="0" y="0"/>
                      <a:ext cx="7308850" cy="34290"/>
                    </a:xfrm>
                    <a:prstGeom prst="rect">
                      <a:avLst/>
                    </a:prstGeom>
                    <a:noFill/>
                  </pic:spPr>
                </pic:pic>
              </a:graphicData>
            </a:graphic>
          </wp:anchor>
        </w:drawing>
        <w:t>the Administrator in its discretion), (ii) customarily works not more than twenty (20) hours per week (or such lesser period of time as may be determined by the Administrator in its discretion), (iii) customarily works not more than five (5) months per calendar year (or such lesser period of time as may be determined by the Administrator in its discretion), (iv) is a highly compensated employee within the meaning of Section 414(q) of the Code, or (v) is a highly compensated employee within the meaning of Section 414(q) of the Code with compensation above a certain level or is an officer or subject to the disclosure requirements of Section 16(a) of the Exchange Act, provided the exclusion is applied with respect to each Offering in an identical manner to all highly compensated individuals of the Employer whose Eligible Employees are participating in that Offering. Each exclusion will be applied with respect to an Offering in a manner complying with U.S. Treasury Regulation Section 1.423-2(e)(2)(ii).</w:t>
      </w:r>
    </w:p>
    <w:p>
      <w:pPr>
        <w:spacing w:after="0" w:line="164" w:lineRule="exact"/>
        <w:rPr>
          <w:sz w:val="20"/>
          <w:szCs w:val="20"/>
          <w:color w:val="auto"/>
        </w:rPr>
      </w:pPr>
    </w:p>
    <w:p>
      <w:pPr>
        <w:ind w:left="1240" w:hanging="334"/>
        <w:spacing w:after="0"/>
        <w:tabs>
          <w:tab w:leader="none" w:pos="1240" w:val="left"/>
        </w:tabs>
        <w:numPr>
          <w:ilvl w:val="0"/>
          <w:numId w:val="325"/>
        </w:numPr>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Employer</w:t>
      </w:r>
      <w:r>
        <w:rPr>
          <w:rFonts w:ascii="Arial" w:cs="Arial" w:eastAsia="Arial" w:hAnsi="Arial"/>
          <w:sz w:val="15"/>
          <w:szCs w:val="15"/>
          <w:color w:val="auto"/>
        </w:rPr>
        <w:t>” means the employer of the applicable Eligible Employee(s).</w:t>
      </w:r>
    </w:p>
    <w:p>
      <w:pPr>
        <w:spacing w:after="0" w:line="188" w:lineRule="exact"/>
        <w:rPr>
          <w:rFonts w:ascii="Arial" w:cs="Arial" w:eastAsia="Arial" w:hAnsi="Arial"/>
          <w:sz w:val="15"/>
          <w:szCs w:val="15"/>
          <w:color w:val="auto"/>
        </w:rPr>
      </w:pPr>
    </w:p>
    <w:p>
      <w:pPr>
        <w:ind w:left="1240" w:hanging="334"/>
        <w:spacing w:after="0"/>
        <w:tabs>
          <w:tab w:leader="none" w:pos="1240" w:val="left"/>
        </w:tabs>
        <w:numPr>
          <w:ilvl w:val="0"/>
          <w:numId w:val="325"/>
        </w:numPr>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Enrollment Date</w:t>
      </w:r>
      <w:r>
        <w:rPr>
          <w:rFonts w:ascii="Arial" w:cs="Arial" w:eastAsia="Arial" w:hAnsi="Arial"/>
          <w:sz w:val="15"/>
          <w:szCs w:val="15"/>
          <w:color w:val="auto"/>
        </w:rPr>
        <w:t>” means the first Trading Day of an Offering Period.</w:t>
      </w:r>
    </w:p>
    <w:p>
      <w:pPr>
        <w:spacing w:after="0" w:line="188" w:lineRule="exact"/>
        <w:rPr>
          <w:rFonts w:ascii="Arial" w:cs="Arial" w:eastAsia="Arial" w:hAnsi="Arial"/>
          <w:sz w:val="15"/>
          <w:szCs w:val="15"/>
          <w:color w:val="auto"/>
        </w:rPr>
      </w:pPr>
    </w:p>
    <w:p>
      <w:pPr>
        <w:ind w:left="1240" w:hanging="334"/>
        <w:spacing w:after="0"/>
        <w:tabs>
          <w:tab w:leader="none" w:pos="1240" w:val="left"/>
        </w:tabs>
        <w:numPr>
          <w:ilvl w:val="0"/>
          <w:numId w:val="325"/>
        </w:numPr>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Exchange Act</w:t>
      </w:r>
      <w:r>
        <w:rPr>
          <w:rFonts w:ascii="Arial" w:cs="Arial" w:eastAsia="Arial" w:hAnsi="Arial"/>
          <w:sz w:val="15"/>
          <w:szCs w:val="15"/>
          <w:color w:val="auto"/>
        </w:rPr>
        <w:t>” means the U.S. Securities Exchange Act of 1934, as amended, including the rules and regulations promulgated thereunder.</w:t>
      </w:r>
    </w:p>
    <w:p>
      <w:pPr>
        <w:spacing w:after="0" w:line="188" w:lineRule="exact"/>
        <w:rPr>
          <w:rFonts w:ascii="Arial" w:cs="Arial" w:eastAsia="Arial" w:hAnsi="Arial"/>
          <w:sz w:val="15"/>
          <w:szCs w:val="15"/>
          <w:color w:val="auto"/>
        </w:rPr>
      </w:pPr>
    </w:p>
    <w:p>
      <w:pPr>
        <w:jc w:val="both"/>
        <w:ind w:right="60" w:firstLine="906"/>
        <w:spacing w:after="0" w:line="263" w:lineRule="auto"/>
        <w:tabs>
          <w:tab w:leader="none" w:pos="1216" w:val="left"/>
        </w:tabs>
        <w:numPr>
          <w:ilvl w:val="0"/>
          <w:numId w:val="325"/>
        </w:numPr>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Exercise Date</w:t>
      </w:r>
      <w:r>
        <w:rPr>
          <w:rFonts w:ascii="Arial" w:cs="Arial" w:eastAsia="Arial" w:hAnsi="Arial"/>
          <w:sz w:val="15"/>
          <w:szCs w:val="15"/>
          <w:color w:val="auto"/>
        </w:rPr>
        <w:t>” means a date on which each outstanding option granted under the Plan will be exercised (except if the Plan has been terminated), as may be determined by the Administrator, in its discretion and on a uniform and nondiscriminatory basis from time to time prior to an Enrollment Date for all options to be granted on such Enrollment Date. For purposes of clarification, there may be multiple Exercise Dates during an Offering Period.</w:t>
      </w:r>
    </w:p>
    <w:p>
      <w:pPr>
        <w:spacing w:after="0" w:line="154" w:lineRule="exact"/>
        <w:rPr>
          <w:rFonts w:ascii="Arial" w:cs="Arial" w:eastAsia="Arial" w:hAnsi="Arial"/>
          <w:sz w:val="15"/>
          <w:szCs w:val="15"/>
          <w:color w:val="auto"/>
        </w:rPr>
      </w:pPr>
    </w:p>
    <w:p>
      <w:pPr>
        <w:ind w:left="1220" w:hanging="314"/>
        <w:spacing w:after="0"/>
        <w:tabs>
          <w:tab w:leader="none" w:pos="1220" w:val="left"/>
        </w:tabs>
        <w:numPr>
          <w:ilvl w:val="0"/>
          <w:numId w:val="325"/>
        </w:numPr>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Fair Market Value</w:t>
      </w:r>
      <w:r>
        <w:rPr>
          <w:rFonts w:ascii="Arial" w:cs="Arial" w:eastAsia="Arial" w:hAnsi="Arial"/>
          <w:sz w:val="15"/>
          <w:szCs w:val="15"/>
          <w:color w:val="auto"/>
        </w:rPr>
        <w:t>” means, as of any date, the value of a share of Common Stock determined as follows:</w:t>
      </w:r>
    </w:p>
    <w:p>
      <w:pPr>
        <w:spacing w:after="0" w:line="188" w:lineRule="exact"/>
        <w:rPr>
          <w:sz w:val="20"/>
          <w:szCs w:val="20"/>
          <w:color w:val="auto"/>
        </w:rPr>
      </w:pPr>
    </w:p>
    <w:p>
      <w:pPr>
        <w:ind w:firstLine="1478"/>
        <w:spacing w:after="0" w:line="255" w:lineRule="auto"/>
        <w:tabs>
          <w:tab w:leader="none" w:pos="1780" w:val="left"/>
        </w:tabs>
        <w:numPr>
          <w:ilvl w:val="0"/>
          <w:numId w:val="326"/>
        </w:numPr>
        <w:rPr>
          <w:rFonts w:ascii="Arial" w:cs="Arial" w:eastAsia="Arial" w:hAnsi="Arial"/>
          <w:sz w:val="15"/>
          <w:szCs w:val="15"/>
          <w:color w:val="auto"/>
        </w:rPr>
      </w:pPr>
      <w:r>
        <w:rPr>
          <w:rFonts w:ascii="Arial" w:cs="Arial" w:eastAsia="Arial" w:hAnsi="Arial"/>
          <w:sz w:val="15"/>
          <w:szCs w:val="15"/>
          <w:color w:val="auto"/>
        </w:rPr>
        <w:t xml:space="preserve">the Fair Market Value will be the closing sales price for Common Stock as quoted on any established stock exchange or national market system (including without limitation the New York Stock Exchange, NASDAQ Global Select Market, the NASDAQ Global Market or the NASDAQ Capital Market of The NASDAQ Stock Market) on which the Common Stock is listed on the date of determination (or the closing bid, if no sales were reported), as reported in </w:t>
      </w:r>
      <w:r>
        <w:rPr>
          <w:rFonts w:ascii="Arial" w:cs="Arial" w:eastAsia="Arial" w:hAnsi="Arial"/>
          <w:sz w:val="15"/>
          <w:szCs w:val="15"/>
          <w:i w:val="1"/>
          <w:iCs w:val="1"/>
          <w:color w:val="auto"/>
        </w:rPr>
        <w:t>The Wall Street Journal</w:t>
      </w:r>
      <w:r>
        <w:rPr>
          <w:rFonts w:ascii="Arial" w:cs="Arial" w:eastAsia="Arial" w:hAnsi="Arial"/>
          <w:sz w:val="15"/>
          <w:szCs w:val="15"/>
          <w:color w:val="auto"/>
        </w:rPr>
        <w:t xml:space="preserve"> or such other source as the Administrator deems reliable. If the determination date for the Fair Market Value occurs on a non-trading day (i.e., a weekend or holiday), the Fair Market Value will be such price on the immediately preceding trading day, unless otherwise determined by the Administrator. In the absence of an established market for the Common Stock, the Fair Market Value thereof will be determined in good faith by the Administrator.</w:t>
      </w:r>
    </w:p>
    <w:p>
      <w:pPr>
        <w:spacing w:after="0" w:line="164" w:lineRule="exact"/>
        <w:rPr>
          <w:sz w:val="20"/>
          <w:szCs w:val="20"/>
          <w:color w:val="auto"/>
        </w:rPr>
      </w:pPr>
    </w:p>
    <w:p>
      <w:pPr>
        <w:ind w:right="60" w:firstLine="458"/>
        <w:spacing w:after="0" w:line="275" w:lineRule="auto"/>
        <w:rPr>
          <w:sz w:val="20"/>
          <w:szCs w:val="20"/>
          <w:color w:val="auto"/>
        </w:rPr>
      </w:pPr>
      <w:r>
        <w:rPr>
          <w:rFonts w:ascii="Arial" w:cs="Arial" w:eastAsia="Arial" w:hAnsi="Arial"/>
          <w:sz w:val="15"/>
          <w:szCs w:val="15"/>
          <w:color w:val="auto"/>
        </w:rPr>
        <w:t>The determination of fair market value for purposes of tax withholding may be made in the Administrator’s discretion subject to Applicable Laws and is not required to be consistent with the determination of Fair Market Value for other purposes.</w:t>
      </w:r>
    </w:p>
    <w:p>
      <w:pPr>
        <w:spacing w:after="0" w:line="146" w:lineRule="exact"/>
        <w:rPr>
          <w:sz w:val="20"/>
          <w:szCs w:val="20"/>
          <w:color w:val="auto"/>
        </w:rPr>
      </w:pPr>
    </w:p>
    <w:p>
      <w:pPr>
        <w:ind w:left="1820" w:hanging="342"/>
        <w:spacing w:after="0"/>
        <w:tabs>
          <w:tab w:leader="none" w:pos="1820" w:val="left"/>
        </w:tabs>
        <w:numPr>
          <w:ilvl w:val="1"/>
          <w:numId w:val="327"/>
        </w:numPr>
        <w:rPr>
          <w:rFonts w:ascii="Arial" w:cs="Arial" w:eastAsia="Arial" w:hAnsi="Arial"/>
          <w:sz w:val="14"/>
          <w:szCs w:val="14"/>
          <w:color w:val="auto"/>
        </w:rPr>
      </w:pPr>
      <w:r>
        <w:rPr>
          <w:rFonts w:ascii="Arial" w:cs="Arial" w:eastAsia="Arial" w:hAnsi="Arial"/>
          <w:sz w:val="14"/>
          <w:szCs w:val="14"/>
          <w:color w:val="auto"/>
        </w:rPr>
        <w:t>In the absence of an established market for the Common Stock, the Fair Market Value thereof will be determined in good faith by the Administrator.</w:t>
      </w:r>
    </w:p>
    <w:p>
      <w:pPr>
        <w:spacing w:after="0" w:line="199" w:lineRule="exact"/>
        <w:rPr>
          <w:rFonts w:ascii="Arial" w:cs="Arial" w:eastAsia="Arial" w:hAnsi="Arial"/>
          <w:sz w:val="14"/>
          <w:szCs w:val="14"/>
          <w:color w:val="auto"/>
        </w:rPr>
      </w:pPr>
    </w:p>
    <w:p>
      <w:pPr>
        <w:ind w:left="1200" w:hanging="294"/>
        <w:spacing w:after="0"/>
        <w:tabs>
          <w:tab w:leader="none" w:pos="1200" w:val="left"/>
        </w:tabs>
        <w:numPr>
          <w:ilvl w:val="0"/>
          <w:numId w:val="328"/>
        </w:numPr>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Fiscal Year</w:t>
      </w:r>
      <w:r>
        <w:rPr>
          <w:rFonts w:ascii="Arial" w:cs="Arial" w:eastAsia="Arial" w:hAnsi="Arial"/>
          <w:sz w:val="15"/>
          <w:szCs w:val="15"/>
          <w:color w:val="auto"/>
        </w:rPr>
        <w:t>” means a fiscal year of the Company.</w:t>
      </w:r>
    </w:p>
    <w:p>
      <w:pPr>
        <w:spacing w:after="0" w:line="132" w:lineRule="exact"/>
        <w:rPr>
          <w:rFonts w:ascii="Arial" w:cs="Arial" w:eastAsia="Arial" w:hAnsi="Arial"/>
          <w:sz w:val="15"/>
          <w:szCs w:val="15"/>
          <w:color w:val="auto"/>
        </w:rPr>
      </w:pPr>
    </w:p>
    <w:p>
      <w:pPr>
        <w:ind w:left="5680" w:hanging="91"/>
        <w:spacing w:after="0"/>
        <w:tabs>
          <w:tab w:leader="none" w:pos="5680" w:val="left"/>
        </w:tabs>
        <w:numPr>
          <w:ilvl w:val="2"/>
          <w:numId w:val="328"/>
        </w:numPr>
        <w:rPr>
          <w:rFonts w:ascii="Arial" w:cs="Arial" w:eastAsia="Arial" w:hAnsi="Arial"/>
          <w:sz w:val="15"/>
          <w:szCs w:val="15"/>
          <w:color w:val="auto"/>
        </w:rPr>
      </w:pPr>
      <w:r>
        <w:rPr>
          <w:rFonts w:ascii="Arial" w:cs="Arial" w:eastAsia="Arial" w:hAnsi="Arial"/>
          <w:sz w:val="15"/>
          <w:szCs w:val="15"/>
          <w:color w:val="auto"/>
        </w:rPr>
        <w:t>4 -</w:t>
      </w:r>
    </w:p>
    <w:p>
      <w:pPr>
        <w:sectPr>
          <w:pgSz w:w="11900" w:h="16838" w:orient="portrait"/>
          <w:cols w:equalWidth="0" w:num="1">
            <w:col w:w="11420"/>
          </w:cols>
          <w:pgMar w:left="240" w:top="253" w:right="239" w:bottom="1440" w:gutter="0" w:footer="0" w:header="0"/>
        </w:sectPr>
      </w:pPr>
    </w:p>
    <w:bookmarkStart w:id="392" w:name="page393"/>
    <w:bookmarkEnd w:id="392"/>
    <w:p>
      <w:pPr>
        <w:ind w:left="1240" w:hanging="334"/>
        <w:spacing w:after="0"/>
        <w:tabs>
          <w:tab w:leader="none" w:pos="1240" w:val="left"/>
        </w:tabs>
        <w:numPr>
          <w:ilvl w:val="0"/>
          <w:numId w:val="329"/>
        </w:numPr>
        <w:rPr>
          <w:rFonts w:ascii="Arial" w:cs="Arial" w:eastAsia="Arial" w:hAnsi="Arial"/>
          <w:sz w:val="15"/>
          <w:szCs w:val="15"/>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133350</wp:posOffset>
            </wp:positionH>
            <wp:positionV relativeFrom="page">
              <wp:posOffset>88900</wp:posOffset>
            </wp:positionV>
            <wp:extent cx="7308850" cy="34290"/>
            <wp:wrapNone/>
            <wp:docPr id="552" name="Picture 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
                    <pic:cNvPicPr>
                      <a:picLocks noChangeAspect="1" noChangeArrowheads="1"/>
                    </pic:cNvPicPr>
                  </pic:nvPicPr>
                  <pic:blipFill>
                    <a:blip r:embed="rId589">
                      <a:extLst>
                        <a:ext uri="{28A0092B-C50C-407E-A947-70E740481C1C}"/>
                      </a:extLst>
                    </a:blip>
                    <a:srcRect/>
                    <a:stretch>
                      <a:fillRect/>
                    </a:stretch>
                  </pic:blipFill>
                  <pic:spPr bwMode="auto">
                    <a:xfrm>
                      <a:off x="0" y="0"/>
                      <a:ext cx="7308850" cy="34290"/>
                    </a:xfrm>
                    <a:prstGeom prst="rect">
                      <a:avLst/>
                    </a:prstGeom>
                    <a:noFill/>
                  </pic:spPr>
                </pic:pic>
              </a:graphicData>
            </a:graphic>
          </wp:anchor>
        </w:drawing>
        <w:t>“</w:t>
      </w:r>
      <w:r>
        <w:rPr>
          <w:rFonts w:ascii="Arial" w:cs="Arial" w:eastAsia="Arial" w:hAnsi="Arial"/>
          <w:sz w:val="15"/>
          <w:szCs w:val="15"/>
          <w:u w:val="single" w:color="auto"/>
          <w:color w:val="auto"/>
        </w:rPr>
        <w:t>New Exercise Date</w:t>
      </w:r>
      <w:r>
        <w:rPr>
          <w:rFonts w:ascii="Arial" w:cs="Arial" w:eastAsia="Arial" w:hAnsi="Arial"/>
          <w:sz w:val="15"/>
          <w:szCs w:val="15"/>
          <w:color w:val="auto"/>
        </w:rPr>
        <w:t>” means a new Exercise Date if the Administrator shortens any Offering Period then in progress.</w:t>
      </w:r>
    </w:p>
    <w:p>
      <w:pPr>
        <w:spacing w:after="0" w:line="188" w:lineRule="exact"/>
        <w:rPr>
          <w:rFonts w:ascii="Arial" w:cs="Arial" w:eastAsia="Arial" w:hAnsi="Arial"/>
          <w:sz w:val="15"/>
          <w:szCs w:val="15"/>
          <w:color w:val="auto"/>
        </w:rPr>
      </w:pPr>
    </w:p>
    <w:p>
      <w:pPr>
        <w:ind w:right="60" w:firstLine="906"/>
        <w:spacing w:after="0" w:line="293" w:lineRule="auto"/>
        <w:tabs>
          <w:tab w:leader="none" w:pos="1241" w:val="left"/>
        </w:tabs>
        <w:numPr>
          <w:ilvl w:val="0"/>
          <w:numId w:val="329"/>
        </w:numPr>
        <w:rPr>
          <w:rFonts w:ascii="Arial" w:cs="Arial" w:eastAsia="Arial" w:hAnsi="Arial"/>
          <w:sz w:val="13"/>
          <w:szCs w:val="13"/>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Offering</w:t>
      </w:r>
      <w:r>
        <w:rPr>
          <w:rFonts w:ascii="Arial" w:cs="Arial" w:eastAsia="Arial" w:hAnsi="Arial"/>
          <w:sz w:val="13"/>
          <w:szCs w:val="13"/>
          <w:color w:val="auto"/>
        </w:rPr>
        <w:t>” means an offer under the Plan of an option that may be exercised during an Offering Period as further described in Section 4. For purposes of the Plan, the Administrator may designate separate Offerings under the Plan (the terms of which need not be identical) in which Eligible Employees of one or more Employers will participate, even if the dates of the applicable Offering Periods of each such Offering are identical and the provisions of the Plan will separately apply to each Offering. To the extent permitted by U.S. Treasury Regulation Section 1.423-2(a)(1), the terms of each Offering need not be identical provided that the terms of the Plan and an Offering together satisfy U.S. Treasury Regulation</w:t>
      </w:r>
    </w:p>
    <w:p>
      <w:pPr>
        <w:spacing w:after="0" w:line="1"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5"/>
          <w:szCs w:val="15"/>
          <w:color w:val="auto"/>
        </w:rPr>
        <w:t>Section 1.423-2(a)(2) and (a)(3).</w:t>
      </w:r>
    </w:p>
    <w:p>
      <w:pPr>
        <w:spacing w:after="0" w:line="178" w:lineRule="exact"/>
        <w:rPr>
          <w:rFonts w:ascii="Arial" w:cs="Arial" w:eastAsia="Arial" w:hAnsi="Arial"/>
          <w:sz w:val="13"/>
          <w:szCs w:val="13"/>
          <w:color w:val="auto"/>
        </w:rPr>
      </w:pPr>
    </w:p>
    <w:p>
      <w:pPr>
        <w:ind w:right="20" w:firstLine="906"/>
        <w:spacing w:after="0" w:line="263" w:lineRule="auto"/>
        <w:tabs>
          <w:tab w:leader="none" w:pos="1275" w:val="left"/>
        </w:tabs>
        <w:numPr>
          <w:ilvl w:val="0"/>
          <w:numId w:val="329"/>
        </w:numPr>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Offering Period</w:t>
      </w:r>
      <w:r>
        <w:rPr>
          <w:rFonts w:ascii="Arial" w:cs="Arial" w:eastAsia="Arial" w:hAnsi="Arial"/>
          <w:sz w:val="15"/>
          <w:szCs w:val="15"/>
          <w:color w:val="auto"/>
        </w:rPr>
        <w:t>” means a period beginning on such date as may be determined by the Administrator in its discretion and ending on such Exercise Date as may be determined by the Administrator in its discretion, in each case on a uniform and nondiscriminatory basis. The duration and timing of Offering Periods may be changed pursuant to Sections 4, 20, and 30.</w:t>
      </w:r>
    </w:p>
    <w:p>
      <w:pPr>
        <w:spacing w:after="0" w:line="154" w:lineRule="exact"/>
        <w:rPr>
          <w:rFonts w:ascii="Arial" w:cs="Arial" w:eastAsia="Arial" w:hAnsi="Arial"/>
          <w:sz w:val="15"/>
          <w:szCs w:val="15"/>
          <w:color w:val="auto"/>
        </w:rPr>
      </w:pPr>
    </w:p>
    <w:p>
      <w:pPr>
        <w:ind w:left="1240" w:hanging="334"/>
        <w:spacing w:after="0"/>
        <w:tabs>
          <w:tab w:leader="none" w:pos="1240" w:val="left"/>
        </w:tabs>
        <w:numPr>
          <w:ilvl w:val="0"/>
          <w:numId w:val="329"/>
        </w:numPr>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Parent</w:t>
      </w:r>
      <w:r>
        <w:rPr>
          <w:rFonts w:ascii="Arial" w:cs="Arial" w:eastAsia="Arial" w:hAnsi="Arial"/>
          <w:sz w:val="15"/>
          <w:szCs w:val="15"/>
          <w:color w:val="auto"/>
        </w:rPr>
        <w:t>” means a “parent corporation,” whether now or hereafter existing, as defined in Section 424(e) of the Code.</w:t>
      </w:r>
    </w:p>
    <w:p>
      <w:pPr>
        <w:spacing w:after="0" w:line="188" w:lineRule="exact"/>
        <w:rPr>
          <w:rFonts w:ascii="Arial" w:cs="Arial" w:eastAsia="Arial" w:hAnsi="Arial"/>
          <w:sz w:val="15"/>
          <w:szCs w:val="15"/>
          <w:color w:val="auto"/>
        </w:rPr>
      </w:pPr>
    </w:p>
    <w:p>
      <w:pPr>
        <w:ind w:left="1240" w:hanging="334"/>
        <w:spacing w:after="0"/>
        <w:tabs>
          <w:tab w:leader="none" w:pos="1240" w:val="left"/>
        </w:tabs>
        <w:numPr>
          <w:ilvl w:val="0"/>
          <w:numId w:val="329"/>
        </w:numPr>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Participant</w:t>
      </w:r>
      <w:r>
        <w:rPr>
          <w:rFonts w:ascii="Arial" w:cs="Arial" w:eastAsia="Arial" w:hAnsi="Arial"/>
          <w:sz w:val="15"/>
          <w:szCs w:val="15"/>
          <w:color w:val="auto"/>
        </w:rPr>
        <w:t>” means an Eligible Employee that participates in the Plan.</w:t>
      </w:r>
    </w:p>
    <w:p>
      <w:pPr>
        <w:spacing w:after="0" w:line="188" w:lineRule="exact"/>
        <w:rPr>
          <w:rFonts w:ascii="Arial" w:cs="Arial" w:eastAsia="Arial" w:hAnsi="Arial"/>
          <w:sz w:val="15"/>
          <w:szCs w:val="15"/>
          <w:color w:val="auto"/>
        </w:rPr>
      </w:pPr>
    </w:p>
    <w:p>
      <w:pPr>
        <w:ind w:left="1220" w:hanging="314"/>
        <w:spacing w:after="0"/>
        <w:tabs>
          <w:tab w:leader="none" w:pos="1220" w:val="left"/>
        </w:tabs>
        <w:numPr>
          <w:ilvl w:val="0"/>
          <w:numId w:val="329"/>
        </w:numPr>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Plan</w:t>
      </w:r>
      <w:r>
        <w:rPr>
          <w:rFonts w:ascii="Arial" w:cs="Arial" w:eastAsia="Arial" w:hAnsi="Arial"/>
          <w:sz w:val="15"/>
          <w:szCs w:val="15"/>
          <w:color w:val="auto"/>
        </w:rPr>
        <w:t>” means this Dropbox, Inc. 2018 Class C Employee Stock Purchase Plan.</w:t>
      </w:r>
    </w:p>
    <w:p>
      <w:pPr>
        <w:spacing w:after="0" w:line="188" w:lineRule="exact"/>
        <w:rPr>
          <w:sz w:val="20"/>
          <w:szCs w:val="20"/>
          <w:color w:val="auto"/>
        </w:rPr>
      </w:pPr>
    </w:p>
    <w:p>
      <w:pPr>
        <w:ind w:firstLine="906"/>
        <w:spacing w:after="0" w:line="259" w:lineRule="auto"/>
        <w:tabs>
          <w:tab w:leader="none" w:pos="1337" w:val="left"/>
        </w:tabs>
        <w:numPr>
          <w:ilvl w:val="0"/>
          <w:numId w:val="330"/>
        </w:numPr>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Purchase Period</w:t>
      </w:r>
      <w:r>
        <w:rPr>
          <w:rFonts w:ascii="Arial" w:cs="Arial" w:eastAsia="Arial" w:hAnsi="Arial"/>
          <w:sz w:val="15"/>
          <w:szCs w:val="15"/>
          <w:color w:val="auto"/>
        </w:rPr>
        <w:t>” means the period, as determined by the Administrator in its discretion on a uniform and nondiscriminatory basis, during an Offering Period that commences on the Offering Period’s Enrollment Date and ends on the next Exercise Date, except that if the Administrator determines that more than one Purchase Period should occur within an Offering Period, subsequent Purchase Periods within such Offering Period commence after one Exercise Date and end with the next Exercise Date at such time or times as the Administrator determines prior to the commencement of the Offering Period.</w:t>
      </w:r>
    </w:p>
    <w:p>
      <w:pPr>
        <w:spacing w:after="0" w:line="157" w:lineRule="exact"/>
        <w:rPr>
          <w:rFonts w:ascii="Arial" w:cs="Arial" w:eastAsia="Arial" w:hAnsi="Arial"/>
          <w:sz w:val="15"/>
          <w:szCs w:val="15"/>
          <w:color w:val="auto"/>
        </w:rPr>
      </w:pPr>
    </w:p>
    <w:p>
      <w:pPr>
        <w:ind w:right="80" w:firstLine="906"/>
        <w:spacing w:after="0" w:line="283" w:lineRule="auto"/>
        <w:tabs>
          <w:tab w:leader="none" w:pos="1316" w:val="left"/>
        </w:tabs>
        <w:numPr>
          <w:ilvl w:val="0"/>
          <w:numId w:val="330"/>
        </w:numPr>
        <w:rPr>
          <w:rFonts w:ascii="Arial" w:cs="Arial" w:eastAsia="Arial" w:hAnsi="Arial"/>
          <w:sz w:val="14"/>
          <w:szCs w:val="14"/>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Purchase Price</w:t>
      </w:r>
      <w:r>
        <w:rPr>
          <w:rFonts w:ascii="Arial" w:cs="Arial" w:eastAsia="Arial" w:hAnsi="Arial"/>
          <w:sz w:val="14"/>
          <w:szCs w:val="14"/>
          <w:color w:val="auto"/>
        </w:rPr>
        <w:t>” means the price per Share of the Shares purchased under any option granted under the Plan as determined by the Administrator from time to time, in its discretion and on a uniform and nondiscriminatory basis for all options to be granted on an Enrollment Date. However, in no event will the Purchase Price be less than eighty-five percent (85%) of the lower of the Fair Market Value of a share of Common Stock on the Enrollment Date or the Fair Market Value of a share of Common Stock on the Exercise Date and at all times in compliance with Section 423 of the Code (or any successor rule or provision or any other Applicable Law, regulation or stock exchange rule).</w:t>
      </w:r>
    </w:p>
    <w:p>
      <w:pPr>
        <w:spacing w:after="0" w:line="142" w:lineRule="exact"/>
        <w:rPr>
          <w:rFonts w:ascii="Arial" w:cs="Arial" w:eastAsia="Arial" w:hAnsi="Arial"/>
          <w:sz w:val="14"/>
          <w:szCs w:val="14"/>
          <w:color w:val="auto"/>
        </w:rPr>
      </w:pPr>
    </w:p>
    <w:p>
      <w:pPr>
        <w:ind w:left="1280" w:hanging="374"/>
        <w:spacing w:after="0"/>
        <w:tabs>
          <w:tab w:leader="none" w:pos="1280" w:val="left"/>
        </w:tabs>
        <w:numPr>
          <w:ilvl w:val="0"/>
          <w:numId w:val="330"/>
        </w:numPr>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Subsidiary</w:t>
      </w:r>
      <w:r>
        <w:rPr>
          <w:rFonts w:ascii="Arial" w:cs="Arial" w:eastAsia="Arial" w:hAnsi="Arial"/>
          <w:sz w:val="15"/>
          <w:szCs w:val="15"/>
          <w:color w:val="auto"/>
        </w:rPr>
        <w:t>” means a “subsidiary corporation,” whether now or hereafter existing, as defined in Section 424(f) of the Code.</w:t>
      </w:r>
    </w:p>
    <w:p>
      <w:pPr>
        <w:spacing w:after="0" w:line="188" w:lineRule="exact"/>
        <w:rPr>
          <w:rFonts w:ascii="Arial" w:cs="Arial" w:eastAsia="Arial" w:hAnsi="Arial"/>
          <w:sz w:val="15"/>
          <w:szCs w:val="15"/>
          <w:color w:val="auto"/>
        </w:rPr>
      </w:pPr>
    </w:p>
    <w:p>
      <w:pPr>
        <w:ind w:left="1300" w:hanging="394"/>
        <w:spacing w:after="0"/>
        <w:tabs>
          <w:tab w:leader="none" w:pos="1300" w:val="left"/>
        </w:tabs>
        <w:numPr>
          <w:ilvl w:val="0"/>
          <w:numId w:val="330"/>
        </w:numPr>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Trading Day</w:t>
      </w:r>
      <w:r>
        <w:rPr>
          <w:rFonts w:ascii="Arial" w:cs="Arial" w:eastAsia="Arial" w:hAnsi="Arial"/>
          <w:sz w:val="15"/>
          <w:szCs w:val="15"/>
          <w:color w:val="auto"/>
        </w:rPr>
        <w:t>” means a day on which the national stock exchange upon which the Common Stock is listed is open for trading.</w:t>
      </w:r>
    </w:p>
    <w:p>
      <w:pPr>
        <w:spacing w:after="0" w:line="132" w:lineRule="exact"/>
        <w:rPr>
          <w:rFonts w:ascii="Arial" w:cs="Arial" w:eastAsia="Arial" w:hAnsi="Arial"/>
          <w:sz w:val="15"/>
          <w:szCs w:val="15"/>
          <w:color w:val="auto"/>
        </w:rPr>
      </w:pPr>
    </w:p>
    <w:p>
      <w:pPr>
        <w:ind w:left="5680" w:hanging="91"/>
        <w:spacing w:after="0"/>
        <w:tabs>
          <w:tab w:leader="none" w:pos="5680" w:val="left"/>
        </w:tabs>
        <w:numPr>
          <w:ilvl w:val="1"/>
          <w:numId w:val="330"/>
        </w:numPr>
        <w:rPr>
          <w:rFonts w:ascii="Arial" w:cs="Arial" w:eastAsia="Arial" w:hAnsi="Arial"/>
          <w:sz w:val="15"/>
          <w:szCs w:val="15"/>
          <w:color w:val="auto"/>
        </w:rPr>
      </w:pPr>
      <w:r>
        <w:rPr>
          <w:rFonts w:ascii="Arial" w:cs="Arial" w:eastAsia="Arial" w:hAnsi="Arial"/>
          <w:sz w:val="15"/>
          <w:szCs w:val="15"/>
          <w:color w:val="auto"/>
        </w:rPr>
        <w:t>5 -</w:t>
      </w:r>
    </w:p>
    <w:p>
      <w:pPr>
        <w:sectPr>
          <w:pgSz w:w="11900" w:h="16838" w:orient="portrait"/>
          <w:cols w:equalWidth="0" w:num="1">
            <w:col w:w="11440"/>
          </w:cols>
          <w:pgMar w:left="240" w:top="253" w:right="219" w:bottom="1440" w:gutter="0" w:footer="0" w:header="0"/>
        </w:sectPr>
      </w:pPr>
    </w:p>
    <w:bookmarkStart w:id="393" w:name="page394"/>
    <w:bookmarkEnd w:id="393"/>
    <w:p>
      <w:pPr>
        <w:ind w:left="10" w:firstLine="906"/>
        <w:spacing w:after="0" w:line="263" w:lineRule="auto"/>
        <w:tabs>
          <w:tab w:leader="none" w:pos="1309" w:val="left"/>
        </w:tabs>
        <w:numPr>
          <w:ilvl w:val="2"/>
          <w:numId w:val="331"/>
        </w:numPr>
        <w:rPr>
          <w:rFonts w:ascii="Arial" w:cs="Arial" w:eastAsia="Arial" w:hAnsi="Arial"/>
          <w:sz w:val="15"/>
          <w:szCs w:val="15"/>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133350</wp:posOffset>
            </wp:positionH>
            <wp:positionV relativeFrom="page">
              <wp:posOffset>88900</wp:posOffset>
            </wp:positionV>
            <wp:extent cx="7308850" cy="34290"/>
            <wp:wrapNone/>
            <wp:docPr id="553" name="Picture 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
                    <pic:cNvPicPr>
                      <a:picLocks noChangeAspect="1" noChangeArrowheads="1"/>
                    </pic:cNvPicPr>
                  </pic:nvPicPr>
                  <pic:blipFill>
                    <a:blip r:embed="rId590">
                      <a:extLst>
                        <a:ext uri="{28A0092B-C50C-407E-A947-70E740481C1C}"/>
                      </a:extLst>
                    </a:blip>
                    <a:srcRect/>
                    <a:stretch>
                      <a:fillRect/>
                    </a:stretch>
                  </pic:blipFill>
                  <pic:spPr bwMode="auto">
                    <a:xfrm>
                      <a:off x="0" y="0"/>
                      <a:ext cx="7308850" cy="34290"/>
                    </a:xfrm>
                    <a:prstGeom prst="rect">
                      <a:avLst/>
                    </a:prstGeom>
                    <a:noFill/>
                  </pic:spPr>
                </pic:pic>
              </a:graphicData>
            </a:graphic>
          </wp:anchor>
        </w:drawing>
        <w:t>“</w:t>
      </w:r>
      <w:r>
        <w:rPr>
          <w:rFonts w:ascii="Arial" w:cs="Arial" w:eastAsia="Arial" w:hAnsi="Arial"/>
          <w:sz w:val="15"/>
          <w:szCs w:val="15"/>
          <w:u w:val="single" w:color="auto"/>
          <w:color w:val="auto"/>
        </w:rPr>
        <w:t>U.S. Treasury Regulations</w:t>
      </w:r>
      <w:r>
        <w:rPr>
          <w:rFonts w:ascii="Arial" w:cs="Arial" w:eastAsia="Arial" w:hAnsi="Arial"/>
          <w:sz w:val="15"/>
          <w:szCs w:val="15"/>
          <w:color w:val="auto"/>
        </w:rPr>
        <w:t>” means the Treasury regulations of the Code. Reference to a specific Treasury Regulation will include such Treasury Regulation, the section of the Code under which such regulation was promulgated, and any comparable provision of any future legislation or regulation amending, supplementing, or superseding such Section or regulation.</w:t>
      </w:r>
    </w:p>
    <w:p>
      <w:pPr>
        <w:spacing w:after="0" w:line="245" w:lineRule="exact"/>
        <w:rPr>
          <w:rFonts w:ascii="Arial" w:cs="Arial" w:eastAsia="Arial" w:hAnsi="Arial"/>
          <w:sz w:val="15"/>
          <w:szCs w:val="15"/>
          <w:color w:val="auto"/>
        </w:rPr>
      </w:pPr>
    </w:p>
    <w:p>
      <w:pPr>
        <w:ind w:left="730" w:hanging="272"/>
        <w:spacing w:after="0"/>
        <w:tabs>
          <w:tab w:leader="none" w:pos="730" w:val="left"/>
        </w:tabs>
        <w:numPr>
          <w:ilvl w:val="1"/>
          <w:numId w:val="332"/>
        </w:numPr>
        <w:rPr>
          <w:rFonts w:ascii="Arial" w:cs="Arial" w:eastAsia="Arial" w:hAnsi="Arial"/>
          <w:sz w:val="15"/>
          <w:szCs w:val="15"/>
          <w:color w:val="auto"/>
        </w:rPr>
      </w:pPr>
      <w:r>
        <w:rPr>
          <w:rFonts w:ascii="Arial" w:cs="Arial" w:eastAsia="Arial" w:hAnsi="Arial"/>
          <w:sz w:val="15"/>
          <w:szCs w:val="15"/>
          <w:u w:val="single" w:color="auto"/>
          <w:color w:val="auto"/>
        </w:rPr>
        <w:t>Eligibility</w:t>
      </w:r>
      <w:r>
        <w:rPr>
          <w:rFonts w:ascii="Arial" w:cs="Arial" w:eastAsia="Arial" w:hAnsi="Arial"/>
          <w:sz w:val="15"/>
          <w:szCs w:val="15"/>
          <w:color w:val="auto"/>
        </w:rPr>
        <w:t>.</w:t>
      </w:r>
    </w:p>
    <w:p>
      <w:pPr>
        <w:spacing w:after="0" w:line="98" w:lineRule="exact"/>
        <w:rPr>
          <w:rFonts w:ascii="Arial" w:cs="Arial" w:eastAsia="Arial" w:hAnsi="Arial"/>
          <w:sz w:val="15"/>
          <w:szCs w:val="15"/>
          <w:color w:val="auto"/>
        </w:rPr>
      </w:pPr>
    </w:p>
    <w:p>
      <w:pPr>
        <w:ind w:left="1230" w:hanging="314"/>
        <w:spacing w:after="0"/>
        <w:tabs>
          <w:tab w:leader="none" w:pos="1230" w:val="left"/>
        </w:tabs>
        <w:numPr>
          <w:ilvl w:val="2"/>
          <w:numId w:val="332"/>
        </w:numPr>
        <w:rPr>
          <w:rFonts w:ascii="Arial" w:cs="Arial" w:eastAsia="Arial" w:hAnsi="Arial"/>
          <w:sz w:val="15"/>
          <w:szCs w:val="15"/>
          <w:color w:val="auto"/>
        </w:rPr>
      </w:pPr>
      <w:r>
        <w:rPr>
          <w:rFonts w:ascii="Arial" w:cs="Arial" w:eastAsia="Arial" w:hAnsi="Arial"/>
          <w:sz w:val="15"/>
          <w:szCs w:val="15"/>
          <w:u w:val="single" w:color="auto"/>
          <w:color w:val="auto"/>
        </w:rPr>
        <w:t>Offering Periods</w:t>
      </w:r>
      <w:r>
        <w:rPr>
          <w:rFonts w:ascii="Arial" w:cs="Arial" w:eastAsia="Arial" w:hAnsi="Arial"/>
          <w:sz w:val="15"/>
          <w:szCs w:val="15"/>
          <w:color w:val="auto"/>
        </w:rPr>
        <w:t>. Any Eligible Employee on a given Enrollment Date will be eligible to participate in the Plan, subject to the requirements of Section 5.</w:t>
      </w:r>
    </w:p>
    <w:p>
      <w:pPr>
        <w:spacing w:after="0" w:line="188" w:lineRule="exact"/>
        <w:rPr>
          <w:rFonts w:ascii="Arial" w:cs="Arial" w:eastAsia="Arial" w:hAnsi="Arial"/>
          <w:sz w:val="15"/>
          <w:szCs w:val="15"/>
          <w:color w:val="auto"/>
        </w:rPr>
      </w:pPr>
    </w:p>
    <w:p>
      <w:pPr>
        <w:ind w:left="10" w:firstLine="906"/>
        <w:spacing w:after="0" w:line="257" w:lineRule="auto"/>
        <w:tabs>
          <w:tab w:leader="none" w:pos="1251" w:val="left"/>
        </w:tabs>
        <w:numPr>
          <w:ilvl w:val="2"/>
          <w:numId w:val="332"/>
        </w:numPr>
        <w:rPr>
          <w:rFonts w:ascii="Arial" w:cs="Arial" w:eastAsia="Arial" w:hAnsi="Arial"/>
          <w:sz w:val="15"/>
          <w:szCs w:val="15"/>
          <w:color w:val="auto"/>
        </w:rPr>
      </w:pPr>
      <w:r>
        <w:rPr>
          <w:rFonts w:ascii="Arial" w:cs="Arial" w:eastAsia="Arial" w:hAnsi="Arial"/>
          <w:sz w:val="15"/>
          <w:szCs w:val="15"/>
          <w:u w:val="single" w:color="auto"/>
          <w:color w:val="auto"/>
        </w:rPr>
        <w:t>Non-U.S. Employees</w:t>
      </w:r>
      <w:r>
        <w:rPr>
          <w:rFonts w:ascii="Arial" w:cs="Arial" w:eastAsia="Arial" w:hAnsi="Arial"/>
          <w:sz w:val="15"/>
          <w:szCs w:val="15"/>
          <w:color w:val="auto"/>
        </w:rPr>
        <w:t>. Eligible Employees who are citizens or residents of a non-U.S. jurisdiction (without regard to whether they also are citizens or residents of the United States or resident aliens (within the meaning of Section 7701(b)(1)(A) of the Code)) may be excluded from participation in the Plan or an Offering if the participation of such Eligible Employees is prohibited under the laws of the applicable jurisdiction or if complying with the laws of the applicable jurisdiction would cause the Plan or an Offering to violate Section 423 of the Code. In the case of the Non-423 Component, Eligible Employees may be excluded from participation in the Plan or an Offering if the Administrator determines that participation of such Eligible Employees is not advisable or practicable.</w:t>
      </w:r>
    </w:p>
    <w:p>
      <w:pPr>
        <w:spacing w:after="0" w:line="159" w:lineRule="exact"/>
        <w:rPr>
          <w:rFonts w:ascii="Arial" w:cs="Arial" w:eastAsia="Arial" w:hAnsi="Arial"/>
          <w:sz w:val="15"/>
          <w:szCs w:val="15"/>
          <w:color w:val="auto"/>
        </w:rPr>
      </w:pPr>
    </w:p>
    <w:p>
      <w:pPr>
        <w:ind w:left="10" w:firstLine="906"/>
        <w:spacing w:after="0" w:line="255" w:lineRule="auto"/>
        <w:tabs>
          <w:tab w:leader="none" w:pos="1243" w:val="left"/>
        </w:tabs>
        <w:numPr>
          <w:ilvl w:val="2"/>
          <w:numId w:val="332"/>
        </w:numPr>
        <w:rPr>
          <w:rFonts w:ascii="Arial" w:cs="Arial" w:eastAsia="Arial" w:hAnsi="Arial"/>
          <w:sz w:val="15"/>
          <w:szCs w:val="15"/>
          <w:color w:val="auto"/>
        </w:rPr>
      </w:pPr>
      <w:r>
        <w:rPr>
          <w:rFonts w:ascii="Arial" w:cs="Arial" w:eastAsia="Arial" w:hAnsi="Arial"/>
          <w:sz w:val="15"/>
          <w:szCs w:val="15"/>
          <w:u w:val="single" w:color="auto"/>
          <w:color w:val="auto"/>
        </w:rPr>
        <w:t>Limitations</w:t>
      </w:r>
      <w:r>
        <w:rPr>
          <w:rFonts w:ascii="Arial" w:cs="Arial" w:eastAsia="Arial" w:hAnsi="Arial"/>
          <w:sz w:val="15"/>
          <w:szCs w:val="15"/>
          <w:color w:val="auto"/>
        </w:rPr>
        <w:t>. Any provisions of the Plan to the contrary notwithstanding, no Eligible Employee will be granted an option under the Plan (i) to the extent that, immediately after the grant, such Eligible Employee (or any other person whose stock would be attributed to such Eligible Employee pursuant to Section 424(d) of the Code) would own capital stock of the Company or any Parent or Subsidiary of the Company and/or hold outstanding options to purchase such stock possessing five percent (5%) or more of the total combined voting power or value of all classes of the capital stock of the Company or of any Parent or Subsidiary of the Company, or (ii) to the extent that his or her rights to purchase stock under all employee stock purchase plans (as defined in Section 423 of the Code) of the Company or any Parent or Subsidiary of the Company accrues at a rate, which exceeds twenty-five thousand dollars ($25,000) worth of stock (determined at the Fair Market Value of the stock at the time such option is granted) for each calendar year in which such option is outstanding at any time, as determined in accordance with Section 423 of the Code and the regulations thereunder.</w:t>
      </w:r>
    </w:p>
    <w:p>
      <w:pPr>
        <w:spacing w:after="0" w:line="160" w:lineRule="exact"/>
        <w:rPr>
          <w:rFonts w:ascii="Arial" w:cs="Arial" w:eastAsia="Arial" w:hAnsi="Arial"/>
          <w:sz w:val="15"/>
          <w:szCs w:val="15"/>
          <w:color w:val="auto"/>
        </w:rPr>
      </w:pPr>
    </w:p>
    <w:p>
      <w:pPr>
        <w:ind w:left="730" w:hanging="272"/>
        <w:spacing w:after="0"/>
        <w:tabs>
          <w:tab w:leader="none" w:pos="730" w:val="left"/>
        </w:tabs>
        <w:numPr>
          <w:ilvl w:val="1"/>
          <w:numId w:val="332"/>
        </w:numPr>
        <w:rPr>
          <w:rFonts w:ascii="Arial" w:cs="Arial" w:eastAsia="Arial" w:hAnsi="Arial"/>
          <w:sz w:val="14"/>
          <w:szCs w:val="14"/>
          <w:color w:val="auto"/>
        </w:rPr>
      </w:pPr>
      <w:r>
        <w:rPr>
          <w:rFonts w:ascii="Arial" w:cs="Arial" w:eastAsia="Arial" w:hAnsi="Arial"/>
          <w:sz w:val="14"/>
          <w:szCs w:val="14"/>
          <w:u w:val="single" w:color="auto"/>
          <w:color w:val="auto"/>
        </w:rPr>
        <w:t>Offering Periods</w:t>
      </w:r>
      <w:r>
        <w:rPr>
          <w:rFonts w:ascii="Arial" w:cs="Arial" w:eastAsia="Arial" w:hAnsi="Arial"/>
          <w:sz w:val="14"/>
          <w:szCs w:val="14"/>
          <w:color w:val="auto"/>
        </w:rPr>
        <w:t>. Offering Periods will expire on the earliest to occur of (i) the completion of the purchase of Shares on the last Exercise Date occurring within twenty-seven</w:t>
      </w:r>
    </w:p>
    <w:p>
      <w:pPr>
        <w:spacing w:after="0" w:line="28" w:lineRule="exact"/>
        <w:rPr>
          <w:rFonts w:ascii="Arial" w:cs="Arial" w:eastAsia="Arial" w:hAnsi="Arial"/>
          <w:sz w:val="14"/>
          <w:szCs w:val="14"/>
          <w:color w:val="auto"/>
        </w:rPr>
      </w:pPr>
    </w:p>
    <w:p>
      <w:pPr>
        <w:ind w:left="10" w:right="100" w:hanging="10"/>
        <w:spacing w:after="0" w:line="262" w:lineRule="auto"/>
        <w:tabs>
          <w:tab w:leader="none" w:pos="298" w:val="left"/>
        </w:tabs>
        <w:numPr>
          <w:ilvl w:val="0"/>
          <w:numId w:val="333"/>
        </w:numPr>
        <w:rPr>
          <w:rFonts w:ascii="Arial" w:cs="Arial" w:eastAsia="Arial" w:hAnsi="Arial"/>
          <w:sz w:val="15"/>
          <w:szCs w:val="15"/>
          <w:color w:val="auto"/>
        </w:rPr>
      </w:pPr>
      <w:r>
        <w:rPr>
          <w:rFonts w:ascii="Arial" w:cs="Arial" w:eastAsia="Arial" w:hAnsi="Arial"/>
          <w:sz w:val="15"/>
          <w:szCs w:val="15"/>
          <w:color w:val="auto"/>
        </w:rPr>
        <w:t>months of the applicable Enrollment Date on which the option to purchase Shares was granted, or (ii) such shorter period as may be established by the Administrator from time to time, in its discretion and on a uniform and nondiscriminatory basis, prior to an Enrollment Date for all options to be granted on such Enrollment Date.</w:t>
      </w:r>
    </w:p>
    <w:p>
      <w:pPr>
        <w:spacing w:after="0" w:line="98" w:lineRule="exact"/>
        <w:rPr>
          <w:rFonts w:ascii="Arial" w:cs="Arial" w:eastAsia="Arial" w:hAnsi="Arial"/>
          <w:sz w:val="15"/>
          <w:szCs w:val="15"/>
          <w:color w:val="auto"/>
        </w:rPr>
      </w:pPr>
    </w:p>
    <w:p>
      <w:pPr>
        <w:ind w:left="5690" w:hanging="91"/>
        <w:spacing w:after="0"/>
        <w:tabs>
          <w:tab w:leader="none" w:pos="5690" w:val="left"/>
        </w:tabs>
        <w:numPr>
          <w:ilvl w:val="3"/>
          <w:numId w:val="333"/>
        </w:numPr>
        <w:rPr>
          <w:rFonts w:ascii="Arial" w:cs="Arial" w:eastAsia="Arial" w:hAnsi="Arial"/>
          <w:sz w:val="15"/>
          <w:szCs w:val="15"/>
          <w:color w:val="auto"/>
        </w:rPr>
      </w:pPr>
      <w:r>
        <w:rPr>
          <w:rFonts w:ascii="Arial" w:cs="Arial" w:eastAsia="Arial" w:hAnsi="Arial"/>
          <w:sz w:val="15"/>
          <w:szCs w:val="15"/>
          <w:color w:val="auto"/>
        </w:rPr>
        <w:t>6 -</w:t>
      </w:r>
    </w:p>
    <w:p>
      <w:pPr>
        <w:sectPr>
          <w:pgSz w:w="11900" w:h="16838" w:orient="portrait"/>
          <w:cols w:equalWidth="0" w:num="1">
            <w:col w:w="11430"/>
          </w:cols>
          <w:pgMar w:left="230" w:top="253" w:right="239" w:bottom="1440" w:gutter="0" w:footer="0" w:header="0"/>
        </w:sectPr>
      </w:pPr>
    </w:p>
    <w:bookmarkStart w:id="394" w:name="page395"/>
    <w:bookmarkEnd w:id="394"/>
    <w:p>
      <w:pPr>
        <w:ind w:left="10" w:firstLine="448"/>
        <w:spacing w:after="0" w:line="263" w:lineRule="auto"/>
        <w:tabs>
          <w:tab w:leader="none" w:pos="731" w:val="left"/>
        </w:tabs>
        <w:numPr>
          <w:ilvl w:val="1"/>
          <w:numId w:val="334"/>
        </w:numPr>
        <w:rPr>
          <w:rFonts w:ascii="Arial" w:cs="Arial" w:eastAsia="Arial" w:hAnsi="Arial"/>
          <w:sz w:val="15"/>
          <w:szCs w:val="15"/>
          <w:color w:val="auto"/>
        </w:rPr>
      </w:pPr>
      <w:r>
        <w:rPr>
          <w:rFonts w:ascii="Arial" w:cs="Arial" w:eastAsia="Arial" w:hAnsi="Arial"/>
          <w:sz w:val="15"/>
          <w:szCs w:val="15"/>
          <w:u w:val="single" w:color="auto"/>
          <w:color w:val="auto"/>
        </w:rPr>
        <w:drawing>
          <wp:anchor simplePos="0" relativeHeight="251657728" behindDoc="1" locked="0" layoutInCell="0" allowOverlap="1">
            <wp:simplePos x="0" y="0"/>
            <wp:positionH relativeFrom="page">
              <wp:posOffset>133350</wp:posOffset>
            </wp:positionH>
            <wp:positionV relativeFrom="page">
              <wp:posOffset>88900</wp:posOffset>
            </wp:positionV>
            <wp:extent cx="7308850" cy="34290"/>
            <wp:wrapNone/>
            <wp:docPr id="554" name="Picture 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
                    <pic:cNvPicPr>
                      <a:picLocks noChangeAspect="1" noChangeArrowheads="1"/>
                    </pic:cNvPicPr>
                  </pic:nvPicPr>
                  <pic:blipFill>
                    <a:blip r:embed="rId591">
                      <a:extLst>
                        <a:ext uri="{28A0092B-C50C-407E-A947-70E740481C1C}"/>
                      </a:extLst>
                    </a:blip>
                    <a:srcRect/>
                    <a:stretch>
                      <a:fillRect/>
                    </a:stretch>
                  </pic:blipFill>
                  <pic:spPr bwMode="auto">
                    <a:xfrm>
                      <a:off x="0" y="0"/>
                      <a:ext cx="7308850" cy="34290"/>
                    </a:xfrm>
                    <a:prstGeom prst="rect">
                      <a:avLst/>
                    </a:prstGeom>
                    <a:noFill/>
                  </pic:spPr>
                </pic:pic>
              </a:graphicData>
            </a:graphic>
          </wp:anchor>
        </w:drawing>
        <w:t>Participation</w:t>
      </w:r>
      <w:r>
        <w:rPr>
          <w:rFonts w:ascii="Arial" w:cs="Arial" w:eastAsia="Arial" w:hAnsi="Arial"/>
          <w:sz w:val="15"/>
          <w:szCs w:val="15"/>
          <w:color w:val="auto"/>
        </w:rPr>
        <w:t>. An Eligible Employee may participate in the Plan by (i) submitting to the Company’s stock administration office (or its designee) a properly completed subscription agreement authorizing Contributions in the form provided by the Administrator for such purpose or (ii) following an electronic or other enrollment procedure determined by the Administrator, in either case on or before a date determined by the Administrator prior to an applicable Enrollment Date.</w:t>
      </w:r>
    </w:p>
    <w:p>
      <w:pPr>
        <w:spacing w:after="0" w:line="245" w:lineRule="exact"/>
        <w:rPr>
          <w:rFonts w:ascii="Arial" w:cs="Arial" w:eastAsia="Arial" w:hAnsi="Arial"/>
          <w:sz w:val="15"/>
          <w:szCs w:val="15"/>
          <w:color w:val="auto"/>
        </w:rPr>
      </w:pPr>
    </w:p>
    <w:p>
      <w:pPr>
        <w:ind w:left="730" w:hanging="272"/>
        <w:spacing w:after="0"/>
        <w:tabs>
          <w:tab w:leader="none" w:pos="730" w:val="left"/>
        </w:tabs>
        <w:numPr>
          <w:ilvl w:val="1"/>
          <w:numId w:val="334"/>
        </w:numPr>
        <w:rPr>
          <w:rFonts w:ascii="Arial" w:cs="Arial" w:eastAsia="Arial" w:hAnsi="Arial"/>
          <w:sz w:val="15"/>
          <w:szCs w:val="15"/>
          <w:color w:val="auto"/>
        </w:rPr>
      </w:pPr>
      <w:r>
        <w:rPr>
          <w:rFonts w:ascii="Arial" w:cs="Arial" w:eastAsia="Arial" w:hAnsi="Arial"/>
          <w:sz w:val="15"/>
          <w:szCs w:val="15"/>
          <w:u w:val="single" w:color="auto"/>
          <w:color w:val="auto"/>
        </w:rPr>
        <w:t>Contributions</w:t>
      </w:r>
      <w:r>
        <w:rPr>
          <w:rFonts w:ascii="Arial" w:cs="Arial" w:eastAsia="Arial" w:hAnsi="Arial"/>
          <w:sz w:val="15"/>
          <w:szCs w:val="15"/>
          <w:color w:val="auto"/>
        </w:rPr>
        <w:t>.</w:t>
      </w:r>
    </w:p>
    <w:p>
      <w:pPr>
        <w:spacing w:after="0" w:line="98" w:lineRule="exact"/>
        <w:rPr>
          <w:rFonts w:ascii="Arial" w:cs="Arial" w:eastAsia="Arial" w:hAnsi="Arial"/>
          <w:sz w:val="15"/>
          <w:szCs w:val="15"/>
          <w:color w:val="auto"/>
        </w:rPr>
      </w:pPr>
    </w:p>
    <w:p>
      <w:pPr>
        <w:ind w:left="10" w:right="60" w:firstLine="906"/>
        <w:spacing w:after="0" w:line="279" w:lineRule="auto"/>
        <w:tabs>
          <w:tab w:leader="none" w:pos="1234" w:val="left"/>
        </w:tabs>
        <w:numPr>
          <w:ilvl w:val="2"/>
          <w:numId w:val="334"/>
        </w:numPr>
        <w:rPr>
          <w:rFonts w:ascii="Arial" w:cs="Arial" w:eastAsia="Arial" w:hAnsi="Arial"/>
          <w:sz w:val="14"/>
          <w:szCs w:val="14"/>
          <w:color w:val="auto"/>
        </w:rPr>
      </w:pPr>
      <w:r>
        <w:rPr>
          <w:rFonts w:ascii="Arial" w:cs="Arial" w:eastAsia="Arial" w:hAnsi="Arial"/>
          <w:sz w:val="14"/>
          <w:szCs w:val="14"/>
          <w:color w:val="auto"/>
        </w:rPr>
        <w:t>At the time a Participant enrolls in the Plan pursuant to Section 5, he or she will elect to have Contributions (in the form of payroll deductions or otherwise, to the extent permitted by the Administrator) made on each pay day during the Offering Period in an amount that the Administrator may establish from time to time, in its discretion and on a uniform and nondiscriminatory basis, for all options to be granted on any Enrollment Date. The Administrator, in its sole discretion, may permit all Participants in a specified Offering to contribute amounts to the Plan through payment by cash, check or other means set forth in the subscription agreement prior to each Exercise Date of each Purchase Period. A Participant’s subscription agreement will remain in effect for successive Offering Periods unless terminated as provided in Section 10 hereof.</w:t>
      </w:r>
    </w:p>
    <w:p>
      <w:pPr>
        <w:spacing w:after="0" w:line="146" w:lineRule="exact"/>
        <w:rPr>
          <w:rFonts w:ascii="Arial" w:cs="Arial" w:eastAsia="Arial" w:hAnsi="Arial"/>
          <w:sz w:val="14"/>
          <w:szCs w:val="14"/>
          <w:color w:val="auto"/>
        </w:rPr>
      </w:pPr>
    </w:p>
    <w:p>
      <w:pPr>
        <w:ind w:left="10" w:right="400" w:firstLine="906"/>
        <w:spacing w:after="0" w:line="263" w:lineRule="auto"/>
        <w:tabs>
          <w:tab w:leader="none" w:pos="1251" w:val="left"/>
        </w:tabs>
        <w:numPr>
          <w:ilvl w:val="2"/>
          <w:numId w:val="334"/>
        </w:numPr>
        <w:rPr>
          <w:rFonts w:ascii="Arial" w:cs="Arial" w:eastAsia="Arial" w:hAnsi="Arial"/>
          <w:sz w:val="15"/>
          <w:szCs w:val="15"/>
          <w:color w:val="auto"/>
        </w:rPr>
      </w:pPr>
      <w:r>
        <w:rPr>
          <w:rFonts w:ascii="Arial" w:cs="Arial" w:eastAsia="Arial" w:hAnsi="Arial"/>
          <w:sz w:val="15"/>
          <w:szCs w:val="15"/>
          <w:color w:val="auto"/>
        </w:rPr>
        <w:t>In the event Contributions are made in the form of payroll deductions, such payroll deductions for a Participant will commence on the first pay day following the Enrollment Date and will end on the last pay day on or prior to the last Exercise Date of such Offering Period to which such authorization is applicable, unless sooner terminated by the Participant as provided in Section 10 hereof.</w:t>
      </w:r>
    </w:p>
    <w:p>
      <w:pPr>
        <w:spacing w:after="0" w:line="154" w:lineRule="exact"/>
        <w:rPr>
          <w:rFonts w:ascii="Arial" w:cs="Arial" w:eastAsia="Arial" w:hAnsi="Arial"/>
          <w:sz w:val="15"/>
          <w:szCs w:val="15"/>
          <w:color w:val="auto"/>
        </w:rPr>
      </w:pPr>
    </w:p>
    <w:p>
      <w:pPr>
        <w:ind w:left="10" w:right="640" w:firstLine="906"/>
        <w:spacing w:after="0" w:line="275" w:lineRule="auto"/>
        <w:tabs>
          <w:tab w:leader="none" w:pos="1234" w:val="left"/>
        </w:tabs>
        <w:numPr>
          <w:ilvl w:val="2"/>
          <w:numId w:val="334"/>
        </w:numPr>
        <w:rPr>
          <w:rFonts w:ascii="Arial" w:cs="Arial" w:eastAsia="Arial" w:hAnsi="Arial"/>
          <w:sz w:val="15"/>
          <w:szCs w:val="15"/>
          <w:color w:val="auto"/>
        </w:rPr>
      </w:pPr>
      <w:r>
        <w:rPr>
          <w:rFonts w:ascii="Arial" w:cs="Arial" w:eastAsia="Arial" w:hAnsi="Arial"/>
          <w:sz w:val="15"/>
          <w:szCs w:val="15"/>
          <w:color w:val="auto"/>
        </w:rPr>
        <w:t>All Contributions made for a Participant will be credited to his or her account under the Plan and Contributions will be made in whole percentages of his or her Compensation only. A Participant may not make any additional payments into such account.</w:t>
      </w:r>
    </w:p>
    <w:p>
      <w:pPr>
        <w:spacing w:after="0" w:line="146" w:lineRule="exact"/>
        <w:rPr>
          <w:rFonts w:ascii="Arial" w:cs="Arial" w:eastAsia="Arial" w:hAnsi="Arial"/>
          <w:sz w:val="15"/>
          <w:szCs w:val="15"/>
          <w:color w:val="auto"/>
        </w:rPr>
      </w:pPr>
    </w:p>
    <w:p>
      <w:pPr>
        <w:ind w:left="10" w:right="240" w:firstLine="906"/>
        <w:spacing w:after="0" w:line="275" w:lineRule="auto"/>
        <w:tabs>
          <w:tab w:leader="none" w:pos="1243" w:val="left"/>
        </w:tabs>
        <w:numPr>
          <w:ilvl w:val="2"/>
          <w:numId w:val="334"/>
        </w:numPr>
        <w:rPr>
          <w:rFonts w:ascii="Arial" w:cs="Arial" w:eastAsia="Arial" w:hAnsi="Arial"/>
          <w:sz w:val="15"/>
          <w:szCs w:val="15"/>
          <w:color w:val="auto"/>
        </w:rPr>
      </w:pPr>
      <w:r>
        <w:rPr>
          <w:rFonts w:ascii="Arial" w:cs="Arial" w:eastAsia="Arial" w:hAnsi="Arial"/>
          <w:sz w:val="15"/>
          <w:szCs w:val="15"/>
          <w:color w:val="auto"/>
        </w:rPr>
        <w:t>A Participant may discontinue his or her participation in the Plan as provided under Section 10. Except as may be permitted by the Administrator, as determined in its sole discretion, a Participant may not change the rate of his or her Contributions during an Offering Period.</w:t>
      </w:r>
    </w:p>
    <w:p>
      <w:pPr>
        <w:spacing w:after="0" w:line="146" w:lineRule="exact"/>
        <w:rPr>
          <w:rFonts w:ascii="Arial" w:cs="Arial" w:eastAsia="Arial" w:hAnsi="Arial"/>
          <w:sz w:val="15"/>
          <w:szCs w:val="15"/>
          <w:color w:val="auto"/>
        </w:rPr>
      </w:pPr>
    </w:p>
    <w:p>
      <w:pPr>
        <w:jc w:val="both"/>
        <w:ind w:left="10" w:right="40" w:firstLine="906"/>
        <w:spacing w:after="0" w:line="322" w:lineRule="auto"/>
        <w:tabs>
          <w:tab w:leader="none" w:pos="1243" w:val="left"/>
        </w:tabs>
        <w:numPr>
          <w:ilvl w:val="2"/>
          <w:numId w:val="334"/>
        </w:numPr>
        <w:rPr>
          <w:rFonts w:ascii="Arial" w:cs="Arial" w:eastAsia="Arial" w:hAnsi="Arial"/>
          <w:sz w:val="13"/>
          <w:szCs w:val="13"/>
          <w:color w:val="auto"/>
        </w:rPr>
      </w:pPr>
      <w:r>
        <w:rPr>
          <w:rFonts w:ascii="Arial" w:cs="Arial" w:eastAsia="Arial" w:hAnsi="Arial"/>
          <w:sz w:val="13"/>
          <w:szCs w:val="13"/>
          <w:color w:val="auto"/>
        </w:rPr>
        <w:t>Notwithstanding the foregoing, to the extent necessary to comply with Section 423(b)(8) of the Code and Section 3(d), a Participant’s Contributions may be decreased to zero percent (0%) at any time during a Purchase Period. Subject to Section 423(b)(8) of the Code and Section 3(d) hereof, Contributions will recommence at the rate originally elected by the Participant effective as of the beginning of the first Purchase Period scheduled to end in the following calendar year, unless terminated by the Participant as provided in Section 10.</w:t>
      </w:r>
    </w:p>
    <w:p>
      <w:pPr>
        <w:spacing w:after="0" w:line="120" w:lineRule="exact"/>
        <w:rPr>
          <w:rFonts w:ascii="Arial" w:cs="Arial" w:eastAsia="Arial" w:hAnsi="Arial"/>
          <w:sz w:val="13"/>
          <w:szCs w:val="13"/>
          <w:color w:val="auto"/>
        </w:rPr>
      </w:pPr>
    </w:p>
    <w:p>
      <w:pPr>
        <w:jc w:val="both"/>
        <w:ind w:left="10" w:right="180" w:firstLine="906"/>
        <w:spacing w:after="0" w:line="297" w:lineRule="auto"/>
        <w:tabs>
          <w:tab w:leader="none" w:pos="1226" w:val="left"/>
        </w:tabs>
        <w:numPr>
          <w:ilvl w:val="2"/>
          <w:numId w:val="334"/>
        </w:numPr>
        <w:rPr>
          <w:rFonts w:ascii="Arial" w:cs="Arial" w:eastAsia="Arial" w:hAnsi="Arial"/>
          <w:sz w:val="13"/>
          <w:szCs w:val="13"/>
          <w:color w:val="auto"/>
        </w:rPr>
      </w:pPr>
      <w:r>
        <w:rPr>
          <w:rFonts w:ascii="Arial" w:cs="Arial" w:eastAsia="Arial" w:hAnsi="Arial"/>
          <w:sz w:val="13"/>
          <w:szCs w:val="13"/>
          <w:color w:val="auto"/>
        </w:rPr>
        <w:t>Notwithstanding any provisions to the contrary in the Plan, the Administrator may allow Participants to participate in the Plan via cash contributions instead of payroll deductions if (i) payroll deductions are not permitted under applicable local law, (ii) the Administrator determines that cash contributions are permissible under Section 423 of the Code; or</w:t>
      </w:r>
    </w:p>
    <w:p>
      <w:pPr>
        <w:ind w:left="270" w:hanging="270"/>
        <w:spacing w:after="0"/>
        <w:tabs>
          <w:tab w:leader="none" w:pos="270" w:val="left"/>
        </w:tabs>
        <w:numPr>
          <w:ilvl w:val="0"/>
          <w:numId w:val="335"/>
        </w:numPr>
        <w:rPr>
          <w:rFonts w:ascii="Arial" w:cs="Arial" w:eastAsia="Arial" w:hAnsi="Arial"/>
          <w:sz w:val="15"/>
          <w:szCs w:val="15"/>
          <w:color w:val="auto"/>
        </w:rPr>
      </w:pPr>
      <w:r>
        <w:rPr>
          <w:rFonts w:ascii="Arial" w:cs="Arial" w:eastAsia="Arial" w:hAnsi="Arial"/>
          <w:sz w:val="15"/>
          <w:szCs w:val="15"/>
          <w:color w:val="auto"/>
        </w:rPr>
        <w:t>the Participants are participating in the Non-423 Component.</w:t>
      </w:r>
    </w:p>
    <w:p>
      <w:pPr>
        <w:spacing w:after="0" w:line="178" w:lineRule="exact"/>
        <w:rPr>
          <w:rFonts w:ascii="Arial" w:cs="Arial" w:eastAsia="Arial" w:hAnsi="Arial"/>
          <w:sz w:val="15"/>
          <w:szCs w:val="15"/>
          <w:color w:val="auto"/>
        </w:rPr>
      </w:pPr>
    </w:p>
    <w:p>
      <w:pPr>
        <w:ind w:left="1230" w:hanging="314"/>
        <w:spacing w:after="0"/>
        <w:tabs>
          <w:tab w:leader="none" w:pos="1230" w:val="left"/>
        </w:tabs>
        <w:numPr>
          <w:ilvl w:val="2"/>
          <w:numId w:val="335"/>
        </w:numPr>
        <w:rPr>
          <w:rFonts w:ascii="Arial" w:cs="Arial" w:eastAsia="Arial" w:hAnsi="Arial"/>
          <w:sz w:val="14"/>
          <w:szCs w:val="14"/>
          <w:color w:val="auto"/>
        </w:rPr>
      </w:pPr>
      <w:r>
        <w:rPr>
          <w:rFonts w:ascii="Arial" w:cs="Arial" w:eastAsia="Arial" w:hAnsi="Arial"/>
          <w:sz w:val="14"/>
          <w:szCs w:val="14"/>
          <w:color w:val="auto"/>
        </w:rPr>
        <w:t>At the time the option is exercised, in whole or in part, or at the time some or all of the Common Stock issued under the Plan is disposed of (or any other time that a</w:t>
      </w:r>
    </w:p>
    <w:p>
      <w:pPr>
        <w:spacing w:after="0" w:line="28" w:lineRule="exact"/>
        <w:rPr>
          <w:rFonts w:ascii="Arial" w:cs="Arial" w:eastAsia="Arial" w:hAnsi="Arial"/>
          <w:sz w:val="14"/>
          <w:szCs w:val="14"/>
          <w:color w:val="auto"/>
        </w:rPr>
      </w:pPr>
    </w:p>
    <w:p>
      <w:pPr>
        <w:ind w:left="10"/>
        <w:spacing w:after="0"/>
        <w:rPr>
          <w:rFonts w:ascii="Arial" w:cs="Arial" w:eastAsia="Arial" w:hAnsi="Arial"/>
          <w:sz w:val="14"/>
          <w:szCs w:val="14"/>
          <w:color w:val="auto"/>
        </w:rPr>
      </w:pPr>
      <w:r>
        <w:rPr>
          <w:rFonts w:ascii="Arial" w:cs="Arial" w:eastAsia="Arial" w:hAnsi="Arial"/>
          <w:sz w:val="15"/>
          <w:szCs w:val="15"/>
          <w:color w:val="auto"/>
        </w:rPr>
        <w:t>taxable event</w:t>
      </w:r>
    </w:p>
    <w:p>
      <w:pPr>
        <w:spacing w:after="0" w:line="122" w:lineRule="exact"/>
        <w:rPr>
          <w:rFonts w:ascii="Arial" w:cs="Arial" w:eastAsia="Arial" w:hAnsi="Arial"/>
          <w:sz w:val="14"/>
          <w:szCs w:val="14"/>
          <w:color w:val="auto"/>
        </w:rPr>
      </w:pPr>
    </w:p>
    <w:p>
      <w:pPr>
        <w:ind w:left="5690" w:hanging="91"/>
        <w:spacing w:after="0"/>
        <w:tabs>
          <w:tab w:leader="none" w:pos="5690" w:val="left"/>
        </w:tabs>
        <w:numPr>
          <w:ilvl w:val="3"/>
          <w:numId w:val="335"/>
        </w:numPr>
        <w:rPr>
          <w:rFonts w:ascii="Arial" w:cs="Arial" w:eastAsia="Arial" w:hAnsi="Arial"/>
          <w:sz w:val="15"/>
          <w:szCs w:val="15"/>
          <w:color w:val="auto"/>
        </w:rPr>
      </w:pPr>
      <w:r>
        <w:rPr>
          <w:rFonts w:ascii="Arial" w:cs="Arial" w:eastAsia="Arial" w:hAnsi="Arial"/>
          <w:sz w:val="15"/>
          <w:szCs w:val="15"/>
          <w:color w:val="auto"/>
        </w:rPr>
        <w:t>7 -</w:t>
      </w:r>
    </w:p>
    <w:p>
      <w:pPr>
        <w:sectPr>
          <w:pgSz w:w="11900" w:h="16838" w:orient="portrait"/>
          <w:cols w:equalWidth="0" w:num="1">
            <w:col w:w="11450"/>
          </w:cols>
          <w:pgMar w:left="230" w:top="253" w:right="219" w:bottom="1440" w:gutter="0" w:footer="0" w:header="0"/>
        </w:sectPr>
      </w:pPr>
    </w:p>
    <w:bookmarkStart w:id="395" w:name="page396"/>
    <w:bookmarkEnd w:id="395"/>
    <w:p>
      <w:pPr>
        <w:ind w:left="10"/>
        <w:spacing w:after="0" w:line="255"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133350</wp:posOffset>
            </wp:positionH>
            <wp:positionV relativeFrom="page">
              <wp:posOffset>88900</wp:posOffset>
            </wp:positionV>
            <wp:extent cx="7308850" cy="34290"/>
            <wp:wrapNone/>
            <wp:docPr id="555" name="Picture 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5"/>
                    <pic:cNvPicPr>
                      <a:picLocks noChangeAspect="1" noChangeArrowheads="1"/>
                    </pic:cNvPicPr>
                  </pic:nvPicPr>
                  <pic:blipFill>
                    <a:blip r:embed="rId592">
                      <a:extLst>
                        <a:ext uri="{28A0092B-C50C-407E-A947-70E740481C1C}"/>
                      </a:extLst>
                    </a:blip>
                    <a:srcRect/>
                    <a:stretch>
                      <a:fillRect/>
                    </a:stretch>
                  </pic:blipFill>
                  <pic:spPr bwMode="auto">
                    <a:xfrm>
                      <a:off x="0" y="0"/>
                      <a:ext cx="7308850" cy="34290"/>
                    </a:xfrm>
                    <a:prstGeom prst="rect">
                      <a:avLst/>
                    </a:prstGeom>
                    <a:noFill/>
                  </pic:spPr>
                </pic:pic>
              </a:graphicData>
            </a:graphic>
          </wp:anchor>
        </w:drawing>
        <w:t>related to the Plan occurs), the Participant must make adequate provision for the Company’s or Employer’s federal, state, local or any other tax liability payable to any authority including taxes imposed by jurisdictions outside of the U.S., national insurance, social security or other tax withholding obligations, if any, which arise upon the exercise of the option or the disposition of the Common Stock (or any other time that a taxable event related to the Plan occurs). At any time, the Company or the Employer may, but will not be obligated to, withhold from the Participant’s compensation the amount necessary for the Company or the Employer to meet applicable withholding obligations, including any withholding required to make available to the Company or the Employer any tax deductions or benefits attributable to sale or early disposition of Common Stock by the Eligible Employee. In addition, the Company or the Employer may, but will not be obligated to, withhold from the proceeds of the sale of Common Stock or any other method of withholding the Company or the Employer deems appropriate to the extent permitted by U.S. Treasury Regulation Section 1.423-2(f).</w:t>
      </w:r>
    </w:p>
    <w:p>
      <w:pPr>
        <w:spacing w:after="0" w:line="161" w:lineRule="exact"/>
        <w:rPr>
          <w:sz w:val="20"/>
          <w:szCs w:val="20"/>
          <w:color w:val="auto"/>
        </w:rPr>
      </w:pPr>
    </w:p>
    <w:p>
      <w:pPr>
        <w:ind w:left="10" w:firstLine="448"/>
        <w:spacing w:after="0" w:line="275" w:lineRule="auto"/>
        <w:tabs>
          <w:tab w:leader="none" w:pos="731" w:val="left"/>
        </w:tabs>
        <w:numPr>
          <w:ilvl w:val="1"/>
          <w:numId w:val="336"/>
        </w:numPr>
        <w:rPr>
          <w:rFonts w:ascii="Arial" w:cs="Arial" w:eastAsia="Arial" w:hAnsi="Arial"/>
          <w:sz w:val="14"/>
          <w:szCs w:val="14"/>
          <w:color w:val="auto"/>
        </w:rPr>
      </w:pPr>
      <w:r>
        <w:rPr>
          <w:rFonts w:ascii="Arial" w:cs="Arial" w:eastAsia="Arial" w:hAnsi="Arial"/>
          <w:sz w:val="14"/>
          <w:szCs w:val="14"/>
          <w:u w:val="single" w:color="auto"/>
          <w:color w:val="auto"/>
        </w:rPr>
        <w:t>Grant of Option</w:t>
      </w:r>
      <w:r>
        <w:rPr>
          <w:rFonts w:ascii="Arial" w:cs="Arial" w:eastAsia="Arial" w:hAnsi="Arial"/>
          <w:sz w:val="14"/>
          <w:szCs w:val="14"/>
          <w:color w:val="auto"/>
        </w:rPr>
        <w:t>. On the Enrollment Date of each Offering Period, each Eligible Employee participating in such Offering Period will be granted an option to purchase on each Exercise Date during such Offering Period (at the applicable Purchase Price) up to a number of shares of Common Stock determined by dividing such Eligible Employee’s Contributions accumulated prior to such Exercise Date and retained in the Eligible Employee’s account as of the Exercise Date by the applicable Purchase Price; provided that in no event will an Eligible Employee be permitted to purchase during each Purchase Period more than 2,500 shares of Common Stock (subject to any adjustment pursuant to Section 19) and provided further that such purchase will be subject to the limitations set forth in Sections 3(d) and 13. The Eligible Employee may accept the grant of such option by electing to participate in the Plan in accordance with the requirements of Section 5. The Administrator may, for future Offering Periods, increase or decrease, in its absolute discretion, the maximum number of shares of Common Stock that an Eligible Employee may purchase during each Purchase Period. Exercise of the option will occur as provided in Section 8, unless the Participant has withdrawn pursuant to Section 10. The option will expire on the last day of the Offering Period.</w:t>
      </w:r>
    </w:p>
    <w:p>
      <w:pPr>
        <w:spacing w:after="0" w:line="238" w:lineRule="exact"/>
        <w:rPr>
          <w:rFonts w:ascii="Arial" w:cs="Arial" w:eastAsia="Arial" w:hAnsi="Arial"/>
          <w:sz w:val="14"/>
          <w:szCs w:val="14"/>
          <w:color w:val="auto"/>
        </w:rPr>
      </w:pPr>
    </w:p>
    <w:p>
      <w:pPr>
        <w:ind w:left="730" w:hanging="272"/>
        <w:spacing w:after="0"/>
        <w:tabs>
          <w:tab w:leader="none" w:pos="730" w:val="left"/>
        </w:tabs>
        <w:numPr>
          <w:ilvl w:val="1"/>
          <w:numId w:val="336"/>
        </w:numPr>
        <w:rPr>
          <w:rFonts w:ascii="Arial" w:cs="Arial" w:eastAsia="Arial" w:hAnsi="Arial"/>
          <w:sz w:val="15"/>
          <w:szCs w:val="15"/>
          <w:color w:val="auto"/>
        </w:rPr>
      </w:pPr>
      <w:r>
        <w:rPr>
          <w:rFonts w:ascii="Arial" w:cs="Arial" w:eastAsia="Arial" w:hAnsi="Arial"/>
          <w:sz w:val="15"/>
          <w:szCs w:val="15"/>
          <w:u w:val="single" w:color="auto"/>
          <w:color w:val="auto"/>
        </w:rPr>
        <w:t>Exercise of Option</w:t>
      </w:r>
      <w:r>
        <w:rPr>
          <w:rFonts w:ascii="Arial" w:cs="Arial" w:eastAsia="Arial" w:hAnsi="Arial"/>
          <w:sz w:val="15"/>
          <w:szCs w:val="15"/>
          <w:color w:val="auto"/>
        </w:rPr>
        <w:t>.</w:t>
      </w:r>
    </w:p>
    <w:p>
      <w:pPr>
        <w:spacing w:after="0" w:line="98" w:lineRule="exact"/>
        <w:rPr>
          <w:rFonts w:ascii="Arial" w:cs="Arial" w:eastAsia="Arial" w:hAnsi="Arial"/>
          <w:sz w:val="15"/>
          <w:szCs w:val="15"/>
          <w:color w:val="auto"/>
        </w:rPr>
      </w:pPr>
    </w:p>
    <w:p>
      <w:pPr>
        <w:ind w:left="10" w:right="40" w:firstLine="906"/>
        <w:spacing w:after="0" w:line="255" w:lineRule="auto"/>
        <w:tabs>
          <w:tab w:leader="none" w:pos="1243" w:val="left"/>
        </w:tabs>
        <w:numPr>
          <w:ilvl w:val="2"/>
          <w:numId w:val="336"/>
        </w:numPr>
        <w:rPr>
          <w:rFonts w:ascii="Arial" w:cs="Arial" w:eastAsia="Arial" w:hAnsi="Arial"/>
          <w:sz w:val="15"/>
          <w:szCs w:val="15"/>
          <w:color w:val="auto"/>
        </w:rPr>
      </w:pPr>
      <w:r>
        <w:rPr>
          <w:rFonts w:ascii="Arial" w:cs="Arial" w:eastAsia="Arial" w:hAnsi="Arial"/>
          <w:sz w:val="15"/>
          <w:szCs w:val="15"/>
          <w:color w:val="auto"/>
        </w:rPr>
        <w:t>Unless a Participant withdraws from the Plan as provided in Section 10, his or her option for the purchase of shares of Common Stock will be exercised automatically on each Exercise Date, and the maximum number of full shares subject to the option will be purchased for such Participant at the applicable Purchase Price with the accumulated Contributions from his or her account. No fractional shares of Common Stock will be purchased; any Contributions accumulated in a Participant’s account, which are not sufficient to purchase a full share will be retained in the Participant’s account for the subsequent Purchase Period or Offering Period, subject to earlier withdrawal by the Participant as provided in Section 10. Any other funds left over in a Participant’s account after the Exercise Date will be returned to the Participant. During a Participant’s lifetime, a Participant’s option to purchase shares hereunder is exercisable only by him or her.</w:t>
      </w:r>
    </w:p>
    <w:p>
      <w:pPr>
        <w:spacing w:after="0" w:line="163" w:lineRule="exact"/>
        <w:rPr>
          <w:rFonts w:ascii="Arial" w:cs="Arial" w:eastAsia="Arial" w:hAnsi="Arial"/>
          <w:sz w:val="15"/>
          <w:szCs w:val="15"/>
          <w:color w:val="auto"/>
        </w:rPr>
      </w:pPr>
    </w:p>
    <w:p>
      <w:pPr>
        <w:ind w:left="1250" w:hanging="334"/>
        <w:spacing w:after="0"/>
        <w:tabs>
          <w:tab w:leader="none" w:pos="1250" w:val="left"/>
        </w:tabs>
        <w:numPr>
          <w:ilvl w:val="2"/>
          <w:numId w:val="336"/>
        </w:numPr>
        <w:rPr>
          <w:rFonts w:ascii="Arial" w:cs="Arial" w:eastAsia="Arial" w:hAnsi="Arial"/>
          <w:sz w:val="13"/>
          <w:szCs w:val="13"/>
          <w:color w:val="auto"/>
        </w:rPr>
      </w:pPr>
      <w:r>
        <w:rPr>
          <w:rFonts w:ascii="Arial" w:cs="Arial" w:eastAsia="Arial" w:hAnsi="Arial"/>
          <w:sz w:val="13"/>
          <w:szCs w:val="13"/>
          <w:color w:val="auto"/>
        </w:rPr>
        <w:t>If the Administrator determines that, on a given Exercise Date, the number of shares of Common Stock with respect to which options are to be exercised may exceed</w:t>
      </w:r>
    </w:p>
    <w:p>
      <w:pPr>
        <w:spacing w:after="0" w:line="40" w:lineRule="exact"/>
        <w:rPr>
          <w:rFonts w:ascii="Arial" w:cs="Arial" w:eastAsia="Arial" w:hAnsi="Arial"/>
          <w:sz w:val="13"/>
          <w:szCs w:val="13"/>
          <w:color w:val="auto"/>
        </w:rPr>
      </w:pPr>
    </w:p>
    <w:p>
      <w:pPr>
        <w:ind w:left="10" w:right="360" w:hanging="10"/>
        <w:spacing w:after="0" w:line="262" w:lineRule="auto"/>
        <w:tabs>
          <w:tab w:leader="none" w:pos="189" w:val="left"/>
        </w:tabs>
        <w:numPr>
          <w:ilvl w:val="0"/>
          <w:numId w:val="337"/>
        </w:numPr>
        <w:rPr>
          <w:rFonts w:ascii="Arial" w:cs="Arial" w:eastAsia="Arial" w:hAnsi="Arial"/>
          <w:sz w:val="15"/>
          <w:szCs w:val="15"/>
          <w:color w:val="auto"/>
        </w:rPr>
      </w:pPr>
      <w:r>
        <w:rPr>
          <w:rFonts w:ascii="Arial" w:cs="Arial" w:eastAsia="Arial" w:hAnsi="Arial"/>
          <w:sz w:val="15"/>
          <w:szCs w:val="15"/>
          <w:color w:val="auto"/>
        </w:rPr>
        <w:t>the number of shares of Common Stock that were available for sale under the Plan on the Enrollment Date of the applicable Offering Period, or (ii) the number of shares of Common Stock available for</w:t>
      </w:r>
    </w:p>
    <w:p>
      <w:pPr>
        <w:spacing w:after="0" w:line="98" w:lineRule="exact"/>
        <w:rPr>
          <w:rFonts w:ascii="Arial" w:cs="Arial" w:eastAsia="Arial" w:hAnsi="Arial"/>
          <w:sz w:val="15"/>
          <w:szCs w:val="15"/>
          <w:color w:val="auto"/>
        </w:rPr>
      </w:pPr>
    </w:p>
    <w:p>
      <w:pPr>
        <w:ind w:left="5690" w:hanging="91"/>
        <w:spacing w:after="0"/>
        <w:tabs>
          <w:tab w:leader="none" w:pos="5690" w:val="left"/>
        </w:tabs>
        <w:numPr>
          <w:ilvl w:val="3"/>
          <w:numId w:val="337"/>
        </w:numPr>
        <w:rPr>
          <w:rFonts w:ascii="Arial" w:cs="Arial" w:eastAsia="Arial" w:hAnsi="Arial"/>
          <w:sz w:val="15"/>
          <w:szCs w:val="15"/>
          <w:color w:val="auto"/>
        </w:rPr>
      </w:pPr>
      <w:r>
        <w:rPr>
          <w:rFonts w:ascii="Arial" w:cs="Arial" w:eastAsia="Arial" w:hAnsi="Arial"/>
          <w:sz w:val="15"/>
          <w:szCs w:val="15"/>
          <w:color w:val="auto"/>
        </w:rPr>
        <w:t>8 -</w:t>
      </w:r>
    </w:p>
    <w:p>
      <w:pPr>
        <w:sectPr>
          <w:pgSz w:w="11900" w:h="16838" w:orient="portrait"/>
          <w:cols w:equalWidth="0" w:num="1">
            <w:col w:w="11450"/>
          </w:cols>
          <w:pgMar w:left="230" w:top="253" w:right="219" w:bottom="1440" w:gutter="0" w:footer="0" w:header="0"/>
        </w:sectPr>
      </w:pPr>
    </w:p>
    <w:bookmarkStart w:id="396" w:name="page397"/>
    <w:bookmarkEnd w:id="396"/>
    <w:p>
      <w:pPr>
        <w:ind w:right="20"/>
        <w:spacing w:after="0" w:line="300" w:lineRule="auto"/>
        <w:rPr>
          <w:sz w:val="20"/>
          <w:szCs w:val="20"/>
          <w:color w:val="auto"/>
        </w:rPr>
      </w:pPr>
      <w:r>
        <w:rPr>
          <w:rFonts w:ascii="Arial" w:cs="Arial" w:eastAsia="Arial" w:hAnsi="Arial"/>
          <w:sz w:val="13"/>
          <w:szCs w:val="13"/>
          <w:color w:val="auto"/>
        </w:rPr>
        <w:drawing>
          <wp:anchor simplePos="0" relativeHeight="251657728" behindDoc="1" locked="0" layoutInCell="0" allowOverlap="1">
            <wp:simplePos x="0" y="0"/>
            <wp:positionH relativeFrom="page">
              <wp:posOffset>133350</wp:posOffset>
            </wp:positionH>
            <wp:positionV relativeFrom="page">
              <wp:posOffset>88900</wp:posOffset>
            </wp:positionV>
            <wp:extent cx="7308850" cy="33655"/>
            <wp:wrapNone/>
            <wp:docPr id="556" name="Picture 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
                    <pic:cNvPicPr>
                      <a:picLocks noChangeAspect="1" noChangeArrowheads="1"/>
                    </pic:cNvPicPr>
                  </pic:nvPicPr>
                  <pic:blipFill>
                    <a:blip r:embed="rId593">
                      <a:extLst>
                        <a:ext uri="{28A0092B-C50C-407E-A947-70E740481C1C}"/>
                      </a:extLst>
                    </a:blip>
                    <a:srcRect/>
                    <a:stretch>
                      <a:fillRect/>
                    </a:stretch>
                  </pic:blipFill>
                  <pic:spPr bwMode="auto">
                    <a:xfrm>
                      <a:off x="0" y="0"/>
                      <a:ext cx="7308850" cy="33655"/>
                    </a:xfrm>
                    <a:prstGeom prst="rect">
                      <a:avLst/>
                    </a:prstGeom>
                    <a:noFill/>
                  </pic:spPr>
                </pic:pic>
              </a:graphicData>
            </a:graphic>
          </wp:anchor>
        </w:drawing>
        <w:t>sale under the Plan on such Exercise Date, the Administrator may in its sole discretion (x) provide that the Company will make a pro rata allocation of the shares of Common Stock available for purchase on such Enrollment Date or Exercise Date, as applicable, in as uniform a manner as will be practicable and as it will determine in its sole discretion to be equitable among all Participants exercising options to purchase Common Stock on such Exercise Date, and continue all Offering Periods then in effect or (y) provide that the Company will make a pro rata allocation of the shares of Common Stock available for purchase on such Enrollment Date or Exercise Date, as applicable, in as uniform a manner as will be practicable and as it will determine in its sole discretion to be equitable among all participants exercising options to purchase Common Stock on such Exercise Date, and terminate any or all Offering Periods then in effect pursuant to Section 20. The Company may make a pro rata allocation of the shares available on the Enrollment Date of any applicable Offering Period pursuant to the preceding sentence, notwithstanding any authorization of additional shares for issuance under the Plan by the Company’s stockholders subsequent to such Enrollment Date.</w:t>
      </w:r>
    </w:p>
    <w:p>
      <w:pPr>
        <w:spacing w:after="0" w:line="136" w:lineRule="exact"/>
        <w:rPr>
          <w:sz w:val="20"/>
          <w:szCs w:val="20"/>
          <w:color w:val="auto"/>
        </w:rPr>
      </w:pPr>
    </w:p>
    <w:p>
      <w:pPr>
        <w:ind w:right="20" w:firstLine="448"/>
        <w:spacing w:after="0" w:line="277" w:lineRule="auto"/>
        <w:tabs>
          <w:tab w:leader="none" w:pos="721" w:val="left"/>
        </w:tabs>
        <w:numPr>
          <w:ilvl w:val="0"/>
          <w:numId w:val="338"/>
        </w:numPr>
        <w:rPr>
          <w:rFonts w:ascii="Arial" w:cs="Arial" w:eastAsia="Arial" w:hAnsi="Arial"/>
          <w:sz w:val="14"/>
          <w:szCs w:val="14"/>
          <w:color w:val="auto"/>
        </w:rPr>
      </w:pPr>
      <w:r>
        <w:rPr>
          <w:rFonts w:ascii="Arial" w:cs="Arial" w:eastAsia="Arial" w:hAnsi="Arial"/>
          <w:sz w:val="14"/>
          <w:szCs w:val="14"/>
          <w:u w:val="single" w:color="auto"/>
          <w:color w:val="auto"/>
        </w:rPr>
        <w:t>Delivery</w:t>
      </w:r>
      <w:r>
        <w:rPr>
          <w:rFonts w:ascii="Arial" w:cs="Arial" w:eastAsia="Arial" w:hAnsi="Arial"/>
          <w:sz w:val="14"/>
          <w:szCs w:val="14"/>
          <w:color w:val="auto"/>
        </w:rPr>
        <w:t>. As soon as reasonably practicable after each Exercise Date on which a purchase of shares of Common Stock occurs, the Company will arrange the delivery to each Participant of the shares purchased upon exercise of his or her option in a form determined by the Administrator (in its sole discretion) and pursuant to rules established by the Administrator. The Company may permit or require that shares be deposited directly with a broker designated by the Company or to a designated agent of the Company, and the Company may utilize electronic or automated methods of share transfer. The Company may require that shares be retained with such broker or agent for a designated period of time and/or may establish other procedures to permit tracking of disqualifying dispositions of such shares. No Participant will have any voting, dividend, or other stockholder rights with respect to shares of Common Stock subject to any option granted under the Plan until such shares have been purchased and delivered to the Participant as provided in this Section 9.</w:t>
      </w:r>
    </w:p>
    <w:p>
      <w:pPr>
        <w:spacing w:after="0" w:line="238" w:lineRule="exact"/>
        <w:rPr>
          <w:rFonts w:ascii="Arial" w:cs="Arial" w:eastAsia="Arial" w:hAnsi="Arial"/>
          <w:sz w:val="14"/>
          <w:szCs w:val="14"/>
          <w:color w:val="auto"/>
        </w:rPr>
      </w:pPr>
    </w:p>
    <w:p>
      <w:pPr>
        <w:ind w:left="780" w:hanging="332"/>
        <w:spacing w:after="0"/>
        <w:tabs>
          <w:tab w:leader="none" w:pos="780" w:val="left"/>
        </w:tabs>
        <w:numPr>
          <w:ilvl w:val="0"/>
          <w:numId w:val="338"/>
        </w:numPr>
        <w:rPr>
          <w:rFonts w:ascii="Arial" w:cs="Arial" w:eastAsia="Arial" w:hAnsi="Arial"/>
          <w:sz w:val="15"/>
          <w:szCs w:val="15"/>
          <w:color w:val="auto"/>
        </w:rPr>
      </w:pPr>
      <w:r>
        <w:rPr>
          <w:rFonts w:ascii="Arial" w:cs="Arial" w:eastAsia="Arial" w:hAnsi="Arial"/>
          <w:sz w:val="15"/>
          <w:szCs w:val="15"/>
          <w:u w:val="single" w:color="auto"/>
          <w:color w:val="auto"/>
        </w:rPr>
        <w:t>Withdrawal</w:t>
      </w:r>
      <w:r>
        <w:rPr>
          <w:rFonts w:ascii="Arial" w:cs="Arial" w:eastAsia="Arial" w:hAnsi="Arial"/>
          <w:sz w:val="15"/>
          <w:szCs w:val="15"/>
          <w:color w:val="auto"/>
        </w:rPr>
        <w:t>.</w:t>
      </w:r>
    </w:p>
    <w:p>
      <w:pPr>
        <w:spacing w:after="0" w:line="98" w:lineRule="exact"/>
        <w:rPr>
          <w:rFonts w:ascii="Arial" w:cs="Arial" w:eastAsia="Arial" w:hAnsi="Arial"/>
          <w:sz w:val="15"/>
          <w:szCs w:val="15"/>
          <w:color w:val="auto"/>
        </w:rPr>
      </w:pPr>
    </w:p>
    <w:p>
      <w:pPr>
        <w:ind w:right="20" w:firstLine="906"/>
        <w:spacing w:after="0" w:line="277" w:lineRule="auto"/>
        <w:tabs>
          <w:tab w:leader="none" w:pos="1225" w:val="left"/>
        </w:tabs>
        <w:numPr>
          <w:ilvl w:val="1"/>
          <w:numId w:val="338"/>
        </w:numPr>
        <w:rPr>
          <w:rFonts w:ascii="Arial" w:cs="Arial" w:eastAsia="Arial" w:hAnsi="Arial"/>
          <w:sz w:val="14"/>
          <w:szCs w:val="14"/>
          <w:color w:val="auto"/>
        </w:rPr>
      </w:pPr>
      <w:r>
        <w:rPr>
          <w:rFonts w:ascii="Arial" w:cs="Arial" w:eastAsia="Arial" w:hAnsi="Arial"/>
          <w:sz w:val="14"/>
          <w:szCs w:val="14"/>
          <w:color w:val="auto"/>
        </w:rPr>
        <w:t xml:space="preserve">A Participant may withdraw all but not less than all the Contributions credited to his or her account and not yet used to exercise his or her option under the Plan at any time by (i) submitting to the Company’s stock administration office (or its designee) a written notice of withdrawal in the form determined by the Administrator for such purpose (which may be similar to the form attached hereto as </w:t>
      </w:r>
      <w:r>
        <w:rPr>
          <w:rFonts w:ascii="Arial" w:cs="Arial" w:eastAsia="Arial" w:hAnsi="Arial"/>
          <w:sz w:val="14"/>
          <w:szCs w:val="14"/>
          <w:u w:val="single" w:color="auto"/>
          <w:color w:val="auto"/>
        </w:rPr>
        <w:t>Exhibit B</w:t>
      </w:r>
      <w:r>
        <w:rPr>
          <w:rFonts w:ascii="Arial" w:cs="Arial" w:eastAsia="Arial" w:hAnsi="Arial"/>
          <w:sz w:val="14"/>
          <w:szCs w:val="14"/>
          <w:color w:val="auto"/>
        </w:rPr>
        <w:t>), or (ii) following an electronic or other withdrawal procedure determined by the Administrator. All of the Participant’s Contributions credited to his or her account will be paid to such Participant promptly after receipt of notice of withdrawal and such Participant’s option for the Offering Period will be automatically terminated, and no further Contributions for the purchase of shares will be made for such Offering Period. If a Participant withdraws from an Offering Period, Contributions will not resume at the beginning of the succeeding Offering Period, unless the Participant re-enrolls in the Plan in accordance with the provisions of Section 5.</w:t>
      </w:r>
    </w:p>
    <w:p>
      <w:pPr>
        <w:spacing w:after="0" w:line="148" w:lineRule="exact"/>
        <w:rPr>
          <w:rFonts w:ascii="Arial" w:cs="Arial" w:eastAsia="Arial" w:hAnsi="Arial"/>
          <w:sz w:val="14"/>
          <w:szCs w:val="14"/>
          <w:color w:val="auto"/>
        </w:rPr>
      </w:pPr>
    </w:p>
    <w:p>
      <w:pPr>
        <w:ind w:firstLine="906"/>
        <w:spacing w:after="0" w:line="275" w:lineRule="auto"/>
        <w:tabs>
          <w:tab w:leader="none" w:pos="1233" w:val="left"/>
        </w:tabs>
        <w:numPr>
          <w:ilvl w:val="1"/>
          <w:numId w:val="338"/>
        </w:numPr>
        <w:rPr>
          <w:rFonts w:ascii="Arial" w:cs="Arial" w:eastAsia="Arial" w:hAnsi="Arial"/>
          <w:sz w:val="15"/>
          <w:szCs w:val="15"/>
          <w:color w:val="auto"/>
        </w:rPr>
      </w:pPr>
      <w:r>
        <w:rPr>
          <w:rFonts w:ascii="Arial" w:cs="Arial" w:eastAsia="Arial" w:hAnsi="Arial"/>
          <w:sz w:val="15"/>
          <w:szCs w:val="15"/>
          <w:color w:val="auto"/>
        </w:rPr>
        <w:t>A Participant’s withdrawal from an Offering Period will not have any effect on his or her eligibility to participate in any similar plan that may hereafter be adopted by the Company or in succeeding Offering Periods that commence after the termination of the Offering Period from which the Participant withdraws.</w:t>
      </w:r>
    </w:p>
    <w:p>
      <w:pPr>
        <w:spacing w:after="0" w:line="89" w:lineRule="exact"/>
        <w:rPr>
          <w:rFonts w:ascii="Arial" w:cs="Arial" w:eastAsia="Arial" w:hAnsi="Arial"/>
          <w:sz w:val="15"/>
          <w:szCs w:val="15"/>
          <w:color w:val="auto"/>
        </w:rPr>
      </w:pPr>
    </w:p>
    <w:p>
      <w:pPr>
        <w:ind w:left="5680" w:hanging="91"/>
        <w:spacing w:after="0"/>
        <w:tabs>
          <w:tab w:leader="none" w:pos="5680" w:val="left"/>
        </w:tabs>
        <w:numPr>
          <w:ilvl w:val="2"/>
          <w:numId w:val="338"/>
        </w:numPr>
        <w:rPr>
          <w:rFonts w:ascii="Arial" w:cs="Arial" w:eastAsia="Arial" w:hAnsi="Arial"/>
          <w:sz w:val="15"/>
          <w:szCs w:val="15"/>
          <w:color w:val="auto"/>
        </w:rPr>
      </w:pPr>
      <w:r>
        <w:rPr>
          <w:rFonts w:ascii="Arial" w:cs="Arial" w:eastAsia="Arial" w:hAnsi="Arial"/>
          <w:sz w:val="15"/>
          <w:szCs w:val="15"/>
          <w:color w:val="auto"/>
        </w:rPr>
        <w:t>9 -</w:t>
      </w:r>
    </w:p>
    <w:p>
      <w:pPr>
        <w:sectPr>
          <w:pgSz w:w="11900" w:h="16838" w:orient="portrait"/>
          <w:cols w:equalWidth="0" w:num="1">
            <w:col w:w="11420"/>
          </w:cols>
          <w:pgMar w:left="240" w:top="253" w:right="239" w:bottom="1440" w:gutter="0" w:footer="0" w:header="0"/>
        </w:sectPr>
      </w:pPr>
    </w:p>
    <w:bookmarkStart w:id="397" w:name="page398"/>
    <w:bookmarkEnd w:id="397"/>
    <w:p>
      <w:pPr>
        <w:ind w:firstLine="448"/>
        <w:spacing w:after="0" w:line="302" w:lineRule="auto"/>
        <w:tabs>
          <w:tab w:leader="none" w:pos="790" w:val="left"/>
        </w:tabs>
        <w:numPr>
          <w:ilvl w:val="0"/>
          <w:numId w:val="339"/>
        </w:numPr>
        <w:rPr>
          <w:rFonts w:ascii="Arial" w:cs="Arial" w:eastAsia="Arial" w:hAnsi="Arial"/>
          <w:sz w:val="13"/>
          <w:szCs w:val="13"/>
          <w:color w:val="auto"/>
        </w:rPr>
      </w:pPr>
      <w:r>
        <w:rPr>
          <w:rFonts w:ascii="Arial" w:cs="Arial" w:eastAsia="Arial" w:hAnsi="Arial"/>
          <w:sz w:val="13"/>
          <w:szCs w:val="13"/>
          <w:u w:val="single" w:color="auto"/>
          <w:color w:val="auto"/>
        </w:rPr>
        <w:drawing>
          <wp:anchor simplePos="0" relativeHeight="251657728" behindDoc="1" locked="0" layoutInCell="0" allowOverlap="1">
            <wp:simplePos x="0" y="0"/>
            <wp:positionH relativeFrom="page">
              <wp:posOffset>133350</wp:posOffset>
            </wp:positionH>
            <wp:positionV relativeFrom="page">
              <wp:posOffset>88900</wp:posOffset>
            </wp:positionV>
            <wp:extent cx="7308850" cy="34290"/>
            <wp:wrapNone/>
            <wp:docPr id="557" name="Picture 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7"/>
                    <pic:cNvPicPr>
                      <a:picLocks noChangeAspect="1" noChangeArrowheads="1"/>
                    </pic:cNvPicPr>
                  </pic:nvPicPr>
                  <pic:blipFill>
                    <a:blip r:embed="rId594">
                      <a:extLst>
                        <a:ext uri="{28A0092B-C50C-407E-A947-70E740481C1C}"/>
                      </a:extLst>
                    </a:blip>
                    <a:srcRect/>
                    <a:stretch>
                      <a:fillRect/>
                    </a:stretch>
                  </pic:blipFill>
                  <pic:spPr bwMode="auto">
                    <a:xfrm>
                      <a:off x="0" y="0"/>
                      <a:ext cx="7308850" cy="34290"/>
                    </a:xfrm>
                    <a:prstGeom prst="rect">
                      <a:avLst/>
                    </a:prstGeom>
                    <a:noFill/>
                  </pic:spPr>
                </pic:pic>
              </a:graphicData>
            </a:graphic>
          </wp:anchor>
        </w:drawing>
        <w:t>Termination of Employment</w:t>
      </w:r>
      <w:r>
        <w:rPr>
          <w:rFonts w:ascii="Arial" w:cs="Arial" w:eastAsia="Arial" w:hAnsi="Arial"/>
          <w:sz w:val="13"/>
          <w:szCs w:val="13"/>
          <w:color w:val="auto"/>
        </w:rPr>
        <w:t>. Upon a Participant’s ceasing to be an Eligible Employee, for any reason, he or she will be deemed to have elected to withdraw from the Plan and the Contributions credited to such Participant’s account during the Offering Period but not yet used to purchase shares of Common Stock under the Plan will be returned to such Participant or, in the case of his or her death, to the person or persons entitled thereto under Section 15, and such Participant’s option will be automatically terminated. Unless otherwise provided by the Administrator, a Participant whose employment transfers between entities through a termination with an immediate rehire (with no break in service) by the Company or a Designated Company will not be treated as terminated under the Plan; however, if a Participant transfers from an Offering under the 423 Component to the Non-423 Component, the exercise of the option will be qualified under the 423 Component only to the extent it complies with Section 423 of the Code, unless otherwise provided by the Administrator.</w:t>
      </w:r>
    </w:p>
    <w:p>
      <w:pPr>
        <w:spacing w:after="0" w:line="134" w:lineRule="exact"/>
        <w:rPr>
          <w:rFonts w:ascii="Arial" w:cs="Arial" w:eastAsia="Arial" w:hAnsi="Arial"/>
          <w:sz w:val="13"/>
          <w:szCs w:val="13"/>
          <w:color w:val="auto"/>
        </w:rPr>
      </w:pPr>
    </w:p>
    <w:p>
      <w:pPr>
        <w:ind w:right="180" w:firstLine="448"/>
        <w:spacing w:after="0" w:line="263" w:lineRule="auto"/>
        <w:tabs>
          <w:tab w:leader="none" w:pos="796" w:val="left"/>
        </w:tabs>
        <w:numPr>
          <w:ilvl w:val="0"/>
          <w:numId w:val="339"/>
        </w:numPr>
        <w:rPr>
          <w:rFonts w:ascii="Arial" w:cs="Arial" w:eastAsia="Arial" w:hAnsi="Arial"/>
          <w:sz w:val="15"/>
          <w:szCs w:val="15"/>
          <w:color w:val="auto"/>
        </w:rPr>
      </w:pPr>
      <w:r>
        <w:rPr>
          <w:rFonts w:ascii="Arial" w:cs="Arial" w:eastAsia="Arial" w:hAnsi="Arial"/>
          <w:sz w:val="15"/>
          <w:szCs w:val="15"/>
          <w:u w:val="single" w:color="auto"/>
          <w:color w:val="auto"/>
        </w:rPr>
        <w:t>Interest</w:t>
      </w:r>
      <w:r>
        <w:rPr>
          <w:rFonts w:ascii="Arial" w:cs="Arial" w:eastAsia="Arial" w:hAnsi="Arial"/>
          <w:sz w:val="15"/>
          <w:szCs w:val="15"/>
          <w:color w:val="auto"/>
        </w:rPr>
        <w:t>. No interest will accrue on the Contributions of a participant in the Plan, except as may be required by Applicable Law, as determined by the Company, and if so required by the laws of a particular jurisdiction, will apply to all Participants in the relevant Offering under the 423 Component, except to the extent otherwise permitted by U.S. Treasury Regulation Section 1.423-2(f).</w:t>
      </w:r>
    </w:p>
    <w:p>
      <w:pPr>
        <w:spacing w:after="0" w:line="245" w:lineRule="exact"/>
        <w:rPr>
          <w:rFonts w:ascii="Arial" w:cs="Arial" w:eastAsia="Arial" w:hAnsi="Arial"/>
          <w:sz w:val="15"/>
          <w:szCs w:val="15"/>
          <w:color w:val="auto"/>
        </w:rPr>
      </w:pPr>
    </w:p>
    <w:p>
      <w:pPr>
        <w:ind w:left="780" w:hanging="332"/>
        <w:spacing w:after="0"/>
        <w:tabs>
          <w:tab w:leader="none" w:pos="780" w:val="left"/>
        </w:tabs>
        <w:numPr>
          <w:ilvl w:val="0"/>
          <w:numId w:val="339"/>
        </w:numPr>
        <w:rPr>
          <w:rFonts w:ascii="Arial" w:cs="Arial" w:eastAsia="Arial" w:hAnsi="Arial"/>
          <w:sz w:val="15"/>
          <w:szCs w:val="15"/>
          <w:color w:val="auto"/>
        </w:rPr>
      </w:pPr>
      <w:r>
        <w:rPr>
          <w:rFonts w:ascii="Arial" w:cs="Arial" w:eastAsia="Arial" w:hAnsi="Arial"/>
          <w:sz w:val="15"/>
          <w:szCs w:val="15"/>
          <w:u w:val="single" w:color="auto"/>
          <w:color w:val="auto"/>
        </w:rPr>
        <w:t>Stock</w:t>
      </w:r>
      <w:r>
        <w:rPr>
          <w:rFonts w:ascii="Arial" w:cs="Arial" w:eastAsia="Arial" w:hAnsi="Arial"/>
          <w:sz w:val="15"/>
          <w:szCs w:val="15"/>
          <w:color w:val="auto"/>
        </w:rPr>
        <w:t>.</w:t>
      </w:r>
    </w:p>
    <w:p>
      <w:pPr>
        <w:spacing w:after="0" w:line="98" w:lineRule="exact"/>
        <w:rPr>
          <w:rFonts w:ascii="Arial" w:cs="Arial" w:eastAsia="Arial" w:hAnsi="Arial"/>
          <w:sz w:val="15"/>
          <w:szCs w:val="15"/>
          <w:color w:val="auto"/>
        </w:rPr>
      </w:pPr>
    </w:p>
    <w:p>
      <w:pPr>
        <w:ind w:right="140" w:firstLine="906"/>
        <w:spacing w:after="0" w:line="257" w:lineRule="auto"/>
        <w:tabs>
          <w:tab w:leader="none" w:pos="1233" w:val="left"/>
        </w:tabs>
        <w:numPr>
          <w:ilvl w:val="1"/>
          <w:numId w:val="339"/>
        </w:numPr>
        <w:rPr>
          <w:rFonts w:ascii="Arial" w:cs="Arial" w:eastAsia="Arial" w:hAnsi="Arial"/>
          <w:sz w:val="15"/>
          <w:szCs w:val="15"/>
          <w:color w:val="auto"/>
        </w:rPr>
      </w:pPr>
      <w:r>
        <w:rPr>
          <w:rFonts w:ascii="Arial" w:cs="Arial" w:eastAsia="Arial" w:hAnsi="Arial"/>
          <w:sz w:val="15"/>
          <w:szCs w:val="15"/>
          <w:color w:val="auto"/>
        </w:rPr>
        <w:t>Subject to adjustment upon changes in capitalization of the Company as provided in Section 19 hereof, the maximum number of shares of Common Stock that will be made available for sale under the Plan will be 4,136,832 shares of Common Stock. The number of shares of Common Stock available for issuance under the Plan will be increased on the first day of each Fiscal Year beginning for the Fiscal Year following the Fiscal Year in which the first Enrollment Date (if any) occurs equal to the least of (i) 4,136,832 shares of Common Stock, (ii) 1.5% of the outstanding shares of all classes of the Company’s common stock on the last day of the immediately preceding Fiscal Year, or (iii) an amount determined by the Administrator.</w:t>
      </w:r>
    </w:p>
    <w:p>
      <w:pPr>
        <w:spacing w:after="0" w:line="159" w:lineRule="exact"/>
        <w:rPr>
          <w:rFonts w:ascii="Arial" w:cs="Arial" w:eastAsia="Arial" w:hAnsi="Arial"/>
          <w:sz w:val="15"/>
          <w:szCs w:val="15"/>
          <w:color w:val="auto"/>
        </w:rPr>
      </w:pPr>
    </w:p>
    <w:p>
      <w:pPr>
        <w:ind w:right="20" w:firstLine="906"/>
        <w:spacing w:after="0" w:line="263" w:lineRule="auto"/>
        <w:tabs>
          <w:tab w:leader="none" w:pos="1241" w:val="left"/>
        </w:tabs>
        <w:numPr>
          <w:ilvl w:val="1"/>
          <w:numId w:val="339"/>
        </w:numPr>
        <w:rPr>
          <w:rFonts w:ascii="Arial" w:cs="Arial" w:eastAsia="Arial" w:hAnsi="Arial"/>
          <w:sz w:val="15"/>
          <w:szCs w:val="15"/>
          <w:color w:val="auto"/>
        </w:rPr>
      </w:pPr>
      <w:r>
        <w:rPr>
          <w:rFonts w:ascii="Arial" w:cs="Arial" w:eastAsia="Arial" w:hAnsi="Arial"/>
          <w:sz w:val="15"/>
          <w:szCs w:val="15"/>
          <w:color w:val="auto"/>
        </w:rPr>
        <w:t>Until the shares of Common Stock are issued (as evidenced by the appropriate entry on the books of the Company or of a duly authorized transfer agent of the Company), a Participant will have only the rights of an unsecured creditor with respect to such shares, and no right to vote or receive dividends or any other rights as a stockholder will exist with respect to such shares.</w:t>
      </w:r>
    </w:p>
    <w:p>
      <w:pPr>
        <w:spacing w:after="0" w:line="154" w:lineRule="exact"/>
        <w:rPr>
          <w:rFonts w:ascii="Arial" w:cs="Arial" w:eastAsia="Arial" w:hAnsi="Arial"/>
          <w:sz w:val="15"/>
          <w:szCs w:val="15"/>
          <w:color w:val="auto"/>
        </w:rPr>
      </w:pPr>
    </w:p>
    <w:p>
      <w:pPr>
        <w:ind w:left="1220" w:hanging="314"/>
        <w:spacing w:after="0"/>
        <w:tabs>
          <w:tab w:leader="none" w:pos="1220" w:val="left"/>
        </w:tabs>
        <w:numPr>
          <w:ilvl w:val="1"/>
          <w:numId w:val="339"/>
        </w:numPr>
        <w:rPr>
          <w:rFonts w:ascii="Arial" w:cs="Arial" w:eastAsia="Arial" w:hAnsi="Arial"/>
          <w:sz w:val="13"/>
          <w:szCs w:val="13"/>
          <w:color w:val="auto"/>
        </w:rPr>
      </w:pPr>
      <w:r>
        <w:rPr>
          <w:rFonts w:ascii="Arial" w:cs="Arial" w:eastAsia="Arial" w:hAnsi="Arial"/>
          <w:sz w:val="13"/>
          <w:szCs w:val="13"/>
          <w:color w:val="auto"/>
        </w:rPr>
        <w:t>Shares of Common Stock to be delivered to a Participant under the Plan will be registered in the name of the Participant or in the name of the Participant and his or her</w:t>
      </w:r>
    </w:p>
    <w:p>
      <w:pPr>
        <w:spacing w:after="0" w:line="40"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5"/>
          <w:szCs w:val="15"/>
          <w:color w:val="auto"/>
        </w:rPr>
        <w:t>spouse.</w:t>
      </w:r>
    </w:p>
    <w:p>
      <w:pPr>
        <w:spacing w:after="0" w:line="122" w:lineRule="exact"/>
        <w:rPr>
          <w:rFonts w:ascii="Arial" w:cs="Arial" w:eastAsia="Arial" w:hAnsi="Arial"/>
          <w:sz w:val="13"/>
          <w:szCs w:val="13"/>
          <w:color w:val="auto"/>
        </w:rPr>
      </w:pPr>
    </w:p>
    <w:p>
      <w:pPr>
        <w:ind w:left="5640" w:hanging="89"/>
        <w:spacing w:after="0"/>
        <w:tabs>
          <w:tab w:leader="none" w:pos="5640" w:val="left"/>
        </w:tabs>
        <w:numPr>
          <w:ilvl w:val="2"/>
          <w:numId w:val="339"/>
        </w:numPr>
        <w:rPr>
          <w:rFonts w:ascii="Arial" w:cs="Arial" w:eastAsia="Arial" w:hAnsi="Arial"/>
          <w:sz w:val="15"/>
          <w:szCs w:val="15"/>
          <w:color w:val="auto"/>
        </w:rPr>
      </w:pPr>
      <w:r>
        <w:rPr>
          <w:rFonts w:ascii="Arial" w:cs="Arial" w:eastAsia="Arial" w:hAnsi="Arial"/>
          <w:sz w:val="15"/>
          <w:szCs w:val="15"/>
          <w:color w:val="auto"/>
        </w:rPr>
        <w:t>10 -</w:t>
      </w:r>
    </w:p>
    <w:p>
      <w:pPr>
        <w:sectPr>
          <w:pgSz w:w="11900" w:h="16838" w:orient="portrait"/>
          <w:cols w:equalWidth="0" w:num="1">
            <w:col w:w="11360"/>
          </w:cols>
          <w:pgMar w:left="240" w:top="253" w:right="299" w:bottom="1440" w:gutter="0" w:footer="0" w:header="0"/>
        </w:sectPr>
      </w:pPr>
    </w:p>
    <w:bookmarkStart w:id="398" w:name="page399"/>
    <w:bookmarkEnd w:id="398"/>
    <w:p>
      <w:pPr>
        <w:ind w:left="-448" w:firstLine="448"/>
        <w:spacing w:after="0" w:line="272" w:lineRule="auto"/>
        <w:tabs>
          <w:tab w:leader="none" w:pos="348" w:val="left"/>
        </w:tabs>
        <w:numPr>
          <w:ilvl w:val="0"/>
          <w:numId w:val="340"/>
        </w:numPr>
        <w:rPr>
          <w:rFonts w:ascii="Arial" w:cs="Arial" w:eastAsia="Arial" w:hAnsi="Arial"/>
          <w:sz w:val="14"/>
          <w:szCs w:val="14"/>
          <w:color w:val="auto"/>
        </w:rPr>
      </w:pPr>
      <w:r>
        <w:rPr>
          <w:rFonts w:ascii="Arial" w:cs="Arial" w:eastAsia="Arial" w:hAnsi="Arial"/>
          <w:sz w:val="14"/>
          <w:szCs w:val="14"/>
          <w:u w:val="single" w:color="auto"/>
          <w:color w:val="auto"/>
        </w:rPr>
        <w:drawing>
          <wp:anchor simplePos="0" relativeHeight="251657728" behindDoc="1" locked="0" layoutInCell="0" allowOverlap="1">
            <wp:simplePos x="0" y="0"/>
            <wp:positionH relativeFrom="page">
              <wp:posOffset>133350</wp:posOffset>
            </wp:positionH>
            <wp:positionV relativeFrom="page">
              <wp:posOffset>88900</wp:posOffset>
            </wp:positionV>
            <wp:extent cx="7308850" cy="34290"/>
            <wp:wrapNone/>
            <wp:docPr id="558" name="Picture 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8"/>
                    <pic:cNvPicPr>
                      <a:picLocks noChangeAspect="1" noChangeArrowheads="1"/>
                    </pic:cNvPicPr>
                  </pic:nvPicPr>
                  <pic:blipFill>
                    <a:blip r:embed="rId595">
                      <a:extLst>
                        <a:ext uri="{28A0092B-C50C-407E-A947-70E740481C1C}"/>
                      </a:extLst>
                    </a:blip>
                    <a:srcRect/>
                    <a:stretch>
                      <a:fillRect/>
                    </a:stretch>
                  </pic:blipFill>
                  <pic:spPr bwMode="auto">
                    <a:xfrm>
                      <a:off x="0" y="0"/>
                      <a:ext cx="7308850" cy="34290"/>
                    </a:xfrm>
                    <a:prstGeom prst="rect">
                      <a:avLst/>
                    </a:prstGeom>
                    <a:noFill/>
                  </pic:spPr>
                </pic:pic>
              </a:graphicData>
            </a:graphic>
          </wp:anchor>
        </w:drawing>
        <w:t>Administration</w:t>
      </w:r>
      <w:r>
        <w:rPr>
          <w:rFonts w:ascii="Arial" w:cs="Arial" w:eastAsia="Arial" w:hAnsi="Arial"/>
          <w:sz w:val="14"/>
          <w:szCs w:val="14"/>
          <w:color w:val="auto"/>
        </w:rPr>
        <w:t>. The Plan will be administered by the Board or a Committee appointed by the Board, which Committee will be constituted to comply with Applicable Laws. The Administrator will have full and exclusive discretionary authority to construe, interpret and apply the terms of the Plan, to delegate ministerial duties to any of the Company’s employees, to designate separate Offerings under the Plan, to designate Subsidiaries and Affiliates of the Company as participating in the 423 Component or Non-423 Component, to determine eligibility, to adjudicate all disputed claims filed under the Plan and to establish such procedures that it deems necessary for the administration of the Plan (including, without limitation, to adopt such procedures and sub-plans as are necessary or appropriate to permit the participation in the Plan by employees who are foreign nationals or employed outside the U.S., the terms of which sub-plans may take precedence over other provisions of this Plan, with the exception of Section 13(a) hereof, but unless otherwise superseded by the terms of such sub-plan, the provisions of this Plan will govern the operation of such sub-plan). Unless otherwise determined by the Administrator, the Eligible Employees eligible to participate in each sub-plan will participate in a separate Offering or in the Non-423 Component. Without limiting the generality of the foregoing, the Administrator is specifically authorized to adopt rules and procedures regarding eligibility to participate, the definition of Compensation, handling of Contributions, making of Contributions to the Plan (including, without limitation, in forms other than payroll deductions), establishment of bank or trust accounts to hold Contributions, payment of interest, conversion of local currency, obligations to pay payroll tax, determination of beneficiary designation requirements, withholding procedures and handling of stock certificates that vary with applicable local requirements. The Administrator also is authorized to determine that, to the extent permitted by U.S. Treasury Regulation Section 1.423-2(f), the terms of an option granted under the Plan or an Offering to citizens or residents of a non-U.S. jurisdiction will be less favorable than the terms of options granted under the Plan or the same Offering to employees resident solely in the U.S. Every finding, decision, and determination made by the Administrator will, to the full extent permitted by law, be final and binding upon all parties.</w:t>
      </w:r>
    </w:p>
    <w:p>
      <w:pPr>
        <w:spacing w:after="0" w:line="242" w:lineRule="exact"/>
        <w:rPr>
          <w:rFonts w:ascii="Arial" w:cs="Arial" w:eastAsia="Arial" w:hAnsi="Arial"/>
          <w:sz w:val="14"/>
          <w:szCs w:val="14"/>
          <w:color w:val="auto"/>
        </w:rPr>
      </w:pPr>
    </w:p>
    <w:p>
      <w:pPr>
        <w:ind w:left="332" w:hanging="332"/>
        <w:spacing w:after="0"/>
        <w:tabs>
          <w:tab w:leader="none" w:pos="332" w:val="left"/>
        </w:tabs>
        <w:numPr>
          <w:ilvl w:val="0"/>
          <w:numId w:val="340"/>
        </w:numPr>
        <w:rPr>
          <w:rFonts w:ascii="Arial" w:cs="Arial" w:eastAsia="Arial" w:hAnsi="Arial"/>
          <w:sz w:val="15"/>
          <w:szCs w:val="15"/>
          <w:color w:val="auto"/>
        </w:rPr>
      </w:pPr>
      <w:r>
        <w:rPr>
          <w:rFonts w:ascii="Arial" w:cs="Arial" w:eastAsia="Arial" w:hAnsi="Arial"/>
          <w:sz w:val="15"/>
          <w:szCs w:val="15"/>
          <w:u w:val="single" w:color="auto"/>
          <w:color w:val="auto"/>
        </w:rPr>
        <w:t>Designation of Beneficiary</w:t>
      </w:r>
      <w:r>
        <w:rPr>
          <w:rFonts w:ascii="Arial" w:cs="Arial" w:eastAsia="Arial" w:hAnsi="Arial"/>
          <w:sz w:val="15"/>
          <w:szCs w:val="15"/>
          <w:color w:val="auto"/>
        </w:rPr>
        <w:t>.</w:t>
      </w:r>
    </w:p>
    <w:p>
      <w:pPr>
        <w:spacing w:after="0" w:line="98" w:lineRule="exact"/>
        <w:rPr>
          <w:rFonts w:ascii="Arial" w:cs="Arial" w:eastAsia="Arial" w:hAnsi="Arial"/>
          <w:sz w:val="15"/>
          <w:szCs w:val="15"/>
          <w:color w:val="auto"/>
        </w:rPr>
      </w:pPr>
    </w:p>
    <w:p>
      <w:pPr>
        <w:ind w:left="-448" w:firstLine="906"/>
        <w:spacing w:after="0" w:line="257" w:lineRule="auto"/>
        <w:tabs>
          <w:tab w:leader="none" w:pos="785" w:val="left"/>
        </w:tabs>
        <w:numPr>
          <w:ilvl w:val="1"/>
          <w:numId w:val="340"/>
        </w:numPr>
        <w:rPr>
          <w:rFonts w:ascii="Arial" w:cs="Arial" w:eastAsia="Arial" w:hAnsi="Arial"/>
          <w:sz w:val="15"/>
          <w:szCs w:val="15"/>
          <w:color w:val="auto"/>
        </w:rPr>
      </w:pPr>
      <w:r>
        <w:rPr>
          <w:rFonts w:ascii="Arial" w:cs="Arial" w:eastAsia="Arial" w:hAnsi="Arial"/>
          <w:sz w:val="15"/>
          <w:szCs w:val="15"/>
          <w:color w:val="auto"/>
        </w:rPr>
        <w:t>If permitted by the Administrator, a Participant may file a designation of a beneficiary who is to receive any shares of Common Stock and cash, if any, from the Participant’s account under the Plan in the event of such Participant’s death subsequent to an Exercise Date on which the option is exercised but prior to delivery to such Participant of such shares and cash. In addition, if permitted by the Administrator, a Participant may file a designation of a beneficiary who is to receive any cash from the Participant’s account under the Plan in the event of such Participant’s death prior to exercise of the option. If a Participant is married and the designated beneficiary is not the spouse, spousal consent will be required for such designation to be effective.</w:t>
      </w:r>
    </w:p>
    <w:p>
      <w:pPr>
        <w:spacing w:after="0" w:line="159" w:lineRule="exact"/>
        <w:rPr>
          <w:rFonts w:ascii="Arial" w:cs="Arial" w:eastAsia="Arial" w:hAnsi="Arial"/>
          <w:sz w:val="15"/>
          <w:szCs w:val="15"/>
          <w:color w:val="auto"/>
        </w:rPr>
      </w:pPr>
    </w:p>
    <w:p>
      <w:pPr>
        <w:ind w:left="-448" w:right="60" w:firstLine="906"/>
        <w:spacing w:after="0" w:line="257" w:lineRule="auto"/>
        <w:tabs>
          <w:tab w:leader="none" w:pos="793" w:val="left"/>
        </w:tabs>
        <w:numPr>
          <w:ilvl w:val="1"/>
          <w:numId w:val="340"/>
        </w:numPr>
        <w:rPr>
          <w:rFonts w:ascii="Arial" w:cs="Arial" w:eastAsia="Arial" w:hAnsi="Arial"/>
          <w:sz w:val="15"/>
          <w:szCs w:val="15"/>
          <w:color w:val="auto"/>
        </w:rPr>
      </w:pPr>
      <w:r>
        <w:rPr>
          <w:rFonts w:ascii="Arial" w:cs="Arial" w:eastAsia="Arial" w:hAnsi="Arial"/>
          <w:sz w:val="15"/>
          <w:szCs w:val="15"/>
          <w:color w:val="auto"/>
        </w:rPr>
        <w:t>Such designation of beneficiary may be changed by the Participant at any time by notice in a form determined by the Administrator. In the event of the death of a Participant and in the absence of a beneficiary validly designated under the Plan who is living at the time of such Participant’s death, the Company will deliver such shares and/or cash to the executor or administrator of the estate of the Participant, or if no such executor or administrator has been appointed (to the knowledge of the Company), the Company, in its discretion, may deliver such shares and/or cash to the spouse or to any one or more dependents or relatives of the Participant, or if no spouse, dependent or relative is known to the Company, then to such other person as the Company may designate.</w:t>
      </w:r>
    </w:p>
    <w:p>
      <w:pPr>
        <w:spacing w:after="0" w:line="102" w:lineRule="exact"/>
        <w:rPr>
          <w:rFonts w:ascii="Arial" w:cs="Arial" w:eastAsia="Arial" w:hAnsi="Arial"/>
          <w:sz w:val="15"/>
          <w:szCs w:val="15"/>
          <w:color w:val="auto"/>
        </w:rPr>
      </w:pPr>
    </w:p>
    <w:p>
      <w:pPr>
        <w:ind w:left="5192" w:hanging="86"/>
        <w:spacing w:after="0"/>
        <w:tabs>
          <w:tab w:leader="none" w:pos="5192" w:val="left"/>
        </w:tabs>
        <w:numPr>
          <w:ilvl w:val="2"/>
          <w:numId w:val="340"/>
        </w:numPr>
        <w:rPr>
          <w:rFonts w:ascii="Arial" w:cs="Arial" w:eastAsia="Arial" w:hAnsi="Arial"/>
          <w:sz w:val="15"/>
          <w:szCs w:val="15"/>
          <w:color w:val="auto"/>
        </w:rPr>
      </w:pPr>
      <w:r>
        <w:rPr>
          <w:rFonts w:ascii="Arial" w:cs="Arial" w:eastAsia="Arial" w:hAnsi="Arial"/>
          <w:sz w:val="15"/>
          <w:szCs w:val="15"/>
          <w:color w:val="auto"/>
        </w:rPr>
        <w:t>11 -</w:t>
      </w:r>
    </w:p>
    <w:p>
      <w:pPr>
        <w:sectPr>
          <w:pgSz w:w="11900" w:h="16838" w:orient="portrait"/>
          <w:cols w:equalWidth="0" w:num="1">
            <w:col w:w="10972"/>
          </w:cols>
          <w:pgMar w:left="688" w:top="253" w:right="239" w:bottom="1440" w:gutter="0" w:footer="0" w:header="0"/>
        </w:sectPr>
      </w:pPr>
    </w:p>
    <w:bookmarkStart w:id="399" w:name="page400"/>
    <w:bookmarkEnd w:id="399"/>
    <w:p>
      <w:pPr>
        <w:ind w:right="180" w:firstLine="906"/>
        <w:spacing w:after="0" w:line="276" w:lineRule="auto"/>
        <w:tabs>
          <w:tab w:leader="none" w:pos="1225" w:val="left"/>
        </w:tabs>
        <w:numPr>
          <w:ilvl w:val="1"/>
          <w:numId w:val="341"/>
        </w:numPr>
        <w:rPr>
          <w:rFonts w:ascii="Arial" w:cs="Arial" w:eastAsia="Arial" w:hAnsi="Arial"/>
          <w:sz w:val="14"/>
          <w:szCs w:val="14"/>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133350</wp:posOffset>
            </wp:positionH>
            <wp:positionV relativeFrom="page">
              <wp:posOffset>88900</wp:posOffset>
            </wp:positionV>
            <wp:extent cx="7308850" cy="34290"/>
            <wp:wrapNone/>
            <wp:docPr id="559" name="Picture 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9"/>
                    <pic:cNvPicPr>
                      <a:picLocks noChangeAspect="1" noChangeArrowheads="1"/>
                    </pic:cNvPicPr>
                  </pic:nvPicPr>
                  <pic:blipFill>
                    <a:blip r:embed="rId596">
                      <a:extLst>
                        <a:ext uri="{28A0092B-C50C-407E-A947-70E740481C1C}"/>
                      </a:extLst>
                    </a:blip>
                    <a:srcRect/>
                    <a:stretch>
                      <a:fillRect/>
                    </a:stretch>
                  </pic:blipFill>
                  <pic:spPr bwMode="auto">
                    <a:xfrm>
                      <a:off x="0" y="0"/>
                      <a:ext cx="7308850" cy="34290"/>
                    </a:xfrm>
                    <a:prstGeom prst="rect">
                      <a:avLst/>
                    </a:prstGeom>
                    <a:noFill/>
                  </pic:spPr>
                </pic:pic>
              </a:graphicData>
            </a:graphic>
          </wp:anchor>
        </w:drawing>
        <w:t>All beneficiary designations will be in such form and manner as the Administrator may designate from time to time. Notwithstanding Sections 15(a) and (b) above, the Company and/or the Administrator may decide not to permit such designations by Participants in non-U.S. jurisdictions to the extent permitted by U.S. Treasury Regulation</w:t>
      </w:r>
    </w:p>
    <w:p>
      <w:pPr>
        <w:spacing w:after="0"/>
        <w:rPr>
          <w:rFonts w:ascii="Arial" w:cs="Arial" w:eastAsia="Arial" w:hAnsi="Arial"/>
          <w:sz w:val="14"/>
          <w:szCs w:val="14"/>
          <w:color w:val="auto"/>
        </w:rPr>
      </w:pPr>
      <w:r>
        <w:rPr>
          <w:rFonts w:ascii="Arial" w:cs="Arial" w:eastAsia="Arial" w:hAnsi="Arial"/>
          <w:sz w:val="15"/>
          <w:szCs w:val="15"/>
          <w:color w:val="auto"/>
        </w:rPr>
        <w:t>Section 1.423-2(f).</w:t>
      </w:r>
    </w:p>
    <w:p>
      <w:pPr>
        <w:spacing w:after="0" w:line="178" w:lineRule="exact"/>
        <w:rPr>
          <w:rFonts w:ascii="Arial" w:cs="Arial" w:eastAsia="Arial" w:hAnsi="Arial"/>
          <w:sz w:val="14"/>
          <w:szCs w:val="14"/>
          <w:color w:val="auto"/>
        </w:rPr>
      </w:pPr>
    </w:p>
    <w:p>
      <w:pPr>
        <w:ind w:right="80" w:firstLine="448"/>
        <w:spacing w:after="0" w:line="259" w:lineRule="auto"/>
        <w:tabs>
          <w:tab w:leader="none" w:pos="796" w:val="left"/>
        </w:tabs>
        <w:numPr>
          <w:ilvl w:val="0"/>
          <w:numId w:val="342"/>
        </w:numPr>
        <w:rPr>
          <w:rFonts w:ascii="Arial" w:cs="Arial" w:eastAsia="Arial" w:hAnsi="Arial"/>
          <w:sz w:val="15"/>
          <w:szCs w:val="15"/>
          <w:color w:val="auto"/>
        </w:rPr>
      </w:pPr>
      <w:r>
        <w:rPr>
          <w:rFonts w:ascii="Arial" w:cs="Arial" w:eastAsia="Arial" w:hAnsi="Arial"/>
          <w:sz w:val="15"/>
          <w:szCs w:val="15"/>
          <w:u w:val="single" w:color="auto"/>
          <w:color w:val="auto"/>
        </w:rPr>
        <w:t>Transferability</w:t>
      </w:r>
      <w:r>
        <w:rPr>
          <w:rFonts w:ascii="Arial" w:cs="Arial" w:eastAsia="Arial" w:hAnsi="Arial"/>
          <w:sz w:val="15"/>
          <w:szCs w:val="15"/>
          <w:color w:val="auto"/>
        </w:rPr>
        <w:t>. Neither Contributions credited to a Participant’s account nor any rights with regard to the exercise of an option or to receive shares of Common Stock under the Plan may be assigned, transferred, pledged or otherwise disposed of in any way (other than by will, the laws of descent and distribution or as provided in Section 15 hereof) by the Participant. Any such attempt at assignment, transfer, pledge or other disposition will be without effect, except that the Company may treat such act as an election to withdraw funds from an Offering Period in accordance with Section 10 hereof.</w:t>
      </w:r>
    </w:p>
    <w:p>
      <w:pPr>
        <w:spacing w:after="0" w:line="157" w:lineRule="exact"/>
        <w:rPr>
          <w:rFonts w:ascii="Arial" w:cs="Arial" w:eastAsia="Arial" w:hAnsi="Arial"/>
          <w:sz w:val="15"/>
          <w:szCs w:val="15"/>
          <w:color w:val="auto"/>
        </w:rPr>
      </w:pPr>
    </w:p>
    <w:p>
      <w:pPr>
        <w:ind w:firstLine="448"/>
        <w:spacing w:after="0" w:line="259" w:lineRule="auto"/>
        <w:tabs>
          <w:tab w:leader="none" w:pos="796" w:val="left"/>
        </w:tabs>
        <w:numPr>
          <w:ilvl w:val="0"/>
          <w:numId w:val="342"/>
        </w:numPr>
        <w:rPr>
          <w:rFonts w:ascii="Arial" w:cs="Arial" w:eastAsia="Arial" w:hAnsi="Arial"/>
          <w:sz w:val="15"/>
          <w:szCs w:val="15"/>
          <w:color w:val="auto"/>
        </w:rPr>
      </w:pPr>
      <w:r>
        <w:rPr>
          <w:rFonts w:ascii="Arial" w:cs="Arial" w:eastAsia="Arial" w:hAnsi="Arial"/>
          <w:sz w:val="15"/>
          <w:szCs w:val="15"/>
          <w:u w:val="single" w:color="auto"/>
          <w:color w:val="auto"/>
        </w:rPr>
        <w:t>Use of Funds</w:t>
      </w:r>
      <w:r>
        <w:rPr>
          <w:rFonts w:ascii="Arial" w:cs="Arial" w:eastAsia="Arial" w:hAnsi="Arial"/>
          <w:sz w:val="15"/>
          <w:szCs w:val="15"/>
          <w:color w:val="auto"/>
        </w:rPr>
        <w:t>. The Company may use all Contributions received or held by it under the Plan for any corporate purpose, and the Company will not be obligated to segregate such Contributions except under Offerings or for Participants in the Non-423 Component for which Applicable Laws require that Contributions to the Plan by Participants be segregated from the Company’s general corporate funds and/or deposited with an independent third party. Until shares of Common Stock are issued, Participants will have only the rights of an unsecured creditor with respect to such shares.</w:t>
      </w:r>
    </w:p>
    <w:p>
      <w:pPr>
        <w:spacing w:after="0" w:line="157" w:lineRule="exact"/>
        <w:rPr>
          <w:rFonts w:ascii="Arial" w:cs="Arial" w:eastAsia="Arial" w:hAnsi="Arial"/>
          <w:sz w:val="15"/>
          <w:szCs w:val="15"/>
          <w:color w:val="auto"/>
        </w:rPr>
      </w:pPr>
    </w:p>
    <w:p>
      <w:pPr>
        <w:ind w:right="40" w:firstLine="448"/>
        <w:spacing w:after="0" w:line="312" w:lineRule="auto"/>
        <w:tabs>
          <w:tab w:leader="none" w:pos="796" w:val="left"/>
        </w:tabs>
        <w:numPr>
          <w:ilvl w:val="0"/>
          <w:numId w:val="342"/>
        </w:numPr>
        <w:rPr>
          <w:rFonts w:ascii="Arial" w:cs="Arial" w:eastAsia="Arial" w:hAnsi="Arial"/>
          <w:sz w:val="14"/>
          <w:szCs w:val="14"/>
          <w:color w:val="auto"/>
        </w:rPr>
      </w:pPr>
      <w:r>
        <w:rPr>
          <w:rFonts w:ascii="Arial" w:cs="Arial" w:eastAsia="Arial" w:hAnsi="Arial"/>
          <w:sz w:val="14"/>
          <w:szCs w:val="14"/>
          <w:u w:val="single" w:color="auto"/>
          <w:color w:val="auto"/>
        </w:rPr>
        <w:t>Reports</w:t>
      </w:r>
      <w:r>
        <w:rPr>
          <w:rFonts w:ascii="Arial" w:cs="Arial" w:eastAsia="Arial" w:hAnsi="Arial"/>
          <w:sz w:val="14"/>
          <w:szCs w:val="14"/>
          <w:color w:val="auto"/>
        </w:rPr>
        <w:t>. Individual accounts will be maintained for each Participant in the Plan. Statements of account will be given to participating Eligible Employees at least annually, which statements will set forth the amounts of Contributions, the Purchase Price, the number of shares of Common Stock purchased and the remaining cash balance, if any.</w:t>
      </w:r>
    </w:p>
    <w:p>
      <w:pPr>
        <w:spacing w:after="0" w:line="213" w:lineRule="exact"/>
        <w:rPr>
          <w:rFonts w:ascii="Arial" w:cs="Arial" w:eastAsia="Arial" w:hAnsi="Arial"/>
          <w:sz w:val="14"/>
          <w:szCs w:val="14"/>
          <w:color w:val="auto"/>
        </w:rPr>
      </w:pPr>
    </w:p>
    <w:p>
      <w:pPr>
        <w:ind w:left="780" w:hanging="332"/>
        <w:spacing w:after="0"/>
        <w:tabs>
          <w:tab w:leader="none" w:pos="780" w:val="left"/>
        </w:tabs>
        <w:numPr>
          <w:ilvl w:val="0"/>
          <w:numId w:val="342"/>
        </w:numPr>
        <w:rPr>
          <w:rFonts w:ascii="Arial" w:cs="Arial" w:eastAsia="Arial" w:hAnsi="Arial"/>
          <w:sz w:val="15"/>
          <w:szCs w:val="15"/>
          <w:color w:val="auto"/>
        </w:rPr>
      </w:pPr>
      <w:r>
        <w:rPr>
          <w:rFonts w:ascii="Arial" w:cs="Arial" w:eastAsia="Arial" w:hAnsi="Arial"/>
          <w:sz w:val="15"/>
          <w:szCs w:val="15"/>
          <w:u w:val="single" w:color="auto"/>
          <w:color w:val="auto"/>
        </w:rPr>
        <w:t>Adjustments, Dissolution, Liquidation, Merger, or Change in Control</w:t>
      </w:r>
      <w:r>
        <w:rPr>
          <w:rFonts w:ascii="Arial" w:cs="Arial" w:eastAsia="Arial" w:hAnsi="Arial"/>
          <w:sz w:val="15"/>
          <w:szCs w:val="15"/>
          <w:color w:val="auto"/>
        </w:rPr>
        <w:t>.</w:t>
      </w:r>
    </w:p>
    <w:p>
      <w:pPr>
        <w:spacing w:after="0" w:line="98" w:lineRule="exact"/>
        <w:rPr>
          <w:rFonts w:ascii="Arial" w:cs="Arial" w:eastAsia="Arial" w:hAnsi="Arial"/>
          <w:sz w:val="15"/>
          <w:szCs w:val="15"/>
          <w:color w:val="auto"/>
        </w:rPr>
      </w:pPr>
    </w:p>
    <w:p>
      <w:pPr>
        <w:ind w:right="20" w:firstLine="906"/>
        <w:spacing w:after="0" w:line="305" w:lineRule="auto"/>
        <w:tabs>
          <w:tab w:leader="none" w:pos="1233" w:val="left"/>
        </w:tabs>
        <w:numPr>
          <w:ilvl w:val="1"/>
          <w:numId w:val="342"/>
        </w:numPr>
        <w:rPr>
          <w:rFonts w:ascii="Arial" w:cs="Arial" w:eastAsia="Arial" w:hAnsi="Arial"/>
          <w:sz w:val="13"/>
          <w:szCs w:val="13"/>
          <w:color w:val="auto"/>
        </w:rPr>
      </w:pPr>
      <w:r>
        <w:rPr>
          <w:rFonts w:ascii="Arial" w:cs="Arial" w:eastAsia="Arial" w:hAnsi="Arial"/>
          <w:sz w:val="13"/>
          <w:szCs w:val="13"/>
          <w:u w:val="single" w:color="auto"/>
          <w:color w:val="auto"/>
        </w:rPr>
        <w:t>Adjustments</w:t>
      </w:r>
      <w:r>
        <w:rPr>
          <w:rFonts w:ascii="Arial" w:cs="Arial" w:eastAsia="Arial" w:hAnsi="Arial"/>
          <w:sz w:val="13"/>
          <w:szCs w:val="13"/>
          <w:color w:val="auto"/>
        </w:rPr>
        <w:t>. In the event that any dividend or other distribution (whether in the form of cash, Common Stock, other securities, or other property), recapitalization, stock split, reverse stock split, reorganization, merger, consolidation, split-up, spin-off, combination, repurchase, or exchange of Common Stock or other securities of the Company, or other change in the corporate structure of the Company affecting the Common Stock occurs, the Administrator, in order to prevent dilution or enlargement of the benefits or potential benefits intended to be made available under the Plan, will, in such manner as it may deem equitable, adjust the number and class of Common Stock that may be delivered under the Plan, the Purchase Price per share and the number of shares of Common Stock covered by each option under the Plan that has not yet been exercised, and the numerical limits of Sections 7 and 13.</w:t>
      </w:r>
    </w:p>
    <w:p>
      <w:pPr>
        <w:spacing w:after="0" w:line="132" w:lineRule="exact"/>
        <w:rPr>
          <w:rFonts w:ascii="Arial" w:cs="Arial" w:eastAsia="Arial" w:hAnsi="Arial"/>
          <w:sz w:val="13"/>
          <w:szCs w:val="13"/>
          <w:color w:val="auto"/>
        </w:rPr>
      </w:pPr>
    </w:p>
    <w:p>
      <w:pPr>
        <w:ind w:right="240" w:firstLine="906"/>
        <w:spacing w:after="0" w:line="279" w:lineRule="auto"/>
        <w:tabs>
          <w:tab w:leader="none" w:pos="1241" w:val="left"/>
        </w:tabs>
        <w:numPr>
          <w:ilvl w:val="1"/>
          <w:numId w:val="342"/>
        </w:numPr>
        <w:rPr>
          <w:rFonts w:ascii="Arial" w:cs="Arial" w:eastAsia="Arial" w:hAnsi="Arial"/>
          <w:sz w:val="14"/>
          <w:szCs w:val="14"/>
          <w:color w:val="auto"/>
        </w:rPr>
      </w:pPr>
      <w:r>
        <w:rPr>
          <w:rFonts w:ascii="Arial" w:cs="Arial" w:eastAsia="Arial" w:hAnsi="Arial"/>
          <w:sz w:val="14"/>
          <w:szCs w:val="14"/>
          <w:u w:val="single" w:color="auto"/>
          <w:color w:val="auto"/>
        </w:rPr>
        <w:t>Dissolution or Liquidation</w:t>
      </w:r>
      <w:r>
        <w:rPr>
          <w:rFonts w:ascii="Arial" w:cs="Arial" w:eastAsia="Arial" w:hAnsi="Arial"/>
          <w:sz w:val="14"/>
          <w:szCs w:val="14"/>
          <w:color w:val="auto"/>
        </w:rPr>
        <w:t>. In the event of the proposed dissolution or liquidation of the Company, any Offering Period then in progress will be shortened by setting a New Exercise Date, and will terminate immediately prior to the consummation of such proposed dissolution or liquidation, unless provided otherwise by the Administrator. The New Exercise Date will be before the date of the Company’s proposed dissolution or liquidation. The Administrator will notify each Participant in writing or electronically, prior to the New Exercise Date, that the Exercise Date for the Participant’s option has been changed to the New Exercise Date and that the Participant’s option will be exercised automatically on the New Exercise Date, unless prior to such date the Participant has withdrawn from the Offering Period as provided in Section 10 hereof.</w:t>
      </w:r>
    </w:p>
    <w:p>
      <w:pPr>
        <w:spacing w:after="0" w:line="90" w:lineRule="exact"/>
        <w:rPr>
          <w:rFonts w:ascii="Arial" w:cs="Arial" w:eastAsia="Arial" w:hAnsi="Arial"/>
          <w:sz w:val="14"/>
          <w:szCs w:val="14"/>
          <w:color w:val="auto"/>
        </w:rPr>
      </w:pPr>
    </w:p>
    <w:p>
      <w:pPr>
        <w:ind w:left="5640" w:hanging="89"/>
        <w:spacing w:after="0"/>
        <w:tabs>
          <w:tab w:leader="none" w:pos="5640" w:val="left"/>
        </w:tabs>
        <w:numPr>
          <w:ilvl w:val="2"/>
          <w:numId w:val="342"/>
        </w:numPr>
        <w:rPr>
          <w:rFonts w:ascii="Arial" w:cs="Arial" w:eastAsia="Arial" w:hAnsi="Arial"/>
          <w:sz w:val="15"/>
          <w:szCs w:val="15"/>
          <w:color w:val="auto"/>
        </w:rPr>
      </w:pPr>
      <w:r>
        <w:rPr>
          <w:rFonts w:ascii="Arial" w:cs="Arial" w:eastAsia="Arial" w:hAnsi="Arial"/>
          <w:sz w:val="15"/>
          <w:szCs w:val="15"/>
          <w:color w:val="auto"/>
        </w:rPr>
        <w:t>12 -</w:t>
      </w:r>
    </w:p>
    <w:p>
      <w:pPr>
        <w:sectPr>
          <w:pgSz w:w="11900" w:h="16838" w:orient="portrait"/>
          <w:cols w:equalWidth="0" w:num="1">
            <w:col w:w="11440"/>
          </w:cols>
          <w:pgMar w:left="240" w:top="253" w:right="219" w:bottom="1440" w:gutter="0" w:footer="0" w:header="0"/>
        </w:sectPr>
      </w:pPr>
    </w:p>
    <w:bookmarkStart w:id="400" w:name="page401"/>
    <w:bookmarkEnd w:id="400"/>
    <w:p>
      <w:pPr>
        <w:ind w:right="120" w:firstLine="906"/>
        <w:spacing w:after="0" w:line="277" w:lineRule="auto"/>
        <w:tabs>
          <w:tab w:leader="none" w:pos="1233" w:val="left"/>
        </w:tabs>
        <w:numPr>
          <w:ilvl w:val="1"/>
          <w:numId w:val="343"/>
        </w:numPr>
        <w:rPr>
          <w:rFonts w:ascii="Arial" w:cs="Arial" w:eastAsia="Arial" w:hAnsi="Arial"/>
          <w:sz w:val="14"/>
          <w:szCs w:val="14"/>
          <w:color w:val="auto"/>
        </w:rPr>
      </w:pPr>
      <w:r>
        <w:rPr>
          <w:rFonts w:ascii="Arial" w:cs="Arial" w:eastAsia="Arial" w:hAnsi="Arial"/>
          <w:sz w:val="14"/>
          <w:szCs w:val="14"/>
          <w:u w:val="single" w:color="auto"/>
          <w:color w:val="auto"/>
        </w:rPr>
        <w:drawing>
          <wp:anchor simplePos="0" relativeHeight="251657728" behindDoc="1" locked="0" layoutInCell="0" allowOverlap="1">
            <wp:simplePos x="0" y="0"/>
            <wp:positionH relativeFrom="page">
              <wp:posOffset>133350</wp:posOffset>
            </wp:positionH>
            <wp:positionV relativeFrom="page">
              <wp:posOffset>88900</wp:posOffset>
            </wp:positionV>
            <wp:extent cx="7308850" cy="34290"/>
            <wp:wrapNone/>
            <wp:docPr id="560" name="Picture 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0"/>
                    <pic:cNvPicPr>
                      <a:picLocks noChangeAspect="1" noChangeArrowheads="1"/>
                    </pic:cNvPicPr>
                  </pic:nvPicPr>
                  <pic:blipFill>
                    <a:blip r:embed="rId597">
                      <a:extLst>
                        <a:ext uri="{28A0092B-C50C-407E-A947-70E740481C1C}"/>
                      </a:extLst>
                    </a:blip>
                    <a:srcRect/>
                    <a:stretch>
                      <a:fillRect/>
                    </a:stretch>
                  </pic:blipFill>
                  <pic:spPr bwMode="auto">
                    <a:xfrm>
                      <a:off x="0" y="0"/>
                      <a:ext cx="7308850" cy="34290"/>
                    </a:xfrm>
                    <a:prstGeom prst="rect">
                      <a:avLst/>
                    </a:prstGeom>
                    <a:noFill/>
                  </pic:spPr>
                </pic:pic>
              </a:graphicData>
            </a:graphic>
          </wp:anchor>
        </w:drawing>
        <w:t>Merger or Change in Control</w:t>
      </w:r>
      <w:r>
        <w:rPr>
          <w:rFonts w:ascii="Arial" w:cs="Arial" w:eastAsia="Arial" w:hAnsi="Arial"/>
          <w:sz w:val="14"/>
          <w:szCs w:val="14"/>
          <w:color w:val="auto"/>
        </w:rPr>
        <w:t>. In the event of a merger or Change in Control, each outstanding option will be assumed or an equivalent option substituted by the successor corporation or a Parent or Subsidiary of the successor corporation. In the event that the successor corporation refuses to assume or substitute for the option, the Offering Period with respect to which such option relates will be shortened by setting a New Exercise Date on which such Offering Period will end. The New Exercise Date will occur before the date of the Company’s proposed merger or Change in Control. The Administrator will notify each Participant in writing or electronically prior to the New Exercise Date, that the Exercise Date for the Participant’s option has been changed to the New Exercise Date and that the Participant’s option will be exercised automatically on the New Exercise Date, unless prior to such date the Participant has withdrawn from the Offering Period as provided in Section 10 hereof.</w:t>
      </w:r>
    </w:p>
    <w:p>
      <w:pPr>
        <w:spacing w:after="0" w:line="238" w:lineRule="exact"/>
        <w:rPr>
          <w:rFonts w:ascii="Arial" w:cs="Arial" w:eastAsia="Arial" w:hAnsi="Arial"/>
          <w:sz w:val="14"/>
          <w:szCs w:val="14"/>
          <w:color w:val="auto"/>
        </w:rPr>
      </w:pPr>
    </w:p>
    <w:p>
      <w:pPr>
        <w:ind w:left="780" w:hanging="332"/>
        <w:spacing w:after="0"/>
        <w:tabs>
          <w:tab w:leader="none" w:pos="780" w:val="left"/>
        </w:tabs>
        <w:numPr>
          <w:ilvl w:val="0"/>
          <w:numId w:val="344"/>
        </w:numPr>
        <w:rPr>
          <w:rFonts w:ascii="Arial" w:cs="Arial" w:eastAsia="Arial" w:hAnsi="Arial"/>
          <w:sz w:val="15"/>
          <w:szCs w:val="15"/>
          <w:color w:val="auto"/>
        </w:rPr>
      </w:pPr>
      <w:r>
        <w:rPr>
          <w:rFonts w:ascii="Arial" w:cs="Arial" w:eastAsia="Arial" w:hAnsi="Arial"/>
          <w:sz w:val="15"/>
          <w:szCs w:val="15"/>
          <w:u w:val="single" w:color="auto"/>
          <w:color w:val="auto"/>
        </w:rPr>
        <w:t>Amendment or Termination</w:t>
      </w:r>
      <w:r>
        <w:rPr>
          <w:rFonts w:ascii="Arial" w:cs="Arial" w:eastAsia="Arial" w:hAnsi="Arial"/>
          <w:sz w:val="15"/>
          <w:szCs w:val="15"/>
          <w:color w:val="auto"/>
        </w:rPr>
        <w:t>.</w:t>
      </w:r>
    </w:p>
    <w:p>
      <w:pPr>
        <w:spacing w:after="0" w:line="98" w:lineRule="exact"/>
        <w:rPr>
          <w:rFonts w:ascii="Arial" w:cs="Arial" w:eastAsia="Arial" w:hAnsi="Arial"/>
          <w:sz w:val="15"/>
          <w:szCs w:val="15"/>
          <w:color w:val="auto"/>
        </w:rPr>
      </w:pPr>
    </w:p>
    <w:p>
      <w:pPr>
        <w:ind w:firstLine="906"/>
        <w:spacing w:after="0" w:line="255" w:lineRule="auto"/>
        <w:tabs>
          <w:tab w:leader="none" w:pos="1230" w:val="left"/>
        </w:tabs>
        <w:numPr>
          <w:ilvl w:val="1"/>
          <w:numId w:val="344"/>
        </w:numPr>
        <w:rPr>
          <w:rFonts w:ascii="Arial" w:cs="Arial" w:eastAsia="Arial" w:hAnsi="Arial"/>
          <w:sz w:val="15"/>
          <w:szCs w:val="15"/>
          <w:color w:val="auto"/>
        </w:rPr>
      </w:pPr>
      <w:r>
        <w:rPr>
          <w:rFonts w:ascii="Arial" w:cs="Arial" w:eastAsia="Arial" w:hAnsi="Arial"/>
          <w:sz w:val="15"/>
          <w:szCs w:val="15"/>
          <w:color w:val="auto"/>
        </w:rPr>
        <w:t>The Administrator, in its sole discretion, may amend, suspend, or terminate the Plan, or any part thereof, at any time and for any reason. If the Plan is terminated, the Administrator, in its discretion, may elect to terminate all outstanding Offering Periods either immediately or upon completion of the purchase of shares of Common Stock on the next Exercise Date (which may be sooner than originally scheduled, if determined by the Administrator in its discretion), or may elect to permit Offering Periods to expire in accordance with their terms (and subject to any adjustment pursuant to Section 19). If the Offering Periods are terminated prior to expiration, all amounts then credited to Participants’ accounts that have not been used to purchase shares of Common Stock will be returned to the Participants (without interest thereon, except as otherwise required under Applicable Laws, as further set forth in Section 12 hereof) as soon as administratively practicable.</w:t>
      </w:r>
    </w:p>
    <w:p>
      <w:pPr>
        <w:spacing w:after="0" w:line="163" w:lineRule="exact"/>
        <w:rPr>
          <w:rFonts w:ascii="Arial" w:cs="Arial" w:eastAsia="Arial" w:hAnsi="Arial"/>
          <w:sz w:val="15"/>
          <w:szCs w:val="15"/>
          <w:color w:val="auto"/>
        </w:rPr>
      </w:pPr>
    </w:p>
    <w:p>
      <w:pPr>
        <w:ind w:firstLine="906"/>
        <w:spacing w:after="0" w:line="255" w:lineRule="auto"/>
        <w:tabs>
          <w:tab w:leader="none" w:pos="1239" w:val="left"/>
        </w:tabs>
        <w:numPr>
          <w:ilvl w:val="1"/>
          <w:numId w:val="344"/>
        </w:numPr>
        <w:rPr>
          <w:rFonts w:ascii="Arial" w:cs="Arial" w:eastAsia="Arial" w:hAnsi="Arial"/>
          <w:sz w:val="15"/>
          <w:szCs w:val="15"/>
          <w:color w:val="auto"/>
        </w:rPr>
      </w:pPr>
      <w:r>
        <w:rPr>
          <w:rFonts w:ascii="Arial" w:cs="Arial" w:eastAsia="Arial" w:hAnsi="Arial"/>
          <w:sz w:val="15"/>
          <w:szCs w:val="15"/>
          <w:color w:val="auto"/>
        </w:rPr>
        <w:t>Without stockholder consent and without limiting Section 20(a), the Administrator will be entitled to change the Offering Periods or Purchase Periods, designate separate Offerings, limit the frequency and/or number of changes in the amount withheld during an Offering Period, establish the exchange ratio applicable to amounts withheld in a currency other than U.S. dollars, permit Contributions in excess of the amount designated by a Participant in order to adjust for delays or mistakes in the Company’s processing of properly completed Contribution elections, establish reasonable waiting and adjustment periods and/or accounting and crediting procedures to ensure that amounts applied toward the purchase of Common Stock for each Participant properly correspond with Contribution amounts, and establish such other limitations or procedures as the Administrator determines in its sole discretion advisable that are consistent with the Plan.</w:t>
      </w:r>
    </w:p>
    <w:p>
      <w:pPr>
        <w:spacing w:after="0" w:line="163" w:lineRule="exact"/>
        <w:rPr>
          <w:rFonts w:ascii="Arial" w:cs="Arial" w:eastAsia="Arial" w:hAnsi="Arial"/>
          <w:sz w:val="15"/>
          <w:szCs w:val="15"/>
          <w:color w:val="auto"/>
        </w:rPr>
      </w:pPr>
    </w:p>
    <w:p>
      <w:pPr>
        <w:ind w:left="1220" w:hanging="314"/>
        <w:spacing w:after="0"/>
        <w:tabs>
          <w:tab w:leader="none" w:pos="1220" w:val="left"/>
        </w:tabs>
        <w:numPr>
          <w:ilvl w:val="1"/>
          <w:numId w:val="344"/>
        </w:numPr>
        <w:rPr>
          <w:rFonts w:ascii="Arial" w:cs="Arial" w:eastAsia="Arial" w:hAnsi="Arial"/>
          <w:sz w:val="13"/>
          <w:szCs w:val="13"/>
          <w:color w:val="auto"/>
        </w:rPr>
      </w:pPr>
      <w:r>
        <w:rPr>
          <w:rFonts w:ascii="Arial" w:cs="Arial" w:eastAsia="Arial" w:hAnsi="Arial"/>
          <w:sz w:val="13"/>
          <w:szCs w:val="13"/>
          <w:color w:val="auto"/>
        </w:rPr>
        <w:t>In the event the Administrator determines that the ongoing operation of the Plan may result in unfavorable financial accounting consequences, the Administrator may, in</w:t>
      </w:r>
    </w:p>
    <w:p>
      <w:pPr>
        <w:spacing w:after="0" w:line="40"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5"/>
          <w:szCs w:val="15"/>
          <w:color w:val="auto"/>
        </w:rPr>
        <w:t>its</w:t>
      </w:r>
    </w:p>
    <w:p>
      <w:pPr>
        <w:spacing w:after="0" w:line="122" w:lineRule="exact"/>
        <w:rPr>
          <w:rFonts w:ascii="Arial" w:cs="Arial" w:eastAsia="Arial" w:hAnsi="Arial"/>
          <w:sz w:val="13"/>
          <w:szCs w:val="13"/>
          <w:color w:val="auto"/>
        </w:rPr>
      </w:pPr>
    </w:p>
    <w:p>
      <w:pPr>
        <w:ind w:left="5640" w:hanging="89"/>
        <w:spacing w:after="0"/>
        <w:tabs>
          <w:tab w:leader="none" w:pos="5640" w:val="left"/>
        </w:tabs>
        <w:numPr>
          <w:ilvl w:val="2"/>
          <w:numId w:val="344"/>
        </w:numPr>
        <w:rPr>
          <w:rFonts w:ascii="Arial" w:cs="Arial" w:eastAsia="Arial" w:hAnsi="Arial"/>
          <w:sz w:val="15"/>
          <w:szCs w:val="15"/>
          <w:color w:val="auto"/>
        </w:rPr>
      </w:pPr>
      <w:r>
        <w:rPr>
          <w:rFonts w:ascii="Arial" w:cs="Arial" w:eastAsia="Arial" w:hAnsi="Arial"/>
          <w:sz w:val="15"/>
          <w:szCs w:val="15"/>
          <w:color w:val="auto"/>
        </w:rPr>
        <w:t>13 -</w:t>
      </w:r>
    </w:p>
    <w:p>
      <w:pPr>
        <w:sectPr>
          <w:pgSz w:w="11900" w:h="16838" w:orient="portrait"/>
          <w:cols w:equalWidth="0" w:num="1">
            <w:col w:w="11440"/>
          </w:cols>
          <w:pgMar w:left="240" w:top="253" w:right="219" w:bottom="1440" w:gutter="0" w:footer="0" w:header="0"/>
        </w:sectPr>
      </w:pPr>
    </w:p>
    <w:bookmarkStart w:id="401" w:name="page402"/>
    <w:bookmarkEnd w:id="401"/>
    <w:p>
      <w:pPr>
        <w:spacing w:after="0"/>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133350</wp:posOffset>
            </wp:positionH>
            <wp:positionV relativeFrom="page">
              <wp:posOffset>88900</wp:posOffset>
            </wp:positionV>
            <wp:extent cx="7308850" cy="34290"/>
            <wp:wrapNone/>
            <wp:docPr id="561" name="Picture 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1"/>
                    <pic:cNvPicPr>
                      <a:picLocks noChangeAspect="1" noChangeArrowheads="1"/>
                    </pic:cNvPicPr>
                  </pic:nvPicPr>
                  <pic:blipFill>
                    <a:blip r:embed="rId598">
                      <a:extLst>
                        <a:ext uri="{28A0092B-C50C-407E-A947-70E740481C1C}"/>
                      </a:extLst>
                    </a:blip>
                    <a:srcRect/>
                    <a:stretch>
                      <a:fillRect/>
                    </a:stretch>
                  </pic:blipFill>
                  <pic:spPr bwMode="auto">
                    <a:xfrm>
                      <a:off x="0" y="0"/>
                      <a:ext cx="7308850" cy="34290"/>
                    </a:xfrm>
                    <a:prstGeom prst="rect">
                      <a:avLst/>
                    </a:prstGeom>
                    <a:noFill/>
                  </pic:spPr>
                </pic:pic>
              </a:graphicData>
            </a:graphic>
          </wp:anchor>
        </w:drawing>
        <w:t>discretion and, to the extent necessary or desirable, modify, amend or terminate the Plan to reduce or eliminate such accounting consequence including, but not limited to:</w:t>
      </w:r>
    </w:p>
    <w:p>
      <w:pPr>
        <w:spacing w:after="0" w:line="188" w:lineRule="exact"/>
        <w:rPr>
          <w:sz w:val="20"/>
          <w:szCs w:val="20"/>
          <w:color w:val="auto"/>
        </w:rPr>
      </w:pPr>
    </w:p>
    <w:p>
      <w:pPr>
        <w:ind w:right="20" w:firstLine="1478"/>
        <w:spacing w:after="0" w:line="275" w:lineRule="auto"/>
        <w:tabs>
          <w:tab w:leader="none" w:pos="1780" w:val="left"/>
        </w:tabs>
        <w:numPr>
          <w:ilvl w:val="0"/>
          <w:numId w:val="345"/>
        </w:numPr>
        <w:rPr>
          <w:rFonts w:ascii="Arial" w:cs="Arial" w:eastAsia="Arial" w:hAnsi="Arial"/>
          <w:sz w:val="15"/>
          <w:szCs w:val="15"/>
          <w:color w:val="auto"/>
        </w:rPr>
      </w:pPr>
      <w:r>
        <w:rPr>
          <w:rFonts w:ascii="Arial" w:cs="Arial" w:eastAsia="Arial" w:hAnsi="Arial"/>
          <w:sz w:val="15"/>
          <w:szCs w:val="15"/>
          <w:color w:val="auto"/>
        </w:rPr>
        <w:t>amending the Plan to conform with the safe harbor definition under the Financial Accounting Standards Board Accounting Standards Codification Topic 718 (or any successor thereto), including with respect to an Offering Period underway at the time;</w:t>
      </w:r>
    </w:p>
    <w:p>
      <w:pPr>
        <w:spacing w:after="0" w:line="146" w:lineRule="exact"/>
        <w:rPr>
          <w:rFonts w:ascii="Arial" w:cs="Arial" w:eastAsia="Arial" w:hAnsi="Arial"/>
          <w:sz w:val="15"/>
          <w:szCs w:val="15"/>
          <w:color w:val="auto"/>
        </w:rPr>
      </w:pPr>
    </w:p>
    <w:p>
      <w:pPr>
        <w:ind w:left="1820" w:hanging="342"/>
        <w:spacing w:after="0"/>
        <w:tabs>
          <w:tab w:leader="none" w:pos="1820" w:val="left"/>
        </w:tabs>
        <w:numPr>
          <w:ilvl w:val="0"/>
          <w:numId w:val="345"/>
        </w:numPr>
        <w:rPr>
          <w:rFonts w:ascii="Arial" w:cs="Arial" w:eastAsia="Arial" w:hAnsi="Arial"/>
          <w:sz w:val="13"/>
          <w:szCs w:val="13"/>
          <w:color w:val="auto"/>
        </w:rPr>
      </w:pPr>
      <w:r>
        <w:rPr>
          <w:rFonts w:ascii="Arial" w:cs="Arial" w:eastAsia="Arial" w:hAnsi="Arial"/>
          <w:sz w:val="13"/>
          <w:szCs w:val="13"/>
          <w:color w:val="auto"/>
        </w:rPr>
        <w:t>altering the Purchase Price for any Offering Period or Purchase Period including an Offering Period or Purchase Period underway at the time of the change in</w:t>
      </w:r>
    </w:p>
    <w:p>
      <w:pPr>
        <w:spacing w:after="0" w:line="40"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5"/>
          <w:szCs w:val="15"/>
          <w:color w:val="auto"/>
        </w:rPr>
        <w:t>Purchase Price;</w:t>
      </w:r>
    </w:p>
    <w:p>
      <w:pPr>
        <w:spacing w:after="0" w:line="178" w:lineRule="exact"/>
        <w:rPr>
          <w:rFonts w:ascii="Arial" w:cs="Arial" w:eastAsia="Arial" w:hAnsi="Arial"/>
          <w:sz w:val="13"/>
          <w:szCs w:val="13"/>
          <w:color w:val="auto"/>
        </w:rPr>
      </w:pPr>
    </w:p>
    <w:p>
      <w:pPr>
        <w:ind w:left="1860" w:hanging="382"/>
        <w:spacing w:after="0"/>
        <w:tabs>
          <w:tab w:leader="none" w:pos="1860" w:val="left"/>
        </w:tabs>
        <w:numPr>
          <w:ilvl w:val="0"/>
          <w:numId w:val="345"/>
        </w:numPr>
        <w:rPr>
          <w:rFonts w:ascii="Arial" w:cs="Arial" w:eastAsia="Arial" w:hAnsi="Arial"/>
          <w:sz w:val="13"/>
          <w:szCs w:val="13"/>
          <w:color w:val="auto"/>
        </w:rPr>
      </w:pPr>
      <w:r>
        <w:rPr>
          <w:rFonts w:ascii="Arial" w:cs="Arial" w:eastAsia="Arial" w:hAnsi="Arial"/>
          <w:sz w:val="13"/>
          <w:szCs w:val="13"/>
          <w:color w:val="auto"/>
        </w:rPr>
        <w:t>shortening any Offering Period or Purchase Period by setting a New Exercise Date, including an Offering Period or Purchase Period underway at the time of</w:t>
      </w:r>
    </w:p>
    <w:p>
      <w:pPr>
        <w:spacing w:after="0" w:line="40"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5"/>
          <w:szCs w:val="15"/>
          <w:color w:val="auto"/>
        </w:rPr>
        <w:t>the Administrator action;</w:t>
      </w:r>
    </w:p>
    <w:p>
      <w:pPr>
        <w:spacing w:after="0" w:line="178" w:lineRule="exact"/>
        <w:rPr>
          <w:rFonts w:ascii="Arial" w:cs="Arial" w:eastAsia="Arial" w:hAnsi="Arial"/>
          <w:sz w:val="13"/>
          <w:szCs w:val="13"/>
          <w:color w:val="auto"/>
        </w:rPr>
      </w:pPr>
    </w:p>
    <w:p>
      <w:pPr>
        <w:ind w:left="1840" w:hanging="362"/>
        <w:spacing w:after="0"/>
        <w:tabs>
          <w:tab w:leader="none" w:pos="1840" w:val="left"/>
        </w:tabs>
        <w:numPr>
          <w:ilvl w:val="0"/>
          <w:numId w:val="345"/>
        </w:numPr>
        <w:rPr>
          <w:rFonts w:ascii="Arial" w:cs="Arial" w:eastAsia="Arial" w:hAnsi="Arial"/>
          <w:sz w:val="15"/>
          <w:szCs w:val="15"/>
          <w:color w:val="auto"/>
        </w:rPr>
      </w:pPr>
      <w:r>
        <w:rPr>
          <w:rFonts w:ascii="Arial" w:cs="Arial" w:eastAsia="Arial" w:hAnsi="Arial"/>
          <w:sz w:val="15"/>
          <w:szCs w:val="15"/>
          <w:color w:val="auto"/>
        </w:rPr>
        <w:t>reducing the maximum percentage of Compensation a Participant may elect to set aside as Contributions; and</w:t>
      </w:r>
    </w:p>
    <w:p>
      <w:pPr>
        <w:spacing w:after="0" w:line="188" w:lineRule="exact"/>
        <w:rPr>
          <w:rFonts w:ascii="Arial" w:cs="Arial" w:eastAsia="Arial" w:hAnsi="Arial"/>
          <w:sz w:val="15"/>
          <w:szCs w:val="15"/>
          <w:color w:val="auto"/>
        </w:rPr>
      </w:pPr>
    </w:p>
    <w:p>
      <w:pPr>
        <w:ind w:left="1800" w:hanging="322"/>
        <w:spacing w:after="0"/>
        <w:tabs>
          <w:tab w:leader="none" w:pos="1800" w:val="left"/>
        </w:tabs>
        <w:numPr>
          <w:ilvl w:val="0"/>
          <w:numId w:val="345"/>
        </w:numPr>
        <w:rPr>
          <w:rFonts w:ascii="Arial" w:cs="Arial" w:eastAsia="Arial" w:hAnsi="Arial"/>
          <w:sz w:val="15"/>
          <w:szCs w:val="15"/>
          <w:color w:val="auto"/>
        </w:rPr>
      </w:pPr>
      <w:r>
        <w:rPr>
          <w:rFonts w:ascii="Arial" w:cs="Arial" w:eastAsia="Arial" w:hAnsi="Arial"/>
          <w:sz w:val="15"/>
          <w:szCs w:val="15"/>
          <w:color w:val="auto"/>
        </w:rPr>
        <w:t>reducing the maximum number of shares of Common Stock a Participant may purchase during any Offering Period or Purchase Period.</w:t>
      </w:r>
    </w:p>
    <w:p>
      <w:pPr>
        <w:spacing w:after="0" w:line="188" w:lineRule="exact"/>
        <w:rPr>
          <w:sz w:val="20"/>
          <w:szCs w:val="20"/>
          <w:color w:val="auto"/>
        </w:rPr>
      </w:pPr>
    </w:p>
    <w:p>
      <w:pPr>
        <w:spacing w:after="0"/>
        <w:rPr>
          <w:sz w:val="20"/>
          <w:szCs w:val="20"/>
          <w:color w:val="auto"/>
        </w:rPr>
      </w:pPr>
      <w:r>
        <w:rPr>
          <w:rFonts w:ascii="Arial" w:cs="Arial" w:eastAsia="Arial" w:hAnsi="Arial"/>
          <w:sz w:val="15"/>
          <w:szCs w:val="15"/>
          <w:color w:val="auto"/>
        </w:rPr>
        <w:t>Such modifications or amendments will not require stockholder approval or the consent of any Participants.</w:t>
      </w:r>
    </w:p>
    <w:p>
      <w:pPr>
        <w:spacing w:after="0" w:line="188" w:lineRule="exact"/>
        <w:rPr>
          <w:sz w:val="20"/>
          <w:szCs w:val="20"/>
          <w:color w:val="auto"/>
        </w:rPr>
      </w:pPr>
    </w:p>
    <w:p>
      <w:pPr>
        <w:ind w:firstLine="448"/>
        <w:spacing w:after="0" w:line="275" w:lineRule="auto"/>
        <w:tabs>
          <w:tab w:leader="none" w:pos="796" w:val="left"/>
        </w:tabs>
        <w:numPr>
          <w:ilvl w:val="0"/>
          <w:numId w:val="346"/>
        </w:numPr>
        <w:rPr>
          <w:rFonts w:ascii="Arial" w:cs="Arial" w:eastAsia="Arial" w:hAnsi="Arial"/>
          <w:sz w:val="15"/>
          <w:szCs w:val="15"/>
          <w:color w:val="auto"/>
        </w:rPr>
      </w:pPr>
      <w:r>
        <w:rPr>
          <w:rFonts w:ascii="Arial" w:cs="Arial" w:eastAsia="Arial" w:hAnsi="Arial"/>
          <w:sz w:val="15"/>
          <w:szCs w:val="15"/>
          <w:u w:val="single" w:color="auto"/>
          <w:color w:val="auto"/>
        </w:rPr>
        <w:t>Notices</w:t>
      </w:r>
      <w:r>
        <w:rPr>
          <w:rFonts w:ascii="Arial" w:cs="Arial" w:eastAsia="Arial" w:hAnsi="Arial"/>
          <w:sz w:val="15"/>
          <w:szCs w:val="15"/>
          <w:color w:val="auto"/>
        </w:rPr>
        <w:t>. All notices or other communications by a Participant to the Company under or in connection with the Plan will be deemed to have been duly given when received in the form and manner specified by the Company at the location, or by the person, designated by the Company for the receipt thereof.</w:t>
      </w:r>
    </w:p>
    <w:p>
      <w:pPr>
        <w:spacing w:after="0" w:line="146" w:lineRule="exact"/>
        <w:rPr>
          <w:rFonts w:ascii="Arial" w:cs="Arial" w:eastAsia="Arial" w:hAnsi="Arial"/>
          <w:sz w:val="15"/>
          <w:szCs w:val="15"/>
          <w:color w:val="auto"/>
        </w:rPr>
      </w:pPr>
    </w:p>
    <w:p>
      <w:pPr>
        <w:ind w:right="100" w:firstLine="448"/>
        <w:spacing w:after="0" w:line="259" w:lineRule="auto"/>
        <w:tabs>
          <w:tab w:leader="none" w:pos="796" w:val="left"/>
        </w:tabs>
        <w:numPr>
          <w:ilvl w:val="0"/>
          <w:numId w:val="346"/>
        </w:numPr>
        <w:rPr>
          <w:rFonts w:ascii="Arial" w:cs="Arial" w:eastAsia="Arial" w:hAnsi="Arial"/>
          <w:sz w:val="15"/>
          <w:szCs w:val="15"/>
          <w:color w:val="auto"/>
        </w:rPr>
      </w:pPr>
      <w:r>
        <w:rPr>
          <w:rFonts w:ascii="Arial" w:cs="Arial" w:eastAsia="Arial" w:hAnsi="Arial"/>
          <w:sz w:val="15"/>
          <w:szCs w:val="15"/>
          <w:u w:val="single" w:color="auto"/>
          <w:color w:val="auto"/>
        </w:rPr>
        <w:t>Conditions Upon Issuance of Shares</w:t>
      </w:r>
      <w:r>
        <w:rPr>
          <w:rFonts w:ascii="Arial" w:cs="Arial" w:eastAsia="Arial" w:hAnsi="Arial"/>
          <w:sz w:val="15"/>
          <w:szCs w:val="15"/>
          <w:color w:val="auto"/>
        </w:rPr>
        <w:t>. Shares of Common Stock will not be issued with respect to an option unless the exercise of such option and the issuance and delivery of such shares pursuant thereto will comply with all applicable provisions of law, domestic or foreign, including, without limitation, the U.S. Securities Act of 1933, as amended, the Exchange Act, the rules and regulations promulgated thereunder, and the requirements of any stock exchange upon which the shares may then be listed, and will be further subject to the approval of counsel for the Company with respect to such compliance.</w:t>
      </w:r>
    </w:p>
    <w:p>
      <w:pPr>
        <w:spacing w:after="0" w:line="158" w:lineRule="exact"/>
        <w:rPr>
          <w:sz w:val="20"/>
          <w:szCs w:val="20"/>
          <w:color w:val="auto"/>
        </w:rPr>
      </w:pPr>
    </w:p>
    <w:p>
      <w:pPr>
        <w:jc w:val="both"/>
        <w:ind w:right="380" w:firstLine="916"/>
        <w:spacing w:after="0" w:line="263" w:lineRule="auto"/>
        <w:rPr>
          <w:sz w:val="20"/>
          <w:szCs w:val="20"/>
          <w:color w:val="auto"/>
        </w:rPr>
      </w:pPr>
      <w:r>
        <w:rPr>
          <w:rFonts w:ascii="Arial" w:cs="Arial" w:eastAsia="Arial" w:hAnsi="Arial"/>
          <w:sz w:val="15"/>
          <w:szCs w:val="15"/>
          <w:color w:val="auto"/>
        </w:rPr>
        <w:t>As a condition to the exercise of an option, the Company may require the person exercising such option to represent and warrant at the time of any such exercise that the shares are being purchased only for investment and without any present intention to sell or distribute such shares if, in the opinion of counsel for the Company, such a representation is required by any of the aforementioned applicable provisions of law.</w:t>
      </w:r>
    </w:p>
    <w:p>
      <w:pPr>
        <w:spacing w:after="0" w:line="155" w:lineRule="exact"/>
        <w:rPr>
          <w:sz w:val="20"/>
          <w:szCs w:val="20"/>
          <w:color w:val="auto"/>
        </w:rPr>
      </w:pPr>
    </w:p>
    <w:p>
      <w:pPr>
        <w:ind w:right="100" w:firstLine="448"/>
        <w:spacing w:after="0" w:line="257" w:lineRule="auto"/>
        <w:tabs>
          <w:tab w:leader="none" w:pos="796" w:val="left"/>
        </w:tabs>
        <w:numPr>
          <w:ilvl w:val="0"/>
          <w:numId w:val="347"/>
        </w:numPr>
        <w:rPr>
          <w:rFonts w:ascii="Arial" w:cs="Arial" w:eastAsia="Arial" w:hAnsi="Arial"/>
          <w:sz w:val="15"/>
          <w:szCs w:val="15"/>
          <w:color w:val="auto"/>
        </w:rPr>
      </w:pPr>
      <w:r>
        <w:rPr>
          <w:rFonts w:ascii="Arial" w:cs="Arial" w:eastAsia="Arial" w:hAnsi="Arial"/>
          <w:sz w:val="15"/>
          <w:szCs w:val="15"/>
          <w:u w:val="single" w:color="auto"/>
          <w:color w:val="auto"/>
        </w:rPr>
        <w:t>Code Section 409A.</w:t>
      </w:r>
      <w:r>
        <w:rPr>
          <w:rFonts w:ascii="Arial" w:cs="Arial" w:eastAsia="Arial" w:hAnsi="Arial"/>
          <w:sz w:val="15"/>
          <w:szCs w:val="15"/>
          <w:color w:val="auto"/>
        </w:rPr>
        <w:t xml:space="preserve"> The 423 Component of the Plan is exempt from the application of Code Section 409A and any ambiguities herein will be interpreted to so be exempt from Code Section 409A. In furtherance of the foregoing and notwithstanding any provision in the Plan to the contrary, if the Administrator determines that an option granted under the Plan may be subject to Code Section 409A or that any provision in the Plan would cause an option under the Plan to be subject to Code Section 409A, the Administrator may amend the terms of the Plan and/or of an outstanding option granted under the Plan, or take such other action the Administrator determines is necessary or appropriate, in each case, without the Participant’s consent, to exempt any outstanding</w:t>
      </w:r>
    </w:p>
    <w:p>
      <w:pPr>
        <w:spacing w:after="0" w:line="102" w:lineRule="exact"/>
        <w:rPr>
          <w:rFonts w:ascii="Arial" w:cs="Arial" w:eastAsia="Arial" w:hAnsi="Arial"/>
          <w:sz w:val="15"/>
          <w:szCs w:val="15"/>
          <w:color w:val="auto"/>
        </w:rPr>
      </w:pPr>
    </w:p>
    <w:p>
      <w:pPr>
        <w:ind w:left="5640" w:hanging="89"/>
        <w:spacing w:after="0"/>
        <w:tabs>
          <w:tab w:leader="none" w:pos="5640" w:val="left"/>
        </w:tabs>
        <w:numPr>
          <w:ilvl w:val="1"/>
          <w:numId w:val="347"/>
        </w:numPr>
        <w:rPr>
          <w:rFonts w:ascii="Arial" w:cs="Arial" w:eastAsia="Arial" w:hAnsi="Arial"/>
          <w:sz w:val="15"/>
          <w:szCs w:val="15"/>
          <w:color w:val="auto"/>
        </w:rPr>
      </w:pPr>
      <w:r>
        <w:rPr>
          <w:rFonts w:ascii="Arial" w:cs="Arial" w:eastAsia="Arial" w:hAnsi="Arial"/>
          <w:sz w:val="15"/>
          <w:szCs w:val="15"/>
          <w:color w:val="auto"/>
        </w:rPr>
        <w:t>14 -</w:t>
      </w:r>
    </w:p>
    <w:p>
      <w:pPr>
        <w:sectPr>
          <w:pgSz w:w="11900" w:h="16838" w:orient="portrait"/>
          <w:cols w:equalWidth="0" w:num="1">
            <w:col w:w="11440"/>
          </w:cols>
          <w:pgMar w:left="240" w:top="253" w:right="219" w:bottom="1440" w:gutter="0" w:footer="0" w:header="0"/>
        </w:sectPr>
      </w:pPr>
    </w:p>
    <w:bookmarkStart w:id="402" w:name="page403"/>
    <w:bookmarkEnd w:id="402"/>
    <w:p>
      <w:pPr>
        <w:jc w:val="both"/>
        <w:spacing w:after="0" w:line="283" w:lineRule="auto"/>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133350</wp:posOffset>
            </wp:positionH>
            <wp:positionV relativeFrom="page">
              <wp:posOffset>88900</wp:posOffset>
            </wp:positionV>
            <wp:extent cx="7308850" cy="34290"/>
            <wp:wrapNone/>
            <wp:docPr id="562" name="Picture 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2"/>
                    <pic:cNvPicPr>
                      <a:picLocks noChangeAspect="1" noChangeArrowheads="1"/>
                    </pic:cNvPicPr>
                  </pic:nvPicPr>
                  <pic:blipFill>
                    <a:blip r:embed="rId599">
                      <a:extLst>
                        <a:ext uri="{28A0092B-C50C-407E-A947-70E740481C1C}"/>
                      </a:extLst>
                    </a:blip>
                    <a:srcRect/>
                    <a:stretch>
                      <a:fillRect/>
                    </a:stretch>
                  </pic:blipFill>
                  <pic:spPr bwMode="auto">
                    <a:xfrm>
                      <a:off x="0" y="0"/>
                      <a:ext cx="7308850" cy="34290"/>
                    </a:xfrm>
                    <a:prstGeom prst="rect">
                      <a:avLst/>
                    </a:prstGeom>
                    <a:noFill/>
                  </pic:spPr>
                </pic:pic>
              </a:graphicData>
            </a:graphic>
          </wp:anchor>
        </w:drawing>
        <w:t>option or future option that may be granted under the Plan from or to allow any such options to comply with Code Section 409A, but only to the extent any such amendments or action by the Administrator would not violate Code Section 409A. Notwithstanding the foregoing, the Company will have no liability to a Participant or any other party if the option to purchase Common Stock under the Plan that is intended to be exempt from or compliant with Code Section 409A is not so exempt or compliant or for any action taken by the Administrator with respect thereto. The Company makes no representation that the option to purchase Common Stock under the Plan is compliant with Code Section 409A.</w:t>
      </w:r>
    </w:p>
    <w:p>
      <w:pPr>
        <w:spacing w:after="0" w:line="143" w:lineRule="exact"/>
        <w:rPr>
          <w:sz w:val="20"/>
          <w:szCs w:val="20"/>
          <w:color w:val="auto"/>
        </w:rPr>
      </w:pPr>
    </w:p>
    <w:p>
      <w:pPr>
        <w:ind w:right="180" w:firstLine="448"/>
        <w:spacing w:after="0" w:line="275" w:lineRule="auto"/>
        <w:tabs>
          <w:tab w:leader="none" w:pos="796" w:val="left"/>
        </w:tabs>
        <w:numPr>
          <w:ilvl w:val="0"/>
          <w:numId w:val="348"/>
        </w:numPr>
        <w:rPr>
          <w:rFonts w:ascii="Arial" w:cs="Arial" w:eastAsia="Arial" w:hAnsi="Arial"/>
          <w:sz w:val="15"/>
          <w:szCs w:val="15"/>
          <w:color w:val="auto"/>
        </w:rPr>
      </w:pPr>
      <w:r>
        <w:rPr>
          <w:rFonts w:ascii="Arial" w:cs="Arial" w:eastAsia="Arial" w:hAnsi="Arial"/>
          <w:sz w:val="15"/>
          <w:szCs w:val="15"/>
          <w:u w:val="single" w:color="auto"/>
          <w:color w:val="auto"/>
        </w:rPr>
        <w:t>Term of Plan</w:t>
      </w:r>
      <w:r>
        <w:rPr>
          <w:rFonts w:ascii="Arial" w:cs="Arial" w:eastAsia="Arial" w:hAnsi="Arial"/>
          <w:sz w:val="15"/>
          <w:szCs w:val="15"/>
          <w:color w:val="auto"/>
        </w:rPr>
        <w:t>. The Plan will become effective upon the later to occur of (i) its adoption by the Board or (ii) the business day immediately prior to the Registration Date. It will continue in effect for a term of twenty (20) years, unless sooner terminated under Section 20.</w:t>
      </w:r>
    </w:p>
    <w:p>
      <w:pPr>
        <w:spacing w:after="0" w:line="146" w:lineRule="exact"/>
        <w:rPr>
          <w:rFonts w:ascii="Arial" w:cs="Arial" w:eastAsia="Arial" w:hAnsi="Arial"/>
          <w:sz w:val="15"/>
          <w:szCs w:val="15"/>
          <w:color w:val="auto"/>
        </w:rPr>
      </w:pPr>
    </w:p>
    <w:p>
      <w:pPr>
        <w:ind w:right="20" w:firstLine="448"/>
        <w:spacing w:after="0" w:line="275" w:lineRule="auto"/>
        <w:tabs>
          <w:tab w:leader="none" w:pos="796" w:val="left"/>
        </w:tabs>
        <w:numPr>
          <w:ilvl w:val="0"/>
          <w:numId w:val="348"/>
        </w:numPr>
        <w:rPr>
          <w:rFonts w:ascii="Arial" w:cs="Arial" w:eastAsia="Arial" w:hAnsi="Arial"/>
          <w:sz w:val="15"/>
          <w:szCs w:val="15"/>
          <w:color w:val="auto"/>
        </w:rPr>
      </w:pPr>
      <w:r>
        <w:rPr>
          <w:rFonts w:ascii="Arial" w:cs="Arial" w:eastAsia="Arial" w:hAnsi="Arial"/>
          <w:sz w:val="15"/>
          <w:szCs w:val="15"/>
          <w:u w:val="single" w:color="auto"/>
          <w:color w:val="auto"/>
        </w:rPr>
        <w:t>Stockholder Approval</w:t>
      </w:r>
      <w:r>
        <w:rPr>
          <w:rFonts w:ascii="Arial" w:cs="Arial" w:eastAsia="Arial" w:hAnsi="Arial"/>
          <w:sz w:val="15"/>
          <w:szCs w:val="15"/>
          <w:color w:val="auto"/>
        </w:rPr>
        <w:t>. The Plan will be subject to approval by the stockholders of the Company within twelve (12) months after the date the Plan is adopted by the Board. Such stockholder approval will be obtained in the manner and to the degree required under Applicable Laws.</w:t>
      </w:r>
    </w:p>
    <w:p>
      <w:pPr>
        <w:spacing w:after="0" w:line="146" w:lineRule="exact"/>
        <w:rPr>
          <w:rFonts w:ascii="Arial" w:cs="Arial" w:eastAsia="Arial" w:hAnsi="Arial"/>
          <w:sz w:val="15"/>
          <w:szCs w:val="15"/>
          <w:color w:val="auto"/>
        </w:rPr>
      </w:pPr>
    </w:p>
    <w:p>
      <w:pPr>
        <w:ind w:left="780" w:hanging="332"/>
        <w:spacing w:after="0"/>
        <w:tabs>
          <w:tab w:leader="none" w:pos="780" w:val="left"/>
        </w:tabs>
        <w:numPr>
          <w:ilvl w:val="0"/>
          <w:numId w:val="348"/>
        </w:numPr>
        <w:rPr>
          <w:rFonts w:ascii="Arial" w:cs="Arial" w:eastAsia="Arial" w:hAnsi="Arial"/>
          <w:sz w:val="15"/>
          <w:szCs w:val="15"/>
          <w:color w:val="auto"/>
        </w:rPr>
      </w:pPr>
      <w:r>
        <w:rPr>
          <w:rFonts w:ascii="Arial" w:cs="Arial" w:eastAsia="Arial" w:hAnsi="Arial"/>
          <w:sz w:val="15"/>
          <w:szCs w:val="15"/>
          <w:u w:val="single" w:color="auto"/>
          <w:color w:val="auto"/>
        </w:rPr>
        <w:t>Governing Law</w:t>
      </w:r>
      <w:r>
        <w:rPr>
          <w:rFonts w:ascii="Arial" w:cs="Arial" w:eastAsia="Arial" w:hAnsi="Arial"/>
          <w:sz w:val="15"/>
          <w:szCs w:val="15"/>
          <w:color w:val="auto"/>
        </w:rPr>
        <w:t>. The Plan will be governed by, and construed in accordance with, the laws of the State of Delaware (except its choice-of-law provisions).</w:t>
      </w:r>
    </w:p>
    <w:p>
      <w:pPr>
        <w:spacing w:after="0" w:line="188" w:lineRule="exact"/>
        <w:rPr>
          <w:rFonts w:ascii="Arial" w:cs="Arial" w:eastAsia="Arial" w:hAnsi="Arial"/>
          <w:sz w:val="15"/>
          <w:szCs w:val="15"/>
          <w:color w:val="auto"/>
        </w:rPr>
      </w:pPr>
    </w:p>
    <w:p>
      <w:pPr>
        <w:ind w:right="140" w:firstLine="448"/>
        <w:spacing w:after="0" w:line="263" w:lineRule="auto"/>
        <w:tabs>
          <w:tab w:leader="none" w:pos="796" w:val="left"/>
        </w:tabs>
        <w:numPr>
          <w:ilvl w:val="0"/>
          <w:numId w:val="348"/>
        </w:numPr>
        <w:rPr>
          <w:rFonts w:ascii="Arial" w:cs="Arial" w:eastAsia="Arial" w:hAnsi="Arial"/>
          <w:sz w:val="15"/>
          <w:szCs w:val="15"/>
          <w:color w:val="auto"/>
        </w:rPr>
      </w:pPr>
      <w:r>
        <w:rPr>
          <w:rFonts w:ascii="Arial" w:cs="Arial" w:eastAsia="Arial" w:hAnsi="Arial"/>
          <w:sz w:val="15"/>
          <w:szCs w:val="15"/>
          <w:u w:val="single" w:color="auto"/>
          <w:color w:val="auto"/>
        </w:rPr>
        <w:t>No Right to Employment</w:t>
      </w:r>
      <w:r>
        <w:rPr>
          <w:rFonts w:ascii="Arial" w:cs="Arial" w:eastAsia="Arial" w:hAnsi="Arial"/>
          <w:sz w:val="15"/>
          <w:szCs w:val="15"/>
          <w:color w:val="auto"/>
        </w:rPr>
        <w:t>. Participation in the Plan by a Participant will not be construed as giving a Participant the right to be retained as an employee of the Company or a Subsidiary or Affiliate of the Company, as applicable. Further, the Company or a Subsidiary or Affiliate of the Company may dismiss a Participant from employment at any time, free from any liability or any claim under the Plan.</w:t>
      </w:r>
    </w:p>
    <w:p>
      <w:pPr>
        <w:spacing w:after="0" w:line="154" w:lineRule="exact"/>
        <w:rPr>
          <w:rFonts w:ascii="Arial" w:cs="Arial" w:eastAsia="Arial" w:hAnsi="Arial"/>
          <w:sz w:val="15"/>
          <w:szCs w:val="15"/>
          <w:color w:val="auto"/>
        </w:rPr>
      </w:pPr>
    </w:p>
    <w:p>
      <w:pPr>
        <w:jc w:val="both"/>
        <w:ind w:right="380" w:firstLine="448"/>
        <w:spacing w:after="0" w:line="263" w:lineRule="auto"/>
        <w:tabs>
          <w:tab w:leader="none" w:pos="796" w:val="left"/>
        </w:tabs>
        <w:numPr>
          <w:ilvl w:val="0"/>
          <w:numId w:val="348"/>
        </w:numPr>
        <w:rPr>
          <w:rFonts w:ascii="Arial" w:cs="Arial" w:eastAsia="Arial" w:hAnsi="Arial"/>
          <w:sz w:val="15"/>
          <w:szCs w:val="15"/>
          <w:color w:val="auto"/>
        </w:rPr>
      </w:pPr>
      <w:r>
        <w:rPr>
          <w:rFonts w:ascii="Arial" w:cs="Arial" w:eastAsia="Arial" w:hAnsi="Arial"/>
          <w:sz w:val="15"/>
          <w:szCs w:val="15"/>
          <w:u w:val="single" w:color="auto"/>
          <w:color w:val="auto"/>
        </w:rPr>
        <w:t>Severability</w:t>
      </w:r>
      <w:r>
        <w:rPr>
          <w:rFonts w:ascii="Arial" w:cs="Arial" w:eastAsia="Arial" w:hAnsi="Arial"/>
          <w:sz w:val="15"/>
          <w:szCs w:val="15"/>
          <w:color w:val="auto"/>
        </w:rPr>
        <w:t>. If any provision of the Plan is or becomes or is deemed to be invalid, illegal, or unenforceable for any reason in any jurisdiction or as to any Participant, such invalidity, illegality or unenforceability will not affect the remaining parts of the Plan, and the Plan will be construed and enforced as to such jurisdiction or Participant as if the invalid, illegal or unenforceable provision had not been included.</w:t>
      </w:r>
    </w:p>
    <w:p>
      <w:pPr>
        <w:spacing w:after="0" w:line="154" w:lineRule="exact"/>
        <w:rPr>
          <w:rFonts w:ascii="Arial" w:cs="Arial" w:eastAsia="Arial" w:hAnsi="Arial"/>
          <w:sz w:val="15"/>
          <w:szCs w:val="15"/>
          <w:color w:val="auto"/>
        </w:rPr>
      </w:pPr>
    </w:p>
    <w:p>
      <w:pPr>
        <w:ind w:left="780" w:hanging="332"/>
        <w:spacing w:after="0"/>
        <w:tabs>
          <w:tab w:leader="none" w:pos="780" w:val="left"/>
        </w:tabs>
        <w:numPr>
          <w:ilvl w:val="0"/>
          <w:numId w:val="348"/>
        </w:numPr>
        <w:rPr>
          <w:rFonts w:ascii="Arial" w:cs="Arial" w:eastAsia="Arial" w:hAnsi="Arial"/>
          <w:sz w:val="15"/>
          <w:szCs w:val="15"/>
          <w:color w:val="auto"/>
        </w:rPr>
      </w:pPr>
      <w:r>
        <w:rPr>
          <w:rFonts w:ascii="Arial" w:cs="Arial" w:eastAsia="Arial" w:hAnsi="Arial"/>
          <w:sz w:val="15"/>
          <w:szCs w:val="15"/>
          <w:u w:val="single" w:color="auto"/>
          <w:color w:val="auto"/>
        </w:rPr>
        <w:t>Compliance with Applicable Laws</w:t>
      </w:r>
      <w:r>
        <w:rPr>
          <w:rFonts w:ascii="Arial" w:cs="Arial" w:eastAsia="Arial" w:hAnsi="Arial"/>
          <w:sz w:val="15"/>
          <w:szCs w:val="15"/>
          <w:color w:val="auto"/>
        </w:rPr>
        <w:t>. The terms of this Plan are intended to comply with all Applicable Laws and will be construed accordingly.</w:t>
      </w:r>
    </w:p>
    <w:p>
      <w:pPr>
        <w:spacing w:after="0" w:line="188" w:lineRule="exact"/>
        <w:rPr>
          <w:rFonts w:ascii="Arial" w:cs="Arial" w:eastAsia="Arial" w:hAnsi="Arial"/>
          <w:sz w:val="15"/>
          <w:szCs w:val="15"/>
          <w:color w:val="auto"/>
        </w:rPr>
      </w:pPr>
    </w:p>
    <w:p>
      <w:pPr>
        <w:ind w:right="260" w:firstLine="448"/>
        <w:spacing w:after="0" w:line="290" w:lineRule="auto"/>
        <w:tabs>
          <w:tab w:leader="none" w:pos="796" w:val="left"/>
        </w:tabs>
        <w:numPr>
          <w:ilvl w:val="0"/>
          <w:numId w:val="348"/>
        </w:numPr>
        <w:rPr>
          <w:rFonts w:ascii="Arial" w:cs="Arial" w:eastAsia="Arial" w:hAnsi="Arial"/>
          <w:sz w:val="14"/>
          <w:szCs w:val="14"/>
          <w:color w:val="auto"/>
        </w:rPr>
      </w:pPr>
      <w:r>
        <w:rPr>
          <w:rFonts w:ascii="Arial" w:cs="Arial" w:eastAsia="Arial" w:hAnsi="Arial"/>
          <w:sz w:val="14"/>
          <w:szCs w:val="14"/>
          <w:u w:val="single" w:color="auto"/>
          <w:color w:val="auto"/>
        </w:rPr>
        <w:t>Automatic Transfer to Low Price Offering Period</w:t>
      </w:r>
      <w:r>
        <w:rPr>
          <w:rFonts w:ascii="Arial" w:cs="Arial" w:eastAsia="Arial" w:hAnsi="Arial"/>
          <w:sz w:val="14"/>
          <w:szCs w:val="14"/>
          <w:color w:val="auto"/>
        </w:rPr>
        <w:t>. To the extent permitted by Applicable Laws, if the Fair Market Value on any Exercise Date in an Offering Period is lower than the Fair Market Value on the Enrollment Date of such Offering Period, then all Participants in such Offering Period automatically will be withdrawn from such Offering Period immediately after the exercise of their option on such Exercise Date and automatically re-enrolled in the immediately following Offering Period as of the first day thereof.</w:t>
      </w:r>
    </w:p>
    <w:p>
      <w:pPr>
        <w:spacing w:after="0" w:line="81" w:lineRule="exact"/>
        <w:rPr>
          <w:rFonts w:ascii="Arial" w:cs="Arial" w:eastAsia="Arial" w:hAnsi="Arial"/>
          <w:sz w:val="14"/>
          <w:szCs w:val="14"/>
          <w:color w:val="auto"/>
        </w:rPr>
      </w:pPr>
    </w:p>
    <w:p>
      <w:pPr>
        <w:ind w:left="5640" w:hanging="89"/>
        <w:spacing w:after="0"/>
        <w:tabs>
          <w:tab w:leader="none" w:pos="5640" w:val="left"/>
        </w:tabs>
        <w:numPr>
          <w:ilvl w:val="1"/>
          <w:numId w:val="348"/>
        </w:numPr>
        <w:rPr>
          <w:rFonts w:ascii="Arial" w:cs="Arial" w:eastAsia="Arial" w:hAnsi="Arial"/>
          <w:sz w:val="15"/>
          <w:szCs w:val="15"/>
          <w:color w:val="auto"/>
        </w:rPr>
      </w:pPr>
      <w:r>
        <w:rPr>
          <w:rFonts w:ascii="Arial" w:cs="Arial" w:eastAsia="Arial" w:hAnsi="Arial"/>
          <w:sz w:val="15"/>
          <w:szCs w:val="15"/>
          <w:color w:val="auto"/>
        </w:rPr>
        <w:t>15 -</w:t>
      </w:r>
    </w:p>
    <w:p>
      <w:pPr>
        <w:sectPr>
          <w:pgSz w:w="11900" w:h="16838" w:orient="portrait"/>
          <w:cols w:equalWidth="0" w:num="1">
            <w:col w:w="11420"/>
          </w:cols>
          <w:pgMar w:left="240" w:top="253" w:right="239" w:bottom="1440" w:gutter="0" w:footer="0" w:header="0"/>
        </w:sectPr>
      </w:pPr>
    </w:p>
    <w:bookmarkStart w:id="403" w:name="page404"/>
    <w:bookmarkEnd w:id="403"/>
    <w:tbl>
      <w:tblPr>
        <w:tblLayout w:type="fixed"/>
        <w:tblInd w:w="320" w:type="dxa"/>
        <w:tblCellMar>
          <w:top w:w="0" w:type="dxa"/>
          <w:left w:w="0" w:type="dxa"/>
          <w:bottom w:w="0" w:type="dxa"/>
          <w:right w:w="0" w:type="dxa"/>
        </w:tblCellMar>
      </w:tblPr>
      <w:tr>
        <w:trPr>
          <w:trHeight w:val="172"/>
        </w:trPr>
        <w:tc>
          <w:tcPr>
            <w:tcW w:w="280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4100" w:type="dxa"/>
            <w:vAlign w:val="bottom"/>
            <w:gridSpan w:val="3"/>
          </w:tcPr>
          <w:p>
            <w:pPr>
              <w:jc w:val="center"/>
              <w:ind w:right="3320"/>
              <w:spacing w:after="0"/>
              <w:rPr>
                <w:sz w:val="20"/>
                <w:szCs w:val="20"/>
                <w:color w:val="auto"/>
              </w:rPr>
            </w:pPr>
            <w:r>
              <w:rPr>
                <w:rFonts w:ascii="Arial" w:cs="Arial" w:eastAsia="Arial" w:hAnsi="Arial"/>
                <w:sz w:val="15"/>
                <w:szCs w:val="15"/>
                <w:b w:val="1"/>
                <w:bCs w:val="1"/>
                <w:color w:val="auto"/>
              </w:rPr>
              <w:t>EXHIBIT A</w:t>
            </w:r>
          </w:p>
        </w:tc>
      </w:tr>
      <w:tr>
        <w:trPr>
          <w:trHeight w:val="20"/>
        </w:trPr>
        <w:tc>
          <w:tcPr>
            <w:tcW w:w="280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r>
      <w:tr>
        <w:trPr>
          <w:trHeight w:val="374"/>
        </w:trPr>
        <w:tc>
          <w:tcPr>
            <w:tcW w:w="2800" w:type="dxa"/>
            <w:vAlign w:val="bottom"/>
          </w:tcPr>
          <w:p>
            <w:pPr>
              <w:spacing w:after="0"/>
              <w:rPr>
                <w:sz w:val="24"/>
                <w:szCs w:val="24"/>
                <w:color w:val="auto"/>
              </w:rPr>
            </w:pPr>
          </w:p>
        </w:tc>
        <w:tc>
          <w:tcPr>
            <w:tcW w:w="6300" w:type="dxa"/>
            <w:vAlign w:val="bottom"/>
            <w:gridSpan w:val="4"/>
          </w:tcPr>
          <w:p>
            <w:pPr>
              <w:jc w:val="center"/>
              <w:ind w:right="1120"/>
              <w:spacing w:after="0"/>
              <w:rPr>
                <w:sz w:val="20"/>
                <w:szCs w:val="20"/>
                <w:color w:val="auto"/>
              </w:rPr>
            </w:pPr>
            <w:r>
              <w:rPr>
                <w:rFonts w:ascii="Arial" w:cs="Arial" w:eastAsia="Arial" w:hAnsi="Arial"/>
                <w:sz w:val="15"/>
                <w:szCs w:val="15"/>
                <w:b w:val="1"/>
                <w:bCs w:val="1"/>
                <w:color w:val="auto"/>
                <w:w w:val="99"/>
              </w:rPr>
              <w:t>DROPBOX, INC.</w:t>
            </w:r>
          </w:p>
        </w:tc>
      </w:tr>
      <w:tr>
        <w:trPr>
          <w:trHeight w:val="361"/>
        </w:trPr>
        <w:tc>
          <w:tcPr>
            <w:tcW w:w="2800" w:type="dxa"/>
            <w:vAlign w:val="bottom"/>
          </w:tcPr>
          <w:p>
            <w:pPr>
              <w:spacing w:after="0"/>
              <w:rPr>
                <w:sz w:val="24"/>
                <w:szCs w:val="24"/>
                <w:color w:val="auto"/>
              </w:rPr>
            </w:pPr>
          </w:p>
        </w:tc>
        <w:tc>
          <w:tcPr>
            <w:tcW w:w="6300" w:type="dxa"/>
            <w:vAlign w:val="bottom"/>
            <w:gridSpan w:val="4"/>
          </w:tcPr>
          <w:p>
            <w:pPr>
              <w:jc w:val="center"/>
              <w:ind w:right="1120"/>
              <w:spacing w:after="0"/>
              <w:rPr>
                <w:sz w:val="20"/>
                <w:szCs w:val="20"/>
                <w:color w:val="auto"/>
              </w:rPr>
            </w:pPr>
            <w:r>
              <w:rPr>
                <w:rFonts w:ascii="Arial" w:cs="Arial" w:eastAsia="Arial" w:hAnsi="Arial"/>
                <w:sz w:val="15"/>
                <w:szCs w:val="15"/>
                <w:b w:val="1"/>
                <w:bCs w:val="1"/>
                <w:color w:val="auto"/>
                <w:w w:val="98"/>
              </w:rPr>
              <w:t>2018 CLASS C EMPLOYEE STOCK PURCHASE PLAN</w:t>
            </w:r>
          </w:p>
        </w:tc>
      </w:tr>
      <w:tr>
        <w:trPr>
          <w:trHeight w:val="361"/>
        </w:trPr>
        <w:tc>
          <w:tcPr>
            <w:tcW w:w="2800" w:type="dxa"/>
            <w:vAlign w:val="bottom"/>
          </w:tcPr>
          <w:p>
            <w:pPr>
              <w:spacing w:after="0"/>
              <w:rPr>
                <w:sz w:val="24"/>
                <w:szCs w:val="24"/>
                <w:color w:val="auto"/>
              </w:rPr>
            </w:pPr>
          </w:p>
        </w:tc>
        <w:tc>
          <w:tcPr>
            <w:tcW w:w="6300" w:type="dxa"/>
            <w:vAlign w:val="bottom"/>
            <w:gridSpan w:val="4"/>
          </w:tcPr>
          <w:p>
            <w:pPr>
              <w:jc w:val="center"/>
              <w:ind w:right="1120"/>
              <w:spacing w:after="0"/>
              <w:rPr>
                <w:sz w:val="20"/>
                <w:szCs w:val="20"/>
                <w:color w:val="auto"/>
              </w:rPr>
            </w:pPr>
            <w:r>
              <w:rPr>
                <w:rFonts w:ascii="Arial" w:cs="Arial" w:eastAsia="Arial" w:hAnsi="Arial"/>
                <w:sz w:val="15"/>
                <w:szCs w:val="15"/>
                <w:b w:val="1"/>
                <w:bCs w:val="1"/>
                <w:color w:val="auto"/>
              </w:rPr>
              <w:t>SUBSCRIPTION AGREEMENT</w:t>
            </w:r>
          </w:p>
        </w:tc>
      </w:tr>
      <w:tr>
        <w:trPr>
          <w:trHeight w:val="351"/>
        </w:trPr>
        <w:tc>
          <w:tcPr>
            <w:tcW w:w="2800" w:type="dxa"/>
            <w:vAlign w:val="bottom"/>
          </w:tcPr>
          <w:p>
            <w:pPr>
              <w:spacing w:after="0"/>
              <w:rPr>
                <w:sz w:val="20"/>
                <w:szCs w:val="20"/>
                <w:color w:val="auto"/>
              </w:rPr>
            </w:pPr>
            <w:r>
              <w:rPr>
                <w:rFonts w:ascii="Arial" w:cs="Arial" w:eastAsia="Arial" w:hAnsi="Arial"/>
                <w:sz w:val="15"/>
                <w:szCs w:val="15"/>
                <w:color w:val="auto"/>
              </w:rPr>
              <w:t>Original Application</w:t>
            </w:r>
          </w:p>
        </w:tc>
        <w:tc>
          <w:tcPr>
            <w:tcW w:w="2200" w:type="dxa"/>
            <w:vAlign w:val="bottom"/>
          </w:tcPr>
          <w:p>
            <w:pPr>
              <w:spacing w:after="0"/>
              <w:rPr>
                <w:sz w:val="24"/>
                <w:szCs w:val="24"/>
                <w:color w:val="auto"/>
              </w:rPr>
            </w:pPr>
          </w:p>
        </w:tc>
        <w:tc>
          <w:tcPr>
            <w:tcW w:w="4100" w:type="dxa"/>
            <w:vAlign w:val="bottom"/>
            <w:gridSpan w:val="3"/>
          </w:tcPr>
          <w:p>
            <w:pPr>
              <w:ind w:left="740"/>
              <w:spacing w:after="0"/>
              <w:rPr>
                <w:sz w:val="20"/>
                <w:szCs w:val="20"/>
                <w:color w:val="auto"/>
              </w:rPr>
            </w:pPr>
            <w:r>
              <w:rPr>
                <w:rFonts w:ascii="Arial" w:cs="Arial" w:eastAsia="Arial" w:hAnsi="Arial"/>
                <w:sz w:val="15"/>
                <w:szCs w:val="15"/>
                <w:color w:val="auto"/>
              </w:rPr>
              <w:t>Offering Date:</w:t>
            </w:r>
          </w:p>
        </w:tc>
      </w:tr>
      <w:tr>
        <w:trPr>
          <w:trHeight w:val="193"/>
        </w:trPr>
        <w:tc>
          <w:tcPr>
            <w:tcW w:w="2800" w:type="dxa"/>
            <w:vAlign w:val="bottom"/>
          </w:tcPr>
          <w:p>
            <w:pPr>
              <w:spacing w:after="0"/>
              <w:rPr>
                <w:sz w:val="20"/>
                <w:szCs w:val="20"/>
                <w:color w:val="auto"/>
              </w:rPr>
            </w:pPr>
            <w:r>
              <w:rPr>
                <w:rFonts w:ascii="Arial" w:cs="Arial" w:eastAsia="Arial" w:hAnsi="Arial"/>
                <w:sz w:val="15"/>
                <w:szCs w:val="15"/>
                <w:color w:val="auto"/>
              </w:rPr>
              <w:t>Change in Payroll Deduction Rate</w:t>
            </w:r>
          </w:p>
        </w:tc>
        <w:tc>
          <w:tcPr>
            <w:tcW w:w="22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440" w:type="dxa"/>
            <w:vAlign w:val="bottom"/>
            <w:tcBorders>
              <w:top w:val="single" w:sz="8" w:color="auto"/>
            </w:tcBorders>
          </w:tcPr>
          <w:p>
            <w:pPr>
              <w:spacing w:after="0"/>
              <w:rPr>
                <w:sz w:val="16"/>
                <w:szCs w:val="1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133350</wp:posOffset>
            </wp:positionH>
            <wp:positionV relativeFrom="page">
              <wp:posOffset>88900</wp:posOffset>
            </wp:positionV>
            <wp:extent cx="7308850" cy="34290"/>
            <wp:wrapNone/>
            <wp:docPr id="563" name="Picture 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3"/>
                    <pic:cNvPicPr>
                      <a:picLocks noChangeAspect="1" noChangeArrowheads="1"/>
                    </pic:cNvPicPr>
                  </pic:nvPicPr>
                  <pic:blipFill>
                    <a:blip r:embed="rId600">
                      <a:extLst>
                        <a:ext uri="{28A0092B-C50C-407E-A947-70E740481C1C}"/>
                      </a:extLst>
                    </a:blip>
                    <a:srcRect/>
                    <a:stretch>
                      <a:fillRect/>
                    </a:stretch>
                  </pic:blipFill>
                  <pic:spPr bwMode="auto">
                    <a:xfrm>
                      <a:off x="0" y="0"/>
                      <a:ext cx="7308850" cy="3429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-134620</wp:posOffset>
            </wp:positionV>
            <wp:extent cx="191135" cy="6985"/>
            <wp:wrapNone/>
            <wp:docPr id="564" name="Picture 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4"/>
                    <pic:cNvPicPr>
                      <a:picLocks noChangeAspect="1" noChangeArrowheads="1"/>
                    </pic:cNvPicPr>
                  </pic:nvPicPr>
                  <pic:blipFill>
                    <a:blip r:embed="rId601">
                      <a:extLst>
                        <a:ext uri="{28A0092B-C50C-407E-A947-70E740481C1C}"/>
                      </a:extLst>
                    </a:blip>
                    <a:srcRect/>
                    <a:stretch>
                      <a:fillRect/>
                    </a:stretch>
                  </pic:blipFill>
                  <pic:spPr bwMode="auto">
                    <a:xfrm>
                      <a:off x="0" y="0"/>
                      <a:ext cx="191135" cy="698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-20320</wp:posOffset>
            </wp:positionV>
            <wp:extent cx="191135" cy="6985"/>
            <wp:wrapNone/>
            <wp:docPr id="565" name="Picture 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5"/>
                    <pic:cNvPicPr>
                      <a:picLocks noChangeAspect="1" noChangeArrowheads="1"/>
                    </pic:cNvPicPr>
                  </pic:nvPicPr>
                  <pic:blipFill>
                    <a:blip r:embed="rId602">
                      <a:extLst>
                        <a:ext uri="{28A0092B-C50C-407E-A947-70E740481C1C}"/>
                      </a:extLst>
                    </a:blip>
                    <a:srcRect/>
                    <a:stretch>
                      <a:fillRect/>
                    </a:stretch>
                  </pic:blipFill>
                  <pic:spPr bwMode="auto">
                    <a:xfrm>
                      <a:off x="0" y="0"/>
                      <a:ext cx="191135" cy="6985"/>
                    </a:xfrm>
                    <a:prstGeom prst="rect">
                      <a:avLst/>
                    </a:prstGeom>
                    <a:noFill/>
                  </pic:spPr>
                </pic:pic>
              </a:graphicData>
            </a:graphic>
          </wp:anchor>
        </w:drawing>
      </w:r>
    </w:p>
    <w:p>
      <w:pPr>
        <w:spacing w:after="0" w:line="151" w:lineRule="exact"/>
        <w:rPr>
          <w:sz w:val="20"/>
          <w:szCs w:val="20"/>
          <w:color w:val="auto"/>
        </w:rPr>
      </w:pPr>
    </w:p>
    <w:p>
      <w:pPr>
        <w:ind w:right="80" w:firstLine="448"/>
        <w:spacing w:after="0" w:line="263" w:lineRule="auto"/>
        <w:tabs>
          <w:tab w:leader="none" w:pos="1548" w:val="left"/>
        </w:tabs>
        <w:numPr>
          <w:ilvl w:val="0"/>
          <w:numId w:val="349"/>
        </w:numPr>
        <w:rPr>
          <w:rFonts w:ascii="Arial" w:cs="Arial" w:eastAsia="Arial" w:hAnsi="Arial"/>
          <w:sz w:val="15"/>
          <w:szCs w:val="15"/>
          <w:color w:val="auto"/>
        </w:rPr>
      </w:pPr>
      <w:r>
        <w:rPr>
          <w:rFonts w:ascii="Arial" w:cs="Arial" w:eastAsia="Arial" w:hAnsi="Arial"/>
          <w:sz w:val="15"/>
          <w:szCs w:val="15"/>
          <w:color w:val="auto"/>
        </w:rPr>
        <w:t>(“Employee”) hereby elects to participate in the Dropbox, Inc. 2018 Class C Employee Stock Purchase Plan (the “Plan”) and subscribes to purchase shares of the Company’s Common Stock in accordance with this Subscription Agreement and the Plan. Unless otherwise defined herein, the terms defined in the 2018 Class C Employee Stock Purchase Plan (the “Plan”) shall have the same defined meanings in this Subscription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475615</wp:posOffset>
            </wp:positionH>
            <wp:positionV relativeFrom="paragraph">
              <wp:posOffset>-259715</wp:posOffset>
            </wp:positionV>
            <wp:extent cx="477520" cy="6985"/>
            <wp:wrapNone/>
            <wp:docPr id="566" name="Picture 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6"/>
                    <pic:cNvPicPr>
                      <a:picLocks noChangeAspect="1" noChangeArrowheads="1"/>
                    </pic:cNvPicPr>
                  </pic:nvPicPr>
                  <pic:blipFill>
                    <a:blip r:embed="rId603">
                      <a:extLst>
                        <a:ext uri="{28A0092B-C50C-407E-A947-70E740481C1C}"/>
                      </a:extLst>
                    </a:blip>
                    <a:srcRect/>
                    <a:stretch>
                      <a:fillRect/>
                    </a:stretch>
                  </pic:blipFill>
                  <pic:spPr bwMode="auto">
                    <a:xfrm>
                      <a:off x="0" y="0"/>
                      <a:ext cx="477520" cy="6985"/>
                    </a:xfrm>
                    <a:prstGeom prst="rect">
                      <a:avLst/>
                    </a:prstGeom>
                    <a:noFill/>
                  </pic:spPr>
                </pic:pic>
              </a:graphicData>
            </a:graphic>
          </wp:anchor>
        </w:drawing>
      </w:r>
    </w:p>
    <w:p>
      <w:pPr>
        <w:spacing w:after="0" w:line="135" w:lineRule="exact"/>
        <w:rPr>
          <w:sz w:val="20"/>
          <w:szCs w:val="20"/>
          <w:color w:val="auto"/>
        </w:rPr>
      </w:pPr>
    </w:p>
    <w:p>
      <w:pPr>
        <w:ind w:right="260" w:firstLine="458"/>
        <w:spacing w:after="0" w:line="275" w:lineRule="auto"/>
        <w:rPr>
          <w:sz w:val="20"/>
          <w:szCs w:val="20"/>
          <w:color w:val="auto"/>
        </w:rPr>
      </w:pPr>
      <w:r>
        <w:rPr>
          <w:rFonts w:ascii="Arial" w:cs="Arial" w:eastAsia="Arial" w:hAnsi="Arial"/>
          <w:sz w:val="15"/>
          <w:szCs w:val="15"/>
          <w:color w:val="auto"/>
        </w:rPr>
        <w:t>2. Employee hereby authorizes payroll deductions from each paycheck in the amount of % (from 1% to 15%) of his or her Compensation on each payday during the Offering Period in accordance with the Plan. (Please note that no fractional percentages are permitted.)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3738245</wp:posOffset>
            </wp:positionH>
            <wp:positionV relativeFrom="paragraph">
              <wp:posOffset>-150495</wp:posOffset>
            </wp:positionV>
            <wp:extent cx="95250" cy="6985"/>
            <wp:wrapNone/>
            <wp:docPr id="567" name="Picture 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7"/>
                    <pic:cNvPicPr>
                      <a:picLocks noChangeAspect="1" noChangeArrowheads="1"/>
                    </pic:cNvPicPr>
                  </pic:nvPicPr>
                  <pic:blipFill>
                    <a:blip r:embed="rId604">
                      <a:extLst>
                        <a:ext uri="{28A0092B-C50C-407E-A947-70E740481C1C}"/>
                      </a:extLst>
                    </a:blip>
                    <a:srcRect/>
                    <a:stretch>
                      <a:fillRect/>
                    </a:stretch>
                  </pic:blipFill>
                  <pic:spPr bwMode="auto">
                    <a:xfrm>
                      <a:off x="0" y="0"/>
                      <a:ext cx="95250" cy="6985"/>
                    </a:xfrm>
                    <a:prstGeom prst="rect">
                      <a:avLst/>
                    </a:prstGeom>
                    <a:noFill/>
                  </pic:spPr>
                </pic:pic>
              </a:graphicData>
            </a:graphic>
          </wp:anchor>
        </w:drawing>
      </w:r>
    </w:p>
    <w:p>
      <w:pPr>
        <w:spacing w:after="0" w:line="126" w:lineRule="exact"/>
        <w:rPr>
          <w:sz w:val="20"/>
          <w:szCs w:val="20"/>
          <w:color w:val="auto"/>
        </w:rPr>
      </w:pPr>
    </w:p>
    <w:p>
      <w:pPr>
        <w:ind w:firstLine="448"/>
        <w:spacing w:after="0" w:line="263" w:lineRule="auto"/>
        <w:tabs>
          <w:tab w:leader="none" w:pos="721" w:val="left"/>
        </w:tabs>
        <w:numPr>
          <w:ilvl w:val="0"/>
          <w:numId w:val="350"/>
        </w:numPr>
        <w:rPr>
          <w:rFonts w:ascii="Arial" w:cs="Arial" w:eastAsia="Arial" w:hAnsi="Arial"/>
          <w:sz w:val="15"/>
          <w:szCs w:val="15"/>
          <w:color w:val="auto"/>
        </w:rPr>
      </w:pPr>
      <w:r>
        <w:rPr>
          <w:rFonts w:ascii="Arial" w:cs="Arial" w:eastAsia="Arial" w:hAnsi="Arial"/>
          <w:sz w:val="15"/>
          <w:szCs w:val="15"/>
          <w:color w:val="auto"/>
        </w:rPr>
        <w:t>Employee understands that said payroll deductions will be accumulated for the purchase of shares of Common Stock at the applicable Purchase Price determined in accordance with the Plan. Employee understands that if he or she does not withdraw from an Offering Period, any accumulated payroll deductions will be used to automatically exercise his or her option and purchase Common Stock under the Plan.</w:t>
      </w:r>
    </w:p>
    <w:p>
      <w:pPr>
        <w:spacing w:after="0" w:line="154" w:lineRule="exact"/>
        <w:rPr>
          <w:rFonts w:ascii="Arial" w:cs="Arial" w:eastAsia="Arial" w:hAnsi="Arial"/>
          <w:sz w:val="15"/>
          <w:szCs w:val="15"/>
          <w:color w:val="auto"/>
        </w:rPr>
      </w:pPr>
    </w:p>
    <w:p>
      <w:pPr>
        <w:ind w:right="140" w:firstLine="448"/>
        <w:spacing w:after="0" w:line="275" w:lineRule="auto"/>
        <w:tabs>
          <w:tab w:leader="none" w:pos="721" w:val="left"/>
        </w:tabs>
        <w:numPr>
          <w:ilvl w:val="0"/>
          <w:numId w:val="350"/>
        </w:numPr>
        <w:rPr>
          <w:rFonts w:ascii="Arial" w:cs="Arial" w:eastAsia="Arial" w:hAnsi="Arial"/>
          <w:sz w:val="15"/>
          <w:szCs w:val="15"/>
          <w:color w:val="auto"/>
        </w:rPr>
      </w:pPr>
      <w:r>
        <w:rPr>
          <w:rFonts w:ascii="Arial" w:cs="Arial" w:eastAsia="Arial" w:hAnsi="Arial"/>
          <w:sz w:val="15"/>
          <w:szCs w:val="15"/>
          <w:color w:val="auto"/>
        </w:rPr>
        <w:t>Employee has received a copy of the complete Plan and its accompanying prospectus. Employee understands that his or her participation in the Plan is in all respects subject to the terms of the Plan.</w:t>
      </w:r>
    </w:p>
    <w:p>
      <w:pPr>
        <w:spacing w:after="0" w:line="146" w:lineRule="exact"/>
        <w:rPr>
          <w:sz w:val="20"/>
          <w:szCs w:val="20"/>
          <w:color w:val="auto"/>
        </w:rPr>
      </w:pPr>
    </w:p>
    <w:p>
      <w:pPr>
        <w:ind w:left="440"/>
        <w:spacing w:after="0"/>
        <w:tabs>
          <w:tab w:leader="none" w:pos="700" w:val="left"/>
          <w:tab w:leader="none" w:pos="7540" w:val="left"/>
        </w:tabs>
        <w:rPr>
          <w:sz w:val="20"/>
          <w:szCs w:val="20"/>
          <w:color w:val="auto"/>
        </w:rPr>
      </w:pPr>
      <w:r>
        <w:rPr>
          <w:rFonts w:ascii="Arial" w:cs="Arial" w:eastAsia="Arial" w:hAnsi="Arial"/>
          <w:sz w:val="15"/>
          <w:szCs w:val="15"/>
          <w:color w:val="auto"/>
        </w:rPr>
        <w:t>5.</w:t>
        <w:tab/>
        <w:t>Shares of Common Stock purchased by Employee under the Plan should be issued in the name(s) of</w:t>
      </w:r>
      <w:r>
        <w:rPr>
          <w:sz w:val="20"/>
          <w:szCs w:val="20"/>
          <w:color w:val="auto"/>
        </w:rPr>
        <w:tab/>
      </w:r>
      <w:r>
        <w:rPr>
          <w:rFonts w:ascii="Arial" w:cs="Arial" w:eastAsia="Arial" w:hAnsi="Arial"/>
          <w:sz w:val="13"/>
          <w:szCs w:val="13"/>
          <w:color w:val="auto"/>
        </w:rPr>
        <w:t>(Employee or Employee and Spouse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4298315</wp:posOffset>
            </wp:positionH>
            <wp:positionV relativeFrom="paragraph">
              <wp:posOffset>-8890</wp:posOffset>
            </wp:positionV>
            <wp:extent cx="477520" cy="6985"/>
            <wp:wrapNone/>
            <wp:docPr id="568" name="Picture 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8"/>
                    <pic:cNvPicPr>
                      <a:picLocks noChangeAspect="1" noChangeArrowheads="1"/>
                    </pic:cNvPicPr>
                  </pic:nvPicPr>
                  <pic:blipFill>
                    <a:blip r:embed="rId605">
                      <a:extLst>
                        <a:ext uri="{28A0092B-C50C-407E-A947-70E740481C1C}"/>
                      </a:extLst>
                    </a:blip>
                    <a:srcRect/>
                    <a:stretch>
                      <a:fillRect/>
                    </a:stretch>
                  </pic:blipFill>
                  <pic:spPr bwMode="auto">
                    <a:xfrm>
                      <a:off x="0" y="0"/>
                      <a:ext cx="477520" cy="6985"/>
                    </a:xfrm>
                    <a:prstGeom prst="rect">
                      <a:avLst/>
                    </a:prstGeom>
                    <a:noFill/>
                  </pic:spPr>
                </pic:pic>
              </a:graphicData>
            </a:graphic>
          </wp:anchor>
        </w:drawing>
      </w:r>
    </w:p>
    <w:p>
      <w:pPr>
        <w:spacing w:after="0" w:line="168" w:lineRule="exact"/>
        <w:rPr>
          <w:sz w:val="20"/>
          <w:szCs w:val="20"/>
          <w:color w:val="auto"/>
        </w:rPr>
      </w:pPr>
    </w:p>
    <w:p>
      <w:pPr>
        <w:jc w:val="both"/>
        <w:ind w:right="20" w:firstLine="448"/>
        <w:spacing w:after="0" w:line="294" w:lineRule="auto"/>
        <w:tabs>
          <w:tab w:leader="none" w:pos="721" w:val="left"/>
        </w:tabs>
        <w:numPr>
          <w:ilvl w:val="0"/>
          <w:numId w:val="351"/>
        </w:numPr>
        <w:rPr>
          <w:rFonts w:ascii="Arial" w:cs="Arial" w:eastAsia="Arial" w:hAnsi="Arial"/>
          <w:sz w:val="13"/>
          <w:szCs w:val="13"/>
          <w:color w:val="auto"/>
        </w:rPr>
      </w:pPr>
      <w:r>
        <w:rPr>
          <w:rFonts w:ascii="Arial" w:cs="Arial" w:eastAsia="Arial" w:hAnsi="Arial"/>
          <w:sz w:val="13"/>
          <w:szCs w:val="13"/>
          <w:color w:val="auto"/>
        </w:rPr>
        <w:t>Employee understands that if he or she disposes of any shares that he or she purchased under the Plan within two (2) years after the Enrollment Date (the first day of the Offering Period during which he or she purchased such shares) or one (1) year after the applicable Exercise Date, he or she will be treated for federal income tax purposes as having received ordinary income at the time of such disposition in an amount equal to the excess of the fair market value of the shares at the time such shares were purchased over the price paid for the shares.</w:t>
      </w:r>
    </w:p>
    <w:p>
      <w:pPr>
        <w:spacing w:after="0" w:line="1" w:lineRule="exact"/>
        <w:rPr>
          <w:rFonts w:ascii="Arial" w:cs="Arial" w:eastAsia="Arial" w:hAnsi="Arial"/>
          <w:sz w:val="13"/>
          <w:szCs w:val="13"/>
          <w:color w:val="auto"/>
        </w:rPr>
      </w:pPr>
    </w:p>
    <w:p>
      <w:pPr>
        <w:spacing w:after="0" w:line="254" w:lineRule="auto"/>
        <w:rPr>
          <w:rFonts w:ascii="Arial" w:cs="Arial" w:eastAsia="Arial" w:hAnsi="Arial"/>
          <w:sz w:val="13"/>
          <w:szCs w:val="13"/>
          <w:color w:val="auto"/>
        </w:rPr>
      </w:pPr>
      <w:r>
        <w:rPr>
          <w:rFonts w:ascii="Arial" w:cs="Arial" w:eastAsia="Arial" w:hAnsi="Arial"/>
          <w:sz w:val="15"/>
          <w:szCs w:val="15"/>
          <w:u w:val="single" w:color="auto"/>
          <w:color w:val="auto"/>
        </w:rPr>
        <w:t>Employee hereby agrees to notify the Company in writing within thirty (30) days after the date of any disposition of such shares and to make adequate provision for federal, state or other tax withholding obligations, if any, that arise upon the disposition of such shares</w:t>
      </w:r>
      <w:r>
        <w:rPr>
          <w:rFonts w:ascii="Arial" w:cs="Arial" w:eastAsia="Arial" w:hAnsi="Arial"/>
          <w:sz w:val="15"/>
          <w:szCs w:val="15"/>
          <w:color w:val="auto"/>
        </w:rPr>
        <w:t>. The Company may, but will not be obligated to, withhold from Employee’s compensation the amount necessary to meet any applicable withholding obligation including any withholding necessary to make available to the Company any tax deductions or benefits attributable to Employee’s sale or early disposition of such shares. Employee understands</w:t>
      </w:r>
    </w:p>
    <w:p>
      <w:pPr>
        <w:spacing w:after="0" w:line="106" w:lineRule="exact"/>
        <w:rPr>
          <w:rFonts w:ascii="Arial" w:cs="Arial" w:eastAsia="Arial" w:hAnsi="Arial"/>
          <w:sz w:val="13"/>
          <w:szCs w:val="13"/>
          <w:color w:val="auto"/>
        </w:rPr>
      </w:pPr>
    </w:p>
    <w:p>
      <w:pPr>
        <w:ind w:left="5640" w:hanging="89"/>
        <w:spacing w:after="0"/>
        <w:tabs>
          <w:tab w:leader="none" w:pos="5640" w:val="left"/>
        </w:tabs>
        <w:numPr>
          <w:ilvl w:val="1"/>
          <w:numId w:val="351"/>
        </w:numPr>
        <w:rPr>
          <w:rFonts w:ascii="Arial" w:cs="Arial" w:eastAsia="Arial" w:hAnsi="Arial"/>
          <w:sz w:val="15"/>
          <w:szCs w:val="15"/>
          <w:color w:val="auto"/>
        </w:rPr>
      </w:pPr>
      <w:r>
        <w:rPr>
          <w:rFonts w:ascii="Arial" w:cs="Arial" w:eastAsia="Arial" w:hAnsi="Arial"/>
          <w:sz w:val="15"/>
          <w:szCs w:val="15"/>
          <w:color w:val="auto"/>
        </w:rPr>
        <w:t>16 -</w:t>
      </w:r>
    </w:p>
    <w:p>
      <w:pPr>
        <w:sectPr>
          <w:pgSz w:w="11900" w:h="16838" w:orient="portrait"/>
          <w:cols w:equalWidth="0" w:num="1">
            <w:col w:w="11400"/>
          </w:cols>
          <w:pgMar w:left="240" w:top="238" w:right="259" w:bottom="1440" w:gutter="0" w:footer="0" w:header="0"/>
        </w:sectPr>
      </w:pPr>
    </w:p>
    <w:bookmarkStart w:id="404" w:name="page405"/>
    <w:bookmarkEnd w:id="404"/>
    <w:p>
      <w:pPr>
        <w:spacing w:after="0" w:line="259"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133350</wp:posOffset>
            </wp:positionH>
            <wp:positionV relativeFrom="page">
              <wp:posOffset>88900</wp:posOffset>
            </wp:positionV>
            <wp:extent cx="7308850" cy="34290"/>
            <wp:wrapNone/>
            <wp:docPr id="569" name="Picture 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9"/>
                    <pic:cNvPicPr>
                      <a:picLocks noChangeAspect="1" noChangeArrowheads="1"/>
                    </pic:cNvPicPr>
                  </pic:nvPicPr>
                  <pic:blipFill>
                    <a:blip r:embed="rId606">
                      <a:extLst>
                        <a:ext uri="{28A0092B-C50C-407E-A947-70E740481C1C}"/>
                      </a:extLst>
                    </a:blip>
                    <a:srcRect/>
                    <a:stretch>
                      <a:fillRect/>
                    </a:stretch>
                  </pic:blipFill>
                  <pic:spPr bwMode="auto">
                    <a:xfrm>
                      <a:off x="0" y="0"/>
                      <a:ext cx="7308850" cy="34290"/>
                    </a:xfrm>
                    <a:prstGeom prst="rect">
                      <a:avLst/>
                    </a:prstGeom>
                    <a:noFill/>
                  </pic:spPr>
                </pic:pic>
              </a:graphicData>
            </a:graphic>
          </wp:anchor>
        </w:drawing>
        <w:t>that if he or she disposes of such shares at any time after the expiration of the two (2)-year and one-(1) year holding periods, he or she will be treated for federal income tax purposes as having received income only at the time of such disposition, and that such income will be taxed as ordinary income only to the extent of an amount equal to the lesser of (i) the excess of the fair market value of the shares at the time of such disposition over the purchase price paid for the shares, or (ii) fifteen percent (15%) of the fair market value of the shares on the first day of the Offering Period. The remainder of the gain, if any, recognized on such disposition will be taxed as capital gain.</w:t>
      </w:r>
    </w:p>
    <w:p>
      <w:pPr>
        <w:spacing w:after="0" w:line="158" w:lineRule="exact"/>
        <w:rPr>
          <w:sz w:val="20"/>
          <w:szCs w:val="20"/>
          <w:color w:val="auto"/>
        </w:rPr>
      </w:pPr>
    </w:p>
    <w:p>
      <w:pPr>
        <w:ind w:left="720" w:hanging="272"/>
        <w:spacing w:after="0"/>
        <w:tabs>
          <w:tab w:leader="none" w:pos="720" w:val="left"/>
        </w:tabs>
        <w:numPr>
          <w:ilvl w:val="0"/>
          <w:numId w:val="352"/>
        </w:numPr>
        <w:rPr>
          <w:rFonts w:ascii="Arial" w:cs="Arial" w:eastAsia="Arial" w:hAnsi="Arial"/>
          <w:sz w:val="13"/>
          <w:szCs w:val="13"/>
          <w:color w:val="auto"/>
        </w:rPr>
      </w:pPr>
      <w:r>
        <w:rPr>
          <w:rFonts w:ascii="Arial" w:cs="Arial" w:eastAsia="Arial" w:hAnsi="Arial"/>
          <w:sz w:val="13"/>
          <w:szCs w:val="13"/>
          <w:color w:val="auto"/>
        </w:rPr>
        <w:t>Employee hereby agrees to be bound by the terms of the Plan. The effectiveness of this Subscription Agreement is dependent upon Employee’s eligibility to participate in the</w:t>
      </w:r>
    </w:p>
    <w:p>
      <w:pPr>
        <w:spacing w:after="0" w:line="40" w:lineRule="exact"/>
        <w:rPr>
          <w:sz w:val="20"/>
          <w:szCs w:val="20"/>
          <w:color w:val="auto"/>
        </w:rPr>
      </w:pPr>
    </w:p>
    <w:p>
      <w:pPr>
        <w:spacing w:after="0"/>
        <w:rPr>
          <w:sz w:val="20"/>
          <w:szCs w:val="20"/>
          <w:color w:val="auto"/>
        </w:rPr>
      </w:pPr>
      <w:r>
        <w:rPr>
          <w:rFonts w:ascii="Arial" w:cs="Arial" w:eastAsia="Arial" w:hAnsi="Arial"/>
          <w:sz w:val="15"/>
          <w:szCs w:val="15"/>
          <w:color w:val="auto"/>
        </w:rPr>
        <w:t>Plan.</w:t>
      </w:r>
    </w:p>
    <w:p>
      <w:pPr>
        <w:spacing w:after="0" w:line="201" w:lineRule="exact"/>
        <w:rPr>
          <w:sz w:val="20"/>
          <w:szCs w:val="20"/>
          <w:color w:val="auto"/>
        </w:rPr>
      </w:pPr>
    </w:p>
    <w:p>
      <w:pPr>
        <w:ind w:left="460"/>
        <w:spacing w:after="0"/>
        <w:rPr>
          <w:sz w:val="20"/>
          <w:szCs w:val="20"/>
          <w:color w:val="auto"/>
        </w:rPr>
      </w:pPr>
      <w:r>
        <w:rPr>
          <w:rFonts w:ascii="Arial" w:cs="Arial" w:eastAsia="Arial" w:hAnsi="Arial"/>
          <w:sz w:val="15"/>
          <w:szCs w:val="15"/>
          <w:color w:val="auto"/>
        </w:rPr>
        <w:t>Employee’s Social</w:t>
      </w:r>
    </w:p>
    <w:p>
      <w:pPr>
        <w:spacing w:after="0" w:line="17" w:lineRule="exact"/>
        <w:rPr>
          <w:sz w:val="20"/>
          <w:szCs w:val="20"/>
          <w:color w:val="auto"/>
        </w:rPr>
      </w:pPr>
    </w:p>
    <w:p>
      <w:pPr>
        <w:ind w:left="460"/>
        <w:spacing w:after="0"/>
        <w:rPr>
          <w:sz w:val="20"/>
          <w:szCs w:val="20"/>
          <w:color w:val="auto"/>
        </w:rPr>
      </w:pPr>
      <w:r>
        <w:rPr>
          <w:rFonts w:ascii="Arial" w:cs="Arial" w:eastAsia="Arial" w:hAnsi="Arial"/>
          <w:sz w:val="15"/>
          <w:szCs w:val="15"/>
          <w:color w:val="auto"/>
        </w:rPr>
        <w:t>Security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3696335</wp:posOffset>
            </wp:positionH>
            <wp:positionV relativeFrom="paragraph">
              <wp:posOffset>5715</wp:posOffset>
            </wp:positionV>
            <wp:extent cx="3272790" cy="6985"/>
            <wp:wrapNone/>
            <wp:docPr id="570" name="Picture 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0"/>
                    <pic:cNvPicPr>
                      <a:picLocks noChangeAspect="1" noChangeArrowheads="1"/>
                    </pic:cNvPicPr>
                  </pic:nvPicPr>
                  <pic:blipFill>
                    <a:blip r:embed="rId607">
                      <a:extLst>
                        <a:ext uri="{28A0092B-C50C-407E-A947-70E740481C1C}"/>
                      </a:extLst>
                    </a:blip>
                    <a:srcRect/>
                    <a:stretch>
                      <a:fillRect/>
                    </a:stretch>
                  </pic:blipFill>
                  <pic:spPr bwMode="auto">
                    <a:xfrm>
                      <a:off x="0" y="0"/>
                      <a:ext cx="3272790" cy="6985"/>
                    </a:xfrm>
                    <a:prstGeom prst="rect">
                      <a:avLst/>
                    </a:prstGeom>
                    <a:noFill/>
                  </pic:spPr>
                </pic:pic>
              </a:graphicData>
            </a:graphic>
          </wp:anchor>
        </w:drawing>
      </w:r>
    </w:p>
    <w:p>
      <w:pPr>
        <w:spacing w:after="0" w:line="91" w:lineRule="exact"/>
        <w:rPr>
          <w:sz w:val="20"/>
          <w:szCs w:val="20"/>
          <w:color w:val="auto"/>
        </w:rPr>
      </w:pPr>
    </w:p>
    <w:p>
      <w:pPr>
        <w:ind w:left="460"/>
        <w:spacing w:after="0"/>
        <w:rPr>
          <w:sz w:val="20"/>
          <w:szCs w:val="20"/>
          <w:color w:val="auto"/>
        </w:rPr>
      </w:pPr>
      <w:r>
        <w:rPr>
          <w:rFonts w:ascii="Arial" w:cs="Arial" w:eastAsia="Arial" w:hAnsi="Arial"/>
          <w:sz w:val="15"/>
          <w:szCs w:val="15"/>
          <w:color w:val="auto"/>
        </w:rPr>
        <w:t>Employee’s 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3696335</wp:posOffset>
            </wp:positionH>
            <wp:positionV relativeFrom="paragraph">
              <wp:posOffset>12065</wp:posOffset>
            </wp:positionV>
            <wp:extent cx="3272790" cy="6985"/>
            <wp:wrapNone/>
            <wp:docPr id="571" name="Picture 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1"/>
                    <pic:cNvPicPr>
                      <a:picLocks noChangeAspect="1" noChangeArrowheads="1"/>
                    </pic:cNvPicPr>
                  </pic:nvPicPr>
                  <pic:blipFill>
                    <a:blip r:embed="rId608">
                      <a:extLst>
                        <a:ext uri="{28A0092B-C50C-407E-A947-70E740481C1C}"/>
                      </a:extLst>
                    </a:blip>
                    <a:srcRect/>
                    <a:stretch>
                      <a:fillRect/>
                    </a:stretch>
                  </pic:blipFill>
                  <pic:spPr bwMode="auto">
                    <a:xfrm>
                      <a:off x="0" y="0"/>
                      <a:ext cx="3272790" cy="6985"/>
                    </a:xfrm>
                    <a:prstGeom prst="rect">
                      <a:avLst/>
                    </a:prstGeom>
                    <a:noFill/>
                  </pic:spPr>
                </pic:pic>
              </a:graphicData>
            </a:graphic>
          </wp:anchor>
        </w:drawing>
        <w:drawing>
          <wp:anchor simplePos="0" relativeHeight="251657728" behindDoc="1" locked="0" layoutInCell="0" allowOverlap="1">
            <wp:simplePos x="0" y="0"/>
            <wp:positionH relativeFrom="column">
              <wp:posOffset>3696335</wp:posOffset>
            </wp:positionH>
            <wp:positionV relativeFrom="paragraph">
              <wp:posOffset>198120</wp:posOffset>
            </wp:positionV>
            <wp:extent cx="3272790" cy="6985"/>
            <wp:wrapNone/>
            <wp:docPr id="572" name="Picture 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2"/>
                    <pic:cNvPicPr>
                      <a:picLocks noChangeAspect="1" noChangeArrowheads="1"/>
                    </pic:cNvPicPr>
                  </pic:nvPicPr>
                  <pic:blipFill>
                    <a:blip r:embed="rId609">
                      <a:extLst>
                        <a:ext uri="{28A0092B-C50C-407E-A947-70E740481C1C}"/>
                      </a:extLst>
                    </a:blip>
                    <a:srcRect/>
                    <a:stretch>
                      <a:fillRect/>
                    </a:stretch>
                  </pic:blipFill>
                  <pic:spPr bwMode="auto">
                    <a:xfrm>
                      <a:off x="0" y="0"/>
                      <a:ext cx="3272790" cy="6985"/>
                    </a:xfrm>
                    <a:prstGeom prst="rect">
                      <a:avLst/>
                    </a:prstGeom>
                    <a:noFill/>
                  </pic:spPr>
                </pic:pic>
              </a:graphicData>
            </a:graphic>
          </wp:anchor>
        </w:drawing>
        <w:drawing>
          <wp:anchor simplePos="0" relativeHeight="251657728" behindDoc="1" locked="0" layoutInCell="0" allowOverlap="1">
            <wp:simplePos x="0" y="0"/>
            <wp:positionH relativeFrom="column">
              <wp:posOffset>3696335</wp:posOffset>
            </wp:positionH>
            <wp:positionV relativeFrom="paragraph">
              <wp:posOffset>384175</wp:posOffset>
            </wp:positionV>
            <wp:extent cx="3272790" cy="6985"/>
            <wp:wrapNone/>
            <wp:docPr id="573" name="Picture 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3"/>
                    <pic:cNvPicPr>
                      <a:picLocks noChangeAspect="1" noChangeArrowheads="1"/>
                    </pic:cNvPicPr>
                  </pic:nvPicPr>
                  <pic:blipFill>
                    <a:blip r:embed="rId610">
                      <a:extLst>
                        <a:ext uri="{28A0092B-C50C-407E-A947-70E740481C1C}"/>
                      </a:extLst>
                    </a:blip>
                    <a:srcRect/>
                    <a:stretch>
                      <a:fillRect/>
                    </a:stretch>
                  </pic:blipFill>
                  <pic:spPr bwMode="auto">
                    <a:xfrm>
                      <a:off x="0" y="0"/>
                      <a:ext cx="3272790" cy="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right="220" w:firstLine="458"/>
        <w:spacing w:after="0" w:line="275" w:lineRule="auto"/>
        <w:rPr>
          <w:sz w:val="20"/>
          <w:szCs w:val="20"/>
          <w:color w:val="auto"/>
        </w:rPr>
      </w:pPr>
      <w:r>
        <w:rPr>
          <w:rFonts w:ascii="Arial" w:cs="Arial" w:eastAsia="Arial" w:hAnsi="Arial"/>
          <w:sz w:val="15"/>
          <w:szCs w:val="15"/>
          <w:color w:val="auto"/>
        </w:rPr>
        <w:t>EMPLOYEE UNDERSTANDS THAT THIS SUBSCRIPTION AGREEMENT WILL REMAIN IN EFFECT THROUGHOUT SUCCESSIVE OFFERING PERIODS UNLESS TERMINATED BY EMPLOYEE.</w:t>
      </w:r>
    </w:p>
    <w:p>
      <w:pPr>
        <w:spacing w:after="0" w:line="169" w:lineRule="exact"/>
        <w:rPr>
          <w:sz w:val="20"/>
          <w:szCs w:val="20"/>
          <w:color w:val="auto"/>
        </w:rPr>
      </w:pPr>
    </w:p>
    <w:p>
      <w:pPr>
        <w:spacing w:after="0"/>
        <w:rPr>
          <w:sz w:val="20"/>
          <w:szCs w:val="20"/>
          <w:color w:val="auto"/>
        </w:rPr>
      </w:pPr>
      <w:r>
        <w:rPr>
          <w:rFonts w:ascii="Arial" w:cs="Arial" w:eastAsia="Arial" w:hAnsi="Arial"/>
          <w:sz w:val="15"/>
          <w:szCs w:val="15"/>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12065</wp:posOffset>
            </wp:positionV>
            <wp:extent cx="3416300" cy="6985"/>
            <wp:wrapNone/>
            <wp:docPr id="574" name="Picture 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4"/>
                    <pic:cNvPicPr>
                      <a:picLocks noChangeAspect="1" noChangeArrowheads="1"/>
                    </pic:cNvPicPr>
                  </pic:nvPicPr>
                  <pic:blipFill>
                    <a:blip r:embed="rId611">
                      <a:extLst>
                        <a:ext uri="{28A0092B-C50C-407E-A947-70E740481C1C}"/>
                      </a:extLst>
                    </a:blip>
                    <a:srcRect/>
                    <a:stretch>
                      <a:fillRect/>
                    </a:stretch>
                  </pic:blipFill>
                  <pic:spPr bwMode="auto">
                    <a:xfrm>
                      <a:off x="0" y="0"/>
                      <a:ext cx="3416300" cy="6985"/>
                    </a:xfrm>
                    <a:prstGeom prst="rect">
                      <a:avLst/>
                    </a:prstGeom>
                    <a:noFill/>
                  </pic:spPr>
                </pic:pic>
              </a:graphicData>
            </a:graphic>
          </wp:anchor>
        </w:drawing>
        <w:drawing>
          <wp:anchor simplePos="0" relativeHeight="251657728" behindDoc="1" locked="0" layoutInCell="0" allowOverlap="1">
            <wp:simplePos x="0" y="0"/>
            <wp:positionH relativeFrom="column">
              <wp:posOffset>271780</wp:posOffset>
            </wp:positionH>
            <wp:positionV relativeFrom="paragraph">
              <wp:posOffset>-8890</wp:posOffset>
            </wp:positionV>
            <wp:extent cx="2147570" cy="6985"/>
            <wp:wrapNone/>
            <wp:docPr id="575" name="Picture 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5"/>
                    <pic:cNvPicPr>
                      <a:picLocks noChangeAspect="1" noChangeArrowheads="1"/>
                    </pic:cNvPicPr>
                  </pic:nvPicPr>
                  <pic:blipFill>
                    <a:blip r:embed="rId612">
                      <a:extLst>
                        <a:ext uri="{28A0092B-C50C-407E-A947-70E740481C1C}"/>
                      </a:extLst>
                    </a:blip>
                    <a:srcRect/>
                    <a:stretch>
                      <a:fillRect/>
                    </a:stretch>
                  </pic:blipFill>
                  <pic:spPr bwMode="auto">
                    <a:xfrm>
                      <a:off x="0" y="0"/>
                      <a:ext cx="2147570" cy="6985"/>
                    </a:xfrm>
                    <a:prstGeom prst="rect">
                      <a:avLst/>
                    </a:prstGeom>
                    <a:noFill/>
                  </pic:spPr>
                </pic:pic>
              </a:graphicData>
            </a:graphic>
          </wp:anchor>
        </w:drawing>
      </w:r>
    </w:p>
    <w:p>
      <w:pPr>
        <w:spacing w:after="0" w:line="11" w:lineRule="exact"/>
        <w:rPr>
          <w:sz w:val="20"/>
          <w:szCs w:val="20"/>
          <w:color w:val="auto"/>
        </w:rPr>
      </w:pPr>
    </w:p>
    <w:p>
      <w:pPr>
        <w:ind w:left="6060"/>
        <w:spacing w:after="0"/>
        <w:rPr>
          <w:sz w:val="20"/>
          <w:szCs w:val="20"/>
          <w:color w:val="auto"/>
        </w:rPr>
      </w:pPr>
      <w:r>
        <w:rPr>
          <w:rFonts w:ascii="Arial" w:cs="Arial" w:eastAsia="Arial" w:hAnsi="Arial"/>
          <w:sz w:val="15"/>
          <w:szCs w:val="15"/>
          <w:color w:val="auto"/>
        </w:rPr>
        <w:t>Signature of Employee</w:t>
      </w:r>
    </w:p>
    <w:p>
      <w:pPr>
        <w:spacing w:after="0" w:line="132" w:lineRule="exact"/>
        <w:rPr>
          <w:sz w:val="20"/>
          <w:szCs w:val="20"/>
          <w:color w:val="auto"/>
        </w:rPr>
      </w:pPr>
    </w:p>
    <w:p>
      <w:pPr>
        <w:jc w:val="center"/>
        <w:ind w:right="-79"/>
        <w:spacing w:after="0"/>
        <w:rPr>
          <w:sz w:val="20"/>
          <w:szCs w:val="20"/>
          <w:color w:val="auto"/>
        </w:rPr>
      </w:pPr>
      <w:r>
        <w:rPr>
          <w:rFonts w:ascii="Arial" w:cs="Arial" w:eastAsia="Arial" w:hAnsi="Arial"/>
          <w:sz w:val="15"/>
          <w:szCs w:val="15"/>
          <w:color w:val="auto"/>
        </w:rPr>
        <w:t>- 17 -</w:t>
      </w:r>
    </w:p>
    <w:p>
      <w:pPr>
        <w:sectPr>
          <w:pgSz w:w="11900" w:h="16838" w:orient="portrait"/>
          <w:cols w:equalWidth="0" w:num="1">
            <w:col w:w="11340"/>
          </w:cols>
          <w:pgMar w:left="240" w:top="253" w:right="319" w:bottom="1440" w:gutter="0" w:footer="0" w:header="0"/>
        </w:sectPr>
      </w:pPr>
    </w:p>
    <w:bookmarkStart w:id="405" w:name="page406"/>
    <w:bookmarkEnd w:id="405"/>
    <w:p>
      <w:pPr>
        <w:jc w:val="center"/>
        <w:ind w:right="-119"/>
        <w:spacing w:after="0"/>
        <w:rPr>
          <w:sz w:val="20"/>
          <w:szCs w:val="20"/>
          <w:color w:val="auto"/>
        </w:rPr>
      </w:pPr>
      <w:r>
        <w:rPr>
          <w:rFonts w:ascii="Arial" w:cs="Arial" w:eastAsia="Arial" w:hAnsi="Arial"/>
          <w:sz w:val="15"/>
          <w:szCs w:val="15"/>
          <w:b w:val="1"/>
          <w:bCs w:val="1"/>
          <w:u w:val="single" w:color="auto"/>
          <w:color w:val="auto"/>
        </w:rPr>
        <w:drawing>
          <wp:anchor simplePos="0" relativeHeight="251657728" behindDoc="1" locked="0" layoutInCell="0" allowOverlap="1">
            <wp:simplePos x="0" y="0"/>
            <wp:positionH relativeFrom="page">
              <wp:posOffset>133350</wp:posOffset>
            </wp:positionH>
            <wp:positionV relativeFrom="page">
              <wp:posOffset>88900</wp:posOffset>
            </wp:positionV>
            <wp:extent cx="7308850" cy="33655"/>
            <wp:wrapNone/>
            <wp:docPr id="576" name="Picture 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6"/>
                    <pic:cNvPicPr>
                      <a:picLocks noChangeAspect="1" noChangeArrowheads="1"/>
                    </pic:cNvPicPr>
                  </pic:nvPicPr>
                  <pic:blipFill>
                    <a:blip r:embed="rId613">
                      <a:extLst>
                        <a:ext uri="{28A0092B-C50C-407E-A947-70E740481C1C}"/>
                      </a:extLst>
                    </a:blip>
                    <a:srcRect/>
                    <a:stretch>
                      <a:fillRect/>
                    </a:stretch>
                  </pic:blipFill>
                  <pic:spPr bwMode="auto">
                    <a:xfrm>
                      <a:off x="0" y="0"/>
                      <a:ext cx="7308850" cy="33655"/>
                    </a:xfrm>
                    <a:prstGeom prst="rect">
                      <a:avLst/>
                    </a:prstGeom>
                    <a:noFill/>
                  </pic:spPr>
                </pic:pic>
              </a:graphicData>
            </a:graphic>
          </wp:anchor>
        </w:drawing>
        <w:t>EXHIBIT B</w:t>
      </w:r>
    </w:p>
    <w:p>
      <w:pPr>
        <w:spacing w:after="0" w:line="188" w:lineRule="exact"/>
        <w:rPr>
          <w:sz w:val="20"/>
          <w:szCs w:val="20"/>
          <w:color w:val="auto"/>
        </w:rPr>
      </w:pPr>
    </w:p>
    <w:p>
      <w:pPr>
        <w:jc w:val="center"/>
        <w:ind w:right="-119"/>
        <w:spacing w:after="0"/>
        <w:rPr>
          <w:sz w:val="20"/>
          <w:szCs w:val="20"/>
          <w:color w:val="auto"/>
        </w:rPr>
      </w:pPr>
      <w:r>
        <w:rPr>
          <w:rFonts w:ascii="Arial" w:cs="Arial" w:eastAsia="Arial" w:hAnsi="Arial"/>
          <w:sz w:val="15"/>
          <w:szCs w:val="15"/>
          <w:b w:val="1"/>
          <w:bCs w:val="1"/>
          <w:color w:val="auto"/>
        </w:rPr>
        <w:t>DROPBOX, INC.</w:t>
      </w:r>
    </w:p>
    <w:p>
      <w:pPr>
        <w:spacing w:after="0" w:line="188" w:lineRule="exact"/>
        <w:rPr>
          <w:sz w:val="20"/>
          <w:szCs w:val="20"/>
          <w:color w:val="auto"/>
        </w:rPr>
      </w:pPr>
    </w:p>
    <w:p>
      <w:pPr>
        <w:jc w:val="center"/>
        <w:ind w:right="-119"/>
        <w:spacing w:after="0"/>
        <w:rPr>
          <w:sz w:val="20"/>
          <w:szCs w:val="20"/>
          <w:color w:val="auto"/>
        </w:rPr>
      </w:pPr>
      <w:r>
        <w:rPr>
          <w:rFonts w:ascii="Arial" w:cs="Arial" w:eastAsia="Arial" w:hAnsi="Arial"/>
          <w:sz w:val="15"/>
          <w:szCs w:val="15"/>
          <w:b w:val="1"/>
          <w:bCs w:val="1"/>
          <w:color w:val="auto"/>
        </w:rPr>
        <w:t>2018 CLASS C EMPLOYEE STOCK PURCHASE PLAN</w:t>
      </w:r>
    </w:p>
    <w:p>
      <w:pPr>
        <w:spacing w:after="0" w:line="188" w:lineRule="exact"/>
        <w:rPr>
          <w:sz w:val="20"/>
          <w:szCs w:val="20"/>
          <w:color w:val="auto"/>
        </w:rPr>
      </w:pPr>
    </w:p>
    <w:p>
      <w:pPr>
        <w:jc w:val="center"/>
        <w:ind w:right="-119"/>
        <w:spacing w:after="0"/>
        <w:rPr>
          <w:sz w:val="20"/>
          <w:szCs w:val="20"/>
          <w:color w:val="auto"/>
        </w:rPr>
      </w:pPr>
      <w:r>
        <w:rPr>
          <w:rFonts w:ascii="Arial" w:cs="Arial" w:eastAsia="Arial" w:hAnsi="Arial"/>
          <w:sz w:val="15"/>
          <w:szCs w:val="15"/>
          <w:b w:val="1"/>
          <w:bCs w:val="1"/>
          <w:color w:val="auto"/>
        </w:rPr>
        <w:t>NOTICE OF WITHDRAWAL</w:t>
      </w:r>
    </w:p>
    <w:p>
      <w:pPr>
        <w:spacing w:after="0" w:line="192" w:lineRule="exact"/>
        <w:rPr>
          <w:sz w:val="20"/>
          <w:szCs w:val="20"/>
          <w:color w:val="auto"/>
        </w:rPr>
      </w:pPr>
    </w:p>
    <w:p>
      <w:pPr>
        <w:ind w:right="600" w:firstLine="458"/>
        <w:spacing w:after="0" w:line="275" w:lineRule="auto"/>
        <w:rPr>
          <w:sz w:val="20"/>
          <w:szCs w:val="20"/>
          <w:color w:val="auto"/>
        </w:rPr>
      </w:pPr>
      <w:r>
        <w:rPr>
          <w:rFonts w:ascii="Arial" w:cs="Arial" w:eastAsia="Arial" w:hAnsi="Arial"/>
          <w:sz w:val="15"/>
          <w:szCs w:val="15"/>
          <w:color w:val="auto"/>
        </w:rPr>
        <w:t>Unless otherwise defined herein, the terms defined in the 2018 Class C Employee Stock Purchase Plan (the “Plan”) shall have the same defined meanings in this Notice of Withdrawal.</w:t>
      </w:r>
    </w:p>
    <w:p>
      <w:pPr>
        <w:spacing w:after="0" w:line="146" w:lineRule="exact"/>
        <w:rPr>
          <w:sz w:val="20"/>
          <w:szCs w:val="20"/>
          <w:color w:val="auto"/>
        </w:rPr>
      </w:pPr>
    </w:p>
    <w:p>
      <w:pPr>
        <w:ind w:left="440"/>
        <w:spacing w:after="0"/>
        <w:tabs>
          <w:tab w:leader="none" w:pos="9120" w:val="left"/>
          <w:tab w:leader="none" w:pos="9540" w:val="left"/>
        </w:tabs>
        <w:rPr>
          <w:sz w:val="20"/>
          <w:szCs w:val="20"/>
          <w:color w:val="auto"/>
        </w:rPr>
      </w:pPr>
      <w:r>
        <w:rPr>
          <w:rFonts w:ascii="Arial" w:cs="Arial" w:eastAsia="Arial" w:hAnsi="Arial"/>
          <w:sz w:val="15"/>
          <w:szCs w:val="15"/>
          <w:color w:val="auto"/>
        </w:rPr>
        <w:t>The undersigned Participant in the Offering Period of the Dropbox, Inc. 2018 Class C Employee Stock Purchase Plan that began on</w:t>
      </w:r>
      <w:r>
        <w:rPr>
          <w:sz w:val="20"/>
          <w:szCs w:val="20"/>
          <w:color w:val="auto"/>
        </w:rPr>
        <w:tab/>
      </w:r>
      <w:r>
        <w:rPr>
          <w:rFonts w:ascii="Arial" w:cs="Arial" w:eastAsia="Arial" w:hAnsi="Arial"/>
          <w:sz w:val="15"/>
          <w:szCs w:val="15"/>
          <w:color w:val="auto"/>
        </w:rPr>
        <w:t>,</w:t>
      </w:r>
      <w:r>
        <w:rPr>
          <w:sz w:val="20"/>
          <w:szCs w:val="20"/>
          <w:color w:val="auto"/>
        </w:rPr>
        <w:tab/>
      </w:r>
      <w:r>
        <w:rPr>
          <w:rFonts w:ascii="Arial" w:cs="Arial" w:eastAsia="Arial" w:hAnsi="Arial"/>
          <w:sz w:val="14"/>
          <w:szCs w:val="14"/>
          <w:color w:val="auto"/>
        </w:rPr>
        <w:t>(the “Offering Date”) hereby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5332730</wp:posOffset>
            </wp:positionH>
            <wp:positionV relativeFrom="paragraph">
              <wp:posOffset>-8890</wp:posOffset>
            </wp:positionV>
            <wp:extent cx="715645" cy="6985"/>
            <wp:wrapNone/>
            <wp:docPr id="577" name="Picture 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7"/>
                    <pic:cNvPicPr>
                      <a:picLocks noChangeAspect="1" noChangeArrowheads="1"/>
                    </pic:cNvPicPr>
                  </pic:nvPicPr>
                  <pic:blipFill>
                    <a:blip r:embed="rId614">
                      <a:extLst>
                        <a:ext uri="{28A0092B-C50C-407E-A947-70E740481C1C}"/>
                      </a:extLst>
                    </a:blip>
                    <a:srcRect/>
                    <a:stretch>
                      <a:fillRect/>
                    </a:stretch>
                  </pic:blipFill>
                  <pic:spPr bwMode="auto">
                    <a:xfrm>
                      <a:off x="0" y="0"/>
                      <a:ext cx="715645" cy="6985"/>
                    </a:xfrm>
                    <a:prstGeom prst="rect">
                      <a:avLst/>
                    </a:prstGeom>
                    <a:noFill/>
                  </pic:spPr>
                </pic:pic>
              </a:graphicData>
            </a:graphic>
          </wp:anchor>
        </w:drawing>
      </w:r>
    </w:p>
    <w:p>
      <w:pPr>
        <w:ind w:right="100"/>
        <w:spacing w:after="0" w:line="278" w:lineRule="auto"/>
        <w:rPr>
          <w:sz w:val="20"/>
          <w:szCs w:val="20"/>
          <w:color w:val="auto"/>
        </w:rPr>
      </w:pPr>
      <w:r>
        <w:rPr>
          <w:rFonts w:ascii="Arial" w:cs="Arial" w:eastAsia="Arial" w:hAnsi="Arial"/>
          <w:sz w:val="14"/>
          <w:szCs w:val="14"/>
          <w:color w:val="auto"/>
        </w:rPr>
        <w:t>notifies the Company that he or she hereby withdraws from the Offering Period. He or she hereby directs the Company to pay to the undersigned as promptly as practicable all the payroll deductions credited to his or her account with respect to such Offering Period. The undersigned understands and agrees that his or her option for such Offering Period will be terminated automatically. The undersigned understands further that no further payroll deductions will be made for the purchase of shares in the current Offering Period and the undersigned will be eligible to participate in succeeding Offering Periods only by delivering to the Company a new Subscription Agreement.</w:t>
      </w:r>
    </w:p>
    <w:p>
      <w:pPr>
        <w:spacing w:after="0" w:line="169" w:lineRule="exact"/>
        <w:rPr>
          <w:sz w:val="20"/>
          <w:szCs w:val="20"/>
          <w:color w:val="auto"/>
        </w:rPr>
      </w:pPr>
    </w:p>
    <w:p>
      <w:pPr>
        <w:ind w:left="6860"/>
        <w:spacing w:after="0"/>
        <w:rPr>
          <w:sz w:val="20"/>
          <w:szCs w:val="20"/>
          <w:color w:val="auto"/>
        </w:rPr>
      </w:pPr>
      <w:r>
        <w:rPr>
          <w:rFonts w:ascii="Arial" w:cs="Arial" w:eastAsia="Arial" w:hAnsi="Arial"/>
          <w:sz w:val="15"/>
          <w:szCs w:val="15"/>
          <w:color w:val="auto"/>
        </w:rPr>
        <w:t>Name and Address of Participant: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4355465</wp:posOffset>
            </wp:positionH>
            <wp:positionV relativeFrom="paragraph">
              <wp:posOffset>183515</wp:posOffset>
            </wp:positionV>
            <wp:extent cx="2907665" cy="6985"/>
            <wp:wrapNone/>
            <wp:docPr id="578" name="Picture 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8"/>
                    <pic:cNvPicPr>
                      <a:picLocks noChangeAspect="1" noChangeArrowheads="1"/>
                    </pic:cNvPicPr>
                  </pic:nvPicPr>
                  <pic:blipFill>
                    <a:blip r:embed="rId615">
                      <a:extLst>
                        <a:ext uri="{28A0092B-C50C-407E-A947-70E740481C1C}"/>
                      </a:extLst>
                    </a:blip>
                    <a:srcRect/>
                    <a:stretch>
                      <a:fillRect/>
                    </a:stretch>
                  </pic:blipFill>
                  <pic:spPr bwMode="auto">
                    <a:xfrm>
                      <a:off x="0" y="0"/>
                      <a:ext cx="2907665" cy="6985"/>
                    </a:xfrm>
                    <a:prstGeom prst="rect">
                      <a:avLst/>
                    </a:prstGeom>
                    <a:noFill/>
                  </pic:spPr>
                </pic:pic>
              </a:graphicData>
            </a:graphic>
          </wp:anchor>
        </w:drawing>
        <w:drawing>
          <wp:anchor simplePos="0" relativeHeight="251657728" behindDoc="1" locked="0" layoutInCell="0" allowOverlap="1">
            <wp:simplePos x="0" y="0"/>
            <wp:positionH relativeFrom="column">
              <wp:posOffset>4355465</wp:posOffset>
            </wp:positionH>
            <wp:positionV relativeFrom="paragraph">
              <wp:posOffset>370205</wp:posOffset>
            </wp:positionV>
            <wp:extent cx="2907665" cy="6985"/>
            <wp:wrapNone/>
            <wp:docPr id="579" name="Picture 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9"/>
                    <pic:cNvPicPr>
                      <a:picLocks noChangeAspect="1" noChangeArrowheads="1"/>
                    </pic:cNvPicPr>
                  </pic:nvPicPr>
                  <pic:blipFill>
                    <a:blip r:embed="rId616">
                      <a:extLst>
                        <a:ext uri="{28A0092B-C50C-407E-A947-70E740481C1C}"/>
                      </a:extLst>
                    </a:blip>
                    <a:srcRect/>
                    <a:stretch>
                      <a:fillRect/>
                    </a:stretch>
                  </pic:blipFill>
                  <pic:spPr bwMode="auto">
                    <a:xfrm>
                      <a:off x="0" y="0"/>
                      <a:ext cx="2907665" cy="6985"/>
                    </a:xfrm>
                    <a:prstGeom prst="rect">
                      <a:avLst/>
                    </a:prstGeom>
                    <a:noFill/>
                  </pic:spPr>
                </pic:pic>
              </a:graphicData>
            </a:graphic>
          </wp:anchor>
        </w:drawing>
        <w:drawing>
          <wp:anchor simplePos="0" relativeHeight="251657728" behindDoc="1" locked="0" layoutInCell="0" allowOverlap="1">
            <wp:simplePos x="0" y="0"/>
            <wp:positionH relativeFrom="column">
              <wp:posOffset>4355465</wp:posOffset>
            </wp:positionH>
            <wp:positionV relativeFrom="paragraph">
              <wp:posOffset>556260</wp:posOffset>
            </wp:positionV>
            <wp:extent cx="2907665" cy="6985"/>
            <wp:wrapNone/>
            <wp:docPr id="580" name="Picture 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0"/>
                    <pic:cNvPicPr>
                      <a:picLocks noChangeAspect="1" noChangeArrowheads="1"/>
                    </pic:cNvPicPr>
                  </pic:nvPicPr>
                  <pic:blipFill>
                    <a:blip r:embed="rId617">
                      <a:extLst>
                        <a:ext uri="{28A0092B-C50C-407E-A947-70E740481C1C}"/>
                      </a:extLst>
                    </a:blip>
                    <a:srcRect/>
                    <a:stretch>
                      <a:fillRect/>
                    </a:stretch>
                  </pic:blipFill>
                  <pic:spPr bwMode="auto">
                    <a:xfrm>
                      <a:off x="0" y="0"/>
                      <a:ext cx="2907665" cy="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ind w:left="6860"/>
        <w:spacing w:after="0"/>
        <w:rPr>
          <w:sz w:val="20"/>
          <w:szCs w:val="20"/>
          <w:color w:val="auto"/>
        </w:rPr>
      </w:pPr>
      <w:r>
        <w:rPr>
          <w:rFonts w:ascii="Arial" w:cs="Arial" w:eastAsia="Arial" w:hAnsi="Arial"/>
          <w:sz w:val="15"/>
          <w:szCs w:val="15"/>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4355465</wp:posOffset>
            </wp:positionH>
            <wp:positionV relativeFrom="paragraph">
              <wp:posOffset>183515</wp:posOffset>
            </wp:positionV>
            <wp:extent cx="2907665" cy="6985"/>
            <wp:wrapNone/>
            <wp:docPr id="581" name="Picture 5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1"/>
                    <pic:cNvPicPr>
                      <a:picLocks noChangeAspect="1" noChangeArrowheads="1"/>
                    </pic:cNvPicPr>
                  </pic:nvPicPr>
                  <pic:blipFill>
                    <a:blip r:embed="rId618">
                      <a:extLst>
                        <a:ext uri="{28A0092B-C50C-407E-A947-70E740481C1C}"/>
                      </a:extLst>
                    </a:blip>
                    <a:srcRect/>
                    <a:stretch>
                      <a:fillRect/>
                    </a:stretch>
                  </pic:blipFill>
                  <pic:spPr bwMode="auto">
                    <a:xfrm>
                      <a:off x="0" y="0"/>
                      <a:ext cx="2907665" cy="6985"/>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ind w:left="6860"/>
        <w:spacing w:after="0"/>
        <w:rPr>
          <w:sz w:val="20"/>
          <w:szCs w:val="20"/>
          <w:color w:val="auto"/>
        </w:rPr>
      </w:pPr>
      <w:r>
        <w:rPr>
          <w:rFonts w:ascii="Arial" w:cs="Arial" w:eastAsia="Arial" w:hAnsi="Arial"/>
          <w:sz w:val="15"/>
          <w:szCs w:val="15"/>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4585970</wp:posOffset>
            </wp:positionH>
            <wp:positionV relativeFrom="paragraph">
              <wp:posOffset>-8890</wp:posOffset>
            </wp:positionV>
            <wp:extent cx="1908810" cy="6985"/>
            <wp:wrapNone/>
            <wp:docPr id="582" name="Picture 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2"/>
                    <pic:cNvPicPr>
                      <a:picLocks noChangeAspect="1" noChangeArrowheads="1"/>
                    </pic:cNvPicPr>
                  </pic:nvPicPr>
                  <pic:blipFill>
                    <a:blip r:embed="rId619">
                      <a:extLst>
                        <a:ext uri="{28A0092B-C50C-407E-A947-70E740481C1C}"/>
                      </a:extLst>
                    </a:blip>
                    <a:srcRect/>
                    <a:stretch>
                      <a:fillRect/>
                    </a:stretch>
                  </pic:blipFill>
                  <pic:spPr bwMode="auto">
                    <a:xfrm>
                      <a:off x="0" y="0"/>
                      <a:ext cx="1908810" cy="6985"/>
                    </a:xfrm>
                    <a:prstGeom prst="rect">
                      <a:avLst/>
                    </a:prstGeom>
                    <a:noFill/>
                  </pic:spPr>
                </pic:pic>
              </a:graphicData>
            </a:graphic>
          </wp:anchor>
        </w:drawing>
      </w:r>
    </w:p>
    <w:p>
      <w:pPr>
        <w:spacing w:after="0" w:line="112" w:lineRule="exact"/>
        <w:rPr>
          <w:sz w:val="20"/>
          <w:szCs w:val="20"/>
          <w:color w:val="auto"/>
        </w:rPr>
      </w:pPr>
    </w:p>
    <w:p>
      <w:pPr>
        <w:jc w:val="center"/>
        <w:ind w:right="-119"/>
        <w:spacing w:after="0"/>
        <w:rPr>
          <w:sz w:val="20"/>
          <w:szCs w:val="20"/>
          <w:color w:val="auto"/>
        </w:rPr>
      </w:pPr>
      <w:r>
        <w:rPr>
          <w:rFonts w:ascii="Arial" w:cs="Arial" w:eastAsia="Arial" w:hAnsi="Arial"/>
          <w:sz w:val="15"/>
          <w:szCs w:val="15"/>
          <w:color w:val="auto"/>
        </w:rPr>
        <w:t>- 18 -</w:t>
      </w:r>
    </w:p>
    <w:p>
      <w:pPr>
        <w:sectPr>
          <w:pgSz w:w="11900" w:h="16838" w:orient="portrait"/>
          <w:cols w:equalWidth="0" w:num="1">
            <w:col w:w="11300"/>
          </w:cols>
          <w:pgMar w:left="240" w:top="249" w:right="359" w:bottom="1440" w:gutter="0" w:footer="0" w:header="0"/>
        </w:sectPr>
      </w:pPr>
    </w:p>
    <w:bookmarkStart w:id="406" w:name="page407"/>
    <w:bookmarkEnd w:id="406"/>
    <w:p>
      <w:pPr>
        <w:jc w:val="right"/>
        <w:spacing w:after="0"/>
        <w:rPr>
          <w:sz w:val="20"/>
          <w:szCs w:val="20"/>
          <w:color w:val="auto"/>
        </w:rPr>
      </w:pPr>
      <w:r>
        <w:rPr>
          <w:rFonts w:ascii="Arial" w:cs="Arial" w:eastAsia="Arial" w:hAnsi="Arial"/>
          <w:sz w:val="15"/>
          <w:szCs w:val="15"/>
          <w:b w:val="1"/>
          <w:bCs w:val="1"/>
          <w:color w:val="auto"/>
        </w:rPr>
        <w:t>Exhibit 10.6</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D</w:t>
      </w:r>
      <w:r>
        <w:rPr>
          <w:rFonts w:ascii="Arial" w:cs="Arial" w:eastAsia="Arial" w:hAnsi="Arial"/>
          <w:sz w:val="12"/>
          <w:szCs w:val="12"/>
          <w:b w:val="1"/>
          <w:bCs w:val="1"/>
          <w:color w:val="auto"/>
        </w:rPr>
        <w:t>ROPBOX</w:t>
      </w:r>
      <w:r>
        <w:rPr>
          <w:rFonts w:ascii="Arial" w:cs="Arial" w:eastAsia="Arial" w:hAnsi="Arial"/>
          <w:sz w:val="15"/>
          <w:szCs w:val="15"/>
          <w:b w:val="1"/>
          <w:bCs w:val="1"/>
          <w:color w:val="auto"/>
        </w:rPr>
        <w:t>, I</w:t>
      </w:r>
      <w:r>
        <w:rPr>
          <w:rFonts w:ascii="Arial" w:cs="Arial" w:eastAsia="Arial" w:hAnsi="Arial"/>
          <w:sz w:val="12"/>
          <w:szCs w:val="12"/>
          <w:b w:val="1"/>
          <w:bCs w:val="1"/>
          <w:color w:val="auto"/>
        </w:rPr>
        <w:t>NC</w:t>
      </w:r>
      <w:r>
        <w:rPr>
          <w:rFonts w:ascii="Arial" w:cs="Arial" w:eastAsia="Arial" w:hAnsi="Arial"/>
          <w:sz w:val="15"/>
          <w:szCs w:val="15"/>
          <w:b w:val="1"/>
          <w:bCs w:val="1"/>
          <w:color w:val="auto"/>
        </w:rPr>
        <w:t>.</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2017 E</w:t>
      </w:r>
      <w:r>
        <w:rPr>
          <w:rFonts w:ascii="Arial" w:cs="Arial" w:eastAsia="Arial" w:hAnsi="Arial"/>
          <w:sz w:val="12"/>
          <w:szCs w:val="12"/>
          <w:b w:val="1"/>
          <w:bCs w:val="1"/>
          <w:color w:val="auto"/>
        </w:rPr>
        <w:t>QUITY</w:t>
      </w:r>
      <w:r>
        <w:rPr>
          <w:rFonts w:ascii="Arial" w:cs="Arial" w:eastAsia="Arial" w:hAnsi="Arial"/>
          <w:sz w:val="15"/>
          <w:szCs w:val="15"/>
          <w:b w:val="1"/>
          <w:bCs w:val="1"/>
          <w:color w:val="auto"/>
        </w:rPr>
        <w:t xml:space="preserve"> I</w:t>
      </w:r>
      <w:r>
        <w:rPr>
          <w:rFonts w:ascii="Arial" w:cs="Arial" w:eastAsia="Arial" w:hAnsi="Arial"/>
          <w:sz w:val="12"/>
          <w:szCs w:val="12"/>
          <w:b w:val="1"/>
          <w:bCs w:val="1"/>
          <w:color w:val="auto"/>
        </w:rPr>
        <w:t>NCENTIVE</w:t>
      </w:r>
      <w:r>
        <w:rPr>
          <w:rFonts w:ascii="Arial" w:cs="Arial" w:eastAsia="Arial" w:hAnsi="Arial"/>
          <w:sz w:val="15"/>
          <w:szCs w:val="15"/>
          <w:b w:val="1"/>
          <w:bCs w:val="1"/>
          <w:color w:val="auto"/>
        </w:rPr>
        <w:t xml:space="preserve"> P</w:t>
      </w:r>
      <w:r>
        <w:rPr>
          <w:rFonts w:ascii="Arial" w:cs="Arial" w:eastAsia="Arial" w:hAnsi="Arial"/>
          <w:sz w:val="12"/>
          <w:szCs w:val="12"/>
          <w:b w:val="1"/>
          <w:bCs w:val="1"/>
          <w:color w:val="auto"/>
        </w:rPr>
        <w:t>LAN</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As Adopted on March 8, 2017</w:t>
      </w:r>
    </w:p>
    <w:p>
      <w:pPr>
        <w:spacing w:after="0" w:line="188" w:lineRule="exact"/>
        <w:rPr>
          <w:sz w:val="20"/>
          <w:szCs w:val="20"/>
          <w:color w:val="auto"/>
        </w:rPr>
      </w:pPr>
    </w:p>
    <w:p>
      <w:pPr>
        <w:ind w:right="120" w:firstLine="448"/>
        <w:spacing w:after="0" w:line="295" w:lineRule="auto"/>
        <w:tabs>
          <w:tab w:leader="none" w:pos="608" w:val="left"/>
        </w:tabs>
        <w:numPr>
          <w:ilvl w:val="0"/>
          <w:numId w:val="353"/>
        </w:numPr>
        <w:rPr>
          <w:rFonts w:ascii="Arial" w:cs="Arial" w:eastAsia="Arial" w:hAnsi="Arial"/>
          <w:sz w:val="13"/>
          <w:szCs w:val="13"/>
          <w:b w:val="1"/>
          <w:bCs w:val="1"/>
          <w:color w:val="auto"/>
        </w:rPr>
      </w:pPr>
      <w:r>
        <w:rPr>
          <w:rFonts w:ascii="Arial" w:cs="Arial" w:eastAsia="Arial" w:hAnsi="Arial"/>
          <w:sz w:val="13"/>
          <w:szCs w:val="13"/>
          <w:b w:val="1"/>
          <w:bCs w:val="1"/>
          <w:u w:val="single" w:color="auto"/>
          <w:color w:val="auto"/>
        </w:rPr>
        <w:t>PURPOSE</w:t>
      </w:r>
      <w:r>
        <w:rPr>
          <w:rFonts w:ascii="Arial" w:cs="Arial" w:eastAsia="Arial" w:hAnsi="Arial"/>
          <w:sz w:val="13"/>
          <w:szCs w:val="13"/>
          <w:b w:val="1"/>
          <w:bCs w:val="1"/>
          <w:color w:val="auto"/>
        </w:rPr>
        <w:t xml:space="preserve">. </w:t>
      </w:r>
      <w:r>
        <w:rPr>
          <w:rFonts w:ascii="Arial" w:cs="Arial" w:eastAsia="Arial" w:hAnsi="Arial"/>
          <w:sz w:val="13"/>
          <w:szCs w:val="13"/>
          <w:color w:val="auto"/>
        </w:rPr>
        <w:t>The purpose of this Plan is to provide incentives to attract, retain and motivate eligible persons whose present and potential contributions are important to the success</w:t>
      </w:r>
      <w:r>
        <w:rPr>
          <w:rFonts w:ascii="Arial" w:cs="Arial" w:eastAsia="Arial" w:hAnsi="Arial"/>
          <w:sz w:val="13"/>
          <w:szCs w:val="13"/>
          <w:b w:val="1"/>
          <w:bCs w:val="1"/>
          <w:color w:val="auto"/>
        </w:rPr>
        <w:t xml:space="preserve"> </w:t>
      </w:r>
      <w:r>
        <w:rPr>
          <w:rFonts w:ascii="Arial" w:cs="Arial" w:eastAsia="Arial" w:hAnsi="Arial"/>
          <w:sz w:val="13"/>
          <w:szCs w:val="13"/>
          <w:color w:val="auto"/>
        </w:rPr>
        <w:t>of the Company, its Parent and Subsidiaries by offering eligible persons an opportunity to participate in the Company’s future performance through the grant of Awards covering Shares. Capitalized terms not defined in the text are defined in Section 14 hereof. Although this Plan is intended to be a written compensatory benefit plan within the meaning of Rule 701, grants may be made pursuant to this Plan that do not qualify for exemption under Rule 701 or Section 25102(o). Any requirement of this Plan that is required in law only because of</w:t>
      </w:r>
    </w:p>
    <w:p>
      <w:pPr>
        <w:spacing w:after="0"/>
        <w:rPr>
          <w:rFonts w:ascii="Arial" w:cs="Arial" w:eastAsia="Arial" w:hAnsi="Arial"/>
          <w:sz w:val="13"/>
          <w:szCs w:val="13"/>
          <w:b w:val="1"/>
          <w:bCs w:val="1"/>
          <w:color w:val="auto"/>
        </w:rPr>
      </w:pPr>
      <w:r>
        <w:rPr>
          <w:rFonts w:ascii="Arial" w:cs="Arial" w:eastAsia="Arial" w:hAnsi="Arial"/>
          <w:sz w:val="15"/>
          <w:szCs w:val="15"/>
          <w:color w:val="auto"/>
        </w:rPr>
        <w:t>Section 25102(o) need not apply if the Committee so provides.</w:t>
      </w:r>
    </w:p>
    <w:p>
      <w:pPr>
        <w:spacing w:after="0" w:line="265" w:lineRule="exact"/>
        <w:rPr>
          <w:rFonts w:ascii="Arial" w:cs="Arial" w:eastAsia="Arial" w:hAnsi="Arial"/>
          <w:sz w:val="13"/>
          <w:szCs w:val="13"/>
          <w:b w:val="1"/>
          <w:bCs w:val="1"/>
          <w:color w:val="auto"/>
        </w:rPr>
      </w:pPr>
    </w:p>
    <w:p>
      <w:pPr>
        <w:ind w:left="600" w:hanging="152"/>
        <w:spacing w:after="0"/>
        <w:tabs>
          <w:tab w:leader="none" w:pos="600" w:val="left"/>
        </w:tabs>
        <w:numPr>
          <w:ilvl w:val="0"/>
          <w:numId w:val="353"/>
        </w:numPr>
        <w:rPr>
          <w:rFonts w:ascii="Arial" w:cs="Arial" w:eastAsia="Arial" w:hAnsi="Arial"/>
          <w:sz w:val="15"/>
          <w:szCs w:val="15"/>
          <w:b w:val="1"/>
          <w:bCs w:val="1"/>
          <w:color w:val="auto"/>
        </w:rPr>
      </w:pPr>
      <w:r>
        <w:rPr>
          <w:rFonts w:ascii="Arial" w:cs="Arial" w:eastAsia="Arial" w:hAnsi="Arial"/>
          <w:sz w:val="15"/>
          <w:szCs w:val="15"/>
          <w:b w:val="1"/>
          <w:bCs w:val="1"/>
          <w:u w:val="single" w:color="auto"/>
          <w:color w:val="auto"/>
        </w:rPr>
        <w:t>SHARES SUBJECT TO THE PLAN</w:t>
      </w:r>
      <w:r>
        <w:rPr>
          <w:rFonts w:ascii="Arial" w:cs="Arial" w:eastAsia="Arial" w:hAnsi="Arial"/>
          <w:sz w:val="15"/>
          <w:szCs w:val="15"/>
          <w:b w:val="1"/>
          <w:bCs w:val="1"/>
          <w:color w:val="auto"/>
        </w:rPr>
        <w:t>.</w:t>
      </w:r>
    </w:p>
    <w:p>
      <w:pPr>
        <w:spacing w:after="0" w:line="98" w:lineRule="exact"/>
        <w:rPr>
          <w:sz w:val="20"/>
          <w:szCs w:val="20"/>
          <w:color w:val="auto"/>
        </w:rPr>
      </w:pPr>
    </w:p>
    <w:p>
      <w:pPr>
        <w:ind w:right="80" w:firstLine="916"/>
        <w:spacing w:after="0" w:line="277" w:lineRule="auto"/>
        <w:rPr>
          <w:sz w:val="20"/>
          <w:szCs w:val="20"/>
          <w:color w:val="auto"/>
        </w:rPr>
      </w:pPr>
      <w:r>
        <w:rPr>
          <w:rFonts w:ascii="Arial" w:cs="Arial" w:eastAsia="Arial" w:hAnsi="Arial"/>
          <w:sz w:val="14"/>
          <w:szCs w:val="14"/>
          <w:b w:val="1"/>
          <w:bCs w:val="1"/>
          <w:color w:val="auto"/>
        </w:rPr>
        <w:t xml:space="preserve">2.1 </w:t>
      </w:r>
      <w:r>
        <w:rPr>
          <w:rFonts w:ascii="Arial" w:cs="Arial" w:eastAsia="Arial" w:hAnsi="Arial"/>
          <w:sz w:val="14"/>
          <w:szCs w:val="14"/>
          <w:b w:val="1"/>
          <w:bCs w:val="1"/>
          <w:u w:val="single" w:color="auto"/>
          <w:color w:val="auto"/>
        </w:rPr>
        <w:t>Number of Shares Available</w:t>
      </w:r>
      <w:r>
        <w:rPr>
          <w:rFonts w:ascii="Arial" w:cs="Arial" w:eastAsia="Arial" w:hAnsi="Arial"/>
          <w:sz w:val="14"/>
          <w:szCs w:val="14"/>
          <w:color w:val="auto"/>
        </w:rPr>
        <w:t>. Subject to Sections 2.3 and 11 hereof, the total number of Shares reserved and available for grant and issuance pursuant to this Plan will be</w:t>
      </w:r>
      <w:r>
        <w:rPr>
          <w:rFonts w:ascii="Arial" w:cs="Arial" w:eastAsia="Arial" w:hAnsi="Arial"/>
          <w:sz w:val="14"/>
          <w:szCs w:val="14"/>
          <w:b w:val="1"/>
          <w:bCs w:val="1"/>
          <w:color w:val="auto"/>
        </w:rPr>
        <w:t xml:space="preserve"> </w:t>
      </w:r>
      <w:r>
        <w:rPr>
          <w:rFonts w:ascii="Arial" w:cs="Arial" w:eastAsia="Arial" w:hAnsi="Arial"/>
          <w:sz w:val="14"/>
          <w:szCs w:val="14"/>
          <w:color w:val="auto"/>
        </w:rPr>
        <w:t>equal to the sum (a) the reserved shares not issued or subject to outstanding grants under the Company’s 2008 Equity Incentive Plan (the “</w:t>
      </w:r>
      <w:r>
        <w:rPr>
          <w:rFonts w:ascii="Arial" w:cs="Arial" w:eastAsia="Arial" w:hAnsi="Arial"/>
          <w:sz w:val="14"/>
          <w:szCs w:val="14"/>
          <w:b w:val="1"/>
          <w:bCs w:val="1"/>
          <w:i w:val="1"/>
          <w:iCs w:val="1"/>
          <w:color w:val="auto"/>
        </w:rPr>
        <w:t>Prior Plan</w:t>
      </w:r>
      <w:r>
        <w:rPr>
          <w:rFonts w:ascii="Arial" w:cs="Arial" w:eastAsia="Arial" w:hAnsi="Arial"/>
          <w:sz w:val="14"/>
          <w:szCs w:val="14"/>
          <w:color w:val="auto"/>
        </w:rPr>
        <w:t>”) on the Effective Date (as defined in Section 13.1 hereof), (b) shares that are subject to awards granted under the Prior Plan that cease to be subject to such awards by forfeiture or otherwise after the Effective Date, (c) shares issued under the Prior Plan before or after the Effective Date pursuant to the exercise of stock options that are, after the Effective Date, forfeited, (d) shares issued under the Prior Plan that are repurchased by the Company at the original issue price and (e) shares that are subject to stock options or other awards under the Prior Plan that are used to pay the exercise price of an option or withheld to satisfy the tax withholding obligations related to any award. Any shares of the Company’s Class B Common Stock recycled from the Prior Plan into this Plan pursuant to this Section 2.1 shall be issuable hereunder as the Company’s Class A Common Stock.</w:t>
      </w:r>
    </w:p>
    <w:p>
      <w:pPr>
        <w:spacing w:after="0" w:line="143" w:lineRule="exact"/>
        <w:rPr>
          <w:sz w:val="20"/>
          <w:szCs w:val="20"/>
          <w:color w:val="auto"/>
        </w:rPr>
      </w:pPr>
    </w:p>
    <w:p>
      <w:pPr>
        <w:ind w:right="40" w:firstLine="916"/>
        <w:spacing w:after="0" w:line="307" w:lineRule="auto"/>
        <w:rPr>
          <w:sz w:val="20"/>
          <w:szCs w:val="20"/>
          <w:color w:val="auto"/>
        </w:rPr>
      </w:pPr>
      <w:r>
        <w:rPr>
          <w:rFonts w:ascii="Arial" w:cs="Arial" w:eastAsia="Arial" w:hAnsi="Arial"/>
          <w:sz w:val="13"/>
          <w:szCs w:val="13"/>
          <w:b w:val="1"/>
          <w:bCs w:val="1"/>
          <w:color w:val="auto"/>
        </w:rPr>
        <w:t xml:space="preserve">2.2 </w:t>
      </w:r>
      <w:r>
        <w:rPr>
          <w:rFonts w:ascii="Arial" w:cs="Arial" w:eastAsia="Arial" w:hAnsi="Arial"/>
          <w:sz w:val="13"/>
          <w:szCs w:val="13"/>
          <w:b w:val="1"/>
          <w:bCs w:val="1"/>
          <w:u w:val="single" w:color="auto"/>
          <w:color w:val="auto"/>
        </w:rPr>
        <w:t>Lapse, Returned Awards</w:t>
      </w:r>
      <w:r>
        <w:rPr>
          <w:rFonts w:ascii="Arial" w:cs="Arial" w:eastAsia="Arial" w:hAnsi="Arial"/>
          <w:sz w:val="13"/>
          <w:szCs w:val="13"/>
          <w:color w:val="auto"/>
        </w:rPr>
        <w:t>. Subject to Sections 2.3 and 11 hereof, Shares subject to Awards that are cancelled, forfeited, settled in cash, used to pay withholding</w:t>
      </w:r>
      <w:r>
        <w:rPr>
          <w:rFonts w:ascii="Arial" w:cs="Arial" w:eastAsia="Arial" w:hAnsi="Arial"/>
          <w:sz w:val="13"/>
          <w:szCs w:val="13"/>
          <w:b w:val="1"/>
          <w:bCs w:val="1"/>
          <w:color w:val="auto"/>
        </w:rPr>
        <w:t xml:space="preserve"> </w:t>
      </w:r>
      <w:r>
        <w:rPr>
          <w:rFonts w:ascii="Arial" w:cs="Arial" w:eastAsia="Arial" w:hAnsi="Arial"/>
          <w:sz w:val="13"/>
          <w:szCs w:val="13"/>
          <w:color w:val="auto"/>
        </w:rPr>
        <w:t>obligations or pay the exercise price of an Option or that expire by their terms at any time will again be available for grant and issuance in connection with other Awards. At all times the Company will reserve and keep available a sufficient number of Shares as will be required to satisfy the requirements of all Awards granted and outstanding under this Plan. In no event shall the total number of Shares issued (counting each reissuance of a Share that was previously issued and then forfeited or repurchased by the Company as a separate issuance) under the Plan upon exercise of ISOs exceed Two Hundred Million (200,000,000) Shares (adjusted in proportion to any adjustments under Section 2.3 hereof) over the term of the Plan (the “</w:t>
      </w:r>
      <w:r>
        <w:rPr>
          <w:rFonts w:ascii="Arial" w:cs="Arial" w:eastAsia="Arial" w:hAnsi="Arial"/>
          <w:sz w:val="13"/>
          <w:szCs w:val="13"/>
          <w:b w:val="1"/>
          <w:bCs w:val="1"/>
          <w:i w:val="1"/>
          <w:iCs w:val="1"/>
          <w:color w:val="auto"/>
        </w:rPr>
        <w:t>ISO Limit</w:t>
      </w:r>
      <w:r>
        <w:rPr>
          <w:rFonts w:ascii="Arial" w:cs="Arial" w:eastAsia="Arial" w:hAnsi="Arial"/>
          <w:sz w:val="13"/>
          <w:szCs w:val="13"/>
          <w:color w:val="auto"/>
        </w:rPr>
        <w:t>”).</w:t>
      </w:r>
    </w:p>
    <w:p>
      <w:pPr>
        <w:spacing w:after="0" w:line="127" w:lineRule="exact"/>
        <w:rPr>
          <w:sz w:val="20"/>
          <w:szCs w:val="20"/>
          <w:color w:val="auto"/>
        </w:rPr>
      </w:pPr>
    </w:p>
    <w:p>
      <w:pPr>
        <w:ind w:right="40" w:firstLine="916"/>
        <w:spacing w:after="0" w:line="256" w:lineRule="auto"/>
        <w:rPr>
          <w:sz w:val="20"/>
          <w:szCs w:val="20"/>
          <w:color w:val="auto"/>
        </w:rPr>
      </w:pPr>
      <w:r>
        <w:rPr>
          <w:rFonts w:ascii="Arial" w:cs="Arial" w:eastAsia="Arial" w:hAnsi="Arial"/>
          <w:sz w:val="15"/>
          <w:szCs w:val="15"/>
          <w:b w:val="1"/>
          <w:bCs w:val="1"/>
          <w:color w:val="auto"/>
        </w:rPr>
        <w:t xml:space="preserve">2.3 </w:t>
      </w:r>
      <w:r>
        <w:rPr>
          <w:rFonts w:ascii="Arial" w:cs="Arial" w:eastAsia="Arial" w:hAnsi="Arial"/>
          <w:sz w:val="15"/>
          <w:szCs w:val="15"/>
          <w:b w:val="1"/>
          <w:bCs w:val="1"/>
          <w:u w:val="single" w:color="auto"/>
          <w:color w:val="auto"/>
        </w:rPr>
        <w:t>Adjustment of Shares</w:t>
      </w:r>
      <w:r>
        <w:rPr>
          <w:rFonts w:ascii="Arial" w:cs="Arial" w:eastAsia="Arial" w:hAnsi="Arial"/>
          <w:sz w:val="15"/>
          <w:szCs w:val="15"/>
          <w:color w:val="auto"/>
        </w:rPr>
        <w:t>. In the event that the number of outstanding shares of Common Stock is changed by a stock dividend, recapitalization, stock split, reverse stock</w:t>
      </w:r>
      <w:r>
        <w:rPr>
          <w:rFonts w:ascii="Arial" w:cs="Arial" w:eastAsia="Arial" w:hAnsi="Arial"/>
          <w:sz w:val="15"/>
          <w:szCs w:val="15"/>
          <w:b w:val="1"/>
          <w:bCs w:val="1"/>
          <w:color w:val="auto"/>
        </w:rPr>
        <w:t xml:space="preserve"> </w:t>
      </w:r>
      <w:r>
        <w:rPr>
          <w:rFonts w:ascii="Arial" w:cs="Arial" w:eastAsia="Arial" w:hAnsi="Arial"/>
          <w:sz w:val="15"/>
          <w:szCs w:val="15"/>
          <w:color w:val="auto"/>
        </w:rPr>
        <w:t xml:space="preserve">split, subdivision, combination, reclassification or other change in the capital structure of the Company affecting Shares without consideration, then in order to prevent diminution or enlargement of the benefits or potential benefits intended to be made available under the Plan (a) the number of Shares reserved for issuance under this Plan, (b) the Exercise Prices of and number of Shares subject to outstanding Options and SARs, and (c) the Purchase Prices of and/or number of Shares subject to other outstanding Awards will (to the extent appropriate) be proportionately adjusted, subject to any required action by the Board or the stockholders of the Company and compliance with applicable securities laws; </w:t>
      </w:r>
      <w:r>
        <w:rPr>
          <w:rFonts w:ascii="Arial" w:cs="Arial" w:eastAsia="Arial" w:hAnsi="Arial"/>
          <w:sz w:val="15"/>
          <w:szCs w:val="15"/>
          <w:i w:val="1"/>
          <w:iCs w:val="1"/>
          <w:u w:val="single" w:color="auto"/>
          <w:color w:val="auto"/>
        </w:rPr>
        <w:t>provided</w:t>
      </w:r>
      <w:r>
        <w:rPr>
          <w:rFonts w:ascii="Arial" w:cs="Arial" w:eastAsia="Arial" w:hAnsi="Arial"/>
          <w:sz w:val="15"/>
          <w:szCs w:val="15"/>
          <w:color w:val="auto"/>
        </w:rPr>
        <w:t xml:space="preserve">, </w:t>
      </w:r>
      <w:r>
        <w:rPr>
          <w:rFonts w:ascii="Arial" w:cs="Arial" w:eastAsia="Arial" w:hAnsi="Arial"/>
          <w:sz w:val="15"/>
          <w:szCs w:val="15"/>
          <w:i w:val="1"/>
          <w:iCs w:val="1"/>
          <w:u w:val="single" w:color="auto"/>
          <w:color w:val="auto"/>
        </w:rPr>
        <w:t>however</w:t>
      </w:r>
      <w:r>
        <w:rPr>
          <w:rFonts w:ascii="Arial" w:cs="Arial" w:eastAsia="Arial" w:hAnsi="Arial"/>
          <w:sz w:val="15"/>
          <w:szCs w:val="15"/>
          <w:color w:val="auto"/>
        </w:rPr>
        <w:t>, that fractions of a Share will not be issued but will either be paid in cash at the Fair Market Value of such fraction of a Share or will be rounded down to the nearest whole Share, as determined by the Committee.</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w:t>
      </w:r>
    </w:p>
    <w:p>
      <w:pPr>
        <w:sectPr>
          <w:pgSz w:w="11900" w:h="16838" w:orient="portrait"/>
          <w:cols w:equalWidth="0" w:num="1">
            <w:col w:w="11440"/>
          </w:cols>
          <w:pgMar w:left="240" w:top="125" w:right="219" w:bottom="1440" w:gutter="0" w:footer="0" w:header="0"/>
        </w:sectPr>
      </w:pPr>
    </w:p>
    <w:bookmarkStart w:id="407" w:name="page408"/>
    <w:bookmarkEnd w:id="407"/>
    <w:p>
      <w:pPr>
        <w:ind w:left="610" w:hanging="152"/>
        <w:spacing w:after="0"/>
        <w:tabs>
          <w:tab w:leader="none" w:pos="610" w:val="left"/>
        </w:tabs>
        <w:numPr>
          <w:ilvl w:val="0"/>
          <w:numId w:val="354"/>
        </w:numPr>
        <w:rPr>
          <w:rFonts w:ascii="Arial" w:cs="Arial" w:eastAsia="Arial" w:hAnsi="Arial"/>
          <w:sz w:val="15"/>
          <w:szCs w:val="15"/>
          <w:b w:val="1"/>
          <w:bCs w:val="1"/>
          <w:color w:val="auto"/>
        </w:rPr>
      </w:pPr>
      <w:r>
        <w:rPr>
          <w:rFonts w:ascii="Arial" w:cs="Arial" w:eastAsia="Arial" w:hAnsi="Arial"/>
          <w:sz w:val="15"/>
          <w:szCs w:val="15"/>
          <w:b w:val="1"/>
          <w:bCs w:val="1"/>
          <w:u w:val="single" w:color="auto"/>
          <w:color w:val="auto"/>
        </w:rPr>
        <w:drawing>
          <wp:anchor simplePos="0" relativeHeight="251657728" behindDoc="1" locked="0" layoutInCell="0" allowOverlap="1">
            <wp:simplePos x="0" y="0"/>
            <wp:positionH relativeFrom="page">
              <wp:posOffset>133350</wp:posOffset>
            </wp:positionH>
            <wp:positionV relativeFrom="page">
              <wp:posOffset>88900</wp:posOffset>
            </wp:positionV>
            <wp:extent cx="7308850" cy="34290"/>
            <wp:wrapNone/>
            <wp:docPr id="583" name="Picture 5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3"/>
                    <pic:cNvPicPr>
                      <a:picLocks noChangeAspect="1" noChangeArrowheads="1"/>
                    </pic:cNvPicPr>
                  </pic:nvPicPr>
                  <pic:blipFill>
                    <a:blip r:embed="rId620">
                      <a:extLst>
                        <a:ext uri="{28A0092B-C50C-407E-A947-70E740481C1C}"/>
                      </a:extLst>
                    </a:blip>
                    <a:srcRect/>
                    <a:stretch>
                      <a:fillRect/>
                    </a:stretch>
                  </pic:blipFill>
                  <pic:spPr bwMode="auto">
                    <a:xfrm>
                      <a:off x="0" y="0"/>
                      <a:ext cx="7308850" cy="34290"/>
                    </a:xfrm>
                    <a:prstGeom prst="rect">
                      <a:avLst/>
                    </a:prstGeom>
                    <a:noFill/>
                  </pic:spPr>
                </pic:pic>
              </a:graphicData>
            </a:graphic>
          </wp:anchor>
        </w:drawing>
        <w:t>PLAN FOR BENEFIT OF SERVICE PROVIDERS</w:t>
      </w:r>
      <w:r>
        <w:rPr>
          <w:rFonts w:ascii="Arial" w:cs="Arial" w:eastAsia="Arial" w:hAnsi="Arial"/>
          <w:sz w:val="15"/>
          <w:szCs w:val="15"/>
          <w:b w:val="1"/>
          <w:bCs w:val="1"/>
          <w:color w:val="auto"/>
        </w:rPr>
        <w:t>.</w:t>
      </w:r>
    </w:p>
    <w:p>
      <w:pPr>
        <w:spacing w:after="0" w:line="98" w:lineRule="exact"/>
        <w:rPr>
          <w:sz w:val="20"/>
          <w:szCs w:val="20"/>
          <w:color w:val="auto"/>
        </w:rPr>
      </w:pPr>
    </w:p>
    <w:p>
      <w:pPr>
        <w:ind w:left="10" w:firstLine="916"/>
        <w:spacing w:after="0" w:line="258" w:lineRule="auto"/>
        <w:rPr>
          <w:sz w:val="20"/>
          <w:szCs w:val="20"/>
          <w:color w:val="auto"/>
        </w:rPr>
      </w:pPr>
      <w:r>
        <w:rPr>
          <w:rFonts w:ascii="Arial" w:cs="Arial" w:eastAsia="Arial" w:hAnsi="Arial"/>
          <w:sz w:val="15"/>
          <w:szCs w:val="15"/>
          <w:b w:val="1"/>
          <w:bCs w:val="1"/>
          <w:color w:val="auto"/>
        </w:rPr>
        <w:t xml:space="preserve">3.1 </w:t>
      </w:r>
      <w:r>
        <w:rPr>
          <w:rFonts w:ascii="Arial" w:cs="Arial" w:eastAsia="Arial" w:hAnsi="Arial"/>
          <w:sz w:val="15"/>
          <w:szCs w:val="15"/>
          <w:b w:val="1"/>
          <w:bCs w:val="1"/>
          <w:u w:val="single" w:color="auto"/>
          <w:color w:val="auto"/>
        </w:rPr>
        <w:t>Eligibility</w:t>
      </w:r>
      <w:r>
        <w:rPr>
          <w:rFonts w:ascii="Arial" w:cs="Arial" w:eastAsia="Arial" w:hAnsi="Arial"/>
          <w:sz w:val="15"/>
          <w:szCs w:val="15"/>
          <w:color w:val="auto"/>
        </w:rPr>
        <w:t>. The Committee will have the authority to select persons to receive Awards. ISOs (as defined in Section 4 hereof) may be granted only to employees (including</w:t>
      </w:r>
      <w:r>
        <w:rPr>
          <w:rFonts w:ascii="Arial" w:cs="Arial" w:eastAsia="Arial" w:hAnsi="Arial"/>
          <w:sz w:val="15"/>
          <w:szCs w:val="15"/>
          <w:b w:val="1"/>
          <w:bCs w:val="1"/>
          <w:color w:val="auto"/>
        </w:rPr>
        <w:t xml:space="preserve"> </w:t>
      </w:r>
      <w:r>
        <w:rPr>
          <w:rFonts w:ascii="Arial" w:cs="Arial" w:eastAsia="Arial" w:hAnsi="Arial"/>
          <w:sz w:val="15"/>
          <w:szCs w:val="15"/>
          <w:color w:val="auto"/>
        </w:rPr>
        <w:t xml:space="preserve">officers and directors who are also employees) of the Company or of a Parent or Subsidiary of the Company. NQSOs (as defined in Section 4 hereof) and all other types of Awards may be granted to employees, officers, directors and consultants of the Company or any Parent or Subsidiary of the Company; </w:t>
      </w:r>
      <w:r>
        <w:rPr>
          <w:rFonts w:ascii="Arial" w:cs="Arial" w:eastAsia="Arial" w:hAnsi="Arial"/>
          <w:sz w:val="15"/>
          <w:szCs w:val="15"/>
          <w:i w:val="1"/>
          <w:iCs w:val="1"/>
          <w:u w:val="single" w:color="auto"/>
          <w:color w:val="auto"/>
        </w:rPr>
        <w:t>provided</w:t>
      </w:r>
      <w:r>
        <w:rPr>
          <w:rFonts w:ascii="Arial" w:cs="Arial" w:eastAsia="Arial" w:hAnsi="Arial"/>
          <w:sz w:val="15"/>
          <w:szCs w:val="15"/>
          <w:color w:val="auto"/>
        </w:rPr>
        <w:t xml:space="preserve"> such consultants render bona fide services not in connection with the offer and sale of securities in a capital-raising transaction when Rule 701 is to apply to the Award granted for such services. A person may be granted more than one Award under this Plan.</w:t>
      </w:r>
    </w:p>
    <w:p>
      <w:pPr>
        <w:spacing w:after="0" w:line="156" w:lineRule="exact"/>
        <w:rPr>
          <w:sz w:val="20"/>
          <w:szCs w:val="20"/>
          <w:color w:val="auto"/>
        </w:rPr>
      </w:pPr>
    </w:p>
    <w:p>
      <w:pPr>
        <w:ind w:left="10" w:right="180" w:firstLine="916"/>
        <w:spacing w:after="0" w:line="266" w:lineRule="auto"/>
        <w:rPr>
          <w:sz w:val="20"/>
          <w:szCs w:val="20"/>
          <w:color w:val="auto"/>
        </w:rPr>
      </w:pPr>
      <w:r>
        <w:rPr>
          <w:rFonts w:ascii="Arial" w:cs="Arial" w:eastAsia="Arial" w:hAnsi="Arial"/>
          <w:sz w:val="15"/>
          <w:szCs w:val="15"/>
          <w:b w:val="1"/>
          <w:bCs w:val="1"/>
          <w:color w:val="auto"/>
        </w:rPr>
        <w:t xml:space="preserve">3.2 </w:t>
      </w:r>
      <w:r>
        <w:rPr>
          <w:rFonts w:ascii="Arial" w:cs="Arial" w:eastAsia="Arial" w:hAnsi="Arial"/>
          <w:sz w:val="15"/>
          <w:szCs w:val="15"/>
          <w:b w:val="1"/>
          <w:bCs w:val="1"/>
          <w:u w:val="single" w:color="auto"/>
          <w:color w:val="auto"/>
        </w:rPr>
        <w:t>No Obligation to Employ</w:t>
      </w:r>
      <w:r>
        <w:rPr>
          <w:rFonts w:ascii="Arial" w:cs="Arial" w:eastAsia="Arial" w:hAnsi="Arial"/>
          <w:sz w:val="15"/>
          <w:szCs w:val="15"/>
          <w:color w:val="auto"/>
        </w:rPr>
        <w:t>. Nothing in this Plan or any Award granted under this Plan will confer or be deemed to confer on any Participant any right to continue in the</w:t>
      </w:r>
      <w:r>
        <w:rPr>
          <w:rFonts w:ascii="Arial" w:cs="Arial" w:eastAsia="Arial" w:hAnsi="Arial"/>
          <w:sz w:val="15"/>
          <w:szCs w:val="15"/>
          <w:b w:val="1"/>
          <w:bCs w:val="1"/>
          <w:color w:val="auto"/>
        </w:rPr>
        <w:t xml:space="preserve"> </w:t>
      </w:r>
      <w:r>
        <w:rPr>
          <w:rFonts w:ascii="Arial" w:cs="Arial" w:eastAsia="Arial" w:hAnsi="Arial"/>
          <w:sz w:val="15"/>
          <w:szCs w:val="15"/>
          <w:color w:val="auto"/>
        </w:rPr>
        <w:t>employ of, or to continue any other relationship with, the Company or any Parent or Subsidiary or limit in any way the right of the Company or any Parent or Subsidiary to terminate Participant’s employment or other relationship at any time, with or without Cause.</w:t>
      </w:r>
    </w:p>
    <w:p>
      <w:pPr>
        <w:spacing w:after="0" w:line="148" w:lineRule="exact"/>
        <w:rPr>
          <w:sz w:val="20"/>
          <w:szCs w:val="20"/>
          <w:color w:val="auto"/>
        </w:rPr>
      </w:pPr>
    </w:p>
    <w:p>
      <w:pPr>
        <w:ind w:left="10" w:right="120" w:firstLine="448"/>
        <w:spacing w:after="0" w:line="266" w:lineRule="auto"/>
        <w:tabs>
          <w:tab w:leader="none" w:pos="618" w:val="left"/>
        </w:tabs>
        <w:numPr>
          <w:ilvl w:val="0"/>
          <w:numId w:val="355"/>
        </w:numPr>
        <w:rPr>
          <w:rFonts w:ascii="Arial" w:cs="Arial" w:eastAsia="Arial" w:hAnsi="Arial"/>
          <w:sz w:val="15"/>
          <w:szCs w:val="15"/>
          <w:b w:val="1"/>
          <w:bCs w:val="1"/>
          <w:color w:val="auto"/>
        </w:rPr>
      </w:pPr>
      <w:r>
        <w:rPr>
          <w:rFonts w:ascii="Arial" w:cs="Arial" w:eastAsia="Arial" w:hAnsi="Arial"/>
          <w:sz w:val="15"/>
          <w:szCs w:val="15"/>
          <w:b w:val="1"/>
          <w:bCs w:val="1"/>
          <w:u w:val="single" w:color="auto"/>
          <w:color w:val="auto"/>
        </w:rPr>
        <w:t>OPTIONS</w:t>
      </w:r>
      <w:r>
        <w:rPr>
          <w:rFonts w:ascii="Arial" w:cs="Arial" w:eastAsia="Arial" w:hAnsi="Arial"/>
          <w:sz w:val="15"/>
          <w:szCs w:val="15"/>
          <w:b w:val="1"/>
          <w:bCs w:val="1"/>
          <w:color w:val="auto"/>
        </w:rPr>
        <w:t xml:space="preserve">. </w:t>
      </w:r>
      <w:r>
        <w:rPr>
          <w:rFonts w:ascii="Arial" w:cs="Arial" w:eastAsia="Arial" w:hAnsi="Arial"/>
          <w:sz w:val="15"/>
          <w:szCs w:val="15"/>
          <w:color w:val="auto"/>
        </w:rPr>
        <w:t>The Committee may grant Options to eligible persons described in Section 3 hereof and will determine whether such Options will be Incentive Stock Options within</w:t>
      </w:r>
      <w:r>
        <w:rPr>
          <w:rFonts w:ascii="Arial" w:cs="Arial" w:eastAsia="Arial" w:hAnsi="Arial"/>
          <w:sz w:val="15"/>
          <w:szCs w:val="15"/>
          <w:b w:val="1"/>
          <w:bCs w:val="1"/>
          <w:color w:val="auto"/>
        </w:rPr>
        <w:t xml:space="preserve"> </w:t>
      </w:r>
      <w:r>
        <w:rPr>
          <w:rFonts w:ascii="Arial" w:cs="Arial" w:eastAsia="Arial" w:hAnsi="Arial"/>
          <w:sz w:val="15"/>
          <w:szCs w:val="15"/>
          <w:color w:val="auto"/>
        </w:rPr>
        <w:t>the meaning of the Code (“</w:t>
      </w:r>
      <w:r>
        <w:rPr>
          <w:rFonts w:ascii="Arial" w:cs="Arial" w:eastAsia="Arial" w:hAnsi="Arial"/>
          <w:sz w:val="15"/>
          <w:szCs w:val="15"/>
          <w:b w:val="1"/>
          <w:bCs w:val="1"/>
          <w:i w:val="1"/>
          <w:iCs w:val="1"/>
          <w:color w:val="auto"/>
        </w:rPr>
        <w:t>ISOs</w:t>
      </w:r>
      <w:r>
        <w:rPr>
          <w:rFonts w:ascii="Arial" w:cs="Arial" w:eastAsia="Arial" w:hAnsi="Arial"/>
          <w:sz w:val="15"/>
          <w:szCs w:val="15"/>
          <w:color w:val="auto"/>
        </w:rPr>
        <w:t>”) or Nonqualified Stock Options (“</w:t>
      </w:r>
      <w:r>
        <w:rPr>
          <w:rFonts w:ascii="Arial" w:cs="Arial" w:eastAsia="Arial" w:hAnsi="Arial"/>
          <w:sz w:val="15"/>
          <w:szCs w:val="15"/>
          <w:b w:val="1"/>
          <w:bCs w:val="1"/>
          <w:i w:val="1"/>
          <w:iCs w:val="1"/>
          <w:color w:val="auto"/>
        </w:rPr>
        <w:t>NQSOs</w:t>
      </w:r>
      <w:r>
        <w:rPr>
          <w:rFonts w:ascii="Arial" w:cs="Arial" w:eastAsia="Arial" w:hAnsi="Arial"/>
          <w:sz w:val="15"/>
          <w:szCs w:val="15"/>
          <w:color w:val="auto"/>
        </w:rPr>
        <w:t>”), the number of Shares subject to the Option, the Exercise Price of the Option, the period during which the Option may be exercised, and all other terms and conditions of the Option, subject to the following.</w:t>
      </w:r>
    </w:p>
    <w:p>
      <w:pPr>
        <w:spacing w:after="0" w:line="148" w:lineRule="exact"/>
        <w:rPr>
          <w:sz w:val="20"/>
          <w:szCs w:val="20"/>
          <w:color w:val="auto"/>
        </w:rPr>
      </w:pPr>
    </w:p>
    <w:p>
      <w:pPr>
        <w:jc w:val="both"/>
        <w:ind w:left="10" w:right="80" w:firstLine="916"/>
        <w:spacing w:after="0" w:line="266" w:lineRule="auto"/>
        <w:rPr>
          <w:sz w:val="20"/>
          <w:szCs w:val="20"/>
          <w:color w:val="auto"/>
        </w:rPr>
      </w:pPr>
      <w:r>
        <w:rPr>
          <w:rFonts w:ascii="Arial" w:cs="Arial" w:eastAsia="Arial" w:hAnsi="Arial"/>
          <w:sz w:val="15"/>
          <w:szCs w:val="15"/>
          <w:b w:val="1"/>
          <w:bCs w:val="1"/>
          <w:color w:val="auto"/>
        </w:rPr>
        <w:t xml:space="preserve">4.1 </w:t>
      </w:r>
      <w:r>
        <w:rPr>
          <w:rFonts w:ascii="Arial" w:cs="Arial" w:eastAsia="Arial" w:hAnsi="Arial"/>
          <w:sz w:val="15"/>
          <w:szCs w:val="15"/>
          <w:b w:val="1"/>
          <w:bCs w:val="1"/>
          <w:u w:val="single" w:color="auto"/>
          <w:color w:val="auto"/>
        </w:rPr>
        <w:t>Form of Option Grant</w:t>
      </w:r>
      <w:r>
        <w:rPr>
          <w:rFonts w:ascii="Arial" w:cs="Arial" w:eastAsia="Arial" w:hAnsi="Arial"/>
          <w:sz w:val="15"/>
          <w:szCs w:val="15"/>
          <w:color w:val="auto"/>
        </w:rPr>
        <w:t>. Each Option granted under this Plan will be evidenced by an Award Agreement which will expressly identify the Option as an ISO or an NQSO</w:t>
      </w:r>
      <w:r>
        <w:rPr>
          <w:rFonts w:ascii="Arial" w:cs="Arial" w:eastAsia="Arial" w:hAnsi="Arial"/>
          <w:sz w:val="15"/>
          <w:szCs w:val="15"/>
          <w:b w:val="1"/>
          <w:bCs w:val="1"/>
          <w:color w:val="auto"/>
        </w:rPr>
        <w:t xml:space="preserve"> </w:t>
      </w:r>
      <w:r>
        <w:rPr>
          <w:rFonts w:ascii="Arial" w:cs="Arial" w:eastAsia="Arial" w:hAnsi="Arial"/>
          <w:sz w:val="15"/>
          <w:szCs w:val="15"/>
          <w:color w:val="auto"/>
        </w:rPr>
        <w:t>(“</w:t>
      </w:r>
      <w:r>
        <w:rPr>
          <w:rFonts w:ascii="Arial" w:cs="Arial" w:eastAsia="Arial" w:hAnsi="Arial"/>
          <w:sz w:val="15"/>
          <w:szCs w:val="15"/>
          <w:b w:val="1"/>
          <w:bCs w:val="1"/>
          <w:i w:val="1"/>
          <w:iCs w:val="1"/>
          <w:color w:val="auto"/>
        </w:rPr>
        <w:t>Stock Option Agreement</w:t>
      </w:r>
      <w:r>
        <w:rPr>
          <w:rFonts w:ascii="Arial" w:cs="Arial" w:eastAsia="Arial" w:hAnsi="Arial"/>
          <w:sz w:val="15"/>
          <w:szCs w:val="15"/>
          <w:color w:val="auto"/>
        </w:rPr>
        <w:t>”), and will be in such form and contain such provisions (which need not be the same for each Participant) as the Committee may from time to time approve, and which will comply with and be subject to the terms and conditions of this Plan.</w:t>
      </w:r>
    </w:p>
    <w:p>
      <w:pPr>
        <w:spacing w:after="0" w:line="148" w:lineRule="exact"/>
        <w:rPr>
          <w:sz w:val="20"/>
          <w:szCs w:val="20"/>
          <w:color w:val="auto"/>
        </w:rPr>
      </w:pPr>
    </w:p>
    <w:p>
      <w:pPr>
        <w:ind w:left="10" w:right="280" w:firstLine="916"/>
        <w:spacing w:after="0" w:line="361" w:lineRule="auto"/>
        <w:rPr>
          <w:sz w:val="20"/>
          <w:szCs w:val="20"/>
          <w:color w:val="auto"/>
        </w:rPr>
      </w:pPr>
      <w:r>
        <w:rPr>
          <w:rFonts w:ascii="Arial" w:cs="Arial" w:eastAsia="Arial" w:hAnsi="Arial"/>
          <w:sz w:val="13"/>
          <w:szCs w:val="13"/>
          <w:b w:val="1"/>
          <w:bCs w:val="1"/>
          <w:color w:val="auto"/>
        </w:rPr>
        <w:t xml:space="preserve">4.2 </w:t>
      </w:r>
      <w:r>
        <w:rPr>
          <w:rFonts w:ascii="Arial" w:cs="Arial" w:eastAsia="Arial" w:hAnsi="Arial"/>
          <w:sz w:val="13"/>
          <w:szCs w:val="13"/>
          <w:b w:val="1"/>
          <w:bCs w:val="1"/>
          <w:u w:val="single" w:color="auto"/>
          <w:color w:val="auto"/>
        </w:rPr>
        <w:t>Date of Grant</w:t>
      </w:r>
      <w:r>
        <w:rPr>
          <w:rFonts w:ascii="Arial" w:cs="Arial" w:eastAsia="Arial" w:hAnsi="Arial"/>
          <w:sz w:val="13"/>
          <w:szCs w:val="13"/>
          <w:color w:val="auto"/>
        </w:rPr>
        <w:t>. The date of grant of an Option will be the date on which the Committee makes the determination to grant such Option, unless a later date is otherwise</w:t>
      </w:r>
      <w:r>
        <w:rPr>
          <w:rFonts w:ascii="Arial" w:cs="Arial" w:eastAsia="Arial" w:hAnsi="Arial"/>
          <w:sz w:val="13"/>
          <w:szCs w:val="13"/>
          <w:b w:val="1"/>
          <w:bCs w:val="1"/>
          <w:color w:val="auto"/>
        </w:rPr>
        <w:t xml:space="preserve"> </w:t>
      </w:r>
      <w:r>
        <w:rPr>
          <w:rFonts w:ascii="Arial" w:cs="Arial" w:eastAsia="Arial" w:hAnsi="Arial"/>
          <w:sz w:val="13"/>
          <w:szCs w:val="13"/>
          <w:color w:val="auto"/>
        </w:rPr>
        <w:t>specified by the Committee. The Stock Option Agreement and a copy of this Plan will be delivered to the Participant within a reasonable time after the granting of the Option.</w:t>
      </w:r>
    </w:p>
    <w:p>
      <w:pPr>
        <w:spacing w:after="0" w:line="92" w:lineRule="exact"/>
        <w:rPr>
          <w:sz w:val="20"/>
          <w:szCs w:val="20"/>
          <w:color w:val="auto"/>
        </w:rPr>
      </w:pPr>
    </w:p>
    <w:p>
      <w:pPr>
        <w:ind w:left="10" w:right="180" w:firstLine="916"/>
        <w:spacing w:after="0" w:line="296" w:lineRule="auto"/>
        <w:rPr>
          <w:sz w:val="20"/>
          <w:szCs w:val="20"/>
          <w:color w:val="auto"/>
        </w:rPr>
      </w:pPr>
      <w:r>
        <w:rPr>
          <w:rFonts w:ascii="Arial" w:cs="Arial" w:eastAsia="Arial" w:hAnsi="Arial"/>
          <w:sz w:val="13"/>
          <w:szCs w:val="13"/>
          <w:b w:val="1"/>
          <w:bCs w:val="1"/>
          <w:color w:val="auto"/>
        </w:rPr>
        <w:t xml:space="preserve">4.3 </w:t>
      </w:r>
      <w:r>
        <w:rPr>
          <w:rFonts w:ascii="Arial" w:cs="Arial" w:eastAsia="Arial" w:hAnsi="Arial"/>
          <w:sz w:val="13"/>
          <w:szCs w:val="13"/>
          <w:b w:val="1"/>
          <w:bCs w:val="1"/>
          <w:u w:val="single" w:color="auto"/>
          <w:color w:val="auto"/>
        </w:rPr>
        <w:t>Exercise Period</w:t>
      </w:r>
      <w:r>
        <w:rPr>
          <w:rFonts w:ascii="Arial" w:cs="Arial" w:eastAsia="Arial" w:hAnsi="Arial"/>
          <w:sz w:val="13"/>
          <w:szCs w:val="13"/>
          <w:color w:val="auto"/>
        </w:rPr>
        <w:t>. Options may be exercisable within the time or upon the events determined by the Committee in the Award Agreement and may be awarded as</w:t>
      </w:r>
      <w:r>
        <w:rPr>
          <w:rFonts w:ascii="Arial" w:cs="Arial" w:eastAsia="Arial" w:hAnsi="Arial"/>
          <w:sz w:val="13"/>
          <w:szCs w:val="13"/>
          <w:b w:val="1"/>
          <w:bCs w:val="1"/>
          <w:color w:val="auto"/>
        </w:rPr>
        <w:t xml:space="preserve"> </w:t>
      </w:r>
      <w:r>
        <w:rPr>
          <w:rFonts w:ascii="Arial" w:cs="Arial" w:eastAsia="Arial" w:hAnsi="Arial"/>
          <w:sz w:val="13"/>
          <w:szCs w:val="13"/>
          <w:color w:val="auto"/>
        </w:rPr>
        <w:t xml:space="preserve">immediately exercisable but subject to repurchase pursuant to Section 10 hereof or may be exercisable within the times or upon the events determined by the Committee as set forth in the Stock Option Agreement governing such Option; </w:t>
      </w:r>
      <w:r>
        <w:rPr>
          <w:rFonts w:ascii="Arial" w:cs="Arial" w:eastAsia="Arial" w:hAnsi="Arial"/>
          <w:sz w:val="13"/>
          <w:szCs w:val="13"/>
          <w:i w:val="1"/>
          <w:iCs w:val="1"/>
          <w:u w:val="single" w:color="auto"/>
          <w:color w:val="auto"/>
        </w:rPr>
        <w:t>provided</w:t>
      </w:r>
      <w:r>
        <w:rPr>
          <w:rFonts w:ascii="Arial" w:cs="Arial" w:eastAsia="Arial" w:hAnsi="Arial"/>
          <w:sz w:val="13"/>
          <w:szCs w:val="13"/>
          <w:color w:val="auto"/>
        </w:rPr>
        <w:t xml:space="preserve">, </w:t>
      </w:r>
      <w:r>
        <w:rPr>
          <w:rFonts w:ascii="Arial" w:cs="Arial" w:eastAsia="Arial" w:hAnsi="Arial"/>
          <w:sz w:val="13"/>
          <w:szCs w:val="13"/>
          <w:i w:val="1"/>
          <w:iCs w:val="1"/>
          <w:u w:val="single" w:color="auto"/>
          <w:color w:val="auto"/>
        </w:rPr>
        <w:t>however</w:t>
      </w:r>
      <w:r>
        <w:rPr>
          <w:rFonts w:ascii="Arial" w:cs="Arial" w:eastAsia="Arial" w:hAnsi="Arial"/>
          <w:sz w:val="13"/>
          <w:szCs w:val="13"/>
          <w:color w:val="auto"/>
        </w:rPr>
        <w:t>, that (a) no Option will be exercisable after the expiration of ten (10) years from the date the Option is granted; and</w:t>
      </w:r>
    </w:p>
    <w:p>
      <w:pPr>
        <w:spacing w:after="0" w:line="2" w:lineRule="exact"/>
        <w:rPr>
          <w:sz w:val="20"/>
          <w:szCs w:val="20"/>
          <w:color w:val="auto"/>
        </w:rPr>
      </w:pPr>
    </w:p>
    <w:p>
      <w:pPr>
        <w:ind w:left="10" w:hanging="10"/>
        <w:spacing w:after="0" w:line="283" w:lineRule="auto"/>
        <w:tabs>
          <w:tab w:leader="none" w:pos="223" w:val="left"/>
        </w:tabs>
        <w:numPr>
          <w:ilvl w:val="0"/>
          <w:numId w:val="356"/>
        </w:numPr>
        <w:rPr>
          <w:rFonts w:ascii="Arial" w:cs="Arial" w:eastAsia="Arial" w:hAnsi="Arial"/>
          <w:sz w:val="14"/>
          <w:szCs w:val="14"/>
          <w:color w:val="auto"/>
        </w:rPr>
      </w:pPr>
      <w:r>
        <w:rPr>
          <w:rFonts w:ascii="Arial" w:cs="Arial" w:eastAsia="Arial" w:hAnsi="Arial"/>
          <w:sz w:val="14"/>
          <w:szCs w:val="14"/>
          <w:color w:val="auto"/>
        </w:rPr>
        <w:t>no ISO granted to a person who directly or by attribution owns more than ten percent (10%) of the total combined voting power of all classes of stock of the Company or of any Parent or Subsidiary (“</w:t>
      </w:r>
      <w:r>
        <w:rPr>
          <w:rFonts w:ascii="Arial" w:cs="Arial" w:eastAsia="Arial" w:hAnsi="Arial"/>
          <w:sz w:val="14"/>
          <w:szCs w:val="14"/>
          <w:b w:val="1"/>
          <w:bCs w:val="1"/>
          <w:i w:val="1"/>
          <w:iCs w:val="1"/>
          <w:color w:val="auto"/>
        </w:rPr>
        <w:t>Ten Percent Stockholder</w:t>
      </w:r>
      <w:r>
        <w:rPr>
          <w:rFonts w:ascii="Arial" w:cs="Arial" w:eastAsia="Arial" w:hAnsi="Arial"/>
          <w:sz w:val="14"/>
          <w:szCs w:val="14"/>
          <w:color w:val="auto"/>
        </w:rPr>
        <w:t>”) will be exercisable after the expiration of five (5) years from the date the ISO is granted. The Committee also may provide for Options to become exercisable at one time or from time to time, periodically or otherwise, in such number of Shares or percentage of Shares as the Committee determines.</w:t>
      </w:r>
    </w:p>
    <w:p>
      <w:pPr>
        <w:spacing w:after="0" w:line="139" w:lineRule="exact"/>
        <w:rPr>
          <w:sz w:val="20"/>
          <w:szCs w:val="20"/>
          <w:color w:val="auto"/>
        </w:rPr>
      </w:pPr>
    </w:p>
    <w:p>
      <w:pPr>
        <w:ind w:left="910"/>
        <w:spacing w:after="0"/>
        <w:rPr>
          <w:sz w:val="20"/>
          <w:szCs w:val="20"/>
          <w:color w:val="auto"/>
        </w:rPr>
      </w:pPr>
      <w:r>
        <w:rPr>
          <w:rFonts w:ascii="Arial" w:cs="Arial" w:eastAsia="Arial" w:hAnsi="Arial"/>
          <w:sz w:val="13"/>
          <w:szCs w:val="13"/>
          <w:b w:val="1"/>
          <w:bCs w:val="1"/>
          <w:color w:val="auto"/>
        </w:rPr>
        <w:t xml:space="preserve">4.4 </w:t>
      </w:r>
      <w:r>
        <w:rPr>
          <w:rFonts w:ascii="Arial" w:cs="Arial" w:eastAsia="Arial" w:hAnsi="Arial"/>
          <w:sz w:val="13"/>
          <w:szCs w:val="13"/>
          <w:b w:val="1"/>
          <w:bCs w:val="1"/>
          <w:u w:val="single" w:color="auto"/>
          <w:color w:val="auto"/>
        </w:rPr>
        <w:t>Exercise Price</w:t>
      </w:r>
      <w:r>
        <w:rPr>
          <w:rFonts w:ascii="Arial" w:cs="Arial" w:eastAsia="Arial" w:hAnsi="Arial"/>
          <w:sz w:val="13"/>
          <w:szCs w:val="13"/>
          <w:color w:val="auto"/>
        </w:rPr>
        <w:t>. The Exercise Price of an Option will be determined by the Committee when the Option is granted and shall not be less than the Fair Market Value per</w:t>
      </w:r>
    </w:p>
    <w:p>
      <w:pPr>
        <w:spacing w:after="0" w:line="44" w:lineRule="exact"/>
        <w:rPr>
          <w:sz w:val="20"/>
          <w:szCs w:val="20"/>
          <w:color w:val="auto"/>
        </w:rPr>
      </w:pPr>
    </w:p>
    <w:p>
      <w:pPr>
        <w:ind w:left="10"/>
        <w:spacing w:after="0"/>
        <w:rPr>
          <w:sz w:val="20"/>
          <w:szCs w:val="20"/>
          <w:color w:val="auto"/>
        </w:rPr>
      </w:pPr>
      <w:r>
        <w:rPr>
          <w:rFonts w:ascii="Arial" w:cs="Arial" w:eastAsia="Arial" w:hAnsi="Arial"/>
          <w:sz w:val="15"/>
          <w:szCs w:val="15"/>
          <w:color w:val="auto"/>
        </w:rPr>
        <w:t>Share unless</w:t>
      </w:r>
    </w:p>
    <w:p>
      <w:pPr>
        <w:spacing w:after="0" w:line="123" w:lineRule="exact"/>
        <w:rPr>
          <w:sz w:val="20"/>
          <w:szCs w:val="20"/>
          <w:color w:val="auto"/>
        </w:rPr>
      </w:pPr>
    </w:p>
    <w:p>
      <w:pPr>
        <w:jc w:val="center"/>
        <w:ind w:right="-49"/>
        <w:spacing w:after="0"/>
        <w:rPr>
          <w:sz w:val="20"/>
          <w:szCs w:val="20"/>
          <w:color w:val="auto"/>
        </w:rPr>
      </w:pPr>
      <w:r>
        <w:rPr>
          <w:rFonts w:ascii="Arial" w:cs="Arial" w:eastAsia="Arial" w:hAnsi="Arial"/>
          <w:sz w:val="15"/>
          <w:szCs w:val="15"/>
          <w:color w:val="auto"/>
        </w:rPr>
        <w:t>2</w:t>
      </w:r>
    </w:p>
    <w:p>
      <w:pPr>
        <w:sectPr>
          <w:pgSz w:w="11900" w:h="16838" w:orient="portrait"/>
          <w:cols w:equalWidth="0" w:num="1">
            <w:col w:w="11390"/>
          </w:cols>
          <w:pgMar w:left="230" w:top="249" w:right="279" w:bottom="1440" w:gutter="0" w:footer="0" w:header="0"/>
        </w:sectPr>
      </w:pPr>
    </w:p>
    <w:bookmarkStart w:id="408" w:name="page409"/>
    <w:bookmarkEnd w:id="408"/>
    <w:p>
      <w:pPr>
        <w:ind w:right="300"/>
        <w:spacing w:after="0" w:line="354" w:lineRule="auto"/>
        <w:rPr>
          <w:sz w:val="20"/>
          <w:szCs w:val="20"/>
          <w:color w:val="auto"/>
        </w:rPr>
      </w:pPr>
      <w:r>
        <w:rPr>
          <w:rFonts w:ascii="Arial" w:cs="Arial" w:eastAsia="Arial" w:hAnsi="Arial"/>
          <w:sz w:val="13"/>
          <w:szCs w:val="13"/>
          <w:color w:val="auto"/>
        </w:rPr>
        <w:drawing>
          <wp:anchor simplePos="0" relativeHeight="251657728" behindDoc="1" locked="0" layoutInCell="0" allowOverlap="1">
            <wp:simplePos x="0" y="0"/>
            <wp:positionH relativeFrom="page">
              <wp:posOffset>133350</wp:posOffset>
            </wp:positionH>
            <wp:positionV relativeFrom="page">
              <wp:posOffset>88900</wp:posOffset>
            </wp:positionV>
            <wp:extent cx="7308850" cy="34290"/>
            <wp:wrapNone/>
            <wp:docPr id="584" name="Picture 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4"/>
                    <pic:cNvPicPr>
                      <a:picLocks noChangeAspect="1" noChangeArrowheads="1"/>
                    </pic:cNvPicPr>
                  </pic:nvPicPr>
                  <pic:blipFill>
                    <a:blip r:embed="rId621">
                      <a:extLst>
                        <a:ext uri="{28A0092B-C50C-407E-A947-70E740481C1C}"/>
                      </a:extLst>
                    </a:blip>
                    <a:srcRect/>
                    <a:stretch>
                      <a:fillRect/>
                    </a:stretch>
                  </pic:blipFill>
                  <pic:spPr bwMode="auto">
                    <a:xfrm>
                      <a:off x="0" y="0"/>
                      <a:ext cx="7308850" cy="34290"/>
                    </a:xfrm>
                    <a:prstGeom prst="rect">
                      <a:avLst/>
                    </a:prstGeom>
                    <a:noFill/>
                  </pic:spPr>
                </pic:pic>
              </a:graphicData>
            </a:graphic>
          </wp:anchor>
        </w:drawing>
        <w:t xml:space="preserve">expressly determined in writing by the Committee on the Option’s date of grant; </w:t>
      </w:r>
      <w:r>
        <w:rPr>
          <w:rFonts w:ascii="Arial" w:cs="Arial" w:eastAsia="Arial" w:hAnsi="Arial"/>
          <w:sz w:val="13"/>
          <w:szCs w:val="13"/>
          <w:i w:val="1"/>
          <w:iCs w:val="1"/>
          <w:u w:val="single" w:color="auto"/>
          <w:color w:val="auto"/>
        </w:rPr>
        <w:t>provided</w:t>
      </w:r>
      <w:r>
        <w:rPr>
          <w:rFonts w:ascii="Arial" w:cs="Arial" w:eastAsia="Arial" w:hAnsi="Arial"/>
          <w:sz w:val="13"/>
          <w:szCs w:val="13"/>
          <w:color w:val="auto"/>
        </w:rPr>
        <w:t xml:space="preserve"> that the Exercise Price of an ISO granted to a Ten Percent Stockholder will not be less than one hundred ten percent (110%) of the Fair Market Value of the Shares on the date of grant. Payment for the Shares purchased must be made in accordance with Section 8 hereof.</w:t>
      </w:r>
    </w:p>
    <w:p>
      <w:pPr>
        <w:spacing w:after="0" w:line="96" w:lineRule="exact"/>
        <w:rPr>
          <w:sz w:val="20"/>
          <w:szCs w:val="20"/>
          <w:color w:val="auto"/>
        </w:rPr>
      </w:pPr>
    </w:p>
    <w:p>
      <w:pPr>
        <w:ind w:right="60" w:firstLine="916"/>
        <w:spacing w:after="0" w:line="298" w:lineRule="auto"/>
        <w:rPr>
          <w:sz w:val="20"/>
          <w:szCs w:val="20"/>
          <w:color w:val="auto"/>
        </w:rPr>
      </w:pPr>
      <w:r>
        <w:rPr>
          <w:rFonts w:ascii="Arial" w:cs="Arial" w:eastAsia="Arial" w:hAnsi="Arial"/>
          <w:sz w:val="13"/>
          <w:szCs w:val="13"/>
          <w:b w:val="1"/>
          <w:bCs w:val="1"/>
          <w:color w:val="auto"/>
        </w:rPr>
        <w:t xml:space="preserve">4.5 </w:t>
      </w:r>
      <w:r>
        <w:rPr>
          <w:rFonts w:ascii="Arial" w:cs="Arial" w:eastAsia="Arial" w:hAnsi="Arial"/>
          <w:sz w:val="13"/>
          <w:szCs w:val="13"/>
          <w:b w:val="1"/>
          <w:bCs w:val="1"/>
          <w:u w:val="single" w:color="auto"/>
          <w:color w:val="auto"/>
        </w:rPr>
        <w:t>Method of Exercise</w:t>
      </w:r>
      <w:r>
        <w:rPr>
          <w:rFonts w:ascii="Arial" w:cs="Arial" w:eastAsia="Arial" w:hAnsi="Arial"/>
          <w:sz w:val="13"/>
          <w:szCs w:val="13"/>
          <w:color w:val="auto"/>
        </w:rPr>
        <w:t>. Options may be exercised only by delivery to the Company of a written stock option exercise agreement (the “</w:t>
      </w:r>
      <w:r>
        <w:rPr>
          <w:rFonts w:ascii="Arial" w:cs="Arial" w:eastAsia="Arial" w:hAnsi="Arial"/>
          <w:sz w:val="13"/>
          <w:szCs w:val="13"/>
          <w:b w:val="1"/>
          <w:bCs w:val="1"/>
          <w:i w:val="1"/>
          <w:iCs w:val="1"/>
          <w:color w:val="auto"/>
        </w:rPr>
        <w:t>Exercise Agreement</w:t>
      </w:r>
      <w:r>
        <w:rPr>
          <w:rFonts w:ascii="Arial" w:cs="Arial" w:eastAsia="Arial" w:hAnsi="Arial"/>
          <w:sz w:val="13"/>
          <w:szCs w:val="13"/>
          <w:color w:val="auto"/>
        </w:rPr>
        <w:t>”) in a form</w:t>
      </w:r>
      <w:r>
        <w:rPr>
          <w:rFonts w:ascii="Arial" w:cs="Arial" w:eastAsia="Arial" w:hAnsi="Arial"/>
          <w:sz w:val="13"/>
          <w:szCs w:val="13"/>
          <w:b w:val="1"/>
          <w:bCs w:val="1"/>
          <w:color w:val="auto"/>
        </w:rPr>
        <w:t xml:space="preserve"> </w:t>
      </w:r>
      <w:r>
        <w:rPr>
          <w:rFonts w:ascii="Arial" w:cs="Arial" w:eastAsia="Arial" w:hAnsi="Arial"/>
          <w:sz w:val="13"/>
          <w:szCs w:val="13"/>
          <w:color w:val="auto"/>
        </w:rPr>
        <w:t>approved by the Committee (which need not be the same for each Participant). The Exercise Agreement will state (a) the number of Shares being purchased, (b) the restrictions imposed on the Shares purchased under such Exercise Agreement, if any, and (c) such representations and agreements regarding Participant’s investment intent and access to information and other matters, if any, as may be required or desirable by the Company to comply with applicable securities laws. Each Participant’s Exercise Agreement may be modified by (i) agreement of Participant and the Company or (ii) substitution by the Company, upon becoming a public company, in order to add the payment terms set forth in Section 8.1 that apply to a public company and such other terms as shall be necessary or advisable in order to exercise a public company option. Upon exercise of an Option, Participant shall execute and deliver to the Company the Exercise Agreement then in effect, together with payment in full of the Exercise Price for the number of Shares being purchased and payment of any applicable taxes. No adjustment will be made for a dividend or other right for which the record date is prior to the date the Shares are issued, except as provided in Section 2.2 of the Plan. Exercising an Option in any manner will decrease the number of Shares thereafter available, both for purposes of the Plan and for sale under the Option, by the number of Shares as to which the Option is exercised.</w:t>
      </w:r>
    </w:p>
    <w:p>
      <w:pPr>
        <w:spacing w:after="0" w:line="134" w:lineRule="exact"/>
        <w:rPr>
          <w:sz w:val="20"/>
          <w:szCs w:val="20"/>
          <w:color w:val="auto"/>
        </w:rPr>
      </w:pPr>
    </w:p>
    <w:p>
      <w:pPr>
        <w:ind w:right="280" w:firstLine="916"/>
        <w:spacing w:after="0" w:line="280" w:lineRule="auto"/>
        <w:rPr>
          <w:sz w:val="20"/>
          <w:szCs w:val="20"/>
          <w:color w:val="auto"/>
        </w:rPr>
      </w:pPr>
      <w:r>
        <w:rPr>
          <w:rFonts w:ascii="Arial" w:cs="Arial" w:eastAsia="Arial" w:hAnsi="Arial"/>
          <w:sz w:val="15"/>
          <w:szCs w:val="15"/>
          <w:b w:val="1"/>
          <w:bCs w:val="1"/>
          <w:color w:val="auto"/>
        </w:rPr>
        <w:t xml:space="preserve">4.6 </w:t>
      </w:r>
      <w:r>
        <w:rPr>
          <w:rFonts w:ascii="Arial" w:cs="Arial" w:eastAsia="Arial" w:hAnsi="Arial"/>
          <w:sz w:val="15"/>
          <w:szCs w:val="15"/>
          <w:b w:val="1"/>
          <w:bCs w:val="1"/>
          <w:u w:val="single" w:color="auto"/>
          <w:color w:val="auto"/>
        </w:rPr>
        <w:t>Termination</w:t>
      </w:r>
      <w:r>
        <w:rPr>
          <w:rFonts w:ascii="Arial" w:cs="Arial" w:eastAsia="Arial" w:hAnsi="Arial"/>
          <w:sz w:val="15"/>
          <w:szCs w:val="15"/>
          <w:color w:val="auto"/>
        </w:rPr>
        <w:t>. Subject to earlier termination pursuant to Sections 11 and 13.3 hereof and notwithstanding the exercise periods set forth in the Stock Option Agreement,</w:t>
      </w:r>
      <w:r>
        <w:rPr>
          <w:rFonts w:ascii="Arial" w:cs="Arial" w:eastAsia="Arial" w:hAnsi="Arial"/>
          <w:sz w:val="15"/>
          <w:szCs w:val="15"/>
          <w:b w:val="1"/>
          <w:bCs w:val="1"/>
          <w:color w:val="auto"/>
        </w:rPr>
        <w:t xml:space="preserve"> </w:t>
      </w:r>
      <w:r>
        <w:rPr>
          <w:rFonts w:ascii="Arial" w:cs="Arial" w:eastAsia="Arial" w:hAnsi="Arial"/>
          <w:sz w:val="15"/>
          <w:szCs w:val="15"/>
          <w:color w:val="auto"/>
        </w:rPr>
        <w:t>exercise of an Option will always be subject to the following terms and conditions.</w:t>
      </w:r>
    </w:p>
    <w:p>
      <w:pPr>
        <w:spacing w:after="0" w:line="143" w:lineRule="exact"/>
        <w:rPr>
          <w:sz w:val="20"/>
          <w:szCs w:val="20"/>
          <w:color w:val="auto"/>
        </w:rPr>
      </w:pPr>
    </w:p>
    <w:p>
      <w:pPr>
        <w:ind w:right="180" w:firstLine="1488"/>
        <w:spacing w:after="0" w:line="255" w:lineRule="auto"/>
        <w:rPr>
          <w:sz w:val="20"/>
          <w:szCs w:val="20"/>
          <w:color w:val="auto"/>
        </w:rPr>
      </w:pPr>
      <w:r>
        <w:rPr>
          <w:rFonts w:ascii="Arial" w:cs="Arial" w:eastAsia="Arial" w:hAnsi="Arial"/>
          <w:sz w:val="15"/>
          <w:szCs w:val="15"/>
          <w:color w:val="auto"/>
        </w:rPr>
        <w:t xml:space="preserve">4.6.1 </w:t>
      </w:r>
      <w:r>
        <w:rPr>
          <w:rFonts w:ascii="Arial" w:cs="Arial" w:eastAsia="Arial" w:hAnsi="Arial"/>
          <w:sz w:val="15"/>
          <w:szCs w:val="15"/>
          <w:u w:val="single" w:color="auto"/>
          <w:color w:val="auto"/>
        </w:rPr>
        <w:t>Other than Death or Disability or for Cause</w:t>
      </w:r>
      <w:r>
        <w:rPr>
          <w:rFonts w:ascii="Arial" w:cs="Arial" w:eastAsia="Arial" w:hAnsi="Arial"/>
          <w:sz w:val="15"/>
          <w:szCs w:val="15"/>
          <w:color w:val="auto"/>
        </w:rPr>
        <w:t>. If the Participant is Terminated for any reason other than death, Disability or for Cause, then the Participant may exercise such Participant’s Options only to the extent that such Options are exercisable as to Vested Shares upon the Termination Date or as otherwise determined by the Committee. Such Options must be exercised by the Participant, if at all, as to all or some of the Vested Shares calculated as of the Termination Date or such other date determined by the Committee, within three (3) months after the Termination Date (or within such shorter time period, not less than thirty (30) days, or within such longer time period after the Termination Date as may be determined by the Committee, with any exercise beyond three (3) months after the date Participant ceases to be an employee deemed to be an NQSO) but in any event, no later than the expiration date of the Options.</w:t>
      </w:r>
    </w:p>
    <w:p>
      <w:pPr>
        <w:spacing w:after="0" w:line="164" w:lineRule="exact"/>
        <w:rPr>
          <w:sz w:val="20"/>
          <w:szCs w:val="20"/>
          <w:color w:val="auto"/>
        </w:rPr>
      </w:pPr>
    </w:p>
    <w:p>
      <w:pPr>
        <w:ind w:firstLine="1488"/>
        <w:spacing w:after="0" w:line="275" w:lineRule="auto"/>
        <w:rPr>
          <w:sz w:val="20"/>
          <w:szCs w:val="20"/>
          <w:color w:val="auto"/>
        </w:rPr>
      </w:pPr>
      <w:r>
        <w:rPr>
          <w:rFonts w:ascii="Arial" w:cs="Arial" w:eastAsia="Arial" w:hAnsi="Arial"/>
          <w:sz w:val="14"/>
          <w:szCs w:val="14"/>
          <w:color w:val="auto"/>
        </w:rPr>
        <w:t xml:space="preserve">4.6.2 </w:t>
      </w:r>
      <w:r>
        <w:rPr>
          <w:rFonts w:ascii="Arial" w:cs="Arial" w:eastAsia="Arial" w:hAnsi="Arial"/>
          <w:sz w:val="14"/>
          <w:szCs w:val="14"/>
          <w:u w:val="single" w:color="auto"/>
          <w:color w:val="auto"/>
        </w:rPr>
        <w:t>Death or Disability</w:t>
      </w:r>
      <w:r>
        <w:rPr>
          <w:rFonts w:ascii="Arial" w:cs="Arial" w:eastAsia="Arial" w:hAnsi="Arial"/>
          <w:sz w:val="14"/>
          <w:szCs w:val="14"/>
          <w:color w:val="auto"/>
        </w:rPr>
        <w:t>. If the Participant is Terminated because of Participant’s death or Disability (or the Participant dies within three (3) months after a Termination other than for Cause), then Participant’s Options may be exercised only to the extent that such Options are exercisable as to Vested Shares by Participant on the Termination Date or as otherwise determined by the Committee. Such options must be exercised by Participant (or Participant’s legal representative or authorized assignee), if at all, as to all or some of the Vested Shares calculated as of the Termination Date or such other date determined by the Committee, within twelve (12) months after the Termination Date (or within such shorter time period, not less than six (6) months, or within such longer time period, after the Termination Date as may be determined by the Committee, with any exercise beyond (a) three (3) months after the date Participant ceases to be an employee when the Termination is for any reason other than the Participant’s death or disability, within the meaning of Section 22(e)(3) of the Code, or (b) twelve (12) months after the date Participant ceases to be an employee when the Termination is for Participant’s disability, within the meaning of Section 22(e)(3) of the Code, deemed to be an NQSO) but in any event no later than the expiration date of the Options.</w:t>
      </w:r>
    </w:p>
    <w:p>
      <w:pPr>
        <w:spacing w:after="0" w:line="92"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3</w:t>
      </w:r>
    </w:p>
    <w:p>
      <w:pPr>
        <w:sectPr>
          <w:pgSz w:w="11900" w:h="16838" w:orient="portrait"/>
          <w:cols w:equalWidth="0" w:num="1">
            <w:col w:w="11440"/>
          </w:cols>
          <w:pgMar w:left="240" w:top="253" w:right="219" w:bottom="1440" w:gutter="0" w:footer="0" w:header="0"/>
        </w:sectPr>
      </w:pPr>
    </w:p>
    <w:bookmarkStart w:id="409" w:name="page410"/>
    <w:bookmarkEnd w:id="409"/>
    <w:p>
      <w:pPr>
        <w:ind w:right="40" w:firstLine="1488"/>
        <w:spacing w:after="0" w:line="263"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133350</wp:posOffset>
            </wp:positionH>
            <wp:positionV relativeFrom="page">
              <wp:posOffset>88900</wp:posOffset>
            </wp:positionV>
            <wp:extent cx="7308850" cy="34290"/>
            <wp:wrapNone/>
            <wp:docPr id="585" name="Picture 5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5"/>
                    <pic:cNvPicPr>
                      <a:picLocks noChangeAspect="1" noChangeArrowheads="1"/>
                    </pic:cNvPicPr>
                  </pic:nvPicPr>
                  <pic:blipFill>
                    <a:blip r:embed="rId622">
                      <a:extLst>
                        <a:ext uri="{28A0092B-C50C-407E-A947-70E740481C1C}"/>
                      </a:extLst>
                    </a:blip>
                    <a:srcRect/>
                    <a:stretch>
                      <a:fillRect/>
                    </a:stretch>
                  </pic:blipFill>
                  <pic:spPr bwMode="auto">
                    <a:xfrm>
                      <a:off x="0" y="0"/>
                      <a:ext cx="7308850" cy="34290"/>
                    </a:xfrm>
                    <a:prstGeom prst="rect">
                      <a:avLst/>
                    </a:prstGeom>
                    <a:noFill/>
                  </pic:spPr>
                </pic:pic>
              </a:graphicData>
            </a:graphic>
          </wp:anchor>
        </w:drawing>
        <w:t xml:space="preserve">4.6.3 </w:t>
      </w:r>
      <w:r>
        <w:rPr>
          <w:rFonts w:ascii="Arial" w:cs="Arial" w:eastAsia="Arial" w:hAnsi="Arial"/>
          <w:sz w:val="15"/>
          <w:szCs w:val="15"/>
          <w:u w:val="single" w:color="auto"/>
          <w:color w:val="auto"/>
        </w:rPr>
        <w:t>For Cause</w:t>
      </w:r>
      <w:r>
        <w:rPr>
          <w:rFonts w:ascii="Arial" w:cs="Arial" w:eastAsia="Arial" w:hAnsi="Arial"/>
          <w:sz w:val="15"/>
          <w:szCs w:val="15"/>
          <w:color w:val="auto"/>
        </w:rPr>
        <w:t>. If the Participant is terminated for Cause, the Participant may exercise such Participant’s Options, but not to an extent greater than such Options are exercisable as to Vested Shares upon the Termination Date and Participant’s Options shall expire on such Participant’s Termination Date, or at such later time and on such conditions as are determined by the Committee.</w:t>
      </w:r>
    </w:p>
    <w:p>
      <w:pPr>
        <w:spacing w:after="0" w:line="151" w:lineRule="exact"/>
        <w:rPr>
          <w:sz w:val="20"/>
          <w:szCs w:val="20"/>
          <w:color w:val="auto"/>
        </w:rPr>
      </w:pPr>
    </w:p>
    <w:p>
      <w:pPr>
        <w:ind w:right="140" w:firstLine="916"/>
        <w:spacing w:after="0" w:line="280" w:lineRule="auto"/>
        <w:rPr>
          <w:sz w:val="20"/>
          <w:szCs w:val="20"/>
          <w:color w:val="auto"/>
        </w:rPr>
      </w:pPr>
      <w:r>
        <w:rPr>
          <w:rFonts w:ascii="Arial" w:cs="Arial" w:eastAsia="Arial" w:hAnsi="Arial"/>
          <w:sz w:val="15"/>
          <w:szCs w:val="15"/>
          <w:b w:val="1"/>
          <w:bCs w:val="1"/>
          <w:color w:val="auto"/>
        </w:rPr>
        <w:t xml:space="preserve">4.7 </w:t>
      </w:r>
      <w:r>
        <w:rPr>
          <w:rFonts w:ascii="Arial" w:cs="Arial" w:eastAsia="Arial" w:hAnsi="Arial"/>
          <w:sz w:val="15"/>
          <w:szCs w:val="15"/>
          <w:b w:val="1"/>
          <w:bCs w:val="1"/>
          <w:u w:val="single" w:color="auto"/>
          <w:color w:val="auto"/>
        </w:rPr>
        <w:t>Limitations on Exercise</w:t>
      </w:r>
      <w:r>
        <w:rPr>
          <w:rFonts w:ascii="Arial" w:cs="Arial" w:eastAsia="Arial" w:hAnsi="Arial"/>
          <w:sz w:val="15"/>
          <w:szCs w:val="15"/>
          <w:color w:val="auto"/>
        </w:rPr>
        <w:t>. The Committee may specify a reasonable minimum number of Shares that may be purchased on any exercise of an Option,</w:t>
      </w:r>
      <w:r>
        <w:rPr>
          <w:rFonts w:ascii="Arial" w:cs="Arial" w:eastAsia="Arial" w:hAnsi="Arial"/>
          <w:sz w:val="15"/>
          <w:szCs w:val="15"/>
          <w:b w:val="1"/>
          <w:bCs w:val="1"/>
          <w:color w:val="auto"/>
        </w:rPr>
        <w:t xml:space="preserve"> </w:t>
      </w:r>
      <w:r>
        <w:rPr>
          <w:rFonts w:ascii="Arial" w:cs="Arial" w:eastAsia="Arial" w:hAnsi="Arial"/>
          <w:sz w:val="15"/>
          <w:szCs w:val="15"/>
          <w:i w:val="1"/>
          <w:iCs w:val="1"/>
          <w:u w:val="single" w:color="auto"/>
          <w:color w:val="auto"/>
        </w:rPr>
        <w:t>provided</w:t>
      </w:r>
      <w:r>
        <w:rPr>
          <w:rFonts w:ascii="Arial" w:cs="Arial" w:eastAsia="Arial" w:hAnsi="Arial"/>
          <w:sz w:val="15"/>
          <w:szCs w:val="15"/>
          <w:b w:val="1"/>
          <w:bCs w:val="1"/>
          <w:color w:val="auto"/>
        </w:rPr>
        <w:t xml:space="preserve"> </w:t>
      </w:r>
      <w:r>
        <w:rPr>
          <w:rFonts w:ascii="Arial" w:cs="Arial" w:eastAsia="Arial" w:hAnsi="Arial"/>
          <w:sz w:val="15"/>
          <w:szCs w:val="15"/>
          <w:color w:val="auto"/>
        </w:rPr>
        <w:t>that such</w:t>
      </w:r>
      <w:r>
        <w:rPr>
          <w:rFonts w:ascii="Arial" w:cs="Arial" w:eastAsia="Arial" w:hAnsi="Arial"/>
          <w:sz w:val="15"/>
          <w:szCs w:val="15"/>
          <w:b w:val="1"/>
          <w:bCs w:val="1"/>
          <w:color w:val="auto"/>
        </w:rPr>
        <w:t xml:space="preserve"> </w:t>
      </w:r>
      <w:r>
        <w:rPr>
          <w:rFonts w:ascii="Arial" w:cs="Arial" w:eastAsia="Arial" w:hAnsi="Arial"/>
          <w:sz w:val="15"/>
          <w:szCs w:val="15"/>
          <w:color w:val="auto"/>
        </w:rPr>
        <w:t>minimum number will not prevent Participant from exercising the Option for the full number of Shares for which it is then exercisable.</w:t>
      </w:r>
    </w:p>
    <w:p>
      <w:pPr>
        <w:spacing w:after="0" w:line="139" w:lineRule="exact"/>
        <w:rPr>
          <w:sz w:val="20"/>
          <w:szCs w:val="20"/>
          <w:color w:val="auto"/>
        </w:rPr>
      </w:pPr>
    </w:p>
    <w:p>
      <w:pPr>
        <w:ind w:right="20" w:firstLine="916"/>
        <w:spacing w:after="0" w:line="301" w:lineRule="auto"/>
        <w:rPr>
          <w:sz w:val="20"/>
          <w:szCs w:val="20"/>
          <w:color w:val="auto"/>
        </w:rPr>
      </w:pPr>
      <w:r>
        <w:rPr>
          <w:rFonts w:ascii="Arial" w:cs="Arial" w:eastAsia="Arial" w:hAnsi="Arial"/>
          <w:sz w:val="13"/>
          <w:szCs w:val="13"/>
          <w:b w:val="1"/>
          <w:bCs w:val="1"/>
          <w:color w:val="auto"/>
        </w:rPr>
        <w:t xml:space="preserve">4.8 </w:t>
      </w:r>
      <w:r>
        <w:rPr>
          <w:rFonts w:ascii="Arial" w:cs="Arial" w:eastAsia="Arial" w:hAnsi="Arial"/>
          <w:sz w:val="13"/>
          <w:szCs w:val="13"/>
          <w:b w:val="1"/>
          <w:bCs w:val="1"/>
          <w:u w:val="single" w:color="auto"/>
          <w:color w:val="auto"/>
        </w:rPr>
        <w:t>Limitations on ISOs</w:t>
      </w:r>
      <w:r>
        <w:rPr>
          <w:rFonts w:ascii="Arial" w:cs="Arial" w:eastAsia="Arial" w:hAnsi="Arial"/>
          <w:sz w:val="13"/>
          <w:szCs w:val="13"/>
          <w:color w:val="auto"/>
        </w:rPr>
        <w:t>. The aggregate Fair Market Value (determined as of the date of grant) of Shares with respect to which ISOs are exercisable for the first time by a</w:t>
      </w:r>
      <w:r>
        <w:rPr>
          <w:rFonts w:ascii="Arial" w:cs="Arial" w:eastAsia="Arial" w:hAnsi="Arial"/>
          <w:sz w:val="13"/>
          <w:szCs w:val="13"/>
          <w:b w:val="1"/>
          <w:bCs w:val="1"/>
          <w:color w:val="auto"/>
        </w:rPr>
        <w:t xml:space="preserve"> </w:t>
      </w:r>
      <w:r>
        <w:rPr>
          <w:rFonts w:ascii="Arial" w:cs="Arial" w:eastAsia="Arial" w:hAnsi="Arial"/>
          <w:sz w:val="13"/>
          <w:szCs w:val="13"/>
          <w:color w:val="auto"/>
        </w:rPr>
        <w:t>Participant during any calendar year (under this Plan or under any other incentive stock option plan of the Company or any Parent or Subsidiary of the Company) will not exceed One Hundred Thousand Dollars ($100,000). If the Fair Market Value of Shares on the date of grant with respect to which ISOs are exercisable for the first time by a Participant during any calendar year exceeds One Hundred Thousand Dollars ($100,000), then the Options for the first One Hundred Thousand Dollars ($100,000) worth of Shares to become exercisable in such calendar year will be ISOs and the Options for the amount in excess of One Hundred Thousand Dollars ($100,000) that become exercisable in that calendar year will be NQSOs. In the event that the Code or the regulations promulgated thereunder are amended after the Effective Date (as defined in Section 13.1 hereof) to provide for a different limit on the Fair Market Value of Shares permitted to be subject to ISOs, then such different limit will be automatically incorporated herein and will apply to any Options granted after the effective date of such amendment.</w:t>
      </w:r>
    </w:p>
    <w:p>
      <w:pPr>
        <w:spacing w:after="0" w:line="131" w:lineRule="exact"/>
        <w:rPr>
          <w:sz w:val="20"/>
          <w:szCs w:val="20"/>
          <w:color w:val="auto"/>
        </w:rPr>
      </w:pPr>
    </w:p>
    <w:p>
      <w:pPr>
        <w:ind w:firstLine="916"/>
        <w:spacing w:after="0" w:line="281" w:lineRule="auto"/>
        <w:rPr>
          <w:sz w:val="20"/>
          <w:szCs w:val="20"/>
          <w:color w:val="auto"/>
        </w:rPr>
      </w:pPr>
      <w:r>
        <w:rPr>
          <w:rFonts w:ascii="Arial" w:cs="Arial" w:eastAsia="Arial" w:hAnsi="Arial"/>
          <w:sz w:val="14"/>
          <w:szCs w:val="14"/>
          <w:b w:val="1"/>
          <w:bCs w:val="1"/>
          <w:color w:val="auto"/>
        </w:rPr>
        <w:t xml:space="preserve">4.9 </w:t>
      </w:r>
      <w:r>
        <w:rPr>
          <w:rFonts w:ascii="Arial" w:cs="Arial" w:eastAsia="Arial" w:hAnsi="Arial"/>
          <w:sz w:val="14"/>
          <w:szCs w:val="14"/>
          <w:b w:val="1"/>
          <w:bCs w:val="1"/>
          <w:u w:val="single" w:color="auto"/>
          <w:color w:val="auto"/>
        </w:rPr>
        <w:t>Modification, Extension or Renewal</w:t>
      </w:r>
      <w:r>
        <w:rPr>
          <w:rFonts w:ascii="Arial" w:cs="Arial" w:eastAsia="Arial" w:hAnsi="Arial"/>
          <w:sz w:val="14"/>
          <w:szCs w:val="14"/>
          <w:color w:val="auto"/>
        </w:rPr>
        <w:t>. The Committee may modify, extend or renew outstanding Options and authorize the grant of new Options in substitution therefor,</w:t>
      </w:r>
      <w:r>
        <w:rPr>
          <w:rFonts w:ascii="Arial" w:cs="Arial" w:eastAsia="Arial" w:hAnsi="Arial"/>
          <w:sz w:val="14"/>
          <w:szCs w:val="14"/>
          <w:b w:val="1"/>
          <w:bCs w:val="1"/>
          <w:color w:val="auto"/>
        </w:rPr>
        <w:t xml:space="preserve"> </w:t>
      </w:r>
      <w:r>
        <w:rPr>
          <w:rFonts w:ascii="Arial" w:cs="Arial" w:eastAsia="Arial" w:hAnsi="Arial"/>
          <w:sz w:val="14"/>
          <w:szCs w:val="14"/>
          <w:i w:val="1"/>
          <w:iCs w:val="1"/>
          <w:u w:val="single" w:color="auto"/>
          <w:color w:val="auto"/>
        </w:rPr>
        <w:t>provided</w:t>
      </w:r>
      <w:r>
        <w:rPr>
          <w:rFonts w:ascii="Arial" w:cs="Arial" w:eastAsia="Arial" w:hAnsi="Arial"/>
          <w:sz w:val="14"/>
          <w:szCs w:val="14"/>
          <w:i w:val="1"/>
          <w:iCs w:val="1"/>
          <w:color w:val="auto"/>
        </w:rPr>
        <w:t xml:space="preserve"> </w:t>
      </w:r>
      <w:r>
        <w:rPr>
          <w:rFonts w:ascii="Arial" w:cs="Arial" w:eastAsia="Arial" w:hAnsi="Arial"/>
          <w:sz w:val="14"/>
          <w:szCs w:val="14"/>
          <w:color w:val="auto"/>
        </w:rPr>
        <w:t>that any such action may not, without the written consent of a Participant, impair any of such Participant’s rights under any Option previously granted. Any outstanding ISO that is</w:t>
      </w:r>
      <w:r>
        <w:rPr>
          <w:rFonts w:ascii="Arial" w:cs="Arial" w:eastAsia="Arial" w:hAnsi="Arial"/>
          <w:sz w:val="14"/>
          <w:szCs w:val="14"/>
          <w:i w:val="1"/>
          <w:iCs w:val="1"/>
          <w:color w:val="auto"/>
        </w:rPr>
        <w:t xml:space="preserve"> </w:t>
      </w:r>
      <w:r>
        <w:rPr>
          <w:rFonts w:ascii="Arial" w:cs="Arial" w:eastAsia="Arial" w:hAnsi="Arial"/>
          <w:sz w:val="14"/>
          <w:szCs w:val="14"/>
          <w:color w:val="auto"/>
        </w:rPr>
        <w:t xml:space="preserve">modified, extended, renewed or otherwise altered will be treated in accordance with Section 424(h) of the Code. Subject to Section 4.10 hereof, the Committee may reduce the Exercise Price of outstanding Options without the consent of Participants by a written notice to them; </w:t>
      </w:r>
      <w:r>
        <w:rPr>
          <w:rFonts w:ascii="Arial" w:cs="Arial" w:eastAsia="Arial" w:hAnsi="Arial"/>
          <w:sz w:val="14"/>
          <w:szCs w:val="14"/>
          <w:i w:val="1"/>
          <w:iCs w:val="1"/>
          <w:u w:val="single" w:color="auto"/>
          <w:color w:val="auto"/>
        </w:rPr>
        <w:t>provided</w:t>
      </w:r>
      <w:r>
        <w:rPr>
          <w:rFonts w:ascii="Arial" w:cs="Arial" w:eastAsia="Arial" w:hAnsi="Arial"/>
          <w:sz w:val="14"/>
          <w:szCs w:val="14"/>
          <w:color w:val="auto"/>
        </w:rPr>
        <w:t xml:space="preserve">, </w:t>
      </w:r>
      <w:r>
        <w:rPr>
          <w:rFonts w:ascii="Arial" w:cs="Arial" w:eastAsia="Arial" w:hAnsi="Arial"/>
          <w:sz w:val="14"/>
          <w:szCs w:val="14"/>
          <w:i w:val="1"/>
          <w:iCs w:val="1"/>
          <w:u w:val="single" w:color="auto"/>
          <w:color w:val="auto"/>
        </w:rPr>
        <w:t>however</w:t>
      </w:r>
      <w:r>
        <w:rPr>
          <w:rFonts w:ascii="Arial" w:cs="Arial" w:eastAsia="Arial" w:hAnsi="Arial"/>
          <w:sz w:val="14"/>
          <w:szCs w:val="14"/>
          <w:color w:val="auto"/>
        </w:rPr>
        <w:t>, that the Exercise Price may not be reduced below the minimum Exercise Price that would be permitted under Section 4.4 hereof for Options granted on the date the action is taken to reduce the Exercise Price.</w:t>
      </w:r>
    </w:p>
    <w:p>
      <w:pPr>
        <w:spacing w:after="0" w:line="140" w:lineRule="exact"/>
        <w:rPr>
          <w:sz w:val="20"/>
          <w:szCs w:val="20"/>
          <w:color w:val="auto"/>
        </w:rPr>
      </w:pPr>
    </w:p>
    <w:p>
      <w:pPr>
        <w:ind w:right="560" w:firstLine="916"/>
        <w:spacing w:after="0" w:line="266" w:lineRule="auto"/>
        <w:rPr>
          <w:sz w:val="20"/>
          <w:szCs w:val="20"/>
          <w:color w:val="auto"/>
        </w:rPr>
      </w:pPr>
      <w:r>
        <w:rPr>
          <w:rFonts w:ascii="Arial" w:cs="Arial" w:eastAsia="Arial" w:hAnsi="Arial"/>
          <w:sz w:val="15"/>
          <w:szCs w:val="15"/>
          <w:b w:val="1"/>
          <w:bCs w:val="1"/>
          <w:color w:val="auto"/>
        </w:rPr>
        <w:t xml:space="preserve">4.10 </w:t>
      </w:r>
      <w:r>
        <w:rPr>
          <w:rFonts w:ascii="Arial" w:cs="Arial" w:eastAsia="Arial" w:hAnsi="Arial"/>
          <w:sz w:val="15"/>
          <w:szCs w:val="15"/>
          <w:b w:val="1"/>
          <w:bCs w:val="1"/>
          <w:u w:val="single" w:color="auto"/>
          <w:color w:val="auto"/>
        </w:rPr>
        <w:t>No Disqualification</w:t>
      </w:r>
      <w:r>
        <w:rPr>
          <w:rFonts w:ascii="Arial" w:cs="Arial" w:eastAsia="Arial" w:hAnsi="Arial"/>
          <w:sz w:val="15"/>
          <w:szCs w:val="15"/>
          <w:color w:val="auto"/>
        </w:rPr>
        <w:t>. Notwithstanding any other provision in this Plan, no term of this Plan relating to ISOs will be interpreted, amended or altered, nor will any</w:t>
      </w:r>
      <w:r>
        <w:rPr>
          <w:rFonts w:ascii="Arial" w:cs="Arial" w:eastAsia="Arial" w:hAnsi="Arial"/>
          <w:sz w:val="15"/>
          <w:szCs w:val="15"/>
          <w:b w:val="1"/>
          <w:bCs w:val="1"/>
          <w:color w:val="auto"/>
        </w:rPr>
        <w:t xml:space="preserve"> </w:t>
      </w:r>
      <w:r>
        <w:rPr>
          <w:rFonts w:ascii="Arial" w:cs="Arial" w:eastAsia="Arial" w:hAnsi="Arial"/>
          <w:sz w:val="15"/>
          <w:szCs w:val="15"/>
          <w:color w:val="auto"/>
        </w:rPr>
        <w:t>discretion or authority granted under this Plan be exercised, so as to disqualify this Plan under Section 422 of the Code or, without the consent of the Participant, to disqualify any Participant’s ISO under Section 422 of the Code.</w:t>
      </w:r>
    </w:p>
    <w:p>
      <w:pPr>
        <w:spacing w:after="0" w:line="148" w:lineRule="exact"/>
        <w:rPr>
          <w:sz w:val="20"/>
          <w:szCs w:val="20"/>
          <w:color w:val="auto"/>
        </w:rPr>
      </w:pPr>
    </w:p>
    <w:p>
      <w:pPr>
        <w:jc w:val="both"/>
        <w:ind w:right="20" w:firstLine="448"/>
        <w:spacing w:after="0" w:line="266" w:lineRule="auto"/>
        <w:tabs>
          <w:tab w:leader="none" w:pos="608" w:val="left"/>
        </w:tabs>
        <w:numPr>
          <w:ilvl w:val="0"/>
          <w:numId w:val="357"/>
        </w:numPr>
        <w:rPr>
          <w:rFonts w:ascii="Arial" w:cs="Arial" w:eastAsia="Arial" w:hAnsi="Arial"/>
          <w:sz w:val="15"/>
          <w:szCs w:val="15"/>
          <w:b w:val="1"/>
          <w:bCs w:val="1"/>
          <w:color w:val="auto"/>
        </w:rPr>
      </w:pPr>
      <w:r>
        <w:rPr>
          <w:rFonts w:ascii="Arial" w:cs="Arial" w:eastAsia="Arial" w:hAnsi="Arial"/>
          <w:sz w:val="15"/>
          <w:szCs w:val="15"/>
          <w:b w:val="1"/>
          <w:bCs w:val="1"/>
          <w:u w:val="single" w:color="auto"/>
          <w:color w:val="auto"/>
        </w:rPr>
        <w:t>RESTRICTED STOCK</w:t>
      </w:r>
      <w:r>
        <w:rPr>
          <w:rFonts w:ascii="Arial" w:cs="Arial" w:eastAsia="Arial" w:hAnsi="Arial"/>
          <w:sz w:val="15"/>
          <w:szCs w:val="15"/>
          <w:b w:val="1"/>
          <w:bCs w:val="1"/>
          <w:color w:val="auto"/>
        </w:rPr>
        <w:t xml:space="preserve">. </w:t>
      </w:r>
      <w:r>
        <w:rPr>
          <w:rFonts w:ascii="Arial" w:cs="Arial" w:eastAsia="Arial" w:hAnsi="Arial"/>
          <w:sz w:val="15"/>
          <w:szCs w:val="15"/>
          <w:color w:val="auto"/>
        </w:rPr>
        <w:t>A Restricted Stock Award is an offer by the Company to sell to an eligible person Shares that are subject to certain specified restrictions. The Committee</w:t>
      </w:r>
      <w:r>
        <w:rPr>
          <w:rFonts w:ascii="Arial" w:cs="Arial" w:eastAsia="Arial" w:hAnsi="Arial"/>
          <w:sz w:val="15"/>
          <w:szCs w:val="15"/>
          <w:b w:val="1"/>
          <w:bCs w:val="1"/>
          <w:color w:val="auto"/>
        </w:rPr>
        <w:t xml:space="preserve"> </w:t>
      </w:r>
      <w:r>
        <w:rPr>
          <w:rFonts w:ascii="Arial" w:cs="Arial" w:eastAsia="Arial" w:hAnsi="Arial"/>
          <w:sz w:val="15"/>
          <w:szCs w:val="15"/>
          <w:color w:val="auto"/>
        </w:rPr>
        <w:t>will determine to whom an offer will be made, the number of Shares the person may purchase, the Purchase Price, the restrictions to which the Shares will be subject, and all other terms and conditions of the Restricted Stock Award, subject to the following terms and conditions.</w:t>
      </w:r>
    </w:p>
    <w:p>
      <w:pPr>
        <w:spacing w:after="0" w:line="148" w:lineRule="exact"/>
        <w:rPr>
          <w:sz w:val="20"/>
          <w:szCs w:val="20"/>
          <w:color w:val="auto"/>
        </w:rPr>
      </w:pPr>
    </w:p>
    <w:p>
      <w:pPr>
        <w:ind w:right="360" w:firstLine="916"/>
        <w:spacing w:after="0" w:line="280" w:lineRule="auto"/>
        <w:rPr>
          <w:sz w:val="20"/>
          <w:szCs w:val="20"/>
          <w:color w:val="auto"/>
        </w:rPr>
      </w:pPr>
      <w:r>
        <w:rPr>
          <w:rFonts w:ascii="Arial" w:cs="Arial" w:eastAsia="Arial" w:hAnsi="Arial"/>
          <w:sz w:val="15"/>
          <w:szCs w:val="15"/>
          <w:b w:val="1"/>
          <w:bCs w:val="1"/>
          <w:color w:val="auto"/>
        </w:rPr>
        <w:t xml:space="preserve">5.1 </w:t>
      </w:r>
      <w:r>
        <w:rPr>
          <w:rFonts w:ascii="Arial" w:cs="Arial" w:eastAsia="Arial" w:hAnsi="Arial"/>
          <w:sz w:val="15"/>
          <w:szCs w:val="15"/>
          <w:b w:val="1"/>
          <w:bCs w:val="1"/>
          <w:u w:val="single" w:color="auto"/>
          <w:color w:val="auto"/>
        </w:rPr>
        <w:t>Form of Restricted Stock Award</w:t>
      </w:r>
      <w:r>
        <w:rPr>
          <w:rFonts w:ascii="Arial" w:cs="Arial" w:eastAsia="Arial" w:hAnsi="Arial"/>
          <w:sz w:val="15"/>
          <w:szCs w:val="15"/>
          <w:color w:val="auto"/>
        </w:rPr>
        <w:t>. All purchases under a Restricted Stock Award made pursuant to this Plan will be evidenced by an Award Agreement (“</w:t>
      </w:r>
      <w:r>
        <w:rPr>
          <w:rFonts w:ascii="Arial" w:cs="Arial" w:eastAsia="Arial" w:hAnsi="Arial"/>
          <w:sz w:val="15"/>
          <w:szCs w:val="15"/>
          <w:b w:val="1"/>
          <w:bCs w:val="1"/>
          <w:i w:val="1"/>
          <w:iCs w:val="1"/>
          <w:color w:val="auto"/>
        </w:rPr>
        <w:t>Restricted</w:t>
      </w:r>
      <w:r>
        <w:rPr>
          <w:rFonts w:ascii="Arial" w:cs="Arial" w:eastAsia="Arial" w:hAnsi="Arial"/>
          <w:sz w:val="15"/>
          <w:szCs w:val="15"/>
          <w:b w:val="1"/>
          <w:bCs w:val="1"/>
          <w:color w:val="auto"/>
        </w:rPr>
        <w:t xml:space="preserve"> </w:t>
      </w:r>
      <w:r>
        <w:rPr>
          <w:rFonts w:ascii="Arial" w:cs="Arial" w:eastAsia="Arial" w:hAnsi="Arial"/>
          <w:sz w:val="15"/>
          <w:szCs w:val="15"/>
          <w:b w:val="1"/>
          <w:bCs w:val="1"/>
          <w:i w:val="1"/>
          <w:iCs w:val="1"/>
          <w:color w:val="auto"/>
        </w:rPr>
        <w:t>Stock Purchase Agreement</w:t>
      </w:r>
      <w:r>
        <w:rPr>
          <w:rFonts w:ascii="Arial" w:cs="Arial" w:eastAsia="Arial" w:hAnsi="Arial"/>
          <w:sz w:val="15"/>
          <w:szCs w:val="15"/>
          <w:color w:val="auto"/>
        </w:rPr>
        <w:t>”) that will be in such form (which need not be the same for each Participant) as the</w:t>
      </w:r>
    </w:p>
    <w:p>
      <w:pPr>
        <w:spacing w:after="0" w:line="87"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4</w:t>
      </w:r>
    </w:p>
    <w:p>
      <w:pPr>
        <w:sectPr>
          <w:pgSz w:w="11900" w:h="16838" w:orient="portrait"/>
          <w:cols w:equalWidth="0" w:num="1">
            <w:col w:w="11420"/>
          </w:cols>
          <w:pgMar w:left="240" w:top="253" w:right="239" w:bottom="1440" w:gutter="0" w:footer="0" w:header="0"/>
        </w:sectPr>
      </w:pPr>
    </w:p>
    <w:bookmarkStart w:id="410" w:name="page411"/>
    <w:bookmarkEnd w:id="410"/>
    <w:p>
      <w:pPr>
        <w:ind w:right="260"/>
        <w:spacing w:after="0" w:line="259"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133350</wp:posOffset>
            </wp:positionH>
            <wp:positionV relativeFrom="page">
              <wp:posOffset>88900</wp:posOffset>
            </wp:positionV>
            <wp:extent cx="7308850" cy="34290"/>
            <wp:wrapNone/>
            <wp:docPr id="586" name="Picture 5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6"/>
                    <pic:cNvPicPr>
                      <a:picLocks noChangeAspect="1" noChangeArrowheads="1"/>
                    </pic:cNvPicPr>
                  </pic:nvPicPr>
                  <pic:blipFill>
                    <a:blip r:embed="rId623">
                      <a:extLst>
                        <a:ext uri="{28A0092B-C50C-407E-A947-70E740481C1C}"/>
                      </a:extLst>
                    </a:blip>
                    <a:srcRect/>
                    <a:stretch>
                      <a:fillRect/>
                    </a:stretch>
                  </pic:blipFill>
                  <pic:spPr bwMode="auto">
                    <a:xfrm>
                      <a:off x="0" y="0"/>
                      <a:ext cx="7308850" cy="34290"/>
                    </a:xfrm>
                    <a:prstGeom prst="rect">
                      <a:avLst/>
                    </a:prstGeom>
                    <a:noFill/>
                  </pic:spPr>
                </pic:pic>
              </a:graphicData>
            </a:graphic>
          </wp:anchor>
        </w:drawing>
        <w:t>Committee will from time to time approve, and will comply with and be subject to the terms and conditions of this Plan. The Restricted Stock Award will be accepted by the Participant’s execution and delivery of the Restricted Stock Purchase Agreement and full payment for the Shares to the Company within thirty (30) days from the date the Restricted Stock Purchase Agreement is delivered to the person. If such person does not execute and deliver the Restricted Stock Purchase Agreement along with full payment for the Shares to the Company within such thirty (30) days, then the offer will terminate, unless otherwise determined by the Committee.</w:t>
      </w:r>
    </w:p>
    <w:p>
      <w:pPr>
        <w:spacing w:after="0" w:line="154" w:lineRule="exact"/>
        <w:rPr>
          <w:sz w:val="20"/>
          <w:szCs w:val="20"/>
          <w:color w:val="auto"/>
        </w:rPr>
      </w:pPr>
    </w:p>
    <w:p>
      <w:pPr>
        <w:ind w:right="160" w:firstLine="916"/>
        <w:spacing w:after="0" w:line="280" w:lineRule="auto"/>
        <w:rPr>
          <w:sz w:val="20"/>
          <w:szCs w:val="20"/>
          <w:color w:val="auto"/>
        </w:rPr>
      </w:pPr>
      <w:r>
        <w:rPr>
          <w:rFonts w:ascii="Arial" w:cs="Arial" w:eastAsia="Arial" w:hAnsi="Arial"/>
          <w:sz w:val="15"/>
          <w:szCs w:val="15"/>
          <w:b w:val="1"/>
          <w:bCs w:val="1"/>
          <w:color w:val="auto"/>
        </w:rPr>
        <w:t xml:space="preserve">5.2 </w:t>
      </w:r>
      <w:r>
        <w:rPr>
          <w:rFonts w:ascii="Arial" w:cs="Arial" w:eastAsia="Arial" w:hAnsi="Arial"/>
          <w:sz w:val="15"/>
          <w:szCs w:val="15"/>
          <w:b w:val="1"/>
          <w:bCs w:val="1"/>
          <w:u w:val="single" w:color="auto"/>
          <w:color w:val="auto"/>
        </w:rPr>
        <w:t>Purchase Price</w:t>
      </w:r>
      <w:r>
        <w:rPr>
          <w:rFonts w:ascii="Arial" w:cs="Arial" w:eastAsia="Arial" w:hAnsi="Arial"/>
          <w:sz w:val="15"/>
          <w:szCs w:val="15"/>
          <w:color w:val="auto"/>
        </w:rPr>
        <w:t>. The Purchase Price of Shares sold pursuant to a Restricted Stock Award will be determined by the Committee on the date the Restricted Stock Award is</w:t>
      </w:r>
      <w:r>
        <w:rPr>
          <w:rFonts w:ascii="Arial" w:cs="Arial" w:eastAsia="Arial" w:hAnsi="Arial"/>
          <w:sz w:val="15"/>
          <w:szCs w:val="15"/>
          <w:b w:val="1"/>
          <w:bCs w:val="1"/>
          <w:color w:val="auto"/>
        </w:rPr>
        <w:t xml:space="preserve"> </w:t>
      </w:r>
      <w:r>
        <w:rPr>
          <w:rFonts w:ascii="Arial" w:cs="Arial" w:eastAsia="Arial" w:hAnsi="Arial"/>
          <w:sz w:val="15"/>
          <w:szCs w:val="15"/>
          <w:color w:val="auto"/>
        </w:rPr>
        <w:t>granted or at the time the purchase is consummated. Payment of the Purchase Price must be made in accordance with Section 8 hereof.</w:t>
      </w:r>
    </w:p>
    <w:p>
      <w:pPr>
        <w:spacing w:after="0" w:line="139" w:lineRule="exact"/>
        <w:rPr>
          <w:sz w:val="20"/>
          <w:szCs w:val="20"/>
          <w:color w:val="auto"/>
        </w:rPr>
      </w:pPr>
    </w:p>
    <w:p>
      <w:pPr>
        <w:ind w:right="320" w:firstLine="916"/>
        <w:spacing w:after="0" w:line="266" w:lineRule="auto"/>
        <w:rPr>
          <w:sz w:val="20"/>
          <w:szCs w:val="20"/>
          <w:color w:val="auto"/>
        </w:rPr>
      </w:pPr>
      <w:r>
        <w:rPr>
          <w:rFonts w:ascii="Arial" w:cs="Arial" w:eastAsia="Arial" w:hAnsi="Arial"/>
          <w:sz w:val="15"/>
          <w:szCs w:val="15"/>
          <w:b w:val="1"/>
          <w:bCs w:val="1"/>
          <w:color w:val="auto"/>
        </w:rPr>
        <w:t xml:space="preserve">5.3 </w:t>
      </w:r>
      <w:r>
        <w:rPr>
          <w:rFonts w:ascii="Arial" w:cs="Arial" w:eastAsia="Arial" w:hAnsi="Arial"/>
          <w:sz w:val="15"/>
          <w:szCs w:val="15"/>
          <w:b w:val="1"/>
          <w:bCs w:val="1"/>
          <w:u w:val="single" w:color="auto"/>
          <w:color w:val="auto"/>
        </w:rPr>
        <w:t>Dividends and Other Distributions</w:t>
      </w:r>
      <w:r>
        <w:rPr>
          <w:rFonts w:ascii="Arial" w:cs="Arial" w:eastAsia="Arial" w:hAnsi="Arial"/>
          <w:sz w:val="15"/>
          <w:szCs w:val="15"/>
          <w:color w:val="auto"/>
        </w:rPr>
        <w:t>. Participants holding Restricted Stock will be entitled to receive all dividends and other distributions paid with respect to such</w:t>
      </w:r>
      <w:r>
        <w:rPr>
          <w:rFonts w:ascii="Arial" w:cs="Arial" w:eastAsia="Arial" w:hAnsi="Arial"/>
          <w:sz w:val="15"/>
          <w:szCs w:val="15"/>
          <w:b w:val="1"/>
          <w:bCs w:val="1"/>
          <w:color w:val="auto"/>
        </w:rPr>
        <w:t xml:space="preserve"> </w:t>
      </w:r>
      <w:r>
        <w:rPr>
          <w:rFonts w:ascii="Arial" w:cs="Arial" w:eastAsia="Arial" w:hAnsi="Arial"/>
          <w:sz w:val="15"/>
          <w:szCs w:val="15"/>
          <w:color w:val="auto"/>
        </w:rPr>
        <w:t>Shares, unless the Committee provides otherwise at the time of award. If any such dividends or distributions are paid in shares of Common Stock, such shares will be subject to the same restrictions on transferability and forfeitability as the Shares of Restricted Stock with respect to which they were paid.</w:t>
      </w:r>
    </w:p>
    <w:p>
      <w:pPr>
        <w:spacing w:after="0" w:line="148" w:lineRule="exact"/>
        <w:rPr>
          <w:sz w:val="20"/>
          <w:szCs w:val="20"/>
          <w:color w:val="auto"/>
        </w:rPr>
      </w:pPr>
    </w:p>
    <w:p>
      <w:pPr>
        <w:ind w:left="900"/>
        <w:spacing w:after="0"/>
        <w:rPr>
          <w:sz w:val="20"/>
          <w:szCs w:val="20"/>
          <w:color w:val="auto"/>
        </w:rPr>
      </w:pPr>
      <w:r>
        <w:rPr>
          <w:rFonts w:ascii="Arial" w:cs="Arial" w:eastAsia="Arial" w:hAnsi="Arial"/>
          <w:sz w:val="14"/>
          <w:szCs w:val="14"/>
          <w:b w:val="1"/>
          <w:bCs w:val="1"/>
          <w:color w:val="auto"/>
        </w:rPr>
        <w:t xml:space="preserve">5.4 </w:t>
      </w:r>
      <w:r>
        <w:rPr>
          <w:rFonts w:ascii="Arial" w:cs="Arial" w:eastAsia="Arial" w:hAnsi="Arial"/>
          <w:sz w:val="14"/>
          <w:szCs w:val="14"/>
          <w:b w:val="1"/>
          <w:bCs w:val="1"/>
          <w:u w:val="single" w:color="auto"/>
          <w:color w:val="auto"/>
        </w:rPr>
        <w:t>Restrictions</w:t>
      </w:r>
      <w:r>
        <w:rPr>
          <w:rFonts w:ascii="Arial" w:cs="Arial" w:eastAsia="Arial" w:hAnsi="Arial"/>
          <w:sz w:val="14"/>
          <w:szCs w:val="14"/>
          <w:color w:val="auto"/>
        </w:rPr>
        <w:t>. Restricted Stock Awards may be subject to the restrictions set forth in Sections 9 and 10 hereof or, with respect to a Restricted Stock Award to which</w:t>
      </w:r>
    </w:p>
    <w:p>
      <w:pPr>
        <w:spacing w:after="0" w:line="33" w:lineRule="exact"/>
        <w:rPr>
          <w:sz w:val="20"/>
          <w:szCs w:val="20"/>
          <w:color w:val="auto"/>
        </w:rPr>
      </w:pPr>
    </w:p>
    <w:p>
      <w:pPr>
        <w:spacing w:after="0"/>
        <w:rPr>
          <w:sz w:val="20"/>
          <w:szCs w:val="20"/>
          <w:color w:val="auto"/>
        </w:rPr>
      </w:pPr>
      <w:r>
        <w:rPr>
          <w:rFonts w:ascii="Arial" w:cs="Arial" w:eastAsia="Arial" w:hAnsi="Arial"/>
          <w:sz w:val="15"/>
          <w:szCs w:val="15"/>
          <w:color w:val="auto"/>
        </w:rPr>
        <w:t>Section 25102(o) is to apply, such other restrictions not inconsistent with</w:t>
      </w:r>
    </w:p>
    <w:p>
      <w:pPr>
        <w:spacing w:after="0" w:line="8" w:lineRule="exact"/>
        <w:rPr>
          <w:sz w:val="20"/>
          <w:szCs w:val="20"/>
          <w:color w:val="auto"/>
        </w:rPr>
      </w:pPr>
    </w:p>
    <w:p>
      <w:pPr>
        <w:spacing w:after="0"/>
        <w:rPr>
          <w:sz w:val="20"/>
          <w:szCs w:val="20"/>
          <w:color w:val="auto"/>
        </w:rPr>
      </w:pPr>
      <w:r>
        <w:rPr>
          <w:rFonts w:ascii="Arial" w:cs="Arial" w:eastAsia="Arial" w:hAnsi="Arial"/>
          <w:sz w:val="15"/>
          <w:szCs w:val="15"/>
          <w:color w:val="auto"/>
        </w:rPr>
        <w:t>Section 25102(o).</w:t>
      </w:r>
    </w:p>
    <w:p>
      <w:pPr>
        <w:spacing w:after="0" w:line="265" w:lineRule="exact"/>
        <w:rPr>
          <w:sz w:val="20"/>
          <w:szCs w:val="20"/>
          <w:color w:val="auto"/>
        </w:rPr>
      </w:pPr>
    </w:p>
    <w:p>
      <w:pPr>
        <w:ind w:left="600" w:hanging="152"/>
        <w:spacing w:after="0"/>
        <w:tabs>
          <w:tab w:leader="none" w:pos="600" w:val="left"/>
        </w:tabs>
        <w:numPr>
          <w:ilvl w:val="0"/>
          <w:numId w:val="358"/>
        </w:numPr>
        <w:rPr>
          <w:rFonts w:ascii="Arial" w:cs="Arial" w:eastAsia="Arial" w:hAnsi="Arial"/>
          <w:sz w:val="15"/>
          <w:szCs w:val="15"/>
          <w:b w:val="1"/>
          <w:bCs w:val="1"/>
          <w:color w:val="auto"/>
        </w:rPr>
      </w:pPr>
      <w:r>
        <w:rPr>
          <w:rFonts w:ascii="Arial" w:cs="Arial" w:eastAsia="Arial" w:hAnsi="Arial"/>
          <w:sz w:val="15"/>
          <w:szCs w:val="15"/>
          <w:b w:val="1"/>
          <w:bCs w:val="1"/>
          <w:u w:val="single" w:color="auto"/>
          <w:color w:val="auto"/>
        </w:rPr>
        <w:t>RESTRICTED STOCK UNITS</w:t>
      </w:r>
      <w:r>
        <w:rPr>
          <w:rFonts w:ascii="Arial" w:cs="Arial" w:eastAsia="Arial" w:hAnsi="Arial"/>
          <w:sz w:val="15"/>
          <w:szCs w:val="15"/>
          <w:b w:val="1"/>
          <w:bCs w:val="1"/>
          <w:color w:val="auto"/>
        </w:rPr>
        <w:t>.</w:t>
      </w:r>
    </w:p>
    <w:p>
      <w:pPr>
        <w:spacing w:after="0" w:line="98" w:lineRule="exact"/>
        <w:rPr>
          <w:sz w:val="20"/>
          <w:szCs w:val="20"/>
          <w:color w:val="auto"/>
        </w:rPr>
      </w:pPr>
    </w:p>
    <w:p>
      <w:pPr>
        <w:ind w:right="60" w:firstLine="916"/>
        <w:spacing w:after="0" w:line="261" w:lineRule="auto"/>
        <w:rPr>
          <w:sz w:val="20"/>
          <w:szCs w:val="20"/>
          <w:color w:val="auto"/>
        </w:rPr>
      </w:pPr>
      <w:r>
        <w:rPr>
          <w:rFonts w:ascii="Arial" w:cs="Arial" w:eastAsia="Arial" w:hAnsi="Arial"/>
          <w:sz w:val="15"/>
          <w:szCs w:val="15"/>
          <w:b w:val="1"/>
          <w:bCs w:val="1"/>
          <w:color w:val="auto"/>
        </w:rPr>
        <w:t xml:space="preserve">6.1 </w:t>
      </w:r>
      <w:r>
        <w:rPr>
          <w:rFonts w:ascii="Arial" w:cs="Arial" w:eastAsia="Arial" w:hAnsi="Arial"/>
          <w:sz w:val="15"/>
          <w:szCs w:val="15"/>
          <w:b w:val="1"/>
          <w:bCs w:val="1"/>
          <w:u w:val="single" w:color="auto"/>
          <w:color w:val="auto"/>
        </w:rPr>
        <w:t>Awards of Restricted Stock Units</w:t>
      </w:r>
      <w:r>
        <w:rPr>
          <w:rFonts w:ascii="Arial" w:cs="Arial" w:eastAsia="Arial" w:hAnsi="Arial"/>
          <w:sz w:val="15"/>
          <w:szCs w:val="15"/>
          <w:color w:val="auto"/>
        </w:rPr>
        <w:t>. A Restricted Stock Unit (“</w:t>
      </w:r>
      <w:r>
        <w:rPr>
          <w:rFonts w:ascii="Arial" w:cs="Arial" w:eastAsia="Arial" w:hAnsi="Arial"/>
          <w:sz w:val="15"/>
          <w:szCs w:val="15"/>
          <w:b w:val="1"/>
          <w:bCs w:val="1"/>
          <w:i w:val="1"/>
          <w:iCs w:val="1"/>
          <w:color w:val="auto"/>
        </w:rPr>
        <w:t>RSU</w:t>
      </w:r>
      <w:r>
        <w:rPr>
          <w:rFonts w:ascii="Arial" w:cs="Arial" w:eastAsia="Arial" w:hAnsi="Arial"/>
          <w:sz w:val="15"/>
          <w:szCs w:val="15"/>
          <w:color w:val="auto"/>
        </w:rPr>
        <w:t>”) is an Award covering a number of Shares that may be settled in cash, or by issuance of those Shares</w:t>
      </w:r>
      <w:r>
        <w:rPr>
          <w:rFonts w:ascii="Arial" w:cs="Arial" w:eastAsia="Arial" w:hAnsi="Arial"/>
          <w:sz w:val="15"/>
          <w:szCs w:val="15"/>
          <w:b w:val="1"/>
          <w:bCs w:val="1"/>
          <w:color w:val="auto"/>
        </w:rPr>
        <w:t xml:space="preserve"> </w:t>
      </w:r>
      <w:r>
        <w:rPr>
          <w:rFonts w:ascii="Arial" w:cs="Arial" w:eastAsia="Arial" w:hAnsi="Arial"/>
          <w:sz w:val="15"/>
          <w:szCs w:val="15"/>
          <w:color w:val="auto"/>
        </w:rPr>
        <w:t>at a date in the future. No Purchase Price shall apply to an RSU settled in Shares. All grants of Restricted Stock Units will be evidenced by an Award Agreement that will be in such form (which need not be the same for each Participant) as the Committee will from time to time approve, and will comply with and be subject to the terms and conditions of this Plan. No RSU will have a term longer than ten (10) years from the date the RSU is granted.</w:t>
      </w:r>
    </w:p>
    <w:p>
      <w:pPr>
        <w:spacing w:after="0" w:line="152" w:lineRule="exact"/>
        <w:rPr>
          <w:sz w:val="20"/>
          <w:szCs w:val="20"/>
          <w:color w:val="auto"/>
        </w:rPr>
      </w:pPr>
    </w:p>
    <w:p>
      <w:pPr>
        <w:ind w:firstLine="916"/>
        <w:spacing w:after="0" w:line="266" w:lineRule="auto"/>
        <w:rPr>
          <w:sz w:val="20"/>
          <w:szCs w:val="20"/>
          <w:color w:val="auto"/>
        </w:rPr>
      </w:pPr>
      <w:r>
        <w:rPr>
          <w:rFonts w:ascii="Arial" w:cs="Arial" w:eastAsia="Arial" w:hAnsi="Arial"/>
          <w:sz w:val="15"/>
          <w:szCs w:val="15"/>
          <w:b w:val="1"/>
          <w:bCs w:val="1"/>
          <w:color w:val="auto"/>
        </w:rPr>
        <w:t xml:space="preserve">6.2 </w:t>
      </w:r>
      <w:r>
        <w:rPr>
          <w:rFonts w:ascii="Arial" w:cs="Arial" w:eastAsia="Arial" w:hAnsi="Arial"/>
          <w:sz w:val="15"/>
          <w:szCs w:val="15"/>
          <w:b w:val="1"/>
          <w:bCs w:val="1"/>
          <w:u w:val="single" w:color="auto"/>
          <w:color w:val="auto"/>
        </w:rPr>
        <w:t>Form and Timing of Settlement</w:t>
      </w:r>
      <w:r>
        <w:rPr>
          <w:rFonts w:ascii="Arial" w:cs="Arial" w:eastAsia="Arial" w:hAnsi="Arial"/>
          <w:sz w:val="15"/>
          <w:szCs w:val="15"/>
          <w:color w:val="auto"/>
        </w:rPr>
        <w:t>. To the extent permissible under applicable law, the Committee may permit a Participant to defer payment under a RSU to a date or dates</w:t>
      </w:r>
      <w:r>
        <w:rPr>
          <w:rFonts w:ascii="Arial" w:cs="Arial" w:eastAsia="Arial" w:hAnsi="Arial"/>
          <w:sz w:val="15"/>
          <w:szCs w:val="15"/>
          <w:b w:val="1"/>
          <w:bCs w:val="1"/>
          <w:color w:val="auto"/>
        </w:rPr>
        <w:t xml:space="preserve"> </w:t>
      </w:r>
      <w:r>
        <w:rPr>
          <w:rFonts w:ascii="Arial" w:cs="Arial" w:eastAsia="Arial" w:hAnsi="Arial"/>
          <w:sz w:val="15"/>
          <w:szCs w:val="15"/>
          <w:color w:val="auto"/>
        </w:rPr>
        <w:t xml:space="preserve">after the RSU is earned, </w:t>
      </w:r>
      <w:r>
        <w:rPr>
          <w:rFonts w:ascii="Arial" w:cs="Arial" w:eastAsia="Arial" w:hAnsi="Arial"/>
          <w:sz w:val="15"/>
          <w:szCs w:val="15"/>
          <w:i w:val="1"/>
          <w:iCs w:val="1"/>
          <w:u w:val="single" w:color="auto"/>
          <w:color w:val="auto"/>
        </w:rPr>
        <w:t>provided</w:t>
      </w:r>
      <w:r>
        <w:rPr>
          <w:rFonts w:ascii="Arial" w:cs="Arial" w:eastAsia="Arial" w:hAnsi="Arial"/>
          <w:sz w:val="15"/>
          <w:szCs w:val="15"/>
          <w:color w:val="auto"/>
        </w:rPr>
        <w:t xml:space="preserve"> that the terms of the RSU and any deferral satisfy the requirements of Section 409A of the Code (or any successor) and any regulations or rulings promulgated thereunder. Payment may be made in the form of cash or whole Shares or a combination thereof, all as the Committee determines.</w:t>
      </w:r>
    </w:p>
    <w:p>
      <w:pPr>
        <w:spacing w:after="0" w:line="148" w:lineRule="exact"/>
        <w:rPr>
          <w:sz w:val="20"/>
          <w:szCs w:val="20"/>
          <w:color w:val="auto"/>
        </w:rPr>
      </w:pPr>
    </w:p>
    <w:p>
      <w:pPr>
        <w:ind w:right="100" w:firstLine="916"/>
        <w:spacing w:after="0" w:line="313" w:lineRule="auto"/>
        <w:rPr>
          <w:sz w:val="20"/>
          <w:szCs w:val="20"/>
          <w:color w:val="auto"/>
        </w:rPr>
      </w:pPr>
      <w:r>
        <w:rPr>
          <w:rFonts w:ascii="Arial" w:cs="Arial" w:eastAsia="Arial" w:hAnsi="Arial"/>
          <w:sz w:val="13"/>
          <w:szCs w:val="13"/>
          <w:b w:val="1"/>
          <w:bCs w:val="1"/>
          <w:color w:val="auto"/>
        </w:rPr>
        <w:t xml:space="preserve">6.3 </w:t>
      </w:r>
      <w:r>
        <w:rPr>
          <w:rFonts w:ascii="Arial" w:cs="Arial" w:eastAsia="Arial" w:hAnsi="Arial"/>
          <w:sz w:val="13"/>
          <w:szCs w:val="13"/>
          <w:b w:val="1"/>
          <w:bCs w:val="1"/>
          <w:u w:val="single" w:color="auto"/>
          <w:color w:val="auto"/>
        </w:rPr>
        <w:t>Dividend Equivalent Payments</w:t>
      </w:r>
      <w:r>
        <w:rPr>
          <w:rFonts w:ascii="Arial" w:cs="Arial" w:eastAsia="Arial" w:hAnsi="Arial"/>
          <w:sz w:val="13"/>
          <w:szCs w:val="13"/>
          <w:b w:val="1"/>
          <w:bCs w:val="1"/>
          <w:color w:val="auto"/>
        </w:rPr>
        <w:t xml:space="preserve">. </w:t>
      </w:r>
      <w:r>
        <w:rPr>
          <w:rFonts w:ascii="Arial" w:cs="Arial" w:eastAsia="Arial" w:hAnsi="Arial"/>
          <w:sz w:val="13"/>
          <w:szCs w:val="13"/>
          <w:color w:val="auto"/>
        </w:rPr>
        <w:t>The Board may permit Participants holding RSUs to receive dividend equivalent payments on outstanding RSUs if and when dividends</w:t>
      </w:r>
      <w:r>
        <w:rPr>
          <w:rFonts w:ascii="Arial" w:cs="Arial" w:eastAsia="Arial" w:hAnsi="Arial"/>
          <w:sz w:val="13"/>
          <w:szCs w:val="13"/>
          <w:b w:val="1"/>
          <w:bCs w:val="1"/>
          <w:color w:val="auto"/>
        </w:rPr>
        <w:t xml:space="preserve"> </w:t>
      </w:r>
      <w:r>
        <w:rPr>
          <w:rFonts w:ascii="Arial" w:cs="Arial" w:eastAsia="Arial" w:hAnsi="Arial"/>
          <w:sz w:val="13"/>
          <w:szCs w:val="13"/>
          <w:color w:val="auto"/>
        </w:rPr>
        <w:t>are paid to stockholders on Shares. In the discretion of the Board, such dividend equivalent payments may be paid in cash or shares of Common Stock and they may either be paid at the same time as dividend payments are made to stockholders or delayed until when Shares are issued pursuant to the RSU grants and may be subject to the same vesting requirements as the RSUs. If the Board permits dividend equivalent payments to be made on RSUs, the terms and conditions for such payments will be set forth in the Award Agreement.</w:t>
      </w:r>
    </w:p>
    <w:p>
      <w:pPr>
        <w:spacing w:after="0" w:line="7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5</w:t>
      </w:r>
    </w:p>
    <w:p>
      <w:pPr>
        <w:sectPr>
          <w:pgSz w:w="11900" w:h="16838" w:orient="portrait"/>
          <w:cols w:equalWidth="0" w:num="1">
            <w:col w:w="11440"/>
          </w:cols>
          <w:pgMar w:left="240" w:top="253" w:right="219" w:bottom="1440" w:gutter="0" w:footer="0" w:header="0"/>
        </w:sectPr>
      </w:pPr>
    </w:p>
    <w:bookmarkStart w:id="411" w:name="page412"/>
    <w:bookmarkEnd w:id="411"/>
    <w:p>
      <w:pPr>
        <w:ind w:left="600" w:hanging="152"/>
        <w:spacing w:after="0"/>
        <w:tabs>
          <w:tab w:leader="none" w:pos="600" w:val="left"/>
        </w:tabs>
        <w:numPr>
          <w:ilvl w:val="0"/>
          <w:numId w:val="359"/>
        </w:numPr>
        <w:rPr>
          <w:rFonts w:ascii="Arial" w:cs="Arial" w:eastAsia="Arial" w:hAnsi="Arial"/>
          <w:sz w:val="15"/>
          <w:szCs w:val="15"/>
          <w:b w:val="1"/>
          <w:bCs w:val="1"/>
          <w:color w:val="auto"/>
        </w:rPr>
      </w:pPr>
      <w:r>
        <w:rPr>
          <w:rFonts w:ascii="Arial" w:cs="Arial" w:eastAsia="Arial" w:hAnsi="Arial"/>
          <w:sz w:val="15"/>
          <w:szCs w:val="15"/>
          <w:b w:val="1"/>
          <w:bCs w:val="1"/>
          <w:u w:val="single" w:color="auto"/>
          <w:color w:val="auto"/>
        </w:rPr>
        <w:drawing>
          <wp:anchor simplePos="0" relativeHeight="251657728" behindDoc="1" locked="0" layoutInCell="0" allowOverlap="1">
            <wp:simplePos x="0" y="0"/>
            <wp:positionH relativeFrom="page">
              <wp:posOffset>133350</wp:posOffset>
            </wp:positionH>
            <wp:positionV relativeFrom="page">
              <wp:posOffset>88900</wp:posOffset>
            </wp:positionV>
            <wp:extent cx="7308850" cy="34290"/>
            <wp:wrapNone/>
            <wp:docPr id="587" name="Picture 5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7"/>
                    <pic:cNvPicPr>
                      <a:picLocks noChangeAspect="1" noChangeArrowheads="1"/>
                    </pic:cNvPicPr>
                  </pic:nvPicPr>
                  <pic:blipFill>
                    <a:blip r:embed="rId624">
                      <a:extLst>
                        <a:ext uri="{28A0092B-C50C-407E-A947-70E740481C1C}"/>
                      </a:extLst>
                    </a:blip>
                    <a:srcRect/>
                    <a:stretch>
                      <a:fillRect/>
                    </a:stretch>
                  </pic:blipFill>
                  <pic:spPr bwMode="auto">
                    <a:xfrm>
                      <a:off x="0" y="0"/>
                      <a:ext cx="7308850" cy="34290"/>
                    </a:xfrm>
                    <a:prstGeom prst="rect">
                      <a:avLst/>
                    </a:prstGeom>
                    <a:noFill/>
                  </pic:spPr>
                </pic:pic>
              </a:graphicData>
            </a:graphic>
          </wp:anchor>
        </w:drawing>
        <w:t>STOCK APPRECIATION RIGHTS</w:t>
      </w:r>
      <w:r>
        <w:rPr>
          <w:rFonts w:ascii="Arial" w:cs="Arial" w:eastAsia="Arial" w:hAnsi="Arial"/>
          <w:sz w:val="15"/>
          <w:szCs w:val="15"/>
          <w:b w:val="1"/>
          <w:bCs w:val="1"/>
          <w:color w:val="auto"/>
        </w:rPr>
        <w:t>.</w:t>
      </w:r>
    </w:p>
    <w:p>
      <w:pPr>
        <w:spacing w:after="0" w:line="98" w:lineRule="exact"/>
        <w:rPr>
          <w:sz w:val="20"/>
          <w:szCs w:val="20"/>
          <w:color w:val="auto"/>
        </w:rPr>
      </w:pPr>
    </w:p>
    <w:p>
      <w:pPr>
        <w:jc w:val="both"/>
        <w:ind w:right="280" w:firstLine="916"/>
        <w:spacing w:after="0" w:line="285" w:lineRule="auto"/>
        <w:rPr>
          <w:sz w:val="20"/>
          <w:szCs w:val="20"/>
          <w:color w:val="auto"/>
        </w:rPr>
      </w:pPr>
      <w:r>
        <w:rPr>
          <w:rFonts w:ascii="Arial" w:cs="Arial" w:eastAsia="Arial" w:hAnsi="Arial"/>
          <w:sz w:val="14"/>
          <w:szCs w:val="14"/>
          <w:b w:val="1"/>
          <w:bCs w:val="1"/>
          <w:color w:val="auto"/>
        </w:rPr>
        <w:t xml:space="preserve">7.1 </w:t>
      </w:r>
      <w:r>
        <w:rPr>
          <w:rFonts w:ascii="Arial" w:cs="Arial" w:eastAsia="Arial" w:hAnsi="Arial"/>
          <w:sz w:val="14"/>
          <w:szCs w:val="14"/>
          <w:b w:val="1"/>
          <w:bCs w:val="1"/>
          <w:u w:val="single" w:color="auto"/>
          <w:color w:val="auto"/>
        </w:rPr>
        <w:t>Awards of SARs</w:t>
      </w:r>
      <w:r>
        <w:rPr>
          <w:rFonts w:ascii="Arial" w:cs="Arial" w:eastAsia="Arial" w:hAnsi="Arial"/>
          <w:sz w:val="14"/>
          <w:szCs w:val="14"/>
          <w:color w:val="auto"/>
        </w:rPr>
        <w:t>. Stock Appreciation Rights (“</w:t>
      </w:r>
      <w:r>
        <w:rPr>
          <w:rFonts w:ascii="Arial" w:cs="Arial" w:eastAsia="Arial" w:hAnsi="Arial"/>
          <w:sz w:val="14"/>
          <w:szCs w:val="14"/>
          <w:b w:val="1"/>
          <w:bCs w:val="1"/>
          <w:i w:val="1"/>
          <w:iCs w:val="1"/>
          <w:color w:val="auto"/>
        </w:rPr>
        <w:t>SARs</w:t>
      </w:r>
      <w:r>
        <w:rPr>
          <w:rFonts w:ascii="Arial" w:cs="Arial" w:eastAsia="Arial" w:hAnsi="Arial"/>
          <w:sz w:val="14"/>
          <w:szCs w:val="14"/>
          <w:color w:val="auto"/>
        </w:rPr>
        <w:t>”) may be settled in cash, or Shares (which may consist of Restricted Stock or RSUs), having a value equal to the</w:t>
      </w:r>
      <w:r>
        <w:rPr>
          <w:rFonts w:ascii="Arial" w:cs="Arial" w:eastAsia="Arial" w:hAnsi="Arial"/>
          <w:sz w:val="14"/>
          <w:szCs w:val="14"/>
          <w:b w:val="1"/>
          <w:bCs w:val="1"/>
          <w:color w:val="auto"/>
        </w:rPr>
        <w:t xml:space="preserve"> </w:t>
      </w:r>
      <w:r>
        <w:rPr>
          <w:rFonts w:ascii="Arial" w:cs="Arial" w:eastAsia="Arial" w:hAnsi="Arial"/>
          <w:sz w:val="14"/>
          <w:szCs w:val="14"/>
          <w:color w:val="auto"/>
        </w:rPr>
        <w:t>value determined by multiplying the difference between the Fair Market Value on the date of exercise over the Exercise Price and the number of Shares with respect to which the SAR is being settled. All grants of SARs made pursuant to this Plan will be evidenced by an Award Agreement that will be in such form (which need not be the same for each Participant) as the Committee will from time to time approve, and will comply with and be subject to the terms and conditions of this Plan.</w:t>
      </w:r>
    </w:p>
    <w:p>
      <w:pPr>
        <w:spacing w:after="0" w:line="138" w:lineRule="exact"/>
        <w:rPr>
          <w:sz w:val="20"/>
          <w:szCs w:val="20"/>
          <w:color w:val="auto"/>
        </w:rPr>
      </w:pPr>
    </w:p>
    <w:p>
      <w:pPr>
        <w:ind w:firstLine="916"/>
        <w:spacing w:after="0" w:line="266" w:lineRule="auto"/>
        <w:rPr>
          <w:sz w:val="20"/>
          <w:szCs w:val="20"/>
          <w:color w:val="auto"/>
        </w:rPr>
      </w:pPr>
      <w:r>
        <w:rPr>
          <w:rFonts w:ascii="Arial" w:cs="Arial" w:eastAsia="Arial" w:hAnsi="Arial"/>
          <w:sz w:val="15"/>
          <w:szCs w:val="15"/>
          <w:b w:val="1"/>
          <w:bCs w:val="1"/>
          <w:color w:val="auto"/>
        </w:rPr>
        <w:t xml:space="preserve">7.2 </w:t>
      </w:r>
      <w:r>
        <w:rPr>
          <w:rFonts w:ascii="Arial" w:cs="Arial" w:eastAsia="Arial" w:hAnsi="Arial"/>
          <w:sz w:val="15"/>
          <w:szCs w:val="15"/>
          <w:b w:val="1"/>
          <w:bCs w:val="1"/>
          <w:u w:val="single" w:color="auto"/>
          <w:color w:val="auto"/>
        </w:rPr>
        <w:t>Exercise Period and Expiration Date</w:t>
      </w:r>
      <w:r>
        <w:rPr>
          <w:rFonts w:ascii="Arial" w:cs="Arial" w:eastAsia="Arial" w:hAnsi="Arial"/>
          <w:sz w:val="15"/>
          <w:szCs w:val="15"/>
          <w:color w:val="auto"/>
        </w:rPr>
        <w:t>. A SAR will be exercisable within the times or upon the occurrence of events determined by the Committee and set forth in the</w:t>
      </w:r>
      <w:r>
        <w:rPr>
          <w:rFonts w:ascii="Arial" w:cs="Arial" w:eastAsia="Arial" w:hAnsi="Arial"/>
          <w:sz w:val="15"/>
          <w:szCs w:val="15"/>
          <w:b w:val="1"/>
          <w:bCs w:val="1"/>
          <w:color w:val="auto"/>
        </w:rPr>
        <w:t xml:space="preserve"> </w:t>
      </w:r>
      <w:r>
        <w:rPr>
          <w:rFonts w:ascii="Arial" w:cs="Arial" w:eastAsia="Arial" w:hAnsi="Arial"/>
          <w:sz w:val="15"/>
          <w:szCs w:val="15"/>
          <w:color w:val="auto"/>
        </w:rPr>
        <w:t xml:space="preserve">Award Agreement governing such SAR. The Award Agreement shall set forth the Expiration Date; </w:t>
      </w:r>
      <w:r>
        <w:rPr>
          <w:rFonts w:ascii="Arial" w:cs="Arial" w:eastAsia="Arial" w:hAnsi="Arial"/>
          <w:sz w:val="15"/>
          <w:szCs w:val="15"/>
          <w:i w:val="1"/>
          <w:iCs w:val="1"/>
          <w:u w:val="single" w:color="auto"/>
          <w:color w:val="auto"/>
        </w:rPr>
        <w:t>provided</w:t>
      </w:r>
      <w:r>
        <w:rPr>
          <w:rFonts w:ascii="Arial" w:cs="Arial" w:eastAsia="Arial" w:hAnsi="Arial"/>
          <w:sz w:val="15"/>
          <w:szCs w:val="15"/>
          <w:color w:val="auto"/>
        </w:rPr>
        <w:t xml:space="preserve"> that no SAR will be exercisable after the expiration of ten years from the date the SAR is granted.</w:t>
      </w:r>
    </w:p>
    <w:p>
      <w:pPr>
        <w:spacing w:after="0" w:line="148" w:lineRule="exact"/>
        <w:rPr>
          <w:sz w:val="20"/>
          <w:szCs w:val="20"/>
          <w:color w:val="auto"/>
        </w:rPr>
      </w:pPr>
    </w:p>
    <w:p>
      <w:pPr>
        <w:ind w:right="80" w:firstLine="916"/>
        <w:spacing w:after="0" w:line="280" w:lineRule="auto"/>
        <w:rPr>
          <w:sz w:val="20"/>
          <w:szCs w:val="20"/>
          <w:color w:val="auto"/>
        </w:rPr>
      </w:pPr>
      <w:r>
        <w:rPr>
          <w:rFonts w:ascii="Arial" w:cs="Arial" w:eastAsia="Arial" w:hAnsi="Arial"/>
          <w:sz w:val="15"/>
          <w:szCs w:val="15"/>
          <w:b w:val="1"/>
          <w:bCs w:val="1"/>
          <w:color w:val="auto"/>
        </w:rPr>
        <w:t xml:space="preserve">7.3 </w:t>
      </w:r>
      <w:r>
        <w:rPr>
          <w:rFonts w:ascii="Arial" w:cs="Arial" w:eastAsia="Arial" w:hAnsi="Arial"/>
          <w:sz w:val="15"/>
          <w:szCs w:val="15"/>
          <w:b w:val="1"/>
          <w:bCs w:val="1"/>
          <w:u w:val="single" w:color="auto"/>
          <w:color w:val="auto"/>
        </w:rPr>
        <w:t>Exercise Price</w:t>
      </w:r>
      <w:r>
        <w:rPr>
          <w:rFonts w:ascii="Arial" w:cs="Arial" w:eastAsia="Arial" w:hAnsi="Arial"/>
          <w:sz w:val="15"/>
          <w:szCs w:val="15"/>
          <w:color w:val="auto"/>
        </w:rPr>
        <w:t>. The Committee will determine the Exercise Price of the SAR when the SAR is granted, and which may not be less than the Fair Market Value on the date</w:t>
      </w:r>
      <w:r>
        <w:rPr>
          <w:rFonts w:ascii="Arial" w:cs="Arial" w:eastAsia="Arial" w:hAnsi="Arial"/>
          <w:sz w:val="15"/>
          <w:szCs w:val="15"/>
          <w:b w:val="1"/>
          <w:bCs w:val="1"/>
          <w:color w:val="auto"/>
        </w:rPr>
        <w:t xml:space="preserve"> </w:t>
      </w:r>
      <w:r>
        <w:rPr>
          <w:rFonts w:ascii="Arial" w:cs="Arial" w:eastAsia="Arial" w:hAnsi="Arial"/>
          <w:sz w:val="15"/>
          <w:szCs w:val="15"/>
          <w:color w:val="auto"/>
        </w:rPr>
        <w:t>of grant and may be settled in cash or in Shares.</w:t>
      </w:r>
    </w:p>
    <w:p>
      <w:pPr>
        <w:spacing w:after="0" w:line="139" w:lineRule="exact"/>
        <w:rPr>
          <w:sz w:val="20"/>
          <w:szCs w:val="20"/>
          <w:color w:val="auto"/>
        </w:rPr>
      </w:pPr>
    </w:p>
    <w:p>
      <w:pPr>
        <w:ind w:right="160" w:firstLine="916"/>
        <w:spacing w:after="0" w:line="280" w:lineRule="auto"/>
        <w:rPr>
          <w:sz w:val="20"/>
          <w:szCs w:val="20"/>
          <w:color w:val="auto"/>
        </w:rPr>
      </w:pPr>
      <w:r>
        <w:rPr>
          <w:rFonts w:ascii="Arial" w:cs="Arial" w:eastAsia="Arial" w:hAnsi="Arial"/>
          <w:sz w:val="15"/>
          <w:szCs w:val="15"/>
          <w:b w:val="1"/>
          <w:bCs w:val="1"/>
          <w:color w:val="auto"/>
        </w:rPr>
        <w:t xml:space="preserve">7.4 </w:t>
      </w:r>
      <w:r>
        <w:rPr>
          <w:rFonts w:ascii="Arial" w:cs="Arial" w:eastAsia="Arial" w:hAnsi="Arial"/>
          <w:sz w:val="15"/>
          <w:szCs w:val="15"/>
          <w:b w:val="1"/>
          <w:bCs w:val="1"/>
          <w:u w:val="single" w:color="auto"/>
          <w:color w:val="auto"/>
        </w:rPr>
        <w:t>Termination</w:t>
      </w:r>
      <w:r>
        <w:rPr>
          <w:rFonts w:ascii="Arial" w:cs="Arial" w:eastAsia="Arial" w:hAnsi="Arial"/>
          <w:sz w:val="15"/>
          <w:szCs w:val="15"/>
          <w:color w:val="auto"/>
        </w:rPr>
        <w:t>. Subject to earlier termination pursuant to Sections 11 and 13.1 hereof and notwithstanding the exercise periods set forth in the Award Agreement, exercise</w:t>
      </w:r>
      <w:r>
        <w:rPr>
          <w:rFonts w:ascii="Arial" w:cs="Arial" w:eastAsia="Arial" w:hAnsi="Arial"/>
          <w:sz w:val="15"/>
          <w:szCs w:val="15"/>
          <w:b w:val="1"/>
          <w:bCs w:val="1"/>
          <w:color w:val="auto"/>
        </w:rPr>
        <w:t xml:space="preserve"> </w:t>
      </w:r>
      <w:r>
        <w:rPr>
          <w:rFonts w:ascii="Arial" w:cs="Arial" w:eastAsia="Arial" w:hAnsi="Arial"/>
          <w:sz w:val="15"/>
          <w:szCs w:val="15"/>
          <w:color w:val="auto"/>
        </w:rPr>
        <w:t>of SARs will always be subject to the following terms and conditions.</w:t>
      </w:r>
    </w:p>
    <w:p>
      <w:pPr>
        <w:spacing w:after="0" w:line="143" w:lineRule="exact"/>
        <w:rPr>
          <w:sz w:val="20"/>
          <w:szCs w:val="20"/>
          <w:color w:val="auto"/>
        </w:rPr>
      </w:pPr>
    </w:p>
    <w:p>
      <w:pPr>
        <w:ind w:right="60" w:firstLine="1488"/>
        <w:spacing w:after="0" w:line="257" w:lineRule="auto"/>
        <w:rPr>
          <w:sz w:val="20"/>
          <w:szCs w:val="20"/>
          <w:color w:val="auto"/>
        </w:rPr>
      </w:pPr>
      <w:r>
        <w:rPr>
          <w:rFonts w:ascii="Arial" w:cs="Arial" w:eastAsia="Arial" w:hAnsi="Arial"/>
          <w:sz w:val="15"/>
          <w:szCs w:val="15"/>
          <w:color w:val="auto"/>
        </w:rPr>
        <w:t xml:space="preserve">7.4.1 </w:t>
      </w:r>
      <w:r>
        <w:rPr>
          <w:rFonts w:ascii="Arial" w:cs="Arial" w:eastAsia="Arial" w:hAnsi="Arial"/>
          <w:sz w:val="15"/>
          <w:szCs w:val="15"/>
          <w:u w:val="single" w:color="auto"/>
          <w:color w:val="auto"/>
        </w:rPr>
        <w:t>Other than Death or Disability or for Cause</w:t>
      </w:r>
      <w:r>
        <w:rPr>
          <w:rFonts w:ascii="Arial" w:cs="Arial" w:eastAsia="Arial" w:hAnsi="Arial"/>
          <w:sz w:val="15"/>
          <w:szCs w:val="15"/>
          <w:color w:val="auto"/>
        </w:rPr>
        <w:t>. If the Participant is Terminated for any reason other than death, Disability or for Cause, then the Participant may exercise such Participant’s SARs only to the extent that such SARs are exercisable as to Vested Shares upon the Termination Date or as otherwise determined by the Committee. SARs must be exercised by the Participant, if at all, as to all or some of the Vested Shares calculated as of the Termination Date or such other date determined by the Committee, within three (3) months after the Termination Date (or within such shorter time period, not less than thirty (30) days, or within such longer time period after the Termination Date as may be determined by the Committee) but in any event, no later than the expiration date of the SARs.</w:t>
      </w:r>
    </w:p>
    <w:p>
      <w:pPr>
        <w:spacing w:after="0" w:line="159" w:lineRule="exact"/>
        <w:rPr>
          <w:sz w:val="20"/>
          <w:szCs w:val="20"/>
          <w:color w:val="auto"/>
        </w:rPr>
      </w:pPr>
    </w:p>
    <w:p>
      <w:pPr>
        <w:ind w:right="40" w:firstLine="1488"/>
        <w:spacing w:after="0" w:line="305" w:lineRule="auto"/>
        <w:rPr>
          <w:sz w:val="20"/>
          <w:szCs w:val="20"/>
          <w:color w:val="auto"/>
        </w:rPr>
      </w:pPr>
      <w:r>
        <w:rPr>
          <w:rFonts w:ascii="Arial" w:cs="Arial" w:eastAsia="Arial" w:hAnsi="Arial"/>
          <w:sz w:val="13"/>
          <w:szCs w:val="13"/>
          <w:color w:val="auto"/>
        </w:rPr>
        <w:t xml:space="preserve">7.4.2 </w:t>
      </w:r>
      <w:r>
        <w:rPr>
          <w:rFonts w:ascii="Arial" w:cs="Arial" w:eastAsia="Arial" w:hAnsi="Arial"/>
          <w:sz w:val="13"/>
          <w:szCs w:val="13"/>
          <w:u w:val="single" w:color="auto"/>
          <w:color w:val="auto"/>
        </w:rPr>
        <w:t>Death or Disability</w:t>
      </w:r>
      <w:r>
        <w:rPr>
          <w:rFonts w:ascii="Arial" w:cs="Arial" w:eastAsia="Arial" w:hAnsi="Arial"/>
          <w:sz w:val="13"/>
          <w:szCs w:val="13"/>
          <w:color w:val="auto"/>
        </w:rPr>
        <w:t>. If the Participant is Terminated because of Participant’s death or Disability (or the Participant dies within three (3) months after a Termination other than for Cause), then Participant’s SARs may be exercised only to the extent that such SARs are exercisable as to Vested Shares by Participant on the Termination Date or as otherwise determined by the Committee. Such SARs must be exercised by Participant (or Participant’s legal representative or authorized assignee), if at all, as to all or some of the Vested Shares calculated as of the Termination Date or such other date determined by the Committee, within twelve (12) months after the Termination Date (or within such shorter time period, not less than six (6) months, or within such longer time period after the Termination Date as may be determined by the Committee) but in any event no later than the expiration date of the SARs.</w:t>
      </w:r>
    </w:p>
    <w:p>
      <w:pPr>
        <w:spacing w:after="0" w:line="133" w:lineRule="exact"/>
        <w:rPr>
          <w:sz w:val="20"/>
          <w:szCs w:val="20"/>
          <w:color w:val="auto"/>
        </w:rPr>
      </w:pPr>
    </w:p>
    <w:p>
      <w:pPr>
        <w:jc w:val="both"/>
        <w:ind w:right="300" w:firstLine="1488"/>
        <w:spacing w:after="0" w:line="263" w:lineRule="auto"/>
        <w:rPr>
          <w:sz w:val="20"/>
          <w:szCs w:val="20"/>
          <w:color w:val="auto"/>
        </w:rPr>
      </w:pPr>
      <w:r>
        <w:rPr>
          <w:rFonts w:ascii="Arial" w:cs="Arial" w:eastAsia="Arial" w:hAnsi="Arial"/>
          <w:sz w:val="15"/>
          <w:szCs w:val="15"/>
          <w:color w:val="auto"/>
        </w:rPr>
        <w:t xml:space="preserve">7.4.3 </w:t>
      </w:r>
      <w:r>
        <w:rPr>
          <w:rFonts w:ascii="Arial" w:cs="Arial" w:eastAsia="Arial" w:hAnsi="Arial"/>
          <w:sz w:val="15"/>
          <w:szCs w:val="15"/>
          <w:u w:val="single" w:color="auto"/>
          <w:color w:val="auto"/>
        </w:rPr>
        <w:t>For Cause</w:t>
      </w:r>
      <w:r>
        <w:rPr>
          <w:rFonts w:ascii="Arial" w:cs="Arial" w:eastAsia="Arial" w:hAnsi="Arial"/>
          <w:sz w:val="15"/>
          <w:szCs w:val="15"/>
          <w:color w:val="auto"/>
        </w:rPr>
        <w:t>. If the Participant is terminated for Cause, the Participant may exercise such Participant’s SARs, but not to an extent greater than such SARs are exercisable as to Vested Shares upon the Termination Date and Participant’s SARs shall expire on such Participant’s Termination Date, or at such later time and on such conditions as are determined by the Committee.</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6</w:t>
      </w:r>
    </w:p>
    <w:p>
      <w:pPr>
        <w:sectPr>
          <w:pgSz w:w="11900" w:h="16838" w:orient="portrait"/>
          <w:cols w:equalWidth="0" w:num="1">
            <w:col w:w="11440"/>
          </w:cols>
          <w:pgMar w:left="240" w:top="249" w:right="219" w:bottom="1440" w:gutter="0" w:footer="0" w:header="0"/>
        </w:sectPr>
      </w:pPr>
    </w:p>
    <w:bookmarkStart w:id="412" w:name="page413"/>
    <w:bookmarkEnd w:id="412"/>
    <w:p>
      <w:pPr>
        <w:ind w:left="600" w:hanging="152"/>
        <w:spacing w:after="0"/>
        <w:tabs>
          <w:tab w:leader="none" w:pos="600" w:val="left"/>
        </w:tabs>
        <w:numPr>
          <w:ilvl w:val="0"/>
          <w:numId w:val="360"/>
        </w:numPr>
        <w:rPr>
          <w:rFonts w:ascii="Arial" w:cs="Arial" w:eastAsia="Arial" w:hAnsi="Arial"/>
          <w:sz w:val="15"/>
          <w:szCs w:val="15"/>
          <w:b w:val="1"/>
          <w:bCs w:val="1"/>
          <w:color w:val="auto"/>
        </w:rPr>
      </w:pPr>
      <w:r>
        <w:rPr>
          <w:rFonts w:ascii="Arial" w:cs="Arial" w:eastAsia="Arial" w:hAnsi="Arial"/>
          <w:sz w:val="15"/>
          <w:szCs w:val="15"/>
          <w:b w:val="1"/>
          <w:bCs w:val="1"/>
          <w:u w:val="single" w:color="auto"/>
          <w:color w:val="auto"/>
        </w:rPr>
        <w:drawing>
          <wp:anchor simplePos="0" relativeHeight="251657728" behindDoc="1" locked="0" layoutInCell="0" allowOverlap="1">
            <wp:simplePos x="0" y="0"/>
            <wp:positionH relativeFrom="page">
              <wp:posOffset>133350</wp:posOffset>
            </wp:positionH>
            <wp:positionV relativeFrom="page">
              <wp:posOffset>88900</wp:posOffset>
            </wp:positionV>
            <wp:extent cx="7308850" cy="34290"/>
            <wp:wrapNone/>
            <wp:docPr id="588" name="Picture 5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8"/>
                    <pic:cNvPicPr>
                      <a:picLocks noChangeAspect="1" noChangeArrowheads="1"/>
                    </pic:cNvPicPr>
                  </pic:nvPicPr>
                  <pic:blipFill>
                    <a:blip r:embed="rId625">
                      <a:extLst>
                        <a:ext uri="{28A0092B-C50C-407E-A947-70E740481C1C}"/>
                      </a:extLst>
                    </a:blip>
                    <a:srcRect/>
                    <a:stretch>
                      <a:fillRect/>
                    </a:stretch>
                  </pic:blipFill>
                  <pic:spPr bwMode="auto">
                    <a:xfrm>
                      <a:off x="0" y="0"/>
                      <a:ext cx="7308850" cy="34290"/>
                    </a:xfrm>
                    <a:prstGeom prst="rect">
                      <a:avLst/>
                    </a:prstGeom>
                    <a:noFill/>
                  </pic:spPr>
                </pic:pic>
              </a:graphicData>
            </a:graphic>
          </wp:anchor>
        </w:drawing>
        <w:t>PAYMENT FOR PURCHASES AND EXERCISES</w:t>
      </w:r>
      <w:r>
        <w:rPr>
          <w:rFonts w:ascii="Arial" w:cs="Arial" w:eastAsia="Arial" w:hAnsi="Arial"/>
          <w:sz w:val="15"/>
          <w:szCs w:val="15"/>
          <w:b w:val="1"/>
          <w:bCs w:val="1"/>
          <w:color w:val="auto"/>
        </w:rPr>
        <w:t>.</w:t>
      </w:r>
    </w:p>
    <w:p>
      <w:pPr>
        <w:spacing w:after="0" w:line="98" w:lineRule="exact"/>
        <w:rPr>
          <w:sz w:val="20"/>
          <w:szCs w:val="20"/>
          <w:color w:val="auto"/>
        </w:rPr>
      </w:pPr>
    </w:p>
    <w:p>
      <w:pPr>
        <w:ind w:left="900"/>
        <w:spacing w:after="0"/>
        <w:rPr>
          <w:sz w:val="20"/>
          <w:szCs w:val="20"/>
          <w:color w:val="auto"/>
        </w:rPr>
      </w:pPr>
      <w:r>
        <w:rPr>
          <w:rFonts w:ascii="Arial" w:cs="Arial" w:eastAsia="Arial" w:hAnsi="Arial"/>
          <w:sz w:val="14"/>
          <w:szCs w:val="14"/>
          <w:b w:val="1"/>
          <w:bCs w:val="1"/>
          <w:color w:val="auto"/>
        </w:rPr>
        <w:t xml:space="preserve">8.1 </w:t>
      </w:r>
      <w:r>
        <w:rPr>
          <w:rFonts w:ascii="Arial" w:cs="Arial" w:eastAsia="Arial" w:hAnsi="Arial"/>
          <w:sz w:val="14"/>
          <w:szCs w:val="14"/>
          <w:b w:val="1"/>
          <w:bCs w:val="1"/>
          <w:u w:val="single" w:color="auto"/>
          <w:color w:val="auto"/>
        </w:rPr>
        <w:t>Payment in General</w:t>
      </w:r>
      <w:r>
        <w:rPr>
          <w:rFonts w:ascii="Arial" w:cs="Arial" w:eastAsia="Arial" w:hAnsi="Arial"/>
          <w:sz w:val="14"/>
          <w:szCs w:val="14"/>
          <w:color w:val="auto"/>
        </w:rPr>
        <w:t>. Payment for Shares acquired pursuant to this Plan may be made in cash (by check) or, where expressly approved for the Participant by the</w:t>
      </w:r>
    </w:p>
    <w:p>
      <w:pPr>
        <w:spacing w:after="0" w:line="33" w:lineRule="exact"/>
        <w:rPr>
          <w:sz w:val="20"/>
          <w:szCs w:val="20"/>
          <w:color w:val="auto"/>
        </w:rPr>
      </w:pPr>
    </w:p>
    <w:p>
      <w:pPr>
        <w:spacing w:after="0"/>
        <w:rPr>
          <w:sz w:val="20"/>
          <w:szCs w:val="20"/>
          <w:color w:val="auto"/>
        </w:rPr>
      </w:pPr>
      <w:r>
        <w:rPr>
          <w:rFonts w:ascii="Arial" w:cs="Arial" w:eastAsia="Arial" w:hAnsi="Arial"/>
          <w:sz w:val="15"/>
          <w:szCs w:val="15"/>
          <w:color w:val="auto"/>
        </w:rPr>
        <w:t>Committee and where permitted by law:</w:t>
      </w:r>
    </w:p>
    <w:p>
      <w:pPr>
        <w:spacing w:after="0" w:line="179" w:lineRule="exact"/>
        <w:rPr>
          <w:sz w:val="20"/>
          <w:szCs w:val="20"/>
          <w:color w:val="auto"/>
        </w:rPr>
      </w:pPr>
    </w:p>
    <w:p>
      <w:pPr>
        <w:ind w:left="1680" w:hanging="202"/>
        <w:spacing w:after="0"/>
        <w:tabs>
          <w:tab w:leader="none" w:pos="1680" w:val="left"/>
        </w:tabs>
        <w:numPr>
          <w:ilvl w:val="0"/>
          <w:numId w:val="361"/>
        </w:numPr>
        <w:rPr>
          <w:rFonts w:ascii="Arial" w:cs="Arial" w:eastAsia="Arial" w:hAnsi="Arial"/>
          <w:sz w:val="15"/>
          <w:szCs w:val="15"/>
          <w:color w:val="auto"/>
        </w:rPr>
      </w:pPr>
      <w:r>
        <w:rPr>
          <w:rFonts w:ascii="Arial" w:cs="Arial" w:eastAsia="Arial" w:hAnsi="Arial"/>
          <w:sz w:val="15"/>
          <w:szCs w:val="15"/>
          <w:color w:val="auto"/>
        </w:rPr>
        <w:t>by cancellation of indebtedness of the Company owed to the Participant;</w:t>
      </w:r>
    </w:p>
    <w:p>
      <w:pPr>
        <w:spacing w:after="0" w:line="188" w:lineRule="exact"/>
        <w:rPr>
          <w:rFonts w:ascii="Arial" w:cs="Arial" w:eastAsia="Arial" w:hAnsi="Arial"/>
          <w:sz w:val="15"/>
          <w:szCs w:val="15"/>
          <w:color w:val="auto"/>
        </w:rPr>
      </w:pPr>
    </w:p>
    <w:p>
      <w:pPr>
        <w:ind w:right="60" w:firstLine="1478"/>
        <w:spacing w:after="0" w:line="263" w:lineRule="auto"/>
        <w:tabs>
          <w:tab w:leader="none" w:pos="1701" w:val="left"/>
        </w:tabs>
        <w:numPr>
          <w:ilvl w:val="0"/>
          <w:numId w:val="361"/>
        </w:numPr>
        <w:rPr>
          <w:rFonts w:ascii="Arial" w:cs="Arial" w:eastAsia="Arial" w:hAnsi="Arial"/>
          <w:sz w:val="15"/>
          <w:szCs w:val="15"/>
          <w:color w:val="auto"/>
        </w:rPr>
      </w:pPr>
      <w:r>
        <w:rPr>
          <w:rFonts w:ascii="Arial" w:cs="Arial" w:eastAsia="Arial" w:hAnsi="Arial"/>
          <w:sz w:val="15"/>
          <w:szCs w:val="15"/>
          <w:color w:val="auto"/>
        </w:rPr>
        <w:t>by surrender of shares of the Company that are clear of all liens, claims, encumbrances or security interests and: (i) for which the Company has received “full payment of the purchase price” within the meaning of SEC Rule 144 (and, if such shares were purchased from the Company by use of a promissory note, such note has been fully paid with respect to such shares) or (ii) that were obtained by Participant in the public market;</w:t>
      </w:r>
    </w:p>
    <w:p>
      <w:pPr>
        <w:spacing w:after="0" w:line="154" w:lineRule="exact"/>
        <w:rPr>
          <w:rFonts w:ascii="Arial" w:cs="Arial" w:eastAsia="Arial" w:hAnsi="Arial"/>
          <w:sz w:val="15"/>
          <w:szCs w:val="15"/>
          <w:color w:val="auto"/>
        </w:rPr>
      </w:pPr>
    </w:p>
    <w:p>
      <w:pPr>
        <w:ind w:firstLine="1478"/>
        <w:spacing w:after="0" w:line="311" w:lineRule="auto"/>
        <w:tabs>
          <w:tab w:leader="none" w:pos="1692" w:val="left"/>
        </w:tabs>
        <w:numPr>
          <w:ilvl w:val="0"/>
          <w:numId w:val="361"/>
        </w:numPr>
        <w:rPr>
          <w:rFonts w:ascii="Arial" w:cs="Arial" w:eastAsia="Arial" w:hAnsi="Arial"/>
          <w:sz w:val="13"/>
          <w:szCs w:val="13"/>
          <w:color w:val="auto"/>
        </w:rPr>
      </w:pPr>
      <w:r>
        <w:rPr>
          <w:rFonts w:ascii="Arial" w:cs="Arial" w:eastAsia="Arial" w:hAnsi="Arial"/>
          <w:sz w:val="13"/>
          <w:szCs w:val="13"/>
          <w:color w:val="auto"/>
        </w:rPr>
        <w:t xml:space="preserve">by tender of a full recourse promissory note having such terms as may be approved by the Committee and bearing interest at a rate sufficient to avoid imputation of income under Sections 483 and 1274 of the Code; </w:t>
      </w:r>
      <w:r>
        <w:rPr>
          <w:rFonts w:ascii="Arial" w:cs="Arial" w:eastAsia="Arial" w:hAnsi="Arial"/>
          <w:sz w:val="13"/>
          <w:szCs w:val="13"/>
          <w:i w:val="1"/>
          <w:iCs w:val="1"/>
          <w:u w:val="single" w:color="auto"/>
          <w:color w:val="auto"/>
        </w:rPr>
        <w:t>provided</w:t>
      </w:r>
      <w:r>
        <w:rPr>
          <w:rFonts w:ascii="Arial" w:cs="Arial" w:eastAsia="Arial" w:hAnsi="Arial"/>
          <w:sz w:val="13"/>
          <w:szCs w:val="13"/>
          <w:color w:val="auto"/>
        </w:rPr>
        <w:t xml:space="preserve">, </w:t>
      </w:r>
      <w:r>
        <w:rPr>
          <w:rFonts w:ascii="Arial" w:cs="Arial" w:eastAsia="Arial" w:hAnsi="Arial"/>
          <w:sz w:val="13"/>
          <w:szCs w:val="13"/>
          <w:i w:val="1"/>
          <w:iCs w:val="1"/>
          <w:u w:val="single" w:color="auto"/>
          <w:color w:val="auto"/>
        </w:rPr>
        <w:t>however</w:t>
      </w:r>
      <w:r>
        <w:rPr>
          <w:rFonts w:ascii="Arial" w:cs="Arial" w:eastAsia="Arial" w:hAnsi="Arial"/>
          <w:sz w:val="13"/>
          <w:szCs w:val="13"/>
          <w:color w:val="auto"/>
        </w:rPr>
        <w:t xml:space="preserve">, that Participants who are not employees or directors of the Company will not be entitled to purchase Shares with a promissory note unless the note is adequately secured by collateral other than the Shares; </w:t>
      </w:r>
      <w:r>
        <w:rPr>
          <w:rFonts w:ascii="Arial" w:cs="Arial" w:eastAsia="Arial" w:hAnsi="Arial"/>
          <w:sz w:val="13"/>
          <w:szCs w:val="13"/>
          <w:i w:val="1"/>
          <w:iCs w:val="1"/>
          <w:u w:val="single" w:color="auto"/>
          <w:color w:val="auto"/>
        </w:rPr>
        <w:t>provided</w:t>
      </w:r>
      <w:r>
        <w:rPr>
          <w:rFonts w:ascii="Arial" w:cs="Arial" w:eastAsia="Arial" w:hAnsi="Arial"/>
          <w:sz w:val="13"/>
          <w:szCs w:val="13"/>
          <w:color w:val="auto"/>
        </w:rPr>
        <w:t xml:space="preserve">, </w:t>
      </w:r>
      <w:r>
        <w:rPr>
          <w:rFonts w:ascii="Arial" w:cs="Arial" w:eastAsia="Arial" w:hAnsi="Arial"/>
          <w:sz w:val="13"/>
          <w:szCs w:val="13"/>
          <w:i w:val="1"/>
          <w:iCs w:val="1"/>
          <w:u w:val="single" w:color="auto"/>
          <w:color w:val="auto"/>
        </w:rPr>
        <w:t>further</w:t>
      </w:r>
      <w:r>
        <w:rPr>
          <w:rFonts w:ascii="Arial" w:cs="Arial" w:eastAsia="Arial" w:hAnsi="Arial"/>
          <w:sz w:val="13"/>
          <w:szCs w:val="13"/>
          <w:color w:val="auto"/>
        </w:rPr>
        <w:t>, that the portion of the Exercise Price or Purchase Price, as the case may be, equal to the par value (if any) of the Shares must be paid in cash or other legal consideration permitted by the laws under which the Company is then incorporated or organized;</w:t>
      </w:r>
    </w:p>
    <w:p>
      <w:pPr>
        <w:spacing w:after="0" w:line="127" w:lineRule="exact"/>
        <w:rPr>
          <w:rFonts w:ascii="Arial" w:cs="Arial" w:eastAsia="Arial" w:hAnsi="Arial"/>
          <w:sz w:val="13"/>
          <w:szCs w:val="13"/>
          <w:color w:val="auto"/>
        </w:rPr>
      </w:pPr>
    </w:p>
    <w:p>
      <w:pPr>
        <w:ind w:left="1700" w:hanging="222"/>
        <w:spacing w:after="0"/>
        <w:tabs>
          <w:tab w:leader="none" w:pos="1700" w:val="left"/>
        </w:tabs>
        <w:numPr>
          <w:ilvl w:val="0"/>
          <w:numId w:val="361"/>
        </w:numPr>
        <w:rPr>
          <w:rFonts w:ascii="Arial" w:cs="Arial" w:eastAsia="Arial" w:hAnsi="Arial"/>
          <w:sz w:val="15"/>
          <w:szCs w:val="15"/>
          <w:color w:val="auto"/>
        </w:rPr>
      </w:pPr>
      <w:r>
        <w:rPr>
          <w:rFonts w:ascii="Arial" w:cs="Arial" w:eastAsia="Arial" w:hAnsi="Arial"/>
          <w:sz w:val="15"/>
          <w:szCs w:val="15"/>
          <w:color w:val="auto"/>
        </w:rPr>
        <w:t>by waiver of compensation due or accrued to the Participant from the Company for services rendered;</w:t>
      </w:r>
    </w:p>
    <w:p>
      <w:pPr>
        <w:spacing w:after="0" w:line="188" w:lineRule="exact"/>
        <w:rPr>
          <w:rFonts w:ascii="Arial" w:cs="Arial" w:eastAsia="Arial" w:hAnsi="Arial"/>
          <w:sz w:val="15"/>
          <w:szCs w:val="15"/>
          <w:color w:val="auto"/>
        </w:rPr>
      </w:pPr>
    </w:p>
    <w:p>
      <w:pPr>
        <w:ind w:left="1680" w:hanging="202"/>
        <w:spacing w:after="0"/>
        <w:tabs>
          <w:tab w:leader="none" w:pos="1680" w:val="left"/>
        </w:tabs>
        <w:numPr>
          <w:ilvl w:val="0"/>
          <w:numId w:val="361"/>
        </w:numPr>
        <w:rPr>
          <w:rFonts w:ascii="Arial" w:cs="Arial" w:eastAsia="Arial" w:hAnsi="Arial"/>
          <w:sz w:val="15"/>
          <w:szCs w:val="15"/>
          <w:color w:val="auto"/>
        </w:rPr>
      </w:pPr>
      <w:r>
        <w:rPr>
          <w:rFonts w:ascii="Arial" w:cs="Arial" w:eastAsia="Arial" w:hAnsi="Arial"/>
          <w:sz w:val="15"/>
          <w:szCs w:val="15"/>
          <w:color w:val="auto"/>
        </w:rPr>
        <w:t>by participating in a formal cashless exercise program implemented by the Committee in connection with the Plan;</w:t>
      </w:r>
    </w:p>
    <w:p>
      <w:pPr>
        <w:spacing w:after="0" w:line="188" w:lineRule="exact"/>
        <w:rPr>
          <w:rFonts w:ascii="Arial" w:cs="Arial" w:eastAsia="Arial" w:hAnsi="Arial"/>
          <w:sz w:val="15"/>
          <w:szCs w:val="15"/>
          <w:color w:val="auto"/>
        </w:rPr>
      </w:pPr>
    </w:p>
    <w:p>
      <w:pPr>
        <w:ind w:right="140" w:firstLine="1478"/>
        <w:spacing w:after="0" w:line="322" w:lineRule="auto"/>
        <w:tabs>
          <w:tab w:leader="none" w:pos="1676" w:val="left"/>
        </w:tabs>
        <w:numPr>
          <w:ilvl w:val="0"/>
          <w:numId w:val="361"/>
        </w:numPr>
        <w:rPr>
          <w:rFonts w:ascii="Arial" w:cs="Arial" w:eastAsia="Arial" w:hAnsi="Arial"/>
          <w:sz w:val="13"/>
          <w:szCs w:val="13"/>
          <w:color w:val="auto"/>
        </w:rPr>
      </w:pPr>
      <w:r>
        <w:rPr>
          <w:rFonts w:ascii="Arial" w:cs="Arial" w:eastAsia="Arial" w:hAnsi="Arial"/>
          <w:sz w:val="13"/>
          <w:szCs w:val="13"/>
          <w:color w:val="auto"/>
        </w:rPr>
        <w:t>subject to compliance with applicable law, provided that a public market for the Shares exists, by exercising through a “same day sale” commitment from the Participant and a broker-dealer whereby the Participant irrevocably elects to exercise the Award and to sell a portion of the Shares so purchased sufficient to pay the total Exercise Price or Purchase Price, and whereby the broker-dealer irrevocably commits upon receipt of such Shares to forward the total Exercise Price or Purchase Price directly to the Company; or</w:t>
      </w:r>
    </w:p>
    <w:p>
      <w:pPr>
        <w:spacing w:after="0" w:line="120" w:lineRule="exact"/>
        <w:rPr>
          <w:rFonts w:ascii="Arial" w:cs="Arial" w:eastAsia="Arial" w:hAnsi="Arial"/>
          <w:sz w:val="13"/>
          <w:szCs w:val="13"/>
          <w:color w:val="auto"/>
        </w:rPr>
      </w:pPr>
    </w:p>
    <w:p>
      <w:pPr>
        <w:ind w:left="1700" w:hanging="222"/>
        <w:spacing w:after="0"/>
        <w:tabs>
          <w:tab w:leader="none" w:pos="1700" w:val="left"/>
        </w:tabs>
        <w:numPr>
          <w:ilvl w:val="0"/>
          <w:numId w:val="361"/>
        </w:numPr>
        <w:rPr>
          <w:rFonts w:ascii="Arial" w:cs="Arial" w:eastAsia="Arial" w:hAnsi="Arial"/>
          <w:sz w:val="15"/>
          <w:szCs w:val="15"/>
          <w:color w:val="auto"/>
        </w:rPr>
      </w:pPr>
      <w:r>
        <w:rPr>
          <w:rFonts w:ascii="Arial" w:cs="Arial" w:eastAsia="Arial" w:hAnsi="Arial"/>
          <w:sz w:val="15"/>
          <w:szCs w:val="15"/>
          <w:color w:val="auto"/>
        </w:rPr>
        <w:t>by any combination of the foregoing or any other method of payment approved by the Committee.</w:t>
      </w:r>
    </w:p>
    <w:p>
      <w:pPr>
        <w:spacing w:after="0" w:line="275" w:lineRule="exact"/>
        <w:rPr>
          <w:sz w:val="20"/>
          <w:szCs w:val="20"/>
          <w:color w:val="auto"/>
        </w:rPr>
      </w:pPr>
    </w:p>
    <w:p>
      <w:pPr>
        <w:ind w:left="900"/>
        <w:spacing w:after="0"/>
        <w:rPr>
          <w:sz w:val="20"/>
          <w:szCs w:val="20"/>
          <w:color w:val="auto"/>
        </w:rPr>
      </w:pPr>
      <w:r>
        <w:rPr>
          <w:rFonts w:ascii="Arial" w:cs="Arial" w:eastAsia="Arial" w:hAnsi="Arial"/>
          <w:sz w:val="15"/>
          <w:szCs w:val="15"/>
          <w:b w:val="1"/>
          <w:bCs w:val="1"/>
          <w:color w:val="auto"/>
        </w:rPr>
        <w:t xml:space="preserve">8.2 </w:t>
      </w:r>
      <w:r>
        <w:rPr>
          <w:rFonts w:ascii="Arial" w:cs="Arial" w:eastAsia="Arial" w:hAnsi="Arial"/>
          <w:sz w:val="15"/>
          <w:szCs w:val="15"/>
          <w:b w:val="1"/>
          <w:bCs w:val="1"/>
          <w:u w:val="single" w:color="auto"/>
          <w:color w:val="auto"/>
        </w:rPr>
        <w:t>Withholding Taxes</w:t>
      </w:r>
      <w:r>
        <w:rPr>
          <w:rFonts w:ascii="Arial" w:cs="Arial" w:eastAsia="Arial" w:hAnsi="Arial"/>
          <w:sz w:val="15"/>
          <w:szCs w:val="15"/>
          <w:color w:val="auto"/>
        </w:rPr>
        <w:t>.</w:t>
      </w:r>
    </w:p>
    <w:p>
      <w:pPr>
        <w:spacing w:after="0" w:line="102" w:lineRule="exact"/>
        <w:rPr>
          <w:sz w:val="20"/>
          <w:szCs w:val="20"/>
          <w:color w:val="auto"/>
        </w:rPr>
      </w:pPr>
    </w:p>
    <w:p>
      <w:pPr>
        <w:ind w:right="40" w:firstLine="1488"/>
        <w:spacing w:after="0" w:line="290" w:lineRule="auto"/>
        <w:rPr>
          <w:sz w:val="20"/>
          <w:szCs w:val="20"/>
          <w:color w:val="auto"/>
        </w:rPr>
      </w:pPr>
      <w:r>
        <w:rPr>
          <w:rFonts w:ascii="Arial" w:cs="Arial" w:eastAsia="Arial" w:hAnsi="Arial"/>
          <w:sz w:val="14"/>
          <w:szCs w:val="14"/>
          <w:color w:val="auto"/>
        </w:rPr>
        <w:t xml:space="preserve">8.2.1 </w:t>
      </w:r>
      <w:r>
        <w:rPr>
          <w:rFonts w:ascii="Arial" w:cs="Arial" w:eastAsia="Arial" w:hAnsi="Arial"/>
          <w:sz w:val="14"/>
          <w:szCs w:val="14"/>
          <w:u w:val="single" w:color="auto"/>
          <w:color w:val="auto"/>
        </w:rPr>
        <w:t>Withholding Generally</w:t>
      </w:r>
      <w:r>
        <w:rPr>
          <w:rFonts w:ascii="Arial" w:cs="Arial" w:eastAsia="Arial" w:hAnsi="Arial"/>
          <w:sz w:val="14"/>
          <w:szCs w:val="14"/>
          <w:color w:val="auto"/>
        </w:rPr>
        <w:t>. Whenever Shares are to be issued in satisfaction of Awards granted under this Plan, the Company may require the Participant to remit to the Company an amount sufficient to satisfy applicable tax withholding requirements prior to the delivery of any certificate or certificates for such Shares. Whenever, under this Plan, payments in satisfaction of Awards are to be made in cash by the Company, such payment will be net of an amount sufficient to satisfy applicable tax withholding requirements.</w:t>
      </w:r>
    </w:p>
    <w:p>
      <w:pPr>
        <w:spacing w:after="0" w:line="138" w:lineRule="exact"/>
        <w:rPr>
          <w:sz w:val="20"/>
          <w:szCs w:val="20"/>
          <w:color w:val="auto"/>
        </w:rPr>
      </w:pPr>
    </w:p>
    <w:p>
      <w:pPr>
        <w:ind w:firstLine="1488"/>
        <w:spacing w:after="0" w:line="275" w:lineRule="auto"/>
        <w:rPr>
          <w:sz w:val="20"/>
          <w:szCs w:val="20"/>
          <w:color w:val="auto"/>
        </w:rPr>
      </w:pPr>
      <w:r>
        <w:rPr>
          <w:rFonts w:ascii="Arial" w:cs="Arial" w:eastAsia="Arial" w:hAnsi="Arial"/>
          <w:sz w:val="15"/>
          <w:szCs w:val="15"/>
          <w:color w:val="auto"/>
        </w:rPr>
        <w:t xml:space="preserve">8.2.2 </w:t>
      </w:r>
      <w:r>
        <w:rPr>
          <w:rFonts w:ascii="Arial" w:cs="Arial" w:eastAsia="Arial" w:hAnsi="Arial"/>
          <w:sz w:val="15"/>
          <w:szCs w:val="15"/>
          <w:u w:val="single" w:color="auto"/>
          <w:color w:val="auto"/>
        </w:rPr>
        <w:t>Stock Withholding</w:t>
      </w:r>
      <w:r>
        <w:rPr>
          <w:rFonts w:ascii="Arial" w:cs="Arial" w:eastAsia="Arial" w:hAnsi="Arial"/>
          <w:sz w:val="15"/>
          <w:szCs w:val="15"/>
          <w:color w:val="auto"/>
        </w:rPr>
        <w:t>. When, under applicable tax laws, a Participant incurs tax liability in connection with the exercise or vesting of any Award that is subject to tax withholding and the Participant is obligated to pay the Company the amount required to be withheld, the</w:t>
      </w:r>
    </w:p>
    <w:p>
      <w:pPr>
        <w:spacing w:after="0" w:line="90"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7</w:t>
      </w:r>
    </w:p>
    <w:p>
      <w:pPr>
        <w:sectPr>
          <w:pgSz w:w="11900" w:h="16838" w:orient="portrait"/>
          <w:cols w:equalWidth="0" w:num="1">
            <w:col w:w="11360"/>
          </w:cols>
          <w:pgMar w:left="240" w:top="249" w:right="299" w:bottom="1440" w:gutter="0" w:footer="0" w:header="0"/>
        </w:sectPr>
      </w:pPr>
    </w:p>
    <w:bookmarkStart w:id="413" w:name="page414"/>
    <w:bookmarkEnd w:id="413"/>
    <w:p>
      <w:pPr>
        <w:ind w:right="40"/>
        <w:spacing w:after="0" w:line="257"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133350</wp:posOffset>
            </wp:positionH>
            <wp:positionV relativeFrom="page">
              <wp:posOffset>88900</wp:posOffset>
            </wp:positionV>
            <wp:extent cx="7308850" cy="34290"/>
            <wp:wrapNone/>
            <wp:docPr id="589" name="Picture 5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9"/>
                    <pic:cNvPicPr>
                      <a:picLocks noChangeAspect="1" noChangeArrowheads="1"/>
                    </pic:cNvPicPr>
                  </pic:nvPicPr>
                  <pic:blipFill>
                    <a:blip r:embed="rId626">
                      <a:extLst>
                        <a:ext uri="{28A0092B-C50C-407E-A947-70E740481C1C}"/>
                      </a:extLst>
                    </a:blip>
                    <a:srcRect/>
                    <a:stretch>
                      <a:fillRect/>
                    </a:stretch>
                  </pic:blipFill>
                  <pic:spPr bwMode="auto">
                    <a:xfrm>
                      <a:off x="0" y="0"/>
                      <a:ext cx="7308850" cy="34290"/>
                    </a:xfrm>
                    <a:prstGeom prst="rect">
                      <a:avLst/>
                    </a:prstGeom>
                    <a:noFill/>
                  </pic:spPr>
                </pic:pic>
              </a:graphicData>
            </a:graphic>
          </wp:anchor>
        </w:drawing>
        <w:t>Committee may in its sole discretion allow the Participant to satisfy the applicable tax withholding obligation by electing to have the Company withhold from the Shares to be issued up to the number of Shares having a Fair Market Value on the date that the amount of tax to be withheld is to be determined equal to the amount required to be withheld; or to arrange a mandatory “sell to cover” on Participant’s behalf (without further authorization) but in no event will the Company withhold Shares or “sell to cover” if such withholding would result in adverse accounting consequences to the Company. Any elections to have Shares withheld or sold for this purpose will be made in accordance with the requirements established by the Committee for such elections and be in writing in a form acceptable to the Committee.</w:t>
      </w:r>
    </w:p>
    <w:p>
      <w:pPr>
        <w:spacing w:after="0" w:line="245" w:lineRule="exact"/>
        <w:rPr>
          <w:sz w:val="20"/>
          <w:szCs w:val="20"/>
          <w:color w:val="auto"/>
        </w:rPr>
      </w:pPr>
    </w:p>
    <w:p>
      <w:pPr>
        <w:ind w:left="600" w:hanging="152"/>
        <w:spacing w:after="0"/>
        <w:tabs>
          <w:tab w:leader="none" w:pos="600" w:val="left"/>
        </w:tabs>
        <w:numPr>
          <w:ilvl w:val="0"/>
          <w:numId w:val="362"/>
        </w:numPr>
        <w:rPr>
          <w:rFonts w:ascii="Arial" w:cs="Arial" w:eastAsia="Arial" w:hAnsi="Arial"/>
          <w:sz w:val="15"/>
          <w:szCs w:val="15"/>
          <w:b w:val="1"/>
          <w:bCs w:val="1"/>
          <w:color w:val="auto"/>
        </w:rPr>
      </w:pPr>
      <w:r>
        <w:rPr>
          <w:rFonts w:ascii="Arial" w:cs="Arial" w:eastAsia="Arial" w:hAnsi="Arial"/>
          <w:sz w:val="15"/>
          <w:szCs w:val="15"/>
          <w:b w:val="1"/>
          <w:bCs w:val="1"/>
          <w:u w:val="single" w:color="auto"/>
          <w:color w:val="auto"/>
        </w:rPr>
        <w:t>RESTRICTIONS ON AWARDS</w:t>
      </w:r>
      <w:r>
        <w:rPr>
          <w:rFonts w:ascii="Arial" w:cs="Arial" w:eastAsia="Arial" w:hAnsi="Arial"/>
          <w:sz w:val="15"/>
          <w:szCs w:val="15"/>
          <w:b w:val="1"/>
          <w:bCs w:val="1"/>
          <w:color w:val="auto"/>
        </w:rPr>
        <w:t>.</w:t>
      </w:r>
    </w:p>
    <w:p>
      <w:pPr>
        <w:spacing w:after="0" w:line="98" w:lineRule="exact"/>
        <w:rPr>
          <w:sz w:val="20"/>
          <w:szCs w:val="20"/>
          <w:color w:val="auto"/>
        </w:rPr>
      </w:pPr>
    </w:p>
    <w:p>
      <w:pPr>
        <w:ind w:right="20" w:firstLine="916"/>
        <w:spacing w:after="0" w:line="254" w:lineRule="auto"/>
        <w:rPr>
          <w:sz w:val="20"/>
          <w:szCs w:val="20"/>
          <w:color w:val="auto"/>
        </w:rPr>
      </w:pPr>
      <w:r>
        <w:rPr>
          <w:rFonts w:ascii="Arial" w:cs="Arial" w:eastAsia="Arial" w:hAnsi="Arial"/>
          <w:sz w:val="15"/>
          <w:szCs w:val="15"/>
          <w:b w:val="1"/>
          <w:bCs w:val="1"/>
          <w:color w:val="auto"/>
        </w:rPr>
        <w:t xml:space="preserve">9.1 </w:t>
      </w:r>
      <w:r>
        <w:rPr>
          <w:rFonts w:ascii="Arial" w:cs="Arial" w:eastAsia="Arial" w:hAnsi="Arial"/>
          <w:sz w:val="15"/>
          <w:szCs w:val="15"/>
          <w:b w:val="1"/>
          <w:bCs w:val="1"/>
          <w:u w:val="single" w:color="auto"/>
          <w:color w:val="auto"/>
        </w:rPr>
        <w:t>Transferability</w:t>
      </w:r>
      <w:r>
        <w:rPr>
          <w:rFonts w:ascii="Arial" w:cs="Arial" w:eastAsia="Arial" w:hAnsi="Arial"/>
          <w:sz w:val="15"/>
          <w:szCs w:val="15"/>
          <w:b w:val="1"/>
          <w:bCs w:val="1"/>
          <w:color w:val="auto"/>
        </w:rPr>
        <w:t xml:space="preserve">. </w:t>
      </w:r>
      <w:r>
        <w:rPr>
          <w:rFonts w:ascii="Arial" w:cs="Arial" w:eastAsia="Arial" w:hAnsi="Arial"/>
          <w:sz w:val="15"/>
          <w:szCs w:val="15"/>
          <w:color w:val="auto"/>
        </w:rPr>
        <w:t>Except as permitted by the Committee, Awards granted under this Plan, and any interest therein, will not be transferable or assignable by Participant,</w:t>
      </w:r>
      <w:r>
        <w:rPr>
          <w:rFonts w:ascii="Arial" w:cs="Arial" w:eastAsia="Arial" w:hAnsi="Arial"/>
          <w:sz w:val="15"/>
          <w:szCs w:val="15"/>
          <w:b w:val="1"/>
          <w:bCs w:val="1"/>
          <w:color w:val="auto"/>
        </w:rPr>
        <w:t xml:space="preserve"> </w:t>
      </w:r>
      <w:r>
        <w:rPr>
          <w:rFonts w:ascii="Arial" w:cs="Arial" w:eastAsia="Arial" w:hAnsi="Arial"/>
          <w:sz w:val="15"/>
          <w:szCs w:val="15"/>
          <w:color w:val="auto"/>
        </w:rPr>
        <w:t>other than by will or by the laws of descent and distribution, and, with respect to NQSOs, by instrument to an inter vivos or testamentary trust in which the NQSOs are to be passed to beneficiaries upon the death of the trustor (settlor), or by gift to “family member” as that term is defined in Rule 701, and may not be made subject to execution, attachment or similar process. For the avoidance of doubt, the prohibition against assignment and transfer applies to a stock option and, prior to exercise, the shares to be issued on exercise of a stock option, and pursuant to the foregoing sentence shall be understood to include, without limitation, a prohibition against any pledge, hypothecation, or other transfer, including any short position, any “put equivalent position” or any “call equivalent position” (in each case, as defined in Rule 16a-1 promulgated under the Exchange Act). Unless an Award is transferred pursuant to the terms of this Section, during the lifetime of the Participant an Award will be exercisable only by the Participant or Participant’s legal representative and any elections with respect to an Award may be made only by the Participant or Participant’s legal representative. The terms of an Option shall be binding upon the executor, administrator, successors and assigns of the Participant who is a party thereto.</w:t>
      </w:r>
    </w:p>
    <w:p>
      <w:pPr>
        <w:spacing w:after="0" w:line="162" w:lineRule="exact"/>
        <w:rPr>
          <w:sz w:val="20"/>
          <w:szCs w:val="20"/>
          <w:color w:val="auto"/>
        </w:rPr>
      </w:pPr>
    </w:p>
    <w:p>
      <w:pPr>
        <w:ind w:firstLine="916"/>
        <w:spacing w:after="0" w:line="274" w:lineRule="auto"/>
        <w:rPr>
          <w:sz w:val="20"/>
          <w:szCs w:val="20"/>
          <w:color w:val="auto"/>
        </w:rPr>
      </w:pPr>
      <w:r>
        <w:rPr>
          <w:rFonts w:ascii="Arial" w:cs="Arial" w:eastAsia="Arial" w:hAnsi="Arial"/>
          <w:sz w:val="14"/>
          <w:szCs w:val="14"/>
          <w:b w:val="1"/>
          <w:bCs w:val="1"/>
          <w:color w:val="auto"/>
        </w:rPr>
        <w:t xml:space="preserve">9.2 </w:t>
      </w:r>
      <w:r>
        <w:rPr>
          <w:rFonts w:ascii="Arial" w:cs="Arial" w:eastAsia="Arial" w:hAnsi="Arial"/>
          <w:sz w:val="14"/>
          <w:szCs w:val="14"/>
          <w:b w:val="1"/>
          <w:bCs w:val="1"/>
          <w:u w:val="single" w:color="auto"/>
          <w:color w:val="auto"/>
        </w:rPr>
        <w:t>Securities Law and Other Regulatory Compliance</w:t>
      </w:r>
      <w:r>
        <w:rPr>
          <w:rFonts w:ascii="Arial" w:cs="Arial" w:eastAsia="Arial" w:hAnsi="Arial"/>
          <w:sz w:val="14"/>
          <w:szCs w:val="14"/>
          <w:color w:val="auto"/>
        </w:rPr>
        <w:t>. Although this Plan is intended to be a written compensatory benefit plan within the meaning of Rule 701</w:t>
      </w:r>
      <w:r>
        <w:rPr>
          <w:rFonts w:ascii="Arial" w:cs="Arial" w:eastAsia="Arial" w:hAnsi="Arial"/>
          <w:sz w:val="14"/>
          <w:szCs w:val="14"/>
          <w:b w:val="1"/>
          <w:bCs w:val="1"/>
          <w:color w:val="auto"/>
        </w:rPr>
        <w:t xml:space="preserve"> </w:t>
      </w:r>
      <w:r>
        <w:rPr>
          <w:rFonts w:ascii="Arial" w:cs="Arial" w:eastAsia="Arial" w:hAnsi="Arial"/>
          <w:sz w:val="14"/>
          <w:szCs w:val="14"/>
          <w:color w:val="auto"/>
        </w:rPr>
        <w:t>promulgated under the Securities Act, grants may be made pursuant to this Plan that do not qualify for exemption under Rule 701 or Section 25102(o). Any requirement of this Plan which is required in law only because of Section 25102(o) need not apply with respect to a particular Award to which Section 25102(o) will not apply. An Award will not be effective unless such Award is in compliance with all applicable federal and state securities laws, rules and regulations of any governmental body, and the requirements of any stock exchange or automated quotation system upon which Common Stock may then be listed or quoted, as they are in effect on the date of grant of the Award and also on the date of exercise or other issuance. Notwithstanding any other provision in this Plan, the Company will have no obligation to issue or deliver certificates for Common Stock under this Plan prior to (a) obtaining any approvals from governmental agencies that the Company determines are necessary or advisable, and/or (b) compliance with any exemption, completion of any registration or other qualification of such Common Stock under any state or federal law or ruling of any governmental body that the Company determines to be necessary or advisable. The Company will be under no obligation to register the Common Stock with the SEC or to effect compliance with the exemption, registration, qualification or listing requirements of any state securities laws, stock exchange or automated quotation system, and the Company will have no liability for any inability or failure so do.</w:t>
      </w:r>
    </w:p>
    <w:p>
      <w:pPr>
        <w:spacing w:after="0" w:line="147" w:lineRule="exact"/>
        <w:rPr>
          <w:sz w:val="20"/>
          <w:szCs w:val="20"/>
          <w:color w:val="auto"/>
        </w:rPr>
      </w:pPr>
    </w:p>
    <w:p>
      <w:pPr>
        <w:ind w:right="40" w:firstLine="916"/>
        <w:spacing w:after="0" w:line="266" w:lineRule="auto"/>
        <w:rPr>
          <w:sz w:val="20"/>
          <w:szCs w:val="20"/>
          <w:color w:val="auto"/>
        </w:rPr>
      </w:pPr>
      <w:r>
        <w:rPr>
          <w:rFonts w:ascii="Arial" w:cs="Arial" w:eastAsia="Arial" w:hAnsi="Arial"/>
          <w:sz w:val="15"/>
          <w:szCs w:val="15"/>
          <w:b w:val="1"/>
          <w:bCs w:val="1"/>
          <w:color w:val="auto"/>
        </w:rPr>
        <w:t xml:space="preserve">9.3 </w:t>
      </w:r>
      <w:r>
        <w:rPr>
          <w:rFonts w:ascii="Arial" w:cs="Arial" w:eastAsia="Arial" w:hAnsi="Arial"/>
          <w:sz w:val="15"/>
          <w:szCs w:val="15"/>
          <w:b w:val="1"/>
          <w:bCs w:val="1"/>
          <w:u w:val="single" w:color="auto"/>
          <w:color w:val="auto"/>
        </w:rPr>
        <w:t>Exchange and Buyout of Awards</w:t>
      </w:r>
      <w:r>
        <w:rPr>
          <w:rFonts w:ascii="Arial" w:cs="Arial" w:eastAsia="Arial" w:hAnsi="Arial"/>
          <w:sz w:val="15"/>
          <w:szCs w:val="15"/>
          <w:color w:val="auto"/>
        </w:rPr>
        <w:t>. The Committee may, at any time or from time to time, authorize the Company, with the consent of the respective Participants, to issue</w:t>
      </w:r>
      <w:r>
        <w:rPr>
          <w:rFonts w:ascii="Arial" w:cs="Arial" w:eastAsia="Arial" w:hAnsi="Arial"/>
          <w:sz w:val="15"/>
          <w:szCs w:val="15"/>
          <w:b w:val="1"/>
          <w:bCs w:val="1"/>
          <w:color w:val="auto"/>
        </w:rPr>
        <w:t xml:space="preserve"> </w:t>
      </w:r>
      <w:r>
        <w:rPr>
          <w:rFonts w:ascii="Arial" w:cs="Arial" w:eastAsia="Arial" w:hAnsi="Arial"/>
          <w:sz w:val="15"/>
          <w:szCs w:val="15"/>
          <w:color w:val="auto"/>
        </w:rPr>
        <w:t>new Awards in exchange for the surrender and cancellation of any or all outstanding Awards. Without prior stockholder approval the Committee may reprice Options or SARs (and where such repricing is a reduction in the Exercise Price of outstanding Options or SARs, the consent of the affected Participants is</w:t>
      </w:r>
    </w:p>
    <w:p>
      <w:pPr>
        <w:spacing w:after="0" w:line="9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8</w:t>
      </w:r>
    </w:p>
    <w:p>
      <w:pPr>
        <w:sectPr>
          <w:pgSz w:w="11900" w:h="16838" w:orient="portrait"/>
          <w:cols w:equalWidth="0" w:num="1">
            <w:col w:w="11420"/>
          </w:cols>
          <w:pgMar w:left="240" w:top="253" w:right="239" w:bottom="1440" w:gutter="0" w:footer="0" w:header="0"/>
        </w:sectPr>
      </w:pPr>
    </w:p>
    <w:bookmarkStart w:id="414" w:name="page415"/>
    <w:bookmarkEnd w:id="414"/>
    <w:p>
      <w:pPr>
        <w:ind w:right="520"/>
        <w:spacing w:after="0" w:line="275"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133350</wp:posOffset>
            </wp:positionH>
            <wp:positionV relativeFrom="page">
              <wp:posOffset>88900</wp:posOffset>
            </wp:positionV>
            <wp:extent cx="7308850" cy="34290"/>
            <wp:wrapNone/>
            <wp:docPr id="590" name="Picture 5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0"/>
                    <pic:cNvPicPr>
                      <a:picLocks noChangeAspect="1" noChangeArrowheads="1"/>
                    </pic:cNvPicPr>
                  </pic:nvPicPr>
                  <pic:blipFill>
                    <a:blip r:embed="rId627">
                      <a:extLst>
                        <a:ext uri="{28A0092B-C50C-407E-A947-70E740481C1C}"/>
                      </a:extLst>
                    </a:blip>
                    <a:srcRect/>
                    <a:stretch>
                      <a:fillRect/>
                    </a:stretch>
                  </pic:blipFill>
                  <pic:spPr bwMode="auto">
                    <a:xfrm>
                      <a:off x="0" y="0"/>
                      <a:ext cx="7308850" cy="34290"/>
                    </a:xfrm>
                    <a:prstGeom prst="rect">
                      <a:avLst/>
                    </a:prstGeom>
                    <a:noFill/>
                  </pic:spPr>
                </pic:pic>
              </a:graphicData>
            </a:graphic>
          </wp:anchor>
        </w:drawing>
        <w:t>not required provided written notice is provided to them). The Committee may at any time buy from a Participant an Award previously granted with payment in cash, Common Stock (including Restricted Stock), or other consideration, based on such terms and conditions as the Committee and the Participant may agree.</w:t>
      </w:r>
    </w:p>
    <w:p>
      <w:pPr>
        <w:spacing w:after="0" w:line="232" w:lineRule="exact"/>
        <w:rPr>
          <w:sz w:val="20"/>
          <w:szCs w:val="20"/>
          <w:color w:val="auto"/>
        </w:rPr>
      </w:pPr>
    </w:p>
    <w:p>
      <w:pPr>
        <w:ind w:left="680" w:hanging="232"/>
        <w:spacing w:after="0"/>
        <w:tabs>
          <w:tab w:leader="none" w:pos="680" w:val="left"/>
        </w:tabs>
        <w:numPr>
          <w:ilvl w:val="0"/>
          <w:numId w:val="363"/>
        </w:numPr>
        <w:rPr>
          <w:rFonts w:ascii="Arial" w:cs="Arial" w:eastAsia="Arial" w:hAnsi="Arial"/>
          <w:sz w:val="15"/>
          <w:szCs w:val="15"/>
          <w:b w:val="1"/>
          <w:bCs w:val="1"/>
          <w:color w:val="auto"/>
        </w:rPr>
      </w:pPr>
      <w:r>
        <w:rPr>
          <w:rFonts w:ascii="Arial" w:cs="Arial" w:eastAsia="Arial" w:hAnsi="Arial"/>
          <w:sz w:val="15"/>
          <w:szCs w:val="15"/>
          <w:b w:val="1"/>
          <w:bCs w:val="1"/>
          <w:u w:val="single" w:color="auto"/>
          <w:color w:val="auto"/>
        </w:rPr>
        <w:t>RESTRICTIONS ON SHARES</w:t>
      </w:r>
      <w:r>
        <w:rPr>
          <w:rFonts w:ascii="Arial" w:cs="Arial" w:eastAsia="Arial" w:hAnsi="Arial"/>
          <w:sz w:val="15"/>
          <w:szCs w:val="15"/>
          <w:b w:val="1"/>
          <w:bCs w:val="1"/>
          <w:color w:val="auto"/>
        </w:rPr>
        <w:t>.</w:t>
      </w:r>
    </w:p>
    <w:p>
      <w:pPr>
        <w:spacing w:after="0" w:line="98" w:lineRule="exact"/>
        <w:rPr>
          <w:sz w:val="20"/>
          <w:szCs w:val="20"/>
          <w:color w:val="auto"/>
        </w:rPr>
      </w:pPr>
    </w:p>
    <w:p>
      <w:pPr>
        <w:ind w:right="40" w:firstLine="916"/>
        <w:spacing w:after="0" w:line="257" w:lineRule="auto"/>
        <w:rPr>
          <w:sz w:val="20"/>
          <w:szCs w:val="20"/>
          <w:color w:val="auto"/>
        </w:rPr>
      </w:pPr>
      <w:r>
        <w:rPr>
          <w:rFonts w:ascii="Arial" w:cs="Arial" w:eastAsia="Arial" w:hAnsi="Arial"/>
          <w:sz w:val="15"/>
          <w:szCs w:val="15"/>
          <w:b w:val="1"/>
          <w:bCs w:val="1"/>
          <w:color w:val="auto"/>
        </w:rPr>
        <w:t xml:space="preserve">10.1 </w:t>
      </w:r>
      <w:r>
        <w:rPr>
          <w:rFonts w:ascii="Arial" w:cs="Arial" w:eastAsia="Arial" w:hAnsi="Arial"/>
          <w:sz w:val="15"/>
          <w:szCs w:val="15"/>
          <w:b w:val="1"/>
          <w:bCs w:val="1"/>
          <w:u w:val="single" w:color="auto"/>
          <w:color w:val="auto"/>
        </w:rPr>
        <w:t>Privileges of Stock Ownership</w:t>
      </w:r>
      <w:r>
        <w:rPr>
          <w:rFonts w:ascii="Arial" w:cs="Arial" w:eastAsia="Arial" w:hAnsi="Arial"/>
          <w:sz w:val="15"/>
          <w:szCs w:val="15"/>
          <w:color w:val="auto"/>
        </w:rPr>
        <w:t>. No Participant will have any of the rights of a stockholder with respect to any Shares until such Shares are issued to the Participant.</w:t>
      </w:r>
      <w:r>
        <w:rPr>
          <w:rFonts w:ascii="Arial" w:cs="Arial" w:eastAsia="Arial" w:hAnsi="Arial"/>
          <w:sz w:val="15"/>
          <w:szCs w:val="15"/>
          <w:b w:val="1"/>
          <w:bCs w:val="1"/>
          <w:color w:val="auto"/>
        </w:rPr>
        <w:t xml:space="preserve"> </w:t>
      </w:r>
      <w:r>
        <w:rPr>
          <w:rFonts w:ascii="Arial" w:cs="Arial" w:eastAsia="Arial" w:hAnsi="Arial"/>
          <w:sz w:val="15"/>
          <w:szCs w:val="15"/>
          <w:color w:val="auto"/>
        </w:rPr>
        <w:t xml:space="preserve">After Shares are issued to the Participant, the Participant will be a stockholder and have all the rights of a stockholder with respect to such Shares, including the right to vote and receive all dividends or other distributions made or paid with respect to such Shares; </w:t>
      </w:r>
      <w:r>
        <w:rPr>
          <w:rFonts w:ascii="Arial" w:cs="Arial" w:eastAsia="Arial" w:hAnsi="Arial"/>
          <w:sz w:val="15"/>
          <w:szCs w:val="15"/>
          <w:i w:val="1"/>
          <w:iCs w:val="1"/>
          <w:u w:val="single" w:color="auto"/>
          <w:color w:val="auto"/>
        </w:rPr>
        <w:t>provided</w:t>
      </w:r>
      <w:r>
        <w:rPr>
          <w:rFonts w:ascii="Arial" w:cs="Arial" w:eastAsia="Arial" w:hAnsi="Arial"/>
          <w:sz w:val="15"/>
          <w:szCs w:val="15"/>
          <w:color w:val="auto"/>
        </w:rPr>
        <w:t>, that if such Shares are Restricted Stock, then any new, additional or different securities the Participant may become entitled to receive with respect to such Shares by virtue of a stock dividend, stock split or any other change in the corporate or capital structure of the Company will be subject to the same restrictions as the Restricted Stock. The Participant will have no right to retain such stock dividends or stock distributions with respect to Unvested Shares that are repurchased as described in this Section 10.</w:t>
      </w:r>
    </w:p>
    <w:p>
      <w:pPr>
        <w:spacing w:after="0" w:line="155" w:lineRule="exact"/>
        <w:rPr>
          <w:sz w:val="20"/>
          <w:szCs w:val="20"/>
          <w:color w:val="auto"/>
        </w:rPr>
      </w:pPr>
    </w:p>
    <w:p>
      <w:pPr>
        <w:ind w:right="180" w:firstLine="916"/>
        <w:spacing w:after="0" w:line="313" w:lineRule="auto"/>
        <w:rPr>
          <w:sz w:val="20"/>
          <w:szCs w:val="20"/>
          <w:color w:val="auto"/>
        </w:rPr>
      </w:pPr>
      <w:r>
        <w:rPr>
          <w:rFonts w:ascii="Arial" w:cs="Arial" w:eastAsia="Arial" w:hAnsi="Arial"/>
          <w:sz w:val="13"/>
          <w:szCs w:val="13"/>
          <w:b w:val="1"/>
          <w:bCs w:val="1"/>
          <w:color w:val="auto"/>
        </w:rPr>
        <w:t xml:space="preserve">10.2 </w:t>
      </w:r>
      <w:r>
        <w:rPr>
          <w:rFonts w:ascii="Arial" w:cs="Arial" w:eastAsia="Arial" w:hAnsi="Arial"/>
          <w:sz w:val="13"/>
          <w:szCs w:val="13"/>
          <w:b w:val="1"/>
          <w:bCs w:val="1"/>
          <w:u w:val="single" w:color="auto"/>
          <w:color w:val="auto"/>
        </w:rPr>
        <w:t>Rights of First Refusal and Repurchase</w:t>
      </w:r>
      <w:r>
        <w:rPr>
          <w:rFonts w:ascii="Arial" w:cs="Arial" w:eastAsia="Arial" w:hAnsi="Arial"/>
          <w:sz w:val="13"/>
          <w:szCs w:val="13"/>
          <w:color w:val="auto"/>
        </w:rPr>
        <w:t>. At the discretion of the Committee, the Company may reserve to itself and/or its assignee(s) in the Award Agreement (a) a</w:t>
      </w:r>
      <w:r>
        <w:rPr>
          <w:rFonts w:ascii="Arial" w:cs="Arial" w:eastAsia="Arial" w:hAnsi="Arial"/>
          <w:sz w:val="13"/>
          <w:szCs w:val="13"/>
          <w:b w:val="1"/>
          <w:bCs w:val="1"/>
          <w:color w:val="auto"/>
        </w:rPr>
        <w:t xml:space="preserve"> </w:t>
      </w:r>
      <w:r>
        <w:rPr>
          <w:rFonts w:ascii="Arial" w:cs="Arial" w:eastAsia="Arial" w:hAnsi="Arial"/>
          <w:sz w:val="13"/>
          <w:szCs w:val="13"/>
          <w:color w:val="auto"/>
        </w:rPr>
        <w:t xml:space="preserve">right of first refusal to purchase all Shares that a Participant (or a subsequent transferee) may propose to transfer to a third party, </w:t>
      </w:r>
      <w:r>
        <w:rPr>
          <w:rFonts w:ascii="Arial" w:cs="Arial" w:eastAsia="Arial" w:hAnsi="Arial"/>
          <w:sz w:val="13"/>
          <w:szCs w:val="13"/>
          <w:i w:val="1"/>
          <w:iCs w:val="1"/>
          <w:u w:val="single" w:color="auto"/>
          <w:color w:val="auto"/>
        </w:rPr>
        <w:t>provided</w:t>
      </w:r>
      <w:r>
        <w:rPr>
          <w:rFonts w:ascii="Arial" w:cs="Arial" w:eastAsia="Arial" w:hAnsi="Arial"/>
          <w:sz w:val="13"/>
          <w:szCs w:val="13"/>
          <w:color w:val="auto"/>
        </w:rPr>
        <w:t xml:space="preserve"> that such right of first refusal terminates upon the Company’s initial public offering of Common Stock pursuant to an effective registration statement filed under the Securities Act and (b) a right to repurchase Unvested Shares held by a Participant for cash and/or cancellation of purchase money indebtedness owed to the Company by the Participant following such Participant’s Termination at any time.</w:t>
      </w:r>
    </w:p>
    <w:p>
      <w:pPr>
        <w:spacing w:after="0" w:line="122" w:lineRule="exact"/>
        <w:rPr>
          <w:sz w:val="20"/>
          <w:szCs w:val="20"/>
          <w:color w:val="auto"/>
        </w:rPr>
      </w:pPr>
    </w:p>
    <w:p>
      <w:pPr>
        <w:ind w:firstLine="916"/>
        <w:spacing w:after="0" w:line="254" w:lineRule="auto"/>
        <w:rPr>
          <w:sz w:val="20"/>
          <w:szCs w:val="20"/>
          <w:color w:val="auto"/>
        </w:rPr>
      </w:pPr>
      <w:r>
        <w:rPr>
          <w:rFonts w:ascii="Arial" w:cs="Arial" w:eastAsia="Arial" w:hAnsi="Arial"/>
          <w:sz w:val="15"/>
          <w:szCs w:val="15"/>
          <w:b w:val="1"/>
          <w:bCs w:val="1"/>
          <w:color w:val="auto"/>
        </w:rPr>
        <w:t xml:space="preserve">10.3 </w:t>
      </w:r>
      <w:r>
        <w:rPr>
          <w:rFonts w:ascii="Arial" w:cs="Arial" w:eastAsia="Arial" w:hAnsi="Arial"/>
          <w:sz w:val="15"/>
          <w:szCs w:val="15"/>
          <w:b w:val="1"/>
          <w:bCs w:val="1"/>
          <w:u w:val="single" w:color="auto"/>
          <w:color w:val="auto"/>
        </w:rPr>
        <w:t>Escrow; Pledge of Shares</w:t>
      </w:r>
      <w:r>
        <w:rPr>
          <w:rFonts w:ascii="Arial" w:cs="Arial" w:eastAsia="Arial" w:hAnsi="Arial"/>
          <w:sz w:val="15"/>
          <w:szCs w:val="15"/>
          <w:color w:val="auto"/>
        </w:rPr>
        <w:t>. To enforce any restrictions on a Participant’s Shares, the Committee may require the Participant to deposit all certificates representing Shares,</w:t>
      </w:r>
      <w:r>
        <w:rPr>
          <w:rFonts w:ascii="Arial" w:cs="Arial" w:eastAsia="Arial" w:hAnsi="Arial"/>
          <w:sz w:val="15"/>
          <w:szCs w:val="15"/>
          <w:b w:val="1"/>
          <w:bCs w:val="1"/>
          <w:color w:val="auto"/>
        </w:rPr>
        <w:t xml:space="preserve"> </w:t>
      </w:r>
      <w:r>
        <w:rPr>
          <w:rFonts w:ascii="Arial" w:cs="Arial" w:eastAsia="Arial" w:hAnsi="Arial"/>
          <w:sz w:val="15"/>
          <w:szCs w:val="15"/>
          <w:color w:val="auto"/>
        </w:rPr>
        <w:t xml:space="preserve">together with stock powers or other instruments of transfer approved by the Committee, appropriately endorsed in blank, with the Company or an agent designated by the Company to hold in escrow until such restrictions have lapsed or terminated. The Committee may cause a legend or legends referencing such restrictions to be placed on the certificate. Any Participant who is permitted to execute a promissory note as partial or full consideration for the purchase of Shares under this Plan will be required to pledge and deposit with the Company all or part of the Shares so purchased as collateral to secure the payment of Participant’s obligation to the Company under the promissory note; </w:t>
      </w:r>
      <w:r>
        <w:rPr>
          <w:rFonts w:ascii="Arial" w:cs="Arial" w:eastAsia="Arial" w:hAnsi="Arial"/>
          <w:sz w:val="15"/>
          <w:szCs w:val="15"/>
          <w:i w:val="1"/>
          <w:iCs w:val="1"/>
          <w:u w:val="single" w:color="auto"/>
          <w:color w:val="auto"/>
        </w:rPr>
        <w:t>provided</w:t>
      </w:r>
      <w:r>
        <w:rPr>
          <w:rFonts w:ascii="Arial" w:cs="Arial" w:eastAsia="Arial" w:hAnsi="Arial"/>
          <w:sz w:val="15"/>
          <w:szCs w:val="15"/>
          <w:color w:val="auto"/>
        </w:rPr>
        <w:t xml:space="preserve">, </w:t>
      </w:r>
      <w:r>
        <w:rPr>
          <w:rFonts w:ascii="Arial" w:cs="Arial" w:eastAsia="Arial" w:hAnsi="Arial"/>
          <w:sz w:val="15"/>
          <w:szCs w:val="15"/>
          <w:i w:val="1"/>
          <w:iCs w:val="1"/>
          <w:u w:val="single" w:color="auto"/>
          <w:color w:val="auto"/>
        </w:rPr>
        <w:t>however</w:t>
      </w:r>
      <w:r>
        <w:rPr>
          <w:rFonts w:ascii="Arial" w:cs="Arial" w:eastAsia="Arial" w:hAnsi="Arial"/>
          <w:sz w:val="15"/>
          <w:szCs w:val="15"/>
          <w:color w:val="auto"/>
        </w:rPr>
        <w:t>, that the Committee may require or accept other or additional forms of collateral to secure the payment of such obligation and, in any event, the Company will have full recourse against the Participant under the promissory note notwithstanding any pledge of the Participant’s Shares or other collateral. In connection with any pledge of the Shares, Participant will be required to execute and deliver a written pledge agreement in such form as the Committee will from time to time approve. The Shares purchased with the promissory note may be released from the pledge on a pro rata basis as the promissory note is paid.</w:t>
      </w:r>
    </w:p>
    <w:p>
      <w:pPr>
        <w:spacing w:after="0" w:line="162" w:lineRule="exact"/>
        <w:rPr>
          <w:sz w:val="20"/>
          <w:szCs w:val="20"/>
          <w:color w:val="auto"/>
        </w:rPr>
      </w:pPr>
    </w:p>
    <w:p>
      <w:pPr>
        <w:ind w:right="440" w:firstLine="916"/>
        <w:spacing w:after="0" w:line="293" w:lineRule="auto"/>
        <w:rPr>
          <w:sz w:val="20"/>
          <w:szCs w:val="20"/>
          <w:color w:val="auto"/>
        </w:rPr>
      </w:pPr>
      <w:r>
        <w:rPr>
          <w:rFonts w:ascii="Arial" w:cs="Arial" w:eastAsia="Arial" w:hAnsi="Arial"/>
          <w:sz w:val="14"/>
          <w:szCs w:val="14"/>
          <w:b w:val="1"/>
          <w:bCs w:val="1"/>
          <w:color w:val="auto"/>
        </w:rPr>
        <w:t xml:space="preserve">10.4 </w:t>
      </w:r>
      <w:r>
        <w:rPr>
          <w:rFonts w:ascii="Arial" w:cs="Arial" w:eastAsia="Arial" w:hAnsi="Arial"/>
          <w:sz w:val="14"/>
          <w:szCs w:val="14"/>
          <w:b w:val="1"/>
          <w:bCs w:val="1"/>
          <w:u w:val="single" w:color="auto"/>
          <w:color w:val="auto"/>
        </w:rPr>
        <w:t>Securities Law Restrictions</w:t>
      </w:r>
      <w:r>
        <w:rPr>
          <w:rFonts w:ascii="Arial" w:cs="Arial" w:eastAsia="Arial" w:hAnsi="Arial"/>
          <w:sz w:val="14"/>
          <w:szCs w:val="14"/>
          <w:color w:val="auto"/>
        </w:rPr>
        <w:t>. All certificates for Shares or other securities delivered under this Plan will be subject to such stock transfer orders, legends and other</w:t>
      </w:r>
      <w:r>
        <w:rPr>
          <w:rFonts w:ascii="Arial" w:cs="Arial" w:eastAsia="Arial" w:hAnsi="Arial"/>
          <w:sz w:val="14"/>
          <w:szCs w:val="14"/>
          <w:b w:val="1"/>
          <w:bCs w:val="1"/>
          <w:color w:val="auto"/>
        </w:rPr>
        <w:t xml:space="preserve"> </w:t>
      </w:r>
      <w:r>
        <w:rPr>
          <w:rFonts w:ascii="Arial" w:cs="Arial" w:eastAsia="Arial" w:hAnsi="Arial"/>
          <w:sz w:val="14"/>
          <w:szCs w:val="14"/>
          <w:color w:val="auto"/>
        </w:rPr>
        <w:t>restrictions as the Committee may deem necessary or advisable, including restrictions under any applicable federal, state or foreign securities law, or any rules, regulations and other requirements of the SEC or any stock exchange or automated quotation system upon which Common Stock may be listed or quoted.</w:t>
      </w:r>
    </w:p>
    <w:p>
      <w:pPr>
        <w:spacing w:after="0" w:line="8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9</w:t>
      </w:r>
    </w:p>
    <w:p>
      <w:pPr>
        <w:sectPr>
          <w:pgSz w:w="11900" w:h="16838" w:orient="portrait"/>
          <w:cols w:equalWidth="0" w:num="1">
            <w:col w:w="11440"/>
          </w:cols>
          <w:pgMar w:left="240" w:top="253" w:right="219" w:bottom="1440" w:gutter="0" w:footer="0" w:header="0"/>
        </w:sectPr>
      </w:pPr>
    </w:p>
    <w:bookmarkStart w:id="415" w:name="page416"/>
    <w:bookmarkEnd w:id="415"/>
    <w:p>
      <w:pPr>
        <w:ind w:left="660" w:hanging="212"/>
        <w:spacing w:after="0"/>
        <w:tabs>
          <w:tab w:leader="none" w:pos="660" w:val="left"/>
        </w:tabs>
        <w:numPr>
          <w:ilvl w:val="0"/>
          <w:numId w:val="364"/>
        </w:numPr>
        <w:rPr>
          <w:rFonts w:ascii="Arial" w:cs="Arial" w:eastAsia="Arial" w:hAnsi="Arial"/>
          <w:sz w:val="15"/>
          <w:szCs w:val="15"/>
          <w:b w:val="1"/>
          <w:bCs w:val="1"/>
          <w:color w:val="auto"/>
        </w:rPr>
      </w:pPr>
      <w:r>
        <w:rPr>
          <w:rFonts w:ascii="Arial" w:cs="Arial" w:eastAsia="Arial" w:hAnsi="Arial"/>
          <w:sz w:val="15"/>
          <w:szCs w:val="15"/>
          <w:b w:val="1"/>
          <w:bCs w:val="1"/>
          <w:u w:val="single" w:color="auto"/>
          <w:color w:val="auto"/>
        </w:rPr>
        <w:drawing>
          <wp:anchor simplePos="0" relativeHeight="251657728" behindDoc="1" locked="0" layoutInCell="0" allowOverlap="1">
            <wp:simplePos x="0" y="0"/>
            <wp:positionH relativeFrom="page">
              <wp:posOffset>133350</wp:posOffset>
            </wp:positionH>
            <wp:positionV relativeFrom="page">
              <wp:posOffset>88900</wp:posOffset>
            </wp:positionV>
            <wp:extent cx="7308850" cy="33655"/>
            <wp:wrapNone/>
            <wp:docPr id="591" name="Picture 5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1"/>
                    <pic:cNvPicPr>
                      <a:picLocks noChangeAspect="1" noChangeArrowheads="1"/>
                    </pic:cNvPicPr>
                  </pic:nvPicPr>
                  <pic:blipFill>
                    <a:blip r:embed="rId628">
                      <a:extLst>
                        <a:ext uri="{28A0092B-C50C-407E-A947-70E740481C1C}"/>
                      </a:extLst>
                    </a:blip>
                    <a:srcRect/>
                    <a:stretch>
                      <a:fillRect/>
                    </a:stretch>
                  </pic:blipFill>
                  <pic:spPr bwMode="auto">
                    <a:xfrm>
                      <a:off x="0" y="0"/>
                      <a:ext cx="7308850" cy="33655"/>
                    </a:xfrm>
                    <a:prstGeom prst="rect">
                      <a:avLst/>
                    </a:prstGeom>
                    <a:noFill/>
                  </pic:spPr>
                </pic:pic>
              </a:graphicData>
            </a:graphic>
          </wp:anchor>
        </w:drawing>
        <w:t>CORPORATE TRANSACTIONS</w:t>
      </w:r>
      <w:r>
        <w:rPr>
          <w:rFonts w:ascii="Arial" w:cs="Arial" w:eastAsia="Arial" w:hAnsi="Arial"/>
          <w:sz w:val="15"/>
          <w:szCs w:val="15"/>
          <w:b w:val="1"/>
          <w:bCs w:val="1"/>
          <w:color w:val="auto"/>
        </w:rPr>
        <w:t>.</w:t>
      </w:r>
    </w:p>
    <w:p>
      <w:pPr>
        <w:spacing w:after="0" w:line="98" w:lineRule="exact"/>
        <w:rPr>
          <w:sz w:val="20"/>
          <w:szCs w:val="20"/>
          <w:color w:val="auto"/>
        </w:rPr>
      </w:pPr>
    </w:p>
    <w:p>
      <w:pPr>
        <w:ind w:right="140" w:firstLine="916"/>
        <w:spacing w:after="0" w:line="325" w:lineRule="auto"/>
        <w:rPr>
          <w:sz w:val="20"/>
          <w:szCs w:val="20"/>
          <w:color w:val="auto"/>
        </w:rPr>
      </w:pPr>
      <w:r>
        <w:rPr>
          <w:rFonts w:ascii="Arial" w:cs="Arial" w:eastAsia="Arial" w:hAnsi="Arial"/>
          <w:sz w:val="13"/>
          <w:szCs w:val="13"/>
          <w:b w:val="1"/>
          <w:bCs w:val="1"/>
          <w:color w:val="auto"/>
        </w:rPr>
        <w:t xml:space="preserve">11.1 </w:t>
      </w:r>
      <w:r>
        <w:rPr>
          <w:rFonts w:ascii="Arial" w:cs="Arial" w:eastAsia="Arial" w:hAnsi="Arial"/>
          <w:sz w:val="13"/>
          <w:szCs w:val="13"/>
          <w:b w:val="1"/>
          <w:bCs w:val="1"/>
          <w:u w:val="single" w:color="auto"/>
          <w:color w:val="auto"/>
        </w:rPr>
        <w:t>Acquisitions or Other Combinations</w:t>
      </w:r>
      <w:r>
        <w:rPr>
          <w:rFonts w:ascii="Arial" w:cs="Arial" w:eastAsia="Arial" w:hAnsi="Arial"/>
          <w:sz w:val="13"/>
          <w:szCs w:val="13"/>
          <w:color w:val="auto"/>
        </w:rPr>
        <w:t>. In the event that the Company is subject to an Acquisition or Other Combination, outstanding Awards acquired under the Plan</w:t>
      </w:r>
      <w:r>
        <w:rPr>
          <w:rFonts w:ascii="Arial" w:cs="Arial" w:eastAsia="Arial" w:hAnsi="Arial"/>
          <w:sz w:val="13"/>
          <w:szCs w:val="13"/>
          <w:b w:val="1"/>
          <w:bCs w:val="1"/>
          <w:color w:val="auto"/>
        </w:rPr>
        <w:t xml:space="preserve"> </w:t>
      </w:r>
      <w:r>
        <w:rPr>
          <w:rFonts w:ascii="Arial" w:cs="Arial" w:eastAsia="Arial" w:hAnsi="Arial"/>
          <w:sz w:val="13"/>
          <w:szCs w:val="13"/>
          <w:color w:val="auto"/>
        </w:rPr>
        <w:t>shall be subject to the agreement evidencing the Acquisition or Other Combination, which need not treat all outstanding Awards in an identical manner. Such agreement, without the Participant’s consent, shall provide for one or more of the following with respect to all outstanding Awards as of the effective date of such Acquisition or Other Combination:</w:t>
      </w:r>
    </w:p>
    <w:p>
      <w:pPr>
        <w:spacing w:after="0" w:line="118" w:lineRule="exact"/>
        <w:rPr>
          <w:sz w:val="20"/>
          <w:szCs w:val="20"/>
          <w:color w:val="auto"/>
        </w:rPr>
      </w:pPr>
    </w:p>
    <w:p>
      <w:pPr>
        <w:ind w:left="1680" w:hanging="202"/>
        <w:spacing w:after="0"/>
        <w:tabs>
          <w:tab w:leader="none" w:pos="1680" w:val="left"/>
        </w:tabs>
        <w:numPr>
          <w:ilvl w:val="0"/>
          <w:numId w:val="365"/>
        </w:numPr>
        <w:rPr>
          <w:rFonts w:ascii="Arial" w:cs="Arial" w:eastAsia="Arial" w:hAnsi="Arial"/>
          <w:sz w:val="15"/>
          <w:szCs w:val="15"/>
          <w:color w:val="auto"/>
        </w:rPr>
      </w:pPr>
      <w:r>
        <w:rPr>
          <w:rFonts w:ascii="Arial" w:cs="Arial" w:eastAsia="Arial" w:hAnsi="Arial"/>
          <w:sz w:val="15"/>
          <w:szCs w:val="15"/>
          <w:color w:val="auto"/>
        </w:rPr>
        <w:t>The continuation of such outstanding Awards by the Company (if the Company is the successor entity).</w:t>
      </w:r>
    </w:p>
    <w:p>
      <w:pPr>
        <w:spacing w:after="0" w:line="188" w:lineRule="exact"/>
        <w:rPr>
          <w:rFonts w:ascii="Arial" w:cs="Arial" w:eastAsia="Arial" w:hAnsi="Arial"/>
          <w:sz w:val="15"/>
          <w:szCs w:val="15"/>
          <w:color w:val="auto"/>
        </w:rPr>
      </w:pPr>
    </w:p>
    <w:p>
      <w:pPr>
        <w:ind w:firstLine="1478"/>
        <w:spacing w:after="0" w:line="273" w:lineRule="auto"/>
        <w:tabs>
          <w:tab w:leader="none" w:pos="1701" w:val="left"/>
        </w:tabs>
        <w:numPr>
          <w:ilvl w:val="0"/>
          <w:numId w:val="365"/>
        </w:numPr>
        <w:rPr>
          <w:rFonts w:ascii="Arial" w:cs="Arial" w:eastAsia="Arial" w:hAnsi="Arial"/>
          <w:sz w:val="14"/>
          <w:szCs w:val="14"/>
          <w:color w:val="auto"/>
        </w:rPr>
      </w:pPr>
      <w:r>
        <w:rPr>
          <w:rFonts w:ascii="Arial" w:cs="Arial" w:eastAsia="Arial" w:hAnsi="Arial"/>
          <w:sz w:val="14"/>
          <w:szCs w:val="14"/>
          <w:color w:val="auto"/>
        </w:rPr>
        <w:t>The assumption of outstanding Awards by the successor or acquiring entity (if any) in such Acquisition or Other Combination (or by any of its Parents, if any), which assumption, will be binding on all Participants; provided that the exercise price and the number and nature of shares issuable upon exercise of any such option or stock appreciation right, or any award that is subject to Section 409A of the Code, will be adjusted appropriately pursuant to Section 424(a) and Section 409A of the Code. For the purposes of this Section 11, an Award will be considered assumed if, following the Acquisition or Other Combination, the Award confers the right to purchase or receive, for each Share subject to the Award immediately prior to the Acquisition or Other Combination, the consideration (whether stock, cash, or other securities or property) received in the Acquisition or Other Combination by holders of Shares for each Share held on the effective date of the transaction (and if holders were offered a choice of consideration, the type of consideration chosen by the holders of a majority of the outstanding Shares); provided, however, that if such consideration received in the Acquisition or Other Combination is not solely common stock of the successor corporation or its Parent, the Committee may, with the consent of the successor corporation, provide for the consideration to be received upon the exercise of an Option or Stock Appreciation Right or upon the payout of a Restricted Stock Unit, for each Share subject to such Award, to be solely common stock of the successor corporation or its Parent equal in fair market value to the per share consideration received by holders of Common Stock in the Acquisition or Other Combination.</w:t>
      </w:r>
    </w:p>
    <w:p>
      <w:pPr>
        <w:spacing w:after="0" w:line="153" w:lineRule="exact"/>
        <w:rPr>
          <w:rFonts w:ascii="Arial" w:cs="Arial" w:eastAsia="Arial" w:hAnsi="Arial"/>
          <w:sz w:val="14"/>
          <w:szCs w:val="14"/>
          <w:color w:val="auto"/>
        </w:rPr>
      </w:pPr>
    </w:p>
    <w:p>
      <w:pPr>
        <w:ind w:firstLine="1478"/>
        <w:spacing w:after="0" w:line="290" w:lineRule="auto"/>
        <w:tabs>
          <w:tab w:leader="none" w:pos="1692" w:val="left"/>
        </w:tabs>
        <w:numPr>
          <w:ilvl w:val="0"/>
          <w:numId w:val="365"/>
        </w:numPr>
        <w:rPr>
          <w:rFonts w:ascii="Arial" w:cs="Arial" w:eastAsia="Arial" w:hAnsi="Arial"/>
          <w:sz w:val="14"/>
          <w:szCs w:val="14"/>
          <w:color w:val="auto"/>
        </w:rPr>
      </w:pPr>
      <w:r>
        <w:rPr>
          <w:rFonts w:ascii="Arial" w:cs="Arial" w:eastAsia="Arial" w:hAnsi="Arial"/>
          <w:sz w:val="14"/>
          <w:szCs w:val="14"/>
          <w:color w:val="auto"/>
        </w:rPr>
        <w:t>The substitution by the successor or acquiring entity in such Acquisition or Other Combination (or by any of its Parents, if any) of equivalent awards with substantially the same terms for such outstanding Awards (except that the exercise price and the number and nature of shares issuable upon exercise of any such option or stock appreciation right, or any award that is subject to Section 409A of the Code, will be adjusted appropriately pursuant to Section 424(a) and Section 409A of the Code).</w:t>
      </w:r>
    </w:p>
    <w:p>
      <w:pPr>
        <w:spacing w:after="0" w:line="138" w:lineRule="exact"/>
        <w:rPr>
          <w:rFonts w:ascii="Arial" w:cs="Arial" w:eastAsia="Arial" w:hAnsi="Arial"/>
          <w:sz w:val="14"/>
          <w:szCs w:val="14"/>
          <w:color w:val="auto"/>
        </w:rPr>
      </w:pPr>
    </w:p>
    <w:p>
      <w:pPr>
        <w:ind w:left="1680" w:hanging="202"/>
        <w:spacing w:after="0"/>
        <w:tabs>
          <w:tab w:leader="none" w:pos="1680" w:val="left"/>
        </w:tabs>
        <w:numPr>
          <w:ilvl w:val="0"/>
          <w:numId w:val="365"/>
        </w:numPr>
        <w:rPr>
          <w:rFonts w:ascii="Arial" w:cs="Arial" w:eastAsia="Arial" w:hAnsi="Arial"/>
          <w:sz w:val="15"/>
          <w:szCs w:val="15"/>
          <w:color w:val="auto"/>
        </w:rPr>
      </w:pPr>
      <w:r>
        <w:rPr>
          <w:rFonts w:ascii="Arial" w:cs="Arial" w:eastAsia="Arial" w:hAnsi="Arial"/>
          <w:sz w:val="15"/>
          <w:szCs w:val="15"/>
          <w:color w:val="auto"/>
        </w:rPr>
        <w:t>The full or partial exercisability or vesting and accelerated expiration of outstanding Awards.</w:t>
      </w:r>
    </w:p>
    <w:p>
      <w:pPr>
        <w:spacing w:after="0" w:line="188" w:lineRule="exact"/>
        <w:rPr>
          <w:rFonts w:ascii="Arial" w:cs="Arial" w:eastAsia="Arial" w:hAnsi="Arial"/>
          <w:sz w:val="15"/>
          <w:szCs w:val="15"/>
          <w:color w:val="auto"/>
        </w:rPr>
      </w:pPr>
    </w:p>
    <w:p>
      <w:pPr>
        <w:ind w:right="160" w:firstLine="1478"/>
        <w:spacing w:after="0" w:line="302" w:lineRule="auto"/>
        <w:tabs>
          <w:tab w:leader="none" w:pos="1692" w:val="left"/>
        </w:tabs>
        <w:numPr>
          <w:ilvl w:val="0"/>
          <w:numId w:val="365"/>
        </w:numPr>
        <w:rPr>
          <w:rFonts w:ascii="Arial" w:cs="Arial" w:eastAsia="Arial" w:hAnsi="Arial"/>
          <w:sz w:val="13"/>
          <w:szCs w:val="13"/>
          <w:color w:val="auto"/>
        </w:rPr>
      </w:pPr>
      <w:r>
        <w:rPr>
          <w:rFonts w:ascii="Arial" w:cs="Arial" w:eastAsia="Arial" w:hAnsi="Arial"/>
          <w:sz w:val="13"/>
          <w:szCs w:val="13"/>
          <w:color w:val="auto"/>
        </w:rPr>
        <w:t>The settlement of the full value of such outstanding Award (whether or not then vested or exercisable) in cash, cash equivalents, or securities of the successor entity (or its Parent, if any) with a Fair Market Value equal to the required amount, followed by the cancellation of such Awards; provided however, that such Award may be cancelled without consideration if such Award has no value, as determined by the Committee, in its discretion. Subject to Section 409A of the Code, such payment may be made in installments and may be deferred until the date or dates when the Award would have become exercisable or vested. Such payment may be subject to vesting based on the Participant’s continued service, provided that without the Participant’s consent, the vesting schedule shall not be less favorable to the Participant than the schedule under which the Award would have become vested or exercisable. For purposes of this Section 11.1(e), the Fair Market Value of any security shall be determined without regard to any vesting conditions that may apply to such security.</w:t>
      </w:r>
    </w:p>
    <w:p>
      <w:pPr>
        <w:spacing w:after="0" w:line="78" w:lineRule="exact"/>
        <w:rPr>
          <w:sz w:val="20"/>
          <w:szCs w:val="20"/>
          <w:color w:val="auto"/>
        </w:rPr>
      </w:pPr>
    </w:p>
    <w:p>
      <w:pPr>
        <w:jc w:val="center"/>
        <w:ind w:right="-79"/>
        <w:spacing w:after="0"/>
        <w:rPr>
          <w:sz w:val="20"/>
          <w:szCs w:val="20"/>
          <w:color w:val="auto"/>
        </w:rPr>
      </w:pPr>
      <w:r>
        <w:rPr>
          <w:rFonts w:ascii="Arial" w:cs="Arial" w:eastAsia="Arial" w:hAnsi="Arial"/>
          <w:sz w:val="15"/>
          <w:szCs w:val="15"/>
          <w:color w:val="auto"/>
        </w:rPr>
        <w:t>10</w:t>
      </w:r>
    </w:p>
    <w:p>
      <w:pPr>
        <w:sectPr>
          <w:pgSz w:w="11900" w:h="16838" w:orient="portrait"/>
          <w:cols w:equalWidth="0" w:num="1">
            <w:col w:w="11340"/>
          </w:cols>
          <w:pgMar w:left="240" w:top="249" w:right="319" w:bottom="1440" w:gutter="0" w:footer="0" w:header="0"/>
        </w:sectPr>
      </w:pPr>
    </w:p>
    <w:bookmarkStart w:id="416" w:name="page417"/>
    <w:bookmarkEnd w:id="416"/>
    <w:p>
      <w:pPr>
        <w:ind w:right="20" w:firstLine="458"/>
        <w:spacing w:after="0" w:line="275"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133350</wp:posOffset>
            </wp:positionH>
            <wp:positionV relativeFrom="page">
              <wp:posOffset>88900</wp:posOffset>
            </wp:positionV>
            <wp:extent cx="7308850" cy="34290"/>
            <wp:wrapNone/>
            <wp:docPr id="592" name="Picture 5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2"/>
                    <pic:cNvPicPr>
                      <a:picLocks noChangeAspect="1" noChangeArrowheads="1"/>
                    </pic:cNvPicPr>
                  </pic:nvPicPr>
                  <pic:blipFill>
                    <a:blip r:embed="rId629">
                      <a:extLst>
                        <a:ext uri="{28A0092B-C50C-407E-A947-70E740481C1C}"/>
                      </a:extLst>
                    </a:blip>
                    <a:srcRect/>
                    <a:stretch>
                      <a:fillRect/>
                    </a:stretch>
                  </pic:blipFill>
                  <pic:spPr bwMode="auto">
                    <a:xfrm>
                      <a:off x="0" y="0"/>
                      <a:ext cx="7308850" cy="34290"/>
                    </a:xfrm>
                    <a:prstGeom prst="rect">
                      <a:avLst/>
                    </a:prstGeom>
                    <a:noFill/>
                  </pic:spPr>
                </pic:pic>
              </a:graphicData>
            </a:graphic>
          </wp:anchor>
        </w:drawing>
        <w:t>Immediately following an Acquisition or Other Combination, outstanding Awards shall terminate and cease to be outstanding, except to the extent such Awards, have been continued, assumed or substituted, as described in Sections 11.1(a), (b) and/or (c).</w:t>
      </w:r>
    </w:p>
    <w:p>
      <w:pPr>
        <w:spacing w:after="0" w:line="142" w:lineRule="exact"/>
        <w:rPr>
          <w:sz w:val="20"/>
          <w:szCs w:val="20"/>
          <w:color w:val="auto"/>
        </w:rPr>
      </w:pPr>
    </w:p>
    <w:p>
      <w:pPr>
        <w:ind w:firstLine="916"/>
        <w:spacing w:after="0" w:line="255" w:lineRule="auto"/>
        <w:rPr>
          <w:sz w:val="20"/>
          <w:szCs w:val="20"/>
          <w:color w:val="auto"/>
        </w:rPr>
      </w:pPr>
      <w:r>
        <w:rPr>
          <w:rFonts w:ascii="Arial" w:cs="Arial" w:eastAsia="Arial" w:hAnsi="Arial"/>
          <w:sz w:val="15"/>
          <w:szCs w:val="15"/>
          <w:b w:val="1"/>
          <w:bCs w:val="1"/>
          <w:color w:val="auto"/>
        </w:rPr>
        <w:t xml:space="preserve">11.2 </w:t>
      </w:r>
      <w:r>
        <w:rPr>
          <w:rFonts w:ascii="Arial" w:cs="Arial" w:eastAsia="Arial" w:hAnsi="Arial"/>
          <w:sz w:val="15"/>
          <w:szCs w:val="15"/>
          <w:b w:val="1"/>
          <w:bCs w:val="1"/>
          <w:u w:val="single" w:color="auto"/>
          <w:color w:val="auto"/>
        </w:rPr>
        <w:t>Assumption of Awards by the Company</w:t>
      </w:r>
      <w:r>
        <w:rPr>
          <w:rFonts w:ascii="Arial" w:cs="Arial" w:eastAsia="Arial" w:hAnsi="Arial"/>
          <w:sz w:val="15"/>
          <w:szCs w:val="15"/>
          <w:color w:val="auto"/>
        </w:rPr>
        <w:t>. The Company, from time to time, also may substitute or assume outstanding awards granted by another entity, whether in</w:t>
      </w:r>
      <w:r>
        <w:rPr>
          <w:rFonts w:ascii="Arial" w:cs="Arial" w:eastAsia="Arial" w:hAnsi="Arial"/>
          <w:sz w:val="15"/>
          <w:szCs w:val="15"/>
          <w:b w:val="1"/>
          <w:bCs w:val="1"/>
          <w:color w:val="auto"/>
        </w:rPr>
        <w:t xml:space="preserve"> </w:t>
      </w:r>
      <w:r>
        <w:rPr>
          <w:rFonts w:ascii="Arial" w:cs="Arial" w:eastAsia="Arial" w:hAnsi="Arial"/>
          <w:sz w:val="15"/>
          <w:szCs w:val="15"/>
          <w:color w:val="auto"/>
        </w:rPr>
        <w:t>connection with an acquisition of such other entity or otherwise, by either (a) granting an Award under this Plan in substitution of such other entity’s award or (b) assuming and/or converting such award as if it had been granted under this Plan if the terms of such assumed award could be applied to an Award granted under this Plan. Such substitution or assumption will be permissible if the holder of the substituted or assumed award would have been eligible to be granted an Award under this Plan if the other entity had applied the rules of this Plan to such grant. In the event the Company assumes an award granted by another entity, the terms and conditions of such award will remain unchanged (except that the exercise price and the number and nature of shares issuable upon exercise of any such option or stock appreciation right, or any award that is subject to Section 409A of the Code, will be adjusted appropriately pursuant to Section 424(a) of the Code). In the event the Company elects to grant a new Option or SAR rather than assuming an existing option or stock appreciation right, such new Option or SAR may be granted with a similarly adjusted Exercise Price.</w:t>
      </w:r>
    </w:p>
    <w:p>
      <w:pPr>
        <w:spacing w:after="0" w:line="248" w:lineRule="exact"/>
        <w:rPr>
          <w:sz w:val="20"/>
          <w:szCs w:val="20"/>
          <w:color w:val="auto"/>
        </w:rPr>
      </w:pPr>
    </w:p>
    <w:p>
      <w:pPr>
        <w:ind w:left="680" w:hanging="232"/>
        <w:spacing w:after="0"/>
        <w:tabs>
          <w:tab w:leader="none" w:pos="680" w:val="left"/>
        </w:tabs>
        <w:numPr>
          <w:ilvl w:val="0"/>
          <w:numId w:val="366"/>
        </w:numPr>
        <w:rPr>
          <w:rFonts w:ascii="Arial" w:cs="Arial" w:eastAsia="Arial" w:hAnsi="Arial"/>
          <w:sz w:val="15"/>
          <w:szCs w:val="15"/>
          <w:b w:val="1"/>
          <w:bCs w:val="1"/>
          <w:color w:val="auto"/>
        </w:rPr>
      </w:pPr>
      <w:r>
        <w:rPr>
          <w:rFonts w:ascii="Arial" w:cs="Arial" w:eastAsia="Arial" w:hAnsi="Arial"/>
          <w:sz w:val="15"/>
          <w:szCs w:val="15"/>
          <w:b w:val="1"/>
          <w:bCs w:val="1"/>
          <w:u w:val="single" w:color="auto"/>
          <w:color w:val="auto"/>
        </w:rPr>
        <w:t>ADMINISTRATION</w:t>
      </w:r>
      <w:r>
        <w:rPr>
          <w:rFonts w:ascii="Arial" w:cs="Arial" w:eastAsia="Arial" w:hAnsi="Arial"/>
          <w:sz w:val="15"/>
          <w:szCs w:val="15"/>
          <w:b w:val="1"/>
          <w:bCs w:val="1"/>
          <w:color w:val="auto"/>
        </w:rPr>
        <w:t>.</w:t>
      </w:r>
    </w:p>
    <w:p>
      <w:pPr>
        <w:spacing w:after="0" w:line="98" w:lineRule="exact"/>
        <w:rPr>
          <w:sz w:val="20"/>
          <w:szCs w:val="20"/>
          <w:color w:val="auto"/>
        </w:rPr>
      </w:pPr>
    </w:p>
    <w:p>
      <w:pPr>
        <w:ind w:right="200" w:firstLine="916"/>
        <w:spacing w:after="0" w:line="266" w:lineRule="auto"/>
        <w:rPr>
          <w:sz w:val="20"/>
          <w:szCs w:val="20"/>
          <w:color w:val="auto"/>
        </w:rPr>
      </w:pPr>
      <w:r>
        <w:rPr>
          <w:rFonts w:ascii="Arial" w:cs="Arial" w:eastAsia="Arial" w:hAnsi="Arial"/>
          <w:sz w:val="15"/>
          <w:szCs w:val="15"/>
          <w:b w:val="1"/>
          <w:bCs w:val="1"/>
          <w:color w:val="auto"/>
        </w:rPr>
        <w:t xml:space="preserve">12.1 </w:t>
      </w:r>
      <w:r>
        <w:rPr>
          <w:rFonts w:ascii="Arial" w:cs="Arial" w:eastAsia="Arial" w:hAnsi="Arial"/>
          <w:sz w:val="15"/>
          <w:szCs w:val="15"/>
          <w:b w:val="1"/>
          <w:bCs w:val="1"/>
          <w:u w:val="single" w:color="auto"/>
          <w:color w:val="auto"/>
        </w:rPr>
        <w:t>Committee Authority</w:t>
      </w:r>
      <w:r>
        <w:rPr>
          <w:rFonts w:ascii="Arial" w:cs="Arial" w:eastAsia="Arial" w:hAnsi="Arial"/>
          <w:sz w:val="15"/>
          <w:szCs w:val="15"/>
          <w:color w:val="auto"/>
        </w:rPr>
        <w:t>. This Plan will be administered by the Committee or the Board if no Committee is created by the Board. Subject to the general purposes, terms</w:t>
      </w:r>
      <w:r>
        <w:rPr>
          <w:rFonts w:ascii="Arial" w:cs="Arial" w:eastAsia="Arial" w:hAnsi="Arial"/>
          <w:sz w:val="15"/>
          <w:szCs w:val="15"/>
          <w:b w:val="1"/>
          <w:bCs w:val="1"/>
          <w:color w:val="auto"/>
        </w:rPr>
        <w:t xml:space="preserve"> </w:t>
      </w:r>
      <w:r>
        <w:rPr>
          <w:rFonts w:ascii="Arial" w:cs="Arial" w:eastAsia="Arial" w:hAnsi="Arial"/>
          <w:sz w:val="15"/>
          <w:szCs w:val="15"/>
          <w:color w:val="auto"/>
        </w:rPr>
        <w:t>and conditions of this Plan, and to the direction of the Board, the Committee will have full power to implement and carry out this Plan. Without limitation, the Committee will have the authority to:</w:t>
      </w:r>
    </w:p>
    <w:p>
      <w:pPr>
        <w:spacing w:after="0" w:line="152" w:lineRule="exact"/>
        <w:rPr>
          <w:sz w:val="20"/>
          <w:szCs w:val="20"/>
          <w:color w:val="auto"/>
        </w:rPr>
      </w:pPr>
    </w:p>
    <w:p>
      <w:pPr>
        <w:ind w:left="1680" w:hanging="202"/>
        <w:spacing w:after="0"/>
        <w:tabs>
          <w:tab w:leader="none" w:pos="1680" w:val="left"/>
        </w:tabs>
        <w:numPr>
          <w:ilvl w:val="0"/>
          <w:numId w:val="367"/>
        </w:numPr>
        <w:rPr>
          <w:rFonts w:ascii="Arial" w:cs="Arial" w:eastAsia="Arial" w:hAnsi="Arial"/>
          <w:sz w:val="15"/>
          <w:szCs w:val="15"/>
          <w:color w:val="auto"/>
        </w:rPr>
      </w:pPr>
      <w:r>
        <w:rPr>
          <w:rFonts w:ascii="Arial" w:cs="Arial" w:eastAsia="Arial" w:hAnsi="Arial"/>
          <w:sz w:val="15"/>
          <w:szCs w:val="15"/>
          <w:color w:val="auto"/>
        </w:rPr>
        <w:t>construe and interpret this Plan, any Award Agreement and any other agreement or document executed pursuant to this Plan;</w:t>
      </w:r>
    </w:p>
    <w:p>
      <w:pPr>
        <w:spacing w:after="0" w:line="188" w:lineRule="exact"/>
        <w:rPr>
          <w:rFonts w:ascii="Arial" w:cs="Arial" w:eastAsia="Arial" w:hAnsi="Arial"/>
          <w:sz w:val="15"/>
          <w:szCs w:val="15"/>
          <w:color w:val="auto"/>
        </w:rPr>
      </w:pPr>
    </w:p>
    <w:p>
      <w:pPr>
        <w:ind w:left="1700" w:hanging="222"/>
        <w:spacing w:after="0"/>
        <w:tabs>
          <w:tab w:leader="none" w:pos="1700" w:val="left"/>
        </w:tabs>
        <w:numPr>
          <w:ilvl w:val="0"/>
          <w:numId w:val="367"/>
        </w:numPr>
        <w:rPr>
          <w:rFonts w:ascii="Arial" w:cs="Arial" w:eastAsia="Arial" w:hAnsi="Arial"/>
          <w:sz w:val="15"/>
          <w:szCs w:val="15"/>
          <w:color w:val="auto"/>
        </w:rPr>
      </w:pPr>
      <w:r>
        <w:rPr>
          <w:rFonts w:ascii="Arial" w:cs="Arial" w:eastAsia="Arial" w:hAnsi="Arial"/>
          <w:sz w:val="15"/>
          <w:szCs w:val="15"/>
          <w:color w:val="auto"/>
        </w:rPr>
        <w:t>prescribe, amend, expand, modify and rescind or terminate rules and regulations relating to this Plan;</w:t>
      </w:r>
    </w:p>
    <w:p>
      <w:pPr>
        <w:spacing w:after="0" w:line="188" w:lineRule="exact"/>
        <w:rPr>
          <w:rFonts w:ascii="Arial" w:cs="Arial" w:eastAsia="Arial" w:hAnsi="Arial"/>
          <w:sz w:val="15"/>
          <w:szCs w:val="15"/>
          <w:color w:val="auto"/>
        </w:rPr>
      </w:pPr>
    </w:p>
    <w:p>
      <w:pPr>
        <w:ind w:left="1680" w:hanging="202"/>
        <w:spacing w:after="0"/>
        <w:tabs>
          <w:tab w:leader="none" w:pos="1680" w:val="left"/>
        </w:tabs>
        <w:numPr>
          <w:ilvl w:val="0"/>
          <w:numId w:val="367"/>
        </w:numPr>
        <w:rPr>
          <w:rFonts w:ascii="Arial" w:cs="Arial" w:eastAsia="Arial" w:hAnsi="Arial"/>
          <w:sz w:val="15"/>
          <w:szCs w:val="15"/>
          <w:color w:val="auto"/>
        </w:rPr>
      </w:pPr>
      <w:r>
        <w:rPr>
          <w:rFonts w:ascii="Arial" w:cs="Arial" w:eastAsia="Arial" w:hAnsi="Arial"/>
          <w:sz w:val="15"/>
          <w:szCs w:val="15"/>
          <w:color w:val="auto"/>
        </w:rPr>
        <w:t>approve persons to receive Awards;</w:t>
      </w:r>
    </w:p>
    <w:p>
      <w:pPr>
        <w:spacing w:after="0" w:line="188" w:lineRule="exact"/>
        <w:rPr>
          <w:rFonts w:ascii="Arial" w:cs="Arial" w:eastAsia="Arial" w:hAnsi="Arial"/>
          <w:sz w:val="15"/>
          <w:szCs w:val="15"/>
          <w:color w:val="auto"/>
        </w:rPr>
      </w:pPr>
    </w:p>
    <w:p>
      <w:pPr>
        <w:ind w:left="1700" w:hanging="222"/>
        <w:spacing w:after="0"/>
        <w:tabs>
          <w:tab w:leader="none" w:pos="1700" w:val="left"/>
        </w:tabs>
        <w:numPr>
          <w:ilvl w:val="0"/>
          <w:numId w:val="367"/>
        </w:numPr>
        <w:rPr>
          <w:rFonts w:ascii="Arial" w:cs="Arial" w:eastAsia="Arial" w:hAnsi="Arial"/>
          <w:sz w:val="15"/>
          <w:szCs w:val="15"/>
          <w:color w:val="auto"/>
        </w:rPr>
      </w:pPr>
      <w:r>
        <w:rPr>
          <w:rFonts w:ascii="Arial" w:cs="Arial" w:eastAsia="Arial" w:hAnsi="Arial"/>
          <w:sz w:val="15"/>
          <w:szCs w:val="15"/>
          <w:color w:val="auto"/>
        </w:rPr>
        <w:t>determine the form and terms of Awards;</w:t>
      </w:r>
    </w:p>
    <w:p>
      <w:pPr>
        <w:spacing w:after="0" w:line="188" w:lineRule="exact"/>
        <w:rPr>
          <w:rFonts w:ascii="Arial" w:cs="Arial" w:eastAsia="Arial" w:hAnsi="Arial"/>
          <w:sz w:val="15"/>
          <w:szCs w:val="15"/>
          <w:color w:val="auto"/>
        </w:rPr>
      </w:pPr>
    </w:p>
    <w:p>
      <w:pPr>
        <w:ind w:left="1680" w:hanging="202"/>
        <w:spacing w:after="0"/>
        <w:tabs>
          <w:tab w:leader="none" w:pos="1680" w:val="left"/>
        </w:tabs>
        <w:numPr>
          <w:ilvl w:val="0"/>
          <w:numId w:val="367"/>
        </w:numPr>
        <w:rPr>
          <w:rFonts w:ascii="Arial" w:cs="Arial" w:eastAsia="Arial" w:hAnsi="Arial"/>
          <w:sz w:val="15"/>
          <w:szCs w:val="15"/>
          <w:color w:val="auto"/>
        </w:rPr>
      </w:pPr>
      <w:r>
        <w:rPr>
          <w:rFonts w:ascii="Arial" w:cs="Arial" w:eastAsia="Arial" w:hAnsi="Arial"/>
          <w:sz w:val="15"/>
          <w:szCs w:val="15"/>
          <w:color w:val="auto"/>
        </w:rPr>
        <w:t>determine the number of Shares or other consideration subject to Awards granted under this Plan;</w:t>
      </w:r>
    </w:p>
    <w:p>
      <w:pPr>
        <w:spacing w:after="0" w:line="188" w:lineRule="exact"/>
        <w:rPr>
          <w:rFonts w:ascii="Arial" w:cs="Arial" w:eastAsia="Arial" w:hAnsi="Arial"/>
          <w:sz w:val="15"/>
          <w:szCs w:val="15"/>
          <w:color w:val="auto"/>
        </w:rPr>
      </w:pPr>
    </w:p>
    <w:p>
      <w:pPr>
        <w:ind w:right="380" w:firstLine="1478"/>
        <w:spacing w:after="0" w:line="275" w:lineRule="auto"/>
        <w:tabs>
          <w:tab w:leader="none" w:pos="1676" w:val="left"/>
        </w:tabs>
        <w:numPr>
          <w:ilvl w:val="0"/>
          <w:numId w:val="367"/>
        </w:numPr>
        <w:rPr>
          <w:rFonts w:ascii="Arial" w:cs="Arial" w:eastAsia="Arial" w:hAnsi="Arial"/>
          <w:sz w:val="15"/>
          <w:szCs w:val="15"/>
          <w:color w:val="auto"/>
        </w:rPr>
      </w:pPr>
      <w:r>
        <w:rPr>
          <w:rFonts w:ascii="Arial" w:cs="Arial" w:eastAsia="Arial" w:hAnsi="Arial"/>
          <w:sz w:val="15"/>
          <w:szCs w:val="15"/>
          <w:color w:val="auto"/>
        </w:rPr>
        <w:t>determine the Fair Market Value in good faith and interpret the applicable provisions of this Plan and the definition of Fair Market Value in connection with circumstances that impact the Fair Market Value, if necessary;</w:t>
      </w:r>
    </w:p>
    <w:p>
      <w:pPr>
        <w:spacing w:after="0" w:line="146" w:lineRule="exact"/>
        <w:rPr>
          <w:rFonts w:ascii="Arial" w:cs="Arial" w:eastAsia="Arial" w:hAnsi="Arial"/>
          <w:sz w:val="15"/>
          <w:szCs w:val="15"/>
          <w:color w:val="auto"/>
        </w:rPr>
      </w:pPr>
    </w:p>
    <w:p>
      <w:pPr>
        <w:ind w:right="160" w:firstLine="1478"/>
        <w:spacing w:after="0" w:line="275" w:lineRule="auto"/>
        <w:tabs>
          <w:tab w:leader="none" w:pos="1701" w:val="left"/>
        </w:tabs>
        <w:numPr>
          <w:ilvl w:val="0"/>
          <w:numId w:val="367"/>
        </w:numPr>
        <w:rPr>
          <w:rFonts w:ascii="Arial" w:cs="Arial" w:eastAsia="Arial" w:hAnsi="Arial"/>
          <w:sz w:val="15"/>
          <w:szCs w:val="15"/>
          <w:color w:val="auto"/>
        </w:rPr>
      </w:pPr>
      <w:r>
        <w:rPr>
          <w:rFonts w:ascii="Arial" w:cs="Arial" w:eastAsia="Arial" w:hAnsi="Arial"/>
          <w:sz w:val="15"/>
          <w:szCs w:val="15"/>
          <w:color w:val="auto"/>
        </w:rPr>
        <w:t>determine whether Awards will be granted singly, in combination with, in tandem with, in replacement of, or as alternatives to, other Awards under this Plan or awards under any other incentive or compensation plan of the Company or any Parent or Subsidiary of the Company;</w:t>
      </w:r>
    </w:p>
    <w:p>
      <w:pPr>
        <w:spacing w:after="0" w:line="146" w:lineRule="exact"/>
        <w:rPr>
          <w:rFonts w:ascii="Arial" w:cs="Arial" w:eastAsia="Arial" w:hAnsi="Arial"/>
          <w:sz w:val="15"/>
          <w:szCs w:val="15"/>
          <w:color w:val="auto"/>
        </w:rPr>
      </w:pPr>
    </w:p>
    <w:p>
      <w:pPr>
        <w:ind w:left="1700" w:hanging="222"/>
        <w:spacing w:after="0"/>
        <w:tabs>
          <w:tab w:leader="none" w:pos="1700" w:val="left"/>
        </w:tabs>
        <w:numPr>
          <w:ilvl w:val="0"/>
          <w:numId w:val="367"/>
        </w:numPr>
        <w:rPr>
          <w:rFonts w:ascii="Arial" w:cs="Arial" w:eastAsia="Arial" w:hAnsi="Arial"/>
          <w:sz w:val="15"/>
          <w:szCs w:val="15"/>
          <w:color w:val="auto"/>
        </w:rPr>
      </w:pPr>
      <w:r>
        <w:rPr>
          <w:rFonts w:ascii="Arial" w:cs="Arial" w:eastAsia="Arial" w:hAnsi="Arial"/>
          <w:sz w:val="15"/>
          <w:szCs w:val="15"/>
          <w:color w:val="auto"/>
        </w:rPr>
        <w:t>grant waivers of any conditions of this Plan or any Award;</w:t>
      </w:r>
    </w:p>
    <w:p>
      <w:pPr>
        <w:spacing w:after="0" w:line="132"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11</w:t>
      </w:r>
    </w:p>
    <w:p>
      <w:pPr>
        <w:sectPr>
          <w:pgSz w:w="11900" w:h="16838" w:orient="portrait"/>
          <w:cols w:equalWidth="0" w:num="1">
            <w:col w:w="11420"/>
          </w:cols>
          <w:pgMar w:left="240" w:top="253" w:right="239" w:bottom="1440" w:gutter="0" w:footer="0" w:header="0"/>
        </w:sectPr>
      </w:pPr>
    </w:p>
    <w:bookmarkStart w:id="417" w:name="page418"/>
    <w:bookmarkEnd w:id="417"/>
    <w:p>
      <w:pPr>
        <w:ind w:left="1660" w:hanging="182"/>
        <w:spacing w:after="0"/>
        <w:tabs>
          <w:tab w:leader="none" w:pos="1660" w:val="left"/>
        </w:tabs>
        <w:numPr>
          <w:ilvl w:val="0"/>
          <w:numId w:val="368"/>
        </w:numPr>
        <w:rPr>
          <w:rFonts w:ascii="Arial" w:cs="Arial" w:eastAsia="Arial" w:hAnsi="Arial"/>
          <w:sz w:val="15"/>
          <w:szCs w:val="15"/>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133350</wp:posOffset>
            </wp:positionH>
            <wp:positionV relativeFrom="page">
              <wp:posOffset>88900</wp:posOffset>
            </wp:positionV>
            <wp:extent cx="7308850" cy="34290"/>
            <wp:wrapNone/>
            <wp:docPr id="593" name="Picture 5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3"/>
                    <pic:cNvPicPr>
                      <a:picLocks noChangeAspect="1" noChangeArrowheads="1"/>
                    </pic:cNvPicPr>
                  </pic:nvPicPr>
                  <pic:blipFill>
                    <a:blip r:embed="rId630">
                      <a:extLst>
                        <a:ext uri="{28A0092B-C50C-407E-A947-70E740481C1C}"/>
                      </a:extLst>
                    </a:blip>
                    <a:srcRect/>
                    <a:stretch>
                      <a:fillRect/>
                    </a:stretch>
                  </pic:blipFill>
                  <pic:spPr bwMode="auto">
                    <a:xfrm>
                      <a:off x="0" y="0"/>
                      <a:ext cx="7308850" cy="34290"/>
                    </a:xfrm>
                    <a:prstGeom prst="rect">
                      <a:avLst/>
                    </a:prstGeom>
                    <a:noFill/>
                  </pic:spPr>
                </pic:pic>
              </a:graphicData>
            </a:graphic>
          </wp:anchor>
        </w:drawing>
        <w:t>determine the terms of vesting, exercisability and payment of Awards to be granted pursuant to this Plan;</w:t>
      </w:r>
    </w:p>
    <w:p>
      <w:pPr>
        <w:spacing w:after="0" w:line="188" w:lineRule="exact"/>
        <w:rPr>
          <w:rFonts w:ascii="Arial" w:cs="Arial" w:eastAsia="Arial" w:hAnsi="Arial"/>
          <w:sz w:val="15"/>
          <w:szCs w:val="15"/>
          <w:color w:val="auto"/>
        </w:rPr>
      </w:pPr>
    </w:p>
    <w:p>
      <w:pPr>
        <w:ind w:firstLine="1478"/>
        <w:spacing w:after="0" w:line="275" w:lineRule="auto"/>
        <w:tabs>
          <w:tab w:leader="none" w:pos="1668" w:val="left"/>
        </w:tabs>
        <w:numPr>
          <w:ilvl w:val="0"/>
          <w:numId w:val="368"/>
        </w:numPr>
        <w:rPr>
          <w:rFonts w:ascii="Arial" w:cs="Arial" w:eastAsia="Arial" w:hAnsi="Arial"/>
          <w:sz w:val="15"/>
          <w:szCs w:val="15"/>
          <w:color w:val="auto"/>
        </w:rPr>
      </w:pPr>
      <w:r>
        <w:rPr>
          <w:rFonts w:ascii="Arial" w:cs="Arial" w:eastAsia="Arial" w:hAnsi="Arial"/>
          <w:sz w:val="15"/>
          <w:szCs w:val="15"/>
          <w:color w:val="auto"/>
        </w:rPr>
        <w:t>correct any defect, supply any omission, or reconcile any inconsistency in this Plan, any Award, any Award Agreement, any Exercise Agreement or any Restricted Stock Purchase Agreement;</w:t>
      </w:r>
    </w:p>
    <w:p>
      <w:pPr>
        <w:spacing w:after="0" w:line="146" w:lineRule="exact"/>
        <w:rPr>
          <w:rFonts w:ascii="Arial" w:cs="Arial" w:eastAsia="Arial" w:hAnsi="Arial"/>
          <w:sz w:val="15"/>
          <w:szCs w:val="15"/>
          <w:color w:val="auto"/>
        </w:rPr>
      </w:pPr>
    </w:p>
    <w:p>
      <w:pPr>
        <w:ind w:left="1700" w:hanging="222"/>
        <w:spacing w:after="0"/>
        <w:tabs>
          <w:tab w:leader="none" w:pos="1700" w:val="left"/>
        </w:tabs>
        <w:numPr>
          <w:ilvl w:val="0"/>
          <w:numId w:val="368"/>
        </w:numPr>
        <w:rPr>
          <w:rFonts w:ascii="Arial" w:cs="Arial" w:eastAsia="Arial" w:hAnsi="Arial"/>
          <w:sz w:val="15"/>
          <w:szCs w:val="15"/>
          <w:color w:val="auto"/>
        </w:rPr>
      </w:pPr>
      <w:r>
        <w:rPr>
          <w:rFonts w:ascii="Arial" w:cs="Arial" w:eastAsia="Arial" w:hAnsi="Arial"/>
          <w:sz w:val="15"/>
          <w:szCs w:val="15"/>
          <w:color w:val="auto"/>
        </w:rPr>
        <w:t>determine whether an Award has been earned;</w:t>
      </w:r>
    </w:p>
    <w:p>
      <w:pPr>
        <w:spacing w:after="0" w:line="188" w:lineRule="exact"/>
        <w:rPr>
          <w:rFonts w:ascii="Arial" w:cs="Arial" w:eastAsia="Arial" w:hAnsi="Arial"/>
          <w:sz w:val="15"/>
          <w:szCs w:val="15"/>
          <w:color w:val="auto"/>
        </w:rPr>
      </w:pPr>
    </w:p>
    <w:p>
      <w:pPr>
        <w:ind w:left="1660" w:hanging="182"/>
        <w:spacing w:after="0"/>
        <w:tabs>
          <w:tab w:leader="none" w:pos="1660" w:val="left"/>
        </w:tabs>
        <w:numPr>
          <w:ilvl w:val="0"/>
          <w:numId w:val="368"/>
        </w:numPr>
        <w:rPr>
          <w:rFonts w:ascii="Arial" w:cs="Arial" w:eastAsia="Arial" w:hAnsi="Arial"/>
          <w:sz w:val="15"/>
          <w:szCs w:val="15"/>
          <w:color w:val="auto"/>
        </w:rPr>
      </w:pPr>
      <w:r>
        <w:rPr>
          <w:rFonts w:ascii="Arial" w:cs="Arial" w:eastAsia="Arial" w:hAnsi="Arial"/>
          <w:sz w:val="15"/>
          <w:szCs w:val="15"/>
          <w:color w:val="auto"/>
        </w:rPr>
        <w:t>extend the vesting period beyond a Participant’s Termination Date;</w:t>
      </w:r>
    </w:p>
    <w:p>
      <w:pPr>
        <w:spacing w:after="0" w:line="188" w:lineRule="exact"/>
        <w:rPr>
          <w:rFonts w:ascii="Arial" w:cs="Arial" w:eastAsia="Arial" w:hAnsi="Arial"/>
          <w:sz w:val="15"/>
          <w:szCs w:val="15"/>
          <w:color w:val="auto"/>
        </w:rPr>
      </w:pPr>
    </w:p>
    <w:p>
      <w:pPr>
        <w:ind w:right="220" w:firstLine="1478"/>
        <w:spacing w:after="0" w:line="275" w:lineRule="auto"/>
        <w:tabs>
          <w:tab w:leader="none" w:pos="1743" w:val="left"/>
        </w:tabs>
        <w:numPr>
          <w:ilvl w:val="0"/>
          <w:numId w:val="368"/>
        </w:numPr>
        <w:rPr>
          <w:rFonts w:ascii="Arial" w:cs="Arial" w:eastAsia="Arial" w:hAnsi="Arial"/>
          <w:sz w:val="15"/>
          <w:szCs w:val="15"/>
          <w:color w:val="auto"/>
        </w:rPr>
      </w:pPr>
      <w:r>
        <w:rPr>
          <w:rFonts w:ascii="Arial" w:cs="Arial" w:eastAsia="Arial" w:hAnsi="Arial"/>
          <w:sz w:val="15"/>
          <w:szCs w:val="15"/>
          <w:color w:val="auto"/>
        </w:rPr>
        <w:t>adopt rules and/or procedures (including the adoption of any subplan under this Plan) relating to the operation and administration of the Plan to accommodate requirements of local law and procedures outside of the United States;</w:t>
      </w:r>
    </w:p>
    <w:p>
      <w:pPr>
        <w:spacing w:after="0" w:line="146" w:lineRule="exact"/>
        <w:rPr>
          <w:rFonts w:ascii="Arial" w:cs="Arial" w:eastAsia="Arial" w:hAnsi="Arial"/>
          <w:sz w:val="15"/>
          <w:szCs w:val="15"/>
          <w:color w:val="auto"/>
        </w:rPr>
      </w:pPr>
    </w:p>
    <w:p>
      <w:pPr>
        <w:ind w:left="1700" w:hanging="222"/>
        <w:spacing w:after="0"/>
        <w:tabs>
          <w:tab w:leader="none" w:pos="1700" w:val="left"/>
        </w:tabs>
        <w:numPr>
          <w:ilvl w:val="0"/>
          <w:numId w:val="368"/>
        </w:numPr>
        <w:rPr>
          <w:rFonts w:ascii="Arial" w:cs="Arial" w:eastAsia="Arial" w:hAnsi="Arial"/>
          <w:sz w:val="13"/>
          <w:szCs w:val="13"/>
          <w:color w:val="auto"/>
        </w:rPr>
      </w:pPr>
      <w:r>
        <w:rPr>
          <w:rFonts w:ascii="Arial" w:cs="Arial" w:eastAsia="Arial" w:hAnsi="Arial"/>
          <w:sz w:val="13"/>
          <w:szCs w:val="13"/>
          <w:color w:val="auto"/>
        </w:rPr>
        <w:t>delegate any of the foregoing to a subcommittee consisting of one or more executive officers pursuant to a specific delegation as may otherwise be permitted by</w:t>
      </w:r>
    </w:p>
    <w:p>
      <w:pPr>
        <w:spacing w:after="0" w:line="40"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5"/>
          <w:szCs w:val="15"/>
          <w:color w:val="auto"/>
        </w:rPr>
        <w:t>applicable law;</w:t>
      </w:r>
    </w:p>
    <w:p>
      <w:pPr>
        <w:spacing w:after="0" w:line="178" w:lineRule="exact"/>
        <w:rPr>
          <w:rFonts w:ascii="Arial" w:cs="Arial" w:eastAsia="Arial" w:hAnsi="Arial"/>
          <w:sz w:val="13"/>
          <w:szCs w:val="13"/>
          <w:color w:val="auto"/>
        </w:rPr>
      </w:pPr>
    </w:p>
    <w:p>
      <w:pPr>
        <w:ind w:right="140" w:firstLine="1478"/>
        <w:spacing w:after="0" w:line="275" w:lineRule="auto"/>
        <w:tabs>
          <w:tab w:leader="none" w:pos="1701" w:val="left"/>
        </w:tabs>
        <w:numPr>
          <w:ilvl w:val="0"/>
          <w:numId w:val="368"/>
        </w:numPr>
        <w:rPr>
          <w:rFonts w:ascii="Arial" w:cs="Arial" w:eastAsia="Arial" w:hAnsi="Arial"/>
          <w:sz w:val="15"/>
          <w:szCs w:val="15"/>
          <w:color w:val="auto"/>
        </w:rPr>
      </w:pPr>
      <w:r>
        <w:rPr>
          <w:rFonts w:ascii="Arial" w:cs="Arial" w:eastAsia="Arial" w:hAnsi="Arial"/>
          <w:sz w:val="15"/>
          <w:szCs w:val="15"/>
          <w:color w:val="auto"/>
        </w:rPr>
        <w:t>change the vesting schedule of Awards under the Plan prospectively in the event that the Participant’s service status changes between full and part time status in accordance with Company policies relating to work schedules and vesting of awards; and</w:t>
      </w:r>
    </w:p>
    <w:p>
      <w:pPr>
        <w:spacing w:after="0" w:line="146" w:lineRule="exact"/>
        <w:rPr>
          <w:rFonts w:ascii="Arial" w:cs="Arial" w:eastAsia="Arial" w:hAnsi="Arial"/>
          <w:sz w:val="15"/>
          <w:szCs w:val="15"/>
          <w:color w:val="auto"/>
        </w:rPr>
      </w:pPr>
    </w:p>
    <w:p>
      <w:pPr>
        <w:ind w:left="1700" w:hanging="222"/>
        <w:spacing w:after="0"/>
        <w:tabs>
          <w:tab w:leader="none" w:pos="1700" w:val="left"/>
        </w:tabs>
        <w:numPr>
          <w:ilvl w:val="0"/>
          <w:numId w:val="368"/>
        </w:numPr>
        <w:rPr>
          <w:rFonts w:ascii="Arial" w:cs="Arial" w:eastAsia="Arial" w:hAnsi="Arial"/>
          <w:sz w:val="15"/>
          <w:szCs w:val="15"/>
          <w:color w:val="auto"/>
        </w:rPr>
      </w:pPr>
      <w:r>
        <w:rPr>
          <w:rFonts w:ascii="Arial" w:cs="Arial" w:eastAsia="Arial" w:hAnsi="Arial"/>
          <w:sz w:val="15"/>
          <w:szCs w:val="15"/>
          <w:color w:val="auto"/>
        </w:rPr>
        <w:t>make all other determinations necessary or advisable in connection with the administration of this Plan.</w:t>
      </w:r>
    </w:p>
    <w:p>
      <w:pPr>
        <w:spacing w:after="0" w:line="184" w:lineRule="exact"/>
        <w:rPr>
          <w:sz w:val="20"/>
          <w:szCs w:val="20"/>
          <w:color w:val="auto"/>
        </w:rPr>
      </w:pPr>
    </w:p>
    <w:p>
      <w:pPr>
        <w:ind w:right="40" w:firstLine="916"/>
        <w:spacing w:after="0" w:line="281" w:lineRule="auto"/>
        <w:rPr>
          <w:sz w:val="20"/>
          <w:szCs w:val="20"/>
          <w:color w:val="auto"/>
        </w:rPr>
      </w:pPr>
      <w:r>
        <w:rPr>
          <w:rFonts w:ascii="Arial" w:cs="Arial" w:eastAsia="Arial" w:hAnsi="Arial"/>
          <w:sz w:val="14"/>
          <w:szCs w:val="14"/>
          <w:b w:val="1"/>
          <w:bCs w:val="1"/>
          <w:color w:val="auto"/>
        </w:rPr>
        <w:t xml:space="preserve">12.2 </w:t>
      </w:r>
      <w:r>
        <w:rPr>
          <w:rFonts w:ascii="Arial" w:cs="Arial" w:eastAsia="Arial" w:hAnsi="Arial"/>
          <w:sz w:val="14"/>
          <w:szCs w:val="14"/>
          <w:b w:val="1"/>
          <w:bCs w:val="1"/>
          <w:u w:val="single" w:color="auto"/>
          <w:color w:val="auto"/>
        </w:rPr>
        <w:t>Committee Composition and Discretion</w:t>
      </w:r>
      <w:r>
        <w:rPr>
          <w:rFonts w:ascii="Arial" w:cs="Arial" w:eastAsia="Arial" w:hAnsi="Arial"/>
          <w:sz w:val="14"/>
          <w:szCs w:val="14"/>
          <w:color w:val="auto"/>
        </w:rPr>
        <w:t>. The Board may delegate full administrative authority over the Plan and Awards to a Committee consisting of at least one</w:t>
      </w:r>
      <w:r>
        <w:rPr>
          <w:rFonts w:ascii="Arial" w:cs="Arial" w:eastAsia="Arial" w:hAnsi="Arial"/>
          <w:sz w:val="14"/>
          <w:szCs w:val="14"/>
          <w:b w:val="1"/>
          <w:bCs w:val="1"/>
          <w:color w:val="auto"/>
        </w:rPr>
        <w:t xml:space="preserve"> </w:t>
      </w:r>
      <w:r>
        <w:rPr>
          <w:rFonts w:ascii="Arial" w:cs="Arial" w:eastAsia="Arial" w:hAnsi="Arial"/>
          <w:sz w:val="14"/>
          <w:szCs w:val="14"/>
          <w:color w:val="auto"/>
        </w:rPr>
        <w:t xml:space="preserve">member of the Board (or such greater number as may then be required by applicable law). Unless in contravention of any express terms of this Plan or Award, any determination made by the Committee with respect to any Award will be made in its sole discretion either (a) at the time of grant of the Award, or (b) subject to Section 4.9 hereof, at any later time. Any such determination will be final and binding on the Company and on all persons having an interest in any Award under this Plan. To the extent permitted by applicable law, the Committee may delegate to one or more officers of the Company the authority to grant an Award under this Plan, </w:t>
      </w:r>
      <w:r>
        <w:rPr>
          <w:rFonts w:ascii="Arial" w:cs="Arial" w:eastAsia="Arial" w:hAnsi="Arial"/>
          <w:sz w:val="14"/>
          <w:szCs w:val="14"/>
          <w:i w:val="1"/>
          <w:iCs w:val="1"/>
          <w:u w:val="single" w:color="auto"/>
          <w:color w:val="auto"/>
        </w:rPr>
        <w:t>provided</w:t>
      </w:r>
      <w:r>
        <w:rPr>
          <w:rFonts w:ascii="Arial" w:cs="Arial" w:eastAsia="Arial" w:hAnsi="Arial"/>
          <w:sz w:val="14"/>
          <w:szCs w:val="14"/>
          <w:color w:val="auto"/>
        </w:rPr>
        <w:t xml:space="preserve"> that each such officer is a member of the Board.</w:t>
      </w:r>
    </w:p>
    <w:p>
      <w:pPr>
        <w:spacing w:after="0" w:line="140" w:lineRule="exact"/>
        <w:rPr>
          <w:sz w:val="20"/>
          <w:szCs w:val="20"/>
          <w:color w:val="auto"/>
        </w:rPr>
      </w:pPr>
    </w:p>
    <w:p>
      <w:pPr>
        <w:ind w:right="400" w:firstLine="916"/>
        <w:spacing w:after="0" w:line="261" w:lineRule="auto"/>
        <w:rPr>
          <w:sz w:val="20"/>
          <w:szCs w:val="20"/>
          <w:color w:val="auto"/>
        </w:rPr>
      </w:pPr>
      <w:r>
        <w:rPr>
          <w:rFonts w:ascii="Arial" w:cs="Arial" w:eastAsia="Arial" w:hAnsi="Arial"/>
          <w:sz w:val="15"/>
          <w:szCs w:val="15"/>
          <w:b w:val="1"/>
          <w:bCs w:val="1"/>
          <w:color w:val="auto"/>
        </w:rPr>
        <w:t xml:space="preserve">12.3 </w:t>
      </w:r>
      <w:r>
        <w:rPr>
          <w:rFonts w:ascii="Arial" w:cs="Arial" w:eastAsia="Arial" w:hAnsi="Arial"/>
          <w:sz w:val="15"/>
          <w:szCs w:val="15"/>
          <w:b w:val="1"/>
          <w:bCs w:val="1"/>
          <w:u w:val="single" w:color="auto"/>
          <w:color w:val="auto"/>
        </w:rPr>
        <w:t>Nonexclusivity of the Plan</w:t>
      </w:r>
      <w:r>
        <w:rPr>
          <w:rFonts w:ascii="Arial" w:cs="Arial" w:eastAsia="Arial" w:hAnsi="Arial"/>
          <w:sz w:val="15"/>
          <w:szCs w:val="15"/>
          <w:color w:val="auto"/>
        </w:rPr>
        <w:t>. Neither the adoption of this Plan by the Board, the submission of this Plan to the stockholders of the Company for approval, nor any</w:t>
      </w:r>
      <w:r>
        <w:rPr>
          <w:rFonts w:ascii="Arial" w:cs="Arial" w:eastAsia="Arial" w:hAnsi="Arial"/>
          <w:sz w:val="15"/>
          <w:szCs w:val="15"/>
          <w:b w:val="1"/>
          <w:bCs w:val="1"/>
          <w:color w:val="auto"/>
        </w:rPr>
        <w:t xml:space="preserve"> </w:t>
      </w:r>
      <w:r>
        <w:rPr>
          <w:rFonts w:ascii="Arial" w:cs="Arial" w:eastAsia="Arial" w:hAnsi="Arial"/>
          <w:sz w:val="15"/>
          <w:szCs w:val="15"/>
          <w:color w:val="auto"/>
        </w:rPr>
        <w:t>provision of this Plan will be construed as creating any limitations on the power of the Board to adopt such additional compensation arrangements as it may deem desirable, including, without limitation, the granting of stock options and other equity awards otherwise than under this Plan, and such arrangements may be either generally applicable or applicable only in specific cases.</w:t>
      </w:r>
    </w:p>
    <w:p>
      <w:pPr>
        <w:spacing w:after="0" w:line="152" w:lineRule="exact"/>
        <w:rPr>
          <w:sz w:val="20"/>
          <w:szCs w:val="20"/>
          <w:color w:val="auto"/>
        </w:rPr>
      </w:pPr>
    </w:p>
    <w:p>
      <w:pPr>
        <w:ind w:right="40" w:firstLine="916"/>
        <w:spacing w:after="0" w:line="280" w:lineRule="auto"/>
        <w:rPr>
          <w:sz w:val="20"/>
          <w:szCs w:val="20"/>
          <w:color w:val="auto"/>
        </w:rPr>
      </w:pPr>
      <w:r>
        <w:rPr>
          <w:rFonts w:ascii="Arial" w:cs="Arial" w:eastAsia="Arial" w:hAnsi="Arial"/>
          <w:sz w:val="15"/>
          <w:szCs w:val="15"/>
          <w:b w:val="1"/>
          <w:bCs w:val="1"/>
          <w:color w:val="auto"/>
        </w:rPr>
        <w:t xml:space="preserve">12.4 </w:t>
      </w:r>
      <w:r>
        <w:rPr>
          <w:rFonts w:ascii="Arial" w:cs="Arial" w:eastAsia="Arial" w:hAnsi="Arial"/>
          <w:sz w:val="15"/>
          <w:szCs w:val="15"/>
          <w:b w:val="1"/>
          <w:bCs w:val="1"/>
          <w:u w:val="single" w:color="auto"/>
          <w:color w:val="auto"/>
        </w:rPr>
        <w:t>Governing Law</w:t>
      </w:r>
      <w:r>
        <w:rPr>
          <w:rFonts w:ascii="Arial" w:cs="Arial" w:eastAsia="Arial" w:hAnsi="Arial"/>
          <w:sz w:val="15"/>
          <w:szCs w:val="15"/>
          <w:color w:val="auto"/>
        </w:rPr>
        <w:t>. This Plan and all agreements hereunder shall be governed by and construed in accordance with the laws of the State of California, without giving effect</w:t>
      </w:r>
      <w:r>
        <w:rPr>
          <w:rFonts w:ascii="Arial" w:cs="Arial" w:eastAsia="Arial" w:hAnsi="Arial"/>
          <w:sz w:val="15"/>
          <w:szCs w:val="15"/>
          <w:b w:val="1"/>
          <w:bCs w:val="1"/>
          <w:color w:val="auto"/>
        </w:rPr>
        <w:t xml:space="preserve"> </w:t>
      </w:r>
      <w:r>
        <w:rPr>
          <w:rFonts w:ascii="Arial" w:cs="Arial" w:eastAsia="Arial" w:hAnsi="Arial"/>
          <w:sz w:val="15"/>
          <w:szCs w:val="15"/>
          <w:color w:val="auto"/>
        </w:rPr>
        <w:t>to that body of laws pertaining to conflict of laws.</w:t>
      </w:r>
    </w:p>
    <w:p>
      <w:pPr>
        <w:spacing w:after="0" w:line="229" w:lineRule="exact"/>
        <w:rPr>
          <w:sz w:val="20"/>
          <w:szCs w:val="20"/>
          <w:color w:val="auto"/>
        </w:rPr>
      </w:pPr>
    </w:p>
    <w:p>
      <w:pPr>
        <w:ind w:left="680" w:hanging="232"/>
        <w:spacing w:after="0"/>
        <w:tabs>
          <w:tab w:leader="none" w:pos="680" w:val="left"/>
        </w:tabs>
        <w:numPr>
          <w:ilvl w:val="0"/>
          <w:numId w:val="369"/>
        </w:numPr>
        <w:rPr>
          <w:rFonts w:ascii="Arial" w:cs="Arial" w:eastAsia="Arial" w:hAnsi="Arial"/>
          <w:sz w:val="15"/>
          <w:szCs w:val="15"/>
          <w:b w:val="1"/>
          <w:bCs w:val="1"/>
          <w:color w:val="auto"/>
        </w:rPr>
      </w:pPr>
      <w:r>
        <w:rPr>
          <w:rFonts w:ascii="Arial" w:cs="Arial" w:eastAsia="Arial" w:hAnsi="Arial"/>
          <w:sz w:val="15"/>
          <w:szCs w:val="15"/>
          <w:b w:val="1"/>
          <w:bCs w:val="1"/>
          <w:u w:val="single" w:color="auto"/>
          <w:color w:val="auto"/>
        </w:rPr>
        <w:t>EFFECTIVENESS, AMENDMENT AND TERMINATION OF THE PLAN</w:t>
      </w:r>
      <w:r>
        <w:rPr>
          <w:rFonts w:ascii="Arial" w:cs="Arial" w:eastAsia="Arial" w:hAnsi="Arial"/>
          <w:sz w:val="15"/>
          <w:szCs w:val="15"/>
          <w:b w:val="1"/>
          <w:bCs w:val="1"/>
          <w:color w:val="auto"/>
        </w:rPr>
        <w:t>.</w:t>
      </w:r>
    </w:p>
    <w:p>
      <w:pPr>
        <w:spacing w:after="0" w:line="98" w:lineRule="exact"/>
        <w:rPr>
          <w:sz w:val="20"/>
          <w:szCs w:val="20"/>
          <w:color w:val="auto"/>
        </w:rPr>
      </w:pPr>
    </w:p>
    <w:p>
      <w:pPr>
        <w:ind w:left="900"/>
        <w:spacing w:after="0"/>
        <w:rPr>
          <w:sz w:val="20"/>
          <w:szCs w:val="20"/>
          <w:color w:val="auto"/>
        </w:rPr>
      </w:pPr>
      <w:r>
        <w:rPr>
          <w:rFonts w:ascii="Arial" w:cs="Arial" w:eastAsia="Arial" w:hAnsi="Arial"/>
          <w:sz w:val="13"/>
          <w:szCs w:val="13"/>
          <w:b w:val="1"/>
          <w:bCs w:val="1"/>
          <w:color w:val="auto"/>
        </w:rPr>
        <w:t xml:space="preserve">13.1 </w:t>
      </w:r>
      <w:r>
        <w:rPr>
          <w:rFonts w:ascii="Arial" w:cs="Arial" w:eastAsia="Arial" w:hAnsi="Arial"/>
          <w:sz w:val="13"/>
          <w:szCs w:val="13"/>
          <w:b w:val="1"/>
          <w:bCs w:val="1"/>
          <w:u w:val="single" w:color="auto"/>
          <w:color w:val="auto"/>
        </w:rPr>
        <w:t>Adoption and Stockholder Approval</w:t>
      </w:r>
      <w:r>
        <w:rPr>
          <w:rFonts w:ascii="Arial" w:cs="Arial" w:eastAsia="Arial" w:hAnsi="Arial"/>
          <w:sz w:val="13"/>
          <w:szCs w:val="13"/>
          <w:color w:val="auto"/>
        </w:rPr>
        <w:t>. This Plan will become effective on the date that it is adopted by the Board (the “</w:t>
      </w:r>
      <w:r>
        <w:rPr>
          <w:rFonts w:ascii="Arial" w:cs="Arial" w:eastAsia="Arial" w:hAnsi="Arial"/>
          <w:sz w:val="13"/>
          <w:szCs w:val="13"/>
          <w:b w:val="1"/>
          <w:bCs w:val="1"/>
          <w:i w:val="1"/>
          <w:iCs w:val="1"/>
          <w:color w:val="auto"/>
        </w:rPr>
        <w:t>Effective Date</w:t>
      </w:r>
      <w:r>
        <w:rPr>
          <w:rFonts w:ascii="Arial" w:cs="Arial" w:eastAsia="Arial" w:hAnsi="Arial"/>
          <w:sz w:val="13"/>
          <w:szCs w:val="13"/>
          <w:color w:val="auto"/>
        </w:rPr>
        <w:t>”). This Plan will be approved by</w:t>
      </w:r>
    </w:p>
    <w:p>
      <w:pPr>
        <w:spacing w:after="0" w:line="44" w:lineRule="exact"/>
        <w:rPr>
          <w:sz w:val="20"/>
          <w:szCs w:val="20"/>
          <w:color w:val="auto"/>
        </w:rPr>
      </w:pPr>
    </w:p>
    <w:p>
      <w:pPr>
        <w:spacing w:after="0"/>
        <w:rPr>
          <w:sz w:val="20"/>
          <w:szCs w:val="20"/>
          <w:color w:val="auto"/>
        </w:rPr>
      </w:pPr>
      <w:r>
        <w:rPr>
          <w:rFonts w:ascii="Arial" w:cs="Arial" w:eastAsia="Arial" w:hAnsi="Arial"/>
          <w:sz w:val="15"/>
          <w:szCs w:val="15"/>
          <w:color w:val="auto"/>
        </w:rPr>
        <w:t>the</w:t>
      </w:r>
    </w:p>
    <w:p>
      <w:pPr>
        <w:spacing w:after="0" w:line="123"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12</w:t>
      </w:r>
    </w:p>
    <w:p>
      <w:pPr>
        <w:sectPr>
          <w:pgSz w:w="11900" w:h="16838" w:orient="portrait"/>
          <w:cols w:equalWidth="0" w:num="1">
            <w:col w:w="11440"/>
          </w:cols>
          <w:pgMar w:left="240" w:top="253" w:right="219" w:bottom="1440" w:gutter="0" w:footer="0" w:header="0"/>
        </w:sectPr>
      </w:pPr>
    </w:p>
    <w:bookmarkStart w:id="418" w:name="page419"/>
    <w:bookmarkEnd w:id="418"/>
    <w:p>
      <w:pPr>
        <w:spacing w:after="0" w:line="275" w:lineRule="auto"/>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133350</wp:posOffset>
            </wp:positionH>
            <wp:positionV relativeFrom="page">
              <wp:posOffset>88900</wp:posOffset>
            </wp:positionV>
            <wp:extent cx="7308850" cy="34290"/>
            <wp:wrapNone/>
            <wp:docPr id="594" name="Picture 5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4"/>
                    <pic:cNvPicPr>
                      <a:picLocks noChangeAspect="1" noChangeArrowheads="1"/>
                    </pic:cNvPicPr>
                  </pic:nvPicPr>
                  <pic:blipFill>
                    <a:blip r:embed="rId631">
                      <a:extLst>
                        <a:ext uri="{28A0092B-C50C-407E-A947-70E740481C1C}"/>
                      </a:extLst>
                    </a:blip>
                    <a:srcRect/>
                    <a:stretch>
                      <a:fillRect/>
                    </a:stretch>
                  </pic:blipFill>
                  <pic:spPr bwMode="auto">
                    <a:xfrm>
                      <a:off x="0" y="0"/>
                      <a:ext cx="7308850" cy="34290"/>
                    </a:xfrm>
                    <a:prstGeom prst="rect">
                      <a:avLst/>
                    </a:prstGeom>
                    <a:noFill/>
                  </pic:spPr>
                </pic:pic>
              </a:graphicData>
            </a:graphic>
          </wp:anchor>
        </w:drawing>
        <w:t xml:space="preserve">stockholders of the Company (excluding Shares issued pursuant to this Plan), consistent with applicable laws, within twelve (12) months before or after the Effective Date. Upon the Effective Date, the Board may grant Awards pursuant to this Plan; </w:t>
      </w:r>
      <w:r>
        <w:rPr>
          <w:rFonts w:ascii="Arial" w:cs="Arial" w:eastAsia="Arial" w:hAnsi="Arial"/>
          <w:sz w:val="14"/>
          <w:szCs w:val="14"/>
          <w:i w:val="1"/>
          <w:iCs w:val="1"/>
          <w:u w:val="single" w:color="auto"/>
          <w:color w:val="auto"/>
        </w:rPr>
        <w:t>provided</w:t>
      </w:r>
      <w:r>
        <w:rPr>
          <w:rFonts w:ascii="Arial" w:cs="Arial" w:eastAsia="Arial" w:hAnsi="Arial"/>
          <w:sz w:val="14"/>
          <w:szCs w:val="14"/>
          <w:color w:val="auto"/>
        </w:rPr>
        <w:t xml:space="preserve">, </w:t>
      </w:r>
      <w:r>
        <w:rPr>
          <w:rFonts w:ascii="Arial" w:cs="Arial" w:eastAsia="Arial" w:hAnsi="Arial"/>
          <w:sz w:val="14"/>
          <w:szCs w:val="14"/>
          <w:i w:val="1"/>
          <w:iCs w:val="1"/>
          <w:u w:val="single" w:color="auto"/>
          <w:color w:val="auto"/>
        </w:rPr>
        <w:t>however</w:t>
      </w:r>
      <w:r>
        <w:rPr>
          <w:rFonts w:ascii="Arial" w:cs="Arial" w:eastAsia="Arial" w:hAnsi="Arial"/>
          <w:sz w:val="14"/>
          <w:szCs w:val="14"/>
          <w:color w:val="auto"/>
        </w:rPr>
        <w:t>, that: (a) no Option or SAR may be exercised prior to initial stockholder approval of this Plan; (b) no Option or SAR granted pursuant to an increase in the number of Shares approved by the Board shall be exercised prior to the time such increase has been approved by the stockholders of the Company; (c) in the event that initial stockholder approval is not obtained within the time period provided herein, all Awards for which only the exemption from California’s securities qualification requirements provided by Section 25102(o) can apply shall be canceled, any Shares issued pursuant to any such Award shall be canceled and any purchase of such Shares issued hereunder shall be rescinded; and (d) Awards (to which only the exemption from California’s securities qualification requirements provided by Section 25102(o) can apply) granted pursuant to an increase in the number of Shares approved by the Board which increase is not approved by stockholders within the time then required under Section 25102(o) shall be canceled, any Shares issued pursuant to any such Awards shall be canceled, and any purchase of Shares subject to any such Award shall be rescinded.</w:t>
      </w:r>
    </w:p>
    <w:p>
      <w:pPr>
        <w:spacing w:after="0" w:line="144" w:lineRule="exact"/>
        <w:rPr>
          <w:sz w:val="20"/>
          <w:szCs w:val="20"/>
          <w:color w:val="auto"/>
        </w:rPr>
      </w:pPr>
    </w:p>
    <w:p>
      <w:pPr>
        <w:ind w:right="160" w:firstLine="916"/>
        <w:spacing w:after="0" w:line="280" w:lineRule="auto"/>
        <w:rPr>
          <w:sz w:val="20"/>
          <w:szCs w:val="20"/>
          <w:color w:val="auto"/>
        </w:rPr>
      </w:pPr>
      <w:r>
        <w:rPr>
          <w:rFonts w:ascii="Arial" w:cs="Arial" w:eastAsia="Arial" w:hAnsi="Arial"/>
          <w:sz w:val="15"/>
          <w:szCs w:val="15"/>
          <w:b w:val="1"/>
          <w:bCs w:val="1"/>
          <w:color w:val="auto"/>
        </w:rPr>
        <w:t xml:space="preserve">13.2 </w:t>
      </w:r>
      <w:r>
        <w:rPr>
          <w:rFonts w:ascii="Arial" w:cs="Arial" w:eastAsia="Arial" w:hAnsi="Arial"/>
          <w:sz w:val="15"/>
          <w:szCs w:val="15"/>
          <w:b w:val="1"/>
          <w:bCs w:val="1"/>
          <w:u w:val="single" w:color="auto"/>
          <w:color w:val="auto"/>
        </w:rPr>
        <w:t>Term of Plan</w:t>
      </w:r>
      <w:r>
        <w:rPr>
          <w:rFonts w:ascii="Arial" w:cs="Arial" w:eastAsia="Arial" w:hAnsi="Arial"/>
          <w:sz w:val="15"/>
          <w:szCs w:val="15"/>
          <w:color w:val="auto"/>
        </w:rPr>
        <w:t>. Unless earlier terminated as provided herein, this Plan will automatically terminate ten (10) years after the later of (i) the Effective Date, or (ii) the most</w:t>
      </w:r>
      <w:r>
        <w:rPr>
          <w:rFonts w:ascii="Arial" w:cs="Arial" w:eastAsia="Arial" w:hAnsi="Arial"/>
          <w:sz w:val="15"/>
          <w:szCs w:val="15"/>
          <w:b w:val="1"/>
          <w:bCs w:val="1"/>
          <w:color w:val="auto"/>
        </w:rPr>
        <w:t xml:space="preserve"> </w:t>
      </w:r>
      <w:r>
        <w:rPr>
          <w:rFonts w:ascii="Arial" w:cs="Arial" w:eastAsia="Arial" w:hAnsi="Arial"/>
          <w:sz w:val="15"/>
          <w:szCs w:val="15"/>
          <w:color w:val="auto"/>
        </w:rPr>
        <w:t>recent increase in the number of Shares reserved under Section 2 that was approved by stockholders.</w:t>
      </w:r>
    </w:p>
    <w:p>
      <w:pPr>
        <w:spacing w:after="0" w:line="139" w:lineRule="exact"/>
        <w:rPr>
          <w:sz w:val="20"/>
          <w:szCs w:val="20"/>
          <w:color w:val="auto"/>
        </w:rPr>
      </w:pPr>
    </w:p>
    <w:p>
      <w:pPr>
        <w:ind w:right="80" w:firstLine="916"/>
        <w:spacing w:after="0" w:line="257" w:lineRule="auto"/>
        <w:rPr>
          <w:sz w:val="20"/>
          <w:szCs w:val="20"/>
          <w:color w:val="auto"/>
        </w:rPr>
      </w:pPr>
      <w:r>
        <w:rPr>
          <w:rFonts w:ascii="Arial" w:cs="Arial" w:eastAsia="Arial" w:hAnsi="Arial"/>
          <w:sz w:val="15"/>
          <w:szCs w:val="15"/>
          <w:b w:val="1"/>
          <w:bCs w:val="1"/>
          <w:color w:val="auto"/>
        </w:rPr>
        <w:t xml:space="preserve">13.3 </w:t>
      </w:r>
      <w:r>
        <w:rPr>
          <w:rFonts w:ascii="Arial" w:cs="Arial" w:eastAsia="Arial" w:hAnsi="Arial"/>
          <w:sz w:val="15"/>
          <w:szCs w:val="15"/>
          <w:b w:val="1"/>
          <w:bCs w:val="1"/>
          <w:u w:val="single" w:color="auto"/>
          <w:color w:val="auto"/>
        </w:rPr>
        <w:t>Amendment or Termination of Plan</w:t>
      </w:r>
      <w:r>
        <w:rPr>
          <w:rFonts w:ascii="Arial" w:cs="Arial" w:eastAsia="Arial" w:hAnsi="Arial"/>
          <w:sz w:val="15"/>
          <w:szCs w:val="15"/>
          <w:color w:val="auto"/>
        </w:rPr>
        <w:t>. Subject to Section 4.9 hereof, the Board may at any time (a) terminate or amend this Plan in any respect, including without</w:t>
      </w:r>
      <w:r>
        <w:rPr>
          <w:rFonts w:ascii="Arial" w:cs="Arial" w:eastAsia="Arial" w:hAnsi="Arial"/>
          <w:sz w:val="15"/>
          <w:szCs w:val="15"/>
          <w:b w:val="1"/>
          <w:bCs w:val="1"/>
          <w:color w:val="auto"/>
        </w:rPr>
        <w:t xml:space="preserve"> </w:t>
      </w:r>
      <w:r>
        <w:rPr>
          <w:rFonts w:ascii="Arial" w:cs="Arial" w:eastAsia="Arial" w:hAnsi="Arial"/>
          <w:sz w:val="15"/>
          <w:szCs w:val="15"/>
          <w:color w:val="auto"/>
        </w:rPr>
        <w:t xml:space="preserve">limitation amendment of any form of Award Agreement or instrument to be executed pursuant to this Plan and (b) terminate any and all outstanding Options, SARs or RSUs upon a dissolution or liquidation of the Company, followed by the payment of creditors and the distribution of any remaining funds to the Company’s stockholders; </w:t>
      </w:r>
      <w:r>
        <w:rPr>
          <w:rFonts w:ascii="Arial" w:cs="Arial" w:eastAsia="Arial" w:hAnsi="Arial"/>
          <w:sz w:val="15"/>
          <w:szCs w:val="15"/>
          <w:i w:val="1"/>
          <w:iCs w:val="1"/>
          <w:u w:val="single" w:color="auto"/>
          <w:color w:val="auto"/>
        </w:rPr>
        <w:t>provided</w:t>
      </w:r>
      <w:r>
        <w:rPr>
          <w:rFonts w:ascii="Arial" w:cs="Arial" w:eastAsia="Arial" w:hAnsi="Arial"/>
          <w:sz w:val="15"/>
          <w:szCs w:val="15"/>
          <w:color w:val="auto"/>
        </w:rPr>
        <w:t xml:space="preserve">, </w:t>
      </w:r>
      <w:r>
        <w:rPr>
          <w:rFonts w:ascii="Arial" w:cs="Arial" w:eastAsia="Arial" w:hAnsi="Arial"/>
          <w:sz w:val="15"/>
          <w:szCs w:val="15"/>
          <w:i w:val="1"/>
          <w:iCs w:val="1"/>
          <w:u w:val="single" w:color="auto"/>
          <w:color w:val="auto"/>
        </w:rPr>
        <w:t>however</w:t>
      </w:r>
      <w:r>
        <w:rPr>
          <w:rFonts w:ascii="Arial" w:cs="Arial" w:eastAsia="Arial" w:hAnsi="Arial"/>
          <w:sz w:val="15"/>
          <w:szCs w:val="15"/>
          <w:color w:val="auto"/>
        </w:rPr>
        <w:t>, that the Board will not, without the approval of the stockholders of the Company, amend this Plan in any manner that requires such stockholder approval pursuant to Section 25102(o) or pursuant to the Code or the regulations promulgated under the Code as such provisions apply to ISO plans. The termination of the Plan, or any amendment thereof, shall not affect any Share previously issued or any Award previously granted under the Plan.</w:t>
      </w:r>
    </w:p>
    <w:p>
      <w:pPr>
        <w:spacing w:after="0" w:line="245" w:lineRule="exact"/>
        <w:rPr>
          <w:sz w:val="20"/>
          <w:szCs w:val="20"/>
          <w:color w:val="auto"/>
        </w:rPr>
      </w:pPr>
    </w:p>
    <w:p>
      <w:pPr>
        <w:ind w:left="900" w:right="4640" w:hanging="452"/>
        <w:spacing w:after="0" w:line="406" w:lineRule="auto"/>
        <w:tabs>
          <w:tab w:leader="none" w:pos="668" w:val="left"/>
        </w:tabs>
        <w:numPr>
          <w:ilvl w:val="0"/>
          <w:numId w:val="370"/>
        </w:numPr>
        <w:rPr>
          <w:rFonts w:ascii="Arial" w:cs="Arial" w:eastAsia="Arial" w:hAnsi="Arial"/>
          <w:sz w:val="15"/>
          <w:szCs w:val="15"/>
          <w:b w:val="1"/>
          <w:bCs w:val="1"/>
          <w:color w:val="auto"/>
        </w:rPr>
      </w:pPr>
      <w:r>
        <w:rPr>
          <w:rFonts w:ascii="Arial" w:cs="Arial" w:eastAsia="Arial" w:hAnsi="Arial"/>
          <w:sz w:val="15"/>
          <w:szCs w:val="15"/>
          <w:b w:val="1"/>
          <w:bCs w:val="1"/>
          <w:u w:val="single" w:color="auto"/>
          <w:color w:val="auto"/>
        </w:rPr>
        <w:t>DEFINITIONS</w:t>
      </w:r>
      <w:r>
        <w:rPr>
          <w:rFonts w:ascii="Arial" w:cs="Arial" w:eastAsia="Arial" w:hAnsi="Arial"/>
          <w:sz w:val="15"/>
          <w:szCs w:val="15"/>
          <w:b w:val="1"/>
          <w:bCs w:val="1"/>
          <w:color w:val="auto"/>
        </w:rPr>
        <w:t xml:space="preserve">. </w:t>
      </w:r>
      <w:r>
        <w:rPr>
          <w:rFonts w:ascii="Arial" w:cs="Arial" w:eastAsia="Arial" w:hAnsi="Arial"/>
          <w:sz w:val="15"/>
          <w:szCs w:val="15"/>
          <w:color w:val="auto"/>
        </w:rPr>
        <w:t>For all purposes of this Plan, the following terms will have the following meanings.</w:t>
      </w:r>
      <w:r>
        <w:rPr>
          <w:rFonts w:ascii="Arial" w:cs="Arial" w:eastAsia="Arial" w:hAnsi="Arial"/>
          <w:sz w:val="15"/>
          <w:szCs w:val="15"/>
          <w:b w:val="1"/>
          <w:bCs w:val="1"/>
          <w:color w:val="auto"/>
        </w:rPr>
        <w:t xml:space="preserve"> </w:t>
      </w:r>
      <w:r>
        <w:rPr>
          <w:rFonts w:ascii="Arial" w:cs="Arial" w:eastAsia="Arial" w:hAnsi="Arial"/>
          <w:sz w:val="15"/>
          <w:szCs w:val="15"/>
          <w:color w:val="auto"/>
        </w:rPr>
        <w:t>“</w:t>
      </w:r>
      <w:r>
        <w:rPr>
          <w:rFonts w:ascii="Arial" w:cs="Arial" w:eastAsia="Arial" w:hAnsi="Arial"/>
          <w:sz w:val="15"/>
          <w:szCs w:val="15"/>
          <w:b w:val="1"/>
          <w:bCs w:val="1"/>
          <w:i w:val="1"/>
          <w:iCs w:val="1"/>
          <w:color w:val="auto"/>
        </w:rPr>
        <w:t>Acquisition</w:t>
      </w:r>
      <w:r>
        <w:rPr>
          <w:rFonts w:ascii="Arial" w:cs="Arial" w:eastAsia="Arial" w:hAnsi="Arial"/>
          <w:sz w:val="15"/>
          <w:szCs w:val="15"/>
          <w:color w:val="auto"/>
        </w:rPr>
        <w:t>,” for purposes of Section 11, means:</w:t>
      </w:r>
    </w:p>
    <w:p>
      <w:pPr>
        <w:spacing w:after="0" w:line="52" w:lineRule="exact"/>
        <w:rPr>
          <w:rFonts w:ascii="Arial" w:cs="Arial" w:eastAsia="Arial" w:hAnsi="Arial"/>
          <w:sz w:val="15"/>
          <w:szCs w:val="15"/>
          <w:b w:val="1"/>
          <w:bCs w:val="1"/>
          <w:color w:val="auto"/>
        </w:rPr>
      </w:pPr>
    </w:p>
    <w:p>
      <w:pPr>
        <w:ind w:right="60" w:firstLine="1478"/>
        <w:spacing w:after="0" w:line="283" w:lineRule="auto"/>
        <w:tabs>
          <w:tab w:leader="none" w:pos="1692" w:val="left"/>
        </w:tabs>
        <w:numPr>
          <w:ilvl w:val="1"/>
          <w:numId w:val="370"/>
        </w:numPr>
        <w:rPr>
          <w:rFonts w:ascii="Arial" w:cs="Arial" w:eastAsia="Arial" w:hAnsi="Arial"/>
          <w:sz w:val="14"/>
          <w:szCs w:val="14"/>
          <w:color w:val="auto"/>
        </w:rPr>
      </w:pPr>
      <w:r>
        <w:rPr>
          <w:rFonts w:ascii="Arial" w:cs="Arial" w:eastAsia="Arial" w:hAnsi="Arial"/>
          <w:sz w:val="14"/>
          <w:szCs w:val="14"/>
          <w:color w:val="auto"/>
        </w:rPr>
        <w:t>any consolidation or merger in which the Company is a constituent entity or is a party in which the voting stock and other voting securities of the Company that are outstanding immediately prior to the consummation of such consolidation or merger represent, or are converted into, securities of the surviving entity of such consolidation or merger (or of any Parent of such surviving entity) that, immediately after the consummation of such consolidation or merger, together possess less than fifty percent (50%) of the total voting power of all voting securities of such surviving entity (or of any of its Parents, if any) that are outstanding immediately after the consummation of such consolidation or merger;</w:t>
      </w:r>
    </w:p>
    <w:p>
      <w:pPr>
        <w:spacing w:after="0" w:line="142" w:lineRule="exact"/>
        <w:rPr>
          <w:rFonts w:ascii="Arial" w:cs="Arial" w:eastAsia="Arial" w:hAnsi="Arial"/>
          <w:sz w:val="14"/>
          <w:szCs w:val="14"/>
          <w:color w:val="auto"/>
        </w:rPr>
      </w:pPr>
    </w:p>
    <w:p>
      <w:pPr>
        <w:ind w:right="40" w:firstLine="1478"/>
        <w:spacing w:after="0" w:line="259" w:lineRule="auto"/>
        <w:tabs>
          <w:tab w:leader="none" w:pos="1701" w:val="left"/>
        </w:tabs>
        <w:numPr>
          <w:ilvl w:val="1"/>
          <w:numId w:val="370"/>
        </w:numPr>
        <w:rPr>
          <w:rFonts w:ascii="Arial" w:cs="Arial" w:eastAsia="Arial" w:hAnsi="Arial"/>
          <w:sz w:val="15"/>
          <w:szCs w:val="15"/>
          <w:color w:val="auto"/>
        </w:rPr>
      </w:pPr>
      <w:r>
        <w:rPr>
          <w:rFonts w:ascii="Arial" w:cs="Arial" w:eastAsia="Arial" w:hAnsi="Arial"/>
          <w:sz w:val="15"/>
          <w:szCs w:val="15"/>
          <w:color w:val="auto"/>
        </w:rPr>
        <w:t>a sale or other transfer by the holders thereof of outstanding voting stock and/or other voting securities of the Company possessing more than fifty percent (50%) of the total voting power of all outstanding voting securities of the Company, whether in one transaction or in a series of related transactions, pursuant to an agreement or agreements to which the Company is a party and that has been approved by the Board, and pursuant to which such outstanding voting securities are sold or transferred to a single person or entity, to one or more persons or entities who are Affiliates of each other, or to one or more persons or entities acting in concert; or</w:t>
      </w:r>
    </w:p>
    <w:p>
      <w:pPr>
        <w:spacing w:after="0" w:line="10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13</w:t>
      </w:r>
    </w:p>
    <w:p>
      <w:pPr>
        <w:sectPr>
          <w:pgSz w:w="11900" w:h="16838" w:orient="portrait"/>
          <w:cols w:equalWidth="0" w:num="1">
            <w:col w:w="11420"/>
          </w:cols>
          <w:pgMar w:left="240" w:top="253" w:right="239" w:bottom="1440" w:gutter="0" w:footer="0" w:header="0"/>
        </w:sectPr>
      </w:pPr>
    </w:p>
    <w:bookmarkStart w:id="419" w:name="page420"/>
    <w:bookmarkEnd w:id="419"/>
    <w:p>
      <w:pPr>
        <w:ind w:firstLine="1478"/>
        <w:spacing w:after="0" w:line="283" w:lineRule="auto"/>
        <w:tabs>
          <w:tab w:leader="none" w:pos="1692" w:val="left"/>
        </w:tabs>
        <w:numPr>
          <w:ilvl w:val="0"/>
          <w:numId w:val="371"/>
        </w:numPr>
        <w:rPr>
          <w:rFonts w:ascii="Arial" w:cs="Arial" w:eastAsia="Arial" w:hAnsi="Arial"/>
          <w:sz w:val="14"/>
          <w:szCs w:val="14"/>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133350</wp:posOffset>
            </wp:positionH>
            <wp:positionV relativeFrom="page">
              <wp:posOffset>88900</wp:posOffset>
            </wp:positionV>
            <wp:extent cx="7308850" cy="34290"/>
            <wp:wrapNone/>
            <wp:docPr id="595" name="Picture 5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5"/>
                    <pic:cNvPicPr>
                      <a:picLocks noChangeAspect="1" noChangeArrowheads="1"/>
                    </pic:cNvPicPr>
                  </pic:nvPicPr>
                  <pic:blipFill>
                    <a:blip r:embed="rId632">
                      <a:extLst>
                        <a:ext uri="{28A0092B-C50C-407E-A947-70E740481C1C}"/>
                      </a:extLst>
                    </a:blip>
                    <a:srcRect/>
                    <a:stretch>
                      <a:fillRect/>
                    </a:stretch>
                  </pic:blipFill>
                  <pic:spPr bwMode="auto">
                    <a:xfrm>
                      <a:off x="0" y="0"/>
                      <a:ext cx="7308850" cy="34290"/>
                    </a:xfrm>
                    <a:prstGeom prst="rect">
                      <a:avLst/>
                    </a:prstGeom>
                    <a:noFill/>
                  </pic:spPr>
                </pic:pic>
              </a:graphicData>
            </a:graphic>
          </wp:anchor>
        </w:drawing>
        <w:t>the sale, lease, transfer or other disposition, in a single transaction or series of related transactions, by the Company and/or any Subsidiary or Subsidiaries of the Company, of all or substantially all the assets of the Company and its Subsidiaries taken as a whole, (or, if substantially all of the assets of the Company and its Subsidiaries taken as a whole are held by one or more Subsidiaries, the sale or disposition (whether by consolidation, merger, conversion or otherwise) of such Subsidiaries of the Company), except where such sale, lease, transfer or other disposition is made to the Company or one or more wholly owned Subsidiaries of the Company (an “</w:t>
      </w:r>
      <w:r>
        <w:rPr>
          <w:rFonts w:ascii="Arial" w:cs="Arial" w:eastAsia="Arial" w:hAnsi="Arial"/>
          <w:sz w:val="14"/>
          <w:szCs w:val="14"/>
          <w:b w:val="1"/>
          <w:bCs w:val="1"/>
          <w:i w:val="1"/>
          <w:iCs w:val="1"/>
          <w:color w:val="auto"/>
        </w:rPr>
        <w:t>Acquisition by Sale of Assets</w:t>
      </w:r>
      <w:r>
        <w:rPr>
          <w:rFonts w:ascii="Arial" w:cs="Arial" w:eastAsia="Arial" w:hAnsi="Arial"/>
          <w:sz w:val="14"/>
          <w:szCs w:val="14"/>
          <w:color w:val="auto"/>
        </w:rPr>
        <w:t>”).</w:t>
      </w:r>
    </w:p>
    <w:p>
      <w:pPr>
        <w:spacing w:after="0" w:line="143" w:lineRule="exact"/>
        <w:rPr>
          <w:sz w:val="20"/>
          <w:szCs w:val="20"/>
          <w:color w:val="auto"/>
        </w:rPr>
      </w:pPr>
    </w:p>
    <w:p>
      <w:pPr>
        <w:ind w:right="480" w:firstLine="879"/>
        <w:spacing w:after="0" w:line="259" w:lineRule="auto"/>
        <w:rPr>
          <w:sz w:val="20"/>
          <w:szCs w:val="20"/>
          <w:color w:val="auto"/>
        </w:rPr>
      </w:pPr>
      <w:r>
        <w:rPr>
          <w:rFonts w:ascii="Arial" w:cs="Arial" w:eastAsia="Arial" w:hAnsi="Arial"/>
          <w:sz w:val="15"/>
          <w:szCs w:val="15"/>
          <w:b w:val="1"/>
          <w:bCs w:val="1"/>
          <w:i w:val="1"/>
          <w:iCs w:val="1"/>
          <w:color w:val="auto"/>
        </w:rPr>
        <w:t xml:space="preserve">“Affiliate” </w:t>
      </w:r>
      <w:r>
        <w:rPr>
          <w:rFonts w:ascii="Arial" w:cs="Arial" w:eastAsia="Arial" w:hAnsi="Arial"/>
          <w:sz w:val="15"/>
          <w:szCs w:val="15"/>
          <w:color w:val="auto"/>
        </w:rPr>
        <w:t>of a specified person means a person that directly, or indirectly through one or more intermediaries, controls or is controlled by, or is under common control</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 xml:space="preserve">with, the person specified (where, for purposes of this definition, the term </w:t>
      </w:r>
      <w:r>
        <w:rPr>
          <w:rFonts w:ascii="Arial" w:cs="Arial" w:eastAsia="Arial" w:hAnsi="Arial"/>
          <w:sz w:val="15"/>
          <w:szCs w:val="15"/>
          <w:b w:val="1"/>
          <w:bCs w:val="1"/>
          <w:i w:val="1"/>
          <w:iCs w:val="1"/>
          <w:color w:val="auto"/>
        </w:rPr>
        <w:t>“control”</w:t>
      </w:r>
      <w:r>
        <w:rPr>
          <w:rFonts w:ascii="Arial" w:cs="Arial" w:eastAsia="Arial" w:hAnsi="Arial"/>
          <w:sz w:val="15"/>
          <w:szCs w:val="15"/>
          <w:color w:val="auto"/>
        </w:rPr>
        <w:t xml:space="preserve"> (including the terms </w:t>
      </w:r>
      <w:r>
        <w:rPr>
          <w:rFonts w:ascii="Arial" w:cs="Arial" w:eastAsia="Arial" w:hAnsi="Arial"/>
          <w:sz w:val="15"/>
          <w:szCs w:val="15"/>
          <w:b w:val="1"/>
          <w:bCs w:val="1"/>
          <w:i w:val="1"/>
          <w:iCs w:val="1"/>
          <w:color w:val="auto"/>
        </w:rPr>
        <w:t>controlling, controlled by</w:t>
      </w:r>
      <w:r>
        <w:rPr>
          <w:rFonts w:ascii="Arial" w:cs="Arial" w:eastAsia="Arial" w:hAnsi="Arial"/>
          <w:sz w:val="15"/>
          <w:szCs w:val="15"/>
          <w:color w:val="auto"/>
        </w:rPr>
        <w:t xml:space="preserve"> and </w:t>
      </w:r>
      <w:r>
        <w:rPr>
          <w:rFonts w:ascii="Arial" w:cs="Arial" w:eastAsia="Arial" w:hAnsi="Arial"/>
          <w:sz w:val="15"/>
          <w:szCs w:val="15"/>
          <w:b w:val="1"/>
          <w:bCs w:val="1"/>
          <w:i w:val="1"/>
          <w:iCs w:val="1"/>
          <w:color w:val="auto"/>
        </w:rPr>
        <w:t>under common control with</w:t>
      </w:r>
      <w:r>
        <w:rPr>
          <w:rFonts w:ascii="Arial" w:cs="Arial" w:eastAsia="Arial" w:hAnsi="Arial"/>
          <w:sz w:val="15"/>
          <w:szCs w:val="15"/>
          <w:color w:val="auto"/>
        </w:rPr>
        <w:t>) means the possession, direct or indirect, of the power to direct or cause the direction of the management and policies of a person, whether through the ownership of voting securities, by contract, or otherwise.</w:t>
      </w:r>
    </w:p>
    <w:p>
      <w:pPr>
        <w:spacing w:after="0" w:line="158" w:lineRule="exact"/>
        <w:rPr>
          <w:sz w:val="20"/>
          <w:szCs w:val="20"/>
          <w:color w:val="auto"/>
        </w:rPr>
      </w:pPr>
    </w:p>
    <w:p>
      <w:pPr>
        <w:ind w:left="90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i w:val="1"/>
          <w:iCs w:val="1"/>
          <w:color w:val="auto"/>
        </w:rPr>
        <w:t>Award</w:t>
      </w:r>
      <w:r>
        <w:rPr>
          <w:rFonts w:ascii="Arial" w:cs="Arial" w:eastAsia="Arial" w:hAnsi="Arial"/>
          <w:sz w:val="14"/>
          <w:szCs w:val="14"/>
          <w:color w:val="auto"/>
        </w:rPr>
        <w:t>” means any award pursuant to the terms and conditions of this Plan, including any Option, Restricted Stock Unit, Stock Appreciation Right or Restricted Stock</w:t>
      </w:r>
    </w:p>
    <w:p>
      <w:pPr>
        <w:spacing w:after="0" w:line="29" w:lineRule="exact"/>
        <w:rPr>
          <w:sz w:val="20"/>
          <w:szCs w:val="20"/>
          <w:color w:val="auto"/>
        </w:rPr>
      </w:pPr>
    </w:p>
    <w:p>
      <w:pPr>
        <w:spacing w:after="0"/>
        <w:rPr>
          <w:sz w:val="20"/>
          <w:szCs w:val="20"/>
          <w:color w:val="auto"/>
        </w:rPr>
      </w:pPr>
      <w:r>
        <w:rPr>
          <w:rFonts w:ascii="Arial" w:cs="Arial" w:eastAsia="Arial" w:hAnsi="Arial"/>
          <w:sz w:val="15"/>
          <w:szCs w:val="15"/>
          <w:color w:val="auto"/>
        </w:rPr>
        <w:t>Award.</w:t>
      </w:r>
    </w:p>
    <w:p>
      <w:pPr>
        <w:spacing w:after="0" w:line="179" w:lineRule="exact"/>
        <w:rPr>
          <w:sz w:val="20"/>
          <w:szCs w:val="20"/>
          <w:color w:val="auto"/>
        </w:rPr>
      </w:pPr>
    </w:p>
    <w:p>
      <w:pPr>
        <w:ind w:right="380" w:firstLine="916"/>
        <w:spacing w:after="0" w:line="312" w:lineRule="auto"/>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i w:val="1"/>
          <w:iCs w:val="1"/>
          <w:color w:val="auto"/>
        </w:rPr>
        <w:t>Award Agreement</w:t>
      </w:r>
      <w:r>
        <w:rPr>
          <w:rFonts w:ascii="Arial" w:cs="Arial" w:eastAsia="Arial" w:hAnsi="Arial"/>
          <w:sz w:val="14"/>
          <w:szCs w:val="14"/>
          <w:color w:val="auto"/>
        </w:rPr>
        <w:t>” means, with respect to each Award, the signed written or electronic agreement between the Company and the Participant setting forth the terms and conditions of the Award as approved by the Committee. For purposes of the Plan, the Award Agreement may be executed via written or electronic means.</w:t>
      </w:r>
    </w:p>
    <w:p>
      <w:pPr>
        <w:spacing w:after="0" w:line="123" w:lineRule="exact"/>
        <w:rPr>
          <w:sz w:val="20"/>
          <w:szCs w:val="20"/>
          <w:color w:val="auto"/>
        </w:rPr>
      </w:pPr>
    </w:p>
    <w:p>
      <w:pPr>
        <w:ind w:left="90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i w:val="1"/>
          <w:iCs w:val="1"/>
          <w:color w:val="auto"/>
        </w:rPr>
        <w:t>Board</w:t>
      </w:r>
      <w:r>
        <w:rPr>
          <w:rFonts w:ascii="Arial" w:cs="Arial" w:eastAsia="Arial" w:hAnsi="Arial"/>
          <w:sz w:val="15"/>
          <w:szCs w:val="15"/>
          <w:color w:val="auto"/>
        </w:rPr>
        <w:t>” means the Board of Directors of the Company.</w:t>
      </w:r>
    </w:p>
    <w:p>
      <w:pPr>
        <w:spacing w:after="0" w:line="188" w:lineRule="exact"/>
        <w:rPr>
          <w:sz w:val="20"/>
          <w:szCs w:val="20"/>
          <w:color w:val="auto"/>
        </w:rPr>
      </w:pPr>
    </w:p>
    <w:p>
      <w:pPr>
        <w:ind w:firstLine="916"/>
        <w:spacing w:after="0" w:line="296" w:lineRule="auto"/>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i w:val="1"/>
          <w:iCs w:val="1"/>
          <w:color w:val="auto"/>
        </w:rPr>
        <w:t>Cause</w:t>
      </w:r>
      <w:r>
        <w:rPr>
          <w:rFonts w:ascii="Arial" w:cs="Arial" w:eastAsia="Arial" w:hAnsi="Arial"/>
          <w:sz w:val="13"/>
          <w:szCs w:val="13"/>
          <w:color w:val="auto"/>
        </w:rPr>
        <w:t>” means Termination because of (i) any willful, material violation by the Participant of any law or regulation applicable to the business of the Company or a Parent or Subsidiary of the Company, the Participant’s conviction for, or guilty plea to, a felony or a crime involving moral turpitude, or any willful perpetration by the Participant of a common law fraud, (ii) the Participant’s commission of an act of personal dishonesty which involves personal profit in connection with the Company or any other entity having a business relationship with the Company, (iii) any material breach by the Participant of any provision of any agreement or understanding between the Company or any Parent or Subsidiary of the Company and the Participant regarding the terms of the Participant’s service as an employee, officer, director or consultant to the Company or a Parent or Subsidiary of the Company, including without limitation, the willful and continued failure or refusal of the Participant to perform the material duties required of such Participant as an employee, officer, director or consultant of the Company or a Parent or Subsidiary of the Company, other than as a result of having a Disability, or a breach of any applicable invention assignment and confidentiality agreement or similar agreement between the Company or a Parent or Subsidiary of the Company and the Participant, (iv) Participant’s disregard of the policies of the Company or any Parent or Subsidiary of the Company so as to cause loss, damage or injury to the property, reputation or employees of the Company or a Parent or Subsidiary of the Company, or (v) any other misconduct by the Participant which is materially injurious to the financial condition or business reputation of, or is otherwise materially injurious to, the Company or a Parent or Subsidiary of the Company.</w:t>
      </w:r>
    </w:p>
    <w:p>
      <w:pPr>
        <w:spacing w:after="0" w:line="141" w:lineRule="exact"/>
        <w:rPr>
          <w:sz w:val="20"/>
          <w:szCs w:val="20"/>
          <w:color w:val="auto"/>
        </w:rPr>
      </w:pPr>
    </w:p>
    <w:p>
      <w:pPr>
        <w:ind w:left="90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i w:val="1"/>
          <w:iCs w:val="1"/>
          <w:color w:val="auto"/>
        </w:rPr>
        <w:t>Code</w:t>
      </w:r>
      <w:r>
        <w:rPr>
          <w:rFonts w:ascii="Arial" w:cs="Arial" w:eastAsia="Arial" w:hAnsi="Arial"/>
          <w:sz w:val="15"/>
          <w:szCs w:val="15"/>
          <w:color w:val="auto"/>
        </w:rPr>
        <w:t>” means the Internal Revenue Code of 1986, as amended.</w:t>
      </w:r>
    </w:p>
    <w:p>
      <w:pPr>
        <w:spacing w:after="0" w:line="132"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14</w:t>
      </w:r>
    </w:p>
    <w:p>
      <w:pPr>
        <w:sectPr>
          <w:pgSz w:w="11900" w:h="16838" w:orient="portrait"/>
          <w:cols w:equalWidth="0" w:num="1">
            <w:col w:w="11420"/>
          </w:cols>
          <w:pgMar w:left="240" w:top="253" w:right="239" w:bottom="1440" w:gutter="0" w:footer="0" w:header="0"/>
        </w:sectPr>
      </w:pPr>
    </w:p>
    <w:bookmarkStart w:id="420" w:name="page421"/>
    <w:bookmarkEnd w:id="420"/>
    <w:p>
      <w:pPr>
        <w:ind w:left="900"/>
        <w:spacing w:after="0"/>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133350</wp:posOffset>
            </wp:positionH>
            <wp:positionV relativeFrom="page">
              <wp:posOffset>88900</wp:posOffset>
            </wp:positionV>
            <wp:extent cx="7308850" cy="34290"/>
            <wp:wrapNone/>
            <wp:docPr id="596" name="Picture 5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6"/>
                    <pic:cNvPicPr>
                      <a:picLocks noChangeAspect="1" noChangeArrowheads="1"/>
                    </pic:cNvPicPr>
                  </pic:nvPicPr>
                  <pic:blipFill>
                    <a:blip r:embed="rId633">
                      <a:extLst>
                        <a:ext uri="{28A0092B-C50C-407E-A947-70E740481C1C}"/>
                      </a:extLst>
                    </a:blip>
                    <a:srcRect/>
                    <a:stretch>
                      <a:fillRect/>
                    </a:stretch>
                  </pic:blipFill>
                  <pic:spPr bwMode="auto">
                    <a:xfrm>
                      <a:off x="0" y="0"/>
                      <a:ext cx="7308850" cy="34290"/>
                    </a:xfrm>
                    <a:prstGeom prst="rect">
                      <a:avLst/>
                    </a:prstGeom>
                    <a:noFill/>
                  </pic:spPr>
                </pic:pic>
              </a:graphicData>
            </a:graphic>
          </wp:anchor>
        </w:drawing>
        <w:t>“</w:t>
      </w:r>
      <w:r>
        <w:rPr>
          <w:rFonts w:ascii="Arial" w:cs="Arial" w:eastAsia="Arial" w:hAnsi="Arial"/>
          <w:sz w:val="15"/>
          <w:szCs w:val="15"/>
          <w:b w:val="1"/>
          <w:bCs w:val="1"/>
          <w:i w:val="1"/>
          <w:iCs w:val="1"/>
          <w:color w:val="auto"/>
        </w:rPr>
        <w:t>Committee</w:t>
      </w:r>
      <w:r>
        <w:rPr>
          <w:rFonts w:ascii="Arial" w:cs="Arial" w:eastAsia="Arial" w:hAnsi="Arial"/>
          <w:sz w:val="15"/>
          <w:szCs w:val="15"/>
          <w:color w:val="auto"/>
        </w:rPr>
        <w:t>” means the committee created and appointed by the Board to administer this Plan, or if no committee is created and appointed, the Board.</w:t>
      </w:r>
    </w:p>
    <w:p>
      <w:pPr>
        <w:spacing w:after="0" w:line="188" w:lineRule="exact"/>
        <w:rPr>
          <w:sz w:val="20"/>
          <w:szCs w:val="20"/>
          <w:color w:val="auto"/>
        </w:rPr>
      </w:pPr>
    </w:p>
    <w:p>
      <w:pPr>
        <w:ind w:left="90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i w:val="1"/>
          <w:iCs w:val="1"/>
          <w:color w:val="auto"/>
        </w:rPr>
        <w:t>Common Stock</w:t>
      </w:r>
      <w:r>
        <w:rPr>
          <w:rFonts w:ascii="Arial" w:cs="Arial" w:eastAsia="Arial" w:hAnsi="Arial"/>
          <w:sz w:val="13"/>
          <w:szCs w:val="13"/>
          <w:color w:val="auto"/>
        </w:rPr>
        <w:t>” means the Company’s Class A Common Stock, $0.00001 par value per share, or the Company’s Class B Common Stock, $0.00001 par value per share.</w:t>
      </w:r>
    </w:p>
    <w:p>
      <w:pPr>
        <w:spacing w:after="0" w:line="211" w:lineRule="exact"/>
        <w:rPr>
          <w:sz w:val="20"/>
          <w:szCs w:val="20"/>
          <w:color w:val="auto"/>
        </w:rPr>
      </w:pPr>
    </w:p>
    <w:p>
      <w:pPr>
        <w:ind w:left="90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i w:val="1"/>
          <w:iCs w:val="1"/>
          <w:color w:val="auto"/>
        </w:rPr>
        <w:t>Company</w:t>
      </w:r>
      <w:r>
        <w:rPr>
          <w:rFonts w:ascii="Arial" w:cs="Arial" w:eastAsia="Arial" w:hAnsi="Arial"/>
          <w:sz w:val="15"/>
          <w:szCs w:val="15"/>
          <w:color w:val="auto"/>
        </w:rPr>
        <w:t>” means Dropbox, Inc., a Delaware corporation, or any successor corporation.</w:t>
      </w:r>
    </w:p>
    <w:p>
      <w:pPr>
        <w:spacing w:after="0" w:line="188" w:lineRule="exact"/>
        <w:rPr>
          <w:sz w:val="20"/>
          <w:szCs w:val="20"/>
          <w:color w:val="auto"/>
        </w:rPr>
      </w:pPr>
    </w:p>
    <w:p>
      <w:pPr>
        <w:ind w:left="90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i w:val="1"/>
          <w:iCs w:val="1"/>
          <w:color w:val="auto"/>
        </w:rPr>
        <w:t>Disability</w:t>
      </w:r>
      <w:r>
        <w:rPr>
          <w:rFonts w:ascii="Arial" w:cs="Arial" w:eastAsia="Arial" w:hAnsi="Arial"/>
          <w:sz w:val="15"/>
          <w:szCs w:val="15"/>
          <w:color w:val="auto"/>
        </w:rPr>
        <w:t>” means a disability, whether temporary or permanent, partial or total, as determined by the Committee.</w:t>
      </w:r>
    </w:p>
    <w:p>
      <w:pPr>
        <w:spacing w:after="0" w:line="188" w:lineRule="exact"/>
        <w:rPr>
          <w:sz w:val="20"/>
          <w:szCs w:val="20"/>
          <w:color w:val="auto"/>
        </w:rPr>
      </w:pPr>
    </w:p>
    <w:p>
      <w:pPr>
        <w:ind w:left="90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i w:val="1"/>
          <w:iCs w:val="1"/>
          <w:color w:val="auto"/>
        </w:rPr>
        <w:t>Exchange Act</w:t>
      </w:r>
      <w:r>
        <w:rPr>
          <w:rFonts w:ascii="Arial" w:cs="Arial" w:eastAsia="Arial" w:hAnsi="Arial"/>
          <w:sz w:val="15"/>
          <w:szCs w:val="15"/>
          <w:color w:val="auto"/>
        </w:rPr>
        <w:t>” means the Securities Exchange Act of 1934, as amended.</w:t>
      </w:r>
    </w:p>
    <w:p>
      <w:pPr>
        <w:spacing w:after="0" w:line="188" w:lineRule="exact"/>
        <w:rPr>
          <w:sz w:val="20"/>
          <w:szCs w:val="20"/>
          <w:color w:val="auto"/>
        </w:rPr>
      </w:pPr>
    </w:p>
    <w:p>
      <w:pPr>
        <w:ind w:left="90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i w:val="1"/>
          <w:iCs w:val="1"/>
          <w:color w:val="auto"/>
        </w:rPr>
        <w:t>Exercise Price</w:t>
      </w:r>
      <w:r>
        <w:rPr>
          <w:rFonts w:ascii="Arial" w:cs="Arial" w:eastAsia="Arial" w:hAnsi="Arial"/>
          <w:sz w:val="15"/>
          <w:szCs w:val="15"/>
          <w:color w:val="auto"/>
        </w:rPr>
        <w:t>” means the price per Share at which a holder of an Option may purchase Shares issuable upon exercise of the Option.</w:t>
      </w:r>
    </w:p>
    <w:p>
      <w:pPr>
        <w:spacing w:after="0" w:line="188" w:lineRule="exact"/>
        <w:rPr>
          <w:sz w:val="20"/>
          <w:szCs w:val="20"/>
          <w:color w:val="auto"/>
        </w:rPr>
      </w:pPr>
    </w:p>
    <w:p>
      <w:pPr>
        <w:ind w:left="90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i w:val="1"/>
          <w:iCs w:val="1"/>
          <w:color w:val="auto"/>
        </w:rPr>
        <w:t>Fair Market Value</w:t>
      </w:r>
      <w:r>
        <w:rPr>
          <w:rFonts w:ascii="Arial" w:cs="Arial" w:eastAsia="Arial" w:hAnsi="Arial"/>
          <w:sz w:val="15"/>
          <w:szCs w:val="15"/>
          <w:color w:val="auto"/>
        </w:rPr>
        <w:t>” means, as of any date, the value of a Share determined as follows:</w:t>
      </w:r>
    </w:p>
    <w:p>
      <w:pPr>
        <w:spacing w:after="0" w:line="188" w:lineRule="exact"/>
        <w:rPr>
          <w:sz w:val="20"/>
          <w:szCs w:val="20"/>
          <w:color w:val="auto"/>
        </w:rPr>
      </w:pPr>
    </w:p>
    <w:p>
      <w:pPr>
        <w:ind w:right="80" w:firstLine="1478"/>
        <w:spacing w:after="0" w:line="275" w:lineRule="auto"/>
        <w:tabs>
          <w:tab w:leader="none" w:pos="1692" w:val="left"/>
        </w:tabs>
        <w:numPr>
          <w:ilvl w:val="0"/>
          <w:numId w:val="372"/>
        </w:numPr>
        <w:rPr>
          <w:rFonts w:ascii="Arial" w:cs="Arial" w:eastAsia="Arial" w:hAnsi="Arial"/>
          <w:sz w:val="15"/>
          <w:szCs w:val="15"/>
          <w:color w:val="auto"/>
        </w:rPr>
      </w:pPr>
      <w:r>
        <w:rPr>
          <w:rFonts w:ascii="Arial" w:cs="Arial" w:eastAsia="Arial" w:hAnsi="Arial"/>
          <w:sz w:val="15"/>
          <w:szCs w:val="15"/>
          <w:color w:val="auto"/>
        </w:rPr>
        <w:t xml:space="preserve">if such Share is then publicly traded on a national securities exchange, its closing price on the date of determination on the principal national securities exchange on which the Common Stock is listed or admitted to trading as reported in </w:t>
      </w:r>
      <w:r>
        <w:rPr>
          <w:rFonts w:ascii="Arial" w:cs="Arial" w:eastAsia="Arial" w:hAnsi="Arial"/>
          <w:sz w:val="15"/>
          <w:szCs w:val="15"/>
          <w:u w:val="single" w:color="auto"/>
          <w:color w:val="auto"/>
        </w:rPr>
        <w:t>The Wall Street Journal</w:t>
      </w:r>
      <w:r>
        <w:rPr>
          <w:rFonts w:ascii="Arial" w:cs="Arial" w:eastAsia="Arial" w:hAnsi="Arial"/>
          <w:sz w:val="15"/>
          <w:szCs w:val="15"/>
          <w:color w:val="auto"/>
        </w:rPr>
        <w:t>;</w:t>
      </w:r>
    </w:p>
    <w:p>
      <w:pPr>
        <w:spacing w:after="0" w:line="146" w:lineRule="exact"/>
        <w:rPr>
          <w:rFonts w:ascii="Arial" w:cs="Arial" w:eastAsia="Arial" w:hAnsi="Arial"/>
          <w:sz w:val="15"/>
          <w:szCs w:val="15"/>
          <w:color w:val="auto"/>
        </w:rPr>
      </w:pPr>
    </w:p>
    <w:p>
      <w:pPr>
        <w:ind w:right="240" w:firstLine="1478"/>
        <w:spacing w:after="0" w:line="354" w:lineRule="auto"/>
        <w:tabs>
          <w:tab w:leader="none" w:pos="1701" w:val="left"/>
        </w:tabs>
        <w:numPr>
          <w:ilvl w:val="0"/>
          <w:numId w:val="372"/>
        </w:numPr>
        <w:rPr>
          <w:rFonts w:ascii="Arial" w:cs="Arial" w:eastAsia="Arial" w:hAnsi="Arial"/>
          <w:sz w:val="13"/>
          <w:szCs w:val="13"/>
          <w:color w:val="auto"/>
        </w:rPr>
      </w:pPr>
      <w:r>
        <w:rPr>
          <w:rFonts w:ascii="Arial" w:cs="Arial" w:eastAsia="Arial" w:hAnsi="Arial"/>
          <w:sz w:val="13"/>
          <w:szCs w:val="13"/>
          <w:color w:val="auto"/>
        </w:rPr>
        <w:t xml:space="preserve">if such Share is publicly traded but is not listed or admitted to trading on a national securities exchange, the average of the closing bid and asked prices on the date of determination as reported by </w:t>
      </w:r>
      <w:r>
        <w:rPr>
          <w:rFonts w:ascii="Arial" w:cs="Arial" w:eastAsia="Arial" w:hAnsi="Arial"/>
          <w:sz w:val="13"/>
          <w:szCs w:val="13"/>
          <w:u w:val="single" w:color="auto"/>
          <w:color w:val="auto"/>
        </w:rPr>
        <w:t>The Wall Street Journal</w:t>
      </w:r>
      <w:r>
        <w:rPr>
          <w:rFonts w:ascii="Arial" w:cs="Arial" w:eastAsia="Arial" w:hAnsi="Arial"/>
          <w:sz w:val="13"/>
          <w:szCs w:val="13"/>
          <w:color w:val="auto"/>
        </w:rPr>
        <w:t xml:space="preserve"> (or, if not so reported, as otherwise reported by any newspaper or other source as the Committee may determine); or</w:t>
      </w:r>
    </w:p>
    <w:p>
      <w:pPr>
        <w:spacing w:after="0" w:line="100" w:lineRule="exact"/>
        <w:rPr>
          <w:rFonts w:ascii="Arial" w:cs="Arial" w:eastAsia="Arial" w:hAnsi="Arial"/>
          <w:sz w:val="13"/>
          <w:szCs w:val="13"/>
          <w:color w:val="auto"/>
        </w:rPr>
      </w:pPr>
    </w:p>
    <w:p>
      <w:pPr>
        <w:ind w:left="1680" w:hanging="202"/>
        <w:spacing w:after="0"/>
        <w:tabs>
          <w:tab w:leader="none" w:pos="1680" w:val="left"/>
        </w:tabs>
        <w:numPr>
          <w:ilvl w:val="0"/>
          <w:numId w:val="372"/>
        </w:numPr>
        <w:rPr>
          <w:rFonts w:ascii="Arial" w:cs="Arial" w:eastAsia="Arial" w:hAnsi="Arial"/>
          <w:sz w:val="15"/>
          <w:szCs w:val="15"/>
          <w:color w:val="auto"/>
        </w:rPr>
      </w:pPr>
      <w:r>
        <w:rPr>
          <w:rFonts w:ascii="Arial" w:cs="Arial" w:eastAsia="Arial" w:hAnsi="Arial"/>
          <w:sz w:val="15"/>
          <w:szCs w:val="15"/>
          <w:color w:val="auto"/>
        </w:rPr>
        <w:t>if none of the foregoing is applicable to the valuation in question, by the Committee in good faith.</w:t>
      </w:r>
    </w:p>
    <w:p>
      <w:pPr>
        <w:spacing w:after="0" w:line="188" w:lineRule="exact"/>
        <w:rPr>
          <w:sz w:val="20"/>
          <w:szCs w:val="20"/>
          <w:color w:val="auto"/>
        </w:rPr>
      </w:pPr>
    </w:p>
    <w:p>
      <w:pPr>
        <w:ind w:left="90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i w:val="1"/>
          <w:iCs w:val="1"/>
          <w:color w:val="auto"/>
        </w:rPr>
        <w:t>Option</w:t>
      </w:r>
      <w:r>
        <w:rPr>
          <w:rFonts w:ascii="Arial" w:cs="Arial" w:eastAsia="Arial" w:hAnsi="Arial"/>
          <w:sz w:val="15"/>
          <w:szCs w:val="15"/>
          <w:color w:val="auto"/>
        </w:rPr>
        <w:t>” means an award of an option to purchase Shares pursuant to Section 4 of this Plan.</w:t>
      </w:r>
    </w:p>
    <w:p>
      <w:pPr>
        <w:spacing w:after="0" w:line="188" w:lineRule="exact"/>
        <w:rPr>
          <w:sz w:val="20"/>
          <w:szCs w:val="20"/>
          <w:color w:val="auto"/>
        </w:rPr>
      </w:pPr>
    </w:p>
    <w:p>
      <w:pPr>
        <w:ind w:right="180" w:firstLine="916"/>
        <w:spacing w:after="0" w:line="354" w:lineRule="auto"/>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i w:val="1"/>
          <w:iCs w:val="1"/>
          <w:color w:val="auto"/>
        </w:rPr>
        <w:t>Other Combination</w:t>
      </w:r>
      <w:r>
        <w:rPr>
          <w:rFonts w:ascii="Arial" w:cs="Arial" w:eastAsia="Arial" w:hAnsi="Arial"/>
          <w:sz w:val="13"/>
          <w:szCs w:val="13"/>
          <w:color w:val="auto"/>
        </w:rPr>
        <w:t xml:space="preserve">” for purposes of Section 11 means any (a) consolidation or merger in which the Company is a constituent entity and is not the surviving entity of such consolidation or merger or (b) any conversion of the Company into another form of entity; </w:t>
      </w:r>
      <w:r>
        <w:rPr>
          <w:rFonts w:ascii="Arial" w:cs="Arial" w:eastAsia="Arial" w:hAnsi="Arial"/>
          <w:sz w:val="13"/>
          <w:szCs w:val="13"/>
          <w:i w:val="1"/>
          <w:iCs w:val="1"/>
          <w:u w:val="single" w:color="auto"/>
          <w:color w:val="auto"/>
        </w:rPr>
        <w:t>provided</w:t>
      </w:r>
      <w:r>
        <w:rPr>
          <w:rFonts w:ascii="Arial" w:cs="Arial" w:eastAsia="Arial" w:hAnsi="Arial"/>
          <w:sz w:val="13"/>
          <w:szCs w:val="13"/>
          <w:color w:val="auto"/>
        </w:rPr>
        <w:t xml:space="preserve"> that such consolidation, merger or conversion does not constitute an Acquisition.</w:t>
      </w:r>
    </w:p>
    <w:p>
      <w:pPr>
        <w:spacing w:after="0" w:line="100" w:lineRule="exact"/>
        <w:rPr>
          <w:sz w:val="20"/>
          <w:szCs w:val="20"/>
          <w:color w:val="auto"/>
        </w:rPr>
      </w:pPr>
    </w:p>
    <w:p>
      <w:pPr>
        <w:ind w:firstLine="916"/>
        <w:spacing w:after="0" w:line="263"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i w:val="1"/>
          <w:iCs w:val="1"/>
          <w:color w:val="auto"/>
        </w:rPr>
        <w:t>Parent</w:t>
      </w:r>
      <w:r>
        <w:rPr>
          <w:rFonts w:ascii="Arial" w:cs="Arial" w:eastAsia="Arial" w:hAnsi="Arial"/>
          <w:sz w:val="15"/>
          <w:szCs w:val="15"/>
          <w:color w:val="auto"/>
        </w:rPr>
        <w:t>” of a specified entity means, any entity that, either directly or indirectly, owns or controls such specified entity, where for this purpose, “</w:t>
      </w:r>
      <w:r>
        <w:rPr>
          <w:rFonts w:ascii="Arial" w:cs="Arial" w:eastAsia="Arial" w:hAnsi="Arial"/>
          <w:sz w:val="15"/>
          <w:szCs w:val="15"/>
          <w:b w:val="1"/>
          <w:bCs w:val="1"/>
          <w:i w:val="1"/>
          <w:iCs w:val="1"/>
          <w:color w:val="auto"/>
        </w:rPr>
        <w:t>control</w:t>
      </w:r>
      <w:r>
        <w:rPr>
          <w:rFonts w:ascii="Arial" w:cs="Arial" w:eastAsia="Arial" w:hAnsi="Arial"/>
          <w:sz w:val="15"/>
          <w:szCs w:val="15"/>
          <w:color w:val="auto"/>
        </w:rPr>
        <w:t>” means the ownership of stock, securities or other interests that possess at least a majority of the voting power of such specified entity (including indirect ownership or control of such stock, securities or other interests).</w:t>
      </w:r>
    </w:p>
    <w:p>
      <w:pPr>
        <w:spacing w:after="0" w:line="155" w:lineRule="exact"/>
        <w:rPr>
          <w:sz w:val="20"/>
          <w:szCs w:val="20"/>
          <w:color w:val="auto"/>
        </w:rPr>
      </w:pPr>
    </w:p>
    <w:p>
      <w:pPr>
        <w:ind w:left="90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i w:val="1"/>
          <w:iCs w:val="1"/>
          <w:color w:val="auto"/>
        </w:rPr>
        <w:t>Participant</w:t>
      </w:r>
      <w:r>
        <w:rPr>
          <w:rFonts w:ascii="Arial" w:cs="Arial" w:eastAsia="Arial" w:hAnsi="Arial"/>
          <w:sz w:val="15"/>
          <w:szCs w:val="15"/>
          <w:color w:val="auto"/>
        </w:rPr>
        <w:t>” means a person who receives an Award under this Plan.</w:t>
      </w:r>
    </w:p>
    <w:p>
      <w:pPr>
        <w:spacing w:after="0" w:line="188" w:lineRule="exact"/>
        <w:rPr>
          <w:sz w:val="20"/>
          <w:szCs w:val="20"/>
          <w:color w:val="auto"/>
        </w:rPr>
      </w:pPr>
    </w:p>
    <w:p>
      <w:pPr>
        <w:ind w:left="90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i w:val="1"/>
          <w:iCs w:val="1"/>
          <w:color w:val="auto"/>
        </w:rPr>
        <w:t>Plan</w:t>
      </w:r>
      <w:r>
        <w:rPr>
          <w:rFonts w:ascii="Arial" w:cs="Arial" w:eastAsia="Arial" w:hAnsi="Arial"/>
          <w:sz w:val="15"/>
          <w:szCs w:val="15"/>
          <w:color w:val="auto"/>
        </w:rPr>
        <w:t>” means this 2017 Equity Incentive Plan, as amended from time to time.</w:t>
      </w:r>
    </w:p>
    <w:p>
      <w:pPr>
        <w:spacing w:after="0" w:line="188" w:lineRule="exact"/>
        <w:rPr>
          <w:sz w:val="20"/>
          <w:szCs w:val="20"/>
          <w:color w:val="auto"/>
        </w:rPr>
      </w:pPr>
    </w:p>
    <w:p>
      <w:pPr>
        <w:ind w:left="90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i w:val="1"/>
          <w:iCs w:val="1"/>
          <w:color w:val="auto"/>
        </w:rPr>
        <w:t>Purchase Price</w:t>
      </w:r>
      <w:r>
        <w:rPr>
          <w:rFonts w:ascii="Arial" w:cs="Arial" w:eastAsia="Arial" w:hAnsi="Arial"/>
          <w:sz w:val="15"/>
          <w:szCs w:val="15"/>
          <w:color w:val="auto"/>
        </w:rPr>
        <w:t>” means the price at which a Participant may purchase Restricted Stock pursuant to this Plan.</w:t>
      </w:r>
    </w:p>
    <w:p>
      <w:pPr>
        <w:spacing w:after="0" w:line="188" w:lineRule="exact"/>
        <w:rPr>
          <w:sz w:val="20"/>
          <w:szCs w:val="20"/>
          <w:color w:val="auto"/>
        </w:rPr>
      </w:pPr>
    </w:p>
    <w:p>
      <w:pPr>
        <w:ind w:left="90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i w:val="1"/>
          <w:iCs w:val="1"/>
          <w:color w:val="auto"/>
        </w:rPr>
        <w:t>Restricted Stock</w:t>
      </w:r>
      <w:r>
        <w:rPr>
          <w:rFonts w:ascii="Arial" w:cs="Arial" w:eastAsia="Arial" w:hAnsi="Arial"/>
          <w:sz w:val="15"/>
          <w:szCs w:val="15"/>
          <w:color w:val="auto"/>
        </w:rPr>
        <w:t>” means Shares purchased pursuant to a Restricted Stock Award under this Plan.</w:t>
      </w:r>
    </w:p>
    <w:p>
      <w:pPr>
        <w:spacing w:after="0" w:line="132" w:lineRule="exact"/>
        <w:rPr>
          <w:sz w:val="20"/>
          <w:szCs w:val="20"/>
          <w:color w:val="auto"/>
        </w:rPr>
      </w:pPr>
    </w:p>
    <w:p>
      <w:pPr>
        <w:ind w:left="5640"/>
        <w:spacing w:after="0"/>
        <w:rPr>
          <w:sz w:val="20"/>
          <w:szCs w:val="20"/>
          <w:color w:val="auto"/>
        </w:rPr>
      </w:pPr>
      <w:r>
        <w:rPr>
          <w:rFonts w:ascii="Arial" w:cs="Arial" w:eastAsia="Arial" w:hAnsi="Arial"/>
          <w:sz w:val="15"/>
          <w:szCs w:val="15"/>
          <w:color w:val="auto"/>
        </w:rPr>
        <w:t>15</w:t>
      </w:r>
    </w:p>
    <w:p>
      <w:pPr>
        <w:sectPr>
          <w:pgSz w:w="11900" w:h="16838" w:orient="portrait"/>
          <w:cols w:equalWidth="0" w:num="1">
            <w:col w:w="11420"/>
          </w:cols>
          <w:pgMar w:left="240" w:top="253" w:right="239" w:bottom="1440" w:gutter="0" w:footer="0" w:header="0"/>
        </w:sectPr>
      </w:pPr>
    </w:p>
    <w:bookmarkStart w:id="421" w:name="page422"/>
    <w:bookmarkEnd w:id="421"/>
    <w:p>
      <w:pPr>
        <w:ind w:left="900"/>
        <w:spacing w:after="0"/>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133350</wp:posOffset>
            </wp:positionH>
            <wp:positionV relativeFrom="page">
              <wp:posOffset>88900</wp:posOffset>
            </wp:positionV>
            <wp:extent cx="7308850" cy="34290"/>
            <wp:wrapNone/>
            <wp:docPr id="597" name="Picture 5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7"/>
                    <pic:cNvPicPr>
                      <a:picLocks noChangeAspect="1" noChangeArrowheads="1"/>
                    </pic:cNvPicPr>
                  </pic:nvPicPr>
                  <pic:blipFill>
                    <a:blip r:embed="rId634">
                      <a:extLst>
                        <a:ext uri="{28A0092B-C50C-407E-A947-70E740481C1C}"/>
                      </a:extLst>
                    </a:blip>
                    <a:srcRect/>
                    <a:stretch>
                      <a:fillRect/>
                    </a:stretch>
                  </pic:blipFill>
                  <pic:spPr bwMode="auto">
                    <a:xfrm>
                      <a:off x="0" y="0"/>
                      <a:ext cx="7308850" cy="34290"/>
                    </a:xfrm>
                    <a:prstGeom prst="rect">
                      <a:avLst/>
                    </a:prstGeom>
                    <a:noFill/>
                  </pic:spPr>
                </pic:pic>
              </a:graphicData>
            </a:graphic>
          </wp:anchor>
        </w:drawing>
        <w:t>“</w:t>
      </w:r>
      <w:r>
        <w:rPr>
          <w:rFonts w:ascii="Arial" w:cs="Arial" w:eastAsia="Arial" w:hAnsi="Arial"/>
          <w:sz w:val="15"/>
          <w:szCs w:val="15"/>
          <w:b w:val="1"/>
          <w:bCs w:val="1"/>
          <w:i w:val="1"/>
          <w:iCs w:val="1"/>
          <w:color w:val="auto"/>
        </w:rPr>
        <w:t>Restricted Stock Award</w:t>
      </w:r>
      <w:r>
        <w:rPr>
          <w:rFonts w:ascii="Arial" w:cs="Arial" w:eastAsia="Arial" w:hAnsi="Arial"/>
          <w:sz w:val="15"/>
          <w:szCs w:val="15"/>
          <w:color w:val="auto"/>
        </w:rPr>
        <w:t>” means an award of Shares pursuant to Section 5 hereof.</w:t>
      </w:r>
    </w:p>
    <w:p>
      <w:pPr>
        <w:spacing w:after="0" w:line="188" w:lineRule="exact"/>
        <w:rPr>
          <w:sz w:val="20"/>
          <w:szCs w:val="20"/>
          <w:color w:val="auto"/>
        </w:rPr>
      </w:pPr>
    </w:p>
    <w:p>
      <w:pPr>
        <w:ind w:left="90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i w:val="1"/>
          <w:iCs w:val="1"/>
          <w:color w:val="auto"/>
        </w:rPr>
        <w:t>Restricted Stock Unit</w:t>
      </w:r>
      <w:r>
        <w:rPr>
          <w:rFonts w:ascii="Arial" w:cs="Arial" w:eastAsia="Arial" w:hAnsi="Arial"/>
          <w:sz w:val="15"/>
          <w:szCs w:val="15"/>
          <w:color w:val="auto"/>
        </w:rPr>
        <w:t>” or “</w:t>
      </w:r>
      <w:r>
        <w:rPr>
          <w:rFonts w:ascii="Arial" w:cs="Arial" w:eastAsia="Arial" w:hAnsi="Arial"/>
          <w:sz w:val="15"/>
          <w:szCs w:val="15"/>
          <w:b w:val="1"/>
          <w:bCs w:val="1"/>
          <w:i w:val="1"/>
          <w:iCs w:val="1"/>
          <w:color w:val="auto"/>
        </w:rPr>
        <w:t>RSU</w:t>
      </w:r>
      <w:r>
        <w:rPr>
          <w:rFonts w:ascii="Arial" w:cs="Arial" w:eastAsia="Arial" w:hAnsi="Arial"/>
          <w:sz w:val="15"/>
          <w:szCs w:val="15"/>
          <w:color w:val="auto"/>
        </w:rPr>
        <w:t>” means an award made pursuant to Section 6 hereof.</w:t>
      </w:r>
    </w:p>
    <w:p>
      <w:pPr>
        <w:spacing w:after="0" w:line="188" w:lineRule="exact"/>
        <w:rPr>
          <w:sz w:val="20"/>
          <w:szCs w:val="20"/>
          <w:color w:val="auto"/>
        </w:rPr>
      </w:pPr>
    </w:p>
    <w:p>
      <w:pPr>
        <w:ind w:left="90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i w:val="1"/>
          <w:iCs w:val="1"/>
          <w:color w:val="auto"/>
        </w:rPr>
        <w:t>Rule 701</w:t>
      </w:r>
      <w:r>
        <w:rPr>
          <w:rFonts w:ascii="Arial" w:cs="Arial" w:eastAsia="Arial" w:hAnsi="Arial"/>
          <w:sz w:val="15"/>
          <w:szCs w:val="15"/>
          <w:color w:val="auto"/>
        </w:rPr>
        <w:t xml:space="preserve">” means Rule 701 </w:t>
      </w:r>
      <w:r>
        <w:rPr>
          <w:rFonts w:ascii="Arial" w:cs="Arial" w:eastAsia="Arial" w:hAnsi="Arial"/>
          <w:sz w:val="15"/>
          <w:szCs w:val="15"/>
          <w:i w:val="1"/>
          <w:iCs w:val="1"/>
          <w:color w:val="auto"/>
        </w:rPr>
        <w:t>et seq.</w:t>
      </w:r>
      <w:r>
        <w:rPr>
          <w:rFonts w:ascii="Arial" w:cs="Arial" w:eastAsia="Arial" w:hAnsi="Arial"/>
          <w:sz w:val="15"/>
          <w:szCs w:val="15"/>
          <w:color w:val="auto"/>
        </w:rPr>
        <w:t xml:space="preserve"> promulgated by the Commission under the Securities Act.</w:t>
      </w:r>
    </w:p>
    <w:p>
      <w:pPr>
        <w:spacing w:after="0" w:line="188" w:lineRule="exact"/>
        <w:rPr>
          <w:sz w:val="20"/>
          <w:szCs w:val="20"/>
          <w:color w:val="auto"/>
        </w:rPr>
      </w:pPr>
    </w:p>
    <w:p>
      <w:pPr>
        <w:ind w:left="90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i w:val="1"/>
          <w:iCs w:val="1"/>
          <w:color w:val="auto"/>
        </w:rPr>
        <w:t>SEC</w:t>
      </w:r>
      <w:r>
        <w:rPr>
          <w:rFonts w:ascii="Arial" w:cs="Arial" w:eastAsia="Arial" w:hAnsi="Arial"/>
          <w:sz w:val="15"/>
          <w:szCs w:val="15"/>
          <w:color w:val="auto"/>
        </w:rPr>
        <w:t>” means the Securities and Exchange Commission.</w:t>
      </w:r>
    </w:p>
    <w:p>
      <w:pPr>
        <w:spacing w:after="0" w:line="188" w:lineRule="exact"/>
        <w:rPr>
          <w:sz w:val="20"/>
          <w:szCs w:val="20"/>
          <w:color w:val="auto"/>
        </w:rPr>
      </w:pPr>
    </w:p>
    <w:p>
      <w:pPr>
        <w:ind w:left="90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i w:val="1"/>
          <w:iCs w:val="1"/>
          <w:color w:val="auto"/>
        </w:rPr>
        <w:t>Section 25102(o)</w:t>
      </w:r>
      <w:r>
        <w:rPr>
          <w:rFonts w:ascii="Arial" w:cs="Arial" w:eastAsia="Arial" w:hAnsi="Arial"/>
          <w:sz w:val="15"/>
          <w:szCs w:val="15"/>
          <w:color w:val="auto"/>
        </w:rPr>
        <w:t>” means Section 25102(o) of the California Corporations Code.</w:t>
      </w:r>
    </w:p>
    <w:p>
      <w:pPr>
        <w:spacing w:after="0" w:line="188" w:lineRule="exact"/>
        <w:rPr>
          <w:sz w:val="20"/>
          <w:szCs w:val="20"/>
          <w:color w:val="auto"/>
        </w:rPr>
      </w:pPr>
    </w:p>
    <w:p>
      <w:pPr>
        <w:ind w:left="90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i w:val="1"/>
          <w:iCs w:val="1"/>
          <w:color w:val="auto"/>
        </w:rPr>
        <w:t>Securities Act</w:t>
      </w:r>
      <w:r>
        <w:rPr>
          <w:rFonts w:ascii="Arial" w:cs="Arial" w:eastAsia="Arial" w:hAnsi="Arial"/>
          <w:sz w:val="15"/>
          <w:szCs w:val="15"/>
          <w:color w:val="auto"/>
        </w:rPr>
        <w:t>” means the Securities Act of 1933, as amended.</w:t>
      </w:r>
    </w:p>
    <w:p>
      <w:pPr>
        <w:spacing w:after="0" w:line="188" w:lineRule="exact"/>
        <w:rPr>
          <w:sz w:val="20"/>
          <w:szCs w:val="20"/>
          <w:color w:val="auto"/>
        </w:rPr>
      </w:pPr>
    </w:p>
    <w:p>
      <w:pPr>
        <w:ind w:left="90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i w:val="1"/>
          <w:iCs w:val="1"/>
          <w:color w:val="auto"/>
        </w:rPr>
        <w:t>Shares</w:t>
      </w:r>
      <w:r>
        <w:rPr>
          <w:rFonts w:ascii="Arial" w:cs="Arial" w:eastAsia="Arial" w:hAnsi="Arial"/>
          <w:sz w:val="15"/>
          <w:szCs w:val="15"/>
          <w:color w:val="auto"/>
        </w:rPr>
        <w:t>” means shares of the Company’s Class A Common Stock, $0.00001 par value per share and any successor security.</w:t>
      </w:r>
    </w:p>
    <w:p>
      <w:pPr>
        <w:spacing w:after="0" w:line="188" w:lineRule="exact"/>
        <w:rPr>
          <w:sz w:val="20"/>
          <w:szCs w:val="20"/>
          <w:color w:val="auto"/>
        </w:rPr>
      </w:pPr>
    </w:p>
    <w:p>
      <w:pPr>
        <w:ind w:left="90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i w:val="1"/>
          <w:iCs w:val="1"/>
          <w:color w:val="auto"/>
        </w:rPr>
        <w:t>Stock Appreciation Right</w:t>
      </w:r>
      <w:r>
        <w:rPr>
          <w:rFonts w:ascii="Arial" w:cs="Arial" w:eastAsia="Arial" w:hAnsi="Arial"/>
          <w:sz w:val="15"/>
          <w:szCs w:val="15"/>
          <w:color w:val="auto"/>
        </w:rPr>
        <w:t>” or “</w:t>
      </w:r>
      <w:r>
        <w:rPr>
          <w:rFonts w:ascii="Arial" w:cs="Arial" w:eastAsia="Arial" w:hAnsi="Arial"/>
          <w:sz w:val="15"/>
          <w:szCs w:val="15"/>
          <w:b w:val="1"/>
          <w:bCs w:val="1"/>
          <w:i w:val="1"/>
          <w:iCs w:val="1"/>
          <w:color w:val="auto"/>
        </w:rPr>
        <w:t>SAR</w:t>
      </w:r>
      <w:r>
        <w:rPr>
          <w:rFonts w:ascii="Arial" w:cs="Arial" w:eastAsia="Arial" w:hAnsi="Arial"/>
          <w:sz w:val="15"/>
          <w:szCs w:val="15"/>
          <w:color w:val="auto"/>
        </w:rPr>
        <w:t>” means an award granted pursuant to Section 7 hereof.</w:t>
      </w:r>
    </w:p>
    <w:p>
      <w:pPr>
        <w:spacing w:after="0" w:line="188" w:lineRule="exact"/>
        <w:rPr>
          <w:sz w:val="20"/>
          <w:szCs w:val="20"/>
          <w:color w:val="auto"/>
        </w:rPr>
      </w:pPr>
    </w:p>
    <w:p>
      <w:pPr>
        <w:ind w:firstLine="916"/>
        <w:spacing w:after="0" w:line="263"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i w:val="1"/>
          <w:iCs w:val="1"/>
          <w:color w:val="auto"/>
        </w:rPr>
        <w:t>Subsidiary</w:t>
      </w:r>
      <w:r>
        <w:rPr>
          <w:rFonts w:ascii="Arial" w:cs="Arial" w:eastAsia="Arial" w:hAnsi="Arial"/>
          <w:sz w:val="15"/>
          <w:szCs w:val="15"/>
          <w:color w:val="auto"/>
        </w:rPr>
        <w:t>” means any entity (other than the Company) in an unbroken chain of entities beginning with the Company if each of the entities other than the last entity in the unbroken chain owns stock or other equity securities representing fifty percent (50%) or more of the total combined voting power of all classes of stock or other equity securities in one of the other entities in such chain.</w:t>
      </w:r>
    </w:p>
    <w:p>
      <w:pPr>
        <w:spacing w:after="0" w:line="155" w:lineRule="exact"/>
        <w:rPr>
          <w:sz w:val="20"/>
          <w:szCs w:val="20"/>
          <w:color w:val="auto"/>
        </w:rPr>
      </w:pPr>
    </w:p>
    <w:p>
      <w:pPr>
        <w:ind w:right="20" w:firstLine="916"/>
        <w:spacing w:after="0" w:line="277" w:lineRule="auto"/>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i w:val="1"/>
          <w:iCs w:val="1"/>
          <w:color w:val="auto"/>
        </w:rPr>
        <w:t>Termination</w:t>
      </w:r>
      <w:r>
        <w:rPr>
          <w:rFonts w:ascii="Arial" w:cs="Arial" w:eastAsia="Arial" w:hAnsi="Arial"/>
          <w:sz w:val="14"/>
          <w:szCs w:val="14"/>
          <w:color w:val="auto"/>
        </w:rPr>
        <w:t>” or “</w:t>
      </w:r>
      <w:r>
        <w:rPr>
          <w:rFonts w:ascii="Arial" w:cs="Arial" w:eastAsia="Arial" w:hAnsi="Arial"/>
          <w:sz w:val="14"/>
          <w:szCs w:val="14"/>
          <w:b w:val="1"/>
          <w:bCs w:val="1"/>
          <w:i w:val="1"/>
          <w:iCs w:val="1"/>
          <w:color w:val="auto"/>
        </w:rPr>
        <w:t>Terminated</w:t>
      </w:r>
      <w:r>
        <w:rPr>
          <w:rFonts w:ascii="Arial" w:cs="Arial" w:eastAsia="Arial" w:hAnsi="Arial"/>
          <w:sz w:val="14"/>
          <w:szCs w:val="14"/>
          <w:color w:val="auto"/>
        </w:rPr>
        <w:t>” means, for purposes of this Plan with respect to a Participant, that the Participant has for any reason ceased to provide services as an employee, officer, director or consultant to the Company or a Parent or Subsidiary of the Company. A Participant will not be deemed to have ceased to provide services while the Participant is on a bona fide leave of absence, if such leave was approved by the Company in writing. In the case of an approved leave of absence, the Committee may make such provisions respecting crediting of service, including suspension of vesting of the Award (including pursuant to a formal policy adopted from time to time by the Company) it may deem appropriate, except that in no event may an Option be exercised after the expiration of the term set forth in the Stock Option Agreement. The Committee will have sole discretion to determine whether a Participant has ceased to provide services and the effective date on which the Participant ceased to provide services (the “</w:t>
      </w:r>
      <w:r>
        <w:rPr>
          <w:rFonts w:ascii="Arial" w:cs="Arial" w:eastAsia="Arial" w:hAnsi="Arial"/>
          <w:sz w:val="14"/>
          <w:szCs w:val="14"/>
          <w:b w:val="1"/>
          <w:bCs w:val="1"/>
          <w:i w:val="1"/>
          <w:iCs w:val="1"/>
          <w:color w:val="auto"/>
        </w:rPr>
        <w:t>Termination Date</w:t>
      </w:r>
      <w:r>
        <w:rPr>
          <w:rFonts w:ascii="Arial" w:cs="Arial" w:eastAsia="Arial" w:hAnsi="Arial"/>
          <w:sz w:val="14"/>
          <w:szCs w:val="14"/>
          <w:color w:val="auto"/>
        </w:rPr>
        <w:t>”).</w:t>
      </w:r>
    </w:p>
    <w:p>
      <w:pPr>
        <w:spacing w:after="0" w:line="148" w:lineRule="exact"/>
        <w:rPr>
          <w:sz w:val="20"/>
          <w:szCs w:val="20"/>
          <w:color w:val="auto"/>
        </w:rPr>
      </w:pPr>
    </w:p>
    <w:p>
      <w:pPr>
        <w:ind w:left="90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i w:val="1"/>
          <w:iCs w:val="1"/>
          <w:color w:val="auto"/>
        </w:rPr>
        <w:t>Unvested Shares</w:t>
      </w:r>
      <w:r>
        <w:rPr>
          <w:rFonts w:ascii="Arial" w:cs="Arial" w:eastAsia="Arial" w:hAnsi="Arial"/>
          <w:sz w:val="15"/>
          <w:szCs w:val="15"/>
          <w:color w:val="auto"/>
        </w:rPr>
        <w:t>” means “</w:t>
      </w:r>
      <w:r>
        <w:rPr>
          <w:rFonts w:ascii="Arial" w:cs="Arial" w:eastAsia="Arial" w:hAnsi="Arial"/>
          <w:sz w:val="15"/>
          <w:szCs w:val="15"/>
          <w:b w:val="1"/>
          <w:bCs w:val="1"/>
          <w:i w:val="1"/>
          <w:iCs w:val="1"/>
          <w:color w:val="auto"/>
        </w:rPr>
        <w:t>Unvested Shares</w:t>
      </w:r>
      <w:r>
        <w:rPr>
          <w:rFonts w:ascii="Arial" w:cs="Arial" w:eastAsia="Arial" w:hAnsi="Arial"/>
          <w:sz w:val="15"/>
          <w:szCs w:val="15"/>
          <w:color w:val="auto"/>
        </w:rPr>
        <w:t>” as defined in the Award Agreement for an Award.</w:t>
      </w:r>
    </w:p>
    <w:p>
      <w:pPr>
        <w:spacing w:after="0" w:line="188" w:lineRule="exact"/>
        <w:rPr>
          <w:sz w:val="20"/>
          <w:szCs w:val="20"/>
          <w:color w:val="auto"/>
        </w:rPr>
      </w:pPr>
    </w:p>
    <w:p>
      <w:pPr>
        <w:ind w:left="90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i w:val="1"/>
          <w:iCs w:val="1"/>
          <w:color w:val="auto"/>
        </w:rPr>
        <w:t>Vested Shares</w:t>
      </w:r>
      <w:r>
        <w:rPr>
          <w:rFonts w:ascii="Arial" w:cs="Arial" w:eastAsia="Arial" w:hAnsi="Arial"/>
          <w:sz w:val="15"/>
          <w:szCs w:val="15"/>
          <w:color w:val="auto"/>
        </w:rPr>
        <w:t>” means “</w:t>
      </w:r>
      <w:r>
        <w:rPr>
          <w:rFonts w:ascii="Arial" w:cs="Arial" w:eastAsia="Arial" w:hAnsi="Arial"/>
          <w:sz w:val="15"/>
          <w:szCs w:val="15"/>
          <w:b w:val="1"/>
          <w:bCs w:val="1"/>
          <w:i w:val="1"/>
          <w:iCs w:val="1"/>
          <w:color w:val="auto"/>
        </w:rPr>
        <w:t>Vested Shares</w:t>
      </w:r>
      <w:r>
        <w:rPr>
          <w:rFonts w:ascii="Arial" w:cs="Arial" w:eastAsia="Arial" w:hAnsi="Arial"/>
          <w:sz w:val="15"/>
          <w:szCs w:val="15"/>
          <w:color w:val="auto"/>
        </w:rPr>
        <w:t>” as defined in the Award Agreement.</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 * * * * * * * * * *</w:t>
      </w:r>
    </w:p>
    <w:p>
      <w:pPr>
        <w:spacing w:after="0" w:line="132"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16</w:t>
      </w:r>
    </w:p>
    <w:p>
      <w:pPr>
        <w:sectPr>
          <w:pgSz w:w="11900" w:h="16838" w:orient="portrait"/>
          <w:cols w:equalWidth="0" w:num="1">
            <w:col w:w="11440"/>
          </w:cols>
          <w:pgMar w:left="240" w:top="253" w:right="219" w:bottom="1440" w:gutter="0" w:footer="0" w:header="0"/>
        </w:sectPr>
      </w:pPr>
    </w:p>
    <w:bookmarkStart w:id="422" w:name="page423"/>
    <w:bookmarkEnd w:id="422"/>
    <w:p>
      <w:pPr>
        <w:jc w:val="center"/>
        <w:spacing w:after="0"/>
        <w:rPr>
          <w:sz w:val="20"/>
          <w:szCs w:val="20"/>
          <w:color w:val="auto"/>
        </w:rPr>
      </w:pPr>
      <w:r>
        <w:rPr>
          <w:rFonts w:ascii="Arial" w:cs="Arial" w:eastAsia="Arial" w:hAnsi="Arial"/>
          <w:sz w:val="15"/>
          <w:szCs w:val="15"/>
          <w:b w:val="1"/>
          <w:bCs w:val="1"/>
          <w:color w:val="auto"/>
        </w:rPr>
        <w:drawing>
          <wp:anchor simplePos="0" relativeHeight="251657728" behindDoc="1" locked="0" layoutInCell="0" allowOverlap="1">
            <wp:simplePos x="0" y="0"/>
            <wp:positionH relativeFrom="page">
              <wp:posOffset>133350</wp:posOffset>
            </wp:positionH>
            <wp:positionV relativeFrom="page">
              <wp:posOffset>88900</wp:posOffset>
            </wp:positionV>
            <wp:extent cx="7308850" cy="34290"/>
            <wp:wrapNone/>
            <wp:docPr id="598" name="Picture 5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8"/>
                    <pic:cNvPicPr>
                      <a:picLocks noChangeAspect="1" noChangeArrowheads="1"/>
                    </pic:cNvPicPr>
                  </pic:nvPicPr>
                  <pic:blipFill>
                    <a:blip r:embed="rId635">
                      <a:extLst>
                        <a:ext uri="{28A0092B-C50C-407E-A947-70E740481C1C}"/>
                      </a:extLst>
                    </a:blip>
                    <a:srcRect/>
                    <a:stretch>
                      <a:fillRect/>
                    </a:stretch>
                  </pic:blipFill>
                  <pic:spPr bwMode="auto">
                    <a:xfrm>
                      <a:off x="0" y="0"/>
                      <a:ext cx="7308850" cy="34290"/>
                    </a:xfrm>
                    <a:prstGeom prst="rect">
                      <a:avLst/>
                    </a:prstGeom>
                    <a:noFill/>
                  </pic:spPr>
                </pic:pic>
              </a:graphicData>
            </a:graphic>
          </wp:anchor>
        </w:drawing>
        <w:t>DROPBOX, INC.</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2017 EQUITY INCENTIVE PLAN</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N</w:t>
      </w:r>
      <w:r>
        <w:rPr>
          <w:rFonts w:ascii="Arial" w:cs="Arial" w:eastAsia="Arial" w:hAnsi="Arial"/>
          <w:sz w:val="12"/>
          <w:szCs w:val="12"/>
          <w:b w:val="1"/>
          <w:bCs w:val="1"/>
          <w:color w:val="auto"/>
        </w:rPr>
        <w:t>OTICE OF</w:t>
      </w:r>
      <w:r>
        <w:rPr>
          <w:rFonts w:ascii="Arial" w:cs="Arial" w:eastAsia="Arial" w:hAnsi="Arial"/>
          <w:sz w:val="15"/>
          <w:szCs w:val="15"/>
          <w:b w:val="1"/>
          <w:bCs w:val="1"/>
          <w:color w:val="auto"/>
        </w:rPr>
        <w:t xml:space="preserve"> R</w:t>
      </w:r>
      <w:r>
        <w:rPr>
          <w:rFonts w:ascii="Arial" w:cs="Arial" w:eastAsia="Arial" w:hAnsi="Arial"/>
          <w:sz w:val="12"/>
          <w:szCs w:val="12"/>
          <w:b w:val="1"/>
          <w:bCs w:val="1"/>
          <w:color w:val="auto"/>
        </w:rPr>
        <w:t>ESTRICTED</w:t>
      </w:r>
      <w:r>
        <w:rPr>
          <w:rFonts w:ascii="Arial" w:cs="Arial" w:eastAsia="Arial" w:hAnsi="Arial"/>
          <w:sz w:val="15"/>
          <w:szCs w:val="15"/>
          <w:b w:val="1"/>
          <w:bCs w:val="1"/>
          <w:color w:val="auto"/>
        </w:rPr>
        <w:t xml:space="preserve"> S</w:t>
      </w:r>
      <w:r>
        <w:rPr>
          <w:rFonts w:ascii="Arial" w:cs="Arial" w:eastAsia="Arial" w:hAnsi="Arial"/>
          <w:sz w:val="12"/>
          <w:szCs w:val="12"/>
          <w:b w:val="1"/>
          <w:bCs w:val="1"/>
          <w:color w:val="auto"/>
        </w:rPr>
        <w:t>TOCK</w:t>
      </w:r>
      <w:r>
        <w:rPr>
          <w:rFonts w:ascii="Arial" w:cs="Arial" w:eastAsia="Arial" w:hAnsi="Arial"/>
          <w:sz w:val="15"/>
          <w:szCs w:val="15"/>
          <w:b w:val="1"/>
          <w:bCs w:val="1"/>
          <w:color w:val="auto"/>
        </w:rPr>
        <w:t xml:space="preserve"> U</w:t>
      </w:r>
      <w:r>
        <w:rPr>
          <w:rFonts w:ascii="Arial" w:cs="Arial" w:eastAsia="Arial" w:hAnsi="Arial"/>
          <w:sz w:val="12"/>
          <w:szCs w:val="12"/>
          <w:b w:val="1"/>
          <w:bCs w:val="1"/>
          <w:color w:val="auto"/>
        </w:rPr>
        <w:t>NIT</w:t>
      </w:r>
      <w:r>
        <w:rPr>
          <w:rFonts w:ascii="Arial" w:cs="Arial" w:eastAsia="Arial" w:hAnsi="Arial"/>
          <w:sz w:val="15"/>
          <w:szCs w:val="15"/>
          <w:b w:val="1"/>
          <w:bCs w:val="1"/>
          <w:color w:val="auto"/>
        </w:rPr>
        <w:t xml:space="preserve"> A</w:t>
      </w:r>
      <w:r>
        <w:rPr>
          <w:rFonts w:ascii="Arial" w:cs="Arial" w:eastAsia="Arial" w:hAnsi="Arial"/>
          <w:sz w:val="12"/>
          <w:szCs w:val="12"/>
          <w:b w:val="1"/>
          <w:bCs w:val="1"/>
          <w:color w:val="auto"/>
        </w:rPr>
        <w:t>WARD</w:t>
      </w:r>
    </w:p>
    <w:p>
      <w:pPr>
        <w:spacing w:after="0" w:line="192" w:lineRule="exact"/>
        <w:rPr>
          <w:sz w:val="20"/>
          <w:szCs w:val="20"/>
          <w:color w:val="auto"/>
        </w:rPr>
      </w:pPr>
    </w:p>
    <w:p>
      <w:pPr>
        <w:ind w:right="200" w:firstLine="458"/>
        <w:spacing w:after="0" w:line="275" w:lineRule="auto"/>
        <w:rPr>
          <w:sz w:val="20"/>
          <w:szCs w:val="20"/>
          <w:color w:val="auto"/>
        </w:rPr>
      </w:pPr>
      <w:r>
        <w:rPr>
          <w:rFonts w:ascii="Arial" w:cs="Arial" w:eastAsia="Arial" w:hAnsi="Arial"/>
          <w:sz w:val="15"/>
          <w:szCs w:val="15"/>
          <w:color w:val="auto"/>
        </w:rPr>
        <w:t>Unless otherwise defined herein, the terms defined in the Company’s 2017 Equity Incentive Plan (the “</w:t>
      </w:r>
      <w:r>
        <w:rPr>
          <w:rFonts w:ascii="Arial" w:cs="Arial" w:eastAsia="Arial" w:hAnsi="Arial"/>
          <w:sz w:val="15"/>
          <w:szCs w:val="15"/>
          <w:b w:val="1"/>
          <w:bCs w:val="1"/>
          <w:i w:val="1"/>
          <w:iCs w:val="1"/>
          <w:color w:val="auto"/>
        </w:rPr>
        <w:t>Plan</w:t>
      </w:r>
      <w:r>
        <w:rPr>
          <w:rFonts w:ascii="Arial" w:cs="Arial" w:eastAsia="Arial" w:hAnsi="Arial"/>
          <w:sz w:val="15"/>
          <w:szCs w:val="15"/>
          <w:color w:val="auto"/>
        </w:rPr>
        <w:t>”) shall have the same meanings in this Notice of Restricted Stock Unit Award (“</w:t>
      </w:r>
      <w:r>
        <w:rPr>
          <w:rFonts w:ascii="Arial" w:cs="Arial" w:eastAsia="Arial" w:hAnsi="Arial"/>
          <w:sz w:val="15"/>
          <w:szCs w:val="15"/>
          <w:b w:val="1"/>
          <w:bCs w:val="1"/>
          <w:i w:val="1"/>
          <w:iCs w:val="1"/>
          <w:color w:val="auto"/>
        </w:rPr>
        <w:t>Notice of Grant</w:t>
      </w:r>
      <w:r>
        <w:rPr>
          <w:rFonts w:ascii="Arial" w:cs="Arial" w:eastAsia="Arial" w:hAnsi="Arial"/>
          <w:sz w:val="15"/>
          <w:szCs w:val="15"/>
          <w:color w:val="auto"/>
        </w:rPr>
        <w:t>”).</w:t>
      </w:r>
    </w:p>
    <w:p>
      <w:pPr>
        <w:spacing w:after="0" w:line="165" w:lineRule="exact"/>
        <w:rPr>
          <w:sz w:val="20"/>
          <w:szCs w:val="20"/>
          <w:color w:val="auto"/>
        </w:rPr>
      </w:pPr>
    </w:p>
    <w:p>
      <w:pPr>
        <w:ind w:left="460"/>
        <w:spacing w:after="0"/>
        <w:tabs>
          <w:tab w:leader="none" w:pos="3080" w:val="left"/>
        </w:tabs>
        <w:rPr>
          <w:sz w:val="20"/>
          <w:szCs w:val="20"/>
          <w:color w:val="auto"/>
        </w:rPr>
      </w:pPr>
      <w:r>
        <w:rPr>
          <w:rFonts w:ascii="Arial" w:cs="Arial" w:eastAsia="Arial" w:hAnsi="Arial"/>
          <w:sz w:val="15"/>
          <w:szCs w:val="15"/>
          <w:b w:val="1"/>
          <w:bCs w:val="1"/>
          <w:color w:val="auto"/>
        </w:rPr>
        <w:t>Name:</w:t>
      </w:r>
      <w:r>
        <w:rPr>
          <w:sz w:val="20"/>
          <w:szCs w:val="20"/>
          <w:color w:val="auto"/>
        </w:rPr>
        <w:tab/>
      </w:r>
      <w:r>
        <w:rPr>
          <w:rFonts w:ascii="Arial" w:cs="Arial" w:eastAsia="Arial" w:hAnsi="Arial"/>
          <w:sz w:val="15"/>
          <w:szCs w:val="15"/>
          <w:b w:val="1"/>
          <w:bCs w:val="1"/>
          <w:color w:val="auto"/>
        </w:rPr>
        <w:t>«Name»</w:t>
      </w:r>
    </w:p>
    <w:p>
      <w:pPr>
        <w:spacing w:after="0" w:line="21" w:lineRule="exact"/>
        <w:rPr>
          <w:sz w:val="20"/>
          <w:szCs w:val="20"/>
          <w:color w:val="auto"/>
        </w:rPr>
      </w:pPr>
    </w:p>
    <w:p>
      <w:pPr>
        <w:jc w:val="both"/>
        <w:ind w:left="460"/>
        <w:spacing w:after="0"/>
        <w:tabs>
          <w:tab w:leader="none" w:pos="3080" w:val="left"/>
        </w:tabs>
        <w:rPr>
          <w:sz w:val="20"/>
          <w:szCs w:val="20"/>
          <w:color w:val="auto"/>
        </w:rPr>
      </w:pPr>
      <w:r>
        <w:rPr>
          <w:rFonts w:ascii="Arial" w:cs="Arial" w:eastAsia="Arial" w:hAnsi="Arial"/>
          <w:sz w:val="15"/>
          <w:szCs w:val="15"/>
          <w:b w:val="1"/>
          <w:bCs w:val="1"/>
          <w:color w:val="auto"/>
        </w:rPr>
        <w:t>Address:</w:t>
      </w:r>
      <w:r>
        <w:rPr>
          <w:sz w:val="20"/>
          <w:szCs w:val="20"/>
          <w:color w:val="auto"/>
        </w:rPr>
        <w:tab/>
      </w:r>
      <w:r>
        <w:rPr>
          <w:rFonts w:ascii="Arial" w:cs="Arial" w:eastAsia="Arial" w:hAnsi="Arial"/>
          <w:sz w:val="15"/>
          <w:szCs w:val="15"/>
          <w:color w:val="auto"/>
        </w:rPr>
        <w:t>«Address1»</w:t>
      </w:r>
    </w:p>
    <w:p>
      <w:pPr>
        <w:spacing w:after="0" w:line="8" w:lineRule="exact"/>
        <w:rPr>
          <w:sz w:val="20"/>
          <w:szCs w:val="20"/>
          <w:color w:val="auto"/>
        </w:rPr>
      </w:pPr>
    </w:p>
    <w:p>
      <w:pPr>
        <w:jc w:val="right"/>
        <w:ind w:right="7600"/>
        <w:spacing w:after="0"/>
        <w:rPr>
          <w:sz w:val="20"/>
          <w:szCs w:val="20"/>
          <w:color w:val="auto"/>
        </w:rPr>
      </w:pPr>
      <w:r>
        <w:rPr>
          <w:rFonts w:ascii="Arial" w:cs="Arial" w:eastAsia="Arial" w:hAnsi="Arial"/>
          <w:sz w:val="15"/>
          <w:szCs w:val="15"/>
          <w:color w:val="auto"/>
        </w:rPr>
        <w:t>«Address2»</w:t>
      </w:r>
    </w:p>
    <w:p>
      <w:pPr>
        <w:spacing w:after="0" w:line="179" w:lineRule="exact"/>
        <w:rPr>
          <w:sz w:val="20"/>
          <w:szCs w:val="20"/>
          <w:color w:val="auto"/>
        </w:rPr>
      </w:pPr>
    </w:p>
    <w:p>
      <w:pPr>
        <w:ind w:right="220"/>
        <w:spacing w:after="0" w:line="275" w:lineRule="auto"/>
        <w:rPr>
          <w:sz w:val="20"/>
          <w:szCs w:val="20"/>
          <w:color w:val="auto"/>
        </w:rPr>
      </w:pPr>
      <w:r>
        <w:rPr>
          <w:rFonts w:ascii="Arial" w:cs="Arial" w:eastAsia="Arial" w:hAnsi="Arial"/>
          <w:sz w:val="15"/>
          <w:szCs w:val="15"/>
          <w:color w:val="auto"/>
        </w:rPr>
        <w:t>You (“</w:t>
      </w:r>
      <w:r>
        <w:rPr>
          <w:rFonts w:ascii="Arial" w:cs="Arial" w:eastAsia="Arial" w:hAnsi="Arial"/>
          <w:sz w:val="15"/>
          <w:szCs w:val="15"/>
          <w:b w:val="1"/>
          <w:bCs w:val="1"/>
          <w:i w:val="1"/>
          <w:iCs w:val="1"/>
          <w:color w:val="auto"/>
        </w:rPr>
        <w:t>Participant</w:t>
      </w:r>
      <w:r>
        <w:rPr>
          <w:rFonts w:ascii="Arial" w:cs="Arial" w:eastAsia="Arial" w:hAnsi="Arial"/>
          <w:sz w:val="15"/>
          <w:szCs w:val="15"/>
          <w:color w:val="auto"/>
        </w:rPr>
        <w:t>”) have been granted an award of Restricted Stock Units (“</w:t>
      </w:r>
      <w:r>
        <w:rPr>
          <w:rFonts w:ascii="Arial" w:cs="Arial" w:eastAsia="Arial" w:hAnsi="Arial"/>
          <w:sz w:val="15"/>
          <w:szCs w:val="15"/>
          <w:b w:val="1"/>
          <w:bCs w:val="1"/>
          <w:i w:val="1"/>
          <w:iCs w:val="1"/>
          <w:color w:val="auto"/>
        </w:rPr>
        <w:t>RSUs</w:t>
      </w:r>
      <w:r>
        <w:rPr>
          <w:rFonts w:ascii="Arial" w:cs="Arial" w:eastAsia="Arial" w:hAnsi="Arial"/>
          <w:sz w:val="15"/>
          <w:szCs w:val="15"/>
          <w:color w:val="auto"/>
        </w:rPr>
        <w:t>”) under the Plan, subject to the terms and conditions of the Plan and the attached Restricted Stock Unit Agreement (hereinafter “</w:t>
      </w:r>
      <w:r>
        <w:rPr>
          <w:rFonts w:ascii="Arial" w:cs="Arial" w:eastAsia="Arial" w:hAnsi="Arial"/>
          <w:sz w:val="15"/>
          <w:szCs w:val="15"/>
          <w:b w:val="1"/>
          <w:bCs w:val="1"/>
          <w:i w:val="1"/>
          <w:iCs w:val="1"/>
          <w:color w:val="auto"/>
        </w:rPr>
        <w:t>RSU Agreement</w:t>
      </w:r>
      <w:r>
        <w:rPr>
          <w:rFonts w:ascii="Arial" w:cs="Arial" w:eastAsia="Arial" w:hAnsi="Arial"/>
          <w:sz w:val="15"/>
          <w:szCs w:val="15"/>
          <w:color w:val="auto"/>
        </w:rPr>
        <w:t>”), as follows:</w:t>
      </w:r>
    </w:p>
    <w:p>
      <w:pPr>
        <w:sectPr>
          <w:pgSz w:w="11900" w:h="16838" w:orient="portrait"/>
          <w:cols w:equalWidth="0" w:num="1">
            <w:col w:w="11420"/>
          </w:cols>
          <w:pgMar w:left="240" w:top="249" w:right="239" w:bottom="1440" w:gutter="0" w:footer="0" w:header="0"/>
        </w:sectPr>
      </w:pPr>
    </w:p>
    <w:p>
      <w:pPr>
        <w:spacing w:after="0" w:line="165" w:lineRule="exact"/>
        <w:rPr>
          <w:sz w:val="20"/>
          <w:szCs w:val="20"/>
          <w:color w:val="auto"/>
        </w:rPr>
      </w:pPr>
    </w:p>
    <w:p>
      <w:pPr>
        <w:ind w:left="460"/>
        <w:spacing w:after="0"/>
        <w:rPr>
          <w:sz w:val="20"/>
          <w:szCs w:val="20"/>
          <w:color w:val="auto"/>
        </w:rPr>
      </w:pPr>
      <w:r>
        <w:rPr>
          <w:rFonts w:ascii="Arial" w:cs="Arial" w:eastAsia="Arial" w:hAnsi="Arial"/>
          <w:sz w:val="14"/>
          <w:szCs w:val="14"/>
          <w:b w:val="1"/>
          <w:bCs w:val="1"/>
          <w:color w:val="auto"/>
        </w:rPr>
        <w:t>RSU Grant Number:</w:t>
      </w:r>
    </w:p>
    <w:p>
      <w:pPr>
        <w:spacing w:after="0" w:line="20" w:lineRule="exact"/>
        <w:rPr>
          <w:sz w:val="20"/>
          <w:szCs w:val="20"/>
          <w:color w:val="auto"/>
        </w:rPr>
      </w:pPr>
      <w:r>
        <w:rPr>
          <w:sz w:val="20"/>
          <w:szCs w:val="20"/>
          <w:color w:val="auto"/>
        </w:rPr>
        <w:br w:type="column"/>
      </w:r>
    </w:p>
    <w:p>
      <w:pPr>
        <w:spacing w:after="0" w:line="149" w:lineRule="exact"/>
        <w:rPr>
          <w:sz w:val="20"/>
          <w:szCs w:val="20"/>
          <w:color w:val="auto"/>
        </w:rPr>
      </w:pPr>
    </w:p>
    <w:p>
      <w:pPr>
        <w:spacing w:after="0"/>
        <w:rPr>
          <w:sz w:val="20"/>
          <w:szCs w:val="20"/>
          <w:color w:val="auto"/>
        </w:rPr>
      </w:pPr>
      <w:r>
        <w:rPr>
          <w:rFonts w:ascii="Arial" w:cs="Arial" w:eastAsia="Arial" w:hAnsi="Arial"/>
          <w:sz w:val="13"/>
          <w:szCs w:val="13"/>
          <w:color w:val="auto"/>
        </w:rPr>
        <w:t>«GrantNo»</w:t>
      </w:r>
    </w:p>
    <w:p>
      <w:pPr>
        <w:spacing w:after="0" w:line="117" w:lineRule="exact"/>
        <w:rPr>
          <w:sz w:val="20"/>
          <w:szCs w:val="20"/>
          <w:color w:val="auto"/>
        </w:rPr>
      </w:pPr>
    </w:p>
    <w:p>
      <w:pPr>
        <w:sectPr>
          <w:pgSz w:w="11900" w:h="16838" w:orient="portrait"/>
          <w:cols w:equalWidth="0" w:num="2">
            <w:col w:w="2380" w:space="720"/>
            <w:col w:w="8320"/>
          </w:cols>
          <w:pgMar w:left="240" w:top="249" w:right="239" w:bottom="1440" w:gutter="0" w:footer="0" w:header="0"/>
          <w:type w:val="continuous"/>
        </w:sectPr>
      </w:pPr>
    </w:p>
    <w:p>
      <w:pPr>
        <w:ind w:left="460"/>
        <w:spacing w:after="0"/>
        <w:rPr>
          <w:sz w:val="20"/>
          <w:szCs w:val="20"/>
          <w:color w:val="auto"/>
        </w:rPr>
      </w:pPr>
      <w:r>
        <w:rPr>
          <w:rFonts w:ascii="Arial" w:cs="Arial" w:eastAsia="Arial" w:hAnsi="Arial"/>
          <w:sz w:val="13"/>
          <w:szCs w:val="13"/>
          <w:b w:val="1"/>
          <w:bCs w:val="1"/>
          <w:color w:val="auto"/>
        </w:rPr>
        <w:t>Total Number of RSUs: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2"/>
          <w:szCs w:val="12"/>
          <w:color w:val="auto"/>
        </w:rPr>
        <w:t>«Shares»</w:t>
      </w:r>
    </w:p>
    <w:p>
      <w:pPr>
        <w:spacing w:after="0" w:line="128" w:lineRule="exact"/>
        <w:rPr>
          <w:sz w:val="20"/>
          <w:szCs w:val="20"/>
          <w:color w:val="auto"/>
        </w:rPr>
      </w:pPr>
    </w:p>
    <w:p>
      <w:pPr>
        <w:sectPr>
          <w:pgSz w:w="11900" w:h="16838" w:orient="portrait"/>
          <w:cols w:equalWidth="0" w:num="2">
            <w:col w:w="2380" w:space="720"/>
            <w:col w:w="8320"/>
          </w:cols>
          <w:pgMar w:left="240" w:top="249" w:right="239" w:bottom="1440" w:gutter="0" w:footer="0" w:header="0"/>
          <w:type w:val="continuous"/>
        </w:sectPr>
      </w:pPr>
    </w:p>
    <w:p>
      <w:pPr>
        <w:ind w:left="460"/>
        <w:spacing w:after="0"/>
        <w:rPr>
          <w:sz w:val="20"/>
          <w:szCs w:val="20"/>
          <w:color w:val="auto"/>
        </w:rPr>
      </w:pPr>
      <w:r>
        <w:rPr>
          <w:rFonts w:ascii="Arial" w:cs="Arial" w:eastAsia="Arial" w:hAnsi="Arial"/>
          <w:sz w:val="14"/>
          <w:szCs w:val="14"/>
          <w:b w:val="1"/>
          <w:bCs w:val="1"/>
          <w:color w:val="auto"/>
        </w:rPr>
        <w:t>RSU Grant Date: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3"/>
          <w:szCs w:val="13"/>
          <w:color w:val="auto"/>
        </w:rPr>
        <w:t>«GrantDate»</w:t>
      </w:r>
    </w:p>
    <w:p>
      <w:pPr>
        <w:spacing w:after="0" w:line="117" w:lineRule="exact"/>
        <w:rPr>
          <w:sz w:val="20"/>
          <w:szCs w:val="20"/>
          <w:color w:val="auto"/>
        </w:rPr>
      </w:pPr>
    </w:p>
    <w:p>
      <w:pPr>
        <w:sectPr>
          <w:pgSz w:w="11900" w:h="16838" w:orient="portrait"/>
          <w:cols w:equalWidth="0" w:num="2">
            <w:col w:w="2380" w:space="720"/>
            <w:col w:w="8320"/>
          </w:cols>
          <w:pgMar w:left="240" w:top="249" w:right="239" w:bottom="1440" w:gutter="0" w:footer="0" w:header="0"/>
          <w:type w:val="continuous"/>
        </w:sectPr>
      </w:pPr>
    </w:p>
    <w:p>
      <w:pPr>
        <w:ind w:left="460"/>
        <w:spacing w:after="0"/>
        <w:rPr>
          <w:sz w:val="20"/>
          <w:szCs w:val="20"/>
          <w:color w:val="auto"/>
        </w:rPr>
      </w:pPr>
      <w:r>
        <w:rPr>
          <w:rFonts w:ascii="Arial" w:cs="Arial" w:eastAsia="Arial" w:hAnsi="Arial"/>
          <w:sz w:val="13"/>
          <w:szCs w:val="13"/>
          <w:b w:val="1"/>
          <w:bCs w:val="1"/>
          <w:color w:val="auto"/>
        </w:rPr>
        <w:t>Vesting Start Date: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4"/>
          <w:szCs w:val="14"/>
          <w:color w:val="auto"/>
        </w:rPr>
        <w:t>«VCD»</w:t>
      </w:r>
    </w:p>
    <w:p>
      <w:pPr>
        <w:spacing w:after="0" w:line="106" w:lineRule="exact"/>
        <w:rPr>
          <w:sz w:val="20"/>
          <w:szCs w:val="20"/>
          <w:color w:val="auto"/>
        </w:rPr>
      </w:pPr>
    </w:p>
    <w:p>
      <w:pPr>
        <w:sectPr>
          <w:pgSz w:w="11900" w:h="16838" w:orient="portrait"/>
          <w:cols w:equalWidth="0" w:num="2">
            <w:col w:w="2380" w:space="720"/>
            <w:col w:w="8320"/>
          </w:cols>
          <w:pgMar w:left="240" w:top="249" w:right="239" w:bottom="1440" w:gutter="0" w:footer="0" w:header="0"/>
          <w:type w:val="continuous"/>
        </w:sectPr>
      </w:pPr>
    </w:p>
    <w:p>
      <w:pPr>
        <w:ind w:left="440"/>
        <w:spacing w:after="0" w:line="280" w:lineRule="auto"/>
        <w:rPr>
          <w:sz w:val="20"/>
          <w:szCs w:val="20"/>
          <w:color w:val="auto"/>
        </w:rPr>
      </w:pPr>
      <w:r>
        <w:rPr>
          <w:rFonts w:ascii="Arial" w:cs="Arial" w:eastAsia="Arial" w:hAnsi="Arial"/>
          <w:sz w:val="15"/>
          <w:szCs w:val="15"/>
          <w:b w:val="1"/>
          <w:bCs w:val="1"/>
          <w:color w:val="auto"/>
        </w:rPr>
        <w:t xml:space="preserve">Expiration Date: </w:t>
      </w:r>
      <w:r>
        <w:rPr>
          <w:rFonts w:ascii="Arial" w:cs="Arial" w:eastAsia="Arial" w:hAnsi="Arial"/>
          <w:sz w:val="15"/>
          <w:szCs w:val="15"/>
          <w:color w:val="auto"/>
        </w:rPr>
        <w:t>The earlier to occur of (a) the date on which settlement of all RSUs granted hereunder occurs and (b) the tenth anniversary of the RSU Grant Date. Notwithstanding</w:t>
      </w:r>
      <w:r>
        <w:rPr>
          <w:rFonts w:ascii="Arial" w:cs="Arial" w:eastAsia="Arial" w:hAnsi="Arial"/>
          <w:sz w:val="15"/>
          <w:szCs w:val="15"/>
          <w:b w:val="1"/>
          <w:bCs w:val="1"/>
          <w:color w:val="auto"/>
        </w:rPr>
        <w:t xml:space="preserve"> </w:t>
      </w:r>
      <w:r>
        <w:rPr>
          <w:rFonts w:ascii="Arial" w:cs="Arial" w:eastAsia="Arial" w:hAnsi="Arial"/>
          <w:sz w:val="15"/>
          <w:szCs w:val="15"/>
          <w:color w:val="auto"/>
        </w:rPr>
        <w:t>the foregoing, this RSU expires earlier if your Continuous Service Status (defined below) terminates earlier, as described in the RSU Agreement.</w:t>
      </w:r>
    </w:p>
    <w:p>
      <w:pPr>
        <w:spacing w:after="0" w:line="49" w:lineRule="exact"/>
        <w:rPr>
          <w:sz w:val="20"/>
          <w:szCs w:val="20"/>
          <w:color w:val="auto"/>
        </w:rPr>
      </w:pPr>
    </w:p>
    <w:p>
      <w:pPr>
        <w:ind w:left="440" w:right="60"/>
        <w:spacing w:after="0" w:line="325" w:lineRule="auto"/>
        <w:rPr>
          <w:sz w:val="20"/>
          <w:szCs w:val="20"/>
          <w:color w:val="auto"/>
        </w:rPr>
      </w:pPr>
      <w:r>
        <w:rPr>
          <w:rFonts w:ascii="Arial" w:cs="Arial" w:eastAsia="Arial" w:hAnsi="Arial"/>
          <w:sz w:val="13"/>
          <w:szCs w:val="13"/>
          <w:b w:val="1"/>
          <w:bCs w:val="1"/>
          <w:color w:val="auto"/>
        </w:rPr>
        <w:t xml:space="preserve">Vesting Schedule: </w:t>
      </w:r>
      <w:r>
        <w:rPr>
          <w:rFonts w:ascii="Arial" w:cs="Arial" w:eastAsia="Arial" w:hAnsi="Arial"/>
          <w:sz w:val="13"/>
          <w:szCs w:val="13"/>
          <w:color w:val="auto"/>
        </w:rPr>
        <w:t>Subject to the limitations set forth in this Notice, the Plan and the RSU Agreement, 25% of the total number of RSUs will vest on the 12 month anniversary of the</w:t>
      </w:r>
      <w:r>
        <w:rPr>
          <w:rFonts w:ascii="Arial" w:cs="Arial" w:eastAsia="Arial" w:hAnsi="Arial"/>
          <w:sz w:val="13"/>
          <w:szCs w:val="13"/>
          <w:b w:val="1"/>
          <w:bCs w:val="1"/>
          <w:color w:val="auto"/>
        </w:rPr>
        <w:t xml:space="preserve"> </w:t>
      </w:r>
      <w:r>
        <w:rPr>
          <w:rFonts w:ascii="Arial" w:cs="Arial" w:eastAsia="Arial" w:hAnsi="Arial"/>
          <w:sz w:val="13"/>
          <w:szCs w:val="13"/>
          <w:color w:val="auto"/>
        </w:rPr>
        <w:t>Vesting Start Date and 6.25% of the total number of RSUs will vest on each quarterly anniversary thereafter so long as your Continuous Service Status continues. “</w:t>
      </w:r>
      <w:r>
        <w:rPr>
          <w:rFonts w:ascii="Arial" w:cs="Arial" w:eastAsia="Arial" w:hAnsi="Arial"/>
          <w:sz w:val="13"/>
          <w:szCs w:val="13"/>
          <w:b w:val="1"/>
          <w:bCs w:val="1"/>
          <w:color w:val="auto"/>
        </w:rPr>
        <w:t>Continuous</w:t>
      </w:r>
      <w:r>
        <w:rPr>
          <w:rFonts w:ascii="Arial" w:cs="Arial" w:eastAsia="Arial" w:hAnsi="Arial"/>
          <w:sz w:val="13"/>
          <w:szCs w:val="13"/>
          <w:color w:val="auto"/>
        </w:rPr>
        <w:t xml:space="preserve"> </w:t>
      </w:r>
      <w:r>
        <w:rPr>
          <w:rFonts w:ascii="Arial" w:cs="Arial" w:eastAsia="Arial" w:hAnsi="Arial"/>
          <w:sz w:val="13"/>
          <w:szCs w:val="13"/>
          <w:b w:val="1"/>
          <w:bCs w:val="1"/>
          <w:color w:val="auto"/>
        </w:rPr>
        <w:t>Service Status</w:t>
      </w:r>
      <w:r>
        <w:rPr>
          <w:rFonts w:ascii="Arial" w:cs="Arial" w:eastAsia="Arial" w:hAnsi="Arial"/>
          <w:sz w:val="13"/>
          <w:szCs w:val="13"/>
          <w:color w:val="auto"/>
        </w:rPr>
        <w:t>” means Participant continues to provide services as an employee, officer, director or consultant to the Company or a Parent or Subsidiary of the Company.</w:t>
      </w:r>
    </w:p>
    <w:p>
      <w:pPr>
        <w:spacing w:after="0" w:line="118" w:lineRule="exact"/>
        <w:rPr>
          <w:sz w:val="20"/>
          <w:szCs w:val="20"/>
          <w:color w:val="auto"/>
        </w:rPr>
      </w:pPr>
    </w:p>
    <w:p>
      <w:pPr>
        <w:ind w:right="220"/>
        <w:spacing w:after="0" w:line="290" w:lineRule="auto"/>
        <w:rPr>
          <w:sz w:val="20"/>
          <w:szCs w:val="20"/>
          <w:color w:val="auto"/>
        </w:rPr>
      </w:pPr>
      <w:r>
        <w:rPr>
          <w:rFonts w:ascii="Arial" w:cs="Arial" w:eastAsia="Arial" w:hAnsi="Arial"/>
          <w:sz w:val="14"/>
          <w:szCs w:val="14"/>
          <w:color w:val="auto"/>
        </w:rPr>
        <w:t>Participant understands that his or her employment or consulting relationship with the Company is for an unspecified duration, can be terminated at any time (</w:t>
      </w:r>
      <w:r>
        <w:rPr>
          <w:rFonts w:ascii="Arial" w:cs="Arial" w:eastAsia="Arial" w:hAnsi="Arial"/>
          <w:sz w:val="14"/>
          <w:szCs w:val="14"/>
          <w:i w:val="1"/>
          <w:iCs w:val="1"/>
          <w:color w:val="auto"/>
        </w:rPr>
        <w:t>i.e.</w:t>
      </w:r>
      <w:r>
        <w:rPr>
          <w:rFonts w:ascii="Arial" w:cs="Arial" w:eastAsia="Arial" w:hAnsi="Arial"/>
          <w:sz w:val="14"/>
          <w:szCs w:val="14"/>
          <w:color w:val="auto"/>
        </w:rPr>
        <w:t>, is “at-will”), and that nothing in this Notice of Grant, the RSU Agreement or the Plan changes the at-will nature of that relationship. Participant also understands that this Notice of Grant is subject to the terms and conditions of both the RSU Agreement and the Plan, both of which are incorporated herein by reference. Participant has read both the RSU Agreement and the Plan.</w:t>
      </w:r>
    </w:p>
    <w:p>
      <w:pPr>
        <w:spacing w:after="0" w:line="138" w:lineRule="exact"/>
        <w:rPr>
          <w:sz w:val="20"/>
          <w:szCs w:val="20"/>
          <w:color w:val="auto"/>
        </w:rPr>
      </w:pPr>
    </w:p>
    <w:p>
      <w:pPr>
        <w:ind w:right="20"/>
        <w:spacing w:after="0" w:line="305" w:lineRule="auto"/>
        <w:rPr>
          <w:sz w:val="20"/>
          <w:szCs w:val="20"/>
          <w:color w:val="auto"/>
        </w:rPr>
      </w:pPr>
      <w:r>
        <w:rPr>
          <w:rFonts w:ascii="Arial" w:cs="Arial" w:eastAsia="Arial" w:hAnsi="Arial"/>
          <w:sz w:val="13"/>
          <w:szCs w:val="13"/>
          <w:color w:val="auto"/>
        </w:rPr>
        <w:t>You hereby consent to receive such documents by electronic delivery and agree to participate in the Plan through an on-line or electronic system established and maintained by the Company or any third party involved in administering the Plan that the Company may designate. By your acceptance hereof (whether written, electronic or otherwise), you agree, to the fullest extent permitted by law, that in lieu of receiving documents in paper format, you accept the electronic delivery of any documents the Company, or any third party involved in administering the Plan which the Company may designate, may deliver in connection with this grant (including the Plan, the Notice of Grant, this Agreement, the 701 Disclosures, account statements, or other communications or information) whether via the Company’s intranet or the Internet site of such third party or via email or such other means of electronic delivery specified by the Company.</w:t>
      </w:r>
    </w:p>
    <w:p>
      <w:pPr>
        <w:spacing w:after="0" w:line="7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- 1 -</w:t>
      </w:r>
    </w:p>
    <w:p>
      <w:pPr>
        <w:sectPr>
          <w:pgSz w:w="11900" w:h="16838" w:orient="portrait"/>
          <w:cols w:equalWidth="0" w:num="1">
            <w:col w:w="11420"/>
          </w:cols>
          <w:pgMar w:left="240" w:top="249" w:right="239" w:bottom="1440" w:gutter="0" w:footer="0" w:header="0"/>
          <w:type w:val="continuous"/>
        </w:sectPr>
      </w:pPr>
    </w:p>
    <w:bookmarkStart w:id="423" w:name="page424"/>
    <w:bookmarkEnd w:id="423"/>
    <w:p>
      <w:pPr>
        <w:spacing w:after="0" w:line="275"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133350</wp:posOffset>
            </wp:positionH>
            <wp:positionV relativeFrom="page">
              <wp:posOffset>88900</wp:posOffset>
            </wp:positionV>
            <wp:extent cx="7308850" cy="34290"/>
            <wp:wrapNone/>
            <wp:docPr id="599" name="Picture 5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9"/>
                    <pic:cNvPicPr>
                      <a:picLocks noChangeAspect="1" noChangeArrowheads="1"/>
                    </pic:cNvPicPr>
                  </pic:nvPicPr>
                  <pic:blipFill>
                    <a:blip r:embed="rId636">
                      <a:extLst>
                        <a:ext uri="{28A0092B-C50C-407E-A947-70E740481C1C}"/>
                      </a:extLst>
                    </a:blip>
                    <a:srcRect/>
                    <a:stretch>
                      <a:fillRect/>
                    </a:stretch>
                  </pic:blipFill>
                  <pic:spPr bwMode="auto">
                    <a:xfrm>
                      <a:off x="0" y="0"/>
                      <a:ext cx="7308850" cy="34290"/>
                    </a:xfrm>
                    <a:prstGeom prst="rect">
                      <a:avLst/>
                    </a:prstGeom>
                    <a:noFill/>
                  </pic:spPr>
                </pic:pic>
              </a:graphicData>
            </a:graphic>
          </wp:anchor>
        </w:drawing>
        <w:t>By your signature and the signature of the Company’s representative on the Notice of Grant, Participant and the Company agree that this RSU is granted under and governed by the terms and conditions of the Plan, the Notice of Grant and the RSU Agreement.</w:t>
      </w:r>
    </w:p>
    <w:p>
      <w:pPr>
        <w:spacing w:after="0" w:line="165" w:lineRule="exact"/>
        <w:rPr>
          <w:sz w:val="20"/>
          <w:szCs w:val="20"/>
          <w:color w:val="auto"/>
        </w:rPr>
      </w:pPr>
    </w:p>
    <w:p>
      <w:pPr>
        <w:spacing w:after="0"/>
        <w:tabs>
          <w:tab w:leader="none" w:pos="6380" w:val="left"/>
        </w:tabs>
        <w:rPr>
          <w:sz w:val="20"/>
          <w:szCs w:val="20"/>
          <w:color w:val="auto"/>
        </w:rPr>
      </w:pPr>
      <w:r>
        <w:rPr>
          <w:rFonts w:ascii="Arial" w:cs="Arial" w:eastAsia="Arial" w:hAnsi="Arial"/>
          <w:sz w:val="15"/>
          <w:szCs w:val="15"/>
          <w:b w:val="1"/>
          <w:bCs w:val="1"/>
          <w:color w:val="auto"/>
        </w:rPr>
        <w:t>PARTICIPANT</w:t>
      </w:r>
      <w:r>
        <w:rPr>
          <w:sz w:val="20"/>
          <w:szCs w:val="20"/>
          <w:color w:val="auto"/>
        </w:rPr>
        <w:tab/>
      </w:r>
      <w:r>
        <w:rPr>
          <w:rFonts w:ascii="Arial" w:cs="Arial" w:eastAsia="Arial" w:hAnsi="Arial"/>
          <w:sz w:val="15"/>
          <w:szCs w:val="15"/>
          <w:b w:val="1"/>
          <w:bCs w:val="1"/>
          <w:color w:val="auto"/>
        </w:rPr>
        <w:t>DROPBOX, INC.</w:t>
      </w:r>
    </w:p>
    <w:p>
      <w:pPr>
        <w:spacing w:after="0" w:line="188"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«N</w:t>
      </w:r>
      <w:r>
        <w:rPr>
          <w:rFonts w:ascii="Arial" w:cs="Arial" w:eastAsia="Arial" w:hAnsi="Arial"/>
          <w:sz w:val="12"/>
          <w:szCs w:val="12"/>
          <w:b w:val="1"/>
          <w:bCs w:val="1"/>
          <w:color w:val="auto"/>
        </w:rPr>
        <w:t>AME</w:t>
      </w:r>
      <w:r>
        <w:rPr>
          <w:rFonts w:ascii="Arial" w:cs="Arial" w:eastAsia="Arial" w:hAnsi="Arial"/>
          <w:sz w:val="15"/>
          <w:szCs w:val="15"/>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128905</wp:posOffset>
            </wp:positionV>
            <wp:extent cx="3058160" cy="6985"/>
            <wp:wrapNone/>
            <wp:docPr id="600" name="Picture 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0"/>
                    <pic:cNvPicPr>
                      <a:picLocks noChangeAspect="1" noChangeArrowheads="1"/>
                    </pic:cNvPicPr>
                  </pic:nvPicPr>
                  <pic:blipFill>
                    <a:blip r:embed="rId637">
                      <a:extLst>
                        <a:ext uri="{28A0092B-C50C-407E-A947-70E740481C1C}"/>
                      </a:extLst>
                    </a:blip>
                    <a:srcRect/>
                    <a:stretch>
                      <a:fillRect/>
                    </a:stretch>
                  </pic:blipFill>
                  <pic:spPr bwMode="auto">
                    <a:xfrm>
                      <a:off x="0" y="0"/>
                      <a:ext cx="3058160" cy="6985"/>
                    </a:xfrm>
                    <a:prstGeom prst="rect">
                      <a:avLst/>
                    </a:prstGeom>
                    <a:noFill/>
                  </pic:spPr>
                </pic:pic>
              </a:graphicData>
            </a:graphic>
          </wp:anchor>
        </w:drawing>
        <w:drawing>
          <wp:anchor simplePos="0" relativeHeight="251657728" behindDoc="1" locked="0" layoutInCell="0" allowOverlap="1">
            <wp:simplePos x="0" y="0"/>
            <wp:positionH relativeFrom="column">
              <wp:posOffset>4069080</wp:posOffset>
            </wp:positionH>
            <wp:positionV relativeFrom="paragraph">
              <wp:posOffset>114300</wp:posOffset>
            </wp:positionV>
            <wp:extent cx="3194050" cy="6985"/>
            <wp:wrapNone/>
            <wp:docPr id="601" name="Picture 6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1"/>
                    <pic:cNvPicPr>
                      <a:picLocks noChangeAspect="1" noChangeArrowheads="1"/>
                    </pic:cNvPicPr>
                  </pic:nvPicPr>
                  <pic:blipFill>
                    <a:blip r:embed="rId638">
                      <a:extLst>
                        <a:ext uri="{28A0092B-C50C-407E-A947-70E740481C1C}"/>
                      </a:extLst>
                    </a:blip>
                    <a:srcRect/>
                    <a:stretch>
                      <a:fillRect/>
                    </a:stretch>
                  </pic:blipFill>
                  <pic:spPr bwMode="auto">
                    <a:xfrm>
                      <a:off x="0" y="0"/>
                      <a:ext cx="3194050" cy="6985"/>
                    </a:xfrm>
                    <a:prstGeom prst="rect">
                      <a:avLst/>
                    </a:prstGeom>
                    <a:noFill/>
                  </pic:spPr>
                </pic:pic>
              </a:graphicData>
            </a:graphic>
          </wp:anchor>
        </w:drawing>
      </w: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- 2 -</w:t>
      </w:r>
    </w:p>
    <w:p>
      <w:pPr>
        <w:sectPr>
          <w:pgSz w:w="11900" w:h="16838" w:orient="portrait"/>
          <w:cols w:equalWidth="0" w:num="1">
            <w:col w:w="11440"/>
          </w:cols>
          <w:pgMar w:left="240" w:top="253" w:right="219" w:bottom="1440" w:gutter="0" w:footer="0" w:header="0"/>
        </w:sectPr>
      </w:pPr>
    </w:p>
    <w:bookmarkStart w:id="424" w:name="page425"/>
    <w:bookmarkEnd w:id="424"/>
    <w:p>
      <w:pPr>
        <w:jc w:val="center"/>
        <w:ind w:right="-9"/>
        <w:spacing w:after="0"/>
        <w:rPr>
          <w:sz w:val="20"/>
          <w:szCs w:val="20"/>
          <w:color w:val="auto"/>
        </w:rPr>
      </w:pPr>
      <w:r>
        <w:rPr>
          <w:rFonts w:ascii="Arial" w:cs="Arial" w:eastAsia="Arial" w:hAnsi="Arial"/>
          <w:sz w:val="15"/>
          <w:szCs w:val="15"/>
          <w:b w:val="1"/>
          <w:bCs w:val="1"/>
          <w:color w:val="auto"/>
        </w:rPr>
        <w:drawing>
          <wp:anchor simplePos="0" relativeHeight="251657728" behindDoc="1" locked="0" layoutInCell="0" allowOverlap="1">
            <wp:simplePos x="0" y="0"/>
            <wp:positionH relativeFrom="page">
              <wp:posOffset>133350</wp:posOffset>
            </wp:positionH>
            <wp:positionV relativeFrom="page">
              <wp:posOffset>88900</wp:posOffset>
            </wp:positionV>
            <wp:extent cx="7308850" cy="34290"/>
            <wp:wrapNone/>
            <wp:docPr id="602" name="Picture 6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2"/>
                    <pic:cNvPicPr>
                      <a:picLocks noChangeAspect="1" noChangeArrowheads="1"/>
                    </pic:cNvPicPr>
                  </pic:nvPicPr>
                  <pic:blipFill>
                    <a:blip r:embed="rId639">
                      <a:extLst>
                        <a:ext uri="{28A0092B-C50C-407E-A947-70E740481C1C}"/>
                      </a:extLst>
                    </a:blip>
                    <a:srcRect/>
                    <a:stretch>
                      <a:fillRect/>
                    </a:stretch>
                  </pic:blipFill>
                  <pic:spPr bwMode="auto">
                    <a:xfrm>
                      <a:off x="0" y="0"/>
                      <a:ext cx="7308850" cy="34290"/>
                    </a:xfrm>
                    <a:prstGeom prst="rect">
                      <a:avLst/>
                    </a:prstGeom>
                    <a:noFill/>
                  </pic:spPr>
                </pic:pic>
              </a:graphicData>
            </a:graphic>
          </wp:anchor>
        </w:drawing>
        <w:t>DROPBOX, INC.</w:t>
      </w:r>
    </w:p>
    <w:p>
      <w:pPr>
        <w:spacing w:after="0" w:line="21" w:lineRule="exact"/>
        <w:rPr>
          <w:sz w:val="20"/>
          <w:szCs w:val="20"/>
          <w:color w:val="auto"/>
        </w:rPr>
      </w:pPr>
    </w:p>
    <w:p>
      <w:pPr>
        <w:ind w:left="4750"/>
        <w:spacing w:after="0"/>
        <w:rPr>
          <w:sz w:val="20"/>
          <w:szCs w:val="20"/>
          <w:color w:val="auto"/>
        </w:rPr>
      </w:pPr>
      <w:r>
        <w:rPr>
          <w:rFonts w:ascii="Arial" w:cs="Arial" w:eastAsia="Arial" w:hAnsi="Arial"/>
          <w:sz w:val="15"/>
          <w:szCs w:val="15"/>
          <w:b w:val="1"/>
          <w:bCs w:val="1"/>
          <w:color w:val="auto"/>
        </w:rPr>
        <w:t>RSU A</w:t>
      </w:r>
      <w:r>
        <w:rPr>
          <w:rFonts w:ascii="Arial" w:cs="Arial" w:eastAsia="Arial" w:hAnsi="Arial"/>
          <w:sz w:val="12"/>
          <w:szCs w:val="12"/>
          <w:b w:val="1"/>
          <w:bCs w:val="1"/>
          <w:color w:val="auto"/>
        </w:rPr>
        <w:t>GREEMENT UNDER THE</w:t>
      </w:r>
    </w:p>
    <w:p>
      <w:pPr>
        <w:spacing w:after="0" w:line="8" w:lineRule="exact"/>
        <w:rPr>
          <w:sz w:val="20"/>
          <w:szCs w:val="20"/>
          <w:color w:val="auto"/>
        </w:rPr>
      </w:pPr>
    </w:p>
    <w:p>
      <w:pPr>
        <w:ind w:left="4730"/>
        <w:spacing w:after="0"/>
        <w:rPr>
          <w:sz w:val="20"/>
          <w:szCs w:val="20"/>
          <w:color w:val="auto"/>
        </w:rPr>
      </w:pPr>
      <w:r>
        <w:rPr>
          <w:rFonts w:ascii="Arial" w:cs="Arial" w:eastAsia="Arial" w:hAnsi="Arial"/>
          <w:sz w:val="15"/>
          <w:szCs w:val="15"/>
          <w:b w:val="1"/>
          <w:bCs w:val="1"/>
          <w:color w:val="auto"/>
        </w:rPr>
        <w:t>2017 E</w:t>
      </w:r>
      <w:r>
        <w:rPr>
          <w:rFonts w:ascii="Arial" w:cs="Arial" w:eastAsia="Arial" w:hAnsi="Arial"/>
          <w:sz w:val="12"/>
          <w:szCs w:val="12"/>
          <w:b w:val="1"/>
          <w:bCs w:val="1"/>
          <w:color w:val="auto"/>
        </w:rPr>
        <w:t>QUITY</w:t>
      </w:r>
      <w:r>
        <w:rPr>
          <w:rFonts w:ascii="Arial" w:cs="Arial" w:eastAsia="Arial" w:hAnsi="Arial"/>
          <w:sz w:val="15"/>
          <w:szCs w:val="15"/>
          <w:b w:val="1"/>
          <w:bCs w:val="1"/>
          <w:color w:val="auto"/>
        </w:rPr>
        <w:t xml:space="preserve"> I</w:t>
      </w:r>
      <w:r>
        <w:rPr>
          <w:rFonts w:ascii="Arial" w:cs="Arial" w:eastAsia="Arial" w:hAnsi="Arial"/>
          <w:sz w:val="12"/>
          <w:szCs w:val="12"/>
          <w:b w:val="1"/>
          <w:bCs w:val="1"/>
          <w:color w:val="auto"/>
        </w:rPr>
        <w:t>NCENTIVE</w:t>
      </w:r>
      <w:r>
        <w:rPr>
          <w:rFonts w:ascii="Arial" w:cs="Arial" w:eastAsia="Arial" w:hAnsi="Arial"/>
          <w:sz w:val="15"/>
          <w:szCs w:val="15"/>
          <w:b w:val="1"/>
          <w:bCs w:val="1"/>
          <w:color w:val="auto"/>
        </w:rPr>
        <w:t xml:space="preserve"> P</w:t>
      </w:r>
      <w:r>
        <w:rPr>
          <w:rFonts w:ascii="Arial" w:cs="Arial" w:eastAsia="Arial" w:hAnsi="Arial"/>
          <w:sz w:val="12"/>
          <w:szCs w:val="12"/>
          <w:b w:val="1"/>
          <w:bCs w:val="1"/>
          <w:color w:val="auto"/>
        </w:rPr>
        <w:t>LAN</w:t>
      </w:r>
    </w:p>
    <w:p>
      <w:pPr>
        <w:spacing w:after="0" w:line="179" w:lineRule="exact"/>
        <w:rPr>
          <w:sz w:val="20"/>
          <w:szCs w:val="20"/>
          <w:color w:val="auto"/>
        </w:rPr>
      </w:pPr>
    </w:p>
    <w:p>
      <w:pPr>
        <w:jc w:val="both"/>
        <w:ind w:left="10" w:right="60"/>
        <w:spacing w:after="0" w:line="263" w:lineRule="auto"/>
        <w:rPr>
          <w:sz w:val="20"/>
          <w:szCs w:val="20"/>
          <w:color w:val="auto"/>
        </w:rPr>
      </w:pPr>
      <w:r>
        <w:rPr>
          <w:rFonts w:ascii="Arial" w:cs="Arial" w:eastAsia="Arial" w:hAnsi="Arial"/>
          <w:sz w:val="15"/>
          <w:szCs w:val="15"/>
          <w:color w:val="auto"/>
        </w:rPr>
        <w:t>You have been granted Restricted Stock Units (“</w:t>
      </w:r>
      <w:r>
        <w:rPr>
          <w:rFonts w:ascii="Arial" w:cs="Arial" w:eastAsia="Arial" w:hAnsi="Arial"/>
          <w:sz w:val="15"/>
          <w:szCs w:val="15"/>
          <w:b w:val="1"/>
          <w:bCs w:val="1"/>
          <w:i w:val="1"/>
          <w:iCs w:val="1"/>
          <w:color w:val="auto"/>
        </w:rPr>
        <w:t>RSUs</w:t>
      </w:r>
      <w:r>
        <w:rPr>
          <w:rFonts w:ascii="Arial" w:cs="Arial" w:eastAsia="Arial" w:hAnsi="Arial"/>
          <w:sz w:val="15"/>
          <w:szCs w:val="15"/>
          <w:color w:val="auto"/>
        </w:rPr>
        <w:t>”) subject to the terms, restrictions and conditions of the Company’s 2017 Equity Incentive Plan (the “</w:t>
      </w:r>
      <w:r>
        <w:rPr>
          <w:rFonts w:ascii="Arial" w:cs="Arial" w:eastAsia="Arial" w:hAnsi="Arial"/>
          <w:sz w:val="15"/>
          <w:szCs w:val="15"/>
          <w:b w:val="1"/>
          <w:bCs w:val="1"/>
          <w:i w:val="1"/>
          <w:iCs w:val="1"/>
          <w:color w:val="auto"/>
        </w:rPr>
        <w:t>Plan</w:t>
      </w:r>
      <w:r>
        <w:rPr>
          <w:rFonts w:ascii="Arial" w:cs="Arial" w:eastAsia="Arial" w:hAnsi="Arial"/>
          <w:sz w:val="15"/>
          <w:szCs w:val="15"/>
          <w:color w:val="auto"/>
        </w:rPr>
        <w:t>”), the Notice of Restricted Stock Unit Award (“</w:t>
      </w:r>
      <w:r>
        <w:rPr>
          <w:rFonts w:ascii="Arial" w:cs="Arial" w:eastAsia="Arial" w:hAnsi="Arial"/>
          <w:sz w:val="15"/>
          <w:szCs w:val="15"/>
          <w:b w:val="1"/>
          <w:bCs w:val="1"/>
          <w:i w:val="1"/>
          <w:iCs w:val="1"/>
          <w:color w:val="auto"/>
        </w:rPr>
        <w:t>Notice of Grant</w:t>
      </w:r>
      <w:r>
        <w:rPr>
          <w:rFonts w:ascii="Arial" w:cs="Arial" w:eastAsia="Arial" w:hAnsi="Arial"/>
          <w:sz w:val="15"/>
          <w:szCs w:val="15"/>
          <w:color w:val="auto"/>
        </w:rPr>
        <w:t>”) and this Agreement. Unless otherwise defined herein, the terms defined in the Plan shall have the same defined meanings in this RSU Agreement (the “</w:t>
      </w:r>
      <w:r>
        <w:rPr>
          <w:rFonts w:ascii="Arial" w:cs="Arial" w:eastAsia="Arial" w:hAnsi="Arial"/>
          <w:sz w:val="15"/>
          <w:szCs w:val="15"/>
          <w:b w:val="1"/>
          <w:bCs w:val="1"/>
          <w:i w:val="1"/>
          <w:iCs w:val="1"/>
          <w:color w:val="auto"/>
        </w:rPr>
        <w:t>Agreement</w:t>
      </w:r>
      <w:r>
        <w:rPr>
          <w:rFonts w:ascii="Arial" w:cs="Arial" w:eastAsia="Arial" w:hAnsi="Arial"/>
          <w:sz w:val="15"/>
          <w:szCs w:val="15"/>
          <w:color w:val="auto"/>
        </w:rPr>
        <w:t>”).</w:t>
      </w:r>
    </w:p>
    <w:p>
      <w:pPr>
        <w:spacing w:after="0" w:line="151" w:lineRule="exact"/>
        <w:rPr>
          <w:sz w:val="20"/>
          <w:szCs w:val="20"/>
          <w:color w:val="auto"/>
        </w:rPr>
      </w:pPr>
    </w:p>
    <w:p>
      <w:pPr>
        <w:ind w:left="10" w:hanging="10"/>
        <w:spacing w:after="0" w:line="266" w:lineRule="auto"/>
        <w:tabs>
          <w:tab w:leader="none" w:pos="160" w:val="left"/>
        </w:tabs>
        <w:numPr>
          <w:ilvl w:val="0"/>
          <w:numId w:val="373"/>
        </w:numPr>
        <w:rPr>
          <w:rFonts w:ascii="Arial" w:cs="Arial" w:eastAsia="Arial" w:hAnsi="Arial"/>
          <w:sz w:val="15"/>
          <w:szCs w:val="15"/>
          <w:b w:val="1"/>
          <w:bCs w:val="1"/>
          <w:color w:val="auto"/>
        </w:rPr>
      </w:pPr>
      <w:r>
        <w:rPr>
          <w:rFonts w:ascii="Arial" w:cs="Arial" w:eastAsia="Arial" w:hAnsi="Arial"/>
          <w:sz w:val="15"/>
          <w:szCs w:val="15"/>
          <w:b w:val="1"/>
          <w:bCs w:val="1"/>
          <w:u w:val="single" w:color="auto"/>
          <w:color w:val="auto"/>
        </w:rPr>
        <w:t>Settlement</w:t>
      </w:r>
      <w:r>
        <w:rPr>
          <w:rFonts w:ascii="Arial" w:cs="Arial" w:eastAsia="Arial" w:hAnsi="Arial"/>
          <w:sz w:val="15"/>
          <w:szCs w:val="15"/>
          <w:b w:val="1"/>
          <w:bCs w:val="1"/>
          <w:color w:val="auto"/>
        </w:rPr>
        <w:t xml:space="preserve">. </w:t>
      </w:r>
      <w:r>
        <w:rPr>
          <w:rFonts w:ascii="Arial" w:cs="Arial" w:eastAsia="Arial" w:hAnsi="Arial"/>
          <w:sz w:val="15"/>
          <w:szCs w:val="15"/>
          <w:color w:val="auto"/>
        </w:rPr>
        <w:t>Settlement of RSUs shall be made no later March 15 of the calendar year following the applicable date of vesting under the vesting schedule set forth in the Notice. Settlement</w:t>
      </w:r>
      <w:r>
        <w:rPr>
          <w:rFonts w:ascii="Arial" w:cs="Arial" w:eastAsia="Arial" w:hAnsi="Arial"/>
          <w:sz w:val="15"/>
          <w:szCs w:val="15"/>
          <w:b w:val="1"/>
          <w:bCs w:val="1"/>
          <w:color w:val="auto"/>
        </w:rPr>
        <w:t xml:space="preserve"> </w:t>
      </w:r>
      <w:r>
        <w:rPr>
          <w:rFonts w:ascii="Arial" w:cs="Arial" w:eastAsia="Arial" w:hAnsi="Arial"/>
          <w:sz w:val="15"/>
          <w:szCs w:val="15"/>
          <w:color w:val="auto"/>
        </w:rPr>
        <w:t>of RSUs shall be in Shares. Settlement means the delivery of the Shares vested under an RSU. No fractional RSUs or rights for fractional Shares shall be created pursuant to this RSU Agreement.</w:t>
      </w:r>
    </w:p>
    <w:p>
      <w:pPr>
        <w:spacing w:after="0" w:line="148" w:lineRule="exact"/>
        <w:rPr>
          <w:rFonts w:ascii="Arial" w:cs="Arial" w:eastAsia="Arial" w:hAnsi="Arial"/>
          <w:sz w:val="15"/>
          <w:szCs w:val="15"/>
          <w:b w:val="1"/>
          <w:bCs w:val="1"/>
          <w:color w:val="auto"/>
        </w:rPr>
      </w:pPr>
    </w:p>
    <w:p>
      <w:pPr>
        <w:ind w:left="10" w:right="180" w:hanging="10"/>
        <w:spacing w:after="0" w:line="280" w:lineRule="auto"/>
        <w:tabs>
          <w:tab w:leader="none" w:pos="160" w:val="left"/>
        </w:tabs>
        <w:numPr>
          <w:ilvl w:val="0"/>
          <w:numId w:val="373"/>
        </w:numPr>
        <w:rPr>
          <w:rFonts w:ascii="Arial" w:cs="Arial" w:eastAsia="Arial" w:hAnsi="Arial"/>
          <w:sz w:val="15"/>
          <w:szCs w:val="15"/>
          <w:b w:val="1"/>
          <w:bCs w:val="1"/>
          <w:color w:val="auto"/>
        </w:rPr>
      </w:pPr>
      <w:r>
        <w:rPr>
          <w:rFonts w:ascii="Arial" w:cs="Arial" w:eastAsia="Arial" w:hAnsi="Arial"/>
          <w:sz w:val="15"/>
          <w:szCs w:val="15"/>
          <w:b w:val="1"/>
          <w:bCs w:val="1"/>
          <w:u w:val="single" w:color="auto"/>
          <w:color w:val="auto"/>
        </w:rPr>
        <w:t>No Stockholder Rights</w:t>
      </w:r>
      <w:r>
        <w:rPr>
          <w:rFonts w:ascii="Arial" w:cs="Arial" w:eastAsia="Arial" w:hAnsi="Arial"/>
          <w:sz w:val="15"/>
          <w:szCs w:val="15"/>
          <w:b w:val="1"/>
          <w:bCs w:val="1"/>
          <w:color w:val="auto"/>
        </w:rPr>
        <w:t xml:space="preserve">. </w:t>
      </w:r>
      <w:r>
        <w:rPr>
          <w:rFonts w:ascii="Arial" w:cs="Arial" w:eastAsia="Arial" w:hAnsi="Arial"/>
          <w:sz w:val="15"/>
          <w:szCs w:val="15"/>
          <w:color w:val="auto"/>
        </w:rPr>
        <w:t>Unless and until such time as Shares are issued in settlement of vested RSUs, Participant shall have no ownership of the Shares allocated to the RSUs and shall</w:t>
      </w:r>
      <w:r>
        <w:rPr>
          <w:rFonts w:ascii="Arial" w:cs="Arial" w:eastAsia="Arial" w:hAnsi="Arial"/>
          <w:sz w:val="15"/>
          <w:szCs w:val="15"/>
          <w:b w:val="1"/>
          <w:bCs w:val="1"/>
          <w:color w:val="auto"/>
        </w:rPr>
        <w:t xml:space="preserve"> </w:t>
      </w:r>
      <w:r>
        <w:rPr>
          <w:rFonts w:ascii="Arial" w:cs="Arial" w:eastAsia="Arial" w:hAnsi="Arial"/>
          <w:sz w:val="15"/>
          <w:szCs w:val="15"/>
          <w:color w:val="auto"/>
        </w:rPr>
        <w:t>have no right to dividends or to vote such Shares.</w:t>
      </w:r>
    </w:p>
    <w:p>
      <w:pPr>
        <w:spacing w:after="0" w:line="138" w:lineRule="exact"/>
        <w:rPr>
          <w:rFonts w:ascii="Arial" w:cs="Arial" w:eastAsia="Arial" w:hAnsi="Arial"/>
          <w:sz w:val="15"/>
          <w:szCs w:val="15"/>
          <w:b w:val="1"/>
          <w:bCs w:val="1"/>
          <w:color w:val="auto"/>
        </w:rPr>
      </w:pPr>
    </w:p>
    <w:p>
      <w:pPr>
        <w:ind w:left="150" w:hanging="150"/>
        <w:spacing w:after="0"/>
        <w:tabs>
          <w:tab w:leader="none" w:pos="150" w:val="left"/>
        </w:tabs>
        <w:numPr>
          <w:ilvl w:val="0"/>
          <w:numId w:val="373"/>
        </w:numPr>
        <w:rPr>
          <w:rFonts w:ascii="Arial" w:cs="Arial" w:eastAsia="Arial" w:hAnsi="Arial"/>
          <w:sz w:val="15"/>
          <w:szCs w:val="15"/>
          <w:b w:val="1"/>
          <w:bCs w:val="1"/>
          <w:color w:val="auto"/>
        </w:rPr>
      </w:pPr>
      <w:r>
        <w:rPr>
          <w:rFonts w:ascii="Arial" w:cs="Arial" w:eastAsia="Arial" w:hAnsi="Arial"/>
          <w:sz w:val="15"/>
          <w:szCs w:val="15"/>
          <w:b w:val="1"/>
          <w:bCs w:val="1"/>
          <w:u w:val="single" w:color="auto"/>
          <w:color w:val="auto"/>
        </w:rPr>
        <w:t>Dividend Equivalents</w:t>
      </w:r>
      <w:r>
        <w:rPr>
          <w:rFonts w:ascii="Arial" w:cs="Arial" w:eastAsia="Arial" w:hAnsi="Arial"/>
          <w:sz w:val="15"/>
          <w:szCs w:val="15"/>
          <w:b w:val="1"/>
          <w:bCs w:val="1"/>
          <w:color w:val="auto"/>
        </w:rPr>
        <w:t xml:space="preserve">. </w:t>
      </w:r>
      <w:r>
        <w:rPr>
          <w:rFonts w:ascii="Arial" w:cs="Arial" w:eastAsia="Arial" w:hAnsi="Arial"/>
          <w:sz w:val="15"/>
          <w:szCs w:val="15"/>
          <w:color w:val="auto"/>
        </w:rPr>
        <w:t>Dividends, if any (whether in cash or Shares), shall not be credited to Participant, except as provided in the Plan.</w:t>
      </w:r>
    </w:p>
    <w:p>
      <w:pPr>
        <w:spacing w:after="0" w:line="188" w:lineRule="exact"/>
        <w:rPr>
          <w:rFonts w:ascii="Arial" w:cs="Arial" w:eastAsia="Arial" w:hAnsi="Arial"/>
          <w:sz w:val="15"/>
          <w:szCs w:val="15"/>
          <w:b w:val="1"/>
          <w:bCs w:val="1"/>
          <w:color w:val="auto"/>
        </w:rPr>
      </w:pPr>
    </w:p>
    <w:p>
      <w:pPr>
        <w:ind w:left="10" w:right="120" w:hanging="10"/>
        <w:spacing w:after="0" w:line="285" w:lineRule="auto"/>
        <w:tabs>
          <w:tab w:leader="none" w:pos="160" w:val="left"/>
        </w:tabs>
        <w:numPr>
          <w:ilvl w:val="0"/>
          <w:numId w:val="373"/>
        </w:numPr>
        <w:rPr>
          <w:rFonts w:ascii="Arial" w:cs="Arial" w:eastAsia="Arial" w:hAnsi="Arial"/>
          <w:sz w:val="14"/>
          <w:szCs w:val="14"/>
          <w:b w:val="1"/>
          <w:bCs w:val="1"/>
          <w:color w:val="auto"/>
        </w:rPr>
      </w:pPr>
      <w:r>
        <w:rPr>
          <w:rFonts w:ascii="Arial" w:cs="Arial" w:eastAsia="Arial" w:hAnsi="Arial"/>
          <w:sz w:val="14"/>
          <w:szCs w:val="14"/>
          <w:b w:val="1"/>
          <w:bCs w:val="1"/>
          <w:u w:val="single" w:color="auto"/>
          <w:color w:val="auto"/>
        </w:rPr>
        <w:t>No Transfer</w:t>
      </w:r>
      <w:r>
        <w:rPr>
          <w:rFonts w:ascii="Arial" w:cs="Arial" w:eastAsia="Arial" w:hAnsi="Arial"/>
          <w:sz w:val="14"/>
          <w:szCs w:val="14"/>
          <w:b w:val="1"/>
          <w:bCs w:val="1"/>
          <w:color w:val="auto"/>
        </w:rPr>
        <w:t xml:space="preserve">. </w:t>
      </w:r>
      <w:r>
        <w:rPr>
          <w:rFonts w:ascii="Arial" w:cs="Arial" w:eastAsia="Arial" w:hAnsi="Arial"/>
          <w:sz w:val="14"/>
          <w:szCs w:val="14"/>
          <w:color w:val="auto"/>
        </w:rPr>
        <w:t>The RSUs and any interest therein shall not be sold, assigned, transferred, pledged, hypothecated, or otherwise disposed of, other than by will or by the laws of descent and</w:t>
      </w:r>
      <w:r>
        <w:rPr>
          <w:rFonts w:ascii="Arial" w:cs="Arial" w:eastAsia="Arial" w:hAnsi="Arial"/>
          <w:sz w:val="14"/>
          <w:szCs w:val="14"/>
          <w:b w:val="1"/>
          <w:bCs w:val="1"/>
          <w:color w:val="auto"/>
        </w:rPr>
        <w:t xml:space="preserve"> </w:t>
      </w:r>
      <w:r>
        <w:rPr>
          <w:rFonts w:ascii="Arial" w:cs="Arial" w:eastAsia="Arial" w:hAnsi="Arial"/>
          <w:sz w:val="14"/>
          <w:szCs w:val="14"/>
          <w:color w:val="auto"/>
        </w:rPr>
        <w:t>distribution. Notwithstanding the foregoing, Participant may, in the manner established by the Committee, designate a beneficiary or beneficiaries to exercise the rights of Participant and receive any property distributable with respect to the RSUs upon the death of Participant. Any transferee who receives an interest in the RSU or the underlying Shares upon the death of Participant shall acknowledge in writing that the RSU shall continue to be subject to the restrictions set forth in this Section 4.</w:t>
      </w:r>
    </w:p>
    <w:p>
      <w:pPr>
        <w:spacing w:after="0" w:line="137" w:lineRule="exact"/>
        <w:rPr>
          <w:rFonts w:ascii="Arial" w:cs="Arial" w:eastAsia="Arial" w:hAnsi="Arial"/>
          <w:sz w:val="14"/>
          <w:szCs w:val="14"/>
          <w:b w:val="1"/>
          <w:bCs w:val="1"/>
          <w:color w:val="auto"/>
        </w:rPr>
      </w:pPr>
    </w:p>
    <w:p>
      <w:pPr>
        <w:ind w:left="10" w:right="80" w:hanging="10"/>
        <w:spacing w:after="0" w:line="261" w:lineRule="auto"/>
        <w:tabs>
          <w:tab w:leader="none" w:pos="160" w:val="left"/>
        </w:tabs>
        <w:numPr>
          <w:ilvl w:val="0"/>
          <w:numId w:val="373"/>
        </w:numPr>
        <w:rPr>
          <w:rFonts w:ascii="Arial" w:cs="Arial" w:eastAsia="Arial" w:hAnsi="Arial"/>
          <w:sz w:val="15"/>
          <w:szCs w:val="15"/>
          <w:b w:val="1"/>
          <w:bCs w:val="1"/>
          <w:color w:val="auto"/>
        </w:rPr>
      </w:pPr>
      <w:r>
        <w:rPr>
          <w:rFonts w:ascii="Arial" w:cs="Arial" w:eastAsia="Arial" w:hAnsi="Arial"/>
          <w:sz w:val="15"/>
          <w:szCs w:val="15"/>
          <w:b w:val="1"/>
          <w:bCs w:val="1"/>
          <w:u w:val="single" w:color="auto"/>
          <w:color w:val="auto"/>
        </w:rPr>
        <w:t>Termination</w:t>
      </w:r>
      <w:r>
        <w:rPr>
          <w:rFonts w:ascii="Arial" w:cs="Arial" w:eastAsia="Arial" w:hAnsi="Arial"/>
          <w:sz w:val="15"/>
          <w:szCs w:val="15"/>
          <w:b w:val="1"/>
          <w:bCs w:val="1"/>
          <w:color w:val="auto"/>
        </w:rPr>
        <w:t xml:space="preserve">. </w:t>
      </w:r>
      <w:r>
        <w:rPr>
          <w:rFonts w:ascii="Arial" w:cs="Arial" w:eastAsia="Arial" w:hAnsi="Arial"/>
          <w:sz w:val="15"/>
          <w:szCs w:val="15"/>
          <w:color w:val="auto"/>
        </w:rPr>
        <w:t>The RSUs shall terminate on the Expiration Date or earlier as provided in this Section 5. If Participant’s Continuous Service Status terminates for any reason, all RSUs for</w:t>
      </w:r>
      <w:r>
        <w:rPr>
          <w:rFonts w:ascii="Arial" w:cs="Arial" w:eastAsia="Arial" w:hAnsi="Arial"/>
          <w:sz w:val="15"/>
          <w:szCs w:val="15"/>
          <w:b w:val="1"/>
          <w:bCs w:val="1"/>
          <w:color w:val="auto"/>
        </w:rPr>
        <w:t xml:space="preserve"> </w:t>
      </w:r>
      <w:r>
        <w:rPr>
          <w:rFonts w:ascii="Arial" w:cs="Arial" w:eastAsia="Arial" w:hAnsi="Arial"/>
          <w:sz w:val="15"/>
          <w:szCs w:val="15"/>
          <w:color w:val="auto"/>
        </w:rPr>
        <w:t>which vesting is no longer possible under the terms of the Notice of Grant and this Agreement shall be forfeited to the Company forthwith, and all rights of Participant to such RSUs shall immediately terminate. In case of any dispute as to whether such termination has occurred, the Committee shall have sole discretion to determine whether such termination has occurred and the effective date of such termination.</w:t>
      </w:r>
    </w:p>
    <w:p>
      <w:pPr>
        <w:spacing w:after="0" w:line="151" w:lineRule="exact"/>
        <w:rPr>
          <w:rFonts w:ascii="Arial" w:cs="Arial" w:eastAsia="Arial" w:hAnsi="Arial"/>
          <w:sz w:val="15"/>
          <w:szCs w:val="15"/>
          <w:b w:val="1"/>
          <w:bCs w:val="1"/>
          <w:color w:val="auto"/>
        </w:rPr>
      </w:pPr>
    </w:p>
    <w:p>
      <w:pPr>
        <w:ind w:left="10" w:right="140" w:hanging="10"/>
        <w:spacing w:after="0" w:line="293" w:lineRule="auto"/>
        <w:tabs>
          <w:tab w:leader="none" w:pos="160" w:val="left"/>
        </w:tabs>
        <w:numPr>
          <w:ilvl w:val="0"/>
          <w:numId w:val="373"/>
        </w:numPr>
        <w:rPr>
          <w:rFonts w:ascii="Arial" w:cs="Arial" w:eastAsia="Arial" w:hAnsi="Arial"/>
          <w:sz w:val="14"/>
          <w:szCs w:val="14"/>
          <w:b w:val="1"/>
          <w:bCs w:val="1"/>
          <w:color w:val="auto"/>
        </w:rPr>
      </w:pPr>
      <w:r>
        <w:rPr>
          <w:rFonts w:ascii="Arial" w:cs="Arial" w:eastAsia="Arial" w:hAnsi="Arial"/>
          <w:sz w:val="14"/>
          <w:szCs w:val="14"/>
          <w:b w:val="1"/>
          <w:bCs w:val="1"/>
          <w:u w:val="single" w:color="auto"/>
          <w:color w:val="auto"/>
        </w:rPr>
        <w:t>Acknowledgement</w:t>
      </w:r>
      <w:r>
        <w:rPr>
          <w:rFonts w:ascii="Arial" w:cs="Arial" w:eastAsia="Arial" w:hAnsi="Arial"/>
          <w:sz w:val="14"/>
          <w:szCs w:val="14"/>
          <w:b w:val="1"/>
          <w:bCs w:val="1"/>
          <w:color w:val="auto"/>
        </w:rPr>
        <w:t xml:space="preserve">. </w:t>
      </w:r>
      <w:r>
        <w:rPr>
          <w:rFonts w:ascii="Arial" w:cs="Arial" w:eastAsia="Arial" w:hAnsi="Arial"/>
          <w:sz w:val="14"/>
          <w:szCs w:val="14"/>
          <w:color w:val="auto"/>
        </w:rPr>
        <w:t>The Company and Participant agree that the RSUs are granted under and governed by the Notice of Grant, this Agreement and by the provisions of the Plan</w:t>
      </w:r>
      <w:r>
        <w:rPr>
          <w:rFonts w:ascii="Arial" w:cs="Arial" w:eastAsia="Arial" w:hAnsi="Arial"/>
          <w:sz w:val="14"/>
          <w:szCs w:val="14"/>
          <w:b w:val="1"/>
          <w:bCs w:val="1"/>
          <w:color w:val="auto"/>
        </w:rPr>
        <w:t xml:space="preserve"> </w:t>
      </w:r>
      <w:r>
        <w:rPr>
          <w:rFonts w:ascii="Arial" w:cs="Arial" w:eastAsia="Arial" w:hAnsi="Arial"/>
          <w:sz w:val="14"/>
          <w:szCs w:val="14"/>
          <w:color w:val="auto"/>
        </w:rPr>
        <w:t>(incorporated herein by reference). Participant: (i) acknowledges receipt of a copy of each of the foregoing documents, (ii) represents that Participant has carefully read and is familiar with their provisions, and (iii) hereby accepts the RSUs subject to all of the terms and conditions set forth herein and those set forth in the Plan and the Notice of Grant.</w:t>
      </w:r>
    </w:p>
    <w:p>
      <w:pPr>
        <w:spacing w:after="0" w:line="132" w:lineRule="exact"/>
        <w:rPr>
          <w:rFonts w:ascii="Arial" w:cs="Arial" w:eastAsia="Arial" w:hAnsi="Arial"/>
          <w:sz w:val="14"/>
          <w:szCs w:val="14"/>
          <w:b w:val="1"/>
          <w:bCs w:val="1"/>
          <w:color w:val="auto"/>
        </w:rPr>
      </w:pPr>
    </w:p>
    <w:p>
      <w:pPr>
        <w:ind w:left="10" w:right="100" w:hanging="10"/>
        <w:spacing w:after="0" w:line="258" w:lineRule="auto"/>
        <w:tabs>
          <w:tab w:leader="none" w:pos="160" w:val="left"/>
        </w:tabs>
        <w:numPr>
          <w:ilvl w:val="0"/>
          <w:numId w:val="373"/>
        </w:numPr>
        <w:rPr>
          <w:rFonts w:ascii="Arial" w:cs="Arial" w:eastAsia="Arial" w:hAnsi="Arial"/>
          <w:sz w:val="15"/>
          <w:szCs w:val="15"/>
          <w:b w:val="1"/>
          <w:bCs w:val="1"/>
          <w:color w:val="auto"/>
        </w:rPr>
      </w:pPr>
      <w:r>
        <w:rPr>
          <w:rFonts w:ascii="Arial" w:cs="Arial" w:eastAsia="Arial" w:hAnsi="Arial"/>
          <w:sz w:val="15"/>
          <w:szCs w:val="15"/>
          <w:b w:val="1"/>
          <w:bCs w:val="1"/>
          <w:u w:val="single" w:color="auto"/>
          <w:color w:val="auto"/>
        </w:rPr>
        <w:t>Limitations on Transfer of Stock</w:t>
      </w:r>
      <w:r>
        <w:rPr>
          <w:rFonts w:ascii="Arial" w:cs="Arial" w:eastAsia="Arial" w:hAnsi="Arial"/>
          <w:sz w:val="15"/>
          <w:szCs w:val="15"/>
          <w:b w:val="1"/>
          <w:bCs w:val="1"/>
          <w:color w:val="auto"/>
        </w:rPr>
        <w:t xml:space="preserve">. </w:t>
      </w:r>
      <w:r>
        <w:rPr>
          <w:rFonts w:ascii="Arial" w:cs="Arial" w:eastAsia="Arial" w:hAnsi="Arial"/>
          <w:sz w:val="15"/>
          <w:szCs w:val="15"/>
          <w:color w:val="auto"/>
        </w:rPr>
        <w:t>In addition to any other limitation on transfer created by applicable securities laws, Participant shall not assign, encumber or dispose of any interest in</w:t>
      </w:r>
      <w:r>
        <w:rPr>
          <w:rFonts w:ascii="Arial" w:cs="Arial" w:eastAsia="Arial" w:hAnsi="Arial"/>
          <w:sz w:val="15"/>
          <w:szCs w:val="15"/>
          <w:b w:val="1"/>
          <w:bCs w:val="1"/>
          <w:color w:val="auto"/>
        </w:rPr>
        <w:t xml:space="preserve"> </w:t>
      </w:r>
      <w:r>
        <w:rPr>
          <w:rFonts w:ascii="Arial" w:cs="Arial" w:eastAsia="Arial" w:hAnsi="Arial"/>
          <w:sz w:val="15"/>
          <w:szCs w:val="15"/>
          <w:color w:val="auto"/>
        </w:rPr>
        <w:t>the Shares issued pursuant to this Agreement except with the Company’s prior written consent and in compliance with the provisions of Article 12 of the Plan, the Bylaws, the Company’s then current Insider Trading Policy, and applicable securities laws. The restrictions on transfer also include a prohibition on any short position, any “put equivalent position” or any “call equivalent position” by the RSU holder with respect to the RSU itself as well as any shares issuable upon settlement of the RSU prior to the settlement thereof until the Company becomes subject to the reporting requirements of Section 13 or 15(d) of the Exchange Act.</w:t>
      </w:r>
    </w:p>
    <w:p>
      <w:pPr>
        <w:sectPr>
          <w:pgSz w:w="11900" w:h="16838" w:orient="portrait"/>
          <w:cols w:equalWidth="0" w:num="1">
            <w:col w:w="11430"/>
          </w:cols>
          <w:pgMar w:left="230" w:top="249" w:right="239" w:bottom="1440" w:gutter="0" w:footer="0" w:header="0"/>
        </w:sectPr>
      </w:pPr>
    </w:p>
    <w:bookmarkStart w:id="425" w:name="page426"/>
    <w:bookmarkEnd w:id="425"/>
    <w:p>
      <w:pPr>
        <w:ind w:left="10" w:right="160" w:hanging="10"/>
        <w:spacing w:after="0" w:line="266" w:lineRule="auto"/>
        <w:tabs>
          <w:tab w:leader="none" w:pos="160" w:val="left"/>
        </w:tabs>
        <w:numPr>
          <w:ilvl w:val="0"/>
          <w:numId w:val="374"/>
        </w:numPr>
        <w:rPr>
          <w:rFonts w:ascii="Arial" w:cs="Arial" w:eastAsia="Arial" w:hAnsi="Arial"/>
          <w:sz w:val="15"/>
          <w:szCs w:val="15"/>
          <w:b w:val="1"/>
          <w:bCs w:val="1"/>
          <w:color w:val="auto"/>
        </w:rPr>
      </w:pPr>
      <w:r>
        <w:rPr>
          <w:rFonts w:ascii="Arial" w:cs="Arial" w:eastAsia="Arial" w:hAnsi="Arial"/>
          <w:sz w:val="15"/>
          <w:szCs w:val="15"/>
          <w:b w:val="1"/>
          <w:bCs w:val="1"/>
          <w:u w:val="single" w:color="auto"/>
          <w:color w:val="auto"/>
        </w:rPr>
        <w:drawing>
          <wp:anchor simplePos="0" relativeHeight="251657728" behindDoc="1" locked="0" layoutInCell="0" allowOverlap="1">
            <wp:simplePos x="0" y="0"/>
            <wp:positionH relativeFrom="page">
              <wp:posOffset>133350</wp:posOffset>
            </wp:positionH>
            <wp:positionV relativeFrom="page">
              <wp:posOffset>88900</wp:posOffset>
            </wp:positionV>
            <wp:extent cx="7308850" cy="34290"/>
            <wp:wrapNone/>
            <wp:docPr id="603" name="Picture 6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3"/>
                    <pic:cNvPicPr>
                      <a:picLocks noChangeAspect="1" noChangeArrowheads="1"/>
                    </pic:cNvPicPr>
                  </pic:nvPicPr>
                  <pic:blipFill>
                    <a:blip r:embed="rId640">
                      <a:extLst>
                        <a:ext uri="{28A0092B-C50C-407E-A947-70E740481C1C}"/>
                      </a:extLst>
                    </a:blip>
                    <a:srcRect/>
                    <a:stretch>
                      <a:fillRect/>
                    </a:stretch>
                  </pic:blipFill>
                  <pic:spPr bwMode="auto">
                    <a:xfrm>
                      <a:off x="0" y="0"/>
                      <a:ext cx="7308850" cy="34290"/>
                    </a:xfrm>
                    <a:prstGeom prst="rect">
                      <a:avLst/>
                    </a:prstGeom>
                    <a:noFill/>
                  </pic:spPr>
                </pic:pic>
              </a:graphicData>
            </a:graphic>
          </wp:anchor>
        </w:drawing>
        <w:t>Restrictions Binding on Transferees</w:t>
      </w:r>
      <w:r>
        <w:rPr>
          <w:rFonts w:ascii="Arial" w:cs="Arial" w:eastAsia="Arial" w:hAnsi="Arial"/>
          <w:sz w:val="15"/>
          <w:szCs w:val="15"/>
          <w:b w:val="1"/>
          <w:bCs w:val="1"/>
          <w:color w:val="auto"/>
        </w:rPr>
        <w:t xml:space="preserve">. </w:t>
      </w:r>
      <w:r>
        <w:rPr>
          <w:rFonts w:ascii="Arial" w:cs="Arial" w:eastAsia="Arial" w:hAnsi="Arial"/>
          <w:sz w:val="15"/>
          <w:szCs w:val="15"/>
          <w:color w:val="auto"/>
        </w:rPr>
        <w:t>All transferees of Shares or any interest therein will receive and hold such shares or interest subject to the provisions of this Agreement, including</w:t>
      </w:r>
      <w:r>
        <w:rPr>
          <w:rFonts w:ascii="Arial" w:cs="Arial" w:eastAsia="Arial" w:hAnsi="Arial"/>
          <w:sz w:val="15"/>
          <w:szCs w:val="15"/>
          <w:b w:val="1"/>
          <w:bCs w:val="1"/>
          <w:color w:val="auto"/>
        </w:rPr>
        <w:t xml:space="preserve"> </w:t>
      </w:r>
      <w:r>
        <w:rPr>
          <w:rFonts w:ascii="Arial" w:cs="Arial" w:eastAsia="Arial" w:hAnsi="Arial"/>
          <w:sz w:val="15"/>
          <w:szCs w:val="15"/>
          <w:color w:val="auto"/>
        </w:rPr>
        <w:t>the transfer restrictions of Sections 4 and 7, and the transferee shall acknowledge such restrictions in writing. Any sale or transfer of the Shares shall be void unless the provisions of this Agreement are satisfied.</w:t>
      </w:r>
    </w:p>
    <w:p>
      <w:pPr>
        <w:spacing w:after="0" w:line="148" w:lineRule="exact"/>
        <w:rPr>
          <w:rFonts w:ascii="Arial" w:cs="Arial" w:eastAsia="Arial" w:hAnsi="Arial"/>
          <w:sz w:val="15"/>
          <w:szCs w:val="15"/>
          <w:b w:val="1"/>
          <w:bCs w:val="1"/>
          <w:color w:val="auto"/>
        </w:rPr>
      </w:pPr>
    </w:p>
    <w:p>
      <w:pPr>
        <w:ind w:left="10" w:right="60" w:hanging="10"/>
        <w:spacing w:after="0" w:line="303" w:lineRule="auto"/>
        <w:tabs>
          <w:tab w:leader="none" w:pos="160" w:val="left"/>
        </w:tabs>
        <w:numPr>
          <w:ilvl w:val="0"/>
          <w:numId w:val="374"/>
        </w:numPr>
        <w:rPr>
          <w:rFonts w:ascii="Arial" w:cs="Arial" w:eastAsia="Arial" w:hAnsi="Arial"/>
          <w:sz w:val="13"/>
          <w:szCs w:val="13"/>
          <w:b w:val="1"/>
          <w:bCs w:val="1"/>
          <w:color w:val="auto"/>
        </w:rPr>
      </w:pPr>
      <w:r>
        <w:rPr>
          <w:rFonts w:ascii="Arial" w:cs="Arial" w:eastAsia="Arial" w:hAnsi="Arial"/>
          <w:sz w:val="13"/>
          <w:szCs w:val="13"/>
          <w:b w:val="1"/>
          <w:bCs w:val="1"/>
          <w:u w:val="single" w:color="auto"/>
          <w:color w:val="auto"/>
        </w:rPr>
        <w:t>Withholding of Tax</w:t>
      </w:r>
      <w:r>
        <w:rPr>
          <w:rFonts w:ascii="Arial" w:cs="Arial" w:eastAsia="Arial" w:hAnsi="Arial"/>
          <w:sz w:val="13"/>
          <w:szCs w:val="13"/>
          <w:b w:val="1"/>
          <w:bCs w:val="1"/>
          <w:color w:val="auto"/>
        </w:rPr>
        <w:t xml:space="preserve">. </w:t>
      </w:r>
      <w:r>
        <w:rPr>
          <w:rFonts w:ascii="Arial" w:cs="Arial" w:eastAsia="Arial" w:hAnsi="Arial"/>
          <w:sz w:val="13"/>
          <w:szCs w:val="13"/>
          <w:color w:val="auto"/>
        </w:rPr>
        <w:t>When, under applicable tax laws, Participant incurs tax liability in connection with the vesting and/or settlement of the RSUs as income subject to withholding and</w:t>
      </w:r>
      <w:r>
        <w:rPr>
          <w:rFonts w:ascii="Arial" w:cs="Arial" w:eastAsia="Arial" w:hAnsi="Arial"/>
          <w:sz w:val="13"/>
          <w:szCs w:val="13"/>
          <w:b w:val="1"/>
          <w:bCs w:val="1"/>
          <w:color w:val="auto"/>
        </w:rPr>
        <w:t xml:space="preserve"> </w:t>
      </w:r>
      <w:r>
        <w:rPr>
          <w:rFonts w:ascii="Arial" w:cs="Arial" w:eastAsia="Arial" w:hAnsi="Arial"/>
          <w:sz w:val="13"/>
          <w:szCs w:val="13"/>
          <w:color w:val="auto"/>
        </w:rPr>
        <w:t>the Participant is obligated to pay the Company the amount required to be withheld, the Committee may in its sole discretion allow Participant to satisfy the applicable tax withholding obligation by electing to have the Company withhold from the Shares to be issued in settlement of the RSUs up to the number of Shares having a fair market value on the date that the amount of tax to be withheld is to be determined equal to the amount required to be withheld; or to arrange a mandatory “sell to cover” on Participant’s behalf (without further authorization) but in no event will the Company withhold Shares or “sell to cover” if such withholding will result in adverse accounting consequences to the Company. Any elections to have Shares withheld or sold for this purpose will be made in accordance with the requirements established by the Committee for such elections and in writing in a form acceptable to the Committee.</w:t>
      </w:r>
    </w:p>
    <w:p>
      <w:pPr>
        <w:spacing w:after="0" w:line="130" w:lineRule="exact"/>
        <w:rPr>
          <w:rFonts w:ascii="Arial" w:cs="Arial" w:eastAsia="Arial" w:hAnsi="Arial"/>
          <w:sz w:val="13"/>
          <w:szCs w:val="13"/>
          <w:b w:val="1"/>
          <w:bCs w:val="1"/>
          <w:color w:val="auto"/>
        </w:rPr>
      </w:pPr>
    </w:p>
    <w:p>
      <w:pPr>
        <w:ind w:left="10" w:right="40" w:hanging="10"/>
        <w:spacing w:after="0" w:line="272" w:lineRule="auto"/>
        <w:tabs>
          <w:tab w:leader="none" w:pos="235" w:val="left"/>
        </w:tabs>
        <w:numPr>
          <w:ilvl w:val="0"/>
          <w:numId w:val="374"/>
        </w:numPr>
        <w:rPr>
          <w:rFonts w:ascii="Arial" w:cs="Arial" w:eastAsia="Arial" w:hAnsi="Arial"/>
          <w:sz w:val="14"/>
          <w:szCs w:val="14"/>
          <w:b w:val="1"/>
          <w:bCs w:val="1"/>
          <w:color w:val="auto"/>
        </w:rPr>
      </w:pPr>
      <w:r>
        <w:rPr>
          <w:rFonts w:ascii="Arial" w:cs="Arial" w:eastAsia="Arial" w:hAnsi="Arial"/>
          <w:sz w:val="14"/>
          <w:szCs w:val="14"/>
          <w:b w:val="1"/>
          <w:bCs w:val="1"/>
          <w:u w:val="single" w:color="auto"/>
          <w:color w:val="auto"/>
        </w:rPr>
        <w:t>Code Section 409A</w:t>
      </w:r>
      <w:r>
        <w:rPr>
          <w:rFonts w:ascii="Arial" w:cs="Arial" w:eastAsia="Arial" w:hAnsi="Arial"/>
          <w:sz w:val="14"/>
          <w:szCs w:val="14"/>
          <w:color w:val="auto"/>
        </w:rPr>
        <w:t>. For purposes of this Agreement, a termination of employment will be determined consistent with the rules relating to a “separation from service” as defined in</w:t>
      </w:r>
      <w:r>
        <w:rPr>
          <w:rFonts w:ascii="Arial" w:cs="Arial" w:eastAsia="Arial" w:hAnsi="Arial"/>
          <w:sz w:val="14"/>
          <w:szCs w:val="14"/>
          <w:b w:val="1"/>
          <w:bCs w:val="1"/>
          <w:color w:val="auto"/>
        </w:rPr>
        <w:t xml:space="preserve"> </w:t>
      </w:r>
      <w:r>
        <w:rPr>
          <w:rFonts w:ascii="Arial" w:cs="Arial" w:eastAsia="Arial" w:hAnsi="Arial"/>
          <w:sz w:val="14"/>
          <w:szCs w:val="14"/>
          <w:color w:val="auto"/>
        </w:rPr>
        <w:t>Section 409A of the Code and the regulations thereunder (“</w:t>
      </w:r>
      <w:r>
        <w:rPr>
          <w:rFonts w:ascii="Arial" w:cs="Arial" w:eastAsia="Arial" w:hAnsi="Arial"/>
          <w:sz w:val="14"/>
          <w:szCs w:val="14"/>
          <w:b w:val="1"/>
          <w:bCs w:val="1"/>
          <w:color w:val="auto"/>
        </w:rPr>
        <w:t>Section 409A</w:t>
      </w:r>
      <w:r>
        <w:rPr>
          <w:rFonts w:ascii="Arial" w:cs="Arial" w:eastAsia="Arial" w:hAnsi="Arial"/>
          <w:sz w:val="14"/>
          <w:szCs w:val="14"/>
          <w:color w:val="auto"/>
        </w:rPr>
        <w:t>”). Notwithstanding anything else provided herein, to the extent any payments provided under this Agreement in connection with Participant’s termination of employment constitute deferred compensation subject to Section 409A, and Participant is deemed at the time of such termination of employment to be a “specified employee” under Section 409A, then such payment shall not be made or commence until the earlier of (i) the expiration of the six-month period measured from Participant’s separation from service from the Company or (ii) the date of Participant’s death following such a separation from service; provided, however, that such deferral shall only be effected to the extent required to avoid adverse tax treatment to Participant including, without limitation, the additional tax for which Participant would otherwise be liable under</w:t>
      </w:r>
    </w:p>
    <w:p>
      <w:pPr>
        <w:spacing w:after="0" w:line="1" w:lineRule="exact"/>
        <w:rPr>
          <w:rFonts w:ascii="Arial" w:cs="Arial" w:eastAsia="Arial" w:hAnsi="Arial"/>
          <w:sz w:val="14"/>
          <w:szCs w:val="14"/>
          <w:b w:val="1"/>
          <w:bCs w:val="1"/>
          <w:color w:val="auto"/>
        </w:rPr>
      </w:pPr>
    </w:p>
    <w:p>
      <w:pPr>
        <w:ind w:left="10" w:right="60"/>
        <w:spacing w:after="0" w:line="274" w:lineRule="auto"/>
        <w:rPr>
          <w:rFonts w:ascii="Arial" w:cs="Arial" w:eastAsia="Arial" w:hAnsi="Arial"/>
          <w:sz w:val="14"/>
          <w:szCs w:val="14"/>
          <w:b w:val="1"/>
          <w:bCs w:val="1"/>
          <w:color w:val="auto"/>
        </w:rPr>
      </w:pPr>
      <w:r>
        <w:rPr>
          <w:rFonts w:ascii="Arial" w:cs="Arial" w:eastAsia="Arial" w:hAnsi="Arial"/>
          <w:sz w:val="14"/>
          <w:szCs w:val="14"/>
          <w:color w:val="auto"/>
        </w:rPr>
        <w:t>Section 409A(a)(1)(B) in the absence of such a deferral. The first payment thereof will include a catch-up payment covering the amount that would have otherwise been paid during the period between Participant’s termination of employment and the first payment date but for the application of this provision, and the balance of the installments (if any) will be payable in accordance with their original schedule. To the extent that any provision of this Agreement is ambiguous as to its compliance with Section 409A, the provision will be read in such a manner so that all payments hereunder comply with Section 409A. To the extent any payment under this Agreement may be classified as a “short-term deferral” within the meaning of Section 409A, such payment shall be deemed a short-term deferral, even if it may also qualify for an exemption from Section 409A under another provision of Section 409A. Payments pursuant to this section are intended to constitute separate payments for purposes of Section 1.409A-2(b)(2) of the Treasury Regulations.</w:t>
      </w:r>
    </w:p>
    <w:p>
      <w:pPr>
        <w:spacing w:after="0" w:line="146" w:lineRule="exact"/>
        <w:rPr>
          <w:rFonts w:ascii="Arial" w:cs="Arial" w:eastAsia="Arial" w:hAnsi="Arial"/>
          <w:sz w:val="14"/>
          <w:szCs w:val="14"/>
          <w:b w:val="1"/>
          <w:bCs w:val="1"/>
          <w:color w:val="auto"/>
        </w:rPr>
      </w:pPr>
    </w:p>
    <w:p>
      <w:pPr>
        <w:ind w:left="10" w:hanging="10"/>
        <w:spacing w:after="0" w:line="261" w:lineRule="auto"/>
        <w:tabs>
          <w:tab w:leader="none" w:pos="227" w:val="left"/>
        </w:tabs>
        <w:numPr>
          <w:ilvl w:val="0"/>
          <w:numId w:val="374"/>
        </w:numPr>
        <w:rPr>
          <w:rFonts w:ascii="Arial" w:cs="Arial" w:eastAsia="Arial" w:hAnsi="Arial"/>
          <w:sz w:val="15"/>
          <w:szCs w:val="15"/>
          <w:b w:val="1"/>
          <w:bCs w:val="1"/>
          <w:color w:val="auto"/>
        </w:rPr>
      </w:pPr>
      <w:r>
        <w:rPr>
          <w:rFonts w:ascii="Arial" w:cs="Arial" w:eastAsia="Arial" w:hAnsi="Arial"/>
          <w:sz w:val="15"/>
          <w:szCs w:val="15"/>
          <w:b w:val="1"/>
          <w:bCs w:val="1"/>
          <w:u w:val="single" w:color="auto"/>
          <w:color w:val="auto"/>
        </w:rPr>
        <w:t>Award Subject to Company Clawback or Recoupment</w:t>
      </w:r>
      <w:r>
        <w:rPr>
          <w:rFonts w:ascii="Arial" w:cs="Arial" w:eastAsia="Arial" w:hAnsi="Arial"/>
          <w:sz w:val="15"/>
          <w:szCs w:val="15"/>
          <w:color w:val="auto"/>
        </w:rPr>
        <w:t>. The RSU shall be subject to clawback or recoupment pursuant to any compensation clawback or recoupment policy adopted by</w:t>
      </w:r>
      <w:r>
        <w:rPr>
          <w:rFonts w:ascii="Arial" w:cs="Arial" w:eastAsia="Arial" w:hAnsi="Arial"/>
          <w:sz w:val="15"/>
          <w:szCs w:val="15"/>
          <w:b w:val="1"/>
          <w:bCs w:val="1"/>
          <w:color w:val="auto"/>
        </w:rPr>
        <w:t xml:space="preserve"> </w:t>
      </w:r>
      <w:r>
        <w:rPr>
          <w:rFonts w:ascii="Arial" w:cs="Arial" w:eastAsia="Arial" w:hAnsi="Arial"/>
          <w:sz w:val="15"/>
          <w:szCs w:val="15"/>
          <w:color w:val="auto"/>
        </w:rPr>
        <w:t>the Board or required by law during the term of Participant’s Continuous Service Status with the Company that is applicable to executive officers, employees, directors or other service providers of the Company, and in addition to any other remedies available under such policy and applicable law may require the cancellation of Participant’s RSU (whether vested or unvested) and the recoupment of any gains realized with respect to Participant’s RSU.</w:t>
      </w:r>
    </w:p>
    <w:p>
      <w:pPr>
        <w:spacing w:after="0" w:line="151" w:lineRule="exact"/>
        <w:rPr>
          <w:rFonts w:ascii="Arial" w:cs="Arial" w:eastAsia="Arial" w:hAnsi="Arial"/>
          <w:sz w:val="15"/>
          <w:szCs w:val="15"/>
          <w:b w:val="1"/>
          <w:bCs w:val="1"/>
          <w:color w:val="auto"/>
        </w:rPr>
      </w:pPr>
    </w:p>
    <w:p>
      <w:pPr>
        <w:ind w:left="10" w:right="540" w:hanging="10"/>
        <w:spacing w:after="0" w:line="280" w:lineRule="auto"/>
        <w:tabs>
          <w:tab w:leader="none" w:pos="235" w:val="left"/>
        </w:tabs>
        <w:numPr>
          <w:ilvl w:val="0"/>
          <w:numId w:val="374"/>
        </w:numPr>
        <w:rPr>
          <w:rFonts w:ascii="Arial" w:cs="Arial" w:eastAsia="Arial" w:hAnsi="Arial"/>
          <w:sz w:val="15"/>
          <w:szCs w:val="15"/>
          <w:b w:val="1"/>
          <w:bCs w:val="1"/>
          <w:color w:val="auto"/>
        </w:rPr>
      </w:pPr>
      <w:r>
        <w:rPr>
          <w:rFonts w:ascii="Arial" w:cs="Arial" w:eastAsia="Arial" w:hAnsi="Arial"/>
          <w:sz w:val="15"/>
          <w:szCs w:val="15"/>
          <w:b w:val="1"/>
          <w:bCs w:val="1"/>
          <w:u w:val="single" w:color="auto"/>
          <w:color w:val="auto"/>
        </w:rPr>
        <w:t>Tax Consequences</w:t>
      </w:r>
      <w:r>
        <w:rPr>
          <w:rFonts w:ascii="Arial" w:cs="Arial" w:eastAsia="Arial" w:hAnsi="Arial"/>
          <w:sz w:val="15"/>
          <w:szCs w:val="15"/>
          <w:b w:val="1"/>
          <w:bCs w:val="1"/>
          <w:color w:val="auto"/>
        </w:rPr>
        <w:t xml:space="preserve">. </w:t>
      </w:r>
      <w:r>
        <w:rPr>
          <w:rFonts w:ascii="Arial" w:cs="Arial" w:eastAsia="Arial" w:hAnsi="Arial"/>
          <w:sz w:val="15"/>
          <w:szCs w:val="15"/>
          <w:color w:val="auto"/>
        </w:rPr>
        <w:t>Participant acknowledges that there will be tax consequences upon vesting and/or settlement of the RSUs and/or disposition of the Shares, if any, received in</w:t>
      </w:r>
      <w:r>
        <w:rPr>
          <w:rFonts w:ascii="Arial" w:cs="Arial" w:eastAsia="Arial" w:hAnsi="Arial"/>
          <w:sz w:val="15"/>
          <w:szCs w:val="15"/>
          <w:b w:val="1"/>
          <w:bCs w:val="1"/>
          <w:color w:val="auto"/>
        </w:rPr>
        <w:t xml:space="preserve"> </w:t>
      </w:r>
      <w:r>
        <w:rPr>
          <w:rFonts w:ascii="Arial" w:cs="Arial" w:eastAsia="Arial" w:hAnsi="Arial"/>
          <w:sz w:val="15"/>
          <w:szCs w:val="15"/>
          <w:color w:val="auto"/>
        </w:rPr>
        <w:t>connection therewith, and Participant should consult a tax adviser regarding Participant’s tax obligations prior to such settlement or disposition.</w:t>
      </w:r>
    </w:p>
    <w:p>
      <w:pPr>
        <w:spacing w:after="0" w:line="86" w:lineRule="exact"/>
        <w:rPr>
          <w:rFonts w:ascii="Arial" w:cs="Arial" w:eastAsia="Arial" w:hAnsi="Arial"/>
          <w:sz w:val="15"/>
          <w:szCs w:val="15"/>
          <w:b w:val="1"/>
          <w:bCs w:val="1"/>
          <w:color w:val="auto"/>
        </w:rPr>
      </w:pPr>
    </w:p>
    <w:p>
      <w:pPr>
        <w:ind w:left="5690" w:hanging="91"/>
        <w:spacing w:after="0"/>
        <w:tabs>
          <w:tab w:leader="none" w:pos="5690" w:val="left"/>
        </w:tabs>
        <w:numPr>
          <w:ilvl w:val="1"/>
          <w:numId w:val="374"/>
        </w:numPr>
        <w:rPr>
          <w:rFonts w:ascii="Arial" w:cs="Arial" w:eastAsia="Arial" w:hAnsi="Arial"/>
          <w:sz w:val="15"/>
          <w:szCs w:val="15"/>
          <w:color w:val="auto"/>
        </w:rPr>
      </w:pPr>
      <w:r>
        <w:rPr>
          <w:rFonts w:ascii="Arial" w:cs="Arial" w:eastAsia="Arial" w:hAnsi="Arial"/>
          <w:sz w:val="15"/>
          <w:szCs w:val="15"/>
          <w:color w:val="auto"/>
        </w:rPr>
        <w:t>2 -</w:t>
      </w:r>
    </w:p>
    <w:p>
      <w:pPr>
        <w:sectPr>
          <w:pgSz w:w="11900" w:h="16838" w:orient="portrait"/>
          <w:cols w:equalWidth="0" w:num="1">
            <w:col w:w="11450"/>
          </w:cols>
          <w:pgMar w:left="230" w:top="249" w:right="219" w:bottom="1440" w:gutter="0" w:footer="0" w:header="0"/>
        </w:sectPr>
      </w:pPr>
    </w:p>
    <w:bookmarkStart w:id="426" w:name="page427"/>
    <w:bookmarkEnd w:id="426"/>
    <w:p>
      <w:pPr>
        <w:ind w:left="10" w:right="20" w:hanging="10"/>
        <w:spacing w:after="0" w:line="256" w:lineRule="auto"/>
        <w:tabs>
          <w:tab w:leader="none" w:pos="235" w:val="left"/>
        </w:tabs>
        <w:numPr>
          <w:ilvl w:val="0"/>
          <w:numId w:val="375"/>
        </w:numPr>
        <w:rPr>
          <w:rFonts w:ascii="Arial" w:cs="Arial" w:eastAsia="Arial" w:hAnsi="Arial"/>
          <w:sz w:val="15"/>
          <w:szCs w:val="15"/>
          <w:b w:val="1"/>
          <w:bCs w:val="1"/>
          <w:color w:val="auto"/>
        </w:rPr>
      </w:pPr>
      <w:r>
        <w:rPr>
          <w:rFonts w:ascii="Arial" w:cs="Arial" w:eastAsia="Arial" w:hAnsi="Arial"/>
          <w:sz w:val="15"/>
          <w:szCs w:val="15"/>
          <w:b w:val="1"/>
          <w:bCs w:val="1"/>
          <w:u w:val="single" w:color="auto"/>
          <w:color w:val="auto"/>
        </w:rPr>
        <w:drawing>
          <wp:anchor simplePos="0" relativeHeight="251657728" behindDoc="1" locked="0" layoutInCell="0" allowOverlap="1">
            <wp:simplePos x="0" y="0"/>
            <wp:positionH relativeFrom="page">
              <wp:posOffset>133350</wp:posOffset>
            </wp:positionH>
            <wp:positionV relativeFrom="page">
              <wp:posOffset>88900</wp:posOffset>
            </wp:positionV>
            <wp:extent cx="7308850" cy="34290"/>
            <wp:wrapNone/>
            <wp:docPr id="604" name="Picture 6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4"/>
                    <pic:cNvPicPr>
                      <a:picLocks noChangeAspect="1" noChangeArrowheads="1"/>
                    </pic:cNvPicPr>
                  </pic:nvPicPr>
                  <pic:blipFill>
                    <a:blip r:embed="rId641">
                      <a:extLst>
                        <a:ext uri="{28A0092B-C50C-407E-A947-70E740481C1C}"/>
                      </a:extLst>
                    </a:blip>
                    <a:srcRect/>
                    <a:stretch>
                      <a:fillRect/>
                    </a:stretch>
                  </pic:blipFill>
                  <pic:spPr bwMode="auto">
                    <a:xfrm>
                      <a:off x="0" y="0"/>
                      <a:ext cx="7308850" cy="34290"/>
                    </a:xfrm>
                    <a:prstGeom prst="rect">
                      <a:avLst/>
                    </a:prstGeom>
                    <a:noFill/>
                  </pic:spPr>
                </pic:pic>
              </a:graphicData>
            </a:graphic>
          </wp:anchor>
        </w:drawing>
        <w:t>Compliance with Laws and Regulations</w:t>
      </w:r>
      <w:r>
        <w:rPr>
          <w:rFonts w:ascii="Arial" w:cs="Arial" w:eastAsia="Arial" w:hAnsi="Arial"/>
          <w:sz w:val="15"/>
          <w:szCs w:val="15"/>
          <w:b w:val="1"/>
          <w:bCs w:val="1"/>
          <w:color w:val="auto"/>
        </w:rPr>
        <w:t xml:space="preserve">. </w:t>
      </w:r>
      <w:r>
        <w:rPr>
          <w:rFonts w:ascii="Arial" w:cs="Arial" w:eastAsia="Arial" w:hAnsi="Arial"/>
          <w:sz w:val="15"/>
          <w:szCs w:val="15"/>
          <w:color w:val="auto"/>
        </w:rPr>
        <w:t>The issuance of Shares will be subject to and conditioned upon compliance by the Company and Participant (including any written</w:t>
      </w:r>
      <w:r>
        <w:rPr>
          <w:rFonts w:ascii="Arial" w:cs="Arial" w:eastAsia="Arial" w:hAnsi="Arial"/>
          <w:sz w:val="15"/>
          <w:szCs w:val="15"/>
          <w:b w:val="1"/>
          <w:bCs w:val="1"/>
          <w:color w:val="auto"/>
        </w:rPr>
        <w:t xml:space="preserve"> </w:t>
      </w:r>
      <w:r>
        <w:rPr>
          <w:rFonts w:ascii="Arial" w:cs="Arial" w:eastAsia="Arial" w:hAnsi="Arial"/>
          <w:sz w:val="15"/>
          <w:szCs w:val="15"/>
          <w:color w:val="auto"/>
        </w:rPr>
        <w:t>representations, warranties and agreements as the Committee may request of Participant for compliance with Applicable Laws) with all applicable state and federal laws and regulations and with all applicable requirements of any stock exchange or automated quotation system on which the Company’s securities may be listed or quoted at the time of such issuance or transfer. Participant may not be issued any Shares if such issuance would constitute a violation of any applicable federal, state or foreign securities laws or other law or regulations or the requirements of any stock exchange or market system upon which the Stock may then be listed. The inability of the Company to obtain from any regulatory body having jurisdiction the authority, if any, deemed by the Company’s legal counsel to be necessary to the lawful issuance and sale of any Shares shall relieve the Company of any liability in respect of the failure to issue or sell such shares.</w:t>
      </w:r>
    </w:p>
    <w:p>
      <w:pPr>
        <w:spacing w:after="0" w:line="155" w:lineRule="exact"/>
        <w:rPr>
          <w:rFonts w:ascii="Arial" w:cs="Arial" w:eastAsia="Arial" w:hAnsi="Arial"/>
          <w:sz w:val="15"/>
          <w:szCs w:val="15"/>
          <w:b w:val="1"/>
          <w:bCs w:val="1"/>
          <w:color w:val="auto"/>
        </w:rPr>
      </w:pPr>
    </w:p>
    <w:p>
      <w:pPr>
        <w:ind w:left="10" w:hanging="10"/>
        <w:spacing w:after="0" w:line="293" w:lineRule="auto"/>
        <w:tabs>
          <w:tab w:leader="none" w:pos="235" w:val="left"/>
        </w:tabs>
        <w:numPr>
          <w:ilvl w:val="0"/>
          <w:numId w:val="375"/>
        </w:numPr>
        <w:rPr>
          <w:rFonts w:ascii="Arial" w:cs="Arial" w:eastAsia="Arial" w:hAnsi="Arial"/>
          <w:sz w:val="14"/>
          <w:szCs w:val="14"/>
          <w:b w:val="1"/>
          <w:bCs w:val="1"/>
          <w:color w:val="auto"/>
        </w:rPr>
      </w:pPr>
      <w:r>
        <w:rPr>
          <w:rFonts w:ascii="Arial" w:cs="Arial" w:eastAsia="Arial" w:hAnsi="Arial"/>
          <w:sz w:val="14"/>
          <w:szCs w:val="14"/>
          <w:b w:val="1"/>
          <w:bCs w:val="1"/>
          <w:u w:val="single" w:color="auto"/>
          <w:color w:val="auto"/>
        </w:rPr>
        <w:t>Legend</w:t>
      </w:r>
      <w:r>
        <w:rPr>
          <w:rFonts w:ascii="Arial" w:cs="Arial" w:eastAsia="Arial" w:hAnsi="Arial"/>
          <w:sz w:val="14"/>
          <w:szCs w:val="14"/>
          <w:b w:val="1"/>
          <w:bCs w:val="1"/>
          <w:color w:val="auto"/>
        </w:rPr>
        <w:t xml:space="preserve">. </w:t>
      </w:r>
      <w:r>
        <w:rPr>
          <w:rFonts w:ascii="Arial" w:cs="Arial" w:eastAsia="Arial" w:hAnsi="Arial"/>
          <w:sz w:val="14"/>
          <w:szCs w:val="14"/>
          <w:color w:val="auto"/>
        </w:rPr>
        <w:t>The Shares issued hereunder shall be subject to such stop transfer orders and other restrictions as the Committee may deem advisable under the Plan, this Agreement or the rules,</w:t>
      </w:r>
      <w:r>
        <w:rPr>
          <w:rFonts w:ascii="Arial" w:cs="Arial" w:eastAsia="Arial" w:hAnsi="Arial"/>
          <w:sz w:val="14"/>
          <w:szCs w:val="14"/>
          <w:b w:val="1"/>
          <w:bCs w:val="1"/>
          <w:color w:val="auto"/>
        </w:rPr>
        <w:t xml:space="preserve"> </w:t>
      </w:r>
      <w:r>
        <w:rPr>
          <w:rFonts w:ascii="Arial" w:cs="Arial" w:eastAsia="Arial" w:hAnsi="Arial"/>
          <w:sz w:val="14"/>
          <w:szCs w:val="14"/>
          <w:color w:val="auto"/>
        </w:rPr>
        <w:t>regulations, and other requirements of the Securities and Exchange Commission, any stock exchange upon which such shares of the Company’s securities are listed, and any applicable Federal or state laws, and the Committee may cause a legend or legends to be put on any such book-entries to make appropriate reference to such restrictions.</w:t>
      </w:r>
    </w:p>
    <w:p>
      <w:pPr>
        <w:spacing w:after="0" w:line="132" w:lineRule="exact"/>
        <w:rPr>
          <w:rFonts w:ascii="Arial" w:cs="Arial" w:eastAsia="Arial" w:hAnsi="Arial"/>
          <w:sz w:val="14"/>
          <w:szCs w:val="14"/>
          <w:b w:val="1"/>
          <w:bCs w:val="1"/>
          <w:color w:val="auto"/>
        </w:rPr>
      </w:pPr>
    </w:p>
    <w:p>
      <w:pPr>
        <w:ind w:left="10" w:right="20" w:hanging="10"/>
        <w:spacing w:after="0" w:line="266" w:lineRule="auto"/>
        <w:tabs>
          <w:tab w:leader="none" w:pos="235" w:val="left"/>
        </w:tabs>
        <w:numPr>
          <w:ilvl w:val="0"/>
          <w:numId w:val="375"/>
        </w:numPr>
        <w:rPr>
          <w:rFonts w:ascii="Arial" w:cs="Arial" w:eastAsia="Arial" w:hAnsi="Arial"/>
          <w:sz w:val="15"/>
          <w:szCs w:val="15"/>
          <w:b w:val="1"/>
          <w:bCs w:val="1"/>
          <w:color w:val="auto"/>
        </w:rPr>
      </w:pPr>
      <w:r>
        <w:rPr>
          <w:rFonts w:ascii="Arial" w:cs="Arial" w:eastAsia="Arial" w:hAnsi="Arial"/>
          <w:sz w:val="15"/>
          <w:szCs w:val="15"/>
          <w:b w:val="1"/>
          <w:bCs w:val="1"/>
          <w:u w:val="single" w:color="auto"/>
          <w:color w:val="auto"/>
        </w:rPr>
        <w:t>Successors and Assigns</w:t>
      </w:r>
      <w:r>
        <w:rPr>
          <w:rFonts w:ascii="Arial" w:cs="Arial" w:eastAsia="Arial" w:hAnsi="Arial"/>
          <w:sz w:val="15"/>
          <w:szCs w:val="15"/>
          <w:b w:val="1"/>
          <w:bCs w:val="1"/>
          <w:color w:val="auto"/>
        </w:rPr>
        <w:t xml:space="preserve">. </w:t>
      </w:r>
      <w:r>
        <w:rPr>
          <w:rFonts w:ascii="Arial" w:cs="Arial" w:eastAsia="Arial" w:hAnsi="Arial"/>
          <w:sz w:val="15"/>
          <w:szCs w:val="15"/>
          <w:color w:val="auto"/>
        </w:rPr>
        <w:t>The Company may assign any of its rights under this Agreement. This Agreement shall be binding upon and inure to the benefit of the successors and assigns of</w:t>
      </w:r>
      <w:r>
        <w:rPr>
          <w:rFonts w:ascii="Arial" w:cs="Arial" w:eastAsia="Arial" w:hAnsi="Arial"/>
          <w:sz w:val="15"/>
          <w:szCs w:val="15"/>
          <w:b w:val="1"/>
          <w:bCs w:val="1"/>
          <w:color w:val="auto"/>
        </w:rPr>
        <w:t xml:space="preserve"> </w:t>
      </w:r>
      <w:r>
        <w:rPr>
          <w:rFonts w:ascii="Arial" w:cs="Arial" w:eastAsia="Arial" w:hAnsi="Arial"/>
          <w:sz w:val="15"/>
          <w:szCs w:val="15"/>
          <w:color w:val="auto"/>
        </w:rPr>
        <w:t>the Company. Subject to the restrictions on transfer set forth herein, this Agreement will be binding upon Participant and Participant’s heirs, executors, administrators, legal representatives, successors and assigns.</w:t>
      </w:r>
    </w:p>
    <w:p>
      <w:pPr>
        <w:spacing w:after="0" w:line="148" w:lineRule="exact"/>
        <w:rPr>
          <w:rFonts w:ascii="Arial" w:cs="Arial" w:eastAsia="Arial" w:hAnsi="Arial"/>
          <w:sz w:val="15"/>
          <w:szCs w:val="15"/>
          <w:b w:val="1"/>
          <w:bCs w:val="1"/>
          <w:color w:val="auto"/>
        </w:rPr>
      </w:pPr>
    </w:p>
    <w:p>
      <w:pPr>
        <w:ind w:left="10" w:right="20" w:hanging="10"/>
        <w:spacing w:after="0" w:line="258" w:lineRule="auto"/>
        <w:tabs>
          <w:tab w:leader="none" w:pos="235" w:val="left"/>
        </w:tabs>
        <w:numPr>
          <w:ilvl w:val="0"/>
          <w:numId w:val="375"/>
        </w:numPr>
        <w:rPr>
          <w:rFonts w:ascii="Arial" w:cs="Arial" w:eastAsia="Arial" w:hAnsi="Arial"/>
          <w:sz w:val="15"/>
          <w:szCs w:val="15"/>
          <w:b w:val="1"/>
          <w:bCs w:val="1"/>
          <w:color w:val="auto"/>
        </w:rPr>
      </w:pPr>
      <w:r>
        <w:rPr>
          <w:rFonts w:ascii="Arial" w:cs="Arial" w:eastAsia="Arial" w:hAnsi="Arial"/>
          <w:sz w:val="15"/>
          <w:szCs w:val="15"/>
          <w:b w:val="1"/>
          <w:bCs w:val="1"/>
          <w:u w:val="single" w:color="auto"/>
          <w:color w:val="auto"/>
        </w:rPr>
        <w:t>Entire Agreement; Severability</w:t>
      </w:r>
      <w:r>
        <w:rPr>
          <w:rFonts w:ascii="Arial" w:cs="Arial" w:eastAsia="Arial" w:hAnsi="Arial"/>
          <w:sz w:val="15"/>
          <w:szCs w:val="15"/>
          <w:b w:val="1"/>
          <w:bCs w:val="1"/>
          <w:color w:val="auto"/>
        </w:rPr>
        <w:t xml:space="preserve">. </w:t>
      </w:r>
      <w:r>
        <w:rPr>
          <w:rFonts w:ascii="Arial" w:cs="Arial" w:eastAsia="Arial" w:hAnsi="Arial"/>
          <w:sz w:val="15"/>
          <w:szCs w:val="15"/>
          <w:color w:val="auto"/>
        </w:rPr>
        <w:t>The Plan and Notice of Grant are incorporated herein by reference. The Plan, the Notice of Grant and this Agreement constitute the entire agreement of</w:t>
      </w:r>
      <w:r>
        <w:rPr>
          <w:rFonts w:ascii="Arial" w:cs="Arial" w:eastAsia="Arial" w:hAnsi="Arial"/>
          <w:sz w:val="15"/>
          <w:szCs w:val="15"/>
          <w:b w:val="1"/>
          <w:bCs w:val="1"/>
          <w:color w:val="auto"/>
        </w:rPr>
        <w:t xml:space="preserve"> </w:t>
      </w:r>
      <w:r>
        <w:rPr>
          <w:rFonts w:ascii="Arial" w:cs="Arial" w:eastAsia="Arial" w:hAnsi="Arial"/>
          <w:sz w:val="15"/>
          <w:szCs w:val="15"/>
          <w:color w:val="auto"/>
        </w:rPr>
        <w:t>the parties with respect to the subject matter hereof and supersede in their entirety all prior undertakings and agreements of the Company and Participant with respect to the subject matter hereof (including, without limitation, any commitment to make any other form of equity award (such as stock options) that may have been set forth in any employment offer letter or other agreement between the parties). If any provision of this Agreement is determined by a court of law to be illegal or unenforceable, then such provision will be enforced to the maximum extent possible and the other provisions will remain fully effective and enforceable.</w:t>
      </w:r>
    </w:p>
    <w:p>
      <w:pPr>
        <w:spacing w:after="0" w:line="155" w:lineRule="exact"/>
        <w:rPr>
          <w:rFonts w:ascii="Arial" w:cs="Arial" w:eastAsia="Arial" w:hAnsi="Arial"/>
          <w:sz w:val="15"/>
          <w:szCs w:val="15"/>
          <w:b w:val="1"/>
          <w:bCs w:val="1"/>
          <w:color w:val="auto"/>
        </w:rPr>
      </w:pPr>
    </w:p>
    <w:p>
      <w:pPr>
        <w:ind w:left="10" w:right="20" w:hanging="10"/>
        <w:spacing w:after="0" w:line="313" w:lineRule="auto"/>
        <w:tabs>
          <w:tab w:leader="none" w:pos="235" w:val="left"/>
        </w:tabs>
        <w:numPr>
          <w:ilvl w:val="0"/>
          <w:numId w:val="375"/>
        </w:numPr>
        <w:rPr>
          <w:rFonts w:ascii="Arial" w:cs="Arial" w:eastAsia="Arial" w:hAnsi="Arial"/>
          <w:sz w:val="13"/>
          <w:szCs w:val="13"/>
          <w:b w:val="1"/>
          <w:bCs w:val="1"/>
          <w:color w:val="auto"/>
        </w:rPr>
      </w:pPr>
      <w:r>
        <w:rPr>
          <w:rFonts w:ascii="Arial" w:cs="Arial" w:eastAsia="Arial" w:hAnsi="Arial"/>
          <w:sz w:val="13"/>
          <w:szCs w:val="13"/>
          <w:b w:val="1"/>
          <w:bCs w:val="1"/>
          <w:u w:val="single" w:color="auto"/>
          <w:color w:val="auto"/>
        </w:rPr>
        <w:t>Market Standoff Agreement</w:t>
      </w:r>
      <w:r>
        <w:rPr>
          <w:rFonts w:ascii="Arial" w:cs="Arial" w:eastAsia="Arial" w:hAnsi="Arial"/>
          <w:sz w:val="13"/>
          <w:szCs w:val="13"/>
          <w:b w:val="1"/>
          <w:bCs w:val="1"/>
          <w:color w:val="auto"/>
        </w:rPr>
        <w:t xml:space="preserve">. </w:t>
      </w:r>
      <w:r>
        <w:rPr>
          <w:rFonts w:ascii="Arial" w:cs="Arial" w:eastAsia="Arial" w:hAnsi="Arial"/>
          <w:sz w:val="13"/>
          <w:szCs w:val="13"/>
          <w:color w:val="auto"/>
        </w:rPr>
        <w:t>Participant agrees that in connection with any registration of the Company’s securities that, upon the request of the Company or the underwriters managing</w:t>
      </w:r>
      <w:r>
        <w:rPr>
          <w:rFonts w:ascii="Arial" w:cs="Arial" w:eastAsia="Arial" w:hAnsi="Arial"/>
          <w:sz w:val="13"/>
          <w:szCs w:val="13"/>
          <w:b w:val="1"/>
          <w:bCs w:val="1"/>
          <w:color w:val="auto"/>
        </w:rPr>
        <w:t xml:space="preserve"> </w:t>
      </w:r>
      <w:r>
        <w:rPr>
          <w:rFonts w:ascii="Arial" w:cs="Arial" w:eastAsia="Arial" w:hAnsi="Arial"/>
          <w:sz w:val="13"/>
          <w:szCs w:val="13"/>
          <w:color w:val="auto"/>
        </w:rPr>
        <w:t>any public offering of the Company’s securities, Participant will not sell or otherwise dispose of shares of the Company’s capital stock without the prior written consent of the Company or such underwriters, as the case may be, for such reasonable period of time after the effective date of such registration as may be requested by such managing underwriters and subject to all restrictions as the Company or the underwriters may specify. Participant will enter into any agreement reasonably required by the underwriters to implement the foregoing.</w:t>
      </w:r>
    </w:p>
    <w:p>
      <w:pPr>
        <w:spacing w:after="0" w:line="122" w:lineRule="exact"/>
        <w:rPr>
          <w:rFonts w:ascii="Arial" w:cs="Arial" w:eastAsia="Arial" w:hAnsi="Arial"/>
          <w:sz w:val="13"/>
          <w:szCs w:val="13"/>
          <w:b w:val="1"/>
          <w:bCs w:val="1"/>
          <w:color w:val="auto"/>
        </w:rPr>
      </w:pPr>
    </w:p>
    <w:p>
      <w:pPr>
        <w:ind w:left="10" w:right="140" w:hanging="10"/>
        <w:spacing w:after="0" w:line="280" w:lineRule="auto"/>
        <w:tabs>
          <w:tab w:leader="none" w:pos="235" w:val="left"/>
        </w:tabs>
        <w:numPr>
          <w:ilvl w:val="0"/>
          <w:numId w:val="375"/>
        </w:numPr>
        <w:rPr>
          <w:rFonts w:ascii="Arial" w:cs="Arial" w:eastAsia="Arial" w:hAnsi="Arial"/>
          <w:sz w:val="15"/>
          <w:szCs w:val="15"/>
          <w:b w:val="1"/>
          <w:bCs w:val="1"/>
          <w:color w:val="auto"/>
        </w:rPr>
      </w:pPr>
      <w:r>
        <w:rPr>
          <w:rFonts w:ascii="Arial" w:cs="Arial" w:eastAsia="Arial" w:hAnsi="Arial"/>
          <w:sz w:val="15"/>
          <w:szCs w:val="15"/>
          <w:b w:val="1"/>
          <w:bCs w:val="1"/>
          <w:u w:val="single" w:color="auto"/>
          <w:color w:val="auto"/>
        </w:rPr>
        <w:t>No Rights as Employee, Director or Consultant</w:t>
      </w:r>
      <w:r>
        <w:rPr>
          <w:rFonts w:ascii="Arial" w:cs="Arial" w:eastAsia="Arial" w:hAnsi="Arial"/>
          <w:sz w:val="15"/>
          <w:szCs w:val="15"/>
          <w:color w:val="auto"/>
        </w:rPr>
        <w:t>. Nothing in this Agreement shall affect in any manner whatsoever the right or power of the Company, or a Parent or Subsidiary of the</w:t>
      </w:r>
      <w:r>
        <w:rPr>
          <w:rFonts w:ascii="Arial" w:cs="Arial" w:eastAsia="Arial" w:hAnsi="Arial"/>
          <w:sz w:val="15"/>
          <w:szCs w:val="15"/>
          <w:b w:val="1"/>
          <w:bCs w:val="1"/>
          <w:color w:val="auto"/>
        </w:rPr>
        <w:t xml:space="preserve"> </w:t>
      </w:r>
      <w:r>
        <w:rPr>
          <w:rFonts w:ascii="Arial" w:cs="Arial" w:eastAsia="Arial" w:hAnsi="Arial"/>
          <w:sz w:val="15"/>
          <w:szCs w:val="15"/>
          <w:color w:val="auto"/>
        </w:rPr>
        <w:t>Company, to terminate Participant</w:t>
      </w:r>
      <w:r>
        <w:rPr>
          <w:rFonts w:ascii="Arial" w:cs="Arial" w:eastAsia="Arial" w:hAnsi="Arial"/>
          <w:sz w:val="12"/>
          <w:szCs w:val="12"/>
          <w:color w:val="auto"/>
        </w:rPr>
        <w:t>’</w:t>
      </w:r>
      <w:r>
        <w:rPr>
          <w:rFonts w:ascii="Arial" w:cs="Arial" w:eastAsia="Arial" w:hAnsi="Arial"/>
          <w:sz w:val="15"/>
          <w:szCs w:val="15"/>
          <w:color w:val="auto"/>
        </w:rPr>
        <w:t>s Continuous Service Status, for any reason, with or without cause.</w:t>
      </w:r>
    </w:p>
    <w:p>
      <w:pPr>
        <w:spacing w:after="0" w:line="138" w:lineRule="exact"/>
        <w:rPr>
          <w:rFonts w:ascii="Arial" w:cs="Arial" w:eastAsia="Arial" w:hAnsi="Arial"/>
          <w:sz w:val="15"/>
          <w:szCs w:val="15"/>
          <w:b w:val="1"/>
          <w:bCs w:val="1"/>
          <w:color w:val="auto"/>
        </w:rPr>
      </w:pPr>
    </w:p>
    <w:p>
      <w:pPr>
        <w:ind w:left="10" w:right="40" w:hanging="10"/>
        <w:spacing w:after="0" w:line="266" w:lineRule="auto"/>
        <w:tabs>
          <w:tab w:leader="none" w:pos="235" w:val="left"/>
        </w:tabs>
        <w:numPr>
          <w:ilvl w:val="0"/>
          <w:numId w:val="375"/>
        </w:numPr>
        <w:rPr>
          <w:rFonts w:ascii="Arial" w:cs="Arial" w:eastAsia="Arial" w:hAnsi="Arial"/>
          <w:sz w:val="15"/>
          <w:szCs w:val="15"/>
          <w:b w:val="1"/>
          <w:bCs w:val="1"/>
          <w:color w:val="auto"/>
        </w:rPr>
      </w:pPr>
      <w:r>
        <w:rPr>
          <w:rFonts w:ascii="Arial" w:cs="Arial" w:eastAsia="Arial" w:hAnsi="Arial"/>
          <w:sz w:val="15"/>
          <w:szCs w:val="15"/>
          <w:b w:val="1"/>
          <w:bCs w:val="1"/>
          <w:u w:val="single" w:color="auto"/>
          <w:color w:val="auto"/>
        </w:rPr>
        <w:t>Information to Participants</w:t>
      </w:r>
      <w:r>
        <w:rPr>
          <w:rFonts w:ascii="Arial" w:cs="Arial" w:eastAsia="Arial" w:hAnsi="Arial"/>
          <w:sz w:val="15"/>
          <w:szCs w:val="15"/>
          <w:color w:val="auto"/>
        </w:rPr>
        <w:t>. If the Company is relying on an exemption from registration under Section 12(h)-1 of the Exchange Act and such information is required to be provided by</w:t>
      </w:r>
      <w:r>
        <w:rPr>
          <w:rFonts w:ascii="Arial" w:cs="Arial" w:eastAsia="Arial" w:hAnsi="Arial"/>
          <w:sz w:val="15"/>
          <w:szCs w:val="15"/>
          <w:b w:val="1"/>
          <w:bCs w:val="1"/>
          <w:color w:val="auto"/>
        </w:rPr>
        <w:t xml:space="preserve"> </w:t>
      </w:r>
      <w:r>
        <w:rPr>
          <w:rFonts w:ascii="Arial" w:cs="Arial" w:eastAsia="Arial" w:hAnsi="Arial"/>
          <w:sz w:val="15"/>
          <w:szCs w:val="15"/>
          <w:color w:val="auto"/>
        </w:rPr>
        <w:t>such Section 12(h)-1, the Company shall provide the information described in Rules 701(e)(3), (4), and (5) of the Securities Act by a method allowed under Section 12(h)-1 of the Exchange Act in accordance with Section 12(h)-1 of the Exchange Act, provided that Participant agrees to keep the information confidential.</w:t>
      </w:r>
    </w:p>
    <w:p>
      <w:pPr>
        <w:spacing w:after="0" w:line="95" w:lineRule="exact"/>
        <w:rPr>
          <w:rFonts w:ascii="Arial" w:cs="Arial" w:eastAsia="Arial" w:hAnsi="Arial"/>
          <w:sz w:val="15"/>
          <w:szCs w:val="15"/>
          <w:b w:val="1"/>
          <w:bCs w:val="1"/>
          <w:color w:val="auto"/>
        </w:rPr>
      </w:pPr>
    </w:p>
    <w:p>
      <w:pPr>
        <w:ind w:left="5690" w:hanging="91"/>
        <w:spacing w:after="0"/>
        <w:tabs>
          <w:tab w:leader="none" w:pos="5690" w:val="left"/>
        </w:tabs>
        <w:numPr>
          <w:ilvl w:val="1"/>
          <w:numId w:val="375"/>
        </w:numPr>
        <w:rPr>
          <w:rFonts w:ascii="Arial" w:cs="Arial" w:eastAsia="Arial" w:hAnsi="Arial"/>
          <w:sz w:val="15"/>
          <w:szCs w:val="15"/>
          <w:color w:val="auto"/>
        </w:rPr>
      </w:pPr>
      <w:r>
        <w:rPr>
          <w:rFonts w:ascii="Arial" w:cs="Arial" w:eastAsia="Arial" w:hAnsi="Arial"/>
          <w:sz w:val="15"/>
          <w:szCs w:val="15"/>
          <w:color w:val="auto"/>
        </w:rPr>
        <w:t>3 -</w:t>
      </w:r>
    </w:p>
    <w:p>
      <w:pPr>
        <w:sectPr>
          <w:pgSz w:w="11900" w:h="16838" w:orient="portrait"/>
          <w:cols w:equalWidth="0" w:num="1">
            <w:col w:w="11450"/>
          </w:cols>
          <w:pgMar w:left="230" w:top="249" w:right="219" w:bottom="1440" w:gutter="0" w:footer="0" w:header="0"/>
        </w:sectPr>
      </w:pPr>
    </w:p>
    <w:bookmarkStart w:id="427" w:name="page428"/>
    <w:bookmarkEnd w:id="427"/>
    <w:p>
      <w:pPr>
        <w:ind w:left="10" w:hanging="10"/>
        <w:spacing w:after="0" w:line="285" w:lineRule="auto"/>
        <w:tabs>
          <w:tab w:leader="none" w:pos="235" w:val="left"/>
        </w:tabs>
        <w:numPr>
          <w:ilvl w:val="0"/>
          <w:numId w:val="376"/>
        </w:numPr>
        <w:rPr>
          <w:rFonts w:ascii="Arial" w:cs="Arial" w:eastAsia="Arial" w:hAnsi="Arial"/>
          <w:sz w:val="14"/>
          <w:szCs w:val="14"/>
          <w:b w:val="1"/>
          <w:bCs w:val="1"/>
          <w:color w:val="auto"/>
        </w:rPr>
      </w:pPr>
      <w:r>
        <w:rPr>
          <w:rFonts w:ascii="Arial" w:cs="Arial" w:eastAsia="Arial" w:hAnsi="Arial"/>
          <w:sz w:val="14"/>
          <w:szCs w:val="14"/>
          <w:b w:val="1"/>
          <w:bCs w:val="1"/>
          <w:u w:val="single" w:color="auto"/>
          <w:color w:val="auto"/>
        </w:rPr>
        <w:drawing>
          <wp:anchor simplePos="0" relativeHeight="251657728" behindDoc="1" locked="0" layoutInCell="0" allowOverlap="1">
            <wp:simplePos x="0" y="0"/>
            <wp:positionH relativeFrom="page">
              <wp:posOffset>133350</wp:posOffset>
            </wp:positionH>
            <wp:positionV relativeFrom="page">
              <wp:posOffset>88900</wp:posOffset>
            </wp:positionV>
            <wp:extent cx="7308850" cy="34290"/>
            <wp:wrapNone/>
            <wp:docPr id="605" name="Picture 6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5"/>
                    <pic:cNvPicPr>
                      <a:picLocks noChangeAspect="1" noChangeArrowheads="1"/>
                    </pic:cNvPicPr>
                  </pic:nvPicPr>
                  <pic:blipFill>
                    <a:blip r:embed="rId642">
                      <a:extLst>
                        <a:ext uri="{28A0092B-C50C-407E-A947-70E740481C1C}"/>
                      </a:extLst>
                    </a:blip>
                    <a:srcRect/>
                    <a:stretch>
                      <a:fillRect/>
                    </a:stretch>
                  </pic:blipFill>
                  <pic:spPr bwMode="auto">
                    <a:xfrm>
                      <a:off x="0" y="0"/>
                      <a:ext cx="7308850" cy="34290"/>
                    </a:xfrm>
                    <a:prstGeom prst="rect">
                      <a:avLst/>
                    </a:prstGeom>
                    <a:noFill/>
                  </pic:spPr>
                </pic:pic>
              </a:graphicData>
            </a:graphic>
          </wp:anchor>
        </w:drawing>
        <w:t>Delivery of Documents and Notices</w:t>
      </w:r>
      <w:r>
        <w:rPr>
          <w:rFonts w:ascii="Arial" w:cs="Arial" w:eastAsia="Arial" w:hAnsi="Arial"/>
          <w:sz w:val="14"/>
          <w:szCs w:val="14"/>
          <w:b w:val="1"/>
          <w:bCs w:val="1"/>
          <w:color w:val="auto"/>
        </w:rPr>
        <w:t xml:space="preserve">. </w:t>
      </w:r>
      <w:r>
        <w:rPr>
          <w:rFonts w:ascii="Arial" w:cs="Arial" w:eastAsia="Arial" w:hAnsi="Arial"/>
          <w:sz w:val="14"/>
          <w:szCs w:val="14"/>
          <w:color w:val="auto"/>
        </w:rPr>
        <w:t>Any document relating to participating in the Plan and/or notice required or permitted hereunder shall be given in writing and shall be deemed</w:t>
      </w:r>
      <w:r>
        <w:rPr>
          <w:rFonts w:ascii="Arial" w:cs="Arial" w:eastAsia="Arial" w:hAnsi="Arial"/>
          <w:sz w:val="14"/>
          <w:szCs w:val="14"/>
          <w:b w:val="1"/>
          <w:bCs w:val="1"/>
          <w:color w:val="auto"/>
        </w:rPr>
        <w:t xml:space="preserve"> </w:t>
      </w:r>
      <w:r>
        <w:rPr>
          <w:rFonts w:ascii="Arial" w:cs="Arial" w:eastAsia="Arial" w:hAnsi="Arial"/>
          <w:sz w:val="14"/>
          <w:szCs w:val="14"/>
          <w:color w:val="auto"/>
        </w:rPr>
        <w:t>effectively given (except to the extent that this Agreement provides for effectiveness only upon actual receipt of such notice) upon personal delivery, electronic delivery, or upon deposit in the U.S. Post Office or foreign postal service, by registered or certified mail, with postage and fees prepaid, addressed to the other party at the e-mail address, if any, provided for Participant by the Company or at such other address as such party may designate in writing from time to time to the other party.</w:t>
      </w:r>
    </w:p>
    <w:p>
      <w:pPr>
        <w:spacing w:after="0" w:line="142" w:lineRule="exact"/>
        <w:rPr>
          <w:sz w:val="20"/>
          <w:szCs w:val="20"/>
          <w:color w:val="auto"/>
        </w:rPr>
      </w:pPr>
    </w:p>
    <w:p>
      <w:pPr>
        <w:jc w:val="center"/>
        <w:ind w:right="-89"/>
        <w:spacing w:after="0"/>
        <w:rPr>
          <w:sz w:val="20"/>
          <w:szCs w:val="20"/>
          <w:color w:val="auto"/>
        </w:rPr>
      </w:pPr>
      <w:r>
        <w:rPr>
          <w:rFonts w:ascii="Arial" w:cs="Arial" w:eastAsia="Arial" w:hAnsi="Arial"/>
          <w:sz w:val="15"/>
          <w:szCs w:val="15"/>
          <w:color w:val="auto"/>
        </w:rPr>
        <w:t>[End of document]</w:t>
      </w:r>
    </w:p>
    <w:p>
      <w:pPr>
        <w:spacing w:after="0" w:line="132" w:lineRule="exact"/>
        <w:rPr>
          <w:sz w:val="20"/>
          <w:szCs w:val="20"/>
          <w:color w:val="auto"/>
        </w:rPr>
      </w:pPr>
    </w:p>
    <w:p>
      <w:pPr>
        <w:jc w:val="center"/>
        <w:ind w:right="-89"/>
        <w:spacing w:after="0"/>
        <w:rPr>
          <w:sz w:val="20"/>
          <w:szCs w:val="20"/>
          <w:color w:val="auto"/>
        </w:rPr>
      </w:pPr>
      <w:r>
        <w:rPr>
          <w:rFonts w:ascii="Arial" w:cs="Arial" w:eastAsia="Arial" w:hAnsi="Arial"/>
          <w:sz w:val="15"/>
          <w:szCs w:val="15"/>
          <w:color w:val="auto"/>
        </w:rPr>
        <w:t>- 4 -</w:t>
      </w:r>
    </w:p>
    <w:p>
      <w:pPr>
        <w:sectPr>
          <w:pgSz w:w="11900" w:h="16838" w:orient="portrait"/>
          <w:cols w:equalWidth="0" w:num="1">
            <w:col w:w="11350"/>
          </w:cols>
          <w:pgMar w:left="230" w:top="249" w:right="319" w:bottom="1440" w:gutter="0" w:footer="0" w:header="0"/>
        </w:sectPr>
      </w:pPr>
    </w:p>
    <w:bookmarkStart w:id="428" w:name="page429"/>
    <w:bookmarkEnd w:id="428"/>
    <w:p>
      <w:pPr>
        <w:jc w:val="right"/>
        <w:spacing w:after="0"/>
        <w:rPr>
          <w:sz w:val="20"/>
          <w:szCs w:val="20"/>
          <w:color w:val="auto"/>
        </w:rPr>
      </w:pPr>
      <w:r>
        <w:rPr>
          <w:rFonts w:ascii="Arial" w:cs="Arial" w:eastAsia="Arial" w:hAnsi="Arial"/>
          <w:sz w:val="15"/>
          <w:szCs w:val="15"/>
          <w:b w:val="1"/>
          <w:bCs w:val="1"/>
          <w:color w:val="auto"/>
        </w:rPr>
        <w:t>Exhibit 10.7</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DROPBOX, INC.</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2008 EQUITY INCENTIVE PLAN</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As Adopted on January, 18, 2008</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As Amended on October 29, 2008, June 10, 2011, November 10, 2011, January 13, 2012,</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April 30, 2013, February 14, 2014, May 6, 2014, January 29, 2015, May 29, 2015,</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November 5, 2015 and November 2, 2016</w:t>
      </w:r>
    </w:p>
    <w:p>
      <w:pPr>
        <w:spacing w:after="0" w:line="175" w:lineRule="exact"/>
        <w:rPr>
          <w:sz w:val="20"/>
          <w:szCs w:val="20"/>
          <w:color w:val="auto"/>
        </w:rPr>
      </w:pPr>
    </w:p>
    <w:p>
      <w:pPr>
        <w:ind w:right="20" w:firstLine="448"/>
        <w:spacing w:after="0" w:line="307" w:lineRule="auto"/>
        <w:tabs>
          <w:tab w:leader="none" w:pos="608" w:val="left"/>
        </w:tabs>
        <w:numPr>
          <w:ilvl w:val="0"/>
          <w:numId w:val="377"/>
        </w:numPr>
        <w:rPr>
          <w:rFonts w:ascii="Arial" w:cs="Arial" w:eastAsia="Arial" w:hAnsi="Arial"/>
          <w:sz w:val="13"/>
          <w:szCs w:val="13"/>
          <w:b w:val="1"/>
          <w:bCs w:val="1"/>
          <w:color w:val="auto"/>
        </w:rPr>
      </w:pPr>
      <w:r>
        <w:rPr>
          <w:rFonts w:ascii="Arial" w:cs="Arial" w:eastAsia="Arial" w:hAnsi="Arial"/>
          <w:sz w:val="13"/>
          <w:szCs w:val="13"/>
          <w:b w:val="1"/>
          <w:bCs w:val="1"/>
          <w:u w:val="single" w:color="auto"/>
          <w:color w:val="auto"/>
        </w:rPr>
        <w:t>PURPOSE</w:t>
      </w:r>
      <w:r>
        <w:rPr>
          <w:rFonts w:ascii="Arial" w:cs="Arial" w:eastAsia="Arial" w:hAnsi="Arial"/>
          <w:sz w:val="13"/>
          <w:szCs w:val="13"/>
          <w:b w:val="1"/>
          <w:bCs w:val="1"/>
          <w:color w:val="auto"/>
        </w:rPr>
        <w:t xml:space="preserve">. </w:t>
      </w:r>
      <w:r>
        <w:rPr>
          <w:rFonts w:ascii="Arial" w:cs="Arial" w:eastAsia="Arial" w:hAnsi="Arial"/>
          <w:sz w:val="13"/>
          <w:szCs w:val="13"/>
          <w:color w:val="auto"/>
        </w:rPr>
        <w:t>The purpose of this Plan is to provide incentives to attract, retain and motivate eligible persons whose present and potential contributions are important to the success</w:t>
      </w:r>
      <w:r>
        <w:rPr>
          <w:rFonts w:ascii="Arial" w:cs="Arial" w:eastAsia="Arial" w:hAnsi="Arial"/>
          <w:sz w:val="13"/>
          <w:szCs w:val="13"/>
          <w:b w:val="1"/>
          <w:bCs w:val="1"/>
          <w:color w:val="auto"/>
        </w:rPr>
        <w:t xml:space="preserve"> </w:t>
      </w:r>
      <w:r>
        <w:rPr>
          <w:rFonts w:ascii="Arial" w:cs="Arial" w:eastAsia="Arial" w:hAnsi="Arial"/>
          <w:sz w:val="13"/>
          <w:szCs w:val="13"/>
          <w:color w:val="auto"/>
        </w:rPr>
        <w:t>of the Company, its Parent and Subsidiaries by offering eligible persons an opportunity to participate in the Company’s future performance through awards of Options, Restricted Stock and Restricted Stock Units. Capitalized terms not defined in the text are defined in Section 23 hereof. Although this Plan is intended to be a written compensatory benefit plan within the meaning of Rule 701 promulgated under the Securities Act, grants may be made pursuant to this Plan which do not qualify for exemption under Rule 701 or Section 25102(o) of the California Corporations Code (“</w:t>
      </w:r>
      <w:r>
        <w:rPr>
          <w:rFonts w:ascii="Arial" w:cs="Arial" w:eastAsia="Arial" w:hAnsi="Arial"/>
          <w:sz w:val="13"/>
          <w:szCs w:val="13"/>
          <w:b w:val="1"/>
          <w:bCs w:val="1"/>
          <w:i w:val="1"/>
          <w:iCs w:val="1"/>
          <w:color w:val="auto"/>
        </w:rPr>
        <w:t>Section 25102(o)</w:t>
      </w:r>
      <w:r>
        <w:rPr>
          <w:rFonts w:ascii="Arial" w:cs="Arial" w:eastAsia="Arial" w:hAnsi="Arial"/>
          <w:sz w:val="13"/>
          <w:szCs w:val="13"/>
          <w:color w:val="auto"/>
        </w:rPr>
        <w:t>”). Any requirement of this Plan which is required in law only because of Section 25102(o) need not apply if the Committee so provides.</w:t>
      </w:r>
    </w:p>
    <w:p>
      <w:pPr>
        <w:spacing w:after="0" w:line="216" w:lineRule="exact"/>
        <w:rPr>
          <w:rFonts w:ascii="Arial" w:cs="Arial" w:eastAsia="Arial" w:hAnsi="Arial"/>
          <w:sz w:val="13"/>
          <w:szCs w:val="13"/>
          <w:b w:val="1"/>
          <w:bCs w:val="1"/>
          <w:color w:val="auto"/>
        </w:rPr>
      </w:pPr>
    </w:p>
    <w:p>
      <w:pPr>
        <w:ind w:left="600" w:hanging="152"/>
        <w:spacing w:after="0"/>
        <w:tabs>
          <w:tab w:leader="none" w:pos="600" w:val="left"/>
        </w:tabs>
        <w:numPr>
          <w:ilvl w:val="0"/>
          <w:numId w:val="377"/>
        </w:numPr>
        <w:rPr>
          <w:rFonts w:ascii="Arial" w:cs="Arial" w:eastAsia="Arial" w:hAnsi="Arial"/>
          <w:sz w:val="15"/>
          <w:szCs w:val="15"/>
          <w:b w:val="1"/>
          <w:bCs w:val="1"/>
          <w:color w:val="auto"/>
        </w:rPr>
      </w:pPr>
      <w:r>
        <w:rPr>
          <w:rFonts w:ascii="Arial" w:cs="Arial" w:eastAsia="Arial" w:hAnsi="Arial"/>
          <w:sz w:val="15"/>
          <w:szCs w:val="15"/>
          <w:b w:val="1"/>
          <w:bCs w:val="1"/>
          <w:u w:val="single" w:color="auto"/>
          <w:color w:val="auto"/>
        </w:rPr>
        <w:t>SHARES SUBJECT TO THE PLAN</w:t>
      </w:r>
      <w:r>
        <w:rPr>
          <w:rFonts w:ascii="Arial" w:cs="Arial" w:eastAsia="Arial" w:hAnsi="Arial"/>
          <w:sz w:val="15"/>
          <w:szCs w:val="15"/>
          <w:color w:val="auto"/>
        </w:rPr>
        <w:t>.</w:t>
      </w:r>
    </w:p>
    <w:p>
      <w:pPr>
        <w:spacing w:after="0" w:line="98" w:lineRule="exact"/>
        <w:rPr>
          <w:sz w:val="20"/>
          <w:szCs w:val="20"/>
          <w:color w:val="auto"/>
        </w:rPr>
      </w:pPr>
    </w:p>
    <w:p>
      <w:pPr>
        <w:ind w:right="20" w:firstLine="916"/>
        <w:spacing w:after="0" w:line="278" w:lineRule="auto"/>
        <w:rPr>
          <w:sz w:val="20"/>
          <w:szCs w:val="20"/>
          <w:color w:val="auto"/>
        </w:rPr>
      </w:pPr>
      <w:r>
        <w:rPr>
          <w:rFonts w:ascii="Arial" w:cs="Arial" w:eastAsia="Arial" w:hAnsi="Arial"/>
          <w:sz w:val="14"/>
          <w:szCs w:val="14"/>
          <w:b w:val="1"/>
          <w:bCs w:val="1"/>
          <w:color w:val="auto"/>
        </w:rPr>
        <w:t xml:space="preserve">2.1 </w:t>
      </w:r>
      <w:r>
        <w:rPr>
          <w:rFonts w:ascii="Arial" w:cs="Arial" w:eastAsia="Arial" w:hAnsi="Arial"/>
          <w:sz w:val="14"/>
          <w:szCs w:val="14"/>
          <w:b w:val="1"/>
          <w:bCs w:val="1"/>
          <w:u w:val="single" w:color="auto"/>
          <w:color w:val="auto"/>
        </w:rPr>
        <w:t>Number of Shares Available</w:t>
      </w:r>
      <w:r>
        <w:rPr>
          <w:rFonts w:ascii="Arial" w:cs="Arial" w:eastAsia="Arial" w:hAnsi="Arial"/>
          <w:sz w:val="14"/>
          <w:szCs w:val="14"/>
          <w:color w:val="auto"/>
        </w:rPr>
        <w:t>. Subject to Sections 2.2 and 18 hereof, the total number of Shares reserved and available for grant and issuance pursuant to this Plan will be</w:t>
      </w:r>
      <w:r>
        <w:rPr>
          <w:rFonts w:ascii="Arial" w:cs="Arial" w:eastAsia="Arial" w:hAnsi="Arial"/>
          <w:sz w:val="14"/>
          <w:szCs w:val="14"/>
          <w:b w:val="1"/>
          <w:bCs w:val="1"/>
          <w:color w:val="auto"/>
        </w:rPr>
        <w:t xml:space="preserve"> </w:t>
      </w:r>
      <w:r>
        <w:rPr>
          <w:rFonts w:ascii="Arial" w:cs="Arial" w:eastAsia="Arial" w:hAnsi="Arial"/>
          <w:sz w:val="14"/>
          <w:szCs w:val="14"/>
          <w:color w:val="auto"/>
        </w:rPr>
        <w:t>110,582,476 Shares. Subject to Sections 2.2, 5.10 and 12 hereof, Shares subject to Awards that are cancelled, forfeited, settled in cash, expire by their terms, used to pay withholding obligations or used to pay the exercise price of an Option will again be available for grant and issuance in connection with other Awards. At all times the Company will reserve and keep available a sufficient number of Shares as will be required to satisfy the requirements of all Awards granted and outstanding under this Plan. In no event shall the total number of Shares issued (counting each reissuance of a Share that was previously issued and then forfeited or repurchased by the Company as a separate issuance) under the Plan upon exercise of ISOs exceed 221,164,953 Shares (adjusted in proportion to any adjustments under Section 2.2 hereof) over the term of the Plan.</w:t>
      </w:r>
    </w:p>
    <w:p>
      <w:pPr>
        <w:spacing w:after="0" w:line="144" w:lineRule="exact"/>
        <w:rPr>
          <w:sz w:val="20"/>
          <w:szCs w:val="20"/>
          <w:color w:val="auto"/>
        </w:rPr>
      </w:pPr>
    </w:p>
    <w:p>
      <w:pPr>
        <w:ind w:right="80" w:firstLine="916"/>
        <w:spacing w:after="0" w:line="278" w:lineRule="auto"/>
        <w:rPr>
          <w:sz w:val="20"/>
          <w:szCs w:val="20"/>
          <w:color w:val="auto"/>
        </w:rPr>
      </w:pPr>
      <w:r>
        <w:rPr>
          <w:rFonts w:ascii="Arial" w:cs="Arial" w:eastAsia="Arial" w:hAnsi="Arial"/>
          <w:sz w:val="14"/>
          <w:szCs w:val="14"/>
          <w:b w:val="1"/>
          <w:bCs w:val="1"/>
          <w:color w:val="auto"/>
        </w:rPr>
        <w:t xml:space="preserve">2.2 </w:t>
      </w:r>
      <w:r>
        <w:rPr>
          <w:rFonts w:ascii="Arial" w:cs="Arial" w:eastAsia="Arial" w:hAnsi="Arial"/>
          <w:sz w:val="14"/>
          <w:szCs w:val="14"/>
          <w:b w:val="1"/>
          <w:bCs w:val="1"/>
          <w:u w:val="single" w:color="auto"/>
          <w:color w:val="auto"/>
        </w:rPr>
        <w:t>Adjustment of Shares</w:t>
      </w:r>
      <w:r>
        <w:rPr>
          <w:rFonts w:ascii="Arial" w:cs="Arial" w:eastAsia="Arial" w:hAnsi="Arial"/>
          <w:sz w:val="14"/>
          <w:szCs w:val="14"/>
          <w:color w:val="auto"/>
        </w:rPr>
        <w:t>. In the event that the number of outstanding shares of the Company’s Common Stock is changed by a stock dividend, recapitalization, stock split,</w:t>
      </w:r>
      <w:r>
        <w:rPr>
          <w:rFonts w:ascii="Arial" w:cs="Arial" w:eastAsia="Arial" w:hAnsi="Arial"/>
          <w:sz w:val="14"/>
          <w:szCs w:val="14"/>
          <w:b w:val="1"/>
          <w:bCs w:val="1"/>
          <w:color w:val="auto"/>
        </w:rPr>
        <w:t xml:space="preserve"> </w:t>
      </w:r>
      <w:r>
        <w:rPr>
          <w:rFonts w:ascii="Arial" w:cs="Arial" w:eastAsia="Arial" w:hAnsi="Arial"/>
          <w:sz w:val="14"/>
          <w:szCs w:val="14"/>
          <w:color w:val="auto"/>
        </w:rPr>
        <w:t>reverse stock split, subdivision, combination, reclassification or similar change in the capital structure of the Company without consideration, then (i) the number of Shares reserved for issuance under this Plan, (ii) the Exercise Prices of and number of Shares subject to outstanding Options and (iii) the Purchase Prices of and number of Shares subject to other outstanding Awards will be proportionately adjusted, subject to any required action by the Board or the stockholders of the Company and compliance with applicable securities laws; provided, however, that fractions of a Share will not be issued but will either be paid in cash at the Fair Market Value of such fraction of a Share or will be rounded down to the nearest whole Share, as determined by the Committee; and provided, further, that the Exercise Price of any Option may not be decreased to below the par value of the Shares.</w:t>
      </w:r>
    </w:p>
    <w:p>
      <w:pPr>
        <w:sectPr>
          <w:pgSz w:w="11900" w:h="16838" w:orient="portrait"/>
          <w:cols w:equalWidth="0" w:num="1">
            <w:col w:w="11440"/>
          </w:cols>
          <w:pgMar w:left="240" w:top="125" w:right="219" w:bottom="1440" w:gutter="0" w:footer="0" w:header="0"/>
        </w:sectPr>
      </w:pPr>
    </w:p>
    <w:bookmarkStart w:id="429" w:name="page430"/>
    <w:bookmarkEnd w:id="429"/>
    <w:p>
      <w:pPr>
        <w:jc w:val="both"/>
        <w:ind w:right="100" w:firstLine="448"/>
        <w:spacing w:after="0" w:line="261" w:lineRule="auto"/>
        <w:tabs>
          <w:tab w:leader="none" w:pos="608" w:val="left"/>
        </w:tabs>
        <w:numPr>
          <w:ilvl w:val="0"/>
          <w:numId w:val="378"/>
        </w:numPr>
        <w:rPr>
          <w:rFonts w:ascii="Arial" w:cs="Arial" w:eastAsia="Arial" w:hAnsi="Arial"/>
          <w:sz w:val="15"/>
          <w:szCs w:val="15"/>
          <w:b w:val="1"/>
          <w:bCs w:val="1"/>
          <w:color w:val="auto"/>
        </w:rPr>
      </w:pPr>
      <w:r>
        <w:rPr>
          <w:rFonts w:ascii="Arial" w:cs="Arial" w:eastAsia="Arial" w:hAnsi="Arial"/>
          <w:sz w:val="15"/>
          <w:szCs w:val="15"/>
          <w:b w:val="1"/>
          <w:bCs w:val="1"/>
          <w:u w:val="single" w:color="auto"/>
          <w:color w:val="auto"/>
        </w:rPr>
        <w:drawing>
          <wp:anchor simplePos="0" relativeHeight="251657728" behindDoc="1" locked="0" layoutInCell="0" allowOverlap="1">
            <wp:simplePos x="0" y="0"/>
            <wp:positionH relativeFrom="page">
              <wp:posOffset>133350</wp:posOffset>
            </wp:positionH>
            <wp:positionV relativeFrom="page">
              <wp:posOffset>88900</wp:posOffset>
            </wp:positionV>
            <wp:extent cx="7308850" cy="34290"/>
            <wp:wrapNone/>
            <wp:docPr id="606" name="Picture 6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6"/>
                    <pic:cNvPicPr>
                      <a:picLocks noChangeAspect="1" noChangeArrowheads="1"/>
                    </pic:cNvPicPr>
                  </pic:nvPicPr>
                  <pic:blipFill>
                    <a:blip r:embed="rId643">
                      <a:extLst>
                        <a:ext uri="{28A0092B-C50C-407E-A947-70E740481C1C}"/>
                      </a:extLst>
                    </a:blip>
                    <a:srcRect/>
                    <a:stretch>
                      <a:fillRect/>
                    </a:stretch>
                  </pic:blipFill>
                  <pic:spPr bwMode="auto">
                    <a:xfrm>
                      <a:off x="0" y="0"/>
                      <a:ext cx="7308850" cy="34290"/>
                    </a:xfrm>
                    <a:prstGeom prst="rect">
                      <a:avLst/>
                    </a:prstGeom>
                    <a:noFill/>
                  </pic:spPr>
                </pic:pic>
              </a:graphicData>
            </a:graphic>
          </wp:anchor>
        </w:drawing>
        <w:t>ELIGIBILITY</w:t>
      </w:r>
      <w:r>
        <w:rPr>
          <w:rFonts w:ascii="Arial" w:cs="Arial" w:eastAsia="Arial" w:hAnsi="Arial"/>
          <w:sz w:val="15"/>
          <w:szCs w:val="15"/>
          <w:b w:val="1"/>
          <w:bCs w:val="1"/>
          <w:color w:val="auto"/>
        </w:rPr>
        <w:t xml:space="preserve">. </w:t>
      </w:r>
      <w:r>
        <w:rPr>
          <w:rFonts w:ascii="Arial" w:cs="Arial" w:eastAsia="Arial" w:hAnsi="Arial"/>
          <w:sz w:val="15"/>
          <w:szCs w:val="15"/>
          <w:color w:val="auto"/>
        </w:rPr>
        <w:t>ISOs (as defined in Section 5 hereof) may be granted only to employees (including officers and directors who are also employees) of the Company or of a Parent</w:t>
      </w:r>
      <w:r>
        <w:rPr>
          <w:rFonts w:ascii="Arial" w:cs="Arial" w:eastAsia="Arial" w:hAnsi="Arial"/>
          <w:sz w:val="15"/>
          <w:szCs w:val="15"/>
          <w:b w:val="1"/>
          <w:bCs w:val="1"/>
          <w:color w:val="auto"/>
        </w:rPr>
        <w:t xml:space="preserve"> </w:t>
      </w:r>
      <w:r>
        <w:rPr>
          <w:rFonts w:ascii="Arial" w:cs="Arial" w:eastAsia="Arial" w:hAnsi="Arial"/>
          <w:sz w:val="15"/>
          <w:szCs w:val="15"/>
          <w:color w:val="auto"/>
        </w:rPr>
        <w:t>or Subsidiary of the Company. NQSOs (as defined in Section 5 hereof),Restricted Stock Awards and RSUs (as defined in Section 7 hereof) may be granted to employees, officers, directors and consultants of the Company or any Parent or Subsidiary of the Company; provided such consultants render bona fide services not in connection with the offer and sale of securities in a capital-raising transaction. A person may be granted more than one Award under this Plan.</w:t>
      </w:r>
    </w:p>
    <w:p>
      <w:pPr>
        <w:spacing w:after="0" w:line="242" w:lineRule="exact"/>
        <w:rPr>
          <w:rFonts w:ascii="Arial" w:cs="Arial" w:eastAsia="Arial" w:hAnsi="Arial"/>
          <w:sz w:val="15"/>
          <w:szCs w:val="15"/>
          <w:b w:val="1"/>
          <w:bCs w:val="1"/>
          <w:color w:val="auto"/>
        </w:rPr>
      </w:pPr>
    </w:p>
    <w:p>
      <w:pPr>
        <w:ind w:left="600" w:hanging="152"/>
        <w:spacing w:after="0"/>
        <w:tabs>
          <w:tab w:leader="none" w:pos="600" w:val="left"/>
        </w:tabs>
        <w:numPr>
          <w:ilvl w:val="0"/>
          <w:numId w:val="378"/>
        </w:numPr>
        <w:rPr>
          <w:rFonts w:ascii="Arial" w:cs="Arial" w:eastAsia="Arial" w:hAnsi="Arial"/>
          <w:sz w:val="15"/>
          <w:szCs w:val="15"/>
          <w:b w:val="1"/>
          <w:bCs w:val="1"/>
          <w:color w:val="auto"/>
        </w:rPr>
      </w:pPr>
      <w:r>
        <w:rPr>
          <w:rFonts w:ascii="Arial" w:cs="Arial" w:eastAsia="Arial" w:hAnsi="Arial"/>
          <w:sz w:val="15"/>
          <w:szCs w:val="15"/>
          <w:b w:val="1"/>
          <w:bCs w:val="1"/>
          <w:u w:val="single" w:color="auto"/>
          <w:color w:val="auto"/>
        </w:rPr>
        <w:t>ADMINISTRATION</w:t>
      </w:r>
      <w:r>
        <w:rPr>
          <w:rFonts w:ascii="Arial" w:cs="Arial" w:eastAsia="Arial" w:hAnsi="Arial"/>
          <w:sz w:val="15"/>
          <w:szCs w:val="15"/>
          <w:color w:val="auto"/>
        </w:rPr>
        <w:t>.</w:t>
      </w:r>
    </w:p>
    <w:p>
      <w:pPr>
        <w:spacing w:after="0" w:line="98" w:lineRule="exact"/>
        <w:rPr>
          <w:sz w:val="20"/>
          <w:szCs w:val="20"/>
          <w:color w:val="auto"/>
        </w:rPr>
      </w:pPr>
    </w:p>
    <w:p>
      <w:pPr>
        <w:jc w:val="both"/>
        <w:ind w:right="20" w:firstLine="916"/>
        <w:spacing w:after="0" w:line="266" w:lineRule="auto"/>
        <w:rPr>
          <w:sz w:val="20"/>
          <w:szCs w:val="20"/>
          <w:color w:val="auto"/>
        </w:rPr>
      </w:pPr>
      <w:r>
        <w:rPr>
          <w:rFonts w:ascii="Arial" w:cs="Arial" w:eastAsia="Arial" w:hAnsi="Arial"/>
          <w:sz w:val="15"/>
          <w:szCs w:val="15"/>
          <w:b w:val="1"/>
          <w:bCs w:val="1"/>
          <w:color w:val="auto"/>
        </w:rPr>
        <w:t xml:space="preserve">4.1 </w:t>
      </w:r>
      <w:r>
        <w:rPr>
          <w:rFonts w:ascii="Arial" w:cs="Arial" w:eastAsia="Arial" w:hAnsi="Arial"/>
          <w:sz w:val="15"/>
          <w:szCs w:val="15"/>
          <w:b w:val="1"/>
          <w:bCs w:val="1"/>
          <w:u w:val="single" w:color="auto"/>
          <w:color w:val="auto"/>
        </w:rPr>
        <w:t>Committee Authority</w:t>
      </w:r>
      <w:r>
        <w:rPr>
          <w:rFonts w:ascii="Arial" w:cs="Arial" w:eastAsia="Arial" w:hAnsi="Arial"/>
          <w:sz w:val="15"/>
          <w:szCs w:val="15"/>
          <w:color w:val="auto"/>
        </w:rPr>
        <w:t>. This Plan will be administered by the Committee or the Board if no Committee is created by the Board. Subject to the general purposes, terms and</w:t>
      </w:r>
      <w:r>
        <w:rPr>
          <w:rFonts w:ascii="Arial" w:cs="Arial" w:eastAsia="Arial" w:hAnsi="Arial"/>
          <w:sz w:val="15"/>
          <w:szCs w:val="15"/>
          <w:b w:val="1"/>
          <w:bCs w:val="1"/>
          <w:color w:val="auto"/>
        </w:rPr>
        <w:t xml:space="preserve"> </w:t>
      </w:r>
      <w:r>
        <w:rPr>
          <w:rFonts w:ascii="Arial" w:cs="Arial" w:eastAsia="Arial" w:hAnsi="Arial"/>
          <w:sz w:val="15"/>
          <w:szCs w:val="15"/>
          <w:color w:val="auto"/>
        </w:rPr>
        <w:t>conditions of this Plan, and to the direction of the Board, the Committee will have full power to implement and carry out this Plan. Without limitation, the Committee will have the authority to:</w:t>
      </w:r>
    </w:p>
    <w:p>
      <w:pPr>
        <w:spacing w:after="0" w:line="152" w:lineRule="exact"/>
        <w:rPr>
          <w:sz w:val="20"/>
          <w:szCs w:val="20"/>
          <w:color w:val="auto"/>
        </w:rPr>
      </w:pPr>
    </w:p>
    <w:p>
      <w:pPr>
        <w:ind w:left="1680" w:hanging="202"/>
        <w:spacing w:after="0"/>
        <w:tabs>
          <w:tab w:leader="none" w:pos="1680" w:val="left"/>
        </w:tabs>
        <w:numPr>
          <w:ilvl w:val="0"/>
          <w:numId w:val="379"/>
        </w:numPr>
        <w:rPr>
          <w:rFonts w:ascii="Arial" w:cs="Arial" w:eastAsia="Arial" w:hAnsi="Arial"/>
          <w:sz w:val="15"/>
          <w:szCs w:val="15"/>
          <w:color w:val="auto"/>
        </w:rPr>
      </w:pPr>
      <w:r>
        <w:rPr>
          <w:rFonts w:ascii="Arial" w:cs="Arial" w:eastAsia="Arial" w:hAnsi="Arial"/>
          <w:sz w:val="15"/>
          <w:szCs w:val="15"/>
          <w:color w:val="auto"/>
        </w:rPr>
        <w:t>construe and interpret this Plan, any Award Agreement and any other agreement or document executed pursuant to this Plan;</w:t>
      </w:r>
    </w:p>
    <w:p>
      <w:pPr>
        <w:spacing w:after="0" w:line="188" w:lineRule="exact"/>
        <w:rPr>
          <w:rFonts w:ascii="Arial" w:cs="Arial" w:eastAsia="Arial" w:hAnsi="Arial"/>
          <w:sz w:val="15"/>
          <w:szCs w:val="15"/>
          <w:color w:val="auto"/>
        </w:rPr>
      </w:pPr>
    </w:p>
    <w:p>
      <w:pPr>
        <w:ind w:left="1700" w:hanging="222"/>
        <w:spacing w:after="0"/>
        <w:tabs>
          <w:tab w:leader="none" w:pos="1700" w:val="left"/>
        </w:tabs>
        <w:numPr>
          <w:ilvl w:val="0"/>
          <w:numId w:val="379"/>
        </w:numPr>
        <w:rPr>
          <w:rFonts w:ascii="Arial" w:cs="Arial" w:eastAsia="Arial" w:hAnsi="Arial"/>
          <w:sz w:val="15"/>
          <w:szCs w:val="15"/>
          <w:color w:val="auto"/>
        </w:rPr>
      </w:pPr>
      <w:r>
        <w:rPr>
          <w:rFonts w:ascii="Arial" w:cs="Arial" w:eastAsia="Arial" w:hAnsi="Arial"/>
          <w:sz w:val="15"/>
          <w:szCs w:val="15"/>
          <w:color w:val="auto"/>
        </w:rPr>
        <w:t>prescribe, amend and rescind rules and regulations relating to this Plan;</w:t>
      </w:r>
    </w:p>
    <w:p>
      <w:pPr>
        <w:spacing w:after="0" w:line="188" w:lineRule="exact"/>
        <w:rPr>
          <w:rFonts w:ascii="Arial" w:cs="Arial" w:eastAsia="Arial" w:hAnsi="Arial"/>
          <w:sz w:val="15"/>
          <w:szCs w:val="15"/>
          <w:color w:val="auto"/>
        </w:rPr>
      </w:pPr>
    </w:p>
    <w:p>
      <w:pPr>
        <w:ind w:left="1680" w:hanging="202"/>
        <w:spacing w:after="0"/>
        <w:tabs>
          <w:tab w:leader="none" w:pos="1680" w:val="left"/>
        </w:tabs>
        <w:numPr>
          <w:ilvl w:val="0"/>
          <w:numId w:val="379"/>
        </w:numPr>
        <w:rPr>
          <w:rFonts w:ascii="Arial" w:cs="Arial" w:eastAsia="Arial" w:hAnsi="Arial"/>
          <w:sz w:val="15"/>
          <w:szCs w:val="15"/>
          <w:color w:val="auto"/>
        </w:rPr>
      </w:pPr>
      <w:r>
        <w:rPr>
          <w:rFonts w:ascii="Arial" w:cs="Arial" w:eastAsia="Arial" w:hAnsi="Arial"/>
          <w:sz w:val="15"/>
          <w:szCs w:val="15"/>
          <w:color w:val="auto"/>
        </w:rPr>
        <w:t>approve persons to receive Awards;</w:t>
      </w:r>
    </w:p>
    <w:p>
      <w:pPr>
        <w:spacing w:after="0" w:line="188" w:lineRule="exact"/>
        <w:rPr>
          <w:rFonts w:ascii="Arial" w:cs="Arial" w:eastAsia="Arial" w:hAnsi="Arial"/>
          <w:sz w:val="15"/>
          <w:szCs w:val="15"/>
          <w:color w:val="auto"/>
        </w:rPr>
      </w:pPr>
    </w:p>
    <w:p>
      <w:pPr>
        <w:ind w:left="1700" w:hanging="222"/>
        <w:spacing w:after="0"/>
        <w:tabs>
          <w:tab w:leader="none" w:pos="1700" w:val="left"/>
        </w:tabs>
        <w:numPr>
          <w:ilvl w:val="0"/>
          <w:numId w:val="379"/>
        </w:numPr>
        <w:rPr>
          <w:rFonts w:ascii="Arial" w:cs="Arial" w:eastAsia="Arial" w:hAnsi="Arial"/>
          <w:sz w:val="15"/>
          <w:szCs w:val="15"/>
          <w:color w:val="auto"/>
        </w:rPr>
      </w:pPr>
      <w:r>
        <w:rPr>
          <w:rFonts w:ascii="Arial" w:cs="Arial" w:eastAsia="Arial" w:hAnsi="Arial"/>
          <w:sz w:val="15"/>
          <w:szCs w:val="15"/>
          <w:color w:val="auto"/>
        </w:rPr>
        <w:t>determine the form and terms of Awards;</w:t>
      </w:r>
    </w:p>
    <w:p>
      <w:pPr>
        <w:spacing w:after="0" w:line="188" w:lineRule="exact"/>
        <w:rPr>
          <w:rFonts w:ascii="Arial" w:cs="Arial" w:eastAsia="Arial" w:hAnsi="Arial"/>
          <w:sz w:val="15"/>
          <w:szCs w:val="15"/>
          <w:color w:val="auto"/>
        </w:rPr>
      </w:pPr>
    </w:p>
    <w:p>
      <w:pPr>
        <w:ind w:left="1680" w:hanging="202"/>
        <w:spacing w:after="0"/>
        <w:tabs>
          <w:tab w:leader="none" w:pos="1680" w:val="left"/>
        </w:tabs>
        <w:numPr>
          <w:ilvl w:val="0"/>
          <w:numId w:val="379"/>
        </w:numPr>
        <w:rPr>
          <w:rFonts w:ascii="Arial" w:cs="Arial" w:eastAsia="Arial" w:hAnsi="Arial"/>
          <w:sz w:val="15"/>
          <w:szCs w:val="15"/>
          <w:color w:val="auto"/>
        </w:rPr>
      </w:pPr>
      <w:r>
        <w:rPr>
          <w:rFonts w:ascii="Arial" w:cs="Arial" w:eastAsia="Arial" w:hAnsi="Arial"/>
          <w:sz w:val="15"/>
          <w:szCs w:val="15"/>
          <w:color w:val="auto"/>
        </w:rPr>
        <w:t>determine the number of Shares or other consideration subject to Awards;</w:t>
      </w:r>
    </w:p>
    <w:p>
      <w:pPr>
        <w:spacing w:after="0" w:line="188" w:lineRule="exact"/>
        <w:rPr>
          <w:rFonts w:ascii="Arial" w:cs="Arial" w:eastAsia="Arial" w:hAnsi="Arial"/>
          <w:sz w:val="15"/>
          <w:szCs w:val="15"/>
          <w:color w:val="auto"/>
        </w:rPr>
      </w:pPr>
    </w:p>
    <w:p>
      <w:pPr>
        <w:ind w:right="200" w:firstLine="1478"/>
        <w:spacing w:after="0" w:line="275" w:lineRule="auto"/>
        <w:tabs>
          <w:tab w:leader="none" w:pos="1676" w:val="left"/>
        </w:tabs>
        <w:numPr>
          <w:ilvl w:val="0"/>
          <w:numId w:val="379"/>
        </w:numPr>
        <w:rPr>
          <w:rFonts w:ascii="Arial" w:cs="Arial" w:eastAsia="Arial" w:hAnsi="Arial"/>
          <w:sz w:val="15"/>
          <w:szCs w:val="15"/>
          <w:color w:val="auto"/>
        </w:rPr>
      </w:pPr>
      <w:r>
        <w:rPr>
          <w:rFonts w:ascii="Arial" w:cs="Arial" w:eastAsia="Arial" w:hAnsi="Arial"/>
          <w:sz w:val="15"/>
          <w:szCs w:val="15"/>
          <w:color w:val="auto"/>
        </w:rPr>
        <w:t>determine whether Awards will be granted singly, in combination with, in tandem with, in replacement of, or as alternatives to, other Awards under this Plan or awards under any other incentive or compensation plan of the Company or any Parent or Subsidiary of the Company;</w:t>
      </w:r>
    </w:p>
    <w:p>
      <w:pPr>
        <w:spacing w:after="0" w:line="146" w:lineRule="exact"/>
        <w:rPr>
          <w:rFonts w:ascii="Arial" w:cs="Arial" w:eastAsia="Arial" w:hAnsi="Arial"/>
          <w:sz w:val="15"/>
          <w:szCs w:val="15"/>
          <w:color w:val="auto"/>
        </w:rPr>
      </w:pPr>
    </w:p>
    <w:p>
      <w:pPr>
        <w:ind w:left="1700" w:hanging="222"/>
        <w:spacing w:after="0"/>
        <w:tabs>
          <w:tab w:leader="none" w:pos="1700" w:val="left"/>
        </w:tabs>
        <w:numPr>
          <w:ilvl w:val="0"/>
          <w:numId w:val="379"/>
        </w:numPr>
        <w:rPr>
          <w:rFonts w:ascii="Arial" w:cs="Arial" w:eastAsia="Arial" w:hAnsi="Arial"/>
          <w:sz w:val="15"/>
          <w:szCs w:val="15"/>
          <w:color w:val="auto"/>
        </w:rPr>
      </w:pPr>
      <w:r>
        <w:rPr>
          <w:rFonts w:ascii="Arial" w:cs="Arial" w:eastAsia="Arial" w:hAnsi="Arial"/>
          <w:sz w:val="15"/>
          <w:szCs w:val="15"/>
          <w:color w:val="auto"/>
        </w:rPr>
        <w:t>grant waivers of any conditions of this Plan or any Award;</w:t>
      </w:r>
    </w:p>
    <w:p>
      <w:pPr>
        <w:spacing w:after="0" w:line="188" w:lineRule="exact"/>
        <w:rPr>
          <w:rFonts w:ascii="Arial" w:cs="Arial" w:eastAsia="Arial" w:hAnsi="Arial"/>
          <w:sz w:val="15"/>
          <w:szCs w:val="15"/>
          <w:color w:val="auto"/>
        </w:rPr>
      </w:pPr>
    </w:p>
    <w:p>
      <w:pPr>
        <w:ind w:left="1700" w:hanging="222"/>
        <w:spacing w:after="0"/>
        <w:tabs>
          <w:tab w:leader="none" w:pos="1700" w:val="left"/>
        </w:tabs>
        <w:numPr>
          <w:ilvl w:val="0"/>
          <w:numId w:val="379"/>
        </w:numPr>
        <w:rPr>
          <w:rFonts w:ascii="Arial" w:cs="Arial" w:eastAsia="Arial" w:hAnsi="Arial"/>
          <w:sz w:val="15"/>
          <w:szCs w:val="15"/>
          <w:color w:val="auto"/>
        </w:rPr>
      </w:pPr>
      <w:r>
        <w:rPr>
          <w:rFonts w:ascii="Arial" w:cs="Arial" w:eastAsia="Arial" w:hAnsi="Arial"/>
          <w:sz w:val="15"/>
          <w:szCs w:val="15"/>
          <w:color w:val="auto"/>
        </w:rPr>
        <w:t>determine the terms of vesting, exercisability and payment of Awards;</w:t>
      </w:r>
    </w:p>
    <w:p>
      <w:pPr>
        <w:spacing w:after="0" w:line="188" w:lineRule="exact"/>
        <w:rPr>
          <w:rFonts w:ascii="Arial" w:cs="Arial" w:eastAsia="Arial" w:hAnsi="Arial"/>
          <w:sz w:val="15"/>
          <w:szCs w:val="15"/>
          <w:color w:val="auto"/>
        </w:rPr>
      </w:pPr>
    </w:p>
    <w:p>
      <w:pPr>
        <w:ind w:firstLine="1478"/>
        <w:spacing w:after="0" w:line="275" w:lineRule="auto"/>
        <w:tabs>
          <w:tab w:leader="none" w:pos="1668" w:val="left"/>
        </w:tabs>
        <w:numPr>
          <w:ilvl w:val="0"/>
          <w:numId w:val="379"/>
        </w:numPr>
        <w:rPr>
          <w:rFonts w:ascii="Arial" w:cs="Arial" w:eastAsia="Arial" w:hAnsi="Arial"/>
          <w:sz w:val="15"/>
          <w:szCs w:val="15"/>
          <w:color w:val="auto"/>
        </w:rPr>
      </w:pPr>
      <w:r>
        <w:rPr>
          <w:rFonts w:ascii="Arial" w:cs="Arial" w:eastAsia="Arial" w:hAnsi="Arial"/>
          <w:sz w:val="15"/>
          <w:szCs w:val="15"/>
          <w:color w:val="auto"/>
        </w:rPr>
        <w:t>correct any defect, supply any omission, or reconcile any inconsistency in this Plan, any Award, any Award Agreement, any Exercise Agreement or any Restricted Stock Purchase Agreement;</w:t>
      </w:r>
    </w:p>
    <w:p>
      <w:pPr>
        <w:spacing w:after="0" w:line="146" w:lineRule="exact"/>
        <w:rPr>
          <w:rFonts w:ascii="Arial" w:cs="Arial" w:eastAsia="Arial" w:hAnsi="Arial"/>
          <w:sz w:val="15"/>
          <w:szCs w:val="15"/>
          <w:color w:val="auto"/>
        </w:rPr>
      </w:pPr>
    </w:p>
    <w:p>
      <w:pPr>
        <w:ind w:left="1660" w:hanging="182"/>
        <w:spacing w:after="0"/>
        <w:tabs>
          <w:tab w:leader="none" w:pos="1660" w:val="left"/>
        </w:tabs>
        <w:numPr>
          <w:ilvl w:val="0"/>
          <w:numId w:val="379"/>
        </w:numPr>
        <w:rPr>
          <w:rFonts w:ascii="Arial" w:cs="Arial" w:eastAsia="Arial" w:hAnsi="Arial"/>
          <w:sz w:val="15"/>
          <w:szCs w:val="15"/>
          <w:color w:val="auto"/>
        </w:rPr>
      </w:pPr>
      <w:r>
        <w:rPr>
          <w:rFonts w:ascii="Arial" w:cs="Arial" w:eastAsia="Arial" w:hAnsi="Arial"/>
          <w:sz w:val="15"/>
          <w:szCs w:val="15"/>
          <w:color w:val="auto"/>
        </w:rPr>
        <w:t>determine whether an Award has been earned;</w:t>
      </w:r>
    </w:p>
    <w:p>
      <w:pPr>
        <w:spacing w:after="0" w:line="132"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2</w:t>
      </w:r>
    </w:p>
    <w:p>
      <w:pPr>
        <w:sectPr>
          <w:pgSz w:w="11900" w:h="16838" w:orient="portrait"/>
          <w:cols w:equalWidth="0" w:num="1">
            <w:col w:w="11420"/>
          </w:cols>
          <w:pgMar w:left="240" w:top="249" w:right="239" w:bottom="1440" w:gutter="0" w:footer="0" w:header="0"/>
        </w:sectPr>
      </w:pPr>
    </w:p>
    <w:bookmarkStart w:id="430" w:name="page431"/>
    <w:bookmarkEnd w:id="430"/>
    <w:p>
      <w:pPr>
        <w:ind w:left="1710" w:hanging="222"/>
        <w:spacing w:after="0"/>
        <w:tabs>
          <w:tab w:leader="none" w:pos="1710" w:val="left"/>
        </w:tabs>
        <w:numPr>
          <w:ilvl w:val="0"/>
          <w:numId w:val="380"/>
        </w:numPr>
        <w:rPr>
          <w:rFonts w:ascii="Arial" w:cs="Arial" w:eastAsia="Arial" w:hAnsi="Arial"/>
          <w:sz w:val="15"/>
          <w:szCs w:val="15"/>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133350</wp:posOffset>
            </wp:positionH>
            <wp:positionV relativeFrom="page">
              <wp:posOffset>88900</wp:posOffset>
            </wp:positionV>
            <wp:extent cx="7308850" cy="34290"/>
            <wp:wrapNone/>
            <wp:docPr id="607" name="Picture 6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7"/>
                    <pic:cNvPicPr>
                      <a:picLocks noChangeAspect="1" noChangeArrowheads="1"/>
                    </pic:cNvPicPr>
                  </pic:nvPicPr>
                  <pic:blipFill>
                    <a:blip r:embed="rId644">
                      <a:extLst>
                        <a:ext uri="{28A0092B-C50C-407E-A947-70E740481C1C}"/>
                      </a:extLst>
                    </a:blip>
                    <a:srcRect/>
                    <a:stretch>
                      <a:fillRect/>
                    </a:stretch>
                  </pic:blipFill>
                  <pic:spPr bwMode="auto">
                    <a:xfrm>
                      <a:off x="0" y="0"/>
                      <a:ext cx="7308850" cy="34290"/>
                    </a:xfrm>
                    <a:prstGeom prst="rect">
                      <a:avLst/>
                    </a:prstGeom>
                    <a:noFill/>
                  </pic:spPr>
                </pic:pic>
              </a:graphicData>
            </a:graphic>
          </wp:anchor>
        </w:drawing>
        <w:t>make all other determinations necessary or advisable for the administration of this Plan; and</w:t>
      </w:r>
    </w:p>
    <w:p>
      <w:pPr>
        <w:spacing w:after="0" w:line="188" w:lineRule="exact"/>
        <w:rPr>
          <w:rFonts w:ascii="Arial" w:cs="Arial" w:eastAsia="Arial" w:hAnsi="Arial"/>
          <w:sz w:val="15"/>
          <w:szCs w:val="15"/>
          <w:color w:val="auto"/>
        </w:rPr>
      </w:pPr>
    </w:p>
    <w:p>
      <w:pPr>
        <w:ind w:left="1670" w:hanging="182"/>
        <w:spacing w:after="0"/>
        <w:tabs>
          <w:tab w:leader="none" w:pos="1670" w:val="left"/>
        </w:tabs>
        <w:numPr>
          <w:ilvl w:val="0"/>
          <w:numId w:val="380"/>
        </w:numPr>
        <w:rPr>
          <w:rFonts w:ascii="Arial" w:cs="Arial" w:eastAsia="Arial" w:hAnsi="Arial"/>
          <w:sz w:val="15"/>
          <w:szCs w:val="15"/>
          <w:color w:val="auto"/>
        </w:rPr>
      </w:pPr>
      <w:r>
        <w:rPr>
          <w:rFonts w:ascii="Arial" w:cs="Arial" w:eastAsia="Arial" w:hAnsi="Arial"/>
          <w:sz w:val="15"/>
          <w:szCs w:val="15"/>
          <w:color w:val="auto"/>
        </w:rPr>
        <w:t>extend the vesting period beyond a Participant’s Termination Date.</w:t>
      </w:r>
    </w:p>
    <w:p>
      <w:pPr>
        <w:spacing w:after="0" w:line="184" w:lineRule="exact"/>
        <w:rPr>
          <w:sz w:val="20"/>
          <w:szCs w:val="20"/>
          <w:color w:val="auto"/>
        </w:rPr>
      </w:pPr>
    </w:p>
    <w:p>
      <w:pPr>
        <w:jc w:val="both"/>
        <w:ind w:left="10" w:firstLine="916"/>
        <w:spacing w:after="0" w:line="266" w:lineRule="auto"/>
        <w:rPr>
          <w:sz w:val="20"/>
          <w:szCs w:val="20"/>
          <w:color w:val="auto"/>
        </w:rPr>
      </w:pPr>
      <w:r>
        <w:rPr>
          <w:rFonts w:ascii="Arial" w:cs="Arial" w:eastAsia="Arial" w:hAnsi="Arial"/>
          <w:sz w:val="15"/>
          <w:szCs w:val="15"/>
          <w:b w:val="1"/>
          <w:bCs w:val="1"/>
          <w:color w:val="auto"/>
        </w:rPr>
        <w:t xml:space="preserve">4.2 </w:t>
      </w:r>
      <w:r>
        <w:rPr>
          <w:rFonts w:ascii="Arial" w:cs="Arial" w:eastAsia="Arial" w:hAnsi="Arial"/>
          <w:sz w:val="15"/>
          <w:szCs w:val="15"/>
          <w:b w:val="1"/>
          <w:bCs w:val="1"/>
          <w:u w:val="single" w:color="auto"/>
          <w:color w:val="auto"/>
        </w:rPr>
        <w:t>Committee Discretion</w:t>
      </w:r>
      <w:r>
        <w:rPr>
          <w:rFonts w:ascii="Arial" w:cs="Arial" w:eastAsia="Arial" w:hAnsi="Arial"/>
          <w:sz w:val="15"/>
          <w:szCs w:val="15"/>
          <w:color w:val="auto"/>
        </w:rPr>
        <w:t>. Unless in contravention of any express terms of this Plan or Award, any determination made by the Committee with respect to any Award will be</w:t>
      </w:r>
      <w:r>
        <w:rPr>
          <w:rFonts w:ascii="Arial" w:cs="Arial" w:eastAsia="Arial" w:hAnsi="Arial"/>
          <w:sz w:val="15"/>
          <w:szCs w:val="15"/>
          <w:b w:val="1"/>
          <w:bCs w:val="1"/>
          <w:color w:val="auto"/>
        </w:rPr>
        <w:t xml:space="preserve"> </w:t>
      </w:r>
      <w:r>
        <w:rPr>
          <w:rFonts w:ascii="Arial" w:cs="Arial" w:eastAsia="Arial" w:hAnsi="Arial"/>
          <w:sz w:val="15"/>
          <w:szCs w:val="15"/>
          <w:color w:val="auto"/>
        </w:rPr>
        <w:t>made in its sole discretion either (i) at the time of grant of the Award, or (ii) subject to Section 5.9 hereof, at any later time. Any such determination will be final and binding on the Company and on all persons having an interest in any Award under this Plan.</w:t>
      </w:r>
    </w:p>
    <w:p>
      <w:pPr>
        <w:spacing w:after="0" w:line="148" w:lineRule="exact"/>
        <w:rPr>
          <w:sz w:val="20"/>
          <w:szCs w:val="20"/>
          <w:color w:val="auto"/>
        </w:rPr>
      </w:pPr>
    </w:p>
    <w:p>
      <w:pPr>
        <w:ind w:left="10" w:right="140" w:firstLine="448"/>
        <w:spacing w:after="0" w:line="266" w:lineRule="auto"/>
        <w:tabs>
          <w:tab w:leader="none" w:pos="618" w:val="left"/>
        </w:tabs>
        <w:numPr>
          <w:ilvl w:val="0"/>
          <w:numId w:val="381"/>
        </w:numPr>
        <w:rPr>
          <w:rFonts w:ascii="Arial" w:cs="Arial" w:eastAsia="Arial" w:hAnsi="Arial"/>
          <w:sz w:val="15"/>
          <w:szCs w:val="15"/>
          <w:b w:val="1"/>
          <w:bCs w:val="1"/>
          <w:color w:val="auto"/>
        </w:rPr>
      </w:pPr>
      <w:r>
        <w:rPr>
          <w:rFonts w:ascii="Arial" w:cs="Arial" w:eastAsia="Arial" w:hAnsi="Arial"/>
          <w:sz w:val="15"/>
          <w:szCs w:val="15"/>
          <w:b w:val="1"/>
          <w:bCs w:val="1"/>
          <w:u w:val="single" w:color="auto"/>
          <w:color w:val="auto"/>
        </w:rPr>
        <w:t>OPTIONS</w:t>
      </w:r>
      <w:r>
        <w:rPr>
          <w:rFonts w:ascii="Arial" w:cs="Arial" w:eastAsia="Arial" w:hAnsi="Arial"/>
          <w:sz w:val="15"/>
          <w:szCs w:val="15"/>
          <w:b w:val="1"/>
          <w:bCs w:val="1"/>
          <w:color w:val="auto"/>
        </w:rPr>
        <w:t xml:space="preserve">. </w:t>
      </w:r>
      <w:r>
        <w:rPr>
          <w:rFonts w:ascii="Arial" w:cs="Arial" w:eastAsia="Arial" w:hAnsi="Arial"/>
          <w:sz w:val="15"/>
          <w:szCs w:val="15"/>
          <w:color w:val="auto"/>
        </w:rPr>
        <w:t>The Committee may grant Options to eligible persons described in Section 3 hereof and will determine whether such Options will be Incentive Stock Options within</w:t>
      </w:r>
      <w:r>
        <w:rPr>
          <w:rFonts w:ascii="Arial" w:cs="Arial" w:eastAsia="Arial" w:hAnsi="Arial"/>
          <w:sz w:val="15"/>
          <w:szCs w:val="15"/>
          <w:b w:val="1"/>
          <w:bCs w:val="1"/>
          <w:color w:val="auto"/>
        </w:rPr>
        <w:t xml:space="preserve"> </w:t>
      </w:r>
      <w:r>
        <w:rPr>
          <w:rFonts w:ascii="Arial" w:cs="Arial" w:eastAsia="Arial" w:hAnsi="Arial"/>
          <w:sz w:val="15"/>
          <w:szCs w:val="15"/>
          <w:color w:val="auto"/>
        </w:rPr>
        <w:t>the meaning of the Code (“</w:t>
      </w:r>
      <w:r>
        <w:rPr>
          <w:rFonts w:ascii="Arial" w:cs="Arial" w:eastAsia="Arial" w:hAnsi="Arial"/>
          <w:sz w:val="15"/>
          <w:szCs w:val="15"/>
          <w:b w:val="1"/>
          <w:bCs w:val="1"/>
          <w:i w:val="1"/>
          <w:iCs w:val="1"/>
          <w:color w:val="auto"/>
        </w:rPr>
        <w:t>ISOs</w:t>
      </w:r>
      <w:r>
        <w:rPr>
          <w:rFonts w:ascii="Arial" w:cs="Arial" w:eastAsia="Arial" w:hAnsi="Arial"/>
          <w:sz w:val="15"/>
          <w:szCs w:val="15"/>
          <w:color w:val="auto"/>
        </w:rPr>
        <w:t>”) or Nonqualified Stock Options (“</w:t>
      </w:r>
      <w:r>
        <w:rPr>
          <w:rFonts w:ascii="Arial" w:cs="Arial" w:eastAsia="Arial" w:hAnsi="Arial"/>
          <w:sz w:val="15"/>
          <w:szCs w:val="15"/>
          <w:b w:val="1"/>
          <w:bCs w:val="1"/>
          <w:i w:val="1"/>
          <w:iCs w:val="1"/>
          <w:color w:val="auto"/>
        </w:rPr>
        <w:t>NQSOs</w:t>
      </w:r>
      <w:r>
        <w:rPr>
          <w:rFonts w:ascii="Arial" w:cs="Arial" w:eastAsia="Arial" w:hAnsi="Arial"/>
          <w:sz w:val="15"/>
          <w:szCs w:val="15"/>
          <w:color w:val="auto"/>
        </w:rPr>
        <w:t>”), the number of Shares subject to the Option, the Exercise Price of the Option, the period during which the Option may be exercised, and all other terms and conditions of the Option, subject to the following:</w:t>
      </w:r>
    </w:p>
    <w:p>
      <w:pPr>
        <w:spacing w:after="0" w:line="148" w:lineRule="exact"/>
        <w:rPr>
          <w:sz w:val="20"/>
          <w:szCs w:val="20"/>
          <w:color w:val="auto"/>
        </w:rPr>
      </w:pPr>
    </w:p>
    <w:p>
      <w:pPr>
        <w:jc w:val="both"/>
        <w:ind w:left="10" w:right="100" w:firstLine="916"/>
        <w:spacing w:after="0" w:line="266" w:lineRule="auto"/>
        <w:rPr>
          <w:sz w:val="20"/>
          <w:szCs w:val="20"/>
          <w:color w:val="auto"/>
        </w:rPr>
      </w:pPr>
      <w:r>
        <w:rPr>
          <w:rFonts w:ascii="Arial" w:cs="Arial" w:eastAsia="Arial" w:hAnsi="Arial"/>
          <w:sz w:val="15"/>
          <w:szCs w:val="15"/>
          <w:b w:val="1"/>
          <w:bCs w:val="1"/>
          <w:color w:val="auto"/>
        </w:rPr>
        <w:t xml:space="preserve">5.1 </w:t>
      </w:r>
      <w:r>
        <w:rPr>
          <w:rFonts w:ascii="Arial" w:cs="Arial" w:eastAsia="Arial" w:hAnsi="Arial"/>
          <w:sz w:val="15"/>
          <w:szCs w:val="15"/>
          <w:b w:val="1"/>
          <w:bCs w:val="1"/>
          <w:u w:val="single" w:color="auto"/>
          <w:color w:val="auto"/>
        </w:rPr>
        <w:t>Form of Option Grant</w:t>
      </w:r>
      <w:r>
        <w:rPr>
          <w:rFonts w:ascii="Arial" w:cs="Arial" w:eastAsia="Arial" w:hAnsi="Arial"/>
          <w:sz w:val="15"/>
          <w:szCs w:val="15"/>
          <w:color w:val="auto"/>
        </w:rPr>
        <w:t>. Each Option granted under this Plan will be evidenced by an Award Agreement which will expressly identify the Option as an ISO or an NQSO</w:t>
      </w:r>
      <w:r>
        <w:rPr>
          <w:rFonts w:ascii="Arial" w:cs="Arial" w:eastAsia="Arial" w:hAnsi="Arial"/>
          <w:sz w:val="15"/>
          <w:szCs w:val="15"/>
          <w:b w:val="1"/>
          <w:bCs w:val="1"/>
          <w:color w:val="auto"/>
        </w:rPr>
        <w:t xml:space="preserve"> </w:t>
      </w:r>
      <w:r>
        <w:rPr>
          <w:rFonts w:ascii="Arial" w:cs="Arial" w:eastAsia="Arial" w:hAnsi="Arial"/>
          <w:sz w:val="15"/>
          <w:szCs w:val="15"/>
          <w:color w:val="auto"/>
        </w:rPr>
        <w:t>(“</w:t>
      </w:r>
      <w:r>
        <w:rPr>
          <w:rFonts w:ascii="Arial" w:cs="Arial" w:eastAsia="Arial" w:hAnsi="Arial"/>
          <w:sz w:val="15"/>
          <w:szCs w:val="15"/>
          <w:b w:val="1"/>
          <w:bCs w:val="1"/>
          <w:i w:val="1"/>
          <w:iCs w:val="1"/>
          <w:color w:val="auto"/>
        </w:rPr>
        <w:t>Stock Option Agreement</w:t>
      </w:r>
      <w:r>
        <w:rPr>
          <w:rFonts w:ascii="Arial" w:cs="Arial" w:eastAsia="Arial" w:hAnsi="Arial"/>
          <w:sz w:val="15"/>
          <w:szCs w:val="15"/>
          <w:color w:val="auto"/>
        </w:rPr>
        <w:t>”), and will be in such form and contain such provisions (which need not be the same for each Participant) as the Committee may from time to time approve, and which will comply with and be subject to the terms and conditions of this Plan.</w:t>
      </w:r>
    </w:p>
    <w:p>
      <w:pPr>
        <w:spacing w:after="0" w:line="148" w:lineRule="exact"/>
        <w:rPr>
          <w:sz w:val="20"/>
          <w:szCs w:val="20"/>
          <w:color w:val="auto"/>
        </w:rPr>
      </w:pPr>
    </w:p>
    <w:p>
      <w:pPr>
        <w:ind w:left="10" w:right="300" w:firstLine="916"/>
        <w:spacing w:after="0" w:line="361" w:lineRule="auto"/>
        <w:rPr>
          <w:sz w:val="20"/>
          <w:szCs w:val="20"/>
          <w:color w:val="auto"/>
        </w:rPr>
      </w:pPr>
      <w:r>
        <w:rPr>
          <w:rFonts w:ascii="Arial" w:cs="Arial" w:eastAsia="Arial" w:hAnsi="Arial"/>
          <w:sz w:val="13"/>
          <w:szCs w:val="13"/>
          <w:b w:val="1"/>
          <w:bCs w:val="1"/>
          <w:color w:val="auto"/>
        </w:rPr>
        <w:t xml:space="preserve">5.2 </w:t>
      </w:r>
      <w:r>
        <w:rPr>
          <w:rFonts w:ascii="Arial" w:cs="Arial" w:eastAsia="Arial" w:hAnsi="Arial"/>
          <w:sz w:val="13"/>
          <w:szCs w:val="13"/>
          <w:b w:val="1"/>
          <w:bCs w:val="1"/>
          <w:u w:val="single" w:color="auto"/>
          <w:color w:val="auto"/>
        </w:rPr>
        <w:t>Date of Grant</w:t>
      </w:r>
      <w:r>
        <w:rPr>
          <w:rFonts w:ascii="Arial" w:cs="Arial" w:eastAsia="Arial" w:hAnsi="Arial"/>
          <w:sz w:val="13"/>
          <w:szCs w:val="13"/>
          <w:color w:val="auto"/>
        </w:rPr>
        <w:t>. The date of grant of an Option will be the date on which the Committee makes the determination to grant such Option, unless a later date is otherwise</w:t>
      </w:r>
      <w:r>
        <w:rPr>
          <w:rFonts w:ascii="Arial" w:cs="Arial" w:eastAsia="Arial" w:hAnsi="Arial"/>
          <w:sz w:val="13"/>
          <w:szCs w:val="13"/>
          <w:b w:val="1"/>
          <w:bCs w:val="1"/>
          <w:color w:val="auto"/>
        </w:rPr>
        <w:t xml:space="preserve"> </w:t>
      </w:r>
      <w:r>
        <w:rPr>
          <w:rFonts w:ascii="Arial" w:cs="Arial" w:eastAsia="Arial" w:hAnsi="Arial"/>
          <w:sz w:val="13"/>
          <w:szCs w:val="13"/>
          <w:color w:val="auto"/>
        </w:rPr>
        <w:t>specified by the Committee. The Stock Option Agreement and a copy of this Plan will be delivered to the Participant within a reasonable time after the granting of the Option.</w:t>
      </w:r>
    </w:p>
    <w:p>
      <w:pPr>
        <w:spacing w:after="0" w:line="92" w:lineRule="exact"/>
        <w:rPr>
          <w:sz w:val="20"/>
          <w:szCs w:val="20"/>
          <w:color w:val="auto"/>
        </w:rPr>
      </w:pPr>
    </w:p>
    <w:p>
      <w:pPr>
        <w:ind w:left="10" w:right="300" w:firstLine="916"/>
        <w:spacing w:after="0" w:line="300" w:lineRule="auto"/>
        <w:rPr>
          <w:sz w:val="20"/>
          <w:szCs w:val="20"/>
          <w:color w:val="auto"/>
        </w:rPr>
      </w:pPr>
      <w:r>
        <w:rPr>
          <w:rFonts w:ascii="Arial" w:cs="Arial" w:eastAsia="Arial" w:hAnsi="Arial"/>
          <w:sz w:val="13"/>
          <w:szCs w:val="13"/>
          <w:b w:val="1"/>
          <w:bCs w:val="1"/>
          <w:color w:val="auto"/>
        </w:rPr>
        <w:t xml:space="preserve">5.3 </w:t>
      </w:r>
      <w:r>
        <w:rPr>
          <w:rFonts w:ascii="Arial" w:cs="Arial" w:eastAsia="Arial" w:hAnsi="Arial"/>
          <w:sz w:val="13"/>
          <w:szCs w:val="13"/>
          <w:b w:val="1"/>
          <w:bCs w:val="1"/>
          <w:u w:val="single" w:color="auto"/>
          <w:color w:val="auto"/>
        </w:rPr>
        <w:t>Exercise Period</w:t>
      </w:r>
      <w:r>
        <w:rPr>
          <w:rFonts w:ascii="Arial" w:cs="Arial" w:eastAsia="Arial" w:hAnsi="Arial"/>
          <w:sz w:val="13"/>
          <w:szCs w:val="13"/>
          <w:color w:val="auto"/>
        </w:rPr>
        <w:t>. Options may be exercisable immediately but subject to repurchase pursuant to Section 12 hereof or may be exercisable within the times or upon the</w:t>
      </w:r>
      <w:r>
        <w:rPr>
          <w:rFonts w:ascii="Arial" w:cs="Arial" w:eastAsia="Arial" w:hAnsi="Arial"/>
          <w:sz w:val="13"/>
          <w:szCs w:val="13"/>
          <w:b w:val="1"/>
          <w:bCs w:val="1"/>
          <w:color w:val="auto"/>
        </w:rPr>
        <w:t xml:space="preserve"> </w:t>
      </w:r>
      <w:r>
        <w:rPr>
          <w:rFonts w:ascii="Arial" w:cs="Arial" w:eastAsia="Arial" w:hAnsi="Arial"/>
          <w:sz w:val="13"/>
          <w:szCs w:val="13"/>
          <w:color w:val="auto"/>
        </w:rPr>
        <w:t>events determined by the Committee as set forth in the Stock Option Agreement governing such Option; provided, however, that no Option will be exercisable after the expiration of ten</w:t>
      </w:r>
    </w:p>
    <w:p>
      <w:pPr>
        <w:spacing w:after="0" w:line="1" w:lineRule="exact"/>
        <w:rPr>
          <w:sz w:val="20"/>
          <w:szCs w:val="20"/>
          <w:color w:val="auto"/>
        </w:rPr>
      </w:pPr>
    </w:p>
    <w:p>
      <w:pPr>
        <w:jc w:val="both"/>
        <w:ind w:left="10" w:right="200" w:hanging="10"/>
        <w:spacing w:after="0" w:line="254" w:lineRule="auto"/>
        <w:tabs>
          <w:tab w:leader="none" w:pos="298" w:val="left"/>
        </w:tabs>
        <w:numPr>
          <w:ilvl w:val="0"/>
          <w:numId w:val="382"/>
        </w:numPr>
        <w:rPr>
          <w:rFonts w:ascii="Arial" w:cs="Arial" w:eastAsia="Arial" w:hAnsi="Arial"/>
          <w:sz w:val="15"/>
          <w:szCs w:val="15"/>
          <w:color w:val="auto"/>
        </w:rPr>
      </w:pPr>
      <w:r>
        <w:rPr>
          <w:rFonts w:ascii="Arial" w:cs="Arial" w:eastAsia="Arial" w:hAnsi="Arial"/>
          <w:sz w:val="15"/>
          <w:szCs w:val="15"/>
          <w:color w:val="auto"/>
        </w:rPr>
        <w:t>years from the date the Option is granted; and provided further that no ISO granted to a person who directly or by attribution owns more than ten percent (10%) of the total combined voting power of all classes of stock of the Company or of any Parent or Subsidiary (“</w:t>
      </w:r>
      <w:r>
        <w:rPr>
          <w:rFonts w:ascii="Arial" w:cs="Arial" w:eastAsia="Arial" w:hAnsi="Arial"/>
          <w:sz w:val="15"/>
          <w:szCs w:val="15"/>
          <w:b w:val="1"/>
          <w:bCs w:val="1"/>
          <w:i w:val="1"/>
          <w:iCs w:val="1"/>
          <w:color w:val="auto"/>
        </w:rPr>
        <w:t>Ten Percent Shareholder</w:t>
      </w:r>
      <w:r>
        <w:rPr>
          <w:rFonts w:ascii="Arial" w:cs="Arial" w:eastAsia="Arial" w:hAnsi="Arial"/>
          <w:sz w:val="15"/>
          <w:szCs w:val="15"/>
          <w:color w:val="auto"/>
        </w:rPr>
        <w:t>”) will be exercisable after the expiration of five (5) years from the date the ISO is granted. The Committee also may provide for Options to become exercisable at one time or from time to time, periodically or otherwise, in such number of Shares or percentage of Shares as the Committee determines. An Option may not be exercised for a fraction of a share.</w:t>
      </w:r>
    </w:p>
    <w:p>
      <w:pPr>
        <w:spacing w:after="0" w:line="159" w:lineRule="exact"/>
        <w:rPr>
          <w:sz w:val="20"/>
          <w:szCs w:val="20"/>
          <w:color w:val="auto"/>
        </w:rPr>
      </w:pPr>
    </w:p>
    <w:p>
      <w:pPr>
        <w:ind w:left="10" w:firstLine="916"/>
        <w:spacing w:after="0" w:line="285" w:lineRule="auto"/>
        <w:rPr>
          <w:sz w:val="20"/>
          <w:szCs w:val="20"/>
          <w:color w:val="auto"/>
        </w:rPr>
      </w:pPr>
      <w:r>
        <w:rPr>
          <w:rFonts w:ascii="Arial" w:cs="Arial" w:eastAsia="Arial" w:hAnsi="Arial"/>
          <w:sz w:val="14"/>
          <w:szCs w:val="14"/>
          <w:b w:val="1"/>
          <w:bCs w:val="1"/>
          <w:color w:val="auto"/>
        </w:rPr>
        <w:t xml:space="preserve">5.4 </w:t>
      </w:r>
      <w:r>
        <w:rPr>
          <w:rFonts w:ascii="Arial" w:cs="Arial" w:eastAsia="Arial" w:hAnsi="Arial"/>
          <w:sz w:val="14"/>
          <w:szCs w:val="14"/>
          <w:b w:val="1"/>
          <w:bCs w:val="1"/>
          <w:u w:val="single" w:color="auto"/>
          <w:color w:val="auto"/>
        </w:rPr>
        <w:t>Exercise Price</w:t>
      </w:r>
      <w:r>
        <w:rPr>
          <w:rFonts w:ascii="Arial" w:cs="Arial" w:eastAsia="Arial" w:hAnsi="Arial"/>
          <w:sz w:val="14"/>
          <w:szCs w:val="14"/>
          <w:color w:val="auto"/>
        </w:rPr>
        <w:t>. The Exercise Price of an Option will be determined by the Committee when the Option is granted and shall not be less than the Fair Market Value per</w:t>
      </w:r>
      <w:r>
        <w:rPr>
          <w:rFonts w:ascii="Arial" w:cs="Arial" w:eastAsia="Arial" w:hAnsi="Arial"/>
          <w:sz w:val="14"/>
          <w:szCs w:val="14"/>
          <w:b w:val="1"/>
          <w:bCs w:val="1"/>
          <w:color w:val="auto"/>
        </w:rPr>
        <w:t xml:space="preserve"> </w:t>
      </w:r>
      <w:r>
        <w:rPr>
          <w:rFonts w:ascii="Arial" w:cs="Arial" w:eastAsia="Arial" w:hAnsi="Arial"/>
          <w:sz w:val="14"/>
          <w:szCs w:val="14"/>
          <w:color w:val="auto"/>
        </w:rPr>
        <w:t>Share unless expressly determined in writing by the Committee on the Option’s date of grant; provided that the Exercise Price of an ISO will not be less than one hundred percent (100%) of the Fair Market Value of the Shares on the date of grant and (ii) the Exercise Price of an ISO granted to a Ten Percent Shareholder will not be less than one hundred ten percent (110%) of the Fair Market Value of the Shares on the date of grant. Payment for the Shares purchased must be made in accordance with Section 8 hereof.</w:t>
      </w:r>
    </w:p>
    <w:p>
      <w:pPr>
        <w:spacing w:after="0" w:line="85" w:lineRule="exact"/>
        <w:rPr>
          <w:sz w:val="20"/>
          <w:szCs w:val="20"/>
          <w:color w:val="auto"/>
        </w:rPr>
      </w:pPr>
    </w:p>
    <w:p>
      <w:pPr>
        <w:jc w:val="center"/>
        <w:ind w:right="-29"/>
        <w:spacing w:after="0"/>
        <w:rPr>
          <w:sz w:val="20"/>
          <w:szCs w:val="20"/>
          <w:color w:val="auto"/>
        </w:rPr>
      </w:pPr>
      <w:r>
        <w:rPr>
          <w:rFonts w:ascii="Arial" w:cs="Arial" w:eastAsia="Arial" w:hAnsi="Arial"/>
          <w:sz w:val="15"/>
          <w:szCs w:val="15"/>
          <w:color w:val="auto"/>
        </w:rPr>
        <w:t>3</w:t>
      </w:r>
    </w:p>
    <w:p>
      <w:pPr>
        <w:sectPr>
          <w:pgSz w:w="11900" w:h="16838" w:orient="portrait"/>
          <w:cols w:equalWidth="0" w:num="1">
            <w:col w:w="11410"/>
          </w:cols>
          <w:pgMar w:left="230" w:top="253" w:right="259" w:bottom="1440" w:gutter="0" w:footer="0" w:header="0"/>
        </w:sectPr>
      </w:pPr>
    </w:p>
    <w:bookmarkStart w:id="431" w:name="page432"/>
    <w:bookmarkEnd w:id="431"/>
    <w:p>
      <w:pPr>
        <w:ind w:left="10" w:right="160" w:firstLine="916"/>
        <w:spacing w:after="0" w:line="281" w:lineRule="auto"/>
        <w:rPr>
          <w:sz w:val="20"/>
          <w:szCs w:val="20"/>
          <w:color w:val="auto"/>
        </w:rPr>
      </w:pPr>
      <w:r>
        <w:rPr>
          <w:rFonts w:ascii="Arial" w:cs="Arial" w:eastAsia="Arial" w:hAnsi="Arial"/>
          <w:sz w:val="14"/>
          <w:szCs w:val="14"/>
          <w:b w:val="1"/>
          <w:bCs w:val="1"/>
          <w:color w:val="auto"/>
        </w:rPr>
        <w:drawing>
          <wp:anchor simplePos="0" relativeHeight="251657728" behindDoc="1" locked="0" layoutInCell="0" allowOverlap="1">
            <wp:simplePos x="0" y="0"/>
            <wp:positionH relativeFrom="page">
              <wp:posOffset>133350</wp:posOffset>
            </wp:positionH>
            <wp:positionV relativeFrom="page">
              <wp:posOffset>88900</wp:posOffset>
            </wp:positionV>
            <wp:extent cx="7308850" cy="34290"/>
            <wp:wrapNone/>
            <wp:docPr id="608" name="Picture 6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8"/>
                    <pic:cNvPicPr>
                      <a:picLocks noChangeAspect="1" noChangeArrowheads="1"/>
                    </pic:cNvPicPr>
                  </pic:nvPicPr>
                  <pic:blipFill>
                    <a:blip r:embed="rId645">
                      <a:extLst>
                        <a:ext uri="{28A0092B-C50C-407E-A947-70E740481C1C}"/>
                      </a:extLst>
                    </a:blip>
                    <a:srcRect/>
                    <a:stretch>
                      <a:fillRect/>
                    </a:stretch>
                  </pic:blipFill>
                  <pic:spPr bwMode="auto">
                    <a:xfrm>
                      <a:off x="0" y="0"/>
                      <a:ext cx="7308850" cy="34290"/>
                    </a:xfrm>
                    <a:prstGeom prst="rect">
                      <a:avLst/>
                    </a:prstGeom>
                    <a:noFill/>
                  </pic:spPr>
                </pic:pic>
              </a:graphicData>
            </a:graphic>
          </wp:anchor>
        </w:drawing>
        <w:t xml:space="preserve">5.5 </w:t>
      </w:r>
      <w:r>
        <w:rPr>
          <w:rFonts w:ascii="Arial" w:cs="Arial" w:eastAsia="Arial" w:hAnsi="Arial"/>
          <w:sz w:val="14"/>
          <w:szCs w:val="14"/>
          <w:b w:val="1"/>
          <w:bCs w:val="1"/>
          <w:u w:val="single" w:color="auto"/>
          <w:color w:val="auto"/>
        </w:rPr>
        <w:t>Method of Exercise</w:t>
      </w:r>
      <w:r>
        <w:rPr>
          <w:rFonts w:ascii="Arial" w:cs="Arial" w:eastAsia="Arial" w:hAnsi="Arial"/>
          <w:sz w:val="14"/>
          <w:szCs w:val="14"/>
          <w:color w:val="auto"/>
        </w:rPr>
        <w:t>. Options may be exercised only by delivery to the Company of a written stock option exercise agreement (the “</w:t>
      </w:r>
      <w:r>
        <w:rPr>
          <w:rFonts w:ascii="Arial" w:cs="Arial" w:eastAsia="Arial" w:hAnsi="Arial"/>
          <w:sz w:val="14"/>
          <w:szCs w:val="14"/>
          <w:b w:val="1"/>
          <w:bCs w:val="1"/>
          <w:i w:val="1"/>
          <w:iCs w:val="1"/>
          <w:color w:val="auto"/>
        </w:rPr>
        <w:t>Exercise Agreement</w:t>
      </w:r>
      <w:r>
        <w:rPr>
          <w:rFonts w:ascii="Arial" w:cs="Arial" w:eastAsia="Arial" w:hAnsi="Arial"/>
          <w:sz w:val="14"/>
          <w:szCs w:val="14"/>
          <w:color w:val="auto"/>
        </w:rPr>
        <w:t>”) in a form</w:t>
      </w:r>
      <w:r>
        <w:rPr>
          <w:rFonts w:ascii="Arial" w:cs="Arial" w:eastAsia="Arial" w:hAnsi="Arial"/>
          <w:sz w:val="14"/>
          <w:szCs w:val="14"/>
          <w:b w:val="1"/>
          <w:bCs w:val="1"/>
          <w:color w:val="auto"/>
        </w:rPr>
        <w:t xml:space="preserve"> </w:t>
      </w:r>
      <w:r>
        <w:rPr>
          <w:rFonts w:ascii="Arial" w:cs="Arial" w:eastAsia="Arial" w:hAnsi="Arial"/>
          <w:sz w:val="14"/>
          <w:szCs w:val="14"/>
          <w:color w:val="auto"/>
        </w:rPr>
        <w:t>approved by the Committee (which need not be the same for each Participant). The Exercise Agreement will state (i) the number of Shares being purchased, (ii) the restrictions imposed on the Shares purchased under such Exercise Agreement, if any, and (iii) such representations and agreements regarding Participant’s investment intent and access to information and other matters, if any, as may be required or desirable by the Company to comply with applicable securities laws. Participant shall execute and deliver to the Company the Exercise Agreement together with payment in full of the Exercise Price, and any applicable taxes, for the number of Shares being purchased.</w:t>
      </w:r>
    </w:p>
    <w:p>
      <w:pPr>
        <w:spacing w:after="0" w:line="140" w:lineRule="exact"/>
        <w:rPr>
          <w:sz w:val="20"/>
          <w:szCs w:val="20"/>
          <w:color w:val="auto"/>
        </w:rPr>
      </w:pPr>
    </w:p>
    <w:p>
      <w:pPr>
        <w:ind w:left="10" w:right="400" w:firstLine="916"/>
        <w:spacing w:after="0" w:line="280" w:lineRule="auto"/>
        <w:rPr>
          <w:sz w:val="20"/>
          <w:szCs w:val="20"/>
          <w:color w:val="auto"/>
        </w:rPr>
      </w:pPr>
      <w:r>
        <w:rPr>
          <w:rFonts w:ascii="Arial" w:cs="Arial" w:eastAsia="Arial" w:hAnsi="Arial"/>
          <w:sz w:val="15"/>
          <w:szCs w:val="15"/>
          <w:b w:val="1"/>
          <w:bCs w:val="1"/>
          <w:color w:val="auto"/>
        </w:rPr>
        <w:t xml:space="preserve">5.6 </w:t>
      </w:r>
      <w:r>
        <w:rPr>
          <w:rFonts w:ascii="Arial" w:cs="Arial" w:eastAsia="Arial" w:hAnsi="Arial"/>
          <w:sz w:val="15"/>
          <w:szCs w:val="15"/>
          <w:b w:val="1"/>
          <w:bCs w:val="1"/>
          <w:u w:val="single" w:color="auto"/>
          <w:color w:val="auto"/>
        </w:rPr>
        <w:t>Termination</w:t>
      </w:r>
      <w:r>
        <w:rPr>
          <w:rFonts w:ascii="Arial" w:cs="Arial" w:eastAsia="Arial" w:hAnsi="Arial"/>
          <w:sz w:val="15"/>
          <w:szCs w:val="15"/>
          <w:color w:val="auto"/>
        </w:rPr>
        <w:t>. Subject to earlier termination pursuant to Sections 18 and 19 hereof and notwithstanding the exercise periods set forth in the Stock Option Agreement,</w:t>
      </w:r>
      <w:r>
        <w:rPr>
          <w:rFonts w:ascii="Arial" w:cs="Arial" w:eastAsia="Arial" w:hAnsi="Arial"/>
          <w:sz w:val="15"/>
          <w:szCs w:val="15"/>
          <w:b w:val="1"/>
          <w:bCs w:val="1"/>
          <w:color w:val="auto"/>
        </w:rPr>
        <w:t xml:space="preserve"> </w:t>
      </w:r>
      <w:r>
        <w:rPr>
          <w:rFonts w:ascii="Arial" w:cs="Arial" w:eastAsia="Arial" w:hAnsi="Arial"/>
          <w:sz w:val="15"/>
          <w:szCs w:val="15"/>
          <w:color w:val="auto"/>
        </w:rPr>
        <w:t>exercise of an Option will always be subject to the following:</w:t>
      </w:r>
    </w:p>
    <w:p>
      <w:pPr>
        <w:spacing w:after="0" w:line="143" w:lineRule="exact"/>
        <w:rPr>
          <w:sz w:val="20"/>
          <w:szCs w:val="20"/>
          <w:color w:val="auto"/>
        </w:rPr>
      </w:pPr>
    </w:p>
    <w:p>
      <w:pPr>
        <w:ind w:left="10" w:firstLine="1478"/>
        <w:spacing w:after="0" w:line="293" w:lineRule="auto"/>
        <w:tabs>
          <w:tab w:leader="none" w:pos="1702" w:val="left"/>
        </w:tabs>
        <w:numPr>
          <w:ilvl w:val="1"/>
          <w:numId w:val="383"/>
        </w:numPr>
        <w:rPr>
          <w:rFonts w:ascii="Arial" w:cs="Arial" w:eastAsia="Arial" w:hAnsi="Arial"/>
          <w:sz w:val="13"/>
          <w:szCs w:val="13"/>
          <w:color w:val="auto"/>
        </w:rPr>
      </w:pPr>
      <w:r>
        <w:rPr>
          <w:rFonts w:ascii="Arial" w:cs="Arial" w:eastAsia="Arial" w:hAnsi="Arial"/>
          <w:sz w:val="13"/>
          <w:szCs w:val="13"/>
          <w:color w:val="auto"/>
        </w:rPr>
        <w:t>If the Participant is Terminated for any reason other than death, Disability or for Cause, then the Participant may exercise such Participant’s Options only to the extent that such Options are exercisable as to Vested Shares upon the Termination Date or as otherwise determined by the Committee. Such Options must be exercised by the Participant, if at all, as to all or some of the Vested Shares calculated as of the Termination Date or such other date determined by the Committee, within three (3) months after the Termination Date (or within such shorter time period, not less than thirty (30) days, or within such longer time period after the Termination Date as may be determined by the Committee, with any exercise beyond three</w:t>
      </w:r>
    </w:p>
    <w:p>
      <w:pPr>
        <w:spacing w:after="0" w:line="1" w:lineRule="exact"/>
        <w:rPr>
          <w:rFonts w:ascii="Arial" w:cs="Arial" w:eastAsia="Arial" w:hAnsi="Arial"/>
          <w:sz w:val="13"/>
          <w:szCs w:val="13"/>
          <w:color w:val="auto"/>
        </w:rPr>
      </w:pPr>
    </w:p>
    <w:p>
      <w:pPr>
        <w:ind w:left="210" w:hanging="210"/>
        <w:spacing w:after="0"/>
        <w:tabs>
          <w:tab w:leader="none" w:pos="210" w:val="left"/>
        </w:tabs>
        <w:numPr>
          <w:ilvl w:val="0"/>
          <w:numId w:val="384"/>
        </w:numPr>
        <w:rPr>
          <w:rFonts w:ascii="Arial" w:cs="Arial" w:eastAsia="Arial" w:hAnsi="Arial"/>
          <w:sz w:val="15"/>
          <w:szCs w:val="15"/>
          <w:color w:val="auto"/>
        </w:rPr>
      </w:pPr>
      <w:r>
        <w:rPr>
          <w:rFonts w:ascii="Arial" w:cs="Arial" w:eastAsia="Arial" w:hAnsi="Arial"/>
          <w:sz w:val="15"/>
          <w:szCs w:val="15"/>
          <w:color w:val="auto"/>
        </w:rPr>
        <w:t>months after the date the Participant ceases to be an employee deemed to be an NQSO) but in any event, no later than the expiration date of the Options.</w:t>
      </w:r>
    </w:p>
    <w:p>
      <w:pPr>
        <w:spacing w:after="0" w:line="178" w:lineRule="exact"/>
        <w:rPr>
          <w:rFonts w:ascii="Arial" w:cs="Arial" w:eastAsia="Arial" w:hAnsi="Arial"/>
          <w:sz w:val="15"/>
          <w:szCs w:val="15"/>
          <w:color w:val="auto"/>
        </w:rPr>
      </w:pPr>
    </w:p>
    <w:p>
      <w:pPr>
        <w:ind w:left="10" w:right="20" w:firstLine="1478"/>
        <w:spacing w:after="0" w:line="292" w:lineRule="auto"/>
        <w:tabs>
          <w:tab w:leader="none" w:pos="1711" w:val="left"/>
        </w:tabs>
        <w:numPr>
          <w:ilvl w:val="1"/>
          <w:numId w:val="384"/>
        </w:numPr>
        <w:rPr>
          <w:rFonts w:ascii="Arial" w:cs="Arial" w:eastAsia="Arial" w:hAnsi="Arial"/>
          <w:sz w:val="13"/>
          <w:szCs w:val="13"/>
          <w:color w:val="auto"/>
        </w:rPr>
      </w:pPr>
      <w:r>
        <w:rPr>
          <w:rFonts w:ascii="Arial" w:cs="Arial" w:eastAsia="Arial" w:hAnsi="Arial"/>
          <w:sz w:val="13"/>
          <w:szCs w:val="13"/>
          <w:color w:val="auto"/>
        </w:rPr>
        <w:t>If the Participant is Terminated because of Participant’s death or Disability (or the Participant dies within three (3) months after a Termination other than for Cause), then Participant’s Options may be exercised only to the extent that such Options are exercisable as to Vested Shares by Participant on the Termination Date or as otherwise determined by the Committee. Such options must be exercised by Participant (or Participant’s legal representative or authorized assignee), if at all, as to all or some of the Vested Shares calculated as of the Termination Date or such other date determined by the Committee, within twelve (12) months after the Termination Date (or within such shorter time period, not less than six (6) months, or within such longer time period after the Termination Date as may be determined by the Committee, with any exercise beyond (i) three (3) months after the date the Participant ceases to be an employee when the Termination is for any reason other than the Participant’s death or disability, within the meaning of Section 22(e)(3) of the Code, or (ii) twelve</w:t>
      </w:r>
    </w:p>
    <w:p>
      <w:pPr>
        <w:ind w:left="10" w:right="140" w:hanging="10"/>
        <w:spacing w:after="0" w:line="262" w:lineRule="auto"/>
        <w:tabs>
          <w:tab w:leader="none" w:pos="298" w:val="left"/>
        </w:tabs>
        <w:numPr>
          <w:ilvl w:val="0"/>
          <w:numId w:val="385"/>
        </w:numPr>
        <w:rPr>
          <w:rFonts w:ascii="Arial" w:cs="Arial" w:eastAsia="Arial" w:hAnsi="Arial"/>
          <w:sz w:val="15"/>
          <w:szCs w:val="15"/>
          <w:color w:val="auto"/>
        </w:rPr>
      </w:pPr>
      <w:r>
        <w:rPr>
          <w:rFonts w:ascii="Arial" w:cs="Arial" w:eastAsia="Arial" w:hAnsi="Arial"/>
          <w:sz w:val="15"/>
          <w:szCs w:val="15"/>
          <w:color w:val="auto"/>
        </w:rPr>
        <w:t>months after the date the Participant ceases to be an employee when the Termination is for Participant’s disability, within the meaning of Section 22(e)(3) of the Code, deemed to be an NQSO) but in any event no later than the expiration date of the Options.</w:t>
      </w:r>
    </w:p>
    <w:p>
      <w:pPr>
        <w:spacing w:after="0" w:line="155" w:lineRule="exact"/>
        <w:rPr>
          <w:rFonts w:ascii="Arial" w:cs="Arial" w:eastAsia="Arial" w:hAnsi="Arial"/>
          <w:sz w:val="15"/>
          <w:szCs w:val="15"/>
          <w:color w:val="auto"/>
        </w:rPr>
      </w:pPr>
    </w:p>
    <w:p>
      <w:pPr>
        <w:ind w:left="1690" w:hanging="202"/>
        <w:spacing w:after="0"/>
        <w:tabs>
          <w:tab w:leader="none" w:pos="1690" w:val="left"/>
        </w:tabs>
        <w:numPr>
          <w:ilvl w:val="1"/>
          <w:numId w:val="385"/>
        </w:numPr>
        <w:rPr>
          <w:rFonts w:ascii="Arial" w:cs="Arial" w:eastAsia="Arial" w:hAnsi="Arial"/>
          <w:sz w:val="14"/>
          <w:szCs w:val="14"/>
          <w:color w:val="auto"/>
        </w:rPr>
      </w:pPr>
      <w:r>
        <w:rPr>
          <w:rFonts w:ascii="Arial" w:cs="Arial" w:eastAsia="Arial" w:hAnsi="Arial"/>
          <w:sz w:val="14"/>
          <w:szCs w:val="14"/>
          <w:color w:val="auto"/>
        </w:rPr>
        <w:t>If the Participant is terminated for Cause, the Participant may exercise such Participant’s Options, but not to an extent greater than such Options are</w:t>
      </w:r>
    </w:p>
    <w:p>
      <w:pPr>
        <w:spacing w:after="0" w:line="144" w:lineRule="exact"/>
        <w:rPr>
          <w:sz w:val="20"/>
          <w:szCs w:val="20"/>
          <w:color w:val="auto"/>
        </w:rPr>
      </w:pPr>
    </w:p>
    <w:p>
      <w:pPr>
        <w:jc w:val="center"/>
        <w:ind w:right="-9"/>
        <w:spacing w:after="0"/>
        <w:rPr>
          <w:sz w:val="20"/>
          <w:szCs w:val="20"/>
          <w:color w:val="auto"/>
        </w:rPr>
      </w:pPr>
      <w:r>
        <w:rPr>
          <w:rFonts w:ascii="Arial" w:cs="Arial" w:eastAsia="Arial" w:hAnsi="Arial"/>
          <w:sz w:val="15"/>
          <w:szCs w:val="15"/>
          <w:color w:val="auto"/>
        </w:rPr>
        <w:t>4</w:t>
      </w:r>
    </w:p>
    <w:p>
      <w:pPr>
        <w:sectPr>
          <w:pgSz w:w="11900" w:h="16838" w:orient="portrait"/>
          <w:cols w:equalWidth="0" w:num="1">
            <w:col w:w="11450"/>
          </w:cols>
          <w:pgMar w:left="230" w:top="249" w:right="219" w:bottom="1440" w:gutter="0" w:footer="0" w:header="0"/>
        </w:sectPr>
      </w:pPr>
    </w:p>
    <w:bookmarkStart w:id="432" w:name="page433"/>
    <w:bookmarkEnd w:id="432"/>
    <w:p>
      <w:pPr>
        <w:ind w:right="160"/>
        <w:spacing w:after="0" w:line="275"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133350</wp:posOffset>
            </wp:positionH>
            <wp:positionV relativeFrom="page">
              <wp:posOffset>88900</wp:posOffset>
            </wp:positionV>
            <wp:extent cx="7308850" cy="34290"/>
            <wp:wrapNone/>
            <wp:docPr id="609" name="Picture 6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9"/>
                    <pic:cNvPicPr>
                      <a:picLocks noChangeAspect="1" noChangeArrowheads="1"/>
                    </pic:cNvPicPr>
                  </pic:nvPicPr>
                  <pic:blipFill>
                    <a:blip r:embed="rId646">
                      <a:extLst>
                        <a:ext uri="{28A0092B-C50C-407E-A947-70E740481C1C}"/>
                      </a:extLst>
                    </a:blip>
                    <a:srcRect/>
                    <a:stretch>
                      <a:fillRect/>
                    </a:stretch>
                  </pic:blipFill>
                  <pic:spPr bwMode="auto">
                    <a:xfrm>
                      <a:off x="0" y="0"/>
                      <a:ext cx="7308850" cy="34290"/>
                    </a:xfrm>
                    <a:prstGeom prst="rect">
                      <a:avLst/>
                    </a:prstGeom>
                    <a:noFill/>
                  </pic:spPr>
                </pic:pic>
              </a:graphicData>
            </a:graphic>
          </wp:anchor>
        </w:drawing>
        <w:t>exercisable as to Vested Shares upon the Termination Date and Participant’s Options shall expire on such Participant’s Termination Date, or at such later time and on such conditions as are determined by the Committee.</w:t>
      </w:r>
    </w:p>
    <w:p>
      <w:pPr>
        <w:spacing w:after="0" w:line="142" w:lineRule="exact"/>
        <w:rPr>
          <w:sz w:val="20"/>
          <w:szCs w:val="20"/>
          <w:color w:val="auto"/>
        </w:rPr>
      </w:pPr>
    </w:p>
    <w:p>
      <w:pPr>
        <w:ind w:right="140" w:firstLine="916"/>
        <w:spacing w:after="0" w:line="280" w:lineRule="auto"/>
        <w:rPr>
          <w:sz w:val="20"/>
          <w:szCs w:val="20"/>
          <w:color w:val="auto"/>
        </w:rPr>
      </w:pPr>
      <w:r>
        <w:rPr>
          <w:rFonts w:ascii="Arial" w:cs="Arial" w:eastAsia="Arial" w:hAnsi="Arial"/>
          <w:sz w:val="15"/>
          <w:szCs w:val="15"/>
          <w:b w:val="1"/>
          <w:bCs w:val="1"/>
          <w:color w:val="auto"/>
        </w:rPr>
        <w:t xml:space="preserve">5.7 </w:t>
      </w:r>
      <w:r>
        <w:rPr>
          <w:rFonts w:ascii="Arial" w:cs="Arial" w:eastAsia="Arial" w:hAnsi="Arial"/>
          <w:sz w:val="15"/>
          <w:szCs w:val="15"/>
          <w:b w:val="1"/>
          <w:bCs w:val="1"/>
          <w:u w:val="single" w:color="auto"/>
          <w:color w:val="auto"/>
        </w:rPr>
        <w:t>Limitations on Exercise</w:t>
      </w:r>
      <w:r>
        <w:rPr>
          <w:rFonts w:ascii="Arial" w:cs="Arial" w:eastAsia="Arial" w:hAnsi="Arial"/>
          <w:sz w:val="15"/>
          <w:szCs w:val="15"/>
          <w:color w:val="auto"/>
        </w:rPr>
        <w:t>. The Committee may specify a reasonable minimum number of Shares that may be purchased on any exercise of an Option, provided that such</w:t>
      </w:r>
      <w:r>
        <w:rPr>
          <w:rFonts w:ascii="Arial" w:cs="Arial" w:eastAsia="Arial" w:hAnsi="Arial"/>
          <w:sz w:val="15"/>
          <w:szCs w:val="15"/>
          <w:b w:val="1"/>
          <w:bCs w:val="1"/>
          <w:color w:val="auto"/>
        </w:rPr>
        <w:t xml:space="preserve"> </w:t>
      </w:r>
      <w:r>
        <w:rPr>
          <w:rFonts w:ascii="Arial" w:cs="Arial" w:eastAsia="Arial" w:hAnsi="Arial"/>
          <w:sz w:val="15"/>
          <w:szCs w:val="15"/>
          <w:color w:val="auto"/>
        </w:rPr>
        <w:t>minimum number will not prevent Participant from exercising the Option for the full number of Shares for which it is then exercisable.</w:t>
      </w:r>
    </w:p>
    <w:p>
      <w:pPr>
        <w:spacing w:after="0" w:line="139" w:lineRule="exact"/>
        <w:rPr>
          <w:sz w:val="20"/>
          <w:szCs w:val="20"/>
          <w:color w:val="auto"/>
        </w:rPr>
      </w:pPr>
    </w:p>
    <w:p>
      <w:pPr>
        <w:ind w:right="20" w:firstLine="916"/>
        <w:spacing w:after="0" w:line="301" w:lineRule="auto"/>
        <w:rPr>
          <w:sz w:val="20"/>
          <w:szCs w:val="20"/>
          <w:color w:val="auto"/>
        </w:rPr>
      </w:pPr>
      <w:r>
        <w:rPr>
          <w:rFonts w:ascii="Arial" w:cs="Arial" w:eastAsia="Arial" w:hAnsi="Arial"/>
          <w:sz w:val="13"/>
          <w:szCs w:val="13"/>
          <w:b w:val="1"/>
          <w:bCs w:val="1"/>
          <w:color w:val="auto"/>
        </w:rPr>
        <w:t xml:space="preserve">5.8 </w:t>
      </w:r>
      <w:r>
        <w:rPr>
          <w:rFonts w:ascii="Arial" w:cs="Arial" w:eastAsia="Arial" w:hAnsi="Arial"/>
          <w:sz w:val="13"/>
          <w:szCs w:val="13"/>
          <w:b w:val="1"/>
          <w:bCs w:val="1"/>
          <w:u w:val="single" w:color="auto"/>
          <w:color w:val="auto"/>
        </w:rPr>
        <w:t>Limitations on ISOs</w:t>
      </w:r>
      <w:r>
        <w:rPr>
          <w:rFonts w:ascii="Arial" w:cs="Arial" w:eastAsia="Arial" w:hAnsi="Arial"/>
          <w:sz w:val="13"/>
          <w:szCs w:val="13"/>
          <w:color w:val="auto"/>
        </w:rPr>
        <w:t>. The aggregate Fair Market Value (determined as of the date of grant) of Shares with respect to which ISOs are exercisable for the first time by a</w:t>
      </w:r>
      <w:r>
        <w:rPr>
          <w:rFonts w:ascii="Arial" w:cs="Arial" w:eastAsia="Arial" w:hAnsi="Arial"/>
          <w:sz w:val="13"/>
          <w:szCs w:val="13"/>
          <w:b w:val="1"/>
          <w:bCs w:val="1"/>
          <w:color w:val="auto"/>
        </w:rPr>
        <w:t xml:space="preserve"> </w:t>
      </w:r>
      <w:r>
        <w:rPr>
          <w:rFonts w:ascii="Arial" w:cs="Arial" w:eastAsia="Arial" w:hAnsi="Arial"/>
          <w:sz w:val="13"/>
          <w:szCs w:val="13"/>
          <w:color w:val="auto"/>
        </w:rPr>
        <w:t>Participant during any calendar year (under this Plan or under any other incentive stock option plan of the Company or any Parent or Subsidiary of the Company) will not exceed One Hundred Thousand Dollars ($100,000). If the Fair Market Value of Shares on the date of grant with respect to which ISOs are exercisable for the first time by a Participant during any calendar year exceeds One Hundred Thousand Dollars ($100,000), then the Options for the first One Hundred Thousand Dollars ($100,000) worth of Shares to become exercisable in such calendar year will be ISOs and the Options for the amount in excess of One Hundred Thousand Dollars ($100,000) that become exercisable in that calendar year will be NQSOs. In the event that the Code or the regulations promulgated thereunder are amended after the Effective Date (as defined in Section 19 hereof) to provide for a different limit on the Fair Market Value of Shares permitted to be subject to ISOs, then such different limit will be automatically incorporated herein and will apply to any Options granted after the effective date of such amendment.</w:t>
      </w:r>
    </w:p>
    <w:p>
      <w:pPr>
        <w:spacing w:after="0" w:line="131" w:lineRule="exact"/>
        <w:rPr>
          <w:sz w:val="20"/>
          <w:szCs w:val="20"/>
          <w:color w:val="auto"/>
        </w:rPr>
      </w:pPr>
    </w:p>
    <w:p>
      <w:pPr>
        <w:ind w:firstLine="916"/>
        <w:spacing w:after="0" w:line="281" w:lineRule="auto"/>
        <w:rPr>
          <w:sz w:val="20"/>
          <w:szCs w:val="20"/>
          <w:color w:val="auto"/>
        </w:rPr>
      </w:pPr>
      <w:r>
        <w:rPr>
          <w:rFonts w:ascii="Arial" w:cs="Arial" w:eastAsia="Arial" w:hAnsi="Arial"/>
          <w:sz w:val="14"/>
          <w:szCs w:val="14"/>
          <w:b w:val="1"/>
          <w:bCs w:val="1"/>
          <w:color w:val="auto"/>
        </w:rPr>
        <w:t xml:space="preserve">5.9 </w:t>
      </w:r>
      <w:r>
        <w:rPr>
          <w:rFonts w:ascii="Arial" w:cs="Arial" w:eastAsia="Arial" w:hAnsi="Arial"/>
          <w:sz w:val="14"/>
          <w:szCs w:val="14"/>
          <w:b w:val="1"/>
          <w:bCs w:val="1"/>
          <w:u w:val="single" w:color="auto"/>
          <w:color w:val="auto"/>
        </w:rPr>
        <w:t>Modification, Extension or Renewal</w:t>
      </w:r>
      <w:r>
        <w:rPr>
          <w:rFonts w:ascii="Arial" w:cs="Arial" w:eastAsia="Arial" w:hAnsi="Arial"/>
          <w:sz w:val="14"/>
          <w:szCs w:val="14"/>
          <w:color w:val="auto"/>
        </w:rPr>
        <w:t>. The Committee may modify, extend or renew outstanding Options and authorize the grant of new Options in substitution therefor,</w:t>
      </w:r>
      <w:r>
        <w:rPr>
          <w:rFonts w:ascii="Arial" w:cs="Arial" w:eastAsia="Arial" w:hAnsi="Arial"/>
          <w:sz w:val="14"/>
          <w:szCs w:val="14"/>
          <w:b w:val="1"/>
          <w:bCs w:val="1"/>
          <w:color w:val="auto"/>
        </w:rPr>
        <w:t xml:space="preserve"> </w:t>
      </w:r>
      <w:r>
        <w:rPr>
          <w:rFonts w:ascii="Arial" w:cs="Arial" w:eastAsia="Arial" w:hAnsi="Arial"/>
          <w:sz w:val="14"/>
          <w:szCs w:val="14"/>
          <w:color w:val="auto"/>
        </w:rPr>
        <w:t>provided that any such action may not, without the written consent of a Participant, impair any of such Participant’s rights under any Option previously granted. Any outstanding ISO that is modified, extended, renewed or otherwise altered will be treated in accordance with Section 424(h) of the Code. Subject to Section 5.10 hereof, the Committee may reduce the Exercise Price of outstanding Options without the consent of Participants by a written notice to them; provided, however, that the Exercise Price may not be reduced below the minimum Exercise Price that would be permitted under Section 5.4 hereof for Options granted on the date the action is taken to reduce the Exercise Price.</w:t>
      </w:r>
    </w:p>
    <w:p>
      <w:pPr>
        <w:spacing w:after="0" w:line="140" w:lineRule="exact"/>
        <w:rPr>
          <w:sz w:val="20"/>
          <w:szCs w:val="20"/>
          <w:color w:val="auto"/>
        </w:rPr>
      </w:pPr>
    </w:p>
    <w:p>
      <w:pPr>
        <w:ind w:right="560" w:firstLine="916"/>
        <w:spacing w:after="0" w:line="266" w:lineRule="auto"/>
        <w:rPr>
          <w:sz w:val="20"/>
          <w:szCs w:val="20"/>
          <w:color w:val="auto"/>
        </w:rPr>
      </w:pPr>
      <w:r>
        <w:rPr>
          <w:rFonts w:ascii="Arial" w:cs="Arial" w:eastAsia="Arial" w:hAnsi="Arial"/>
          <w:sz w:val="15"/>
          <w:szCs w:val="15"/>
          <w:b w:val="1"/>
          <w:bCs w:val="1"/>
          <w:color w:val="auto"/>
        </w:rPr>
        <w:t xml:space="preserve">5.10 </w:t>
      </w:r>
      <w:r>
        <w:rPr>
          <w:rFonts w:ascii="Arial" w:cs="Arial" w:eastAsia="Arial" w:hAnsi="Arial"/>
          <w:sz w:val="15"/>
          <w:szCs w:val="15"/>
          <w:b w:val="1"/>
          <w:bCs w:val="1"/>
          <w:u w:val="single" w:color="auto"/>
          <w:color w:val="auto"/>
        </w:rPr>
        <w:t>No Disqualification</w:t>
      </w:r>
      <w:r>
        <w:rPr>
          <w:rFonts w:ascii="Arial" w:cs="Arial" w:eastAsia="Arial" w:hAnsi="Arial"/>
          <w:sz w:val="15"/>
          <w:szCs w:val="15"/>
          <w:color w:val="auto"/>
        </w:rPr>
        <w:t>. Notwithstanding any other provision in this Plan, no term of this Plan relating to ISOs will be interpreted, amended or altered, nor will any</w:t>
      </w:r>
      <w:r>
        <w:rPr>
          <w:rFonts w:ascii="Arial" w:cs="Arial" w:eastAsia="Arial" w:hAnsi="Arial"/>
          <w:sz w:val="15"/>
          <w:szCs w:val="15"/>
          <w:b w:val="1"/>
          <w:bCs w:val="1"/>
          <w:color w:val="auto"/>
        </w:rPr>
        <w:t xml:space="preserve"> </w:t>
      </w:r>
      <w:r>
        <w:rPr>
          <w:rFonts w:ascii="Arial" w:cs="Arial" w:eastAsia="Arial" w:hAnsi="Arial"/>
          <w:sz w:val="15"/>
          <w:szCs w:val="15"/>
          <w:color w:val="auto"/>
        </w:rPr>
        <w:t>discretion or authority granted under this Plan be exercised, so as to disqualify this Plan under Section 422 of the Code or, without the consent of the Participant, to disqualify any Participant’s ISO under Section 422 of the Code.</w:t>
      </w:r>
    </w:p>
    <w:p>
      <w:pPr>
        <w:spacing w:after="0" w:line="148" w:lineRule="exact"/>
        <w:rPr>
          <w:sz w:val="20"/>
          <w:szCs w:val="20"/>
          <w:color w:val="auto"/>
        </w:rPr>
      </w:pPr>
    </w:p>
    <w:p>
      <w:pPr>
        <w:ind w:right="340" w:firstLine="916"/>
        <w:spacing w:after="0" w:line="325" w:lineRule="auto"/>
        <w:rPr>
          <w:sz w:val="20"/>
          <w:szCs w:val="20"/>
          <w:color w:val="auto"/>
        </w:rPr>
      </w:pPr>
      <w:r>
        <w:rPr>
          <w:rFonts w:ascii="Arial" w:cs="Arial" w:eastAsia="Arial" w:hAnsi="Arial"/>
          <w:sz w:val="13"/>
          <w:szCs w:val="13"/>
          <w:b w:val="1"/>
          <w:bCs w:val="1"/>
          <w:color w:val="auto"/>
        </w:rPr>
        <w:t xml:space="preserve">5.11 </w:t>
      </w:r>
      <w:r>
        <w:rPr>
          <w:rFonts w:ascii="Arial" w:cs="Arial" w:eastAsia="Arial" w:hAnsi="Arial"/>
          <w:sz w:val="13"/>
          <w:szCs w:val="13"/>
          <w:b w:val="1"/>
          <w:bCs w:val="1"/>
          <w:u w:val="single" w:color="auto"/>
          <w:color w:val="auto"/>
        </w:rPr>
        <w:t>Information to Optionees</w:t>
      </w:r>
      <w:r>
        <w:rPr>
          <w:rFonts w:ascii="Arial" w:cs="Arial" w:eastAsia="Arial" w:hAnsi="Arial"/>
          <w:sz w:val="13"/>
          <w:szCs w:val="13"/>
          <w:b w:val="1"/>
          <w:bCs w:val="1"/>
          <w:color w:val="auto"/>
        </w:rPr>
        <w:t xml:space="preserve">. </w:t>
      </w:r>
      <w:r>
        <w:rPr>
          <w:rFonts w:ascii="Arial" w:cs="Arial" w:eastAsia="Arial" w:hAnsi="Arial"/>
          <w:sz w:val="13"/>
          <w:szCs w:val="13"/>
          <w:color w:val="auto"/>
        </w:rPr>
        <w:t>If the Company is relying on the exemption from registration under Section 12(g) of the Exchange Act pursuant to Rule 12h-1(f)(1)</w:t>
      </w:r>
      <w:r>
        <w:rPr>
          <w:rFonts w:ascii="Arial" w:cs="Arial" w:eastAsia="Arial" w:hAnsi="Arial"/>
          <w:sz w:val="13"/>
          <w:szCs w:val="13"/>
          <w:b w:val="1"/>
          <w:bCs w:val="1"/>
          <w:color w:val="auto"/>
        </w:rPr>
        <w:t xml:space="preserve"> </w:t>
      </w:r>
      <w:r>
        <w:rPr>
          <w:rFonts w:ascii="Arial" w:cs="Arial" w:eastAsia="Arial" w:hAnsi="Arial"/>
          <w:sz w:val="13"/>
          <w:szCs w:val="13"/>
          <w:color w:val="auto"/>
        </w:rPr>
        <w:t>promulgated under the Exchange Act, then the Company shall provide by physical or electronic delivery the Required Information (as defined below) in the manner required by Rule 12h-1(f)(1) to all optionees every six months until the Company becomes subject to the reporting requirements of Section 13 or 15(d) of the Exchange Act or is no longer relying on the</w:t>
      </w:r>
    </w:p>
    <w:p>
      <w:pPr>
        <w:spacing w:after="0" w:line="62"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5</w:t>
      </w:r>
    </w:p>
    <w:p>
      <w:pPr>
        <w:sectPr>
          <w:pgSz w:w="11900" w:h="16838" w:orient="portrait"/>
          <w:cols w:equalWidth="0" w:num="1">
            <w:col w:w="11420"/>
          </w:cols>
          <w:pgMar w:left="240" w:top="253" w:right="239" w:bottom="1440" w:gutter="0" w:footer="0" w:header="0"/>
        </w:sectPr>
      </w:pPr>
    </w:p>
    <w:bookmarkStart w:id="433" w:name="page434"/>
    <w:bookmarkEnd w:id="433"/>
    <w:p>
      <w:pPr>
        <w:ind w:left="10" w:right="80"/>
        <w:spacing w:after="0" w:line="297" w:lineRule="auto"/>
        <w:rPr>
          <w:sz w:val="20"/>
          <w:szCs w:val="20"/>
          <w:color w:val="auto"/>
        </w:rPr>
      </w:pPr>
      <w:r>
        <w:rPr>
          <w:rFonts w:ascii="Arial" w:cs="Arial" w:eastAsia="Arial" w:hAnsi="Arial"/>
          <w:sz w:val="13"/>
          <w:szCs w:val="13"/>
          <w:color w:val="auto"/>
        </w:rPr>
        <w:drawing>
          <wp:anchor simplePos="0" relativeHeight="251657728" behindDoc="1" locked="0" layoutInCell="0" allowOverlap="1">
            <wp:simplePos x="0" y="0"/>
            <wp:positionH relativeFrom="page">
              <wp:posOffset>133350</wp:posOffset>
            </wp:positionH>
            <wp:positionV relativeFrom="page">
              <wp:posOffset>88900</wp:posOffset>
            </wp:positionV>
            <wp:extent cx="7308850" cy="34290"/>
            <wp:wrapNone/>
            <wp:docPr id="610" name="Picture 6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0"/>
                    <pic:cNvPicPr>
                      <a:picLocks noChangeAspect="1" noChangeArrowheads="1"/>
                    </pic:cNvPicPr>
                  </pic:nvPicPr>
                  <pic:blipFill>
                    <a:blip r:embed="rId647">
                      <a:extLst>
                        <a:ext uri="{28A0092B-C50C-407E-A947-70E740481C1C}"/>
                      </a:extLst>
                    </a:blip>
                    <a:srcRect/>
                    <a:stretch>
                      <a:fillRect/>
                    </a:stretch>
                  </pic:blipFill>
                  <pic:spPr bwMode="auto">
                    <a:xfrm>
                      <a:off x="0" y="0"/>
                      <a:ext cx="7308850" cy="34290"/>
                    </a:xfrm>
                    <a:prstGeom prst="rect">
                      <a:avLst/>
                    </a:prstGeom>
                    <a:noFill/>
                  </pic:spPr>
                </pic:pic>
              </a:graphicData>
            </a:graphic>
          </wp:anchor>
        </w:drawing>
        <w:t xml:space="preserve">exemption pursuant to Rule 12h-1(f)(1); </w:t>
      </w:r>
      <w:r>
        <w:rPr>
          <w:rFonts w:ascii="Arial" w:cs="Arial" w:eastAsia="Arial" w:hAnsi="Arial"/>
          <w:sz w:val="13"/>
          <w:szCs w:val="13"/>
          <w:i w:val="1"/>
          <w:iCs w:val="1"/>
          <w:u w:val="single" w:color="auto"/>
          <w:color w:val="auto"/>
        </w:rPr>
        <w:t>provided</w:t>
      </w:r>
      <w:r>
        <w:rPr>
          <w:rFonts w:ascii="Arial" w:cs="Arial" w:eastAsia="Arial" w:hAnsi="Arial"/>
          <w:sz w:val="13"/>
          <w:szCs w:val="13"/>
          <w:i w:val="1"/>
          <w:iCs w:val="1"/>
          <w:color w:val="auto"/>
        </w:rPr>
        <w:t>,</w:t>
      </w:r>
      <w:r>
        <w:rPr>
          <w:rFonts w:ascii="Arial" w:cs="Arial" w:eastAsia="Arial" w:hAnsi="Arial"/>
          <w:sz w:val="13"/>
          <w:szCs w:val="13"/>
          <w:color w:val="auto"/>
        </w:rPr>
        <w:t xml:space="preserve"> </w:t>
      </w:r>
      <w:r>
        <w:rPr>
          <w:rFonts w:ascii="Arial" w:cs="Arial" w:eastAsia="Arial" w:hAnsi="Arial"/>
          <w:sz w:val="13"/>
          <w:szCs w:val="13"/>
          <w:i w:val="1"/>
          <w:iCs w:val="1"/>
          <w:u w:val="single" w:color="auto"/>
          <w:color w:val="auto"/>
        </w:rPr>
        <w:t>that</w:t>
      </w:r>
      <w:r>
        <w:rPr>
          <w:rFonts w:ascii="Arial" w:cs="Arial" w:eastAsia="Arial" w:hAnsi="Arial"/>
          <w:sz w:val="13"/>
          <w:szCs w:val="13"/>
          <w:color w:val="auto"/>
        </w:rPr>
        <w:t>, prior to receiving access to the Required Information the optionee must agree to keep the Required Information confidential pursuant to a written agreement in the form provided by the Company. For purposes of this Section 5.11, “</w:t>
      </w:r>
      <w:r>
        <w:rPr>
          <w:rFonts w:ascii="Arial" w:cs="Arial" w:eastAsia="Arial" w:hAnsi="Arial"/>
          <w:sz w:val="13"/>
          <w:szCs w:val="13"/>
          <w:b w:val="1"/>
          <w:bCs w:val="1"/>
          <w:i w:val="1"/>
          <w:iCs w:val="1"/>
          <w:color w:val="auto"/>
        </w:rPr>
        <w:t>Required Information</w:t>
      </w:r>
      <w:r>
        <w:rPr>
          <w:rFonts w:ascii="Arial" w:cs="Arial" w:eastAsia="Arial" w:hAnsi="Arial"/>
          <w:sz w:val="13"/>
          <w:szCs w:val="13"/>
          <w:color w:val="auto"/>
        </w:rPr>
        <w:t>” means the information described in Rules 701(e)(3), (4) and</w:t>
      </w:r>
    </w:p>
    <w:p>
      <w:pPr>
        <w:ind w:left="210" w:hanging="210"/>
        <w:spacing w:after="0"/>
        <w:tabs>
          <w:tab w:leader="none" w:pos="210" w:val="left"/>
        </w:tabs>
        <w:numPr>
          <w:ilvl w:val="0"/>
          <w:numId w:val="386"/>
        </w:numPr>
        <w:rPr>
          <w:rFonts w:ascii="Arial" w:cs="Arial" w:eastAsia="Arial" w:hAnsi="Arial"/>
          <w:sz w:val="15"/>
          <w:szCs w:val="15"/>
          <w:color w:val="auto"/>
        </w:rPr>
      </w:pPr>
      <w:r>
        <w:rPr>
          <w:rFonts w:ascii="Arial" w:cs="Arial" w:eastAsia="Arial" w:hAnsi="Arial"/>
          <w:sz w:val="15"/>
          <w:szCs w:val="15"/>
          <w:color w:val="auto"/>
        </w:rPr>
        <w:t>under the Securities Act, with the financial statements being as of a date not more than 180 days before the sale of securities to which it relates.</w:t>
      </w:r>
    </w:p>
    <w:p>
      <w:pPr>
        <w:spacing w:after="0" w:line="174" w:lineRule="exact"/>
        <w:rPr>
          <w:rFonts w:ascii="Arial" w:cs="Arial" w:eastAsia="Arial" w:hAnsi="Arial"/>
          <w:sz w:val="15"/>
          <w:szCs w:val="15"/>
          <w:color w:val="auto"/>
        </w:rPr>
      </w:pPr>
    </w:p>
    <w:p>
      <w:pPr>
        <w:jc w:val="both"/>
        <w:ind w:left="10" w:right="40" w:firstLine="448"/>
        <w:spacing w:after="0" w:line="266" w:lineRule="auto"/>
        <w:tabs>
          <w:tab w:leader="none" w:pos="618" w:val="left"/>
        </w:tabs>
        <w:numPr>
          <w:ilvl w:val="1"/>
          <w:numId w:val="386"/>
        </w:numPr>
        <w:rPr>
          <w:rFonts w:ascii="Arial" w:cs="Arial" w:eastAsia="Arial" w:hAnsi="Arial"/>
          <w:sz w:val="15"/>
          <w:szCs w:val="15"/>
          <w:b w:val="1"/>
          <w:bCs w:val="1"/>
          <w:color w:val="auto"/>
        </w:rPr>
      </w:pPr>
      <w:r>
        <w:rPr>
          <w:rFonts w:ascii="Arial" w:cs="Arial" w:eastAsia="Arial" w:hAnsi="Arial"/>
          <w:sz w:val="15"/>
          <w:szCs w:val="15"/>
          <w:b w:val="1"/>
          <w:bCs w:val="1"/>
          <w:u w:val="single" w:color="auto"/>
          <w:color w:val="auto"/>
        </w:rPr>
        <w:t>RESTRICTED STOCK</w:t>
      </w:r>
      <w:r>
        <w:rPr>
          <w:rFonts w:ascii="Arial" w:cs="Arial" w:eastAsia="Arial" w:hAnsi="Arial"/>
          <w:sz w:val="15"/>
          <w:szCs w:val="15"/>
          <w:b w:val="1"/>
          <w:bCs w:val="1"/>
          <w:color w:val="auto"/>
        </w:rPr>
        <w:t xml:space="preserve">. </w:t>
      </w:r>
      <w:r>
        <w:rPr>
          <w:rFonts w:ascii="Arial" w:cs="Arial" w:eastAsia="Arial" w:hAnsi="Arial"/>
          <w:sz w:val="15"/>
          <w:szCs w:val="15"/>
          <w:color w:val="auto"/>
        </w:rPr>
        <w:t>A Restricted Stock Award is an offer by the Company to sell to an eligible person Shares that are subject to certain specified restrictions. The Committee</w:t>
      </w:r>
      <w:r>
        <w:rPr>
          <w:rFonts w:ascii="Arial" w:cs="Arial" w:eastAsia="Arial" w:hAnsi="Arial"/>
          <w:sz w:val="15"/>
          <w:szCs w:val="15"/>
          <w:b w:val="1"/>
          <w:bCs w:val="1"/>
          <w:color w:val="auto"/>
        </w:rPr>
        <w:t xml:space="preserve"> </w:t>
      </w:r>
      <w:r>
        <w:rPr>
          <w:rFonts w:ascii="Arial" w:cs="Arial" w:eastAsia="Arial" w:hAnsi="Arial"/>
          <w:sz w:val="15"/>
          <w:szCs w:val="15"/>
          <w:color w:val="auto"/>
        </w:rPr>
        <w:t>will determine to whom an offer will be made, the number of Shares the person may purchase, the Purchase Price, the restrictions to which the Shares will be subject, and all other terms and conditions of the Restricted Stock Award, subject to the following:</w:t>
      </w:r>
    </w:p>
    <w:p>
      <w:pPr>
        <w:spacing w:after="0" w:line="148" w:lineRule="exact"/>
        <w:rPr>
          <w:sz w:val="20"/>
          <w:szCs w:val="20"/>
          <w:color w:val="auto"/>
        </w:rPr>
      </w:pPr>
    </w:p>
    <w:p>
      <w:pPr>
        <w:ind w:left="10" w:right="60" w:firstLine="916"/>
        <w:spacing w:after="0" w:line="257" w:lineRule="auto"/>
        <w:rPr>
          <w:sz w:val="20"/>
          <w:szCs w:val="20"/>
          <w:color w:val="auto"/>
        </w:rPr>
      </w:pPr>
      <w:r>
        <w:rPr>
          <w:rFonts w:ascii="Arial" w:cs="Arial" w:eastAsia="Arial" w:hAnsi="Arial"/>
          <w:sz w:val="15"/>
          <w:szCs w:val="15"/>
          <w:b w:val="1"/>
          <w:bCs w:val="1"/>
          <w:color w:val="auto"/>
        </w:rPr>
        <w:t xml:space="preserve">6.1 </w:t>
      </w:r>
      <w:r>
        <w:rPr>
          <w:rFonts w:ascii="Arial" w:cs="Arial" w:eastAsia="Arial" w:hAnsi="Arial"/>
          <w:sz w:val="15"/>
          <w:szCs w:val="15"/>
          <w:b w:val="1"/>
          <w:bCs w:val="1"/>
          <w:u w:val="single" w:color="auto"/>
          <w:color w:val="auto"/>
        </w:rPr>
        <w:t>Form of Restricted Stock Award</w:t>
      </w:r>
      <w:r>
        <w:rPr>
          <w:rFonts w:ascii="Arial" w:cs="Arial" w:eastAsia="Arial" w:hAnsi="Arial"/>
          <w:sz w:val="15"/>
          <w:szCs w:val="15"/>
          <w:color w:val="auto"/>
        </w:rPr>
        <w:t>. All purchases under a Restricted Stock Award made pursuant to this Plan will be evidenced by an Award Agreement (“</w:t>
      </w:r>
      <w:r>
        <w:rPr>
          <w:rFonts w:ascii="Arial" w:cs="Arial" w:eastAsia="Arial" w:hAnsi="Arial"/>
          <w:sz w:val="15"/>
          <w:szCs w:val="15"/>
          <w:b w:val="1"/>
          <w:bCs w:val="1"/>
          <w:i w:val="1"/>
          <w:iCs w:val="1"/>
          <w:color w:val="auto"/>
        </w:rPr>
        <w:t>Restricted</w:t>
      </w:r>
      <w:r>
        <w:rPr>
          <w:rFonts w:ascii="Arial" w:cs="Arial" w:eastAsia="Arial" w:hAnsi="Arial"/>
          <w:sz w:val="15"/>
          <w:szCs w:val="15"/>
          <w:b w:val="1"/>
          <w:bCs w:val="1"/>
          <w:color w:val="auto"/>
        </w:rPr>
        <w:t xml:space="preserve"> </w:t>
      </w:r>
      <w:r>
        <w:rPr>
          <w:rFonts w:ascii="Arial" w:cs="Arial" w:eastAsia="Arial" w:hAnsi="Arial"/>
          <w:sz w:val="15"/>
          <w:szCs w:val="15"/>
          <w:b w:val="1"/>
          <w:bCs w:val="1"/>
          <w:i w:val="1"/>
          <w:iCs w:val="1"/>
          <w:color w:val="auto"/>
        </w:rPr>
        <w:t>Stock Purchase Agreement</w:t>
      </w:r>
      <w:r>
        <w:rPr>
          <w:rFonts w:ascii="Arial" w:cs="Arial" w:eastAsia="Arial" w:hAnsi="Arial"/>
          <w:sz w:val="15"/>
          <w:szCs w:val="15"/>
          <w:color w:val="auto"/>
        </w:rPr>
        <w:t>”) that will be in such form (which need not be the same for each Participant) as the Committee will from time to time approve, and will comply with and be</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subject to the terms and conditions of this Plan. The Restricted Stock Award will be accepted by the Participant’s execution and delivery of the Restricted Stock Purchase Agreement and full payment for the Shares to the Company within thirty (30) days from the date the Restricted Stock Purchase Agreement is delivered to the person. If such person does not execute and deliver the Restricted Stock Purchase Agreement along with full payment for the Shares to the Company within such thirty (30) days, then the offer will terminate, unless otherwise determined by the Committee.</w:t>
      </w:r>
    </w:p>
    <w:p>
      <w:pPr>
        <w:spacing w:after="0" w:line="155" w:lineRule="exact"/>
        <w:rPr>
          <w:sz w:val="20"/>
          <w:szCs w:val="20"/>
          <w:color w:val="auto"/>
        </w:rPr>
      </w:pPr>
    </w:p>
    <w:p>
      <w:pPr>
        <w:ind w:left="10" w:right="160" w:firstLine="916"/>
        <w:spacing w:after="0" w:line="280" w:lineRule="auto"/>
        <w:rPr>
          <w:sz w:val="20"/>
          <w:szCs w:val="20"/>
          <w:color w:val="auto"/>
        </w:rPr>
      </w:pPr>
      <w:r>
        <w:rPr>
          <w:rFonts w:ascii="Arial" w:cs="Arial" w:eastAsia="Arial" w:hAnsi="Arial"/>
          <w:sz w:val="15"/>
          <w:szCs w:val="15"/>
          <w:b w:val="1"/>
          <w:bCs w:val="1"/>
          <w:color w:val="auto"/>
        </w:rPr>
        <w:t xml:space="preserve">6.2 </w:t>
      </w:r>
      <w:r>
        <w:rPr>
          <w:rFonts w:ascii="Arial" w:cs="Arial" w:eastAsia="Arial" w:hAnsi="Arial"/>
          <w:sz w:val="15"/>
          <w:szCs w:val="15"/>
          <w:b w:val="1"/>
          <w:bCs w:val="1"/>
          <w:u w:val="single" w:color="auto"/>
          <w:color w:val="auto"/>
        </w:rPr>
        <w:t>Purchase Price</w:t>
      </w:r>
      <w:r>
        <w:rPr>
          <w:rFonts w:ascii="Arial" w:cs="Arial" w:eastAsia="Arial" w:hAnsi="Arial"/>
          <w:sz w:val="15"/>
          <w:szCs w:val="15"/>
          <w:color w:val="auto"/>
        </w:rPr>
        <w:t>. The Purchase Price of Shares sold pursuant to a Restricted Stock Award will be determined by the Committee on the date the Restricted Stock Award is</w:t>
      </w:r>
      <w:r>
        <w:rPr>
          <w:rFonts w:ascii="Arial" w:cs="Arial" w:eastAsia="Arial" w:hAnsi="Arial"/>
          <w:sz w:val="15"/>
          <w:szCs w:val="15"/>
          <w:b w:val="1"/>
          <w:bCs w:val="1"/>
          <w:color w:val="auto"/>
        </w:rPr>
        <w:t xml:space="preserve"> </w:t>
      </w:r>
      <w:r>
        <w:rPr>
          <w:rFonts w:ascii="Arial" w:cs="Arial" w:eastAsia="Arial" w:hAnsi="Arial"/>
          <w:sz w:val="15"/>
          <w:szCs w:val="15"/>
          <w:color w:val="auto"/>
        </w:rPr>
        <w:t>granted or at the time the purchase is consummated. Payment of the Purchase Price must be made in accordance with Section 8 hereof.</w:t>
      </w:r>
    </w:p>
    <w:p>
      <w:pPr>
        <w:spacing w:after="0" w:line="139" w:lineRule="exact"/>
        <w:rPr>
          <w:sz w:val="20"/>
          <w:szCs w:val="20"/>
          <w:color w:val="auto"/>
        </w:rPr>
      </w:pPr>
    </w:p>
    <w:p>
      <w:pPr>
        <w:ind w:left="10" w:right="120" w:firstLine="916"/>
        <w:spacing w:after="0" w:line="280" w:lineRule="auto"/>
        <w:rPr>
          <w:sz w:val="20"/>
          <w:szCs w:val="20"/>
          <w:color w:val="auto"/>
        </w:rPr>
      </w:pPr>
      <w:r>
        <w:rPr>
          <w:rFonts w:ascii="Arial" w:cs="Arial" w:eastAsia="Arial" w:hAnsi="Arial"/>
          <w:sz w:val="15"/>
          <w:szCs w:val="15"/>
          <w:b w:val="1"/>
          <w:bCs w:val="1"/>
          <w:color w:val="auto"/>
        </w:rPr>
        <w:t xml:space="preserve">6.3 </w:t>
      </w:r>
      <w:r>
        <w:rPr>
          <w:rFonts w:ascii="Arial" w:cs="Arial" w:eastAsia="Arial" w:hAnsi="Arial"/>
          <w:sz w:val="15"/>
          <w:szCs w:val="15"/>
          <w:b w:val="1"/>
          <w:bCs w:val="1"/>
          <w:u w:val="single" w:color="auto"/>
          <w:color w:val="auto"/>
        </w:rPr>
        <w:t>Restrictions</w:t>
      </w:r>
      <w:r>
        <w:rPr>
          <w:rFonts w:ascii="Arial" w:cs="Arial" w:eastAsia="Arial" w:hAnsi="Arial"/>
          <w:sz w:val="15"/>
          <w:szCs w:val="15"/>
          <w:color w:val="auto"/>
        </w:rPr>
        <w:t>. Restricted Stock Awards may be subject to the restrictions set forth in Section 12 hereof or such other restrictions not inconsistent with Section 25102(o) of</w:t>
      </w:r>
      <w:r>
        <w:rPr>
          <w:rFonts w:ascii="Arial" w:cs="Arial" w:eastAsia="Arial" w:hAnsi="Arial"/>
          <w:sz w:val="15"/>
          <w:szCs w:val="15"/>
          <w:b w:val="1"/>
          <w:bCs w:val="1"/>
          <w:color w:val="auto"/>
        </w:rPr>
        <w:t xml:space="preserve"> </w:t>
      </w:r>
      <w:r>
        <w:rPr>
          <w:rFonts w:ascii="Arial" w:cs="Arial" w:eastAsia="Arial" w:hAnsi="Arial"/>
          <w:sz w:val="15"/>
          <w:szCs w:val="15"/>
          <w:color w:val="auto"/>
        </w:rPr>
        <w:t>the California Corporations Code.</w:t>
      </w:r>
    </w:p>
    <w:p>
      <w:pPr>
        <w:spacing w:after="0" w:line="229" w:lineRule="exact"/>
        <w:rPr>
          <w:sz w:val="20"/>
          <w:szCs w:val="20"/>
          <w:color w:val="auto"/>
        </w:rPr>
      </w:pPr>
    </w:p>
    <w:p>
      <w:pPr>
        <w:ind w:left="610" w:hanging="152"/>
        <w:spacing w:after="0"/>
        <w:tabs>
          <w:tab w:leader="none" w:pos="610" w:val="left"/>
        </w:tabs>
        <w:numPr>
          <w:ilvl w:val="0"/>
          <w:numId w:val="387"/>
        </w:numPr>
        <w:rPr>
          <w:rFonts w:ascii="Arial" w:cs="Arial" w:eastAsia="Arial" w:hAnsi="Arial"/>
          <w:sz w:val="15"/>
          <w:szCs w:val="15"/>
          <w:b w:val="1"/>
          <w:bCs w:val="1"/>
          <w:color w:val="auto"/>
        </w:rPr>
      </w:pPr>
      <w:r>
        <w:rPr>
          <w:rFonts w:ascii="Arial" w:cs="Arial" w:eastAsia="Arial" w:hAnsi="Arial"/>
          <w:sz w:val="15"/>
          <w:szCs w:val="15"/>
          <w:b w:val="1"/>
          <w:bCs w:val="1"/>
          <w:u w:val="single" w:color="auto"/>
          <w:color w:val="auto"/>
        </w:rPr>
        <w:t>RESTRICTED STOCK UNITS</w:t>
      </w:r>
      <w:r>
        <w:rPr>
          <w:rFonts w:ascii="Arial" w:cs="Arial" w:eastAsia="Arial" w:hAnsi="Arial"/>
          <w:sz w:val="15"/>
          <w:szCs w:val="15"/>
          <w:color w:val="auto"/>
        </w:rPr>
        <w:t>.</w:t>
      </w:r>
    </w:p>
    <w:p>
      <w:pPr>
        <w:spacing w:after="0" w:line="98" w:lineRule="exact"/>
        <w:rPr>
          <w:sz w:val="20"/>
          <w:szCs w:val="20"/>
          <w:color w:val="auto"/>
        </w:rPr>
      </w:pPr>
    </w:p>
    <w:p>
      <w:pPr>
        <w:ind w:left="10" w:right="80" w:firstLine="916"/>
        <w:spacing w:after="0" w:line="325" w:lineRule="auto"/>
        <w:rPr>
          <w:sz w:val="20"/>
          <w:szCs w:val="20"/>
          <w:color w:val="auto"/>
        </w:rPr>
      </w:pPr>
      <w:r>
        <w:rPr>
          <w:rFonts w:ascii="Arial" w:cs="Arial" w:eastAsia="Arial" w:hAnsi="Arial"/>
          <w:sz w:val="13"/>
          <w:szCs w:val="13"/>
          <w:b w:val="1"/>
          <w:bCs w:val="1"/>
          <w:color w:val="auto"/>
        </w:rPr>
        <w:t xml:space="preserve">7.1 </w:t>
      </w:r>
      <w:r>
        <w:rPr>
          <w:rFonts w:ascii="Arial" w:cs="Arial" w:eastAsia="Arial" w:hAnsi="Arial"/>
          <w:sz w:val="13"/>
          <w:szCs w:val="13"/>
          <w:b w:val="1"/>
          <w:bCs w:val="1"/>
          <w:u w:val="single" w:color="auto"/>
          <w:color w:val="auto"/>
        </w:rPr>
        <w:t>Awards of Restricted Stock Units</w:t>
      </w:r>
      <w:r>
        <w:rPr>
          <w:rFonts w:ascii="Arial" w:cs="Arial" w:eastAsia="Arial" w:hAnsi="Arial"/>
          <w:sz w:val="13"/>
          <w:szCs w:val="13"/>
          <w:color w:val="auto"/>
        </w:rPr>
        <w:t>. A Restricted Stock Unit (“</w:t>
      </w:r>
      <w:r>
        <w:rPr>
          <w:rFonts w:ascii="Arial" w:cs="Arial" w:eastAsia="Arial" w:hAnsi="Arial"/>
          <w:sz w:val="13"/>
          <w:szCs w:val="13"/>
          <w:b w:val="1"/>
          <w:bCs w:val="1"/>
          <w:i w:val="1"/>
          <w:iCs w:val="1"/>
          <w:color w:val="auto"/>
        </w:rPr>
        <w:t>RSU</w:t>
      </w:r>
      <w:r>
        <w:rPr>
          <w:rFonts w:ascii="Arial" w:cs="Arial" w:eastAsia="Arial" w:hAnsi="Arial"/>
          <w:sz w:val="13"/>
          <w:szCs w:val="13"/>
          <w:color w:val="auto"/>
        </w:rPr>
        <w:t>”) is an Award covering a number of Shares that may be settled in cash, or by issuance of those Shares</w:t>
      </w:r>
      <w:r>
        <w:rPr>
          <w:rFonts w:ascii="Arial" w:cs="Arial" w:eastAsia="Arial" w:hAnsi="Arial"/>
          <w:sz w:val="13"/>
          <w:szCs w:val="13"/>
          <w:b w:val="1"/>
          <w:bCs w:val="1"/>
          <w:color w:val="auto"/>
        </w:rPr>
        <w:t xml:space="preserve"> </w:t>
      </w:r>
      <w:r>
        <w:rPr>
          <w:rFonts w:ascii="Arial" w:cs="Arial" w:eastAsia="Arial" w:hAnsi="Arial"/>
          <w:sz w:val="13"/>
          <w:szCs w:val="13"/>
          <w:color w:val="auto"/>
        </w:rPr>
        <w:t>at a date in the future. No Purchase Price shall apply to an RSU settled in Shares. All grants of Restricted Stock Units will be evidenced by an Award Agreement that will be in such form (which need not be the same for each Participant) as the Committee will from time to time approve, and will comply with and be subject to the terms and conditions of this Plan.</w:t>
      </w:r>
    </w:p>
    <w:p>
      <w:pPr>
        <w:spacing w:after="0" w:line="114" w:lineRule="exact"/>
        <w:rPr>
          <w:sz w:val="20"/>
          <w:szCs w:val="20"/>
          <w:color w:val="auto"/>
        </w:rPr>
      </w:pPr>
    </w:p>
    <w:p>
      <w:pPr>
        <w:ind w:left="10" w:firstLine="916"/>
        <w:spacing w:after="0" w:line="266" w:lineRule="auto"/>
        <w:rPr>
          <w:sz w:val="20"/>
          <w:szCs w:val="20"/>
          <w:color w:val="auto"/>
        </w:rPr>
      </w:pPr>
      <w:r>
        <w:rPr>
          <w:rFonts w:ascii="Arial" w:cs="Arial" w:eastAsia="Arial" w:hAnsi="Arial"/>
          <w:sz w:val="15"/>
          <w:szCs w:val="15"/>
          <w:b w:val="1"/>
          <w:bCs w:val="1"/>
          <w:color w:val="auto"/>
        </w:rPr>
        <w:t xml:space="preserve">7.2 </w:t>
      </w:r>
      <w:r>
        <w:rPr>
          <w:rFonts w:ascii="Arial" w:cs="Arial" w:eastAsia="Arial" w:hAnsi="Arial"/>
          <w:sz w:val="15"/>
          <w:szCs w:val="15"/>
          <w:b w:val="1"/>
          <w:bCs w:val="1"/>
          <w:u w:val="single" w:color="auto"/>
          <w:color w:val="auto"/>
        </w:rPr>
        <w:t>Form and Timing of Settlement</w:t>
      </w:r>
      <w:r>
        <w:rPr>
          <w:rFonts w:ascii="Arial" w:cs="Arial" w:eastAsia="Arial" w:hAnsi="Arial"/>
          <w:sz w:val="15"/>
          <w:szCs w:val="15"/>
          <w:color w:val="auto"/>
        </w:rPr>
        <w:t>. To the extent permissible under applicable law, the Committee may permit a Participant to defer payment under a RSU to a date or dates</w:t>
      </w:r>
      <w:r>
        <w:rPr>
          <w:rFonts w:ascii="Arial" w:cs="Arial" w:eastAsia="Arial" w:hAnsi="Arial"/>
          <w:sz w:val="15"/>
          <w:szCs w:val="15"/>
          <w:b w:val="1"/>
          <w:bCs w:val="1"/>
          <w:color w:val="auto"/>
        </w:rPr>
        <w:t xml:space="preserve"> </w:t>
      </w:r>
      <w:r>
        <w:rPr>
          <w:rFonts w:ascii="Arial" w:cs="Arial" w:eastAsia="Arial" w:hAnsi="Arial"/>
          <w:sz w:val="15"/>
          <w:szCs w:val="15"/>
          <w:color w:val="auto"/>
        </w:rPr>
        <w:t xml:space="preserve">after the RSU is earned, </w:t>
      </w:r>
      <w:r>
        <w:rPr>
          <w:rFonts w:ascii="Arial" w:cs="Arial" w:eastAsia="Arial" w:hAnsi="Arial"/>
          <w:sz w:val="15"/>
          <w:szCs w:val="15"/>
          <w:i w:val="1"/>
          <w:iCs w:val="1"/>
          <w:u w:val="single" w:color="auto"/>
          <w:color w:val="auto"/>
        </w:rPr>
        <w:t>provided</w:t>
      </w:r>
      <w:r>
        <w:rPr>
          <w:rFonts w:ascii="Arial" w:cs="Arial" w:eastAsia="Arial" w:hAnsi="Arial"/>
          <w:sz w:val="15"/>
          <w:szCs w:val="15"/>
          <w:color w:val="auto"/>
        </w:rPr>
        <w:t xml:space="preserve"> that the terms of the RSU and any deferral satisfy the requirements of Section 409A of the Code (or any successor) and any regulations or rulings promulgated thereunder. Payment may be made in the form of cash or whole Shares or a combination thereof, all as the Committee determines.</w:t>
      </w:r>
    </w:p>
    <w:p>
      <w:pPr>
        <w:spacing w:after="0" w:line="96" w:lineRule="exact"/>
        <w:rPr>
          <w:sz w:val="20"/>
          <w:szCs w:val="20"/>
          <w:color w:val="auto"/>
        </w:rPr>
      </w:pPr>
    </w:p>
    <w:p>
      <w:pPr>
        <w:jc w:val="center"/>
        <w:ind w:right="-9"/>
        <w:spacing w:after="0"/>
        <w:rPr>
          <w:sz w:val="20"/>
          <w:szCs w:val="20"/>
          <w:color w:val="auto"/>
        </w:rPr>
      </w:pPr>
      <w:r>
        <w:rPr>
          <w:rFonts w:ascii="Arial" w:cs="Arial" w:eastAsia="Arial" w:hAnsi="Arial"/>
          <w:sz w:val="15"/>
          <w:szCs w:val="15"/>
          <w:color w:val="auto"/>
        </w:rPr>
        <w:t>6</w:t>
      </w:r>
    </w:p>
    <w:p>
      <w:pPr>
        <w:sectPr>
          <w:pgSz w:w="11900" w:h="16838" w:orient="portrait"/>
          <w:cols w:equalWidth="0" w:num="1">
            <w:col w:w="11450"/>
          </w:cols>
          <w:pgMar w:left="230" w:top="253" w:right="219" w:bottom="1440" w:gutter="0" w:footer="0" w:header="0"/>
        </w:sectPr>
      </w:pPr>
    </w:p>
    <w:bookmarkStart w:id="434" w:name="page435"/>
    <w:bookmarkEnd w:id="434"/>
    <w:p>
      <w:pPr>
        <w:ind w:left="10" w:right="580" w:firstLine="916"/>
        <w:spacing w:after="0" w:line="280" w:lineRule="auto"/>
        <w:rPr>
          <w:sz w:val="20"/>
          <w:szCs w:val="20"/>
          <w:color w:val="auto"/>
        </w:rPr>
      </w:pPr>
      <w:r>
        <w:rPr>
          <w:rFonts w:ascii="Arial" w:cs="Arial" w:eastAsia="Arial" w:hAnsi="Arial"/>
          <w:sz w:val="15"/>
          <w:szCs w:val="15"/>
          <w:b w:val="1"/>
          <w:bCs w:val="1"/>
          <w:color w:val="auto"/>
        </w:rPr>
        <w:drawing>
          <wp:anchor simplePos="0" relativeHeight="251657728" behindDoc="1" locked="0" layoutInCell="0" allowOverlap="1">
            <wp:simplePos x="0" y="0"/>
            <wp:positionH relativeFrom="page">
              <wp:posOffset>133350</wp:posOffset>
            </wp:positionH>
            <wp:positionV relativeFrom="page">
              <wp:posOffset>88900</wp:posOffset>
            </wp:positionV>
            <wp:extent cx="7308850" cy="34290"/>
            <wp:wrapNone/>
            <wp:docPr id="611" name="Picture 6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1"/>
                    <pic:cNvPicPr>
                      <a:picLocks noChangeAspect="1" noChangeArrowheads="1"/>
                    </pic:cNvPicPr>
                  </pic:nvPicPr>
                  <pic:blipFill>
                    <a:blip r:embed="rId648">
                      <a:extLst>
                        <a:ext uri="{28A0092B-C50C-407E-A947-70E740481C1C}"/>
                      </a:extLst>
                    </a:blip>
                    <a:srcRect/>
                    <a:stretch>
                      <a:fillRect/>
                    </a:stretch>
                  </pic:blipFill>
                  <pic:spPr bwMode="auto">
                    <a:xfrm>
                      <a:off x="0" y="0"/>
                      <a:ext cx="7308850" cy="34290"/>
                    </a:xfrm>
                    <a:prstGeom prst="rect">
                      <a:avLst/>
                    </a:prstGeom>
                    <a:noFill/>
                  </pic:spPr>
                </pic:pic>
              </a:graphicData>
            </a:graphic>
          </wp:anchor>
        </w:drawing>
        <w:t xml:space="preserve">7.3 </w:t>
      </w:r>
      <w:r>
        <w:rPr>
          <w:rFonts w:ascii="Arial" w:cs="Arial" w:eastAsia="Arial" w:hAnsi="Arial"/>
          <w:sz w:val="15"/>
          <w:szCs w:val="15"/>
          <w:b w:val="1"/>
          <w:bCs w:val="1"/>
          <w:u w:val="single" w:color="auto"/>
          <w:color w:val="auto"/>
        </w:rPr>
        <w:t>Restrictions</w:t>
      </w:r>
      <w:r>
        <w:rPr>
          <w:rFonts w:ascii="Arial" w:cs="Arial" w:eastAsia="Arial" w:hAnsi="Arial"/>
          <w:sz w:val="15"/>
          <w:szCs w:val="15"/>
          <w:color w:val="auto"/>
        </w:rPr>
        <w:t>. RSU Awards may be subject to the restrictions set forth in Section 12 hereof or such other restrictions not inconsistent with Section 25102(o) of the</w:t>
      </w:r>
      <w:r>
        <w:rPr>
          <w:rFonts w:ascii="Arial" w:cs="Arial" w:eastAsia="Arial" w:hAnsi="Arial"/>
          <w:sz w:val="15"/>
          <w:szCs w:val="15"/>
          <w:b w:val="1"/>
          <w:bCs w:val="1"/>
          <w:color w:val="auto"/>
        </w:rPr>
        <w:t xml:space="preserve"> </w:t>
      </w:r>
      <w:r>
        <w:rPr>
          <w:rFonts w:ascii="Arial" w:cs="Arial" w:eastAsia="Arial" w:hAnsi="Arial"/>
          <w:sz w:val="15"/>
          <w:szCs w:val="15"/>
          <w:color w:val="auto"/>
        </w:rPr>
        <w:t>California Corporations Code.</w:t>
      </w:r>
    </w:p>
    <w:p>
      <w:pPr>
        <w:spacing w:after="0" w:line="229" w:lineRule="exact"/>
        <w:rPr>
          <w:sz w:val="20"/>
          <w:szCs w:val="20"/>
          <w:color w:val="auto"/>
        </w:rPr>
      </w:pPr>
    </w:p>
    <w:p>
      <w:pPr>
        <w:ind w:left="610" w:hanging="152"/>
        <w:spacing w:after="0"/>
        <w:tabs>
          <w:tab w:leader="none" w:pos="610" w:val="left"/>
        </w:tabs>
        <w:numPr>
          <w:ilvl w:val="0"/>
          <w:numId w:val="388"/>
        </w:numPr>
        <w:rPr>
          <w:rFonts w:ascii="Arial" w:cs="Arial" w:eastAsia="Arial" w:hAnsi="Arial"/>
          <w:sz w:val="15"/>
          <w:szCs w:val="15"/>
          <w:b w:val="1"/>
          <w:bCs w:val="1"/>
          <w:color w:val="auto"/>
        </w:rPr>
      </w:pPr>
      <w:r>
        <w:rPr>
          <w:rFonts w:ascii="Arial" w:cs="Arial" w:eastAsia="Arial" w:hAnsi="Arial"/>
          <w:sz w:val="15"/>
          <w:szCs w:val="15"/>
          <w:b w:val="1"/>
          <w:bCs w:val="1"/>
          <w:u w:val="single" w:color="auto"/>
          <w:color w:val="auto"/>
        </w:rPr>
        <w:t>PAYMENT FOR SHARE PURCHASES</w:t>
      </w:r>
      <w:r>
        <w:rPr>
          <w:rFonts w:ascii="Arial" w:cs="Arial" w:eastAsia="Arial" w:hAnsi="Arial"/>
          <w:sz w:val="15"/>
          <w:szCs w:val="15"/>
          <w:color w:val="auto"/>
        </w:rPr>
        <w:t>.</w:t>
      </w:r>
    </w:p>
    <w:p>
      <w:pPr>
        <w:spacing w:after="0" w:line="98" w:lineRule="exact"/>
        <w:rPr>
          <w:sz w:val="20"/>
          <w:szCs w:val="20"/>
          <w:color w:val="auto"/>
        </w:rPr>
      </w:pPr>
    </w:p>
    <w:p>
      <w:pPr>
        <w:ind w:left="10" w:right="280" w:firstLine="916"/>
        <w:spacing w:after="0" w:line="280" w:lineRule="auto"/>
        <w:rPr>
          <w:sz w:val="20"/>
          <w:szCs w:val="20"/>
          <w:color w:val="auto"/>
        </w:rPr>
      </w:pPr>
      <w:r>
        <w:rPr>
          <w:rFonts w:ascii="Arial" w:cs="Arial" w:eastAsia="Arial" w:hAnsi="Arial"/>
          <w:sz w:val="15"/>
          <w:szCs w:val="15"/>
          <w:b w:val="1"/>
          <w:bCs w:val="1"/>
          <w:color w:val="auto"/>
        </w:rPr>
        <w:t xml:space="preserve">8.1 </w:t>
      </w:r>
      <w:r>
        <w:rPr>
          <w:rFonts w:ascii="Arial" w:cs="Arial" w:eastAsia="Arial" w:hAnsi="Arial"/>
          <w:sz w:val="15"/>
          <w:szCs w:val="15"/>
          <w:b w:val="1"/>
          <w:bCs w:val="1"/>
          <w:u w:val="single" w:color="auto"/>
          <w:color w:val="auto"/>
        </w:rPr>
        <w:t>Payment</w:t>
      </w:r>
      <w:r>
        <w:rPr>
          <w:rFonts w:ascii="Arial" w:cs="Arial" w:eastAsia="Arial" w:hAnsi="Arial"/>
          <w:sz w:val="15"/>
          <w:szCs w:val="15"/>
          <w:color w:val="auto"/>
        </w:rPr>
        <w:t>. Payment for Shares purchased pursuant to this Plan may be made in cash (by check) or, where expressly approved for the Participant by the Committee and</w:t>
      </w:r>
      <w:r>
        <w:rPr>
          <w:rFonts w:ascii="Arial" w:cs="Arial" w:eastAsia="Arial" w:hAnsi="Arial"/>
          <w:sz w:val="15"/>
          <w:szCs w:val="15"/>
          <w:b w:val="1"/>
          <w:bCs w:val="1"/>
          <w:color w:val="auto"/>
        </w:rPr>
        <w:t xml:space="preserve"> </w:t>
      </w:r>
      <w:r>
        <w:rPr>
          <w:rFonts w:ascii="Arial" w:cs="Arial" w:eastAsia="Arial" w:hAnsi="Arial"/>
          <w:sz w:val="15"/>
          <w:szCs w:val="15"/>
          <w:color w:val="auto"/>
        </w:rPr>
        <w:t>where permitted by law:</w:t>
      </w:r>
    </w:p>
    <w:p>
      <w:pPr>
        <w:spacing w:after="0" w:line="143" w:lineRule="exact"/>
        <w:rPr>
          <w:sz w:val="20"/>
          <w:szCs w:val="20"/>
          <w:color w:val="auto"/>
        </w:rPr>
      </w:pPr>
    </w:p>
    <w:p>
      <w:pPr>
        <w:ind w:left="1690" w:hanging="202"/>
        <w:spacing w:after="0"/>
        <w:tabs>
          <w:tab w:leader="none" w:pos="1690" w:val="left"/>
        </w:tabs>
        <w:numPr>
          <w:ilvl w:val="1"/>
          <w:numId w:val="389"/>
        </w:numPr>
        <w:rPr>
          <w:rFonts w:ascii="Arial" w:cs="Arial" w:eastAsia="Arial" w:hAnsi="Arial"/>
          <w:sz w:val="15"/>
          <w:szCs w:val="15"/>
          <w:color w:val="auto"/>
        </w:rPr>
      </w:pPr>
      <w:r>
        <w:rPr>
          <w:rFonts w:ascii="Arial" w:cs="Arial" w:eastAsia="Arial" w:hAnsi="Arial"/>
          <w:sz w:val="15"/>
          <w:szCs w:val="15"/>
          <w:color w:val="auto"/>
        </w:rPr>
        <w:t>by cancellation of indebtedness of the Company owed to the Participant;</w:t>
      </w:r>
    </w:p>
    <w:p>
      <w:pPr>
        <w:spacing w:after="0" w:line="188" w:lineRule="exact"/>
        <w:rPr>
          <w:rFonts w:ascii="Arial" w:cs="Arial" w:eastAsia="Arial" w:hAnsi="Arial"/>
          <w:sz w:val="15"/>
          <w:szCs w:val="15"/>
          <w:color w:val="auto"/>
        </w:rPr>
      </w:pPr>
    </w:p>
    <w:p>
      <w:pPr>
        <w:ind w:left="10" w:firstLine="1478"/>
        <w:spacing w:after="0" w:line="263" w:lineRule="auto"/>
        <w:tabs>
          <w:tab w:leader="none" w:pos="1711" w:val="left"/>
        </w:tabs>
        <w:numPr>
          <w:ilvl w:val="1"/>
          <w:numId w:val="389"/>
        </w:numPr>
        <w:rPr>
          <w:rFonts w:ascii="Arial" w:cs="Arial" w:eastAsia="Arial" w:hAnsi="Arial"/>
          <w:sz w:val="15"/>
          <w:szCs w:val="15"/>
          <w:color w:val="auto"/>
        </w:rPr>
      </w:pPr>
      <w:r>
        <w:rPr>
          <w:rFonts w:ascii="Arial" w:cs="Arial" w:eastAsia="Arial" w:hAnsi="Arial"/>
          <w:sz w:val="15"/>
          <w:szCs w:val="15"/>
          <w:color w:val="auto"/>
        </w:rPr>
        <w:t>by surrender of shares of the Company that: (i) either (A) for which the Company has received “full payment of the purchase price” within the meaning of SEC Rule 144 (and, if such shares were purchased from the Company by use of a promissory note, such note has been fully paid with respect to such shares) or (B) were obtained by Participant in the public market and (ii) are clear of all liens, claims, encumbrances or security interests;</w:t>
      </w:r>
    </w:p>
    <w:p>
      <w:pPr>
        <w:spacing w:after="0" w:line="154" w:lineRule="exact"/>
        <w:rPr>
          <w:rFonts w:ascii="Arial" w:cs="Arial" w:eastAsia="Arial" w:hAnsi="Arial"/>
          <w:sz w:val="15"/>
          <w:szCs w:val="15"/>
          <w:color w:val="auto"/>
        </w:rPr>
      </w:pPr>
    </w:p>
    <w:p>
      <w:pPr>
        <w:ind w:left="1690" w:hanging="202"/>
        <w:spacing w:after="0"/>
        <w:tabs>
          <w:tab w:leader="none" w:pos="1690" w:val="left"/>
        </w:tabs>
        <w:numPr>
          <w:ilvl w:val="1"/>
          <w:numId w:val="389"/>
        </w:numPr>
        <w:rPr>
          <w:rFonts w:ascii="Arial" w:cs="Arial" w:eastAsia="Arial" w:hAnsi="Arial"/>
          <w:sz w:val="14"/>
          <w:szCs w:val="14"/>
          <w:color w:val="auto"/>
        </w:rPr>
      </w:pPr>
      <w:r>
        <w:rPr>
          <w:rFonts w:ascii="Arial" w:cs="Arial" w:eastAsia="Arial" w:hAnsi="Arial"/>
          <w:sz w:val="14"/>
          <w:szCs w:val="14"/>
          <w:color w:val="auto"/>
        </w:rPr>
        <w:t>by tender of a full recourse promissory note having such terms as may be approved by the Committee and bearing interest at a rate sufficient to avoid</w:t>
      </w:r>
    </w:p>
    <w:p>
      <w:pPr>
        <w:spacing w:after="0" w:line="28" w:lineRule="exact"/>
        <w:rPr>
          <w:rFonts w:ascii="Arial" w:cs="Arial" w:eastAsia="Arial" w:hAnsi="Arial"/>
          <w:sz w:val="14"/>
          <w:szCs w:val="14"/>
          <w:color w:val="auto"/>
        </w:rPr>
      </w:pPr>
    </w:p>
    <w:p>
      <w:pPr>
        <w:jc w:val="both"/>
        <w:ind w:left="10" w:right="100" w:hanging="10"/>
        <w:spacing w:after="0" w:line="254" w:lineRule="auto"/>
        <w:tabs>
          <w:tab w:leader="none" w:pos="189" w:val="left"/>
        </w:tabs>
        <w:numPr>
          <w:ilvl w:val="0"/>
          <w:numId w:val="390"/>
        </w:numPr>
        <w:rPr>
          <w:rFonts w:ascii="Arial" w:cs="Arial" w:eastAsia="Arial" w:hAnsi="Arial"/>
          <w:sz w:val="15"/>
          <w:szCs w:val="15"/>
          <w:color w:val="auto"/>
        </w:rPr>
      </w:pPr>
      <w:r>
        <w:rPr>
          <w:rFonts w:ascii="Arial" w:cs="Arial" w:eastAsia="Arial" w:hAnsi="Arial"/>
          <w:sz w:val="15"/>
          <w:szCs w:val="15"/>
          <w:color w:val="auto"/>
        </w:rPr>
        <w:t>imputation of income under Sections 483 and 1274 of the Code and (ii) variable accounting treatment under Financial Accounting Standards Board Interpretation No. 44 to APB No. 25; provided, however, that Participants who are not employees or directors of the Company will not be entitled to purchase Shares with a promissory note unless the note is adequately secured by collateral other than the Shares</w:t>
      </w:r>
      <w:r>
        <w:rPr>
          <w:rFonts w:ascii="Arial" w:cs="Arial" w:eastAsia="Arial" w:hAnsi="Arial"/>
          <w:sz w:val="15"/>
          <w:szCs w:val="15"/>
          <w:b w:val="1"/>
          <w:bCs w:val="1"/>
          <w:color w:val="auto"/>
        </w:rPr>
        <w:t>;</w:t>
      </w:r>
      <w:r>
        <w:rPr>
          <w:rFonts w:ascii="Arial" w:cs="Arial" w:eastAsia="Arial" w:hAnsi="Arial"/>
          <w:sz w:val="15"/>
          <w:szCs w:val="15"/>
          <w:color w:val="auto"/>
        </w:rPr>
        <w:t xml:space="preserve"> provided, further, that the portion of the Exercise Price or Purchase Price, as the case may be, equal to the par value of the Shares must be paid in cash or other legal consideration permitted by Delaware General Corporation Law;</w:t>
      </w:r>
    </w:p>
    <w:p>
      <w:pPr>
        <w:spacing w:after="0" w:line="162" w:lineRule="exact"/>
        <w:rPr>
          <w:rFonts w:ascii="Arial" w:cs="Arial" w:eastAsia="Arial" w:hAnsi="Arial"/>
          <w:sz w:val="15"/>
          <w:szCs w:val="15"/>
          <w:color w:val="auto"/>
        </w:rPr>
      </w:pPr>
    </w:p>
    <w:p>
      <w:pPr>
        <w:ind w:left="1710" w:hanging="222"/>
        <w:spacing w:after="0"/>
        <w:tabs>
          <w:tab w:leader="none" w:pos="1710" w:val="left"/>
        </w:tabs>
        <w:numPr>
          <w:ilvl w:val="1"/>
          <w:numId w:val="390"/>
        </w:numPr>
        <w:rPr>
          <w:rFonts w:ascii="Arial" w:cs="Arial" w:eastAsia="Arial" w:hAnsi="Arial"/>
          <w:sz w:val="15"/>
          <w:szCs w:val="15"/>
          <w:color w:val="auto"/>
        </w:rPr>
      </w:pPr>
      <w:r>
        <w:rPr>
          <w:rFonts w:ascii="Arial" w:cs="Arial" w:eastAsia="Arial" w:hAnsi="Arial"/>
          <w:sz w:val="15"/>
          <w:szCs w:val="15"/>
          <w:color w:val="auto"/>
        </w:rPr>
        <w:t>by waiver of compensation due or accrued to the Participant from the Company for services rendered;</w:t>
      </w:r>
    </w:p>
    <w:p>
      <w:pPr>
        <w:spacing w:after="0" w:line="188" w:lineRule="exact"/>
        <w:rPr>
          <w:rFonts w:ascii="Arial" w:cs="Arial" w:eastAsia="Arial" w:hAnsi="Arial"/>
          <w:sz w:val="15"/>
          <w:szCs w:val="15"/>
          <w:color w:val="auto"/>
        </w:rPr>
      </w:pPr>
    </w:p>
    <w:p>
      <w:pPr>
        <w:ind w:left="1690" w:hanging="202"/>
        <w:spacing w:after="0"/>
        <w:tabs>
          <w:tab w:leader="none" w:pos="1690" w:val="left"/>
        </w:tabs>
        <w:numPr>
          <w:ilvl w:val="1"/>
          <w:numId w:val="390"/>
        </w:numPr>
        <w:rPr>
          <w:rFonts w:ascii="Arial" w:cs="Arial" w:eastAsia="Arial" w:hAnsi="Arial"/>
          <w:sz w:val="15"/>
          <w:szCs w:val="15"/>
          <w:color w:val="auto"/>
        </w:rPr>
      </w:pPr>
      <w:r>
        <w:rPr>
          <w:rFonts w:ascii="Arial" w:cs="Arial" w:eastAsia="Arial" w:hAnsi="Arial"/>
          <w:sz w:val="15"/>
          <w:szCs w:val="15"/>
          <w:color w:val="auto"/>
        </w:rPr>
        <w:t>by participating in a formal cashless exercise program implemented by the Committee in connection with the Plan;</w:t>
      </w:r>
    </w:p>
    <w:p>
      <w:pPr>
        <w:spacing w:after="0" w:line="188" w:lineRule="exact"/>
        <w:rPr>
          <w:rFonts w:ascii="Arial" w:cs="Arial" w:eastAsia="Arial" w:hAnsi="Arial"/>
          <w:sz w:val="15"/>
          <w:szCs w:val="15"/>
          <w:color w:val="auto"/>
        </w:rPr>
      </w:pPr>
    </w:p>
    <w:p>
      <w:pPr>
        <w:ind w:left="1670" w:hanging="182"/>
        <w:spacing w:after="0"/>
        <w:tabs>
          <w:tab w:leader="none" w:pos="1670" w:val="left"/>
        </w:tabs>
        <w:numPr>
          <w:ilvl w:val="1"/>
          <w:numId w:val="390"/>
        </w:numPr>
        <w:rPr>
          <w:rFonts w:ascii="Arial" w:cs="Arial" w:eastAsia="Arial" w:hAnsi="Arial"/>
          <w:sz w:val="15"/>
          <w:szCs w:val="15"/>
          <w:color w:val="auto"/>
        </w:rPr>
      </w:pPr>
      <w:r>
        <w:rPr>
          <w:rFonts w:ascii="Arial" w:cs="Arial" w:eastAsia="Arial" w:hAnsi="Arial"/>
          <w:sz w:val="15"/>
          <w:szCs w:val="15"/>
          <w:color w:val="auto"/>
        </w:rPr>
        <w:t>with respect only to purchases upon exercise of an Option, and provided that a public market for the Company’s securities exists:</w:t>
      </w:r>
    </w:p>
    <w:p>
      <w:pPr>
        <w:spacing w:after="0" w:line="188" w:lineRule="exact"/>
        <w:rPr>
          <w:sz w:val="20"/>
          <w:szCs w:val="20"/>
          <w:color w:val="auto"/>
        </w:rPr>
      </w:pPr>
    </w:p>
    <w:p>
      <w:pPr>
        <w:ind w:left="1950"/>
        <w:spacing w:after="0"/>
        <w:rPr>
          <w:sz w:val="20"/>
          <w:szCs w:val="20"/>
          <w:color w:val="auto"/>
        </w:rPr>
      </w:pPr>
      <w:r>
        <w:rPr>
          <w:rFonts w:ascii="Arial" w:cs="Arial" w:eastAsia="Arial" w:hAnsi="Arial"/>
          <w:sz w:val="14"/>
          <w:szCs w:val="14"/>
          <w:color w:val="auto"/>
        </w:rPr>
        <w:t>(i) through a “same day sale” commitment from the Participant and a broker-dealer that is a member of the National Association of Securities Dealers (an</w:t>
      </w:r>
    </w:p>
    <w:p>
      <w:pPr>
        <w:spacing w:after="0" w:line="29" w:lineRule="exact"/>
        <w:rPr>
          <w:sz w:val="20"/>
          <w:szCs w:val="20"/>
          <w:color w:val="auto"/>
        </w:rPr>
      </w:pPr>
    </w:p>
    <w:p>
      <w:pPr>
        <w:ind w:left="1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i w:val="1"/>
          <w:iCs w:val="1"/>
          <w:color w:val="auto"/>
        </w:rPr>
        <w:t>NASD Dealer</w:t>
      </w:r>
      <w:r>
        <w:rPr>
          <w:rFonts w:ascii="Arial" w:cs="Arial" w:eastAsia="Arial" w:hAnsi="Arial"/>
          <w:sz w:val="13"/>
          <w:szCs w:val="13"/>
          <w:color w:val="auto"/>
        </w:rPr>
        <w:t>”) whereby the Participant irrevocably elects to exercise the Option and to sell a portion of the Shares so purchased sufficient to pay the total Exercise Price, and whereby the</w:t>
      </w:r>
    </w:p>
    <w:p>
      <w:pPr>
        <w:spacing w:after="0" w:line="31" w:lineRule="exact"/>
        <w:rPr>
          <w:sz w:val="20"/>
          <w:szCs w:val="20"/>
          <w:color w:val="auto"/>
        </w:rPr>
      </w:pPr>
    </w:p>
    <w:p>
      <w:pPr>
        <w:ind w:left="10"/>
        <w:spacing w:after="0"/>
        <w:rPr>
          <w:sz w:val="20"/>
          <w:szCs w:val="20"/>
          <w:color w:val="auto"/>
        </w:rPr>
      </w:pPr>
      <w:r>
        <w:rPr>
          <w:rFonts w:ascii="Arial" w:cs="Arial" w:eastAsia="Arial" w:hAnsi="Arial"/>
          <w:sz w:val="15"/>
          <w:szCs w:val="15"/>
          <w:color w:val="auto"/>
        </w:rPr>
        <w:t>NASD Dealer irrevocably commits upon receipt of such Shares to forward the total Exercise Price directly to the Company; or</w:t>
      </w:r>
    </w:p>
    <w:p>
      <w:pPr>
        <w:spacing w:after="0" w:line="123" w:lineRule="exact"/>
        <w:rPr>
          <w:sz w:val="20"/>
          <w:szCs w:val="20"/>
          <w:color w:val="auto"/>
        </w:rPr>
      </w:pPr>
    </w:p>
    <w:p>
      <w:pPr>
        <w:jc w:val="center"/>
        <w:ind w:right="-9"/>
        <w:spacing w:after="0"/>
        <w:rPr>
          <w:sz w:val="20"/>
          <w:szCs w:val="20"/>
          <w:color w:val="auto"/>
        </w:rPr>
      </w:pPr>
      <w:r>
        <w:rPr>
          <w:rFonts w:ascii="Arial" w:cs="Arial" w:eastAsia="Arial" w:hAnsi="Arial"/>
          <w:sz w:val="15"/>
          <w:szCs w:val="15"/>
          <w:color w:val="auto"/>
        </w:rPr>
        <w:t>7</w:t>
      </w:r>
    </w:p>
    <w:p>
      <w:pPr>
        <w:sectPr>
          <w:pgSz w:w="11900" w:h="16838" w:orient="portrait"/>
          <w:cols w:equalWidth="0" w:num="1">
            <w:col w:w="11430"/>
          </w:cols>
          <w:pgMar w:left="230" w:top="249" w:right="239" w:bottom="1440" w:gutter="0" w:footer="0" w:header="0"/>
        </w:sectPr>
      </w:pPr>
    </w:p>
    <w:bookmarkStart w:id="435" w:name="page436"/>
    <w:bookmarkEnd w:id="435"/>
    <w:p>
      <w:pPr>
        <w:jc w:val="both"/>
        <w:ind w:right="240" w:firstLine="1936"/>
        <w:spacing w:after="0" w:line="263" w:lineRule="auto"/>
        <w:tabs>
          <w:tab w:leader="none" w:pos="2167" w:val="left"/>
        </w:tabs>
        <w:numPr>
          <w:ilvl w:val="1"/>
          <w:numId w:val="391"/>
        </w:numPr>
        <w:rPr>
          <w:rFonts w:ascii="Arial" w:cs="Arial" w:eastAsia="Arial" w:hAnsi="Arial"/>
          <w:sz w:val="15"/>
          <w:szCs w:val="15"/>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133350</wp:posOffset>
            </wp:positionH>
            <wp:positionV relativeFrom="page">
              <wp:posOffset>88900</wp:posOffset>
            </wp:positionV>
            <wp:extent cx="7308850" cy="34290"/>
            <wp:wrapNone/>
            <wp:docPr id="612" name="Picture 6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2"/>
                    <pic:cNvPicPr>
                      <a:picLocks noChangeAspect="1" noChangeArrowheads="1"/>
                    </pic:cNvPicPr>
                  </pic:nvPicPr>
                  <pic:blipFill>
                    <a:blip r:embed="rId649">
                      <a:extLst>
                        <a:ext uri="{28A0092B-C50C-407E-A947-70E740481C1C}"/>
                      </a:extLst>
                    </a:blip>
                    <a:srcRect/>
                    <a:stretch>
                      <a:fillRect/>
                    </a:stretch>
                  </pic:blipFill>
                  <pic:spPr bwMode="auto">
                    <a:xfrm>
                      <a:off x="0" y="0"/>
                      <a:ext cx="7308850" cy="34290"/>
                    </a:xfrm>
                    <a:prstGeom prst="rect">
                      <a:avLst/>
                    </a:prstGeom>
                    <a:noFill/>
                  </pic:spPr>
                </pic:pic>
              </a:graphicData>
            </a:graphic>
          </wp:anchor>
        </w:drawing>
        <w:t>through a “margin” commitment from the Participant and an NASD Dealer whereby the Participant irrevocably elects to exercise the Option and to pledge the Shares so purchased to the NASD Dealer in a margin account as security for a loan from the NASD Dealer in the amount of the total Exercise Price, and whereby the NASD Dealer irrevocably commits upon receipt of such Shares to forward the total Exercise Price directly to the Company; or</w:t>
      </w:r>
    </w:p>
    <w:p>
      <w:pPr>
        <w:spacing w:after="0" w:line="154" w:lineRule="exact"/>
        <w:rPr>
          <w:rFonts w:ascii="Arial" w:cs="Arial" w:eastAsia="Arial" w:hAnsi="Arial"/>
          <w:sz w:val="15"/>
          <w:szCs w:val="15"/>
          <w:color w:val="auto"/>
        </w:rPr>
      </w:pPr>
    </w:p>
    <w:p>
      <w:pPr>
        <w:ind w:left="1700" w:hanging="222"/>
        <w:spacing w:after="0"/>
        <w:tabs>
          <w:tab w:leader="none" w:pos="1700" w:val="left"/>
        </w:tabs>
        <w:numPr>
          <w:ilvl w:val="0"/>
          <w:numId w:val="392"/>
        </w:numPr>
        <w:rPr>
          <w:rFonts w:ascii="Arial" w:cs="Arial" w:eastAsia="Arial" w:hAnsi="Arial"/>
          <w:sz w:val="15"/>
          <w:szCs w:val="15"/>
          <w:color w:val="auto"/>
        </w:rPr>
      </w:pPr>
      <w:r>
        <w:rPr>
          <w:rFonts w:ascii="Arial" w:cs="Arial" w:eastAsia="Arial" w:hAnsi="Arial"/>
          <w:sz w:val="15"/>
          <w:szCs w:val="15"/>
          <w:color w:val="auto"/>
        </w:rPr>
        <w:t>by any combination of the foregoing or any other method of payment approved by the Committee.</w:t>
      </w:r>
    </w:p>
    <w:p>
      <w:pPr>
        <w:spacing w:after="0" w:line="184" w:lineRule="exact"/>
        <w:rPr>
          <w:sz w:val="20"/>
          <w:szCs w:val="20"/>
          <w:color w:val="auto"/>
        </w:rPr>
      </w:pPr>
    </w:p>
    <w:p>
      <w:pPr>
        <w:ind w:firstLine="916"/>
        <w:spacing w:after="0" w:line="280" w:lineRule="auto"/>
        <w:rPr>
          <w:sz w:val="20"/>
          <w:szCs w:val="20"/>
          <w:color w:val="auto"/>
        </w:rPr>
      </w:pPr>
      <w:r>
        <w:rPr>
          <w:rFonts w:ascii="Arial" w:cs="Arial" w:eastAsia="Arial" w:hAnsi="Arial"/>
          <w:sz w:val="15"/>
          <w:szCs w:val="15"/>
          <w:b w:val="1"/>
          <w:bCs w:val="1"/>
          <w:color w:val="auto"/>
        </w:rPr>
        <w:t xml:space="preserve">8.2 </w:t>
      </w:r>
      <w:r>
        <w:rPr>
          <w:rFonts w:ascii="Arial" w:cs="Arial" w:eastAsia="Arial" w:hAnsi="Arial"/>
          <w:sz w:val="15"/>
          <w:szCs w:val="15"/>
          <w:b w:val="1"/>
          <w:bCs w:val="1"/>
          <w:u w:val="single" w:color="auto"/>
          <w:color w:val="auto"/>
        </w:rPr>
        <w:t>Loan Guarantees</w:t>
      </w:r>
      <w:r>
        <w:rPr>
          <w:rFonts w:ascii="Arial" w:cs="Arial" w:eastAsia="Arial" w:hAnsi="Arial"/>
          <w:sz w:val="15"/>
          <w:szCs w:val="15"/>
          <w:color w:val="auto"/>
        </w:rPr>
        <w:t>. The Committee may, in its sole discretion, elect to assist the Participant in paying for Shares purchased under this Plan by authorizing a guarantee by</w:t>
      </w:r>
      <w:r>
        <w:rPr>
          <w:rFonts w:ascii="Arial" w:cs="Arial" w:eastAsia="Arial" w:hAnsi="Arial"/>
          <w:sz w:val="15"/>
          <w:szCs w:val="15"/>
          <w:b w:val="1"/>
          <w:bCs w:val="1"/>
          <w:color w:val="auto"/>
        </w:rPr>
        <w:t xml:space="preserve"> </w:t>
      </w:r>
      <w:r>
        <w:rPr>
          <w:rFonts w:ascii="Arial" w:cs="Arial" w:eastAsia="Arial" w:hAnsi="Arial"/>
          <w:sz w:val="15"/>
          <w:szCs w:val="15"/>
          <w:color w:val="auto"/>
        </w:rPr>
        <w:t>the Company of a third-party loan to the Participant.</w:t>
      </w:r>
    </w:p>
    <w:p>
      <w:pPr>
        <w:spacing w:after="0" w:line="229" w:lineRule="exact"/>
        <w:rPr>
          <w:sz w:val="20"/>
          <w:szCs w:val="20"/>
          <w:color w:val="auto"/>
        </w:rPr>
      </w:pPr>
    </w:p>
    <w:p>
      <w:pPr>
        <w:ind w:left="600" w:hanging="152"/>
        <w:spacing w:after="0"/>
        <w:tabs>
          <w:tab w:leader="none" w:pos="600" w:val="left"/>
        </w:tabs>
        <w:numPr>
          <w:ilvl w:val="0"/>
          <w:numId w:val="393"/>
        </w:numPr>
        <w:rPr>
          <w:rFonts w:ascii="Arial" w:cs="Arial" w:eastAsia="Arial" w:hAnsi="Arial"/>
          <w:sz w:val="15"/>
          <w:szCs w:val="15"/>
          <w:b w:val="1"/>
          <w:bCs w:val="1"/>
          <w:color w:val="auto"/>
        </w:rPr>
      </w:pPr>
      <w:r>
        <w:rPr>
          <w:rFonts w:ascii="Arial" w:cs="Arial" w:eastAsia="Arial" w:hAnsi="Arial"/>
          <w:sz w:val="15"/>
          <w:szCs w:val="15"/>
          <w:b w:val="1"/>
          <w:bCs w:val="1"/>
          <w:u w:val="single" w:color="auto"/>
          <w:color w:val="auto"/>
        </w:rPr>
        <w:t>WITHHOLDING TAXES</w:t>
      </w:r>
      <w:r>
        <w:rPr>
          <w:rFonts w:ascii="Arial" w:cs="Arial" w:eastAsia="Arial" w:hAnsi="Arial"/>
          <w:sz w:val="15"/>
          <w:szCs w:val="15"/>
          <w:color w:val="auto"/>
        </w:rPr>
        <w:t>.</w:t>
      </w:r>
    </w:p>
    <w:p>
      <w:pPr>
        <w:spacing w:after="0" w:line="98" w:lineRule="exact"/>
        <w:rPr>
          <w:sz w:val="20"/>
          <w:szCs w:val="20"/>
          <w:color w:val="auto"/>
        </w:rPr>
      </w:pPr>
    </w:p>
    <w:p>
      <w:pPr>
        <w:ind w:right="20" w:firstLine="916"/>
        <w:spacing w:after="0" w:line="261" w:lineRule="auto"/>
        <w:rPr>
          <w:sz w:val="20"/>
          <w:szCs w:val="20"/>
          <w:color w:val="auto"/>
        </w:rPr>
      </w:pPr>
      <w:r>
        <w:rPr>
          <w:rFonts w:ascii="Arial" w:cs="Arial" w:eastAsia="Arial" w:hAnsi="Arial"/>
          <w:sz w:val="15"/>
          <w:szCs w:val="15"/>
          <w:b w:val="1"/>
          <w:bCs w:val="1"/>
          <w:color w:val="auto"/>
        </w:rPr>
        <w:t xml:space="preserve">9.1 </w:t>
      </w:r>
      <w:r>
        <w:rPr>
          <w:rFonts w:ascii="Arial" w:cs="Arial" w:eastAsia="Arial" w:hAnsi="Arial"/>
          <w:sz w:val="15"/>
          <w:szCs w:val="15"/>
          <w:b w:val="1"/>
          <w:bCs w:val="1"/>
          <w:u w:val="single" w:color="auto"/>
          <w:color w:val="auto"/>
        </w:rPr>
        <w:t>Withholding Generally</w:t>
      </w:r>
      <w:r>
        <w:rPr>
          <w:rFonts w:ascii="Arial" w:cs="Arial" w:eastAsia="Arial" w:hAnsi="Arial"/>
          <w:sz w:val="15"/>
          <w:szCs w:val="15"/>
          <w:color w:val="auto"/>
        </w:rPr>
        <w:t>. Whenever Shares are to be issued in satisfaction of Awards granted under this Plan, the Company may require the Participant to remit to the</w:t>
      </w:r>
      <w:r>
        <w:rPr>
          <w:rFonts w:ascii="Arial" w:cs="Arial" w:eastAsia="Arial" w:hAnsi="Arial"/>
          <w:sz w:val="15"/>
          <w:szCs w:val="15"/>
          <w:b w:val="1"/>
          <w:bCs w:val="1"/>
          <w:color w:val="auto"/>
        </w:rPr>
        <w:t xml:space="preserve"> </w:t>
      </w:r>
      <w:r>
        <w:rPr>
          <w:rFonts w:ascii="Arial" w:cs="Arial" w:eastAsia="Arial" w:hAnsi="Arial"/>
          <w:sz w:val="15"/>
          <w:szCs w:val="15"/>
          <w:color w:val="auto"/>
        </w:rPr>
        <w:t>Company an amount sufficient to satisfy federal, state and local withholding tax requirements prior to the delivery of any book-entry records evidencing such Shares. Whenever, under this Plan, payments in satisfaction of Awards are to be made in cash by the Company, such payment will be net of an amount sufficient to satisfy federal, state, and local withholding tax requirements.</w:t>
      </w:r>
    </w:p>
    <w:p>
      <w:pPr>
        <w:spacing w:after="0" w:line="152" w:lineRule="exact"/>
        <w:rPr>
          <w:sz w:val="20"/>
          <w:szCs w:val="20"/>
          <w:color w:val="auto"/>
        </w:rPr>
      </w:pPr>
    </w:p>
    <w:p>
      <w:pPr>
        <w:ind w:right="20" w:firstLine="916"/>
        <w:spacing w:after="0" w:line="278" w:lineRule="auto"/>
        <w:rPr>
          <w:sz w:val="20"/>
          <w:szCs w:val="20"/>
          <w:color w:val="auto"/>
        </w:rPr>
      </w:pPr>
      <w:r>
        <w:rPr>
          <w:rFonts w:ascii="Arial" w:cs="Arial" w:eastAsia="Arial" w:hAnsi="Arial"/>
          <w:sz w:val="14"/>
          <w:szCs w:val="14"/>
          <w:b w:val="1"/>
          <w:bCs w:val="1"/>
          <w:color w:val="auto"/>
        </w:rPr>
        <w:t xml:space="preserve">9.2 </w:t>
      </w:r>
      <w:r>
        <w:rPr>
          <w:rFonts w:ascii="Arial" w:cs="Arial" w:eastAsia="Arial" w:hAnsi="Arial"/>
          <w:sz w:val="14"/>
          <w:szCs w:val="14"/>
          <w:b w:val="1"/>
          <w:bCs w:val="1"/>
          <w:u w:val="single" w:color="auto"/>
          <w:color w:val="auto"/>
        </w:rPr>
        <w:t>Stock Withholding</w:t>
      </w:r>
      <w:r>
        <w:rPr>
          <w:rFonts w:ascii="Arial" w:cs="Arial" w:eastAsia="Arial" w:hAnsi="Arial"/>
          <w:sz w:val="14"/>
          <w:szCs w:val="14"/>
          <w:color w:val="auto"/>
        </w:rPr>
        <w:t>. When, under applicable tax laws, a Participant incurs tax liability in connection with the exercise or vesting of any Award that is subject to tax</w:t>
      </w:r>
      <w:r>
        <w:rPr>
          <w:rFonts w:ascii="Arial" w:cs="Arial" w:eastAsia="Arial" w:hAnsi="Arial"/>
          <w:sz w:val="14"/>
          <w:szCs w:val="14"/>
          <w:b w:val="1"/>
          <w:bCs w:val="1"/>
          <w:color w:val="auto"/>
        </w:rPr>
        <w:t xml:space="preserve"> </w:t>
      </w:r>
      <w:r>
        <w:rPr>
          <w:rFonts w:ascii="Arial" w:cs="Arial" w:eastAsia="Arial" w:hAnsi="Arial"/>
          <w:sz w:val="14"/>
          <w:szCs w:val="14"/>
          <w:color w:val="auto"/>
        </w:rPr>
        <w:t>withholding and the Participant is obligated to pay the Company the amount required to be withheld, the Committee may in its sole discretion allow the Participant to satisfy the applicable withholding tax obligation by electing to have the Company withhold from the Shares to be issued that number of Shares having a Fair Market Value equal to the amount required to be withheld, determined on the date that the amount of tax to be withheld is to be determined; but in no event will the Company withhold Shares if such withholding would result in adverse accounting consequences to the Company. All elections by a Participant to have Shares withheld for this purpose will be made in accordance with the requirements established by the Committee for such elections and be in writing in a form acceptable to the Committee.</w:t>
      </w:r>
    </w:p>
    <w:p>
      <w:pPr>
        <w:spacing w:after="0" w:line="144" w:lineRule="exact"/>
        <w:rPr>
          <w:sz w:val="20"/>
          <w:szCs w:val="20"/>
          <w:color w:val="auto"/>
        </w:rPr>
      </w:pPr>
    </w:p>
    <w:p>
      <w:pPr>
        <w:ind w:firstLine="448"/>
        <w:spacing w:after="0" w:line="257" w:lineRule="auto"/>
        <w:tabs>
          <w:tab w:leader="none" w:pos="683" w:val="left"/>
        </w:tabs>
        <w:numPr>
          <w:ilvl w:val="0"/>
          <w:numId w:val="394"/>
        </w:numPr>
        <w:rPr>
          <w:rFonts w:ascii="Arial" w:cs="Arial" w:eastAsia="Arial" w:hAnsi="Arial"/>
          <w:sz w:val="15"/>
          <w:szCs w:val="15"/>
          <w:b w:val="1"/>
          <w:bCs w:val="1"/>
          <w:color w:val="auto"/>
        </w:rPr>
      </w:pPr>
      <w:r>
        <w:rPr>
          <w:rFonts w:ascii="Arial" w:cs="Arial" w:eastAsia="Arial" w:hAnsi="Arial"/>
          <w:sz w:val="15"/>
          <w:szCs w:val="15"/>
          <w:b w:val="1"/>
          <w:bCs w:val="1"/>
          <w:u w:val="single" w:color="auto"/>
          <w:color w:val="auto"/>
        </w:rPr>
        <w:t>PRIVILEGES OF STOCK OWNERSHIP</w:t>
      </w:r>
      <w:r>
        <w:rPr>
          <w:rFonts w:ascii="Arial" w:cs="Arial" w:eastAsia="Arial" w:hAnsi="Arial"/>
          <w:sz w:val="15"/>
          <w:szCs w:val="15"/>
          <w:color w:val="auto"/>
        </w:rPr>
        <w:t>. No Participant will have any of the rights of a stockholder with respect to any Shares until the Shares are issued to the Participant.</w:t>
      </w:r>
      <w:r>
        <w:rPr>
          <w:rFonts w:ascii="Arial" w:cs="Arial" w:eastAsia="Arial" w:hAnsi="Arial"/>
          <w:sz w:val="15"/>
          <w:szCs w:val="15"/>
          <w:b w:val="1"/>
          <w:bCs w:val="1"/>
          <w:color w:val="auto"/>
        </w:rPr>
        <w:t xml:space="preserve"> </w:t>
      </w:r>
      <w:r>
        <w:rPr>
          <w:rFonts w:ascii="Arial" w:cs="Arial" w:eastAsia="Arial" w:hAnsi="Arial"/>
          <w:sz w:val="15"/>
          <w:szCs w:val="15"/>
          <w:color w:val="auto"/>
        </w:rPr>
        <w:t>After Shares are issued to the Participant, the Participant will be a stockholder and have all the rights of a stockholder with respect to such Shares, including the right to vote and receive all dividends or other distributions made or paid with respect to such Shares; provided, that if such Shares are Restricted Stock, then any new, additional or different securities the Participant may become entitled to receive with respect to such Shares by virtue of a stock dividend, stock split or any other change in the corporate or capital structure of the Company will be subject to the same restrictions as the Restricted Stock. The Participant will have no right to retain such stock dividends or stock distributions with respect to Unvested Shares that are repurchased pursuant to Section 12 hereof.</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5"/>
          <w:szCs w:val="15"/>
          <w:color w:val="auto"/>
        </w:rPr>
        <w:t>8</w:t>
      </w:r>
    </w:p>
    <w:p>
      <w:pPr>
        <w:sectPr>
          <w:pgSz w:w="11900" w:h="16838" w:orient="portrait"/>
          <w:cols w:equalWidth="0" w:num="1">
            <w:col w:w="11280"/>
          </w:cols>
          <w:pgMar w:left="240" w:top="253" w:right="379" w:bottom="1440" w:gutter="0" w:footer="0" w:header="0"/>
        </w:sectPr>
      </w:pPr>
    </w:p>
    <w:bookmarkStart w:id="436" w:name="page437"/>
    <w:bookmarkEnd w:id="436"/>
    <w:p>
      <w:pPr>
        <w:ind w:right="120" w:firstLine="448"/>
        <w:spacing w:after="0" w:line="258" w:lineRule="auto"/>
        <w:tabs>
          <w:tab w:leader="none" w:pos="675" w:val="left"/>
        </w:tabs>
        <w:numPr>
          <w:ilvl w:val="0"/>
          <w:numId w:val="395"/>
        </w:numPr>
        <w:rPr>
          <w:rFonts w:ascii="Arial" w:cs="Arial" w:eastAsia="Arial" w:hAnsi="Arial"/>
          <w:sz w:val="15"/>
          <w:szCs w:val="15"/>
          <w:b w:val="1"/>
          <w:bCs w:val="1"/>
          <w:color w:val="auto"/>
        </w:rPr>
      </w:pPr>
      <w:r>
        <w:rPr>
          <w:rFonts w:ascii="Arial" w:cs="Arial" w:eastAsia="Arial" w:hAnsi="Arial"/>
          <w:sz w:val="15"/>
          <w:szCs w:val="15"/>
          <w:b w:val="1"/>
          <w:bCs w:val="1"/>
          <w:u w:val="single" w:color="auto"/>
          <w:color w:val="auto"/>
        </w:rPr>
        <w:drawing>
          <wp:anchor simplePos="0" relativeHeight="251657728" behindDoc="1" locked="0" layoutInCell="0" allowOverlap="1">
            <wp:simplePos x="0" y="0"/>
            <wp:positionH relativeFrom="page">
              <wp:posOffset>133350</wp:posOffset>
            </wp:positionH>
            <wp:positionV relativeFrom="page">
              <wp:posOffset>88900</wp:posOffset>
            </wp:positionV>
            <wp:extent cx="7308850" cy="34290"/>
            <wp:wrapNone/>
            <wp:docPr id="613" name="Picture 6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3"/>
                    <pic:cNvPicPr>
                      <a:picLocks noChangeAspect="1" noChangeArrowheads="1"/>
                    </pic:cNvPicPr>
                  </pic:nvPicPr>
                  <pic:blipFill>
                    <a:blip r:embed="rId650">
                      <a:extLst>
                        <a:ext uri="{28A0092B-C50C-407E-A947-70E740481C1C}"/>
                      </a:extLst>
                    </a:blip>
                    <a:srcRect/>
                    <a:stretch>
                      <a:fillRect/>
                    </a:stretch>
                  </pic:blipFill>
                  <pic:spPr bwMode="auto">
                    <a:xfrm>
                      <a:off x="0" y="0"/>
                      <a:ext cx="7308850" cy="34290"/>
                    </a:xfrm>
                    <a:prstGeom prst="rect">
                      <a:avLst/>
                    </a:prstGeom>
                    <a:noFill/>
                  </pic:spPr>
                </pic:pic>
              </a:graphicData>
            </a:graphic>
          </wp:anchor>
        </w:drawing>
        <w:t>TRANSFERABILITY</w:t>
      </w:r>
      <w:r>
        <w:rPr>
          <w:rFonts w:ascii="Arial" w:cs="Arial" w:eastAsia="Arial" w:hAnsi="Arial"/>
          <w:sz w:val="15"/>
          <w:szCs w:val="15"/>
          <w:b w:val="1"/>
          <w:bCs w:val="1"/>
          <w:color w:val="auto"/>
        </w:rPr>
        <w:t xml:space="preserve">. </w:t>
      </w:r>
      <w:r>
        <w:rPr>
          <w:rFonts w:ascii="Arial" w:cs="Arial" w:eastAsia="Arial" w:hAnsi="Arial"/>
          <w:sz w:val="15"/>
          <w:szCs w:val="15"/>
          <w:color w:val="auto"/>
        </w:rPr>
        <w:t>Except as permitted by the Committee, Awards granted under this Plan, and any interest therein, will not be transferable or assignable by Participant,</w:t>
      </w:r>
      <w:r>
        <w:rPr>
          <w:rFonts w:ascii="Arial" w:cs="Arial" w:eastAsia="Arial" w:hAnsi="Arial"/>
          <w:sz w:val="15"/>
          <w:szCs w:val="15"/>
          <w:b w:val="1"/>
          <w:bCs w:val="1"/>
          <w:color w:val="auto"/>
        </w:rPr>
        <w:t xml:space="preserve"> </w:t>
      </w:r>
      <w:r>
        <w:rPr>
          <w:rFonts w:ascii="Arial" w:cs="Arial" w:eastAsia="Arial" w:hAnsi="Arial"/>
          <w:sz w:val="15"/>
          <w:szCs w:val="15"/>
          <w:color w:val="auto"/>
        </w:rPr>
        <w:t>other than by will or by the laws of descent and distribution, and, with respect to NQSOs, by instrument to an inter vivos or testamentary trust in which the options are to be passed to beneficiaries upon the death of the trustor (settlor), or by gift to “immediate family” as that term is defined in 17 C.F.R. 240.16a-1(e), and may not be made subject to execution, attachment or similar process. During the lifetime of the Participant an Award will be exercisable only by the Participant or Participant’s legal representative and any elections with respect to an Award may be made only by the Participant or Participant’s legal representative.</w:t>
      </w:r>
    </w:p>
    <w:p>
      <w:pPr>
        <w:spacing w:after="0" w:line="245" w:lineRule="exact"/>
        <w:rPr>
          <w:rFonts w:ascii="Arial" w:cs="Arial" w:eastAsia="Arial" w:hAnsi="Arial"/>
          <w:sz w:val="15"/>
          <w:szCs w:val="15"/>
          <w:b w:val="1"/>
          <w:bCs w:val="1"/>
          <w:color w:val="auto"/>
        </w:rPr>
      </w:pPr>
    </w:p>
    <w:p>
      <w:pPr>
        <w:ind w:left="680" w:hanging="232"/>
        <w:spacing w:after="0"/>
        <w:tabs>
          <w:tab w:leader="none" w:pos="680" w:val="left"/>
        </w:tabs>
        <w:numPr>
          <w:ilvl w:val="0"/>
          <w:numId w:val="395"/>
        </w:numPr>
        <w:rPr>
          <w:rFonts w:ascii="Arial" w:cs="Arial" w:eastAsia="Arial" w:hAnsi="Arial"/>
          <w:sz w:val="15"/>
          <w:szCs w:val="15"/>
          <w:b w:val="1"/>
          <w:bCs w:val="1"/>
          <w:color w:val="auto"/>
        </w:rPr>
      </w:pPr>
      <w:r>
        <w:rPr>
          <w:rFonts w:ascii="Arial" w:cs="Arial" w:eastAsia="Arial" w:hAnsi="Arial"/>
          <w:sz w:val="15"/>
          <w:szCs w:val="15"/>
          <w:b w:val="1"/>
          <w:bCs w:val="1"/>
          <w:u w:val="single" w:color="auto"/>
          <w:color w:val="auto"/>
        </w:rPr>
        <w:t>RESTRICTIONS ON SHARES</w:t>
      </w:r>
      <w:r>
        <w:rPr>
          <w:rFonts w:ascii="Arial" w:cs="Arial" w:eastAsia="Arial" w:hAnsi="Arial"/>
          <w:sz w:val="15"/>
          <w:szCs w:val="15"/>
          <w:color w:val="auto"/>
        </w:rPr>
        <w:t>.</w:t>
      </w:r>
    </w:p>
    <w:p>
      <w:pPr>
        <w:spacing w:after="0" w:line="98" w:lineRule="exact"/>
        <w:rPr>
          <w:sz w:val="20"/>
          <w:szCs w:val="20"/>
          <w:color w:val="auto"/>
        </w:rPr>
      </w:pPr>
    </w:p>
    <w:p>
      <w:pPr>
        <w:ind w:firstLine="916"/>
        <w:spacing w:after="0" w:line="266" w:lineRule="auto"/>
        <w:rPr>
          <w:sz w:val="20"/>
          <w:szCs w:val="20"/>
          <w:color w:val="auto"/>
        </w:rPr>
      </w:pPr>
      <w:r>
        <w:rPr>
          <w:rFonts w:ascii="Arial" w:cs="Arial" w:eastAsia="Arial" w:hAnsi="Arial"/>
          <w:sz w:val="15"/>
          <w:szCs w:val="15"/>
          <w:b w:val="1"/>
          <w:bCs w:val="1"/>
          <w:color w:val="auto"/>
        </w:rPr>
        <w:t xml:space="preserve">12.1 </w:t>
      </w:r>
      <w:r>
        <w:rPr>
          <w:rFonts w:ascii="Arial" w:cs="Arial" w:eastAsia="Arial" w:hAnsi="Arial"/>
          <w:sz w:val="15"/>
          <w:szCs w:val="15"/>
          <w:b w:val="1"/>
          <w:bCs w:val="1"/>
          <w:u w:val="single" w:color="auto"/>
          <w:color w:val="auto"/>
        </w:rPr>
        <w:t>Right of First Refusal</w:t>
      </w:r>
      <w:r>
        <w:rPr>
          <w:rFonts w:ascii="Arial" w:cs="Arial" w:eastAsia="Arial" w:hAnsi="Arial"/>
          <w:sz w:val="15"/>
          <w:szCs w:val="15"/>
          <w:color w:val="auto"/>
        </w:rPr>
        <w:t>. At the discretion of the Committee, the Company may reserve to itself and/or its assignee(s) in the Award Agreement a right of first refusal to</w:t>
      </w:r>
      <w:r>
        <w:rPr>
          <w:rFonts w:ascii="Arial" w:cs="Arial" w:eastAsia="Arial" w:hAnsi="Arial"/>
          <w:sz w:val="15"/>
          <w:szCs w:val="15"/>
          <w:b w:val="1"/>
          <w:bCs w:val="1"/>
          <w:color w:val="auto"/>
        </w:rPr>
        <w:t xml:space="preserve"> </w:t>
      </w:r>
      <w:r>
        <w:rPr>
          <w:rFonts w:ascii="Arial" w:cs="Arial" w:eastAsia="Arial" w:hAnsi="Arial"/>
          <w:sz w:val="15"/>
          <w:szCs w:val="15"/>
          <w:color w:val="auto"/>
        </w:rPr>
        <w:t>purchase all Shares that a Participant (or a subsequent transferee) may propose to transfer to a third party, provided that such right of first refusal terminates upon the Company’s initial public offering of the Company’s securities pursuant to an effective registration statement filed under the Securities Act.</w:t>
      </w:r>
    </w:p>
    <w:p>
      <w:pPr>
        <w:spacing w:after="0" w:line="148" w:lineRule="exact"/>
        <w:rPr>
          <w:sz w:val="20"/>
          <w:szCs w:val="20"/>
          <w:color w:val="auto"/>
        </w:rPr>
      </w:pPr>
    </w:p>
    <w:p>
      <w:pPr>
        <w:ind w:right="120" w:firstLine="916"/>
        <w:spacing w:after="0" w:line="266" w:lineRule="auto"/>
        <w:rPr>
          <w:sz w:val="20"/>
          <w:szCs w:val="20"/>
          <w:color w:val="auto"/>
        </w:rPr>
      </w:pPr>
      <w:r>
        <w:rPr>
          <w:rFonts w:ascii="Arial" w:cs="Arial" w:eastAsia="Arial" w:hAnsi="Arial"/>
          <w:sz w:val="15"/>
          <w:szCs w:val="15"/>
          <w:b w:val="1"/>
          <w:bCs w:val="1"/>
          <w:color w:val="auto"/>
        </w:rPr>
        <w:t xml:space="preserve">12.2 </w:t>
      </w:r>
      <w:r>
        <w:rPr>
          <w:rFonts w:ascii="Arial" w:cs="Arial" w:eastAsia="Arial" w:hAnsi="Arial"/>
          <w:sz w:val="15"/>
          <w:szCs w:val="15"/>
          <w:b w:val="1"/>
          <w:bCs w:val="1"/>
          <w:u w:val="single" w:color="auto"/>
          <w:color w:val="auto"/>
        </w:rPr>
        <w:t>Right of Repurchase</w:t>
      </w:r>
      <w:r>
        <w:rPr>
          <w:rFonts w:ascii="Arial" w:cs="Arial" w:eastAsia="Arial" w:hAnsi="Arial"/>
          <w:sz w:val="15"/>
          <w:szCs w:val="15"/>
          <w:color w:val="auto"/>
        </w:rPr>
        <w:t>. At the discretion of the Committee, the Company may reserve to itself and/or its assignee(s) in the Award Agreement a right to repurchase</w:t>
      </w:r>
      <w:r>
        <w:rPr>
          <w:rFonts w:ascii="Arial" w:cs="Arial" w:eastAsia="Arial" w:hAnsi="Arial"/>
          <w:sz w:val="15"/>
          <w:szCs w:val="15"/>
          <w:b w:val="1"/>
          <w:bCs w:val="1"/>
          <w:color w:val="auto"/>
        </w:rPr>
        <w:t xml:space="preserve"> </w:t>
      </w:r>
      <w:r>
        <w:rPr>
          <w:rFonts w:ascii="Arial" w:cs="Arial" w:eastAsia="Arial" w:hAnsi="Arial"/>
          <w:sz w:val="15"/>
          <w:szCs w:val="15"/>
          <w:color w:val="auto"/>
        </w:rPr>
        <w:t>Unvested Shares held by a Participant for cash and/or cancellation of purchase money indebtedness owed to the Company by the Participant following such Participant’s Termination at any time.</w:t>
      </w:r>
    </w:p>
    <w:p>
      <w:pPr>
        <w:spacing w:after="0" w:line="148" w:lineRule="exact"/>
        <w:rPr>
          <w:sz w:val="20"/>
          <w:szCs w:val="20"/>
          <w:color w:val="auto"/>
        </w:rPr>
      </w:pPr>
    </w:p>
    <w:p>
      <w:pPr>
        <w:ind w:right="180" w:firstLine="916"/>
        <w:spacing w:after="0" w:line="280" w:lineRule="auto"/>
        <w:rPr>
          <w:sz w:val="20"/>
          <w:szCs w:val="20"/>
          <w:color w:val="auto"/>
        </w:rPr>
      </w:pPr>
      <w:r>
        <w:rPr>
          <w:rFonts w:ascii="Arial" w:cs="Arial" w:eastAsia="Arial" w:hAnsi="Arial"/>
          <w:sz w:val="15"/>
          <w:szCs w:val="15"/>
          <w:b w:val="1"/>
          <w:bCs w:val="1"/>
          <w:color w:val="auto"/>
        </w:rPr>
        <w:t xml:space="preserve">12.3 </w:t>
      </w:r>
      <w:r>
        <w:rPr>
          <w:rFonts w:ascii="Arial" w:cs="Arial" w:eastAsia="Arial" w:hAnsi="Arial"/>
          <w:sz w:val="15"/>
          <w:szCs w:val="15"/>
          <w:b w:val="1"/>
          <w:bCs w:val="1"/>
          <w:u w:val="single" w:color="auto"/>
          <w:color w:val="auto"/>
        </w:rPr>
        <w:t>Transfer Restrictions</w:t>
      </w:r>
      <w:r>
        <w:rPr>
          <w:rFonts w:ascii="Arial" w:cs="Arial" w:eastAsia="Arial" w:hAnsi="Arial"/>
          <w:sz w:val="15"/>
          <w:szCs w:val="15"/>
          <w:color w:val="auto"/>
        </w:rPr>
        <w:t>. Participants shall be bound by any and all restrictions on transfers of securities as set forth in the Company’s Bylaws (as may be amended from</w:t>
      </w:r>
      <w:r>
        <w:rPr>
          <w:rFonts w:ascii="Arial" w:cs="Arial" w:eastAsia="Arial" w:hAnsi="Arial"/>
          <w:sz w:val="15"/>
          <w:szCs w:val="15"/>
          <w:b w:val="1"/>
          <w:bCs w:val="1"/>
          <w:color w:val="auto"/>
        </w:rPr>
        <w:t xml:space="preserve"> </w:t>
      </w:r>
      <w:r>
        <w:rPr>
          <w:rFonts w:ascii="Arial" w:cs="Arial" w:eastAsia="Arial" w:hAnsi="Arial"/>
          <w:sz w:val="15"/>
          <w:szCs w:val="15"/>
          <w:color w:val="auto"/>
        </w:rPr>
        <w:t>time to time), including, but not limited to, those transfer restrictions set forth in Section 6.8.</w:t>
      </w:r>
    </w:p>
    <w:p>
      <w:pPr>
        <w:spacing w:after="0" w:line="139" w:lineRule="exact"/>
        <w:rPr>
          <w:sz w:val="20"/>
          <w:szCs w:val="20"/>
          <w:color w:val="auto"/>
        </w:rPr>
      </w:pPr>
    </w:p>
    <w:p>
      <w:pPr>
        <w:ind w:right="20" w:firstLine="448"/>
        <w:spacing w:after="0" w:line="266" w:lineRule="auto"/>
        <w:tabs>
          <w:tab w:leader="none" w:pos="683" w:val="left"/>
        </w:tabs>
        <w:numPr>
          <w:ilvl w:val="0"/>
          <w:numId w:val="396"/>
        </w:numPr>
        <w:rPr>
          <w:rFonts w:ascii="Arial" w:cs="Arial" w:eastAsia="Arial" w:hAnsi="Arial"/>
          <w:sz w:val="15"/>
          <w:szCs w:val="15"/>
          <w:b w:val="1"/>
          <w:bCs w:val="1"/>
          <w:color w:val="auto"/>
        </w:rPr>
      </w:pPr>
      <w:r>
        <w:rPr>
          <w:rFonts w:ascii="Arial" w:cs="Arial" w:eastAsia="Arial" w:hAnsi="Arial"/>
          <w:sz w:val="15"/>
          <w:szCs w:val="15"/>
          <w:b w:val="1"/>
          <w:bCs w:val="1"/>
          <w:u w:val="single" w:color="auto"/>
          <w:color w:val="auto"/>
        </w:rPr>
        <w:t>ISSUANCE OF SHARES</w:t>
      </w:r>
      <w:r>
        <w:rPr>
          <w:rFonts w:ascii="Arial" w:cs="Arial" w:eastAsia="Arial" w:hAnsi="Arial"/>
          <w:sz w:val="15"/>
          <w:szCs w:val="15"/>
          <w:b w:val="1"/>
          <w:bCs w:val="1"/>
          <w:color w:val="auto"/>
        </w:rPr>
        <w:t xml:space="preserve">. </w:t>
      </w:r>
      <w:r>
        <w:rPr>
          <w:rFonts w:ascii="Arial" w:cs="Arial" w:eastAsia="Arial" w:hAnsi="Arial"/>
          <w:sz w:val="15"/>
          <w:szCs w:val="15"/>
          <w:color w:val="auto"/>
        </w:rPr>
        <w:t>All Shares or other securities delivered under this Plan will be issued in book-entry form and will be subject to such stock transfer orders, legends and</w:t>
      </w:r>
      <w:r>
        <w:rPr>
          <w:rFonts w:ascii="Arial" w:cs="Arial" w:eastAsia="Arial" w:hAnsi="Arial"/>
          <w:sz w:val="15"/>
          <w:szCs w:val="15"/>
          <w:b w:val="1"/>
          <w:bCs w:val="1"/>
          <w:color w:val="auto"/>
        </w:rPr>
        <w:t xml:space="preserve"> </w:t>
      </w:r>
      <w:r>
        <w:rPr>
          <w:rFonts w:ascii="Arial" w:cs="Arial" w:eastAsia="Arial" w:hAnsi="Arial"/>
          <w:sz w:val="15"/>
          <w:szCs w:val="15"/>
          <w:color w:val="auto"/>
        </w:rPr>
        <w:t>other restrictions as the Committee may deem necessary or advisable, including restrictions under any applicable federal, state or foreign securities law, or any rules, regulations and other requirements of the SEC or any stock exchange or automated quotation system upon which the Shares may be listed or quoted.</w:t>
      </w:r>
    </w:p>
    <w:p>
      <w:pPr>
        <w:spacing w:after="0" w:line="148" w:lineRule="exact"/>
        <w:rPr>
          <w:rFonts w:ascii="Arial" w:cs="Arial" w:eastAsia="Arial" w:hAnsi="Arial"/>
          <w:sz w:val="15"/>
          <w:szCs w:val="15"/>
          <w:b w:val="1"/>
          <w:bCs w:val="1"/>
          <w:color w:val="auto"/>
        </w:rPr>
      </w:pPr>
    </w:p>
    <w:p>
      <w:pPr>
        <w:ind w:right="60" w:firstLine="448"/>
        <w:spacing w:after="0" w:line="257" w:lineRule="auto"/>
        <w:tabs>
          <w:tab w:leader="none" w:pos="683" w:val="left"/>
        </w:tabs>
        <w:numPr>
          <w:ilvl w:val="0"/>
          <w:numId w:val="396"/>
        </w:numPr>
        <w:rPr>
          <w:rFonts w:ascii="Arial" w:cs="Arial" w:eastAsia="Arial" w:hAnsi="Arial"/>
          <w:sz w:val="15"/>
          <w:szCs w:val="15"/>
          <w:b w:val="1"/>
          <w:bCs w:val="1"/>
          <w:color w:val="auto"/>
        </w:rPr>
      </w:pPr>
      <w:r>
        <w:rPr>
          <w:rFonts w:ascii="Arial" w:cs="Arial" w:eastAsia="Arial" w:hAnsi="Arial"/>
          <w:sz w:val="15"/>
          <w:szCs w:val="15"/>
          <w:b w:val="1"/>
          <w:bCs w:val="1"/>
          <w:u w:val="single" w:color="auto"/>
          <w:color w:val="auto"/>
        </w:rPr>
        <w:t>ESCROW; PLEDGE OF SHARES</w:t>
      </w:r>
      <w:r>
        <w:rPr>
          <w:rFonts w:ascii="Arial" w:cs="Arial" w:eastAsia="Arial" w:hAnsi="Arial"/>
          <w:sz w:val="15"/>
          <w:szCs w:val="15"/>
          <w:b w:val="1"/>
          <w:bCs w:val="1"/>
          <w:color w:val="auto"/>
        </w:rPr>
        <w:t xml:space="preserve">. </w:t>
      </w:r>
      <w:r>
        <w:rPr>
          <w:rFonts w:ascii="Arial" w:cs="Arial" w:eastAsia="Arial" w:hAnsi="Arial"/>
          <w:sz w:val="15"/>
          <w:szCs w:val="15"/>
          <w:color w:val="auto"/>
        </w:rPr>
        <w:t>To enforce any restrictions on a Participant’s Shares set forth in Section 12 hereof, the Committee may require the Participant to deposit</w:t>
      </w:r>
      <w:r>
        <w:rPr>
          <w:rFonts w:ascii="Arial" w:cs="Arial" w:eastAsia="Arial" w:hAnsi="Arial"/>
          <w:sz w:val="15"/>
          <w:szCs w:val="15"/>
          <w:b w:val="1"/>
          <w:bCs w:val="1"/>
          <w:color w:val="auto"/>
        </w:rPr>
        <w:t xml:space="preserve"> </w:t>
      </w:r>
      <w:r>
        <w:rPr>
          <w:rFonts w:ascii="Arial" w:cs="Arial" w:eastAsia="Arial" w:hAnsi="Arial"/>
          <w:sz w:val="15"/>
          <w:szCs w:val="15"/>
          <w:color w:val="auto"/>
        </w:rPr>
        <w:t>stock powers or other instruments of transfer approved by the Committee, appropriately endorsed in blank, with the Company or an agent designated by the Company to hold in escrow until such restrictions have lapsed or terminated. The Committee may cause a legend or legends referencing such restrictions to be placed on the book-entries evidencing the Shares. Any Participant who is permitted to execute a promissory note as partial or full consideration for the purchase of Shares under this Plan will be required to pledge and deposit with the Company all or part of the Shares so purchased as collateral to secure the payment of Participant’s obligation to the Company under the promissory note; provided, however, that the Committee may require</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9</w:t>
      </w:r>
    </w:p>
    <w:p>
      <w:pPr>
        <w:sectPr>
          <w:pgSz w:w="11900" w:h="16838" w:orient="portrait"/>
          <w:cols w:equalWidth="0" w:num="1">
            <w:col w:w="11440"/>
          </w:cols>
          <w:pgMar w:left="240" w:top="249" w:right="219" w:bottom="1440" w:gutter="0" w:footer="0" w:header="0"/>
        </w:sectPr>
      </w:pPr>
    </w:p>
    <w:bookmarkStart w:id="437" w:name="page438"/>
    <w:bookmarkEnd w:id="437"/>
    <w:p>
      <w:pPr>
        <w:ind w:right="100"/>
        <w:spacing w:after="0" w:line="259"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133350</wp:posOffset>
            </wp:positionH>
            <wp:positionV relativeFrom="page">
              <wp:posOffset>88900</wp:posOffset>
            </wp:positionV>
            <wp:extent cx="7308850" cy="34290"/>
            <wp:wrapNone/>
            <wp:docPr id="614" name="Picture 6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4"/>
                    <pic:cNvPicPr>
                      <a:picLocks noChangeAspect="1" noChangeArrowheads="1"/>
                    </pic:cNvPicPr>
                  </pic:nvPicPr>
                  <pic:blipFill>
                    <a:blip r:embed="rId651">
                      <a:extLst>
                        <a:ext uri="{28A0092B-C50C-407E-A947-70E740481C1C}"/>
                      </a:extLst>
                    </a:blip>
                    <a:srcRect/>
                    <a:stretch>
                      <a:fillRect/>
                    </a:stretch>
                  </pic:blipFill>
                  <pic:spPr bwMode="auto">
                    <a:xfrm>
                      <a:off x="0" y="0"/>
                      <a:ext cx="7308850" cy="34290"/>
                    </a:xfrm>
                    <a:prstGeom prst="rect">
                      <a:avLst/>
                    </a:prstGeom>
                    <a:noFill/>
                  </pic:spPr>
                </pic:pic>
              </a:graphicData>
            </a:graphic>
          </wp:anchor>
        </w:drawing>
        <w:t>or accept other or additional forms of collateral to secure the payment of such obligation and, in any event, the Company will have full recourse against the Participant under the promissory note notwithstanding any pledge of the Participant’s Shares or other collateral. In connection with any pledge of the Shares, Participant will be required to execute and deliver a written pledge agreement in such form as the Committee will from time to time approve. The Shares purchased with the promissory note may be released from the pledge on a pro rata basis as the promissory note is paid.</w:t>
      </w:r>
    </w:p>
    <w:p>
      <w:pPr>
        <w:spacing w:after="0" w:line="154" w:lineRule="exact"/>
        <w:rPr>
          <w:sz w:val="20"/>
          <w:szCs w:val="20"/>
          <w:color w:val="auto"/>
        </w:rPr>
      </w:pPr>
    </w:p>
    <w:p>
      <w:pPr>
        <w:ind w:firstLine="448"/>
        <w:spacing w:after="0" w:line="261" w:lineRule="auto"/>
        <w:tabs>
          <w:tab w:leader="none" w:pos="683" w:val="left"/>
        </w:tabs>
        <w:numPr>
          <w:ilvl w:val="0"/>
          <w:numId w:val="397"/>
        </w:numPr>
        <w:rPr>
          <w:rFonts w:ascii="Arial" w:cs="Arial" w:eastAsia="Arial" w:hAnsi="Arial"/>
          <w:sz w:val="15"/>
          <w:szCs w:val="15"/>
          <w:b w:val="1"/>
          <w:bCs w:val="1"/>
          <w:color w:val="auto"/>
        </w:rPr>
      </w:pPr>
      <w:r>
        <w:rPr>
          <w:rFonts w:ascii="Arial" w:cs="Arial" w:eastAsia="Arial" w:hAnsi="Arial"/>
          <w:sz w:val="15"/>
          <w:szCs w:val="15"/>
          <w:b w:val="1"/>
          <w:bCs w:val="1"/>
          <w:u w:val="single" w:color="auto"/>
          <w:color w:val="auto"/>
        </w:rPr>
        <w:t>EXCHANGE AND BUYOUT OF AWARDS</w:t>
      </w:r>
      <w:r>
        <w:rPr>
          <w:rFonts w:ascii="Arial" w:cs="Arial" w:eastAsia="Arial" w:hAnsi="Arial"/>
          <w:sz w:val="15"/>
          <w:szCs w:val="15"/>
          <w:b w:val="1"/>
          <w:bCs w:val="1"/>
          <w:color w:val="auto"/>
        </w:rPr>
        <w:t xml:space="preserve">. </w:t>
      </w:r>
      <w:r>
        <w:rPr>
          <w:rFonts w:ascii="Arial" w:cs="Arial" w:eastAsia="Arial" w:hAnsi="Arial"/>
          <w:sz w:val="15"/>
          <w:szCs w:val="15"/>
          <w:color w:val="auto"/>
        </w:rPr>
        <w:t>The Committee may, at any time or from time to time, authorize the Company, with the consent of the respective Participants, to</w:t>
      </w:r>
      <w:r>
        <w:rPr>
          <w:rFonts w:ascii="Arial" w:cs="Arial" w:eastAsia="Arial" w:hAnsi="Arial"/>
          <w:sz w:val="15"/>
          <w:szCs w:val="15"/>
          <w:b w:val="1"/>
          <w:bCs w:val="1"/>
          <w:color w:val="auto"/>
        </w:rPr>
        <w:t xml:space="preserve"> </w:t>
      </w:r>
      <w:r>
        <w:rPr>
          <w:rFonts w:ascii="Arial" w:cs="Arial" w:eastAsia="Arial" w:hAnsi="Arial"/>
          <w:sz w:val="15"/>
          <w:szCs w:val="15"/>
          <w:color w:val="auto"/>
        </w:rPr>
        <w:t>issue new Awards in exchange for the surrender and cancellation of any or all outstanding Awards. The Committee may at any time buy from a Participant an Award previously granted with payment in cash, shares of Common Stock of the Company (including Restricted Stock) or other consideration, based on such terms and conditions as the Committee and the Participant may agree.</w:t>
      </w:r>
    </w:p>
    <w:p>
      <w:pPr>
        <w:spacing w:after="0" w:line="151" w:lineRule="exact"/>
        <w:rPr>
          <w:rFonts w:ascii="Arial" w:cs="Arial" w:eastAsia="Arial" w:hAnsi="Arial"/>
          <w:sz w:val="15"/>
          <w:szCs w:val="15"/>
          <w:b w:val="1"/>
          <w:bCs w:val="1"/>
          <w:color w:val="auto"/>
        </w:rPr>
      </w:pPr>
    </w:p>
    <w:p>
      <w:pPr>
        <w:ind w:left="680" w:hanging="232"/>
        <w:spacing w:after="0"/>
        <w:tabs>
          <w:tab w:leader="none" w:pos="680" w:val="left"/>
        </w:tabs>
        <w:numPr>
          <w:ilvl w:val="0"/>
          <w:numId w:val="397"/>
        </w:numPr>
        <w:rPr>
          <w:rFonts w:ascii="Arial" w:cs="Arial" w:eastAsia="Arial" w:hAnsi="Arial"/>
          <w:sz w:val="15"/>
          <w:szCs w:val="15"/>
          <w:b w:val="1"/>
          <w:bCs w:val="1"/>
          <w:color w:val="auto"/>
        </w:rPr>
      </w:pPr>
      <w:r>
        <w:rPr>
          <w:rFonts w:ascii="Arial" w:cs="Arial" w:eastAsia="Arial" w:hAnsi="Arial"/>
          <w:sz w:val="15"/>
          <w:szCs w:val="15"/>
          <w:b w:val="1"/>
          <w:bCs w:val="1"/>
          <w:u w:val="single" w:color="auto"/>
          <w:color w:val="auto"/>
        </w:rPr>
        <w:t>SECURITIES LAW AND OTHER REGULATORY COMPLIANCE</w:t>
      </w:r>
      <w:r>
        <w:rPr>
          <w:rFonts w:ascii="Arial" w:cs="Arial" w:eastAsia="Arial" w:hAnsi="Arial"/>
          <w:sz w:val="15"/>
          <w:szCs w:val="15"/>
          <w:b w:val="1"/>
          <w:bCs w:val="1"/>
          <w:color w:val="auto"/>
        </w:rPr>
        <w:t xml:space="preserve">. </w:t>
      </w:r>
      <w:r>
        <w:rPr>
          <w:rFonts w:ascii="Arial" w:cs="Arial" w:eastAsia="Arial" w:hAnsi="Arial"/>
          <w:sz w:val="15"/>
          <w:szCs w:val="15"/>
          <w:color w:val="auto"/>
        </w:rPr>
        <w:t>Although this Plan is intended to be a written compensatory benefit plan within the meaning of</w:t>
      </w:r>
    </w:p>
    <w:p>
      <w:pPr>
        <w:spacing w:after="0" w:line="21" w:lineRule="exact"/>
        <w:rPr>
          <w:sz w:val="20"/>
          <w:szCs w:val="20"/>
          <w:color w:val="auto"/>
        </w:rPr>
      </w:pPr>
    </w:p>
    <w:p>
      <w:pPr>
        <w:spacing w:after="0" w:line="272" w:lineRule="auto"/>
        <w:rPr>
          <w:sz w:val="20"/>
          <w:szCs w:val="20"/>
          <w:color w:val="auto"/>
        </w:rPr>
      </w:pPr>
      <w:r>
        <w:rPr>
          <w:rFonts w:ascii="Arial" w:cs="Arial" w:eastAsia="Arial" w:hAnsi="Arial"/>
          <w:sz w:val="14"/>
          <w:szCs w:val="14"/>
          <w:color w:val="auto"/>
        </w:rPr>
        <w:t>Rule 701 promulgated under the Securities Act, grants may be made pursuant to this plan that do not qualify for exemption under Rule 701 or Section 25102(o) of the California Corporations Code. Any requirement of this Plan which is required in law only because of Section 25102(o) need not apply with respect to a particular Award if the Committee so provides. An Award will not be effective unless such Award is in compliance with all applicable federal and state securities laws, rules and regulations of any governmental body, and the requirements of any stock exchange or automated quotation system upon which the Shares may then be listed or quoted, as they are in effect on the date of grant of the Award and also on the date of exercise or other issuance. Notwithstanding any other provision in this Plan, the Company will have no obligation to issue or deliver any book-entry records evidencing the Shares under this Plan prior to (i) obtaining any approvals from governmental agencies that the Company determines are necessary or advisable, and/or (ii) compliance with any exemption, completion of any registration or other qualification of such Shares under any state or federal law or ruling of any governmental body that the Company determines to be necessary or advisable. The Company will be under no obligation to register the Shares with the SEC or to effect compliance with the exemption, registration, qualification or listing requirements of any state securities laws, stock exchange or automated quotation system, and the Company will have no liability for any inability or failure to do so.</w:t>
      </w:r>
    </w:p>
    <w:p>
      <w:pPr>
        <w:spacing w:after="0" w:line="149" w:lineRule="exact"/>
        <w:rPr>
          <w:sz w:val="20"/>
          <w:szCs w:val="20"/>
          <w:color w:val="auto"/>
        </w:rPr>
      </w:pPr>
    </w:p>
    <w:p>
      <w:pPr>
        <w:ind w:right="100" w:firstLine="448"/>
        <w:spacing w:after="0" w:line="266" w:lineRule="auto"/>
        <w:tabs>
          <w:tab w:leader="none" w:pos="683" w:val="left"/>
        </w:tabs>
        <w:numPr>
          <w:ilvl w:val="0"/>
          <w:numId w:val="398"/>
        </w:numPr>
        <w:rPr>
          <w:rFonts w:ascii="Arial" w:cs="Arial" w:eastAsia="Arial" w:hAnsi="Arial"/>
          <w:sz w:val="15"/>
          <w:szCs w:val="15"/>
          <w:b w:val="1"/>
          <w:bCs w:val="1"/>
          <w:color w:val="auto"/>
        </w:rPr>
      </w:pPr>
      <w:r>
        <w:rPr>
          <w:rFonts w:ascii="Arial" w:cs="Arial" w:eastAsia="Arial" w:hAnsi="Arial"/>
          <w:sz w:val="15"/>
          <w:szCs w:val="15"/>
          <w:b w:val="1"/>
          <w:bCs w:val="1"/>
          <w:u w:val="single" w:color="auto"/>
          <w:color w:val="auto"/>
        </w:rPr>
        <w:t>NO OBLIGATION TO EMPLOY</w:t>
      </w:r>
      <w:r>
        <w:rPr>
          <w:rFonts w:ascii="Arial" w:cs="Arial" w:eastAsia="Arial" w:hAnsi="Arial"/>
          <w:sz w:val="15"/>
          <w:szCs w:val="15"/>
          <w:b w:val="1"/>
          <w:bCs w:val="1"/>
          <w:color w:val="auto"/>
        </w:rPr>
        <w:t xml:space="preserve">. </w:t>
      </w:r>
      <w:r>
        <w:rPr>
          <w:rFonts w:ascii="Arial" w:cs="Arial" w:eastAsia="Arial" w:hAnsi="Arial"/>
          <w:sz w:val="15"/>
          <w:szCs w:val="15"/>
          <w:color w:val="auto"/>
        </w:rPr>
        <w:t>Nothing in this Plan or any Award granted under this Plan will confer or be deemed to confer on any Participant any right to continue in the</w:t>
      </w:r>
      <w:r>
        <w:rPr>
          <w:rFonts w:ascii="Arial" w:cs="Arial" w:eastAsia="Arial" w:hAnsi="Arial"/>
          <w:sz w:val="15"/>
          <w:szCs w:val="15"/>
          <w:b w:val="1"/>
          <w:bCs w:val="1"/>
          <w:color w:val="auto"/>
        </w:rPr>
        <w:t xml:space="preserve"> </w:t>
      </w:r>
      <w:r>
        <w:rPr>
          <w:rFonts w:ascii="Arial" w:cs="Arial" w:eastAsia="Arial" w:hAnsi="Arial"/>
          <w:sz w:val="15"/>
          <w:szCs w:val="15"/>
          <w:color w:val="auto"/>
        </w:rPr>
        <w:t>employ of, or to continue any other relationship with, the Company or any Parent or Subsidiary or limit in any way the right of the Company or any Parent or Subsidiary to terminate Participant’s employment or other relationship at any time, with or without Cause.</w:t>
      </w:r>
    </w:p>
    <w:p>
      <w:pPr>
        <w:spacing w:after="0" w:line="238" w:lineRule="exact"/>
        <w:rPr>
          <w:rFonts w:ascii="Arial" w:cs="Arial" w:eastAsia="Arial" w:hAnsi="Arial"/>
          <w:sz w:val="15"/>
          <w:szCs w:val="15"/>
          <w:b w:val="1"/>
          <w:bCs w:val="1"/>
          <w:color w:val="auto"/>
        </w:rPr>
      </w:pPr>
    </w:p>
    <w:p>
      <w:pPr>
        <w:ind w:left="680" w:hanging="232"/>
        <w:spacing w:after="0"/>
        <w:tabs>
          <w:tab w:leader="none" w:pos="680" w:val="left"/>
        </w:tabs>
        <w:numPr>
          <w:ilvl w:val="0"/>
          <w:numId w:val="398"/>
        </w:numPr>
        <w:rPr>
          <w:rFonts w:ascii="Arial" w:cs="Arial" w:eastAsia="Arial" w:hAnsi="Arial"/>
          <w:sz w:val="15"/>
          <w:szCs w:val="15"/>
          <w:b w:val="1"/>
          <w:bCs w:val="1"/>
          <w:color w:val="auto"/>
        </w:rPr>
      </w:pPr>
      <w:r>
        <w:rPr>
          <w:rFonts w:ascii="Arial" w:cs="Arial" w:eastAsia="Arial" w:hAnsi="Arial"/>
          <w:sz w:val="15"/>
          <w:szCs w:val="15"/>
          <w:b w:val="1"/>
          <w:bCs w:val="1"/>
          <w:u w:val="single" w:color="auto"/>
          <w:color w:val="auto"/>
        </w:rPr>
        <w:t>CORPORATE TRANSACTIONS</w:t>
      </w:r>
      <w:r>
        <w:rPr>
          <w:rFonts w:ascii="Arial" w:cs="Arial" w:eastAsia="Arial" w:hAnsi="Arial"/>
          <w:sz w:val="15"/>
          <w:szCs w:val="15"/>
          <w:color w:val="auto"/>
        </w:rPr>
        <w:t>.</w:t>
      </w:r>
    </w:p>
    <w:p>
      <w:pPr>
        <w:spacing w:after="0" w:line="98" w:lineRule="exact"/>
        <w:rPr>
          <w:sz w:val="20"/>
          <w:szCs w:val="20"/>
          <w:color w:val="auto"/>
        </w:rPr>
      </w:pPr>
    </w:p>
    <w:p>
      <w:pPr>
        <w:jc w:val="center"/>
        <w:ind w:right="100"/>
        <w:spacing w:after="0"/>
        <w:rPr>
          <w:sz w:val="20"/>
          <w:szCs w:val="20"/>
          <w:color w:val="auto"/>
        </w:rPr>
      </w:pPr>
      <w:r>
        <w:rPr>
          <w:rFonts w:ascii="Arial" w:cs="Arial" w:eastAsia="Arial" w:hAnsi="Arial"/>
          <w:sz w:val="15"/>
          <w:szCs w:val="15"/>
          <w:b w:val="1"/>
          <w:bCs w:val="1"/>
          <w:color w:val="auto"/>
        </w:rPr>
        <w:t xml:space="preserve">18.1 </w:t>
      </w:r>
      <w:r>
        <w:rPr>
          <w:rFonts w:ascii="Arial" w:cs="Arial" w:eastAsia="Arial" w:hAnsi="Arial"/>
          <w:sz w:val="15"/>
          <w:szCs w:val="15"/>
          <w:b w:val="1"/>
          <w:bCs w:val="1"/>
          <w:u w:val="single" w:color="auto"/>
          <w:color w:val="auto"/>
        </w:rPr>
        <w:t>Assumption or Replacement of Awards by Successor or Acquiring Company</w:t>
      </w:r>
      <w:r>
        <w:rPr>
          <w:rFonts w:ascii="Arial" w:cs="Arial" w:eastAsia="Arial" w:hAnsi="Arial"/>
          <w:sz w:val="15"/>
          <w:szCs w:val="15"/>
          <w:color w:val="auto"/>
        </w:rPr>
        <w:t>. In the event of (i) a dissolution or liquidation of the Company, (ii) any</w:t>
      </w:r>
    </w:p>
    <w:p>
      <w:pPr>
        <w:spacing w:after="0" w:line="136"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10</w:t>
      </w:r>
    </w:p>
    <w:p>
      <w:pPr>
        <w:sectPr>
          <w:pgSz w:w="11900" w:h="16838" w:orient="portrait"/>
          <w:cols w:equalWidth="0" w:num="1">
            <w:col w:w="11420"/>
          </w:cols>
          <w:pgMar w:left="240" w:top="253" w:right="239" w:bottom="1440" w:gutter="0" w:footer="0" w:header="0"/>
        </w:sectPr>
      </w:pPr>
    </w:p>
    <w:bookmarkStart w:id="438" w:name="page439"/>
    <w:bookmarkEnd w:id="438"/>
    <w:p>
      <w:pPr>
        <w:spacing w:after="0" w:line="293" w:lineRule="auto"/>
        <w:rPr>
          <w:sz w:val="20"/>
          <w:szCs w:val="20"/>
          <w:color w:val="auto"/>
        </w:rPr>
      </w:pPr>
      <w:r>
        <w:rPr>
          <w:rFonts w:ascii="Arial" w:cs="Arial" w:eastAsia="Arial" w:hAnsi="Arial"/>
          <w:sz w:val="13"/>
          <w:szCs w:val="13"/>
          <w:color w:val="auto"/>
        </w:rPr>
        <w:drawing>
          <wp:anchor simplePos="0" relativeHeight="251657728" behindDoc="1" locked="0" layoutInCell="0" allowOverlap="1">
            <wp:simplePos x="0" y="0"/>
            <wp:positionH relativeFrom="page">
              <wp:posOffset>133350</wp:posOffset>
            </wp:positionH>
            <wp:positionV relativeFrom="page">
              <wp:posOffset>88900</wp:posOffset>
            </wp:positionV>
            <wp:extent cx="7308850" cy="34290"/>
            <wp:wrapNone/>
            <wp:docPr id="615" name="Picture 6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5"/>
                    <pic:cNvPicPr>
                      <a:picLocks noChangeAspect="1" noChangeArrowheads="1"/>
                    </pic:cNvPicPr>
                  </pic:nvPicPr>
                  <pic:blipFill>
                    <a:blip r:embed="rId652">
                      <a:extLst>
                        <a:ext uri="{28A0092B-C50C-407E-A947-70E740481C1C}"/>
                      </a:extLst>
                    </a:blip>
                    <a:srcRect/>
                    <a:stretch>
                      <a:fillRect/>
                    </a:stretch>
                  </pic:blipFill>
                  <pic:spPr bwMode="auto">
                    <a:xfrm>
                      <a:off x="0" y="0"/>
                      <a:ext cx="7308850" cy="34290"/>
                    </a:xfrm>
                    <a:prstGeom prst="rect">
                      <a:avLst/>
                    </a:prstGeom>
                    <a:noFill/>
                  </pic:spPr>
                </pic:pic>
              </a:graphicData>
            </a:graphic>
          </wp:anchor>
        </w:drawing>
        <w:t>reorganization, consolidation, merger or similar transaction or series of related transactions (each, a “</w:t>
      </w:r>
      <w:r>
        <w:rPr>
          <w:rFonts w:ascii="Arial" w:cs="Arial" w:eastAsia="Arial" w:hAnsi="Arial"/>
          <w:sz w:val="13"/>
          <w:szCs w:val="13"/>
          <w:b w:val="1"/>
          <w:bCs w:val="1"/>
          <w:i w:val="1"/>
          <w:iCs w:val="1"/>
          <w:color w:val="auto"/>
        </w:rPr>
        <w:t>combination transaction</w:t>
      </w:r>
      <w:r>
        <w:rPr>
          <w:rFonts w:ascii="Arial" w:cs="Arial" w:eastAsia="Arial" w:hAnsi="Arial"/>
          <w:sz w:val="13"/>
          <w:szCs w:val="13"/>
          <w:color w:val="auto"/>
        </w:rPr>
        <w:t>”)) in which the Company is a constituent corporation or is a party if, as a result of such combination transaction, the voting securities of the Company that are outstanding immediately prior to the consummation of such combination transaction (</w:t>
      </w:r>
      <w:r>
        <w:rPr>
          <w:rFonts w:ascii="Arial" w:cs="Arial" w:eastAsia="Arial" w:hAnsi="Arial"/>
          <w:sz w:val="13"/>
          <w:szCs w:val="13"/>
          <w:u w:val="single" w:color="auto"/>
          <w:color w:val="auto"/>
        </w:rPr>
        <w:t>other</w:t>
      </w:r>
      <w:r>
        <w:rPr>
          <w:rFonts w:ascii="Arial" w:cs="Arial" w:eastAsia="Arial" w:hAnsi="Arial"/>
          <w:sz w:val="13"/>
          <w:szCs w:val="13"/>
          <w:color w:val="auto"/>
        </w:rPr>
        <w:t xml:space="preserve"> </w:t>
      </w:r>
      <w:r>
        <w:rPr>
          <w:rFonts w:ascii="Arial" w:cs="Arial" w:eastAsia="Arial" w:hAnsi="Arial"/>
          <w:sz w:val="13"/>
          <w:szCs w:val="13"/>
          <w:u w:val="single" w:color="auto"/>
          <w:color w:val="auto"/>
        </w:rPr>
        <w:t>than</w:t>
      </w:r>
      <w:r>
        <w:rPr>
          <w:rFonts w:ascii="Arial" w:cs="Arial" w:eastAsia="Arial" w:hAnsi="Arial"/>
          <w:sz w:val="13"/>
          <w:szCs w:val="13"/>
          <w:color w:val="auto"/>
        </w:rPr>
        <w:t xml:space="preserve"> any such securities that are held by an Acquiring Shareholder (defined below)) do not represent, or are not converted into, securities of the surviving corporation of such combination transaction (or such surviving corporation’s parent corporation if the surviving corporation is owned by the parent corporation) that, immediately after the consummation of such combination transaction, together possess at least fifty percent (50%) of the total voting power of all securities of such surviving corporation (or its parent corporation, if applicable) that are outstanding immediately after the consummation of such combination transaction, including securities of such surviving corporation (or its parent corporation, if applicable) that are held by the Acquiring Shareholder; or (b) a sale of all or substantially all of the assets of the Company, that is followed by the distribution of the proceeds to the Company’s stockholders, any or all outstanding Awards may be assumed, converted or replaced by the successor or acquiring corporation (if any), which assumption, conversion or replacement will be binding on all Participants. In the alternative, the successor or acquiring corporation may substitute equivalent Awards or provide substantially similar consideration to Participants as was provided to stockholders of the Company (after taking into account the existing provisions of the Awards). The successor or acquiring corporation may also substitute by issuing, in place of outstanding Shares of the Company held by the Participant, substantially similar shares or other property subject to repurchase restrictions and other provisions no less favorable to the Participant than those which applied to such outstanding Shares immediately prior to such transaction described in this Section 18.1. For purposes of this Section 18.1, an “</w:t>
      </w:r>
      <w:r>
        <w:rPr>
          <w:rFonts w:ascii="Arial" w:cs="Arial" w:eastAsia="Arial" w:hAnsi="Arial"/>
          <w:sz w:val="13"/>
          <w:szCs w:val="13"/>
          <w:b w:val="1"/>
          <w:bCs w:val="1"/>
          <w:i w:val="1"/>
          <w:iCs w:val="1"/>
          <w:color w:val="auto"/>
        </w:rPr>
        <w:t>Acquiring Shareholder</w:t>
      </w:r>
      <w:r>
        <w:rPr>
          <w:rFonts w:ascii="Arial" w:cs="Arial" w:eastAsia="Arial" w:hAnsi="Arial"/>
          <w:sz w:val="13"/>
          <w:szCs w:val="13"/>
          <w:color w:val="auto"/>
        </w:rPr>
        <w:t xml:space="preserve"> “ means a stockholder or stockholders of the Company that (i) merges or combines with the Company in such combination transaction or (ii) owns or controls a majority of another corporation that merges or combines with the Corporation in such combination transaction. In the event such successor or acquiring corporation (if any) does not assume, convert replace or substitute Awards, as provided above, pursuant to a transaction described in this Section 18.1, then notwithstanding any other provision in this Plan to the contrary, the vesting of such Awards will accelerate and the Options will become exercisable in full prior to the consummation of such event at such times and on such conditions as the Committee determines, and all Options that are not exercised prior to the consummation of the corporation transaction and all other Awards, shall terminate in accordance with the provisions of the Plan.</w:t>
      </w:r>
    </w:p>
    <w:p>
      <w:pPr>
        <w:spacing w:after="0" w:line="142" w:lineRule="exact"/>
        <w:rPr>
          <w:sz w:val="20"/>
          <w:szCs w:val="20"/>
          <w:color w:val="auto"/>
        </w:rPr>
      </w:pPr>
    </w:p>
    <w:p>
      <w:pPr>
        <w:ind w:right="40" w:firstLine="916"/>
        <w:spacing w:after="0" w:line="266" w:lineRule="auto"/>
        <w:rPr>
          <w:sz w:val="20"/>
          <w:szCs w:val="20"/>
          <w:color w:val="auto"/>
        </w:rPr>
      </w:pPr>
      <w:r>
        <w:rPr>
          <w:rFonts w:ascii="Arial" w:cs="Arial" w:eastAsia="Arial" w:hAnsi="Arial"/>
          <w:sz w:val="15"/>
          <w:szCs w:val="15"/>
          <w:b w:val="1"/>
          <w:bCs w:val="1"/>
          <w:color w:val="auto"/>
        </w:rPr>
        <w:t xml:space="preserve">18.2 </w:t>
      </w:r>
      <w:r>
        <w:rPr>
          <w:rFonts w:ascii="Arial" w:cs="Arial" w:eastAsia="Arial" w:hAnsi="Arial"/>
          <w:sz w:val="15"/>
          <w:szCs w:val="15"/>
          <w:b w:val="1"/>
          <w:bCs w:val="1"/>
          <w:u w:val="single" w:color="auto"/>
          <w:color w:val="auto"/>
        </w:rPr>
        <w:t>Other Treatment of Awards</w:t>
      </w:r>
      <w:r>
        <w:rPr>
          <w:rFonts w:ascii="Arial" w:cs="Arial" w:eastAsia="Arial" w:hAnsi="Arial"/>
          <w:sz w:val="15"/>
          <w:szCs w:val="15"/>
          <w:color w:val="auto"/>
        </w:rPr>
        <w:t>. Subject to any greater rights granted to Participants under the foregoing provisions of this Section 18, in the event of the occurrence of any</w:t>
      </w:r>
      <w:r>
        <w:rPr>
          <w:rFonts w:ascii="Arial" w:cs="Arial" w:eastAsia="Arial" w:hAnsi="Arial"/>
          <w:sz w:val="15"/>
          <w:szCs w:val="15"/>
          <w:b w:val="1"/>
          <w:bCs w:val="1"/>
          <w:color w:val="auto"/>
        </w:rPr>
        <w:t xml:space="preserve"> </w:t>
      </w:r>
      <w:r>
        <w:rPr>
          <w:rFonts w:ascii="Arial" w:cs="Arial" w:eastAsia="Arial" w:hAnsi="Arial"/>
          <w:sz w:val="15"/>
          <w:szCs w:val="15"/>
          <w:color w:val="auto"/>
        </w:rPr>
        <w:t>transaction described in Section 18.1 hereof, any outstanding Awards will be treated as provided in the applicable agreement or plan of reorganization, merger, consolidation, dissolution, liquidation or sale of assets.</w:t>
      </w:r>
    </w:p>
    <w:p>
      <w:pPr>
        <w:spacing w:after="0" w:line="148" w:lineRule="exact"/>
        <w:rPr>
          <w:sz w:val="20"/>
          <w:szCs w:val="20"/>
          <w:color w:val="auto"/>
        </w:rPr>
      </w:pPr>
    </w:p>
    <w:p>
      <w:pPr>
        <w:jc w:val="both"/>
        <w:ind w:right="20" w:firstLine="916"/>
        <w:spacing w:after="0" w:line="325" w:lineRule="auto"/>
        <w:rPr>
          <w:sz w:val="20"/>
          <w:szCs w:val="20"/>
          <w:color w:val="auto"/>
        </w:rPr>
      </w:pPr>
      <w:r>
        <w:rPr>
          <w:rFonts w:ascii="Arial" w:cs="Arial" w:eastAsia="Arial" w:hAnsi="Arial"/>
          <w:sz w:val="13"/>
          <w:szCs w:val="13"/>
          <w:b w:val="1"/>
          <w:bCs w:val="1"/>
          <w:color w:val="auto"/>
        </w:rPr>
        <w:t xml:space="preserve">18.3 </w:t>
      </w:r>
      <w:r>
        <w:rPr>
          <w:rFonts w:ascii="Arial" w:cs="Arial" w:eastAsia="Arial" w:hAnsi="Arial"/>
          <w:sz w:val="13"/>
          <w:szCs w:val="13"/>
          <w:b w:val="1"/>
          <w:bCs w:val="1"/>
          <w:u w:val="single" w:color="auto"/>
          <w:color w:val="auto"/>
        </w:rPr>
        <w:t>Assumption of Awards by the Company</w:t>
      </w:r>
      <w:r>
        <w:rPr>
          <w:rFonts w:ascii="Arial" w:cs="Arial" w:eastAsia="Arial" w:hAnsi="Arial"/>
          <w:sz w:val="13"/>
          <w:szCs w:val="13"/>
          <w:color w:val="auto"/>
        </w:rPr>
        <w:t>. The Company, from time to time, also may substitute or assume outstanding awards granted by another company, whether in</w:t>
      </w:r>
      <w:r>
        <w:rPr>
          <w:rFonts w:ascii="Arial" w:cs="Arial" w:eastAsia="Arial" w:hAnsi="Arial"/>
          <w:sz w:val="13"/>
          <w:szCs w:val="13"/>
          <w:b w:val="1"/>
          <w:bCs w:val="1"/>
          <w:color w:val="auto"/>
        </w:rPr>
        <w:t xml:space="preserve"> </w:t>
      </w:r>
      <w:r>
        <w:rPr>
          <w:rFonts w:ascii="Arial" w:cs="Arial" w:eastAsia="Arial" w:hAnsi="Arial"/>
          <w:sz w:val="13"/>
          <w:szCs w:val="13"/>
          <w:color w:val="auto"/>
        </w:rPr>
        <w:t>connection with an acquisition of such other company or otherwise, by either (i) granting an Award under this Plan in substitution of such other company’s award or (ii) assuming such award as if it had been granted under this Plan if the terms of such assumed award could be applied to an Award granted under this Plan. Such substitution or assumption will be</w:t>
      </w:r>
    </w:p>
    <w:p>
      <w:pPr>
        <w:spacing w:after="0" w:line="62"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11</w:t>
      </w:r>
    </w:p>
    <w:p>
      <w:pPr>
        <w:sectPr>
          <w:pgSz w:w="11900" w:h="16838" w:orient="portrait"/>
          <w:cols w:equalWidth="0" w:num="1">
            <w:col w:w="11440"/>
          </w:cols>
          <w:pgMar w:left="240" w:top="253" w:right="219" w:bottom="1440" w:gutter="0" w:footer="0" w:header="0"/>
        </w:sectPr>
      </w:pPr>
    </w:p>
    <w:bookmarkStart w:id="439" w:name="page440"/>
    <w:bookmarkEnd w:id="439"/>
    <w:p>
      <w:pPr>
        <w:ind w:right="80"/>
        <w:spacing w:after="0" w:line="311" w:lineRule="auto"/>
        <w:rPr>
          <w:sz w:val="20"/>
          <w:szCs w:val="20"/>
          <w:color w:val="auto"/>
        </w:rPr>
      </w:pPr>
      <w:r>
        <w:rPr>
          <w:rFonts w:ascii="Arial" w:cs="Arial" w:eastAsia="Arial" w:hAnsi="Arial"/>
          <w:sz w:val="13"/>
          <w:szCs w:val="13"/>
          <w:color w:val="auto"/>
        </w:rPr>
        <w:drawing>
          <wp:anchor simplePos="0" relativeHeight="251657728" behindDoc="1" locked="0" layoutInCell="0" allowOverlap="1">
            <wp:simplePos x="0" y="0"/>
            <wp:positionH relativeFrom="page">
              <wp:posOffset>133350</wp:posOffset>
            </wp:positionH>
            <wp:positionV relativeFrom="page">
              <wp:posOffset>88900</wp:posOffset>
            </wp:positionV>
            <wp:extent cx="7308850" cy="33655"/>
            <wp:wrapNone/>
            <wp:docPr id="616" name="Picture 6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6"/>
                    <pic:cNvPicPr>
                      <a:picLocks noChangeAspect="1" noChangeArrowheads="1"/>
                    </pic:cNvPicPr>
                  </pic:nvPicPr>
                  <pic:blipFill>
                    <a:blip r:embed="rId653">
                      <a:extLst>
                        <a:ext uri="{28A0092B-C50C-407E-A947-70E740481C1C}"/>
                      </a:extLst>
                    </a:blip>
                    <a:srcRect/>
                    <a:stretch>
                      <a:fillRect/>
                    </a:stretch>
                  </pic:blipFill>
                  <pic:spPr bwMode="auto">
                    <a:xfrm>
                      <a:off x="0" y="0"/>
                      <a:ext cx="7308850" cy="33655"/>
                    </a:xfrm>
                    <a:prstGeom prst="rect">
                      <a:avLst/>
                    </a:prstGeom>
                    <a:noFill/>
                  </pic:spPr>
                </pic:pic>
              </a:graphicData>
            </a:graphic>
          </wp:anchor>
        </w:drawing>
        <w:t>permissible if the holder of the substituted or assumed award would have been eligible to be granted an Award under this Plan if the other company had applied the rules of this Plan to such grant. In the event the Company assumes an award granted by another company, the terms and conditions of such award will remain unchanged (except that the exercise price and the number and nature of shares issuable upon exercise of any such option or any award that is subject to Section 409A of the Code will be adjusted appropriately pursuant to Section 424(a) of the Code). In the event the Company elects to grant a new Option rather than assuming an existing option, such new Option may be granted with a similarly adjusted Exercise Price.</w:t>
      </w:r>
    </w:p>
    <w:p>
      <w:pPr>
        <w:spacing w:after="0" w:line="123" w:lineRule="exact"/>
        <w:rPr>
          <w:sz w:val="20"/>
          <w:szCs w:val="20"/>
          <w:color w:val="auto"/>
        </w:rPr>
      </w:pPr>
    </w:p>
    <w:p>
      <w:pPr>
        <w:ind w:firstLine="448"/>
        <w:spacing w:after="0" w:line="275" w:lineRule="auto"/>
        <w:tabs>
          <w:tab w:leader="none" w:pos="683" w:val="left"/>
        </w:tabs>
        <w:numPr>
          <w:ilvl w:val="0"/>
          <w:numId w:val="399"/>
        </w:numPr>
        <w:rPr>
          <w:rFonts w:ascii="Arial" w:cs="Arial" w:eastAsia="Arial" w:hAnsi="Arial"/>
          <w:sz w:val="14"/>
          <w:szCs w:val="14"/>
          <w:b w:val="1"/>
          <w:bCs w:val="1"/>
          <w:color w:val="auto"/>
        </w:rPr>
      </w:pPr>
      <w:r>
        <w:rPr>
          <w:rFonts w:ascii="Arial" w:cs="Arial" w:eastAsia="Arial" w:hAnsi="Arial"/>
          <w:sz w:val="14"/>
          <w:szCs w:val="14"/>
          <w:b w:val="1"/>
          <w:bCs w:val="1"/>
          <w:u w:val="single" w:color="auto"/>
          <w:color w:val="auto"/>
        </w:rPr>
        <w:t>ADOPTION AND STOCKHOLDER APPROVAL</w:t>
      </w:r>
      <w:r>
        <w:rPr>
          <w:rFonts w:ascii="Arial" w:cs="Arial" w:eastAsia="Arial" w:hAnsi="Arial"/>
          <w:sz w:val="14"/>
          <w:szCs w:val="14"/>
          <w:b w:val="1"/>
          <w:bCs w:val="1"/>
          <w:color w:val="auto"/>
        </w:rPr>
        <w:t xml:space="preserve">. </w:t>
      </w:r>
      <w:r>
        <w:rPr>
          <w:rFonts w:ascii="Arial" w:cs="Arial" w:eastAsia="Arial" w:hAnsi="Arial"/>
          <w:sz w:val="14"/>
          <w:szCs w:val="14"/>
          <w:color w:val="auto"/>
        </w:rPr>
        <w:t>This Plan will become effective on the date that it is adopted by the Board (the “</w:t>
      </w:r>
      <w:r>
        <w:rPr>
          <w:rFonts w:ascii="Arial" w:cs="Arial" w:eastAsia="Arial" w:hAnsi="Arial"/>
          <w:sz w:val="14"/>
          <w:szCs w:val="14"/>
          <w:b w:val="1"/>
          <w:bCs w:val="1"/>
          <w:i w:val="1"/>
          <w:iCs w:val="1"/>
          <w:color w:val="auto"/>
        </w:rPr>
        <w:t>Effective Date</w:t>
      </w:r>
      <w:r>
        <w:rPr>
          <w:rFonts w:ascii="Arial" w:cs="Arial" w:eastAsia="Arial" w:hAnsi="Arial"/>
          <w:sz w:val="14"/>
          <w:szCs w:val="14"/>
          <w:color w:val="auto"/>
        </w:rPr>
        <w:t>”). This Plan will be</w:t>
      </w:r>
      <w:r>
        <w:rPr>
          <w:rFonts w:ascii="Arial" w:cs="Arial" w:eastAsia="Arial" w:hAnsi="Arial"/>
          <w:sz w:val="14"/>
          <w:szCs w:val="14"/>
          <w:b w:val="1"/>
          <w:bCs w:val="1"/>
          <w:color w:val="auto"/>
        </w:rPr>
        <w:t xml:space="preserve"> </w:t>
      </w:r>
      <w:r>
        <w:rPr>
          <w:rFonts w:ascii="Arial" w:cs="Arial" w:eastAsia="Arial" w:hAnsi="Arial"/>
          <w:sz w:val="14"/>
          <w:szCs w:val="14"/>
          <w:color w:val="auto"/>
        </w:rPr>
        <w:t>approved by the stockholders of the Company (excluding Shares issued pursuant to this Plan), consistent with applicable laws, within twelve (12) months before or after the Effective Date. Upon the Effective Date, the Board may grant Awards pursuant to this Plan; provided, however, that: (i) no Option may be exercised prior to initial stockholder approval of this Plan; (ii) no Option granted pursuant to an increase in the number of Shares approved by the Board shall be exercised prior to the time such increase has been approved by the stockholders of the Company; (iii) in the event that initial stockholder approval is not obtained within the time period provided herein, all Awards for which only the exemption from California’s securities qualification requirements provided by Section 25102(o) can apply shall be canceled, any Shares issued pursuant to any such Award shall be canceled and any purchase of such Shares issued hereunder shall be rescinded; and (iv) Awards (to which only the exemption from California’s securities qualification requirements provided by Section 25102(o) can apply) granted pursuant to an increase in the number of Shares approved by the Board which increase is not approved by stockholders within the time then required under Section 25102(o) shall be canceled, any Shares issued pursuant to any such Awards shall be canceled, and any purchase of Shares subject to any such Award shall be rescinded.</w:t>
      </w:r>
    </w:p>
    <w:p>
      <w:pPr>
        <w:spacing w:after="0" w:line="144" w:lineRule="exact"/>
        <w:rPr>
          <w:rFonts w:ascii="Arial" w:cs="Arial" w:eastAsia="Arial" w:hAnsi="Arial"/>
          <w:sz w:val="14"/>
          <w:szCs w:val="14"/>
          <w:b w:val="1"/>
          <w:bCs w:val="1"/>
          <w:color w:val="auto"/>
        </w:rPr>
      </w:pPr>
    </w:p>
    <w:p>
      <w:pPr>
        <w:ind w:right="140" w:firstLine="448"/>
        <w:spacing w:after="0" w:line="266" w:lineRule="auto"/>
        <w:tabs>
          <w:tab w:leader="none" w:pos="683" w:val="left"/>
        </w:tabs>
        <w:numPr>
          <w:ilvl w:val="0"/>
          <w:numId w:val="399"/>
        </w:numPr>
        <w:rPr>
          <w:rFonts w:ascii="Arial" w:cs="Arial" w:eastAsia="Arial" w:hAnsi="Arial"/>
          <w:sz w:val="15"/>
          <w:szCs w:val="15"/>
          <w:b w:val="1"/>
          <w:bCs w:val="1"/>
          <w:color w:val="auto"/>
        </w:rPr>
      </w:pPr>
      <w:r>
        <w:rPr>
          <w:rFonts w:ascii="Arial" w:cs="Arial" w:eastAsia="Arial" w:hAnsi="Arial"/>
          <w:sz w:val="15"/>
          <w:szCs w:val="15"/>
          <w:b w:val="1"/>
          <w:bCs w:val="1"/>
          <w:u w:val="single" w:color="auto"/>
          <w:color w:val="auto"/>
        </w:rPr>
        <w:t>TERM OF PLAN/GOVERNING LAW</w:t>
      </w:r>
      <w:r>
        <w:rPr>
          <w:rFonts w:ascii="Arial" w:cs="Arial" w:eastAsia="Arial" w:hAnsi="Arial"/>
          <w:sz w:val="15"/>
          <w:szCs w:val="15"/>
          <w:b w:val="1"/>
          <w:bCs w:val="1"/>
          <w:color w:val="auto"/>
        </w:rPr>
        <w:t xml:space="preserve">. </w:t>
      </w:r>
      <w:r>
        <w:rPr>
          <w:rFonts w:ascii="Arial" w:cs="Arial" w:eastAsia="Arial" w:hAnsi="Arial"/>
          <w:sz w:val="15"/>
          <w:szCs w:val="15"/>
          <w:color w:val="auto"/>
        </w:rPr>
        <w:t>Unless earlier terminated as provided herein, this Plan will automatically terminate ten (10) years after the later of (i) the Effective</w:t>
      </w:r>
      <w:r>
        <w:rPr>
          <w:rFonts w:ascii="Arial" w:cs="Arial" w:eastAsia="Arial" w:hAnsi="Arial"/>
          <w:sz w:val="15"/>
          <w:szCs w:val="15"/>
          <w:b w:val="1"/>
          <w:bCs w:val="1"/>
          <w:color w:val="auto"/>
        </w:rPr>
        <w:t xml:space="preserve"> </w:t>
      </w:r>
      <w:r>
        <w:rPr>
          <w:rFonts w:ascii="Arial" w:cs="Arial" w:eastAsia="Arial" w:hAnsi="Arial"/>
          <w:sz w:val="15"/>
          <w:szCs w:val="15"/>
          <w:color w:val="auto"/>
        </w:rPr>
        <w:t>Date, or (ii) the most recent increase in the number of Shares reserved under Section 2 that was approved by stockholders. This Plan and all agreements hereunder shall be governed by and construed in accordance with the laws of the State of California.</w:t>
      </w:r>
    </w:p>
    <w:p>
      <w:pPr>
        <w:spacing w:after="0" w:line="148" w:lineRule="exact"/>
        <w:rPr>
          <w:rFonts w:ascii="Arial" w:cs="Arial" w:eastAsia="Arial" w:hAnsi="Arial"/>
          <w:sz w:val="15"/>
          <w:szCs w:val="15"/>
          <w:b w:val="1"/>
          <w:bCs w:val="1"/>
          <w:color w:val="auto"/>
        </w:rPr>
      </w:pPr>
    </w:p>
    <w:p>
      <w:pPr>
        <w:ind w:right="60" w:firstLine="448"/>
        <w:spacing w:after="0" w:line="258" w:lineRule="auto"/>
        <w:tabs>
          <w:tab w:leader="none" w:pos="683" w:val="left"/>
        </w:tabs>
        <w:numPr>
          <w:ilvl w:val="0"/>
          <w:numId w:val="399"/>
        </w:numPr>
        <w:rPr>
          <w:rFonts w:ascii="Arial" w:cs="Arial" w:eastAsia="Arial" w:hAnsi="Arial"/>
          <w:sz w:val="15"/>
          <w:szCs w:val="15"/>
          <w:b w:val="1"/>
          <w:bCs w:val="1"/>
          <w:color w:val="auto"/>
        </w:rPr>
      </w:pPr>
      <w:r>
        <w:rPr>
          <w:rFonts w:ascii="Arial" w:cs="Arial" w:eastAsia="Arial" w:hAnsi="Arial"/>
          <w:sz w:val="15"/>
          <w:szCs w:val="15"/>
          <w:b w:val="1"/>
          <w:bCs w:val="1"/>
          <w:u w:val="single" w:color="auto"/>
          <w:color w:val="auto"/>
        </w:rPr>
        <w:t>AMENDMENT OR TERMINATION OF PLAN.</w:t>
      </w:r>
      <w:r>
        <w:rPr>
          <w:rFonts w:ascii="Arial" w:cs="Arial" w:eastAsia="Arial" w:hAnsi="Arial"/>
          <w:sz w:val="15"/>
          <w:szCs w:val="15"/>
          <w:b w:val="1"/>
          <w:bCs w:val="1"/>
          <w:color w:val="auto"/>
        </w:rPr>
        <w:t xml:space="preserve"> </w:t>
      </w:r>
      <w:r>
        <w:rPr>
          <w:rFonts w:ascii="Arial" w:cs="Arial" w:eastAsia="Arial" w:hAnsi="Arial"/>
          <w:sz w:val="15"/>
          <w:szCs w:val="15"/>
          <w:color w:val="auto"/>
        </w:rPr>
        <w:t>Subject to Section 5.9 hereof, the Board may at any time terminate or amend this Plan in any respect, including without</w:t>
      </w:r>
      <w:r>
        <w:rPr>
          <w:rFonts w:ascii="Arial" w:cs="Arial" w:eastAsia="Arial" w:hAnsi="Arial"/>
          <w:sz w:val="15"/>
          <w:szCs w:val="15"/>
          <w:b w:val="1"/>
          <w:bCs w:val="1"/>
          <w:color w:val="auto"/>
        </w:rPr>
        <w:t xml:space="preserve"> </w:t>
      </w:r>
      <w:r>
        <w:rPr>
          <w:rFonts w:ascii="Arial" w:cs="Arial" w:eastAsia="Arial" w:hAnsi="Arial"/>
          <w:sz w:val="15"/>
          <w:szCs w:val="15"/>
          <w:color w:val="auto"/>
        </w:rPr>
        <w:t>limitation amendment of any form of Award Agreement or instrument to be executed pursuant to this Plan; provided, however, that the Board will not, without the approval of the stockholders of the Company, amend this Plan in any manner that requires such stockholder approval pursuant to Section 25102(o) of the California Corporations Code or the Code or the regulations promulgated thereunder as such provisions apply to ISO plans. The termination of the Plan, or any amendment thereof, shall not affect any Share previously issued or any Award previously granted under the Plan.</w:t>
      </w:r>
    </w:p>
    <w:p>
      <w:pPr>
        <w:spacing w:after="0" w:line="155" w:lineRule="exact"/>
        <w:rPr>
          <w:rFonts w:ascii="Arial" w:cs="Arial" w:eastAsia="Arial" w:hAnsi="Arial"/>
          <w:sz w:val="15"/>
          <w:szCs w:val="15"/>
          <w:b w:val="1"/>
          <w:bCs w:val="1"/>
          <w:color w:val="auto"/>
        </w:rPr>
      </w:pPr>
    </w:p>
    <w:p>
      <w:pPr>
        <w:ind w:right="300" w:firstLine="448"/>
        <w:spacing w:after="0" w:line="280" w:lineRule="auto"/>
        <w:tabs>
          <w:tab w:leader="none" w:pos="683" w:val="left"/>
        </w:tabs>
        <w:numPr>
          <w:ilvl w:val="0"/>
          <w:numId w:val="399"/>
        </w:numPr>
        <w:rPr>
          <w:rFonts w:ascii="Arial" w:cs="Arial" w:eastAsia="Arial" w:hAnsi="Arial"/>
          <w:sz w:val="15"/>
          <w:szCs w:val="15"/>
          <w:b w:val="1"/>
          <w:bCs w:val="1"/>
          <w:color w:val="auto"/>
        </w:rPr>
      </w:pPr>
      <w:r>
        <w:rPr>
          <w:rFonts w:ascii="Arial" w:cs="Arial" w:eastAsia="Arial" w:hAnsi="Arial"/>
          <w:sz w:val="15"/>
          <w:szCs w:val="15"/>
          <w:b w:val="1"/>
          <w:bCs w:val="1"/>
          <w:u w:val="single" w:color="auto"/>
          <w:color w:val="auto"/>
        </w:rPr>
        <w:t>NONEXCLUSIVITY OF THE PLAN</w:t>
      </w:r>
      <w:r>
        <w:rPr>
          <w:rFonts w:ascii="Arial" w:cs="Arial" w:eastAsia="Arial" w:hAnsi="Arial"/>
          <w:sz w:val="15"/>
          <w:szCs w:val="15"/>
          <w:b w:val="1"/>
          <w:bCs w:val="1"/>
          <w:color w:val="auto"/>
        </w:rPr>
        <w:t xml:space="preserve">. </w:t>
      </w:r>
      <w:r>
        <w:rPr>
          <w:rFonts w:ascii="Arial" w:cs="Arial" w:eastAsia="Arial" w:hAnsi="Arial"/>
          <w:sz w:val="15"/>
          <w:szCs w:val="15"/>
          <w:color w:val="auto"/>
        </w:rPr>
        <w:t>Neither the adoption of this Plan by the Board, the submission of this Plan to the stockholders of the Company for approval, nor any</w:t>
      </w:r>
      <w:r>
        <w:rPr>
          <w:rFonts w:ascii="Arial" w:cs="Arial" w:eastAsia="Arial" w:hAnsi="Arial"/>
          <w:sz w:val="15"/>
          <w:szCs w:val="15"/>
          <w:b w:val="1"/>
          <w:bCs w:val="1"/>
          <w:color w:val="auto"/>
        </w:rPr>
        <w:t xml:space="preserve"> </w:t>
      </w:r>
      <w:r>
        <w:rPr>
          <w:rFonts w:ascii="Arial" w:cs="Arial" w:eastAsia="Arial" w:hAnsi="Arial"/>
          <w:sz w:val="15"/>
          <w:szCs w:val="15"/>
          <w:color w:val="auto"/>
        </w:rPr>
        <w:t>provision of this Plan will be construed as creating any limitations on the power of the Board to</w:t>
      </w:r>
    </w:p>
    <w:p>
      <w:pPr>
        <w:spacing w:after="0" w:line="87"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12</w:t>
      </w:r>
    </w:p>
    <w:p>
      <w:pPr>
        <w:sectPr>
          <w:pgSz w:w="11900" w:h="16838" w:orient="portrait"/>
          <w:cols w:equalWidth="0" w:num="1">
            <w:col w:w="11420"/>
          </w:cols>
          <w:pgMar w:left="240" w:top="253" w:right="239" w:bottom="1440" w:gutter="0" w:footer="0" w:header="0"/>
        </w:sectPr>
      </w:pPr>
    </w:p>
    <w:bookmarkStart w:id="440" w:name="page441"/>
    <w:bookmarkEnd w:id="440"/>
    <w:p>
      <w:pPr>
        <w:ind w:right="280"/>
        <w:spacing w:after="0" w:line="275"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133350</wp:posOffset>
            </wp:positionH>
            <wp:positionV relativeFrom="page">
              <wp:posOffset>88900</wp:posOffset>
            </wp:positionV>
            <wp:extent cx="7308850" cy="34290"/>
            <wp:wrapNone/>
            <wp:docPr id="617" name="Picture 6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7"/>
                    <pic:cNvPicPr>
                      <a:picLocks noChangeAspect="1" noChangeArrowheads="1"/>
                    </pic:cNvPicPr>
                  </pic:nvPicPr>
                  <pic:blipFill>
                    <a:blip r:embed="rId654">
                      <a:extLst>
                        <a:ext uri="{28A0092B-C50C-407E-A947-70E740481C1C}"/>
                      </a:extLst>
                    </a:blip>
                    <a:srcRect/>
                    <a:stretch>
                      <a:fillRect/>
                    </a:stretch>
                  </pic:blipFill>
                  <pic:spPr bwMode="auto">
                    <a:xfrm>
                      <a:off x="0" y="0"/>
                      <a:ext cx="7308850" cy="34290"/>
                    </a:xfrm>
                    <a:prstGeom prst="rect">
                      <a:avLst/>
                    </a:prstGeom>
                    <a:noFill/>
                  </pic:spPr>
                </pic:pic>
              </a:graphicData>
            </a:graphic>
          </wp:anchor>
        </w:drawing>
        <w:t>adopt such additional compensation arrangements as it may deem desirable, including, without limitation, the granting of stock options and other equity awards otherwise than under this Plan, and such arrangements may be either generally applicable or applicable only in specific cases.</w:t>
      </w:r>
    </w:p>
    <w:p>
      <w:pPr>
        <w:spacing w:after="0" w:line="142" w:lineRule="exact"/>
        <w:rPr>
          <w:sz w:val="20"/>
          <w:szCs w:val="20"/>
          <w:color w:val="auto"/>
        </w:rPr>
      </w:pPr>
    </w:p>
    <w:p>
      <w:pPr>
        <w:ind w:left="680" w:hanging="232"/>
        <w:spacing w:after="0"/>
        <w:tabs>
          <w:tab w:leader="none" w:pos="680" w:val="left"/>
        </w:tabs>
        <w:numPr>
          <w:ilvl w:val="0"/>
          <w:numId w:val="400"/>
        </w:numPr>
        <w:rPr>
          <w:rFonts w:ascii="Arial" w:cs="Arial" w:eastAsia="Arial" w:hAnsi="Arial"/>
          <w:sz w:val="15"/>
          <w:szCs w:val="15"/>
          <w:b w:val="1"/>
          <w:bCs w:val="1"/>
          <w:color w:val="auto"/>
        </w:rPr>
      </w:pPr>
      <w:r>
        <w:rPr>
          <w:rFonts w:ascii="Arial" w:cs="Arial" w:eastAsia="Arial" w:hAnsi="Arial"/>
          <w:sz w:val="15"/>
          <w:szCs w:val="15"/>
          <w:b w:val="1"/>
          <w:bCs w:val="1"/>
          <w:u w:val="single" w:color="auto"/>
          <w:color w:val="auto"/>
        </w:rPr>
        <w:t>DEFINITIONS</w:t>
      </w:r>
      <w:r>
        <w:rPr>
          <w:rFonts w:ascii="Arial" w:cs="Arial" w:eastAsia="Arial" w:hAnsi="Arial"/>
          <w:sz w:val="15"/>
          <w:szCs w:val="15"/>
          <w:b w:val="1"/>
          <w:bCs w:val="1"/>
          <w:color w:val="auto"/>
        </w:rPr>
        <w:t xml:space="preserve">. </w:t>
      </w:r>
      <w:r>
        <w:rPr>
          <w:rFonts w:ascii="Arial" w:cs="Arial" w:eastAsia="Arial" w:hAnsi="Arial"/>
          <w:sz w:val="15"/>
          <w:szCs w:val="15"/>
          <w:color w:val="auto"/>
        </w:rPr>
        <w:t>As used in this Plan, the following terms will have the following meanings:</w:t>
      </w:r>
    </w:p>
    <w:p>
      <w:pPr>
        <w:spacing w:after="0" w:line="192" w:lineRule="exact"/>
        <w:rPr>
          <w:sz w:val="20"/>
          <w:szCs w:val="20"/>
          <w:color w:val="auto"/>
        </w:rPr>
      </w:pPr>
    </w:p>
    <w:p>
      <w:pPr>
        <w:ind w:left="90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i w:val="1"/>
          <w:iCs w:val="1"/>
          <w:color w:val="auto"/>
        </w:rPr>
        <w:t>Award</w:t>
      </w:r>
      <w:r>
        <w:rPr>
          <w:rFonts w:ascii="Arial" w:cs="Arial" w:eastAsia="Arial" w:hAnsi="Arial"/>
          <w:sz w:val="15"/>
          <w:szCs w:val="15"/>
          <w:color w:val="auto"/>
        </w:rPr>
        <w:t>” means any award under this Plan, including any Option, RSU or Restricted Stock Award.</w:t>
      </w:r>
    </w:p>
    <w:p>
      <w:pPr>
        <w:spacing w:after="0" w:line="188" w:lineRule="exact"/>
        <w:rPr>
          <w:sz w:val="20"/>
          <w:szCs w:val="20"/>
          <w:color w:val="auto"/>
        </w:rPr>
      </w:pPr>
    </w:p>
    <w:p>
      <w:pPr>
        <w:ind w:right="60" w:firstLine="916"/>
        <w:spacing w:after="0" w:line="354" w:lineRule="auto"/>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i w:val="1"/>
          <w:iCs w:val="1"/>
          <w:color w:val="auto"/>
        </w:rPr>
        <w:t>Award Agreement</w:t>
      </w:r>
      <w:r>
        <w:rPr>
          <w:rFonts w:ascii="Arial" w:cs="Arial" w:eastAsia="Arial" w:hAnsi="Arial"/>
          <w:sz w:val="13"/>
          <w:szCs w:val="13"/>
          <w:color w:val="auto"/>
        </w:rPr>
        <w:t>” means, with respect to each Award, the signed written or electronic agreement between the Company and the Participant setting forth the terms and conditions of the Award, including the Stock Option Agreement, Restricted Stock Agreement, and Restricted Stock Unit Agreement, which may be executed via written or electronic means.</w:t>
      </w:r>
    </w:p>
    <w:p>
      <w:pPr>
        <w:spacing w:after="0" w:line="100" w:lineRule="exact"/>
        <w:rPr>
          <w:sz w:val="20"/>
          <w:szCs w:val="20"/>
          <w:color w:val="auto"/>
        </w:rPr>
      </w:pPr>
    </w:p>
    <w:p>
      <w:pPr>
        <w:ind w:left="90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i w:val="1"/>
          <w:iCs w:val="1"/>
          <w:color w:val="auto"/>
        </w:rPr>
        <w:t>Board</w:t>
      </w:r>
      <w:r>
        <w:rPr>
          <w:rFonts w:ascii="Arial" w:cs="Arial" w:eastAsia="Arial" w:hAnsi="Arial"/>
          <w:sz w:val="15"/>
          <w:szCs w:val="15"/>
          <w:color w:val="auto"/>
        </w:rPr>
        <w:t>” means the Board of Directors of the Company.</w:t>
      </w:r>
    </w:p>
    <w:p>
      <w:pPr>
        <w:spacing w:after="0" w:line="188" w:lineRule="exact"/>
        <w:rPr>
          <w:sz w:val="20"/>
          <w:szCs w:val="20"/>
          <w:color w:val="auto"/>
        </w:rPr>
      </w:pPr>
    </w:p>
    <w:p>
      <w:pPr>
        <w:ind w:firstLine="916"/>
        <w:spacing w:after="0" w:line="296" w:lineRule="auto"/>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i w:val="1"/>
          <w:iCs w:val="1"/>
          <w:color w:val="auto"/>
        </w:rPr>
        <w:t>Cause</w:t>
      </w:r>
      <w:r>
        <w:rPr>
          <w:rFonts w:ascii="Arial" w:cs="Arial" w:eastAsia="Arial" w:hAnsi="Arial"/>
          <w:sz w:val="13"/>
          <w:szCs w:val="13"/>
          <w:color w:val="auto"/>
        </w:rPr>
        <w:t>” means Termination because of (i) any willful, material violation by the Participant of any law or regulation applicable to the business of the Company or a Parent or Subsidiary of the Company, the Participant’s conviction for, or guilty plea to, a felony or a crime involving moral turpitude, or any willful perpetration by the Participant of a common law fraud, (ii) the Participant’s commission of an act of personal dishonesty which involves personal profit in connection with the Company or any other entity having a business relationship with the Company, (iii) any material breach by the Participant of any provision of any agreement or understanding between the Company or any Parent or Subsidiary of the Company and the Participant regarding the terms of the Participant’s service as an employee, officer, director or consultant to the Company or a Parent or Subsidiary of the Company, including without limitation, the willful and continued failure or refusal of the Participant to perform the material duties required of such Participant as an employee, officer, director or consultant of the Company or a Parent or Subsidiary of the Company, other than as a result of having a Disability, or a breach of any applicable invention assignment and confidentiality agreement or similar agreement between the Company or a Parent or Subsidiary of the Company and the Participant, (iv) Participant’s disregard of the policies of the Company or any Parent or Subsidiary of the Company so as to cause loss, damage or injury to the property, reputation or employees of the Company or a Parent or Subsidiary of the Company, or (v) any other misconduct by the Participant which is materially injurious to the financial condition or business reputation of, or is otherwise materially injurious to, the Company or a Parent or Subsidiary of the Company.</w:t>
      </w:r>
    </w:p>
    <w:p>
      <w:pPr>
        <w:spacing w:after="0" w:line="141" w:lineRule="exact"/>
        <w:rPr>
          <w:sz w:val="20"/>
          <w:szCs w:val="20"/>
          <w:color w:val="auto"/>
        </w:rPr>
      </w:pPr>
    </w:p>
    <w:p>
      <w:pPr>
        <w:ind w:left="90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i w:val="1"/>
          <w:iCs w:val="1"/>
          <w:color w:val="auto"/>
        </w:rPr>
        <w:t>Code</w:t>
      </w:r>
      <w:r>
        <w:rPr>
          <w:rFonts w:ascii="Arial" w:cs="Arial" w:eastAsia="Arial" w:hAnsi="Arial"/>
          <w:sz w:val="15"/>
          <w:szCs w:val="15"/>
          <w:color w:val="auto"/>
        </w:rPr>
        <w:t>” means the Internal Revenue Code of 1986, as amended.</w:t>
      </w:r>
    </w:p>
    <w:p>
      <w:pPr>
        <w:spacing w:after="0" w:line="188" w:lineRule="exact"/>
        <w:rPr>
          <w:sz w:val="20"/>
          <w:szCs w:val="20"/>
          <w:color w:val="auto"/>
        </w:rPr>
      </w:pPr>
    </w:p>
    <w:p>
      <w:pPr>
        <w:ind w:left="90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i w:val="1"/>
          <w:iCs w:val="1"/>
          <w:color w:val="auto"/>
        </w:rPr>
        <w:t>Committee</w:t>
      </w:r>
      <w:r>
        <w:rPr>
          <w:rFonts w:ascii="Arial" w:cs="Arial" w:eastAsia="Arial" w:hAnsi="Arial"/>
          <w:sz w:val="15"/>
          <w:szCs w:val="15"/>
          <w:color w:val="auto"/>
        </w:rPr>
        <w:t>” means the committee created and appointed by the Board to administer this Plan, or if no committee is created and appointed, the Board.</w:t>
      </w:r>
    </w:p>
    <w:p>
      <w:pPr>
        <w:spacing w:after="0" w:line="188" w:lineRule="exact"/>
        <w:rPr>
          <w:sz w:val="20"/>
          <w:szCs w:val="20"/>
          <w:color w:val="auto"/>
        </w:rPr>
      </w:pPr>
    </w:p>
    <w:p>
      <w:pPr>
        <w:ind w:left="90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i w:val="1"/>
          <w:iCs w:val="1"/>
          <w:color w:val="auto"/>
        </w:rPr>
        <w:t>Common Stock</w:t>
      </w:r>
      <w:r>
        <w:rPr>
          <w:rFonts w:ascii="Arial" w:cs="Arial" w:eastAsia="Arial" w:hAnsi="Arial"/>
          <w:sz w:val="15"/>
          <w:szCs w:val="15"/>
          <w:color w:val="auto"/>
        </w:rPr>
        <w:t>” means the Class B Common Stock, $0.00001 par value per share, of the Company.</w:t>
      </w:r>
    </w:p>
    <w:p>
      <w:pPr>
        <w:spacing w:after="0" w:line="188" w:lineRule="exact"/>
        <w:rPr>
          <w:sz w:val="20"/>
          <w:szCs w:val="20"/>
          <w:color w:val="auto"/>
        </w:rPr>
      </w:pPr>
    </w:p>
    <w:p>
      <w:pPr>
        <w:ind w:left="90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i w:val="1"/>
          <w:iCs w:val="1"/>
          <w:color w:val="auto"/>
        </w:rPr>
        <w:t>Company</w:t>
      </w:r>
      <w:r>
        <w:rPr>
          <w:rFonts w:ascii="Arial" w:cs="Arial" w:eastAsia="Arial" w:hAnsi="Arial"/>
          <w:sz w:val="15"/>
          <w:szCs w:val="15"/>
          <w:color w:val="auto"/>
        </w:rPr>
        <w:t>” means Dropbox, Inc., or any successor corporation.</w:t>
      </w:r>
    </w:p>
    <w:p>
      <w:pPr>
        <w:spacing w:after="0" w:line="132"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13</w:t>
      </w:r>
    </w:p>
    <w:p>
      <w:pPr>
        <w:sectPr>
          <w:pgSz w:w="11900" w:h="16838" w:orient="portrait"/>
          <w:cols w:equalWidth="0" w:num="1">
            <w:col w:w="11420"/>
          </w:cols>
          <w:pgMar w:left="240" w:top="253" w:right="239" w:bottom="1440" w:gutter="0" w:footer="0" w:header="0"/>
        </w:sectPr>
      </w:pPr>
    </w:p>
    <w:bookmarkStart w:id="441" w:name="page442"/>
    <w:bookmarkEnd w:id="441"/>
    <w:p>
      <w:pPr>
        <w:ind w:left="900"/>
        <w:spacing w:after="0"/>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133350</wp:posOffset>
            </wp:positionH>
            <wp:positionV relativeFrom="page">
              <wp:posOffset>88900</wp:posOffset>
            </wp:positionV>
            <wp:extent cx="7308850" cy="34290"/>
            <wp:wrapNone/>
            <wp:docPr id="618" name="Picture 6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8"/>
                    <pic:cNvPicPr>
                      <a:picLocks noChangeAspect="1" noChangeArrowheads="1"/>
                    </pic:cNvPicPr>
                  </pic:nvPicPr>
                  <pic:blipFill>
                    <a:blip r:embed="rId655">
                      <a:extLst>
                        <a:ext uri="{28A0092B-C50C-407E-A947-70E740481C1C}"/>
                      </a:extLst>
                    </a:blip>
                    <a:srcRect/>
                    <a:stretch>
                      <a:fillRect/>
                    </a:stretch>
                  </pic:blipFill>
                  <pic:spPr bwMode="auto">
                    <a:xfrm>
                      <a:off x="0" y="0"/>
                      <a:ext cx="7308850" cy="34290"/>
                    </a:xfrm>
                    <a:prstGeom prst="rect">
                      <a:avLst/>
                    </a:prstGeom>
                    <a:noFill/>
                  </pic:spPr>
                </pic:pic>
              </a:graphicData>
            </a:graphic>
          </wp:anchor>
        </w:drawing>
        <w:t>“</w:t>
      </w:r>
      <w:r>
        <w:rPr>
          <w:rFonts w:ascii="Arial" w:cs="Arial" w:eastAsia="Arial" w:hAnsi="Arial"/>
          <w:sz w:val="15"/>
          <w:szCs w:val="15"/>
          <w:b w:val="1"/>
          <w:bCs w:val="1"/>
          <w:i w:val="1"/>
          <w:iCs w:val="1"/>
          <w:color w:val="auto"/>
        </w:rPr>
        <w:t>Disability</w:t>
      </w:r>
      <w:r>
        <w:rPr>
          <w:rFonts w:ascii="Arial" w:cs="Arial" w:eastAsia="Arial" w:hAnsi="Arial"/>
          <w:sz w:val="15"/>
          <w:szCs w:val="15"/>
          <w:color w:val="auto"/>
        </w:rPr>
        <w:t>” means a disability, whether temporary or permanent, partial or total, as determined by the Committee.</w:t>
      </w:r>
    </w:p>
    <w:p>
      <w:pPr>
        <w:spacing w:after="0" w:line="188" w:lineRule="exact"/>
        <w:rPr>
          <w:sz w:val="20"/>
          <w:szCs w:val="20"/>
          <w:color w:val="auto"/>
        </w:rPr>
      </w:pPr>
    </w:p>
    <w:p>
      <w:pPr>
        <w:ind w:left="90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i w:val="1"/>
          <w:iCs w:val="1"/>
          <w:color w:val="auto"/>
        </w:rPr>
        <w:t>Exchange Act</w:t>
      </w:r>
      <w:r>
        <w:rPr>
          <w:rFonts w:ascii="Arial" w:cs="Arial" w:eastAsia="Arial" w:hAnsi="Arial"/>
          <w:sz w:val="15"/>
          <w:szCs w:val="15"/>
          <w:color w:val="auto"/>
        </w:rPr>
        <w:t>” means the Securities Exchange Act of 1934, as amended.</w:t>
      </w:r>
    </w:p>
    <w:p>
      <w:pPr>
        <w:spacing w:after="0" w:line="188" w:lineRule="exact"/>
        <w:rPr>
          <w:sz w:val="20"/>
          <w:szCs w:val="20"/>
          <w:color w:val="auto"/>
        </w:rPr>
      </w:pPr>
    </w:p>
    <w:p>
      <w:pPr>
        <w:ind w:left="90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i w:val="1"/>
          <w:iCs w:val="1"/>
          <w:color w:val="auto"/>
        </w:rPr>
        <w:t>Exercise Price</w:t>
      </w:r>
      <w:r>
        <w:rPr>
          <w:rFonts w:ascii="Arial" w:cs="Arial" w:eastAsia="Arial" w:hAnsi="Arial"/>
          <w:sz w:val="15"/>
          <w:szCs w:val="15"/>
          <w:color w:val="auto"/>
        </w:rPr>
        <w:t>” means the price per Share at which a holder of an Option may purchase Shares issuable upon exercise of the Option.</w:t>
      </w:r>
    </w:p>
    <w:p>
      <w:pPr>
        <w:spacing w:after="0" w:line="188" w:lineRule="exact"/>
        <w:rPr>
          <w:sz w:val="20"/>
          <w:szCs w:val="20"/>
          <w:color w:val="auto"/>
        </w:rPr>
      </w:pPr>
    </w:p>
    <w:p>
      <w:pPr>
        <w:ind w:left="90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i w:val="1"/>
          <w:iCs w:val="1"/>
          <w:color w:val="auto"/>
        </w:rPr>
        <w:t>Fair Market Value</w:t>
      </w:r>
      <w:r>
        <w:rPr>
          <w:rFonts w:ascii="Arial" w:cs="Arial" w:eastAsia="Arial" w:hAnsi="Arial"/>
          <w:sz w:val="15"/>
          <w:szCs w:val="15"/>
          <w:color w:val="auto"/>
        </w:rPr>
        <w:t>” means, as of any date, the value of a share of the Company’s Common Stock determined as follows:</w:t>
      </w:r>
    </w:p>
    <w:p>
      <w:pPr>
        <w:spacing w:after="0" w:line="188" w:lineRule="exact"/>
        <w:rPr>
          <w:sz w:val="20"/>
          <w:szCs w:val="20"/>
          <w:color w:val="auto"/>
        </w:rPr>
      </w:pPr>
    </w:p>
    <w:p>
      <w:pPr>
        <w:ind w:right="100" w:firstLine="1478"/>
        <w:spacing w:after="0" w:line="263" w:lineRule="auto"/>
        <w:tabs>
          <w:tab w:leader="none" w:pos="1692" w:val="left"/>
        </w:tabs>
        <w:numPr>
          <w:ilvl w:val="0"/>
          <w:numId w:val="401"/>
        </w:numPr>
        <w:rPr>
          <w:rFonts w:ascii="Arial" w:cs="Arial" w:eastAsia="Arial" w:hAnsi="Arial"/>
          <w:sz w:val="15"/>
          <w:szCs w:val="15"/>
          <w:color w:val="auto"/>
        </w:rPr>
      </w:pPr>
      <w:r>
        <w:rPr>
          <w:rFonts w:ascii="Arial" w:cs="Arial" w:eastAsia="Arial" w:hAnsi="Arial"/>
          <w:sz w:val="15"/>
          <w:szCs w:val="15"/>
          <w:color w:val="auto"/>
        </w:rPr>
        <w:t xml:space="preserve">if the Company’s Class A Common Stock is then publicly traded on a national securities exchange, the Fair Market Value of the Common Stock will be equal to the closing price of such Class A Common Stock on the date of determination on the principal national securities exchange on which the Class A Common Stock is listed or admitted to trading as reported in </w:t>
      </w:r>
      <w:r>
        <w:rPr>
          <w:rFonts w:ascii="Arial" w:cs="Arial" w:eastAsia="Arial" w:hAnsi="Arial"/>
          <w:sz w:val="15"/>
          <w:szCs w:val="15"/>
          <w:u w:val="single" w:color="auto"/>
          <w:color w:val="auto"/>
        </w:rPr>
        <w:t>The Wall Street Journal</w:t>
      </w:r>
      <w:r>
        <w:rPr>
          <w:rFonts w:ascii="Arial" w:cs="Arial" w:eastAsia="Arial" w:hAnsi="Arial"/>
          <w:sz w:val="15"/>
          <w:szCs w:val="15"/>
          <w:color w:val="auto"/>
        </w:rPr>
        <w:t>;</w:t>
      </w:r>
    </w:p>
    <w:p>
      <w:pPr>
        <w:spacing w:after="0" w:line="154" w:lineRule="exact"/>
        <w:rPr>
          <w:rFonts w:ascii="Arial" w:cs="Arial" w:eastAsia="Arial" w:hAnsi="Arial"/>
          <w:sz w:val="15"/>
          <w:szCs w:val="15"/>
          <w:color w:val="auto"/>
        </w:rPr>
      </w:pPr>
    </w:p>
    <w:p>
      <w:pPr>
        <w:ind w:firstLine="1478"/>
        <w:spacing w:after="0" w:line="290" w:lineRule="auto"/>
        <w:tabs>
          <w:tab w:leader="none" w:pos="1701" w:val="left"/>
        </w:tabs>
        <w:numPr>
          <w:ilvl w:val="0"/>
          <w:numId w:val="401"/>
        </w:numPr>
        <w:rPr>
          <w:rFonts w:ascii="Arial" w:cs="Arial" w:eastAsia="Arial" w:hAnsi="Arial"/>
          <w:sz w:val="14"/>
          <w:szCs w:val="14"/>
          <w:color w:val="auto"/>
        </w:rPr>
      </w:pPr>
      <w:r>
        <w:rPr>
          <w:rFonts w:ascii="Arial" w:cs="Arial" w:eastAsia="Arial" w:hAnsi="Arial"/>
          <w:sz w:val="14"/>
          <w:szCs w:val="14"/>
          <w:color w:val="auto"/>
        </w:rPr>
        <w:t xml:space="preserve">if the Company’s Class A Common Stock is publicly traded but is not quoted on the Nasdaq National Market nor listed or admitted to trading on a national securities exchange, the Fair Market Value of the Common Stock will be equal to the average of the closing bid and asked prices of such Class A Common Stock on the date of determination as reported by </w:t>
      </w:r>
      <w:r>
        <w:rPr>
          <w:rFonts w:ascii="Arial" w:cs="Arial" w:eastAsia="Arial" w:hAnsi="Arial"/>
          <w:sz w:val="14"/>
          <w:szCs w:val="14"/>
          <w:u w:val="single" w:color="auto"/>
          <w:color w:val="auto"/>
        </w:rPr>
        <w:t>The Wall Street Journal</w:t>
      </w:r>
      <w:r>
        <w:rPr>
          <w:rFonts w:ascii="Arial" w:cs="Arial" w:eastAsia="Arial" w:hAnsi="Arial"/>
          <w:sz w:val="14"/>
          <w:szCs w:val="14"/>
          <w:color w:val="auto"/>
        </w:rPr>
        <w:t xml:space="preserve"> (or, if not so reported, as otherwise reported by any newspaper or other source as the Committee may determine); or</w:t>
      </w:r>
    </w:p>
    <w:p>
      <w:pPr>
        <w:spacing w:after="0" w:line="138" w:lineRule="exact"/>
        <w:rPr>
          <w:rFonts w:ascii="Arial" w:cs="Arial" w:eastAsia="Arial" w:hAnsi="Arial"/>
          <w:sz w:val="14"/>
          <w:szCs w:val="14"/>
          <w:color w:val="auto"/>
        </w:rPr>
      </w:pPr>
    </w:p>
    <w:p>
      <w:pPr>
        <w:ind w:left="1680" w:hanging="202"/>
        <w:spacing w:after="0"/>
        <w:tabs>
          <w:tab w:leader="none" w:pos="1680" w:val="left"/>
        </w:tabs>
        <w:numPr>
          <w:ilvl w:val="0"/>
          <w:numId w:val="401"/>
        </w:numPr>
        <w:rPr>
          <w:rFonts w:ascii="Arial" w:cs="Arial" w:eastAsia="Arial" w:hAnsi="Arial"/>
          <w:sz w:val="15"/>
          <w:szCs w:val="15"/>
          <w:color w:val="auto"/>
        </w:rPr>
      </w:pPr>
      <w:r>
        <w:rPr>
          <w:rFonts w:ascii="Arial" w:cs="Arial" w:eastAsia="Arial" w:hAnsi="Arial"/>
          <w:sz w:val="15"/>
          <w:szCs w:val="15"/>
          <w:color w:val="auto"/>
        </w:rPr>
        <w:t>if none of the foregoing is applicable, by the Committee in good faith.</w:t>
      </w:r>
    </w:p>
    <w:p>
      <w:pPr>
        <w:spacing w:after="0" w:line="188" w:lineRule="exact"/>
        <w:rPr>
          <w:sz w:val="20"/>
          <w:szCs w:val="20"/>
          <w:color w:val="auto"/>
        </w:rPr>
      </w:pPr>
    </w:p>
    <w:p>
      <w:pPr>
        <w:ind w:left="90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i w:val="1"/>
          <w:iCs w:val="1"/>
          <w:color w:val="auto"/>
        </w:rPr>
        <w:t>Option</w:t>
      </w:r>
      <w:r>
        <w:rPr>
          <w:rFonts w:ascii="Arial" w:cs="Arial" w:eastAsia="Arial" w:hAnsi="Arial"/>
          <w:sz w:val="15"/>
          <w:szCs w:val="15"/>
          <w:color w:val="auto"/>
        </w:rPr>
        <w:t>” means an award of an option to purchase Shares pursuant to Section 5 hereof.</w:t>
      </w:r>
    </w:p>
    <w:p>
      <w:pPr>
        <w:spacing w:after="0" w:line="188" w:lineRule="exact"/>
        <w:rPr>
          <w:sz w:val="20"/>
          <w:szCs w:val="20"/>
          <w:color w:val="auto"/>
        </w:rPr>
      </w:pPr>
    </w:p>
    <w:p>
      <w:pPr>
        <w:ind w:right="540" w:firstLine="916"/>
        <w:spacing w:after="0" w:line="312" w:lineRule="auto"/>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i w:val="1"/>
          <w:iCs w:val="1"/>
          <w:color w:val="auto"/>
        </w:rPr>
        <w:t>Parent</w:t>
      </w:r>
      <w:r>
        <w:rPr>
          <w:rFonts w:ascii="Arial" w:cs="Arial" w:eastAsia="Arial" w:hAnsi="Arial"/>
          <w:sz w:val="14"/>
          <w:szCs w:val="14"/>
          <w:color w:val="auto"/>
        </w:rPr>
        <w:t>” means any corporation (other than the Company) in an unbroken chain of corporations ending with the Company if each of such corporations other than the Company owns stock representing fifty percent (50%) or more of the total combined voting power of all classes of stock in one of the other corporations in such chain.</w:t>
      </w:r>
    </w:p>
    <w:p>
      <w:pPr>
        <w:spacing w:after="0" w:line="123" w:lineRule="exact"/>
        <w:rPr>
          <w:sz w:val="20"/>
          <w:szCs w:val="20"/>
          <w:color w:val="auto"/>
        </w:rPr>
      </w:pPr>
    </w:p>
    <w:p>
      <w:pPr>
        <w:ind w:left="90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i w:val="1"/>
          <w:iCs w:val="1"/>
          <w:color w:val="auto"/>
        </w:rPr>
        <w:t>Participant</w:t>
      </w:r>
      <w:r>
        <w:rPr>
          <w:rFonts w:ascii="Arial" w:cs="Arial" w:eastAsia="Arial" w:hAnsi="Arial"/>
          <w:sz w:val="15"/>
          <w:szCs w:val="15"/>
          <w:color w:val="auto"/>
        </w:rPr>
        <w:t>” means a person who receives an Award under this Plan.</w:t>
      </w:r>
    </w:p>
    <w:p>
      <w:pPr>
        <w:spacing w:after="0" w:line="188" w:lineRule="exact"/>
        <w:rPr>
          <w:sz w:val="20"/>
          <w:szCs w:val="20"/>
          <w:color w:val="auto"/>
        </w:rPr>
      </w:pPr>
    </w:p>
    <w:p>
      <w:pPr>
        <w:ind w:left="90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i w:val="1"/>
          <w:iCs w:val="1"/>
          <w:color w:val="auto"/>
        </w:rPr>
        <w:t>Plan</w:t>
      </w:r>
      <w:r>
        <w:rPr>
          <w:rFonts w:ascii="Arial" w:cs="Arial" w:eastAsia="Arial" w:hAnsi="Arial"/>
          <w:sz w:val="15"/>
          <w:szCs w:val="15"/>
          <w:color w:val="auto"/>
        </w:rPr>
        <w:t>” means this Dropbox, Inc. Equity Incentive Plan, as amended from time to time.</w:t>
      </w:r>
    </w:p>
    <w:p>
      <w:pPr>
        <w:spacing w:after="0" w:line="188" w:lineRule="exact"/>
        <w:rPr>
          <w:sz w:val="20"/>
          <w:szCs w:val="20"/>
          <w:color w:val="auto"/>
        </w:rPr>
      </w:pPr>
    </w:p>
    <w:p>
      <w:pPr>
        <w:ind w:left="90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i w:val="1"/>
          <w:iCs w:val="1"/>
          <w:color w:val="auto"/>
        </w:rPr>
        <w:t>Purchase Price</w:t>
      </w:r>
      <w:r>
        <w:rPr>
          <w:rFonts w:ascii="Arial" w:cs="Arial" w:eastAsia="Arial" w:hAnsi="Arial"/>
          <w:sz w:val="15"/>
          <w:szCs w:val="15"/>
          <w:color w:val="auto"/>
        </w:rPr>
        <w:t>” means the price at which a Participant may purchase Restricted Stock.</w:t>
      </w:r>
    </w:p>
    <w:p>
      <w:pPr>
        <w:spacing w:after="0" w:line="188" w:lineRule="exact"/>
        <w:rPr>
          <w:sz w:val="20"/>
          <w:szCs w:val="20"/>
          <w:color w:val="auto"/>
        </w:rPr>
      </w:pPr>
    </w:p>
    <w:p>
      <w:pPr>
        <w:ind w:left="90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i w:val="1"/>
          <w:iCs w:val="1"/>
          <w:color w:val="auto"/>
        </w:rPr>
        <w:t>Restricted Stock</w:t>
      </w:r>
      <w:r>
        <w:rPr>
          <w:rFonts w:ascii="Arial" w:cs="Arial" w:eastAsia="Arial" w:hAnsi="Arial"/>
          <w:sz w:val="15"/>
          <w:szCs w:val="15"/>
          <w:color w:val="auto"/>
        </w:rPr>
        <w:t>” means Shares purchased pursuant to a Restricted Stock Award.</w:t>
      </w:r>
    </w:p>
    <w:p>
      <w:pPr>
        <w:spacing w:after="0" w:line="188" w:lineRule="exact"/>
        <w:rPr>
          <w:sz w:val="20"/>
          <w:szCs w:val="20"/>
          <w:color w:val="auto"/>
        </w:rPr>
      </w:pPr>
    </w:p>
    <w:p>
      <w:pPr>
        <w:ind w:left="90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i w:val="1"/>
          <w:iCs w:val="1"/>
          <w:color w:val="auto"/>
        </w:rPr>
        <w:t>Restricted Stock Award</w:t>
      </w:r>
      <w:r>
        <w:rPr>
          <w:rFonts w:ascii="Arial" w:cs="Arial" w:eastAsia="Arial" w:hAnsi="Arial"/>
          <w:sz w:val="15"/>
          <w:szCs w:val="15"/>
          <w:color w:val="auto"/>
        </w:rPr>
        <w:t>” means an award of Shares pursuant to Section 6 hereof.</w:t>
      </w:r>
    </w:p>
    <w:p>
      <w:pPr>
        <w:spacing w:after="0" w:line="132" w:lineRule="exact"/>
        <w:rPr>
          <w:sz w:val="20"/>
          <w:szCs w:val="20"/>
          <w:color w:val="auto"/>
        </w:rPr>
      </w:pPr>
    </w:p>
    <w:p>
      <w:pPr>
        <w:ind w:left="5640"/>
        <w:spacing w:after="0"/>
        <w:rPr>
          <w:sz w:val="20"/>
          <w:szCs w:val="20"/>
          <w:color w:val="auto"/>
        </w:rPr>
      </w:pPr>
      <w:r>
        <w:rPr>
          <w:rFonts w:ascii="Arial" w:cs="Arial" w:eastAsia="Arial" w:hAnsi="Arial"/>
          <w:sz w:val="15"/>
          <w:szCs w:val="15"/>
          <w:color w:val="auto"/>
        </w:rPr>
        <w:t>14</w:t>
      </w:r>
    </w:p>
    <w:p>
      <w:pPr>
        <w:sectPr>
          <w:pgSz w:w="11900" w:h="16838" w:orient="portrait"/>
          <w:cols w:equalWidth="0" w:num="1">
            <w:col w:w="11420"/>
          </w:cols>
          <w:pgMar w:left="240" w:top="253" w:right="239" w:bottom="1440" w:gutter="0" w:footer="0" w:header="0"/>
        </w:sectPr>
      </w:pPr>
    </w:p>
    <w:bookmarkStart w:id="442" w:name="page443"/>
    <w:bookmarkEnd w:id="442"/>
    <w:p>
      <w:pPr>
        <w:ind w:left="900"/>
        <w:spacing w:after="0"/>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133350</wp:posOffset>
            </wp:positionH>
            <wp:positionV relativeFrom="page">
              <wp:posOffset>88900</wp:posOffset>
            </wp:positionV>
            <wp:extent cx="7308850" cy="34290"/>
            <wp:wrapNone/>
            <wp:docPr id="619" name="Picture 6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9"/>
                    <pic:cNvPicPr>
                      <a:picLocks noChangeAspect="1" noChangeArrowheads="1"/>
                    </pic:cNvPicPr>
                  </pic:nvPicPr>
                  <pic:blipFill>
                    <a:blip r:embed="rId656">
                      <a:extLst>
                        <a:ext uri="{28A0092B-C50C-407E-A947-70E740481C1C}"/>
                      </a:extLst>
                    </a:blip>
                    <a:srcRect/>
                    <a:stretch>
                      <a:fillRect/>
                    </a:stretch>
                  </pic:blipFill>
                  <pic:spPr bwMode="auto">
                    <a:xfrm>
                      <a:off x="0" y="0"/>
                      <a:ext cx="7308850" cy="34290"/>
                    </a:xfrm>
                    <a:prstGeom prst="rect">
                      <a:avLst/>
                    </a:prstGeom>
                    <a:noFill/>
                  </pic:spPr>
                </pic:pic>
              </a:graphicData>
            </a:graphic>
          </wp:anchor>
        </w:drawing>
        <w:t>“</w:t>
      </w:r>
      <w:r>
        <w:rPr>
          <w:rFonts w:ascii="Arial" w:cs="Arial" w:eastAsia="Arial" w:hAnsi="Arial"/>
          <w:sz w:val="15"/>
          <w:szCs w:val="15"/>
          <w:b w:val="1"/>
          <w:bCs w:val="1"/>
          <w:i w:val="1"/>
          <w:iCs w:val="1"/>
          <w:color w:val="auto"/>
        </w:rPr>
        <w:t>Restricted Stock Unit</w:t>
      </w:r>
      <w:r>
        <w:rPr>
          <w:rFonts w:ascii="Arial" w:cs="Arial" w:eastAsia="Arial" w:hAnsi="Arial"/>
          <w:sz w:val="15"/>
          <w:szCs w:val="15"/>
          <w:color w:val="auto"/>
        </w:rPr>
        <w:t>” or “</w:t>
      </w:r>
      <w:r>
        <w:rPr>
          <w:rFonts w:ascii="Arial" w:cs="Arial" w:eastAsia="Arial" w:hAnsi="Arial"/>
          <w:sz w:val="15"/>
          <w:szCs w:val="15"/>
          <w:b w:val="1"/>
          <w:bCs w:val="1"/>
          <w:i w:val="1"/>
          <w:iCs w:val="1"/>
          <w:color w:val="auto"/>
        </w:rPr>
        <w:t>RSU</w:t>
      </w:r>
      <w:r>
        <w:rPr>
          <w:rFonts w:ascii="Arial" w:cs="Arial" w:eastAsia="Arial" w:hAnsi="Arial"/>
          <w:sz w:val="15"/>
          <w:szCs w:val="15"/>
          <w:color w:val="auto"/>
        </w:rPr>
        <w:t>” means an award made pursuant to Section 7 hereof.</w:t>
      </w:r>
    </w:p>
    <w:p>
      <w:pPr>
        <w:spacing w:after="0" w:line="188" w:lineRule="exact"/>
        <w:rPr>
          <w:sz w:val="20"/>
          <w:szCs w:val="20"/>
          <w:color w:val="auto"/>
        </w:rPr>
      </w:pPr>
    </w:p>
    <w:p>
      <w:pPr>
        <w:ind w:left="90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i w:val="1"/>
          <w:iCs w:val="1"/>
          <w:color w:val="auto"/>
        </w:rPr>
        <w:t>SEC</w:t>
      </w:r>
      <w:r>
        <w:rPr>
          <w:rFonts w:ascii="Arial" w:cs="Arial" w:eastAsia="Arial" w:hAnsi="Arial"/>
          <w:sz w:val="15"/>
          <w:szCs w:val="15"/>
          <w:color w:val="auto"/>
        </w:rPr>
        <w:t>” means the Securities and Exchange Commission.</w:t>
      </w:r>
    </w:p>
    <w:p>
      <w:pPr>
        <w:spacing w:after="0" w:line="188" w:lineRule="exact"/>
        <w:rPr>
          <w:sz w:val="20"/>
          <w:szCs w:val="20"/>
          <w:color w:val="auto"/>
        </w:rPr>
      </w:pPr>
    </w:p>
    <w:p>
      <w:pPr>
        <w:ind w:left="90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i w:val="1"/>
          <w:iCs w:val="1"/>
          <w:color w:val="auto"/>
        </w:rPr>
        <w:t>Securities Act</w:t>
      </w:r>
      <w:r>
        <w:rPr>
          <w:rFonts w:ascii="Arial" w:cs="Arial" w:eastAsia="Arial" w:hAnsi="Arial"/>
          <w:sz w:val="15"/>
          <w:szCs w:val="15"/>
          <w:color w:val="auto"/>
        </w:rPr>
        <w:t>” means the Securities Act of 1933, as amended.</w:t>
      </w:r>
    </w:p>
    <w:p>
      <w:pPr>
        <w:spacing w:after="0" w:line="188" w:lineRule="exact"/>
        <w:rPr>
          <w:sz w:val="20"/>
          <w:szCs w:val="20"/>
          <w:color w:val="auto"/>
        </w:rPr>
      </w:pPr>
    </w:p>
    <w:p>
      <w:pPr>
        <w:ind w:left="90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i w:val="1"/>
          <w:iCs w:val="1"/>
          <w:color w:val="auto"/>
        </w:rPr>
        <w:t>Shares</w:t>
      </w:r>
      <w:r>
        <w:rPr>
          <w:rFonts w:ascii="Arial" w:cs="Arial" w:eastAsia="Arial" w:hAnsi="Arial"/>
          <w:sz w:val="13"/>
          <w:szCs w:val="13"/>
          <w:color w:val="auto"/>
        </w:rPr>
        <w:t>” means shares of the Company’s Common Stock reserved for issuance under this Plan, as adjusted pursuant to Sections 2 and 18 hereof, and any successor security.</w:t>
      </w:r>
    </w:p>
    <w:p>
      <w:pPr>
        <w:spacing w:after="0" w:line="211" w:lineRule="exact"/>
        <w:rPr>
          <w:sz w:val="20"/>
          <w:szCs w:val="20"/>
          <w:color w:val="auto"/>
        </w:rPr>
      </w:pPr>
    </w:p>
    <w:p>
      <w:pPr>
        <w:ind w:right="80" w:firstLine="916"/>
        <w:spacing w:after="0" w:line="263"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i w:val="1"/>
          <w:iCs w:val="1"/>
          <w:color w:val="auto"/>
        </w:rPr>
        <w:t>Subsidiary</w:t>
      </w:r>
      <w:r>
        <w:rPr>
          <w:rFonts w:ascii="Arial" w:cs="Arial" w:eastAsia="Arial" w:hAnsi="Arial"/>
          <w:sz w:val="15"/>
          <w:szCs w:val="15"/>
          <w:color w:val="auto"/>
        </w:rPr>
        <w:t>” means any corporation (other than the Company) in an unbroken chain of corporations beginning with the Company if each of the corporations other than the last corporation in the unbroken chain owns stock representing fifty percent (50%) or more of the total combined voting power of all classes of stock in one of the other corporations in such chain.</w:t>
      </w:r>
    </w:p>
    <w:p>
      <w:pPr>
        <w:spacing w:after="0" w:line="155" w:lineRule="exact"/>
        <w:rPr>
          <w:sz w:val="20"/>
          <w:szCs w:val="20"/>
          <w:color w:val="auto"/>
        </w:rPr>
      </w:pPr>
    </w:p>
    <w:p>
      <w:pPr>
        <w:ind w:firstLine="916"/>
        <w:spacing w:after="0" w:line="298" w:lineRule="auto"/>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i w:val="1"/>
          <w:iCs w:val="1"/>
          <w:color w:val="auto"/>
        </w:rPr>
        <w:t>Termination</w:t>
      </w:r>
      <w:r>
        <w:rPr>
          <w:rFonts w:ascii="Arial" w:cs="Arial" w:eastAsia="Arial" w:hAnsi="Arial"/>
          <w:sz w:val="13"/>
          <w:szCs w:val="13"/>
          <w:color w:val="auto"/>
        </w:rPr>
        <w:t>” or “</w:t>
      </w:r>
      <w:r>
        <w:rPr>
          <w:rFonts w:ascii="Arial" w:cs="Arial" w:eastAsia="Arial" w:hAnsi="Arial"/>
          <w:sz w:val="13"/>
          <w:szCs w:val="13"/>
          <w:b w:val="1"/>
          <w:bCs w:val="1"/>
          <w:i w:val="1"/>
          <w:iCs w:val="1"/>
          <w:color w:val="auto"/>
        </w:rPr>
        <w:t>Terminated</w:t>
      </w:r>
      <w:r>
        <w:rPr>
          <w:rFonts w:ascii="Arial" w:cs="Arial" w:eastAsia="Arial" w:hAnsi="Arial"/>
          <w:sz w:val="13"/>
          <w:szCs w:val="13"/>
          <w:color w:val="auto"/>
        </w:rPr>
        <w:t>” means, for purposes of this Plan with respect to a Participant, that the Participant has for any reason ceased to provide services as an employee, officer, director or consultant to the Company or a Parent or Subsidiary of the Company. A Participant will not be deemed to have ceased to provide services in the case of (i) sick leave, (ii) military leave, or (iii) any other leave of absence approved by the Committee, provided that such leave is for a period of not more than ninety (90) days (a) unless reinstatement (or, in the case of an employee with an ISO, reemployment) upon the expiration of such leave is guaranteed by contract or statute, or (b) unless provided otherwise pursuant to formal policy adopted from time to time by the Company’s Board and issued and promulgated in writing. In the case of any Participant on (i) sick leave, (ii) military leave or (iii) an approved leave of absence, the Committee may make such provisions respecting suspension of vesting of the Award while on leave from the Company or a Parent or Subsidiary of the Company as it may deem appropriate, except that in no event may an Option be exercised after the expiration of the term set forth in the Stock Option Agreement. The Committee will have sole discretion to determine whether a Participant has ceased to provide services and the effective date on which the Participant ceased to provide services (the “</w:t>
      </w:r>
      <w:r>
        <w:rPr>
          <w:rFonts w:ascii="Arial" w:cs="Arial" w:eastAsia="Arial" w:hAnsi="Arial"/>
          <w:sz w:val="13"/>
          <w:szCs w:val="13"/>
          <w:b w:val="1"/>
          <w:bCs w:val="1"/>
          <w:i w:val="1"/>
          <w:iCs w:val="1"/>
          <w:color w:val="auto"/>
        </w:rPr>
        <w:t>Termination Date</w:t>
      </w:r>
      <w:r>
        <w:rPr>
          <w:rFonts w:ascii="Arial" w:cs="Arial" w:eastAsia="Arial" w:hAnsi="Arial"/>
          <w:sz w:val="13"/>
          <w:szCs w:val="13"/>
          <w:color w:val="auto"/>
        </w:rPr>
        <w:t>”).</w:t>
      </w:r>
    </w:p>
    <w:p>
      <w:pPr>
        <w:spacing w:after="0" w:line="139" w:lineRule="exact"/>
        <w:rPr>
          <w:sz w:val="20"/>
          <w:szCs w:val="20"/>
          <w:color w:val="auto"/>
        </w:rPr>
      </w:pPr>
    </w:p>
    <w:p>
      <w:pPr>
        <w:ind w:left="90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i w:val="1"/>
          <w:iCs w:val="1"/>
          <w:color w:val="auto"/>
        </w:rPr>
        <w:t>Unvested Shares</w:t>
      </w:r>
      <w:r>
        <w:rPr>
          <w:rFonts w:ascii="Arial" w:cs="Arial" w:eastAsia="Arial" w:hAnsi="Arial"/>
          <w:sz w:val="15"/>
          <w:szCs w:val="15"/>
          <w:color w:val="auto"/>
        </w:rPr>
        <w:t>” means “</w:t>
      </w:r>
      <w:r>
        <w:rPr>
          <w:rFonts w:ascii="Arial" w:cs="Arial" w:eastAsia="Arial" w:hAnsi="Arial"/>
          <w:sz w:val="15"/>
          <w:szCs w:val="15"/>
          <w:b w:val="1"/>
          <w:bCs w:val="1"/>
          <w:i w:val="1"/>
          <w:iCs w:val="1"/>
          <w:color w:val="auto"/>
        </w:rPr>
        <w:t>Unvested Shares</w:t>
      </w:r>
      <w:r>
        <w:rPr>
          <w:rFonts w:ascii="Arial" w:cs="Arial" w:eastAsia="Arial" w:hAnsi="Arial"/>
          <w:sz w:val="15"/>
          <w:szCs w:val="15"/>
          <w:color w:val="auto"/>
        </w:rPr>
        <w:t>” as defined in the Award Agreement.</w:t>
      </w:r>
    </w:p>
    <w:p>
      <w:pPr>
        <w:spacing w:after="0" w:line="188" w:lineRule="exact"/>
        <w:rPr>
          <w:sz w:val="20"/>
          <w:szCs w:val="20"/>
          <w:color w:val="auto"/>
        </w:rPr>
      </w:pPr>
    </w:p>
    <w:p>
      <w:pPr>
        <w:ind w:left="90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i w:val="1"/>
          <w:iCs w:val="1"/>
          <w:color w:val="auto"/>
        </w:rPr>
        <w:t>Vested Shares</w:t>
      </w:r>
      <w:r>
        <w:rPr>
          <w:rFonts w:ascii="Arial" w:cs="Arial" w:eastAsia="Arial" w:hAnsi="Arial"/>
          <w:sz w:val="15"/>
          <w:szCs w:val="15"/>
          <w:color w:val="auto"/>
        </w:rPr>
        <w:t>” means “</w:t>
      </w:r>
      <w:r>
        <w:rPr>
          <w:rFonts w:ascii="Arial" w:cs="Arial" w:eastAsia="Arial" w:hAnsi="Arial"/>
          <w:sz w:val="15"/>
          <w:szCs w:val="15"/>
          <w:b w:val="1"/>
          <w:bCs w:val="1"/>
          <w:i w:val="1"/>
          <w:iCs w:val="1"/>
          <w:color w:val="auto"/>
        </w:rPr>
        <w:t>Vested Shares</w:t>
      </w:r>
      <w:r>
        <w:rPr>
          <w:rFonts w:ascii="Arial" w:cs="Arial" w:eastAsia="Arial" w:hAnsi="Arial"/>
          <w:sz w:val="15"/>
          <w:szCs w:val="15"/>
          <w:color w:val="auto"/>
        </w:rPr>
        <w:t>” as defined in the Award Agreement.</w:t>
      </w:r>
    </w:p>
    <w:p>
      <w:pPr>
        <w:spacing w:after="0" w:line="132"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15</w:t>
      </w:r>
    </w:p>
    <w:p>
      <w:pPr>
        <w:sectPr>
          <w:pgSz w:w="11900" w:h="16838" w:orient="portrait"/>
          <w:cols w:equalWidth="0" w:num="1">
            <w:col w:w="11420"/>
          </w:cols>
          <w:pgMar w:left="240" w:top="253" w:right="239" w:bottom="1440" w:gutter="0" w:footer="0" w:header="0"/>
        </w:sectPr>
      </w:pPr>
    </w:p>
    <w:bookmarkStart w:id="443" w:name="page444"/>
    <w:bookmarkEnd w:id="443"/>
    <w:p>
      <w:pPr>
        <w:jc w:val="center"/>
        <w:ind w:right="-19"/>
        <w:spacing w:after="0"/>
        <w:rPr>
          <w:sz w:val="20"/>
          <w:szCs w:val="20"/>
          <w:color w:val="auto"/>
        </w:rPr>
      </w:pPr>
      <w:r>
        <w:rPr>
          <w:rFonts w:ascii="Arial" w:cs="Arial" w:eastAsia="Arial" w:hAnsi="Arial"/>
          <w:sz w:val="15"/>
          <w:szCs w:val="15"/>
          <w:b w:val="1"/>
          <w:bCs w:val="1"/>
          <w:color w:val="auto"/>
        </w:rPr>
        <w:drawing>
          <wp:anchor simplePos="0" relativeHeight="251657728" behindDoc="1" locked="0" layoutInCell="0" allowOverlap="1">
            <wp:simplePos x="0" y="0"/>
            <wp:positionH relativeFrom="page">
              <wp:posOffset>133350</wp:posOffset>
            </wp:positionH>
            <wp:positionV relativeFrom="page">
              <wp:posOffset>88900</wp:posOffset>
            </wp:positionV>
            <wp:extent cx="7308850" cy="34290"/>
            <wp:wrapNone/>
            <wp:docPr id="620" name="Picture 6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0"/>
                    <pic:cNvPicPr>
                      <a:picLocks noChangeAspect="1" noChangeArrowheads="1"/>
                    </pic:cNvPicPr>
                  </pic:nvPicPr>
                  <pic:blipFill>
                    <a:blip r:embed="rId657">
                      <a:extLst>
                        <a:ext uri="{28A0092B-C50C-407E-A947-70E740481C1C}"/>
                      </a:extLst>
                    </a:blip>
                    <a:srcRect/>
                    <a:stretch>
                      <a:fillRect/>
                    </a:stretch>
                  </pic:blipFill>
                  <pic:spPr bwMode="auto">
                    <a:xfrm>
                      <a:off x="0" y="0"/>
                      <a:ext cx="7308850" cy="34290"/>
                    </a:xfrm>
                    <a:prstGeom prst="rect">
                      <a:avLst/>
                    </a:prstGeom>
                    <a:noFill/>
                  </pic:spPr>
                </pic:pic>
              </a:graphicData>
            </a:graphic>
          </wp:anchor>
        </w:drawing>
        <w:t>DROPBOX, INC.</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2008 EQUITY INCENTIVE PLAN</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STOCK OPTION AGREEMENT</w:t>
      </w:r>
    </w:p>
    <w:p>
      <w:pPr>
        <w:spacing w:after="0" w:line="192" w:lineRule="exact"/>
        <w:rPr>
          <w:sz w:val="20"/>
          <w:szCs w:val="20"/>
          <w:color w:val="auto"/>
        </w:rPr>
      </w:pPr>
    </w:p>
    <w:p>
      <w:pPr>
        <w:jc w:val="both"/>
        <w:ind w:right="280" w:firstLine="458"/>
        <w:spacing w:after="0" w:line="263" w:lineRule="auto"/>
        <w:rPr>
          <w:sz w:val="20"/>
          <w:szCs w:val="20"/>
          <w:color w:val="auto"/>
        </w:rPr>
      </w:pPr>
      <w:r>
        <w:rPr>
          <w:rFonts w:ascii="Arial" w:cs="Arial" w:eastAsia="Arial" w:hAnsi="Arial"/>
          <w:sz w:val="15"/>
          <w:szCs w:val="15"/>
          <w:color w:val="auto"/>
        </w:rPr>
        <w:t>This Stock Option Agreement (the “</w:t>
      </w:r>
      <w:r>
        <w:rPr>
          <w:rFonts w:ascii="Arial" w:cs="Arial" w:eastAsia="Arial" w:hAnsi="Arial"/>
          <w:sz w:val="15"/>
          <w:szCs w:val="15"/>
          <w:i w:val="1"/>
          <w:iCs w:val="1"/>
          <w:color w:val="auto"/>
        </w:rPr>
        <w:t>Agreement</w:t>
      </w:r>
      <w:r>
        <w:rPr>
          <w:rFonts w:ascii="Arial" w:cs="Arial" w:eastAsia="Arial" w:hAnsi="Arial"/>
          <w:sz w:val="15"/>
          <w:szCs w:val="15"/>
          <w:color w:val="auto"/>
        </w:rPr>
        <w:t>”) is made and entered into as of the date of grant set forth below (the “</w:t>
      </w:r>
      <w:r>
        <w:rPr>
          <w:rFonts w:ascii="Arial" w:cs="Arial" w:eastAsia="Arial" w:hAnsi="Arial"/>
          <w:sz w:val="15"/>
          <w:szCs w:val="15"/>
          <w:i w:val="1"/>
          <w:iCs w:val="1"/>
          <w:color w:val="auto"/>
        </w:rPr>
        <w:t>Date of Grant</w:t>
      </w:r>
      <w:r>
        <w:rPr>
          <w:rFonts w:ascii="Arial" w:cs="Arial" w:eastAsia="Arial" w:hAnsi="Arial"/>
          <w:sz w:val="15"/>
          <w:szCs w:val="15"/>
          <w:color w:val="auto"/>
        </w:rPr>
        <w:t>”) by and between Dropbox, Inc., a Delaware corporation (the “</w:t>
      </w:r>
      <w:r>
        <w:rPr>
          <w:rFonts w:ascii="Arial" w:cs="Arial" w:eastAsia="Arial" w:hAnsi="Arial"/>
          <w:sz w:val="15"/>
          <w:szCs w:val="15"/>
          <w:b w:val="1"/>
          <w:bCs w:val="1"/>
          <w:i w:val="1"/>
          <w:iCs w:val="1"/>
          <w:color w:val="auto"/>
        </w:rPr>
        <w:t>Company</w:t>
      </w:r>
      <w:r>
        <w:rPr>
          <w:rFonts w:ascii="Arial" w:cs="Arial" w:eastAsia="Arial" w:hAnsi="Arial"/>
          <w:sz w:val="15"/>
          <w:szCs w:val="15"/>
          <w:color w:val="auto"/>
        </w:rPr>
        <w:t>”), and the participant named below (the “</w:t>
      </w:r>
      <w:r>
        <w:rPr>
          <w:rFonts w:ascii="Arial" w:cs="Arial" w:eastAsia="Arial" w:hAnsi="Arial"/>
          <w:sz w:val="15"/>
          <w:szCs w:val="15"/>
          <w:b w:val="1"/>
          <w:bCs w:val="1"/>
          <w:i w:val="1"/>
          <w:iCs w:val="1"/>
          <w:color w:val="auto"/>
        </w:rPr>
        <w:t>Participant</w:t>
      </w:r>
      <w:r>
        <w:rPr>
          <w:rFonts w:ascii="Arial" w:cs="Arial" w:eastAsia="Arial" w:hAnsi="Arial"/>
          <w:sz w:val="15"/>
          <w:szCs w:val="15"/>
          <w:color w:val="auto"/>
        </w:rPr>
        <w:t>”). Capitalized terms not defined herein shall have the meaning ascribed to them in the Company’s 2008 Equity Incentive Plan (the “</w:t>
      </w:r>
      <w:r>
        <w:rPr>
          <w:rFonts w:ascii="Arial" w:cs="Arial" w:eastAsia="Arial" w:hAnsi="Arial"/>
          <w:sz w:val="15"/>
          <w:szCs w:val="15"/>
          <w:b w:val="1"/>
          <w:bCs w:val="1"/>
          <w:i w:val="1"/>
          <w:iCs w:val="1"/>
          <w:color w:val="auto"/>
        </w:rPr>
        <w:t>Plan</w:t>
      </w:r>
      <w:r>
        <w:rPr>
          <w:rFonts w:ascii="Arial" w:cs="Arial" w:eastAsia="Arial" w:hAnsi="Arial"/>
          <w:sz w:val="15"/>
          <w:szCs w:val="15"/>
          <w:color w:val="auto"/>
        </w:rPr>
        <w:t>”).</w:t>
      </w:r>
    </w:p>
    <w:p>
      <w:pPr>
        <w:spacing w:after="0" w:line="17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Grant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2035175</wp:posOffset>
            </wp:positionH>
            <wp:positionV relativeFrom="paragraph">
              <wp:posOffset>14605</wp:posOffset>
            </wp:positionV>
            <wp:extent cx="4139565" cy="6985"/>
            <wp:wrapNone/>
            <wp:docPr id="621" name="Picture 6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1"/>
                    <pic:cNvPicPr>
                      <a:picLocks noChangeAspect="1" noChangeArrowheads="1"/>
                    </pic:cNvPicPr>
                  </pic:nvPicPr>
                  <pic:blipFill>
                    <a:blip r:embed="rId658">
                      <a:extLst>
                        <a:ext uri="{28A0092B-C50C-407E-A947-70E740481C1C}"/>
                      </a:extLst>
                    </a:blip>
                    <a:srcRect/>
                    <a:stretch>
                      <a:fillRect/>
                    </a:stretch>
                  </pic:blipFill>
                  <pic:spPr bwMode="auto">
                    <a:xfrm>
                      <a:off x="0" y="0"/>
                      <a:ext cx="4139565" cy="6985"/>
                    </a:xfrm>
                    <a:prstGeom prst="rect">
                      <a:avLst/>
                    </a:prstGeom>
                    <a:noFill/>
                  </pic:spPr>
                </pic:pic>
              </a:graphicData>
            </a:graphic>
          </wp:anchor>
        </w:drawing>
      </w:r>
    </w:p>
    <w:p>
      <w:pPr>
        <w:spacing w:after="0" w:line="1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Participant: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2035175</wp:posOffset>
            </wp:positionH>
            <wp:positionV relativeFrom="paragraph">
              <wp:posOffset>14605</wp:posOffset>
            </wp:positionV>
            <wp:extent cx="4139565" cy="6985"/>
            <wp:wrapNone/>
            <wp:docPr id="622" name="Picture 6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2"/>
                    <pic:cNvPicPr>
                      <a:picLocks noChangeAspect="1" noChangeArrowheads="1"/>
                    </pic:cNvPicPr>
                  </pic:nvPicPr>
                  <pic:blipFill>
                    <a:blip r:embed="rId659">
                      <a:extLst>
                        <a:ext uri="{28A0092B-C50C-407E-A947-70E740481C1C}"/>
                      </a:extLst>
                    </a:blip>
                    <a:srcRect/>
                    <a:stretch>
                      <a:fillRect/>
                    </a:stretch>
                  </pic:blipFill>
                  <pic:spPr bwMode="auto">
                    <a:xfrm>
                      <a:off x="0" y="0"/>
                      <a:ext cx="4139565" cy="6985"/>
                    </a:xfrm>
                    <a:prstGeom prst="rect">
                      <a:avLst/>
                    </a:prstGeom>
                    <a:noFill/>
                  </pic:spPr>
                </pic:pic>
              </a:graphicData>
            </a:graphic>
          </wp:anchor>
        </w:drawing>
      </w:r>
    </w:p>
    <w:p>
      <w:pPr>
        <w:spacing w:after="0" w:line="1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2035175</wp:posOffset>
            </wp:positionH>
            <wp:positionV relativeFrom="paragraph">
              <wp:posOffset>14605</wp:posOffset>
            </wp:positionV>
            <wp:extent cx="4139565" cy="6985"/>
            <wp:wrapNone/>
            <wp:docPr id="623" name="Picture 6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3"/>
                    <pic:cNvPicPr>
                      <a:picLocks noChangeAspect="1" noChangeArrowheads="1"/>
                    </pic:cNvPicPr>
                  </pic:nvPicPr>
                  <pic:blipFill>
                    <a:blip r:embed="rId660">
                      <a:extLst>
                        <a:ext uri="{28A0092B-C50C-407E-A947-70E740481C1C}"/>
                      </a:extLst>
                    </a:blip>
                    <a:srcRect/>
                    <a:stretch>
                      <a:fillRect/>
                    </a:stretch>
                  </pic:blipFill>
                  <pic:spPr bwMode="auto">
                    <a:xfrm>
                      <a:off x="0" y="0"/>
                      <a:ext cx="4139565" cy="6985"/>
                    </a:xfrm>
                    <a:prstGeom prst="rect">
                      <a:avLst/>
                    </a:prstGeom>
                    <a:noFill/>
                  </pic:spPr>
                </pic:pic>
              </a:graphicData>
            </a:graphic>
          </wp:anchor>
        </w:drawing>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200" w:type="dxa"/>
            <w:vAlign w:val="bottom"/>
          </w:tcPr>
          <w:p>
            <w:pPr>
              <w:spacing w:after="0"/>
              <w:rPr>
                <w:sz w:val="20"/>
                <w:szCs w:val="20"/>
                <w:color w:val="auto"/>
              </w:rPr>
            </w:pPr>
            <w:r>
              <w:rPr>
                <w:rFonts w:ascii="Arial" w:cs="Arial" w:eastAsia="Arial" w:hAnsi="Arial"/>
                <w:sz w:val="15"/>
                <w:szCs w:val="15"/>
                <w:b w:val="1"/>
                <w:bCs w:val="1"/>
                <w:color w:val="auto"/>
              </w:rPr>
              <w:t>Total Option Shares:</w:t>
            </w:r>
          </w:p>
        </w:tc>
        <w:tc>
          <w:tcPr>
            <w:tcW w:w="6520" w:type="dxa"/>
            <w:vAlign w:val="bottom"/>
            <w:tcBorders>
              <w:top w:val="single" w:sz="8" w:color="auto"/>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3200" w:type="dxa"/>
            <w:vAlign w:val="bottom"/>
          </w:tcPr>
          <w:p>
            <w:pPr>
              <w:spacing w:after="0"/>
              <w:rPr>
                <w:sz w:val="20"/>
                <w:szCs w:val="20"/>
                <w:color w:val="auto"/>
              </w:rPr>
            </w:pPr>
            <w:r>
              <w:rPr>
                <w:rFonts w:ascii="Arial" w:cs="Arial" w:eastAsia="Arial" w:hAnsi="Arial"/>
                <w:sz w:val="15"/>
                <w:szCs w:val="15"/>
                <w:b w:val="1"/>
                <w:bCs w:val="1"/>
                <w:color w:val="auto"/>
              </w:rPr>
              <w:t>Exercise Price Per Share:</w:t>
            </w:r>
          </w:p>
        </w:tc>
        <w:tc>
          <w:tcPr>
            <w:tcW w:w="6520" w:type="dxa"/>
            <w:vAlign w:val="bottom"/>
            <w:tcBorders>
              <w:bottom w:val="single" w:sz="8" w:color="auto"/>
            </w:tcBorders>
          </w:tcPr>
          <w:p>
            <w:pPr>
              <w:spacing w:after="0"/>
              <w:rPr>
                <w:sz w:val="20"/>
                <w:szCs w:val="20"/>
                <w:color w:val="auto"/>
              </w:rPr>
            </w:pPr>
            <w:r>
              <w:rPr>
                <w:rFonts w:ascii="Arial" w:cs="Arial" w:eastAsia="Arial" w:hAnsi="Arial"/>
                <w:sz w:val="15"/>
                <w:szCs w:val="15"/>
                <w:b w:val="1"/>
                <w:bCs w:val="1"/>
                <w:color w:val="auto"/>
              </w:rPr>
              <w:t>$</w:t>
            </w:r>
          </w:p>
        </w:tc>
        <w:tc>
          <w:tcPr>
            <w:tcW w:w="0" w:type="dxa"/>
            <w:vAlign w:val="bottom"/>
          </w:tcPr>
          <w:p>
            <w:pPr>
              <w:spacing w:after="0"/>
              <w:rPr>
                <w:sz w:val="1"/>
                <w:szCs w:val="1"/>
                <w:color w:val="auto"/>
              </w:rPr>
            </w:pPr>
          </w:p>
        </w:tc>
      </w:tr>
      <w:tr>
        <w:trPr>
          <w:trHeight w:val="182"/>
        </w:trPr>
        <w:tc>
          <w:tcPr>
            <w:tcW w:w="3200" w:type="dxa"/>
            <w:vAlign w:val="bottom"/>
          </w:tcPr>
          <w:p>
            <w:pPr>
              <w:spacing w:after="0"/>
              <w:rPr>
                <w:sz w:val="20"/>
                <w:szCs w:val="20"/>
                <w:color w:val="auto"/>
              </w:rPr>
            </w:pPr>
            <w:r>
              <w:rPr>
                <w:rFonts w:ascii="Arial" w:cs="Arial" w:eastAsia="Arial" w:hAnsi="Arial"/>
                <w:sz w:val="15"/>
                <w:szCs w:val="15"/>
                <w:b w:val="1"/>
                <w:bCs w:val="1"/>
                <w:color w:val="auto"/>
              </w:rPr>
              <w:t>Date of Grant:</w:t>
            </w:r>
          </w:p>
        </w:tc>
        <w:tc>
          <w:tcPr>
            <w:tcW w:w="65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3200" w:type="dxa"/>
            <w:vAlign w:val="bottom"/>
          </w:tcPr>
          <w:p>
            <w:pPr>
              <w:spacing w:after="0"/>
              <w:rPr>
                <w:sz w:val="20"/>
                <w:szCs w:val="20"/>
                <w:color w:val="auto"/>
              </w:rPr>
            </w:pPr>
            <w:r>
              <w:rPr>
                <w:rFonts w:ascii="Arial" w:cs="Arial" w:eastAsia="Arial" w:hAnsi="Arial"/>
                <w:sz w:val="15"/>
                <w:szCs w:val="15"/>
                <w:b w:val="1"/>
                <w:bCs w:val="1"/>
                <w:color w:val="auto"/>
              </w:rPr>
              <w:t>First Vesting Date:</w:t>
            </w:r>
          </w:p>
        </w:tc>
        <w:tc>
          <w:tcPr>
            <w:tcW w:w="65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3200" w:type="dxa"/>
            <w:vAlign w:val="bottom"/>
          </w:tcPr>
          <w:p>
            <w:pPr>
              <w:spacing w:after="0"/>
              <w:rPr>
                <w:sz w:val="20"/>
                <w:szCs w:val="20"/>
                <w:color w:val="auto"/>
              </w:rPr>
            </w:pPr>
            <w:r>
              <w:rPr>
                <w:rFonts w:ascii="Arial" w:cs="Arial" w:eastAsia="Arial" w:hAnsi="Arial"/>
                <w:sz w:val="15"/>
                <w:szCs w:val="15"/>
                <w:b w:val="1"/>
                <w:bCs w:val="1"/>
                <w:color w:val="auto"/>
              </w:rPr>
              <w:t>Expiration Date:</w:t>
            </w:r>
          </w:p>
        </w:tc>
        <w:tc>
          <w:tcPr>
            <w:tcW w:w="65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3200" w:type="dxa"/>
            <w:vAlign w:val="bottom"/>
            <w:vMerge w:val="restart"/>
          </w:tcPr>
          <w:p>
            <w:pPr>
              <w:spacing w:after="0"/>
              <w:rPr>
                <w:sz w:val="20"/>
                <w:szCs w:val="20"/>
                <w:color w:val="auto"/>
              </w:rPr>
            </w:pPr>
            <w:r>
              <w:rPr>
                <w:rFonts w:ascii="Arial" w:cs="Arial" w:eastAsia="Arial" w:hAnsi="Arial"/>
                <w:sz w:val="15"/>
                <w:szCs w:val="15"/>
                <w:b w:val="1"/>
                <w:bCs w:val="1"/>
                <w:color w:val="auto"/>
              </w:rPr>
              <w:t>Type of Stock Option</w:t>
            </w:r>
          </w:p>
        </w:tc>
        <w:tc>
          <w:tcPr>
            <w:tcW w:w="6520" w:type="dxa"/>
            <w:vAlign w:val="bottom"/>
          </w:tcPr>
          <w:p>
            <w:pPr>
              <w:spacing w:after="0"/>
              <w:rPr>
                <w:sz w:val="20"/>
                <w:szCs w:val="20"/>
                <w:color w:val="auto"/>
              </w:rPr>
            </w:pPr>
            <w:r>
              <w:rPr>
                <w:rFonts w:ascii="Arial" w:cs="Arial" w:eastAsia="Arial" w:hAnsi="Arial"/>
                <w:sz w:val="15"/>
                <w:szCs w:val="15"/>
                <w:color w:val="auto"/>
              </w:rPr>
              <w:t>(unless earlier terminated under Section 5.6 of the Plan)</w:t>
            </w:r>
          </w:p>
        </w:tc>
        <w:tc>
          <w:tcPr>
            <w:tcW w:w="0" w:type="dxa"/>
            <w:vAlign w:val="bottom"/>
          </w:tcPr>
          <w:p>
            <w:pPr>
              <w:spacing w:after="0"/>
              <w:rPr>
                <w:sz w:val="1"/>
                <w:szCs w:val="1"/>
                <w:color w:val="auto"/>
              </w:rPr>
            </w:pPr>
          </w:p>
        </w:tc>
      </w:tr>
      <w:tr>
        <w:trPr>
          <w:trHeight w:val="167"/>
        </w:trPr>
        <w:tc>
          <w:tcPr>
            <w:tcW w:w="3200" w:type="dxa"/>
            <w:vAlign w:val="bottom"/>
            <w:vMerge w:val="continue"/>
          </w:tcPr>
          <w:p>
            <w:pPr>
              <w:spacing w:after="0"/>
              <w:rPr>
                <w:sz w:val="14"/>
                <w:szCs w:val="14"/>
                <w:color w:val="auto"/>
              </w:rPr>
            </w:pPr>
          </w:p>
        </w:tc>
        <w:tc>
          <w:tcPr>
            <w:tcW w:w="6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3200" w:type="dxa"/>
            <w:vAlign w:val="bottom"/>
          </w:tcPr>
          <w:p>
            <w:pPr>
              <w:spacing w:after="0"/>
              <w:rPr>
                <w:sz w:val="20"/>
                <w:szCs w:val="20"/>
                <w:color w:val="auto"/>
              </w:rPr>
            </w:pPr>
            <w:r>
              <w:rPr>
                <w:rFonts w:ascii="Arial" w:cs="Arial" w:eastAsia="Arial" w:hAnsi="Arial"/>
                <w:sz w:val="15"/>
                <w:szCs w:val="15"/>
                <w:b w:val="1"/>
                <w:bCs w:val="1"/>
                <w:color w:val="auto"/>
              </w:rPr>
              <w:t>(Check one):</w:t>
            </w:r>
          </w:p>
        </w:tc>
        <w:tc>
          <w:tcPr>
            <w:tcW w:w="6520" w:type="dxa"/>
            <w:vAlign w:val="bottom"/>
          </w:tcPr>
          <w:p>
            <w:pPr>
              <w:spacing w:after="0"/>
              <w:rPr>
                <w:sz w:val="20"/>
                <w:szCs w:val="20"/>
                <w:color w:val="auto"/>
              </w:rPr>
            </w:pPr>
            <w:r>
              <w:rPr>
                <w:rFonts w:ascii="Arial" w:cs="Arial" w:eastAsia="Arial" w:hAnsi="Arial"/>
                <w:sz w:val="15"/>
                <w:szCs w:val="15"/>
                <w:b w:val="1"/>
                <w:bCs w:val="1"/>
                <w:color w:val="auto"/>
              </w:rPr>
              <w:t>[  ] Incentive Stock Option</w:t>
            </w:r>
          </w:p>
        </w:tc>
        <w:tc>
          <w:tcPr>
            <w:tcW w:w="0" w:type="dxa"/>
            <w:vAlign w:val="bottom"/>
          </w:tcPr>
          <w:p>
            <w:pPr>
              <w:spacing w:after="0"/>
              <w:rPr>
                <w:sz w:val="1"/>
                <w:szCs w:val="1"/>
                <w:color w:val="auto"/>
              </w:rPr>
            </w:pPr>
          </w:p>
        </w:tc>
      </w:tr>
    </w:tbl>
    <w:p>
      <w:pPr>
        <w:ind w:left="3400" w:hanging="195"/>
        <w:spacing w:after="0"/>
        <w:tabs>
          <w:tab w:leader="none" w:pos="3400" w:val="left"/>
        </w:tabs>
        <w:numPr>
          <w:ilvl w:val="1"/>
          <w:numId w:val="402"/>
        </w:numPr>
        <w:rPr>
          <w:rFonts w:ascii="Arial" w:cs="Arial" w:eastAsia="Arial" w:hAnsi="Arial"/>
          <w:sz w:val="15"/>
          <w:szCs w:val="15"/>
          <w:b w:val="1"/>
          <w:bCs w:val="1"/>
          <w:color w:val="auto"/>
        </w:rPr>
      </w:pPr>
      <w:r>
        <w:rPr>
          <w:rFonts w:ascii="Arial" w:cs="Arial" w:eastAsia="Arial" w:hAnsi="Arial"/>
          <w:sz w:val="15"/>
          <w:szCs w:val="15"/>
          <w:b w:val="1"/>
          <w:bCs w:val="1"/>
          <w:color w:val="auto"/>
        </w:rPr>
        <w:t>] Nonqualified Stock Option</w:t>
      </w:r>
    </w:p>
    <w:p>
      <w:pPr>
        <w:spacing w:after="0" w:line="174" w:lineRule="exact"/>
        <w:rPr>
          <w:rFonts w:ascii="Arial" w:cs="Arial" w:eastAsia="Arial" w:hAnsi="Arial"/>
          <w:sz w:val="15"/>
          <w:szCs w:val="15"/>
          <w:b w:val="1"/>
          <w:bCs w:val="1"/>
          <w:color w:val="auto"/>
        </w:rPr>
      </w:pPr>
    </w:p>
    <w:p>
      <w:pPr>
        <w:ind w:right="40" w:firstLine="448"/>
        <w:spacing w:after="0" w:line="261" w:lineRule="auto"/>
        <w:tabs>
          <w:tab w:leader="none" w:pos="608" w:val="left"/>
        </w:tabs>
        <w:numPr>
          <w:ilvl w:val="0"/>
          <w:numId w:val="402"/>
        </w:numPr>
        <w:rPr>
          <w:rFonts w:ascii="Arial" w:cs="Arial" w:eastAsia="Arial" w:hAnsi="Arial"/>
          <w:sz w:val="15"/>
          <w:szCs w:val="15"/>
          <w:b w:val="1"/>
          <w:bCs w:val="1"/>
          <w:color w:val="auto"/>
        </w:rPr>
      </w:pPr>
      <w:r>
        <w:rPr>
          <w:rFonts w:ascii="Arial" w:cs="Arial" w:eastAsia="Arial" w:hAnsi="Arial"/>
          <w:sz w:val="15"/>
          <w:szCs w:val="15"/>
          <w:b w:val="1"/>
          <w:bCs w:val="1"/>
          <w:u w:val="single" w:color="auto"/>
          <w:color w:val="auto"/>
        </w:rPr>
        <w:t>Grant of Option</w:t>
      </w:r>
      <w:r>
        <w:rPr>
          <w:rFonts w:ascii="Arial" w:cs="Arial" w:eastAsia="Arial" w:hAnsi="Arial"/>
          <w:sz w:val="15"/>
          <w:szCs w:val="15"/>
          <w:b w:val="1"/>
          <w:bCs w:val="1"/>
          <w:color w:val="auto"/>
        </w:rPr>
        <w:t xml:space="preserve">. </w:t>
      </w:r>
      <w:r>
        <w:rPr>
          <w:rFonts w:ascii="Arial" w:cs="Arial" w:eastAsia="Arial" w:hAnsi="Arial"/>
          <w:sz w:val="15"/>
          <w:szCs w:val="15"/>
          <w:color w:val="auto"/>
        </w:rPr>
        <w:t>The Company hereby grants to Participant an option (this “</w:t>
      </w:r>
      <w:r>
        <w:rPr>
          <w:rFonts w:ascii="Arial" w:cs="Arial" w:eastAsia="Arial" w:hAnsi="Arial"/>
          <w:sz w:val="15"/>
          <w:szCs w:val="15"/>
          <w:b w:val="1"/>
          <w:bCs w:val="1"/>
          <w:i w:val="1"/>
          <w:iCs w:val="1"/>
          <w:color w:val="auto"/>
        </w:rPr>
        <w:t>Option</w:t>
      </w:r>
      <w:r>
        <w:rPr>
          <w:rFonts w:ascii="Arial" w:cs="Arial" w:eastAsia="Arial" w:hAnsi="Arial"/>
          <w:sz w:val="15"/>
          <w:szCs w:val="15"/>
          <w:color w:val="auto"/>
        </w:rPr>
        <w:t>”) to purchase the total number of shares of Common Stock of the Company set forth above as</w:t>
      </w:r>
      <w:r>
        <w:rPr>
          <w:rFonts w:ascii="Arial" w:cs="Arial" w:eastAsia="Arial" w:hAnsi="Arial"/>
          <w:sz w:val="15"/>
          <w:szCs w:val="15"/>
          <w:b w:val="1"/>
          <w:bCs w:val="1"/>
          <w:color w:val="auto"/>
        </w:rPr>
        <w:t xml:space="preserve"> </w:t>
      </w:r>
      <w:r>
        <w:rPr>
          <w:rFonts w:ascii="Arial" w:cs="Arial" w:eastAsia="Arial" w:hAnsi="Arial"/>
          <w:sz w:val="15"/>
          <w:szCs w:val="15"/>
          <w:color w:val="auto"/>
        </w:rPr>
        <w:t>Total Option Shares (the “</w:t>
      </w:r>
      <w:r>
        <w:rPr>
          <w:rFonts w:ascii="Arial" w:cs="Arial" w:eastAsia="Arial" w:hAnsi="Arial"/>
          <w:sz w:val="15"/>
          <w:szCs w:val="15"/>
          <w:b w:val="1"/>
          <w:bCs w:val="1"/>
          <w:i w:val="1"/>
          <w:iCs w:val="1"/>
          <w:color w:val="auto"/>
        </w:rPr>
        <w:t>Shares</w:t>
      </w:r>
      <w:r>
        <w:rPr>
          <w:rFonts w:ascii="Arial" w:cs="Arial" w:eastAsia="Arial" w:hAnsi="Arial"/>
          <w:sz w:val="15"/>
          <w:szCs w:val="15"/>
          <w:color w:val="auto"/>
        </w:rPr>
        <w:t>”) at the Exercise Price Per Share set forth above (the “</w:t>
      </w:r>
      <w:r>
        <w:rPr>
          <w:rFonts w:ascii="Arial" w:cs="Arial" w:eastAsia="Arial" w:hAnsi="Arial"/>
          <w:sz w:val="15"/>
          <w:szCs w:val="15"/>
          <w:b w:val="1"/>
          <w:bCs w:val="1"/>
          <w:i w:val="1"/>
          <w:iCs w:val="1"/>
          <w:color w:val="auto"/>
        </w:rPr>
        <w:t>Exercise Price</w:t>
      </w:r>
      <w:r>
        <w:rPr>
          <w:rFonts w:ascii="Arial" w:cs="Arial" w:eastAsia="Arial" w:hAnsi="Arial"/>
          <w:sz w:val="15"/>
          <w:szCs w:val="15"/>
          <w:color w:val="auto"/>
        </w:rPr>
        <w:t>”), subject to all of the terms and conditions of this Agreement and the Plan. If designated as an Incentive Stock Option above, the Option is intended to qualify as an “incentive stock option” (the “</w:t>
      </w:r>
      <w:r>
        <w:rPr>
          <w:rFonts w:ascii="Arial" w:cs="Arial" w:eastAsia="Arial" w:hAnsi="Arial"/>
          <w:sz w:val="15"/>
          <w:szCs w:val="15"/>
          <w:b w:val="1"/>
          <w:bCs w:val="1"/>
          <w:i w:val="1"/>
          <w:iCs w:val="1"/>
          <w:color w:val="auto"/>
        </w:rPr>
        <w:t>ISO</w:t>
      </w:r>
      <w:r>
        <w:rPr>
          <w:rFonts w:ascii="Arial" w:cs="Arial" w:eastAsia="Arial" w:hAnsi="Arial"/>
          <w:sz w:val="15"/>
          <w:szCs w:val="15"/>
          <w:color w:val="auto"/>
        </w:rPr>
        <w:t>”) within the meaning of Section 422 of the Internal Revenue Code of 1986, as amended (the “</w:t>
      </w:r>
      <w:r>
        <w:rPr>
          <w:rFonts w:ascii="Arial" w:cs="Arial" w:eastAsia="Arial" w:hAnsi="Arial"/>
          <w:sz w:val="15"/>
          <w:szCs w:val="15"/>
          <w:b w:val="1"/>
          <w:bCs w:val="1"/>
          <w:i w:val="1"/>
          <w:iCs w:val="1"/>
          <w:color w:val="auto"/>
        </w:rPr>
        <w:t>Code</w:t>
      </w:r>
      <w:r>
        <w:rPr>
          <w:rFonts w:ascii="Arial" w:cs="Arial" w:eastAsia="Arial" w:hAnsi="Arial"/>
          <w:sz w:val="15"/>
          <w:szCs w:val="15"/>
          <w:color w:val="auto"/>
        </w:rPr>
        <w:t>”).</w:t>
      </w:r>
    </w:p>
    <w:p>
      <w:pPr>
        <w:spacing w:after="0" w:line="242" w:lineRule="exact"/>
        <w:rPr>
          <w:rFonts w:ascii="Arial" w:cs="Arial" w:eastAsia="Arial" w:hAnsi="Arial"/>
          <w:sz w:val="15"/>
          <w:szCs w:val="15"/>
          <w:b w:val="1"/>
          <w:bCs w:val="1"/>
          <w:color w:val="auto"/>
        </w:rPr>
      </w:pPr>
    </w:p>
    <w:p>
      <w:pPr>
        <w:ind w:left="600" w:hanging="152"/>
        <w:spacing w:after="0"/>
        <w:tabs>
          <w:tab w:leader="none" w:pos="600" w:val="left"/>
        </w:tabs>
        <w:numPr>
          <w:ilvl w:val="0"/>
          <w:numId w:val="402"/>
        </w:numPr>
        <w:rPr>
          <w:rFonts w:ascii="Arial" w:cs="Arial" w:eastAsia="Arial" w:hAnsi="Arial"/>
          <w:sz w:val="15"/>
          <w:szCs w:val="15"/>
          <w:b w:val="1"/>
          <w:bCs w:val="1"/>
          <w:color w:val="auto"/>
        </w:rPr>
      </w:pPr>
      <w:r>
        <w:rPr>
          <w:rFonts w:ascii="Arial" w:cs="Arial" w:eastAsia="Arial" w:hAnsi="Arial"/>
          <w:sz w:val="15"/>
          <w:szCs w:val="15"/>
          <w:b w:val="1"/>
          <w:bCs w:val="1"/>
          <w:u w:val="single" w:color="auto"/>
          <w:color w:val="auto"/>
        </w:rPr>
        <w:t>Exercise Period</w:t>
      </w:r>
      <w:r>
        <w:rPr>
          <w:rFonts w:ascii="Arial" w:cs="Arial" w:eastAsia="Arial" w:hAnsi="Arial"/>
          <w:sz w:val="15"/>
          <w:szCs w:val="15"/>
          <w:b w:val="1"/>
          <w:bCs w:val="1"/>
          <w:color w:val="auto"/>
        </w:rPr>
        <w:t>.</w:t>
      </w:r>
    </w:p>
    <w:p>
      <w:pPr>
        <w:spacing w:after="0" w:line="102" w:lineRule="exact"/>
        <w:rPr>
          <w:sz w:val="20"/>
          <w:szCs w:val="20"/>
          <w:color w:val="auto"/>
        </w:rPr>
      </w:pPr>
    </w:p>
    <w:p>
      <w:pPr>
        <w:ind w:firstLine="916"/>
        <w:spacing w:after="0" w:line="294" w:lineRule="auto"/>
        <w:rPr>
          <w:sz w:val="20"/>
          <w:szCs w:val="20"/>
          <w:color w:val="auto"/>
        </w:rPr>
      </w:pPr>
      <w:r>
        <w:rPr>
          <w:rFonts w:ascii="Arial" w:cs="Arial" w:eastAsia="Arial" w:hAnsi="Arial"/>
          <w:sz w:val="13"/>
          <w:szCs w:val="13"/>
          <w:color w:val="auto"/>
        </w:rPr>
        <w:t xml:space="preserve">2.1 </w:t>
      </w:r>
      <w:r>
        <w:rPr>
          <w:rFonts w:ascii="Arial" w:cs="Arial" w:eastAsia="Arial" w:hAnsi="Arial"/>
          <w:sz w:val="13"/>
          <w:szCs w:val="13"/>
          <w:u w:val="single" w:color="auto"/>
          <w:color w:val="auto"/>
        </w:rPr>
        <w:t>Exercise Period of Option</w:t>
      </w:r>
      <w:r>
        <w:rPr>
          <w:rFonts w:ascii="Arial" w:cs="Arial" w:eastAsia="Arial" w:hAnsi="Arial"/>
          <w:sz w:val="13"/>
          <w:szCs w:val="13"/>
          <w:color w:val="auto"/>
        </w:rPr>
        <w:t xml:space="preserve">. This Option is immediately exercisable although the Shares issued upon exercise of the Option will be subject to the restrictions on transfer and Repurchase Options set forth in Sections 7, 8 and 9 below. Provided Participant continues to provide services to the Company or to any Parent or Subsidiary of the Company, the Shares issuable upon exercise of this Option will become vested with respect to % of the Shares on the First Vesting Date set forth on the first page of this Agreement (the </w:t>
      </w:r>
      <w:r>
        <w:rPr>
          <w:rFonts w:ascii="Arial" w:cs="Arial" w:eastAsia="Arial" w:hAnsi="Arial"/>
          <w:sz w:val="13"/>
          <w:szCs w:val="13"/>
          <w:b w:val="1"/>
          <w:bCs w:val="1"/>
          <w:i w:val="1"/>
          <w:iCs w:val="1"/>
          <w:color w:val="auto"/>
        </w:rPr>
        <w:t>“First Vesting Date”</w:t>
      </w:r>
      <w:r>
        <w:rPr>
          <w:rFonts w:ascii="Arial" w:cs="Arial" w:eastAsia="Arial" w:hAnsi="Arial"/>
          <w:sz w:val="13"/>
          <w:szCs w:val="13"/>
          <w:color w:val="auto"/>
        </w:rPr>
        <w:t>)</w:t>
      </w:r>
    </w:p>
    <w:p>
      <w:pPr>
        <w:spacing w:after="0" w:line="1" w:lineRule="exact"/>
        <w:rPr>
          <w:sz w:val="20"/>
          <w:szCs w:val="20"/>
          <w:color w:val="auto"/>
        </w:rPr>
      </w:pPr>
    </w:p>
    <w:p>
      <w:pPr>
        <w:ind w:right="140"/>
        <w:spacing w:after="0" w:line="262" w:lineRule="auto"/>
        <w:rPr>
          <w:sz w:val="20"/>
          <w:szCs w:val="20"/>
          <w:color w:val="auto"/>
        </w:rPr>
      </w:pPr>
      <w:r>
        <w:rPr>
          <w:rFonts w:ascii="Arial" w:cs="Arial" w:eastAsia="Arial" w:hAnsi="Arial"/>
          <w:sz w:val="15"/>
          <w:szCs w:val="15"/>
          <w:color w:val="auto"/>
        </w:rPr>
        <w:t>and thereafter on the corresponding day of the month as the First Vesting Date an additional of the Shares will become vested (or if there is no such day in any month, then the last day of such calendar month) until the Shares are vested with respect to all of</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1</w:t>
      </w:r>
    </w:p>
    <w:p>
      <w:pPr>
        <w:sectPr>
          <w:pgSz w:w="11900" w:h="16838" w:orient="portrait"/>
          <w:cols w:equalWidth="0" w:num="1">
            <w:col w:w="11420"/>
          </w:cols>
          <w:pgMar w:left="240" w:top="249" w:right="239" w:bottom="1440" w:gutter="0" w:footer="0" w:header="0"/>
        </w:sectPr>
      </w:pPr>
    </w:p>
    <w:bookmarkStart w:id="444" w:name="page445"/>
    <w:bookmarkEnd w:id="444"/>
    <w:p>
      <w:pPr>
        <w:ind w:right="220"/>
        <w:spacing w:after="0" w:line="259"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133350</wp:posOffset>
            </wp:positionH>
            <wp:positionV relativeFrom="page">
              <wp:posOffset>88900</wp:posOffset>
            </wp:positionV>
            <wp:extent cx="7308850" cy="34290"/>
            <wp:wrapNone/>
            <wp:docPr id="624" name="Picture 6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4"/>
                    <pic:cNvPicPr>
                      <a:picLocks noChangeAspect="1" noChangeArrowheads="1"/>
                    </pic:cNvPicPr>
                  </pic:nvPicPr>
                  <pic:blipFill>
                    <a:blip r:embed="rId661">
                      <a:extLst>
                        <a:ext uri="{28A0092B-C50C-407E-A947-70E740481C1C}"/>
                      </a:extLst>
                    </a:blip>
                    <a:srcRect/>
                    <a:stretch>
                      <a:fillRect/>
                    </a:stretch>
                  </pic:blipFill>
                  <pic:spPr bwMode="auto">
                    <a:xfrm>
                      <a:off x="0" y="0"/>
                      <a:ext cx="7308850" cy="34290"/>
                    </a:xfrm>
                    <a:prstGeom prst="rect">
                      <a:avLst/>
                    </a:prstGeom>
                    <a:noFill/>
                  </pic:spPr>
                </pic:pic>
              </a:graphicData>
            </a:graphic>
          </wp:anchor>
        </w:drawing>
        <w:t>the Shares. Unvested Shares may not be sold or otherwise transferred by Participant without the Company’s prior written consent. Notwithstanding any provision in the Plan or this Agreement to the contrary, Options for Unvested Shares (as defined in Section 2.2 of this Agreement) will not be exercisable on or after Participant’s Termination Date. Participant agrees and acknowledges that the vesting schedule set forth in this Section 2.1 may change prospectively in the event that Participant’s service status changes between full and part time status in accordance with Company policies relating to work schedules and vesting of equity awards.</w:t>
      </w:r>
    </w:p>
    <w:p>
      <w:pPr>
        <w:spacing w:after="0" w:line="158" w:lineRule="exact"/>
        <w:rPr>
          <w:sz w:val="20"/>
          <w:szCs w:val="20"/>
          <w:color w:val="auto"/>
        </w:rPr>
      </w:pPr>
    </w:p>
    <w:p>
      <w:pPr>
        <w:ind w:right="300" w:firstLine="916"/>
        <w:spacing w:after="0" w:line="275" w:lineRule="auto"/>
        <w:rPr>
          <w:sz w:val="20"/>
          <w:szCs w:val="20"/>
          <w:color w:val="auto"/>
        </w:rPr>
      </w:pPr>
      <w:r>
        <w:rPr>
          <w:rFonts w:ascii="Arial" w:cs="Arial" w:eastAsia="Arial" w:hAnsi="Arial"/>
          <w:sz w:val="15"/>
          <w:szCs w:val="15"/>
          <w:color w:val="auto"/>
        </w:rPr>
        <w:t xml:space="preserve">2.2 </w:t>
      </w:r>
      <w:r>
        <w:rPr>
          <w:rFonts w:ascii="Arial" w:cs="Arial" w:eastAsia="Arial" w:hAnsi="Arial"/>
          <w:sz w:val="15"/>
          <w:szCs w:val="15"/>
          <w:u w:val="single" w:color="auto"/>
          <w:color w:val="auto"/>
        </w:rPr>
        <w:t>Vesting of Options</w:t>
      </w:r>
      <w:r>
        <w:rPr>
          <w:rFonts w:ascii="Arial" w:cs="Arial" w:eastAsia="Arial" w:hAnsi="Arial"/>
          <w:sz w:val="15"/>
          <w:szCs w:val="15"/>
          <w:color w:val="auto"/>
        </w:rPr>
        <w:t>. Shares that are vested pursuant to the schedule set forth in Section 2.1 are “</w:t>
      </w:r>
      <w:r>
        <w:rPr>
          <w:rFonts w:ascii="Arial" w:cs="Arial" w:eastAsia="Arial" w:hAnsi="Arial"/>
          <w:sz w:val="15"/>
          <w:szCs w:val="15"/>
          <w:b w:val="1"/>
          <w:bCs w:val="1"/>
          <w:i w:val="1"/>
          <w:iCs w:val="1"/>
          <w:color w:val="auto"/>
        </w:rPr>
        <w:t>Vested Shares</w:t>
      </w:r>
      <w:r>
        <w:rPr>
          <w:rFonts w:ascii="Arial" w:cs="Arial" w:eastAsia="Arial" w:hAnsi="Arial"/>
          <w:sz w:val="15"/>
          <w:szCs w:val="15"/>
          <w:color w:val="auto"/>
        </w:rPr>
        <w:t>.</w:t>
      </w:r>
      <w:r>
        <w:rPr>
          <w:rFonts w:ascii="Arial" w:cs="Arial" w:eastAsia="Arial" w:hAnsi="Arial"/>
          <w:sz w:val="15"/>
          <w:szCs w:val="15"/>
          <w:i w:val="1"/>
          <w:iCs w:val="1"/>
          <w:color w:val="auto"/>
        </w:rPr>
        <w:t>”</w:t>
      </w:r>
      <w:r>
        <w:rPr>
          <w:rFonts w:ascii="Arial" w:cs="Arial" w:eastAsia="Arial" w:hAnsi="Arial"/>
          <w:sz w:val="15"/>
          <w:szCs w:val="15"/>
          <w:color w:val="auto"/>
        </w:rPr>
        <w:t xml:space="preserve"> Shares that are not vested pursuant to the schedule set forth in Section 2.1 are </w:t>
      </w:r>
      <w:r>
        <w:rPr>
          <w:rFonts w:ascii="Arial" w:cs="Arial" w:eastAsia="Arial" w:hAnsi="Arial"/>
          <w:sz w:val="15"/>
          <w:szCs w:val="15"/>
          <w:i w:val="1"/>
          <w:iCs w:val="1"/>
          <w:color w:val="auto"/>
        </w:rPr>
        <w:t>“</w:t>
      </w:r>
      <w:r>
        <w:rPr>
          <w:rFonts w:ascii="Arial" w:cs="Arial" w:eastAsia="Arial" w:hAnsi="Arial"/>
          <w:sz w:val="15"/>
          <w:szCs w:val="15"/>
          <w:b w:val="1"/>
          <w:bCs w:val="1"/>
          <w:i w:val="1"/>
          <w:iCs w:val="1"/>
          <w:color w:val="auto"/>
        </w:rPr>
        <w:t>Unvested Shares</w:t>
      </w:r>
      <w:r>
        <w:rPr>
          <w:rFonts w:ascii="Arial" w:cs="Arial" w:eastAsia="Arial" w:hAnsi="Arial"/>
          <w:sz w:val="15"/>
          <w:szCs w:val="15"/>
          <w:color w:val="auto"/>
        </w:rPr>
        <w:t>.</w:t>
      </w:r>
      <w:r>
        <w:rPr>
          <w:rFonts w:ascii="Arial" w:cs="Arial" w:eastAsia="Arial" w:hAnsi="Arial"/>
          <w:sz w:val="15"/>
          <w:szCs w:val="15"/>
          <w:i w:val="1"/>
          <w:iCs w:val="1"/>
          <w:color w:val="auto"/>
        </w:rPr>
        <w:t>”</w:t>
      </w:r>
    </w:p>
    <w:p>
      <w:pPr>
        <w:spacing w:after="0" w:line="146" w:lineRule="exact"/>
        <w:rPr>
          <w:sz w:val="20"/>
          <w:szCs w:val="20"/>
          <w:color w:val="auto"/>
        </w:rPr>
      </w:pPr>
    </w:p>
    <w:p>
      <w:pPr>
        <w:ind w:left="900"/>
        <w:spacing w:after="0"/>
        <w:rPr>
          <w:sz w:val="20"/>
          <w:szCs w:val="20"/>
          <w:color w:val="auto"/>
        </w:rPr>
      </w:pPr>
      <w:r>
        <w:rPr>
          <w:rFonts w:ascii="Arial" w:cs="Arial" w:eastAsia="Arial" w:hAnsi="Arial"/>
          <w:sz w:val="15"/>
          <w:szCs w:val="15"/>
          <w:color w:val="auto"/>
        </w:rPr>
        <w:t xml:space="preserve">2.3 </w:t>
      </w:r>
      <w:r>
        <w:rPr>
          <w:rFonts w:ascii="Arial" w:cs="Arial" w:eastAsia="Arial" w:hAnsi="Arial"/>
          <w:sz w:val="15"/>
          <w:szCs w:val="15"/>
          <w:u w:val="single" w:color="auto"/>
          <w:color w:val="auto"/>
        </w:rPr>
        <w:t>Expiration</w:t>
      </w:r>
      <w:r>
        <w:rPr>
          <w:rFonts w:ascii="Arial" w:cs="Arial" w:eastAsia="Arial" w:hAnsi="Arial"/>
          <w:sz w:val="15"/>
          <w:szCs w:val="15"/>
          <w:color w:val="auto"/>
        </w:rPr>
        <w:t>. The Option shall expire on the Expiration Date set forth above or earlier as provided in Section 3 below or pursuant to Section 5.6 of the Plan.</w:t>
      </w:r>
    </w:p>
    <w:p>
      <w:pPr>
        <w:spacing w:after="0" w:line="275" w:lineRule="exact"/>
        <w:rPr>
          <w:sz w:val="20"/>
          <w:szCs w:val="20"/>
          <w:color w:val="auto"/>
        </w:rPr>
      </w:pPr>
    </w:p>
    <w:p>
      <w:pPr>
        <w:ind w:left="600" w:hanging="152"/>
        <w:spacing w:after="0"/>
        <w:tabs>
          <w:tab w:leader="none" w:pos="600" w:val="left"/>
        </w:tabs>
        <w:numPr>
          <w:ilvl w:val="0"/>
          <w:numId w:val="403"/>
        </w:numPr>
        <w:rPr>
          <w:rFonts w:ascii="Arial" w:cs="Arial" w:eastAsia="Arial" w:hAnsi="Arial"/>
          <w:sz w:val="15"/>
          <w:szCs w:val="15"/>
          <w:b w:val="1"/>
          <w:bCs w:val="1"/>
          <w:color w:val="auto"/>
        </w:rPr>
      </w:pPr>
      <w:r>
        <w:rPr>
          <w:rFonts w:ascii="Arial" w:cs="Arial" w:eastAsia="Arial" w:hAnsi="Arial"/>
          <w:sz w:val="15"/>
          <w:szCs w:val="15"/>
          <w:b w:val="1"/>
          <w:bCs w:val="1"/>
          <w:u w:val="single" w:color="auto"/>
          <w:color w:val="auto"/>
        </w:rPr>
        <w:t>Termination</w:t>
      </w:r>
      <w:r>
        <w:rPr>
          <w:rFonts w:ascii="Arial" w:cs="Arial" w:eastAsia="Arial" w:hAnsi="Arial"/>
          <w:sz w:val="15"/>
          <w:szCs w:val="15"/>
          <w:b w:val="1"/>
          <w:bCs w:val="1"/>
          <w:color w:val="auto"/>
        </w:rPr>
        <w:t>.</w:t>
      </w:r>
    </w:p>
    <w:p>
      <w:pPr>
        <w:spacing w:after="0" w:line="102" w:lineRule="exact"/>
        <w:rPr>
          <w:sz w:val="20"/>
          <w:szCs w:val="20"/>
          <w:color w:val="auto"/>
        </w:rPr>
      </w:pPr>
    </w:p>
    <w:p>
      <w:pPr>
        <w:jc w:val="both"/>
        <w:ind w:right="220" w:firstLine="916"/>
        <w:spacing w:after="0" w:line="259" w:lineRule="auto"/>
        <w:rPr>
          <w:sz w:val="20"/>
          <w:szCs w:val="20"/>
          <w:color w:val="auto"/>
        </w:rPr>
      </w:pPr>
      <w:r>
        <w:rPr>
          <w:rFonts w:ascii="Arial" w:cs="Arial" w:eastAsia="Arial" w:hAnsi="Arial"/>
          <w:sz w:val="15"/>
          <w:szCs w:val="15"/>
          <w:color w:val="auto"/>
        </w:rPr>
        <w:t xml:space="preserve">3.1 </w:t>
      </w:r>
      <w:r>
        <w:rPr>
          <w:rFonts w:ascii="Arial" w:cs="Arial" w:eastAsia="Arial" w:hAnsi="Arial"/>
          <w:sz w:val="15"/>
          <w:szCs w:val="15"/>
          <w:u w:val="single" w:color="auto"/>
          <w:color w:val="auto"/>
        </w:rPr>
        <w:t>Termination for Any Reason Except Death, Disability or Cause</w:t>
      </w:r>
      <w:r>
        <w:rPr>
          <w:rFonts w:ascii="Arial" w:cs="Arial" w:eastAsia="Arial" w:hAnsi="Arial"/>
          <w:sz w:val="15"/>
          <w:szCs w:val="15"/>
          <w:color w:val="auto"/>
        </w:rPr>
        <w:t>. If Participant is Terminated for any reason, except death, Disability or for Cause, then (a) on and after Participant’s Termination Date, the Option shall expire immediately with respect to any Shares that are Unvested Shares and (b) the Option, to the extent (and only to the extent) that it is exercisable with respect to Vested Shares on Participant’s Termination Date, may be exercised by Participant no later than three (3) months after the Termination Date, but in any event no later than the Expiration Date.</w:t>
      </w:r>
    </w:p>
    <w:p>
      <w:pPr>
        <w:spacing w:after="0" w:line="158" w:lineRule="exact"/>
        <w:rPr>
          <w:sz w:val="20"/>
          <w:szCs w:val="20"/>
          <w:color w:val="auto"/>
        </w:rPr>
      </w:pPr>
    </w:p>
    <w:p>
      <w:pPr>
        <w:ind w:right="160" w:firstLine="916"/>
        <w:spacing w:after="0" w:line="252" w:lineRule="auto"/>
        <w:rPr>
          <w:sz w:val="20"/>
          <w:szCs w:val="20"/>
          <w:color w:val="auto"/>
        </w:rPr>
      </w:pPr>
      <w:r>
        <w:rPr>
          <w:rFonts w:ascii="Arial" w:cs="Arial" w:eastAsia="Arial" w:hAnsi="Arial"/>
          <w:sz w:val="15"/>
          <w:szCs w:val="15"/>
          <w:color w:val="auto"/>
        </w:rPr>
        <w:t xml:space="preserve">3.2 </w:t>
      </w:r>
      <w:r>
        <w:rPr>
          <w:rFonts w:ascii="Arial" w:cs="Arial" w:eastAsia="Arial" w:hAnsi="Arial"/>
          <w:sz w:val="15"/>
          <w:szCs w:val="15"/>
          <w:u w:val="single" w:color="auto"/>
          <w:color w:val="auto"/>
        </w:rPr>
        <w:t>Termination Because of Death or Disability</w:t>
      </w:r>
      <w:r>
        <w:rPr>
          <w:rFonts w:ascii="Arial" w:cs="Arial" w:eastAsia="Arial" w:hAnsi="Arial"/>
          <w:sz w:val="15"/>
          <w:szCs w:val="15"/>
          <w:color w:val="auto"/>
        </w:rPr>
        <w:t>. If Participant is Terminated because of death or Disability of Participant (or Participant dies within three (3) months of Termination when Termination is for any reason other than Participant’s Disability or for Cause) then (a) on and after Participant’s Termination Date, the Option shall expire immediately with respect to any Shares that are Unvested Shares and (b) the Option, to the extent that it is exercisable with respect to Vested Shares by Participant on the Termination Date, may be exercised by Participant (or Participant’s legal representative) no later than twelve (12) months after the Termination Date, but in any event no later than the Expiration Date. Any exercise beyond (i) three (3) months after the date Participant ceases to be an employee when the Termination is for any reason other than the Participant’s death or disability, within the meaning of Section 22(e)(3) of the Code; or (ii) twelve (12) months after the date Participant ceases to be an employee when the termination is for Participant’s disability, within the meaning of Section 22(e)(3) of the Code, is deemed to be an NQSO.</w:t>
      </w:r>
    </w:p>
    <w:p>
      <w:pPr>
        <w:spacing w:after="0" w:line="5" w:lineRule="exact"/>
        <w:rPr>
          <w:sz w:val="20"/>
          <w:szCs w:val="20"/>
          <w:color w:val="auto"/>
        </w:rPr>
      </w:pPr>
    </w:p>
    <w:p>
      <w:pPr>
        <w:ind w:firstLine="916"/>
        <w:spacing w:after="0" w:line="283" w:lineRule="auto"/>
        <w:rPr>
          <w:sz w:val="20"/>
          <w:szCs w:val="20"/>
          <w:color w:val="auto"/>
        </w:rPr>
      </w:pPr>
      <w:r>
        <w:rPr>
          <w:rFonts w:ascii="Arial" w:cs="Arial" w:eastAsia="Arial" w:hAnsi="Arial"/>
          <w:sz w:val="14"/>
          <w:szCs w:val="14"/>
          <w:color w:val="auto"/>
        </w:rPr>
        <w:t xml:space="preserve">3.3 </w:t>
      </w:r>
      <w:r>
        <w:rPr>
          <w:rFonts w:ascii="Arial" w:cs="Arial" w:eastAsia="Arial" w:hAnsi="Arial"/>
          <w:sz w:val="14"/>
          <w:szCs w:val="14"/>
          <w:u w:val="single" w:color="auto"/>
          <w:color w:val="auto"/>
        </w:rPr>
        <w:t>Termination for Cause</w:t>
      </w:r>
      <w:r>
        <w:rPr>
          <w:rFonts w:ascii="Arial" w:cs="Arial" w:eastAsia="Arial" w:hAnsi="Arial"/>
          <w:sz w:val="14"/>
          <w:szCs w:val="14"/>
          <w:color w:val="auto"/>
        </w:rPr>
        <w:t>. If the Participant is terminated for Cause, the Participant may exercise such Participant’s Options, but not to an extent greater than such Options are exercisable as to Vested Shares upon the Termination Date and Participant’s Options shall expire on such Participant’s Termination Date, or at such later time and on such conditions as are determined by the Committee. On and after Participant’s Termination Date, the Option shall expire immediately with respect to any Shares that are Unvested Shares.</w:t>
      </w:r>
    </w:p>
    <w:p>
      <w:pPr>
        <w:spacing w:after="0" w:line="8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2</w:t>
      </w:r>
    </w:p>
    <w:p>
      <w:pPr>
        <w:sectPr>
          <w:pgSz w:w="11900" w:h="16838" w:orient="portrait"/>
          <w:cols w:equalWidth="0" w:num="1">
            <w:col w:w="11420"/>
          </w:cols>
          <w:pgMar w:left="240" w:top="253" w:right="239" w:bottom="1440" w:gutter="0" w:footer="0" w:header="0"/>
        </w:sectPr>
      </w:pPr>
    </w:p>
    <w:bookmarkStart w:id="445" w:name="page446"/>
    <w:bookmarkEnd w:id="445"/>
    <w:p>
      <w:pPr>
        <w:ind w:left="10" w:right="200" w:firstLine="916"/>
        <w:spacing w:after="0" w:line="263"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133350</wp:posOffset>
            </wp:positionH>
            <wp:positionV relativeFrom="page">
              <wp:posOffset>88900</wp:posOffset>
            </wp:positionV>
            <wp:extent cx="7308850" cy="34290"/>
            <wp:wrapNone/>
            <wp:docPr id="625" name="Picture 6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5"/>
                    <pic:cNvPicPr>
                      <a:picLocks noChangeAspect="1" noChangeArrowheads="1"/>
                    </pic:cNvPicPr>
                  </pic:nvPicPr>
                  <pic:blipFill>
                    <a:blip r:embed="rId662">
                      <a:extLst>
                        <a:ext uri="{28A0092B-C50C-407E-A947-70E740481C1C}"/>
                      </a:extLst>
                    </a:blip>
                    <a:srcRect/>
                    <a:stretch>
                      <a:fillRect/>
                    </a:stretch>
                  </pic:blipFill>
                  <pic:spPr bwMode="auto">
                    <a:xfrm>
                      <a:off x="0" y="0"/>
                      <a:ext cx="7308850" cy="34290"/>
                    </a:xfrm>
                    <a:prstGeom prst="rect">
                      <a:avLst/>
                    </a:prstGeom>
                    <a:noFill/>
                  </pic:spPr>
                </pic:pic>
              </a:graphicData>
            </a:graphic>
          </wp:anchor>
        </w:drawing>
        <w:t xml:space="preserve">3.4 </w:t>
      </w:r>
      <w:r>
        <w:rPr>
          <w:rFonts w:ascii="Arial" w:cs="Arial" w:eastAsia="Arial" w:hAnsi="Arial"/>
          <w:sz w:val="15"/>
          <w:szCs w:val="15"/>
          <w:u w:val="single" w:color="auto"/>
          <w:color w:val="auto"/>
        </w:rPr>
        <w:t>No Obligation to Employ</w:t>
      </w:r>
      <w:r>
        <w:rPr>
          <w:rFonts w:ascii="Arial" w:cs="Arial" w:eastAsia="Arial" w:hAnsi="Arial"/>
          <w:sz w:val="15"/>
          <w:szCs w:val="15"/>
          <w:color w:val="auto"/>
        </w:rPr>
        <w:t>. Nothing in the Plan or this Agreement shall confer on Participant any right to continue in the employ of, or other relationship with, the Company or any Parent or Subsidiary of the Company, or limit in any way the right of the Company or any Parent or Subsidiary of the Company to terminate Participant’s employment or other relationship at any time, with or without Cause.</w:t>
      </w:r>
    </w:p>
    <w:p>
      <w:pPr>
        <w:spacing w:after="0" w:line="241" w:lineRule="exact"/>
        <w:rPr>
          <w:sz w:val="20"/>
          <w:szCs w:val="20"/>
          <w:color w:val="auto"/>
        </w:rPr>
      </w:pPr>
    </w:p>
    <w:p>
      <w:pPr>
        <w:ind w:left="610" w:hanging="152"/>
        <w:spacing w:after="0"/>
        <w:tabs>
          <w:tab w:leader="none" w:pos="610" w:val="left"/>
        </w:tabs>
        <w:numPr>
          <w:ilvl w:val="0"/>
          <w:numId w:val="404"/>
        </w:numPr>
        <w:rPr>
          <w:rFonts w:ascii="Arial" w:cs="Arial" w:eastAsia="Arial" w:hAnsi="Arial"/>
          <w:sz w:val="15"/>
          <w:szCs w:val="15"/>
          <w:b w:val="1"/>
          <w:bCs w:val="1"/>
          <w:color w:val="auto"/>
        </w:rPr>
      </w:pPr>
      <w:r>
        <w:rPr>
          <w:rFonts w:ascii="Arial" w:cs="Arial" w:eastAsia="Arial" w:hAnsi="Arial"/>
          <w:sz w:val="15"/>
          <w:szCs w:val="15"/>
          <w:b w:val="1"/>
          <w:bCs w:val="1"/>
          <w:u w:val="single" w:color="auto"/>
          <w:color w:val="auto"/>
        </w:rPr>
        <w:t>Manner of Exercise</w:t>
      </w:r>
      <w:r>
        <w:rPr>
          <w:rFonts w:ascii="Arial" w:cs="Arial" w:eastAsia="Arial" w:hAnsi="Arial"/>
          <w:sz w:val="15"/>
          <w:szCs w:val="15"/>
          <w:b w:val="1"/>
          <w:bCs w:val="1"/>
          <w:color w:val="auto"/>
        </w:rPr>
        <w:t>.</w:t>
      </w:r>
    </w:p>
    <w:p>
      <w:pPr>
        <w:spacing w:after="0" w:line="102" w:lineRule="exact"/>
        <w:rPr>
          <w:sz w:val="20"/>
          <w:szCs w:val="20"/>
          <w:color w:val="auto"/>
        </w:rPr>
      </w:pPr>
    </w:p>
    <w:p>
      <w:pPr>
        <w:ind w:left="10" w:firstLine="916"/>
        <w:spacing w:after="0" w:line="254" w:lineRule="auto"/>
        <w:rPr>
          <w:sz w:val="20"/>
          <w:szCs w:val="20"/>
          <w:color w:val="auto"/>
        </w:rPr>
      </w:pPr>
      <w:r>
        <w:rPr>
          <w:rFonts w:ascii="Arial" w:cs="Arial" w:eastAsia="Arial" w:hAnsi="Arial"/>
          <w:sz w:val="15"/>
          <w:szCs w:val="15"/>
          <w:color w:val="auto"/>
        </w:rPr>
        <w:t xml:space="preserve">4.1 </w:t>
      </w:r>
      <w:r>
        <w:rPr>
          <w:rFonts w:ascii="Arial" w:cs="Arial" w:eastAsia="Arial" w:hAnsi="Arial"/>
          <w:sz w:val="15"/>
          <w:szCs w:val="15"/>
          <w:u w:val="single" w:color="auto"/>
          <w:color w:val="auto"/>
        </w:rPr>
        <w:t>Stock Option Exercise Agreement</w:t>
      </w:r>
      <w:r>
        <w:rPr>
          <w:rFonts w:ascii="Arial" w:cs="Arial" w:eastAsia="Arial" w:hAnsi="Arial"/>
          <w:sz w:val="15"/>
          <w:szCs w:val="15"/>
          <w:color w:val="auto"/>
        </w:rPr>
        <w:t xml:space="preserve">. To exercise this Option, Participant (or in the case of exercise after Participant’s death or incapacity, Participant’s executor, administrator, heir or legatee, as the case may be) must deliver to the Company an executed stock option exercise agreement in the form attached hereto as </w:t>
      </w:r>
      <w:r>
        <w:rPr>
          <w:rFonts w:ascii="Arial" w:cs="Arial" w:eastAsia="Arial" w:hAnsi="Arial"/>
          <w:sz w:val="15"/>
          <w:szCs w:val="15"/>
          <w:u w:val="single" w:color="auto"/>
          <w:color w:val="auto"/>
        </w:rPr>
        <w:t>Exhibit A</w:t>
      </w:r>
      <w:r>
        <w:rPr>
          <w:rFonts w:ascii="Arial" w:cs="Arial" w:eastAsia="Arial" w:hAnsi="Arial"/>
          <w:sz w:val="15"/>
          <w:szCs w:val="15"/>
          <w:color w:val="auto"/>
        </w:rPr>
        <w:t>, or in such other form as may be approved by the Committee from time to time (the “</w:t>
      </w:r>
      <w:r>
        <w:rPr>
          <w:rFonts w:ascii="Arial" w:cs="Arial" w:eastAsia="Arial" w:hAnsi="Arial"/>
          <w:sz w:val="15"/>
          <w:szCs w:val="15"/>
          <w:b w:val="1"/>
          <w:bCs w:val="1"/>
          <w:i w:val="1"/>
          <w:iCs w:val="1"/>
          <w:color w:val="auto"/>
        </w:rPr>
        <w:t>Exercise Agreement</w:t>
      </w:r>
      <w:r>
        <w:rPr>
          <w:rFonts w:ascii="Arial" w:cs="Arial" w:eastAsia="Arial" w:hAnsi="Arial"/>
          <w:sz w:val="15"/>
          <w:szCs w:val="15"/>
          <w:color w:val="auto"/>
        </w:rPr>
        <w:t xml:space="preserve">”), deliver payment for the shares being purchased in accordance with this Agreement and satisfy any applicable federal, state and local withholding obligations of the Company. The Exercise Agreement shall set forth, </w:t>
      </w:r>
      <w:r>
        <w:rPr>
          <w:rFonts w:ascii="Arial" w:cs="Arial" w:eastAsia="Arial" w:hAnsi="Arial"/>
          <w:sz w:val="15"/>
          <w:szCs w:val="15"/>
          <w:u w:val="single" w:color="auto"/>
          <w:color w:val="auto"/>
        </w:rPr>
        <w:t>inter alia</w:t>
      </w:r>
      <w:r>
        <w:rPr>
          <w:rFonts w:ascii="Arial" w:cs="Arial" w:eastAsia="Arial" w:hAnsi="Arial"/>
          <w:sz w:val="15"/>
          <w:szCs w:val="15"/>
          <w:color w:val="auto"/>
        </w:rPr>
        <w:t>, (i) Participant’s election to exercise the Option, (ii) the number of Shares being purchased, (iii) any restrictions imposed on the Shares and (iv) any representations, warranties and agreements regarding Participant’s investment intent and access to information as may be required by the Company to comply with applicable securities laws. If someone other than Participant exercises the Option, then such person must submit documentation reasonably acceptable to the Company verifying that such person has the legal right to exercise the Option and such person shall be subject to all of the restrictions contained herein as if such person were the Participant.</w:t>
      </w:r>
    </w:p>
    <w:p>
      <w:pPr>
        <w:spacing w:after="0" w:line="164" w:lineRule="exact"/>
        <w:rPr>
          <w:sz w:val="20"/>
          <w:szCs w:val="20"/>
          <w:color w:val="auto"/>
        </w:rPr>
      </w:pPr>
    </w:p>
    <w:p>
      <w:pPr>
        <w:ind w:left="10" w:right="160" w:firstLine="916"/>
        <w:spacing w:after="0" w:line="354" w:lineRule="auto"/>
        <w:rPr>
          <w:sz w:val="20"/>
          <w:szCs w:val="20"/>
          <w:color w:val="auto"/>
        </w:rPr>
      </w:pPr>
      <w:r>
        <w:rPr>
          <w:rFonts w:ascii="Arial" w:cs="Arial" w:eastAsia="Arial" w:hAnsi="Arial"/>
          <w:sz w:val="13"/>
          <w:szCs w:val="13"/>
          <w:color w:val="auto"/>
        </w:rPr>
        <w:t xml:space="preserve">4.2 </w:t>
      </w:r>
      <w:r>
        <w:rPr>
          <w:rFonts w:ascii="Arial" w:cs="Arial" w:eastAsia="Arial" w:hAnsi="Arial"/>
          <w:sz w:val="13"/>
          <w:szCs w:val="13"/>
          <w:u w:val="single" w:color="auto"/>
          <w:color w:val="auto"/>
        </w:rPr>
        <w:t>Limitations on Exercise</w:t>
      </w:r>
      <w:r>
        <w:rPr>
          <w:rFonts w:ascii="Arial" w:cs="Arial" w:eastAsia="Arial" w:hAnsi="Arial"/>
          <w:sz w:val="13"/>
          <w:szCs w:val="13"/>
          <w:color w:val="auto"/>
        </w:rPr>
        <w:t>. The Option may not be exercised unless such exercise is in compliance with all applicable federal and state securities laws, as they are in effect on the date of exercise. The Option may not be exercised as to fewer than one hundred (100) Shares unless it is exercised as to all Shares as to which the Option is then exercisable.</w:t>
      </w:r>
    </w:p>
    <w:p>
      <w:pPr>
        <w:spacing w:after="0" w:line="100" w:lineRule="exact"/>
        <w:rPr>
          <w:sz w:val="20"/>
          <w:szCs w:val="20"/>
          <w:color w:val="auto"/>
        </w:rPr>
      </w:pPr>
    </w:p>
    <w:p>
      <w:pPr>
        <w:ind w:left="910"/>
        <w:spacing w:after="0"/>
        <w:rPr>
          <w:sz w:val="20"/>
          <w:szCs w:val="20"/>
          <w:color w:val="auto"/>
        </w:rPr>
      </w:pPr>
      <w:r>
        <w:rPr>
          <w:rFonts w:ascii="Arial" w:cs="Arial" w:eastAsia="Arial" w:hAnsi="Arial"/>
          <w:sz w:val="13"/>
          <w:szCs w:val="13"/>
          <w:color w:val="auto"/>
        </w:rPr>
        <w:t xml:space="preserve">4.3 </w:t>
      </w:r>
      <w:r>
        <w:rPr>
          <w:rFonts w:ascii="Arial" w:cs="Arial" w:eastAsia="Arial" w:hAnsi="Arial"/>
          <w:sz w:val="13"/>
          <w:szCs w:val="13"/>
          <w:u w:val="single" w:color="auto"/>
          <w:color w:val="auto"/>
        </w:rPr>
        <w:t>Payment</w:t>
      </w:r>
      <w:r>
        <w:rPr>
          <w:rFonts w:ascii="Arial" w:cs="Arial" w:eastAsia="Arial" w:hAnsi="Arial"/>
          <w:sz w:val="13"/>
          <w:szCs w:val="13"/>
          <w:color w:val="auto"/>
        </w:rPr>
        <w:t>. The Exercise Agreement shall be accompanied by full payment of the Exercise Price for the shares being purchased in cash (by check), or where permitted by</w:t>
      </w:r>
    </w:p>
    <w:p>
      <w:pPr>
        <w:spacing w:after="0" w:line="40" w:lineRule="exact"/>
        <w:rPr>
          <w:sz w:val="20"/>
          <w:szCs w:val="20"/>
          <w:color w:val="auto"/>
        </w:rPr>
      </w:pPr>
    </w:p>
    <w:p>
      <w:pPr>
        <w:ind w:left="10"/>
        <w:spacing w:after="0"/>
        <w:rPr>
          <w:sz w:val="20"/>
          <w:szCs w:val="20"/>
          <w:color w:val="auto"/>
        </w:rPr>
      </w:pPr>
      <w:r>
        <w:rPr>
          <w:rFonts w:ascii="Arial" w:cs="Arial" w:eastAsia="Arial" w:hAnsi="Arial"/>
          <w:sz w:val="15"/>
          <w:szCs w:val="15"/>
          <w:color w:val="auto"/>
        </w:rPr>
        <w:t>law:</w:t>
      </w:r>
    </w:p>
    <w:p>
      <w:pPr>
        <w:spacing w:after="0" w:line="179" w:lineRule="exact"/>
        <w:rPr>
          <w:sz w:val="20"/>
          <w:szCs w:val="20"/>
          <w:color w:val="auto"/>
        </w:rPr>
      </w:pPr>
    </w:p>
    <w:p>
      <w:pPr>
        <w:ind w:left="1690" w:hanging="202"/>
        <w:spacing w:after="0"/>
        <w:tabs>
          <w:tab w:leader="none" w:pos="1690" w:val="left"/>
        </w:tabs>
        <w:numPr>
          <w:ilvl w:val="1"/>
          <w:numId w:val="405"/>
        </w:numPr>
        <w:rPr>
          <w:rFonts w:ascii="Arial" w:cs="Arial" w:eastAsia="Arial" w:hAnsi="Arial"/>
          <w:sz w:val="15"/>
          <w:szCs w:val="15"/>
          <w:color w:val="auto"/>
        </w:rPr>
      </w:pPr>
      <w:r>
        <w:rPr>
          <w:rFonts w:ascii="Arial" w:cs="Arial" w:eastAsia="Arial" w:hAnsi="Arial"/>
          <w:sz w:val="15"/>
          <w:szCs w:val="15"/>
          <w:color w:val="auto"/>
        </w:rPr>
        <w:t>by cancellation of indebtedness of the Company to the Participant;</w:t>
      </w:r>
    </w:p>
    <w:p>
      <w:pPr>
        <w:spacing w:after="0" w:line="188" w:lineRule="exact"/>
        <w:rPr>
          <w:rFonts w:ascii="Arial" w:cs="Arial" w:eastAsia="Arial" w:hAnsi="Arial"/>
          <w:sz w:val="15"/>
          <w:szCs w:val="15"/>
          <w:color w:val="auto"/>
        </w:rPr>
      </w:pPr>
    </w:p>
    <w:p>
      <w:pPr>
        <w:ind w:left="1710" w:hanging="222"/>
        <w:spacing w:after="0"/>
        <w:tabs>
          <w:tab w:leader="none" w:pos="1710" w:val="left"/>
        </w:tabs>
        <w:numPr>
          <w:ilvl w:val="1"/>
          <w:numId w:val="405"/>
        </w:numPr>
        <w:rPr>
          <w:rFonts w:ascii="Arial" w:cs="Arial" w:eastAsia="Arial" w:hAnsi="Arial"/>
          <w:sz w:val="15"/>
          <w:szCs w:val="15"/>
          <w:color w:val="auto"/>
        </w:rPr>
      </w:pPr>
      <w:r>
        <w:rPr>
          <w:rFonts w:ascii="Arial" w:cs="Arial" w:eastAsia="Arial" w:hAnsi="Arial"/>
          <w:sz w:val="15"/>
          <w:szCs w:val="15"/>
          <w:color w:val="auto"/>
        </w:rPr>
        <w:t>by waiver of compensation due or accrued to Participant for services rendered;</w:t>
      </w:r>
    </w:p>
    <w:p>
      <w:pPr>
        <w:spacing w:after="0" w:line="188" w:lineRule="exact"/>
        <w:rPr>
          <w:rFonts w:ascii="Arial" w:cs="Arial" w:eastAsia="Arial" w:hAnsi="Arial"/>
          <w:sz w:val="15"/>
          <w:szCs w:val="15"/>
          <w:color w:val="auto"/>
        </w:rPr>
      </w:pPr>
    </w:p>
    <w:p>
      <w:pPr>
        <w:ind w:left="10" w:right="80" w:firstLine="1478"/>
        <w:spacing w:after="0" w:line="294" w:lineRule="auto"/>
        <w:tabs>
          <w:tab w:leader="none" w:pos="1702" w:val="left"/>
        </w:tabs>
        <w:numPr>
          <w:ilvl w:val="1"/>
          <w:numId w:val="405"/>
        </w:numPr>
        <w:rPr>
          <w:rFonts w:ascii="Arial" w:cs="Arial" w:eastAsia="Arial" w:hAnsi="Arial"/>
          <w:sz w:val="13"/>
          <w:szCs w:val="13"/>
          <w:color w:val="auto"/>
        </w:rPr>
      </w:pPr>
      <w:r>
        <w:rPr>
          <w:rFonts w:ascii="Arial" w:cs="Arial" w:eastAsia="Arial" w:hAnsi="Arial"/>
          <w:sz w:val="13"/>
          <w:szCs w:val="13"/>
          <w:color w:val="auto"/>
        </w:rPr>
        <w:t>provided that a public market for the Company’s securities exists: (i) through a “same day sale” commitment from Participant and a broker-dealer that is a member of the National Association of Securities Dealers (an “</w:t>
      </w:r>
      <w:r>
        <w:rPr>
          <w:rFonts w:ascii="Arial" w:cs="Arial" w:eastAsia="Arial" w:hAnsi="Arial"/>
          <w:sz w:val="13"/>
          <w:szCs w:val="13"/>
          <w:b w:val="1"/>
          <w:bCs w:val="1"/>
          <w:i w:val="1"/>
          <w:iCs w:val="1"/>
          <w:color w:val="auto"/>
        </w:rPr>
        <w:t>NASD Dealer</w:t>
      </w:r>
      <w:r>
        <w:rPr>
          <w:rFonts w:ascii="Arial" w:cs="Arial" w:eastAsia="Arial" w:hAnsi="Arial"/>
          <w:sz w:val="13"/>
          <w:szCs w:val="13"/>
          <w:color w:val="auto"/>
        </w:rPr>
        <w:t>”) whereby Participant irrevocably elects to exercise the Option and to sell a portion of the Shares so purchased sufficient to pay for the total Exercise Price and whereby the NASD Dealer irrevocably commits upon receipt of such Shares to forward the total Exercise Price directly to the Company, or</w:t>
      </w:r>
    </w:p>
    <w:p>
      <w:pPr>
        <w:spacing w:after="0" w:line="1" w:lineRule="exact"/>
        <w:rPr>
          <w:rFonts w:ascii="Arial" w:cs="Arial" w:eastAsia="Arial" w:hAnsi="Arial"/>
          <w:sz w:val="13"/>
          <w:szCs w:val="13"/>
          <w:color w:val="auto"/>
        </w:rPr>
      </w:pPr>
    </w:p>
    <w:p>
      <w:pPr>
        <w:ind w:left="10" w:right="60" w:hanging="10"/>
        <w:spacing w:after="0" w:line="256" w:lineRule="auto"/>
        <w:tabs>
          <w:tab w:leader="none" w:pos="231" w:val="left"/>
        </w:tabs>
        <w:numPr>
          <w:ilvl w:val="0"/>
          <w:numId w:val="406"/>
        </w:numPr>
        <w:rPr>
          <w:rFonts w:ascii="Arial" w:cs="Arial" w:eastAsia="Arial" w:hAnsi="Arial"/>
          <w:sz w:val="15"/>
          <w:szCs w:val="15"/>
          <w:color w:val="auto"/>
        </w:rPr>
      </w:pPr>
      <w:r>
        <w:rPr>
          <w:rFonts w:ascii="Arial" w:cs="Arial" w:eastAsia="Arial" w:hAnsi="Arial"/>
          <w:sz w:val="15"/>
          <w:szCs w:val="15"/>
          <w:color w:val="auto"/>
        </w:rPr>
        <w:t>through a “margin” commitment from Participant and an NASD Dealer whereby Participant irrevocably elects to exercise the Option and to pledge the Shares so purchased to the NASD Dealer in a margin account as security for a loan from the NASD Dealer in the amount of the total Exercise Price, and whereby the NASD Dealer irrevocably commits upon receipt of such Shares to forward the total Exercise Price directly to the Company;</w:t>
      </w:r>
    </w:p>
    <w:p>
      <w:pPr>
        <w:spacing w:after="0" w:line="104" w:lineRule="exact"/>
        <w:rPr>
          <w:sz w:val="20"/>
          <w:szCs w:val="20"/>
          <w:color w:val="auto"/>
        </w:rPr>
      </w:pPr>
    </w:p>
    <w:p>
      <w:pPr>
        <w:jc w:val="center"/>
        <w:ind w:right="-9"/>
        <w:spacing w:after="0"/>
        <w:rPr>
          <w:sz w:val="20"/>
          <w:szCs w:val="20"/>
          <w:color w:val="auto"/>
        </w:rPr>
      </w:pPr>
      <w:r>
        <w:rPr>
          <w:rFonts w:ascii="Arial" w:cs="Arial" w:eastAsia="Arial" w:hAnsi="Arial"/>
          <w:sz w:val="15"/>
          <w:szCs w:val="15"/>
          <w:color w:val="auto"/>
        </w:rPr>
        <w:t>3</w:t>
      </w:r>
    </w:p>
    <w:p>
      <w:pPr>
        <w:sectPr>
          <w:pgSz w:w="11900" w:h="16838" w:orient="portrait"/>
          <w:cols w:equalWidth="0" w:num="1">
            <w:col w:w="11430"/>
          </w:cols>
          <w:pgMar w:left="230" w:top="253" w:right="239" w:bottom="1440" w:gutter="0" w:footer="0" w:header="0"/>
        </w:sectPr>
      </w:pPr>
    </w:p>
    <w:bookmarkStart w:id="446" w:name="page447"/>
    <w:bookmarkEnd w:id="446"/>
    <w:p>
      <w:pPr>
        <w:ind w:left="1700" w:hanging="222"/>
        <w:spacing w:after="0"/>
        <w:tabs>
          <w:tab w:leader="none" w:pos="1700" w:val="left"/>
        </w:tabs>
        <w:numPr>
          <w:ilvl w:val="0"/>
          <w:numId w:val="407"/>
        </w:numPr>
        <w:rPr>
          <w:rFonts w:ascii="Arial" w:cs="Arial" w:eastAsia="Arial" w:hAnsi="Arial"/>
          <w:sz w:val="15"/>
          <w:szCs w:val="15"/>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133350</wp:posOffset>
            </wp:positionH>
            <wp:positionV relativeFrom="page">
              <wp:posOffset>88900</wp:posOffset>
            </wp:positionV>
            <wp:extent cx="7308850" cy="34290"/>
            <wp:wrapNone/>
            <wp:docPr id="626" name="Picture 6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6"/>
                    <pic:cNvPicPr>
                      <a:picLocks noChangeAspect="1" noChangeArrowheads="1"/>
                    </pic:cNvPicPr>
                  </pic:nvPicPr>
                  <pic:blipFill>
                    <a:blip r:embed="rId663">
                      <a:extLst>
                        <a:ext uri="{28A0092B-C50C-407E-A947-70E740481C1C}"/>
                      </a:extLst>
                    </a:blip>
                    <a:srcRect/>
                    <a:stretch>
                      <a:fillRect/>
                    </a:stretch>
                  </pic:blipFill>
                  <pic:spPr bwMode="auto">
                    <a:xfrm>
                      <a:off x="0" y="0"/>
                      <a:ext cx="7308850" cy="34290"/>
                    </a:xfrm>
                    <a:prstGeom prst="rect">
                      <a:avLst/>
                    </a:prstGeom>
                    <a:noFill/>
                  </pic:spPr>
                </pic:pic>
              </a:graphicData>
            </a:graphic>
          </wp:anchor>
        </w:drawing>
        <w:t>by participating in a formal cashless exercise program implemented by the Committee in connection with the Plan;</w:t>
      </w:r>
    </w:p>
    <w:p>
      <w:pPr>
        <w:spacing w:after="0" w:line="188" w:lineRule="exact"/>
        <w:rPr>
          <w:rFonts w:ascii="Arial" w:cs="Arial" w:eastAsia="Arial" w:hAnsi="Arial"/>
          <w:sz w:val="15"/>
          <w:szCs w:val="15"/>
          <w:color w:val="auto"/>
        </w:rPr>
      </w:pPr>
    </w:p>
    <w:p>
      <w:pPr>
        <w:ind w:left="1680" w:hanging="202"/>
        <w:spacing w:after="0"/>
        <w:tabs>
          <w:tab w:leader="none" w:pos="1680" w:val="left"/>
        </w:tabs>
        <w:numPr>
          <w:ilvl w:val="0"/>
          <w:numId w:val="407"/>
        </w:numPr>
        <w:rPr>
          <w:rFonts w:ascii="Arial" w:cs="Arial" w:eastAsia="Arial" w:hAnsi="Arial"/>
          <w:sz w:val="15"/>
          <w:szCs w:val="15"/>
          <w:color w:val="auto"/>
        </w:rPr>
      </w:pPr>
      <w:r>
        <w:rPr>
          <w:rFonts w:ascii="Arial" w:cs="Arial" w:eastAsia="Arial" w:hAnsi="Arial"/>
          <w:sz w:val="15"/>
          <w:szCs w:val="15"/>
          <w:color w:val="auto"/>
        </w:rPr>
        <w:t>any other form of consideration approved by the Committee; or</w:t>
      </w:r>
    </w:p>
    <w:p>
      <w:pPr>
        <w:spacing w:after="0" w:line="188" w:lineRule="exact"/>
        <w:rPr>
          <w:rFonts w:ascii="Arial" w:cs="Arial" w:eastAsia="Arial" w:hAnsi="Arial"/>
          <w:sz w:val="15"/>
          <w:szCs w:val="15"/>
          <w:color w:val="auto"/>
        </w:rPr>
      </w:pPr>
    </w:p>
    <w:p>
      <w:pPr>
        <w:ind w:left="1660" w:hanging="182"/>
        <w:spacing w:after="0"/>
        <w:tabs>
          <w:tab w:leader="none" w:pos="1660" w:val="left"/>
        </w:tabs>
        <w:numPr>
          <w:ilvl w:val="0"/>
          <w:numId w:val="407"/>
        </w:numPr>
        <w:rPr>
          <w:rFonts w:ascii="Arial" w:cs="Arial" w:eastAsia="Arial" w:hAnsi="Arial"/>
          <w:sz w:val="15"/>
          <w:szCs w:val="15"/>
          <w:color w:val="auto"/>
        </w:rPr>
      </w:pPr>
      <w:r>
        <w:rPr>
          <w:rFonts w:ascii="Arial" w:cs="Arial" w:eastAsia="Arial" w:hAnsi="Arial"/>
          <w:sz w:val="15"/>
          <w:szCs w:val="15"/>
          <w:color w:val="auto"/>
        </w:rPr>
        <w:t>by any combination of the foregoing.</w:t>
      </w:r>
    </w:p>
    <w:p>
      <w:pPr>
        <w:spacing w:after="0" w:line="188" w:lineRule="exact"/>
        <w:rPr>
          <w:sz w:val="20"/>
          <w:szCs w:val="20"/>
          <w:color w:val="auto"/>
        </w:rPr>
      </w:pPr>
    </w:p>
    <w:p>
      <w:pPr>
        <w:ind w:firstLine="916"/>
        <w:spacing w:after="0" w:line="305" w:lineRule="auto"/>
        <w:rPr>
          <w:sz w:val="20"/>
          <w:szCs w:val="20"/>
          <w:color w:val="auto"/>
        </w:rPr>
      </w:pPr>
      <w:r>
        <w:rPr>
          <w:rFonts w:ascii="Arial" w:cs="Arial" w:eastAsia="Arial" w:hAnsi="Arial"/>
          <w:sz w:val="13"/>
          <w:szCs w:val="13"/>
          <w:color w:val="auto"/>
        </w:rPr>
        <w:t xml:space="preserve">4.4 </w:t>
      </w:r>
      <w:r>
        <w:rPr>
          <w:rFonts w:ascii="Arial" w:cs="Arial" w:eastAsia="Arial" w:hAnsi="Arial"/>
          <w:sz w:val="13"/>
          <w:szCs w:val="13"/>
          <w:u w:val="single" w:color="auto"/>
          <w:color w:val="auto"/>
        </w:rPr>
        <w:t>Tax Withholding</w:t>
      </w:r>
      <w:r>
        <w:rPr>
          <w:rFonts w:ascii="Arial" w:cs="Arial" w:eastAsia="Arial" w:hAnsi="Arial"/>
          <w:sz w:val="13"/>
          <w:szCs w:val="13"/>
          <w:color w:val="auto"/>
        </w:rPr>
        <w:t>. Prior to the issuance of the Shares upon exercise of the Option, Participant must pay or provide for any applicable federal, state and local withholding obligations of the Company. If the Committee permits, Participant may provide for payment of withholding taxes upon exercise of the Option by requesting that the Company retain the minimum number of Shares with a Fair Market Value equal to the minimum amount of taxes required to be withheld; or to arrange a mandatory “sell to cover” on Participant’s behalf (without further authorization); but in no event will the Company withhold Shares or “sell to cover” if such withholding would result in adverse accounting consequences to the Company. In such case, the Company shall issue the net number of Shares to the Participant by deducting the Shares retained from the Shares issuable upon exercise.</w:t>
      </w:r>
    </w:p>
    <w:p>
      <w:pPr>
        <w:spacing w:after="0" w:line="133" w:lineRule="exact"/>
        <w:rPr>
          <w:sz w:val="20"/>
          <w:szCs w:val="20"/>
          <w:color w:val="auto"/>
        </w:rPr>
      </w:pPr>
    </w:p>
    <w:p>
      <w:pPr>
        <w:jc w:val="both"/>
        <w:ind w:right="140" w:firstLine="916"/>
        <w:spacing w:after="0" w:line="263" w:lineRule="auto"/>
        <w:rPr>
          <w:sz w:val="20"/>
          <w:szCs w:val="20"/>
          <w:color w:val="auto"/>
        </w:rPr>
      </w:pPr>
      <w:r>
        <w:rPr>
          <w:rFonts w:ascii="Arial" w:cs="Arial" w:eastAsia="Arial" w:hAnsi="Arial"/>
          <w:sz w:val="15"/>
          <w:szCs w:val="15"/>
          <w:color w:val="auto"/>
        </w:rPr>
        <w:t xml:space="preserve">4.5 </w:t>
      </w:r>
      <w:r>
        <w:rPr>
          <w:rFonts w:ascii="Arial" w:cs="Arial" w:eastAsia="Arial" w:hAnsi="Arial"/>
          <w:sz w:val="15"/>
          <w:szCs w:val="15"/>
          <w:u w:val="single" w:color="auto"/>
          <w:color w:val="auto"/>
        </w:rPr>
        <w:t>Issuance of Shares</w:t>
      </w:r>
      <w:r>
        <w:rPr>
          <w:rFonts w:ascii="Arial" w:cs="Arial" w:eastAsia="Arial" w:hAnsi="Arial"/>
          <w:sz w:val="15"/>
          <w:szCs w:val="15"/>
          <w:color w:val="auto"/>
        </w:rPr>
        <w:t>. Provided that the Exercise Agreement and payment are in form and substance satisfactory to counsel for the Company, the Company shall issue the Shares in book-entry form, registered in the name of Participant, Participant’s authorized assignee, or Participant’s legal representative, and upon request from the Participant, shall deliver book-entry records evidencing the Shares with the appropriate legends affixed thereto.</w:t>
      </w:r>
    </w:p>
    <w:p>
      <w:pPr>
        <w:spacing w:after="0" w:line="151" w:lineRule="exact"/>
        <w:rPr>
          <w:sz w:val="20"/>
          <w:szCs w:val="20"/>
          <w:color w:val="auto"/>
        </w:rPr>
      </w:pPr>
    </w:p>
    <w:p>
      <w:pPr>
        <w:ind w:right="80" w:firstLine="448"/>
        <w:spacing w:after="0" w:line="285" w:lineRule="auto"/>
        <w:tabs>
          <w:tab w:leader="none" w:pos="608" w:val="left"/>
        </w:tabs>
        <w:numPr>
          <w:ilvl w:val="0"/>
          <w:numId w:val="408"/>
        </w:numPr>
        <w:rPr>
          <w:rFonts w:ascii="Arial" w:cs="Arial" w:eastAsia="Arial" w:hAnsi="Arial"/>
          <w:sz w:val="14"/>
          <w:szCs w:val="14"/>
          <w:b w:val="1"/>
          <w:bCs w:val="1"/>
          <w:color w:val="auto"/>
        </w:rPr>
      </w:pPr>
      <w:r>
        <w:rPr>
          <w:rFonts w:ascii="Arial" w:cs="Arial" w:eastAsia="Arial" w:hAnsi="Arial"/>
          <w:sz w:val="14"/>
          <w:szCs w:val="14"/>
          <w:b w:val="1"/>
          <w:bCs w:val="1"/>
          <w:u w:val="single" w:color="auto"/>
          <w:color w:val="auto"/>
        </w:rPr>
        <w:t>Notice of Disqualifying Disposition of ISO Shares</w:t>
      </w:r>
      <w:r>
        <w:rPr>
          <w:rFonts w:ascii="Arial" w:cs="Arial" w:eastAsia="Arial" w:hAnsi="Arial"/>
          <w:sz w:val="14"/>
          <w:szCs w:val="14"/>
          <w:b w:val="1"/>
          <w:bCs w:val="1"/>
          <w:color w:val="auto"/>
        </w:rPr>
        <w:t xml:space="preserve">. </w:t>
      </w:r>
      <w:r>
        <w:rPr>
          <w:rFonts w:ascii="Arial" w:cs="Arial" w:eastAsia="Arial" w:hAnsi="Arial"/>
          <w:sz w:val="14"/>
          <w:szCs w:val="14"/>
          <w:color w:val="auto"/>
        </w:rPr>
        <w:t>If the Option is an ISO, and if Participant sells or otherwise disposes of any of the Shares acquired pursuant to the ISO on or</w:t>
      </w:r>
      <w:r>
        <w:rPr>
          <w:rFonts w:ascii="Arial" w:cs="Arial" w:eastAsia="Arial" w:hAnsi="Arial"/>
          <w:sz w:val="14"/>
          <w:szCs w:val="14"/>
          <w:b w:val="1"/>
          <w:bCs w:val="1"/>
          <w:color w:val="auto"/>
        </w:rPr>
        <w:t xml:space="preserve"> </w:t>
      </w:r>
      <w:r>
        <w:rPr>
          <w:rFonts w:ascii="Arial" w:cs="Arial" w:eastAsia="Arial" w:hAnsi="Arial"/>
          <w:sz w:val="14"/>
          <w:szCs w:val="14"/>
          <w:color w:val="auto"/>
        </w:rPr>
        <w:t>before the later of (i) the date two (2) years after the Date of Grant, and (ii) the date one (1) year after transfer of such Shares to Participant upon exercise of the Option, Participant shall immediately notify the Company in writing of such disposition. Participant agrees that Participant may be subject to income tax withholding by the Company on the compensation income recognized by Participant from the early disposition by payment in cash or out of the current wages or other compensation payable to Participant.</w:t>
      </w:r>
    </w:p>
    <w:p>
      <w:pPr>
        <w:spacing w:after="0" w:line="137" w:lineRule="exact"/>
        <w:rPr>
          <w:rFonts w:ascii="Arial" w:cs="Arial" w:eastAsia="Arial" w:hAnsi="Arial"/>
          <w:sz w:val="14"/>
          <w:szCs w:val="14"/>
          <w:b w:val="1"/>
          <w:bCs w:val="1"/>
          <w:color w:val="auto"/>
        </w:rPr>
      </w:pPr>
    </w:p>
    <w:p>
      <w:pPr>
        <w:ind w:right="40" w:firstLine="448"/>
        <w:spacing w:after="0" w:line="278" w:lineRule="auto"/>
        <w:tabs>
          <w:tab w:leader="none" w:pos="608" w:val="left"/>
        </w:tabs>
        <w:numPr>
          <w:ilvl w:val="0"/>
          <w:numId w:val="408"/>
        </w:numPr>
        <w:rPr>
          <w:rFonts w:ascii="Arial" w:cs="Arial" w:eastAsia="Arial" w:hAnsi="Arial"/>
          <w:sz w:val="14"/>
          <w:szCs w:val="14"/>
          <w:b w:val="1"/>
          <w:bCs w:val="1"/>
          <w:color w:val="auto"/>
        </w:rPr>
      </w:pPr>
      <w:r>
        <w:rPr>
          <w:rFonts w:ascii="Arial" w:cs="Arial" w:eastAsia="Arial" w:hAnsi="Arial"/>
          <w:sz w:val="14"/>
          <w:szCs w:val="14"/>
          <w:b w:val="1"/>
          <w:bCs w:val="1"/>
          <w:u w:val="single" w:color="auto"/>
          <w:color w:val="auto"/>
        </w:rPr>
        <w:t>Compliance with Laws and Regulations</w:t>
      </w:r>
      <w:r>
        <w:rPr>
          <w:rFonts w:ascii="Arial" w:cs="Arial" w:eastAsia="Arial" w:hAnsi="Arial"/>
          <w:sz w:val="14"/>
          <w:szCs w:val="14"/>
          <w:b w:val="1"/>
          <w:bCs w:val="1"/>
          <w:color w:val="auto"/>
        </w:rPr>
        <w:t xml:space="preserve">. </w:t>
      </w:r>
      <w:r>
        <w:rPr>
          <w:rFonts w:ascii="Arial" w:cs="Arial" w:eastAsia="Arial" w:hAnsi="Arial"/>
          <w:sz w:val="14"/>
          <w:szCs w:val="14"/>
          <w:color w:val="auto"/>
        </w:rPr>
        <w:t>The Plan and this Agreement are intended to comply with Section 25102(o) of the California Corporations Code and any regulations</w:t>
      </w:r>
      <w:r>
        <w:rPr>
          <w:rFonts w:ascii="Arial" w:cs="Arial" w:eastAsia="Arial" w:hAnsi="Arial"/>
          <w:sz w:val="14"/>
          <w:szCs w:val="14"/>
          <w:b w:val="1"/>
          <w:bCs w:val="1"/>
          <w:color w:val="auto"/>
        </w:rPr>
        <w:t xml:space="preserve"> </w:t>
      </w:r>
      <w:r>
        <w:rPr>
          <w:rFonts w:ascii="Arial" w:cs="Arial" w:eastAsia="Arial" w:hAnsi="Arial"/>
          <w:sz w:val="14"/>
          <w:szCs w:val="14"/>
          <w:color w:val="auto"/>
        </w:rPr>
        <w:t>relating thereto. Any provision of this Agreement which is inconsistent with Section 25102(o) or any regulations relating thereto shall, without further act or amendment by the Company or the Board, be reformed to comply with the requirements of Section 25102(o) and any regulations relating thereto. The exercise of the Option and the issuance and transfer of Shares shall be subject to compliance by the Company and Participant with all applicable requirements of federal and state securities laws and with all applicable requirements of any stock exchange on which the Company’s securities may be listed at the time of such issuance or transfer. Participant understands that the Company is under no obligation to register or qualify the Shares with the SEC, any state securities commission or any stock exchange to effect such compliance.</w:t>
      </w:r>
    </w:p>
    <w:p>
      <w:pPr>
        <w:spacing w:after="0" w:line="92"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4</w:t>
      </w:r>
    </w:p>
    <w:p>
      <w:pPr>
        <w:sectPr>
          <w:pgSz w:w="11900" w:h="16838" w:orient="portrait"/>
          <w:cols w:equalWidth="0" w:num="1">
            <w:col w:w="11380"/>
          </w:cols>
          <w:pgMar w:left="240" w:top="253" w:right="279" w:bottom="1440" w:gutter="0" w:footer="0" w:header="0"/>
        </w:sectPr>
      </w:pPr>
    </w:p>
    <w:bookmarkStart w:id="447" w:name="page448"/>
    <w:bookmarkEnd w:id="447"/>
    <w:p>
      <w:pPr>
        <w:ind w:right="80" w:firstLine="448"/>
        <w:spacing w:after="0" w:line="285" w:lineRule="auto"/>
        <w:tabs>
          <w:tab w:leader="none" w:pos="608" w:val="left"/>
        </w:tabs>
        <w:numPr>
          <w:ilvl w:val="0"/>
          <w:numId w:val="409"/>
        </w:numPr>
        <w:rPr>
          <w:rFonts w:ascii="Arial" w:cs="Arial" w:eastAsia="Arial" w:hAnsi="Arial"/>
          <w:sz w:val="14"/>
          <w:szCs w:val="14"/>
          <w:b w:val="1"/>
          <w:bCs w:val="1"/>
          <w:color w:val="auto"/>
        </w:rPr>
      </w:pPr>
      <w:r>
        <w:rPr>
          <w:rFonts w:ascii="Arial" w:cs="Arial" w:eastAsia="Arial" w:hAnsi="Arial"/>
          <w:sz w:val="14"/>
          <w:szCs w:val="14"/>
          <w:b w:val="1"/>
          <w:bCs w:val="1"/>
          <w:u w:val="single" w:color="auto"/>
          <w:color w:val="auto"/>
        </w:rPr>
        <w:drawing>
          <wp:anchor simplePos="0" relativeHeight="251657728" behindDoc="1" locked="0" layoutInCell="0" allowOverlap="1">
            <wp:simplePos x="0" y="0"/>
            <wp:positionH relativeFrom="page">
              <wp:posOffset>133350</wp:posOffset>
            </wp:positionH>
            <wp:positionV relativeFrom="page">
              <wp:posOffset>88900</wp:posOffset>
            </wp:positionV>
            <wp:extent cx="7308850" cy="34290"/>
            <wp:wrapNone/>
            <wp:docPr id="627" name="Picture 6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7"/>
                    <pic:cNvPicPr>
                      <a:picLocks noChangeAspect="1" noChangeArrowheads="1"/>
                    </pic:cNvPicPr>
                  </pic:nvPicPr>
                  <pic:blipFill>
                    <a:blip r:embed="rId664">
                      <a:extLst>
                        <a:ext uri="{28A0092B-C50C-407E-A947-70E740481C1C}"/>
                      </a:extLst>
                    </a:blip>
                    <a:srcRect/>
                    <a:stretch>
                      <a:fillRect/>
                    </a:stretch>
                  </pic:blipFill>
                  <pic:spPr bwMode="auto">
                    <a:xfrm>
                      <a:off x="0" y="0"/>
                      <a:ext cx="7308850" cy="34290"/>
                    </a:xfrm>
                    <a:prstGeom prst="rect">
                      <a:avLst/>
                    </a:prstGeom>
                    <a:noFill/>
                  </pic:spPr>
                </pic:pic>
              </a:graphicData>
            </a:graphic>
          </wp:anchor>
        </w:drawing>
        <w:t>Nontransferability of Option</w:t>
      </w:r>
      <w:r>
        <w:rPr>
          <w:rFonts w:ascii="Arial" w:cs="Arial" w:eastAsia="Arial" w:hAnsi="Arial"/>
          <w:sz w:val="14"/>
          <w:szCs w:val="14"/>
          <w:b w:val="1"/>
          <w:bCs w:val="1"/>
          <w:color w:val="auto"/>
        </w:rPr>
        <w:t xml:space="preserve">. </w:t>
      </w:r>
      <w:r>
        <w:rPr>
          <w:rFonts w:ascii="Arial" w:cs="Arial" w:eastAsia="Arial" w:hAnsi="Arial"/>
          <w:sz w:val="14"/>
          <w:szCs w:val="14"/>
          <w:color w:val="auto"/>
        </w:rPr>
        <w:t>The Option may not be transferred in any manner other than by will or by the laws of descent and distribution, and, with respect to NQSOs, by</w:t>
      </w:r>
      <w:r>
        <w:rPr>
          <w:rFonts w:ascii="Arial" w:cs="Arial" w:eastAsia="Arial" w:hAnsi="Arial"/>
          <w:sz w:val="14"/>
          <w:szCs w:val="14"/>
          <w:b w:val="1"/>
          <w:bCs w:val="1"/>
          <w:color w:val="auto"/>
        </w:rPr>
        <w:t xml:space="preserve"> </w:t>
      </w:r>
      <w:r>
        <w:rPr>
          <w:rFonts w:ascii="Arial" w:cs="Arial" w:eastAsia="Arial" w:hAnsi="Arial"/>
          <w:sz w:val="14"/>
          <w:szCs w:val="14"/>
          <w:color w:val="auto"/>
        </w:rPr>
        <w:t>instrument to an inter vivos or testamentary trust in which the options are to be passed to beneficiaries upon the death of the trustor (settlor), or by gift to “immediate family” as that term is defined in 17 C.F.R. 240.16a-1(e), and may be exercised during the lifetime of Participant only by Participant or in the event of Participant’s incapacity, by Participant’s legal representative. The terms of the Option shall be binding upon the executors, administrators, successors and assigns of Participant.</w:t>
      </w:r>
    </w:p>
    <w:p>
      <w:pPr>
        <w:spacing w:after="0" w:line="137" w:lineRule="exact"/>
        <w:rPr>
          <w:rFonts w:ascii="Arial" w:cs="Arial" w:eastAsia="Arial" w:hAnsi="Arial"/>
          <w:sz w:val="14"/>
          <w:szCs w:val="14"/>
          <w:b w:val="1"/>
          <w:bCs w:val="1"/>
          <w:color w:val="auto"/>
        </w:rPr>
      </w:pPr>
    </w:p>
    <w:p>
      <w:pPr>
        <w:ind w:right="60" w:firstLine="448"/>
        <w:spacing w:after="0" w:line="258" w:lineRule="auto"/>
        <w:tabs>
          <w:tab w:leader="none" w:pos="608" w:val="left"/>
        </w:tabs>
        <w:numPr>
          <w:ilvl w:val="0"/>
          <w:numId w:val="409"/>
        </w:numPr>
        <w:rPr>
          <w:rFonts w:ascii="Arial" w:cs="Arial" w:eastAsia="Arial" w:hAnsi="Arial"/>
          <w:sz w:val="15"/>
          <w:szCs w:val="15"/>
          <w:b w:val="1"/>
          <w:bCs w:val="1"/>
          <w:color w:val="auto"/>
        </w:rPr>
      </w:pPr>
      <w:r>
        <w:rPr>
          <w:rFonts w:ascii="Arial" w:cs="Arial" w:eastAsia="Arial" w:hAnsi="Arial"/>
          <w:sz w:val="15"/>
          <w:szCs w:val="15"/>
          <w:b w:val="1"/>
          <w:bCs w:val="1"/>
          <w:u w:val="single" w:color="auto"/>
          <w:color w:val="auto"/>
        </w:rPr>
        <w:t>Company’s Repurchase Option for Unvested Shares</w:t>
      </w:r>
      <w:r>
        <w:rPr>
          <w:rFonts w:ascii="Arial" w:cs="Arial" w:eastAsia="Arial" w:hAnsi="Arial"/>
          <w:sz w:val="15"/>
          <w:szCs w:val="15"/>
          <w:b w:val="1"/>
          <w:bCs w:val="1"/>
          <w:color w:val="auto"/>
        </w:rPr>
        <w:t xml:space="preserve">. </w:t>
      </w:r>
      <w:r>
        <w:rPr>
          <w:rFonts w:ascii="Arial" w:cs="Arial" w:eastAsia="Arial" w:hAnsi="Arial"/>
          <w:sz w:val="15"/>
          <w:szCs w:val="15"/>
          <w:color w:val="auto"/>
        </w:rPr>
        <w:t>The Company, or its assignee, shall have the option to repurchase Participant’s Unvested Shares (as defined in Section 2.2</w:t>
      </w:r>
      <w:r>
        <w:rPr>
          <w:rFonts w:ascii="Arial" w:cs="Arial" w:eastAsia="Arial" w:hAnsi="Arial"/>
          <w:sz w:val="15"/>
          <w:szCs w:val="15"/>
          <w:b w:val="1"/>
          <w:bCs w:val="1"/>
          <w:color w:val="auto"/>
        </w:rPr>
        <w:t xml:space="preserve"> </w:t>
      </w:r>
      <w:r>
        <w:rPr>
          <w:rFonts w:ascii="Arial" w:cs="Arial" w:eastAsia="Arial" w:hAnsi="Arial"/>
          <w:sz w:val="15"/>
          <w:szCs w:val="15"/>
          <w:color w:val="auto"/>
        </w:rPr>
        <w:t>of this Agreement) on the terms and conditions set forth in the Exercise Agreement (the “</w:t>
      </w:r>
      <w:r>
        <w:rPr>
          <w:rFonts w:ascii="Arial" w:cs="Arial" w:eastAsia="Arial" w:hAnsi="Arial"/>
          <w:sz w:val="15"/>
          <w:szCs w:val="15"/>
          <w:b w:val="1"/>
          <w:bCs w:val="1"/>
          <w:i w:val="1"/>
          <w:iCs w:val="1"/>
          <w:color w:val="auto"/>
        </w:rPr>
        <w:t>Repurchase Option</w:t>
      </w:r>
      <w:r>
        <w:rPr>
          <w:rFonts w:ascii="Arial" w:cs="Arial" w:eastAsia="Arial" w:hAnsi="Arial"/>
          <w:sz w:val="15"/>
          <w:szCs w:val="15"/>
          <w:color w:val="auto"/>
        </w:rPr>
        <w:t>”) if Participant is Terminated (as defined in the Plan) for any reason, or no reason, including without limitation Participant’s death, Disability (as defined in the Plan), voluntary resignation or termination by the Company with or without Cause. Notwithstanding the foregoing, the Company shall retain the Repurchase Option for Unvested Shares only as to that number of Unvested Shares (whether or not exercised) that exceeds the number of shares which remain unexercised.</w:t>
      </w:r>
    </w:p>
    <w:p>
      <w:pPr>
        <w:spacing w:after="0" w:line="155" w:lineRule="exact"/>
        <w:rPr>
          <w:rFonts w:ascii="Arial" w:cs="Arial" w:eastAsia="Arial" w:hAnsi="Arial"/>
          <w:sz w:val="15"/>
          <w:szCs w:val="15"/>
          <w:b w:val="1"/>
          <w:bCs w:val="1"/>
          <w:color w:val="auto"/>
        </w:rPr>
      </w:pPr>
    </w:p>
    <w:p>
      <w:pPr>
        <w:jc w:val="both"/>
        <w:ind w:right="20" w:firstLine="448"/>
        <w:spacing w:after="0" w:line="285" w:lineRule="auto"/>
        <w:tabs>
          <w:tab w:leader="none" w:pos="608" w:val="left"/>
        </w:tabs>
        <w:numPr>
          <w:ilvl w:val="0"/>
          <w:numId w:val="409"/>
        </w:numPr>
        <w:rPr>
          <w:rFonts w:ascii="Arial" w:cs="Arial" w:eastAsia="Arial" w:hAnsi="Arial"/>
          <w:sz w:val="14"/>
          <w:szCs w:val="14"/>
          <w:b w:val="1"/>
          <w:bCs w:val="1"/>
          <w:color w:val="auto"/>
        </w:rPr>
      </w:pPr>
      <w:r>
        <w:rPr>
          <w:rFonts w:ascii="Arial" w:cs="Arial" w:eastAsia="Arial" w:hAnsi="Arial"/>
          <w:sz w:val="14"/>
          <w:szCs w:val="14"/>
          <w:b w:val="1"/>
          <w:bCs w:val="1"/>
          <w:u w:val="single" w:color="auto"/>
          <w:color w:val="auto"/>
        </w:rPr>
        <w:t>Company’s Right of First Refusal</w:t>
      </w:r>
      <w:r>
        <w:rPr>
          <w:rFonts w:ascii="Arial" w:cs="Arial" w:eastAsia="Arial" w:hAnsi="Arial"/>
          <w:sz w:val="14"/>
          <w:szCs w:val="14"/>
          <w:b w:val="1"/>
          <w:bCs w:val="1"/>
          <w:color w:val="auto"/>
        </w:rPr>
        <w:t xml:space="preserve">. </w:t>
      </w:r>
      <w:r>
        <w:rPr>
          <w:rFonts w:ascii="Arial" w:cs="Arial" w:eastAsia="Arial" w:hAnsi="Arial"/>
          <w:sz w:val="14"/>
          <w:szCs w:val="14"/>
          <w:color w:val="auto"/>
        </w:rPr>
        <w:t>Unvested Shares may not be sold or otherwise transferred by Participant without the Company’s prior written consent. Before any Vested</w:t>
      </w:r>
      <w:r>
        <w:rPr>
          <w:rFonts w:ascii="Arial" w:cs="Arial" w:eastAsia="Arial" w:hAnsi="Arial"/>
          <w:sz w:val="14"/>
          <w:szCs w:val="14"/>
          <w:b w:val="1"/>
          <w:bCs w:val="1"/>
          <w:color w:val="auto"/>
        </w:rPr>
        <w:t xml:space="preserve"> </w:t>
      </w:r>
      <w:r>
        <w:rPr>
          <w:rFonts w:ascii="Arial" w:cs="Arial" w:eastAsia="Arial" w:hAnsi="Arial"/>
          <w:sz w:val="14"/>
          <w:szCs w:val="14"/>
          <w:color w:val="auto"/>
        </w:rPr>
        <w:t>Shares held by Participant or any transferee of such Vested Shares may be sold or otherwise transferred (including without limitation a transfer by gift or operation of law), the Company and/or its assignee(s) shall have an assignable right of first refusal to purchase the Vested Shares to be sold or transferred on the terms and conditions set forth in the Exercise Agreement (the “</w:t>
      </w:r>
      <w:r>
        <w:rPr>
          <w:rFonts w:ascii="Arial" w:cs="Arial" w:eastAsia="Arial" w:hAnsi="Arial"/>
          <w:sz w:val="14"/>
          <w:szCs w:val="14"/>
          <w:b w:val="1"/>
          <w:bCs w:val="1"/>
          <w:i w:val="1"/>
          <w:iCs w:val="1"/>
          <w:color w:val="auto"/>
        </w:rPr>
        <w:t>Right of First Refusal</w:t>
      </w:r>
      <w:r>
        <w:rPr>
          <w:rFonts w:ascii="Arial" w:cs="Arial" w:eastAsia="Arial" w:hAnsi="Arial"/>
          <w:sz w:val="14"/>
          <w:szCs w:val="14"/>
          <w:color w:val="auto"/>
        </w:rPr>
        <w:t>”). The Company’s Right of First Refusal will terminate when the Company’s securities become publicly traded.</w:t>
      </w:r>
    </w:p>
    <w:p>
      <w:pPr>
        <w:spacing w:after="0" w:line="137" w:lineRule="exact"/>
        <w:rPr>
          <w:rFonts w:ascii="Arial" w:cs="Arial" w:eastAsia="Arial" w:hAnsi="Arial"/>
          <w:sz w:val="14"/>
          <w:szCs w:val="14"/>
          <w:b w:val="1"/>
          <w:bCs w:val="1"/>
          <w:color w:val="auto"/>
        </w:rPr>
      </w:pPr>
    </w:p>
    <w:p>
      <w:pPr>
        <w:ind w:firstLine="448"/>
        <w:spacing w:after="0" w:line="266" w:lineRule="auto"/>
        <w:tabs>
          <w:tab w:leader="none" w:pos="683" w:val="left"/>
        </w:tabs>
        <w:numPr>
          <w:ilvl w:val="0"/>
          <w:numId w:val="409"/>
        </w:numPr>
        <w:rPr>
          <w:rFonts w:ascii="Arial" w:cs="Arial" w:eastAsia="Arial" w:hAnsi="Arial"/>
          <w:sz w:val="15"/>
          <w:szCs w:val="15"/>
          <w:b w:val="1"/>
          <w:bCs w:val="1"/>
          <w:color w:val="auto"/>
        </w:rPr>
      </w:pPr>
      <w:r>
        <w:rPr>
          <w:rFonts w:ascii="Arial" w:cs="Arial" w:eastAsia="Arial" w:hAnsi="Arial"/>
          <w:sz w:val="15"/>
          <w:szCs w:val="15"/>
          <w:b w:val="1"/>
          <w:bCs w:val="1"/>
          <w:u w:val="single" w:color="auto"/>
          <w:color w:val="auto"/>
        </w:rPr>
        <w:t>Tax Consequences</w:t>
      </w:r>
      <w:r>
        <w:rPr>
          <w:rFonts w:ascii="Arial" w:cs="Arial" w:eastAsia="Arial" w:hAnsi="Arial"/>
          <w:sz w:val="15"/>
          <w:szCs w:val="15"/>
          <w:b w:val="1"/>
          <w:bCs w:val="1"/>
          <w:color w:val="auto"/>
        </w:rPr>
        <w:t xml:space="preserve">. </w:t>
      </w:r>
      <w:r>
        <w:rPr>
          <w:rFonts w:ascii="Arial" w:cs="Arial" w:eastAsia="Arial" w:hAnsi="Arial"/>
          <w:sz w:val="15"/>
          <w:szCs w:val="15"/>
          <w:color w:val="auto"/>
        </w:rPr>
        <w:t>Set forth below is a brief summary as of the Effective Date of the Plan of some of the federal and California tax consequences of exercise of the Option and</w:t>
      </w:r>
      <w:r>
        <w:rPr>
          <w:rFonts w:ascii="Arial" w:cs="Arial" w:eastAsia="Arial" w:hAnsi="Arial"/>
          <w:sz w:val="15"/>
          <w:szCs w:val="15"/>
          <w:b w:val="1"/>
          <w:bCs w:val="1"/>
          <w:color w:val="auto"/>
        </w:rPr>
        <w:t xml:space="preserve"> </w:t>
      </w:r>
      <w:r>
        <w:rPr>
          <w:rFonts w:ascii="Arial" w:cs="Arial" w:eastAsia="Arial" w:hAnsi="Arial"/>
          <w:sz w:val="15"/>
          <w:szCs w:val="15"/>
          <w:color w:val="auto"/>
        </w:rPr>
        <w:t>disposition of the Shares. THIS SUMMARY IS NECESSARILY INCOMPLETE, AND THE TAX LAWS AND REGULATIONS ARE SUBJECT TO CHANGE. PARTICIPANT SHOULD CONSULT A TAX ADVISER BEFORE EXERCISING THE OPTION OR DISPOSING OF THE SHARES.</w:t>
      </w:r>
    </w:p>
    <w:p>
      <w:pPr>
        <w:spacing w:after="0" w:line="152" w:lineRule="exact"/>
        <w:rPr>
          <w:sz w:val="20"/>
          <w:szCs w:val="20"/>
          <w:color w:val="auto"/>
        </w:rPr>
      </w:pPr>
    </w:p>
    <w:p>
      <w:pPr>
        <w:ind w:right="60" w:firstLine="916"/>
        <w:spacing w:after="0" w:line="263" w:lineRule="auto"/>
        <w:rPr>
          <w:sz w:val="20"/>
          <w:szCs w:val="20"/>
          <w:color w:val="auto"/>
        </w:rPr>
      </w:pPr>
      <w:r>
        <w:rPr>
          <w:rFonts w:ascii="Arial" w:cs="Arial" w:eastAsia="Arial" w:hAnsi="Arial"/>
          <w:sz w:val="15"/>
          <w:szCs w:val="15"/>
          <w:color w:val="auto"/>
        </w:rPr>
        <w:t xml:space="preserve">10.1 </w:t>
      </w:r>
      <w:r>
        <w:rPr>
          <w:rFonts w:ascii="Arial" w:cs="Arial" w:eastAsia="Arial" w:hAnsi="Arial"/>
          <w:sz w:val="15"/>
          <w:szCs w:val="15"/>
          <w:u w:val="single" w:color="auto"/>
          <w:color w:val="auto"/>
        </w:rPr>
        <w:t>Exercise of ISO</w:t>
      </w:r>
      <w:r>
        <w:rPr>
          <w:rFonts w:ascii="Arial" w:cs="Arial" w:eastAsia="Arial" w:hAnsi="Arial"/>
          <w:sz w:val="15"/>
          <w:szCs w:val="15"/>
          <w:color w:val="auto"/>
        </w:rPr>
        <w:t>. If the Option qualifies as an ISO, there will be no regular federal or California income tax liability upon the exercise of the Option, although the excess, if any, of the Fair Market Value of the Shares on the date of exercise over the Exercise Price will be treated as a tax preference item for federal alternative minimum tax purposes and may subject the Participant to the alternative minimum tax in the year of exercise.</w:t>
      </w:r>
    </w:p>
    <w:p>
      <w:pPr>
        <w:spacing w:after="0" w:line="155" w:lineRule="exact"/>
        <w:rPr>
          <w:sz w:val="20"/>
          <w:szCs w:val="20"/>
          <w:color w:val="auto"/>
        </w:rPr>
      </w:pPr>
    </w:p>
    <w:p>
      <w:pPr>
        <w:ind w:firstLine="916"/>
        <w:spacing w:after="0" w:line="283" w:lineRule="auto"/>
        <w:rPr>
          <w:sz w:val="20"/>
          <w:szCs w:val="20"/>
          <w:color w:val="auto"/>
        </w:rPr>
      </w:pPr>
      <w:r>
        <w:rPr>
          <w:rFonts w:ascii="Arial" w:cs="Arial" w:eastAsia="Arial" w:hAnsi="Arial"/>
          <w:sz w:val="14"/>
          <w:szCs w:val="14"/>
          <w:color w:val="auto"/>
        </w:rPr>
        <w:t xml:space="preserve">10.2 </w:t>
      </w:r>
      <w:r>
        <w:rPr>
          <w:rFonts w:ascii="Arial" w:cs="Arial" w:eastAsia="Arial" w:hAnsi="Arial"/>
          <w:sz w:val="14"/>
          <w:szCs w:val="14"/>
          <w:u w:val="single" w:color="auto"/>
          <w:color w:val="auto"/>
        </w:rPr>
        <w:t>Exercise of Nonqualified Stock Option</w:t>
      </w:r>
      <w:r>
        <w:rPr>
          <w:rFonts w:ascii="Arial" w:cs="Arial" w:eastAsia="Arial" w:hAnsi="Arial"/>
          <w:sz w:val="14"/>
          <w:szCs w:val="14"/>
          <w:color w:val="auto"/>
        </w:rPr>
        <w:t>. If the Option does not qualify as an ISO, there may be a regular federal and California income tax liability upon the exercise of the Option. Participant will be treated as having received compensation income (taxable at ordinary income tax rates) equal to the excess, if any, of the Fair Market Value of the Shares on the date of exercise over the Exercise Price. If Participant is a current or former employee of the Company, the Company may be required to withhold from Participant’s compensation or collect from Participant and pay to the applicable taxing authorities an amount equal to a percentage of this compensation income at the time of exercise.</w:t>
      </w:r>
    </w:p>
    <w:p>
      <w:pPr>
        <w:spacing w:after="0" w:line="87"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5</w:t>
      </w:r>
    </w:p>
    <w:p>
      <w:pPr>
        <w:sectPr>
          <w:pgSz w:w="11900" w:h="16838" w:orient="portrait"/>
          <w:cols w:equalWidth="0" w:num="1">
            <w:col w:w="11420"/>
          </w:cols>
          <w:pgMar w:left="240" w:top="249" w:right="239" w:bottom="1440" w:gutter="0" w:footer="0" w:header="0"/>
        </w:sectPr>
      </w:pPr>
    </w:p>
    <w:bookmarkStart w:id="448" w:name="page449"/>
    <w:bookmarkEnd w:id="448"/>
    <w:p>
      <w:pPr>
        <w:ind w:left="900"/>
        <w:spacing w:after="0"/>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133350</wp:posOffset>
            </wp:positionH>
            <wp:positionV relativeFrom="page">
              <wp:posOffset>88900</wp:posOffset>
            </wp:positionV>
            <wp:extent cx="7308850" cy="33655"/>
            <wp:wrapNone/>
            <wp:docPr id="628" name="Picture 6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8"/>
                    <pic:cNvPicPr>
                      <a:picLocks noChangeAspect="1" noChangeArrowheads="1"/>
                    </pic:cNvPicPr>
                  </pic:nvPicPr>
                  <pic:blipFill>
                    <a:blip r:embed="rId665">
                      <a:extLst>
                        <a:ext uri="{28A0092B-C50C-407E-A947-70E740481C1C}"/>
                      </a:extLst>
                    </a:blip>
                    <a:srcRect/>
                    <a:stretch>
                      <a:fillRect/>
                    </a:stretch>
                  </pic:blipFill>
                  <pic:spPr bwMode="auto">
                    <a:xfrm>
                      <a:off x="0" y="0"/>
                      <a:ext cx="7308850" cy="33655"/>
                    </a:xfrm>
                    <a:prstGeom prst="rect">
                      <a:avLst/>
                    </a:prstGeom>
                    <a:noFill/>
                  </pic:spPr>
                </pic:pic>
              </a:graphicData>
            </a:graphic>
          </wp:anchor>
        </w:drawing>
        <w:t xml:space="preserve">10.3 </w:t>
      </w:r>
      <w:r>
        <w:rPr>
          <w:rFonts w:ascii="Arial" w:cs="Arial" w:eastAsia="Arial" w:hAnsi="Arial"/>
          <w:sz w:val="15"/>
          <w:szCs w:val="15"/>
          <w:u w:val="single" w:color="auto"/>
          <w:color w:val="auto"/>
        </w:rPr>
        <w:t>Disposition of Shares</w:t>
      </w:r>
      <w:r>
        <w:rPr>
          <w:rFonts w:ascii="Arial" w:cs="Arial" w:eastAsia="Arial" w:hAnsi="Arial"/>
          <w:sz w:val="15"/>
          <w:szCs w:val="15"/>
          <w:color w:val="auto"/>
        </w:rPr>
        <w:t>. The following tax consequences may apply upon disposition of the Shares.</w:t>
      </w:r>
    </w:p>
    <w:p>
      <w:pPr>
        <w:spacing w:after="0" w:line="188" w:lineRule="exact"/>
        <w:rPr>
          <w:sz w:val="20"/>
          <w:szCs w:val="20"/>
          <w:color w:val="auto"/>
        </w:rPr>
      </w:pPr>
    </w:p>
    <w:p>
      <w:pPr>
        <w:ind w:firstLine="1478"/>
        <w:spacing w:after="0" w:line="277" w:lineRule="auto"/>
        <w:tabs>
          <w:tab w:leader="none" w:pos="1692" w:val="left"/>
        </w:tabs>
        <w:numPr>
          <w:ilvl w:val="0"/>
          <w:numId w:val="410"/>
        </w:numPr>
        <w:rPr>
          <w:rFonts w:ascii="Arial" w:cs="Arial" w:eastAsia="Arial" w:hAnsi="Arial"/>
          <w:sz w:val="14"/>
          <w:szCs w:val="14"/>
          <w:color w:val="auto"/>
        </w:rPr>
      </w:pPr>
      <w:r>
        <w:rPr>
          <w:rFonts w:ascii="Arial" w:cs="Arial" w:eastAsia="Arial" w:hAnsi="Arial"/>
          <w:sz w:val="14"/>
          <w:szCs w:val="14"/>
          <w:u w:val="single" w:color="auto"/>
          <w:color w:val="auto"/>
        </w:rPr>
        <w:t>Incentive Stock Options</w:t>
      </w:r>
      <w:r>
        <w:rPr>
          <w:rFonts w:ascii="Arial" w:cs="Arial" w:eastAsia="Arial" w:hAnsi="Arial"/>
          <w:sz w:val="14"/>
          <w:szCs w:val="14"/>
          <w:color w:val="auto"/>
        </w:rPr>
        <w:t xml:space="preserve">. If the Shares are held for more than twelve (12) months after the date of purchase of the Shares pursuant to the exercise of an ISO and are disposed of more than two (2) years after the Date of Grant, any gain realized on disposition of the Shares will be treated as long term capital gain for federal and California income tax purposes. If Vested Shares purchased under an ISO are disposed of within the applicable one (1) year or two (2) year period, any gain realized on such disposition will be treated as compensation income (taxable at ordinary income rates in the year of the disposition) to the extent of the excess, if any, of the Fair Market Value of the Shares on the date of exercise over the Exercise Price. To the extent the Shares were exercised prior to vesting coincident with the filing of an 83(b) Election, the amount taxed because of a disqualifying disposition will be based upon the excess, if any, of the fair market value on the date of </w:t>
      </w:r>
      <w:r>
        <w:rPr>
          <w:rFonts w:ascii="Arial" w:cs="Arial" w:eastAsia="Arial" w:hAnsi="Arial"/>
          <w:sz w:val="14"/>
          <w:szCs w:val="14"/>
          <w:u w:val="single" w:color="auto"/>
          <w:color w:val="auto"/>
        </w:rPr>
        <w:t>vesting</w:t>
      </w:r>
      <w:r>
        <w:rPr>
          <w:rFonts w:ascii="Arial" w:cs="Arial" w:eastAsia="Arial" w:hAnsi="Arial"/>
          <w:sz w:val="14"/>
          <w:szCs w:val="14"/>
          <w:color w:val="auto"/>
        </w:rPr>
        <w:t xml:space="preserve"> over the exercise price.</w:t>
      </w:r>
    </w:p>
    <w:p>
      <w:pPr>
        <w:spacing w:after="0" w:line="148" w:lineRule="exact"/>
        <w:rPr>
          <w:rFonts w:ascii="Arial" w:cs="Arial" w:eastAsia="Arial" w:hAnsi="Arial"/>
          <w:sz w:val="14"/>
          <w:szCs w:val="14"/>
          <w:color w:val="auto"/>
        </w:rPr>
      </w:pPr>
    </w:p>
    <w:p>
      <w:pPr>
        <w:ind w:right="300" w:firstLine="1478"/>
        <w:spacing w:after="0" w:line="275" w:lineRule="auto"/>
        <w:tabs>
          <w:tab w:leader="none" w:pos="1701" w:val="left"/>
        </w:tabs>
        <w:numPr>
          <w:ilvl w:val="0"/>
          <w:numId w:val="410"/>
        </w:numPr>
        <w:rPr>
          <w:rFonts w:ascii="Arial" w:cs="Arial" w:eastAsia="Arial" w:hAnsi="Arial"/>
          <w:sz w:val="15"/>
          <w:szCs w:val="15"/>
          <w:color w:val="auto"/>
        </w:rPr>
      </w:pPr>
      <w:r>
        <w:rPr>
          <w:rFonts w:ascii="Arial" w:cs="Arial" w:eastAsia="Arial" w:hAnsi="Arial"/>
          <w:sz w:val="15"/>
          <w:szCs w:val="15"/>
          <w:u w:val="single" w:color="auto"/>
          <w:color w:val="auto"/>
        </w:rPr>
        <w:t>Nonqualified Stock Options</w:t>
      </w:r>
      <w:r>
        <w:rPr>
          <w:rFonts w:ascii="Arial" w:cs="Arial" w:eastAsia="Arial" w:hAnsi="Arial"/>
          <w:sz w:val="15"/>
          <w:szCs w:val="15"/>
          <w:color w:val="auto"/>
        </w:rPr>
        <w:t>. If the Shares are held for more than twelve (12) months after the date of the transfer of the Shares pursuant to the exercise of an NQSO, any gain realized on disposition of the Shares will be treated as long term capital gain.</w:t>
      </w:r>
    </w:p>
    <w:p>
      <w:pPr>
        <w:spacing w:after="0" w:line="146" w:lineRule="exact"/>
        <w:rPr>
          <w:rFonts w:ascii="Arial" w:cs="Arial" w:eastAsia="Arial" w:hAnsi="Arial"/>
          <w:sz w:val="15"/>
          <w:szCs w:val="15"/>
          <w:color w:val="auto"/>
        </w:rPr>
      </w:pPr>
    </w:p>
    <w:p>
      <w:pPr>
        <w:ind w:right="300" w:firstLine="1478"/>
        <w:spacing w:after="0" w:line="275" w:lineRule="auto"/>
        <w:tabs>
          <w:tab w:leader="none" w:pos="1692" w:val="left"/>
        </w:tabs>
        <w:numPr>
          <w:ilvl w:val="0"/>
          <w:numId w:val="410"/>
        </w:numPr>
        <w:rPr>
          <w:rFonts w:ascii="Arial" w:cs="Arial" w:eastAsia="Arial" w:hAnsi="Arial"/>
          <w:sz w:val="15"/>
          <w:szCs w:val="15"/>
          <w:color w:val="auto"/>
        </w:rPr>
      </w:pPr>
      <w:r>
        <w:rPr>
          <w:rFonts w:ascii="Arial" w:cs="Arial" w:eastAsia="Arial" w:hAnsi="Arial"/>
          <w:sz w:val="15"/>
          <w:szCs w:val="15"/>
          <w:u w:val="single" w:color="auto"/>
          <w:color w:val="auto"/>
        </w:rPr>
        <w:t>Withholding</w:t>
      </w:r>
      <w:r>
        <w:rPr>
          <w:rFonts w:ascii="Arial" w:cs="Arial" w:eastAsia="Arial" w:hAnsi="Arial"/>
          <w:sz w:val="15"/>
          <w:szCs w:val="15"/>
          <w:color w:val="auto"/>
        </w:rPr>
        <w:t>. The Company may be required to withhold from the Participant’s compensation or collect from the Participant and pay to the applicable taxing authorities an amount equal to a percentage of this compensation income.</w:t>
      </w:r>
    </w:p>
    <w:p>
      <w:pPr>
        <w:spacing w:after="0" w:line="146" w:lineRule="exact"/>
        <w:rPr>
          <w:sz w:val="20"/>
          <w:szCs w:val="20"/>
          <w:color w:val="auto"/>
        </w:rPr>
      </w:pPr>
    </w:p>
    <w:p>
      <w:pPr>
        <w:ind w:right="140" w:firstLine="916"/>
        <w:spacing w:after="0" w:line="279" w:lineRule="auto"/>
        <w:rPr>
          <w:sz w:val="20"/>
          <w:szCs w:val="20"/>
          <w:color w:val="auto"/>
        </w:rPr>
      </w:pPr>
      <w:r>
        <w:rPr>
          <w:rFonts w:ascii="Arial" w:cs="Arial" w:eastAsia="Arial" w:hAnsi="Arial"/>
          <w:sz w:val="14"/>
          <w:szCs w:val="14"/>
          <w:color w:val="auto"/>
        </w:rPr>
        <w:t xml:space="preserve">10.4. </w:t>
      </w:r>
      <w:r>
        <w:rPr>
          <w:rFonts w:ascii="Arial" w:cs="Arial" w:eastAsia="Arial" w:hAnsi="Arial"/>
          <w:sz w:val="14"/>
          <w:szCs w:val="14"/>
          <w:u w:val="single" w:color="auto"/>
          <w:color w:val="auto"/>
        </w:rPr>
        <w:t>Section 83(b) Election for Unvested Shares</w:t>
      </w:r>
      <w:r>
        <w:rPr>
          <w:rFonts w:ascii="Arial" w:cs="Arial" w:eastAsia="Arial" w:hAnsi="Arial"/>
          <w:sz w:val="14"/>
          <w:szCs w:val="14"/>
          <w:color w:val="auto"/>
        </w:rPr>
        <w:t xml:space="preserve">. With respect to Unvested Shares, which are subject to the Repurchase Option, unless an election is filed by the Participant with the Internal Revenue Service (and, if necessary, the proper state taxing authorities), </w:t>
      </w:r>
      <w:r>
        <w:rPr>
          <w:rFonts w:ascii="Arial" w:cs="Arial" w:eastAsia="Arial" w:hAnsi="Arial"/>
          <w:sz w:val="14"/>
          <w:szCs w:val="14"/>
          <w:u w:val="single" w:color="auto"/>
          <w:color w:val="auto"/>
        </w:rPr>
        <w:t>within 30 days</w:t>
      </w:r>
      <w:r>
        <w:rPr>
          <w:rFonts w:ascii="Arial" w:cs="Arial" w:eastAsia="Arial" w:hAnsi="Arial"/>
          <w:sz w:val="14"/>
          <w:szCs w:val="14"/>
          <w:color w:val="auto"/>
        </w:rPr>
        <w:t xml:space="preserve"> of the purchase of the Unvested Shares, electing pursuant to Section 83(b) of the Code (and similar state tax provisions, if applicable) to be taxed currently on any difference between the Exercise Price of the Unvested Shares and their Fair Market Value on the date of purchase, there may be a recognition of taxable income (including, where applicable, alternative minimum taxable income) to the Participant, measured by the excess, if any, of the Fair Market Value of the Unvested Shares at the time they cease to be Unvested Shares, over the Exercise Price of the Unvested Shares.</w:t>
      </w:r>
    </w:p>
    <w:p>
      <w:pPr>
        <w:spacing w:after="0" w:line="143" w:lineRule="exact"/>
        <w:rPr>
          <w:sz w:val="20"/>
          <w:szCs w:val="20"/>
          <w:color w:val="auto"/>
        </w:rPr>
      </w:pPr>
    </w:p>
    <w:p>
      <w:pPr>
        <w:ind w:right="60" w:firstLine="448"/>
        <w:spacing w:after="0" w:line="280" w:lineRule="auto"/>
        <w:tabs>
          <w:tab w:leader="none" w:pos="675" w:val="left"/>
        </w:tabs>
        <w:numPr>
          <w:ilvl w:val="0"/>
          <w:numId w:val="411"/>
        </w:numPr>
        <w:rPr>
          <w:rFonts w:ascii="Arial" w:cs="Arial" w:eastAsia="Arial" w:hAnsi="Arial"/>
          <w:sz w:val="15"/>
          <w:szCs w:val="15"/>
          <w:b w:val="1"/>
          <w:bCs w:val="1"/>
          <w:color w:val="auto"/>
        </w:rPr>
      </w:pPr>
      <w:r>
        <w:rPr>
          <w:rFonts w:ascii="Arial" w:cs="Arial" w:eastAsia="Arial" w:hAnsi="Arial"/>
          <w:sz w:val="15"/>
          <w:szCs w:val="15"/>
          <w:b w:val="1"/>
          <w:bCs w:val="1"/>
          <w:u w:val="single" w:color="auto"/>
          <w:color w:val="auto"/>
        </w:rPr>
        <w:t>Transfer Restrictions</w:t>
      </w:r>
      <w:r>
        <w:rPr>
          <w:rFonts w:ascii="Arial" w:cs="Arial" w:eastAsia="Arial" w:hAnsi="Arial"/>
          <w:sz w:val="15"/>
          <w:szCs w:val="15"/>
          <w:color w:val="auto"/>
        </w:rPr>
        <w:t>. Participant hereby agrees to be bound by any and all restrictions on transfers of securities as set forth in the Company’s Bylaws (as may be amended from</w:t>
      </w:r>
      <w:r>
        <w:rPr>
          <w:rFonts w:ascii="Arial" w:cs="Arial" w:eastAsia="Arial" w:hAnsi="Arial"/>
          <w:sz w:val="15"/>
          <w:szCs w:val="15"/>
          <w:b w:val="1"/>
          <w:bCs w:val="1"/>
          <w:color w:val="auto"/>
        </w:rPr>
        <w:t xml:space="preserve"> </w:t>
      </w:r>
      <w:r>
        <w:rPr>
          <w:rFonts w:ascii="Arial" w:cs="Arial" w:eastAsia="Arial" w:hAnsi="Arial"/>
          <w:sz w:val="15"/>
          <w:szCs w:val="15"/>
          <w:color w:val="auto"/>
        </w:rPr>
        <w:t>time to time), including, but not limited to, those transfer restrictions set forth in Section 6.8.</w:t>
      </w:r>
    </w:p>
    <w:p>
      <w:pPr>
        <w:spacing w:after="0" w:line="138" w:lineRule="exact"/>
        <w:rPr>
          <w:rFonts w:ascii="Arial" w:cs="Arial" w:eastAsia="Arial" w:hAnsi="Arial"/>
          <w:sz w:val="15"/>
          <w:szCs w:val="15"/>
          <w:b w:val="1"/>
          <w:bCs w:val="1"/>
          <w:color w:val="auto"/>
        </w:rPr>
      </w:pPr>
    </w:p>
    <w:p>
      <w:pPr>
        <w:ind w:left="680" w:hanging="232"/>
        <w:spacing w:after="0"/>
        <w:tabs>
          <w:tab w:leader="none" w:pos="680" w:val="left"/>
        </w:tabs>
        <w:numPr>
          <w:ilvl w:val="0"/>
          <w:numId w:val="411"/>
        </w:numPr>
        <w:rPr>
          <w:rFonts w:ascii="Arial" w:cs="Arial" w:eastAsia="Arial" w:hAnsi="Arial"/>
          <w:sz w:val="15"/>
          <w:szCs w:val="15"/>
          <w:b w:val="1"/>
          <w:bCs w:val="1"/>
          <w:color w:val="auto"/>
        </w:rPr>
      </w:pPr>
      <w:r>
        <w:rPr>
          <w:rFonts w:ascii="Arial" w:cs="Arial" w:eastAsia="Arial" w:hAnsi="Arial"/>
          <w:sz w:val="15"/>
          <w:szCs w:val="15"/>
          <w:b w:val="1"/>
          <w:bCs w:val="1"/>
          <w:u w:val="single" w:color="auto"/>
          <w:color w:val="auto"/>
        </w:rPr>
        <w:t>Privileges of Stock Ownership</w:t>
      </w:r>
      <w:r>
        <w:rPr>
          <w:rFonts w:ascii="Arial" w:cs="Arial" w:eastAsia="Arial" w:hAnsi="Arial"/>
          <w:sz w:val="15"/>
          <w:szCs w:val="15"/>
          <w:b w:val="1"/>
          <w:bCs w:val="1"/>
          <w:color w:val="auto"/>
        </w:rPr>
        <w:t xml:space="preserve">. </w:t>
      </w:r>
      <w:r>
        <w:rPr>
          <w:rFonts w:ascii="Arial" w:cs="Arial" w:eastAsia="Arial" w:hAnsi="Arial"/>
          <w:sz w:val="15"/>
          <w:szCs w:val="15"/>
          <w:color w:val="auto"/>
        </w:rPr>
        <w:t>Participant shall not have any of the rights of a stockholder with respect to any Shares until the Shares are issued to Participant.</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6</w:t>
      </w:r>
    </w:p>
    <w:p>
      <w:pPr>
        <w:sectPr>
          <w:pgSz w:w="11900" w:h="16838" w:orient="portrait"/>
          <w:cols w:equalWidth="0" w:num="1">
            <w:col w:w="11420"/>
          </w:cols>
          <w:pgMar w:left="240" w:top="253" w:right="239" w:bottom="1440" w:gutter="0" w:footer="0" w:header="0"/>
        </w:sectPr>
      </w:pPr>
    </w:p>
    <w:bookmarkStart w:id="449" w:name="page450"/>
    <w:bookmarkEnd w:id="449"/>
    <w:p>
      <w:pPr>
        <w:ind w:left="10" w:right="80" w:firstLine="448"/>
        <w:spacing w:after="0" w:line="280" w:lineRule="auto"/>
        <w:tabs>
          <w:tab w:leader="none" w:pos="693" w:val="left"/>
        </w:tabs>
        <w:numPr>
          <w:ilvl w:val="1"/>
          <w:numId w:val="412"/>
        </w:numPr>
        <w:rPr>
          <w:rFonts w:ascii="Arial" w:cs="Arial" w:eastAsia="Arial" w:hAnsi="Arial"/>
          <w:sz w:val="15"/>
          <w:szCs w:val="15"/>
          <w:b w:val="1"/>
          <w:bCs w:val="1"/>
          <w:color w:val="auto"/>
        </w:rPr>
      </w:pPr>
      <w:r>
        <w:rPr>
          <w:rFonts w:ascii="Arial" w:cs="Arial" w:eastAsia="Arial" w:hAnsi="Arial"/>
          <w:sz w:val="15"/>
          <w:szCs w:val="15"/>
          <w:b w:val="1"/>
          <w:bCs w:val="1"/>
          <w:u w:val="single" w:color="auto"/>
          <w:color w:val="auto"/>
        </w:rPr>
        <w:drawing>
          <wp:anchor simplePos="0" relativeHeight="251657728" behindDoc="1" locked="0" layoutInCell="0" allowOverlap="1">
            <wp:simplePos x="0" y="0"/>
            <wp:positionH relativeFrom="page">
              <wp:posOffset>133350</wp:posOffset>
            </wp:positionH>
            <wp:positionV relativeFrom="page">
              <wp:posOffset>88900</wp:posOffset>
            </wp:positionV>
            <wp:extent cx="7308850" cy="34290"/>
            <wp:wrapNone/>
            <wp:docPr id="629" name="Picture 6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9"/>
                    <pic:cNvPicPr>
                      <a:picLocks noChangeAspect="1" noChangeArrowheads="1"/>
                    </pic:cNvPicPr>
                  </pic:nvPicPr>
                  <pic:blipFill>
                    <a:blip r:embed="rId666">
                      <a:extLst>
                        <a:ext uri="{28A0092B-C50C-407E-A947-70E740481C1C}"/>
                      </a:extLst>
                    </a:blip>
                    <a:srcRect/>
                    <a:stretch>
                      <a:fillRect/>
                    </a:stretch>
                  </pic:blipFill>
                  <pic:spPr bwMode="auto">
                    <a:xfrm>
                      <a:off x="0" y="0"/>
                      <a:ext cx="7308850" cy="34290"/>
                    </a:xfrm>
                    <a:prstGeom prst="rect">
                      <a:avLst/>
                    </a:prstGeom>
                    <a:noFill/>
                  </pic:spPr>
                </pic:pic>
              </a:graphicData>
            </a:graphic>
          </wp:anchor>
        </w:drawing>
        <w:t>Interpretation</w:t>
      </w:r>
      <w:r>
        <w:rPr>
          <w:rFonts w:ascii="Arial" w:cs="Arial" w:eastAsia="Arial" w:hAnsi="Arial"/>
          <w:sz w:val="15"/>
          <w:szCs w:val="15"/>
          <w:b w:val="1"/>
          <w:bCs w:val="1"/>
          <w:color w:val="auto"/>
        </w:rPr>
        <w:t xml:space="preserve">. </w:t>
      </w:r>
      <w:r>
        <w:rPr>
          <w:rFonts w:ascii="Arial" w:cs="Arial" w:eastAsia="Arial" w:hAnsi="Arial"/>
          <w:sz w:val="15"/>
          <w:szCs w:val="15"/>
          <w:color w:val="auto"/>
        </w:rPr>
        <w:t>Any dispute regarding the interpretation of this Agreement shall be submitted by Participant or the Company to the Committee for review. The resolution of such</w:t>
      </w:r>
      <w:r>
        <w:rPr>
          <w:rFonts w:ascii="Arial" w:cs="Arial" w:eastAsia="Arial" w:hAnsi="Arial"/>
          <w:sz w:val="15"/>
          <w:szCs w:val="15"/>
          <w:b w:val="1"/>
          <w:bCs w:val="1"/>
          <w:color w:val="auto"/>
        </w:rPr>
        <w:t xml:space="preserve"> </w:t>
      </w:r>
      <w:r>
        <w:rPr>
          <w:rFonts w:ascii="Arial" w:cs="Arial" w:eastAsia="Arial" w:hAnsi="Arial"/>
          <w:sz w:val="15"/>
          <w:szCs w:val="15"/>
          <w:color w:val="auto"/>
        </w:rPr>
        <w:t>a dispute by the Committee shall be final and binding on the Company and Participant.</w:t>
      </w:r>
    </w:p>
    <w:p>
      <w:pPr>
        <w:spacing w:after="0" w:line="138" w:lineRule="exact"/>
        <w:rPr>
          <w:rFonts w:ascii="Arial" w:cs="Arial" w:eastAsia="Arial" w:hAnsi="Arial"/>
          <w:sz w:val="15"/>
          <w:szCs w:val="15"/>
          <w:b w:val="1"/>
          <w:bCs w:val="1"/>
          <w:color w:val="auto"/>
        </w:rPr>
      </w:pPr>
    </w:p>
    <w:p>
      <w:pPr>
        <w:ind w:left="10" w:right="40" w:firstLine="448"/>
        <w:spacing w:after="0" w:line="266" w:lineRule="auto"/>
        <w:tabs>
          <w:tab w:leader="none" w:pos="693" w:val="left"/>
        </w:tabs>
        <w:numPr>
          <w:ilvl w:val="1"/>
          <w:numId w:val="412"/>
        </w:numPr>
        <w:rPr>
          <w:rFonts w:ascii="Arial" w:cs="Arial" w:eastAsia="Arial" w:hAnsi="Arial"/>
          <w:sz w:val="15"/>
          <w:szCs w:val="15"/>
          <w:b w:val="1"/>
          <w:bCs w:val="1"/>
          <w:color w:val="auto"/>
        </w:rPr>
      </w:pPr>
      <w:r>
        <w:rPr>
          <w:rFonts w:ascii="Arial" w:cs="Arial" w:eastAsia="Arial" w:hAnsi="Arial"/>
          <w:sz w:val="15"/>
          <w:szCs w:val="15"/>
          <w:b w:val="1"/>
          <w:bCs w:val="1"/>
          <w:u w:val="single" w:color="auto"/>
          <w:color w:val="auto"/>
        </w:rPr>
        <w:t>Entire Agreement</w:t>
      </w:r>
      <w:r>
        <w:rPr>
          <w:rFonts w:ascii="Arial" w:cs="Arial" w:eastAsia="Arial" w:hAnsi="Arial"/>
          <w:sz w:val="15"/>
          <w:szCs w:val="15"/>
          <w:b w:val="1"/>
          <w:bCs w:val="1"/>
          <w:color w:val="auto"/>
        </w:rPr>
        <w:t xml:space="preserve">. </w:t>
      </w:r>
      <w:r>
        <w:rPr>
          <w:rFonts w:ascii="Arial" w:cs="Arial" w:eastAsia="Arial" w:hAnsi="Arial"/>
          <w:sz w:val="15"/>
          <w:szCs w:val="15"/>
          <w:color w:val="auto"/>
        </w:rPr>
        <w:t>The Plan is incorporated herein by reference. This Agreement and the Plan constitute the entire agreement and understanding of the parties with respect to the</w:t>
      </w:r>
      <w:r>
        <w:rPr>
          <w:rFonts w:ascii="Arial" w:cs="Arial" w:eastAsia="Arial" w:hAnsi="Arial"/>
          <w:sz w:val="15"/>
          <w:szCs w:val="15"/>
          <w:b w:val="1"/>
          <w:bCs w:val="1"/>
          <w:color w:val="auto"/>
        </w:rPr>
        <w:t xml:space="preserve"> </w:t>
      </w:r>
      <w:r>
        <w:rPr>
          <w:rFonts w:ascii="Arial" w:cs="Arial" w:eastAsia="Arial" w:hAnsi="Arial"/>
          <w:sz w:val="15"/>
          <w:szCs w:val="15"/>
          <w:color w:val="auto"/>
        </w:rPr>
        <w:t>subject matter of this Agreement, and supersede all prior understandings and agreements, whether oral or written, between or among the parties hereto with respect to the specific subject matter hereof.</w:t>
      </w:r>
    </w:p>
    <w:p>
      <w:pPr>
        <w:spacing w:after="0" w:line="148" w:lineRule="exact"/>
        <w:rPr>
          <w:rFonts w:ascii="Arial" w:cs="Arial" w:eastAsia="Arial" w:hAnsi="Arial"/>
          <w:sz w:val="15"/>
          <w:szCs w:val="15"/>
          <w:b w:val="1"/>
          <w:bCs w:val="1"/>
          <w:color w:val="auto"/>
        </w:rPr>
      </w:pPr>
    </w:p>
    <w:p>
      <w:pPr>
        <w:ind w:left="10" w:right="160" w:firstLine="448"/>
        <w:spacing w:after="0" w:line="295" w:lineRule="auto"/>
        <w:tabs>
          <w:tab w:leader="none" w:pos="693" w:val="left"/>
        </w:tabs>
        <w:numPr>
          <w:ilvl w:val="1"/>
          <w:numId w:val="412"/>
        </w:numPr>
        <w:rPr>
          <w:rFonts w:ascii="Arial" w:cs="Arial" w:eastAsia="Arial" w:hAnsi="Arial"/>
          <w:sz w:val="13"/>
          <w:szCs w:val="13"/>
          <w:b w:val="1"/>
          <w:bCs w:val="1"/>
          <w:color w:val="auto"/>
        </w:rPr>
      </w:pPr>
      <w:r>
        <w:rPr>
          <w:rFonts w:ascii="Arial" w:cs="Arial" w:eastAsia="Arial" w:hAnsi="Arial"/>
          <w:sz w:val="13"/>
          <w:szCs w:val="13"/>
          <w:b w:val="1"/>
          <w:bCs w:val="1"/>
          <w:u w:val="single" w:color="auto"/>
          <w:color w:val="auto"/>
        </w:rPr>
        <w:t>Notices</w:t>
      </w:r>
      <w:r>
        <w:rPr>
          <w:rFonts w:ascii="Arial" w:cs="Arial" w:eastAsia="Arial" w:hAnsi="Arial"/>
          <w:sz w:val="13"/>
          <w:szCs w:val="13"/>
          <w:b w:val="1"/>
          <w:bCs w:val="1"/>
          <w:color w:val="auto"/>
        </w:rPr>
        <w:t xml:space="preserve">. </w:t>
      </w:r>
      <w:r>
        <w:rPr>
          <w:rFonts w:ascii="Arial" w:cs="Arial" w:eastAsia="Arial" w:hAnsi="Arial"/>
          <w:sz w:val="13"/>
          <w:szCs w:val="13"/>
          <w:color w:val="auto"/>
        </w:rPr>
        <w:t>Any and all notices required or permitted to be given to a party pursuant to the provisions of this Agreement will be in writing and will be effective and deemed to</w:t>
      </w:r>
      <w:r>
        <w:rPr>
          <w:rFonts w:ascii="Arial" w:cs="Arial" w:eastAsia="Arial" w:hAnsi="Arial"/>
          <w:sz w:val="13"/>
          <w:szCs w:val="13"/>
          <w:b w:val="1"/>
          <w:bCs w:val="1"/>
          <w:color w:val="auto"/>
        </w:rPr>
        <w:t xml:space="preserve"> </w:t>
      </w:r>
      <w:r>
        <w:rPr>
          <w:rFonts w:ascii="Arial" w:cs="Arial" w:eastAsia="Arial" w:hAnsi="Arial"/>
          <w:sz w:val="13"/>
          <w:szCs w:val="13"/>
          <w:color w:val="auto"/>
        </w:rPr>
        <w:t>provide such party sufficient notice under this Agreement on the earliest of the following: (i) at the time of personal delivery, if delivery is in person; (ii) at the time an electronic confirmation of receipt is received, if delivery is by email; (iii) at the time of transmission by facsimile, addressed to the other party at its facsimile number specified herein (or hereafter modified by subsequent notice to the parties hereto), with confirmation of receipt made by both telephone and printed confirmation sheet verifying successful transmission of the facsimile;</w:t>
      </w:r>
    </w:p>
    <w:p>
      <w:pPr>
        <w:ind w:left="10" w:right="60" w:hanging="10"/>
        <w:spacing w:after="0" w:line="339" w:lineRule="auto"/>
        <w:tabs>
          <w:tab w:leader="none" w:pos="264" w:val="left"/>
        </w:tabs>
        <w:numPr>
          <w:ilvl w:val="0"/>
          <w:numId w:val="413"/>
        </w:numPr>
        <w:rPr>
          <w:rFonts w:ascii="Arial" w:cs="Arial" w:eastAsia="Arial" w:hAnsi="Arial"/>
          <w:sz w:val="13"/>
          <w:szCs w:val="13"/>
          <w:color w:val="auto"/>
        </w:rPr>
      </w:pPr>
      <w:r>
        <w:rPr>
          <w:rFonts w:ascii="Arial" w:cs="Arial" w:eastAsia="Arial" w:hAnsi="Arial"/>
          <w:sz w:val="13"/>
          <w:szCs w:val="13"/>
          <w:color w:val="auto"/>
        </w:rPr>
        <w:t>one (1) business day after deposit with an express overnight courier for United States deliveries, or two (2) business days after such deposit for deliveries outside of the United States, with proof of delivery from the courier requested; or (v) three (3) business days after deposit in the United States mail by certified mail (return receipt requested) for United States deliveries.</w:t>
      </w:r>
    </w:p>
    <w:p>
      <w:pPr>
        <w:spacing w:after="0" w:line="110" w:lineRule="exact"/>
        <w:rPr>
          <w:sz w:val="20"/>
          <w:szCs w:val="20"/>
          <w:color w:val="auto"/>
        </w:rPr>
      </w:pPr>
    </w:p>
    <w:p>
      <w:pPr>
        <w:ind w:left="10" w:right="100" w:firstLine="916"/>
        <w:spacing w:after="0" w:line="259" w:lineRule="auto"/>
        <w:rPr>
          <w:sz w:val="20"/>
          <w:szCs w:val="20"/>
          <w:color w:val="auto"/>
        </w:rPr>
      </w:pPr>
      <w:r>
        <w:rPr>
          <w:rFonts w:ascii="Arial" w:cs="Arial" w:eastAsia="Arial" w:hAnsi="Arial"/>
          <w:sz w:val="15"/>
          <w:szCs w:val="15"/>
          <w:color w:val="auto"/>
        </w:rPr>
        <w:t>All notices for delivery outside the United States will be sent by facsimile or by express courier. All notices not delivered personally or by facsimile will be sent with postage and/or other charges prepaid and properly addressed to the party to be notified at the address or facsimile number set forth below the signature lines of this Agreement, or at such other address or facsimile number as such other party may designate by one of the indicated means of notice herein to the other parties hereto. Notices to the Company will be marked “Attention: President”. Notices by facsimile shall be machine verified as received.</w:t>
      </w:r>
    </w:p>
    <w:p>
      <w:pPr>
        <w:spacing w:after="0" w:line="154" w:lineRule="exact"/>
        <w:rPr>
          <w:sz w:val="20"/>
          <w:szCs w:val="20"/>
          <w:color w:val="auto"/>
        </w:rPr>
      </w:pPr>
    </w:p>
    <w:p>
      <w:pPr>
        <w:jc w:val="both"/>
        <w:ind w:left="10" w:right="120" w:firstLine="448"/>
        <w:spacing w:after="0" w:line="285" w:lineRule="auto"/>
        <w:tabs>
          <w:tab w:leader="none" w:pos="693" w:val="left"/>
        </w:tabs>
        <w:numPr>
          <w:ilvl w:val="0"/>
          <w:numId w:val="414"/>
        </w:numPr>
        <w:rPr>
          <w:rFonts w:ascii="Arial" w:cs="Arial" w:eastAsia="Arial" w:hAnsi="Arial"/>
          <w:sz w:val="14"/>
          <w:szCs w:val="14"/>
          <w:b w:val="1"/>
          <w:bCs w:val="1"/>
          <w:color w:val="auto"/>
        </w:rPr>
      </w:pPr>
      <w:r>
        <w:rPr>
          <w:rFonts w:ascii="Arial" w:cs="Arial" w:eastAsia="Arial" w:hAnsi="Arial"/>
          <w:sz w:val="14"/>
          <w:szCs w:val="14"/>
          <w:b w:val="1"/>
          <w:bCs w:val="1"/>
          <w:u w:val="single" w:color="auto"/>
          <w:color w:val="auto"/>
        </w:rPr>
        <w:t>Successors and Assigns</w:t>
      </w:r>
      <w:r>
        <w:rPr>
          <w:rFonts w:ascii="Arial" w:cs="Arial" w:eastAsia="Arial" w:hAnsi="Arial"/>
          <w:sz w:val="14"/>
          <w:szCs w:val="14"/>
          <w:b w:val="1"/>
          <w:bCs w:val="1"/>
          <w:color w:val="auto"/>
        </w:rPr>
        <w:t xml:space="preserve">. </w:t>
      </w:r>
      <w:r>
        <w:rPr>
          <w:rFonts w:ascii="Arial" w:cs="Arial" w:eastAsia="Arial" w:hAnsi="Arial"/>
          <w:sz w:val="14"/>
          <w:szCs w:val="14"/>
          <w:color w:val="auto"/>
        </w:rPr>
        <w:t>The Company may assign any of its rights under this Agreement including its rights to purchase Shares under the Repurchase Option and the Right of</w:t>
      </w:r>
      <w:r>
        <w:rPr>
          <w:rFonts w:ascii="Arial" w:cs="Arial" w:eastAsia="Arial" w:hAnsi="Arial"/>
          <w:sz w:val="14"/>
          <w:szCs w:val="14"/>
          <w:b w:val="1"/>
          <w:bCs w:val="1"/>
          <w:color w:val="auto"/>
        </w:rPr>
        <w:t xml:space="preserve"> </w:t>
      </w:r>
      <w:r>
        <w:rPr>
          <w:rFonts w:ascii="Arial" w:cs="Arial" w:eastAsia="Arial" w:hAnsi="Arial"/>
          <w:sz w:val="14"/>
          <w:szCs w:val="14"/>
          <w:color w:val="auto"/>
        </w:rPr>
        <w:t>First Refusal. No other party to this Agreement may assign, whether voluntarily or by operation of law, any of its rights and obligations under this Agreement, except with the prior written consent of the Company. This Agreement shall be binding upon and inure to the benefit of the successors and assigns of the Company. Subject to the restrictions on transfer set forth herein, this Agreement shall be binding upon Participant and Participant’s heirs, executors, administrators, legal representatives, successors and assigns.</w:t>
      </w:r>
    </w:p>
    <w:p>
      <w:pPr>
        <w:spacing w:after="0" w:line="137" w:lineRule="exact"/>
        <w:rPr>
          <w:rFonts w:ascii="Arial" w:cs="Arial" w:eastAsia="Arial" w:hAnsi="Arial"/>
          <w:sz w:val="14"/>
          <w:szCs w:val="14"/>
          <w:b w:val="1"/>
          <w:bCs w:val="1"/>
          <w:color w:val="auto"/>
        </w:rPr>
      </w:pPr>
    </w:p>
    <w:p>
      <w:pPr>
        <w:ind w:left="10" w:right="100" w:firstLine="448"/>
        <w:spacing w:after="0" w:line="280" w:lineRule="auto"/>
        <w:tabs>
          <w:tab w:leader="none" w:pos="693" w:val="left"/>
        </w:tabs>
        <w:numPr>
          <w:ilvl w:val="0"/>
          <w:numId w:val="414"/>
        </w:numPr>
        <w:rPr>
          <w:rFonts w:ascii="Arial" w:cs="Arial" w:eastAsia="Arial" w:hAnsi="Arial"/>
          <w:sz w:val="15"/>
          <w:szCs w:val="15"/>
          <w:b w:val="1"/>
          <w:bCs w:val="1"/>
          <w:color w:val="auto"/>
        </w:rPr>
      </w:pPr>
      <w:r>
        <w:rPr>
          <w:rFonts w:ascii="Arial" w:cs="Arial" w:eastAsia="Arial" w:hAnsi="Arial"/>
          <w:sz w:val="15"/>
          <w:szCs w:val="15"/>
          <w:b w:val="1"/>
          <w:bCs w:val="1"/>
          <w:u w:val="single" w:color="auto"/>
          <w:color w:val="auto"/>
        </w:rPr>
        <w:t>Governing Law</w:t>
      </w:r>
      <w:r>
        <w:rPr>
          <w:rFonts w:ascii="Arial" w:cs="Arial" w:eastAsia="Arial" w:hAnsi="Arial"/>
          <w:sz w:val="15"/>
          <w:szCs w:val="15"/>
          <w:b w:val="1"/>
          <w:bCs w:val="1"/>
          <w:color w:val="auto"/>
        </w:rPr>
        <w:t xml:space="preserve">. </w:t>
      </w:r>
      <w:r>
        <w:rPr>
          <w:rFonts w:ascii="Arial" w:cs="Arial" w:eastAsia="Arial" w:hAnsi="Arial"/>
          <w:sz w:val="15"/>
          <w:szCs w:val="15"/>
          <w:color w:val="auto"/>
        </w:rPr>
        <w:t>This Agreement shall be governed by and construed in accordance with the laws of the State of California, without giving effect to that body of laws pertaining</w:t>
      </w:r>
      <w:r>
        <w:rPr>
          <w:rFonts w:ascii="Arial" w:cs="Arial" w:eastAsia="Arial" w:hAnsi="Arial"/>
          <w:sz w:val="15"/>
          <w:szCs w:val="15"/>
          <w:b w:val="1"/>
          <w:bCs w:val="1"/>
          <w:color w:val="auto"/>
        </w:rPr>
        <w:t xml:space="preserve"> </w:t>
      </w:r>
      <w:r>
        <w:rPr>
          <w:rFonts w:ascii="Arial" w:cs="Arial" w:eastAsia="Arial" w:hAnsi="Arial"/>
          <w:sz w:val="15"/>
          <w:szCs w:val="15"/>
          <w:color w:val="auto"/>
        </w:rPr>
        <w:t>to conflict of laws.</w:t>
      </w:r>
    </w:p>
    <w:p>
      <w:pPr>
        <w:spacing w:after="0" w:line="138" w:lineRule="exact"/>
        <w:rPr>
          <w:rFonts w:ascii="Arial" w:cs="Arial" w:eastAsia="Arial" w:hAnsi="Arial"/>
          <w:sz w:val="15"/>
          <w:szCs w:val="15"/>
          <w:b w:val="1"/>
          <w:bCs w:val="1"/>
          <w:color w:val="auto"/>
        </w:rPr>
      </w:pPr>
    </w:p>
    <w:p>
      <w:pPr>
        <w:ind w:left="10" w:firstLine="448"/>
        <w:spacing w:after="0" w:line="266" w:lineRule="auto"/>
        <w:tabs>
          <w:tab w:leader="none" w:pos="693" w:val="left"/>
        </w:tabs>
        <w:numPr>
          <w:ilvl w:val="0"/>
          <w:numId w:val="414"/>
        </w:numPr>
        <w:rPr>
          <w:rFonts w:ascii="Arial" w:cs="Arial" w:eastAsia="Arial" w:hAnsi="Arial"/>
          <w:sz w:val="15"/>
          <w:szCs w:val="15"/>
          <w:b w:val="1"/>
          <w:bCs w:val="1"/>
          <w:color w:val="auto"/>
        </w:rPr>
      </w:pPr>
      <w:r>
        <w:rPr>
          <w:rFonts w:ascii="Arial" w:cs="Arial" w:eastAsia="Arial" w:hAnsi="Arial"/>
          <w:sz w:val="15"/>
          <w:szCs w:val="15"/>
          <w:b w:val="1"/>
          <w:bCs w:val="1"/>
          <w:u w:val="single" w:color="auto"/>
          <w:color w:val="auto"/>
        </w:rPr>
        <w:t>Acceptance</w:t>
      </w:r>
      <w:r>
        <w:rPr>
          <w:rFonts w:ascii="Arial" w:cs="Arial" w:eastAsia="Arial" w:hAnsi="Arial"/>
          <w:sz w:val="15"/>
          <w:szCs w:val="15"/>
          <w:b w:val="1"/>
          <w:bCs w:val="1"/>
          <w:color w:val="auto"/>
        </w:rPr>
        <w:t xml:space="preserve">. </w:t>
      </w:r>
      <w:r>
        <w:rPr>
          <w:rFonts w:ascii="Arial" w:cs="Arial" w:eastAsia="Arial" w:hAnsi="Arial"/>
          <w:sz w:val="15"/>
          <w:szCs w:val="15"/>
          <w:color w:val="auto"/>
        </w:rPr>
        <w:t>Participant hereby acknowledges receipt of a copy of the Plan and this Agreement. Participant has read and understands the terms and provisions thereof, and accepts</w:t>
      </w:r>
      <w:r>
        <w:rPr>
          <w:rFonts w:ascii="Arial" w:cs="Arial" w:eastAsia="Arial" w:hAnsi="Arial"/>
          <w:sz w:val="15"/>
          <w:szCs w:val="15"/>
          <w:b w:val="1"/>
          <w:bCs w:val="1"/>
          <w:color w:val="auto"/>
        </w:rPr>
        <w:t xml:space="preserve"> </w:t>
      </w:r>
      <w:r>
        <w:rPr>
          <w:rFonts w:ascii="Arial" w:cs="Arial" w:eastAsia="Arial" w:hAnsi="Arial"/>
          <w:sz w:val="15"/>
          <w:szCs w:val="15"/>
          <w:color w:val="auto"/>
        </w:rPr>
        <w:t>the Option subject to all the terms and conditions of the Plan and this Agreement. Participant acknowledges that there may be adverse tax consequences upon exercise of the Option or disposition of the Shares and that Participant should consult a tax adviser prior to such exercise or disposition.</w:t>
      </w:r>
    </w:p>
    <w:p>
      <w:pPr>
        <w:spacing w:after="0" w:line="96" w:lineRule="exact"/>
        <w:rPr>
          <w:sz w:val="20"/>
          <w:szCs w:val="20"/>
          <w:color w:val="auto"/>
        </w:rPr>
      </w:pPr>
    </w:p>
    <w:p>
      <w:pPr>
        <w:jc w:val="center"/>
        <w:ind w:right="-9"/>
        <w:spacing w:after="0"/>
        <w:rPr>
          <w:sz w:val="20"/>
          <w:szCs w:val="20"/>
          <w:color w:val="auto"/>
        </w:rPr>
      </w:pPr>
      <w:r>
        <w:rPr>
          <w:rFonts w:ascii="Arial" w:cs="Arial" w:eastAsia="Arial" w:hAnsi="Arial"/>
          <w:sz w:val="15"/>
          <w:szCs w:val="15"/>
          <w:color w:val="auto"/>
        </w:rPr>
        <w:t>7</w:t>
      </w:r>
    </w:p>
    <w:p>
      <w:pPr>
        <w:sectPr>
          <w:pgSz w:w="11900" w:h="16838" w:orient="portrait"/>
          <w:cols w:equalWidth="0" w:num="1">
            <w:col w:w="11450"/>
          </w:cols>
          <w:pgMar w:left="230" w:top="249" w:right="219" w:bottom="1440" w:gutter="0" w:footer="0" w:header="0"/>
        </w:sectPr>
      </w:pPr>
    </w:p>
    <w:bookmarkStart w:id="450" w:name="page451"/>
    <w:bookmarkEnd w:id="450"/>
    <w:p>
      <w:pPr>
        <w:ind w:left="-120" w:right="340" w:firstLine="448"/>
        <w:spacing w:after="0" w:line="280" w:lineRule="auto"/>
        <w:tabs>
          <w:tab w:leader="none" w:pos="563" w:val="left"/>
        </w:tabs>
        <w:numPr>
          <w:ilvl w:val="0"/>
          <w:numId w:val="415"/>
        </w:numPr>
        <w:rPr>
          <w:rFonts w:ascii="Arial" w:cs="Arial" w:eastAsia="Arial" w:hAnsi="Arial"/>
          <w:sz w:val="15"/>
          <w:szCs w:val="15"/>
          <w:b w:val="1"/>
          <w:bCs w:val="1"/>
          <w:color w:val="auto"/>
        </w:rPr>
      </w:pPr>
      <w:r>
        <w:rPr>
          <w:rFonts w:ascii="Arial" w:cs="Arial" w:eastAsia="Arial" w:hAnsi="Arial"/>
          <w:sz w:val="15"/>
          <w:szCs w:val="15"/>
          <w:b w:val="1"/>
          <w:bCs w:val="1"/>
          <w:u w:val="single" w:color="auto"/>
          <w:color w:val="auto"/>
        </w:rPr>
        <w:drawing>
          <wp:anchor simplePos="0" relativeHeight="251657728" behindDoc="1" locked="0" layoutInCell="0" allowOverlap="1">
            <wp:simplePos x="0" y="0"/>
            <wp:positionH relativeFrom="page">
              <wp:posOffset>133350</wp:posOffset>
            </wp:positionH>
            <wp:positionV relativeFrom="page">
              <wp:posOffset>88900</wp:posOffset>
            </wp:positionV>
            <wp:extent cx="7308850" cy="34290"/>
            <wp:wrapNone/>
            <wp:docPr id="630" name="Picture 6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0"/>
                    <pic:cNvPicPr>
                      <a:picLocks noChangeAspect="1" noChangeArrowheads="1"/>
                    </pic:cNvPicPr>
                  </pic:nvPicPr>
                  <pic:blipFill>
                    <a:blip r:embed="rId667">
                      <a:extLst>
                        <a:ext uri="{28A0092B-C50C-407E-A947-70E740481C1C}"/>
                      </a:extLst>
                    </a:blip>
                    <a:srcRect/>
                    <a:stretch>
                      <a:fillRect/>
                    </a:stretch>
                  </pic:blipFill>
                  <pic:spPr bwMode="auto">
                    <a:xfrm>
                      <a:off x="0" y="0"/>
                      <a:ext cx="7308850" cy="34290"/>
                    </a:xfrm>
                    <a:prstGeom prst="rect">
                      <a:avLst/>
                    </a:prstGeom>
                    <a:noFill/>
                  </pic:spPr>
                </pic:pic>
              </a:graphicData>
            </a:graphic>
          </wp:anchor>
        </w:drawing>
        <w:t>Further Assurances</w:t>
      </w:r>
      <w:r>
        <w:rPr>
          <w:rFonts w:ascii="Arial" w:cs="Arial" w:eastAsia="Arial" w:hAnsi="Arial"/>
          <w:sz w:val="15"/>
          <w:szCs w:val="15"/>
          <w:b w:val="1"/>
          <w:bCs w:val="1"/>
          <w:color w:val="auto"/>
        </w:rPr>
        <w:t xml:space="preserve">. </w:t>
      </w:r>
      <w:r>
        <w:rPr>
          <w:rFonts w:ascii="Arial" w:cs="Arial" w:eastAsia="Arial" w:hAnsi="Arial"/>
          <w:sz w:val="15"/>
          <w:szCs w:val="15"/>
          <w:color w:val="auto"/>
        </w:rPr>
        <w:t>The parties agree to execute such further documents and instruments and to take such further actions as may be reasonably necessary to carry out the</w:t>
      </w:r>
      <w:r>
        <w:rPr>
          <w:rFonts w:ascii="Arial" w:cs="Arial" w:eastAsia="Arial" w:hAnsi="Arial"/>
          <w:sz w:val="15"/>
          <w:szCs w:val="15"/>
          <w:b w:val="1"/>
          <w:bCs w:val="1"/>
          <w:color w:val="auto"/>
        </w:rPr>
        <w:t xml:space="preserve"> </w:t>
      </w:r>
      <w:r>
        <w:rPr>
          <w:rFonts w:ascii="Arial" w:cs="Arial" w:eastAsia="Arial" w:hAnsi="Arial"/>
          <w:sz w:val="15"/>
          <w:szCs w:val="15"/>
          <w:color w:val="auto"/>
        </w:rPr>
        <w:t>purposes and intent of this Agreement.</w:t>
      </w:r>
    </w:p>
    <w:p>
      <w:pPr>
        <w:spacing w:after="0" w:line="138" w:lineRule="exact"/>
        <w:rPr>
          <w:rFonts w:ascii="Arial" w:cs="Arial" w:eastAsia="Arial" w:hAnsi="Arial"/>
          <w:sz w:val="15"/>
          <w:szCs w:val="15"/>
          <w:b w:val="1"/>
          <w:bCs w:val="1"/>
          <w:color w:val="auto"/>
        </w:rPr>
      </w:pPr>
    </w:p>
    <w:p>
      <w:pPr>
        <w:ind w:left="-120" w:right="440" w:firstLine="448"/>
        <w:spacing w:after="0" w:line="318" w:lineRule="auto"/>
        <w:tabs>
          <w:tab w:leader="none" w:pos="563" w:val="left"/>
        </w:tabs>
        <w:numPr>
          <w:ilvl w:val="0"/>
          <w:numId w:val="415"/>
        </w:numPr>
        <w:rPr>
          <w:rFonts w:ascii="Arial" w:cs="Arial" w:eastAsia="Arial" w:hAnsi="Arial"/>
          <w:sz w:val="14"/>
          <w:szCs w:val="14"/>
          <w:b w:val="1"/>
          <w:bCs w:val="1"/>
          <w:color w:val="auto"/>
        </w:rPr>
      </w:pPr>
      <w:r>
        <w:rPr>
          <w:rFonts w:ascii="Arial" w:cs="Arial" w:eastAsia="Arial" w:hAnsi="Arial"/>
          <w:sz w:val="14"/>
          <w:szCs w:val="14"/>
          <w:b w:val="1"/>
          <w:bCs w:val="1"/>
          <w:u w:val="single" w:color="auto"/>
          <w:color w:val="auto"/>
        </w:rPr>
        <w:t>Titles and Headings</w:t>
      </w:r>
      <w:r>
        <w:rPr>
          <w:rFonts w:ascii="Arial" w:cs="Arial" w:eastAsia="Arial" w:hAnsi="Arial"/>
          <w:sz w:val="14"/>
          <w:szCs w:val="14"/>
          <w:b w:val="1"/>
          <w:bCs w:val="1"/>
          <w:color w:val="auto"/>
        </w:rPr>
        <w:t xml:space="preserve">. </w:t>
      </w:r>
      <w:r>
        <w:rPr>
          <w:rFonts w:ascii="Arial" w:cs="Arial" w:eastAsia="Arial" w:hAnsi="Arial"/>
          <w:sz w:val="14"/>
          <w:szCs w:val="14"/>
          <w:color w:val="auto"/>
        </w:rPr>
        <w:t>The titles, captions and headings of this Agreement are included for ease of reference only and will be disregarded in interpreting or construing this</w:t>
      </w:r>
      <w:r>
        <w:rPr>
          <w:rFonts w:ascii="Arial" w:cs="Arial" w:eastAsia="Arial" w:hAnsi="Arial"/>
          <w:sz w:val="14"/>
          <w:szCs w:val="14"/>
          <w:b w:val="1"/>
          <w:bCs w:val="1"/>
          <w:color w:val="auto"/>
        </w:rPr>
        <w:t xml:space="preserve"> </w:t>
      </w:r>
      <w:r>
        <w:rPr>
          <w:rFonts w:ascii="Arial" w:cs="Arial" w:eastAsia="Arial" w:hAnsi="Arial"/>
          <w:sz w:val="14"/>
          <w:szCs w:val="14"/>
          <w:color w:val="auto"/>
        </w:rPr>
        <w:t>Agreement. Unless otherwise specifically stated, all references herein to “sections” and “exhibits” will mean “sections” and “exhibits” to this Agreement.</w:t>
      </w:r>
    </w:p>
    <w:p>
      <w:pPr>
        <w:spacing w:after="0" w:line="114" w:lineRule="exact"/>
        <w:rPr>
          <w:rFonts w:ascii="Arial" w:cs="Arial" w:eastAsia="Arial" w:hAnsi="Arial"/>
          <w:sz w:val="14"/>
          <w:szCs w:val="14"/>
          <w:b w:val="1"/>
          <w:bCs w:val="1"/>
          <w:color w:val="auto"/>
        </w:rPr>
      </w:pPr>
    </w:p>
    <w:p>
      <w:pPr>
        <w:ind w:left="-120" w:right="260" w:firstLine="448"/>
        <w:spacing w:after="0" w:line="280" w:lineRule="auto"/>
        <w:tabs>
          <w:tab w:leader="none" w:pos="563" w:val="left"/>
        </w:tabs>
        <w:numPr>
          <w:ilvl w:val="0"/>
          <w:numId w:val="415"/>
        </w:numPr>
        <w:rPr>
          <w:rFonts w:ascii="Arial" w:cs="Arial" w:eastAsia="Arial" w:hAnsi="Arial"/>
          <w:sz w:val="15"/>
          <w:szCs w:val="15"/>
          <w:b w:val="1"/>
          <w:bCs w:val="1"/>
          <w:color w:val="auto"/>
        </w:rPr>
      </w:pPr>
      <w:r>
        <w:rPr>
          <w:rFonts w:ascii="Arial" w:cs="Arial" w:eastAsia="Arial" w:hAnsi="Arial"/>
          <w:sz w:val="15"/>
          <w:szCs w:val="15"/>
          <w:b w:val="1"/>
          <w:bCs w:val="1"/>
          <w:u w:val="single" w:color="auto"/>
          <w:color w:val="auto"/>
        </w:rPr>
        <w:t>Counterparts</w:t>
      </w:r>
      <w:r>
        <w:rPr>
          <w:rFonts w:ascii="Arial" w:cs="Arial" w:eastAsia="Arial" w:hAnsi="Arial"/>
          <w:sz w:val="15"/>
          <w:szCs w:val="15"/>
          <w:b w:val="1"/>
          <w:bCs w:val="1"/>
          <w:color w:val="auto"/>
        </w:rPr>
        <w:t xml:space="preserve">. </w:t>
      </w:r>
      <w:r>
        <w:rPr>
          <w:rFonts w:ascii="Arial" w:cs="Arial" w:eastAsia="Arial" w:hAnsi="Arial"/>
          <w:sz w:val="15"/>
          <w:szCs w:val="15"/>
          <w:color w:val="auto"/>
        </w:rPr>
        <w:t>This Agreement may be executed in any number of counterparts, each of which when so executed and delivered will be deemed an original, and all of which</w:t>
      </w:r>
      <w:r>
        <w:rPr>
          <w:rFonts w:ascii="Arial" w:cs="Arial" w:eastAsia="Arial" w:hAnsi="Arial"/>
          <w:sz w:val="15"/>
          <w:szCs w:val="15"/>
          <w:b w:val="1"/>
          <w:bCs w:val="1"/>
          <w:color w:val="auto"/>
        </w:rPr>
        <w:t xml:space="preserve"> </w:t>
      </w:r>
      <w:r>
        <w:rPr>
          <w:rFonts w:ascii="Arial" w:cs="Arial" w:eastAsia="Arial" w:hAnsi="Arial"/>
          <w:sz w:val="15"/>
          <w:szCs w:val="15"/>
          <w:color w:val="auto"/>
        </w:rPr>
        <w:t>together shall constitute one and the same agreement.</w:t>
      </w:r>
    </w:p>
    <w:p>
      <w:pPr>
        <w:spacing w:after="0" w:line="138" w:lineRule="exact"/>
        <w:rPr>
          <w:rFonts w:ascii="Arial" w:cs="Arial" w:eastAsia="Arial" w:hAnsi="Arial"/>
          <w:sz w:val="15"/>
          <w:szCs w:val="15"/>
          <w:b w:val="1"/>
          <w:bCs w:val="1"/>
          <w:color w:val="auto"/>
        </w:rPr>
      </w:pPr>
    </w:p>
    <w:p>
      <w:pPr>
        <w:ind w:left="-120" w:firstLine="448"/>
        <w:spacing w:after="0" w:line="307" w:lineRule="auto"/>
        <w:tabs>
          <w:tab w:leader="none" w:pos="563" w:val="left"/>
        </w:tabs>
        <w:numPr>
          <w:ilvl w:val="0"/>
          <w:numId w:val="415"/>
        </w:numPr>
        <w:rPr>
          <w:rFonts w:ascii="Arial" w:cs="Arial" w:eastAsia="Arial" w:hAnsi="Arial"/>
          <w:sz w:val="13"/>
          <w:szCs w:val="13"/>
          <w:b w:val="1"/>
          <w:bCs w:val="1"/>
          <w:color w:val="auto"/>
        </w:rPr>
      </w:pPr>
      <w:r>
        <w:rPr>
          <w:rFonts w:ascii="Arial" w:cs="Arial" w:eastAsia="Arial" w:hAnsi="Arial"/>
          <w:sz w:val="13"/>
          <w:szCs w:val="13"/>
          <w:b w:val="1"/>
          <w:bCs w:val="1"/>
          <w:u w:val="single" w:color="auto"/>
          <w:color w:val="auto"/>
        </w:rPr>
        <w:t>Severability</w:t>
      </w:r>
      <w:r>
        <w:rPr>
          <w:rFonts w:ascii="Arial" w:cs="Arial" w:eastAsia="Arial" w:hAnsi="Arial"/>
          <w:sz w:val="13"/>
          <w:szCs w:val="13"/>
          <w:b w:val="1"/>
          <w:bCs w:val="1"/>
          <w:color w:val="auto"/>
        </w:rPr>
        <w:t xml:space="preserve">. </w:t>
      </w:r>
      <w:r>
        <w:rPr>
          <w:rFonts w:ascii="Arial" w:cs="Arial" w:eastAsia="Arial" w:hAnsi="Arial"/>
          <w:sz w:val="13"/>
          <w:szCs w:val="13"/>
          <w:color w:val="auto"/>
        </w:rPr>
        <w:t>If any provision of this Agreement is determined by any court or arbitrator of competent jurisdiction to be invalid, illegal or unenforceable in any respect, such</w:t>
      </w:r>
      <w:r>
        <w:rPr>
          <w:rFonts w:ascii="Arial" w:cs="Arial" w:eastAsia="Arial" w:hAnsi="Arial"/>
          <w:sz w:val="13"/>
          <w:szCs w:val="13"/>
          <w:b w:val="1"/>
          <w:bCs w:val="1"/>
          <w:color w:val="auto"/>
        </w:rPr>
        <w:t xml:space="preserve"> </w:t>
      </w:r>
      <w:r>
        <w:rPr>
          <w:rFonts w:ascii="Arial" w:cs="Arial" w:eastAsia="Arial" w:hAnsi="Arial"/>
          <w:sz w:val="13"/>
          <w:szCs w:val="13"/>
          <w:color w:val="auto"/>
        </w:rPr>
        <w:t>provision will be enforced to the maximum extent possible given the intent of the parties hereto. If such clause or provision cannot be so enforced, such provision shall be stricken from this Agreement and the remainder of this Agreement shall be enforced as if such invalid, illegal or unenforceable clause or provision had (to the extent not enforceable) never been contained in this Agreement. Notwithstanding the forgoing, if the value of this Agreement based upon the substantial benefit of the bargain for any party is materially impaired, which determination as made by the presiding court or arbitrator of competent jurisdiction shall be binding, then both parties agree to substitute such provision(s) through good faith negotiations.</w:t>
      </w:r>
    </w:p>
    <w:p>
      <w:pPr>
        <w:spacing w:after="0" w:line="126" w:lineRule="exact"/>
        <w:rPr>
          <w:rFonts w:ascii="Arial" w:cs="Arial" w:eastAsia="Arial" w:hAnsi="Arial"/>
          <w:sz w:val="13"/>
          <w:szCs w:val="13"/>
          <w:b w:val="1"/>
          <w:bCs w:val="1"/>
          <w:color w:val="auto"/>
        </w:rPr>
      </w:pPr>
    </w:p>
    <w:p>
      <w:pPr>
        <w:ind w:left="-120" w:right="40" w:firstLine="448"/>
        <w:spacing w:after="0" w:line="293" w:lineRule="auto"/>
        <w:tabs>
          <w:tab w:leader="none" w:pos="563" w:val="left"/>
        </w:tabs>
        <w:numPr>
          <w:ilvl w:val="0"/>
          <w:numId w:val="415"/>
        </w:numPr>
        <w:rPr>
          <w:rFonts w:ascii="Arial" w:cs="Arial" w:eastAsia="Arial" w:hAnsi="Arial"/>
          <w:sz w:val="14"/>
          <w:szCs w:val="14"/>
          <w:b w:val="1"/>
          <w:bCs w:val="1"/>
          <w:color w:val="auto"/>
        </w:rPr>
      </w:pPr>
      <w:r>
        <w:rPr>
          <w:rFonts w:ascii="Arial" w:cs="Arial" w:eastAsia="Arial" w:hAnsi="Arial"/>
          <w:sz w:val="14"/>
          <w:szCs w:val="14"/>
          <w:b w:val="1"/>
          <w:bCs w:val="1"/>
          <w:u w:val="single" w:color="auto"/>
          <w:color w:val="auto"/>
        </w:rPr>
        <w:t>Facsimile Signatures</w:t>
      </w:r>
      <w:r>
        <w:rPr>
          <w:rFonts w:ascii="Arial" w:cs="Arial" w:eastAsia="Arial" w:hAnsi="Arial"/>
          <w:sz w:val="14"/>
          <w:szCs w:val="14"/>
          <w:b w:val="1"/>
          <w:bCs w:val="1"/>
          <w:color w:val="auto"/>
        </w:rPr>
        <w:t xml:space="preserve">. </w:t>
      </w:r>
      <w:r>
        <w:rPr>
          <w:rFonts w:ascii="Arial" w:cs="Arial" w:eastAsia="Arial" w:hAnsi="Arial"/>
          <w:sz w:val="14"/>
          <w:szCs w:val="14"/>
          <w:color w:val="auto"/>
        </w:rPr>
        <w:t>This Agreement may be executed and delivered by facsimile and upon such delivery the facsimile signature will be deemed to have the same effect as if</w:t>
      </w:r>
      <w:r>
        <w:rPr>
          <w:rFonts w:ascii="Arial" w:cs="Arial" w:eastAsia="Arial" w:hAnsi="Arial"/>
          <w:sz w:val="14"/>
          <w:szCs w:val="14"/>
          <w:b w:val="1"/>
          <w:bCs w:val="1"/>
          <w:color w:val="auto"/>
        </w:rPr>
        <w:t xml:space="preserve"> </w:t>
      </w:r>
      <w:r>
        <w:rPr>
          <w:rFonts w:ascii="Arial" w:cs="Arial" w:eastAsia="Arial" w:hAnsi="Arial"/>
          <w:sz w:val="14"/>
          <w:szCs w:val="14"/>
          <w:color w:val="auto"/>
        </w:rPr>
        <w:t>the original signature had been delivered to the other party. The original signature copy shall be delivered to the other party by express overnight delivery. The failure to deliver the original signature copy and/or the nonreceipt of the original signature copy shall have no effect upon the binding and enforceable nature of this Agreement.</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[Signature Page follows]</w:t>
      </w:r>
    </w:p>
    <w:p>
      <w:pPr>
        <w:spacing w:after="0" w:line="132"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8</w:t>
      </w:r>
    </w:p>
    <w:p>
      <w:pPr>
        <w:sectPr>
          <w:pgSz w:w="11900" w:h="16838" w:orient="portrait"/>
          <w:cols w:equalWidth="0" w:num="1">
            <w:col w:w="11200"/>
          </w:cols>
          <w:pgMar w:left="360" w:top="249" w:right="339" w:bottom="1440" w:gutter="0" w:footer="0" w:header="0"/>
        </w:sectPr>
      </w:pPr>
    </w:p>
    <w:bookmarkStart w:id="451" w:name="page452"/>
    <w:bookmarkEnd w:id="451"/>
    <w:p>
      <w:pPr>
        <w:spacing w:after="0" w:line="280" w:lineRule="auto"/>
        <w:rPr>
          <w:sz w:val="20"/>
          <w:szCs w:val="20"/>
          <w:color w:val="auto"/>
        </w:rPr>
      </w:pPr>
      <w:r>
        <w:rPr>
          <w:rFonts w:ascii="Arial" w:cs="Arial" w:eastAsia="Arial" w:hAnsi="Arial"/>
          <w:sz w:val="15"/>
          <w:szCs w:val="15"/>
          <w:b w:val="1"/>
          <w:bCs w:val="1"/>
          <w:color w:val="auto"/>
        </w:rPr>
        <w:drawing>
          <wp:anchor simplePos="0" relativeHeight="251657728" behindDoc="1" locked="0" layoutInCell="0" allowOverlap="1">
            <wp:simplePos x="0" y="0"/>
            <wp:positionH relativeFrom="page">
              <wp:posOffset>133350</wp:posOffset>
            </wp:positionH>
            <wp:positionV relativeFrom="page">
              <wp:posOffset>88900</wp:posOffset>
            </wp:positionV>
            <wp:extent cx="7308850" cy="34290"/>
            <wp:wrapNone/>
            <wp:docPr id="631" name="Picture 6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1"/>
                    <pic:cNvPicPr>
                      <a:picLocks noChangeAspect="1" noChangeArrowheads="1"/>
                    </pic:cNvPicPr>
                  </pic:nvPicPr>
                  <pic:blipFill>
                    <a:blip r:embed="rId668">
                      <a:extLst>
                        <a:ext uri="{28A0092B-C50C-407E-A947-70E740481C1C}"/>
                      </a:extLst>
                    </a:blip>
                    <a:srcRect/>
                    <a:stretch>
                      <a:fillRect/>
                    </a:stretch>
                  </pic:blipFill>
                  <pic:spPr bwMode="auto">
                    <a:xfrm>
                      <a:off x="0" y="0"/>
                      <a:ext cx="7308850" cy="34290"/>
                    </a:xfrm>
                    <a:prstGeom prst="rect">
                      <a:avLst/>
                    </a:prstGeom>
                    <a:noFill/>
                  </pic:spPr>
                </pic:pic>
              </a:graphicData>
            </a:graphic>
          </wp:anchor>
        </w:drawing>
        <w:t>IN WITNESS WHEREOF</w:t>
      </w:r>
      <w:r>
        <w:rPr>
          <w:rFonts w:ascii="Arial" w:cs="Arial" w:eastAsia="Arial" w:hAnsi="Arial"/>
          <w:sz w:val="15"/>
          <w:szCs w:val="15"/>
          <w:color w:val="auto"/>
        </w:rPr>
        <w:t>, the Company has caused this Agreement to be executed in triplicate by its duly authorized representative and Participant has executed this Agreement in</w:t>
      </w:r>
      <w:r>
        <w:rPr>
          <w:rFonts w:ascii="Arial" w:cs="Arial" w:eastAsia="Arial" w:hAnsi="Arial"/>
          <w:sz w:val="15"/>
          <w:szCs w:val="15"/>
          <w:b w:val="1"/>
          <w:bCs w:val="1"/>
          <w:color w:val="auto"/>
        </w:rPr>
        <w:t xml:space="preserve"> </w:t>
      </w:r>
      <w:r>
        <w:rPr>
          <w:rFonts w:ascii="Arial" w:cs="Arial" w:eastAsia="Arial" w:hAnsi="Arial"/>
          <w:sz w:val="15"/>
          <w:szCs w:val="15"/>
          <w:color w:val="auto"/>
        </w:rPr>
        <w:t>triplicate, effective as of the Date of Grant.</w:t>
      </w:r>
    </w:p>
    <w:p>
      <w:pPr>
        <w:sectPr>
          <w:pgSz w:w="11900" w:h="16838" w:orient="portrait"/>
          <w:cols w:equalWidth="0" w:num="1">
            <w:col w:w="10960"/>
          </w:cols>
          <w:pgMar w:left="240" w:top="249" w:right="699" w:bottom="1440" w:gutter="0" w:footer="0" w:header="0"/>
        </w:sectPr>
      </w:pPr>
    </w:p>
    <w:p>
      <w:pPr>
        <w:spacing w:after="0" w:line="207"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DROPBOX, INC.</w:t>
      </w:r>
    </w:p>
    <w:p>
      <w:pPr>
        <w:spacing w:after="0" w:line="192" w:lineRule="exact"/>
        <w:rPr>
          <w:sz w:val="20"/>
          <w:szCs w:val="20"/>
          <w:color w:val="auto"/>
        </w:rPr>
      </w:pPr>
    </w:p>
    <w:p>
      <w:pPr>
        <w:spacing w:after="0"/>
        <w:rPr>
          <w:sz w:val="20"/>
          <w:szCs w:val="20"/>
          <w:color w:val="auto"/>
        </w:rPr>
      </w:pPr>
      <w:r>
        <w:rPr>
          <w:rFonts w:ascii="Arial" w:cs="Arial" w:eastAsia="Arial" w:hAnsi="Arial"/>
          <w:sz w:val="15"/>
          <w:szCs w:val="15"/>
          <w:color w:val="auto"/>
        </w:rPr>
        <w:t>By: /s/ Ramsey Homsany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151130</wp:posOffset>
            </wp:positionH>
            <wp:positionV relativeFrom="paragraph">
              <wp:posOffset>12065</wp:posOffset>
            </wp:positionV>
            <wp:extent cx="2979420" cy="6985"/>
            <wp:wrapNone/>
            <wp:docPr id="632" name="Picture 6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2"/>
                    <pic:cNvPicPr>
                      <a:picLocks noChangeAspect="1" noChangeArrowheads="1"/>
                    </pic:cNvPicPr>
                  </pic:nvPicPr>
                  <pic:blipFill>
                    <a:blip r:embed="rId669">
                      <a:extLst>
                        <a:ext uri="{28A0092B-C50C-407E-A947-70E740481C1C}"/>
                      </a:extLst>
                    </a:blip>
                    <a:srcRect/>
                    <a:stretch>
                      <a:fillRect/>
                    </a:stretch>
                  </pic:blipFill>
                  <pic:spPr bwMode="auto">
                    <a:xfrm>
                      <a:off x="0" y="0"/>
                      <a:ext cx="2979420" cy="6985"/>
                    </a:xfrm>
                    <a:prstGeom prst="rect">
                      <a:avLst/>
                    </a:prstGeom>
                    <a:noFill/>
                  </pic:spPr>
                </pic:pic>
              </a:graphicData>
            </a:graphic>
          </wp:anchor>
        </w:drawing>
      </w:r>
    </w:p>
    <w:p>
      <w:pPr>
        <w:spacing w:after="0" w:line="180" w:lineRule="exact"/>
        <w:rPr>
          <w:sz w:val="20"/>
          <w:szCs w:val="20"/>
          <w:color w:val="auto"/>
        </w:rPr>
      </w:pPr>
    </w:p>
    <w:p>
      <w:pPr>
        <w:spacing w:after="0"/>
        <w:rPr>
          <w:sz w:val="20"/>
          <w:szCs w:val="20"/>
          <w:color w:val="auto"/>
        </w:rPr>
      </w:pPr>
      <w:r>
        <w:rPr>
          <w:rFonts w:ascii="Arial" w:cs="Arial" w:eastAsia="Arial" w:hAnsi="Arial"/>
          <w:sz w:val="15"/>
          <w:szCs w:val="15"/>
          <w:color w:val="auto"/>
        </w:rPr>
        <w:t>Ramsey Homsany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12065</wp:posOffset>
            </wp:positionV>
            <wp:extent cx="3136900" cy="6985"/>
            <wp:wrapNone/>
            <wp:docPr id="633" name="Picture 6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3"/>
                    <pic:cNvPicPr>
                      <a:picLocks noChangeAspect="1" noChangeArrowheads="1"/>
                    </pic:cNvPicPr>
                  </pic:nvPicPr>
                  <pic:blipFill>
                    <a:blip r:embed="rId670">
                      <a:extLst>
                        <a:ext uri="{28A0092B-C50C-407E-A947-70E740481C1C}"/>
                      </a:extLst>
                    </a:blip>
                    <a:srcRect/>
                    <a:stretch>
                      <a:fillRect/>
                    </a:stretch>
                  </pic:blipFill>
                  <pic:spPr bwMode="auto">
                    <a:xfrm>
                      <a:off x="0" y="0"/>
                      <a:ext cx="3136900" cy="6985"/>
                    </a:xfrm>
                    <a:prstGeom prst="rect">
                      <a:avLst/>
                    </a:prstGeom>
                    <a:noFill/>
                  </pic:spPr>
                </pic:pic>
              </a:graphicData>
            </a:graphic>
          </wp:anchor>
        </w:drawing>
      </w:r>
    </w:p>
    <w:p>
      <w:pPr>
        <w:spacing w:after="0"/>
        <w:rPr>
          <w:sz w:val="20"/>
          <w:szCs w:val="20"/>
          <w:color w:val="auto"/>
        </w:rPr>
      </w:pPr>
      <w:r>
        <w:rPr>
          <w:rFonts w:ascii="Arial" w:cs="Arial" w:eastAsia="Arial" w:hAnsi="Arial"/>
          <w:sz w:val="15"/>
          <w:szCs w:val="15"/>
          <w:color w:val="auto"/>
        </w:rPr>
        <w:t>(Please print name)</w:t>
      </w:r>
    </w:p>
    <w:p>
      <w:pPr>
        <w:spacing w:after="0" w:line="188" w:lineRule="exact"/>
        <w:rPr>
          <w:sz w:val="20"/>
          <w:szCs w:val="20"/>
          <w:color w:val="auto"/>
        </w:rPr>
      </w:pPr>
    </w:p>
    <w:p>
      <w:pPr>
        <w:spacing w:after="0"/>
        <w:rPr>
          <w:sz w:val="20"/>
          <w:szCs w:val="20"/>
          <w:color w:val="auto"/>
        </w:rPr>
      </w:pPr>
      <w:r>
        <w:rPr>
          <w:rFonts w:ascii="Arial" w:cs="Arial" w:eastAsia="Arial" w:hAnsi="Arial"/>
          <w:sz w:val="15"/>
          <w:szCs w:val="15"/>
          <w:color w:val="auto"/>
        </w:rPr>
        <w:t>General Counsel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12065</wp:posOffset>
            </wp:positionV>
            <wp:extent cx="3136900" cy="6985"/>
            <wp:wrapNone/>
            <wp:docPr id="634" name="Picture 6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4"/>
                    <pic:cNvPicPr>
                      <a:picLocks noChangeAspect="1" noChangeArrowheads="1"/>
                    </pic:cNvPicPr>
                  </pic:nvPicPr>
                  <pic:blipFill>
                    <a:blip r:embed="rId671">
                      <a:extLst>
                        <a:ext uri="{28A0092B-C50C-407E-A947-70E740481C1C}"/>
                      </a:extLst>
                    </a:blip>
                    <a:srcRect/>
                    <a:stretch>
                      <a:fillRect/>
                    </a:stretch>
                  </pic:blipFill>
                  <pic:spPr bwMode="auto">
                    <a:xfrm>
                      <a:off x="0" y="0"/>
                      <a:ext cx="3136900" cy="6985"/>
                    </a:xfrm>
                    <a:prstGeom prst="rect">
                      <a:avLst/>
                    </a:prstGeom>
                    <a:noFill/>
                  </pic:spPr>
                </pic:pic>
              </a:graphicData>
            </a:graphic>
          </wp:anchor>
        </w:drawing>
      </w:r>
    </w:p>
    <w:p>
      <w:pPr>
        <w:spacing w:after="0"/>
        <w:rPr>
          <w:sz w:val="20"/>
          <w:szCs w:val="20"/>
          <w:color w:val="auto"/>
        </w:rPr>
      </w:pPr>
      <w:r>
        <w:rPr>
          <w:rFonts w:ascii="Arial" w:cs="Arial" w:eastAsia="Arial" w:hAnsi="Arial"/>
          <w:sz w:val="15"/>
          <w:szCs w:val="15"/>
          <w:color w:val="auto"/>
        </w:rPr>
        <w:t>(Please print title</w:t>
      </w:r>
    </w:p>
    <w:p>
      <w:pPr>
        <w:spacing w:after="0" w:line="188" w:lineRule="exact"/>
        <w:rPr>
          <w:sz w:val="20"/>
          <w:szCs w:val="20"/>
          <w:color w:val="auto"/>
        </w:rPr>
      </w:pPr>
    </w:p>
    <w:p>
      <w:pPr>
        <w:spacing w:after="0"/>
        <w:tabs>
          <w:tab w:leader="none" w:pos="720" w:val="left"/>
        </w:tabs>
        <w:rPr>
          <w:sz w:val="20"/>
          <w:szCs w:val="20"/>
          <w:color w:val="auto"/>
        </w:rPr>
      </w:pPr>
      <w:r>
        <w:rPr>
          <w:rFonts w:ascii="Arial" w:cs="Arial" w:eastAsia="Arial" w:hAnsi="Arial"/>
          <w:sz w:val="13"/>
          <w:szCs w:val="13"/>
          <w:color w:val="auto"/>
        </w:rPr>
        <w:t>Address:</w:t>
      </w:r>
      <w:r>
        <w:rPr>
          <w:sz w:val="20"/>
          <w:szCs w:val="20"/>
          <w:color w:val="auto"/>
        </w:rPr>
        <w:tab/>
      </w:r>
      <w:r>
        <w:rPr>
          <w:rFonts w:ascii="Arial" w:cs="Arial" w:eastAsia="Arial" w:hAnsi="Arial"/>
          <w:sz w:val="13"/>
          <w:szCs w:val="13"/>
          <w:color w:val="auto"/>
        </w:rPr>
        <w:t>185 Berry Street, Suite 400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437515</wp:posOffset>
            </wp:positionH>
            <wp:positionV relativeFrom="paragraph">
              <wp:posOffset>26670</wp:posOffset>
            </wp:positionV>
            <wp:extent cx="2693035" cy="6985"/>
            <wp:wrapNone/>
            <wp:docPr id="635" name="Picture 6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5"/>
                    <pic:cNvPicPr>
                      <a:picLocks noChangeAspect="1" noChangeArrowheads="1"/>
                    </pic:cNvPicPr>
                  </pic:nvPicPr>
                  <pic:blipFill>
                    <a:blip r:embed="rId672">
                      <a:extLst>
                        <a:ext uri="{28A0092B-C50C-407E-A947-70E740481C1C}"/>
                      </a:extLst>
                    </a:blip>
                    <a:srcRect/>
                    <a:stretch>
                      <a:fillRect/>
                    </a:stretch>
                  </pic:blipFill>
                  <pic:spPr bwMode="auto">
                    <a:xfrm>
                      <a:off x="0" y="0"/>
                      <a:ext cx="2693035" cy="6985"/>
                    </a:xfrm>
                    <a:prstGeom prst="rect">
                      <a:avLst/>
                    </a:prstGeom>
                    <a:noFill/>
                  </pic:spPr>
                </pic:pic>
              </a:graphicData>
            </a:graphic>
          </wp:anchor>
        </w:drawing>
      </w:r>
    </w:p>
    <w:p>
      <w:pPr>
        <w:spacing w:after="0" w:line="203" w:lineRule="exact"/>
        <w:rPr>
          <w:sz w:val="20"/>
          <w:szCs w:val="20"/>
          <w:color w:val="auto"/>
        </w:rPr>
      </w:pPr>
    </w:p>
    <w:p>
      <w:pPr>
        <w:spacing w:after="0"/>
        <w:rPr>
          <w:sz w:val="20"/>
          <w:szCs w:val="20"/>
          <w:color w:val="auto"/>
        </w:rPr>
      </w:pPr>
      <w:r>
        <w:rPr>
          <w:rFonts w:ascii="Arial" w:cs="Arial" w:eastAsia="Arial" w:hAnsi="Arial"/>
          <w:sz w:val="15"/>
          <w:szCs w:val="15"/>
          <w:color w:val="auto"/>
        </w:rPr>
        <w:t>San Francisco, CA 94107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12065</wp:posOffset>
            </wp:positionV>
            <wp:extent cx="3136900" cy="6985"/>
            <wp:wrapNone/>
            <wp:docPr id="636" name="Picture 6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6"/>
                    <pic:cNvPicPr>
                      <a:picLocks noChangeAspect="1" noChangeArrowheads="1"/>
                    </pic:cNvPicPr>
                  </pic:nvPicPr>
                  <pic:blipFill>
                    <a:blip r:embed="rId673">
                      <a:extLst>
                        <a:ext uri="{28A0092B-C50C-407E-A947-70E740481C1C}"/>
                      </a:extLst>
                    </a:blip>
                    <a:srcRect/>
                    <a:stretch>
                      <a:fillRect/>
                    </a:stretch>
                  </pic:blipFill>
                  <pic:spPr bwMode="auto">
                    <a:xfrm>
                      <a:off x="0" y="0"/>
                      <a:ext cx="3136900" cy="6985"/>
                    </a:xfrm>
                    <a:prstGeom prst="rect">
                      <a:avLst/>
                    </a:prstGeom>
                    <a:noFill/>
                  </pic:spPr>
                </pic:pic>
              </a:graphicData>
            </a:graphic>
          </wp:anchor>
        </w:drawing>
      </w:r>
    </w:p>
    <w:p>
      <w:pPr>
        <w:spacing w:after="0" w:line="168" w:lineRule="exact"/>
        <w:rPr>
          <w:sz w:val="20"/>
          <w:szCs w:val="20"/>
          <w:color w:val="auto"/>
        </w:rPr>
      </w:pPr>
    </w:p>
    <w:p>
      <w:pPr>
        <w:spacing w:after="0"/>
        <w:rPr>
          <w:sz w:val="20"/>
          <w:szCs w:val="20"/>
          <w:color w:val="auto"/>
        </w:rPr>
      </w:pPr>
      <w:r>
        <w:rPr>
          <w:rFonts w:ascii="Arial" w:cs="Arial" w:eastAsia="Arial" w:hAnsi="Arial"/>
          <w:sz w:val="15"/>
          <w:szCs w:val="15"/>
          <w:color w:val="auto"/>
        </w:rPr>
        <w:t>Phone 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559435</wp:posOffset>
            </wp:positionH>
            <wp:positionV relativeFrom="paragraph">
              <wp:posOffset>12065</wp:posOffset>
            </wp:positionV>
            <wp:extent cx="2571115" cy="6985"/>
            <wp:wrapNone/>
            <wp:docPr id="637" name="Picture 6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7"/>
                    <pic:cNvPicPr>
                      <a:picLocks noChangeAspect="1" noChangeArrowheads="1"/>
                    </pic:cNvPicPr>
                  </pic:nvPicPr>
                  <pic:blipFill>
                    <a:blip r:embed="rId674">
                      <a:extLst>
                        <a:ext uri="{28A0092B-C50C-407E-A947-70E740481C1C}"/>
                      </a:extLst>
                    </a:blip>
                    <a:srcRect/>
                    <a:stretch>
                      <a:fillRect/>
                    </a:stretch>
                  </pic:blipFill>
                  <pic:spPr bwMode="auto">
                    <a:xfrm>
                      <a:off x="0" y="0"/>
                      <a:ext cx="2571115" cy="698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PARTICIPANT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243205</wp:posOffset>
            </wp:positionV>
            <wp:extent cx="3136900" cy="6985"/>
            <wp:wrapNone/>
            <wp:docPr id="638" name="Picture 6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8"/>
                    <pic:cNvPicPr>
                      <a:picLocks noChangeAspect="1" noChangeArrowheads="1"/>
                    </pic:cNvPicPr>
                  </pic:nvPicPr>
                  <pic:blipFill>
                    <a:blip r:embed="rId675">
                      <a:extLst>
                        <a:ext uri="{28A0092B-C50C-407E-A947-70E740481C1C}"/>
                      </a:extLst>
                    </a:blip>
                    <a:srcRect/>
                    <a:stretch>
                      <a:fillRect/>
                    </a:stretch>
                  </pic:blipFill>
                  <pic:spPr bwMode="auto">
                    <a:xfrm>
                      <a:off x="0" y="0"/>
                      <a:ext cx="3136900" cy="6985"/>
                    </a:xfrm>
                    <a:prstGeom prst="rect">
                      <a:avLst/>
                    </a:prstGeom>
                    <a:noFill/>
                  </pic:spPr>
                </pic:pic>
              </a:graphicData>
            </a:graphic>
          </wp:anchor>
        </w:drawing>
      </w:r>
    </w:p>
    <w:p>
      <w:pPr>
        <w:spacing w:after="0" w:line="364" w:lineRule="exact"/>
        <w:rPr>
          <w:sz w:val="20"/>
          <w:szCs w:val="20"/>
          <w:color w:val="auto"/>
        </w:rPr>
      </w:pPr>
    </w:p>
    <w:p>
      <w:pPr>
        <w:spacing w:after="0"/>
        <w:rPr>
          <w:sz w:val="20"/>
          <w:szCs w:val="20"/>
          <w:color w:val="auto"/>
        </w:rPr>
      </w:pPr>
      <w:r>
        <w:rPr>
          <w:rFonts w:ascii="Arial" w:cs="Arial" w:eastAsia="Arial" w:hAnsi="Arial"/>
          <w:sz w:val="15"/>
          <w:szCs w:val="15"/>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126365</wp:posOffset>
            </wp:positionV>
            <wp:extent cx="3136900" cy="6985"/>
            <wp:wrapNone/>
            <wp:docPr id="639" name="Picture 6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9"/>
                    <pic:cNvPicPr>
                      <a:picLocks noChangeAspect="1" noChangeArrowheads="1"/>
                    </pic:cNvPicPr>
                  </pic:nvPicPr>
                  <pic:blipFill>
                    <a:blip r:embed="rId676">
                      <a:extLst>
                        <a:ext uri="{28A0092B-C50C-407E-A947-70E740481C1C}"/>
                      </a:extLst>
                    </a:blip>
                    <a:srcRect/>
                    <a:stretch>
                      <a:fillRect/>
                    </a:stretch>
                  </pic:blipFill>
                  <pic:spPr bwMode="auto">
                    <a:xfrm>
                      <a:off x="0" y="0"/>
                      <a:ext cx="3136900" cy="6985"/>
                    </a:xfrm>
                    <a:prstGeom prst="rect">
                      <a:avLst/>
                    </a:prstGeom>
                    <a:noFill/>
                  </pic:spPr>
                </pic:pic>
              </a:graphicData>
            </a:graphic>
          </wp:anchor>
        </w:drawing>
      </w:r>
    </w:p>
    <w:p>
      <w:pPr>
        <w:spacing w:after="0" w:line="180" w:lineRule="exact"/>
        <w:rPr>
          <w:sz w:val="20"/>
          <w:szCs w:val="20"/>
          <w:color w:val="auto"/>
        </w:rPr>
      </w:pPr>
    </w:p>
    <w:p>
      <w:pPr>
        <w:spacing w:after="0"/>
        <w:rPr>
          <w:sz w:val="20"/>
          <w:szCs w:val="20"/>
          <w:color w:val="auto"/>
        </w:rPr>
      </w:pPr>
      <w:r>
        <w:rPr>
          <w:rFonts w:ascii="Arial" w:cs="Arial" w:eastAsia="Arial" w:hAnsi="Arial"/>
          <w:sz w:val="13"/>
          <w:szCs w:val="13"/>
          <w:color w:val="auto"/>
        </w:rPr>
        <w:t>(Please print name)</w:t>
      </w: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ind w:right="4040"/>
        <w:spacing w:after="0"/>
        <w:rPr>
          <w:sz w:val="20"/>
          <w:szCs w:val="20"/>
          <w:color w:val="auto"/>
        </w:rPr>
      </w:pPr>
      <w:r>
        <w:rPr>
          <w:rFonts w:ascii="Arial" w:cs="Arial" w:eastAsia="Arial" w:hAnsi="Arial"/>
          <w:sz w:val="13"/>
          <w:szCs w:val="13"/>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255270</wp:posOffset>
            </wp:positionV>
            <wp:extent cx="3136900" cy="6985"/>
            <wp:wrapNone/>
            <wp:docPr id="640" name="Picture 6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0"/>
                    <pic:cNvPicPr>
                      <a:picLocks noChangeAspect="1" noChangeArrowheads="1"/>
                    </pic:cNvPicPr>
                  </pic:nvPicPr>
                  <pic:blipFill>
                    <a:blip r:embed="rId677">
                      <a:extLst>
                        <a:ext uri="{28A0092B-C50C-407E-A947-70E740481C1C}"/>
                      </a:extLst>
                    </a:blip>
                    <a:srcRect/>
                    <a:stretch>
                      <a:fillRect/>
                    </a:stretch>
                  </pic:blipFill>
                  <pic:spPr bwMode="auto">
                    <a:xfrm>
                      <a:off x="0" y="0"/>
                      <a:ext cx="3136900" cy="6985"/>
                    </a:xfrm>
                    <a:prstGeom prst="rect">
                      <a:avLst/>
                    </a:prstGeom>
                    <a:noFill/>
                  </pic:spPr>
                </pic:pic>
              </a:graphicData>
            </a:graphic>
          </wp:anchor>
        </w:drawing>
        <w:drawing>
          <wp:anchor simplePos="0" relativeHeight="251657728" behindDoc="1" locked="0" layoutInCell="0" allowOverlap="1">
            <wp:simplePos x="0" y="0"/>
            <wp:positionH relativeFrom="column">
              <wp:posOffset>440055</wp:posOffset>
            </wp:positionH>
            <wp:positionV relativeFrom="paragraph">
              <wp:posOffset>26670</wp:posOffset>
            </wp:positionV>
            <wp:extent cx="2700020" cy="6985"/>
            <wp:wrapNone/>
            <wp:docPr id="641" name="Picture 6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1"/>
                    <pic:cNvPicPr>
                      <a:picLocks noChangeAspect="1" noChangeArrowheads="1"/>
                    </pic:cNvPicPr>
                  </pic:nvPicPr>
                  <pic:blipFill>
                    <a:blip r:embed="rId678">
                      <a:extLst>
                        <a:ext uri="{28A0092B-C50C-407E-A947-70E740481C1C}"/>
                      </a:extLst>
                    </a:blip>
                    <a:srcRect/>
                    <a:stretch>
                      <a:fillRect/>
                    </a:stretch>
                  </pic:blipFill>
                  <pic:spPr bwMode="auto">
                    <a:xfrm>
                      <a:off x="0" y="0"/>
                      <a:ext cx="2700020" cy="6985"/>
                    </a:xfrm>
                    <a:prstGeom prst="rect">
                      <a:avLst/>
                    </a:prstGeom>
                    <a:noFill/>
                  </pic:spPr>
                </pic:pic>
              </a:graphicData>
            </a:graphic>
          </wp:anchor>
        </w:drawing>
      </w:r>
    </w:p>
    <w:p>
      <w:pPr>
        <w:spacing w:after="0" w:line="200" w:lineRule="exact"/>
        <w:rPr>
          <w:sz w:val="20"/>
          <w:szCs w:val="20"/>
          <w:color w:val="auto"/>
        </w:rPr>
      </w:pPr>
    </w:p>
    <w:p>
      <w:pPr>
        <w:spacing w:after="0" w:line="364" w:lineRule="exact"/>
        <w:rPr>
          <w:sz w:val="20"/>
          <w:szCs w:val="20"/>
          <w:color w:val="auto"/>
        </w:rPr>
      </w:pPr>
    </w:p>
    <w:p>
      <w:pPr>
        <w:spacing w:after="0"/>
        <w:rPr>
          <w:sz w:val="20"/>
          <w:szCs w:val="20"/>
          <w:color w:val="auto"/>
        </w:rPr>
      </w:pPr>
      <w:r>
        <w:rPr>
          <w:rFonts w:ascii="Arial" w:cs="Arial" w:eastAsia="Arial" w:hAnsi="Arial"/>
          <w:sz w:val="15"/>
          <w:szCs w:val="15"/>
          <w:color w:val="auto"/>
        </w:rPr>
        <w:t>Phone 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561975</wp:posOffset>
            </wp:positionH>
            <wp:positionV relativeFrom="paragraph">
              <wp:posOffset>12065</wp:posOffset>
            </wp:positionV>
            <wp:extent cx="2578100" cy="6985"/>
            <wp:wrapNone/>
            <wp:docPr id="642" name="Picture 6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2"/>
                    <pic:cNvPicPr>
                      <a:picLocks noChangeAspect="1" noChangeArrowheads="1"/>
                    </pic:cNvPicPr>
                  </pic:nvPicPr>
                  <pic:blipFill>
                    <a:blip r:embed="rId679">
                      <a:extLst>
                        <a:ext uri="{28A0092B-C50C-407E-A947-70E740481C1C}"/>
                      </a:extLst>
                    </a:blip>
                    <a:srcRect/>
                    <a:stretch>
                      <a:fillRect/>
                    </a:stretch>
                  </pic:blipFill>
                  <pic:spPr bwMode="auto">
                    <a:xfrm>
                      <a:off x="0" y="0"/>
                      <a:ext cx="2578100" cy="6985"/>
                    </a:xfrm>
                    <a:prstGeom prst="rect">
                      <a:avLst/>
                    </a:prstGeom>
                    <a:noFill/>
                  </pic:spPr>
                </pic:pic>
              </a:graphicData>
            </a:graphic>
          </wp:anchor>
        </w:drawing>
      </w:r>
    </w:p>
    <w:p>
      <w:pPr>
        <w:spacing w:after="0" w:line="180" w:lineRule="exact"/>
        <w:rPr>
          <w:sz w:val="20"/>
          <w:szCs w:val="20"/>
          <w:color w:val="auto"/>
        </w:rPr>
      </w:pPr>
    </w:p>
    <w:p>
      <w:pPr>
        <w:jc w:val="center"/>
        <w:ind w:right="4180"/>
        <w:spacing w:after="0"/>
        <w:rPr>
          <w:sz w:val="20"/>
          <w:szCs w:val="20"/>
          <w:color w:val="auto"/>
        </w:rPr>
      </w:pPr>
      <w:r>
        <w:rPr>
          <w:rFonts w:ascii="Arial" w:cs="Arial" w:eastAsia="Arial" w:hAnsi="Arial"/>
          <w:sz w:val="14"/>
          <w:szCs w:val="14"/>
          <w:color w:val="auto"/>
        </w:rPr>
        <w:t>Email: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311150</wp:posOffset>
            </wp:positionH>
            <wp:positionV relativeFrom="paragraph">
              <wp:posOffset>19050</wp:posOffset>
            </wp:positionV>
            <wp:extent cx="2828925" cy="6985"/>
            <wp:wrapNone/>
            <wp:docPr id="643" name="Picture 6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3"/>
                    <pic:cNvPicPr>
                      <a:picLocks noChangeAspect="1" noChangeArrowheads="1"/>
                    </pic:cNvPicPr>
                  </pic:nvPicPr>
                  <pic:blipFill>
                    <a:blip r:embed="rId680">
                      <a:extLst>
                        <a:ext uri="{28A0092B-C50C-407E-A947-70E740481C1C}"/>
                      </a:extLst>
                    </a:blip>
                    <a:srcRect/>
                    <a:stretch>
                      <a:fillRect/>
                    </a:stretch>
                  </pic:blipFill>
                  <pic:spPr bwMode="auto">
                    <a:xfrm>
                      <a:off x="0" y="0"/>
                      <a:ext cx="2828925" cy="6985"/>
                    </a:xfrm>
                    <a:prstGeom prst="rect">
                      <a:avLst/>
                    </a:prstGeom>
                    <a:noFill/>
                  </pic:spPr>
                </pic:pic>
              </a:graphicData>
            </a:graphic>
          </wp:anchor>
        </w:drawing>
      </w:r>
    </w:p>
    <w:p>
      <w:pPr>
        <w:sectPr>
          <w:pgSz w:w="11900" w:h="16838" w:orient="portrait"/>
          <w:cols w:equalWidth="0" w:num="2">
            <w:col w:w="5660" w:space="720"/>
            <w:col w:w="4580"/>
          </w:cols>
          <w:pgMar w:left="240" w:top="249" w:right="699" w:bottom="1440" w:gutter="0" w:footer="0" w:header="0"/>
          <w:type w:val="continuous"/>
        </w:sectPr>
      </w:pPr>
    </w:p>
    <w:bookmarkStart w:id="452" w:name="page453"/>
    <w:bookmarkEnd w:id="452"/>
    <w:p>
      <w:pPr>
        <w:jc w:val="center"/>
        <w:ind w:right="-79"/>
        <w:spacing w:after="0"/>
        <w:rPr>
          <w:sz w:val="20"/>
          <w:szCs w:val="20"/>
          <w:color w:val="auto"/>
        </w:rPr>
      </w:pPr>
      <w:r>
        <w:rPr>
          <w:rFonts w:ascii="Arial" w:cs="Arial" w:eastAsia="Arial" w:hAnsi="Arial"/>
          <w:sz w:val="15"/>
          <w:szCs w:val="15"/>
          <w:b w:val="1"/>
          <w:bCs w:val="1"/>
          <w:color w:val="auto"/>
        </w:rPr>
        <w:drawing>
          <wp:anchor simplePos="0" relativeHeight="251657728" behindDoc="1" locked="0" layoutInCell="0" allowOverlap="1">
            <wp:simplePos x="0" y="0"/>
            <wp:positionH relativeFrom="page">
              <wp:posOffset>133350</wp:posOffset>
            </wp:positionH>
            <wp:positionV relativeFrom="page">
              <wp:posOffset>88900</wp:posOffset>
            </wp:positionV>
            <wp:extent cx="7308850" cy="34290"/>
            <wp:wrapNone/>
            <wp:docPr id="644" name="Picture 6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4"/>
                    <pic:cNvPicPr>
                      <a:picLocks noChangeAspect="1" noChangeArrowheads="1"/>
                    </pic:cNvPicPr>
                  </pic:nvPicPr>
                  <pic:blipFill>
                    <a:blip r:embed="rId681">
                      <a:extLst>
                        <a:ext uri="{28A0092B-C50C-407E-A947-70E740481C1C}"/>
                      </a:extLst>
                    </a:blip>
                    <a:srcRect/>
                    <a:stretch>
                      <a:fillRect/>
                    </a:stretch>
                  </pic:blipFill>
                  <pic:spPr bwMode="auto">
                    <a:xfrm>
                      <a:off x="0" y="0"/>
                      <a:ext cx="7308850" cy="34290"/>
                    </a:xfrm>
                    <a:prstGeom prst="rect">
                      <a:avLst/>
                    </a:prstGeom>
                    <a:noFill/>
                  </pic:spPr>
                </pic:pic>
              </a:graphicData>
            </a:graphic>
          </wp:anchor>
        </w:drawing>
        <w:t>DROPBOX, INC.</w:t>
      </w:r>
    </w:p>
    <w:p>
      <w:pPr>
        <w:spacing w:after="0" w:line="21" w:lineRule="exact"/>
        <w:rPr>
          <w:sz w:val="20"/>
          <w:szCs w:val="20"/>
          <w:color w:val="auto"/>
        </w:rPr>
      </w:pPr>
    </w:p>
    <w:p>
      <w:pPr>
        <w:ind w:left="4580"/>
        <w:spacing w:after="0"/>
        <w:rPr>
          <w:sz w:val="20"/>
          <w:szCs w:val="20"/>
          <w:color w:val="auto"/>
        </w:rPr>
      </w:pPr>
      <w:r>
        <w:rPr>
          <w:rFonts w:ascii="Arial" w:cs="Arial" w:eastAsia="Arial" w:hAnsi="Arial"/>
          <w:sz w:val="15"/>
          <w:szCs w:val="15"/>
          <w:b w:val="1"/>
          <w:bCs w:val="1"/>
          <w:color w:val="auto"/>
        </w:rPr>
        <w:t>2008 EQUITY INCENTIVE PLAN</w:t>
      </w:r>
    </w:p>
    <w:p>
      <w:pPr>
        <w:spacing w:after="0" w:line="8" w:lineRule="exact"/>
        <w:rPr>
          <w:sz w:val="20"/>
          <w:szCs w:val="20"/>
          <w:color w:val="auto"/>
        </w:rPr>
      </w:pPr>
    </w:p>
    <w:p>
      <w:pPr>
        <w:ind w:left="4620"/>
        <w:spacing w:after="0"/>
        <w:rPr>
          <w:sz w:val="20"/>
          <w:szCs w:val="20"/>
          <w:color w:val="auto"/>
        </w:rPr>
      </w:pPr>
      <w:r>
        <w:rPr>
          <w:rFonts w:ascii="Arial" w:cs="Arial" w:eastAsia="Arial" w:hAnsi="Arial"/>
          <w:sz w:val="15"/>
          <w:szCs w:val="15"/>
          <w:b w:val="1"/>
          <w:bCs w:val="1"/>
          <w:color w:val="auto"/>
        </w:rPr>
        <w:t>STOCK OPTION AGREEMENT</w:t>
      </w:r>
    </w:p>
    <w:p>
      <w:pPr>
        <w:spacing w:after="0" w:line="179" w:lineRule="exact"/>
        <w:rPr>
          <w:sz w:val="20"/>
          <w:szCs w:val="20"/>
          <w:color w:val="auto"/>
        </w:rPr>
      </w:pPr>
    </w:p>
    <w:p>
      <w:pPr>
        <w:jc w:val="both"/>
        <w:ind w:right="160" w:firstLine="458"/>
        <w:spacing w:after="0" w:line="263" w:lineRule="auto"/>
        <w:rPr>
          <w:sz w:val="20"/>
          <w:szCs w:val="20"/>
          <w:color w:val="auto"/>
        </w:rPr>
      </w:pPr>
      <w:r>
        <w:rPr>
          <w:rFonts w:ascii="Arial" w:cs="Arial" w:eastAsia="Arial" w:hAnsi="Arial"/>
          <w:sz w:val="15"/>
          <w:szCs w:val="15"/>
          <w:color w:val="auto"/>
        </w:rPr>
        <w:t>This Stock Option Agreement (the “</w:t>
      </w:r>
      <w:r>
        <w:rPr>
          <w:rFonts w:ascii="Arial" w:cs="Arial" w:eastAsia="Arial" w:hAnsi="Arial"/>
          <w:sz w:val="15"/>
          <w:szCs w:val="15"/>
          <w:b w:val="1"/>
          <w:bCs w:val="1"/>
          <w:i w:val="1"/>
          <w:iCs w:val="1"/>
          <w:color w:val="auto"/>
        </w:rPr>
        <w:t>Agreement</w:t>
      </w:r>
      <w:r>
        <w:rPr>
          <w:rFonts w:ascii="Arial" w:cs="Arial" w:eastAsia="Arial" w:hAnsi="Arial"/>
          <w:sz w:val="15"/>
          <w:szCs w:val="15"/>
          <w:color w:val="auto"/>
        </w:rPr>
        <w:t>”) is made and entered into as of the date of grant set forth below (the “</w:t>
      </w:r>
      <w:r>
        <w:rPr>
          <w:rFonts w:ascii="Arial" w:cs="Arial" w:eastAsia="Arial" w:hAnsi="Arial"/>
          <w:sz w:val="15"/>
          <w:szCs w:val="15"/>
          <w:b w:val="1"/>
          <w:bCs w:val="1"/>
          <w:i w:val="1"/>
          <w:iCs w:val="1"/>
          <w:color w:val="auto"/>
        </w:rPr>
        <w:t>Date of Grant”)</w:t>
      </w:r>
      <w:r>
        <w:rPr>
          <w:rFonts w:ascii="Arial" w:cs="Arial" w:eastAsia="Arial" w:hAnsi="Arial"/>
          <w:sz w:val="15"/>
          <w:szCs w:val="15"/>
          <w:color w:val="auto"/>
        </w:rPr>
        <w:t xml:space="preserve"> by and between Dropbox, Inc., a Delaware corporation (the “</w:t>
      </w:r>
      <w:r>
        <w:rPr>
          <w:rFonts w:ascii="Arial" w:cs="Arial" w:eastAsia="Arial" w:hAnsi="Arial"/>
          <w:sz w:val="15"/>
          <w:szCs w:val="15"/>
          <w:b w:val="1"/>
          <w:bCs w:val="1"/>
          <w:i w:val="1"/>
          <w:iCs w:val="1"/>
          <w:color w:val="auto"/>
        </w:rPr>
        <w:t>Company</w:t>
      </w:r>
      <w:r>
        <w:rPr>
          <w:rFonts w:ascii="Arial" w:cs="Arial" w:eastAsia="Arial" w:hAnsi="Arial"/>
          <w:sz w:val="15"/>
          <w:szCs w:val="15"/>
          <w:color w:val="auto"/>
        </w:rPr>
        <w:t>”), and the participant named below (the “</w:t>
      </w:r>
      <w:r>
        <w:rPr>
          <w:rFonts w:ascii="Arial" w:cs="Arial" w:eastAsia="Arial" w:hAnsi="Arial"/>
          <w:sz w:val="15"/>
          <w:szCs w:val="15"/>
          <w:b w:val="1"/>
          <w:bCs w:val="1"/>
          <w:i w:val="1"/>
          <w:iCs w:val="1"/>
          <w:color w:val="auto"/>
        </w:rPr>
        <w:t>Participant</w:t>
      </w:r>
      <w:r>
        <w:rPr>
          <w:rFonts w:ascii="Arial" w:cs="Arial" w:eastAsia="Arial" w:hAnsi="Arial"/>
          <w:sz w:val="15"/>
          <w:szCs w:val="15"/>
          <w:color w:val="auto"/>
        </w:rPr>
        <w:t>”). Capitalized terms not defined herein shall have the meaning ascribed to them in the Company’s 2008 Equity Incentive Plan (the “</w:t>
      </w:r>
      <w:r>
        <w:rPr>
          <w:rFonts w:ascii="Arial" w:cs="Arial" w:eastAsia="Arial" w:hAnsi="Arial"/>
          <w:sz w:val="15"/>
          <w:szCs w:val="15"/>
          <w:b w:val="1"/>
          <w:bCs w:val="1"/>
          <w:i w:val="1"/>
          <w:iCs w:val="1"/>
          <w:color w:val="auto"/>
        </w:rPr>
        <w:t>Plan</w:t>
      </w:r>
      <w:r>
        <w:rPr>
          <w:rFonts w:ascii="Arial" w:cs="Arial" w:eastAsia="Arial" w:hAnsi="Arial"/>
          <w:sz w:val="15"/>
          <w:szCs w:val="15"/>
          <w:color w:val="auto"/>
        </w:rPr>
        <w:t>”).</w:t>
      </w:r>
    </w:p>
    <w:p>
      <w:pPr>
        <w:spacing w:after="0" w:line="173" w:lineRule="exact"/>
        <w:rPr>
          <w:sz w:val="20"/>
          <w:szCs w:val="20"/>
          <w:color w:val="auto"/>
        </w:rPr>
      </w:pPr>
    </w:p>
    <w:p>
      <w:pPr>
        <w:ind w:left="560"/>
        <w:spacing w:after="0"/>
        <w:rPr>
          <w:sz w:val="20"/>
          <w:szCs w:val="20"/>
          <w:color w:val="auto"/>
        </w:rPr>
      </w:pPr>
      <w:r>
        <w:rPr>
          <w:rFonts w:ascii="Arial" w:cs="Arial" w:eastAsia="Arial" w:hAnsi="Arial"/>
          <w:sz w:val="15"/>
          <w:szCs w:val="15"/>
          <w:b w:val="1"/>
          <w:bCs w:val="1"/>
          <w:color w:val="auto"/>
        </w:rPr>
        <w:t>Grant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3825240</wp:posOffset>
            </wp:positionH>
            <wp:positionV relativeFrom="paragraph">
              <wp:posOffset>14605</wp:posOffset>
            </wp:positionV>
            <wp:extent cx="3072130" cy="6985"/>
            <wp:wrapNone/>
            <wp:docPr id="645" name="Picture 6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5"/>
                    <pic:cNvPicPr>
                      <a:picLocks noChangeAspect="1" noChangeArrowheads="1"/>
                    </pic:cNvPicPr>
                  </pic:nvPicPr>
                  <pic:blipFill>
                    <a:blip r:embed="rId682">
                      <a:extLst>
                        <a:ext uri="{28A0092B-C50C-407E-A947-70E740481C1C}"/>
                      </a:extLst>
                    </a:blip>
                    <a:srcRect/>
                    <a:stretch>
                      <a:fillRect/>
                    </a:stretch>
                  </pic:blipFill>
                  <pic:spPr bwMode="auto">
                    <a:xfrm>
                      <a:off x="0" y="0"/>
                      <a:ext cx="3072130" cy="6985"/>
                    </a:xfrm>
                    <a:prstGeom prst="rect">
                      <a:avLst/>
                    </a:prstGeom>
                    <a:noFill/>
                  </pic:spPr>
                </pic:pic>
              </a:graphicData>
            </a:graphic>
          </wp:anchor>
        </w:drawing>
      </w:r>
    </w:p>
    <w:p>
      <w:pPr>
        <w:spacing w:after="0" w:line="101" w:lineRule="exact"/>
        <w:rPr>
          <w:sz w:val="20"/>
          <w:szCs w:val="20"/>
          <w:color w:val="auto"/>
        </w:rPr>
      </w:pPr>
    </w:p>
    <w:p>
      <w:pPr>
        <w:ind w:left="560"/>
        <w:spacing w:after="0"/>
        <w:rPr>
          <w:sz w:val="20"/>
          <w:szCs w:val="20"/>
          <w:color w:val="auto"/>
        </w:rPr>
      </w:pPr>
      <w:r>
        <w:rPr>
          <w:rFonts w:ascii="Arial" w:cs="Arial" w:eastAsia="Arial" w:hAnsi="Arial"/>
          <w:sz w:val="15"/>
          <w:szCs w:val="15"/>
          <w:b w:val="1"/>
          <w:bCs w:val="1"/>
          <w:color w:val="auto"/>
        </w:rPr>
        <w:t>Participant: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3825240</wp:posOffset>
            </wp:positionH>
            <wp:positionV relativeFrom="paragraph">
              <wp:posOffset>14605</wp:posOffset>
            </wp:positionV>
            <wp:extent cx="3072130" cy="6985"/>
            <wp:wrapNone/>
            <wp:docPr id="646" name="Picture 6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6"/>
                    <pic:cNvPicPr>
                      <a:picLocks noChangeAspect="1" noChangeArrowheads="1"/>
                    </pic:cNvPicPr>
                  </pic:nvPicPr>
                  <pic:blipFill>
                    <a:blip r:embed="rId683">
                      <a:extLst>
                        <a:ext uri="{28A0092B-C50C-407E-A947-70E740481C1C}"/>
                      </a:extLst>
                    </a:blip>
                    <a:srcRect/>
                    <a:stretch>
                      <a:fillRect/>
                    </a:stretch>
                  </pic:blipFill>
                  <pic:spPr bwMode="auto">
                    <a:xfrm>
                      <a:off x="0" y="0"/>
                      <a:ext cx="3072130" cy="6985"/>
                    </a:xfrm>
                    <a:prstGeom prst="rect">
                      <a:avLst/>
                    </a:prstGeom>
                    <a:noFill/>
                  </pic:spPr>
                </pic:pic>
              </a:graphicData>
            </a:graphic>
          </wp:anchor>
        </w:drawing>
      </w:r>
    </w:p>
    <w:p>
      <w:pPr>
        <w:spacing w:after="0" w:line="101" w:lineRule="exact"/>
        <w:rPr>
          <w:sz w:val="20"/>
          <w:szCs w:val="20"/>
          <w:color w:val="auto"/>
        </w:rPr>
      </w:pPr>
    </w:p>
    <w:p>
      <w:pPr>
        <w:ind w:left="560"/>
        <w:spacing w:after="0"/>
        <w:rPr>
          <w:sz w:val="20"/>
          <w:szCs w:val="20"/>
          <w:color w:val="auto"/>
        </w:rPr>
      </w:pPr>
      <w:r>
        <w:rPr>
          <w:rFonts w:ascii="Arial" w:cs="Arial" w:eastAsia="Arial" w:hAnsi="Arial"/>
          <w:sz w:val="15"/>
          <w:szCs w:val="15"/>
          <w:b w:val="1"/>
          <w:bCs w:val="1"/>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3825240</wp:posOffset>
            </wp:positionH>
            <wp:positionV relativeFrom="paragraph">
              <wp:posOffset>14605</wp:posOffset>
            </wp:positionV>
            <wp:extent cx="3072130" cy="6985"/>
            <wp:wrapNone/>
            <wp:docPr id="647" name="Picture 6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7"/>
                    <pic:cNvPicPr>
                      <a:picLocks noChangeAspect="1" noChangeArrowheads="1"/>
                    </pic:cNvPicPr>
                  </pic:nvPicPr>
                  <pic:blipFill>
                    <a:blip r:embed="rId684">
                      <a:extLst>
                        <a:ext uri="{28A0092B-C50C-407E-A947-70E740481C1C}"/>
                      </a:extLst>
                    </a:blip>
                    <a:srcRect/>
                    <a:stretch>
                      <a:fillRect/>
                    </a:stretch>
                  </pic:blipFill>
                  <pic:spPr bwMode="auto">
                    <a:xfrm>
                      <a:off x="0" y="0"/>
                      <a:ext cx="3072130" cy="6985"/>
                    </a:xfrm>
                    <a:prstGeom prst="rect">
                      <a:avLst/>
                    </a:prstGeom>
                    <a:noFill/>
                  </pic:spPr>
                </pic:pic>
              </a:graphicData>
            </a:graphic>
          </wp:anchor>
        </w:drawing>
        <w:drawing>
          <wp:anchor simplePos="0" relativeHeight="251657728" behindDoc="1" locked="0" layoutInCell="0" allowOverlap="1">
            <wp:simplePos x="0" y="0"/>
            <wp:positionH relativeFrom="column">
              <wp:posOffset>3825240</wp:posOffset>
            </wp:positionH>
            <wp:positionV relativeFrom="paragraph">
              <wp:posOffset>200660</wp:posOffset>
            </wp:positionV>
            <wp:extent cx="3072130" cy="6985"/>
            <wp:wrapNone/>
            <wp:docPr id="648" name="Picture 6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8"/>
                    <pic:cNvPicPr>
                      <a:picLocks noChangeAspect="1" noChangeArrowheads="1"/>
                    </pic:cNvPicPr>
                  </pic:nvPicPr>
                  <pic:blipFill>
                    <a:blip r:embed="rId685">
                      <a:extLst>
                        <a:ext uri="{28A0092B-C50C-407E-A947-70E740481C1C}"/>
                      </a:extLst>
                    </a:blip>
                    <a:srcRect/>
                    <a:stretch>
                      <a:fillRect/>
                    </a:stretch>
                  </pic:blipFill>
                  <pic:spPr bwMode="auto">
                    <a:xfrm>
                      <a:off x="0" y="0"/>
                      <a:ext cx="3072130" cy="6985"/>
                    </a:xfrm>
                    <a:prstGeom prst="rect">
                      <a:avLst/>
                    </a:prstGeom>
                    <a:noFill/>
                  </pic:spPr>
                </pic:pic>
              </a:graphicData>
            </a:graphic>
          </wp:anchor>
        </w:drawing>
      </w:r>
    </w:p>
    <w:p>
      <w:pPr>
        <w:spacing w:after="0" w:line="394" w:lineRule="exact"/>
        <w:rPr>
          <w:sz w:val="20"/>
          <w:szCs w:val="20"/>
          <w:color w:val="auto"/>
        </w:rPr>
      </w:pPr>
    </w:p>
    <w:p>
      <w:pPr>
        <w:ind w:left="560"/>
        <w:spacing w:after="0"/>
        <w:rPr>
          <w:sz w:val="20"/>
          <w:szCs w:val="20"/>
          <w:color w:val="auto"/>
        </w:rPr>
      </w:pPr>
      <w:r>
        <w:rPr>
          <w:rFonts w:ascii="Arial" w:cs="Arial" w:eastAsia="Arial" w:hAnsi="Arial"/>
          <w:sz w:val="15"/>
          <w:szCs w:val="15"/>
          <w:b w:val="1"/>
          <w:bCs w:val="1"/>
          <w:color w:val="auto"/>
        </w:rPr>
        <w:t>Total Option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3825240</wp:posOffset>
            </wp:positionH>
            <wp:positionV relativeFrom="paragraph">
              <wp:posOffset>14605</wp:posOffset>
            </wp:positionV>
            <wp:extent cx="3072130" cy="6985"/>
            <wp:wrapNone/>
            <wp:docPr id="649" name="Picture 6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9"/>
                    <pic:cNvPicPr>
                      <a:picLocks noChangeAspect="1" noChangeArrowheads="1"/>
                    </pic:cNvPicPr>
                  </pic:nvPicPr>
                  <pic:blipFill>
                    <a:blip r:embed="rId686">
                      <a:extLst>
                        <a:ext uri="{28A0092B-C50C-407E-A947-70E740481C1C}"/>
                      </a:extLst>
                    </a:blip>
                    <a:srcRect/>
                    <a:stretch>
                      <a:fillRect/>
                    </a:stretch>
                  </pic:blipFill>
                  <pic:spPr bwMode="auto">
                    <a:xfrm>
                      <a:off x="0" y="0"/>
                      <a:ext cx="3072130" cy="6985"/>
                    </a:xfrm>
                    <a:prstGeom prst="rect">
                      <a:avLst/>
                    </a:prstGeom>
                    <a:noFill/>
                  </pic:spPr>
                </pic:pic>
              </a:graphicData>
            </a:graphic>
          </wp:anchor>
        </w:drawing>
      </w:r>
    </w:p>
    <w:p>
      <w:pPr>
        <w:spacing w:after="0" w:line="101" w:lineRule="exact"/>
        <w:rPr>
          <w:sz w:val="20"/>
          <w:szCs w:val="20"/>
          <w:color w:val="auto"/>
        </w:rPr>
      </w:pPr>
    </w:p>
    <w:p>
      <w:pPr>
        <w:ind w:left="560"/>
        <w:spacing w:after="0"/>
        <w:tabs>
          <w:tab w:leader="none" w:pos="6000" w:val="left"/>
        </w:tabs>
        <w:rPr>
          <w:sz w:val="20"/>
          <w:szCs w:val="20"/>
          <w:color w:val="auto"/>
        </w:rPr>
      </w:pPr>
      <w:r>
        <w:rPr>
          <w:rFonts w:ascii="Arial" w:cs="Arial" w:eastAsia="Arial" w:hAnsi="Arial"/>
          <w:sz w:val="15"/>
          <w:szCs w:val="15"/>
          <w:b w:val="1"/>
          <w:bCs w:val="1"/>
          <w:color w:val="auto"/>
        </w:rPr>
        <w:t>Exercise Price Per Share:</w:t>
      </w:r>
      <w:r>
        <w:rPr>
          <w:sz w:val="20"/>
          <w:szCs w:val="20"/>
          <w:color w:val="auto"/>
        </w:rPr>
        <w:tab/>
      </w:r>
      <w:r>
        <w:rPr>
          <w:rFonts w:ascii="Arial" w:cs="Arial" w:eastAsia="Arial" w:hAnsi="Arial"/>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3825240</wp:posOffset>
            </wp:positionH>
            <wp:positionV relativeFrom="paragraph">
              <wp:posOffset>14605</wp:posOffset>
            </wp:positionV>
            <wp:extent cx="3072130" cy="6985"/>
            <wp:wrapNone/>
            <wp:docPr id="650" name="Picture 6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0"/>
                    <pic:cNvPicPr>
                      <a:picLocks noChangeAspect="1" noChangeArrowheads="1"/>
                    </pic:cNvPicPr>
                  </pic:nvPicPr>
                  <pic:blipFill>
                    <a:blip r:embed="rId687">
                      <a:extLst>
                        <a:ext uri="{28A0092B-C50C-407E-A947-70E740481C1C}"/>
                      </a:extLst>
                    </a:blip>
                    <a:srcRect/>
                    <a:stretch>
                      <a:fillRect/>
                    </a:stretch>
                  </pic:blipFill>
                  <pic:spPr bwMode="auto">
                    <a:xfrm>
                      <a:off x="0" y="0"/>
                      <a:ext cx="3072130" cy="6985"/>
                    </a:xfrm>
                    <a:prstGeom prst="rect">
                      <a:avLst/>
                    </a:prstGeom>
                    <a:noFill/>
                  </pic:spPr>
                </pic:pic>
              </a:graphicData>
            </a:graphic>
          </wp:anchor>
        </w:drawing>
      </w:r>
    </w:p>
    <w:p>
      <w:pPr>
        <w:spacing w:after="0" w:line="101" w:lineRule="exact"/>
        <w:rPr>
          <w:sz w:val="20"/>
          <w:szCs w:val="20"/>
          <w:color w:val="auto"/>
        </w:rPr>
      </w:pPr>
    </w:p>
    <w:p>
      <w:pPr>
        <w:ind w:left="560"/>
        <w:spacing w:after="0"/>
        <w:rPr>
          <w:sz w:val="20"/>
          <w:szCs w:val="20"/>
          <w:color w:val="auto"/>
        </w:rPr>
      </w:pPr>
      <w:r>
        <w:rPr>
          <w:rFonts w:ascii="Arial" w:cs="Arial" w:eastAsia="Arial" w:hAnsi="Arial"/>
          <w:sz w:val="15"/>
          <w:szCs w:val="15"/>
          <w:b w:val="1"/>
          <w:bCs w:val="1"/>
          <w:color w:val="auto"/>
        </w:rPr>
        <w:t>Date of Grant: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3825240</wp:posOffset>
            </wp:positionH>
            <wp:positionV relativeFrom="paragraph">
              <wp:posOffset>14605</wp:posOffset>
            </wp:positionV>
            <wp:extent cx="3072130" cy="6985"/>
            <wp:wrapNone/>
            <wp:docPr id="651" name="Picture 6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1"/>
                    <pic:cNvPicPr>
                      <a:picLocks noChangeAspect="1" noChangeArrowheads="1"/>
                    </pic:cNvPicPr>
                  </pic:nvPicPr>
                  <pic:blipFill>
                    <a:blip r:embed="rId688">
                      <a:extLst>
                        <a:ext uri="{28A0092B-C50C-407E-A947-70E740481C1C}"/>
                      </a:extLst>
                    </a:blip>
                    <a:srcRect/>
                    <a:stretch>
                      <a:fillRect/>
                    </a:stretch>
                  </pic:blipFill>
                  <pic:spPr bwMode="auto">
                    <a:xfrm>
                      <a:off x="0" y="0"/>
                      <a:ext cx="3072130" cy="6985"/>
                    </a:xfrm>
                    <a:prstGeom prst="rect">
                      <a:avLst/>
                    </a:prstGeom>
                    <a:noFill/>
                  </pic:spPr>
                </pic:pic>
              </a:graphicData>
            </a:graphic>
          </wp:anchor>
        </w:drawing>
      </w:r>
    </w:p>
    <w:p>
      <w:pPr>
        <w:spacing w:after="0" w:line="101" w:lineRule="exact"/>
        <w:rPr>
          <w:sz w:val="20"/>
          <w:szCs w:val="20"/>
          <w:color w:val="auto"/>
        </w:rPr>
      </w:pPr>
    </w:p>
    <w:p>
      <w:pPr>
        <w:ind w:left="560"/>
        <w:spacing w:after="0"/>
        <w:rPr>
          <w:sz w:val="20"/>
          <w:szCs w:val="20"/>
          <w:color w:val="auto"/>
        </w:rPr>
      </w:pPr>
      <w:r>
        <w:rPr>
          <w:rFonts w:ascii="Arial" w:cs="Arial" w:eastAsia="Arial" w:hAnsi="Arial"/>
          <w:sz w:val="15"/>
          <w:szCs w:val="15"/>
          <w:b w:val="1"/>
          <w:bCs w:val="1"/>
          <w:color w:val="auto"/>
        </w:rPr>
        <w:t>Vesting Commencement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3825240</wp:posOffset>
            </wp:positionH>
            <wp:positionV relativeFrom="paragraph">
              <wp:posOffset>14605</wp:posOffset>
            </wp:positionV>
            <wp:extent cx="3072130" cy="6985"/>
            <wp:wrapNone/>
            <wp:docPr id="652" name="Picture 6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2"/>
                    <pic:cNvPicPr>
                      <a:picLocks noChangeAspect="1" noChangeArrowheads="1"/>
                    </pic:cNvPicPr>
                  </pic:nvPicPr>
                  <pic:blipFill>
                    <a:blip r:embed="rId689">
                      <a:extLst>
                        <a:ext uri="{28A0092B-C50C-407E-A947-70E740481C1C}"/>
                      </a:extLst>
                    </a:blip>
                    <a:srcRect/>
                    <a:stretch>
                      <a:fillRect/>
                    </a:stretch>
                  </pic:blipFill>
                  <pic:spPr bwMode="auto">
                    <a:xfrm>
                      <a:off x="0" y="0"/>
                      <a:ext cx="3072130" cy="6985"/>
                    </a:xfrm>
                    <a:prstGeom prst="rect">
                      <a:avLst/>
                    </a:prstGeom>
                    <a:noFill/>
                  </pic:spPr>
                </pic:pic>
              </a:graphicData>
            </a:graphic>
          </wp:anchor>
        </w:drawing>
      </w:r>
    </w:p>
    <w:p>
      <w:pPr>
        <w:spacing w:after="0" w:line="101" w:lineRule="exact"/>
        <w:rPr>
          <w:sz w:val="20"/>
          <w:szCs w:val="20"/>
          <w:color w:val="auto"/>
        </w:rPr>
      </w:pPr>
    </w:p>
    <w:p>
      <w:pPr>
        <w:ind w:left="560"/>
        <w:spacing w:after="0"/>
        <w:rPr>
          <w:sz w:val="20"/>
          <w:szCs w:val="20"/>
          <w:color w:val="auto"/>
        </w:rPr>
      </w:pPr>
      <w:r>
        <w:rPr>
          <w:rFonts w:ascii="Arial" w:cs="Arial" w:eastAsia="Arial" w:hAnsi="Arial"/>
          <w:sz w:val="15"/>
          <w:szCs w:val="15"/>
          <w:b w:val="1"/>
          <w:bCs w:val="1"/>
          <w:color w:val="auto"/>
        </w:rPr>
        <w:t>Expiration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3825240</wp:posOffset>
            </wp:positionH>
            <wp:positionV relativeFrom="paragraph">
              <wp:posOffset>14605</wp:posOffset>
            </wp:positionV>
            <wp:extent cx="3072130" cy="6985"/>
            <wp:wrapNone/>
            <wp:docPr id="653" name="Picture 6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3"/>
                    <pic:cNvPicPr>
                      <a:picLocks noChangeAspect="1" noChangeArrowheads="1"/>
                    </pic:cNvPicPr>
                  </pic:nvPicPr>
                  <pic:blipFill>
                    <a:blip r:embed="rId690">
                      <a:extLst>
                        <a:ext uri="{28A0092B-C50C-407E-A947-70E740481C1C}"/>
                      </a:extLst>
                    </a:blip>
                    <a:srcRect/>
                    <a:stretch>
                      <a:fillRect/>
                    </a:stretch>
                  </pic:blipFill>
                  <pic:spPr bwMode="auto">
                    <a:xfrm>
                      <a:off x="0" y="0"/>
                      <a:ext cx="3072130" cy="6985"/>
                    </a:xfrm>
                    <a:prstGeom prst="rect">
                      <a:avLst/>
                    </a:prstGeom>
                    <a:noFill/>
                  </pic:spPr>
                </pic:pic>
              </a:graphicData>
            </a:graphic>
          </wp:anchor>
        </w:drawing>
      </w:r>
    </w:p>
    <w:p>
      <w:pPr>
        <w:spacing w:after="0" w:line="15" w:lineRule="exact"/>
        <w:rPr>
          <w:sz w:val="20"/>
          <w:szCs w:val="20"/>
          <w:color w:val="auto"/>
        </w:rPr>
      </w:pPr>
    </w:p>
    <w:p>
      <w:pPr>
        <w:ind w:left="6020"/>
        <w:spacing w:after="0"/>
        <w:rPr>
          <w:sz w:val="20"/>
          <w:szCs w:val="20"/>
          <w:color w:val="auto"/>
        </w:rPr>
      </w:pPr>
      <w:r>
        <w:rPr>
          <w:rFonts w:ascii="Arial" w:cs="Arial" w:eastAsia="Arial" w:hAnsi="Arial"/>
          <w:sz w:val="15"/>
          <w:szCs w:val="15"/>
          <w:color w:val="auto"/>
        </w:rPr>
        <w:t>(unless earlier terminated under Section 5.6 of the Plan)</w:t>
      </w:r>
    </w:p>
    <w:p>
      <w:pPr>
        <w:spacing w:after="0" w:line="94" w:lineRule="exact"/>
        <w:rPr>
          <w:sz w:val="20"/>
          <w:szCs w:val="20"/>
          <w:color w:val="auto"/>
        </w:rPr>
      </w:pPr>
    </w:p>
    <w:p>
      <w:pPr>
        <w:ind w:left="560"/>
        <w:spacing w:after="0"/>
        <w:rPr>
          <w:sz w:val="20"/>
          <w:szCs w:val="20"/>
          <w:color w:val="auto"/>
        </w:rPr>
      </w:pPr>
      <w:r>
        <w:rPr>
          <w:rFonts w:ascii="Arial" w:cs="Arial" w:eastAsia="Arial" w:hAnsi="Arial"/>
          <w:sz w:val="15"/>
          <w:szCs w:val="15"/>
          <w:b w:val="1"/>
          <w:bCs w:val="1"/>
          <w:color w:val="auto"/>
        </w:rPr>
        <w:t>Type of Stock Option</w:t>
      </w:r>
    </w:p>
    <w:p>
      <w:pPr>
        <w:spacing w:after="0" w:line="18" w:lineRule="exact"/>
        <w:rPr>
          <w:sz w:val="20"/>
          <w:szCs w:val="20"/>
          <w:color w:val="auto"/>
        </w:rPr>
      </w:pPr>
    </w:p>
    <w:p>
      <w:pPr>
        <w:ind w:left="6020" w:right="3420" w:hanging="5458"/>
        <w:spacing w:after="0" w:line="191" w:lineRule="exact"/>
        <w:tabs>
          <w:tab w:leader="none" w:pos="6000" w:val="left"/>
        </w:tabs>
        <w:rPr>
          <w:sz w:val="20"/>
          <w:szCs w:val="20"/>
          <w:color w:val="auto"/>
        </w:rPr>
      </w:pPr>
      <w:r>
        <w:rPr>
          <w:rFonts w:ascii="Arial" w:cs="Arial" w:eastAsia="Arial" w:hAnsi="Arial"/>
          <w:sz w:val="15"/>
          <w:szCs w:val="15"/>
          <w:b w:val="1"/>
          <w:bCs w:val="1"/>
          <w:color w:val="auto"/>
        </w:rPr>
        <w:t>(Check one):</w:t>
      </w:r>
      <w:r>
        <w:rPr>
          <w:sz w:val="20"/>
          <w:szCs w:val="20"/>
          <w:color w:val="auto"/>
        </w:rPr>
        <w:tab/>
      </w:r>
      <w:r>
        <w:rPr>
          <w:rFonts w:ascii="MS PGothic" w:cs="MS PGothic" w:eastAsia="MS PGothic" w:hAnsi="MS PGothic"/>
          <w:sz w:val="14"/>
          <w:szCs w:val="14"/>
          <w:color w:val="auto"/>
        </w:rPr>
        <w:t xml:space="preserve">☐ </w:t>
      </w:r>
      <w:r>
        <w:rPr>
          <w:rFonts w:ascii="Arial" w:cs="Arial" w:eastAsia="Arial" w:hAnsi="Arial"/>
          <w:sz w:val="14"/>
          <w:szCs w:val="14"/>
          <w:b w:val="1"/>
          <w:bCs w:val="1"/>
          <w:color w:val="auto"/>
        </w:rPr>
        <w:t>Incentive Stock Option</w:t>
      </w:r>
      <w:r>
        <w:rPr>
          <w:rFonts w:ascii="MS PGothic" w:cs="MS PGothic" w:eastAsia="MS PGothic" w:hAnsi="MS PGothic"/>
          <w:sz w:val="14"/>
          <w:szCs w:val="14"/>
          <w:color w:val="auto"/>
        </w:rPr>
        <w:t xml:space="preserve"> ☒</w:t>
      </w:r>
      <w:r>
        <w:rPr>
          <w:rFonts w:ascii="Arial" w:cs="Arial" w:eastAsia="Arial" w:hAnsi="Arial"/>
          <w:sz w:val="14"/>
          <w:szCs w:val="14"/>
          <w:b w:val="1"/>
          <w:bCs w:val="1"/>
          <w:color w:val="auto"/>
        </w:rPr>
        <w:t xml:space="preserve"> Nonqualified Stock Option</w:t>
      </w:r>
    </w:p>
    <w:p>
      <w:pPr>
        <w:spacing w:after="0" w:line="150" w:lineRule="exact"/>
        <w:rPr>
          <w:sz w:val="20"/>
          <w:szCs w:val="20"/>
          <w:color w:val="auto"/>
        </w:rPr>
      </w:pPr>
    </w:p>
    <w:p>
      <w:pPr>
        <w:ind w:firstLine="448"/>
        <w:spacing w:after="0" w:line="261" w:lineRule="auto"/>
        <w:tabs>
          <w:tab w:leader="none" w:pos="608" w:val="left"/>
        </w:tabs>
        <w:numPr>
          <w:ilvl w:val="0"/>
          <w:numId w:val="416"/>
        </w:numPr>
        <w:rPr>
          <w:rFonts w:ascii="Arial" w:cs="Arial" w:eastAsia="Arial" w:hAnsi="Arial"/>
          <w:sz w:val="15"/>
          <w:szCs w:val="15"/>
          <w:b w:val="1"/>
          <w:bCs w:val="1"/>
          <w:color w:val="auto"/>
        </w:rPr>
      </w:pPr>
      <w:r>
        <w:rPr>
          <w:rFonts w:ascii="Arial" w:cs="Arial" w:eastAsia="Arial" w:hAnsi="Arial"/>
          <w:sz w:val="15"/>
          <w:szCs w:val="15"/>
          <w:b w:val="1"/>
          <w:bCs w:val="1"/>
          <w:u w:val="single" w:color="auto"/>
          <w:color w:val="auto"/>
        </w:rPr>
        <w:t>GRANT OF OPTION</w:t>
      </w:r>
      <w:r>
        <w:rPr>
          <w:rFonts w:ascii="Arial" w:cs="Arial" w:eastAsia="Arial" w:hAnsi="Arial"/>
          <w:sz w:val="15"/>
          <w:szCs w:val="15"/>
          <w:b w:val="1"/>
          <w:bCs w:val="1"/>
          <w:color w:val="auto"/>
        </w:rPr>
        <w:t xml:space="preserve">. </w:t>
      </w:r>
      <w:r>
        <w:rPr>
          <w:rFonts w:ascii="Arial" w:cs="Arial" w:eastAsia="Arial" w:hAnsi="Arial"/>
          <w:sz w:val="15"/>
          <w:szCs w:val="15"/>
          <w:color w:val="auto"/>
        </w:rPr>
        <w:t>The Company hereby grants to Participant an option (this “</w:t>
      </w:r>
      <w:r>
        <w:rPr>
          <w:rFonts w:ascii="Arial" w:cs="Arial" w:eastAsia="Arial" w:hAnsi="Arial"/>
          <w:sz w:val="15"/>
          <w:szCs w:val="15"/>
          <w:b w:val="1"/>
          <w:bCs w:val="1"/>
          <w:i w:val="1"/>
          <w:iCs w:val="1"/>
          <w:color w:val="auto"/>
        </w:rPr>
        <w:t>Option</w:t>
      </w:r>
      <w:r>
        <w:rPr>
          <w:rFonts w:ascii="Arial" w:cs="Arial" w:eastAsia="Arial" w:hAnsi="Arial"/>
          <w:sz w:val="15"/>
          <w:szCs w:val="15"/>
          <w:color w:val="auto"/>
        </w:rPr>
        <w:t>”) to purchase the total number of shares of Common Stock of the Company set forth</w:t>
      </w:r>
      <w:r>
        <w:rPr>
          <w:rFonts w:ascii="Arial" w:cs="Arial" w:eastAsia="Arial" w:hAnsi="Arial"/>
          <w:sz w:val="15"/>
          <w:szCs w:val="15"/>
          <w:b w:val="1"/>
          <w:bCs w:val="1"/>
          <w:color w:val="auto"/>
        </w:rPr>
        <w:t xml:space="preserve"> </w:t>
      </w:r>
      <w:r>
        <w:rPr>
          <w:rFonts w:ascii="Arial" w:cs="Arial" w:eastAsia="Arial" w:hAnsi="Arial"/>
          <w:sz w:val="15"/>
          <w:szCs w:val="15"/>
          <w:color w:val="auto"/>
        </w:rPr>
        <w:t>above as Total Option Shares (the “</w:t>
      </w:r>
      <w:r>
        <w:rPr>
          <w:rFonts w:ascii="Arial" w:cs="Arial" w:eastAsia="Arial" w:hAnsi="Arial"/>
          <w:sz w:val="15"/>
          <w:szCs w:val="15"/>
          <w:b w:val="1"/>
          <w:bCs w:val="1"/>
          <w:i w:val="1"/>
          <w:iCs w:val="1"/>
          <w:color w:val="auto"/>
        </w:rPr>
        <w:t>Shares</w:t>
      </w:r>
      <w:r>
        <w:rPr>
          <w:rFonts w:ascii="Arial" w:cs="Arial" w:eastAsia="Arial" w:hAnsi="Arial"/>
          <w:sz w:val="15"/>
          <w:szCs w:val="15"/>
          <w:color w:val="auto"/>
        </w:rPr>
        <w:t>”) at the Exercise Price Per Share set forth above (the “</w:t>
      </w:r>
      <w:r>
        <w:rPr>
          <w:rFonts w:ascii="Arial" w:cs="Arial" w:eastAsia="Arial" w:hAnsi="Arial"/>
          <w:sz w:val="15"/>
          <w:szCs w:val="15"/>
          <w:b w:val="1"/>
          <w:bCs w:val="1"/>
          <w:i w:val="1"/>
          <w:iCs w:val="1"/>
          <w:color w:val="auto"/>
        </w:rPr>
        <w:t>Exercise Price”),</w:t>
      </w:r>
      <w:r>
        <w:rPr>
          <w:rFonts w:ascii="Arial" w:cs="Arial" w:eastAsia="Arial" w:hAnsi="Arial"/>
          <w:sz w:val="15"/>
          <w:szCs w:val="15"/>
          <w:color w:val="auto"/>
        </w:rPr>
        <w:t xml:space="preserve"> subject to all of the terms and conditions of this Agreement and the Plan. If designated as an Incentive Stock Option above, the Option is intended to qualify as an “incentive stock option” (the “</w:t>
      </w:r>
      <w:r>
        <w:rPr>
          <w:rFonts w:ascii="Arial" w:cs="Arial" w:eastAsia="Arial" w:hAnsi="Arial"/>
          <w:sz w:val="15"/>
          <w:szCs w:val="15"/>
          <w:b w:val="1"/>
          <w:bCs w:val="1"/>
          <w:i w:val="1"/>
          <w:iCs w:val="1"/>
          <w:color w:val="auto"/>
        </w:rPr>
        <w:t>ISO</w:t>
      </w:r>
      <w:r>
        <w:rPr>
          <w:rFonts w:ascii="Arial" w:cs="Arial" w:eastAsia="Arial" w:hAnsi="Arial"/>
          <w:sz w:val="15"/>
          <w:szCs w:val="15"/>
          <w:color w:val="auto"/>
        </w:rPr>
        <w:t>”) within the meaning of Section 422 of the Internal Revenue Code of 1986, as amended (the “</w:t>
      </w:r>
      <w:r>
        <w:rPr>
          <w:rFonts w:ascii="Arial" w:cs="Arial" w:eastAsia="Arial" w:hAnsi="Arial"/>
          <w:sz w:val="15"/>
          <w:szCs w:val="15"/>
          <w:b w:val="1"/>
          <w:bCs w:val="1"/>
          <w:i w:val="1"/>
          <w:iCs w:val="1"/>
          <w:color w:val="auto"/>
        </w:rPr>
        <w:t>Code</w:t>
      </w:r>
      <w:r>
        <w:rPr>
          <w:rFonts w:ascii="Arial" w:cs="Arial" w:eastAsia="Arial" w:hAnsi="Arial"/>
          <w:sz w:val="15"/>
          <w:szCs w:val="15"/>
          <w:color w:val="auto"/>
        </w:rPr>
        <w:t>”).</w:t>
      </w:r>
    </w:p>
    <w:p>
      <w:pPr>
        <w:spacing w:after="0" w:line="242" w:lineRule="exact"/>
        <w:rPr>
          <w:rFonts w:ascii="Arial" w:cs="Arial" w:eastAsia="Arial" w:hAnsi="Arial"/>
          <w:sz w:val="15"/>
          <w:szCs w:val="15"/>
          <w:b w:val="1"/>
          <w:bCs w:val="1"/>
          <w:color w:val="auto"/>
        </w:rPr>
      </w:pPr>
    </w:p>
    <w:p>
      <w:pPr>
        <w:ind w:left="600" w:hanging="152"/>
        <w:spacing w:after="0"/>
        <w:tabs>
          <w:tab w:leader="none" w:pos="600" w:val="left"/>
        </w:tabs>
        <w:numPr>
          <w:ilvl w:val="0"/>
          <w:numId w:val="416"/>
        </w:numPr>
        <w:rPr>
          <w:rFonts w:ascii="Arial" w:cs="Arial" w:eastAsia="Arial" w:hAnsi="Arial"/>
          <w:sz w:val="15"/>
          <w:szCs w:val="15"/>
          <w:b w:val="1"/>
          <w:bCs w:val="1"/>
          <w:color w:val="auto"/>
        </w:rPr>
      </w:pPr>
      <w:r>
        <w:rPr>
          <w:rFonts w:ascii="Arial" w:cs="Arial" w:eastAsia="Arial" w:hAnsi="Arial"/>
          <w:sz w:val="15"/>
          <w:szCs w:val="15"/>
          <w:b w:val="1"/>
          <w:bCs w:val="1"/>
          <w:u w:val="single" w:color="auto"/>
          <w:color w:val="auto"/>
        </w:rPr>
        <w:t>EXERCISE PERIOD</w:t>
      </w:r>
      <w:r>
        <w:rPr>
          <w:rFonts w:ascii="Arial" w:cs="Arial" w:eastAsia="Arial" w:hAnsi="Arial"/>
          <w:sz w:val="15"/>
          <w:szCs w:val="15"/>
          <w:b w:val="1"/>
          <w:bCs w:val="1"/>
          <w:color w:val="auto"/>
        </w:rPr>
        <w:t>.</w:t>
      </w:r>
    </w:p>
    <w:p>
      <w:pPr>
        <w:spacing w:after="0" w:line="98" w:lineRule="exact"/>
        <w:rPr>
          <w:sz w:val="20"/>
          <w:szCs w:val="20"/>
          <w:color w:val="auto"/>
        </w:rPr>
      </w:pPr>
    </w:p>
    <w:p>
      <w:pPr>
        <w:ind w:right="300" w:firstLine="916"/>
        <w:spacing w:after="0" w:line="361" w:lineRule="auto"/>
        <w:rPr>
          <w:sz w:val="20"/>
          <w:szCs w:val="20"/>
          <w:color w:val="auto"/>
        </w:rPr>
      </w:pPr>
      <w:r>
        <w:rPr>
          <w:rFonts w:ascii="Arial" w:cs="Arial" w:eastAsia="Arial" w:hAnsi="Arial"/>
          <w:sz w:val="13"/>
          <w:szCs w:val="13"/>
          <w:b w:val="1"/>
          <w:bCs w:val="1"/>
          <w:color w:val="auto"/>
        </w:rPr>
        <w:t xml:space="preserve">2.1 Exercise Period of Option. </w:t>
      </w:r>
      <w:r>
        <w:rPr>
          <w:rFonts w:ascii="Arial" w:cs="Arial" w:eastAsia="Arial" w:hAnsi="Arial"/>
          <w:sz w:val="13"/>
          <w:szCs w:val="13"/>
          <w:color w:val="auto"/>
        </w:rPr>
        <w:t>Provided Participant continues to provide services to the Company or any Subsidiary or Parent of the Company, the Option will become</w:t>
      </w:r>
      <w:r>
        <w:rPr>
          <w:rFonts w:ascii="Arial" w:cs="Arial" w:eastAsia="Arial" w:hAnsi="Arial"/>
          <w:sz w:val="13"/>
          <w:szCs w:val="13"/>
          <w:b w:val="1"/>
          <w:bCs w:val="1"/>
          <w:color w:val="auto"/>
        </w:rPr>
        <w:t xml:space="preserve"> </w:t>
      </w:r>
      <w:r>
        <w:rPr>
          <w:rFonts w:ascii="Arial" w:cs="Arial" w:eastAsia="Arial" w:hAnsi="Arial"/>
          <w:sz w:val="13"/>
          <w:szCs w:val="13"/>
          <w:color w:val="auto"/>
        </w:rPr>
        <w:t>vested and exercisable as to portions of the Shares as follows: Twenty-five percent (25%) of the Shares subject to this Option shall vest on the one (1) year anniversary of the Vesting</w:t>
      </w:r>
    </w:p>
    <w:p>
      <w:pPr>
        <w:spacing w:after="0" w:line="39" w:lineRule="exact"/>
        <w:rPr>
          <w:sz w:val="20"/>
          <w:szCs w:val="20"/>
          <w:color w:val="auto"/>
        </w:rPr>
      </w:pPr>
    </w:p>
    <w:p>
      <w:pPr>
        <w:jc w:val="center"/>
        <w:ind w:right="-79"/>
        <w:spacing w:after="0"/>
        <w:rPr>
          <w:sz w:val="20"/>
          <w:szCs w:val="20"/>
          <w:color w:val="auto"/>
        </w:rPr>
      </w:pPr>
      <w:r>
        <w:rPr>
          <w:rFonts w:ascii="Arial" w:cs="Arial" w:eastAsia="Arial" w:hAnsi="Arial"/>
          <w:sz w:val="15"/>
          <w:szCs w:val="15"/>
          <w:color w:val="auto"/>
        </w:rPr>
        <w:t>1</w:t>
      </w:r>
    </w:p>
    <w:p>
      <w:pPr>
        <w:sectPr>
          <w:pgSz w:w="11900" w:h="16838" w:orient="portrait"/>
          <w:cols w:equalWidth="0" w:num="1">
            <w:col w:w="11340"/>
          </w:cols>
          <w:pgMar w:left="240" w:top="249" w:right="319" w:bottom="1440" w:gutter="0" w:footer="0" w:header="0"/>
        </w:sectPr>
      </w:pPr>
    </w:p>
    <w:bookmarkStart w:id="453" w:name="page454"/>
    <w:bookmarkEnd w:id="453"/>
    <w:p>
      <w:pPr>
        <w:spacing w:after="0" w:line="257"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133350</wp:posOffset>
            </wp:positionH>
            <wp:positionV relativeFrom="page">
              <wp:posOffset>88900</wp:posOffset>
            </wp:positionV>
            <wp:extent cx="7308850" cy="34290"/>
            <wp:wrapNone/>
            <wp:docPr id="654" name="Picture 6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4"/>
                    <pic:cNvPicPr>
                      <a:picLocks noChangeAspect="1" noChangeArrowheads="1"/>
                    </pic:cNvPicPr>
                  </pic:nvPicPr>
                  <pic:blipFill>
                    <a:blip r:embed="rId691">
                      <a:extLst>
                        <a:ext uri="{28A0092B-C50C-407E-A947-70E740481C1C}"/>
                      </a:extLst>
                    </a:blip>
                    <a:srcRect/>
                    <a:stretch>
                      <a:fillRect/>
                    </a:stretch>
                  </pic:blipFill>
                  <pic:spPr bwMode="auto">
                    <a:xfrm>
                      <a:off x="0" y="0"/>
                      <a:ext cx="7308850" cy="34290"/>
                    </a:xfrm>
                    <a:prstGeom prst="rect">
                      <a:avLst/>
                    </a:prstGeom>
                    <a:noFill/>
                  </pic:spPr>
                </pic:pic>
              </a:graphicData>
            </a:graphic>
          </wp:anchor>
        </w:drawing>
        <w:t xml:space="preserve">Commencement Date set forth on the first page of this Agreement (the </w:t>
      </w:r>
      <w:r>
        <w:rPr>
          <w:rFonts w:ascii="Arial" w:cs="Arial" w:eastAsia="Arial" w:hAnsi="Arial"/>
          <w:sz w:val="15"/>
          <w:szCs w:val="15"/>
          <w:b w:val="1"/>
          <w:bCs w:val="1"/>
          <w:i w:val="1"/>
          <w:iCs w:val="1"/>
          <w:color w:val="auto"/>
        </w:rPr>
        <w:t>“Vesting Commencement Date”)</w:t>
      </w:r>
      <w:r>
        <w:rPr>
          <w:rFonts w:ascii="Arial" w:cs="Arial" w:eastAsia="Arial" w:hAnsi="Arial"/>
          <w:sz w:val="15"/>
          <w:szCs w:val="15"/>
          <w:color w:val="auto"/>
        </w:rPr>
        <w:t xml:space="preserve"> and an additional one forty-eighth (1/48</w:t>
      </w:r>
      <w:r>
        <w:rPr>
          <w:rFonts w:ascii="Arial" w:cs="Arial" w:eastAsia="Arial" w:hAnsi="Arial"/>
          <w:sz w:val="12"/>
          <w:szCs w:val="12"/>
          <w:color w:val="auto"/>
        </w:rPr>
        <w:t>th</w:t>
      </w:r>
      <w:r>
        <w:rPr>
          <w:rFonts w:ascii="Arial" w:cs="Arial" w:eastAsia="Arial" w:hAnsi="Arial"/>
          <w:sz w:val="15"/>
          <w:szCs w:val="15"/>
          <w:color w:val="auto"/>
        </w:rPr>
        <w:t>) of the Shares subject to this Option shall vest each month thereafter on the corresponding day of the month as the Vesting Commencement Date (or if there is no such day in any month, then the last day of such calendar month), until the Shares are vested with respect to one hundred percent (100%) of the Shares. Participant agrees and acknowledges that the vesting schedule set forth in this Section 2.1 may change prospectively in the event that Participant’s service status changes between full and part time status in accordance with Company policies relating to work schedules and vesting of equity awards.</w:t>
      </w:r>
    </w:p>
    <w:p>
      <w:pPr>
        <w:spacing w:after="0" w:line="65" w:lineRule="exact"/>
        <w:rPr>
          <w:sz w:val="20"/>
          <w:szCs w:val="20"/>
          <w:color w:val="auto"/>
        </w:rPr>
      </w:pPr>
    </w:p>
    <w:p>
      <w:pPr>
        <w:ind w:right="220" w:firstLine="916"/>
        <w:spacing w:after="0" w:line="280" w:lineRule="auto"/>
        <w:rPr>
          <w:sz w:val="20"/>
          <w:szCs w:val="20"/>
          <w:color w:val="auto"/>
        </w:rPr>
      </w:pPr>
      <w:r>
        <w:rPr>
          <w:rFonts w:ascii="Arial" w:cs="Arial" w:eastAsia="Arial" w:hAnsi="Arial"/>
          <w:sz w:val="15"/>
          <w:szCs w:val="15"/>
          <w:b w:val="1"/>
          <w:bCs w:val="1"/>
          <w:color w:val="auto"/>
        </w:rPr>
        <w:t xml:space="preserve">2.2 </w:t>
      </w:r>
      <w:r>
        <w:rPr>
          <w:rFonts w:ascii="Arial" w:cs="Arial" w:eastAsia="Arial" w:hAnsi="Arial"/>
          <w:sz w:val="15"/>
          <w:szCs w:val="15"/>
          <w:b w:val="1"/>
          <w:bCs w:val="1"/>
          <w:u w:val="single" w:color="auto"/>
          <w:color w:val="auto"/>
        </w:rPr>
        <w:t>Vesting of Options</w:t>
      </w:r>
      <w:r>
        <w:rPr>
          <w:rFonts w:ascii="Arial" w:cs="Arial" w:eastAsia="Arial" w:hAnsi="Arial"/>
          <w:sz w:val="15"/>
          <w:szCs w:val="15"/>
          <w:b w:val="1"/>
          <w:bCs w:val="1"/>
          <w:color w:val="auto"/>
        </w:rPr>
        <w:t xml:space="preserve">. </w:t>
      </w:r>
      <w:r>
        <w:rPr>
          <w:rFonts w:ascii="Arial" w:cs="Arial" w:eastAsia="Arial" w:hAnsi="Arial"/>
          <w:sz w:val="15"/>
          <w:szCs w:val="15"/>
          <w:color w:val="auto"/>
        </w:rPr>
        <w:t>Shares that are vested pursuant to the schedule set forth in Section 2.1 are “</w:t>
      </w:r>
      <w:r>
        <w:rPr>
          <w:rFonts w:ascii="Arial" w:cs="Arial" w:eastAsia="Arial" w:hAnsi="Arial"/>
          <w:sz w:val="15"/>
          <w:szCs w:val="15"/>
          <w:b w:val="1"/>
          <w:bCs w:val="1"/>
          <w:i w:val="1"/>
          <w:iCs w:val="1"/>
          <w:color w:val="auto"/>
        </w:rPr>
        <w:t>Vested Shares.</w:t>
      </w:r>
      <w:r>
        <w:rPr>
          <w:rFonts w:ascii="Arial" w:cs="Arial" w:eastAsia="Arial" w:hAnsi="Arial"/>
          <w:sz w:val="15"/>
          <w:szCs w:val="15"/>
          <w:color w:val="auto"/>
        </w:rPr>
        <w:t>” Shares that are not vested pursuant to the schedule set</w:t>
      </w:r>
      <w:r>
        <w:rPr>
          <w:rFonts w:ascii="Arial" w:cs="Arial" w:eastAsia="Arial" w:hAnsi="Arial"/>
          <w:sz w:val="15"/>
          <w:szCs w:val="15"/>
          <w:b w:val="1"/>
          <w:bCs w:val="1"/>
          <w:color w:val="auto"/>
        </w:rPr>
        <w:t xml:space="preserve"> </w:t>
      </w:r>
      <w:r>
        <w:rPr>
          <w:rFonts w:ascii="Arial" w:cs="Arial" w:eastAsia="Arial" w:hAnsi="Arial"/>
          <w:sz w:val="15"/>
          <w:szCs w:val="15"/>
          <w:color w:val="auto"/>
        </w:rPr>
        <w:t>forth in Section 2.1 are “</w:t>
      </w:r>
      <w:r>
        <w:rPr>
          <w:rFonts w:ascii="Arial" w:cs="Arial" w:eastAsia="Arial" w:hAnsi="Arial"/>
          <w:sz w:val="15"/>
          <w:szCs w:val="15"/>
          <w:b w:val="1"/>
          <w:bCs w:val="1"/>
          <w:i w:val="1"/>
          <w:iCs w:val="1"/>
          <w:color w:val="auto"/>
        </w:rPr>
        <w:t>Unvested Shares.</w:t>
      </w:r>
      <w:r>
        <w:rPr>
          <w:rFonts w:ascii="Arial" w:cs="Arial" w:eastAsia="Arial" w:hAnsi="Arial"/>
          <w:sz w:val="15"/>
          <w:szCs w:val="15"/>
          <w:color w:val="auto"/>
        </w:rPr>
        <w:t>”</w:t>
      </w:r>
    </w:p>
    <w:p>
      <w:pPr>
        <w:spacing w:after="0" w:line="49"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 xml:space="preserve">2.3 </w:t>
      </w:r>
      <w:r>
        <w:rPr>
          <w:rFonts w:ascii="Arial" w:cs="Arial" w:eastAsia="Arial" w:hAnsi="Arial"/>
          <w:sz w:val="15"/>
          <w:szCs w:val="15"/>
          <w:b w:val="1"/>
          <w:bCs w:val="1"/>
          <w:u w:val="single" w:color="auto"/>
          <w:color w:val="auto"/>
        </w:rPr>
        <w:t>Expiration</w:t>
      </w:r>
      <w:r>
        <w:rPr>
          <w:rFonts w:ascii="Arial" w:cs="Arial" w:eastAsia="Arial" w:hAnsi="Arial"/>
          <w:sz w:val="15"/>
          <w:szCs w:val="15"/>
          <w:b w:val="1"/>
          <w:bCs w:val="1"/>
          <w:color w:val="auto"/>
        </w:rPr>
        <w:t xml:space="preserve">. </w:t>
      </w:r>
      <w:r>
        <w:rPr>
          <w:rFonts w:ascii="Arial" w:cs="Arial" w:eastAsia="Arial" w:hAnsi="Arial"/>
          <w:sz w:val="15"/>
          <w:szCs w:val="15"/>
          <w:color w:val="auto"/>
        </w:rPr>
        <w:t>The Option shall expire on the Expiration Date set forth above or earlier as provided in Section 3 below or pursuant to Section 5.6 of the Plan.</w:t>
      </w:r>
    </w:p>
    <w:p>
      <w:pPr>
        <w:spacing w:after="0" w:line="279" w:lineRule="exact"/>
        <w:rPr>
          <w:sz w:val="20"/>
          <w:szCs w:val="20"/>
          <w:color w:val="auto"/>
        </w:rPr>
      </w:pPr>
    </w:p>
    <w:p>
      <w:pPr>
        <w:ind w:left="600" w:hanging="152"/>
        <w:spacing w:after="0"/>
        <w:tabs>
          <w:tab w:leader="none" w:pos="600" w:val="left"/>
        </w:tabs>
        <w:numPr>
          <w:ilvl w:val="0"/>
          <w:numId w:val="417"/>
        </w:numPr>
        <w:rPr>
          <w:rFonts w:ascii="Arial" w:cs="Arial" w:eastAsia="Arial" w:hAnsi="Arial"/>
          <w:sz w:val="15"/>
          <w:szCs w:val="15"/>
          <w:b w:val="1"/>
          <w:bCs w:val="1"/>
          <w:color w:val="auto"/>
        </w:rPr>
      </w:pPr>
      <w:r>
        <w:rPr>
          <w:rFonts w:ascii="Arial" w:cs="Arial" w:eastAsia="Arial" w:hAnsi="Arial"/>
          <w:sz w:val="15"/>
          <w:szCs w:val="15"/>
          <w:b w:val="1"/>
          <w:bCs w:val="1"/>
          <w:u w:val="single" w:color="auto"/>
          <w:color w:val="auto"/>
        </w:rPr>
        <w:t>TERMINATION</w:t>
      </w:r>
      <w:r>
        <w:rPr>
          <w:rFonts w:ascii="Arial" w:cs="Arial" w:eastAsia="Arial" w:hAnsi="Arial"/>
          <w:sz w:val="15"/>
          <w:szCs w:val="15"/>
          <w:b w:val="1"/>
          <w:bCs w:val="1"/>
          <w:color w:val="auto"/>
        </w:rPr>
        <w:t>.</w:t>
      </w:r>
    </w:p>
    <w:p>
      <w:pPr>
        <w:spacing w:after="0" w:line="98" w:lineRule="exact"/>
        <w:rPr>
          <w:sz w:val="20"/>
          <w:szCs w:val="20"/>
          <w:color w:val="auto"/>
        </w:rPr>
      </w:pPr>
    </w:p>
    <w:p>
      <w:pPr>
        <w:ind w:firstLine="916"/>
        <w:spacing w:after="0" w:line="261" w:lineRule="auto"/>
        <w:rPr>
          <w:sz w:val="20"/>
          <w:szCs w:val="20"/>
          <w:color w:val="auto"/>
        </w:rPr>
      </w:pPr>
      <w:r>
        <w:rPr>
          <w:rFonts w:ascii="Arial" w:cs="Arial" w:eastAsia="Arial" w:hAnsi="Arial"/>
          <w:sz w:val="15"/>
          <w:szCs w:val="15"/>
          <w:b w:val="1"/>
          <w:bCs w:val="1"/>
          <w:color w:val="auto"/>
        </w:rPr>
        <w:t xml:space="preserve">3.1 </w:t>
      </w:r>
      <w:r>
        <w:rPr>
          <w:rFonts w:ascii="Arial" w:cs="Arial" w:eastAsia="Arial" w:hAnsi="Arial"/>
          <w:sz w:val="15"/>
          <w:szCs w:val="15"/>
          <w:b w:val="1"/>
          <w:bCs w:val="1"/>
          <w:u w:val="single" w:color="auto"/>
          <w:color w:val="auto"/>
        </w:rPr>
        <w:t>Termination for Any Reason Except Death, Disability or Cause</w:t>
      </w:r>
      <w:r>
        <w:rPr>
          <w:rFonts w:ascii="Arial" w:cs="Arial" w:eastAsia="Arial" w:hAnsi="Arial"/>
          <w:sz w:val="15"/>
          <w:szCs w:val="15"/>
          <w:b w:val="1"/>
          <w:bCs w:val="1"/>
          <w:color w:val="auto"/>
        </w:rPr>
        <w:t xml:space="preserve">. </w:t>
      </w:r>
      <w:r>
        <w:rPr>
          <w:rFonts w:ascii="Arial" w:cs="Arial" w:eastAsia="Arial" w:hAnsi="Arial"/>
          <w:sz w:val="15"/>
          <w:szCs w:val="15"/>
          <w:color w:val="auto"/>
        </w:rPr>
        <w:t>If Participant is Terminated for any reason, except death, Disability or for Cause, then (a) on and after</w:t>
      </w:r>
      <w:r>
        <w:rPr>
          <w:rFonts w:ascii="Arial" w:cs="Arial" w:eastAsia="Arial" w:hAnsi="Arial"/>
          <w:sz w:val="15"/>
          <w:szCs w:val="15"/>
          <w:b w:val="1"/>
          <w:bCs w:val="1"/>
          <w:color w:val="auto"/>
        </w:rPr>
        <w:t xml:space="preserve"> </w:t>
      </w:r>
      <w:r>
        <w:rPr>
          <w:rFonts w:ascii="Arial" w:cs="Arial" w:eastAsia="Arial" w:hAnsi="Arial"/>
          <w:sz w:val="15"/>
          <w:szCs w:val="15"/>
          <w:color w:val="auto"/>
        </w:rPr>
        <w:t>Participant’s Termination Date, the Option shall expire immediately with respect to any Shares that are Unvested Shares and (b) the Option, to the extent (and only to the extent) that it is exercisable with respect to Vested Shares on Participant’s Termination Date, may be exercised by Participant no later than three (3) months after the Termination Date, but in any event no later than the Expiration Date.</w:t>
      </w:r>
    </w:p>
    <w:p>
      <w:pPr>
        <w:spacing w:after="0" w:line="62" w:lineRule="exact"/>
        <w:rPr>
          <w:sz w:val="20"/>
          <w:szCs w:val="20"/>
          <w:color w:val="auto"/>
        </w:rPr>
      </w:pPr>
    </w:p>
    <w:p>
      <w:pPr>
        <w:ind w:right="100" w:firstLine="916"/>
        <w:spacing w:after="0" w:line="256" w:lineRule="auto"/>
        <w:rPr>
          <w:sz w:val="20"/>
          <w:szCs w:val="20"/>
          <w:color w:val="auto"/>
        </w:rPr>
      </w:pPr>
      <w:r>
        <w:rPr>
          <w:rFonts w:ascii="Arial" w:cs="Arial" w:eastAsia="Arial" w:hAnsi="Arial"/>
          <w:sz w:val="15"/>
          <w:szCs w:val="15"/>
          <w:b w:val="1"/>
          <w:bCs w:val="1"/>
          <w:color w:val="auto"/>
        </w:rPr>
        <w:t xml:space="preserve">3.2 </w:t>
      </w:r>
      <w:r>
        <w:rPr>
          <w:rFonts w:ascii="Arial" w:cs="Arial" w:eastAsia="Arial" w:hAnsi="Arial"/>
          <w:sz w:val="15"/>
          <w:szCs w:val="15"/>
          <w:b w:val="1"/>
          <w:bCs w:val="1"/>
          <w:u w:val="single" w:color="auto"/>
          <w:color w:val="auto"/>
        </w:rPr>
        <w:t>Termination Because of Death or Disability</w:t>
      </w:r>
      <w:r>
        <w:rPr>
          <w:rFonts w:ascii="Arial" w:cs="Arial" w:eastAsia="Arial" w:hAnsi="Arial"/>
          <w:sz w:val="15"/>
          <w:szCs w:val="15"/>
          <w:b w:val="1"/>
          <w:bCs w:val="1"/>
          <w:color w:val="auto"/>
        </w:rPr>
        <w:t xml:space="preserve">. </w:t>
      </w:r>
      <w:r>
        <w:rPr>
          <w:rFonts w:ascii="Arial" w:cs="Arial" w:eastAsia="Arial" w:hAnsi="Arial"/>
          <w:sz w:val="15"/>
          <w:szCs w:val="15"/>
          <w:color w:val="auto"/>
        </w:rPr>
        <w:t>If Participant is Terminated because of death or Disability of Participant (or Participant dies within three (3) months of</w:t>
      </w:r>
      <w:r>
        <w:rPr>
          <w:rFonts w:ascii="Arial" w:cs="Arial" w:eastAsia="Arial" w:hAnsi="Arial"/>
          <w:sz w:val="15"/>
          <w:szCs w:val="15"/>
          <w:b w:val="1"/>
          <w:bCs w:val="1"/>
          <w:color w:val="auto"/>
        </w:rPr>
        <w:t xml:space="preserve"> </w:t>
      </w:r>
      <w:r>
        <w:rPr>
          <w:rFonts w:ascii="Arial" w:cs="Arial" w:eastAsia="Arial" w:hAnsi="Arial"/>
          <w:sz w:val="15"/>
          <w:szCs w:val="15"/>
          <w:color w:val="auto"/>
        </w:rPr>
        <w:t>Termination when Termination is for any reason other than Participant’s Disability or for Cause) then (a) on and after Participant’s Termination Date, the Option shall expire immediately with respect to any Shares that are Unvested Shares and (b) the Option, to the extent that it is exercisable with respect to Vested Shares by Participant on the Termination Date, may be exercised by Participant (or Participant’s legal representative) no later than twelve (12) months after the Termination Date, but in any event no later than the Expiration Date. Any exercise beyond (i) three (3) months after the date Participant ceases to be an employee when the Termination is for any reason other than the Participant’s death or disability, within the meaning of Section 22(e)(3) of the Code; or (ii) twelve (12) months after the date Participant ceases to be an employee when the termination is for Participant’s disability, within the meaning of Section 22(e)(3) of the Code, is deemed to be an NQSO.</w:t>
      </w:r>
    </w:p>
    <w:p>
      <w:pPr>
        <w:spacing w:after="0" w:line="66" w:lineRule="exact"/>
        <w:rPr>
          <w:sz w:val="20"/>
          <w:szCs w:val="20"/>
          <w:color w:val="auto"/>
        </w:rPr>
      </w:pPr>
    </w:p>
    <w:p>
      <w:pPr>
        <w:jc w:val="both"/>
        <w:ind w:right="40" w:firstLine="916"/>
        <w:spacing w:after="0" w:line="325" w:lineRule="auto"/>
        <w:rPr>
          <w:sz w:val="20"/>
          <w:szCs w:val="20"/>
          <w:color w:val="auto"/>
        </w:rPr>
      </w:pPr>
      <w:r>
        <w:rPr>
          <w:rFonts w:ascii="Arial" w:cs="Arial" w:eastAsia="Arial" w:hAnsi="Arial"/>
          <w:sz w:val="13"/>
          <w:szCs w:val="13"/>
          <w:b w:val="1"/>
          <w:bCs w:val="1"/>
          <w:color w:val="auto"/>
        </w:rPr>
        <w:t xml:space="preserve">3.3 </w:t>
      </w:r>
      <w:r>
        <w:rPr>
          <w:rFonts w:ascii="Arial" w:cs="Arial" w:eastAsia="Arial" w:hAnsi="Arial"/>
          <w:sz w:val="13"/>
          <w:szCs w:val="13"/>
          <w:b w:val="1"/>
          <w:bCs w:val="1"/>
          <w:u w:val="single" w:color="auto"/>
          <w:color w:val="auto"/>
        </w:rPr>
        <w:t>Termination for Cause</w:t>
      </w:r>
      <w:r>
        <w:rPr>
          <w:rFonts w:ascii="Arial" w:cs="Arial" w:eastAsia="Arial" w:hAnsi="Arial"/>
          <w:sz w:val="13"/>
          <w:szCs w:val="13"/>
          <w:b w:val="1"/>
          <w:bCs w:val="1"/>
          <w:color w:val="auto"/>
        </w:rPr>
        <w:t xml:space="preserve">. </w:t>
      </w:r>
      <w:r>
        <w:rPr>
          <w:rFonts w:ascii="Arial" w:cs="Arial" w:eastAsia="Arial" w:hAnsi="Arial"/>
          <w:sz w:val="13"/>
          <w:szCs w:val="13"/>
          <w:color w:val="auto"/>
        </w:rPr>
        <w:t>If the Participant is terminated for Cause, the Participant may exercise such Participant’s Options, but not to an extent greater than such Options</w:t>
      </w:r>
      <w:r>
        <w:rPr>
          <w:rFonts w:ascii="Arial" w:cs="Arial" w:eastAsia="Arial" w:hAnsi="Arial"/>
          <w:sz w:val="13"/>
          <w:szCs w:val="13"/>
          <w:b w:val="1"/>
          <w:bCs w:val="1"/>
          <w:color w:val="auto"/>
        </w:rPr>
        <w:t xml:space="preserve"> </w:t>
      </w:r>
      <w:r>
        <w:rPr>
          <w:rFonts w:ascii="Arial" w:cs="Arial" w:eastAsia="Arial" w:hAnsi="Arial"/>
          <w:sz w:val="13"/>
          <w:szCs w:val="13"/>
          <w:color w:val="auto"/>
        </w:rPr>
        <w:t>are exercisable as to Vested Shares upon the Termination Date and Participant’s Options shall expire on such Participant’s Termination Date, or at such later time and on such conditions as are determined by the Committee. On and after Participant’s Termination Date, the Option shall expire immediately with respect to any Shares that are Unvested Shares.</w:t>
      </w:r>
    </w:p>
    <w:p>
      <w:pPr>
        <w:spacing w:after="0" w:line="62"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2</w:t>
      </w:r>
    </w:p>
    <w:p>
      <w:pPr>
        <w:sectPr>
          <w:pgSz w:w="11900" w:h="16838" w:orient="portrait"/>
          <w:cols w:equalWidth="0" w:num="1">
            <w:col w:w="11360"/>
          </w:cols>
          <w:pgMar w:left="240" w:top="253" w:right="299" w:bottom="1440" w:gutter="0" w:footer="0" w:header="0"/>
        </w:sectPr>
      </w:pPr>
    </w:p>
    <w:bookmarkStart w:id="454" w:name="page455"/>
    <w:bookmarkEnd w:id="454"/>
    <w:p>
      <w:pPr>
        <w:ind w:left="10" w:right="200" w:firstLine="916"/>
        <w:spacing w:after="0" w:line="266" w:lineRule="auto"/>
        <w:rPr>
          <w:sz w:val="20"/>
          <w:szCs w:val="20"/>
          <w:color w:val="auto"/>
        </w:rPr>
      </w:pPr>
      <w:r>
        <w:rPr>
          <w:rFonts w:ascii="Arial" w:cs="Arial" w:eastAsia="Arial" w:hAnsi="Arial"/>
          <w:sz w:val="15"/>
          <w:szCs w:val="15"/>
          <w:b w:val="1"/>
          <w:bCs w:val="1"/>
          <w:color w:val="auto"/>
        </w:rPr>
        <w:drawing>
          <wp:anchor simplePos="0" relativeHeight="251657728" behindDoc="1" locked="0" layoutInCell="0" allowOverlap="1">
            <wp:simplePos x="0" y="0"/>
            <wp:positionH relativeFrom="page">
              <wp:posOffset>133350</wp:posOffset>
            </wp:positionH>
            <wp:positionV relativeFrom="page">
              <wp:posOffset>88900</wp:posOffset>
            </wp:positionV>
            <wp:extent cx="7308850" cy="34290"/>
            <wp:wrapNone/>
            <wp:docPr id="655" name="Picture 6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5"/>
                    <pic:cNvPicPr>
                      <a:picLocks noChangeAspect="1" noChangeArrowheads="1"/>
                    </pic:cNvPicPr>
                  </pic:nvPicPr>
                  <pic:blipFill>
                    <a:blip r:embed="rId692">
                      <a:extLst>
                        <a:ext uri="{28A0092B-C50C-407E-A947-70E740481C1C}"/>
                      </a:extLst>
                    </a:blip>
                    <a:srcRect/>
                    <a:stretch>
                      <a:fillRect/>
                    </a:stretch>
                  </pic:blipFill>
                  <pic:spPr bwMode="auto">
                    <a:xfrm>
                      <a:off x="0" y="0"/>
                      <a:ext cx="7308850" cy="34290"/>
                    </a:xfrm>
                    <a:prstGeom prst="rect">
                      <a:avLst/>
                    </a:prstGeom>
                    <a:noFill/>
                  </pic:spPr>
                </pic:pic>
              </a:graphicData>
            </a:graphic>
          </wp:anchor>
        </w:drawing>
        <w:t xml:space="preserve">3.4 </w:t>
      </w:r>
      <w:r>
        <w:rPr>
          <w:rFonts w:ascii="Arial" w:cs="Arial" w:eastAsia="Arial" w:hAnsi="Arial"/>
          <w:sz w:val="15"/>
          <w:szCs w:val="15"/>
          <w:b w:val="1"/>
          <w:bCs w:val="1"/>
          <w:u w:val="single" w:color="auto"/>
          <w:color w:val="auto"/>
        </w:rPr>
        <w:t>No Obligation to Employ</w:t>
      </w:r>
      <w:r>
        <w:rPr>
          <w:rFonts w:ascii="Arial" w:cs="Arial" w:eastAsia="Arial" w:hAnsi="Arial"/>
          <w:sz w:val="15"/>
          <w:szCs w:val="15"/>
          <w:b w:val="1"/>
          <w:bCs w:val="1"/>
          <w:color w:val="auto"/>
        </w:rPr>
        <w:t xml:space="preserve">. </w:t>
      </w:r>
      <w:r>
        <w:rPr>
          <w:rFonts w:ascii="Arial" w:cs="Arial" w:eastAsia="Arial" w:hAnsi="Arial"/>
          <w:sz w:val="15"/>
          <w:szCs w:val="15"/>
          <w:color w:val="auto"/>
        </w:rPr>
        <w:t>Nothing in the Plan or this Agreement shall confer on Participant any right to continue in the employ of, or other relationship with, the</w:t>
      </w:r>
      <w:r>
        <w:rPr>
          <w:rFonts w:ascii="Arial" w:cs="Arial" w:eastAsia="Arial" w:hAnsi="Arial"/>
          <w:sz w:val="15"/>
          <w:szCs w:val="15"/>
          <w:b w:val="1"/>
          <w:bCs w:val="1"/>
          <w:color w:val="auto"/>
        </w:rPr>
        <w:t xml:space="preserve"> </w:t>
      </w:r>
      <w:r>
        <w:rPr>
          <w:rFonts w:ascii="Arial" w:cs="Arial" w:eastAsia="Arial" w:hAnsi="Arial"/>
          <w:sz w:val="15"/>
          <w:szCs w:val="15"/>
          <w:color w:val="auto"/>
        </w:rPr>
        <w:t>Company or any Parent or Subsidiary of the Company, or limit in any way the right of the Company or any Parent or Subsidiary of the Company to terminate Participant’s employment or other relationship at any time, with or without Cause.</w:t>
      </w:r>
    </w:p>
    <w:p>
      <w:pPr>
        <w:spacing w:after="0" w:line="239" w:lineRule="exact"/>
        <w:rPr>
          <w:sz w:val="20"/>
          <w:szCs w:val="20"/>
          <w:color w:val="auto"/>
        </w:rPr>
      </w:pPr>
    </w:p>
    <w:p>
      <w:pPr>
        <w:ind w:left="610" w:hanging="152"/>
        <w:spacing w:after="0"/>
        <w:tabs>
          <w:tab w:leader="none" w:pos="610" w:val="left"/>
        </w:tabs>
        <w:numPr>
          <w:ilvl w:val="0"/>
          <w:numId w:val="418"/>
        </w:numPr>
        <w:rPr>
          <w:rFonts w:ascii="Arial" w:cs="Arial" w:eastAsia="Arial" w:hAnsi="Arial"/>
          <w:sz w:val="15"/>
          <w:szCs w:val="15"/>
          <w:b w:val="1"/>
          <w:bCs w:val="1"/>
          <w:color w:val="auto"/>
        </w:rPr>
      </w:pPr>
      <w:r>
        <w:rPr>
          <w:rFonts w:ascii="Arial" w:cs="Arial" w:eastAsia="Arial" w:hAnsi="Arial"/>
          <w:sz w:val="15"/>
          <w:szCs w:val="15"/>
          <w:b w:val="1"/>
          <w:bCs w:val="1"/>
          <w:u w:val="single" w:color="auto"/>
          <w:color w:val="auto"/>
        </w:rPr>
        <w:t>MANNER OF EXERCISE</w:t>
      </w:r>
      <w:r>
        <w:rPr>
          <w:rFonts w:ascii="Arial" w:cs="Arial" w:eastAsia="Arial" w:hAnsi="Arial"/>
          <w:sz w:val="15"/>
          <w:szCs w:val="15"/>
          <w:b w:val="1"/>
          <w:bCs w:val="1"/>
          <w:color w:val="auto"/>
        </w:rPr>
        <w:t>.</w:t>
      </w:r>
    </w:p>
    <w:p>
      <w:pPr>
        <w:spacing w:after="0" w:line="98" w:lineRule="exact"/>
        <w:rPr>
          <w:sz w:val="20"/>
          <w:szCs w:val="20"/>
          <w:color w:val="auto"/>
        </w:rPr>
      </w:pPr>
    </w:p>
    <w:p>
      <w:pPr>
        <w:ind w:left="10" w:firstLine="916"/>
        <w:spacing w:after="0" w:line="255" w:lineRule="auto"/>
        <w:rPr>
          <w:sz w:val="20"/>
          <w:szCs w:val="20"/>
          <w:color w:val="auto"/>
        </w:rPr>
      </w:pPr>
      <w:r>
        <w:rPr>
          <w:rFonts w:ascii="Arial" w:cs="Arial" w:eastAsia="Arial" w:hAnsi="Arial"/>
          <w:sz w:val="15"/>
          <w:szCs w:val="15"/>
          <w:b w:val="1"/>
          <w:bCs w:val="1"/>
          <w:color w:val="auto"/>
        </w:rPr>
        <w:t xml:space="preserve">4.1 </w:t>
      </w:r>
      <w:r>
        <w:rPr>
          <w:rFonts w:ascii="Arial" w:cs="Arial" w:eastAsia="Arial" w:hAnsi="Arial"/>
          <w:sz w:val="15"/>
          <w:szCs w:val="15"/>
          <w:b w:val="1"/>
          <w:bCs w:val="1"/>
          <w:u w:val="single" w:color="auto"/>
          <w:color w:val="auto"/>
        </w:rPr>
        <w:t>Stock Option Exercise Agreement</w:t>
      </w:r>
      <w:r>
        <w:rPr>
          <w:rFonts w:ascii="Arial" w:cs="Arial" w:eastAsia="Arial" w:hAnsi="Arial"/>
          <w:sz w:val="15"/>
          <w:szCs w:val="15"/>
          <w:b w:val="1"/>
          <w:bCs w:val="1"/>
          <w:color w:val="auto"/>
        </w:rPr>
        <w:t xml:space="preserve">. </w:t>
      </w:r>
      <w:r>
        <w:rPr>
          <w:rFonts w:ascii="Arial" w:cs="Arial" w:eastAsia="Arial" w:hAnsi="Arial"/>
          <w:sz w:val="15"/>
          <w:szCs w:val="15"/>
          <w:color w:val="auto"/>
        </w:rPr>
        <w:t>To exercise this Option, Participant (or in the case of exercise after Participant’s death or incapacity, Participant’s executor,</w:t>
      </w:r>
      <w:r>
        <w:rPr>
          <w:rFonts w:ascii="Arial" w:cs="Arial" w:eastAsia="Arial" w:hAnsi="Arial"/>
          <w:sz w:val="15"/>
          <w:szCs w:val="15"/>
          <w:b w:val="1"/>
          <w:bCs w:val="1"/>
          <w:color w:val="auto"/>
        </w:rPr>
        <w:t xml:space="preserve"> </w:t>
      </w:r>
      <w:r>
        <w:rPr>
          <w:rFonts w:ascii="Arial" w:cs="Arial" w:eastAsia="Arial" w:hAnsi="Arial"/>
          <w:sz w:val="15"/>
          <w:szCs w:val="15"/>
          <w:color w:val="auto"/>
        </w:rPr>
        <w:t xml:space="preserve">administrator, heir or legatee, as the case may be) must deliver to the Company an executed stock option exercise agreement in the form attached hereto as </w:t>
      </w:r>
      <w:r>
        <w:rPr>
          <w:rFonts w:ascii="Arial" w:cs="Arial" w:eastAsia="Arial" w:hAnsi="Arial"/>
          <w:sz w:val="15"/>
          <w:szCs w:val="15"/>
          <w:u w:val="single" w:color="auto"/>
          <w:color w:val="auto"/>
        </w:rPr>
        <w:t>Exhibit A</w:t>
      </w:r>
      <w:r>
        <w:rPr>
          <w:rFonts w:ascii="Arial" w:cs="Arial" w:eastAsia="Arial" w:hAnsi="Arial"/>
          <w:sz w:val="15"/>
          <w:szCs w:val="15"/>
          <w:color w:val="auto"/>
        </w:rPr>
        <w:t>, or in such other form as may be approved by the Committee from time to time (the “</w:t>
      </w:r>
      <w:r>
        <w:rPr>
          <w:rFonts w:ascii="Arial" w:cs="Arial" w:eastAsia="Arial" w:hAnsi="Arial"/>
          <w:sz w:val="15"/>
          <w:szCs w:val="15"/>
          <w:b w:val="1"/>
          <w:bCs w:val="1"/>
          <w:i w:val="1"/>
          <w:iCs w:val="1"/>
          <w:color w:val="auto"/>
        </w:rPr>
        <w:t>Exercise Agreement”),</w:t>
      </w:r>
      <w:r>
        <w:rPr>
          <w:rFonts w:ascii="Arial" w:cs="Arial" w:eastAsia="Arial" w:hAnsi="Arial"/>
          <w:sz w:val="15"/>
          <w:szCs w:val="15"/>
          <w:color w:val="auto"/>
        </w:rPr>
        <w:t xml:space="preserve"> deliver payment for the shares being purchased in accordance with this Agreement and satisfy any applicable federal, state and local withholding obligations of the Company. The Exercise Agreement shall set forth, </w:t>
      </w:r>
      <w:r>
        <w:rPr>
          <w:rFonts w:ascii="Arial" w:cs="Arial" w:eastAsia="Arial" w:hAnsi="Arial"/>
          <w:sz w:val="15"/>
          <w:szCs w:val="15"/>
          <w:u w:val="single" w:color="auto"/>
          <w:color w:val="auto"/>
        </w:rPr>
        <w:t>inter alia</w:t>
      </w:r>
      <w:r>
        <w:rPr>
          <w:rFonts w:ascii="Arial" w:cs="Arial" w:eastAsia="Arial" w:hAnsi="Arial"/>
          <w:sz w:val="15"/>
          <w:szCs w:val="15"/>
          <w:color w:val="auto"/>
        </w:rPr>
        <w:t>, (i) Participant’s election to exercise the Option, (ii) the number of Shares being purchased, (iii) any restrictions imposed on the Shares and (iv) any representations, warranties and agreements regarding Participant’s investment intent and access to information as may be required by the Company to comply with applicable securities laws. If someone other than Participant exercises the Option, then such person must submit documentation reasonably acceptable to the Company verifying that such person has the legal right to exercise the Option and such person shall be subject to all of the restrictions contained herein as if such person were the Participant.</w:t>
      </w:r>
    </w:p>
    <w:p>
      <w:pPr>
        <w:spacing w:after="0" w:line="68" w:lineRule="exact"/>
        <w:rPr>
          <w:sz w:val="20"/>
          <w:szCs w:val="20"/>
          <w:color w:val="auto"/>
        </w:rPr>
      </w:pPr>
    </w:p>
    <w:p>
      <w:pPr>
        <w:ind w:left="10" w:right="80" w:firstLine="916"/>
        <w:spacing w:after="0" w:line="361" w:lineRule="auto"/>
        <w:rPr>
          <w:sz w:val="20"/>
          <w:szCs w:val="20"/>
          <w:color w:val="auto"/>
        </w:rPr>
      </w:pPr>
      <w:r>
        <w:rPr>
          <w:rFonts w:ascii="Arial" w:cs="Arial" w:eastAsia="Arial" w:hAnsi="Arial"/>
          <w:sz w:val="13"/>
          <w:szCs w:val="13"/>
          <w:b w:val="1"/>
          <w:bCs w:val="1"/>
          <w:color w:val="auto"/>
        </w:rPr>
        <w:t xml:space="preserve">4.2 </w:t>
      </w:r>
      <w:r>
        <w:rPr>
          <w:rFonts w:ascii="Arial" w:cs="Arial" w:eastAsia="Arial" w:hAnsi="Arial"/>
          <w:sz w:val="13"/>
          <w:szCs w:val="13"/>
          <w:b w:val="1"/>
          <w:bCs w:val="1"/>
          <w:u w:val="single" w:color="auto"/>
          <w:color w:val="auto"/>
        </w:rPr>
        <w:t>Limitations on Exercise</w:t>
      </w:r>
      <w:r>
        <w:rPr>
          <w:rFonts w:ascii="Arial" w:cs="Arial" w:eastAsia="Arial" w:hAnsi="Arial"/>
          <w:sz w:val="13"/>
          <w:szCs w:val="13"/>
          <w:b w:val="1"/>
          <w:bCs w:val="1"/>
          <w:color w:val="auto"/>
        </w:rPr>
        <w:t xml:space="preserve">. </w:t>
      </w:r>
      <w:r>
        <w:rPr>
          <w:rFonts w:ascii="Arial" w:cs="Arial" w:eastAsia="Arial" w:hAnsi="Arial"/>
          <w:sz w:val="13"/>
          <w:szCs w:val="13"/>
          <w:color w:val="auto"/>
        </w:rPr>
        <w:t>The Option may not be exercised unless such exercise is in compliance with all applicable federal and state securities laws, as they are in effect</w:t>
      </w:r>
      <w:r>
        <w:rPr>
          <w:rFonts w:ascii="Arial" w:cs="Arial" w:eastAsia="Arial" w:hAnsi="Arial"/>
          <w:sz w:val="13"/>
          <w:szCs w:val="13"/>
          <w:b w:val="1"/>
          <w:bCs w:val="1"/>
          <w:color w:val="auto"/>
        </w:rPr>
        <w:t xml:space="preserve"> </w:t>
      </w:r>
      <w:r>
        <w:rPr>
          <w:rFonts w:ascii="Arial" w:cs="Arial" w:eastAsia="Arial" w:hAnsi="Arial"/>
          <w:sz w:val="13"/>
          <w:szCs w:val="13"/>
          <w:color w:val="auto"/>
        </w:rPr>
        <w:t>on the date of exercise. The Option may not be exercised as to fewer than one hundred (100) Shares unless it is exercised as to all Shares as to which the Option is then exercisable.</w:t>
      </w:r>
    </w:p>
    <w:p>
      <w:pPr>
        <w:spacing w:after="0" w:line="1" w:lineRule="exact"/>
        <w:rPr>
          <w:sz w:val="20"/>
          <w:szCs w:val="20"/>
          <w:color w:val="auto"/>
        </w:rPr>
      </w:pPr>
    </w:p>
    <w:p>
      <w:pPr>
        <w:ind w:left="910"/>
        <w:spacing w:after="0"/>
        <w:rPr>
          <w:sz w:val="20"/>
          <w:szCs w:val="20"/>
          <w:color w:val="auto"/>
        </w:rPr>
      </w:pPr>
      <w:r>
        <w:rPr>
          <w:rFonts w:ascii="Arial" w:cs="Arial" w:eastAsia="Arial" w:hAnsi="Arial"/>
          <w:sz w:val="13"/>
          <w:szCs w:val="13"/>
          <w:b w:val="1"/>
          <w:bCs w:val="1"/>
          <w:color w:val="auto"/>
        </w:rPr>
        <w:t xml:space="preserve">4.3 </w:t>
      </w:r>
      <w:r>
        <w:rPr>
          <w:rFonts w:ascii="Arial" w:cs="Arial" w:eastAsia="Arial" w:hAnsi="Arial"/>
          <w:sz w:val="13"/>
          <w:szCs w:val="13"/>
          <w:b w:val="1"/>
          <w:bCs w:val="1"/>
          <w:u w:val="single" w:color="auto"/>
          <w:color w:val="auto"/>
        </w:rPr>
        <w:t>Payment</w:t>
      </w:r>
      <w:r>
        <w:rPr>
          <w:rFonts w:ascii="Arial" w:cs="Arial" w:eastAsia="Arial" w:hAnsi="Arial"/>
          <w:sz w:val="13"/>
          <w:szCs w:val="13"/>
          <w:b w:val="1"/>
          <w:bCs w:val="1"/>
          <w:color w:val="auto"/>
        </w:rPr>
        <w:t xml:space="preserve">. </w:t>
      </w:r>
      <w:r>
        <w:rPr>
          <w:rFonts w:ascii="Arial" w:cs="Arial" w:eastAsia="Arial" w:hAnsi="Arial"/>
          <w:sz w:val="13"/>
          <w:szCs w:val="13"/>
          <w:color w:val="auto"/>
        </w:rPr>
        <w:t>The Exercise Agreement shall be accompanied by full payment of the Exercise Price for the shares being purchased in cash (by check), or where permitted by</w:t>
      </w:r>
    </w:p>
    <w:p>
      <w:pPr>
        <w:spacing w:after="0" w:line="44" w:lineRule="exact"/>
        <w:rPr>
          <w:sz w:val="20"/>
          <w:szCs w:val="20"/>
          <w:color w:val="auto"/>
        </w:rPr>
      </w:pPr>
    </w:p>
    <w:p>
      <w:pPr>
        <w:ind w:left="10"/>
        <w:spacing w:after="0"/>
        <w:rPr>
          <w:sz w:val="20"/>
          <w:szCs w:val="20"/>
          <w:color w:val="auto"/>
        </w:rPr>
      </w:pPr>
      <w:r>
        <w:rPr>
          <w:rFonts w:ascii="Arial" w:cs="Arial" w:eastAsia="Arial" w:hAnsi="Arial"/>
          <w:sz w:val="15"/>
          <w:szCs w:val="15"/>
          <w:color w:val="auto"/>
        </w:rPr>
        <w:t>law:</w:t>
      </w:r>
    </w:p>
    <w:p>
      <w:pPr>
        <w:spacing w:after="0" w:line="89" w:lineRule="exact"/>
        <w:rPr>
          <w:sz w:val="20"/>
          <w:szCs w:val="20"/>
          <w:color w:val="auto"/>
        </w:rPr>
      </w:pPr>
    </w:p>
    <w:p>
      <w:pPr>
        <w:ind w:left="1710" w:hanging="222"/>
        <w:spacing w:after="0"/>
        <w:tabs>
          <w:tab w:leader="none" w:pos="1710" w:val="left"/>
        </w:tabs>
        <w:numPr>
          <w:ilvl w:val="1"/>
          <w:numId w:val="419"/>
        </w:numPr>
        <w:rPr>
          <w:rFonts w:ascii="Arial" w:cs="Arial" w:eastAsia="Arial" w:hAnsi="Arial"/>
          <w:sz w:val="15"/>
          <w:szCs w:val="15"/>
          <w:b w:val="1"/>
          <w:bCs w:val="1"/>
          <w:color w:val="auto"/>
        </w:rPr>
      </w:pPr>
      <w:r>
        <w:rPr>
          <w:rFonts w:ascii="Arial" w:cs="Arial" w:eastAsia="Arial" w:hAnsi="Arial"/>
          <w:sz w:val="15"/>
          <w:szCs w:val="15"/>
          <w:color w:val="auto"/>
        </w:rPr>
        <w:t>by cancellation of indebtedness of the Company to the Participant;</w:t>
      </w:r>
    </w:p>
    <w:p>
      <w:pPr>
        <w:spacing w:after="0" w:line="98" w:lineRule="exact"/>
        <w:rPr>
          <w:rFonts w:ascii="Arial" w:cs="Arial" w:eastAsia="Arial" w:hAnsi="Arial"/>
          <w:sz w:val="15"/>
          <w:szCs w:val="15"/>
          <w:b w:val="1"/>
          <w:bCs w:val="1"/>
          <w:color w:val="auto"/>
        </w:rPr>
      </w:pPr>
    </w:p>
    <w:p>
      <w:pPr>
        <w:ind w:left="1710" w:hanging="222"/>
        <w:spacing w:after="0"/>
        <w:tabs>
          <w:tab w:leader="none" w:pos="1710" w:val="left"/>
        </w:tabs>
        <w:numPr>
          <w:ilvl w:val="1"/>
          <w:numId w:val="419"/>
        </w:numPr>
        <w:rPr>
          <w:rFonts w:ascii="Arial" w:cs="Arial" w:eastAsia="Arial" w:hAnsi="Arial"/>
          <w:sz w:val="15"/>
          <w:szCs w:val="15"/>
          <w:b w:val="1"/>
          <w:bCs w:val="1"/>
          <w:color w:val="auto"/>
        </w:rPr>
      </w:pPr>
      <w:r>
        <w:rPr>
          <w:rFonts w:ascii="Arial" w:cs="Arial" w:eastAsia="Arial" w:hAnsi="Arial"/>
          <w:sz w:val="15"/>
          <w:szCs w:val="15"/>
          <w:color w:val="auto"/>
        </w:rPr>
        <w:t>by waiver of compensation due or accrued to Participant for services rendered;</w:t>
      </w:r>
    </w:p>
    <w:p>
      <w:pPr>
        <w:spacing w:after="0" w:line="98" w:lineRule="exact"/>
        <w:rPr>
          <w:rFonts w:ascii="Arial" w:cs="Arial" w:eastAsia="Arial" w:hAnsi="Arial"/>
          <w:sz w:val="15"/>
          <w:szCs w:val="15"/>
          <w:b w:val="1"/>
          <w:bCs w:val="1"/>
          <w:color w:val="auto"/>
        </w:rPr>
      </w:pPr>
    </w:p>
    <w:p>
      <w:pPr>
        <w:ind w:left="10" w:right="60" w:firstLine="1478"/>
        <w:spacing w:after="0" w:line="294" w:lineRule="auto"/>
        <w:tabs>
          <w:tab w:leader="none" w:pos="1702" w:val="left"/>
        </w:tabs>
        <w:numPr>
          <w:ilvl w:val="1"/>
          <w:numId w:val="419"/>
        </w:numPr>
        <w:rPr>
          <w:rFonts w:ascii="Arial" w:cs="Arial" w:eastAsia="Arial" w:hAnsi="Arial"/>
          <w:sz w:val="13"/>
          <w:szCs w:val="13"/>
          <w:b w:val="1"/>
          <w:bCs w:val="1"/>
          <w:color w:val="auto"/>
        </w:rPr>
      </w:pPr>
      <w:r>
        <w:rPr>
          <w:rFonts w:ascii="Arial" w:cs="Arial" w:eastAsia="Arial" w:hAnsi="Arial"/>
          <w:sz w:val="13"/>
          <w:szCs w:val="13"/>
          <w:color w:val="auto"/>
        </w:rPr>
        <w:t>provided that a public market for the Company’s securities exists: (i) through a “same day sale” commitment from Participant and a broker-dealer that is a member of the National Association of Securities Dealers (an “</w:t>
      </w:r>
      <w:r>
        <w:rPr>
          <w:rFonts w:ascii="Arial" w:cs="Arial" w:eastAsia="Arial" w:hAnsi="Arial"/>
          <w:sz w:val="13"/>
          <w:szCs w:val="13"/>
          <w:b w:val="1"/>
          <w:bCs w:val="1"/>
          <w:i w:val="1"/>
          <w:iCs w:val="1"/>
          <w:color w:val="auto"/>
        </w:rPr>
        <w:t>NASD Dealer”)</w:t>
      </w:r>
      <w:r>
        <w:rPr>
          <w:rFonts w:ascii="Arial" w:cs="Arial" w:eastAsia="Arial" w:hAnsi="Arial"/>
          <w:sz w:val="13"/>
          <w:szCs w:val="13"/>
          <w:color w:val="auto"/>
        </w:rPr>
        <w:t xml:space="preserve"> whereby Participant irrevocably elects to exercise the Option and to sell a portion of the Shares so purchased sufficient to pay for the total Exercise Price and whereby the NASD Dealer irrevocably commits upon receipt of such Shares to forward the total Exercise Price directly to the Company, or</w:t>
      </w:r>
    </w:p>
    <w:p>
      <w:pPr>
        <w:spacing w:after="0" w:line="1" w:lineRule="exact"/>
        <w:rPr>
          <w:rFonts w:ascii="Arial" w:cs="Arial" w:eastAsia="Arial" w:hAnsi="Arial"/>
          <w:sz w:val="13"/>
          <w:szCs w:val="13"/>
          <w:b w:val="1"/>
          <w:bCs w:val="1"/>
          <w:color w:val="auto"/>
        </w:rPr>
      </w:pPr>
    </w:p>
    <w:p>
      <w:pPr>
        <w:ind w:left="10" w:right="60" w:hanging="10"/>
        <w:spacing w:after="0" w:line="256" w:lineRule="auto"/>
        <w:tabs>
          <w:tab w:leader="none" w:pos="231" w:val="left"/>
        </w:tabs>
        <w:numPr>
          <w:ilvl w:val="0"/>
          <w:numId w:val="420"/>
        </w:numPr>
        <w:rPr>
          <w:rFonts w:ascii="Arial" w:cs="Arial" w:eastAsia="Arial" w:hAnsi="Arial"/>
          <w:sz w:val="15"/>
          <w:szCs w:val="15"/>
          <w:color w:val="auto"/>
        </w:rPr>
      </w:pPr>
      <w:r>
        <w:rPr>
          <w:rFonts w:ascii="Arial" w:cs="Arial" w:eastAsia="Arial" w:hAnsi="Arial"/>
          <w:sz w:val="15"/>
          <w:szCs w:val="15"/>
          <w:color w:val="auto"/>
        </w:rPr>
        <w:t>through a “margin” commitment from Participant and an NASD Dealer whereby Participant irrevocably elects to exercise the Option and to pledge the Shares so purchased to the NASD Dealer in a margin account as security for a loan from the NASD Dealer in the amount of the total Exercise Price, and whereby the NASD Dealer irrevocably commits upon receipt of such Shares to forward the total Exercise Price directly to the Company;</w:t>
      </w:r>
    </w:p>
    <w:p>
      <w:pPr>
        <w:spacing w:after="0" w:line="104" w:lineRule="exact"/>
        <w:rPr>
          <w:sz w:val="20"/>
          <w:szCs w:val="20"/>
          <w:color w:val="auto"/>
        </w:rPr>
      </w:pPr>
    </w:p>
    <w:p>
      <w:pPr>
        <w:jc w:val="center"/>
        <w:ind w:right="-9"/>
        <w:spacing w:after="0"/>
        <w:rPr>
          <w:sz w:val="20"/>
          <w:szCs w:val="20"/>
          <w:color w:val="auto"/>
        </w:rPr>
      </w:pPr>
      <w:r>
        <w:rPr>
          <w:rFonts w:ascii="Arial" w:cs="Arial" w:eastAsia="Arial" w:hAnsi="Arial"/>
          <w:sz w:val="15"/>
          <w:szCs w:val="15"/>
          <w:color w:val="auto"/>
        </w:rPr>
        <w:t>3</w:t>
      </w:r>
    </w:p>
    <w:p>
      <w:pPr>
        <w:sectPr>
          <w:pgSz w:w="11900" w:h="16838" w:orient="portrait"/>
          <w:cols w:equalWidth="0" w:num="1">
            <w:col w:w="11430"/>
          </w:cols>
          <w:pgMar w:left="230" w:top="249" w:right="239" w:bottom="1440" w:gutter="0" w:footer="0" w:header="0"/>
        </w:sectPr>
      </w:pPr>
    </w:p>
    <w:bookmarkStart w:id="455" w:name="page456"/>
    <w:bookmarkEnd w:id="455"/>
    <w:p>
      <w:pPr>
        <w:ind w:left="1700" w:hanging="222"/>
        <w:spacing w:after="0"/>
        <w:tabs>
          <w:tab w:leader="none" w:pos="1700" w:val="left"/>
        </w:tabs>
        <w:numPr>
          <w:ilvl w:val="0"/>
          <w:numId w:val="421"/>
        </w:numPr>
        <w:rPr>
          <w:rFonts w:ascii="Arial" w:cs="Arial" w:eastAsia="Arial" w:hAnsi="Arial"/>
          <w:sz w:val="15"/>
          <w:szCs w:val="15"/>
          <w:b w:val="1"/>
          <w:bCs w:val="1"/>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133350</wp:posOffset>
            </wp:positionH>
            <wp:positionV relativeFrom="page">
              <wp:posOffset>88900</wp:posOffset>
            </wp:positionV>
            <wp:extent cx="7308850" cy="34290"/>
            <wp:wrapNone/>
            <wp:docPr id="656" name="Picture 6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6"/>
                    <pic:cNvPicPr>
                      <a:picLocks noChangeAspect="1" noChangeArrowheads="1"/>
                    </pic:cNvPicPr>
                  </pic:nvPicPr>
                  <pic:blipFill>
                    <a:blip r:embed="rId693">
                      <a:extLst>
                        <a:ext uri="{28A0092B-C50C-407E-A947-70E740481C1C}"/>
                      </a:extLst>
                    </a:blip>
                    <a:srcRect/>
                    <a:stretch>
                      <a:fillRect/>
                    </a:stretch>
                  </pic:blipFill>
                  <pic:spPr bwMode="auto">
                    <a:xfrm>
                      <a:off x="0" y="0"/>
                      <a:ext cx="7308850" cy="34290"/>
                    </a:xfrm>
                    <a:prstGeom prst="rect">
                      <a:avLst/>
                    </a:prstGeom>
                    <a:noFill/>
                  </pic:spPr>
                </pic:pic>
              </a:graphicData>
            </a:graphic>
          </wp:anchor>
        </w:drawing>
        <w:t>by participating in a formal cashless exercise program implemented by the Committee in connection with the Plan;</w:t>
      </w:r>
    </w:p>
    <w:p>
      <w:pPr>
        <w:spacing w:after="0" w:line="98" w:lineRule="exact"/>
        <w:rPr>
          <w:rFonts w:ascii="Arial" w:cs="Arial" w:eastAsia="Arial" w:hAnsi="Arial"/>
          <w:sz w:val="15"/>
          <w:szCs w:val="15"/>
          <w:b w:val="1"/>
          <w:bCs w:val="1"/>
          <w:color w:val="auto"/>
        </w:rPr>
      </w:pPr>
    </w:p>
    <w:p>
      <w:pPr>
        <w:ind w:left="1680" w:hanging="202"/>
        <w:spacing w:after="0"/>
        <w:tabs>
          <w:tab w:leader="none" w:pos="1680" w:val="left"/>
        </w:tabs>
        <w:numPr>
          <w:ilvl w:val="0"/>
          <w:numId w:val="421"/>
        </w:numPr>
        <w:rPr>
          <w:rFonts w:ascii="Arial" w:cs="Arial" w:eastAsia="Arial" w:hAnsi="Arial"/>
          <w:sz w:val="15"/>
          <w:szCs w:val="15"/>
          <w:b w:val="1"/>
          <w:bCs w:val="1"/>
          <w:color w:val="auto"/>
        </w:rPr>
      </w:pPr>
      <w:r>
        <w:rPr>
          <w:rFonts w:ascii="Arial" w:cs="Arial" w:eastAsia="Arial" w:hAnsi="Arial"/>
          <w:sz w:val="15"/>
          <w:szCs w:val="15"/>
          <w:color w:val="auto"/>
        </w:rPr>
        <w:t>any other form of consideration approved by the Committee; or</w:t>
      </w:r>
    </w:p>
    <w:p>
      <w:pPr>
        <w:spacing w:after="0" w:line="98" w:lineRule="exact"/>
        <w:rPr>
          <w:rFonts w:ascii="Arial" w:cs="Arial" w:eastAsia="Arial" w:hAnsi="Arial"/>
          <w:sz w:val="15"/>
          <w:szCs w:val="15"/>
          <w:b w:val="1"/>
          <w:bCs w:val="1"/>
          <w:color w:val="auto"/>
        </w:rPr>
      </w:pPr>
    </w:p>
    <w:p>
      <w:pPr>
        <w:ind w:left="1660" w:hanging="182"/>
        <w:spacing w:after="0"/>
        <w:tabs>
          <w:tab w:leader="none" w:pos="1660" w:val="left"/>
        </w:tabs>
        <w:numPr>
          <w:ilvl w:val="0"/>
          <w:numId w:val="421"/>
        </w:numPr>
        <w:rPr>
          <w:rFonts w:ascii="Arial" w:cs="Arial" w:eastAsia="Arial" w:hAnsi="Arial"/>
          <w:sz w:val="15"/>
          <w:szCs w:val="15"/>
          <w:b w:val="1"/>
          <w:bCs w:val="1"/>
          <w:color w:val="auto"/>
        </w:rPr>
      </w:pPr>
      <w:r>
        <w:rPr>
          <w:rFonts w:ascii="Arial" w:cs="Arial" w:eastAsia="Arial" w:hAnsi="Arial"/>
          <w:sz w:val="15"/>
          <w:szCs w:val="15"/>
          <w:color w:val="auto"/>
        </w:rPr>
        <w:t>by any combination of the foregoing.</w:t>
      </w:r>
    </w:p>
    <w:p>
      <w:pPr>
        <w:spacing w:after="0" w:line="94" w:lineRule="exact"/>
        <w:rPr>
          <w:sz w:val="20"/>
          <w:szCs w:val="20"/>
          <w:color w:val="auto"/>
        </w:rPr>
      </w:pPr>
    </w:p>
    <w:p>
      <w:pPr>
        <w:ind w:right="40" w:firstLine="916"/>
        <w:spacing w:after="0" w:line="307" w:lineRule="auto"/>
        <w:rPr>
          <w:sz w:val="20"/>
          <w:szCs w:val="20"/>
          <w:color w:val="auto"/>
        </w:rPr>
      </w:pPr>
      <w:r>
        <w:rPr>
          <w:rFonts w:ascii="Arial" w:cs="Arial" w:eastAsia="Arial" w:hAnsi="Arial"/>
          <w:sz w:val="13"/>
          <w:szCs w:val="13"/>
          <w:b w:val="1"/>
          <w:bCs w:val="1"/>
          <w:color w:val="auto"/>
        </w:rPr>
        <w:t xml:space="preserve">4.4 </w:t>
      </w:r>
      <w:r>
        <w:rPr>
          <w:rFonts w:ascii="Arial" w:cs="Arial" w:eastAsia="Arial" w:hAnsi="Arial"/>
          <w:sz w:val="13"/>
          <w:szCs w:val="13"/>
          <w:b w:val="1"/>
          <w:bCs w:val="1"/>
          <w:u w:val="single" w:color="auto"/>
          <w:color w:val="auto"/>
        </w:rPr>
        <w:t>Tax Withholding</w:t>
      </w:r>
      <w:r>
        <w:rPr>
          <w:rFonts w:ascii="Arial" w:cs="Arial" w:eastAsia="Arial" w:hAnsi="Arial"/>
          <w:sz w:val="13"/>
          <w:szCs w:val="13"/>
          <w:b w:val="1"/>
          <w:bCs w:val="1"/>
          <w:color w:val="auto"/>
        </w:rPr>
        <w:t xml:space="preserve">. </w:t>
      </w:r>
      <w:r>
        <w:rPr>
          <w:rFonts w:ascii="Arial" w:cs="Arial" w:eastAsia="Arial" w:hAnsi="Arial"/>
          <w:sz w:val="13"/>
          <w:szCs w:val="13"/>
          <w:color w:val="auto"/>
        </w:rPr>
        <w:t>Prior to the issuance of the Shares upon exercise of the Option, Participant must pay or provide for any applicable federal, state and local withholding</w:t>
      </w:r>
      <w:r>
        <w:rPr>
          <w:rFonts w:ascii="Arial" w:cs="Arial" w:eastAsia="Arial" w:hAnsi="Arial"/>
          <w:sz w:val="13"/>
          <w:szCs w:val="13"/>
          <w:b w:val="1"/>
          <w:bCs w:val="1"/>
          <w:color w:val="auto"/>
        </w:rPr>
        <w:t xml:space="preserve"> </w:t>
      </w:r>
      <w:r>
        <w:rPr>
          <w:rFonts w:ascii="Arial" w:cs="Arial" w:eastAsia="Arial" w:hAnsi="Arial"/>
          <w:sz w:val="13"/>
          <w:szCs w:val="13"/>
          <w:color w:val="auto"/>
        </w:rPr>
        <w:t>obligations of the Company. If the Committee permits, Participant may provide for payment of withholding taxes upon exercise of the Option by requesting that the Company retain the minimum number of Shares with a Fair Market Value equal to the minimum amount of taxes required to be withheld; or to arrange a mandatory “sell to cover” on Participant’s behalf (without further authorization); but in no event will the Company withhold Shares or “sell to cover” if such withholding would result in adverse accounting consequences to the Company. In such case, the Company shall issue the net number of Shares to the Participant by deducting the Shares retained from the Shares issuable upon exercise.</w:t>
      </w:r>
    </w:p>
    <w:p>
      <w:pPr>
        <w:spacing w:after="0" w:line="36" w:lineRule="exact"/>
        <w:rPr>
          <w:sz w:val="20"/>
          <w:szCs w:val="20"/>
          <w:color w:val="auto"/>
        </w:rPr>
      </w:pPr>
    </w:p>
    <w:p>
      <w:pPr>
        <w:jc w:val="both"/>
        <w:ind w:right="160" w:firstLine="916"/>
        <w:spacing w:after="0" w:line="266" w:lineRule="auto"/>
        <w:rPr>
          <w:sz w:val="20"/>
          <w:szCs w:val="20"/>
          <w:color w:val="auto"/>
        </w:rPr>
      </w:pPr>
      <w:r>
        <w:rPr>
          <w:rFonts w:ascii="Arial" w:cs="Arial" w:eastAsia="Arial" w:hAnsi="Arial"/>
          <w:sz w:val="15"/>
          <w:szCs w:val="15"/>
          <w:b w:val="1"/>
          <w:bCs w:val="1"/>
          <w:color w:val="auto"/>
        </w:rPr>
        <w:t xml:space="preserve">4.5 </w:t>
      </w:r>
      <w:r>
        <w:rPr>
          <w:rFonts w:ascii="Arial" w:cs="Arial" w:eastAsia="Arial" w:hAnsi="Arial"/>
          <w:sz w:val="15"/>
          <w:szCs w:val="15"/>
          <w:b w:val="1"/>
          <w:bCs w:val="1"/>
          <w:u w:val="single" w:color="auto"/>
          <w:color w:val="auto"/>
        </w:rPr>
        <w:t>Issuance of Shares</w:t>
      </w:r>
      <w:r>
        <w:rPr>
          <w:rFonts w:ascii="Arial" w:cs="Arial" w:eastAsia="Arial" w:hAnsi="Arial"/>
          <w:sz w:val="15"/>
          <w:szCs w:val="15"/>
          <w:b w:val="1"/>
          <w:bCs w:val="1"/>
          <w:color w:val="auto"/>
        </w:rPr>
        <w:t xml:space="preserve">. </w:t>
      </w:r>
      <w:r>
        <w:rPr>
          <w:rFonts w:ascii="Arial" w:cs="Arial" w:eastAsia="Arial" w:hAnsi="Arial"/>
          <w:sz w:val="15"/>
          <w:szCs w:val="15"/>
          <w:color w:val="auto"/>
        </w:rPr>
        <w:t>Provided that the Exercise Agreement and payment are in form and substance satisfactory to counsel for the Company, the Company shall issue the</w:t>
      </w:r>
      <w:r>
        <w:rPr>
          <w:rFonts w:ascii="Arial" w:cs="Arial" w:eastAsia="Arial" w:hAnsi="Arial"/>
          <w:sz w:val="15"/>
          <w:szCs w:val="15"/>
          <w:b w:val="1"/>
          <w:bCs w:val="1"/>
          <w:color w:val="auto"/>
        </w:rPr>
        <w:t xml:space="preserve"> </w:t>
      </w:r>
      <w:r>
        <w:rPr>
          <w:rFonts w:ascii="Arial" w:cs="Arial" w:eastAsia="Arial" w:hAnsi="Arial"/>
          <w:sz w:val="15"/>
          <w:szCs w:val="15"/>
          <w:color w:val="auto"/>
        </w:rPr>
        <w:t>Shares in book-entry form, registered in the name of Participant, Participant’s authorized assignee, or Participant’s legal representative, and upon request from the Participant, shall deliver book-entry records evidencing the Shares with the appropriate legends affixed thereto.</w:t>
      </w:r>
    </w:p>
    <w:p>
      <w:pPr>
        <w:spacing w:after="0" w:line="148" w:lineRule="exact"/>
        <w:rPr>
          <w:sz w:val="20"/>
          <w:szCs w:val="20"/>
          <w:color w:val="auto"/>
        </w:rPr>
      </w:pPr>
    </w:p>
    <w:p>
      <w:pPr>
        <w:ind w:right="40" w:firstLine="448"/>
        <w:spacing w:after="0" w:line="285" w:lineRule="auto"/>
        <w:tabs>
          <w:tab w:leader="none" w:pos="608" w:val="left"/>
        </w:tabs>
        <w:numPr>
          <w:ilvl w:val="0"/>
          <w:numId w:val="422"/>
        </w:numPr>
        <w:rPr>
          <w:rFonts w:ascii="Arial" w:cs="Arial" w:eastAsia="Arial" w:hAnsi="Arial"/>
          <w:sz w:val="14"/>
          <w:szCs w:val="14"/>
          <w:b w:val="1"/>
          <w:bCs w:val="1"/>
          <w:color w:val="auto"/>
        </w:rPr>
      </w:pPr>
      <w:r>
        <w:rPr>
          <w:rFonts w:ascii="Arial" w:cs="Arial" w:eastAsia="Arial" w:hAnsi="Arial"/>
          <w:sz w:val="14"/>
          <w:szCs w:val="14"/>
          <w:b w:val="1"/>
          <w:bCs w:val="1"/>
          <w:u w:val="single" w:color="auto"/>
          <w:color w:val="auto"/>
        </w:rPr>
        <w:t>NOTICE OF DISQUALIFYING DISPOSITION OF ISO SHARES</w:t>
      </w:r>
      <w:r>
        <w:rPr>
          <w:rFonts w:ascii="Arial" w:cs="Arial" w:eastAsia="Arial" w:hAnsi="Arial"/>
          <w:sz w:val="14"/>
          <w:szCs w:val="14"/>
          <w:b w:val="1"/>
          <w:bCs w:val="1"/>
          <w:color w:val="auto"/>
        </w:rPr>
        <w:t xml:space="preserve">. </w:t>
      </w:r>
      <w:r>
        <w:rPr>
          <w:rFonts w:ascii="Arial" w:cs="Arial" w:eastAsia="Arial" w:hAnsi="Arial"/>
          <w:sz w:val="14"/>
          <w:szCs w:val="14"/>
          <w:color w:val="auto"/>
        </w:rPr>
        <w:t>If the Option is an ISO, and if Participant sells or otherwise disposes of any of the Shares acquired</w:t>
      </w:r>
      <w:r>
        <w:rPr>
          <w:rFonts w:ascii="Arial" w:cs="Arial" w:eastAsia="Arial" w:hAnsi="Arial"/>
          <w:sz w:val="14"/>
          <w:szCs w:val="14"/>
          <w:b w:val="1"/>
          <w:bCs w:val="1"/>
          <w:color w:val="auto"/>
        </w:rPr>
        <w:t xml:space="preserve"> </w:t>
      </w:r>
      <w:r>
        <w:rPr>
          <w:rFonts w:ascii="Arial" w:cs="Arial" w:eastAsia="Arial" w:hAnsi="Arial"/>
          <w:sz w:val="14"/>
          <w:szCs w:val="14"/>
          <w:color w:val="auto"/>
        </w:rPr>
        <w:t>pursuant to the ISO on or before the later of (i) the date two (2) years after the Date of Grant, and (ii) the date one (1) year after transfer of such Shares to Participant upon exercise of the Option, Participant shall immediately notify the Company in writing of such disposition. Participant agrees that Participant may be subject to income tax withholding by the Company on the compensation income recognized by Participant from the early disposition by payment in cash or out of the current wages or other compensation payable to Participant.</w:t>
      </w:r>
    </w:p>
    <w:p>
      <w:pPr>
        <w:spacing w:after="0" w:line="137" w:lineRule="exact"/>
        <w:rPr>
          <w:rFonts w:ascii="Arial" w:cs="Arial" w:eastAsia="Arial" w:hAnsi="Arial"/>
          <w:sz w:val="14"/>
          <w:szCs w:val="14"/>
          <w:b w:val="1"/>
          <w:bCs w:val="1"/>
          <w:color w:val="auto"/>
        </w:rPr>
      </w:pPr>
    </w:p>
    <w:p>
      <w:pPr>
        <w:ind w:firstLine="448"/>
        <w:spacing w:after="0" w:line="278" w:lineRule="auto"/>
        <w:tabs>
          <w:tab w:leader="none" w:pos="608" w:val="left"/>
        </w:tabs>
        <w:numPr>
          <w:ilvl w:val="0"/>
          <w:numId w:val="422"/>
        </w:numPr>
        <w:rPr>
          <w:rFonts w:ascii="Arial" w:cs="Arial" w:eastAsia="Arial" w:hAnsi="Arial"/>
          <w:sz w:val="14"/>
          <w:szCs w:val="14"/>
          <w:b w:val="1"/>
          <w:bCs w:val="1"/>
          <w:color w:val="auto"/>
        </w:rPr>
      </w:pPr>
      <w:r>
        <w:rPr>
          <w:rFonts w:ascii="Arial" w:cs="Arial" w:eastAsia="Arial" w:hAnsi="Arial"/>
          <w:sz w:val="14"/>
          <w:szCs w:val="14"/>
          <w:b w:val="1"/>
          <w:bCs w:val="1"/>
          <w:u w:val="single" w:color="auto"/>
          <w:color w:val="auto"/>
        </w:rPr>
        <w:t>COMPLIANCE WITH LAWS AND REGULATIONS</w:t>
      </w:r>
      <w:r>
        <w:rPr>
          <w:rFonts w:ascii="Arial" w:cs="Arial" w:eastAsia="Arial" w:hAnsi="Arial"/>
          <w:sz w:val="14"/>
          <w:szCs w:val="14"/>
          <w:b w:val="1"/>
          <w:bCs w:val="1"/>
          <w:color w:val="auto"/>
        </w:rPr>
        <w:t xml:space="preserve">. </w:t>
      </w:r>
      <w:r>
        <w:rPr>
          <w:rFonts w:ascii="Arial" w:cs="Arial" w:eastAsia="Arial" w:hAnsi="Arial"/>
          <w:sz w:val="14"/>
          <w:szCs w:val="14"/>
          <w:color w:val="auto"/>
        </w:rPr>
        <w:t>The Plan and this Agreement are intended to comply with Section 25102(o) of the California Corporations Code and any</w:t>
      </w:r>
      <w:r>
        <w:rPr>
          <w:rFonts w:ascii="Arial" w:cs="Arial" w:eastAsia="Arial" w:hAnsi="Arial"/>
          <w:sz w:val="14"/>
          <w:szCs w:val="14"/>
          <w:b w:val="1"/>
          <w:bCs w:val="1"/>
          <w:color w:val="auto"/>
        </w:rPr>
        <w:t xml:space="preserve"> </w:t>
      </w:r>
      <w:r>
        <w:rPr>
          <w:rFonts w:ascii="Arial" w:cs="Arial" w:eastAsia="Arial" w:hAnsi="Arial"/>
          <w:sz w:val="14"/>
          <w:szCs w:val="14"/>
          <w:color w:val="auto"/>
        </w:rPr>
        <w:t>regulations relating thereto. Any provision of this Agreement which is inconsistent with Section 25102(o) or any regulations relating thereto shall, without further act or amendment by the Company or the Board, be reformed to comply with the requirements of Section 25102(o) and any regulations relating thereto. The exercise of the Option and the issuance and transfer of Shares shall be subject to compliance by the Company and Participant with all applicable requirements of federal and state securities laws and with all applicable requirements of any stock exchange on which the Company’s securities may be listed at the time of such issuance or transfer. Participant understands that the Company is under no obligation to register or qualify the Shares with the SEC, any state securities commission or any stock exchange to effect such compliance.</w:t>
      </w:r>
    </w:p>
    <w:p>
      <w:pPr>
        <w:spacing w:after="0" w:line="92"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4</w:t>
      </w:r>
    </w:p>
    <w:p>
      <w:pPr>
        <w:sectPr>
          <w:pgSz w:w="11900" w:h="16838" w:orient="portrait"/>
          <w:cols w:equalWidth="0" w:num="1">
            <w:col w:w="11420"/>
          </w:cols>
          <w:pgMar w:left="240" w:top="253" w:right="239" w:bottom="1440" w:gutter="0" w:footer="0" w:header="0"/>
        </w:sectPr>
      </w:pPr>
    </w:p>
    <w:bookmarkStart w:id="456" w:name="page457"/>
    <w:bookmarkEnd w:id="456"/>
    <w:p>
      <w:pPr>
        <w:ind w:right="120" w:firstLine="448"/>
        <w:spacing w:after="0" w:line="285" w:lineRule="auto"/>
        <w:tabs>
          <w:tab w:leader="none" w:pos="608" w:val="left"/>
        </w:tabs>
        <w:numPr>
          <w:ilvl w:val="0"/>
          <w:numId w:val="423"/>
        </w:numPr>
        <w:rPr>
          <w:rFonts w:ascii="Arial" w:cs="Arial" w:eastAsia="Arial" w:hAnsi="Arial"/>
          <w:sz w:val="14"/>
          <w:szCs w:val="14"/>
          <w:b w:val="1"/>
          <w:bCs w:val="1"/>
          <w:color w:val="auto"/>
        </w:rPr>
      </w:pPr>
      <w:r>
        <w:rPr>
          <w:rFonts w:ascii="Arial" w:cs="Arial" w:eastAsia="Arial" w:hAnsi="Arial"/>
          <w:sz w:val="14"/>
          <w:szCs w:val="14"/>
          <w:b w:val="1"/>
          <w:bCs w:val="1"/>
          <w:u w:val="single" w:color="auto"/>
          <w:color w:val="auto"/>
        </w:rPr>
        <w:drawing>
          <wp:anchor simplePos="0" relativeHeight="251657728" behindDoc="1" locked="0" layoutInCell="0" allowOverlap="1">
            <wp:simplePos x="0" y="0"/>
            <wp:positionH relativeFrom="page">
              <wp:posOffset>133350</wp:posOffset>
            </wp:positionH>
            <wp:positionV relativeFrom="page">
              <wp:posOffset>88900</wp:posOffset>
            </wp:positionV>
            <wp:extent cx="7308850" cy="34290"/>
            <wp:wrapNone/>
            <wp:docPr id="657" name="Picture 6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7"/>
                    <pic:cNvPicPr>
                      <a:picLocks noChangeAspect="1" noChangeArrowheads="1"/>
                    </pic:cNvPicPr>
                  </pic:nvPicPr>
                  <pic:blipFill>
                    <a:blip r:embed="rId694">
                      <a:extLst>
                        <a:ext uri="{28A0092B-C50C-407E-A947-70E740481C1C}"/>
                      </a:extLst>
                    </a:blip>
                    <a:srcRect/>
                    <a:stretch>
                      <a:fillRect/>
                    </a:stretch>
                  </pic:blipFill>
                  <pic:spPr bwMode="auto">
                    <a:xfrm>
                      <a:off x="0" y="0"/>
                      <a:ext cx="7308850" cy="34290"/>
                    </a:xfrm>
                    <a:prstGeom prst="rect">
                      <a:avLst/>
                    </a:prstGeom>
                    <a:noFill/>
                  </pic:spPr>
                </pic:pic>
              </a:graphicData>
            </a:graphic>
          </wp:anchor>
        </w:drawing>
        <w:t>NONTRANSFERABILITY OF OPTION</w:t>
      </w:r>
      <w:r>
        <w:rPr>
          <w:rFonts w:ascii="Arial" w:cs="Arial" w:eastAsia="Arial" w:hAnsi="Arial"/>
          <w:sz w:val="14"/>
          <w:szCs w:val="14"/>
          <w:b w:val="1"/>
          <w:bCs w:val="1"/>
          <w:color w:val="auto"/>
        </w:rPr>
        <w:t xml:space="preserve">. </w:t>
      </w:r>
      <w:r>
        <w:rPr>
          <w:rFonts w:ascii="Arial" w:cs="Arial" w:eastAsia="Arial" w:hAnsi="Arial"/>
          <w:sz w:val="14"/>
          <w:szCs w:val="14"/>
          <w:color w:val="auto"/>
        </w:rPr>
        <w:t>The Option may not be transferred in any manner other than by will or by the laws of descent and distribution, and, with respect to</w:t>
      </w:r>
      <w:r>
        <w:rPr>
          <w:rFonts w:ascii="Arial" w:cs="Arial" w:eastAsia="Arial" w:hAnsi="Arial"/>
          <w:sz w:val="14"/>
          <w:szCs w:val="14"/>
          <w:b w:val="1"/>
          <w:bCs w:val="1"/>
          <w:color w:val="auto"/>
        </w:rPr>
        <w:t xml:space="preserve"> </w:t>
      </w:r>
      <w:r>
        <w:rPr>
          <w:rFonts w:ascii="Arial" w:cs="Arial" w:eastAsia="Arial" w:hAnsi="Arial"/>
          <w:sz w:val="14"/>
          <w:szCs w:val="14"/>
          <w:color w:val="auto"/>
        </w:rPr>
        <w:t>NQSOs, by instrument to an inter vivos or testamentary trust in which the options are to be passed to beneficiaries upon the death of the trustor (settlor), or by gift to “immediate family” as that term is defined in 17 C.F.R. 240.16a-1(e), and may be exercised during the lifetime of Participant only by Participant or in the event of Participant’s incapacity, by Participant’s legal representative. The terms of the Option shall be binding upon the executors, administrators, successors and assigns of Participant.</w:t>
      </w:r>
    </w:p>
    <w:p>
      <w:pPr>
        <w:spacing w:after="0" w:line="137" w:lineRule="exact"/>
        <w:rPr>
          <w:rFonts w:ascii="Arial" w:cs="Arial" w:eastAsia="Arial" w:hAnsi="Arial"/>
          <w:sz w:val="14"/>
          <w:szCs w:val="14"/>
          <w:b w:val="1"/>
          <w:bCs w:val="1"/>
          <w:color w:val="auto"/>
        </w:rPr>
      </w:pPr>
    </w:p>
    <w:p>
      <w:pPr>
        <w:ind w:right="100" w:firstLine="448"/>
        <w:spacing w:after="0" w:line="261" w:lineRule="auto"/>
        <w:tabs>
          <w:tab w:leader="none" w:pos="608" w:val="left"/>
        </w:tabs>
        <w:numPr>
          <w:ilvl w:val="0"/>
          <w:numId w:val="423"/>
        </w:numPr>
        <w:rPr>
          <w:rFonts w:ascii="Arial" w:cs="Arial" w:eastAsia="Arial" w:hAnsi="Arial"/>
          <w:sz w:val="15"/>
          <w:szCs w:val="15"/>
          <w:b w:val="1"/>
          <w:bCs w:val="1"/>
          <w:color w:val="auto"/>
        </w:rPr>
      </w:pPr>
      <w:r>
        <w:rPr>
          <w:rFonts w:ascii="Arial" w:cs="Arial" w:eastAsia="Arial" w:hAnsi="Arial"/>
          <w:sz w:val="15"/>
          <w:szCs w:val="15"/>
          <w:b w:val="1"/>
          <w:bCs w:val="1"/>
          <w:u w:val="single" w:color="auto"/>
          <w:color w:val="auto"/>
        </w:rPr>
        <w:t>COMPANY’S RIGHT OF FIRST REFUSAL</w:t>
      </w:r>
      <w:r>
        <w:rPr>
          <w:rFonts w:ascii="Arial" w:cs="Arial" w:eastAsia="Arial" w:hAnsi="Arial"/>
          <w:sz w:val="15"/>
          <w:szCs w:val="15"/>
          <w:b w:val="1"/>
          <w:bCs w:val="1"/>
          <w:color w:val="auto"/>
        </w:rPr>
        <w:t xml:space="preserve">. </w:t>
      </w:r>
      <w:r>
        <w:rPr>
          <w:rFonts w:ascii="Arial" w:cs="Arial" w:eastAsia="Arial" w:hAnsi="Arial"/>
          <w:sz w:val="15"/>
          <w:szCs w:val="15"/>
          <w:color w:val="auto"/>
        </w:rPr>
        <w:t>Before any Vested Shares held by Participant or any transferee of such Vested Shares may be sold or otherwise transferred</w:t>
      </w:r>
      <w:r>
        <w:rPr>
          <w:rFonts w:ascii="Arial" w:cs="Arial" w:eastAsia="Arial" w:hAnsi="Arial"/>
          <w:sz w:val="15"/>
          <w:szCs w:val="15"/>
          <w:b w:val="1"/>
          <w:bCs w:val="1"/>
          <w:color w:val="auto"/>
        </w:rPr>
        <w:t xml:space="preserve"> </w:t>
      </w:r>
      <w:r>
        <w:rPr>
          <w:rFonts w:ascii="Arial" w:cs="Arial" w:eastAsia="Arial" w:hAnsi="Arial"/>
          <w:sz w:val="15"/>
          <w:szCs w:val="15"/>
          <w:color w:val="auto"/>
        </w:rPr>
        <w:t>(including without limitation a transfer by gift or operation of law), the Company and/or its assignee(s) shall have an assignable right of first refusal to purchase the Vested Shares to be sold or transferred on the terms and conditions set forth in the Exercise Agreement (the “</w:t>
      </w:r>
      <w:r>
        <w:rPr>
          <w:rFonts w:ascii="Arial" w:cs="Arial" w:eastAsia="Arial" w:hAnsi="Arial"/>
          <w:sz w:val="15"/>
          <w:szCs w:val="15"/>
          <w:b w:val="1"/>
          <w:bCs w:val="1"/>
          <w:i w:val="1"/>
          <w:iCs w:val="1"/>
          <w:color w:val="auto"/>
        </w:rPr>
        <w:t>Right of First Refusal”)</w:t>
      </w:r>
      <w:r>
        <w:rPr>
          <w:rFonts w:ascii="Arial" w:cs="Arial" w:eastAsia="Arial" w:hAnsi="Arial"/>
          <w:sz w:val="15"/>
          <w:szCs w:val="15"/>
          <w:color w:val="auto"/>
        </w:rPr>
        <w:t>. The Company’s Right of First Refusal will terminate when the Company’s securities become publicly traded.</w:t>
      </w:r>
    </w:p>
    <w:p>
      <w:pPr>
        <w:spacing w:after="0" w:line="151" w:lineRule="exact"/>
        <w:rPr>
          <w:rFonts w:ascii="Arial" w:cs="Arial" w:eastAsia="Arial" w:hAnsi="Arial"/>
          <w:sz w:val="15"/>
          <w:szCs w:val="15"/>
          <w:b w:val="1"/>
          <w:bCs w:val="1"/>
          <w:color w:val="auto"/>
        </w:rPr>
      </w:pPr>
    </w:p>
    <w:p>
      <w:pPr>
        <w:ind w:right="60" w:firstLine="448"/>
        <w:spacing w:after="0" w:line="266" w:lineRule="auto"/>
        <w:tabs>
          <w:tab w:leader="none" w:pos="608" w:val="left"/>
        </w:tabs>
        <w:numPr>
          <w:ilvl w:val="0"/>
          <w:numId w:val="423"/>
        </w:numPr>
        <w:rPr>
          <w:rFonts w:ascii="Arial" w:cs="Arial" w:eastAsia="Arial" w:hAnsi="Arial"/>
          <w:sz w:val="15"/>
          <w:szCs w:val="15"/>
          <w:b w:val="1"/>
          <w:bCs w:val="1"/>
          <w:color w:val="auto"/>
        </w:rPr>
      </w:pPr>
      <w:r>
        <w:rPr>
          <w:rFonts w:ascii="Arial" w:cs="Arial" w:eastAsia="Arial" w:hAnsi="Arial"/>
          <w:sz w:val="15"/>
          <w:szCs w:val="15"/>
          <w:b w:val="1"/>
          <w:bCs w:val="1"/>
          <w:u w:val="single" w:color="auto"/>
          <w:color w:val="auto"/>
        </w:rPr>
        <w:t>TAX CONSEQUENCES</w:t>
      </w:r>
      <w:r>
        <w:rPr>
          <w:rFonts w:ascii="Arial" w:cs="Arial" w:eastAsia="Arial" w:hAnsi="Arial"/>
          <w:sz w:val="15"/>
          <w:szCs w:val="15"/>
          <w:b w:val="1"/>
          <w:bCs w:val="1"/>
          <w:color w:val="auto"/>
        </w:rPr>
        <w:t xml:space="preserve">. </w:t>
      </w:r>
      <w:r>
        <w:rPr>
          <w:rFonts w:ascii="Arial" w:cs="Arial" w:eastAsia="Arial" w:hAnsi="Arial"/>
          <w:sz w:val="15"/>
          <w:szCs w:val="15"/>
          <w:color w:val="auto"/>
        </w:rPr>
        <w:t>Set forth below is a brief summary as of the Effective Date of the Plan of some of the federal and California tax consequences of exercise of the Option</w:t>
      </w:r>
      <w:r>
        <w:rPr>
          <w:rFonts w:ascii="Arial" w:cs="Arial" w:eastAsia="Arial" w:hAnsi="Arial"/>
          <w:sz w:val="15"/>
          <w:szCs w:val="15"/>
          <w:b w:val="1"/>
          <w:bCs w:val="1"/>
          <w:color w:val="auto"/>
        </w:rPr>
        <w:t xml:space="preserve"> </w:t>
      </w:r>
      <w:r>
        <w:rPr>
          <w:rFonts w:ascii="Arial" w:cs="Arial" w:eastAsia="Arial" w:hAnsi="Arial"/>
          <w:sz w:val="15"/>
          <w:szCs w:val="15"/>
          <w:color w:val="auto"/>
        </w:rPr>
        <w:t>and disposition of the Shares. THIS SUMMARY IS NECESSARILY INCOMPLETE, AND THE TAX LAWS AND REGULATIONS ARE SUBJECT TO CHANGE. PARTICIPANT SHOULD CONSULT A TAX ADVISER BEFORE EXERCISING THE OPTION OR DISPOSING OF THE SHARES.</w:t>
      </w:r>
    </w:p>
    <w:p>
      <w:pPr>
        <w:spacing w:after="0" w:line="58" w:lineRule="exact"/>
        <w:rPr>
          <w:sz w:val="20"/>
          <w:szCs w:val="20"/>
          <w:color w:val="auto"/>
        </w:rPr>
      </w:pPr>
    </w:p>
    <w:p>
      <w:pPr>
        <w:ind w:right="100" w:firstLine="916"/>
        <w:spacing w:after="0" w:line="266" w:lineRule="auto"/>
        <w:rPr>
          <w:sz w:val="20"/>
          <w:szCs w:val="20"/>
          <w:color w:val="auto"/>
        </w:rPr>
      </w:pPr>
      <w:r>
        <w:rPr>
          <w:rFonts w:ascii="Arial" w:cs="Arial" w:eastAsia="Arial" w:hAnsi="Arial"/>
          <w:sz w:val="15"/>
          <w:szCs w:val="15"/>
          <w:b w:val="1"/>
          <w:bCs w:val="1"/>
          <w:color w:val="auto"/>
        </w:rPr>
        <w:t xml:space="preserve">9.1 </w:t>
      </w:r>
      <w:r>
        <w:rPr>
          <w:rFonts w:ascii="Arial" w:cs="Arial" w:eastAsia="Arial" w:hAnsi="Arial"/>
          <w:sz w:val="15"/>
          <w:szCs w:val="15"/>
          <w:b w:val="1"/>
          <w:bCs w:val="1"/>
          <w:u w:val="single" w:color="auto"/>
          <w:color w:val="auto"/>
        </w:rPr>
        <w:t>Exercise of ISO</w:t>
      </w:r>
      <w:r>
        <w:rPr>
          <w:rFonts w:ascii="Arial" w:cs="Arial" w:eastAsia="Arial" w:hAnsi="Arial"/>
          <w:sz w:val="15"/>
          <w:szCs w:val="15"/>
          <w:b w:val="1"/>
          <w:bCs w:val="1"/>
          <w:color w:val="auto"/>
        </w:rPr>
        <w:t xml:space="preserve">. </w:t>
      </w:r>
      <w:r>
        <w:rPr>
          <w:rFonts w:ascii="Arial" w:cs="Arial" w:eastAsia="Arial" w:hAnsi="Arial"/>
          <w:sz w:val="15"/>
          <w:szCs w:val="15"/>
          <w:color w:val="auto"/>
        </w:rPr>
        <w:t>If the Option qualifies as an ISO, there will be no regular federal or California income tax liability upon the exercise of the Option, although the excess,</w:t>
      </w:r>
      <w:r>
        <w:rPr>
          <w:rFonts w:ascii="Arial" w:cs="Arial" w:eastAsia="Arial" w:hAnsi="Arial"/>
          <w:sz w:val="15"/>
          <w:szCs w:val="15"/>
          <w:b w:val="1"/>
          <w:bCs w:val="1"/>
          <w:color w:val="auto"/>
        </w:rPr>
        <w:t xml:space="preserve"> </w:t>
      </w:r>
      <w:r>
        <w:rPr>
          <w:rFonts w:ascii="Arial" w:cs="Arial" w:eastAsia="Arial" w:hAnsi="Arial"/>
          <w:sz w:val="15"/>
          <w:szCs w:val="15"/>
          <w:color w:val="auto"/>
        </w:rPr>
        <w:t>if any, of the Fair Market Value of the Shares on the date of exercise over the Exercise Price will be treated as a tax preference item for federal alternative minimum tax purposes and may subject the Participant to the alternative minimum tax in the year of exercise.</w:t>
      </w:r>
    </w:p>
    <w:p>
      <w:pPr>
        <w:spacing w:after="0" w:line="58" w:lineRule="exact"/>
        <w:rPr>
          <w:sz w:val="20"/>
          <w:szCs w:val="20"/>
          <w:color w:val="auto"/>
        </w:rPr>
      </w:pPr>
    </w:p>
    <w:p>
      <w:pPr>
        <w:ind w:firstLine="916"/>
        <w:spacing w:after="0" w:line="285" w:lineRule="auto"/>
        <w:rPr>
          <w:sz w:val="20"/>
          <w:szCs w:val="20"/>
          <w:color w:val="auto"/>
        </w:rPr>
      </w:pPr>
      <w:r>
        <w:rPr>
          <w:rFonts w:ascii="Arial" w:cs="Arial" w:eastAsia="Arial" w:hAnsi="Arial"/>
          <w:sz w:val="14"/>
          <w:szCs w:val="14"/>
          <w:b w:val="1"/>
          <w:bCs w:val="1"/>
          <w:color w:val="auto"/>
        </w:rPr>
        <w:t xml:space="preserve">9.2 </w:t>
      </w:r>
      <w:r>
        <w:rPr>
          <w:rFonts w:ascii="Arial" w:cs="Arial" w:eastAsia="Arial" w:hAnsi="Arial"/>
          <w:sz w:val="14"/>
          <w:szCs w:val="14"/>
          <w:b w:val="1"/>
          <w:bCs w:val="1"/>
          <w:u w:val="single" w:color="auto"/>
          <w:color w:val="auto"/>
        </w:rPr>
        <w:t>Exercise of Nonqualified Stock Option</w:t>
      </w:r>
      <w:r>
        <w:rPr>
          <w:rFonts w:ascii="Arial" w:cs="Arial" w:eastAsia="Arial" w:hAnsi="Arial"/>
          <w:sz w:val="14"/>
          <w:szCs w:val="14"/>
          <w:b w:val="1"/>
          <w:bCs w:val="1"/>
          <w:color w:val="auto"/>
        </w:rPr>
        <w:t xml:space="preserve">. </w:t>
      </w:r>
      <w:r>
        <w:rPr>
          <w:rFonts w:ascii="Arial" w:cs="Arial" w:eastAsia="Arial" w:hAnsi="Arial"/>
          <w:sz w:val="14"/>
          <w:szCs w:val="14"/>
          <w:color w:val="auto"/>
        </w:rPr>
        <w:t>If the Option does not qualify as an ISO, there may be a regular federal and California income tax liability upon the exercise of</w:t>
      </w:r>
      <w:r>
        <w:rPr>
          <w:rFonts w:ascii="Arial" w:cs="Arial" w:eastAsia="Arial" w:hAnsi="Arial"/>
          <w:sz w:val="14"/>
          <w:szCs w:val="14"/>
          <w:b w:val="1"/>
          <w:bCs w:val="1"/>
          <w:color w:val="auto"/>
        </w:rPr>
        <w:t xml:space="preserve"> </w:t>
      </w:r>
      <w:r>
        <w:rPr>
          <w:rFonts w:ascii="Arial" w:cs="Arial" w:eastAsia="Arial" w:hAnsi="Arial"/>
          <w:sz w:val="14"/>
          <w:szCs w:val="14"/>
          <w:color w:val="auto"/>
        </w:rPr>
        <w:t>the Option. Participant will be treated as having received compensation income (taxable at ordinary income tax rates) equal to the excess, if any, of the Fair Market Value of the Shares on the date of exercise over the Exercise Price. If Participant is a current or former employee of the Company, the Company may be required to withhold from Participant’s compensation or collect from Participant and pay to the applicable taxing authorities an amount equal to a percentage of this compensation income at the time of exercise.</w:t>
      </w:r>
    </w:p>
    <w:p>
      <w:pPr>
        <w:spacing w:after="0" w:line="47" w:lineRule="exact"/>
        <w:rPr>
          <w:sz w:val="20"/>
          <w:szCs w:val="20"/>
          <w:color w:val="auto"/>
        </w:rPr>
      </w:pPr>
    </w:p>
    <w:p>
      <w:pPr>
        <w:ind w:left="900"/>
        <w:spacing w:after="0"/>
        <w:rPr>
          <w:sz w:val="20"/>
          <w:szCs w:val="20"/>
          <w:color w:val="auto"/>
        </w:rPr>
      </w:pPr>
      <w:r>
        <w:rPr>
          <w:rFonts w:ascii="Arial" w:cs="Arial" w:eastAsia="Arial" w:hAnsi="Arial"/>
          <w:sz w:val="15"/>
          <w:szCs w:val="15"/>
          <w:b w:val="1"/>
          <w:bCs w:val="1"/>
          <w:color w:val="auto"/>
        </w:rPr>
        <w:t xml:space="preserve">9.3 </w:t>
      </w:r>
      <w:r>
        <w:rPr>
          <w:rFonts w:ascii="Arial" w:cs="Arial" w:eastAsia="Arial" w:hAnsi="Arial"/>
          <w:sz w:val="15"/>
          <w:szCs w:val="15"/>
          <w:b w:val="1"/>
          <w:bCs w:val="1"/>
          <w:u w:val="single" w:color="auto"/>
          <w:color w:val="auto"/>
        </w:rPr>
        <w:t>Disposition of Shares</w:t>
      </w:r>
      <w:r>
        <w:rPr>
          <w:rFonts w:ascii="Arial" w:cs="Arial" w:eastAsia="Arial" w:hAnsi="Arial"/>
          <w:sz w:val="15"/>
          <w:szCs w:val="15"/>
          <w:b w:val="1"/>
          <w:bCs w:val="1"/>
          <w:color w:val="auto"/>
        </w:rPr>
        <w:t xml:space="preserve">. </w:t>
      </w:r>
      <w:r>
        <w:rPr>
          <w:rFonts w:ascii="Arial" w:cs="Arial" w:eastAsia="Arial" w:hAnsi="Arial"/>
          <w:sz w:val="15"/>
          <w:szCs w:val="15"/>
          <w:color w:val="auto"/>
        </w:rPr>
        <w:t>The following tax consequences may apply upon disposition of the Shares:</w:t>
      </w:r>
    </w:p>
    <w:p>
      <w:pPr>
        <w:spacing w:after="0" w:line="136"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5</w:t>
      </w:r>
    </w:p>
    <w:p>
      <w:pPr>
        <w:sectPr>
          <w:pgSz w:w="11900" w:h="16838" w:orient="portrait"/>
          <w:cols w:equalWidth="0" w:num="1">
            <w:col w:w="11420"/>
          </w:cols>
          <w:pgMar w:left="240" w:top="249" w:right="239" w:bottom="1440" w:gutter="0" w:footer="0" w:header="0"/>
        </w:sectPr>
      </w:pPr>
    </w:p>
    <w:bookmarkStart w:id="457" w:name="page458"/>
    <w:bookmarkEnd w:id="457"/>
    <w:p>
      <w:pPr>
        <w:jc w:val="both"/>
        <w:ind w:left="10" w:right="80" w:firstLine="1478"/>
        <w:spacing w:after="0" w:line="313" w:lineRule="auto"/>
        <w:tabs>
          <w:tab w:leader="none" w:pos="1711" w:val="left"/>
        </w:tabs>
        <w:numPr>
          <w:ilvl w:val="2"/>
          <w:numId w:val="424"/>
        </w:numPr>
        <w:rPr>
          <w:rFonts w:ascii="Arial" w:cs="Arial" w:eastAsia="Arial" w:hAnsi="Arial"/>
          <w:sz w:val="13"/>
          <w:szCs w:val="13"/>
          <w:b w:val="1"/>
          <w:bCs w:val="1"/>
          <w:color w:val="auto"/>
        </w:rPr>
      </w:pPr>
      <w:r>
        <w:rPr>
          <w:rFonts w:ascii="Arial" w:cs="Arial" w:eastAsia="Arial" w:hAnsi="Arial"/>
          <w:sz w:val="13"/>
          <w:szCs w:val="13"/>
          <w:b w:val="1"/>
          <w:bCs w:val="1"/>
          <w:u w:val="single" w:color="auto"/>
          <w:color w:val="auto"/>
        </w:rPr>
        <w:drawing>
          <wp:anchor simplePos="0" relativeHeight="251657728" behindDoc="1" locked="0" layoutInCell="0" allowOverlap="1">
            <wp:simplePos x="0" y="0"/>
            <wp:positionH relativeFrom="page">
              <wp:posOffset>133350</wp:posOffset>
            </wp:positionH>
            <wp:positionV relativeFrom="page">
              <wp:posOffset>88900</wp:posOffset>
            </wp:positionV>
            <wp:extent cx="7308850" cy="34290"/>
            <wp:wrapNone/>
            <wp:docPr id="658" name="Picture 6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8"/>
                    <pic:cNvPicPr>
                      <a:picLocks noChangeAspect="1" noChangeArrowheads="1"/>
                    </pic:cNvPicPr>
                  </pic:nvPicPr>
                  <pic:blipFill>
                    <a:blip r:embed="rId695">
                      <a:extLst>
                        <a:ext uri="{28A0092B-C50C-407E-A947-70E740481C1C}"/>
                      </a:extLst>
                    </a:blip>
                    <a:srcRect/>
                    <a:stretch>
                      <a:fillRect/>
                    </a:stretch>
                  </pic:blipFill>
                  <pic:spPr bwMode="auto">
                    <a:xfrm>
                      <a:off x="0" y="0"/>
                      <a:ext cx="7308850" cy="34290"/>
                    </a:xfrm>
                    <a:prstGeom prst="rect">
                      <a:avLst/>
                    </a:prstGeom>
                    <a:noFill/>
                  </pic:spPr>
                </pic:pic>
              </a:graphicData>
            </a:graphic>
          </wp:anchor>
        </w:drawing>
        <w:t>Incentive Stock Options</w:t>
      </w:r>
      <w:r>
        <w:rPr>
          <w:rFonts w:ascii="Arial" w:cs="Arial" w:eastAsia="Arial" w:hAnsi="Arial"/>
          <w:sz w:val="13"/>
          <w:szCs w:val="13"/>
          <w:b w:val="1"/>
          <w:bCs w:val="1"/>
          <w:color w:val="auto"/>
        </w:rPr>
        <w:t xml:space="preserve">. </w:t>
      </w:r>
      <w:r>
        <w:rPr>
          <w:rFonts w:ascii="Arial" w:cs="Arial" w:eastAsia="Arial" w:hAnsi="Arial"/>
          <w:sz w:val="13"/>
          <w:szCs w:val="13"/>
          <w:color w:val="auto"/>
        </w:rPr>
        <w:t>If the Shares are held for more than twelve (12) months after the date of the transfer of the Shares pursuant to the exercise of an ISO</w:t>
      </w:r>
      <w:r>
        <w:rPr>
          <w:rFonts w:ascii="Arial" w:cs="Arial" w:eastAsia="Arial" w:hAnsi="Arial"/>
          <w:sz w:val="13"/>
          <w:szCs w:val="13"/>
          <w:b w:val="1"/>
          <w:bCs w:val="1"/>
          <w:color w:val="auto"/>
        </w:rPr>
        <w:t xml:space="preserve"> </w:t>
      </w:r>
      <w:r>
        <w:rPr>
          <w:rFonts w:ascii="Arial" w:cs="Arial" w:eastAsia="Arial" w:hAnsi="Arial"/>
          <w:sz w:val="13"/>
          <w:szCs w:val="13"/>
          <w:color w:val="auto"/>
        </w:rPr>
        <w:t>and are disposed of more than two (2) years after the Date of Grant, any gain realized on disposition of the Shares will be treated as long term capital gain for federal and California income tax purposes. If Shares purchased under an ISO are disposed of within the applicable one (1) year or two (2) year period, any gain realized on such disposition will be treated as compensation income (taxable at ordinary income rates) to the extent of the excess, if any, of the Fair Market Value of the Shares on the date of exercise over the Exercise Price.</w:t>
      </w:r>
    </w:p>
    <w:p>
      <w:pPr>
        <w:spacing w:after="0" w:line="32" w:lineRule="exact"/>
        <w:rPr>
          <w:rFonts w:ascii="Arial" w:cs="Arial" w:eastAsia="Arial" w:hAnsi="Arial"/>
          <w:sz w:val="13"/>
          <w:szCs w:val="13"/>
          <w:b w:val="1"/>
          <w:bCs w:val="1"/>
          <w:color w:val="auto"/>
        </w:rPr>
      </w:pPr>
    </w:p>
    <w:p>
      <w:pPr>
        <w:ind w:left="10" w:right="160" w:firstLine="1478"/>
        <w:spacing w:after="0" w:line="280" w:lineRule="auto"/>
        <w:tabs>
          <w:tab w:leader="none" w:pos="1719" w:val="left"/>
        </w:tabs>
        <w:numPr>
          <w:ilvl w:val="2"/>
          <w:numId w:val="424"/>
        </w:numPr>
        <w:rPr>
          <w:rFonts w:ascii="Arial" w:cs="Arial" w:eastAsia="Arial" w:hAnsi="Arial"/>
          <w:sz w:val="15"/>
          <w:szCs w:val="15"/>
          <w:b w:val="1"/>
          <w:bCs w:val="1"/>
          <w:color w:val="auto"/>
        </w:rPr>
      </w:pPr>
      <w:r>
        <w:rPr>
          <w:rFonts w:ascii="Arial" w:cs="Arial" w:eastAsia="Arial" w:hAnsi="Arial"/>
          <w:sz w:val="15"/>
          <w:szCs w:val="15"/>
          <w:b w:val="1"/>
          <w:bCs w:val="1"/>
          <w:u w:val="single" w:color="auto"/>
          <w:color w:val="auto"/>
        </w:rPr>
        <w:t>Nonqualified Stock Options</w:t>
      </w:r>
      <w:r>
        <w:rPr>
          <w:rFonts w:ascii="Arial" w:cs="Arial" w:eastAsia="Arial" w:hAnsi="Arial"/>
          <w:sz w:val="15"/>
          <w:szCs w:val="15"/>
          <w:b w:val="1"/>
          <w:bCs w:val="1"/>
          <w:color w:val="auto"/>
        </w:rPr>
        <w:t xml:space="preserve">. </w:t>
      </w:r>
      <w:r>
        <w:rPr>
          <w:rFonts w:ascii="Arial" w:cs="Arial" w:eastAsia="Arial" w:hAnsi="Arial"/>
          <w:sz w:val="15"/>
          <w:szCs w:val="15"/>
          <w:color w:val="auto"/>
        </w:rPr>
        <w:t>If the Shares are held for more than twelve (12) months after the date of the transfer of the Shares pursuant to the exercise of an</w:t>
      </w:r>
      <w:r>
        <w:rPr>
          <w:rFonts w:ascii="Arial" w:cs="Arial" w:eastAsia="Arial" w:hAnsi="Arial"/>
          <w:sz w:val="15"/>
          <w:szCs w:val="15"/>
          <w:b w:val="1"/>
          <w:bCs w:val="1"/>
          <w:color w:val="auto"/>
        </w:rPr>
        <w:t xml:space="preserve"> </w:t>
      </w:r>
      <w:r>
        <w:rPr>
          <w:rFonts w:ascii="Arial" w:cs="Arial" w:eastAsia="Arial" w:hAnsi="Arial"/>
          <w:sz w:val="15"/>
          <w:szCs w:val="15"/>
          <w:color w:val="auto"/>
        </w:rPr>
        <w:t>NQSO, any gain realized on disposition of the Shares will be treated as long term capital gain.</w:t>
      </w:r>
    </w:p>
    <w:p>
      <w:pPr>
        <w:spacing w:after="0" w:line="48" w:lineRule="exact"/>
        <w:rPr>
          <w:rFonts w:ascii="Arial" w:cs="Arial" w:eastAsia="Arial" w:hAnsi="Arial"/>
          <w:sz w:val="15"/>
          <w:szCs w:val="15"/>
          <w:b w:val="1"/>
          <w:bCs w:val="1"/>
          <w:color w:val="auto"/>
        </w:rPr>
      </w:pPr>
    </w:p>
    <w:p>
      <w:pPr>
        <w:ind w:left="10" w:right="220" w:firstLine="1478"/>
        <w:spacing w:after="0" w:line="280" w:lineRule="auto"/>
        <w:tabs>
          <w:tab w:leader="none" w:pos="1702" w:val="left"/>
        </w:tabs>
        <w:numPr>
          <w:ilvl w:val="2"/>
          <w:numId w:val="424"/>
        </w:numPr>
        <w:rPr>
          <w:rFonts w:ascii="Arial" w:cs="Arial" w:eastAsia="Arial" w:hAnsi="Arial"/>
          <w:sz w:val="15"/>
          <w:szCs w:val="15"/>
          <w:b w:val="1"/>
          <w:bCs w:val="1"/>
          <w:color w:val="auto"/>
        </w:rPr>
      </w:pPr>
      <w:r>
        <w:rPr>
          <w:rFonts w:ascii="Arial" w:cs="Arial" w:eastAsia="Arial" w:hAnsi="Arial"/>
          <w:sz w:val="15"/>
          <w:szCs w:val="15"/>
          <w:b w:val="1"/>
          <w:bCs w:val="1"/>
          <w:u w:val="single" w:color="auto"/>
          <w:color w:val="auto"/>
        </w:rPr>
        <w:t>Withholding</w:t>
      </w:r>
      <w:r>
        <w:rPr>
          <w:rFonts w:ascii="Arial" w:cs="Arial" w:eastAsia="Arial" w:hAnsi="Arial"/>
          <w:sz w:val="15"/>
          <w:szCs w:val="15"/>
          <w:b w:val="1"/>
          <w:bCs w:val="1"/>
          <w:color w:val="auto"/>
        </w:rPr>
        <w:t xml:space="preserve">. </w:t>
      </w:r>
      <w:r>
        <w:rPr>
          <w:rFonts w:ascii="Arial" w:cs="Arial" w:eastAsia="Arial" w:hAnsi="Arial"/>
          <w:sz w:val="15"/>
          <w:szCs w:val="15"/>
          <w:color w:val="auto"/>
        </w:rPr>
        <w:t>The Company may be required to withhold from the Participant’s compensation or collect from the Participant and pay to the applicable taxing</w:t>
      </w:r>
      <w:r>
        <w:rPr>
          <w:rFonts w:ascii="Arial" w:cs="Arial" w:eastAsia="Arial" w:hAnsi="Arial"/>
          <w:sz w:val="15"/>
          <w:szCs w:val="15"/>
          <w:b w:val="1"/>
          <w:bCs w:val="1"/>
          <w:color w:val="auto"/>
        </w:rPr>
        <w:t xml:space="preserve"> </w:t>
      </w:r>
      <w:r>
        <w:rPr>
          <w:rFonts w:ascii="Arial" w:cs="Arial" w:eastAsia="Arial" w:hAnsi="Arial"/>
          <w:sz w:val="15"/>
          <w:szCs w:val="15"/>
          <w:color w:val="auto"/>
        </w:rPr>
        <w:t>authorities an amount equal to a percentage of this compensation income.</w:t>
      </w:r>
    </w:p>
    <w:p>
      <w:pPr>
        <w:spacing w:after="0" w:line="138" w:lineRule="exact"/>
        <w:rPr>
          <w:rFonts w:ascii="Arial" w:cs="Arial" w:eastAsia="Arial" w:hAnsi="Arial"/>
          <w:sz w:val="15"/>
          <w:szCs w:val="15"/>
          <w:b w:val="1"/>
          <w:bCs w:val="1"/>
          <w:color w:val="auto"/>
        </w:rPr>
      </w:pPr>
    </w:p>
    <w:p>
      <w:pPr>
        <w:ind w:left="10" w:right="300" w:firstLine="448"/>
        <w:spacing w:after="0" w:line="280" w:lineRule="auto"/>
        <w:tabs>
          <w:tab w:leader="none" w:pos="693" w:val="left"/>
        </w:tabs>
        <w:numPr>
          <w:ilvl w:val="1"/>
          <w:numId w:val="425"/>
        </w:numPr>
        <w:rPr>
          <w:rFonts w:ascii="Arial" w:cs="Arial" w:eastAsia="Arial" w:hAnsi="Arial"/>
          <w:sz w:val="15"/>
          <w:szCs w:val="15"/>
          <w:b w:val="1"/>
          <w:bCs w:val="1"/>
          <w:color w:val="auto"/>
        </w:rPr>
      </w:pPr>
      <w:r>
        <w:rPr>
          <w:rFonts w:ascii="Arial" w:cs="Arial" w:eastAsia="Arial" w:hAnsi="Arial"/>
          <w:sz w:val="15"/>
          <w:szCs w:val="15"/>
          <w:b w:val="1"/>
          <w:bCs w:val="1"/>
          <w:u w:val="single" w:color="auto"/>
          <w:color w:val="auto"/>
        </w:rPr>
        <w:t>TRANSFER RESTRICTIONS</w:t>
      </w:r>
      <w:r>
        <w:rPr>
          <w:rFonts w:ascii="Arial" w:cs="Arial" w:eastAsia="Arial" w:hAnsi="Arial"/>
          <w:sz w:val="15"/>
          <w:szCs w:val="15"/>
          <w:b w:val="1"/>
          <w:bCs w:val="1"/>
          <w:color w:val="auto"/>
        </w:rPr>
        <w:t xml:space="preserve">. </w:t>
      </w:r>
      <w:r>
        <w:rPr>
          <w:rFonts w:ascii="Arial" w:cs="Arial" w:eastAsia="Arial" w:hAnsi="Arial"/>
          <w:sz w:val="15"/>
          <w:szCs w:val="15"/>
          <w:color w:val="auto"/>
        </w:rPr>
        <w:t>Participant hereby agrees to be bound by any and all restrictions on transfers of securities as set forth in the Company’s Bylaws (as may be</w:t>
      </w:r>
      <w:r>
        <w:rPr>
          <w:rFonts w:ascii="Arial" w:cs="Arial" w:eastAsia="Arial" w:hAnsi="Arial"/>
          <w:sz w:val="15"/>
          <w:szCs w:val="15"/>
          <w:b w:val="1"/>
          <w:bCs w:val="1"/>
          <w:color w:val="auto"/>
        </w:rPr>
        <w:t xml:space="preserve"> </w:t>
      </w:r>
      <w:r>
        <w:rPr>
          <w:rFonts w:ascii="Arial" w:cs="Arial" w:eastAsia="Arial" w:hAnsi="Arial"/>
          <w:sz w:val="15"/>
          <w:szCs w:val="15"/>
          <w:color w:val="auto"/>
        </w:rPr>
        <w:t>amended from time to time), including, but not limited to, those transfer restrictions set forth in Section 6.8.</w:t>
      </w:r>
    </w:p>
    <w:p>
      <w:pPr>
        <w:spacing w:after="0" w:line="138" w:lineRule="exact"/>
        <w:rPr>
          <w:rFonts w:ascii="Arial" w:cs="Arial" w:eastAsia="Arial" w:hAnsi="Arial"/>
          <w:sz w:val="15"/>
          <w:szCs w:val="15"/>
          <w:b w:val="1"/>
          <w:bCs w:val="1"/>
          <w:color w:val="auto"/>
        </w:rPr>
      </w:pPr>
    </w:p>
    <w:p>
      <w:pPr>
        <w:ind w:left="670" w:hanging="212"/>
        <w:spacing w:after="0"/>
        <w:tabs>
          <w:tab w:leader="none" w:pos="670" w:val="left"/>
        </w:tabs>
        <w:numPr>
          <w:ilvl w:val="1"/>
          <w:numId w:val="425"/>
        </w:numPr>
        <w:rPr>
          <w:rFonts w:ascii="Arial" w:cs="Arial" w:eastAsia="Arial" w:hAnsi="Arial"/>
          <w:sz w:val="14"/>
          <w:szCs w:val="14"/>
          <w:b w:val="1"/>
          <w:bCs w:val="1"/>
          <w:color w:val="auto"/>
        </w:rPr>
      </w:pPr>
      <w:r>
        <w:rPr>
          <w:rFonts w:ascii="Arial" w:cs="Arial" w:eastAsia="Arial" w:hAnsi="Arial"/>
          <w:sz w:val="14"/>
          <w:szCs w:val="14"/>
          <w:b w:val="1"/>
          <w:bCs w:val="1"/>
          <w:u w:val="single" w:color="auto"/>
          <w:color w:val="auto"/>
        </w:rPr>
        <w:t>PRIVILEGES OF STOCK OWNERSHIP</w:t>
      </w:r>
      <w:r>
        <w:rPr>
          <w:rFonts w:ascii="Arial" w:cs="Arial" w:eastAsia="Arial" w:hAnsi="Arial"/>
          <w:sz w:val="14"/>
          <w:szCs w:val="14"/>
          <w:b w:val="1"/>
          <w:bCs w:val="1"/>
          <w:color w:val="auto"/>
        </w:rPr>
        <w:t xml:space="preserve">. </w:t>
      </w:r>
      <w:r>
        <w:rPr>
          <w:rFonts w:ascii="Arial" w:cs="Arial" w:eastAsia="Arial" w:hAnsi="Arial"/>
          <w:sz w:val="14"/>
          <w:szCs w:val="14"/>
          <w:color w:val="auto"/>
        </w:rPr>
        <w:t>Participant shall not have any of the rights of a stockholder with respect to any Shares until the Shares are issued to Participant.</w:t>
      </w:r>
    </w:p>
    <w:p>
      <w:pPr>
        <w:spacing w:after="0" w:line="199" w:lineRule="exact"/>
        <w:rPr>
          <w:rFonts w:ascii="Arial" w:cs="Arial" w:eastAsia="Arial" w:hAnsi="Arial"/>
          <w:sz w:val="14"/>
          <w:szCs w:val="14"/>
          <w:b w:val="1"/>
          <w:bCs w:val="1"/>
          <w:color w:val="auto"/>
        </w:rPr>
      </w:pPr>
    </w:p>
    <w:p>
      <w:pPr>
        <w:ind w:left="10" w:right="60" w:firstLine="448"/>
        <w:spacing w:after="0" w:line="280" w:lineRule="auto"/>
        <w:tabs>
          <w:tab w:leader="none" w:pos="693" w:val="left"/>
        </w:tabs>
        <w:numPr>
          <w:ilvl w:val="1"/>
          <w:numId w:val="425"/>
        </w:numPr>
        <w:rPr>
          <w:rFonts w:ascii="Arial" w:cs="Arial" w:eastAsia="Arial" w:hAnsi="Arial"/>
          <w:sz w:val="15"/>
          <w:szCs w:val="15"/>
          <w:b w:val="1"/>
          <w:bCs w:val="1"/>
          <w:color w:val="auto"/>
        </w:rPr>
      </w:pPr>
      <w:r>
        <w:rPr>
          <w:rFonts w:ascii="Arial" w:cs="Arial" w:eastAsia="Arial" w:hAnsi="Arial"/>
          <w:sz w:val="15"/>
          <w:szCs w:val="15"/>
          <w:b w:val="1"/>
          <w:bCs w:val="1"/>
          <w:u w:val="single" w:color="auto"/>
          <w:color w:val="auto"/>
        </w:rPr>
        <w:t>INTERPRETATION</w:t>
      </w:r>
      <w:r>
        <w:rPr>
          <w:rFonts w:ascii="Arial" w:cs="Arial" w:eastAsia="Arial" w:hAnsi="Arial"/>
          <w:sz w:val="15"/>
          <w:szCs w:val="15"/>
          <w:b w:val="1"/>
          <w:bCs w:val="1"/>
          <w:color w:val="auto"/>
        </w:rPr>
        <w:t xml:space="preserve">. </w:t>
      </w:r>
      <w:r>
        <w:rPr>
          <w:rFonts w:ascii="Arial" w:cs="Arial" w:eastAsia="Arial" w:hAnsi="Arial"/>
          <w:sz w:val="15"/>
          <w:szCs w:val="15"/>
          <w:color w:val="auto"/>
        </w:rPr>
        <w:t>Any dispute regarding the interpretation of this Agreement shall be submitted by Participant or the Company to the Committee for review. The resolution</w:t>
      </w:r>
      <w:r>
        <w:rPr>
          <w:rFonts w:ascii="Arial" w:cs="Arial" w:eastAsia="Arial" w:hAnsi="Arial"/>
          <w:sz w:val="15"/>
          <w:szCs w:val="15"/>
          <w:b w:val="1"/>
          <w:bCs w:val="1"/>
          <w:color w:val="auto"/>
        </w:rPr>
        <w:t xml:space="preserve"> </w:t>
      </w:r>
      <w:r>
        <w:rPr>
          <w:rFonts w:ascii="Arial" w:cs="Arial" w:eastAsia="Arial" w:hAnsi="Arial"/>
          <w:sz w:val="15"/>
          <w:szCs w:val="15"/>
          <w:color w:val="auto"/>
        </w:rPr>
        <w:t>of such a dispute by the Committee shall be final and binding on the Company and Participant.</w:t>
      </w:r>
    </w:p>
    <w:p>
      <w:pPr>
        <w:spacing w:after="0" w:line="138" w:lineRule="exact"/>
        <w:rPr>
          <w:rFonts w:ascii="Arial" w:cs="Arial" w:eastAsia="Arial" w:hAnsi="Arial"/>
          <w:sz w:val="15"/>
          <w:szCs w:val="15"/>
          <w:b w:val="1"/>
          <w:bCs w:val="1"/>
          <w:color w:val="auto"/>
        </w:rPr>
      </w:pPr>
    </w:p>
    <w:p>
      <w:pPr>
        <w:jc w:val="both"/>
        <w:ind w:left="10" w:right="360" w:firstLine="448"/>
        <w:spacing w:after="0" w:line="266" w:lineRule="auto"/>
        <w:tabs>
          <w:tab w:leader="none" w:pos="693" w:val="left"/>
        </w:tabs>
        <w:numPr>
          <w:ilvl w:val="1"/>
          <w:numId w:val="425"/>
        </w:numPr>
        <w:rPr>
          <w:rFonts w:ascii="Arial" w:cs="Arial" w:eastAsia="Arial" w:hAnsi="Arial"/>
          <w:sz w:val="15"/>
          <w:szCs w:val="15"/>
          <w:b w:val="1"/>
          <w:bCs w:val="1"/>
          <w:color w:val="auto"/>
        </w:rPr>
      </w:pPr>
      <w:r>
        <w:rPr>
          <w:rFonts w:ascii="Arial" w:cs="Arial" w:eastAsia="Arial" w:hAnsi="Arial"/>
          <w:sz w:val="15"/>
          <w:szCs w:val="15"/>
          <w:b w:val="1"/>
          <w:bCs w:val="1"/>
          <w:u w:val="single" w:color="auto"/>
          <w:color w:val="auto"/>
        </w:rPr>
        <w:t>ENTIRE AGREEMENT</w:t>
      </w:r>
      <w:r>
        <w:rPr>
          <w:rFonts w:ascii="Arial" w:cs="Arial" w:eastAsia="Arial" w:hAnsi="Arial"/>
          <w:sz w:val="15"/>
          <w:szCs w:val="15"/>
          <w:b w:val="1"/>
          <w:bCs w:val="1"/>
          <w:color w:val="auto"/>
        </w:rPr>
        <w:t xml:space="preserve">. </w:t>
      </w:r>
      <w:r>
        <w:rPr>
          <w:rFonts w:ascii="Arial" w:cs="Arial" w:eastAsia="Arial" w:hAnsi="Arial"/>
          <w:sz w:val="15"/>
          <w:szCs w:val="15"/>
          <w:color w:val="auto"/>
        </w:rPr>
        <w:t>The Plan is incorporated herein by reference. This Agreement and the Plan constitute the entire agreement and understanding of the parties with</w:t>
      </w:r>
      <w:r>
        <w:rPr>
          <w:rFonts w:ascii="Arial" w:cs="Arial" w:eastAsia="Arial" w:hAnsi="Arial"/>
          <w:sz w:val="15"/>
          <w:szCs w:val="15"/>
          <w:b w:val="1"/>
          <w:bCs w:val="1"/>
          <w:color w:val="auto"/>
        </w:rPr>
        <w:t xml:space="preserve"> </w:t>
      </w:r>
      <w:r>
        <w:rPr>
          <w:rFonts w:ascii="Arial" w:cs="Arial" w:eastAsia="Arial" w:hAnsi="Arial"/>
          <w:sz w:val="15"/>
          <w:szCs w:val="15"/>
          <w:color w:val="auto"/>
        </w:rPr>
        <w:t>respect to the subject matter of this Agreement, and supersede all prior understandings and agreements, whether oral or written, between or among the parties hereto with respect to the specific subject matter hereof.</w:t>
      </w:r>
    </w:p>
    <w:p>
      <w:pPr>
        <w:spacing w:after="0" w:line="148" w:lineRule="exact"/>
        <w:rPr>
          <w:rFonts w:ascii="Arial" w:cs="Arial" w:eastAsia="Arial" w:hAnsi="Arial"/>
          <w:sz w:val="15"/>
          <w:szCs w:val="15"/>
          <w:b w:val="1"/>
          <w:bCs w:val="1"/>
          <w:color w:val="auto"/>
        </w:rPr>
      </w:pPr>
    </w:p>
    <w:p>
      <w:pPr>
        <w:ind w:left="10" w:right="100" w:firstLine="448"/>
        <w:spacing w:after="0" w:line="295" w:lineRule="auto"/>
        <w:tabs>
          <w:tab w:leader="none" w:pos="693" w:val="left"/>
        </w:tabs>
        <w:numPr>
          <w:ilvl w:val="1"/>
          <w:numId w:val="425"/>
        </w:numPr>
        <w:rPr>
          <w:rFonts w:ascii="Arial" w:cs="Arial" w:eastAsia="Arial" w:hAnsi="Arial"/>
          <w:sz w:val="13"/>
          <w:szCs w:val="13"/>
          <w:b w:val="1"/>
          <w:bCs w:val="1"/>
          <w:color w:val="auto"/>
        </w:rPr>
      </w:pPr>
      <w:r>
        <w:rPr>
          <w:rFonts w:ascii="Arial" w:cs="Arial" w:eastAsia="Arial" w:hAnsi="Arial"/>
          <w:sz w:val="13"/>
          <w:szCs w:val="13"/>
          <w:b w:val="1"/>
          <w:bCs w:val="1"/>
          <w:u w:val="single" w:color="auto"/>
          <w:color w:val="auto"/>
        </w:rPr>
        <w:t>NOTICES</w:t>
      </w:r>
      <w:r>
        <w:rPr>
          <w:rFonts w:ascii="Arial" w:cs="Arial" w:eastAsia="Arial" w:hAnsi="Arial"/>
          <w:sz w:val="13"/>
          <w:szCs w:val="13"/>
          <w:b w:val="1"/>
          <w:bCs w:val="1"/>
          <w:color w:val="auto"/>
        </w:rPr>
        <w:t xml:space="preserve">. </w:t>
      </w:r>
      <w:r>
        <w:rPr>
          <w:rFonts w:ascii="Arial" w:cs="Arial" w:eastAsia="Arial" w:hAnsi="Arial"/>
          <w:sz w:val="13"/>
          <w:szCs w:val="13"/>
          <w:color w:val="auto"/>
        </w:rPr>
        <w:t>Any and all notices required or permitted to be given to a party pursuant to the provisions of this Agreement will be in writing and will be effective and deemed to</w:t>
      </w:r>
      <w:r>
        <w:rPr>
          <w:rFonts w:ascii="Arial" w:cs="Arial" w:eastAsia="Arial" w:hAnsi="Arial"/>
          <w:sz w:val="13"/>
          <w:szCs w:val="13"/>
          <w:b w:val="1"/>
          <w:bCs w:val="1"/>
          <w:color w:val="auto"/>
        </w:rPr>
        <w:t xml:space="preserve"> </w:t>
      </w:r>
      <w:r>
        <w:rPr>
          <w:rFonts w:ascii="Arial" w:cs="Arial" w:eastAsia="Arial" w:hAnsi="Arial"/>
          <w:sz w:val="13"/>
          <w:szCs w:val="13"/>
          <w:color w:val="auto"/>
        </w:rPr>
        <w:t>provide such party sufficient notice under this Agreement on the earliest of the following: (i) at the time of personal delivery, if delivery is in person; (ii) at the time an electronic confirmation of receipt is received, if delivery is by email; (iii) at the time of transmission by facsimile, addressed to the other party at its facsimile number specified herein (or hereafter modified by subsequent notice to the parties hereto), with confirmation of receipt made by both telephone and printed confirmation sheet verifying successful transmission of the facsimile;</w:t>
      </w:r>
    </w:p>
    <w:p>
      <w:pPr>
        <w:ind w:left="10" w:hanging="10"/>
        <w:spacing w:after="0" w:line="339" w:lineRule="auto"/>
        <w:tabs>
          <w:tab w:leader="none" w:pos="264" w:val="left"/>
        </w:tabs>
        <w:numPr>
          <w:ilvl w:val="0"/>
          <w:numId w:val="426"/>
        </w:numPr>
        <w:rPr>
          <w:rFonts w:ascii="Arial" w:cs="Arial" w:eastAsia="Arial" w:hAnsi="Arial"/>
          <w:sz w:val="13"/>
          <w:szCs w:val="13"/>
          <w:color w:val="auto"/>
        </w:rPr>
      </w:pPr>
      <w:r>
        <w:rPr>
          <w:rFonts w:ascii="Arial" w:cs="Arial" w:eastAsia="Arial" w:hAnsi="Arial"/>
          <w:sz w:val="13"/>
          <w:szCs w:val="13"/>
          <w:color w:val="auto"/>
        </w:rPr>
        <w:t>one (1) business day after deposit with an express overnight courier for United States deliveries, or two (2) business days after such deposit for deliveries outside of the United States, with proof of delivery from the courier requested; or (v) three (3) business days after deposit in the United States mail by certified mail (return receipt requested) for United States deliveries.</w:t>
      </w:r>
    </w:p>
    <w:p>
      <w:pPr>
        <w:spacing w:after="0" w:line="53" w:lineRule="exact"/>
        <w:rPr>
          <w:sz w:val="20"/>
          <w:szCs w:val="20"/>
          <w:color w:val="auto"/>
        </w:rPr>
      </w:pPr>
    </w:p>
    <w:p>
      <w:pPr>
        <w:jc w:val="center"/>
        <w:ind w:right="-49"/>
        <w:spacing w:after="0"/>
        <w:rPr>
          <w:sz w:val="20"/>
          <w:szCs w:val="20"/>
          <w:color w:val="auto"/>
        </w:rPr>
      </w:pPr>
      <w:r>
        <w:rPr>
          <w:rFonts w:ascii="Arial" w:cs="Arial" w:eastAsia="Arial" w:hAnsi="Arial"/>
          <w:sz w:val="15"/>
          <w:szCs w:val="15"/>
          <w:color w:val="auto"/>
        </w:rPr>
        <w:t>6</w:t>
      </w:r>
    </w:p>
    <w:p>
      <w:pPr>
        <w:sectPr>
          <w:pgSz w:w="11900" w:h="16838" w:orient="portrait"/>
          <w:cols w:equalWidth="0" w:num="1">
            <w:col w:w="11390"/>
          </w:cols>
          <w:pgMar w:left="230" w:top="249" w:right="279" w:bottom="1440" w:gutter="0" w:footer="0" w:header="0"/>
        </w:sectPr>
      </w:pPr>
    </w:p>
    <w:bookmarkStart w:id="458" w:name="page459"/>
    <w:bookmarkEnd w:id="458"/>
    <w:p>
      <w:pPr>
        <w:ind w:right="40" w:firstLine="1488"/>
        <w:spacing w:after="0" w:line="259"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133350</wp:posOffset>
            </wp:positionH>
            <wp:positionV relativeFrom="page">
              <wp:posOffset>88900</wp:posOffset>
            </wp:positionV>
            <wp:extent cx="7308850" cy="34290"/>
            <wp:wrapNone/>
            <wp:docPr id="659" name="Picture 6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9"/>
                    <pic:cNvPicPr>
                      <a:picLocks noChangeAspect="1" noChangeArrowheads="1"/>
                    </pic:cNvPicPr>
                  </pic:nvPicPr>
                  <pic:blipFill>
                    <a:blip r:embed="rId696">
                      <a:extLst>
                        <a:ext uri="{28A0092B-C50C-407E-A947-70E740481C1C}"/>
                      </a:extLst>
                    </a:blip>
                    <a:srcRect/>
                    <a:stretch>
                      <a:fillRect/>
                    </a:stretch>
                  </pic:blipFill>
                  <pic:spPr bwMode="auto">
                    <a:xfrm>
                      <a:off x="0" y="0"/>
                      <a:ext cx="7308850" cy="34290"/>
                    </a:xfrm>
                    <a:prstGeom prst="rect">
                      <a:avLst/>
                    </a:prstGeom>
                    <a:noFill/>
                  </pic:spPr>
                </pic:pic>
              </a:graphicData>
            </a:graphic>
          </wp:anchor>
        </w:drawing>
        <w:t>All notices for delivery outside the United States will be sent by facsimile or by express courier. All notices not delivered personally or by facsimile will be sent with postage and/or other charges prepaid and properly addressed to the party to be notified at the address or facsimile number set forth below the signature lines of this Agreement, or at such other address or facsimile number as such other party may designate by one of the indicated means of notice herein to the other parties hereto. Notices to the Company will be marked “Attention: President”. Notices by facsimile shall be machine verified as received.</w:t>
      </w:r>
    </w:p>
    <w:p>
      <w:pPr>
        <w:spacing w:after="0" w:line="154" w:lineRule="exact"/>
        <w:rPr>
          <w:sz w:val="20"/>
          <w:szCs w:val="20"/>
          <w:color w:val="auto"/>
        </w:rPr>
      </w:pPr>
    </w:p>
    <w:p>
      <w:pPr>
        <w:ind w:right="40" w:firstLine="448"/>
        <w:spacing w:after="0" w:line="285" w:lineRule="auto"/>
        <w:tabs>
          <w:tab w:leader="none" w:pos="683" w:val="left"/>
        </w:tabs>
        <w:numPr>
          <w:ilvl w:val="0"/>
          <w:numId w:val="427"/>
        </w:numPr>
        <w:rPr>
          <w:rFonts w:ascii="Arial" w:cs="Arial" w:eastAsia="Arial" w:hAnsi="Arial"/>
          <w:sz w:val="14"/>
          <w:szCs w:val="14"/>
          <w:b w:val="1"/>
          <w:bCs w:val="1"/>
          <w:color w:val="auto"/>
        </w:rPr>
      </w:pPr>
      <w:r>
        <w:rPr>
          <w:rFonts w:ascii="Arial" w:cs="Arial" w:eastAsia="Arial" w:hAnsi="Arial"/>
          <w:sz w:val="14"/>
          <w:szCs w:val="14"/>
          <w:b w:val="1"/>
          <w:bCs w:val="1"/>
          <w:u w:val="single" w:color="auto"/>
          <w:color w:val="auto"/>
        </w:rPr>
        <w:t>SUCCESSORS AND ASSIGNS</w:t>
      </w:r>
      <w:r>
        <w:rPr>
          <w:rFonts w:ascii="Arial" w:cs="Arial" w:eastAsia="Arial" w:hAnsi="Arial"/>
          <w:sz w:val="14"/>
          <w:szCs w:val="14"/>
          <w:b w:val="1"/>
          <w:bCs w:val="1"/>
          <w:color w:val="auto"/>
        </w:rPr>
        <w:t xml:space="preserve">. </w:t>
      </w:r>
      <w:r>
        <w:rPr>
          <w:rFonts w:ascii="Arial" w:cs="Arial" w:eastAsia="Arial" w:hAnsi="Arial"/>
          <w:sz w:val="14"/>
          <w:szCs w:val="14"/>
          <w:color w:val="auto"/>
        </w:rPr>
        <w:t>The Company may assign any of its rights under this Agreement including its rights to purchase Shares under the Right of First Refusal. No</w:t>
      </w:r>
      <w:r>
        <w:rPr>
          <w:rFonts w:ascii="Arial" w:cs="Arial" w:eastAsia="Arial" w:hAnsi="Arial"/>
          <w:sz w:val="14"/>
          <w:szCs w:val="14"/>
          <w:b w:val="1"/>
          <w:bCs w:val="1"/>
          <w:color w:val="auto"/>
        </w:rPr>
        <w:t xml:space="preserve"> </w:t>
      </w:r>
      <w:r>
        <w:rPr>
          <w:rFonts w:ascii="Arial" w:cs="Arial" w:eastAsia="Arial" w:hAnsi="Arial"/>
          <w:sz w:val="14"/>
          <w:szCs w:val="14"/>
          <w:color w:val="auto"/>
        </w:rPr>
        <w:t>other party to this Agreement may assign, whether voluntarily or by operation of law, any of its rights and obligations under this Agreement, except with the prior written consent of the Company. This Agreement shall be binding upon and inure to the benefit of the successors and assigns of the Company. Subject to the restrictions on transfer set forth herein, this Agreement shall be binding upon Participant and Participant’s heirs, executors, administrators, legal representatives, successors and assigns.</w:t>
      </w:r>
    </w:p>
    <w:p>
      <w:pPr>
        <w:spacing w:after="0" w:line="137" w:lineRule="exact"/>
        <w:rPr>
          <w:rFonts w:ascii="Arial" w:cs="Arial" w:eastAsia="Arial" w:hAnsi="Arial"/>
          <w:sz w:val="14"/>
          <w:szCs w:val="14"/>
          <w:b w:val="1"/>
          <w:bCs w:val="1"/>
          <w:color w:val="auto"/>
        </w:rPr>
      </w:pPr>
    </w:p>
    <w:p>
      <w:pPr>
        <w:ind w:right="420" w:firstLine="448"/>
        <w:spacing w:after="0" w:line="280" w:lineRule="auto"/>
        <w:tabs>
          <w:tab w:leader="none" w:pos="683" w:val="left"/>
        </w:tabs>
        <w:numPr>
          <w:ilvl w:val="0"/>
          <w:numId w:val="427"/>
        </w:numPr>
        <w:rPr>
          <w:rFonts w:ascii="Arial" w:cs="Arial" w:eastAsia="Arial" w:hAnsi="Arial"/>
          <w:sz w:val="15"/>
          <w:szCs w:val="15"/>
          <w:b w:val="1"/>
          <w:bCs w:val="1"/>
          <w:color w:val="auto"/>
        </w:rPr>
      </w:pPr>
      <w:r>
        <w:rPr>
          <w:rFonts w:ascii="Arial" w:cs="Arial" w:eastAsia="Arial" w:hAnsi="Arial"/>
          <w:sz w:val="15"/>
          <w:szCs w:val="15"/>
          <w:b w:val="1"/>
          <w:bCs w:val="1"/>
          <w:u w:val="single" w:color="auto"/>
          <w:color w:val="auto"/>
        </w:rPr>
        <w:t>GOVERNING LAW</w:t>
      </w:r>
      <w:r>
        <w:rPr>
          <w:rFonts w:ascii="Arial" w:cs="Arial" w:eastAsia="Arial" w:hAnsi="Arial"/>
          <w:sz w:val="15"/>
          <w:szCs w:val="15"/>
          <w:b w:val="1"/>
          <w:bCs w:val="1"/>
          <w:color w:val="auto"/>
        </w:rPr>
        <w:t xml:space="preserve">. </w:t>
      </w:r>
      <w:r>
        <w:rPr>
          <w:rFonts w:ascii="Arial" w:cs="Arial" w:eastAsia="Arial" w:hAnsi="Arial"/>
          <w:sz w:val="15"/>
          <w:szCs w:val="15"/>
          <w:color w:val="auto"/>
        </w:rPr>
        <w:t>This Agreement shall be governed by and construed in accordance with the laws of the State of California, without giving effect to that body of laws</w:t>
      </w:r>
      <w:r>
        <w:rPr>
          <w:rFonts w:ascii="Arial" w:cs="Arial" w:eastAsia="Arial" w:hAnsi="Arial"/>
          <w:sz w:val="15"/>
          <w:szCs w:val="15"/>
          <w:b w:val="1"/>
          <w:bCs w:val="1"/>
          <w:color w:val="auto"/>
        </w:rPr>
        <w:t xml:space="preserve"> </w:t>
      </w:r>
      <w:r>
        <w:rPr>
          <w:rFonts w:ascii="Arial" w:cs="Arial" w:eastAsia="Arial" w:hAnsi="Arial"/>
          <w:sz w:val="15"/>
          <w:szCs w:val="15"/>
          <w:color w:val="auto"/>
        </w:rPr>
        <w:t>pertaining to conflict of laws.</w:t>
      </w:r>
    </w:p>
    <w:p>
      <w:pPr>
        <w:spacing w:after="0" w:line="138" w:lineRule="exact"/>
        <w:rPr>
          <w:rFonts w:ascii="Arial" w:cs="Arial" w:eastAsia="Arial" w:hAnsi="Arial"/>
          <w:sz w:val="15"/>
          <w:szCs w:val="15"/>
          <w:b w:val="1"/>
          <w:bCs w:val="1"/>
          <w:color w:val="auto"/>
        </w:rPr>
      </w:pPr>
    </w:p>
    <w:p>
      <w:pPr>
        <w:ind w:right="120" w:firstLine="448"/>
        <w:spacing w:after="0" w:line="266" w:lineRule="auto"/>
        <w:tabs>
          <w:tab w:leader="none" w:pos="683" w:val="left"/>
        </w:tabs>
        <w:numPr>
          <w:ilvl w:val="0"/>
          <w:numId w:val="427"/>
        </w:numPr>
        <w:rPr>
          <w:rFonts w:ascii="Arial" w:cs="Arial" w:eastAsia="Arial" w:hAnsi="Arial"/>
          <w:sz w:val="15"/>
          <w:szCs w:val="15"/>
          <w:b w:val="1"/>
          <w:bCs w:val="1"/>
          <w:color w:val="auto"/>
        </w:rPr>
      </w:pPr>
      <w:r>
        <w:rPr>
          <w:rFonts w:ascii="Arial" w:cs="Arial" w:eastAsia="Arial" w:hAnsi="Arial"/>
          <w:sz w:val="15"/>
          <w:szCs w:val="15"/>
          <w:b w:val="1"/>
          <w:bCs w:val="1"/>
          <w:u w:val="single" w:color="auto"/>
          <w:color w:val="auto"/>
        </w:rPr>
        <w:t>ACCEPTANCE</w:t>
      </w:r>
      <w:r>
        <w:rPr>
          <w:rFonts w:ascii="Arial" w:cs="Arial" w:eastAsia="Arial" w:hAnsi="Arial"/>
          <w:sz w:val="15"/>
          <w:szCs w:val="15"/>
          <w:b w:val="1"/>
          <w:bCs w:val="1"/>
          <w:color w:val="auto"/>
        </w:rPr>
        <w:t xml:space="preserve">. </w:t>
      </w:r>
      <w:r>
        <w:rPr>
          <w:rFonts w:ascii="Arial" w:cs="Arial" w:eastAsia="Arial" w:hAnsi="Arial"/>
          <w:sz w:val="15"/>
          <w:szCs w:val="15"/>
          <w:color w:val="auto"/>
        </w:rPr>
        <w:t>Participant hereby acknowledges receipt of a copy of the Plan and this Agreement. Participant has read and understands the terms and provisions thereof, and</w:t>
      </w:r>
      <w:r>
        <w:rPr>
          <w:rFonts w:ascii="Arial" w:cs="Arial" w:eastAsia="Arial" w:hAnsi="Arial"/>
          <w:sz w:val="15"/>
          <w:szCs w:val="15"/>
          <w:b w:val="1"/>
          <w:bCs w:val="1"/>
          <w:color w:val="auto"/>
        </w:rPr>
        <w:t xml:space="preserve"> </w:t>
      </w:r>
      <w:r>
        <w:rPr>
          <w:rFonts w:ascii="Arial" w:cs="Arial" w:eastAsia="Arial" w:hAnsi="Arial"/>
          <w:sz w:val="15"/>
          <w:szCs w:val="15"/>
          <w:color w:val="auto"/>
        </w:rPr>
        <w:t>accepts the Option subject to all the terms and conditions of the Plan and this Agreement. Participant acknowledges that there may be adverse tax consequences upon exercise of the Option or disposition of the Shares and that Participant should consult a tax adviser prior to such exercise or disposition.</w:t>
      </w:r>
    </w:p>
    <w:p>
      <w:pPr>
        <w:spacing w:after="0" w:line="148" w:lineRule="exact"/>
        <w:rPr>
          <w:rFonts w:ascii="Arial" w:cs="Arial" w:eastAsia="Arial" w:hAnsi="Arial"/>
          <w:sz w:val="15"/>
          <w:szCs w:val="15"/>
          <w:b w:val="1"/>
          <w:bCs w:val="1"/>
          <w:color w:val="auto"/>
        </w:rPr>
      </w:pPr>
    </w:p>
    <w:p>
      <w:pPr>
        <w:ind w:right="200" w:firstLine="448"/>
        <w:spacing w:after="0" w:line="280" w:lineRule="auto"/>
        <w:tabs>
          <w:tab w:leader="none" w:pos="683" w:val="left"/>
        </w:tabs>
        <w:numPr>
          <w:ilvl w:val="0"/>
          <w:numId w:val="427"/>
        </w:numPr>
        <w:rPr>
          <w:rFonts w:ascii="Arial" w:cs="Arial" w:eastAsia="Arial" w:hAnsi="Arial"/>
          <w:sz w:val="15"/>
          <w:szCs w:val="15"/>
          <w:b w:val="1"/>
          <w:bCs w:val="1"/>
          <w:color w:val="auto"/>
        </w:rPr>
      </w:pPr>
      <w:r>
        <w:rPr>
          <w:rFonts w:ascii="Arial" w:cs="Arial" w:eastAsia="Arial" w:hAnsi="Arial"/>
          <w:sz w:val="15"/>
          <w:szCs w:val="15"/>
          <w:b w:val="1"/>
          <w:bCs w:val="1"/>
          <w:u w:val="single" w:color="auto"/>
          <w:color w:val="auto"/>
        </w:rPr>
        <w:t>FURTHER ASSURANCES</w:t>
      </w:r>
      <w:r>
        <w:rPr>
          <w:rFonts w:ascii="Arial" w:cs="Arial" w:eastAsia="Arial" w:hAnsi="Arial"/>
          <w:sz w:val="15"/>
          <w:szCs w:val="15"/>
          <w:b w:val="1"/>
          <w:bCs w:val="1"/>
          <w:color w:val="auto"/>
        </w:rPr>
        <w:t xml:space="preserve">. </w:t>
      </w:r>
      <w:r>
        <w:rPr>
          <w:rFonts w:ascii="Arial" w:cs="Arial" w:eastAsia="Arial" w:hAnsi="Arial"/>
          <w:sz w:val="15"/>
          <w:szCs w:val="15"/>
          <w:color w:val="auto"/>
        </w:rPr>
        <w:t>The parties agree to execute such further documents and instruments and to take such further actions as may be reasonably necessary to carry out</w:t>
      </w:r>
      <w:r>
        <w:rPr>
          <w:rFonts w:ascii="Arial" w:cs="Arial" w:eastAsia="Arial" w:hAnsi="Arial"/>
          <w:sz w:val="15"/>
          <w:szCs w:val="15"/>
          <w:b w:val="1"/>
          <w:bCs w:val="1"/>
          <w:color w:val="auto"/>
        </w:rPr>
        <w:t xml:space="preserve"> </w:t>
      </w:r>
      <w:r>
        <w:rPr>
          <w:rFonts w:ascii="Arial" w:cs="Arial" w:eastAsia="Arial" w:hAnsi="Arial"/>
          <w:sz w:val="15"/>
          <w:szCs w:val="15"/>
          <w:color w:val="auto"/>
        </w:rPr>
        <w:t>the purposes and intent of this Agreement.</w:t>
      </w:r>
    </w:p>
    <w:p>
      <w:pPr>
        <w:spacing w:after="0" w:line="138" w:lineRule="exact"/>
        <w:rPr>
          <w:rFonts w:ascii="Arial" w:cs="Arial" w:eastAsia="Arial" w:hAnsi="Arial"/>
          <w:sz w:val="15"/>
          <w:szCs w:val="15"/>
          <w:b w:val="1"/>
          <w:bCs w:val="1"/>
          <w:color w:val="auto"/>
        </w:rPr>
      </w:pPr>
    </w:p>
    <w:p>
      <w:pPr>
        <w:ind w:right="80" w:firstLine="448"/>
        <w:spacing w:after="0" w:line="280" w:lineRule="auto"/>
        <w:tabs>
          <w:tab w:leader="none" w:pos="683" w:val="left"/>
        </w:tabs>
        <w:numPr>
          <w:ilvl w:val="0"/>
          <w:numId w:val="427"/>
        </w:numPr>
        <w:rPr>
          <w:rFonts w:ascii="Arial" w:cs="Arial" w:eastAsia="Arial" w:hAnsi="Arial"/>
          <w:sz w:val="15"/>
          <w:szCs w:val="15"/>
          <w:b w:val="1"/>
          <w:bCs w:val="1"/>
          <w:color w:val="auto"/>
        </w:rPr>
      </w:pPr>
      <w:r>
        <w:rPr>
          <w:rFonts w:ascii="Arial" w:cs="Arial" w:eastAsia="Arial" w:hAnsi="Arial"/>
          <w:sz w:val="15"/>
          <w:szCs w:val="15"/>
          <w:b w:val="1"/>
          <w:bCs w:val="1"/>
          <w:u w:val="single" w:color="auto"/>
          <w:color w:val="auto"/>
        </w:rPr>
        <w:t>TITLES AND HEADINGS</w:t>
      </w:r>
      <w:r>
        <w:rPr>
          <w:rFonts w:ascii="Arial" w:cs="Arial" w:eastAsia="Arial" w:hAnsi="Arial"/>
          <w:sz w:val="15"/>
          <w:szCs w:val="15"/>
          <w:b w:val="1"/>
          <w:bCs w:val="1"/>
          <w:color w:val="auto"/>
        </w:rPr>
        <w:t xml:space="preserve">. </w:t>
      </w:r>
      <w:r>
        <w:rPr>
          <w:rFonts w:ascii="Arial" w:cs="Arial" w:eastAsia="Arial" w:hAnsi="Arial"/>
          <w:sz w:val="15"/>
          <w:szCs w:val="15"/>
          <w:color w:val="auto"/>
        </w:rPr>
        <w:t>The titles, captions and headings of this Agreement are included for ease of reference only and will be disregarded in interpreting or construing this</w:t>
      </w:r>
      <w:r>
        <w:rPr>
          <w:rFonts w:ascii="Arial" w:cs="Arial" w:eastAsia="Arial" w:hAnsi="Arial"/>
          <w:sz w:val="15"/>
          <w:szCs w:val="15"/>
          <w:b w:val="1"/>
          <w:bCs w:val="1"/>
          <w:color w:val="auto"/>
        </w:rPr>
        <w:t xml:space="preserve"> </w:t>
      </w:r>
      <w:r>
        <w:rPr>
          <w:rFonts w:ascii="Arial" w:cs="Arial" w:eastAsia="Arial" w:hAnsi="Arial"/>
          <w:sz w:val="15"/>
          <w:szCs w:val="15"/>
          <w:color w:val="auto"/>
        </w:rPr>
        <w:t>Agreement. Unless otherwise specifically stated, all references herein to “sections” and “exhibits” will mean “sections” and “exhibits” to this Agreement.</w:t>
      </w:r>
    </w:p>
    <w:p>
      <w:pPr>
        <w:spacing w:after="0" w:line="138" w:lineRule="exact"/>
        <w:rPr>
          <w:rFonts w:ascii="Arial" w:cs="Arial" w:eastAsia="Arial" w:hAnsi="Arial"/>
          <w:sz w:val="15"/>
          <w:szCs w:val="15"/>
          <w:b w:val="1"/>
          <w:bCs w:val="1"/>
          <w:color w:val="auto"/>
        </w:rPr>
      </w:pPr>
    </w:p>
    <w:p>
      <w:pPr>
        <w:ind w:right="40" w:firstLine="448"/>
        <w:spacing w:after="0" w:line="280" w:lineRule="auto"/>
        <w:tabs>
          <w:tab w:leader="none" w:pos="683" w:val="left"/>
        </w:tabs>
        <w:numPr>
          <w:ilvl w:val="0"/>
          <w:numId w:val="427"/>
        </w:numPr>
        <w:rPr>
          <w:rFonts w:ascii="Arial" w:cs="Arial" w:eastAsia="Arial" w:hAnsi="Arial"/>
          <w:sz w:val="15"/>
          <w:szCs w:val="15"/>
          <w:b w:val="1"/>
          <w:bCs w:val="1"/>
          <w:color w:val="auto"/>
        </w:rPr>
      </w:pPr>
      <w:r>
        <w:rPr>
          <w:rFonts w:ascii="Arial" w:cs="Arial" w:eastAsia="Arial" w:hAnsi="Arial"/>
          <w:sz w:val="15"/>
          <w:szCs w:val="15"/>
          <w:b w:val="1"/>
          <w:bCs w:val="1"/>
          <w:u w:val="single" w:color="auto"/>
          <w:color w:val="auto"/>
        </w:rPr>
        <w:t>COUNTERPARTS</w:t>
      </w:r>
      <w:r>
        <w:rPr>
          <w:rFonts w:ascii="Arial" w:cs="Arial" w:eastAsia="Arial" w:hAnsi="Arial"/>
          <w:sz w:val="15"/>
          <w:szCs w:val="15"/>
          <w:b w:val="1"/>
          <w:bCs w:val="1"/>
          <w:color w:val="auto"/>
        </w:rPr>
        <w:t xml:space="preserve">. </w:t>
      </w:r>
      <w:r>
        <w:rPr>
          <w:rFonts w:ascii="Arial" w:cs="Arial" w:eastAsia="Arial" w:hAnsi="Arial"/>
          <w:sz w:val="15"/>
          <w:szCs w:val="15"/>
          <w:color w:val="auto"/>
        </w:rPr>
        <w:t>This Agreement may be executed in any number of counterparts, each of which when so executed and delivered will be deemed an original, and all of which</w:t>
      </w:r>
      <w:r>
        <w:rPr>
          <w:rFonts w:ascii="Arial" w:cs="Arial" w:eastAsia="Arial" w:hAnsi="Arial"/>
          <w:sz w:val="15"/>
          <w:szCs w:val="15"/>
          <w:b w:val="1"/>
          <w:bCs w:val="1"/>
          <w:color w:val="auto"/>
        </w:rPr>
        <w:t xml:space="preserve"> </w:t>
      </w:r>
      <w:r>
        <w:rPr>
          <w:rFonts w:ascii="Arial" w:cs="Arial" w:eastAsia="Arial" w:hAnsi="Arial"/>
          <w:sz w:val="15"/>
          <w:szCs w:val="15"/>
          <w:color w:val="auto"/>
        </w:rPr>
        <w:t>together shall constitute one and the same agreement.</w:t>
      </w:r>
    </w:p>
    <w:p>
      <w:pPr>
        <w:spacing w:after="0" w:line="138" w:lineRule="exact"/>
        <w:rPr>
          <w:rFonts w:ascii="Arial" w:cs="Arial" w:eastAsia="Arial" w:hAnsi="Arial"/>
          <w:sz w:val="15"/>
          <w:szCs w:val="15"/>
          <w:b w:val="1"/>
          <w:bCs w:val="1"/>
          <w:color w:val="auto"/>
        </w:rPr>
      </w:pPr>
    </w:p>
    <w:p>
      <w:pPr>
        <w:ind w:firstLine="448"/>
        <w:spacing w:after="0" w:line="325" w:lineRule="auto"/>
        <w:tabs>
          <w:tab w:leader="none" w:pos="683" w:val="left"/>
        </w:tabs>
        <w:numPr>
          <w:ilvl w:val="0"/>
          <w:numId w:val="427"/>
        </w:numPr>
        <w:rPr>
          <w:rFonts w:ascii="Arial" w:cs="Arial" w:eastAsia="Arial" w:hAnsi="Arial"/>
          <w:sz w:val="13"/>
          <w:szCs w:val="13"/>
          <w:b w:val="1"/>
          <w:bCs w:val="1"/>
          <w:color w:val="auto"/>
        </w:rPr>
      </w:pPr>
      <w:r>
        <w:rPr>
          <w:rFonts w:ascii="Arial" w:cs="Arial" w:eastAsia="Arial" w:hAnsi="Arial"/>
          <w:sz w:val="13"/>
          <w:szCs w:val="13"/>
          <w:b w:val="1"/>
          <w:bCs w:val="1"/>
          <w:u w:val="single" w:color="auto"/>
          <w:color w:val="auto"/>
        </w:rPr>
        <w:t>SEVERABILITY</w:t>
      </w:r>
      <w:r>
        <w:rPr>
          <w:rFonts w:ascii="Arial" w:cs="Arial" w:eastAsia="Arial" w:hAnsi="Arial"/>
          <w:sz w:val="13"/>
          <w:szCs w:val="13"/>
          <w:b w:val="1"/>
          <w:bCs w:val="1"/>
          <w:color w:val="auto"/>
        </w:rPr>
        <w:t xml:space="preserve">. </w:t>
      </w:r>
      <w:r>
        <w:rPr>
          <w:rFonts w:ascii="Arial" w:cs="Arial" w:eastAsia="Arial" w:hAnsi="Arial"/>
          <w:sz w:val="13"/>
          <w:szCs w:val="13"/>
          <w:color w:val="auto"/>
        </w:rPr>
        <w:t>If any provision of this Agreement is determined by any court or arbitrator of competent jurisdiction to be invalid, illegal or unenforceable in any respect, such</w:t>
      </w:r>
      <w:r>
        <w:rPr>
          <w:rFonts w:ascii="Arial" w:cs="Arial" w:eastAsia="Arial" w:hAnsi="Arial"/>
          <w:sz w:val="13"/>
          <w:szCs w:val="13"/>
          <w:b w:val="1"/>
          <w:bCs w:val="1"/>
          <w:color w:val="auto"/>
        </w:rPr>
        <w:t xml:space="preserve"> </w:t>
      </w:r>
      <w:r>
        <w:rPr>
          <w:rFonts w:ascii="Arial" w:cs="Arial" w:eastAsia="Arial" w:hAnsi="Arial"/>
          <w:sz w:val="13"/>
          <w:szCs w:val="13"/>
          <w:color w:val="auto"/>
        </w:rPr>
        <w:t>provision will be enforced to the maximum extent possible given the intent of the parties hereto. If such clause or provision cannot be so enforced, such provision shall be stricken from this Agreement and the remainder of this Agreement shall be enforced as if such invalid, illegal or unenforceable clause or provision had (to the extent not enforceable) never been contained in</w:t>
      </w:r>
    </w:p>
    <w:p>
      <w:pPr>
        <w:spacing w:after="0" w:line="62"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7</w:t>
      </w:r>
    </w:p>
    <w:p>
      <w:pPr>
        <w:sectPr>
          <w:pgSz w:w="11900" w:h="16838" w:orient="portrait"/>
          <w:cols w:equalWidth="0" w:num="1">
            <w:col w:w="11440"/>
          </w:cols>
          <w:pgMar w:left="240" w:top="253" w:right="219" w:bottom="1440" w:gutter="0" w:footer="0" w:header="0"/>
        </w:sectPr>
      </w:pPr>
    </w:p>
    <w:bookmarkStart w:id="459" w:name="page460"/>
    <w:bookmarkEnd w:id="459"/>
    <w:p>
      <w:pPr>
        <w:spacing w:after="0" w:line="354" w:lineRule="auto"/>
        <w:rPr>
          <w:sz w:val="20"/>
          <w:szCs w:val="20"/>
          <w:color w:val="auto"/>
        </w:rPr>
      </w:pPr>
      <w:r>
        <w:rPr>
          <w:rFonts w:ascii="Arial" w:cs="Arial" w:eastAsia="Arial" w:hAnsi="Arial"/>
          <w:sz w:val="13"/>
          <w:szCs w:val="13"/>
          <w:color w:val="auto"/>
        </w:rPr>
        <w:drawing>
          <wp:anchor simplePos="0" relativeHeight="251657728" behindDoc="1" locked="0" layoutInCell="0" allowOverlap="1">
            <wp:simplePos x="0" y="0"/>
            <wp:positionH relativeFrom="page">
              <wp:posOffset>133350</wp:posOffset>
            </wp:positionH>
            <wp:positionV relativeFrom="page">
              <wp:posOffset>88900</wp:posOffset>
            </wp:positionV>
            <wp:extent cx="7308850" cy="34290"/>
            <wp:wrapNone/>
            <wp:docPr id="660" name="Picture 6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0"/>
                    <pic:cNvPicPr>
                      <a:picLocks noChangeAspect="1" noChangeArrowheads="1"/>
                    </pic:cNvPicPr>
                  </pic:nvPicPr>
                  <pic:blipFill>
                    <a:blip r:embed="rId697">
                      <a:extLst>
                        <a:ext uri="{28A0092B-C50C-407E-A947-70E740481C1C}"/>
                      </a:extLst>
                    </a:blip>
                    <a:srcRect/>
                    <a:stretch>
                      <a:fillRect/>
                    </a:stretch>
                  </pic:blipFill>
                  <pic:spPr bwMode="auto">
                    <a:xfrm>
                      <a:off x="0" y="0"/>
                      <a:ext cx="7308850" cy="34290"/>
                    </a:xfrm>
                    <a:prstGeom prst="rect">
                      <a:avLst/>
                    </a:prstGeom>
                    <a:noFill/>
                  </pic:spPr>
                </pic:pic>
              </a:graphicData>
            </a:graphic>
          </wp:anchor>
        </w:drawing>
        <w:t>this Agreement. Notwithstanding the forgoing, if the value of this Agreement based upon the substantial benefit of the bargain for any party is materially impaired, which determination as made by the presiding court or arbitrator of competent jurisdiction shall be binding, then both parties agree to substitute such provision(s) through good faith negotiations.</w:t>
      </w:r>
    </w:p>
    <w:p>
      <w:pPr>
        <w:spacing w:after="0" w:line="96" w:lineRule="exact"/>
        <w:rPr>
          <w:sz w:val="20"/>
          <w:szCs w:val="20"/>
          <w:color w:val="auto"/>
        </w:rPr>
      </w:pPr>
    </w:p>
    <w:p>
      <w:pPr>
        <w:ind w:right="160" w:firstLine="448"/>
        <w:spacing w:after="0" w:line="280" w:lineRule="auto"/>
        <w:tabs>
          <w:tab w:leader="none" w:pos="683" w:val="left"/>
        </w:tabs>
        <w:numPr>
          <w:ilvl w:val="0"/>
          <w:numId w:val="428"/>
        </w:numPr>
        <w:rPr>
          <w:rFonts w:ascii="Arial" w:cs="Arial" w:eastAsia="Arial" w:hAnsi="Arial"/>
          <w:sz w:val="15"/>
          <w:szCs w:val="15"/>
          <w:b w:val="1"/>
          <w:bCs w:val="1"/>
          <w:color w:val="auto"/>
        </w:rPr>
      </w:pPr>
      <w:r>
        <w:rPr>
          <w:rFonts w:ascii="Arial" w:cs="Arial" w:eastAsia="Arial" w:hAnsi="Arial"/>
          <w:sz w:val="15"/>
          <w:szCs w:val="15"/>
          <w:b w:val="1"/>
          <w:bCs w:val="1"/>
          <w:u w:val="single" w:color="auto"/>
          <w:color w:val="auto"/>
        </w:rPr>
        <w:t>FACSIMILE SIGNATURES</w:t>
      </w:r>
      <w:r>
        <w:rPr>
          <w:rFonts w:ascii="Arial" w:cs="Arial" w:eastAsia="Arial" w:hAnsi="Arial"/>
          <w:sz w:val="15"/>
          <w:szCs w:val="15"/>
          <w:b w:val="1"/>
          <w:bCs w:val="1"/>
          <w:color w:val="auto"/>
        </w:rPr>
        <w:t xml:space="preserve">. </w:t>
      </w:r>
      <w:r>
        <w:rPr>
          <w:rFonts w:ascii="Arial" w:cs="Arial" w:eastAsia="Arial" w:hAnsi="Arial"/>
          <w:sz w:val="15"/>
          <w:szCs w:val="15"/>
          <w:color w:val="auto"/>
        </w:rPr>
        <w:t>This Agreement may be executed and delivered by facsimile and upon such delivery the facsimile signature will be deemed to have the same</w:t>
      </w:r>
      <w:r>
        <w:rPr>
          <w:rFonts w:ascii="Arial" w:cs="Arial" w:eastAsia="Arial" w:hAnsi="Arial"/>
          <w:sz w:val="15"/>
          <w:szCs w:val="15"/>
          <w:b w:val="1"/>
          <w:bCs w:val="1"/>
          <w:color w:val="auto"/>
        </w:rPr>
        <w:t xml:space="preserve"> </w:t>
      </w:r>
      <w:r>
        <w:rPr>
          <w:rFonts w:ascii="Arial" w:cs="Arial" w:eastAsia="Arial" w:hAnsi="Arial"/>
          <w:sz w:val="15"/>
          <w:szCs w:val="15"/>
          <w:color w:val="auto"/>
        </w:rPr>
        <w:t>effect as if the original signature had been delivered to the other party.</w:t>
      </w:r>
    </w:p>
    <w:p>
      <w:pPr>
        <w:spacing w:after="0" w:line="143" w:lineRule="exact"/>
        <w:rPr>
          <w:sz w:val="20"/>
          <w:szCs w:val="20"/>
          <w:color w:val="auto"/>
        </w:rPr>
      </w:pPr>
    </w:p>
    <w:p>
      <w:pPr>
        <w:jc w:val="center"/>
        <w:ind w:right="-199"/>
        <w:spacing w:after="0"/>
        <w:rPr>
          <w:sz w:val="20"/>
          <w:szCs w:val="20"/>
          <w:color w:val="auto"/>
        </w:rPr>
      </w:pPr>
      <w:r>
        <w:rPr>
          <w:rFonts w:ascii="Arial" w:cs="Arial" w:eastAsia="Arial" w:hAnsi="Arial"/>
          <w:sz w:val="15"/>
          <w:szCs w:val="15"/>
          <w:b w:val="1"/>
          <w:bCs w:val="1"/>
          <w:i w:val="1"/>
          <w:iCs w:val="1"/>
          <w:color w:val="auto"/>
        </w:rPr>
        <w:t>[Signature Page Follows]</w:t>
      </w:r>
    </w:p>
    <w:p>
      <w:pPr>
        <w:spacing w:after="0" w:line="132" w:lineRule="exact"/>
        <w:rPr>
          <w:sz w:val="20"/>
          <w:szCs w:val="20"/>
          <w:color w:val="auto"/>
        </w:rPr>
      </w:pPr>
    </w:p>
    <w:p>
      <w:pPr>
        <w:jc w:val="center"/>
        <w:ind w:right="-199"/>
        <w:spacing w:after="0"/>
        <w:rPr>
          <w:sz w:val="20"/>
          <w:szCs w:val="20"/>
          <w:color w:val="auto"/>
        </w:rPr>
      </w:pPr>
      <w:r>
        <w:rPr>
          <w:rFonts w:ascii="Arial" w:cs="Arial" w:eastAsia="Arial" w:hAnsi="Arial"/>
          <w:sz w:val="15"/>
          <w:szCs w:val="15"/>
          <w:color w:val="auto"/>
        </w:rPr>
        <w:t>8</w:t>
      </w:r>
    </w:p>
    <w:p>
      <w:pPr>
        <w:sectPr>
          <w:pgSz w:w="11900" w:h="16838" w:orient="portrait"/>
          <w:cols w:equalWidth="0" w:num="1">
            <w:col w:w="11240"/>
          </w:cols>
          <w:pgMar w:left="240" w:top="253" w:right="419" w:bottom="1440" w:gutter="0" w:footer="0" w:header="0"/>
        </w:sectPr>
      </w:pPr>
    </w:p>
    <w:bookmarkStart w:id="460" w:name="page461"/>
    <w:bookmarkEnd w:id="460"/>
    <w:p>
      <w:pPr>
        <w:ind w:firstLine="458"/>
        <w:spacing w:after="0" w:line="280" w:lineRule="auto"/>
        <w:rPr>
          <w:sz w:val="20"/>
          <w:szCs w:val="20"/>
          <w:color w:val="auto"/>
        </w:rPr>
      </w:pPr>
      <w:r>
        <w:rPr>
          <w:rFonts w:ascii="Arial" w:cs="Arial" w:eastAsia="Arial" w:hAnsi="Arial"/>
          <w:sz w:val="15"/>
          <w:szCs w:val="15"/>
          <w:b w:val="1"/>
          <w:bCs w:val="1"/>
          <w:color w:val="auto"/>
        </w:rPr>
        <w:drawing>
          <wp:anchor simplePos="0" relativeHeight="251657728" behindDoc="1" locked="0" layoutInCell="0" allowOverlap="1">
            <wp:simplePos x="0" y="0"/>
            <wp:positionH relativeFrom="page">
              <wp:posOffset>133350</wp:posOffset>
            </wp:positionH>
            <wp:positionV relativeFrom="page">
              <wp:posOffset>88900</wp:posOffset>
            </wp:positionV>
            <wp:extent cx="7308850" cy="34290"/>
            <wp:wrapNone/>
            <wp:docPr id="661" name="Picture 6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1"/>
                    <pic:cNvPicPr>
                      <a:picLocks noChangeAspect="1" noChangeArrowheads="1"/>
                    </pic:cNvPicPr>
                  </pic:nvPicPr>
                  <pic:blipFill>
                    <a:blip r:embed="rId698">
                      <a:extLst>
                        <a:ext uri="{28A0092B-C50C-407E-A947-70E740481C1C}"/>
                      </a:extLst>
                    </a:blip>
                    <a:srcRect/>
                    <a:stretch>
                      <a:fillRect/>
                    </a:stretch>
                  </pic:blipFill>
                  <pic:spPr bwMode="auto">
                    <a:xfrm>
                      <a:off x="0" y="0"/>
                      <a:ext cx="7308850" cy="34290"/>
                    </a:xfrm>
                    <a:prstGeom prst="rect">
                      <a:avLst/>
                    </a:prstGeom>
                    <a:noFill/>
                  </pic:spPr>
                </pic:pic>
              </a:graphicData>
            </a:graphic>
          </wp:anchor>
        </w:drawing>
        <w:t xml:space="preserve">IN WITNESS WHEREOF, </w:t>
      </w:r>
      <w:r>
        <w:rPr>
          <w:rFonts w:ascii="Arial" w:cs="Arial" w:eastAsia="Arial" w:hAnsi="Arial"/>
          <w:sz w:val="15"/>
          <w:szCs w:val="15"/>
          <w:color w:val="auto"/>
        </w:rPr>
        <w:t>the Company has caused this Agreement to be executed by its duly authorized representative and Participant has executed this Agreement, effective as</w:t>
      </w:r>
      <w:r>
        <w:rPr>
          <w:rFonts w:ascii="Arial" w:cs="Arial" w:eastAsia="Arial" w:hAnsi="Arial"/>
          <w:sz w:val="15"/>
          <w:szCs w:val="15"/>
          <w:b w:val="1"/>
          <w:bCs w:val="1"/>
          <w:color w:val="auto"/>
        </w:rPr>
        <w:t xml:space="preserve"> </w:t>
      </w:r>
      <w:r>
        <w:rPr>
          <w:rFonts w:ascii="Arial" w:cs="Arial" w:eastAsia="Arial" w:hAnsi="Arial"/>
          <w:sz w:val="15"/>
          <w:szCs w:val="15"/>
          <w:color w:val="auto"/>
        </w:rPr>
        <w:t>of the Date of Grant.</w:t>
      </w:r>
    </w:p>
    <w:p>
      <w:pPr>
        <w:sectPr>
          <w:pgSz w:w="11900" w:h="16838" w:orient="portrait"/>
          <w:cols w:equalWidth="0" w:num="1">
            <w:col w:w="11280"/>
          </w:cols>
          <w:pgMar w:left="240" w:top="249" w:right="379" w:bottom="1440" w:gutter="0" w:footer="0" w:header="0"/>
        </w:sectPr>
      </w:pPr>
    </w:p>
    <w:p>
      <w:pPr>
        <w:spacing w:after="0" w:line="207"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DROPBOX, INC.</w:t>
      </w:r>
    </w:p>
    <w:p>
      <w:pPr>
        <w:spacing w:after="0" w:line="192" w:lineRule="exact"/>
        <w:rPr>
          <w:sz w:val="20"/>
          <w:szCs w:val="20"/>
          <w:color w:val="auto"/>
        </w:rPr>
      </w:pPr>
    </w:p>
    <w:p>
      <w:pPr>
        <w:spacing w:after="0"/>
        <w:rPr>
          <w:sz w:val="20"/>
          <w:szCs w:val="20"/>
          <w:color w:val="auto"/>
        </w:rPr>
      </w:pPr>
      <w:r>
        <w:rPr>
          <w:rFonts w:ascii="Arial" w:cs="Arial" w:eastAsia="Arial" w:hAnsi="Arial"/>
          <w:sz w:val="15"/>
          <w:szCs w:val="15"/>
          <w:color w:val="auto"/>
        </w:rPr>
        <w:t>By: /s/ Ramsey Homsany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151130</wp:posOffset>
            </wp:positionH>
            <wp:positionV relativeFrom="paragraph">
              <wp:posOffset>12065</wp:posOffset>
            </wp:positionV>
            <wp:extent cx="2979420" cy="6985"/>
            <wp:wrapNone/>
            <wp:docPr id="662" name="Picture 6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2"/>
                    <pic:cNvPicPr>
                      <a:picLocks noChangeAspect="1" noChangeArrowheads="1"/>
                    </pic:cNvPicPr>
                  </pic:nvPicPr>
                  <pic:blipFill>
                    <a:blip r:embed="rId699">
                      <a:extLst>
                        <a:ext uri="{28A0092B-C50C-407E-A947-70E740481C1C}"/>
                      </a:extLst>
                    </a:blip>
                    <a:srcRect/>
                    <a:stretch>
                      <a:fillRect/>
                    </a:stretch>
                  </pic:blipFill>
                  <pic:spPr bwMode="auto">
                    <a:xfrm>
                      <a:off x="0" y="0"/>
                      <a:ext cx="2979420" cy="6985"/>
                    </a:xfrm>
                    <a:prstGeom prst="rect">
                      <a:avLst/>
                    </a:prstGeom>
                    <a:noFill/>
                  </pic:spPr>
                </pic:pic>
              </a:graphicData>
            </a:graphic>
          </wp:anchor>
        </w:drawing>
      </w:r>
    </w:p>
    <w:p>
      <w:pPr>
        <w:spacing w:after="0" w:line="360" w:lineRule="exact"/>
        <w:rPr>
          <w:sz w:val="20"/>
          <w:szCs w:val="20"/>
          <w:color w:val="auto"/>
        </w:rPr>
      </w:pPr>
    </w:p>
    <w:p>
      <w:pPr>
        <w:spacing w:after="0"/>
        <w:rPr>
          <w:sz w:val="20"/>
          <w:szCs w:val="20"/>
          <w:color w:val="auto"/>
        </w:rPr>
      </w:pPr>
      <w:r>
        <w:rPr>
          <w:rFonts w:ascii="Arial" w:cs="Arial" w:eastAsia="Arial" w:hAnsi="Arial"/>
          <w:sz w:val="15"/>
          <w:szCs w:val="15"/>
          <w:color w:val="auto"/>
        </w:rPr>
        <w:t>Ramsey Homsany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12065</wp:posOffset>
            </wp:positionV>
            <wp:extent cx="3136900" cy="6985"/>
            <wp:wrapNone/>
            <wp:docPr id="663" name="Picture 6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3"/>
                    <pic:cNvPicPr>
                      <a:picLocks noChangeAspect="1" noChangeArrowheads="1"/>
                    </pic:cNvPicPr>
                  </pic:nvPicPr>
                  <pic:blipFill>
                    <a:blip r:embed="rId700">
                      <a:extLst>
                        <a:ext uri="{28A0092B-C50C-407E-A947-70E740481C1C}"/>
                      </a:extLst>
                    </a:blip>
                    <a:srcRect/>
                    <a:stretch>
                      <a:fillRect/>
                    </a:stretch>
                  </pic:blipFill>
                  <pic:spPr bwMode="auto">
                    <a:xfrm>
                      <a:off x="0" y="0"/>
                      <a:ext cx="3136900" cy="6985"/>
                    </a:xfrm>
                    <a:prstGeom prst="rect">
                      <a:avLst/>
                    </a:prstGeom>
                    <a:noFill/>
                  </pic:spPr>
                </pic:pic>
              </a:graphicData>
            </a:graphic>
          </wp:anchor>
        </w:drawing>
      </w:r>
    </w:p>
    <w:p>
      <w:pPr>
        <w:spacing w:after="0" w:line="11" w:lineRule="exact"/>
        <w:rPr>
          <w:sz w:val="20"/>
          <w:szCs w:val="20"/>
          <w:color w:val="auto"/>
        </w:rPr>
      </w:pPr>
    </w:p>
    <w:p>
      <w:pPr>
        <w:spacing w:after="0"/>
        <w:rPr>
          <w:sz w:val="20"/>
          <w:szCs w:val="20"/>
          <w:color w:val="auto"/>
        </w:rPr>
      </w:pPr>
      <w:r>
        <w:rPr>
          <w:rFonts w:ascii="Arial" w:cs="Arial" w:eastAsia="Arial" w:hAnsi="Arial"/>
          <w:sz w:val="15"/>
          <w:szCs w:val="15"/>
          <w:color w:val="auto"/>
        </w:rPr>
        <w:t>(Please print name)</w:t>
      </w:r>
    </w:p>
    <w:p>
      <w:pPr>
        <w:spacing w:after="0" w:line="188" w:lineRule="exact"/>
        <w:rPr>
          <w:sz w:val="20"/>
          <w:szCs w:val="20"/>
          <w:color w:val="auto"/>
        </w:rPr>
      </w:pPr>
    </w:p>
    <w:p>
      <w:pPr>
        <w:spacing w:after="0"/>
        <w:rPr>
          <w:sz w:val="20"/>
          <w:szCs w:val="20"/>
          <w:color w:val="auto"/>
        </w:rPr>
      </w:pPr>
      <w:r>
        <w:rPr>
          <w:rFonts w:ascii="Arial" w:cs="Arial" w:eastAsia="Arial" w:hAnsi="Arial"/>
          <w:sz w:val="15"/>
          <w:szCs w:val="15"/>
          <w:color w:val="auto"/>
        </w:rPr>
        <w:t>General Counsel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12065</wp:posOffset>
            </wp:positionV>
            <wp:extent cx="3136900" cy="6985"/>
            <wp:wrapNone/>
            <wp:docPr id="664" name="Picture 6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4"/>
                    <pic:cNvPicPr>
                      <a:picLocks noChangeAspect="1" noChangeArrowheads="1"/>
                    </pic:cNvPicPr>
                  </pic:nvPicPr>
                  <pic:blipFill>
                    <a:blip r:embed="rId701">
                      <a:extLst>
                        <a:ext uri="{28A0092B-C50C-407E-A947-70E740481C1C}"/>
                      </a:extLst>
                    </a:blip>
                    <a:srcRect/>
                    <a:stretch>
                      <a:fillRect/>
                    </a:stretch>
                  </pic:blipFill>
                  <pic:spPr bwMode="auto">
                    <a:xfrm>
                      <a:off x="0" y="0"/>
                      <a:ext cx="3136900" cy="6985"/>
                    </a:xfrm>
                    <a:prstGeom prst="rect">
                      <a:avLst/>
                    </a:prstGeom>
                    <a:noFill/>
                  </pic:spPr>
                </pic:pic>
              </a:graphicData>
            </a:graphic>
          </wp:anchor>
        </w:drawing>
      </w:r>
    </w:p>
    <w:p>
      <w:pPr>
        <w:spacing w:after="0" w:line="11" w:lineRule="exact"/>
        <w:rPr>
          <w:sz w:val="20"/>
          <w:szCs w:val="20"/>
          <w:color w:val="auto"/>
        </w:rPr>
      </w:pPr>
    </w:p>
    <w:p>
      <w:pPr>
        <w:spacing w:after="0"/>
        <w:rPr>
          <w:sz w:val="20"/>
          <w:szCs w:val="20"/>
          <w:color w:val="auto"/>
        </w:rPr>
      </w:pPr>
      <w:r>
        <w:rPr>
          <w:rFonts w:ascii="Arial" w:cs="Arial" w:eastAsia="Arial" w:hAnsi="Arial"/>
          <w:sz w:val="15"/>
          <w:szCs w:val="15"/>
          <w:color w:val="auto"/>
        </w:rPr>
        <w:t>(Please print title)</w:t>
      </w:r>
    </w:p>
    <w:p>
      <w:pPr>
        <w:spacing w:after="0" w:line="188" w:lineRule="exact"/>
        <w:rPr>
          <w:sz w:val="20"/>
          <w:szCs w:val="20"/>
          <w:color w:val="auto"/>
        </w:rPr>
      </w:pPr>
    </w:p>
    <w:p>
      <w:pPr>
        <w:spacing w:after="0"/>
        <w:tabs>
          <w:tab w:leader="none" w:pos="720" w:val="left"/>
        </w:tabs>
        <w:rPr>
          <w:sz w:val="20"/>
          <w:szCs w:val="20"/>
          <w:color w:val="auto"/>
        </w:rPr>
      </w:pPr>
      <w:r>
        <w:rPr>
          <w:rFonts w:ascii="Arial" w:cs="Arial" w:eastAsia="Arial" w:hAnsi="Arial"/>
          <w:sz w:val="13"/>
          <w:szCs w:val="13"/>
          <w:color w:val="auto"/>
        </w:rPr>
        <w:t>Address:</w:t>
      </w:r>
      <w:r>
        <w:rPr>
          <w:sz w:val="20"/>
          <w:szCs w:val="20"/>
          <w:color w:val="auto"/>
        </w:rPr>
        <w:tab/>
      </w:r>
      <w:r>
        <w:rPr>
          <w:rFonts w:ascii="Arial" w:cs="Arial" w:eastAsia="Arial" w:hAnsi="Arial"/>
          <w:sz w:val="13"/>
          <w:szCs w:val="13"/>
          <w:color w:val="auto"/>
        </w:rPr>
        <w:t>185 Berry Street, Suite 400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437515</wp:posOffset>
            </wp:positionH>
            <wp:positionV relativeFrom="paragraph">
              <wp:posOffset>33655</wp:posOffset>
            </wp:positionV>
            <wp:extent cx="2693035" cy="6985"/>
            <wp:wrapNone/>
            <wp:docPr id="665" name="Picture 6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5"/>
                    <pic:cNvPicPr>
                      <a:picLocks noChangeAspect="1" noChangeArrowheads="1"/>
                    </pic:cNvPicPr>
                  </pic:nvPicPr>
                  <pic:blipFill>
                    <a:blip r:embed="rId702">
                      <a:extLst>
                        <a:ext uri="{28A0092B-C50C-407E-A947-70E740481C1C}"/>
                      </a:extLst>
                    </a:blip>
                    <a:srcRect/>
                    <a:stretch>
                      <a:fillRect/>
                    </a:stretch>
                  </pic:blipFill>
                  <pic:spPr bwMode="auto">
                    <a:xfrm>
                      <a:off x="0" y="0"/>
                      <a:ext cx="2693035" cy="6985"/>
                    </a:xfrm>
                    <a:prstGeom prst="rect">
                      <a:avLst/>
                    </a:prstGeom>
                    <a:noFill/>
                  </pic:spPr>
                </pic:pic>
              </a:graphicData>
            </a:graphic>
          </wp:anchor>
        </w:drawing>
      </w:r>
    </w:p>
    <w:p>
      <w:pPr>
        <w:spacing w:after="0" w:line="34" w:lineRule="exact"/>
        <w:rPr>
          <w:sz w:val="20"/>
          <w:szCs w:val="20"/>
          <w:color w:val="auto"/>
        </w:rPr>
      </w:pPr>
    </w:p>
    <w:p>
      <w:pPr>
        <w:spacing w:after="0"/>
        <w:rPr>
          <w:sz w:val="20"/>
          <w:szCs w:val="20"/>
          <w:color w:val="auto"/>
        </w:rPr>
      </w:pPr>
      <w:r>
        <w:rPr>
          <w:rFonts w:ascii="Arial" w:cs="Arial" w:eastAsia="Arial" w:hAnsi="Arial"/>
          <w:sz w:val="15"/>
          <w:szCs w:val="15"/>
          <w:color w:val="auto"/>
        </w:rPr>
        <w:t>San Francisco, CA 94107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12065</wp:posOffset>
            </wp:positionV>
            <wp:extent cx="3136900" cy="6985"/>
            <wp:wrapNone/>
            <wp:docPr id="666" name="Picture 6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6"/>
                    <pic:cNvPicPr>
                      <a:picLocks noChangeAspect="1" noChangeArrowheads="1"/>
                    </pic:cNvPicPr>
                  </pic:nvPicPr>
                  <pic:blipFill>
                    <a:blip r:embed="rId703">
                      <a:extLst>
                        <a:ext uri="{28A0092B-C50C-407E-A947-70E740481C1C}"/>
                      </a:extLst>
                    </a:blip>
                    <a:srcRect/>
                    <a:stretch>
                      <a:fillRect/>
                    </a:stretch>
                  </pic:blipFill>
                  <pic:spPr bwMode="auto">
                    <a:xfrm>
                      <a:off x="0" y="0"/>
                      <a:ext cx="3136900" cy="6985"/>
                    </a:xfrm>
                    <a:prstGeom prst="rect">
                      <a:avLst/>
                    </a:prstGeom>
                    <a:noFill/>
                  </pic:spPr>
                </pic:pic>
              </a:graphicData>
            </a:graphic>
          </wp:anchor>
        </w:drawing>
      </w:r>
    </w:p>
    <w:p>
      <w:pPr>
        <w:spacing w:after="0"/>
        <w:rPr>
          <w:sz w:val="20"/>
          <w:szCs w:val="20"/>
          <w:color w:val="auto"/>
        </w:rPr>
      </w:pPr>
      <w:r>
        <w:rPr>
          <w:rFonts w:ascii="Arial" w:cs="Arial" w:eastAsia="Arial" w:hAnsi="Arial"/>
          <w:sz w:val="15"/>
          <w:szCs w:val="15"/>
          <w:color w:val="auto"/>
        </w:rPr>
        <w:t>Phone 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559435</wp:posOffset>
            </wp:positionH>
            <wp:positionV relativeFrom="paragraph">
              <wp:posOffset>12065</wp:posOffset>
            </wp:positionV>
            <wp:extent cx="2571115" cy="6985"/>
            <wp:wrapNone/>
            <wp:docPr id="667" name="Picture 6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7"/>
                    <pic:cNvPicPr>
                      <a:picLocks noChangeAspect="1" noChangeArrowheads="1"/>
                    </pic:cNvPicPr>
                  </pic:nvPicPr>
                  <pic:blipFill>
                    <a:blip r:embed="rId704">
                      <a:extLst>
                        <a:ext uri="{28A0092B-C50C-407E-A947-70E740481C1C}"/>
                      </a:extLst>
                    </a:blip>
                    <a:srcRect/>
                    <a:stretch>
                      <a:fillRect/>
                    </a:stretch>
                  </pic:blipFill>
                  <pic:spPr bwMode="auto">
                    <a:xfrm>
                      <a:off x="0" y="0"/>
                      <a:ext cx="2571115" cy="698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jc w:val="center"/>
        <w:ind w:right="3880"/>
        <w:spacing w:after="0"/>
        <w:rPr>
          <w:sz w:val="20"/>
          <w:szCs w:val="20"/>
          <w:color w:val="auto"/>
        </w:rPr>
      </w:pPr>
      <w:r>
        <w:rPr>
          <w:rFonts w:ascii="Arial" w:cs="Arial" w:eastAsia="Arial" w:hAnsi="Arial"/>
          <w:sz w:val="15"/>
          <w:szCs w:val="15"/>
          <w:b w:val="1"/>
          <w:bCs w:val="1"/>
          <w:color w:val="auto"/>
        </w:rPr>
        <w:t>PARTICIPANT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243205</wp:posOffset>
            </wp:positionV>
            <wp:extent cx="3136900" cy="6985"/>
            <wp:wrapNone/>
            <wp:docPr id="668" name="Picture 6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8"/>
                    <pic:cNvPicPr>
                      <a:picLocks noChangeAspect="1" noChangeArrowheads="1"/>
                    </pic:cNvPicPr>
                  </pic:nvPicPr>
                  <pic:blipFill>
                    <a:blip r:embed="rId705">
                      <a:extLst>
                        <a:ext uri="{28A0092B-C50C-407E-A947-70E740481C1C}"/>
                      </a:extLst>
                    </a:blip>
                    <a:srcRect/>
                    <a:stretch>
                      <a:fillRect/>
                    </a:stretch>
                  </pic:blipFill>
                  <pic:spPr bwMode="auto">
                    <a:xfrm>
                      <a:off x="0" y="0"/>
                      <a:ext cx="3136900" cy="6985"/>
                    </a:xfrm>
                    <a:prstGeom prst="rect">
                      <a:avLst/>
                    </a:prstGeom>
                    <a:noFill/>
                  </pic:spPr>
                </pic:pic>
              </a:graphicData>
            </a:graphic>
          </wp:anchor>
        </w:drawing>
      </w:r>
    </w:p>
    <w:p>
      <w:pPr>
        <w:spacing w:after="0" w:line="364" w:lineRule="exact"/>
        <w:rPr>
          <w:sz w:val="20"/>
          <w:szCs w:val="20"/>
          <w:color w:val="auto"/>
        </w:rPr>
      </w:pPr>
    </w:p>
    <w:p>
      <w:pPr>
        <w:spacing w:after="0"/>
        <w:rPr>
          <w:sz w:val="20"/>
          <w:szCs w:val="20"/>
          <w:color w:val="auto"/>
        </w:rPr>
      </w:pPr>
      <w:r>
        <w:rPr>
          <w:rFonts w:ascii="Arial" w:cs="Arial" w:eastAsia="Arial" w:hAnsi="Arial"/>
          <w:sz w:val="15"/>
          <w:szCs w:val="15"/>
          <w:color w:val="auto"/>
        </w:rPr>
        <w:t>Signature</w:t>
      </w:r>
    </w:p>
    <w:p>
      <w:pPr>
        <w:spacing w:after="0" w:line="188" w:lineRule="exact"/>
        <w:rPr>
          <w:sz w:val="20"/>
          <w:szCs w:val="20"/>
          <w:color w:val="auto"/>
        </w:rPr>
      </w:pPr>
    </w:p>
    <w:p>
      <w:pPr>
        <w:spacing w:after="0"/>
        <w:rPr>
          <w:sz w:val="20"/>
          <w:szCs w:val="20"/>
          <w:color w:val="auto"/>
        </w:rPr>
      </w:pPr>
      <w:r>
        <w:rPr>
          <w:rFonts w:ascii="Arial" w:cs="Arial" w:eastAsia="Arial" w:hAnsi="Arial"/>
          <w:sz w:val="15"/>
          <w:szCs w:val="15"/>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wp:posOffset>
            </wp:positionV>
            <wp:extent cx="3136900" cy="6985"/>
            <wp:wrapNone/>
            <wp:docPr id="669" name="Picture 6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9"/>
                    <pic:cNvPicPr>
                      <a:picLocks noChangeAspect="1" noChangeArrowheads="1"/>
                    </pic:cNvPicPr>
                  </pic:nvPicPr>
                  <pic:blipFill>
                    <a:blip r:embed="rId706">
                      <a:extLst>
                        <a:ext uri="{28A0092B-C50C-407E-A947-70E740481C1C}"/>
                      </a:extLst>
                    </a:blip>
                    <a:srcRect/>
                    <a:stretch>
                      <a:fillRect/>
                    </a:stretch>
                  </pic:blipFill>
                  <pic:spPr bwMode="auto">
                    <a:xfrm>
                      <a:off x="0" y="0"/>
                      <a:ext cx="3136900" cy="6985"/>
                    </a:xfrm>
                    <a:prstGeom prst="rect">
                      <a:avLst/>
                    </a:prstGeom>
                    <a:noFill/>
                  </pic:spPr>
                </pic:pic>
              </a:graphicData>
            </a:graphic>
          </wp:anchor>
        </w:drawing>
      </w:r>
    </w:p>
    <w:p>
      <w:pPr>
        <w:spacing w:after="0" w:line="11" w:lineRule="exact"/>
        <w:rPr>
          <w:sz w:val="20"/>
          <w:szCs w:val="20"/>
          <w:color w:val="auto"/>
        </w:rPr>
      </w:pPr>
    </w:p>
    <w:p>
      <w:pPr>
        <w:spacing w:after="0"/>
        <w:rPr>
          <w:sz w:val="20"/>
          <w:szCs w:val="20"/>
          <w:color w:val="auto"/>
        </w:rPr>
      </w:pPr>
      <w:r>
        <w:rPr>
          <w:rFonts w:ascii="Arial" w:cs="Arial" w:eastAsia="Arial" w:hAnsi="Arial"/>
          <w:sz w:val="15"/>
          <w:szCs w:val="15"/>
          <w:color w:val="auto"/>
        </w:rPr>
        <w:t>(Please print name)</w:t>
      </w: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spacing w:after="0"/>
        <w:tabs>
          <w:tab w:leader="none" w:pos="780" w:val="left"/>
        </w:tabs>
        <w:rPr>
          <w:sz w:val="20"/>
          <w:szCs w:val="20"/>
          <w:color w:val="auto"/>
        </w:rPr>
      </w:pPr>
      <w:r>
        <w:rPr>
          <w:rFonts w:ascii="Arial" w:cs="Arial" w:eastAsia="Arial" w:hAnsi="Arial"/>
          <w:sz w:val="13"/>
          <w:szCs w:val="13"/>
          <w:color w:val="auto"/>
        </w:rPr>
        <w:t>Address:</w:t>
      </w:r>
      <w:r>
        <w:rPr>
          <w:sz w:val="20"/>
          <w:szCs w:val="20"/>
          <w:color w:val="auto"/>
        </w:rPr>
        <w:tab/>
      </w:r>
      <w:r>
        <w:rPr>
          <w:rFonts w:ascii="Arial" w:cs="Arial" w:eastAsia="Arial" w:hAnsi="Arial"/>
          <w:sz w:val="13"/>
          <w:szCs w:val="13"/>
          <w:color w:val="auto"/>
        </w:rPr>
        <w:t>«Address1»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475615</wp:posOffset>
            </wp:positionH>
            <wp:positionV relativeFrom="paragraph">
              <wp:posOffset>26670</wp:posOffset>
            </wp:positionV>
            <wp:extent cx="2664460" cy="6985"/>
            <wp:wrapNone/>
            <wp:docPr id="670" name="Picture 6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0"/>
                    <pic:cNvPicPr>
                      <a:picLocks noChangeAspect="1" noChangeArrowheads="1"/>
                    </pic:cNvPicPr>
                  </pic:nvPicPr>
                  <pic:blipFill>
                    <a:blip r:embed="rId707">
                      <a:extLst>
                        <a:ext uri="{28A0092B-C50C-407E-A947-70E740481C1C}"/>
                      </a:extLst>
                    </a:blip>
                    <a:srcRect/>
                    <a:stretch>
                      <a:fillRect/>
                    </a:stretch>
                  </pic:blipFill>
                  <pic:spPr bwMode="auto">
                    <a:xfrm>
                      <a:off x="0" y="0"/>
                      <a:ext cx="2664460" cy="6985"/>
                    </a:xfrm>
                    <a:prstGeom prst="rect">
                      <a:avLst/>
                    </a:prstGeom>
                    <a:noFill/>
                  </pic:spPr>
                </pic:pic>
              </a:graphicData>
            </a:graphic>
          </wp:anchor>
        </w:drawing>
      </w:r>
    </w:p>
    <w:p>
      <w:pPr>
        <w:spacing w:after="0" w:line="22" w:lineRule="exact"/>
        <w:rPr>
          <w:sz w:val="20"/>
          <w:szCs w:val="20"/>
          <w:color w:val="auto"/>
        </w:rPr>
      </w:pPr>
    </w:p>
    <w:p>
      <w:pPr>
        <w:spacing w:after="0"/>
        <w:rPr>
          <w:sz w:val="20"/>
          <w:szCs w:val="20"/>
          <w:color w:val="auto"/>
        </w:rPr>
      </w:pPr>
      <w:r>
        <w:rPr>
          <w:rFonts w:ascii="Arial" w:cs="Arial" w:eastAsia="Arial" w:hAnsi="Arial"/>
          <w:sz w:val="15"/>
          <w:szCs w:val="15"/>
          <w:color w:val="auto"/>
        </w:rPr>
        <w:t>«Address2»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wp:posOffset>
            </wp:positionV>
            <wp:extent cx="3136900" cy="6985"/>
            <wp:wrapNone/>
            <wp:docPr id="671" name="Picture 6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1"/>
                    <pic:cNvPicPr>
                      <a:picLocks noChangeAspect="1" noChangeArrowheads="1"/>
                    </pic:cNvPicPr>
                  </pic:nvPicPr>
                  <pic:blipFill>
                    <a:blip r:embed="rId708">
                      <a:extLst>
                        <a:ext uri="{28A0092B-C50C-407E-A947-70E740481C1C}"/>
                      </a:extLst>
                    </a:blip>
                    <a:srcRect/>
                    <a:stretch>
                      <a:fillRect/>
                    </a:stretch>
                  </pic:blipFill>
                  <pic:spPr bwMode="auto">
                    <a:xfrm>
                      <a:off x="0" y="0"/>
                      <a:ext cx="3136900" cy="6985"/>
                    </a:xfrm>
                    <a:prstGeom prst="rect">
                      <a:avLst/>
                    </a:prstGeom>
                    <a:noFill/>
                  </pic:spPr>
                </pic:pic>
              </a:graphicData>
            </a:graphic>
          </wp:anchor>
        </w:drawing>
      </w:r>
    </w:p>
    <w:p>
      <w:pPr>
        <w:spacing w:after="0"/>
        <w:rPr>
          <w:sz w:val="20"/>
          <w:szCs w:val="20"/>
          <w:color w:val="auto"/>
        </w:rPr>
      </w:pPr>
      <w:r>
        <w:rPr>
          <w:rFonts w:ascii="Arial" w:cs="Arial" w:eastAsia="Arial" w:hAnsi="Arial"/>
          <w:sz w:val="15"/>
          <w:szCs w:val="15"/>
          <w:color w:val="auto"/>
        </w:rPr>
        <w:t>Phone 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604520</wp:posOffset>
            </wp:positionH>
            <wp:positionV relativeFrom="paragraph">
              <wp:posOffset>12065</wp:posOffset>
            </wp:positionV>
            <wp:extent cx="2535555" cy="6985"/>
            <wp:wrapNone/>
            <wp:docPr id="672" name="Picture 6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2"/>
                    <pic:cNvPicPr>
                      <a:picLocks noChangeAspect="1" noChangeArrowheads="1"/>
                    </pic:cNvPicPr>
                  </pic:nvPicPr>
                  <pic:blipFill>
                    <a:blip r:embed="rId709">
                      <a:extLst>
                        <a:ext uri="{28A0092B-C50C-407E-A947-70E740481C1C}"/>
                      </a:extLst>
                    </a:blip>
                    <a:srcRect/>
                    <a:stretch>
                      <a:fillRect/>
                    </a:stretch>
                  </pic:blipFill>
                  <pic:spPr bwMode="auto">
                    <a:xfrm>
                      <a:off x="0" y="0"/>
                      <a:ext cx="2535555" cy="6985"/>
                    </a:xfrm>
                    <a:prstGeom prst="rect">
                      <a:avLst/>
                    </a:prstGeom>
                    <a:noFill/>
                  </pic:spPr>
                </pic:pic>
              </a:graphicData>
            </a:graphic>
          </wp:anchor>
        </w:drawing>
      </w:r>
    </w:p>
    <w:p>
      <w:pPr>
        <w:spacing w:after="0"/>
        <w:rPr>
          <w:sz w:val="20"/>
          <w:szCs w:val="20"/>
          <w:color w:val="auto"/>
        </w:rPr>
      </w:pPr>
      <w:r>
        <w:rPr>
          <w:rFonts w:ascii="Arial" w:cs="Arial" w:eastAsia="Arial" w:hAnsi="Arial"/>
          <w:sz w:val="15"/>
          <w:szCs w:val="15"/>
          <w:color w:val="auto"/>
        </w:rPr>
        <w:t>Email: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354330</wp:posOffset>
            </wp:positionH>
            <wp:positionV relativeFrom="paragraph">
              <wp:posOffset>12065</wp:posOffset>
            </wp:positionV>
            <wp:extent cx="2785745" cy="6985"/>
            <wp:wrapNone/>
            <wp:docPr id="673" name="Picture 6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3"/>
                    <pic:cNvPicPr>
                      <a:picLocks noChangeAspect="1" noChangeArrowheads="1"/>
                    </pic:cNvPicPr>
                  </pic:nvPicPr>
                  <pic:blipFill>
                    <a:blip r:embed="rId710">
                      <a:extLst>
                        <a:ext uri="{28A0092B-C50C-407E-A947-70E740481C1C}"/>
                      </a:extLst>
                    </a:blip>
                    <a:srcRect/>
                    <a:stretch>
                      <a:fillRect/>
                    </a:stretch>
                  </pic:blipFill>
                  <pic:spPr bwMode="auto">
                    <a:xfrm>
                      <a:off x="0" y="0"/>
                      <a:ext cx="2785745" cy="6985"/>
                    </a:xfrm>
                    <a:prstGeom prst="rect">
                      <a:avLst/>
                    </a:prstGeom>
                    <a:noFill/>
                  </pic:spPr>
                </pic:pic>
              </a:graphicData>
            </a:graphic>
          </wp:anchor>
        </w:drawing>
      </w:r>
    </w:p>
    <w:p>
      <w:pPr>
        <w:sectPr>
          <w:pgSz w:w="11900" w:h="16838" w:orient="portrait"/>
          <w:cols w:equalWidth="0" w:num="2">
            <w:col w:w="5660" w:space="720"/>
            <w:col w:w="4900"/>
          </w:cols>
          <w:pgMar w:left="240" w:top="249" w:right="379" w:bottom="1440" w:gutter="0" w:footer="0" w:header="0"/>
          <w:type w:val="continuous"/>
        </w:sectPr>
      </w:pPr>
    </w:p>
    <w:bookmarkStart w:id="461" w:name="page462"/>
    <w:bookmarkEnd w:id="461"/>
    <w:p>
      <w:pPr>
        <w:jc w:val="center"/>
        <w:ind w:right="-20"/>
        <w:spacing w:after="0"/>
        <w:rPr>
          <w:sz w:val="20"/>
          <w:szCs w:val="20"/>
          <w:color w:val="auto"/>
        </w:rPr>
      </w:pPr>
      <w:r>
        <w:rPr>
          <w:rFonts w:ascii="Arial" w:cs="Arial" w:eastAsia="Arial" w:hAnsi="Arial"/>
          <w:sz w:val="15"/>
          <w:szCs w:val="15"/>
          <w:b w:val="1"/>
          <w:bCs w:val="1"/>
          <w:u w:val="single" w:color="auto"/>
          <w:color w:val="auto"/>
        </w:rPr>
        <w:drawing>
          <wp:anchor simplePos="0" relativeHeight="251657728" behindDoc="1" locked="0" layoutInCell="0" allowOverlap="1">
            <wp:simplePos x="0" y="0"/>
            <wp:positionH relativeFrom="page">
              <wp:posOffset>133350</wp:posOffset>
            </wp:positionH>
            <wp:positionV relativeFrom="page">
              <wp:posOffset>88900</wp:posOffset>
            </wp:positionV>
            <wp:extent cx="7308850" cy="34290"/>
            <wp:wrapNone/>
            <wp:docPr id="674" name="Picture 6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4"/>
                    <pic:cNvPicPr>
                      <a:picLocks noChangeAspect="1" noChangeArrowheads="1"/>
                    </pic:cNvPicPr>
                  </pic:nvPicPr>
                  <pic:blipFill>
                    <a:blip r:embed="rId711">
                      <a:extLst>
                        <a:ext uri="{28A0092B-C50C-407E-A947-70E740481C1C}"/>
                      </a:extLst>
                    </a:blip>
                    <a:srcRect/>
                    <a:stretch>
                      <a:fillRect/>
                    </a:stretch>
                  </pic:blipFill>
                  <pic:spPr bwMode="auto">
                    <a:xfrm>
                      <a:off x="0" y="0"/>
                      <a:ext cx="7308850" cy="34290"/>
                    </a:xfrm>
                    <a:prstGeom prst="rect">
                      <a:avLst/>
                    </a:prstGeom>
                    <a:noFill/>
                  </pic:spPr>
                </pic:pic>
              </a:graphicData>
            </a:graphic>
          </wp:anchor>
        </w:drawing>
        <w:t>EXHIBIT A</w:t>
      </w:r>
    </w:p>
    <w:p>
      <w:pPr>
        <w:spacing w:after="0" w:line="188" w:lineRule="exact"/>
        <w:rPr>
          <w:sz w:val="20"/>
          <w:szCs w:val="20"/>
          <w:color w:val="auto"/>
        </w:rPr>
      </w:pPr>
    </w:p>
    <w:p>
      <w:pPr>
        <w:jc w:val="center"/>
        <w:ind w:right="-20"/>
        <w:spacing w:after="0"/>
        <w:rPr>
          <w:sz w:val="20"/>
          <w:szCs w:val="20"/>
          <w:color w:val="auto"/>
        </w:rPr>
      </w:pPr>
      <w:r>
        <w:rPr>
          <w:rFonts w:ascii="Arial" w:cs="Arial" w:eastAsia="Arial" w:hAnsi="Arial"/>
          <w:sz w:val="15"/>
          <w:szCs w:val="15"/>
          <w:b w:val="1"/>
          <w:bCs w:val="1"/>
          <w:color w:val="auto"/>
        </w:rPr>
        <w:t>FORM OF STOCK OPTION EXERCISE AGREEMENT</w:t>
      </w:r>
    </w:p>
    <w:p>
      <w:pPr>
        <w:sectPr>
          <w:pgSz w:w="11900" w:h="16838" w:orient="portrait"/>
          <w:cols w:equalWidth="0" w:num="1">
            <w:col w:w="9019"/>
          </w:cols>
          <w:pgMar w:left="1440" w:top="249" w:right="1440" w:bottom="1440" w:gutter="0" w:footer="0" w:header="0"/>
        </w:sectPr>
      </w:pPr>
    </w:p>
    <w:bookmarkStart w:id="462" w:name="page463"/>
    <w:bookmarkEnd w:id="462"/>
    <w:p>
      <w:pPr>
        <w:ind w:left="10580"/>
        <w:spacing w:after="0"/>
        <w:rPr>
          <w:sz w:val="20"/>
          <w:szCs w:val="20"/>
          <w:color w:val="auto"/>
        </w:rPr>
      </w:pPr>
      <w:r>
        <w:rPr>
          <w:rFonts w:ascii="Arial" w:cs="Arial" w:eastAsia="Arial" w:hAnsi="Arial"/>
          <w:sz w:val="15"/>
          <w:szCs w:val="15"/>
          <w:b w:val="1"/>
          <w:bCs w:val="1"/>
          <w:color w:val="auto"/>
        </w:rPr>
        <w:drawing>
          <wp:anchor simplePos="0" relativeHeight="251657728" behindDoc="1" locked="0" layoutInCell="0" allowOverlap="1">
            <wp:simplePos x="0" y="0"/>
            <wp:positionH relativeFrom="page">
              <wp:posOffset>133350</wp:posOffset>
            </wp:positionH>
            <wp:positionV relativeFrom="page">
              <wp:posOffset>88900</wp:posOffset>
            </wp:positionV>
            <wp:extent cx="7308850" cy="34290"/>
            <wp:wrapNone/>
            <wp:docPr id="675" name="Picture 6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5"/>
                    <pic:cNvPicPr>
                      <a:picLocks noChangeAspect="1" noChangeArrowheads="1"/>
                    </pic:cNvPicPr>
                  </pic:nvPicPr>
                  <pic:blipFill>
                    <a:blip r:embed="rId712">
                      <a:extLst>
                        <a:ext uri="{28A0092B-C50C-407E-A947-70E740481C1C}"/>
                      </a:extLst>
                    </a:blip>
                    <a:srcRect/>
                    <a:stretch>
                      <a:fillRect/>
                    </a:stretch>
                  </pic:blipFill>
                  <pic:spPr bwMode="auto">
                    <a:xfrm>
                      <a:off x="0" y="0"/>
                      <a:ext cx="7308850" cy="34290"/>
                    </a:xfrm>
                    <a:prstGeom prst="rect">
                      <a:avLst/>
                    </a:prstGeom>
                    <a:noFill/>
                  </pic:spPr>
                </pic:pic>
              </a:graphicData>
            </a:graphic>
          </wp:anchor>
        </w:drawing>
        <w:t>No.</w:t>
      </w:r>
    </w:p>
    <w:p>
      <w:pPr>
        <w:spacing w:after="0" w:line="369" w:lineRule="exact"/>
        <w:rPr>
          <w:sz w:val="20"/>
          <w:szCs w:val="20"/>
          <w:color w:val="auto"/>
        </w:rPr>
      </w:pPr>
    </w:p>
    <w:p>
      <w:pPr>
        <w:jc w:val="center"/>
        <w:ind w:right="140"/>
        <w:spacing w:after="0"/>
        <w:rPr>
          <w:sz w:val="20"/>
          <w:szCs w:val="20"/>
          <w:color w:val="auto"/>
        </w:rPr>
      </w:pPr>
      <w:r>
        <w:rPr>
          <w:rFonts w:ascii="Arial" w:cs="Arial" w:eastAsia="Arial" w:hAnsi="Arial"/>
          <w:sz w:val="15"/>
          <w:szCs w:val="15"/>
          <w:b w:val="1"/>
          <w:bCs w:val="1"/>
          <w:color w:val="auto"/>
        </w:rPr>
        <w:t>DROPBOX, INC.</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2008 EQUITY INCENTIVE PLAN</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STOCK OPTION EXERCISE AGREEMENT</w:t>
      </w:r>
    </w:p>
    <w:p>
      <w:pPr>
        <w:spacing w:after="0" w:line="102" w:lineRule="exact"/>
        <w:rPr>
          <w:sz w:val="20"/>
          <w:szCs w:val="20"/>
          <w:color w:val="auto"/>
        </w:rPr>
      </w:pPr>
    </w:p>
    <w:p>
      <w:pPr>
        <w:ind w:right="60" w:firstLine="458"/>
        <w:spacing w:after="0" w:line="263" w:lineRule="auto"/>
        <w:rPr>
          <w:sz w:val="20"/>
          <w:szCs w:val="20"/>
          <w:color w:val="auto"/>
        </w:rPr>
      </w:pPr>
      <w:r>
        <w:rPr>
          <w:rFonts w:ascii="Arial" w:cs="Arial" w:eastAsia="Arial" w:hAnsi="Arial"/>
          <w:sz w:val="15"/>
          <w:szCs w:val="15"/>
          <w:color w:val="auto"/>
        </w:rPr>
        <w:t>This Stock Option Exercise Agreement (the “</w:t>
      </w:r>
      <w:r>
        <w:rPr>
          <w:rFonts w:ascii="Arial" w:cs="Arial" w:eastAsia="Arial" w:hAnsi="Arial"/>
          <w:sz w:val="15"/>
          <w:szCs w:val="15"/>
          <w:b w:val="1"/>
          <w:bCs w:val="1"/>
          <w:i w:val="1"/>
          <w:iCs w:val="1"/>
          <w:color w:val="auto"/>
        </w:rPr>
        <w:t>Exercise Agreement</w:t>
      </w:r>
      <w:r>
        <w:rPr>
          <w:rFonts w:ascii="Arial" w:cs="Arial" w:eastAsia="Arial" w:hAnsi="Arial"/>
          <w:sz w:val="15"/>
          <w:szCs w:val="15"/>
          <w:color w:val="auto"/>
        </w:rPr>
        <w:t>”) is made and entered into as of , 20 (the “</w:t>
      </w:r>
      <w:r>
        <w:rPr>
          <w:rFonts w:ascii="Arial" w:cs="Arial" w:eastAsia="Arial" w:hAnsi="Arial"/>
          <w:sz w:val="15"/>
          <w:szCs w:val="15"/>
          <w:b w:val="1"/>
          <w:bCs w:val="1"/>
          <w:i w:val="1"/>
          <w:iCs w:val="1"/>
          <w:color w:val="auto"/>
        </w:rPr>
        <w:t>Effective Date</w:t>
      </w:r>
      <w:r>
        <w:rPr>
          <w:rFonts w:ascii="Arial" w:cs="Arial" w:eastAsia="Arial" w:hAnsi="Arial"/>
          <w:sz w:val="15"/>
          <w:szCs w:val="15"/>
          <w:color w:val="auto"/>
        </w:rPr>
        <w:t>”) by and between Dropbox, Inc., a Delaware corporation (the “</w:t>
      </w:r>
      <w:r>
        <w:rPr>
          <w:rFonts w:ascii="Arial" w:cs="Arial" w:eastAsia="Arial" w:hAnsi="Arial"/>
          <w:sz w:val="15"/>
          <w:szCs w:val="15"/>
          <w:b w:val="1"/>
          <w:bCs w:val="1"/>
          <w:i w:val="1"/>
          <w:iCs w:val="1"/>
          <w:color w:val="auto"/>
        </w:rPr>
        <w:t>Company</w:t>
      </w:r>
      <w:r>
        <w:rPr>
          <w:rFonts w:ascii="Arial" w:cs="Arial" w:eastAsia="Arial" w:hAnsi="Arial"/>
          <w:sz w:val="15"/>
          <w:szCs w:val="15"/>
          <w:color w:val="auto"/>
        </w:rPr>
        <w:t>”), and the purchaser named below (the “</w:t>
      </w:r>
      <w:r>
        <w:rPr>
          <w:rFonts w:ascii="Arial" w:cs="Arial" w:eastAsia="Arial" w:hAnsi="Arial"/>
          <w:sz w:val="15"/>
          <w:szCs w:val="15"/>
          <w:b w:val="1"/>
          <w:bCs w:val="1"/>
          <w:i w:val="1"/>
          <w:iCs w:val="1"/>
          <w:color w:val="auto"/>
        </w:rPr>
        <w:t>Purchaser</w:t>
      </w:r>
      <w:r>
        <w:rPr>
          <w:rFonts w:ascii="Arial" w:cs="Arial" w:eastAsia="Arial" w:hAnsi="Arial"/>
          <w:sz w:val="15"/>
          <w:szCs w:val="15"/>
          <w:color w:val="auto"/>
        </w:rPr>
        <w:t>”). Capitalized terms not defined herein shall have the meanings ascribed to them in the Company’s 2008 Equity Incentive Plan (the “</w:t>
      </w:r>
      <w:r>
        <w:rPr>
          <w:rFonts w:ascii="Arial" w:cs="Arial" w:eastAsia="Arial" w:hAnsi="Arial"/>
          <w:sz w:val="15"/>
          <w:szCs w:val="15"/>
          <w:b w:val="1"/>
          <w:bCs w:val="1"/>
          <w:i w:val="1"/>
          <w:iCs w:val="1"/>
          <w:color w:val="auto"/>
        </w:rPr>
        <w:t>Plan</w:t>
      </w:r>
      <w:r>
        <w:rPr>
          <w:rFonts w:ascii="Arial" w:cs="Arial" w:eastAsia="Arial" w:hAnsi="Arial"/>
          <w:sz w:val="15"/>
          <w:szCs w:val="15"/>
          <w:color w:val="auto"/>
        </w:rPr>
        <w:t>”).</w:t>
      </w:r>
    </w:p>
    <w:p>
      <w:pPr>
        <w:spacing w:after="0" w:line="17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Purchaser: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1963420</wp:posOffset>
            </wp:positionH>
            <wp:positionV relativeFrom="paragraph">
              <wp:posOffset>14605</wp:posOffset>
            </wp:positionV>
            <wp:extent cx="4211320" cy="6985"/>
            <wp:wrapNone/>
            <wp:docPr id="676" name="Picture 6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6"/>
                    <pic:cNvPicPr>
                      <a:picLocks noChangeAspect="1" noChangeArrowheads="1"/>
                    </pic:cNvPicPr>
                  </pic:nvPicPr>
                  <pic:blipFill>
                    <a:blip r:embed="rId713">
                      <a:extLst>
                        <a:ext uri="{28A0092B-C50C-407E-A947-70E740481C1C}"/>
                      </a:extLst>
                    </a:blip>
                    <a:srcRect/>
                    <a:stretch>
                      <a:fillRect/>
                    </a:stretch>
                  </pic:blipFill>
                  <pic:spPr bwMode="auto">
                    <a:xfrm>
                      <a:off x="0" y="0"/>
                      <a:ext cx="4211320" cy="6985"/>
                    </a:xfrm>
                    <a:prstGeom prst="rect">
                      <a:avLst/>
                    </a:prstGeom>
                    <a:noFill/>
                  </pic:spPr>
                </pic:pic>
              </a:graphicData>
            </a:graphic>
          </wp:anchor>
        </w:drawing>
      </w:r>
    </w:p>
    <w:p>
      <w:pPr>
        <w:spacing w:after="0" w:line="78"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Taxpayer 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1963420</wp:posOffset>
            </wp:positionH>
            <wp:positionV relativeFrom="paragraph">
              <wp:posOffset>14605</wp:posOffset>
            </wp:positionV>
            <wp:extent cx="4211320" cy="6985"/>
            <wp:wrapNone/>
            <wp:docPr id="677" name="Picture 6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7"/>
                    <pic:cNvPicPr>
                      <a:picLocks noChangeAspect="1" noChangeArrowheads="1"/>
                    </pic:cNvPicPr>
                  </pic:nvPicPr>
                  <pic:blipFill>
                    <a:blip r:embed="rId714">
                      <a:extLst>
                        <a:ext uri="{28A0092B-C50C-407E-A947-70E740481C1C}"/>
                      </a:extLst>
                    </a:blip>
                    <a:srcRect/>
                    <a:stretch>
                      <a:fillRect/>
                    </a:stretch>
                  </pic:blipFill>
                  <pic:spPr bwMode="auto">
                    <a:xfrm>
                      <a:off x="0" y="0"/>
                      <a:ext cx="4211320" cy="6985"/>
                    </a:xfrm>
                    <a:prstGeom prst="rect">
                      <a:avLst/>
                    </a:prstGeom>
                    <a:noFill/>
                  </pic:spPr>
                </pic:pic>
              </a:graphicData>
            </a:graphic>
          </wp:anchor>
        </w:drawing>
      </w:r>
    </w:p>
    <w:p>
      <w:pPr>
        <w:spacing w:after="0" w:line="78"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1963420</wp:posOffset>
            </wp:positionH>
            <wp:positionV relativeFrom="paragraph">
              <wp:posOffset>186055</wp:posOffset>
            </wp:positionV>
            <wp:extent cx="4211320" cy="6985"/>
            <wp:wrapNone/>
            <wp:docPr id="678" name="Picture 6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8"/>
                    <pic:cNvPicPr>
                      <a:picLocks noChangeAspect="1" noChangeArrowheads="1"/>
                    </pic:cNvPicPr>
                  </pic:nvPicPr>
                  <pic:blipFill>
                    <a:blip r:embed="rId715">
                      <a:extLst>
                        <a:ext uri="{28A0092B-C50C-407E-A947-70E740481C1C}"/>
                      </a:extLst>
                    </a:blip>
                    <a:srcRect/>
                    <a:stretch>
                      <a:fillRect/>
                    </a:stretch>
                  </pic:blipFill>
                  <pic:spPr bwMode="auto">
                    <a:xfrm>
                      <a:off x="0" y="0"/>
                      <a:ext cx="4211320" cy="6985"/>
                    </a:xfrm>
                    <a:prstGeom prst="rect">
                      <a:avLst/>
                    </a:prstGeom>
                    <a:noFill/>
                  </pic:spPr>
                </pic:pic>
              </a:graphicData>
            </a:graphic>
          </wp:anchor>
        </w:drawing>
        <w:drawing>
          <wp:anchor simplePos="0" relativeHeight="251657728" behindDoc="1" locked="0" layoutInCell="0" allowOverlap="1">
            <wp:simplePos x="0" y="0"/>
            <wp:positionH relativeFrom="column">
              <wp:posOffset>1963420</wp:posOffset>
            </wp:positionH>
            <wp:positionV relativeFrom="paragraph">
              <wp:posOffset>14605</wp:posOffset>
            </wp:positionV>
            <wp:extent cx="4211320" cy="6985"/>
            <wp:wrapNone/>
            <wp:docPr id="679" name="Picture 6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9"/>
                    <pic:cNvPicPr>
                      <a:picLocks noChangeAspect="1" noChangeArrowheads="1"/>
                    </pic:cNvPicPr>
                  </pic:nvPicPr>
                  <pic:blipFill>
                    <a:blip r:embed="rId716">
                      <a:extLst>
                        <a:ext uri="{28A0092B-C50C-407E-A947-70E740481C1C}"/>
                      </a:extLst>
                    </a:blip>
                    <a:srcRect/>
                    <a:stretch>
                      <a:fillRect/>
                    </a:stretch>
                  </pic:blipFill>
                  <pic:spPr bwMode="auto">
                    <a:xfrm>
                      <a:off x="0" y="0"/>
                      <a:ext cx="4211320" cy="6985"/>
                    </a:xfrm>
                    <a:prstGeom prst="rect">
                      <a:avLst/>
                    </a:prstGeom>
                    <a:noFill/>
                  </pic:spPr>
                </pic:pic>
              </a:graphicData>
            </a:graphic>
          </wp:anchor>
        </w:drawing>
      </w:r>
    </w:p>
    <w:p>
      <w:pPr>
        <w:spacing w:after="0" w:line="349"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Total Number of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1963420</wp:posOffset>
            </wp:positionH>
            <wp:positionV relativeFrom="paragraph">
              <wp:posOffset>14605</wp:posOffset>
            </wp:positionV>
            <wp:extent cx="4211320" cy="6985"/>
            <wp:wrapNone/>
            <wp:docPr id="680" name="Picture 6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0"/>
                    <pic:cNvPicPr>
                      <a:picLocks noChangeAspect="1" noChangeArrowheads="1"/>
                    </pic:cNvPicPr>
                  </pic:nvPicPr>
                  <pic:blipFill>
                    <a:blip r:embed="rId717">
                      <a:extLst>
                        <a:ext uri="{28A0092B-C50C-407E-A947-70E740481C1C}"/>
                      </a:extLst>
                    </a:blip>
                    <a:srcRect/>
                    <a:stretch>
                      <a:fillRect/>
                    </a:stretch>
                  </pic:blipFill>
                  <pic:spPr bwMode="auto">
                    <a:xfrm>
                      <a:off x="0" y="0"/>
                      <a:ext cx="4211320" cy="6985"/>
                    </a:xfrm>
                    <a:prstGeom prst="rect">
                      <a:avLst/>
                    </a:prstGeom>
                    <a:noFill/>
                  </pic:spPr>
                </pic:pic>
              </a:graphicData>
            </a:graphic>
          </wp:anchor>
        </w:drawing>
      </w:r>
    </w:p>
    <w:p>
      <w:pPr>
        <w:spacing w:after="0" w:line="78"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Exercise Price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1963420</wp:posOffset>
            </wp:positionH>
            <wp:positionV relativeFrom="paragraph">
              <wp:posOffset>14605</wp:posOffset>
            </wp:positionV>
            <wp:extent cx="4211320" cy="6985"/>
            <wp:wrapNone/>
            <wp:docPr id="681" name="Picture 6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1"/>
                    <pic:cNvPicPr>
                      <a:picLocks noChangeAspect="1" noChangeArrowheads="1"/>
                    </pic:cNvPicPr>
                  </pic:nvPicPr>
                  <pic:blipFill>
                    <a:blip r:embed="rId718">
                      <a:extLst>
                        <a:ext uri="{28A0092B-C50C-407E-A947-70E740481C1C}"/>
                      </a:extLst>
                    </a:blip>
                    <a:srcRect/>
                    <a:stretch>
                      <a:fillRect/>
                    </a:stretch>
                  </pic:blipFill>
                  <pic:spPr bwMode="auto">
                    <a:xfrm>
                      <a:off x="0" y="0"/>
                      <a:ext cx="4211320" cy="6985"/>
                    </a:xfrm>
                    <a:prstGeom prst="rect">
                      <a:avLst/>
                    </a:prstGeom>
                    <a:noFill/>
                  </pic:spPr>
                </pic:pic>
              </a:graphicData>
            </a:graphic>
          </wp:anchor>
        </w:drawing>
      </w:r>
    </w:p>
    <w:p>
      <w:pPr>
        <w:spacing w:after="0" w:line="78"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Date of Grant: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1963420</wp:posOffset>
            </wp:positionH>
            <wp:positionV relativeFrom="paragraph">
              <wp:posOffset>14605</wp:posOffset>
            </wp:positionV>
            <wp:extent cx="4211320" cy="6985"/>
            <wp:wrapNone/>
            <wp:docPr id="682" name="Picture 6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2"/>
                    <pic:cNvPicPr>
                      <a:picLocks noChangeAspect="1" noChangeArrowheads="1"/>
                    </pic:cNvPicPr>
                  </pic:nvPicPr>
                  <pic:blipFill>
                    <a:blip r:embed="rId719">
                      <a:extLst>
                        <a:ext uri="{28A0092B-C50C-407E-A947-70E740481C1C}"/>
                      </a:extLst>
                    </a:blip>
                    <a:srcRect/>
                    <a:stretch>
                      <a:fillRect/>
                    </a:stretch>
                  </pic:blipFill>
                  <pic:spPr bwMode="auto">
                    <a:xfrm>
                      <a:off x="0" y="0"/>
                      <a:ext cx="4211320" cy="6985"/>
                    </a:xfrm>
                    <a:prstGeom prst="rect">
                      <a:avLst/>
                    </a:prstGeom>
                    <a:noFill/>
                  </pic:spPr>
                </pic:pic>
              </a:graphicData>
            </a:graphic>
          </wp:anchor>
        </w:drawing>
      </w:r>
    </w:p>
    <w:p>
      <w:pPr>
        <w:spacing w:after="0" w:line="78"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Vesting Commencement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1963420</wp:posOffset>
            </wp:positionH>
            <wp:positionV relativeFrom="paragraph">
              <wp:posOffset>14605</wp:posOffset>
            </wp:positionV>
            <wp:extent cx="4211320" cy="6985"/>
            <wp:wrapNone/>
            <wp:docPr id="683" name="Picture 6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3"/>
                    <pic:cNvPicPr>
                      <a:picLocks noChangeAspect="1" noChangeArrowheads="1"/>
                    </pic:cNvPicPr>
                  </pic:nvPicPr>
                  <pic:blipFill>
                    <a:blip r:embed="rId720">
                      <a:extLst>
                        <a:ext uri="{28A0092B-C50C-407E-A947-70E740481C1C}"/>
                      </a:extLst>
                    </a:blip>
                    <a:srcRect/>
                    <a:stretch>
                      <a:fillRect/>
                    </a:stretch>
                  </pic:blipFill>
                  <pic:spPr bwMode="auto">
                    <a:xfrm>
                      <a:off x="0" y="0"/>
                      <a:ext cx="4211320" cy="6985"/>
                    </a:xfrm>
                    <a:prstGeom prst="rect">
                      <a:avLst/>
                    </a:prstGeom>
                    <a:noFill/>
                  </pic:spPr>
                </pic:pic>
              </a:graphicData>
            </a:graphic>
          </wp:anchor>
        </w:drawing>
      </w:r>
    </w:p>
    <w:p>
      <w:pPr>
        <w:spacing w:after="0" w:line="78"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Expiration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1963420</wp:posOffset>
            </wp:positionH>
            <wp:positionV relativeFrom="paragraph">
              <wp:posOffset>14605</wp:posOffset>
            </wp:positionV>
            <wp:extent cx="4211320" cy="6985"/>
            <wp:wrapNone/>
            <wp:docPr id="684" name="Picture 6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4"/>
                    <pic:cNvPicPr>
                      <a:picLocks noChangeAspect="1" noChangeArrowheads="1"/>
                    </pic:cNvPicPr>
                  </pic:nvPicPr>
                  <pic:blipFill>
                    <a:blip r:embed="rId721">
                      <a:extLst>
                        <a:ext uri="{28A0092B-C50C-407E-A947-70E740481C1C}"/>
                      </a:extLst>
                    </a:blip>
                    <a:srcRect/>
                    <a:stretch>
                      <a:fillRect/>
                    </a:stretch>
                  </pic:blipFill>
                  <pic:spPr bwMode="auto">
                    <a:xfrm>
                      <a:off x="0" y="0"/>
                      <a:ext cx="4211320" cy="6985"/>
                    </a:xfrm>
                    <a:prstGeom prst="rect">
                      <a:avLst/>
                    </a:prstGeom>
                    <a:noFill/>
                  </pic:spPr>
                </pic:pic>
              </a:graphicData>
            </a:graphic>
          </wp:anchor>
        </w:drawing>
      </w:r>
    </w:p>
    <w:p>
      <w:pPr>
        <w:spacing w:after="0" w:line="3" w:lineRule="exact"/>
        <w:rPr>
          <w:sz w:val="20"/>
          <w:szCs w:val="20"/>
          <w:color w:val="auto"/>
        </w:rPr>
      </w:pPr>
    </w:p>
    <w:p>
      <w:pPr>
        <w:ind w:left="3200"/>
        <w:spacing w:after="0"/>
        <w:rPr>
          <w:sz w:val="20"/>
          <w:szCs w:val="20"/>
          <w:color w:val="auto"/>
        </w:rPr>
      </w:pPr>
      <w:r>
        <w:rPr>
          <w:rFonts w:ascii="Arial" w:cs="Arial" w:eastAsia="Arial" w:hAnsi="Arial"/>
          <w:sz w:val="15"/>
          <w:szCs w:val="15"/>
          <w:color w:val="auto"/>
        </w:rPr>
        <w:t>(Unless earlier terminated under Section 5.6 of the Plan)</w:t>
      </w:r>
    </w:p>
    <w:p>
      <w:pPr>
        <w:spacing w:after="0" w:line="9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Type of Stock Option</w:t>
      </w:r>
    </w:p>
    <w:p>
      <w:pPr>
        <w:spacing w:after="0" w:line="98" w:lineRule="exact"/>
        <w:rPr>
          <w:sz w:val="20"/>
          <w:szCs w:val="20"/>
          <w:color w:val="auto"/>
        </w:rPr>
      </w:pPr>
    </w:p>
    <w:p>
      <w:pPr>
        <w:spacing w:after="0"/>
        <w:tabs>
          <w:tab w:leader="none" w:pos="3180" w:val="left"/>
        </w:tabs>
        <w:rPr>
          <w:sz w:val="20"/>
          <w:szCs w:val="20"/>
          <w:color w:val="auto"/>
        </w:rPr>
      </w:pPr>
      <w:r>
        <w:rPr>
          <w:rFonts w:ascii="Arial" w:cs="Arial" w:eastAsia="Arial" w:hAnsi="Arial"/>
          <w:sz w:val="15"/>
          <w:szCs w:val="15"/>
          <w:b w:val="1"/>
          <w:bCs w:val="1"/>
          <w:color w:val="auto"/>
        </w:rPr>
        <w:t>(Check one):</w:t>
      </w:r>
      <w:r>
        <w:rPr>
          <w:sz w:val="20"/>
          <w:szCs w:val="20"/>
          <w:color w:val="auto"/>
        </w:rPr>
        <w:tab/>
      </w:r>
      <w:r>
        <w:rPr>
          <w:rFonts w:ascii="Arial" w:cs="Arial" w:eastAsia="Arial" w:hAnsi="Arial"/>
          <w:sz w:val="13"/>
          <w:szCs w:val="13"/>
          <w:b w:val="1"/>
          <w:bCs w:val="1"/>
          <w:color w:val="auto"/>
        </w:rPr>
        <w:t>[ ] Incentive Stock Option</w:t>
      </w:r>
    </w:p>
    <w:p>
      <w:pPr>
        <w:spacing w:after="0" w:line="98" w:lineRule="exact"/>
        <w:rPr>
          <w:sz w:val="20"/>
          <w:szCs w:val="20"/>
          <w:color w:val="auto"/>
        </w:rPr>
      </w:pPr>
    </w:p>
    <w:p>
      <w:pPr>
        <w:ind w:left="3200"/>
        <w:spacing w:after="0"/>
        <w:rPr>
          <w:sz w:val="20"/>
          <w:szCs w:val="20"/>
          <w:color w:val="auto"/>
        </w:rPr>
      </w:pPr>
      <w:r>
        <w:rPr>
          <w:rFonts w:ascii="Arial" w:cs="Arial" w:eastAsia="Arial" w:hAnsi="Arial"/>
          <w:sz w:val="15"/>
          <w:szCs w:val="15"/>
          <w:b w:val="1"/>
          <w:bCs w:val="1"/>
          <w:color w:val="auto"/>
        </w:rPr>
        <w:t>[ ] Nonqualified Stock Option</w:t>
      </w:r>
    </w:p>
    <w:p>
      <w:pPr>
        <w:spacing w:after="0" w:line="188" w:lineRule="exact"/>
        <w:rPr>
          <w:sz w:val="20"/>
          <w:szCs w:val="20"/>
          <w:color w:val="auto"/>
        </w:rPr>
      </w:pPr>
    </w:p>
    <w:p>
      <w:pPr>
        <w:ind w:left="600" w:hanging="152"/>
        <w:spacing w:after="0"/>
        <w:tabs>
          <w:tab w:leader="none" w:pos="600" w:val="left"/>
        </w:tabs>
        <w:numPr>
          <w:ilvl w:val="0"/>
          <w:numId w:val="429"/>
        </w:numPr>
        <w:rPr>
          <w:rFonts w:ascii="Arial" w:cs="Arial" w:eastAsia="Arial" w:hAnsi="Arial"/>
          <w:sz w:val="15"/>
          <w:szCs w:val="15"/>
          <w:b w:val="1"/>
          <w:bCs w:val="1"/>
          <w:color w:val="auto"/>
        </w:rPr>
      </w:pPr>
      <w:r>
        <w:rPr>
          <w:rFonts w:ascii="Arial" w:cs="Arial" w:eastAsia="Arial" w:hAnsi="Arial"/>
          <w:sz w:val="15"/>
          <w:szCs w:val="15"/>
          <w:b w:val="1"/>
          <w:bCs w:val="1"/>
          <w:u w:val="single" w:color="auto"/>
          <w:color w:val="auto"/>
        </w:rPr>
        <w:t>Exercise of Option</w:t>
      </w:r>
      <w:r>
        <w:rPr>
          <w:rFonts w:ascii="Arial" w:cs="Arial" w:eastAsia="Arial" w:hAnsi="Arial"/>
          <w:sz w:val="15"/>
          <w:szCs w:val="15"/>
          <w:b w:val="1"/>
          <w:bCs w:val="1"/>
          <w:color w:val="auto"/>
        </w:rPr>
        <w:t>.</w:t>
      </w:r>
    </w:p>
    <w:p>
      <w:pPr>
        <w:spacing w:after="0" w:line="192" w:lineRule="exact"/>
        <w:rPr>
          <w:sz w:val="20"/>
          <w:szCs w:val="20"/>
          <w:color w:val="auto"/>
        </w:rPr>
      </w:pPr>
    </w:p>
    <w:p>
      <w:pPr>
        <w:ind w:firstLine="916"/>
        <w:spacing w:after="0" w:line="279" w:lineRule="auto"/>
        <w:rPr>
          <w:sz w:val="20"/>
          <w:szCs w:val="20"/>
          <w:color w:val="auto"/>
        </w:rPr>
      </w:pPr>
      <w:r>
        <w:rPr>
          <w:rFonts w:ascii="Arial" w:cs="Arial" w:eastAsia="Arial" w:hAnsi="Arial"/>
          <w:sz w:val="14"/>
          <w:szCs w:val="14"/>
          <w:color w:val="auto"/>
        </w:rPr>
        <w:t xml:space="preserve">1.1 </w:t>
      </w:r>
      <w:r>
        <w:rPr>
          <w:rFonts w:ascii="Arial" w:cs="Arial" w:eastAsia="Arial" w:hAnsi="Arial"/>
          <w:sz w:val="14"/>
          <w:szCs w:val="14"/>
          <w:u w:val="single" w:color="auto"/>
          <w:color w:val="auto"/>
        </w:rPr>
        <w:t>Exercise</w:t>
      </w:r>
      <w:r>
        <w:rPr>
          <w:rFonts w:ascii="Arial" w:cs="Arial" w:eastAsia="Arial" w:hAnsi="Arial"/>
          <w:sz w:val="14"/>
          <w:szCs w:val="14"/>
          <w:color w:val="auto"/>
        </w:rPr>
        <w:t>. Pursuant to exercise of that certain option (the “</w:t>
      </w:r>
      <w:r>
        <w:rPr>
          <w:rFonts w:ascii="Arial" w:cs="Arial" w:eastAsia="Arial" w:hAnsi="Arial"/>
          <w:sz w:val="14"/>
          <w:szCs w:val="14"/>
          <w:b w:val="1"/>
          <w:bCs w:val="1"/>
          <w:i w:val="1"/>
          <w:iCs w:val="1"/>
          <w:color w:val="auto"/>
        </w:rPr>
        <w:t>Option</w:t>
      </w:r>
      <w:r>
        <w:rPr>
          <w:rFonts w:ascii="Arial" w:cs="Arial" w:eastAsia="Arial" w:hAnsi="Arial"/>
          <w:sz w:val="14"/>
          <w:szCs w:val="14"/>
          <w:color w:val="auto"/>
        </w:rPr>
        <w:t>”) granted to Purchaser under the Plan and subject to the terms and conditions of this Exercise Agreement, Purchaser hereby purchases from the Company, and the Company hereby sells to Purchaser, the Total Number of Shares set forth above (the “</w:t>
      </w:r>
      <w:r>
        <w:rPr>
          <w:rFonts w:ascii="Arial" w:cs="Arial" w:eastAsia="Arial" w:hAnsi="Arial"/>
          <w:sz w:val="14"/>
          <w:szCs w:val="14"/>
          <w:b w:val="1"/>
          <w:bCs w:val="1"/>
          <w:i w:val="1"/>
          <w:iCs w:val="1"/>
          <w:color w:val="auto"/>
        </w:rPr>
        <w:t>Shares</w:t>
      </w:r>
      <w:r>
        <w:rPr>
          <w:rFonts w:ascii="Arial" w:cs="Arial" w:eastAsia="Arial" w:hAnsi="Arial"/>
          <w:sz w:val="14"/>
          <w:szCs w:val="14"/>
          <w:color w:val="auto"/>
        </w:rPr>
        <w:t>”) of the Company’s Common Stock at the Exercise Price Per Share set forth above (the “</w:t>
      </w:r>
      <w:r>
        <w:rPr>
          <w:rFonts w:ascii="Arial" w:cs="Arial" w:eastAsia="Arial" w:hAnsi="Arial"/>
          <w:sz w:val="14"/>
          <w:szCs w:val="14"/>
          <w:b w:val="1"/>
          <w:bCs w:val="1"/>
          <w:i w:val="1"/>
          <w:iCs w:val="1"/>
          <w:color w:val="auto"/>
        </w:rPr>
        <w:t>Exercise Price</w:t>
      </w:r>
      <w:r>
        <w:rPr>
          <w:rFonts w:ascii="Arial" w:cs="Arial" w:eastAsia="Arial" w:hAnsi="Arial"/>
          <w:sz w:val="14"/>
          <w:szCs w:val="14"/>
          <w:color w:val="auto"/>
        </w:rPr>
        <w:t>”). As used in this Exercise Agreement, the term “</w:t>
      </w:r>
      <w:r>
        <w:rPr>
          <w:rFonts w:ascii="Arial" w:cs="Arial" w:eastAsia="Arial" w:hAnsi="Arial"/>
          <w:sz w:val="14"/>
          <w:szCs w:val="14"/>
          <w:b w:val="1"/>
          <w:bCs w:val="1"/>
          <w:i w:val="1"/>
          <w:iCs w:val="1"/>
          <w:color w:val="auto"/>
        </w:rPr>
        <w:t>Shares</w:t>
      </w:r>
      <w:r>
        <w:rPr>
          <w:rFonts w:ascii="Arial" w:cs="Arial" w:eastAsia="Arial" w:hAnsi="Arial"/>
          <w:sz w:val="14"/>
          <w:szCs w:val="14"/>
          <w:color w:val="auto"/>
        </w:rPr>
        <w:t>” refers to the Shares purchased under this Exercise Agreement and includes all securities received (i) in replacement of the Shares, (ii) as a result of stock dividends or stock splits with respect to the Shares, and (iii) all securities received in replacement of the Shares in a merger, recapitalization, reorganization or similar corporate transaction.</w:t>
      </w:r>
    </w:p>
    <w:p>
      <w:pPr>
        <w:spacing w:after="0" w:line="9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w:t>
      </w:r>
    </w:p>
    <w:p>
      <w:pPr>
        <w:sectPr>
          <w:pgSz w:w="11900" w:h="16838" w:orient="portrait"/>
          <w:cols w:equalWidth="0" w:num="1">
            <w:col w:w="11420"/>
          </w:cols>
          <w:pgMar w:left="240" w:top="249" w:right="239" w:bottom="1440" w:gutter="0" w:footer="0" w:header="0"/>
        </w:sectPr>
      </w:pPr>
    </w:p>
    <w:bookmarkStart w:id="463" w:name="page464"/>
    <w:bookmarkEnd w:id="463"/>
    <w:p>
      <w:pPr>
        <w:ind w:left="900"/>
        <w:spacing w:after="0"/>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133350</wp:posOffset>
            </wp:positionH>
            <wp:positionV relativeFrom="page">
              <wp:posOffset>88900</wp:posOffset>
            </wp:positionV>
            <wp:extent cx="7308850" cy="34290"/>
            <wp:wrapNone/>
            <wp:docPr id="685" name="Picture 6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5"/>
                    <pic:cNvPicPr>
                      <a:picLocks noChangeAspect="1" noChangeArrowheads="1"/>
                    </pic:cNvPicPr>
                  </pic:nvPicPr>
                  <pic:blipFill>
                    <a:blip r:embed="rId722">
                      <a:extLst>
                        <a:ext uri="{28A0092B-C50C-407E-A947-70E740481C1C}"/>
                      </a:extLst>
                    </a:blip>
                    <a:srcRect/>
                    <a:stretch>
                      <a:fillRect/>
                    </a:stretch>
                  </pic:blipFill>
                  <pic:spPr bwMode="auto">
                    <a:xfrm>
                      <a:off x="0" y="0"/>
                      <a:ext cx="7308850" cy="34290"/>
                    </a:xfrm>
                    <a:prstGeom prst="rect">
                      <a:avLst/>
                    </a:prstGeom>
                    <a:noFill/>
                  </pic:spPr>
                </pic:pic>
              </a:graphicData>
            </a:graphic>
          </wp:anchor>
        </w:drawing>
        <w:t xml:space="preserve">1.2 </w:t>
      </w:r>
      <w:r>
        <w:rPr>
          <w:rFonts w:ascii="Arial" w:cs="Arial" w:eastAsia="Arial" w:hAnsi="Arial"/>
          <w:sz w:val="15"/>
          <w:szCs w:val="15"/>
          <w:u w:val="single" w:color="auto"/>
          <w:color w:val="auto"/>
        </w:rPr>
        <w:t>Title to Shares</w:t>
      </w:r>
      <w:r>
        <w:rPr>
          <w:rFonts w:ascii="Arial" w:cs="Arial" w:eastAsia="Arial" w:hAnsi="Arial"/>
          <w:sz w:val="15"/>
          <w:szCs w:val="15"/>
          <w:color w:val="auto"/>
        </w:rPr>
        <w:t>. The exact spelling of the name(s) under which Purchaser will take title to the Shares is:</w:t>
      </w:r>
    </w:p>
    <w:p>
      <w:pPr>
        <w:spacing w:after="0" w:line="184" w:lineRule="exact"/>
        <w:rPr>
          <w:sz w:val="20"/>
          <w:szCs w:val="20"/>
          <w:color w:val="auto"/>
        </w:rPr>
      </w:pPr>
    </w:p>
    <w:p>
      <w:pPr>
        <w:ind w:left="1480"/>
        <w:spacing w:after="0"/>
        <w:rPr>
          <w:sz w:val="20"/>
          <w:szCs w:val="20"/>
          <w:color w:val="auto"/>
        </w:rPr>
      </w:pPr>
      <w:r>
        <w:rPr>
          <w:rFonts w:ascii="Arial" w:cs="Arial" w:eastAsia="Arial" w:hAnsi="Arial"/>
          <w:sz w:val="15"/>
          <w:szCs w:val="15"/>
          <w:b w:val="1"/>
          <w:bCs w:val="1"/>
          <w:color w:val="auto"/>
        </w:rPr>
        <w:t>[Name]</w:t>
      </w:r>
    </w:p>
    <w:p>
      <w:pPr>
        <w:spacing w:after="0" w:line="192" w:lineRule="exact"/>
        <w:rPr>
          <w:sz w:val="20"/>
          <w:szCs w:val="20"/>
          <w:color w:val="auto"/>
        </w:rPr>
      </w:pPr>
    </w:p>
    <w:p>
      <w:pPr>
        <w:ind w:left="900"/>
        <w:spacing w:after="0"/>
        <w:rPr>
          <w:sz w:val="20"/>
          <w:szCs w:val="20"/>
          <w:color w:val="auto"/>
        </w:rPr>
      </w:pPr>
      <w:r>
        <w:rPr>
          <w:rFonts w:ascii="Arial" w:cs="Arial" w:eastAsia="Arial" w:hAnsi="Arial"/>
          <w:sz w:val="14"/>
          <w:szCs w:val="14"/>
          <w:color w:val="auto"/>
        </w:rPr>
        <w:t>To assign the Shares to a trust, a stock transfer agreement in the form provided by the Company (the “</w:t>
      </w:r>
      <w:r>
        <w:rPr>
          <w:rFonts w:ascii="Arial" w:cs="Arial" w:eastAsia="Arial" w:hAnsi="Arial"/>
          <w:sz w:val="14"/>
          <w:szCs w:val="14"/>
          <w:b w:val="1"/>
          <w:bCs w:val="1"/>
          <w:i w:val="1"/>
          <w:iCs w:val="1"/>
          <w:color w:val="auto"/>
        </w:rPr>
        <w:t>Stock Transfer Agreement</w:t>
      </w:r>
      <w:r>
        <w:rPr>
          <w:rFonts w:ascii="Arial" w:cs="Arial" w:eastAsia="Arial" w:hAnsi="Arial"/>
          <w:sz w:val="14"/>
          <w:szCs w:val="14"/>
          <w:color w:val="auto"/>
        </w:rPr>
        <w:t>”) must be completed and executed.</w:t>
      </w:r>
    </w:p>
    <w:p>
      <w:pPr>
        <w:spacing w:after="0" w:line="200" w:lineRule="exact"/>
        <w:rPr>
          <w:sz w:val="20"/>
          <w:szCs w:val="20"/>
          <w:color w:val="auto"/>
        </w:rPr>
      </w:pPr>
    </w:p>
    <w:p>
      <w:pPr>
        <w:ind w:left="900"/>
        <w:spacing w:after="0"/>
        <w:rPr>
          <w:sz w:val="20"/>
          <w:szCs w:val="20"/>
          <w:color w:val="auto"/>
        </w:rPr>
      </w:pPr>
      <w:r>
        <w:rPr>
          <w:rFonts w:ascii="Arial" w:cs="Arial" w:eastAsia="Arial" w:hAnsi="Arial"/>
          <w:sz w:val="13"/>
          <w:szCs w:val="13"/>
          <w:color w:val="auto"/>
        </w:rPr>
        <w:t xml:space="preserve">1.3 </w:t>
      </w:r>
      <w:r>
        <w:rPr>
          <w:rFonts w:ascii="Arial" w:cs="Arial" w:eastAsia="Arial" w:hAnsi="Arial"/>
          <w:sz w:val="13"/>
          <w:szCs w:val="13"/>
          <w:u w:val="single" w:color="auto"/>
          <w:color w:val="auto"/>
        </w:rPr>
        <w:t>Payment</w:t>
      </w:r>
      <w:r>
        <w:rPr>
          <w:rFonts w:ascii="Arial" w:cs="Arial" w:eastAsia="Arial" w:hAnsi="Arial"/>
          <w:sz w:val="13"/>
          <w:szCs w:val="13"/>
          <w:color w:val="auto"/>
        </w:rPr>
        <w:t>. Purchaser hereby delivers payment of the Exercise Price in the manner permitted in the Stock Option Agreement as follows (check and complete as appropriate):</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120" w:type="dxa"/>
            <w:vAlign w:val="bottom"/>
          </w:tcPr>
          <w:p>
            <w:pPr>
              <w:jc w:val="right"/>
              <w:ind w:right="32"/>
              <w:spacing w:after="0"/>
              <w:rPr>
                <w:sz w:val="20"/>
                <w:szCs w:val="20"/>
                <w:color w:val="auto"/>
              </w:rPr>
            </w:pPr>
            <w:r>
              <w:rPr>
                <w:rFonts w:ascii="Arial" w:cs="Arial" w:eastAsia="Arial" w:hAnsi="Arial"/>
                <w:sz w:val="10"/>
                <w:szCs w:val="10"/>
                <w:color w:val="auto"/>
                <w:w w:val="70"/>
              </w:rPr>
              <w:t>[</w:t>
            </w:r>
          </w:p>
        </w:tc>
        <w:tc>
          <w:tcPr>
            <w:tcW w:w="220" w:type="dxa"/>
            <w:vAlign w:val="bottom"/>
          </w:tcPr>
          <w:p>
            <w:pPr>
              <w:jc w:val="right"/>
              <w:ind w:right="25"/>
              <w:spacing w:after="0"/>
              <w:rPr>
                <w:sz w:val="20"/>
                <w:szCs w:val="20"/>
                <w:color w:val="auto"/>
              </w:rPr>
            </w:pPr>
            <w:r>
              <w:rPr>
                <w:rFonts w:ascii="Arial" w:cs="Arial" w:eastAsia="Arial" w:hAnsi="Arial"/>
                <w:sz w:val="15"/>
                <w:szCs w:val="15"/>
                <w:color w:val="auto"/>
              </w:rPr>
              <w:t>]</w:t>
            </w:r>
          </w:p>
        </w:tc>
        <w:tc>
          <w:tcPr>
            <w:tcW w:w="2560" w:type="dxa"/>
            <w:vAlign w:val="bottom"/>
          </w:tcPr>
          <w:p>
            <w:pPr>
              <w:ind w:left="100"/>
              <w:spacing w:after="0"/>
              <w:rPr>
                <w:sz w:val="20"/>
                <w:szCs w:val="20"/>
                <w:color w:val="auto"/>
              </w:rPr>
            </w:pPr>
            <w:r>
              <w:rPr>
                <w:rFonts w:ascii="Arial" w:cs="Arial" w:eastAsia="Arial" w:hAnsi="Arial"/>
                <w:sz w:val="15"/>
                <w:szCs w:val="15"/>
                <w:color w:val="auto"/>
                <w:w w:val="99"/>
              </w:rPr>
              <w:t xml:space="preserve">in cash (by check) in the amount of </w:t>
            </w:r>
            <w:r>
              <w:rPr>
                <w:rFonts w:ascii="Arial" w:cs="Arial" w:eastAsia="Arial" w:hAnsi="Arial"/>
                <w:sz w:val="15"/>
                <w:szCs w:val="15"/>
                <w:b w:val="1"/>
                <w:bCs w:val="1"/>
                <w:color w:val="auto"/>
                <w:w w:val="99"/>
              </w:rPr>
              <w:t>$</w:t>
            </w:r>
          </w:p>
        </w:tc>
        <w:tc>
          <w:tcPr>
            <w:tcW w:w="3520" w:type="dxa"/>
            <w:vAlign w:val="bottom"/>
            <w:gridSpan w:val="2"/>
          </w:tcPr>
          <w:p>
            <w:pPr>
              <w:jc w:val="right"/>
              <w:ind w:right="45"/>
              <w:spacing w:after="0"/>
              <w:rPr>
                <w:sz w:val="20"/>
                <w:szCs w:val="20"/>
                <w:color w:val="auto"/>
              </w:rPr>
            </w:pPr>
            <w:r>
              <w:rPr>
                <w:rFonts w:ascii="Arial" w:cs="Arial" w:eastAsia="Arial" w:hAnsi="Arial"/>
                <w:sz w:val="15"/>
                <w:szCs w:val="15"/>
                <w:color w:val="auto"/>
                <w:w w:val="97"/>
              </w:rPr>
              <w:t>, receipt of which is acknowledged by the Company;</w:t>
            </w:r>
          </w:p>
        </w:tc>
        <w:tc>
          <w:tcPr>
            <w:tcW w:w="160" w:type="dxa"/>
            <w:vAlign w:val="bottom"/>
          </w:tcPr>
          <w:p>
            <w:pPr>
              <w:spacing w:after="0"/>
              <w:rPr>
                <w:sz w:val="16"/>
                <w:szCs w:val="16"/>
                <w:color w:val="auto"/>
              </w:rPr>
            </w:pPr>
          </w:p>
        </w:tc>
      </w:tr>
      <w:tr>
        <w:trPr>
          <w:trHeight w:val="383"/>
        </w:trPr>
        <w:tc>
          <w:tcPr>
            <w:tcW w:w="120" w:type="dxa"/>
            <w:vAlign w:val="bottom"/>
          </w:tcPr>
          <w:p>
            <w:pPr>
              <w:jc w:val="right"/>
              <w:ind w:right="32"/>
              <w:spacing w:after="0"/>
              <w:rPr>
                <w:sz w:val="20"/>
                <w:szCs w:val="20"/>
                <w:color w:val="auto"/>
              </w:rPr>
            </w:pPr>
            <w:r>
              <w:rPr>
                <w:rFonts w:ascii="Arial" w:cs="Arial" w:eastAsia="Arial" w:hAnsi="Arial"/>
                <w:sz w:val="10"/>
                <w:szCs w:val="10"/>
                <w:color w:val="auto"/>
                <w:w w:val="70"/>
              </w:rPr>
              <w:t>[</w:t>
            </w:r>
          </w:p>
        </w:tc>
        <w:tc>
          <w:tcPr>
            <w:tcW w:w="220" w:type="dxa"/>
            <w:vAlign w:val="bottom"/>
          </w:tcPr>
          <w:p>
            <w:pPr>
              <w:jc w:val="right"/>
              <w:ind w:right="25"/>
              <w:spacing w:after="0"/>
              <w:rPr>
                <w:sz w:val="20"/>
                <w:szCs w:val="20"/>
                <w:color w:val="auto"/>
              </w:rPr>
            </w:pPr>
            <w:r>
              <w:rPr>
                <w:rFonts w:ascii="Arial" w:cs="Arial" w:eastAsia="Arial" w:hAnsi="Arial"/>
                <w:sz w:val="15"/>
                <w:szCs w:val="15"/>
                <w:color w:val="auto"/>
              </w:rPr>
              <w:t>]</w:t>
            </w:r>
          </w:p>
        </w:tc>
        <w:tc>
          <w:tcPr>
            <w:tcW w:w="5520" w:type="dxa"/>
            <w:vAlign w:val="bottom"/>
            <w:gridSpan w:val="2"/>
          </w:tcPr>
          <w:p>
            <w:pPr>
              <w:ind w:left="100"/>
              <w:spacing w:after="0"/>
              <w:rPr>
                <w:sz w:val="20"/>
                <w:szCs w:val="20"/>
                <w:color w:val="auto"/>
              </w:rPr>
            </w:pPr>
            <w:r>
              <w:rPr>
                <w:rFonts w:ascii="Arial" w:cs="Arial" w:eastAsia="Arial" w:hAnsi="Arial"/>
                <w:sz w:val="15"/>
                <w:szCs w:val="15"/>
                <w:color w:val="auto"/>
                <w:w w:val="94"/>
              </w:rPr>
              <w:t>by cancellation of indebtedness of the Company owed to Purchaser in the amount of $</w:t>
            </w:r>
          </w:p>
        </w:tc>
        <w:tc>
          <w:tcPr>
            <w:tcW w:w="560" w:type="dxa"/>
            <w:vAlign w:val="bottom"/>
          </w:tcPr>
          <w:p>
            <w:pPr>
              <w:jc w:val="right"/>
              <w:ind w:right="225"/>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24"/>
                <w:szCs w:val="24"/>
                <w:color w:val="auto"/>
              </w:rPr>
            </w:pPr>
          </w:p>
        </w:tc>
      </w:tr>
      <w:tr>
        <w:trPr>
          <w:trHeight w:val="383"/>
        </w:trPr>
        <w:tc>
          <w:tcPr>
            <w:tcW w:w="120" w:type="dxa"/>
            <w:vAlign w:val="bottom"/>
          </w:tcPr>
          <w:p>
            <w:pPr>
              <w:jc w:val="right"/>
              <w:ind w:right="32"/>
              <w:spacing w:after="0"/>
              <w:rPr>
                <w:sz w:val="20"/>
                <w:szCs w:val="20"/>
                <w:color w:val="auto"/>
              </w:rPr>
            </w:pPr>
            <w:r>
              <w:rPr>
                <w:rFonts w:ascii="Arial" w:cs="Arial" w:eastAsia="Arial" w:hAnsi="Arial"/>
                <w:sz w:val="10"/>
                <w:szCs w:val="10"/>
                <w:color w:val="auto"/>
                <w:w w:val="70"/>
              </w:rPr>
              <w:t>[</w:t>
            </w:r>
          </w:p>
        </w:tc>
        <w:tc>
          <w:tcPr>
            <w:tcW w:w="220" w:type="dxa"/>
            <w:vAlign w:val="bottom"/>
          </w:tcPr>
          <w:p>
            <w:pPr>
              <w:jc w:val="right"/>
              <w:ind w:right="25"/>
              <w:spacing w:after="0"/>
              <w:rPr>
                <w:sz w:val="20"/>
                <w:szCs w:val="20"/>
                <w:color w:val="auto"/>
              </w:rPr>
            </w:pPr>
            <w:r>
              <w:rPr>
                <w:rFonts w:ascii="Arial" w:cs="Arial" w:eastAsia="Arial" w:hAnsi="Arial"/>
                <w:sz w:val="15"/>
                <w:szCs w:val="15"/>
                <w:color w:val="auto"/>
              </w:rPr>
              <w:t>]</w:t>
            </w:r>
          </w:p>
        </w:tc>
        <w:tc>
          <w:tcPr>
            <w:tcW w:w="6080" w:type="dxa"/>
            <w:vAlign w:val="bottom"/>
            <w:gridSpan w:val="3"/>
          </w:tcPr>
          <w:p>
            <w:pPr>
              <w:ind w:left="100"/>
              <w:spacing w:after="0"/>
              <w:rPr>
                <w:sz w:val="20"/>
                <w:szCs w:val="20"/>
                <w:color w:val="auto"/>
              </w:rPr>
            </w:pPr>
            <w:r>
              <w:rPr>
                <w:rFonts w:ascii="Arial" w:cs="Arial" w:eastAsia="Arial" w:hAnsi="Arial"/>
                <w:sz w:val="15"/>
                <w:szCs w:val="15"/>
                <w:color w:val="auto"/>
                <w:w w:val="95"/>
              </w:rPr>
              <w:t>by the waiver hereby of compensation due or accrued for services rendered in the amount of $</w:t>
            </w:r>
          </w:p>
        </w:tc>
        <w:tc>
          <w:tcPr>
            <w:tcW w:w="160" w:type="dxa"/>
            <w:vAlign w:val="bottom"/>
          </w:tcPr>
          <w:p>
            <w:pPr>
              <w:jc w:val="right"/>
              <w:spacing w:after="0"/>
              <w:rPr>
                <w:sz w:val="20"/>
                <w:szCs w:val="20"/>
                <w:color w:val="auto"/>
              </w:rPr>
            </w:pPr>
            <w:r>
              <w:rPr>
                <w:rFonts w:ascii="Arial" w:cs="Arial" w:eastAsia="Arial" w:hAnsi="Arial"/>
                <w:sz w:val="15"/>
                <w:szCs w:val="15"/>
                <w:color w:val="auto"/>
              </w:rPr>
              <w:t>.</w:t>
            </w:r>
          </w:p>
        </w:tc>
      </w:tr>
    </w:tbl>
    <w:p>
      <w:pPr>
        <w:spacing w:after="0" w:line="167" w:lineRule="exact"/>
        <w:rPr>
          <w:sz w:val="20"/>
          <w:szCs w:val="20"/>
          <w:color w:val="auto"/>
        </w:rPr>
      </w:pPr>
    </w:p>
    <w:p>
      <w:pPr>
        <w:ind w:left="600" w:hanging="152"/>
        <w:spacing w:after="0"/>
        <w:tabs>
          <w:tab w:leader="none" w:pos="600" w:val="left"/>
        </w:tabs>
        <w:numPr>
          <w:ilvl w:val="0"/>
          <w:numId w:val="430"/>
        </w:numPr>
        <w:rPr>
          <w:rFonts w:ascii="Arial" w:cs="Arial" w:eastAsia="Arial" w:hAnsi="Arial"/>
          <w:sz w:val="15"/>
          <w:szCs w:val="15"/>
          <w:b w:val="1"/>
          <w:bCs w:val="1"/>
          <w:color w:val="auto"/>
        </w:rPr>
      </w:pPr>
      <w:r>
        <w:rPr>
          <w:rFonts w:ascii="Arial" w:cs="Arial" w:eastAsia="Arial" w:hAnsi="Arial"/>
          <w:sz w:val="15"/>
          <w:szCs w:val="15"/>
          <w:b w:val="1"/>
          <w:bCs w:val="1"/>
          <w:u w:val="single" w:color="auto"/>
          <w:color w:val="auto"/>
        </w:rPr>
        <w:t>Delivery</w:t>
      </w:r>
      <w:r>
        <w:rPr>
          <w:rFonts w:ascii="Arial" w:cs="Arial" w:eastAsia="Arial" w:hAnsi="Arial"/>
          <w:sz w:val="15"/>
          <w:szCs w:val="15"/>
          <w:b w:val="1"/>
          <w:bCs w:val="1"/>
          <w:color w:val="auto"/>
        </w:rPr>
        <w:t>.</w:t>
      </w:r>
    </w:p>
    <w:p>
      <w:pPr>
        <w:spacing w:after="0" w:line="192" w:lineRule="exact"/>
        <w:rPr>
          <w:sz w:val="20"/>
          <w:szCs w:val="20"/>
          <w:color w:val="auto"/>
        </w:rPr>
      </w:pPr>
    </w:p>
    <w:p>
      <w:pPr>
        <w:jc w:val="both"/>
        <w:ind w:right="20" w:firstLine="916"/>
        <w:spacing w:after="0" w:line="263" w:lineRule="auto"/>
        <w:rPr>
          <w:sz w:val="20"/>
          <w:szCs w:val="20"/>
          <w:color w:val="auto"/>
        </w:rPr>
      </w:pPr>
      <w:r>
        <w:rPr>
          <w:rFonts w:ascii="Arial" w:cs="Arial" w:eastAsia="Arial" w:hAnsi="Arial"/>
          <w:sz w:val="15"/>
          <w:szCs w:val="15"/>
          <w:color w:val="auto"/>
        </w:rPr>
        <w:t xml:space="preserve">2.1 </w:t>
      </w:r>
      <w:r>
        <w:rPr>
          <w:rFonts w:ascii="Arial" w:cs="Arial" w:eastAsia="Arial" w:hAnsi="Arial"/>
          <w:sz w:val="15"/>
          <w:szCs w:val="15"/>
          <w:u w:val="single" w:color="auto"/>
          <w:color w:val="auto"/>
        </w:rPr>
        <w:t>Deliveries by Purchaser</w:t>
      </w:r>
      <w:r>
        <w:rPr>
          <w:rFonts w:ascii="Arial" w:cs="Arial" w:eastAsia="Arial" w:hAnsi="Arial"/>
          <w:sz w:val="15"/>
          <w:szCs w:val="15"/>
          <w:color w:val="auto"/>
        </w:rPr>
        <w:t xml:space="preserve">. Purchaser hereby delivers to the Company (i) this Exercise Agreement, (ii) two (2) copies of a blank Stock Power and Assignment Separate from Stock Certificate in the form of </w:t>
      </w:r>
      <w:r>
        <w:rPr>
          <w:rFonts w:ascii="Arial" w:cs="Arial" w:eastAsia="Arial" w:hAnsi="Arial"/>
          <w:sz w:val="15"/>
          <w:szCs w:val="15"/>
          <w:u w:val="single" w:color="auto"/>
          <w:color w:val="auto"/>
        </w:rPr>
        <w:t>Exhibit 1</w:t>
      </w:r>
      <w:r>
        <w:rPr>
          <w:rFonts w:ascii="Arial" w:cs="Arial" w:eastAsia="Arial" w:hAnsi="Arial"/>
          <w:sz w:val="15"/>
          <w:szCs w:val="15"/>
          <w:color w:val="auto"/>
        </w:rPr>
        <w:t xml:space="preserve"> attached hereto (the “</w:t>
      </w:r>
      <w:r>
        <w:rPr>
          <w:rFonts w:ascii="Arial" w:cs="Arial" w:eastAsia="Arial" w:hAnsi="Arial"/>
          <w:sz w:val="15"/>
          <w:szCs w:val="15"/>
          <w:b w:val="1"/>
          <w:bCs w:val="1"/>
          <w:i w:val="1"/>
          <w:iCs w:val="1"/>
          <w:color w:val="auto"/>
        </w:rPr>
        <w:t>Stock Powers</w:t>
      </w:r>
      <w:r>
        <w:rPr>
          <w:rFonts w:ascii="Arial" w:cs="Arial" w:eastAsia="Arial" w:hAnsi="Arial"/>
          <w:sz w:val="15"/>
          <w:szCs w:val="15"/>
          <w:color w:val="auto"/>
        </w:rPr>
        <w:t xml:space="preserve">”), both executed by Purchaser (and Purchaser’s spouse, if any) and (iii) the Exercise Price and payment or other provision for any applicable tax obligations in the form of a wire, a copy of which is attached hereto as </w:t>
      </w:r>
      <w:r>
        <w:rPr>
          <w:rFonts w:ascii="Arial" w:cs="Arial" w:eastAsia="Arial" w:hAnsi="Arial"/>
          <w:sz w:val="15"/>
          <w:szCs w:val="15"/>
          <w:u w:val="single" w:color="auto"/>
          <w:color w:val="auto"/>
        </w:rPr>
        <w:t>Exhibit 2</w:t>
      </w:r>
      <w:r>
        <w:rPr>
          <w:rFonts w:ascii="Arial" w:cs="Arial" w:eastAsia="Arial" w:hAnsi="Arial"/>
          <w:sz w:val="15"/>
          <w:szCs w:val="15"/>
          <w:color w:val="auto"/>
        </w:rPr>
        <w:t>.</w:t>
      </w:r>
    </w:p>
    <w:p>
      <w:pPr>
        <w:spacing w:after="0" w:line="155" w:lineRule="exact"/>
        <w:rPr>
          <w:sz w:val="20"/>
          <w:szCs w:val="20"/>
          <w:color w:val="auto"/>
        </w:rPr>
      </w:pPr>
    </w:p>
    <w:p>
      <w:pPr>
        <w:jc w:val="both"/>
        <w:ind w:right="40" w:firstLine="916"/>
        <w:spacing w:after="0" w:line="263" w:lineRule="auto"/>
        <w:rPr>
          <w:sz w:val="20"/>
          <w:szCs w:val="20"/>
          <w:color w:val="auto"/>
        </w:rPr>
      </w:pPr>
      <w:r>
        <w:rPr>
          <w:rFonts w:ascii="Arial" w:cs="Arial" w:eastAsia="Arial" w:hAnsi="Arial"/>
          <w:sz w:val="15"/>
          <w:szCs w:val="15"/>
          <w:color w:val="auto"/>
        </w:rPr>
        <w:t xml:space="preserve">2.2 </w:t>
      </w:r>
      <w:r>
        <w:rPr>
          <w:rFonts w:ascii="Arial" w:cs="Arial" w:eastAsia="Arial" w:hAnsi="Arial"/>
          <w:sz w:val="15"/>
          <w:szCs w:val="15"/>
          <w:u w:val="single" w:color="auto"/>
          <w:color w:val="auto"/>
        </w:rPr>
        <w:t>Deliveries by the Company</w:t>
      </w:r>
      <w:r>
        <w:rPr>
          <w:rFonts w:ascii="Arial" w:cs="Arial" w:eastAsia="Arial" w:hAnsi="Arial"/>
          <w:sz w:val="15"/>
          <w:szCs w:val="15"/>
          <w:color w:val="auto"/>
        </w:rPr>
        <w:t>. Upon its receipt of the Exercise Price, payment or other provision for any applicable tax obligations and all the documents to be executed and delivered by Purchaser to the Company under Section 2.1, the Company will issue the Shares in book-entry form in the name of Purchaser subject to the Company’s Repurchase Option and Right of First Refusal described in Sections 8, 9 and 10.</w:t>
      </w:r>
    </w:p>
    <w:p>
      <w:pPr>
        <w:spacing w:after="0" w:line="151" w:lineRule="exact"/>
        <w:rPr>
          <w:sz w:val="20"/>
          <w:szCs w:val="20"/>
          <w:color w:val="auto"/>
        </w:rPr>
      </w:pPr>
    </w:p>
    <w:p>
      <w:pPr>
        <w:ind w:left="600" w:hanging="152"/>
        <w:spacing w:after="0"/>
        <w:tabs>
          <w:tab w:leader="none" w:pos="600" w:val="left"/>
        </w:tabs>
        <w:numPr>
          <w:ilvl w:val="0"/>
          <w:numId w:val="431"/>
        </w:numPr>
        <w:rPr>
          <w:rFonts w:ascii="Arial" w:cs="Arial" w:eastAsia="Arial" w:hAnsi="Arial"/>
          <w:sz w:val="15"/>
          <w:szCs w:val="15"/>
          <w:b w:val="1"/>
          <w:bCs w:val="1"/>
          <w:color w:val="auto"/>
        </w:rPr>
      </w:pPr>
      <w:r>
        <w:rPr>
          <w:rFonts w:ascii="Arial" w:cs="Arial" w:eastAsia="Arial" w:hAnsi="Arial"/>
          <w:sz w:val="15"/>
          <w:szCs w:val="15"/>
          <w:b w:val="1"/>
          <w:bCs w:val="1"/>
          <w:u w:val="single" w:color="auto"/>
          <w:color w:val="auto"/>
        </w:rPr>
        <w:t>Representations and Warranties of Purchaser</w:t>
      </w:r>
      <w:r>
        <w:rPr>
          <w:rFonts w:ascii="Arial" w:cs="Arial" w:eastAsia="Arial" w:hAnsi="Arial"/>
          <w:sz w:val="15"/>
          <w:szCs w:val="15"/>
          <w:b w:val="1"/>
          <w:bCs w:val="1"/>
          <w:color w:val="auto"/>
        </w:rPr>
        <w:t xml:space="preserve">. </w:t>
      </w:r>
      <w:r>
        <w:rPr>
          <w:rFonts w:ascii="Arial" w:cs="Arial" w:eastAsia="Arial" w:hAnsi="Arial"/>
          <w:sz w:val="15"/>
          <w:szCs w:val="15"/>
          <w:color w:val="auto"/>
        </w:rPr>
        <w:t>Purchaser represents and warrants to the Company that:</w:t>
      </w:r>
    </w:p>
    <w:p>
      <w:pPr>
        <w:spacing w:after="0" w:line="192" w:lineRule="exact"/>
        <w:rPr>
          <w:sz w:val="20"/>
          <w:szCs w:val="20"/>
          <w:color w:val="auto"/>
        </w:rPr>
      </w:pPr>
    </w:p>
    <w:p>
      <w:pPr>
        <w:ind w:right="60" w:firstLine="916"/>
        <w:spacing w:after="0" w:line="263" w:lineRule="auto"/>
        <w:rPr>
          <w:sz w:val="20"/>
          <w:szCs w:val="20"/>
          <w:color w:val="auto"/>
        </w:rPr>
      </w:pPr>
      <w:r>
        <w:rPr>
          <w:rFonts w:ascii="Arial" w:cs="Arial" w:eastAsia="Arial" w:hAnsi="Arial"/>
          <w:sz w:val="15"/>
          <w:szCs w:val="15"/>
          <w:color w:val="auto"/>
        </w:rPr>
        <w:t xml:space="preserve">3.1 </w:t>
      </w:r>
      <w:r>
        <w:rPr>
          <w:rFonts w:ascii="Arial" w:cs="Arial" w:eastAsia="Arial" w:hAnsi="Arial"/>
          <w:sz w:val="15"/>
          <w:szCs w:val="15"/>
          <w:u w:val="single" w:color="auto"/>
          <w:color w:val="auto"/>
        </w:rPr>
        <w:t>Agrees to Terms of the Plan</w:t>
      </w:r>
      <w:r>
        <w:rPr>
          <w:rFonts w:ascii="Arial" w:cs="Arial" w:eastAsia="Arial" w:hAnsi="Arial"/>
          <w:sz w:val="15"/>
          <w:szCs w:val="15"/>
          <w:color w:val="auto"/>
        </w:rPr>
        <w:t>. Purchaser has received a copy of the Plan and the Stock Option Agreement, has read and understands the terms of the Plan, the Stock Option Agreement and this Exercise Agreement, and agrees to be bound by their terms and conditions. Purchaser acknowledges that there may be adverse tax consequences upon exercise of the Option or disposition of the Shares, and that Purchaser should consult a tax adviser prior to such exercise or disposition.</w:t>
      </w:r>
    </w:p>
    <w:p>
      <w:pPr>
        <w:spacing w:after="0" w:line="155" w:lineRule="exact"/>
        <w:rPr>
          <w:sz w:val="20"/>
          <w:szCs w:val="20"/>
          <w:color w:val="auto"/>
        </w:rPr>
      </w:pPr>
    </w:p>
    <w:p>
      <w:pPr>
        <w:ind w:right="120" w:firstLine="916"/>
        <w:spacing w:after="0" w:line="263" w:lineRule="auto"/>
        <w:rPr>
          <w:sz w:val="20"/>
          <w:szCs w:val="20"/>
          <w:color w:val="auto"/>
        </w:rPr>
      </w:pPr>
      <w:r>
        <w:rPr>
          <w:rFonts w:ascii="Arial" w:cs="Arial" w:eastAsia="Arial" w:hAnsi="Arial"/>
          <w:sz w:val="15"/>
          <w:szCs w:val="15"/>
          <w:color w:val="auto"/>
        </w:rPr>
        <w:t xml:space="preserve">3.2 </w:t>
      </w:r>
      <w:r>
        <w:rPr>
          <w:rFonts w:ascii="Arial" w:cs="Arial" w:eastAsia="Arial" w:hAnsi="Arial"/>
          <w:sz w:val="15"/>
          <w:szCs w:val="15"/>
          <w:u w:val="single" w:color="auto"/>
          <w:color w:val="auto"/>
        </w:rPr>
        <w:t>Purchase for Own Account for Investment</w:t>
      </w:r>
      <w:r>
        <w:rPr>
          <w:rFonts w:ascii="Arial" w:cs="Arial" w:eastAsia="Arial" w:hAnsi="Arial"/>
          <w:sz w:val="15"/>
          <w:szCs w:val="15"/>
          <w:color w:val="auto"/>
        </w:rPr>
        <w:t>. Purchaser is purchasing the Shares for Purchaser’s own account for investment purposes only and not with a view to, or for sale in connection with, a distribution of the Shares within the meaning of the Securities Act. Purchaser has no present intention of selling or otherwise disposing of all or any portion of the Shares and no one other than Purchaser has any beneficial ownership of any of the Shares.</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2</w:t>
      </w:r>
    </w:p>
    <w:p>
      <w:pPr>
        <w:sectPr>
          <w:pgSz w:w="11900" w:h="16838" w:orient="portrait"/>
          <w:cols w:equalWidth="0" w:num="1">
            <w:col w:w="11420"/>
          </w:cols>
          <w:pgMar w:left="240" w:top="253" w:right="239" w:bottom="1440" w:gutter="0" w:footer="0" w:header="0"/>
        </w:sectPr>
      </w:pPr>
    </w:p>
    <w:bookmarkStart w:id="464" w:name="page465"/>
    <w:bookmarkEnd w:id="464"/>
    <w:p>
      <w:pPr>
        <w:ind w:right="500" w:firstLine="916"/>
        <w:spacing w:after="0" w:line="263"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133350</wp:posOffset>
            </wp:positionH>
            <wp:positionV relativeFrom="page">
              <wp:posOffset>88900</wp:posOffset>
            </wp:positionV>
            <wp:extent cx="7308850" cy="34290"/>
            <wp:wrapNone/>
            <wp:docPr id="686" name="Picture 6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6"/>
                    <pic:cNvPicPr>
                      <a:picLocks noChangeAspect="1" noChangeArrowheads="1"/>
                    </pic:cNvPicPr>
                  </pic:nvPicPr>
                  <pic:blipFill>
                    <a:blip r:embed="rId723">
                      <a:extLst>
                        <a:ext uri="{28A0092B-C50C-407E-A947-70E740481C1C}"/>
                      </a:extLst>
                    </a:blip>
                    <a:srcRect/>
                    <a:stretch>
                      <a:fillRect/>
                    </a:stretch>
                  </pic:blipFill>
                  <pic:spPr bwMode="auto">
                    <a:xfrm>
                      <a:off x="0" y="0"/>
                      <a:ext cx="7308850" cy="34290"/>
                    </a:xfrm>
                    <a:prstGeom prst="rect">
                      <a:avLst/>
                    </a:prstGeom>
                    <a:noFill/>
                  </pic:spPr>
                </pic:pic>
              </a:graphicData>
            </a:graphic>
          </wp:anchor>
        </w:drawing>
        <w:t xml:space="preserve">3.3 </w:t>
      </w:r>
      <w:r>
        <w:rPr>
          <w:rFonts w:ascii="Arial" w:cs="Arial" w:eastAsia="Arial" w:hAnsi="Arial"/>
          <w:sz w:val="15"/>
          <w:szCs w:val="15"/>
          <w:u w:val="single" w:color="auto"/>
          <w:color w:val="auto"/>
        </w:rPr>
        <w:t>Access to Information</w:t>
      </w:r>
      <w:r>
        <w:rPr>
          <w:rFonts w:ascii="Arial" w:cs="Arial" w:eastAsia="Arial" w:hAnsi="Arial"/>
          <w:sz w:val="15"/>
          <w:szCs w:val="15"/>
          <w:color w:val="auto"/>
        </w:rPr>
        <w:t>. Purchaser has had access to all information regarding the Company and its present and prospective business, assets, liabilities and financial condition that Purchaser reasonably considers important in making the decision to purchase the Shares, and Purchaser has had ample opportunity to ask questions of the Company’s representatives concerning such matters and this investment.</w:t>
      </w:r>
    </w:p>
    <w:p>
      <w:pPr>
        <w:spacing w:after="0" w:line="155" w:lineRule="exact"/>
        <w:rPr>
          <w:sz w:val="20"/>
          <w:szCs w:val="20"/>
          <w:color w:val="auto"/>
        </w:rPr>
      </w:pPr>
    </w:p>
    <w:p>
      <w:pPr>
        <w:ind w:right="100" w:firstLine="916"/>
        <w:spacing w:after="0" w:line="283" w:lineRule="auto"/>
        <w:rPr>
          <w:sz w:val="20"/>
          <w:szCs w:val="20"/>
          <w:color w:val="auto"/>
        </w:rPr>
      </w:pPr>
      <w:r>
        <w:rPr>
          <w:rFonts w:ascii="Arial" w:cs="Arial" w:eastAsia="Arial" w:hAnsi="Arial"/>
          <w:sz w:val="14"/>
          <w:szCs w:val="14"/>
          <w:color w:val="auto"/>
        </w:rPr>
        <w:t xml:space="preserve">3.4 </w:t>
      </w:r>
      <w:r>
        <w:rPr>
          <w:rFonts w:ascii="Arial" w:cs="Arial" w:eastAsia="Arial" w:hAnsi="Arial"/>
          <w:sz w:val="14"/>
          <w:szCs w:val="14"/>
          <w:u w:val="single" w:color="auto"/>
          <w:color w:val="auto"/>
        </w:rPr>
        <w:t>Understanding of Risks</w:t>
      </w:r>
      <w:r>
        <w:rPr>
          <w:rFonts w:ascii="Arial" w:cs="Arial" w:eastAsia="Arial" w:hAnsi="Arial"/>
          <w:sz w:val="14"/>
          <w:szCs w:val="14"/>
          <w:color w:val="auto"/>
        </w:rPr>
        <w:t>. Purchaser is fully aware of: (i) the highly speculative nature of the investment in the Shares; (ii) the financial hazards involved; (iii) the lack of liquidity of the Shares and the restrictions on transferability of the Shares (</w:t>
      </w:r>
      <w:r>
        <w:rPr>
          <w:rFonts w:ascii="Arial" w:cs="Arial" w:eastAsia="Arial" w:hAnsi="Arial"/>
          <w:sz w:val="14"/>
          <w:szCs w:val="14"/>
          <w:u w:val="single" w:color="auto"/>
          <w:color w:val="auto"/>
        </w:rPr>
        <w:t>e.g.</w:t>
      </w:r>
      <w:r>
        <w:rPr>
          <w:rFonts w:ascii="Arial" w:cs="Arial" w:eastAsia="Arial" w:hAnsi="Arial"/>
          <w:sz w:val="14"/>
          <w:szCs w:val="14"/>
          <w:color w:val="auto"/>
        </w:rPr>
        <w:t>, that Purchaser may not be able to sell or dispose of the Shares or use them as collateral for loans); (iv) the qualifications and backgrounds of the management of the Company; and (v) the tax consequences of investment in the Shares. Purchaser is capable of evaluating the merits and risks of this investment, has the ability to protect Purchaser’s own interests in this transaction and is financially capable of bearing a total loss of this investment.</w:t>
      </w:r>
    </w:p>
    <w:p>
      <w:pPr>
        <w:spacing w:after="0" w:line="143" w:lineRule="exact"/>
        <w:rPr>
          <w:sz w:val="20"/>
          <w:szCs w:val="20"/>
          <w:color w:val="auto"/>
        </w:rPr>
      </w:pPr>
    </w:p>
    <w:p>
      <w:pPr>
        <w:ind w:right="380" w:firstLine="916"/>
        <w:spacing w:after="0" w:line="275" w:lineRule="auto"/>
        <w:rPr>
          <w:sz w:val="20"/>
          <w:szCs w:val="20"/>
          <w:color w:val="auto"/>
        </w:rPr>
      </w:pPr>
      <w:r>
        <w:rPr>
          <w:rFonts w:ascii="Arial" w:cs="Arial" w:eastAsia="Arial" w:hAnsi="Arial"/>
          <w:sz w:val="15"/>
          <w:szCs w:val="15"/>
          <w:color w:val="auto"/>
        </w:rPr>
        <w:t xml:space="preserve">3.5 </w:t>
      </w:r>
      <w:r>
        <w:rPr>
          <w:rFonts w:ascii="Arial" w:cs="Arial" w:eastAsia="Arial" w:hAnsi="Arial"/>
          <w:sz w:val="15"/>
          <w:szCs w:val="15"/>
          <w:u w:val="single" w:color="auto"/>
          <w:color w:val="auto"/>
        </w:rPr>
        <w:t>No General Solicitation</w:t>
      </w:r>
      <w:r>
        <w:rPr>
          <w:rFonts w:ascii="Arial" w:cs="Arial" w:eastAsia="Arial" w:hAnsi="Arial"/>
          <w:sz w:val="15"/>
          <w:szCs w:val="15"/>
          <w:color w:val="auto"/>
        </w:rPr>
        <w:t>. At no time was Purchaser presented with or solicited by any publicly issued or circulated newspaper, mail, radio, television or other form of general advertising or solicitation in connection with the offer, sale and purchase of the Shares.</w:t>
      </w:r>
    </w:p>
    <w:p>
      <w:pPr>
        <w:spacing w:after="0" w:line="146" w:lineRule="exact"/>
        <w:rPr>
          <w:sz w:val="20"/>
          <w:szCs w:val="20"/>
          <w:color w:val="auto"/>
        </w:rPr>
      </w:pPr>
    </w:p>
    <w:p>
      <w:pPr>
        <w:ind w:right="420" w:firstLine="916"/>
        <w:spacing w:after="0" w:line="275" w:lineRule="auto"/>
        <w:rPr>
          <w:sz w:val="20"/>
          <w:szCs w:val="20"/>
          <w:color w:val="auto"/>
        </w:rPr>
      </w:pPr>
      <w:r>
        <w:rPr>
          <w:rFonts w:ascii="Arial" w:cs="Arial" w:eastAsia="Arial" w:hAnsi="Arial"/>
          <w:sz w:val="15"/>
          <w:szCs w:val="15"/>
          <w:color w:val="auto"/>
        </w:rPr>
        <w:t xml:space="preserve">3.6 </w:t>
      </w:r>
      <w:r>
        <w:rPr>
          <w:rFonts w:ascii="Arial" w:cs="Arial" w:eastAsia="Arial" w:hAnsi="Arial"/>
          <w:sz w:val="15"/>
          <w:szCs w:val="15"/>
          <w:u w:val="single" w:color="auto"/>
          <w:color w:val="auto"/>
        </w:rPr>
        <w:t>Spouse Consent</w:t>
      </w:r>
      <w:r>
        <w:rPr>
          <w:rFonts w:ascii="Arial" w:cs="Arial" w:eastAsia="Arial" w:hAnsi="Arial"/>
          <w:sz w:val="15"/>
          <w:szCs w:val="15"/>
          <w:color w:val="auto"/>
        </w:rPr>
        <w:t>. If Purchaser is married, Purchaser agrees to seek the consent of Purchaser’s spouse to the extent required by the Company to enforce the terms and conditions of the Plan, the Stock Option Agreement and this Exercise Agreement.</w:t>
      </w:r>
    </w:p>
    <w:p>
      <w:pPr>
        <w:spacing w:after="0" w:line="142" w:lineRule="exact"/>
        <w:rPr>
          <w:sz w:val="20"/>
          <w:szCs w:val="20"/>
          <w:color w:val="auto"/>
        </w:rPr>
      </w:pPr>
    </w:p>
    <w:p>
      <w:pPr>
        <w:ind w:left="600" w:hanging="152"/>
        <w:spacing w:after="0"/>
        <w:tabs>
          <w:tab w:leader="none" w:pos="600" w:val="left"/>
        </w:tabs>
        <w:numPr>
          <w:ilvl w:val="0"/>
          <w:numId w:val="432"/>
        </w:numPr>
        <w:rPr>
          <w:rFonts w:ascii="Arial" w:cs="Arial" w:eastAsia="Arial" w:hAnsi="Arial"/>
          <w:sz w:val="15"/>
          <w:szCs w:val="15"/>
          <w:b w:val="1"/>
          <w:bCs w:val="1"/>
          <w:color w:val="auto"/>
        </w:rPr>
      </w:pPr>
      <w:r>
        <w:rPr>
          <w:rFonts w:ascii="Arial" w:cs="Arial" w:eastAsia="Arial" w:hAnsi="Arial"/>
          <w:sz w:val="15"/>
          <w:szCs w:val="15"/>
          <w:b w:val="1"/>
          <w:bCs w:val="1"/>
          <w:u w:val="single" w:color="auto"/>
          <w:color w:val="auto"/>
        </w:rPr>
        <w:t>Compliance with Securities Laws</w:t>
      </w:r>
      <w:r>
        <w:rPr>
          <w:rFonts w:ascii="Arial" w:cs="Arial" w:eastAsia="Arial" w:hAnsi="Arial"/>
          <w:sz w:val="15"/>
          <w:szCs w:val="15"/>
          <w:b w:val="1"/>
          <w:bCs w:val="1"/>
          <w:color w:val="auto"/>
        </w:rPr>
        <w:t>.</w:t>
      </w:r>
    </w:p>
    <w:p>
      <w:pPr>
        <w:spacing w:after="0" w:line="192" w:lineRule="exact"/>
        <w:rPr>
          <w:sz w:val="20"/>
          <w:szCs w:val="20"/>
          <w:color w:val="auto"/>
        </w:rPr>
      </w:pPr>
    </w:p>
    <w:p>
      <w:pPr>
        <w:ind w:firstLine="916"/>
        <w:spacing w:after="0" w:line="290" w:lineRule="auto"/>
        <w:rPr>
          <w:sz w:val="20"/>
          <w:szCs w:val="20"/>
          <w:color w:val="auto"/>
        </w:rPr>
      </w:pPr>
      <w:r>
        <w:rPr>
          <w:rFonts w:ascii="Arial" w:cs="Arial" w:eastAsia="Arial" w:hAnsi="Arial"/>
          <w:sz w:val="14"/>
          <w:szCs w:val="14"/>
          <w:color w:val="auto"/>
        </w:rPr>
        <w:t xml:space="preserve">4.1 </w:t>
      </w:r>
      <w:r>
        <w:rPr>
          <w:rFonts w:ascii="Arial" w:cs="Arial" w:eastAsia="Arial" w:hAnsi="Arial"/>
          <w:sz w:val="14"/>
          <w:szCs w:val="14"/>
          <w:u w:val="single" w:color="auto"/>
          <w:color w:val="auto"/>
        </w:rPr>
        <w:t>Compliance with U.S. Federal Securities Laws</w:t>
      </w:r>
      <w:r>
        <w:rPr>
          <w:rFonts w:ascii="Arial" w:cs="Arial" w:eastAsia="Arial" w:hAnsi="Arial"/>
          <w:sz w:val="14"/>
          <w:szCs w:val="14"/>
          <w:color w:val="auto"/>
        </w:rPr>
        <w:t>. Purchaser understands and acknowledges that the Shares have not been registered with the SEC under the Securities Act and that, notwithstanding any other provision of the Stock Option Agreement to the contrary, the exercise of any rights to purchase any Shares is expressly conditioned upon compliance with the Securities Act and all applicable state securities laws. Purchaser agrees to cooperate with the Company to ensure compliance with such laws.</w:t>
      </w:r>
    </w:p>
    <w:p>
      <w:pPr>
        <w:spacing w:after="0" w:line="138" w:lineRule="exact"/>
        <w:rPr>
          <w:sz w:val="20"/>
          <w:szCs w:val="20"/>
          <w:color w:val="auto"/>
        </w:rPr>
      </w:pPr>
    </w:p>
    <w:p>
      <w:pPr>
        <w:ind w:right="20" w:firstLine="916"/>
        <w:spacing w:after="0" w:line="254" w:lineRule="auto"/>
        <w:rPr>
          <w:sz w:val="20"/>
          <w:szCs w:val="20"/>
          <w:color w:val="auto"/>
        </w:rPr>
      </w:pPr>
      <w:r>
        <w:rPr>
          <w:rFonts w:ascii="Arial" w:cs="Arial" w:eastAsia="Arial" w:hAnsi="Arial"/>
          <w:sz w:val="15"/>
          <w:szCs w:val="15"/>
          <w:color w:val="auto"/>
        </w:rPr>
        <w:t xml:space="preserve">4.2 </w:t>
      </w:r>
      <w:r>
        <w:rPr>
          <w:rFonts w:ascii="Arial" w:cs="Arial" w:eastAsia="Arial" w:hAnsi="Arial"/>
          <w:sz w:val="15"/>
          <w:szCs w:val="15"/>
          <w:u w:val="single" w:color="auto"/>
          <w:color w:val="auto"/>
        </w:rPr>
        <w:t>Compliance with California Securities Laws</w:t>
      </w:r>
      <w:r>
        <w:rPr>
          <w:rFonts w:ascii="Arial" w:cs="Arial" w:eastAsia="Arial" w:hAnsi="Arial"/>
          <w:sz w:val="15"/>
          <w:szCs w:val="15"/>
          <w:color w:val="auto"/>
        </w:rPr>
        <w:t xml:space="preserve">. </w:t>
      </w:r>
      <w:r>
        <w:rPr>
          <w:rFonts w:ascii="Arial" w:cs="Arial" w:eastAsia="Arial" w:hAnsi="Arial"/>
          <w:sz w:val="15"/>
          <w:szCs w:val="15"/>
          <w:i w:val="1"/>
          <w:iCs w:val="1"/>
          <w:color w:val="auto"/>
        </w:rPr>
        <w:t>THE PLAN, THE STOCK OPTION AGREEMENT, AND THIS EXERCISE AGREEMENT ARE INTENDED TO COMPLY</w:t>
      </w:r>
      <w:r>
        <w:rPr>
          <w:rFonts w:ascii="Arial" w:cs="Arial" w:eastAsia="Arial" w:hAnsi="Arial"/>
          <w:sz w:val="15"/>
          <w:szCs w:val="15"/>
          <w:color w:val="auto"/>
        </w:rPr>
        <w:t xml:space="preserve"> </w:t>
      </w:r>
      <w:r>
        <w:rPr>
          <w:rFonts w:ascii="Arial" w:cs="Arial" w:eastAsia="Arial" w:hAnsi="Arial"/>
          <w:sz w:val="15"/>
          <w:szCs w:val="15"/>
          <w:i w:val="1"/>
          <w:iCs w:val="1"/>
          <w:color w:val="auto"/>
        </w:rPr>
        <w:t>WITH SECTION 25102(o) OF THE CALIFORNIA CORPORATIONS CODE AND ANY RULES (INCLUDING COMMISSIONER RULES, IF APPLICABLE) OR REGULATIONS PROMULGATED THEREUNDER BY THE CALIFORNIA DEPARTMENT OF CORPORATIONS (THE “</w:t>
      </w:r>
      <w:r>
        <w:rPr>
          <w:rFonts w:ascii="Arial" w:cs="Arial" w:eastAsia="Arial" w:hAnsi="Arial"/>
          <w:sz w:val="15"/>
          <w:szCs w:val="15"/>
          <w:b w:val="1"/>
          <w:bCs w:val="1"/>
          <w:i w:val="1"/>
          <w:iCs w:val="1"/>
          <w:color w:val="auto"/>
        </w:rPr>
        <w:t>REGULATIONS</w:t>
      </w:r>
      <w:r>
        <w:rPr>
          <w:rFonts w:ascii="Arial" w:cs="Arial" w:eastAsia="Arial" w:hAnsi="Arial"/>
          <w:sz w:val="15"/>
          <w:szCs w:val="15"/>
          <w:i w:val="1"/>
          <w:iCs w:val="1"/>
          <w:color w:val="auto"/>
        </w:rPr>
        <w:t>”). ANY PROVISION OF THIS EXERCISE AGREEMENT THAT IS INCONSISTENT WITH SECTION 25102(o) SHALL, WITHOUT FURTHER ACT OR AMENDMENT BY THE COMPANY OR THE BOARD, BE REFORMED TO COMPLY WITH THE REQUIREMENTS OF SECTION 25102(o). THE SALE OF THE SECURITIES THAT ARE THE SUBJECT OF THIS EXERCISE AGREEMENT, IF NOT YET QUALIFIED WITH THE CALIFORNIA COMMISSIONER OF CORPORATIONS AND NOT EXEMPT FROM SUCH QUALIFICATION, IS SUBJECT TO SUCH QUALIFICATION, AND THE ISSUANCE OF SUCH SECURITIES, AND THE RECEIPT OF ANY PART OF THE CONSIDERATION THEREFOR PRIOR TO SUCH QUALIFICATION IS UNLAWFUL UNLESS THE SALE IS EXEMPT. THE RIGHTS OF THE PARTIES TO THIS EXERCISE AGREEMENT ARE EXPRESSLY CONDITIONED UPON SUCH QUALIFICATION BEING OBTAINED OR AN EXEMPTION BEING AVAILABLE.</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3</w:t>
      </w:r>
    </w:p>
    <w:p>
      <w:pPr>
        <w:sectPr>
          <w:pgSz w:w="11900" w:h="16838" w:orient="portrait"/>
          <w:cols w:equalWidth="0" w:num="1">
            <w:col w:w="11420"/>
          </w:cols>
          <w:pgMar w:left="240" w:top="253" w:right="239" w:bottom="1440" w:gutter="0" w:footer="0" w:header="0"/>
        </w:sectPr>
      </w:pPr>
    </w:p>
    <w:bookmarkStart w:id="465" w:name="page466"/>
    <w:bookmarkEnd w:id="465"/>
    <w:p>
      <w:pPr>
        <w:ind w:left="600" w:hanging="152"/>
        <w:spacing w:after="0"/>
        <w:tabs>
          <w:tab w:leader="none" w:pos="600" w:val="left"/>
        </w:tabs>
        <w:numPr>
          <w:ilvl w:val="0"/>
          <w:numId w:val="433"/>
        </w:numPr>
        <w:rPr>
          <w:rFonts w:ascii="Arial" w:cs="Arial" w:eastAsia="Arial" w:hAnsi="Arial"/>
          <w:sz w:val="15"/>
          <w:szCs w:val="15"/>
          <w:b w:val="1"/>
          <w:bCs w:val="1"/>
          <w:color w:val="auto"/>
        </w:rPr>
      </w:pPr>
      <w:r>
        <w:rPr>
          <w:rFonts w:ascii="Arial" w:cs="Arial" w:eastAsia="Arial" w:hAnsi="Arial"/>
          <w:sz w:val="15"/>
          <w:szCs w:val="15"/>
          <w:b w:val="1"/>
          <w:bCs w:val="1"/>
          <w:u w:val="single" w:color="auto"/>
          <w:color w:val="auto"/>
        </w:rPr>
        <w:drawing>
          <wp:anchor simplePos="0" relativeHeight="251657728" behindDoc="1" locked="0" layoutInCell="0" allowOverlap="1">
            <wp:simplePos x="0" y="0"/>
            <wp:positionH relativeFrom="page">
              <wp:posOffset>133350</wp:posOffset>
            </wp:positionH>
            <wp:positionV relativeFrom="page">
              <wp:posOffset>88900</wp:posOffset>
            </wp:positionV>
            <wp:extent cx="7308850" cy="34290"/>
            <wp:wrapNone/>
            <wp:docPr id="687" name="Picture 6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7"/>
                    <pic:cNvPicPr>
                      <a:picLocks noChangeAspect="1" noChangeArrowheads="1"/>
                    </pic:cNvPicPr>
                  </pic:nvPicPr>
                  <pic:blipFill>
                    <a:blip r:embed="rId724">
                      <a:extLst>
                        <a:ext uri="{28A0092B-C50C-407E-A947-70E740481C1C}"/>
                      </a:extLst>
                    </a:blip>
                    <a:srcRect/>
                    <a:stretch>
                      <a:fillRect/>
                    </a:stretch>
                  </pic:blipFill>
                  <pic:spPr bwMode="auto">
                    <a:xfrm>
                      <a:off x="0" y="0"/>
                      <a:ext cx="7308850" cy="34290"/>
                    </a:xfrm>
                    <a:prstGeom prst="rect">
                      <a:avLst/>
                    </a:prstGeom>
                    <a:noFill/>
                  </pic:spPr>
                </pic:pic>
              </a:graphicData>
            </a:graphic>
          </wp:anchor>
        </w:drawing>
        <w:t>Restricted Securities</w:t>
      </w:r>
      <w:r>
        <w:rPr>
          <w:rFonts w:ascii="Arial" w:cs="Arial" w:eastAsia="Arial" w:hAnsi="Arial"/>
          <w:sz w:val="15"/>
          <w:szCs w:val="15"/>
          <w:b w:val="1"/>
          <w:bCs w:val="1"/>
          <w:color w:val="auto"/>
        </w:rPr>
        <w:t>.</w:t>
      </w:r>
    </w:p>
    <w:p>
      <w:pPr>
        <w:spacing w:after="0" w:line="192" w:lineRule="exact"/>
        <w:rPr>
          <w:sz w:val="20"/>
          <w:szCs w:val="20"/>
          <w:color w:val="auto"/>
        </w:rPr>
      </w:pPr>
    </w:p>
    <w:p>
      <w:pPr>
        <w:ind w:firstLine="916"/>
        <w:spacing w:after="0" w:line="257" w:lineRule="auto"/>
        <w:rPr>
          <w:sz w:val="20"/>
          <w:szCs w:val="20"/>
          <w:color w:val="auto"/>
        </w:rPr>
      </w:pPr>
      <w:r>
        <w:rPr>
          <w:rFonts w:ascii="Arial" w:cs="Arial" w:eastAsia="Arial" w:hAnsi="Arial"/>
          <w:sz w:val="15"/>
          <w:szCs w:val="15"/>
          <w:color w:val="auto"/>
        </w:rPr>
        <w:t xml:space="preserve">5.1 </w:t>
      </w:r>
      <w:r>
        <w:rPr>
          <w:rFonts w:ascii="Arial" w:cs="Arial" w:eastAsia="Arial" w:hAnsi="Arial"/>
          <w:sz w:val="15"/>
          <w:szCs w:val="15"/>
          <w:u w:val="single" w:color="auto"/>
          <w:color w:val="auto"/>
        </w:rPr>
        <w:t>No Transfer Unless Registered or Exempt</w:t>
      </w:r>
      <w:r>
        <w:rPr>
          <w:rFonts w:ascii="Arial" w:cs="Arial" w:eastAsia="Arial" w:hAnsi="Arial"/>
          <w:sz w:val="15"/>
          <w:szCs w:val="15"/>
          <w:color w:val="auto"/>
        </w:rPr>
        <w:t>. Purchaser understands that Purchaser may not transfer any Shares unless such Shares are registered under the Securities Act or qualified under applicable state securities laws or unless, in the opinion of counsel to the Company, exemptions from such registration and qualification requirements are available. Purchaser understands that only the Company may file a registration statement with the SEC and that the Company is under no obligation to do so with respect to the Shares. Purchaser has also been advised that exemptions from registration and qualification may not be available or may not permit Purchaser to transfer all or any of the Shares in the amounts or at the times proposed by Purchaser.</w:t>
      </w:r>
    </w:p>
    <w:p>
      <w:pPr>
        <w:spacing w:after="0" w:line="159" w:lineRule="exact"/>
        <w:rPr>
          <w:sz w:val="20"/>
          <w:szCs w:val="20"/>
          <w:color w:val="auto"/>
        </w:rPr>
      </w:pPr>
    </w:p>
    <w:p>
      <w:pPr>
        <w:ind w:right="80" w:firstLine="916"/>
        <w:spacing w:after="0" w:line="283" w:lineRule="auto"/>
        <w:rPr>
          <w:sz w:val="20"/>
          <w:szCs w:val="20"/>
          <w:color w:val="auto"/>
        </w:rPr>
      </w:pPr>
      <w:r>
        <w:rPr>
          <w:rFonts w:ascii="Arial" w:cs="Arial" w:eastAsia="Arial" w:hAnsi="Arial"/>
          <w:sz w:val="14"/>
          <w:szCs w:val="14"/>
          <w:color w:val="auto"/>
        </w:rPr>
        <w:t xml:space="preserve">5.2 </w:t>
      </w:r>
      <w:r>
        <w:rPr>
          <w:rFonts w:ascii="Arial" w:cs="Arial" w:eastAsia="Arial" w:hAnsi="Arial"/>
          <w:sz w:val="14"/>
          <w:szCs w:val="14"/>
          <w:u w:val="single" w:color="auto"/>
          <w:color w:val="auto"/>
        </w:rPr>
        <w:t>SEC Rule 144</w:t>
      </w:r>
      <w:r>
        <w:rPr>
          <w:rFonts w:ascii="Arial" w:cs="Arial" w:eastAsia="Arial" w:hAnsi="Arial"/>
          <w:sz w:val="14"/>
          <w:szCs w:val="14"/>
          <w:color w:val="auto"/>
        </w:rPr>
        <w:t xml:space="preserve">. In addition, Purchaser has been advised that SEC Rule 144 promulgated under the Securities Act, which permits certain limited sales of unregistered securities, is not presently available with respect to the Shares and, in any event, requires that the Shares be held for a minimum of one (1) year, and in certain cases two (2) years, after they have been purchased </w:t>
      </w:r>
      <w:r>
        <w:rPr>
          <w:rFonts w:ascii="Arial" w:cs="Arial" w:eastAsia="Arial" w:hAnsi="Arial"/>
          <w:sz w:val="14"/>
          <w:szCs w:val="14"/>
          <w:u w:val="single" w:color="auto"/>
          <w:color w:val="auto"/>
        </w:rPr>
        <w:t>and paid for</w:t>
      </w:r>
      <w:r>
        <w:rPr>
          <w:rFonts w:ascii="Arial" w:cs="Arial" w:eastAsia="Arial" w:hAnsi="Arial"/>
          <w:sz w:val="14"/>
          <w:szCs w:val="14"/>
          <w:color w:val="auto"/>
        </w:rPr>
        <w:t xml:space="preserve"> (within the meaning of Rule 144). Purchaser understands that Rule 144 may indefinitely restrict transfer of the Shares so long as Purchaser remains an “affiliate” of the Company or if “current public information” about the Company (as defined in Rule 144) is not publicly available.</w:t>
      </w:r>
    </w:p>
    <w:p>
      <w:pPr>
        <w:spacing w:after="0" w:line="143" w:lineRule="exact"/>
        <w:rPr>
          <w:sz w:val="20"/>
          <w:szCs w:val="20"/>
          <w:color w:val="auto"/>
        </w:rPr>
      </w:pPr>
    </w:p>
    <w:p>
      <w:pPr>
        <w:ind w:right="60" w:firstLine="916"/>
        <w:spacing w:after="0" w:line="259" w:lineRule="auto"/>
        <w:rPr>
          <w:sz w:val="20"/>
          <w:szCs w:val="20"/>
          <w:color w:val="auto"/>
        </w:rPr>
      </w:pPr>
      <w:r>
        <w:rPr>
          <w:rFonts w:ascii="Arial" w:cs="Arial" w:eastAsia="Arial" w:hAnsi="Arial"/>
          <w:sz w:val="15"/>
          <w:szCs w:val="15"/>
          <w:color w:val="auto"/>
        </w:rPr>
        <w:t xml:space="preserve">5.3 </w:t>
      </w:r>
      <w:r>
        <w:rPr>
          <w:rFonts w:ascii="Arial" w:cs="Arial" w:eastAsia="Arial" w:hAnsi="Arial"/>
          <w:sz w:val="15"/>
          <w:szCs w:val="15"/>
          <w:u w:val="single" w:color="auto"/>
          <w:color w:val="auto"/>
        </w:rPr>
        <w:t>SEC Rule 701</w:t>
      </w:r>
      <w:r>
        <w:rPr>
          <w:rFonts w:ascii="Arial" w:cs="Arial" w:eastAsia="Arial" w:hAnsi="Arial"/>
          <w:sz w:val="15"/>
          <w:szCs w:val="15"/>
          <w:color w:val="auto"/>
        </w:rPr>
        <w:t>. The Shares are issued pursuant to SEC Rule 701 promulgated under the Securities Act and may become freely tradeable by non-affiliates (under limited conditions regarding the method of sale) ninety (90) days after the first sale of the Company’s securities to the general public pursuant to a registration statement filed with and declared effective by the SEC, subject to the lengthier market standoff agreement contained in Section 7 of this Exercise Agreement or any other agreement entered into by Purchaser. Affiliates must comply with the provisions (other than the holding period requirements) of Rule 144.</w:t>
      </w:r>
    </w:p>
    <w:p>
      <w:pPr>
        <w:spacing w:after="0" w:line="154" w:lineRule="exact"/>
        <w:rPr>
          <w:sz w:val="20"/>
          <w:szCs w:val="20"/>
          <w:color w:val="auto"/>
        </w:rPr>
      </w:pPr>
    </w:p>
    <w:p>
      <w:pPr>
        <w:ind w:left="600" w:hanging="152"/>
        <w:spacing w:after="0"/>
        <w:tabs>
          <w:tab w:leader="none" w:pos="600" w:val="left"/>
        </w:tabs>
        <w:numPr>
          <w:ilvl w:val="0"/>
          <w:numId w:val="434"/>
        </w:numPr>
        <w:rPr>
          <w:rFonts w:ascii="Arial" w:cs="Arial" w:eastAsia="Arial" w:hAnsi="Arial"/>
          <w:sz w:val="15"/>
          <w:szCs w:val="15"/>
          <w:b w:val="1"/>
          <w:bCs w:val="1"/>
          <w:color w:val="auto"/>
        </w:rPr>
      </w:pPr>
      <w:r>
        <w:rPr>
          <w:rFonts w:ascii="Arial" w:cs="Arial" w:eastAsia="Arial" w:hAnsi="Arial"/>
          <w:sz w:val="15"/>
          <w:szCs w:val="15"/>
          <w:b w:val="1"/>
          <w:bCs w:val="1"/>
          <w:u w:val="single" w:color="auto"/>
          <w:color w:val="auto"/>
        </w:rPr>
        <w:t>Restrictions on Transfers</w:t>
      </w:r>
      <w:r>
        <w:rPr>
          <w:rFonts w:ascii="Arial" w:cs="Arial" w:eastAsia="Arial" w:hAnsi="Arial"/>
          <w:sz w:val="15"/>
          <w:szCs w:val="15"/>
          <w:b w:val="1"/>
          <w:bCs w:val="1"/>
          <w:color w:val="auto"/>
        </w:rPr>
        <w:t>.</w:t>
      </w:r>
    </w:p>
    <w:p>
      <w:pPr>
        <w:spacing w:after="0" w:line="192" w:lineRule="exact"/>
        <w:rPr>
          <w:sz w:val="20"/>
          <w:szCs w:val="20"/>
          <w:color w:val="auto"/>
        </w:rPr>
      </w:pPr>
    </w:p>
    <w:p>
      <w:pPr>
        <w:ind w:left="900"/>
        <w:spacing w:after="0"/>
        <w:rPr>
          <w:sz w:val="20"/>
          <w:szCs w:val="20"/>
          <w:color w:val="auto"/>
        </w:rPr>
      </w:pPr>
      <w:r>
        <w:rPr>
          <w:rFonts w:ascii="Arial" w:cs="Arial" w:eastAsia="Arial" w:hAnsi="Arial"/>
          <w:sz w:val="13"/>
          <w:szCs w:val="13"/>
          <w:color w:val="auto"/>
        </w:rPr>
        <w:t xml:space="preserve">6.1 </w:t>
      </w:r>
      <w:r>
        <w:rPr>
          <w:rFonts w:ascii="Arial" w:cs="Arial" w:eastAsia="Arial" w:hAnsi="Arial"/>
          <w:sz w:val="13"/>
          <w:szCs w:val="13"/>
          <w:u w:val="single" w:color="auto"/>
          <w:color w:val="auto"/>
        </w:rPr>
        <w:t>Disposition of Shares</w:t>
      </w:r>
      <w:r>
        <w:rPr>
          <w:rFonts w:ascii="Arial" w:cs="Arial" w:eastAsia="Arial" w:hAnsi="Arial"/>
          <w:sz w:val="13"/>
          <w:szCs w:val="13"/>
          <w:color w:val="auto"/>
        </w:rPr>
        <w:t>. Purchaser hereby agrees that Purchaser shall make no disposition of the Shares (other than as permitted by this Exercise Agreement) unless and</w:t>
      </w:r>
    </w:p>
    <w:p>
      <w:pPr>
        <w:spacing w:after="0" w:line="40" w:lineRule="exact"/>
        <w:rPr>
          <w:sz w:val="20"/>
          <w:szCs w:val="20"/>
          <w:color w:val="auto"/>
        </w:rPr>
      </w:pPr>
    </w:p>
    <w:p>
      <w:pPr>
        <w:spacing w:after="0"/>
        <w:rPr>
          <w:sz w:val="20"/>
          <w:szCs w:val="20"/>
          <w:color w:val="auto"/>
        </w:rPr>
      </w:pPr>
      <w:r>
        <w:rPr>
          <w:rFonts w:ascii="Arial" w:cs="Arial" w:eastAsia="Arial" w:hAnsi="Arial"/>
          <w:sz w:val="15"/>
          <w:szCs w:val="15"/>
          <w:color w:val="auto"/>
        </w:rPr>
        <w:t>until:</w:t>
      </w:r>
    </w:p>
    <w:p>
      <w:pPr>
        <w:spacing w:after="0" w:line="179" w:lineRule="exact"/>
        <w:rPr>
          <w:sz w:val="20"/>
          <w:szCs w:val="20"/>
          <w:color w:val="auto"/>
        </w:rPr>
      </w:pPr>
    </w:p>
    <w:p>
      <w:pPr>
        <w:ind w:left="1680" w:hanging="202"/>
        <w:spacing w:after="0"/>
        <w:tabs>
          <w:tab w:leader="none" w:pos="1680" w:val="left"/>
        </w:tabs>
        <w:numPr>
          <w:ilvl w:val="0"/>
          <w:numId w:val="435"/>
        </w:numPr>
        <w:rPr>
          <w:rFonts w:ascii="Arial" w:cs="Arial" w:eastAsia="Arial" w:hAnsi="Arial"/>
          <w:sz w:val="13"/>
          <w:szCs w:val="13"/>
          <w:color w:val="auto"/>
        </w:rPr>
      </w:pPr>
      <w:r>
        <w:rPr>
          <w:rFonts w:ascii="Arial" w:cs="Arial" w:eastAsia="Arial" w:hAnsi="Arial"/>
          <w:sz w:val="13"/>
          <w:szCs w:val="13"/>
          <w:color w:val="auto"/>
        </w:rPr>
        <w:t>Purchaser shall have notified the Company of the proposed disposition and provided a written summary of the terms and conditions of the proposed disposition;</w:t>
      </w:r>
    </w:p>
    <w:p>
      <w:pPr>
        <w:spacing w:after="0" w:line="211" w:lineRule="exact"/>
        <w:rPr>
          <w:rFonts w:ascii="Arial" w:cs="Arial" w:eastAsia="Arial" w:hAnsi="Arial"/>
          <w:sz w:val="13"/>
          <w:szCs w:val="13"/>
          <w:color w:val="auto"/>
        </w:rPr>
      </w:pPr>
    </w:p>
    <w:p>
      <w:pPr>
        <w:ind w:left="1700" w:hanging="222"/>
        <w:spacing w:after="0"/>
        <w:tabs>
          <w:tab w:leader="none" w:pos="1700" w:val="left"/>
        </w:tabs>
        <w:numPr>
          <w:ilvl w:val="0"/>
          <w:numId w:val="435"/>
        </w:numPr>
        <w:rPr>
          <w:rFonts w:ascii="Arial" w:cs="Arial" w:eastAsia="Arial" w:hAnsi="Arial"/>
          <w:sz w:val="15"/>
          <w:szCs w:val="15"/>
          <w:color w:val="auto"/>
        </w:rPr>
      </w:pPr>
      <w:r>
        <w:rPr>
          <w:rFonts w:ascii="Arial" w:cs="Arial" w:eastAsia="Arial" w:hAnsi="Arial"/>
          <w:sz w:val="15"/>
          <w:szCs w:val="15"/>
          <w:color w:val="auto"/>
        </w:rPr>
        <w:t>Purchaser shall have complied with all requirements of this Exercise Agreement applicable to the disposition of the Shares;</w:t>
      </w:r>
    </w:p>
    <w:p>
      <w:pPr>
        <w:spacing w:after="0" w:line="188" w:lineRule="exact"/>
        <w:rPr>
          <w:rFonts w:ascii="Arial" w:cs="Arial" w:eastAsia="Arial" w:hAnsi="Arial"/>
          <w:sz w:val="15"/>
          <w:szCs w:val="15"/>
          <w:color w:val="auto"/>
        </w:rPr>
      </w:pPr>
    </w:p>
    <w:p>
      <w:pPr>
        <w:ind w:right="60" w:firstLine="1478"/>
        <w:spacing w:after="0" w:line="263" w:lineRule="auto"/>
        <w:tabs>
          <w:tab w:leader="none" w:pos="1692" w:val="left"/>
        </w:tabs>
        <w:numPr>
          <w:ilvl w:val="0"/>
          <w:numId w:val="435"/>
        </w:numPr>
        <w:rPr>
          <w:rFonts w:ascii="Arial" w:cs="Arial" w:eastAsia="Arial" w:hAnsi="Arial"/>
          <w:sz w:val="15"/>
          <w:szCs w:val="15"/>
          <w:color w:val="auto"/>
        </w:rPr>
      </w:pPr>
      <w:r>
        <w:rPr>
          <w:rFonts w:ascii="Arial" w:cs="Arial" w:eastAsia="Arial" w:hAnsi="Arial"/>
          <w:sz w:val="15"/>
          <w:szCs w:val="15"/>
          <w:color w:val="auto"/>
        </w:rPr>
        <w:t>Purchaser shall have provided the Company with written assurances, in form and substance satisfactory to counsel for the Company, that (i) the proposed disposition does not require registration of the Shares under the Securities Act or (ii) all appropriate actions necessary for compliance with the registration requirements of the Securities Act or of any exemption from registration available under the Securities Act (including Rule 144) have been taken; and</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4</w:t>
      </w:r>
    </w:p>
    <w:p>
      <w:pPr>
        <w:sectPr>
          <w:pgSz w:w="11900" w:h="16838" w:orient="portrait"/>
          <w:cols w:equalWidth="0" w:num="1">
            <w:col w:w="11400"/>
          </w:cols>
          <w:pgMar w:left="240" w:top="249" w:right="259" w:bottom="1440" w:gutter="0" w:footer="0" w:header="0"/>
        </w:sectPr>
      </w:pPr>
    </w:p>
    <w:bookmarkStart w:id="466" w:name="page467"/>
    <w:bookmarkEnd w:id="466"/>
    <w:p>
      <w:pPr>
        <w:ind w:right="200" w:firstLine="1478"/>
        <w:spacing w:after="0" w:line="312" w:lineRule="auto"/>
        <w:tabs>
          <w:tab w:leader="none" w:pos="1701" w:val="left"/>
        </w:tabs>
        <w:numPr>
          <w:ilvl w:val="0"/>
          <w:numId w:val="436"/>
        </w:numPr>
        <w:rPr>
          <w:rFonts w:ascii="Arial" w:cs="Arial" w:eastAsia="Arial" w:hAnsi="Arial"/>
          <w:sz w:val="14"/>
          <w:szCs w:val="14"/>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133350</wp:posOffset>
            </wp:positionH>
            <wp:positionV relativeFrom="page">
              <wp:posOffset>88900</wp:posOffset>
            </wp:positionV>
            <wp:extent cx="7308850" cy="34290"/>
            <wp:wrapNone/>
            <wp:docPr id="688" name="Picture 6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8"/>
                    <pic:cNvPicPr>
                      <a:picLocks noChangeAspect="1" noChangeArrowheads="1"/>
                    </pic:cNvPicPr>
                  </pic:nvPicPr>
                  <pic:blipFill>
                    <a:blip r:embed="rId725">
                      <a:extLst>
                        <a:ext uri="{28A0092B-C50C-407E-A947-70E740481C1C}"/>
                      </a:extLst>
                    </a:blip>
                    <a:srcRect/>
                    <a:stretch>
                      <a:fillRect/>
                    </a:stretch>
                  </pic:blipFill>
                  <pic:spPr bwMode="auto">
                    <a:xfrm>
                      <a:off x="0" y="0"/>
                      <a:ext cx="7308850" cy="34290"/>
                    </a:xfrm>
                    <a:prstGeom prst="rect">
                      <a:avLst/>
                    </a:prstGeom>
                    <a:noFill/>
                  </pic:spPr>
                </pic:pic>
              </a:graphicData>
            </a:graphic>
          </wp:anchor>
        </w:drawing>
        <w:t>Purchaser shall have provided the Company with written assurances, in form and substance satisfactory to the Company, that the proposed disposition will not result in the contravention of any transfer restrictions applicable to the Shares pursuant to the provisions of the Regulations referred to in Section 4.2 hereof.</w:t>
      </w:r>
    </w:p>
    <w:p>
      <w:pPr>
        <w:spacing w:after="0" w:line="123" w:lineRule="exact"/>
        <w:rPr>
          <w:sz w:val="20"/>
          <w:szCs w:val="20"/>
          <w:color w:val="auto"/>
        </w:rPr>
      </w:pPr>
    </w:p>
    <w:p>
      <w:pPr>
        <w:ind w:right="220" w:firstLine="916"/>
        <w:spacing w:after="0" w:line="312" w:lineRule="auto"/>
        <w:rPr>
          <w:sz w:val="20"/>
          <w:szCs w:val="20"/>
          <w:color w:val="auto"/>
        </w:rPr>
      </w:pPr>
      <w:r>
        <w:rPr>
          <w:rFonts w:ascii="Arial" w:cs="Arial" w:eastAsia="Arial" w:hAnsi="Arial"/>
          <w:sz w:val="14"/>
          <w:szCs w:val="14"/>
          <w:color w:val="auto"/>
        </w:rPr>
        <w:t xml:space="preserve">6.2 </w:t>
      </w:r>
      <w:r>
        <w:rPr>
          <w:rFonts w:ascii="Arial" w:cs="Arial" w:eastAsia="Arial" w:hAnsi="Arial"/>
          <w:sz w:val="14"/>
          <w:szCs w:val="14"/>
          <w:u w:val="single" w:color="auto"/>
          <w:color w:val="auto"/>
        </w:rPr>
        <w:t>Restriction on Transfer</w:t>
      </w:r>
      <w:r>
        <w:rPr>
          <w:rFonts w:ascii="Arial" w:cs="Arial" w:eastAsia="Arial" w:hAnsi="Arial"/>
          <w:sz w:val="14"/>
          <w:szCs w:val="14"/>
          <w:color w:val="auto"/>
        </w:rPr>
        <w:t>. Purchaser shall not transfer, assign, grant a lien or security interest in, pledge, hypothecate, encumber or otherwise dispose of any of the Shares which are subject to the Company’s Repurchase Option or the Company’s Right of First Refusal described below, except as permitted by this Exercise Agreement.</w:t>
      </w:r>
    </w:p>
    <w:p>
      <w:pPr>
        <w:spacing w:after="0" w:line="123" w:lineRule="exact"/>
        <w:rPr>
          <w:sz w:val="20"/>
          <w:szCs w:val="20"/>
          <w:color w:val="auto"/>
        </w:rPr>
      </w:pPr>
    </w:p>
    <w:p>
      <w:pPr>
        <w:ind w:firstLine="916"/>
        <w:spacing w:after="0" w:line="259" w:lineRule="auto"/>
        <w:rPr>
          <w:sz w:val="20"/>
          <w:szCs w:val="20"/>
          <w:color w:val="auto"/>
        </w:rPr>
      </w:pPr>
      <w:r>
        <w:rPr>
          <w:rFonts w:ascii="Arial" w:cs="Arial" w:eastAsia="Arial" w:hAnsi="Arial"/>
          <w:sz w:val="15"/>
          <w:szCs w:val="15"/>
          <w:color w:val="auto"/>
        </w:rPr>
        <w:t xml:space="preserve">6.3 </w:t>
      </w:r>
      <w:r>
        <w:rPr>
          <w:rFonts w:ascii="Arial" w:cs="Arial" w:eastAsia="Arial" w:hAnsi="Arial"/>
          <w:sz w:val="15"/>
          <w:szCs w:val="15"/>
          <w:u w:val="single" w:color="auto"/>
          <w:color w:val="auto"/>
        </w:rPr>
        <w:t>Transferee Obligations</w:t>
      </w:r>
      <w:r>
        <w:rPr>
          <w:rFonts w:ascii="Arial" w:cs="Arial" w:eastAsia="Arial" w:hAnsi="Arial"/>
          <w:sz w:val="15"/>
          <w:szCs w:val="15"/>
          <w:color w:val="auto"/>
        </w:rPr>
        <w:t>. Each person (other than the Company) to whom the Shares are transferred by means of one of the permitted transfers specified in this Exercise Agreement must, as a condition precedent to the validity of such transfer, acknowledge in writing to the Company that such person is bound by the provisions of this Exercise Agreement and that the transferred Shares are subject to (i) both the Company’s Repurchase Option and the Company’s Right of First Refusal granted hereunder and (ii) the market stand-off provisions of Section 7 hereof, to the same extent such Shares would be so subject if retained by the Purchaser.</w:t>
      </w:r>
    </w:p>
    <w:p>
      <w:pPr>
        <w:spacing w:after="0" w:line="158" w:lineRule="exact"/>
        <w:rPr>
          <w:sz w:val="20"/>
          <w:szCs w:val="20"/>
          <w:color w:val="auto"/>
        </w:rPr>
      </w:pPr>
    </w:p>
    <w:p>
      <w:pPr>
        <w:ind w:firstLine="916"/>
        <w:spacing w:after="0" w:line="275" w:lineRule="auto"/>
        <w:rPr>
          <w:sz w:val="20"/>
          <w:szCs w:val="20"/>
          <w:color w:val="auto"/>
        </w:rPr>
      </w:pPr>
      <w:r>
        <w:rPr>
          <w:rFonts w:ascii="Arial" w:cs="Arial" w:eastAsia="Arial" w:hAnsi="Arial"/>
          <w:sz w:val="15"/>
          <w:szCs w:val="15"/>
          <w:color w:val="auto"/>
        </w:rPr>
        <w:t xml:space="preserve">6.4 </w:t>
      </w:r>
      <w:r>
        <w:rPr>
          <w:rFonts w:ascii="Arial" w:cs="Arial" w:eastAsia="Arial" w:hAnsi="Arial"/>
          <w:sz w:val="15"/>
          <w:szCs w:val="15"/>
          <w:u w:val="single" w:color="auto"/>
          <w:color w:val="auto"/>
        </w:rPr>
        <w:t>Additional Transfer Restrictions</w:t>
      </w:r>
      <w:r>
        <w:rPr>
          <w:rFonts w:ascii="Arial" w:cs="Arial" w:eastAsia="Arial" w:hAnsi="Arial"/>
          <w:sz w:val="15"/>
          <w:szCs w:val="15"/>
          <w:color w:val="auto"/>
        </w:rPr>
        <w:t>. Purchaser hereby agrees to be bound by any and all restrictions on transfers of securities as set forth in the Company’s Bylaws (as may be amended from time to time), including, but not limited to, those transfer restrictions set forth in Section 6.8.</w:t>
      </w:r>
    </w:p>
    <w:p>
      <w:pPr>
        <w:spacing w:after="0" w:line="142" w:lineRule="exact"/>
        <w:rPr>
          <w:sz w:val="20"/>
          <w:szCs w:val="20"/>
          <w:color w:val="auto"/>
        </w:rPr>
      </w:pPr>
    </w:p>
    <w:p>
      <w:pPr>
        <w:ind w:right="120" w:firstLine="448"/>
        <w:spacing w:after="0" w:line="258" w:lineRule="auto"/>
        <w:tabs>
          <w:tab w:leader="none" w:pos="608" w:val="left"/>
        </w:tabs>
        <w:numPr>
          <w:ilvl w:val="0"/>
          <w:numId w:val="437"/>
        </w:numPr>
        <w:rPr>
          <w:rFonts w:ascii="Arial" w:cs="Arial" w:eastAsia="Arial" w:hAnsi="Arial"/>
          <w:sz w:val="15"/>
          <w:szCs w:val="15"/>
          <w:b w:val="1"/>
          <w:bCs w:val="1"/>
          <w:color w:val="auto"/>
        </w:rPr>
      </w:pPr>
      <w:r>
        <w:rPr>
          <w:rFonts w:ascii="Arial" w:cs="Arial" w:eastAsia="Arial" w:hAnsi="Arial"/>
          <w:sz w:val="15"/>
          <w:szCs w:val="15"/>
          <w:b w:val="1"/>
          <w:bCs w:val="1"/>
          <w:u w:val="single" w:color="auto"/>
          <w:color w:val="auto"/>
        </w:rPr>
        <w:t>Market Standoff Agreement</w:t>
      </w:r>
      <w:r>
        <w:rPr>
          <w:rFonts w:ascii="Arial" w:cs="Arial" w:eastAsia="Arial" w:hAnsi="Arial"/>
          <w:sz w:val="15"/>
          <w:szCs w:val="15"/>
          <w:b w:val="1"/>
          <w:bCs w:val="1"/>
          <w:color w:val="auto"/>
        </w:rPr>
        <w:t xml:space="preserve">. </w:t>
      </w:r>
      <w:r>
        <w:rPr>
          <w:rFonts w:ascii="Arial" w:cs="Arial" w:eastAsia="Arial" w:hAnsi="Arial"/>
          <w:sz w:val="15"/>
          <w:szCs w:val="15"/>
          <w:color w:val="auto"/>
        </w:rPr>
        <w:t>Purchaser agrees in connection with any registration of the Company’s securities that, upon the request of the Company or the underwriters</w:t>
      </w:r>
      <w:r>
        <w:rPr>
          <w:rFonts w:ascii="Arial" w:cs="Arial" w:eastAsia="Arial" w:hAnsi="Arial"/>
          <w:sz w:val="15"/>
          <w:szCs w:val="15"/>
          <w:b w:val="1"/>
          <w:bCs w:val="1"/>
          <w:color w:val="auto"/>
        </w:rPr>
        <w:t xml:space="preserve"> </w:t>
      </w:r>
      <w:r>
        <w:rPr>
          <w:rFonts w:ascii="Arial" w:cs="Arial" w:eastAsia="Arial" w:hAnsi="Arial"/>
          <w:sz w:val="15"/>
          <w:szCs w:val="15"/>
          <w:color w:val="auto"/>
        </w:rPr>
        <w:t>managing any public offering of the Company’s securities, Purchaser will not sell or otherwise dispose of any shares of the Company’s capital stock without the prior written consent of the Company or such underwriters, as the case may be, for such period of time (not to exceed one hundred eighty (180) days) after the effective date of such registration requested by such managing underwriters and subject to all restrictions as the Company or the underwriters may specify. Purchaser further agrees to enter into any agreement reasonably required by the underwriters to implement the foregoing.</w:t>
      </w:r>
    </w:p>
    <w:p>
      <w:pPr>
        <w:spacing w:after="0" w:line="155" w:lineRule="exact"/>
        <w:rPr>
          <w:rFonts w:ascii="Arial" w:cs="Arial" w:eastAsia="Arial" w:hAnsi="Arial"/>
          <w:sz w:val="15"/>
          <w:szCs w:val="15"/>
          <w:b w:val="1"/>
          <w:bCs w:val="1"/>
          <w:color w:val="auto"/>
        </w:rPr>
      </w:pPr>
    </w:p>
    <w:p>
      <w:pPr>
        <w:ind w:right="160" w:firstLine="448"/>
        <w:spacing w:after="0" w:line="261" w:lineRule="auto"/>
        <w:tabs>
          <w:tab w:leader="none" w:pos="608" w:val="left"/>
        </w:tabs>
        <w:numPr>
          <w:ilvl w:val="0"/>
          <w:numId w:val="437"/>
        </w:numPr>
        <w:rPr>
          <w:rFonts w:ascii="Arial" w:cs="Arial" w:eastAsia="Arial" w:hAnsi="Arial"/>
          <w:sz w:val="15"/>
          <w:szCs w:val="15"/>
          <w:b w:val="1"/>
          <w:bCs w:val="1"/>
          <w:color w:val="auto"/>
        </w:rPr>
      </w:pPr>
      <w:r>
        <w:rPr>
          <w:rFonts w:ascii="Arial" w:cs="Arial" w:eastAsia="Arial" w:hAnsi="Arial"/>
          <w:sz w:val="15"/>
          <w:szCs w:val="15"/>
          <w:b w:val="1"/>
          <w:bCs w:val="1"/>
          <w:u w:val="single" w:color="auto"/>
          <w:color w:val="auto"/>
        </w:rPr>
        <w:t>Company’s Repurchase Option for Unvested Shares</w:t>
      </w:r>
      <w:r>
        <w:rPr>
          <w:rFonts w:ascii="Arial" w:cs="Arial" w:eastAsia="Arial" w:hAnsi="Arial"/>
          <w:sz w:val="15"/>
          <w:szCs w:val="15"/>
          <w:color w:val="auto"/>
        </w:rPr>
        <w:t>. The Company, or its assignee, shall have the option to repurchase all or a portion of the Purchaser’s Unvested Shares (as</w:t>
      </w:r>
      <w:r>
        <w:rPr>
          <w:rFonts w:ascii="Arial" w:cs="Arial" w:eastAsia="Arial" w:hAnsi="Arial"/>
          <w:sz w:val="15"/>
          <w:szCs w:val="15"/>
          <w:b w:val="1"/>
          <w:bCs w:val="1"/>
          <w:color w:val="auto"/>
        </w:rPr>
        <w:t xml:space="preserve"> </w:t>
      </w:r>
      <w:r>
        <w:rPr>
          <w:rFonts w:ascii="Arial" w:cs="Arial" w:eastAsia="Arial" w:hAnsi="Arial"/>
          <w:sz w:val="15"/>
          <w:szCs w:val="15"/>
          <w:color w:val="auto"/>
        </w:rPr>
        <w:t>defined in the Stock Option Agreement and determined as of the date on which the Company’s option is to be exercised) on the terms and conditions set forth in this Section (the “</w:t>
      </w:r>
      <w:r>
        <w:rPr>
          <w:rFonts w:ascii="Arial" w:cs="Arial" w:eastAsia="Arial" w:hAnsi="Arial"/>
          <w:sz w:val="15"/>
          <w:szCs w:val="15"/>
          <w:b w:val="1"/>
          <w:bCs w:val="1"/>
          <w:i w:val="1"/>
          <w:iCs w:val="1"/>
          <w:color w:val="auto"/>
        </w:rPr>
        <w:t>Repurchase Option</w:t>
      </w:r>
      <w:r>
        <w:rPr>
          <w:rFonts w:ascii="Arial" w:cs="Arial" w:eastAsia="Arial" w:hAnsi="Arial"/>
          <w:sz w:val="15"/>
          <w:szCs w:val="15"/>
          <w:color w:val="auto"/>
        </w:rPr>
        <w:t>”) if Purchaser is Terminated (as defined in the Plan) for any reason, or no reason, including without limitation, Purchaser’s death, Disability (as defined in the Plan), voluntary resignation or termination by the Company with or without Cause.</w:t>
      </w:r>
    </w:p>
    <w:p>
      <w:pPr>
        <w:spacing w:after="0" w:line="156" w:lineRule="exact"/>
        <w:rPr>
          <w:sz w:val="20"/>
          <w:szCs w:val="20"/>
          <w:color w:val="auto"/>
        </w:rPr>
      </w:pPr>
    </w:p>
    <w:p>
      <w:pPr>
        <w:ind w:right="80" w:firstLine="916"/>
        <w:spacing w:after="0" w:line="275" w:lineRule="auto"/>
        <w:rPr>
          <w:sz w:val="20"/>
          <w:szCs w:val="20"/>
          <w:color w:val="auto"/>
        </w:rPr>
      </w:pPr>
      <w:r>
        <w:rPr>
          <w:rFonts w:ascii="Arial" w:cs="Arial" w:eastAsia="Arial" w:hAnsi="Arial"/>
          <w:sz w:val="15"/>
          <w:szCs w:val="15"/>
          <w:color w:val="auto"/>
        </w:rPr>
        <w:t xml:space="preserve">8.1 </w:t>
      </w:r>
      <w:r>
        <w:rPr>
          <w:rFonts w:ascii="Arial" w:cs="Arial" w:eastAsia="Arial" w:hAnsi="Arial"/>
          <w:sz w:val="15"/>
          <w:szCs w:val="15"/>
          <w:u w:val="single" w:color="auto"/>
          <w:color w:val="auto"/>
        </w:rPr>
        <w:t>Termination and Termination Date</w:t>
      </w:r>
      <w:r>
        <w:rPr>
          <w:rFonts w:ascii="Arial" w:cs="Arial" w:eastAsia="Arial" w:hAnsi="Arial"/>
          <w:sz w:val="15"/>
          <w:szCs w:val="15"/>
          <w:color w:val="auto"/>
        </w:rPr>
        <w:t>. In case of any dispute as to whether Purchaser is Terminated, the Committee shall have discretion to determine whether Purchaser has been Terminated and the effective date of such Termination (the “</w:t>
      </w:r>
      <w:r>
        <w:rPr>
          <w:rFonts w:ascii="Arial" w:cs="Arial" w:eastAsia="Arial" w:hAnsi="Arial"/>
          <w:sz w:val="15"/>
          <w:szCs w:val="15"/>
          <w:b w:val="1"/>
          <w:bCs w:val="1"/>
          <w:i w:val="1"/>
          <w:iCs w:val="1"/>
          <w:color w:val="auto"/>
        </w:rPr>
        <w:t>Termination Date</w:t>
      </w:r>
      <w:r>
        <w:rPr>
          <w:rFonts w:ascii="Arial" w:cs="Arial" w:eastAsia="Arial" w:hAnsi="Arial"/>
          <w:sz w:val="15"/>
          <w:szCs w:val="15"/>
          <w:color w:val="auto"/>
        </w:rPr>
        <w:t>”).</w:t>
      </w:r>
    </w:p>
    <w:p>
      <w:pPr>
        <w:spacing w:after="0" w:line="146" w:lineRule="exact"/>
        <w:rPr>
          <w:sz w:val="20"/>
          <w:szCs w:val="20"/>
          <w:color w:val="auto"/>
        </w:rPr>
      </w:pPr>
    </w:p>
    <w:p>
      <w:pPr>
        <w:ind w:right="60" w:firstLine="916"/>
        <w:spacing w:after="0" w:line="263" w:lineRule="auto"/>
        <w:rPr>
          <w:sz w:val="20"/>
          <w:szCs w:val="20"/>
          <w:color w:val="auto"/>
        </w:rPr>
      </w:pPr>
      <w:r>
        <w:rPr>
          <w:rFonts w:ascii="Arial" w:cs="Arial" w:eastAsia="Arial" w:hAnsi="Arial"/>
          <w:sz w:val="15"/>
          <w:szCs w:val="15"/>
          <w:color w:val="auto"/>
        </w:rPr>
        <w:t xml:space="preserve">8.2 </w:t>
      </w:r>
      <w:r>
        <w:rPr>
          <w:rFonts w:ascii="Arial" w:cs="Arial" w:eastAsia="Arial" w:hAnsi="Arial"/>
          <w:sz w:val="15"/>
          <w:szCs w:val="15"/>
          <w:u w:val="single" w:color="auto"/>
          <w:color w:val="auto"/>
        </w:rPr>
        <w:t>Exercise of Repurchase Option</w:t>
      </w:r>
      <w:r>
        <w:rPr>
          <w:rFonts w:ascii="Arial" w:cs="Arial" w:eastAsia="Arial" w:hAnsi="Arial"/>
          <w:sz w:val="15"/>
          <w:szCs w:val="15"/>
          <w:color w:val="auto"/>
        </w:rPr>
        <w:t>. At any time within ninety (90) days after the Purchaser’s Termination Date (or, in the case of securities issued upon exercise of an Option after the Purchaser’s Termination Date, within ninety (90) days after the date of such exercise), the Company, or its assignee, may elect to repurchase any or all the Purchaser’s Unvested Shares by giving Purchaser written notice of exercise of the Repurchase Option.</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5</w:t>
      </w:r>
    </w:p>
    <w:p>
      <w:pPr>
        <w:sectPr>
          <w:pgSz w:w="11900" w:h="16838" w:orient="portrait"/>
          <w:cols w:equalWidth="0" w:num="1">
            <w:col w:w="11420"/>
          </w:cols>
          <w:pgMar w:left="240" w:top="253" w:right="239" w:bottom="1440" w:gutter="0" w:footer="0" w:header="0"/>
        </w:sectPr>
      </w:pPr>
    </w:p>
    <w:bookmarkStart w:id="467" w:name="page468"/>
    <w:bookmarkEnd w:id="467"/>
    <w:p>
      <w:pPr>
        <w:ind w:firstLine="916"/>
        <w:spacing w:after="0" w:line="263"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133350</wp:posOffset>
            </wp:positionH>
            <wp:positionV relativeFrom="page">
              <wp:posOffset>88900</wp:posOffset>
            </wp:positionV>
            <wp:extent cx="7308850" cy="34290"/>
            <wp:wrapNone/>
            <wp:docPr id="689" name="Picture 6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9"/>
                    <pic:cNvPicPr>
                      <a:picLocks noChangeAspect="1" noChangeArrowheads="1"/>
                    </pic:cNvPicPr>
                  </pic:nvPicPr>
                  <pic:blipFill>
                    <a:blip r:embed="rId726">
                      <a:extLst>
                        <a:ext uri="{28A0092B-C50C-407E-A947-70E740481C1C}"/>
                      </a:extLst>
                    </a:blip>
                    <a:srcRect/>
                    <a:stretch>
                      <a:fillRect/>
                    </a:stretch>
                  </pic:blipFill>
                  <pic:spPr bwMode="auto">
                    <a:xfrm>
                      <a:off x="0" y="0"/>
                      <a:ext cx="7308850" cy="34290"/>
                    </a:xfrm>
                    <a:prstGeom prst="rect">
                      <a:avLst/>
                    </a:prstGeom>
                    <a:noFill/>
                  </pic:spPr>
                </pic:pic>
              </a:graphicData>
            </a:graphic>
          </wp:anchor>
        </w:drawing>
        <w:t xml:space="preserve">8.3 </w:t>
      </w:r>
      <w:r>
        <w:rPr>
          <w:rFonts w:ascii="Arial" w:cs="Arial" w:eastAsia="Arial" w:hAnsi="Arial"/>
          <w:sz w:val="15"/>
          <w:szCs w:val="15"/>
          <w:u w:val="single" w:color="auto"/>
          <w:color w:val="auto"/>
        </w:rPr>
        <w:t>Calculation of Repurchase Price for Unvested Shares</w:t>
      </w:r>
      <w:r>
        <w:rPr>
          <w:rFonts w:ascii="Arial" w:cs="Arial" w:eastAsia="Arial" w:hAnsi="Arial"/>
          <w:sz w:val="15"/>
          <w:szCs w:val="15"/>
          <w:color w:val="auto"/>
        </w:rPr>
        <w:t>. The Company or its assignee shall have the option to repurchase from Purchaser (or from Purchaser’s personal representative as the case may be) the Unvested Shares at the Purchaser’s Exercise Price, proportionately adjusted for any stock split or similar change in the capital structure of the Company as set forth in Section 2.2 of the Plan (the “</w:t>
      </w:r>
      <w:r>
        <w:rPr>
          <w:rFonts w:ascii="Arial" w:cs="Arial" w:eastAsia="Arial" w:hAnsi="Arial"/>
          <w:sz w:val="15"/>
          <w:szCs w:val="15"/>
          <w:b w:val="1"/>
          <w:bCs w:val="1"/>
          <w:i w:val="1"/>
          <w:iCs w:val="1"/>
          <w:color w:val="auto"/>
        </w:rPr>
        <w:t>Repurchase Price</w:t>
      </w:r>
      <w:r>
        <w:rPr>
          <w:rFonts w:ascii="Arial" w:cs="Arial" w:eastAsia="Arial" w:hAnsi="Arial"/>
          <w:sz w:val="15"/>
          <w:szCs w:val="15"/>
          <w:color w:val="auto"/>
        </w:rPr>
        <w:t>”).</w:t>
      </w:r>
    </w:p>
    <w:p>
      <w:pPr>
        <w:spacing w:after="0" w:line="155" w:lineRule="exact"/>
        <w:rPr>
          <w:sz w:val="20"/>
          <w:szCs w:val="20"/>
          <w:color w:val="auto"/>
        </w:rPr>
      </w:pPr>
    </w:p>
    <w:p>
      <w:pPr>
        <w:ind w:firstLine="916"/>
        <w:spacing w:after="0" w:line="263" w:lineRule="auto"/>
        <w:rPr>
          <w:sz w:val="20"/>
          <w:szCs w:val="20"/>
          <w:color w:val="auto"/>
        </w:rPr>
      </w:pPr>
      <w:r>
        <w:rPr>
          <w:rFonts w:ascii="Arial" w:cs="Arial" w:eastAsia="Arial" w:hAnsi="Arial"/>
          <w:sz w:val="15"/>
          <w:szCs w:val="15"/>
          <w:color w:val="auto"/>
        </w:rPr>
        <w:t xml:space="preserve">8.4 </w:t>
      </w:r>
      <w:r>
        <w:rPr>
          <w:rFonts w:ascii="Arial" w:cs="Arial" w:eastAsia="Arial" w:hAnsi="Arial"/>
          <w:sz w:val="15"/>
          <w:szCs w:val="15"/>
          <w:u w:val="single" w:color="auto"/>
          <w:color w:val="auto"/>
        </w:rPr>
        <w:t>Payment of Repurchase Price</w:t>
      </w:r>
      <w:r>
        <w:rPr>
          <w:rFonts w:ascii="Arial" w:cs="Arial" w:eastAsia="Arial" w:hAnsi="Arial"/>
          <w:sz w:val="15"/>
          <w:szCs w:val="15"/>
          <w:color w:val="auto"/>
        </w:rPr>
        <w:t>. The Repurchase Price shall be payable, at the option of the Company or its assignee, by check or by cancellation of all or a portion of any outstanding purchase money indebtedness owed by Purchaser to the Company or such assignee, or by any combination thereof. The Repurchase Price shall be paid without interest within the term of the Repurchase Option as described in Section 8.2.</w:t>
      </w:r>
    </w:p>
    <w:p>
      <w:pPr>
        <w:spacing w:after="0" w:line="155" w:lineRule="exact"/>
        <w:rPr>
          <w:sz w:val="20"/>
          <w:szCs w:val="20"/>
          <w:color w:val="auto"/>
        </w:rPr>
      </w:pPr>
    </w:p>
    <w:p>
      <w:pPr>
        <w:ind w:right="100" w:firstLine="916"/>
        <w:spacing w:after="0" w:line="263" w:lineRule="auto"/>
        <w:rPr>
          <w:sz w:val="20"/>
          <w:szCs w:val="20"/>
          <w:color w:val="auto"/>
        </w:rPr>
      </w:pPr>
      <w:r>
        <w:rPr>
          <w:rFonts w:ascii="Arial" w:cs="Arial" w:eastAsia="Arial" w:hAnsi="Arial"/>
          <w:sz w:val="15"/>
          <w:szCs w:val="15"/>
          <w:color w:val="auto"/>
        </w:rPr>
        <w:t xml:space="preserve">8.5 </w:t>
      </w:r>
      <w:r>
        <w:rPr>
          <w:rFonts w:ascii="Arial" w:cs="Arial" w:eastAsia="Arial" w:hAnsi="Arial"/>
          <w:sz w:val="15"/>
          <w:szCs w:val="15"/>
          <w:u w:val="single" w:color="auto"/>
          <w:color w:val="auto"/>
        </w:rPr>
        <w:t>Right of Termination Unaffected</w:t>
      </w:r>
      <w:r>
        <w:rPr>
          <w:rFonts w:ascii="Arial" w:cs="Arial" w:eastAsia="Arial" w:hAnsi="Arial"/>
          <w:sz w:val="15"/>
          <w:szCs w:val="15"/>
          <w:color w:val="auto"/>
        </w:rPr>
        <w:t>. Nothing in this Exercise Agreement shall be construed to limit or otherwise affect in any manner whatsoever the right or power of the Company (or any Parent or Subsidiary of the Company) to terminate Purchaser’s employment or other relationship with Company (or the Parent or Subsidiary of the Company) at any time, for any reason or no reason, with or without Cause.</w:t>
      </w:r>
    </w:p>
    <w:p>
      <w:pPr>
        <w:spacing w:after="0" w:line="151" w:lineRule="exact"/>
        <w:rPr>
          <w:sz w:val="20"/>
          <w:szCs w:val="20"/>
          <w:color w:val="auto"/>
        </w:rPr>
      </w:pPr>
    </w:p>
    <w:p>
      <w:pPr>
        <w:ind w:right="100" w:firstLine="448"/>
        <w:spacing w:after="0" w:line="261" w:lineRule="auto"/>
        <w:tabs>
          <w:tab w:leader="none" w:pos="608" w:val="left"/>
        </w:tabs>
        <w:numPr>
          <w:ilvl w:val="0"/>
          <w:numId w:val="438"/>
        </w:numPr>
        <w:rPr>
          <w:rFonts w:ascii="Arial" w:cs="Arial" w:eastAsia="Arial" w:hAnsi="Arial"/>
          <w:sz w:val="15"/>
          <w:szCs w:val="15"/>
          <w:b w:val="1"/>
          <w:bCs w:val="1"/>
          <w:color w:val="auto"/>
        </w:rPr>
      </w:pPr>
      <w:r>
        <w:rPr>
          <w:rFonts w:ascii="Arial" w:cs="Arial" w:eastAsia="Arial" w:hAnsi="Arial"/>
          <w:sz w:val="15"/>
          <w:szCs w:val="15"/>
          <w:b w:val="1"/>
          <w:bCs w:val="1"/>
          <w:u w:val="single" w:color="auto"/>
          <w:color w:val="auto"/>
        </w:rPr>
        <w:t>Company’s Right of First Refusal</w:t>
      </w:r>
      <w:r>
        <w:rPr>
          <w:rFonts w:ascii="Arial" w:cs="Arial" w:eastAsia="Arial" w:hAnsi="Arial"/>
          <w:sz w:val="15"/>
          <w:szCs w:val="15"/>
          <w:color w:val="auto"/>
        </w:rPr>
        <w:t>. Unvested Shares may not be sold or otherwise transferred by Purchaser without the Company’s prior written consent. Before any Vested</w:t>
      </w:r>
      <w:r>
        <w:rPr>
          <w:rFonts w:ascii="Arial" w:cs="Arial" w:eastAsia="Arial" w:hAnsi="Arial"/>
          <w:sz w:val="15"/>
          <w:szCs w:val="15"/>
          <w:b w:val="1"/>
          <w:bCs w:val="1"/>
          <w:color w:val="auto"/>
        </w:rPr>
        <w:t xml:space="preserve"> </w:t>
      </w:r>
      <w:r>
        <w:rPr>
          <w:rFonts w:ascii="Arial" w:cs="Arial" w:eastAsia="Arial" w:hAnsi="Arial"/>
          <w:sz w:val="15"/>
          <w:szCs w:val="15"/>
          <w:color w:val="auto"/>
        </w:rPr>
        <w:t>Shares held by Purchaser or any transferee of such Vested Shares (either sometimes referred to herein as the “</w:t>
      </w:r>
      <w:r>
        <w:rPr>
          <w:rFonts w:ascii="Arial" w:cs="Arial" w:eastAsia="Arial" w:hAnsi="Arial"/>
          <w:sz w:val="15"/>
          <w:szCs w:val="15"/>
          <w:b w:val="1"/>
          <w:bCs w:val="1"/>
          <w:i w:val="1"/>
          <w:iCs w:val="1"/>
          <w:color w:val="auto"/>
        </w:rPr>
        <w:t>Holder</w:t>
      </w:r>
      <w:r>
        <w:rPr>
          <w:rFonts w:ascii="Arial" w:cs="Arial" w:eastAsia="Arial" w:hAnsi="Arial"/>
          <w:sz w:val="15"/>
          <w:szCs w:val="15"/>
          <w:color w:val="auto"/>
        </w:rPr>
        <w:t>”) may be sold or otherwise transferred (including, without limitation, a transfer by gift or operation of law), the Company and/or its assignee(s) will have a right of first refusal to purchase the Vested Shares to be sold or transferred (the “</w:t>
      </w:r>
      <w:r>
        <w:rPr>
          <w:rFonts w:ascii="Arial" w:cs="Arial" w:eastAsia="Arial" w:hAnsi="Arial"/>
          <w:sz w:val="15"/>
          <w:szCs w:val="15"/>
          <w:b w:val="1"/>
          <w:bCs w:val="1"/>
          <w:i w:val="1"/>
          <w:iCs w:val="1"/>
          <w:color w:val="auto"/>
        </w:rPr>
        <w:t>Offered Shares</w:t>
      </w:r>
      <w:r>
        <w:rPr>
          <w:rFonts w:ascii="Arial" w:cs="Arial" w:eastAsia="Arial" w:hAnsi="Arial"/>
          <w:sz w:val="15"/>
          <w:szCs w:val="15"/>
          <w:color w:val="auto"/>
        </w:rPr>
        <w:t>”) on the terms and conditions set forth in this Section (the “</w:t>
      </w:r>
      <w:r>
        <w:rPr>
          <w:rFonts w:ascii="Arial" w:cs="Arial" w:eastAsia="Arial" w:hAnsi="Arial"/>
          <w:sz w:val="15"/>
          <w:szCs w:val="15"/>
          <w:b w:val="1"/>
          <w:bCs w:val="1"/>
          <w:i w:val="1"/>
          <w:iCs w:val="1"/>
          <w:color w:val="auto"/>
        </w:rPr>
        <w:t>Right of First Refusal</w:t>
      </w:r>
      <w:r>
        <w:rPr>
          <w:rFonts w:ascii="Arial" w:cs="Arial" w:eastAsia="Arial" w:hAnsi="Arial"/>
          <w:sz w:val="15"/>
          <w:szCs w:val="15"/>
          <w:color w:val="auto"/>
        </w:rPr>
        <w:t>”).</w:t>
      </w:r>
    </w:p>
    <w:p>
      <w:pPr>
        <w:spacing w:after="0" w:line="156" w:lineRule="exact"/>
        <w:rPr>
          <w:sz w:val="20"/>
          <w:szCs w:val="20"/>
          <w:color w:val="auto"/>
        </w:rPr>
      </w:pPr>
    </w:p>
    <w:p>
      <w:pPr>
        <w:ind w:right="140" w:firstLine="916"/>
        <w:spacing w:after="0" w:line="257" w:lineRule="auto"/>
        <w:rPr>
          <w:sz w:val="20"/>
          <w:szCs w:val="20"/>
          <w:color w:val="auto"/>
        </w:rPr>
      </w:pPr>
      <w:r>
        <w:rPr>
          <w:rFonts w:ascii="Arial" w:cs="Arial" w:eastAsia="Arial" w:hAnsi="Arial"/>
          <w:sz w:val="15"/>
          <w:szCs w:val="15"/>
          <w:color w:val="auto"/>
        </w:rPr>
        <w:t xml:space="preserve">9.1 </w:t>
      </w:r>
      <w:r>
        <w:rPr>
          <w:rFonts w:ascii="Arial" w:cs="Arial" w:eastAsia="Arial" w:hAnsi="Arial"/>
          <w:sz w:val="15"/>
          <w:szCs w:val="15"/>
          <w:u w:val="single" w:color="auto"/>
          <w:color w:val="auto"/>
        </w:rPr>
        <w:t>Notice of Proposed Transfer</w:t>
      </w:r>
      <w:r>
        <w:rPr>
          <w:rFonts w:ascii="Arial" w:cs="Arial" w:eastAsia="Arial" w:hAnsi="Arial"/>
          <w:sz w:val="15"/>
          <w:szCs w:val="15"/>
          <w:color w:val="auto"/>
        </w:rPr>
        <w:t>. The Holder of the Offered Shares will deliver to the Company a written notice (the “</w:t>
      </w:r>
      <w:r>
        <w:rPr>
          <w:rFonts w:ascii="Arial" w:cs="Arial" w:eastAsia="Arial" w:hAnsi="Arial"/>
          <w:sz w:val="15"/>
          <w:szCs w:val="15"/>
          <w:b w:val="1"/>
          <w:bCs w:val="1"/>
          <w:i w:val="1"/>
          <w:iCs w:val="1"/>
          <w:color w:val="auto"/>
        </w:rPr>
        <w:t>Notice</w:t>
      </w:r>
      <w:r>
        <w:rPr>
          <w:rFonts w:ascii="Arial" w:cs="Arial" w:eastAsia="Arial" w:hAnsi="Arial"/>
          <w:sz w:val="15"/>
          <w:szCs w:val="15"/>
          <w:color w:val="auto"/>
        </w:rPr>
        <w:t>”) stating: (i) the Holder’s bona fide intention to sell or otherwise transfer the Offered Shares; (ii) the name and address of each proposed purchaser or other transferee (the “</w:t>
      </w:r>
      <w:r>
        <w:rPr>
          <w:rFonts w:ascii="Arial" w:cs="Arial" w:eastAsia="Arial" w:hAnsi="Arial"/>
          <w:sz w:val="15"/>
          <w:szCs w:val="15"/>
          <w:b w:val="1"/>
          <w:bCs w:val="1"/>
          <w:i w:val="1"/>
          <w:iCs w:val="1"/>
          <w:color w:val="auto"/>
        </w:rPr>
        <w:t>Proposed Transferee</w:t>
      </w:r>
      <w:r>
        <w:rPr>
          <w:rFonts w:ascii="Arial" w:cs="Arial" w:eastAsia="Arial" w:hAnsi="Arial"/>
          <w:sz w:val="15"/>
          <w:szCs w:val="15"/>
          <w:color w:val="auto"/>
        </w:rPr>
        <w:t>”); (iii) the number of Offered Shares to be transferred to each Proposed Transferee; (iv) the bona fide cash price or other consideration for which the Holder proposes to transfer the Offered Shares (the “</w:t>
      </w:r>
      <w:r>
        <w:rPr>
          <w:rFonts w:ascii="Arial" w:cs="Arial" w:eastAsia="Arial" w:hAnsi="Arial"/>
          <w:sz w:val="15"/>
          <w:szCs w:val="15"/>
          <w:b w:val="1"/>
          <w:bCs w:val="1"/>
          <w:i w:val="1"/>
          <w:iCs w:val="1"/>
          <w:color w:val="auto"/>
        </w:rPr>
        <w:t>Offered Price</w:t>
      </w:r>
      <w:r>
        <w:rPr>
          <w:rFonts w:ascii="Arial" w:cs="Arial" w:eastAsia="Arial" w:hAnsi="Arial"/>
          <w:sz w:val="15"/>
          <w:szCs w:val="15"/>
          <w:color w:val="auto"/>
        </w:rPr>
        <w:t>”); and (v) that the Holder acknowledges this Notice is an offer to sell the Offered Shares to the Company and/or its assignee(s) pursuant to the Company’s Right of First Refusal at the Offered Price as provided for in this Exercise Agreement.</w:t>
      </w:r>
    </w:p>
    <w:p>
      <w:pPr>
        <w:spacing w:after="0" w:line="159" w:lineRule="exact"/>
        <w:rPr>
          <w:sz w:val="20"/>
          <w:szCs w:val="20"/>
          <w:color w:val="auto"/>
        </w:rPr>
      </w:pPr>
    </w:p>
    <w:p>
      <w:pPr>
        <w:ind w:right="100" w:firstLine="916"/>
        <w:spacing w:after="0" w:line="263" w:lineRule="auto"/>
        <w:rPr>
          <w:sz w:val="20"/>
          <w:szCs w:val="20"/>
          <w:color w:val="auto"/>
        </w:rPr>
      </w:pPr>
      <w:r>
        <w:rPr>
          <w:rFonts w:ascii="Arial" w:cs="Arial" w:eastAsia="Arial" w:hAnsi="Arial"/>
          <w:sz w:val="15"/>
          <w:szCs w:val="15"/>
          <w:color w:val="auto"/>
        </w:rPr>
        <w:t xml:space="preserve">9.2 </w:t>
      </w:r>
      <w:r>
        <w:rPr>
          <w:rFonts w:ascii="Arial" w:cs="Arial" w:eastAsia="Arial" w:hAnsi="Arial"/>
          <w:sz w:val="15"/>
          <w:szCs w:val="15"/>
          <w:u w:val="single" w:color="auto"/>
          <w:color w:val="auto"/>
        </w:rPr>
        <w:t>Exercise of Right of First Refusal</w:t>
      </w:r>
      <w:r>
        <w:rPr>
          <w:rFonts w:ascii="Arial" w:cs="Arial" w:eastAsia="Arial" w:hAnsi="Arial"/>
          <w:sz w:val="15"/>
          <w:szCs w:val="15"/>
          <w:color w:val="auto"/>
        </w:rPr>
        <w:t>. At any time within thirty (30) days after the date of the Notice, the Company and/or its assignee(s) may, by giving written notice to the Holder, elect to purchase all (or, with the consent of the Holder, less than all) the Offered Shares proposed to be transferred to any one or more of the Proposed Transferees named in the Notice, at the purchase price, determined as specified below.</w:t>
      </w:r>
    </w:p>
    <w:p>
      <w:pPr>
        <w:spacing w:after="0" w:line="155" w:lineRule="exact"/>
        <w:rPr>
          <w:sz w:val="20"/>
          <w:szCs w:val="20"/>
          <w:color w:val="auto"/>
        </w:rPr>
      </w:pPr>
    </w:p>
    <w:p>
      <w:pPr>
        <w:ind w:right="260" w:firstLine="916"/>
        <w:spacing w:after="0" w:line="354" w:lineRule="auto"/>
        <w:rPr>
          <w:sz w:val="20"/>
          <w:szCs w:val="20"/>
          <w:color w:val="auto"/>
        </w:rPr>
      </w:pPr>
      <w:r>
        <w:rPr>
          <w:rFonts w:ascii="Arial" w:cs="Arial" w:eastAsia="Arial" w:hAnsi="Arial"/>
          <w:sz w:val="13"/>
          <w:szCs w:val="13"/>
          <w:color w:val="auto"/>
        </w:rPr>
        <w:t xml:space="preserve">9.3 </w:t>
      </w:r>
      <w:r>
        <w:rPr>
          <w:rFonts w:ascii="Arial" w:cs="Arial" w:eastAsia="Arial" w:hAnsi="Arial"/>
          <w:sz w:val="13"/>
          <w:szCs w:val="13"/>
          <w:u w:val="single" w:color="auto"/>
          <w:color w:val="auto"/>
        </w:rPr>
        <w:t>Purchase Price</w:t>
      </w:r>
      <w:r>
        <w:rPr>
          <w:rFonts w:ascii="Arial" w:cs="Arial" w:eastAsia="Arial" w:hAnsi="Arial"/>
          <w:sz w:val="13"/>
          <w:szCs w:val="13"/>
          <w:color w:val="auto"/>
        </w:rPr>
        <w:t>. The purchase price for the Offered Shares purchased under this Section will be the Offered Price, provided that if the Offered Price consists of no legal consideration (as, for example, in the case of a transfer by gift) the purchase price will be the fair market value of the Offered Shares as determined in good faith by the Company’s Board</w:t>
      </w:r>
    </w:p>
    <w:p>
      <w:pPr>
        <w:spacing w:after="0" w:line="44"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6</w:t>
      </w:r>
    </w:p>
    <w:p>
      <w:pPr>
        <w:sectPr>
          <w:pgSz w:w="11900" w:h="16838" w:orient="portrait"/>
          <w:cols w:equalWidth="0" w:num="1">
            <w:col w:w="11440"/>
          </w:cols>
          <w:pgMar w:left="240" w:top="253" w:right="219" w:bottom="1440" w:gutter="0" w:footer="0" w:header="0"/>
        </w:sectPr>
      </w:pPr>
    </w:p>
    <w:bookmarkStart w:id="468" w:name="page469"/>
    <w:bookmarkEnd w:id="468"/>
    <w:p>
      <w:pPr>
        <w:ind w:left="10" w:right="80"/>
        <w:spacing w:after="0" w:line="275"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133350</wp:posOffset>
            </wp:positionH>
            <wp:positionV relativeFrom="page">
              <wp:posOffset>88900</wp:posOffset>
            </wp:positionV>
            <wp:extent cx="7308850" cy="34290"/>
            <wp:wrapNone/>
            <wp:docPr id="690" name="Picture 6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0"/>
                    <pic:cNvPicPr>
                      <a:picLocks noChangeAspect="1" noChangeArrowheads="1"/>
                    </pic:cNvPicPr>
                  </pic:nvPicPr>
                  <pic:blipFill>
                    <a:blip r:embed="rId727">
                      <a:extLst>
                        <a:ext uri="{28A0092B-C50C-407E-A947-70E740481C1C}"/>
                      </a:extLst>
                    </a:blip>
                    <a:srcRect/>
                    <a:stretch>
                      <a:fillRect/>
                    </a:stretch>
                  </pic:blipFill>
                  <pic:spPr bwMode="auto">
                    <a:xfrm>
                      <a:off x="0" y="0"/>
                      <a:ext cx="7308850" cy="34290"/>
                    </a:xfrm>
                    <a:prstGeom prst="rect">
                      <a:avLst/>
                    </a:prstGeom>
                    <a:noFill/>
                  </pic:spPr>
                </pic:pic>
              </a:graphicData>
            </a:graphic>
          </wp:anchor>
        </w:drawing>
        <w:t>of Directors. If the Offered Price includes consideration other than cash, then the value of the non-cash consideration, as determined in good faith by the Company’s Board of Directors, will conclusively be deemed to be the cash equivalent value of such non-cash consideration.</w:t>
      </w:r>
    </w:p>
    <w:p>
      <w:pPr>
        <w:spacing w:after="0" w:line="146" w:lineRule="exact"/>
        <w:rPr>
          <w:sz w:val="20"/>
          <w:szCs w:val="20"/>
          <w:color w:val="auto"/>
        </w:rPr>
      </w:pPr>
    </w:p>
    <w:p>
      <w:pPr>
        <w:ind w:left="10" w:right="20" w:firstLine="916"/>
        <w:spacing w:after="0" w:line="259" w:lineRule="auto"/>
        <w:rPr>
          <w:sz w:val="20"/>
          <w:szCs w:val="20"/>
          <w:color w:val="auto"/>
        </w:rPr>
      </w:pPr>
      <w:r>
        <w:rPr>
          <w:rFonts w:ascii="Arial" w:cs="Arial" w:eastAsia="Arial" w:hAnsi="Arial"/>
          <w:sz w:val="15"/>
          <w:szCs w:val="15"/>
          <w:color w:val="auto"/>
        </w:rPr>
        <w:t xml:space="preserve">9.4 </w:t>
      </w:r>
      <w:r>
        <w:rPr>
          <w:rFonts w:ascii="Arial" w:cs="Arial" w:eastAsia="Arial" w:hAnsi="Arial"/>
          <w:sz w:val="15"/>
          <w:szCs w:val="15"/>
          <w:u w:val="single" w:color="auto"/>
          <w:color w:val="auto"/>
        </w:rPr>
        <w:t>Payment</w:t>
      </w:r>
      <w:r>
        <w:rPr>
          <w:rFonts w:ascii="Arial" w:cs="Arial" w:eastAsia="Arial" w:hAnsi="Arial"/>
          <w:sz w:val="15"/>
          <w:szCs w:val="15"/>
          <w:color w:val="auto"/>
        </w:rPr>
        <w:t>. Payment of the purchase price for the Offered Shares will be payable, at the option of the Company and/or its assignee(s) (as applicable), by check or by cancellation of all or a portion of any outstanding purchase money indebtedness owed by the Holder to the Company (or to such assignee, in the case of a purchase of Offered Shares by such assignee) or by any combination thereof. The purchase price will be paid without interest within sixty (60) days after the Company’s receipt of the Notice, or, at the option of the Company and/or its assignee(s), in the manner and at the time(s) set forth in the Notice.</w:t>
      </w:r>
    </w:p>
    <w:p>
      <w:pPr>
        <w:spacing w:after="0" w:line="158" w:lineRule="exact"/>
        <w:rPr>
          <w:sz w:val="20"/>
          <w:szCs w:val="20"/>
          <w:color w:val="auto"/>
        </w:rPr>
      </w:pPr>
    </w:p>
    <w:p>
      <w:pPr>
        <w:ind w:left="10" w:right="100" w:firstLine="916"/>
        <w:spacing w:after="0" w:line="302" w:lineRule="auto"/>
        <w:rPr>
          <w:sz w:val="20"/>
          <w:szCs w:val="20"/>
          <w:color w:val="auto"/>
        </w:rPr>
      </w:pPr>
      <w:r>
        <w:rPr>
          <w:rFonts w:ascii="Arial" w:cs="Arial" w:eastAsia="Arial" w:hAnsi="Arial"/>
          <w:sz w:val="13"/>
          <w:szCs w:val="13"/>
          <w:color w:val="auto"/>
        </w:rPr>
        <w:t xml:space="preserve">9.5 </w:t>
      </w:r>
      <w:r>
        <w:rPr>
          <w:rFonts w:ascii="Arial" w:cs="Arial" w:eastAsia="Arial" w:hAnsi="Arial"/>
          <w:sz w:val="13"/>
          <w:szCs w:val="13"/>
          <w:u w:val="single" w:color="auto"/>
          <w:color w:val="auto"/>
        </w:rPr>
        <w:t>Holder’s Right to Transfer</w:t>
      </w:r>
      <w:r>
        <w:rPr>
          <w:rFonts w:ascii="Arial" w:cs="Arial" w:eastAsia="Arial" w:hAnsi="Arial"/>
          <w:sz w:val="13"/>
          <w:szCs w:val="13"/>
          <w:color w:val="auto"/>
        </w:rPr>
        <w:t xml:space="preserve">. If all of the Offered Shares proposed in the Notice to be transferred to a given Proposed Transferee are not purchased by the Company and/or its assignee(s) as provided in this Section, then the Holder may sell or otherwise transfer such Offered Shares to each Proposed Transferee at the Offered Price or at a higher price, </w:t>
      </w:r>
      <w:r>
        <w:rPr>
          <w:rFonts w:ascii="Arial" w:cs="Arial" w:eastAsia="Arial" w:hAnsi="Arial"/>
          <w:sz w:val="13"/>
          <w:szCs w:val="13"/>
          <w:u w:val="single" w:color="auto"/>
          <w:color w:val="auto"/>
        </w:rPr>
        <w:t>provided</w:t>
      </w:r>
      <w:r>
        <w:rPr>
          <w:rFonts w:ascii="Arial" w:cs="Arial" w:eastAsia="Arial" w:hAnsi="Arial"/>
          <w:sz w:val="13"/>
          <w:szCs w:val="13"/>
          <w:color w:val="auto"/>
        </w:rPr>
        <w:t xml:space="preserve"> that (i) such sale or other transfer is consummated within one hundred twenty (120) days after the date of the Notice, (ii) any such sale or other transfer is effected in compliance with all applicable securities laws, and (iii) each Proposed Transferee agrees in writing that the provisions of this Section will continue to apply to the Offered Shares in the hands of such Proposed Transferee. If the Offered Shares described in the Notice are not transferred to each Proposed Transferee within such one hundred twenty (120) day period, then a new Notice must be given to the Company pursuant to which the Company will again be offered the Right of First Refusal before any Shares held by the Holder may be sold or otherwise transferred.</w:t>
      </w:r>
    </w:p>
    <w:p>
      <w:pPr>
        <w:spacing w:after="0" w:line="134" w:lineRule="exact"/>
        <w:rPr>
          <w:sz w:val="20"/>
          <w:szCs w:val="20"/>
          <w:color w:val="auto"/>
        </w:rPr>
      </w:pPr>
    </w:p>
    <w:p>
      <w:pPr>
        <w:ind w:left="10" w:firstLine="916"/>
        <w:spacing w:after="0" w:line="290" w:lineRule="auto"/>
        <w:rPr>
          <w:sz w:val="20"/>
          <w:szCs w:val="20"/>
          <w:color w:val="auto"/>
        </w:rPr>
      </w:pPr>
      <w:r>
        <w:rPr>
          <w:rFonts w:ascii="Arial" w:cs="Arial" w:eastAsia="Arial" w:hAnsi="Arial"/>
          <w:sz w:val="13"/>
          <w:szCs w:val="13"/>
          <w:color w:val="auto"/>
        </w:rPr>
        <w:t xml:space="preserve">9.6 </w:t>
      </w:r>
      <w:r>
        <w:rPr>
          <w:rFonts w:ascii="Arial" w:cs="Arial" w:eastAsia="Arial" w:hAnsi="Arial"/>
          <w:sz w:val="13"/>
          <w:szCs w:val="13"/>
          <w:u w:val="single" w:color="auto"/>
          <w:color w:val="auto"/>
        </w:rPr>
        <w:t>Exempt Transfers</w:t>
      </w:r>
      <w:r>
        <w:rPr>
          <w:rFonts w:ascii="Arial" w:cs="Arial" w:eastAsia="Arial" w:hAnsi="Arial"/>
          <w:sz w:val="13"/>
          <w:szCs w:val="13"/>
          <w:color w:val="auto"/>
        </w:rPr>
        <w:t>. Notwithstanding anything to the contrary in this Section, the following transfers of Vested Shares will be exempt from the Right of First Refusal: (i) the transfer of any or all of the Vested Shares during Purchaser’s lifetime by gift or on Purchaser’s death by will or intestacy to Purchaser’s “Immediate Family” (as defined below) or to a trust for the benefit of Purchaser or Purchaser’s Immediate Family, provided that each transferee or other recipient agrees in a writing satisfactory to the Company that the provisions of this Section will continue to apply to the transferred Vested Shares in the hands of such transferee or other recipient; (ii) any transfer of Vested Shares made pursuant to a statutory merger or statutory consolidation of the Company with or into another corporation or corporations (except that the Right of First Refusal will continue to apply thereafter to such Vested Shares, in which case the surviving corporation of such merger or consolidation shall succeed to the rights of the Company under this Section unless the agreement of merger or consolidation expressly otherwise provides); or (iii) any transfer of Vested Shares pursuant to the winding up and dissolution of the Company. As used herein, the term “</w:t>
      </w:r>
      <w:r>
        <w:rPr>
          <w:rFonts w:ascii="Arial" w:cs="Arial" w:eastAsia="Arial" w:hAnsi="Arial"/>
          <w:sz w:val="13"/>
          <w:szCs w:val="13"/>
          <w:b w:val="1"/>
          <w:bCs w:val="1"/>
          <w:i w:val="1"/>
          <w:iCs w:val="1"/>
          <w:color w:val="auto"/>
        </w:rPr>
        <w:t>Immediate Family</w:t>
      </w:r>
      <w:r>
        <w:rPr>
          <w:rFonts w:ascii="Arial" w:cs="Arial" w:eastAsia="Arial" w:hAnsi="Arial"/>
          <w:sz w:val="13"/>
          <w:szCs w:val="13"/>
          <w:color w:val="auto"/>
        </w:rPr>
        <w:t>” will mean Purchaser’s spouse, the lineal descendant or antecedent, father, mother, brother or sister, child, adopted child, grandchild or adopted grandchild of the Purchaser or the Purchaser’s spouse, or the spouse of any of the above or Spousal Equivalent, as defined herein. As used herein, a person is deemed to be a “</w:t>
      </w:r>
      <w:r>
        <w:rPr>
          <w:rFonts w:ascii="Arial" w:cs="Arial" w:eastAsia="Arial" w:hAnsi="Arial"/>
          <w:sz w:val="13"/>
          <w:szCs w:val="13"/>
          <w:b w:val="1"/>
          <w:bCs w:val="1"/>
          <w:i w:val="1"/>
          <w:iCs w:val="1"/>
          <w:color w:val="auto"/>
        </w:rPr>
        <w:t>Spousal Equivalent</w:t>
      </w:r>
      <w:r>
        <w:rPr>
          <w:rFonts w:ascii="Arial" w:cs="Arial" w:eastAsia="Arial" w:hAnsi="Arial"/>
          <w:sz w:val="13"/>
          <w:szCs w:val="13"/>
          <w:color w:val="auto"/>
        </w:rPr>
        <w:t>” provided the following circumstances are true: (i) irrespective of whether or not the Participant and the Spousal Equivalent are the same sex, they are the sole spousal equivalent of the other for the last twelve (12) months, (ii) they intend to remain so indefinitely, (iii) neither are married to anyone else, (iv) both are at least 18 years of age and mentally competent to consent to contract, (v) they are not related by blood to a degree of closeness that which would prohibit legal marriage in the state in which they legally reside, (vi) they are jointly responsible for each other’s common welfare and financial obligations, and</w:t>
      </w:r>
    </w:p>
    <w:p>
      <w:pPr>
        <w:spacing w:after="0" w:line="7" w:lineRule="exact"/>
        <w:rPr>
          <w:sz w:val="20"/>
          <w:szCs w:val="20"/>
          <w:color w:val="auto"/>
        </w:rPr>
      </w:pPr>
    </w:p>
    <w:p>
      <w:pPr>
        <w:ind w:left="5690" w:right="4800" w:hanging="5690"/>
        <w:spacing w:after="0" w:line="434" w:lineRule="auto"/>
        <w:tabs>
          <w:tab w:leader="none" w:pos="300" w:val="left"/>
        </w:tabs>
        <w:numPr>
          <w:ilvl w:val="0"/>
          <w:numId w:val="439"/>
        </w:numPr>
        <w:rPr>
          <w:rFonts w:ascii="Arial" w:cs="Arial" w:eastAsia="Arial" w:hAnsi="Arial"/>
          <w:sz w:val="15"/>
          <w:szCs w:val="15"/>
          <w:color w:val="auto"/>
        </w:rPr>
      </w:pPr>
      <w:r>
        <w:rPr>
          <w:rFonts w:ascii="Arial" w:cs="Arial" w:eastAsia="Arial" w:hAnsi="Arial"/>
          <w:sz w:val="15"/>
          <w:szCs w:val="15"/>
          <w:color w:val="auto"/>
        </w:rPr>
        <w:t>they reside together in the same residence for the last twelve (12) months and intend to do so indefinitely. 7</w:t>
      </w:r>
    </w:p>
    <w:p>
      <w:pPr>
        <w:sectPr>
          <w:pgSz w:w="11900" w:h="16838" w:orient="portrait"/>
          <w:cols w:equalWidth="0" w:num="1">
            <w:col w:w="11430"/>
          </w:cols>
          <w:pgMar w:left="230" w:top="253" w:right="239" w:bottom="1440" w:gutter="0" w:footer="0" w:header="0"/>
        </w:sectPr>
      </w:pPr>
    </w:p>
    <w:bookmarkStart w:id="469" w:name="page470"/>
    <w:bookmarkEnd w:id="469"/>
    <w:p>
      <w:pPr>
        <w:ind w:right="120" w:firstLine="916"/>
        <w:spacing w:after="0" w:line="257"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133350</wp:posOffset>
            </wp:positionH>
            <wp:positionV relativeFrom="page">
              <wp:posOffset>88900</wp:posOffset>
            </wp:positionV>
            <wp:extent cx="7308850" cy="34290"/>
            <wp:wrapNone/>
            <wp:docPr id="691" name="Picture 6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1"/>
                    <pic:cNvPicPr>
                      <a:picLocks noChangeAspect="1" noChangeArrowheads="1"/>
                    </pic:cNvPicPr>
                  </pic:nvPicPr>
                  <pic:blipFill>
                    <a:blip r:embed="rId728">
                      <a:extLst>
                        <a:ext uri="{28A0092B-C50C-407E-A947-70E740481C1C}"/>
                      </a:extLst>
                    </a:blip>
                    <a:srcRect/>
                    <a:stretch>
                      <a:fillRect/>
                    </a:stretch>
                  </pic:blipFill>
                  <pic:spPr bwMode="auto">
                    <a:xfrm>
                      <a:off x="0" y="0"/>
                      <a:ext cx="7308850" cy="34290"/>
                    </a:xfrm>
                    <a:prstGeom prst="rect">
                      <a:avLst/>
                    </a:prstGeom>
                    <a:noFill/>
                  </pic:spPr>
                </pic:pic>
              </a:graphicData>
            </a:graphic>
          </wp:anchor>
        </w:drawing>
        <w:t xml:space="preserve">9.7 </w:t>
      </w:r>
      <w:r>
        <w:rPr>
          <w:rFonts w:ascii="Arial" w:cs="Arial" w:eastAsia="Arial" w:hAnsi="Arial"/>
          <w:sz w:val="15"/>
          <w:szCs w:val="15"/>
          <w:u w:val="single" w:color="auto"/>
          <w:color w:val="auto"/>
        </w:rPr>
        <w:t>Termination of Right of First Refusal</w:t>
      </w:r>
      <w:r>
        <w:rPr>
          <w:rFonts w:ascii="Arial" w:cs="Arial" w:eastAsia="Arial" w:hAnsi="Arial"/>
          <w:sz w:val="15"/>
          <w:szCs w:val="15"/>
          <w:color w:val="auto"/>
        </w:rPr>
        <w:t>. The Right of First Refusal will terminate as to all Shares (i) on the effective date of the first sale of the Company’s securities to the general public pursuant to a registration statement filed with and declared effective by the SEC under the 1933 Act (other than a registration statement relating solely to the issuance of securities pursuant to a business combination or an employee incentive or benefit plan) or (ii) on any transfer or conversion of Shares made pursuant to a statutory merger or statutory consolidation of the Company with or into another corporation or corporations if the common stock of the surviving corporation or any direct or indirect parent corporation thereof is registered under the Securities Exchange Act of 1934, as amended.</w:t>
      </w:r>
    </w:p>
    <w:p>
      <w:pPr>
        <w:spacing w:after="0" w:line="159" w:lineRule="exact"/>
        <w:rPr>
          <w:sz w:val="20"/>
          <w:szCs w:val="20"/>
          <w:color w:val="auto"/>
        </w:rPr>
      </w:pPr>
    </w:p>
    <w:p>
      <w:pPr>
        <w:ind w:firstLine="916"/>
        <w:spacing w:after="0" w:line="257" w:lineRule="auto"/>
        <w:rPr>
          <w:sz w:val="20"/>
          <w:szCs w:val="20"/>
          <w:color w:val="auto"/>
        </w:rPr>
      </w:pPr>
      <w:r>
        <w:rPr>
          <w:rFonts w:ascii="Arial" w:cs="Arial" w:eastAsia="Arial" w:hAnsi="Arial"/>
          <w:sz w:val="15"/>
          <w:szCs w:val="15"/>
          <w:color w:val="auto"/>
        </w:rPr>
        <w:t xml:space="preserve">9.8 </w:t>
      </w:r>
      <w:r>
        <w:rPr>
          <w:rFonts w:ascii="Arial" w:cs="Arial" w:eastAsia="Arial" w:hAnsi="Arial"/>
          <w:sz w:val="15"/>
          <w:szCs w:val="15"/>
          <w:u w:val="single" w:color="auto"/>
          <w:color w:val="auto"/>
        </w:rPr>
        <w:t>Encumbrances on Vested Shares</w:t>
      </w:r>
      <w:r>
        <w:rPr>
          <w:rFonts w:ascii="Arial" w:cs="Arial" w:eastAsia="Arial" w:hAnsi="Arial"/>
          <w:sz w:val="15"/>
          <w:szCs w:val="15"/>
          <w:color w:val="auto"/>
        </w:rPr>
        <w:t>. Purchaser may grant a lien or security interest in, or pledge, hypothecate or encumber Vested Shares only if each party to whom such lien or security interest is granted, or to whom such pledge, hypothecation or other encumbrance is made, agrees in a writing satisfactory to the Company that: (i) such lien, security interest, pledge, hypothecation or encumbrance will not apply to such Vested Shares after they are acquired by the Company and/or its assignees under this Section; and (ii) the provisions of this Section will continue to apply to such Vested Shares in the hands of such party and any transferee of such party. Purchaser may not grant a lien or security interest in, or pledge, hypothecate or encumber, any Unvested Shares.</w:t>
      </w:r>
    </w:p>
    <w:p>
      <w:pPr>
        <w:spacing w:after="0" w:line="155" w:lineRule="exact"/>
        <w:rPr>
          <w:sz w:val="20"/>
          <w:szCs w:val="20"/>
          <w:color w:val="auto"/>
        </w:rPr>
      </w:pPr>
    </w:p>
    <w:p>
      <w:pPr>
        <w:jc w:val="both"/>
        <w:ind w:firstLine="448"/>
        <w:spacing w:after="0" w:line="285" w:lineRule="auto"/>
        <w:tabs>
          <w:tab w:leader="none" w:pos="683" w:val="left"/>
        </w:tabs>
        <w:numPr>
          <w:ilvl w:val="0"/>
          <w:numId w:val="440"/>
        </w:numPr>
        <w:rPr>
          <w:rFonts w:ascii="Arial" w:cs="Arial" w:eastAsia="Arial" w:hAnsi="Arial"/>
          <w:sz w:val="14"/>
          <w:szCs w:val="14"/>
          <w:b w:val="1"/>
          <w:bCs w:val="1"/>
          <w:color w:val="auto"/>
        </w:rPr>
      </w:pPr>
      <w:r>
        <w:rPr>
          <w:rFonts w:ascii="Arial" w:cs="Arial" w:eastAsia="Arial" w:hAnsi="Arial"/>
          <w:sz w:val="14"/>
          <w:szCs w:val="14"/>
          <w:b w:val="1"/>
          <w:bCs w:val="1"/>
          <w:u w:val="single" w:color="auto"/>
          <w:color w:val="auto"/>
        </w:rPr>
        <w:t>Rights as a Stockholder</w:t>
      </w:r>
      <w:r>
        <w:rPr>
          <w:rFonts w:ascii="Arial" w:cs="Arial" w:eastAsia="Arial" w:hAnsi="Arial"/>
          <w:sz w:val="14"/>
          <w:szCs w:val="14"/>
          <w:b w:val="1"/>
          <w:bCs w:val="1"/>
          <w:color w:val="auto"/>
        </w:rPr>
        <w:t xml:space="preserve">. </w:t>
      </w:r>
      <w:r>
        <w:rPr>
          <w:rFonts w:ascii="Arial" w:cs="Arial" w:eastAsia="Arial" w:hAnsi="Arial"/>
          <w:sz w:val="14"/>
          <w:szCs w:val="14"/>
          <w:color w:val="auto"/>
        </w:rPr>
        <w:t>Subject to the terms and conditions of this Exercise Agreement, Purchaser will have all of the rights of a stockholder of the Company with respect to the</w:t>
      </w:r>
      <w:r>
        <w:rPr>
          <w:rFonts w:ascii="Arial" w:cs="Arial" w:eastAsia="Arial" w:hAnsi="Arial"/>
          <w:sz w:val="14"/>
          <w:szCs w:val="14"/>
          <w:b w:val="1"/>
          <w:bCs w:val="1"/>
          <w:color w:val="auto"/>
        </w:rPr>
        <w:t xml:space="preserve"> </w:t>
      </w:r>
      <w:r>
        <w:rPr>
          <w:rFonts w:ascii="Arial" w:cs="Arial" w:eastAsia="Arial" w:hAnsi="Arial"/>
          <w:sz w:val="14"/>
          <w:szCs w:val="14"/>
          <w:color w:val="auto"/>
        </w:rPr>
        <w:t>Shares from and after the date that Shares are issued to Purchaser until such time as Purchaser disposes of the Shares or the Company and/or its assignee(s) exercise(s) the Repurchase Option or Right of First Refusal. Upon an exercise of the Repurchase Option or the Right of First Refusal, Purchaser will have no further rights as a holder of the Shares so purchased upon such exercise, other than the right to receive payment for the Shares so purchased in accordance with the provisions of this Exercise Agreement.</w:t>
      </w:r>
    </w:p>
    <w:p>
      <w:pPr>
        <w:spacing w:after="0" w:line="137" w:lineRule="exact"/>
        <w:rPr>
          <w:rFonts w:ascii="Arial" w:cs="Arial" w:eastAsia="Arial" w:hAnsi="Arial"/>
          <w:sz w:val="14"/>
          <w:szCs w:val="14"/>
          <w:b w:val="1"/>
          <w:bCs w:val="1"/>
          <w:color w:val="auto"/>
        </w:rPr>
      </w:pPr>
    </w:p>
    <w:p>
      <w:pPr>
        <w:ind w:right="100" w:firstLine="448"/>
        <w:spacing w:after="0" w:line="301" w:lineRule="auto"/>
        <w:tabs>
          <w:tab w:leader="none" w:pos="675" w:val="left"/>
        </w:tabs>
        <w:numPr>
          <w:ilvl w:val="0"/>
          <w:numId w:val="440"/>
        </w:numPr>
        <w:rPr>
          <w:rFonts w:ascii="Arial" w:cs="Arial" w:eastAsia="Arial" w:hAnsi="Arial"/>
          <w:sz w:val="13"/>
          <w:szCs w:val="13"/>
          <w:b w:val="1"/>
          <w:bCs w:val="1"/>
          <w:color w:val="auto"/>
        </w:rPr>
      </w:pPr>
      <w:r>
        <w:rPr>
          <w:rFonts w:ascii="Arial" w:cs="Arial" w:eastAsia="Arial" w:hAnsi="Arial"/>
          <w:sz w:val="13"/>
          <w:szCs w:val="13"/>
          <w:b w:val="1"/>
          <w:bCs w:val="1"/>
          <w:u w:val="single" w:color="auto"/>
          <w:color w:val="auto"/>
        </w:rPr>
        <w:t>Escrow</w:t>
      </w:r>
      <w:r>
        <w:rPr>
          <w:rFonts w:ascii="Arial" w:cs="Arial" w:eastAsia="Arial" w:hAnsi="Arial"/>
          <w:sz w:val="13"/>
          <w:szCs w:val="13"/>
          <w:b w:val="1"/>
          <w:bCs w:val="1"/>
          <w:color w:val="auto"/>
        </w:rPr>
        <w:t xml:space="preserve">. </w:t>
      </w:r>
      <w:r>
        <w:rPr>
          <w:rFonts w:ascii="Arial" w:cs="Arial" w:eastAsia="Arial" w:hAnsi="Arial"/>
          <w:sz w:val="13"/>
          <w:szCs w:val="13"/>
          <w:color w:val="auto"/>
        </w:rPr>
        <w:t>As security for Purchaser’s faithful performance of this Exercise Agreement, Purchaser agrees to deliver the Stock Powers executed by Purchaser and by Purchaser’s</w:t>
      </w:r>
      <w:r>
        <w:rPr>
          <w:rFonts w:ascii="Arial" w:cs="Arial" w:eastAsia="Arial" w:hAnsi="Arial"/>
          <w:sz w:val="13"/>
          <w:szCs w:val="13"/>
          <w:b w:val="1"/>
          <w:bCs w:val="1"/>
          <w:color w:val="auto"/>
        </w:rPr>
        <w:t xml:space="preserve"> </w:t>
      </w:r>
      <w:r>
        <w:rPr>
          <w:rFonts w:ascii="Arial" w:cs="Arial" w:eastAsia="Arial" w:hAnsi="Arial"/>
          <w:sz w:val="13"/>
          <w:szCs w:val="13"/>
          <w:color w:val="auto"/>
        </w:rPr>
        <w:t>spouse, if any (with the date and number of Shares left blank), to the Secretary of the Company or other designee of the Company (the “</w:t>
      </w:r>
      <w:r>
        <w:rPr>
          <w:rFonts w:ascii="Arial" w:cs="Arial" w:eastAsia="Arial" w:hAnsi="Arial"/>
          <w:sz w:val="13"/>
          <w:szCs w:val="13"/>
          <w:b w:val="1"/>
          <w:bCs w:val="1"/>
          <w:i w:val="1"/>
          <w:iCs w:val="1"/>
          <w:color w:val="auto"/>
        </w:rPr>
        <w:t>Escrow Holder</w:t>
      </w:r>
      <w:r>
        <w:rPr>
          <w:rFonts w:ascii="Arial" w:cs="Arial" w:eastAsia="Arial" w:hAnsi="Arial"/>
          <w:sz w:val="13"/>
          <w:szCs w:val="13"/>
          <w:color w:val="auto"/>
        </w:rPr>
        <w:t>”), who is hereby appointed to hold such Stock Powers in escrow and to take all such actions and to effectuate all such transfers and/or releases of such Shares as are in accordance with the terms of this Exercise Agreement. Purchaser and the Company agree that Escrow Holder will not be liable to any party to this Exercise Agreement (or to any other party) for any actions or omissions unless Escrow Holder is grossly negligent or intentionally fraudulent in carrying out the duties of Escrow Holder under this Exercise Agreement. Escrow Holder may rely upon any letter, notice or other document executed with any signature purported to be genuine and may rely on the advice of counsel and obey any order of any court with respect to the transactions contemplated by this Exercise Agreement. The Stock Powers will be released from escrow upon termination of both the Repurchase Option and the Right of First Refusal.</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8</w:t>
      </w:r>
    </w:p>
    <w:p>
      <w:pPr>
        <w:sectPr>
          <w:pgSz w:w="11900" w:h="16838" w:orient="portrait"/>
          <w:cols w:equalWidth="0" w:num="1">
            <w:col w:w="11420"/>
          </w:cols>
          <w:pgMar w:left="240" w:top="253" w:right="239" w:bottom="1440" w:gutter="0" w:footer="0" w:header="0"/>
        </w:sectPr>
      </w:pPr>
    </w:p>
    <w:bookmarkStart w:id="470" w:name="page471"/>
    <w:bookmarkEnd w:id="470"/>
    <w:p>
      <w:pPr>
        <w:ind w:left="680" w:hanging="232"/>
        <w:spacing w:after="0"/>
        <w:tabs>
          <w:tab w:leader="none" w:pos="680" w:val="left"/>
        </w:tabs>
        <w:numPr>
          <w:ilvl w:val="0"/>
          <w:numId w:val="441"/>
        </w:numPr>
        <w:rPr>
          <w:rFonts w:ascii="Arial" w:cs="Arial" w:eastAsia="Arial" w:hAnsi="Arial"/>
          <w:sz w:val="15"/>
          <w:szCs w:val="15"/>
          <w:b w:val="1"/>
          <w:bCs w:val="1"/>
          <w:color w:val="auto"/>
        </w:rPr>
      </w:pPr>
      <w:r>
        <w:rPr>
          <w:rFonts w:ascii="Arial" w:cs="Arial" w:eastAsia="Arial" w:hAnsi="Arial"/>
          <w:sz w:val="15"/>
          <w:szCs w:val="15"/>
          <w:b w:val="1"/>
          <w:bCs w:val="1"/>
          <w:u w:val="single" w:color="auto"/>
          <w:color w:val="auto"/>
        </w:rPr>
        <w:drawing>
          <wp:anchor simplePos="0" relativeHeight="251657728" behindDoc="1" locked="0" layoutInCell="0" allowOverlap="1">
            <wp:simplePos x="0" y="0"/>
            <wp:positionH relativeFrom="page">
              <wp:posOffset>133350</wp:posOffset>
            </wp:positionH>
            <wp:positionV relativeFrom="page">
              <wp:posOffset>88900</wp:posOffset>
            </wp:positionV>
            <wp:extent cx="7308850" cy="34290"/>
            <wp:wrapNone/>
            <wp:docPr id="692" name="Picture 6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2"/>
                    <pic:cNvPicPr>
                      <a:picLocks noChangeAspect="1" noChangeArrowheads="1"/>
                    </pic:cNvPicPr>
                  </pic:nvPicPr>
                  <pic:blipFill>
                    <a:blip r:embed="rId729">
                      <a:extLst>
                        <a:ext uri="{28A0092B-C50C-407E-A947-70E740481C1C}"/>
                      </a:extLst>
                    </a:blip>
                    <a:srcRect/>
                    <a:stretch>
                      <a:fillRect/>
                    </a:stretch>
                  </pic:blipFill>
                  <pic:spPr bwMode="auto">
                    <a:xfrm>
                      <a:off x="0" y="0"/>
                      <a:ext cx="7308850" cy="34290"/>
                    </a:xfrm>
                    <a:prstGeom prst="rect">
                      <a:avLst/>
                    </a:prstGeom>
                    <a:noFill/>
                  </pic:spPr>
                </pic:pic>
              </a:graphicData>
            </a:graphic>
          </wp:anchor>
        </w:drawing>
        <w:t>Restrictive Legends and Stop-Transfer Orders</w:t>
      </w:r>
      <w:r>
        <w:rPr>
          <w:rFonts w:ascii="Arial" w:cs="Arial" w:eastAsia="Arial" w:hAnsi="Arial"/>
          <w:sz w:val="15"/>
          <w:szCs w:val="15"/>
          <w:b w:val="1"/>
          <w:bCs w:val="1"/>
          <w:color w:val="auto"/>
        </w:rPr>
        <w:t>.</w:t>
      </w:r>
    </w:p>
    <w:p>
      <w:pPr>
        <w:spacing w:after="0" w:line="192" w:lineRule="exact"/>
        <w:rPr>
          <w:sz w:val="20"/>
          <w:szCs w:val="20"/>
          <w:color w:val="auto"/>
        </w:rPr>
      </w:pPr>
    </w:p>
    <w:p>
      <w:pPr>
        <w:ind w:right="80" w:firstLine="916"/>
        <w:spacing w:after="0" w:line="263" w:lineRule="auto"/>
        <w:rPr>
          <w:sz w:val="20"/>
          <w:szCs w:val="20"/>
          <w:color w:val="auto"/>
        </w:rPr>
      </w:pPr>
      <w:r>
        <w:rPr>
          <w:rFonts w:ascii="Arial" w:cs="Arial" w:eastAsia="Arial" w:hAnsi="Arial"/>
          <w:sz w:val="15"/>
          <w:szCs w:val="15"/>
          <w:color w:val="auto"/>
        </w:rPr>
        <w:t xml:space="preserve">12.1 </w:t>
      </w:r>
      <w:r>
        <w:rPr>
          <w:rFonts w:ascii="Arial" w:cs="Arial" w:eastAsia="Arial" w:hAnsi="Arial"/>
          <w:sz w:val="15"/>
          <w:szCs w:val="15"/>
          <w:u w:val="single" w:color="auto"/>
          <w:color w:val="auto"/>
        </w:rPr>
        <w:t>Legends</w:t>
      </w:r>
      <w:r>
        <w:rPr>
          <w:rFonts w:ascii="Arial" w:cs="Arial" w:eastAsia="Arial" w:hAnsi="Arial"/>
          <w:sz w:val="15"/>
          <w:szCs w:val="15"/>
          <w:color w:val="auto"/>
        </w:rPr>
        <w:t>. Purchaser understands and agrees that the Company will place the legends set forth below or similar legends on any book-entries evidencing the Shares, together with any other legends that may be required by state or U.S. Federal securities laws, the Company’s Certificate of Incorporation or Bylaws, any other agreement between Purchaser and the Company or any agreement between Purchaser and any third party:</w:t>
      </w:r>
    </w:p>
    <w:p>
      <w:pPr>
        <w:spacing w:after="0" w:line="155" w:lineRule="exact"/>
        <w:rPr>
          <w:sz w:val="20"/>
          <w:szCs w:val="20"/>
          <w:color w:val="auto"/>
        </w:rPr>
      </w:pPr>
    </w:p>
    <w:p>
      <w:pPr>
        <w:ind w:left="440"/>
        <w:spacing w:after="0" w:line="254" w:lineRule="auto"/>
        <w:rPr>
          <w:sz w:val="20"/>
          <w:szCs w:val="20"/>
          <w:color w:val="auto"/>
        </w:rPr>
      </w:pPr>
      <w:r>
        <w:rPr>
          <w:rFonts w:ascii="Arial" w:cs="Arial" w:eastAsia="Arial" w:hAnsi="Arial"/>
          <w:sz w:val="15"/>
          <w:szCs w:val="15"/>
          <w:i w:val="1"/>
          <w:iCs w:val="1"/>
          <w:color w:val="auto"/>
        </w:rPr>
        <w:t>THESE SECURITIES HAVE NOT BEEN REGISTERED UNDER THE SECURITIES ACT OF 1933, AS AMENDED (THE “SECURITIES ACT”), OR UNDER THE SECURITIES LAWS OF CERTAIN STATES. THESE SECURITIES ARE SUBJECT TO RESTRICTIONS ON TRANSFERABILITY AND RESALE INCLUDING, BUT NOT LIMITED TO, RESTRICTIONS ON TRANSFERABILITY AND RESALE SET FORTH IN THE COMPANY’S BYLAWS, AND MAY NOT BE TRANSFERRED OR RESOLD EXCEPT AS PERMITTED UNDER THE SECURITIES ACT AND APPLICABLE STATE SECURITIES LAWS (PURSUANT TO REGISTRATION OR EXEMPTION THEREFROM) AND THE COMPANY’S GOVERNING DOCUMENTS. INVESTORS SHOULD BE AWARE THAT THEY MAY BE REQUIRED TO BEAR THE FINANCIAL RISKS OF THIS INVESTMENT FOR AN INDEFINITE PERIOD OF TIME. THE ISSUER OF THESE SECURITIES MAY REQUIRE AN OPINION OF COUNSEL IN FORM AND SUBSTANCE SATISFACTORY TO THE ISSUER TO THE EFFECT THAT ANY PROPOSED TRANSFER OR RESALE IS IN COMPLIANCE WITH THE SECURITIES ACT AND ANY APPLICABLE STATE SECURITIES LAWS.</w:t>
      </w:r>
    </w:p>
    <w:p>
      <w:pPr>
        <w:spacing w:after="0" w:line="164" w:lineRule="exact"/>
        <w:rPr>
          <w:sz w:val="20"/>
          <w:szCs w:val="20"/>
          <w:color w:val="auto"/>
        </w:rPr>
      </w:pPr>
    </w:p>
    <w:p>
      <w:pPr>
        <w:jc w:val="both"/>
        <w:ind w:left="440" w:right="180"/>
        <w:spacing w:after="0" w:line="311" w:lineRule="auto"/>
        <w:rPr>
          <w:sz w:val="20"/>
          <w:szCs w:val="20"/>
          <w:color w:val="auto"/>
        </w:rPr>
      </w:pPr>
      <w:r>
        <w:rPr>
          <w:rFonts w:ascii="Arial" w:cs="Arial" w:eastAsia="Arial" w:hAnsi="Arial"/>
          <w:sz w:val="13"/>
          <w:szCs w:val="13"/>
          <w:i w:val="1"/>
          <w:iCs w:val="1"/>
          <w:color w:val="auto"/>
        </w:rPr>
        <w:t>THESE SHARES ARE SUBJECT TO CERTAIN RESTRICTIONS ON PUBLIC RESALE AND TRANSFER, INCLUDING THE RIGHT OF REPURCHASE AND RIGHT OF FIRST REFUSAL OPTIONS HELD BY THE ISSUER AND/OR ITS ASSIGNEE(S) AS SET FORTH IN A STOCK OPTION EXERCISE AGREEMENT BETWEEN THE ISSUER AND THE ORIGINAL HOLDER OF THESE SHARES, A COPY OF WHICH MAY BE OBTAINED AT THE PRINCIPAL OFFICE OF THE ISSUER. SUCH PUBLIC SALE AND TRANSFER RESTRICTIONS INCLUDING THE RIGHT OF REPURCHASE AND RIGHT OF FIRST REFUSAL ARE BINDING ON TRANSFEREES OF THESE SHARES.</w:t>
      </w:r>
    </w:p>
    <w:p>
      <w:pPr>
        <w:spacing w:after="0" w:line="127" w:lineRule="exact"/>
        <w:rPr>
          <w:sz w:val="20"/>
          <w:szCs w:val="20"/>
          <w:color w:val="auto"/>
        </w:rPr>
      </w:pPr>
    </w:p>
    <w:p>
      <w:pPr>
        <w:ind w:left="440" w:right="40"/>
        <w:spacing w:after="0" w:line="259" w:lineRule="auto"/>
        <w:rPr>
          <w:sz w:val="20"/>
          <w:szCs w:val="20"/>
          <w:color w:val="auto"/>
        </w:rPr>
      </w:pPr>
      <w:r>
        <w:rPr>
          <w:rFonts w:ascii="Arial" w:cs="Arial" w:eastAsia="Arial" w:hAnsi="Arial"/>
          <w:sz w:val="15"/>
          <w:szCs w:val="15"/>
          <w:i w:val="1"/>
          <w:iCs w:val="1"/>
          <w:color w:val="auto"/>
        </w:rPr>
        <w:t>THESE SHARES ARE SUBJECT TO A 180 DAY MARKET STANDOFF RESTRICTION AS SET FORTH IN A CERTAIN AGREEMENT BETWEEN THE ISSUER AND THE ORIGINAL HOLDER OF THESE SHARES, A COPY OF WHICH MAY BE OBTAINED AT THE PRINCIPAL OFFICE OF THE ISSUER. AS A RESULT OF SUCH AGREEMENT, THESE SHARES MAY NOT BE TRADED PRIOR TO 180 DAYS AFTER THE EFFECTIVE DATE OF ANY PUBLIC OFFERING OF THE SECURITIES OF THE ISSUER HEREOF. SUCH RESTRICTION IS BINDING ON TRANSFEREES OF THESE SHARES.</w:t>
      </w:r>
    </w:p>
    <w:p>
      <w:pPr>
        <w:spacing w:after="0" w:line="158" w:lineRule="exact"/>
        <w:rPr>
          <w:sz w:val="20"/>
          <w:szCs w:val="20"/>
          <w:color w:val="auto"/>
        </w:rPr>
      </w:pPr>
    </w:p>
    <w:p>
      <w:pPr>
        <w:ind w:right="220" w:firstLine="916"/>
        <w:spacing w:after="0" w:line="354" w:lineRule="auto"/>
        <w:rPr>
          <w:sz w:val="20"/>
          <w:szCs w:val="20"/>
          <w:color w:val="auto"/>
        </w:rPr>
      </w:pPr>
      <w:r>
        <w:rPr>
          <w:rFonts w:ascii="Arial" w:cs="Arial" w:eastAsia="Arial" w:hAnsi="Arial"/>
          <w:sz w:val="13"/>
          <w:szCs w:val="13"/>
          <w:color w:val="auto"/>
        </w:rPr>
        <w:t xml:space="preserve">12.2 </w:t>
      </w:r>
      <w:r>
        <w:rPr>
          <w:rFonts w:ascii="Arial" w:cs="Arial" w:eastAsia="Arial" w:hAnsi="Arial"/>
          <w:sz w:val="13"/>
          <w:szCs w:val="13"/>
          <w:u w:val="single" w:color="auto"/>
          <w:color w:val="auto"/>
        </w:rPr>
        <w:t>Stop-Transfer Instructions</w:t>
      </w:r>
      <w:r>
        <w:rPr>
          <w:rFonts w:ascii="Arial" w:cs="Arial" w:eastAsia="Arial" w:hAnsi="Arial"/>
          <w:sz w:val="13"/>
          <w:szCs w:val="13"/>
          <w:color w:val="auto"/>
        </w:rPr>
        <w:t>. Purchaser agrees that, to ensure compliance with the restrictions imposed by this Exercise Agreement, the Company may issue appropriate “stop-transfer” instructions to its transfer agent, if any, and if the Company transfers its own securities, it may make appropriate notations to the same effect in its own records.</w:t>
      </w:r>
    </w:p>
    <w:p>
      <w:pPr>
        <w:spacing w:after="0" w:line="100" w:lineRule="exact"/>
        <w:rPr>
          <w:sz w:val="20"/>
          <w:szCs w:val="20"/>
          <w:color w:val="auto"/>
        </w:rPr>
      </w:pPr>
    </w:p>
    <w:p>
      <w:pPr>
        <w:ind w:right="160" w:firstLine="916"/>
        <w:spacing w:after="0" w:line="263" w:lineRule="auto"/>
        <w:rPr>
          <w:sz w:val="20"/>
          <w:szCs w:val="20"/>
          <w:color w:val="auto"/>
        </w:rPr>
      </w:pPr>
      <w:r>
        <w:rPr>
          <w:rFonts w:ascii="Arial" w:cs="Arial" w:eastAsia="Arial" w:hAnsi="Arial"/>
          <w:sz w:val="15"/>
          <w:szCs w:val="15"/>
          <w:color w:val="auto"/>
        </w:rPr>
        <w:t xml:space="preserve">12.3 </w:t>
      </w:r>
      <w:r>
        <w:rPr>
          <w:rFonts w:ascii="Arial" w:cs="Arial" w:eastAsia="Arial" w:hAnsi="Arial"/>
          <w:sz w:val="15"/>
          <w:szCs w:val="15"/>
          <w:u w:val="single" w:color="auto"/>
          <w:color w:val="auto"/>
        </w:rPr>
        <w:t>Refusal to Transfer</w:t>
      </w:r>
      <w:r>
        <w:rPr>
          <w:rFonts w:ascii="Arial" w:cs="Arial" w:eastAsia="Arial" w:hAnsi="Arial"/>
          <w:sz w:val="15"/>
          <w:szCs w:val="15"/>
          <w:color w:val="auto"/>
        </w:rPr>
        <w:t>. The Company will not be required (i) to transfer on its books any Shares that have been sold or otherwise transferred in violation of any of the provisions of this Exercise Agreement or (ii) to treat as owner of such Shares, or to accord the right to vote or pay dividends to any purchaser or other transferee to whom such Shares have been so transferred.</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9</w:t>
      </w:r>
    </w:p>
    <w:p>
      <w:pPr>
        <w:sectPr>
          <w:pgSz w:w="11900" w:h="16838" w:orient="portrait"/>
          <w:cols w:equalWidth="0" w:num="1">
            <w:col w:w="11420"/>
          </w:cols>
          <w:pgMar w:left="240" w:top="249" w:right="239" w:bottom="1440" w:gutter="0" w:footer="0" w:header="0"/>
        </w:sectPr>
      </w:pPr>
    </w:p>
    <w:bookmarkStart w:id="471" w:name="page472"/>
    <w:bookmarkEnd w:id="471"/>
    <w:p>
      <w:pPr>
        <w:ind w:right="20" w:firstLine="448"/>
        <w:spacing w:after="0" w:line="254" w:lineRule="auto"/>
        <w:tabs>
          <w:tab w:leader="none" w:pos="683" w:val="left"/>
        </w:tabs>
        <w:numPr>
          <w:ilvl w:val="0"/>
          <w:numId w:val="442"/>
        </w:numPr>
        <w:rPr>
          <w:rFonts w:ascii="Arial" w:cs="Arial" w:eastAsia="Arial" w:hAnsi="Arial"/>
          <w:sz w:val="15"/>
          <w:szCs w:val="15"/>
          <w:b w:val="1"/>
          <w:bCs w:val="1"/>
          <w:color w:val="auto"/>
        </w:rPr>
      </w:pPr>
      <w:r>
        <w:rPr>
          <w:rFonts w:ascii="Arial" w:cs="Arial" w:eastAsia="Arial" w:hAnsi="Arial"/>
          <w:sz w:val="15"/>
          <w:szCs w:val="15"/>
          <w:b w:val="1"/>
          <w:bCs w:val="1"/>
          <w:u w:val="single" w:color="auto"/>
          <w:color w:val="auto"/>
        </w:rPr>
        <w:drawing>
          <wp:anchor simplePos="0" relativeHeight="251657728" behindDoc="1" locked="0" layoutInCell="0" allowOverlap="1">
            <wp:simplePos x="0" y="0"/>
            <wp:positionH relativeFrom="page">
              <wp:posOffset>133350</wp:posOffset>
            </wp:positionH>
            <wp:positionV relativeFrom="page">
              <wp:posOffset>88900</wp:posOffset>
            </wp:positionV>
            <wp:extent cx="7308850" cy="34290"/>
            <wp:wrapNone/>
            <wp:docPr id="693" name="Picture 6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3"/>
                    <pic:cNvPicPr>
                      <a:picLocks noChangeAspect="1" noChangeArrowheads="1"/>
                    </pic:cNvPicPr>
                  </pic:nvPicPr>
                  <pic:blipFill>
                    <a:blip r:embed="rId730">
                      <a:extLst>
                        <a:ext uri="{28A0092B-C50C-407E-A947-70E740481C1C}"/>
                      </a:extLst>
                    </a:blip>
                    <a:srcRect/>
                    <a:stretch>
                      <a:fillRect/>
                    </a:stretch>
                  </pic:blipFill>
                  <pic:spPr bwMode="auto">
                    <a:xfrm>
                      <a:off x="0" y="0"/>
                      <a:ext cx="7308850" cy="34290"/>
                    </a:xfrm>
                    <a:prstGeom prst="rect">
                      <a:avLst/>
                    </a:prstGeom>
                    <a:noFill/>
                  </pic:spPr>
                </pic:pic>
              </a:graphicData>
            </a:graphic>
          </wp:anchor>
        </w:drawing>
        <w:t>Tax Consequences</w:t>
      </w:r>
      <w:r>
        <w:rPr>
          <w:rFonts w:ascii="Arial" w:cs="Arial" w:eastAsia="Arial" w:hAnsi="Arial"/>
          <w:sz w:val="15"/>
          <w:szCs w:val="15"/>
          <w:b w:val="1"/>
          <w:bCs w:val="1"/>
          <w:color w:val="auto"/>
        </w:rPr>
        <w:t xml:space="preserve">. </w:t>
      </w:r>
      <w:r>
        <w:rPr>
          <w:rFonts w:ascii="Arial" w:cs="Arial" w:eastAsia="Arial" w:hAnsi="Arial"/>
          <w:sz w:val="15"/>
          <w:szCs w:val="15"/>
          <w:i w:val="1"/>
          <w:iCs w:val="1"/>
          <w:color w:val="auto"/>
        </w:rPr>
        <w:t>PURCHASER UNDERSTANDS THAT PURCHASER MAY SUFFER ADVERSE TAX CONSEQUENCES AS A RESULT OF PURCHASER’S PURCHASE OR</w:t>
      </w:r>
      <w:r>
        <w:rPr>
          <w:rFonts w:ascii="Arial" w:cs="Arial" w:eastAsia="Arial" w:hAnsi="Arial"/>
          <w:sz w:val="15"/>
          <w:szCs w:val="15"/>
          <w:b w:val="1"/>
          <w:bCs w:val="1"/>
          <w:color w:val="auto"/>
        </w:rPr>
        <w:t xml:space="preserve"> </w:t>
      </w:r>
      <w:r>
        <w:rPr>
          <w:rFonts w:ascii="Arial" w:cs="Arial" w:eastAsia="Arial" w:hAnsi="Arial"/>
          <w:sz w:val="15"/>
          <w:szCs w:val="15"/>
          <w:i w:val="1"/>
          <w:iCs w:val="1"/>
          <w:color w:val="auto"/>
        </w:rPr>
        <w:t xml:space="preserve">DISPOSITION OF THE SHARES. PURCHASER REPRESENTS: (i) THAT PURCHASER HAS CONSULTED WITH ANY TAX ADVISER THAT PURCHASER DEEMS ADVISABLE IN CONNECTION WITH THE PURCHASE OR DISPOSITION OF THE SHARES AND (ii) THAT PURCHASER IS NOT RELYING ON THE COMPANY FOR ANY TAX ADVICE. IN PARTICULAR, IF UNVESTED SHARES ARE SUBJECT TO REPURCHASE BY THE COMPANY, PURCHASER REPRESENTS THAT PURCHASER HAS CONSULTED WITH PURCHASER’S OWN TAX ADVISER CONCERNING THE ADVISABILITY OF FILING AN 83(b) ELECTION WITH THE INTERNAL REVENUE SERVICE WHICH MUST BE FILED WITHIN THIRTY (30) DAYS OF THE PURCHASE OF SHARES TO BE EFFECTIVE. </w:t>
      </w:r>
      <w:r>
        <w:rPr>
          <w:rFonts w:ascii="Arial" w:cs="Arial" w:eastAsia="Arial" w:hAnsi="Arial"/>
          <w:sz w:val="15"/>
          <w:szCs w:val="15"/>
          <w:color w:val="auto"/>
        </w:rPr>
        <w:t>Set forth below is a brief summary as of the date the Plan was adopted by the Board of some of the</w:t>
      </w:r>
      <w:r>
        <w:rPr>
          <w:rFonts w:ascii="Arial" w:cs="Arial" w:eastAsia="Arial" w:hAnsi="Arial"/>
          <w:sz w:val="15"/>
          <w:szCs w:val="15"/>
          <w:i w:val="1"/>
          <w:iCs w:val="1"/>
          <w:color w:val="auto"/>
        </w:rPr>
        <w:t xml:space="preserve"> </w:t>
      </w:r>
      <w:r>
        <w:rPr>
          <w:rFonts w:ascii="Arial" w:cs="Arial" w:eastAsia="Arial" w:hAnsi="Arial"/>
          <w:sz w:val="15"/>
          <w:szCs w:val="15"/>
          <w:color w:val="auto"/>
        </w:rPr>
        <w:t xml:space="preserve">U.S. Federal and California tax consequences of exercise of the Option and disposition of the Shares. </w:t>
      </w:r>
      <w:r>
        <w:rPr>
          <w:rFonts w:ascii="Arial" w:cs="Arial" w:eastAsia="Arial" w:hAnsi="Arial"/>
          <w:sz w:val="15"/>
          <w:szCs w:val="15"/>
          <w:i w:val="1"/>
          <w:iCs w:val="1"/>
          <w:color w:val="auto"/>
        </w:rPr>
        <w:t>THIS SUMMARY IS NECESSARILY INCOMPLETE, AND THE TAX LAWS AND</w:t>
      </w:r>
      <w:r>
        <w:rPr>
          <w:rFonts w:ascii="Arial" w:cs="Arial" w:eastAsia="Arial" w:hAnsi="Arial"/>
          <w:sz w:val="15"/>
          <w:szCs w:val="15"/>
          <w:color w:val="auto"/>
        </w:rPr>
        <w:t xml:space="preserve"> </w:t>
      </w:r>
      <w:r>
        <w:rPr>
          <w:rFonts w:ascii="Arial" w:cs="Arial" w:eastAsia="Arial" w:hAnsi="Arial"/>
          <w:sz w:val="15"/>
          <w:szCs w:val="15"/>
          <w:i w:val="1"/>
          <w:iCs w:val="1"/>
          <w:color w:val="auto"/>
        </w:rPr>
        <w:t>REGULATIONS ARE SUBJECT TO CHANGE. PURCHASER SHOULD CONSULT HIS OR HER OWN TAX ADVISER BEFORE EXERCISING THIS OPTION OR DISPOSING OF THE SHARES</w:t>
      </w:r>
      <w:r>
        <w:rPr>
          <w:rFonts w:ascii="Arial" w:cs="Arial" w:eastAsia="Arial" w:hAnsi="Arial"/>
          <w:sz w:val="15"/>
          <w:szCs w:val="15"/>
          <w:color w:val="auto"/>
        </w:rPr>
        <w:t>.</w:t>
      </w:r>
    </w:p>
    <w:p>
      <w:pPr>
        <w:spacing w:after="0" w:line="166" w:lineRule="exact"/>
        <w:rPr>
          <w:sz w:val="20"/>
          <w:szCs w:val="20"/>
          <w:color w:val="auto"/>
        </w:rPr>
      </w:pPr>
    </w:p>
    <w:p>
      <w:pPr>
        <w:ind w:right="20" w:firstLine="916"/>
        <w:spacing w:after="0" w:line="263" w:lineRule="auto"/>
        <w:rPr>
          <w:sz w:val="20"/>
          <w:szCs w:val="20"/>
          <w:color w:val="auto"/>
        </w:rPr>
      </w:pPr>
      <w:r>
        <w:rPr>
          <w:rFonts w:ascii="Arial" w:cs="Arial" w:eastAsia="Arial" w:hAnsi="Arial"/>
          <w:sz w:val="15"/>
          <w:szCs w:val="15"/>
          <w:color w:val="auto"/>
        </w:rPr>
        <w:t xml:space="preserve">13.1 </w:t>
      </w:r>
      <w:r>
        <w:rPr>
          <w:rFonts w:ascii="Arial" w:cs="Arial" w:eastAsia="Arial" w:hAnsi="Arial"/>
          <w:sz w:val="15"/>
          <w:szCs w:val="15"/>
          <w:u w:val="single" w:color="auto"/>
          <w:color w:val="auto"/>
        </w:rPr>
        <w:t>Exercise of Incentive Stock Option</w:t>
      </w:r>
      <w:r>
        <w:rPr>
          <w:rFonts w:ascii="Arial" w:cs="Arial" w:eastAsia="Arial" w:hAnsi="Arial"/>
          <w:sz w:val="15"/>
          <w:szCs w:val="15"/>
          <w:color w:val="auto"/>
        </w:rPr>
        <w:t>. If the Option qualifies as an ISO, there will be no regular U.S. Federal income tax liability or California income tax liability upon the exercise of the Option, although the excess, if any, of the Fair Market Value of the Shares on the date of exercise over the Exercise Price will be treated as a tax preference item for U.S. Federal alternative minimum tax purposes and may subject Purchaser to the alternative minimum tax in the year of exercise.</w:t>
      </w:r>
    </w:p>
    <w:p>
      <w:pPr>
        <w:spacing w:after="0" w:line="155" w:lineRule="exact"/>
        <w:rPr>
          <w:sz w:val="20"/>
          <w:szCs w:val="20"/>
          <w:color w:val="auto"/>
        </w:rPr>
      </w:pPr>
    </w:p>
    <w:p>
      <w:pPr>
        <w:ind w:right="120" w:firstLine="916"/>
        <w:spacing w:after="0" w:line="283" w:lineRule="auto"/>
        <w:rPr>
          <w:sz w:val="20"/>
          <w:szCs w:val="20"/>
          <w:color w:val="auto"/>
        </w:rPr>
      </w:pPr>
      <w:r>
        <w:rPr>
          <w:rFonts w:ascii="Arial" w:cs="Arial" w:eastAsia="Arial" w:hAnsi="Arial"/>
          <w:sz w:val="14"/>
          <w:szCs w:val="14"/>
          <w:color w:val="auto"/>
        </w:rPr>
        <w:t xml:space="preserve">13.2 </w:t>
      </w:r>
      <w:r>
        <w:rPr>
          <w:rFonts w:ascii="Arial" w:cs="Arial" w:eastAsia="Arial" w:hAnsi="Arial"/>
          <w:sz w:val="14"/>
          <w:szCs w:val="14"/>
          <w:u w:val="single" w:color="auto"/>
          <w:color w:val="auto"/>
        </w:rPr>
        <w:t>Exercise of Nonqualified Stock Option</w:t>
      </w:r>
      <w:r>
        <w:rPr>
          <w:rFonts w:ascii="Arial" w:cs="Arial" w:eastAsia="Arial" w:hAnsi="Arial"/>
          <w:sz w:val="14"/>
          <w:szCs w:val="14"/>
          <w:color w:val="auto"/>
        </w:rPr>
        <w:t>. If the Option does not qualify as an ISO, there may be a regular U.S. Federal income tax liability and a California income tax liability upon the exercise of the Option. Purchaser will be treated as having received compensation income (taxable at ordinary income tax rates) equal to the excess, if any, of the Fair Market Value of the Shares on the date of exercise over the Exercise Price. If Purchaser is or was an employee of the Company, the Company may be required to withhold from Purchaser’s compensation or collect from Purchaser and pay to the applicable taxing authorities an amount equal to a percentage of this compensation income at the time of exercise.</w:t>
      </w:r>
    </w:p>
    <w:p>
      <w:pPr>
        <w:spacing w:after="0" w:line="143" w:lineRule="exact"/>
        <w:rPr>
          <w:sz w:val="20"/>
          <w:szCs w:val="20"/>
          <w:color w:val="auto"/>
        </w:rPr>
      </w:pPr>
    </w:p>
    <w:p>
      <w:pPr>
        <w:ind w:left="900"/>
        <w:spacing w:after="0"/>
        <w:rPr>
          <w:sz w:val="20"/>
          <w:szCs w:val="20"/>
          <w:color w:val="auto"/>
        </w:rPr>
      </w:pPr>
      <w:r>
        <w:rPr>
          <w:rFonts w:ascii="Arial" w:cs="Arial" w:eastAsia="Arial" w:hAnsi="Arial"/>
          <w:sz w:val="15"/>
          <w:szCs w:val="15"/>
          <w:color w:val="auto"/>
        </w:rPr>
        <w:t xml:space="preserve">13.3 </w:t>
      </w:r>
      <w:r>
        <w:rPr>
          <w:rFonts w:ascii="Arial" w:cs="Arial" w:eastAsia="Arial" w:hAnsi="Arial"/>
          <w:sz w:val="15"/>
          <w:szCs w:val="15"/>
          <w:u w:val="single" w:color="auto"/>
          <w:color w:val="auto"/>
        </w:rPr>
        <w:t>Disposition of Shares</w:t>
      </w:r>
      <w:r>
        <w:rPr>
          <w:rFonts w:ascii="Arial" w:cs="Arial" w:eastAsia="Arial" w:hAnsi="Arial"/>
          <w:sz w:val="15"/>
          <w:szCs w:val="15"/>
          <w:color w:val="auto"/>
        </w:rPr>
        <w:t>. The following tax consequences may apply upon disposition of the Shares.</w:t>
      </w:r>
    </w:p>
    <w:p>
      <w:pPr>
        <w:spacing w:after="0" w:line="188" w:lineRule="exact"/>
        <w:rPr>
          <w:sz w:val="20"/>
          <w:szCs w:val="20"/>
          <w:color w:val="auto"/>
        </w:rPr>
      </w:pPr>
    </w:p>
    <w:p>
      <w:pPr>
        <w:ind w:firstLine="1478"/>
        <w:spacing w:after="0" w:line="277" w:lineRule="auto"/>
        <w:tabs>
          <w:tab w:leader="none" w:pos="1692" w:val="left"/>
        </w:tabs>
        <w:numPr>
          <w:ilvl w:val="0"/>
          <w:numId w:val="443"/>
        </w:numPr>
        <w:rPr>
          <w:rFonts w:ascii="Arial" w:cs="Arial" w:eastAsia="Arial" w:hAnsi="Arial"/>
          <w:sz w:val="14"/>
          <w:szCs w:val="14"/>
          <w:color w:val="auto"/>
        </w:rPr>
      </w:pPr>
      <w:r>
        <w:rPr>
          <w:rFonts w:ascii="Arial" w:cs="Arial" w:eastAsia="Arial" w:hAnsi="Arial"/>
          <w:sz w:val="14"/>
          <w:szCs w:val="14"/>
          <w:u w:val="single" w:color="auto"/>
          <w:color w:val="auto"/>
        </w:rPr>
        <w:t>Incentive Stock Options</w:t>
      </w:r>
      <w:r>
        <w:rPr>
          <w:rFonts w:ascii="Arial" w:cs="Arial" w:eastAsia="Arial" w:hAnsi="Arial"/>
          <w:sz w:val="14"/>
          <w:szCs w:val="14"/>
          <w:color w:val="auto"/>
        </w:rPr>
        <w:t xml:space="preserve">. If the Shares are held for more than twelve (12) months after the date of purchase of the Shares pursuant to the exercise of an ISO and are disposed of more than two (2) years after the Date of Grant, any gain realized on disposition of the Shares will be treated as long term capital gain for federal and California income tax purposes. If Vested Shares purchased under an ISO are disposed of within the applicable one (1) year or two (2) year period, any gain realized on such disposition will be treated as compensation income (taxable at ordinary income rates in the year of the disposition) to the extent of the excess, if any, of the Fair Market Value of the Shares on the date of exercise over the Exercise Price. To the extent the Shares were exercised prior to vesting coincident with the filing of an 83(b) Election, the amount taxed because of a disqualifying disposition will be based upon the excess, if any, of the fair market value on the date of </w:t>
      </w:r>
      <w:r>
        <w:rPr>
          <w:rFonts w:ascii="Arial" w:cs="Arial" w:eastAsia="Arial" w:hAnsi="Arial"/>
          <w:sz w:val="14"/>
          <w:szCs w:val="14"/>
          <w:u w:val="single" w:color="auto"/>
          <w:color w:val="auto"/>
        </w:rPr>
        <w:t>vesting</w:t>
      </w:r>
      <w:r>
        <w:rPr>
          <w:rFonts w:ascii="Arial" w:cs="Arial" w:eastAsia="Arial" w:hAnsi="Arial"/>
          <w:sz w:val="14"/>
          <w:szCs w:val="14"/>
          <w:color w:val="auto"/>
        </w:rPr>
        <w:t xml:space="preserve"> over the exercise price.</w:t>
      </w:r>
    </w:p>
    <w:p>
      <w:pPr>
        <w:spacing w:after="0" w:line="92"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10</w:t>
      </w:r>
    </w:p>
    <w:p>
      <w:pPr>
        <w:sectPr>
          <w:pgSz w:w="11900" w:h="16838" w:orient="portrait"/>
          <w:cols w:equalWidth="0" w:num="1">
            <w:col w:w="11420"/>
          </w:cols>
          <w:pgMar w:left="240" w:top="249" w:right="239" w:bottom="1440" w:gutter="0" w:footer="0" w:header="0"/>
        </w:sectPr>
      </w:pPr>
    </w:p>
    <w:bookmarkStart w:id="472" w:name="page473"/>
    <w:bookmarkEnd w:id="472"/>
    <w:p>
      <w:pPr>
        <w:ind w:left="10" w:right="260" w:firstLine="1478"/>
        <w:spacing w:after="0" w:line="275" w:lineRule="auto"/>
        <w:tabs>
          <w:tab w:leader="none" w:pos="1711" w:val="left"/>
        </w:tabs>
        <w:numPr>
          <w:ilvl w:val="0"/>
          <w:numId w:val="444"/>
        </w:numPr>
        <w:rPr>
          <w:rFonts w:ascii="Arial" w:cs="Arial" w:eastAsia="Arial" w:hAnsi="Arial"/>
          <w:sz w:val="15"/>
          <w:szCs w:val="15"/>
          <w:color w:val="auto"/>
        </w:rPr>
      </w:pPr>
      <w:r>
        <w:rPr>
          <w:rFonts w:ascii="Arial" w:cs="Arial" w:eastAsia="Arial" w:hAnsi="Arial"/>
          <w:sz w:val="15"/>
          <w:szCs w:val="15"/>
          <w:u w:val="single" w:color="auto"/>
          <w:color w:val="auto"/>
        </w:rPr>
        <w:drawing>
          <wp:anchor simplePos="0" relativeHeight="251657728" behindDoc="1" locked="0" layoutInCell="0" allowOverlap="1">
            <wp:simplePos x="0" y="0"/>
            <wp:positionH relativeFrom="page">
              <wp:posOffset>133350</wp:posOffset>
            </wp:positionH>
            <wp:positionV relativeFrom="page">
              <wp:posOffset>88900</wp:posOffset>
            </wp:positionV>
            <wp:extent cx="7308850" cy="34290"/>
            <wp:wrapNone/>
            <wp:docPr id="694" name="Picture 6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4"/>
                    <pic:cNvPicPr>
                      <a:picLocks noChangeAspect="1" noChangeArrowheads="1"/>
                    </pic:cNvPicPr>
                  </pic:nvPicPr>
                  <pic:blipFill>
                    <a:blip r:embed="rId731">
                      <a:extLst>
                        <a:ext uri="{28A0092B-C50C-407E-A947-70E740481C1C}"/>
                      </a:extLst>
                    </a:blip>
                    <a:srcRect/>
                    <a:stretch>
                      <a:fillRect/>
                    </a:stretch>
                  </pic:blipFill>
                  <pic:spPr bwMode="auto">
                    <a:xfrm>
                      <a:off x="0" y="0"/>
                      <a:ext cx="7308850" cy="34290"/>
                    </a:xfrm>
                    <a:prstGeom prst="rect">
                      <a:avLst/>
                    </a:prstGeom>
                    <a:noFill/>
                  </pic:spPr>
                </pic:pic>
              </a:graphicData>
            </a:graphic>
          </wp:anchor>
        </w:drawing>
        <w:t>Nonqualified Stock Options</w:t>
      </w:r>
      <w:r>
        <w:rPr>
          <w:rFonts w:ascii="Arial" w:cs="Arial" w:eastAsia="Arial" w:hAnsi="Arial"/>
          <w:sz w:val="15"/>
          <w:szCs w:val="15"/>
          <w:color w:val="auto"/>
        </w:rPr>
        <w:t>. If the Shares are held for more than twelve (12) months after the date of the transfer of the Shares pursuant to the exercise of an NQSO, any gain realized on disposition of the Shares will be treated as long term capital gain.</w:t>
      </w:r>
    </w:p>
    <w:p>
      <w:pPr>
        <w:spacing w:after="0" w:line="146" w:lineRule="exact"/>
        <w:rPr>
          <w:rFonts w:ascii="Arial" w:cs="Arial" w:eastAsia="Arial" w:hAnsi="Arial"/>
          <w:sz w:val="15"/>
          <w:szCs w:val="15"/>
          <w:color w:val="auto"/>
        </w:rPr>
      </w:pPr>
    </w:p>
    <w:p>
      <w:pPr>
        <w:ind w:left="10" w:right="380" w:firstLine="1478"/>
        <w:spacing w:after="0" w:line="275" w:lineRule="auto"/>
        <w:tabs>
          <w:tab w:leader="none" w:pos="1702" w:val="left"/>
        </w:tabs>
        <w:numPr>
          <w:ilvl w:val="0"/>
          <w:numId w:val="444"/>
        </w:numPr>
        <w:rPr>
          <w:rFonts w:ascii="Arial" w:cs="Arial" w:eastAsia="Arial" w:hAnsi="Arial"/>
          <w:sz w:val="15"/>
          <w:szCs w:val="15"/>
          <w:color w:val="auto"/>
        </w:rPr>
      </w:pPr>
      <w:r>
        <w:rPr>
          <w:rFonts w:ascii="Arial" w:cs="Arial" w:eastAsia="Arial" w:hAnsi="Arial"/>
          <w:sz w:val="15"/>
          <w:szCs w:val="15"/>
          <w:u w:val="single" w:color="auto"/>
          <w:color w:val="auto"/>
        </w:rPr>
        <w:t>Withholding</w:t>
      </w:r>
      <w:r>
        <w:rPr>
          <w:rFonts w:ascii="Arial" w:cs="Arial" w:eastAsia="Arial" w:hAnsi="Arial"/>
          <w:sz w:val="15"/>
          <w:szCs w:val="15"/>
          <w:color w:val="auto"/>
        </w:rPr>
        <w:t>. The Company may be required to withhold from the Purchaser’s compensation or collect from the Purchaser and pay to the applicable taxing authorities an amount equal to a percentage of this compensation income.</w:t>
      </w:r>
    </w:p>
    <w:p>
      <w:pPr>
        <w:spacing w:after="0" w:line="146" w:lineRule="exact"/>
        <w:rPr>
          <w:sz w:val="20"/>
          <w:szCs w:val="20"/>
          <w:color w:val="auto"/>
        </w:rPr>
      </w:pPr>
    </w:p>
    <w:p>
      <w:pPr>
        <w:ind w:left="10" w:right="20" w:firstLine="916"/>
        <w:spacing w:after="0" w:line="255" w:lineRule="auto"/>
        <w:rPr>
          <w:sz w:val="20"/>
          <w:szCs w:val="20"/>
          <w:color w:val="auto"/>
        </w:rPr>
      </w:pPr>
      <w:r>
        <w:rPr>
          <w:rFonts w:ascii="Arial" w:cs="Arial" w:eastAsia="Arial" w:hAnsi="Arial"/>
          <w:sz w:val="15"/>
          <w:szCs w:val="15"/>
          <w:color w:val="auto"/>
        </w:rPr>
        <w:t xml:space="preserve">13.4 </w:t>
      </w:r>
      <w:r>
        <w:rPr>
          <w:rFonts w:ascii="Arial" w:cs="Arial" w:eastAsia="Arial" w:hAnsi="Arial"/>
          <w:sz w:val="15"/>
          <w:szCs w:val="15"/>
          <w:u w:val="single" w:color="auto"/>
          <w:color w:val="auto"/>
        </w:rPr>
        <w:t>Section 83(b) Election for Unvested Shares</w:t>
      </w:r>
      <w:r>
        <w:rPr>
          <w:rFonts w:ascii="Arial" w:cs="Arial" w:eastAsia="Arial" w:hAnsi="Arial"/>
          <w:sz w:val="15"/>
          <w:szCs w:val="15"/>
          <w:color w:val="auto"/>
        </w:rPr>
        <w:t xml:space="preserve">. With respect to Unvested Shares, which are subject to the Repurchase Option, unless an election is filed by the Purchaser with the Internal Revenue Service (and, if necessary, the proper state taxing authorities), </w:t>
      </w:r>
      <w:r>
        <w:rPr>
          <w:rFonts w:ascii="Arial" w:cs="Arial" w:eastAsia="Arial" w:hAnsi="Arial"/>
          <w:sz w:val="15"/>
          <w:szCs w:val="15"/>
          <w:b w:val="1"/>
          <w:bCs w:val="1"/>
          <w:u w:val="single" w:color="auto"/>
          <w:color w:val="auto"/>
        </w:rPr>
        <w:t>within 30 days of the purchase</w:t>
      </w:r>
      <w:r>
        <w:rPr>
          <w:rFonts w:ascii="Arial" w:cs="Arial" w:eastAsia="Arial" w:hAnsi="Arial"/>
          <w:sz w:val="15"/>
          <w:szCs w:val="15"/>
          <w:color w:val="auto"/>
        </w:rPr>
        <w:t xml:space="preserve"> of the Unvested Shares, electing pursuant to Section 83(b) of the Code (and similar state tax provisions, if applicable) to be taxed currently on any difference between the Exercise Price of the Unvested Shares and their Fair Market Value on the date of purchase, there may be a recognition of taxable income (including, where applicable, alternative minimum taxable income) to the Purchaser, measured by the excess, if any, of the Fair Market Value of the Unvested Shares at the time they cease to be Unvested Shares, over the Exercise Price of the Unvested Shares. A form of Election under Section 83(b) is attached hereto as </w:t>
      </w:r>
      <w:r>
        <w:rPr>
          <w:rFonts w:ascii="Arial" w:cs="Arial" w:eastAsia="Arial" w:hAnsi="Arial"/>
          <w:sz w:val="15"/>
          <w:szCs w:val="15"/>
          <w:u w:val="single" w:color="auto"/>
          <w:color w:val="auto"/>
        </w:rPr>
        <w:t>Exhibit 3</w:t>
      </w:r>
      <w:r>
        <w:rPr>
          <w:rFonts w:ascii="Arial" w:cs="Arial" w:eastAsia="Arial" w:hAnsi="Arial"/>
          <w:sz w:val="15"/>
          <w:szCs w:val="15"/>
          <w:color w:val="auto"/>
        </w:rPr>
        <w:t xml:space="preserve"> for reference.</w:t>
      </w:r>
    </w:p>
    <w:p>
      <w:pPr>
        <w:spacing w:after="0" w:line="160" w:lineRule="exact"/>
        <w:rPr>
          <w:sz w:val="20"/>
          <w:szCs w:val="20"/>
          <w:color w:val="auto"/>
        </w:rPr>
      </w:pPr>
    </w:p>
    <w:p>
      <w:pPr>
        <w:ind w:left="10" w:right="40" w:firstLine="448"/>
        <w:spacing w:after="0" w:line="266" w:lineRule="auto"/>
        <w:tabs>
          <w:tab w:leader="none" w:pos="693" w:val="left"/>
        </w:tabs>
        <w:numPr>
          <w:ilvl w:val="1"/>
          <w:numId w:val="445"/>
        </w:numPr>
        <w:rPr>
          <w:rFonts w:ascii="Arial" w:cs="Arial" w:eastAsia="Arial" w:hAnsi="Arial"/>
          <w:sz w:val="15"/>
          <w:szCs w:val="15"/>
          <w:b w:val="1"/>
          <w:bCs w:val="1"/>
          <w:color w:val="auto"/>
        </w:rPr>
      </w:pPr>
      <w:r>
        <w:rPr>
          <w:rFonts w:ascii="Arial" w:cs="Arial" w:eastAsia="Arial" w:hAnsi="Arial"/>
          <w:sz w:val="15"/>
          <w:szCs w:val="15"/>
          <w:b w:val="1"/>
          <w:bCs w:val="1"/>
          <w:u w:val="single" w:color="auto"/>
          <w:color w:val="auto"/>
        </w:rPr>
        <w:t>Compliance with Laws and Regulations</w:t>
      </w:r>
      <w:r>
        <w:rPr>
          <w:rFonts w:ascii="Arial" w:cs="Arial" w:eastAsia="Arial" w:hAnsi="Arial"/>
          <w:sz w:val="15"/>
          <w:szCs w:val="15"/>
          <w:b w:val="1"/>
          <w:bCs w:val="1"/>
          <w:color w:val="auto"/>
        </w:rPr>
        <w:t xml:space="preserve">. </w:t>
      </w:r>
      <w:r>
        <w:rPr>
          <w:rFonts w:ascii="Arial" w:cs="Arial" w:eastAsia="Arial" w:hAnsi="Arial"/>
          <w:sz w:val="15"/>
          <w:szCs w:val="15"/>
          <w:color w:val="auto"/>
        </w:rPr>
        <w:t>The issuance and transfer of the Shares will be subject to and conditioned upon compliance by the Company and Purchaser with all</w:t>
      </w:r>
      <w:r>
        <w:rPr>
          <w:rFonts w:ascii="Arial" w:cs="Arial" w:eastAsia="Arial" w:hAnsi="Arial"/>
          <w:sz w:val="15"/>
          <w:szCs w:val="15"/>
          <w:b w:val="1"/>
          <w:bCs w:val="1"/>
          <w:color w:val="auto"/>
        </w:rPr>
        <w:t xml:space="preserve"> </w:t>
      </w:r>
      <w:r>
        <w:rPr>
          <w:rFonts w:ascii="Arial" w:cs="Arial" w:eastAsia="Arial" w:hAnsi="Arial"/>
          <w:sz w:val="15"/>
          <w:szCs w:val="15"/>
          <w:color w:val="auto"/>
        </w:rPr>
        <w:t>applicable state and U.S. Federal laws and regulations and with all applicable requirements of any stock exchange or automated quotation system on which the Company’s securities may be listed or quoted at the time of such issuance or transfer.</w:t>
      </w:r>
    </w:p>
    <w:p>
      <w:pPr>
        <w:spacing w:after="0" w:line="148" w:lineRule="exact"/>
        <w:rPr>
          <w:rFonts w:ascii="Arial" w:cs="Arial" w:eastAsia="Arial" w:hAnsi="Arial"/>
          <w:sz w:val="15"/>
          <w:szCs w:val="15"/>
          <w:b w:val="1"/>
          <w:bCs w:val="1"/>
          <w:color w:val="auto"/>
        </w:rPr>
      </w:pPr>
    </w:p>
    <w:p>
      <w:pPr>
        <w:jc w:val="both"/>
        <w:ind w:left="10" w:right="40" w:firstLine="448"/>
        <w:spacing w:after="0" w:line="296" w:lineRule="auto"/>
        <w:tabs>
          <w:tab w:leader="none" w:pos="693" w:val="left"/>
        </w:tabs>
        <w:numPr>
          <w:ilvl w:val="1"/>
          <w:numId w:val="445"/>
        </w:numPr>
        <w:rPr>
          <w:rFonts w:ascii="Arial" w:cs="Arial" w:eastAsia="Arial" w:hAnsi="Arial"/>
          <w:sz w:val="13"/>
          <w:szCs w:val="13"/>
          <w:b w:val="1"/>
          <w:bCs w:val="1"/>
          <w:color w:val="auto"/>
        </w:rPr>
      </w:pPr>
      <w:r>
        <w:rPr>
          <w:rFonts w:ascii="Arial" w:cs="Arial" w:eastAsia="Arial" w:hAnsi="Arial"/>
          <w:sz w:val="13"/>
          <w:szCs w:val="13"/>
          <w:b w:val="1"/>
          <w:bCs w:val="1"/>
          <w:u w:val="single" w:color="auto"/>
          <w:color w:val="auto"/>
        </w:rPr>
        <w:t>Successors and Assigns</w:t>
      </w:r>
      <w:r>
        <w:rPr>
          <w:rFonts w:ascii="Arial" w:cs="Arial" w:eastAsia="Arial" w:hAnsi="Arial"/>
          <w:sz w:val="13"/>
          <w:szCs w:val="13"/>
          <w:b w:val="1"/>
          <w:bCs w:val="1"/>
          <w:color w:val="auto"/>
        </w:rPr>
        <w:t xml:space="preserve">. </w:t>
      </w:r>
      <w:r>
        <w:rPr>
          <w:rFonts w:ascii="Arial" w:cs="Arial" w:eastAsia="Arial" w:hAnsi="Arial"/>
          <w:sz w:val="13"/>
          <w:szCs w:val="13"/>
          <w:color w:val="auto"/>
        </w:rPr>
        <w:t>The Company may assign any of its rights and obligations under this Exercise Agreement, including its rights to purchase Shares under the Repurchase</w:t>
      </w:r>
      <w:r>
        <w:rPr>
          <w:rFonts w:ascii="Arial" w:cs="Arial" w:eastAsia="Arial" w:hAnsi="Arial"/>
          <w:sz w:val="13"/>
          <w:szCs w:val="13"/>
          <w:b w:val="1"/>
          <w:bCs w:val="1"/>
          <w:color w:val="auto"/>
        </w:rPr>
        <w:t xml:space="preserve"> </w:t>
      </w:r>
      <w:r>
        <w:rPr>
          <w:rFonts w:ascii="Arial" w:cs="Arial" w:eastAsia="Arial" w:hAnsi="Arial"/>
          <w:sz w:val="13"/>
          <w:szCs w:val="13"/>
          <w:color w:val="auto"/>
        </w:rPr>
        <w:t>Option and the Right of First Refusal. No other party to this Exercise Agreement may assign, whether voluntarily or by operation of law, any of its rights and obligations under this Exercise Agreement, except with the prior written consent of the Company. This Exercise Agreement shall be binding upon and inure to the benefit of the successors and assigns of the Company.</w:t>
      </w:r>
    </w:p>
    <w:p>
      <w:pPr>
        <w:spacing w:after="0" w:line="1" w:lineRule="exact"/>
        <w:rPr>
          <w:rFonts w:ascii="Arial" w:cs="Arial" w:eastAsia="Arial" w:hAnsi="Arial"/>
          <w:sz w:val="13"/>
          <w:szCs w:val="13"/>
          <w:b w:val="1"/>
          <w:bCs w:val="1"/>
          <w:color w:val="auto"/>
        </w:rPr>
      </w:pPr>
    </w:p>
    <w:p>
      <w:pPr>
        <w:ind w:left="10" w:right="500"/>
        <w:spacing w:after="0" w:line="262" w:lineRule="auto"/>
        <w:rPr>
          <w:rFonts w:ascii="Arial" w:cs="Arial" w:eastAsia="Arial" w:hAnsi="Arial"/>
          <w:sz w:val="13"/>
          <w:szCs w:val="13"/>
          <w:b w:val="1"/>
          <w:bCs w:val="1"/>
          <w:color w:val="auto"/>
        </w:rPr>
      </w:pPr>
      <w:r>
        <w:rPr>
          <w:rFonts w:ascii="Arial" w:cs="Arial" w:eastAsia="Arial" w:hAnsi="Arial"/>
          <w:sz w:val="15"/>
          <w:szCs w:val="15"/>
          <w:color w:val="auto"/>
        </w:rPr>
        <w:t>Subject to the restrictions on transfer herein set forth, this Exercise Agreement will be binding upon Purchaser and Purchaser’s heirs, executors, administrators, legal representatives, successors and assigns.</w:t>
      </w:r>
    </w:p>
    <w:p>
      <w:pPr>
        <w:spacing w:after="0" w:line="151" w:lineRule="exact"/>
        <w:rPr>
          <w:rFonts w:ascii="Arial" w:cs="Arial" w:eastAsia="Arial" w:hAnsi="Arial"/>
          <w:sz w:val="13"/>
          <w:szCs w:val="13"/>
          <w:b w:val="1"/>
          <w:bCs w:val="1"/>
          <w:color w:val="auto"/>
        </w:rPr>
      </w:pPr>
    </w:p>
    <w:p>
      <w:pPr>
        <w:ind w:left="10" w:right="140" w:firstLine="448"/>
        <w:spacing w:after="0" w:line="280" w:lineRule="auto"/>
        <w:tabs>
          <w:tab w:leader="none" w:pos="693" w:val="left"/>
        </w:tabs>
        <w:numPr>
          <w:ilvl w:val="1"/>
          <w:numId w:val="445"/>
        </w:numPr>
        <w:rPr>
          <w:rFonts w:ascii="Arial" w:cs="Arial" w:eastAsia="Arial" w:hAnsi="Arial"/>
          <w:sz w:val="15"/>
          <w:szCs w:val="15"/>
          <w:b w:val="1"/>
          <w:bCs w:val="1"/>
          <w:color w:val="auto"/>
        </w:rPr>
      </w:pPr>
      <w:r>
        <w:rPr>
          <w:rFonts w:ascii="Arial" w:cs="Arial" w:eastAsia="Arial" w:hAnsi="Arial"/>
          <w:sz w:val="15"/>
          <w:szCs w:val="15"/>
          <w:b w:val="1"/>
          <w:bCs w:val="1"/>
          <w:u w:val="single" w:color="auto"/>
          <w:color w:val="auto"/>
        </w:rPr>
        <w:t>Governing Law</w:t>
      </w:r>
      <w:r>
        <w:rPr>
          <w:rFonts w:ascii="Arial" w:cs="Arial" w:eastAsia="Arial" w:hAnsi="Arial"/>
          <w:sz w:val="15"/>
          <w:szCs w:val="15"/>
          <w:b w:val="1"/>
          <w:bCs w:val="1"/>
          <w:color w:val="auto"/>
        </w:rPr>
        <w:t xml:space="preserve">. </w:t>
      </w:r>
      <w:r>
        <w:rPr>
          <w:rFonts w:ascii="Arial" w:cs="Arial" w:eastAsia="Arial" w:hAnsi="Arial"/>
          <w:sz w:val="15"/>
          <w:szCs w:val="15"/>
          <w:color w:val="auto"/>
        </w:rPr>
        <w:t>This Exercise Agreement shall be governed by and construed in accordance with the laws of the State of California, without giving effect to that body of laws</w:t>
      </w:r>
      <w:r>
        <w:rPr>
          <w:rFonts w:ascii="Arial" w:cs="Arial" w:eastAsia="Arial" w:hAnsi="Arial"/>
          <w:sz w:val="15"/>
          <w:szCs w:val="15"/>
          <w:b w:val="1"/>
          <w:bCs w:val="1"/>
          <w:color w:val="auto"/>
        </w:rPr>
        <w:t xml:space="preserve"> </w:t>
      </w:r>
      <w:r>
        <w:rPr>
          <w:rFonts w:ascii="Arial" w:cs="Arial" w:eastAsia="Arial" w:hAnsi="Arial"/>
          <w:sz w:val="15"/>
          <w:szCs w:val="15"/>
          <w:color w:val="auto"/>
        </w:rPr>
        <w:t>pertaining to conflict of laws.</w:t>
      </w:r>
    </w:p>
    <w:p>
      <w:pPr>
        <w:spacing w:after="0" w:line="138" w:lineRule="exact"/>
        <w:rPr>
          <w:rFonts w:ascii="Arial" w:cs="Arial" w:eastAsia="Arial" w:hAnsi="Arial"/>
          <w:sz w:val="15"/>
          <w:szCs w:val="15"/>
          <w:b w:val="1"/>
          <w:bCs w:val="1"/>
          <w:color w:val="auto"/>
        </w:rPr>
      </w:pPr>
    </w:p>
    <w:p>
      <w:pPr>
        <w:ind w:left="10" w:firstLine="448"/>
        <w:spacing w:after="0" w:line="295" w:lineRule="auto"/>
        <w:tabs>
          <w:tab w:leader="none" w:pos="693" w:val="left"/>
        </w:tabs>
        <w:numPr>
          <w:ilvl w:val="1"/>
          <w:numId w:val="445"/>
        </w:numPr>
        <w:rPr>
          <w:rFonts w:ascii="Arial" w:cs="Arial" w:eastAsia="Arial" w:hAnsi="Arial"/>
          <w:sz w:val="13"/>
          <w:szCs w:val="13"/>
          <w:b w:val="1"/>
          <w:bCs w:val="1"/>
          <w:color w:val="auto"/>
        </w:rPr>
      </w:pPr>
      <w:r>
        <w:rPr>
          <w:rFonts w:ascii="Arial" w:cs="Arial" w:eastAsia="Arial" w:hAnsi="Arial"/>
          <w:sz w:val="13"/>
          <w:szCs w:val="13"/>
          <w:b w:val="1"/>
          <w:bCs w:val="1"/>
          <w:u w:val="single" w:color="auto"/>
          <w:color w:val="auto"/>
        </w:rPr>
        <w:t>Notices</w:t>
      </w:r>
      <w:r>
        <w:rPr>
          <w:rFonts w:ascii="Arial" w:cs="Arial" w:eastAsia="Arial" w:hAnsi="Arial"/>
          <w:sz w:val="13"/>
          <w:szCs w:val="13"/>
          <w:b w:val="1"/>
          <w:bCs w:val="1"/>
          <w:color w:val="auto"/>
        </w:rPr>
        <w:t xml:space="preserve">. </w:t>
      </w:r>
      <w:r>
        <w:rPr>
          <w:rFonts w:ascii="Arial" w:cs="Arial" w:eastAsia="Arial" w:hAnsi="Arial"/>
          <w:sz w:val="13"/>
          <w:szCs w:val="13"/>
          <w:color w:val="auto"/>
        </w:rPr>
        <w:t>Any and all notices required or permitted to be given to a party pursuant to the provisions of this Exercise Agreement will be in writing and will be effective and deemed</w:t>
      </w:r>
      <w:r>
        <w:rPr>
          <w:rFonts w:ascii="Arial" w:cs="Arial" w:eastAsia="Arial" w:hAnsi="Arial"/>
          <w:sz w:val="13"/>
          <w:szCs w:val="13"/>
          <w:b w:val="1"/>
          <w:bCs w:val="1"/>
          <w:color w:val="auto"/>
        </w:rPr>
        <w:t xml:space="preserve"> </w:t>
      </w:r>
      <w:r>
        <w:rPr>
          <w:rFonts w:ascii="Arial" w:cs="Arial" w:eastAsia="Arial" w:hAnsi="Arial"/>
          <w:sz w:val="13"/>
          <w:szCs w:val="13"/>
          <w:color w:val="auto"/>
        </w:rPr>
        <w:t>to provide such party sufficient notice under this Exercise Agreement on the earliest of the following: (i) at the time of personal delivery, if delivery is in person; (ii) at the time an electronic confirmation of receipt is received, if delivery is by email; (iii) at the time of transmission by facsimile, addressed to the other party at its facsimile number specified herein (or hereafter modified by subsequent notice to the parties hereto), with confirmation of receipt made by both telephone and printed confirmation sheet verifying successful transmission of the facsimile;</w:t>
      </w:r>
    </w:p>
    <w:p>
      <w:pPr>
        <w:ind w:left="250" w:hanging="250"/>
        <w:spacing w:after="0"/>
        <w:tabs>
          <w:tab w:leader="none" w:pos="250" w:val="left"/>
        </w:tabs>
        <w:numPr>
          <w:ilvl w:val="0"/>
          <w:numId w:val="446"/>
        </w:numPr>
        <w:rPr>
          <w:rFonts w:ascii="Arial" w:cs="Arial" w:eastAsia="Arial" w:hAnsi="Arial"/>
          <w:sz w:val="15"/>
          <w:szCs w:val="15"/>
          <w:color w:val="auto"/>
        </w:rPr>
      </w:pPr>
      <w:r>
        <w:rPr>
          <w:rFonts w:ascii="Arial" w:cs="Arial" w:eastAsia="Arial" w:hAnsi="Arial"/>
          <w:sz w:val="15"/>
          <w:szCs w:val="15"/>
          <w:color w:val="auto"/>
        </w:rPr>
        <w:t>one (1) business day after deposit with an express overnight courier for United</w:t>
      </w:r>
    </w:p>
    <w:p>
      <w:pPr>
        <w:spacing w:after="0" w:line="123" w:lineRule="exact"/>
        <w:rPr>
          <w:sz w:val="20"/>
          <w:szCs w:val="20"/>
          <w:color w:val="auto"/>
        </w:rPr>
      </w:pPr>
    </w:p>
    <w:p>
      <w:pPr>
        <w:jc w:val="center"/>
        <w:ind w:right="-69"/>
        <w:spacing w:after="0"/>
        <w:rPr>
          <w:sz w:val="20"/>
          <w:szCs w:val="20"/>
          <w:color w:val="auto"/>
        </w:rPr>
      </w:pPr>
      <w:r>
        <w:rPr>
          <w:rFonts w:ascii="Arial" w:cs="Arial" w:eastAsia="Arial" w:hAnsi="Arial"/>
          <w:sz w:val="15"/>
          <w:szCs w:val="15"/>
          <w:color w:val="auto"/>
        </w:rPr>
        <w:t>11</w:t>
      </w:r>
    </w:p>
    <w:p>
      <w:pPr>
        <w:sectPr>
          <w:pgSz w:w="11900" w:h="16838" w:orient="portrait"/>
          <w:cols w:equalWidth="0" w:num="1">
            <w:col w:w="11390"/>
          </w:cols>
          <w:pgMar w:left="230" w:top="253" w:right="279" w:bottom="1440" w:gutter="0" w:footer="0" w:header="0"/>
        </w:sectPr>
      </w:pPr>
    </w:p>
    <w:bookmarkStart w:id="473" w:name="page474"/>
    <w:bookmarkEnd w:id="473"/>
    <w:p>
      <w:pPr>
        <w:ind w:right="100"/>
        <w:spacing w:after="0" w:line="275"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133350</wp:posOffset>
            </wp:positionH>
            <wp:positionV relativeFrom="page">
              <wp:posOffset>88900</wp:posOffset>
            </wp:positionV>
            <wp:extent cx="7308850" cy="34290"/>
            <wp:wrapNone/>
            <wp:docPr id="695" name="Picture 6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5"/>
                    <pic:cNvPicPr>
                      <a:picLocks noChangeAspect="1" noChangeArrowheads="1"/>
                    </pic:cNvPicPr>
                  </pic:nvPicPr>
                  <pic:blipFill>
                    <a:blip r:embed="rId732">
                      <a:extLst>
                        <a:ext uri="{28A0092B-C50C-407E-A947-70E740481C1C}"/>
                      </a:extLst>
                    </a:blip>
                    <a:srcRect/>
                    <a:stretch>
                      <a:fillRect/>
                    </a:stretch>
                  </pic:blipFill>
                  <pic:spPr bwMode="auto">
                    <a:xfrm>
                      <a:off x="0" y="0"/>
                      <a:ext cx="7308850" cy="34290"/>
                    </a:xfrm>
                    <a:prstGeom prst="rect">
                      <a:avLst/>
                    </a:prstGeom>
                    <a:noFill/>
                  </pic:spPr>
                </pic:pic>
              </a:graphicData>
            </a:graphic>
          </wp:anchor>
        </w:drawing>
        <w:t>States deliveries, or two (2) business days after such deposit for deliveries outside of the United States, with proof of delivery from the courier requested; or (v) three (3) business days after deposit in the United States mail by certified mail (return receipt requested) for United States deliveries.</w:t>
      </w:r>
    </w:p>
    <w:p>
      <w:pPr>
        <w:spacing w:after="0" w:line="146" w:lineRule="exact"/>
        <w:rPr>
          <w:sz w:val="20"/>
          <w:szCs w:val="20"/>
          <w:color w:val="auto"/>
        </w:rPr>
      </w:pPr>
    </w:p>
    <w:p>
      <w:pPr>
        <w:ind w:right="60" w:firstLine="916"/>
        <w:spacing w:after="0" w:line="259" w:lineRule="auto"/>
        <w:rPr>
          <w:sz w:val="20"/>
          <w:szCs w:val="20"/>
          <w:color w:val="auto"/>
        </w:rPr>
      </w:pPr>
      <w:r>
        <w:rPr>
          <w:rFonts w:ascii="Arial" w:cs="Arial" w:eastAsia="Arial" w:hAnsi="Arial"/>
          <w:sz w:val="15"/>
          <w:szCs w:val="15"/>
          <w:color w:val="auto"/>
        </w:rPr>
        <w:t>All notices for delivery outside the United States will be sent by facsimile or by express courier. All notices not delivered personally or by facsimile will be sent with postage and/or other charges prepaid and properly addressed to the party to be notified at the address or facsimile number set forth below the signature lines of this Exercise Agreement, or at such other address or facsimile number as such other party may designate by one of the indicated means of notice herein to the other parties hereto. Notices to the Company will be marked “Attention: President”. Notices by facsimile shall be machine verified as received.</w:t>
      </w:r>
    </w:p>
    <w:p>
      <w:pPr>
        <w:spacing w:after="0" w:line="154" w:lineRule="exact"/>
        <w:rPr>
          <w:sz w:val="20"/>
          <w:szCs w:val="20"/>
          <w:color w:val="auto"/>
        </w:rPr>
      </w:pPr>
    </w:p>
    <w:p>
      <w:pPr>
        <w:ind w:right="420" w:firstLine="448"/>
        <w:spacing w:after="0" w:line="280" w:lineRule="auto"/>
        <w:tabs>
          <w:tab w:leader="none" w:pos="683" w:val="left"/>
        </w:tabs>
        <w:numPr>
          <w:ilvl w:val="0"/>
          <w:numId w:val="447"/>
        </w:numPr>
        <w:rPr>
          <w:rFonts w:ascii="Arial" w:cs="Arial" w:eastAsia="Arial" w:hAnsi="Arial"/>
          <w:sz w:val="15"/>
          <w:szCs w:val="15"/>
          <w:b w:val="1"/>
          <w:bCs w:val="1"/>
          <w:color w:val="auto"/>
        </w:rPr>
      </w:pPr>
      <w:r>
        <w:rPr>
          <w:rFonts w:ascii="Arial" w:cs="Arial" w:eastAsia="Arial" w:hAnsi="Arial"/>
          <w:sz w:val="15"/>
          <w:szCs w:val="15"/>
          <w:b w:val="1"/>
          <w:bCs w:val="1"/>
          <w:u w:val="single" w:color="auto"/>
          <w:color w:val="auto"/>
        </w:rPr>
        <w:t>Further Assurances</w:t>
      </w:r>
      <w:r>
        <w:rPr>
          <w:rFonts w:ascii="Arial" w:cs="Arial" w:eastAsia="Arial" w:hAnsi="Arial"/>
          <w:sz w:val="15"/>
          <w:szCs w:val="15"/>
          <w:b w:val="1"/>
          <w:bCs w:val="1"/>
          <w:color w:val="auto"/>
        </w:rPr>
        <w:t xml:space="preserve">. </w:t>
      </w:r>
      <w:r>
        <w:rPr>
          <w:rFonts w:ascii="Arial" w:cs="Arial" w:eastAsia="Arial" w:hAnsi="Arial"/>
          <w:sz w:val="15"/>
          <w:szCs w:val="15"/>
          <w:color w:val="auto"/>
        </w:rPr>
        <w:t>The parties agree to execute such further documents and instruments and to take such further actions as may be reasonably necessary to carry out the</w:t>
      </w:r>
      <w:r>
        <w:rPr>
          <w:rFonts w:ascii="Arial" w:cs="Arial" w:eastAsia="Arial" w:hAnsi="Arial"/>
          <w:sz w:val="15"/>
          <w:szCs w:val="15"/>
          <w:b w:val="1"/>
          <w:bCs w:val="1"/>
          <w:color w:val="auto"/>
        </w:rPr>
        <w:t xml:space="preserve"> </w:t>
      </w:r>
      <w:r>
        <w:rPr>
          <w:rFonts w:ascii="Arial" w:cs="Arial" w:eastAsia="Arial" w:hAnsi="Arial"/>
          <w:sz w:val="15"/>
          <w:szCs w:val="15"/>
          <w:color w:val="auto"/>
        </w:rPr>
        <w:t>purposes and intent of this Exercise Agreement.</w:t>
      </w:r>
    </w:p>
    <w:p>
      <w:pPr>
        <w:spacing w:after="0" w:line="138" w:lineRule="exact"/>
        <w:rPr>
          <w:rFonts w:ascii="Arial" w:cs="Arial" w:eastAsia="Arial" w:hAnsi="Arial"/>
          <w:sz w:val="15"/>
          <w:szCs w:val="15"/>
          <w:b w:val="1"/>
          <w:bCs w:val="1"/>
          <w:color w:val="auto"/>
        </w:rPr>
      </w:pPr>
    </w:p>
    <w:p>
      <w:pPr>
        <w:ind w:right="200" w:firstLine="448"/>
        <w:spacing w:after="0" w:line="361" w:lineRule="auto"/>
        <w:tabs>
          <w:tab w:leader="none" w:pos="683" w:val="left"/>
        </w:tabs>
        <w:numPr>
          <w:ilvl w:val="0"/>
          <w:numId w:val="447"/>
        </w:numPr>
        <w:rPr>
          <w:rFonts w:ascii="Arial" w:cs="Arial" w:eastAsia="Arial" w:hAnsi="Arial"/>
          <w:sz w:val="13"/>
          <w:szCs w:val="13"/>
          <w:b w:val="1"/>
          <w:bCs w:val="1"/>
          <w:color w:val="auto"/>
        </w:rPr>
      </w:pPr>
      <w:r>
        <w:rPr>
          <w:rFonts w:ascii="Arial" w:cs="Arial" w:eastAsia="Arial" w:hAnsi="Arial"/>
          <w:sz w:val="13"/>
          <w:szCs w:val="13"/>
          <w:b w:val="1"/>
          <w:bCs w:val="1"/>
          <w:u w:val="single" w:color="auto"/>
          <w:color w:val="auto"/>
        </w:rPr>
        <w:t>Titles and Headings</w:t>
      </w:r>
      <w:r>
        <w:rPr>
          <w:rFonts w:ascii="Arial" w:cs="Arial" w:eastAsia="Arial" w:hAnsi="Arial"/>
          <w:sz w:val="13"/>
          <w:szCs w:val="13"/>
          <w:b w:val="1"/>
          <w:bCs w:val="1"/>
          <w:color w:val="auto"/>
        </w:rPr>
        <w:t xml:space="preserve">. </w:t>
      </w:r>
      <w:r>
        <w:rPr>
          <w:rFonts w:ascii="Arial" w:cs="Arial" w:eastAsia="Arial" w:hAnsi="Arial"/>
          <w:sz w:val="13"/>
          <w:szCs w:val="13"/>
          <w:color w:val="auto"/>
        </w:rPr>
        <w:t>The titles, captions and headings of this Exercise Agreement are included for ease of reference only and will be disregarded in interpreting or construing</w:t>
      </w:r>
      <w:r>
        <w:rPr>
          <w:rFonts w:ascii="Arial" w:cs="Arial" w:eastAsia="Arial" w:hAnsi="Arial"/>
          <w:sz w:val="13"/>
          <w:szCs w:val="13"/>
          <w:b w:val="1"/>
          <w:bCs w:val="1"/>
          <w:color w:val="auto"/>
        </w:rPr>
        <w:t xml:space="preserve"> </w:t>
      </w:r>
      <w:r>
        <w:rPr>
          <w:rFonts w:ascii="Arial" w:cs="Arial" w:eastAsia="Arial" w:hAnsi="Arial"/>
          <w:sz w:val="13"/>
          <w:szCs w:val="13"/>
          <w:color w:val="auto"/>
        </w:rPr>
        <w:t>this Exercise Agreement. Unless otherwise specifically stated, all references herein to “sections” and “exhibits” will mean “sections” and “exhibits” to this Exercise Agreement.</w:t>
      </w:r>
    </w:p>
    <w:p>
      <w:pPr>
        <w:spacing w:after="0" w:line="91" w:lineRule="exact"/>
        <w:rPr>
          <w:rFonts w:ascii="Arial" w:cs="Arial" w:eastAsia="Arial" w:hAnsi="Arial"/>
          <w:sz w:val="13"/>
          <w:szCs w:val="13"/>
          <w:b w:val="1"/>
          <w:bCs w:val="1"/>
          <w:color w:val="auto"/>
        </w:rPr>
      </w:pPr>
    </w:p>
    <w:p>
      <w:pPr>
        <w:ind w:firstLine="448"/>
        <w:spacing w:after="0" w:line="266" w:lineRule="auto"/>
        <w:tabs>
          <w:tab w:leader="none" w:pos="683" w:val="left"/>
        </w:tabs>
        <w:numPr>
          <w:ilvl w:val="0"/>
          <w:numId w:val="447"/>
        </w:numPr>
        <w:rPr>
          <w:rFonts w:ascii="Arial" w:cs="Arial" w:eastAsia="Arial" w:hAnsi="Arial"/>
          <w:sz w:val="15"/>
          <w:szCs w:val="15"/>
          <w:b w:val="1"/>
          <w:bCs w:val="1"/>
          <w:color w:val="auto"/>
        </w:rPr>
      </w:pPr>
      <w:r>
        <w:rPr>
          <w:rFonts w:ascii="Arial" w:cs="Arial" w:eastAsia="Arial" w:hAnsi="Arial"/>
          <w:sz w:val="15"/>
          <w:szCs w:val="15"/>
          <w:b w:val="1"/>
          <w:bCs w:val="1"/>
          <w:u w:val="single" w:color="auto"/>
          <w:color w:val="auto"/>
        </w:rPr>
        <w:t>Entire Agreement</w:t>
      </w:r>
      <w:r>
        <w:rPr>
          <w:rFonts w:ascii="Arial" w:cs="Arial" w:eastAsia="Arial" w:hAnsi="Arial"/>
          <w:sz w:val="15"/>
          <w:szCs w:val="15"/>
          <w:b w:val="1"/>
          <w:bCs w:val="1"/>
          <w:color w:val="auto"/>
        </w:rPr>
        <w:t xml:space="preserve">. </w:t>
      </w:r>
      <w:r>
        <w:rPr>
          <w:rFonts w:ascii="Arial" w:cs="Arial" w:eastAsia="Arial" w:hAnsi="Arial"/>
          <w:sz w:val="15"/>
          <w:szCs w:val="15"/>
          <w:color w:val="auto"/>
        </w:rPr>
        <w:t>The Plan, the Stock Option Agreement and this Exercise Agreement, together with all Exhibits thereto, constitute the entire agreement and understanding of</w:t>
      </w:r>
      <w:r>
        <w:rPr>
          <w:rFonts w:ascii="Arial" w:cs="Arial" w:eastAsia="Arial" w:hAnsi="Arial"/>
          <w:sz w:val="15"/>
          <w:szCs w:val="15"/>
          <w:b w:val="1"/>
          <w:bCs w:val="1"/>
          <w:color w:val="auto"/>
        </w:rPr>
        <w:t xml:space="preserve"> </w:t>
      </w:r>
      <w:r>
        <w:rPr>
          <w:rFonts w:ascii="Arial" w:cs="Arial" w:eastAsia="Arial" w:hAnsi="Arial"/>
          <w:sz w:val="15"/>
          <w:szCs w:val="15"/>
          <w:color w:val="auto"/>
        </w:rPr>
        <w:t>the parties with respect to the subject matter of this Exercise Agreement, and supersede all prior understandings and agreements, whether oral or written, between or among the parties hereto with respect to the specific subject matter hereof.</w:t>
      </w:r>
    </w:p>
    <w:p>
      <w:pPr>
        <w:spacing w:after="0" w:line="148" w:lineRule="exact"/>
        <w:rPr>
          <w:rFonts w:ascii="Arial" w:cs="Arial" w:eastAsia="Arial" w:hAnsi="Arial"/>
          <w:sz w:val="15"/>
          <w:szCs w:val="15"/>
          <w:b w:val="1"/>
          <w:bCs w:val="1"/>
          <w:color w:val="auto"/>
        </w:rPr>
      </w:pPr>
    </w:p>
    <w:p>
      <w:pPr>
        <w:ind w:right="200" w:firstLine="448"/>
        <w:spacing w:after="0" w:line="280" w:lineRule="auto"/>
        <w:tabs>
          <w:tab w:leader="none" w:pos="683" w:val="left"/>
        </w:tabs>
        <w:numPr>
          <w:ilvl w:val="0"/>
          <w:numId w:val="447"/>
        </w:numPr>
        <w:rPr>
          <w:rFonts w:ascii="Arial" w:cs="Arial" w:eastAsia="Arial" w:hAnsi="Arial"/>
          <w:sz w:val="15"/>
          <w:szCs w:val="15"/>
          <w:b w:val="1"/>
          <w:bCs w:val="1"/>
          <w:color w:val="auto"/>
        </w:rPr>
      </w:pPr>
      <w:r>
        <w:rPr>
          <w:rFonts w:ascii="Arial" w:cs="Arial" w:eastAsia="Arial" w:hAnsi="Arial"/>
          <w:sz w:val="15"/>
          <w:szCs w:val="15"/>
          <w:b w:val="1"/>
          <w:bCs w:val="1"/>
          <w:u w:val="single" w:color="auto"/>
          <w:color w:val="auto"/>
        </w:rPr>
        <w:t>Counterparts</w:t>
      </w:r>
      <w:r>
        <w:rPr>
          <w:rFonts w:ascii="Arial" w:cs="Arial" w:eastAsia="Arial" w:hAnsi="Arial"/>
          <w:sz w:val="15"/>
          <w:szCs w:val="15"/>
          <w:b w:val="1"/>
          <w:bCs w:val="1"/>
          <w:color w:val="auto"/>
        </w:rPr>
        <w:t xml:space="preserve">. </w:t>
      </w:r>
      <w:r>
        <w:rPr>
          <w:rFonts w:ascii="Arial" w:cs="Arial" w:eastAsia="Arial" w:hAnsi="Arial"/>
          <w:sz w:val="15"/>
          <w:szCs w:val="15"/>
          <w:color w:val="auto"/>
        </w:rPr>
        <w:t>This Exercise Agreement may be executed in any number of counterparts, each of which when so executed and delivered will be deemed an original, and all of</w:t>
      </w:r>
      <w:r>
        <w:rPr>
          <w:rFonts w:ascii="Arial" w:cs="Arial" w:eastAsia="Arial" w:hAnsi="Arial"/>
          <w:sz w:val="15"/>
          <w:szCs w:val="15"/>
          <w:b w:val="1"/>
          <w:bCs w:val="1"/>
          <w:color w:val="auto"/>
        </w:rPr>
        <w:t xml:space="preserve"> </w:t>
      </w:r>
      <w:r>
        <w:rPr>
          <w:rFonts w:ascii="Arial" w:cs="Arial" w:eastAsia="Arial" w:hAnsi="Arial"/>
          <w:sz w:val="15"/>
          <w:szCs w:val="15"/>
          <w:color w:val="auto"/>
        </w:rPr>
        <w:t>which together shall constitute one and the same agreement.</w:t>
      </w:r>
    </w:p>
    <w:p>
      <w:pPr>
        <w:spacing w:after="0" w:line="138" w:lineRule="exact"/>
        <w:rPr>
          <w:rFonts w:ascii="Arial" w:cs="Arial" w:eastAsia="Arial" w:hAnsi="Arial"/>
          <w:sz w:val="15"/>
          <w:szCs w:val="15"/>
          <w:b w:val="1"/>
          <w:bCs w:val="1"/>
          <w:color w:val="auto"/>
        </w:rPr>
      </w:pPr>
    </w:p>
    <w:p>
      <w:pPr>
        <w:ind w:right="20" w:firstLine="448"/>
        <w:spacing w:after="0" w:line="257" w:lineRule="auto"/>
        <w:tabs>
          <w:tab w:leader="none" w:pos="683" w:val="left"/>
        </w:tabs>
        <w:numPr>
          <w:ilvl w:val="0"/>
          <w:numId w:val="447"/>
        </w:numPr>
        <w:rPr>
          <w:rFonts w:ascii="Arial" w:cs="Arial" w:eastAsia="Arial" w:hAnsi="Arial"/>
          <w:sz w:val="15"/>
          <w:szCs w:val="15"/>
          <w:b w:val="1"/>
          <w:bCs w:val="1"/>
          <w:color w:val="auto"/>
        </w:rPr>
      </w:pPr>
      <w:r>
        <w:rPr>
          <w:rFonts w:ascii="Arial" w:cs="Arial" w:eastAsia="Arial" w:hAnsi="Arial"/>
          <w:sz w:val="15"/>
          <w:szCs w:val="15"/>
          <w:b w:val="1"/>
          <w:bCs w:val="1"/>
          <w:u w:val="single" w:color="auto"/>
          <w:color w:val="auto"/>
        </w:rPr>
        <w:t>Severability</w:t>
      </w:r>
      <w:r>
        <w:rPr>
          <w:rFonts w:ascii="Arial" w:cs="Arial" w:eastAsia="Arial" w:hAnsi="Arial"/>
          <w:sz w:val="15"/>
          <w:szCs w:val="15"/>
          <w:b w:val="1"/>
          <w:bCs w:val="1"/>
          <w:color w:val="auto"/>
        </w:rPr>
        <w:t xml:space="preserve">. </w:t>
      </w:r>
      <w:r>
        <w:rPr>
          <w:rFonts w:ascii="Arial" w:cs="Arial" w:eastAsia="Arial" w:hAnsi="Arial"/>
          <w:sz w:val="15"/>
          <w:szCs w:val="15"/>
          <w:color w:val="auto"/>
        </w:rPr>
        <w:t>If any provision of this Exercise Agreement is determined by any court or arbitrator of competent jurisdiction to be invalid, illegal or unenforceable in any respect,</w:t>
      </w:r>
      <w:r>
        <w:rPr>
          <w:rFonts w:ascii="Arial" w:cs="Arial" w:eastAsia="Arial" w:hAnsi="Arial"/>
          <w:sz w:val="15"/>
          <w:szCs w:val="15"/>
          <w:b w:val="1"/>
          <w:bCs w:val="1"/>
          <w:color w:val="auto"/>
        </w:rPr>
        <w:t xml:space="preserve"> </w:t>
      </w:r>
      <w:r>
        <w:rPr>
          <w:rFonts w:ascii="Arial" w:cs="Arial" w:eastAsia="Arial" w:hAnsi="Arial"/>
          <w:sz w:val="15"/>
          <w:szCs w:val="15"/>
          <w:color w:val="auto"/>
        </w:rPr>
        <w:t>such provision will be enforced to the maximum extent possible given the intent of the parties hereto. If such clause or provision cannot be so enforced, such provision shall be stricken from this Exercise Agreement and the remainder of this Exercise Agreement shall be enforced as if such invalid, illegal or unenforceable clause or provision had (to the extent not enforceable) never been contained in this Exercise Agreement. Notwithstanding the forgoing, if the value of this Exercise Agreement based upon the substantial benefit of the bargain for any party is materially impaired, which determination as made by the presiding court or arbitrator of competent jurisdiction shall be binding, then both parties agree to substitute such provision(s) through good faith negotiations.</w:t>
      </w:r>
    </w:p>
    <w:p>
      <w:pPr>
        <w:spacing w:after="0" w:line="154" w:lineRule="exact"/>
        <w:rPr>
          <w:rFonts w:ascii="Arial" w:cs="Arial" w:eastAsia="Arial" w:hAnsi="Arial"/>
          <w:sz w:val="15"/>
          <w:szCs w:val="15"/>
          <w:b w:val="1"/>
          <w:bCs w:val="1"/>
          <w:color w:val="auto"/>
        </w:rPr>
      </w:pPr>
    </w:p>
    <w:p>
      <w:pPr>
        <w:ind w:right="280" w:firstLine="448"/>
        <w:spacing w:after="0" w:line="280" w:lineRule="auto"/>
        <w:tabs>
          <w:tab w:leader="none" w:pos="683" w:val="left"/>
        </w:tabs>
        <w:numPr>
          <w:ilvl w:val="0"/>
          <w:numId w:val="447"/>
        </w:numPr>
        <w:rPr>
          <w:rFonts w:ascii="Arial" w:cs="Arial" w:eastAsia="Arial" w:hAnsi="Arial"/>
          <w:sz w:val="15"/>
          <w:szCs w:val="15"/>
          <w:b w:val="1"/>
          <w:bCs w:val="1"/>
          <w:color w:val="auto"/>
        </w:rPr>
      </w:pPr>
      <w:r>
        <w:rPr>
          <w:rFonts w:ascii="Arial" w:cs="Arial" w:eastAsia="Arial" w:hAnsi="Arial"/>
          <w:sz w:val="15"/>
          <w:szCs w:val="15"/>
          <w:b w:val="1"/>
          <w:bCs w:val="1"/>
          <w:u w:val="single" w:color="auto"/>
          <w:color w:val="auto"/>
        </w:rPr>
        <w:t>Facsimile Signatures</w:t>
      </w:r>
      <w:r>
        <w:rPr>
          <w:rFonts w:ascii="Arial" w:cs="Arial" w:eastAsia="Arial" w:hAnsi="Arial"/>
          <w:sz w:val="15"/>
          <w:szCs w:val="15"/>
          <w:b w:val="1"/>
          <w:bCs w:val="1"/>
          <w:color w:val="auto"/>
        </w:rPr>
        <w:t xml:space="preserve">. </w:t>
      </w:r>
      <w:r>
        <w:rPr>
          <w:rFonts w:ascii="Arial" w:cs="Arial" w:eastAsia="Arial" w:hAnsi="Arial"/>
          <w:sz w:val="15"/>
          <w:szCs w:val="15"/>
          <w:color w:val="auto"/>
        </w:rPr>
        <w:t>This Exercise Agreement may be executed and delivered by facsimile and upon such delivery the facsimile signature will be deemed to have the same</w:t>
      </w:r>
      <w:r>
        <w:rPr>
          <w:rFonts w:ascii="Arial" w:cs="Arial" w:eastAsia="Arial" w:hAnsi="Arial"/>
          <w:sz w:val="15"/>
          <w:szCs w:val="15"/>
          <w:b w:val="1"/>
          <w:bCs w:val="1"/>
          <w:color w:val="auto"/>
        </w:rPr>
        <w:t xml:space="preserve"> </w:t>
      </w:r>
      <w:r>
        <w:rPr>
          <w:rFonts w:ascii="Arial" w:cs="Arial" w:eastAsia="Arial" w:hAnsi="Arial"/>
          <w:sz w:val="15"/>
          <w:szCs w:val="15"/>
          <w:color w:val="auto"/>
        </w:rPr>
        <w:t>effect as if the original signature had been delivered to the other party.</w:t>
      </w:r>
    </w:p>
    <w:p>
      <w:pPr>
        <w:spacing w:after="0" w:line="143" w:lineRule="exact"/>
        <w:rPr>
          <w:sz w:val="20"/>
          <w:szCs w:val="20"/>
          <w:color w:val="auto"/>
        </w:rPr>
      </w:pPr>
    </w:p>
    <w:p>
      <w:pPr>
        <w:jc w:val="center"/>
        <w:ind w:right="-39"/>
        <w:spacing w:after="0"/>
        <w:rPr>
          <w:sz w:val="20"/>
          <w:szCs w:val="20"/>
          <w:color w:val="auto"/>
        </w:rPr>
      </w:pPr>
      <w:r>
        <w:rPr>
          <w:rFonts w:ascii="Arial" w:cs="Arial" w:eastAsia="Arial" w:hAnsi="Arial"/>
          <w:sz w:val="15"/>
          <w:szCs w:val="15"/>
          <w:b w:val="1"/>
          <w:bCs w:val="1"/>
          <w:i w:val="1"/>
          <w:iCs w:val="1"/>
          <w:color w:val="auto"/>
        </w:rPr>
        <w:t>[Signature Page Follows]</w:t>
      </w:r>
    </w:p>
    <w:p>
      <w:pPr>
        <w:spacing w:after="0" w:line="132"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12</w:t>
      </w:r>
    </w:p>
    <w:p>
      <w:pPr>
        <w:sectPr>
          <w:pgSz w:w="11900" w:h="16838" w:orient="portrait"/>
          <w:cols w:equalWidth="0" w:num="1">
            <w:col w:w="11400"/>
          </w:cols>
          <w:pgMar w:left="240" w:top="253" w:right="259" w:bottom="1440" w:gutter="0" w:footer="0" w:header="0"/>
        </w:sectPr>
      </w:pPr>
    </w:p>
    <w:bookmarkStart w:id="474" w:name="page475"/>
    <w:bookmarkEnd w:id="474"/>
    <w:p>
      <w:pPr>
        <w:ind w:firstLine="458"/>
        <w:spacing w:after="0" w:line="275"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133350</wp:posOffset>
            </wp:positionH>
            <wp:positionV relativeFrom="page">
              <wp:posOffset>88900</wp:posOffset>
            </wp:positionV>
            <wp:extent cx="7308850" cy="34290"/>
            <wp:wrapNone/>
            <wp:docPr id="696" name="Picture 6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6"/>
                    <pic:cNvPicPr>
                      <a:picLocks noChangeAspect="1" noChangeArrowheads="1"/>
                    </pic:cNvPicPr>
                  </pic:nvPicPr>
                  <pic:blipFill>
                    <a:blip r:embed="rId733">
                      <a:extLst>
                        <a:ext uri="{28A0092B-C50C-407E-A947-70E740481C1C}"/>
                      </a:extLst>
                    </a:blip>
                    <a:srcRect/>
                    <a:stretch>
                      <a:fillRect/>
                    </a:stretch>
                  </pic:blipFill>
                  <pic:spPr bwMode="auto">
                    <a:xfrm>
                      <a:off x="0" y="0"/>
                      <a:ext cx="7308850" cy="34290"/>
                    </a:xfrm>
                    <a:prstGeom prst="rect">
                      <a:avLst/>
                    </a:prstGeom>
                    <a:noFill/>
                  </pic:spPr>
                </pic:pic>
              </a:graphicData>
            </a:graphic>
          </wp:anchor>
        </w:drawing>
        <w:t>IN WITNESS WHEREOF, the Company has caused this Exercise Agreement to be executed in triplicate by its duly authorized representative and Purchaser has executed this Exercise Agreement in triplicate as of the Effective Date, indicated above.</w:t>
      </w:r>
    </w:p>
    <w:p>
      <w:pPr>
        <w:spacing w:after="0" w:line="210" w:lineRule="exact"/>
        <w:rPr>
          <w:sz w:val="20"/>
          <w:szCs w:val="20"/>
          <w:color w:val="auto"/>
        </w:rPr>
      </w:pPr>
    </w:p>
    <w:p>
      <w:pPr>
        <w:spacing w:after="0"/>
        <w:tabs>
          <w:tab w:leader="none" w:pos="6360" w:val="left"/>
        </w:tabs>
        <w:rPr>
          <w:sz w:val="20"/>
          <w:szCs w:val="20"/>
          <w:color w:val="auto"/>
        </w:rPr>
      </w:pPr>
      <w:r>
        <w:rPr>
          <w:rFonts w:ascii="Arial" w:cs="Arial" w:eastAsia="Arial" w:hAnsi="Arial"/>
          <w:sz w:val="15"/>
          <w:szCs w:val="15"/>
          <w:b w:val="1"/>
          <w:bCs w:val="1"/>
          <w:color w:val="auto"/>
        </w:rPr>
        <w:t>DROPBOX, INC.</w:t>
      </w:r>
      <w:r>
        <w:rPr>
          <w:sz w:val="20"/>
          <w:szCs w:val="20"/>
          <w:color w:val="auto"/>
        </w:rPr>
        <w:tab/>
      </w:r>
      <w:r>
        <w:rPr>
          <w:rFonts w:ascii="Arial" w:cs="Arial" w:eastAsia="Arial" w:hAnsi="Arial"/>
          <w:sz w:val="14"/>
          <w:szCs w:val="14"/>
          <w:b w:val="1"/>
          <w:bCs w:val="1"/>
          <w:color w:val="auto"/>
        </w:rPr>
        <w:t>PURCHASER</w:t>
      </w:r>
    </w:p>
    <w:p>
      <w:pPr>
        <w:spacing w:after="0" w:line="192" w:lineRule="exact"/>
        <w:rPr>
          <w:sz w:val="20"/>
          <w:szCs w:val="20"/>
          <w:color w:val="auto"/>
        </w:rPr>
      </w:pPr>
    </w:p>
    <w:p>
      <w:pPr>
        <w:spacing w:after="0"/>
        <w:tabs>
          <w:tab w:leader="none" w:pos="320" w:val="left"/>
        </w:tabs>
        <w:rPr>
          <w:sz w:val="20"/>
          <w:szCs w:val="20"/>
          <w:color w:val="auto"/>
        </w:rPr>
      </w:pPr>
      <w:r>
        <w:rPr>
          <w:rFonts w:ascii="Arial" w:cs="Arial" w:eastAsia="Arial" w:hAnsi="Arial"/>
          <w:sz w:val="15"/>
          <w:szCs w:val="15"/>
          <w:color w:val="auto"/>
        </w:rPr>
        <w:t>By:</w:t>
      </w:r>
      <w:r>
        <w:rPr>
          <w:sz w:val="20"/>
          <w:szCs w:val="20"/>
          <w:color w:val="auto"/>
        </w:rPr>
        <w:tab/>
      </w:r>
      <w:r>
        <w:rPr>
          <w:rFonts w:ascii="Arial" w:cs="Arial" w:eastAsia="Arial" w:hAnsi="Arial"/>
          <w:sz w:val="13"/>
          <w:szCs w:val="13"/>
          <w:color w:val="auto"/>
        </w:rPr>
        <w:t>/s/ Ramsey Homsany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151130</wp:posOffset>
            </wp:positionH>
            <wp:positionV relativeFrom="paragraph">
              <wp:posOffset>12065</wp:posOffset>
            </wp:positionV>
            <wp:extent cx="7040245" cy="6985"/>
            <wp:wrapNone/>
            <wp:docPr id="697" name="Picture 6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7"/>
                    <pic:cNvPicPr>
                      <a:picLocks noChangeAspect="1" noChangeArrowheads="1"/>
                    </pic:cNvPicPr>
                  </pic:nvPicPr>
                  <pic:blipFill>
                    <a:blip r:embed="rId734">
                      <a:extLst>
                        <a:ext uri="{28A0092B-C50C-407E-A947-70E740481C1C}"/>
                      </a:extLst>
                    </a:blip>
                    <a:srcRect/>
                    <a:stretch>
                      <a:fillRect/>
                    </a:stretch>
                  </pic:blipFill>
                  <pic:spPr bwMode="auto">
                    <a:xfrm>
                      <a:off x="0" y="0"/>
                      <a:ext cx="7040245" cy="6985"/>
                    </a:xfrm>
                    <a:prstGeom prst="rect">
                      <a:avLst/>
                    </a:prstGeom>
                    <a:noFill/>
                  </pic:spPr>
                </pic:pic>
              </a:graphicData>
            </a:graphic>
          </wp:anchor>
        </w:drawing>
      </w:r>
    </w:p>
    <w:p>
      <w:pPr>
        <w:sectPr>
          <w:pgSz w:w="11900" w:h="16838" w:orient="portrait"/>
          <w:cols w:equalWidth="0" w:num="1">
            <w:col w:w="10940"/>
          </w:cols>
          <w:pgMar w:left="240" w:top="253" w:right="719" w:bottom="1440" w:gutter="0" w:footer="0" w:header="0"/>
        </w:sectPr>
      </w:pPr>
    </w:p>
    <w:p>
      <w:pPr>
        <w:spacing w:after="0" w:line="188" w:lineRule="exact"/>
        <w:rPr>
          <w:sz w:val="20"/>
          <w:szCs w:val="20"/>
          <w:color w:val="auto"/>
        </w:rPr>
      </w:pPr>
    </w:p>
    <w:p>
      <w:pPr>
        <w:spacing w:after="0"/>
        <w:rPr>
          <w:sz w:val="20"/>
          <w:szCs w:val="20"/>
          <w:color w:val="auto"/>
        </w:rPr>
      </w:pPr>
      <w:r>
        <w:rPr>
          <w:rFonts w:ascii="Arial" w:cs="Arial" w:eastAsia="Arial" w:hAnsi="Arial"/>
          <w:sz w:val="14"/>
          <w:szCs w:val="14"/>
          <w:color w:val="auto"/>
        </w:rPr>
        <w:t>Ramsey Homsany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19050</wp:posOffset>
            </wp:positionV>
            <wp:extent cx="3136900" cy="6985"/>
            <wp:wrapNone/>
            <wp:docPr id="698" name="Picture 6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8"/>
                    <pic:cNvPicPr>
                      <a:picLocks noChangeAspect="1" noChangeArrowheads="1"/>
                    </pic:cNvPicPr>
                  </pic:nvPicPr>
                  <pic:blipFill>
                    <a:blip r:embed="rId735">
                      <a:extLst>
                        <a:ext uri="{28A0092B-C50C-407E-A947-70E740481C1C}"/>
                      </a:extLst>
                    </a:blip>
                    <a:srcRect/>
                    <a:stretch>
                      <a:fillRect/>
                    </a:stretch>
                  </pic:blipFill>
                  <pic:spPr bwMode="auto">
                    <a:xfrm>
                      <a:off x="0" y="0"/>
                      <a:ext cx="3136900" cy="6985"/>
                    </a:xfrm>
                    <a:prstGeom prst="rect">
                      <a:avLst/>
                    </a:prstGeom>
                    <a:noFill/>
                  </pic:spPr>
                </pic:pic>
              </a:graphicData>
            </a:graphic>
          </wp:anchor>
        </w:drawing>
      </w:r>
    </w:p>
    <w:p>
      <w:pPr>
        <w:spacing w:after="0" w:line="11" w:lineRule="exact"/>
        <w:rPr>
          <w:sz w:val="20"/>
          <w:szCs w:val="20"/>
          <w:color w:val="auto"/>
        </w:rPr>
      </w:pPr>
    </w:p>
    <w:p>
      <w:pPr>
        <w:spacing w:after="0"/>
        <w:rPr>
          <w:sz w:val="20"/>
          <w:szCs w:val="20"/>
          <w:color w:val="auto"/>
        </w:rPr>
      </w:pPr>
      <w:r>
        <w:rPr>
          <w:rFonts w:ascii="Arial" w:cs="Arial" w:eastAsia="Arial" w:hAnsi="Arial"/>
          <w:sz w:val="13"/>
          <w:szCs w:val="13"/>
          <w:color w:val="auto"/>
        </w:rPr>
        <w:t>(Please print name)</w:t>
      </w:r>
    </w:p>
    <w:p>
      <w:pPr>
        <w:spacing w:after="0" w:line="211" w:lineRule="exact"/>
        <w:rPr>
          <w:sz w:val="20"/>
          <w:szCs w:val="20"/>
          <w:color w:val="auto"/>
        </w:rPr>
      </w:pPr>
    </w:p>
    <w:p>
      <w:pPr>
        <w:spacing w:after="0"/>
        <w:rPr>
          <w:sz w:val="20"/>
          <w:szCs w:val="20"/>
          <w:color w:val="auto"/>
        </w:rPr>
      </w:pPr>
      <w:r>
        <w:rPr>
          <w:rFonts w:ascii="Arial" w:cs="Arial" w:eastAsia="Arial" w:hAnsi="Arial"/>
          <w:sz w:val="15"/>
          <w:szCs w:val="15"/>
          <w:color w:val="auto"/>
        </w:rPr>
        <w:t>General Counsel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12065</wp:posOffset>
            </wp:positionV>
            <wp:extent cx="3136900" cy="6985"/>
            <wp:wrapNone/>
            <wp:docPr id="699" name="Picture 6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9"/>
                    <pic:cNvPicPr>
                      <a:picLocks noChangeAspect="1" noChangeArrowheads="1"/>
                    </pic:cNvPicPr>
                  </pic:nvPicPr>
                  <pic:blipFill>
                    <a:blip r:embed="rId736">
                      <a:extLst>
                        <a:ext uri="{28A0092B-C50C-407E-A947-70E740481C1C}"/>
                      </a:extLst>
                    </a:blip>
                    <a:srcRect/>
                    <a:stretch>
                      <a:fillRect/>
                    </a:stretch>
                  </pic:blipFill>
                  <pic:spPr bwMode="auto">
                    <a:xfrm>
                      <a:off x="0" y="0"/>
                      <a:ext cx="3136900" cy="6985"/>
                    </a:xfrm>
                    <a:prstGeom prst="rect">
                      <a:avLst/>
                    </a:prstGeom>
                    <a:noFill/>
                  </pic:spPr>
                </pic:pic>
              </a:graphicData>
            </a:graphic>
          </wp:anchor>
        </w:drawing>
      </w:r>
    </w:p>
    <w:p>
      <w:pPr>
        <w:spacing w:after="0"/>
        <w:rPr>
          <w:sz w:val="20"/>
          <w:szCs w:val="20"/>
          <w:color w:val="auto"/>
        </w:rPr>
      </w:pPr>
      <w:r>
        <w:rPr>
          <w:rFonts w:ascii="Arial" w:cs="Arial" w:eastAsia="Arial" w:hAnsi="Arial"/>
          <w:sz w:val="14"/>
          <w:szCs w:val="14"/>
          <w:color w:val="auto"/>
        </w:rPr>
        <w:t>(Please print title)</w:t>
      </w:r>
    </w:p>
    <w:p>
      <w:pPr>
        <w:spacing w:after="0" w:line="20" w:lineRule="exact"/>
        <w:rPr>
          <w:sz w:val="20"/>
          <w:szCs w:val="20"/>
          <w:color w:val="auto"/>
        </w:rPr>
      </w:pPr>
      <w:r>
        <w:rPr>
          <w:sz w:val="20"/>
          <w:szCs w:val="20"/>
          <w:color w:val="auto"/>
        </w:rPr>
        <w:br w:type="column"/>
      </w:r>
    </w:p>
    <w:p>
      <w:pPr>
        <w:spacing w:after="0" w:line="191" w:lineRule="exact"/>
        <w:rPr>
          <w:sz w:val="20"/>
          <w:szCs w:val="20"/>
          <w:color w:val="auto"/>
        </w:rPr>
      </w:pPr>
    </w:p>
    <w:p>
      <w:pPr>
        <w:spacing w:after="0"/>
        <w:rPr>
          <w:sz w:val="20"/>
          <w:szCs w:val="20"/>
          <w:color w:val="auto"/>
        </w:rPr>
      </w:pPr>
      <w:r>
        <w:rPr>
          <w:rFonts w:ascii="Arial" w:cs="Arial" w:eastAsia="Arial" w:hAnsi="Arial"/>
          <w:sz w:val="15"/>
          <w:szCs w:val="15"/>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126365</wp:posOffset>
            </wp:positionV>
            <wp:extent cx="3136900" cy="6985"/>
            <wp:wrapNone/>
            <wp:docPr id="700" name="Picture 7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0"/>
                    <pic:cNvPicPr>
                      <a:picLocks noChangeAspect="1" noChangeArrowheads="1"/>
                    </pic:cNvPicPr>
                  </pic:nvPicPr>
                  <pic:blipFill>
                    <a:blip r:embed="rId737">
                      <a:extLst>
                        <a:ext uri="{28A0092B-C50C-407E-A947-70E740481C1C}"/>
                      </a:extLst>
                    </a:blip>
                    <a:srcRect/>
                    <a:stretch>
                      <a:fillRect/>
                    </a:stretch>
                  </pic:blipFill>
                  <pic:spPr bwMode="auto">
                    <a:xfrm>
                      <a:off x="0" y="0"/>
                      <a:ext cx="3136900" cy="6985"/>
                    </a:xfrm>
                    <a:prstGeom prst="rect">
                      <a:avLst/>
                    </a:prstGeom>
                    <a:noFill/>
                  </pic:spPr>
                </pic:pic>
              </a:graphicData>
            </a:graphic>
          </wp:anchor>
        </w:drawing>
      </w:r>
    </w:p>
    <w:p>
      <w:pPr>
        <w:spacing w:after="0" w:line="180" w:lineRule="exact"/>
        <w:rPr>
          <w:sz w:val="20"/>
          <w:szCs w:val="20"/>
          <w:color w:val="auto"/>
        </w:rPr>
      </w:pPr>
    </w:p>
    <w:p>
      <w:pPr>
        <w:spacing w:after="0"/>
        <w:rPr>
          <w:sz w:val="20"/>
          <w:szCs w:val="20"/>
          <w:color w:val="auto"/>
        </w:rPr>
      </w:pPr>
      <w:r>
        <w:rPr>
          <w:rFonts w:ascii="Arial" w:cs="Arial" w:eastAsia="Arial" w:hAnsi="Arial"/>
          <w:sz w:val="13"/>
          <w:szCs w:val="13"/>
          <w:color w:val="auto"/>
        </w:rPr>
        <w:t>(Please print name)</w:t>
      </w:r>
    </w:p>
    <w:p>
      <w:pPr>
        <w:spacing w:after="0" w:line="561" w:lineRule="exact"/>
        <w:rPr>
          <w:sz w:val="20"/>
          <w:szCs w:val="20"/>
          <w:color w:val="auto"/>
        </w:rPr>
      </w:pPr>
    </w:p>
    <w:p>
      <w:pPr>
        <w:sectPr>
          <w:pgSz w:w="11900" w:h="16838" w:orient="portrait"/>
          <w:cols w:equalWidth="0" w:num="2">
            <w:col w:w="5660" w:space="720"/>
            <w:col w:w="4560"/>
          </w:cols>
          <w:pgMar w:left="240" w:top="253" w:right="719" w:bottom="1440" w:gutter="0" w:footer="0" w:header="0"/>
          <w:type w:val="continuous"/>
        </w:sectPr>
      </w:pPr>
    </w:p>
    <w:p>
      <w:pPr>
        <w:spacing w:after="0"/>
        <w:tabs>
          <w:tab w:leader="none" w:pos="6360" w:val="left"/>
        </w:tabs>
        <w:rPr>
          <w:sz w:val="20"/>
          <w:szCs w:val="20"/>
          <w:color w:val="auto"/>
        </w:rPr>
      </w:pPr>
      <w:r>
        <w:rPr>
          <w:rFonts w:ascii="Arial" w:cs="Arial" w:eastAsia="Arial" w:hAnsi="Arial"/>
          <w:sz w:val="15"/>
          <w:szCs w:val="15"/>
          <w:color w:val="auto"/>
        </w:rPr>
        <w:t>Address:</w:t>
      </w:r>
      <w:r>
        <w:rPr>
          <w:sz w:val="20"/>
          <w:szCs w:val="20"/>
          <w:color w:val="auto"/>
        </w:rPr>
        <w:tab/>
      </w:r>
      <w:r>
        <w:rPr>
          <w:rFonts w:ascii="Arial" w:cs="Arial" w:eastAsia="Arial" w:hAnsi="Arial"/>
          <w:sz w:val="15"/>
          <w:szCs w:val="15"/>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4491355</wp:posOffset>
            </wp:positionH>
            <wp:positionV relativeFrom="paragraph">
              <wp:posOffset>19050</wp:posOffset>
            </wp:positionV>
            <wp:extent cx="2700020" cy="6985"/>
            <wp:wrapNone/>
            <wp:docPr id="701" name="Picture 7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1"/>
                    <pic:cNvPicPr>
                      <a:picLocks noChangeAspect="1" noChangeArrowheads="1"/>
                    </pic:cNvPicPr>
                  </pic:nvPicPr>
                  <pic:blipFill>
                    <a:blip r:embed="rId738">
                      <a:extLst>
                        <a:ext uri="{28A0092B-C50C-407E-A947-70E740481C1C}"/>
                      </a:extLst>
                    </a:blip>
                    <a:srcRect/>
                    <a:stretch>
                      <a:fillRect/>
                    </a:stretch>
                  </pic:blipFill>
                  <pic:spPr bwMode="auto">
                    <a:xfrm>
                      <a:off x="0" y="0"/>
                      <a:ext cx="2700020" cy="6985"/>
                    </a:xfrm>
                    <a:prstGeom prst="rect">
                      <a:avLst/>
                    </a:prstGeom>
                    <a:noFill/>
                  </pic:spPr>
                </pic:pic>
              </a:graphicData>
            </a:graphic>
          </wp:anchor>
        </w:drawing>
      </w:r>
    </w:p>
    <w:p>
      <w:pPr>
        <w:spacing w:after="0" w:line="168" w:lineRule="exact"/>
        <w:rPr>
          <w:sz w:val="20"/>
          <w:szCs w:val="20"/>
          <w:color w:val="auto"/>
        </w:rPr>
      </w:pPr>
    </w:p>
    <w:p>
      <w:pPr>
        <w:spacing w:after="0"/>
        <w:rPr>
          <w:sz w:val="20"/>
          <w:szCs w:val="20"/>
          <w:color w:val="auto"/>
        </w:rPr>
      </w:pPr>
      <w:r>
        <w:rPr>
          <w:rFonts w:ascii="Arial" w:cs="Arial" w:eastAsia="Arial" w:hAnsi="Arial"/>
          <w:sz w:val="15"/>
          <w:szCs w:val="15"/>
          <w:color w:val="auto"/>
        </w:rPr>
        <w:t>185 Berry Street, Suite 400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12065</wp:posOffset>
            </wp:positionV>
            <wp:extent cx="7197725" cy="14605"/>
            <wp:wrapNone/>
            <wp:docPr id="702" name="Picture 7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2"/>
                    <pic:cNvPicPr>
                      <a:picLocks noChangeAspect="1" noChangeArrowheads="1"/>
                    </pic:cNvPicPr>
                  </pic:nvPicPr>
                  <pic:blipFill>
                    <a:blip r:embed="rId739">
                      <a:extLst>
                        <a:ext uri="{28A0092B-C50C-407E-A947-70E740481C1C}"/>
                      </a:extLst>
                    </a:blip>
                    <a:srcRect/>
                    <a:stretch>
                      <a:fillRect/>
                    </a:stretch>
                  </pic:blipFill>
                  <pic:spPr bwMode="auto">
                    <a:xfrm>
                      <a:off x="0" y="0"/>
                      <a:ext cx="7197725" cy="14605"/>
                    </a:xfrm>
                    <a:prstGeom prst="rect">
                      <a:avLst/>
                    </a:prstGeom>
                    <a:noFill/>
                  </pic:spPr>
                </pic:pic>
              </a:graphicData>
            </a:graphic>
          </wp:anchor>
        </w:drawing>
      </w:r>
    </w:p>
    <w:p>
      <w:pPr>
        <w:spacing w:after="0" w:line="168" w:lineRule="exact"/>
        <w:rPr>
          <w:sz w:val="20"/>
          <w:szCs w:val="20"/>
          <w:color w:val="auto"/>
        </w:rPr>
      </w:pPr>
    </w:p>
    <w:p>
      <w:pPr>
        <w:spacing w:after="0"/>
        <w:rPr>
          <w:sz w:val="20"/>
          <w:szCs w:val="20"/>
          <w:color w:val="auto"/>
        </w:rPr>
      </w:pPr>
      <w:r>
        <w:rPr>
          <w:rFonts w:ascii="Arial" w:cs="Arial" w:eastAsia="Arial" w:hAnsi="Arial"/>
          <w:sz w:val="15"/>
          <w:szCs w:val="15"/>
          <w:color w:val="auto"/>
        </w:rPr>
        <w:t>San Francisco, CA 94107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12065</wp:posOffset>
            </wp:positionV>
            <wp:extent cx="3136900" cy="6985"/>
            <wp:wrapNone/>
            <wp:docPr id="703" name="Picture 7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3"/>
                    <pic:cNvPicPr>
                      <a:picLocks noChangeAspect="1" noChangeArrowheads="1"/>
                    </pic:cNvPicPr>
                  </pic:nvPicPr>
                  <pic:blipFill>
                    <a:blip r:embed="rId740">
                      <a:extLst>
                        <a:ext uri="{28A0092B-C50C-407E-A947-70E740481C1C}"/>
                      </a:extLst>
                    </a:blip>
                    <a:srcRect/>
                    <a:stretch>
                      <a:fillRect/>
                    </a:stretch>
                  </pic:blipFill>
                  <pic:spPr bwMode="auto">
                    <a:xfrm>
                      <a:off x="0" y="0"/>
                      <a:ext cx="3136900" cy="6985"/>
                    </a:xfrm>
                    <a:prstGeom prst="rect">
                      <a:avLst/>
                    </a:prstGeom>
                    <a:noFill/>
                  </pic:spPr>
                </pic:pic>
              </a:graphicData>
            </a:graphic>
          </wp:anchor>
        </w:drawing>
      </w:r>
    </w:p>
    <w:p>
      <w:pPr>
        <w:ind w:left="6380"/>
        <w:spacing w:after="0"/>
        <w:rPr>
          <w:sz w:val="20"/>
          <w:szCs w:val="20"/>
          <w:color w:val="auto"/>
        </w:rPr>
      </w:pPr>
      <w:r>
        <w:rPr>
          <w:rFonts w:ascii="Arial" w:cs="Arial" w:eastAsia="Arial" w:hAnsi="Arial"/>
          <w:sz w:val="15"/>
          <w:szCs w:val="15"/>
          <w:color w:val="auto"/>
        </w:rPr>
        <w:t>Phone 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4613275</wp:posOffset>
            </wp:positionH>
            <wp:positionV relativeFrom="paragraph">
              <wp:posOffset>12065</wp:posOffset>
            </wp:positionV>
            <wp:extent cx="2578100" cy="6985"/>
            <wp:wrapNone/>
            <wp:docPr id="704" name="Picture 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4"/>
                    <pic:cNvPicPr>
                      <a:picLocks noChangeAspect="1" noChangeArrowheads="1"/>
                    </pic:cNvPicPr>
                  </pic:nvPicPr>
                  <pic:blipFill>
                    <a:blip r:embed="rId741">
                      <a:extLst>
                        <a:ext uri="{28A0092B-C50C-407E-A947-70E740481C1C}"/>
                      </a:extLst>
                    </a:blip>
                    <a:srcRect/>
                    <a:stretch>
                      <a:fillRect/>
                    </a:stretch>
                  </pic:blipFill>
                  <pic:spPr bwMode="auto">
                    <a:xfrm>
                      <a:off x="0" y="0"/>
                      <a:ext cx="2578100" cy="6985"/>
                    </a:xfrm>
                    <a:prstGeom prst="rect">
                      <a:avLst/>
                    </a:prstGeom>
                    <a:noFill/>
                  </pic:spPr>
                </pic:pic>
              </a:graphicData>
            </a:graphic>
          </wp:anchor>
        </w:drawing>
      </w:r>
    </w:p>
    <w:p>
      <w:pPr>
        <w:spacing w:after="0" w:line="322" w:lineRule="exact"/>
        <w:rPr>
          <w:sz w:val="20"/>
          <w:szCs w:val="20"/>
          <w:color w:val="auto"/>
        </w:rPr>
      </w:pPr>
    </w:p>
    <w:p>
      <w:pPr>
        <w:spacing w:after="0"/>
        <w:rPr>
          <w:sz w:val="20"/>
          <w:szCs w:val="20"/>
          <w:color w:val="auto"/>
        </w:rPr>
      </w:pPr>
      <w:r>
        <w:rPr>
          <w:rFonts w:ascii="Arial" w:cs="Arial" w:eastAsia="Arial" w:hAnsi="Arial"/>
          <w:sz w:val="15"/>
          <w:szCs w:val="15"/>
          <w:b w:val="1"/>
          <w:bCs w:val="1"/>
          <w:u w:val="single" w:color="auto"/>
          <w:color w:val="auto"/>
        </w:rPr>
        <w:t>List of Exhibits</w:t>
      </w:r>
    </w:p>
    <w:p>
      <w:pPr>
        <w:spacing w:after="0" w:line="102" w:lineRule="exact"/>
        <w:rPr>
          <w:sz w:val="20"/>
          <w:szCs w:val="20"/>
          <w:color w:val="auto"/>
        </w:rPr>
      </w:pPr>
    </w:p>
    <w:p>
      <w:pPr>
        <w:spacing w:after="0"/>
        <w:tabs>
          <w:tab w:leader="none" w:pos="1240" w:val="left"/>
        </w:tabs>
        <w:rPr>
          <w:sz w:val="20"/>
          <w:szCs w:val="20"/>
          <w:color w:val="auto"/>
        </w:rPr>
      </w:pPr>
      <w:r>
        <w:rPr>
          <w:rFonts w:ascii="Arial" w:cs="Arial" w:eastAsia="Arial" w:hAnsi="Arial"/>
          <w:sz w:val="15"/>
          <w:szCs w:val="15"/>
          <w:color w:val="auto"/>
        </w:rPr>
        <w:t>Exhibit 1:</w:t>
      </w:r>
      <w:r>
        <w:rPr>
          <w:sz w:val="20"/>
          <w:szCs w:val="20"/>
          <w:color w:val="auto"/>
        </w:rPr>
        <w:tab/>
      </w:r>
      <w:r>
        <w:rPr>
          <w:rFonts w:ascii="Arial" w:cs="Arial" w:eastAsia="Arial" w:hAnsi="Arial"/>
          <w:sz w:val="13"/>
          <w:szCs w:val="13"/>
          <w:color w:val="auto"/>
        </w:rPr>
        <w:t>Stock Power and Assignment Separate from Stock Certificate</w:t>
      </w:r>
    </w:p>
    <w:p>
      <w:pPr>
        <w:spacing w:after="0" w:line="98" w:lineRule="exact"/>
        <w:rPr>
          <w:sz w:val="20"/>
          <w:szCs w:val="20"/>
          <w:color w:val="auto"/>
        </w:rPr>
      </w:pPr>
    </w:p>
    <w:p>
      <w:pPr>
        <w:spacing w:after="0"/>
        <w:tabs>
          <w:tab w:leader="none" w:pos="1240" w:val="left"/>
        </w:tabs>
        <w:rPr>
          <w:sz w:val="20"/>
          <w:szCs w:val="20"/>
          <w:color w:val="auto"/>
        </w:rPr>
      </w:pPr>
      <w:r>
        <w:rPr>
          <w:rFonts w:ascii="Arial" w:cs="Arial" w:eastAsia="Arial" w:hAnsi="Arial"/>
          <w:sz w:val="15"/>
          <w:szCs w:val="15"/>
          <w:color w:val="auto"/>
        </w:rPr>
        <w:t>Exhibit 2:</w:t>
      </w:r>
      <w:r>
        <w:rPr>
          <w:sz w:val="20"/>
          <w:szCs w:val="20"/>
          <w:color w:val="auto"/>
        </w:rPr>
        <w:tab/>
      </w:r>
      <w:r>
        <w:rPr>
          <w:rFonts w:ascii="Arial" w:cs="Arial" w:eastAsia="Arial" w:hAnsi="Arial"/>
          <w:sz w:val="13"/>
          <w:szCs w:val="13"/>
          <w:color w:val="auto"/>
        </w:rPr>
        <w:t>Copy of Purchaser’s Check</w:t>
      </w:r>
    </w:p>
    <w:p>
      <w:pPr>
        <w:spacing w:after="0" w:line="98" w:lineRule="exact"/>
        <w:rPr>
          <w:sz w:val="20"/>
          <w:szCs w:val="20"/>
          <w:color w:val="auto"/>
        </w:rPr>
      </w:pPr>
    </w:p>
    <w:p>
      <w:pPr>
        <w:spacing w:after="0"/>
        <w:tabs>
          <w:tab w:leader="none" w:pos="1240" w:val="left"/>
        </w:tabs>
        <w:rPr>
          <w:sz w:val="20"/>
          <w:szCs w:val="20"/>
          <w:color w:val="auto"/>
        </w:rPr>
      </w:pPr>
      <w:r>
        <w:rPr>
          <w:rFonts w:ascii="Arial" w:cs="Arial" w:eastAsia="Arial" w:hAnsi="Arial"/>
          <w:sz w:val="15"/>
          <w:szCs w:val="15"/>
          <w:color w:val="auto"/>
        </w:rPr>
        <w:t>Exhibit 3:</w:t>
      </w:r>
      <w:r>
        <w:rPr>
          <w:sz w:val="20"/>
          <w:szCs w:val="20"/>
          <w:color w:val="auto"/>
        </w:rPr>
        <w:tab/>
      </w:r>
      <w:r>
        <w:rPr>
          <w:rFonts w:ascii="Arial" w:cs="Arial" w:eastAsia="Arial" w:hAnsi="Arial"/>
          <w:sz w:val="13"/>
          <w:szCs w:val="13"/>
          <w:color w:val="auto"/>
        </w:rPr>
        <w:t>Section 83(b) Election</w:t>
      </w:r>
    </w:p>
    <w:p>
      <w:pPr>
        <w:spacing w:after="0" w:line="132" w:lineRule="exact"/>
        <w:rPr>
          <w:sz w:val="20"/>
          <w:szCs w:val="20"/>
          <w:color w:val="auto"/>
        </w:rPr>
      </w:pPr>
    </w:p>
    <w:p>
      <w:pPr>
        <w:jc w:val="right"/>
        <w:ind w:right="3180"/>
        <w:spacing w:after="0"/>
        <w:rPr>
          <w:sz w:val="20"/>
          <w:szCs w:val="20"/>
          <w:color w:val="auto"/>
        </w:rPr>
      </w:pPr>
      <w:r>
        <w:rPr>
          <w:rFonts w:ascii="Arial" w:cs="Arial" w:eastAsia="Arial" w:hAnsi="Arial"/>
          <w:sz w:val="15"/>
          <w:szCs w:val="15"/>
          <w:i w:val="1"/>
          <w:iCs w:val="1"/>
          <w:color w:val="auto"/>
        </w:rPr>
        <w:t>[Signature page to Dropbox, Inc. Stock Option Exercise Agreement]</w:t>
      </w:r>
    </w:p>
    <w:p>
      <w:pPr>
        <w:sectPr>
          <w:pgSz w:w="11900" w:h="16838" w:orient="portrait"/>
          <w:cols w:equalWidth="0" w:num="1">
            <w:col w:w="10940"/>
          </w:cols>
          <w:pgMar w:left="240" w:top="253" w:right="719" w:bottom="1440" w:gutter="0" w:footer="0" w:header="0"/>
          <w:type w:val="continuous"/>
        </w:sectPr>
      </w:pPr>
    </w:p>
    <w:bookmarkStart w:id="475" w:name="page476"/>
    <w:bookmarkEnd w:id="475"/>
    <w:p>
      <w:pPr>
        <w:jc w:val="center"/>
        <w:spacing w:after="0"/>
        <w:rPr>
          <w:sz w:val="20"/>
          <w:szCs w:val="20"/>
          <w:color w:val="auto"/>
        </w:rPr>
      </w:pPr>
      <w:r>
        <w:rPr>
          <w:rFonts w:ascii="Arial" w:cs="Arial" w:eastAsia="Arial" w:hAnsi="Arial"/>
          <w:sz w:val="15"/>
          <w:szCs w:val="15"/>
          <w:b w:val="1"/>
          <w:bCs w:val="1"/>
          <w:u w:val="single" w:color="auto"/>
          <w:color w:val="auto"/>
        </w:rPr>
        <w:drawing>
          <wp:anchor simplePos="0" relativeHeight="251657728" behindDoc="1" locked="0" layoutInCell="0" allowOverlap="1">
            <wp:simplePos x="0" y="0"/>
            <wp:positionH relativeFrom="page">
              <wp:posOffset>133350</wp:posOffset>
            </wp:positionH>
            <wp:positionV relativeFrom="page">
              <wp:posOffset>88900</wp:posOffset>
            </wp:positionV>
            <wp:extent cx="7308850" cy="34290"/>
            <wp:wrapNone/>
            <wp:docPr id="705" name="Picture 7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5"/>
                    <pic:cNvPicPr>
                      <a:picLocks noChangeAspect="1" noChangeArrowheads="1"/>
                    </pic:cNvPicPr>
                  </pic:nvPicPr>
                  <pic:blipFill>
                    <a:blip r:embed="rId742">
                      <a:extLst>
                        <a:ext uri="{28A0092B-C50C-407E-A947-70E740481C1C}"/>
                      </a:extLst>
                    </a:blip>
                    <a:srcRect/>
                    <a:stretch>
                      <a:fillRect/>
                    </a:stretch>
                  </pic:blipFill>
                  <pic:spPr bwMode="auto">
                    <a:xfrm>
                      <a:off x="0" y="0"/>
                      <a:ext cx="7308850" cy="34290"/>
                    </a:xfrm>
                    <a:prstGeom prst="rect">
                      <a:avLst/>
                    </a:prstGeom>
                    <a:noFill/>
                  </pic:spPr>
                </pic:pic>
              </a:graphicData>
            </a:graphic>
          </wp:anchor>
        </w:drawing>
        <w:t>EXHIBIT 1</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5"/>
          <w:szCs w:val="15"/>
          <w:b w:val="1"/>
          <w:bCs w:val="1"/>
          <w:u w:val="single" w:color="auto"/>
          <w:color w:val="auto"/>
        </w:rPr>
        <w:t>STOCK POWER AND ASSIGNMENT</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4"/>
          <w:szCs w:val="14"/>
          <w:b w:val="1"/>
          <w:bCs w:val="1"/>
          <w:u w:val="single" w:color="auto"/>
          <w:color w:val="auto"/>
        </w:rPr>
        <w:t>SEPARATE FROM STOCK CERTIFICATE</w:t>
      </w:r>
    </w:p>
    <w:p>
      <w:pPr>
        <w:sectPr>
          <w:pgSz w:w="11900" w:h="16838" w:orient="portrait"/>
          <w:cols w:equalWidth="0" w:num="1">
            <w:col w:w="9019"/>
          </w:cols>
          <w:pgMar w:left="1440" w:top="249" w:right="1440" w:bottom="1440" w:gutter="0" w:footer="0" w:header="0"/>
        </w:sectPr>
      </w:pPr>
    </w:p>
    <w:bookmarkStart w:id="476" w:name="page477"/>
    <w:bookmarkEnd w:id="476"/>
    <w:p>
      <w:pPr>
        <w:jc w:val="center"/>
        <w:spacing w:after="0"/>
        <w:rPr>
          <w:sz w:val="20"/>
          <w:szCs w:val="20"/>
          <w:color w:val="auto"/>
        </w:rPr>
      </w:pPr>
      <w:r>
        <w:rPr>
          <w:rFonts w:ascii="Arial" w:cs="Arial" w:eastAsia="Arial" w:hAnsi="Arial"/>
          <w:sz w:val="15"/>
          <w:szCs w:val="15"/>
          <w:b w:val="1"/>
          <w:bCs w:val="1"/>
          <w:u w:val="single" w:color="auto"/>
          <w:color w:val="auto"/>
        </w:rPr>
        <w:drawing>
          <wp:anchor simplePos="0" relativeHeight="251657728" behindDoc="1" locked="0" layoutInCell="0" allowOverlap="1">
            <wp:simplePos x="0" y="0"/>
            <wp:positionH relativeFrom="page">
              <wp:posOffset>133350</wp:posOffset>
            </wp:positionH>
            <wp:positionV relativeFrom="page">
              <wp:posOffset>88900</wp:posOffset>
            </wp:positionV>
            <wp:extent cx="7308850" cy="34290"/>
            <wp:wrapNone/>
            <wp:docPr id="706" name="Picture 7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6"/>
                    <pic:cNvPicPr>
                      <a:picLocks noChangeAspect="1" noChangeArrowheads="1"/>
                    </pic:cNvPicPr>
                  </pic:nvPicPr>
                  <pic:blipFill>
                    <a:blip r:embed="rId743">
                      <a:extLst>
                        <a:ext uri="{28A0092B-C50C-407E-A947-70E740481C1C}"/>
                      </a:extLst>
                    </a:blip>
                    <a:srcRect/>
                    <a:stretch>
                      <a:fillRect/>
                    </a:stretch>
                  </pic:blipFill>
                  <pic:spPr bwMode="auto">
                    <a:xfrm>
                      <a:off x="0" y="0"/>
                      <a:ext cx="7308850" cy="34290"/>
                    </a:xfrm>
                    <a:prstGeom prst="rect">
                      <a:avLst/>
                    </a:prstGeom>
                    <a:noFill/>
                  </pic:spPr>
                </pic:pic>
              </a:graphicData>
            </a:graphic>
          </wp:anchor>
        </w:drawing>
        <w:t>Stock Power and Assignment</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5"/>
          <w:szCs w:val="15"/>
          <w:b w:val="1"/>
          <w:bCs w:val="1"/>
          <w:u w:val="single" w:color="auto"/>
          <w:color w:val="auto"/>
        </w:rPr>
        <w:t>Separate from Stock Certificate</w:t>
      </w:r>
    </w:p>
    <w:p>
      <w:pPr>
        <w:spacing w:after="0" w:line="179" w:lineRule="exact"/>
        <w:rPr>
          <w:sz w:val="20"/>
          <w:szCs w:val="20"/>
          <w:color w:val="auto"/>
        </w:rPr>
      </w:pPr>
    </w:p>
    <w:p>
      <w:pPr>
        <w:ind w:firstLine="458"/>
        <w:spacing w:after="0" w:line="255" w:lineRule="auto"/>
        <w:rPr>
          <w:sz w:val="20"/>
          <w:szCs w:val="20"/>
          <w:color w:val="auto"/>
        </w:rPr>
      </w:pPr>
      <w:r>
        <w:rPr>
          <w:rFonts w:ascii="Arial" w:cs="Arial" w:eastAsia="Arial" w:hAnsi="Arial"/>
          <w:sz w:val="15"/>
          <w:szCs w:val="15"/>
          <w:color w:val="auto"/>
        </w:rPr>
        <w:t>FOR VALUE RECEIVED and pursuant to that certain Stock Option Exercise Agreement No. dated as of , 20 (the “</w:t>
      </w:r>
      <w:r>
        <w:rPr>
          <w:rFonts w:ascii="Arial" w:cs="Arial" w:eastAsia="Arial" w:hAnsi="Arial"/>
          <w:sz w:val="15"/>
          <w:szCs w:val="15"/>
          <w:i w:val="1"/>
          <w:iCs w:val="1"/>
          <w:color w:val="auto"/>
        </w:rPr>
        <w:t>Agreement</w:t>
      </w:r>
      <w:r>
        <w:rPr>
          <w:rFonts w:ascii="Arial" w:cs="Arial" w:eastAsia="Arial" w:hAnsi="Arial"/>
          <w:sz w:val="15"/>
          <w:szCs w:val="15"/>
          <w:color w:val="auto"/>
        </w:rPr>
        <w:t>”), the undersigned hereby sells, assigns and transfers unto , shares of the Common Stock of Dropbox, Inc., a Delaware corporation (the “</w:t>
      </w:r>
      <w:r>
        <w:rPr>
          <w:rFonts w:ascii="Arial" w:cs="Arial" w:eastAsia="Arial" w:hAnsi="Arial"/>
          <w:sz w:val="15"/>
          <w:szCs w:val="15"/>
          <w:b w:val="1"/>
          <w:bCs w:val="1"/>
          <w:i w:val="1"/>
          <w:iCs w:val="1"/>
          <w:color w:val="auto"/>
        </w:rPr>
        <w:t>Company</w:t>
      </w:r>
      <w:r>
        <w:rPr>
          <w:rFonts w:ascii="Arial" w:cs="Arial" w:eastAsia="Arial" w:hAnsi="Arial"/>
          <w:sz w:val="15"/>
          <w:szCs w:val="15"/>
          <w:color w:val="auto"/>
        </w:rPr>
        <w:t>”), standing in the undersigned’s name on the books of the Company represented by book-entry record no(s). , and does hereby irrevocably constitute and appoint the Secretary of the Company as the</w:t>
      </w:r>
    </w:p>
    <w:p>
      <w:pPr>
        <w:spacing w:after="0" w:line="1" w:lineRule="exact"/>
        <w:rPr>
          <w:sz w:val="20"/>
          <w:szCs w:val="20"/>
          <w:color w:val="auto"/>
        </w:rPr>
      </w:pPr>
    </w:p>
    <w:p>
      <w:pPr>
        <w:ind w:right="220"/>
        <w:spacing w:after="0" w:line="262" w:lineRule="auto"/>
        <w:rPr>
          <w:sz w:val="20"/>
          <w:szCs w:val="20"/>
          <w:color w:val="auto"/>
        </w:rPr>
      </w:pPr>
      <w:r>
        <w:rPr>
          <w:rFonts w:ascii="Arial" w:cs="Arial" w:eastAsia="Arial" w:hAnsi="Arial"/>
          <w:sz w:val="15"/>
          <w:szCs w:val="15"/>
          <w:color w:val="auto"/>
        </w:rPr>
        <w:t>undersigned’s attorney-in-fact, with full power of substitution, to transfer said stock on the books of the Company. THIS ASSIGNMENT MAY ONLY BE USED AS AUTHORIZED BY THE AGREEMENT AND ANY EXHIBITS THERETO.</w:t>
      </w:r>
    </w:p>
    <w:p>
      <w:pPr>
        <w:spacing w:after="0" w:line="155" w:lineRule="exact"/>
        <w:rPr>
          <w:sz w:val="20"/>
          <w:szCs w:val="20"/>
          <w:color w:val="auto"/>
        </w:rPr>
      </w:pPr>
    </w:p>
    <w:p>
      <w:pPr>
        <w:spacing w:after="0"/>
        <w:tabs>
          <w:tab w:leader="none" w:pos="1120" w:val="left"/>
        </w:tabs>
        <w:rPr>
          <w:sz w:val="20"/>
          <w:szCs w:val="20"/>
          <w:color w:val="auto"/>
        </w:rPr>
      </w:pPr>
      <w:r>
        <w:rPr>
          <w:rFonts w:ascii="Arial" w:cs="Arial" w:eastAsia="Arial" w:hAnsi="Arial"/>
          <w:sz w:val="15"/>
          <w:szCs w:val="15"/>
          <w:color w:val="auto"/>
        </w:rPr>
        <w:t>Dated:</w:t>
      </w:r>
      <w:r>
        <w:rPr>
          <w:sz w:val="20"/>
          <w:szCs w:val="20"/>
          <w:color w:val="auto"/>
        </w:rPr>
        <w:tab/>
      </w:r>
      <w:r>
        <w:rPr>
          <w:rFonts w:ascii="Arial" w:cs="Arial" w:eastAsia="Arial" w:hAnsi="Arial"/>
          <w:sz w:val="15"/>
          <w:szCs w:val="15"/>
          <w:color w:val="auto"/>
        </w:rPr>
        <w:t>, 20</w:t>
      </w:r>
    </w:p>
    <w:p>
      <w:pPr>
        <w:spacing w:after="0" w:line="207" w:lineRule="exact"/>
        <w:rPr>
          <w:sz w:val="20"/>
          <w:szCs w:val="20"/>
          <w:color w:val="auto"/>
        </w:rPr>
      </w:pPr>
    </w:p>
    <w:p>
      <w:pPr>
        <w:ind w:left="6860"/>
        <w:spacing w:after="0"/>
        <w:rPr>
          <w:sz w:val="20"/>
          <w:szCs w:val="20"/>
          <w:color w:val="auto"/>
        </w:rPr>
      </w:pPr>
      <w:r>
        <w:rPr>
          <w:rFonts w:ascii="Arial" w:cs="Arial" w:eastAsia="Arial" w:hAnsi="Arial"/>
          <w:sz w:val="15"/>
          <w:szCs w:val="15"/>
          <w:b w:val="1"/>
          <w:bCs w:val="1"/>
          <w:color w:val="auto"/>
        </w:rPr>
        <w:t>PURCHASER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4355465</wp:posOffset>
            </wp:positionH>
            <wp:positionV relativeFrom="paragraph">
              <wp:posOffset>186055</wp:posOffset>
            </wp:positionV>
            <wp:extent cx="2907665" cy="6985"/>
            <wp:wrapNone/>
            <wp:docPr id="707" name="Picture 7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7"/>
                    <pic:cNvPicPr>
                      <a:picLocks noChangeAspect="1" noChangeArrowheads="1"/>
                    </pic:cNvPicPr>
                  </pic:nvPicPr>
                  <pic:blipFill>
                    <a:blip r:embed="rId744">
                      <a:extLst>
                        <a:ext uri="{28A0092B-C50C-407E-A947-70E740481C1C}"/>
                      </a:extLst>
                    </a:blip>
                    <a:srcRect/>
                    <a:stretch>
                      <a:fillRect/>
                    </a:stretch>
                  </pic:blipFill>
                  <pic:spPr bwMode="auto">
                    <a:xfrm>
                      <a:off x="0" y="0"/>
                      <a:ext cx="2907665" cy="6985"/>
                    </a:xfrm>
                    <a:prstGeom prst="rect">
                      <a:avLst/>
                    </a:prstGeom>
                    <a:noFill/>
                  </pic:spPr>
                </pic:pic>
              </a:graphicData>
            </a:graphic>
          </wp:anchor>
        </w:drawing>
      </w:r>
    </w:p>
    <w:p>
      <w:pPr>
        <w:spacing w:after="0" w:line="285" w:lineRule="exact"/>
        <w:rPr>
          <w:sz w:val="20"/>
          <w:szCs w:val="20"/>
          <w:color w:val="auto"/>
        </w:rPr>
      </w:pPr>
    </w:p>
    <w:p>
      <w:pPr>
        <w:ind w:left="6860"/>
        <w:spacing w:after="0"/>
        <w:rPr>
          <w:sz w:val="20"/>
          <w:szCs w:val="20"/>
          <w:color w:val="auto"/>
        </w:rPr>
      </w:pPr>
      <w:r>
        <w:rPr>
          <w:rFonts w:ascii="Arial" w:cs="Arial" w:eastAsia="Arial" w:hAnsi="Arial"/>
          <w:sz w:val="15"/>
          <w:szCs w:val="15"/>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4355465</wp:posOffset>
            </wp:positionH>
            <wp:positionV relativeFrom="paragraph">
              <wp:posOffset>183515</wp:posOffset>
            </wp:positionV>
            <wp:extent cx="2907665" cy="6985"/>
            <wp:wrapNone/>
            <wp:docPr id="708" name="Picture 7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8"/>
                    <pic:cNvPicPr>
                      <a:picLocks noChangeAspect="1" noChangeArrowheads="1"/>
                    </pic:cNvPicPr>
                  </pic:nvPicPr>
                  <pic:blipFill>
                    <a:blip r:embed="rId745">
                      <a:extLst>
                        <a:ext uri="{28A0092B-C50C-407E-A947-70E740481C1C}"/>
                      </a:extLst>
                    </a:blip>
                    <a:srcRect/>
                    <a:stretch>
                      <a:fillRect/>
                    </a:stretch>
                  </pic:blipFill>
                  <pic:spPr bwMode="auto">
                    <a:xfrm>
                      <a:off x="0" y="0"/>
                      <a:ext cx="2907665" cy="6985"/>
                    </a:xfrm>
                    <a:prstGeom prst="rect">
                      <a:avLst/>
                    </a:prstGeom>
                    <a:noFill/>
                  </pic:spPr>
                </pic:pic>
              </a:graphicData>
            </a:graphic>
          </wp:anchor>
        </w:drawing>
      </w:r>
    </w:p>
    <w:p>
      <w:pPr>
        <w:spacing w:after="0" w:line="281" w:lineRule="exact"/>
        <w:rPr>
          <w:sz w:val="20"/>
          <w:szCs w:val="20"/>
          <w:color w:val="auto"/>
        </w:rPr>
      </w:pPr>
    </w:p>
    <w:p>
      <w:pPr>
        <w:ind w:left="6860"/>
        <w:spacing w:after="0"/>
        <w:rPr>
          <w:sz w:val="20"/>
          <w:szCs w:val="20"/>
          <w:color w:val="auto"/>
        </w:rPr>
      </w:pPr>
      <w:r>
        <w:rPr>
          <w:rFonts w:ascii="Arial" w:cs="Arial" w:eastAsia="Arial" w:hAnsi="Arial"/>
          <w:sz w:val="15"/>
          <w:szCs w:val="15"/>
          <w:color w:val="auto"/>
        </w:rPr>
        <w:t>(Please Print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4355465</wp:posOffset>
            </wp:positionH>
            <wp:positionV relativeFrom="paragraph">
              <wp:posOffset>183515</wp:posOffset>
            </wp:positionV>
            <wp:extent cx="2907665" cy="6985"/>
            <wp:wrapNone/>
            <wp:docPr id="709" name="Picture 7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9"/>
                    <pic:cNvPicPr>
                      <a:picLocks noChangeAspect="1" noChangeArrowheads="1"/>
                    </pic:cNvPicPr>
                  </pic:nvPicPr>
                  <pic:blipFill>
                    <a:blip r:embed="rId746">
                      <a:extLst>
                        <a:ext uri="{28A0092B-C50C-407E-A947-70E740481C1C}"/>
                      </a:extLst>
                    </a:blip>
                    <a:srcRect/>
                    <a:stretch>
                      <a:fillRect/>
                    </a:stretch>
                  </pic:blipFill>
                  <pic:spPr bwMode="auto">
                    <a:xfrm>
                      <a:off x="0" y="0"/>
                      <a:ext cx="2907665" cy="6985"/>
                    </a:xfrm>
                    <a:prstGeom prst="rect">
                      <a:avLst/>
                    </a:prstGeom>
                    <a:noFill/>
                  </pic:spPr>
                </pic:pic>
              </a:graphicData>
            </a:graphic>
          </wp:anchor>
        </w:drawing>
      </w:r>
    </w:p>
    <w:p>
      <w:pPr>
        <w:spacing w:after="0" w:line="281" w:lineRule="exact"/>
        <w:rPr>
          <w:sz w:val="20"/>
          <w:szCs w:val="20"/>
          <w:color w:val="auto"/>
        </w:rPr>
      </w:pPr>
    </w:p>
    <w:p>
      <w:pPr>
        <w:ind w:left="6860"/>
        <w:spacing w:after="0"/>
        <w:rPr>
          <w:sz w:val="20"/>
          <w:szCs w:val="20"/>
          <w:color w:val="auto"/>
        </w:rPr>
      </w:pPr>
      <w:r>
        <w:rPr>
          <w:rFonts w:ascii="Arial" w:cs="Arial" w:eastAsia="Arial" w:hAnsi="Arial"/>
          <w:sz w:val="15"/>
          <w:szCs w:val="15"/>
          <w:color w:val="auto"/>
        </w:rPr>
        <w:t>(Spouse’s Signature, if 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4355465</wp:posOffset>
            </wp:positionH>
            <wp:positionV relativeFrom="paragraph">
              <wp:posOffset>183515</wp:posOffset>
            </wp:positionV>
            <wp:extent cx="2907665" cy="6985"/>
            <wp:wrapNone/>
            <wp:docPr id="710" name="Picture 7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0"/>
                    <pic:cNvPicPr>
                      <a:picLocks noChangeAspect="1" noChangeArrowheads="1"/>
                    </pic:cNvPicPr>
                  </pic:nvPicPr>
                  <pic:blipFill>
                    <a:blip r:embed="rId747">
                      <a:extLst>
                        <a:ext uri="{28A0092B-C50C-407E-A947-70E740481C1C}"/>
                      </a:extLst>
                    </a:blip>
                    <a:srcRect/>
                    <a:stretch>
                      <a:fillRect/>
                    </a:stretch>
                  </pic:blipFill>
                  <pic:spPr bwMode="auto">
                    <a:xfrm>
                      <a:off x="0" y="0"/>
                      <a:ext cx="2907665" cy="6985"/>
                    </a:xfrm>
                    <a:prstGeom prst="rect">
                      <a:avLst/>
                    </a:prstGeom>
                    <a:noFill/>
                  </pic:spPr>
                </pic:pic>
              </a:graphicData>
            </a:graphic>
          </wp:anchor>
        </w:drawing>
      </w:r>
    </w:p>
    <w:p>
      <w:pPr>
        <w:spacing w:after="0" w:line="281" w:lineRule="exact"/>
        <w:rPr>
          <w:sz w:val="20"/>
          <w:szCs w:val="20"/>
          <w:color w:val="auto"/>
        </w:rPr>
      </w:pPr>
    </w:p>
    <w:p>
      <w:pPr>
        <w:ind w:left="6860"/>
        <w:spacing w:after="0"/>
        <w:rPr>
          <w:sz w:val="20"/>
          <w:szCs w:val="20"/>
          <w:color w:val="auto"/>
        </w:rPr>
      </w:pPr>
      <w:r>
        <w:rPr>
          <w:rFonts w:ascii="Arial" w:cs="Arial" w:eastAsia="Arial" w:hAnsi="Arial"/>
          <w:sz w:val="15"/>
          <w:szCs w:val="15"/>
          <w:color w:val="auto"/>
        </w:rPr>
        <w:t>(Please Print Spouse’s Name)</w:t>
      </w:r>
    </w:p>
    <w:p>
      <w:pPr>
        <w:spacing w:after="0" w:line="184" w:lineRule="exact"/>
        <w:rPr>
          <w:sz w:val="20"/>
          <w:szCs w:val="20"/>
          <w:color w:val="auto"/>
        </w:rPr>
      </w:pPr>
    </w:p>
    <w:p>
      <w:pPr>
        <w:spacing w:after="0" w:line="266" w:lineRule="auto"/>
        <w:rPr>
          <w:sz w:val="20"/>
          <w:szCs w:val="20"/>
          <w:color w:val="auto"/>
        </w:rPr>
      </w:pPr>
      <w:r>
        <w:rPr>
          <w:rFonts w:ascii="Arial" w:cs="Arial" w:eastAsia="Arial" w:hAnsi="Arial"/>
          <w:sz w:val="15"/>
          <w:szCs w:val="15"/>
          <w:b w:val="1"/>
          <w:bCs w:val="1"/>
          <w:u w:val="single" w:color="auto"/>
          <w:color w:val="auto"/>
        </w:rPr>
        <w:t>Instructions to Purchaser</w:t>
      </w:r>
      <w:r>
        <w:rPr>
          <w:rFonts w:ascii="Arial" w:cs="Arial" w:eastAsia="Arial" w:hAnsi="Arial"/>
          <w:sz w:val="15"/>
          <w:szCs w:val="15"/>
          <w:b w:val="1"/>
          <w:bCs w:val="1"/>
          <w:color w:val="auto"/>
        </w:rPr>
        <w:t xml:space="preserve">: </w:t>
      </w:r>
      <w:r>
        <w:rPr>
          <w:rFonts w:ascii="Arial" w:cs="Arial" w:eastAsia="Arial" w:hAnsi="Arial"/>
          <w:sz w:val="15"/>
          <w:szCs w:val="15"/>
          <w:color w:val="auto"/>
        </w:rPr>
        <w:t>Please do not fill in any blanks other than the signature line. The purpose of this Stock Power and Assignment is to enable the Company to acquire the shares and</w:t>
      </w:r>
      <w:r>
        <w:rPr>
          <w:rFonts w:ascii="Arial" w:cs="Arial" w:eastAsia="Arial" w:hAnsi="Arial"/>
          <w:sz w:val="15"/>
          <w:szCs w:val="15"/>
          <w:b w:val="1"/>
          <w:bCs w:val="1"/>
          <w:color w:val="auto"/>
        </w:rPr>
        <w:t xml:space="preserve"> </w:t>
      </w:r>
      <w:r>
        <w:rPr>
          <w:rFonts w:ascii="Arial" w:cs="Arial" w:eastAsia="Arial" w:hAnsi="Arial"/>
          <w:sz w:val="15"/>
          <w:szCs w:val="15"/>
          <w:color w:val="auto"/>
        </w:rPr>
        <w:t>to exercise its “Repurchase Option” and/or “Right of First Refusal” set forth in the Exercise Agreement without requiring additional signatures on the part of the Purchaser or Purchaser’s Spouse.</w:t>
      </w:r>
    </w:p>
    <w:p>
      <w:pPr>
        <w:sectPr>
          <w:pgSz w:w="11900" w:h="16838" w:orient="portrait"/>
          <w:cols w:equalWidth="0" w:num="1">
            <w:col w:w="11420"/>
          </w:cols>
          <w:pgMar w:left="240" w:top="249" w:right="239" w:bottom="1440" w:gutter="0" w:footer="0" w:header="0"/>
        </w:sectPr>
      </w:pPr>
    </w:p>
    <w:bookmarkStart w:id="477" w:name="page478"/>
    <w:bookmarkEnd w:id="477"/>
    <w:p>
      <w:pPr>
        <w:jc w:val="center"/>
        <w:ind w:right="-20"/>
        <w:spacing w:after="0"/>
        <w:rPr>
          <w:sz w:val="20"/>
          <w:szCs w:val="20"/>
          <w:color w:val="auto"/>
        </w:rPr>
      </w:pPr>
      <w:r>
        <w:rPr>
          <w:rFonts w:ascii="Arial" w:cs="Arial" w:eastAsia="Arial" w:hAnsi="Arial"/>
          <w:sz w:val="15"/>
          <w:szCs w:val="15"/>
          <w:b w:val="1"/>
          <w:bCs w:val="1"/>
          <w:u w:val="single" w:color="auto"/>
          <w:color w:val="auto"/>
        </w:rPr>
        <w:drawing>
          <wp:anchor simplePos="0" relativeHeight="251657728" behindDoc="1" locked="0" layoutInCell="0" allowOverlap="1">
            <wp:simplePos x="0" y="0"/>
            <wp:positionH relativeFrom="page">
              <wp:posOffset>133350</wp:posOffset>
            </wp:positionH>
            <wp:positionV relativeFrom="page">
              <wp:posOffset>88900</wp:posOffset>
            </wp:positionV>
            <wp:extent cx="7308850" cy="34290"/>
            <wp:wrapNone/>
            <wp:docPr id="711" name="Picture 7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1"/>
                    <pic:cNvPicPr>
                      <a:picLocks noChangeAspect="1" noChangeArrowheads="1"/>
                    </pic:cNvPicPr>
                  </pic:nvPicPr>
                  <pic:blipFill>
                    <a:blip r:embed="rId748">
                      <a:extLst>
                        <a:ext uri="{28A0092B-C50C-407E-A947-70E740481C1C}"/>
                      </a:extLst>
                    </a:blip>
                    <a:srcRect/>
                    <a:stretch>
                      <a:fillRect/>
                    </a:stretch>
                  </pic:blipFill>
                  <pic:spPr bwMode="auto">
                    <a:xfrm>
                      <a:off x="0" y="0"/>
                      <a:ext cx="7308850" cy="34290"/>
                    </a:xfrm>
                    <a:prstGeom prst="rect">
                      <a:avLst/>
                    </a:prstGeom>
                    <a:noFill/>
                  </pic:spPr>
                </pic:pic>
              </a:graphicData>
            </a:graphic>
          </wp:anchor>
        </w:drawing>
        <w:t>EXHIBIT 2</w:t>
      </w:r>
    </w:p>
    <w:p>
      <w:pPr>
        <w:spacing w:after="0" w:line="188" w:lineRule="exact"/>
        <w:rPr>
          <w:sz w:val="20"/>
          <w:szCs w:val="20"/>
          <w:color w:val="auto"/>
        </w:rPr>
      </w:pPr>
    </w:p>
    <w:p>
      <w:pPr>
        <w:jc w:val="center"/>
        <w:ind w:right="-20"/>
        <w:spacing w:after="0"/>
        <w:rPr>
          <w:sz w:val="20"/>
          <w:szCs w:val="20"/>
          <w:color w:val="auto"/>
        </w:rPr>
      </w:pPr>
      <w:r>
        <w:rPr>
          <w:rFonts w:ascii="Arial" w:cs="Arial" w:eastAsia="Arial" w:hAnsi="Arial"/>
          <w:sz w:val="14"/>
          <w:szCs w:val="14"/>
          <w:b w:val="1"/>
          <w:bCs w:val="1"/>
          <w:u w:val="single" w:color="auto"/>
          <w:color w:val="auto"/>
        </w:rPr>
        <w:t>COPY OF PURCHASER’S CHECK</w:t>
      </w:r>
    </w:p>
    <w:p>
      <w:pPr>
        <w:sectPr>
          <w:pgSz w:w="11900" w:h="16838" w:orient="portrait"/>
          <w:cols w:equalWidth="0" w:num="1">
            <w:col w:w="9019"/>
          </w:cols>
          <w:pgMar w:left="1440" w:top="249" w:right="1440" w:bottom="1440" w:gutter="0" w:footer="0" w:header="0"/>
        </w:sectPr>
      </w:pPr>
    </w:p>
    <w:bookmarkStart w:id="478" w:name="page479"/>
    <w:bookmarkEnd w:id="478"/>
    <w:p>
      <w:pPr>
        <w:jc w:val="center"/>
        <w:ind w:right="-20"/>
        <w:spacing w:after="0"/>
        <w:rPr>
          <w:sz w:val="20"/>
          <w:szCs w:val="20"/>
          <w:color w:val="auto"/>
        </w:rPr>
      </w:pPr>
      <w:r>
        <w:rPr>
          <w:rFonts w:ascii="Arial" w:cs="Arial" w:eastAsia="Arial" w:hAnsi="Arial"/>
          <w:sz w:val="15"/>
          <w:szCs w:val="15"/>
          <w:b w:val="1"/>
          <w:bCs w:val="1"/>
          <w:u w:val="single" w:color="auto"/>
          <w:color w:val="auto"/>
        </w:rPr>
        <w:drawing>
          <wp:anchor simplePos="0" relativeHeight="251657728" behindDoc="1" locked="0" layoutInCell="0" allowOverlap="1">
            <wp:simplePos x="0" y="0"/>
            <wp:positionH relativeFrom="page">
              <wp:posOffset>133350</wp:posOffset>
            </wp:positionH>
            <wp:positionV relativeFrom="page">
              <wp:posOffset>88900</wp:posOffset>
            </wp:positionV>
            <wp:extent cx="7308850" cy="34290"/>
            <wp:wrapNone/>
            <wp:docPr id="712" name="Picture 7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2"/>
                    <pic:cNvPicPr>
                      <a:picLocks noChangeAspect="1" noChangeArrowheads="1"/>
                    </pic:cNvPicPr>
                  </pic:nvPicPr>
                  <pic:blipFill>
                    <a:blip r:embed="rId749">
                      <a:extLst>
                        <a:ext uri="{28A0092B-C50C-407E-A947-70E740481C1C}"/>
                      </a:extLst>
                    </a:blip>
                    <a:srcRect/>
                    <a:stretch>
                      <a:fillRect/>
                    </a:stretch>
                  </pic:blipFill>
                  <pic:spPr bwMode="auto">
                    <a:xfrm>
                      <a:off x="0" y="0"/>
                      <a:ext cx="7308850" cy="34290"/>
                    </a:xfrm>
                    <a:prstGeom prst="rect">
                      <a:avLst/>
                    </a:prstGeom>
                    <a:noFill/>
                  </pic:spPr>
                </pic:pic>
              </a:graphicData>
            </a:graphic>
          </wp:anchor>
        </w:drawing>
        <w:t>EXHIBIT 3</w:t>
      </w:r>
    </w:p>
    <w:p>
      <w:pPr>
        <w:spacing w:after="0" w:line="188" w:lineRule="exact"/>
        <w:rPr>
          <w:sz w:val="20"/>
          <w:szCs w:val="20"/>
          <w:color w:val="auto"/>
        </w:rPr>
      </w:pPr>
    </w:p>
    <w:p>
      <w:pPr>
        <w:jc w:val="center"/>
        <w:ind w:right="-20"/>
        <w:spacing w:after="0"/>
        <w:rPr>
          <w:sz w:val="20"/>
          <w:szCs w:val="20"/>
          <w:color w:val="auto"/>
        </w:rPr>
      </w:pPr>
      <w:r>
        <w:rPr>
          <w:rFonts w:ascii="Arial" w:cs="Arial" w:eastAsia="Arial" w:hAnsi="Arial"/>
          <w:sz w:val="15"/>
          <w:szCs w:val="15"/>
          <w:b w:val="1"/>
          <w:bCs w:val="1"/>
          <w:u w:val="single" w:color="auto"/>
          <w:color w:val="auto"/>
        </w:rPr>
        <w:t>SECTION 83(b) ELECTION</w:t>
      </w:r>
    </w:p>
    <w:p>
      <w:pPr>
        <w:sectPr>
          <w:pgSz w:w="11900" w:h="16838" w:orient="portrait"/>
          <w:cols w:equalWidth="0" w:num="1">
            <w:col w:w="9019"/>
          </w:cols>
          <w:pgMar w:left="1440" w:top="249" w:right="1440" w:bottom="1440" w:gutter="0" w:footer="0" w:header="0"/>
        </w:sectPr>
      </w:pPr>
    </w:p>
    <w:bookmarkStart w:id="479" w:name="page480"/>
    <w:bookmarkEnd w:id="479"/>
    <w:p>
      <w:pPr>
        <w:jc w:val="center"/>
        <w:ind w:right="-89"/>
        <w:spacing w:after="0"/>
        <w:rPr>
          <w:sz w:val="20"/>
          <w:szCs w:val="20"/>
          <w:color w:val="auto"/>
        </w:rPr>
      </w:pPr>
      <w:r>
        <w:rPr>
          <w:rFonts w:ascii="Arial" w:cs="Arial" w:eastAsia="Arial" w:hAnsi="Arial"/>
          <w:sz w:val="15"/>
          <w:szCs w:val="15"/>
          <w:b w:val="1"/>
          <w:bCs w:val="1"/>
          <w:color w:val="auto"/>
        </w:rPr>
        <w:drawing>
          <wp:anchor simplePos="0" relativeHeight="251657728" behindDoc="1" locked="0" layoutInCell="0" allowOverlap="1">
            <wp:simplePos x="0" y="0"/>
            <wp:positionH relativeFrom="page">
              <wp:posOffset>133350</wp:posOffset>
            </wp:positionH>
            <wp:positionV relativeFrom="page">
              <wp:posOffset>88900</wp:posOffset>
            </wp:positionV>
            <wp:extent cx="7308850" cy="34290"/>
            <wp:wrapNone/>
            <wp:docPr id="713" name="Picture 7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3"/>
                    <pic:cNvPicPr>
                      <a:picLocks noChangeAspect="1" noChangeArrowheads="1"/>
                    </pic:cNvPicPr>
                  </pic:nvPicPr>
                  <pic:blipFill>
                    <a:blip r:embed="rId750">
                      <a:extLst>
                        <a:ext uri="{28A0092B-C50C-407E-A947-70E740481C1C}"/>
                      </a:extLst>
                    </a:blip>
                    <a:srcRect/>
                    <a:stretch>
                      <a:fillRect/>
                    </a:stretch>
                  </pic:blipFill>
                  <pic:spPr bwMode="auto">
                    <a:xfrm>
                      <a:off x="0" y="0"/>
                      <a:ext cx="7308850" cy="34290"/>
                    </a:xfrm>
                    <a:prstGeom prst="rect">
                      <a:avLst/>
                    </a:prstGeom>
                    <a:noFill/>
                  </pic:spPr>
                </pic:pic>
              </a:graphicData>
            </a:graphic>
          </wp:anchor>
        </w:drawing>
        <w:t>ELECTION UNDER SECTION 83(b) OF THE INTERNAL REVENUE CODE</w:t>
      </w:r>
    </w:p>
    <w:p>
      <w:pPr>
        <w:spacing w:after="0" w:line="102" w:lineRule="exact"/>
        <w:rPr>
          <w:sz w:val="20"/>
          <w:szCs w:val="20"/>
          <w:color w:val="auto"/>
        </w:rPr>
      </w:pPr>
    </w:p>
    <w:p>
      <w:pPr>
        <w:jc w:val="both"/>
        <w:ind w:left="10" w:right="60"/>
        <w:spacing w:after="0" w:line="263" w:lineRule="auto"/>
        <w:rPr>
          <w:sz w:val="20"/>
          <w:szCs w:val="20"/>
          <w:color w:val="auto"/>
        </w:rPr>
      </w:pPr>
      <w:r>
        <w:rPr>
          <w:rFonts w:ascii="Arial" w:cs="Arial" w:eastAsia="Arial" w:hAnsi="Arial"/>
          <w:sz w:val="15"/>
          <w:szCs w:val="15"/>
          <w:color w:val="auto"/>
        </w:rPr>
        <w:t>The undersigned Taxpayer hereby elects, pursuant to Section 83(b) of the Internal Revenue Code of 1986, as amended, to include the excess, if any, of the fair market value of the property described below at the time of transfer over the amount paid for such property, as compensation for services in the calculation of: (1) regular gross income; (2) alternative minimum taxable income or (3) disqualifying disposition gross income, as the case may be.</w:t>
      </w:r>
    </w:p>
    <w:p>
      <w:pPr>
        <w:spacing w:after="0" w:line="177" w:lineRule="exact"/>
        <w:rPr>
          <w:sz w:val="20"/>
          <w:szCs w:val="20"/>
          <w:color w:val="auto"/>
        </w:rPr>
      </w:pPr>
    </w:p>
    <w:p>
      <w:pPr>
        <w:ind w:left="330" w:hanging="330"/>
        <w:spacing w:after="0"/>
        <w:tabs>
          <w:tab w:leader="none" w:pos="330" w:val="left"/>
        </w:tabs>
        <w:numPr>
          <w:ilvl w:val="0"/>
          <w:numId w:val="448"/>
        </w:numPr>
        <w:rPr>
          <w:rFonts w:ascii="Arial" w:cs="Arial" w:eastAsia="Arial" w:hAnsi="Arial"/>
          <w:sz w:val="15"/>
          <w:szCs w:val="15"/>
          <w:color w:val="auto"/>
        </w:rPr>
      </w:pPr>
      <w:r>
        <w:rPr>
          <w:rFonts w:ascii="Arial" w:cs="Arial" w:eastAsia="Arial" w:hAnsi="Arial"/>
          <w:sz w:val="15"/>
          <w:szCs w:val="15"/>
          <w:color w:val="auto"/>
        </w:rPr>
        <w:t>TAXPAYER’S NAME:</w:t>
      </w:r>
    </w:p>
    <w:p>
      <w:pPr>
        <w:spacing w:after="0" w:line="98" w:lineRule="exact"/>
        <w:rPr>
          <w:rFonts w:ascii="Arial" w:cs="Arial" w:eastAsia="Arial" w:hAnsi="Arial"/>
          <w:sz w:val="15"/>
          <w:szCs w:val="15"/>
          <w:color w:val="auto"/>
        </w:rPr>
      </w:pPr>
    </w:p>
    <w:p>
      <w:pPr>
        <w:ind w:left="330" w:hanging="330"/>
        <w:spacing w:after="0"/>
        <w:tabs>
          <w:tab w:leader="none" w:pos="330" w:val="left"/>
        </w:tabs>
        <w:numPr>
          <w:ilvl w:val="0"/>
          <w:numId w:val="448"/>
        </w:numPr>
        <w:rPr>
          <w:rFonts w:ascii="Arial" w:cs="Arial" w:eastAsia="Arial" w:hAnsi="Arial"/>
          <w:sz w:val="15"/>
          <w:szCs w:val="15"/>
          <w:color w:val="auto"/>
        </w:rPr>
      </w:pPr>
      <w:r>
        <w:rPr>
          <w:rFonts w:ascii="Arial" w:cs="Arial" w:eastAsia="Arial" w:hAnsi="Arial"/>
          <w:sz w:val="15"/>
          <w:szCs w:val="15"/>
          <w:color w:val="auto"/>
        </w:rPr>
        <w:t>TAXPAYER’S ADDRESS:</w:t>
      </w:r>
    </w:p>
    <w:p>
      <w:pPr>
        <w:spacing w:after="0" w:line="98" w:lineRule="exact"/>
        <w:rPr>
          <w:rFonts w:ascii="Arial" w:cs="Arial" w:eastAsia="Arial" w:hAnsi="Arial"/>
          <w:sz w:val="15"/>
          <w:szCs w:val="15"/>
          <w:color w:val="auto"/>
        </w:rPr>
      </w:pPr>
    </w:p>
    <w:p>
      <w:pPr>
        <w:ind w:left="330" w:hanging="330"/>
        <w:spacing w:after="0"/>
        <w:tabs>
          <w:tab w:leader="none" w:pos="330" w:val="left"/>
        </w:tabs>
        <w:numPr>
          <w:ilvl w:val="0"/>
          <w:numId w:val="448"/>
        </w:numPr>
        <w:rPr>
          <w:rFonts w:ascii="Arial" w:cs="Arial" w:eastAsia="Arial" w:hAnsi="Arial"/>
          <w:sz w:val="15"/>
          <w:szCs w:val="15"/>
          <w:color w:val="auto"/>
        </w:rPr>
      </w:pPr>
      <w:r>
        <w:rPr>
          <w:rFonts w:ascii="Arial" w:cs="Arial" w:eastAsia="Arial" w:hAnsi="Arial"/>
          <w:sz w:val="15"/>
          <w:szCs w:val="15"/>
          <w:color w:val="auto"/>
        </w:rPr>
        <w:t>SOCIAL SECURITY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2112645</wp:posOffset>
            </wp:positionH>
            <wp:positionV relativeFrom="paragraph">
              <wp:posOffset>12065</wp:posOffset>
            </wp:positionV>
            <wp:extent cx="5156200" cy="6985"/>
            <wp:wrapNone/>
            <wp:docPr id="714" name="Picture 7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4"/>
                    <pic:cNvPicPr>
                      <a:picLocks noChangeAspect="1" noChangeArrowheads="1"/>
                    </pic:cNvPicPr>
                  </pic:nvPicPr>
                  <pic:blipFill>
                    <a:blip r:embed="rId751">
                      <a:extLst>
                        <a:ext uri="{28A0092B-C50C-407E-A947-70E740481C1C}"/>
                      </a:extLst>
                    </a:blip>
                    <a:srcRect/>
                    <a:stretch>
                      <a:fillRect/>
                    </a:stretch>
                  </pic:blipFill>
                  <pic:spPr bwMode="auto">
                    <a:xfrm>
                      <a:off x="0" y="0"/>
                      <a:ext cx="5156200" cy="6985"/>
                    </a:xfrm>
                    <a:prstGeom prst="rect">
                      <a:avLst/>
                    </a:prstGeom>
                    <a:noFill/>
                  </pic:spPr>
                </pic:pic>
              </a:graphicData>
            </a:graphic>
          </wp:anchor>
        </w:drawing>
        <w:drawing>
          <wp:anchor simplePos="0" relativeHeight="251657728" behindDoc="1" locked="0" layoutInCell="0" allowOverlap="1">
            <wp:simplePos x="0" y="0"/>
            <wp:positionH relativeFrom="column">
              <wp:posOffset>2112645</wp:posOffset>
            </wp:positionH>
            <wp:positionV relativeFrom="paragraph">
              <wp:posOffset>-159385</wp:posOffset>
            </wp:positionV>
            <wp:extent cx="5156200" cy="6985"/>
            <wp:wrapNone/>
            <wp:docPr id="715" name="Picture 7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5"/>
                    <pic:cNvPicPr>
                      <a:picLocks noChangeAspect="1" noChangeArrowheads="1"/>
                    </pic:cNvPicPr>
                  </pic:nvPicPr>
                  <pic:blipFill>
                    <a:blip r:embed="rId752">
                      <a:extLst>
                        <a:ext uri="{28A0092B-C50C-407E-A947-70E740481C1C}"/>
                      </a:extLst>
                    </a:blip>
                    <a:srcRect/>
                    <a:stretch>
                      <a:fillRect/>
                    </a:stretch>
                  </pic:blipFill>
                  <pic:spPr bwMode="auto">
                    <a:xfrm>
                      <a:off x="0" y="0"/>
                      <a:ext cx="5156200" cy="6985"/>
                    </a:xfrm>
                    <a:prstGeom prst="rect">
                      <a:avLst/>
                    </a:prstGeom>
                    <a:noFill/>
                  </pic:spPr>
                </pic:pic>
              </a:graphicData>
            </a:graphic>
          </wp:anchor>
        </w:drawing>
        <w:drawing>
          <wp:anchor simplePos="0" relativeHeight="251657728" behindDoc="1" locked="0" layoutInCell="0" allowOverlap="1">
            <wp:simplePos x="0" y="0"/>
            <wp:positionH relativeFrom="column">
              <wp:posOffset>2112645</wp:posOffset>
            </wp:positionH>
            <wp:positionV relativeFrom="paragraph">
              <wp:posOffset>-331470</wp:posOffset>
            </wp:positionV>
            <wp:extent cx="5156200" cy="6985"/>
            <wp:wrapNone/>
            <wp:docPr id="716" name="Picture 7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6"/>
                    <pic:cNvPicPr>
                      <a:picLocks noChangeAspect="1" noChangeArrowheads="1"/>
                    </pic:cNvPicPr>
                  </pic:nvPicPr>
                  <pic:blipFill>
                    <a:blip r:embed="rId753">
                      <a:extLst>
                        <a:ext uri="{28A0092B-C50C-407E-A947-70E740481C1C}"/>
                      </a:extLst>
                    </a:blip>
                    <a:srcRect/>
                    <a:stretch>
                      <a:fillRect/>
                    </a:stretch>
                  </pic:blipFill>
                  <pic:spPr bwMode="auto">
                    <a:xfrm>
                      <a:off x="0" y="0"/>
                      <a:ext cx="5156200" cy="6985"/>
                    </a:xfrm>
                    <a:prstGeom prst="rect">
                      <a:avLst/>
                    </a:prstGeom>
                    <a:noFill/>
                  </pic:spPr>
                </pic:pic>
              </a:graphicData>
            </a:graphic>
          </wp:anchor>
        </w:drawing>
      </w:r>
    </w:p>
    <w:p>
      <w:pPr>
        <w:spacing w:after="0" w:line="202" w:lineRule="exact"/>
        <w:rPr>
          <w:sz w:val="20"/>
          <w:szCs w:val="20"/>
          <w:color w:val="auto"/>
        </w:rPr>
      </w:pPr>
    </w:p>
    <w:tbl>
      <w:tblPr>
        <w:tblLayout w:type="fixed"/>
        <w:tblInd w:w="10" w:type="dxa"/>
        <w:tblCellMar>
          <w:top w:w="0" w:type="dxa"/>
          <w:left w:w="0" w:type="dxa"/>
          <w:bottom w:w="0" w:type="dxa"/>
          <w:right w:w="0" w:type="dxa"/>
        </w:tblCellMar>
      </w:tblPr>
      <w:tr>
        <w:trPr>
          <w:trHeight w:val="180"/>
        </w:trPr>
        <w:tc>
          <w:tcPr>
            <w:tcW w:w="280" w:type="dxa"/>
            <w:vAlign w:val="bottom"/>
          </w:tcPr>
          <w:p>
            <w:pPr>
              <w:jc w:val="right"/>
              <w:ind w:right="116"/>
              <w:spacing w:after="0"/>
              <w:rPr>
                <w:sz w:val="20"/>
                <w:szCs w:val="20"/>
                <w:color w:val="auto"/>
              </w:rPr>
            </w:pPr>
            <w:r>
              <w:rPr>
                <w:rFonts w:ascii="Arial" w:cs="Arial" w:eastAsia="Arial" w:hAnsi="Arial"/>
                <w:sz w:val="13"/>
                <w:szCs w:val="13"/>
                <w:color w:val="auto"/>
                <w:w w:val="73"/>
              </w:rPr>
              <w:t>4.</w:t>
            </w:r>
          </w:p>
        </w:tc>
        <w:tc>
          <w:tcPr>
            <w:tcW w:w="5600" w:type="dxa"/>
            <w:vAlign w:val="bottom"/>
          </w:tcPr>
          <w:p>
            <w:pPr>
              <w:ind w:left="160"/>
              <w:spacing w:after="0"/>
              <w:rPr>
                <w:sz w:val="20"/>
                <w:szCs w:val="20"/>
                <w:color w:val="auto"/>
              </w:rPr>
            </w:pPr>
            <w:r>
              <w:rPr>
                <w:rFonts w:ascii="Arial" w:cs="Arial" w:eastAsia="Arial" w:hAnsi="Arial"/>
                <w:sz w:val="15"/>
                <w:szCs w:val="15"/>
                <w:color w:val="auto"/>
              </w:rPr>
              <w:t>The property with respect to which the election is made is described as follows:</w:t>
            </w:r>
          </w:p>
        </w:tc>
        <w:tc>
          <w:tcPr>
            <w:tcW w:w="4960" w:type="dxa"/>
            <w:vAlign w:val="bottom"/>
            <w:gridSpan w:val="3"/>
          </w:tcPr>
          <w:p>
            <w:pPr>
              <w:jc w:val="right"/>
              <w:spacing w:after="0"/>
              <w:rPr>
                <w:sz w:val="20"/>
                <w:szCs w:val="20"/>
                <w:color w:val="auto"/>
              </w:rPr>
            </w:pPr>
            <w:r>
              <w:rPr>
                <w:rFonts w:ascii="Arial" w:cs="Arial" w:eastAsia="Arial" w:hAnsi="Arial"/>
                <w:sz w:val="15"/>
                <w:szCs w:val="15"/>
                <w:color w:val="auto"/>
                <w:w w:val="93"/>
              </w:rPr>
              <w:t>shares of Class B Common Stock of Dropbox, Inc., a Delaware corporation (the</w:t>
            </w:r>
          </w:p>
        </w:tc>
      </w:tr>
      <w:tr>
        <w:trPr>
          <w:trHeight w:val="190"/>
        </w:trPr>
        <w:tc>
          <w:tcPr>
            <w:tcW w:w="280" w:type="dxa"/>
            <w:vAlign w:val="bottom"/>
          </w:tcPr>
          <w:p>
            <w:pPr>
              <w:spacing w:after="0"/>
              <w:rPr>
                <w:sz w:val="16"/>
                <w:szCs w:val="16"/>
                <w:color w:val="auto"/>
              </w:rPr>
            </w:pPr>
          </w:p>
        </w:tc>
        <w:tc>
          <w:tcPr>
            <w:tcW w:w="10560" w:type="dxa"/>
            <w:vAlign w:val="bottom"/>
            <w:gridSpan w:val="4"/>
          </w:tcPr>
          <w:p>
            <w:pPr>
              <w:ind w:left="160"/>
              <w:spacing w:after="0"/>
              <w:rPr>
                <w:sz w:val="20"/>
                <w:szCs w:val="20"/>
                <w:color w:val="auto"/>
              </w:rPr>
            </w:pPr>
            <w:r>
              <w:rPr>
                <w:rFonts w:ascii="Arial" w:cs="Arial" w:eastAsia="Arial" w:hAnsi="Arial"/>
                <w:sz w:val="15"/>
                <w:szCs w:val="15"/>
                <w:color w:val="auto"/>
                <w:w w:val="92"/>
              </w:rPr>
              <w:t>“</w:t>
            </w:r>
            <w:r>
              <w:rPr>
                <w:rFonts w:ascii="Arial" w:cs="Arial" w:eastAsia="Arial" w:hAnsi="Arial"/>
                <w:sz w:val="15"/>
                <w:szCs w:val="15"/>
                <w:b w:val="1"/>
                <w:bCs w:val="1"/>
                <w:i w:val="1"/>
                <w:iCs w:val="1"/>
                <w:color w:val="auto"/>
                <w:w w:val="92"/>
              </w:rPr>
              <w:t>Company</w:t>
            </w:r>
            <w:r>
              <w:rPr>
                <w:rFonts w:ascii="Arial" w:cs="Arial" w:eastAsia="Arial" w:hAnsi="Arial"/>
                <w:sz w:val="15"/>
                <w:szCs w:val="15"/>
                <w:color w:val="auto"/>
                <w:w w:val="92"/>
              </w:rPr>
              <w:t>”) which were transferred upon exercise of an option by Company, which is Taxpayer’s employer or the corporation for whom the Taxpayer performs services.</w:t>
            </w:r>
          </w:p>
        </w:tc>
      </w:tr>
      <w:tr>
        <w:trPr>
          <w:trHeight w:val="282"/>
        </w:trPr>
        <w:tc>
          <w:tcPr>
            <w:tcW w:w="280" w:type="dxa"/>
            <w:vAlign w:val="bottom"/>
          </w:tcPr>
          <w:p>
            <w:pPr>
              <w:jc w:val="right"/>
              <w:ind w:right="116"/>
              <w:spacing w:after="0"/>
              <w:rPr>
                <w:sz w:val="20"/>
                <w:szCs w:val="20"/>
                <w:color w:val="auto"/>
              </w:rPr>
            </w:pPr>
            <w:r>
              <w:rPr>
                <w:rFonts w:ascii="Arial" w:cs="Arial" w:eastAsia="Arial" w:hAnsi="Arial"/>
                <w:sz w:val="13"/>
                <w:szCs w:val="13"/>
                <w:color w:val="auto"/>
                <w:w w:val="73"/>
              </w:rPr>
              <w:t>5.</w:t>
            </w:r>
          </w:p>
        </w:tc>
        <w:tc>
          <w:tcPr>
            <w:tcW w:w="5600" w:type="dxa"/>
            <w:vAlign w:val="bottom"/>
          </w:tcPr>
          <w:p>
            <w:pPr>
              <w:ind w:left="160"/>
              <w:spacing w:after="0"/>
              <w:rPr>
                <w:sz w:val="20"/>
                <w:szCs w:val="20"/>
                <w:color w:val="auto"/>
              </w:rPr>
            </w:pPr>
            <w:r>
              <w:rPr>
                <w:rFonts w:ascii="Arial" w:cs="Arial" w:eastAsia="Arial" w:hAnsi="Arial"/>
                <w:sz w:val="15"/>
                <w:szCs w:val="15"/>
                <w:color w:val="auto"/>
                <w:w w:val="91"/>
              </w:rPr>
              <w:t>The date on which the shares were transferred pursuant to the exercise of the option was</w:t>
            </w:r>
          </w:p>
        </w:tc>
        <w:tc>
          <w:tcPr>
            <w:tcW w:w="1060" w:type="dxa"/>
            <w:vAlign w:val="bottom"/>
          </w:tcPr>
          <w:p>
            <w:pPr>
              <w:jc w:val="right"/>
              <w:ind w:right="105"/>
              <w:spacing w:after="0"/>
              <w:rPr>
                <w:sz w:val="20"/>
                <w:szCs w:val="20"/>
                <w:color w:val="auto"/>
              </w:rPr>
            </w:pPr>
            <w:r>
              <w:rPr>
                <w:rFonts w:ascii="Arial" w:cs="Arial" w:eastAsia="Arial" w:hAnsi="Arial"/>
                <w:sz w:val="15"/>
                <w:szCs w:val="15"/>
                <w:color w:val="auto"/>
              </w:rPr>
              <w:t>, 20</w:t>
            </w:r>
          </w:p>
        </w:tc>
        <w:tc>
          <w:tcPr>
            <w:tcW w:w="3040" w:type="dxa"/>
            <w:vAlign w:val="bottom"/>
          </w:tcPr>
          <w:p>
            <w:pPr>
              <w:ind w:left="160"/>
              <w:spacing w:after="0"/>
              <w:rPr>
                <w:sz w:val="20"/>
                <w:szCs w:val="20"/>
                <w:color w:val="auto"/>
              </w:rPr>
            </w:pPr>
            <w:r>
              <w:rPr>
                <w:rFonts w:ascii="Arial" w:cs="Arial" w:eastAsia="Arial" w:hAnsi="Arial"/>
                <w:sz w:val="15"/>
                <w:szCs w:val="15"/>
                <w:color w:val="auto"/>
                <w:w w:val="94"/>
              </w:rPr>
              <w:t>and this election is made for calendar year 20</w:t>
            </w:r>
          </w:p>
        </w:tc>
        <w:tc>
          <w:tcPr>
            <w:tcW w:w="860" w:type="dxa"/>
            <w:vAlign w:val="bottom"/>
          </w:tcPr>
          <w:p>
            <w:pPr>
              <w:jc w:val="right"/>
              <w:ind w:right="605"/>
              <w:spacing w:after="0"/>
              <w:rPr>
                <w:sz w:val="20"/>
                <w:szCs w:val="20"/>
                <w:color w:val="auto"/>
              </w:rPr>
            </w:pPr>
            <w:r>
              <w:rPr>
                <w:rFonts w:ascii="Arial" w:cs="Arial" w:eastAsia="Arial" w:hAnsi="Arial"/>
                <w:sz w:val="15"/>
                <w:szCs w:val="15"/>
                <w:color w:val="auto"/>
              </w:rPr>
              <w:t>.</w:t>
            </w:r>
          </w:p>
        </w:tc>
      </w:tr>
    </w:tbl>
    <w:p>
      <w:pPr>
        <w:spacing w:after="0" w:line="92" w:lineRule="exact"/>
        <w:rPr>
          <w:sz w:val="20"/>
          <w:szCs w:val="20"/>
          <w:color w:val="auto"/>
        </w:rPr>
      </w:pPr>
    </w:p>
    <w:p>
      <w:pPr>
        <w:ind w:left="450" w:right="440" w:hanging="450"/>
        <w:spacing w:after="0" w:line="275" w:lineRule="auto"/>
        <w:tabs>
          <w:tab w:leader="none" w:pos="450" w:val="left"/>
        </w:tabs>
        <w:numPr>
          <w:ilvl w:val="0"/>
          <w:numId w:val="449"/>
        </w:numPr>
        <w:rPr>
          <w:rFonts w:ascii="Arial" w:cs="Arial" w:eastAsia="Arial" w:hAnsi="Arial"/>
          <w:sz w:val="15"/>
          <w:szCs w:val="15"/>
          <w:color w:val="auto"/>
        </w:rPr>
      </w:pPr>
      <w:r>
        <w:rPr>
          <w:rFonts w:ascii="Arial" w:cs="Arial" w:eastAsia="Arial" w:hAnsi="Arial"/>
          <w:sz w:val="15"/>
          <w:szCs w:val="15"/>
          <w:color w:val="auto"/>
        </w:rPr>
        <w:t>The shares received upon exercise of the option are subject to the following restrictions: The Company may repurchase all or a portion of the shares at the Taxpayer’s original purchase price under certain conditions at the time of Taxpayer’s termination of employment or services.</w:t>
      </w:r>
    </w:p>
    <w:p>
      <w:pPr>
        <w:spacing w:after="0" w:line="67" w:lineRule="exact"/>
        <w:rPr>
          <w:sz w:val="20"/>
          <w:szCs w:val="20"/>
          <w:color w:val="auto"/>
        </w:rPr>
      </w:pPr>
    </w:p>
    <w:tbl>
      <w:tblPr>
        <w:tblLayout w:type="fixed"/>
        <w:tblInd w:w="10" w:type="dxa"/>
        <w:tblCellMar>
          <w:top w:w="0" w:type="dxa"/>
          <w:left w:w="0" w:type="dxa"/>
          <w:bottom w:w="0" w:type="dxa"/>
          <w:right w:w="0" w:type="dxa"/>
        </w:tblCellMar>
      </w:tblPr>
      <w:tr>
        <w:trPr>
          <w:trHeight w:val="180"/>
        </w:trPr>
        <w:tc>
          <w:tcPr>
            <w:tcW w:w="280" w:type="dxa"/>
            <w:vAlign w:val="bottom"/>
          </w:tcPr>
          <w:p>
            <w:pPr>
              <w:jc w:val="right"/>
              <w:ind w:right="116"/>
              <w:spacing w:after="0"/>
              <w:rPr>
                <w:sz w:val="20"/>
                <w:szCs w:val="20"/>
                <w:color w:val="auto"/>
              </w:rPr>
            </w:pPr>
            <w:r>
              <w:rPr>
                <w:rFonts w:ascii="Arial" w:cs="Arial" w:eastAsia="Arial" w:hAnsi="Arial"/>
                <w:sz w:val="13"/>
                <w:szCs w:val="13"/>
                <w:color w:val="auto"/>
                <w:w w:val="73"/>
              </w:rPr>
              <w:t>7.</w:t>
            </w:r>
          </w:p>
        </w:tc>
        <w:tc>
          <w:tcPr>
            <w:tcW w:w="10120" w:type="dxa"/>
            <w:vAlign w:val="bottom"/>
            <w:gridSpan w:val="6"/>
          </w:tcPr>
          <w:p>
            <w:pPr>
              <w:ind w:left="160"/>
              <w:spacing w:after="0"/>
              <w:rPr>
                <w:sz w:val="20"/>
                <w:szCs w:val="20"/>
                <w:color w:val="auto"/>
              </w:rPr>
            </w:pPr>
            <w:r>
              <w:rPr>
                <w:rFonts w:ascii="Arial" w:cs="Arial" w:eastAsia="Arial" w:hAnsi="Arial"/>
                <w:sz w:val="15"/>
                <w:szCs w:val="15"/>
                <w:color w:val="auto"/>
                <w:w w:val="92"/>
              </w:rPr>
              <w:t>The fair market value of the shares (without regard to restrictions other than a nonlapse restriction as defined in § 1.83.3(h) of the Income Tax Regulations) was $</w:t>
            </w:r>
          </w:p>
        </w:tc>
        <w:tc>
          <w:tcPr>
            <w:tcW w:w="800" w:type="dxa"/>
            <w:vAlign w:val="bottom"/>
          </w:tcPr>
          <w:p>
            <w:pPr>
              <w:ind w:left="240"/>
              <w:spacing w:after="0"/>
              <w:rPr>
                <w:sz w:val="20"/>
                <w:szCs w:val="20"/>
                <w:color w:val="auto"/>
              </w:rPr>
            </w:pPr>
            <w:r>
              <w:rPr>
                <w:rFonts w:ascii="Arial" w:cs="Arial" w:eastAsia="Arial" w:hAnsi="Arial"/>
                <w:sz w:val="15"/>
                <w:szCs w:val="15"/>
                <w:color w:val="auto"/>
                <w:w w:val="85"/>
              </w:rPr>
              <w:t>per share</w:t>
            </w:r>
          </w:p>
        </w:tc>
      </w:tr>
      <w:tr>
        <w:trPr>
          <w:trHeight w:val="190"/>
        </w:trPr>
        <w:tc>
          <w:tcPr>
            <w:tcW w:w="280" w:type="dxa"/>
            <w:vAlign w:val="bottom"/>
          </w:tcPr>
          <w:p>
            <w:pPr>
              <w:spacing w:after="0"/>
              <w:rPr>
                <w:sz w:val="16"/>
                <w:szCs w:val="16"/>
                <w:color w:val="auto"/>
              </w:rPr>
            </w:pPr>
          </w:p>
        </w:tc>
        <w:tc>
          <w:tcPr>
            <w:tcW w:w="640" w:type="dxa"/>
            <w:vAlign w:val="bottom"/>
          </w:tcPr>
          <w:p>
            <w:pPr>
              <w:ind w:left="160"/>
              <w:spacing w:after="0"/>
              <w:rPr>
                <w:sz w:val="20"/>
                <w:szCs w:val="20"/>
                <w:color w:val="auto"/>
              </w:rPr>
            </w:pPr>
            <w:r>
              <w:rPr>
                <w:rFonts w:ascii="Arial" w:cs="Arial" w:eastAsia="Arial" w:hAnsi="Arial"/>
                <w:sz w:val="15"/>
                <w:szCs w:val="15"/>
                <w:color w:val="auto"/>
              </w:rPr>
              <w:t>x</w:t>
            </w:r>
          </w:p>
        </w:tc>
        <w:tc>
          <w:tcPr>
            <w:tcW w:w="1220" w:type="dxa"/>
            <w:vAlign w:val="bottom"/>
          </w:tcPr>
          <w:p>
            <w:pPr>
              <w:ind w:left="380"/>
              <w:spacing w:after="0"/>
              <w:rPr>
                <w:sz w:val="20"/>
                <w:szCs w:val="20"/>
                <w:color w:val="auto"/>
              </w:rPr>
            </w:pPr>
            <w:r>
              <w:rPr>
                <w:rFonts w:ascii="Arial" w:cs="Arial" w:eastAsia="Arial" w:hAnsi="Arial"/>
                <w:sz w:val="15"/>
                <w:szCs w:val="15"/>
                <w:color w:val="auto"/>
              </w:rPr>
              <w:t>shares = $</w:t>
            </w:r>
          </w:p>
        </w:tc>
        <w:tc>
          <w:tcPr>
            <w:tcW w:w="2560" w:type="dxa"/>
            <w:vAlign w:val="bottom"/>
          </w:tcPr>
          <w:p>
            <w:pPr>
              <w:jc w:val="right"/>
              <w:ind w:right="2225"/>
              <w:spacing w:after="0"/>
              <w:rPr>
                <w:sz w:val="20"/>
                <w:szCs w:val="20"/>
                <w:color w:val="auto"/>
              </w:rPr>
            </w:pPr>
            <w:r>
              <w:rPr>
                <w:rFonts w:ascii="Arial" w:cs="Arial" w:eastAsia="Arial" w:hAnsi="Arial"/>
                <w:sz w:val="15"/>
                <w:szCs w:val="15"/>
                <w:color w:val="auto"/>
              </w:rPr>
              <w:t>.</w:t>
            </w:r>
          </w:p>
        </w:tc>
        <w:tc>
          <w:tcPr>
            <w:tcW w:w="13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3020" w:type="dxa"/>
            <w:vAlign w:val="bottom"/>
          </w:tcPr>
          <w:p>
            <w:pPr>
              <w:spacing w:after="0"/>
              <w:rPr>
                <w:sz w:val="16"/>
                <w:szCs w:val="16"/>
                <w:color w:val="auto"/>
              </w:rPr>
            </w:pPr>
          </w:p>
        </w:tc>
        <w:tc>
          <w:tcPr>
            <w:tcW w:w="800" w:type="dxa"/>
            <w:vAlign w:val="bottom"/>
          </w:tcPr>
          <w:p>
            <w:pPr>
              <w:spacing w:after="0"/>
              <w:rPr>
                <w:sz w:val="16"/>
                <w:szCs w:val="16"/>
                <w:color w:val="auto"/>
              </w:rPr>
            </w:pPr>
          </w:p>
        </w:tc>
      </w:tr>
      <w:tr>
        <w:trPr>
          <w:trHeight w:val="282"/>
        </w:trPr>
        <w:tc>
          <w:tcPr>
            <w:tcW w:w="280" w:type="dxa"/>
            <w:vAlign w:val="bottom"/>
          </w:tcPr>
          <w:p>
            <w:pPr>
              <w:jc w:val="right"/>
              <w:ind w:right="116"/>
              <w:spacing w:after="0"/>
              <w:rPr>
                <w:sz w:val="20"/>
                <w:szCs w:val="20"/>
                <w:color w:val="auto"/>
              </w:rPr>
            </w:pPr>
            <w:r>
              <w:rPr>
                <w:rFonts w:ascii="Arial" w:cs="Arial" w:eastAsia="Arial" w:hAnsi="Arial"/>
                <w:sz w:val="13"/>
                <w:szCs w:val="13"/>
                <w:color w:val="auto"/>
                <w:w w:val="73"/>
              </w:rPr>
              <w:t>8.</w:t>
            </w:r>
          </w:p>
        </w:tc>
        <w:tc>
          <w:tcPr>
            <w:tcW w:w="4420" w:type="dxa"/>
            <w:vAlign w:val="bottom"/>
            <w:gridSpan w:val="3"/>
          </w:tcPr>
          <w:p>
            <w:pPr>
              <w:ind w:left="160"/>
              <w:spacing w:after="0"/>
              <w:rPr>
                <w:sz w:val="20"/>
                <w:szCs w:val="20"/>
                <w:color w:val="auto"/>
              </w:rPr>
            </w:pPr>
            <w:r>
              <w:rPr>
                <w:rFonts w:ascii="Arial" w:cs="Arial" w:eastAsia="Arial" w:hAnsi="Arial"/>
                <w:sz w:val="15"/>
                <w:szCs w:val="15"/>
                <w:color w:val="auto"/>
                <w:w w:val="94"/>
              </w:rPr>
              <w:t>The amount paid for such shares upon exercise of the option was $</w:t>
            </w:r>
          </w:p>
        </w:tc>
        <w:tc>
          <w:tcPr>
            <w:tcW w:w="1300" w:type="dxa"/>
            <w:vAlign w:val="bottom"/>
          </w:tcPr>
          <w:p>
            <w:pPr>
              <w:ind w:left="240"/>
              <w:spacing w:after="0"/>
              <w:rPr>
                <w:sz w:val="20"/>
                <w:szCs w:val="20"/>
                <w:color w:val="auto"/>
              </w:rPr>
            </w:pPr>
            <w:r>
              <w:rPr>
                <w:rFonts w:ascii="Arial" w:cs="Arial" w:eastAsia="Arial" w:hAnsi="Arial"/>
                <w:sz w:val="15"/>
                <w:szCs w:val="15"/>
                <w:color w:val="auto"/>
              </w:rPr>
              <w:t>per share x</w:t>
            </w:r>
          </w:p>
        </w:tc>
        <w:tc>
          <w:tcPr>
            <w:tcW w:w="1380" w:type="dxa"/>
            <w:vAlign w:val="bottom"/>
          </w:tcPr>
          <w:p>
            <w:pPr>
              <w:ind w:left="400"/>
              <w:spacing w:after="0"/>
              <w:rPr>
                <w:sz w:val="20"/>
                <w:szCs w:val="20"/>
                <w:color w:val="auto"/>
              </w:rPr>
            </w:pPr>
            <w:r>
              <w:rPr>
                <w:rFonts w:ascii="Arial" w:cs="Arial" w:eastAsia="Arial" w:hAnsi="Arial"/>
                <w:sz w:val="15"/>
                <w:szCs w:val="15"/>
                <w:color w:val="auto"/>
              </w:rPr>
              <w:t>shares = $</w:t>
            </w:r>
          </w:p>
        </w:tc>
        <w:tc>
          <w:tcPr>
            <w:tcW w:w="3020" w:type="dxa"/>
            <w:vAlign w:val="bottom"/>
          </w:tcPr>
          <w:p>
            <w:pPr>
              <w:jc w:val="right"/>
              <w:ind w:right="2525"/>
              <w:spacing w:after="0"/>
              <w:rPr>
                <w:sz w:val="20"/>
                <w:szCs w:val="20"/>
                <w:color w:val="auto"/>
              </w:rPr>
            </w:pPr>
            <w:r>
              <w:rPr>
                <w:rFonts w:ascii="Arial" w:cs="Arial" w:eastAsia="Arial" w:hAnsi="Arial"/>
                <w:sz w:val="15"/>
                <w:szCs w:val="15"/>
                <w:color w:val="auto"/>
              </w:rPr>
              <w:t>.</w:t>
            </w:r>
          </w:p>
        </w:tc>
        <w:tc>
          <w:tcPr>
            <w:tcW w:w="800" w:type="dxa"/>
            <w:vAlign w:val="bottom"/>
          </w:tcPr>
          <w:p>
            <w:pPr>
              <w:spacing w:after="0"/>
              <w:rPr>
                <w:sz w:val="24"/>
                <w:szCs w:val="24"/>
                <w:color w:val="auto"/>
              </w:rPr>
            </w:pPr>
          </w:p>
        </w:tc>
      </w:tr>
    </w:tbl>
    <w:p>
      <w:pPr>
        <w:spacing w:after="0" w:line="92" w:lineRule="exact"/>
        <w:rPr>
          <w:sz w:val="20"/>
          <w:szCs w:val="20"/>
          <w:color w:val="auto"/>
        </w:rPr>
      </w:pPr>
    </w:p>
    <w:p>
      <w:pPr>
        <w:ind w:left="450" w:hanging="450"/>
        <w:spacing w:after="0"/>
        <w:tabs>
          <w:tab w:leader="none" w:pos="450" w:val="left"/>
        </w:tabs>
        <w:numPr>
          <w:ilvl w:val="0"/>
          <w:numId w:val="450"/>
        </w:numPr>
        <w:rPr>
          <w:rFonts w:ascii="Arial" w:cs="Arial" w:eastAsia="Arial" w:hAnsi="Arial"/>
          <w:sz w:val="15"/>
          <w:szCs w:val="15"/>
          <w:color w:val="auto"/>
        </w:rPr>
      </w:pPr>
      <w:r>
        <w:rPr>
          <w:rFonts w:ascii="Arial" w:cs="Arial" w:eastAsia="Arial" w:hAnsi="Arial"/>
          <w:sz w:val="15"/>
          <w:szCs w:val="15"/>
          <w:color w:val="auto"/>
        </w:rPr>
        <w:t>The Taxpayer has submitted a copy of this statement to the Company.</w:t>
      </w:r>
    </w:p>
    <w:p>
      <w:pPr>
        <w:spacing w:after="0" w:line="109" w:lineRule="exact"/>
        <w:rPr>
          <w:sz w:val="20"/>
          <w:szCs w:val="20"/>
          <w:color w:val="auto"/>
        </w:rPr>
      </w:pPr>
    </w:p>
    <w:p>
      <w:pPr>
        <w:ind w:left="10"/>
        <w:spacing w:after="0"/>
        <w:tabs>
          <w:tab w:leader="none" w:pos="429" w:val="left"/>
          <w:tab w:leader="none" w:pos="6769" w:val="left"/>
        </w:tabs>
        <w:rPr>
          <w:sz w:val="20"/>
          <w:szCs w:val="20"/>
          <w:color w:val="auto"/>
        </w:rPr>
      </w:pPr>
      <w:r>
        <w:rPr>
          <w:rFonts w:ascii="Arial" w:cs="Arial" w:eastAsia="Arial" w:hAnsi="Arial"/>
          <w:sz w:val="14"/>
          <w:szCs w:val="14"/>
          <w:color w:val="auto"/>
        </w:rPr>
        <w:t>10.</w:t>
      </w:r>
      <w:r>
        <w:rPr>
          <w:sz w:val="20"/>
          <w:szCs w:val="20"/>
          <w:color w:val="auto"/>
        </w:rPr>
        <w:tab/>
      </w:r>
      <w:r>
        <w:rPr>
          <w:rFonts w:ascii="Arial" w:cs="Arial" w:eastAsia="Arial" w:hAnsi="Arial"/>
          <w:sz w:val="14"/>
          <w:szCs w:val="14"/>
          <w:color w:val="auto"/>
        </w:rPr>
        <w:t>The amount to include in the Taxpayer’s gross income for the Taxpayer’s current taxable year is $</w:t>
      </w:r>
      <w:r>
        <w:rPr>
          <w:sz w:val="20"/>
          <w:szCs w:val="20"/>
          <w:color w:val="auto"/>
        </w:rPr>
        <w:tab/>
      </w:r>
      <w:r>
        <w:rPr>
          <w:rFonts w:ascii="Arial" w:cs="Arial" w:eastAsia="Arial" w:hAnsi="Arial"/>
          <w:sz w:val="14"/>
          <w:szCs w:val="14"/>
          <w:color w:val="auto"/>
        </w:rPr>
        <w:t>.</w:t>
      </w:r>
    </w:p>
    <w:p>
      <w:pPr>
        <w:spacing w:after="0" w:line="200" w:lineRule="exact"/>
        <w:rPr>
          <w:sz w:val="20"/>
          <w:szCs w:val="20"/>
          <w:color w:val="auto"/>
        </w:rPr>
      </w:pPr>
    </w:p>
    <w:p>
      <w:pPr>
        <w:ind w:left="10"/>
        <w:spacing w:after="0" w:line="263" w:lineRule="auto"/>
        <w:rPr>
          <w:sz w:val="20"/>
          <w:szCs w:val="20"/>
          <w:color w:val="auto"/>
        </w:rPr>
      </w:pPr>
      <w:r>
        <w:rPr>
          <w:rFonts w:ascii="Arial" w:cs="Arial" w:eastAsia="Arial" w:hAnsi="Arial"/>
          <w:sz w:val="15"/>
          <w:szCs w:val="15"/>
          <w:i w:val="1"/>
          <w:iCs w:val="1"/>
          <w:color w:val="auto"/>
        </w:rPr>
        <w:t>THIS ELECTION MUST BE FILED WITH THE INTERNAL REVENUE SERVICE (“</w:t>
      </w:r>
      <w:r>
        <w:rPr>
          <w:rFonts w:ascii="Arial" w:cs="Arial" w:eastAsia="Arial" w:hAnsi="Arial"/>
          <w:sz w:val="15"/>
          <w:szCs w:val="15"/>
          <w:b w:val="1"/>
          <w:bCs w:val="1"/>
          <w:i w:val="1"/>
          <w:iCs w:val="1"/>
          <w:color w:val="auto"/>
        </w:rPr>
        <w:t>IRS</w:t>
      </w:r>
      <w:r>
        <w:rPr>
          <w:rFonts w:ascii="Arial" w:cs="Arial" w:eastAsia="Arial" w:hAnsi="Arial"/>
          <w:sz w:val="15"/>
          <w:szCs w:val="15"/>
          <w:i w:val="1"/>
          <w:iCs w:val="1"/>
          <w:color w:val="auto"/>
        </w:rPr>
        <w:t xml:space="preserve">”), AT THE OFFICE WHERE THE TAXPAYER FILES ANNUAL INCOME TAX RETURNS, </w:t>
      </w:r>
      <w:r>
        <w:rPr>
          <w:rFonts w:ascii="Arial" w:cs="Arial" w:eastAsia="Arial" w:hAnsi="Arial"/>
          <w:sz w:val="15"/>
          <w:szCs w:val="15"/>
          <w:i w:val="1"/>
          <w:iCs w:val="1"/>
          <w:u w:val="single" w:color="auto"/>
          <w:color w:val="auto"/>
        </w:rPr>
        <w:t>WITHIN 30 DAYS</w:t>
      </w:r>
      <w:r>
        <w:rPr>
          <w:rFonts w:ascii="Arial" w:cs="Arial" w:eastAsia="Arial" w:hAnsi="Arial"/>
          <w:sz w:val="15"/>
          <w:szCs w:val="15"/>
          <w:i w:val="1"/>
          <w:iCs w:val="1"/>
          <w:color w:val="auto"/>
        </w:rPr>
        <w:t xml:space="preserve"> AFTER THE DATE OF TRANSFER OF THE SHARES, AND MUST ALSO BE FILED WITH THE TAXPAYER’S INCOME TAX RETURNS FOR THE CALENDAR YEAR. THE ELECTION CANNOT BE REVOKED WITHOUT THE CONSENT OF THE IRS.</w:t>
      </w:r>
    </w:p>
    <w:p>
      <w:pPr>
        <w:spacing w:after="0" w:line="177" w:lineRule="exact"/>
        <w:rPr>
          <w:sz w:val="20"/>
          <w:szCs w:val="20"/>
          <w:color w:val="auto"/>
        </w:rPr>
      </w:pPr>
    </w:p>
    <w:p>
      <w:pPr>
        <w:ind w:left="10"/>
        <w:spacing w:after="0"/>
        <w:tabs>
          <w:tab w:leader="none" w:pos="869" w:val="left"/>
        </w:tabs>
        <w:rPr>
          <w:sz w:val="20"/>
          <w:szCs w:val="20"/>
          <w:color w:val="auto"/>
        </w:rPr>
      </w:pPr>
      <w:r>
        <w:rPr>
          <w:rFonts w:ascii="Arial" w:cs="Arial" w:eastAsia="Arial" w:hAnsi="Arial"/>
          <w:sz w:val="15"/>
          <w:szCs w:val="15"/>
          <w:color w:val="auto"/>
        </w:rPr>
        <w:t>Dated:</w:t>
      </w:r>
      <w:r>
        <w:rPr>
          <w:sz w:val="20"/>
          <w:szCs w:val="20"/>
          <w:color w:val="auto"/>
        </w:rPr>
        <w:tab/>
      </w:r>
      <w:r>
        <w:rPr>
          <w:rFonts w:ascii="Arial" w:cs="Arial" w:eastAsia="Arial" w:hAnsi="Arial"/>
          <w:sz w:val="15"/>
          <w:szCs w:val="15"/>
          <w:color w:val="auto"/>
        </w:rPr>
        <w:t>, 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3709670</wp:posOffset>
            </wp:positionH>
            <wp:positionV relativeFrom="paragraph">
              <wp:posOffset>12065</wp:posOffset>
            </wp:positionV>
            <wp:extent cx="3559175" cy="6985"/>
            <wp:wrapNone/>
            <wp:docPr id="717" name="Picture 7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7"/>
                    <pic:cNvPicPr>
                      <a:picLocks noChangeAspect="1" noChangeArrowheads="1"/>
                    </pic:cNvPicPr>
                  </pic:nvPicPr>
                  <pic:blipFill>
                    <a:blip r:embed="rId754">
                      <a:extLst>
                        <a:ext uri="{28A0092B-C50C-407E-A947-70E740481C1C}"/>
                      </a:extLst>
                    </a:blip>
                    <a:srcRect/>
                    <a:stretch>
                      <a:fillRect/>
                    </a:stretch>
                  </pic:blipFill>
                  <pic:spPr bwMode="auto">
                    <a:xfrm>
                      <a:off x="0" y="0"/>
                      <a:ext cx="3559175" cy="6985"/>
                    </a:xfrm>
                    <a:prstGeom prst="rect">
                      <a:avLst/>
                    </a:prstGeom>
                    <a:noFill/>
                  </pic:spPr>
                </pic:pic>
              </a:graphicData>
            </a:graphic>
          </wp:anchor>
        </w:drawing>
      </w:r>
    </w:p>
    <w:p>
      <w:pPr>
        <w:spacing w:after="0" w:line="11" w:lineRule="exact"/>
        <w:rPr>
          <w:sz w:val="20"/>
          <w:szCs w:val="20"/>
          <w:color w:val="auto"/>
        </w:rPr>
      </w:pPr>
    </w:p>
    <w:p>
      <w:pPr>
        <w:ind w:left="5850"/>
        <w:spacing w:after="0"/>
        <w:rPr>
          <w:sz w:val="20"/>
          <w:szCs w:val="20"/>
          <w:color w:val="auto"/>
        </w:rPr>
      </w:pPr>
      <w:r>
        <w:rPr>
          <w:rFonts w:ascii="Arial" w:cs="Arial" w:eastAsia="Arial" w:hAnsi="Arial"/>
          <w:sz w:val="15"/>
          <w:szCs w:val="15"/>
          <w:color w:val="auto"/>
        </w:rPr>
        <w:t>(Taxpayer Signature)</w:t>
      </w:r>
    </w:p>
    <w:p>
      <w:pPr>
        <w:sectPr>
          <w:pgSz w:w="11900" w:h="16838" w:orient="portrait"/>
          <w:cols w:equalWidth="0" w:num="1">
            <w:col w:w="11370"/>
          </w:cols>
          <w:pgMar w:left="230" w:top="249" w:right="299" w:bottom="1440" w:gutter="0" w:footer="0" w:header="0"/>
        </w:sectPr>
      </w:pPr>
    </w:p>
    <w:bookmarkStart w:id="480" w:name="page481"/>
    <w:bookmarkEnd w:id="480"/>
    <w:tbl>
      <w:tblPr>
        <w:tblLayout w:type="fixed"/>
        <w:tblInd w:w="440" w:type="dxa"/>
        <w:tblCellMar>
          <w:top w:w="0" w:type="dxa"/>
          <w:left w:w="0" w:type="dxa"/>
          <w:bottom w:w="0" w:type="dxa"/>
          <w:right w:w="0" w:type="dxa"/>
        </w:tblCellMar>
      </w:tblPr>
      <w:tr>
        <w:trPr>
          <w:trHeight w:val="172"/>
        </w:trPr>
        <w:tc>
          <w:tcPr>
            <w:tcW w:w="65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080" w:type="dxa"/>
            <w:vAlign w:val="bottom"/>
            <w:gridSpan w:val="2"/>
          </w:tcPr>
          <w:p>
            <w:pPr>
              <w:ind w:left="3100"/>
              <w:spacing w:after="0"/>
              <w:rPr>
                <w:sz w:val="20"/>
                <w:szCs w:val="20"/>
                <w:color w:val="auto"/>
              </w:rPr>
            </w:pPr>
            <w:r>
              <w:rPr>
                <w:rFonts w:ascii="Arial" w:cs="Arial" w:eastAsia="Arial" w:hAnsi="Arial"/>
                <w:sz w:val="15"/>
                <w:szCs w:val="15"/>
                <w:b w:val="1"/>
                <w:bCs w:val="1"/>
                <w:color w:val="auto"/>
                <w:w w:val="91"/>
              </w:rPr>
              <w:t>No. «GrantNo»</w:t>
            </w:r>
          </w:p>
        </w:tc>
      </w:tr>
      <w:tr>
        <w:trPr>
          <w:trHeight w:val="374"/>
        </w:trPr>
        <w:tc>
          <w:tcPr>
            <w:tcW w:w="6560" w:type="dxa"/>
            <w:vAlign w:val="bottom"/>
          </w:tcPr>
          <w:p>
            <w:pPr>
              <w:jc w:val="center"/>
              <w:ind w:left="3905"/>
              <w:spacing w:after="0"/>
              <w:rPr>
                <w:sz w:val="20"/>
                <w:szCs w:val="20"/>
                <w:color w:val="auto"/>
              </w:rPr>
            </w:pPr>
            <w:r>
              <w:rPr>
                <w:rFonts w:ascii="Arial" w:cs="Arial" w:eastAsia="Arial" w:hAnsi="Arial"/>
                <w:sz w:val="15"/>
                <w:szCs w:val="15"/>
                <w:b w:val="1"/>
                <w:bCs w:val="1"/>
                <w:color w:val="auto"/>
                <w:w w:val="99"/>
              </w:rPr>
              <w:t>DROPBOX, INC.</w:t>
            </w:r>
          </w:p>
        </w:tc>
        <w:tc>
          <w:tcPr>
            <w:tcW w:w="36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760" w:type="dxa"/>
            <w:vAlign w:val="bottom"/>
            <w:tcBorders>
              <w:top w:val="single" w:sz="8" w:color="auto"/>
            </w:tcBorders>
          </w:tcPr>
          <w:p>
            <w:pPr>
              <w:spacing w:after="0"/>
              <w:rPr>
                <w:sz w:val="24"/>
                <w:szCs w:val="24"/>
                <w:color w:val="auto"/>
              </w:rPr>
            </w:pPr>
          </w:p>
        </w:tc>
      </w:tr>
      <w:tr>
        <w:trPr>
          <w:trHeight w:val="361"/>
        </w:trPr>
        <w:tc>
          <w:tcPr>
            <w:tcW w:w="6560" w:type="dxa"/>
            <w:vAlign w:val="bottom"/>
          </w:tcPr>
          <w:p>
            <w:pPr>
              <w:jc w:val="center"/>
              <w:ind w:left="3905"/>
              <w:spacing w:after="0"/>
              <w:rPr>
                <w:sz w:val="20"/>
                <w:szCs w:val="20"/>
                <w:color w:val="auto"/>
              </w:rPr>
            </w:pPr>
            <w:r>
              <w:rPr>
                <w:rFonts w:ascii="Arial" w:cs="Arial" w:eastAsia="Arial" w:hAnsi="Arial"/>
                <w:sz w:val="15"/>
                <w:szCs w:val="15"/>
                <w:b w:val="1"/>
                <w:bCs w:val="1"/>
                <w:color w:val="auto"/>
              </w:rPr>
              <w:t>2008 EQUITY INCENTIVE PLAN</w:t>
            </w:r>
          </w:p>
        </w:tc>
        <w:tc>
          <w:tcPr>
            <w:tcW w:w="36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361"/>
        </w:trPr>
        <w:tc>
          <w:tcPr>
            <w:tcW w:w="6920" w:type="dxa"/>
            <w:vAlign w:val="bottom"/>
            <w:gridSpan w:val="2"/>
          </w:tcPr>
          <w:p>
            <w:pPr>
              <w:jc w:val="center"/>
              <w:ind w:left="3545"/>
              <w:spacing w:after="0"/>
              <w:rPr>
                <w:sz w:val="20"/>
                <w:szCs w:val="20"/>
                <w:color w:val="auto"/>
              </w:rPr>
            </w:pPr>
            <w:r>
              <w:rPr>
                <w:rFonts w:ascii="Arial" w:cs="Arial" w:eastAsia="Arial" w:hAnsi="Arial"/>
                <w:sz w:val="15"/>
                <w:szCs w:val="15"/>
                <w:b w:val="1"/>
                <w:bCs w:val="1"/>
                <w:color w:val="auto"/>
              </w:rPr>
              <w:t>STOCK OPTION EXERCISE AGREEMENT</w:t>
            </w:r>
          </w:p>
        </w:tc>
        <w:tc>
          <w:tcPr>
            <w:tcW w:w="332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361"/>
        </w:trPr>
        <w:tc>
          <w:tcPr>
            <w:tcW w:w="6560" w:type="dxa"/>
            <w:vAlign w:val="bottom"/>
          </w:tcPr>
          <w:p>
            <w:pPr>
              <w:spacing w:after="0"/>
              <w:rPr>
                <w:sz w:val="20"/>
                <w:szCs w:val="20"/>
                <w:color w:val="auto"/>
              </w:rPr>
            </w:pPr>
            <w:r>
              <w:rPr>
                <w:rFonts w:ascii="Arial" w:cs="Arial" w:eastAsia="Arial" w:hAnsi="Arial"/>
                <w:sz w:val="15"/>
                <w:szCs w:val="15"/>
                <w:color w:val="auto"/>
                <w:w w:val="99"/>
              </w:rPr>
              <w:t>This Stock Option Exercise Agreement (the “</w:t>
            </w:r>
            <w:r>
              <w:rPr>
                <w:rFonts w:ascii="Arial" w:cs="Arial" w:eastAsia="Arial" w:hAnsi="Arial"/>
                <w:sz w:val="15"/>
                <w:szCs w:val="15"/>
                <w:b w:val="1"/>
                <w:bCs w:val="1"/>
                <w:i w:val="1"/>
                <w:iCs w:val="1"/>
                <w:color w:val="auto"/>
                <w:w w:val="99"/>
              </w:rPr>
              <w:t>Exercise Agreement</w:t>
            </w:r>
            <w:r>
              <w:rPr>
                <w:rFonts w:ascii="Arial" w:cs="Arial" w:eastAsia="Arial" w:hAnsi="Arial"/>
                <w:sz w:val="15"/>
                <w:szCs w:val="15"/>
                <w:color w:val="auto"/>
                <w:w w:val="99"/>
              </w:rPr>
              <w:t>”) is made and entered into as of</w:t>
            </w:r>
          </w:p>
        </w:tc>
        <w:tc>
          <w:tcPr>
            <w:tcW w:w="360" w:type="dxa"/>
            <w:vAlign w:val="bottom"/>
          </w:tcPr>
          <w:p>
            <w:pPr>
              <w:jc w:val="right"/>
              <w:ind w:right="105"/>
              <w:spacing w:after="0"/>
              <w:rPr>
                <w:sz w:val="20"/>
                <w:szCs w:val="20"/>
                <w:color w:val="auto"/>
              </w:rPr>
            </w:pPr>
            <w:r>
              <w:rPr>
                <w:rFonts w:ascii="Arial" w:cs="Arial" w:eastAsia="Arial" w:hAnsi="Arial"/>
                <w:sz w:val="15"/>
                <w:szCs w:val="15"/>
                <w:color w:val="auto"/>
              </w:rPr>
              <w:t>,</w:t>
            </w:r>
          </w:p>
        </w:tc>
        <w:tc>
          <w:tcPr>
            <w:tcW w:w="4080" w:type="dxa"/>
            <w:vAlign w:val="bottom"/>
            <w:gridSpan w:val="2"/>
          </w:tcPr>
          <w:p>
            <w:pPr>
              <w:ind w:left="160"/>
              <w:spacing w:after="0"/>
              <w:rPr>
                <w:sz w:val="20"/>
                <w:szCs w:val="20"/>
                <w:color w:val="auto"/>
              </w:rPr>
            </w:pPr>
            <w:r>
              <w:rPr>
                <w:rFonts w:ascii="Arial" w:cs="Arial" w:eastAsia="Arial" w:hAnsi="Arial"/>
                <w:sz w:val="15"/>
                <w:szCs w:val="15"/>
                <w:color w:val="auto"/>
              </w:rPr>
              <w:t>(the “</w:t>
            </w:r>
            <w:r>
              <w:rPr>
                <w:rFonts w:ascii="Arial" w:cs="Arial" w:eastAsia="Arial" w:hAnsi="Arial"/>
                <w:sz w:val="15"/>
                <w:szCs w:val="15"/>
                <w:b w:val="1"/>
                <w:bCs w:val="1"/>
                <w:i w:val="1"/>
                <w:iCs w:val="1"/>
                <w:color w:val="auto"/>
              </w:rPr>
              <w:t>Effective Date</w:t>
            </w:r>
            <w:r>
              <w:rPr>
                <w:rFonts w:ascii="Arial" w:cs="Arial" w:eastAsia="Arial" w:hAnsi="Arial"/>
                <w:sz w:val="15"/>
                <w:szCs w:val="15"/>
                <w:color w:val="auto"/>
              </w:rPr>
              <w:t>”) by and between Dropbox, Inc., a</w:t>
            </w:r>
          </w:p>
        </w:tc>
      </w:tr>
    </w:tbl>
    <w:p>
      <w:pPr>
        <w:ind w:right="80"/>
        <w:spacing w:after="0" w:line="262"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133350</wp:posOffset>
            </wp:positionH>
            <wp:positionV relativeFrom="page">
              <wp:posOffset>88900</wp:posOffset>
            </wp:positionV>
            <wp:extent cx="7308850" cy="34290"/>
            <wp:wrapNone/>
            <wp:docPr id="718" name="Picture 7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8"/>
                    <pic:cNvPicPr>
                      <a:picLocks noChangeAspect="1" noChangeArrowheads="1"/>
                    </pic:cNvPicPr>
                  </pic:nvPicPr>
                  <pic:blipFill>
                    <a:blip r:embed="rId755">
                      <a:extLst>
                        <a:ext uri="{28A0092B-C50C-407E-A947-70E740481C1C}"/>
                      </a:extLst>
                    </a:blip>
                    <a:srcRect/>
                    <a:stretch>
                      <a:fillRect/>
                    </a:stretch>
                  </pic:blipFill>
                  <pic:spPr bwMode="auto">
                    <a:xfrm>
                      <a:off x="0" y="0"/>
                      <a:ext cx="7308850" cy="34290"/>
                    </a:xfrm>
                    <a:prstGeom prst="rect">
                      <a:avLst/>
                    </a:prstGeom>
                    <a:noFill/>
                  </pic:spPr>
                </pic:pic>
              </a:graphicData>
            </a:graphic>
          </wp:anchor>
        </w:drawing>
        <w:t>Delaware corporation (the “</w:t>
      </w:r>
      <w:r>
        <w:rPr>
          <w:rFonts w:ascii="Arial" w:cs="Arial" w:eastAsia="Arial" w:hAnsi="Arial"/>
          <w:sz w:val="15"/>
          <w:szCs w:val="15"/>
          <w:b w:val="1"/>
          <w:bCs w:val="1"/>
          <w:i w:val="1"/>
          <w:iCs w:val="1"/>
          <w:color w:val="auto"/>
        </w:rPr>
        <w:t>Company</w:t>
      </w:r>
      <w:r>
        <w:rPr>
          <w:rFonts w:ascii="Arial" w:cs="Arial" w:eastAsia="Arial" w:hAnsi="Arial"/>
          <w:sz w:val="15"/>
          <w:szCs w:val="15"/>
          <w:color w:val="auto"/>
        </w:rPr>
        <w:t>”), and the purchaser named below (the “</w:t>
      </w:r>
      <w:r>
        <w:rPr>
          <w:rFonts w:ascii="Arial" w:cs="Arial" w:eastAsia="Arial" w:hAnsi="Arial"/>
          <w:sz w:val="15"/>
          <w:szCs w:val="15"/>
          <w:b w:val="1"/>
          <w:bCs w:val="1"/>
          <w:i w:val="1"/>
          <w:iCs w:val="1"/>
          <w:color w:val="auto"/>
        </w:rPr>
        <w:t>Purchaser</w:t>
      </w:r>
      <w:r>
        <w:rPr>
          <w:rFonts w:ascii="Arial" w:cs="Arial" w:eastAsia="Arial" w:hAnsi="Arial"/>
          <w:sz w:val="15"/>
          <w:szCs w:val="15"/>
          <w:color w:val="auto"/>
        </w:rPr>
        <w:t>”). Capitalized terms not defined herein shall have the meanings ascribed to them in the Company’s 2008 Equity Incentive Plan (the “</w:t>
      </w:r>
      <w:r>
        <w:rPr>
          <w:rFonts w:ascii="Arial" w:cs="Arial" w:eastAsia="Arial" w:hAnsi="Arial"/>
          <w:sz w:val="15"/>
          <w:szCs w:val="15"/>
          <w:b w:val="1"/>
          <w:bCs w:val="1"/>
          <w:i w:val="1"/>
          <w:iCs w:val="1"/>
          <w:color w:val="auto"/>
        </w:rPr>
        <w:t>Plan</w:t>
      </w:r>
      <w:r>
        <w:rPr>
          <w:rFonts w:ascii="Arial" w:cs="Arial" w:eastAsia="Arial" w:hAnsi="Arial"/>
          <w:sz w:val="15"/>
          <w:szCs w:val="15"/>
          <w:color w:val="auto"/>
        </w:rPr>
        <w:t>”).</w:t>
      </w:r>
    </w:p>
    <w:p>
      <w:pPr>
        <w:sectPr>
          <w:pgSz w:w="11900" w:h="16838" w:orient="portrait"/>
          <w:cols w:equalWidth="0" w:num="1">
            <w:col w:w="11440"/>
          </w:cols>
          <w:pgMar w:left="240" w:top="238" w:right="219" w:bottom="1440" w:gutter="0" w:footer="0" w:header="0"/>
        </w:sectPr>
      </w:pPr>
    </w:p>
    <w:p>
      <w:pPr>
        <w:spacing w:after="0" w:line="196"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Purchaser:</w:t>
      </w:r>
    </w:p>
    <w:p>
      <w:pPr>
        <w:spacing w:after="0" w:line="21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Taxpayer ID:</w:t>
      </w:r>
    </w:p>
    <w:p>
      <w:pPr>
        <w:spacing w:after="0" w:line="188"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Address: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Total Number of Shares:</w:t>
      </w:r>
    </w:p>
    <w:p>
      <w:pPr>
        <w:spacing w:after="0" w:line="23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Exercise Price Per Share:</w:t>
      </w:r>
    </w:p>
    <w:p>
      <w:pPr>
        <w:spacing w:after="0" w:line="21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Date of Grant:</w:t>
      </w:r>
    </w:p>
    <w:p>
      <w:pPr>
        <w:spacing w:after="0" w:line="211"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Vesting Commencement Date:</w:t>
      </w:r>
    </w:p>
    <w:p>
      <w:pPr>
        <w:spacing w:after="0" w:line="23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Expiration Date:</w:t>
      </w:r>
    </w:p>
    <w:p>
      <w:pPr>
        <w:spacing w:after="0" w:line="369"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Type of Stock Option</w:t>
      </w:r>
    </w:p>
    <w:p>
      <w:pPr>
        <w:spacing w:after="0" w:line="188"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(Check one):</w:t>
      </w:r>
    </w:p>
    <w:p>
      <w:pPr>
        <w:spacing w:after="0" w:line="200" w:lineRule="exact"/>
        <w:rPr>
          <w:sz w:val="20"/>
          <w:szCs w:val="20"/>
          <w:color w:val="auto"/>
        </w:rPr>
      </w:pPr>
    </w:p>
    <w:p>
      <w:pPr>
        <w:spacing w:after="0" w:line="259" w:lineRule="exact"/>
        <w:rPr>
          <w:sz w:val="20"/>
          <w:szCs w:val="20"/>
          <w:color w:val="auto"/>
        </w:rPr>
      </w:pPr>
    </w:p>
    <w:p>
      <w:pPr>
        <w:ind w:left="600" w:hanging="152"/>
        <w:spacing w:after="0"/>
        <w:tabs>
          <w:tab w:leader="none" w:pos="600" w:val="left"/>
        </w:tabs>
        <w:numPr>
          <w:ilvl w:val="0"/>
          <w:numId w:val="451"/>
        </w:numPr>
        <w:rPr>
          <w:rFonts w:ascii="Arial" w:cs="Arial" w:eastAsia="Arial" w:hAnsi="Arial"/>
          <w:sz w:val="14"/>
          <w:szCs w:val="14"/>
          <w:b w:val="1"/>
          <w:bCs w:val="1"/>
          <w:color w:val="auto"/>
        </w:rPr>
      </w:pPr>
      <w:r>
        <w:rPr>
          <w:rFonts w:ascii="Arial" w:cs="Arial" w:eastAsia="Arial" w:hAnsi="Arial"/>
          <w:sz w:val="14"/>
          <w:szCs w:val="14"/>
          <w:b w:val="1"/>
          <w:bCs w:val="1"/>
          <w:u w:val="single" w:color="auto"/>
          <w:color w:val="auto"/>
        </w:rPr>
        <w:t>Exercise of Option</w:t>
      </w:r>
      <w:r>
        <w:rPr>
          <w:rFonts w:ascii="Arial" w:cs="Arial" w:eastAsia="Arial" w:hAnsi="Arial"/>
          <w:sz w:val="14"/>
          <w:szCs w:val="14"/>
          <w:b w:val="1"/>
          <w:bCs w:val="1"/>
          <w:color w:val="auto"/>
        </w:rPr>
        <w:t>.</w:t>
      </w:r>
    </w:p>
    <w:p>
      <w:pPr>
        <w:spacing w:after="0" w:line="20" w:lineRule="exact"/>
        <w:rPr>
          <w:sz w:val="20"/>
          <w:szCs w:val="20"/>
          <w:color w:val="auto"/>
        </w:rPr>
      </w:pPr>
      <w:r>
        <w:rPr>
          <w:sz w:val="20"/>
          <w:szCs w:val="20"/>
          <w:color w:val="auto"/>
        </w:rPr>
        <w:br w:type="column"/>
      </w:r>
    </w:p>
    <w:p>
      <w:pPr>
        <w:spacing w:after="0" w:line="158" w:lineRule="exact"/>
        <w:rPr>
          <w:sz w:val="20"/>
          <w:szCs w:val="20"/>
          <w:color w:val="auto"/>
        </w:rPr>
      </w:pPr>
    </w:p>
    <w:p>
      <w:pPr>
        <w:spacing w:after="0"/>
        <w:rPr>
          <w:sz w:val="20"/>
          <w:szCs w:val="20"/>
          <w:color w:val="auto"/>
        </w:rPr>
      </w:pPr>
      <w:r>
        <w:rPr>
          <w:rFonts w:ascii="Arial" w:cs="Arial" w:eastAsia="Arial" w:hAnsi="Arial"/>
          <w:sz w:val="15"/>
          <w:szCs w:val="15"/>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wp:posOffset>
            </wp:positionV>
            <wp:extent cx="4719320" cy="6985"/>
            <wp:wrapNone/>
            <wp:docPr id="719" name="Picture 7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9"/>
                    <pic:cNvPicPr>
                      <a:picLocks noChangeAspect="1" noChangeArrowheads="1"/>
                    </pic:cNvPicPr>
                  </pic:nvPicPr>
                  <pic:blipFill>
                    <a:blip r:embed="rId756">
                      <a:extLst>
                        <a:ext uri="{28A0092B-C50C-407E-A947-70E740481C1C}"/>
                      </a:extLst>
                    </a:blip>
                    <a:srcRect/>
                    <a:stretch>
                      <a:fillRect/>
                    </a:stretch>
                  </pic:blipFill>
                  <pic:spPr bwMode="auto">
                    <a:xfrm>
                      <a:off x="0" y="0"/>
                      <a:ext cx="4719320" cy="6985"/>
                    </a:xfrm>
                    <a:prstGeom prst="rect">
                      <a:avLst/>
                    </a:prstGeom>
                    <a:noFill/>
                  </pic:spPr>
                </pic:pic>
              </a:graphicData>
            </a:graphic>
          </wp:anchor>
        </w:drawing>
      </w:r>
    </w:p>
    <w:p>
      <w:pPr>
        <w:spacing w:after="0" w:line="191" w:lineRule="exact"/>
        <w:rPr>
          <w:sz w:val="20"/>
          <w:szCs w:val="20"/>
          <w:color w:val="auto"/>
        </w:rPr>
      </w:pPr>
    </w:p>
    <w:p>
      <w:pPr>
        <w:spacing w:after="0"/>
        <w:rPr>
          <w:sz w:val="20"/>
          <w:szCs w:val="20"/>
          <w:color w:val="auto"/>
        </w:rPr>
      </w:pPr>
      <w:r>
        <w:rPr>
          <w:rFonts w:ascii="Arial" w:cs="Arial" w:eastAsia="Arial" w:hAnsi="Arial"/>
          <w:sz w:val="15"/>
          <w:szCs w:val="15"/>
          <w:color w:val="auto"/>
        </w:rPr>
        <w:t>«SSN»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wp:posOffset>
            </wp:positionV>
            <wp:extent cx="4719320" cy="6985"/>
            <wp:wrapNone/>
            <wp:docPr id="720" name="Picture 7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0"/>
                    <pic:cNvPicPr>
                      <a:picLocks noChangeAspect="1" noChangeArrowheads="1"/>
                    </pic:cNvPicPr>
                  </pic:nvPicPr>
                  <pic:blipFill>
                    <a:blip r:embed="rId757">
                      <a:extLst>
                        <a:ext uri="{28A0092B-C50C-407E-A947-70E740481C1C}"/>
                      </a:extLst>
                    </a:blip>
                    <a:srcRect/>
                    <a:stretch>
                      <a:fillRect/>
                    </a:stretch>
                  </pic:blipFill>
                  <pic:spPr bwMode="auto">
                    <a:xfrm>
                      <a:off x="0" y="0"/>
                      <a:ext cx="4719320" cy="698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255270</wp:posOffset>
            </wp:positionV>
            <wp:extent cx="4719320" cy="6985"/>
            <wp:wrapNone/>
            <wp:docPr id="721" name="Picture 7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1"/>
                    <pic:cNvPicPr>
                      <a:picLocks noChangeAspect="1" noChangeArrowheads="1"/>
                    </pic:cNvPicPr>
                  </pic:nvPicPr>
                  <pic:blipFill>
                    <a:blip r:embed="rId758">
                      <a:extLst>
                        <a:ext uri="{28A0092B-C50C-407E-A947-70E740481C1C}"/>
                      </a:extLst>
                    </a:blip>
                    <a:srcRect/>
                    <a:stretch>
                      <a:fillRect/>
                    </a:stretch>
                  </pic:blipFill>
                  <pic:spPr bwMode="auto">
                    <a:xfrm>
                      <a:off x="0" y="0"/>
                      <a:ext cx="4719320" cy="698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499110</wp:posOffset>
            </wp:positionV>
            <wp:extent cx="4719320" cy="6985"/>
            <wp:wrapNone/>
            <wp:docPr id="722" name="Picture 7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2"/>
                    <pic:cNvPicPr>
                      <a:picLocks noChangeAspect="1" noChangeArrowheads="1"/>
                    </pic:cNvPicPr>
                  </pic:nvPicPr>
                  <pic:blipFill>
                    <a:blip r:embed="rId759">
                      <a:extLst>
                        <a:ext uri="{28A0092B-C50C-407E-A947-70E740481C1C}"/>
                      </a:extLst>
                    </a:blip>
                    <a:srcRect/>
                    <a:stretch>
                      <a:fillRect/>
                    </a:stretch>
                  </pic:blipFill>
                  <pic:spPr bwMode="auto">
                    <a:xfrm>
                      <a:off x="0" y="0"/>
                      <a:ext cx="4719320" cy="698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742315</wp:posOffset>
            </wp:positionV>
            <wp:extent cx="4719320" cy="6985"/>
            <wp:wrapNone/>
            <wp:docPr id="723" name="Picture 7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3"/>
                    <pic:cNvPicPr>
                      <a:picLocks noChangeAspect="1" noChangeArrowheads="1"/>
                    </pic:cNvPicPr>
                  </pic:nvPicPr>
                  <pic:blipFill>
                    <a:blip r:embed="rId760">
                      <a:extLst>
                        <a:ext uri="{28A0092B-C50C-407E-A947-70E740481C1C}"/>
                      </a:extLst>
                    </a:blip>
                    <a:srcRect/>
                    <a:stretch>
                      <a:fillRect/>
                    </a:stretch>
                  </pic:blipFill>
                  <pic:spPr bwMode="auto">
                    <a:xfrm>
                      <a:off x="0" y="0"/>
                      <a:ext cx="4719320" cy="698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985520</wp:posOffset>
            </wp:positionV>
            <wp:extent cx="4719320" cy="6985"/>
            <wp:wrapNone/>
            <wp:docPr id="724" name="Picture 7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4"/>
                    <pic:cNvPicPr>
                      <a:picLocks noChangeAspect="1" noChangeArrowheads="1"/>
                    </pic:cNvPicPr>
                  </pic:nvPicPr>
                  <pic:blipFill>
                    <a:blip r:embed="rId761">
                      <a:extLst>
                        <a:ext uri="{28A0092B-C50C-407E-A947-70E740481C1C}"/>
                      </a:extLst>
                    </a:blip>
                    <a:srcRect/>
                    <a:stretch>
                      <a:fillRect/>
                    </a:stretch>
                  </pic:blipFill>
                  <pic:spPr bwMode="auto">
                    <a:xfrm>
                      <a:off x="0" y="0"/>
                      <a:ext cx="4719320" cy="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Arial" w:cs="Arial" w:eastAsia="Arial" w:hAnsi="Arial"/>
          <w:sz w:val="15"/>
          <w:szCs w:val="15"/>
          <w:color w:val="auto"/>
        </w:rPr>
        <w:t>«ExPrice»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wp:posOffset>
            </wp:positionV>
            <wp:extent cx="4719320" cy="6985"/>
            <wp:wrapNone/>
            <wp:docPr id="725" name="Picture 7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5"/>
                    <pic:cNvPicPr>
                      <a:picLocks noChangeAspect="1" noChangeArrowheads="1"/>
                    </pic:cNvPicPr>
                  </pic:nvPicPr>
                  <pic:blipFill>
                    <a:blip r:embed="rId762">
                      <a:extLst>
                        <a:ext uri="{28A0092B-C50C-407E-A947-70E740481C1C}"/>
                      </a:extLst>
                    </a:blip>
                    <a:srcRect/>
                    <a:stretch>
                      <a:fillRect/>
                    </a:stretch>
                  </pic:blipFill>
                  <pic:spPr bwMode="auto">
                    <a:xfrm>
                      <a:off x="0" y="0"/>
                      <a:ext cx="4719320" cy="6985"/>
                    </a:xfrm>
                    <a:prstGeom prst="rect">
                      <a:avLst/>
                    </a:prstGeom>
                    <a:noFill/>
                  </pic:spPr>
                </pic:pic>
              </a:graphicData>
            </a:graphic>
          </wp:anchor>
        </w:drawing>
      </w:r>
    </w:p>
    <w:p>
      <w:pPr>
        <w:spacing w:after="0" w:line="191" w:lineRule="exact"/>
        <w:rPr>
          <w:sz w:val="20"/>
          <w:szCs w:val="20"/>
          <w:color w:val="auto"/>
        </w:rPr>
      </w:pPr>
    </w:p>
    <w:p>
      <w:pPr>
        <w:spacing w:after="0"/>
        <w:rPr>
          <w:sz w:val="20"/>
          <w:szCs w:val="20"/>
          <w:color w:val="auto"/>
        </w:rPr>
      </w:pPr>
      <w:r>
        <w:rPr>
          <w:rFonts w:ascii="Arial" w:cs="Arial" w:eastAsia="Arial" w:hAnsi="Arial"/>
          <w:sz w:val="15"/>
          <w:szCs w:val="15"/>
          <w:color w:val="auto"/>
        </w:rPr>
        <w:t>«GrantDate»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wp:posOffset>
            </wp:positionV>
            <wp:extent cx="4719320" cy="6985"/>
            <wp:wrapNone/>
            <wp:docPr id="726" name="Picture 7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6"/>
                    <pic:cNvPicPr>
                      <a:picLocks noChangeAspect="1" noChangeArrowheads="1"/>
                    </pic:cNvPicPr>
                  </pic:nvPicPr>
                  <pic:blipFill>
                    <a:blip r:embed="rId763">
                      <a:extLst>
                        <a:ext uri="{28A0092B-C50C-407E-A947-70E740481C1C}"/>
                      </a:extLst>
                    </a:blip>
                    <a:srcRect/>
                    <a:stretch>
                      <a:fillRect/>
                    </a:stretch>
                  </pic:blipFill>
                  <pic:spPr bwMode="auto">
                    <a:xfrm>
                      <a:off x="0" y="0"/>
                      <a:ext cx="4719320" cy="6985"/>
                    </a:xfrm>
                    <a:prstGeom prst="rect">
                      <a:avLst/>
                    </a:prstGeom>
                    <a:noFill/>
                  </pic:spPr>
                </pic:pic>
              </a:graphicData>
            </a:graphic>
          </wp:anchor>
        </w:drawing>
      </w:r>
    </w:p>
    <w:p>
      <w:pPr>
        <w:spacing w:after="0" w:line="191" w:lineRule="exact"/>
        <w:rPr>
          <w:sz w:val="20"/>
          <w:szCs w:val="20"/>
          <w:color w:val="auto"/>
        </w:rPr>
      </w:pPr>
    </w:p>
    <w:p>
      <w:pPr>
        <w:spacing w:after="0"/>
        <w:rPr>
          <w:sz w:val="20"/>
          <w:szCs w:val="20"/>
          <w:color w:val="auto"/>
        </w:rPr>
      </w:pPr>
      <w:r>
        <w:rPr>
          <w:rFonts w:ascii="Arial" w:cs="Arial" w:eastAsia="Arial" w:hAnsi="Arial"/>
          <w:sz w:val="15"/>
          <w:szCs w:val="15"/>
          <w:color w:val="auto"/>
        </w:rPr>
        <w:t>«VCD»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wp:posOffset>
            </wp:positionV>
            <wp:extent cx="4719320" cy="6985"/>
            <wp:wrapNone/>
            <wp:docPr id="727" name="Picture 7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7"/>
                    <pic:cNvPicPr>
                      <a:picLocks noChangeAspect="1" noChangeArrowheads="1"/>
                    </pic:cNvPicPr>
                  </pic:nvPicPr>
                  <pic:blipFill>
                    <a:blip r:embed="rId764">
                      <a:extLst>
                        <a:ext uri="{28A0092B-C50C-407E-A947-70E740481C1C}"/>
                      </a:extLst>
                    </a:blip>
                    <a:srcRect/>
                    <a:stretch>
                      <a:fillRect/>
                    </a:stretch>
                  </pic:blipFill>
                  <pic:spPr bwMode="auto">
                    <a:xfrm>
                      <a:off x="0" y="0"/>
                      <a:ext cx="4719320" cy="6985"/>
                    </a:xfrm>
                    <a:prstGeom prst="rect">
                      <a:avLst/>
                    </a:prstGeom>
                    <a:noFill/>
                  </pic:spPr>
                </pic:pic>
              </a:graphicData>
            </a:graphic>
          </wp:anchor>
        </w:drawing>
      </w:r>
    </w:p>
    <w:p>
      <w:pPr>
        <w:spacing w:after="0" w:line="191" w:lineRule="exact"/>
        <w:rPr>
          <w:sz w:val="20"/>
          <w:szCs w:val="20"/>
          <w:color w:val="auto"/>
        </w:rPr>
      </w:pPr>
    </w:p>
    <w:p>
      <w:pPr>
        <w:spacing w:after="0"/>
        <w:rPr>
          <w:sz w:val="20"/>
          <w:szCs w:val="20"/>
          <w:color w:val="auto"/>
        </w:rPr>
      </w:pPr>
      <w:r>
        <w:rPr>
          <w:rFonts w:ascii="Arial" w:cs="Arial" w:eastAsia="Arial" w:hAnsi="Arial"/>
          <w:sz w:val="15"/>
          <w:szCs w:val="15"/>
          <w:color w:val="auto"/>
        </w:rPr>
        <w:t>«ExpDate»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wp:posOffset>
            </wp:positionV>
            <wp:extent cx="4719320" cy="6985"/>
            <wp:wrapNone/>
            <wp:docPr id="728" name="Picture 7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8"/>
                    <pic:cNvPicPr>
                      <a:picLocks noChangeAspect="1" noChangeArrowheads="1"/>
                    </pic:cNvPicPr>
                  </pic:nvPicPr>
                  <pic:blipFill>
                    <a:blip r:embed="rId765">
                      <a:extLst>
                        <a:ext uri="{28A0092B-C50C-407E-A947-70E740481C1C}"/>
                      </a:extLst>
                    </a:blip>
                    <a:srcRect/>
                    <a:stretch>
                      <a:fillRect/>
                    </a:stretch>
                  </pic:blipFill>
                  <pic:spPr bwMode="auto">
                    <a:xfrm>
                      <a:off x="0" y="0"/>
                      <a:ext cx="4719320" cy="6985"/>
                    </a:xfrm>
                    <a:prstGeom prst="rect">
                      <a:avLst/>
                    </a:prstGeom>
                    <a:noFill/>
                  </pic:spPr>
                </pic:pic>
              </a:graphicData>
            </a:graphic>
          </wp:anchor>
        </w:drawing>
      </w:r>
    </w:p>
    <w:p>
      <w:pPr>
        <w:spacing w:after="0" w:line="11" w:lineRule="exact"/>
        <w:rPr>
          <w:sz w:val="20"/>
          <w:szCs w:val="20"/>
          <w:color w:val="auto"/>
        </w:rPr>
      </w:pPr>
    </w:p>
    <w:p>
      <w:pPr>
        <w:spacing w:after="0"/>
        <w:rPr>
          <w:sz w:val="20"/>
          <w:szCs w:val="20"/>
          <w:color w:val="auto"/>
        </w:rPr>
      </w:pPr>
      <w:r>
        <w:rPr>
          <w:rFonts w:ascii="Arial" w:cs="Arial" w:eastAsia="Arial" w:hAnsi="Arial"/>
          <w:sz w:val="13"/>
          <w:szCs w:val="13"/>
          <w:color w:val="auto"/>
        </w:rPr>
        <w:t>(Unless earlier terminated under Section 5.6 of the Plan)</w:t>
      </w:r>
    </w:p>
    <w:p>
      <w:pPr>
        <w:spacing w:after="0" w:line="200" w:lineRule="exact"/>
        <w:rPr>
          <w:sz w:val="20"/>
          <w:szCs w:val="20"/>
          <w:color w:val="auto"/>
        </w:rPr>
      </w:pPr>
    </w:p>
    <w:p>
      <w:pPr>
        <w:spacing w:after="0" w:line="368" w:lineRule="exact"/>
        <w:rPr>
          <w:sz w:val="20"/>
          <w:szCs w:val="20"/>
          <w:color w:val="auto"/>
        </w:rPr>
      </w:pPr>
    </w:p>
    <w:p>
      <w:pPr>
        <w:ind w:left="200" w:hanging="195"/>
        <w:spacing w:after="0"/>
        <w:tabs>
          <w:tab w:leader="none" w:pos="200" w:val="left"/>
        </w:tabs>
        <w:numPr>
          <w:ilvl w:val="0"/>
          <w:numId w:val="452"/>
        </w:numPr>
        <w:rPr>
          <w:rFonts w:ascii="Arial" w:cs="Arial" w:eastAsia="Arial" w:hAnsi="Arial"/>
          <w:sz w:val="15"/>
          <w:szCs w:val="15"/>
          <w:b w:val="1"/>
          <w:bCs w:val="1"/>
          <w:color w:val="auto"/>
        </w:rPr>
      </w:pPr>
      <w:r>
        <w:rPr>
          <w:rFonts w:ascii="Arial" w:cs="Arial" w:eastAsia="Arial" w:hAnsi="Arial"/>
          <w:sz w:val="15"/>
          <w:szCs w:val="15"/>
          <w:b w:val="1"/>
          <w:bCs w:val="1"/>
          <w:color w:val="auto"/>
        </w:rPr>
        <w:t>] Incentive Stock Option</w:t>
      </w:r>
    </w:p>
    <w:p>
      <w:pPr>
        <w:spacing w:after="0" w:line="21" w:lineRule="exact"/>
        <w:rPr>
          <w:rFonts w:ascii="Arial" w:cs="Arial" w:eastAsia="Arial" w:hAnsi="Arial"/>
          <w:sz w:val="15"/>
          <w:szCs w:val="15"/>
          <w:b w:val="1"/>
          <w:bCs w:val="1"/>
          <w:color w:val="auto"/>
        </w:rPr>
      </w:pPr>
    </w:p>
    <w:p>
      <w:pPr>
        <w:spacing w:after="0"/>
        <w:rPr>
          <w:rFonts w:ascii="Arial" w:cs="Arial" w:eastAsia="Arial" w:hAnsi="Arial"/>
          <w:sz w:val="15"/>
          <w:szCs w:val="15"/>
          <w:b w:val="1"/>
          <w:bCs w:val="1"/>
          <w:color w:val="auto"/>
        </w:rPr>
      </w:pPr>
      <w:r>
        <w:rPr>
          <w:rFonts w:ascii="Arial" w:cs="Arial" w:eastAsia="Arial" w:hAnsi="Arial"/>
          <w:sz w:val="15"/>
          <w:szCs w:val="15"/>
          <w:b w:val="1"/>
          <w:bCs w:val="1"/>
          <w:color w:val="auto"/>
        </w:rPr>
        <w:t>[X] Nonqualified Stock Option</w:t>
      </w:r>
    </w:p>
    <w:p>
      <w:pPr>
        <w:spacing w:after="0" w:line="540" w:lineRule="exact"/>
        <w:rPr>
          <w:sz w:val="20"/>
          <w:szCs w:val="20"/>
          <w:color w:val="auto"/>
        </w:rPr>
      </w:pPr>
    </w:p>
    <w:p>
      <w:pPr>
        <w:sectPr>
          <w:pgSz w:w="11900" w:h="16838" w:orient="portrait"/>
          <w:cols w:equalWidth="0" w:num="2">
            <w:col w:w="3280" w:space="720"/>
            <w:col w:w="7440"/>
          </w:cols>
          <w:pgMar w:left="240" w:top="238" w:right="219" w:bottom="1440" w:gutter="0" w:footer="0" w:header="0"/>
          <w:type w:val="continuous"/>
        </w:sectPr>
      </w:pPr>
    </w:p>
    <w:p>
      <w:pPr>
        <w:ind w:right="20" w:firstLine="916"/>
        <w:spacing w:after="0" w:line="279" w:lineRule="auto"/>
        <w:rPr>
          <w:sz w:val="20"/>
          <w:szCs w:val="20"/>
          <w:color w:val="auto"/>
        </w:rPr>
      </w:pPr>
      <w:r>
        <w:rPr>
          <w:rFonts w:ascii="Arial" w:cs="Arial" w:eastAsia="Arial" w:hAnsi="Arial"/>
          <w:sz w:val="14"/>
          <w:szCs w:val="14"/>
          <w:color w:val="auto"/>
        </w:rPr>
        <w:t xml:space="preserve">1.1 </w:t>
      </w:r>
      <w:r>
        <w:rPr>
          <w:rFonts w:ascii="Arial" w:cs="Arial" w:eastAsia="Arial" w:hAnsi="Arial"/>
          <w:sz w:val="14"/>
          <w:szCs w:val="14"/>
          <w:u w:val="single" w:color="auto"/>
          <w:color w:val="auto"/>
        </w:rPr>
        <w:t>Exercise</w:t>
      </w:r>
      <w:r>
        <w:rPr>
          <w:rFonts w:ascii="Arial" w:cs="Arial" w:eastAsia="Arial" w:hAnsi="Arial"/>
          <w:sz w:val="14"/>
          <w:szCs w:val="14"/>
          <w:color w:val="auto"/>
        </w:rPr>
        <w:t>. Pursuant to exercise of that certain option (the “</w:t>
      </w:r>
      <w:r>
        <w:rPr>
          <w:rFonts w:ascii="Arial" w:cs="Arial" w:eastAsia="Arial" w:hAnsi="Arial"/>
          <w:sz w:val="14"/>
          <w:szCs w:val="14"/>
          <w:b w:val="1"/>
          <w:bCs w:val="1"/>
          <w:i w:val="1"/>
          <w:iCs w:val="1"/>
          <w:color w:val="auto"/>
        </w:rPr>
        <w:t>Option</w:t>
      </w:r>
      <w:r>
        <w:rPr>
          <w:rFonts w:ascii="Arial" w:cs="Arial" w:eastAsia="Arial" w:hAnsi="Arial"/>
          <w:sz w:val="14"/>
          <w:szCs w:val="14"/>
          <w:color w:val="auto"/>
        </w:rPr>
        <w:t>”) granted to Purchaser under the Plan and subject to the terms and conditions of this Exercise Agreement, Purchaser hereby purchases from the Company, and the Company hereby sells to Purchaser, the Total Number of Shares set forth above (the “</w:t>
      </w:r>
      <w:r>
        <w:rPr>
          <w:rFonts w:ascii="Arial" w:cs="Arial" w:eastAsia="Arial" w:hAnsi="Arial"/>
          <w:sz w:val="14"/>
          <w:szCs w:val="14"/>
          <w:b w:val="1"/>
          <w:bCs w:val="1"/>
          <w:i w:val="1"/>
          <w:iCs w:val="1"/>
          <w:color w:val="auto"/>
        </w:rPr>
        <w:t>Shares</w:t>
      </w:r>
      <w:r>
        <w:rPr>
          <w:rFonts w:ascii="Arial" w:cs="Arial" w:eastAsia="Arial" w:hAnsi="Arial"/>
          <w:sz w:val="14"/>
          <w:szCs w:val="14"/>
          <w:color w:val="auto"/>
        </w:rPr>
        <w:t>”) of the Company’s Common Stock at the Exercise Price Per Share set forth above (the “</w:t>
      </w:r>
      <w:r>
        <w:rPr>
          <w:rFonts w:ascii="Arial" w:cs="Arial" w:eastAsia="Arial" w:hAnsi="Arial"/>
          <w:sz w:val="14"/>
          <w:szCs w:val="14"/>
          <w:b w:val="1"/>
          <w:bCs w:val="1"/>
          <w:i w:val="1"/>
          <w:iCs w:val="1"/>
          <w:color w:val="auto"/>
        </w:rPr>
        <w:t>Exercise Price</w:t>
      </w:r>
      <w:r>
        <w:rPr>
          <w:rFonts w:ascii="Arial" w:cs="Arial" w:eastAsia="Arial" w:hAnsi="Arial"/>
          <w:sz w:val="14"/>
          <w:szCs w:val="14"/>
          <w:color w:val="auto"/>
        </w:rPr>
        <w:t>”). As used in this Exercise Agreement, the term “</w:t>
      </w:r>
      <w:r>
        <w:rPr>
          <w:rFonts w:ascii="Arial" w:cs="Arial" w:eastAsia="Arial" w:hAnsi="Arial"/>
          <w:sz w:val="14"/>
          <w:szCs w:val="14"/>
          <w:b w:val="1"/>
          <w:bCs w:val="1"/>
          <w:i w:val="1"/>
          <w:iCs w:val="1"/>
          <w:color w:val="auto"/>
        </w:rPr>
        <w:t>Shares</w:t>
      </w:r>
      <w:r>
        <w:rPr>
          <w:rFonts w:ascii="Arial" w:cs="Arial" w:eastAsia="Arial" w:hAnsi="Arial"/>
          <w:sz w:val="14"/>
          <w:szCs w:val="14"/>
          <w:color w:val="auto"/>
        </w:rPr>
        <w:t>” refers to the Shares purchased under this Exercise Agreement and includes all securities received (i) in replacement of the Shares, (ii) as a result of stock dividends or stock splits with respect to the Shares, and (iii) all securities received in replacement of the Shares in a merger, recapitalization, reorganization or similar corporate transaction.</w:t>
      </w:r>
    </w:p>
    <w:p>
      <w:pPr>
        <w:spacing w:after="0" w:line="91" w:lineRule="exact"/>
        <w:rPr>
          <w:sz w:val="20"/>
          <w:szCs w:val="20"/>
          <w:color w:val="auto"/>
        </w:rPr>
      </w:pPr>
    </w:p>
    <w:p>
      <w:pPr>
        <w:jc w:val="center"/>
        <w:ind w:right="20"/>
        <w:spacing w:after="0"/>
        <w:rPr>
          <w:sz w:val="20"/>
          <w:szCs w:val="20"/>
          <w:color w:val="auto"/>
        </w:rPr>
      </w:pPr>
      <w:r>
        <w:rPr>
          <w:rFonts w:ascii="Arial" w:cs="Arial" w:eastAsia="Arial" w:hAnsi="Arial"/>
          <w:sz w:val="15"/>
          <w:szCs w:val="15"/>
          <w:color w:val="auto"/>
        </w:rPr>
        <w:t>1</w:t>
      </w:r>
    </w:p>
    <w:p>
      <w:pPr>
        <w:sectPr>
          <w:pgSz w:w="11900" w:h="16838" w:orient="portrait"/>
          <w:cols w:equalWidth="0" w:num="1">
            <w:col w:w="11440"/>
          </w:cols>
          <w:pgMar w:left="240" w:top="238" w:right="219" w:bottom="1440" w:gutter="0" w:footer="0" w:header="0"/>
          <w:type w:val="continuous"/>
        </w:sectPr>
      </w:pPr>
    </w:p>
    <w:bookmarkStart w:id="481" w:name="page482"/>
    <w:bookmarkEnd w:id="481"/>
    <w:p>
      <w:pPr>
        <w:ind w:left="910"/>
        <w:spacing w:after="0"/>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133350</wp:posOffset>
            </wp:positionH>
            <wp:positionV relativeFrom="page">
              <wp:posOffset>88900</wp:posOffset>
            </wp:positionV>
            <wp:extent cx="7308850" cy="33655"/>
            <wp:wrapNone/>
            <wp:docPr id="729" name="Picture 7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9"/>
                    <pic:cNvPicPr>
                      <a:picLocks noChangeAspect="1" noChangeArrowheads="1"/>
                    </pic:cNvPicPr>
                  </pic:nvPicPr>
                  <pic:blipFill>
                    <a:blip r:embed="rId766">
                      <a:extLst>
                        <a:ext uri="{28A0092B-C50C-407E-A947-70E740481C1C}"/>
                      </a:extLst>
                    </a:blip>
                    <a:srcRect/>
                    <a:stretch>
                      <a:fillRect/>
                    </a:stretch>
                  </pic:blipFill>
                  <pic:spPr bwMode="auto">
                    <a:xfrm>
                      <a:off x="0" y="0"/>
                      <a:ext cx="7308850" cy="33655"/>
                    </a:xfrm>
                    <a:prstGeom prst="rect">
                      <a:avLst/>
                    </a:prstGeom>
                    <a:noFill/>
                  </pic:spPr>
                </pic:pic>
              </a:graphicData>
            </a:graphic>
          </wp:anchor>
        </w:drawing>
        <w:t xml:space="preserve">1.2 </w:t>
      </w:r>
      <w:r>
        <w:rPr>
          <w:rFonts w:ascii="Arial" w:cs="Arial" w:eastAsia="Arial" w:hAnsi="Arial"/>
          <w:sz w:val="15"/>
          <w:szCs w:val="15"/>
          <w:u w:val="single" w:color="auto"/>
          <w:color w:val="auto"/>
        </w:rPr>
        <w:t>Title to Shares</w:t>
      </w:r>
      <w:r>
        <w:rPr>
          <w:rFonts w:ascii="Arial" w:cs="Arial" w:eastAsia="Arial" w:hAnsi="Arial"/>
          <w:sz w:val="15"/>
          <w:szCs w:val="15"/>
          <w:color w:val="auto"/>
        </w:rPr>
        <w:t>. The exact spelling of the name(s) under which Purchaser will take title to the Shares is:</w:t>
      </w:r>
    </w:p>
    <w:p>
      <w:pPr>
        <w:spacing w:after="0" w:line="188" w:lineRule="exact"/>
        <w:rPr>
          <w:sz w:val="20"/>
          <w:szCs w:val="20"/>
          <w:color w:val="auto"/>
        </w:rPr>
      </w:pPr>
    </w:p>
    <w:p>
      <w:pPr>
        <w:ind w:left="910"/>
        <w:spacing w:after="0"/>
        <w:rPr>
          <w:sz w:val="20"/>
          <w:szCs w:val="20"/>
          <w:color w:val="auto"/>
        </w:rPr>
      </w:pPr>
      <w:r>
        <w:rPr>
          <w:rFonts w:ascii="Arial" w:cs="Arial" w:eastAsia="Arial" w:hAnsi="Arial"/>
          <w:sz w:val="14"/>
          <w:szCs w:val="14"/>
          <w:color w:val="auto"/>
        </w:rPr>
        <w:t>To assign the Shares to a trust, a stock transfer agreement in the form provided by the Company (the “</w:t>
      </w:r>
      <w:r>
        <w:rPr>
          <w:rFonts w:ascii="Arial" w:cs="Arial" w:eastAsia="Arial" w:hAnsi="Arial"/>
          <w:sz w:val="14"/>
          <w:szCs w:val="14"/>
          <w:b w:val="1"/>
          <w:bCs w:val="1"/>
          <w:i w:val="1"/>
          <w:iCs w:val="1"/>
          <w:color w:val="auto"/>
        </w:rPr>
        <w:t>Stock Transfer Agreement</w:t>
      </w:r>
      <w:r>
        <w:rPr>
          <w:rFonts w:ascii="Arial" w:cs="Arial" w:eastAsia="Arial" w:hAnsi="Arial"/>
          <w:sz w:val="14"/>
          <w:szCs w:val="14"/>
          <w:color w:val="auto"/>
        </w:rPr>
        <w:t>”) must be completed and executed.</w:t>
      </w:r>
    </w:p>
    <w:p>
      <w:pPr>
        <w:spacing w:after="0" w:line="200" w:lineRule="exact"/>
        <w:rPr>
          <w:sz w:val="20"/>
          <w:szCs w:val="20"/>
          <w:color w:val="auto"/>
        </w:rPr>
      </w:pPr>
    </w:p>
    <w:p>
      <w:pPr>
        <w:ind w:left="910"/>
        <w:spacing w:after="0"/>
        <w:rPr>
          <w:sz w:val="20"/>
          <w:szCs w:val="20"/>
          <w:color w:val="auto"/>
        </w:rPr>
      </w:pPr>
      <w:r>
        <w:rPr>
          <w:rFonts w:ascii="Arial" w:cs="Arial" w:eastAsia="Arial" w:hAnsi="Arial"/>
          <w:sz w:val="13"/>
          <w:szCs w:val="13"/>
          <w:color w:val="auto"/>
        </w:rPr>
        <w:t xml:space="preserve">1.3 </w:t>
      </w:r>
      <w:r>
        <w:rPr>
          <w:rFonts w:ascii="Arial" w:cs="Arial" w:eastAsia="Arial" w:hAnsi="Arial"/>
          <w:sz w:val="13"/>
          <w:szCs w:val="13"/>
          <w:u w:val="single" w:color="auto"/>
          <w:color w:val="auto"/>
        </w:rPr>
        <w:t>Payment</w:t>
      </w:r>
      <w:r>
        <w:rPr>
          <w:rFonts w:ascii="Arial" w:cs="Arial" w:eastAsia="Arial" w:hAnsi="Arial"/>
          <w:sz w:val="13"/>
          <w:szCs w:val="13"/>
          <w:color w:val="auto"/>
        </w:rPr>
        <w:t>. Purchaser hereby delivers payment of the Exercise Price in the manner permitted in the Stock Option Agreement as follows (check and complete as appropriate):</w:t>
      </w:r>
    </w:p>
    <w:p>
      <w:pPr>
        <w:spacing w:after="0" w:line="132" w:lineRule="exact"/>
        <w:rPr>
          <w:sz w:val="20"/>
          <w:szCs w:val="20"/>
          <w:color w:val="auto"/>
        </w:rPr>
      </w:pPr>
    </w:p>
    <w:tbl>
      <w:tblPr>
        <w:tblLayout w:type="fixed"/>
        <w:tblInd w:w="10" w:type="dxa"/>
        <w:tblCellMar>
          <w:top w:w="0" w:type="dxa"/>
          <w:left w:w="0" w:type="dxa"/>
          <w:bottom w:w="0" w:type="dxa"/>
          <w:right w:w="0" w:type="dxa"/>
        </w:tblCellMar>
      </w:tblPr>
      <w:tr>
        <w:trPr>
          <w:trHeight w:val="190"/>
        </w:trPr>
        <w:tc>
          <w:tcPr>
            <w:tcW w:w="120" w:type="dxa"/>
            <w:vAlign w:val="bottom"/>
          </w:tcPr>
          <w:p>
            <w:pPr>
              <w:jc w:val="right"/>
              <w:ind w:right="32"/>
              <w:spacing w:after="0"/>
              <w:rPr>
                <w:sz w:val="20"/>
                <w:szCs w:val="20"/>
                <w:color w:val="auto"/>
              </w:rPr>
            </w:pPr>
            <w:r>
              <w:rPr>
                <w:rFonts w:ascii="Arial" w:cs="Arial" w:eastAsia="Arial" w:hAnsi="Arial"/>
                <w:sz w:val="10"/>
                <w:szCs w:val="10"/>
                <w:color w:val="auto"/>
                <w:w w:val="70"/>
              </w:rPr>
              <w:t>[</w:t>
            </w:r>
          </w:p>
        </w:tc>
        <w:tc>
          <w:tcPr>
            <w:tcW w:w="220" w:type="dxa"/>
            <w:vAlign w:val="bottom"/>
          </w:tcPr>
          <w:p>
            <w:pPr>
              <w:jc w:val="right"/>
              <w:ind w:right="25"/>
              <w:spacing w:after="0"/>
              <w:rPr>
                <w:sz w:val="20"/>
                <w:szCs w:val="20"/>
                <w:color w:val="auto"/>
              </w:rPr>
            </w:pPr>
            <w:r>
              <w:rPr>
                <w:rFonts w:ascii="Arial" w:cs="Arial" w:eastAsia="Arial" w:hAnsi="Arial"/>
                <w:sz w:val="15"/>
                <w:szCs w:val="15"/>
                <w:color w:val="auto"/>
              </w:rPr>
              <w:t>]</w:t>
            </w:r>
          </w:p>
        </w:tc>
        <w:tc>
          <w:tcPr>
            <w:tcW w:w="2560" w:type="dxa"/>
            <w:vAlign w:val="bottom"/>
          </w:tcPr>
          <w:p>
            <w:pPr>
              <w:ind w:left="100"/>
              <w:spacing w:after="0"/>
              <w:rPr>
                <w:sz w:val="20"/>
                <w:szCs w:val="20"/>
                <w:color w:val="auto"/>
              </w:rPr>
            </w:pPr>
            <w:r>
              <w:rPr>
                <w:rFonts w:ascii="Arial" w:cs="Arial" w:eastAsia="Arial" w:hAnsi="Arial"/>
                <w:sz w:val="15"/>
                <w:szCs w:val="15"/>
                <w:color w:val="auto"/>
                <w:w w:val="99"/>
              </w:rPr>
              <w:t>in cash (by check) in the amount of $</w:t>
            </w:r>
          </w:p>
        </w:tc>
        <w:tc>
          <w:tcPr>
            <w:tcW w:w="3520" w:type="dxa"/>
            <w:vAlign w:val="bottom"/>
            <w:gridSpan w:val="2"/>
          </w:tcPr>
          <w:p>
            <w:pPr>
              <w:jc w:val="right"/>
              <w:ind w:right="45"/>
              <w:spacing w:after="0"/>
              <w:rPr>
                <w:sz w:val="20"/>
                <w:szCs w:val="20"/>
                <w:color w:val="auto"/>
              </w:rPr>
            </w:pPr>
            <w:r>
              <w:rPr>
                <w:rFonts w:ascii="Arial" w:cs="Arial" w:eastAsia="Arial" w:hAnsi="Arial"/>
                <w:sz w:val="15"/>
                <w:szCs w:val="15"/>
                <w:color w:val="auto"/>
                <w:w w:val="97"/>
              </w:rPr>
              <w:t>, receipt of which is acknowledged by the Company;</w:t>
            </w:r>
          </w:p>
        </w:tc>
        <w:tc>
          <w:tcPr>
            <w:tcW w:w="380" w:type="dxa"/>
            <w:vAlign w:val="bottom"/>
          </w:tcPr>
          <w:p>
            <w:pPr>
              <w:spacing w:after="0"/>
              <w:rPr>
                <w:sz w:val="16"/>
                <w:szCs w:val="16"/>
                <w:color w:val="auto"/>
              </w:rPr>
            </w:pPr>
          </w:p>
        </w:tc>
      </w:tr>
      <w:tr>
        <w:trPr>
          <w:trHeight w:val="282"/>
        </w:trPr>
        <w:tc>
          <w:tcPr>
            <w:tcW w:w="120" w:type="dxa"/>
            <w:vAlign w:val="bottom"/>
          </w:tcPr>
          <w:p>
            <w:pPr>
              <w:jc w:val="right"/>
              <w:ind w:right="32"/>
              <w:spacing w:after="0"/>
              <w:rPr>
                <w:sz w:val="20"/>
                <w:szCs w:val="20"/>
                <w:color w:val="auto"/>
              </w:rPr>
            </w:pPr>
            <w:r>
              <w:rPr>
                <w:rFonts w:ascii="Arial" w:cs="Arial" w:eastAsia="Arial" w:hAnsi="Arial"/>
                <w:sz w:val="10"/>
                <w:szCs w:val="10"/>
                <w:color w:val="auto"/>
                <w:w w:val="70"/>
              </w:rPr>
              <w:t>[</w:t>
            </w:r>
          </w:p>
        </w:tc>
        <w:tc>
          <w:tcPr>
            <w:tcW w:w="220" w:type="dxa"/>
            <w:vAlign w:val="bottom"/>
          </w:tcPr>
          <w:p>
            <w:pPr>
              <w:jc w:val="right"/>
              <w:ind w:right="25"/>
              <w:spacing w:after="0"/>
              <w:rPr>
                <w:sz w:val="20"/>
                <w:szCs w:val="20"/>
                <w:color w:val="auto"/>
              </w:rPr>
            </w:pPr>
            <w:r>
              <w:rPr>
                <w:rFonts w:ascii="Arial" w:cs="Arial" w:eastAsia="Arial" w:hAnsi="Arial"/>
                <w:sz w:val="15"/>
                <w:szCs w:val="15"/>
                <w:color w:val="auto"/>
              </w:rPr>
              <w:t>]</w:t>
            </w:r>
          </w:p>
        </w:tc>
        <w:tc>
          <w:tcPr>
            <w:tcW w:w="5520" w:type="dxa"/>
            <w:vAlign w:val="bottom"/>
            <w:gridSpan w:val="2"/>
          </w:tcPr>
          <w:p>
            <w:pPr>
              <w:ind w:left="100"/>
              <w:spacing w:after="0"/>
              <w:rPr>
                <w:sz w:val="20"/>
                <w:szCs w:val="20"/>
                <w:color w:val="auto"/>
              </w:rPr>
            </w:pPr>
            <w:r>
              <w:rPr>
                <w:rFonts w:ascii="Arial" w:cs="Arial" w:eastAsia="Arial" w:hAnsi="Arial"/>
                <w:sz w:val="15"/>
                <w:szCs w:val="15"/>
                <w:color w:val="auto"/>
                <w:w w:val="94"/>
              </w:rPr>
              <w:t>by cancellation of indebtedness of the Company owed to Purchaser in the amount of $</w:t>
            </w:r>
          </w:p>
        </w:tc>
        <w:tc>
          <w:tcPr>
            <w:tcW w:w="560" w:type="dxa"/>
            <w:vAlign w:val="bottom"/>
          </w:tcPr>
          <w:p>
            <w:pPr>
              <w:jc w:val="right"/>
              <w:ind w:right="225"/>
              <w:spacing w:after="0"/>
              <w:rPr>
                <w:sz w:val="20"/>
                <w:szCs w:val="20"/>
                <w:color w:val="auto"/>
              </w:rPr>
            </w:pPr>
            <w:r>
              <w:rPr>
                <w:rFonts w:ascii="Arial" w:cs="Arial" w:eastAsia="Arial" w:hAnsi="Arial"/>
                <w:sz w:val="15"/>
                <w:szCs w:val="15"/>
                <w:color w:val="auto"/>
              </w:rPr>
              <w:t>;</w:t>
            </w:r>
          </w:p>
        </w:tc>
        <w:tc>
          <w:tcPr>
            <w:tcW w:w="380" w:type="dxa"/>
            <w:vAlign w:val="bottom"/>
          </w:tcPr>
          <w:p>
            <w:pPr>
              <w:spacing w:after="0"/>
              <w:rPr>
                <w:sz w:val="24"/>
                <w:szCs w:val="24"/>
                <w:color w:val="auto"/>
              </w:rPr>
            </w:pPr>
          </w:p>
        </w:tc>
      </w:tr>
      <w:tr>
        <w:trPr>
          <w:trHeight w:val="282"/>
        </w:trPr>
        <w:tc>
          <w:tcPr>
            <w:tcW w:w="120" w:type="dxa"/>
            <w:vAlign w:val="bottom"/>
          </w:tcPr>
          <w:p>
            <w:pPr>
              <w:jc w:val="right"/>
              <w:ind w:right="32"/>
              <w:spacing w:after="0"/>
              <w:rPr>
                <w:sz w:val="20"/>
                <w:szCs w:val="20"/>
                <w:color w:val="auto"/>
              </w:rPr>
            </w:pPr>
            <w:r>
              <w:rPr>
                <w:rFonts w:ascii="Arial" w:cs="Arial" w:eastAsia="Arial" w:hAnsi="Arial"/>
                <w:sz w:val="10"/>
                <w:szCs w:val="10"/>
                <w:color w:val="auto"/>
                <w:w w:val="70"/>
              </w:rPr>
              <w:t>[</w:t>
            </w:r>
          </w:p>
        </w:tc>
        <w:tc>
          <w:tcPr>
            <w:tcW w:w="220" w:type="dxa"/>
            <w:vAlign w:val="bottom"/>
          </w:tcPr>
          <w:p>
            <w:pPr>
              <w:jc w:val="right"/>
              <w:ind w:right="25"/>
              <w:spacing w:after="0"/>
              <w:rPr>
                <w:sz w:val="20"/>
                <w:szCs w:val="20"/>
                <w:color w:val="auto"/>
              </w:rPr>
            </w:pPr>
            <w:r>
              <w:rPr>
                <w:rFonts w:ascii="Arial" w:cs="Arial" w:eastAsia="Arial" w:hAnsi="Arial"/>
                <w:sz w:val="15"/>
                <w:szCs w:val="15"/>
                <w:color w:val="auto"/>
              </w:rPr>
              <w:t>]</w:t>
            </w:r>
          </w:p>
        </w:tc>
        <w:tc>
          <w:tcPr>
            <w:tcW w:w="6080" w:type="dxa"/>
            <w:vAlign w:val="bottom"/>
            <w:gridSpan w:val="3"/>
          </w:tcPr>
          <w:p>
            <w:pPr>
              <w:ind w:left="100"/>
              <w:spacing w:after="0"/>
              <w:rPr>
                <w:sz w:val="20"/>
                <w:szCs w:val="20"/>
                <w:color w:val="auto"/>
              </w:rPr>
            </w:pPr>
            <w:r>
              <w:rPr>
                <w:rFonts w:ascii="Arial" w:cs="Arial" w:eastAsia="Arial" w:hAnsi="Arial"/>
                <w:sz w:val="15"/>
                <w:szCs w:val="15"/>
                <w:color w:val="auto"/>
                <w:w w:val="95"/>
              </w:rPr>
              <w:t>by the waiver hereby of compensation due or accrued for services rendered in the amount of $</w:t>
            </w:r>
          </w:p>
        </w:tc>
        <w:tc>
          <w:tcPr>
            <w:tcW w:w="380" w:type="dxa"/>
            <w:vAlign w:val="bottom"/>
          </w:tcPr>
          <w:p>
            <w:pPr>
              <w:ind w:left="140"/>
              <w:spacing w:after="0"/>
              <w:rPr>
                <w:sz w:val="20"/>
                <w:szCs w:val="20"/>
                <w:color w:val="auto"/>
              </w:rPr>
            </w:pPr>
            <w:r>
              <w:rPr>
                <w:rFonts w:ascii="Arial" w:cs="Arial" w:eastAsia="Arial" w:hAnsi="Arial"/>
                <w:sz w:val="15"/>
                <w:szCs w:val="15"/>
                <w:color w:val="auto"/>
                <w:w w:val="84"/>
              </w:rPr>
              <w:t>.; or</w:t>
            </w:r>
          </w:p>
        </w:tc>
      </w:tr>
    </w:tbl>
    <w:p>
      <w:pPr>
        <w:spacing w:after="0" w:line="92" w:lineRule="exact"/>
        <w:rPr>
          <w:sz w:val="20"/>
          <w:szCs w:val="20"/>
          <w:color w:val="auto"/>
        </w:rPr>
      </w:pPr>
    </w:p>
    <w:p>
      <w:pPr>
        <w:ind w:left="210" w:hanging="210"/>
        <w:spacing w:after="0"/>
        <w:tabs>
          <w:tab w:leader="none" w:pos="210" w:val="left"/>
        </w:tabs>
        <w:numPr>
          <w:ilvl w:val="0"/>
          <w:numId w:val="453"/>
        </w:numPr>
        <w:rPr>
          <w:rFonts w:ascii="Arial" w:cs="Arial" w:eastAsia="Arial" w:hAnsi="Arial"/>
          <w:sz w:val="15"/>
          <w:szCs w:val="15"/>
          <w:color w:val="auto"/>
        </w:rPr>
      </w:pPr>
      <w:r>
        <w:rPr>
          <w:rFonts w:ascii="Arial" w:cs="Arial" w:eastAsia="Arial" w:hAnsi="Arial"/>
          <w:sz w:val="15"/>
          <w:szCs w:val="15"/>
          <w:color w:val="auto"/>
        </w:rPr>
        <w:t>]   by any combination of the foregoing.</w:t>
      </w:r>
    </w:p>
    <w:p>
      <w:pPr>
        <w:spacing w:after="0" w:line="275" w:lineRule="exact"/>
        <w:rPr>
          <w:sz w:val="20"/>
          <w:szCs w:val="20"/>
          <w:color w:val="auto"/>
        </w:rPr>
      </w:pPr>
    </w:p>
    <w:p>
      <w:pPr>
        <w:ind w:left="610" w:hanging="152"/>
        <w:spacing w:after="0"/>
        <w:tabs>
          <w:tab w:leader="none" w:pos="610" w:val="left"/>
        </w:tabs>
        <w:numPr>
          <w:ilvl w:val="0"/>
          <w:numId w:val="454"/>
        </w:numPr>
        <w:rPr>
          <w:rFonts w:ascii="Arial" w:cs="Arial" w:eastAsia="Arial" w:hAnsi="Arial"/>
          <w:sz w:val="15"/>
          <w:szCs w:val="15"/>
          <w:b w:val="1"/>
          <w:bCs w:val="1"/>
          <w:color w:val="auto"/>
        </w:rPr>
      </w:pPr>
      <w:r>
        <w:rPr>
          <w:rFonts w:ascii="Arial" w:cs="Arial" w:eastAsia="Arial" w:hAnsi="Arial"/>
          <w:sz w:val="15"/>
          <w:szCs w:val="15"/>
          <w:b w:val="1"/>
          <w:bCs w:val="1"/>
          <w:u w:val="single" w:color="auto"/>
          <w:color w:val="auto"/>
        </w:rPr>
        <w:t>Delivery</w:t>
      </w:r>
      <w:r>
        <w:rPr>
          <w:rFonts w:ascii="Arial" w:cs="Arial" w:eastAsia="Arial" w:hAnsi="Arial"/>
          <w:sz w:val="15"/>
          <w:szCs w:val="15"/>
          <w:b w:val="1"/>
          <w:bCs w:val="1"/>
          <w:color w:val="auto"/>
        </w:rPr>
        <w:t>.</w:t>
      </w:r>
    </w:p>
    <w:p>
      <w:pPr>
        <w:spacing w:after="0" w:line="102" w:lineRule="exact"/>
        <w:rPr>
          <w:sz w:val="20"/>
          <w:szCs w:val="20"/>
          <w:color w:val="auto"/>
        </w:rPr>
      </w:pPr>
    </w:p>
    <w:p>
      <w:pPr>
        <w:jc w:val="both"/>
        <w:ind w:left="10" w:right="20" w:firstLine="916"/>
        <w:spacing w:after="0" w:line="263" w:lineRule="auto"/>
        <w:rPr>
          <w:sz w:val="20"/>
          <w:szCs w:val="20"/>
          <w:color w:val="auto"/>
        </w:rPr>
      </w:pPr>
      <w:r>
        <w:rPr>
          <w:rFonts w:ascii="Arial" w:cs="Arial" w:eastAsia="Arial" w:hAnsi="Arial"/>
          <w:sz w:val="15"/>
          <w:szCs w:val="15"/>
          <w:color w:val="auto"/>
        </w:rPr>
        <w:t xml:space="preserve">2.1 </w:t>
      </w:r>
      <w:r>
        <w:rPr>
          <w:rFonts w:ascii="Arial" w:cs="Arial" w:eastAsia="Arial" w:hAnsi="Arial"/>
          <w:sz w:val="15"/>
          <w:szCs w:val="15"/>
          <w:u w:val="single" w:color="auto"/>
          <w:color w:val="auto"/>
        </w:rPr>
        <w:t>Deliveries by Purchaser</w:t>
      </w:r>
      <w:r>
        <w:rPr>
          <w:rFonts w:ascii="Arial" w:cs="Arial" w:eastAsia="Arial" w:hAnsi="Arial"/>
          <w:sz w:val="15"/>
          <w:szCs w:val="15"/>
          <w:color w:val="auto"/>
        </w:rPr>
        <w:t xml:space="preserve">. Purchaser hereby delivers to the Company (i) this Exercise Agreement, (ii) two (2) copies of a blank Stock Power and Assignment Separate from Stock Certificate in the form of </w:t>
      </w:r>
      <w:r>
        <w:rPr>
          <w:rFonts w:ascii="Arial" w:cs="Arial" w:eastAsia="Arial" w:hAnsi="Arial"/>
          <w:sz w:val="15"/>
          <w:szCs w:val="15"/>
          <w:u w:val="single" w:color="auto"/>
          <w:color w:val="auto"/>
        </w:rPr>
        <w:t>Exhibit 1</w:t>
      </w:r>
      <w:r>
        <w:rPr>
          <w:rFonts w:ascii="Arial" w:cs="Arial" w:eastAsia="Arial" w:hAnsi="Arial"/>
          <w:sz w:val="15"/>
          <w:szCs w:val="15"/>
          <w:color w:val="auto"/>
        </w:rPr>
        <w:t xml:space="preserve"> attached hereto (the “</w:t>
      </w:r>
      <w:r>
        <w:rPr>
          <w:rFonts w:ascii="Arial" w:cs="Arial" w:eastAsia="Arial" w:hAnsi="Arial"/>
          <w:sz w:val="15"/>
          <w:szCs w:val="15"/>
          <w:b w:val="1"/>
          <w:bCs w:val="1"/>
          <w:i w:val="1"/>
          <w:iCs w:val="1"/>
          <w:color w:val="auto"/>
        </w:rPr>
        <w:t>Stock Powers</w:t>
      </w:r>
      <w:r>
        <w:rPr>
          <w:rFonts w:ascii="Arial" w:cs="Arial" w:eastAsia="Arial" w:hAnsi="Arial"/>
          <w:sz w:val="15"/>
          <w:szCs w:val="15"/>
          <w:color w:val="auto"/>
        </w:rPr>
        <w:t xml:space="preserve">”), both executed by Purchaser (and Purchaser’s spouse, if any) and (iii) the Exercise Price and payment or other provision for any applicable tax obligations in the form of check, a copy of which is attached hereto as </w:t>
      </w:r>
      <w:r>
        <w:rPr>
          <w:rFonts w:ascii="Arial" w:cs="Arial" w:eastAsia="Arial" w:hAnsi="Arial"/>
          <w:sz w:val="15"/>
          <w:szCs w:val="15"/>
          <w:u w:val="single" w:color="auto"/>
          <w:color w:val="auto"/>
        </w:rPr>
        <w:t>Exhibit 2</w:t>
      </w:r>
      <w:r>
        <w:rPr>
          <w:rFonts w:ascii="Arial" w:cs="Arial" w:eastAsia="Arial" w:hAnsi="Arial"/>
          <w:sz w:val="15"/>
          <w:szCs w:val="15"/>
          <w:color w:val="auto"/>
        </w:rPr>
        <w:t>.</w:t>
      </w:r>
    </w:p>
    <w:p>
      <w:pPr>
        <w:spacing w:after="0" w:line="155" w:lineRule="exact"/>
        <w:rPr>
          <w:sz w:val="20"/>
          <w:szCs w:val="20"/>
          <w:color w:val="auto"/>
        </w:rPr>
      </w:pPr>
    </w:p>
    <w:p>
      <w:pPr>
        <w:ind w:left="10" w:right="40" w:firstLine="916"/>
        <w:spacing w:after="0" w:line="263" w:lineRule="auto"/>
        <w:rPr>
          <w:sz w:val="20"/>
          <w:szCs w:val="20"/>
          <w:color w:val="auto"/>
        </w:rPr>
      </w:pPr>
      <w:r>
        <w:rPr>
          <w:rFonts w:ascii="Arial" w:cs="Arial" w:eastAsia="Arial" w:hAnsi="Arial"/>
          <w:sz w:val="15"/>
          <w:szCs w:val="15"/>
          <w:color w:val="auto"/>
        </w:rPr>
        <w:t xml:space="preserve">2.2 </w:t>
      </w:r>
      <w:r>
        <w:rPr>
          <w:rFonts w:ascii="Arial" w:cs="Arial" w:eastAsia="Arial" w:hAnsi="Arial"/>
          <w:sz w:val="15"/>
          <w:szCs w:val="15"/>
          <w:u w:val="single" w:color="auto"/>
          <w:color w:val="auto"/>
        </w:rPr>
        <w:t>Deliveries by the Company</w:t>
      </w:r>
      <w:r>
        <w:rPr>
          <w:rFonts w:ascii="Arial" w:cs="Arial" w:eastAsia="Arial" w:hAnsi="Arial"/>
          <w:sz w:val="15"/>
          <w:szCs w:val="15"/>
          <w:color w:val="auto"/>
        </w:rPr>
        <w:t>. Upon its receipt of the Exercise Price, payment or other provision for any applicable tax obligations and all the documents to be executed and delivered by Purchaser to the Company under Section 2.1, the Company will issue the Shares in book-entry form in the name of Purchaser subject to the Company’s Right of First Refusal described in Sections 8, 9 and 10.</w:t>
      </w:r>
    </w:p>
    <w:p>
      <w:pPr>
        <w:spacing w:after="0" w:line="151" w:lineRule="exact"/>
        <w:rPr>
          <w:sz w:val="20"/>
          <w:szCs w:val="20"/>
          <w:color w:val="auto"/>
        </w:rPr>
      </w:pPr>
    </w:p>
    <w:p>
      <w:pPr>
        <w:ind w:left="610" w:hanging="152"/>
        <w:spacing w:after="0"/>
        <w:tabs>
          <w:tab w:leader="none" w:pos="610" w:val="left"/>
        </w:tabs>
        <w:numPr>
          <w:ilvl w:val="0"/>
          <w:numId w:val="455"/>
        </w:numPr>
        <w:rPr>
          <w:rFonts w:ascii="Arial" w:cs="Arial" w:eastAsia="Arial" w:hAnsi="Arial"/>
          <w:sz w:val="15"/>
          <w:szCs w:val="15"/>
          <w:b w:val="1"/>
          <w:bCs w:val="1"/>
          <w:color w:val="auto"/>
        </w:rPr>
      </w:pPr>
      <w:r>
        <w:rPr>
          <w:rFonts w:ascii="Arial" w:cs="Arial" w:eastAsia="Arial" w:hAnsi="Arial"/>
          <w:sz w:val="15"/>
          <w:szCs w:val="15"/>
          <w:b w:val="1"/>
          <w:bCs w:val="1"/>
          <w:u w:val="single" w:color="auto"/>
          <w:color w:val="auto"/>
        </w:rPr>
        <w:t>Representations and Warranties of Purchaser</w:t>
      </w:r>
      <w:r>
        <w:rPr>
          <w:rFonts w:ascii="Arial" w:cs="Arial" w:eastAsia="Arial" w:hAnsi="Arial"/>
          <w:sz w:val="15"/>
          <w:szCs w:val="15"/>
          <w:b w:val="1"/>
          <w:bCs w:val="1"/>
          <w:color w:val="auto"/>
        </w:rPr>
        <w:t xml:space="preserve">. </w:t>
      </w:r>
      <w:r>
        <w:rPr>
          <w:rFonts w:ascii="Arial" w:cs="Arial" w:eastAsia="Arial" w:hAnsi="Arial"/>
          <w:sz w:val="15"/>
          <w:szCs w:val="15"/>
          <w:color w:val="auto"/>
        </w:rPr>
        <w:t>Purchaser represents and warrants to the Company that:</w:t>
      </w:r>
    </w:p>
    <w:p>
      <w:pPr>
        <w:spacing w:after="0" w:line="192" w:lineRule="exact"/>
        <w:rPr>
          <w:sz w:val="20"/>
          <w:szCs w:val="20"/>
          <w:color w:val="auto"/>
        </w:rPr>
      </w:pPr>
    </w:p>
    <w:p>
      <w:pPr>
        <w:ind w:left="10" w:right="60" w:firstLine="916"/>
        <w:spacing w:after="0" w:line="263" w:lineRule="auto"/>
        <w:rPr>
          <w:sz w:val="20"/>
          <w:szCs w:val="20"/>
          <w:color w:val="auto"/>
        </w:rPr>
      </w:pPr>
      <w:r>
        <w:rPr>
          <w:rFonts w:ascii="Arial" w:cs="Arial" w:eastAsia="Arial" w:hAnsi="Arial"/>
          <w:sz w:val="15"/>
          <w:szCs w:val="15"/>
          <w:color w:val="auto"/>
        </w:rPr>
        <w:t xml:space="preserve">3.1 </w:t>
      </w:r>
      <w:r>
        <w:rPr>
          <w:rFonts w:ascii="Arial" w:cs="Arial" w:eastAsia="Arial" w:hAnsi="Arial"/>
          <w:sz w:val="15"/>
          <w:szCs w:val="15"/>
          <w:u w:val="single" w:color="auto"/>
          <w:color w:val="auto"/>
        </w:rPr>
        <w:t>Agrees to Terms of the Plan</w:t>
      </w:r>
      <w:r>
        <w:rPr>
          <w:rFonts w:ascii="Arial" w:cs="Arial" w:eastAsia="Arial" w:hAnsi="Arial"/>
          <w:sz w:val="15"/>
          <w:szCs w:val="15"/>
          <w:color w:val="auto"/>
        </w:rPr>
        <w:t>. Purchaser has received a copy of the Plan and the Stock Option Agreement, has read and understands the terms of the Plan, the Stock Option Agreement and this Exercise Agreement, and agrees to be bound by their terms and conditions. Purchaser acknowledges that there may be adverse tax consequences upon exercise of the Option or disposition of the Shares, and that Purchaser should consult a tax adviser prior to such exercise or disposition.</w:t>
      </w:r>
    </w:p>
    <w:p>
      <w:pPr>
        <w:spacing w:after="0" w:line="98" w:lineRule="exact"/>
        <w:rPr>
          <w:sz w:val="20"/>
          <w:szCs w:val="20"/>
          <w:color w:val="auto"/>
        </w:rPr>
      </w:pPr>
    </w:p>
    <w:p>
      <w:pPr>
        <w:jc w:val="center"/>
        <w:ind w:right="-9"/>
        <w:spacing w:after="0"/>
        <w:rPr>
          <w:sz w:val="20"/>
          <w:szCs w:val="20"/>
          <w:color w:val="auto"/>
        </w:rPr>
      </w:pPr>
      <w:r>
        <w:rPr>
          <w:rFonts w:ascii="Arial" w:cs="Arial" w:eastAsia="Arial" w:hAnsi="Arial"/>
          <w:sz w:val="15"/>
          <w:szCs w:val="15"/>
          <w:color w:val="auto"/>
        </w:rPr>
        <w:t>2</w:t>
      </w:r>
    </w:p>
    <w:p>
      <w:pPr>
        <w:sectPr>
          <w:pgSz w:w="11900" w:h="16838" w:orient="portrait"/>
          <w:cols w:equalWidth="0" w:num="1">
            <w:col w:w="11430"/>
          </w:cols>
          <w:pgMar w:left="230" w:top="252" w:right="239" w:bottom="1440" w:gutter="0" w:footer="0" w:header="0"/>
        </w:sectPr>
      </w:pPr>
    </w:p>
    <w:bookmarkStart w:id="482" w:name="page483"/>
    <w:bookmarkEnd w:id="482"/>
    <w:p>
      <w:pPr>
        <w:ind w:right="140" w:firstLine="916"/>
        <w:spacing w:after="0" w:line="263"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133350</wp:posOffset>
            </wp:positionH>
            <wp:positionV relativeFrom="page">
              <wp:posOffset>88900</wp:posOffset>
            </wp:positionV>
            <wp:extent cx="7308850" cy="33655"/>
            <wp:wrapNone/>
            <wp:docPr id="730" name="Picture 7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0"/>
                    <pic:cNvPicPr>
                      <a:picLocks noChangeAspect="1" noChangeArrowheads="1"/>
                    </pic:cNvPicPr>
                  </pic:nvPicPr>
                  <pic:blipFill>
                    <a:blip r:embed="rId767">
                      <a:extLst>
                        <a:ext uri="{28A0092B-C50C-407E-A947-70E740481C1C}"/>
                      </a:extLst>
                    </a:blip>
                    <a:srcRect/>
                    <a:stretch>
                      <a:fillRect/>
                    </a:stretch>
                  </pic:blipFill>
                  <pic:spPr bwMode="auto">
                    <a:xfrm>
                      <a:off x="0" y="0"/>
                      <a:ext cx="7308850" cy="33655"/>
                    </a:xfrm>
                    <a:prstGeom prst="rect">
                      <a:avLst/>
                    </a:prstGeom>
                    <a:noFill/>
                  </pic:spPr>
                </pic:pic>
              </a:graphicData>
            </a:graphic>
          </wp:anchor>
        </w:drawing>
        <w:t xml:space="preserve">3.2 </w:t>
      </w:r>
      <w:r>
        <w:rPr>
          <w:rFonts w:ascii="Arial" w:cs="Arial" w:eastAsia="Arial" w:hAnsi="Arial"/>
          <w:sz w:val="15"/>
          <w:szCs w:val="15"/>
          <w:u w:val="single" w:color="auto"/>
          <w:color w:val="auto"/>
        </w:rPr>
        <w:t>Purchase for Own Account for Investment</w:t>
      </w:r>
      <w:r>
        <w:rPr>
          <w:rFonts w:ascii="Arial" w:cs="Arial" w:eastAsia="Arial" w:hAnsi="Arial"/>
          <w:sz w:val="15"/>
          <w:szCs w:val="15"/>
          <w:color w:val="auto"/>
        </w:rPr>
        <w:t>. Purchaser is purchasing the Shares for Purchaser’s own account for investment purposes only and not with a view to, or for sale in connection with, a distribution of the Shares within the meaning of the Securities Act. Purchaser has no present intention of selling or otherwise disposing of all or any portion of the Shares and no one other than Purchaser has any beneficial ownership of any of the Shares.</w:t>
      </w:r>
    </w:p>
    <w:p>
      <w:pPr>
        <w:spacing w:after="0" w:line="155" w:lineRule="exact"/>
        <w:rPr>
          <w:sz w:val="20"/>
          <w:szCs w:val="20"/>
          <w:color w:val="auto"/>
        </w:rPr>
      </w:pPr>
    </w:p>
    <w:p>
      <w:pPr>
        <w:ind w:right="520" w:firstLine="916"/>
        <w:spacing w:after="0" w:line="263" w:lineRule="auto"/>
        <w:rPr>
          <w:sz w:val="20"/>
          <w:szCs w:val="20"/>
          <w:color w:val="auto"/>
        </w:rPr>
      </w:pPr>
      <w:r>
        <w:rPr>
          <w:rFonts w:ascii="Arial" w:cs="Arial" w:eastAsia="Arial" w:hAnsi="Arial"/>
          <w:sz w:val="15"/>
          <w:szCs w:val="15"/>
          <w:color w:val="auto"/>
        </w:rPr>
        <w:t xml:space="preserve">3.3 </w:t>
      </w:r>
      <w:r>
        <w:rPr>
          <w:rFonts w:ascii="Arial" w:cs="Arial" w:eastAsia="Arial" w:hAnsi="Arial"/>
          <w:sz w:val="15"/>
          <w:szCs w:val="15"/>
          <w:u w:val="single" w:color="auto"/>
          <w:color w:val="auto"/>
        </w:rPr>
        <w:t>Access to Information</w:t>
      </w:r>
      <w:r>
        <w:rPr>
          <w:rFonts w:ascii="Arial" w:cs="Arial" w:eastAsia="Arial" w:hAnsi="Arial"/>
          <w:sz w:val="15"/>
          <w:szCs w:val="15"/>
          <w:color w:val="auto"/>
        </w:rPr>
        <w:t>. Purchaser has had access to all information regarding the Company and its present and prospective business, assets, liabilities and financial condition that Purchaser reasonably considers important in making the decision to purchase the Shares, and Purchaser has had ample opportunity to ask questions of the Company’s representatives concerning such matters and this investment.</w:t>
      </w:r>
    </w:p>
    <w:p>
      <w:pPr>
        <w:spacing w:after="0" w:line="155" w:lineRule="exact"/>
        <w:rPr>
          <w:sz w:val="20"/>
          <w:szCs w:val="20"/>
          <w:color w:val="auto"/>
        </w:rPr>
      </w:pPr>
    </w:p>
    <w:p>
      <w:pPr>
        <w:ind w:right="120" w:firstLine="916"/>
        <w:spacing w:after="0" w:line="283" w:lineRule="auto"/>
        <w:rPr>
          <w:sz w:val="20"/>
          <w:szCs w:val="20"/>
          <w:color w:val="auto"/>
        </w:rPr>
      </w:pPr>
      <w:r>
        <w:rPr>
          <w:rFonts w:ascii="Arial" w:cs="Arial" w:eastAsia="Arial" w:hAnsi="Arial"/>
          <w:sz w:val="14"/>
          <w:szCs w:val="14"/>
          <w:color w:val="auto"/>
        </w:rPr>
        <w:t xml:space="preserve">3.4 </w:t>
      </w:r>
      <w:r>
        <w:rPr>
          <w:rFonts w:ascii="Arial" w:cs="Arial" w:eastAsia="Arial" w:hAnsi="Arial"/>
          <w:sz w:val="14"/>
          <w:szCs w:val="14"/>
          <w:u w:val="single" w:color="auto"/>
          <w:color w:val="auto"/>
        </w:rPr>
        <w:t>Understanding of Risks</w:t>
      </w:r>
      <w:r>
        <w:rPr>
          <w:rFonts w:ascii="Arial" w:cs="Arial" w:eastAsia="Arial" w:hAnsi="Arial"/>
          <w:sz w:val="14"/>
          <w:szCs w:val="14"/>
          <w:color w:val="auto"/>
        </w:rPr>
        <w:t>. Purchaser is fully aware of: (i) the highly speculative nature of the investment in the Shares; (ii) the financial hazards involved; (iii) the lack of liquidity of the Shares and the restrictions on transferability of the Shares (</w:t>
      </w:r>
      <w:r>
        <w:rPr>
          <w:rFonts w:ascii="Arial" w:cs="Arial" w:eastAsia="Arial" w:hAnsi="Arial"/>
          <w:sz w:val="14"/>
          <w:szCs w:val="14"/>
          <w:u w:val="single" w:color="auto"/>
          <w:color w:val="auto"/>
        </w:rPr>
        <w:t>e.g.</w:t>
      </w:r>
      <w:r>
        <w:rPr>
          <w:rFonts w:ascii="Arial" w:cs="Arial" w:eastAsia="Arial" w:hAnsi="Arial"/>
          <w:sz w:val="14"/>
          <w:szCs w:val="14"/>
          <w:color w:val="auto"/>
        </w:rPr>
        <w:t>, that Purchaser may not be able to sell or dispose of the Shares or use them as collateral for loans); (iv) the qualifications and backgrounds of the management of the Company; and (v) the tax consequences of investment in the Shares. Purchaser is capable of evaluating the merits and risks of this investment, has the ability to protect Purchaser’s own interests in this transaction and is financially capable of bearing a total loss of this investment.</w:t>
      </w:r>
    </w:p>
    <w:p>
      <w:pPr>
        <w:spacing w:after="0" w:line="143" w:lineRule="exact"/>
        <w:rPr>
          <w:sz w:val="20"/>
          <w:szCs w:val="20"/>
          <w:color w:val="auto"/>
        </w:rPr>
      </w:pPr>
    </w:p>
    <w:p>
      <w:pPr>
        <w:ind w:right="400" w:firstLine="916"/>
        <w:spacing w:after="0" w:line="275" w:lineRule="auto"/>
        <w:rPr>
          <w:sz w:val="20"/>
          <w:szCs w:val="20"/>
          <w:color w:val="auto"/>
        </w:rPr>
      </w:pPr>
      <w:r>
        <w:rPr>
          <w:rFonts w:ascii="Arial" w:cs="Arial" w:eastAsia="Arial" w:hAnsi="Arial"/>
          <w:sz w:val="15"/>
          <w:szCs w:val="15"/>
          <w:color w:val="auto"/>
        </w:rPr>
        <w:t xml:space="preserve">3.5 </w:t>
      </w:r>
      <w:r>
        <w:rPr>
          <w:rFonts w:ascii="Arial" w:cs="Arial" w:eastAsia="Arial" w:hAnsi="Arial"/>
          <w:sz w:val="15"/>
          <w:szCs w:val="15"/>
          <w:u w:val="single" w:color="auto"/>
          <w:color w:val="auto"/>
        </w:rPr>
        <w:t>No General Solicitation</w:t>
      </w:r>
      <w:r>
        <w:rPr>
          <w:rFonts w:ascii="Arial" w:cs="Arial" w:eastAsia="Arial" w:hAnsi="Arial"/>
          <w:sz w:val="15"/>
          <w:szCs w:val="15"/>
          <w:color w:val="auto"/>
        </w:rPr>
        <w:t>. At no time was Purchaser presented with or solicited by any publicly issued or circulated newspaper, mail, radio, television or other form of general advertising or solicitation in connection with the offer, sale and purchase of the Shares.</w:t>
      </w:r>
    </w:p>
    <w:p>
      <w:pPr>
        <w:spacing w:after="0" w:line="146" w:lineRule="exact"/>
        <w:rPr>
          <w:sz w:val="20"/>
          <w:szCs w:val="20"/>
          <w:color w:val="auto"/>
        </w:rPr>
      </w:pPr>
    </w:p>
    <w:p>
      <w:pPr>
        <w:ind w:right="440" w:firstLine="916"/>
        <w:spacing w:after="0" w:line="275" w:lineRule="auto"/>
        <w:rPr>
          <w:sz w:val="20"/>
          <w:szCs w:val="20"/>
          <w:color w:val="auto"/>
        </w:rPr>
      </w:pPr>
      <w:r>
        <w:rPr>
          <w:rFonts w:ascii="Arial" w:cs="Arial" w:eastAsia="Arial" w:hAnsi="Arial"/>
          <w:sz w:val="15"/>
          <w:szCs w:val="15"/>
          <w:color w:val="auto"/>
        </w:rPr>
        <w:t xml:space="preserve">3.6 </w:t>
      </w:r>
      <w:r>
        <w:rPr>
          <w:rFonts w:ascii="Arial" w:cs="Arial" w:eastAsia="Arial" w:hAnsi="Arial"/>
          <w:sz w:val="15"/>
          <w:szCs w:val="15"/>
          <w:u w:val="single" w:color="auto"/>
          <w:color w:val="auto"/>
        </w:rPr>
        <w:t>Spouse Consent</w:t>
      </w:r>
      <w:r>
        <w:rPr>
          <w:rFonts w:ascii="Arial" w:cs="Arial" w:eastAsia="Arial" w:hAnsi="Arial"/>
          <w:sz w:val="15"/>
          <w:szCs w:val="15"/>
          <w:color w:val="auto"/>
        </w:rPr>
        <w:t>. If Purchaser is married, Purchaser agrees to seek the consent of Purchaser’s spouse to the extent required by the Company to enforce the terms and conditions of the Plan, the Stock Option Agreement and this Exercise Agreement.</w:t>
      </w:r>
    </w:p>
    <w:p>
      <w:pPr>
        <w:spacing w:after="0" w:line="232" w:lineRule="exact"/>
        <w:rPr>
          <w:sz w:val="20"/>
          <w:szCs w:val="20"/>
          <w:color w:val="auto"/>
        </w:rPr>
      </w:pPr>
    </w:p>
    <w:p>
      <w:pPr>
        <w:ind w:left="600" w:hanging="152"/>
        <w:spacing w:after="0"/>
        <w:tabs>
          <w:tab w:leader="none" w:pos="600" w:val="left"/>
        </w:tabs>
        <w:numPr>
          <w:ilvl w:val="0"/>
          <w:numId w:val="456"/>
        </w:numPr>
        <w:rPr>
          <w:rFonts w:ascii="Arial" w:cs="Arial" w:eastAsia="Arial" w:hAnsi="Arial"/>
          <w:sz w:val="15"/>
          <w:szCs w:val="15"/>
          <w:b w:val="1"/>
          <w:bCs w:val="1"/>
          <w:color w:val="auto"/>
        </w:rPr>
      </w:pPr>
      <w:r>
        <w:rPr>
          <w:rFonts w:ascii="Arial" w:cs="Arial" w:eastAsia="Arial" w:hAnsi="Arial"/>
          <w:sz w:val="15"/>
          <w:szCs w:val="15"/>
          <w:b w:val="1"/>
          <w:bCs w:val="1"/>
          <w:u w:val="single" w:color="auto"/>
          <w:color w:val="auto"/>
        </w:rPr>
        <w:t>Compliance with Securities Laws</w:t>
      </w:r>
      <w:r>
        <w:rPr>
          <w:rFonts w:ascii="Arial" w:cs="Arial" w:eastAsia="Arial" w:hAnsi="Arial"/>
          <w:sz w:val="15"/>
          <w:szCs w:val="15"/>
          <w:b w:val="1"/>
          <w:bCs w:val="1"/>
          <w:color w:val="auto"/>
        </w:rPr>
        <w:t>.</w:t>
      </w:r>
    </w:p>
    <w:p>
      <w:pPr>
        <w:spacing w:after="0" w:line="102" w:lineRule="exact"/>
        <w:rPr>
          <w:sz w:val="20"/>
          <w:szCs w:val="20"/>
          <w:color w:val="auto"/>
        </w:rPr>
      </w:pPr>
    </w:p>
    <w:p>
      <w:pPr>
        <w:ind w:right="20" w:firstLine="916"/>
        <w:spacing w:after="0" w:line="290" w:lineRule="auto"/>
        <w:rPr>
          <w:sz w:val="20"/>
          <w:szCs w:val="20"/>
          <w:color w:val="auto"/>
        </w:rPr>
      </w:pPr>
      <w:r>
        <w:rPr>
          <w:rFonts w:ascii="Arial" w:cs="Arial" w:eastAsia="Arial" w:hAnsi="Arial"/>
          <w:sz w:val="14"/>
          <w:szCs w:val="14"/>
          <w:color w:val="auto"/>
        </w:rPr>
        <w:t>4.1</w:t>
      </w:r>
      <w:r>
        <w:rPr>
          <w:rFonts w:ascii="Arial" w:cs="Arial" w:eastAsia="Arial" w:hAnsi="Arial"/>
          <w:sz w:val="14"/>
          <w:szCs w:val="14"/>
          <w:u w:val="single" w:color="auto"/>
          <w:color w:val="auto"/>
        </w:rPr>
        <w:t>Compliance with U.S. Federal Securities Laws</w:t>
      </w:r>
      <w:r>
        <w:rPr>
          <w:rFonts w:ascii="Arial" w:cs="Arial" w:eastAsia="Arial" w:hAnsi="Arial"/>
          <w:sz w:val="14"/>
          <w:szCs w:val="14"/>
          <w:color w:val="auto"/>
        </w:rPr>
        <w:t>. Purchaser understands and acknowledges that the Shares have not been registered with the SEC under the Securities Act and that, notwithstanding any other provision of the Stock Option Agreement to the contrary, the exercise of any rights to purchase any Shares is expressly conditioned upon compliance with the Securities Act and all applicable state securities laws. Purchaser agrees to cooperate with the Company to ensure compliance with such laws.</w:t>
      </w:r>
    </w:p>
    <w:p>
      <w:pPr>
        <w:spacing w:after="0" w:line="138" w:lineRule="exact"/>
        <w:rPr>
          <w:sz w:val="20"/>
          <w:szCs w:val="20"/>
          <w:color w:val="auto"/>
        </w:rPr>
      </w:pPr>
    </w:p>
    <w:p>
      <w:pPr>
        <w:ind w:firstLine="916"/>
        <w:spacing w:after="0" w:line="276" w:lineRule="auto"/>
        <w:rPr>
          <w:sz w:val="20"/>
          <w:szCs w:val="20"/>
          <w:color w:val="auto"/>
        </w:rPr>
      </w:pPr>
      <w:r>
        <w:rPr>
          <w:rFonts w:ascii="Arial" w:cs="Arial" w:eastAsia="Arial" w:hAnsi="Arial"/>
          <w:sz w:val="14"/>
          <w:szCs w:val="14"/>
          <w:color w:val="auto"/>
        </w:rPr>
        <w:t xml:space="preserve">4.2 </w:t>
      </w:r>
      <w:r>
        <w:rPr>
          <w:rFonts w:ascii="Arial" w:cs="Arial" w:eastAsia="Arial" w:hAnsi="Arial"/>
          <w:sz w:val="14"/>
          <w:szCs w:val="14"/>
          <w:u w:val="single" w:color="auto"/>
          <w:color w:val="auto"/>
        </w:rPr>
        <w:t>Compliance with California Securities Laws</w:t>
      </w:r>
      <w:r>
        <w:rPr>
          <w:rFonts w:ascii="Arial" w:cs="Arial" w:eastAsia="Arial" w:hAnsi="Arial"/>
          <w:sz w:val="14"/>
          <w:szCs w:val="14"/>
          <w:color w:val="auto"/>
        </w:rPr>
        <w:t xml:space="preserve">. </w:t>
      </w:r>
      <w:r>
        <w:rPr>
          <w:rFonts w:ascii="Arial" w:cs="Arial" w:eastAsia="Arial" w:hAnsi="Arial"/>
          <w:sz w:val="14"/>
          <w:szCs w:val="14"/>
          <w:i w:val="1"/>
          <w:iCs w:val="1"/>
          <w:color w:val="auto"/>
        </w:rPr>
        <w:t>THE PLAN, THE STOCK OPTION AGREEMENT, AND THIS EXERCISE AGREEMENT ARE INTENDED TO COMPLY</w:t>
      </w:r>
      <w:r>
        <w:rPr>
          <w:rFonts w:ascii="Arial" w:cs="Arial" w:eastAsia="Arial" w:hAnsi="Arial"/>
          <w:sz w:val="14"/>
          <w:szCs w:val="14"/>
          <w:color w:val="auto"/>
        </w:rPr>
        <w:t xml:space="preserve"> </w:t>
      </w:r>
      <w:r>
        <w:rPr>
          <w:rFonts w:ascii="Arial" w:cs="Arial" w:eastAsia="Arial" w:hAnsi="Arial"/>
          <w:sz w:val="14"/>
          <w:szCs w:val="14"/>
          <w:i w:val="1"/>
          <w:iCs w:val="1"/>
          <w:color w:val="auto"/>
        </w:rPr>
        <w:t>WITH SECTION 25102(o) OF THE CALIFORNIA CORPORATIONS CODE AND ANY RULES (INCLUDING COMMISSIONER RULES, IF APPLICABLE) OR REGULATIONS PROMULGATED THEREUNDER BY THE CALIFORNIA DEPARTMENT OF CORPORATIONS (THE “</w:t>
      </w:r>
      <w:r>
        <w:rPr>
          <w:rFonts w:ascii="Arial" w:cs="Arial" w:eastAsia="Arial" w:hAnsi="Arial"/>
          <w:sz w:val="14"/>
          <w:szCs w:val="14"/>
          <w:b w:val="1"/>
          <w:bCs w:val="1"/>
          <w:i w:val="1"/>
          <w:iCs w:val="1"/>
          <w:color w:val="auto"/>
        </w:rPr>
        <w:t>REGULATIONS</w:t>
      </w:r>
      <w:r>
        <w:rPr>
          <w:rFonts w:ascii="Arial" w:cs="Arial" w:eastAsia="Arial" w:hAnsi="Arial"/>
          <w:sz w:val="14"/>
          <w:szCs w:val="14"/>
          <w:i w:val="1"/>
          <w:iCs w:val="1"/>
          <w:color w:val="auto"/>
        </w:rPr>
        <w:t>”). ANY PROVISION OF THIS EXERCISE AGREEMENT THAT IS INCONSISTENT WITH SECTION 25102(o) SHALL, WITHOUT FURTHER ACT OR AMENDMENT BY THE COMPANY OR THE BOARD, BE REFORMED TO COMPLY WITH THE REQUIREMENTS OF SECTION 25102(o). THE SALE OF THE SECURITIES THAT ARE THE SUBJECT OF THIS EXERCISE AGREEMENT, IF NOT YET QUALIFIED WITH THE CALIFORNIA COMMISSIONER OF CORPORATIONS AND NOT EXEMPT FROM SUCH QUALIFICATION, IS SUBJECT TO SUCH QUALIFICATION, AND THE ISSUANCE OF SUCH SECURITIES, AND THE RECEIPT OF ANY PART OF THE CONSIDERATION THEREFOR PRIOR TO SUCH</w:t>
      </w:r>
    </w:p>
    <w:p>
      <w:pPr>
        <w:spacing w:after="0" w:line="9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3</w:t>
      </w:r>
    </w:p>
    <w:p>
      <w:pPr>
        <w:sectPr>
          <w:pgSz w:w="11900" w:h="16838" w:orient="portrait"/>
          <w:cols w:equalWidth="0" w:num="1">
            <w:col w:w="11440"/>
          </w:cols>
          <w:pgMar w:left="240" w:top="253" w:right="219" w:bottom="1440" w:gutter="0" w:footer="0" w:header="0"/>
        </w:sectPr>
      </w:pPr>
    </w:p>
    <w:bookmarkStart w:id="483" w:name="page484"/>
    <w:bookmarkEnd w:id="483"/>
    <w:p>
      <w:pPr>
        <w:ind w:right="360"/>
        <w:spacing w:after="0" w:line="275" w:lineRule="auto"/>
        <w:rPr>
          <w:sz w:val="20"/>
          <w:szCs w:val="20"/>
          <w:color w:val="auto"/>
        </w:rPr>
      </w:pPr>
      <w:r>
        <w:rPr>
          <w:rFonts w:ascii="Arial" w:cs="Arial" w:eastAsia="Arial" w:hAnsi="Arial"/>
          <w:sz w:val="15"/>
          <w:szCs w:val="15"/>
          <w:i w:val="1"/>
          <w:iCs w:val="1"/>
          <w:color w:val="auto"/>
        </w:rPr>
        <w:drawing>
          <wp:anchor simplePos="0" relativeHeight="251657728" behindDoc="1" locked="0" layoutInCell="0" allowOverlap="1">
            <wp:simplePos x="0" y="0"/>
            <wp:positionH relativeFrom="page">
              <wp:posOffset>133350</wp:posOffset>
            </wp:positionH>
            <wp:positionV relativeFrom="page">
              <wp:posOffset>88900</wp:posOffset>
            </wp:positionV>
            <wp:extent cx="7308850" cy="34290"/>
            <wp:wrapNone/>
            <wp:docPr id="731" name="Picture 7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1"/>
                    <pic:cNvPicPr>
                      <a:picLocks noChangeAspect="1" noChangeArrowheads="1"/>
                    </pic:cNvPicPr>
                  </pic:nvPicPr>
                  <pic:blipFill>
                    <a:blip r:embed="rId768">
                      <a:extLst>
                        <a:ext uri="{28A0092B-C50C-407E-A947-70E740481C1C}"/>
                      </a:extLst>
                    </a:blip>
                    <a:srcRect/>
                    <a:stretch>
                      <a:fillRect/>
                    </a:stretch>
                  </pic:blipFill>
                  <pic:spPr bwMode="auto">
                    <a:xfrm>
                      <a:off x="0" y="0"/>
                      <a:ext cx="7308850" cy="34290"/>
                    </a:xfrm>
                    <a:prstGeom prst="rect">
                      <a:avLst/>
                    </a:prstGeom>
                    <a:noFill/>
                  </pic:spPr>
                </pic:pic>
              </a:graphicData>
            </a:graphic>
          </wp:anchor>
        </w:drawing>
        <w:t>QUALIFICATION IS UNLAWFUL UNLESS THE SALE IS EXEMPT. THE RIGHTS OF THE PARTIES TO THIS EXERCISE AGREEMENT ARE EXPRESSLY CONDITIONED UPON SUCH QUALIFICATION BEING OBTAINED OR AN EXEMPTION BEING AVAILABLE.</w:t>
      </w:r>
    </w:p>
    <w:p>
      <w:pPr>
        <w:spacing w:after="0" w:line="232" w:lineRule="exact"/>
        <w:rPr>
          <w:sz w:val="20"/>
          <w:szCs w:val="20"/>
          <w:color w:val="auto"/>
        </w:rPr>
      </w:pPr>
    </w:p>
    <w:p>
      <w:pPr>
        <w:ind w:left="600" w:hanging="152"/>
        <w:spacing w:after="0"/>
        <w:tabs>
          <w:tab w:leader="none" w:pos="600" w:val="left"/>
        </w:tabs>
        <w:numPr>
          <w:ilvl w:val="0"/>
          <w:numId w:val="457"/>
        </w:numPr>
        <w:rPr>
          <w:rFonts w:ascii="Arial" w:cs="Arial" w:eastAsia="Arial" w:hAnsi="Arial"/>
          <w:sz w:val="15"/>
          <w:szCs w:val="15"/>
          <w:b w:val="1"/>
          <w:bCs w:val="1"/>
          <w:color w:val="auto"/>
        </w:rPr>
      </w:pPr>
      <w:r>
        <w:rPr>
          <w:rFonts w:ascii="Arial" w:cs="Arial" w:eastAsia="Arial" w:hAnsi="Arial"/>
          <w:sz w:val="15"/>
          <w:szCs w:val="15"/>
          <w:b w:val="1"/>
          <w:bCs w:val="1"/>
          <w:u w:val="single" w:color="auto"/>
          <w:color w:val="auto"/>
        </w:rPr>
        <w:t>Restricted Securities</w:t>
      </w:r>
      <w:r>
        <w:rPr>
          <w:rFonts w:ascii="Arial" w:cs="Arial" w:eastAsia="Arial" w:hAnsi="Arial"/>
          <w:sz w:val="15"/>
          <w:szCs w:val="15"/>
          <w:b w:val="1"/>
          <w:bCs w:val="1"/>
          <w:color w:val="auto"/>
        </w:rPr>
        <w:t>.</w:t>
      </w:r>
    </w:p>
    <w:p>
      <w:pPr>
        <w:spacing w:after="0" w:line="102" w:lineRule="exact"/>
        <w:rPr>
          <w:sz w:val="20"/>
          <w:szCs w:val="20"/>
          <w:color w:val="auto"/>
        </w:rPr>
      </w:pPr>
    </w:p>
    <w:p>
      <w:pPr>
        <w:ind w:firstLine="916"/>
        <w:spacing w:after="0" w:line="257" w:lineRule="auto"/>
        <w:rPr>
          <w:sz w:val="20"/>
          <w:szCs w:val="20"/>
          <w:color w:val="auto"/>
        </w:rPr>
      </w:pPr>
      <w:r>
        <w:rPr>
          <w:rFonts w:ascii="Arial" w:cs="Arial" w:eastAsia="Arial" w:hAnsi="Arial"/>
          <w:sz w:val="15"/>
          <w:szCs w:val="15"/>
          <w:color w:val="auto"/>
        </w:rPr>
        <w:t xml:space="preserve">5.1 </w:t>
      </w:r>
      <w:r>
        <w:rPr>
          <w:rFonts w:ascii="Arial" w:cs="Arial" w:eastAsia="Arial" w:hAnsi="Arial"/>
          <w:sz w:val="15"/>
          <w:szCs w:val="15"/>
          <w:u w:val="single" w:color="auto"/>
          <w:color w:val="auto"/>
        </w:rPr>
        <w:t>No Transfer Unless Registered or Exempt</w:t>
      </w:r>
      <w:r>
        <w:rPr>
          <w:rFonts w:ascii="Arial" w:cs="Arial" w:eastAsia="Arial" w:hAnsi="Arial"/>
          <w:sz w:val="15"/>
          <w:szCs w:val="15"/>
          <w:color w:val="auto"/>
        </w:rPr>
        <w:t>. Purchaser understands that Purchaser may not transfer any Shares unless such Shares are registered under the Securities Act or qualified under applicable state securities laws or unless, in the opinion of counsel to the Company, exemptions from such registration and qualification requirements are available. Purchaser understands that only the Company may file a registration statement with the SEC and that the Company is under no obligation to do so with respect to the Shares. Purchaser has also been advised that exemptions from registration and qualification may not be available or may not permit Purchaser to transfer all or any of the Shares in the amounts or at the times proposed by Purchaser.</w:t>
      </w:r>
    </w:p>
    <w:p>
      <w:pPr>
        <w:spacing w:after="0" w:line="159" w:lineRule="exact"/>
        <w:rPr>
          <w:sz w:val="20"/>
          <w:szCs w:val="20"/>
          <w:color w:val="auto"/>
        </w:rPr>
      </w:pPr>
    </w:p>
    <w:p>
      <w:pPr>
        <w:ind w:right="80" w:firstLine="916"/>
        <w:spacing w:after="0" w:line="283" w:lineRule="auto"/>
        <w:rPr>
          <w:sz w:val="20"/>
          <w:szCs w:val="20"/>
          <w:color w:val="auto"/>
        </w:rPr>
      </w:pPr>
      <w:r>
        <w:rPr>
          <w:rFonts w:ascii="Arial" w:cs="Arial" w:eastAsia="Arial" w:hAnsi="Arial"/>
          <w:sz w:val="14"/>
          <w:szCs w:val="14"/>
          <w:color w:val="auto"/>
        </w:rPr>
        <w:t xml:space="preserve">5.2 </w:t>
      </w:r>
      <w:r>
        <w:rPr>
          <w:rFonts w:ascii="Arial" w:cs="Arial" w:eastAsia="Arial" w:hAnsi="Arial"/>
          <w:sz w:val="14"/>
          <w:szCs w:val="14"/>
          <w:u w:val="single" w:color="auto"/>
          <w:color w:val="auto"/>
        </w:rPr>
        <w:t>SEC Rule 144</w:t>
      </w:r>
      <w:r>
        <w:rPr>
          <w:rFonts w:ascii="Arial" w:cs="Arial" w:eastAsia="Arial" w:hAnsi="Arial"/>
          <w:sz w:val="14"/>
          <w:szCs w:val="14"/>
          <w:color w:val="auto"/>
        </w:rPr>
        <w:t xml:space="preserve">. In addition, Purchaser has been advised that SEC Rule 144 promulgated under the Securities Act, which permits certain limited sales of unregistered securities, is not presently available with respect to the Shares and, in any event, requires that the Shares be held for a minimum of one (1) year, and in certain cases two (2) years, after they have been purchased </w:t>
      </w:r>
      <w:r>
        <w:rPr>
          <w:rFonts w:ascii="Arial" w:cs="Arial" w:eastAsia="Arial" w:hAnsi="Arial"/>
          <w:sz w:val="14"/>
          <w:szCs w:val="14"/>
          <w:u w:val="single" w:color="auto"/>
          <w:color w:val="auto"/>
        </w:rPr>
        <w:t>and paid for</w:t>
      </w:r>
      <w:r>
        <w:rPr>
          <w:rFonts w:ascii="Arial" w:cs="Arial" w:eastAsia="Arial" w:hAnsi="Arial"/>
          <w:sz w:val="14"/>
          <w:szCs w:val="14"/>
          <w:color w:val="auto"/>
        </w:rPr>
        <w:t xml:space="preserve"> (within the meaning of Rule 144). Purchaser understands that Rule 144 may indefinitely restrict transfer of the Shares so long as Purchaser remains an “affiliate” of the Company or if “current public information” about the Company (as defined in Rule 144) is not publicly available.</w:t>
      </w:r>
    </w:p>
    <w:p>
      <w:pPr>
        <w:spacing w:after="0" w:line="143" w:lineRule="exact"/>
        <w:rPr>
          <w:sz w:val="20"/>
          <w:szCs w:val="20"/>
          <w:color w:val="auto"/>
        </w:rPr>
      </w:pPr>
    </w:p>
    <w:p>
      <w:pPr>
        <w:ind w:right="60" w:firstLine="916"/>
        <w:spacing w:after="0" w:line="259" w:lineRule="auto"/>
        <w:rPr>
          <w:sz w:val="20"/>
          <w:szCs w:val="20"/>
          <w:color w:val="auto"/>
        </w:rPr>
      </w:pPr>
      <w:r>
        <w:rPr>
          <w:rFonts w:ascii="Arial" w:cs="Arial" w:eastAsia="Arial" w:hAnsi="Arial"/>
          <w:sz w:val="15"/>
          <w:szCs w:val="15"/>
          <w:color w:val="auto"/>
        </w:rPr>
        <w:t xml:space="preserve">5.3 </w:t>
      </w:r>
      <w:r>
        <w:rPr>
          <w:rFonts w:ascii="Arial" w:cs="Arial" w:eastAsia="Arial" w:hAnsi="Arial"/>
          <w:sz w:val="15"/>
          <w:szCs w:val="15"/>
          <w:u w:val="single" w:color="auto"/>
          <w:color w:val="auto"/>
        </w:rPr>
        <w:t>SEC Rule 701</w:t>
      </w:r>
      <w:r>
        <w:rPr>
          <w:rFonts w:ascii="Arial" w:cs="Arial" w:eastAsia="Arial" w:hAnsi="Arial"/>
          <w:sz w:val="15"/>
          <w:szCs w:val="15"/>
          <w:color w:val="auto"/>
        </w:rPr>
        <w:t>. The Shares are issued pursuant to SEC Rule 701 promulgated under the Securities Act and may become freely tradeable by non-affiliates (under limited conditions regarding the method of sale) ninety (90) days after the first sale of the Company’s securities to the general public pursuant to a registration statement filed with and declared effective by the SEC, subject to the lengthier market standoff agreement contained in Section 7 of this Exercise Agreement or any other agreement entered into by Purchaser. Affiliates must comply with the provisions (other than the holding period requirements) of Rule 144.</w:t>
      </w:r>
    </w:p>
    <w:p>
      <w:pPr>
        <w:spacing w:after="0" w:line="244" w:lineRule="exact"/>
        <w:rPr>
          <w:sz w:val="20"/>
          <w:szCs w:val="20"/>
          <w:color w:val="auto"/>
        </w:rPr>
      </w:pPr>
    </w:p>
    <w:p>
      <w:pPr>
        <w:ind w:left="600" w:hanging="152"/>
        <w:spacing w:after="0"/>
        <w:tabs>
          <w:tab w:leader="none" w:pos="600" w:val="left"/>
        </w:tabs>
        <w:numPr>
          <w:ilvl w:val="0"/>
          <w:numId w:val="458"/>
        </w:numPr>
        <w:rPr>
          <w:rFonts w:ascii="Arial" w:cs="Arial" w:eastAsia="Arial" w:hAnsi="Arial"/>
          <w:sz w:val="15"/>
          <w:szCs w:val="15"/>
          <w:b w:val="1"/>
          <w:bCs w:val="1"/>
          <w:color w:val="auto"/>
        </w:rPr>
      </w:pPr>
      <w:r>
        <w:rPr>
          <w:rFonts w:ascii="Arial" w:cs="Arial" w:eastAsia="Arial" w:hAnsi="Arial"/>
          <w:sz w:val="15"/>
          <w:szCs w:val="15"/>
          <w:b w:val="1"/>
          <w:bCs w:val="1"/>
          <w:u w:val="single" w:color="auto"/>
          <w:color w:val="auto"/>
        </w:rPr>
        <w:t>Restrictions on Transfers</w:t>
      </w:r>
      <w:r>
        <w:rPr>
          <w:rFonts w:ascii="Arial" w:cs="Arial" w:eastAsia="Arial" w:hAnsi="Arial"/>
          <w:sz w:val="15"/>
          <w:szCs w:val="15"/>
          <w:b w:val="1"/>
          <w:bCs w:val="1"/>
          <w:color w:val="auto"/>
        </w:rPr>
        <w:t>.</w:t>
      </w:r>
    </w:p>
    <w:p>
      <w:pPr>
        <w:spacing w:after="0" w:line="102" w:lineRule="exact"/>
        <w:rPr>
          <w:sz w:val="20"/>
          <w:szCs w:val="20"/>
          <w:color w:val="auto"/>
        </w:rPr>
      </w:pPr>
    </w:p>
    <w:p>
      <w:pPr>
        <w:ind w:left="900"/>
        <w:spacing w:after="0"/>
        <w:rPr>
          <w:sz w:val="20"/>
          <w:szCs w:val="20"/>
          <w:color w:val="auto"/>
        </w:rPr>
      </w:pPr>
      <w:r>
        <w:rPr>
          <w:rFonts w:ascii="Arial" w:cs="Arial" w:eastAsia="Arial" w:hAnsi="Arial"/>
          <w:sz w:val="13"/>
          <w:szCs w:val="13"/>
          <w:color w:val="auto"/>
        </w:rPr>
        <w:t xml:space="preserve">6.1 </w:t>
      </w:r>
      <w:r>
        <w:rPr>
          <w:rFonts w:ascii="Arial" w:cs="Arial" w:eastAsia="Arial" w:hAnsi="Arial"/>
          <w:sz w:val="13"/>
          <w:szCs w:val="13"/>
          <w:u w:val="single" w:color="auto"/>
          <w:color w:val="auto"/>
        </w:rPr>
        <w:t>Disposition of Shares</w:t>
      </w:r>
      <w:r>
        <w:rPr>
          <w:rFonts w:ascii="Arial" w:cs="Arial" w:eastAsia="Arial" w:hAnsi="Arial"/>
          <w:sz w:val="13"/>
          <w:szCs w:val="13"/>
          <w:color w:val="auto"/>
        </w:rPr>
        <w:t>. Purchaser hereby agrees that Purchaser shall make no disposition of the Shares (other than as permitted by this Exercise Agreement) unless and</w:t>
      </w:r>
    </w:p>
    <w:p>
      <w:pPr>
        <w:spacing w:after="0" w:line="40" w:lineRule="exact"/>
        <w:rPr>
          <w:sz w:val="20"/>
          <w:szCs w:val="20"/>
          <w:color w:val="auto"/>
        </w:rPr>
      </w:pPr>
    </w:p>
    <w:p>
      <w:pPr>
        <w:spacing w:after="0"/>
        <w:rPr>
          <w:sz w:val="20"/>
          <w:szCs w:val="20"/>
          <w:color w:val="auto"/>
        </w:rPr>
      </w:pPr>
      <w:r>
        <w:rPr>
          <w:rFonts w:ascii="Arial" w:cs="Arial" w:eastAsia="Arial" w:hAnsi="Arial"/>
          <w:sz w:val="15"/>
          <w:szCs w:val="15"/>
          <w:color w:val="auto"/>
        </w:rPr>
        <w:t>until:</w:t>
      </w:r>
    </w:p>
    <w:p>
      <w:pPr>
        <w:spacing w:after="0" w:line="179" w:lineRule="exact"/>
        <w:rPr>
          <w:sz w:val="20"/>
          <w:szCs w:val="20"/>
          <w:color w:val="auto"/>
        </w:rPr>
      </w:pPr>
    </w:p>
    <w:p>
      <w:pPr>
        <w:ind w:left="1680" w:hanging="202"/>
        <w:spacing w:after="0"/>
        <w:tabs>
          <w:tab w:leader="none" w:pos="1680" w:val="left"/>
        </w:tabs>
        <w:numPr>
          <w:ilvl w:val="0"/>
          <w:numId w:val="459"/>
        </w:numPr>
        <w:rPr>
          <w:rFonts w:ascii="Arial" w:cs="Arial" w:eastAsia="Arial" w:hAnsi="Arial"/>
          <w:sz w:val="13"/>
          <w:szCs w:val="13"/>
          <w:color w:val="auto"/>
        </w:rPr>
      </w:pPr>
      <w:r>
        <w:rPr>
          <w:rFonts w:ascii="Arial" w:cs="Arial" w:eastAsia="Arial" w:hAnsi="Arial"/>
          <w:sz w:val="13"/>
          <w:szCs w:val="13"/>
          <w:color w:val="auto"/>
        </w:rPr>
        <w:t>Purchaser shall have notified the Company of the proposed disposition and provided a written summary of the terms and conditions of the proposed disposition;</w:t>
      </w:r>
    </w:p>
    <w:p>
      <w:pPr>
        <w:spacing w:after="0" w:line="211" w:lineRule="exact"/>
        <w:rPr>
          <w:rFonts w:ascii="Arial" w:cs="Arial" w:eastAsia="Arial" w:hAnsi="Arial"/>
          <w:sz w:val="13"/>
          <w:szCs w:val="13"/>
          <w:color w:val="auto"/>
        </w:rPr>
      </w:pPr>
    </w:p>
    <w:p>
      <w:pPr>
        <w:ind w:left="1700" w:hanging="222"/>
        <w:spacing w:after="0"/>
        <w:tabs>
          <w:tab w:leader="none" w:pos="1700" w:val="left"/>
        </w:tabs>
        <w:numPr>
          <w:ilvl w:val="0"/>
          <w:numId w:val="459"/>
        </w:numPr>
        <w:rPr>
          <w:rFonts w:ascii="Arial" w:cs="Arial" w:eastAsia="Arial" w:hAnsi="Arial"/>
          <w:sz w:val="15"/>
          <w:szCs w:val="15"/>
          <w:color w:val="auto"/>
        </w:rPr>
      </w:pPr>
      <w:r>
        <w:rPr>
          <w:rFonts w:ascii="Arial" w:cs="Arial" w:eastAsia="Arial" w:hAnsi="Arial"/>
          <w:sz w:val="15"/>
          <w:szCs w:val="15"/>
          <w:color w:val="auto"/>
        </w:rPr>
        <w:t>Purchaser shall have complied with all requirements of this Exercise Agreement applicable to the disposition of the Shares;</w:t>
      </w:r>
    </w:p>
    <w:p>
      <w:pPr>
        <w:spacing w:after="0" w:line="188" w:lineRule="exact"/>
        <w:rPr>
          <w:rFonts w:ascii="Arial" w:cs="Arial" w:eastAsia="Arial" w:hAnsi="Arial"/>
          <w:sz w:val="15"/>
          <w:szCs w:val="15"/>
          <w:color w:val="auto"/>
        </w:rPr>
      </w:pPr>
    </w:p>
    <w:p>
      <w:pPr>
        <w:ind w:right="500" w:firstLine="1478"/>
        <w:spacing w:after="0" w:line="275" w:lineRule="auto"/>
        <w:tabs>
          <w:tab w:leader="none" w:pos="1692" w:val="left"/>
        </w:tabs>
        <w:numPr>
          <w:ilvl w:val="0"/>
          <w:numId w:val="459"/>
        </w:numPr>
        <w:rPr>
          <w:rFonts w:ascii="Arial" w:cs="Arial" w:eastAsia="Arial" w:hAnsi="Arial"/>
          <w:sz w:val="15"/>
          <w:szCs w:val="15"/>
          <w:color w:val="auto"/>
        </w:rPr>
      </w:pPr>
      <w:r>
        <w:rPr>
          <w:rFonts w:ascii="Arial" w:cs="Arial" w:eastAsia="Arial" w:hAnsi="Arial"/>
          <w:sz w:val="15"/>
          <w:szCs w:val="15"/>
          <w:color w:val="auto"/>
        </w:rPr>
        <w:t>Purchaser shall have provided the Company with written assurances, in form and substance satisfactory to counsel for the Company, that (i) the proposed disposition does not require registration of the Shares under the Securities Act or (ii) all</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4</w:t>
      </w:r>
    </w:p>
    <w:p>
      <w:pPr>
        <w:sectPr>
          <w:pgSz w:w="11900" w:h="16838" w:orient="portrait"/>
          <w:cols w:equalWidth="0" w:num="1">
            <w:col w:w="11400"/>
          </w:cols>
          <w:pgMar w:left="240" w:top="253" w:right="259" w:bottom="1440" w:gutter="0" w:footer="0" w:header="0"/>
        </w:sectPr>
      </w:pPr>
    </w:p>
    <w:bookmarkStart w:id="484" w:name="page485"/>
    <w:bookmarkEnd w:id="484"/>
    <w:p>
      <w:pPr>
        <w:ind w:left="10"/>
        <w:spacing w:after="0"/>
        <w:rPr>
          <w:sz w:val="20"/>
          <w:szCs w:val="20"/>
          <w:color w:val="auto"/>
        </w:rPr>
      </w:pPr>
      <w:r>
        <w:rPr>
          <w:rFonts w:ascii="Arial" w:cs="Arial" w:eastAsia="Arial" w:hAnsi="Arial"/>
          <w:sz w:val="13"/>
          <w:szCs w:val="13"/>
          <w:color w:val="auto"/>
        </w:rPr>
        <w:drawing>
          <wp:anchor simplePos="0" relativeHeight="251657728" behindDoc="1" locked="0" layoutInCell="0" allowOverlap="1">
            <wp:simplePos x="0" y="0"/>
            <wp:positionH relativeFrom="page">
              <wp:posOffset>133350</wp:posOffset>
            </wp:positionH>
            <wp:positionV relativeFrom="page">
              <wp:posOffset>88900</wp:posOffset>
            </wp:positionV>
            <wp:extent cx="7308850" cy="34290"/>
            <wp:wrapNone/>
            <wp:docPr id="732" name="Picture 7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2"/>
                    <pic:cNvPicPr>
                      <a:picLocks noChangeAspect="1" noChangeArrowheads="1"/>
                    </pic:cNvPicPr>
                  </pic:nvPicPr>
                  <pic:blipFill>
                    <a:blip r:embed="rId769">
                      <a:extLst>
                        <a:ext uri="{28A0092B-C50C-407E-A947-70E740481C1C}"/>
                      </a:extLst>
                    </a:blip>
                    <a:srcRect/>
                    <a:stretch>
                      <a:fillRect/>
                    </a:stretch>
                  </pic:blipFill>
                  <pic:spPr bwMode="auto">
                    <a:xfrm>
                      <a:off x="0" y="0"/>
                      <a:ext cx="7308850" cy="34290"/>
                    </a:xfrm>
                    <a:prstGeom prst="rect">
                      <a:avLst/>
                    </a:prstGeom>
                    <a:noFill/>
                  </pic:spPr>
                </pic:pic>
              </a:graphicData>
            </a:graphic>
          </wp:anchor>
        </w:drawing>
        <w:t>appropriate actions necessary for compliance with the registration requirements of the Securities Act or of any exemption from registration available under the Securities Act (including Rule</w:t>
      </w:r>
    </w:p>
    <w:p>
      <w:pPr>
        <w:spacing w:after="0" w:line="40" w:lineRule="exact"/>
        <w:rPr>
          <w:sz w:val="20"/>
          <w:szCs w:val="20"/>
          <w:color w:val="auto"/>
        </w:rPr>
      </w:pPr>
    </w:p>
    <w:p>
      <w:pPr>
        <w:ind w:left="310" w:hanging="310"/>
        <w:spacing w:after="0"/>
        <w:tabs>
          <w:tab w:leader="none" w:pos="310" w:val="left"/>
        </w:tabs>
        <w:numPr>
          <w:ilvl w:val="0"/>
          <w:numId w:val="460"/>
        </w:numPr>
        <w:rPr>
          <w:rFonts w:ascii="Arial" w:cs="Arial" w:eastAsia="Arial" w:hAnsi="Arial"/>
          <w:sz w:val="15"/>
          <w:szCs w:val="15"/>
          <w:color w:val="auto"/>
        </w:rPr>
      </w:pPr>
      <w:r>
        <w:rPr>
          <w:rFonts w:ascii="Arial" w:cs="Arial" w:eastAsia="Arial" w:hAnsi="Arial"/>
          <w:sz w:val="15"/>
          <w:szCs w:val="15"/>
          <w:color w:val="auto"/>
        </w:rPr>
        <w:t>have been taken; and</w:t>
      </w:r>
    </w:p>
    <w:p>
      <w:pPr>
        <w:spacing w:after="0" w:line="178" w:lineRule="exact"/>
        <w:rPr>
          <w:rFonts w:ascii="Arial" w:cs="Arial" w:eastAsia="Arial" w:hAnsi="Arial"/>
          <w:sz w:val="15"/>
          <w:szCs w:val="15"/>
          <w:color w:val="auto"/>
        </w:rPr>
      </w:pPr>
    </w:p>
    <w:p>
      <w:pPr>
        <w:ind w:left="10" w:right="200" w:firstLine="1478"/>
        <w:spacing w:after="0" w:line="312" w:lineRule="auto"/>
        <w:tabs>
          <w:tab w:leader="none" w:pos="1711" w:val="left"/>
        </w:tabs>
        <w:numPr>
          <w:ilvl w:val="1"/>
          <w:numId w:val="460"/>
        </w:numPr>
        <w:rPr>
          <w:rFonts w:ascii="Arial" w:cs="Arial" w:eastAsia="Arial" w:hAnsi="Arial"/>
          <w:sz w:val="14"/>
          <w:szCs w:val="14"/>
          <w:color w:val="auto"/>
        </w:rPr>
      </w:pPr>
      <w:r>
        <w:rPr>
          <w:rFonts w:ascii="Arial" w:cs="Arial" w:eastAsia="Arial" w:hAnsi="Arial"/>
          <w:sz w:val="14"/>
          <w:szCs w:val="14"/>
          <w:color w:val="auto"/>
        </w:rPr>
        <w:t>Purchaser shall have provided the Company with written assurances, in form and substance satisfactory to the Company, that the proposed disposition will not result in the contravention of any transfer restrictions applicable to the Shares pursuant to the provisions of the Regulations referred to in Section 4.2 hereof.</w:t>
      </w:r>
    </w:p>
    <w:p>
      <w:pPr>
        <w:spacing w:after="0" w:line="123" w:lineRule="exact"/>
        <w:rPr>
          <w:sz w:val="20"/>
          <w:szCs w:val="20"/>
          <w:color w:val="auto"/>
        </w:rPr>
      </w:pPr>
    </w:p>
    <w:p>
      <w:pPr>
        <w:ind w:left="10" w:right="220" w:firstLine="916"/>
        <w:spacing w:after="0" w:line="275" w:lineRule="auto"/>
        <w:rPr>
          <w:sz w:val="20"/>
          <w:szCs w:val="20"/>
          <w:color w:val="auto"/>
        </w:rPr>
      </w:pPr>
      <w:r>
        <w:rPr>
          <w:rFonts w:ascii="Arial" w:cs="Arial" w:eastAsia="Arial" w:hAnsi="Arial"/>
          <w:sz w:val="15"/>
          <w:szCs w:val="15"/>
          <w:color w:val="auto"/>
        </w:rPr>
        <w:t xml:space="preserve">6.2 </w:t>
      </w:r>
      <w:r>
        <w:rPr>
          <w:rFonts w:ascii="Arial" w:cs="Arial" w:eastAsia="Arial" w:hAnsi="Arial"/>
          <w:sz w:val="15"/>
          <w:szCs w:val="15"/>
          <w:u w:val="single" w:color="auto"/>
          <w:color w:val="auto"/>
        </w:rPr>
        <w:t>Restriction on Transfer</w:t>
      </w:r>
      <w:r>
        <w:rPr>
          <w:rFonts w:ascii="Arial" w:cs="Arial" w:eastAsia="Arial" w:hAnsi="Arial"/>
          <w:sz w:val="15"/>
          <w:szCs w:val="15"/>
          <w:color w:val="auto"/>
        </w:rPr>
        <w:t>. Purchaser shall not transfer, assign, grant a lien or security interest in, pledge, hypothecate, encumber or otherwise dispose of any of the Shares which are subject to the Company’s Right of First Refusal described below, except as permitted by this Exercise Agreement.</w:t>
      </w:r>
    </w:p>
    <w:p>
      <w:pPr>
        <w:spacing w:after="0" w:line="146" w:lineRule="exact"/>
        <w:rPr>
          <w:sz w:val="20"/>
          <w:szCs w:val="20"/>
          <w:color w:val="auto"/>
        </w:rPr>
      </w:pPr>
    </w:p>
    <w:p>
      <w:pPr>
        <w:ind w:left="10" w:firstLine="916"/>
        <w:spacing w:after="0" w:line="259" w:lineRule="auto"/>
        <w:rPr>
          <w:sz w:val="20"/>
          <w:szCs w:val="20"/>
          <w:color w:val="auto"/>
        </w:rPr>
      </w:pPr>
      <w:r>
        <w:rPr>
          <w:rFonts w:ascii="Arial" w:cs="Arial" w:eastAsia="Arial" w:hAnsi="Arial"/>
          <w:sz w:val="15"/>
          <w:szCs w:val="15"/>
          <w:color w:val="auto"/>
        </w:rPr>
        <w:t xml:space="preserve">6.3 </w:t>
      </w:r>
      <w:r>
        <w:rPr>
          <w:rFonts w:ascii="Arial" w:cs="Arial" w:eastAsia="Arial" w:hAnsi="Arial"/>
          <w:sz w:val="15"/>
          <w:szCs w:val="15"/>
          <w:u w:val="single" w:color="auto"/>
          <w:color w:val="auto"/>
        </w:rPr>
        <w:t>Transferee Obligations</w:t>
      </w:r>
      <w:r>
        <w:rPr>
          <w:rFonts w:ascii="Arial" w:cs="Arial" w:eastAsia="Arial" w:hAnsi="Arial"/>
          <w:sz w:val="15"/>
          <w:szCs w:val="15"/>
          <w:color w:val="auto"/>
        </w:rPr>
        <w:t>. Each person (other than the Company) to whom the Shares are transferred by means of one of the permitted transfers specified in this Exercise Agreement must, as a condition precedent to the validity of such transfer, acknowledge in writing to the Company that such person is bound by the provisions of this Exercise Agreement and that the transferred Shares are subject to (i) the Company’s Right of First Refusal granted hereunder and (ii) the market stand-off provisions of Section 7 hereof, to the same extent such Shares would be so subject if retained by the Purchaser.</w:t>
      </w:r>
    </w:p>
    <w:p>
      <w:pPr>
        <w:spacing w:after="0" w:line="158" w:lineRule="exact"/>
        <w:rPr>
          <w:sz w:val="20"/>
          <w:szCs w:val="20"/>
          <w:color w:val="auto"/>
        </w:rPr>
      </w:pPr>
    </w:p>
    <w:p>
      <w:pPr>
        <w:ind w:left="10" w:firstLine="916"/>
        <w:spacing w:after="0" w:line="275" w:lineRule="auto"/>
        <w:rPr>
          <w:sz w:val="20"/>
          <w:szCs w:val="20"/>
          <w:color w:val="auto"/>
        </w:rPr>
      </w:pPr>
      <w:r>
        <w:rPr>
          <w:rFonts w:ascii="Arial" w:cs="Arial" w:eastAsia="Arial" w:hAnsi="Arial"/>
          <w:sz w:val="15"/>
          <w:szCs w:val="15"/>
          <w:color w:val="auto"/>
        </w:rPr>
        <w:t xml:space="preserve">6.4 </w:t>
      </w:r>
      <w:r>
        <w:rPr>
          <w:rFonts w:ascii="Arial" w:cs="Arial" w:eastAsia="Arial" w:hAnsi="Arial"/>
          <w:sz w:val="15"/>
          <w:szCs w:val="15"/>
          <w:u w:val="single" w:color="auto"/>
          <w:color w:val="auto"/>
        </w:rPr>
        <w:t>Additional Transfer Restrictions</w:t>
      </w:r>
      <w:r>
        <w:rPr>
          <w:rFonts w:ascii="Arial" w:cs="Arial" w:eastAsia="Arial" w:hAnsi="Arial"/>
          <w:sz w:val="15"/>
          <w:szCs w:val="15"/>
          <w:color w:val="auto"/>
        </w:rPr>
        <w:t>. Purchaser hereby agrees to be bound by any and all restrictions on transfers of securities as set forth in the Company’s Bylaws (as may be amended from time to time), including, but not limited to, those transfer restrictions set forth in Section 6.8.</w:t>
      </w:r>
    </w:p>
    <w:p>
      <w:pPr>
        <w:spacing w:after="0" w:line="142" w:lineRule="exact"/>
        <w:rPr>
          <w:sz w:val="20"/>
          <w:szCs w:val="20"/>
          <w:color w:val="auto"/>
        </w:rPr>
      </w:pPr>
    </w:p>
    <w:p>
      <w:pPr>
        <w:ind w:left="10" w:right="120" w:firstLine="448"/>
        <w:spacing w:after="0" w:line="258" w:lineRule="auto"/>
        <w:tabs>
          <w:tab w:leader="none" w:pos="618" w:val="left"/>
        </w:tabs>
        <w:numPr>
          <w:ilvl w:val="0"/>
          <w:numId w:val="461"/>
        </w:numPr>
        <w:rPr>
          <w:rFonts w:ascii="Arial" w:cs="Arial" w:eastAsia="Arial" w:hAnsi="Arial"/>
          <w:sz w:val="15"/>
          <w:szCs w:val="15"/>
          <w:b w:val="1"/>
          <w:bCs w:val="1"/>
          <w:color w:val="auto"/>
        </w:rPr>
      </w:pPr>
      <w:r>
        <w:rPr>
          <w:rFonts w:ascii="Arial" w:cs="Arial" w:eastAsia="Arial" w:hAnsi="Arial"/>
          <w:sz w:val="15"/>
          <w:szCs w:val="15"/>
          <w:b w:val="1"/>
          <w:bCs w:val="1"/>
          <w:u w:val="single" w:color="auto"/>
          <w:color w:val="auto"/>
        </w:rPr>
        <w:t>Market Standoff Agreement</w:t>
      </w:r>
      <w:r>
        <w:rPr>
          <w:rFonts w:ascii="Arial" w:cs="Arial" w:eastAsia="Arial" w:hAnsi="Arial"/>
          <w:sz w:val="15"/>
          <w:szCs w:val="15"/>
          <w:b w:val="1"/>
          <w:bCs w:val="1"/>
          <w:color w:val="auto"/>
        </w:rPr>
        <w:t xml:space="preserve">. </w:t>
      </w:r>
      <w:r>
        <w:rPr>
          <w:rFonts w:ascii="Arial" w:cs="Arial" w:eastAsia="Arial" w:hAnsi="Arial"/>
          <w:sz w:val="15"/>
          <w:szCs w:val="15"/>
          <w:color w:val="auto"/>
        </w:rPr>
        <w:t>Purchaser agrees in connection with any registration of the Company’s securities that, upon the request of the Company or the underwriters</w:t>
      </w:r>
      <w:r>
        <w:rPr>
          <w:rFonts w:ascii="Arial" w:cs="Arial" w:eastAsia="Arial" w:hAnsi="Arial"/>
          <w:sz w:val="15"/>
          <w:szCs w:val="15"/>
          <w:b w:val="1"/>
          <w:bCs w:val="1"/>
          <w:color w:val="auto"/>
        </w:rPr>
        <w:t xml:space="preserve"> </w:t>
      </w:r>
      <w:r>
        <w:rPr>
          <w:rFonts w:ascii="Arial" w:cs="Arial" w:eastAsia="Arial" w:hAnsi="Arial"/>
          <w:sz w:val="15"/>
          <w:szCs w:val="15"/>
          <w:color w:val="auto"/>
        </w:rPr>
        <w:t>managing any public offering of the Company’s securities, Purchaser will not sell or otherwise dispose of any shares of the Company’s capital stock without the prior written consent of the Company or such underwriters, as the case may be, for such period of time (not to exceed one hundred eighty (180) days) after the effective date of such registration requested by such managing underwriters and subject to all restrictions as the Company or the underwriters may specify. Purchaser further agrees to enter into any agreement reasonably required by the underwriters to implement the foregoing.</w:t>
      </w:r>
    </w:p>
    <w:p>
      <w:pPr>
        <w:spacing w:after="0" w:line="155" w:lineRule="exact"/>
        <w:rPr>
          <w:rFonts w:ascii="Arial" w:cs="Arial" w:eastAsia="Arial" w:hAnsi="Arial"/>
          <w:sz w:val="15"/>
          <w:szCs w:val="15"/>
          <w:b w:val="1"/>
          <w:bCs w:val="1"/>
          <w:color w:val="auto"/>
        </w:rPr>
      </w:pPr>
    </w:p>
    <w:p>
      <w:pPr>
        <w:ind w:left="10" w:right="60" w:firstLine="448"/>
        <w:spacing w:after="0" w:line="261" w:lineRule="auto"/>
        <w:tabs>
          <w:tab w:leader="none" w:pos="618" w:val="left"/>
        </w:tabs>
        <w:numPr>
          <w:ilvl w:val="0"/>
          <w:numId w:val="461"/>
        </w:numPr>
        <w:rPr>
          <w:rFonts w:ascii="Arial" w:cs="Arial" w:eastAsia="Arial" w:hAnsi="Arial"/>
          <w:sz w:val="15"/>
          <w:szCs w:val="15"/>
          <w:b w:val="1"/>
          <w:bCs w:val="1"/>
          <w:color w:val="auto"/>
        </w:rPr>
      </w:pPr>
      <w:r>
        <w:rPr>
          <w:rFonts w:ascii="Arial" w:cs="Arial" w:eastAsia="Arial" w:hAnsi="Arial"/>
          <w:sz w:val="15"/>
          <w:szCs w:val="15"/>
          <w:b w:val="1"/>
          <w:bCs w:val="1"/>
          <w:u w:val="single" w:color="auto"/>
          <w:color w:val="auto"/>
        </w:rPr>
        <w:t>Company’s Right of First Refusal</w:t>
      </w:r>
      <w:r>
        <w:rPr>
          <w:rFonts w:ascii="Arial" w:cs="Arial" w:eastAsia="Arial" w:hAnsi="Arial"/>
          <w:sz w:val="15"/>
          <w:szCs w:val="15"/>
          <w:color w:val="auto"/>
        </w:rPr>
        <w:t>. Unvested Shares may not be sold or otherwise transferred by Purchaser without the Company’s prior written consent. Before any Vested</w:t>
      </w:r>
      <w:r>
        <w:rPr>
          <w:rFonts w:ascii="Arial" w:cs="Arial" w:eastAsia="Arial" w:hAnsi="Arial"/>
          <w:sz w:val="15"/>
          <w:szCs w:val="15"/>
          <w:b w:val="1"/>
          <w:bCs w:val="1"/>
          <w:color w:val="auto"/>
        </w:rPr>
        <w:t xml:space="preserve"> </w:t>
      </w:r>
      <w:r>
        <w:rPr>
          <w:rFonts w:ascii="Arial" w:cs="Arial" w:eastAsia="Arial" w:hAnsi="Arial"/>
          <w:sz w:val="15"/>
          <w:szCs w:val="15"/>
          <w:color w:val="auto"/>
        </w:rPr>
        <w:t>Shares held by Purchaser or any transferee of such Vested Shares (either sometimes referred to herein as the “</w:t>
      </w:r>
      <w:r>
        <w:rPr>
          <w:rFonts w:ascii="Arial" w:cs="Arial" w:eastAsia="Arial" w:hAnsi="Arial"/>
          <w:sz w:val="15"/>
          <w:szCs w:val="15"/>
          <w:b w:val="1"/>
          <w:bCs w:val="1"/>
          <w:i w:val="1"/>
          <w:iCs w:val="1"/>
          <w:color w:val="auto"/>
        </w:rPr>
        <w:t>Holder</w:t>
      </w:r>
      <w:r>
        <w:rPr>
          <w:rFonts w:ascii="Arial" w:cs="Arial" w:eastAsia="Arial" w:hAnsi="Arial"/>
          <w:sz w:val="15"/>
          <w:szCs w:val="15"/>
          <w:color w:val="auto"/>
        </w:rPr>
        <w:t>”) may be sold or otherwise transferred (including, without limitation, a transfer by gift or operation of law), the Company and/or its assignee(s) will have a right of first refusal to purchase the Vested Shares to be sold or transferred (the “</w:t>
      </w:r>
      <w:r>
        <w:rPr>
          <w:rFonts w:ascii="Arial" w:cs="Arial" w:eastAsia="Arial" w:hAnsi="Arial"/>
          <w:sz w:val="15"/>
          <w:szCs w:val="15"/>
          <w:b w:val="1"/>
          <w:bCs w:val="1"/>
          <w:i w:val="1"/>
          <w:iCs w:val="1"/>
          <w:color w:val="auto"/>
        </w:rPr>
        <w:t>Offered Shares</w:t>
      </w:r>
      <w:r>
        <w:rPr>
          <w:rFonts w:ascii="Arial" w:cs="Arial" w:eastAsia="Arial" w:hAnsi="Arial"/>
          <w:sz w:val="15"/>
          <w:szCs w:val="15"/>
          <w:color w:val="auto"/>
        </w:rPr>
        <w:t>”) on the terms and conditions set forth in this Section (the “</w:t>
      </w:r>
      <w:r>
        <w:rPr>
          <w:rFonts w:ascii="Arial" w:cs="Arial" w:eastAsia="Arial" w:hAnsi="Arial"/>
          <w:sz w:val="15"/>
          <w:szCs w:val="15"/>
          <w:b w:val="1"/>
          <w:bCs w:val="1"/>
          <w:i w:val="1"/>
          <w:iCs w:val="1"/>
          <w:color w:val="auto"/>
        </w:rPr>
        <w:t>Right of First Refusal</w:t>
      </w:r>
      <w:r>
        <w:rPr>
          <w:rFonts w:ascii="Arial" w:cs="Arial" w:eastAsia="Arial" w:hAnsi="Arial"/>
          <w:sz w:val="15"/>
          <w:szCs w:val="15"/>
          <w:color w:val="auto"/>
        </w:rPr>
        <w:t>”).</w:t>
      </w:r>
    </w:p>
    <w:p>
      <w:pPr>
        <w:spacing w:after="0" w:line="156" w:lineRule="exact"/>
        <w:rPr>
          <w:sz w:val="20"/>
          <w:szCs w:val="20"/>
          <w:color w:val="auto"/>
        </w:rPr>
      </w:pPr>
    </w:p>
    <w:p>
      <w:pPr>
        <w:ind w:left="10" w:right="140" w:firstLine="916"/>
        <w:spacing w:after="0" w:line="312" w:lineRule="auto"/>
        <w:rPr>
          <w:sz w:val="20"/>
          <w:szCs w:val="20"/>
          <w:color w:val="auto"/>
        </w:rPr>
      </w:pPr>
      <w:r>
        <w:rPr>
          <w:rFonts w:ascii="Arial" w:cs="Arial" w:eastAsia="Arial" w:hAnsi="Arial"/>
          <w:sz w:val="14"/>
          <w:szCs w:val="14"/>
          <w:color w:val="auto"/>
        </w:rPr>
        <w:t xml:space="preserve">8.1 </w:t>
      </w:r>
      <w:r>
        <w:rPr>
          <w:rFonts w:ascii="Arial" w:cs="Arial" w:eastAsia="Arial" w:hAnsi="Arial"/>
          <w:sz w:val="14"/>
          <w:szCs w:val="14"/>
          <w:u w:val="single" w:color="auto"/>
          <w:color w:val="auto"/>
        </w:rPr>
        <w:t>Notice of Proposed Transfer</w:t>
      </w:r>
      <w:r>
        <w:rPr>
          <w:rFonts w:ascii="Arial" w:cs="Arial" w:eastAsia="Arial" w:hAnsi="Arial"/>
          <w:sz w:val="14"/>
          <w:szCs w:val="14"/>
          <w:color w:val="auto"/>
        </w:rPr>
        <w:t>. The Holder of the Offered Shares will deliver to the Company a written notice (the “</w:t>
      </w:r>
      <w:r>
        <w:rPr>
          <w:rFonts w:ascii="Arial" w:cs="Arial" w:eastAsia="Arial" w:hAnsi="Arial"/>
          <w:sz w:val="14"/>
          <w:szCs w:val="14"/>
          <w:b w:val="1"/>
          <w:bCs w:val="1"/>
          <w:i w:val="1"/>
          <w:iCs w:val="1"/>
          <w:color w:val="auto"/>
        </w:rPr>
        <w:t>Notice</w:t>
      </w:r>
      <w:r>
        <w:rPr>
          <w:rFonts w:ascii="Arial" w:cs="Arial" w:eastAsia="Arial" w:hAnsi="Arial"/>
          <w:sz w:val="14"/>
          <w:szCs w:val="14"/>
          <w:color w:val="auto"/>
        </w:rPr>
        <w:t>”) stating: (i) the Holder’s bona fide intention to sell or otherwise transfer the Offered Shares; (ii) the name and address of each proposed purchaser or other transferee (the “</w:t>
      </w:r>
      <w:r>
        <w:rPr>
          <w:rFonts w:ascii="Arial" w:cs="Arial" w:eastAsia="Arial" w:hAnsi="Arial"/>
          <w:sz w:val="14"/>
          <w:szCs w:val="14"/>
          <w:b w:val="1"/>
          <w:bCs w:val="1"/>
          <w:i w:val="1"/>
          <w:iCs w:val="1"/>
          <w:color w:val="auto"/>
        </w:rPr>
        <w:t>Proposed Transferee</w:t>
      </w:r>
      <w:r>
        <w:rPr>
          <w:rFonts w:ascii="Arial" w:cs="Arial" w:eastAsia="Arial" w:hAnsi="Arial"/>
          <w:sz w:val="14"/>
          <w:szCs w:val="14"/>
          <w:color w:val="auto"/>
        </w:rPr>
        <w:t>”); (iii) the number of Offered</w:t>
      </w:r>
    </w:p>
    <w:p>
      <w:pPr>
        <w:spacing w:after="0" w:line="66" w:lineRule="exact"/>
        <w:rPr>
          <w:sz w:val="20"/>
          <w:szCs w:val="20"/>
          <w:color w:val="auto"/>
        </w:rPr>
      </w:pPr>
    </w:p>
    <w:p>
      <w:pPr>
        <w:jc w:val="center"/>
        <w:ind w:right="-9"/>
        <w:spacing w:after="0"/>
        <w:rPr>
          <w:sz w:val="20"/>
          <w:szCs w:val="20"/>
          <w:color w:val="auto"/>
        </w:rPr>
      </w:pPr>
      <w:r>
        <w:rPr>
          <w:rFonts w:ascii="Arial" w:cs="Arial" w:eastAsia="Arial" w:hAnsi="Arial"/>
          <w:sz w:val="15"/>
          <w:szCs w:val="15"/>
          <w:color w:val="auto"/>
        </w:rPr>
        <w:t>5</w:t>
      </w:r>
    </w:p>
    <w:p>
      <w:pPr>
        <w:sectPr>
          <w:pgSz w:w="11900" w:h="16838" w:orient="portrait"/>
          <w:cols w:equalWidth="0" w:num="1">
            <w:col w:w="11430"/>
          </w:cols>
          <w:pgMar w:left="230" w:top="253" w:right="239" w:bottom="1440" w:gutter="0" w:footer="0" w:header="0"/>
        </w:sectPr>
      </w:pPr>
    </w:p>
    <w:bookmarkStart w:id="485" w:name="page486"/>
    <w:bookmarkEnd w:id="485"/>
    <w:p>
      <w:pPr>
        <w:jc w:val="both"/>
        <w:ind w:right="80"/>
        <w:spacing w:after="0" w:line="263"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133350</wp:posOffset>
            </wp:positionH>
            <wp:positionV relativeFrom="page">
              <wp:posOffset>88900</wp:posOffset>
            </wp:positionV>
            <wp:extent cx="7308850" cy="34290"/>
            <wp:wrapNone/>
            <wp:docPr id="733" name="Picture 7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3"/>
                    <pic:cNvPicPr>
                      <a:picLocks noChangeAspect="1" noChangeArrowheads="1"/>
                    </pic:cNvPicPr>
                  </pic:nvPicPr>
                  <pic:blipFill>
                    <a:blip r:embed="rId770">
                      <a:extLst>
                        <a:ext uri="{28A0092B-C50C-407E-A947-70E740481C1C}"/>
                      </a:extLst>
                    </a:blip>
                    <a:srcRect/>
                    <a:stretch>
                      <a:fillRect/>
                    </a:stretch>
                  </pic:blipFill>
                  <pic:spPr bwMode="auto">
                    <a:xfrm>
                      <a:off x="0" y="0"/>
                      <a:ext cx="7308850" cy="34290"/>
                    </a:xfrm>
                    <a:prstGeom prst="rect">
                      <a:avLst/>
                    </a:prstGeom>
                    <a:noFill/>
                  </pic:spPr>
                </pic:pic>
              </a:graphicData>
            </a:graphic>
          </wp:anchor>
        </w:drawing>
        <w:t>Shares to be transferred to each Proposed Transferee; (iv) the bona fide cash price or other consideration for which the Holder proposes to transfer the Offered Shares (the “</w:t>
      </w:r>
      <w:r>
        <w:rPr>
          <w:rFonts w:ascii="Arial" w:cs="Arial" w:eastAsia="Arial" w:hAnsi="Arial"/>
          <w:sz w:val="15"/>
          <w:szCs w:val="15"/>
          <w:b w:val="1"/>
          <w:bCs w:val="1"/>
          <w:i w:val="1"/>
          <w:iCs w:val="1"/>
          <w:color w:val="auto"/>
        </w:rPr>
        <w:t>Offered Price</w:t>
      </w:r>
      <w:r>
        <w:rPr>
          <w:rFonts w:ascii="Arial" w:cs="Arial" w:eastAsia="Arial" w:hAnsi="Arial"/>
          <w:sz w:val="15"/>
          <w:szCs w:val="15"/>
          <w:color w:val="auto"/>
        </w:rPr>
        <w:t>”); and (v) that the Holder acknowledges this Notice is an offer to sell the Offered Shares to the Company and/or its assignee(s) pursuant to the Company’s Right of First Refusal at the Offered Price as provided for in this Exercise Agreement.</w:t>
      </w:r>
    </w:p>
    <w:p>
      <w:pPr>
        <w:spacing w:after="0" w:line="155" w:lineRule="exact"/>
        <w:rPr>
          <w:sz w:val="20"/>
          <w:szCs w:val="20"/>
          <w:color w:val="auto"/>
        </w:rPr>
      </w:pPr>
    </w:p>
    <w:p>
      <w:pPr>
        <w:ind w:right="60" w:firstLine="916"/>
        <w:spacing w:after="0" w:line="263" w:lineRule="auto"/>
        <w:rPr>
          <w:sz w:val="20"/>
          <w:szCs w:val="20"/>
          <w:color w:val="auto"/>
        </w:rPr>
      </w:pPr>
      <w:r>
        <w:rPr>
          <w:rFonts w:ascii="Arial" w:cs="Arial" w:eastAsia="Arial" w:hAnsi="Arial"/>
          <w:sz w:val="15"/>
          <w:szCs w:val="15"/>
          <w:color w:val="auto"/>
        </w:rPr>
        <w:t xml:space="preserve">8.2 </w:t>
      </w:r>
      <w:r>
        <w:rPr>
          <w:rFonts w:ascii="Arial" w:cs="Arial" w:eastAsia="Arial" w:hAnsi="Arial"/>
          <w:sz w:val="15"/>
          <w:szCs w:val="15"/>
          <w:u w:val="single" w:color="auto"/>
          <w:color w:val="auto"/>
        </w:rPr>
        <w:t>Exercise of Right of First Refusal</w:t>
      </w:r>
      <w:r>
        <w:rPr>
          <w:rFonts w:ascii="Arial" w:cs="Arial" w:eastAsia="Arial" w:hAnsi="Arial"/>
          <w:sz w:val="15"/>
          <w:szCs w:val="15"/>
          <w:color w:val="auto"/>
        </w:rPr>
        <w:t>. At any time within thirty (30) days after the date of the Notice, the Company and/or its assignee(s) may, by giving written notice to the Holder, elect to purchase all (or, with the consent of the Holder, less than all) the Offered Shares proposed to be transferred to any one or more of the Proposed Transferees named in the Notice, at the purchase price, determined as specified below.</w:t>
      </w:r>
    </w:p>
    <w:p>
      <w:pPr>
        <w:spacing w:after="0" w:line="155" w:lineRule="exact"/>
        <w:rPr>
          <w:sz w:val="20"/>
          <w:szCs w:val="20"/>
          <w:color w:val="auto"/>
        </w:rPr>
      </w:pPr>
    </w:p>
    <w:p>
      <w:pPr>
        <w:ind w:right="60" w:firstLine="916"/>
        <w:spacing w:after="0" w:line="259" w:lineRule="auto"/>
        <w:rPr>
          <w:sz w:val="20"/>
          <w:szCs w:val="20"/>
          <w:color w:val="auto"/>
        </w:rPr>
      </w:pPr>
      <w:r>
        <w:rPr>
          <w:rFonts w:ascii="Arial" w:cs="Arial" w:eastAsia="Arial" w:hAnsi="Arial"/>
          <w:sz w:val="15"/>
          <w:szCs w:val="15"/>
          <w:color w:val="auto"/>
        </w:rPr>
        <w:t xml:space="preserve">8.3 </w:t>
      </w:r>
      <w:r>
        <w:rPr>
          <w:rFonts w:ascii="Arial" w:cs="Arial" w:eastAsia="Arial" w:hAnsi="Arial"/>
          <w:sz w:val="15"/>
          <w:szCs w:val="15"/>
          <w:u w:val="single" w:color="auto"/>
          <w:color w:val="auto"/>
        </w:rPr>
        <w:t>Purchase Price</w:t>
      </w:r>
      <w:r>
        <w:rPr>
          <w:rFonts w:ascii="Arial" w:cs="Arial" w:eastAsia="Arial" w:hAnsi="Arial"/>
          <w:sz w:val="15"/>
          <w:szCs w:val="15"/>
          <w:color w:val="auto"/>
        </w:rPr>
        <w:t>. The purchase price for the Offered Shares purchased under this Section will be the Offered Price, provided that if the Offered Price consists of no legal consideration (as, for example, in the case of a transfer by gift) the purchase price will be the fair market value of the Offered Shares as determined in good faith by the Company’s Board of Directors. If the Offered Price includes consideration other than cash, then the value of the non-cash consideration, as determined in good faith by the Company’s Board of Directors, will conclusively be deemed to be the cash equivalent value of such non-cash consideration.</w:t>
      </w:r>
    </w:p>
    <w:p>
      <w:pPr>
        <w:spacing w:after="0" w:line="158" w:lineRule="exact"/>
        <w:rPr>
          <w:sz w:val="20"/>
          <w:szCs w:val="20"/>
          <w:color w:val="auto"/>
        </w:rPr>
      </w:pPr>
    </w:p>
    <w:p>
      <w:pPr>
        <w:ind w:firstLine="916"/>
        <w:spacing w:after="0" w:line="259" w:lineRule="auto"/>
        <w:rPr>
          <w:sz w:val="20"/>
          <w:szCs w:val="20"/>
          <w:color w:val="auto"/>
        </w:rPr>
      </w:pPr>
      <w:r>
        <w:rPr>
          <w:rFonts w:ascii="Arial" w:cs="Arial" w:eastAsia="Arial" w:hAnsi="Arial"/>
          <w:sz w:val="15"/>
          <w:szCs w:val="15"/>
          <w:color w:val="auto"/>
        </w:rPr>
        <w:t xml:space="preserve">8.4 </w:t>
      </w:r>
      <w:r>
        <w:rPr>
          <w:rFonts w:ascii="Arial" w:cs="Arial" w:eastAsia="Arial" w:hAnsi="Arial"/>
          <w:sz w:val="15"/>
          <w:szCs w:val="15"/>
          <w:u w:val="single" w:color="auto"/>
          <w:color w:val="auto"/>
        </w:rPr>
        <w:t>Payment</w:t>
      </w:r>
      <w:r>
        <w:rPr>
          <w:rFonts w:ascii="Arial" w:cs="Arial" w:eastAsia="Arial" w:hAnsi="Arial"/>
          <w:sz w:val="15"/>
          <w:szCs w:val="15"/>
          <w:color w:val="auto"/>
        </w:rPr>
        <w:t>. Payment of the purchase price for the Offered Shares will be payable, at the option of the Company and/or its assignee(s) (as applicable), by check or by cancellation of all or a portion of any outstanding purchase money indebtedness owed by the Holder to the Company (or to such assignee, in the case of a purchase of Offered Shares by such assignee) or by any combination thereof. The purchase price will be paid without interest within sixty (60) days after the Company’s receipt of the Notice, or, at the option of the Company and/or its assignee(s), in the manner and at the time(s) set forth in the Notice.</w:t>
      </w:r>
    </w:p>
    <w:p>
      <w:pPr>
        <w:spacing w:after="0" w:line="158" w:lineRule="exact"/>
        <w:rPr>
          <w:sz w:val="20"/>
          <w:szCs w:val="20"/>
          <w:color w:val="auto"/>
        </w:rPr>
      </w:pPr>
    </w:p>
    <w:p>
      <w:pPr>
        <w:ind w:right="80" w:firstLine="916"/>
        <w:spacing w:after="0" w:line="302" w:lineRule="auto"/>
        <w:rPr>
          <w:sz w:val="20"/>
          <w:szCs w:val="20"/>
          <w:color w:val="auto"/>
        </w:rPr>
      </w:pPr>
      <w:r>
        <w:rPr>
          <w:rFonts w:ascii="Arial" w:cs="Arial" w:eastAsia="Arial" w:hAnsi="Arial"/>
          <w:sz w:val="13"/>
          <w:szCs w:val="13"/>
          <w:color w:val="auto"/>
        </w:rPr>
        <w:t xml:space="preserve">8.5 </w:t>
      </w:r>
      <w:r>
        <w:rPr>
          <w:rFonts w:ascii="Arial" w:cs="Arial" w:eastAsia="Arial" w:hAnsi="Arial"/>
          <w:sz w:val="13"/>
          <w:szCs w:val="13"/>
          <w:u w:val="single" w:color="auto"/>
          <w:color w:val="auto"/>
        </w:rPr>
        <w:t>Holder’s Right to Transfer</w:t>
      </w:r>
      <w:r>
        <w:rPr>
          <w:rFonts w:ascii="Arial" w:cs="Arial" w:eastAsia="Arial" w:hAnsi="Arial"/>
          <w:sz w:val="13"/>
          <w:szCs w:val="13"/>
          <w:color w:val="auto"/>
        </w:rPr>
        <w:t xml:space="preserve">. If all of the Offered Shares proposed in the Notice to be transferred to a given Proposed Transferee are not purchased by the Company and/or its assignee(s) as provided in this Section, then the Holder may sell or otherwise transfer such Offered Shares to each Proposed Transferee at the Offered Price or at a higher price, </w:t>
      </w:r>
      <w:r>
        <w:rPr>
          <w:rFonts w:ascii="Arial" w:cs="Arial" w:eastAsia="Arial" w:hAnsi="Arial"/>
          <w:sz w:val="13"/>
          <w:szCs w:val="13"/>
          <w:u w:val="single" w:color="auto"/>
          <w:color w:val="auto"/>
        </w:rPr>
        <w:t>provided</w:t>
      </w:r>
      <w:r>
        <w:rPr>
          <w:rFonts w:ascii="Arial" w:cs="Arial" w:eastAsia="Arial" w:hAnsi="Arial"/>
          <w:sz w:val="13"/>
          <w:szCs w:val="13"/>
          <w:color w:val="auto"/>
        </w:rPr>
        <w:t xml:space="preserve"> that (i) such sale or other transfer is consummated within one hundred twenty (120) days after the date of the Notice, (ii) any such sale or other transfer is effected in compliance with all applicable securities laws, and (iii) each Proposed Transferee agrees in writing that the provisions of this Section will continue to apply to the Offered Shares in the hands of such Proposed Transferee. If the Offered Shares described in the Notice are not transferred to each Proposed Transferee within such one hundred twenty (120) day period, then a new Notice must be given to the Company pursuant to which the Company will again be offered the Right of First Refusal before any Shares held by the Holder may be sold or otherwise transferred.</w:t>
      </w:r>
    </w:p>
    <w:p>
      <w:pPr>
        <w:spacing w:after="0" w:line="134" w:lineRule="exact"/>
        <w:rPr>
          <w:sz w:val="20"/>
          <w:szCs w:val="20"/>
          <w:color w:val="auto"/>
        </w:rPr>
      </w:pPr>
    </w:p>
    <w:p>
      <w:pPr>
        <w:ind w:firstLine="916"/>
        <w:spacing w:after="0" w:line="283" w:lineRule="auto"/>
        <w:rPr>
          <w:sz w:val="20"/>
          <w:szCs w:val="20"/>
          <w:color w:val="auto"/>
        </w:rPr>
      </w:pPr>
      <w:r>
        <w:rPr>
          <w:rFonts w:ascii="Arial" w:cs="Arial" w:eastAsia="Arial" w:hAnsi="Arial"/>
          <w:sz w:val="14"/>
          <w:szCs w:val="14"/>
          <w:color w:val="auto"/>
        </w:rPr>
        <w:t xml:space="preserve">8.6 </w:t>
      </w:r>
      <w:r>
        <w:rPr>
          <w:rFonts w:ascii="Arial" w:cs="Arial" w:eastAsia="Arial" w:hAnsi="Arial"/>
          <w:sz w:val="14"/>
          <w:szCs w:val="14"/>
          <w:u w:val="single" w:color="auto"/>
          <w:color w:val="auto"/>
        </w:rPr>
        <w:t>Exempt Transfers</w:t>
      </w:r>
      <w:r>
        <w:rPr>
          <w:rFonts w:ascii="Arial" w:cs="Arial" w:eastAsia="Arial" w:hAnsi="Arial"/>
          <w:sz w:val="14"/>
          <w:szCs w:val="14"/>
          <w:color w:val="auto"/>
        </w:rPr>
        <w:t>. Notwithstanding anything to the contrary in this Section, the following transfers of Vested Shares will be exempt from the Right of First Refusal: (i) the transfer of any or all of the Vested Shares during Purchaser’s lifetime by gift or on Purchaser’s death by will or intestacy to Purchaser’s “Immediate Family” (as defined below) or to a trust for the benefit of Purchaser or Purchaser’s Immediate Family, provided that each transferee or other recipient agrees in a writing satisfactory to the Company that the provisions of this Section will continue to apply to the transferred Vested Shares in the hands of such transferee or other recipient; (ii) any transfer of Vested Shares made pursuant to a statutory</w:t>
      </w:r>
    </w:p>
    <w:p>
      <w:pPr>
        <w:spacing w:after="0" w:line="87"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6</w:t>
      </w:r>
    </w:p>
    <w:p>
      <w:pPr>
        <w:sectPr>
          <w:pgSz w:w="11900" w:h="16838" w:orient="portrait"/>
          <w:cols w:equalWidth="0" w:num="1">
            <w:col w:w="11400"/>
          </w:cols>
          <w:pgMar w:left="240" w:top="253" w:right="259" w:bottom="1440" w:gutter="0" w:footer="0" w:header="0"/>
        </w:sectPr>
      </w:pPr>
    </w:p>
    <w:bookmarkStart w:id="486" w:name="page487"/>
    <w:bookmarkEnd w:id="486"/>
    <w:p>
      <w:pPr>
        <w:ind w:right="60"/>
        <w:spacing w:after="0" w:line="274" w:lineRule="auto"/>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133350</wp:posOffset>
            </wp:positionH>
            <wp:positionV relativeFrom="page">
              <wp:posOffset>88900</wp:posOffset>
            </wp:positionV>
            <wp:extent cx="7308850" cy="34290"/>
            <wp:wrapNone/>
            <wp:docPr id="734" name="Picture 7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4"/>
                    <pic:cNvPicPr>
                      <a:picLocks noChangeAspect="1" noChangeArrowheads="1"/>
                    </pic:cNvPicPr>
                  </pic:nvPicPr>
                  <pic:blipFill>
                    <a:blip r:embed="rId771">
                      <a:extLst>
                        <a:ext uri="{28A0092B-C50C-407E-A947-70E740481C1C}"/>
                      </a:extLst>
                    </a:blip>
                    <a:srcRect/>
                    <a:stretch>
                      <a:fillRect/>
                    </a:stretch>
                  </pic:blipFill>
                  <pic:spPr bwMode="auto">
                    <a:xfrm>
                      <a:off x="0" y="0"/>
                      <a:ext cx="7308850" cy="34290"/>
                    </a:xfrm>
                    <a:prstGeom prst="rect">
                      <a:avLst/>
                    </a:prstGeom>
                    <a:noFill/>
                  </pic:spPr>
                </pic:pic>
              </a:graphicData>
            </a:graphic>
          </wp:anchor>
        </w:drawing>
        <w:t>merger or statutory consolidation of the Company with or into another corporation or corporations (except that the Right of First Refusal will continue to apply thereafter to such Vested Shares, in which case the surviving corporation of such merger or consolidation shall succeed to the rights of the Company under this Section unless the agreement of merger or consolidation expressly otherwise provides); or (iii) any transfer of Vested Shares pursuant to the winding up and dissolution of the Company. As used herein, the term “</w:t>
      </w:r>
      <w:r>
        <w:rPr>
          <w:rFonts w:ascii="Arial" w:cs="Arial" w:eastAsia="Arial" w:hAnsi="Arial"/>
          <w:sz w:val="14"/>
          <w:szCs w:val="14"/>
          <w:b w:val="1"/>
          <w:bCs w:val="1"/>
          <w:i w:val="1"/>
          <w:iCs w:val="1"/>
          <w:color w:val="auto"/>
        </w:rPr>
        <w:t>Immediate Family</w:t>
      </w:r>
      <w:r>
        <w:rPr>
          <w:rFonts w:ascii="Arial" w:cs="Arial" w:eastAsia="Arial" w:hAnsi="Arial"/>
          <w:sz w:val="14"/>
          <w:szCs w:val="14"/>
          <w:color w:val="auto"/>
        </w:rPr>
        <w:t>” will mean Purchaser’s spouse, the lineal descendant or antecedent, father, mother, brother or sister, child, adopted child, grandchild or adopted grandchild of the Purchaser or the Purchaser’s spouse, or the spouse of any of the above or Spousal Equivalent, as defined herein. As used herein, a person is deemed to be a “</w:t>
      </w:r>
      <w:r>
        <w:rPr>
          <w:rFonts w:ascii="Arial" w:cs="Arial" w:eastAsia="Arial" w:hAnsi="Arial"/>
          <w:sz w:val="14"/>
          <w:szCs w:val="14"/>
          <w:b w:val="1"/>
          <w:bCs w:val="1"/>
          <w:i w:val="1"/>
          <w:iCs w:val="1"/>
          <w:color w:val="auto"/>
        </w:rPr>
        <w:t>Spousal Equivalent</w:t>
      </w:r>
      <w:r>
        <w:rPr>
          <w:rFonts w:ascii="Arial" w:cs="Arial" w:eastAsia="Arial" w:hAnsi="Arial"/>
          <w:sz w:val="14"/>
          <w:szCs w:val="14"/>
          <w:color w:val="auto"/>
        </w:rPr>
        <w:t>” provided the following circumstances are true: (i) irrespective of whether or not the Participant and the Spousal Equivalent are the same sex, they are the sole spousal equivalent of the other for the last twelve (12) months, (ii) they intend to remain so indefinitely, (iii) neither are married to anyone else, (iv) both are at least 18 years of age and mentally competent to consent to contract, (v) they are not related by blood to a degree of closeness that which would prohibit legal marriage in the state in which they legally reside, (vi) they are jointly responsible for each other’s common welfare and financial obligations, and (vii) they reside together in the same residence for the last twelve (12) months and intend to do so indefinitely.</w:t>
      </w:r>
    </w:p>
    <w:p>
      <w:pPr>
        <w:spacing w:after="0" w:line="150" w:lineRule="exact"/>
        <w:rPr>
          <w:sz w:val="20"/>
          <w:szCs w:val="20"/>
          <w:color w:val="auto"/>
        </w:rPr>
      </w:pPr>
    </w:p>
    <w:p>
      <w:pPr>
        <w:ind w:right="120" w:firstLine="916"/>
        <w:spacing w:after="0" w:line="257" w:lineRule="auto"/>
        <w:rPr>
          <w:sz w:val="20"/>
          <w:szCs w:val="20"/>
          <w:color w:val="auto"/>
        </w:rPr>
      </w:pPr>
      <w:r>
        <w:rPr>
          <w:rFonts w:ascii="Arial" w:cs="Arial" w:eastAsia="Arial" w:hAnsi="Arial"/>
          <w:sz w:val="15"/>
          <w:szCs w:val="15"/>
          <w:color w:val="auto"/>
        </w:rPr>
        <w:t xml:space="preserve">8.7 </w:t>
      </w:r>
      <w:r>
        <w:rPr>
          <w:rFonts w:ascii="Arial" w:cs="Arial" w:eastAsia="Arial" w:hAnsi="Arial"/>
          <w:sz w:val="15"/>
          <w:szCs w:val="15"/>
          <w:u w:val="single" w:color="auto"/>
          <w:color w:val="auto"/>
        </w:rPr>
        <w:t>Termination of Right of First Refusal</w:t>
      </w:r>
      <w:r>
        <w:rPr>
          <w:rFonts w:ascii="Arial" w:cs="Arial" w:eastAsia="Arial" w:hAnsi="Arial"/>
          <w:sz w:val="15"/>
          <w:szCs w:val="15"/>
          <w:color w:val="auto"/>
        </w:rPr>
        <w:t>. The Right of First Refusal will terminate as to all Shares (i) on the effective date of the first sale of the Company’s securities to the general public pursuant to a registration statement filed with and declared effective by the SEC under the 1933 Act (other than a registration statement relating solely to the issuance of securities pursuant to a business combination or an employee incentive or benefit plan) or (ii) on any transfer or conversion of Shares made pursuant to a statutory merger or statutory consolidation of the Company with or into another corporation or corporations if the common stock of the surviving corporation or any direct or indirect parent corporation thereof is registered under the Securities Exchange Act of 1934, as amended.</w:t>
      </w:r>
    </w:p>
    <w:p>
      <w:pPr>
        <w:spacing w:after="0" w:line="159" w:lineRule="exact"/>
        <w:rPr>
          <w:sz w:val="20"/>
          <w:szCs w:val="20"/>
          <w:color w:val="auto"/>
        </w:rPr>
      </w:pPr>
    </w:p>
    <w:p>
      <w:pPr>
        <w:ind w:firstLine="916"/>
        <w:spacing w:after="0" w:line="257" w:lineRule="auto"/>
        <w:rPr>
          <w:sz w:val="20"/>
          <w:szCs w:val="20"/>
          <w:color w:val="auto"/>
        </w:rPr>
      </w:pPr>
      <w:r>
        <w:rPr>
          <w:rFonts w:ascii="Arial" w:cs="Arial" w:eastAsia="Arial" w:hAnsi="Arial"/>
          <w:sz w:val="15"/>
          <w:szCs w:val="15"/>
          <w:color w:val="auto"/>
        </w:rPr>
        <w:t xml:space="preserve">8.8 </w:t>
      </w:r>
      <w:r>
        <w:rPr>
          <w:rFonts w:ascii="Arial" w:cs="Arial" w:eastAsia="Arial" w:hAnsi="Arial"/>
          <w:sz w:val="15"/>
          <w:szCs w:val="15"/>
          <w:u w:val="single" w:color="auto"/>
          <w:color w:val="auto"/>
        </w:rPr>
        <w:t>Encumbrances on Vested Shares</w:t>
      </w:r>
      <w:r>
        <w:rPr>
          <w:rFonts w:ascii="Arial" w:cs="Arial" w:eastAsia="Arial" w:hAnsi="Arial"/>
          <w:sz w:val="15"/>
          <w:szCs w:val="15"/>
          <w:color w:val="auto"/>
        </w:rPr>
        <w:t>. Purchaser may grant a lien or security interest in, or pledge, hypothecate or encumber Vested Shares only if each party to whom such lien or security interest is granted, or to whom such pledge, hypothecation or other encumbrance is made, agrees in a writing satisfactory to the Company that: (i) such lien, security interest, pledge, hypothecation or encumbrance will not apply to such Vested Shares after they are acquired by the Company and/or its assignees under this Section; and (ii) the provisions of this Section will continue to apply to such Vested Shares in the hands of such party and any transferee of such party. Purchaser may not grant a lien or security interest in, or pledge, hypothecate or encumber, any Unvested Shares.</w:t>
      </w:r>
    </w:p>
    <w:p>
      <w:pPr>
        <w:spacing w:after="0" w:line="155" w:lineRule="exact"/>
        <w:rPr>
          <w:sz w:val="20"/>
          <w:szCs w:val="20"/>
          <w:color w:val="auto"/>
        </w:rPr>
      </w:pPr>
    </w:p>
    <w:p>
      <w:pPr>
        <w:ind w:right="60" w:firstLine="448"/>
        <w:spacing w:after="0" w:line="261" w:lineRule="auto"/>
        <w:tabs>
          <w:tab w:leader="none" w:pos="608" w:val="left"/>
        </w:tabs>
        <w:numPr>
          <w:ilvl w:val="0"/>
          <w:numId w:val="462"/>
        </w:numPr>
        <w:rPr>
          <w:rFonts w:ascii="Arial" w:cs="Arial" w:eastAsia="Arial" w:hAnsi="Arial"/>
          <w:sz w:val="15"/>
          <w:szCs w:val="15"/>
          <w:b w:val="1"/>
          <w:bCs w:val="1"/>
          <w:color w:val="auto"/>
        </w:rPr>
      </w:pPr>
      <w:r>
        <w:rPr>
          <w:rFonts w:ascii="Arial" w:cs="Arial" w:eastAsia="Arial" w:hAnsi="Arial"/>
          <w:sz w:val="15"/>
          <w:szCs w:val="15"/>
          <w:b w:val="1"/>
          <w:bCs w:val="1"/>
          <w:u w:val="single" w:color="auto"/>
          <w:color w:val="auto"/>
        </w:rPr>
        <w:t>Rights as a Stockholder</w:t>
      </w:r>
      <w:r>
        <w:rPr>
          <w:rFonts w:ascii="Arial" w:cs="Arial" w:eastAsia="Arial" w:hAnsi="Arial"/>
          <w:sz w:val="15"/>
          <w:szCs w:val="15"/>
          <w:b w:val="1"/>
          <w:bCs w:val="1"/>
          <w:color w:val="auto"/>
        </w:rPr>
        <w:t xml:space="preserve">. </w:t>
      </w:r>
      <w:r>
        <w:rPr>
          <w:rFonts w:ascii="Arial" w:cs="Arial" w:eastAsia="Arial" w:hAnsi="Arial"/>
          <w:sz w:val="15"/>
          <w:szCs w:val="15"/>
          <w:color w:val="auto"/>
        </w:rPr>
        <w:t>Subject to the terms and conditions of this Exercise Agreement, Purchaser will have all of the rights of a stockholder of the Company with respect to the</w:t>
      </w:r>
      <w:r>
        <w:rPr>
          <w:rFonts w:ascii="Arial" w:cs="Arial" w:eastAsia="Arial" w:hAnsi="Arial"/>
          <w:sz w:val="15"/>
          <w:szCs w:val="15"/>
          <w:b w:val="1"/>
          <w:bCs w:val="1"/>
          <w:color w:val="auto"/>
        </w:rPr>
        <w:t xml:space="preserve"> </w:t>
      </w:r>
      <w:r>
        <w:rPr>
          <w:rFonts w:ascii="Arial" w:cs="Arial" w:eastAsia="Arial" w:hAnsi="Arial"/>
          <w:sz w:val="15"/>
          <w:szCs w:val="15"/>
          <w:color w:val="auto"/>
        </w:rPr>
        <w:t>Shares from and after the date that Shares are issued to Purchaser until such time as Purchaser disposes of the Shares or the Company and/or its assignee(s) exercise(s) the Right of First Refusal. Upon an exercise of the Right of First Refusal, Purchaser will have no further rights as a holder of the Shares so purchased upon such exercise, other than the right to receive payment for the Shares so purchased in accordance with the provisions of this Exercise Agreement.</w:t>
      </w:r>
    </w:p>
    <w:p>
      <w:pPr>
        <w:spacing w:after="0" w:line="100"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7</w:t>
      </w:r>
    </w:p>
    <w:p>
      <w:pPr>
        <w:sectPr>
          <w:pgSz w:w="11900" w:h="16838" w:orient="portrait"/>
          <w:cols w:equalWidth="0" w:num="1">
            <w:col w:w="11420"/>
          </w:cols>
          <w:pgMar w:left="240" w:top="253" w:right="239" w:bottom="1440" w:gutter="0" w:footer="0" w:header="0"/>
        </w:sectPr>
      </w:pPr>
    </w:p>
    <w:bookmarkStart w:id="487" w:name="page488"/>
    <w:bookmarkEnd w:id="487"/>
    <w:p>
      <w:pPr>
        <w:ind w:right="100" w:firstLine="448"/>
        <w:spacing w:after="0" w:line="277" w:lineRule="auto"/>
        <w:tabs>
          <w:tab w:leader="none" w:pos="683" w:val="left"/>
        </w:tabs>
        <w:numPr>
          <w:ilvl w:val="0"/>
          <w:numId w:val="463"/>
        </w:numPr>
        <w:rPr>
          <w:rFonts w:ascii="Arial" w:cs="Arial" w:eastAsia="Arial" w:hAnsi="Arial"/>
          <w:sz w:val="14"/>
          <w:szCs w:val="14"/>
          <w:b w:val="1"/>
          <w:bCs w:val="1"/>
          <w:color w:val="auto"/>
        </w:rPr>
      </w:pPr>
      <w:r>
        <w:rPr>
          <w:rFonts w:ascii="Arial" w:cs="Arial" w:eastAsia="Arial" w:hAnsi="Arial"/>
          <w:sz w:val="14"/>
          <w:szCs w:val="14"/>
          <w:b w:val="1"/>
          <w:bCs w:val="1"/>
          <w:u w:val="single" w:color="auto"/>
          <w:color w:val="auto"/>
        </w:rPr>
        <w:drawing>
          <wp:anchor simplePos="0" relativeHeight="251657728" behindDoc="1" locked="0" layoutInCell="0" allowOverlap="1">
            <wp:simplePos x="0" y="0"/>
            <wp:positionH relativeFrom="page">
              <wp:posOffset>133350</wp:posOffset>
            </wp:positionH>
            <wp:positionV relativeFrom="page">
              <wp:posOffset>88900</wp:posOffset>
            </wp:positionV>
            <wp:extent cx="7308850" cy="34290"/>
            <wp:wrapNone/>
            <wp:docPr id="735" name="Picture 7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5"/>
                    <pic:cNvPicPr>
                      <a:picLocks noChangeAspect="1" noChangeArrowheads="1"/>
                    </pic:cNvPicPr>
                  </pic:nvPicPr>
                  <pic:blipFill>
                    <a:blip r:embed="rId772">
                      <a:extLst>
                        <a:ext uri="{28A0092B-C50C-407E-A947-70E740481C1C}"/>
                      </a:extLst>
                    </a:blip>
                    <a:srcRect/>
                    <a:stretch>
                      <a:fillRect/>
                    </a:stretch>
                  </pic:blipFill>
                  <pic:spPr bwMode="auto">
                    <a:xfrm>
                      <a:off x="0" y="0"/>
                      <a:ext cx="7308850" cy="34290"/>
                    </a:xfrm>
                    <a:prstGeom prst="rect">
                      <a:avLst/>
                    </a:prstGeom>
                    <a:noFill/>
                  </pic:spPr>
                </pic:pic>
              </a:graphicData>
            </a:graphic>
          </wp:anchor>
        </w:drawing>
        <w:t>Escrow</w:t>
      </w:r>
      <w:r>
        <w:rPr>
          <w:rFonts w:ascii="Arial" w:cs="Arial" w:eastAsia="Arial" w:hAnsi="Arial"/>
          <w:sz w:val="14"/>
          <w:szCs w:val="14"/>
          <w:b w:val="1"/>
          <w:bCs w:val="1"/>
          <w:color w:val="auto"/>
        </w:rPr>
        <w:t xml:space="preserve">. </w:t>
      </w:r>
      <w:r>
        <w:rPr>
          <w:rFonts w:ascii="Arial" w:cs="Arial" w:eastAsia="Arial" w:hAnsi="Arial"/>
          <w:sz w:val="14"/>
          <w:szCs w:val="14"/>
          <w:color w:val="auto"/>
        </w:rPr>
        <w:t>As security for Purchaser’s faithful performance of this Exercise Agreement, Purchaser agrees to deliver the Stock Powers executed by Purchaser and by Purchaser’s</w:t>
      </w:r>
      <w:r>
        <w:rPr>
          <w:rFonts w:ascii="Arial" w:cs="Arial" w:eastAsia="Arial" w:hAnsi="Arial"/>
          <w:sz w:val="14"/>
          <w:szCs w:val="14"/>
          <w:b w:val="1"/>
          <w:bCs w:val="1"/>
          <w:color w:val="auto"/>
        </w:rPr>
        <w:t xml:space="preserve"> </w:t>
      </w:r>
      <w:r>
        <w:rPr>
          <w:rFonts w:ascii="Arial" w:cs="Arial" w:eastAsia="Arial" w:hAnsi="Arial"/>
          <w:sz w:val="14"/>
          <w:szCs w:val="14"/>
          <w:color w:val="auto"/>
        </w:rPr>
        <w:t>spouse, if any (with the date and number of Shares left blank), to the Secretary of the Company or other designee of the Company (the “</w:t>
      </w:r>
      <w:r>
        <w:rPr>
          <w:rFonts w:ascii="Arial" w:cs="Arial" w:eastAsia="Arial" w:hAnsi="Arial"/>
          <w:sz w:val="14"/>
          <w:szCs w:val="14"/>
          <w:b w:val="1"/>
          <w:bCs w:val="1"/>
          <w:i w:val="1"/>
          <w:iCs w:val="1"/>
          <w:color w:val="auto"/>
        </w:rPr>
        <w:t>Escrow Holder</w:t>
      </w:r>
      <w:r>
        <w:rPr>
          <w:rFonts w:ascii="Arial" w:cs="Arial" w:eastAsia="Arial" w:hAnsi="Arial"/>
          <w:sz w:val="14"/>
          <w:szCs w:val="14"/>
          <w:color w:val="auto"/>
        </w:rPr>
        <w:t>”), who is hereby appointed to hold such Stock Powers in escrow and to take all such actions and to effectuate all such transfers and/or releases of such Shares as are in accordance with the terms of this Exercise Agreement. Purchaser and the Company agree that Escrow Holder will not be liable to any party to this Exercise Agreement (or to any other party) for any actions or omissions unless Escrow Holder is grossly negligent or intentionally fraudulent in carrying out the duties of Escrow Holder under this Exercise Agreement. Escrow Holder may rely upon any letter, notice or other document executed with any signature purported to be genuine and may rely on the advice of counsel and obey any order of any court with respect to the transactions contemplated by this Exercise Agreement. The Stock Powers will be released from escrow upon termination of the Right of First Refusal.</w:t>
      </w:r>
    </w:p>
    <w:p>
      <w:pPr>
        <w:spacing w:after="0" w:line="233" w:lineRule="exact"/>
        <w:rPr>
          <w:rFonts w:ascii="Arial" w:cs="Arial" w:eastAsia="Arial" w:hAnsi="Arial"/>
          <w:sz w:val="14"/>
          <w:szCs w:val="14"/>
          <w:b w:val="1"/>
          <w:bCs w:val="1"/>
          <w:color w:val="auto"/>
        </w:rPr>
      </w:pPr>
    </w:p>
    <w:p>
      <w:pPr>
        <w:ind w:left="660" w:hanging="212"/>
        <w:spacing w:after="0"/>
        <w:tabs>
          <w:tab w:leader="none" w:pos="660" w:val="left"/>
        </w:tabs>
        <w:numPr>
          <w:ilvl w:val="0"/>
          <w:numId w:val="463"/>
        </w:numPr>
        <w:rPr>
          <w:rFonts w:ascii="Arial" w:cs="Arial" w:eastAsia="Arial" w:hAnsi="Arial"/>
          <w:sz w:val="15"/>
          <w:szCs w:val="15"/>
          <w:b w:val="1"/>
          <w:bCs w:val="1"/>
          <w:color w:val="auto"/>
        </w:rPr>
      </w:pPr>
      <w:r>
        <w:rPr>
          <w:rFonts w:ascii="Arial" w:cs="Arial" w:eastAsia="Arial" w:hAnsi="Arial"/>
          <w:sz w:val="15"/>
          <w:szCs w:val="15"/>
          <w:b w:val="1"/>
          <w:bCs w:val="1"/>
          <w:u w:val="single" w:color="auto"/>
          <w:color w:val="auto"/>
        </w:rPr>
        <w:t>Restrictive Legends and Stop-Transfer Orders</w:t>
      </w:r>
      <w:r>
        <w:rPr>
          <w:rFonts w:ascii="Arial" w:cs="Arial" w:eastAsia="Arial" w:hAnsi="Arial"/>
          <w:sz w:val="15"/>
          <w:szCs w:val="15"/>
          <w:b w:val="1"/>
          <w:bCs w:val="1"/>
          <w:color w:val="auto"/>
        </w:rPr>
        <w:t>.</w:t>
      </w:r>
    </w:p>
    <w:p>
      <w:pPr>
        <w:spacing w:after="0" w:line="102" w:lineRule="exact"/>
        <w:rPr>
          <w:sz w:val="20"/>
          <w:szCs w:val="20"/>
          <w:color w:val="auto"/>
        </w:rPr>
      </w:pPr>
    </w:p>
    <w:p>
      <w:pPr>
        <w:ind w:right="80" w:firstLine="916"/>
        <w:spacing w:after="0" w:line="263" w:lineRule="auto"/>
        <w:rPr>
          <w:sz w:val="20"/>
          <w:szCs w:val="20"/>
          <w:color w:val="auto"/>
        </w:rPr>
      </w:pPr>
      <w:r>
        <w:rPr>
          <w:rFonts w:ascii="Arial" w:cs="Arial" w:eastAsia="Arial" w:hAnsi="Arial"/>
          <w:sz w:val="15"/>
          <w:szCs w:val="15"/>
          <w:color w:val="auto"/>
        </w:rPr>
        <w:t xml:space="preserve">11.1 </w:t>
      </w:r>
      <w:r>
        <w:rPr>
          <w:rFonts w:ascii="Arial" w:cs="Arial" w:eastAsia="Arial" w:hAnsi="Arial"/>
          <w:sz w:val="15"/>
          <w:szCs w:val="15"/>
          <w:u w:val="single" w:color="auto"/>
          <w:color w:val="auto"/>
        </w:rPr>
        <w:t>Legends</w:t>
      </w:r>
      <w:r>
        <w:rPr>
          <w:rFonts w:ascii="Arial" w:cs="Arial" w:eastAsia="Arial" w:hAnsi="Arial"/>
          <w:sz w:val="15"/>
          <w:szCs w:val="15"/>
          <w:color w:val="auto"/>
        </w:rPr>
        <w:t>. Purchaser understands and agrees that the Company will place the legends set forth below or similar legends on any book-entries evidencing the Shares, together with any other legends that may be required by state or U.S. Federal securities laws, the Company’s Certificate of Incorporation or Bylaws, any other agreement between Purchaser and the Company or any agreement between Purchaser and any third party:</w:t>
      </w:r>
    </w:p>
    <w:p>
      <w:pPr>
        <w:spacing w:after="0" w:line="65" w:lineRule="exact"/>
        <w:rPr>
          <w:sz w:val="20"/>
          <w:szCs w:val="20"/>
          <w:color w:val="auto"/>
        </w:rPr>
      </w:pPr>
    </w:p>
    <w:p>
      <w:pPr>
        <w:ind w:left="440"/>
        <w:spacing w:after="0" w:line="254" w:lineRule="auto"/>
        <w:rPr>
          <w:sz w:val="20"/>
          <w:szCs w:val="20"/>
          <w:color w:val="auto"/>
        </w:rPr>
      </w:pPr>
      <w:r>
        <w:rPr>
          <w:rFonts w:ascii="Arial" w:cs="Arial" w:eastAsia="Arial" w:hAnsi="Arial"/>
          <w:sz w:val="15"/>
          <w:szCs w:val="15"/>
          <w:i w:val="1"/>
          <w:iCs w:val="1"/>
          <w:color w:val="auto"/>
        </w:rPr>
        <w:t>THESE SECURITIES HAVE NOT BEEN REGISTERED UNDER THE SECURITIES ACT OF 1933, AS AMENDED (THE “SECURITIES ACT”), OR UNDER THE SECURITIES LAWS OF CERTAIN STATES. THESE SECURITIES ARE SUBJECT TO RESTRICTIONS ON TRANSFERABILITY AND RESALE INCLUDING, BUT NOT LIMITED TO, RESTRICTIONS ON TRANSFERABILITY AND RESALE SET FORTH IN THE COMPANY’S BYLAWS, AND MAY NOT BE TRANSFERRED OR RESOLD EXCEPT AS PERMITTED UNDER THE SECURITIES ACT AND APPLICABLE STATE SECURITIES LAWS (PURSUANT TO REGISTRATION OR EXEMPTION THEREFROM) AND THE COMPANY’S GOVERNING DOCUMENTS. INVESTORS SHOULD BE AWARE THAT THEY MAY BE REQUIRED TO BEAR THE FINANCIAL RISKS OF THIS INVESTMENT FOR AN INDEFINITE PERIOD OF TIME. THE ISSUER OF THESE SECURITIES MAY REQUIRE AN OPINION OF COUNSEL IN FORM AND SUBSTANCE SATISFACTORY TO THE ISSUER TO THE EFFECT THAT ANY PROPOSED TRANSFER OR RESALE IS IN COMPLIANCE WITH THE SECURITIES ACT AND ANY APPLICABLE STATE SECURITIES LAWS.</w:t>
      </w:r>
    </w:p>
    <w:p>
      <w:pPr>
        <w:spacing w:after="0" w:line="73" w:lineRule="exact"/>
        <w:rPr>
          <w:sz w:val="20"/>
          <w:szCs w:val="20"/>
          <w:color w:val="auto"/>
        </w:rPr>
      </w:pPr>
    </w:p>
    <w:p>
      <w:pPr>
        <w:ind w:left="440" w:right="80"/>
        <w:spacing w:after="0" w:line="259" w:lineRule="auto"/>
        <w:rPr>
          <w:sz w:val="20"/>
          <w:szCs w:val="20"/>
          <w:color w:val="auto"/>
        </w:rPr>
      </w:pPr>
      <w:r>
        <w:rPr>
          <w:rFonts w:ascii="Arial" w:cs="Arial" w:eastAsia="Arial" w:hAnsi="Arial"/>
          <w:sz w:val="15"/>
          <w:szCs w:val="15"/>
          <w:i w:val="1"/>
          <w:iCs w:val="1"/>
          <w:color w:val="auto"/>
        </w:rPr>
        <w:t>THESE SHARES ARE SUBJECT TO CERTAIN RESTRICTIONS ON PUBLIC RESALE AND TRANSFER, INCLUDING THE RIGHT OF FIRST REFUSAL OPTIONS HELD BY THE ISSUER AND/OR ITS ASSIGNEE(S) AS SET FORTH IN A STOCK OPTION EXERCISE AGREEMENT BETWEEN THE ISSUER AND THE ORIGINAL HOLDER OF THESE SHARES, A COPY OF WHICH MAY BE OBTAINED AT THE PRINCIPAL OFFICE OF THE ISSUER. SUCH PUBLIC SALE AND TRANSFER RESTRICTIONS INCLUDING THE RIGHT OF FIRST REFUSAL ARE BINDING ON TRANSFEREES OF THESE SHARES.</w:t>
      </w:r>
    </w:p>
    <w:p>
      <w:pPr>
        <w:spacing w:after="0" w:line="67" w:lineRule="exact"/>
        <w:rPr>
          <w:sz w:val="20"/>
          <w:szCs w:val="20"/>
          <w:color w:val="auto"/>
        </w:rPr>
      </w:pPr>
    </w:p>
    <w:p>
      <w:pPr>
        <w:ind w:left="440" w:right="40"/>
        <w:spacing w:after="0" w:line="259" w:lineRule="auto"/>
        <w:rPr>
          <w:sz w:val="20"/>
          <w:szCs w:val="20"/>
          <w:color w:val="auto"/>
        </w:rPr>
      </w:pPr>
      <w:r>
        <w:rPr>
          <w:rFonts w:ascii="Arial" w:cs="Arial" w:eastAsia="Arial" w:hAnsi="Arial"/>
          <w:sz w:val="15"/>
          <w:szCs w:val="15"/>
          <w:i w:val="1"/>
          <w:iCs w:val="1"/>
          <w:color w:val="auto"/>
        </w:rPr>
        <w:t>THESE SHARES ARE SUBJECT TO A 180 DAY MARKET STANDOFF RESTRICTION AS SET FORTH IN A CERTAIN AGREEMENT BETWEEN THE ISSUER AND THE ORIGINAL HOLDER OF THESE SHARES, A COPY OF WHICH MAY BE OBTAINED AT THE PRINCIPAL OFFICE OF THE ISSUER. AS A RESULT OF SUCH AGREEMENT, THESE SHARES MAY NOT BE TRADED PRIOR TO 180 DAYS AFTER THE EFFECTIVE DATE OF ANY PUBLIC OFFERING OF THE SECURITIES OF THE ISSUER HEREOF. SUCH RESTRICTION IS BINDING ON TRANSFEREES OF THESE SHARES.</w:t>
      </w:r>
    </w:p>
    <w:p>
      <w:pPr>
        <w:spacing w:after="0" w:line="10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8</w:t>
      </w:r>
    </w:p>
    <w:p>
      <w:pPr>
        <w:sectPr>
          <w:pgSz w:w="11900" w:h="16838" w:orient="portrait"/>
          <w:cols w:equalWidth="0" w:num="1">
            <w:col w:w="11420"/>
          </w:cols>
          <w:pgMar w:left="240" w:top="249" w:right="239" w:bottom="1440" w:gutter="0" w:footer="0" w:header="0"/>
        </w:sectPr>
      </w:pPr>
    </w:p>
    <w:bookmarkStart w:id="488" w:name="page489"/>
    <w:bookmarkEnd w:id="488"/>
    <w:p>
      <w:pPr>
        <w:ind w:right="220" w:firstLine="916"/>
        <w:spacing w:after="0" w:line="354" w:lineRule="auto"/>
        <w:rPr>
          <w:sz w:val="20"/>
          <w:szCs w:val="20"/>
          <w:color w:val="auto"/>
        </w:rPr>
      </w:pPr>
      <w:r>
        <w:rPr>
          <w:rFonts w:ascii="Arial" w:cs="Arial" w:eastAsia="Arial" w:hAnsi="Arial"/>
          <w:sz w:val="13"/>
          <w:szCs w:val="13"/>
          <w:color w:val="auto"/>
        </w:rPr>
        <w:drawing>
          <wp:anchor simplePos="0" relativeHeight="251657728" behindDoc="1" locked="0" layoutInCell="0" allowOverlap="1">
            <wp:simplePos x="0" y="0"/>
            <wp:positionH relativeFrom="page">
              <wp:posOffset>133350</wp:posOffset>
            </wp:positionH>
            <wp:positionV relativeFrom="page">
              <wp:posOffset>88900</wp:posOffset>
            </wp:positionV>
            <wp:extent cx="7308850" cy="34290"/>
            <wp:wrapNone/>
            <wp:docPr id="736" name="Picture 7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6"/>
                    <pic:cNvPicPr>
                      <a:picLocks noChangeAspect="1" noChangeArrowheads="1"/>
                    </pic:cNvPicPr>
                  </pic:nvPicPr>
                  <pic:blipFill>
                    <a:blip r:embed="rId773">
                      <a:extLst>
                        <a:ext uri="{28A0092B-C50C-407E-A947-70E740481C1C}"/>
                      </a:extLst>
                    </a:blip>
                    <a:srcRect/>
                    <a:stretch>
                      <a:fillRect/>
                    </a:stretch>
                  </pic:blipFill>
                  <pic:spPr bwMode="auto">
                    <a:xfrm>
                      <a:off x="0" y="0"/>
                      <a:ext cx="7308850" cy="34290"/>
                    </a:xfrm>
                    <a:prstGeom prst="rect">
                      <a:avLst/>
                    </a:prstGeom>
                    <a:noFill/>
                  </pic:spPr>
                </pic:pic>
              </a:graphicData>
            </a:graphic>
          </wp:anchor>
        </w:drawing>
        <w:t xml:space="preserve">11.2 </w:t>
      </w:r>
      <w:r>
        <w:rPr>
          <w:rFonts w:ascii="Arial" w:cs="Arial" w:eastAsia="Arial" w:hAnsi="Arial"/>
          <w:sz w:val="13"/>
          <w:szCs w:val="13"/>
          <w:u w:val="single" w:color="auto"/>
          <w:color w:val="auto"/>
        </w:rPr>
        <w:t>Stop-Transfer Instructions</w:t>
      </w:r>
      <w:r>
        <w:rPr>
          <w:rFonts w:ascii="Arial" w:cs="Arial" w:eastAsia="Arial" w:hAnsi="Arial"/>
          <w:sz w:val="13"/>
          <w:szCs w:val="13"/>
          <w:color w:val="auto"/>
        </w:rPr>
        <w:t>. Purchaser agrees that, to ensure compliance with the restrictions imposed by this Exercise Agreement, the Company may issue appropriate “stop-transfer” instructions to its transfer agent, if any, and if the Company transfers its own securities, it may make appropriate notations to the same effect in its own records.</w:t>
      </w:r>
    </w:p>
    <w:p>
      <w:pPr>
        <w:spacing w:after="0" w:line="100" w:lineRule="exact"/>
        <w:rPr>
          <w:sz w:val="20"/>
          <w:szCs w:val="20"/>
          <w:color w:val="auto"/>
        </w:rPr>
      </w:pPr>
    </w:p>
    <w:p>
      <w:pPr>
        <w:ind w:right="160" w:firstLine="916"/>
        <w:spacing w:after="0" w:line="263" w:lineRule="auto"/>
        <w:rPr>
          <w:sz w:val="20"/>
          <w:szCs w:val="20"/>
          <w:color w:val="auto"/>
        </w:rPr>
      </w:pPr>
      <w:r>
        <w:rPr>
          <w:rFonts w:ascii="Arial" w:cs="Arial" w:eastAsia="Arial" w:hAnsi="Arial"/>
          <w:sz w:val="15"/>
          <w:szCs w:val="15"/>
          <w:color w:val="auto"/>
        </w:rPr>
        <w:t xml:space="preserve">11.3 </w:t>
      </w:r>
      <w:r>
        <w:rPr>
          <w:rFonts w:ascii="Arial" w:cs="Arial" w:eastAsia="Arial" w:hAnsi="Arial"/>
          <w:sz w:val="15"/>
          <w:szCs w:val="15"/>
          <w:u w:val="single" w:color="auto"/>
          <w:color w:val="auto"/>
        </w:rPr>
        <w:t>Refusal to Transfer</w:t>
      </w:r>
      <w:r>
        <w:rPr>
          <w:rFonts w:ascii="Arial" w:cs="Arial" w:eastAsia="Arial" w:hAnsi="Arial"/>
          <w:sz w:val="15"/>
          <w:szCs w:val="15"/>
          <w:color w:val="auto"/>
        </w:rPr>
        <w:t>. The Company will not be required (i) to transfer on its books any Shares that have been sold or otherwise transferred in violation of any of the provisions of this Exercise Agreement or (ii) to treat as owner of such Shares, or to accord the right to vote or pay dividends to any purchaser or other transferee to whom such Shares have been so transferred.</w:t>
      </w:r>
    </w:p>
    <w:p>
      <w:pPr>
        <w:spacing w:after="0" w:line="151" w:lineRule="exact"/>
        <w:rPr>
          <w:sz w:val="20"/>
          <w:szCs w:val="20"/>
          <w:color w:val="auto"/>
        </w:rPr>
      </w:pPr>
    </w:p>
    <w:p>
      <w:pPr>
        <w:ind w:right="20" w:firstLine="448"/>
        <w:spacing w:after="0" w:line="278" w:lineRule="auto"/>
        <w:tabs>
          <w:tab w:leader="none" w:pos="683" w:val="left"/>
        </w:tabs>
        <w:numPr>
          <w:ilvl w:val="0"/>
          <w:numId w:val="464"/>
        </w:numPr>
        <w:rPr>
          <w:rFonts w:ascii="Arial" w:cs="Arial" w:eastAsia="Arial" w:hAnsi="Arial"/>
          <w:sz w:val="14"/>
          <w:szCs w:val="14"/>
          <w:b w:val="1"/>
          <w:bCs w:val="1"/>
          <w:color w:val="auto"/>
        </w:rPr>
      </w:pPr>
      <w:r>
        <w:rPr>
          <w:rFonts w:ascii="Arial" w:cs="Arial" w:eastAsia="Arial" w:hAnsi="Arial"/>
          <w:sz w:val="14"/>
          <w:szCs w:val="14"/>
          <w:b w:val="1"/>
          <w:bCs w:val="1"/>
          <w:u w:val="single" w:color="auto"/>
          <w:color w:val="auto"/>
        </w:rPr>
        <w:t>Tax Consequences</w:t>
      </w:r>
      <w:r>
        <w:rPr>
          <w:rFonts w:ascii="Arial" w:cs="Arial" w:eastAsia="Arial" w:hAnsi="Arial"/>
          <w:sz w:val="14"/>
          <w:szCs w:val="14"/>
          <w:b w:val="1"/>
          <w:bCs w:val="1"/>
          <w:color w:val="auto"/>
        </w:rPr>
        <w:t xml:space="preserve">. </w:t>
      </w:r>
      <w:r>
        <w:rPr>
          <w:rFonts w:ascii="Arial" w:cs="Arial" w:eastAsia="Arial" w:hAnsi="Arial"/>
          <w:sz w:val="14"/>
          <w:szCs w:val="14"/>
          <w:i w:val="1"/>
          <w:iCs w:val="1"/>
          <w:color w:val="auto"/>
        </w:rPr>
        <w:t>PURCHASER UNDERSTANDS THAT PURCHASER MAY SUFFER ADVERSE TAX CONSEQUENCES AS A RESULT OF PURCHASER’S PURCHASE OR</w:t>
      </w:r>
      <w:r>
        <w:rPr>
          <w:rFonts w:ascii="Arial" w:cs="Arial" w:eastAsia="Arial" w:hAnsi="Arial"/>
          <w:sz w:val="14"/>
          <w:szCs w:val="14"/>
          <w:b w:val="1"/>
          <w:bCs w:val="1"/>
          <w:color w:val="auto"/>
        </w:rPr>
        <w:t xml:space="preserve"> </w:t>
      </w:r>
      <w:r>
        <w:rPr>
          <w:rFonts w:ascii="Arial" w:cs="Arial" w:eastAsia="Arial" w:hAnsi="Arial"/>
          <w:sz w:val="14"/>
          <w:szCs w:val="14"/>
          <w:i w:val="1"/>
          <w:iCs w:val="1"/>
          <w:color w:val="auto"/>
        </w:rPr>
        <w:t xml:space="preserve">DISPOSITION OF THE SHARES. PURCHASER REPRESENTS: (i) THAT PURCHASER HAS CONSULTED WITH ANY TAX ADVISER THAT PURCHASER DEEMS ADVISABLE IN CONNECTION WITH THE PURCHASE OR DISPOSITION OF THE SHARES AND </w:t>
      </w:r>
      <w:r>
        <w:rPr>
          <w:rFonts w:ascii="Arial" w:cs="Arial" w:eastAsia="Arial" w:hAnsi="Arial"/>
          <w:sz w:val="14"/>
          <w:szCs w:val="14"/>
          <w:color w:val="auto"/>
        </w:rPr>
        <w:t>(ii) THAT PURCHASER IS NOT RELYING ON THE COMPANY FOR ANY TAX ADVICE. Set</w:t>
      </w:r>
      <w:r>
        <w:rPr>
          <w:rFonts w:ascii="Arial" w:cs="Arial" w:eastAsia="Arial" w:hAnsi="Arial"/>
          <w:sz w:val="14"/>
          <w:szCs w:val="14"/>
          <w:i w:val="1"/>
          <w:iCs w:val="1"/>
          <w:color w:val="auto"/>
        </w:rPr>
        <w:t xml:space="preserve"> </w:t>
      </w:r>
      <w:r>
        <w:rPr>
          <w:rFonts w:ascii="Arial" w:cs="Arial" w:eastAsia="Arial" w:hAnsi="Arial"/>
          <w:sz w:val="14"/>
          <w:szCs w:val="14"/>
          <w:color w:val="auto"/>
        </w:rPr>
        <w:t xml:space="preserve">forth below is a brief summary as of the date the Plan was adopted by the Board of some of the U.S. Federal and California tax consequences of exercise of the Option and disposition of the Shares. </w:t>
      </w:r>
      <w:r>
        <w:rPr>
          <w:rFonts w:ascii="Arial" w:cs="Arial" w:eastAsia="Arial" w:hAnsi="Arial"/>
          <w:sz w:val="14"/>
          <w:szCs w:val="14"/>
          <w:i w:val="1"/>
          <w:iCs w:val="1"/>
          <w:color w:val="auto"/>
        </w:rPr>
        <w:t>THIS SUMMARY IS NECESSARILY INCOMPLETE, AND THE TAX LAWS AND REGULATIONS ARE SUBJECT TO CHANGE. PURCHASER SHOULD CONSULT HIS OR HER</w:t>
      </w:r>
      <w:r>
        <w:rPr>
          <w:rFonts w:ascii="Arial" w:cs="Arial" w:eastAsia="Arial" w:hAnsi="Arial"/>
          <w:sz w:val="14"/>
          <w:szCs w:val="14"/>
          <w:color w:val="auto"/>
        </w:rPr>
        <w:t xml:space="preserve"> </w:t>
      </w:r>
      <w:r>
        <w:rPr>
          <w:rFonts w:ascii="Arial" w:cs="Arial" w:eastAsia="Arial" w:hAnsi="Arial"/>
          <w:sz w:val="14"/>
          <w:szCs w:val="14"/>
          <w:i w:val="1"/>
          <w:iCs w:val="1"/>
          <w:color w:val="auto"/>
        </w:rPr>
        <w:t>OWN TAX ADVISER BEFORE EXERCISING THIS OPTION OR DISPOSING OF THE SHARES.</w:t>
      </w:r>
    </w:p>
    <w:p>
      <w:pPr>
        <w:spacing w:after="0" w:line="148" w:lineRule="exact"/>
        <w:rPr>
          <w:sz w:val="20"/>
          <w:szCs w:val="20"/>
          <w:color w:val="auto"/>
        </w:rPr>
      </w:pPr>
    </w:p>
    <w:p>
      <w:pPr>
        <w:ind w:right="20" w:firstLine="916"/>
        <w:spacing w:after="0" w:line="263" w:lineRule="auto"/>
        <w:rPr>
          <w:sz w:val="20"/>
          <w:szCs w:val="20"/>
          <w:color w:val="auto"/>
        </w:rPr>
      </w:pPr>
      <w:r>
        <w:rPr>
          <w:rFonts w:ascii="Arial" w:cs="Arial" w:eastAsia="Arial" w:hAnsi="Arial"/>
          <w:sz w:val="15"/>
          <w:szCs w:val="15"/>
          <w:color w:val="auto"/>
        </w:rPr>
        <w:t xml:space="preserve">12.1 </w:t>
      </w:r>
      <w:r>
        <w:rPr>
          <w:rFonts w:ascii="Arial" w:cs="Arial" w:eastAsia="Arial" w:hAnsi="Arial"/>
          <w:sz w:val="15"/>
          <w:szCs w:val="15"/>
          <w:u w:val="single" w:color="auto"/>
          <w:color w:val="auto"/>
        </w:rPr>
        <w:t>Exercise of Incentive Stock Option</w:t>
      </w:r>
      <w:r>
        <w:rPr>
          <w:rFonts w:ascii="Arial" w:cs="Arial" w:eastAsia="Arial" w:hAnsi="Arial"/>
          <w:sz w:val="15"/>
          <w:szCs w:val="15"/>
          <w:color w:val="auto"/>
        </w:rPr>
        <w:t>. If the Option qualifies as an ISO, there will be no regular U.S. Federal income tax liability or California income tax liability upon the exercise of the Option, although the excess, if any, of the Fair Market Value of the Shares on the date of exercise over the Exercise Price will be treated as a tax preference item for U.S. Federal alternative minimum tax purposes and may subject Purchaser to the alternative minimum tax in the year of exercise.</w:t>
      </w:r>
    </w:p>
    <w:p>
      <w:pPr>
        <w:spacing w:after="0" w:line="155" w:lineRule="exact"/>
        <w:rPr>
          <w:sz w:val="20"/>
          <w:szCs w:val="20"/>
          <w:color w:val="auto"/>
        </w:rPr>
      </w:pPr>
    </w:p>
    <w:p>
      <w:pPr>
        <w:ind w:right="120" w:firstLine="916"/>
        <w:spacing w:after="0" w:line="283" w:lineRule="auto"/>
        <w:rPr>
          <w:sz w:val="20"/>
          <w:szCs w:val="20"/>
          <w:color w:val="auto"/>
        </w:rPr>
      </w:pPr>
      <w:r>
        <w:rPr>
          <w:rFonts w:ascii="Arial" w:cs="Arial" w:eastAsia="Arial" w:hAnsi="Arial"/>
          <w:sz w:val="14"/>
          <w:szCs w:val="14"/>
          <w:color w:val="auto"/>
        </w:rPr>
        <w:t xml:space="preserve">12.2 </w:t>
      </w:r>
      <w:r>
        <w:rPr>
          <w:rFonts w:ascii="Arial" w:cs="Arial" w:eastAsia="Arial" w:hAnsi="Arial"/>
          <w:sz w:val="14"/>
          <w:szCs w:val="14"/>
          <w:u w:val="single" w:color="auto"/>
          <w:color w:val="auto"/>
        </w:rPr>
        <w:t>Exercise of Nonqualified Stock Option</w:t>
      </w:r>
      <w:r>
        <w:rPr>
          <w:rFonts w:ascii="Arial" w:cs="Arial" w:eastAsia="Arial" w:hAnsi="Arial"/>
          <w:sz w:val="14"/>
          <w:szCs w:val="14"/>
          <w:color w:val="auto"/>
        </w:rPr>
        <w:t>. If the Option does not qualify as an ISO, there may be a regular U.S. Federal income tax liability and a California income tax liability upon the exercise of the Option. Purchaser will be treated as having received compensation income (taxable at ordinary income tax rates) equal to the excess, if any, of the Fair Market Value of the Shares on the date of exercise over the Exercise Price. If Purchaser is or was an employee of the Company, the Company may be required to withhold from Purchaser’s compensation or collect from Purchaser and pay to the applicable taxing authorities an amount equal to a percentage of this compensation income at the time of exercise.</w:t>
      </w:r>
    </w:p>
    <w:p>
      <w:pPr>
        <w:spacing w:after="0" w:line="143" w:lineRule="exact"/>
        <w:rPr>
          <w:sz w:val="20"/>
          <w:szCs w:val="20"/>
          <w:color w:val="auto"/>
        </w:rPr>
      </w:pPr>
    </w:p>
    <w:p>
      <w:pPr>
        <w:ind w:left="900"/>
        <w:spacing w:after="0"/>
        <w:rPr>
          <w:sz w:val="20"/>
          <w:szCs w:val="20"/>
          <w:color w:val="auto"/>
        </w:rPr>
      </w:pPr>
      <w:r>
        <w:rPr>
          <w:rFonts w:ascii="Arial" w:cs="Arial" w:eastAsia="Arial" w:hAnsi="Arial"/>
          <w:sz w:val="15"/>
          <w:szCs w:val="15"/>
          <w:color w:val="auto"/>
        </w:rPr>
        <w:t xml:space="preserve">12.3 </w:t>
      </w:r>
      <w:r>
        <w:rPr>
          <w:rFonts w:ascii="Arial" w:cs="Arial" w:eastAsia="Arial" w:hAnsi="Arial"/>
          <w:sz w:val="15"/>
          <w:szCs w:val="15"/>
          <w:u w:val="single" w:color="auto"/>
          <w:color w:val="auto"/>
        </w:rPr>
        <w:t>Disposition of Shares</w:t>
      </w:r>
      <w:r>
        <w:rPr>
          <w:rFonts w:ascii="Arial" w:cs="Arial" w:eastAsia="Arial" w:hAnsi="Arial"/>
          <w:sz w:val="15"/>
          <w:szCs w:val="15"/>
          <w:color w:val="auto"/>
        </w:rPr>
        <w:t>. The following tax consequences may apply upon disposition of the Shares.</w:t>
      </w:r>
    </w:p>
    <w:p>
      <w:pPr>
        <w:spacing w:after="0" w:line="188" w:lineRule="exact"/>
        <w:rPr>
          <w:sz w:val="20"/>
          <w:szCs w:val="20"/>
          <w:color w:val="auto"/>
        </w:rPr>
      </w:pPr>
    </w:p>
    <w:p>
      <w:pPr>
        <w:ind w:firstLine="1478"/>
        <w:spacing w:after="0" w:line="263" w:lineRule="auto"/>
        <w:tabs>
          <w:tab w:leader="none" w:pos="1692" w:val="left"/>
        </w:tabs>
        <w:numPr>
          <w:ilvl w:val="0"/>
          <w:numId w:val="465"/>
        </w:numPr>
        <w:rPr>
          <w:rFonts w:ascii="Arial" w:cs="Arial" w:eastAsia="Arial" w:hAnsi="Arial"/>
          <w:sz w:val="15"/>
          <w:szCs w:val="15"/>
          <w:color w:val="auto"/>
        </w:rPr>
      </w:pPr>
      <w:r>
        <w:rPr>
          <w:rFonts w:ascii="Arial" w:cs="Arial" w:eastAsia="Arial" w:hAnsi="Arial"/>
          <w:sz w:val="15"/>
          <w:szCs w:val="15"/>
          <w:u w:val="single" w:color="auto"/>
          <w:color w:val="auto"/>
        </w:rPr>
        <w:t>Incentive Stock Options</w:t>
      </w:r>
      <w:r>
        <w:rPr>
          <w:rFonts w:ascii="Arial" w:cs="Arial" w:eastAsia="Arial" w:hAnsi="Arial"/>
          <w:sz w:val="15"/>
          <w:szCs w:val="15"/>
          <w:color w:val="auto"/>
        </w:rPr>
        <w:t>. If the Shares are held for more than twelve (12) months after the date of the transfer of the Shares pursuant to the exercise of an ISO and are disposed of more than two (2) years after the Date of Grant, any gain realized on disposition of the Shares will be treated as long term capital gain for federal and California income tax purposes. If Shares purchased under an ISO are disposed of within the applicable one</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9</w:t>
      </w:r>
    </w:p>
    <w:p>
      <w:pPr>
        <w:sectPr>
          <w:pgSz w:w="11900" w:h="16838" w:orient="portrait"/>
          <w:cols w:equalWidth="0" w:num="1">
            <w:col w:w="11420"/>
          </w:cols>
          <w:pgMar w:left="240" w:top="253" w:right="239" w:bottom="1440" w:gutter="0" w:footer="0" w:header="0"/>
        </w:sectPr>
      </w:pPr>
    </w:p>
    <w:bookmarkStart w:id="489" w:name="page490"/>
    <w:bookmarkEnd w:id="489"/>
    <w:p>
      <w:pPr>
        <w:ind w:left="10" w:right="100" w:hanging="10"/>
        <w:spacing w:after="0" w:line="275" w:lineRule="auto"/>
        <w:tabs>
          <w:tab w:leader="none" w:pos="223" w:val="left"/>
        </w:tabs>
        <w:numPr>
          <w:ilvl w:val="0"/>
          <w:numId w:val="466"/>
        </w:numPr>
        <w:rPr>
          <w:rFonts w:ascii="Arial" w:cs="Arial" w:eastAsia="Arial" w:hAnsi="Arial"/>
          <w:sz w:val="15"/>
          <w:szCs w:val="15"/>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133350</wp:posOffset>
            </wp:positionH>
            <wp:positionV relativeFrom="page">
              <wp:posOffset>88900</wp:posOffset>
            </wp:positionV>
            <wp:extent cx="7308850" cy="34290"/>
            <wp:wrapNone/>
            <wp:docPr id="737" name="Picture 7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7"/>
                    <pic:cNvPicPr>
                      <a:picLocks noChangeAspect="1" noChangeArrowheads="1"/>
                    </pic:cNvPicPr>
                  </pic:nvPicPr>
                  <pic:blipFill>
                    <a:blip r:embed="rId774">
                      <a:extLst>
                        <a:ext uri="{28A0092B-C50C-407E-A947-70E740481C1C}"/>
                      </a:extLst>
                    </a:blip>
                    <a:srcRect/>
                    <a:stretch>
                      <a:fillRect/>
                    </a:stretch>
                  </pic:blipFill>
                  <pic:spPr bwMode="auto">
                    <a:xfrm>
                      <a:off x="0" y="0"/>
                      <a:ext cx="7308850" cy="34290"/>
                    </a:xfrm>
                    <a:prstGeom prst="rect">
                      <a:avLst/>
                    </a:prstGeom>
                    <a:noFill/>
                  </pic:spPr>
                </pic:pic>
              </a:graphicData>
            </a:graphic>
          </wp:anchor>
        </w:drawing>
        <w:t>year or two (2) year period, any gain realized on such disposition will be treated as compensation income (taxable at ordinary income rates in the year of disposition) to the extent of the excess, if any, of the Fair Market Value of the Shares on the date of exercise over the Exercise Price.</w:t>
      </w:r>
    </w:p>
    <w:p>
      <w:pPr>
        <w:spacing w:after="0" w:line="146" w:lineRule="exact"/>
        <w:rPr>
          <w:rFonts w:ascii="Arial" w:cs="Arial" w:eastAsia="Arial" w:hAnsi="Arial"/>
          <w:sz w:val="15"/>
          <w:szCs w:val="15"/>
          <w:color w:val="auto"/>
        </w:rPr>
      </w:pPr>
    </w:p>
    <w:p>
      <w:pPr>
        <w:ind w:left="10" w:right="280" w:firstLine="1478"/>
        <w:spacing w:after="0" w:line="275" w:lineRule="auto"/>
        <w:tabs>
          <w:tab w:leader="none" w:pos="1711" w:val="left"/>
        </w:tabs>
        <w:numPr>
          <w:ilvl w:val="2"/>
          <w:numId w:val="466"/>
        </w:numPr>
        <w:rPr>
          <w:rFonts w:ascii="Arial" w:cs="Arial" w:eastAsia="Arial" w:hAnsi="Arial"/>
          <w:sz w:val="15"/>
          <w:szCs w:val="15"/>
          <w:color w:val="auto"/>
        </w:rPr>
      </w:pPr>
      <w:r>
        <w:rPr>
          <w:rFonts w:ascii="Arial" w:cs="Arial" w:eastAsia="Arial" w:hAnsi="Arial"/>
          <w:sz w:val="15"/>
          <w:szCs w:val="15"/>
          <w:u w:val="single" w:color="auto"/>
          <w:color w:val="auto"/>
        </w:rPr>
        <w:t>Nonqualified Stock Options</w:t>
      </w:r>
      <w:r>
        <w:rPr>
          <w:rFonts w:ascii="Arial" w:cs="Arial" w:eastAsia="Arial" w:hAnsi="Arial"/>
          <w:sz w:val="15"/>
          <w:szCs w:val="15"/>
          <w:color w:val="auto"/>
        </w:rPr>
        <w:t>. If the Shares are held for more than twelve (12) months after the date of the transfer of the Shares pursuant to the exercise of an NQSO, any gain realized on disposition of the Shares will be treated as long term capital gain.</w:t>
      </w:r>
    </w:p>
    <w:p>
      <w:pPr>
        <w:spacing w:after="0" w:line="146" w:lineRule="exact"/>
        <w:rPr>
          <w:rFonts w:ascii="Arial" w:cs="Arial" w:eastAsia="Arial" w:hAnsi="Arial"/>
          <w:sz w:val="15"/>
          <w:szCs w:val="15"/>
          <w:color w:val="auto"/>
        </w:rPr>
      </w:pPr>
    </w:p>
    <w:p>
      <w:pPr>
        <w:ind w:left="10" w:right="400" w:firstLine="1478"/>
        <w:spacing w:after="0" w:line="275" w:lineRule="auto"/>
        <w:tabs>
          <w:tab w:leader="none" w:pos="1702" w:val="left"/>
        </w:tabs>
        <w:numPr>
          <w:ilvl w:val="2"/>
          <w:numId w:val="466"/>
        </w:numPr>
        <w:rPr>
          <w:rFonts w:ascii="Arial" w:cs="Arial" w:eastAsia="Arial" w:hAnsi="Arial"/>
          <w:sz w:val="15"/>
          <w:szCs w:val="15"/>
          <w:color w:val="auto"/>
        </w:rPr>
      </w:pPr>
      <w:r>
        <w:rPr>
          <w:rFonts w:ascii="Arial" w:cs="Arial" w:eastAsia="Arial" w:hAnsi="Arial"/>
          <w:sz w:val="15"/>
          <w:szCs w:val="15"/>
          <w:u w:val="single" w:color="auto"/>
          <w:color w:val="auto"/>
        </w:rPr>
        <w:t>Withholding</w:t>
      </w:r>
      <w:r>
        <w:rPr>
          <w:rFonts w:ascii="Arial" w:cs="Arial" w:eastAsia="Arial" w:hAnsi="Arial"/>
          <w:sz w:val="15"/>
          <w:szCs w:val="15"/>
          <w:color w:val="auto"/>
        </w:rPr>
        <w:t>. The Company may be required to withhold from the Purchaser’s compensation or collect from the Purchaser and pay to the applicable taxing authorities an amount equal to a percentage of this compensation income.</w:t>
      </w:r>
    </w:p>
    <w:p>
      <w:pPr>
        <w:spacing w:after="0" w:line="142" w:lineRule="exact"/>
        <w:rPr>
          <w:rFonts w:ascii="Arial" w:cs="Arial" w:eastAsia="Arial" w:hAnsi="Arial"/>
          <w:sz w:val="15"/>
          <w:szCs w:val="15"/>
          <w:color w:val="auto"/>
        </w:rPr>
      </w:pPr>
    </w:p>
    <w:p>
      <w:pPr>
        <w:ind w:left="10" w:right="60" w:firstLine="448"/>
        <w:spacing w:after="0" w:line="266" w:lineRule="auto"/>
        <w:tabs>
          <w:tab w:leader="none" w:pos="693" w:val="left"/>
        </w:tabs>
        <w:numPr>
          <w:ilvl w:val="1"/>
          <w:numId w:val="466"/>
        </w:numPr>
        <w:rPr>
          <w:rFonts w:ascii="Arial" w:cs="Arial" w:eastAsia="Arial" w:hAnsi="Arial"/>
          <w:sz w:val="15"/>
          <w:szCs w:val="15"/>
          <w:b w:val="1"/>
          <w:bCs w:val="1"/>
          <w:color w:val="auto"/>
        </w:rPr>
      </w:pPr>
      <w:r>
        <w:rPr>
          <w:rFonts w:ascii="Arial" w:cs="Arial" w:eastAsia="Arial" w:hAnsi="Arial"/>
          <w:sz w:val="15"/>
          <w:szCs w:val="15"/>
          <w:b w:val="1"/>
          <w:bCs w:val="1"/>
          <w:u w:val="single" w:color="auto"/>
          <w:color w:val="auto"/>
        </w:rPr>
        <w:t>Compliance with Laws and Regulations</w:t>
      </w:r>
      <w:r>
        <w:rPr>
          <w:rFonts w:ascii="Arial" w:cs="Arial" w:eastAsia="Arial" w:hAnsi="Arial"/>
          <w:sz w:val="15"/>
          <w:szCs w:val="15"/>
          <w:b w:val="1"/>
          <w:bCs w:val="1"/>
          <w:color w:val="auto"/>
        </w:rPr>
        <w:t xml:space="preserve">. </w:t>
      </w:r>
      <w:r>
        <w:rPr>
          <w:rFonts w:ascii="Arial" w:cs="Arial" w:eastAsia="Arial" w:hAnsi="Arial"/>
          <w:sz w:val="15"/>
          <w:szCs w:val="15"/>
          <w:color w:val="auto"/>
        </w:rPr>
        <w:t>The issuance and transfer of the Shares will be subject to and conditioned upon compliance by the Company and Purchaser with all</w:t>
      </w:r>
      <w:r>
        <w:rPr>
          <w:rFonts w:ascii="Arial" w:cs="Arial" w:eastAsia="Arial" w:hAnsi="Arial"/>
          <w:sz w:val="15"/>
          <w:szCs w:val="15"/>
          <w:b w:val="1"/>
          <w:bCs w:val="1"/>
          <w:color w:val="auto"/>
        </w:rPr>
        <w:t xml:space="preserve"> </w:t>
      </w:r>
      <w:r>
        <w:rPr>
          <w:rFonts w:ascii="Arial" w:cs="Arial" w:eastAsia="Arial" w:hAnsi="Arial"/>
          <w:sz w:val="15"/>
          <w:szCs w:val="15"/>
          <w:color w:val="auto"/>
        </w:rPr>
        <w:t>applicable state and U.S. Federal laws and regulations and with all applicable requirements of any stock exchange or automated quotation system on which the Company’s securities may be listed or quoted at the time of such issuance or transfer.</w:t>
      </w:r>
    </w:p>
    <w:p>
      <w:pPr>
        <w:spacing w:after="0" w:line="148" w:lineRule="exact"/>
        <w:rPr>
          <w:rFonts w:ascii="Arial" w:cs="Arial" w:eastAsia="Arial" w:hAnsi="Arial"/>
          <w:sz w:val="15"/>
          <w:szCs w:val="15"/>
          <w:b w:val="1"/>
          <w:bCs w:val="1"/>
          <w:color w:val="auto"/>
        </w:rPr>
      </w:pPr>
    </w:p>
    <w:p>
      <w:pPr>
        <w:ind w:left="10" w:firstLine="448"/>
        <w:spacing w:after="0" w:line="313" w:lineRule="auto"/>
        <w:tabs>
          <w:tab w:leader="none" w:pos="693" w:val="left"/>
        </w:tabs>
        <w:numPr>
          <w:ilvl w:val="1"/>
          <w:numId w:val="466"/>
        </w:numPr>
        <w:rPr>
          <w:rFonts w:ascii="Arial" w:cs="Arial" w:eastAsia="Arial" w:hAnsi="Arial"/>
          <w:sz w:val="13"/>
          <w:szCs w:val="13"/>
          <w:b w:val="1"/>
          <w:bCs w:val="1"/>
          <w:color w:val="auto"/>
        </w:rPr>
      </w:pPr>
      <w:r>
        <w:rPr>
          <w:rFonts w:ascii="Arial" w:cs="Arial" w:eastAsia="Arial" w:hAnsi="Arial"/>
          <w:sz w:val="13"/>
          <w:szCs w:val="13"/>
          <w:b w:val="1"/>
          <w:bCs w:val="1"/>
          <w:u w:val="single" w:color="auto"/>
          <w:color w:val="auto"/>
        </w:rPr>
        <w:t>Successors and Assigns</w:t>
      </w:r>
      <w:r>
        <w:rPr>
          <w:rFonts w:ascii="Arial" w:cs="Arial" w:eastAsia="Arial" w:hAnsi="Arial"/>
          <w:sz w:val="13"/>
          <w:szCs w:val="13"/>
          <w:b w:val="1"/>
          <w:bCs w:val="1"/>
          <w:color w:val="auto"/>
        </w:rPr>
        <w:t xml:space="preserve">. </w:t>
      </w:r>
      <w:r>
        <w:rPr>
          <w:rFonts w:ascii="Arial" w:cs="Arial" w:eastAsia="Arial" w:hAnsi="Arial"/>
          <w:sz w:val="13"/>
          <w:szCs w:val="13"/>
          <w:color w:val="auto"/>
        </w:rPr>
        <w:t>The Company may assign any of its rights and obligations under this Exercise Agreement</w:t>
      </w:r>
      <w:r>
        <w:rPr>
          <w:rFonts w:ascii="Arial" w:cs="Arial" w:eastAsia="Arial" w:hAnsi="Arial"/>
          <w:sz w:val="13"/>
          <w:szCs w:val="13"/>
          <w:b w:val="1"/>
          <w:bCs w:val="1"/>
          <w:color w:val="auto"/>
        </w:rPr>
        <w:t xml:space="preserve">, </w:t>
      </w:r>
      <w:r>
        <w:rPr>
          <w:rFonts w:ascii="Arial" w:cs="Arial" w:eastAsia="Arial" w:hAnsi="Arial"/>
          <w:sz w:val="13"/>
          <w:szCs w:val="13"/>
          <w:color w:val="auto"/>
        </w:rPr>
        <w:t>including its rights to purchase Shares under the Right of</w:t>
      </w:r>
      <w:r>
        <w:rPr>
          <w:rFonts w:ascii="Arial" w:cs="Arial" w:eastAsia="Arial" w:hAnsi="Arial"/>
          <w:sz w:val="13"/>
          <w:szCs w:val="13"/>
          <w:b w:val="1"/>
          <w:bCs w:val="1"/>
          <w:color w:val="auto"/>
        </w:rPr>
        <w:t xml:space="preserve"> </w:t>
      </w:r>
      <w:r>
        <w:rPr>
          <w:rFonts w:ascii="Arial" w:cs="Arial" w:eastAsia="Arial" w:hAnsi="Arial"/>
          <w:sz w:val="13"/>
          <w:szCs w:val="13"/>
          <w:color w:val="auto"/>
        </w:rPr>
        <w:t>First Refusal. No other party to this Exercise Agreement may assign, whether voluntarily or by operation of law, any of its rights and obligations under this Exercise Agreement, except with the prior written consent of the Company. This Exercise Agreement shall be binding upon and inure to the benefit of the successors and assigns of the Company. Subject to the restrictions on transfer herein set forth, this Exercise Agreement will be binding upon Purchaser and Purchaser’s heirs, executors, administrators, legal representatives, successors and assigns.</w:t>
      </w:r>
    </w:p>
    <w:p>
      <w:pPr>
        <w:spacing w:after="0" w:line="122" w:lineRule="exact"/>
        <w:rPr>
          <w:rFonts w:ascii="Arial" w:cs="Arial" w:eastAsia="Arial" w:hAnsi="Arial"/>
          <w:sz w:val="13"/>
          <w:szCs w:val="13"/>
          <w:b w:val="1"/>
          <w:bCs w:val="1"/>
          <w:color w:val="auto"/>
        </w:rPr>
      </w:pPr>
    </w:p>
    <w:p>
      <w:pPr>
        <w:ind w:left="10" w:right="160" w:firstLine="448"/>
        <w:spacing w:after="0" w:line="280" w:lineRule="auto"/>
        <w:tabs>
          <w:tab w:leader="none" w:pos="693" w:val="left"/>
        </w:tabs>
        <w:numPr>
          <w:ilvl w:val="1"/>
          <w:numId w:val="466"/>
        </w:numPr>
        <w:rPr>
          <w:rFonts w:ascii="Arial" w:cs="Arial" w:eastAsia="Arial" w:hAnsi="Arial"/>
          <w:sz w:val="15"/>
          <w:szCs w:val="15"/>
          <w:b w:val="1"/>
          <w:bCs w:val="1"/>
          <w:color w:val="auto"/>
        </w:rPr>
      </w:pPr>
      <w:r>
        <w:rPr>
          <w:rFonts w:ascii="Arial" w:cs="Arial" w:eastAsia="Arial" w:hAnsi="Arial"/>
          <w:sz w:val="15"/>
          <w:szCs w:val="15"/>
          <w:b w:val="1"/>
          <w:bCs w:val="1"/>
          <w:u w:val="single" w:color="auto"/>
          <w:color w:val="auto"/>
        </w:rPr>
        <w:t>Governing Law</w:t>
      </w:r>
      <w:r>
        <w:rPr>
          <w:rFonts w:ascii="Arial" w:cs="Arial" w:eastAsia="Arial" w:hAnsi="Arial"/>
          <w:sz w:val="15"/>
          <w:szCs w:val="15"/>
          <w:b w:val="1"/>
          <w:bCs w:val="1"/>
          <w:color w:val="auto"/>
        </w:rPr>
        <w:t xml:space="preserve">. </w:t>
      </w:r>
      <w:r>
        <w:rPr>
          <w:rFonts w:ascii="Arial" w:cs="Arial" w:eastAsia="Arial" w:hAnsi="Arial"/>
          <w:sz w:val="15"/>
          <w:szCs w:val="15"/>
          <w:color w:val="auto"/>
        </w:rPr>
        <w:t>This Exercise Agreement shall be governed by and construed in accordance with the laws of the State of California, without giving effect to that body of laws</w:t>
      </w:r>
      <w:r>
        <w:rPr>
          <w:rFonts w:ascii="Arial" w:cs="Arial" w:eastAsia="Arial" w:hAnsi="Arial"/>
          <w:sz w:val="15"/>
          <w:szCs w:val="15"/>
          <w:b w:val="1"/>
          <w:bCs w:val="1"/>
          <w:color w:val="auto"/>
        </w:rPr>
        <w:t xml:space="preserve"> </w:t>
      </w:r>
      <w:r>
        <w:rPr>
          <w:rFonts w:ascii="Arial" w:cs="Arial" w:eastAsia="Arial" w:hAnsi="Arial"/>
          <w:sz w:val="15"/>
          <w:szCs w:val="15"/>
          <w:color w:val="auto"/>
        </w:rPr>
        <w:t>pertaining to conflict of laws.</w:t>
      </w:r>
    </w:p>
    <w:p>
      <w:pPr>
        <w:spacing w:after="0" w:line="138" w:lineRule="exact"/>
        <w:rPr>
          <w:rFonts w:ascii="Arial" w:cs="Arial" w:eastAsia="Arial" w:hAnsi="Arial"/>
          <w:sz w:val="15"/>
          <w:szCs w:val="15"/>
          <w:b w:val="1"/>
          <w:bCs w:val="1"/>
          <w:color w:val="auto"/>
        </w:rPr>
      </w:pPr>
    </w:p>
    <w:p>
      <w:pPr>
        <w:ind w:left="10" w:right="20" w:firstLine="448"/>
        <w:spacing w:after="0" w:line="303" w:lineRule="auto"/>
        <w:tabs>
          <w:tab w:leader="none" w:pos="693" w:val="left"/>
        </w:tabs>
        <w:numPr>
          <w:ilvl w:val="1"/>
          <w:numId w:val="466"/>
        </w:numPr>
        <w:rPr>
          <w:rFonts w:ascii="Arial" w:cs="Arial" w:eastAsia="Arial" w:hAnsi="Arial"/>
          <w:sz w:val="13"/>
          <w:szCs w:val="13"/>
          <w:b w:val="1"/>
          <w:bCs w:val="1"/>
          <w:color w:val="auto"/>
        </w:rPr>
      </w:pPr>
      <w:r>
        <w:rPr>
          <w:rFonts w:ascii="Arial" w:cs="Arial" w:eastAsia="Arial" w:hAnsi="Arial"/>
          <w:sz w:val="13"/>
          <w:szCs w:val="13"/>
          <w:b w:val="1"/>
          <w:bCs w:val="1"/>
          <w:u w:val="single" w:color="auto"/>
          <w:color w:val="auto"/>
        </w:rPr>
        <w:t>Notices</w:t>
      </w:r>
      <w:r>
        <w:rPr>
          <w:rFonts w:ascii="Arial" w:cs="Arial" w:eastAsia="Arial" w:hAnsi="Arial"/>
          <w:sz w:val="13"/>
          <w:szCs w:val="13"/>
          <w:b w:val="1"/>
          <w:bCs w:val="1"/>
          <w:color w:val="auto"/>
        </w:rPr>
        <w:t xml:space="preserve">. </w:t>
      </w:r>
      <w:r>
        <w:rPr>
          <w:rFonts w:ascii="Arial" w:cs="Arial" w:eastAsia="Arial" w:hAnsi="Arial"/>
          <w:sz w:val="13"/>
          <w:szCs w:val="13"/>
          <w:color w:val="auto"/>
        </w:rPr>
        <w:t>Any and all notices required or permitted to be given to a party pursuant to the provisions of this Exercise Agreement will be in writing and will be effective and deemed</w:t>
      </w:r>
      <w:r>
        <w:rPr>
          <w:rFonts w:ascii="Arial" w:cs="Arial" w:eastAsia="Arial" w:hAnsi="Arial"/>
          <w:sz w:val="13"/>
          <w:szCs w:val="13"/>
          <w:b w:val="1"/>
          <w:bCs w:val="1"/>
          <w:color w:val="auto"/>
        </w:rPr>
        <w:t xml:space="preserve"> </w:t>
      </w:r>
      <w:r>
        <w:rPr>
          <w:rFonts w:ascii="Arial" w:cs="Arial" w:eastAsia="Arial" w:hAnsi="Arial"/>
          <w:sz w:val="13"/>
          <w:szCs w:val="13"/>
          <w:color w:val="auto"/>
        </w:rPr>
        <w:t>to provide such party sufficient notice under this Exercise Agreement on the earliest of the following: (i) at the time of personal delivery, if delivery is in person; (ii) at the time an electronic confirmation of receipt is received, if delivery is by email; (iii) at the time of transmission by facsimile, addressed to the other party at its facsimile number specified herein (or hereafter modified by subsequent notice to the parties hereto), with confirmation of receipt made by both telephone and printed confirmation sheet verifying successful transmission of the facsimile; (iv) one (1) business day after deposit with an express overnight courier for United States deliveries, or two (2) business days after such deposit for deliveries outside of the United States, with proof of delivery from the courier requested; or (v) three (3) business days after deposit in the United States mail by certified mail (return receipt requested) for United States deliveries.</w:t>
      </w:r>
    </w:p>
    <w:p>
      <w:pPr>
        <w:spacing w:after="0" w:line="78" w:lineRule="exact"/>
        <w:rPr>
          <w:sz w:val="20"/>
          <w:szCs w:val="20"/>
          <w:color w:val="auto"/>
        </w:rPr>
      </w:pPr>
    </w:p>
    <w:p>
      <w:pPr>
        <w:jc w:val="center"/>
        <w:ind w:right="-29"/>
        <w:spacing w:after="0"/>
        <w:rPr>
          <w:sz w:val="20"/>
          <w:szCs w:val="20"/>
          <w:color w:val="auto"/>
        </w:rPr>
      </w:pPr>
      <w:r>
        <w:rPr>
          <w:rFonts w:ascii="Arial" w:cs="Arial" w:eastAsia="Arial" w:hAnsi="Arial"/>
          <w:sz w:val="15"/>
          <w:szCs w:val="15"/>
          <w:color w:val="auto"/>
        </w:rPr>
        <w:t>10</w:t>
      </w:r>
    </w:p>
    <w:p>
      <w:pPr>
        <w:sectPr>
          <w:pgSz w:w="11900" w:h="16838" w:orient="portrait"/>
          <w:cols w:equalWidth="0" w:num="1">
            <w:col w:w="11410"/>
          </w:cols>
          <w:pgMar w:left="230" w:top="253" w:right="259" w:bottom="1440" w:gutter="0" w:footer="0" w:header="0"/>
        </w:sectPr>
      </w:pPr>
    </w:p>
    <w:bookmarkStart w:id="490" w:name="page491"/>
    <w:bookmarkEnd w:id="490"/>
    <w:p>
      <w:pPr>
        <w:ind w:right="60" w:firstLine="916"/>
        <w:spacing w:after="0" w:line="259"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133350</wp:posOffset>
            </wp:positionH>
            <wp:positionV relativeFrom="page">
              <wp:posOffset>88900</wp:posOffset>
            </wp:positionV>
            <wp:extent cx="7308850" cy="34290"/>
            <wp:wrapNone/>
            <wp:docPr id="738" name="Picture 7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8"/>
                    <pic:cNvPicPr>
                      <a:picLocks noChangeAspect="1" noChangeArrowheads="1"/>
                    </pic:cNvPicPr>
                  </pic:nvPicPr>
                  <pic:blipFill>
                    <a:blip r:embed="rId775">
                      <a:extLst>
                        <a:ext uri="{28A0092B-C50C-407E-A947-70E740481C1C}"/>
                      </a:extLst>
                    </a:blip>
                    <a:srcRect/>
                    <a:stretch>
                      <a:fillRect/>
                    </a:stretch>
                  </pic:blipFill>
                  <pic:spPr bwMode="auto">
                    <a:xfrm>
                      <a:off x="0" y="0"/>
                      <a:ext cx="7308850" cy="34290"/>
                    </a:xfrm>
                    <a:prstGeom prst="rect">
                      <a:avLst/>
                    </a:prstGeom>
                    <a:noFill/>
                  </pic:spPr>
                </pic:pic>
              </a:graphicData>
            </a:graphic>
          </wp:anchor>
        </w:drawing>
        <w:t>All notices for delivery outside the United States will be sent by facsimile or by express courier. All notices not delivered personally or by facsimile will be sent with postage and/or other charges prepaid and properly addressed to the party to be notified at the address or facsimile number set forth below the signature lines of this Exercise Agreement, or at such other address or facsimile number as such other party may designate by one of the indicated means of notice herein to the other parties hereto. Notices to the Company will be marked “Attention: President”. Notices by facsimile shall be machine verified as received.</w:t>
      </w:r>
    </w:p>
    <w:p>
      <w:pPr>
        <w:spacing w:after="0" w:line="154" w:lineRule="exact"/>
        <w:rPr>
          <w:sz w:val="20"/>
          <w:szCs w:val="20"/>
          <w:color w:val="auto"/>
        </w:rPr>
      </w:pPr>
    </w:p>
    <w:p>
      <w:pPr>
        <w:ind w:right="420" w:firstLine="448"/>
        <w:spacing w:after="0" w:line="280" w:lineRule="auto"/>
        <w:tabs>
          <w:tab w:leader="none" w:pos="683" w:val="left"/>
        </w:tabs>
        <w:numPr>
          <w:ilvl w:val="0"/>
          <w:numId w:val="467"/>
        </w:numPr>
        <w:rPr>
          <w:rFonts w:ascii="Arial" w:cs="Arial" w:eastAsia="Arial" w:hAnsi="Arial"/>
          <w:sz w:val="15"/>
          <w:szCs w:val="15"/>
          <w:b w:val="1"/>
          <w:bCs w:val="1"/>
          <w:color w:val="auto"/>
        </w:rPr>
      </w:pPr>
      <w:r>
        <w:rPr>
          <w:rFonts w:ascii="Arial" w:cs="Arial" w:eastAsia="Arial" w:hAnsi="Arial"/>
          <w:sz w:val="15"/>
          <w:szCs w:val="15"/>
          <w:b w:val="1"/>
          <w:bCs w:val="1"/>
          <w:u w:val="single" w:color="auto"/>
          <w:color w:val="auto"/>
        </w:rPr>
        <w:t>Further Assurances</w:t>
      </w:r>
      <w:r>
        <w:rPr>
          <w:rFonts w:ascii="Arial" w:cs="Arial" w:eastAsia="Arial" w:hAnsi="Arial"/>
          <w:sz w:val="15"/>
          <w:szCs w:val="15"/>
          <w:b w:val="1"/>
          <w:bCs w:val="1"/>
          <w:color w:val="auto"/>
        </w:rPr>
        <w:t xml:space="preserve">. </w:t>
      </w:r>
      <w:r>
        <w:rPr>
          <w:rFonts w:ascii="Arial" w:cs="Arial" w:eastAsia="Arial" w:hAnsi="Arial"/>
          <w:sz w:val="15"/>
          <w:szCs w:val="15"/>
          <w:color w:val="auto"/>
        </w:rPr>
        <w:t>The parties agree to execute such further documents and instruments and to take such further actions as may be reasonably necessary to carry out the</w:t>
      </w:r>
      <w:r>
        <w:rPr>
          <w:rFonts w:ascii="Arial" w:cs="Arial" w:eastAsia="Arial" w:hAnsi="Arial"/>
          <w:sz w:val="15"/>
          <w:szCs w:val="15"/>
          <w:b w:val="1"/>
          <w:bCs w:val="1"/>
          <w:color w:val="auto"/>
        </w:rPr>
        <w:t xml:space="preserve"> </w:t>
      </w:r>
      <w:r>
        <w:rPr>
          <w:rFonts w:ascii="Arial" w:cs="Arial" w:eastAsia="Arial" w:hAnsi="Arial"/>
          <w:sz w:val="15"/>
          <w:szCs w:val="15"/>
          <w:color w:val="auto"/>
        </w:rPr>
        <w:t>purposes and intent of this Exercise Agreement.</w:t>
      </w:r>
    </w:p>
    <w:p>
      <w:pPr>
        <w:spacing w:after="0" w:line="138" w:lineRule="exact"/>
        <w:rPr>
          <w:rFonts w:ascii="Arial" w:cs="Arial" w:eastAsia="Arial" w:hAnsi="Arial"/>
          <w:sz w:val="15"/>
          <w:szCs w:val="15"/>
          <w:b w:val="1"/>
          <w:bCs w:val="1"/>
          <w:color w:val="auto"/>
        </w:rPr>
      </w:pPr>
    </w:p>
    <w:p>
      <w:pPr>
        <w:ind w:right="200" w:firstLine="448"/>
        <w:spacing w:after="0" w:line="361" w:lineRule="auto"/>
        <w:tabs>
          <w:tab w:leader="none" w:pos="683" w:val="left"/>
        </w:tabs>
        <w:numPr>
          <w:ilvl w:val="0"/>
          <w:numId w:val="467"/>
        </w:numPr>
        <w:rPr>
          <w:rFonts w:ascii="Arial" w:cs="Arial" w:eastAsia="Arial" w:hAnsi="Arial"/>
          <w:sz w:val="13"/>
          <w:szCs w:val="13"/>
          <w:b w:val="1"/>
          <w:bCs w:val="1"/>
          <w:color w:val="auto"/>
        </w:rPr>
      </w:pPr>
      <w:r>
        <w:rPr>
          <w:rFonts w:ascii="Arial" w:cs="Arial" w:eastAsia="Arial" w:hAnsi="Arial"/>
          <w:sz w:val="13"/>
          <w:szCs w:val="13"/>
          <w:b w:val="1"/>
          <w:bCs w:val="1"/>
          <w:u w:val="single" w:color="auto"/>
          <w:color w:val="auto"/>
        </w:rPr>
        <w:t>Titles and Headings</w:t>
      </w:r>
      <w:r>
        <w:rPr>
          <w:rFonts w:ascii="Arial" w:cs="Arial" w:eastAsia="Arial" w:hAnsi="Arial"/>
          <w:sz w:val="13"/>
          <w:szCs w:val="13"/>
          <w:b w:val="1"/>
          <w:bCs w:val="1"/>
          <w:color w:val="auto"/>
        </w:rPr>
        <w:t xml:space="preserve">. </w:t>
      </w:r>
      <w:r>
        <w:rPr>
          <w:rFonts w:ascii="Arial" w:cs="Arial" w:eastAsia="Arial" w:hAnsi="Arial"/>
          <w:sz w:val="13"/>
          <w:szCs w:val="13"/>
          <w:color w:val="auto"/>
        </w:rPr>
        <w:t>The titles, captions and headings of this Exercise Agreement are included for ease of reference only and will be disregarded in interpreting or construing</w:t>
      </w:r>
      <w:r>
        <w:rPr>
          <w:rFonts w:ascii="Arial" w:cs="Arial" w:eastAsia="Arial" w:hAnsi="Arial"/>
          <w:sz w:val="13"/>
          <w:szCs w:val="13"/>
          <w:b w:val="1"/>
          <w:bCs w:val="1"/>
          <w:color w:val="auto"/>
        </w:rPr>
        <w:t xml:space="preserve"> </w:t>
      </w:r>
      <w:r>
        <w:rPr>
          <w:rFonts w:ascii="Arial" w:cs="Arial" w:eastAsia="Arial" w:hAnsi="Arial"/>
          <w:sz w:val="13"/>
          <w:szCs w:val="13"/>
          <w:color w:val="auto"/>
        </w:rPr>
        <w:t>this Exercise Agreement. Unless otherwise specifically stated, all references herein to “sections” and “exhibits” will mean “sections” and “exhibits” to this Exercise Agreement.</w:t>
      </w:r>
    </w:p>
    <w:p>
      <w:pPr>
        <w:spacing w:after="0" w:line="91" w:lineRule="exact"/>
        <w:rPr>
          <w:rFonts w:ascii="Arial" w:cs="Arial" w:eastAsia="Arial" w:hAnsi="Arial"/>
          <w:sz w:val="13"/>
          <w:szCs w:val="13"/>
          <w:b w:val="1"/>
          <w:bCs w:val="1"/>
          <w:color w:val="auto"/>
        </w:rPr>
      </w:pPr>
    </w:p>
    <w:p>
      <w:pPr>
        <w:ind w:firstLine="448"/>
        <w:spacing w:after="0" w:line="266" w:lineRule="auto"/>
        <w:tabs>
          <w:tab w:leader="none" w:pos="683" w:val="left"/>
        </w:tabs>
        <w:numPr>
          <w:ilvl w:val="0"/>
          <w:numId w:val="467"/>
        </w:numPr>
        <w:rPr>
          <w:rFonts w:ascii="Arial" w:cs="Arial" w:eastAsia="Arial" w:hAnsi="Arial"/>
          <w:sz w:val="15"/>
          <w:szCs w:val="15"/>
          <w:b w:val="1"/>
          <w:bCs w:val="1"/>
          <w:color w:val="auto"/>
        </w:rPr>
      </w:pPr>
      <w:r>
        <w:rPr>
          <w:rFonts w:ascii="Arial" w:cs="Arial" w:eastAsia="Arial" w:hAnsi="Arial"/>
          <w:sz w:val="15"/>
          <w:szCs w:val="15"/>
          <w:b w:val="1"/>
          <w:bCs w:val="1"/>
          <w:u w:val="single" w:color="auto"/>
          <w:color w:val="auto"/>
        </w:rPr>
        <w:t>Entire Agreement</w:t>
      </w:r>
      <w:r>
        <w:rPr>
          <w:rFonts w:ascii="Arial" w:cs="Arial" w:eastAsia="Arial" w:hAnsi="Arial"/>
          <w:sz w:val="15"/>
          <w:szCs w:val="15"/>
          <w:b w:val="1"/>
          <w:bCs w:val="1"/>
          <w:color w:val="auto"/>
        </w:rPr>
        <w:t xml:space="preserve">. </w:t>
      </w:r>
      <w:r>
        <w:rPr>
          <w:rFonts w:ascii="Arial" w:cs="Arial" w:eastAsia="Arial" w:hAnsi="Arial"/>
          <w:sz w:val="15"/>
          <w:szCs w:val="15"/>
          <w:color w:val="auto"/>
        </w:rPr>
        <w:t>The Plan, the Stock Option Agreement and this Exercise Agreement, together with all Exhibits thereto, constitute the entire agreement and understanding of</w:t>
      </w:r>
      <w:r>
        <w:rPr>
          <w:rFonts w:ascii="Arial" w:cs="Arial" w:eastAsia="Arial" w:hAnsi="Arial"/>
          <w:sz w:val="15"/>
          <w:szCs w:val="15"/>
          <w:b w:val="1"/>
          <w:bCs w:val="1"/>
          <w:color w:val="auto"/>
        </w:rPr>
        <w:t xml:space="preserve"> </w:t>
      </w:r>
      <w:r>
        <w:rPr>
          <w:rFonts w:ascii="Arial" w:cs="Arial" w:eastAsia="Arial" w:hAnsi="Arial"/>
          <w:sz w:val="15"/>
          <w:szCs w:val="15"/>
          <w:color w:val="auto"/>
        </w:rPr>
        <w:t>the parties with respect to the subject matter of this Exercise Agreement, and supersede all prior understandings and agreements, whether oral or written, between or among the parties hereto with respect to the specific subject matter hereof.</w:t>
      </w:r>
    </w:p>
    <w:p>
      <w:pPr>
        <w:spacing w:after="0" w:line="148" w:lineRule="exact"/>
        <w:rPr>
          <w:rFonts w:ascii="Arial" w:cs="Arial" w:eastAsia="Arial" w:hAnsi="Arial"/>
          <w:sz w:val="15"/>
          <w:szCs w:val="15"/>
          <w:b w:val="1"/>
          <w:bCs w:val="1"/>
          <w:color w:val="auto"/>
        </w:rPr>
      </w:pPr>
    </w:p>
    <w:p>
      <w:pPr>
        <w:ind w:right="200" w:firstLine="448"/>
        <w:spacing w:after="0" w:line="280" w:lineRule="auto"/>
        <w:tabs>
          <w:tab w:leader="none" w:pos="683" w:val="left"/>
        </w:tabs>
        <w:numPr>
          <w:ilvl w:val="0"/>
          <w:numId w:val="467"/>
        </w:numPr>
        <w:rPr>
          <w:rFonts w:ascii="Arial" w:cs="Arial" w:eastAsia="Arial" w:hAnsi="Arial"/>
          <w:sz w:val="15"/>
          <w:szCs w:val="15"/>
          <w:b w:val="1"/>
          <w:bCs w:val="1"/>
          <w:color w:val="auto"/>
        </w:rPr>
      </w:pPr>
      <w:r>
        <w:rPr>
          <w:rFonts w:ascii="Arial" w:cs="Arial" w:eastAsia="Arial" w:hAnsi="Arial"/>
          <w:sz w:val="15"/>
          <w:szCs w:val="15"/>
          <w:b w:val="1"/>
          <w:bCs w:val="1"/>
          <w:u w:val="single" w:color="auto"/>
          <w:color w:val="auto"/>
        </w:rPr>
        <w:t>Counterparts</w:t>
      </w:r>
      <w:r>
        <w:rPr>
          <w:rFonts w:ascii="Arial" w:cs="Arial" w:eastAsia="Arial" w:hAnsi="Arial"/>
          <w:sz w:val="15"/>
          <w:szCs w:val="15"/>
          <w:b w:val="1"/>
          <w:bCs w:val="1"/>
          <w:color w:val="auto"/>
        </w:rPr>
        <w:t xml:space="preserve">. </w:t>
      </w:r>
      <w:r>
        <w:rPr>
          <w:rFonts w:ascii="Arial" w:cs="Arial" w:eastAsia="Arial" w:hAnsi="Arial"/>
          <w:sz w:val="15"/>
          <w:szCs w:val="15"/>
          <w:color w:val="auto"/>
        </w:rPr>
        <w:t>This Exercise Agreement may be executed in any number of counterparts, each of which when so executed and delivered will be deemed an original, and all of</w:t>
      </w:r>
      <w:r>
        <w:rPr>
          <w:rFonts w:ascii="Arial" w:cs="Arial" w:eastAsia="Arial" w:hAnsi="Arial"/>
          <w:sz w:val="15"/>
          <w:szCs w:val="15"/>
          <w:b w:val="1"/>
          <w:bCs w:val="1"/>
          <w:color w:val="auto"/>
        </w:rPr>
        <w:t xml:space="preserve"> </w:t>
      </w:r>
      <w:r>
        <w:rPr>
          <w:rFonts w:ascii="Arial" w:cs="Arial" w:eastAsia="Arial" w:hAnsi="Arial"/>
          <w:sz w:val="15"/>
          <w:szCs w:val="15"/>
          <w:color w:val="auto"/>
        </w:rPr>
        <w:t>which together shall constitute one and the same agreement.</w:t>
      </w:r>
    </w:p>
    <w:p>
      <w:pPr>
        <w:spacing w:after="0" w:line="138" w:lineRule="exact"/>
        <w:rPr>
          <w:rFonts w:ascii="Arial" w:cs="Arial" w:eastAsia="Arial" w:hAnsi="Arial"/>
          <w:sz w:val="15"/>
          <w:szCs w:val="15"/>
          <w:b w:val="1"/>
          <w:bCs w:val="1"/>
          <w:color w:val="auto"/>
        </w:rPr>
      </w:pPr>
    </w:p>
    <w:p>
      <w:pPr>
        <w:ind w:right="20" w:firstLine="448"/>
        <w:spacing w:after="0" w:line="257" w:lineRule="auto"/>
        <w:tabs>
          <w:tab w:leader="none" w:pos="683" w:val="left"/>
        </w:tabs>
        <w:numPr>
          <w:ilvl w:val="0"/>
          <w:numId w:val="467"/>
        </w:numPr>
        <w:rPr>
          <w:rFonts w:ascii="Arial" w:cs="Arial" w:eastAsia="Arial" w:hAnsi="Arial"/>
          <w:sz w:val="15"/>
          <w:szCs w:val="15"/>
          <w:b w:val="1"/>
          <w:bCs w:val="1"/>
          <w:color w:val="auto"/>
        </w:rPr>
      </w:pPr>
      <w:r>
        <w:rPr>
          <w:rFonts w:ascii="Arial" w:cs="Arial" w:eastAsia="Arial" w:hAnsi="Arial"/>
          <w:sz w:val="15"/>
          <w:szCs w:val="15"/>
          <w:b w:val="1"/>
          <w:bCs w:val="1"/>
          <w:u w:val="single" w:color="auto"/>
          <w:color w:val="auto"/>
        </w:rPr>
        <w:t>Severability</w:t>
      </w:r>
      <w:r>
        <w:rPr>
          <w:rFonts w:ascii="Arial" w:cs="Arial" w:eastAsia="Arial" w:hAnsi="Arial"/>
          <w:sz w:val="15"/>
          <w:szCs w:val="15"/>
          <w:b w:val="1"/>
          <w:bCs w:val="1"/>
          <w:color w:val="auto"/>
        </w:rPr>
        <w:t xml:space="preserve">. </w:t>
      </w:r>
      <w:r>
        <w:rPr>
          <w:rFonts w:ascii="Arial" w:cs="Arial" w:eastAsia="Arial" w:hAnsi="Arial"/>
          <w:sz w:val="15"/>
          <w:szCs w:val="15"/>
          <w:color w:val="auto"/>
        </w:rPr>
        <w:t>If any provision of this Exercise Agreement is determined by any court or arbitrator of competent jurisdiction to be invalid, illegal or unenforceable in any respect,</w:t>
      </w:r>
      <w:r>
        <w:rPr>
          <w:rFonts w:ascii="Arial" w:cs="Arial" w:eastAsia="Arial" w:hAnsi="Arial"/>
          <w:sz w:val="15"/>
          <w:szCs w:val="15"/>
          <w:b w:val="1"/>
          <w:bCs w:val="1"/>
          <w:color w:val="auto"/>
        </w:rPr>
        <w:t xml:space="preserve"> </w:t>
      </w:r>
      <w:r>
        <w:rPr>
          <w:rFonts w:ascii="Arial" w:cs="Arial" w:eastAsia="Arial" w:hAnsi="Arial"/>
          <w:sz w:val="15"/>
          <w:szCs w:val="15"/>
          <w:color w:val="auto"/>
        </w:rPr>
        <w:t>such provision will be enforced to the maximum extent possible given the intent of the parties hereto. If such clause or provision cannot be so enforced, such provision shall be stricken from this Exercise Agreement and the remainder of this Exercise Agreement shall be enforced as if such invalid, illegal or unenforceable clause or provision had (to the extent not enforceable) never been contained in this Exercise Agreement. Notwithstanding the forgoing, if the value of this Exercise Agreement based upon the substantial benefit of the bargain for any party is materially impaired, which determination as made by the presiding court or arbitrator of competent jurisdiction shall be binding, then both parties agree to substitute such provision(s) through good faith negotiations.</w:t>
      </w:r>
    </w:p>
    <w:p>
      <w:pPr>
        <w:spacing w:after="0" w:line="154" w:lineRule="exact"/>
        <w:rPr>
          <w:rFonts w:ascii="Arial" w:cs="Arial" w:eastAsia="Arial" w:hAnsi="Arial"/>
          <w:sz w:val="15"/>
          <w:szCs w:val="15"/>
          <w:b w:val="1"/>
          <w:bCs w:val="1"/>
          <w:color w:val="auto"/>
        </w:rPr>
      </w:pPr>
    </w:p>
    <w:p>
      <w:pPr>
        <w:ind w:right="180" w:firstLine="448"/>
        <w:spacing w:after="0" w:line="280" w:lineRule="auto"/>
        <w:tabs>
          <w:tab w:leader="none" w:pos="683" w:val="left"/>
        </w:tabs>
        <w:numPr>
          <w:ilvl w:val="0"/>
          <w:numId w:val="467"/>
        </w:numPr>
        <w:rPr>
          <w:rFonts w:ascii="Arial" w:cs="Arial" w:eastAsia="Arial" w:hAnsi="Arial"/>
          <w:sz w:val="15"/>
          <w:szCs w:val="15"/>
          <w:b w:val="1"/>
          <w:bCs w:val="1"/>
          <w:color w:val="auto"/>
        </w:rPr>
      </w:pPr>
      <w:r>
        <w:rPr>
          <w:rFonts w:ascii="Arial" w:cs="Arial" w:eastAsia="Arial" w:hAnsi="Arial"/>
          <w:sz w:val="15"/>
          <w:szCs w:val="15"/>
          <w:b w:val="1"/>
          <w:bCs w:val="1"/>
          <w:u w:val="single" w:color="auto"/>
          <w:color w:val="auto"/>
        </w:rPr>
        <w:t>Facsimile Signatures</w:t>
      </w:r>
      <w:r>
        <w:rPr>
          <w:rFonts w:ascii="Arial" w:cs="Arial" w:eastAsia="Arial" w:hAnsi="Arial"/>
          <w:sz w:val="15"/>
          <w:szCs w:val="15"/>
          <w:b w:val="1"/>
          <w:bCs w:val="1"/>
          <w:color w:val="auto"/>
        </w:rPr>
        <w:t xml:space="preserve">. </w:t>
      </w:r>
      <w:r>
        <w:rPr>
          <w:rFonts w:ascii="Arial" w:cs="Arial" w:eastAsia="Arial" w:hAnsi="Arial"/>
          <w:sz w:val="15"/>
          <w:szCs w:val="15"/>
          <w:color w:val="auto"/>
        </w:rPr>
        <w:t>This Agreement may be executed and delivered by facsimile and upon such delivery the facsimile signature will be deemed to have the same effect as if</w:t>
      </w:r>
      <w:r>
        <w:rPr>
          <w:rFonts w:ascii="Arial" w:cs="Arial" w:eastAsia="Arial" w:hAnsi="Arial"/>
          <w:sz w:val="15"/>
          <w:szCs w:val="15"/>
          <w:b w:val="1"/>
          <w:bCs w:val="1"/>
          <w:color w:val="auto"/>
        </w:rPr>
        <w:t xml:space="preserve"> </w:t>
      </w:r>
      <w:r>
        <w:rPr>
          <w:rFonts w:ascii="Arial" w:cs="Arial" w:eastAsia="Arial" w:hAnsi="Arial"/>
          <w:sz w:val="15"/>
          <w:szCs w:val="15"/>
          <w:color w:val="auto"/>
        </w:rPr>
        <w:t>the original signature had been delivered to the other party.</w:t>
      </w:r>
    </w:p>
    <w:p>
      <w:pPr>
        <w:spacing w:after="0" w:line="87"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11</w:t>
      </w:r>
    </w:p>
    <w:p>
      <w:pPr>
        <w:sectPr>
          <w:pgSz w:w="11900" w:h="16838" w:orient="portrait"/>
          <w:cols w:equalWidth="0" w:num="1">
            <w:col w:w="11400"/>
          </w:cols>
          <w:pgMar w:left="240" w:top="253" w:right="259" w:bottom="1440" w:gutter="0" w:footer="0" w:header="0"/>
        </w:sectPr>
      </w:pPr>
    </w:p>
    <w:bookmarkStart w:id="491" w:name="page492"/>
    <w:bookmarkEnd w:id="491"/>
    <w:p>
      <w:pPr>
        <w:ind w:firstLine="458"/>
        <w:spacing w:after="0" w:line="275"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133350</wp:posOffset>
            </wp:positionH>
            <wp:positionV relativeFrom="page">
              <wp:posOffset>88900</wp:posOffset>
            </wp:positionV>
            <wp:extent cx="7308850" cy="34290"/>
            <wp:wrapNone/>
            <wp:docPr id="739" name="Picture 7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9"/>
                    <pic:cNvPicPr>
                      <a:picLocks noChangeAspect="1" noChangeArrowheads="1"/>
                    </pic:cNvPicPr>
                  </pic:nvPicPr>
                  <pic:blipFill>
                    <a:blip r:embed="rId776">
                      <a:extLst>
                        <a:ext uri="{28A0092B-C50C-407E-A947-70E740481C1C}"/>
                      </a:extLst>
                    </a:blip>
                    <a:srcRect/>
                    <a:stretch>
                      <a:fillRect/>
                    </a:stretch>
                  </pic:blipFill>
                  <pic:spPr bwMode="auto">
                    <a:xfrm>
                      <a:off x="0" y="0"/>
                      <a:ext cx="7308850" cy="34290"/>
                    </a:xfrm>
                    <a:prstGeom prst="rect">
                      <a:avLst/>
                    </a:prstGeom>
                    <a:noFill/>
                  </pic:spPr>
                </pic:pic>
              </a:graphicData>
            </a:graphic>
          </wp:anchor>
        </w:drawing>
        <w:t>IN WITNESS WHEREOF, the Company has caused this Exercise Agreement to be executed in triplicate by its duly authorized representative and Purchaser has executed this Exercise Agreement in triplicate as of the Effective Date, indicated above.</w:t>
      </w:r>
    </w:p>
    <w:p>
      <w:pPr>
        <w:spacing w:after="0" w:line="165" w:lineRule="exact"/>
        <w:rPr>
          <w:sz w:val="20"/>
          <w:szCs w:val="20"/>
          <w:color w:val="auto"/>
        </w:rPr>
      </w:pPr>
    </w:p>
    <w:p>
      <w:pPr>
        <w:spacing w:after="0"/>
        <w:tabs>
          <w:tab w:leader="none" w:pos="5960" w:val="left"/>
        </w:tabs>
        <w:rPr>
          <w:sz w:val="20"/>
          <w:szCs w:val="20"/>
          <w:color w:val="auto"/>
        </w:rPr>
      </w:pPr>
      <w:r>
        <w:rPr>
          <w:rFonts w:ascii="Arial" w:cs="Arial" w:eastAsia="Arial" w:hAnsi="Arial"/>
          <w:sz w:val="15"/>
          <w:szCs w:val="15"/>
          <w:b w:val="1"/>
          <w:bCs w:val="1"/>
          <w:color w:val="auto"/>
        </w:rPr>
        <w:t>DROPBOX, INC.</w:t>
      </w:r>
      <w:r>
        <w:rPr>
          <w:sz w:val="20"/>
          <w:szCs w:val="20"/>
          <w:color w:val="auto"/>
        </w:rPr>
        <w:tab/>
      </w:r>
      <w:r>
        <w:rPr>
          <w:rFonts w:ascii="Arial" w:cs="Arial" w:eastAsia="Arial" w:hAnsi="Arial"/>
          <w:sz w:val="14"/>
          <w:szCs w:val="14"/>
          <w:b w:val="1"/>
          <w:bCs w:val="1"/>
          <w:color w:val="auto"/>
        </w:rPr>
        <w:t>PURCHASER</w:t>
      </w:r>
    </w:p>
    <w:p>
      <w:pPr>
        <w:sectPr>
          <w:pgSz w:w="11900" w:h="16838" w:orient="portrait"/>
          <w:cols w:equalWidth="0" w:num="1">
            <w:col w:w="10940"/>
          </w:cols>
          <w:pgMar w:left="240" w:top="253" w:right="719" w:bottom="1440" w:gutter="0" w:footer="0" w:header="0"/>
        </w:sectPr>
      </w:pPr>
    </w:p>
    <w:p>
      <w:pPr>
        <w:spacing w:after="0" w:line="192" w:lineRule="exact"/>
        <w:rPr>
          <w:sz w:val="20"/>
          <w:szCs w:val="20"/>
          <w:color w:val="auto"/>
        </w:rPr>
      </w:pPr>
    </w:p>
    <w:p>
      <w:pPr>
        <w:spacing w:after="0"/>
        <w:rPr>
          <w:sz w:val="20"/>
          <w:szCs w:val="20"/>
          <w:color w:val="auto"/>
        </w:rPr>
      </w:pPr>
      <w:r>
        <w:rPr>
          <w:rFonts w:ascii="Arial" w:cs="Arial" w:eastAsia="Arial" w:hAnsi="Arial"/>
          <w:sz w:val="15"/>
          <w:szCs w:val="15"/>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222885</wp:posOffset>
            </wp:positionH>
            <wp:positionV relativeFrom="paragraph">
              <wp:posOffset>12065</wp:posOffset>
            </wp:positionV>
            <wp:extent cx="3122295" cy="6985"/>
            <wp:wrapNone/>
            <wp:docPr id="740" name="Picture 7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0"/>
                    <pic:cNvPicPr>
                      <a:picLocks noChangeAspect="1" noChangeArrowheads="1"/>
                    </pic:cNvPicPr>
                  </pic:nvPicPr>
                  <pic:blipFill>
                    <a:blip r:embed="rId777">
                      <a:extLst>
                        <a:ext uri="{28A0092B-C50C-407E-A947-70E740481C1C}"/>
                      </a:extLst>
                    </a:blip>
                    <a:srcRect/>
                    <a:stretch>
                      <a:fillRect/>
                    </a:stretch>
                  </pic:blipFill>
                  <pic:spPr bwMode="auto">
                    <a:xfrm>
                      <a:off x="0" y="0"/>
                      <a:ext cx="3122295" cy="6985"/>
                    </a:xfrm>
                    <a:prstGeom prst="rect">
                      <a:avLst/>
                    </a:prstGeom>
                    <a:noFill/>
                  </pic:spPr>
                </pic:pic>
              </a:graphicData>
            </a:graphic>
          </wp:anchor>
        </w:drawing>
      </w:r>
    </w:p>
    <w:p>
      <w:pPr>
        <w:spacing w:after="0" w:line="371" w:lineRule="exact"/>
        <w:rPr>
          <w:sz w:val="20"/>
          <w:szCs w:val="20"/>
          <w:color w:val="auto"/>
        </w:rPr>
      </w:pPr>
    </w:p>
    <w:p>
      <w:pPr>
        <w:spacing w:after="0"/>
        <w:rPr>
          <w:sz w:val="20"/>
          <w:szCs w:val="20"/>
          <w:color w:val="auto"/>
        </w:rPr>
      </w:pPr>
      <w:r>
        <w:rPr>
          <w:rFonts w:ascii="Arial" w:cs="Arial" w:eastAsia="Arial" w:hAnsi="Arial"/>
          <w:sz w:val="15"/>
          <w:szCs w:val="15"/>
          <w:color w:val="auto"/>
        </w:rPr>
        <w:t>Ramsey Homsany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12065</wp:posOffset>
            </wp:positionV>
            <wp:extent cx="3351530" cy="6985"/>
            <wp:wrapNone/>
            <wp:docPr id="741" name="Picture 7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1"/>
                    <pic:cNvPicPr>
                      <a:picLocks noChangeAspect="1" noChangeArrowheads="1"/>
                    </pic:cNvPicPr>
                  </pic:nvPicPr>
                  <pic:blipFill>
                    <a:blip r:embed="rId778">
                      <a:extLst>
                        <a:ext uri="{28A0092B-C50C-407E-A947-70E740481C1C}"/>
                      </a:extLst>
                    </a:blip>
                    <a:srcRect/>
                    <a:stretch>
                      <a:fillRect/>
                    </a:stretch>
                  </pic:blipFill>
                  <pic:spPr bwMode="auto">
                    <a:xfrm>
                      <a:off x="0" y="0"/>
                      <a:ext cx="3351530" cy="6985"/>
                    </a:xfrm>
                    <a:prstGeom prst="rect">
                      <a:avLst/>
                    </a:prstGeom>
                    <a:noFill/>
                  </pic:spPr>
                </pic:pic>
              </a:graphicData>
            </a:graphic>
          </wp:anchor>
        </w:drawing>
      </w:r>
    </w:p>
    <w:p>
      <w:pPr>
        <w:spacing w:after="0" w:line="11" w:lineRule="exact"/>
        <w:rPr>
          <w:sz w:val="20"/>
          <w:szCs w:val="20"/>
          <w:color w:val="auto"/>
        </w:rPr>
      </w:pPr>
    </w:p>
    <w:p>
      <w:pPr>
        <w:spacing w:after="0"/>
        <w:rPr>
          <w:sz w:val="20"/>
          <w:szCs w:val="20"/>
          <w:color w:val="auto"/>
        </w:rPr>
      </w:pPr>
      <w:r>
        <w:rPr>
          <w:rFonts w:ascii="Arial" w:cs="Arial" w:eastAsia="Arial" w:hAnsi="Arial"/>
          <w:sz w:val="15"/>
          <w:szCs w:val="15"/>
          <w:color w:val="auto"/>
        </w:rPr>
        <w:t>(Please print name)</w:t>
      </w:r>
    </w:p>
    <w:p>
      <w:pPr>
        <w:spacing w:after="0" w:line="188" w:lineRule="exact"/>
        <w:rPr>
          <w:sz w:val="20"/>
          <w:szCs w:val="20"/>
          <w:color w:val="auto"/>
        </w:rPr>
      </w:pPr>
    </w:p>
    <w:p>
      <w:pPr>
        <w:spacing w:after="0"/>
        <w:rPr>
          <w:sz w:val="20"/>
          <w:szCs w:val="20"/>
          <w:color w:val="auto"/>
        </w:rPr>
      </w:pPr>
      <w:r>
        <w:rPr>
          <w:rFonts w:ascii="Arial" w:cs="Arial" w:eastAsia="Arial" w:hAnsi="Arial"/>
          <w:sz w:val="15"/>
          <w:szCs w:val="15"/>
          <w:color w:val="auto"/>
        </w:rPr>
        <w:t>General Counsel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12065</wp:posOffset>
            </wp:positionV>
            <wp:extent cx="3351530" cy="6985"/>
            <wp:wrapNone/>
            <wp:docPr id="742" name="Picture 7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2"/>
                    <pic:cNvPicPr>
                      <a:picLocks noChangeAspect="1" noChangeArrowheads="1"/>
                    </pic:cNvPicPr>
                  </pic:nvPicPr>
                  <pic:blipFill>
                    <a:blip r:embed="rId779">
                      <a:extLst>
                        <a:ext uri="{28A0092B-C50C-407E-A947-70E740481C1C}"/>
                      </a:extLst>
                    </a:blip>
                    <a:srcRect/>
                    <a:stretch>
                      <a:fillRect/>
                    </a:stretch>
                  </pic:blipFill>
                  <pic:spPr bwMode="auto">
                    <a:xfrm>
                      <a:off x="0" y="0"/>
                      <a:ext cx="3351530" cy="6985"/>
                    </a:xfrm>
                    <a:prstGeom prst="rect">
                      <a:avLst/>
                    </a:prstGeom>
                    <a:noFill/>
                  </pic:spPr>
                </pic:pic>
              </a:graphicData>
            </a:graphic>
          </wp:anchor>
        </w:drawing>
      </w:r>
    </w:p>
    <w:p>
      <w:pPr>
        <w:spacing w:after="0" w:line="11" w:lineRule="exact"/>
        <w:rPr>
          <w:sz w:val="20"/>
          <w:szCs w:val="20"/>
          <w:color w:val="auto"/>
        </w:rPr>
      </w:pPr>
    </w:p>
    <w:p>
      <w:pPr>
        <w:spacing w:after="0"/>
        <w:rPr>
          <w:sz w:val="20"/>
          <w:szCs w:val="20"/>
          <w:color w:val="auto"/>
        </w:rPr>
      </w:pPr>
      <w:r>
        <w:rPr>
          <w:rFonts w:ascii="Arial" w:cs="Arial" w:eastAsia="Arial" w:hAnsi="Arial"/>
          <w:sz w:val="15"/>
          <w:szCs w:val="15"/>
          <w:color w:val="auto"/>
        </w:rPr>
        <w:t>(Please print title)</w:t>
      </w:r>
    </w:p>
    <w:p>
      <w:pPr>
        <w:spacing w:after="0" w:line="188" w:lineRule="exact"/>
        <w:rPr>
          <w:sz w:val="20"/>
          <w:szCs w:val="20"/>
          <w:color w:val="auto"/>
        </w:rPr>
      </w:pPr>
    </w:p>
    <w:p>
      <w:pPr>
        <w:spacing w:after="0"/>
        <w:rPr>
          <w:sz w:val="20"/>
          <w:szCs w:val="20"/>
          <w:color w:val="auto"/>
        </w:rPr>
      </w:pPr>
      <w:r>
        <w:rPr>
          <w:rFonts w:ascii="Arial" w:cs="Arial" w:eastAsia="Arial" w:hAnsi="Arial"/>
          <w:sz w:val="15"/>
          <w:szCs w:val="15"/>
          <w:color w:val="auto"/>
        </w:rPr>
        <w:t>Address:</w:t>
      </w:r>
    </w:p>
    <w:p>
      <w:pPr>
        <w:spacing w:after="0" w:line="188" w:lineRule="exact"/>
        <w:rPr>
          <w:sz w:val="20"/>
          <w:szCs w:val="20"/>
          <w:color w:val="auto"/>
        </w:rPr>
      </w:pPr>
    </w:p>
    <w:p>
      <w:pPr>
        <w:spacing w:after="0"/>
        <w:rPr>
          <w:sz w:val="20"/>
          <w:szCs w:val="20"/>
          <w:color w:val="auto"/>
        </w:rPr>
      </w:pPr>
      <w:r>
        <w:rPr>
          <w:rFonts w:ascii="Arial" w:cs="Arial" w:eastAsia="Arial" w:hAnsi="Arial"/>
          <w:sz w:val="13"/>
          <w:szCs w:val="13"/>
          <w:color w:val="auto"/>
        </w:rPr>
        <w:t>185 Berry Street, Suite 400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26670</wp:posOffset>
            </wp:positionV>
            <wp:extent cx="3351530" cy="6985"/>
            <wp:wrapNone/>
            <wp:docPr id="743" name="Picture 7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3"/>
                    <pic:cNvPicPr>
                      <a:picLocks noChangeAspect="1" noChangeArrowheads="1"/>
                    </pic:cNvPicPr>
                  </pic:nvPicPr>
                  <pic:blipFill>
                    <a:blip r:embed="rId780">
                      <a:extLst>
                        <a:ext uri="{28A0092B-C50C-407E-A947-70E740481C1C}"/>
                      </a:extLst>
                    </a:blip>
                    <a:srcRect/>
                    <a:stretch>
                      <a:fillRect/>
                    </a:stretch>
                  </pic:blipFill>
                  <pic:spPr bwMode="auto">
                    <a:xfrm>
                      <a:off x="0" y="0"/>
                      <a:ext cx="3351530" cy="6985"/>
                    </a:xfrm>
                    <a:prstGeom prst="rect">
                      <a:avLst/>
                    </a:prstGeom>
                    <a:noFill/>
                  </pic:spPr>
                </pic:pic>
              </a:graphicData>
            </a:graphic>
          </wp:anchor>
        </w:drawing>
      </w:r>
    </w:p>
    <w:p>
      <w:pPr>
        <w:spacing w:after="0" w:line="214" w:lineRule="exact"/>
        <w:rPr>
          <w:sz w:val="20"/>
          <w:szCs w:val="20"/>
          <w:color w:val="auto"/>
        </w:rPr>
      </w:pPr>
    </w:p>
    <w:p>
      <w:pPr>
        <w:spacing w:after="0"/>
        <w:rPr>
          <w:sz w:val="20"/>
          <w:szCs w:val="20"/>
          <w:color w:val="auto"/>
        </w:rPr>
      </w:pPr>
      <w:r>
        <w:rPr>
          <w:rFonts w:ascii="Arial" w:cs="Arial" w:eastAsia="Arial" w:hAnsi="Arial"/>
          <w:sz w:val="14"/>
          <w:szCs w:val="14"/>
          <w:color w:val="auto"/>
        </w:rPr>
        <w:t>San Francisco, CA 94104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19050</wp:posOffset>
            </wp:positionV>
            <wp:extent cx="3351530" cy="6985"/>
            <wp:wrapNone/>
            <wp:docPr id="744" name="Picture 7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4"/>
                    <pic:cNvPicPr>
                      <a:picLocks noChangeAspect="1" noChangeArrowheads="1"/>
                    </pic:cNvPicPr>
                  </pic:nvPicPr>
                  <pic:blipFill>
                    <a:blip r:embed="rId781">
                      <a:extLst>
                        <a:ext uri="{28A0092B-C50C-407E-A947-70E740481C1C}"/>
                      </a:extLst>
                    </a:blip>
                    <a:srcRect/>
                    <a:stretch>
                      <a:fillRect/>
                    </a:stretch>
                  </pic:blipFill>
                  <pic:spPr bwMode="auto">
                    <a:xfrm>
                      <a:off x="0" y="0"/>
                      <a:ext cx="3351530" cy="698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75" w:lineRule="exact"/>
        <w:rPr>
          <w:sz w:val="20"/>
          <w:szCs w:val="20"/>
          <w:color w:val="auto"/>
        </w:rPr>
      </w:pPr>
    </w:p>
    <w:p>
      <w:pPr>
        <w:spacing w:after="0"/>
        <w:rPr>
          <w:sz w:val="20"/>
          <w:szCs w:val="20"/>
          <w:color w:val="auto"/>
        </w:rPr>
      </w:pPr>
      <w:r>
        <w:rPr>
          <w:rFonts w:ascii="Arial" w:cs="Arial" w:eastAsia="Arial" w:hAnsi="Arial"/>
          <w:sz w:val="15"/>
          <w:szCs w:val="15"/>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-116205</wp:posOffset>
            </wp:positionV>
            <wp:extent cx="3416300" cy="6985"/>
            <wp:wrapNone/>
            <wp:docPr id="745" name="Picture 7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5"/>
                    <pic:cNvPicPr>
                      <a:picLocks noChangeAspect="1" noChangeArrowheads="1"/>
                    </pic:cNvPicPr>
                  </pic:nvPicPr>
                  <pic:blipFill>
                    <a:blip r:embed="rId782">
                      <a:extLst>
                        <a:ext uri="{28A0092B-C50C-407E-A947-70E740481C1C}"/>
                      </a:extLst>
                    </a:blip>
                    <a:srcRect/>
                    <a:stretch>
                      <a:fillRect/>
                    </a:stretch>
                  </pic:blipFill>
                  <pic:spPr bwMode="auto">
                    <a:xfrm>
                      <a:off x="0" y="0"/>
                      <a:ext cx="3416300" cy="6985"/>
                    </a:xfrm>
                    <a:prstGeom prst="rect">
                      <a:avLst/>
                    </a:prstGeom>
                    <a:noFill/>
                  </pic:spPr>
                </pic:pic>
              </a:graphicData>
            </a:graphic>
          </wp:anchor>
        </w:drawing>
      </w:r>
    </w:p>
    <w:p>
      <w:pPr>
        <w:spacing w:after="0" w:line="168" w:lineRule="exact"/>
        <w:rPr>
          <w:sz w:val="20"/>
          <w:szCs w:val="20"/>
          <w:color w:val="auto"/>
        </w:rPr>
      </w:pPr>
    </w:p>
    <w:p>
      <w:pPr>
        <w:spacing w:after="0"/>
        <w:rPr>
          <w:sz w:val="20"/>
          <w:szCs w:val="20"/>
          <w:color w:val="auto"/>
        </w:rPr>
      </w:pPr>
      <w:r>
        <w:rPr>
          <w:rFonts w:ascii="Arial" w:cs="Arial" w:eastAsia="Arial" w:hAnsi="Arial"/>
          <w:sz w:val="15"/>
          <w:szCs w:val="15"/>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12065</wp:posOffset>
            </wp:positionV>
            <wp:extent cx="3416300" cy="6985"/>
            <wp:wrapNone/>
            <wp:docPr id="746" name="Picture 7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6"/>
                    <pic:cNvPicPr>
                      <a:picLocks noChangeAspect="1" noChangeArrowheads="1"/>
                    </pic:cNvPicPr>
                  </pic:nvPicPr>
                  <pic:blipFill>
                    <a:blip r:embed="rId783">
                      <a:extLst>
                        <a:ext uri="{28A0092B-C50C-407E-A947-70E740481C1C}"/>
                      </a:extLst>
                    </a:blip>
                    <a:srcRect/>
                    <a:stretch>
                      <a:fillRect/>
                    </a:stretch>
                  </pic:blipFill>
                  <pic:spPr bwMode="auto">
                    <a:xfrm>
                      <a:off x="0" y="0"/>
                      <a:ext cx="3416300" cy="6985"/>
                    </a:xfrm>
                    <a:prstGeom prst="rect">
                      <a:avLst/>
                    </a:prstGeom>
                    <a:noFill/>
                  </pic:spPr>
                </pic:pic>
              </a:graphicData>
            </a:graphic>
          </wp:anchor>
        </w:drawing>
      </w:r>
    </w:p>
    <w:p>
      <w:pPr>
        <w:spacing w:after="0" w:line="11" w:lineRule="exact"/>
        <w:rPr>
          <w:sz w:val="20"/>
          <w:szCs w:val="20"/>
          <w:color w:val="auto"/>
        </w:rPr>
      </w:pPr>
    </w:p>
    <w:p>
      <w:pPr>
        <w:spacing w:after="0"/>
        <w:rPr>
          <w:sz w:val="20"/>
          <w:szCs w:val="20"/>
          <w:color w:val="auto"/>
        </w:rPr>
      </w:pPr>
      <w:r>
        <w:rPr>
          <w:rFonts w:ascii="Arial" w:cs="Arial" w:eastAsia="Arial" w:hAnsi="Arial"/>
          <w:sz w:val="13"/>
          <w:szCs w:val="13"/>
          <w:color w:val="auto"/>
        </w:rPr>
        <w:t>(Please print name)</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ind w:right="4340"/>
        <w:spacing w:after="0"/>
        <w:rPr>
          <w:sz w:val="20"/>
          <w:szCs w:val="20"/>
          <w:color w:val="auto"/>
        </w:rPr>
      </w:pPr>
      <w:r>
        <w:rPr>
          <w:rFonts w:ascii="Arial" w:cs="Arial" w:eastAsia="Arial" w:hAnsi="Arial"/>
          <w:sz w:val="13"/>
          <w:szCs w:val="13"/>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255270</wp:posOffset>
            </wp:positionV>
            <wp:extent cx="3416300" cy="6985"/>
            <wp:wrapNone/>
            <wp:docPr id="747" name="Picture 7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7"/>
                    <pic:cNvPicPr>
                      <a:picLocks noChangeAspect="1" noChangeArrowheads="1"/>
                    </pic:cNvPicPr>
                  </pic:nvPicPr>
                  <pic:blipFill>
                    <a:blip r:embed="rId784">
                      <a:extLst>
                        <a:ext uri="{28A0092B-C50C-407E-A947-70E740481C1C}"/>
                      </a:extLst>
                    </a:blip>
                    <a:srcRect/>
                    <a:stretch>
                      <a:fillRect/>
                    </a:stretch>
                  </pic:blipFill>
                  <pic:spPr bwMode="auto">
                    <a:xfrm>
                      <a:off x="0" y="0"/>
                      <a:ext cx="3416300" cy="698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499110</wp:posOffset>
            </wp:positionV>
            <wp:extent cx="3416300" cy="6985"/>
            <wp:wrapNone/>
            <wp:docPr id="748" name="Picture 7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8"/>
                    <pic:cNvPicPr>
                      <a:picLocks noChangeAspect="1" noChangeArrowheads="1"/>
                    </pic:cNvPicPr>
                  </pic:nvPicPr>
                  <pic:blipFill>
                    <a:blip r:embed="rId785">
                      <a:extLst>
                        <a:ext uri="{28A0092B-C50C-407E-A947-70E740481C1C}"/>
                      </a:extLst>
                    </a:blip>
                    <a:srcRect/>
                    <a:stretch>
                      <a:fillRect/>
                    </a:stretch>
                  </pic:blipFill>
                  <pic:spPr bwMode="auto">
                    <a:xfrm>
                      <a:off x="0" y="0"/>
                      <a:ext cx="3416300" cy="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Arial" w:cs="Arial" w:eastAsia="Arial" w:hAnsi="Arial"/>
          <w:sz w:val="15"/>
          <w:szCs w:val="15"/>
          <w:color w:val="auto"/>
        </w:rPr>
        <w:t>Email: «Email»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276860</wp:posOffset>
            </wp:positionH>
            <wp:positionV relativeFrom="paragraph">
              <wp:posOffset>-8890</wp:posOffset>
            </wp:positionV>
            <wp:extent cx="2208530" cy="6985"/>
            <wp:wrapNone/>
            <wp:docPr id="749" name="Picture 7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9"/>
                    <pic:cNvPicPr>
                      <a:picLocks noChangeAspect="1" noChangeArrowheads="1"/>
                    </pic:cNvPicPr>
                  </pic:nvPicPr>
                  <pic:blipFill>
                    <a:blip r:embed="rId786">
                      <a:extLst>
                        <a:ext uri="{28A0092B-C50C-407E-A947-70E740481C1C}"/>
                      </a:extLst>
                    </a:blip>
                    <a:srcRect/>
                    <a:stretch>
                      <a:fillRect/>
                    </a:stretch>
                  </pic:blipFill>
                  <pic:spPr bwMode="auto">
                    <a:xfrm>
                      <a:off x="0" y="0"/>
                      <a:ext cx="2208530" cy="698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340" w:space="720"/>
            <w:col w:w="4880"/>
          </w:cols>
          <w:pgMar w:left="240" w:top="253" w:right="719" w:bottom="1440" w:gutter="0" w:footer="0" w:header="0"/>
          <w:type w:val="continuous"/>
        </w:sectPr>
      </w:pPr>
    </w:p>
    <w:p>
      <w:pPr>
        <w:spacing w:after="0" w:line="11" w:lineRule="exact"/>
        <w:rPr>
          <w:sz w:val="20"/>
          <w:szCs w:val="20"/>
          <w:color w:val="auto"/>
        </w:rPr>
      </w:pPr>
    </w:p>
    <w:p>
      <w:pPr>
        <w:spacing w:after="0"/>
        <w:tabs>
          <w:tab w:leader="none" w:pos="6040" w:val="left"/>
        </w:tabs>
        <w:rPr>
          <w:sz w:val="20"/>
          <w:szCs w:val="20"/>
          <w:color w:val="auto"/>
        </w:rPr>
      </w:pPr>
      <w:r>
        <w:rPr>
          <w:rFonts w:ascii="Arial" w:cs="Arial" w:eastAsia="Arial" w:hAnsi="Arial"/>
          <w:sz w:val="15"/>
          <w:szCs w:val="15"/>
          <w:color w:val="auto"/>
        </w:rPr>
        <w:t>Phone No.:</w:t>
      </w:r>
      <w:r>
        <w:rPr>
          <w:sz w:val="20"/>
          <w:szCs w:val="20"/>
          <w:color w:val="auto"/>
        </w:rPr>
        <w:tab/>
      </w:r>
      <w:r>
        <w:rPr>
          <w:rFonts w:ascii="Arial" w:cs="Arial" w:eastAsia="Arial" w:hAnsi="Arial"/>
          <w:sz w:val="13"/>
          <w:szCs w:val="13"/>
          <w:color w:val="auto"/>
        </w:rPr>
        <w:t>Phone 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659765</wp:posOffset>
            </wp:positionH>
            <wp:positionV relativeFrom="paragraph">
              <wp:posOffset>-8890</wp:posOffset>
            </wp:positionV>
            <wp:extent cx="5668645" cy="14605"/>
            <wp:wrapNone/>
            <wp:docPr id="750" name="Picture 7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0"/>
                    <pic:cNvPicPr>
                      <a:picLocks noChangeAspect="1" noChangeArrowheads="1"/>
                    </pic:cNvPicPr>
                  </pic:nvPicPr>
                  <pic:blipFill>
                    <a:blip r:embed="rId787">
                      <a:extLst>
                        <a:ext uri="{28A0092B-C50C-407E-A947-70E740481C1C}"/>
                      </a:extLst>
                    </a:blip>
                    <a:srcRect/>
                    <a:stretch>
                      <a:fillRect/>
                    </a:stretch>
                  </pic:blipFill>
                  <pic:spPr bwMode="auto">
                    <a:xfrm>
                      <a:off x="0" y="0"/>
                      <a:ext cx="5668645" cy="14605"/>
                    </a:xfrm>
                    <a:prstGeom prst="rect">
                      <a:avLst/>
                    </a:prstGeom>
                    <a:noFill/>
                  </pic:spPr>
                </pic:pic>
              </a:graphicData>
            </a:graphic>
          </wp:anchor>
        </w:drawing>
      </w:r>
    </w:p>
    <w:p>
      <w:pPr>
        <w:spacing w:after="0" w:line="255" w:lineRule="exact"/>
        <w:rPr>
          <w:sz w:val="20"/>
          <w:szCs w:val="20"/>
          <w:color w:val="auto"/>
        </w:rPr>
      </w:pPr>
    </w:p>
    <w:p>
      <w:pPr>
        <w:spacing w:after="0"/>
        <w:rPr>
          <w:sz w:val="20"/>
          <w:szCs w:val="20"/>
          <w:color w:val="auto"/>
        </w:rPr>
      </w:pPr>
      <w:r>
        <w:rPr>
          <w:rFonts w:ascii="Arial" w:cs="Arial" w:eastAsia="Arial" w:hAnsi="Arial"/>
          <w:sz w:val="15"/>
          <w:szCs w:val="15"/>
          <w:b w:val="1"/>
          <w:bCs w:val="1"/>
          <w:u w:val="single" w:color="auto"/>
          <w:color w:val="auto"/>
        </w:rPr>
        <w:t>List of Exhibits</w:t>
      </w:r>
    </w:p>
    <w:p>
      <w:pPr>
        <w:spacing w:after="0" w:line="113" w:lineRule="exact"/>
        <w:rPr>
          <w:sz w:val="20"/>
          <w:szCs w:val="20"/>
          <w:color w:val="auto"/>
        </w:rPr>
      </w:pPr>
    </w:p>
    <w:p>
      <w:pPr>
        <w:spacing w:after="0"/>
        <w:tabs>
          <w:tab w:leader="none" w:pos="1240" w:val="left"/>
        </w:tabs>
        <w:rPr>
          <w:sz w:val="20"/>
          <w:szCs w:val="20"/>
          <w:color w:val="auto"/>
        </w:rPr>
      </w:pPr>
      <w:r>
        <w:rPr>
          <w:rFonts w:ascii="Arial" w:cs="Arial" w:eastAsia="Arial" w:hAnsi="Arial"/>
          <w:sz w:val="15"/>
          <w:szCs w:val="15"/>
          <w:color w:val="auto"/>
        </w:rPr>
        <w:t>Exhibit 1:</w:t>
      </w:r>
      <w:r>
        <w:rPr>
          <w:sz w:val="20"/>
          <w:szCs w:val="20"/>
          <w:color w:val="auto"/>
        </w:rPr>
        <w:tab/>
      </w:r>
      <w:r>
        <w:rPr>
          <w:rFonts w:ascii="Arial" w:cs="Arial" w:eastAsia="Arial" w:hAnsi="Arial"/>
          <w:sz w:val="13"/>
          <w:szCs w:val="13"/>
          <w:color w:val="auto"/>
        </w:rPr>
        <w:t>Stock Power and Assignment Separate from Stock Certificate</w:t>
      </w:r>
    </w:p>
    <w:p>
      <w:pPr>
        <w:spacing w:after="0" w:line="17" w:lineRule="exact"/>
        <w:rPr>
          <w:sz w:val="20"/>
          <w:szCs w:val="20"/>
          <w:color w:val="auto"/>
        </w:rPr>
      </w:pPr>
    </w:p>
    <w:p>
      <w:pPr>
        <w:spacing w:after="0"/>
        <w:tabs>
          <w:tab w:leader="none" w:pos="1240" w:val="left"/>
        </w:tabs>
        <w:rPr>
          <w:sz w:val="20"/>
          <w:szCs w:val="20"/>
          <w:color w:val="auto"/>
        </w:rPr>
      </w:pPr>
      <w:r>
        <w:rPr>
          <w:rFonts w:ascii="Arial" w:cs="Arial" w:eastAsia="Arial" w:hAnsi="Arial"/>
          <w:sz w:val="15"/>
          <w:szCs w:val="15"/>
          <w:color w:val="auto"/>
        </w:rPr>
        <w:t>Exhibit 2:</w:t>
      </w:r>
      <w:r>
        <w:rPr>
          <w:sz w:val="20"/>
          <w:szCs w:val="20"/>
          <w:color w:val="auto"/>
        </w:rPr>
        <w:tab/>
      </w:r>
      <w:r>
        <w:rPr>
          <w:rFonts w:ascii="Arial" w:cs="Arial" w:eastAsia="Arial" w:hAnsi="Arial"/>
          <w:sz w:val="13"/>
          <w:szCs w:val="13"/>
          <w:color w:val="auto"/>
        </w:rPr>
        <w:t>Copy of Purchaser’s Check</w:t>
      </w:r>
    </w:p>
    <w:p>
      <w:pPr>
        <w:spacing w:after="0" w:line="119" w:lineRule="exact"/>
        <w:rPr>
          <w:sz w:val="20"/>
          <w:szCs w:val="20"/>
          <w:color w:val="auto"/>
        </w:rPr>
      </w:pPr>
    </w:p>
    <w:p>
      <w:pPr>
        <w:jc w:val="right"/>
        <w:ind w:right="3040"/>
        <w:spacing w:after="0"/>
        <w:rPr>
          <w:sz w:val="20"/>
          <w:szCs w:val="20"/>
          <w:color w:val="auto"/>
        </w:rPr>
      </w:pPr>
      <w:r>
        <w:rPr>
          <w:rFonts w:ascii="Arial" w:cs="Arial" w:eastAsia="Arial" w:hAnsi="Arial"/>
          <w:sz w:val="15"/>
          <w:szCs w:val="15"/>
          <w:b w:val="1"/>
          <w:bCs w:val="1"/>
          <w:color w:val="auto"/>
        </w:rPr>
        <w:t>[Signature page to Dropbox, Inc. Stock Option Exercise Agreement]</w:t>
      </w:r>
    </w:p>
    <w:p>
      <w:pPr>
        <w:sectPr>
          <w:pgSz w:w="11900" w:h="16838" w:orient="portrait"/>
          <w:cols w:equalWidth="0" w:num="1">
            <w:col w:w="10940"/>
          </w:cols>
          <w:pgMar w:left="240" w:top="253" w:right="719" w:bottom="1440" w:gutter="0" w:footer="0" w:header="0"/>
          <w:type w:val="continuous"/>
        </w:sectPr>
      </w:pPr>
    </w:p>
    <w:bookmarkStart w:id="492" w:name="page493"/>
    <w:bookmarkEnd w:id="492"/>
    <w:p>
      <w:pPr>
        <w:jc w:val="center"/>
        <w:spacing w:after="0"/>
        <w:rPr>
          <w:sz w:val="20"/>
          <w:szCs w:val="20"/>
          <w:color w:val="auto"/>
        </w:rPr>
      </w:pPr>
      <w:r>
        <w:rPr>
          <w:rFonts w:ascii="Arial" w:cs="Arial" w:eastAsia="Arial" w:hAnsi="Arial"/>
          <w:sz w:val="15"/>
          <w:szCs w:val="15"/>
          <w:b w:val="1"/>
          <w:bCs w:val="1"/>
          <w:u w:val="single" w:color="auto"/>
          <w:color w:val="auto"/>
        </w:rPr>
        <w:drawing>
          <wp:anchor simplePos="0" relativeHeight="251657728" behindDoc="1" locked="0" layoutInCell="0" allowOverlap="1">
            <wp:simplePos x="0" y="0"/>
            <wp:positionH relativeFrom="page">
              <wp:posOffset>133350</wp:posOffset>
            </wp:positionH>
            <wp:positionV relativeFrom="page">
              <wp:posOffset>88900</wp:posOffset>
            </wp:positionV>
            <wp:extent cx="7308850" cy="33655"/>
            <wp:wrapNone/>
            <wp:docPr id="751" name="Picture 7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1"/>
                    <pic:cNvPicPr>
                      <a:picLocks noChangeAspect="1" noChangeArrowheads="1"/>
                    </pic:cNvPicPr>
                  </pic:nvPicPr>
                  <pic:blipFill>
                    <a:blip r:embed="rId788">
                      <a:extLst>
                        <a:ext uri="{28A0092B-C50C-407E-A947-70E740481C1C}"/>
                      </a:extLst>
                    </a:blip>
                    <a:srcRect/>
                    <a:stretch>
                      <a:fillRect/>
                    </a:stretch>
                  </pic:blipFill>
                  <pic:spPr bwMode="auto">
                    <a:xfrm>
                      <a:off x="0" y="0"/>
                      <a:ext cx="7308850" cy="33655"/>
                    </a:xfrm>
                    <a:prstGeom prst="rect">
                      <a:avLst/>
                    </a:prstGeom>
                    <a:noFill/>
                  </pic:spPr>
                </pic:pic>
              </a:graphicData>
            </a:graphic>
          </wp:anchor>
        </w:drawing>
        <w:t>EXHIBIT 1</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5"/>
          <w:szCs w:val="15"/>
          <w:b w:val="1"/>
          <w:bCs w:val="1"/>
          <w:u w:val="single" w:color="auto"/>
          <w:color w:val="auto"/>
        </w:rPr>
        <w:t>STOCK POWER AND ASSIGNMENT</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4"/>
          <w:szCs w:val="14"/>
          <w:b w:val="1"/>
          <w:bCs w:val="1"/>
          <w:u w:val="single" w:color="auto"/>
          <w:color w:val="auto"/>
        </w:rPr>
        <w:t>SEPARATE FROM STOCK CERTIFICATE</w:t>
      </w:r>
    </w:p>
    <w:p>
      <w:pPr>
        <w:sectPr>
          <w:pgSz w:w="11900" w:h="16838" w:orient="portrait"/>
          <w:cols w:equalWidth="0" w:num="1">
            <w:col w:w="9019"/>
          </w:cols>
          <w:pgMar w:left="1440" w:top="248" w:right="1440" w:bottom="1440" w:gutter="0" w:footer="0" w:header="0"/>
        </w:sectPr>
      </w:pPr>
    </w:p>
    <w:bookmarkStart w:id="493" w:name="page494"/>
    <w:bookmarkEnd w:id="493"/>
    <w:p>
      <w:pPr>
        <w:jc w:val="center"/>
        <w:ind w:right="-19"/>
        <w:spacing w:after="0"/>
        <w:rPr>
          <w:sz w:val="20"/>
          <w:szCs w:val="20"/>
          <w:color w:val="auto"/>
        </w:rPr>
      </w:pPr>
      <w:r>
        <w:rPr>
          <w:rFonts w:ascii="Arial" w:cs="Arial" w:eastAsia="Arial" w:hAnsi="Arial"/>
          <w:sz w:val="15"/>
          <w:szCs w:val="15"/>
          <w:b w:val="1"/>
          <w:bCs w:val="1"/>
          <w:u w:val="single" w:color="auto"/>
          <w:color w:val="auto"/>
        </w:rPr>
        <w:drawing>
          <wp:anchor simplePos="0" relativeHeight="251657728" behindDoc="1" locked="0" layoutInCell="0" allowOverlap="1">
            <wp:simplePos x="0" y="0"/>
            <wp:positionH relativeFrom="page">
              <wp:posOffset>133350</wp:posOffset>
            </wp:positionH>
            <wp:positionV relativeFrom="page">
              <wp:posOffset>88900</wp:posOffset>
            </wp:positionV>
            <wp:extent cx="7308850" cy="34290"/>
            <wp:wrapNone/>
            <wp:docPr id="752" name="Picture 7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2"/>
                    <pic:cNvPicPr>
                      <a:picLocks noChangeAspect="1" noChangeArrowheads="1"/>
                    </pic:cNvPicPr>
                  </pic:nvPicPr>
                  <pic:blipFill>
                    <a:blip r:embed="rId789">
                      <a:extLst>
                        <a:ext uri="{28A0092B-C50C-407E-A947-70E740481C1C}"/>
                      </a:extLst>
                    </a:blip>
                    <a:srcRect/>
                    <a:stretch>
                      <a:fillRect/>
                    </a:stretch>
                  </pic:blipFill>
                  <pic:spPr bwMode="auto">
                    <a:xfrm>
                      <a:off x="0" y="0"/>
                      <a:ext cx="7308850" cy="34290"/>
                    </a:xfrm>
                    <a:prstGeom prst="rect">
                      <a:avLst/>
                    </a:prstGeom>
                    <a:noFill/>
                  </pic:spPr>
                </pic:pic>
              </a:graphicData>
            </a:graphic>
          </wp:anchor>
        </w:drawing>
        <w:t>Stock Power and Assignment</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u w:val="single" w:color="auto"/>
          <w:color w:val="auto"/>
        </w:rPr>
        <w:t>Separate from Stock Certificate</w:t>
      </w:r>
    </w:p>
    <w:p>
      <w:pPr>
        <w:spacing w:after="0" w:line="179" w:lineRule="exact"/>
        <w:rPr>
          <w:sz w:val="20"/>
          <w:szCs w:val="20"/>
          <w:color w:val="auto"/>
        </w:rPr>
      </w:pPr>
    </w:p>
    <w:p>
      <w:pPr>
        <w:jc w:val="both"/>
        <w:ind w:firstLine="458"/>
        <w:spacing w:after="0" w:line="273" w:lineRule="auto"/>
        <w:rPr>
          <w:sz w:val="20"/>
          <w:szCs w:val="20"/>
          <w:color w:val="auto"/>
        </w:rPr>
      </w:pPr>
      <w:r>
        <w:rPr>
          <w:rFonts w:ascii="Arial" w:cs="Arial" w:eastAsia="Arial" w:hAnsi="Arial"/>
          <w:sz w:val="14"/>
          <w:szCs w:val="14"/>
          <w:color w:val="auto"/>
        </w:rPr>
        <w:t>FOR VALUE RECEIVED and pursuant to that certain Stock Option Exercise Agreement No. «GrantNo» dated as of , (the “</w:t>
      </w:r>
      <w:r>
        <w:rPr>
          <w:rFonts w:ascii="Arial" w:cs="Arial" w:eastAsia="Arial" w:hAnsi="Arial"/>
          <w:sz w:val="14"/>
          <w:szCs w:val="14"/>
          <w:b w:val="1"/>
          <w:bCs w:val="1"/>
          <w:i w:val="1"/>
          <w:iCs w:val="1"/>
          <w:color w:val="auto"/>
        </w:rPr>
        <w:t>Agreement</w:t>
      </w:r>
      <w:r>
        <w:rPr>
          <w:rFonts w:ascii="Arial" w:cs="Arial" w:eastAsia="Arial" w:hAnsi="Arial"/>
          <w:sz w:val="14"/>
          <w:szCs w:val="14"/>
          <w:color w:val="auto"/>
        </w:rPr>
        <w:t>”), the undersigned hereby sells, assigns and transfers unto , shares of the Common Stock of Dropbox, Inc., a Delaware corporation (the “</w:t>
      </w:r>
      <w:r>
        <w:rPr>
          <w:rFonts w:ascii="Arial" w:cs="Arial" w:eastAsia="Arial" w:hAnsi="Arial"/>
          <w:sz w:val="14"/>
          <w:szCs w:val="14"/>
          <w:b w:val="1"/>
          <w:bCs w:val="1"/>
          <w:i w:val="1"/>
          <w:iCs w:val="1"/>
          <w:color w:val="auto"/>
        </w:rPr>
        <w:t>Company</w:t>
      </w:r>
      <w:r>
        <w:rPr>
          <w:rFonts w:ascii="Arial" w:cs="Arial" w:eastAsia="Arial" w:hAnsi="Arial"/>
          <w:sz w:val="14"/>
          <w:szCs w:val="14"/>
          <w:color w:val="auto"/>
        </w:rPr>
        <w:t>”), standing in the undersigned’s name on the books of the Company represented by book-entry record no(s). , and does hereby irrevocably constitute and appoint the Secretary of the Company as the undersigned’s attorney-in-fact, with full</w:t>
      </w:r>
    </w:p>
    <w:p>
      <w:pPr>
        <w:spacing w:after="0" w:line="1" w:lineRule="exact"/>
        <w:rPr>
          <w:sz w:val="20"/>
          <w:szCs w:val="20"/>
          <w:color w:val="auto"/>
        </w:rPr>
      </w:pPr>
    </w:p>
    <w:p>
      <w:pPr>
        <w:ind w:right="340"/>
        <w:spacing w:after="0" w:line="262" w:lineRule="auto"/>
        <w:rPr>
          <w:sz w:val="20"/>
          <w:szCs w:val="20"/>
          <w:color w:val="auto"/>
        </w:rPr>
      </w:pPr>
      <w:r>
        <w:rPr>
          <w:rFonts w:ascii="Arial" w:cs="Arial" w:eastAsia="Arial" w:hAnsi="Arial"/>
          <w:sz w:val="15"/>
          <w:szCs w:val="15"/>
          <w:color w:val="auto"/>
        </w:rPr>
        <w:t xml:space="preserve">power of substitution, to transfer said stock on the books of the Company. </w:t>
      </w:r>
      <w:r>
        <w:rPr>
          <w:rFonts w:ascii="Arial" w:cs="Arial" w:eastAsia="Arial" w:hAnsi="Arial"/>
          <w:sz w:val="15"/>
          <w:szCs w:val="15"/>
          <w:i w:val="1"/>
          <w:iCs w:val="1"/>
          <w:color w:val="auto"/>
        </w:rPr>
        <w:t>THIS ASSIGNMENT MAY ONLY BE USED AS AUTHORIZED BY THE AGREEMENT AND ANY EXHIBITS</w:t>
      </w:r>
      <w:r>
        <w:rPr>
          <w:rFonts w:ascii="Arial" w:cs="Arial" w:eastAsia="Arial" w:hAnsi="Arial"/>
          <w:sz w:val="15"/>
          <w:szCs w:val="15"/>
          <w:color w:val="auto"/>
        </w:rPr>
        <w:t xml:space="preserve"> </w:t>
      </w:r>
      <w:r>
        <w:rPr>
          <w:rFonts w:ascii="Arial" w:cs="Arial" w:eastAsia="Arial" w:hAnsi="Arial"/>
          <w:sz w:val="15"/>
          <w:szCs w:val="15"/>
          <w:i w:val="1"/>
          <w:iCs w:val="1"/>
          <w:color w:val="auto"/>
        </w:rPr>
        <w:t>THERETO.</w:t>
      </w:r>
    </w:p>
    <w:p>
      <w:pPr>
        <w:spacing w:after="0" w:line="155" w:lineRule="exact"/>
        <w:rPr>
          <w:sz w:val="20"/>
          <w:szCs w:val="20"/>
          <w:color w:val="auto"/>
        </w:rPr>
      </w:pPr>
    </w:p>
    <w:p>
      <w:pPr>
        <w:spacing w:after="0"/>
        <w:tabs>
          <w:tab w:leader="none" w:pos="1120" w:val="left"/>
        </w:tabs>
        <w:rPr>
          <w:sz w:val="20"/>
          <w:szCs w:val="20"/>
          <w:color w:val="auto"/>
        </w:rPr>
      </w:pPr>
      <w:r>
        <w:rPr>
          <w:rFonts w:ascii="Arial" w:cs="Arial" w:eastAsia="Arial" w:hAnsi="Arial"/>
          <w:sz w:val="15"/>
          <w:szCs w:val="15"/>
          <w:color w:val="auto"/>
        </w:rPr>
        <w:t>Dated:</w:t>
      </w:r>
      <w:r>
        <w:rPr>
          <w:sz w:val="20"/>
          <w:szCs w:val="20"/>
          <w:color w:val="auto"/>
        </w:rPr>
        <w:tab/>
      </w:r>
      <w:r>
        <w:rPr>
          <w:rFonts w:ascii="Arial" w:cs="Arial" w:eastAsia="Arial" w:hAnsi="Arial"/>
          <w:sz w:val="15"/>
          <w:szCs w:val="15"/>
          <w:color w:val="auto"/>
        </w:rPr>
        <w:t>,</w:t>
      </w:r>
    </w:p>
    <w:p>
      <w:pPr>
        <w:spacing w:after="0" w:line="207" w:lineRule="exact"/>
        <w:rPr>
          <w:sz w:val="20"/>
          <w:szCs w:val="20"/>
          <w:color w:val="auto"/>
        </w:rPr>
      </w:pPr>
    </w:p>
    <w:p>
      <w:pPr>
        <w:ind w:left="6860"/>
        <w:spacing w:after="0"/>
        <w:rPr>
          <w:sz w:val="20"/>
          <w:szCs w:val="20"/>
          <w:color w:val="auto"/>
        </w:rPr>
      </w:pPr>
      <w:r>
        <w:rPr>
          <w:rFonts w:ascii="Arial" w:cs="Arial" w:eastAsia="Arial" w:hAnsi="Arial"/>
          <w:sz w:val="15"/>
          <w:szCs w:val="15"/>
          <w:b w:val="1"/>
          <w:bCs w:val="1"/>
          <w:color w:val="auto"/>
        </w:rPr>
        <w:t>PURCHASER</w:t>
      </w:r>
    </w:p>
    <w:p>
      <w:pPr>
        <w:spacing w:after="0" w:line="192" w:lineRule="exact"/>
        <w:rPr>
          <w:sz w:val="20"/>
          <w:szCs w:val="20"/>
          <w:color w:val="auto"/>
        </w:rPr>
      </w:pPr>
    </w:p>
    <w:p>
      <w:pPr>
        <w:ind w:left="6860"/>
        <w:spacing w:after="0"/>
        <w:rPr>
          <w:sz w:val="20"/>
          <w:szCs w:val="20"/>
          <w:color w:val="auto"/>
        </w:rPr>
      </w:pPr>
      <w:r>
        <w:rPr>
          <w:rFonts w:ascii="Arial" w:cs="Arial" w:eastAsia="Arial" w:hAnsi="Arial"/>
          <w:sz w:val="15"/>
          <w:szCs w:val="15"/>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4355465</wp:posOffset>
            </wp:positionH>
            <wp:positionV relativeFrom="paragraph">
              <wp:posOffset>12065</wp:posOffset>
            </wp:positionV>
            <wp:extent cx="2907665" cy="6985"/>
            <wp:wrapNone/>
            <wp:docPr id="753" name="Picture 7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3"/>
                    <pic:cNvPicPr>
                      <a:picLocks noChangeAspect="1" noChangeArrowheads="1"/>
                    </pic:cNvPicPr>
                  </pic:nvPicPr>
                  <pic:blipFill>
                    <a:blip r:embed="rId790">
                      <a:extLst>
                        <a:ext uri="{28A0092B-C50C-407E-A947-70E740481C1C}"/>
                      </a:extLst>
                    </a:blip>
                    <a:srcRect/>
                    <a:stretch>
                      <a:fillRect/>
                    </a:stretch>
                  </pic:blipFill>
                  <pic:spPr bwMode="auto">
                    <a:xfrm>
                      <a:off x="0" y="0"/>
                      <a:ext cx="2907665" cy="6985"/>
                    </a:xfrm>
                    <a:prstGeom prst="rect">
                      <a:avLst/>
                    </a:prstGeom>
                    <a:noFill/>
                  </pic:spPr>
                </pic:pic>
              </a:graphicData>
            </a:graphic>
          </wp:anchor>
        </w:drawing>
      </w:r>
    </w:p>
    <w:p>
      <w:pPr>
        <w:spacing w:after="0" w:line="11" w:lineRule="exact"/>
        <w:rPr>
          <w:sz w:val="20"/>
          <w:szCs w:val="20"/>
          <w:color w:val="auto"/>
        </w:rPr>
      </w:pPr>
    </w:p>
    <w:p>
      <w:pPr>
        <w:ind w:left="6860"/>
        <w:spacing w:after="0"/>
        <w:rPr>
          <w:sz w:val="20"/>
          <w:szCs w:val="20"/>
          <w:color w:val="auto"/>
        </w:rPr>
      </w:pPr>
      <w:r>
        <w:rPr>
          <w:rFonts w:ascii="Arial" w:cs="Arial" w:eastAsia="Arial" w:hAnsi="Arial"/>
          <w:sz w:val="15"/>
          <w:szCs w:val="15"/>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4355465</wp:posOffset>
            </wp:positionH>
            <wp:positionV relativeFrom="paragraph">
              <wp:posOffset>240665</wp:posOffset>
            </wp:positionV>
            <wp:extent cx="2907665" cy="6985"/>
            <wp:wrapNone/>
            <wp:docPr id="754" name="Picture 7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4"/>
                    <pic:cNvPicPr>
                      <a:picLocks noChangeAspect="1" noChangeArrowheads="1"/>
                    </pic:cNvPicPr>
                  </pic:nvPicPr>
                  <pic:blipFill>
                    <a:blip r:embed="rId791">
                      <a:extLst>
                        <a:ext uri="{28A0092B-C50C-407E-A947-70E740481C1C}"/>
                      </a:extLst>
                    </a:blip>
                    <a:srcRect/>
                    <a:stretch>
                      <a:fillRect/>
                    </a:stretch>
                  </pic:blipFill>
                  <pic:spPr bwMode="auto">
                    <a:xfrm>
                      <a:off x="0" y="0"/>
                      <a:ext cx="2907665" cy="6985"/>
                    </a:xfrm>
                    <a:prstGeom prst="rect">
                      <a:avLst/>
                    </a:prstGeom>
                    <a:noFill/>
                  </pic:spPr>
                </pic:pic>
              </a:graphicData>
            </a:graphic>
          </wp:anchor>
        </w:drawing>
      </w:r>
    </w:p>
    <w:p>
      <w:pPr>
        <w:spacing w:after="0" w:line="371" w:lineRule="exact"/>
        <w:rPr>
          <w:sz w:val="20"/>
          <w:szCs w:val="20"/>
          <w:color w:val="auto"/>
        </w:rPr>
      </w:pPr>
    </w:p>
    <w:p>
      <w:pPr>
        <w:ind w:left="6860"/>
        <w:spacing w:after="0"/>
        <w:rPr>
          <w:sz w:val="20"/>
          <w:szCs w:val="20"/>
          <w:color w:val="auto"/>
        </w:rPr>
      </w:pPr>
      <w:r>
        <w:rPr>
          <w:rFonts w:ascii="Arial" w:cs="Arial" w:eastAsia="Arial" w:hAnsi="Arial"/>
          <w:sz w:val="15"/>
          <w:szCs w:val="15"/>
          <w:color w:val="auto"/>
        </w:rPr>
        <w:t>(Please Print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4355465</wp:posOffset>
            </wp:positionH>
            <wp:positionV relativeFrom="paragraph">
              <wp:posOffset>240665</wp:posOffset>
            </wp:positionV>
            <wp:extent cx="2907665" cy="6985"/>
            <wp:wrapNone/>
            <wp:docPr id="755" name="Picture 7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5"/>
                    <pic:cNvPicPr>
                      <a:picLocks noChangeAspect="1" noChangeArrowheads="1"/>
                    </pic:cNvPicPr>
                  </pic:nvPicPr>
                  <pic:blipFill>
                    <a:blip r:embed="rId792">
                      <a:extLst>
                        <a:ext uri="{28A0092B-C50C-407E-A947-70E740481C1C}"/>
                      </a:extLst>
                    </a:blip>
                    <a:srcRect/>
                    <a:stretch>
                      <a:fillRect/>
                    </a:stretch>
                  </pic:blipFill>
                  <pic:spPr bwMode="auto">
                    <a:xfrm>
                      <a:off x="0" y="0"/>
                      <a:ext cx="2907665" cy="6985"/>
                    </a:xfrm>
                    <a:prstGeom prst="rect">
                      <a:avLst/>
                    </a:prstGeom>
                    <a:noFill/>
                  </pic:spPr>
                </pic:pic>
              </a:graphicData>
            </a:graphic>
          </wp:anchor>
        </w:drawing>
      </w:r>
    </w:p>
    <w:p>
      <w:pPr>
        <w:spacing w:after="0" w:line="371" w:lineRule="exact"/>
        <w:rPr>
          <w:sz w:val="20"/>
          <w:szCs w:val="20"/>
          <w:color w:val="auto"/>
        </w:rPr>
      </w:pPr>
    </w:p>
    <w:p>
      <w:pPr>
        <w:ind w:left="6860"/>
        <w:spacing w:after="0"/>
        <w:rPr>
          <w:sz w:val="20"/>
          <w:szCs w:val="20"/>
          <w:color w:val="auto"/>
        </w:rPr>
      </w:pPr>
      <w:r>
        <w:rPr>
          <w:rFonts w:ascii="Arial" w:cs="Arial" w:eastAsia="Arial" w:hAnsi="Arial"/>
          <w:sz w:val="15"/>
          <w:szCs w:val="15"/>
          <w:color w:val="auto"/>
        </w:rPr>
        <w:t>(Spouse’s Signature, if 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4355465</wp:posOffset>
            </wp:positionH>
            <wp:positionV relativeFrom="paragraph">
              <wp:posOffset>240665</wp:posOffset>
            </wp:positionV>
            <wp:extent cx="2907665" cy="6985"/>
            <wp:wrapNone/>
            <wp:docPr id="756" name="Picture 7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6"/>
                    <pic:cNvPicPr>
                      <a:picLocks noChangeAspect="1" noChangeArrowheads="1"/>
                    </pic:cNvPicPr>
                  </pic:nvPicPr>
                  <pic:blipFill>
                    <a:blip r:embed="rId793">
                      <a:extLst>
                        <a:ext uri="{28A0092B-C50C-407E-A947-70E740481C1C}"/>
                      </a:extLst>
                    </a:blip>
                    <a:srcRect/>
                    <a:stretch>
                      <a:fillRect/>
                    </a:stretch>
                  </pic:blipFill>
                  <pic:spPr bwMode="auto">
                    <a:xfrm>
                      <a:off x="0" y="0"/>
                      <a:ext cx="2907665" cy="6985"/>
                    </a:xfrm>
                    <a:prstGeom prst="rect">
                      <a:avLst/>
                    </a:prstGeom>
                    <a:noFill/>
                  </pic:spPr>
                </pic:pic>
              </a:graphicData>
            </a:graphic>
          </wp:anchor>
        </w:drawing>
      </w:r>
    </w:p>
    <w:p>
      <w:pPr>
        <w:spacing w:after="0" w:line="371" w:lineRule="exact"/>
        <w:rPr>
          <w:sz w:val="20"/>
          <w:szCs w:val="20"/>
          <w:color w:val="auto"/>
        </w:rPr>
      </w:pPr>
    </w:p>
    <w:p>
      <w:pPr>
        <w:ind w:left="6860"/>
        <w:spacing w:after="0"/>
        <w:rPr>
          <w:sz w:val="20"/>
          <w:szCs w:val="20"/>
          <w:color w:val="auto"/>
        </w:rPr>
      </w:pPr>
      <w:r>
        <w:rPr>
          <w:rFonts w:ascii="Arial" w:cs="Arial" w:eastAsia="Arial" w:hAnsi="Arial"/>
          <w:sz w:val="15"/>
          <w:szCs w:val="15"/>
          <w:color w:val="auto"/>
        </w:rPr>
        <w:t>(Please Print Spouse’s Name)</w:t>
      </w:r>
    </w:p>
    <w:p>
      <w:pPr>
        <w:spacing w:after="0" w:line="184" w:lineRule="exact"/>
        <w:rPr>
          <w:sz w:val="20"/>
          <w:szCs w:val="20"/>
          <w:color w:val="auto"/>
        </w:rPr>
      </w:pPr>
    </w:p>
    <w:p>
      <w:pPr>
        <w:ind w:right="80"/>
        <w:spacing w:after="0" w:line="318" w:lineRule="auto"/>
        <w:rPr>
          <w:sz w:val="20"/>
          <w:szCs w:val="20"/>
          <w:color w:val="auto"/>
        </w:rPr>
      </w:pPr>
      <w:r>
        <w:rPr>
          <w:rFonts w:ascii="Arial" w:cs="Arial" w:eastAsia="Arial" w:hAnsi="Arial"/>
          <w:sz w:val="14"/>
          <w:szCs w:val="14"/>
          <w:b w:val="1"/>
          <w:bCs w:val="1"/>
          <w:u w:val="single" w:color="auto"/>
          <w:color w:val="auto"/>
        </w:rPr>
        <w:t>Instructions to Purchaser</w:t>
      </w:r>
      <w:r>
        <w:rPr>
          <w:rFonts w:ascii="Arial" w:cs="Arial" w:eastAsia="Arial" w:hAnsi="Arial"/>
          <w:sz w:val="14"/>
          <w:szCs w:val="14"/>
          <w:b w:val="1"/>
          <w:bCs w:val="1"/>
          <w:color w:val="auto"/>
        </w:rPr>
        <w:t xml:space="preserve">: </w:t>
      </w:r>
      <w:r>
        <w:rPr>
          <w:rFonts w:ascii="Arial" w:cs="Arial" w:eastAsia="Arial" w:hAnsi="Arial"/>
          <w:sz w:val="14"/>
          <w:szCs w:val="14"/>
          <w:color w:val="auto"/>
        </w:rPr>
        <w:t>Please do not fill in any blanks other than the signature line. The purpose of this Stock Power and Assignment is to enable the Company to acquire the shares to</w:t>
      </w:r>
      <w:r>
        <w:rPr>
          <w:rFonts w:ascii="Arial" w:cs="Arial" w:eastAsia="Arial" w:hAnsi="Arial"/>
          <w:sz w:val="14"/>
          <w:szCs w:val="14"/>
          <w:b w:val="1"/>
          <w:bCs w:val="1"/>
          <w:color w:val="auto"/>
        </w:rPr>
        <w:t xml:space="preserve"> </w:t>
      </w:r>
      <w:r>
        <w:rPr>
          <w:rFonts w:ascii="Arial" w:cs="Arial" w:eastAsia="Arial" w:hAnsi="Arial"/>
          <w:sz w:val="14"/>
          <w:szCs w:val="14"/>
          <w:color w:val="auto"/>
        </w:rPr>
        <w:t>exercise its “Right of First Refusal” set forth in the Exercise Agreement without requiring additional signatures on the part of the Purchaser or Purchaser’s Spouse.</w:t>
      </w:r>
    </w:p>
    <w:p>
      <w:pPr>
        <w:sectPr>
          <w:pgSz w:w="11900" w:h="16838" w:orient="portrait"/>
          <w:cols w:equalWidth="0" w:num="1">
            <w:col w:w="11400"/>
          </w:cols>
          <w:pgMar w:left="240" w:top="249" w:right="259" w:bottom="1440" w:gutter="0" w:footer="0" w:header="0"/>
        </w:sectPr>
      </w:pPr>
    </w:p>
    <w:bookmarkStart w:id="494" w:name="page495"/>
    <w:bookmarkEnd w:id="494"/>
    <w:p>
      <w:pPr>
        <w:jc w:val="center"/>
        <w:ind w:right="-20"/>
        <w:spacing w:after="0"/>
        <w:rPr>
          <w:sz w:val="20"/>
          <w:szCs w:val="20"/>
          <w:color w:val="auto"/>
        </w:rPr>
      </w:pPr>
      <w:r>
        <w:rPr>
          <w:rFonts w:ascii="Arial" w:cs="Arial" w:eastAsia="Arial" w:hAnsi="Arial"/>
          <w:sz w:val="15"/>
          <w:szCs w:val="15"/>
          <w:b w:val="1"/>
          <w:bCs w:val="1"/>
          <w:u w:val="single" w:color="auto"/>
          <w:color w:val="auto"/>
        </w:rPr>
        <w:drawing>
          <wp:anchor simplePos="0" relativeHeight="251657728" behindDoc="1" locked="0" layoutInCell="0" allowOverlap="1">
            <wp:simplePos x="0" y="0"/>
            <wp:positionH relativeFrom="page">
              <wp:posOffset>133350</wp:posOffset>
            </wp:positionH>
            <wp:positionV relativeFrom="page">
              <wp:posOffset>88900</wp:posOffset>
            </wp:positionV>
            <wp:extent cx="7308850" cy="34290"/>
            <wp:wrapNone/>
            <wp:docPr id="757" name="Picture 7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7"/>
                    <pic:cNvPicPr>
                      <a:picLocks noChangeAspect="1" noChangeArrowheads="1"/>
                    </pic:cNvPicPr>
                  </pic:nvPicPr>
                  <pic:blipFill>
                    <a:blip r:embed="rId794">
                      <a:extLst>
                        <a:ext uri="{28A0092B-C50C-407E-A947-70E740481C1C}"/>
                      </a:extLst>
                    </a:blip>
                    <a:srcRect/>
                    <a:stretch>
                      <a:fillRect/>
                    </a:stretch>
                  </pic:blipFill>
                  <pic:spPr bwMode="auto">
                    <a:xfrm>
                      <a:off x="0" y="0"/>
                      <a:ext cx="7308850" cy="34290"/>
                    </a:xfrm>
                    <a:prstGeom prst="rect">
                      <a:avLst/>
                    </a:prstGeom>
                    <a:noFill/>
                  </pic:spPr>
                </pic:pic>
              </a:graphicData>
            </a:graphic>
          </wp:anchor>
        </w:drawing>
        <w:t>EXHIBIT 2</w:t>
      </w:r>
    </w:p>
    <w:p>
      <w:pPr>
        <w:spacing w:after="0" w:line="188" w:lineRule="exact"/>
        <w:rPr>
          <w:sz w:val="20"/>
          <w:szCs w:val="20"/>
          <w:color w:val="auto"/>
        </w:rPr>
      </w:pPr>
    </w:p>
    <w:p>
      <w:pPr>
        <w:jc w:val="center"/>
        <w:ind w:right="-20"/>
        <w:spacing w:after="0"/>
        <w:rPr>
          <w:sz w:val="20"/>
          <w:szCs w:val="20"/>
          <w:color w:val="auto"/>
        </w:rPr>
      </w:pPr>
      <w:r>
        <w:rPr>
          <w:rFonts w:ascii="Arial" w:cs="Arial" w:eastAsia="Arial" w:hAnsi="Arial"/>
          <w:sz w:val="14"/>
          <w:szCs w:val="14"/>
          <w:b w:val="1"/>
          <w:bCs w:val="1"/>
          <w:u w:val="single" w:color="auto"/>
          <w:color w:val="auto"/>
        </w:rPr>
        <w:t>COPY OF PURCHASER’S CHECK</w:t>
      </w:r>
    </w:p>
    <w:p>
      <w:pPr>
        <w:sectPr>
          <w:pgSz w:w="11900" w:h="16838" w:orient="portrait"/>
          <w:cols w:equalWidth="0" w:num="1">
            <w:col w:w="9019"/>
          </w:cols>
          <w:pgMar w:left="1440" w:top="249" w:right="1440" w:bottom="1440" w:gutter="0" w:footer="0" w:header="0"/>
        </w:sectPr>
      </w:pPr>
    </w:p>
    <w:bookmarkStart w:id="495" w:name="page496"/>
    <w:bookmarkEnd w:id="495"/>
    <w:p>
      <w:pPr>
        <w:jc w:val="center"/>
        <w:ind w:right="-39"/>
        <w:spacing w:after="0"/>
        <w:rPr>
          <w:sz w:val="20"/>
          <w:szCs w:val="20"/>
          <w:color w:val="auto"/>
        </w:rPr>
      </w:pPr>
      <w:r>
        <w:rPr>
          <w:rFonts w:ascii="Arial" w:cs="Arial" w:eastAsia="Arial" w:hAnsi="Arial"/>
          <w:sz w:val="15"/>
          <w:szCs w:val="15"/>
          <w:b w:val="1"/>
          <w:bCs w:val="1"/>
          <w:color w:val="auto"/>
        </w:rPr>
        <w:drawing>
          <wp:anchor simplePos="0" relativeHeight="251657728" behindDoc="1" locked="0" layoutInCell="0" allowOverlap="1">
            <wp:simplePos x="0" y="0"/>
            <wp:positionH relativeFrom="page">
              <wp:posOffset>133350</wp:posOffset>
            </wp:positionH>
            <wp:positionV relativeFrom="page">
              <wp:posOffset>88900</wp:posOffset>
            </wp:positionV>
            <wp:extent cx="7308850" cy="34290"/>
            <wp:wrapNone/>
            <wp:docPr id="758" name="Picture 7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8"/>
                    <pic:cNvPicPr>
                      <a:picLocks noChangeAspect="1" noChangeArrowheads="1"/>
                    </pic:cNvPicPr>
                  </pic:nvPicPr>
                  <pic:blipFill>
                    <a:blip r:embed="rId795">
                      <a:extLst>
                        <a:ext uri="{28A0092B-C50C-407E-A947-70E740481C1C}"/>
                      </a:extLst>
                    </a:blip>
                    <a:srcRect/>
                    <a:stretch>
                      <a:fillRect/>
                    </a:stretch>
                  </pic:blipFill>
                  <pic:spPr bwMode="auto">
                    <a:xfrm>
                      <a:off x="0" y="0"/>
                      <a:ext cx="7308850" cy="34290"/>
                    </a:xfrm>
                    <a:prstGeom prst="rect">
                      <a:avLst/>
                    </a:prstGeom>
                    <a:noFill/>
                  </pic:spPr>
                </pic:pic>
              </a:graphicData>
            </a:graphic>
          </wp:anchor>
        </w:drawing>
        <w:t>DROPBOX, INC.</w:t>
      </w:r>
    </w:p>
    <w:p>
      <w:pPr>
        <w:spacing w:after="0" w:line="188" w:lineRule="exact"/>
        <w:rPr>
          <w:sz w:val="20"/>
          <w:szCs w:val="20"/>
          <w:color w:val="auto"/>
        </w:rPr>
      </w:pPr>
    </w:p>
    <w:p>
      <w:pPr>
        <w:jc w:val="center"/>
        <w:ind w:right="-39"/>
        <w:spacing w:after="0"/>
        <w:rPr>
          <w:sz w:val="20"/>
          <w:szCs w:val="20"/>
          <w:color w:val="auto"/>
        </w:rPr>
      </w:pPr>
      <w:r>
        <w:rPr>
          <w:rFonts w:ascii="Arial" w:cs="Arial" w:eastAsia="Arial" w:hAnsi="Arial"/>
          <w:sz w:val="15"/>
          <w:szCs w:val="15"/>
          <w:b w:val="1"/>
          <w:bCs w:val="1"/>
          <w:color w:val="auto"/>
        </w:rPr>
        <w:t>2008 EQUITY INCENTIVE PLAN</w:t>
      </w:r>
    </w:p>
    <w:p>
      <w:pPr>
        <w:spacing w:after="0" w:line="188" w:lineRule="exact"/>
        <w:rPr>
          <w:sz w:val="20"/>
          <w:szCs w:val="20"/>
          <w:color w:val="auto"/>
        </w:rPr>
      </w:pPr>
    </w:p>
    <w:p>
      <w:pPr>
        <w:jc w:val="center"/>
        <w:ind w:right="-39"/>
        <w:spacing w:after="0"/>
        <w:rPr>
          <w:sz w:val="20"/>
          <w:szCs w:val="20"/>
          <w:color w:val="auto"/>
        </w:rPr>
      </w:pPr>
      <w:r>
        <w:rPr>
          <w:rFonts w:ascii="Arial" w:cs="Arial" w:eastAsia="Arial" w:hAnsi="Arial"/>
          <w:sz w:val="15"/>
          <w:szCs w:val="15"/>
          <w:b w:val="1"/>
          <w:bCs w:val="1"/>
          <w:color w:val="auto"/>
        </w:rPr>
        <w:t>N</w:t>
      </w:r>
      <w:r>
        <w:rPr>
          <w:rFonts w:ascii="Arial" w:cs="Arial" w:eastAsia="Arial" w:hAnsi="Arial"/>
          <w:sz w:val="12"/>
          <w:szCs w:val="12"/>
          <w:b w:val="1"/>
          <w:bCs w:val="1"/>
          <w:color w:val="auto"/>
        </w:rPr>
        <w:t>OTICE OF</w:t>
      </w:r>
      <w:r>
        <w:rPr>
          <w:rFonts w:ascii="Arial" w:cs="Arial" w:eastAsia="Arial" w:hAnsi="Arial"/>
          <w:sz w:val="15"/>
          <w:szCs w:val="15"/>
          <w:b w:val="1"/>
          <w:bCs w:val="1"/>
          <w:color w:val="auto"/>
        </w:rPr>
        <w:t xml:space="preserve"> R</w:t>
      </w:r>
      <w:r>
        <w:rPr>
          <w:rFonts w:ascii="Arial" w:cs="Arial" w:eastAsia="Arial" w:hAnsi="Arial"/>
          <w:sz w:val="12"/>
          <w:szCs w:val="12"/>
          <w:b w:val="1"/>
          <w:bCs w:val="1"/>
          <w:color w:val="auto"/>
        </w:rPr>
        <w:t>ESTRICTED</w:t>
      </w:r>
      <w:r>
        <w:rPr>
          <w:rFonts w:ascii="Arial" w:cs="Arial" w:eastAsia="Arial" w:hAnsi="Arial"/>
          <w:sz w:val="15"/>
          <w:szCs w:val="15"/>
          <w:b w:val="1"/>
          <w:bCs w:val="1"/>
          <w:color w:val="auto"/>
        </w:rPr>
        <w:t xml:space="preserve"> S</w:t>
      </w:r>
      <w:r>
        <w:rPr>
          <w:rFonts w:ascii="Arial" w:cs="Arial" w:eastAsia="Arial" w:hAnsi="Arial"/>
          <w:sz w:val="12"/>
          <w:szCs w:val="12"/>
          <w:b w:val="1"/>
          <w:bCs w:val="1"/>
          <w:color w:val="auto"/>
        </w:rPr>
        <w:t>TOCK</w:t>
      </w:r>
      <w:r>
        <w:rPr>
          <w:rFonts w:ascii="Arial" w:cs="Arial" w:eastAsia="Arial" w:hAnsi="Arial"/>
          <w:sz w:val="15"/>
          <w:szCs w:val="15"/>
          <w:b w:val="1"/>
          <w:bCs w:val="1"/>
          <w:color w:val="auto"/>
        </w:rPr>
        <w:t xml:space="preserve"> U</w:t>
      </w:r>
      <w:r>
        <w:rPr>
          <w:rFonts w:ascii="Arial" w:cs="Arial" w:eastAsia="Arial" w:hAnsi="Arial"/>
          <w:sz w:val="12"/>
          <w:szCs w:val="12"/>
          <w:b w:val="1"/>
          <w:bCs w:val="1"/>
          <w:color w:val="auto"/>
        </w:rPr>
        <w:t>NIT</w:t>
      </w:r>
      <w:r>
        <w:rPr>
          <w:rFonts w:ascii="Arial" w:cs="Arial" w:eastAsia="Arial" w:hAnsi="Arial"/>
          <w:sz w:val="15"/>
          <w:szCs w:val="15"/>
          <w:b w:val="1"/>
          <w:bCs w:val="1"/>
          <w:color w:val="auto"/>
        </w:rPr>
        <w:t xml:space="preserve"> A</w:t>
      </w:r>
      <w:r>
        <w:rPr>
          <w:rFonts w:ascii="Arial" w:cs="Arial" w:eastAsia="Arial" w:hAnsi="Arial"/>
          <w:sz w:val="12"/>
          <w:szCs w:val="12"/>
          <w:b w:val="1"/>
          <w:bCs w:val="1"/>
          <w:color w:val="auto"/>
        </w:rPr>
        <w:t>WARD</w:t>
      </w:r>
    </w:p>
    <w:p>
      <w:pPr>
        <w:spacing w:after="0" w:line="192" w:lineRule="exact"/>
        <w:rPr>
          <w:sz w:val="20"/>
          <w:szCs w:val="20"/>
          <w:color w:val="auto"/>
        </w:rPr>
      </w:pPr>
    </w:p>
    <w:p>
      <w:pPr>
        <w:ind w:left="440"/>
        <w:spacing w:after="0"/>
        <w:rPr>
          <w:sz w:val="20"/>
          <w:szCs w:val="20"/>
          <w:color w:val="auto"/>
        </w:rPr>
      </w:pPr>
      <w:r>
        <w:rPr>
          <w:rFonts w:ascii="Arial" w:cs="Arial" w:eastAsia="Arial" w:hAnsi="Arial"/>
          <w:sz w:val="14"/>
          <w:szCs w:val="14"/>
          <w:color w:val="auto"/>
        </w:rPr>
        <w:t>Terms defined in the Company’s 2008 Equity Incentive Plan (the “</w:t>
      </w:r>
      <w:r>
        <w:rPr>
          <w:rFonts w:ascii="Arial" w:cs="Arial" w:eastAsia="Arial" w:hAnsi="Arial"/>
          <w:sz w:val="14"/>
          <w:szCs w:val="14"/>
          <w:b w:val="1"/>
          <w:bCs w:val="1"/>
          <w:i w:val="1"/>
          <w:iCs w:val="1"/>
          <w:color w:val="auto"/>
        </w:rPr>
        <w:t>Plan</w:t>
      </w:r>
      <w:r>
        <w:rPr>
          <w:rFonts w:ascii="Arial" w:cs="Arial" w:eastAsia="Arial" w:hAnsi="Arial"/>
          <w:sz w:val="14"/>
          <w:szCs w:val="14"/>
          <w:color w:val="auto"/>
        </w:rPr>
        <w:t>”) shall have the same meanings in this Notice of Restricted Stock Unit Award (“</w:t>
      </w:r>
      <w:r>
        <w:rPr>
          <w:rFonts w:ascii="Arial" w:cs="Arial" w:eastAsia="Arial" w:hAnsi="Arial"/>
          <w:sz w:val="14"/>
          <w:szCs w:val="14"/>
          <w:b w:val="1"/>
          <w:bCs w:val="1"/>
          <w:i w:val="1"/>
          <w:iCs w:val="1"/>
          <w:color w:val="auto"/>
        </w:rPr>
        <w:t>Notice of Grant</w:t>
      </w:r>
      <w:r>
        <w:rPr>
          <w:rFonts w:ascii="Arial" w:cs="Arial" w:eastAsia="Arial" w:hAnsi="Arial"/>
          <w:sz w:val="14"/>
          <w:szCs w:val="14"/>
          <w:color w:val="auto"/>
        </w:rPr>
        <w:t>”).</w:t>
      </w:r>
    </w:p>
    <w:p>
      <w:pPr>
        <w:spacing w:after="0" w:line="218" w:lineRule="exact"/>
        <w:rPr>
          <w:sz w:val="20"/>
          <w:szCs w:val="20"/>
          <w:color w:val="auto"/>
        </w:rPr>
      </w:pPr>
    </w:p>
    <w:p>
      <w:pPr>
        <w:ind w:left="460"/>
        <w:spacing w:after="0"/>
        <w:tabs>
          <w:tab w:leader="none" w:pos="3080" w:val="left"/>
        </w:tabs>
        <w:rPr>
          <w:sz w:val="20"/>
          <w:szCs w:val="20"/>
          <w:color w:val="auto"/>
        </w:rPr>
      </w:pPr>
      <w:r>
        <w:rPr>
          <w:rFonts w:ascii="Arial" w:cs="Arial" w:eastAsia="Arial" w:hAnsi="Arial"/>
          <w:sz w:val="15"/>
          <w:szCs w:val="15"/>
          <w:b w:val="1"/>
          <w:bCs w:val="1"/>
          <w:color w:val="auto"/>
        </w:rPr>
        <w:t>Name:</w:t>
      </w:r>
      <w:r>
        <w:rPr>
          <w:sz w:val="20"/>
          <w:szCs w:val="20"/>
          <w:color w:val="auto"/>
        </w:rPr>
        <w:tab/>
      </w:r>
      <w:r>
        <w:rPr>
          <w:rFonts w:ascii="Arial" w:cs="Arial" w:eastAsia="Arial" w:hAnsi="Arial"/>
          <w:sz w:val="15"/>
          <w:szCs w:val="15"/>
          <w:b w:val="1"/>
          <w:bCs w:val="1"/>
          <w:color w:val="auto"/>
        </w:rPr>
        <w:t>«Name»</w:t>
      </w:r>
    </w:p>
    <w:p>
      <w:pPr>
        <w:spacing w:after="0" w:line="21" w:lineRule="exact"/>
        <w:rPr>
          <w:sz w:val="20"/>
          <w:szCs w:val="20"/>
          <w:color w:val="auto"/>
        </w:rPr>
      </w:pPr>
    </w:p>
    <w:p>
      <w:pPr>
        <w:jc w:val="both"/>
        <w:ind w:left="460"/>
        <w:spacing w:after="0"/>
        <w:tabs>
          <w:tab w:leader="none" w:pos="3080" w:val="left"/>
        </w:tabs>
        <w:rPr>
          <w:sz w:val="20"/>
          <w:szCs w:val="20"/>
          <w:color w:val="auto"/>
        </w:rPr>
      </w:pPr>
      <w:r>
        <w:rPr>
          <w:rFonts w:ascii="Arial" w:cs="Arial" w:eastAsia="Arial" w:hAnsi="Arial"/>
          <w:sz w:val="15"/>
          <w:szCs w:val="15"/>
          <w:b w:val="1"/>
          <w:bCs w:val="1"/>
          <w:color w:val="auto"/>
        </w:rPr>
        <w:t>Address:</w:t>
      </w:r>
      <w:r>
        <w:rPr>
          <w:sz w:val="20"/>
          <w:szCs w:val="20"/>
          <w:color w:val="auto"/>
        </w:rPr>
        <w:tab/>
      </w:r>
      <w:r>
        <w:rPr>
          <w:rFonts w:ascii="Arial" w:cs="Arial" w:eastAsia="Arial" w:hAnsi="Arial"/>
          <w:sz w:val="15"/>
          <w:szCs w:val="15"/>
          <w:color w:val="auto"/>
        </w:rPr>
        <w:t>«Address1»</w:t>
      </w:r>
    </w:p>
    <w:p>
      <w:pPr>
        <w:spacing w:after="0" w:line="8" w:lineRule="exact"/>
        <w:rPr>
          <w:sz w:val="20"/>
          <w:szCs w:val="20"/>
          <w:color w:val="auto"/>
        </w:rPr>
      </w:pPr>
    </w:p>
    <w:p>
      <w:pPr>
        <w:jc w:val="right"/>
        <w:ind w:right="7580"/>
        <w:spacing w:after="0"/>
        <w:rPr>
          <w:sz w:val="20"/>
          <w:szCs w:val="20"/>
          <w:color w:val="auto"/>
        </w:rPr>
      </w:pPr>
      <w:r>
        <w:rPr>
          <w:rFonts w:ascii="Arial" w:cs="Arial" w:eastAsia="Arial" w:hAnsi="Arial"/>
          <w:sz w:val="15"/>
          <w:szCs w:val="15"/>
          <w:color w:val="auto"/>
        </w:rPr>
        <w:t>«Address2»</w:t>
      </w:r>
    </w:p>
    <w:p>
      <w:pPr>
        <w:spacing w:after="0" w:line="179" w:lineRule="exact"/>
        <w:rPr>
          <w:sz w:val="20"/>
          <w:szCs w:val="20"/>
          <w:color w:val="auto"/>
        </w:rPr>
      </w:pPr>
    </w:p>
    <w:p>
      <w:pPr>
        <w:ind w:right="400"/>
        <w:spacing w:after="0" w:line="275" w:lineRule="auto"/>
        <w:rPr>
          <w:sz w:val="20"/>
          <w:szCs w:val="20"/>
          <w:color w:val="auto"/>
        </w:rPr>
      </w:pPr>
      <w:r>
        <w:rPr>
          <w:rFonts w:ascii="Arial" w:cs="Arial" w:eastAsia="Arial" w:hAnsi="Arial"/>
          <w:sz w:val="15"/>
          <w:szCs w:val="15"/>
          <w:color w:val="auto"/>
        </w:rPr>
        <w:t>You (“</w:t>
      </w:r>
      <w:r>
        <w:rPr>
          <w:rFonts w:ascii="Arial" w:cs="Arial" w:eastAsia="Arial" w:hAnsi="Arial"/>
          <w:sz w:val="15"/>
          <w:szCs w:val="15"/>
          <w:b w:val="1"/>
          <w:bCs w:val="1"/>
          <w:i w:val="1"/>
          <w:iCs w:val="1"/>
          <w:color w:val="auto"/>
        </w:rPr>
        <w:t>Participant</w:t>
      </w:r>
      <w:r>
        <w:rPr>
          <w:rFonts w:ascii="Arial" w:cs="Arial" w:eastAsia="Arial" w:hAnsi="Arial"/>
          <w:sz w:val="15"/>
          <w:szCs w:val="15"/>
          <w:color w:val="auto"/>
        </w:rPr>
        <w:t>”) have been granted an award of Restricted Stock Units (“</w:t>
      </w:r>
      <w:r>
        <w:rPr>
          <w:rFonts w:ascii="Arial" w:cs="Arial" w:eastAsia="Arial" w:hAnsi="Arial"/>
          <w:sz w:val="15"/>
          <w:szCs w:val="15"/>
          <w:b w:val="1"/>
          <w:bCs w:val="1"/>
          <w:i w:val="1"/>
          <w:iCs w:val="1"/>
          <w:color w:val="auto"/>
        </w:rPr>
        <w:t>RSUs</w:t>
      </w:r>
      <w:r>
        <w:rPr>
          <w:rFonts w:ascii="Arial" w:cs="Arial" w:eastAsia="Arial" w:hAnsi="Arial"/>
          <w:sz w:val="15"/>
          <w:szCs w:val="15"/>
          <w:color w:val="auto"/>
        </w:rPr>
        <w:t>”), subject to the terms and conditions of the Plan and the attached Restricted Stock Unit Agreement (hereinafter “</w:t>
      </w:r>
      <w:r>
        <w:rPr>
          <w:rFonts w:ascii="Arial" w:cs="Arial" w:eastAsia="Arial" w:hAnsi="Arial"/>
          <w:sz w:val="15"/>
          <w:szCs w:val="15"/>
          <w:b w:val="1"/>
          <w:bCs w:val="1"/>
          <w:i w:val="1"/>
          <w:iCs w:val="1"/>
          <w:color w:val="auto"/>
        </w:rPr>
        <w:t>RSU Agreement</w:t>
      </w:r>
      <w:r>
        <w:rPr>
          <w:rFonts w:ascii="Arial" w:cs="Arial" w:eastAsia="Arial" w:hAnsi="Arial"/>
          <w:sz w:val="15"/>
          <w:szCs w:val="15"/>
          <w:color w:val="auto"/>
        </w:rPr>
        <w:t>”) under the Plan, as follows:</w:t>
      </w:r>
    </w:p>
    <w:p>
      <w:pPr>
        <w:sectPr>
          <w:pgSz w:w="11900" w:h="16838" w:orient="portrait"/>
          <w:cols w:equalWidth="0" w:num="1">
            <w:col w:w="11400"/>
          </w:cols>
          <w:pgMar w:left="240" w:top="249" w:right="259" w:bottom="1440" w:gutter="0" w:footer="0" w:header="0"/>
        </w:sectPr>
      </w:pPr>
    </w:p>
    <w:p>
      <w:pPr>
        <w:spacing w:after="0" w:line="165" w:lineRule="exact"/>
        <w:rPr>
          <w:sz w:val="20"/>
          <w:szCs w:val="20"/>
          <w:color w:val="auto"/>
        </w:rPr>
      </w:pPr>
    </w:p>
    <w:p>
      <w:pPr>
        <w:ind w:left="460"/>
        <w:spacing w:after="0"/>
        <w:rPr>
          <w:sz w:val="20"/>
          <w:szCs w:val="20"/>
          <w:color w:val="auto"/>
        </w:rPr>
      </w:pPr>
      <w:r>
        <w:rPr>
          <w:rFonts w:ascii="Arial" w:cs="Arial" w:eastAsia="Arial" w:hAnsi="Arial"/>
          <w:sz w:val="14"/>
          <w:szCs w:val="14"/>
          <w:b w:val="1"/>
          <w:bCs w:val="1"/>
          <w:color w:val="auto"/>
        </w:rPr>
        <w:t>RSU Grant Number:</w:t>
      </w:r>
    </w:p>
    <w:p>
      <w:pPr>
        <w:spacing w:after="0" w:line="20" w:lineRule="exact"/>
        <w:rPr>
          <w:sz w:val="20"/>
          <w:szCs w:val="20"/>
          <w:color w:val="auto"/>
        </w:rPr>
      </w:pPr>
      <w:r>
        <w:rPr>
          <w:sz w:val="20"/>
          <w:szCs w:val="20"/>
          <w:color w:val="auto"/>
        </w:rPr>
        <w:br w:type="column"/>
      </w:r>
    </w:p>
    <w:p>
      <w:pPr>
        <w:spacing w:after="0" w:line="149" w:lineRule="exact"/>
        <w:rPr>
          <w:sz w:val="20"/>
          <w:szCs w:val="20"/>
          <w:color w:val="auto"/>
        </w:rPr>
      </w:pPr>
    </w:p>
    <w:p>
      <w:pPr>
        <w:spacing w:after="0"/>
        <w:rPr>
          <w:sz w:val="20"/>
          <w:szCs w:val="20"/>
          <w:color w:val="auto"/>
        </w:rPr>
      </w:pPr>
      <w:r>
        <w:rPr>
          <w:rFonts w:ascii="Arial" w:cs="Arial" w:eastAsia="Arial" w:hAnsi="Arial"/>
          <w:sz w:val="13"/>
          <w:szCs w:val="13"/>
          <w:color w:val="auto"/>
        </w:rPr>
        <w:t>«GrantNo»</w:t>
      </w:r>
    </w:p>
    <w:p>
      <w:pPr>
        <w:spacing w:after="0" w:line="117" w:lineRule="exact"/>
        <w:rPr>
          <w:sz w:val="20"/>
          <w:szCs w:val="20"/>
          <w:color w:val="auto"/>
        </w:rPr>
      </w:pPr>
    </w:p>
    <w:p>
      <w:pPr>
        <w:sectPr>
          <w:pgSz w:w="11900" w:h="16838" w:orient="portrait"/>
          <w:cols w:equalWidth="0" w:num="2">
            <w:col w:w="2380" w:space="720"/>
            <w:col w:w="8300"/>
          </w:cols>
          <w:pgMar w:left="240" w:top="249" w:right="259" w:bottom="1440" w:gutter="0" w:footer="0" w:header="0"/>
          <w:type w:val="continuous"/>
        </w:sectPr>
      </w:pPr>
    </w:p>
    <w:p>
      <w:pPr>
        <w:ind w:left="460"/>
        <w:spacing w:after="0"/>
        <w:rPr>
          <w:sz w:val="20"/>
          <w:szCs w:val="20"/>
          <w:color w:val="auto"/>
        </w:rPr>
      </w:pPr>
      <w:r>
        <w:rPr>
          <w:rFonts w:ascii="Arial" w:cs="Arial" w:eastAsia="Arial" w:hAnsi="Arial"/>
          <w:sz w:val="13"/>
          <w:szCs w:val="13"/>
          <w:b w:val="1"/>
          <w:bCs w:val="1"/>
          <w:color w:val="auto"/>
        </w:rPr>
        <w:t>Total Number of RSUs: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2"/>
          <w:szCs w:val="12"/>
          <w:color w:val="auto"/>
        </w:rPr>
        <w:t>«Shares»</w:t>
      </w:r>
    </w:p>
    <w:p>
      <w:pPr>
        <w:spacing w:after="0" w:line="128" w:lineRule="exact"/>
        <w:rPr>
          <w:sz w:val="20"/>
          <w:szCs w:val="20"/>
          <w:color w:val="auto"/>
        </w:rPr>
      </w:pPr>
    </w:p>
    <w:p>
      <w:pPr>
        <w:sectPr>
          <w:pgSz w:w="11900" w:h="16838" w:orient="portrait"/>
          <w:cols w:equalWidth="0" w:num="2">
            <w:col w:w="2380" w:space="720"/>
            <w:col w:w="8300"/>
          </w:cols>
          <w:pgMar w:left="240" w:top="249" w:right="259" w:bottom="1440" w:gutter="0" w:footer="0" w:header="0"/>
          <w:type w:val="continuous"/>
        </w:sectPr>
      </w:pPr>
    </w:p>
    <w:p>
      <w:pPr>
        <w:ind w:left="460"/>
        <w:spacing w:after="0"/>
        <w:rPr>
          <w:sz w:val="20"/>
          <w:szCs w:val="20"/>
          <w:color w:val="auto"/>
        </w:rPr>
      </w:pPr>
      <w:r>
        <w:rPr>
          <w:rFonts w:ascii="Arial" w:cs="Arial" w:eastAsia="Arial" w:hAnsi="Arial"/>
          <w:sz w:val="14"/>
          <w:szCs w:val="14"/>
          <w:b w:val="1"/>
          <w:bCs w:val="1"/>
          <w:color w:val="auto"/>
        </w:rPr>
        <w:t>RSU Grant Date: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3"/>
          <w:szCs w:val="13"/>
          <w:color w:val="auto"/>
        </w:rPr>
        <w:t>«GrantDate»</w:t>
      </w:r>
    </w:p>
    <w:p>
      <w:pPr>
        <w:spacing w:after="0" w:line="117" w:lineRule="exact"/>
        <w:rPr>
          <w:sz w:val="20"/>
          <w:szCs w:val="20"/>
          <w:color w:val="auto"/>
        </w:rPr>
      </w:pPr>
    </w:p>
    <w:p>
      <w:pPr>
        <w:sectPr>
          <w:pgSz w:w="11900" w:h="16838" w:orient="portrait"/>
          <w:cols w:equalWidth="0" w:num="2">
            <w:col w:w="2380" w:space="720"/>
            <w:col w:w="8300"/>
          </w:cols>
          <w:pgMar w:left="240" w:top="249" w:right="259" w:bottom="1440" w:gutter="0" w:footer="0" w:header="0"/>
          <w:type w:val="continuous"/>
        </w:sectPr>
      </w:pPr>
    </w:p>
    <w:p>
      <w:pPr>
        <w:ind w:left="460"/>
        <w:spacing w:after="0"/>
        <w:rPr>
          <w:sz w:val="20"/>
          <w:szCs w:val="20"/>
          <w:color w:val="auto"/>
        </w:rPr>
      </w:pPr>
      <w:r>
        <w:rPr>
          <w:rFonts w:ascii="Arial" w:cs="Arial" w:eastAsia="Arial" w:hAnsi="Arial"/>
          <w:sz w:val="13"/>
          <w:szCs w:val="13"/>
          <w:b w:val="1"/>
          <w:bCs w:val="1"/>
          <w:color w:val="auto"/>
        </w:rPr>
        <w:t>Vesting Start Date: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4"/>
          <w:szCs w:val="14"/>
          <w:color w:val="auto"/>
        </w:rPr>
        <w:t>«VCD»</w:t>
      </w:r>
    </w:p>
    <w:p>
      <w:pPr>
        <w:spacing w:after="0" w:line="106" w:lineRule="exact"/>
        <w:rPr>
          <w:sz w:val="20"/>
          <w:szCs w:val="20"/>
          <w:color w:val="auto"/>
        </w:rPr>
      </w:pPr>
    </w:p>
    <w:p>
      <w:pPr>
        <w:sectPr>
          <w:pgSz w:w="11900" w:h="16838" w:orient="portrait"/>
          <w:cols w:equalWidth="0" w:num="2">
            <w:col w:w="2380" w:space="720"/>
            <w:col w:w="8300"/>
          </w:cols>
          <w:pgMar w:left="240" w:top="249" w:right="259" w:bottom="1440" w:gutter="0" w:footer="0" w:header="0"/>
          <w:type w:val="continuous"/>
        </w:sectPr>
      </w:pPr>
    </w:p>
    <w:p>
      <w:pPr>
        <w:ind w:left="460"/>
        <w:spacing w:after="0"/>
        <w:rPr>
          <w:sz w:val="20"/>
          <w:szCs w:val="20"/>
          <w:color w:val="auto"/>
        </w:rPr>
      </w:pPr>
      <w:r>
        <w:rPr>
          <w:rFonts w:ascii="Arial" w:cs="Arial" w:eastAsia="Arial" w:hAnsi="Arial"/>
          <w:sz w:val="14"/>
          <w:szCs w:val="14"/>
          <w:b w:val="1"/>
          <w:bCs w:val="1"/>
          <w:color w:val="auto"/>
        </w:rPr>
        <w:t>Expiration Date:</w:t>
      </w:r>
    </w:p>
    <w:p>
      <w:pPr>
        <w:spacing w:after="0" w:line="20" w:lineRule="exact"/>
        <w:rPr>
          <w:sz w:val="20"/>
          <w:szCs w:val="20"/>
          <w:color w:val="auto"/>
        </w:rPr>
      </w:pPr>
      <w:r>
        <w:rPr>
          <w:sz w:val="20"/>
          <w:szCs w:val="20"/>
          <w:color w:val="auto"/>
        </w:rPr>
        <w:br w:type="column"/>
      </w:r>
    </w:p>
    <w:p>
      <w:pPr>
        <w:ind w:right="100"/>
        <w:spacing w:after="0" w:line="275" w:lineRule="auto"/>
        <w:rPr>
          <w:sz w:val="20"/>
          <w:szCs w:val="20"/>
          <w:color w:val="auto"/>
        </w:rPr>
      </w:pPr>
      <w:r>
        <w:rPr>
          <w:rFonts w:ascii="Arial" w:cs="Arial" w:eastAsia="Arial" w:hAnsi="Arial"/>
          <w:sz w:val="15"/>
          <w:szCs w:val="15"/>
          <w:color w:val="auto"/>
        </w:rPr>
        <w:t>The earlier to occur of: (a) the date on which settlement of all vested RSUs granted hereunder occurs and (b) the tenth anniversary of the Grant Date.</w:t>
      </w:r>
    </w:p>
    <w:p>
      <w:pPr>
        <w:spacing w:after="0" w:line="52" w:lineRule="exact"/>
        <w:rPr>
          <w:sz w:val="20"/>
          <w:szCs w:val="20"/>
          <w:color w:val="auto"/>
        </w:rPr>
      </w:pPr>
    </w:p>
    <w:p>
      <w:pPr>
        <w:sectPr>
          <w:pgSz w:w="11900" w:h="16838" w:orient="portrait"/>
          <w:cols w:equalWidth="0" w:num="2">
            <w:col w:w="2380" w:space="720"/>
            <w:col w:w="8300"/>
          </w:cols>
          <w:pgMar w:left="240" w:top="249" w:right="259" w:bottom="1440" w:gutter="0" w:footer="0" w:header="0"/>
          <w:type w:val="continuous"/>
        </w:sectPr>
      </w:pPr>
    </w:p>
    <w:p>
      <w:pPr>
        <w:ind w:left="440" w:right="200"/>
        <w:spacing w:after="0" w:line="266" w:lineRule="auto"/>
        <w:rPr>
          <w:sz w:val="20"/>
          <w:szCs w:val="20"/>
          <w:color w:val="auto"/>
        </w:rPr>
      </w:pPr>
      <w:r>
        <w:rPr>
          <w:rFonts w:ascii="Arial" w:cs="Arial" w:eastAsia="Arial" w:hAnsi="Arial"/>
          <w:sz w:val="15"/>
          <w:szCs w:val="15"/>
          <w:b w:val="1"/>
          <w:bCs w:val="1"/>
          <w:color w:val="auto"/>
        </w:rPr>
        <w:t xml:space="preserve">Vesting: (a) </w:t>
      </w:r>
      <w:r>
        <w:rPr>
          <w:rFonts w:ascii="Arial" w:cs="Arial" w:eastAsia="Arial" w:hAnsi="Arial"/>
          <w:sz w:val="15"/>
          <w:szCs w:val="15"/>
          <w:color w:val="auto"/>
        </w:rPr>
        <w:t>No RSUs will vest until the earlier to occur of: (i) the date that is the earlier of (x) six (6) months after the effective date of an initial public offering of the Company’s</w:t>
      </w:r>
      <w:r>
        <w:rPr>
          <w:rFonts w:ascii="Arial" w:cs="Arial" w:eastAsia="Arial" w:hAnsi="Arial"/>
          <w:sz w:val="15"/>
          <w:szCs w:val="15"/>
          <w:b w:val="1"/>
          <w:bCs w:val="1"/>
          <w:color w:val="auto"/>
        </w:rPr>
        <w:t xml:space="preserve"> </w:t>
      </w:r>
      <w:r>
        <w:rPr>
          <w:rFonts w:ascii="Arial" w:cs="Arial" w:eastAsia="Arial" w:hAnsi="Arial"/>
          <w:sz w:val="15"/>
          <w:szCs w:val="15"/>
          <w:color w:val="auto"/>
        </w:rPr>
        <w:t>securities (“</w:t>
      </w:r>
      <w:r>
        <w:rPr>
          <w:rFonts w:ascii="Arial" w:cs="Arial" w:eastAsia="Arial" w:hAnsi="Arial"/>
          <w:sz w:val="15"/>
          <w:szCs w:val="15"/>
          <w:b w:val="1"/>
          <w:bCs w:val="1"/>
          <w:i w:val="1"/>
          <w:iCs w:val="1"/>
          <w:color w:val="auto"/>
        </w:rPr>
        <w:t>IPO</w:t>
      </w:r>
      <w:r>
        <w:rPr>
          <w:rFonts w:ascii="Arial" w:cs="Arial" w:eastAsia="Arial" w:hAnsi="Arial"/>
          <w:sz w:val="15"/>
          <w:szCs w:val="15"/>
          <w:color w:val="auto"/>
        </w:rPr>
        <w:t>”) or (y) March 15 of the calendar year following the year in which the IPO was declared effective; and (ii) the date of a Change in Control; (the earlier of the foregoing (i) and (ii) being the “</w:t>
      </w:r>
      <w:r>
        <w:rPr>
          <w:rFonts w:ascii="Arial" w:cs="Arial" w:eastAsia="Arial" w:hAnsi="Arial"/>
          <w:sz w:val="15"/>
          <w:szCs w:val="15"/>
          <w:b w:val="1"/>
          <w:bCs w:val="1"/>
          <w:i w:val="1"/>
          <w:iCs w:val="1"/>
          <w:color w:val="auto"/>
        </w:rPr>
        <w:t>Initial Vesting Event</w:t>
      </w:r>
      <w:r>
        <w:rPr>
          <w:rFonts w:ascii="Arial" w:cs="Arial" w:eastAsia="Arial" w:hAnsi="Arial"/>
          <w:sz w:val="15"/>
          <w:szCs w:val="15"/>
          <w:color w:val="auto"/>
        </w:rPr>
        <w:t>”).</w:t>
      </w:r>
    </w:p>
    <w:p>
      <w:pPr>
        <w:spacing w:after="0" w:line="62" w:lineRule="exact"/>
        <w:rPr>
          <w:sz w:val="20"/>
          <w:szCs w:val="20"/>
          <w:color w:val="auto"/>
        </w:rPr>
      </w:pPr>
    </w:p>
    <w:p>
      <w:pPr>
        <w:ind w:left="440" w:firstLine="8"/>
        <w:spacing w:after="0" w:line="275" w:lineRule="auto"/>
        <w:tabs>
          <w:tab w:leader="none" w:pos="661" w:val="left"/>
        </w:tabs>
        <w:numPr>
          <w:ilvl w:val="0"/>
          <w:numId w:val="468"/>
        </w:numPr>
        <w:rPr>
          <w:rFonts w:ascii="Arial" w:cs="Arial" w:eastAsia="Arial" w:hAnsi="Arial"/>
          <w:sz w:val="14"/>
          <w:szCs w:val="14"/>
          <w:b w:val="1"/>
          <w:bCs w:val="1"/>
          <w:color w:val="auto"/>
        </w:rPr>
      </w:pPr>
      <w:r>
        <w:rPr>
          <w:rFonts w:ascii="Arial" w:cs="Arial" w:eastAsia="Arial" w:hAnsi="Arial"/>
          <w:sz w:val="14"/>
          <w:szCs w:val="14"/>
          <w:color w:val="auto"/>
        </w:rPr>
        <w:t xml:space="preserve">The number of RSUs that vest on the Initial Vesting Event shall be calculated as follows: (i) If Participant has been in Continuous Service Status for at least one year from the Vesting Start Date, the number of RSUs that shall vest on the Initial Vesting Event shall be equal to the product obtained by multiplying the “Total Number of RSUs” identified above by a fraction, the numerator of which is the number of monthly anniversaries from the Vesting Start Date on which the Participant was in Continuous Service Status through the date of the Initial Vesting Event and the denominator of which is forty-eight (48); and (ii) If Participant has </w:t>
      </w:r>
      <w:r>
        <w:rPr>
          <w:rFonts w:ascii="Arial" w:cs="Arial" w:eastAsia="Arial" w:hAnsi="Arial"/>
          <w:sz w:val="14"/>
          <w:szCs w:val="14"/>
          <w:u w:val="single" w:color="auto"/>
          <w:color w:val="auto"/>
        </w:rPr>
        <w:t>not</w:t>
      </w:r>
      <w:r>
        <w:rPr>
          <w:rFonts w:ascii="Arial" w:cs="Arial" w:eastAsia="Arial" w:hAnsi="Arial"/>
          <w:sz w:val="14"/>
          <w:szCs w:val="14"/>
          <w:color w:val="auto"/>
        </w:rPr>
        <w:t xml:space="preserve"> been in Continuous Service Status for at least one year from the Vesting Start Date, then the number of vested RSUs on the date of the Initial Vesting Event shall be zero. If Participant is not in Continuous Service Status on the date of the Initial Vesting Event but had completed one year from the Vesting Start Date, then the number of RSUs that shall vest on the Initial Vesting Event shall be equal to the product obtained by multiplying the “Total Number of RSUs” identified above by a fraction, the numerator of which is the number of monthly anniversaries from the Vesting Start Date until the date on which the Participant ceased Continuous Service Status and the denominator of which is forty-eight (48).</w:t>
      </w:r>
    </w:p>
    <w:p>
      <w:pPr>
        <w:spacing w:after="0" w:line="58" w:lineRule="exact"/>
        <w:rPr>
          <w:rFonts w:ascii="Arial" w:cs="Arial" w:eastAsia="Arial" w:hAnsi="Arial"/>
          <w:sz w:val="14"/>
          <w:szCs w:val="14"/>
          <w:b w:val="1"/>
          <w:bCs w:val="1"/>
          <w:color w:val="auto"/>
        </w:rPr>
      </w:pPr>
    </w:p>
    <w:p>
      <w:pPr>
        <w:jc w:val="both"/>
        <w:ind w:left="440" w:right="40" w:firstLine="8"/>
        <w:spacing w:after="0" w:line="259" w:lineRule="auto"/>
        <w:tabs>
          <w:tab w:leader="none" w:pos="644" w:val="left"/>
        </w:tabs>
        <w:numPr>
          <w:ilvl w:val="0"/>
          <w:numId w:val="468"/>
        </w:numPr>
        <w:rPr>
          <w:rFonts w:ascii="Arial" w:cs="Arial" w:eastAsia="Arial" w:hAnsi="Arial"/>
          <w:sz w:val="15"/>
          <w:szCs w:val="15"/>
          <w:b w:val="1"/>
          <w:bCs w:val="1"/>
          <w:color w:val="auto"/>
        </w:rPr>
      </w:pPr>
      <w:r>
        <w:rPr>
          <w:rFonts w:ascii="Arial" w:cs="Arial" w:eastAsia="Arial" w:hAnsi="Arial"/>
          <w:sz w:val="15"/>
          <w:szCs w:val="15"/>
          <w:color w:val="auto"/>
        </w:rPr>
        <w:t>If Participant is in Continuous Service Status on the date of the Initial Vesting Event, then with respect to RSUs that have not vested as of such Initial Vesting Event, vesting shall be determined as follows (each vesting date under either of the following (i) or (ii) being a “</w:t>
      </w:r>
      <w:r>
        <w:rPr>
          <w:rFonts w:ascii="Arial" w:cs="Arial" w:eastAsia="Arial" w:hAnsi="Arial"/>
          <w:sz w:val="15"/>
          <w:szCs w:val="15"/>
          <w:b w:val="1"/>
          <w:bCs w:val="1"/>
          <w:i w:val="1"/>
          <w:iCs w:val="1"/>
          <w:color w:val="auto"/>
        </w:rPr>
        <w:t>Subsequent Vesting Event</w:t>
      </w:r>
      <w:r>
        <w:rPr>
          <w:rFonts w:ascii="Arial" w:cs="Arial" w:eastAsia="Arial" w:hAnsi="Arial"/>
          <w:sz w:val="15"/>
          <w:szCs w:val="15"/>
          <w:color w:val="auto"/>
        </w:rPr>
        <w:t xml:space="preserve">”): (i) If Participant has </w:t>
      </w:r>
      <w:r>
        <w:rPr>
          <w:rFonts w:ascii="Arial" w:cs="Arial" w:eastAsia="Arial" w:hAnsi="Arial"/>
          <w:sz w:val="15"/>
          <w:szCs w:val="15"/>
          <w:u w:val="single" w:color="auto"/>
          <w:color w:val="auto"/>
        </w:rPr>
        <w:t>not</w:t>
      </w:r>
      <w:r>
        <w:rPr>
          <w:rFonts w:ascii="Arial" w:cs="Arial" w:eastAsia="Arial" w:hAnsi="Arial"/>
          <w:sz w:val="15"/>
          <w:szCs w:val="15"/>
          <w:color w:val="auto"/>
        </w:rPr>
        <w:t xml:space="preserve"> been in Continuous Service Status for at least one year from the Vesting Start Date at the time of the Initial Vesting Event, then on the first anniversary of the Vesting Start Date, twenty-five percent (25%) of the RSUs will vest provided</w:t>
      </w:r>
    </w:p>
    <w:p>
      <w:pPr>
        <w:spacing w:after="0" w:line="101" w:lineRule="exact"/>
        <w:rPr>
          <w:rFonts w:ascii="Arial" w:cs="Arial" w:eastAsia="Arial" w:hAnsi="Arial"/>
          <w:sz w:val="15"/>
          <w:szCs w:val="15"/>
          <w:b w:val="1"/>
          <w:bCs w:val="1"/>
          <w:color w:val="auto"/>
        </w:rPr>
      </w:pPr>
    </w:p>
    <w:p>
      <w:pPr>
        <w:ind w:left="5680" w:hanging="91"/>
        <w:spacing w:after="0"/>
        <w:tabs>
          <w:tab w:leader="none" w:pos="5680" w:val="left"/>
        </w:tabs>
        <w:numPr>
          <w:ilvl w:val="1"/>
          <w:numId w:val="468"/>
        </w:numPr>
        <w:rPr>
          <w:rFonts w:ascii="Arial" w:cs="Arial" w:eastAsia="Arial" w:hAnsi="Arial"/>
          <w:sz w:val="15"/>
          <w:szCs w:val="15"/>
          <w:color w:val="auto"/>
        </w:rPr>
      </w:pPr>
      <w:r>
        <w:rPr>
          <w:rFonts w:ascii="Arial" w:cs="Arial" w:eastAsia="Arial" w:hAnsi="Arial"/>
          <w:sz w:val="15"/>
          <w:szCs w:val="15"/>
          <w:color w:val="auto"/>
        </w:rPr>
        <w:t>1 -</w:t>
      </w:r>
    </w:p>
    <w:p>
      <w:pPr>
        <w:sectPr>
          <w:pgSz w:w="11900" w:h="16838" w:orient="portrait"/>
          <w:cols w:equalWidth="0" w:num="1">
            <w:col w:w="11400"/>
          </w:cols>
          <w:pgMar w:left="240" w:top="249" w:right="259" w:bottom="1440" w:gutter="0" w:footer="0" w:header="0"/>
          <w:type w:val="continuous"/>
        </w:sectPr>
      </w:pPr>
    </w:p>
    <w:bookmarkStart w:id="496" w:name="page497"/>
    <w:bookmarkEnd w:id="496"/>
    <w:p>
      <w:pPr>
        <w:ind w:left="440" w:right="100"/>
        <w:spacing w:after="0" w:line="255"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133350</wp:posOffset>
            </wp:positionH>
            <wp:positionV relativeFrom="page">
              <wp:posOffset>88900</wp:posOffset>
            </wp:positionV>
            <wp:extent cx="7308850" cy="33655"/>
            <wp:wrapNone/>
            <wp:docPr id="759" name="Picture 7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9"/>
                    <pic:cNvPicPr>
                      <a:picLocks noChangeAspect="1" noChangeArrowheads="1"/>
                    </pic:cNvPicPr>
                  </pic:nvPicPr>
                  <pic:blipFill>
                    <a:blip r:embed="rId796">
                      <a:extLst>
                        <a:ext uri="{28A0092B-C50C-407E-A947-70E740481C1C}"/>
                      </a:extLst>
                    </a:blip>
                    <a:srcRect/>
                    <a:stretch>
                      <a:fillRect/>
                    </a:stretch>
                  </pic:blipFill>
                  <pic:spPr bwMode="auto">
                    <a:xfrm>
                      <a:off x="0" y="0"/>
                      <a:ext cx="7308850" cy="33655"/>
                    </a:xfrm>
                    <a:prstGeom prst="rect">
                      <a:avLst/>
                    </a:prstGeom>
                    <a:noFill/>
                  </pic:spPr>
                </pic:pic>
              </a:graphicData>
            </a:graphic>
          </wp:anchor>
        </w:drawing>
        <w:t>that Participant remains in Continuous Service Status through such first anniversary, and thereafter on each subsequent quarterly anniversary, 3/48th of the RSUs will vest provided that Participant remains in Continuous Service Status through each such date; and (ii) If Participant has been in Continuous Service Status for at least one year from the Vesting Start Date at the time of the Initial Vesting Event, vesting of any unvested RSUs shall continue on each subsequent quarterly anniversary of the Vesting Start Date at a rate of 3/48th of the RSUs provided that Participant remains in Continuous Service Status through each such date (provided that vesting shall be at the rate of N/48</w:t>
      </w:r>
      <w:r>
        <w:rPr>
          <w:rFonts w:ascii="Arial" w:cs="Arial" w:eastAsia="Arial" w:hAnsi="Arial"/>
          <w:sz w:val="12"/>
          <w:szCs w:val="12"/>
          <w:color w:val="auto"/>
        </w:rPr>
        <w:t>th</w:t>
      </w:r>
      <w:r>
        <w:rPr>
          <w:rFonts w:ascii="Arial" w:cs="Arial" w:eastAsia="Arial" w:hAnsi="Arial"/>
          <w:sz w:val="15"/>
          <w:szCs w:val="15"/>
          <w:color w:val="auto"/>
        </w:rPr>
        <w:t xml:space="preserve"> of the RSUs on the first quarterly anniversary of the Vesting Start Date after the Initial Vesting Event, where N is 3 or such lesser number of months in that quarter from the date of the Initial Vesting Event). “</w:t>
      </w:r>
      <w:r>
        <w:rPr>
          <w:rFonts w:ascii="Arial" w:cs="Arial" w:eastAsia="Arial" w:hAnsi="Arial"/>
          <w:sz w:val="15"/>
          <w:szCs w:val="15"/>
          <w:b w:val="1"/>
          <w:bCs w:val="1"/>
          <w:color w:val="auto"/>
        </w:rPr>
        <w:t>Continuous Service Status</w:t>
      </w:r>
      <w:r>
        <w:rPr>
          <w:rFonts w:ascii="Arial" w:cs="Arial" w:eastAsia="Arial" w:hAnsi="Arial"/>
          <w:sz w:val="15"/>
          <w:szCs w:val="15"/>
          <w:color w:val="auto"/>
        </w:rPr>
        <w:t>” means Participant continues to provide services as an employee, officer, director or consultant to the Company or a Parent or Subsidiary of the Company.</w:t>
      </w:r>
    </w:p>
    <w:p>
      <w:pPr>
        <w:spacing w:after="0" w:line="67" w:lineRule="exact"/>
        <w:rPr>
          <w:sz w:val="20"/>
          <w:szCs w:val="20"/>
          <w:color w:val="auto"/>
        </w:rPr>
      </w:pPr>
    </w:p>
    <w:p>
      <w:pPr>
        <w:ind w:left="440" w:right="80"/>
        <w:spacing w:after="0" w:line="281" w:lineRule="auto"/>
        <w:rPr>
          <w:sz w:val="20"/>
          <w:szCs w:val="20"/>
          <w:color w:val="auto"/>
        </w:rPr>
      </w:pPr>
      <w:r>
        <w:rPr>
          <w:rFonts w:ascii="Arial" w:cs="Arial" w:eastAsia="Arial" w:hAnsi="Arial"/>
          <w:sz w:val="14"/>
          <w:szCs w:val="14"/>
          <w:b w:val="1"/>
          <w:bCs w:val="1"/>
          <w:color w:val="auto"/>
        </w:rPr>
        <w:t xml:space="preserve">Settlement: </w:t>
      </w:r>
      <w:r>
        <w:rPr>
          <w:rFonts w:ascii="Arial" w:cs="Arial" w:eastAsia="Arial" w:hAnsi="Arial"/>
          <w:sz w:val="14"/>
          <w:szCs w:val="14"/>
          <w:color w:val="auto"/>
        </w:rPr>
        <w:t>RSUs that vest as of the Initial Vesting Event shall be settled immediately upon the Initial Vesting Event. Within 30 days following the occurrence of any Subsequent</w:t>
      </w:r>
      <w:r>
        <w:rPr>
          <w:rFonts w:ascii="Arial" w:cs="Arial" w:eastAsia="Arial" w:hAnsi="Arial"/>
          <w:sz w:val="14"/>
          <w:szCs w:val="14"/>
          <w:b w:val="1"/>
          <w:bCs w:val="1"/>
          <w:color w:val="auto"/>
        </w:rPr>
        <w:t xml:space="preserve"> </w:t>
      </w:r>
      <w:r>
        <w:rPr>
          <w:rFonts w:ascii="Arial" w:cs="Arial" w:eastAsia="Arial" w:hAnsi="Arial"/>
          <w:sz w:val="14"/>
          <w:szCs w:val="14"/>
          <w:color w:val="auto"/>
        </w:rPr>
        <w:t>Vesting Event as set forth above, RSUs that vest as of the Subsequent Vesting Event shall be settled. Settlement means the delivery of the Shares vested under an RSU. Settlement of RSUs on the Initial Vesting Event or any Subsequent Vesting Event shall be in Shares unless at the time of settlement the Committee, in its sole discretion, determines that settlement shall, in whole or in part, be in the form of cash. Settlement of vested RSUs shall occur whether or not Participant is in Continuous Service Status at the time of settlement. No fractional RSUs or rights for fractional Shares shall be created pursuant to this Notice of Grant.</w:t>
      </w:r>
    </w:p>
    <w:p>
      <w:pPr>
        <w:spacing w:after="0" w:line="144" w:lineRule="exact"/>
        <w:rPr>
          <w:sz w:val="20"/>
          <w:szCs w:val="20"/>
          <w:color w:val="auto"/>
        </w:rPr>
      </w:pPr>
    </w:p>
    <w:p>
      <w:pPr>
        <w:ind w:right="120"/>
        <w:spacing w:after="0" w:line="283" w:lineRule="auto"/>
        <w:rPr>
          <w:sz w:val="20"/>
          <w:szCs w:val="20"/>
          <w:color w:val="auto"/>
        </w:rPr>
      </w:pPr>
      <w:r>
        <w:rPr>
          <w:rFonts w:ascii="Arial" w:cs="Arial" w:eastAsia="Arial" w:hAnsi="Arial"/>
          <w:sz w:val="14"/>
          <w:szCs w:val="14"/>
          <w:color w:val="auto"/>
        </w:rPr>
        <w:t>Participant understands that his or her employment or consulting relationship with the Company is for an unspecified duration, can be terminated at any time (</w:t>
      </w:r>
      <w:r>
        <w:rPr>
          <w:rFonts w:ascii="Arial" w:cs="Arial" w:eastAsia="Arial" w:hAnsi="Arial"/>
          <w:sz w:val="14"/>
          <w:szCs w:val="14"/>
          <w:i w:val="1"/>
          <w:iCs w:val="1"/>
          <w:color w:val="auto"/>
        </w:rPr>
        <w:t>i.e.</w:t>
      </w:r>
      <w:r>
        <w:rPr>
          <w:rFonts w:ascii="Arial" w:cs="Arial" w:eastAsia="Arial" w:hAnsi="Arial"/>
          <w:sz w:val="14"/>
          <w:szCs w:val="14"/>
          <w:color w:val="auto"/>
        </w:rPr>
        <w:t>, is “at-will”), and that nothing in this Notice of Grant, the RSU Agreement or the Plan changes the at-will nature of that relationship. Participant acknowledges that the vesting of the RSUs pursuant to this Notice of Grant is conditioned on the occurrence of an Initial Vesting Event or a Subsequent Vesting Event. Participant also understands that this Notice of Grant is subject to the terms and conditions of both the RSU Agreement and the Plan, both of which are incorporated herein by reference. Participant has read both the RSU Agreement and the Plan.</w:t>
      </w:r>
    </w:p>
    <w:p>
      <w:pPr>
        <w:spacing w:after="0" w:line="143" w:lineRule="exact"/>
        <w:rPr>
          <w:sz w:val="20"/>
          <w:szCs w:val="20"/>
          <w:color w:val="auto"/>
        </w:rPr>
      </w:pPr>
    </w:p>
    <w:p>
      <w:pPr>
        <w:ind w:right="280"/>
        <w:spacing w:after="0" w:line="259" w:lineRule="auto"/>
        <w:rPr>
          <w:sz w:val="20"/>
          <w:szCs w:val="20"/>
          <w:color w:val="auto"/>
        </w:rPr>
      </w:pPr>
      <w:r>
        <w:rPr>
          <w:rFonts w:ascii="Arial" w:cs="Arial" w:eastAsia="Arial" w:hAnsi="Arial"/>
          <w:sz w:val="15"/>
          <w:szCs w:val="15"/>
          <w:color w:val="auto"/>
        </w:rPr>
        <w:t>By your acceptance hereof (whether written, electronic or otherwise), you agree, to the fullest extent permitted by law, that in lieu of receiving documents in paper format, you accept the electronic delivery of any documents the Company, or any third party involved in administering the Plan which the Company may designate, may deliver in connection with this grant (including the Plan, the Notice of Grant, this Agreement, the 701 Disclosures, account statements, or other communications or information) whether via the Company’s intranet or the Internet site of such third party or via email or such other means of electronic delivery specified by the Company.</w:t>
      </w:r>
    </w:p>
    <w:p>
      <w:pPr>
        <w:spacing w:after="0" w:line="158" w:lineRule="exact"/>
        <w:rPr>
          <w:sz w:val="20"/>
          <w:szCs w:val="20"/>
          <w:color w:val="auto"/>
        </w:rPr>
      </w:pPr>
    </w:p>
    <w:p>
      <w:pPr>
        <w:spacing w:after="0" w:line="275" w:lineRule="auto"/>
        <w:rPr>
          <w:sz w:val="20"/>
          <w:szCs w:val="20"/>
          <w:color w:val="auto"/>
        </w:rPr>
      </w:pPr>
      <w:r>
        <w:rPr>
          <w:rFonts w:ascii="Arial" w:cs="Arial" w:eastAsia="Arial" w:hAnsi="Arial"/>
          <w:sz w:val="15"/>
          <w:szCs w:val="15"/>
          <w:color w:val="auto"/>
        </w:rPr>
        <w:t>By your signature and the signature of the Company’s representative on the Notice of Grant, Participant and the Company agree that this RSU is granted under and governed by the terms and conditions of the Plan, the Notice of Grant and the RSU Agreement.</w:t>
      </w:r>
    </w:p>
    <w:p>
      <w:pPr>
        <w:spacing w:after="0" w:line="165" w:lineRule="exact"/>
        <w:rPr>
          <w:sz w:val="20"/>
          <w:szCs w:val="20"/>
          <w:color w:val="auto"/>
        </w:rPr>
      </w:pPr>
    </w:p>
    <w:p>
      <w:pPr>
        <w:spacing w:after="0"/>
        <w:tabs>
          <w:tab w:leader="none" w:pos="6720" w:val="left"/>
        </w:tabs>
        <w:rPr>
          <w:sz w:val="20"/>
          <w:szCs w:val="20"/>
          <w:color w:val="auto"/>
        </w:rPr>
      </w:pPr>
      <w:r>
        <w:rPr>
          <w:rFonts w:ascii="Arial" w:cs="Arial" w:eastAsia="Arial" w:hAnsi="Arial"/>
          <w:sz w:val="15"/>
          <w:szCs w:val="15"/>
          <w:b w:val="1"/>
          <w:bCs w:val="1"/>
          <w:color w:val="auto"/>
        </w:rPr>
        <w:t>PARTICIPANT</w:t>
      </w:r>
      <w:r>
        <w:rPr>
          <w:sz w:val="20"/>
          <w:szCs w:val="20"/>
          <w:color w:val="auto"/>
        </w:rPr>
        <w:tab/>
      </w:r>
      <w:r>
        <w:rPr>
          <w:rFonts w:ascii="Arial" w:cs="Arial" w:eastAsia="Arial" w:hAnsi="Arial"/>
          <w:sz w:val="15"/>
          <w:szCs w:val="15"/>
          <w:b w:val="1"/>
          <w:bCs w:val="1"/>
          <w:color w:val="auto"/>
        </w:rPr>
        <w:t>DROPBOX, INC.</w:t>
      </w:r>
    </w:p>
    <w:p>
      <w:pPr>
        <w:spacing w:after="0" w:line="188"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«N</w:t>
      </w:r>
      <w:r>
        <w:rPr>
          <w:rFonts w:ascii="Arial" w:cs="Arial" w:eastAsia="Arial" w:hAnsi="Arial"/>
          <w:sz w:val="12"/>
          <w:szCs w:val="12"/>
          <w:b w:val="1"/>
          <w:bCs w:val="1"/>
          <w:color w:val="auto"/>
        </w:rPr>
        <w:t>AME</w:t>
      </w:r>
      <w:r>
        <w:rPr>
          <w:rFonts w:ascii="Arial" w:cs="Arial" w:eastAsia="Arial" w:hAnsi="Arial"/>
          <w:sz w:val="15"/>
          <w:szCs w:val="15"/>
          <w:b w:val="1"/>
          <w:bCs w:val="1"/>
          <w:color w:val="auto"/>
        </w:rPr>
        <w:t>»</w:t>
      </w:r>
    </w:p>
    <w:p>
      <w:pPr>
        <w:spacing w:after="0" w:line="192" w:lineRule="exact"/>
        <w:rPr>
          <w:sz w:val="20"/>
          <w:szCs w:val="20"/>
          <w:color w:val="auto"/>
        </w:rPr>
      </w:pPr>
    </w:p>
    <w:p>
      <w:pPr>
        <w:ind w:left="6740"/>
        <w:spacing w:after="0"/>
        <w:rPr>
          <w:sz w:val="20"/>
          <w:szCs w:val="20"/>
          <w:color w:val="auto"/>
        </w:rPr>
      </w:pPr>
      <w:r>
        <w:rPr>
          <w:rFonts w:ascii="Arial" w:cs="Arial" w:eastAsia="Arial" w:hAnsi="Arial"/>
          <w:sz w:val="15"/>
          <w:szCs w:val="15"/>
          <w:color w:val="auto"/>
        </w:rPr>
        <w:t>/s/ Ramsey Homsany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12065</wp:posOffset>
            </wp:positionV>
            <wp:extent cx="7269480" cy="6985"/>
            <wp:wrapNone/>
            <wp:docPr id="760" name="Picture 7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0"/>
                    <pic:cNvPicPr>
                      <a:picLocks noChangeAspect="1" noChangeArrowheads="1"/>
                    </pic:cNvPicPr>
                  </pic:nvPicPr>
                  <pic:blipFill>
                    <a:blip r:embed="rId797">
                      <a:extLst>
                        <a:ext uri="{28A0092B-C50C-407E-A947-70E740481C1C}"/>
                      </a:extLst>
                    </a:blip>
                    <a:srcRect/>
                    <a:stretch>
                      <a:fillRect/>
                    </a:stretch>
                  </pic:blipFill>
                  <pic:spPr bwMode="auto">
                    <a:xfrm>
                      <a:off x="0" y="0"/>
                      <a:ext cx="7269480" cy="6985"/>
                    </a:xfrm>
                    <a:prstGeom prst="rect">
                      <a:avLst/>
                    </a:prstGeom>
                    <a:noFill/>
                  </pic:spPr>
                </pic:pic>
              </a:graphicData>
            </a:graphic>
          </wp:anchor>
        </w:drawing>
      </w:r>
    </w:p>
    <w:p>
      <w:pPr>
        <w:spacing w:after="0" w:line="135"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- 2 -</w:t>
      </w:r>
    </w:p>
    <w:p>
      <w:pPr>
        <w:sectPr>
          <w:pgSz w:w="11900" w:h="16838" w:orient="portrait"/>
          <w:cols w:equalWidth="0" w:num="1">
            <w:col w:w="11440"/>
          </w:cols>
          <w:pgMar w:left="240" w:top="253" w:right="219" w:bottom="1440" w:gutter="0" w:footer="0" w:header="0"/>
        </w:sectPr>
      </w:pPr>
    </w:p>
    <w:bookmarkStart w:id="497" w:name="page498"/>
    <w:bookmarkEnd w:id="497"/>
    <w:p>
      <w:pPr>
        <w:jc w:val="center"/>
        <w:ind w:right="-29"/>
        <w:spacing w:after="0"/>
        <w:rPr>
          <w:sz w:val="20"/>
          <w:szCs w:val="20"/>
          <w:color w:val="auto"/>
        </w:rPr>
      </w:pPr>
      <w:r>
        <w:rPr>
          <w:rFonts w:ascii="Arial" w:cs="Arial" w:eastAsia="Arial" w:hAnsi="Arial"/>
          <w:sz w:val="15"/>
          <w:szCs w:val="15"/>
          <w:b w:val="1"/>
          <w:bCs w:val="1"/>
          <w:color w:val="auto"/>
        </w:rPr>
        <w:drawing>
          <wp:anchor simplePos="0" relativeHeight="251657728" behindDoc="1" locked="0" layoutInCell="0" allowOverlap="1">
            <wp:simplePos x="0" y="0"/>
            <wp:positionH relativeFrom="page">
              <wp:posOffset>133350</wp:posOffset>
            </wp:positionH>
            <wp:positionV relativeFrom="page">
              <wp:posOffset>88900</wp:posOffset>
            </wp:positionV>
            <wp:extent cx="7308850" cy="34290"/>
            <wp:wrapNone/>
            <wp:docPr id="761" name="Picture 7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1"/>
                    <pic:cNvPicPr>
                      <a:picLocks noChangeAspect="1" noChangeArrowheads="1"/>
                    </pic:cNvPicPr>
                  </pic:nvPicPr>
                  <pic:blipFill>
                    <a:blip r:embed="rId798">
                      <a:extLst>
                        <a:ext uri="{28A0092B-C50C-407E-A947-70E740481C1C}"/>
                      </a:extLst>
                    </a:blip>
                    <a:srcRect/>
                    <a:stretch>
                      <a:fillRect/>
                    </a:stretch>
                  </pic:blipFill>
                  <pic:spPr bwMode="auto">
                    <a:xfrm>
                      <a:off x="0" y="0"/>
                      <a:ext cx="7308850" cy="34290"/>
                    </a:xfrm>
                    <a:prstGeom prst="rect">
                      <a:avLst/>
                    </a:prstGeom>
                    <a:noFill/>
                  </pic:spPr>
                </pic:pic>
              </a:graphicData>
            </a:graphic>
          </wp:anchor>
        </w:drawing>
        <w:t>DROPBOX, INC.</w:t>
      </w:r>
    </w:p>
    <w:p>
      <w:pPr>
        <w:spacing w:after="0" w:line="21" w:lineRule="exact"/>
        <w:rPr>
          <w:sz w:val="20"/>
          <w:szCs w:val="20"/>
          <w:color w:val="auto"/>
        </w:rPr>
      </w:pPr>
    </w:p>
    <w:p>
      <w:pPr>
        <w:ind w:left="4750"/>
        <w:spacing w:after="0"/>
        <w:rPr>
          <w:sz w:val="20"/>
          <w:szCs w:val="20"/>
          <w:color w:val="auto"/>
        </w:rPr>
      </w:pPr>
      <w:r>
        <w:rPr>
          <w:rFonts w:ascii="Arial" w:cs="Arial" w:eastAsia="Arial" w:hAnsi="Arial"/>
          <w:sz w:val="15"/>
          <w:szCs w:val="15"/>
          <w:b w:val="1"/>
          <w:bCs w:val="1"/>
          <w:color w:val="auto"/>
        </w:rPr>
        <w:t>RSU A</w:t>
      </w:r>
      <w:r>
        <w:rPr>
          <w:rFonts w:ascii="Arial" w:cs="Arial" w:eastAsia="Arial" w:hAnsi="Arial"/>
          <w:sz w:val="12"/>
          <w:szCs w:val="12"/>
          <w:b w:val="1"/>
          <w:bCs w:val="1"/>
          <w:color w:val="auto"/>
        </w:rPr>
        <w:t>GREEMENT UNDER THE</w:t>
      </w:r>
    </w:p>
    <w:p>
      <w:pPr>
        <w:spacing w:after="0" w:line="8" w:lineRule="exact"/>
        <w:rPr>
          <w:sz w:val="20"/>
          <w:szCs w:val="20"/>
          <w:color w:val="auto"/>
        </w:rPr>
      </w:pPr>
    </w:p>
    <w:p>
      <w:pPr>
        <w:ind w:left="4730"/>
        <w:spacing w:after="0"/>
        <w:rPr>
          <w:sz w:val="20"/>
          <w:szCs w:val="20"/>
          <w:color w:val="auto"/>
        </w:rPr>
      </w:pPr>
      <w:r>
        <w:rPr>
          <w:rFonts w:ascii="Arial" w:cs="Arial" w:eastAsia="Arial" w:hAnsi="Arial"/>
          <w:sz w:val="15"/>
          <w:szCs w:val="15"/>
          <w:b w:val="1"/>
          <w:bCs w:val="1"/>
          <w:color w:val="auto"/>
        </w:rPr>
        <w:t>2008 E</w:t>
      </w:r>
      <w:r>
        <w:rPr>
          <w:rFonts w:ascii="Arial" w:cs="Arial" w:eastAsia="Arial" w:hAnsi="Arial"/>
          <w:sz w:val="12"/>
          <w:szCs w:val="12"/>
          <w:b w:val="1"/>
          <w:bCs w:val="1"/>
          <w:color w:val="auto"/>
        </w:rPr>
        <w:t>QUITY</w:t>
      </w:r>
      <w:r>
        <w:rPr>
          <w:rFonts w:ascii="Arial" w:cs="Arial" w:eastAsia="Arial" w:hAnsi="Arial"/>
          <w:sz w:val="15"/>
          <w:szCs w:val="15"/>
          <w:b w:val="1"/>
          <w:bCs w:val="1"/>
          <w:color w:val="auto"/>
        </w:rPr>
        <w:t xml:space="preserve"> I</w:t>
      </w:r>
      <w:r>
        <w:rPr>
          <w:rFonts w:ascii="Arial" w:cs="Arial" w:eastAsia="Arial" w:hAnsi="Arial"/>
          <w:sz w:val="12"/>
          <w:szCs w:val="12"/>
          <w:b w:val="1"/>
          <w:bCs w:val="1"/>
          <w:color w:val="auto"/>
        </w:rPr>
        <w:t>NCENTIVE</w:t>
      </w:r>
      <w:r>
        <w:rPr>
          <w:rFonts w:ascii="Arial" w:cs="Arial" w:eastAsia="Arial" w:hAnsi="Arial"/>
          <w:sz w:val="15"/>
          <w:szCs w:val="15"/>
          <w:b w:val="1"/>
          <w:bCs w:val="1"/>
          <w:color w:val="auto"/>
        </w:rPr>
        <w:t xml:space="preserve"> P</w:t>
      </w:r>
      <w:r>
        <w:rPr>
          <w:rFonts w:ascii="Arial" w:cs="Arial" w:eastAsia="Arial" w:hAnsi="Arial"/>
          <w:sz w:val="12"/>
          <w:szCs w:val="12"/>
          <w:b w:val="1"/>
          <w:bCs w:val="1"/>
          <w:color w:val="auto"/>
        </w:rPr>
        <w:t>LAN</w:t>
      </w:r>
    </w:p>
    <w:p>
      <w:pPr>
        <w:spacing w:after="0" w:line="179" w:lineRule="exact"/>
        <w:rPr>
          <w:sz w:val="20"/>
          <w:szCs w:val="20"/>
          <w:color w:val="auto"/>
        </w:rPr>
      </w:pPr>
    </w:p>
    <w:p>
      <w:pPr>
        <w:jc w:val="both"/>
        <w:ind w:left="10" w:right="60"/>
        <w:spacing w:after="0" w:line="263" w:lineRule="auto"/>
        <w:rPr>
          <w:sz w:val="20"/>
          <w:szCs w:val="20"/>
          <w:color w:val="auto"/>
        </w:rPr>
      </w:pPr>
      <w:r>
        <w:rPr>
          <w:rFonts w:ascii="Arial" w:cs="Arial" w:eastAsia="Arial" w:hAnsi="Arial"/>
          <w:sz w:val="15"/>
          <w:szCs w:val="15"/>
          <w:color w:val="auto"/>
        </w:rPr>
        <w:t>You have been granted Restricted Stock Units (“</w:t>
      </w:r>
      <w:r>
        <w:rPr>
          <w:rFonts w:ascii="Arial" w:cs="Arial" w:eastAsia="Arial" w:hAnsi="Arial"/>
          <w:sz w:val="15"/>
          <w:szCs w:val="15"/>
          <w:b w:val="1"/>
          <w:bCs w:val="1"/>
          <w:i w:val="1"/>
          <w:iCs w:val="1"/>
          <w:color w:val="auto"/>
        </w:rPr>
        <w:t>RSUs</w:t>
      </w:r>
      <w:r>
        <w:rPr>
          <w:rFonts w:ascii="Arial" w:cs="Arial" w:eastAsia="Arial" w:hAnsi="Arial"/>
          <w:sz w:val="15"/>
          <w:szCs w:val="15"/>
          <w:color w:val="auto"/>
        </w:rPr>
        <w:t>”) subject to the terms, restrictions and conditions of the Company’s 2008 Equity Incentive Plan (the “</w:t>
      </w:r>
      <w:r>
        <w:rPr>
          <w:rFonts w:ascii="Arial" w:cs="Arial" w:eastAsia="Arial" w:hAnsi="Arial"/>
          <w:sz w:val="15"/>
          <w:szCs w:val="15"/>
          <w:b w:val="1"/>
          <w:bCs w:val="1"/>
          <w:i w:val="1"/>
          <w:iCs w:val="1"/>
          <w:color w:val="auto"/>
        </w:rPr>
        <w:t>Plan</w:t>
      </w:r>
      <w:r>
        <w:rPr>
          <w:rFonts w:ascii="Arial" w:cs="Arial" w:eastAsia="Arial" w:hAnsi="Arial"/>
          <w:sz w:val="15"/>
          <w:szCs w:val="15"/>
          <w:color w:val="auto"/>
        </w:rPr>
        <w:t>”), the Notice of Restricted Stock Unit Award (“</w:t>
      </w:r>
      <w:r>
        <w:rPr>
          <w:rFonts w:ascii="Arial" w:cs="Arial" w:eastAsia="Arial" w:hAnsi="Arial"/>
          <w:sz w:val="15"/>
          <w:szCs w:val="15"/>
          <w:b w:val="1"/>
          <w:bCs w:val="1"/>
          <w:i w:val="1"/>
          <w:iCs w:val="1"/>
          <w:color w:val="auto"/>
        </w:rPr>
        <w:t>Notice of Grant</w:t>
      </w:r>
      <w:r>
        <w:rPr>
          <w:rFonts w:ascii="Arial" w:cs="Arial" w:eastAsia="Arial" w:hAnsi="Arial"/>
          <w:sz w:val="15"/>
          <w:szCs w:val="15"/>
          <w:color w:val="auto"/>
        </w:rPr>
        <w:t>”) and this Agreement. Unless otherwise defined herein, the terms defined in the Plan shall have the same defined meanings in this RSU Agreement (the “</w:t>
      </w:r>
      <w:r>
        <w:rPr>
          <w:rFonts w:ascii="Arial" w:cs="Arial" w:eastAsia="Arial" w:hAnsi="Arial"/>
          <w:sz w:val="15"/>
          <w:szCs w:val="15"/>
          <w:b w:val="1"/>
          <w:bCs w:val="1"/>
          <w:i w:val="1"/>
          <w:iCs w:val="1"/>
          <w:color w:val="auto"/>
        </w:rPr>
        <w:t>Agreement</w:t>
      </w:r>
      <w:r>
        <w:rPr>
          <w:rFonts w:ascii="Arial" w:cs="Arial" w:eastAsia="Arial" w:hAnsi="Arial"/>
          <w:sz w:val="15"/>
          <w:szCs w:val="15"/>
          <w:color w:val="auto"/>
        </w:rPr>
        <w:t>”).</w:t>
      </w:r>
    </w:p>
    <w:p>
      <w:pPr>
        <w:spacing w:after="0" w:line="151" w:lineRule="exact"/>
        <w:rPr>
          <w:sz w:val="20"/>
          <w:szCs w:val="20"/>
          <w:color w:val="auto"/>
        </w:rPr>
      </w:pPr>
    </w:p>
    <w:p>
      <w:pPr>
        <w:ind w:left="10" w:right="180" w:hanging="10"/>
        <w:spacing w:after="0" w:line="280" w:lineRule="auto"/>
        <w:tabs>
          <w:tab w:leader="none" w:pos="160" w:val="left"/>
        </w:tabs>
        <w:numPr>
          <w:ilvl w:val="0"/>
          <w:numId w:val="469"/>
        </w:numPr>
        <w:rPr>
          <w:rFonts w:ascii="Arial" w:cs="Arial" w:eastAsia="Arial" w:hAnsi="Arial"/>
          <w:sz w:val="15"/>
          <w:szCs w:val="15"/>
          <w:b w:val="1"/>
          <w:bCs w:val="1"/>
          <w:color w:val="auto"/>
        </w:rPr>
      </w:pPr>
      <w:r>
        <w:rPr>
          <w:rFonts w:ascii="Arial" w:cs="Arial" w:eastAsia="Arial" w:hAnsi="Arial"/>
          <w:sz w:val="15"/>
          <w:szCs w:val="15"/>
          <w:b w:val="1"/>
          <w:bCs w:val="1"/>
          <w:u w:val="single" w:color="auto"/>
          <w:color w:val="auto"/>
        </w:rPr>
        <w:t>No Stockholder Rights</w:t>
      </w:r>
      <w:r>
        <w:rPr>
          <w:rFonts w:ascii="Arial" w:cs="Arial" w:eastAsia="Arial" w:hAnsi="Arial"/>
          <w:sz w:val="15"/>
          <w:szCs w:val="15"/>
          <w:b w:val="1"/>
          <w:bCs w:val="1"/>
          <w:color w:val="auto"/>
        </w:rPr>
        <w:t xml:space="preserve">. </w:t>
      </w:r>
      <w:r>
        <w:rPr>
          <w:rFonts w:ascii="Arial" w:cs="Arial" w:eastAsia="Arial" w:hAnsi="Arial"/>
          <w:sz w:val="15"/>
          <w:szCs w:val="15"/>
          <w:color w:val="auto"/>
        </w:rPr>
        <w:t>Unless and until such time as Shares are issued in settlement of vested RSUs, Participant shall have no ownership of the Shares allocated to the RSUs and shall</w:t>
      </w:r>
      <w:r>
        <w:rPr>
          <w:rFonts w:ascii="Arial" w:cs="Arial" w:eastAsia="Arial" w:hAnsi="Arial"/>
          <w:sz w:val="15"/>
          <w:szCs w:val="15"/>
          <w:b w:val="1"/>
          <w:bCs w:val="1"/>
          <w:color w:val="auto"/>
        </w:rPr>
        <w:t xml:space="preserve"> </w:t>
      </w:r>
      <w:r>
        <w:rPr>
          <w:rFonts w:ascii="Arial" w:cs="Arial" w:eastAsia="Arial" w:hAnsi="Arial"/>
          <w:sz w:val="15"/>
          <w:szCs w:val="15"/>
          <w:color w:val="auto"/>
        </w:rPr>
        <w:t>have no right to dividends or to vote such Shares.</w:t>
      </w:r>
    </w:p>
    <w:p>
      <w:pPr>
        <w:spacing w:after="0" w:line="138" w:lineRule="exact"/>
        <w:rPr>
          <w:rFonts w:ascii="Arial" w:cs="Arial" w:eastAsia="Arial" w:hAnsi="Arial"/>
          <w:sz w:val="15"/>
          <w:szCs w:val="15"/>
          <w:b w:val="1"/>
          <w:bCs w:val="1"/>
          <w:color w:val="auto"/>
        </w:rPr>
      </w:pPr>
    </w:p>
    <w:p>
      <w:pPr>
        <w:ind w:left="150" w:hanging="150"/>
        <w:spacing w:after="0"/>
        <w:tabs>
          <w:tab w:leader="none" w:pos="150" w:val="left"/>
        </w:tabs>
        <w:numPr>
          <w:ilvl w:val="0"/>
          <w:numId w:val="469"/>
        </w:numPr>
        <w:rPr>
          <w:rFonts w:ascii="Arial" w:cs="Arial" w:eastAsia="Arial" w:hAnsi="Arial"/>
          <w:sz w:val="15"/>
          <w:szCs w:val="15"/>
          <w:b w:val="1"/>
          <w:bCs w:val="1"/>
          <w:color w:val="auto"/>
        </w:rPr>
      </w:pPr>
      <w:r>
        <w:rPr>
          <w:rFonts w:ascii="Arial" w:cs="Arial" w:eastAsia="Arial" w:hAnsi="Arial"/>
          <w:sz w:val="15"/>
          <w:szCs w:val="15"/>
          <w:b w:val="1"/>
          <w:bCs w:val="1"/>
          <w:u w:val="single" w:color="auto"/>
          <w:color w:val="auto"/>
        </w:rPr>
        <w:t>Dividend Equivalents</w:t>
      </w:r>
      <w:r>
        <w:rPr>
          <w:rFonts w:ascii="Arial" w:cs="Arial" w:eastAsia="Arial" w:hAnsi="Arial"/>
          <w:sz w:val="15"/>
          <w:szCs w:val="15"/>
          <w:b w:val="1"/>
          <w:bCs w:val="1"/>
          <w:color w:val="auto"/>
        </w:rPr>
        <w:t xml:space="preserve">. </w:t>
      </w:r>
      <w:r>
        <w:rPr>
          <w:rFonts w:ascii="Arial" w:cs="Arial" w:eastAsia="Arial" w:hAnsi="Arial"/>
          <w:sz w:val="15"/>
          <w:szCs w:val="15"/>
          <w:color w:val="auto"/>
        </w:rPr>
        <w:t>Cash dividends, if any, shall not be credited to Participant.</w:t>
      </w:r>
    </w:p>
    <w:p>
      <w:pPr>
        <w:spacing w:after="0" w:line="188" w:lineRule="exact"/>
        <w:rPr>
          <w:rFonts w:ascii="Arial" w:cs="Arial" w:eastAsia="Arial" w:hAnsi="Arial"/>
          <w:sz w:val="15"/>
          <w:szCs w:val="15"/>
          <w:b w:val="1"/>
          <w:bCs w:val="1"/>
          <w:color w:val="auto"/>
        </w:rPr>
      </w:pPr>
    </w:p>
    <w:p>
      <w:pPr>
        <w:ind w:left="10" w:right="120" w:hanging="10"/>
        <w:spacing w:after="0" w:line="285" w:lineRule="auto"/>
        <w:tabs>
          <w:tab w:leader="none" w:pos="160" w:val="left"/>
        </w:tabs>
        <w:numPr>
          <w:ilvl w:val="0"/>
          <w:numId w:val="469"/>
        </w:numPr>
        <w:rPr>
          <w:rFonts w:ascii="Arial" w:cs="Arial" w:eastAsia="Arial" w:hAnsi="Arial"/>
          <w:sz w:val="14"/>
          <w:szCs w:val="14"/>
          <w:b w:val="1"/>
          <w:bCs w:val="1"/>
          <w:color w:val="auto"/>
        </w:rPr>
      </w:pPr>
      <w:r>
        <w:rPr>
          <w:rFonts w:ascii="Arial" w:cs="Arial" w:eastAsia="Arial" w:hAnsi="Arial"/>
          <w:sz w:val="14"/>
          <w:szCs w:val="14"/>
          <w:b w:val="1"/>
          <w:bCs w:val="1"/>
          <w:u w:val="single" w:color="auto"/>
          <w:color w:val="auto"/>
        </w:rPr>
        <w:t>No Transfer</w:t>
      </w:r>
      <w:r>
        <w:rPr>
          <w:rFonts w:ascii="Arial" w:cs="Arial" w:eastAsia="Arial" w:hAnsi="Arial"/>
          <w:sz w:val="14"/>
          <w:szCs w:val="14"/>
          <w:b w:val="1"/>
          <w:bCs w:val="1"/>
          <w:color w:val="auto"/>
        </w:rPr>
        <w:t xml:space="preserve">. </w:t>
      </w:r>
      <w:r>
        <w:rPr>
          <w:rFonts w:ascii="Arial" w:cs="Arial" w:eastAsia="Arial" w:hAnsi="Arial"/>
          <w:sz w:val="14"/>
          <w:szCs w:val="14"/>
          <w:color w:val="auto"/>
        </w:rPr>
        <w:t>The RSUs and any interest therein shall not be sold, assigned, transferred, pledged, hypothecated, or otherwise disposed of, other than by will or by the laws of descent and</w:t>
      </w:r>
      <w:r>
        <w:rPr>
          <w:rFonts w:ascii="Arial" w:cs="Arial" w:eastAsia="Arial" w:hAnsi="Arial"/>
          <w:sz w:val="14"/>
          <w:szCs w:val="14"/>
          <w:b w:val="1"/>
          <w:bCs w:val="1"/>
          <w:color w:val="auto"/>
        </w:rPr>
        <w:t xml:space="preserve"> </w:t>
      </w:r>
      <w:r>
        <w:rPr>
          <w:rFonts w:ascii="Arial" w:cs="Arial" w:eastAsia="Arial" w:hAnsi="Arial"/>
          <w:sz w:val="14"/>
          <w:szCs w:val="14"/>
          <w:color w:val="auto"/>
        </w:rPr>
        <w:t>distribution. Notwithstanding the foregoing, Participant may, in the manner established by the Committee, designate a beneficiary or beneficiaries to exercise the rights of Participant and receive any property distributable with respect to the RSUs upon the death of Participant. Any transferee who receives an interest in the RSU or the underlying Shares upon the death of Participant shall acknowledge in writing that the RSU shall continue to be subject to the restrictions set forth in this Section 3.</w:t>
      </w:r>
    </w:p>
    <w:p>
      <w:pPr>
        <w:spacing w:after="0" w:line="137" w:lineRule="exact"/>
        <w:rPr>
          <w:rFonts w:ascii="Arial" w:cs="Arial" w:eastAsia="Arial" w:hAnsi="Arial"/>
          <w:sz w:val="14"/>
          <w:szCs w:val="14"/>
          <w:b w:val="1"/>
          <w:bCs w:val="1"/>
          <w:color w:val="auto"/>
        </w:rPr>
      </w:pPr>
    </w:p>
    <w:p>
      <w:pPr>
        <w:ind w:left="10" w:right="320" w:hanging="10"/>
        <w:spacing w:after="0" w:line="293" w:lineRule="auto"/>
        <w:tabs>
          <w:tab w:leader="none" w:pos="160" w:val="left"/>
        </w:tabs>
        <w:numPr>
          <w:ilvl w:val="0"/>
          <w:numId w:val="469"/>
        </w:numPr>
        <w:rPr>
          <w:rFonts w:ascii="Arial" w:cs="Arial" w:eastAsia="Arial" w:hAnsi="Arial"/>
          <w:sz w:val="14"/>
          <w:szCs w:val="14"/>
          <w:b w:val="1"/>
          <w:bCs w:val="1"/>
          <w:color w:val="auto"/>
        </w:rPr>
      </w:pPr>
      <w:r>
        <w:rPr>
          <w:rFonts w:ascii="Arial" w:cs="Arial" w:eastAsia="Arial" w:hAnsi="Arial"/>
          <w:sz w:val="14"/>
          <w:szCs w:val="14"/>
          <w:b w:val="1"/>
          <w:bCs w:val="1"/>
          <w:u w:val="single" w:color="auto"/>
          <w:color w:val="auto"/>
        </w:rPr>
        <w:t>Termination</w:t>
      </w:r>
      <w:r>
        <w:rPr>
          <w:rFonts w:ascii="Arial" w:cs="Arial" w:eastAsia="Arial" w:hAnsi="Arial"/>
          <w:sz w:val="14"/>
          <w:szCs w:val="14"/>
          <w:b w:val="1"/>
          <w:bCs w:val="1"/>
          <w:color w:val="auto"/>
        </w:rPr>
        <w:t xml:space="preserve">. </w:t>
      </w:r>
      <w:r>
        <w:rPr>
          <w:rFonts w:ascii="Arial" w:cs="Arial" w:eastAsia="Arial" w:hAnsi="Arial"/>
          <w:sz w:val="14"/>
          <w:szCs w:val="14"/>
          <w:color w:val="auto"/>
        </w:rPr>
        <w:t>If Participant’s Continuous Service Status terminates for any reason, all RSUs for which vesting is no longer possible under the terms of the Notice of Grant and this</w:t>
      </w:r>
      <w:r>
        <w:rPr>
          <w:rFonts w:ascii="Arial" w:cs="Arial" w:eastAsia="Arial" w:hAnsi="Arial"/>
          <w:sz w:val="14"/>
          <w:szCs w:val="14"/>
          <w:b w:val="1"/>
          <w:bCs w:val="1"/>
          <w:color w:val="auto"/>
        </w:rPr>
        <w:t xml:space="preserve"> </w:t>
      </w:r>
      <w:r>
        <w:rPr>
          <w:rFonts w:ascii="Arial" w:cs="Arial" w:eastAsia="Arial" w:hAnsi="Arial"/>
          <w:sz w:val="14"/>
          <w:szCs w:val="14"/>
          <w:color w:val="auto"/>
        </w:rPr>
        <w:t>Agreement shall be forfeited to the Company forthwith, and all rights of Participant to such RSUs shall immediately terminate. In case of any dispute as to whether such termination has occurred, the Committee shall have sole discretion to determine whether such termination has occurred and the effective date of such termination.</w:t>
      </w:r>
    </w:p>
    <w:p>
      <w:pPr>
        <w:spacing w:after="0" w:line="132" w:lineRule="exact"/>
        <w:rPr>
          <w:rFonts w:ascii="Arial" w:cs="Arial" w:eastAsia="Arial" w:hAnsi="Arial"/>
          <w:sz w:val="14"/>
          <w:szCs w:val="14"/>
          <w:b w:val="1"/>
          <w:bCs w:val="1"/>
          <w:color w:val="auto"/>
        </w:rPr>
      </w:pPr>
    </w:p>
    <w:p>
      <w:pPr>
        <w:ind w:left="10" w:right="140" w:hanging="10"/>
        <w:spacing w:after="0" w:line="293" w:lineRule="auto"/>
        <w:tabs>
          <w:tab w:leader="none" w:pos="160" w:val="left"/>
        </w:tabs>
        <w:numPr>
          <w:ilvl w:val="0"/>
          <w:numId w:val="469"/>
        </w:numPr>
        <w:rPr>
          <w:rFonts w:ascii="Arial" w:cs="Arial" w:eastAsia="Arial" w:hAnsi="Arial"/>
          <w:sz w:val="14"/>
          <w:szCs w:val="14"/>
          <w:b w:val="1"/>
          <w:bCs w:val="1"/>
          <w:color w:val="auto"/>
        </w:rPr>
      </w:pPr>
      <w:r>
        <w:rPr>
          <w:rFonts w:ascii="Arial" w:cs="Arial" w:eastAsia="Arial" w:hAnsi="Arial"/>
          <w:sz w:val="14"/>
          <w:szCs w:val="14"/>
          <w:b w:val="1"/>
          <w:bCs w:val="1"/>
          <w:u w:val="single" w:color="auto"/>
          <w:color w:val="auto"/>
        </w:rPr>
        <w:t>Acknowledgement</w:t>
      </w:r>
      <w:r>
        <w:rPr>
          <w:rFonts w:ascii="Arial" w:cs="Arial" w:eastAsia="Arial" w:hAnsi="Arial"/>
          <w:sz w:val="14"/>
          <w:szCs w:val="14"/>
          <w:b w:val="1"/>
          <w:bCs w:val="1"/>
          <w:color w:val="auto"/>
        </w:rPr>
        <w:t xml:space="preserve">. </w:t>
      </w:r>
      <w:r>
        <w:rPr>
          <w:rFonts w:ascii="Arial" w:cs="Arial" w:eastAsia="Arial" w:hAnsi="Arial"/>
          <w:sz w:val="14"/>
          <w:szCs w:val="14"/>
          <w:color w:val="auto"/>
        </w:rPr>
        <w:t>The Company and Participant agree that the RSUs are granted under and governed by the Notice of Grant, this Agreement and by the provisions of the Plan</w:t>
      </w:r>
      <w:r>
        <w:rPr>
          <w:rFonts w:ascii="Arial" w:cs="Arial" w:eastAsia="Arial" w:hAnsi="Arial"/>
          <w:sz w:val="14"/>
          <w:szCs w:val="14"/>
          <w:b w:val="1"/>
          <w:bCs w:val="1"/>
          <w:color w:val="auto"/>
        </w:rPr>
        <w:t xml:space="preserve"> </w:t>
      </w:r>
      <w:r>
        <w:rPr>
          <w:rFonts w:ascii="Arial" w:cs="Arial" w:eastAsia="Arial" w:hAnsi="Arial"/>
          <w:sz w:val="14"/>
          <w:szCs w:val="14"/>
          <w:color w:val="auto"/>
        </w:rPr>
        <w:t>(incorporated herein by reference). Participant: (i) acknowledges receipt of a copy of each of the foregoing documents, (ii) represents that Participant has carefully read and is familiar with their provisions, and (iii) hereby accepts the RSUs subject to all of the terms and conditions set forth herein and those set forth in the Plan and the Notice of Grant.</w:t>
      </w:r>
    </w:p>
    <w:p>
      <w:pPr>
        <w:spacing w:after="0" w:line="132" w:lineRule="exact"/>
        <w:rPr>
          <w:rFonts w:ascii="Arial" w:cs="Arial" w:eastAsia="Arial" w:hAnsi="Arial"/>
          <w:sz w:val="14"/>
          <w:szCs w:val="14"/>
          <w:b w:val="1"/>
          <w:bCs w:val="1"/>
          <w:color w:val="auto"/>
        </w:rPr>
      </w:pPr>
    </w:p>
    <w:p>
      <w:pPr>
        <w:ind w:left="10" w:hanging="10"/>
        <w:spacing w:after="0" w:line="258" w:lineRule="auto"/>
        <w:tabs>
          <w:tab w:leader="none" w:pos="160" w:val="left"/>
        </w:tabs>
        <w:numPr>
          <w:ilvl w:val="0"/>
          <w:numId w:val="469"/>
        </w:numPr>
        <w:rPr>
          <w:rFonts w:ascii="Arial" w:cs="Arial" w:eastAsia="Arial" w:hAnsi="Arial"/>
          <w:sz w:val="15"/>
          <w:szCs w:val="15"/>
          <w:b w:val="1"/>
          <w:bCs w:val="1"/>
          <w:color w:val="auto"/>
        </w:rPr>
      </w:pPr>
      <w:r>
        <w:rPr>
          <w:rFonts w:ascii="Arial" w:cs="Arial" w:eastAsia="Arial" w:hAnsi="Arial"/>
          <w:sz w:val="15"/>
          <w:szCs w:val="15"/>
          <w:b w:val="1"/>
          <w:bCs w:val="1"/>
          <w:u w:val="single" w:color="auto"/>
          <w:color w:val="auto"/>
        </w:rPr>
        <w:t>Limitations on Transfer of Stock</w:t>
      </w:r>
      <w:r>
        <w:rPr>
          <w:rFonts w:ascii="Arial" w:cs="Arial" w:eastAsia="Arial" w:hAnsi="Arial"/>
          <w:sz w:val="15"/>
          <w:szCs w:val="15"/>
          <w:b w:val="1"/>
          <w:bCs w:val="1"/>
          <w:color w:val="auto"/>
        </w:rPr>
        <w:t xml:space="preserve">. </w:t>
      </w:r>
      <w:r>
        <w:rPr>
          <w:rFonts w:ascii="Arial" w:cs="Arial" w:eastAsia="Arial" w:hAnsi="Arial"/>
          <w:sz w:val="15"/>
          <w:szCs w:val="15"/>
          <w:color w:val="auto"/>
        </w:rPr>
        <w:t>In addition to any other limitation on transfer created by applicable securities laws, Participant shall not assign, encumber or dispose of any interest in</w:t>
      </w:r>
      <w:r>
        <w:rPr>
          <w:rFonts w:ascii="Arial" w:cs="Arial" w:eastAsia="Arial" w:hAnsi="Arial"/>
          <w:sz w:val="15"/>
          <w:szCs w:val="15"/>
          <w:b w:val="1"/>
          <w:bCs w:val="1"/>
          <w:color w:val="auto"/>
        </w:rPr>
        <w:t xml:space="preserve"> </w:t>
      </w:r>
      <w:r>
        <w:rPr>
          <w:rFonts w:ascii="Arial" w:cs="Arial" w:eastAsia="Arial" w:hAnsi="Arial"/>
          <w:sz w:val="15"/>
          <w:szCs w:val="15"/>
          <w:color w:val="auto"/>
        </w:rPr>
        <w:t>the Shares issued pursuant to this Agreement except with the Company’s prior written consent and in compliance with the provisions of Article 12 of the Plan, the Company’s then current Insider Trading Policy, and applicable securities laws. The restrictions on transfer also include a prohibition on any short position, any “put equivalent position” or any “call equivalent position” by the RSU holder with respect to the RSU itself as well as any shares issuable upon settlement of the RSU prior to the settlement thereof until the Company becomes subject to the reporting requirements of Section 13 or 15(d) of the Exchange Act.</w:t>
      </w:r>
    </w:p>
    <w:p>
      <w:pPr>
        <w:spacing w:after="0" w:line="155" w:lineRule="exact"/>
        <w:rPr>
          <w:rFonts w:ascii="Arial" w:cs="Arial" w:eastAsia="Arial" w:hAnsi="Arial"/>
          <w:sz w:val="15"/>
          <w:szCs w:val="15"/>
          <w:b w:val="1"/>
          <w:bCs w:val="1"/>
          <w:color w:val="auto"/>
        </w:rPr>
      </w:pPr>
    </w:p>
    <w:p>
      <w:pPr>
        <w:ind w:left="10" w:right="140" w:hanging="10"/>
        <w:spacing w:after="0" w:line="266" w:lineRule="auto"/>
        <w:tabs>
          <w:tab w:leader="none" w:pos="160" w:val="left"/>
        </w:tabs>
        <w:numPr>
          <w:ilvl w:val="0"/>
          <w:numId w:val="469"/>
        </w:numPr>
        <w:rPr>
          <w:rFonts w:ascii="Arial" w:cs="Arial" w:eastAsia="Arial" w:hAnsi="Arial"/>
          <w:sz w:val="15"/>
          <w:szCs w:val="15"/>
          <w:b w:val="1"/>
          <w:bCs w:val="1"/>
          <w:color w:val="auto"/>
        </w:rPr>
      </w:pPr>
      <w:r>
        <w:rPr>
          <w:rFonts w:ascii="Arial" w:cs="Arial" w:eastAsia="Arial" w:hAnsi="Arial"/>
          <w:sz w:val="15"/>
          <w:szCs w:val="15"/>
          <w:b w:val="1"/>
          <w:bCs w:val="1"/>
          <w:u w:val="single" w:color="auto"/>
          <w:color w:val="auto"/>
        </w:rPr>
        <w:t>Restrictions Binding on Transferees</w:t>
      </w:r>
      <w:r>
        <w:rPr>
          <w:rFonts w:ascii="Arial" w:cs="Arial" w:eastAsia="Arial" w:hAnsi="Arial"/>
          <w:sz w:val="15"/>
          <w:szCs w:val="15"/>
          <w:b w:val="1"/>
          <w:bCs w:val="1"/>
          <w:color w:val="auto"/>
        </w:rPr>
        <w:t xml:space="preserve">. </w:t>
      </w:r>
      <w:r>
        <w:rPr>
          <w:rFonts w:ascii="Arial" w:cs="Arial" w:eastAsia="Arial" w:hAnsi="Arial"/>
          <w:sz w:val="15"/>
          <w:szCs w:val="15"/>
          <w:color w:val="auto"/>
        </w:rPr>
        <w:t>All transferees of Shares or any interest therein will receive and hold such shares or interest subject to the provisions of this Agreement, including</w:t>
      </w:r>
      <w:r>
        <w:rPr>
          <w:rFonts w:ascii="Arial" w:cs="Arial" w:eastAsia="Arial" w:hAnsi="Arial"/>
          <w:sz w:val="15"/>
          <w:szCs w:val="15"/>
          <w:b w:val="1"/>
          <w:bCs w:val="1"/>
          <w:color w:val="auto"/>
        </w:rPr>
        <w:t xml:space="preserve"> </w:t>
      </w:r>
      <w:r>
        <w:rPr>
          <w:rFonts w:ascii="Arial" w:cs="Arial" w:eastAsia="Arial" w:hAnsi="Arial"/>
          <w:sz w:val="15"/>
          <w:szCs w:val="15"/>
          <w:color w:val="auto"/>
        </w:rPr>
        <w:t>the transfer restrictions of Sections 3 and 6, and the transferee shall acknowledge such restrictions in writing. Any sale or transfer of the Shares shall be void unless the provisions of this Agreement are satisfied.</w:t>
      </w:r>
    </w:p>
    <w:p>
      <w:pPr>
        <w:spacing w:after="0" w:line="148" w:lineRule="exact"/>
        <w:rPr>
          <w:rFonts w:ascii="Arial" w:cs="Arial" w:eastAsia="Arial" w:hAnsi="Arial"/>
          <w:sz w:val="15"/>
          <w:szCs w:val="15"/>
          <w:b w:val="1"/>
          <w:bCs w:val="1"/>
          <w:color w:val="auto"/>
        </w:rPr>
      </w:pPr>
    </w:p>
    <w:p>
      <w:pPr>
        <w:ind w:left="10" w:right="20" w:hanging="10"/>
        <w:spacing w:after="0" w:line="280" w:lineRule="auto"/>
        <w:tabs>
          <w:tab w:leader="none" w:pos="160" w:val="left"/>
        </w:tabs>
        <w:numPr>
          <w:ilvl w:val="0"/>
          <w:numId w:val="469"/>
        </w:numPr>
        <w:rPr>
          <w:rFonts w:ascii="Arial" w:cs="Arial" w:eastAsia="Arial" w:hAnsi="Arial"/>
          <w:sz w:val="15"/>
          <w:szCs w:val="15"/>
          <w:b w:val="1"/>
          <w:bCs w:val="1"/>
          <w:color w:val="auto"/>
        </w:rPr>
      </w:pPr>
      <w:r>
        <w:rPr>
          <w:rFonts w:ascii="Arial" w:cs="Arial" w:eastAsia="Arial" w:hAnsi="Arial"/>
          <w:sz w:val="15"/>
          <w:szCs w:val="15"/>
          <w:b w:val="1"/>
          <w:bCs w:val="1"/>
          <w:u w:val="single" w:color="auto"/>
          <w:color w:val="auto"/>
        </w:rPr>
        <w:t>Withholding of Tax</w:t>
      </w:r>
      <w:r>
        <w:rPr>
          <w:rFonts w:ascii="Arial" w:cs="Arial" w:eastAsia="Arial" w:hAnsi="Arial"/>
          <w:sz w:val="15"/>
          <w:szCs w:val="15"/>
          <w:b w:val="1"/>
          <w:bCs w:val="1"/>
          <w:color w:val="auto"/>
        </w:rPr>
        <w:t xml:space="preserve">. </w:t>
      </w:r>
      <w:r>
        <w:rPr>
          <w:rFonts w:ascii="Arial" w:cs="Arial" w:eastAsia="Arial" w:hAnsi="Arial"/>
          <w:sz w:val="15"/>
          <w:szCs w:val="15"/>
          <w:color w:val="auto"/>
        </w:rPr>
        <w:t>When the RSUs are vested and/or settled the fair market value of the Shares is treated as income subject to withholding by the Company for income and employment</w:t>
      </w:r>
      <w:r>
        <w:rPr>
          <w:rFonts w:ascii="Arial" w:cs="Arial" w:eastAsia="Arial" w:hAnsi="Arial"/>
          <w:sz w:val="15"/>
          <w:szCs w:val="15"/>
          <w:b w:val="1"/>
          <w:bCs w:val="1"/>
          <w:color w:val="auto"/>
        </w:rPr>
        <w:t xml:space="preserve"> </w:t>
      </w:r>
      <w:r>
        <w:rPr>
          <w:rFonts w:ascii="Arial" w:cs="Arial" w:eastAsia="Arial" w:hAnsi="Arial"/>
          <w:sz w:val="15"/>
          <w:szCs w:val="15"/>
          <w:color w:val="auto"/>
        </w:rPr>
        <w:t>taxes if</w:t>
      </w:r>
    </w:p>
    <w:p>
      <w:pPr>
        <w:sectPr>
          <w:pgSz w:w="11900" w:h="16838" w:orient="portrait"/>
          <w:cols w:equalWidth="0" w:num="1">
            <w:col w:w="11430"/>
          </w:cols>
          <w:pgMar w:left="230" w:top="249" w:right="239" w:bottom="1440" w:gutter="0" w:footer="0" w:header="0"/>
        </w:sectPr>
      </w:pPr>
    </w:p>
    <w:bookmarkStart w:id="498" w:name="page499"/>
    <w:bookmarkEnd w:id="498"/>
    <w:p>
      <w:pPr>
        <w:ind w:left="10" w:right="300"/>
        <w:spacing w:after="0" w:line="263"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133350</wp:posOffset>
            </wp:positionH>
            <wp:positionV relativeFrom="page">
              <wp:posOffset>88900</wp:posOffset>
            </wp:positionV>
            <wp:extent cx="7308850" cy="34290"/>
            <wp:wrapNone/>
            <wp:docPr id="762" name="Picture 7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2"/>
                    <pic:cNvPicPr>
                      <a:picLocks noChangeAspect="1" noChangeArrowheads="1"/>
                    </pic:cNvPicPr>
                  </pic:nvPicPr>
                  <pic:blipFill>
                    <a:blip r:embed="rId799">
                      <a:extLst>
                        <a:ext uri="{28A0092B-C50C-407E-A947-70E740481C1C}"/>
                      </a:extLst>
                    </a:blip>
                    <a:srcRect/>
                    <a:stretch>
                      <a:fillRect/>
                    </a:stretch>
                  </pic:blipFill>
                  <pic:spPr bwMode="auto">
                    <a:xfrm>
                      <a:off x="0" y="0"/>
                      <a:ext cx="7308850" cy="34290"/>
                    </a:xfrm>
                    <a:prstGeom prst="rect">
                      <a:avLst/>
                    </a:prstGeom>
                    <a:noFill/>
                  </pic:spPr>
                </pic:pic>
              </a:graphicData>
            </a:graphic>
          </wp:anchor>
        </w:drawing>
        <w:t>Participant is or was an employee of the Company. The Company shall withhold an amount equal to the tax due at vesting and/or settlement from the Participant’s other compensation or require Participant to remit to the Company an amount equal to the tax then due. In its sole discretion, the Company may instead withhold a number of Shares with a fair market value (determined on the date the Shares are settled) equal to the minimum amount the Company is then required to withhold for taxes.</w:t>
      </w:r>
    </w:p>
    <w:p>
      <w:pPr>
        <w:spacing w:after="0" w:line="151" w:lineRule="exact"/>
        <w:rPr>
          <w:sz w:val="20"/>
          <w:szCs w:val="20"/>
          <w:color w:val="auto"/>
        </w:rPr>
      </w:pPr>
    </w:p>
    <w:p>
      <w:pPr>
        <w:ind w:left="10" w:right="40" w:hanging="10"/>
        <w:spacing w:after="0" w:line="273" w:lineRule="auto"/>
        <w:tabs>
          <w:tab w:leader="none" w:pos="160" w:val="left"/>
        </w:tabs>
        <w:numPr>
          <w:ilvl w:val="0"/>
          <w:numId w:val="470"/>
        </w:numPr>
        <w:rPr>
          <w:rFonts w:ascii="Arial" w:cs="Arial" w:eastAsia="Arial" w:hAnsi="Arial"/>
          <w:sz w:val="14"/>
          <w:szCs w:val="14"/>
          <w:b w:val="1"/>
          <w:bCs w:val="1"/>
          <w:color w:val="auto"/>
        </w:rPr>
      </w:pPr>
      <w:r>
        <w:rPr>
          <w:rFonts w:ascii="Arial" w:cs="Arial" w:eastAsia="Arial" w:hAnsi="Arial"/>
          <w:sz w:val="14"/>
          <w:szCs w:val="14"/>
          <w:b w:val="1"/>
          <w:bCs w:val="1"/>
          <w:u w:val="single" w:color="auto"/>
          <w:color w:val="auto"/>
        </w:rPr>
        <w:t>Code Section 409A</w:t>
      </w:r>
      <w:r>
        <w:rPr>
          <w:rFonts w:ascii="Arial" w:cs="Arial" w:eastAsia="Arial" w:hAnsi="Arial"/>
          <w:sz w:val="14"/>
          <w:szCs w:val="14"/>
          <w:color w:val="auto"/>
        </w:rPr>
        <w:t>. For purposes of this Agreement, a termination of employment will be determined consistent with the rules relating to a “separation from service” as defined in</w:t>
      </w:r>
      <w:r>
        <w:rPr>
          <w:rFonts w:ascii="Arial" w:cs="Arial" w:eastAsia="Arial" w:hAnsi="Arial"/>
          <w:sz w:val="14"/>
          <w:szCs w:val="14"/>
          <w:b w:val="1"/>
          <w:bCs w:val="1"/>
          <w:color w:val="auto"/>
        </w:rPr>
        <w:t xml:space="preserve"> </w:t>
      </w:r>
      <w:r>
        <w:rPr>
          <w:rFonts w:ascii="Arial" w:cs="Arial" w:eastAsia="Arial" w:hAnsi="Arial"/>
          <w:sz w:val="14"/>
          <w:szCs w:val="14"/>
          <w:color w:val="auto"/>
        </w:rPr>
        <w:t>Section 409A of the Code and the regulations thereunder (“</w:t>
      </w:r>
      <w:r>
        <w:rPr>
          <w:rFonts w:ascii="Arial" w:cs="Arial" w:eastAsia="Arial" w:hAnsi="Arial"/>
          <w:sz w:val="14"/>
          <w:szCs w:val="14"/>
          <w:b w:val="1"/>
          <w:bCs w:val="1"/>
          <w:color w:val="auto"/>
        </w:rPr>
        <w:t>Section 409A</w:t>
      </w:r>
      <w:r>
        <w:rPr>
          <w:rFonts w:ascii="Arial" w:cs="Arial" w:eastAsia="Arial" w:hAnsi="Arial"/>
          <w:sz w:val="14"/>
          <w:szCs w:val="14"/>
          <w:color w:val="auto"/>
        </w:rPr>
        <w:t>”). Notwithstanding anything else provided herein, to the extent any payments provided under this Agreement in connection with Participant’s termination of employment constitute deferred compensation subject to Section 409A, and Participant is deemed at the time of such termination of employment to be a “specified employee” under Section 409A, then such payment shall not be made or commence until the earlier of (i) the expiration of the 6-month period measured from Participant’s separation from service from the Company or (ii) the date of Participant’s death following such a separation from service; provided, however, that such deferral shall only be effected to the extent required to avoid adverse tax treatment to Participant including, without limitation, the additional tax for which Participant would otherwise be liable under Section 409A(a)(1)(B) in the absence of such a deferral. The first payment thereof will include a catch-up payment covering the amount that would have otherwise been paid during the period between Participant’s termination of employment and the first payment date but for the application of this provision, and the balance of the installments (if any) will be payable in accordance with their original schedule. To the extent that any provision of this Agreement is ambiguous as to its compliance with Section 409A, the provision will be read in such a manner so that all payments hereunder comply with Section 409A. To the extent any payment under this Agreement may be classified as a “short-term deferral” within the meaning of Section 409A, such payment shall be deemed a short-term deferral, even if it may also qualify for an exemption from Section 409A under another provision of Section 409A. Payments pursuant to this section are intended to constitute separate payments for purposes of Section 1.409A-2(b)(2) of the Treasury Regulations.</w:t>
      </w:r>
    </w:p>
    <w:p>
      <w:pPr>
        <w:spacing w:after="0" w:line="148" w:lineRule="exact"/>
        <w:rPr>
          <w:rFonts w:ascii="Arial" w:cs="Arial" w:eastAsia="Arial" w:hAnsi="Arial"/>
          <w:sz w:val="14"/>
          <w:szCs w:val="14"/>
          <w:b w:val="1"/>
          <w:bCs w:val="1"/>
          <w:color w:val="auto"/>
        </w:rPr>
      </w:pPr>
    </w:p>
    <w:p>
      <w:pPr>
        <w:ind w:left="10" w:right="240" w:hanging="10"/>
        <w:spacing w:after="0" w:line="318" w:lineRule="auto"/>
        <w:tabs>
          <w:tab w:leader="none" w:pos="235" w:val="left"/>
        </w:tabs>
        <w:numPr>
          <w:ilvl w:val="0"/>
          <w:numId w:val="470"/>
        </w:numPr>
        <w:rPr>
          <w:rFonts w:ascii="Arial" w:cs="Arial" w:eastAsia="Arial" w:hAnsi="Arial"/>
          <w:sz w:val="14"/>
          <w:szCs w:val="14"/>
          <w:b w:val="1"/>
          <w:bCs w:val="1"/>
          <w:color w:val="auto"/>
        </w:rPr>
      </w:pPr>
      <w:r>
        <w:rPr>
          <w:rFonts w:ascii="Arial" w:cs="Arial" w:eastAsia="Arial" w:hAnsi="Arial"/>
          <w:sz w:val="14"/>
          <w:szCs w:val="14"/>
          <w:b w:val="1"/>
          <w:bCs w:val="1"/>
          <w:u w:val="single" w:color="auto"/>
          <w:color w:val="auto"/>
        </w:rPr>
        <w:t>U.S. Tax Consequences</w:t>
      </w:r>
      <w:r>
        <w:rPr>
          <w:rFonts w:ascii="Arial" w:cs="Arial" w:eastAsia="Arial" w:hAnsi="Arial"/>
          <w:sz w:val="14"/>
          <w:szCs w:val="14"/>
          <w:b w:val="1"/>
          <w:bCs w:val="1"/>
          <w:color w:val="auto"/>
        </w:rPr>
        <w:t xml:space="preserve">. </w:t>
      </w:r>
      <w:r>
        <w:rPr>
          <w:rFonts w:ascii="Arial" w:cs="Arial" w:eastAsia="Arial" w:hAnsi="Arial"/>
          <w:sz w:val="14"/>
          <w:szCs w:val="14"/>
          <w:color w:val="auto"/>
        </w:rPr>
        <w:t>Participant acknowledges that there will be tax consequences upon vesting and/or settlement of the RSUs and/or disposition of the Shares, if any, received in</w:t>
      </w:r>
      <w:r>
        <w:rPr>
          <w:rFonts w:ascii="Arial" w:cs="Arial" w:eastAsia="Arial" w:hAnsi="Arial"/>
          <w:sz w:val="14"/>
          <w:szCs w:val="14"/>
          <w:b w:val="1"/>
          <w:bCs w:val="1"/>
          <w:color w:val="auto"/>
        </w:rPr>
        <w:t xml:space="preserve"> </w:t>
      </w:r>
      <w:r>
        <w:rPr>
          <w:rFonts w:ascii="Arial" w:cs="Arial" w:eastAsia="Arial" w:hAnsi="Arial"/>
          <w:sz w:val="14"/>
          <w:szCs w:val="14"/>
          <w:color w:val="auto"/>
        </w:rPr>
        <w:t>connection therewith, and Participant should consult a tax adviser regarding Participant’s tax obligations prior to such settlement or disposition.</w:t>
      </w:r>
    </w:p>
    <w:p>
      <w:pPr>
        <w:spacing w:after="0" w:line="114" w:lineRule="exact"/>
        <w:rPr>
          <w:rFonts w:ascii="Arial" w:cs="Arial" w:eastAsia="Arial" w:hAnsi="Arial"/>
          <w:sz w:val="14"/>
          <w:szCs w:val="14"/>
          <w:b w:val="1"/>
          <w:bCs w:val="1"/>
          <w:color w:val="auto"/>
        </w:rPr>
      </w:pPr>
    </w:p>
    <w:p>
      <w:pPr>
        <w:ind w:left="10" w:right="20" w:hanging="10"/>
        <w:spacing w:after="0" w:line="256" w:lineRule="auto"/>
        <w:tabs>
          <w:tab w:leader="none" w:pos="227" w:val="left"/>
        </w:tabs>
        <w:numPr>
          <w:ilvl w:val="0"/>
          <w:numId w:val="470"/>
        </w:numPr>
        <w:rPr>
          <w:rFonts w:ascii="Arial" w:cs="Arial" w:eastAsia="Arial" w:hAnsi="Arial"/>
          <w:sz w:val="15"/>
          <w:szCs w:val="15"/>
          <w:b w:val="1"/>
          <w:bCs w:val="1"/>
          <w:color w:val="auto"/>
        </w:rPr>
      </w:pPr>
      <w:r>
        <w:rPr>
          <w:rFonts w:ascii="Arial" w:cs="Arial" w:eastAsia="Arial" w:hAnsi="Arial"/>
          <w:sz w:val="15"/>
          <w:szCs w:val="15"/>
          <w:b w:val="1"/>
          <w:bCs w:val="1"/>
          <w:u w:val="single" w:color="auto"/>
          <w:color w:val="auto"/>
        </w:rPr>
        <w:t>Compliance with Laws and Regulations</w:t>
      </w:r>
      <w:r>
        <w:rPr>
          <w:rFonts w:ascii="Arial" w:cs="Arial" w:eastAsia="Arial" w:hAnsi="Arial"/>
          <w:sz w:val="15"/>
          <w:szCs w:val="15"/>
          <w:b w:val="1"/>
          <w:bCs w:val="1"/>
          <w:color w:val="auto"/>
        </w:rPr>
        <w:t xml:space="preserve">. </w:t>
      </w:r>
      <w:r>
        <w:rPr>
          <w:rFonts w:ascii="Arial" w:cs="Arial" w:eastAsia="Arial" w:hAnsi="Arial"/>
          <w:sz w:val="15"/>
          <w:szCs w:val="15"/>
          <w:color w:val="auto"/>
        </w:rPr>
        <w:t>The issuance of Shares will be subject to and conditioned upon compliance by the Company and Participant (including any written</w:t>
      </w:r>
      <w:r>
        <w:rPr>
          <w:rFonts w:ascii="Arial" w:cs="Arial" w:eastAsia="Arial" w:hAnsi="Arial"/>
          <w:sz w:val="15"/>
          <w:szCs w:val="15"/>
          <w:b w:val="1"/>
          <w:bCs w:val="1"/>
          <w:color w:val="auto"/>
        </w:rPr>
        <w:t xml:space="preserve"> </w:t>
      </w:r>
      <w:r>
        <w:rPr>
          <w:rFonts w:ascii="Arial" w:cs="Arial" w:eastAsia="Arial" w:hAnsi="Arial"/>
          <w:sz w:val="15"/>
          <w:szCs w:val="15"/>
          <w:color w:val="auto"/>
        </w:rPr>
        <w:t>representations, warranties and agreements as the Committee may request of Participant for compliance with Applicable Laws) with all applicable state and federal laws and regulations and with all applicable requirements of any stock exchange or automated quotation system on which the Company’s securities may be listed or quoted at the time of such issuance or transfer. Participant may not be issued any Shares if such issuance would constitute a violation of any applicable federal, state or foreign securities laws or other law or regulations or the requirements of any stock exchange or market system upon which the Stock may then be listed. The inability of the Company to obtain from any regulatory body having jurisdiction the authority, if any, deemed by the Company’s legal counsel to be necessary to the lawful issuance and sale of any Shares shall relieve the Company of any liability in respect of the failure to issue or sell such shares.</w:t>
      </w:r>
    </w:p>
    <w:p>
      <w:pPr>
        <w:spacing w:after="0" w:line="155" w:lineRule="exact"/>
        <w:rPr>
          <w:rFonts w:ascii="Arial" w:cs="Arial" w:eastAsia="Arial" w:hAnsi="Arial"/>
          <w:sz w:val="15"/>
          <w:szCs w:val="15"/>
          <w:b w:val="1"/>
          <w:bCs w:val="1"/>
          <w:color w:val="auto"/>
        </w:rPr>
      </w:pPr>
    </w:p>
    <w:p>
      <w:pPr>
        <w:ind w:left="10" w:hanging="10"/>
        <w:spacing w:after="0" w:line="293" w:lineRule="auto"/>
        <w:tabs>
          <w:tab w:leader="none" w:pos="235" w:val="left"/>
        </w:tabs>
        <w:numPr>
          <w:ilvl w:val="0"/>
          <w:numId w:val="470"/>
        </w:numPr>
        <w:rPr>
          <w:rFonts w:ascii="Arial" w:cs="Arial" w:eastAsia="Arial" w:hAnsi="Arial"/>
          <w:sz w:val="14"/>
          <w:szCs w:val="14"/>
          <w:b w:val="1"/>
          <w:bCs w:val="1"/>
          <w:color w:val="auto"/>
        </w:rPr>
      </w:pPr>
      <w:r>
        <w:rPr>
          <w:rFonts w:ascii="Arial" w:cs="Arial" w:eastAsia="Arial" w:hAnsi="Arial"/>
          <w:sz w:val="14"/>
          <w:szCs w:val="14"/>
          <w:b w:val="1"/>
          <w:bCs w:val="1"/>
          <w:u w:val="single" w:color="auto"/>
          <w:color w:val="auto"/>
        </w:rPr>
        <w:t>Legend</w:t>
      </w:r>
      <w:r>
        <w:rPr>
          <w:rFonts w:ascii="Arial" w:cs="Arial" w:eastAsia="Arial" w:hAnsi="Arial"/>
          <w:sz w:val="14"/>
          <w:szCs w:val="14"/>
          <w:b w:val="1"/>
          <w:bCs w:val="1"/>
          <w:color w:val="auto"/>
        </w:rPr>
        <w:t xml:space="preserve">. </w:t>
      </w:r>
      <w:r>
        <w:rPr>
          <w:rFonts w:ascii="Arial" w:cs="Arial" w:eastAsia="Arial" w:hAnsi="Arial"/>
          <w:sz w:val="14"/>
          <w:szCs w:val="14"/>
          <w:color w:val="auto"/>
        </w:rPr>
        <w:t>The Shares issued hereunder shall be subject to such stop transfer orders and other restrictions as the Committee may deem advisable under the Plan, this Agreement or the rules,</w:t>
      </w:r>
      <w:r>
        <w:rPr>
          <w:rFonts w:ascii="Arial" w:cs="Arial" w:eastAsia="Arial" w:hAnsi="Arial"/>
          <w:sz w:val="14"/>
          <w:szCs w:val="14"/>
          <w:b w:val="1"/>
          <w:bCs w:val="1"/>
          <w:color w:val="auto"/>
        </w:rPr>
        <w:t xml:space="preserve"> </w:t>
      </w:r>
      <w:r>
        <w:rPr>
          <w:rFonts w:ascii="Arial" w:cs="Arial" w:eastAsia="Arial" w:hAnsi="Arial"/>
          <w:sz w:val="14"/>
          <w:szCs w:val="14"/>
          <w:color w:val="auto"/>
        </w:rPr>
        <w:t>regulations, and other requirements of the Securities and Exchange Commission, any stock exchange upon which such shares of the Company’s securities are listed, and any applicable Federal or state laws, and the Committee may cause a legend or legends to be put on any such book-entries to make appropriate reference to such restrictions.</w:t>
      </w:r>
    </w:p>
    <w:p>
      <w:pPr>
        <w:spacing w:after="0" w:line="79" w:lineRule="exact"/>
        <w:rPr>
          <w:rFonts w:ascii="Arial" w:cs="Arial" w:eastAsia="Arial" w:hAnsi="Arial"/>
          <w:sz w:val="14"/>
          <w:szCs w:val="14"/>
          <w:b w:val="1"/>
          <w:bCs w:val="1"/>
          <w:color w:val="auto"/>
        </w:rPr>
      </w:pPr>
    </w:p>
    <w:p>
      <w:pPr>
        <w:ind w:left="5690" w:hanging="91"/>
        <w:spacing w:after="0"/>
        <w:tabs>
          <w:tab w:leader="none" w:pos="5690" w:val="left"/>
        </w:tabs>
        <w:numPr>
          <w:ilvl w:val="1"/>
          <w:numId w:val="470"/>
        </w:numPr>
        <w:rPr>
          <w:rFonts w:ascii="Arial" w:cs="Arial" w:eastAsia="Arial" w:hAnsi="Arial"/>
          <w:sz w:val="15"/>
          <w:szCs w:val="15"/>
          <w:color w:val="auto"/>
        </w:rPr>
      </w:pPr>
      <w:r>
        <w:rPr>
          <w:rFonts w:ascii="Arial" w:cs="Arial" w:eastAsia="Arial" w:hAnsi="Arial"/>
          <w:sz w:val="15"/>
          <w:szCs w:val="15"/>
          <w:color w:val="auto"/>
        </w:rPr>
        <w:t>2 -</w:t>
      </w:r>
    </w:p>
    <w:p>
      <w:pPr>
        <w:sectPr>
          <w:pgSz w:w="11900" w:h="16838" w:orient="portrait"/>
          <w:cols w:equalWidth="0" w:num="1">
            <w:col w:w="11450"/>
          </w:cols>
          <w:pgMar w:left="230" w:top="253" w:right="219" w:bottom="1440" w:gutter="0" w:footer="0" w:header="0"/>
        </w:sectPr>
      </w:pPr>
    </w:p>
    <w:bookmarkStart w:id="499" w:name="page500"/>
    <w:bookmarkEnd w:id="499"/>
    <w:p>
      <w:pPr>
        <w:ind w:left="10" w:hanging="10"/>
        <w:spacing w:after="0" w:line="266" w:lineRule="auto"/>
        <w:tabs>
          <w:tab w:leader="none" w:pos="235" w:val="left"/>
        </w:tabs>
        <w:numPr>
          <w:ilvl w:val="0"/>
          <w:numId w:val="471"/>
        </w:numPr>
        <w:rPr>
          <w:rFonts w:ascii="Arial" w:cs="Arial" w:eastAsia="Arial" w:hAnsi="Arial"/>
          <w:sz w:val="15"/>
          <w:szCs w:val="15"/>
          <w:b w:val="1"/>
          <w:bCs w:val="1"/>
          <w:color w:val="auto"/>
        </w:rPr>
      </w:pPr>
      <w:r>
        <w:rPr>
          <w:rFonts w:ascii="Arial" w:cs="Arial" w:eastAsia="Arial" w:hAnsi="Arial"/>
          <w:sz w:val="15"/>
          <w:szCs w:val="15"/>
          <w:b w:val="1"/>
          <w:bCs w:val="1"/>
          <w:u w:val="single" w:color="auto"/>
          <w:color w:val="auto"/>
        </w:rPr>
        <w:drawing>
          <wp:anchor simplePos="0" relativeHeight="251657728" behindDoc="1" locked="0" layoutInCell="0" allowOverlap="1">
            <wp:simplePos x="0" y="0"/>
            <wp:positionH relativeFrom="page">
              <wp:posOffset>133350</wp:posOffset>
            </wp:positionH>
            <wp:positionV relativeFrom="page">
              <wp:posOffset>88900</wp:posOffset>
            </wp:positionV>
            <wp:extent cx="7308850" cy="34290"/>
            <wp:wrapNone/>
            <wp:docPr id="763" name="Picture 7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3"/>
                    <pic:cNvPicPr>
                      <a:picLocks noChangeAspect="1" noChangeArrowheads="1"/>
                    </pic:cNvPicPr>
                  </pic:nvPicPr>
                  <pic:blipFill>
                    <a:blip r:embed="rId800">
                      <a:extLst>
                        <a:ext uri="{28A0092B-C50C-407E-A947-70E740481C1C}"/>
                      </a:extLst>
                    </a:blip>
                    <a:srcRect/>
                    <a:stretch>
                      <a:fillRect/>
                    </a:stretch>
                  </pic:blipFill>
                  <pic:spPr bwMode="auto">
                    <a:xfrm>
                      <a:off x="0" y="0"/>
                      <a:ext cx="7308850" cy="34290"/>
                    </a:xfrm>
                    <a:prstGeom prst="rect">
                      <a:avLst/>
                    </a:prstGeom>
                    <a:noFill/>
                  </pic:spPr>
                </pic:pic>
              </a:graphicData>
            </a:graphic>
          </wp:anchor>
        </w:drawing>
        <w:t>Successors and Assigns</w:t>
      </w:r>
      <w:r>
        <w:rPr>
          <w:rFonts w:ascii="Arial" w:cs="Arial" w:eastAsia="Arial" w:hAnsi="Arial"/>
          <w:sz w:val="15"/>
          <w:szCs w:val="15"/>
          <w:b w:val="1"/>
          <w:bCs w:val="1"/>
          <w:color w:val="auto"/>
        </w:rPr>
        <w:t xml:space="preserve">. </w:t>
      </w:r>
      <w:r>
        <w:rPr>
          <w:rFonts w:ascii="Arial" w:cs="Arial" w:eastAsia="Arial" w:hAnsi="Arial"/>
          <w:sz w:val="15"/>
          <w:szCs w:val="15"/>
          <w:color w:val="auto"/>
        </w:rPr>
        <w:t>The Company may assign any of its rights under this Agreement. This Agreement shall be binding upon and inure to the benefit of the successors and assigns of</w:t>
      </w:r>
      <w:r>
        <w:rPr>
          <w:rFonts w:ascii="Arial" w:cs="Arial" w:eastAsia="Arial" w:hAnsi="Arial"/>
          <w:sz w:val="15"/>
          <w:szCs w:val="15"/>
          <w:b w:val="1"/>
          <w:bCs w:val="1"/>
          <w:color w:val="auto"/>
        </w:rPr>
        <w:t xml:space="preserve"> </w:t>
      </w:r>
      <w:r>
        <w:rPr>
          <w:rFonts w:ascii="Arial" w:cs="Arial" w:eastAsia="Arial" w:hAnsi="Arial"/>
          <w:sz w:val="15"/>
          <w:szCs w:val="15"/>
          <w:color w:val="auto"/>
        </w:rPr>
        <w:t>the Company. Subject to the restrictions on transfer set forth herein, this Agreement will be binding upon Participant and Participant’s heirs, executors, administrators, legal representatives, successors and assigns.</w:t>
      </w:r>
    </w:p>
    <w:p>
      <w:pPr>
        <w:spacing w:after="0" w:line="148" w:lineRule="exact"/>
        <w:rPr>
          <w:rFonts w:ascii="Arial" w:cs="Arial" w:eastAsia="Arial" w:hAnsi="Arial"/>
          <w:sz w:val="15"/>
          <w:szCs w:val="15"/>
          <w:b w:val="1"/>
          <w:bCs w:val="1"/>
          <w:color w:val="auto"/>
        </w:rPr>
      </w:pPr>
    </w:p>
    <w:p>
      <w:pPr>
        <w:ind w:left="10" w:hanging="10"/>
        <w:spacing w:after="0" w:line="258" w:lineRule="auto"/>
        <w:tabs>
          <w:tab w:leader="none" w:pos="235" w:val="left"/>
        </w:tabs>
        <w:numPr>
          <w:ilvl w:val="0"/>
          <w:numId w:val="471"/>
        </w:numPr>
        <w:rPr>
          <w:rFonts w:ascii="Arial" w:cs="Arial" w:eastAsia="Arial" w:hAnsi="Arial"/>
          <w:sz w:val="15"/>
          <w:szCs w:val="15"/>
          <w:b w:val="1"/>
          <w:bCs w:val="1"/>
          <w:color w:val="auto"/>
        </w:rPr>
      </w:pPr>
      <w:r>
        <w:rPr>
          <w:rFonts w:ascii="Arial" w:cs="Arial" w:eastAsia="Arial" w:hAnsi="Arial"/>
          <w:sz w:val="15"/>
          <w:szCs w:val="15"/>
          <w:b w:val="1"/>
          <w:bCs w:val="1"/>
          <w:u w:val="single" w:color="auto"/>
          <w:color w:val="auto"/>
        </w:rPr>
        <w:t>Entire Agreement; Severability</w:t>
      </w:r>
      <w:r>
        <w:rPr>
          <w:rFonts w:ascii="Arial" w:cs="Arial" w:eastAsia="Arial" w:hAnsi="Arial"/>
          <w:sz w:val="15"/>
          <w:szCs w:val="15"/>
          <w:b w:val="1"/>
          <w:bCs w:val="1"/>
          <w:color w:val="auto"/>
        </w:rPr>
        <w:t xml:space="preserve">. </w:t>
      </w:r>
      <w:r>
        <w:rPr>
          <w:rFonts w:ascii="Arial" w:cs="Arial" w:eastAsia="Arial" w:hAnsi="Arial"/>
          <w:sz w:val="15"/>
          <w:szCs w:val="15"/>
          <w:color w:val="auto"/>
        </w:rPr>
        <w:t>The Plan and Notice of Grant are incorporated herein by reference. The Plan, the Notice of Grant and this Agreement constitute the entire agreement of</w:t>
      </w:r>
      <w:r>
        <w:rPr>
          <w:rFonts w:ascii="Arial" w:cs="Arial" w:eastAsia="Arial" w:hAnsi="Arial"/>
          <w:sz w:val="15"/>
          <w:szCs w:val="15"/>
          <w:b w:val="1"/>
          <w:bCs w:val="1"/>
          <w:color w:val="auto"/>
        </w:rPr>
        <w:t xml:space="preserve"> </w:t>
      </w:r>
      <w:r>
        <w:rPr>
          <w:rFonts w:ascii="Arial" w:cs="Arial" w:eastAsia="Arial" w:hAnsi="Arial"/>
          <w:sz w:val="15"/>
          <w:szCs w:val="15"/>
          <w:color w:val="auto"/>
        </w:rPr>
        <w:t>the parties with respect to the subject matter hereof and supersede in their entirety all prior undertakings and agreements of the Company and Participant with respect to the subject matter hereof (including, without limitation, any commitment to make any other form of equity award (such as stock options) that may have been set forth in any employment offer letter or other agreement between the parties). If any provision of this Agreement is determined by a court of law to be illegal or unenforceable, then such provision will be enforced to the maximum extent possible and the other provisions will remain fully effective and enforceable.</w:t>
      </w:r>
    </w:p>
    <w:p>
      <w:pPr>
        <w:spacing w:after="0" w:line="155" w:lineRule="exact"/>
        <w:rPr>
          <w:rFonts w:ascii="Arial" w:cs="Arial" w:eastAsia="Arial" w:hAnsi="Arial"/>
          <w:sz w:val="15"/>
          <w:szCs w:val="15"/>
          <w:b w:val="1"/>
          <w:bCs w:val="1"/>
          <w:color w:val="auto"/>
        </w:rPr>
      </w:pPr>
    </w:p>
    <w:p>
      <w:pPr>
        <w:ind w:left="10" w:hanging="10"/>
        <w:spacing w:after="0" w:line="313" w:lineRule="auto"/>
        <w:tabs>
          <w:tab w:leader="none" w:pos="235" w:val="left"/>
        </w:tabs>
        <w:numPr>
          <w:ilvl w:val="0"/>
          <w:numId w:val="471"/>
        </w:numPr>
        <w:rPr>
          <w:rFonts w:ascii="Arial" w:cs="Arial" w:eastAsia="Arial" w:hAnsi="Arial"/>
          <w:sz w:val="13"/>
          <w:szCs w:val="13"/>
          <w:b w:val="1"/>
          <w:bCs w:val="1"/>
          <w:color w:val="auto"/>
        </w:rPr>
      </w:pPr>
      <w:r>
        <w:rPr>
          <w:rFonts w:ascii="Arial" w:cs="Arial" w:eastAsia="Arial" w:hAnsi="Arial"/>
          <w:sz w:val="13"/>
          <w:szCs w:val="13"/>
          <w:b w:val="1"/>
          <w:bCs w:val="1"/>
          <w:u w:val="single" w:color="auto"/>
          <w:color w:val="auto"/>
        </w:rPr>
        <w:t>Market Standoff Agreement</w:t>
      </w:r>
      <w:r>
        <w:rPr>
          <w:rFonts w:ascii="Arial" w:cs="Arial" w:eastAsia="Arial" w:hAnsi="Arial"/>
          <w:sz w:val="13"/>
          <w:szCs w:val="13"/>
          <w:b w:val="1"/>
          <w:bCs w:val="1"/>
          <w:color w:val="auto"/>
        </w:rPr>
        <w:t xml:space="preserve">. </w:t>
      </w:r>
      <w:r>
        <w:rPr>
          <w:rFonts w:ascii="Arial" w:cs="Arial" w:eastAsia="Arial" w:hAnsi="Arial"/>
          <w:sz w:val="13"/>
          <w:szCs w:val="13"/>
          <w:color w:val="auto"/>
        </w:rPr>
        <w:t>Participant agrees that in connection with any registration of the Company’s securities that, upon the request of the Company or the underwriters managing</w:t>
      </w:r>
      <w:r>
        <w:rPr>
          <w:rFonts w:ascii="Arial" w:cs="Arial" w:eastAsia="Arial" w:hAnsi="Arial"/>
          <w:sz w:val="13"/>
          <w:szCs w:val="13"/>
          <w:b w:val="1"/>
          <w:bCs w:val="1"/>
          <w:color w:val="auto"/>
        </w:rPr>
        <w:t xml:space="preserve"> </w:t>
      </w:r>
      <w:r>
        <w:rPr>
          <w:rFonts w:ascii="Arial" w:cs="Arial" w:eastAsia="Arial" w:hAnsi="Arial"/>
          <w:sz w:val="13"/>
          <w:szCs w:val="13"/>
          <w:color w:val="auto"/>
        </w:rPr>
        <w:t>any public offering of the Company’s securities, Participant will not sell or otherwise dispose of shares of the Company’s capital stock without the prior written consent of the Company or such underwriters, as the case may be, for such reasonable period of time after the effective date of such registration as may be requested by such managing underwriters and subject to all restrictions as the Company or the underwriters may specify. Participant will enter into any agreement reasonably required by the underwriters to implement the foregoing.</w:t>
      </w:r>
    </w:p>
    <w:p>
      <w:pPr>
        <w:spacing w:after="0" w:line="122" w:lineRule="exact"/>
        <w:rPr>
          <w:rFonts w:ascii="Arial" w:cs="Arial" w:eastAsia="Arial" w:hAnsi="Arial"/>
          <w:sz w:val="13"/>
          <w:szCs w:val="13"/>
          <w:b w:val="1"/>
          <w:bCs w:val="1"/>
          <w:color w:val="auto"/>
        </w:rPr>
      </w:pPr>
    </w:p>
    <w:p>
      <w:pPr>
        <w:ind w:left="10" w:right="120" w:hanging="10"/>
        <w:spacing w:after="0" w:line="280" w:lineRule="auto"/>
        <w:tabs>
          <w:tab w:leader="none" w:pos="235" w:val="left"/>
        </w:tabs>
        <w:numPr>
          <w:ilvl w:val="0"/>
          <w:numId w:val="471"/>
        </w:numPr>
        <w:rPr>
          <w:rFonts w:ascii="Arial" w:cs="Arial" w:eastAsia="Arial" w:hAnsi="Arial"/>
          <w:sz w:val="15"/>
          <w:szCs w:val="15"/>
          <w:b w:val="1"/>
          <w:bCs w:val="1"/>
          <w:color w:val="auto"/>
        </w:rPr>
      </w:pPr>
      <w:r>
        <w:rPr>
          <w:rFonts w:ascii="Arial" w:cs="Arial" w:eastAsia="Arial" w:hAnsi="Arial"/>
          <w:sz w:val="15"/>
          <w:szCs w:val="15"/>
          <w:b w:val="1"/>
          <w:bCs w:val="1"/>
          <w:u w:val="single" w:color="auto"/>
          <w:color w:val="auto"/>
        </w:rPr>
        <w:t>No Rights as Employee, Director or Consultant</w:t>
      </w:r>
      <w:r>
        <w:rPr>
          <w:rFonts w:ascii="Arial" w:cs="Arial" w:eastAsia="Arial" w:hAnsi="Arial"/>
          <w:sz w:val="15"/>
          <w:szCs w:val="15"/>
          <w:color w:val="auto"/>
        </w:rPr>
        <w:t>. Nothing in this Agreement shall affect in any manner whatsoever the right or power of the Company, or a Parent or Subsidiary of the</w:t>
      </w:r>
      <w:r>
        <w:rPr>
          <w:rFonts w:ascii="Arial" w:cs="Arial" w:eastAsia="Arial" w:hAnsi="Arial"/>
          <w:sz w:val="15"/>
          <w:szCs w:val="15"/>
          <w:b w:val="1"/>
          <w:bCs w:val="1"/>
          <w:color w:val="auto"/>
        </w:rPr>
        <w:t xml:space="preserve"> </w:t>
      </w:r>
      <w:r>
        <w:rPr>
          <w:rFonts w:ascii="Arial" w:cs="Arial" w:eastAsia="Arial" w:hAnsi="Arial"/>
          <w:sz w:val="15"/>
          <w:szCs w:val="15"/>
          <w:color w:val="auto"/>
        </w:rPr>
        <w:t>Company, to terminate Participant</w:t>
      </w:r>
      <w:r>
        <w:rPr>
          <w:rFonts w:ascii="Arial" w:cs="Arial" w:eastAsia="Arial" w:hAnsi="Arial"/>
          <w:sz w:val="12"/>
          <w:szCs w:val="12"/>
          <w:color w:val="auto"/>
        </w:rPr>
        <w:t>’</w:t>
      </w:r>
      <w:r>
        <w:rPr>
          <w:rFonts w:ascii="Arial" w:cs="Arial" w:eastAsia="Arial" w:hAnsi="Arial"/>
          <w:sz w:val="15"/>
          <w:szCs w:val="15"/>
          <w:color w:val="auto"/>
        </w:rPr>
        <w:t>s Continuous Service Status, for any reason, with or without cause.</w:t>
      </w:r>
    </w:p>
    <w:p>
      <w:pPr>
        <w:spacing w:after="0" w:line="138" w:lineRule="exact"/>
        <w:rPr>
          <w:rFonts w:ascii="Arial" w:cs="Arial" w:eastAsia="Arial" w:hAnsi="Arial"/>
          <w:sz w:val="15"/>
          <w:szCs w:val="15"/>
          <w:b w:val="1"/>
          <w:bCs w:val="1"/>
          <w:color w:val="auto"/>
        </w:rPr>
      </w:pPr>
    </w:p>
    <w:p>
      <w:pPr>
        <w:ind w:left="10" w:right="20" w:hanging="10"/>
        <w:spacing w:after="0" w:line="266" w:lineRule="auto"/>
        <w:tabs>
          <w:tab w:leader="none" w:pos="235" w:val="left"/>
        </w:tabs>
        <w:numPr>
          <w:ilvl w:val="0"/>
          <w:numId w:val="471"/>
        </w:numPr>
        <w:rPr>
          <w:rFonts w:ascii="Arial" w:cs="Arial" w:eastAsia="Arial" w:hAnsi="Arial"/>
          <w:sz w:val="15"/>
          <w:szCs w:val="15"/>
          <w:b w:val="1"/>
          <w:bCs w:val="1"/>
          <w:color w:val="auto"/>
        </w:rPr>
      </w:pPr>
      <w:r>
        <w:rPr>
          <w:rFonts w:ascii="Arial" w:cs="Arial" w:eastAsia="Arial" w:hAnsi="Arial"/>
          <w:sz w:val="15"/>
          <w:szCs w:val="15"/>
          <w:b w:val="1"/>
          <w:bCs w:val="1"/>
          <w:u w:val="single" w:color="auto"/>
          <w:color w:val="auto"/>
        </w:rPr>
        <w:t>Information to Participants</w:t>
      </w:r>
      <w:r>
        <w:rPr>
          <w:rFonts w:ascii="Arial" w:cs="Arial" w:eastAsia="Arial" w:hAnsi="Arial"/>
          <w:sz w:val="15"/>
          <w:szCs w:val="15"/>
          <w:color w:val="auto"/>
        </w:rPr>
        <w:t>. If the Company is relying on an exemption from registration under Section 12(h)-1 of the Exchange Act and such information is required to be provided by</w:t>
      </w:r>
      <w:r>
        <w:rPr>
          <w:rFonts w:ascii="Arial" w:cs="Arial" w:eastAsia="Arial" w:hAnsi="Arial"/>
          <w:sz w:val="15"/>
          <w:szCs w:val="15"/>
          <w:b w:val="1"/>
          <w:bCs w:val="1"/>
          <w:color w:val="auto"/>
        </w:rPr>
        <w:t xml:space="preserve"> </w:t>
      </w:r>
      <w:r>
        <w:rPr>
          <w:rFonts w:ascii="Arial" w:cs="Arial" w:eastAsia="Arial" w:hAnsi="Arial"/>
          <w:sz w:val="15"/>
          <w:szCs w:val="15"/>
          <w:color w:val="auto"/>
        </w:rPr>
        <w:t>such Section 12(h)-1, the Company shall provide the information described in Rules 701(e)(3), (4), and (5) of the Securities Act by a method allowed under Section 12(h)-1 of the Exchange Act in accordance with Section 12(h)-1 of the Exchange Act, provided that Participant agrees to keep the information confidential.</w:t>
      </w:r>
    </w:p>
    <w:p>
      <w:pPr>
        <w:spacing w:after="0" w:line="148" w:lineRule="exact"/>
        <w:rPr>
          <w:rFonts w:ascii="Arial" w:cs="Arial" w:eastAsia="Arial" w:hAnsi="Arial"/>
          <w:sz w:val="15"/>
          <w:szCs w:val="15"/>
          <w:b w:val="1"/>
          <w:bCs w:val="1"/>
          <w:color w:val="auto"/>
        </w:rPr>
      </w:pPr>
    </w:p>
    <w:p>
      <w:pPr>
        <w:ind w:left="10" w:hanging="10"/>
        <w:spacing w:after="0" w:line="266" w:lineRule="auto"/>
        <w:tabs>
          <w:tab w:leader="none" w:pos="235" w:val="left"/>
        </w:tabs>
        <w:numPr>
          <w:ilvl w:val="0"/>
          <w:numId w:val="471"/>
        </w:numPr>
        <w:rPr>
          <w:rFonts w:ascii="Arial" w:cs="Arial" w:eastAsia="Arial" w:hAnsi="Arial"/>
          <w:sz w:val="15"/>
          <w:szCs w:val="15"/>
          <w:b w:val="1"/>
          <w:bCs w:val="1"/>
          <w:color w:val="auto"/>
        </w:rPr>
      </w:pPr>
      <w:r>
        <w:rPr>
          <w:rFonts w:ascii="Arial" w:cs="Arial" w:eastAsia="Arial" w:hAnsi="Arial"/>
          <w:sz w:val="15"/>
          <w:szCs w:val="15"/>
          <w:b w:val="1"/>
          <w:bCs w:val="1"/>
          <w:u w:val="single" w:color="auto"/>
          <w:color w:val="auto"/>
        </w:rPr>
        <w:t>Assumption or Replacement of Awards by Successor or Acquiring Company</w:t>
      </w:r>
      <w:r>
        <w:rPr>
          <w:rFonts w:ascii="Arial" w:cs="Arial" w:eastAsia="Arial" w:hAnsi="Arial"/>
          <w:sz w:val="15"/>
          <w:szCs w:val="15"/>
          <w:b w:val="1"/>
          <w:bCs w:val="1"/>
          <w:color w:val="auto"/>
        </w:rPr>
        <w:t xml:space="preserve">. </w:t>
      </w:r>
      <w:r>
        <w:rPr>
          <w:rFonts w:ascii="Arial" w:cs="Arial" w:eastAsia="Arial" w:hAnsi="Arial"/>
          <w:sz w:val="15"/>
          <w:szCs w:val="15"/>
          <w:color w:val="auto"/>
        </w:rPr>
        <w:t>For purposes of this RSU only, the last sentence of Section 18.1 of the Plan shall read as follows: In the</w:t>
      </w:r>
      <w:r>
        <w:rPr>
          <w:rFonts w:ascii="Arial" w:cs="Arial" w:eastAsia="Arial" w:hAnsi="Arial"/>
          <w:sz w:val="15"/>
          <w:szCs w:val="15"/>
          <w:b w:val="1"/>
          <w:bCs w:val="1"/>
          <w:color w:val="auto"/>
        </w:rPr>
        <w:t xml:space="preserve"> </w:t>
      </w:r>
      <w:r>
        <w:rPr>
          <w:rFonts w:ascii="Arial" w:cs="Arial" w:eastAsia="Arial" w:hAnsi="Arial"/>
          <w:sz w:val="15"/>
          <w:szCs w:val="15"/>
          <w:color w:val="auto"/>
        </w:rPr>
        <w:t>event such successor or acquiring corporation (if any) does not assume, convert, replace or substitute this RSU, as provided above, pursuant to a transaction described in this Section 18.1, then notwithstanding any other provision in this Plan to the contrary, the vesting of such Award will accelerate in full.</w:t>
      </w:r>
    </w:p>
    <w:p>
      <w:pPr>
        <w:spacing w:after="0" w:line="148" w:lineRule="exact"/>
        <w:rPr>
          <w:rFonts w:ascii="Arial" w:cs="Arial" w:eastAsia="Arial" w:hAnsi="Arial"/>
          <w:sz w:val="15"/>
          <w:szCs w:val="15"/>
          <w:b w:val="1"/>
          <w:bCs w:val="1"/>
          <w:color w:val="auto"/>
        </w:rPr>
      </w:pPr>
    </w:p>
    <w:p>
      <w:pPr>
        <w:ind w:left="10" w:right="80" w:hanging="10"/>
        <w:spacing w:after="0" w:line="285" w:lineRule="auto"/>
        <w:tabs>
          <w:tab w:leader="none" w:pos="235" w:val="left"/>
        </w:tabs>
        <w:numPr>
          <w:ilvl w:val="0"/>
          <w:numId w:val="471"/>
        </w:numPr>
        <w:rPr>
          <w:rFonts w:ascii="Arial" w:cs="Arial" w:eastAsia="Arial" w:hAnsi="Arial"/>
          <w:sz w:val="14"/>
          <w:szCs w:val="14"/>
          <w:b w:val="1"/>
          <w:bCs w:val="1"/>
          <w:color w:val="auto"/>
        </w:rPr>
      </w:pPr>
      <w:r>
        <w:rPr>
          <w:rFonts w:ascii="Arial" w:cs="Arial" w:eastAsia="Arial" w:hAnsi="Arial"/>
          <w:sz w:val="14"/>
          <w:szCs w:val="14"/>
          <w:b w:val="1"/>
          <w:bCs w:val="1"/>
          <w:u w:val="single" w:color="auto"/>
          <w:color w:val="auto"/>
        </w:rPr>
        <w:t>Delivery of Documents and Notices</w:t>
      </w:r>
      <w:r>
        <w:rPr>
          <w:rFonts w:ascii="Arial" w:cs="Arial" w:eastAsia="Arial" w:hAnsi="Arial"/>
          <w:sz w:val="14"/>
          <w:szCs w:val="14"/>
          <w:b w:val="1"/>
          <w:bCs w:val="1"/>
          <w:color w:val="auto"/>
        </w:rPr>
        <w:t xml:space="preserve">. </w:t>
      </w:r>
      <w:r>
        <w:rPr>
          <w:rFonts w:ascii="Arial" w:cs="Arial" w:eastAsia="Arial" w:hAnsi="Arial"/>
          <w:sz w:val="14"/>
          <w:szCs w:val="14"/>
          <w:color w:val="auto"/>
        </w:rPr>
        <w:t>Any document relating to participating in the Plan and/or notice required or permitted hereunder shall be given in writing and shall be deemed</w:t>
      </w:r>
      <w:r>
        <w:rPr>
          <w:rFonts w:ascii="Arial" w:cs="Arial" w:eastAsia="Arial" w:hAnsi="Arial"/>
          <w:sz w:val="14"/>
          <w:szCs w:val="14"/>
          <w:b w:val="1"/>
          <w:bCs w:val="1"/>
          <w:color w:val="auto"/>
        </w:rPr>
        <w:t xml:space="preserve"> </w:t>
      </w:r>
      <w:r>
        <w:rPr>
          <w:rFonts w:ascii="Arial" w:cs="Arial" w:eastAsia="Arial" w:hAnsi="Arial"/>
          <w:sz w:val="14"/>
          <w:szCs w:val="14"/>
          <w:color w:val="auto"/>
        </w:rPr>
        <w:t>effectively given (except to the extent that this Agreement provides for effectiveness only upon actual receipt of such notice) upon personal delivery, electronic delivery, or upon deposit in the U.S. Post Office or foreign postal service, by registered or certified mail, with postage and fees prepaid, addressed to the other party at the e-mail address, if any, provided for Participant by the Company or at such other address as such party may designate in writing from time to time to the other party.</w:t>
      </w:r>
    </w:p>
    <w:p>
      <w:pPr>
        <w:spacing w:after="0" w:line="137" w:lineRule="exact"/>
        <w:rPr>
          <w:rFonts w:ascii="Arial" w:cs="Arial" w:eastAsia="Arial" w:hAnsi="Arial"/>
          <w:sz w:val="14"/>
          <w:szCs w:val="14"/>
          <w:b w:val="1"/>
          <w:bCs w:val="1"/>
          <w:color w:val="auto"/>
        </w:rPr>
      </w:pPr>
    </w:p>
    <w:p>
      <w:pPr>
        <w:ind w:left="10" w:right="200" w:hanging="10"/>
        <w:spacing w:after="0" w:line="266" w:lineRule="auto"/>
        <w:tabs>
          <w:tab w:leader="none" w:pos="235" w:val="left"/>
        </w:tabs>
        <w:numPr>
          <w:ilvl w:val="0"/>
          <w:numId w:val="471"/>
        </w:numPr>
        <w:rPr>
          <w:rFonts w:ascii="Arial" w:cs="Arial" w:eastAsia="Arial" w:hAnsi="Arial"/>
          <w:sz w:val="15"/>
          <w:szCs w:val="15"/>
          <w:b w:val="1"/>
          <w:bCs w:val="1"/>
          <w:color w:val="auto"/>
        </w:rPr>
      </w:pPr>
      <w:r>
        <w:rPr>
          <w:rFonts w:ascii="Arial" w:cs="Arial" w:eastAsia="Arial" w:hAnsi="Arial"/>
          <w:sz w:val="15"/>
          <w:szCs w:val="15"/>
          <w:b w:val="1"/>
          <w:bCs w:val="1"/>
          <w:u w:val="single" w:color="auto"/>
          <w:color w:val="auto"/>
        </w:rPr>
        <w:t>Definition</w:t>
      </w:r>
      <w:r>
        <w:rPr>
          <w:rFonts w:ascii="Arial" w:cs="Arial" w:eastAsia="Arial" w:hAnsi="Arial"/>
          <w:sz w:val="15"/>
          <w:szCs w:val="15"/>
          <w:color w:val="auto"/>
        </w:rPr>
        <w:t>. “</w:t>
      </w:r>
      <w:r>
        <w:rPr>
          <w:rFonts w:ascii="Arial" w:cs="Arial" w:eastAsia="Arial" w:hAnsi="Arial"/>
          <w:sz w:val="15"/>
          <w:szCs w:val="15"/>
          <w:b w:val="1"/>
          <w:bCs w:val="1"/>
          <w:color w:val="auto"/>
        </w:rPr>
        <w:t>Change in Control</w:t>
      </w:r>
      <w:r>
        <w:rPr>
          <w:rFonts w:ascii="Arial" w:cs="Arial" w:eastAsia="Arial" w:hAnsi="Arial"/>
          <w:sz w:val="15"/>
          <w:szCs w:val="15"/>
          <w:color w:val="auto"/>
        </w:rPr>
        <w:t>” shall mean (i) a dissolution or liquidation of the Company, (ii) any reorganization, consolidation, merger or similar transaction or series of related</w:t>
      </w:r>
      <w:r>
        <w:rPr>
          <w:rFonts w:ascii="Arial" w:cs="Arial" w:eastAsia="Arial" w:hAnsi="Arial"/>
          <w:sz w:val="15"/>
          <w:szCs w:val="15"/>
          <w:b w:val="1"/>
          <w:bCs w:val="1"/>
          <w:color w:val="auto"/>
        </w:rPr>
        <w:t xml:space="preserve"> </w:t>
      </w:r>
      <w:r>
        <w:rPr>
          <w:rFonts w:ascii="Arial" w:cs="Arial" w:eastAsia="Arial" w:hAnsi="Arial"/>
          <w:sz w:val="15"/>
          <w:szCs w:val="15"/>
          <w:color w:val="auto"/>
        </w:rPr>
        <w:t>transactions (each, a “</w:t>
      </w:r>
      <w:r>
        <w:rPr>
          <w:rFonts w:ascii="Arial" w:cs="Arial" w:eastAsia="Arial" w:hAnsi="Arial"/>
          <w:sz w:val="15"/>
          <w:szCs w:val="15"/>
          <w:b w:val="1"/>
          <w:bCs w:val="1"/>
          <w:i w:val="1"/>
          <w:iCs w:val="1"/>
          <w:color w:val="auto"/>
        </w:rPr>
        <w:t>combination transaction</w:t>
      </w:r>
      <w:r>
        <w:rPr>
          <w:rFonts w:ascii="Arial" w:cs="Arial" w:eastAsia="Arial" w:hAnsi="Arial"/>
          <w:sz w:val="15"/>
          <w:szCs w:val="15"/>
          <w:color w:val="auto"/>
        </w:rPr>
        <w:t>”) in which the Company is a constituent corporation or is a party if, as a result of such combination transaction, the voting securities of the Company that are outstanding</w:t>
      </w:r>
    </w:p>
    <w:p>
      <w:pPr>
        <w:spacing w:after="0" w:line="95" w:lineRule="exact"/>
        <w:rPr>
          <w:rFonts w:ascii="Arial" w:cs="Arial" w:eastAsia="Arial" w:hAnsi="Arial"/>
          <w:sz w:val="15"/>
          <w:szCs w:val="15"/>
          <w:b w:val="1"/>
          <w:bCs w:val="1"/>
          <w:color w:val="auto"/>
        </w:rPr>
      </w:pPr>
    </w:p>
    <w:p>
      <w:pPr>
        <w:ind w:left="5690" w:hanging="91"/>
        <w:spacing w:after="0"/>
        <w:tabs>
          <w:tab w:leader="none" w:pos="5690" w:val="left"/>
        </w:tabs>
        <w:numPr>
          <w:ilvl w:val="1"/>
          <w:numId w:val="471"/>
        </w:numPr>
        <w:rPr>
          <w:rFonts w:ascii="Arial" w:cs="Arial" w:eastAsia="Arial" w:hAnsi="Arial"/>
          <w:sz w:val="15"/>
          <w:szCs w:val="15"/>
          <w:color w:val="auto"/>
        </w:rPr>
      </w:pPr>
      <w:r>
        <w:rPr>
          <w:rFonts w:ascii="Arial" w:cs="Arial" w:eastAsia="Arial" w:hAnsi="Arial"/>
          <w:sz w:val="15"/>
          <w:szCs w:val="15"/>
          <w:color w:val="auto"/>
        </w:rPr>
        <w:t>3 -</w:t>
      </w:r>
    </w:p>
    <w:p>
      <w:pPr>
        <w:sectPr>
          <w:pgSz w:w="11900" w:h="16838" w:orient="portrait"/>
          <w:cols w:equalWidth="0" w:num="1">
            <w:col w:w="11430"/>
          </w:cols>
          <w:pgMar w:left="230" w:top="249" w:right="239" w:bottom="1440" w:gutter="0" w:footer="0" w:header="0"/>
        </w:sectPr>
      </w:pPr>
    </w:p>
    <w:bookmarkStart w:id="500" w:name="page501"/>
    <w:bookmarkEnd w:id="500"/>
    <w:p>
      <w:pPr>
        <w:spacing w:after="0" w:line="274" w:lineRule="auto"/>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133350</wp:posOffset>
            </wp:positionH>
            <wp:positionV relativeFrom="page">
              <wp:posOffset>88900</wp:posOffset>
            </wp:positionV>
            <wp:extent cx="7308850" cy="34290"/>
            <wp:wrapNone/>
            <wp:docPr id="764" name="Picture 7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4"/>
                    <pic:cNvPicPr>
                      <a:picLocks noChangeAspect="1" noChangeArrowheads="1"/>
                    </pic:cNvPicPr>
                  </pic:nvPicPr>
                  <pic:blipFill>
                    <a:blip r:embed="rId801">
                      <a:extLst>
                        <a:ext uri="{28A0092B-C50C-407E-A947-70E740481C1C}"/>
                      </a:extLst>
                    </a:blip>
                    <a:srcRect/>
                    <a:stretch>
                      <a:fillRect/>
                    </a:stretch>
                  </pic:blipFill>
                  <pic:spPr bwMode="auto">
                    <a:xfrm>
                      <a:off x="0" y="0"/>
                      <a:ext cx="7308850" cy="34290"/>
                    </a:xfrm>
                    <a:prstGeom prst="rect">
                      <a:avLst/>
                    </a:prstGeom>
                    <a:noFill/>
                  </pic:spPr>
                </pic:pic>
              </a:graphicData>
            </a:graphic>
          </wp:anchor>
        </w:drawing>
        <w:t>immediately prior to the consummation of such combination transaction (</w:t>
      </w:r>
      <w:r>
        <w:rPr>
          <w:rFonts w:ascii="Arial" w:cs="Arial" w:eastAsia="Arial" w:hAnsi="Arial"/>
          <w:sz w:val="14"/>
          <w:szCs w:val="14"/>
          <w:u w:val="single" w:color="auto"/>
          <w:color w:val="auto"/>
        </w:rPr>
        <w:t>other than</w:t>
      </w:r>
      <w:r>
        <w:rPr>
          <w:rFonts w:ascii="Arial" w:cs="Arial" w:eastAsia="Arial" w:hAnsi="Arial"/>
          <w:sz w:val="14"/>
          <w:szCs w:val="14"/>
          <w:color w:val="auto"/>
        </w:rPr>
        <w:t xml:space="preserve"> any such securities that are held by an Acquiring Shareholder (defined below)) do not represent, or are not converted into, securities of the surviving corporation of such combination transaction (or such surviving corporation’s parent corporation if the surviving corporation is owned by the parent corporation) that, immediately after the consummation of such combination transaction, together possess at least fifty percent (50%) of the total voting power of all securities of such surviving corporation (or its parent corporation, if applicable) that are outstanding immediately after the consummation of such combination transaction, including securities of such surviving corporation (or its parent corporation, if applicable) that are held by the Acquiring Shareholder; or (b) a sale of all or substantially all of the assets of the Company, that is followed by the distribution of the proceeds to the Company’s stockholders; provided in each case that the transaction constitutes a change in the ownership or effective control of the Company or in the ownership of a substantial portion of the assets of the Company as defined in the regulations under Section 409A of the Code. An “</w:t>
      </w:r>
      <w:r>
        <w:rPr>
          <w:rFonts w:ascii="Arial" w:cs="Arial" w:eastAsia="Arial" w:hAnsi="Arial"/>
          <w:sz w:val="14"/>
          <w:szCs w:val="14"/>
          <w:b w:val="1"/>
          <w:bCs w:val="1"/>
          <w:i w:val="1"/>
          <w:iCs w:val="1"/>
          <w:color w:val="auto"/>
        </w:rPr>
        <w:t>Acquiring Stockholder”</w:t>
      </w:r>
      <w:r>
        <w:rPr>
          <w:rFonts w:ascii="Arial" w:cs="Arial" w:eastAsia="Arial" w:hAnsi="Arial"/>
          <w:sz w:val="14"/>
          <w:szCs w:val="14"/>
          <w:color w:val="auto"/>
        </w:rPr>
        <w:t xml:space="preserve"> means a stockholder or stockholders of the Company that (i) merges or combines with the Company in such combination transaction or (ii) owns or controls a majority of another corporation that merges or combines with the Company in such combination transaction.</w:t>
      </w:r>
    </w:p>
    <w:p>
      <w:pPr>
        <w:spacing w:after="0" w:line="94"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- 4 -</w:t>
      </w:r>
    </w:p>
    <w:p>
      <w:pPr>
        <w:sectPr>
          <w:pgSz w:w="11900" w:h="16838" w:orient="portrait"/>
          <w:cols w:equalWidth="0" w:num="1">
            <w:col w:w="11360"/>
          </w:cols>
          <w:pgMar w:left="240" w:top="253" w:right="299" w:bottom="1440" w:gutter="0" w:footer="0" w:header="0"/>
        </w:sectPr>
      </w:pPr>
    </w:p>
    <w:bookmarkStart w:id="501" w:name="page502"/>
    <w:bookmarkEnd w:id="501"/>
    <w:p>
      <w:pPr>
        <w:jc w:val="center"/>
        <w:ind w:right="20"/>
        <w:spacing w:after="0"/>
        <w:rPr>
          <w:sz w:val="20"/>
          <w:szCs w:val="20"/>
          <w:color w:val="auto"/>
        </w:rPr>
      </w:pPr>
      <w:r>
        <w:rPr>
          <w:rFonts w:ascii="Arial" w:cs="Arial" w:eastAsia="Arial" w:hAnsi="Arial"/>
          <w:sz w:val="15"/>
          <w:szCs w:val="15"/>
          <w:b w:val="1"/>
          <w:bCs w:val="1"/>
          <w:color w:val="auto"/>
        </w:rPr>
        <w:drawing>
          <wp:anchor simplePos="0" relativeHeight="251657728" behindDoc="1" locked="0" layoutInCell="0" allowOverlap="1">
            <wp:simplePos x="0" y="0"/>
            <wp:positionH relativeFrom="page">
              <wp:posOffset>133350</wp:posOffset>
            </wp:positionH>
            <wp:positionV relativeFrom="page">
              <wp:posOffset>88900</wp:posOffset>
            </wp:positionV>
            <wp:extent cx="7308850" cy="34290"/>
            <wp:wrapNone/>
            <wp:docPr id="765" name="Picture 7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5"/>
                    <pic:cNvPicPr>
                      <a:picLocks noChangeAspect="1" noChangeArrowheads="1"/>
                    </pic:cNvPicPr>
                  </pic:nvPicPr>
                  <pic:blipFill>
                    <a:blip r:embed="rId802">
                      <a:extLst>
                        <a:ext uri="{28A0092B-C50C-407E-A947-70E740481C1C}"/>
                      </a:extLst>
                    </a:blip>
                    <a:srcRect/>
                    <a:stretch>
                      <a:fillRect/>
                    </a:stretch>
                  </pic:blipFill>
                  <pic:spPr bwMode="auto">
                    <a:xfrm>
                      <a:off x="0" y="0"/>
                      <a:ext cx="7308850" cy="34290"/>
                    </a:xfrm>
                    <a:prstGeom prst="rect">
                      <a:avLst/>
                    </a:prstGeom>
                    <a:noFill/>
                  </pic:spPr>
                </pic:pic>
              </a:graphicData>
            </a:graphic>
          </wp:anchor>
        </w:drawing>
        <w:t>DROPBOX, INC.</w:t>
      </w:r>
    </w:p>
    <w:p>
      <w:pPr>
        <w:spacing w:after="0" w:line="188" w:lineRule="exact"/>
        <w:rPr>
          <w:sz w:val="20"/>
          <w:szCs w:val="20"/>
          <w:color w:val="auto"/>
        </w:rPr>
      </w:pPr>
    </w:p>
    <w:p>
      <w:pPr>
        <w:jc w:val="center"/>
        <w:ind w:right="20"/>
        <w:spacing w:after="0"/>
        <w:rPr>
          <w:sz w:val="20"/>
          <w:szCs w:val="20"/>
          <w:color w:val="auto"/>
        </w:rPr>
      </w:pPr>
      <w:r>
        <w:rPr>
          <w:rFonts w:ascii="Arial" w:cs="Arial" w:eastAsia="Arial" w:hAnsi="Arial"/>
          <w:sz w:val="15"/>
          <w:szCs w:val="15"/>
          <w:b w:val="1"/>
          <w:bCs w:val="1"/>
          <w:color w:val="auto"/>
        </w:rPr>
        <w:t>2008 EQUITY INCENTIVE PLAN</w:t>
      </w:r>
    </w:p>
    <w:p>
      <w:pPr>
        <w:spacing w:after="0" w:line="188" w:lineRule="exact"/>
        <w:rPr>
          <w:sz w:val="20"/>
          <w:szCs w:val="20"/>
          <w:color w:val="auto"/>
        </w:rPr>
      </w:pPr>
    </w:p>
    <w:p>
      <w:pPr>
        <w:jc w:val="center"/>
        <w:ind w:right="20"/>
        <w:spacing w:after="0"/>
        <w:rPr>
          <w:sz w:val="20"/>
          <w:szCs w:val="20"/>
          <w:color w:val="auto"/>
        </w:rPr>
      </w:pPr>
      <w:r>
        <w:rPr>
          <w:rFonts w:ascii="Arial" w:cs="Arial" w:eastAsia="Arial" w:hAnsi="Arial"/>
          <w:sz w:val="15"/>
          <w:szCs w:val="15"/>
          <w:b w:val="1"/>
          <w:bCs w:val="1"/>
          <w:color w:val="auto"/>
        </w:rPr>
        <w:t>N</w:t>
      </w:r>
      <w:r>
        <w:rPr>
          <w:rFonts w:ascii="Arial" w:cs="Arial" w:eastAsia="Arial" w:hAnsi="Arial"/>
          <w:sz w:val="12"/>
          <w:szCs w:val="12"/>
          <w:b w:val="1"/>
          <w:bCs w:val="1"/>
          <w:color w:val="auto"/>
        </w:rPr>
        <w:t>OTICE OF</w:t>
      </w:r>
      <w:r>
        <w:rPr>
          <w:rFonts w:ascii="Arial" w:cs="Arial" w:eastAsia="Arial" w:hAnsi="Arial"/>
          <w:sz w:val="15"/>
          <w:szCs w:val="15"/>
          <w:b w:val="1"/>
          <w:bCs w:val="1"/>
          <w:color w:val="auto"/>
        </w:rPr>
        <w:t xml:space="preserve"> R</w:t>
      </w:r>
      <w:r>
        <w:rPr>
          <w:rFonts w:ascii="Arial" w:cs="Arial" w:eastAsia="Arial" w:hAnsi="Arial"/>
          <w:sz w:val="12"/>
          <w:szCs w:val="12"/>
          <w:b w:val="1"/>
          <w:bCs w:val="1"/>
          <w:color w:val="auto"/>
        </w:rPr>
        <w:t>ESTRICTED</w:t>
      </w:r>
      <w:r>
        <w:rPr>
          <w:rFonts w:ascii="Arial" w:cs="Arial" w:eastAsia="Arial" w:hAnsi="Arial"/>
          <w:sz w:val="15"/>
          <w:szCs w:val="15"/>
          <w:b w:val="1"/>
          <w:bCs w:val="1"/>
          <w:color w:val="auto"/>
        </w:rPr>
        <w:t xml:space="preserve"> S</w:t>
      </w:r>
      <w:r>
        <w:rPr>
          <w:rFonts w:ascii="Arial" w:cs="Arial" w:eastAsia="Arial" w:hAnsi="Arial"/>
          <w:sz w:val="12"/>
          <w:szCs w:val="12"/>
          <w:b w:val="1"/>
          <w:bCs w:val="1"/>
          <w:color w:val="auto"/>
        </w:rPr>
        <w:t>TOCK</w:t>
      </w:r>
      <w:r>
        <w:rPr>
          <w:rFonts w:ascii="Arial" w:cs="Arial" w:eastAsia="Arial" w:hAnsi="Arial"/>
          <w:sz w:val="15"/>
          <w:szCs w:val="15"/>
          <w:b w:val="1"/>
          <w:bCs w:val="1"/>
          <w:color w:val="auto"/>
        </w:rPr>
        <w:t xml:space="preserve"> U</w:t>
      </w:r>
      <w:r>
        <w:rPr>
          <w:rFonts w:ascii="Arial" w:cs="Arial" w:eastAsia="Arial" w:hAnsi="Arial"/>
          <w:sz w:val="12"/>
          <w:szCs w:val="12"/>
          <w:b w:val="1"/>
          <w:bCs w:val="1"/>
          <w:color w:val="auto"/>
        </w:rPr>
        <w:t>NIT</w:t>
      </w:r>
      <w:r>
        <w:rPr>
          <w:rFonts w:ascii="Arial" w:cs="Arial" w:eastAsia="Arial" w:hAnsi="Arial"/>
          <w:sz w:val="15"/>
          <w:szCs w:val="15"/>
          <w:b w:val="1"/>
          <w:bCs w:val="1"/>
          <w:color w:val="auto"/>
        </w:rPr>
        <w:t xml:space="preserve"> A</w:t>
      </w:r>
      <w:r>
        <w:rPr>
          <w:rFonts w:ascii="Arial" w:cs="Arial" w:eastAsia="Arial" w:hAnsi="Arial"/>
          <w:sz w:val="12"/>
          <w:szCs w:val="12"/>
          <w:b w:val="1"/>
          <w:bCs w:val="1"/>
          <w:color w:val="auto"/>
        </w:rPr>
        <w:t>WARD</w:t>
      </w:r>
    </w:p>
    <w:p>
      <w:pPr>
        <w:spacing w:after="0" w:line="192" w:lineRule="exact"/>
        <w:rPr>
          <w:sz w:val="20"/>
          <w:szCs w:val="20"/>
          <w:color w:val="auto"/>
        </w:rPr>
      </w:pPr>
    </w:p>
    <w:p>
      <w:pPr>
        <w:ind w:right="220" w:firstLine="458"/>
        <w:spacing w:after="0" w:line="275" w:lineRule="auto"/>
        <w:rPr>
          <w:sz w:val="20"/>
          <w:szCs w:val="20"/>
          <w:color w:val="auto"/>
        </w:rPr>
      </w:pPr>
      <w:r>
        <w:rPr>
          <w:rFonts w:ascii="Arial" w:cs="Arial" w:eastAsia="Arial" w:hAnsi="Arial"/>
          <w:sz w:val="15"/>
          <w:szCs w:val="15"/>
          <w:color w:val="auto"/>
        </w:rPr>
        <w:t>Unless otherwise defined herein, the terms defined in the Company’s 2008 Equity Incentive Plan (the “</w:t>
      </w:r>
      <w:r>
        <w:rPr>
          <w:rFonts w:ascii="Arial" w:cs="Arial" w:eastAsia="Arial" w:hAnsi="Arial"/>
          <w:sz w:val="15"/>
          <w:szCs w:val="15"/>
          <w:b w:val="1"/>
          <w:bCs w:val="1"/>
          <w:i w:val="1"/>
          <w:iCs w:val="1"/>
          <w:color w:val="auto"/>
        </w:rPr>
        <w:t>Plan</w:t>
      </w:r>
      <w:r>
        <w:rPr>
          <w:rFonts w:ascii="Arial" w:cs="Arial" w:eastAsia="Arial" w:hAnsi="Arial"/>
          <w:sz w:val="15"/>
          <w:szCs w:val="15"/>
          <w:color w:val="auto"/>
        </w:rPr>
        <w:t>”) shall have the same meanings in this Notice of Restricted Stock Unit Award (“</w:t>
      </w:r>
      <w:r>
        <w:rPr>
          <w:rFonts w:ascii="Arial" w:cs="Arial" w:eastAsia="Arial" w:hAnsi="Arial"/>
          <w:sz w:val="15"/>
          <w:szCs w:val="15"/>
          <w:b w:val="1"/>
          <w:bCs w:val="1"/>
          <w:i w:val="1"/>
          <w:iCs w:val="1"/>
          <w:color w:val="auto"/>
        </w:rPr>
        <w:t>Notice of Grant</w:t>
      </w:r>
      <w:r>
        <w:rPr>
          <w:rFonts w:ascii="Arial" w:cs="Arial" w:eastAsia="Arial" w:hAnsi="Arial"/>
          <w:sz w:val="15"/>
          <w:szCs w:val="15"/>
          <w:color w:val="auto"/>
        </w:rPr>
        <w:t>”).</w:t>
      </w:r>
    </w:p>
    <w:p>
      <w:pPr>
        <w:spacing w:after="0" w:line="165" w:lineRule="exact"/>
        <w:rPr>
          <w:sz w:val="20"/>
          <w:szCs w:val="20"/>
          <w:color w:val="auto"/>
        </w:rPr>
      </w:pPr>
    </w:p>
    <w:p>
      <w:pPr>
        <w:ind w:left="460"/>
        <w:spacing w:after="0"/>
        <w:tabs>
          <w:tab w:leader="none" w:pos="3080" w:val="left"/>
        </w:tabs>
        <w:rPr>
          <w:sz w:val="20"/>
          <w:szCs w:val="20"/>
          <w:color w:val="auto"/>
        </w:rPr>
      </w:pPr>
      <w:r>
        <w:rPr>
          <w:rFonts w:ascii="Arial" w:cs="Arial" w:eastAsia="Arial" w:hAnsi="Arial"/>
          <w:sz w:val="15"/>
          <w:szCs w:val="15"/>
          <w:b w:val="1"/>
          <w:bCs w:val="1"/>
          <w:color w:val="auto"/>
        </w:rPr>
        <w:t>Name:</w:t>
      </w:r>
      <w:r>
        <w:rPr>
          <w:sz w:val="20"/>
          <w:szCs w:val="20"/>
          <w:color w:val="auto"/>
        </w:rPr>
        <w:tab/>
      </w:r>
      <w:r>
        <w:rPr>
          <w:rFonts w:ascii="Arial" w:cs="Arial" w:eastAsia="Arial" w:hAnsi="Arial"/>
          <w:sz w:val="15"/>
          <w:szCs w:val="15"/>
          <w:b w:val="1"/>
          <w:bCs w:val="1"/>
          <w:color w:val="auto"/>
        </w:rPr>
        <w:t>«Name»</w:t>
      </w:r>
    </w:p>
    <w:p>
      <w:pPr>
        <w:spacing w:after="0" w:line="21" w:lineRule="exact"/>
        <w:rPr>
          <w:sz w:val="20"/>
          <w:szCs w:val="20"/>
          <w:color w:val="auto"/>
        </w:rPr>
      </w:pPr>
    </w:p>
    <w:p>
      <w:pPr>
        <w:jc w:val="both"/>
        <w:ind w:left="460"/>
        <w:spacing w:after="0"/>
        <w:tabs>
          <w:tab w:leader="none" w:pos="3080" w:val="left"/>
        </w:tabs>
        <w:rPr>
          <w:sz w:val="20"/>
          <w:szCs w:val="20"/>
          <w:color w:val="auto"/>
        </w:rPr>
      </w:pPr>
      <w:r>
        <w:rPr>
          <w:rFonts w:ascii="Arial" w:cs="Arial" w:eastAsia="Arial" w:hAnsi="Arial"/>
          <w:sz w:val="15"/>
          <w:szCs w:val="15"/>
          <w:b w:val="1"/>
          <w:bCs w:val="1"/>
          <w:color w:val="auto"/>
        </w:rPr>
        <w:t>Address:</w:t>
      </w:r>
      <w:r>
        <w:rPr>
          <w:sz w:val="20"/>
          <w:szCs w:val="20"/>
          <w:color w:val="auto"/>
        </w:rPr>
        <w:tab/>
      </w:r>
      <w:r>
        <w:rPr>
          <w:rFonts w:ascii="Arial" w:cs="Arial" w:eastAsia="Arial" w:hAnsi="Arial"/>
          <w:sz w:val="15"/>
          <w:szCs w:val="15"/>
          <w:color w:val="auto"/>
        </w:rPr>
        <w:t>«Address1»</w:t>
      </w:r>
    </w:p>
    <w:p>
      <w:pPr>
        <w:spacing w:after="0" w:line="8" w:lineRule="exact"/>
        <w:rPr>
          <w:sz w:val="20"/>
          <w:szCs w:val="20"/>
          <w:color w:val="auto"/>
        </w:rPr>
      </w:pPr>
    </w:p>
    <w:p>
      <w:pPr>
        <w:jc w:val="right"/>
        <w:ind w:right="7620"/>
        <w:spacing w:after="0"/>
        <w:rPr>
          <w:sz w:val="20"/>
          <w:szCs w:val="20"/>
          <w:color w:val="auto"/>
        </w:rPr>
      </w:pPr>
      <w:r>
        <w:rPr>
          <w:rFonts w:ascii="Arial" w:cs="Arial" w:eastAsia="Arial" w:hAnsi="Arial"/>
          <w:sz w:val="15"/>
          <w:szCs w:val="15"/>
          <w:color w:val="auto"/>
        </w:rPr>
        <w:t>«Address2»</w:t>
      </w:r>
    </w:p>
    <w:p>
      <w:pPr>
        <w:spacing w:after="0" w:line="179" w:lineRule="exact"/>
        <w:rPr>
          <w:sz w:val="20"/>
          <w:szCs w:val="20"/>
          <w:color w:val="auto"/>
        </w:rPr>
      </w:pPr>
    </w:p>
    <w:p>
      <w:pPr>
        <w:ind w:right="240"/>
        <w:spacing w:after="0" w:line="275" w:lineRule="auto"/>
        <w:rPr>
          <w:sz w:val="20"/>
          <w:szCs w:val="20"/>
          <w:color w:val="auto"/>
        </w:rPr>
      </w:pPr>
      <w:r>
        <w:rPr>
          <w:rFonts w:ascii="Arial" w:cs="Arial" w:eastAsia="Arial" w:hAnsi="Arial"/>
          <w:sz w:val="15"/>
          <w:szCs w:val="15"/>
          <w:color w:val="auto"/>
        </w:rPr>
        <w:t>You (“</w:t>
      </w:r>
      <w:r>
        <w:rPr>
          <w:rFonts w:ascii="Arial" w:cs="Arial" w:eastAsia="Arial" w:hAnsi="Arial"/>
          <w:sz w:val="15"/>
          <w:szCs w:val="15"/>
          <w:b w:val="1"/>
          <w:bCs w:val="1"/>
          <w:i w:val="1"/>
          <w:iCs w:val="1"/>
          <w:color w:val="auto"/>
        </w:rPr>
        <w:t>Participant</w:t>
      </w:r>
      <w:r>
        <w:rPr>
          <w:rFonts w:ascii="Arial" w:cs="Arial" w:eastAsia="Arial" w:hAnsi="Arial"/>
          <w:sz w:val="15"/>
          <w:szCs w:val="15"/>
          <w:color w:val="auto"/>
        </w:rPr>
        <w:t>”) have been granted an award of Restricted Stock Units (“</w:t>
      </w:r>
      <w:r>
        <w:rPr>
          <w:rFonts w:ascii="Arial" w:cs="Arial" w:eastAsia="Arial" w:hAnsi="Arial"/>
          <w:sz w:val="15"/>
          <w:szCs w:val="15"/>
          <w:b w:val="1"/>
          <w:bCs w:val="1"/>
          <w:i w:val="1"/>
          <w:iCs w:val="1"/>
          <w:color w:val="auto"/>
        </w:rPr>
        <w:t>RSUs</w:t>
      </w:r>
      <w:r>
        <w:rPr>
          <w:rFonts w:ascii="Arial" w:cs="Arial" w:eastAsia="Arial" w:hAnsi="Arial"/>
          <w:sz w:val="15"/>
          <w:szCs w:val="15"/>
          <w:color w:val="auto"/>
        </w:rPr>
        <w:t>”) under the Plan, subject to the terms and conditions of the Plan and the attached Restricted Stock Unit Agreement (hereinafter “</w:t>
      </w:r>
      <w:r>
        <w:rPr>
          <w:rFonts w:ascii="Arial" w:cs="Arial" w:eastAsia="Arial" w:hAnsi="Arial"/>
          <w:sz w:val="15"/>
          <w:szCs w:val="15"/>
          <w:b w:val="1"/>
          <w:bCs w:val="1"/>
          <w:i w:val="1"/>
          <w:iCs w:val="1"/>
          <w:color w:val="auto"/>
        </w:rPr>
        <w:t>RSU Agreement</w:t>
      </w:r>
      <w:r>
        <w:rPr>
          <w:rFonts w:ascii="Arial" w:cs="Arial" w:eastAsia="Arial" w:hAnsi="Arial"/>
          <w:sz w:val="15"/>
          <w:szCs w:val="15"/>
          <w:color w:val="auto"/>
        </w:rPr>
        <w:t>”), as follows:</w:t>
      </w:r>
    </w:p>
    <w:p>
      <w:pPr>
        <w:sectPr>
          <w:pgSz w:w="11900" w:h="16838" w:orient="portrait"/>
          <w:cols w:equalWidth="0" w:num="1">
            <w:col w:w="11440"/>
          </w:cols>
          <w:pgMar w:left="240" w:top="249" w:right="219" w:bottom="1440" w:gutter="0" w:footer="0" w:header="0"/>
        </w:sectPr>
      </w:pPr>
    </w:p>
    <w:p>
      <w:pPr>
        <w:spacing w:after="0" w:line="165" w:lineRule="exact"/>
        <w:rPr>
          <w:sz w:val="20"/>
          <w:szCs w:val="20"/>
          <w:color w:val="auto"/>
        </w:rPr>
      </w:pPr>
    </w:p>
    <w:p>
      <w:pPr>
        <w:ind w:left="460"/>
        <w:spacing w:after="0"/>
        <w:rPr>
          <w:sz w:val="20"/>
          <w:szCs w:val="20"/>
          <w:color w:val="auto"/>
        </w:rPr>
      </w:pPr>
      <w:r>
        <w:rPr>
          <w:rFonts w:ascii="Arial" w:cs="Arial" w:eastAsia="Arial" w:hAnsi="Arial"/>
          <w:sz w:val="14"/>
          <w:szCs w:val="14"/>
          <w:b w:val="1"/>
          <w:bCs w:val="1"/>
          <w:color w:val="auto"/>
        </w:rPr>
        <w:t>RSU Grant Number:</w:t>
      </w:r>
    </w:p>
    <w:p>
      <w:pPr>
        <w:spacing w:after="0" w:line="20" w:lineRule="exact"/>
        <w:rPr>
          <w:sz w:val="20"/>
          <w:szCs w:val="20"/>
          <w:color w:val="auto"/>
        </w:rPr>
      </w:pPr>
      <w:r>
        <w:rPr>
          <w:sz w:val="20"/>
          <w:szCs w:val="20"/>
          <w:color w:val="auto"/>
        </w:rPr>
        <w:br w:type="column"/>
      </w:r>
    </w:p>
    <w:p>
      <w:pPr>
        <w:spacing w:after="0" w:line="149" w:lineRule="exact"/>
        <w:rPr>
          <w:sz w:val="20"/>
          <w:szCs w:val="20"/>
          <w:color w:val="auto"/>
        </w:rPr>
      </w:pPr>
    </w:p>
    <w:p>
      <w:pPr>
        <w:spacing w:after="0"/>
        <w:rPr>
          <w:sz w:val="20"/>
          <w:szCs w:val="20"/>
          <w:color w:val="auto"/>
        </w:rPr>
      </w:pPr>
      <w:r>
        <w:rPr>
          <w:rFonts w:ascii="Arial" w:cs="Arial" w:eastAsia="Arial" w:hAnsi="Arial"/>
          <w:sz w:val="13"/>
          <w:szCs w:val="13"/>
          <w:color w:val="auto"/>
        </w:rPr>
        <w:t>«GrantNo»</w:t>
      </w:r>
    </w:p>
    <w:p>
      <w:pPr>
        <w:spacing w:after="0" w:line="117" w:lineRule="exact"/>
        <w:rPr>
          <w:sz w:val="20"/>
          <w:szCs w:val="20"/>
          <w:color w:val="auto"/>
        </w:rPr>
      </w:pPr>
    </w:p>
    <w:p>
      <w:pPr>
        <w:sectPr>
          <w:pgSz w:w="11900" w:h="16838" w:orient="portrait"/>
          <w:cols w:equalWidth="0" w:num="2">
            <w:col w:w="2380" w:space="720"/>
            <w:col w:w="8340"/>
          </w:cols>
          <w:pgMar w:left="240" w:top="249" w:right="219" w:bottom="1440" w:gutter="0" w:footer="0" w:header="0"/>
          <w:type w:val="continuous"/>
        </w:sectPr>
      </w:pPr>
    </w:p>
    <w:p>
      <w:pPr>
        <w:ind w:left="460"/>
        <w:spacing w:after="0"/>
        <w:rPr>
          <w:sz w:val="20"/>
          <w:szCs w:val="20"/>
          <w:color w:val="auto"/>
        </w:rPr>
      </w:pPr>
      <w:r>
        <w:rPr>
          <w:rFonts w:ascii="Arial" w:cs="Arial" w:eastAsia="Arial" w:hAnsi="Arial"/>
          <w:sz w:val="13"/>
          <w:szCs w:val="13"/>
          <w:b w:val="1"/>
          <w:bCs w:val="1"/>
          <w:color w:val="auto"/>
        </w:rPr>
        <w:t>Total Number of RSUs: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5"/>
          <w:szCs w:val="15"/>
          <w:b w:val="1"/>
          <w:bCs w:val="1"/>
          <w:color w:val="auto"/>
        </w:rPr>
        <w:t>RSU Grant Date:</w:t>
      </w:r>
    </w:p>
    <w:p>
      <w:pPr>
        <w:spacing w:after="0" w:line="98" w:lineRule="exact"/>
        <w:rPr>
          <w:sz w:val="20"/>
          <w:szCs w:val="20"/>
          <w:color w:val="auto"/>
        </w:rPr>
      </w:pPr>
    </w:p>
    <w:p>
      <w:pPr>
        <w:ind w:left="460"/>
        <w:spacing w:after="0"/>
        <w:rPr>
          <w:sz w:val="20"/>
          <w:szCs w:val="20"/>
          <w:color w:val="auto"/>
        </w:rPr>
      </w:pPr>
      <w:r>
        <w:rPr>
          <w:rFonts w:ascii="Arial" w:cs="Arial" w:eastAsia="Arial" w:hAnsi="Arial"/>
          <w:sz w:val="15"/>
          <w:szCs w:val="15"/>
          <w:b w:val="1"/>
          <w:bCs w:val="1"/>
          <w:color w:val="auto"/>
        </w:rPr>
        <w:t>Vesting Start Date: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b w:val="1"/>
          <w:bCs w:val="1"/>
          <w:color w:val="auto"/>
        </w:rPr>
        <w:t>«Shares»</w:t>
      </w:r>
    </w:p>
    <w:p>
      <w:pPr>
        <w:spacing w:after="0" w:line="9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«GrantDate»</w:t>
      </w:r>
    </w:p>
    <w:p>
      <w:pPr>
        <w:spacing w:after="0" w:line="11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«VCD»</w:t>
      </w:r>
    </w:p>
    <w:p>
      <w:pPr>
        <w:spacing w:after="0" w:line="98" w:lineRule="exact"/>
        <w:rPr>
          <w:sz w:val="20"/>
          <w:szCs w:val="20"/>
          <w:color w:val="auto"/>
        </w:rPr>
      </w:pPr>
    </w:p>
    <w:p>
      <w:pPr>
        <w:sectPr>
          <w:pgSz w:w="11900" w:h="16838" w:orient="portrait"/>
          <w:cols w:equalWidth="0" w:num="2">
            <w:col w:w="2380" w:space="720"/>
            <w:col w:w="8340"/>
          </w:cols>
          <w:pgMar w:left="240" w:top="249" w:right="219" w:bottom="1440" w:gutter="0" w:footer="0" w:header="0"/>
          <w:type w:val="continuous"/>
        </w:sectPr>
      </w:pPr>
    </w:p>
    <w:p>
      <w:pPr>
        <w:ind w:left="440" w:right="20"/>
        <w:spacing w:after="0" w:line="280" w:lineRule="auto"/>
        <w:rPr>
          <w:sz w:val="20"/>
          <w:szCs w:val="20"/>
          <w:color w:val="auto"/>
        </w:rPr>
      </w:pPr>
      <w:r>
        <w:rPr>
          <w:rFonts w:ascii="Arial" w:cs="Arial" w:eastAsia="Arial" w:hAnsi="Arial"/>
          <w:sz w:val="15"/>
          <w:szCs w:val="15"/>
          <w:b w:val="1"/>
          <w:bCs w:val="1"/>
          <w:color w:val="auto"/>
        </w:rPr>
        <w:t xml:space="preserve">Expiration Date: </w:t>
      </w:r>
      <w:r>
        <w:rPr>
          <w:rFonts w:ascii="Arial" w:cs="Arial" w:eastAsia="Arial" w:hAnsi="Arial"/>
          <w:sz w:val="15"/>
          <w:szCs w:val="15"/>
          <w:color w:val="auto"/>
        </w:rPr>
        <w:t>The earlier to occur of (a) the date on which settlement of all RSUs granted hereunder occurs and (b) the tenth anniversary of the RSU Grant Date. Notwithstanding</w:t>
      </w:r>
      <w:r>
        <w:rPr>
          <w:rFonts w:ascii="Arial" w:cs="Arial" w:eastAsia="Arial" w:hAnsi="Arial"/>
          <w:sz w:val="15"/>
          <w:szCs w:val="15"/>
          <w:b w:val="1"/>
          <w:bCs w:val="1"/>
          <w:color w:val="auto"/>
        </w:rPr>
        <w:t xml:space="preserve"> </w:t>
      </w:r>
      <w:r>
        <w:rPr>
          <w:rFonts w:ascii="Arial" w:cs="Arial" w:eastAsia="Arial" w:hAnsi="Arial"/>
          <w:sz w:val="15"/>
          <w:szCs w:val="15"/>
          <w:color w:val="auto"/>
        </w:rPr>
        <w:t>the foregoing, this RSU expires earlier if your Continuous Service Status (defined below) terminates earlier, as described in the RSU Agreement.</w:t>
      </w:r>
    </w:p>
    <w:p>
      <w:pPr>
        <w:spacing w:after="0" w:line="49" w:lineRule="exact"/>
        <w:rPr>
          <w:sz w:val="20"/>
          <w:szCs w:val="20"/>
          <w:color w:val="auto"/>
        </w:rPr>
      </w:pPr>
    </w:p>
    <w:p>
      <w:pPr>
        <w:ind w:left="440" w:right="80"/>
        <w:spacing w:after="0" w:line="325" w:lineRule="auto"/>
        <w:rPr>
          <w:sz w:val="20"/>
          <w:szCs w:val="20"/>
          <w:color w:val="auto"/>
        </w:rPr>
      </w:pPr>
      <w:r>
        <w:rPr>
          <w:rFonts w:ascii="Arial" w:cs="Arial" w:eastAsia="Arial" w:hAnsi="Arial"/>
          <w:sz w:val="13"/>
          <w:szCs w:val="13"/>
          <w:b w:val="1"/>
          <w:bCs w:val="1"/>
          <w:color w:val="auto"/>
        </w:rPr>
        <w:t xml:space="preserve">Vesting Schedule: </w:t>
      </w:r>
      <w:r>
        <w:rPr>
          <w:rFonts w:ascii="Arial" w:cs="Arial" w:eastAsia="Arial" w:hAnsi="Arial"/>
          <w:sz w:val="13"/>
          <w:szCs w:val="13"/>
          <w:color w:val="auto"/>
        </w:rPr>
        <w:t>Subject to the limitations set forth in this Notice, the Plan and the RSU Agreement, 25% of the total number of RSUs will vest on the 12 month anniversary of the</w:t>
      </w:r>
      <w:r>
        <w:rPr>
          <w:rFonts w:ascii="Arial" w:cs="Arial" w:eastAsia="Arial" w:hAnsi="Arial"/>
          <w:sz w:val="13"/>
          <w:szCs w:val="13"/>
          <w:b w:val="1"/>
          <w:bCs w:val="1"/>
          <w:color w:val="auto"/>
        </w:rPr>
        <w:t xml:space="preserve"> </w:t>
      </w:r>
      <w:r>
        <w:rPr>
          <w:rFonts w:ascii="Arial" w:cs="Arial" w:eastAsia="Arial" w:hAnsi="Arial"/>
          <w:sz w:val="13"/>
          <w:szCs w:val="13"/>
          <w:color w:val="auto"/>
        </w:rPr>
        <w:t>Vesting Start Date and 6.25% of the total number of RSUs will vest on each quarterly anniversary thereafter so long as your Continuous Service Status continues. “</w:t>
      </w:r>
      <w:r>
        <w:rPr>
          <w:rFonts w:ascii="Arial" w:cs="Arial" w:eastAsia="Arial" w:hAnsi="Arial"/>
          <w:sz w:val="13"/>
          <w:szCs w:val="13"/>
          <w:b w:val="1"/>
          <w:bCs w:val="1"/>
          <w:color w:val="auto"/>
        </w:rPr>
        <w:t>Continuous</w:t>
      </w:r>
      <w:r>
        <w:rPr>
          <w:rFonts w:ascii="Arial" w:cs="Arial" w:eastAsia="Arial" w:hAnsi="Arial"/>
          <w:sz w:val="13"/>
          <w:szCs w:val="13"/>
          <w:color w:val="auto"/>
        </w:rPr>
        <w:t xml:space="preserve"> </w:t>
      </w:r>
      <w:r>
        <w:rPr>
          <w:rFonts w:ascii="Arial" w:cs="Arial" w:eastAsia="Arial" w:hAnsi="Arial"/>
          <w:sz w:val="13"/>
          <w:szCs w:val="13"/>
          <w:b w:val="1"/>
          <w:bCs w:val="1"/>
          <w:color w:val="auto"/>
        </w:rPr>
        <w:t>Service Status</w:t>
      </w:r>
      <w:r>
        <w:rPr>
          <w:rFonts w:ascii="Arial" w:cs="Arial" w:eastAsia="Arial" w:hAnsi="Arial"/>
          <w:sz w:val="13"/>
          <w:szCs w:val="13"/>
          <w:color w:val="auto"/>
        </w:rPr>
        <w:t>” means Participant continues to provide services as an employee, officer, director or consultant to the Company or a Parent or Subsidiary of the Company.</w:t>
      </w:r>
    </w:p>
    <w:p>
      <w:pPr>
        <w:spacing w:after="0" w:line="118" w:lineRule="exact"/>
        <w:rPr>
          <w:sz w:val="20"/>
          <w:szCs w:val="20"/>
          <w:color w:val="auto"/>
        </w:rPr>
      </w:pPr>
    </w:p>
    <w:p>
      <w:pPr>
        <w:ind w:right="240"/>
        <w:spacing w:after="0" w:line="290" w:lineRule="auto"/>
        <w:rPr>
          <w:sz w:val="20"/>
          <w:szCs w:val="20"/>
          <w:color w:val="auto"/>
        </w:rPr>
      </w:pPr>
      <w:r>
        <w:rPr>
          <w:rFonts w:ascii="Arial" w:cs="Arial" w:eastAsia="Arial" w:hAnsi="Arial"/>
          <w:sz w:val="14"/>
          <w:szCs w:val="14"/>
          <w:color w:val="auto"/>
        </w:rPr>
        <w:t>Participant understands that his or her employment or consulting relationship with the Company is for an unspecified duration, can be terminated at any time (</w:t>
      </w:r>
      <w:r>
        <w:rPr>
          <w:rFonts w:ascii="Arial" w:cs="Arial" w:eastAsia="Arial" w:hAnsi="Arial"/>
          <w:sz w:val="14"/>
          <w:szCs w:val="14"/>
          <w:i w:val="1"/>
          <w:iCs w:val="1"/>
          <w:color w:val="auto"/>
        </w:rPr>
        <w:t>i.e.</w:t>
      </w:r>
      <w:r>
        <w:rPr>
          <w:rFonts w:ascii="Arial" w:cs="Arial" w:eastAsia="Arial" w:hAnsi="Arial"/>
          <w:sz w:val="14"/>
          <w:szCs w:val="14"/>
          <w:color w:val="auto"/>
        </w:rPr>
        <w:t>, is “at-will”), and that nothing in this Notice of Grant, the RSU Agreement or the Plan changes the at-will nature of that relationship. Participant also understands that this Notice of Grant is subject to the terms and conditions of both the RSU Agreement and the Plan, both of which are incorporated herein by reference. Participant has read both the RSU Agreement and the Plan.</w:t>
      </w:r>
    </w:p>
    <w:p>
      <w:pPr>
        <w:spacing w:after="0" w:line="138" w:lineRule="exact"/>
        <w:rPr>
          <w:sz w:val="20"/>
          <w:szCs w:val="20"/>
          <w:color w:val="auto"/>
        </w:rPr>
      </w:pPr>
    </w:p>
    <w:p>
      <w:pPr>
        <w:ind w:right="280"/>
        <w:spacing w:after="0" w:line="259" w:lineRule="auto"/>
        <w:rPr>
          <w:sz w:val="20"/>
          <w:szCs w:val="20"/>
          <w:color w:val="auto"/>
        </w:rPr>
      </w:pPr>
      <w:r>
        <w:rPr>
          <w:rFonts w:ascii="Arial" w:cs="Arial" w:eastAsia="Arial" w:hAnsi="Arial"/>
          <w:sz w:val="15"/>
          <w:szCs w:val="15"/>
          <w:color w:val="auto"/>
        </w:rPr>
        <w:t>By your acceptance hereof (whether written, electronic or otherwise), you agree, to the fullest extent permitted by law, that in lieu of receiving documents in paper format, you accept the electronic delivery of any documents the Company, or any third party involved in administering the Plan which the Company may designate, may deliver in connection with this grant (including the Plan, the Notice of Grant, this Agreement, the 701 Disclosures, account statements, or other communications or information) whether via the Company’s intranet or the Internet site of such third party or via email or such other means of electronic delivery specified by the Company.</w:t>
      </w:r>
    </w:p>
    <w:p>
      <w:pPr>
        <w:spacing w:after="0" w:line="158" w:lineRule="exact"/>
        <w:rPr>
          <w:sz w:val="20"/>
          <w:szCs w:val="20"/>
          <w:color w:val="auto"/>
        </w:rPr>
      </w:pPr>
    </w:p>
    <w:p>
      <w:pPr>
        <w:spacing w:after="0" w:line="275" w:lineRule="auto"/>
        <w:rPr>
          <w:sz w:val="20"/>
          <w:szCs w:val="20"/>
          <w:color w:val="auto"/>
        </w:rPr>
      </w:pPr>
      <w:r>
        <w:rPr>
          <w:rFonts w:ascii="Arial" w:cs="Arial" w:eastAsia="Arial" w:hAnsi="Arial"/>
          <w:sz w:val="15"/>
          <w:szCs w:val="15"/>
          <w:color w:val="auto"/>
        </w:rPr>
        <w:t>By your signature and the signature of the Company’s representative on the Notice of Grant, Participant and the Company agree that this RSU is granted under and governed by the terms and conditions of the Plan, the Notice of Grant and the RSU Agreement.</w:t>
      </w:r>
    </w:p>
    <w:p>
      <w:pPr>
        <w:sectPr>
          <w:pgSz w:w="11900" w:h="16838" w:orient="portrait"/>
          <w:cols w:equalWidth="0" w:num="1">
            <w:col w:w="11440"/>
          </w:cols>
          <w:pgMar w:left="240" w:top="249" w:right="219" w:bottom="1440" w:gutter="0" w:footer="0" w:header="0"/>
          <w:type w:val="continuous"/>
        </w:sectPr>
      </w:pPr>
    </w:p>
    <w:bookmarkStart w:id="502" w:name="page503"/>
    <w:bookmarkEnd w:id="502"/>
    <w:p>
      <w:pPr>
        <w:spacing w:after="0"/>
        <w:tabs>
          <w:tab w:leader="none" w:pos="6380" w:val="left"/>
        </w:tabs>
        <w:rPr>
          <w:sz w:val="20"/>
          <w:szCs w:val="20"/>
          <w:color w:val="auto"/>
        </w:rPr>
      </w:pPr>
      <w:r>
        <w:rPr>
          <w:rFonts w:ascii="Arial" w:cs="Arial" w:eastAsia="Arial" w:hAnsi="Arial"/>
          <w:sz w:val="14"/>
          <w:szCs w:val="14"/>
          <w:b w:val="1"/>
          <w:bCs w:val="1"/>
          <w:color w:val="auto"/>
        </w:rPr>
        <w:drawing>
          <wp:anchor simplePos="0" relativeHeight="251657728" behindDoc="1" locked="0" layoutInCell="0" allowOverlap="1">
            <wp:simplePos x="0" y="0"/>
            <wp:positionH relativeFrom="page">
              <wp:posOffset>133350</wp:posOffset>
            </wp:positionH>
            <wp:positionV relativeFrom="page">
              <wp:posOffset>88900</wp:posOffset>
            </wp:positionV>
            <wp:extent cx="7308850" cy="34290"/>
            <wp:wrapNone/>
            <wp:docPr id="766" name="Picture 7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6"/>
                    <pic:cNvPicPr>
                      <a:picLocks noChangeAspect="1" noChangeArrowheads="1"/>
                    </pic:cNvPicPr>
                  </pic:nvPicPr>
                  <pic:blipFill>
                    <a:blip r:embed="rId803">
                      <a:extLst>
                        <a:ext uri="{28A0092B-C50C-407E-A947-70E740481C1C}"/>
                      </a:extLst>
                    </a:blip>
                    <a:srcRect/>
                    <a:stretch>
                      <a:fillRect/>
                    </a:stretch>
                  </pic:blipFill>
                  <pic:spPr bwMode="auto">
                    <a:xfrm>
                      <a:off x="0" y="0"/>
                      <a:ext cx="7308850" cy="34290"/>
                    </a:xfrm>
                    <a:prstGeom prst="rect">
                      <a:avLst/>
                    </a:prstGeom>
                    <a:noFill/>
                  </pic:spPr>
                </pic:pic>
              </a:graphicData>
            </a:graphic>
          </wp:anchor>
        </w:drawing>
        <w:t>PARTICIPANT</w:t>
      </w:r>
      <w:r>
        <w:rPr>
          <w:sz w:val="20"/>
          <w:szCs w:val="20"/>
          <w:color w:val="auto"/>
        </w:rPr>
        <w:tab/>
      </w:r>
      <w:r>
        <w:rPr>
          <w:rFonts w:ascii="Arial" w:cs="Arial" w:eastAsia="Arial" w:hAnsi="Arial"/>
          <w:sz w:val="14"/>
          <w:szCs w:val="14"/>
          <w:b w:val="1"/>
          <w:bCs w:val="1"/>
          <w:color w:val="auto"/>
        </w:rPr>
        <w:t>DROPBOX, INC.</w:t>
      </w:r>
    </w:p>
    <w:p>
      <w:pPr>
        <w:spacing w:after="0" w:line="21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«N</w:t>
      </w:r>
      <w:r>
        <w:rPr>
          <w:rFonts w:ascii="Arial" w:cs="Arial" w:eastAsia="Arial" w:hAnsi="Arial"/>
          <w:sz w:val="12"/>
          <w:szCs w:val="12"/>
          <w:b w:val="1"/>
          <w:bCs w:val="1"/>
          <w:color w:val="auto"/>
        </w:rPr>
        <w:t>AME</w:t>
      </w:r>
      <w:r>
        <w:rPr>
          <w:rFonts w:ascii="Arial" w:cs="Arial" w:eastAsia="Arial" w:hAnsi="Arial"/>
          <w:sz w:val="15"/>
          <w:szCs w:val="15"/>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128905</wp:posOffset>
            </wp:positionV>
            <wp:extent cx="7269480" cy="6985"/>
            <wp:wrapNone/>
            <wp:docPr id="767" name="Picture 7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7"/>
                    <pic:cNvPicPr>
                      <a:picLocks noChangeAspect="1" noChangeArrowheads="1"/>
                    </pic:cNvPicPr>
                  </pic:nvPicPr>
                  <pic:blipFill>
                    <a:blip r:embed="rId804">
                      <a:extLst>
                        <a:ext uri="{28A0092B-C50C-407E-A947-70E740481C1C}"/>
                      </a:extLst>
                    </a:blip>
                    <a:srcRect/>
                    <a:stretch>
                      <a:fillRect/>
                    </a:stretch>
                  </pic:blipFill>
                  <pic:spPr bwMode="auto">
                    <a:xfrm>
                      <a:off x="0" y="0"/>
                      <a:ext cx="7269480" cy="6985"/>
                    </a:xfrm>
                    <a:prstGeom prst="rect">
                      <a:avLst/>
                    </a:prstGeom>
                    <a:noFill/>
                  </pic:spPr>
                </pic:pic>
              </a:graphicData>
            </a:graphic>
          </wp:anchor>
        </w:drawing>
      </w:r>
    </w:p>
    <w:p>
      <w:pPr>
        <w:spacing w:after="0" w:line="319" w:lineRule="exact"/>
        <w:rPr>
          <w:sz w:val="20"/>
          <w:szCs w:val="20"/>
          <w:color w:val="auto"/>
        </w:rPr>
      </w:pPr>
    </w:p>
    <w:p>
      <w:pPr>
        <w:ind w:left="5580"/>
        <w:spacing w:after="0"/>
        <w:rPr>
          <w:sz w:val="20"/>
          <w:szCs w:val="20"/>
          <w:color w:val="auto"/>
        </w:rPr>
      </w:pPr>
      <w:r>
        <w:rPr>
          <w:rFonts w:ascii="Arial" w:cs="Arial" w:eastAsia="Arial" w:hAnsi="Arial"/>
          <w:sz w:val="15"/>
          <w:szCs w:val="15"/>
          <w:color w:val="auto"/>
        </w:rPr>
        <w:t>- 2 -</w:t>
      </w:r>
    </w:p>
    <w:p>
      <w:pPr>
        <w:sectPr>
          <w:pgSz w:w="11900" w:h="16838" w:orient="portrait"/>
          <w:cols w:equalWidth="0" w:num="1">
            <w:col w:w="10219"/>
          </w:cols>
          <w:pgMar w:left="240" w:top="430" w:right="1440" w:bottom="1440" w:gutter="0" w:footer="0" w:header="0"/>
        </w:sectPr>
      </w:pPr>
    </w:p>
    <w:bookmarkStart w:id="503" w:name="page504"/>
    <w:bookmarkEnd w:id="503"/>
    <w:p>
      <w:pPr>
        <w:jc w:val="center"/>
        <w:ind w:right="-9"/>
        <w:spacing w:after="0"/>
        <w:rPr>
          <w:sz w:val="20"/>
          <w:szCs w:val="20"/>
          <w:color w:val="auto"/>
        </w:rPr>
      </w:pPr>
      <w:r>
        <w:rPr>
          <w:rFonts w:ascii="Arial" w:cs="Arial" w:eastAsia="Arial" w:hAnsi="Arial"/>
          <w:sz w:val="15"/>
          <w:szCs w:val="15"/>
          <w:b w:val="1"/>
          <w:bCs w:val="1"/>
          <w:color w:val="auto"/>
        </w:rPr>
        <w:drawing>
          <wp:anchor simplePos="0" relativeHeight="251657728" behindDoc="1" locked="0" layoutInCell="0" allowOverlap="1">
            <wp:simplePos x="0" y="0"/>
            <wp:positionH relativeFrom="page">
              <wp:posOffset>133350</wp:posOffset>
            </wp:positionH>
            <wp:positionV relativeFrom="page">
              <wp:posOffset>88900</wp:posOffset>
            </wp:positionV>
            <wp:extent cx="7308850" cy="34290"/>
            <wp:wrapNone/>
            <wp:docPr id="768" name="Picture 7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8"/>
                    <pic:cNvPicPr>
                      <a:picLocks noChangeAspect="1" noChangeArrowheads="1"/>
                    </pic:cNvPicPr>
                  </pic:nvPicPr>
                  <pic:blipFill>
                    <a:blip r:embed="rId805">
                      <a:extLst>
                        <a:ext uri="{28A0092B-C50C-407E-A947-70E740481C1C}"/>
                      </a:extLst>
                    </a:blip>
                    <a:srcRect/>
                    <a:stretch>
                      <a:fillRect/>
                    </a:stretch>
                  </pic:blipFill>
                  <pic:spPr bwMode="auto">
                    <a:xfrm>
                      <a:off x="0" y="0"/>
                      <a:ext cx="7308850" cy="34290"/>
                    </a:xfrm>
                    <a:prstGeom prst="rect">
                      <a:avLst/>
                    </a:prstGeom>
                    <a:noFill/>
                  </pic:spPr>
                </pic:pic>
              </a:graphicData>
            </a:graphic>
          </wp:anchor>
        </w:drawing>
        <w:t>DROPBOX, INC.</w:t>
      </w:r>
    </w:p>
    <w:p>
      <w:pPr>
        <w:spacing w:after="0" w:line="21" w:lineRule="exact"/>
        <w:rPr>
          <w:sz w:val="20"/>
          <w:szCs w:val="20"/>
          <w:color w:val="auto"/>
        </w:rPr>
      </w:pPr>
    </w:p>
    <w:p>
      <w:pPr>
        <w:ind w:left="4750"/>
        <w:spacing w:after="0"/>
        <w:rPr>
          <w:sz w:val="20"/>
          <w:szCs w:val="20"/>
          <w:color w:val="auto"/>
        </w:rPr>
      </w:pPr>
      <w:r>
        <w:rPr>
          <w:rFonts w:ascii="Arial" w:cs="Arial" w:eastAsia="Arial" w:hAnsi="Arial"/>
          <w:sz w:val="15"/>
          <w:szCs w:val="15"/>
          <w:b w:val="1"/>
          <w:bCs w:val="1"/>
          <w:color w:val="auto"/>
        </w:rPr>
        <w:t>RSU A</w:t>
      </w:r>
      <w:r>
        <w:rPr>
          <w:rFonts w:ascii="Arial" w:cs="Arial" w:eastAsia="Arial" w:hAnsi="Arial"/>
          <w:sz w:val="12"/>
          <w:szCs w:val="12"/>
          <w:b w:val="1"/>
          <w:bCs w:val="1"/>
          <w:color w:val="auto"/>
        </w:rPr>
        <w:t>GREEMENT UNDER THE</w:t>
      </w:r>
    </w:p>
    <w:p>
      <w:pPr>
        <w:spacing w:after="0" w:line="8" w:lineRule="exact"/>
        <w:rPr>
          <w:sz w:val="20"/>
          <w:szCs w:val="20"/>
          <w:color w:val="auto"/>
        </w:rPr>
      </w:pPr>
    </w:p>
    <w:p>
      <w:pPr>
        <w:ind w:left="4730"/>
        <w:spacing w:after="0"/>
        <w:rPr>
          <w:sz w:val="20"/>
          <w:szCs w:val="20"/>
          <w:color w:val="auto"/>
        </w:rPr>
      </w:pPr>
      <w:r>
        <w:rPr>
          <w:rFonts w:ascii="Arial" w:cs="Arial" w:eastAsia="Arial" w:hAnsi="Arial"/>
          <w:sz w:val="15"/>
          <w:szCs w:val="15"/>
          <w:b w:val="1"/>
          <w:bCs w:val="1"/>
          <w:color w:val="auto"/>
        </w:rPr>
        <w:t>2008 E</w:t>
      </w:r>
      <w:r>
        <w:rPr>
          <w:rFonts w:ascii="Arial" w:cs="Arial" w:eastAsia="Arial" w:hAnsi="Arial"/>
          <w:sz w:val="12"/>
          <w:szCs w:val="12"/>
          <w:b w:val="1"/>
          <w:bCs w:val="1"/>
          <w:color w:val="auto"/>
        </w:rPr>
        <w:t>QUITY</w:t>
      </w:r>
      <w:r>
        <w:rPr>
          <w:rFonts w:ascii="Arial" w:cs="Arial" w:eastAsia="Arial" w:hAnsi="Arial"/>
          <w:sz w:val="15"/>
          <w:szCs w:val="15"/>
          <w:b w:val="1"/>
          <w:bCs w:val="1"/>
          <w:color w:val="auto"/>
        </w:rPr>
        <w:t xml:space="preserve"> I</w:t>
      </w:r>
      <w:r>
        <w:rPr>
          <w:rFonts w:ascii="Arial" w:cs="Arial" w:eastAsia="Arial" w:hAnsi="Arial"/>
          <w:sz w:val="12"/>
          <w:szCs w:val="12"/>
          <w:b w:val="1"/>
          <w:bCs w:val="1"/>
          <w:color w:val="auto"/>
        </w:rPr>
        <w:t>NCENTIVE</w:t>
      </w:r>
      <w:r>
        <w:rPr>
          <w:rFonts w:ascii="Arial" w:cs="Arial" w:eastAsia="Arial" w:hAnsi="Arial"/>
          <w:sz w:val="15"/>
          <w:szCs w:val="15"/>
          <w:b w:val="1"/>
          <w:bCs w:val="1"/>
          <w:color w:val="auto"/>
        </w:rPr>
        <w:t xml:space="preserve"> P</w:t>
      </w:r>
      <w:r>
        <w:rPr>
          <w:rFonts w:ascii="Arial" w:cs="Arial" w:eastAsia="Arial" w:hAnsi="Arial"/>
          <w:sz w:val="12"/>
          <w:szCs w:val="12"/>
          <w:b w:val="1"/>
          <w:bCs w:val="1"/>
          <w:color w:val="auto"/>
        </w:rPr>
        <w:t>LAN</w:t>
      </w:r>
    </w:p>
    <w:p>
      <w:pPr>
        <w:spacing w:after="0" w:line="179" w:lineRule="exact"/>
        <w:rPr>
          <w:sz w:val="20"/>
          <w:szCs w:val="20"/>
          <w:color w:val="auto"/>
        </w:rPr>
      </w:pPr>
    </w:p>
    <w:p>
      <w:pPr>
        <w:jc w:val="both"/>
        <w:ind w:left="10" w:right="60"/>
        <w:spacing w:after="0" w:line="263" w:lineRule="auto"/>
        <w:rPr>
          <w:sz w:val="20"/>
          <w:szCs w:val="20"/>
          <w:color w:val="auto"/>
        </w:rPr>
      </w:pPr>
      <w:r>
        <w:rPr>
          <w:rFonts w:ascii="Arial" w:cs="Arial" w:eastAsia="Arial" w:hAnsi="Arial"/>
          <w:sz w:val="15"/>
          <w:szCs w:val="15"/>
          <w:color w:val="auto"/>
        </w:rPr>
        <w:t>You have been granted Restricted Stock Units (“</w:t>
      </w:r>
      <w:r>
        <w:rPr>
          <w:rFonts w:ascii="Arial" w:cs="Arial" w:eastAsia="Arial" w:hAnsi="Arial"/>
          <w:sz w:val="15"/>
          <w:szCs w:val="15"/>
          <w:b w:val="1"/>
          <w:bCs w:val="1"/>
          <w:i w:val="1"/>
          <w:iCs w:val="1"/>
          <w:color w:val="auto"/>
        </w:rPr>
        <w:t>RSUs</w:t>
      </w:r>
      <w:r>
        <w:rPr>
          <w:rFonts w:ascii="Arial" w:cs="Arial" w:eastAsia="Arial" w:hAnsi="Arial"/>
          <w:sz w:val="15"/>
          <w:szCs w:val="15"/>
          <w:color w:val="auto"/>
        </w:rPr>
        <w:t>”) subject to the terms, restrictions and conditions of the Company’s 2008 Equity Incentive Plan (the “</w:t>
      </w:r>
      <w:r>
        <w:rPr>
          <w:rFonts w:ascii="Arial" w:cs="Arial" w:eastAsia="Arial" w:hAnsi="Arial"/>
          <w:sz w:val="15"/>
          <w:szCs w:val="15"/>
          <w:b w:val="1"/>
          <w:bCs w:val="1"/>
          <w:i w:val="1"/>
          <w:iCs w:val="1"/>
          <w:color w:val="auto"/>
        </w:rPr>
        <w:t>Plan</w:t>
      </w:r>
      <w:r>
        <w:rPr>
          <w:rFonts w:ascii="Arial" w:cs="Arial" w:eastAsia="Arial" w:hAnsi="Arial"/>
          <w:sz w:val="15"/>
          <w:szCs w:val="15"/>
          <w:color w:val="auto"/>
        </w:rPr>
        <w:t>”), the Notice of Restricted Stock Unit Award (“</w:t>
      </w:r>
      <w:r>
        <w:rPr>
          <w:rFonts w:ascii="Arial" w:cs="Arial" w:eastAsia="Arial" w:hAnsi="Arial"/>
          <w:sz w:val="15"/>
          <w:szCs w:val="15"/>
          <w:b w:val="1"/>
          <w:bCs w:val="1"/>
          <w:i w:val="1"/>
          <w:iCs w:val="1"/>
          <w:color w:val="auto"/>
        </w:rPr>
        <w:t>Notice of Grant</w:t>
      </w:r>
      <w:r>
        <w:rPr>
          <w:rFonts w:ascii="Arial" w:cs="Arial" w:eastAsia="Arial" w:hAnsi="Arial"/>
          <w:sz w:val="15"/>
          <w:szCs w:val="15"/>
          <w:color w:val="auto"/>
        </w:rPr>
        <w:t>”) and this Agreement. Unless otherwise defined herein, the terms defined in the Plan shall have the same defined meanings in this RSU Agreement (the “</w:t>
      </w:r>
      <w:r>
        <w:rPr>
          <w:rFonts w:ascii="Arial" w:cs="Arial" w:eastAsia="Arial" w:hAnsi="Arial"/>
          <w:sz w:val="15"/>
          <w:szCs w:val="15"/>
          <w:b w:val="1"/>
          <w:bCs w:val="1"/>
          <w:i w:val="1"/>
          <w:iCs w:val="1"/>
          <w:color w:val="auto"/>
        </w:rPr>
        <w:t>Agreement</w:t>
      </w:r>
      <w:r>
        <w:rPr>
          <w:rFonts w:ascii="Arial" w:cs="Arial" w:eastAsia="Arial" w:hAnsi="Arial"/>
          <w:sz w:val="15"/>
          <w:szCs w:val="15"/>
          <w:color w:val="auto"/>
        </w:rPr>
        <w:t>”).</w:t>
      </w:r>
    </w:p>
    <w:p>
      <w:pPr>
        <w:spacing w:after="0" w:line="151" w:lineRule="exact"/>
        <w:rPr>
          <w:sz w:val="20"/>
          <w:szCs w:val="20"/>
          <w:color w:val="auto"/>
        </w:rPr>
      </w:pPr>
    </w:p>
    <w:p>
      <w:pPr>
        <w:ind w:left="10" w:hanging="10"/>
        <w:spacing w:after="0" w:line="266" w:lineRule="auto"/>
        <w:tabs>
          <w:tab w:leader="none" w:pos="160" w:val="left"/>
        </w:tabs>
        <w:numPr>
          <w:ilvl w:val="0"/>
          <w:numId w:val="472"/>
        </w:numPr>
        <w:rPr>
          <w:rFonts w:ascii="Arial" w:cs="Arial" w:eastAsia="Arial" w:hAnsi="Arial"/>
          <w:sz w:val="15"/>
          <w:szCs w:val="15"/>
          <w:b w:val="1"/>
          <w:bCs w:val="1"/>
          <w:color w:val="auto"/>
        </w:rPr>
      </w:pPr>
      <w:r>
        <w:rPr>
          <w:rFonts w:ascii="Arial" w:cs="Arial" w:eastAsia="Arial" w:hAnsi="Arial"/>
          <w:sz w:val="15"/>
          <w:szCs w:val="15"/>
          <w:b w:val="1"/>
          <w:bCs w:val="1"/>
          <w:u w:val="single" w:color="auto"/>
          <w:color w:val="auto"/>
        </w:rPr>
        <w:t>Settlement</w:t>
      </w:r>
      <w:r>
        <w:rPr>
          <w:rFonts w:ascii="Arial" w:cs="Arial" w:eastAsia="Arial" w:hAnsi="Arial"/>
          <w:sz w:val="15"/>
          <w:szCs w:val="15"/>
          <w:b w:val="1"/>
          <w:bCs w:val="1"/>
          <w:color w:val="auto"/>
        </w:rPr>
        <w:t xml:space="preserve">. </w:t>
      </w:r>
      <w:r>
        <w:rPr>
          <w:rFonts w:ascii="Arial" w:cs="Arial" w:eastAsia="Arial" w:hAnsi="Arial"/>
          <w:sz w:val="15"/>
          <w:szCs w:val="15"/>
          <w:color w:val="auto"/>
        </w:rPr>
        <w:t>Settlement of RSUs shall be made no later March 15 of the calendar year following the applicable date of vesting under the vesting schedule set forth in the Notice. Settlement</w:t>
      </w:r>
      <w:r>
        <w:rPr>
          <w:rFonts w:ascii="Arial" w:cs="Arial" w:eastAsia="Arial" w:hAnsi="Arial"/>
          <w:sz w:val="15"/>
          <w:szCs w:val="15"/>
          <w:b w:val="1"/>
          <w:bCs w:val="1"/>
          <w:color w:val="auto"/>
        </w:rPr>
        <w:t xml:space="preserve"> </w:t>
      </w:r>
      <w:r>
        <w:rPr>
          <w:rFonts w:ascii="Arial" w:cs="Arial" w:eastAsia="Arial" w:hAnsi="Arial"/>
          <w:sz w:val="15"/>
          <w:szCs w:val="15"/>
          <w:color w:val="auto"/>
        </w:rPr>
        <w:t>of RSUs shall be in Shares. Settlement means the delivery of the Shares vested under an RSU. No fractional RSUs or rights for fractional Shares shall be created pursuant to this RSU Agreement.</w:t>
      </w:r>
    </w:p>
    <w:p>
      <w:pPr>
        <w:spacing w:after="0" w:line="148" w:lineRule="exact"/>
        <w:rPr>
          <w:rFonts w:ascii="Arial" w:cs="Arial" w:eastAsia="Arial" w:hAnsi="Arial"/>
          <w:sz w:val="15"/>
          <w:szCs w:val="15"/>
          <w:b w:val="1"/>
          <w:bCs w:val="1"/>
          <w:color w:val="auto"/>
        </w:rPr>
      </w:pPr>
    </w:p>
    <w:p>
      <w:pPr>
        <w:ind w:left="10" w:right="180" w:hanging="10"/>
        <w:spacing w:after="0" w:line="280" w:lineRule="auto"/>
        <w:tabs>
          <w:tab w:leader="none" w:pos="160" w:val="left"/>
        </w:tabs>
        <w:numPr>
          <w:ilvl w:val="0"/>
          <w:numId w:val="472"/>
        </w:numPr>
        <w:rPr>
          <w:rFonts w:ascii="Arial" w:cs="Arial" w:eastAsia="Arial" w:hAnsi="Arial"/>
          <w:sz w:val="15"/>
          <w:szCs w:val="15"/>
          <w:b w:val="1"/>
          <w:bCs w:val="1"/>
          <w:color w:val="auto"/>
        </w:rPr>
      </w:pPr>
      <w:r>
        <w:rPr>
          <w:rFonts w:ascii="Arial" w:cs="Arial" w:eastAsia="Arial" w:hAnsi="Arial"/>
          <w:sz w:val="15"/>
          <w:szCs w:val="15"/>
          <w:b w:val="1"/>
          <w:bCs w:val="1"/>
          <w:u w:val="single" w:color="auto"/>
          <w:color w:val="auto"/>
        </w:rPr>
        <w:t>No Stockholder Rights</w:t>
      </w:r>
      <w:r>
        <w:rPr>
          <w:rFonts w:ascii="Arial" w:cs="Arial" w:eastAsia="Arial" w:hAnsi="Arial"/>
          <w:sz w:val="15"/>
          <w:szCs w:val="15"/>
          <w:b w:val="1"/>
          <w:bCs w:val="1"/>
          <w:color w:val="auto"/>
        </w:rPr>
        <w:t xml:space="preserve">. </w:t>
      </w:r>
      <w:r>
        <w:rPr>
          <w:rFonts w:ascii="Arial" w:cs="Arial" w:eastAsia="Arial" w:hAnsi="Arial"/>
          <w:sz w:val="15"/>
          <w:szCs w:val="15"/>
          <w:color w:val="auto"/>
        </w:rPr>
        <w:t>Unless and until such time as Shares are issued in settlement of vested RSUs, Participant shall have no ownership of the Shares allocated to the RSUs and shall</w:t>
      </w:r>
      <w:r>
        <w:rPr>
          <w:rFonts w:ascii="Arial" w:cs="Arial" w:eastAsia="Arial" w:hAnsi="Arial"/>
          <w:sz w:val="15"/>
          <w:szCs w:val="15"/>
          <w:b w:val="1"/>
          <w:bCs w:val="1"/>
          <w:color w:val="auto"/>
        </w:rPr>
        <w:t xml:space="preserve"> </w:t>
      </w:r>
      <w:r>
        <w:rPr>
          <w:rFonts w:ascii="Arial" w:cs="Arial" w:eastAsia="Arial" w:hAnsi="Arial"/>
          <w:sz w:val="15"/>
          <w:szCs w:val="15"/>
          <w:color w:val="auto"/>
        </w:rPr>
        <w:t>have no right to dividends or to vote such Shares.</w:t>
      </w:r>
    </w:p>
    <w:p>
      <w:pPr>
        <w:spacing w:after="0" w:line="138" w:lineRule="exact"/>
        <w:rPr>
          <w:rFonts w:ascii="Arial" w:cs="Arial" w:eastAsia="Arial" w:hAnsi="Arial"/>
          <w:sz w:val="15"/>
          <w:szCs w:val="15"/>
          <w:b w:val="1"/>
          <w:bCs w:val="1"/>
          <w:color w:val="auto"/>
        </w:rPr>
      </w:pPr>
    </w:p>
    <w:p>
      <w:pPr>
        <w:ind w:left="150" w:hanging="150"/>
        <w:spacing w:after="0"/>
        <w:tabs>
          <w:tab w:leader="none" w:pos="150" w:val="left"/>
        </w:tabs>
        <w:numPr>
          <w:ilvl w:val="0"/>
          <w:numId w:val="472"/>
        </w:numPr>
        <w:rPr>
          <w:rFonts w:ascii="Arial" w:cs="Arial" w:eastAsia="Arial" w:hAnsi="Arial"/>
          <w:sz w:val="15"/>
          <w:szCs w:val="15"/>
          <w:b w:val="1"/>
          <w:bCs w:val="1"/>
          <w:color w:val="auto"/>
        </w:rPr>
      </w:pPr>
      <w:r>
        <w:rPr>
          <w:rFonts w:ascii="Arial" w:cs="Arial" w:eastAsia="Arial" w:hAnsi="Arial"/>
          <w:sz w:val="15"/>
          <w:szCs w:val="15"/>
          <w:b w:val="1"/>
          <w:bCs w:val="1"/>
          <w:u w:val="single" w:color="auto"/>
          <w:color w:val="auto"/>
        </w:rPr>
        <w:t>Dividend Equivalents</w:t>
      </w:r>
      <w:r>
        <w:rPr>
          <w:rFonts w:ascii="Arial" w:cs="Arial" w:eastAsia="Arial" w:hAnsi="Arial"/>
          <w:sz w:val="15"/>
          <w:szCs w:val="15"/>
          <w:b w:val="1"/>
          <w:bCs w:val="1"/>
          <w:color w:val="auto"/>
        </w:rPr>
        <w:t xml:space="preserve">. </w:t>
      </w:r>
      <w:r>
        <w:rPr>
          <w:rFonts w:ascii="Arial" w:cs="Arial" w:eastAsia="Arial" w:hAnsi="Arial"/>
          <w:sz w:val="15"/>
          <w:szCs w:val="15"/>
          <w:color w:val="auto"/>
        </w:rPr>
        <w:t>Dividends, if any (whether in cash or Shares), shall not be credited to Participant.</w:t>
      </w:r>
    </w:p>
    <w:p>
      <w:pPr>
        <w:spacing w:after="0" w:line="188" w:lineRule="exact"/>
        <w:rPr>
          <w:rFonts w:ascii="Arial" w:cs="Arial" w:eastAsia="Arial" w:hAnsi="Arial"/>
          <w:sz w:val="15"/>
          <w:szCs w:val="15"/>
          <w:b w:val="1"/>
          <w:bCs w:val="1"/>
          <w:color w:val="auto"/>
        </w:rPr>
      </w:pPr>
    </w:p>
    <w:p>
      <w:pPr>
        <w:ind w:left="10" w:right="120" w:hanging="10"/>
        <w:spacing w:after="0" w:line="285" w:lineRule="auto"/>
        <w:tabs>
          <w:tab w:leader="none" w:pos="160" w:val="left"/>
        </w:tabs>
        <w:numPr>
          <w:ilvl w:val="0"/>
          <w:numId w:val="472"/>
        </w:numPr>
        <w:rPr>
          <w:rFonts w:ascii="Arial" w:cs="Arial" w:eastAsia="Arial" w:hAnsi="Arial"/>
          <w:sz w:val="14"/>
          <w:szCs w:val="14"/>
          <w:b w:val="1"/>
          <w:bCs w:val="1"/>
          <w:color w:val="auto"/>
        </w:rPr>
      </w:pPr>
      <w:r>
        <w:rPr>
          <w:rFonts w:ascii="Arial" w:cs="Arial" w:eastAsia="Arial" w:hAnsi="Arial"/>
          <w:sz w:val="14"/>
          <w:szCs w:val="14"/>
          <w:b w:val="1"/>
          <w:bCs w:val="1"/>
          <w:u w:val="single" w:color="auto"/>
          <w:color w:val="auto"/>
        </w:rPr>
        <w:t>No Transfer</w:t>
      </w:r>
      <w:r>
        <w:rPr>
          <w:rFonts w:ascii="Arial" w:cs="Arial" w:eastAsia="Arial" w:hAnsi="Arial"/>
          <w:sz w:val="14"/>
          <w:szCs w:val="14"/>
          <w:b w:val="1"/>
          <w:bCs w:val="1"/>
          <w:color w:val="auto"/>
        </w:rPr>
        <w:t xml:space="preserve">. </w:t>
      </w:r>
      <w:r>
        <w:rPr>
          <w:rFonts w:ascii="Arial" w:cs="Arial" w:eastAsia="Arial" w:hAnsi="Arial"/>
          <w:sz w:val="14"/>
          <w:szCs w:val="14"/>
          <w:color w:val="auto"/>
        </w:rPr>
        <w:t>The RSUs and any interest therein shall not be sold, assigned, transferred, pledged, hypothecated, or otherwise disposed of, other than by will or by the laws of descent and</w:t>
      </w:r>
      <w:r>
        <w:rPr>
          <w:rFonts w:ascii="Arial" w:cs="Arial" w:eastAsia="Arial" w:hAnsi="Arial"/>
          <w:sz w:val="14"/>
          <w:szCs w:val="14"/>
          <w:b w:val="1"/>
          <w:bCs w:val="1"/>
          <w:color w:val="auto"/>
        </w:rPr>
        <w:t xml:space="preserve"> </w:t>
      </w:r>
      <w:r>
        <w:rPr>
          <w:rFonts w:ascii="Arial" w:cs="Arial" w:eastAsia="Arial" w:hAnsi="Arial"/>
          <w:sz w:val="14"/>
          <w:szCs w:val="14"/>
          <w:color w:val="auto"/>
        </w:rPr>
        <w:t>distribution. Notwithstanding the foregoing, Participant may, in the manner established by the Committee, designate a beneficiary or beneficiaries to exercise the rights of Participant and receive any property distributable with respect to the RSUs upon the death of Participant. Any transferee who receives an interest in the RSU or the underlying Shares upon the death of Participant shall acknowledge in writing that the RSU shall continue to be subject to the restrictions set forth in this Section 4.</w:t>
      </w:r>
    </w:p>
    <w:p>
      <w:pPr>
        <w:spacing w:after="0" w:line="137" w:lineRule="exact"/>
        <w:rPr>
          <w:rFonts w:ascii="Arial" w:cs="Arial" w:eastAsia="Arial" w:hAnsi="Arial"/>
          <w:sz w:val="14"/>
          <w:szCs w:val="14"/>
          <w:b w:val="1"/>
          <w:bCs w:val="1"/>
          <w:color w:val="auto"/>
        </w:rPr>
      </w:pPr>
    </w:p>
    <w:p>
      <w:pPr>
        <w:ind w:left="10" w:right="80" w:hanging="10"/>
        <w:spacing w:after="0" w:line="261" w:lineRule="auto"/>
        <w:tabs>
          <w:tab w:leader="none" w:pos="160" w:val="left"/>
        </w:tabs>
        <w:numPr>
          <w:ilvl w:val="0"/>
          <w:numId w:val="472"/>
        </w:numPr>
        <w:rPr>
          <w:rFonts w:ascii="Arial" w:cs="Arial" w:eastAsia="Arial" w:hAnsi="Arial"/>
          <w:sz w:val="15"/>
          <w:szCs w:val="15"/>
          <w:b w:val="1"/>
          <w:bCs w:val="1"/>
          <w:color w:val="auto"/>
        </w:rPr>
      </w:pPr>
      <w:r>
        <w:rPr>
          <w:rFonts w:ascii="Arial" w:cs="Arial" w:eastAsia="Arial" w:hAnsi="Arial"/>
          <w:sz w:val="15"/>
          <w:szCs w:val="15"/>
          <w:b w:val="1"/>
          <w:bCs w:val="1"/>
          <w:u w:val="single" w:color="auto"/>
          <w:color w:val="auto"/>
        </w:rPr>
        <w:t>Termination</w:t>
      </w:r>
      <w:r>
        <w:rPr>
          <w:rFonts w:ascii="Arial" w:cs="Arial" w:eastAsia="Arial" w:hAnsi="Arial"/>
          <w:sz w:val="15"/>
          <w:szCs w:val="15"/>
          <w:b w:val="1"/>
          <w:bCs w:val="1"/>
          <w:color w:val="auto"/>
        </w:rPr>
        <w:t xml:space="preserve">. </w:t>
      </w:r>
      <w:r>
        <w:rPr>
          <w:rFonts w:ascii="Arial" w:cs="Arial" w:eastAsia="Arial" w:hAnsi="Arial"/>
          <w:sz w:val="15"/>
          <w:szCs w:val="15"/>
          <w:color w:val="auto"/>
        </w:rPr>
        <w:t>The RSUs shall terminate on the Expiration Date or earlier as provided in this Section 5. If Participant’s Continuous Service Status terminates for any reason, all RSUs for</w:t>
      </w:r>
      <w:r>
        <w:rPr>
          <w:rFonts w:ascii="Arial" w:cs="Arial" w:eastAsia="Arial" w:hAnsi="Arial"/>
          <w:sz w:val="15"/>
          <w:szCs w:val="15"/>
          <w:b w:val="1"/>
          <w:bCs w:val="1"/>
          <w:color w:val="auto"/>
        </w:rPr>
        <w:t xml:space="preserve"> </w:t>
      </w:r>
      <w:r>
        <w:rPr>
          <w:rFonts w:ascii="Arial" w:cs="Arial" w:eastAsia="Arial" w:hAnsi="Arial"/>
          <w:sz w:val="15"/>
          <w:szCs w:val="15"/>
          <w:color w:val="auto"/>
        </w:rPr>
        <w:t>which vesting is no longer possible under the terms of the Notice of Grant and this Agreement shall be forfeited to the Company forthwith, and all rights of Participant to such RSUs shall immediately terminate. In case of any dispute as to whether such termination has occurred, the Committee shall have sole discretion to determine whether such termination has occurred and the effective date of such termination.</w:t>
      </w:r>
    </w:p>
    <w:p>
      <w:pPr>
        <w:spacing w:after="0" w:line="151" w:lineRule="exact"/>
        <w:rPr>
          <w:rFonts w:ascii="Arial" w:cs="Arial" w:eastAsia="Arial" w:hAnsi="Arial"/>
          <w:sz w:val="15"/>
          <w:szCs w:val="15"/>
          <w:b w:val="1"/>
          <w:bCs w:val="1"/>
          <w:color w:val="auto"/>
        </w:rPr>
      </w:pPr>
    </w:p>
    <w:p>
      <w:pPr>
        <w:ind w:left="10" w:right="140" w:hanging="10"/>
        <w:spacing w:after="0" w:line="293" w:lineRule="auto"/>
        <w:tabs>
          <w:tab w:leader="none" w:pos="160" w:val="left"/>
        </w:tabs>
        <w:numPr>
          <w:ilvl w:val="0"/>
          <w:numId w:val="472"/>
        </w:numPr>
        <w:rPr>
          <w:rFonts w:ascii="Arial" w:cs="Arial" w:eastAsia="Arial" w:hAnsi="Arial"/>
          <w:sz w:val="14"/>
          <w:szCs w:val="14"/>
          <w:b w:val="1"/>
          <w:bCs w:val="1"/>
          <w:color w:val="auto"/>
        </w:rPr>
      </w:pPr>
      <w:r>
        <w:rPr>
          <w:rFonts w:ascii="Arial" w:cs="Arial" w:eastAsia="Arial" w:hAnsi="Arial"/>
          <w:sz w:val="14"/>
          <w:szCs w:val="14"/>
          <w:b w:val="1"/>
          <w:bCs w:val="1"/>
          <w:u w:val="single" w:color="auto"/>
          <w:color w:val="auto"/>
        </w:rPr>
        <w:t>Acknowledgement</w:t>
      </w:r>
      <w:r>
        <w:rPr>
          <w:rFonts w:ascii="Arial" w:cs="Arial" w:eastAsia="Arial" w:hAnsi="Arial"/>
          <w:sz w:val="14"/>
          <w:szCs w:val="14"/>
          <w:b w:val="1"/>
          <w:bCs w:val="1"/>
          <w:color w:val="auto"/>
        </w:rPr>
        <w:t xml:space="preserve">. </w:t>
      </w:r>
      <w:r>
        <w:rPr>
          <w:rFonts w:ascii="Arial" w:cs="Arial" w:eastAsia="Arial" w:hAnsi="Arial"/>
          <w:sz w:val="14"/>
          <w:szCs w:val="14"/>
          <w:color w:val="auto"/>
        </w:rPr>
        <w:t>The Company and Participant agree that the RSUs are granted under and governed by the Notice of Grant, this Agreement and by the provisions of the Plan</w:t>
      </w:r>
      <w:r>
        <w:rPr>
          <w:rFonts w:ascii="Arial" w:cs="Arial" w:eastAsia="Arial" w:hAnsi="Arial"/>
          <w:sz w:val="14"/>
          <w:szCs w:val="14"/>
          <w:b w:val="1"/>
          <w:bCs w:val="1"/>
          <w:color w:val="auto"/>
        </w:rPr>
        <w:t xml:space="preserve"> </w:t>
      </w:r>
      <w:r>
        <w:rPr>
          <w:rFonts w:ascii="Arial" w:cs="Arial" w:eastAsia="Arial" w:hAnsi="Arial"/>
          <w:sz w:val="14"/>
          <w:szCs w:val="14"/>
          <w:color w:val="auto"/>
        </w:rPr>
        <w:t>(incorporated herein by reference). Participant: (i) acknowledges receipt of a copy of each of the foregoing documents, (ii) represents that Participant has carefully read and is familiar with their provisions, and (iii) hereby accepts the RSUs subject to all of the terms and conditions set forth herein and those set forth in the Plan and the Notice of Grant.</w:t>
      </w:r>
    </w:p>
    <w:p>
      <w:pPr>
        <w:spacing w:after="0" w:line="132" w:lineRule="exact"/>
        <w:rPr>
          <w:rFonts w:ascii="Arial" w:cs="Arial" w:eastAsia="Arial" w:hAnsi="Arial"/>
          <w:sz w:val="14"/>
          <w:szCs w:val="14"/>
          <w:b w:val="1"/>
          <w:bCs w:val="1"/>
          <w:color w:val="auto"/>
        </w:rPr>
      </w:pPr>
    </w:p>
    <w:p>
      <w:pPr>
        <w:ind w:left="10" w:hanging="10"/>
        <w:spacing w:after="0" w:line="258" w:lineRule="auto"/>
        <w:tabs>
          <w:tab w:leader="none" w:pos="160" w:val="left"/>
        </w:tabs>
        <w:numPr>
          <w:ilvl w:val="0"/>
          <w:numId w:val="472"/>
        </w:numPr>
        <w:rPr>
          <w:rFonts w:ascii="Arial" w:cs="Arial" w:eastAsia="Arial" w:hAnsi="Arial"/>
          <w:sz w:val="15"/>
          <w:szCs w:val="15"/>
          <w:b w:val="1"/>
          <w:bCs w:val="1"/>
          <w:color w:val="auto"/>
        </w:rPr>
      </w:pPr>
      <w:r>
        <w:rPr>
          <w:rFonts w:ascii="Arial" w:cs="Arial" w:eastAsia="Arial" w:hAnsi="Arial"/>
          <w:sz w:val="15"/>
          <w:szCs w:val="15"/>
          <w:b w:val="1"/>
          <w:bCs w:val="1"/>
          <w:u w:val="single" w:color="auto"/>
          <w:color w:val="auto"/>
        </w:rPr>
        <w:t>Limitations on Transfer of Stock</w:t>
      </w:r>
      <w:r>
        <w:rPr>
          <w:rFonts w:ascii="Arial" w:cs="Arial" w:eastAsia="Arial" w:hAnsi="Arial"/>
          <w:sz w:val="15"/>
          <w:szCs w:val="15"/>
          <w:b w:val="1"/>
          <w:bCs w:val="1"/>
          <w:color w:val="auto"/>
        </w:rPr>
        <w:t xml:space="preserve">. </w:t>
      </w:r>
      <w:r>
        <w:rPr>
          <w:rFonts w:ascii="Arial" w:cs="Arial" w:eastAsia="Arial" w:hAnsi="Arial"/>
          <w:sz w:val="15"/>
          <w:szCs w:val="15"/>
          <w:color w:val="auto"/>
        </w:rPr>
        <w:t>In addition to any other limitation on transfer created by applicable securities laws, Participant shall not assign, encumber or dispose of any interest in</w:t>
      </w:r>
      <w:r>
        <w:rPr>
          <w:rFonts w:ascii="Arial" w:cs="Arial" w:eastAsia="Arial" w:hAnsi="Arial"/>
          <w:sz w:val="15"/>
          <w:szCs w:val="15"/>
          <w:b w:val="1"/>
          <w:bCs w:val="1"/>
          <w:color w:val="auto"/>
        </w:rPr>
        <w:t xml:space="preserve"> </w:t>
      </w:r>
      <w:r>
        <w:rPr>
          <w:rFonts w:ascii="Arial" w:cs="Arial" w:eastAsia="Arial" w:hAnsi="Arial"/>
          <w:sz w:val="15"/>
          <w:szCs w:val="15"/>
          <w:color w:val="auto"/>
        </w:rPr>
        <w:t>the Shares issued pursuant to this Agreement except with the Company’s prior written consent and in compliance with the provisions of Article 12 of the Plan, the Company’s then current Insider Trading Policy, and applicable securities laws. The restrictions on transfer also include a prohibition on any short position, any “put equivalent position” or any “call equivalent position” by the RSU holder with respect to the RSU itself as well as any shares issuable upon settlement of the RSU prior to the settlement thereof until the Company becomes subject to the reporting requirements of Section 13 or 15(d) of the Exchange Act.</w:t>
      </w:r>
    </w:p>
    <w:p>
      <w:pPr>
        <w:sectPr>
          <w:pgSz w:w="11900" w:h="16838" w:orient="portrait"/>
          <w:cols w:equalWidth="0" w:num="1">
            <w:col w:w="11430"/>
          </w:cols>
          <w:pgMar w:left="230" w:top="249" w:right="239" w:bottom="1440" w:gutter="0" w:footer="0" w:header="0"/>
        </w:sectPr>
      </w:pPr>
    </w:p>
    <w:bookmarkStart w:id="504" w:name="page505"/>
    <w:bookmarkEnd w:id="504"/>
    <w:p>
      <w:pPr>
        <w:ind w:left="10" w:right="160" w:hanging="10"/>
        <w:spacing w:after="0" w:line="266" w:lineRule="auto"/>
        <w:tabs>
          <w:tab w:leader="none" w:pos="160" w:val="left"/>
        </w:tabs>
        <w:numPr>
          <w:ilvl w:val="0"/>
          <w:numId w:val="473"/>
        </w:numPr>
        <w:rPr>
          <w:rFonts w:ascii="Arial" w:cs="Arial" w:eastAsia="Arial" w:hAnsi="Arial"/>
          <w:sz w:val="15"/>
          <w:szCs w:val="15"/>
          <w:b w:val="1"/>
          <w:bCs w:val="1"/>
          <w:color w:val="auto"/>
        </w:rPr>
      </w:pPr>
      <w:r>
        <w:rPr>
          <w:rFonts w:ascii="Arial" w:cs="Arial" w:eastAsia="Arial" w:hAnsi="Arial"/>
          <w:sz w:val="15"/>
          <w:szCs w:val="15"/>
          <w:b w:val="1"/>
          <w:bCs w:val="1"/>
          <w:u w:val="single" w:color="auto"/>
          <w:color w:val="auto"/>
        </w:rPr>
        <w:drawing>
          <wp:anchor simplePos="0" relativeHeight="251657728" behindDoc="1" locked="0" layoutInCell="0" allowOverlap="1">
            <wp:simplePos x="0" y="0"/>
            <wp:positionH relativeFrom="page">
              <wp:posOffset>133350</wp:posOffset>
            </wp:positionH>
            <wp:positionV relativeFrom="page">
              <wp:posOffset>88900</wp:posOffset>
            </wp:positionV>
            <wp:extent cx="7308850" cy="34290"/>
            <wp:wrapNone/>
            <wp:docPr id="769" name="Picture 7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9"/>
                    <pic:cNvPicPr>
                      <a:picLocks noChangeAspect="1" noChangeArrowheads="1"/>
                    </pic:cNvPicPr>
                  </pic:nvPicPr>
                  <pic:blipFill>
                    <a:blip r:embed="rId806">
                      <a:extLst>
                        <a:ext uri="{28A0092B-C50C-407E-A947-70E740481C1C}"/>
                      </a:extLst>
                    </a:blip>
                    <a:srcRect/>
                    <a:stretch>
                      <a:fillRect/>
                    </a:stretch>
                  </pic:blipFill>
                  <pic:spPr bwMode="auto">
                    <a:xfrm>
                      <a:off x="0" y="0"/>
                      <a:ext cx="7308850" cy="34290"/>
                    </a:xfrm>
                    <a:prstGeom prst="rect">
                      <a:avLst/>
                    </a:prstGeom>
                    <a:noFill/>
                  </pic:spPr>
                </pic:pic>
              </a:graphicData>
            </a:graphic>
          </wp:anchor>
        </w:drawing>
        <w:t>Restrictions Binding on Transferees</w:t>
      </w:r>
      <w:r>
        <w:rPr>
          <w:rFonts w:ascii="Arial" w:cs="Arial" w:eastAsia="Arial" w:hAnsi="Arial"/>
          <w:sz w:val="15"/>
          <w:szCs w:val="15"/>
          <w:b w:val="1"/>
          <w:bCs w:val="1"/>
          <w:color w:val="auto"/>
        </w:rPr>
        <w:t xml:space="preserve">. </w:t>
      </w:r>
      <w:r>
        <w:rPr>
          <w:rFonts w:ascii="Arial" w:cs="Arial" w:eastAsia="Arial" w:hAnsi="Arial"/>
          <w:sz w:val="15"/>
          <w:szCs w:val="15"/>
          <w:color w:val="auto"/>
        </w:rPr>
        <w:t>All transferees of Shares or any interest therein will receive and hold such shares or interest subject to the provisions of this Agreement, including</w:t>
      </w:r>
      <w:r>
        <w:rPr>
          <w:rFonts w:ascii="Arial" w:cs="Arial" w:eastAsia="Arial" w:hAnsi="Arial"/>
          <w:sz w:val="15"/>
          <w:szCs w:val="15"/>
          <w:b w:val="1"/>
          <w:bCs w:val="1"/>
          <w:color w:val="auto"/>
        </w:rPr>
        <w:t xml:space="preserve"> </w:t>
      </w:r>
      <w:r>
        <w:rPr>
          <w:rFonts w:ascii="Arial" w:cs="Arial" w:eastAsia="Arial" w:hAnsi="Arial"/>
          <w:sz w:val="15"/>
          <w:szCs w:val="15"/>
          <w:color w:val="auto"/>
        </w:rPr>
        <w:t>the transfer restrictions of Sections 4 and 7, and the transferee shall acknowledge such restrictions in writing. Any sale or transfer of the Shares shall be void unless the provisions of this Agreement are satisfied.</w:t>
      </w:r>
    </w:p>
    <w:p>
      <w:pPr>
        <w:spacing w:after="0" w:line="148" w:lineRule="exact"/>
        <w:rPr>
          <w:rFonts w:ascii="Arial" w:cs="Arial" w:eastAsia="Arial" w:hAnsi="Arial"/>
          <w:sz w:val="15"/>
          <w:szCs w:val="15"/>
          <w:b w:val="1"/>
          <w:bCs w:val="1"/>
          <w:color w:val="auto"/>
        </w:rPr>
      </w:pPr>
    </w:p>
    <w:p>
      <w:pPr>
        <w:ind w:left="10" w:right="40" w:hanging="10"/>
        <w:spacing w:after="0" w:line="285" w:lineRule="auto"/>
        <w:tabs>
          <w:tab w:leader="none" w:pos="160" w:val="left"/>
        </w:tabs>
        <w:numPr>
          <w:ilvl w:val="0"/>
          <w:numId w:val="473"/>
        </w:numPr>
        <w:rPr>
          <w:rFonts w:ascii="Arial" w:cs="Arial" w:eastAsia="Arial" w:hAnsi="Arial"/>
          <w:sz w:val="14"/>
          <w:szCs w:val="14"/>
          <w:b w:val="1"/>
          <w:bCs w:val="1"/>
          <w:color w:val="auto"/>
        </w:rPr>
      </w:pPr>
      <w:r>
        <w:rPr>
          <w:rFonts w:ascii="Arial" w:cs="Arial" w:eastAsia="Arial" w:hAnsi="Arial"/>
          <w:sz w:val="14"/>
          <w:szCs w:val="14"/>
          <w:b w:val="1"/>
          <w:bCs w:val="1"/>
          <w:u w:val="single" w:color="auto"/>
          <w:color w:val="auto"/>
        </w:rPr>
        <w:t>Withholding of Tax</w:t>
      </w:r>
      <w:r>
        <w:rPr>
          <w:rFonts w:ascii="Arial" w:cs="Arial" w:eastAsia="Arial" w:hAnsi="Arial"/>
          <w:sz w:val="14"/>
          <w:szCs w:val="14"/>
          <w:b w:val="1"/>
          <w:bCs w:val="1"/>
          <w:color w:val="auto"/>
        </w:rPr>
        <w:t xml:space="preserve">. </w:t>
      </w:r>
      <w:r>
        <w:rPr>
          <w:rFonts w:ascii="Arial" w:cs="Arial" w:eastAsia="Arial" w:hAnsi="Arial"/>
          <w:sz w:val="14"/>
          <w:szCs w:val="14"/>
          <w:color w:val="auto"/>
        </w:rPr>
        <w:t>When the RSUs are vested and/or settled the fair market value of the Shares is treated as income subject to withholding by the Company for income and employment</w:t>
      </w:r>
      <w:r>
        <w:rPr>
          <w:rFonts w:ascii="Arial" w:cs="Arial" w:eastAsia="Arial" w:hAnsi="Arial"/>
          <w:sz w:val="14"/>
          <w:szCs w:val="14"/>
          <w:b w:val="1"/>
          <w:bCs w:val="1"/>
          <w:color w:val="auto"/>
        </w:rPr>
        <w:t xml:space="preserve"> </w:t>
      </w:r>
      <w:r>
        <w:rPr>
          <w:rFonts w:ascii="Arial" w:cs="Arial" w:eastAsia="Arial" w:hAnsi="Arial"/>
          <w:sz w:val="14"/>
          <w:szCs w:val="14"/>
          <w:color w:val="auto"/>
        </w:rPr>
        <w:t>taxes if Participant is or was an employee of the Company. The Company shall withhold an amount equal to the tax due at vesting and/or settlement from the Participant’s other compensation or require Participant to remit to the Company an amount equal to the tax then due. In its sole discretion, the Company may instead withhold a number of Shares with a fair market value (determined on the date the Shares are settled) equal to the minimum amount the Company is then required to withhold for taxes.</w:t>
      </w:r>
    </w:p>
    <w:p>
      <w:pPr>
        <w:spacing w:after="0" w:line="137" w:lineRule="exact"/>
        <w:rPr>
          <w:rFonts w:ascii="Arial" w:cs="Arial" w:eastAsia="Arial" w:hAnsi="Arial"/>
          <w:sz w:val="14"/>
          <w:szCs w:val="14"/>
          <w:b w:val="1"/>
          <w:bCs w:val="1"/>
          <w:color w:val="auto"/>
        </w:rPr>
      </w:pPr>
    </w:p>
    <w:p>
      <w:pPr>
        <w:ind w:left="10" w:right="40" w:hanging="10"/>
        <w:spacing w:after="0" w:line="272" w:lineRule="auto"/>
        <w:tabs>
          <w:tab w:leader="none" w:pos="235" w:val="left"/>
        </w:tabs>
        <w:numPr>
          <w:ilvl w:val="0"/>
          <w:numId w:val="473"/>
        </w:numPr>
        <w:rPr>
          <w:rFonts w:ascii="Arial" w:cs="Arial" w:eastAsia="Arial" w:hAnsi="Arial"/>
          <w:sz w:val="14"/>
          <w:szCs w:val="14"/>
          <w:b w:val="1"/>
          <w:bCs w:val="1"/>
          <w:color w:val="auto"/>
        </w:rPr>
      </w:pPr>
      <w:r>
        <w:rPr>
          <w:rFonts w:ascii="Arial" w:cs="Arial" w:eastAsia="Arial" w:hAnsi="Arial"/>
          <w:sz w:val="14"/>
          <w:szCs w:val="14"/>
          <w:b w:val="1"/>
          <w:bCs w:val="1"/>
          <w:u w:val="single" w:color="auto"/>
          <w:color w:val="auto"/>
        </w:rPr>
        <w:t>Code Section 409A</w:t>
      </w:r>
      <w:r>
        <w:rPr>
          <w:rFonts w:ascii="Arial" w:cs="Arial" w:eastAsia="Arial" w:hAnsi="Arial"/>
          <w:sz w:val="14"/>
          <w:szCs w:val="14"/>
          <w:color w:val="auto"/>
        </w:rPr>
        <w:t>. For purposes of this Agreement, a termination of employment will be determined consistent with the rules relating to a “separation from service” as defined in</w:t>
      </w:r>
      <w:r>
        <w:rPr>
          <w:rFonts w:ascii="Arial" w:cs="Arial" w:eastAsia="Arial" w:hAnsi="Arial"/>
          <w:sz w:val="14"/>
          <w:szCs w:val="14"/>
          <w:b w:val="1"/>
          <w:bCs w:val="1"/>
          <w:color w:val="auto"/>
        </w:rPr>
        <w:t xml:space="preserve"> </w:t>
      </w:r>
      <w:r>
        <w:rPr>
          <w:rFonts w:ascii="Arial" w:cs="Arial" w:eastAsia="Arial" w:hAnsi="Arial"/>
          <w:sz w:val="14"/>
          <w:szCs w:val="14"/>
          <w:color w:val="auto"/>
        </w:rPr>
        <w:t>Section 409A of the Code and the regulations thereunder (“</w:t>
      </w:r>
      <w:r>
        <w:rPr>
          <w:rFonts w:ascii="Arial" w:cs="Arial" w:eastAsia="Arial" w:hAnsi="Arial"/>
          <w:sz w:val="14"/>
          <w:szCs w:val="14"/>
          <w:b w:val="1"/>
          <w:bCs w:val="1"/>
          <w:color w:val="auto"/>
        </w:rPr>
        <w:t>Section 409A</w:t>
      </w:r>
      <w:r>
        <w:rPr>
          <w:rFonts w:ascii="Arial" w:cs="Arial" w:eastAsia="Arial" w:hAnsi="Arial"/>
          <w:sz w:val="14"/>
          <w:szCs w:val="14"/>
          <w:color w:val="auto"/>
        </w:rPr>
        <w:t>”). Notwithstanding anything else provided herein, to the extent any payments provided under this Agreement in connection with Participant’s termination of employment constitute deferred compensation subject to Section 409A, and Participant is deemed at the time of such termination of employment to be a “specified employee” under Section 409A, then such payment shall not be made or commence until the earlier of (i) the expiration of the six-month period measured from Participant’s separation from service from the Company or (ii) the date of Participant’s death following such a separation from service; provided, however, that such deferral shall only be effected to the extent required to avoid adverse tax treatment to Participant including, without limitation, the additional tax for which Participant would otherwise be liable under</w:t>
      </w:r>
    </w:p>
    <w:p>
      <w:pPr>
        <w:spacing w:after="0" w:line="1" w:lineRule="exact"/>
        <w:rPr>
          <w:rFonts w:ascii="Arial" w:cs="Arial" w:eastAsia="Arial" w:hAnsi="Arial"/>
          <w:sz w:val="14"/>
          <w:szCs w:val="14"/>
          <w:b w:val="1"/>
          <w:bCs w:val="1"/>
          <w:color w:val="auto"/>
        </w:rPr>
      </w:pPr>
    </w:p>
    <w:p>
      <w:pPr>
        <w:ind w:left="10" w:right="40"/>
        <w:spacing w:after="0" w:line="274" w:lineRule="auto"/>
        <w:rPr>
          <w:rFonts w:ascii="Arial" w:cs="Arial" w:eastAsia="Arial" w:hAnsi="Arial"/>
          <w:sz w:val="14"/>
          <w:szCs w:val="14"/>
          <w:b w:val="1"/>
          <w:bCs w:val="1"/>
          <w:color w:val="auto"/>
        </w:rPr>
      </w:pPr>
      <w:r>
        <w:rPr>
          <w:rFonts w:ascii="Arial" w:cs="Arial" w:eastAsia="Arial" w:hAnsi="Arial"/>
          <w:sz w:val="14"/>
          <w:szCs w:val="14"/>
          <w:color w:val="auto"/>
        </w:rPr>
        <w:t>Section 409A(a)(1)(B) in the absence of such a deferral. The first payment thereof will include a catch-up payment covering the amount that would have otherwise been paid during the period between Participant’s termination of employment and the first payment date but for the application of this provision, and the balance of the installments (if any) will be payable in accordance with their original schedule. To the extent that any provision of this Agreement is ambiguous as to its compliance with Section 409A, the provision will be read in such a manner so that all payments hereunder comply with Section 409A. To the extent any payment under this Agreement may be classified as a “short-term deferral” within the meaning of Section 409A, such payment shall be deemed a short-term deferral, even if it may also qualify for an exemption from Section 409A under another provision of Section 409A. Payments pursuant to this section are intended to constitute separate payments for purposes of Section 1.409A-2(b)(2) of the Treasury Regulations.</w:t>
      </w:r>
    </w:p>
    <w:p>
      <w:pPr>
        <w:spacing w:after="0" w:line="146" w:lineRule="exact"/>
        <w:rPr>
          <w:rFonts w:ascii="Arial" w:cs="Arial" w:eastAsia="Arial" w:hAnsi="Arial"/>
          <w:sz w:val="14"/>
          <w:szCs w:val="14"/>
          <w:b w:val="1"/>
          <w:bCs w:val="1"/>
          <w:color w:val="auto"/>
        </w:rPr>
      </w:pPr>
    </w:p>
    <w:p>
      <w:pPr>
        <w:ind w:left="10" w:hanging="10"/>
        <w:spacing w:after="0" w:line="261" w:lineRule="auto"/>
        <w:tabs>
          <w:tab w:leader="none" w:pos="227" w:val="left"/>
        </w:tabs>
        <w:numPr>
          <w:ilvl w:val="0"/>
          <w:numId w:val="473"/>
        </w:numPr>
        <w:rPr>
          <w:rFonts w:ascii="Arial" w:cs="Arial" w:eastAsia="Arial" w:hAnsi="Arial"/>
          <w:sz w:val="15"/>
          <w:szCs w:val="15"/>
          <w:b w:val="1"/>
          <w:bCs w:val="1"/>
          <w:color w:val="auto"/>
        </w:rPr>
      </w:pPr>
      <w:r>
        <w:rPr>
          <w:rFonts w:ascii="Arial" w:cs="Arial" w:eastAsia="Arial" w:hAnsi="Arial"/>
          <w:sz w:val="15"/>
          <w:szCs w:val="15"/>
          <w:b w:val="1"/>
          <w:bCs w:val="1"/>
          <w:u w:val="single" w:color="auto"/>
          <w:color w:val="auto"/>
        </w:rPr>
        <w:t>Award Subject to Company Clawback or Recoupment</w:t>
      </w:r>
      <w:r>
        <w:rPr>
          <w:rFonts w:ascii="Arial" w:cs="Arial" w:eastAsia="Arial" w:hAnsi="Arial"/>
          <w:sz w:val="15"/>
          <w:szCs w:val="15"/>
          <w:color w:val="auto"/>
        </w:rPr>
        <w:t>. The RSU shall be subject to clawback or recoupment pursuant to any compensation clawback or recoupment policy adopted by</w:t>
      </w:r>
      <w:r>
        <w:rPr>
          <w:rFonts w:ascii="Arial" w:cs="Arial" w:eastAsia="Arial" w:hAnsi="Arial"/>
          <w:sz w:val="15"/>
          <w:szCs w:val="15"/>
          <w:b w:val="1"/>
          <w:bCs w:val="1"/>
          <w:color w:val="auto"/>
        </w:rPr>
        <w:t xml:space="preserve"> </w:t>
      </w:r>
      <w:r>
        <w:rPr>
          <w:rFonts w:ascii="Arial" w:cs="Arial" w:eastAsia="Arial" w:hAnsi="Arial"/>
          <w:sz w:val="15"/>
          <w:szCs w:val="15"/>
          <w:color w:val="auto"/>
        </w:rPr>
        <w:t>the Board or required by law during the term of Participant’s Continuous Service Status with the Company that is applicable to executive officers, employees, directors or other service providers of the Company, and in addition to any other remedies available under such policy and applicable law may require the cancellation of Participant’s RSU (whether vested or unvested) and the recoupment of any gains realized with respect to Participant’s RSU.</w:t>
      </w:r>
    </w:p>
    <w:p>
      <w:pPr>
        <w:spacing w:after="0" w:line="151" w:lineRule="exact"/>
        <w:rPr>
          <w:rFonts w:ascii="Arial" w:cs="Arial" w:eastAsia="Arial" w:hAnsi="Arial"/>
          <w:sz w:val="15"/>
          <w:szCs w:val="15"/>
          <w:b w:val="1"/>
          <w:bCs w:val="1"/>
          <w:color w:val="auto"/>
        </w:rPr>
      </w:pPr>
    </w:p>
    <w:p>
      <w:pPr>
        <w:ind w:left="10" w:right="540" w:hanging="10"/>
        <w:spacing w:after="0" w:line="280" w:lineRule="auto"/>
        <w:tabs>
          <w:tab w:leader="none" w:pos="235" w:val="left"/>
        </w:tabs>
        <w:numPr>
          <w:ilvl w:val="0"/>
          <w:numId w:val="473"/>
        </w:numPr>
        <w:rPr>
          <w:rFonts w:ascii="Arial" w:cs="Arial" w:eastAsia="Arial" w:hAnsi="Arial"/>
          <w:sz w:val="15"/>
          <w:szCs w:val="15"/>
          <w:b w:val="1"/>
          <w:bCs w:val="1"/>
          <w:color w:val="auto"/>
        </w:rPr>
      </w:pPr>
      <w:r>
        <w:rPr>
          <w:rFonts w:ascii="Arial" w:cs="Arial" w:eastAsia="Arial" w:hAnsi="Arial"/>
          <w:sz w:val="15"/>
          <w:szCs w:val="15"/>
          <w:b w:val="1"/>
          <w:bCs w:val="1"/>
          <w:u w:val="single" w:color="auto"/>
          <w:color w:val="auto"/>
        </w:rPr>
        <w:t>Tax Consequences</w:t>
      </w:r>
      <w:r>
        <w:rPr>
          <w:rFonts w:ascii="Arial" w:cs="Arial" w:eastAsia="Arial" w:hAnsi="Arial"/>
          <w:sz w:val="15"/>
          <w:szCs w:val="15"/>
          <w:b w:val="1"/>
          <w:bCs w:val="1"/>
          <w:color w:val="auto"/>
        </w:rPr>
        <w:t xml:space="preserve">. </w:t>
      </w:r>
      <w:r>
        <w:rPr>
          <w:rFonts w:ascii="Arial" w:cs="Arial" w:eastAsia="Arial" w:hAnsi="Arial"/>
          <w:sz w:val="15"/>
          <w:szCs w:val="15"/>
          <w:color w:val="auto"/>
        </w:rPr>
        <w:t>Participant acknowledges that there will be tax consequences upon vesting and/or settlement of the RSUs and/or disposition of the Shares, if any, received in</w:t>
      </w:r>
      <w:r>
        <w:rPr>
          <w:rFonts w:ascii="Arial" w:cs="Arial" w:eastAsia="Arial" w:hAnsi="Arial"/>
          <w:sz w:val="15"/>
          <w:szCs w:val="15"/>
          <w:b w:val="1"/>
          <w:bCs w:val="1"/>
          <w:color w:val="auto"/>
        </w:rPr>
        <w:t xml:space="preserve"> </w:t>
      </w:r>
      <w:r>
        <w:rPr>
          <w:rFonts w:ascii="Arial" w:cs="Arial" w:eastAsia="Arial" w:hAnsi="Arial"/>
          <w:sz w:val="15"/>
          <w:szCs w:val="15"/>
          <w:color w:val="auto"/>
        </w:rPr>
        <w:t>connection therewith, and Participant should consult a tax adviser regarding Participant’s tax obligations prior to such settlement or disposition.</w:t>
      </w:r>
    </w:p>
    <w:p>
      <w:pPr>
        <w:spacing w:after="0" w:line="138" w:lineRule="exact"/>
        <w:rPr>
          <w:rFonts w:ascii="Arial" w:cs="Arial" w:eastAsia="Arial" w:hAnsi="Arial"/>
          <w:sz w:val="15"/>
          <w:szCs w:val="15"/>
          <w:b w:val="1"/>
          <w:bCs w:val="1"/>
          <w:color w:val="auto"/>
        </w:rPr>
      </w:pPr>
    </w:p>
    <w:p>
      <w:pPr>
        <w:ind w:left="10" w:right="100" w:hanging="10"/>
        <w:spacing w:after="0" w:line="261" w:lineRule="auto"/>
        <w:tabs>
          <w:tab w:leader="none" w:pos="235" w:val="left"/>
        </w:tabs>
        <w:numPr>
          <w:ilvl w:val="0"/>
          <w:numId w:val="473"/>
        </w:numPr>
        <w:rPr>
          <w:rFonts w:ascii="Arial" w:cs="Arial" w:eastAsia="Arial" w:hAnsi="Arial"/>
          <w:sz w:val="15"/>
          <w:szCs w:val="15"/>
          <w:b w:val="1"/>
          <w:bCs w:val="1"/>
          <w:color w:val="auto"/>
        </w:rPr>
      </w:pPr>
      <w:r>
        <w:rPr>
          <w:rFonts w:ascii="Arial" w:cs="Arial" w:eastAsia="Arial" w:hAnsi="Arial"/>
          <w:sz w:val="15"/>
          <w:szCs w:val="15"/>
          <w:b w:val="1"/>
          <w:bCs w:val="1"/>
          <w:u w:val="single" w:color="auto"/>
          <w:color w:val="auto"/>
        </w:rPr>
        <w:t>Compliance with Laws and Regulations</w:t>
      </w:r>
      <w:r>
        <w:rPr>
          <w:rFonts w:ascii="Arial" w:cs="Arial" w:eastAsia="Arial" w:hAnsi="Arial"/>
          <w:sz w:val="15"/>
          <w:szCs w:val="15"/>
          <w:b w:val="1"/>
          <w:bCs w:val="1"/>
          <w:color w:val="auto"/>
        </w:rPr>
        <w:t xml:space="preserve">. </w:t>
      </w:r>
      <w:r>
        <w:rPr>
          <w:rFonts w:ascii="Arial" w:cs="Arial" w:eastAsia="Arial" w:hAnsi="Arial"/>
          <w:sz w:val="15"/>
          <w:szCs w:val="15"/>
          <w:color w:val="auto"/>
        </w:rPr>
        <w:t>The issuance of Shares will be subject to and conditioned upon compliance by the Company and Participant (including any written</w:t>
      </w:r>
      <w:r>
        <w:rPr>
          <w:rFonts w:ascii="Arial" w:cs="Arial" w:eastAsia="Arial" w:hAnsi="Arial"/>
          <w:sz w:val="15"/>
          <w:szCs w:val="15"/>
          <w:b w:val="1"/>
          <w:bCs w:val="1"/>
          <w:color w:val="auto"/>
        </w:rPr>
        <w:t xml:space="preserve"> </w:t>
      </w:r>
      <w:r>
        <w:rPr>
          <w:rFonts w:ascii="Arial" w:cs="Arial" w:eastAsia="Arial" w:hAnsi="Arial"/>
          <w:sz w:val="15"/>
          <w:szCs w:val="15"/>
          <w:color w:val="auto"/>
        </w:rPr>
        <w:t>representations, warranties and agreements as the Committee may request of Participant for compliance with Applicable Laws) with all applicable state and federal laws and regulations and with all applicable requirements of any stock exchange or automated quotation system on which the Company’s securities may be listed or quoted at the time of such issuance or transfer. Participant may not be issued any Shares if such issuance</w:t>
      </w:r>
    </w:p>
    <w:p>
      <w:pPr>
        <w:spacing w:after="0" w:line="99" w:lineRule="exact"/>
        <w:rPr>
          <w:rFonts w:ascii="Arial" w:cs="Arial" w:eastAsia="Arial" w:hAnsi="Arial"/>
          <w:sz w:val="15"/>
          <w:szCs w:val="15"/>
          <w:b w:val="1"/>
          <w:bCs w:val="1"/>
          <w:color w:val="auto"/>
        </w:rPr>
      </w:pPr>
    </w:p>
    <w:p>
      <w:pPr>
        <w:ind w:left="5690" w:hanging="91"/>
        <w:spacing w:after="0"/>
        <w:tabs>
          <w:tab w:leader="none" w:pos="5690" w:val="left"/>
        </w:tabs>
        <w:numPr>
          <w:ilvl w:val="1"/>
          <w:numId w:val="473"/>
        </w:numPr>
        <w:rPr>
          <w:rFonts w:ascii="Arial" w:cs="Arial" w:eastAsia="Arial" w:hAnsi="Arial"/>
          <w:sz w:val="15"/>
          <w:szCs w:val="15"/>
          <w:color w:val="auto"/>
        </w:rPr>
      </w:pPr>
      <w:r>
        <w:rPr>
          <w:rFonts w:ascii="Arial" w:cs="Arial" w:eastAsia="Arial" w:hAnsi="Arial"/>
          <w:sz w:val="15"/>
          <w:szCs w:val="15"/>
          <w:color w:val="auto"/>
        </w:rPr>
        <w:t>2 -</w:t>
      </w:r>
    </w:p>
    <w:p>
      <w:pPr>
        <w:sectPr>
          <w:pgSz w:w="11900" w:h="16838" w:orient="portrait"/>
          <w:cols w:equalWidth="0" w:num="1">
            <w:col w:w="11450"/>
          </w:cols>
          <w:pgMar w:left="230" w:top="249" w:right="219" w:bottom="1440" w:gutter="0" w:footer="0" w:header="0"/>
        </w:sectPr>
      </w:pPr>
    </w:p>
    <w:bookmarkStart w:id="505" w:name="page506"/>
    <w:bookmarkEnd w:id="505"/>
    <w:p>
      <w:pPr>
        <w:jc w:val="both"/>
        <w:ind w:left="10" w:right="100"/>
        <w:spacing w:after="0" w:line="290" w:lineRule="auto"/>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133350</wp:posOffset>
            </wp:positionH>
            <wp:positionV relativeFrom="page">
              <wp:posOffset>88900</wp:posOffset>
            </wp:positionV>
            <wp:extent cx="7308850" cy="34290"/>
            <wp:wrapNone/>
            <wp:docPr id="770" name="Picture 7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0"/>
                    <pic:cNvPicPr>
                      <a:picLocks noChangeAspect="1" noChangeArrowheads="1"/>
                    </pic:cNvPicPr>
                  </pic:nvPicPr>
                  <pic:blipFill>
                    <a:blip r:embed="rId807">
                      <a:extLst>
                        <a:ext uri="{28A0092B-C50C-407E-A947-70E740481C1C}"/>
                      </a:extLst>
                    </a:blip>
                    <a:srcRect/>
                    <a:stretch>
                      <a:fillRect/>
                    </a:stretch>
                  </pic:blipFill>
                  <pic:spPr bwMode="auto">
                    <a:xfrm>
                      <a:off x="0" y="0"/>
                      <a:ext cx="7308850" cy="34290"/>
                    </a:xfrm>
                    <a:prstGeom prst="rect">
                      <a:avLst/>
                    </a:prstGeom>
                    <a:noFill/>
                  </pic:spPr>
                </pic:pic>
              </a:graphicData>
            </a:graphic>
          </wp:anchor>
        </w:drawing>
        <w:t>would constitute a violation of any applicable federal, state or foreign securities laws or other law or regulations or the requirements of any stock exchange or market system upon which the Stock may then be listed. The inability of the Company to obtain from any regulatory body having jurisdiction the authority, if any, deemed by the Company’s legal counsel to be necessary to the lawful issuance and sale of any Shares shall relieve the Company of any liability in respect of the failure to issue or sell such shares.</w:t>
      </w:r>
    </w:p>
    <w:p>
      <w:pPr>
        <w:spacing w:after="0" w:line="134" w:lineRule="exact"/>
        <w:rPr>
          <w:sz w:val="20"/>
          <w:szCs w:val="20"/>
          <w:color w:val="auto"/>
        </w:rPr>
      </w:pPr>
    </w:p>
    <w:p>
      <w:pPr>
        <w:ind w:left="10" w:hanging="10"/>
        <w:spacing w:after="0" w:line="293" w:lineRule="auto"/>
        <w:tabs>
          <w:tab w:leader="none" w:pos="235" w:val="left"/>
        </w:tabs>
        <w:numPr>
          <w:ilvl w:val="0"/>
          <w:numId w:val="474"/>
        </w:numPr>
        <w:rPr>
          <w:rFonts w:ascii="Arial" w:cs="Arial" w:eastAsia="Arial" w:hAnsi="Arial"/>
          <w:sz w:val="14"/>
          <w:szCs w:val="14"/>
          <w:b w:val="1"/>
          <w:bCs w:val="1"/>
          <w:color w:val="auto"/>
        </w:rPr>
      </w:pPr>
      <w:r>
        <w:rPr>
          <w:rFonts w:ascii="Arial" w:cs="Arial" w:eastAsia="Arial" w:hAnsi="Arial"/>
          <w:sz w:val="14"/>
          <w:szCs w:val="14"/>
          <w:b w:val="1"/>
          <w:bCs w:val="1"/>
          <w:u w:val="single" w:color="auto"/>
          <w:color w:val="auto"/>
        </w:rPr>
        <w:t>Legend</w:t>
      </w:r>
      <w:r>
        <w:rPr>
          <w:rFonts w:ascii="Arial" w:cs="Arial" w:eastAsia="Arial" w:hAnsi="Arial"/>
          <w:sz w:val="14"/>
          <w:szCs w:val="14"/>
          <w:b w:val="1"/>
          <w:bCs w:val="1"/>
          <w:color w:val="auto"/>
        </w:rPr>
        <w:t xml:space="preserve">. </w:t>
      </w:r>
      <w:r>
        <w:rPr>
          <w:rFonts w:ascii="Arial" w:cs="Arial" w:eastAsia="Arial" w:hAnsi="Arial"/>
          <w:sz w:val="14"/>
          <w:szCs w:val="14"/>
          <w:color w:val="auto"/>
        </w:rPr>
        <w:t>The Shares issued hereunder shall be subject to such stop transfer orders and other restrictions as the Committee may deem advisable under the Plan, this Agreement or the rules,</w:t>
      </w:r>
      <w:r>
        <w:rPr>
          <w:rFonts w:ascii="Arial" w:cs="Arial" w:eastAsia="Arial" w:hAnsi="Arial"/>
          <w:sz w:val="14"/>
          <w:szCs w:val="14"/>
          <w:b w:val="1"/>
          <w:bCs w:val="1"/>
          <w:color w:val="auto"/>
        </w:rPr>
        <w:t xml:space="preserve"> </w:t>
      </w:r>
      <w:r>
        <w:rPr>
          <w:rFonts w:ascii="Arial" w:cs="Arial" w:eastAsia="Arial" w:hAnsi="Arial"/>
          <w:sz w:val="14"/>
          <w:szCs w:val="14"/>
          <w:color w:val="auto"/>
        </w:rPr>
        <w:t>regulations, and other requirements of the Securities and Exchange Commission, any stock exchange upon which such shares of the Company’s securities are listed, and any applicable Federal or state laws, and the Committee may cause a legend or legends to be put on any such book-entries to make appropriate reference to such restrictions.</w:t>
      </w:r>
    </w:p>
    <w:p>
      <w:pPr>
        <w:spacing w:after="0" w:line="132" w:lineRule="exact"/>
        <w:rPr>
          <w:rFonts w:ascii="Arial" w:cs="Arial" w:eastAsia="Arial" w:hAnsi="Arial"/>
          <w:sz w:val="14"/>
          <w:szCs w:val="14"/>
          <w:b w:val="1"/>
          <w:bCs w:val="1"/>
          <w:color w:val="auto"/>
        </w:rPr>
      </w:pPr>
    </w:p>
    <w:p>
      <w:pPr>
        <w:ind w:left="10" w:right="20" w:hanging="10"/>
        <w:spacing w:after="0" w:line="266" w:lineRule="auto"/>
        <w:tabs>
          <w:tab w:leader="none" w:pos="235" w:val="left"/>
        </w:tabs>
        <w:numPr>
          <w:ilvl w:val="0"/>
          <w:numId w:val="474"/>
        </w:numPr>
        <w:rPr>
          <w:rFonts w:ascii="Arial" w:cs="Arial" w:eastAsia="Arial" w:hAnsi="Arial"/>
          <w:sz w:val="15"/>
          <w:szCs w:val="15"/>
          <w:b w:val="1"/>
          <w:bCs w:val="1"/>
          <w:color w:val="auto"/>
        </w:rPr>
      </w:pPr>
      <w:r>
        <w:rPr>
          <w:rFonts w:ascii="Arial" w:cs="Arial" w:eastAsia="Arial" w:hAnsi="Arial"/>
          <w:sz w:val="15"/>
          <w:szCs w:val="15"/>
          <w:b w:val="1"/>
          <w:bCs w:val="1"/>
          <w:u w:val="single" w:color="auto"/>
          <w:color w:val="auto"/>
        </w:rPr>
        <w:t>Successors and Assigns</w:t>
      </w:r>
      <w:r>
        <w:rPr>
          <w:rFonts w:ascii="Arial" w:cs="Arial" w:eastAsia="Arial" w:hAnsi="Arial"/>
          <w:sz w:val="15"/>
          <w:szCs w:val="15"/>
          <w:b w:val="1"/>
          <w:bCs w:val="1"/>
          <w:color w:val="auto"/>
        </w:rPr>
        <w:t xml:space="preserve">. </w:t>
      </w:r>
      <w:r>
        <w:rPr>
          <w:rFonts w:ascii="Arial" w:cs="Arial" w:eastAsia="Arial" w:hAnsi="Arial"/>
          <w:sz w:val="15"/>
          <w:szCs w:val="15"/>
          <w:color w:val="auto"/>
        </w:rPr>
        <w:t>The Company may assign any of its rights under this Agreement. This Agreement shall be binding upon and inure to the benefit of the successors and assigns of</w:t>
      </w:r>
      <w:r>
        <w:rPr>
          <w:rFonts w:ascii="Arial" w:cs="Arial" w:eastAsia="Arial" w:hAnsi="Arial"/>
          <w:sz w:val="15"/>
          <w:szCs w:val="15"/>
          <w:b w:val="1"/>
          <w:bCs w:val="1"/>
          <w:color w:val="auto"/>
        </w:rPr>
        <w:t xml:space="preserve"> </w:t>
      </w:r>
      <w:r>
        <w:rPr>
          <w:rFonts w:ascii="Arial" w:cs="Arial" w:eastAsia="Arial" w:hAnsi="Arial"/>
          <w:sz w:val="15"/>
          <w:szCs w:val="15"/>
          <w:color w:val="auto"/>
        </w:rPr>
        <w:t>the Company. Subject to the restrictions on transfer set forth herein, this Agreement will be binding upon Participant and Participant’s heirs, executors, administrators, legal representatives, successors and assigns.</w:t>
      </w:r>
    </w:p>
    <w:p>
      <w:pPr>
        <w:spacing w:after="0" w:line="148" w:lineRule="exact"/>
        <w:rPr>
          <w:rFonts w:ascii="Arial" w:cs="Arial" w:eastAsia="Arial" w:hAnsi="Arial"/>
          <w:sz w:val="15"/>
          <w:szCs w:val="15"/>
          <w:b w:val="1"/>
          <w:bCs w:val="1"/>
          <w:color w:val="auto"/>
        </w:rPr>
      </w:pPr>
    </w:p>
    <w:p>
      <w:pPr>
        <w:ind w:left="10" w:right="20" w:hanging="10"/>
        <w:spacing w:after="0" w:line="258" w:lineRule="auto"/>
        <w:tabs>
          <w:tab w:leader="none" w:pos="235" w:val="left"/>
        </w:tabs>
        <w:numPr>
          <w:ilvl w:val="0"/>
          <w:numId w:val="474"/>
        </w:numPr>
        <w:rPr>
          <w:rFonts w:ascii="Arial" w:cs="Arial" w:eastAsia="Arial" w:hAnsi="Arial"/>
          <w:sz w:val="15"/>
          <w:szCs w:val="15"/>
          <w:b w:val="1"/>
          <w:bCs w:val="1"/>
          <w:color w:val="auto"/>
        </w:rPr>
      </w:pPr>
      <w:r>
        <w:rPr>
          <w:rFonts w:ascii="Arial" w:cs="Arial" w:eastAsia="Arial" w:hAnsi="Arial"/>
          <w:sz w:val="15"/>
          <w:szCs w:val="15"/>
          <w:b w:val="1"/>
          <w:bCs w:val="1"/>
          <w:u w:val="single" w:color="auto"/>
          <w:color w:val="auto"/>
        </w:rPr>
        <w:t>Entire Agreement; Severability</w:t>
      </w:r>
      <w:r>
        <w:rPr>
          <w:rFonts w:ascii="Arial" w:cs="Arial" w:eastAsia="Arial" w:hAnsi="Arial"/>
          <w:sz w:val="15"/>
          <w:szCs w:val="15"/>
          <w:b w:val="1"/>
          <w:bCs w:val="1"/>
          <w:color w:val="auto"/>
        </w:rPr>
        <w:t xml:space="preserve">. </w:t>
      </w:r>
      <w:r>
        <w:rPr>
          <w:rFonts w:ascii="Arial" w:cs="Arial" w:eastAsia="Arial" w:hAnsi="Arial"/>
          <w:sz w:val="15"/>
          <w:szCs w:val="15"/>
          <w:color w:val="auto"/>
        </w:rPr>
        <w:t>The Plan and Notice of Grant are incorporated herein by reference. The Plan, the Notice of Grant and this Agreement constitute the entire agreement of</w:t>
      </w:r>
      <w:r>
        <w:rPr>
          <w:rFonts w:ascii="Arial" w:cs="Arial" w:eastAsia="Arial" w:hAnsi="Arial"/>
          <w:sz w:val="15"/>
          <w:szCs w:val="15"/>
          <w:b w:val="1"/>
          <w:bCs w:val="1"/>
          <w:color w:val="auto"/>
        </w:rPr>
        <w:t xml:space="preserve"> </w:t>
      </w:r>
      <w:r>
        <w:rPr>
          <w:rFonts w:ascii="Arial" w:cs="Arial" w:eastAsia="Arial" w:hAnsi="Arial"/>
          <w:sz w:val="15"/>
          <w:szCs w:val="15"/>
          <w:color w:val="auto"/>
        </w:rPr>
        <w:t>the parties with respect to the subject matter hereof and supersede in their entirety all prior undertakings and agreements of the Company and Participant with respect to the subject matter hereof (including, without limitation, any commitment to make any other form of equity award (such as stock options) that may have been set forth in any employment offer letter or other agreement between the parties). If any provision of this Agreement is determined by a court of law to be illegal or unenforceable, then such provision will be enforced to the maximum extent possible and the other provisions will remain fully effective and enforceable.</w:t>
      </w:r>
    </w:p>
    <w:p>
      <w:pPr>
        <w:spacing w:after="0" w:line="155" w:lineRule="exact"/>
        <w:rPr>
          <w:rFonts w:ascii="Arial" w:cs="Arial" w:eastAsia="Arial" w:hAnsi="Arial"/>
          <w:sz w:val="15"/>
          <w:szCs w:val="15"/>
          <w:b w:val="1"/>
          <w:bCs w:val="1"/>
          <w:color w:val="auto"/>
        </w:rPr>
      </w:pPr>
    </w:p>
    <w:p>
      <w:pPr>
        <w:ind w:left="10" w:right="20" w:hanging="10"/>
        <w:spacing w:after="0" w:line="313" w:lineRule="auto"/>
        <w:tabs>
          <w:tab w:leader="none" w:pos="235" w:val="left"/>
        </w:tabs>
        <w:numPr>
          <w:ilvl w:val="0"/>
          <w:numId w:val="474"/>
        </w:numPr>
        <w:rPr>
          <w:rFonts w:ascii="Arial" w:cs="Arial" w:eastAsia="Arial" w:hAnsi="Arial"/>
          <w:sz w:val="13"/>
          <w:szCs w:val="13"/>
          <w:b w:val="1"/>
          <w:bCs w:val="1"/>
          <w:color w:val="auto"/>
        </w:rPr>
      </w:pPr>
      <w:r>
        <w:rPr>
          <w:rFonts w:ascii="Arial" w:cs="Arial" w:eastAsia="Arial" w:hAnsi="Arial"/>
          <w:sz w:val="13"/>
          <w:szCs w:val="13"/>
          <w:b w:val="1"/>
          <w:bCs w:val="1"/>
          <w:u w:val="single" w:color="auto"/>
          <w:color w:val="auto"/>
        </w:rPr>
        <w:t>Market Standoff Agreement</w:t>
      </w:r>
      <w:r>
        <w:rPr>
          <w:rFonts w:ascii="Arial" w:cs="Arial" w:eastAsia="Arial" w:hAnsi="Arial"/>
          <w:sz w:val="13"/>
          <w:szCs w:val="13"/>
          <w:b w:val="1"/>
          <w:bCs w:val="1"/>
          <w:color w:val="auto"/>
        </w:rPr>
        <w:t xml:space="preserve">. </w:t>
      </w:r>
      <w:r>
        <w:rPr>
          <w:rFonts w:ascii="Arial" w:cs="Arial" w:eastAsia="Arial" w:hAnsi="Arial"/>
          <w:sz w:val="13"/>
          <w:szCs w:val="13"/>
          <w:color w:val="auto"/>
        </w:rPr>
        <w:t>Participant agrees that in connection with any registration of the Company’s securities that, upon the request of the Company or the underwriters managing</w:t>
      </w:r>
      <w:r>
        <w:rPr>
          <w:rFonts w:ascii="Arial" w:cs="Arial" w:eastAsia="Arial" w:hAnsi="Arial"/>
          <w:sz w:val="13"/>
          <w:szCs w:val="13"/>
          <w:b w:val="1"/>
          <w:bCs w:val="1"/>
          <w:color w:val="auto"/>
        </w:rPr>
        <w:t xml:space="preserve"> </w:t>
      </w:r>
      <w:r>
        <w:rPr>
          <w:rFonts w:ascii="Arial" w:cs="Arial" w:eastAsia="Arial" w:hAnsi="Arial"/>
          <w:sz w:val="13"/>
          <w:szCs w:val="13"/>
          <w:color w:val="auto"/>
        </w:rPr>
        <w:t>any public offering of the Company’s securities, Participant will not sell or otherwise dispose of shares of the Company’s capital stock without the prior written consent of the Company or such underwriters, as the case may be, for such reasonable period of time after the effective date of such registration as may be requested by such managing underwriters and subject to all restrictions as the Company or the underwriters may specify. Participant will enter into any agreement reasonably required by the underwriters to implement the foregoing.</w:t>
      </w:r>
    </w:p>
    <w:p>
      <w:pPr>
        <w:spacing w:after="0" w:line="122" w:lineRule="exact"/>
        <w:rPr>
          <w:rFonts w:ascii="Arial" w:cs="Arial" w:eastAsia="Arial" w:hAnsi="Arial"/>
          <w:sz w:val="13"/>
          <w:szCs w:val="13"/>
          <w:b w:val="1"/>
          <w:bCs w:val="1"/>
          <w:color w:val="auto"/>
        </w:rPr>
      </w:pPr>
    </w:p>
    <w:p>
      <w:pPr>
        <w:ind w:left="10" w:right="140" w:hanging="10"/>
        <w:spacing w:after="0" w:line="280" w:lineRule="auto"/>
        <w:tabs>
          <w:tab w:leader="none" w:pos="235" w:val="left"/>
        </w:tabs>
        <w:numPr>
          <w:ilvl w:val="0"/>
          <w:numId w:val="474"/>
        </w:numPr>
        <w:rPr>
          <w:rFonts w:ascii="Arial" w:cs="Arial" w:eastAsia="Arial" w:hAnsi="Arial"/>
          <w:sz w:val="15"/>
          <w:szCs w:val="15"/>
          <w:b w:val="1"/>
          <w:bCs w:val="1"/>
          <w:color w:val="auto"/>
        </w:rPr>
      </w:pPr>
      <w:r>
        <w:rPr>
          <w:rFonts w:ascii="Arial" w:cs="Arial" w:eastAsia="Arial" w:hAnsi="Arial"/>
          <w:sz w:val="15"/>
          <w:szCs w:val="15"/>
          <w:b w:val="1"/>
          <w:bCs w:val="1"/>
          <w:u w:val="single" w:color="auto"/>
          <w:color w:val="auto"/>
        </w:rPr>
        <w:t>No Rights as Employee, Director or Consultant</w:t>
      </w:r>
      <w:r>
        <w:rPr>
          <w:rFonts w:ascii="Arial" w:cs="Arial" w:eastAsia="Arial" w:hAnsi="Arial"/>
          <w:sz w:val="15"/>
          <w:szCs w:val="15"/>
          <w:color w:val="auto"/>
        </w:rPr>
        <w:t>. Nothing in this Agreement shall affect in any manner whatsoever the right or power of the Company, or a Parent or Subsidiary of the</w:t>
      </w:r>
      <w:r>
        <w:rPr>
          <w:rFonts w:ascii="Arial" w:cs="Arial" w:eastAsia="Arial" w:hAnsi="Arial"/>
          <w:sz w:val="15"/>
          <w:szCs w:val="15"/>
          <w:b w:val="1"/>
          <w:bCs w:val="1"/>
          <w:color w:val="auto"/>
        </w:rPr>
        <w:t xml:space="preserve"> </w:t>
      </w:r>
      <w:r>
        <w:rPr>
          <w:rFonts w:ascii="Arial" w:cs="Arial" w:eastAsia="Arial" w:hAnsi="Arial"/>
          <w:sz w:val="15"/>
          <w:szCs w:val="15"/>
          <w:color w:val="auto"/>
        </w:rPr>
        <w:t>Company, to terminate Participant</w:t>
      </w:r>
      <w:r>
        <w:rPr>
          <w:rFonts w:ascii="Arial" w:cs="Arial" w:eastAsia="Arial" w:hAnsi="Arial"/>
          <w:sz w:val="12"/>
          <w:szCs w:val="12"/>
          <w:color w:val="auto"/>
        </w:rPr>
        <w:t>’</w:t>
      </w:r>
      <w:r>
        <w:rPr>
          <w:rFonts w:ascii="Arial" w:cs="Arial" w:eastAsia="Arial" w:hAnsi="Arial"/>
          <w:sz w:val="15"/>
          <w:szCs w:val="15"/>
          <w:color w:val="auto"/>
        </w:rPr>
        <w:t>s Continuous Service Status, for any reason, with or without cause.</w:t>
      </w:r>
    </w:p>
    <w:p>
      <w:pPr>
        <w:spacing w:after="0" w:line="138" w:lineRule="exact"/>
        <w:rPr>
          <w:rFonts w:ascii="Arial" w:cs="Arial" w:eastAsia="Arial" w:hAnsi="Arial"/>
          <w:sz w:val="15"/>
          <w:szCs w:val="15"/>
          <w:b w:val="1"/>
          <w:bCs w:val="1"/>
          <w:color w:val="auto"/>
        </w:rPr>
      </w:pPr>
    </w:p>
    <w:p>
      <w:pPr>
        <w:ind w:left="10" w:right="40" w:hanging="10"/>
        <w:spacing w:after="0" w:line="266" w:lineRule="auto"/>
        <w:tabs>
          <w:tab w:leader="none" w:pos="235" w:val="left"/>
        </w:tabs>
        <w:numPr>
          <w:ilvl w:val="0"/>
          <w:numId w:val="474"/>
        </w:numPr>
        <w:rPr>
          <w:rFonts w:ascii="Arial" w:cs="Arial" w:eastAsia="Arial" w:hAnsi="Arial"/>
          <w:sz w:val="15"/>
          <w:szCs w:val="15"/>
          <w:b w:val="1"/>
          <w:bCs w:val="1"/>
          <w:color w:val="auto"/>
        </w:rPr>
      </w:pPr>
      <w:r>
        <w:rPr>
          <w:rFonts w:ascii="Arial" w:cs="Arial" w:eastAsia="Arial" w:hAnsi="Arial"/>
          <w:sz w:val="15"/>
          <w:szCs w:val="15"/>
          <w:b w:val="1"/>
          <w:bCs w:val="1"/>
          <w:u w:val="single" w:color="auto"/>
          <w:color w:val="auto"/>
        </w:rPr>
        <w:t>Information to Participants</w:t>
      </w:r>
      <w:r>
        <w:rPr>
          <w:rFonts w:ascii="Arial" w:cs="Arial" w:eastAsia="Arial" w:hAnsi="Arial"/>
          <w:sz w:val="15"/>
          <w:szCs w:val="15"/>
          <w:color w:val="auto"/>
        </w:rPr>
        <w:t>. If the Company is relying on an exemption from registration under Section 12(h)-1 of the Exchange Act and such information is required to be provided by</w:t>
      </w:r>
      <w:r>
        <w:rPr>
          <w:rFonts w:ascii="Arial" w:cs="Arial" w:eastAsia="Arial" w:hAnsi="Arial"/>
          <w:sz w:val="15"/>
          <w:szCs w:val="15"/>
          <w:b w:val="1"/>
          <w:bCs w:val="1"/>
          <w:color w:val="auto"/>
        </w:rPr>
        <w:t xml:space="preserve"> </w:t>
      </w:r>
      <w:r>
        <w:rPr>
          <w:rFonts w:ascii="Arial" w:cs="Arial" w:eastAsia="Arial" w:hAnsi="Arial"/>
          <w:sz w:val="15"/>
          <w:szCs w:val="15"/>
          <w:color w:val="auto"/>
        </w:rPr>
        <w:t>such Section 12(h)-1, the Company shall provide the information described in Rules 701(e)(3), (4), and (5) of the Securities Act by a method allowed under Section 12(h)-1 of the Exchange Act in accordance with Section 12(h)-1 of the Exchange Act, provided that Participant agrees to keep the information confidential.</w:t>
      </w:r>
    </w:p>
    <w:p>
      <w:pPr>
        <w:spacing w:after="0" w:line="148" w:lineRule="exact"/>
        <w:rPr>
          <w:rFonts w:ascii="Arial" w:cs="Arial" w:eastAsia="Arial" w:hAnsi="Arial"/>
          <w:sz w:val="15"/>
          <w:szCs w:val="15"/>
          <w:b w:val="1"/>
          <w:bCs w:val="1"/>
          <w:color w:val="auto"/>
        </w:rPr>
      </w:pPr>
    </w:p>
    <w:p>
      <w:pPr>
        <w:ind w:left="10" w:right="20" w:hanging="10"/>
        <w:spacing w:after="0" w:line="266" w:lineRule="auto"/>
        <w:tabs>
          <w:tab w:leader="none" w:pos="235" w:val="left"/>
        </w:tabs>
        <w:numPr>
          <w:ilvl w:val="0"/>
          <w:numId w:val="474"/>
        </w:numPr>
        <w:rPr>
          <w:rFonts w:ascii="Arial" w:cs="Arial" w:eastAsia="Arial" w:hAnsi="Arial"/>
          <w:sz w:val="15"/>
          <w:szCs w:val="15"/>
          <w:b w:val="1"/>
          <w:bCs w:val="1"/>
          <w:color w:val="auto"/>
        </w:rPr>
      </w:pPr>
      <w:r>
        <w:rPr>
          <w:rFonts w:ascii="Arial" w:cs="Arial" w:eastAsia="Arial" w:hAnsi="Arial"/>
          <w:sz w:val="15"/>
          <w:szCs w:val="15"/>
          <w:b w:val="1"/>
          <w:bCs w:val="1"/>
          <w:u w:val="single" w:color="auto"/>
          <w:color w:val="auto"/>
        </w:rPr>
        <w:t>Assumption or Replacement of Awards by Successor or Acquiring Company</w:t>
      </w:r>
      <w:r>
        <w:rPr>
          <w:rFonts w:ascii="Arial" w:cs="Arial" w:eastAsia="Arial" w:hAnsi="Arial"/>
          <w:sz w:val="15"/>
          <w:szCs w:val="15"/>
          <w:b w:val="1"/>
          <w:bCs w:val="1"/>
          <w:color w:val="auto"/>
        </w:rPr>
        <w:t xml:space="preserve">. </w:t>
      </w:r>
      <w:r>
        <w:rPr>
          <w:rFonts w:ascii="Arial" w:cs="Arial" w:eastAsia="Arial" w:hAnsi="Arial"/>
          <w:sz w:val="15"/>
          <w:szCs w:val="15"/>
          <w:color w:val="auto"/>
        </w:rPr>
        <w:t>For purposes of this RSU only, the last sentence of Section 18.1 of the Plan shall read as follows: In the</w:t>
      </w:r>
      <w:r>
        <w:rPr>
          <w:rFonts w:ascii="Arial" w:cs="Arial" w:eastAsia="Arial" w:hAnsi="Arial"/>
          <w:sz w:val="15"/>
          <w:szCs w:val="15"/>
          <w:b w:val="1"/>
          <w:bCs w:val="1"/>
          <w:color w:val="auto"/>
        </w:rPr>
        <w:t xml:space="preserve"> </w:t>
      </w:r>
      <w:r>
        <w:rPr>
          <w:rFonts w:ascii="Arial" w:cs="Arial" w:eastAsia="Arial" w:hAnsi="Arial"/>
          <w:sz w:val="15"/>
          <w:szCs w:val="15"/>
          <w:color w:val="auto"/>
        </w:rPr>
        <w:t>event such successor or acquiring corporation (if any) does not assume, convert, replace or substitute this RSU, as provided above, pursuant to a transaction described in this Section 18.1, then notwithstanding any other provision in this Plan to the contrary, the vesting of such Award will accelerate in full.</w:t>
      </w:r>
    </w:p>
    <w:p>
      <w:pPr>
        <w:spacing w:after="0" w:line="95" w:lineRule="exact"/>
        <w:rPr>
          <w:rFonts w:ascii="Arial" w:cs="Arial" w:eastAsia="Arial" w:hAnsi="Arial"/>
          <w:sz w:val="15"/>
          <w:szCs w:val="15"/>
          <w:b w:val="1"/>
          <w:bCs w:val="1"/>
          <w:color w:val="auto"/>
        </w:rPr>
      </w:pPr>
    </w:p>
    <w:p>
      <w:pPr>
        <w:ind w:left="5690" w:hanging="91"/>
        <w:spacing w:after="0"/>
        <w:tabs>
          <w:tab w:leader="none" w:pos="5690" w:val="left"/>
        </w:tabs>
        <w:numPr>
          <w:ilvl w:val="1"/>
          <w:numId w:val="474"/>
        </w:numPr>
        <w:rPr>
          <w:rFonts w:ascii="Arial" w:cs="Arial" w:eastAsia="Arial" w:hAnsi="Arial"/>
          <w:sz w:val="15"/>
          <w:szCs w:val="15"/>
          <w:color w:val="auto"/>
        </w:rPr>
      </w:pPr>
      <w:r>
        <w:rPr>
          <w:rFonts w:ascii="Arial" w:cs="Arial" w:eastAsia="Arial" w:hAnsi="Arial"/>
          <w:sz w:val="15"/>
          <w:szCs w:val="15"/>
          <w:color w:val="auto"/>
        </w:rPr>
        <w:t>3 -</w:t>
      </w:r>
    </w:p>
    <w:p>
      <w:pPr>
        <w:sectPr>
          <w:pgSz w:w="11900" w:h="16838" w:orient="portrait"/>
          <w:cols w:equalWidth="0" w:num="1">
            <w:col w:w="11450"/>
          </w:cols>
          <w:pgMar w:left="230" w:top="253" w:right="219" w:bottom="1440" w:gutter="0" w:footer="0" w:header="0"/>
        </w:sectPr>
      </w:pPr>
    </w:p>
    <w:bookmarkStart w:id="506" w:name="page507"/>
    <w:bookmarkEnd w:id="506"/>
    <w:p>
      <w:pPr>
        <w:ind w:left="10" w:hanging="10"/>
        <w:spacing w:after="0" w:line="285" w:lineRule="auto"/>
        <w:tabs>
          <w:tab w:leader="none" w:pos="235" w:val="left"/>
        </w:tabs>
        <w:numPr>
          <w:ilvl w:val="0"/>
          <w:numId w:val="475"/>
        </w:numPr>
        <w:rPr>
          <w:rFonts w:ascii="Arial" w:cs="Arial" w:eastAsia="Arial" w:hAnsi="Arial"/>
          <w:sz w:val="14"/>
          <w:szCs w:val="14"/>
          <w:b w:val="1"/>
          <w:bCs w:val="1"/>
          <w:color w:val="auto"/>
        </w:rPr>
      </w:pPr>
      <w:r>
        <w:rPr>
          <w:rFonts w:ascii="Arial" w:cs="Arial" w:eastAsia="Arial" w:hAnsi="Arial"/>
          <w:sz w:val="14"/>
          <w:szCs w:val="14"/>
          <w:b w:val="1"/>
          <w:bCs w:val="1"/>
          <w:u w:val="single" w:color="auto"/>
          <w:color w:val="auto"/>
        </w:rPr>
        <w:drawing>
          <wp:anchor simplePos="0" relativeHeight="251657728" behindDoc="1" locked="0" layoutInCell="0" allowOverlap="1">
            <wp:simplePos x="0" y="0"/>
            <wp:positionH relativeFrom="page">
              <wp:posOffset>133350</wp:posOffset>
            </wp:positionH>
            <wp:positionV relativeFrom="page">
              <wp:posOffset>88900</wp:posOffset>
            </wp:positionV>
            <wp:extent cx="7308850" cy="33655"/>
            <wp:wrapNone/>
            <wp:docPr id="771" name="Picture 7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1"/>
                    <pic:cNvPicPr>
                      <a:picLocks noChangeAspect="1" noChangeArrowheads="1"/>
                    </pic:cNvPicPr>
                  </pic:nvPicPr>
                  <pic:blipFill>
                    <a:blip r:embed="rId808">
                      <a:extLst>
                        <a:ext uri="{28A0092B-C50C-407E-A947-70E740481C1C}"/>
                      </a:extLst>
                    </a:blip>
                    <a:srcRect/>
                    <a:stretch>
                      <a:fillRect/>
                    </a:stretch>
                  </pic:blipFill>
                  <pic:spPr bwMode="auto">
                    <a:xfrm>
                      <a:off x="0" y="0"/>
                      <a:ext cx="7308850" cy="33655"/>
                    </a:xfrm>
                    <a:prstGeom prst="rect">
                      <a:avLst/>
                    </a:prstGeom>
                    <a:noFill/>
                  </pic:spPr>
                </pic:pic>
              </a:graphicData>
            </a:graphic>
          </wp:anchor>
        </w:drawing>
        <w:t>Delivery of Documents and Notices</w:t>
      </w:r>
      <w:r>
        <w:rPr>
          <w:rFonts w:ascii="Arial" w:cs="Arial" w:eastAsia="Arial" w:hAnsi="Arial"/>
          <w:sz w:val="14"/>
          <w:szCs w:val="14"/>
          <w:b w:val="1"/>
          <w:bCs w:val="1"/>
          <w:color w:val="auto"/>
        </w:rPr>
        <w:t xml:space="preserve">. </w:t>
      </w:r>
      <w:r>
        <w:rPr>
          <w:rFonts w:ascii="Arial" w:cs="Arial" w:eastAsia="Arial" w:hAnsi="Arial"/>
          <w:sz w:val="14"/>
          <w:szCs w:val="14"/>
          <w:color w:val="auto"/>
        </w:rPr>
        <w:t>Any document relating to participating in the Plan and/or notice required or permitted hereunder shall be given in writing and shall be deemed</w:t>
      </w:r>
      <w:r>
        <w:rPr>
          <w:rFonts w:ascii="Arial" w:cs="Arial" w:eastAsia="Arial" w:hAnsi="Arial"/>
          <w:sz w:val="14"/>
          <w:szCs w:val="14"/>
          <w:b w:val="1"/>
          <w:bCs w:val="1"/>
          <w:color w:val="auto"/>
        </w:rPr>
        <w:t xml:space="preserve"> </w:t>
      </w:r>
      <w:r>
        <w:rPr>
          <w:rFonts w:ascii="Arial" w:cs="Arial" w:eastAsia="Arial" w:hAnsi="Arial"/>
          <w:sz w:val="14"/>
          <w:szCs w:val="14"/>
          <w:color w:val="auto"/>
        </w:rPr>
        <w:t>effectively given (except to the extent that this Agreement provides for effectiveness only upon actual receipt of such notice) upon personal delivery, electronic delivery, or upon deposit in the U.S. Post Office or foreign postal service, by registered or certified mail, with postage and fees prepaid, addressed to the other party at the e-mail address, if any, provided for Participant by the Company or at such other address as such party may designate in writing from time to time to the other party.</w:t>
      </w:r>
    </w:p>
    <w:p>
      <w:pPr>
        <w:spacing w:after="0" w:line="142" w:lineRule="exact"/>
        <w:rPr>
          <w:sz w:val="20"/>
          <w:szCs w:val="20"/>
          <w:color w:val="auto"/>
        </w:rPr>
      </w:pPr>
    </w:p>
    <w:p>
      <w:pPr>
        <w:jc w:val="center"/>
        <w:ind w:right="-89"/>
        <w:spacing w:after="0"/>
        <w:rPr>
          <w:sz w:val="20"/>
          <w:szCs w:val="20"/>
          <w:color w:val="auto"/>
        </w:rPr>
      </w:pPr>
      <w:r>
        <w:rPr>
          <w:rFonts w:ascii="Arial" w:cs="Arial" w:eastAsia="Arial" w:hAnsi="Arial"/>
          <w:sz w:val="15"/>
          <w:szCs w:val="15"/>
          <w:color w:val="auto"/>
        </w:rPr>
        <w:t>[End of document]</w:t>
      </w:r>
    </w:p>
    <w:p>
      <w:pPr>
        <w:spacing w:after="0" w:line="132" w:lineRule="exact"/>
        <w:rPr>
          <w:sz w:val="20"/>
          <w:szCs w:val="20"/>
          <w:color w:val="auto"/>
        </w:rPr>
      </w:pPr>
    </w:p>
    <w:p>
      <w:pPr>
        <w:jc w:val="center"/>
        <w:ind w:right="-89"/>
        <w:spacing w:after="0"/>
        <w:rPr>
          <w:sz w:val="20"/>
          <w:szCs w:val="20"/>
          <w:color w:val="auto"/>
        </w:rPr>
      </w:pPr>
      <w:r>
        <w:rPr>
          <w:rFonts w:ascii="Arial" w:cs="Arial" w:eastAsia="Arial" w:hAnsi="Arial"/>
          <w:sz w:val="15"/>
          <w:szCs w:val="15"/>
          <w:color w:val="auto"/>
        </w:rPr>
        <w:t>- 4 -</w:t>
      </w:r>
    </w:p>
    <w:p>
      <w:pPr>
        <w:sectPr>
          <w:pgSz w:w="11900" w:h="16838" w:orient="portrait"/>
          <w:cols w:equalWidth="0" w:num="1">
            <w:col w:w="11350"/>
          </w:cols>
          <w:pgMar w:left="230" w:top="249" w:right="319" w:bottom="1440" w:gutter="0" w:footer="0" w:header="0"/>
        </w:sectPr>
      </w:pPr>
    </w:p>
    <w:bookmarkStart w:id="507" w:name="page508"/>
    <w:bookmarkEnd w:id="507"/>
    <w:p>
      <w:pPr>
        <w:jc w:val="right"/>
        <w:spacing w:after="0"/>
        <w:rPr>
          <w:sz w:val="20"/>
          <w:szCs w:val="20"/>
          <w:color w:val="auto"/>
        </w:rPr>
      </w:pPr>
      <w:r>
        <w:rPr>
          <w:rFonts w:ascii="Arial" w:cs="Arial" w:eastAsia="Arial" w:hAnsi="Arial"/>
          <w:sz w:val="15"/>
          <w:szCs w:val="15"/>
          <w:b w:val="1"/>
          <w:bCs w:val="1"/>
          <w:color w:val="auto"/>
        </w:rPr>
        <w:t>Exhibit 23.1</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CONSENT OF ERNST &amp; YOUNG LLP, INDEPENDENT REGISTERED PUBLIC ACCOUNTING FIRM</w:t>
      </w:r>
    </w:p>
    <w:p>
      <w:pPr>
        <w:spacing w:after="0" w:line="192" w:lineRule="exact"/>
        <w:rPr>
          <w:sz w:val="20"/>
          <w:szCs w:val="20"/>
          <w:color w:val="auto"/>
        </w:rPr>
      </w:pPr>
    </w:p>
    <w:p>
      <w:pPr>
        <w:ind w:right="60"/>
        <w:spacing w:after="0" w:line="263" w:lineRule="auto"/>
        <w:rPr>
          <w:sz w:val="20"/>
          <w:szCs w:val="20"/>
          <w:color w:val="auto"/>
        </w:rPr>
      </w:pPr>
      <w:r>
        <w:rPr>
          <w:rFonts w:ascii="Arial" w:cs="Arial" w:eastAsia="Arial" w:hAnsi="Arial"/>
          <w:sz w:val="15"/>
          <w:szCs w:val="15"/>
          <w:color w:val="auto"/>
        </w:rPr>
        <w:t>We consent to the reference to our firm under the caption “Experts” and to the use of our report dated February 23, 2018, (except as to the eleventh paragraph of Note 1, as to which the date is March 7, 2018), in Amendment No. 2 to the Registration Statement (Form S-1 No. 333-223182) and related Prospectus of Dropbox, Inc. for the registration of shares of its Class A common stock.</w:t>
      </w:r>
    </w:p>
    <w:p>
      <w:pPr>
        <w:spacing w:after="0" w:line="155" w:lineRule="exact"/>
        <w:rPr>
          <w:sz w:val="20"/>
          <w:szCs w:val="20"/>
          <w:color w:val="auto"/>
        </w:rPr>
      </w:pPr>
    </w:p>
    <w:p>
      <w:pPr>
        <w:jc w:val="right"/>
        <w:spacing w:after="0"/>
        <w:rPr>
          <w:sz w:val="20"/>
          <w:szCs w:val="20"/>
          <w:color w:val="auto"/>
        </w:rPr>
      </w:pPr>
      <w:r>
        <w:rPr>
          <w:rFonts w:ascii="Arial" w:cs="Arial" w:eastAsia="Arial" w:hAnsi="Arial"/>
          <w:sz w:val="15"/>
          <w:szCs w:val="15"/>
          <w:color w:val="auto"/>
        </w:rPr>
        <w:t>/s/ Ernst &amp; Young LLP</w:t>
      </w:r>
    </w:p>
    <w:p>
      <w:pPr>
        <w:spacing w:after="0" w:line="188" w:lineRule="exact"/>
        <w:rPr>
          <w:sz w:val="20"/>
          <w:szCs w:val="20"/>
          <w:color w:val="auto"/>
        </w:rPr>
      </w:pPr>
    </w:p>
    <w:p>
      <w:pPr>
        <w:spacing w:after="0"/>
        <w:rPr>
          <w:sz w:val="20"/>
          <w:szCs w:val="20"/>
          <w:color w:val="auto"/>
        </w:rPr>
      </w:pPr>
      <w:r>
        <w:rPr>
          <w:rFonts w:ascii="Arial" w:cs="Arial" w:eastAsia="Arial" w:hAnsi="Arial"/>
          <w:sz w:val="15"/>
          <w:szCs w:val="15"/>
          <w:color w:val="auto"/>
        </w:rPr>
        <w:t>San Francisco, California</w:t>
      </w:r>
    </w:p>
    <w:p>
      <w:pPr>
        <w:spacing w:after="0" w:line="17" w:lineRule="exact"/>
        <w:rPr>
          <w:sz w:val="20"/>
          <w:szCs w:val="20"/>
          <w:color w:val="auto"/>
        </w:rPr>
      </w:pPr>
    </w:p>
    <w:p>
      <w:pPr>
        <w:spacing w:after="0"/>
        <w:rPr>
          <w:sz w:val="20"/>
          <w:szCs w:val="20"/>
          <w:color w:val="auto"/>
        </w:rPr>
      </w:pPr>
      <w:r>
        <w:rPr>
          <w:rFonts w:ascii="Arial" w:cs="Arial" w:eastAsia="Arial" w:hAnsi="Arial"/>
          <w:sz w:val="15"/>
          <w:szCs w:val="15"/>
          <w:color w:val="auto"/>
        </w:rPr>
        <w:t>March 21, 2018</w:t>
      </w:r>
    </w:p>
    <w:sectPr>
      <w:pgSz w:w="11900" w:h="16838" w:orient="portrait"/>
      <w:cols w:equalWidth="0" w:num="1">
        <w:col w:w="9200"/>
      </w:cols>
      <w:pgMar w:left="1360" w:top="125" w:right="1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6C28E34"/>
    <w:multiLevelType w:val="hybridMultilevel"/>
    <w:lvl w:ilvl="0">
      <w:lvlJc w:val="left"/>
      <w:lvlText w:val="(%1)"/>
      <w:numFmt w:val="decimal"/>
      <w:start w:val="1"/>
    </w:lvl>
  </w:abstractNum>
  <w:abstractNum w:abstractNumId="1">
    <w:nsid w:val="13916F2D"/>
    <w:multiLevelType w:val="hybridMultilevel"/>
    <w:lvl w:ilvl="0">
      <w:lvlJc w:val="left"/>
      <w:lvlText w:val="•"/>
      <w:numFmt w:val="bullet"/>
      <w:start w:val="1"/>
    </w:lvl>
  </w:abstractNum>
  <w:abstractNum w:abstractNumId="2">
    <w:nsid w:val="435D38D"/>
    <w:multiLevelType w:val="hybridMultilevel"/>
    <w:lvl w:ilvl="0">
      <w:lvlJc w:val="left"/>
      <w:lvlText w:val="•"/>
      <w:numFmt w:val="bullet"/>
      <w:start w:val="1"/>
    </w:lvl>
  </w:abstractNum>
  <w:abstractNum w:abstractNumId="3">
    <w:nsid w:val="822C0EF"/>
    <w:multiLevelType w:val="hybridMultilevel"/>
    <w:lvl w:ilvl="0">
      <w:lvlJc w:val="left"/>
      <w:lvlText w:val="•"/>
      <w:numFmt w:val="bullet"/>
      <w:start w:val="1"/>
    </w:lvl>
  </w:abstractNum>
  <w:abstractNum w:abstractNumId="4">
    <w:nsid w:val="57C5BB4F"/>
    <w:multiLevelType w:val="hybridMultilevel"/>
    <w:lvl w:ilvl="0">
      <w:lvlJc w:val="left"/>
      <w:lvlText w:val="•"/>
      <w:numFmt w:val="bullet"/>
      <w:start w:val="1"/>
    </w:lvl>
  </w:abstractNum>
  <w:abstractNum w:abstractNumId="5">
    <w:nsid w:val="1803D089"/>
    <w:multiLevelType w:val="hybridMultilevel"/>
    <w:lvl w:ilvl="0">
      <w:lvlJc w:val="left"/>
      <w:lvlText w:val="•"/>
      <w:numFmt w:val="bullet"/>
      <w:start w:val="1"/>
    </w:lvl>
  </w:abstractNum>
  <w:abstractNum w:abstractNumId="6">
    <w:nsid w:val="4F3A06D4"/>
    <w:multiLevelType w:val="hybridMultilevel"/>
    <w:lvl w:ilvl="0">
      <w:lvlJc w:val="left"/>
      <w:lvlText w:val="•"/>
      <w:numFmt w:val="bullet"/>
      <w:start w:val="1"/>
    </w:lvl>
  </w:abstractNum>
  <w:abstractNum w:abstractNumId="7">
    <w:nsid w:val="59A377B6"/>
    <w:multiLevelType w:val="hybridMultilevel"/>
    <w:lvl w:ilvl="0">
      <w:lvlJc w:val="left"/>
      <w:lvlText w:val="•"/>
      <w:numFmt w:val="bullet"/>
      <w:start w:val="1"/>
    </w:lvl>
  </w:abstractNum>
  <w:abstractNum w:abstractNumId="8">
    <w:nsid w:val="48AEB063"/>
    <w:multiLevelType w:val="hybridMultilevel"/>
    <w:lvl w:ilvl="0">
      <w:lvlJc w:val="left"/>
      <w:lvlText w:val="•"/>
      <w:numFmt w:val="bullet"/>
      <w:start w:val="1"/>
    </w:lvl>
    <w:lvl w:ilvl="1">
      <w:lvlJc w:val="left"/>
      <w:lvlText w:val="•"/>
      <w:numFmt w:val="bullet"/>
      <w:start w:val="1"/>
    </w:lvl>
  </w:abstractNum>
  <w:abstractNum w:abstractNumId="9">
    <w:nsid w:val="24E135"/>
    <w:multiLevelType w:val="hybridMultilevel"/>
    <w:lvl w:ilvl="0">
      <w:lvlJc w:val="left"/>
      <w:lvlText w:val="•"/>
      <w:numFmt w:val="bullet"/>
      <w:start w:val="1"/>
    </w:lvl>
  </w:abstractNum>
  <w:abstractNum w:abstractNumId="10">
    <w:nsid w:val="BB13C1"/>
    <w:multiLevelType w:val="hybridMultilevel"/>
    <w:lvl w:ilvl="0">
      <w:lvlJc w:val="left"/>
      <w:lvlText w:val="(%1)"/>
      <w:numFmt w:val="decimal"/>
      <w:start w:val="1"/>
    </w:lvl>
  </w:abstractNum>
  <w:abstractNum w:abstractNumId="11">
    <w:nsid w:val="271210C7"/>
    <w:multiLevelType w:val="hybridMultilevel"/>
    <w:lvl w:ilvl="0">
      <w:lvlJc w:val="left"/>
      <w:lvlText w:val="(%1)"/>
      <w:numFmt w:val="decimal"/>
      <w:start w:val="2"/>
    </w:lvl>
  </w:abstractNum>
  <w:abstractNum w:abstractNumId="12">
    <w:nsid w:val="217B22E4"/>
    <w:multiLevelType w:val="hybridMultilevel"/>
    <w:lvl w:ilvl="0">
      <w:lvlJc w:val="left"/>
      <w:lvlText w:val="(%1)"/>
      <w:numFmt w:val="decimal"/>
      <w:start w:val="1"/>
    </w:lvl>
  </w:abstractNum>
  <w:abstractNum w:abstractNumId="13">
    <w:nsid w:val="53E31A24"/>
    <w:multiLevelType w:val="hybridMultilevel"/>
    <w:lvl w:ilvl="0">
      <w:lvlJc w:val="left"/>
      <w:lvlText w:val="(%1)"/>
      <w:numFmt w:val="lowerLetter"/>
      <w:start w:val="3"/>
    </w:lvl>
  </w:abstractNum>
  <w:abstractNum w:abstractNumId="14">
    <w:nsid w:val="6DC45E83"/>
    <w:multiLevelType w:val="hybridMultilevel"/>
    <w:lvl w:ilvl="0">
      <w:lvlJc w:val="left"/>
      <w:lvlText w:val="•"/>
      <w:numFmt w:val="bullet"/>
      <w:start w:val="1"/>
    </w:lvl>
  </w:abstractNum>
  <w:abstractNum w:abstractNumId="15">
    <w:nsid w:val="17304A67"/>
    <w:multiLevelType w:val="hybridMultilevel"/>
    <w:lvl w:ilvl="0">
      <w:lvlJc w:val="left"/>
      <w:lvlText w:val="•"/>
      <w:numFmt w:val="bullet"/>
      <w:start w:val="1"/>
    </w:lvl>
  </w:abstractNum>
  <w:abstractNum w:abstractNumId="16">
    <w:nsid w:val="2BB180D8"/>
    <w:multiLevelType w:val="hybridMultilevel"/>
    <w:lvl w:ilvl="0">
      <w:lvlJc w:val="left"/>
      <w:lvlText w:val="•"/>
      <w:numFmt w:val="bullet"/>
      <w:start w:val="1"/>
    </w:lvl>
  </w:abstractNum>
  <w:abstractNum w:abstractNumId="17">
    <w:nsid w:val="556B69ED"/>
    <w:multiLevelType w:val="hybridMultilevel"/>
    <w:lvl w:ilvl="0">
      <w:lvlJc w:val="left"/>
      <w:lvlText w:val="•"/>
      <w:numFmt w:val="bullet"/>
      <w:start w:val="1"/>
    </w:lvl>
  </w:abstractNum>
  <w:abstractNum w:abstractNumId="18">
    <w:nsid w:val="70836196"/>
    <w:multiLevelType w:val="hybridMultilevel"/>
    <w:lvl w:ilvl="0">
      <w:lvlJc w:val="left"/>
      <w:lvlText w:val="•"/>
      <w:numFmt w:val="bullet"/>
      <w:start w:val="1"/>
    </w:lvl>
  </w:abstractNum>
  <w:abstractNum w:abstractNumId="19">
    <w:nsid w:val="539F7F12"/>
    <w:multiLevelType w:val="hybridMultilevel"/>
    <w:lvl w:ilvl="0">
      <w:lvlJc w:val="left"/>
      <w:lvlText w:val="•"/>
      <w:numFmt w:val="bullet"/>
      <w:start w:val="1"/>
    </w:lvl>
  </w:abstractNum>
  <w:abstractNum w:abstractNumId="20">
    <w:nsid w:val="2817E7EC"/>
    <w:multiLevelType w:val="hybridMultilevel"/>
    <w:lvl w:ilvl="0">
      <w:lvlJc w:val="left"/>
      <w:lvlText w:val="•"/>
      <w:numFmt w:val="bullet"/>
      <w:start w:val="1"/>
    </w:lvl>
  </w:abstractNum>
  <w:abstractNum w:abstractNumId="21">
    <w:nsid w:val="71482545"/>
    <w:multiLevelType w:val="hybridMultilevel"/>
    <w:lvl w:ilvl="0">
      <w:lvlJc w:val="left"/>
      <w:lvlText w:val="•"/>
      <w:numFmt w:val="bullet"/>
      <w:start w:val="1"/>
    </w:lvl>
  </w:abstractNum>
  <w:abstractNum w:abstractNumId="22">
    <w:nsid w:val="17D78639"/>
    <w:multiLevelType w:val="hybridMultilevel"/>
    <w:lvl w:ilvl="0">
      <w:lvlJc w:val="left"/>
      <w:lvlText w:val="•"/>
      <w:numFmt w:val="bullet"/>
      <w:start w:val="1"/>
    </w:lvl>
  </w:abstractNum>
  <w:abstractNum w:abstractNumId="23">
    <w:nsid w:val="141D2302"/>
    <w:multiLevelType w:val="hybridMultilevel"/>
    <w:lvl w:ilvl="0">
      <w:lvlJc w:val="left"/>
      <w:lvlText w:val="•"/>
      <w:numFmt w:val="bullet"/>
      <w:start w:val="1"/>
    </w:lvl>
  </w:abstractNum>
  <w:abstractNum w:abstractNumId="24">
    <w:nsid w:val="407168D8"/>
    <w:multiLevelType w:val="hybridMultilevel"/>
    <w:lvl w:ilvl="0">
      <w:lvlJc w:val="left"/>
      <w:lvlText w:val="•"/>
      <w:numFmt w:val="bullet"/>
      <w:start w:val="1"/>
    </w:lvl>
  </w:abstractNum>
  <w:abstractNum w:abstractNumId="25">
    <w:nsid w:val="6A1B45E5"/>
    <w:multiLevelType w:val="hybridMultilevel"/>
    <w:lvl w:ilvl="0">
      <w:lvlJc w:val="left"/>
      <w:lvlText w:val="•"/>
      <w:numFmt w:val="bullet"/>
      <w:start w:val="1"/>
    </w:lvl>
  </w:abstractNum>
  <w:abstractNum w:abstractNumId="26">
    <w:nsid w:val="567BD50A"/>
    <w:multiLevelType w:val="hybridMultilevel"/>
    <w:lvl w:ilvl="0">
      <w:lvlJc w:val="left"/>
      <w:lvlText w:val="•"/>
      <w:numFmt w:val="bullet"/>
      <w:start w:val="1"/>
    </w:lvl>
  </w:abstractNum>
  <w:abstractNum w:abstractNumId="27">
    <w:nsid w:val="73BBD7F8"/>
    <w:multiLevelType w:val="hybridMultilevel"/>
    <w:lvl w:ilvl="0">
      <w:lvlJc w:val="left"/>
      <w:lvlText w:val="•"/>
      <w:numFmt w:val="bullet"/>
      <w:start w:val="1"/>
    </w:lvl>
  </w:abstractNum>
  <w:abstractNum w:abstractNumId="28">
    <w:nsid w:val="1876589D"/>
    <w:multiLevelType w:val="hybridMultilevel"/>
    <w:lvl w:ilvl="0">
      <w:lvlJc w:val="left"/>
      <w:lvlText w:val="*"/>
      <w:numFmt w:val="bullet"/>
      <w:start w:val="1"/>
    </w:lvl>
    <w:lvl w:ilvl="1">
      <w:lvlJc w:val="left"/>
      <w:lvlText w:val="•"/>
      <w:numFmt w:val="bullet"/>
      <w:start w:val="1"/>
    </w:lvl>
  </w:abstractNum>
  <w:abstractNum w:abstractNumId="29">
    <w:nsid w:val="327FAC77"/>
    <w:multiLevelType w:val="hybridMultilevel"/>
    <w:lvl w:ilvl="0">
      <w:lvlJc w:val="left"/>
      <w:lvlText w:val="•"/>
      <w:numFmt w:val="bullet"/>
      <w:start w:val="1"/>
    </w:lvl>
  </w:abstractNum>
  <w:abstractNum w:abstractNumId="30">
    <w:nsid w:val="5A606509"/>
    <w:multiLevelType w:val="hybridMultilevel"/>
    <w:lvl w:ilvl="0">
      <w:lvlJc w:val="left"/>
      <w:lvlText w:val="(%1)"/>
      <w:numFmt w:val="decimal"/>
      <w:start w:val="1"/>
    </w:lvl>
  </w:abstractNum>
  <w:abstractNum w:abstractNumId="31">
    <w:nsid w:val="6F38E6D1"/>
    <w:multiLevelType w:val="hybridMultilevel"/>
    <w:lvl w:ilvl="0">
      <w:lvlJc w:val="left"/>
      <w:lvlText w:val="(%1)"/>
      <w:numFmt w:val="lowerRoman"/>
      <w:start w:val="3"/>
    </w:lvl>
  </w:abstractNum>
  <w:abstractNum w:abstractNumId="32">
    <w:nsid w:val="46111BA5"/>
    <w:multiLevelType w:val="hybridMultilevel"/>
    <w:lvl w:ilvl="0">
      <w:lvlJc w:val="left"/>
      <w:lvlText w:val="•"/>
      <w:numFmt w:val="bullet"/>
      <w:start w:val="1"/>
    </w:lvl>
    <w:lvl w:ilvl="1">
      <w:lvlJc w:val="left"/>
      <w:lvlText w:val="•"/>
      <w:numFmt w:val="bullet"/>
      <w:start w:val="1"/>
    </w:lvl>
  </w:abstractNum>
  <w:abstractNum w:abstractNumId="33">
    <w:nsid w:val="5E963896"/>
    <w:multiLevelType w:val="hybridMultilevel"/>
    <w:lvl w:ilvl="0">
      <w:lvlJc w:val="left"/>
      <w:lvlText w:val="•"/>
      <w:numFmt w:val="bullet"/>
      <w:start w:val="1"/>
    </w:lvl>
    <w:lvl w:ilvl="1">
      <w:lvlJc w:val="left"/>
      <w:lvlText w:val="•"/>
      <w:numFmt w:val="bullet"/>
      <w:start w:val="1"/>
    </w:lvl>
  </w:abstractNum>
  <w:abstractNum w:abstractNumId="34">
    <w:nsid w:val="775BA7C1"/>
    <w:multiLevelType w:val="hybridMultilevel"/>
    <w:lvl w:ilvl="0">
      <w:lvlJc w:val="left"/>
      <w:lvlText w:val="(%1)"/>
      <w:numFmt w:val="decimal"/>
      <w:start w:val="1"/>
    </w:lvl>
  </w:abstractNum>
  <w:abstractNum w:abstractNumId="35">
    <w:nsid w:val="1DD6D6F4"/>
    <w:multiLevelType w:val="hybridMultilevel"/>
    <w:lvl w:ilvl="0">
      <w:lvlJc w:val="left"/>
      <w:lvlText w:val="(%1)"/>
      <w:numFmt w:val="decimal"/>
      <w:start w:val="2"/>
    </w:lvl>
  </w:abstractNum>
  <w:abstractNum w:abstractNumId="36">
    <w:nsid w:val="769A091F"/>
    <w:multiLevelType w:val="hybridMultilevel"/>
    <w:lvl w:ilvl="0">
      <w:lvlJc w:val="left"/>
      <w:lvlText w:val="(%1)"/>
      <w:numFmt w:val="decimal"/>
      <w:start w:val="1"/>
    </w:lvl>
  </w:abstractNum>
  <w:abstractNum w:abstractNumId="37">
    <w:nsid w:val="4695AE95"/>
    <w:multiLevelType w:val="hybridMultilevel"/>
    <w:lvl w:ilvl="0">
      <w:lvlJc w:val="left"/>
      <w:lvlText w:val="(%1)"/>
      <w:numFmt w:val="lowerLetter"/>
      <w:start w:val="1"/>
    </w:lvl>
  </w:abstractNum>
  <w:abstractNum w:abstractNumId="38">
    <w:nsid w:val="777A4EAA"/>
    <w:multiLevelType w:val="hybridMultilevel"/>
    <w:lvl w:ilvl="0">
      <w:lvlJc w:val="left"/>
      <w:lvlText w:val="(%1)"/>
      <w:numFmt w:val="decimal"/>
      <w:start w:val="1"/>
    </w:lvl>
  </w:abstractNum>
  <w:abstractNum w:abstractNumId="39">
    <w:nsid w:val="3F48B982"/>
    <w:multiLevelType w:val="hybridMultilevel"/>
    <w:lvl w:ilvl="0">
      <w:lvlJc w:val="left"/>
      <w:lvlText w:val="•"/>
      <w:numFmt w:val="bullet"/>
      <w:start w:val="1"/>
    </w:lvl>
  </w:abstractNum>
  <w:abstractNum w:abstractNumId="40">
    <w:nsid w:val="46BA8FCA"/>
    <w:multiLevelType w:val="hybridMultilevel"/>
    <w:lvl w:ilvl="0">
      <w:lvlJc w:val="left"/>
      <w:lvlText w:val="•"/>
      <w:numFmt w:val="bullet"/>
      <w:start w:val="1"/>
    </w:lvl>
  </w:abstractNum>
  <w:abstractNum w:abstractNumId="41">
    <w:nsid w:val="7835626C"/>
    <w:multiLevelType w:val="hybridMultilevel"/>
    <w:lvl w:ilvl="0">
      <w:lvlJc w:val="left"/>
      <w:lvlText w:val="•"/>
      <w:numFmt w:val="bullet"/>
      <w:start w:val="1"/>
    </w:lvl>
  </w:abstractNum>
  <w:abstractNum w:abstractNumId="42">
    <w:nsid w:val="665ACA49"/>
    <w:multiLevelType w:val="hybridMultilevel"/>
    <w:lvl w:ilvl="0">
      <w:lvlJc w:val="left"/>
      <w:lvlText w:val="•"/>
      <w:numFmt w:val="bullet"/>
      <w:start w:val="1"/>
    </w:lvl>
  </w:abstractNum>
  <w:abstractNum w:abstractNumId="43">
    <w:nsid w:val="6835B2AE"/>
    <w:multiLevelType w:val="hybridMultilevel"/>
    <w:lvl w:ilvl="0">
      <w:lvlJc w:val="left"/>
      <w:lvlText w:val="•"/>
      <w:numFmt w:val="bullet"/>
      <w:start w:val="1"/>
    </w:lvl>
  </w:abstractNum>
  <w:abstractNum w:abstractNumId="44">
    <w:nsid w:val="4C187C90"/>
    <w:multiLevelType w:val="hybridMultilevel"/>
    <w:lvl w:ilvl="0">
      <w:lvlJc w:val="left"/>
      <w:lvlText w:val="•"/>
      <w:numFmt w:val="bullet"/>
      <w:start w:val="1"/>
    </w:lvl>
  </w:abstractNum>
  <w:abstractNum w:abstractNumId="45">
    <w:nsid w:val="541F28CD"/>
    <w:multiLevelType w:val="hybridMultilevel"/>
    <w:lvl w:ilvl="0">
      <w:lvlJc w:val="left"/>
      <w:lvlText w:val="•"/>
      <w:numFmt w:val="bullet"/>
      <w:start w:val="1"/>
    </w:lvl>
  </w:abstractNum>
  <w:abstractNum w:abstractNumId="46">
    <w:nsid w:val="7F65FD16"/>
    <w:multiLevelType w:val="hybridMultilevel"/>
    <w:lvl w:ilvl="0">
      <w:lvlJc w:val="left"/>
      <w:lvlText w:val="•"/>
      <w:numFmt w:val="bullet"/>
      <w:start w:val="1"/>
    </w:lvl>
  </w:abstractNum>
  <w:abstractNum w:abstractNumId="47">
    <w:nsid w:val="77C9FD68"/>
    <w:multiLevelType w:val="hybridMultilevel"/>
    <w:lvl w:ilvl="0">
      <w:lvlJc w:val="left"/>
      <w:lvlText w:val="•"/>
      <w:numFmt w:val="bullet"/>
      <w:start w:val="1"/>
    </w:lvl>
  </w:abstractNum>
  <w:abstractNum w:abstractNumId="48">
    <w:nsid w:val="298A92BA"/>
    <w:multiLevelType w:val="hybridMultilevel"/>
    <w:lvl w:ilvl="0">
      <w:lvlJc w:val="left"/>
      <w:lvlText w:val="•"/>
      <w:numFmt w:val="bullet"/>
      <w:start w:val="1"/>
    </w:lvl>
  </w:abstractNum>
  <w:abstractNum w:abstractNumId="49">
    <w:nsid w:val="6FE95EAC"/>
    <w:multiLevelType w:val="hybridMultilevel"/>
    <w:lvl w:ilvl="0">
      <w:lvlJc w:val="left"/>
      <w:lvlText w:val="•"/>
      <w:numFmt w:val="bullet"/>
      <w:start w:val="1"/>
    </w:lvl>
  </w:abstractNum>
  <w:abstractNum w:abstractNumId="50">
    <w:nsid w:val="4B697C7A"/>
    <w:multiLevelType w:val="hybridMultilevel"/>
    <w:lvl w:ilvl="0">
      <w:lvlJc w:val="left"/>
      <w:lvlText w:val="•"/>
      <w:numFmt w:val="bullet"/>
      <w:start w:val="1"/>
    </w:lvl>
  </w:abstractNum>
  <w:abstractNum w:abstractNumId="51">
    <w:nsid w:val="51A27AA6"/>
    <w:multiLevelType w:val="hybridMultilevel"/>
    <w:lvl w:ilvl="0">
      <w:lvlJc w:val="left"/>
      <w:lvlText w:val="•"/>
      <w:numFmt w:val="bullet"/>
      <w:start w:val="1"/>
    </w:lvl>
  </w:abstractNum>
  <w:abstractNum w:abstractNumId="52">
    <w:nsid w:val="613183F2"/>
    <w:multiLevelType w:val="hybridMultilevel"/>
    <w:lvl w:ilvl="0">
      <w:lvlJc w:val="left"/>
      <w:lvlText w:val="•"/>
      <w:numFmt w:val="bullet"/>
      <w:start w:val="1"/>
    </w:lvl>
  </w:abstractNum>
  <w:abstractNum w:abstractNumId="53">
    <w:nsid w:val="634102B4"/>
    <w:multiLevelType w:val="hybridMultilevel"/>
    <w:lvl w:ilvl="0">
      <w:lvlJc w:val="left"/>
      <w:lvlText w:val="•"/>
      <w:numFmt w:val="bullet"/>
      <w:start w:val="1"/>
    </w:lvl>
  </w:abstractNum>
  <w:abstractNum w:abstractNumId="54">
    <w:nsid w:val="65BF9DA8"/>
    <w:multiLevelType w:val="hybridMultilevel"/>
    <w:lvl w:ilvl="0">
      <w:lvlJc w:val="left"/>
      <w:lvlText w:val="•"/>
      <w:numFmt w:val="bullet"/>
      <w:start w:val="1"/>
    </w:lvl>
    <w:lvl w:ilvl="1">
      <w:lvlJc w:val="left"/>
      <w:lvlText w:val="•"/>
      <w:numFmt w:val="bullet"/>
      <w:start w:val="1"/>
    </w:lvl>
  </w:abstractNum>
  <w:abstractNum w:abstractNumId="55">
    <w:nsid w:val="21A2ECCA"/>
    <w:multiLevelType w:val="hybridMultilevel"/>
    <w:lvl w:ilvl="0">
      <w:lvlJc w:val="left"/>
      <w:lvlText w:val="•"/>
      <w:numFmt w:val="bullet"/>
      <w:start w:val="1"/>
    </w:lvl>
  </w:abstractNum>
  <w:abstractNum w:abstractNumId="56">
    <w:nsid w:val="4D5C4899"/>
    <w:multiLevelType w:val="hybridMultilevel"/>
    <w:lvl w:ilvl="0">
      <w:lvlJc w:val="left"/>
      <w:lvlText w:val="•"/>
      <w:numFmt w:val="bullet"/>
      <w:start w:val="1"/>
    </w:lvl>
  </w:abstractNum>
  <w:abstractNum w:abstractNumId="57">
    <w:nsid w:val="3C3B72B2"/>
    <w:multiLevelType w:val="hybridMultilevel"/>
    <w:lvl w:ilvl="0">
      <w:lvlJc w:val="left"/>
      <w:lvlText w:val="•"/>
      <w:numFmt w:val="bullet"/>
      <w:start w:val="1"/>
    </w:lvl>
  </w:abstractNum>
  <w:abstractNum w:abstractNumId="58">
    <w:nsid w:val="155EC4C2"/>
    <w:multiLevelType w:val="hybridMultilevel"/>
    <w:lvl w:ilvl="0">
      <w:lvlJc w:val="left"/>
      <w:lvlText w:val="•"/>
      <w:numFmt w:val="bullet"/>
      <w:start w:val="1"/>
    </w:lvl>
  </w:abstractNum>
  <w:abstractNum w:abstractNumId="59">
    <w:nsid w:val="65D2A137"/>
    <w:multiLevelType w:val="hybridMultilevel"/>
    <w:lvl w:ilvl="0">
      <w:lvlJc w:val="left"/>
      <w:lvlText w:val="•"/>
      <w:numFmt w:val="bullet"/>
      <w:start w:val="1"/>
    </w:lvl>
  </w:abstractNum>
  <w:abstractNum w:abstractNumId="60">
    <w:nsid w:val="6EBB1F2A"/>
    <w:multiLevelType w:val="hybridMultilevel"/>
    <w:lvl w:ilvl="0">
      <w:lvlJc w:val="left"/>
      <w:lvlText w:val="•"/>
      <w:numFmt w:val="bullet"/>
      <w:start w:val="1"/>
    </w:lvl>
  </w:abstractNum>
  <w:abstractNum w:abstractNumId="61">
    <w:nsid w:val="6FBF29CB"/>
    <w:multiLevelType w:val="hybridMultilevel"/>
    <w:lvl w:ilvl="0">
      <w:lvlJc w:val="left"/>
      <w:lvlText w:val="(%1)"/>
      <w:numFmt w:val="decimal"/>
      <w:start w:val="1"/>
    </w:lvl>
  </w:abstractNum>
  <w:abstractNum w:abstractNumId="62">
    <w:nsid w:val="550B8808"/>
    <w:multiLevelType w:val="hybridMultilevel"/>
    <w:lvl w:ilvl="0">
      <w:lvlJc w:val="left"/>
      <w:lvlText w:val="(%1)"/>
      <w:numFmt w:val="decimal"/>
      <w:start w:val="1"/>
    </w:lvl>
  </w:abstractNum>
  <w:abstractNum w:abstractNumId="63">
    <w:nsid w:val="34CC3ACF"/>
    <w:multiLevelType w:val="hybridMultilevel"/>
    <w:lvl w:ilvl="0">
      <w:lvlJc w:val="left"/>
      <w:lvlText w:val="•"/>
      <w:numFmt w:val="bullet"/>
      <w:start w:val="1"/>
    </w:lvl>
  </w:abstractNum>
  <w:abstractNum w:abstractNumId="64">
    <w:nsid w:val="4E556261"/>
    <w:multiLevelType w:val="hybridMultilevel"/>
    <w:lvl w:ilvl="0">
      <w:lvlJc w:val="left"/>
      <w:lvlText w:val="•"/>
      <w:numFmt w:val="bullet"/>
      <w:start w:val="1"/>
    </w:lvl>
  </w:abstractNum>
  <w:abstractNum w:abstractNumId="65">
    <w:nsid w:val="4C672FC9"/>
    <w:multiLevelType w:val="hybridMultilevel"/>
    <w:lvl w:ilvl="0">
      <w:lvlJc w:val="left"/>
      <w:lvlText w:val="•"/>
      <w:numFmt w:val="bullet"/>
      <w:start w:val="1"/>
    </w:lvl>
  </w:abstractNum>
  <w:abstractNum w:abstractNumId="66">
    <w:nsid w:val="52A311C3"/>
    <w:multiLevelType w:val="hybridMultilevel"/>
    <w:lvl w:ilvl="0">
      <w:lvlJc w:val="left"/>
      <w:lvlText w:val="•"/>
      <w:numFmt w:val="bullet"/>
      <w:start w:val="1"/>
    </w:lvl>
  </w:abstractNum>
  <w:abstractNum w:abstractNumId="67">
    <w:nsid w:val="44EF6B80"/>
    <w:multiLevelType w:val="hybridMultilevel"/>
    <w:lvl w:ilvl="0">
      <w:lvlJc w:val="left"/>
      <w:lvlText w:val="(%1)"/>
      <w:numFmt w:val="decimal"/>
      <w:start w:val="1"/>
    </w:lvl>
  </w:abstractNum>
  <w:abstractNum w:abstractNumId="68">
    <w:nsid w:val="12FCDE5E"/>
    <w:multiLevelType w:val="hybridMultilevel"/>
    <w:lvl w:ilvl="0">
      <w:lvlJc w:val="left"/>
      <w:lvlText w:val="(%1)"/>
      <w:numFmt w:val="decimal"/>
      <w:start w:val="1"/>
    </w:lvl>
  </w:abstractNum>
  <w:abstractNum w:abstractNumId="69">
    <w:nsid w:val="4A1D606E"/>
    <w:multiLevelType w:val="hybridMultilevel"/>
    <w:lvl w:ilvl="0">
      <w:lvlJc w:val="left"/>
      <w:lvlText w:val="•"/>
      <w:numFmt w:val="bullet"/>
      <w:start w:val="1"/>
    </w:lvl>
  </w:abstractNum>
  <w:abstractNum w:abstractNumId="70">
    <w:nsid w:val="4382503"/>
    <w:multiLevelType w:val="hybridMultilevel"/>
    <w:lvl w:ilvl="0">
      <w:lvlJc w:val="left"/>
      <w:lvlText w:val="•"/>
      <w:numFmt w:val="bullet"/>
      <w:start w:val="1"/>
    </w:lvl>
  </w:abstractNum>
  <w:abstractNum w:abstractNumId="71">
    <w:nsid w:val="59B76E28"/>
    <w:multiLevelType w:val="hybridMultilevel"/>
    <w:lvl w:ilvl="0">
      <w:lvlJc w:val="left"/>
      <w:lvlText w:val="•"/>
      <w:numFmt w:val="bullet"/>
      <w:start w:val="1"/>
    </w:lvl>
  </w:abstractNum>
  <w:abstractNum w:abstractNumId="72">
    <w:nsid w:val="4252C2DA"/>
    <w:multiLevelType w:val="hybridMultilevel"/>
    <w:lvl w:ilvl="0">
      <w:lvlJc w:val="left"/>
      <w:lvlText w:val="(%1)"/>
      <w:numFmt w:val="lowerRoman"/>
      <w:start w:val="3"/>
    </w:lvl>
  </w:abstractNum>
  <w:abstractNum w:abstractNumId="73">
    <w:nsid w:val="6A92EF4C"/>
    <w:multiLevelType w:val="hybridMultilevel"/>
    <w:lvl w:ilvl="0">
      <w:lvlJc w:val="left"/>
      <w:lvlText w:val="•"/>
      <w:numFmt w:val="bullet"/>
      <w:start w:val="1"/>
    </w:lvl>
  </w:abstractNum>
  <w:abstractNum w:abstractNumId="74">
    <w:nsid w:val="41ED20D7"/>
    <w:multiLevelType w:val="hybridMultilevel"/>
    <w:lvl w:ilvl="0">
      <w:lvlJc w:val="left"/>
      <w:lvlText w:val="•"/>
      <w:numFmt w:val="bullet"/>
      <w:start w:val="1"/>
    </w:lvl>
  </w:abstractNum>
  <w:abstractNum w:abstractNumId="75">
    <w:nsid w:val="E6B3F6A"/>
    <w:multiLevelType w:val="hybridMultilevel"/>
    <w:lvl w:ilvl="0">
      <w:lvlJc w:val="left"/>
      <w:lvlText w:val="(%1)"/>
      <w:numFmt w:val="lowerRoman"/>
      <w:start w:val="1"/>
    </w:lvl>
  </w:abstractNum>
  <w:abstractNum w:abstractNumId="76">
    <w:nsid w:val="3EB21819"/>
    <w:multiLevelType w:val="hybridMultilevel"/>
    <w:lvl w:ilvl="0">
      <w:lvlJc w:val="left"/>
      <w:lvlText w:val="•"/>
      <w:numFmt w:val="bullet"/>
      <w:start w:val="1"/>
    </w:lvl>
  </w:abstractNum>
  <w:abstractNum w:abstractNumId="77">
    <w:nsid w:val="41531DED"/>
    <w:multiLevelType w:val="hybridMultilevel"/>
    <w:lvl w:ilvl="0">
      <w:lvlJc w:val="left"/>
      <w:lvlText w:val="•"/>
      <w:numFmt w:val="bullet"/>
      <w:start w:val="1"/>
    </w:lvl>
  </w:abstractNum>
  <w:abstractNum w:abstractNumId="78">
    <w:nsid w:val="6353CD2"/>
    <w:multiLevelType w:val="hybridMultilevel"/>
    <w:lvl w:ilvl="0">
      <w:lvlJc w:val="left"/>
      <w:lvlText w:val="•"/>
      <w:numFmt w:val="bullet"/>
      <w:start w:val="1"/>
    </w:lvl>
  </w:abstractNum>
  <w:abstractNum w:abstractNumId="79">
    <w:nsid w:val="683CAAD3"/>
    <w:multiLevelType w:val="hybridMultilevel"/>
    <w:lvl w:ilvl="0">
      <w:lvlJc w:val="left"/>
      <w:lvlText w:val="•"/>
      <w:numFmt w:val="bullet"/>
      <w:start w:val="1"/>
    </w:lvl>
  </w:abstractNum>
  <w:abstractNum w:abstractNumId="80">
    <w:nsid w:val="313C7C99"/>
    <w:multiLevelType w:val="hybridMultilevel"/>
    <w:lvl w:ilvl="0">
      <w:lvlJc w:val="left"/>
      <w:lvlText w:val="†"/>
      <w:numFmt w:val="bullet"/>
      <w:start w:val="1"/>
    </w:lvl>
  </w:abstractNum>
  <w:abstractNum w:abstractNumId="81">
    <w:nsid w:val="519EB94C"/>
    <w:multiLevelType w:val="hybridMultilevel"/>
    <w:lvl w:ilvl="0">
      <w:lvlJc w:val="left"/>
      <w:lvlText w:val="#"/>
      <w:numFmt w:val="bullet"/>
      <w:start w:val="1"/>
    </w:lvl>
  </w:abstractNum>
  <w:abstractNum w:abstractNumId="82">
    <w:nsid w:val="39DF2579"/>
    <w:multiLevelType w:val="hybridMultilevel"/>
    <w:lvl w:ilvl="0">
      <w:lvlJc w:val="left"/>
      <w:lvlText w:val="*"/>
      <w:numFmt w:val="bullet"/>
      <w:start w:val="1"/>
    </w:lvl>
  </w:abstractNum>
  <w:abstractNum w:abstractNumId="83">
    <w:nsid w:val="126E008B"/>
    <w:multiLevelType w:val="hybridMultilevel"/>
    <w:lvl w:ilvl="0">
      <w:lvlJc w:val="left"/>
      <w:lvlText w:val="(%1)"/>
      <w:numFmt w:val="decimal"/>
      <w:start w:val="1"/>
    </w:lvl>
  </w:abstractNum>
  <w:abstractNum w:abstractNumId="84">
    <w:nsid w:val="34DFBC00"/>
    <w:multiLevelType w:val="hybridMultilevel"/>
    <w:lvl w:ilvl="0">
      <w:lvlJc w:val="left"/>
      <w:lvlText w:val="(%1)"/>
      <w:numFmt w:val="decimal"/>
      <w:start w:val="12"/>
    </w:lvl>
  </w:abstractNum>
  <w:abstractNum w:abstractNumId="85">
    <w:nsid w:val="1F9EC322"/>
    <w:multiLevelType w:val="hybridMultilevel"/>
    <w:lvl w:ilvl="0">
      <w:lvlJc w:val="left"/>
      <w:lvlText w:val="•"/>
      <w:numFmt w:val="bullet"/>
      <w:start w:val="1"/>
    </w:lvl>
  </w:abstractNum>
  <w:abstractNum w:abstractNumId="86">
    <w:nsid w:val="3410ED56"/>
    <w:multiLevelType w:val="hybridMultilevel"/>
    <w:lvl w:ilvl="0">
      <w:lvlJc w:val="left"/>
      <w:lvlText w:val="•"/>
      <w:numFmt w:val="bullet"/>
      <w:start w:val="1"/>
    </w:lvl>
  </w:abstractNum>
  <w:abstractNum w:abstractNumId="87">
    <w:nsid w:val="23C049A"/>
    <w:multiLevelType w:val="hybridMultilevel"/>
    <w:lvl w:ilvl="0">
      <w:lvlJc w:val="left"/>
      <w:lvlText w:val="•"/>
      <w:numFmt w:val="bullet"/>
      <w:start w:val="1"/>
    </w:lvl>
  </w:abstractNum>
  <w:abstractNum w:abstractNumId="88">
    <w:nsid w:val="5BDA35D4"/>
    <w:multiLevelType w:val="hybridMultilevel"/>
    <w:lvl w:ilvl="0">
      <w:lvlJc w:val="left"/>
      <w:lvlText w:val="(%1)"/>
      <w:numFmt w:val="lowerLetter"/>
      <w:start w:val="1"/>
    </w:lvl>
  </w:abstractNum>
  <w:abstractNum w:abstractNumId="89">
    <w:nsid w:val="496FB218"/>
    <w:multiLevelType w:val="hybridMultilevel"/>
    <w:lvl w:ilvl="0">
      <w:lvlJc w:val="left"/>
      <w:lvlText w:val="•"/>
      <w:numFmt w:val="bullet"/>
      <w:start w:val="1"/>
    </w:lvl>
  </w:abstractNum>
  <w:abstractNum w:abstractNumId="90">
    <w:nsid w:val="680EA5D1"/>
    <w:multiLevelType w:val="hybridMultilevel"/>
    <w:lvl w:ilvl="0">
      <w:lvlJc w:val="left"/>
      <w:lvlText w:val="•"/>
      <w:numFmt w:val="bullet"/>
      <w:start w:val="1"/>
    </w:lvl>
  </w:abstractNum>
  <w:abstractNum w:abstractNumId="91">
    <w:nsid w:val="4A9554FE"/>
    <w:multiLevelType w:val="hybridMultilevel"/>
    <w:lvl w:ilvl="0">
      <w:lvlJc w:val="left"/>
      <w:lvlText w:val="&amp;"/>
      <w:numFmt w:val="bullet"/>
      <w:start w:val="1"/>
    </w:lvl>
  </w:abstractNum>
  <w:abstractNum w:abstractNumId="92">
    <w:nsid w:val="392EDBE4"/>
    <w:multiLevelType w:val="hybridMultilevel"/>
    <w:lvl w:ilvl="0">
      <w:lvlJc w:val="left"/>
      <w:lvlText w:val="•"/>
      <w:numFmt w:val="bullet"/>
      <w:start w:val="1"/>
    </w:lvl>
  </w:abstractNum>
  <w:abstractNum w:abstractNumId="93">
    <w:nsid w:val="3D1A2DD9"/>
    <w:multiLevelType w:val="hybridMultilevel"/>
    <w:lvl w:ilvl="0">
      <w:lvlJc w:val="left"/>
      <w:lvlText w:val="•"/>
      <w:numFmt w:val="bullet"/>
      <w:start w:val="1"/>
    </w:lvl>
  </w:abstractNum>
  <w:abstractNum w:abstractNumId="94">
    <w:nsid w:val="7F618FCD"/>
    <w:multiLevelType w:val="hybridMultilevel"/>
    <w:lvl w:ilvl="0">
      <w:lvlJc w:val="left"/>
      <w:lvlText w:val="•"/>
      <w:numFmt w:val="bullet"/>
      <w:start w:val="1"/>
    </w:lvl>
  </w:abstractNum>
  <w:abstractNum w:abstractNumId="95">
    <w:nsid w:val="7843E45"/>
    <w:multiLevelType w:val="hybridMultilevel"/>
    <w:lvl w:ilvl="0">
      <w:lvlJc w:val="left"/>
      <w:lvlText w:val="•"/>
      <w:numFmt w:val="bullet"/>
      <w:start w:val="1"/>
    </w:lvl>
  </w:abstractNum>
  <w:abstractNum w:abstractNumId="96">
    <w:nsid w:val="9815DA3"/>
    <w:multiLevelType w:val="hybridMultilevel"/>
    <w:lvl w:ilvl="0">
      <w:lvlJc w:val="left"/>
      <w:lvlText w:val="(%1)"/>
      <w:numFmt w:val="lowerLetter"/>
      <w:start w:val="1"/>
    </w:lvl>
  </w:abstractNum>
  <w:abstractNum w:abstractNumId="97">
    <w:nsid w:val="5204A191"/>
    <w:multiLevelType w:val="hybridMultilevel"/>
    <w:lvl w:ilvl="0">
      <w:lvlJc w:val="left"/>
      <w:lvlText w:val="(%1)"/>
      <w:numFmt w:val="lowerLetter"/>
      <w:start w:val="4"/>
    </w:lvl>
  </w:abstractNum>
  <w:abstractNum w:abstractNumId="98">
    <w:nsid w:val="4C73A9C6"/>
    <w:multiLevelType w:val="hybridMultilevel"/>
    <w:lvl w:ilvl="0">
      <w:lvlJc w:val="left"/>
      <w:lvlText w:val="(%1)"/>
      <w:numFmt w:val="lowerRoman"/>
      <w:start w:val="3"/>
    </w:lvl>
  </w:abstractNum>
  <w:abstractNum w:abstractNumId="99">
    <w:nsid w:val="1C7E3C01"/>
    <w:multiLevelType w:val="hybridMultilevel"/>
    <w:lvl w:ilvl="0">
      <w:lvlJc w:val="left"/>
      <w:lvlText w:val="•"/>
      <w:numFmt w:val="bullet"/>
      <w:start w:val="1"/>
    </w:lvl>
  </w:abstractNum>
  <w:abstractNum w:abstractNumId="100">
    <w:nsid w:val="1C2201FF"/>
    <w:multiLevelType w:val="hybridMultilevel"/>
    <w:lvl w:ilvl="0">
      <w:lvlJc w:val="left"/>
      <w:lvlText w:val="(%1)"/>
      <w:numFmt w:val="lowerRoman"/>
      <w:start w:val="8"/>
    </w:lvl>
  </w:abstractNum>
  <w:abstractNum w:abstractNumId="101">
    <w:nsid w:val="50ABCEC9"/>
    <w:multiLevelType w:val="hybridMultilevel"/>
    <w:lvl w:ilvl="0">
      <w:lvlJc w:val="left"/>
      <w:lvlText w:val="(%1)"/>
      <w:numFmt w:val="lowerLetter"/>
      <w:start w:val="9"/>
    </w:lvl>
    <w:lvl w:ilvl="1">
      <w:lvlJc w:val="left"/>
      <w:lvlText w:val="(%2)"/>
      <w:numFmt w:val="lowerLetter"/>
      <w:start w:val="1"/>
    </w:lvl>
  </w:abstractNum>
  <w:abstractNum w:abstractNumId="102">
    <w:nsid w:val="7635AA2A"/>
    <w:multiLevelType w:val="hybridMultilevel"/>
    <w:lvl w:ilvl="0">
      <w:lvlJc w:val="left"/>
      <w:lvlText w:val="(%1)"/>
      <w:numFmt w:val="lowerRoman"/>
      <w:start w:val="2"/>
    </w:lvl>
  </w:abstractNum>
  <w:abstractNum w:abstractNumId="103">
    <w:nsid w:val="5E74C4D9"/>
    <w:multiLevelType w:val="hybridMultilevel"/>
    <w:lvl w:ilvl="0">
      <w:lvlJc w:val="left"/>
      <w:lvlText w:val="(%1)"/>
      <w:numFmt w:val="decimal"/>
      <w:start w:val="1"/>
    </w:lvl>
  </w:abstractNum>
  <w:abstractNum w:abstractNumId="104">
    <w:nsid w:val="3B3EBE15"/>
    <w:multiLevelType w:val="hybridMultilevel"/>
    <w:lvl w:ilvl="0">
      <w:lvlJc w:val="left"/>
      <w:lvlText w:val="(%1)"/>
      <w:numFmt w:val="decimal"/>
      <w:start w:val="1"/>
    </w:lvl>
  </w:abstractNum>
  <w:abstractNum w:abstractNumId="105">
    <w:nsid w:val="3822CB01"/>
    <w:multiLevelType w:val="hybridMultilevel"/>
    <w:lvl w:ilvl="0">
      <w:lvlJc w:val="left"/>
      <w:lvlText w:val="(%1)"/>
      <w:numFmt w:val="decimal"/>
      <w:start w:val="2"/>
    </w:lvl>
  </w:abstractNum>
  <w:abstractNum w:abstractNumId="106">
    <w:nsid w:val="6CE00443"/>
    <w:multiLevelType w:val="hybridMultilevel"/>
    <w:lvl w:ilvl="0">
      <w:lvlJc w:val="left"/>
      <w:lvlText w:val="(%1)"/>
      <w:numFmt w:val="decimal"/>
      <w:start w:val="1"/>
    </w:lvl>
  </w:abstractNum>
  <w:abstractNum w:abstractNumId="107">
    <w:nsid w:val="79F0D62F"/>
    <w:multiLevelType w:val="hybridMultilevel"/>
    <w:lvl w:ilvl="0">
      <w:lvlJc w:val="left"/>
      <w:lvlText w:val="•"/>
      <w:numFmt w:val="bullet"/>
      <w:start w:val="1"/>
    </w:lvl>
  </w:abstractNum>
  <w:abstractNum w:abstractNumId="108">
    <w:nsid w:val="7975E8EE"/>
    <w:multiLevelType w:val="hybridMultilevel"/>
    <w:lvl w:ilvl="0">
      <w:lvlJc w:val="left"/>
      <w:lvlText w:val="•"/>
      <w:numFmt w:val="bullet"/>
      <w:start w:val="1"/>
    </w:lvl>
  </w:abstractNum>
  <w:abstractNum w:abstractNumId="109">
    <w:nsid w:val="73154115"/>
    <w:multiLevelType w:val="hybridMultilevel"/>
    <w:lvl w:ilvl="0">
      <w:lvlJc w:val="left"/>
      <w:lvlText w:val="•"/>
      <w:numFmt w:val="bullet"/>
      <w:start w:val="1"/>
    </w:lvl>
  </w:abstractNum>
  <w:abstractNum w:abstractNumId="110">
    <w:nsid w:val="622D8102"/>
    <w:multiLevelType w:val="hybridMultilevel"/>
    <w:lvl w:ilvl="0">
      <w:lvlJc w:val="left"/>
      <w:lvlText w:val="•"/>
      <w:numFmt w:val="bullet"/>
      <w:start w:val="1"/>
    </w:lvl>
  </w:abstractNum>
  <w:abstractNum w:abstractNumId="111">
    <w:nsid w:val="2AB26587"/>
    <w:multiLevelType w:val="hybridMultilevel"/>
    <w:lvl w:ilvl="0">
      <w:lvlJc w:val="left"/>
      <w:lvlText w:val="•"/>
      <w:numFmt w:val="bullet"/>
      <w:start w:val="1"/>
    </w:lvl>
    <w:lvl w:ilvl="1">
      <w:lvlJc w:val="left"/>
      <w:lvlText w:val="•"/>
      <w:numFmt w:val="bullet"/>
      <w:start w:val="1"/>
    </w:lvl>
  </w:abstractNum>
  <w:abstractNum w:abstractNumId="112">
    <w:nsid w:val="44B3FA61"/>
    <w:multiLevelType w:val="hybridMultilevel"/>
    <w:lvl w:ilvl="0">
      <w:lvlJc w:val="left"/>
      <w:lvlText w:val="(%1)"/>
      <w:numFmt w:val="decimal"/>
      <w:start w:val="1"/>
    </w:lvl>
  </w:abstractNum>
  <w:abstractNum w:abstractNumId="113">
    <w:nsid w:val="1C0CA67C"/>
    <w:multiLevelType w:val="hybridMultilevel"/>
    <w:lvl w:ilvl="0">
      <w:lvlJc w:val="left"/>
      <w:lvlText w:val="(%1)"/>
      <w:numFmt w:val="decimal"/>
      <w:start w:val="1"/>
    </w:lvl>
  </w:abstractNum>
  <w:abstractNum w:abstractNumId="114">
    <w:nsid w:val="3D206613"/>
    <w:multiLevelType w:val="hybridMultilevel"/>
    <w:lvl w:ilvl="0">
      <w:lvlJc w:val="left"/>
      <w:lvlText w:val="(%1)"/>
      <w:numFmt w:val="decimal"/>
      <w:start w:val="1"/>
    </w:lvl>
  </w:abstractNum>
  <w:abstractNum w:abstractNumId="115">
    <w:nsid w:val="7993B662"/>
    <w:multiLevelType w:val="hybridMultilevel"/>
    <w:lvl w:ilvl="0">
      <w:lvlJc w:val="left"/>
      <w:lvlText w:val="(%1)"/>
      <w:numFmt w:val="decimal"/>
      <w:start w:val="1"/>
    </w:lvl>
  </w:abstractNum>
  <w:abstractNum w:abstractNumId="116">
    <w:nsid w:val="3BAB699E"/>
    <w:multiLevelType w:val="hybridMultilevel"/>
    <w:lvl w:ilvl="0">
      <w:lvlJc w:val="left"/>
      <w:lvlText w:val="(%1)"/>
      <w:numFmt w:val="decimal"/>
      <w:start w:val="1"/>
    </w:lvl>
  </w:abstractNum>
  <w:abstractNum w:abstractNumId="117">
    <w:nsid w:val="71315369"/>
    <w:multiLevelType w:val="hybridMultilevel"/>
    <w:lvl w:ilvl="0">
      <w:lvlJc w:val="left"/>
      <w:lvlText w:val="•"/>
      <w:numFmt w:val="bullet"/>
      <w:start w:val="1"/>
    </w:lvl>
  </w:abstractNum>
  <w:abstractNum w:abstractNumId="118">
    <w:nsid w:val="7BCFBAFC"/>
    <w:multiLevelType w:val="hybridMultilevel"/>
    <w:lvl w:ilvl="0">
      <w:lvlJc w:val="left"/>
      <w:lvlText w:val="(%1)"/>
      <w:numFmt w:val="lowerLetter"/>
      <w:start w:val="1"/>
    </w:lvl>
  </w:abstractNum>
  <w:abstractNum w:abstractNumId="119">
    <w:nsid w:val="17859F72"/>
    <w:multiLevelType w:val="hybridMultilevel"/>
    <w:lvl w:ilvl="0">
      <w:lvlJc w:val="left"/>
      <w:lvlText w:val="(%1)"/>
      <w:numFmt w:val="lowerLetter"/>
      <w:start w:val="2"/>
    </w:lvl>
  </w:abstractNum>
  <w:abstractNum w:abstractNumId="120">
    <w:nsid w:val="3AA10581"/>
    <w:multiLevelType w:val="hybridMultilevel"/>
    <w:lvl w:ilvl="0">
      <w:lvlJc w:val="left"/>
      <w:lvlText w:val="(%1)"/>
      <w:numFmt w:val="decimal"/>
      <w:start w:val="1"/>
    </w:lvl>
  </w:abstractNum>
  <w:abstractNum w:abstractNumId="121">
    <w:nsid w:val="63DE60CD"/>
    <w:multiLevelType w:val="hybridMultilevel"/>
    <w:lvl w:ilvl="0">
      <w:lvlJc w:val="left"/>
      <w:lvlText w:val="%1."/>
      <w:numFmt w:val="decimal"/>
      <w:start w:val="1"/>
    </w:lvl>
    <w:lvl w:ilvl="1">
      <w:lvlJc w:val="left"/>
      <w:lvlText w:val="•"/>
      <w:numFmt w:val="bullet"/>
      <w:start w:val="1"/>
    </w:lvl>
  </w:abstractNum>
  <w:abstractNum w:abstractNumId="122">
    <w:nsid w:val="621AF471"/>
    <w:multiLevelType w:val="hybridMultilevel"/>
    <w:lvl w:ilvl="0">
      <w:lvlJc w:val="left"/>
      <w:lvlText w:val="%1."/>
      <w:numFmt w:val="decimal"/>
      <w:start w:val="2"/>
    </w:lvl>
    <w:lvl w:ilvl="1">
      <w:lvlJc w:val="left"/>
      <w:lvlText w:val="(%2)"/>
      <w:numFmt w:val="lowerLetter"/>
      <w:start w:val="1"/>
    </w:lvl>
    <w:lvl w:ilvl="2">
      <w:lvlJc w:val="left"/>
      <w:lvlText w:val="(%3)"/>
      <w:numFmt w:val="lowerLetter"/>
      <w:start w:val="9"/>
    </w:lvl>
  </w:abstractNum>
  <w:abstractNum w:abstractNumId="123">
    <w:nsid w:val="73CFE165"/>
    <w:multiLevelType w:val="hybridMultilevel"/>
    <w:lvl w:ilvl="0">
      <w:lvlJc w:val="left"/>
      <w:lvlText w:val="(%1)"/>
      <w:numFmt w:val="lowerRoman"/>
      <w:start w:val="2"/>
    </w:lvl>
  </w:abstractNum>
  <w:abstractNum w:abstractNumId="124">
    <w:nsid w:val="20F88EA6"/>
    <w:multiLevelType w:val="hybridMultilevel"/>
    <w:lvl w:ilvl="0">
      <w:lvlJc w:val="left"/>
      <w:lvlText w:val="(%1)"/>
      <w:numFmt w:val="lowerLetter"/>
      <w:start w:val="7"/>
    </w:lvl>
  </w:abstractNum>
  <w:abstractNum w:abstractNumId="125">
    <w:nsid w:val="617C843E"/>
    <w:multiLevelType w:val="hybridMultilevel"/>
    <w:lvl w:ilvl="0">
      <w:lvlJc w:val="left"/>
      <w:lvlText w:val="(%1)"/>
      <w:numFmt w:val="lowerLetter"/>
      <w:start w:val="17"/>
    </w:lvl>
    <w:lvl w:ilvl="1">
      <w:lvlJc w:val="left"/>
      <w:lvlText w:val="(%2)"/>
      <w:numFmt w:val="lowerRoman"/>
      <w:start w:val="1"/>
    </w:lvl>
  </w:abstractNum>
  <w:abstractNum w:abstractNumId="126">
    <w:nsid w:val="7B541FAB"/>
    <w:multiLevelType w:val="hybridMultilevel"/>
    <w:lvl w:ilvl="0">
      <w:lvlJc w:val="left"/>
      <w:lvlText w:val="(%1)"/>
      <w:numFmt w:val="lowerLetter"/>
      <w:start w:val="18"/>
    </w:lvl>
  </w:abstractNum>
  <w:abstractNum w:abstractNumId="127">
    <w:nsid w:val="2A79EC49"/>
    <w:multiLevelType w:val="hybridMultilevel"/>
    <w:lvl w:ilvl="0">
      <w:lvlJc w:val="left"/>
      <w:lvlText w:val="(%1)"/>
      <w:numFmt w:val="lowerLetter"/>
      <w:start w:val="27"/>
    </w:lvl>
  </w:abstractNum>
  <w:abstractNum w:abstractNumId="128">
    <w:nsid w:val="338125CF"/>
    <w:multiLevelType w:val="hybridMultilevel"/>
    <w:lvl w:ilvl="0">
      <w:lvlJc w:val="left"/>
      <w:lvlText w:val="%1"/>
      <w:numFmt w:val="decimal"/>
      <w:start w:val="1"/>
    </w:lvl>
    <w:lvl w:ilvl="1">
      <w:lvlJc w:val="left"/>
      <w:lvlText w:val="(%2)"/>
      <w:numFmt w:val="lowerLetter"/>
      <w:start w:val="41"/>
    </w:lvl>
  </w:abstractNum>
  <w:abstractNum w:abstractNumId="129">
    <w:nsid w:val="47C7C971"/>
    <w:multiLevelType w:val="hybridMultilevel"/>
    <w:lvl w:ilvl="0">
      <w:lvlJc w:val="left"/>
      <w:lvlText w:val="%1."/>
      <w:numFmt w:val="decimal"/>
      <w:start w:val="3"/>
    </w:lvl>
    <w:lvl w:ilvl="1">
      <w:lvlJc w:val="left"/>
      <w:lvlText w:val="(%2)"/>
      <w:numFmt w:val="lowerLetter"/>
      <w:start w:val="1"/>
    </w:lvl>
  </w:abstractNum>
  <w:abstractNum w:abstractNumId="130">
    <w:nsid w:val="46F8284B"/>
    <w:multiLevelType w:val="hybridMultilevel"/>
    <w:lvl w:ilvl="0">
      <w:lvlJc w:val="left"/>
      <w:lvlText w:val="%1"/>
      <w:numFmt w:val="decimal"/>
      <w:start w:val="1"/>
    </w:lvl>
    <w:lvl w:ilvl="1">
      <w:lvlJc w:val="left"/>
      <w:lvlText w:val="(%2)"/>
      <w:numFmt w:val="lowerLetter"/>
      <w:start w:val="4"/>
    </w:lvl>
    <w:lvl w:ilvl="2">
      <w:lvlJc w:val="left"/>
      <w:lvlText w:val="%3"/>
      <w:numFmt w:val="lowerRoman"/>
      <w:start w:val="1"/>
    </w:lvl>
  </w:abstractNum>
  <w:abstractNum w:abstractNumId="131">
    <w:nsid w:val="4FA327CE"/>
    <w:multiLevelType w:val="hybridMultilevel"/>
    <w:lvl w:ilvl="0">
      <w:lvlJc w:val="left"/>
      <w:lvlText w:val="%1."/>
      <w:numFmt w:val="decimal"/>
      <w:start w:val="4"/>
    </w:lvl>
    <w:lvl w:ilvl="1">
      <w:lvlJc w:val="left"/>
      <w:lvlText w:val="(%2)"/>
      <w:numFmt w:val="lowerLetter"/>
      <w:start w:val="1"/>
    </w:lvl>
    <w:lvl w:ilvl="2">
      <w:lvlJc w:val="left"/>
      <w:lvlText w:val="(%3)"/>
      <w:numFmt w:val="lowerRoman"/>
      <w:start w:val="1"/>
    </w:lvl>
  </w:abstractNum>
  <w:abstractNum w:abstractNumId="132">
    <w:nsid w:val="1873983A"/>
    <w:multiLevelType w:val="hybridMultilevel"/>
    <w:lvl w:ilvl="0">
      <w:lvlJc w:val="left"/>
      <w:lvlText w:val="%1"/>
      <w:numFmt w:val="lowerLetter"/>
      <w:start w:val="1"/>
    </w:lvl>
    <w:lvl w:ilvl="1">
      <w:lvlJc w:val="left"/>
      <w:lvlText w:val="(%2)"/>
      <w:numFmt w:val="lowerRoman"/>
      <w:start w:val="3"/>
    </w:lvl>
  </w:abstractNum>
  <w:abstractNum w:abstractNumId="133">
    <w:nsid w:val="3D2DD275"/>
    <w:multiLevelType w:val="hybridMultilevel"/>
    <w:lvl w:ilvl="0">
      <w:lvlJc w:val="left"/>
      <w:lvlText w:val="(%1)"/>
      <w:numFmt w:val="lowerLetter"/>
      <w:start w:val="3"/>
    </w:lvl>
    <w:lvl w:ilvl="1">
      <w:lvlJc w:val="left"/>
      <w:lvlText w:val="%2"/>
      <w:numFmt w:val="lowerRoman"/>
      <w:start w:val="1"/>
    </w:lvl>
  </w:abstractNum>
  <w:abstractNum w:abstractNumId="134">
    <w:nsid w:val="2E17ECA7"/>
    <w:multiLevelType w:val="hybridMultilevel"/>
    <w:lvl w:ilvl="0">
      <w:lvlJc w:val="left"/>
      <w:lvlText w:val="%1."/>
      <w:numFmt w:val="decimal"/>
      <w:start w:val="5"/>
    </w:lvl>
  </w:abstractNum>
  <w:abstractNum w:abstractNumId="135">
    <w:nsid w:val="53B2564F"/>
    <w:multiLevelType w:val="hybridMultilevel"/>
    <w:lvl w:ilvl="0">
      <w:lvlJc w:val="left"/>
      <w:lvlText w:val="%1."/>
      <w:numFmt w:val="decimal"/>
      <w:start w:val="6"/>
    </w:lvl>
    <w:lvl w:ilvl="1">
      <w:lvlJc w:val="left"/>
      <w:lvlText w:val="(%2)"/>
      <w:numFmt w:val="lowerLetter"/>
      <w:start w:val="1"/>
    </w:lvl>
    <w:lvl w:ilvl="2">
      <w:lvlJc w:val="left"/>
      <w:lvlText w:val="(%3)"/>
      <w:numFmt w:val="lowerRoman"/>
      <w:start w:val="1"/>
    </w:lvl>
    <w:lvl w:ilvl="3">
      <w:lvlJc w:val="left"/>
      <w:lvlText w:val="(%4)"/>
      <w:numFmt w:val="decimal"/>
      <w:start w:val="1"/>
    </w:lvl>
    <w:lvl w:ilvl="4">
      <w:lvlJc w:val="left"/>
      <w:lvlText w:val="(%5)"/>
      <w:numFmt w:val="upperLetter"/>
      <w:start w:val="1"/>
    </w:lvl>
  </w:abstractNum>
  <w:abstractNum w:abstractNumId="136">
    <w:nsid w:val="75509D76"/>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2"/>
    </w:lvl>
  </w:abstractNum>
  <w:abstractNum w:abstractNumId="137">
    <w:nsid w:val="1AF7F0EA"/>
    <w:multiLevelType w:val="hybridMultilevel"/>
    <w:lvl w:ilvl="0">
      <w:lvlJc w:val="left"/>
      <w:lvlText w:val="(%1)"/>
      <w:numFmt w:val="decimal"/>
      <w:start w:val="2"/>
    </w:lvl>
    <w:lvl w:ilvl="1">
      <w:lvlJc w:val="left"/>
      <w:lvlText w:val="(%2)"/>
      <w:numFmt w:val="lowerLetter"/>
      <w:start w:val="4"/>
    </w:lvl>
    <w:lvl w:ilvl="2">
      <w:lvlJc w:val="left"/>
      <w:lvlText w:val="(%3)"/>
      <w:numFmt w:val="lowerRoman"/>
      <w:start w:val="1"/>
    </w:lvl>
  </w:abstractNum>
  <w:abstractNum w:abstractNumId="138">
    <w:nsid w:val="4DA32C7E"/>
    <w:multiLevelType w:val="hybridMultilevel"/>
    <w:lvl w:ilvl="0">
      <w:lvlJc w:val="left"/>
      <w:lvlText w:val="(%1)"/>
      <w:numFmt w:val="lowerRoman"/>
      <w:start w:val="2"/>
    </w:lvl>
  </w:abstractNum>
  <w:abstractNum w:abstractNumId="139">
    <w:nsid w:val="6EC68664"/>
    <w:multiLevelType w:val="hybridMultilevel"/>
    <w:lvl w:ilvl="0">
      <w:lvlJc w:val="left"/>
      <w:lvlText w:val="(%1)"/>
      <w:numFmt w:val="lowerRoman"/>
      <w:start w:val="3"/>
    </w:lvl>
  </w:abstractNum>
  <w:abstractNum w:abstractNumId="140">
    <w:nsid w:val="E0D31FF"/>
    <w:multiLevelType w:val="hybridMultilevel"/>
    <w:lvl w:ilvl="0">
      <w:lvlJc w:val="left"/>
      <w:lvlText w:val="(%1)"/>
      <w:numFmt w:val="decimal"/>
      <w:start w:val="1"/>
    </w:lvl>
  </w:abstractNum>
  <w:abstractNum w:abstractNumId="141">
    <w:nsid w:val="2FD0AD81"/>
    <w:multiLevelType w:val="hybridMultilevel"/>
    <w:lvl w:ilvl="0">
      <w:lvlJc w:val="left"/>
      <w:lvlText w:val="%1"/>
      <w:numFmt w:val="decimal"/>
      <w:start w:val="1"/>
    </w:lvl>
    <w:lvl w:ilvl="1">
      <w:lvlJc w:val="left"/>
      <w:lvlText w:val="%2"/>
      <w:numFmt w:val="lowerLetter"/>
      <w:start w:val="1"/>
    </w:lvl>
    <w:lvl w:ilvl="2">
      <w:lvlJc w:val="left"/>
      <w:lvlText w:val="(%3)"/>
      <w:numFmt w:val="decimal"/>
      <w:start w:val="2"/>
    </w:lvl>
  </w:abstractNum>
  <w:abstractNum w:abstractNumId="142">
    <w:nsid w:val="1978EBEB"/>
    <w:multiLevelType w:val="hybridMultilevel"/>
    <w:lvl w:ilvl="0">
      <w:lvlJc w:val="left"/>
      <w:lvlText w:val="%1."/>
      <w:numFmt w:val="decimal"/>
      <w:start w:val="7"/>
    </w:lvl>
    <w:lvl w:ilvl="1">
      <w:lvlJc w:val="left"/>
      <w:lvlText w:val="(%2)"/>
      <w:numFmt w:val="lowerLetter"/>
      <w:start w:val="1"/>
    </w:lvl>
    <w:lvl w:ilvl="2">
      <w:lvlJc w:val="left"/>
      <w:lvlText w:val="%3"/>
      <w:numFmt w:val="decimal"/>
      <w:start w:val="1"/>
    </w:lvl>
  </w:abstractNum>
  <w:abstractNum w:abstractNumId="143">
    <w:nsid w:val="52C12C61"/>
    <w:multiLevelType w:val="hybridMultilevel"/>
    <w:lvl w:ilvl="0">
      <w:lvlJc w:val="left"/>
      <w:lvlText w:val="%1."/>
      <w:numFmt w:val="decimal"/>
      <w:start w:val="8"/>
    </w:lvl>
    <w:lvl w:ilvl="1">
      <w:lvlJc w:val="left"/>
      <w:lvlText w:val="(%2)"/>
      <w:numFmt w:val="lowerLetter"/>
      <w:start w:val="1"/>
    </w:lvl>
  </w:abstractNum>
  <w:abstractNum w:abstractNumId="144">
    <w:nsid w:val="4BDD53FD"/>
    <w:multiLevelType w:val="hybridMultilevel"/>
    <w:lvl w:ilvl="0">
      <w:lvlJc w:val="left"/>
      <w:lvlText w:val="(%1)"/>
      <w:numFmt w:val="lowerLetter"/>
      <w:start w:val="5"/>
    </w:lvl>
    <w:lvl w:ilvl="1">
      <w:lvlJc w:val="left"/>
      <w:lvlText w:val="(%2)"/>
      <w:numFmt w:val="lowerRoman"/>
      <w:start w:val="1"/>
    </w:lvl>
  </w:abstractNum>
  <w:abstractNum w:abstractNumId="145">
    <w:nsid w:val="569951FE"/>
    <w:multiLevelType w:val="hybridMultilevel"/>
    <w:lvl w:ilvl="0">
      <w:lvlJc w:val="left"/>
      <w:lvlText w:val="%1."/>
      <w:numFmt w:val="decimal"/>
      <w:start w:val="10"/>
    </w:lvl>
    <w:lvl w:ilvl="1">
      <w:lvlJc w:val="left"/>
      <w:lvlText w:val="(%2)"/>
      <w:numFmt w:val="lowerLetter"/>
      <w:start w:val="1"/>
    </w:lvl>
  </w:abstractNum>
  <w:abstractNum w:abstractNumId="146">
    <w:nsid w:val="4C54E2C3"/>
    <w:multiLevelType w:val="hybridMultilevel"/>
    <w:lvl w:ilvl="0">
      <w:lvlJc w:val="left"/>
      <w:lvlText w:val="%1"/>
      <w:numFmt w:val="decimal"/>
      <w:start w:val="1"/>
    </w:lvl>
    <w:lvl w:ilvl="1">
      <w:lvlJc w:val="left"/>
      <w:lvlText w:val="(%2)"/>
      <w:numFmt w:val="lowerLetter"/>
      <w:start w:val="5"/>
    </w:lvl>
  </w:abstractNum>
  <w:abstractNum w:abstractNumId="147">
    <w:nsid w:val="788BD9B"/>
    <w:multiLevelType w:val="hybridMultilevel"/>
    <w:lvl w:ilvl="0">
      <w:lvlJc w:val="left"/>
      <w:lvlText w:val="%1."/>
      <w:numFmt w:val="decimal"/>
      <w:start w:val="11"/>
    </w:lvl>
    <w:lvl w:ilvl="1">
      <w:lvlJc w:val="left"/>
      <w:lvlText w:val="(%2)"/>
      <w:numFmt w:val="lowerLetter"/>
      <w:start w:val="1"/>
    </w:lvl>
  </w:abstractNum>
  <w:abstractNum w:abstractNumId="148">
    <w:nsid w:val="47CAA567"/>
    <w:multiLevelType w:val="hybridMultilevel"/>
    <w:lvl w:ilvl="0">
      <w:lvlJc w:val="left"/>
      <w:lvlText w:val="(%1)"/>
      <w:numFmt w:val="lowerLetter"/>
      <w:start w:val="2"/>
    </w:lvl>
  </w:abstractNum>
  <w:abstractNum w:abstractNumId="149">
    <w:nsid w:val="48249DBF"/>
    <w:multiLevelType w:val="hybridMultilevel"/>
    <w:lvl w:ilvl="0">
      <w:lvlJc w:val="left"/>
      <w:lvlText w:val="%1"/>
      <w:numFmt w:val="decimal"/>
      <w:start w:val="1"/>
    </w:lvl>
    <w:lvl w:ilvl="1">
      <w:lvlJc w:val="left"/>
      <w:lvlText w:val="(%2)"/>
      <w:numFmt w:val="lowerLetter"/>
      <w:start w:val="4"/>
    </w:lvl>
  </w:abstractNum>
  <w:abstractNum w:abstractNumId="150">
    <w:nsid w:val="1F0E5D0D"/>
    <w:multiLevelType w:val="hybridMultilevel"/>
    <w:lvl w:ilvl="0">
      <w:lvlJc w:val="left"/>
      <w:lvlText w:val="%1."/>
      <w:numFmt w:val="decimal"/>
      <w:start w:val="15"/>
    </w:lvl>
    <w:lvl w:ilvl="1">
      <w:lvlJc w:val="left"/>
      <w:lvlText w:val="(%2)"/>
      <w:numFmt w:val="lowerLetter"/>
      <w:start w:val="1"/>
    </w:lvl>
  </w:abstractNum>
  <w:abstractNum w:abstractNumId="151">
    <w:nsid w:val="26BAAE9"/>
    <w:multiLevelType w:val="hybridMultilevel"/>
    <w:lvl w:ilvl="0">
      <w:lvlJc w:val="left"/>
      <w:lvlText w:val="%1."/>
      <w:numFmt w:val="decimal"/>
      <w:start w:val="16"/>
    </w:lvl>
    <w:lvl w:ilvl="1">
      <w:lvlJc w:val="left"/>
      <w:lvlText w:val="(%2)"/>
      <w:numFmt w:val="lowerLetter"/>
      <w:start w:val="1"/>
    </w:lvl>
  </w:abstractNum>
  <w:abstractNum w:abstractNumId="152">
    <w:nsid w:val="2C02FE8C"/>
    <w:multiLevelType w:val="hybridMultilevel"/>
    <w:lvl w:ilvl="0">
      <w:lvlJc w:val="left"/>
      <w:lvlText w:val="%1."/>
      <w:numFmt w:val="decimal"/>
      <w:start w:val="21"/>
    </w:lvl>
  </w:abstractNum>
  <w:abstractNum w:abstractNumId="153">
    <w:nsid w:val="129517E"/>
    <w:multiLevelType w:val="hybridMultilevel"/>
    <w:lvl w:ilvl="0">
      <w:lvlJc w:val="left"/>
      <w:lvlText w:val="%1."/>
      <w:numFmt w:val="decimal"/>
      <w:start w:val="1"/>
    </w:lvl>
  </w:abstractNum>
  <w:abstractNum w:abstractNumId="154">
    <w:nsid w:val="763B8C4E"/>
    <w:multiLevelType w:val="hybridMultilevel"/>
    <w:lvl w:ilvl="0">
      <w:lvlJc w:val="left"/>
      <w:lvlText w:val="%1."/>
      <w:numFmt w:val="decimal"/>
      <w:start w:val="2"/>
    </w:lvl>
  </w:abstractNum>
  <w:abstractNum w:abstractNumId="155">
    <w:nsid w:val="4CFB8D32"/>
    <w:multiLevelType w:val="hybridMultilevel"/>
    <w:lvl w:ilvl="0">
      <w:lvlJc w:val="left"/>
      <w:lvlText w:val="%1."/>
      <w:numFmt w:val="decimal"/>
      <w:start w:val="3"/>
    </w:lvl>
  </w:abstractNum>
  <w:abstractNum w:abstractNumId="156">
    <w:nsid w:val="62A5D5BD"/>
    <w:multiLevelType w:val="hybridMultilevel"/>
    <w:lvl w:ilvl="0">
      <w:lvlJc w:val="left"/>
      <w:lvlText w:val="%1."/>
      <w:numFmt w:val="decimal"/>
      <w:start w:val="4"/>
    </w:lvl>
  </w:abstractNum>
  <w:abstractNum w:abstractNumId="157">
    <w:nsid w:val="718FABF9"/>
    <w:multiLevelType w:val="hybridMultilevel"/>
    <w:lvl w:ilvl="0">
      <w:lvlJc w:val="left"/>
      <w:lvlText w:val="%1"/>
      <w:numFmt w:val="decimal"/>
      <w:start w:val="1"/>
    </w:lvl>
    <w:lvl w:ilvl="1">
      <w:lvlJc w:val="left"/>
      <w:lvlText w:val="(%2)"/>
      <w:numFmt w:val="lowerLetter"/>
      <w:start w:val="1"/>
    </w:lvl>
  </w:abstractNum>
  <w:abstractNum w:abstractNumId="158">
    <w:nsid w:val="7775797C"/>
    <w:multiLevelType w:val="hybridMultilevel"/>
    <w:lvl w:ilvl="0">
      <w:lvlJc w:val="left"/>
      <w:lvlText w:val="%1."/>
      <w:numFmt w:val="decimal"/>
      <w:start w:val="5"/>
    </w:lvl>
    <w:lvl w:ilvl="1">
      <w:lvlJc w:val="left"/>
      <w:lvlText w:val="%2"/>
      <w:numFmt w:val="lowerLetter"/>
      <w:start w:val="1"/>
    </w:lvl>
  </w:abstractNum>
  <w:abstractNum w:abstractNumId="159">
    <w:nsid w:val="1626FB8C"/>
    <w:multiLevelType w:val="hybridMultilevel"/>
    <w:lvl w:ilvl="0">
      <w:lvlJc w:val="left"/>
      <w:lvlText w:val="%1."/>
      <w:numFmt w:val="decimal"/>
      <w:start w:val="6"/>
    </w:lvl>
  </w:abstractNum>
  <w:abstractNum w:abstractNumId="160">
    <w:nsid w:val="3957756A"/>
    <w:multiLevelType w:val="hybridMultilevel"/>
    <w:lvl w:ilvl="0">
      <w:lvlJc w:val="left"/>
      <w:lvlText w:val="%1."/>
      <w:numFmt w:val="decimal"/>
      <w:start w:val="2"/>
    </w:lvl>
  </w:abstractNum>
  <w:abstractNum w:abstractNumId="161">
    <w:nsid w:val="3E6DA1C7"/>
    <w:multiLevelType w:val="hybridMultilevel"/>
    <w:lvl w:ilvl="0">
      <w:lvlJc w:val="left"/>
      <w:lvlText w:val="%1."/>
      <w:numFmt w:val="decimal"/>
      <w:start w:val="4"/>
    </w:lvl>
  </w:abstractNum>
  <w:abstractNum w:abstractNumId="162">
    <w:nsid w:val="65CA235B"/>
    <w:multiLevelType w:val="hybridMultilevel"/>
    <w:lvl w:ilvl="0">
      <w:lvlJc w:val="left"/>
      <w:lvlText w:val="(%1)"/>
      <w:numFmt w:val="lowerRoman"/>
      <w:start w:val="3"/>
    </w:lvl>
  </w:abstractNum>
  <w:abstractNum w:abstractNumId="163">
    <w:nsid w:val="51CB0DA4"/>
    <w:multiLevelType w:val="hybridMultilevel"/>
    <w:lvl w:ilvl="0">
      <w:lvlJc w:val="left"/>
      <w:lvlText w:val="%1."/>
      <w:numFmt w:val="decimal"/>
      <w:start w:val="1"/>
    </w:lvl>
    <w:lvl w:ilvl="1">
      <w:lvlJc w:val="left"/>
      <w:lvlText w:val="(%2)"/>
      <w:numFmt w:val="lowerLetter"/>
      <w:start w:val="1"/>
    </w:lvl>
    <w:lvl w:ilvl="2">
      <w:lvlJc w:val="left"/>
      <w:lvlText w:val="-"/>
      <w:numFmt w:val="bullet"/>
      <w:start w:val="1"/>
    </w:lvl>
  </w:abstractNum>
  <w:abstractNum w:abstractNumId="164">
    <w:nsid w:val="7B9B743C"/>
    <w:multiLevelType w:val="hybridMultilevel"/>
    <w:lvl w:ilvl="0">
      <w:lvlJc w:val="left"/>
      <w:lvlText w:val="%1"/>
      <w:numFmt w:val="decimal"/>
      <w:start w:val="1"/>
    </w:lvl>
    <w:lvl w:ilvl="1">
      <w:lvlJc w:val="left"/>
      <w:lvlText w:val="(%2)"/>
      <w:numFmt w:val="lowerLetter"/>
      <w:start w:val="2"/>
    </w:lvl>
    <w:lvl w:ilvl="2">
      <w:lvlJc w:val="left"/>
      <w:lvlText w:val="-"/>
      <w:numFmt w:val="bullet"/>
      <w:start w:val="1"/>
    </w:lvl>
  </w:abstractNum>
  <w:abstractNum w:abstractNumId="165">
    <w:nsid w:val="13E21002"/>
    <w:multiLevelType w:val="hybridMultilevel"/>
    <w:lvl w:ilvl="0">
      <w:lvlJc w:val="left"/>
      <w:lvlText w:val="%1."/>
      <w:numFmt w:val="decimal"/>
      <w:start w:val="5"/>
    </w:lvl>
    <w:lvl w:ilvl="1">
      <w:lvlJc w:val="left"/>
      <w:lvlText w:val="(%2)"/>
      <w:numFmt w:val="lowerLetter"/>
      <w:start w:val="1"/>
    </w:lvl>
    <w:lvl w:ilvl="2">
      <w:lvlJc w:val="left"/>
      <w:lvlText w:val="-"/>
      <w:numFmt w:val="bullet"/>
      <w:start w:val="1"/>
    </w:lvl>
  </w:abstractNum>
  <w:abstractNum w:abstractNumId="166">
    <w:nsid w:val="257D63F4"/>
    <w:multiLevelType w:val="hybridMultilevel"/>
    <w:lvl w:ilvl="0">
      <w:lvlJc w:val="left"/>
      <w:lvlText w:val="%1"/>
      <w:numFmt w:val="lowerRoman"/>
      <w:start w:val="1"/>
    </w:lvl>
    <w:lvl w:ilvl="1">
      <w:lvlJc w:val="left"/>
      <w:lvlText w:val="(%2)"/>
      <w:numFmt w:val="lowerLetter"/>
      <w:start w:val="2"/>
    </w:lvl>
    <w:lvl w:ilvl="2">
      <w:lvlJc w:val="left"/>
      <w:lvlText w:val="-"/>
      <w:numFmt w:val="bullet"/>
      <w:start w:val="1"/>
    </w:lvl>
  </w:abstractNum>
  <w:abstractNum w:abstractNumId="167">
    <w:nsid w:val="70EC11B2"/>
    <w:multiLevelType w:val="hybridMultilevel"/>
    <w:lvl w:ilvl="0">
      <w:lvlJc w:val="left"/>
      <w:lvlText w:val="(%1)"/>
      <w:numFmt w:val="lowerRoman"/>
      <w:start w:val="2"/>
    </w:lvl>
    <w:lvl w:ilvl="1">
      <w:lvlJc w:val="left"/>
      <w:lvlText w:val="%2"/>
      <w:numFmt w:val="lowerLetter"/>
      <w:start w:val="1"/>
    </w:lvl>
    <w:lvl w:ilvl="2">
      <w:lvlJc w:val="left"/>
      <w:lvlText w:val="-"/>
      <w:numFmt w:val="bullet"/>
      <w:start w:val="1"/>
    </w:lvl>
  </w:abstractNum>
  <w:abstractNum w:abstractNumId="168">
    <w:nsid w:val="2EDA00ED"/>
    <w:multiLevelType w:val="hybridMultilevel"/>
    <w:lvl w:ilvl="0">
      <w:lvlJc w:val="left"/>
      <w:lvlText w:val="(%1)"/>
      <w:numFmt w:val="lowerRoman"/>
      <w:start w:val="4"/>
    </w:lvl>
    <w:lvl w:ilvl="1">
      <w:lvlJc w:val="left"/>
      <w:lvlText w:val="(%2)"/>
      <w:numFmt w:val="lowerLetter"/>
      <w:start w:val="3"/>
    </w:lvl>
    <w:lvl w:ilvl="2">
      <w:lvlJc w:val="left"/>
      <w:lvlText w:val="-"/>
      <w:numFmt w:val="bullet"/>
      <w:start w:val="1"/>
    </w:lvl>
  </w:abstractNum>
  <w:abstractNum w:abstractNumId="169">
    <w:nsid w:val="73209072"/>
    <w:multiLevelType w:val="hybridMultilevel"/>
    <w:lvl w:ilvl="0">
      <w:lvlJc w:val="left"/>
      <w:lvlText w:val="%1"/>
      <w:numFmt w:val="decimal"/>
      <w:start w:val="1"/>
    </w:lvl>
    <w:lvl w:ilvl="1">
      <w:lvlJc w:val="left"/>
      <w:lvlText w:val="(%2)"/>
      <w:numFmt w:val="lowerLetter"/>
      <w:start w:val="4"/>
    </w:lvl>
    <w:lvl w:ilvl="2">
      <w:lvlJc w:val="left"/>
      <w:lvlText w:val="-"/>
      <w:numFmt w:val="bullet"/>
      <w:start w:val="1"/>
    </w:lvl>
  </w:abstractNum>
  <w:abstractNum w:abstractNumId="170">
    <w:nsid w:val="5FB29816"/>
    <w:multiLevelType w:val="hybridMultilevel"/>
    <w:lvl w:ilvl="0">
      <w:lvlJc w:val="left"/>
      <w:lvlText w:val="%1."/>
      <w:numFmt w:val="decimal"/>
      <w:start w:val="7"/>
    </w:lvl>
    <w:lvl w:ilvl="1">
      <w:lvlJc w:val="left"/>
      <w:lvlText w:val="%2"/>
      <w:numFmt w:val="lowerLetter"/>
      <w:start w:val="1"/>
    </w:lvl>
    <w:lvl w:ilvl="2">
      <w:lvlJc w:val="left"/>
      <w:lvlText w:val="-"/>
      <w:numFmt w:val="bullet"/>
      <w:start w:val="1"/>
    </w:lvl>
  </w:abstractNum>
  <w:abstractNum w:abstractNumId="171">
    <w:nsid w:val="3CE732EC"/>
    <w:multiLevelType w:val="hybridMultilevel"/>
    <w:lvl w:ilvl="0">
      <w:lvlJc w:val="left"/>
      <w:lvlText w:val="%1."/>
      <w:numFmt w:val="decimal"/>
      <w:start w:val="9"/>
    </w:lvl>
    <w:lvl w:ilvl="1">
      <w:lvlJc w:val="left"/>
      <w:lvlText w:val="(%2)"/>
      <w:numFmt w:val="lowerLetter"/>
      <w:start w:val="1"/>
    </w:lvl>
    <w:lvl w:ilvl="2">
      <w:lvlJc w:val="left"/>
      <w:lvlText w:val="-"/>
      <w:numFmt w:val="bullet"/>
      <w:start w:val="1"/>
    </w:lvl>
  </w:abstractNum>
  <w:abstractNum w:abstractNumId="172">
    <w:nsid w:val="22F13DF3"/>
    <w:multiLevelType w:val="hybridMultilevel"/>
    <w:lvl w:ilvl="0">
      <w:lvlJc w:val="left"/>
      <w:lvlText w:val="(%1)"/>
      <w:numFmt w:val="lowerLetter"/>
      <w:start w:val="10"/>
    </w:lvl>
  </w:abstractNum>
  <w:abstractNum w:abstractNumId="173">
    <w:nsid w:val="792B8401"/>
    <w:multiLevelType w:val="hybridMultilevel"/>
    <w:lvl w:ilvl="0">
      <w:lvlJc w:val="left"/>
      <w:lvlText w:val="%1."/>
      <w:numFmt w:val="decimal"/>
      <w:start w:val="10"/>
    </w:lvl>
    <w:lvl w:ilvl="1">
      <w:lvlJc w:val="left"/>
      <w:lvlText w:val="-"/>
      <w:numFmt w:val="bullet"/>
      <w:start w:val="1"/>
    </w:lvl>
  </w:abstractNum>
  <w:abstractNum w:abstractNumId="174">
    <w:nsid w:val="FA85F4D"/>
    <w:multiLevelType w:val="hybridMultilevel"/>
    <w:lvl w:ilvl="0">
      <w:lvlJc w:val="left"/>
      <w:lvlText w:val="%1."/>
      <w:numFmt w:val="decimal"/>
      <w:start w:val="11"/>
    </w:lvl>
  </w:abstractNum>
  <w:abstractNum w:abstractNumId="175">
    <w:nsid w:val="6ECE91F0"/>
    <w:multiLevelType w:val="hybridMultilevel"/>
    <w:lvl w:ilvl="0">
      <w:lvlJc w:val="left"/>
      <w:lvlText w:val="%1."/>
      <w:numFmt w:val="decimal"/>
      <w:start w:val="12"/>
    </w:lvl>
    <w:lvl w:ilvl="1">
      <w:lvlJc w:val="left"/>
      <w:lvlText w:val="-"/>
      <w:numFmt w:val="bullet"/>
      <w:start w:val="1"/>
    </w:lvl>
  </w:abstractNum>
  <w:abstractNum w:abstractNumId="176">
    <w:nsid w:val="4FC4D600"/>
    <w:multiLevelType w:val="hybridMultilevel"/>
    <w:lvl w:ilvl="0">
      <w:lvlJc w:val="left"/>
      <w:lvlText w:val="%1."/>
      <w:numFmt w:val="decimal"/>
      <w:start w:val="13"/>
    </w:lvl>
    <w:lvl w:ilvl="1">
      <w:lvlJc w:val="left"/>
      <w:lvlText w:val="-"/>
      <w:numFmt w:val="bullet"/>
      <w:start w:val="1"/>
    </w:lvl>
  </w:abstractNum>
  <w:abstractNum w:abstractNumId="177">
    <w:nsid w:val="5BFD4210"/>
    <w:multiLevelType w:val="hybridMultilevel"/>
    <w:lvl w:ilvl="0">
      <w:lvlJc w:val="left"/>
      <w:lvlText w:val="%1."/>
      <w:numFmt w:val="decimal"/>
      <w:start w:val="19"/>
    </w:lvl>
    <w:lvl w:ilvl="1">
      <w:lvlJc w:val="left"/>
      <w:lvlText w:val="-"/>
      <w:numFmt w:val="bullet"/>
      <w:start w:val="1"/>
    </w:lvl>
  </w:abstractNum>
  <w:abstractNum w:abstractNumId="178">
    <w:nsid w:val="76574F8B"/>
    <w:multiLevelType w:val="hybridMultilevel"/>
    <w:lvl w:ilvl="0">
      <w:lvlJc w:val="left"/>
      <w:lvlText w:val="%1."/>
      <w:numFmt w:val="decimal"/>
      <w:start w:val="26"/>
    </w:lvl>
    <w:lvl w:ilvl="1">
      <w:lvlJc w:val="left"/>
      <w:lvlText w:val="-"/>
      <w:numFmt w:val="bullet"/>
      <w:start w:val="1"/>
    </w:lvl>
  </w:abstractNum>
  <w:abstractNum w:abstractNumId="179">
    <w:nsid w:val="178F7B67"/>
    <w:multiLevelType w:val="hybridMultilevel"/>
    <w:lvl w:ilvl="0">
      <w:lvlJc w:val="left"/>
      <w:lvlText w:val="%1."/>
      <w:numFmt w:val="decimal"/>
      <w:start w:val="2"/>
    </w:lvl>
    <w:lvl w:ilvl="1">
      <w:lvlJc w:val="left"/>
      <w:lvlText w:val="-"/>
      <w:numFmt w:val="bullet"/>
      <w:start w:val="1"/>
    </w:lvl>
  </w:abstractNum>
  <w:abstractNum w:abstractNumId="180">
    <w:nsid w:val="2421DFCF"/>
    <w:multiLevelType w:val="hybridMultilevel"/>
    <w:lvl w:ilvl="0">
      <w:lvlJc w:val="left"/>
      <w:lvlText w:val="%1."/>
      <w:numFmt w:val="decimal"/>
      <w:start w:val="6"/>
    </w:lvl>
  </w:abstractNum>
  <w:abstractNum w:abstractNumId="181">
    <w:nsid w:val="1565AC99"/>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182">
    <w:nsid w:val="19FB2650"/>
    <w:multiLevelType w:val="hybridMultilevel"/>
    <w:lvl w:ilvl="0">
      <w:lvlJc w:val="left"/>
      <w:lvlText w:val="(%1)"/>
      <w:numFmt w:val="decimal"/>
      <w:start w:val="6"/>
    </w:lvl>
    <w:lvl w:ilvl="1">
      <w:lvlJc w:val="left"/>
      <w:lvlText w:val="%2"/>
      <w:numFmt w:val="decimal"/>
      <w:start w:val="1"/>
    </w:lvl>
    <w:lvl w:ilvl="2">
      <w:lvlJc w:val="left"/>
      <w:lvlText w:val="%3"/>
      <w:numFmt w:val="lowerLetter"/>
      <w:start w:val="1"/>
    </w:lvl>
  </w:abstractNum>
  <w:abstractNum w:abstractNumId="183">
    <w:nsid w:val="5024DE5B"/>
    <w:multiLevelType w:val="hybridMultilevel"/>
    <w:lvl w:ilvl="0">
      <w:lvlJc w:val="left"/>
      <w:lvlText w:val="(%1)"/>
      <w:numFmt w:val="decimal"/>
      <w:start w:val="1"/>
    </w:lvl>
    <w:lvl w:ilvl="1">
      <w:lvlJc w:val="left"/>
      <w:lvlText w:val="%2."/>
      <w:numFmt w:val="decimal"/>
      <w:start w:val="4"/>
    </w:lvl>
    <w:lvl w:ilvl="2">
      <w:lvlJc w:val="left"/>
      <w:lvlText w:val="(%3)"/>
      <w:numFmt w:val="lowerLetter"/>
      <w:start w:val="3"/>
    </w:lvl>
  </w:abstractNum>
  <w:abstractNum w:abstractNumId="184">
    <w:nsid w:val="168EFE17"/>
    <w:multiLevelType w:val="hybridMultilevel"/>
    <w:lvl w:ilvl="0">
      <w:lvlJc w:val="left"/>
      <w:lvlText w:val="%1"/>
      <w:numFmt w:val="lowerLetter"/>
      <w:start w:val="1"/>
    </w:lvl>
    <w:lvl w:ilvl="1">
      <w:lvlJc w:val="left"/>
      <w:lvlText w:val="%2."/>
      <w:numFmt w:val="decimal"/>
      <w:start w:val="8"/>
    </w:lvl>
    <w:lvl w:ilvl="2">
      <w:lvlJc w:val="left"/>
      <w:lvlText w:val="(%3)"/>
      <w:numFmt w:val="lowerLetter"/>
      <w:start w:val="1"/>
    </w:lvl>
  </w:abstractNum>
  <w:abstractNum w:abstractNumId="185">
    <w:nsid w:val="1036B29F"/>
    <w:multiLevelType w:val="hybridMultilevel"/>
    <w:lvl w:ilvl="0">
      <w:lvlJc w:val="left"/>
      <w:lvlText w:val="(%1)"/>
      <w:numFmt w:val="lowerLetter"/>
      <w:start w:val="61"/>
    </w:lvl>
    <w:lvl w:ilvl="1">
      <w:lvlJc w:val="left"/>
      <w:lvlText w:val="%2"/>
      <w:numFmt w:val="decimal"/>
      <w:start w:val="1"/>
    </w:lvl>
    <w:lvl w:ilvl="2">
      <w:lvlJc w:val="left"/>
      <w:lvlText w:val="(%3)"/>
      <w:numFmt w:val="lowerLetter"/>
      <w:start w:val="2"/>
    </w:lvl>
  </w:abstractNum>
  <w:abstractNum w:abstractNumId="186">
    <w:nsid w:val="1D206B8E"/>
    <w:multiLevelType w:val="hybridMultilevel"/>
    <w:lvl w:ilvl="0">
      <w:lvlJc w:val="left"/>
      <w:lvlText w:val="(%1)"/>
      <w:numFmt w:val="lowerRoman"/>
      <w:start w:val="4"/>
    </w:lvl>
    <w:lvl w:ilvl="1">
      <w:lvlJc w:val="left"/>
      <w:lvlText w:val="%2."/>
      <w:numFmt w:val="decimal"/>
      <w:start w:val="9"/>
    </w:lvl>
  </w:abstractNum>
  <w:abstractNum w:abstractNumId="187">
    <w:nsid w:val="7934D3D4"/>
    <w:multiLevelType w:val="hybridMultilevel"/>
    <w:lvl w:ilvl="0">
      <w:lvlJc w:val="left"/>
      <w:lvlText w:val="%1."/>
      <w:numFmt w:val="decimal"/>
      <w:start w:val="11"/>
    </w:lvl>
    <w:lvl w:ilvl="1">
      <w:lvlJc w:val="left"/>
      <w:lvlText w:val="(%2)"/>
      <w:numFmt w:val="lowerLetter"/>
      <w:start w:val="1"/>
    </w:lvl>
  </w:abstractNum>
  <w:abstractNum w:abstractNumId="188">
    <w:nsid w:val="1C65E98"/>
    <w:multiLevelType w:val="hybridMultilevel"/>
    <w:lvl w:ilvl="0">
      <w:lvlJc w:val="left"/>
      <w:lvlText w:val="%1"/>
      <w:numFmt w:val="decimal"/>
      <w:start w:val="1"/>
    </w:lvl>
    <w:lvl w:ilvl="1">
      <w:lvlJc w:val="left"/>
      <w:lvlText w:val="(%2)"/>
      <w:numFmt w:val="lowerLetter"/>
      <w:start w:val="8"/>
    </w:lvl>
    <w:lvl w:ilvl="2">
      <w:lvlJc w:val="left"/>
      <w:lvlText w:val="(%3)"/>
      <w:numFmt w:val="lowerRoman"/>
      <w:start w:val="1"/>
    </w:lvl>
  </w:abstractNum>
  <w:abstractNum w:abstractNumId="189">
    <w:nsid w:val="1495E50A"/>
    <w:multiLevelType w:val="hybridMultilevel"/>
    <w:lvl w:ilvl="0">
      <w:lvlJc w:val="left"/>
      <w:lvlText w:val="%1."/>
      <w:numFmt w:val="decimal"/>
      <w:start w:val="13"/>
    </w:lvl>
    <w:lvl w:ilvl="1">
      <w:lvlJc w:val="left"/>
      <w:lvlText w:val="%2"/>
      <w:numFmt w:val="lowerLetter"/>
      <w:start w:val="1"/>
    </w:lvl>
    <w:lvl w:ilvl="2">
      <w:lvlJc w:val="left"/>
      <w:lvlText w:val="%3"/>
      <w:numFmt w:val="lowerRoman"/>
      <w:start w:val="1"/>
    </w:lvl>
  </w:abstractNum>
  <w:abstractNum w:abstractNumId="190">
    <w:nsid w:val="F5BCF61"/>
    <w:multiLevelType w:val="hybridMultilevel"/>
    <w:lvl w:ilvl="0">
      <w:lvlJc w:val="left"/>
      <w:lvlText w:val="%1."/>
      <w:numFmt w:val="decimal"/>
      <w:start w:val="15"/>
    </w:lvl>
  </w:abstractNum>
  <w:abstractNum w:abstractNumId="191">
    <w:nsid w:val="3B1DD403"/>
    <w:multiLevelType w:val="hybridMultilevel"/>
    <w:lvl w:ilvl="0">
      <w:lvlJc w:val="left"/>
      <w:lvlText w:val="%1."/>
      <w:numFmt w:val="decimal"/>
      <w:start w:val="17"/>
    </w:lvl>
  </w:abstractNum>
  <w:abstractNum w:abstractNumId="192">
    <w:nsid w:val="530386D1"/>
    <w:multiLevelType w:val="hybridMultilevel"/>
    <w:lvl w:ilvl="0">
      <w:lvlJc w:val="left"/>
      <w:lvlText w:val="%1."/>
      <w:numFmt w:val="decimal"/>
      <w:start w:val="22"/>
    </w:lvl>
  </w:abstractNum>
  <w:abstractNum w:abstractNumId="193">
    <w:nsid w:val="7525F2BC"/>
    <w:multiLevelType w:val="hybridMultilevel"/>
    <w:lvl w:ilvl="0">
      <w:lvlJc w:val="left"/>
      <w:lvlText w:val="(%1)"/>
      <w:numFmt w:val="lowerLetter"/>
      <w:start w:val="1"/>
    </w:lvl>
  </w:abstractNum>
  <w:abstractNum w:abstractNumId="194">
    <w:nsid w:val="CE8E1A7"/>
    <w:multiLevelType w:val="hybridMultilevel"/>
    <w:lvl w:ilvl="0">
      <w:lvlJc w:val="left"/>
      <w:lvlText w:val="(%1)"/>
      <w:numFmt w:val="lowerLetter"/>
      <w:start w:val="3"/>
    </w:lvl>
  </w:abstractNum>
  <w:abstractNum w:abstractNumId="195">
    <w:nsid w:val="4E9EFB0D"/>
    <w:multiLevelType w:val="hybridMultilevel"/>
    <w:lvl w:ilvl="0">
      <w:lvlJc w:val="left"/>
      <w:lvlText w:val="%1."/>
      <w:numFmt w:val="decimal"/>
      <w:start w:val="1"/>
    </w:lvl>
  </w:abstractNum>
  <w:abstractNum w:abstractNumId="196">
    <w:nsid w:val="90802BE"/>
    <w:multiLevelType w:val="hybridMultilevel"/>
    <w:lvl w:ilvl="0">
      <w:lvlJc w:val="left"/>
      <w:lvlText w:val="(%1)"/>
      <w:numFmt w:val="lowerLetter"/>
      <w:start w:val="1"/>
    </w:lvl>
  </w:abstractNum>
  <w:abstractNum w:abstractNumId="197">
    <w:nsid w:val="3266459B"/>
    <w:multiLevelType w:val="hybridMultilevel"/>
    <w:lvl w:ilvl="0">
      <w:lvlJc w:val="left"/>
      <w:lvlText w:val="%1."/>
      <w:numFmt w:val="decimal"/>
      <w:start w:val="2"/>
    </w:lvl>
  </w:abstractNum>
  <w:abstractNum w:abstractNumId="198">
    <w:nsid w:val="3F8B0CBF"/>
    <w:multiLevelType w:val="hybridMultilevel"/>
    <w:lvl w:ilvl="0">
      <w:lvlJc w:val="left"/>
      <w:lvlText w:val="(%1)"/>
      <w:numFmt w:val="lowerLetter"/>
      <w:start w:val="1"/>
    </w:lvl>
  </w:abstractNum>
  <w:abstractNum w:abstractNumId="199">
    <w:nsid w:val="37E203AB"/>
    <w:multiLevelType w:val="hybridMultilevel"/>
    <w:lvl w:ilvl="0">
      <w:lvlJc w:val="left"/>
      <w:lvlText w:val="(%1)"/>
      <w:numFmt w:val="lowerLetter"/>
      <w:start w:val="7"/>
    </w:lvl>
  </w:abstractNum>
  <w:abstractNum w:abstractNumId="200">
    <w:nsid w:val="2586D60E"/>
    <w:multiLevelType w:val="hybridMultilevel"/>
    <w:lvl w:ilvl="0">
      <w:lvlJc w:val="left"/>
      <w:lvlText w:val="%1."/>
      <w:numFmt w:val="decimal"/>
      <w:start w:val="1"/>
    </w:lvl>
  </w:abstractNum>
  <w:abstractNum w:abstractNumId="201">
    <w:nsid w:val="1F3DA4D5"/>
    <w:multiLevelType w:val="hybridMultilevel"/>
    <w:lvl w:ilvl="0">
      <w:lvlJc w:val="left"/>
      <w:lvlText w:val="(%1)"/>
      <w:numFmt w:val="lowerRoman"/>
      <w:start w:val="2"/>
    </w:lvl>
  </w:abstractNum>
  <w:abstractNum w:abstractNumId="202">
    <w:nsid w:val="74C93698"/>
    <w:multiLevelType w:val="hybridMultilevel"/>
    <w:lvl w:ilvl="0">
      <w:lvlJc w:val="left"/>
      <w:lvlText w:val="(%1)"/>
      <w:numFmt w:val="lowerLetter"/>
      <w:start w:val="1"/>
    </w:lvl>
  </w:abstractNum>
  <w:abstractNum w:abstractNumId="203">
    <w:nsid w:val="48781401"/>
    <w:multiLevelType w:val="hybridMultilevel"/>
    <w:lvl w:ilvl="0">
      <w:lvlJc w:val="left"/>
      <w:lvlText w:val="%1."/>
      <w:numFmt w:val="decimal"/>
      <w:start w:val="2"/>
    </w:lvl>
  </w:abstractNum>
  <w:abstractNum w:abstractNumId="204">
    <w:nsid w:val="186928D6"/>
    <w:multiLevelType w:val="hybridMultilevel"/>
    <w:lvl w:ilvl="0">
      <w:lvlJc w:val="left"/>
      <w:lvlText w:val="(%1)"/>
      <w:numFmt w:val="lowerLetter"/>
      <w:start w:val="1"/>
    </w:lvl>
  </w:abstractNum>
  <w:abstractNum w:abstractNumId="205">
    <w:nsid w:val="47195E5"/>
    <w:multiLevelType w:val="hybridMultilevel"/>
    <w:lvl w:ilvl="0">
      <w:lvlJc w:val="left"/>
      <w:lvlText w:val="1"/>
      <w:numFmt w:val="bullet"/>
      <w:start w:val="1"/>
    </w:lvl>
  </w:abstractNum>
  <w:abstractNum w:abstractNumId="206">
    <w:nsid w:val="3746A5F2"/>
    <w:multiLevelType w:val="hybridMultilevel"/>
    <w:lvl w:ilvl="0">
      <w:lvlJc w:val="left"/>
      <w:lvlText w:val="(%1)"/>
      <w:numFmt w:val="lowerLetter"/>
      <w:start w:val="9"/>
    </w:lvl>
  </w:abstractNum>
  <w:abstractNum w:abstractNumId="207">
    <w:nsid w:val="682DFED6"/>
    <w:multiLevelType w:val="hybridMultilevel"/>
    <w:lvl w:ilvl="0">
      <w:lvlJc w:val="left"/>
      <w:lvlText w:val="%1."/>
      <w:numFmt w:val="decimal"/>
      <w:start w:val="3"/>
    </w:lvl>
  </w:abstractNum>
  <w:abstractNum w:abstractNumId="208">
    <w:nsid w:val="606ED7F6"/>
    <w:multiLevelType w:val="hybridMultilevel"/>
    <w:lvl w:ilvl="0">
      <w:lvlJc w:val="left"/>
      <w:lvlText w:val="%1."/>
      <w:numFmt w:val="decimal"/>
      <w:start w:val="4"/>
    </w:lvl>
  </w:abstractNum>
  <w:abstractNum w:abstractNumId="209">
    <w:nsid w:val="2D9DF57D"/>
    <w:multiLevelType w:val="hybridMultilevel"/>
    <w:lvl w:ilvl="0">
      <w:lvlJc w:val="left"/>
      <w:lvlText w:val="%1."/>
      <w:numFmt w:val="decimal"/>
      <w:start w:val="5"/>
    </w:lvl>
  </w:abstractNum>
  <w:abstractNum w:abstractNumId="210">
    <w:nsid w:val="7FBD7A3E"/>
    <w:multiLevelType w:val="hybridMultilevel"/>
    <w:lvl w:ilvl="0">
      <w:lvlJc w:val="left"/>
      <w:lvlText w:val="%1."/>
      <w:numFmt w:val="decimal"/>
      <w:start w:val="6"/>
    </w:lvl>
  </w:abstractNum>
  <w:abstractNum w:abstractNumId="211">
    <w:nsid w:val="490B7C5"/>
    <w:multiLevelType w:val="hybridMultilevel"/>
    <w:lvl w:ilvl="0">
      <w:lvlJc w:val="left"/>
      <w:lvlText w:val="%1."/>
      <w:numFmt w:val="decimal"/>
      <w:start w:val="1"/>
    </w:lvl>
  </w:abstractNum>
  <w:abstractNum w:abstractNumId="212">
    <w:nsid w:val="4303A216"/>
    <w:multiLevelType w:val="hybridMultilevel"/>
    <w:lvl w:ilvl="0">
      <w:lvlJc w:val="left"/>
      <w:lvlText w:val="(%1)"/>
      <w:numFmt w:val="lowerLetter"/>
      <w:start w:val="1"/>
    </w:lvl>
  </w:abstractNum>
  <w:abstractNum w:abstractNumId="213">
    <w:nsid w:val="19B8A08E"/>
    <w:multiLevelType w:val="hybridMultilevel"/>
    <w:lvl w:ilvl="0">
      <w:lvlJc w:val="left"/>
      <w:lvlText w:val="%1."/>
      <w:numFmt w:val="decimal"/>
      <w:start w:val="2"/>
    </w:lvl>
    <w:lvl w:ilvl="1">
      <w:lvlJc w:val="left"/>
      <w:lvlText w:val="(%2)"/>
      <w:numFmt w:val="lowerLetter"/>
      <w:start w:val="1"/>
    </w:lvl>
  </w:abstractNum>
  <w:abstractNum w:abstractNumId="214">
    <w:nsid w:val="54B59621"/>
    <w:multiLevelType w:val="hybridMultilevel"/>
    <w:lvl w:ilvl="0">
      <w:lvlJc w:val="left"/>
      <w:lvlText w:val="%1"/>
      <w:numFmt w:val="decimal"/>
      <w:start w:val="1"/>
    </w:lvl>
    <w:lvl w:ilvl="1">
      <w:lvlJc w:val="left"/>
      <w:lvlText w:val="(%2)"/>
      <w:numFmt w:val="lowerLetter"/>
      <w:start w:val="9"/>
    </w:lvl>
  </w:abstractNum>
  <w:abstractNum w:abstractNumId="215">
    <w:nsid w:val="5992A02E"/>
    <w:multiLevelType w:val="hybridMultilevel"/>
    <w:lvl w:ilvl="0">
      <w:lvlJc w:val="left"/>
      <w:lvlText w:val="%1."/>
      <w:numFmt w:val="decimal"/>
      <w:start w:val="3"/>
    </w:lvl>
    <w:lvl w:ilvl="1">
      <w:lvlJc w:val="left"/>
      <w:lvlText w:val="%2"/>
      <w:numFmt w:val="lowerLetter"/>
      <w:start w:val="1"/>
    </w:lvl>
  </w:abstractNum>
  <w:abstractNum w:abstractNumId="216">
    <w:nsid w:val="29EF532D"/>
    <w:multiLevelType w:val="hybridMultilevel"/>
    <w:lvl w:ilvl="0">
      <w:lvlJc w:val="left"/>
      <w:lvlText w:val="%1."/>
      <w:numFmt w:val="decimal"/>
      <w:start w:val="4"/>
    </w:lvl>
  </w:abstractNum>
  <w:abstractNum w:abstractNumId="217">
    <w:nsid w:val="71D601AF"/>
    <w:multiLevelType w:val="hybridMultilevel"/>
    <w:lvl w:ilvl="0">
      <w:lvlJc w:val="left"/>
      <w:lvlText w:val="%1."/>
      <w:numFmt w:val="decimal"/>
      <w:start w:val="5"/>
    </w:lvl>
  </w:abstractNum>
  <w:abstractNum w:abstractNumId="218">
    <w:nsid w:val="52C77402"/>
    <w:multiLevelType w:val="hybridMultilevel"/>
    <w:lvl w:ilvl="0">
      <w:lvlJc w:val="left"/>
      <w:lvlText w:val="%1."/>
      <w:numFmt w:val="decimal"/>
      <w:start w:val="6"/>
    </w:lvl>
  </w:abstractNum>
  <w:abstractNum w:abstractNumId="219">
    <w:nsid w:val="2BB5B1C6"/>
    <w:multiLevelType w:val="hybridMultilevel"/>
    <w:lvl w:ilvl="0">
      <w:lvlJc w:val="left"/>
      <w:lvlText w:val="•"/>
      <w:numFmt w:val="bullet"/>
      <w:start w:val="1"/>
    </w:lvl>
  </w:abstractNum>
  <w:abstractNum w:abstractNumId="220">
    <w:nsid w:val="66BE6B9"/>
    <w:multiLevelType w:val="hybridMultilevel"/>
    <w:lvl w:ilvl="0">
      <w:lvlJc w:val="left"/>
      <w:lvlText w:val="•"/>
      <w:numFmt w:val="bullet"/>
      <w:start w:val="1"/>
    </w:lvl>
  </w:abstractNum>
  <w:abstractNum w:abstractNumId="221">
    <w:nsid w:val="62234363"/>
    <w:multiLevelType w:val="hybridMultilevel"/>
    <w:lvl w:ilvl="0">
      <w:lvlJc w:val="left"/>
      <w:lvlText w:val="%1."/>
      <w:numFmt w:val="decimal"/>
      <w:start w:val="1"/>
    </w:lvl>
  </w:abstractNum>
  <w:abstractNum w:abstractNumId="222">
    <w:nsid w:val="66D385C9"/>
    <w:multiLevelType w:val="hybridMultilevel"/>
    <w:lvl w:ilvl="0">
      <w:lvlJc w:val="left"/>
      <w:lvlText w:val="%1."/>
      <w:numFmt w:val="decimal"/>
      <w:start w:val="2"/>
    </w:lvl>
  </w:abstractNum>
  <w:abstractNum w:abstractNumId="223">
    <w:nsid w:val="596F6D8A"/>
    <w:multiLevelType w:val="hybridMultilevel"/>
    <w:lvl w:ilvl="0">
      <w:lvlJc w:val="left"/>
      <w:lvlText w:val="(%1)"/>
      <w:numFmt w:val="lowerRoman"/>
      <w:start w:val="1"/>
    </w:lvl>
  </w:abstractNum>
  <w:abstractNum w:abstractNumId="224">
    <w:nsid w:val="5749361F"/>
    <w:multiLevelType w:val="hybridMultilevel"/>
    <w:lvl w:ilvl="0">
      <w:lvlJc w:val="left"/>
      <w:lvlText w:val="%1."/>
      <w:numFmt w:val="decimal"/>
      <w:start w:val="3"/>
    </w:lvl>
  </w:abstractNum>
  <w:abstractNum w:abstractNumId="225">
    <w:nsid w:val="73BC6770"/>
    <w:multiLevelType w:val="hybridMultilevel"/>
    <w:lvl w:ilvl="0">
      <w:lvlJc w:val="left"/>
      <w:lvlText w:val="%1."/>
      <w:numFmt w:val="decimal"/>
      <w:start w:val="4"/>
    </w:lvl>
  </w:abstractNum>
  <w:abstractNum w:abstractNumId="226">
    <w:nsid w:val="280E6897"/>
    <w:multiLevelType w:val="hybridMultilevel"/>
    <w:lvl w:ilvl="0">
      <w:lvlJc w:val="left"/>
      <w:lvlText w:val="%1."/>
      <w:numFmt w:val="decimal"/>
      <w:start w:val="5"/>
    </w:lvl>
  </w:abstractNum>
  <w:abstractNum w:abstractNumId="227">
    <w:nsid w:val="605138DE"/>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9"/>
    </w:lvl>
  </w:abstractNum>
  <w:abstractNum w:abstractNumId="228">
    <w:nsid w:val="2622AD0C"/>
    <w:multiLevelType w:val="hybridMultilevel"/>
    <w:lvl w:ilvl="0">
      <w:lvlJc w:val="left"/>
      <w:lvlText w:val="(%1)"/>
      <w:numFmt w:val="lowerRoman"/>
      <w:start w:val="2"/>
    </w:lvl>
  </w:abstractNum>
  <w:abstractNum w:abstractNumId="229">
    <w:nsid w:val="67997556"/>
    <w:multiLevelType w:val="hybridMultilevel"/>
    <w:lvl w:ilvl="0">
      <w:lvlJc w:val="left"/>
      <w:lvlText w:val="(%1)"/>
      <w:numFmt w:val="lowerRoman"/>
      <w:start w:val="2"/>
    </w:lvl>
    <w:lvl w:ilvl="1">
      <w:lvlJc w:val="left"/>
      <w:lvlText w:val="-"/>
      <w:numFmt w:val="bullet"/>
      <w:start w:val="1"/>
    </w:lvl>
  </w:abstractNum>
  <w:abstractNum w:abstractNumId="230">
    <w:nsid w:val="18333C89"/>
    <w:multiLevelType w:val="hybridMultilevel"/>
    <w:lvl w:ilvl="0">
      <w:lvlJc w:val="left"/>
      <w:lvlText w:val="(%1)"/>
      <w:numFmt w:val="lowerLetter"/>
      <w:start w:val="6"/>
    </w:lvl>
    <w:lvl w:ilvl="1">
      <w:lvlJc w:val="left"/>
      <w:lvlText w:val="-"/>
      <w:numFmt w:val="bullet"/>
      <w:start w:val="1"/>
    </w:lvl>
  </w:abstractNum>
  <w:abstractNum w:abstractNumId="231">
    <w:nsid w:val="4BA9831A"/>
    <w:multiLevelType w:val="hybridMultilevel"/>
    <w:lvl w:ilvl="0">
      <w:lvlJc w:val="left"/>
      <w:lvlText w:val="(%1)"/>
      <w:numFmt w:val="lowerLetter"/>
      <w:start w:val="15"/>
    </w:lvl>
    <w:lvl w:ilvl="1">
      <w:lvlJc w:val="left"/>
      <w:lvlText w:val="(%2)"/>
      <w:numFmt w:val="lowerLetter"/>
      <w:start w:val="9"/>
    </w:lvl>
  </w:abstractNum>
  <w:abstractNum w:abstractNumId="232">
    <w:nsid w:val="6D71A2B"/>
    <w:multiLevelType w:val="hybridMultilevel"/>
    <w:lvl w:ilvl="0">
      <w:lvlJc w:val="left"/>
      <w:lvlText w:val="%1"/>
      <w:numFmt w:val="lowerLetter"/>
      <w:start w:val="1"/>
    </w:lvl>
    <w:lvl w:ilvl="1">
      <w:lvlJc w:val="left"/>
      <w:lvlText w:val="(%2)"/>
      <w:numFmt w:val="lowerLetter"/>
      <w:start w:val="35"/>
    </w:lvl>
    <w:lvl w:ilvl="2">
      <w:lvlJc w:val="left"/>
      <w:lvlText w:val="-"/>
      <w:numFmt w:val="bullet"/>
      <w:start w:val="1"/>
    </w:lvl>
  </w:abstractNum>
  <w:abstractNum w:abstractNumId="233">
    <w:nsid w:val="CFC7321"/>
    <w:multiLevelType w:val="hybridMultilevel"/>
    <w:lvl w:ilvl="0">
      <w:lvlJc w:val="left"/>
      <w:lvlText w:val="(%1)"/>
      <w:numFmt w:val="lowerLetter"/>
      <w:start w:val="20"/>
    </w:lvl>
    <w:lvl w:ilvl="1">
      <w:lvlJc w:val="left"/>
      <w:lvlText w:val="%2"/>
      <w:numFmt w:val="lowerLetter"/>
      <w:start w:val="1"/>
    </w:lvl>
    <w:lvl w:ilvl="2">
      <w:lvlJc w:val="left"/>
      <w:lvlText w:val="-"/>
      <w:numFmt w:val="bullet"/>
      <w:start w:val="1"/>
    </w:lvl>
  </w:abstractNum>
  <w:abstractNum w:abstractNumId="234">
    <w:nsid w:val="1421971B"/>
    <w:multiLevelType w:val="hybridMultilevel"/>
    <w:lvl w:ilvl="0">
      <w:lvlJc w:val="left"/>
      <w:lvlText w:val="(%1)"/>
      <w:numFmt w:val="lowerLetter"/>
      <w:start w:val="21"/>
    </w:lvl>
  </w:abstractNum>
  <w:abstractNum w:abstractNumId="235">
    <w:nsid w:val="1F404301"/>
    <w:multiLevelType w:val="hybridMultilevel"/>
    <w:lvl w:ilvl="0">
      <w:lvlJc w:val="left"/>
      <w:lvlText w:val="(%1)"/>
      <w:numFmt w:val="lowerLetter"/>
      <w:start w:val="27"/>
    </w:lvl>
    <w:lvl w:ilvl="1">
      <w:lvlJc w:val="left"/>
      <w:lvlText w:val="-"/>
      <w:numFmt w:val="bullet"/>
      <w:start w:val="1"/>
    </w:lvl>
  </w:abstractNum>
  <w:abstractNum w:abstractNumId="236">
    <w:nsid w:val="116E0907"/>
    <w:multiLevelType w:val="hybridMultilevel"/>
    <w:lvl w:ilvl="0">
      <w:lvlJc w:val="left"/>
      <w:lvlText w:val="%1"/>
      <w:numFmt w:val="decimal"/>
      <w:start w:val="1"/>
    </w:lvl>
    <w:lvl w:ilvl="1">
      <w:lvlJc w:val="left"/>
      <w:lvlText w:val="%2"/>
      <w:numFmt w:val="decimal"/>
      <w:start w:val="1"/>
    </w:lvl>
    <w:lvl w:ilvl="2">
      <w:lvlJc w:val="left"/>
      <w:lvlText w:val="(%3)"/>
      <w:numFmt w:val="lowerLetter"/>
      <w:start w:val="31"/>
    </w:lvl>
    <w:lvl w:ilvl="3">
      <w:lvlJc w:val="left"/>
      <w:lvlText w:val="-"/>
      <w:numFmt w:val="bullet"/>
      <w:start w:val="1"/>
    </w:lvl>
  </w:abstractNum>
  <w:abstractNum w:abstractNumId="237">
    <w:nsid w:val="4B683D0D"/>
    <w:multiLevelType w:val="hybridMultilevel"/>
    <w:lvl w:ilvl="0">
      <w:lvlJc w:val="left"/>
      <w:lvlText w:val="%1"/>
      <w:numFmt w:val="decimal"/>
      <w:start w:val="1"/>
    </w:lvl>
    <w:lvl w:ilvl="1">
      <w:lvlJc w:val="left"/>
      <w:lvlText w:val="%2."/>
      <w:numFmt w:val="decimal"/>
      <w:start w:val="3"/>
    </w:lvl>
    <w:lvl w:ilvl="2">
      <w:lvlJc w:val="left"/>
      <w:lvlText w:val="(%3)"/>
      <w:numFmt w:val="lowerLetter"/>
      <w:start w:val="1"/>
    </w:lvl>
    <w:lvl w:ilvl="3">
      <w:lvlJc w:val="left"/>
      <w:lvlText w:val="-"/>
      <w:numFmt w:val="bullet"/>
      <w:start w:val="1"/>
    </w:lvl>
  </w:abstractNum>
  <w:abstractNum w:abstractNumId="238">
    <w:nsid w:val="76E41D8"/>
    <w:multiLevelType w:val="hybridMultilevel"/>
    <w:lvl w:ilvl="0">
      <w:lvlJc w:val="left"/>
      <w:lvlText w:val="(%1)"/>
      <w:numFmt w:val="decimal"/>
      <w:start w:val="27"/>
    </w:lvl>
    <w:lvl w:ilvl="1">
      <w:lvlJc w:val="left"/>
      <w:lvlText w:val="%2"/>
      <w:numFmt w:val="decimal"/>
      <w:start w:val="1"/>
    </w:lvl>
    <w:lvl w:ilvl="2">
      <w:lvlJc w:val="left"/>
      <w:lvlText w:val="%3"/>
      <w:numFmt w:val="lowerLetter"/>
      <w:start w:val="1"/>
    </w:lvl>
    <w:lvl w:ilvl="3">
      <w:lvlJc w:val="left"/>
      <w:lvlText w:val="-"/>
      <w:numFmt w:val="bullet"/>
      <w:start w:val="1"/>
    </w:lvl>
  </w:abstractNum>
  <w:abstractNum w:abstractNumId="239">
    <w:nsid w:val="71DCE0FD"/>
    <w:multiLevelType w:val="hybridMultilevel"/>
    <w:lvl w:ilvl="0">
      <w:lvlJc w:val="left"/>
      <w:lvlText w:val="%1"/>
      <w:numFmt w:val="lowerLetter"/>
      <w:start w:val="1"/>
    </w:lvl>
    <w:lvl w:ilvl="1">
      <w:lvlJc w:val="left"/>
      <w:lvlText w:val="%2."/>
      <w:numFmt w:val="decimal"/>
      <w:start w:val="5"/>
    </w:lvl>
    <w:lvl w:ilvl="2">
      <w:lvlJc w:val="left"/>
      <w:lvlText w:val="(%3)"/>
      <w:numFmt w:val="lowerLetter"/>
      <w:start w:val="1"/>
    </w:lvl>
    <w:lvl w:ilvl="3">
      <w:lvlJc w:val="left"/>
      <w:lvlText w:val="-"/>
      <w:numFmt w:val="bullet"/>
      <w:start w:val="1"/>
    </w:lvl>
  </w:abstractNum>
  <w:abstractNum w:abstractNumId="240">
    <w:nsid w:val="7906328B"/>
    <w:multiLevelType w:val="hybridMultilevel"/>
    <w:lvl w:ilvl="0">
      <w:lvlJc w:val="left"/>
      <w:lvlText w:val="(%1)"/>
      <w:numFmt w:val="lowerLetter"/>
      <w:start w:val="61"/>
    </w:lvl>
    <w:lvl w:ilvl="1">
      <w:lvlJc w:val="left"/>
      <w:lvlText w:val="%2"/>
      <w:numFmt w:val="decimal"/>
      <w:start w:val="1"/>
    </w:lvl>
    <w:lvl w:ilvl="2">
      <w:lvlJc w:val="left"/>
      <w:lvlText w:val="(%3)"/>
      <w:numFmt w:val="lowerLetter"/>
      <w:start w:val="7"/>
    </w:lvl>
    <w:lvl w:ilvl="3">
      <w:lvlJc w:val="left"/>
      <w:lvlText w:val="-"/>
      <w:numFmt w:val="bullet"/>
      <w:start w:val="1"/>
    </w:lvl>
  </w:abstractNum>
  <w:abstractNum w:abstractNumId="241">
    <w:nsid w:val="72BBC16"/>
    <w:multiLevelType w:val="hybridMultilevel"/>
    <w:lvl w:ilvl="0">
      <w:lvlJc w:val="left"/>
      <w:lvlText w:val="%1"/>
      <w:numFmt w:val="lowerLetter"/>
      <w:start w:val="1"/>
    </w:lvl>
    <w:lvl w:ilvl="1">
      <w:lvlJc w:val="left"/>
      <w:lvlText w:val="%2."/>
      <w:numFmt w:val="decimal"/>
      <w:start w:val="7"/>
    </w:lvl>
    <w:lvl w:ilvl="2">
      <w:lvlJc w:val="left"/>
      <w:lvlText w:val="(%3)"/>
      <w:numFmt w:val="lowerLetter"/>
      <w:start w:val="1"/>
    </w:lvl>
    <w:lvl w:ilvl="3">
      <w:lvlJc w:val="left"/>
      <w:lvlText w:val="-"/>
      <w:numFmt w:val="bullet"/>
      <w:start w:val="1"/>
    </w:lvl>
  </w:abstractNum>
  <w:abstractNum w:abstractNumId="242">
    <w:nsid w:val="766D98C2"/>
    <w:multiLevelType w:val="hybridMultilevel"/>
    <w:lvl w:ilvl="0">
      <w:lvlJc w:val="left"/>
      <w:lvlText w:val="(%1)"/>
      <w:numFmt w:val="lowerLetter"/>
      <w:start w:val="9"/>
    </w:lvl>
    <w:lvl w:ilvl="1">
      <w:lvlJc w:val="left"/>
      <w:lvlText w:val="%2"/>
      <w:numFmt w:val="decimal"/>
      <w:start w:val="1"/>
    </w:lvl>
    <w:lvl w:ilvl="2">
      <w:lvlJc w:val="left"/>
      <w:lvlText w:val="%3"/>
      <w:numFmt w:val="lowerLetter"/>
      <w:start w:val="1"/>
    </w:lvl>
    <w:lvl w:ilvl="3">
      <w:lvlJc w:val="left"/>
      <w:lvlText w:val="-"/>
      <w:numFmt w:val="bullet"/>
      <w:start w:val="1"/>
    </w:lvl>
  </w:abstractNum>
  <w:abstractNum w:abstractNumId="243">
    <w:nsid w:val="3C09D4A1"/>
    <w:multiLevelType w:val="hybridMultilevel"/>
    <w:lvl w:ilvl="0">
      <w:lvlJc w:val="left"/>
      <w:lvlText w:val="%1."/>
      <w:numFmt w:val="decimal"/>
      <w:start w:val="9"/>
    </w:lvl>
    <w:lvl w:ilvl="1">
      <w:lvlJc w:val="left"/>
      <w:lvlText w:val="(%2)"/>
      <w:numFmt w:val="lowerLetter"/>
      <w:start w:val="1"/>
    </w:lvl>
    <w:lvl w:ilvl="2">
      <w:lvlJc w:val="left"/>
      <w:lvlText w:val="-"/>
      <w:numFmt w:val="bullet"/>
      <w:start w:val="1"/>
    </w:lvl>
  </w:abstractNum>
  <w:abstractNum w:abstractNumId="244">
    <w:nsid w:val="20E45CA4"/>
    <w:multiLevelType w:val="hybridMultilevel"/>
    <w:lvl w:ilvl="0">
      <w:lvlJc w:val="left"/>
      <w:lvlText w:val="%1."/>
      <w:numFmt w:val="decimal"/>
      <w:start w:val="11"/>
    </w:lvl>
    <w:lvl w:ilvl="1">
      <w:lvlJc w:val="left"/>
      <w:lvlText w:val="(%2)"/>
      <w:numFmt w:val="lowerLetter"/>
      <w:start w:val="1"/>
    </w:lvl>
    <w:lvl w:ilvl="2">
      <w:lvlJc w:val="left"/>
      <w:lvlText w:val="-"/>
      <w:numFmt w:val="bullet"/>
      <w:start w:val="1"/>
    </w:lvl>
  </w:abstractNum>
  <w:abstractNum w:abstractNumId="245">
    <w:nsid w:val="4B232EE3"/>
    <w:multiLevelType w:val="hybridMultilevel"/>
    <w:lvl w:ilvl="0">
      <w:lvlJc w:val="left"/>
      <w:lvlText w:val="%1."/>
      <w:numFmt w:val="decimal"/>
      <w:start w:val="14"/>
    </w:lvl>
    <w:lvl w:ilvl="1">
      <w:lvlJc w:val="left"/>
      <w:lvlText w:val="(%2)"/>
      <w:numFmt w:val="lowerLetter"/>
      <w:start w:val="1"/>
    </w:lvl>
    <w:lvl w:ilvl="2">
      <w:lvlJc w:val="left"/>
      <w:lvlText w:val="-"/>
      <w:numFmt w:val="bullet"/>
      <w:start w:val="1"/>
    </w:lvl>
  </w:abstractNum>
  <w:abstractNum w:abstractNumId="246">
    <w:nsid w:val="159C74CF"/>
    <w:multiLevelType w:val="hybridMultilevel"/>
    <w:lvl w:ilvl="0">
      <w:lvlJc w:val="left"/>
      <w:lvlText w:val="%1"/>
      <w:numFmt w:val="decimal"/>
      <w:start w:val="1"/>
    </w:lvl>
    <w:lvl w:ilvl="1">
      <w:lvlJc w:val="left"/>
      <w:lvlText w:val="(%2)"/>
      <w:numFmt w:val="lowerLetter"/>
      <w:start w:val="3"/>
    </w:lvl>
    <w:lvl w:ilvl="2">
      <w:lvlJc w:val="left"/>
      <w:lvlText w:val="-"/>
      <w:numFmt w:val="bullet"/>
      <w:start w:val="1"/>
    </w:lvl>
  </w:abstractNum>
  <w:abstractNum w:abstractNumId="247">
    <w:nsid w:val="4AD3AFD2"/>
    <w:multiLevelType w:val="hybridMultilevel"/>
    <w:lvl w:ilvl="0">
      <w:lvlJc w:val="left"/>
      <w:lvlText w:val="%1."/>
      <w:numFmt w:val="decimal"/>
      <w:start w:val="16"/>
    </w:lvl>
    <w:lvl w:ilvl="1">
      <w:lvlJc w:val="left"/>
      <w:lvlText w:val="(%2)"/>
      <w:numFmt w:val="lowerLetter"/>
      <w:start w:val="1"/>
    </w:lvl>
    <w:lvl w:ilvl="2">
      <w:lvlJc w:val="left"/>
      <w:lvlText w:val="-"/>
      <w:numFmt w:val="bullet"/>
      <w:start w:val="1"/>
    </w:lvl>
  </w:abstractNum>
  <w:abstractNum w:abstractNumId="248">
    <w:nsid w:val="3CF93092"/>
    <w:multiLevelType w:val="hybridMultilevel"/>
    <w:lvl w:ilvl="0">
      <w:lvlJc w:val="left"/>
      <w:lvlText w:val="%1"/>
      <w:numFmt w:val="decimal"/>
      <w:start w:val="1"/>
    </w:lvl>
    <w:lvl w:ilvl="1">
      <w:lvlJc w:val="left"/>
      <w:lvlText w:val="(%2)"/>
      <w:numFmt w:val="lowerLetter"/>
      <w:start w:val="3"/>
    </w:lvl>
    <w:lvl w:ilvl="2">
      <w:lvlJc w:val="left"/>
      <w:lvlText w:val="-"/>
      <w:numFmt w:val="bullet"/>
      <w:start w:val="1"/>
    </w:lvl>
  </w:abstractNum>
  <w:abstractNum w:abstractNumId="249">
    <w:nsid w:val="6863E8D2"/>
    <w:multiLevelType w:val="hybridMultilevel"/>
    <w:lvl w:ilvl="0">
      <w:lvlJc w:val="left"/>
      <w:lvlText w:val="%1."/>
      <w:numFmt w:val="decimal"/>
      <w:start w:val="20"/>
    </w:lvl>
    <w:lvl w:ilvl="1">
      <w:lvlJc w:val="left"/>
      <w:lvlText w:val="(%2)"/>
      <w:numFmt w:val="lowerLetter"/>
      <w:start w:val="1"/>
    </w:lvl>
    <w:lvl w:ilvl="2">
      <w:lvlJc w:val="left"/>
      <w:lvlText w:val="-"/>
      <w:numFmt w:val="bullet"/>
      <w:start w:val="1"/>
    </w:lvl>
  </w:abstractNum>
  <w:abstractNum w:abstractNumId="250">
    <w:nsid w:val="76896198"/>
    <w:multiLevelType w:val="hybridMultilevel"/>
    <w:lvl w:ilvl="0">
      <w:lvlJc w:val="left"/>
      <w:lvlText w:val="(%1)"/>
      <w:numFmt w:val="lowerLetter"/>
      <w:start w:val="3"/>
    </w:lvl>
    <w:lvl w:ilvl="1">
      <w:lvlJc w:val="left"/>
      <w:lvlText w:val="(%2)"/>
      <w:numFmt w:val="lowerRoman"/>
      <w:start w:val="1"/>
    </w:lvl>
  </w:abstractNum>
  <w:abstractNum w:abstractNumId="251">
    <w:nsid w:val="4365174B"/>
    <w:multiLevelType w:val="hybridMultilevel"/>
    <w:lvl w:ilvl="0">
      <w:lvlJc w:val="left"/>
      <w:lvlText w:val="%1."/>
      <w:numFmt w:val="decimal"/>
      <w:start w:val="21"/>
    </w:lvl>
  </w:abstractNum>
  <w:abstractNum w:abstractNumId="252">
    <w:nsid w:val="4A872C35"/>
    <w:multiLevelType w:val="hybridMultilevel"/>
    <w:lvl w:ilvl="0">
      <w:lvlJc w:val="left"/>
      <w:lvlText w:val="%1."/>
      <w:numFmt w:val="decimal"/>
      <w:start w:val="23"/>
    </w:lvl>
    <w:lvl w:ilvl="1">
      <w:lvlJc w:val="left"/>
      <w:lvlText w:val="-"/>
      <w:numFmt w:val="bullet"/>
      <w:start w:val="1"/>
    </w:lvl>
  </w:abstractNum>
  <w:abstractNum w:abstractNumId="253">
    <w:nsid w:val="5D5CE761"/>
    <w:multiLevelType w:val="hybridMultilevel"/>
    <w:lvl w:ilvl="0">
      <w:lvlJc w:val="left"/>
      <w:lvlText w:val="%1."/>
      <w:numFmt w:val="decimal"/>
      <w:start w:val="24"/>
    </w:lvl>
    <w:lvl w:ilvl="1">
      <w:lvlJc w:val="left"/>
      <w:lvlText w:val="-"/>
      <w:numFmt w:val="bullet"/>
      <w:start w:val="1"/>
    </w:lvl>
  </w:abstractNum>
  <w:abstractNum w:abstractNumId="254">
    <w:nsid w:val="1CD484D5"/>
    <w:multiLevelType w:val="hybridMultilevel"/>
    <w:lvl w:ilvl="0">
      <w:lvlJc w:val="left"/>
      <w:lvlText w:val="%1."/>
      <w:numFmt w:val="decimal"/>
      <w:start w:val="1"/>
    </w:lvl>
  </w:abstractNum>
  <w:abstractNum w:abstractNumId="255">
    <w:nsid w:val="21D06255"/>
    <w:multiLevelType w:val="hybridMultilevel"/>
    <w:lvl w:ilvl="0">
      <w:lvlJc w:val="left"/>
      <w:lvlText w:val="%1."/>
      <w:numFmt w:val="decimal"/>
      <w:start w:val="3"/>
    </w:lvl>
  </w:abstractNum>
  <w:abstractNum w:abstractNumId="256">
    <w:nsid w:val="51194ED1"/>
    <w:multiLevelType w:val="hybridMultilevel"/>
    <w:lvl w:ilvl="0">
      <w:lvlJc w:val="left"/>
      <w:lvlText w:val="%1."/>
      <w:numFmt w:val="decimal"/>
      <w:start w:val="6"/>
    </w:lvl>
    <w:lvl w:ilvl="1">
      <w:lvlJc w:val="left"/>
      <w:lvlText w:val="-"/>
      <w:numFmt w:val="bullet"/>
      <w:start w:val="1"/>
    </w:lvl>
  </w:abstractNum>
  <w:abstractNum w:abstractNumId="257">
    <w:nsid w:val="44E2ED6C"/>
    <w:multiLevelType w:val="hybridMultilevel"/>
    <w:lvl w:ilvl="0">
      <w:lvlJc w:val="left"/>
      <w:lvlText w:val="%1."/>
      <w:numFmt w:val="decimal"/>
      <w:start w:val="7"/>
    </w:lvl>
  </w:abstractNum>
  <w:abstractNum w:abstractNumId="258">
    <w:nsid w:val="2219B33"/>
    <w:multiLevelType w:val="hybridMultilevel"/>
    <w:lvl w:ilvl="0">
      <w:lvlJc w:val="left"/>
      <w:lvlText w:val="%1."/>
      <w:numFmt w:val="decimal"/>
      <w:start w:val="1"/>
    </w:lvl>
    <w:lvl w:ilvl="1">
      <w:lvlJc w:val="left"/>
      <w:lvlText w:val="•"/>
      <w:numFmt w:val="bullet"/>
      <w:start w:val="1"/>
    </w:lvl>
  </w:abstractNum>
  <w:abstractNum w:abstractNumId="259">
    <w:nsid w:val="773BFBDD"/>
    <w:multiLevelType w:val="hybridMultilevel"/>
    <w:lvl w:ilvl="0">
      <w:lvlJc w:val="left"/>
      <w:lvlText w:val="%1."/>
      <w:numFmt w:val="decimal"/>
      <w:start w:val="2"/>
    </w:lvl>
    <w:lvl w:ilvl="1">
      <w:lvlJc w:val="left"/>
      <w:lvlText w:val="(%2)"/>
      <w:numFmt w:val="lowerLetter"/>
      <w:start w:val="1"/>
    </w:lvl>
    <w:lvl w:ilvl="2">
      <w:lvlJc w:val="left"/>
      <w:lvlText w:val="(%3)"/>
      <w:numFmt w:val="lowerLetter"/>
      <w:start w:val="9"/>
    </w:lvl>
  </w:abstractNum>
  <w:abstractNum w:abstractNumId="260">
    <w:nsid w:val="2C7C62C2"/>
    <w:multiLevelType w:val="hybridMultilevel"/>
    <w:lvl w:ilvl="0">
      <w:lvlJc w:val="left"/>
      <w:lvlText w:val="(%1)"/>
      <w:numFmt w:val="lowerRoman"/>
      <w:start w:val="2"/>
    </w:lvl>
  </w:abstractNum>
  <w:abstractNum w:abstractNumId="261">
    <w:nsid w:val="1A54D7BC"/>
    <w:multiLevelType w:val="hybridMultilevel"/>
    <w:lvl w:ilvl="0">
      <w:lvlJc w:val="left"/>
      <w:lvlText w:val="(%1)"/>
      <w:numFmt w:val="lowerLetter"/>
      <w:start w:val="7"/>
    </w:lvl>
  </w:abstractNum>
  <w:abstractNum w:abstractNumId="262">
    <w:nsid w:val="42E57EF7"/>
    <w:multiLevelType w:val="hybridMultilevel"/>
    <w:lvl w:ilvl="0">
      <w:lvlJc w:val="left"/>
      <w:lvlText w:val="(%1)"/>
      <w:numFmt w:val="lowerLetter"/>
      <w:start w:val="17"/>
    </w:lvl>
    <w:lvl w:ilvl="1">
      <w:lvlJc w:val="left"/>
      <w:lvlText w:val="(%2)"/>
      <w:numFmt w:val="lowerRoman"/>
      <w:start w:val="1"/>
    </w:lvl>
  </w:abstractNum>
  <w:abstractNum w:abstractNumId="263">
    <w:nsid w:val="33537CED"/>
    <w:multiLevelType w:val="hybridMultilevel"/>
    <w:lvl w:ilvl="0">
      <w:lvlJc w:val="left"/>
      <w:lvlText w:val="(%1)"/>
      <w:numFmt w:val="lowerLetter"/>
      <w:start w:val="18"/>
    </w:lvl>
  </w:abstractNum>
  <w:abstractNum w:abstractNumId="264">
    <w:nsid w:val="27514ADE"/>
    <w:multiLevelType w:val="hybridMultilevel"/>
    <w:lvl w:ilvl="0">
      <w:lvlJc w:val="left"/>
      <w:lvlText w:val="(%1)"/>
      <w:numFmt w:val="lowerLetter"/>
      <w:start w:val="27"/>
    </w:lvl>
  </w:abstractNum>
  <w:abstractNum w:abstractNumId="265">
    <w:nsid w:val="57071613"/>
    <w:multiLevelType w:val="hybridMultilevel"/>
    <w:lvl w:ilvl="0">
      <w:lvlJc w:val="left"/>
      <w:lvlText w:val="%1"/>
      <w:numFmt w:val="decimal"/>
      <w:start w:val="1"/>
    </w:lvl>
    <w:lvl w:ilvl="1">
      <w:lvlJc w:val="left"/>
      <w:lvlText w:val="(%2)"/>
      <w:numFmt w:val="lowerLetter"/>
      <w:start w:val="41"/>
    </w:lvl>
  </w:abstractNum>
  <w:abstractNum w:abstractNumId="266">
    <w:nsid w:val="5293BFEF"/>
    <w:multiLevelType w:val="hybridMultilevel"/>
    <w:lvl w:ilvl="0">
      <w:lvlJc w:val="left"/>
      <w:lvlText w:val="%1."/>
      <w:numFmt w:val="decimal"/>
      <w:start w:val="3"/>
    </w:lvl>
    <w:lvl w:ilvl="1">
      <w:lvlJc w:val="left"/>
      <w:lvlText w:val="(%2)"/>
      <w:numFmt w:val="lowerLetter"/>
      <w:start w:val="1"/>
    </w:lvl>
  </w:abstractNum>
  <w:abstractNum w:abstractNumId="267">
    <w:nsid w:val="38BF53E5"/>
    <w:multiLevelType w:val="hybridMultilevel"/>
    <w:lvl w:ilvl="0">
      <w:lvlJc w:val="left"/>
      <w:lvlText w:val="%1"/>
      <w:numFmt w:val="decimal"/>
      <w:start w:val="1"/>
    </w:lvl>
    <w:lvl w:ilvl="1">
      <w:lvlJc w:val="left"/>
      <w:lvlText w:val="(%2)"/>
      <w:numFmt w:val="lowerLetter"/>
      <w:start w:val="4"/>
    </w:lvl>
    <w:lvl w:ilvl="2">
      <w:lvlJc w:val="left"/>
      <w:lvlText w:val="%3"/>
      <w:numFmt w:val="lowerRoman"/>
      <w:start w:val="1"/>
    </w:lvl>
  </w:abstractNum>
  <w:abstractNum w:abstractNumId="268">
    <w:nsid w:val="226F5320"/>
    <w:multiLevelType w:val="hybridMultilevel"/>
    <w:lvl w:ilvl="0">
      <w:lvlJc w:val="left"/>
      <w:lvlText w:val="%1."/>
      <w:numFmt w:val="decimal"/>
      <w:start w:val="4"/>
    </w:lvl>
    <w:lvl w:ilvl="1">
      <w:lvlJc w:val="left"/>
      <w:lvlText w:val="(%2)"/>
      <w:numFmt w:val="lowerLetter"/>
      <w:start w:val="1"/>
    </w:lvl>
    <w:lvl w:ilvl="2">
      <w:lvlJc w:val="left"/>
      <w:lvlText w:val="(%3)"/>
      <w:numFmt w:val="lowerRoman"/>
      <w:start w:val="1"/>
    </w:lvl>
  </w:abstractNum>
  <w:abstractNum w:abstractNumId="269">
    <w:nsid w:val="5A0201C7"/>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9"/>
    </w:lvl>
  </w:abstractNum>
  <w:abstractNum w:abstractNumId="270">
    <w:nsid w:val="2A9C34E2"/>
    <w:multiLevelType w:val="hybridMultilevel"/>
    <w:lvl w:ilvl="0">
      <w:lvlJc w:val="left"/>
      <w:lvlText w:val="%1"/>
      <w:numFmt w:val="decimal"/>
      <w:start w:val="1"/>
    </w:lvl>
    <w:lvl w:ilvl="1">
      <w:lvlJc w:val="left"/>
      <w:lvlText w:val="(%2)"/>
      <w:numFmt w:val="lowerLetter"/>
      <w:start w:val="3"/>
    </w:lvl>
    <w:lvl w:ilvl="2">
      <w:lvlJc w:val="left"/>
      <w:lvlText w:val="%3"/>
      <w:numFmt w:val="lowerRoman"/>
      <w:start w:val="1"/>
    </w:lvl>
  </w:abstractNum>
  <w:abstractNum w:abstractNumId="271">
    <w:nsid w:val="1B7585AB"/>
    <w:multiLevelType w:val="hybridMultilevel"/>
    <w:lvl w:ilvl="0">
      <w:lvlJc w:val="left"/>
      <w:lvlText w:val="%1."/>
      <w:numFmt w:val="decimal"/>
      <w:start w:val="5"/>
    </w:lvl>
    <w:lvl w:ilvl="1">
      <w:lvlJc w:val="left"/>
      <w:lvlText w:val="(%2)"/>
      <w:numFmt w:val="lowerLetter"/>
      <w:start w:val="1"/>
    </w:lvl>
    <w:lvl w:ilvl="2">
      <w:lvlJc w:val="left"/>
      <w:lvlText w:val="%3"/>
      <w:numFmt w:val="lowerRoman"/>
      <w:start w:val="1"/>
    </w:lvl>
  </w:abstractNum>
  <w:abstractNum w:abstractNumId="272">
    <w:nsid w:val="612DBDDD"/>
    <w:multiLevelType w:val="hybridMultilevel"/>
    <w:lvl w:ilvl="0">
      <w:lvlJc w:val="left"/>
      <w:lvlText w:val="(%1)"/>
      <w:numFmt w:val="lowerLetter"/>
      <w:start w:val="3"/>
    </w:lvl>
    <w:lvl w:ilvl="1">
      <w:lvlJc w:val="left"/>
      <w:lvlText w:val="(%2)"/>
      <w:numFmt w:val="lowerLetter"/>
      <w:start w:val="9"/>
    </w:lvl>
  </w:abstractNum>
  <w:abstractNum w:abstractNumId="273">
    <w:nsid w:val="2109CDA4"/>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lvl w:ilvl="3">
      <w:lvlJc w:val="left"/>
      <w:lvlText w:val="(%4)"/>
      <w:numFmt w:val="decimal"/>
      <w:start w:val="1"/>
    </w:lvl>
    <w:lvl w:ilvl="4">
      <w:lvlJc w:val="left"/>
      <w:lvlText w:val="(%5)"/>
      <w:numFmt w:val="upperLetter"/>
      <w:start w:val="1"/>
    </w:lvl>
  </w:abstractNum>
  <w:abstractNum w:abstractNumId="274">
    <w:nsid w:val="577F5A4D"/>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2"/>
    </w:lvl>
    <w:lvl w:ilvl="3">
      <w:lvlJc w:val="left"/>
      <w:lvlText w:val="%4"/>
      <w:numFmt w:val="decimal"/>
      <w:start w:val="1"/>
    </w:lvl>
    <w:lvl w:ilvl="4">
      <w:lvlJc w:val="left"/>
      <w:lvlText w:val="%5"/>
      <w:numFmt w:val="upperLetter"/>
      <w:start w:val="1"/>
    </w:lvl>
  </w:abstractNum>
  <w:abstractNum w:abstractNumId="275">
    <w:nsid w:val="2121A81"/>
    <w:multiLevelType w:val="hybridMultilevel"/>
    <w:lvl w:ilvl="0">
      <w:lvlJc w:val="left"/>
      <w:lvlText w:val="(%1)"/>
      <w:numFmt w:val="decimal"/>
      <w:start w:val="2"/>
    </w:lvl>
    <w:lvl w:ilvl="1">
      <w:lvlJc w:val="left"/>
      <w:lvlText w:val="(%2)"/>
      <w:numFmt w:val="lowerLetter"/>
      <w:start w:val="4"/>
    </w:lvl>
    <w:lvl w:ilvl="2">
      <w:lvlJc w:val="left"/>
      <w:lvlText w:val="%3"/>
      <w:numFmt w:val="lowerRoman"/>
      <w:start w:val="1"/>
    </w:lvl>
    <w:lvl w:ilvl="3">
      <w:lvlJc w:val="left"/>
      <w:lvlText w:val="%4"/>
      <w:numFmt w:val="decimal"/>
      <w:start w:val="1"/>
    </w:lvl>
    <w:lvl w:ilvl="4">
      <w:lvlJc w:val="left"/>
      <w:lvlText w:val="%5"/>
      <w:numFmt w:val="upperLetter"/>
      <w:start w:val="1"/>
    </w:lvl>
  </w:abstractNum>
  <w:abstractNum w:abstractNumId="276">
    <w:nsid w:val="6C2CFC88"/>
    <w:multiLevelType w:val="hybridMultilevel"/>
    <w:lvl w:ilvl="0">
      <w:lvlJc w:val="left"/>
      <w:lvlText w:val="(%1)"/>
      <w:numFmt w:val="lowerRoman"/>
      <w:start w:val="1"/>
    </w:lvl>
  </w:abstractNum>
  <w:abstractNum w:abstractNumId="277">
    <w:nsid w:val="6D1BCF1C"/>
    <w:multiLevelType w:val="hybridMultilevel"/>
    <w:lvl w:ilvl="0">
      <w:lvlJc w:val="left"/>
      <w:lvlText w:val="(%1)"/>
      <w:numFmt w:val="lowerRoman"/>
      <w:start w:val="2"/>
    </w:lvl>
  </w:abstractNum>
  <w:abstractNum w:abstractNumId="278">
    <w:nsid w:val="4CE5CA53"/>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4"/>
    </w:lvl>
    <w:lvl w:ilvl="3">
      <w:lvlJc w:val="left"/>
      <w:lvlText w:val="(%4)"/>
      <w:numFmt w:val="decimal"/>
      <w:start w:val="1"/>
    </w:lvl>
  </w:abstractNum>
  <w:abstractNum w:abstractNumId="279">
    <w:nsid w:val="29262D1A"/>
    <w:multiLevelType w:val="hybridMultilevel"/>
    <w:lvl w:ilvl="0">
      <w:lvlJc w:val="left"/>
      <w:lvlText w:val="%1."/>
      <w:numFmt w:val="decimal"/>
      <w:start w:val="7"/>
    </w:lvl>
    <w:lvl w:ilvl="1">
      <w:lvlJc w:val="left"/>
      <w:lvlText w:val="(%2)"/>
      <w:numFmt w:val="lowerLetter"/>
      <w:start w:val="1"/>
    </w:lvl>
    <w:lvl w:ilvl="2">
      <w:lvlJc w:val="left"/>
      <w:lvlText w:val="%3"/>
      <w:numFmt w:val="lowerRoman"/>
      <w:start w:val="1"/>
    </w:lvl>
    <w:lvl w:ilvl="3">
      <w:lvlJc w:val="left"/>
      <w:lvlText w:val="%4"/>
      <w:numFmt w:val="decimal"/>
      <w:start w:val="1"/>
    </w:lvl>
  </w:abstractNum>
  <w:abstractNum w:abstractNumId="280">
    <w:nsid w:val="557FB7EE"/>
    <w:multiLevelType w:val="hybridMultilevel"/>
    <w:lvl w:ilvl="0">
      <w:lvlJc w:val="left"/>
      <w:lvlText w:val="%1"/>
      <w:numFmt w:val="decimal"/>
      <w:start w:val="1"/>
    </w:lvl>
    <w:lvl w:ilvl="1">
      <w:lvlJc w:val="left"/>
      <w:lvlText w:val="(%2)"/>
      <w:numFmt w:val="lowerLetter"/>
      <w:start w:val="3"/>
    </w:lvl>
  </w:abstractNum>
  <w:abstractNum w:abstractNumId="281">
    <w:nsid w:val="436F2BEB"/>
    <w:multiLevelType w:val="hybridMultilevel"/>
    <w:lvl w:ilvl="0">
      <w:lvlJc w:val="left"/>
      <w:lvlText w:val="%1."/>
      <w:numFmt w:val="decimal"/>
      <w:start w:val="8"/>
    </w:lvl>
    <w:lvl w:ilvl="1">
      <w:lvlJc w:val="left"/>
      <w:lvlText w:val="(%2)"/>
      <w:numFmt w:val="lowerLetter"/>
      <w:start w:val="1"/>
    </w:lvl>
  </w:abstractNum>
  <w:abstractNum w:abstractNumId="282">
    <w:nsid w:val="6C8B4466"/>
    <w:multiLevelType w:val="hybridMultilevel"/>
    <w:lvl w:ilvl="0">
      <w:lvlJc w:val="left"/>
      <w:lvlText w:val="%1"/>
      <w:numFmt w:val="decimal"/>
      <w:start w:val="1"/>
    </w:lvl>
    <w:lvl w:ilvl="1">
      <w:lvlJc w:val="left"/>
      <w:lvlText w:val="(%2)"/>
      <w:numFmt w:val="lowerLetter"/>
      <w:start w:val="4"/>
    </w:lvl>
    <w:lvl w:ilvl="2">
      <w:lvlJc w:val="left"/>
      <w:lvlText w:val="%3"/>
      <w:numFmt w:val="lowerRoman"/>
      <w:start w:val="1"/>
    </w:lvl>
  </w:abstractNum>
  <w:abstractNum w:abstractNumId="283">
    <w:nsid w:val="2006E424"/>
    <w:multiLevelType w:val="hybridMultilevel"/>
    <w:lvl w:ilvl="0">
      <w:lvlJc w:val="left"/>
      <w:lvlText w:val="%1."/>
      <w:numFmt w:val="decimal"/>
      <w:start w:val="9"/>
    </w:lvl>
    <w:lvl w:ilvl="1">
      <w:lvlJc w:val="left"/>
      <w:lvlText w:val="(%2)"/>
      <w:numFmt w:val="lowerLetter"/>
      <w:start w:val="1"/>
    </w:lvl>
    <w:lvl w:ilvl="2">
      <w:lvlJc w:val="left"/>
      <w:lvlText w:val="(%3)"/>
      <w:numFmt w:val="lowerRoman"/>
      <w:start w:val="1"/>
    </w:lvl>
  </w:abstractNum>
  <w:abstractNum w:abstractNumId="284">
    <w:nsid w:val="20CC134C"/>
    <w:multiLevelType w:val="hybridMultilevel"/>
    <w:lvl w:ilvl="0">
      <w:lvlJc w:val="left"/>
      <w:lvlText w:val="%1."/>
      <w:numFmt w:val="decimal"/>
      <w:start w:val="10"/>
    </w:lvl>
    <w:lvl w:ilvl="1">
      <w:lvlJc w:val="left"/>
      <w:lvlText w:val="(%2)"/>
      <w:numFmt w:val="lowerLetter"/>
      <w:start w:val="1"/>
    </w:lvl>
  </w:abstractNum>
  <w:abstractNum w:abstractNumId="285">
    <w:nsid w:val="95FC93B"/>
    <w:multiLevelType w:val="hybridMultilevel"/>
    <w:lvl w:ilvl="0">
      <w:lvlJc w:val="left"/>
      <w:lvlText w:val="%1."/>
      <w:numFmt w:val="decimal"/>
      <w:start w:val="12"/>
    </w:lvl>
    <w:lvl w:ilvl="1">
      <w:lvlJc w:val="left"/>
      <w:lvlText w:val="(%2)"/>
      <w:numFmt w:val="lowerLetter"/>
      <w:start w:val="1"/>
    </w:lvl>
  </w:abstractNum>
  <w:abstractNum w:abstractNumId="286">
    <w:nsid w:val="41D74679"/>
    <w:multiLevelType w:val="hybridMultilevel"/>
    <w:lvl w:ilvl="0">
      <w:lvlJc w:val="left"/>
      <w:lvlText w:val="(%1)"/>
      <w:numFmt w:val="lowerLetter"/>
      <w:start w:val="4"/>
    </w:lvl>
  </w:abstractNum>
  <w:abstractNum w:abstractNumId="287">
    <w:nsid w:val="71E5621E"/>
    <w:multiLevelType w:val="hybridMultilevel"/>
    <w:lvl w:ilvl="0">
      <w:lvlJc w:val="left"/>
      <w:lvlText w:val="%1."/>
      <w:numFmt w:val="decimal"/>
      <w:start w:val="15"/>
    </w:lvl>
    <w:lvl w:ilvl="1">
      <w:lvlJc w:val="left"/>
      <w:lvlText w:val="(%2)"/>
      <w:numFmt w:val="lowerLetter"/>
      <w:start w:val="1"/>
    </w:lvl>
  </w:abstractNum>
  <w:abstractNum w:abstractNumId="288">
    <w:nsid w:val="4E42B6A8"/>
    <w:multiLevelType w:val="hybridMultilevel"/>
    <w:lvl w:ilvl="0">
      <w:lvlJc w:val="left"/>
      <w:lvlText w:val="%1."/>
      <w:numFmt w:val="decimal"/>
      <w:start w:val="18"/>
    </w:lvl>
    <w:lvl w:ilvl="1">
      <w:lvlJc w:val="left"/>
      <w:lvlText w:val="(%2)"/>
      <w:numFmt w:val="lowerLetter"/>
      <w:start w:val="1"/>
    </w:lvl>
  </w:abstractNum>
  <w:abstractNum w:abstractNumId="289">
    <w:nsid w:val="43F8E1AC"/>
    <w:multiLevelType w:val="hybridMultilevel"/>
    <w:lvl w:ilvl="0">
      <w:lvlJc w:val="left"/>
      <w:lvlText w:val="%1."/>
      <w:numFmt w:val="decimal"/>
      <w:start w:val="23"/>
    </w:lvl>
  </w:abstractNum>
  <w:abstractNum w:abstractNumId="290">
    <w:nsid w:val="69215DFB"/>
    <w:multiLevelType w:val="hybridMultilevel"/>
    <w:lvl w:ilvl="0">
      <w:lvlJc w:val="left"/>
      <w:lvlText w:val="%1."/>
      <w:numFmt w:val="decimal"/>
      <w:start w:val="1"/>
    </w:lvl>
    <w:lvl w:ilvl="1">
      <w:lvlJc w:val="left"/>
      <w:lvlText w:val="(%2)"/>
      <w:numFmt w:val="lowerLetter"/>
      <w:start w:val="1"/>
    </w:lvl>
    <w:lvl w:ilvl="2">
      <w:lvlJc w:val="left"/>
      <w:lvlText w:val="-"/>
      <w:numFmt w:val="bullet"/>
      <w:start w:val="1"/>
    </w:lvl>
  </w:abstractNum>
  <w:abstractNum w:abstractNumId="291">
    <w:nsid w:val="7ABF196A"/>
    <w:multiLevelType w:val="hybridMultilevel"/>
    <w:lvl w:ilvl="0">
      <w:lvlJc w:val="left"/>
      <w:lvlText w:val="%1"/>
      <w:numFmt w:val="decimal"/>
      <w:start w:val="1"/>
    </w:lvl>
    <w:lvl w:ilvl="1">
      <w:lvlJc w:val="left"/>
      <w:lvlText w:val="(%2)"/>
      <w:numFmt w:val="lowerLetter"/>
      <w:start w:val="2"/>
    </w:lvl>
    <w:lvl w:ilvl="2">
      <w:lvlJc w:val="left"/>
      <w:lvlText w:val="-"/>
      <w:numFmt w:val="bullet"/>
      <w:start w:val="1"/>
    </w:lvl>
  </w:abstractNum>
  <w:abstractNum w:abstractNumId="292">
    <w:nsid w:val="5E4DB968"/>
    <w:multiLevelType w:val="hybridMultilevel"/>
    <w:lvl w:ilvl="0">
      <w:lvlJc w:val="left"/>
      <w:lvlText w:val="%1."/>
      <w:numFmt w:val="decimal"/>
      <w:start w:val="5"/>
    </w:lvl>
    <w:lvl w:ilvl="1">
      <w:lvlJc w:val="left"/>
      <w:lvlText w:val="(%2)"/>
      <w:numFmt w:val="lowerLetter"/>
      <w:start w:val="1"/>
    </w:lvl>
    <w:lvl w:ilvl="2">
      <w:lvlJc w:val="left"/>
      <w:lvlText w:val="-"/>
      <w:numFmt w:val="bullet"/>
      <w:start w:val="1"/>
    </w:lvl>
  </w:abstractNum>
  <w:abstractNum w:abstractNumId="293">
    <w:nsid w:val="2C06DCF3"/>
    <w:multiLevelType w:val="hybridMultilevel"/>
    <w:lvl w:ilvl="0">
      <w:lvlJc w:val="left"/>
      <w:lvlText w:val="%1"/>
      <w:numFmt w:val="lowerRoman"/>
      <w:start w:val="1"/>
    </w:lvl>
    <w:lvl w:ilvl="1">
      <w:lvlJc w:val="left"/>
      <w:lvlText w:val="(%2)"/>
      <w:numFmt w:val="lowerLetter"/>
      <w:start w:val="2"/>
    </w:lvl>
    <w:lvl w:ilvl="2">
      <w:lvlJc w:val="left"/>
      <w:lvlText w:val="-"/>
      <w:numFmt w:val="bullet"/>
      <w:start w:val="1"/>
    </w:lvl>
  </w:abstractNum>
  <w:abstractNum w:abstractNumId="294">
    <w:nsid w:val="2E129658"/>
    <w:multiLevelType w:val="hybridMultilevel"/>
    <w:lvl w:ilvl="0">
      <w:lvlJc w:val="left"/>
      <w:lvlText w:val="(%1)"/>
      <w:numFmt w:val="lowerRoman"/>
      <w:start w:val="2"/>
    </w:lvl>
    <w:lvl w:ilvl="1">
      <w:lvlJc w:val="left"/>
      <w:lvlText w:val="%2"/>
      <w:numFmt w:val="lowerLetter"/>
      <w:start w:val="1"/>
    </w:lvl>
    <w:lvl w:ilvl="2">
      <w:lvlJc w:val="left"/>
      <w:lvlText w:val="-"/>
      <w:numFmt w:val="bullet"/>
      <w:start w:val="1"/>
    </w:lvl>
  </w:abstractNum>
  <w:abstractNum w:abstractNumId="295">
    <w:nsid w:val="59F0446"/>
    <w:multiLevelType w:val="hybridMultilevel"/>
    <w:lvl w:ilvl="0">
      <w:lvlJc w:val="left"/>
      <w:lvlText w:val="(%1)"/>
      <w:numFmt w:val="lowerRoman"/>
      <w:start w:val="4"/>
    </w:lvl>
    <w:lvl w:ilvl="1">
      <w:lvlJc w:val="left"/>
      <w:lvlText w:val="(%2)"/>
      <w:numFmt w:val="lowerLetter"/>
      <w:start w:val="3"/>
    </w:lvl>
    <w:lvl w:ilvl="2">
      <w:lvlJc w:val="left"/>
      <w:lvlText w:val="-"/>
      <w:numFmt w:val="bullet"/>
      <w:start w:val="1"/>
    </w:lvl>
  </w:abstractNum>
  <w:abstractNum w:abstractNumId="296">
    <w:nsid w:val="30DF306"/>
    <w:multiLevelType w:val="hybridMultilevel"/>
    <w:lvl w:ilvl="0">
      <w:lvlJc w:val="left"/>
      <w:lvlText w:val="%1"/>
      <w:numFmt w:val="decimal"/>
      <w:start w:val="1"/>
    </w:lvl>
    <w:lvl w:ilvl="1">
      <w:lvlJc w:val="left"/>
      <w:lvlText w:val="(%2)"/>
      <w:numFmt w:val="lowerLetter"/>
      <w:start w:val="4"/>
    </w:lvl>
    <w:lvl w:ilvl="2">
      <w:lvlJc w:val="left"/>
      <w:lvlText w:val="-"/>
      <w:numFmt w:val="bullet"/>
      <w:start w:val="1"/>
    </w:lvl>
  </w:abstractNum>
  <w:abstractNum w:abstractNumId="297">
    <w:nsid w:val="A65647"/>
    <w:multiLevelType w:val="hybridMultilevel"/>
    <w:lvl w:ilvl="0">
      <w:lvlJc w:val="left"/>
      <w:lvlText w:val="%1."/>
      <w:numFmt w:val="decimal"/>
      <w:start w:val="7"/>
    </w:lvl>
    <w:lvl w:ilvl="1">
      <w:lvlJc w:val="left"/>
      <w:lvlText w:val="%2"/>
      <w:numFmt w:val="lowerLetter"/>
      <w:start w:val="1"/>
    </w:lvl>
    <w:lvl w:ilvl="2">
      <w:lvlJc w:val="left"/>
      <w:lvlText w:val="-"/>
      <w:numFmt w:val="bullet"/>
      <w:start w:val="1"/>
    </w:lvl>
  </w:abstractNum>
  <w:abstractNum w:abstractNumId="298">
    <w:nsid w:val="3E5E582B"/>
    <w:multiLevelType w:val="hybridMultilevel"/>
    <w:lvl w:ilvl="0">
      <w:lvlJc w:val="left"/>
      <w:lvlText w:val="%1."/>
      <w:numFmt w:val="decimal"/>
      <w:start w:val="9"/>
    </w:lvl>
    <w:lvl w:ilvl="1">
      <w:lvlJc w:val="left"/>
      <w:lvlText w:val="(%2)"/>
      <w:numFmt w:val="lowerLetter"/>
      <w:start w:val="1"/>
    </w:lvl>
    <w:lvl w:ilvl="2">
      <w:lvlJc w:val="left"/>
      <w:lvlText w:val="-"/>
      <w:numFmt w:val="bullet"/>
      <w:start w:val="1"/>
    </w:lvl>
  </w:abstractNum>
  <w:abstractNum w:abstractNumId="299">
    <w:nsid w:val="257D4626"/>
    <w:multiLevelType w:val="hybridMultilevel"/>
    <w:lvl w:ilvl="0">
      <w:lvlJc w:val="left"/>
      <w:lvlText w:val="(%1)"/>
      <w:numFmt w:val="lowerLetter"/>
      <w:start w:val="10"/>
    </w:lvl>
  </w:abstractNum>
  <w:abstractNum w:abstractNumId="300">
    <w:nsid w:val="5AA8580E"/>
    <w:multiLevelType w:val="hybridMultilevel"/>
    <w:lvl w:ilvl="0">
      <w:lvlJc w:val="left"/>
      <w:lvlText w:val="%1."/>
      <w:numFmt w:val="decimal"/>
      <w:start w:val="10"/>
    </w:lvl>
    <w:lvl w:ilvl="1">
      <w:lvlJc w:val="left"/>
      <w:lvlText w:val="-"/>
      <w:numFmt w:val="bullet"/>
      <w:start w:val="1"/>
    </w:lvl>
  </w:abstractNum>
  <w:abstractNum w:abstractNumId="301">
    <w:nsid w:val="68FA8D0D"/>
    <w:multiLevelType w:val="hybridMultilevel"/>
    <w:lvl w:ilvl="0">
      <w:lvlJc w:val="left"/>
      <w:lvlText w:val="%1."/>
      <w:numFmt w:val="decimal"/>
      <w:start w:val="11"/>
    </w:lvl>
  </w:abstractNum>
  <w:abstractNum w:abstractNumId="302">
    <w:nsid w:val="40F2CBD2"/>
    <w:multiLevelType w:val="hybridMultilevel"/>
    <w:lvl w:ilvl="0">
      <w:lvlJc w:val="left"/>
      <w:lvlText w:val="%1."/>
      <w:numFmt w:val="decimal"/>
      <w:start w:val="12"/>
    </w:lvl>
    <w:lvl w:ilvl="1">
      <w:lvlJc w:val="left"/>
      <w:lvlText w:val="-"/>
      <w:numFmt w:val="bullet"/>
      <w:start w:val="1"/>
    </w:lvl>
  </w:abstractNum>
  <w:abstractNum w:abstractNumId="303">
    <w:nsid w:val="3BD615EB"/>
    <w:multiLevelType w:val="hybridMultilevel"/>
    <w:lvl w:ilvl="0">
      <w:lvlJc w:val="left"/>
      <w:lvlText w:val="%1."/>
      <w:numFmt w:val="decimal"/>
      <w:start w:val="13"/>
    </w:lvl>
    <w:lvl w:ilvl="1">
      <w:lvlJc w:val="left"/>
      <w:lvlText w:val="-"/>
      <w:numFmt w:val="bullet"/>
      <w:start w:val="1"/>
    </w:lvl>
  </w:abstractNum>
  <w:abstractNum w:abstractNumId="304">
    <w:nsid w:val="A045AB2"/>
    <w:multiLevelType w:val="hybridMultilevel"/>
    <w:lvl w:ilvl="0">
      <w:lvlJc w:val="left"/>
      <w:lvlText w:val="%1."/>
      <w:numFmt w:val="decimal"/>
      <w:start w:val="19"/>
    </w:lvl>
    <w:lvl w:ilvl="1">
      <w:lvlJc w:val="left"/>
      <w:lvlText w:val="-"/>
      <w:numFmt w:val="bullet"/>
      <w:start w:val="1"/>
    </w:lvl>
  </w:abstractNum>
  <w:abstractNum w:abstractNumId="305">
    <w:nsid w:val="1872261F"/>
    <w:multiLevelType w:val="hybridMultilevel"/>
    <w:lvl w:ilvl="0">
      <w:lvlJc w:val="left"/>
      <w:lvlText w:val="%1."/>
      <w:numFmt w:val="decimal"/>
      <w:start w:val="26"/>
    </w:lvl>
    <w:lvl w:ilvl="1">
      <w:lvlJc w:val="left"/>
      <w:lvlText w:val="-"/>
      <w:numFmt w:val="bullet"/>
      <w:start w:val="1"/>
    </w:lvl>
  </w:abstractNum>
  <w:abstractNum w:abstractNumId="306">
    <w:nsid w:val="3DE8306C"/>
    <w:multiLevelType w:val="hybridMultilevel"/>
    <w:lvl w:ilvl="0">
      <w:lvlJc w:val="left"/>
      <w:lvlText w:val="%1."/>
      <w:numFmt w:val="decimal"/>
      <w:start w:val="2"/>
    </w:lvl>
    <w:lvl w:ilvl="1">
      <w:lvlJc w:val="left"/>
      <w:lvlText w:val="-"/>
      <w:numFmt w:val="bullet"/>
      <w:start w:val="1"/>
    </w:lvl>
  </w:abstractNum>
  <w:abstractNum w:abstractNumId="307">
    <w:nsid w:val="7631573A"/>
    <w:multiLevelType w:val="hybridMultilevel"/>
    <w:lvl w:ilvl="0">
      <w:lvlJc w:val="left"/>
      <w:lvlText w:val="%1."/>
      <w:numFmt w:val="decimal"/>
      <w:start w:val="6"/>
    </w:lvl>
  </w:abstractNum>
  <w:abstractNum w:abstractNumId="308">
    <w:nsid w:val="58DF53B"/>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309">
    <w:nsid w:val="ACDFAC0"/>
    <w:multiLevelType w:val="hybridMultilevel"/>
    <w:lvl w:ilvl="0">
      <w:lvlJc w:val="left"/>
      <w:lvlText w:val="(%1)"/>
      <w:numFmt w:val="decimal"/>
      <w:start w:val="6"/>
    </w:lvl>
    <w:lvl w:ilvl="1">
      <w:lvlJc w:val="left"/>
      <w:lvlText w:val="%2"/>
      <w:numFmt w:val="decimal"/>
      <w:start w:val="1"/>
    </w:lvl>
    <w:lvl w:ilvl="2">
      <w:lvlJc w:val="left"/>
      <w:lvlText w:val="%3"/>
      <w:numFmt w:val="lowerLetter"/>
      <w:start w:val="1"/>
    </w:lvl>
  </w:abstractNum>
  <w:abstractNum w:abstractNumId="310">
    <w:nsid w:val="1F578454"/>
    <w:multiLevelType w:val="hybridMultilevel"/>
    <w:lvl w:ilvl="0">
      <w:lvlJc w:val="left"/>
      <w:lvlText w:val="(%1)"/>
      <w:numFmt w:val="decimal"/>
      <w:start w:val="1"/>
    </w:lvl>
    <w:lvl w:ilvl="1">
      <w:lvlJc w:val="left"/>
      <w:lvlText w:val="%2."/>
      <w:numFmt w:val="decimal"/>
      <w:start w:val="4"/>
    </w:lvl>
    <w:lvl w:ilvl="2">
      <w:lvlJc w:val="left"/>
      <w:lvlText w:val="(%3)"/>
      <w:numFmt w:val="lowerLetter"/>
      <w:start w:val="3"/>
    </w:lvl>
  </w:abstractNum>
  <w:abstractNum w:abstractNumId="311">
    <w:nsid w:val="5B0DAD2A"/>
    <w:multiLevelType w:val="hybridMultilevel"/>
    <w:lvl w:ilvl="0">
      <w:lvlJc w:val="left"/>
      <w:lvlText w:val="%1"/>
      <w:numFmt w:val="lowerLetter"/>
      <w:start w:val="1"/>
    </w:lvl>
    <w:lvl w:ilvl="1">
      <w:lvlJc w:val="left"/>
      <w:lvlText w:val="%2."/>
      <w:numFmt w:val="decimal"/>
      <w:start w:val="8"/>
    </w:lvl>
    <w:lvl w:ilvl="2">
      <w:lvlJc w:val="left"/>
      <w:lvlText w:val="(%3)"/>
      <w:numFmt w:val="lowerLetter"/>
      <w:start w:val="1"/>
    </w:lvl>
  </w:abstractNum>
  <w:abstractNum w:abstractNumId="312">
    <w:nsid w:val="4E3D26AB"/>
    <w:multiLevelType w:val="hybridMultilevel"/>
    <w:lvl w:ilvl="0">
      <w:lvlJc w:val="left"/>
      <w:lvlText w:val="(%1)"/>
      <w:numFmt w:val="lowerLetter"/>
      <w:start w:val="61"/>
    </w:lvl>
    <w:lvl w:ilvl="1">
      <w:lvlJc w:val="left"/>
      <w:lvlText w:val="%2"/>
      <w:numFmt w:val="decimal"/>
      <w:start w:val="1"/>
    </w:lvl>
    <w:lvl w:ilvl="2">
      <w:lvlJc w:val="left"/>
      <w:lvlText w:val="(%3)"/>
      <w:numFmt w:val="lowerLetter"/>
      <w:start w:val="2"/>
    </w:lvl>
  </w:abstractNum>
  <w:abstractNum w:abstractNumId="313">
    <w:nsid w:val="BE2C8BA"/>
    <w:multiLevelType w:val="hybridMultilevel"/>
    <w:lvl w:ilvl="0">
      <w:lvlJc w:val="left"/>
      <w:lvlText w:val="(%1)"/>
      <w:numFmt w:val="lowerRoman"/>
      <w:start w:val="4"/>
    </w:lvl>
    <w:lvl w:ilvl="1">
      <w:lvlJc w:val="left"/>
      <w:lvlText w:val="%2."/>
      <w:numFmt w:val="decimal"/>
      <w:start w:val="9"/>
    </w:lvl>
  </w:abstractNum>
  <w:abstractNum w:abstractNumId="314">
    <w:nsid w:val="7B14914E"/>
    <w:multiLevelType w:val="hybridMultilevel"/>
    <w:lvl w:ilvl="0">
      <w:lvlJc w:val="left"/>
      <w:lvlText w:val="%1."/>
      <w:numFmt w:val="decimal"/>
      <w:start w:val="11"/>
    </w:lvl>
    <w:lvl w:ilvl="1">
      <w:lvlJc w:val="left"/>
      <w:lvlText w:val="(%2)"/>
      <w:numFmt w:val="lowerLetter"/>
      <w:start w:val="1"/>
    </w:lvl>
  </w:abstractNum>
  <w:abstractNum w:abstractNumId="315">
    <w:nsid w:val="6F0939F8"/>
    <w:multiLevelType w:val="hybridMultilevel"/>
    <w:lvl w:ilvl="0">
      <w:lvlJc w:val="left"/>
      <w:lvlText w:val="%1"/>
      <w:numFmt w:val="decimal"/>
      <w:start w:val="1"/>
    </w:lvl>
    <w:lvl w:ilvl="1">
      <w:lvlJc w:val="left"/>
      <w:lvlText w:val="(%2)"/>
      <w:numFmt w:val="lowerLetter"/>
      <w:start w:val="8"/>
    </w:lvl>
    <w:lvl w:ilvl="2">
      <w:lvlJc w:val="left"/>
      <w:lvlText w:val="(%3)"/>
      <w:numFmt w:val="lowerRoman"/>
      <w:start w:val="1"/>
    </w:lvl>
  </w:abstractNum>
  <w:abstractNum w:abstractNumId="316">
    <w:nsid w:val="154291F6"/>
    <w:multiLevelType w:val="hybridMultilevel"/>
    <w:lvl w:ilvl="0">
      <w:lvlJc w:val="left"/>
      <w:lvlText w:val="%1."/>
      <w:numFmt w:val="decimal"/>
      <w:start w:val="13"/>
    </w:lvl>
    <w:lvl w:ilvl="1">
      <w:lvlJc w:val="left"/>
      <w:lvlText w:val="%2"/>
      <w:numFmt w:val="lowerLetter"/>
      <w:start w:val="1"/>
    </w:lvl>
    <w:lvl w:ilvl="2">
      <w:lvlJc w:val="left"/>
      <w:lvlText w:val="%3"/>
      <w:numFmt w:val="lowerRoman"/>
      <w:start w:val="1"/>
    </w:lvl>
  </w:abstractNum>
  <w:abstractNum w:abstractNumId="317">
    <w:nsid w:val="3CEBD7C7"/>
    <w:multiLevelType w:val="hybridMultilevel"/>
    <w:lvl w:ilvl="0">
      <w:lvlJc w:val="left"/>
      <w:lvlText w:val="%1."/>
      <w:numFmt w:val="decimal"/>
      <w:start w:val="15"/>
    </w:lvl>
  </w:abstractNum>
  <w:abstractNum w:abstractNumId="318">
    <w:nsid w:val="60EE9C16"/>
    <w:multiLevelType w:val="hybridMultilevel"/>
    <w:lvl w:ilvl="0">
      <w:lvlJc w:val="left"/>
      <w:lvlText w:val="%1."/>
      <w:numFmt w:val="decimal"/>
      <w:start w:val="17"/>
    </w:lvl>
  </w:abstractNum>
  <w:abstractNum w:abstractNumId="319">
    <w:nsid w:val="6385489E"/>
    <w:multiLevelType w:val="hybridMultilevel"/>
    <w:lvl w:ilvl="0">
      <w:lvlJc w:val="left"/>
      <w:lvlText w:val="%1."/>
      <w:numFmt w:val="decimal"/>
      <w:start w:val="22"/>
    </w:lvl>
  </w:abstractNum>
  <w:abstractNum w:abstractNumId="320">
    <w:nsid w:val="E4B973"/>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9"/>
    </w:lvl>
  </w:abstractNum>
  <w:abstractNum w:abstractNumId="321">
    <w:nsid w:val="4A0FFA11"/>
    <w:multiLevelType w:val="hybridMultilevel"/>
    <w:lvl w:ilvl="0">
      <w:lvlJc w:val="left"/>
      <w:lvlText w:val="(%1)"/>
      <w:numFmt w:val="lowerRoman"/>
      <w:start w:val="2"/>
    </w:lvl>
  </w:abstractNum>
  <w:abstractNum w:abstractNumId="322">
    <w:nsid w:val="5E446208"/>
    <w:multiLevelType w:val="hybridMultilevel"/>
    <w:lvl w:ilvl="0">
      <w:lvlJc w:val="left"/>
      <w:lvlText w:val="(%1)"/>
      <w:numFmt w:val="lowerRoman"/>
      <w:start w:val="2"/>
    </w:lvl>
    <w:lvl w:ilvl="1">
      <w:lvlJc w:val="left"/>
      <w:lvlText w:val="-"/>
      <w:numFmt w:val="bullet"/>
      <w:start w:val="1"/>
    </w:lvl>
  </w:abstractNum>
  <w:abstractNum w:abstractNumId="323">
    <w:nsid w:val="5F3272DB"/>
    <w:multiLevelType w:val="hybridMultilevel"/>
    <w:lvl w:ilvl="0">
      <w:lvlJc w:val="left"/>
      <w:lvlText w:val="(%1)"/>
      <w:numFmt w:val="lowerLetter"/>
      <w:start w:val="6"/>
    </w:lvl>
    <w:lvl w:ilvl="1">
      <w:lvlJc w:val="left"/>
      <w:lvlText w:val="-"/>
      <w:numFmt w:val="bullet"/>
      <w:start w:val="1"/>
    </w:lvl>
  </w:abstractNum>
  <w:abstractNum w:abstractNumId="324">
    <w:nsid w:val="7616D704"/>
    <w:multiLevelType w:val="hybridMultilevel"/>
    <w:lvl w:ilvl="0">
      <w:lvlJc w:val="left"/>
      <w:lvlText w:val="(%1)"/>
      <w:numFmt w:val="lowerLetter"/>
      <w:start w:val="15"/>
    </w:lvl>
  </w:abstractNum>
  <w:abstractNum w:abstractNumId="325">
    <w:nsid w:val="C56F860"/>
    <w:multiLevelType w:val="hybridMultilevel"/>
    <w:lvl w:ilvl="0">
      <w:lvlJc w:val="left"/>
      <w:lvlText w:val="(%1)"/>
      <w:numFmt w:val="lowerRoman"/>
      <w:start w:val="1"/>
    </w:lvl>
  </w:abstractNum>
  <w:abstractNum w:abstractNumId="326">
    <w:nsid w:val="64D17722"/>
    <w:multiLevelType w:val="hybridMultilevel"/>
    <w:lvl w:ilvl="0">
      <w:lvlJc w:val="left"/>
      <w:lvlText w:val="%1"/>
      <w:numFmt w:val="lowerLetter"/>
      <w:start w:val="1"/>
    </w:lvl>
    <w:lvl w:ilvl="1">
      <w:lvlJc w:val="left"/>
      <w:lvlText w:val="(%2)"/>
      <w:numFmt w:val="lowerLetter"/>
      <w:start w:val="35"/>
    </w:lvl>
    <w:lvl w:ilvl="2">
      <w:lvlJc w:val="left"/>
      <w:lvlText w:val="-"/>
      <w:numFmt w:val="bullet"/>
      <w:start w:val="1"/>
    </w:lvl>
  </w:abstractNum>
  <w:abstractNum w:abstractNumId="327">
    <w:nsid w:val="7924CA0A"/>
    <w:multiLevelType w:val="hybridMultilevel"/>
    <w:lvl w:ilvl="0">
      <w:lvlJc w:val="left"/>
      <w:lvlText w:val="(%1)"/>
      <w:numFmt w:val="lowerLetter"/>
      <w:start w:val="20"/>
    </w:lvl>
    <w:lvl w:ilvl="1">
      <w:lvlJc w:val="left"/>
      <w:lvlText w:val="%2"/>
      <w:numFmt w:val="lowerLetter"/>
      <w:start w:val="1"/>
    </w:lvl>
    <w:lvl w:ilvl="2">
      <w:lvlJc w:val="left"/>
      <w:lvlText w:val="-"/>
      <w:numFmt w:val="bullet"/>
      <w:start w:val="1"/>
    </w:lvl>
  </w:abstractNum>
  <w:abstractNum w:abstractNumId="328">
    <w:nsid w:val="CFD4EA7"/>
    <w:multiLevelType w:val="hybridMultilevel"/>
    <w:lvl w:ilvl="0">
      <w:lvlJc w:val="left"/>
      <w:lvlText w:val="(%1)"/>
      <w:numFmt w:val="lowerLetter"/>
      <w:start w:val="21"/>
    </w:lvl>
  </w:abstractNum>
  <w:abstractNum w:abstractNumId="329">
    <w:nsid w:val="232FCF4D"/>
    <w:multiLevelType w:val="hybridMultilevel"/>
    <w:lvl w:ilvl="0">
      <w:lvlJc w:val="left"/>
      <w:lvlText w:val="(%1)"/>
      <w:numFmt w:val="lowerLetter"/>
      <w:start w:val="27"/>
    </w:lvl>
    <w:lvl w:ilvl="1">
      <w:lvlJc w:val="left"/>
      <w:lvlText w:val="-"/>
      <w:numFmt w:val="bullet"/>
      <w:start w:val="1"/>
    </w:lvl>
  </w:abstractNum>
  <w:abstractNum w:abstractNumId="330">
    <w:nsid w:val="1EA21031"/>
    <w:multiLevelType w:val="hybridMultilevel"/>
    <w:lvl w:ilvl="0">
      <w:lvlJc w:val="left"/>
      <w:lvlText w:val="%1"/>
      <w:numFmt w:val="decimal"/>
      <w:start w:val="1"/>
    </w:lvl>
    <w:lvl w:ilvl="1">
      <w:lvlJc w:val="left"/>
      <w:lvlText w:val="%2"/>
      <w:numFmt w:val="decimal"/>
      <w:start w:val="1"/>
    </w:lvl>
    <w:lvl w:ilvl="2">
      <w:lvlJc w:val="left"/>
      <w:lvlText w:val="(%3)"/>
      <w:numFmt w:val="lowerLetter"/>
      <w:start w:val="31"/>
    </w:lvl>
    <w:lvl w:ilvl="3">
      <w:lvlJc w:val="left"/>
      <w:lvlText w:val="-"/>
      <w:numFmt w:val="bullet"/>
      <w:start w:val="1"/>
    </w:lvl>
  </w:abstractNum>
  <w:abstractNum w:abstractNumId="331">
    <w:nsid w:val="67A5A6B5"/>
    <w:multiLevelType w:val="hybridMultilevel"/>
    <w:lvl w:ilvl="0">
      <w:lvlJc w:val="left"/>
      <w:lvlText w:val="%1"/>
      <w:numFmt w:val="decimal"/>
      <w:start w:val="1"/>
    </w:lvl>
    <w:lvl w:ilvl="1">
      <w:lvlJc w:val="left"/>
      <w:lvlText w:val="%2."/>
      <w:numFmt w:val="decimal"/>
      <w:start w:val="3"/>
    </w:lvl>
    <w:lvl w:ilvl="2">
      <w:lvlJc w:val="left"/>
      <w:lvlText w:val="(%3)"/>
      <w:numFmt w:val="lowerLetter"/>
      <w:start w:val="1"/>
    </w:lvl>
    <w:lvl w:ilvl="3">
      <w:lvlJc w:val="left"/>
      <w:lvlText w:val="-"/>
      <w:numFmt w:val="bullet"/>
      <w:start w:val="1"/>
    </w:lvl>
  </w:abstractNum>
  <w:abstractNum w:abstractNumId="332">
    <w:nsid w:val="C2A5C5B"/>
    <w:multiLevelType w:val="hybridMultilevel"/>
    <w:lvl w:ilvl="0">
      <w:lvlJc w:val="left"/>
      <w:lvlText w:val="(%1)"/>
      <w:numFmt w:val="decimal"/>
      <w:start w:val="27"/>
    </w:lvl>
    <w:lvl w:ilvl="1">
      <w:lvlJc w:val="left"/>
      <w:lvlText w:val="%2"/>
      <w:numFmt w:val="decimal"/>
      <w:start w:val="1"/>
    </w:lvl>
    <w:lvl w:ilvl="2">
      <w:lvlJc w:val="left"/>
      <w:lvlText w:val="%3"/>
      <w:numFmt w:val="lowerLetter"/>
      <w:start w:val="1"/>
    </w:lvl>
    <w:lvl w:ilvl="3">
      <w:lvlJc w:val="left"/>
      <w:lvlText w:val="-"/>
      <w:numFmt w:val="bullet"/>
      <w:start w:val="1"/>
    </w:lvl>
  </w:abstractNum>
  <w:abstractNum w:abstractNumId="333">
    <w:nsid w:val="5F94DC03"/>
    <w:multiLevelType w:val="hybridMultilevel"/>
    <w:lvl w:ilvl="0">
      <w:lvlJc w:val="left"/>
      <w:lvlText w:val="%1"/>
      <w:numFmt w:val="lowerLetter"/>
      <w:start w:val="1"/>
    </w:lvl>
    <w:lvl w:ilvl="1">
      <w:lvlJc w:val="left"/>
      <w:lvlText w:val="%2."/>
      <w:numFmt w:val="decimal"/>
      <w:start w:val="5"/>
    </w:lvl>
    <w:lvl w:ilvl="2">
      <w:lvlJc w:val="left"/>
      <w:lvlText w:val="(%3)"/>
      <w:numFmt w:val="lowerLetter"/>
      <w:start w:val="1"/>
    </w:lvl>
    <w:lvl w:ilvl="3">
      <w:lvlJc w:val="left"/>
      <w:lvlText w:val="-"/>
      <w:numFmt w:val="bullet"/>
      <w:start w:val="1"/>
    </w:lvl>
  </w:abstractNum>
  <w:abstractNum w:abstractNumId="334">
    <w:nsid w:val="237BBCA0"/>
    <w:multiLevelType w:val="hybridMultilevel"/>
    <w:lvl w:ilvl="0">
      <w:lvlJc w:val="left"/>
      <w:lvlText w:val="(%1)"/>
      <w:numFmt w:val="lowerLetter"/>
      <w:start w:val="61"/>
    </w:lvl>
    <w:lvl w:ilvl="1">
      <w:lvlJc w:val="left"/>
      <w:lvlText w:val="%2"/>
      <w:numFmt w:val="decimal"/>
      <w:start w:val="1"/>
    </w:lvl>
    <w:lvl w:ilvl="2">
      <w:lvlJc w:val="left"/>
      <w:lvlText w:val="(%3)"/>
      <w:numFmt w:val="lowerLetter"/>
      <w:start w:val="7"/>
    </w:lvl>
    <w:lvl w:ilvl="3">
      <w:lvlJc w:val="left"/>
      <w:lvlText w:val="-"/>
      <w:numFmt w:val="bullet"/>
      <w:start w:val="1"/>
    </w:lvl>
  </w:abstractNum>
  <w:abstractNum w:abstractNumId="335">
    <w:nsid w:val="162EB70D"/>
    <w:multiLevelType w:val="hybridMultilevel"/>
    <w:lvl w:ilvl="0">
      <w:lvlJc w:val="left"/>
      <w:lvlText w:val="%1"/>
      <w:numFmt w:val="lowerLetter"/>
      <w:start w:val="1"/>
    </w:lvl>
    <w:lvl w:ilvl="1">
      <w:lvlJc w:val="left"/>
      <w:lvlText w:val="%2."/>
      <w:numFmt w:val="decimal"/>
      <w:start w:val="7"/>
    </w:lvl>
    <w:lvl w:ilvl="2">
      <w:lvlJc w:val="left"/>
      <w:lvlText w:val="(%3)"/>
      <w:numFmt w:val="lowerLetter"/>
      <w:start w:val="1"/>
    </w:lvl>
    <w:lvl w:ilvl="3">
      <w:lvlJc w:val="left"/>
      <w:lvlText w:val="-"/>
      <w:numFmt w:val="bullet"/>
      <w:start w:val="1"/>
    </w:lvl>
  </w:abstractNum>
  <w:abstractNum w:abstractNumId="336">
    <w:nsid w:val="78070222"/>
    <w:multiLevelType w:val="hybridMultilevel"/>
    <w:lvl w:ilvl="0">
      <w:lvlJc w:val="left"/>
      <w:lvlText w:val="(%1)"/>
      <w:numFmt w:val="lowerLetter"/>
      <w:start w:val="9"/>
    </w:lvl>
    <w:lvl w:ilvl="1">
      <w:lvlJc w:val="left"/>
      <w:lvlText w:val="%2"/>
      <w:numFmt w:val="decimal"/>
      <w:start w:val="1"/>
    </w:lvl>
    <w:lvl w:ilvl="2">
      <w:lvlJc w:val="left"/>
      <w:lvlText w:val="%3"/>
      <w:numFmt w:val="lowerLetter"/>
      <w:start w:val="1"/>
    </w:lvl>
    <w:lvl w:ilvl="3">
      <w:lvlJc w:val="left"/>
      <w:lvlText w:val="-"/>
      <w:numFmt w:val="bullet"/>
      <w:start w:val="1"/>
    </w:lvl>
  </w:abstractNum>
  <w:abstractNum w:abstractNumId="337">
    <w:nsid w:val="6163ED0D"/>
    <w:multiLevelType w:val="hybridMultilevel"/>
    <w:lvl w:ilvl="0">
      <w:lvlJc w:val="left"/>
      <w:lvlText w:val="%1."/>
      <w:numFmt w:val="decimal"/>
      <w:start w:val="9"/>
    </w:lvl>
    <w:lvl w:ilvl="1">
      <w:lvlJc w:val="left"/>
      <w:lvlText w:val="(%2)"/>
      <w:numFmt w:val="lowerLetter"/>
      <w:start w:val="1"/>
    </w:lvl>
    <w:lvl w:ilvl="2">
      <w:lvlJc w:val="left"/>
      <w:lvlText w:val="-"/>
      <w:numFmt w:val="bullet"/>
      <w:start w:val="1"/>
    </w:lvl>
  </w:abstractNum>
  <w:abstractNum w:abstractNumId="338">
    <w:nsid w:val="C600E47"/>
    <w:multiLevelType w:val="hybridMultilevel"/>
    <w:lvl w:ilvl="0">
      <w:lvlJc w:val="left"/>
      <w:lvlText w:val="%1."/>
      <w:numFmt w:val="decimal"/>
      <w:start w:val="11"/>
    </w:lvl>
    <w:lvl w:ilvl="1">
      <w:lvlJc w:val="left"/>
      <w:lvlText w:val="(%2)"/>
      <w:numFmt w:val="lowerLetter"/>
      <w:start w:val="1"/>
    </w:lvl>
    <w:lvl w:ilvl="2">
      <w:lvlJc w:val="left"/>
      <w:lvlText w:val="-"/>
      <w:numFmt w:val="bullet"/>
      <w:start w:val="1"/>
    </w:lvl>
  </w:abstractNum>
  <w:abstractNum w:abstractNumId="339">
    <w:nsid w:val="7D94F75D"/>
    <w:multiLevelType w:val="hybridMultilevel"/>
    <w:lvl w:ilvl="0">
      <w:lvlJc w:val="left"/>
      <w:lvlText w:val="%1."/>
      <w:numFmt w:val="decimal"/>
      <w:start w:val="14"/>
    </w:lvl>
    <w:lvl w:ilvl="1">
      <w:lvlJc w:val="left"/>
      <w:lvlText w:val="(%2)"/>
      <w:numFmt w:val="lowerLetter"/>
      <w:start w:val="1"/>
    </w:lvl>
    <w:lvl w:ilvl="2">
      <w:lvlJc w:val="left"/>
      <w:lvlText w:val="-"/>
      <w:numFmt w:val="bullet"/>
      <w:start w:val="1"/>
    </w:lvl>
  </w:abstractNum>
  <w:abstractNum w:abstractNumId="340">
    <w:nsid w:val="6C31E7CD"/>
    <w:multiLevelType w:val="hybridMultilevel"/>
    <w:lvl w:ilvl="0">
      <w:lvlJc w:val="left"/>
      <w:lvlText w:val="%1"/>
      <w:numFmt w:val="decimal"/>
      <w:start w:val="1"/>
    </w:lvl>
    <w:lvl w:ilvl="1">
      <w:lvlJc w:val="left"/>
      <w:lvlText w:val="(%2)"/>
      <w:numFmt w:val="lowerLetter"/>
      <w:start w:val="3"/>
    </w:lvl>
    <w:lvl w:ilvl="2">
      <w:lvlJc w:val="left"/>
      <w:lvlText w:val="-"/>
      <w:numFmt w:val="bullet"/>
      <w:start w:val="1"/>
    </w:lvl>
  </w:abstractNum>
  <w:abstractNum w:abstractNumId="341">
    <w:nsid w:val="2BB7929B"/>
    <w:multiLevelType w:val="hybridMultilevel"/>
    <w:lvl w:ilvl="0">
      <w:lvlJc w:val="left"/>
      <w:lvlText w:val="%1."/>
      <w:numFmt w:val="decimal"/>
      <w:start w:val="16"/>
    </w:lvl>
    <w:lvl w:ilvl="1">
      <w:lvlJc w:val="left"/>
      <w:lvlText w:val="(%2)"/>
      <w:numFmt w:val="lowerLetter"/>
      <w:start w:val="1"/>
    </w:lvl>
    <w:lvl w:ilvl="2">
      <w:lvlJc w:val="left"/>
      <w:lvlText w:val="-"/>
      <w:numFmt w:val="bullet"/>
      <w:start w:val="1"/>
    </w:lvl>
  </w:abstractNum>
  <w:abstractNum w:abstractNumId="342">
    <w:nsid w:val="58A2A487"/>
    <w:multiLevelType w:val="hybridMultilevel"/>
    <w:lvl w:ilvl="0">
      <w:lvlJc w:val="left"/>
      <w:lvlText w:val="%1"/>
      <w:numFmt w:val="decimal"/>
      <w:start w:val="1"/>
    </w:lvl>
    <w:lvl w:ilvl="1">
      <w:lvlJc w:val="left"/>
      <w:lvlText w:val="(%2)"/>
      <w:numFmt w:val="lowerLetter"/>
      <w:start w:val="3"/>
    </w:lvl>
    <w:lvl w:ilvl="2">
      <w:lvlJc w:val="left"/>
      <w:lvlText w:val="-"/>
      <w:numFmt w:val="bullet"/>
      <w:start w:val="1"/>
    </w:lvl>
  </w:abstractNum>
  <w:abstractNum w:abstractNumId="343">
    <w:nsid w:val="3A6F0E78"/>
    <w:multiLevelType w:val="hybridMultilevel"/>
    <w:lvl w:ilvl="0">
      <w:lvlJc w:val="left"/>
      <w:lvlText w:val="%1."/>
      <w:numFmt w:val="decimal"/>
      <w:start w:val="20"/>
    </w:lvl>
    <w:lvl w:ilvl="1">
      <w:lvlJc w:val="left"/>
      <w:lvlText w:val="(%2)"/>
      <w:numFmt w:val="lowerLetter"/>
      <w:start w:val="1"/>
    </w:lvl>
    <w:lvl w:ilvl="2">
      <w:lvlJc w:val="left"/>
      <w:lvlText w:val="-"/>
      <w:numFmt w:val="bullet"/>
      <w:start w:val="1"/>
    </w:lvl>
  </w:abstractNum>
  <w:abstractNum w:abstractNumId="344">
    <w:nsid w:val="379A5B56"/>
    <w:multiLevelType w:val="hybridMultilevel"/>
    <w:lvl w:ilvl="0">
      <w:lvlJc w:val="left"/>
      <w:lvlText w:val="(%1)"/>
      <w:numFmt w:val="lowerRoman"/>
      <w:start w:val="1"/>
    </w:lvl>
  </w:abstractNum>
  <w:abstractNum w:abstractNumId="345">
    <w:nsid w:val="53B735D5"/>
    <w:multiLevelType w:val="hybridMultilevel"/>
    <w:lvl w:ilvl="0">
      <w:lvlJc w:val="left"/>
      <w:lvlText w:val="%1."/>
      <w:numFmt w:val="decimal"/>
      <w:start w:val="21"/>
    </w:lvl>
  </w:abstractNum>
  <w:abstractNum w:abstractNumId="346">
    <w:nsid w:val="29784870"/>
    <w:multiLevelType w:val="hybridMultilevel"/>
    <w:lvl w:ilvl="0">
      <w:lvlJc w:val="left"/>
      <w:lvlText w:val="%1."/>
      <w:numFmt w:val="decimal"/>
      <w:start w:val="23"/>
    </w:lvl>
    <w:lvl w:ilvl="1">
      <w:lvlJc w:val="left"/>
      <w:lvlText w:val="-"/>
      <w:numFmt w:val="bullet"/>
      <w:start w:val="1"/>
    </w:lvl>
  </w:abstractNum>
  <w:abstractNum w:abstractNumId="347">
    <w:nsid w:val="4CDCED4C"/>
    <w:multiLevelType w:val="hybridMultilevel"/>
    <w:lvl w:ilvl="0">
      <w:lvlJc w:val="left"/>
      <w:lvlText w:val="%1."/>
      <w:numFmt w:val="decimal"/>
      <w:start w:val="24"/>
    </w:lvl>
    <w:lvl w:ilvl="1">
      <w:lvlJc w:val="left"/>
      <w:lvlText w:val="-"/>
      <w:numFmt w:val="bullet"/>
      <w:start w:val="1"/>
    </w:lvl>
  </w:abstractNum>
  <w:abstractNum w:abstractNumId="348">
    <w:nsid w:val="10A30D9C"/>
    <w:multiLevelType w:val="hybridMultilevel"/>
    <w:lvl w:ilvl="0">
      <w:lvlJc w:val="left"/>
      <w:lvlText w:val="%1."/>
      <w:numFmt w:val="decimal"/>
      <w:start w:val="1"/>
    </w:lvl>
  </w:abstractNum>
  <w:abstractNum w:abstractNumId="349">
    <w:nsid w:val="A66E486"/>
    <w:multiLevelType w:val="hybridMultilevel"/>
    <w:lvl w:ilvl="0">
      <w:lvlJc w:val="left"/>
      <w:lvlText w:val="%1."/>
      <w:numFmt w:val="decimal"/>
      <w:start w:val="3"/>
    </w:lvl>
  </w:abstractNum>
  <w:abstractNum w:abstractNumId="350">
    <w:nsid w:val="306235EA"/>
    <w:multiLevelType w:val="hybridMultilevel"/>
    <w:lvl w:ilvl="0">
      <w:lvlJc w:val="left"/>
      <w:lvlText w:val="%1."/>
      <w:numFmt w:val="decimal"/>
      <w:start w:val="6"/>
    </w:lvl>
    <w:lvl w:ilvl="1">
      <w:lvlJc w:val="left"/>
      <w:lvlText w:val="-"/>
      <w:numFmt w:val="bullet"/>
      <w:start w:val="1"/>
    </w:lvl>
  </w:abstractNum>
  <w:abstractNum w:abstractNumId="351">
    <w:nsid w:val="1187C70F"/>
    <w:multiLevelType w:val="hybridMultilevel"/>
    <w:lvl w:ilvl="0">
      <w:lvlJc w:val="left"/>
      <w:lvlText w:val="%1."/>
      <w:numFmt w:val="decimal"/>
      <w:start w:val="7"/>
    </w:lvl>
  </w:abstractNum>
  <w:abstractNum w:abstractNumId="352">
    <w:nsid w:val="5476DE98"/>
    <w:multiLevelType w:val="hybridMultilevel"/>
    <w:lvl w:ilvl="0">
      <w:lvlJc w:val="left"/>
      <w:lvlText w:val="%1."/>
      <w:numFmt w:val="decimal"/>
      <w:start w:val="1"/>
    </w:lvl>
  </w:abstractNum>
  <w:abstractNum w:abstractNumId="353">
    <w:nsid w:val="EA697F2"/>
    <w:multiLevelType w:val="hybridMultilevel"/>
    <w:lvl w:ilvl="0">
      <w:lvlJc w:val="left"/>
      <w:lvlText w:val="%1."/>
      <w:numFmt w:val="decimal"/>
      <w:start w:val="3"/>
    </w:lvl>
  </w:abstractNum>
  <w:abstractNum w:abstractNumId="354">
    <w:nsid w:val="70BA39EB"/>
    <w:multiLevelType w:val="hybridMultilevel"/>
    <w:lvl w:ilvl="0">
      <w:lvlJc w:val="left"/>
      <w:lvlText w:val="%1."/>
      <w:numFmt w:val="decimal"/>
      <w:start w:val="4"/>
    </w:lvl>
  </w:abstractNum>
  <w:abstractNum w:abstractNumId="355">
    <w:nsid w:val="4A8DB59C"/>
    <w:multiLevelType w:val="hybridMultilevel"/>
    <w:lvl w:ilvl="0">
      <w:lvlJc w:val="left"/>
      <w:lvlText w:val="(%1)"/>
      <w:numFmt w:val="lowerLetter"/>
      <w:start w:val="2"/>
    </w:lvl>
  </w:abstractNum>
  <w:abstractNum w:abstractNumId="356">
    <w:nsid w:val="1AFD9053"/>
    <w:multiLevelType w:val="hybridMultilevel"/>
    <w:lvl w:ilvl="0">
      <w:lvlJc w:val="left"/>
      <w:lvlText w:val="%1."/>
      <w:numFmt w:val="decimal"/>
      <w:start w:val="5"/>
    </w:lvl>
  </w:abstractNum>
  <w:abstractNum w:abstractNumId="357">
    <w:nsid w:val="558BB10D"/>
    <w:multiLevelType w:val="hybridMultilevel"/>
    <w:lvl w:ilvl="0">
      <w:lvlJc w:val="left"/>
      <w:lvlText w:val="%1."/>
      <w:numFmt w:val="decimal"/>
      <w:start w:val="6"/>
    </w:lvl>
  </w:abstractNum>
  <w:abstractNum w:abstractNumId="358">
    <w:nsid w:val="43B27FA7"/>
    <w:multiLevelType w:val="hybridMultilevel"/>
    <w:lvl w:ilvl="0">
      <w:lvlJc w:val="left"/>
      <w:lvlText w:val="%1."/>
      <w:numFmt w:val="decimal"/>
      <w:start w:val="7"/>
    </w:lvl>
  </w:abstractNum>
  <w:abstractNum w:abstractNumId="359">
    <w:nsid w:val="27FADEFA"/>
    <w:multiLevelType w:val="hybridMultilevel"/>
    <w:lvl w:ilvl="0">
      <w:lvlJc w:val="left"/>
      <w:lvlText w:val="%1."/>
      <w:numFmt w:val="decimal"/>
      <w:start w:val="8"/>
    </w:lvl>
  </w:abstractNum>
  <w:abstractNum w:abstractNumId="360">
    <w:nsid w:val="78BB805A"/>
    <w:multiLevelType w:val="hybridMultilevel"/>
    <w:lvl w:ilvl="0">
      <w:lvlJc w:val="left"/>
      <w:lvlText w:val="(%1)"/>
      <w:numFmt w:val="lowerLetter"/>
      <w:start w:val="1"/>
    </w:lvl>
  </w:abstractNum>
  <w:abstractNum w:abstractNumId="361">
    <w:nsid w:val="62548FD8"/>
    <w:multiLevelType w:val="hybridMultilevel"/>
    <w:lvl w:ilvl="0">
      <w:lvlJc w:val="left"/>
      <w:lvlText w:val="%1."/>
      <w:numFmt w:val="decimal"/>
      <w:start w:val="9"/>
    </w:lvl>
  </w:abstractNum>
  <w:abstractNum w:abstractNumId="362">
    <w:nsid w:val="FA085B0"/>
    <w:multiLevelType w:val="hybridMultilevel"/>
    <w:lvl w:ilvl="0">
      <w:lvlJc w:val="left"/>
      <w:lvlText w:val="%1."/>
      <w:numFmt w:val="decimal"/>
      <w:start w:val="10"/>
    </w:lvl>
  </w:abstractNum>
  <w:abstractNum w:abstractNumId="363">
    <w:nsid w:val="4E5DCB5"/>
    <w:multiLevelType w:val="hybridMultilevel"/>
    <w:lvl w:ilvl="0">
      <w:lvlJc w:val="left"/>
      <w:lvlText w:val="%1."/>
      <w:numFmt w:val="decimal"/>
      <w:start w:val="11"/>
    </w:lvl>
  </w:abstractNum>
  <w:abstractNum w:abstractNumId="364">
    <w:nsid w:val="41E96BDB"/>
    <w:multiLevelType w:val="hybridMultilevel"/>
    <w:lvl w:ilvl="0">
      <w:lvlJc w:val="left"/>
      <w:lvlText w:val="(%1)"/>
      <w:numFmt w:val="lowerLetter"/>
      <w:start w:val="1"/>
    </w:lvl>
  </w:abstractNum>
  <w:abstractNum w:abstractNumId="365">
    <w:nsid w:val="331C4250"/>
    <w:multiLevelType w:val="hybridMultilevel"/>
    <w:lvl w:ilvl="0">
      <w:lvlJc w:val="left"/>
      <w:lvlText w:val="%1."/>
      <w:numFmt w:val="decimal"/>
      <w:start w:val="12"/>
    </w:lvl>
  </w:abstractNum>
  <w:abstractNum w:abstractNumId="366">
    <w:nsid w:val="1B1493C2"/>
    <w:multiLevelType w:val="hybridMultilevel"/>
    <w:lvl w:ilvl="0">
      <w:lvlJc w:val="left"/>
      <w:lvlText w:val="(%1)"/>
      <w:numFmt w:val="lowerLetter"/>
      <w:start w:val="1"/>
    </w:lvl>
  </w:abstractNum>
  <w:abstractNum w:abstractNumId="367">
    <w:nsid w:val="39F06DFD"/>
    <w:multiLevelType w:val="hybridMultilevel"/>
    <w:lvl w:ilvl="0">
      <w:lvlJc w:val="left"/>
      <w:lvlText w:val="(%1)"/>
      <w:numFmt w:val="lowerLetter"/>
      <w:start w:val="9"/>
    </w:lvl>
  </w:abstractNum>
  <w:abstractNum w:abstractNumId="368">
    <w:nsid w:val="14802F5D"/>
    <w:multiLevelType w:val="hybridMultilevel"/>
    <w:lvl w:ilvl="0">
      <w:lvlJc w:val="left"/>
      <w:lvlText w:val="%1."/>
      <w:numFmt w:val="decimal"/>
      <w:start w:val="13"/>
    </w:lvl>
  </w:abstractNum>
  <w:abstractNum w:abstractNumId="369">
    <w:nsid w:val="2774A209"/>
    <w:multiLevelType w:val="hybridMultilevel"/>
    <w:lvl w:ilvl="0">
      <w:lvlJc w:val="left"/>
      <w:lvlText w:val="%1."/>
      <w:numFmt w:val="decimal"/>
      <w:start w:val="14"/>
    </w:lvl>
    <w:lvl w:ilvl="1">
      <w:lvlJc w:val="left"/>
      <w:lvlText w:val="(%2)"/>
      <w:numFmt w:val="lowerLetter"/>
      <w:start w:val="1"/>
    </w:lvl>
  </w:abstractNum>
  <w:abstractNum w:abstractNumId="370">
    <w:nsid w:val="3785655A"/>
    <w:multiLevelType w:val="hybridMultilevel"/>
    <w:lvl w:ilvl="0">
      <w:lvlJc w:val="left"/>
      <w:lvlText w:val="(%1)"/>
      <w:numFmt w:val="lowerLetter"/>
      <w:start w:val="3"/>
    </w:lvl>
  </w:abstractNum>
  <w:abstractNum w:abstractNumId="371">
    <w:nsid w:val="B2172A"/>
    <w:multiLevelType w:val="hybridMultilevel"/>
    <w:lvl w:ilvl="0">
      <w:lvlJc w:val="left"/>
      <w:lvlText w:val="(%1)"/>
      <w:numFmt w:val="lowerLetter"/>
      <w:start w:val="1"/>
    </w:lvl>
  </w:abstractNum>
  <w:abstractNum w:abstractNumId="372">
    <w:nsid w:val="532C34A5"/>
    <w:multiLevelType w:val="hybridMultilevel"/>
    <w:lvl w:ilvl="0">
      <w:lvlJc w:val="left"/>
      <w:lvlText w:val="%1."/>
      <w:numFmt w:val="decimal"/>
      <w:start w:val="1"/>
    </w:lvl>
  </w:abstractNum>
  <w:abstractNum w:abstractNumId="373">
    <w:nsid w:val="102809E2"/>
    <w:multiLevelType w:val="hybridMultilevel"/>
    <w:lvl w:ilvl="0">
      <w:lvlJc w:val="left"/>
      <w:lvlText w:val="%1."/>
      <w:numFmt w:val="decimal"/>
      <w:start w:val="8"/>
    </w:lvl>
    <w:lvl w:ilvl="1">
      <w:lvlJc w:val="left"/>
      <w:lvlText w:val="-"/>
      <w:numFmt w:val="bullet"/>
      <w:start w:val="1"/>
    </w:lvl>
  </w:abstractNum>
  <w:abstractNum w:abstractNumId="374">
    <w:nsid w:val="3B2125A3"/>
    <w:multiLevelType w:val="hybridMultilevel"/>
    <w:lvl w:ilvl="0">
      <w:lvlJc w:val="left"/>
      <w:lvlText w:val="%1."/>
      <w:numFmt w:val="decimal"/>
      <w:start w:val="13"/>
    </w:lvl>
    <w:lvl w:ilvl="1">
      <w:lvlJc w:val="left"/>
      <w:lvlText w:val="-"/>
      <w:numFmt w:val="bullet"/>
      <w:start w:val="1"/>
    </w:lvl>
  </w:abstractNum>
  <w:abstractNum w:abstractNumId="375">
    <w:nsid w:val="AC68FFB"/>
    <w:multiLevelType w:val="hybridMultilevel"/>
    <w:lvl w:ilvl="0">
      <w:lvlJc w:val="left"/>
      <w:lvlText w:val="%1."/>
      <w:numFmt w:val="decimal"/>
      <w:start w:val="20"/>
    </w:lvl>
  </w:abstractNum>
  <w:abstractNum w:abstractNumId="376">
    <w:nsid w:val="63DF3FB7"/>
    <w:multiLevelType w:val="hybridMultilevel"/>
    <w:lvl w:ilvl="0">
      <w:lvlJc w:val="left"/>
      <w:lvlText w:val="%1."/>
      <w:numFmt w:val="decimal"/>
      <w:start w:val="1"/>
    </w:lvl>
  </w:abstractNum>
  <w:abstractNum w:abstractNumId="377">
    <w:nsid w:val="64996E13"/>
    <w:multiLevelType w:val="hybridMultilevel"/>
    <w:lvl w:ilvl="0">
      <w:lvlJc w:val="left"/>
      <w:lvlText w:val="%1."/>
      <w:numFmt w:val="decimal"/>
      <w:start w:val="3"/>
    </w:lvl>
  </w:abstractNum>
  <w:abstractNum w:abstractNumId="378">
    <w:nsid w:val="57A37D47"/>
    <w:multiLevelType w:val="hybridMultilevel"/>
    <w:lvl w:ilvl="0">
      <w:lvlJc w:val="left"/>
      <w:lvlText w:val="(%1)"/>
      <w:numFmt w:val="lowerLetter"/>
      <w:start w:val="1"/>
    </w:lvl>
  </w:abstractNum>
  <w:abstractNum w:abstractNumId="379">
    <w:nsid w:val="74824D54"/>
    <w:multiLevelType w:val="hybridMultilevel"/>
    <w:lvl w:ilvl="0">
      <w:lvlJc w:val="left"/>
      <w:lvlText w:val="(%1)"/>
      <w:numFmt w:val="lowerLetter"/>
      <w:start w:val="11"/>
    </w:lvl>
  </w:abstractNum>
  <w:abstractNum w:abstractNumId="380">
    <w:nsid w:val="6F00529A"/>
    <w:multiLevelType w:val="hybridMultilevel"/>
    <w:lvl w:ilvl="0">
      <w:lvlJc w:val="left"/>
      <w:lvlText w:val="%1."/>
      <w:numFmt w:val="decimal"/>
      <w:start w:val="5"/>
    </w:lvl>
  </w:abstractNum>
  <w:abstractNum w:abstractNumId="381">
    <w:nsid w:val="805B331"/>
    <w:multiLevelType w:val="hybridMultilevel"/>
    <w:lvl w:ilvl="0">
      <w:lvlJc w:val="left"/>
      <w:lvlText w:val="(%1)"/>
      <w:numFmt w:val="decimal"/>
      <w:start w:val="10"/>
    </w:lvl>
  </w:abstractNum>
  <w:abstractNum w:abstractNumId="382">
    <w:nsid w:val="60A1463"/>
    <w:multiLevelType w:val="hybridMultilevel"/>
    <w:lvl w:ilvl="0">
      <w:lvlJc w:val="left"/>
      <w:lvlText w:val="%1"/>
      <w:numFmt w:val="decimal"/>
      <w:start w:val="1"/>
    </w:lvl>
    <w:lvl w:ilvl="1">
      <w:lvlJc w:val="left"/>
      <w:lvlText w:val="(%2)"/>
      <w:numFmt w:val="lowerLetter"/>
      <w:start w:val="1"/>
    </w:lvl>
  </w:abstractNum>
  <w:abstractNum w:abstractNumId="383">
    <w:nsid w:val="43773132"/>
    <w:multiLevelType w:val="hybridMultilevel"/>
    <w:lvl w:ilvl="0">
      <w:lvlJc w:val="left"/>
      <w:lvlText w:val="(%1)"/>
      <w:numFmt w:val="decimal"/>
      <w:start w:val="3"/>
    </w:lvl>
    <w:lvl w:ilvl="1">
      <w:lvlJc w:val="left"/>
      <w:lvlText w:val="(%2)"/>
      <w:numFmt w:val="lowerLetter"/>
      <w:start w:val="2"/>
    </w:lvl>
  </w:abstractNum>
  <w:abstractNum w:abstractNumId="384">
    <w:nsid w:val="16AC4B23"/>
    <w:multiLevelType w:val="hybridMultilevel"/>
    <w:lvl w:ilvl="0">
      <w:lvlJc w:val="left"/>
      <w:lvlText w:val="(%1)"/>
      <w:numFmt w:val="decimal"/>
      <w:start w:val="12"/>
    </w:lvl>
    <w:lvl w:ilvl="1">
      <w:lvlJc w:val="left"/>
      <w:lvlText w:val="(%2)"/>
      <w:numFmt w:val="lowerLetter"/>
      <w:start w:val="3"/>
    </w:lvl>
  </w:abstractNum>
  <w:abstractNum w:abstractNumId="385">
    <w:nsid w:val="76C44E4E"/>
    <w:multiLevelType w:val="hybridMultilevel"/>
    <w:lvl w:ilvl="0">
      <w:lvlJc w:val="left"/>
      <w:lvlText w:val="(%1)"/>
      <w:numFmt w:val="decimal"/>
      <w:start w:val="5"/>
    </w:lvl>
    <w:lvl w:ilvl="1">
      <w:lvlJc w:val="left"/>
      <w:lvlText w:val="%2."/>
      <w:numFmt w:val="decimal"/>
      <w:start w:val="6"/>
    </w:lvl>
  </w:abstractNum>
  <w:abstractNum w:abstractNumId="386">
    <w:nsid w:val="E04E6CE"/>
    <w:multiLevelType w:val="hybridMultilevel"/>
    <w:lvl w:ilvl="0">
      <w:lvlJc w:val="left"/>
      <w:lvlText w:val="%1."/>
      <w:numFmt w:val="decimal"/>
      <w:start w:val="7"/>
    </w:lvl>
  </w:abstractNum>
  <w:abstractNum w:abstractNumId="387">
    <w:nsid w:val="31A9DB76"/>
    <w:multiLevelType w:val="hybridMultilevel"/>
    <w:lvl w:ilvl="0">
      <w:lvlJc w:val="left"/>
      <w:lvlText w:val="%1."/>
      <w:numFmt w:val="decimal"/>
      <w:start w:val="8"/>
    </w:lvl>
  </w:abstractNum>
  <w:abstractNum w:abstractNumId="388">
    <w:nsid w:val="4C4FFF5B"/>
    <w:multiLevelType w:val="hybridMultilevel"/>
    <w:lvl w:ilvl="0">
      <w:lvlJc w:val="left"/>
      <w:lvlText w:val="%1"/>
      <w:numFmt w:val="lowerLetter"/>
      <w:start w:val="1"/>
    </w:lvl>
    <w:lvl w:ilvl="1">
      <w:lvlJc w:val="left"/>
      <w:lvlText w:val="(%2)"/>
      <w:numFmt w:val="lowerLetter"/>
      <w:start w:val="1"/>
    </w:lvl>
  </w:abstractNum>
  <w:abstractNum w:abstractNumId="389">
    <w:nsid w:val="51B76675"/>
    <w:multiLevelType w:val="hybridMultilevel"/>
    <w:lvl w:ilvl="0">
      <w:lvlJc w:val="left"/>
      <w:lvlText w:val="(%1)"/>
      <w:numFmt w:val="lowerLetter"/>
      <w:start w:val="9"/>
    </w:lvl>
    <w:lvl w:ilvl="1">
      <w:lvlJc w:val="left"/>
      <w:lvlText w:val="(%2)"/>
      <w:numFmt w:val="lowerLetter"/>
      <w:start w:val="4"/>
    </w:lvl>
  </w:abstractNum>
  <w:abstractNum w:abstractNumId="390">
    <w:nsid w:val="59A4BA71"/>
    <w:multiLevelType w:val="hybridMultilevel"/>
    <w:lvl w:ilvl="0">
      <w:lvlJc w:val="left"/>
      <w:lvlText w:val="%1"/>
      <w:numFmt w:val="lowerLetter"/>
      <w:start w:val="1"/>
    </w:lvl>
    <w:lvl w:ilvl="1">
      <w:lvlJc w:val="left"/>
      <w:lvlText w:val="(%2)"/>
      <w:numFmt w:val="lowerLetter"/>
      <w:start w:val="35"/>
    </w:lvl>
  </w:abstractNum>
  <w:abstractNum w:abstractNumId="391">
    <w:nsid w:val="450B7FB6"/>
    <w:multiLevelType w:val="hybridMultilevel"/>
    <w:lvl w:ilvl="0">
      <w:lvlJc w:val="left"/>
      <w:lvlText w:val="(%1)"/>
      <w:numFmt w:val="lowerLetter"/>
      <w:start w:val="7"/>
    </w:lvl>
    <w:lvl w:ilvl="1">
      <w:lvlJc w:val="left"/>
      <w:lvlText w:val="%2"/>
      <w:numFmt w:val="lowerLetter"/>
      <w:start w:val="1"/>
    </w:lvl>
  </w:abstractNum>
  <w:abstractNum w:abstractNumId="392">
    <w:nsid w:val="340BF64D"/>
    <w:multiLevelType w:val="hybridMultilevel"/>
    <w:lvl w:ilvl="0">
      <w:lvlJc w:val="left"/>
      <w:lvlText w:val="%1."/>
      <w:numFmt w:val="decimal"/>
      <w:start w:val="9"/>
    </w:lvl>
  </w:abstractNum>
  <w:abstractNum w:abstractNumId="393">
    <w:nsid w:val="69454021"/>
    <w:multiLevelType w:val="hybridMultilevel"/>
    <w:lvl w:ilvl="0">
      <w:lvlJc w:val="left"/>
      <w:lvlText w:val="%1."/>
      <w:numFmt w:val="decimal"/>
      <w:start w:val="10"/>
    </w:lvl>
  </w:abstractNum>
  <w:abstractNum w:abstractNumId="394">
    <w:nsid w:val="49F15C6B"/>
    <w:multiLevelType w:val="hybridMultilevel"/>
    <w:lvl w:ilvl="0">
      <w:lvlJc w:val="left"/>
      <w:lvlText w:val="%1."/>
      <w:numFmt w:val="decimal"/>
      <w:start w:val="11"/>
    </w:lvl>
  </w:abstractNum>
  <w:abstractNum w:abstractNumId="395">
    <w:nsid w:val="75F56228"/>
    <w:multiLevelType w:val="hybridMultilevel"/>
    <w:lvl w:ilvl="0">
      <w:lvlJc w:val="left"/>
      <w:lvlText w:val="%1."/>
      <w:numFmt w:val="decimal"/>
      <w:start w:val="13"/>
    </w:lvl>
  </w:abstractNum>
  <w:abstractNum w:abstractNumId="396">
    <w:nsid w:val="1C618271"/>
    <w:multiLevelType w:val="hybridMultilevel"/>
    <w:lvl w:ilvl="0">
      <w:lvlJc w:val="left"/>
      <w:lvlText w:val="%1."/>
      <w:numFmt w:val="decimal"/>
      <w:start w:val="15"/>
    </w:lvl>
  </w:abstractNum>
  <w:abstractNum w:abstractNumId="397">
    <w:nsid w:val="6505F02E"/>
    <w:multiLevelType w:val="hybridMultilevel"/>
    <w:lvl w:ilvl="0">
      <w:lvlJc w:val="left"/>
      <w:lvlText w:val="%1."/>
      <w:numFmt w:val="decimal"/>
      <w:start w:val="17"/>
    </w:lvl>
  </w:abstractNum>
  <w:abstractNum w:abstractNumId="398">
    <w:nsid w:val="2FE5D025"/>
    <w:multiLevelType w:val="hybridMultilevel"/>
    <w:lvl w:ilvl="0">
      <w:lvlJc w:val="left"/>
      <w:lvlText w:val="%1."/>
      <w:numFmt w:val="decimal"/>
      <w:start w:val="19"/>
    </w:lvl>
  </w:abstractNum>
  <w:abstractNum w:abstractNumId="399">
    <w:nsid w:val="30E1B1CF"/>
    <w:multiLevelType w:val="hybridMultilevel"/>
    <w:lvl w:ilvl="0">
      <w:lvlJc w:val="left"/>
      <w:lvlText w:val="%1."/>
      <w:numFmt w:val="decimal"/>
      <w:start w:val="23"/>
    </w:lvl>
  </w:abstractNum>
  <w:abstractNum w:abstractNumId="400">
    <w:nsid w:val="C7A9237"/>
    <w:multiLevelType w:val="hybridMultilevel"/>
    <w:lvl w:ilvl="0">
      <w:lvlJc w:val="left"/>
      <w:lvlText w:val="(%1)"/>
      <w:numFmt w:val="lowerLetter"/>
      <w:start w:val="1"/>
    </w:lvl>
  </w:abstractNum>
  <w:abstractNum w:abstractNumId="401">
    <w:nsid w:val="676B3580"/>
    <w:multiLevelType w:val="hybridMultilevel"/>
    <w:lvl w:ilvl="0">
      <w:lvlJc w:val="left"/>
      <w:lvlText w:val="%1."/>
      <w:numFmt w:val="decimal"/>
    </w:lvl>
    <w:lvl w:ilvl="1">
      <w:lvlJc w:val="left"/>
      <w:lvlText w:val="["/>
      <w:numFmt w:val="bullet"/>
      <w:start w:val="1"/>
    </w:lvl>
  </w:abstractNum>
  <w:abstractNum w:abstractNumId="402">
    <w:nsid w:val="3193C8F9"/>
    <w:multiLevelType w:val="hybridMultilevel"/>
    <w:lvl w:ilvl="0">
      <w:lvlJc w:val="left"/>
      <w:lvlText w:val="%1."/>
      <w:numFmt w:val="decimal"/>
      <w:start w:val="3"/>
    </w:lvl>
  </w:abstractNum>
  <w:abstractNum w:abstractNumId="403">
    <w:nsid w:val="5FA6C6DC"/>
    <w:multiLevelType w:val="hybridMultilevel"/>
    <w:lvl w:ilvl="0">
      <w:lvlJc w:val="left"/>
      <w:lvlText w:val="%1."/>
      <w:numFmt w:val="decimal"/>
      <w:start w:val="4"/>
    </w:lvl>
  </w:abstractNum>
  <w:abstractNum w:abstractNumId="404">
    <w:nsid w:val="77933F62"/>
    <w:multiLevelType w:val="hybridMultilevel"/>
    <w:lvl w:ilvl="0">
      <w:lvlJc w:val="left"/>
      <w:lvlText w:val="%1"/>
      <w:numFmt w:val="lowerLetter"/>
      <w:start w:val="1"/>
    </w:lvl>
    <w:lvl w:ilvl="1">
      <w:lvlJc w:val="left"/>
      <w:lvlText w:val="(%2)"/>
      <w:numFmt w:val="lowerLetter"/>
      <w:start w:val="1"/>
    </w:lvl>
  </w:abstractNum>
  <w:abstractNum w:abstractNumId="405">
    <w:nsid w:val="6CB4EE9C"/>
    <w:multiLevelType w:val="hybridMultilevel"/>
    <w:lvl w:ilvl="0">
      <w:lvlJc w:val="left"/>
      <w:lvlText w:val="(%1)"/>
      <w:numFmt w:val="lowerLetter"/>
      <w:start w:val="35"/>
    </w:lvl>
    <w:lvl w:ilvl="1">
      <w:lvlJc w:val="left"/>
      <w:lvlText w:val="%2"/>
      <w:numFmt w:val="lowerLetter"/>
      <w:start w:val="1"/>
    </w:lvl>
  </w:abstractNum>
  <w:abstractNum w:abstractNumId="406">
    <w:nsid w:val="6A6D56D7"/>
    <w:multiLevelType w:val="hybridMultilevel"/>
    <w:lvl w:ilvl="0">
      <w:lvlJc w:val="left"/>
      <w:lvlText w:val="(%1)"/>
      <w:numFmt w:val="lowerLetter"/>
      <w:start w:val="4"/>
    </w:lvl>
  </w:abstractNum>
  <w:abstractNum w:abstractNumId="407">
    <w:nsid w:val="5B727F19"/>
    <w:multiLevelType w:val="hybridMultilevel"/>
    <w:lvl w:ilvl="0">
      <w:lvlJc w:val="left"/>
      <w:lvlText w:val="%1."/>
      <w:numFmt w:val="decimal"/>
      <w:start w:val="5"/>
    </w:lvl>
  </w:abstractNum>
  <w:abstractNum w:abstractNumId="408">
    <w:nsid w:val="514E5CB0"/>
    <w:multiLevelType w:val="hybridMultilevel"/>
    <w:lvl w:ilvl="0">
      <w:lvlJc w:val="left"/>
      <w:lvlText w:val="%1."/>
      <w:numFmt w:val="decimal"/>
      <w:start w:val="7"/>
    </w:lvl>
  </w:abstractNum>
  <w:abstractNum w:abstractNumId="409">
    <w:nsid w:val="4210D41E"/>
    <w:multiLevelType w:val="hybridMultilevel"/>
    <w:lvl w:ilvl="0">
      <w:lvlJc w:val="left"/>
      <w:lvlText w:val="(%1)"/>
      <w:numFmt w:val="lowerLetter"/>
      <w:start w:val="1"/>
    </w:lvl>
  </w:abstractNum>
  <w:abstractNum w:abstractNumId="410">
    <w:nsid w:val="4FF4CC6D"/>
    <w:multiLevelType w:val="hybridMultilevel"/>
    <w:lvl w:ilvl="0">
      <w:lvlJc w:val="left"/>
      <w:lvlText w:val="%1."/>
      <w:numFmt w:val="decimal"/>
      <w:start w:val="11"/>
    </w:lvl>
  </w:abstractNum>
  <w:abstractNum w:abstractNumId="411">
    <w:nsid w:val="404EAF4A"/>
    <w:multiLevelType w:val="hybridMultilevel"/>
    <w:lvl w:ilvl="0">
      <w:lvlJc w:val="left"/>
      <w:lvlText w:val="%1"/>
      <w:numFmt w:val="lowerRoman"/>
      <w:start w:val="1"/>
    </w:lvl>
    <w:lvl w:ilvl="1">
      <w:lvlJc w:val="left"/>
      <w:lvlText w:val="%2."/>
      <w:numFmt w:val="decimal"/>
      <w:start w:val="13"/>
    </w:lvl>
  </w:abstractNum>
  <w:abstractNum w:abstractNumId="412">
    <w:nsid w:val="4A16874F"/>
    <w:multiLevelType w:val="hybridMultilevel"/>
    <w:lvl w:ilvl="0">
      <w:lvlJc w:val="left"/>
      <w:lvlText w:val="(%1)"/>
      <w:numFmt w:val="lowerRoman"/>
      <w:start w:val="4"/>
    </w:lvl>
    <w:lvl w:ilvl="1">
      <w:lvlJc w:val="left"/>
      <w:lvlText w:val="%2"/>
      <w:numFmt w:val="decimal"/>
      <w:start w:val="1"/>
    </w:lvl>
  </w:abstractNum>
  <w:abstractNum w:abstractNumId="413">
    <w:nsid w:val="55FEE0D1"/>
    <w:multiLevelType w:val="hybridMultilevel"/>
    <w:lvl w:ilvl="0">
      <w:lvlJc w:val="left"/>
      <w:lvlText w:val="%1."/>
      <w:numFmt w:val="decimal"/>
      <w:start w:val="16"/>
    </w:lvl>
  </w:abstractNum>
  <w:abstractNum w:abstractNumId="414">
    <w:nsid w:val="3C5E07C"/>
    <w:multiLevelType w:val="hybridMultilevel"/>
    <w:lvl w:ilvl="0">
      <w:lvlJc w:val="left"/>
      <w:lvlText w:val="%1."/>
      <w:numFmt w:val="decimal"/>
      <w:start w:val="19"/>
    </w:lvl>
  </w:abstractNum>
  <w:abstractNum w:abstractNumId="415">
    <w:nsid w:val="60C2D273"/>
    <w:multiLevelType w:val="hybridMultilevel"/>
    <w:lvl w:ilvl="0">
      <w:lvlJc w:val="left"/>
      <w:lvlText w:val="%1."/>
      <w:numFmt w:val="decimal"/>
      <w:start w:val="1"/>
    </w:lvl>
  </w:abstractNum>
  <w:abstractNum w:abstractNumId="416">
    <w:nsid w:val="4CC32F1F"/>
    <w:multiLevelType w:val="hybridMultilevel"/>
    <w:lvl w:ilvl="0">
      <w:lvlJc w:val="left"/>
      <w:lvlText w:val="%1."/>
      <w:numFmt w:val="decimal"/>
      <w:start w:val="3"/>
    </w:lvl>
  </w:abstractNum>
  <w:abstractNum w:abstractNumId="417">
    <w:nsid w:val="11CAC74A"/>
    <w:multiLevelType w:val="hybridMultilevel"/>
    <w:lvl w:ilvl="0">
      <w:lvlJc w:val="left"/>
      <w:lvlText w:val="%1."/>
      <w:numFmt w:val="decimal"/>
      <w:start w:val="4"/>
    </w:lvl>
  </w:abstractNum>
  <w:abstractNum w:abstractNumId="418">
    <w:nsid w:val="126CADE9"/>
    <w:multiLevelType w:val="hybridMultilevel"/>
    <w:lvl w:ilvl="0">
      <w:lvlJc w:val="left"/>
      <w:lvlText w:val="%1"/>
      <w:numFmt w:val="lowerLetter"/>
      <w:start w:val="1"/>
    </w:lvl>
    <w:lvl w:ilvl="1">
      <w:lvlJc w:val="left"/>
      <w:lvlText w:val="(%2)"/>
      <w:numFmt w:val="lowerLetter"/>
      <w:start w:val="1"/>
    </w:lvl>
  </w:abstractNum>
  <w:abstractNum w:abstractNumId="419">
    <w:nsid w:val="19132E7B"/>
    <w:multiLevelType w:val="hybridMultilevel"/>
    <w:lvl w:ilvl="0">
      <w:lvlJc w:val="left"/>
      <w:lvlText w:val="(%1)"/>
      <w:numFmt w:val="lowerLetter"/>
      <w:start w:val="35"/>
    </w:lvl>
    <w:lvl w:ilvl="1">
      <w:lvlJc w:val="left"/>
      <w:lvlText w:val="%2"/>
      <w:numFmt w:val="lowerLetter"/>
      <w:start w:val="1"/>
    </w:lvl>
  </w:abstractNum>
  <w:abstractNum w:abstractNumId="420">
    <w:nsid w:val="63822DC0"/>
    <w:multiLevelType w:val="hybridMultilevel"/>
    <w:lvl w:ilvl="0">
      <w:lvlJc w:val="left"/>
      <w:lvlText w:val="(%1)"/>
      <w:numFmt w:val="lowerLetter"/>
      <w:start w:val="4"/>
    </w:lvl>
  </w:abstractNum>
  <w:abstractNum w:abstractNumId="421">
    <w:nsid w:val="6C11685A"/>
    <w:multiLevelType w:val="hybridMultilevel"/>
    <w:lvl w:ilvl="0">
      <w:lvlJc w:val="left"/>
      <w:lvlText w:val="%1."/>
      <w:numFmt w:val="decimal"/>
      <w:start w:val="5"/>
    </w:lvl>
  </w:abstractNum>
  <w:abstractNum w:abstractNumId="422">
    <w:nsid w:val="5E1EAE31"/>
    <w:multiLevelType w:val="hybridMultilevel"/>
    <w:lvl w:ilvl="0">
      <w:lvlJc w:val="left"/>
      <w:lvlText w:val="%1."/>
      <w:numFmt w:val="decimal"/>
      <w:start w:val="7"/>
    </w:lvl>
  </w:abstractNum>
  <w:abstractNum w:abstractNumId="423">
    <w:nsid w:val="178E240D"/>
    <w:multiLevelType w:val="hybridMultilevel"/>
    <w:lvl w:ilvl="0">
      <w:lvlJc w:val="left"/>
      <w:lvlText w:val="%1"/>
      <w:numFmt w:val="lowerRoman"/>
      <w:start w:val="1"/>
    </w:lvl>
    <w:lvl w:ilvl="1">
      <w:lvlJc w:val="left"/>
      <w:lvlText w:val="%2"/>
      <w:numFmt w:val="decimal"/>
      <w:start w:val="1"/>
    </w:lvl>
    <w:lvl w:ilvl="2">
      <w:lvlJc w:val="left"/>
      <w:lvlText w:val="(%3)"/>
      <w:numFmt w:val="lowerLetter"/>
      <w:start w:val="1"/>
    </w:lvl>
  </w:abstractNum>
  <w:abstractNum w:abstractNumId="424">
    <w:nsid w:val="5556A87B"/>
    <w:multiLevelType w:val="hybridMultilevel"/>
    <w:lvl w:ilvl="0">
      <w:lvlJc w:val="left"/>
      <w:lvlText w:val="%1"/>
      <w:numFmt w:val="lowerRoman"/>
      <w:start w:val="1"/>
    </w:lvl>
    <w:lvl w:ilvl="1">
      <w:lvlJc w:val="left"/>
      <w:lvlText w:val="%2."/>
      <w:numFmt w:val="decimal"/>
      <w:start w:val="10"/>
    </w:lvl>
    <w:lvl w:ilvl="2">
      <w:lvlJc w:val="left"/>
      <w:lvlText w:val="%3"/>
      <w:numFmt w:val="lowerLetter"/>
      <w:start w:val="1"/>
    </w:lvl>
  </w:abstractNum>
  <w:abstractNum w:abstractNumId="425">
    <w:nsid w:val="28100A9C"/>
    <w:multiLevelType w:val="hybridMultilevel"/>
    <w:lvl w:ilvl="0">
      <w:lvlJc w:val="left"/>
      <w:lvlText w:val="(%1)"/>
      <w:numFmt w:val="lowerRoman"/>
      <w:start w:val="4"/>
    </w:lvl>
    <w:lvl w:ilvl="1">
      <w:lvlJc w:val="left"/>
      <w:lvlText w:val="%2"/>
      <w:numFmt w:val="decimal"/>
      <w:start w:val="1"/>
    </w:lvl>
    <w:lvl w:ilvl="2">
      <w:lvlJc w:val="left"/>
      <w:lvlText w:val="%3"/>
      <w:numFmt w:val="lowerLetter"/>
      <w:start w:val="1"/>
    </w:lvl>
  </w:abstractNum>
  <w:abstractNum w:abstractNumId="426">
    <w:nsid w:val="D838636"/>
    <w:multiLevelType w:val="hybridMultilevel"/>
    <w:lvl w:ilvl="0">
      <w:lvlJc w:val="left"/>
      <w:lvlText w:val="%1."/>
      <w:numFmt w:val="decimal"/>
      <w:start w:val="15"/>
    </w:lvl>
  </w:abstractNum>
  <w:abstractNum w:abstractNumId="427">
    <w:nsid w:val="71B82AED"/>
    <w:multiLevelType w:val="hybridMultilevel"/>
    <w:lvl w:ilvl="0">
      <w:lvlJc w:val="left"/>
      <w:lvlText w:val="%1."/>
      <w:numFmt w:val="decimal"/>
      <w:start w:val="22"/>
    </w:lvl>
  </w:abstractNum>
  <w:abstractNum w:abstractNumId="428">
    <w:nsid w:val="D15FACA"/>
    <w:multiLevelType w:val="hybridMultilevel"/>
    <w:lvl w:ilvl="0">
      <w:lvlJc w:val="left"/>
      <w:lvlText w:val="%1."/>
      <w:numFmt w:val="decimal"/>
      <w:start w:val="1"/>
    </w:lvl>
  </w:abstractNum>
  <w:abstractNum w:abstractNumId="429">
    <w:nsid w:val="3D69565B"/>
    <w:multiLevelType w:val="hybridMultilevel"/>
    <w:lvl w:ilvl="0">
      <w:lvlJc w:val="left"/>
      <w:lvlText w:val="%1."/>
      <w:numFmt w:val="decimal"/>
      <w:start w:val="2"/>
    </w:lvl>
  </w:abstractNum>
  <w:abstractNum w:abstractNumId="430">
    <w:nsid w:val="2299DCBC"/>
    <w:multiLevelType w:val="hybridMultilevel"/>
    <w:lvl w:ilvl="0">
      <w:lvlJc w:val="left"/>
      <w:lvlText w:val="%1."/>
      <w:numFmt w:val="decimal"/>
      <w:start w:val="3"/>
    </w:lvl>
  </w:abstractNum>
  <w:abstractNum w:abstractNumId="431">
    <w:nsid w:val="19908D02"/>
    <w:multiLevelType w:val="hybridMultilevel"/>
    <w:lvl w:ilvl="0">
      <w:lvlJc w:val="left"/>
      <w:lvlText w:val="%1."/>
      <w:numFmt w:val="decimal"/>
      <w:start w:val="4"/>
    </w:lvl>
  </w:abstractNum>
  <w:abstractNum w:abstractNumId="432">
    <w:nsid w:val="24D48BDB"/>
    <w:multiLevelType w:val="hybridMultilevel"/>
    <w:lvl w:ilvl="0">
      <w:lvlJc w:val="left"/>
      <w:lvlText w:val="%1."/>
      <w:numFmt w:val="decimal"/>
      <w:start w:val="5"/>
    </w:lvl>
  </w:abstractNum>
  <w:abstractNum w:abstractNumId="433">
    <w:nsid w:val="542DA5B5"/>
    <w:multiLevelType w:val="hybridMultilevel"/>
    <w:lvl w:ilvl="0">
      <w:lvlJc w:val="left"/>
      <w:lvlText w:val="%1."/>
      <w:numFmt w:val="decimal"/>
      <w:start w:val="6"/>
    </w:lvl>
  </w:abstractNum>
  <w:abstractNum w:abstractNumId="434">
    <w:nsid w:val="793753DE"/>
    <w:multiLevelType w:val="hybridMultilevel"/>
    <w:lvl w:ilvl="0">
      <w:lvlJc w:val="left"/>
      <w:lvlText w:val="(%1)"/>
      <w:numFmt w:val="lowerLetter"/>
      <w:start w:val="1"/>
    </w:lvl>
  </w:abstractNum>
  <w:abstractNum w:abstractNumId="435">
    <w:nsid w:val="1C67CB3D"/>
    <w:multiLevelType w:val="hybridMultilevel"/>
    <w:lvl w:ilvl="0">
      <w:lvlJc w:val="left"/>
      <w:lvlText w:val="(%1)"/>
      <w:numFmt w:val="lowerLetter"/>
      <w:start w:val="4"/>
    </w:lvl>
  </w:abstractNum>
  <w:abstractNum w:abstractNumId="436">
    <w:nsid w:val="40E29452"/>
    <w:multiLevelType w:val="hybridMultilevel"/>
    <w:lvl w:ilvl="0">
      <w:lvlJc w:val="left"/>
      <w:lvlText w:val="%1."/>
      <w:numFmt w:val="decimal"/>
      <w:start w:val="7"/>
    </w:lvl>
  </w:abstractNum>
  <w:abstractNum w:abstractNumId="437">
    <w:nsid w:val="63A4AAB6"/>
    <w:multiLevelType w:val="hybridMultilevel"/>
    <w:lvl w:ilvl="0">
      <w:lvlJc w:val="left"/>
      <w:lvlText w:val="%1."/>
      <w:numFmt w:val="decimal"/>
      <w:start w:val="9"/>
    </w:lvl>
  </w:abstractNum>
  <w:abstractNum w:abstractNumId="438">
    <w:nsid w:val="77DA4A57"/>
    <w:multiLevelType w:val="hybridMultilevel"/>
    <w:lvl w:ilvl="0">
      <w:lvlJc w:val="left"/>
      <w:lvlText w:val="(%1)"/>
      <w:numFmt w:val="lowerRoman"/>
      <w:start w:val="7"/>
    </w:lvl>
  </w:abstractNum>
  <w:abstractNum w:abstractNumId="439">
    <w:nsid w:val="1230F102"/>
    <w:multiLevelType w:val="hybridMultilevel"/>
    <w:lvl w:ilvl="0">
      <w:lvlJc w:val="left"/>
      <w:lvlText w:val="%1."/>
      <w:numFmt w:val="decimal"/>
      <w:start w:val="10"/>
    </w:lvl>
  </w:abstractNum>
  <w:abstractNum w:abstractNumId="440">
    <w:nsid w:val="25B57ED4"/>
    <w:multiLevelType w:val="hybridMultilevel"/>
    <w:lvl w:ilvl="0">
      <w:lvlJc w:val="left"/>
      <w:lvlText w:val="%1."/>
      <w:numFmt w:val="decimal"/>
      <w:start w:val="12"/>
    </w:lvl>
  </w:abstractNum>
  <w:abstractNum w:abstractNumId="441">
    <w:nsid w:val="47CF16C4"/>
    <w:multiLevelType w:val="hybridMultilevel"/>
    <w:lvl w:ilvl="0">
      <w:lvlJc w:val="left"/>
      <w:lvlText w:val="%1."/>
      <w:numFmt w:val="decimal"/>
      <w:start w:val="13"/>
    </w:lvl>
  </w:abstractNum>
  <w:abstractNum w:abstractNumId="442">
    <w:nsid w:val="527FA04C"/>
    <w:multiLevelType w:val="hybridMultilevel"/>
    <w:lvl w:ilvl="0">
      <w:lvlJc w:val="left"/>
      <w:lvlText w:val="(%1)"/>
      <w:numFmt w:val="lowerLetter"/>
      <w:start w:val="1"/>
    </w:lvl>
  </w:abstractNum>
  <w:abstractNum w:abstractNumId="443">
    <w:nsid w:val="6FCC0624"/>
    <w:multiLevelType w:val="hybridMultilevel"/>
    <w:lvl w:ilvl="0">
      <w:lvlJc w:val="left"/>
      <w:lvlText w:val="(%1)"/>
      <w:numFmt w:val="lowerLetter"/>
      <w:start w:val="2"/>
    </w:lvl>
  </w:abstractNum>
  <w:abstractNum w:abstractNumId="444">
    <w:nsid w:val="1DCDF795"/>
    <w:multiLevelType w:val="hybridMultilevel"/>
    <w:lvl w:ilvl="0">
      <w:lvlJc w:val="left"/>
      <w:lvlText w:val="%1"/>
      <w:numFmt w:val="lowerRoman"/>
      <w:start w:val="1"/>
    </w:lvl>
    <w:lvl w:ilvl="1">
      <w:lvlJc w:val="left"/>
      <w:lvlText w:val="%2."/>
      <w:numFmt w:val="decimal"/>
      <w:start w:val="14"/>
    </w:lvl>
  </w:abstractNum>
  <w:abstractNum w:abstractNumId="445">
    <w:nsid w:val="564580C8"/>
    <w:multiLevelType w:val="hybridMultilevel"/>
    <w:lvl w:ilvl="0">
      <w:lvlJc w:val="left"/>
      <w:lvlText w:val="(%1)"/>
      <w:numFmt w:val="lowerRoman"/>
      <w:start w:val="4"/>
    </w:lvl>
    <w:lvl w:ilvl="1">
      <w:lvlJc w:val="left"/>
      <w:lvlText w:val="%2"/>
      <w:numFmt w:val="decimal"/>
      <w:start w:val="1"/>
    </w:lvl>
  </w:abstractNum>
  <w:abstractNum w:abstractNumId="446">
    <w:nsid w:val="508ED897"/>
    <w:multiLevelType w:val="hybridMultilevel"/>
    <w:lvl w:ilvl="0">
      <w:lvlJc w:val="left"/>
      <w:lvlText w:val="%1."/>
      <w:numFmt w:val="decimal"/>
      <w:start w:val="18"/>
    </w:lvl>
  </w:abstractNum>
  <w:abstractNum w:abstractNumId="447">
    <w:nsid w:val="6A9126B5"/>
    <w:multiLevelType w:val="hybridMultilevel"/>
    <w:lvl w:ilvl="0">
      <w:lvlJc w:val="left"/>
      <w:lvlText w:val="%1."/>
      <w:numFmt w:val="decimal"/>
      <w:start w:val="1"/>
    </w:lvl>
  </w:abstractNum>
  <w:abstractNum w:abstractNumId="448">
    <w:nsid w:val="68104812"/>
    <w:multiLevelType w:val="hybridMultilevel"/>
    <w:lvl w:ilvl="0">
      <w:lvlJc w:val="left"/>
      <w:lvlText w:val="%1."/>
      <w:numFmt w:val="decimal"/>
      <w:start w:val="6"/>
    </w:lvl>
  </w:abstractNum>
  <w:abstractNum w:abstractNumId="449">
    <w:nsid w:val="62FB8680"/>
    <w:multiLevelType w:val="hybridMultilevel"/>
    <w:lvl w:ilvl="0">
      <w:lvlJc w:val="left"/>
      <w:lvlText w:val="%1."/>
      <w:numFmt w:val="decimal"/>
      <w:start w:val="9"/>
    </w:lvl>
  </w:abstractNum>
  <w:abstractNum w:abstractNumId="450">
    <w:nsid w:val="3A45530"/>
    <w:multiLevelType w:val="hybridMultilevel"/>
    <w:lvl w:ilvl="0">
      <w:lvlJc w:val="left"/>
      <w:lvlText w:val="%1."/>
      <w:numFmt w:val="decimal"/>
      <w:start w:val="1"/>
    </w:lvl>
  </w:abstractNum>
  <w:abstractNum w:abstractNumId="451">
    <w:nsid w:val="4B9275D2"/>
    <w:multiLevelType w:val="hybridMultilevel"/>
    <w:lvl w:ilvl="0">
      <w:lvlJc w:val="left"/>
      <w:lvlText w:val="["/>
      <w:numFmt w:val="bullet"/>
      <w:start w:val="1"/>
    </w:lvl>
  </w:abstractNum>
  <w:abstractNum w:abstractNumId="452">
    <w:nsid w:val="4F0CEEDB"/>
    <w:multiLevelType w:val="hybridMultilevel"/>
    <w:lvl w:ilvl="0">
      <w:lvlJc w:val="left"/>
      <w:lvlText w:val="["/>
      <w:numFmt w:val="bullet"/>
      <w:start w:val="1"/>
    </w:lvl>
  </w:abstractNum>
  <w:abstractNum w:abstractNumId="453">
    <w:nsid w:val="61C30361"/>
    <w:multiLevelType w:val="hybridMultilevel"/>
    <w:lvl w:ilvl="0">
      <w:lvlJc w:val="left"/>
      <w:lvlText w:val="%1."/>
      <w:numFmt w:val="decimal"/>
      <w:start w:val="2"/>
    </w:lvl>
  </w:abstractNum>
  <w:abstractNum w:abstractNumId="454">
    <w:nsid w:val="632099E0"/>
    <w:multiLevelType w:val="hybridMultilevel"/>
    <w:lvl w:ilvl="0">
      <w:lvlJc w:val="left"/>
      <w:lvlText w:val="%1."/>
      <w:numFmt w:val="decimal"/>
      <w:start w:val="3"/>
    </w:lvl>
  </w:abstractNum>
  <w:abstractNum w:abstractNumId="455">
    <w:nsid w:val="24639756"/>
    <w:multiLevelType w:val="hybridMultilevel"/>
    <w:lvl w:ilvl="0">
      <w:lvlJc w:val="left"/>
      <w:lvlText w:val="%1."/>
      <w:numFmt w:val="decimal"/>
      <w:start w:val="4"/>
    </w:lvl>
  </w:abstractNum>
  <w:abstractNum w:abstractNumId="456">
    <w:nsid w:val="9D30DFD"/>
    <w:multiLevelType w:val="hybridMultilevel"/>
    <w:lvl w:ilvl="0">
      <w:lvlJc w:val="left"/>
      <w:lvlText w:val="%1."/>
      <w:numFmt w:val="decimal"/>
      <w:start w:val="5"/>
    </w:lvl>
  </w:abstractNum>
  <w:abstractNum w:abstractNumId="457">
    <w:nsid w:val="70A42016"/>
    <w:multiLevelType w:val="hybridMultilevel"/>
    <w:lvl w:ilvl="0">
      <w:lvlJc w:val="left"/>
      <w:lvlText w:val="%1."/>
      <w:numFmt w:val="decimal"/>
      <w:start w:val="6"/>
    </w:lvl>
  </w:abstractNum>
  <w:abstractNum w:abstractNumId="458">
    <w:nsid w:val="161BC243"/>
    <w:multiLevelType w:val="hybridMultilevel"/>
    <w:lvl w:ilvl="0">
      <w:lvlJc w:val="left"/>
      <w:lvlText w:val="(%1)"/>
      <w:numFmt w:val="lowerLetter"/>
      <w:start w:val="1"/>
    </w:lvl>
  </w:abstractNum>
  <w:abstractNum w:abstractNumId="459">
    <w:nsid w:val="16E908C8"/>
    <w:multiLevelType w:val="hybridMultilevel"/>
    <w:lvl w:ilvl="0">
      <w:lvlJc w:val="left"/>
      <w:lvlText w:val="%1)"/>
      <w:numFmt w:val="decimal"/>
      <w:start w:val="144"/>
    </w:lvl>
    <w:lvl w:ilvl="1">
      <w:lvlJc w:val="left"/>
      <w:lvlText w:val="(%2)"/>
      <w:numFmt w:val="lowerLetter"/>
      <w:start w:val="4"/>
    </w:lvl>
  </w:abstractNum>
  <w:abstractNum w:abstractNumId="460">
    <w:nsid w:val="2E0D7671"/>
    <w:multiLevelType w:val="hybridMultilevel"/>
    <w:lvl w:ilvl="0">
      <w:lvlJc w:val="left"/>
      <w:lvlText w:val="%1."/>
      <w:numFmt w:val="decimal"/>
      <w:start w:val="7"/>
    </w:lvl>
  </w:abstractNum>
  <w:abstractNum w:abstractNumId="461">
    <w:nsid w:val="38B59EFF"/>
    <w:multiLevelType w:val="hybridMultilevel"/>
    <w:lvl w:ilvl="0">
      <w:lvlJc w:val="left"/>
      <w:lvlText w:val="%1."/>
      <w:numFmt w:val="decimal"/>
      <w:start w:val="9"/>
    </w:lvl>
  </w:abstractNum>
  <w:abstractNum w:abstractNumId="462">
    <w:nsid w:val="307995CA"/>
    <w:multiLevelType w:val="hybridMultilevel"/>
    <w:lvl w:ilvl="0">
      <w:lvlJc w:val="left"/>
      <w:lvlText w:val="%1."/>
      <w:numFmt w:val="decimal"/>
      <w:start w:val="10"/>
    </w:lvl>
  </w:abstractNum>
  <w:abstractNum w:abstractNumId="463">
    <w:nsid w:val="52E2024D"/>
    <w:multiLevelType w:val="hybridMultilevel"/>
    <w:lvl w:ilvl="0">
      <w:lvlJc w:val="left"/>
      <w:lvlText w:val="%1."/>
      <w:numFmt w:val="decimal"/>
      <w:start w:val="12"/>
    </w:lvl>
  </w:abstractNum>
  <w:abstractNum w:abstractNumId="464">
    <w:nsid w:val="CE344B5"/>
    <w:multiLevelType w:val="hybridMultilevel"/>
    <w:lvl w:ilvl="0">
      <w:lvlJc w:val="left"/>
      <w:lvlText w:val="(%1)"/>
      <w:numFmt w:val="lowerLetter"/>
      <w:start w:val="1"/>
    </w:lvl>
  </w:abstractNum>
  <w:abstractNum w:abstractNumId="465">
    <w:nsid w:val="29B0E9A8"/>
    <w:multiLevelType w:val="hybridMultilevel"/>
    <w:lvl w:ilvl="0">
      <w:lvlJc w:val="left"/>
      <w:lvlText w:val="(%1)"/>
      <w:numFmt w:val="decimal"/>
      <w:start w:val="1"/>
    </w:lvl>
    <w:lvl w:ilvl="1">
      <w:lvlJc w:val="left"/>
      <w:lvlText w:val="%2."/>
      <w:numFmt w:val="decimal"/>
      <w:start w:val="12"/>
    </w:lvl>
    <w:lvl w:ilvl="2">
      <w:lvlJc w:val="left"/>
      <w:lvlText w:val="(%3)"/>
      <w:numFmt w:val="lowerLetter"/>
      <w:start w:val="2"/>
    </w:lvl>
  </w:abstractNum>
  <w:abstractNum w:abstractNumId="466">
    <w:nsid w:val="6F49CD8A"/>
    <w:multiLevelType w:val="hybridMultilevel"/>
    <w:lvl w:ilvl="0">
      <w:lvlJc w:val="left"/>
      <w:lvlText w:val="%1."/>
      <w:numFmt w:val="decimal"/>
      <w:start w:val="17"/>
    </w:lvl>
  </w:abstractNum>
  <w:abstractNum w:abstractNumId="467">
    <w:nsid w:val="4DC5D907"/>
    <w:multiLevelType w:val="hybridMultilevel"/>
    <w:lvl w:ilvl="0">
      <w:lvlJc w:val="left"/>
      <w:lvlText w:val="(%1)"/>
      <w:numFmt w:val="lowerLetter"/>
      <w:start w:val="2"/>
    </w:lvl>
    <w:lvl w:ilvl="1">
      <w:lvlJc w:val="left"/>
      <w:lvlText w:val="-"/>
      <w:numFmt w:val="bullet"/>
      <w:start w:val="1"/>
    </w:lvl>
  </w:abstractNum>
  <w:abstractNum w:abstractNumId="468">
    <w:nsid w:val="D55945E"/>
    <w:multiLevelType w:val="hybridMultilevel"/>
    <w:lvl w:ilvl="0">
      <w:lvlJc w:val="left"/>
      <w:lvlText w:val="%1."/>
      <w:numFmt w:val="decimal"/>
      <w:start w:val="1"/>
    </w:lvl>
  </w:abstractNum>
  <w:abstractNum w:abstractNumId="469">
    <w:nsid w:val="672417E1"/>
    <w:multiLevelType w:val="hybridMultilevel"/>
    <w:lvl w:ilvl="0">
      <w:lvlJc w:val="left"/>
      <w:lvlText w:val="%1."/>
      <w:numFmt w:val="decimal"/>
      <w:start w:val="9"/>
    </w:lvl>
    <w:lvl w:ilvl="1">
      <w:lvlJc w:val="left"/>
      <w:lvlText w:val="-"/>
      <w:numFmt w:val="bullet"/>
      <w:start w:val="1"/>
    </w:lvl>
  </w:abstractNum>
  <w:abstractNum w:abstractNumId="470">
    <w:nsid w:val="5FF6CA09"/>
    <w:multiLevelType w:val="hybridMultilevel"/>
    <w:lvl w:ilvl="0">
      <w:lvlJc w:val="left"/>
      <w:lvlText w:val="%1."/>
      <w:numFmt w:val="decimal"/>
      <w:start w:val="13"/>
    </w:lvl>
    <w:lvl w:ilvl="1">
      <w:lvlJc w:val="left"/>
      <w:lvlText w:val="-"/>
      <w:numFmt w:val="bullet"/>
      <w:start w:val="1"/>
    </w:lvl>
  </w:abstractNum>
  <w:abstractNum w:abstractNumId="471">
    <w:nsid w:val="330B1333"/>
    <w:multiLevelType w:val="hybridMultilevel"/>
    <w:lvl w:ilvl="0">
      <w:lvlJc w:val="left"/>
      <w:lvlText w:val="%1."/>
      <w:numFmt w:val="decimal"/>
      <w:start w:val="1"/>
    </w:lvl>
  </w:abstractNum>
  <w:abstractNum w:abstractNumId="472">
    <w:nsid w:val="2EF32EA6"/>
    <w:multiLevelType w:val="hybridMultilevel"/>
    <w:lvl w:ilvl="0">
      <w:lvlJc w:val="left"/>
      <w:lvlText w:val="%1."/>
      <w:numFmt w:val="decimal"/>
      <w:start w:val="8"/>
    </w:lvl>
    <w:lvl w:ilvl="1">
      <w:lvlJc w:val="left"/>
      <w:lvlText w:val="-"/>
      <w:numFmt w:val="bullet"/>
      <w:start w:val="1"/>
    </w:lvl>
  </w:abstractNum>
  <w:abstractNum w:abstractNumId="473">
    <w:nsid w:val="32766A55"/>
    <w:multiLevelType w:val="hybridMultilevel"/>
    <w:lvl w:ilvl="0">
      <w:lvlJc w:val="left"/>
      <w:lvlText w:val="%1."/>
      <w:numFmt w:val="decimal"/>
      <w:start w:val="14"/>
    </w:lvl>
    <w:lvl w:ilvl="1">
      <w:lvlJc w:val="left"/>
      <w:lvlText w:val="-"/>
      <w:numFmt w:val="bullet"/>
      <w:start w:val="1"/>
    </w:lvl>
  </w:abstractNum>
  <w:abstractNum w:abstractNumId="474">
    <w:nsid w:val="22D71957"/>
    <w:multiLevelType w:val="hybridMultilevel"/>
    <w:lvl w:ilvl="0">
      <w:lvlJc w:val="left"/>
      <w:lvlText w:val="%1."/>
      <w:numFmt w:val="decimal"/>
      <w:start w:val="2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 w:numId="301">
    <w:abstractNumId w:val="300"/>
  </w:num>
  <w:num w:numId="302">
    <w:abstractNumId w:val="301"/>
  </w:num>
  <w:num w:numId="303">
    <w:abstractNumId w:val="302"/>
  </w:num>
  <w:num w:numId="304">
    <w:abstractNumId w:val="303"/>
  </w:num>
  <w:num w:numId="305">
    <w:abstractNumId w:val="304"/>
  </w:num>
  <w:num w:numId="306">
    <w:abstractNumId w:val="305"/>
  </w:num>
  <w:num w:numId="307">
    <w:abstractNumId w:val="306"/>
  </w:num>
  <w:num w:numId="308">
    <w:abstractNumId w:val="307"/>
  </w:num>
  <w:num w:numId="309">
    <w:abstractNumId w:val="308"/>
  </w:num>
  <w:num w:numId="310">
    <w:abstractNumId w:val="309"/>
  </w:num>
  <w:num w:numId="311">
    <w:abstractNumId w:val="310"/>
  </w:num>
  <w:num w:numId="312">
    <w:abstractNumId w:val="311"/>
  </w:num>
  <w:num w:numId="313">
    <w:abstractNumId w:val="312"/>
  </w:num>
  <w:num w:numId="314">
    <w:abstractNumId w:val="313"/>
  </w:num>
  <w:num w:numId="315">
    <w:abstractNumId w:val="314"/>
  </w:num>
  <w:num w:numId="316">
    <w:abstractNumId w:val="315"/>
  </w:num>
  <w:num w:numId="317">
    <w:abstractNumId w:val="316"/>
  </w:num>
  <w:num w:numId="318">
    <w:abstractNumId w:val="317"/>
  </w:num>
  <w:num w:numId="319">
    <w:abstractNumId w:val="318"/>
  </w:num>
  <w:num w:numId="320">
    <w:abstractNumId w:val="319"/>
  </w:num>
  <w:num w:numId="321">
    <w:abstractNumId w:val="320"/>
  </w:num>
  <w:num w:numId="322">
    <w:abstractNumId w:val="321"/>
  </w:num>
  <w:num w:numId="323">
    <w:abstractNumId w:val="322"/>
  </w:num>
  <w:num w:numId="324">
    <w:abstractNumId w:val="323"/>
  </w:num>
  <w:num w:numId="325">
    <w:abstractNumId w:val="324"/>
  </w:num>
  <w:num w:numId="326">
    <w:abstractNumId w:val="325"/>
  </w:num>
  <w:num w:numId="327">
    <w:abstractNumId w:val="326"/>
  </w:num>
  <w:num w:numId="328">
    <w:abstractNumId w:val="327"/>
  </w:num>
  <w:num w:numId="329">
    <w:abstractNumId w:val="328"/>
  </w:num>
  <w:num w:numId="330">
    <w:abstractNumId w:val="329"/>
  </w:num>
  <w:num w:numId="331">
    <w:abstractNumId w:val="330"/>
  </w:num>
  <w:num w:numId="332">
    <w:abstractNumId w:val="331"/>
  </w:num>
  <w:num w:numId="333">
    <w:abstractNumId w:val="332"/>
  </w:num>
  <w:num w:numId="334">
    <w:abstractNumId w:val="333"/>
  </w:num>
  <w:num w:numId="335">
    <w:abstractNumId w:val="334"/>
  </w:num>
  <w:num w:numId="336">
    <w:abstractNumId w:val="335"/>
  </w:num>
  <w:num w:numId="337">
    <w:abstractNumId w:val="336"/>
  </w:num>
  <w:num w:numId="338">
    <w:abstractNumId w:val="337"/>
  </w:num>
  <w:num w:numId="339">
    <w:abstractNumId w:val="338"/>
  </w:num>
  <w:num w:numId="340">
    <w:abstractNumId w:val="339"/>
  </w:num>
  <w:num w:numId="341">
    <w:abstractNumId w:val="340"/>
  </w:num>
  <w:num w:numId="342">
    <w:abstractNumId w:val="341"/>
  </w:num>
  <w:num w:numId="343">
    <w:abstractNumId w:val="342"/>
  </w:num>
  <w:num w:numId="344">
    <w:abstractNumId w:val="343"/>
  </w:num>
  <w:num w:numId="345">
    <w:abstractNumId w:val="344"/>
  </w:num>
  <w:num w:numId="346">
    <w:abstractNumId w:val="345"/>
  </w:num>
  <w:num w:numId="347">
    <w:abstractNumId w:val="346"/>
  </w:num>
  <w:num w:numId="348">
    <w:abstractNumId w:val="347"/>
  </w:num>
  <w:num w:numId="349">
    <w:abstractNumId w:val="348"/>
  </w:num>
  <w:num w:numId="350">
    <w:abstractNumId w:val="349"/>
  </w:num>
  <w:num w:numId="351">
    <w:abstractNumId w:val="350"/>
  </w:num>
  <w:num w:numId="352">
    <w:abstractNumId w:val="351"/>
  </w:num>
  <w:num w:numId="353">
    <w:abstractNumId w:val="352"/>
  </w:num>
  <w:num w:numId="354">
    <w:abstractNumId w:val="353"/>
  </w:num>
  <w:num w:numId="355">
    <w:abstractNumId w:val="354"/>
  </w:num>
  <w:num w:numId="356">
    <w:abstractNumId w:val="355"/>
  </w:num>
  <w:num w:numId="357">
    <w:abstractNumId w:val="356"/>
  </w:num>
  <w:num w:numId="358">
    <w:abstractNumId w:val="357"/>
  </w:num>
  <w:num w:numId="359">
    <w:abstractNumId w:val="358"/>
  </w:num>
  <w:num w:numId="360">
    <w:abstractNumId w:val="359"/>
  </w:num>
  <w:num w:numId="361">
    <w:abstractNumId w:val="360"/>
  </w:num>
  <w:num w:numId="362">
    <w:abstractNumId w:val="361"/>
  </w:num>
  <w:num w:numId="363">
    <w:abstractNumId w:val="362"/>
  </w:num>
  <w:num w:numId="364">
    <w:abstractNumId w:val="363"/>
  </w:num>
  <w:num w:numId="365">
    <w:abstractNumId w:val="364"/>
  </w:num>
  <w:num w:numId="366">
    <w:abstractNumId w:val="365"/>
  </w:num>
  <w:num w:numId="367">
    <w:abstractNumId w:val="366"/>
  </w:num>
  <w:num w:numId="368">
    <w:abstractNumId w:val="367"/>
  </w:num>
  <w:num w:numId="369">
    <w:abstractNumId w:val="368"/>
  </w:num>
  <w:num w:numId="370">
    <w:abstractNumId w:val="369"/>
  </w:num>
  <w:num w:numId="371">
    <w:abstractNumId w:val="370"/>
  </w:num>
  <w:num w:numId="372">
    <w:abstractNumId w:val="371"/>
  </w:num>
  <w:num w:numId="373">
    <w:abstractNumId w:val="372"/>
  </w:num>
  <w:num w:numId="374">
    <w:abstractNumId w:val="373"/>
  </w:num>
  <w:num w:numId="375">
    <w:abstractNumId w:val="374"/>
  </w:num>
  <w:num w:numId="376">
    <w:abstractNumId w:val="375"/>
  </w:num>
  <w:num w:numId="377">
    <w:abstractNumId w:val="376"/>
  </w:num>
  <w:num w:numId="378">
    <w:abstractNumId w:val="377"/>
  </w:num>
  <w:num w:numId="379">
    <w:abstractNumId w:val="378"/>
  </w:num>
  <w:num w:numId="380">
    <w:abstractNumId w:val="379"/>
  </w:num>
  <w:num w:numId="381">
    <w:abstractNumId w:val="380"/>
  </w:num>
  <w:num w:numId="382">
    <w:abstractNumId w:val="381"/>
  </w:num>
  <w:num w:numId="383">
    <w:abstractNumId w:val="382"/>
  </w:num>
  <w:num w:numId="384">
    <w:abstractNumId w:val="383"/>
  </w:num>
  <w:num w:numId="385">
    <w:abstractNumId w:val="384"/>
  </w:num>
  <w:num w:numId="386">
    <w:abstractNumId w:val="385"/>
  </w:num>
  <w:num w:numId="387">
    <w:abstractNumId w:val="386"/>
  </w:num>
  <w:num w:numId="388">
    <w:abstractNumId w:val="387"/>
  </w:num>
  <w:num w:numId="389">
    <w:abstractNumId w:val="388"/>
  </w:num>
  <w:num w:numId="390">
    <w:abstractNumId w:val="389"/>
  </w:num>
  <w:num w:numId="391">
    <w:abstractNumId w:val="390"/>
  </w:num>
  <w:num w:numId="392">
    <w:abstractNumId w:val="391"/>
  </w:num>
  <w:num w:numId="393">
    <w:abstractNumId w:val="392"/>
  </w:num>
  <w:num w:numId="394">
    <w:abstractNumId w:val="393"/>
  </w:num>
  <w:num w:numId="395">
    <w:abstractNumId w:val="394"/>
  </w:num>
  <w:num w:numId="396">
    <w:abstractNumId w:val="395"/>
  </w:num>
  <w:num w:numId="397">
    <w:abstractNumId w:val="396"/>
  </w:num>
  <w:num w:numId="398">
    <w:abstractNumId w:val="397"/>
  </w:num>
  <w:num w:numId="399">
    <w:abstractNumId w:val="398"/>
  </w:num>
  <w:num w:numId="400">
    <w:abstractNumId w:val="399"/>
  </w:num>
  <w:num w:numId="401">
    <w:abstractNumId w:val="400"/>
  </w:num>
  <w:num w:numId="402">
    <w:abstractNumId w:val="401"/>
  </w:num>
  <w:num w:numId="403">
    <w:abstractNumId w:val="402"/>
  </w:num>
  <w:num w:numId="404">
    <w:abstractNumId w:val="403"/>
  </w:num>
  <w:num w:numId="405">
    <w:abstractNumId w:val="404"/>
  </w:num>
  <w:num w:numId="406">
    <w:abstractNumId w:val="405"/>
  </w:num>
  <w:num w:numId="407">
    <w:abstractNumId w:val="406"/>
  </w:num>
  <w:num w:numId="408">
    <w:abstractNumId w:val="407"/>
  </w:num>
  <w:num w:numId="409">
    <w:abstractNumId w:val="408"/>
  </w:num>
  <w:num w:numId="410">
    <w:abstractNumId w:val="409"/>
  </w:num>
  <w:num w:numId="411">
    <w:abstractNumId w:val="410"/>
  </w:num>
  <w:num w:numId="412">
    <w:abstractNumId w:val="411"/>
  </w:num>
  <w:num w:numId="413">
    <w:abstractNumId w:val="412"/>
  </w:num>
  <w:num w:numId="414">
    <w:abstractNumId w:val="413"/>
  </w:num>
  <w:num w:numId="415">
    <w:abstractNumId w:val="414"/>
  </w:num>
  <w:num w:numId="416">
    <w:abstractNumId w:val="415"/>
  </w:num>
  <w:num w:numId="417">
    <w:abstractNumId w:val="416"/>
  </w:num>
  <w:num w:numId="418">
    <w:abstractNumId w:val="417"/>
  </w:num>
  <w:num w:numId="419">
    <w:abstractNumId w:val="418"/>
  </w:num>
  <w:num w:numId="420">
    <w:abstractNumId w:val="419"/>
  </w:num>
  <w:num w:numId="421">
    <w:abstractNumId w:val="420"/>
  </w:num>
  <w:num w:numId="422">
    <w:abstractNumId w:val="421"/>
  </w:num>
  <w:num w:numId="423">
    <w:abstractNumId w:val="422"/>
  </w:num>
  <w:num w:numId="424">
    <w:abstractNumId w:val="423"/>
  </w:num>
  <w:num w:numId="425">
    <w:abstractNumId w:val="424"/>
  </w:num>
  <w:num w:numId="426">
    <w:abstractNumId w:val="425"/>
  </w:num>
  <w:num w:numId="427">
    <w:abstractNumId w:val="426"/>
  </w:num>
  <w:num w:numId="428">
    <w:abstractNumId w:val="427"/>
  </w:num>
  <w:num w:numId="429">
    <w:abstractNumId w:val="428"/>
  </w:num>
  <w:num w:numId="430">
    <w:abstractNumId w:val="429"/>
  </w:num>
  <w:num w:numId="431">
    <w:abstractNumId w:val="430"/>
  </w:num>
  <w:num w:numId="432">
    <w:abstractNumId w:val="431"/>
  </w:num>
  <w:num w:numId="433">
    <w:abstractNumId w:val="432"/>
  </w:num>
  <w:num w:numId="434">
    <w:abstractNumId w:val="433"/>
  </w:num>
  <w:num w:numId="435">
    <w:abstractNumId w:val="434"/>
  </w:num>
  <w:num w:numId="436">
    <w:abstractNumId w:val="435"/>
  </w:num>
  <w:num w:numId="437">
    <w:abstractNumId w:val="436"/>
  </w:num>
  <w:num w:numId="438">
    <w:abstractNumId w:val="437"/>
  </w:num>
  <w:num w:numId="439">
    <w:abstractNumId w:val="438"/>
  </w:num>
  <w:num w:numId="440">
    <w:abstractNumId w:val="439"/>
  </w:num>
  <w:num w:numId="441">
    <w:abstractNumId w:val="440"/>
  </w:num>
  <w:num w:numId="442">
    <w:abstractNumId w:val="441"/>
  </w:num>
  <w:num w:numId="443">
    <w:abstractNumId w:val="442"/>
  </w:num>
  <w:num w:numId="444">
    <w:abstractNumId w:val="443"/>
  </w:num>
  <w:num w:numId="445">
    <w:abstractNumId w:val="444"/>
  </w:num>
  <w:num w:numId="446">
    <w:abstractNumId w:val="445"/>
  </w:num>
  <w:num w:numId="447">
    <w:abstractNumId w:val="446"/>
  </w:num>
  <w:num w:numId="448">
    <w:abstractNumId w:val="447"/>
  </w:num>
  <w:num w:numId="449">
    <w:abstractNumId w:val="448"/>
  </w:num>
  <w:num w:numId="450">
    <w:abstractNumId w:val="449"/>
  </w:num>
  <w:num w:numId="451">
    <w:abstractNumId w:val="450"/>
  </w:num>
  <w:num w:numId="452">
    <w:abstractNumId w:val="451"/>
  </w:num>
  <w:num w:numId="453">
    <w:abstractNumId w:val="452"/>
  </w:num>
  <w:num w:numId="454">
    <w:abstractNumId w:val="453"/>
  </w:num>
  <w:num w:numId="455">
    <w:abstractNumId w:val="454"/>
  </w:num>
  <w:num w:numId="456">
    <w:abstractNumId w:val="455"/>
  </w:num>
  <w:num w:numId="457">
    <w:abstractNumId w:val="456"/>
  </w:num>
  <w:num w:numId="458">
    <w:abstractNumId w:val="457"/>
  </w:num>
  <w:num w:numId="459">
    <w:abstractNumId w:val="458"/>
  </w:num>
  <w:num w:numId="460">
    <w:abstractNumId w:val="459"/>
  </w:num>
  <w:num w:numId="461">
    <w:abstractNumId w:val="460"/>
  </w:num>
  <w:num w:numId="462">
    <w:abstractNumId w:val="461"/>
  </w:num>
  <w:num w:numId="463">
    <w:abstractNumId w:val="462"/>
  </w:num>
  <w:num w:numId="464">
    <w:abstractNumId w:val="463"/>
  </w:num>
  <w:num w:numId="465">
    <w:abstractNumId w:val="464"/>
  </w:num>
  <w:num w:numId="466">
    <w:abstractNumId w:val="465"/>
  </w:num>
  <w:num w:numId="467">
    <w:abstractNumId w:val="466"/>
  </w:num>
  <w:num w:numId="468">
    <w:abstractNumId w:val="467"/>
  </w:num>
  <w:num w:numId="469">
    <w:abstractNumId w:val="468"/>
  </w:num>
  <w:num w:numId="470">
    <w:abstractNumId w:val="469"/>
  </w:num>
  <w:num w:numId="471">
    <w:abstractNumId w:val="470"/>
  </w:num>
  <w:num w:numId="472">
    <w:abstractNumId w:val="471"/>
  </w:num>
  <w:num w:numId="473">
    <w:abstractNumId w:val="472"/>
  </w:num>
  <w:num w:numId="474">
    <w:abstractNumId w:val="473"/>
  </w:num>
  <w:num w:numId="475">
    <w:abstractNumId w:val="47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jpeg"/><Relationship Id="rId26" Type="http://schemas.openxmlformats.org/officeDocument/2006/relationships/image" Target="media/image19.png"/><Relationship Id="rId27" Type="http://schemas.openxmlformats.org/officeDocument/2006/relationships/image" Target="media/image20.jpe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jpeg"/><Relationship Id="rId110" Type="http://schemas.openxmlformats.org/officeDocument/2006/relationships/image" Target="media/image103.png"/><Relationship Id="rId111" Type="http://schemas.openxmlformats.org/officeDocument/2006/relationships/image" Target="media/image104.jpe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jpeg"/><Relationship Id="rId116" Type="http://schemas.openxmlformats.org/officeDocument/2006/relationships/image" Target="media/image109.png"/><Relationship Id="rId117" Type="http://schemas.openxmlformats.org/officeDocument/2006/relationships/image" Target="media/image110.jpeg"/><Relationship Id="rId118" Type="http://schemas.openxmlformats.org/officeDocument/2006/relationships/image" Target="media/image111.png"/><Relationship Id="rId119" Type="http://schemas.openxmlformats.org/officeDocument/2006/relationships/image" Target="media/image112.jpe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jpeg"/><Relationship Id="rId157" Type="http://schemas.openxmlformats.org/officeDocument/2006/relationships/image" Target="media/image150.png"/><Relationship Id="rId158" Type="http://schemas.openxmlformats.org/officeDocument/2006/relationships/image" Target="media/image151.jpeg"/><Relationship Id="rId159" Type="http://schemas.openxmlformats.org/officeDocument/2006/relationships/image" Target="media/image152.png"/><Relationship Id="rId160" Type="http://schemas.openxmlformats.org/officeDocument/2006/relationships/image" Target="media/image153.jpeg"/><Relationship Id="rId161" Type="http://schemas.openxmlformats.org/officeDocument/2006/relationships/image" Target="media/image154.png"/><Relationship Id="rId162" Type="http://schemas.openxmlformats.org/officeDocument/2006/relationships/image" Target="media/image155.jpeg"/><Relationship Id="rId163" Type="http://schemas.openxmlformats.org/officeDocument/2006/relationships/image" Target="media/image156.png"/><Relationship Id="rId164" Type="http://schemas.openxmlformats.org/officeDocument/2006/relationships/image" Target="media/image157.jpeg"/><Relationship Id="rId165" Type="http://schemas.openxmlformats.org/officeDocument/2006/relationships/image" Target="media/image158.png"/><Relationship Id="rId166" Type="http://schemas.openxmlformats.org/officeDocument/2006/relationships/image" Target="media/image159.jpe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jpeg"/><Relationship Id="rId173" Type="http://schemas.openxmlformats.org/officeDocument/2006/relationships/image" Target="media/image166.png"/><Relationship Id="rId174" Type="http://schemas.openxmlformats.org/officeDocument/2006/relationships/image" Target="media/image167.jpeg"/><Relationship Id="rId175" Type="http://schemas.openxmlformats.org/officeDocument/2006/relationships/image" Target="media/image168.png"/><Relationship Id="rId176" Type="http://schemas.openxmlformats.org/officeDocument/2006/relationships/image" Target="media/image169.jpeg"/><Relationship Id="rId177" Type="http://schemas.openxmlformats.org/officeDocument/2006/relationships/image" Target="media/image170.png"/><Relationship Id="rId178" Type="http://schemas.openxmlformats.org/officeDocument/2006/relationships/image" Target="media/image171.jpeg"/><Relationship Id="rId179" Type="http://schemas.openxmlformats.org/officeDocument/2006/relationships/image" Target="media/image172.png"/><Relationship Id="rId180" Type="http://schemas.openxmlformats.org/officeDocument/2006/relationships/image" Target="media/image173.jpeg"/><Relationship Id="rId181" Type="http://schemas.openxmlformats.org/officeDocument/2006/relationships/image" Target="media/image174.png"/><Relationship Id="rId182" Type="http://schemas.openxmlformats.org/officeDocument/2006/relationships/image" Target="media/image175.jpeg"/><Relationship Id="rId183" Type="http://schemas.openxmlformats.org/officeDocument/2006/relationships/image" Target="media/image176.png"/><Relationship Id="rId184" Type="http://schemas.openxmlformats.org/officeDocument/2006/relationships/image" Target="media/image177.jpeg"/><Relationship Id="rId185" Type="http://schemas.openxmlformats.org/officeDocument/2006/relationships/image" Target="media/image178.png"/><Relationship Id="rId186" Type="http://schemas.openxmlformats.org/officeDocument/2006/relationships/image" Target="media/image179.jpeg"/><Relationship Id="rId187" Type="http://schemas.openxmlformats.org/officeDocument/2006/relationships/image" Target="media/image180.png"/><Relationship Id="rId188" Type="http://schemas.openxmlformats.org/officeDocument/2006/relationships/image" Target="media/image181.jpe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jpe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jpeg"/><Relationship Id="rId195" Type="http://schemas.openxmlformats.org/officeDocument/2006/relationships/image" Target="media/image188.png"/><Relationship Id="rId196" Type="http://schemas.openxmlformats.org/officeDocument/2006/relationships/image" Target="media/image189.jpeg"/><Relationship Id="rId197" Type="http://schemas.openxmlformats.org/officeDocument/2006/relationships/image" Target="media/image190.png"/><Relationship Id="rId198" Type="http://schemas.openxmlformats.org/officeDocument/2006/relationships/image" Target="media/image191.jpeg"/><Relationship Id="rId199" Type="http://schemas.openxmlformats.org/officeDocument/2006/relationships/image" Target="media/image192.png"/><Relationship Id="rId200" Type="http://schemas.openxmlformats.org/officeDocument/2006/relationships/image" Target="media/image193.jpeg"/><Relationship Id="rId201" Type="http://schemas.openxmlformats.org/officeDocument/2006/relationships/image" Target="media/image194.png"/><Relationship Id="rId202" Type="http://schemas.openxmlformats.org/officeDocument/2006/relationships/image" Target="media/image195.jpeg"/><Relationship Id="rId203" Type="http://schemas.openxmlformats.org/officeDocument/2006/relationships/image" Target="media/image196.png"/><Relationship Id="rId204" Type="http://schemas.openxmlformats.org/officeDocument/2006/relationships/image" Target="media/image197.jpeg"/><Relationship Id="rId205" Type="http://schemas.openxmlformats.org/officeDocument/2006/relationships/image" Target="media/image198.png"/><Relationship Id="rId206" Type="http://schemas.openxmlformats.org/officeDocument/2006/relationships/image" Target="media/image199.jpeg"/><Relationship Id="rId207" Type="http://schemas.openxmlformats.org/officeDocument/2006/relationships/image" Target="media/image200.png"/><Relationship Id="rId208" Type="http://schemas.openxmlformats.org/officeDocument/2006/relationships/image" Target="media/image201.jpeg"/><Relationship Id="rId209" Type="http://schemas.openxmlformats.org/officeDocument/2006/relationships/image" Target="media/image202.png"/><Relationship Id="rId210" Type="http://schemas.openxmlformats.org/officeDocument/2006/relationships/image" Target="media/image203.jpeg"/><Relationship Id="rId211" Type="http://schemas.openxmlformats.org/officeDocument/2006/relationships/image" Target="media/image204.png"/><Relationship Id="rId212" Type="http://schemas.openxmlformats.org/officeDocument/2006/relationships/image" Target="media/image205.jpeg"/><Relationship Id="rId213" Type="http://schemas.openxmlformats.org/officeDocument/2006/relationships/image" Target="media/image206.png"/><Relationship Id="rId214" Type="http://schemas.openxmlformats.org/officeDocument/2006/relationships/image" Target="media/image207.jpeg"/><Relationship Id="rId215" Type="http://schemas.openxmlformats.org/officeDocument/2006/relationships/image" Target="media/image208.png"/><Relationship Id="rId216" Type="http://schemas.openxmlformats.org/officeDocument/2006/relationships/image" Target="media/image209.jpe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jpe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jpe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jpe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64" Type="http://schemas.openxmlformats.org/officeDocument/2006/relationships/image" Target="media/image335.png"/><Relationship Id="rId373" Type="http://schemas.openxmlformats.org/officeDocument/2006/relationships/image" Target="media/image336.png"/><Relationship Id="rId374" Type="http://schemas.openxmlformats.org/officeDocument/2006/relationships/image" Target="media/image337.png"/><Relationship Id="rId375" Type="http://schemas.openxmlformats.org/officeDocument/2006/relationships/image" Target="media/image338.png"/><Relationship Id="rId376" Type="http://schemas.openxmlformats.org/officeDocument/2006/relationships/image" Target="media/image339.png"/><Relationship Id="rId377" Type="http://schemas.openxmlformats.org/officeDocument/2006/relationships/image" Target="media/image340.png"/><Relationship Id="rId378" Type="http://schemas.openxmlformats.org/officeDocument/2006/relationships/image" Target="media/image341.png"/><Relationship Id="rId379" Type="http://schemas.openxmlformats.org/officeDocument/2006/relationships/image" Target="media/image342.png"/><Relationship Id="rId380" Type="http://schemas.openxmlformats.org/officeDocument/2006/relationships/image" Target="media/image343.png"/><Relationship Id="rId381" Type="http://schemas.openxmlformats.org/officeDocument/2006/relationships/image" Target="media/image344.png"/><Relationship Id="rId382" Type="http://schemas.openxmlformats.org/officeDocument/2006/relationships/image" Target="media/image345.png"/><Relationship Id="rId383" Type="http://schemas.openxmlformats.org/officeDocument/2006/relationships/image" Target="media/image346.png"/><Relationship Id="rId384" Type="http://schemas.openxmlformats.org/officeDocument/2006/relationships/image" Target="media/image347.png"/><Relationship Id="rId385" Type="http://schemas.openxmlformats.org/officeDocument/2006/relationships/image" Target="media/image348.png"/><Relationship Id="rId386" Type="http://schemas.openxmlformats.org/officeDocument/2006/relationships/image" Target="media/image349.png"/><Relationship Id="rId387" Type="http://schemas.openxmlformats.org/officeDocument/2006/relationships/image" Target="media/image350.png"/><Relationship Id="rId388" Type="http://schemas.openxmlformats.org/officeDocument/2006/relationships/image" Target="media/image351.png"/><Relationship Id="rId389" Type="http://schemas.openxmlformats.org/officeDocument/2006/relationships/image" Target="media/image352.png"/><Relationship Id="rId390" Type="http://schemas.openxmlformats.org/officeDocument/2006/relationships/image" Target="media/image353.png"/><Relationship Id="rId391" Type="http://schemas.openxmlformats.org/officeDocument/2006/relationships/image" Target="media/image354.png"/><Relationship Id="rId392" Type="http://schemas.openxmlformats.org/officeDocument/2006/relationships/image" Target="media/image355.png"/><Relationship Id="rId393" Type="http://schemas.openxmlformats.org/officeDocument/2006/relationships/image" Target="media/image356.png"/><Relationship Id="rId394" Type="http://schemas.openxmlformats.org/officeDocument/2006/relationships/image" Target="media/image357.png"/><Relationship Id="rId395" Type="http://schemas.openxmlformats.org/officeDocument/2006/relationships/image" Target="media/image358.png"/><Relationship Id="rId396" Type="http://schemas.openxmlformats.org/officeDocument/2006/relationships/image" Target="media/image359.png"/><Relationship Id="rId397" Type="http://schemas.openxmlformats.org/officeDocument/2006/relationships/image" Target="media/image360.png"/><Relationship Id="rId398" Type="http://schemas.openxmlformats.org/officeDocument/2006/relationships/image" Target="media/image361.png"/><Relationship Id="rId399" Type="http://schemas.openxmlformats.org/officeDocument/2006/relationships/image" Target="media/image362.png"/><Relationship Id="rId400" Type="http://schemas.openxmlformats.org/officeDocument/2006/relationships/image" Target="media/image363.png"/><Relationship Id="rId401" Type="http://schemas.openxmlformats.org/officeDocument/2006/relationships/image" Target="media/image364.png"/><Relationship Id="rId402" Type="http://schemas.openxmlformats.org/officeDocument/2006/relationships/image" Target="media/image365.png"/><Relationship Id="rId403" Type="http://schemas.openxmlformats.org/officeDocument/2006/relationships/image" Target="media/image366.png"/><Relationship Id="rId404" Type="http://schemas.openxmlformats.org/officeDocument/2006/relationships/image" Target="media/image367.png"/><Relationship Id="rId405" Type="http://schemas.openxmlformats.org/officeDocument/2006/relationships/image" Target="media/image368.png"/><Relationship Id="rId406" Type="http://schemas.openxmlformats.org/officeDocument/2006/relationships/image" Target="media/image369.png"/><Relationship Id="rId407" Type="http://schemas.openxmlformats.org/officeDocument/2006/relationships/image" Target="media/image370.png"/><Relationship Id="rId408" Type="http://schemas.openxmlformats.org/officeDocument/2006/relationships/image" Target="media/image371.png"/><Relationship Id="rId409" Type="http://schemas.openxmlformats.org/officeDocument/2006/relationships/image" Target="media/image372.png"/><Relationship Id="rId410" Type="http://schemas.openxmlformats.org/officeDocument/2006/relationships/image" Target="media/image373.png"/><Relationship Id="rId411" Type="http://schemas.openxmlformats.org/officeDocument/2006/relationships/image" Target="media/image374.png"/><Relationship Id="rId412" Type="http://schemas.openxmlformats.org/officeDocument/2006/relationships/image" Target="media/image375.png"/><Relationship Id="rId413" Type="http://schemas.openxmlformats.org/officeDocument/2006/relationships/image" Target="media/image376.png"/><Relationship Id="rId414" Type="http://schemas.openxmlformats.org/officeDocument/2006/relationships/image" Target="media/image377.png"/><Relationship Id="rId415" Type="http://schemas.openxmlformats.org/officeDocument/2006/relationships/image" Target="media/image378.png"/><Relationship Id="rId416" Type="http://schemas.openxmlformats.org/officeDocument/2006/relationships/image" Target="media/image379.png"/><Relationship Id="rId417" Type="http://schemas.openxmlformats.org/officeDocument/2006/relationships/image" Target="media/image380.png"/><Relationship Id="rId418" Type="http://schemas.openxmlformats.org/officeDocument/2006/relationships/image" Target="media/image381.png"/><Relationship Id="rId419" Type="http://schemas.openxmlformats.org/officeDocument/2006/relationships/image" Target="media/image382.png"/><Relationship Id="rId420" Type="http://schemas.openxmlformats.org/officeDocument/2006/relationships/image" Target="media/image383.png"/><Relationship Id="rId421" Type="http://schemas.openxmlformats.org/officeDocument/2006/relationships/image" Target="media/image384.png"/><Relationship Id="rId422" Type="http://schemas.openxmlformats.org/officeDocument/2006/relationships/image" Target="media/image385.png"/><Relationship Id="rId423" Type="http://schemas.openxmlformats.org/officeDocument/2006/relationships/image" Target="media/image386.png"/><Relationship Id="rId424" Type="http://schemas.openxmlformats.org/officeDocument/2006/relationships/image" Target="media/image387.png"/><Relationship Id="rId425" Type="http://schemas.openxmlformats.org/officeDocument/2006/relationships/image" Target="media/image388.png"/><Relationship Id="rId426" Type="http://schemas.openxmlformats.org/officeDocument/2006/relationships/image" Target="media/image389.png"/><Relationship Id="rId427" Type="http://schemas.openxmlformats.org/officeDocument/2006/relationships/image" Target="media/image390.png"/><Relationship Id="rId428" Type="http://schemas.openxmlformats.org/officeDocument/2006/relationships/image" Target="media/image391.png"/><Relationship Id="rId429" Type="http://schemas.openxmlformats.org/officeDocument/2006/relationships/image" Target="media/image392.png"/><Relationship Id="rId430" Type="http://schemas.openxmlformats.org/officeDocument/2006/relationships/image" Target="media/image393.png"/><Relationship Id="rId431" Type="http://schemas.openxmlformats.org/officeDocument/2006/relationships/image" Target="media/image394.png"/><Relationship Id="rId432" Type="http://schemas.openxmlformats.org/officeDocument/2006/relationships/image" Target="media/image395.png"/><Relationship Id="rId433" Type="http://schemas.openxmlformats.org/officeDocument/2006/relationships/image" Target="media/image396.png"/><Relationship Id="rId434" Type="http://schemas.openxmlformats.org/officeDocument/2006/relationships/image" Target="media/image397.png"/><Relationship Id="rId435" Type="http://schemas.openxmlformats.org/officeDocument/2006/relationships/image" Target="media/image398.png"/><Relationship Id="rId436" Type="http://schemas.openxmlformats.org/officeDocument/2006/relationships/image" Target="media/image399.png"/><Relationship Id="rId437" Type="http://schemas.openxmlformats.org/officeDocument/2006/relationships/image" Target="media/image400.png"/><Relationship Id="rId438" Type="http://schemas.openxmlformats.org/officeDocument/2006/relationships/image" Target="media/image401.png"/><Relationship Id="rId439" Type="http://schemas.openxmlformats.org/officeDocument/2006/relationships/image" Target="media/image402.png"/><Relationship Id="rId440" Type="http://schemas.openxmlformats.org/officeDocument/2006/relationships/image" Target="media/image403.png"/><Relationship Id="rId441" Type="http://schemas.openxmlformats.org/officeDocument/2006/relationships/image" Target="media/image404.png"/><Relationship Id="rId442" Type="http://schemas.openxmlformats.org/officeDocument/2006/relationships/image" Target="media/image405.png"/><Relationship Id="rId443" Type="http://schemas.openxmlformats.org/officeDocument/2006/relationships/image" Target="media/image406.png"/><Relationship Id="rId444" Type="http://schemas.openxmlformats.org/officeDocument/2006/relationships/image" Target="media/image407.png"/><Relationship Id="rId445" Type="http://schemas.openxmlformats.org/officeDocument/2006/relationships/image" Target="media/image408.png"/><Relationship Id="rId446" Type="http://schemas.openxmlformats.org/officeDocument/2006/relationships/image" Target="media/image409.png"/><Relationship Id="rId447" Type="http://schemas.openxmlformats.org/officeDocument/2006/relationships/image" Target="media/image410.png"/><Relationship Id="rId448" Type="http://schemas.openxmlformats.org/officeDocument/2006/relationships/image" Target="media/image411.png"/><Relationship Id="rId449" Type="http://schemas.openxmlformats.org/officeDocument/2006/relationships/image" Target="media/image412.png"/><Relationship Id="rId450" Type="http://schemas.openxmlformats.org/officeDocument/2006/relationships/image" Target="media/image413.png"/><Relationship Id="rId451" Type="http://schemas.openxmlformats.org/officeDocument/2006/relationships/image" Target="media/image414.png"/><Relationship Id="rId452" Type="http://schemas.openxmlformats.org/officeDocument/2006/relationships/image" Target="media/image415.png"/><Relationship Id="rId453" Type="http://schemas.openxmlformats.org/officeDocument/2006/relationships/image" Target="media/image416.png"/><Relationship Id="rId454" Type="http://schemas.openxmlformats.org/officeDocument/2006/relationships/image" Target="media/image417.png"/><Relationship Id="rId455" Type="http://schemas.openxmlformats.org/officeDocument/2006/relationships/image" Target="media/image418.png"/><Relationship Id="rId456" Type="http://schemas.openxmlformats.org/officeDocument/2006/relationships/image" Target="media/image419.png"/><Relationship Id="rId457" Type="http://schemas.openxmlformats.org/officeDocument/2006/relationships/image" Target="media/image420.png"/><Relationship Id="rId458" Type="http://schemas.openxmlformats.org/officeDocument/2006/relationships/image" Target="media/image421.png"/><Relationship Id="rId459" Type="http://schemas.openxmlformats.org/officeDocument/2006/relationships/image" Target="media/image422.png"/><Relationship Id="rId460" Type="http://schemas.openxmlformats.org/officeDocument/2006/relationships/image" Target="media/image423.png"/><Relationship Id="rId461" Type="http://schemas.openxmlformats.org/officeDocument/2006/relationships/image" Target="media/image424.png"/><Relationship Id="rId462" Type="http://schemas.openxmlformats.org/officeDocument/2006/relationships/image" Target="media/image425.png"/><Relationship Id="rId463" Type="http://schemas.openxmlformats.org/officeDocument/2006/relationships/image" Target="media/image426.png"/><Relationship Id="rId464" Type="http://schemas.openxmlformats.org/officeDocument/2006/relationships/image" Target="media/image427.png"/><Relationship Id="rId465" Type="http://schemas.openxmlformats.org/officeDocument/2006/relationships/image" Target="media/image428.png"/><Relationship Id="rId466" Type="http://schemas.openxmlformats.org/officeDocument/2006/relationships/image" Target="media/image429.png"/><Relationship Id="rId467" Type="http://schemas.openxmlformats.org/officeDocument/2006/relationships/image" Target="media/image430.png"/><Relationship Id="rId468" Type="http://schemas.openxmlformats.org/officeDocument/2006/relationships/image" Target="media/image431.png"/><Relationship Id="rId469" Type="http://schemas.openxmlformats.org/officeDocument/2006/relationships/image" Target="media/image432.png"/><Relationship Id="rId470" Type="http://schemas.openxmlformats.org/officeDocument/2006/relationships/image" Target="media/image433.png"/><Relationship Id="rId471" Type="http://schemas.openxmlformats.org/officeDocument/2006/relationships/image" Target="media/image434.png"/><Relationship Id="rId472" Type="http://schemas.openxmlformats.org/officeDocument/2006/relationships/image" Target="media/image435.png"/><Relationship Id="rId473" Type="http://schemas.openxmlformats.org/officeDocument/2006/relationships/image" Target="media/image436.png"/><Relationship Id="rId474" Type="http://schemas.openxmlformats.org/officeDocument/2006/relationships/image" Target="media/image437.png"/><Relationship Id="rId475" Type="http://schemas.openxmlformats.org/officeDocument/2006/relationships/image" Target="media/image438.png"/><Relationship Id="rId476" Type="http://schemas.openxmlformats.org/officeDocument/2006/relationships/image" Target="media/image439.png"/><Relationship Id="rId477" Type="http://schemas.openxmlformats.org/officeDocument/2006/relationships/image" Target="media/image440.png"/><Relationship Id="rId478" Type="http://schemas.openxmlformats.org/officeDocument/2006/relationships/image" Target="media/image441.png"/><Relationship Id="rId479" Type="http://schemas.openxmlformats.org/officeDocument/2006/relationships/image" Target="media/image442.png"/><Relationship Id="rId480" Type="http://schemas.openxmlformats.org/officeDocument/2006/relationships/image" Target="media/image443.png"/><Relationship Id="rId481" Type="http://schemas.openxmlformats.org/officeDocument/2006/relationships/image" Target="media/image444.png"/><Relationship Id="rId482" Type="http://schemas.openxmlformats.org/officeDocument/2006/relationships/image" Target="media/image445.png"/><Relationship Id="rId483" Type="http://schemas.openxmlformats.org/officeDocument/2006/relationships/image" Target="media/image446.png"/><Relationship Id="rId484" Type="http://schemas.openxmlformats.org/officeDocument/2006/relationships/image" Target="media/image447.png"/><Relationship Id="rId485" Type="http://schemas.openxmlformats.org/officeDocument/2006/relationships/image" Target="media/image448.png"/><Relationship Id="rId486" Type="http://schemas.openxmlformats.org/officeDocument/2006/relationships/image" Target="media/image449.png"/><Relationship Id="rId487" Type="http://schemas.openxmlformats.org/officeDocument/2006/relationships/image" Target="media/image450.png"/><Relationship Id="rId488" Type="http://schemas.openxmlformats.org/officeDocument/2006/relationships/image" Target="media/image451.png"/><Relationship Id="rId489" Type="http://schemas.openxmlformats.org/officeDocument/2006/relationships/image" Target="media/image452.png"/><Relationship Id="rId490" Type="http://schemas.openxmlformats.org/officeDocument/2006/relationships/image" Target="media/image453.png"/><Relationship Id="rId491" Type="http://schemas.openxmlformats.org/officeDocument/2006/relationships/image" Target="media/image454.png"/><Relationship Id="rId492" Type="http://schemas.openxmlformats.org/officeDocument/2006/relationships/image" Target="media/image455.png"/><Relationship Id="rId493" Type="http://schemas.openxmlformats.org/officeDocument/2006/relationships/image" Target="media/image456.png"/><Relationship Id="rId494" Type="http://schemas.openxmlformats.org/officeDocument/2006/relationships/image" Target="media/image457.png"/><Relationship Id="rId495" Type="http://schemas.openxmlformats.org/officeDocument/2006/relationships/image" Target="media/image458.png"/><Relationship Id="rId496" Type="http://schemas.openxmlformats.org/officeDocument/2006/relationships/image" Target="media/image459.png"/><Relationship Id="rId497" Type="http://schemas.openxmlformats.org/officeDocument/2006/relationships/image" Target="media/image460.png"/><Relationship Id="rId498" Type="http://schemas.openxmlformats.org/officeDocument/2006/relationships/image" Target="media/image461.png"/><Relationship Id="rId499" Type="http://schemas.openxmlformats.org/officeDocument/2006/relationships/image" Target="media/image462.png"/><Relationship Id="rId500" Type="http://schemas.openxmlformats.org/officeDocument/2006/relationships/image" Target="media/image463.png"/><Relationship Id="rId501" Type="http://schemas.openxmlformats.org/officeDocument/2006/relationships/image" Target="media/image464.png"/><Relationship Id="rId502" Type="http://schemas.openxmlformats.org/officeDocument/2006/relationships/image" Target="media/image465.png"/><Relationship Id="rId503" Type="http://schemas.openxmlformats.org/officeDocument/2006/relationships/image" Target="media/image466.png"/><Relationship Id="rId504" Type="http://schemas.openxmlformats.org/officeDocument/2006/relationships/image" Target="media/image467.png"/><Relationship Id="rId505" Type="http://schemas.openxmlformats.org/officeDocument/2006/relationships/image" Target="media/image468.png"/><Relationship Id="rId506" Type="http://schemas.openxmlformats.org/officeDocument/2006/relationships/image" Target="media/image469.png"/><Relationship Id="rId507" Type="http://schemas.openxmlformats.org/officeDocument/2006/relationships/image" Target="media/image470.png"/><Relationship Id="rId508" Type="http://schemas.openxmlformats.org/officeDocument/2006/relationships/image" Target="media/image471.png"/><Relationship Id="rId509" Type="http://schemas.openxmlformats.org/officeDocument/2006/relationships/image" Target="media/image472.png"/><Relationship Id="rId510" Type="http://schemas.openxmlformats.org/officeDocument/2006/relationships/image" Target="media/image473.png"/><Relationship Id="rId511" Type="http://schemas.openxmlformats.org/officeDocument/2006/relationships/image" Target="media/image474.png"/><Relationship Id="rId512" Type="http://schemas.openxmlformats.org/officeDocument/2006/relationships/image" Target="media/image475.png"/><Relationship Id="rId513" Type="http://schemas.openxmlformats.org/officeDocument/2006/relationships/image" Target="media/image476.png"/><Relationship Id="rId514" Type="http://schemas.openxmlformats.org/officeDocument/2006/relationships/image" Target="media/image477.png"/><Relationship Id="rId515" Type="http://schemas.openxmlformats.org/officeDocument/2006/relationships/image" Target="media/image478.png"/><Relationship Id="rId516" Type="http://schemas.openxmlformats.org/officeDocument/2006/relationships/image" Target="media/image479.png"/><Relationship Id="rId517" Type="http://schemas.openxmlformats.org/officeDocument/2006/relationships/image" Target="media/image480.png"/><Relationship Id="rId518" Type="http://schemas.openxmlformats.org/officeDocument/2006/relationships/image" Target="media/image481.png"/><Relationship Id="rId519" Type="http://schemas.openxmlformats.org/officeDocument/2006/relationships/image" Target="media/image482.png"/><Relationship Id="rId520" Type="http://schemas.openxmlformats.org/officeDocument/2006/relationships/image" Target="media/image483.png"/><Relationship Id="rId521" Type="http://schemas.openxmlformats.org/officeDocument/2006/relationships/image" Target="media/image484.png"/><Relationship Id="rId522" Type="http://schemas.openxmlformats.org/officeDocument/2006/relationships/image" Target="media/image485.png"/><Relationship Id="rId523" Type="http://schemas.openxmlformats.org/officeDocument/2006/relationships/image" Target="media/image486.png"/><Relationship Id="rId524" Type="http://schemas.openxmlformats.org/officeDocument/2006/relationships/image" Target="media/image487.png"/><Relationship Id="rId525" Type="http://schemas.openxmlformats.org/officeDocument/2006/relationships/image" Target="media/image488.png"/><Relationship Id="rId526" Type="http://schemas.openxmlformats.org/officeDocument/2006/relationships/image" Target="media/image489.png"/><Relationship Id="rId527" Type="http://schemas.openxmlformats.org/officeDocument/2006/relationships/image" Target="media/image490.png"/><Relationship Id="rId528" Type="http://schemas.openxmlformats.org/officeDocument/2006/relationships/image" Target="media/image491.png"/><Relationship Id="rId529" Type="http://schemas.openxmlformats.org/officeDocument/2006/relationships/image" Target="media/image492.png"/><Relationship Id="rId530" Type="http://schemas.openxmlformats.org/officeDocument/2006/relationships/image" Target="media/image493.png"/><Relationship Id="rId531" Type="http://schemas.openxmlformats.org/officeDocument/2006/relationships/image" Target="media/image494.png"/><Relationship Id="rId532" Type="http://schemas.openxmlformats.org/officeDocument/2006/relationships/image" Target="media/image495.png"/><Relationship Id="rId533" Type="http://schemas.openxmlformats.org/officeDocument/2006/relationships/image" Target="media/image496.png"/><Relationship Id="rId534" Type="http://schemas.openxmlformats.org/officeDocument/2006/relationships/image" Target="media/image497.png"/><Relationship Id="rId535" Type="http://schemas.openxmlformats.org/officeDocument/2006/relationships/image" Target="media/image498.png"/><Relationship Id="rId536" Type="http://schemas.openxmlformats.org/officeDocument/2006/relationships/image" Target="media/image499.png"/><Relationship Id="rId537" Type="http://schemas.openxmlformats.org/officeDocument/2006/relationships/image" Target="media/image500.png"/><Relationship Id="rId538" Type="http://schemas.openxmlformats.org/officeDocument/2006/relationships/image" Target="media/image501.png"/><Relationship Id="rId539" Type="http://schemas.openxmlformats.org/officeDocument/2006/relationships/image" Target="media/image502.png"/><Relationship Id="rId540" Type="http://schemas.openxmlformats.org/officeDocument/2006/relationships/image" Target="media/image503.png"/><Relationship Id="rId541" Type="http://schemas.openxmlformats.org/officeDocument/2006/relationships/image" Target="media/image504.png"/><Relationship Id="rId542" Type="http://schemas.openxmlformats.org/officeDocument/2006/relationships/image" Target="media/image505.png"/><Relationship Id="rId543" Type="http://schemas.openxmlformats.org/officeDocument/2006/relationships/image" Target="media/image506.png"/><Relationship Id="rId544" Type="http://schemas.openxmlformats.org/officeDocument/2006/relationships/image" Target="media/image507.png"/><Relationship Id="rId545" Type="http://schemas.openxmlformats.org/officeDocument/2006/relationships/image" Target="media/image508.png"/><Relationship Id="rId546" Type="http://schemas.openxmlformats.org/officeDocument/2006/relationships/image" Target="media/image509.png"/><Relationship Id="rId547" Type="http://schemas.openxmlformats.org/officeDocument/2006/relationships/image" Target="media/image510.png"/><Relationship Id="rId548" Type="http://schemas.openxmlformats.org/officeDocument/2006/relationships/image" Target="media/image511.png"/><Relationship Id="rId549" Type="http://schemas.openxmlformats.org/officeDocument/2006/relationships/image" Target="media/image512.png"/><Relationship Id="rId550" Type="http://schemas.openxmlformats.org/officeDocument/2006/relationships/image" Target="media/image513.png"/><Relationship Id="rId551" Type="http://schemas.openxmlformats.org/officeDocument/2006/relationships/image" Target="media/image514.png"/><Relationship Id="rId552" Type="http://schemas.openxmlformats.org/officeDocument/2006/relationships/image" Target="media/image515.png"/><Relationship Id="rId553" Type="http://schemas.openxmlformats.org/officeDocument/2006/relationships/image" Target="media/image516.png"/><Relationship Id="rId554" Type="http://schemas.openxmlformats.org/officeDocument/2006/relationships/image" Target="media/image517.png"/><Relationship Id="rId555" Type="http://schemas.openxmlformats.org/officeDocument/2006/relationships/image" Target="media/image518.png"/><Relationship Id="rId556" Type="http://schemas.openxmlformats.org/officeDocument/2006/relationships/image" Target="media/image519.png"/><Relationship Id="rId557" Type="http://schemas.openxmlformats.org/officeDocument/2006/relationships/image" Target="media/image520.png"/><Relationship Id="rId558" Type="http://schemas.openxmlformats.org/officeDocument/2006/relationships/image" Target="media/image521.png"/><Relationship Id="rId559" Type="http://schemas.openxmlformats.org/officeDocument/2006/relationships/image" Target="media/image522.png"/><Relationship Id="rId560" Type="http://schemas.openxmlformats.org/officeDocument/2006/relationships/image" Target="media/image523.png"/><Relationship Id="rId561" Type="http://schemas.openxmlformats.org/officeDocument/2006/relationships/image" Target="media/image524.png"/><Relationship Id="rId562" Type="http://schemas.openxmlformats.org/officeDocument/2006/relationships/image" Target="media/image525.png"/><Relationship Id="rId563" Type="http://schemas.openxmlformats.org/officeDocument/2006/relationships/image" Target="media/image526.png"/><Relationship Id="rId564" Type="http://schemas.openxmlformats.org/officeDocument/2006/relationships/image" Target="media/image527.png"/><Relationship Id="rId565" Type="http://schemas.openxmlformats.org/officeDocument/2006/relationships/image" Target="media/image528.png"/><Relationship Id="rId566" Type="http://schemas.openxmlformats.org/officeDocument/2006/relationships/image" Target="media/image529.png"/><Relationship Id="rId567" Type="http://schemas.openxmlformats.org/officeDocument/2006/relationships/image" Target="media/image530.png"/><Relationship Id="rId568" Type="http://schemas.openxmlformats.org/officeDocument/2006/relationships/image" Target="media/image531.png"/><Relationship Id="rId569" Type="http://schemas.openxmlformats.org/officeDocument/2006/relationships/image" Target="media/image532.png"/><Relationship Id="rId570" Type="http://schemas.openxmlformats.org/officeDocument/2006/relationships/image" Target="media/image533.png"/><Relationship Id="rId571" Type="http://schemas.openxmlformats.org/officeDocument/2006/relationships/image" Target="media/image534.png"/><Relationship Id="rId572" Type="http://schemas.openxmlformats.org/officeDocument/2006/relationships/image" Target="media/image535.png"/><Relationship Id="rId573" Type="http://schemas.openxmlformats.org/officeDocument/2006/relationships/image" Target="media/image536.png"/><Relationship Id="rId574" Type="http://schemas.openxmlformats.org/officeDocument/2006/relationships/image" Target="media/image537.png"/><Relationship Id="rId575" Type="http://schemas.openxmlformats.org/officeDocument/2006/relationships/image" Target="media/image538.png"/><Relationship Id="rId576" Type="http://schemas.openxmlformats.org/officeDocument/2006/relationships/image" Target="media/image539.png"/><Relationship Id="rId577" Type="http://schemas.openxmlformats.org/officeDocument/2006/relationships/image" Target="media/image540.png"/><Relationship Id="rId578" Type="http://schemas.openxmlformats.org/officeDocument/2006/relationships/image" Target="media/image541.png"/><Relationship Id="rId579" Type="http://schemas.openxmlformats.org/officeDocument/2006/relationships/image" Target="media/image542.png"/><Relationship Id="rId580" Type="http://schemas.openxmlformats.org/officeDocument/2006/relationships/image" Target="media/image543.png"/><Relationship Id="rId581" Type="http://schemas.openxmlformats.org/officeDocument/2006/relationships/image" Target="media/image544.png"/><Relationship Id="rId582" Type="http://schemas.openxmlformats.org/officeDocument/2006/relationships/image" Target="media/image545.png"/><Relationship Id="rId583" Type="http://schemas.openxmlformats.org/officeDocument/2006/relationships/image" Target="media/image546.png"/><Relationship Id="rId584" Type="http://schemas.openxmlformats.org/officeDocument/2006/relationships/image" Target="media/image547.png"/><Relationship Id="rId585" Type="http://schemas.openxmlformats.org/officeDocument/2006/relationships/image" Target="media/image548.png"/><Relationship Id="rId586" Type="http://schemas.openxmlformats.org/officeDocument/2006/relationships/image" Target="media/image549.png"/><Relationship Id="rId587" Type="http://schemas.openxmlformats.org/officeDocument/2006/relationships/image" Target="media/image550.png"/><Relationship Id="rId588" Type="http://schemas.openxmlformats.org/officeDocument/2006/relationships/image" Target="media/image551.png"/><Relationship Id="rId589" Type="http://schemas.openxmlformats.org/officeDocument/2006/relationships/image" Target="media/image552.png"/><Relationship Id="rId590" Type="http://schemas.openxmlformats.org/officeDocument/2006/relationships/image" Target="media/image553.png"/><Relationship Id="rId591" Type="http://schemas.openxmlformats.org/officeDocument/2006/relationships/image" Target="media/image554.png"/><Relationship Id="rId592" Type="http://schemas.openxmlformats.org/officeDocument/2006/relationships/image" Target="media/image555.png"/><Relationship Id="rId593" Type="http://schemas.openxmlformats.org/officeDocument/2006/relationships/image" Target="media/image556.png"/><Relationship Id="rId594" Type="http://schemas.openxmlformats.org/officeDocument/2006/relationships/image" Target="media/image557.png"/><Relationship Id="rId595" Type="http://schemas.openxmlformats.org/officeDocument/2006/relationships/image" Target="media/image558.png"/><Relationship Id="rId596" Type="http://schemas.openxmlformats.org/officeDocument/2006/relationships/image" Target="media/image559.png"/><Relationship Id="rId597" Type="http://schemas.openxmlformats.org/officeDocument/2006/relationships/image" Target="media/image560.png"/><Relationship Id="rId598" Type="http://schemas.openxmlformats.org/officeDocument/2006/relationships/image" Target="media/image561.png"/><Relationship Id="rId599" Type="http://schemas.openxmlformats.org/officeDocument/2006/relationships/image" Target="media/image562.png"/><Relationship Id="rId600" Type="http://schemas.openxmlformats.org/officeDocument/2006/relationships/image" Target="media/image563.png"/><Relationship Id="rId601" Type="http://schemas.openxmlformats.org/officeDocument/2006/relationships/image" Target="media/image564.png"/><Relationship Id="rId602" Type="http://schemas.openxmlformats.org/officeDocument/2006/relationships/image" Target="media/image565.png"/><Relationship Id="rId603" Type="http://schemas.openxmlformats.org/officeDocument/2006/relationships/image" Target="media/image566.png"/><Relationship Id="rId604" Type="http://schemas.openxmlformats.org/officeDocument/2006/relationships/image" Target="media/image567.png"/><Relationship Id="rId605" Type="http://schemas.openxmlformats.org/officeDocument/2006/relationships/image" Target="media/image568.png"/><Relationship Id="rId606" Type="http://schemas.openxmlformats.org/officeDocument/2006/relationships/image" Target="media/image569.png"/><Relationship Id="rId607" Type="http://schemas.openxmlformats.org/officeDocument/2006/relationships/image" Target="media/image570.png"/><Relationship Id="rId608" Type="http://schemas.openxmlformats.org/officeDocument/2006/relationships/image" Target="media/image571.png"/><Relationship Id="rId609" Type="http://schemas.openxmlformats.org/officeDocument/2006/relationships/image" Target="media/image572.png"/><Relationship Id="rId610" Type="http://schemas.openxmlformats.org/officeDocument/2006/relationships/image" Target="media/image573.png"/><Relationship Id="rId611" Type="http://schemas.openxmlformats.org/officeDocument/2006/relationships/image" Target="media/image574.png"/><Relationship Id="rId612" Type="http://schemas.openxmlformats.org/officeDocument/2006/relationships/image" Target="media/image575.png"/><Relationship Id="rId613" Type="http://schemas.openxmlformats.org/officeDocument/2006/relationships/image" Target="media/image576.png"/><Relationship Id="rId614" Type="http://schemas.openxmlformats.org/officeDocument/2006/relationships/image" Target="media/image577.png"/><Relationship Id="rId615" Type="http://schemas.openxmlformats.org/officeDocument/2006/relationships/image" Target="media/image578.png"/><Relationship Id="rId616" Type="http://schemas.openxmlformats.org/officeDocument/2006/relationships/image" Target="media/image579.png"/><Relationship Id="rId617" Type="http://schemas.openxmlformats.org/officeDocument/2006/relationships/image" Target="media/image580.png"/><Relationship Id="rId618" Type="http://schemas.openxmlformats.org/officeDocument/2006/relationships/image" Target="media/image581.png"/><Relationship Id="rId619" Type="http://schemas.openxmlformats.org/officeDocument/2006/relationships/image" Target="media/image582.png"/><Relationship Id="rId620" Type="http://schemas.openxmlformats.org/officeDocument/2006/relationships/image" Target="media/image583.png"/><Relationship Id="rId621" Type="http://schemas.openxmlformats.org/officeDocument/2006/relationships/image" Target="media/image584.png"/><Relationship Id="rId622" Type="http://schemas.openxmlformats.org/officeDocument/2006/relationships/image" Target="media/image585.png"/><Relationship Id="rId623" Type="http://schemas.openxmlformats.org/officeDocument/2006/relationships/image" Target="media/image586.png"/><Relationship Id="rId624" Type="http://schemas.openxmlformats.org/officeDocument/2006/relationships/image" Target="media/image587.png"/><Relationship Id="rId625" Type="http://schemas.openxmlformats.org/officeDocument/2006/relationships/image" Target="media/image588.png"/><Relationship Id="rId626" Type="http://schemas.openxmlformats.org/officeDocument/2006/relationships/image" Target="media/image589.png"/><Relationship Id="rId627" Type="http://schemas.openxmlformats.org/officeDocument/2006/relationships/image" Target="media/image590.png"/><Relationship Id="rId628" Type="http://schemas.openxmlformats.org/officeDocument/2006/relationships/image" Target="media/image591.png"/><Relationship Id="rId629" Type="http://schemas.openxmlformats.org/officeDocument/2006/relationships/image" Target="media/image592.png"/><Relationship Id="rId630" Type="http://schemas.openxmlformats.org/officeDocument/2006/relationships/image" Target="media/image593.png"/><Relationship Id="rId631" Type="http://schemas.openxmlformats.org/officeDocument/2006/relationships/image" Target="media/image594.png"/><Relationship Id="rId632" Type="http://schemas.openxmlformats.org/officeDocument/2006/relationships/image" Target="media/image595.png"/><Relationship Id="rId633" Type="http://schemas.openxmlformats.org/officeDocument/2006/relationships/image" Target="media/image596.png"/><Relationship Id="rId634" Type="http://schemas.openxmlformats.org/officeDocument/2006/relationships/image" Target="media/image597.png"/><Relationship Id="rId635" Type="http://schemas.openxmlformats.org/officeDocument/2006/relationships/image" Target="media/image598.png"/><Relationship Id="rId636" Type="http://schemas.openxmlformats.org/officeDocument/2006/relationships/image" Target="media/image599.png"/><Relationship Id="rId637" Type="http://schemas.openxmlformats.org/officeDocument/2006/relationships/image" Target="media/image600.png"/><Relationship Id="rId638" Type="http://schemas.openxmlformats.org/officeDocument/2006/relationships/image" Target="media/image601.png"/><Relationship Id="rId639" Type="http://schemas.openxmlformats.org/officeDocument/2006/relationships/image" Target="media/image602.png"/><Relationship Id="rId640" Type="http://schemas.openxmlformats.org/officeDocument/2006/relationships/image" Target="media/image603.png"/><Relationship Id="rId641" Type="http://schemas.openxmlformats.org/officeDocument/2006/relationships/image" Target="media/image604.png"/><Relationship Id="rId642" Type="http://schemas.openxmlformats.org/officeDocument/2006/relationships/image" Target="media/image605.png"/><Relationship Id="rId643" Type="http://schemas.openxmlformats.org/officeDocument/2006/relationships/image" Target="media/image606.png"/><Relationship Id="rId644" Type="http://schemas.openxmlformats.org/officeDocument/2006/relationships/image" Target="media/image607.png"/><Relationship Id="rId645" Type="http://schemas.openxmlformats.org/officeDocument/2006/relationships/image" Target="media/image608.png"/><Relationship Id="rId646" Type="http://schemas.openxmlformats.org/officeDocument/2006/relationships/image" Target="media/image609.png"/><Relationship Id="rId647" Type="http://schemas.openxmlformats.org/officeDocument/2006/relationships/image" Target="media/image610.png"/><Relationship Id="rId648" Type="http://schemas.openxmlformats.org/officeDocument/2006/relationships/image" Target="media/image611.png"/><Relationship Id="rId649" Type="http://schemas.openxmlformats.org/officeDocument/2006/relationships/image" Target="media/image612.png"/><Relationship Id="rId650" Type="http://schemas.openxmlformats.org/officeDocument/2006/relationships/image" Target="media/image613.png"/><Relationship Id="rId651" Type="http://schemas.openxmlformats.org/officeDocument/2006/relationships/image" Target="media/image614.png"/><Relationship Id="rId652" Type="http://schemas.openxmlformats.org/officeDocument/2006/relationships/image" Target="media/image615.png"/><Relationship Id="rId653" Type="http://schemas.openxmlformats.org/officeDocument/2006/relationships/image" Target="media/image616.png"/><Relationship Id="rId654" Type="http://schemas.openxmlformats.org/officeDocument/2006/relationships/image" Target="media/image617.png"/><Relationship Id="rId655" Type="http://schemas.openxmlformats.org/officeDocument/2006/relationships/image" Target="media/image618.png"/><Relationship Id="rId656" Type="http://schemas.openxmlformats.org/officeDocument/2006/relationships/image" Target="media/image619.png"/><Relationship Id="rId657" Type="http://schemas.openxmlformats.org/officeDocument/2006/relationships/image" Target="media/image620.png"/><Relationship Id="rId658" Type="http://schemas.openxmlformats.org/officeDocument/2006/relationships/image" Target="media/image621.png"/><Relationship Id="rId659" Type="http://schemas.openxmlformats.org/officeDocument/2006/relationships/image" Target="media/image622.png"/><Relationship Id="rId660" Type="http://schemas.openxmlformats.org/officeDocument/2006/relationships/image" Target="media/image623.png"/><Relationship Id="rId661" Type="http://schemas.openxmlformats.org/officeDocument/2006/relationships/image" Target="media/image624.png"/><Relationship Id="rId662" Type="http://schemas.openxmlformats.org/officeDocument/2006/relationships/image" Target="media/image625.png"/><Relationship Id="rId663" Type="http://schemas.openxmlformats.org/officeDocument/2006/relationships/image" Target="media/image626.png"/><Relationship Id="rId664" Type="http://schemas.openxmlformats.org/officeDocument/2006/relationships/image" Target="media/image627.png"/><Relationship Id="rId665" Type="http://schemas.openxmlformats.org/officeDocument/2006/relationships/image" Target="media/image628.png"/><Relationship Id="rId666" Type="http://schemas.openxmlformats.org/officeDocument/2006/relationships/image" Target="media/image629.png"/><Relationship Id="rId667" Type="http://schemas.openxmlformats.org/officeDocument/2006/relationships/image" Target="media/image630.png"/><Relationship Id="rId668" Type="http://schemas.openxmlformats.org/officeDocument/2006/relationships/image" Target="media/image631.png"/><Relationship Id="rId669" Type="http://schemas.openxmlformats.org/officeDocument/2006/relationships/image" Target="media/image632.png"/><Relationship Id="rId670" Type="http://schemas.openxmlformats.org/officeDocument/2006/relationships/image" Target="media/image633.png"/><Relationship Id="rId671" Type="http://schemas.openxmlformats.org/officeDocument/2006/relationships/image" Target="media/image634.png"/><Relationship Id="rId672" Type="http://schemas.openxmlformats.org/officeDocument/2006/relationships/image" Target="media/image635.png"/><Relationship Id="rId673" Type="http://schemas.openxmlformats.org/officeDocument/2006/relationships/image" Target="media/image636.png"/><Relationship Id="rId674" Type="http://schemas.openxmlformats.org/officeDocument/2006/relationships/image" Target="media/image637.png"/><Relationship Id="rId675" Type="http://schemas.openxmlformats.org/officeDocument/2006/relationships/image" Target="media/image638.png"/><Relationship Id="rId676" Type="http://schemas.openxmlformats.org/officeDocument/2006/relationships/image" Target="media/image639.png"/><Relationship Id="rId677" Type="http://schemas.openxmlformats.org/officeDocument/2006/relationships/image" Target="media/image640.png"/><Relationship Id="rId678" Type="http://schemas.openxmlformats.org/officeDocument/2006/relationships/image" Target="media/image641.png"/><Relationship Id="rId679" Type="http://schemas.openxmlformats.org/officeDocument/2006/relationships/image" Target="media/image642.png"/><Relationship Id="rId680" Type="http://schemas.openxmlformats.org/officeDocument/2006/relationships/image" Target="media/image643.png"/><Relationship Id="rId681" Type="http://schemas.openxmlformats.org/officeDocument/2006/relationships/image" Target="media/image644.png"/><Relationship Id="rId682" Type="http://schemas.openxmlformats.org/officeDocument/2006/relationships/image" Target="media/image645.png"/><Relationship Id="rId683" Type="http://schemas.openxmlformats.org/officeDocument/2006/relationships/image" Target="media/image646.png"/><Relationship Id="rId684" Type="http://schemas.openxmlformats.org/officeDocument/2006/relationships/image" Target="media/image647.png"/><Relationship Id="rId685" Type="http://schemas.openxmlformats.org/officeDocument/2006/relationships/image" Target="media/image648.png"/><Relationship Id="rId686" Type="http://schemas.openxmlformats.org/officeDocument/2006/relationships/image" Target="media/image649.png"/><Relationship Id="rId687" Type="http://schemas.openxmlformats.org/officeDocument/2006/relationships/image" Target="media/image650.png"/><Relationship Id="rId688" Type="http://schemas.openxmlformats.org/officeDocument/2006/relationships/image" Target="media/image651.png"/><Relationship Id="rId689" Type="http://schemas.openxmlformats.org/officeDocument/2006/relationships/image" Target="media/image652.png"/><Relationship Id="rId690" Type="http://schemas.openxmlformats.org/officeDocument/2006/relationships/image" Target="media/image653.png"/><Relationship Id="rId691" Type="http://schemas.openxmlformats.org/officeDocument/2006/relationships/image" Target="media/image654.png"/><Relationship Id="rId692" Type="http://schemas.openxmlformats.org/officeDocument/2006/relationships/image" Target="media/image655.png"/><Relationship Id="rId693" Type="http://schemas.openxmlformats.org/officeDocument/2006/relationships/image" Target="media/image656.png"/><Relationship Id="rId694" Type="http://schemas.openxmlformats.org/officeDocument/2006/relationships/image" Target="media/image657.png"/><Relationship Id="rId695" Type="http://schemas.openxmlformats.org/officeDocument/2006/relationships/image" Target="media/image658.png"/><Relationship Id="rId696" Type="http://schemas.openxmlformats.org/officeDocument/2006/relationships/image" Target="media/image659.png"/><Relationship Id="rId697" Type="http://schemas.openxmlformats.org/officeDocument/2006/relationships/image" Target="media/image660.png"/><Relationship Id="rId698" Type="http://schemas.openxmlformats.org/officeDocument/2006/relationships/image" Target="media/image661.png"/><Relationship Id="rId699" Type="http://schemas.openxmlformats.org/officeDocument/2006/relationships/image" Target="media/image662.png"/><Relationship Id="rId700" Type="http://schemas.openxmlformats.org/officeDocument/2006/relationships/image" Target="media/image663.png"/><Relationship Id="rId701" Type="http://schemas.openxmlformats.org/officeDocument/2006/relationships/image" Target="media/image664.png"/><Relationship Id="rId702" Type="http://schemas.openxmlformats.org/officeDocument/2006/relationships/image" Target="media/image665.png"/><Relationship Id="rId703" Type="http://schemas.openxmlformats.org/officeDocument/2006/relationships/image" Target="media/image666.png"/><Relationship Id="rId704" Type="http://schemas.openxmlformats.org/officeDocument/2006/relationships/image" Target="media/image667.png"/><Relationship Id="rId705" Type="http://schemas.openxmlformats.org/officeDocument/2006/relationships/image" Target="media/image668.png"/><Relationship Id="rId706" Type="http://schemas.openxmlformats.org/officeDocument/2006/relationships/image" Target="media/image669.png"/><Relationship Id="rId707" Type="http://schemas.openxmlformats.org/officeDocument/2006/relationships/image" Target="media/image670.png"/><Relationship Id="rId708" Type="http://schemas.openxmlformats.org/officeDocument/2006/relationships/image" Target="media/image671.png"/><Relationship Id="rId709" Type="http://schemas.openxmlformats.org/officeDocument/2006/relationships/image" Target="media/image672.png"/><Relationship Id="rId710" Type="http://schemas.openxmlformats.org/officeDocument/2006/relationships/image" Target="media/image673.png"/><Relationship Id="rId711" Type="http://schemas.openxmlformats.org/officeDocument/2006/relationships/image" Target="media/image674.png"/><Relationship Id="rId712" Type="http://schemas.openxmlformats.org/officeDocument/2006/relationships/image" Target="media/image675.png"/><Relationship Id="rId713" Type="http://schemas.openxmlformats.org/officeDocument/2006/relationships/image" Target="media/image676.png"/><Relationship Id="rId714" Type="http://schemas.openxmlformats.org/officeDocument/2006/relationships/image" Target="media/image677.png"/><Relationship Id="rId715" Type="http://schemas.openxmlformats.org/officeDocument/2006/relationships/image" Target="media/image678.png"/><Relationship Id="rId716" Type="http://schemas.openxmlformats.org/officeDocument/2006/relationships/image" Target="media/image679.png"/><Relationship Id="rId717" Type="http://schemas.openxmlformats.org/officeDocument/2006/relationships/image" Target="media/image680.png"/><Relationship Id="rId718" Type="http://schemas.openxmlformats.org/officeDocument/2006/relationships/image" Target="media/image681.png"/><Relationship Id="rId719" Type="http://schemas.openxmlformats.org/officeDocument/2006/relationships/image" Target="media/image682.png"/><Relationship Id="rId720" Type="http://schemas.openxmlformats.org/officeDocument/2006/relationships/image" Target="media/image683.png"/><Relationship Id="rId721" Type="http://schemas.openxmlformats.org/officeDocument/2006/relationships/image" Target="media/image684.png"/><Relationship Id="rId722" Type="http://schemas.openxmlformats.org/officeDocument/2006/relationships/image" Target="media/image685.png"/><Relationship Id="rId723" Type="http://schemas.openxmlformats.org/officeDocument/2006/relationships/image" Target="media/image686.png"/><Relationship Id="rId724" Type="http://schemas.openxmlformats.org/officeDocument/2006/relationships/image" Target="media/image687.png"/><Relationship Id="rId725" Type="http://schemas.openxmlformats.org/officeDocument/2006/relationships/image" Target="media/image688.png"/><Relationship Id="rId726" Type="http://schemas.openxmlformats.org/officeDocument/2006/relationships/image" Target="media/image689.png"/><Relationship Id="rId727" Type="http://schemas.openxmlformats.org/officeDocument/2006/relationships/image" Target="media/image690.png"/><Relationship Id="rId728" Type="http://schemas.openxmlformats.org/officeDocument/2006/relationships/image" Target="media/image691.png"/><Relationship Id="rId729" Type="http://schemas.openxmlformats.org/officeDocument/2006/relationships/image" Target="media/image692.png"/><Relationship Id="rId730" Type="http://schemas.openxmlformats.org/officeDocument/2006/relationships/image" Target="media/image693.png"/><Relationship Id="rId731" Type="http://schemas.openxmlformats.org/officeDocument/2006/relationships/image" Target="media/image694.png"/><Relationship Id="rId732" Type="http://schemas.openxmlformats.org/officeDocument/2006/relationships/image" Target="media/image695.png"/><Relationship Id="rId733" Type="http://schemas.openxmlformats.org/officeDocument/2006/relationships/image" Target="media/image696.png"/><Relationship Id="rId734" Type="http://schemas.openxmlformats.org/officeDocument/2006/relationships/image" Target="media/image697.png"/><Relationship Id="rId735" Type="http://schemas.openxmlformats.org/officeDocument/2006/relationships/image" Target="media/image698.png"/><Relationship Id="rId736" Type="http://schemas.openxmlformats.org/officeDocument/2006/relationships/image" Target="media/image699.png"/><Relationship Id="rId737" Type="http://schemas.openxmlformats.org/officeDocument/2006/relationships/image" Target="media/image700.png"/><Relationship Id="rId738" Type="http://schemas.openxmlformats.org/officeDocument/2006/relationships/image" Target="media/image701.png"/><Relationship Id="rId739" Type="http://schemas.openxmlformats.org/officeDocument/2006/relationships/image" Target="media/image702.png"/><Relationship Id="rId740" Type="http://schemas.openxmlformats.org/officeDocument/2006/relationships/image" Target="media/image703.png"/><Relationship Id="rId741" Type="http://schemas.openxmlformats.org/officeDocument/2006/relationships/image" Target="media/image704.png"/><Relationship Id="rId742" Type="http://schemas.openxmlformats.org/officeDocument/2006/relationships/image" Target="media/image705.png"/><Relationship Id="rId743" Type="http://schemas.openxmlformats.org/officeDocument/2006/relationships/image" Target="media/image706.png"/><Relationship Id="rId744" Type="http://schemas.openxmlformats.org/officeDocument/2006/relationships/image" Target="media/image707.png"/><Relationship Id="rId745" Type="http://schemas.openxmlformats.org/officeDocument/2006/relationships/image" Target="media/image708.png"/><Relationship Id="rId746" Type="http://schemas.openxmlformats.org/officeDocument/2006/relationships/image" Target="media/image709.png"/><Relationship Id="rId747" Type="http://schemas.openxmlformats.org/officeDocument/2006/relationships/image" Target="media/image710.png"/><Relationship Id="rId748" Type="http://schemas.openxmlformats.org/officeDocument/2006/relationships/image" Target="media/image711.png"/><Relationship Id="rId749" Type="http://schemas.openxmlformats.org/officeDocument/2006/relationships/image" Target="media/image712.png"/><Relationship Id="rId750" Type="http://schemas.openxmlformats.org/officeDocument/2006/relationships/image" Target="media/image713.png"/><Relationship Id="rId751" Type="http://schemas.openxmlformats.org/officeDocument/2006/relationships/image" Target="media/image714.png"/><Relationship Id="rId752" Type="http://schemas.openxmlformats.org/officeDocument/2006/relationships/image" Target="media/image715.png"/><Relationship Id="rId753" Type="http://schemas.openxmlformats.org/officeDocument/2006/relationships/image" Target="media/image716.png"/><Relationship Id="rId754" Type="http://schemas.openxmlformats.org/officeDocument/2006/relationships/image" Target="media/image717.png"/><Relationship Id="rId755" Type="http://schemas.openxmlformats.org/officeDocument/2006/relationships/image" Target="media/image718.png"/><Relationship Id="rId756" Type="http://schemas.openxmlformats.org/officeDocument/2006/relationships/image" Target="media/image719.png"/><Relationship Id="rId757" Type="http://schemas.openxmlformats.org/officeDocument/2006/relationships/image" Target="media/image720.png"/><Relationship Id="rId758" Type="http://schemas.openxmlformats.org/officeDocument/2006/relationships/image" Target="media/image721.png"/><Relationship Id="rId759" Type="http://schemas.openxmlformats.org/officeDocument/2006/relationships/image" Target="media/image722.png"/><Relationship Id="rId760" Type="http://schemas.openxmlformats.org/officeDocument/2006/relationships/image" Target="media/image723.png"/><Relationship Id="rId761" Type="http://schemas.openxmlformats.org/officeDocument/2006/relationships/image" Target="media/image724.png"/><Relationship Id="rId762" Type="http://schemas.openxmlformats.org/officeDocument/2006/relationships/image" Target="media/image725.png"/><Relationship Id="rId763" Type="http://schemas.openxmlformats.org/officeDocument/2006/relationships/image" Target="media/image726.png"/><Relationship Id="rId764" Type="http://schemas.openxmlformats.org/officeDocument/2006/relationships/image" Target="media/image727.png"/><Relationship Id="rId765" Type="http://schemas.openxmlformats.org/officeDocument/2006/relationships/image" Target="media/image728.png"/><Relationship Id="rId766" Type="http://schemas.openxmlformats.org/officeDocument/2006/relationships/image" Target="media/image729.png"/><Relationship Id="rId767" Type="http://schemas.openxmlformats.org/officeDocument/2006/relationships/image" Target="media/image730.png"/><Relationship Id="rId768" Type="http://schemas.openxmlformats.org/officeDocument/2006/relationships/image" Target="media/image731.png"/><Relationship Id="rId769" Type="http://schemas.openxmlformats.org/officeDocument/2006/relationships/image" Target="media/image732.png"/><Relationship Id="rId770" Type="http://schemas.openxmlformats.org/officeDocument/2006/relationships/image" Target="media/image733.png"/><Relationship Id="rId771" Type="http://schemas.openxmlformats.org/officeDocument/2006/relationships/image" Target="media/image734.png"/><Relationship Id="rId772" Type="http://schemas.openxmlformats.org/officeDocument/2006/relationships/image" Target="media/image735.png"/><Relationship Id="rId773" Type="http://schemas.openxmlformats.org/officeDocument/2006/relationships/image" Target="media/image736.png"/><Relationship Id="rId774" Type="http://schemas.openxmlformats.org/officeDocument/2006/relationships/image" Target="media/image737.png"/><Relationship Id="rId775" Type="http://schemas.openxmlformats.org/officeDocument/2006/relationships/image" Target="media/image738.png"/><Relationship Id="rId776" Type="http://schemas.openxmlformats.org/officeDocument/2006/relationships/image" Target="media/image739.png"/><Relationship Id="rId777" Type="http://schemas.openxmlformats.org/officeDocument/2006/relationships/image" Target="media/image740.png"/><Relationship Id="rId778" Type="http://schemas.openxmlformats.org/officeDocument/2006/relationships/image" Target="media/image741.png"/><Relationship Id="rId779" Type="http://schemas.openxmlformats.org/officeDocument/2006/relationships/image" Target="media/image742.png"/><Relationship Id="rId780" Type="http://schemas.openxmlformats.org/officeDocument/2006/relationships/image" Target="media/image743.png"/><Relationship Id="rId781" Type="http://schemas.openxmlformats.org/officeDocument/2006/relationships/image" Target="media/image744.png"/><Relationship Id="rId782" Type="http://schemas.openxmlformats.org/officeDocument/2006/relationships/image" Target="media/image745.png"/><Relationship Id="rId783" Type="http://schemas.openxmlformats.org/officeDocument/2006/relationships/image" Target="media/image746.png"/><Relationship Id="rId784" Type="http://schemas.openxmlformats.org/officeDocument/2006/relationships/image" Target="media/image747.png"/><Relationship Id="rId785" Type="http://schemas.openxmlformats.org/officeDocument/2006/relationships/image" Target="media/image748.png"/><Relationship Id="rId786" Type="http://schemas.openxmlformats.org/officeDocument/2006/relationships/image" Target="media/image749.png"/><Relationship Id="rId787" Type="http://schemas.openxmlformats.org/officeDocument/2006/relationships/image" Target="media/image750.png"/><Relationship Id="rId788" Type="http://schemas.openxmlformats.org/officeDocument/2006/relationships/image" Target="media/image751.png"/><Relationship Id="rId789" Type="http://schemas.openxmlformats.org/officeDocument/2006/relationships/image" Target="media/image752.png"/><Relationship Id="rId790" Type="http://schemas.openxmlformats.org/officeDocument/2006/relationships/image" Target="media/image753.png"/><Relationship Id="rId791" Type="http://schemas.openxmlformats.org/officeDocument/2006/relationships/image" Target="media/image754.png"/><Relationship Id="rId792" Type="http://schemas.openxmlformats.org/officeDocument/2006/relationships/image" Target="media/image755.png"/><Relationship Id="rId793" Type="http://schemas.openxmlformats.org/officeDocument/2006/relationships/image" Target="media/image756.png"/><Relationship Id="rId794" Type="http://schemas.openxmlformats.org/officeDocument/2006/relationships/image" Target="media/image757.png"/><Relationship Id="rId795" Type="http://schemas.openxmlformats.org/officeDocument/2006/relationships/image" Target="media/image758.png"/><Relationship Id="rId796" Type="http://schemas.openxmlformats.org/officeDocument/2006/relationships/image" Target="media/image759.png"/><Relationship Id="rId797" Type="http://schemas.openxmlformats.org/officeDocument/2006/relationships/image" Target="media/image760.png"/><Relationship Id="rId798" Type="http://schemas.openxmlformats.org/officeDocument/2006/relationships/image" Target="media/image761.png"/><Relationship Id="rId799" Type="http://schemas.openxmlformats.org/officeDocument/2006/relationships/image" Target="media/image762.png"/><Relationship Id="rId800" Type="http://schemas.openxmlformats.org/officeDocument/2006/relationships/image" Target="media/image763.png"/><Relationship Id="rId801" Type="http://schemas.openxmlformats.org/officeDocument/2006/relationships/image" Target="media/image764.png"/><Relationship Id="rId802" Type="http://schemas.openxmlformats.org/officeDocument/2006/relationships/image" Target="media/image765.png"/><Relationship Id="rId803" Type="http://schemas.openxmlformats.org/officeDocument/2006/relationships/image" Target="media/image766.png"/><Relationship Id="rId804" Type="http://schemas.openxmlformats.org/officeDocument/2006/relationships/image" Target="media/image767.png"/><Relationship Id="rId805" Type="http://schemas.openxmlformats.org/officeDocument/2006/relationships/image" Target="media/image768.png"/><Relationship Id="rId806" Type="http://schemas.openxmlformats.org/officeDocument/2006/relationships/image" Target="media/image769.png"/><Relationship Id="rId807" Type="http://schemas.openxmlformats.org/officeDocument/2006/relationships/image" Target="media/image770.png"/><Relationship Id="rId808" Type="http://schemas.openxmlformats.org/officeDocument/2006/relationships/image" Target="media/image771.png"/><Relationship Id="rId342" Type="http://schemas.openxmlformats.org/officeDocument/2006/relationships/hyperlink" Target="http://www.sec.gov/Archives/edgar/data/1467623/000119312518078140/d451946dex11.htm" TargetMode="External"/><Relationship Id="rId343" Type="http://schemas.openxmlformats.org/officeDocument/2006/relationships/hyperlink" Target="http://www.sec.gov/Archives/edgar/data/1467623/000119312518055809/d451946dex31.htm" TargetMode="External"/><Relationship Id="rId344" Type="http://schemas.openxmlformats.org/officeDocument/2006/relationships/hyperlink" Target="http://www.sec.gov/Archives/edgar/data/1467623/000119312518055809/d451946dex32.htm" TargetMode="External"/><Relationship Id="rId345" Type="http://schemas.openxmlformats.org/officeDocument/2006/relationships/hyperlink" Target="http://www.sec.gov/Archives/edgar/data/1467623/000119312518055809/d451946dex33.htm" TargetMode="External"/><Relationship Id="rId346" Type="http://schemas.openxmlformats.org/officeDocument/2006/relationships/hyperlink" Target="http://www.sec.gov/Archives/edgar/data/1467623/000119312518078140/d451946dex34.htm" TargetMode="External"/><Relationship Id="rId347" Type="http://schemas.openxmlformats.org/officeDocument/2006/relationships/hyperlink" Target="http://www.sec.gov/Archives/edgar/data/1467623/000119312518078140/d451946dex35.htm" TargetMode="External"/><Relationship Id="rId348" Type="http://schemas.openxmlformats.org/officeDocument/2006/relationships/hyperlink" Target="http://www.sec.gov/Archives/edgar/data/1467623/000119312518055809/d451946dex35.htm" TargetMode="External"/><Relationship Id="rId349" Type="http://schemas.openxmlformats.org/officeDocument/2006/relationships/hyperlink" Target="http://www.sec.gov/Archives/edgar/data/1467623/000119312518078140/d451946dex37.htm" TargetMode="External"/><Relationship Id="rId350" Type="http://schemas.openxmlformats.org/officeDocument/2006/relationships/hyperlink" Target="http://www.sec.gov/Archives/edgar/data/1467623/000119312518078140/d451946dex41.htm" TargetMode="External"/><Relationship Id="rId351" Type="http://schemas.openxmlformats.org/officeDocument/2006/relationships/hyperlink" Target="http://www.sec.gov/Archives/edgar/data/1467623/000119312518055809/d451946dex42.htm" TargetMode="External"/><Relationship Id="rId352" Type="http://schemas.openxmlformats.org/officeDocument/2006/relationships/hyperlink" Target="http://www.sec.gov/Archives/edgar/data/1467623/000119312518078140/d451946dex51.htm" TargetMode="External"/><Relationship Id="rId353" Type="http://schemas.openxmlformats.org/officeDocument/2006/relationships/hyperlink" Target="http://www.sec.gov/Archives/edgar/data/1467623/000119312518055809/d451946dex101.htm" TargetMode="External"/><Relationship Id="rId354" Type="http://schemas.openxmlformats.org/officeDocument/2006/relationships/hyperlink" Target="http://www.sec.gov/Archives/edgar/data/1467623/000119312518055809/d451946dex108.htm" TargetMode="External"/><Relationship Id="rId355" Type="http://schemas.openxmlformats.org/officeDocument/2006/relationships/hyperlink" Target="http://www.sec.gov/Archives/edgar/data/1467623/000119312518055809/d451946dex109.htm" TargetMode="External"/><Relationship Id="rId356" Type="http://schemas.openxmlformats.org/officeDocument/2006/relationships/hyperlink" Target="http://www.sec.gov/Archives/edgar/data/1467623/000119312518055809/d451946dex1010.htm" TargetMode="External"/><Relationship Id="rId357" Type="http://schemas.openxmlformats.org/officeDocument/2006/relationships/hyperlink" Target="http://www.sec.gov/Archives/edgar/data/1467623/000119312518055809/d451946dex1011.htm" TargetMode="External"/><Relationship Id="rId358" Type="http://schemas.openxmlformats.org/officeDocument/2006/relationships/hyperlink" Target="http://www.sec.gov/Archives/edgar/data/1467623/000119312518078140/d451946dex1012.htm" TargetMode="External"/><Relationship Id="rId359" Type="http://schemas.openxmlformats.org/officeDocument/2006/relationships/hyperlink" Target="http://www.sec.gov/Archives/edgar/data/1467623/000119312518078140/d451946dex1013.htm" TargetMode="External"/><Relationship Id="rId360" Type="http://schemas.openxmlformats.org/officeDocument/2006/relationships/hyperlink" Target="http://www.sec.gov/Archives/edgar/data/1467623/000119312518078140/d451946dex1014.htm" TargetMode="External"/><Relationship Id="rId361" Type="http://schemas.openxmlformats.org/officeDocument/2006/relationships/hyperlink" Target="http://www.sec.gov/Archives/edgar/data/1467623/000119312518055809/d451946dex1015.htm" TargetMode="External"/><Relationship Id="rId362" Type="http://schemas.openxmlformats.org/officeDocument/2006/relationships/hyperlink" Target="http://www.sec.gov/Archives/edgar/data/1467623/000119312518055809/d451946dex1016.htm" TargetMode="External"/><Relationship Id="rId363" Type="http://schemas.openxmlformats.org/officeDocument/2006/relationships/hyperlink" Target="http://www.sec.gov/Archives/edgar/data/1467623/000119312518055809/d451946dex1017.htm" TargetMode="External"/><Relationship Id="rId365" Type="http://schemas.openxmlformats.org/officeDocument/2006/relationships/hyperlink" Target="http://www.sec.gov/Archives/edgar/data/1467623/000119312518055809/d451946dex1018.htm" TargetMode="External"/><Relationship Id="rId366" Type="http://schemas.openxmlformats.org/officeDocument/2006/relationships/hyperlink" Target="http://www.sec.gov/Archives/edgar/data/1467623/000119312518055809/d451946dex1019.htm" TargetMode="External"/><Relationship Id="rId367" Type="http://schemas.openxmlformats.org/officeDocument/2006/relationships/hyperlink" Target="http://www.sec.gov/Archives/edgar/data/1467623/000119312518055809/d451946dex1020.htm" TargetMode="External"/><Relationship Id="rId368" Type="http://schemas.openxmlformats.org/officeDocument/2006/relationships/hyperlink" Target="http://www.sec.gov/Archives/edgar/data/1467623/000119312518055809/d451946dex1021.htm" TargetMode="External"/><Relationship Id="rId369" Type="http://schemas.openxmlformats.org/officeDocument/2006/relationships/hyperlink" Target="http://www.sec.gov/Archives/edgar/data/1467623/000119312518078140/d451946dex1022.htm" TargetMode="External"/><Relationship Id="rId370" Type="http://schemas.openxmlformats.org/officeDocument/2006/relationships/hyperlink" Target="http://www.sec.gov/Archives/edgar/data/1467623/000119312518078140/d451946dex1023.htm" TargetMode="External"/><Relationship Id="rId371" Type="http://schemas.openxmlformats.org/officeDocument/2006/relationships/hyperlink" Target="http://www.sec.gov/Archives/edgar/data/1467623/000119312518055809/d451946dex211.htm" TargetMode="External"/><Relationship Id="rId372" Type="http://schemas.openxmlformats.org/officeDocument/2006/relationships/hyperlink" Target="http://www.sec.gov/Archives/edgar/data/0001467623/000119312518055809/d451946ds1.htm#451946_sig"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2019-12-07T16:49:47Z</dcterms:created>
  <dcterms:modified xsi:type="dcterms:W3CDTF">2019-12-07T16:49:47Z</dcterms:modified>
</cp:coreProperties>
</file>